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E3DD5">
      <w:pPr>
        <w:widowControl/>
        <w:spacing w:line="288" w:lineRule="auto"/>
        <w:jc w:val="center"/>
        <w:rPr>
          <w:rFonts w:hint="eastAsia"/>
          <w:b/>
          <w:sz w:val="72"/>
          <w:szCs w:val="72"/>
        </w:rPr>
      </w:pPr>
      <w:bookmarkStart w:id="0" w:name="_GoBack"/>
      <w:bookmarkEnd w:id="0"/>
      <w:r>
        <w:rPr>
          <w:rFonts w:hint="eastAsia"/>
          <w:b/>
          <w:sz w:val="72"/>
          <w:szCs w:val="72"/>
        </w:rPr>
        <w:t>目　次</w:t>
      </w:r>
    </w:p>
    <w:p w:rsidR="00000000" w:rsidRDefault="00EE3DD5">
      <w:pPr>
        <w:widowControl/>
        <w:spacing w:line="288" w:lineRule="auto"/>
        <w:jc w:val="center"/>
        <w:rPr>
          <w:rFonts w:hint="eastAsia"/>
          <w:b/>
          <w:sz w:val="36"/>
          <w:szCs w:val="36"/>
        </w:rPr>
      </w:pPr>
    </w:p>
    <w:p w:rsidR="00000000" w:rsidRDefault="00EE3DD5">
      <w:pPr>
        <w:widowControl/>
        <w:spacing w:line="288" w:lineRule="auto"/>
        <w:jc w:val="center"/>
        <w:rPr>
          <w:rFonts w:hint="eastAsia"/>
          <w:b/>
          <w:sz w:val="36"/>
          <w:szCs w:val="36"/>
        </w:rPr>
      </w:pPr>
    </w:p>
    <w:p w:rsidR="00000000" w:rsidRDefault="00EE3DD5">
      <w:pPr>
        <w:widowControl/>
        <w:tabs>
          <w:tab w:val="right" w:leader="dot" w:pos="8280"/>
        </w:tabs>
        <w:spacing w:line="288" w:lineRule="auto"/>
        <w:ind w:rightChars="200" w:right="480"/>
        <w:jc w:val="both"/>
        <w:rPr>
          <w:rFonts w:hint="eastAsia"/>
        </w:rPr>
      </w:pPr>
      <w:r>
        <w:rPr>
          <w:rFonts w:hint="eastAsia"/>
        </w:rPr>
        <w:t>第一章　緒論</w:t>
      </w:r>
      <w:r>
        <w:rPr>
          <w:rFonts w:hint="eastAsia"/>
        </w:rPr>
        <w:tab/>
        <w:t>3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200" w:left="1440" w:rightChars="200" w:right="480" w:hangingChars="400" w:hanging="960"/>
        <w:jc w:val="both"/>
        <w:rPr>
          <w:rFonts w:hint="eastAsia"/>
        </w:rPr>
      </w:pPr>
      <w:r>
        <w:rPr>
          <w:rFonts w:hint="eastAsia"/>
        </w:rPr>
        <w:t>第一節　研究背景</w:t>
      </w:r>
      <w:r>
        <w:rPr>
          <w:rFonts w:hint="eastAsia"/>
        </w:rPr>
        <w:tab/>
        <w:t>3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200" w:left="1440" w:rightChars="200" w:right="480" w:hangingChars="400" w:hanging="960"/>
        <w:jc w:val="both"/>
        <w:rPr>
          <w:rFonts w:hint="eastAsia"/>
        </w:rPr>
      </w:pPr>
      <w:r>
        <w:rPr>
          <w:rFonts w:hint="eastAsia"/>
        </w:rPr>
        <w:t>第二節　研究範圍</w:t>
      </w:r>
      <w:r>
        <w:rPr>
          <w:rFonts w:hint="eastAsia"/>
        </w:rPr>
        <w:tab/>
        <w:t>4</w:t>
      </w:r>
    </w:p>
    <w:p w:rsidR="00000000" w:rsidRDefault="00EE3DD5">
      <w:pPr>
        <w:widowControl/>
        <w:tabs>
          <w:tab w:val="right" w:leader="dot" w:pos="8280"/>
        </w:tabs>
        <w:spacing w:afterLines="50" w:after="180" w:line="288" w:lineRule="auto"/>
        <w:ind w:leftChars="200" w:left="1440" w:rightChars="200" w:right="480" w:hangingChars="400" w:hanging="960"/>
        <w:jc w:val="both"/>
        <w:rPr>
          <w:rFonts w:hint="eastAsia"/>
        </w:rPr>
      </w:pPr>
      <w:r>
        <w:rPr>
          <w:rFonts w:hint="eastAsia"/>
        </w:rPr>
        <w:t>第三節　研究方法</w:t>
      </w:r>
      <w:r>
        <w:rPr>
          <w:rFonts w:hint="eastAsia"/>
        </w:rPr>
        <w:tab/>
        <w:t>7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rightChars="200" w:right="480"/>
        <w:jc w:val="both"/>
        <w:rPr>
          <w:rFonts w:hint="eastAsia"/>
        </w:rPr>
      </w:pPr>
      <w:r>
        <w:rPr>
          <w:rFonts w:hint="eastAsia"/>
        </w:rPr>
        <w:t>第二章　德國法制之比較觀察</w:t>
      </w:r>
      <w:r>
        <w:rPr>
          <w:rFonts w:hint="eastAsia"/>
        </w:rPr>
        <w:tab/>
        <w:t>12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200" w:left="1440" w:rightChars="200" w:right="480" w:hangingChars="400" w:hanging="960"/>
        <w:jc w:val="both"/>
        <w:rPr>
          <w:rFonts w:hint="eastAsia"/>
        </w:rPr>
      </w:pPr>
      <w:r>
        <w:rPr>
          <w:rFonts w:hint="eastAsia"/>
        </w:rPr>
        <w:t>第一節　公法上返還請求權（公法上不當得利）</w:t>
      </w:r>
      <w:r>
        <w:rPr>
          <w:rFonts w:hint="eastAsia"/>
        </w:rPr>
        <w:tab/>
        <w:t>12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400" w:left="1440" w:rightChars="200" w:right="480" w:hangingChars="200" w:hanging="480"/>
        <w:jc w:val="both"/>
        <w:rPr>
          <w:rFonts w:hint="eastAsia"/>
        </w:rPr>
      </w:pPr>
      <w:r>
        <w:rPr>
          <w:rFonts w:hint="eastAsia"/>
        </w:rPr>
        <w:t>壹　概說</w:t>
      </w:r>
      <w:r>
        <w:rPr>
          <w:rFonts w:hint="eastAsia"/>
        </w:rPr>
        <w:tab/>
        <w:t>12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400" w:left="1440" w:rightChars="200" w:right="480" w:hangingChars="200" w:hanging="480"/>
        <w:jc w:val="both"/>
        <w:rPr>
          <w:rFonts w:hint="eastAsia"/>
        </w:rPr>
      </w:pPr>
      <w:r>
        <w:rPr>
          <w:rFonts w:hint="eastAsia"/>
        </w:rPr>
        <w:t>貳　法律基礎</w:t>
      </w:r>
      <w:r>
        <w:rPr>
          <w:rFonts w:hint="eastAsia"/>
        </w:rPr>
        <w:tab/>
        <w:t>14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400" w:left="1440" w:rightChars="200" w:right="480" w:hangingChars="200" w:hanging="480"/>
        <w:jc w:val="both"/>
        <w:rPr>
          <w:rFonts w:hint="eastAsia"/>
        </w:rPr>
      </w:pPr>
      <w:r>
        <w:rPr>
          <w:rFonts w:hint="eastAsia"/>
        </w:rPr>
        <w:t>參　與民法上不當得利之關係</w:t>
      </w:r>
      <w:r>
        <w:rPr>
          <w:rFonts w:hint="eastAsia"/>
        </w:rPr>
        <w:tab/>
        <w:t>16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200" w:left="1440" w:rightChars="200" w:right="480" w:hangingChars="400" w:hanging="960"/>
        <w:jc w:val="both"/>
        <w:rPr>
          <w:rFonts w:hint="eastAsia"/>
        </w:rPr>
      </w:pPr>
      <w:r>
        <w:rPr>
          <w:rFonts w:hint="eastAsia"/>
        </w:rPr>
        <w:t>第二節　各種不同類型之公法上返還請求權</w:t>
      </w:r>
      <w:r>
        <w:rPr>
          <w:rFonts w:hint="eastAsia"/>
        </w:rPr>
        <w:tab/>
        <w:t>22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400" w:left="1440" w:rightChars="200" w:right="480" w:hangingChars="200" w:hanging="480"/>
        <w:jc w:val="both"/>
        <w:rPr>
          <w:rFonts w:hint="eastAsia"/>
        </w:rPr>
      </w:pPr>
      <w:r>
        <w:rPr>
          <w:rFonts w:hint="eastAsia"/>
        </w:rPr>
        <w:t>壹　一般公法上返還請求權</w:t>
      </w:r>
      <w:r>
        <w:rPr>
          <w:rFonts w:hint="eastAsia"/>
        </w:rPr>
        <w:tab/>
        <w:t>23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600" w:left="1920" w:rightChars="200" w:right="480" w:hangingChars="200" w:hanging="480"/>
        <w:jc w:val="both"/>
        <w:rPr>
          <w:rFonts w:hint="eastAsia"/>
        </w:rPr>
      </w:pPr>
      <w:r>
        <w:rPr>
          <w:rFonts w:hint="eastAsia"/>
        </w:rPr>
        <w:t>一　請求權之成立與內容</w:t>
      </w:r>
      <w:r>
        <w:rPr>
          <w:rFonts w:hint="eastAsia"/>
        </w:rPr>
        <w:tab/>
        <w:t>23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600" w:left="1920" w:rightChars="200" w:right="480" w:hangingChars="200" w:hanging="480"/>
        <w:jc w:val="both"/>
        <w:rPr>
          <w:rFonts w:hint="eastAsia"/>
        </w:rPr>
      </w:pPr>
      <w:r>
        <w:rPr>
          <w:rFonts w:hint="eastAsia"/>
        </w:rPr>
        <w:t>二　請求權行使之方法</w:t>
      </w:r>
      <w:r>
        <w:rPr>
          <w:rFonts w:hint="eastAsia"/>
        </w:rPr>
        <w:tab/>
        <w:t>25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400" w:left="1440" w:rightChars="200" w:right="480" w:hangingChars="200" w:hanging="480"/>
        <w:jc w:val="both"/>
        <w:rPr>
          <w:rFonts w:hint="eastAsia"/>
        </w:rPr>
      </w:pPr>
      <w:r>
        <w:rPr>
          <w:rFonts w:hint="eastAsia"/>
        </w:rPr>
        <w:t>貳　特殊公法上返還請求權</w:t>
      </w:r>
      <w:r>
        <w:rPr>
          <w:rFonts w:hint="eastAsia"/>
        </w:rPr>
        <w:tab/>
        <w:t>26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600" w:left="1920" w:rightChars="200" w:right="480" w:hangingChars="200" w:hanging="480"/>
        <w:jc w:val="both"/>
        <w:rPr>
          <w:rFonts w:hint="eastAsia"/>
        </w:rPr>
      </w:pPr>
      <w:r>
        <w:rPr>
          <w:rFonts w:hint="eastAsia"/>
        </w:rPr>
        <w:t>一　聯邦行政程序法第四十九條之一</w:t>
      </w:r>
      <w:r>
        <w:rPr>
          <w:rFonts w:hint="eastAsia"/>
        </w:rPr>
        <w:tab/>
        <w:t>26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600" w:left="1920" w:rightChars="200" w:right="480" w:hangingChars="200" w:hanging="480"/>
        <w:jc w:val="both"/>
        <w:rPr>
          <w:rFonts w:hint="eastAsia"/>
        </w:rPr>
      </w:pPr>
      <w:r>
        <w:rPr>
          <w:rFonts w:hint="eastAsia"/>
        </w:rPr>
        <w:t>二　公務人員法制上之特別規定</w:t>
      </w:r>
      <w:r>
        <w:rPr>
          <w:rFonts w:hint="eastAsia"/>
        </w:rPr>
        <w:tab/>
        <w:t>30</w:t>
      </w:r>
    </w:p>
    <w:p w:rsidR="00000000" w:rsidRDefault="00EE3DD5">
      <w:pPr>
        <w:widowControl/>
        <w:tabs>
          <w:tab w:val="right" w:leader="dot" w:pos="8280"/>
        </w:tabs>
        <w:spacing w:afterLines="50" w:after="180" w:line="288" w:lineRule="auto"/>
        <w:ind w:leftChars="200" w:left="1440" w:rightChars="200" w:right="480" w:hangingChars="400" w:hanging="960"/>
        <w:jc w:val="both"/>
        <w:rPr>
          <w:rFonts w:hint="eastAsia"/>
        </w:rPr>
      </w:pPr>
      <w:r>
        <w:rPr>
          <w:rFonts w:hint="eastAsia"/>
        </w:rPr>
        <w:t>第三節　小結</w:t>
      </w:r>
      <w:r>
        <w:rPr>
          <w:rFonts w:hint="eastAsia"/>
        </w:rPr>
        <w:tab/>
        <w:t>41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rightChars="200" w:right="480"/>
        <w:jc w:val="both"/>
        <w:rPr>
          <w:rFonts w:hint="eastAsia"/>
        </w:rPr>
      </w:pPr>
      <w:r>
        <w:rPr>
          <w:rFonts w:hint="eastAsia"/>
        </w:rPr>
        <w:t>第三章　對公務人員無法律上之原因受領公法上金錢給付之返還請求權</w:t>
      </w:r>
      <w:r>
        <w:rPr>
          <w:rFonts w:hint="eastAsia"/>
        </w:rPr>
        <w:tab/>
        <w:t>44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200" w:left="1440" w:rightChars="200" w:right="480" w:hangingChars="400" w:hanging="960"/>
        <w:jc w:val="both"/>
        <w:rPr>
          <w:rFonts w:hint="eastAsia"/>
        </w:rPr>
      </w:pPr>
      <w:r>
        <w:rPr>
          <w:rFonts w:hint="eastAsia"/>
        </w:rPr>
        <w:t>第一節　公務人員受領公法上金錢給付類型之分析</w:t>
      </w:r>
      <w:r>
        <w:rPr>
          <w:rFonts w:hint="eastAsia"/>
        </w:rPr>
        <w:tab/>
        <w:t>46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400" w:left="1440" w:rightChars="200" w:right="480" w:hangingChars="200" w:hanging="480"/>
        <w:jc w:val="both"/>
        <w:rPr>
          <w:rFonts w:hint="eastAsia"/>
        </w:rPr>
      </w:pPr>
      <w:r>
        <w:rPr>
          <w:rFonts w:hint="eastAsia"/>
        </w:rPr>
        <w:t>壹　以「公務人員之範圍」作為分類標準</w:t>
      </w:r>
      <w:r>
        <w:rPr>
          <w:rFonts w:hint="eastAsia"/>
        </w:rPr>
        <w:tab/>
        <w:t>46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400" w:left="1440" w:rightChars="200" w:right="480" w:hangingChars="200" w:hanging="480"/>
        <w:jc w:val="both"/>
        <w:rPr>
          <w:rFonts w:hint="eastAsia"/>
        </w:rPr>
      </w:pPr>
      <w:r>
        <w:rPr>
          <w:rFonts w:hint="eastAsia"/>
        </w:rPr>
        <w:t>貳　以「受領給付之種類」作為分類標準</w:t>
      </w:r>
      <w:r>
        <w:rPr>
          <w:rFonts w:hint="eastAsia"/>
        </w:rPr>
        <w:tab/>
        <w:t>49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200" w:left="1440" w:rightChars="200" w:right="480" w:hangingChars="400" w:hanging="960"/>
        <w:jc w:val="both"/>
        <w:rPr>
          <w:rFonts w:hint="eastAsia"/>
        </w:rPr>
      </w:pPr>
      <w:r>
        <w:rPr>
          <w:rFonts w:hint="eastAsia"/>
        </w:rPr>
        <w:t>第二節　公法上不當得利返還請求權之成立</w:t>
      </w:r>
      <w:r>
        <w:rPr>
          <w:rFonts w:hint="eastAsia"/>
        </w:rPr>
        <w:t xml:space="preserve"> </w:t>
      </w:r>
      <w:r>
        <w:t>—</w:t>
      </w:r>
      <w:r>
        <w:rPr>
          <w:rFonts w:hint="eastAsia"/>
        </w:rPr>
        <w:t xml:space="preserve"> </w:t>
      </w:r>
      <w:r>
        <w:rPr>
          <w:rFonts w:hint="eastAsia"/>
        </w:rPr>
        <w:t>構成要件</w:t>
      </w:r>
      <w:r>
        <w:rPr>
          <w:rFonts w:hint="eastAsia"/>
        </w:rPr>
        <w:tab/>
        <w:t>54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400" w:left="1440" w:rightChars="200" w:right="480" w:hangingChars="200" w:hanging="480"/>
        <w:jc w:val="both"/>
        <w:rPr>
          <w:rFonts w:hint="eastAsia"/>
        </w:rPr>
      </w:pPr>
      <w:r>
        <w:rPr>
          <w:rFonts w:hint="eastAsia"/>
        </w:rPr>
        <w:t>壹　公法上不當得利返還請求權之法律基礎</w:t>
      </w:r>
      <w:r>
        <w:rPr>
          <w:rFonts w:hint="eastAsia"/>
        </w:rPr>
        <w:tab/>
        <w:t>54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400" w:left="1440" w:rightChars="200" w:right="480" w:hangingChars="200" w:hanging="480"/>
        <w:jc w:val="both"/>
        <w:rPr>
          <w:rFonts w:hint="eastAsia"/>
        </w:rPr>
      </w:pPr>
      <w:r>
        <w:rPr>
          <w:rFonts w:hint="eastAsia"/>
        </w:rPr>
        <w:t>貳　基於行政處分之給付</w:t>
      </w:r>
      <w:r>
        <w:rPr>
          <w:rFonts w:hint="eastAsia"/>
        </w:rPr>
        <w:tab/>
        <w:t>56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600" w:left="1920" w:rightChars="200" w:right="480" w:hangingChars="200" w:hanging="480"/>
        <w:jc w:val="both"/>
        <w:rPr>
          <w:rFonts w:hint="eastAsia"/>
        </w:rPr>
      </w:pPr>
      <w:r>
        <w:rPr>
          <w:rFonts w:hint="eastAsia"/>
        </w:rPr>
        <w:lastRenderedPageBreak/>
        <w:t>一　依行政程序法第一百二十七條第一項所成立之公法上不當得利類型</w:t>
      </w:r>
      <w:r>
        <w:rPr>
          <w:rFonts w:hint="eastAsia"/>
        </w:rPr>
        <w:tab/>
        <w:t>57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600" w:left="1920" w:rightChars="200" w:right="480" w:hangingChars="200" w:hanging="480"/>
        <w:jc w:val="both"/>
        <w:rPr>
          <w:rFonts w:hint="eastAsia"/>
        </w:rPr>
      </w:pPr>
      <w:r>
        <w:rPr>
          <w:rFonts w:hint="eastAsia"/>
        </w:rPr>
        <w:t>二　因其他情形所成立之公法上不當得利類型</w:t>
      </w:r>
      <w:r>
        <w:rPr>
          <w:rFonts w:hint="eastAsia"/>
        </w:rPr>
        <w:tab/>
        <w:t>59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400" w:left="1440" w:rightChars="200" w:right="480" w:hangingChars="200" w:hanging="480"/>
        <w:jc w:val="both"/>
        <w:rPr>
          <w:rFonts w:hint="eastAsia"/>
        </w:rPr>
      </w:pPr>
      <w:r>
        <w:rPr>
          <w:rFonts w:hint="eastAsia"/>
        </w:rPr>
        <w:t>參　非基於行政處分之給付</w:t>
      </w:r>
      <w:r>
        <w:rPr>
          <w:rFonts w:hint="eastAsia"/>
        </w:rPr>
        <w:tab/>
        <w:t>62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400" w:left="1440" w:rightChars="200" w:right="480" w:hangingChars="200" w:hanging="480"/>
        <w:jc w:val="both"/>
        <w:rPr>
          <w:rFonts w:hint="eastAsia"/>
        </w:rPr>
      </w:pPr>
      <w:r>
        <w:rPr>
          <w:rFonts w:hint="eastAsia"/>
        </w:rPr>
        <w:t>肆　小結</w:t>
      </w:r>
      <w:r>
        <w:rPr>
          <w:rFonts w:hint="eastAsia"/>
        </w:rPr>
        <w:tab/>
        <w:t>63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200" w:left="1440" w:rightChars="200" w:right="480" w:hangingChars="400" w:hanging="960"/>
        <w:jc w:val="both"/>
        <w:rPr>
          <w:rFonts w:hint="eastAsia"/>
        </w:rPr>
      </w:pPr>
      <w:r>
        <w:rPr>
          <w:rFonts w:hint="eastAsia"/>
        </w:rPr>
        <w:t>第三節　公法上不當得利返還請求權之內容</w:t>
      </w:r>
      <w:r>
        <w:rPr>
          <w:rFonts w:hint="eastAsia"/>
        </w:rPr>
        <w:t xml:space="preserve"> </w:t>
      </w:r>
      <w:r>
        <w:t>—</w:t>
      </w:r>
      <w:r>
        <w:rPr>
          <w:rFonts w:hint="eastAsia"/>
        </w:rPr>
        <w:t xml:space="preserve"> </w:t>
      </w:r>
      <w:r>
        <w:rPr>
          <w:rFonts w:hint="eastAsia"/>
        </w:rPr>
        <w:t>法律效果</w:t>
      </w:r>
      <w:r>
        <w:rPr>
          <w:rFonts w:hint="eastAsia"/>
        </w:rPr>
        <w:tab/>
        <w:t>65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400" w:left="1440" w:rightChars="200" w:right="480" w:hangingChars="200" w:hanging="480"/>
        <w:jc w:val="both"/>
        <w:rPr>
          <w:rFonts w:hint="eastAsia"/>
        </w:rPr>
      </w:pPr>
      <w:r>
        <w:rPr>
          <w:rFonts w:hint="eastAsia"/>
        </w:rPr>
        <w:t>壹　返還標的</w:t>
      </w:r>
      <w:r>
        <w:rPr>
          <w:rFonts w:hint="eastAsia"/>
        </w:rPr>
        <w:tab/>
        <w:t>65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400" w:left="1440" w:rightChars="200" w:right="480" w:hangingChars="200" w:hanging="480"/>
        <w:jc w:val="both"/>
        <w:rPr>
          <w:rFonts w:hint="eastAsia"/>
        </w:rPr>
      </w:pPr>
      <w:r>
        <w:rPr>
          <w:rFonts w:hint="eastAsia"/>
        </w:rPr>
        <w:t>貳　返還範圍</w:t>
      </w:r>
      <w:r>
        <w:rPr>
          <w:rFonts w:hint="eastAsia"/>
        </w:rPr>
        <w:tab/>
        <w:t>66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600" w:left="1920" w:rightChars="200" w:right="480" w:hangingChars="200" w:hanging="480"/>
        <w:jc w:val="both"/>
        <w:rPr>
          <w:rFonts w:hint="eastAsia"/>
        </w:rPr>
      </w:pPr>
      <w:r>
        <w:rPr>
          <w:rFonts w:hint="eastAsia"/>
        </w:rPr>
        <w:t>一　信賴保護</w:t>
      </w:r>
      <w:r>
        <w:rPr>
          <w:rFonts w:hint="eastAsia"/>
        </w:rPr>
        <w:t xml:space="preserve"> vs. </w:t>
      </w:r>
      <w:r>
        <w:rPr>
          <w:rFonts w:hint="eastAsia"/>
        </w:rPr>
        <w:t>民法第一百八十二條</w:t>
      </w:r>
      <w:r>
        <w:rPr>
          <w:rFonts w:hint="eastAsia"/>
        </w:rPr>
        <w:tab/>
        <w:t>66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600" w:left="1920" w:rightChars="200" w:right="480" w:hangingChars="200" w:hanging="480"/>
        <w:jc w:val="both"/>
        <w:rPr>
          <w:rFonts w:hint="eastAsia"/>
        </w:rPr>
      </w:pPr>
      <w:r>
        <w:rPr>
          <w:rFonts w:hint="eastAsia"/>
        </w:rPr>
        <w:t>二　衡平法理</w:t>
      </w:r>
      <w:r>
        <w:rPr>
          <w:rFonts w:hint="eastAsia"/>
        </w:rPr>
        <w:tab/>
        <w:t>73</w:t>
      </w:r>
    </w:p>
    <w:p w:rsidR="00000000" w:rsidRDefault="00EE3DD5">
      <w:pPr>
        <w:widowControl/>
        <w:tabs>
          <w:tab w:val="right" w:leader="dot" w:pos="8280"/>
        </w:tabs>
        <w:spacing w:afterLines="50" w:after="180" w:line="288" w:lineRule="auto"/>
        <w:ind w:leftChars="200" w:left="1440" w:rightChars="200" w:right="480" w:hangingChars="400" w:hanging="960"/>
        <w:jc w:val="both"/>
        <w:rPr>
          <w:rFonts w:hint="eastAsia"/>
        </w:rPr>
      </w:pPr>
      <w:r>
        <w:rPr>
          <w:rFonts w:hint="eastAsia"/>
        </w:rPr>
        <w:t>第四節　公法上不當得利返還請求權之消滅時效</w:t>
      </w:r>
      <w:r>
        <w:rPr>
          <w:rFonts w:hint="eastAsia"/>
        </w:rPr>
        <w:tab/>
        <w:t>75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rightChars="200" w:right="480"/>
        <w:jc w:val="both"/>
        <w:rPr>
          <w:rFonts w:hint="eastAsia"/>
        </w:rPr>
      </w:pPr>
      <w:r>
        <w:rPr>
          <w:rFonts w:hint="eastAsia"/>
        </w:rPr>
        <w:t>第四章　對公務人員公法上不當得利返還請求權之行使</w:t>
      </w:r>
      <w:r>
        <w:rPr>
          <w:rFonts w:hint="eastAsia"/>
        </w:rPr>
        <w:tab/>
        <w:t>78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200" w:left="1440" w:rightChars="200" w:right="480" w:hangingChars="400" w:hanging="960"/>
        <w:jc w:val="both"/>
        <w:rPr>
          <w:rFonts w:hint="eastAsia"/>
        </w:rPr>
      </w:pPr>
      <w:r>
        <w:rPr>
          <w:rFonts w:hint="eastAsia"/>
        </w:rPr>
        <w:t>第一節　我國行政爭訟實務上之爭議</w:t>
      </w:r>
      <w:r>
        <w:rPr>
          <w:rFonts w:hint="eastAsia"/>
        </w:rPr>
        <w:tab/>
        <w:t>78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400" w:left="1440" w:rightChars="200" w:right="480" w:hangingChars="200" w:hanging="480"/>
        <w:jc w:val="both"/>
        <w:rPr>
          <w:rFonts w:hint="eastAsia"/>
        </w:rPr>
      </w:pPr>
      <w:r>
        <w:rPr>
          <w:rFonts w:hint="eastAsia"/>
        </w:rPr>
        <w:t>壹　爭議過程</w:t>
      </w:r>
      <w:r>
        <w:rPr>
          <w:rFonts w:hint="eastAsia"/>
        </w:rPr>
        <w:tab/>
        <w:t>78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600" w:left="1920" w:rightChars="200" w:right="480" w:hangingChars="200" w:hanging="480"/>
        <w:jc w:val="both"/>
        <w:rPr>
          <w:rFonts w:hint="eastAsia"/>
        </w:rPr>
      </w:pPr>
      <w:r>
        <w:rPr>
          <w:rFonts w:hint="eastAsia"/>
        </w:rPr>
        <w:t>一　行政法院審判實務</w:t>
      </w:r>
      <w:r>
        <w:rPr>
          <w:rFonts w:hint="eastAsia"/>
        </w:rPr>
        <w:tab/>
        <w:t>78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600" w:left="1920" w:rightChars="200" w:right="480" w:hangingChars="200" w:hanging="480"/>
        <w:jc w:val="both"/>
        <w:rPr>
          <w:rFonts w:hint="eastAsia"/>
        </w:rPr>
      </w:pPr>
      <w:r>
        <w:rPr>
          <w:rFonts w:hint="eastAsia"/>
        </w:rPr>
        <w:t>二　保訓會復審實務</w:t>
      </w:r>
      <w:r>
        <w:rPr>
          <w:rFonts w:hint="eastAsia"/>
        </w:rPr>
        <w:tab/>
        <w:t>86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400" w:left="1440" w:rightChars="200" w:right="480" w:hangingChars="200" w:hanging="480"/>
        <w:jc w:val="both"/>
        <w:rPr>
          <w:rFonts w:hint="eastAsia"/>
        </w:rPr>
      </w:pPr>
      <w:r>
        <w:rPr>
          <w:rFonts w:hint="eastAsia"/>
        </w:rPr>
        <w:t>貳　爭議點整理</w:t>
      </w:r>
      <w:r>
        <w:rPr>
          <w:rFonts w:hint="eastAsia"/>
        </w:rPr>
        <w:tab/>
        <w:t>87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200" w:left="1440" w:rightChars="200" w:right="480" w:hangingChars="400" w:hanging="960"/>
        <w:jc w:val="both"/>
        <w:rPr>
          <w:rFonts w:hint="eastAsia"/>
        </w:rPr>
      </w:pPr>
      <w:r>
        <w:rPr>
          <w:rFonts w:hint="eastAsia"/>
        </w:rPr>
        <w:t>第二節　各種行使之方式</w:t>
      </w:r>
      <w:r>
        <w:rPr>
          <w:rFonts w:hint="eastAsia"/>
        </w:rPr>
        <w:tab/>
        <w:t>88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400" w:left="1440" w:rightChars="200" w:right="480" w:hangingChars="200" w:hanging="480"/>
        <w:jc w:val="both"/>
        <w:rPr>
          <w:rFonts w:hint="eastAsia"/>
        </w:rPr>
      </w:pPr>
      <w:r>
        <w:rPr>
          <w:rFonts w:hint="eastAsia"/>
        </w:rPr>
        <w:t>壹　行政處分（給付裁決）</w:t>
      </w:r>
      <w:r>
        <w:rPr>
          <w:rFonts w:hint="eastAsia"/>
        </w:rPr>
        <w:tab/>
        <w:t>88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600" w:left="1920" w:rightChars="200" w:right="480" w:hangingChars="200" w:hanging="480"/>
        <w:jc w:val="both"/>
        <w:rPr>
          <w:rFonts w:hint="eastAsia"/>
        </w:rPr>
      </w:pPr>
      <w:r>
        <w:rPr>
          <w:rFonts w:hint="eastAsia"/>
        </w:rPr>
        <w:t>一　反面理論</w:t>
      </w:r>
      <w:r>
        <w:rPr>
          <w:rFonts w:hint="eastAsia"/>
        </w:rPr>
        <w:tab/>
        <w:t>88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600" w:left="1920" w:rightChars="200" w:right="480" w:hangingChars="200" w:hanging="480"/>
        <w:jc w:val="both"/>
        <w:rPr>
          <w:rFonts w:hint="eastAsia"/>
        </w:rPr>
      </w:pPr>
      <w:r>
        <w:rPr>
          <w:rFonts w:hint="eastAsia"/>
        </w:rPr>
        <w:t>二　隸屬關係說</w:t>
      </w:r>
      <w:r>
        <w:rPr>
          <w:rFonts w:hint="eastAsia"/>
        </w:rPr>
        <w:tab/>
        <w:t>9</w:t>
      </w:r>
      <w:r>
        <w:rPr>
          <w:rFonts w:hint="eastAsia"/>
        </w:rPr>
        <w:t>0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400" w:left="1440" w:rightChars="200" w:right="480" w:hangingChars="200" w:hanging="480"/>
        <w:jc w:val="both"/>
        <w:rPr>
          <w:rFonts w:hint="eastAsia"/>
        </w:rPr>
      </w:pPr>
      <w:r>
        <w:rPr>
          <w:rFonts w:hint="eastAsia"/>
        </w:rPr>
        <w:t>貳　一般給付訴訟</w:t>
      </w:r>
      <w:r>
        <w:rPr>
          <w:rFonts w:hint="eastAsia"/>
        </w:rPr>
        <w:tab/>
        <w:t>93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400" w:left="1440" w:rightChars="200" w:right="480" w:hangingChars="200" w:hanging="480"/>
        <w:jc w:val="both"/>
        <w:rPr>
          <w:rFonts w:hint="eastAsia"/>
        </w:rPr>
      </w:pPr>
      <w:r>
        <w:rPr>
          <w:rFonts w:hint="eastAsia"/>
        </w:rPr>
        <w:t>參　公法上之抵銷</w:t>
      </w:r>
      <w:r>
        <w:rPr>
          <w:rFonts w:hint="eastAsia"/>
        </w:rPr>
        <w:tab/>
        <w:t>93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rightChars="200" w:right="480"/>
        <w:jc w:val="both"/>
        <w:rPr>
          <w:rFonts w:hint="eastAsia"/>
        </w:rPr>
      </w:pPr>
      <w:r>
        <w:rPr>
          <w:rFonts w:hint="eastAsia"/>
        </w:rPr>
        <w:t>第五章　結論</w:t>
      </w:r>
      <w:r>
        <w:rPr>
          <w:rFonts w:hint="eastAsia"/>
        </w:rPr>
        <w:tab/>
        <w:t>95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200" w:left="1440" w:rightChars="200" w:right="480" w:hangingChars="400" w:hanging="960"/>
        <w:jc w:val="both"/>
        <w:rPr>
          <w:rFonts w:hint="eastAsia"/>
        </w:rPr>
      </w:pPr>
      <w:r>
        <w:rPr>
          <w:rFonts w:hint="eastAsia"/>
        </w:rPr>
        <w:t>第一節　研究結果總整理</w:t>
      </w:r>
      <w:r>
        <w:rPr>
          <w:rFonts w:hint="eastAsia"/>
        </w:rPr>
        <w:tab/>
        <w:t>95</w:t>
      </w:r>
    </w:p>
    <w:p w:rsidR="00000000" w:rsidRDefault="00EE3DD5">
      <w:pPr>
        <w:widowControl/>
        <w:tabs>
          <w:tab w:val="right" w:leader="dot" w:pos="8280"/>
        </w:tabs>
        <w:spacing w:afterLines="50" w:after="180" w:line="288" w:lineRule="auto"/>
        <w:ind w:leftChars="200" w:left="1440" w:rightChars="200" w:right="480" w:hangingChars="400" w:hanging="960"/>
        <w:jc w:val="both"/>
        <w:rPr>
          <w:rFonts w:hint="eastAsia"/>
        </w:rPr>
      </w:pPr>
      <w:r>
        <w:rPr>
          <w:rFonts w:hint="eastAsia"/>
        </w:rPr>
        <w:t>第二節　立法政策上之建議</w:t>
      </w:r>
      <w:r>
        <w:rPr>
          <w:rFonts w:hint="eastAsia"/>
        </w:rPr>
        <w:tab/>
        <w:t>103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jc w:val="both"/>
        <w:rPr>
          <w:rFonts w:hint="eastAsia"/>
        </w:rPr>
      </w:pPr>
      <w:r>
        <w:rPr>
          <w:rFonts w:hint="eastAsia"/>
        </w:rPr>
        <w:t>附錄</w:t>
      </w:r>
      <w:r>
        <w:rPr>
          <w:rFonts w:hint="eastAsia"/>
        </w:rPr>
        <w:tab/>
        <w:t>106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200" w:left="960" w:hangingChars="200" w:hanging="480"/>
        <w:jc w:val="both"/>
        <w:rPr>
          <w:rFonts w:hint="eastAsia"/>
        </w:rPr>
      </w:pPr>
      <w:r>
        <w:rPr>
          <w:rFonts w:hint="eastAsia"/>
        </w:rPr>
        <w:t>壹、參考文獻</w:t>
      </w:r>
      <w:r>
        <w:rPr>
          <w:rFonts w:hint="eastAsia"/>
        </w:rPr>
        <w:tab/>
        <w:t>106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200" w:left="960" w:hangingChars="200" w:hanging="480"/>
        <w:jc w:val="both"/>
        <w:rPr>
          <w:rFonts w:hint="eastAsia"/>
        </w:rPr>
      </w:pPr>
      <w:r>
        <w:rPr>
          <w:rFonts w:hint="eastAsia"/>
        </w:rPr>
        <w:t>貳、我國與德國法制主要參考條文</w:t>
      </w:r>
      <w:r>
        <w:rPr>
          <w:rFonts w:hint="eastAsia"/>
        </w:rPr>
        <w:tab/>
        <w:t>111</w:t>
      </w:r>
    </w:p>
    <w:p w:rsidR="00000000" w:rsidRDefault="00EE3DD5">
      <w:pPr>
        <w:widowControl/>
        <w:tabs>
          <w:tab w:val="right" w:leader="dot" w:pos="8280"/>
        </w:tabs>
        <w:spacing w:line="288" w:lineRule="auto"/>
        <w:ind w:leftChars="200" w:left="960" w:hangingChars="200" w:hanging="480"/>
        <w:jc w:val="both"/>
        <w:rPr>
          <w:rFonts w:hint="eastAsia"/>
        </w:rPr>
      </w:pPr>
      <w:r>
        <w:rPr>
          <w:rFonts w:hint="eastAsia"/>
        </w:rPr>
        <w:t>參、重要實務見解</w:t>
      </w:r>
      <w:r>
        <w:rPr>
          <w:rFonts w:hint="eastAsia"/>
        </w:rPr>
        <w:tab/>
        <w:t>142</w:t>
      </w:r>
    </w:p>
    <w:p w:rsidR="00EE3DD5" w:rsidRDefault="00EE3DD5">
      <w:pPr>
        <w:widowControl/>
        <w:tabs>
          <w:tab w:val="right" w:leader="dot" w:pos="8280"/>
        </w:tabs>
        <w:spacing w:line="288" w:lineRule="auto"/>
        <w:ind w:leftChars="200" w:left="960" w:hangingChars="200" w:hanging="480"/>
        <w:jc w:val="both"/>
        <w:rPr>
          <w:rFonts w:hint="eastAsia"/>
        </w:rPr>
      </w:pPr>
      <w:r>
        <w:rPr>
          <w:rFonts w:hint="eastAsia"/>
        </w:rPr>
        <w:t>肆、公務人員受領金錢給付一覽表</w:t>
      </w:r>
      <w:r>
        <w:rPr>
          <w:rFonts w:hint="eastAsia"/>
        </w:rPr>
        <w:tab/>
        <w:t>185</w:t>
      </w:r>
    </w:p>
    <w:sectPr w:rsidR="00EE3DD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DD5" w:rsidRDefault="00EE3DD5">
      <w:r>
        <w:separator/>
      </w:r>
    </w:p>
  </w:endnote>
  <w:endnote w:type="continuationSeparator" w:id="0">
    <w:p w:rsidR="00EE3DD5" w:rsidRDefault="00EE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E3D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EE3D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E3D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2482">
      <w:rPr>
        <w:rStyle w:val="a6"/>
        <w:noProof/>
      </w:rPr>
      <w:t>1</w:t>
    </w:r>
    <w:r>
      <w:rPr>
        <w:rStyle w:val="a6"/>
      </w:rPr>
      <w:fldChar w:fldCharType="end"/>
    </w:r>
  </w:p>
  <w:p w:rsidR="00000000" w:rsidRDefault="00EE3D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DD5" w:rsidRDefault="00EE3DD5">
      <w:r>
        <w:separator/>
      </w:r>
    </w:p>
  </w:footnote>
  <w:footnote w:type="continuationSeparator" w:id="0">
    <w:p w:rsidR="00EE3DD5" w:rsidRDefault="00EE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4886"/>
    <w:multiLevelType w:val="hybridMultilevel"/>
    <w:tmpl w:val="EF7E7F0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19490B"/>
    <w:multiLevelType w:val="multilevel"/>
    <w:tmpl w:val="0A5229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B054F8"/>
    <w:multiLevelType w:val="hybridMultilevel"/>
    <w:tmpl w:val="0BD8B79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6055B4"/>
    <w:multiLevelType w:val="hybridMultilevel"/>
    <w:tmpl w:val="A0464CC8"/>
    <w:lvl w:ilvl="0" w:tplc="BA34EF9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新細明體" w:eastAsia="新細明體" w:hAnsi="Times New Roman" w:cs="Times New Roman" w:hint="eastAsia"/>
      </w:rPr>
    </w:lvl>
    <w:lvl w:ilvl="1" w:tplc="CF38269C">
      <w:start w:val="1"/>
      <w:numFmt w:val="decimal"/>
      <w:lvlText w:val="（%2）"/>
      <w:lvlJc w:val="left"/>
      <w:pPr>
        <w:tabs>
          <w:tab w:val="num" w:pos="510"/>
        </w:tabs>
        <w:ind w:left="680" w:hanging="5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D5B54BE"/>
    <w:multiLevelType w:val="hybridMultilevel"/>
    <w:tmpl w:val="78C6C8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E71F4A"/>
    <w:multiLevelType w:val="hybridMultilevel"/>
    <w:tmpl w:val="0A5229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58E3600"/>
    <w:multiLevelType w:val="multilevel"/>
    <w:tmpl w:val="5C267EF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103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AC0C17"/>
    <w:multiLevelType w:val="multilevel"/>
    <w:tmpl w:val="547A24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新細明體" w:eastAsia="新細明體" w:hAnsi="Times New Roman" w:cs="Times New Roman" w:hint="eastAsia"/>
      </w:rPr>
    </w:lvl>
    <w:lvl w:ilvl="1">
      <w:start w:val="1"/>
      <w:numFmt w:val="decimal"/>
      <w:lvlText w:val="（%2）"/>
      <w:lvlJc w:val="left"/>
      <w:pPr>
        <w:tabs>
          <w:tab w:val="num" w:pos="567"/>
        </w:tabs>
        <w:ind w:left="851" w:hanging="567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81D01FF"/>
    <w:multiLevelType w:val="hybridMultilevel"/>
    <w:tmpl w:val="6A3886BE"/>
    <w:lvl w:ilvl="0" w:tplc="F5685F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148C36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A8C59FE"/>
    <w:multiLevelType w:val="multilevel"/>
    <w:tmpl w:val="1DE8C922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F0431E1"/>
    <w:multiLevelType w:val="hybridMultilevel"/>
    <w:tmpl w:val="2B28EEC4"/>
    <w:lvl w:ilvl="0" w:tplc="706076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5E102D6"/>
    <w:multiLevelType w:val="multilevel"/>
    <w:tmpl w:val="104CA9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（%2）"/>
      <w:lvlJc w:val="left"/>
      <w:pPr>
        <w:tabs>
          <w:tab w:val="num" w:pos="567"/>
        </w:tabs>
        <w:ind w:left="975" w:hanging="691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64C1AA6"/>
    <w:multiLevelType w:val="multilevel"/>
    <w:tmpl w:val="67D27D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（%2）"/>
      <w:lvlJc w:val="left"/>
      <w:pPr>
        <w:tabs>
          <w:tab w:val="num" w:pos="567"/>
        </w:tabs>
        <w:ind w:left="1004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129478E"/>
    <w:multiLevelType w:val="multilevel"/>
    <w:tmpl w:val="EAE6FCA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新細明體" w:eastAsia="新細明體" w:hAnsi="Times New Roman" w:cs="Times New Roman" w:hint="eastAsia"/>
      </w:rPr>
    </w:lvl>
    <w:lvl w:ilvl="1">
      <w:start w:val="1"/>
      <w:numFmt w:val="decimal"/>
      <w:lvlText w:val="（%2）"/>
      <w:lvlJc w:val="left"/>
      <w:pPr>
        <w:tabs>
          <w:tab w:val="num" w:pos="284"/>
        </w:tabs>
        <w:ind w:left="567" w:hanging="397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21F408A"/>
    <w:multiLevelType w:val="multilevel"/>
    <w:tmpl w:val="9A1228D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38D1997"/>
    <w:multiLevelType w:val="multilevel"/>
    <w:tmpl w:val="1D966DE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新細明體" w:eastAsia="新細明體" w:hAnsi="Times New Roman" w:cs="Times New Roman" w:hint="eastAsia"/>
      </w:rPr>
    </w:lvl>
    <w:lvl w:ilvl="1">
      <w:start w:val="1"/>
      <w:numFmt w:val="decimal"/>
      <w:lvlText w:val="（%2）"/>
      <w:lvlJc w:val="left"/>
      <w:pPr>
        <w:tabs>
          <w:tab w:val="num" w:pos="454"/>
        </w:tabs>
        <w:ind w:left="567" w:hanging="397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9D04057"/>
    <w:multiLevelType w:val="multilevel"/>
    <w:tmpl w:val="B932210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（%2）"/>
      <w:lvlJc w:val="left"/>
      <w:pPr>
        <w:tabs>
          <w:tab w:val="num" w:pos="567"/>
        </w:tabs>
        <w:ind w:left="987" w:hanging="70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9F83554"/>
    <w:multiLevelType w:val="multilevel"/>
    <w:tmpl w:val="EA98559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（%2）"/>
      <w:lvlJc w:val="left"/>
      <w:pPr>
        <w:tabs>
          <w:tab w:val="num" w:pos="567"/>
        </w:tabs>
        <w:ind w:left="964" w:hanging="6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A3853AD"/>
    <w:multiLevelType w:val="hybridMultilevel"/>
    <w:tmpl w:val="CDBC45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08F10D1"/>
    <w:multiLevelType w:val="hybridMultilevel"/>
    <w:tmpl w:val="CB3400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BB96E98"/>
    <w:multiLevelType w:val="hybridMultilevel"/>
    <w:tmpl w:val="1DE8C92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C6B078B"/>
    <w:multiLevelType w:val="multilevel"/>
    <w:tmpl w:val="ECE6CA3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新細明體" w:eastAsia="新細明體" w:hAnsi="Times New Roman" w:cs="Times New Roman" w:hint="eastAsia"/>
      </w:rPr>
    </w:lvl>
    <w:lvl w:ilvl="1">
      <w:start w:val="1"/>
      <w:numFmt w:val="decimal"/>
      <w:lvlText w:val="（%2）"/>
      <w:lvlJc w:val="left"/>
      <w:pPr>
        <w:tabs>
          <w:tab w:val="num" w:pos="397"/>
        </w:tabs>
        <w:ind w:left="567" w:hanging="397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C787DF6"/>
    <w:multiLevelType w:val="hybridMultilevel"/>
    <w:tmpl w:val="3200A71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D5657E7"/>
    <w:multiLevelType w:val="hybridMultilevel"/>
    <w:tmpl w:val="EC9A514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E5D3BB5"/>
    <w:multiLevelType w:val="multilevel"/>
    <w:tmpl w:val="0BEEF1C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（%2）"/>
      <w:lvlJc w:val="left"/>
      <w:pPr>
        <w:tabs>
          <w:tab w:val="num" w:pos="567"/>
        </w:tabs>
        <w:ind w:left="998" w:hanging="71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49675DB"/>
    <w:multiLevelType w:val="multilevel"/>
    <w:tmpl w:val="C0BEAE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Times New Roman" w:cs="Times New Roman"/>
      </w:rPr>
    </w:lvl>
    <w:lvl w:ilvl="1">
      <w:start w:val="1"/>
      <w:numFmt w:val="decimal"/>
      <w:lvlText w:val="（%2）"/>
      <w:lvlJc w:val="left"/>
      <w:pPr>
        <w:tabs>
          <w:tab w:val="num" w:pos="567"/>
        </w:tabs>
        <w:ind w:left="964" w:hanging="6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8AC26E7"/>
    <w:multiLevelType w:val="multilevel"/>
    <w:tmpl w:val="59B8467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新細明體" w:eastAsia="新細明體" w:hAnsi="Times New Roman" w:cs="Times New Roman" w:hint="eastAsia"/>
      </w:rPr>
    </w:lvl>
    <w:lvl w:ilvl="1">
      <w:start w:val="1"/>
      <w:numFmt w:val="decimal"/>
      <w:lvlText w:val="（%2）"/>
      <w:lvlJc w:val="left"/>
      <w:pPr>
        <w:tabs>
          <w:tab w:val="num" w:pos="763"/>
        </w:tabs>
        <w:ind w:left="1160" w:hanging="6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99107B3"/>
    <w:multiLevelType w:val="hybridMultilevel"/>
    <w:tmpl w:val="C0BEAE18"/>
    <w:lvl w:ilvl="0" w:tplc="7996EF8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Times New Roman" w:cs="Times New Roman"/>
      </w:rPr>
    </w:lvl>
    <w:lvl w:ilvl="1" w:tplc="00D07F84">
      <w:start w:val="1"/>
      <w:numFmt w:val="decimal"/>
      <w:lvlText w:val="（%2）"/>
      <w:lvlJc w:val="left"/>
      <w:pPr>
        <w:tabs>
          <w:tab w:val="num" w:pos="567"/>
        </w:tabs>
        <w:ind w:left="964" w:hanging="6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A375CE4"/>
    <w:multiLevelType w:val="hybridMultilevel"/>
    <w:tmpl w:val="9BE2C148"/>
    <w:lvl w:ilvl="0" w:tplc="F70E937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A9A33FA"/>
    <w:multiLevelType w:val="multilevel"/>
    <w:tmpl w:val="B2C2360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（%2）"/>
      <w:lvlJc w:val="left"/>
      <w:pPr>
        <w:tabs>
          <w:tab w:val="num" w:pos="567"/>
        </w:tabs>
        <w:ind w:left="567" w:hanging="28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8"/>
  </w:num>
  <w:num w:numId="2">
    <w:abstractNumId w:val="10"/>
  </w:num>
  <w:num w:numId="3">
    <w:abstractNumId w:val="20"/>
  </w:num>
  <w:num w:numId="4">
    <w:abstractNumId w:val="9"/>
  </w:num>
  <w:num w:numId="5">
    <w:abstractNumId w:val="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0"/>
  </w:num>
  <w:num w:numId="11">
    <w:abstractNumId w:val="19"/>
  </w:num>
  <w:num w:numId="12">
    <w:abstractNumId w:val="4"/>
  </w:num>
  <w:num w:numId="13">
    <w:abstractNumId w:val="8"/>
  </w:num>
  <w:num w:numId="14">
    <w:abstractNumId w:val="27"/>
  </w:num>
  <w:num w:numId="15">
    <w:abstractNumId w:val="14"/>
  </w:num>
  <w:num w:numId="16">
    <w:abstractNumId w:val="6"/>
  </w:num>
  <w:num w:numId="17">
    <w:abstractNumId w:val="29"/>
  </w:num>
  <w:num w:numId="18">
    <w:abstractNumId w:val="12"/>
  </w:num>
  <w:num w:numId="19">
    <w:abstractNumId w:val="24"/>
  </w:num>
  <w:num w:numId="20">
    <w:abstractNumId w:val="16"/>
  </w:num>
  <w:num w:numId="21">
    <w:abstractNumId w:val="11"/>
  </w:num>
  <w:num w:numId="22">
    <w:abstractNumId w:val="17"/>
  </w:num>
  <w:num w:numId="23">
    <w:abstractNumId w:val="25"/>
  </w:num>
  <w:num w:numId="24">
    <w:abstractNumId w:val="3"/>
  </w:num>
  <w:num w:numId="25">
    <w:abstractNumId w:val="26"/>
  </w:num>
  <w:num w:numId="26">
    <w:abstractNumId w:val="7"/>
  </w:num>
  <w:num w:numId="27">
    <w:abstractNumId w:val="21"/>
  </w:num>
  <w:num w:numId="28">
    <w:abstractNumId w:val="15"/>
  </w:num>
  <w:num w:numId="29">
    <w:abstractNumId w:val="1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hyphenationZone w:val="3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82"/>
    <w:rsid w:val="00EE3DD5"/>
    <w:rsid w:val="00F8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1AD93-FB39-4C77-9B38-8A02AF7D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ind w:leftChars="1800" w:left="100"/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Strong"/>
    <w:basedOn w:val="a0"/>
    <w:qFormat/>
    <w:rPr>
      <w:b/>
      <w:bCs/>
    </w:rPr>
  </w:style>
  <w:style w:type="character" w:styleId="a9">
    <w:name w:val="footnote reference"/>
    <w:basedOn w:val="a0"/>
    <w:semiHidden/>
    <w:rPr>
      <w:vertAlign w:val="superscript"/>
    </w:rPr>
  </w:style>
  <w:style w:type="paragraph" w:customStyle="1" w:styleId="proportionalschrift">
    <w:name w:val="proportionalschrift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a">
    <w:name w:val="footnote text"/>
    <w:basedOn w:val="a"/>
    <w:semiHidden/>
    <w:pPr>
      <w:widowControl/>
      <w:snapToGrid w:val="0"/>
      <w:spacing w:afterLines="50" w:after="50" w:line="288" w:lineRule="auto"/>
      <w:jc w:val="both"/>
    </w:pPr>
    <w:rPr>
      <w:sz w:val="20"/>
      <w:szCs w:val="2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" w:hAnsi="Arial" w:cs="Arial"/>
      <w:kern w:val="0"/>
    </w:rPr>
  </w:style>
  <w:style w:type="paragraph" w:styleId="ab">
    <w:name w:val="Body Text Indent"/>
    <w:basedOn w:val="a"/>
    <w:semiHidden/>
    <w:pPr>
      <w:widowControl/>
      <w:spacing w:afterLines="50" w:after="180" w:line="288" w:lineRule="auto"/>
      <w:ind w:firstLineChars="200" w:firstLine="480"/>
      <w:jc w:val="both"/>
    </w:pPr>
    <w:rPr>
      <w:rFonts w:hAnsi="新細明體"/>
    </w:rPr>
  </w:style>
  <w:style w:type="paragraph" w:styleId="ac">
    <w:name w:val="Date"/>
    <w:basedOn w:val="a"/>
    <w:next w:val="a"/>
    <w:semiHidden/>
    <w:pPr>
      <w:jc w:val="right"/>
    </w:pPr>
  </w:style>
  <w:style w:type="character" w:customStyle="1" w:styleId="stext1">
    <w:name w:val="stext1"/>
    <w:basedOn w:val="a0"/>
    <w:rPr>
      <w:sz w:val="19"/>
      <w:szCs w:val="19"/>
    </w:rPr>
  </w:style>
  <w:style w:type="paragraph" w:styleId="2">
    <w:name w:val="Body Text Indent 2"/>
    <w:basedOn w:val="a"/>
    <w:semiHidden/>
    <w:pPr>
      <w:widowControl/>
      <w:spacing w:line="288" w:lineRule="auto"/>
      <w:ind w:leftChars="400" w:left="2160" w:hangingChars="500" w:hanging="12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次</dc:title>
  <dc:subject/>
  <dc:creator>Achim</dc:creator>
  <cp:keywords/>
  <dc:description/>
  <cp:lastModifiedBy>卓卿雲</cp:lastModifiedBy>
  <cp:revision>2</cp:revision>
  <cp:lastPrinted>2006-04-26T01:27:00Z</cp:lastPrinted>
  <dcterms:created xsi:type="dcterms:W3CDTF">2021-09-22T10:48:00Z</dcterms:created>
  <dcterms:modified xsi:type="dcterms:W3CDTF">2021-09-22T10:48:00Z</dcterms:modified>
</cp:coreProperties>
</file>