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347A9">
      <w:pPr>
        <w:widowControl/>
        <w:spacing w:beforeLines="400" w:before="1440" w:afterLines="50" w:after="180" w:line="288" w:lineRule="auto"/>
        <w:jc w:val="center"/>
        <w:rPr>
          <w:rFonts w:hint="eastAsia"/>
          <w:b/>
          <w:bCs/>
          <w:sz w:val="48"/>
          <w:szCs w:val="48"/>
        </w:rPr>
      </w:pPr>
      <w:bookmarkStart w:id="0" w:name="_GoBack"/>
      <w:bookmarkEnd w:id="0"/>
      <w:r>
        <w:rPr>
          <w:rFonts w:hint="eastAsia"/>
          <w:b/>
          <w:sz w:val="48"/>
          <w:szCs w:val="48"/>
        </w:rPr>
        <w:t>第一章</w:t>
      </w:r>
      <w:r>
        <w:rPr>
          <w:rFonts w:hAnsi="新細明體" w:hint="eastAsia"/>
          <w:b/>
          <w:bCs/>
          <w:sz w:val="48"/>
          <w:szCs w:val="48"/>
        </w:rPr>
        <w:t xml:space="preserve">　緒論</w:t>
      </w:r>
    </w:p>
    <w:p w:rsidR="00000000" w:rsidRDefault="007347A9">
      <w:pPr>
        <w:widowControl/>
        <w:spacing w:afterLines="50" w:after="180" w:line="288" w:lineRule="auto"/>
        <w:jc w:val="both"/>
        <w:rPr>
          <w:rFonts w:hAnsi="新細明體" w:hint="eastAsia"/>
          <w:b/>
          <w:bCs/>
          <w:sz w:val="40"/>
          <w:szCs w:val="40"/>
        </w:rPr>
      </w:pPr>
    </w:p>
    <w:p w:rsidR="00000000" w:rsidRDefault="007347A9">
      <w:pPr>
        <w:widowControl/>
        <w:spacing w:afterLines="50" w:after="180" w:line="288" w:lineRule="auto"/>
        <w:ind w:left="1441" w:hangingChars="400" w:hanging="1441"/>
        <w:jc w:val="both"/>
        <w:rPr>
          <w:rFonts w:hint="eastAsia"/>
          <w:b/>
          <w:bCs/>
          <w:sz w:val="36"/>
          <w:szCs w:val="36"/>
        </w:rPr>
      </w:pPr>
      <w:r>
        <w:rPr>
          <w:rFonts w:hAnsi="新細明體" w:hint="eastAsia"/>
          <w:b/>
          <w:bCs/>
          <w:sz w:val="36"/>
          <w:szCs w:val="36"/>
        </w:rPr>
        <w:t>第一節　研究背景</w:t>
      </w:r>
    </w:p>
    <w:p w:rsidR="00000000" w:rsidRDefault="007347A9">
      <w:pPr>
        <w:widowControl/>
        <w:spacing w:afterLines="50" w:after="180" w:line="288" w:lineRule="auto"/>
        <w:ind w:firstLineChars="200" w:firstLine="480"/>
        <w:jc w:val="both"/>
        <w:rPr>
          <w:rFonts w:hint="eastAsia"/>
        </w:rPr>
      </w:pPr>
      <w:r>
        <w:rPr>
          <w:rFonts w:hint="eastAsia"/>
        </w:rPr>
        <w:t>近年來我國行政法學界，由於行政程序、行政執行、行政爭訟等諸多法制的逐漸革新與確立，無論學說與實務，均有長足的進步；而在公務人員法制的領域中，自從所謂「特別權力關係（</w:t>
      </w:r>
      <w:r>
        <w:rPr>
          <w:rFonts w:hint="eastAsia"/>
        </w:rPr>
        <w:t>besonderes Gewaltverh</w:t>
      </w:r>
      <w:r>
        <w:t>ä</w:t>
      </w:r>
      <w:r>
        <w:rPr>
          <w:rFonts w:hint="eastAsia"/>
        </w:rPr>
        <w:t>ltnis</w:t>
      </w:r>
      <w:r>
        <w:rPr>
          <w:rFonts w:hint="eastAsia"/>
        </w:rPr>
        <w:t>）」的理論突破後</w:t>
      </w:r>
      <w:r>
        <w:rPr>
          <w:rStyle w:val="a9"/>
        </w:rPr>
        <w:footnoteReference w:id="1"/>
      </w:r>
      <w:r>
        <w:rPr>
          <w:rFonts w:hint="eastAsia"/>
        </w:rPr>
        <w:t>，更由於公務人員保障法等之制定、修正，乃至公務人員保障暨培訓委員會（以下依公務人員保障法第四條第二項，簡稱「保訓會」）之設置，相關法學的研究與發展，尤其不能與曩昔同日而語。不過也正因為人民權利意識的普遍覺醒，以及保訓會、行政法院，乃至大法官釋</w:t>
      </w:r>
      <w:r>
        <w:rPr>
          <w:rFonts w:hint="eastAsia"/>
        </w:rPr>
        <w:t>憲實務的逐步更新，若干從前所不存在的法律問題，在公務員法領域中不斷浮現，非但困擾了實務，甚至也成為，或將成為學者競相研究的新課題。其中，行政機關得否，並如何向公務人員請求返還不當受領的薪俸或其他具有財產價值之照護給付，或可稱為適例。</w:t>
      </w:r>
    </w:p>
    <w:p w:rsidR="00000000" w:rsidRDefault="007347A9">
      <w:pPr>
        <w:widowControl/>
        <w:spacing w:afterLines="50" w:after="180" w:line="288" w:lineRule="auto"/>
        <w:ind w:firstLineChars="200" w:firstLine="480"/>
        <w:jc w:val="both"/>
        <w:rPr>
          <w:rFonts w:hint="eastAsia"/>
        </w:rPr>
      </w:pPr>
      <w:r>
        <w:rPr>
          <w:rFonts w:hint="eastAsia"/>
        </w:rPr>
        <w:t>在公務人員與國家所形成的公務員法律關係中，公務人員接受國家俸給及其他具有財產價值的照護，本是國家最主要的義務，也是公務人員最主要的權利（贍養原則；</w:t>
      </w:r>
      <w:r>
        <w:rPr>
          <w:rFonts w:hint="eastAsia"/>
        </w:rPr>
        <w:t>Alimentationsprinzip</w:t>
      </w:r>
      <w:r>
        <w:rPr>
          <w:rFonts w:hint="eastAsia"/>
        </w:rPr>
        <w:t>）</w:t>
      </w:r>
      <w:r>
        <w:rPr>
          <w:rStyle w:val="a9"/>
        </w:rPr>
        <w:footnoteReference w:id="2"/>
      </w:r>
      <w:r>
        <w:rPr>
          <w:rFonts w:hint="eastAsia"/>
        </w:rPr>
        <w:t>。然而，公務人員如無法律上之原因或法律上之原因溯及消滅而受領薪俸或其他具有財產價值之照護</w:t>
      </w:r>
      <w:r>
        <w:rPr>
          <w:rFonts w:hint="eastAsia"/>
        </w:rPr>
        <w:t>給付時，代表國家或其他行政主體之行政機關得否，並如何請求公務人員返還</w:t>
      </w:r>
      <w:r>
        <w:t>該受領之</w:t>
      </w:r>
      <w:r>
        <w:rPr>
          <w:rFonts w:hint="eastAsia"/>
        </w:rPr>
        <w:t>金額或其他財產上給付，則將成為問題。關於這個問題點，在我國現行的法律中並無明文規定；因此</w:t>
      </w:r>
      <w:r>
        <w:rPr>
          <w:rFonts w:hint="eastAsia"/>
        </w:rPr>
        <w:lastRenderedPageBreak/>
        <w:t>相關之爭議如何解決，即屬疑義。我國目前的行政實務，事實上也遭遇到是類的問題；在保訓會所審議決定的（再）</w:t>
      </w:r>
      <w:r>
        <w:rPr>
          <w:rStyle w:val="a9"/>
        </w:rPr>
        <w:footnoteReference w:id="3"/>
      </w:r>
      <w:r>
        <w:rPr>
          <w:rFonts w:hint="eastAsia"/>
        </w:rPr>
        <w:t>復審案件中，相關爭議即層出不窮。</w:t>
      </w:r>
    </w:p>
    <w:p w:rsidR="00000000" w:rsidRDefault="007347A9">
      <w:pPr>
        <w:widowControl/>
        <w:spacing w:line="288" w:lineRule="auto"/>
        <w:ind w:firstLineChars="200" w:firstLine="480"/>
        <w:jc w:val="both"/>
        <w:rPr>
          <w:rFonts w:hint="eastAsia"/>
        </w:rPr>
      </w:pPr>
      <w:r>
        <w:rPr>
          <w:rFonts w:hint="eastAsia"/>
        </w:rPr>
        <w:t>法學研究的工作，其目的之一，在於協助實務解決爭議的問題。如今行政機關得否，並如何向公務人員請求返還不當受領的薪俸或其他具有財產價值之照護給付，既已在實務上逐漸凸顯出問題的重要性，而非單純學術領域內的紙上談兵，則</w:t>
      </w:r>
      <w:r>
        <w:rPr>
          <w:rFonts w:hint="eastAsia"/>
        </w:rPr>
        <w:t>本研究基於前開法學研究的目的，即擬以行政機關得否，並如何向公務人員請求返還不當受領的薪俸或其他具有財產價值之照護給付為研究主題，詳細探討相關的法律問題，冀能提供實務界處理爭議時參考，並進而為將來相關法制之建立，借箸代籌，作若干立法政策上的興革建議。</w:t>
      </w:r>
    </w:p>
    <w:p w:rsidR="00000000" w:rsidRDefault="007347A9">
      <w:pPr>
        <w:widowControl/>
        <w:spacing w:line="288" w:lineRule="auto"/>
        <w:ind w:firstLineChars="200" w:firstLine="480"/>
        <w:jc w:val="both"/>
        <w:rPr>
          <w:rFonts w:hint="eastAsia"/>
        </w:rPr>
      </w:pPr>
    </w:p>
    <w:p w:rsidR="00000000" w:rsidRDefault="007347A9">
      <w:pPr>
        <w:widowControl/>
        <w:spacing w:line="288" w:lineRule="auto"/>
        <w:ind w:firstLineChars="200" w:firstLine="480"/>
        <w:jc w:val="both"/>
        <w:rPr>
          <w:rFonts w:hint="eastAsia"/>
        </w:rPr>
      </w:pPr>
    </w:p>
    <w:p w:rsidR="00000000" w:rsidRDefault="007347A9">
      <w:pPr>
        <w:widowControl/>
        <w:spacing w:line="288" w:lineRule="auto"/>
        <w:ind w:firstLineChars="200" w:firstLine="480"/>
        <w:jc w:val="both"/>
        <w:rPr>
          <w:rFonts w:hint="eastAsia"/>
        </w:rPr>
      </w:pPr>
    </w:p>
    <w:p w:rsidR="00000000" w:rsidRDefault="007347A9">
      <w:pPr>
        <w:widowControl/>
        <w:spacing w:afterLines="50" w:after="180" w:line="288" w:lineRule="auto"/>
        <w:ind w:left="1441" w:hangingChars="400" w:hanging="1441"/>
        <w:jc w:val="both"/>
        <w:rPr>
          <w:rFonts w:hint="eastAsia"/>
          <w:b/>
          <w:bCs/>
          <w:sz w:val="36"/>
          <w:szCs w:val="36"/>
        </w:rPr>
      </w:pPr>
      <w:r>
        <w:rPr>
          <w:rFonts w:hAnsi="新細明體" w:hint="eastAsia"/>
          <w:b/>
          <w:bCs/>
          <w:sz w:val="36"/>
          <w:szCs w:val="36"/>
        </w:rPr>
        <w:t>第二節　研究範圍</w:t>
      </w:r>
    </w:p>
    <w:p w:rsidR="00000000" w:rsidRDefault="007347A9">
      <w:pPr>
        <w:widowControl/>
        <w:spacing w:afterLines="50" w:after="180" w:line="288" w:lineRule="auto"/>
        <w:ind w:firstLineChars="200" w:firstLine="480"/>
        <w:jc w:val="both"/>
        <w:rPr>
          <w:rFonts w:hint="eastAsia"/>
        </w:rPr>
      </w:pPr>
      <w:r>
        <w:rPr>
          <w:rFonts w:hint="eastAsia"/>
        </w:rPr>
        <w:t>本研究，如前所述，原以協助實務解決爭議為主要取向；因此在研究範圍的設定上，原則上亦以討論行政機關得否，並如何向公務人員請求返還不當受領之薪俸或其他具有財產價值之照護給付的議題，在實務上所遭遇的各種法律爭議為中心。不過，這些爭議究竟為何，在</w:t>
      </w:r>
      <w:r>
        <w:rPr>
          <w:rFonts w:hint="eastAsia"/>
        </w:rPr>
        <w:t>此顯有先予說明的必要。因為唯有如此，本研究的研究範圍，方能更進一步地加以具體確定。</w:t>
      </w:r>
    </w:p>
    <w:p w:rsidR="00000000" w:rsidRDefault="007347A9">
      <w:pPr>
        <w:widowControl/>
        <w:spacing w:afterLines="50" w:after="180" w:line="288" w:lineRule="auto"/>
        <w:ind w:firstLineChars="200" w:firstLine="480"/>
        <w:jc w:val="both"/>
        <w:rPr>
          <w:rFonts w:hint="eastAsia"/>
        </w:rPr>
      </w:pPr>
      <w:r>
        <w:rPr>
          <w:rFonts w:hint="eastAsia"/>
        </w:rPr>
        <w:t>查我國有關行政機關得否，並如何向公務人員請求返還不當受領之薪俸或其他具有財產價值之照護給付的實務，迄今仍以保訓會依公務人員保障法所為的（再）復審決定為主（例見：附錄　參、三及肆、備註欄）；而保訓會審議決定相關（再）復審事件時，則率以行政機關有無，並如何透過所謂「公法上不當得利返還請求權」的機制，向公務人員請求返還因無法律上之原因而受領的薪俸或其他具有財產價值之照護給付為處理相關案件的重心。從而有關行政機關得否，並如何向公務人</w:t>
      </w:r>
      <w:r>
        <w:rPr>
          <w:rFonts w:hint="eastAsia"/>
        </w:rPr>
        <w:t>員請求返還不當受領之薪俸或其他具有財產價值之照護給付的議題，在我國目前實務上，其實就是「公法上不當得利」制度的一種運用；換言之，公法上不當得利的構成要件如何、法律效果如何，及其如何正確地運用在行</w:t>
      </w:r>
      <w:r>
        <w:rPr>
          <w:rFonts w:hint="eastAsia"/>
        </w:rPr>
        <w:lastRenderedPageBreak/>
        <w:t>政機關得否，並如何向公務人員請求返還不當受領之薪俸或其他具有財產價值之照護給付的案件上，是為我國相關實務的主要爭議問題，同時也就是本研究之研究範圍的主軸。</w:t>
      </w:r>
    </w:p>
    <w:p w:rsidR="00000000" w:rsidRDefault="007347A9">
      <w:pPr>
        <w:widowControl/>
        <w:spacing w:afterLines="50" w:after="180" w:line="288" w:lineRule="auto"/>
        <w:ind w:firstLineChars="200" w:firstLine="480"/>
        <w:jc w:val="both"/>
        <w:rPr>
          <w:rFonts w:hint="eastAsia"/>
        </w:rPr>
      </w:pPr>
      <w:r>
        <w:rPr>
          <w:rFonts w:hint="eastAsia"/>
        </w:rPr>
        <w:t>此外，公務人員依法所受領的薪俸或其他具有財產價值之照護給付，在現行法中，不外乎以金錢為主（詳見：附錄　肆）；而此一金錢之給付，又因原則上為基於具有公法性質之公務員</w:t>
      </w:r>
      <w:r>
        <w:rPr>
          <w:rFonts w:hint="eastAsia"/>
        </w:rPr>
        <w:t>法律關係而來者，所以本身可以定性為「公法上金錢給付」之一種。因此，在本研究的研究範圍內，有關行政機關得否，並如何向公務人員請求返還不當受領之薪俸或其他具有財產價值之照護給付的問題，一方面將集中在公務人員受領金錢給付的部分進行討論；另一方面，則又鑑於該金錢給付的公法性質，相關問題也將簡稱為「公務人員公法上金錢給付之返還請求」，以免行文上措辭累贅。</w:t>
      </w:r>
    </w:p>
    <w:p w:rsidR="00000000" w:rsidRDefault="007347A9">
      <w:pPr>
        <w:widowControl/>
        <w:spacing w:afterLines="50" w:after="180" w:line="288" w:lineRule="auto"/>
        <w:ind w:firstLineChars="200" w:firstLine="480"/>
        <w:jc w:val="both"/>
        <w:rPr>
          <w:rFonts w:hint="eastAsia"/>
        </w:rPr>
      </w:pPr>
      <w:r>
        <w:rPr>
          <w:rFonts w:hint="eastAsia"/>
        </w:rPr>
        <w:t>又，有關「公務人員公法上金錢給付之返還請求」案件，據本研究初步蒐集資料所得，尚少成為我國行政法院體系的司法審判標的</w:t>
      </w:r>
      <w:r>
        <w:rPr>
          <w:rStyle w:val="a9"/>
        </w:rPr>
        <w:footnoteReference w:id="4"/>
      </w:r>
      <w:r>
        <w:rPr>
          <w:rFonts w:hint="eastAsia"/>
        </w:rPr>
        <w:t>；惟有關「公法上不當得利」的制度本身，則常在高等</w:t>
      </w:r>
      <w:r>
        <w:rPr>
          <w:rFonts w:hint="eastAsia"/>
        </w:rPr>
        <w:t>行政法院及最高行政法院所受理的案件中出現（例見：附錄　參、二）。從而，在本研究中，有關公法上不當得利在行政法院審判實務所衍生的相關問題，或多或少也將是研究範圍必須兼顧的重點。</w:t>
      </w:r>
    </w:p>
    <w:p w:rsidR="00000000" w:rsidRDefault="007347A9">
      <w:pPr>
        <w:widowControl/>
        <w:spacing w:afterLines="50" w:after="180" w:line="288" w:lineRule="auto"/>
        <w:ind w:firstLineChars="200" w:firstLine="480"/>
        <w:jc w:val="both"/>
        <w:rPr>
          <w:rFonts w:hint="eastAsia"/>
        </w:rPr>
      </w:pPr>
      <w:r>
        <w:rPr>
          <w:rFonts w:hint="eastAsia"/>
        </w:rPr>
        <w:t>總之，綜合上開所揭之各種實務，本研究的研究範圍主要將定位在以下各相關問題的研究討論上：</w:t>
      </w:r>
    </w:p>
    <w:p w:rsidR="00000000" w:rsidRDefault="007347A9">
      <w:pPr>
        <w:widowControl/>
        <w:numPr>
          <w:ilvl w:val="0"/>
          <w:numId w:val="5"/>
        </w:numPr>
        <w:spacing w:afterLines="50" w:after="180" w:line="288" w:lineRule="auto"/>
        <w:jc w:val="both"/>
        <w:rPr>
          <w:rFonts w:hint="eastAsia"/>
        </w:rPr>
      </w:pPr>
      <w:r>
        <w:rPr>
          <w:rFonts w:hint="eastAsia"/>
        </w:rPr>
        <w:t>我國公務人員的概念繁多</w:t>
      </w:r>
      <w:r>
        <w:rPr>
          <w:rStyle w:val="a9"/>
        </w:rPr>
        <w:footnoteReference w:id="5"/>
      </w:r>
      <w:r>
        <w:rPr>
          <w:rFonts w:hint="eastAsia"/>
        </w:rPr>
        <w:t>；即以公務人員保障法所定義得適用（同法第三條第一項）及準用（同法第一百零二條）該法規定，並進而成為保訓會案件審理之對象的公務人員類型為例，已難以計數。準此，是等公務人員保障法所定義的各種公務人員類型，在涉及不當受領薪俸或其他</w:t>
      </w:r>
      <w:r>
        <w:rPr>
          <w:rFonts w:hint="eastAsia"/>
        </w:rPr>
        <w:t>具有財產價值之照護給付時，是否均能適用</w:t>
      </w:r>
      <w:r>
        <w:rPr>
          <w:rFonts w:hAnsi="新細明體" w:hint="eastAsia"/>
        </w:rPr>
        <w:t>公法上不當得利的制度，請求返還？而在其能</w:t>
      </w:r>
      <w:r>
        <w:rPr>
          <w:rFonts w:hint="eastAsia"/>
        </w:rPr>
        <w:t>適用</w:t>
      </w:r>
      <w:r>
        <w:rPr>
          <w:rFonts w:hAnsi="新細明體" w:hint="eastAsia"/>
        </w:rPr>
        <w:t>公法上</w:t>
      </w:r>
      <w:r>
        <w:rPr>
          <w:rFonts w:ascii="新細明體" w:hAnsi="新細明體" w:hint="eastAsia"/>
        </w:rPr>
        <w:t>不</w:t>
      </w:r>
      <w:r>
        <w:rPr>
          <w:rFonts w:hAnsi="新細明體" w:hint="eastAsia"/>
        </w:rPr>
        <w:t>當得利之制度請求返還的範圍內，是否另有必要因公務人員類型之不同，再進一步加以適度的類型化，以確定適用不同的公法上不當得利之構成要件及法律效果，請求返還？</w:t>
      </w:r>
    </w:p>
    <w:p w:rsidR="00000000" w:rsidRDefault="007347A9">
      <w:pPr>
        <w:widowControl/>
        <w:numPr>
          <w:ilvl w:val="0"/>
          <w:numId w:val="5"/>
        </w:numPr>
        <w:spacing w:afterLines="50" w:after="180" w:line="288" w:lineRule="auto"/>
        <w:jc w:val="both"/>
        <w:rPr>
          <w:rFonts w:hint="eastAsia"/>
        </w:rPr>
      </w:pPr>
      <w:r>
        <w:rPr>
          <w:rFonts w:hAnsi="新細明體"/>
        </w:rPr>
        <w:lastRenderedPageBreak/>
        <w:t>公務人員</w:t>
      </w:r>
      <w:r>
        <w:rPr>
          <w:rFonts w:hAnsi="新細明體" w:hint="eastAsia"/>
        </w:rPr>
        <w:t>所受領、並具有公法上金錢給付性質的</w:t>
      </w:r>
      <w:r>
        <w:rPr>
          <w:rFonts w:hint="eastAsia"/>
        </w:rPr>
        <w:t>薪俸或其他照護給付本身，種類亦相當複雜而繁多（詳見：附錄　肆）；準此，不同種類的公法上金錢給付，是否均能一概適用</w:t>
      </w:r>
      <w:r>
        <w:rPr>
          <w:rFonts w:hAnsi="新細明體" w:hint="eastAsia"/>
        </w:rPr>
        <w:t>公法上不當得利的制度，請求返還？此外，在其能適用公法上不當得利之制度請求返還的範圍內，有無必要因</w:t>
      </w:r>
      <w:r>
        <w:rPr>
          <w:rFonts w:hint="eastAsia"/>
        </w:rPr>
        <w:t>金錢給付</w:t>
      </w:r>
      <w:r>
        <w:rPr>
          <w:rFonts w:hAnsi="新細明體" w:hint="eastAsia"/>
        </w:rPr>
        <w:t>類型之不同</w:t>
      </w:r>
      <w:r>
        <w:rPr>
          <w:rFonts w:hAnsi="新細明體" w:hint="eastAsia"/>
        </w:rPr>
        <w:t>，更進一步加以類型化，以確定適用不同的公法上不當得利之構成要件及法律效果，請求返還？</w:t>
      </w:r>
    </w:p>
    <w:p w:rsidR="00000000" w:rsidRDefault="007347A9">
      <w:pPr>
        <w:widowControl/>
        <w:numPr>
          <w:ilvl w:val="0"/>
          <w:numId w:val="5"/>
        </w:numPr>
        <w:spacing w:afterLines="50" w:after="180" w:line="288" w:lineRule="auto"/>
        <w:jc w:val="both"/>
        <w:rPr>
          <w:rFonts w:hint="eastAsia"/>
        </w:rPr>
      </w:pPr>
      <w:r>
        <w:rPr>
          <w:rFonts w:hAnsi="新細明體" w:hint="eastAsia"/>
        </w:rPr>
        <w:t>所謂「公法上不當得利」，其請求權成立之構成要件為何？而</w:t>
      </w:r>
      <w:r>
        <w:rPr>
          <w:rFonts w:hAnsi="新細明體"/>
        </w:rPr>
        <w:t>公務人員</w:t>
      </w:r>
      <w:r>
        <w:rPr>
          <w:rFonts w:hAnsi="新細明體" w:hint="eastAsia"/>
        </w:rPr>
        <w:t>受領具有公法上金錢給付性質的</w:t>
      </w:r>
      <w:r>
        <w:rPr>
          <w:rFonts w:hint="eastAsia"/>
        </w:rPr>
        <w:t>薪俸或其他照護給付，如何始</w:t>
      </w:r>
      <w:r>
        <w:rPr>
          <w:rFonts w:hAnsi="新細明體" w:hint="eastAsia"/>
        </w:rPr>
        <w:t>該當公法上不當得利返還請求權的構成要件，而得請求返還？</w:t>
      </w:r>
    </w:p>
    <w:p w:rsidR="00000000" w:rsidRDefault="007347A9">
      <w:pPr>
        <w:widowControl/>
        <w:numPr>
          <w:ilvl w:val="0"/>
          <w:numId w:val="5"/>
        </w:numPr>
        <w:spacing w:afterLines="50" w:after="180" w:line="288" w:lineRule="auto"/>
        <w:jc w:val="both"/>
        <w:rPr>
          <w:rFonts w:hint="eastAsia"/>
        </w:rPr>
      </w:pPr>
      <w:r>
        <w:rPr>
          <w:rFonts w:hAnsi="新細明體"/>
        </w:rPr>
        <w:t>公務人員</w:t>
      </w:r>
      <w:r>
        <w:rPr>
          <w:rFonts w:hAnsi="新細明體" w:hint="eastAsia"/>
        </w:rPr>
        <w:t>受領公法上金錢給付應否、並如何區分以（一）行政處分為「法律上之原因」而受領之給付（行政程序法</w:t>
      </w:r>
      <w:r>
        <w:rPr>
          <w:rFonts w:hAnsi="新細明體"/>
        </w:rPr>
        <w:t>第一百二十七條</w:t>
      </w:r>
      <w:r>
        <w:rPr>
          <w:rFonts w:hAnsi="新細明體" w:hint="eastAsia"/>
        </w:rPr>
        <w:t>參照），以及（二）非以行政處分為「法律上之原因」而受領之給付等兩種類型？其構成要件及法律效果是否不同？而行政機關請求返還公法上不當得利時，所</w:t>
      </w:r>
      <w:r>
        <w:rPr>
          <w:rFonts w:hAnsi="新細明體" w:hint="eastAsia"/>
        </w:rPr>
        <w:t>應採取的法律手段是否也不同？</w:t>
      </w:r>
    </w:p>
    <w:p w:rsidR="00000000" w:rsidRDefault="007347A9">
      <w:pPr>
        <w:widowControl/>
        <w:numPr>
          <w:ilvl w:val="0"/>
          <w:numId w:val="5"/>
        </w:numPr>
        <w:spacing w:afterLines="50" w:after="180" w:line="288" w:lineRule="auto"/>
        <w:jc w:val="both"/>
        <w:rPr>
          <w:rFonts w:ascii="新細明體" w:hAnsi="新細明體"/>
        </w:rPr>
      </w:pPr>
      <w:r>
        <w:rPr>
          <w:rFonts w:hAnsi="新細明體"/>
        </w:rPr>
        <w:t>支付行為之性質</w:t>
      </w:r>
      <w:r>
        <w:rPr>
          <w:rFonts w:hAnsi="新細明體" w:hint="eastAsia"/>
        </w:rPr>
        <w:t>為何？其與</w:t>
      </w:r>
      <w:r>
        <w:rPr>
          <w:rFonts w:hAnsi="新細明體"/>
        </w:rPr>
        <w:t>各該法律</w:t>
      </w:r>
      <w:r>
        <w:rPr>
          <w:rFonts w:hAnsi="新細明體" w:hint="eastAsia"/>
        </w:rPr>
        <w:t>上之</w:t>
      </w:r>
      <w:r>
        <w:rPr>
          <w:rFonts w:hAnsi="新細明體"/>
        </w:rPr>
        <w:t>原因</w:t>
      </w:r>
      <w:r>
        <w:rPr>
          <w:rFonts w:hAnsi="新細明體" w:hint="eastAsia"/>
        </w:rPr>
        <w:t>的</w:t>
      </w:r>
      <w:r>
        <w:rPr>
          <w:rFonts w:hAnsi="新細明體"/>
        </w:rPr>
        <w:t>關係</w:t>
      </w:r>
      <w:r>
        <w:rPr>
          <w:rFonts w:hAnsi="新細明體" w:hint="eastAsia"/>
        </w:rPr>
        <w:t>又如何？</w:t>
      </w:r>
      <w:r>
        <w:rPr>
          <w:rFonts w:hAnsi="新細明體"/>
        </w:rPr>
        <w:t>例如以行政處分做為法律上</w:t>
      </w:r>
      <w:r>
        <w:rPr>
          <w:rFonts w:hAnsi="新細明體" w:hint="eastAsia"/>
        </w:rPr>
        <w:t>之</w:t>
      </w:r>
      <w:r>
        <w:rPr>
          <w:rFonts w:hAnsi="新細明體"/>
        </w:rPr>
        <w:t>原因</w:t>
      </w:r>
      <w:r>
        <w:rPr>
          <w:rFonts w:hAnsi="新細明體" w:hint="eastAsia"/>
        </w:rPr>
        <w:t>的金錢</w:t>
      </w:r>
      <w:r>
        <w:rPr>
          <w:rFonts w:hAnsi="新細明體"/>
        </w:rPr>
        <w:t>給付，其後之實際支付行為（可能匯款轉帳或發給薪水通知單）是否亦屬於行政處分，或僅為單純之事實行為</w:t>
      </w:r>
      <w:r>
        <w:rPr>
          <w:rFonts w:hAnsi="新細明體" w:hint="eastAsia"/>
        </w:rPr>
        <w:t>？</w:t>
      </w:r>
    </w:p>
    <w:p w:rsidR="00000000" w:rsidRDefault="007347A9">
      <w:pPr>
        <w:widowControl/>
        <w:numPr>
          <w:ilvl w:val="0"/>
          <w:numId w:val="5"/>
        </w:numPr>
        <w:spacing w:afterLines="50" w:after="180" w:line="288" w:lineRule="auto"/>
        <w:jc w:val="both"/>
        <w:rPr>
          <w:rFonts w:hint="eastAsia"/>
        </w:rPr>
      </w:pPr>
      <w:r>
        <w:rPr>
          <w:rFonts w:hAnsi="新細明體"/>
        </w:rPr>
        <w:t>公務人員</w:t>
      </w:r>
      <w:r>
        <w:rPr>
          <w:rFonts w:hAnsi="新細明體" w:hint="eastAsia"/>
        </w:rPr>
        <w:t>不當受領公法上金錢給付，依公法上不當得利制度所產生的</w:t>
      </w:r>
      <w:r>
        <w:rPr>
          <w:rFonts w:hAnsi="新細明體"/>
        </w:rPr>
        <w:t>返還範圍為何？</w:t>
      </w:r>
      <w:r>
        <w:rPr>
          <w:rFonts w:hAnsi="新細明體" w:hint="eastAsia"/>
        </w:rPr>
        <w:t>被請求返還人</w:t>
      </w:r>
      <w:r>
        <w:rPr>
          <w:rFonts w:hAnsi="新細明體"/>
        </w:rPr>
        <w:t>得否主張所受</w:t>
      </w:r>
      <w:r>
        <w:rPr>
          <w:rFonts w:hAnsi="新細明體" w:hint="eastAsia"/>
        </w:rPr>
        <w:t>之</w:t>
      </w:r>
      <w:r>
        <w:rPr>
          <w:rFonts w:hAnsi="新細明體"/>
        </w:rPr>
        <w:t>利益已不存在，免負返還或償還價額之責任？</w:t>
      </w:r>
      <w:r>
        <w:rPr>
          <w:rFonts w:hAnsi="新細明體" w:hint="eastAsia"/>
        </w:rPr>
        <w:t>又，</w:t>
      </w:r>
      <w:r>
        <w:rPr>
          <w:rFonts w:hAnsi="新細明體"/>
        </w:rPr>
        <w:t>行政程序法第一百二十七條第二項規定：「前項返還範圍準用民法有關不當得利之規定」</w:t>
      </w:r>
      <w:r>
        <w:rPr>
          <w:rFonts w:hAnsi="新細明體" w:hint="eastAsia"/>
        </w:rPr>
        <w:t>，</w:t>
      </w:r>
      <w:r>
        <w:rPr>
          <w:rFonts w:hAnsi="新細明體"/>
        </w:rPr>
        <w:t>究竟應該如何準用？而民法第一百八十二條關於善意受領人僅負返還現存利益</w:t>
      </w:r>
      <w:r>
        <w:rPr>
          <w:rFonts w:hAnsi="新細明體"/>
        </w:rPr>
        <w:t>之責任及惡意受領人加重責任之規定，是否皆在準用之列？</w:t>
      </w:r>
    </w:p>
    <w:p w:rsidR="00000000" w:rsidRDefault="007347A9">
      <w:pPr>
        <w:widowControl/>
        <w:numPr>
          <w:ilvl w:val="0"/>
          <w:numId w:val="5"/>
        </w:numPr>
        <w:spacing w:afterLines="50" w:after="180" w:line="288" w:lineRule="auto"/>
        <w:jc w:val="both"/>
      </w:pPr>
      <w:r>
        <w:rPr>
          <w:rFonts w:hAnsi="新細明體" w:hint="eastAsia"/>
        </w:rPr>
        <w:t>公務人員就其</w:t>
      </w:r>
      <w:r>
        <w:rPr>
          <w:rFonts w:hAnsi="新細明體"/>
        </w:rPr>
        <w:t>對於所</w:t>
      </w:r>
      <w:r>
        <w:rPr>
          <w:rFonts w:hAnsi="新細明體" w:hint="eastAsia"/>
        </w:rPr>
        <w:t>受領</w:t>
      </w:r>
      <w:r>
        <w:rPr>
          <w:rFonts w:hAnsi="新細明體"/>
        </w:rPr>
        <w:t>之</w:t>
      </w:r>
      <w:r>
        <w:rPr>
          <w:rFonts w:hAnsi="新細明體" w:hint="eastAsia"/>
        </w:rPr>
        <w:t>公法上金錢給付</w:t>
      </w:r>
      <w:r>
        <w:rPr>
          <w:rFonts w:hAnsi="新細明體"/>
        </w:rPr>
        <w:t>，得否主張信賴保護原則？</w:t>
      </w:r>
      <w:r>
        <w:rPr>
          <w:rFonts w:hAnsi="新細明體" w:hint="eastAsia"/>
        </w:rPr>
        <w:t>此際，在個案中又</w:t>
      </w:r>
      <w:r>
        <w:rPr>
          <w:rFonts w:hAnsi="新細明體"/>
        </w:rPr>
        <w:t>如何判斷</w:t>
      </w:r>
      <w:r>
        <w:rPr>
          <w:rFonts w:hAnsi="新細明體" w:hint="eastAsia"/>
        </w:rPr>
        <w:t>系爭案件</w:t>
      </w:r>
      <w:r>
        <w:rPr>
          <w:rFonts w:hAnsi="新細明體"/>
        </w:rPr>
        <w:t>有無信賴保護原則之適用？</w:t>
      </w:r>
    </w:p>
    <w:p w:rsidR="00000000" w:rsidRDefault="007347A9">
      <w:pPr>
        <w:widowControl/>
        <w:numPr>
          <w:ilvl w:val="0"/>
          <w:numId w:val="5"/>
        </w:numPr>
        <w:spacing w:afterLines="50" w:after="180" w:line="288" w:lineRule="auto"/>
        <w:jc w:val="both"/>
      </w:pPr>
      <w:r>
        <w:rPr>
          <w:rFonts w:hint="eastAsia"/>
        </w:rPr>
        <w:t>行政機關對於</w:t>
      </w:r>
      <w:r>
        <w:rPr>
          <w:rFonts w:hAnsi="新細明體"/>
        </w:rPr>
        <w:t>公務人員</w:t>
      </w:r>
      <w:r>
        <w:rPr>
          <w:rFonts w:hAnsi="新細明體" w:hint="eastAsia"/>
        </w:rPr>
        <w:t>公法上金錢給付之返還請求權，如何適用消滅時效制度？</w:t>
      </w:r>
    </w:p>
    <w:p w:rsidR="00000000" w:rsidRDefault="007347A9">
      <w:pPr>
        <w:widowControl/>
        <w:numPr>
          <w:ilvl w:val="0"/>
          <w:numId w:val="5"/>
        </w:numPr>
        <w:spacing w:afterLines="50" w:after="180" w:line="288" w:lineRule="auto"/>
        <w:jc w:val="both"/>
      </w:pPr>
      <w:r>
        <w:rPr>
          <w:rFonts w:hAnsi="新細明體"/>
        </w:rPr>
        <w:lastRenderedPageBreak/>
        <w:t>行政機關向公務人員</w:t>
      </w:r>
      <w:r>
        <w:rPr>
          <w:rFonts w:hAnsi="新細明體" w:hint="eastAsia"/>
        </w:rPr>
        <w:t>請求</w:t>
      </w:r>
      <w:r>
        <w:rPr>
          <w:rFonts w:hAnsi="新細明體"/>
        </w:rPr>
        <w:t>返還公法上金錢給付</w:t>
      </w:r>
      <w:r>
        <w:rPr>
          <w:rFonts w:hAnsi="新細明體" w:hint="eastAsia"/>
        </w:rPr>
        <w:t>的法律手段</w:t>
      </w:r>
      <w:r>
        <w:rPr>
          <w:rFonts w:hAnsi="新細明體"/>
        </w:rPr>
        <w:t>，依我國現行實務</w:t>
      </w:r>
      <w:r>
        <w:rPr>
          <w:rFonts w:hAnsi="新細明體" w:hint="eastAsia"/>
        </w:rPr>
        <w:t>，</w:t>
      </w:r>
      <w:r>
        <w:rPr>
          <w:rFonts w:hAnsi="新細明體"/>
        </w:rPr>
        <w:t>主要約有下列幾種</w:t>
      </w:r>
      <w:r>
        <w:rPr>
          <w:rFonts w:hAnsi="新細明體" w:hint="eastAsia"/>
        </w:rPr>
        <w:t>；惟行政</w:t>
      </w:r>
      <w:r>
        <w:rPr>
          <w:rFonts w:hAnsi="新細明體"/>
        </w:rPr>
        <w:t>機關</w:t>
      </w:r>
      <w:r>
        <w:rPr>
          <w:rFonts w:hAnsi="新細明體" w:hint="eastAsia"/>
        </w:rPr>
        <w:t>事實上依據法理，應</w:t>
      </w:r>
      <w:r>
        <w:rPr>
          <w:rFonts w:hAnsi="新細明體"/>
        </w:rPr>
        <w:t>得以哪些</w:t>
      </w:r>
      <w:r>
        <w:rPr>
          <w:rFonts w:hAnsi="新細明體" w:hint="eastAsia"/>
        </w:rPr>
        <w:t>手段</w:t>
      </w:r>
      <w:r>
        <w:rPr>
          <w:rFonts w:hAnsi="新細明體"/>
        </w:rPr>
        <w:t>向公務人員主張返還</w:t>
      </w:r>
      <w:r>
        <w:rPr>
          <w:rFonts w:hAnsi="新細明體" w:hint="eastAsia"/>
        </w:rPr>
        <w:t>，以貫徹其請求權之實現</w:t>
      </w:r>
      <w:r>
        <w:rPr>
          <w:rFonts w:hAnsi="新細明體"/>
        </w:rPr>
        <w:t>？</w:t>
      </w:r>
    </w:p>
    <w:p w:rsidR="00000000" w:rsidRDefault="007347A9">
      <w:pPr>
        <w:widowControl/>
        <w:numPr>
          <w:ilvl w:val="0"/>
          <w:numId w:val="7"/>
        </w:numPr>
        <w:spacing w:line="288" w:lineRule="auto"/>
        <w:ind w:leftChars="200" w:left="962" w:hanging="482"/>
        <w:jc w:val="both"/>
      </w:pPr>
      <w:r>
        <w:rPr>
          <w:rFonts w:hAnsi="新細明體"/>
        </w:rPr>
        <w:t>作成行政處分令其返還。</w:t>
      </w:r>
      <w:r>
        <w:rPr>
          <w:rFonts w:hAnsi="新細明體" w:hint="eastAsia"/>
        </w:rPr>
        <w:t>在此，</w:t>
      </w:r>
      <w:r>
        <w:rPr>
          <w:rFonts w:hAnsi="新細明體"/>
        </w:rPr>
        <w:t>實務上常見</w:t>
      </w:r>
      <w:r>
        <w:rPr>
          <w:rFonts w:hAnsi="新細明體" w:hint="eastAsia"/>
        </w:rPr>
        <w:t>的行政</w:t>
      </w:r>
      <w:r>
        <w:rPr>
          <w:rFonts w:hAnsi="新細明體"/>
        </w:rPr>
        <w:t>機關多次行文追繳，究竟應以何者為行政處分？</w:t>
      </w:r>
    </w:p>
    <w:p w:rsidR="00000000" w:rsidRDefault="007347A9">
      <w:pPr>
        <w:widowControl/>
        <w:numPr>
          <w:ilvl w:val="0"/>
          <w:numId w:val="7"/>
        </w:numPr>
        <w:spacing w:line="288" w:lineRule="auto"/>
        <w:ind w:leftChars="200" w:left="962" w:hanging="482"/>
        <w:jc w:val="both"/>
      </w:pPr>
      <w:r>
        <w:rPr>
          <w:rFonts w:hAnsi="新細明體"/>
        </w:rPr>
        <w:t>向行政法</w:t>
      </w:r>
      <w:r>
        <w:rPr>
          <w:rFonts w:hAnsi="新細明體"/>
        </w:rPr>
        <w:t>院依行政訴訟法第八條規定，提起一般給付訴訟</w:t>
      </w:r>
      <w:r>
        <w:rPr>
          <w:rFonts w:hAnsi="新細明體" w:hint="eastAsia"/>
        </w:rPr>
        <w:t>。</w:t>
      </w:r>
    </w:p>
    <w:p w:rsidR="00000000" w:rsidRDefault="007347A9">
      <w:pPr>
        <w:widowControl/>
        <w:numPr>
          <w:ilvl w:val="0"/>
          <w:numId w:val="7"/>
        </w:numPr>
        <w:spacing w:afterLines="50" w:after="180" w:line="288" w:lineRule="auto"/>
        <w:ind w:leftChars="200" w:left="962" w:hanging="482"/>
        <w:jc w:val="both"/>
      </w:pPr>
      <w:r>
        <w:rPr>
          <w:rFonts w:hAnsi="新細明體"/>
        </w:rPr>
        <w:t>扣繳。</w:t>
      </w:r>
      <w:r>
        <w:rPr>
          <w:rFonts w:hAnsi="新細明體" w:hint="eastAsia"/>
        </w:rPr>
        <w:t>在此，行政</w:t>
      </w:r>
      <w:r>
        <w:rPr>
          <w:rFonts w:hAnsi="新細明體"/>
        </w:rPr>
        <w:t>機關得否於應發給公務人員之其他金</w:t>
      </w:r>
      <w:r>
        <w:rPr>
          <w:rFonts w:hAnsi="新細明體" w:hint="eastAsia"/>
        </w:rPr>
        <w:t>錢給付</w:t>
      </w:r>
      <w:r>
        <w:rPr>
          <w:rFonts w:hAnsi="新細明體"/>
        </w:rPr>
        <w:t>中</w:t>
      </w:r>
      <w:r>
        <w:rPr>
          <w:rFonts w:hAnsi="新細明體" w:hint="eastAsia"/>
        </w:rPr>
        <w:t>，直接</w:t>
      </w:r>
      <w:r>
        <w:rPr>
          <w:rFonts w:hAnsi="新細明體"/>
        </w:rPr>
        <w:t>扣繳前所</w:t>
      </w:r>
      <w:r>
        <w:rPr>
          <w:rFonts w:hAnsi="新細明體" w:hint="eastAsia"/>
        </w:rPr>
        <w:t>不當受</w:t>
      </w:r>
      <w:r>
        <w:rPr>
          <w:rFonts w:hAnsi="新細明體"/>
        </w:rPr>
        <w:t>領之金額？而此「扣繳」</w:t>
      </w:r>
      <w:r>
        <w:rPr>
          <w:rFonts w:hAnsi="新細明體" w:hint="eastAsia"/>
        </w:rPr>
        <w:t>的</w:t>
      </w:r>
      <w:r>
        <w:rPr>
          <w:rFonts w:hAnsi="新細明體"/>
        </w:rPr>
        <w:t>法律性質為何</w:t>
      </w:r>
      <w:r>
        <w:rPr>
          <w:rFonts w:hAnsi="新細明體" w:hint="eastAsia"/>
        </w:rPr>
        <w:t>；</w:t>
      </w:r>
      <w:r>
        <w:rPr>
          <w:rFonts w:hAnsi="新細明體"/>
        </w:rPr>
        <w:t>究係</w:t>
      </w:r>
      <w:r>
        <w:rPr>
          <w:rFonts w:hAnsi="新細明體" w:hint="eastAsia"/>
        </w:rPr>
        <w:t>為一種</w:t>
      </w:r>
      <w:r>
        <w:rPr>
          <w:rFonts w:hAnsi="新細明體"/>
        </w:rPr>
        <w:t>「行政處分」，</w:t>
      </w:r>
      <w:r>
        <w:rPr>
          <w:rFonts w:hAnsi="新細明體" w:hint="eastAsia"/>
        </w:rPr>
        <w:t>抑</w:t>
      </w:r>
      <w:r>
        <w:rPr>
          <w:rFonts w:hAnsi="新細明體"/>
        </w:rPr>
        <w:t>或所謂</w:t>
      </w:r>
      <w:r>
        <w:rPr>
          <w:rFonts w:hAnsi="新細明體" w:hint="eastAsia"/>
        </w:rPr>
        <w:t>「</w:t>
      </w:r>
      <w:r>
        <w:rPr>
          <w:rFonts w:hAnsi="新細明體"/>
        </w:rPr>
        <w:t>公法上之抵銷」</w:t>
      </w:r>
      <w:r>
        <w:rPr>
          <w:rFonts w:hAnsi="新細明體" w:hint="eastAsia"/>
        </w:rPr>
        <w:t>，而非能定性為行政處分</w:t>
      </w:r>
      <w:r>
        <w:rPr>
          <w:rFonts w:hAnsi="新細明體"/>
        </w:rPr>
        <w:t>？</w:t>
      </w:r>
    </w:p>
    <w:p w:rsidR="00000000" w:rsidRDefault="007347A9">
      <w:pPr>
        <w:widowControl/>
        <w:spacing w:line="288" w:lineRule="auto"/>
        <w:ind w:firstLineChars="200" w:firstLine="480"/>
        <w:jc w:val="both"/>
        <w:rPr>
          <w:rFonts w:hint="eastAsia"/>
        </w:rPr>
      </w:pPr>
    </w:p>
    <w:p w:rsidR="00000000" w:rsidRDefault="007347A9">
      <w:pPr>
        <w:widowControl/>
        <w:spacing w:line="288" w:lineRule="auto"/>
        <w:ind w:firstLineChars="200" w:firstLine="480"/>
        <w:jc w:val="both"/>
        <w:rPr>
          <w:rFonts w:hint="eastAsia"/>
        </w:rPr>
      </w:pPr>
    </w:p>
    <w:p w:rsidR="00000000" w:rsidRDefault="007347A9">
      <w:pPr>
        <w:widowControl/>
        <w:spacing w:line="288" w:lineRule="auto"/>
        <w:ind w:firstLineChars="200" w:firstLine="480"/>
        <w:jc w:val="both"/>
        <w:rPr>
          <w:rFonts w:hint="eastAsia"/>
        </w:rPr>
      </w:pPr>
    </w:p>
    <w:p w:rsidR="00000000" w:rsidRDefault="007347A9">
      <w:pPr>
        <w:widowControl/>
        <w:spacing w:afterLines="50" w:after="180" w:line="288" w:lineRule="auto"/>
        <w:ind w:left="1441" w:hangingChars="400" w:hanging="1441"/>
        <w:jc w:val="both"/>
        <w:rPr>
          <w:rFonts w:hint="eastAsia"/>
          <w:b/>
          <w:bCs/>
          <w:sz w:val="36"/>
          <w:szCs w:val="36"/>
        </w:rPr>
      </w:pPr>
      <w:r>
        <w:rPr>
          <w:rFonts w:hAnsi="新細明體" w:hint="eastAsia"/>
          <w:b/>
          <w:bCs/>
          <w:sz w:val="36"/>
          <w:szCs w:val="36"/>
        </w:rPr>
        <w:t>第三節　研究方法</w:t>
      </w:r>
    </w:p>
    <w:p w:rsidR="00000000" w:rsidRDefault="007347A9">
      <w:pPr>
        <w:widowControl/>
        <w:spacing w:afterLines="50" w:after="180" w:line="288" w:lineRule="auto"/>
        <w:ind w:firstLineChars="200" w:firstLine="480"/>
        <w:jc w:val="both"/>
        <w:rPr>
          <w:rFonts w:hint="eastAsia"/>
        </w:rPr>
      </w:pPr>
      <w:r>
        <w:rPr>
          <w:rFonts w:hint="eastAsia"/>
        </w:rPr>
        <w:t>我國現今保訓會的實務，在處理公務人員公法上金錢給付之返還請求案件時，如前所述，原則上是以公法上不當得利作為請求權基礎。惟查公法上不當得利者，在我國現行法中並無明文規定；實務上之所以運用此一制度，而不質疑其法源何在，其實是基於繼受德國法制後，將公法上不當得</w:t>
      </w:r>
      <w:r>
        <w:rPr>
          <w:rFonts w:hint="eastAsia"/>
        </w:rPr>
        <w:t>利視為我國行政法上一種不成文制度的結果。基本上保訓會的這項實務運作，並無違誤；因為公法上不當得利作為我國繼受德國法的產物，早已為行政法學界公認的事實</w:t>
      </w:r>
      <w:r>
        <w:rPr>
          <w:rStyle w:val="a9"/>
        </w:rPr>
        <w:footnoteReference w:id="6"/>
      </w:r>
      <w:r>
        <w:rPr>
          <w:rFonts w:hint="eastAsia"/>
        </w:rPr>
        <w:t>。近年來高等行政法院</w:t>
      </w:r>
      <w:r>
        <w:rPr>
          <w:rStyle w:val="a9"/>
        </w:rPr>
        <w:footnoteReference w:id="7"/>
      </w:r>
      <w:r>
        <w:rPr>
          <w:rFonts w:hint="eastAsia"/>
        </w:rPr>
        <w:t>，乃至改制前的行政法院</w:t>
      </w:r>
      <w:r>
        <w:rPr>
          <w:rStyle w:val="a9"/>
        </w:rPr>
        <w:footnoteReference w:id="8"/>
      </w:r>
      <w:r>
        <w:rPr>
          <w:rFonts w:hint="eastAsia"/>
        </w:rPr>
        <w:t>或改制後的最高行政法院</w:t>
      </w:r>
      <w:r>
        <w:rPr>
          <w:rStyle w:val="a9"/>
        </w:rPr>
        <w:footnoteReference w:id="9"/>
      </w:r>
      <w:r>
        <w:rPr>
          <w:rFonts w:hint="eastAsia"/>
        </w:rPr>
        <w:t>，也常將同一制度運用在不同法律案件中，作為裁判所基的法律基礎；而民國</w:t>
      </w:r>
      <w:r>
        <w:rPr>
          <w:kern w:val="0"/>
        </w:rPr>
        <w:t>89</w:t>
      </w:r>
      <w:r>
        <w:rPr>
          <w:kern w:val="0"/>
        </w:rPr>
        <w:t>年</w:t>
      </w:r>
      <w:r>
        <w:rPr>
          <w:rFonts w:hint="eastAsia"/>
          <w:kern w:val="0"/>
        </w:rPr>
        <w:t>（</w:t>
      </w:r>
      <w:r>
        <w:rPr>
          <w:rFonts w:hint="eastAsia"/>
          <w:kern w:val="0"/>
        </w:rPr>
        <w:t>2000</w:t>
      </w:r>
      <w:r>
        <w:rPr>
          <w:rFonts w:hint="eastAsia"/>
          <w:kern w:val="0"/>
        </w:rPr>
        <w:t>）</w:t>
      </w:r>
      <w:r>
        <w:rPr>
          <w:kern w:val="0"/>
        </w:rPr>
        <w:t>10</w:t>
      </w:r>
      <w:r>
        <w:rPr>
          <w:kern w:val="0"/>
        </w:rPr>
        <w:t>月</w:t>
      </w:r>
      <w:r>
        <w:rPr>
          <w:kern w:val="0"/>
        </w:rPr>
        <w:t>26</w:t>
      </w:r>
      <w:r>
        <w:rPr>
          <w:kern w:val="0"/>
        </w:rPr>
        <w:t>日</w:t>
      </w:r>
      <w:r>
        <w:rPr>
          <w:rFonts w:hint="eastAsia"/>
        </w:rPr>
        <w:t>司法院大法官釋字第</w:t>
      </w:r>
      <w:r>
        <w:rPr>
          <w:rFonts w:hint="eastAsia"/>
        </w:rPr>
        <w:t>515</w:t>
      </w:r>
      <w:r>
        <w:rPr>
          <w:rFonts w:hint="eastAsia"/>
        </w:rPr>
        <w:t>號，更明白指出公法上不當得利作為一種公法</w:t>
      </w:r>
      <w:r>
        <w:rPr>
          <w:rFonts w:hint="eastAsia"/>
        </w:rPr>
        <w:lastRenderedPageBreak/>
        <w:t>上請求權基礎的可能性</w:t>
      </w:r>
      <w:r>
        <w:rPr>
          <w:rStyle w:val="a9"/>
        </w:rPr>
        <w:footnoteReference w:id="10"/>
      </w:r>
      <w:r>
        <w:rPr>
          <w:rFonts w:hint="eastAsia"/>
        </w:rPr>
        <w:t>。顯見公法上不當得利已為我國行政法上的一種不成文制度，殆無疑義。更何況我國行政程序法</w:t>
      </w:r>
      <w:r>
        <w:t>第一百二十七條</w:t>
      </w:r>
      <w:r>
        <w:rPr>
          <w:rFonts w:hint="eastAsia"/>
        </w:rPr>
        <w:t>，原是抄自</w:t>
      </w:r>
      <w:r>
        <w:rPr>
          <w:rFonts w:hint="eastAsia"/>
        </w:rPr>
        <w:t>德國聯邦行政程序法（</w:t>
      </w:r>
      <w:r>
        <w:rPr>
          <w:rFonts w:hint="eastAsia"/>
        </w:rPr>
        <w:t>Verwaltungsverfahrensgesetz; VwVfG</w:t>
      </w:r>
      <w:r>
        <w:rPr>
          <w:rFonts w:hint="eastAsia"/>
        </w:rPr>
        <w:t>）相關（舊）條文而來的立法例</w:t>
      </w:r>
      <w:r>
        <w:rPr>
          <w:rStyle w:val="a9"/>
        </w:rPr>
        <w:footnoteReference w:id="11"/>
      </w:r>
      <w:r>
        <w:rPr>
          <w:rFonts w:hint="eastAsia"/>
        </w:rPr>
        <w:t>；在德國，此一相關條文規定所形成之制度，已被公認為公法上不當得利之一種，而我國立法者在前開行政程序法</w:t>
      </w:r>
      <w:r>
        <w:t>第一百二十七條</w:t>
      </w:r>
      <w:r>
        <w:rPr>
          <w:rFonts w:hint="eastAsia"/>
        </w:rPr>
        <w:t>的立法說明中，也明白表示相同的見解</w:t>
      </w:r>
      <w:r>
        <w:rPr>
          <w:rStyle w:val="a9"/>
        </w:rPr>
        <w:footnoteReference w:id="12"/>
      </w:r>
      <w:r>
        <w:rPr>
          <w:rFonts w:hint="eastAsia"/>
        </w:rPr>
        <w:t>。可見公法上之不當得利，在我國已因前開行政程序法</w:t>
      </w:r>
      <w:r>
        <w:t>第一百二十七條</w:t>
      </w:r>
      <w:r>
        <w:rPr>
          <w:rFonts w:hint="eastAsia"/>
        </w:rPr>
        <w:t>的加持，確立為一種繼受於德國法制的不成文法上制度；至於行政程序法</w:t>
      </w:r>
      <w:r>
        <w:t>第一百二十七條</w:t>
      </w:r>
      <w:r>
        <w:rPr>
          <w:rFonts w:hint="eastAsia"/>
        </w:rPr>
        <w:t>所稱者，則屬其中一種具有法律明文規範基礎的下位類型。</w:t>
      </w:r>
    </w:p>
    <w:p w:rsidR="00000000" w:rsidRDefault="007347A9">
      <w:pPr>
        <w:widowControl/>
        <w:spacing w:afterLines="50" w:after="180" w:line="288" w:lineRule="auto"/>
        <w:ind w:firstLineChars="200" w:firstLine="480"/>
        <w:jc w:val="both"/>
        <w:rPr>
          <w:rFonts w:hint="eastAsia"/>
        </w:rPr>
      </w:pPr>
      <w:r>
        <w:rPr>
          <w:rFonts w:hAnsi="新細明體" w:hint="eastAsia"/>
        </w:rPr>
        <w:t>公法上不當得利確立為我國繼受德國法制的產物，對於本</w:t>
      </w:r>
      <w:r>
        <w:rPr>
          <w:rFonts w:hAnsi="新細明體" w:hint="eastAsia"/>
        </w:rPr>
        <w:t>研究之研究方法的選定，具有相當程度的啟示。蓋我國現行法制，絕大多數均屬外國法的繼受；因此國內法學上之研究，「比較法（</w:t>
      </w:r>
      <w:r>
        <w:rPr>
          <w:rFonts w:hAnsi="新細明體" w:hint="eastAsia"/>
        </w:rPr>
        <w:t>Rechtsvergleich</w:t>
      </w:r>
      <w:r>
        <w:rPr>
          <w:rFonts w:hAnsi="新細明體" w:hint="eastAsia"/>
        </w:rPr>
        <w:t>）」之觀察，殆為無可避免的研究方法。如今</w:t>
      </w:r>
      <w:r>
        <w:rPr>
          <w:rFonts w:hint="eastAsia"/>
        </w:rPr>
        <w:t>我國公法上之不當得利既確定為德國法制之繼受，則在以討論行政機關如何適用公法上不當得利制度向公務人員請求返還不當受領之薪俸或其他金錢照護給付等問題作為研究主軸的本研究中，</w:t>
      </w:r>
      <w:r>
        <w:rPr>
          <w:rFonts w:hAnsi="新細明體" w:hint="eastAsia"/>
        </w:rPr>
        <w:t>作為相關制度之母國的德國，其法制發展究竟如何，實務上之實際運作又如何，顯然具有比較法上的高度參考價</w:t>
      </w:r>
      <w:r>
        <w:rPr>
          <w:rFonts w:hAnsi="新細明體" w:hint="eastAsia"/>
        </w:rPr>
        <w:lastRenderedPageBreak/>
        <w:t>值。從而本研究</w:t>
      </w:r>
      <w:r>
        <w:rPr>
          <w:rFonts w:hint="eastAsia"/>
        </w:rPr>
        <w:t>之進行，</w:t>
      </w:r>
      <w:r>
        <w:rPr>
          <w:rFonts w:hAnsi="新細明體" w:hint="eastAsia"/>
        </w:rPr>
        <w:t>原則上將確立以「比較法」作為主要的研究</w:t>
      </w:r>
      <w:r>
        <w:rPr>
          <w:rFonts w:hAnsi="新細明體" w:hint="eastAsia"/>
        </w:rPr>
        <w:t>方法；而比較之對象，則又將以德國法上相關學說與實務的發展作為觀察重心。更何況這種研究方法，也高度符合我國現行相關實務的發展趨勢；因為在我國目前的實務上，不論直接涉及</w:t>
      </w:r>
      <w:r>
        <w:rPr>
          <w:rFonts w:hint="eastAsia"/>
        </w:rPr>
        <w:t>公務人員公法上金錢給付之返還請求案件的保訓會審議決定，或是處理其他公法上不當得利問題的行政法院之裁判，事實上</w:t>
      </w:r>
      <w:r>
        <w:rPr>
          <w:rFonts w:hAnsi="新細明體" w:hint="eastAsia"/>
        </w:rPr>
        <w:t>有</w:t>
      </w:r>
      <w:r>
        <w:rPr>
          <w:rFonts w:hint="eastAsia"/>
        </w:rPr>
        <w:t>或多或少也均有參考、比較德國相關法制的現象。本研究之研究宗旨，既如前所述，原以協助實務解決相關爭議為中心，則比較德國法制之研究，誠不失為一種妥適的研究方法。</w:t>
      </w:r>
    </w:p>
    <w:p w:rsidR="00000000" w:rsidRDefault="007347A9">
      <w:pPr>
        <w:widowControl/>
        <w:spacing w:afterLines="50" w:after="180" w:line="288" w:lineRule="auto"/>
        <w:ind w:firstLineChars="200" w:firstLine="480"/>
        <w:jc w:val="both"/>
        <w:rPr>
          <w:rFonts w:hint="eastAsia"/>
        </w:rPr>
      </w:pPr>
      <w:r>
        <w:rPr>
          <w:rFonts w:hint="eastAsia"/>
        </w:rPr>
        <w:t>不過在此同時吾人另需注意者是：我國現行法之繼受，除德國外，許多歐美先進國家，乃至</w:t>
      </w:r>
      <w:r>
        <w:rPr>
          <w:rFonts w:hint="eastAsia"/>
        </w:rPr>
        <w:t>東瀛的日本，也往往具有高度的影響力；準此，有關本研究之進行，除德國法外，其他國家之法制，是否亦有參考、比較的必要？關於這個問題，在處理與本研究息息相關的公法上不當得利時，尤其重要。因為所謂的公法上不當得利，縱使在德國，也是一個被公認為脫胎於民法上不當得利，或至少得與民法上不當得利平行比較的制度</w:t>
      </w:r>
      <w:r>
        <w:rPr>
          <w:rStyle w:val="a9"/>
        </w:rPr>
        <w:footnoteReference w:id="13"/>
      </w:r>
      <w:r>
        <w:rPr>
          <w:rFonts w:hint="eastAsia"/>
        </w:rPr>
        <w:t>；準此，在我國法的情形，民法第一百七十九條以下之不當得利規定，倘亦有繼受外國法或受外國相當法制之影響的情形，則鑑於公法上不當得利與民法上不當得利前揭的密切關係，似亦有同時參考、比較影響我國民法上不當得利之發展的外國法</w:t>
      </w:r>
      <w:r>
        <w:rPr>
          <w:rFonts w:hint="eastAsia"/>
        </w:rPr>
        <w:t>制的必要。否則一套僅著眼於公法上不當得利部分的比較法之研究，恐有不完整之虞。從而，基於此一考慮，本研究以下擬再就可能影響我國的其他外國法制，逐一檢驗，來確定各該國法制有無同時比較、參考之必要：</w:t>
      </w:r>
    </w:p>
    <w:p w:rsidR="00000000" w:rsidRDefault="007347A9">
      <w:pPr>
        <w:widowControl/>
        <w:spacing w:afterLines="50" w:after="180" w:line="288" w:lineRule="auto"/>
        <w:ind w:firstLineChars="200" w:firstLine="480"/>
        <w:jc w:val="both"/>
        <w:rPr>
          <w:rFonts w:hAnsi="新細明體" w:hint="eastAsia"/>
        </w:rPr>
      </w:pPr>
      <w:r>
        <w:rPr>
          <w:rFonts w:hAnsi="新細明體" w:hint="eastAsia"/>
        </w:rPr>
        <w:t>查我國民法上有關不當得利之規定，其實也是一套繼受德國法的制度</w:t>
      </w:r>
      <w:r>
        <w:rPr>
          <w:rStyle w:val="a9"/>
          <w:rFonts w:hAnsi="新細明體"/>
        </w:rPr>
        <w:footnoteReference w:id="14"/>
      </w:r>
      <w:r>
        <w:rPr>
          <w:rFonts w:hAnsi="新細明體" w:hint="eastAsia"/>
        </w:rPr>
        <w:t>；民法第一百七十九條至第一百八十三條，幾乎均可在德國民法（</w:t>
      </w:r>
      <w:r>
        <w:rPr>
          <w:rFonts w:hAnsi="新細明體" w:hint="eastAsia"/>
        </w:rPr>
        <w:t>B</w:t>
      </w:r>
      <w:r>
        <w:rPr>
          <w:rFonts w:hAnsi="新細明體"/>
        </w:rPr>
        <w:t>ü</w:t>
      </w:r>
      <w:r>
        <w:rPr>
          <w:rFonts w:hAnsi="新細明體" w:hint="eastAsia"/>
        </w:rPr>
        <w:t>rgerliches Gesetz</w:t>
      </w:r>
      <w:r>
        <w:rPr>
          <w:rFonts w:hAnsi="新細明體"/>
        </w:rPr>
        <w:softHyphen/>
      </w:r>
      <w:r>
        <w:rPr>
          <w:rFonts w:hAnsi="新細明體" w:hint="eastAsia"/>
        </w:rPr>
        <w:t>buch; BGB</w:t>
      </w:r>
      <w:r>
        <w:rPr>
          <w:rFonts w:hAnsi="新細明體" w:hint="eastAsia"/>
        </w:rPr>
        <w:t>）第八百十二條至第八百二十二條（條文德文原版與中文翻譯對照，參見：附錄　貳、二）中找到對應的依據。更何況我國民法學在不當得利制度的研究與發展</w:t>
      </w:r>
      <w:r>
        <w:rPr>
          <w:rFonts w:hAnsi="新細明體" w:hint="eastAsia"/>
        </w:rPr>
        <w:t>上，也深受德國法學與實務的影響</w:t>
      </w:r>
      <w:r>
        <w:rPr>
          <w:rStyle w:val="a9"/>
          <w:rFonts w:hAnsi="新細明體"/>
        </w:rPr>
        <w:footnoteReference w:id="15"/>
      </w:r>
      <w:r>
        <w:rPr>
          <w:rFonts w:hAnsi="新細明體" w:hint="eastAsia"/>
        </w:rPr>
        <w:t>，所以在我國研究與民法上不當得利制度息息相關的公法上不當得利問題，德國法制的比較觀察，仍是最重要的研究方法。</w:t>
      </w:r>
    </w:p>
    <w:p w:rsidR="00000000" w:rsidRDefault="007347A9">
      <w:pPr>
        <w:widowControl/>
        <w:spacing w:afterLines="50" w:after="180" w:line="288" w:lineRule="auto"/>
        <w:ind w:firstLineChars="200" w:firstLine="480"/>
        <w:jc w:val="both"/>
        <w:rPr>
          <w:rFonts w:hAnsi="新細明體" w:hint="eastAsia"/>
        </w:rPr>
      </w:pPr>
      <w:r>
        <w:rPr>
          <w:rFonts w:hAnsi="新細明體" w:hint="eastAsia"/>
        </w:rPr>
        <w:lastRenderedPageBreak/>
        <w:t>當然我國現行民法在立法之初，同時也受到</w:t>
      </w:r>
      <w:r>
        <w:rPr>
          <w:rFonts w:hAnsi="新細明體"/>
        </w:rPr>
        <w:t>瑞士債務法（</w:t>
      </w:r>
      <w:r>
        <w:rPr>
          <w:lang w:val="de-DE"/>
        </w:rPr>
        <w:t>Bundesgesetz betref</w:t>
      </w:r>
      <w:r>
        <w:rPr>
          <w:rFonts w:hint="eastAsia"/>
          <w:lang w:val="de-DE"/>
        </w:rPr>
        <w:softHyphen/>
      </w:r>
      <w:r>
        <w:rPr>
          <w:lang w:val="de-DE"/>
        </w:rPr>
        <w:t>fend die Ergänzung des Schweizerischen Zivilgesetzbuches —</w:t>
      </w:r>
      <w:r>
        <w:rPr>
          <w:rFonts w:hint="eastAsia"/>
          <w:lang w:val="de-DE"/>
        </w:rPr>
        <w:t xml:space="preserve"> </w:t>
      </w:r>
      <w:r>
        <w:rPr>
          <w:lang w:val="de-DE"/>
        </w:rPr>
        <w:t>Fünfter Teil: Obliga</w:t>
      </w:r>
      <w:r>
        <w:rPr>
          <w:rFonts w:hint="eastAsia"/>
          <w:lang w:val="de-DE"/>
        </w:rPr>
        <w:softHyphen/>
      </w:r>
      <w:r>
        <w:rPr>
          <w:lang w:val="de-DE"/>
        </w:rPr>
        <w:t>tionenrecht vom 30. März 1911</w:t>
      </w:r>
      <w:r>
        <w:rPr>
          <w:rFonts w:hAnsi="新細明體"/>
        </w:rPr>
        <w:t>）</w:t>
      </w:r>
      <w:r>
        <w:rPr>
          <w:rFonts w:hAnsi="新細明體" w:hint="eastAsia"/>
        </w:rPr>
        <w:t>一定程度</w:t>
      </w:r>
      <w:r>
        <w:rPr>
          <w:rFonts w:hAnsi="新細明體"/>
        </w:rPr>
        <w:t>的影響</w:t>
      </w:r>
      <w:r>
        <w:rPr>
          <w:rFonts w:hAnsi="新細明體" w:hint="eastAsia"/>
        </w:rPr>
        <w:t>。</w:t>
      </w:r>
      <w:r>
        <w:rPr>
          <w:rFonts w:hAnsi="新細明體"/>
        </w:rPr>
        <w:t>不過</w:t>
      </w:r>
      <w:r>
        <w:rPr>
          <w:rFonts w:hAnsi="新細明體" w:hint="eastAsia"/>
        </w:rPr>
        <w:t>一方面由於</w:t>
      </w:r>
      <w:r>
        <w:rPr>
          <w:rFonts w:hAnsi="新細明體"/>
        </w:rPr>
        <w:t>瑞士債務法上的不當得利，畢竟仍</w:t>
      </w:r>
      <w:r>
        <w:rPr>
          <w:rFonts w:hAnsi="新細明體"/>
        </w:rPr>
        <w:t>屬德國法學流派的產物</w:t>
      </w:r>
      <w:r>
        <w:rPr>
          <w:rStyle w:val="a9"/>
          <w:rFonts w:hAnsi="新細明體"/>
        </w:rPr>
        <w:footnoteReference w:id="16"/>
      </w:r>
      <w:r>
        <w:rPr>
          <w:rFonts w:hAnsi="新細明體"/>
        </w:rPr>
        <w:t>，</w:t>
      </w:r>
      <w:r>
        <w:rPr>
          <w:rFonts w:hAnsi="新細明體" w:hint="eastAsia"/>
        </w:rPr>
        <w:t>而另一方面又由於我國公法學與民法學嗣後的發展，瑞士法制幾乎不再扮演任何的角色，所以在本研究中，瑞士法的問題，似乎可以不必再列入考慮。</w:t>
      </w:r>
    </w:p>
    <w:p w:rsidR="00000000" w:rsidRDefault="007347A9">
      <w:pPr>
        <w:widowControl/>
        <w:spacing w:afterLines="50" w:after="180" w:line="288" w:lineRule="auto"/>
        <w:ind w:firstLineChars="200" w:firstLine="480"/>
        <w:jc w:val="both"/>
        <w:rPr>
          <w:rFonts w:hAnsi="新細明體" w:hint="eastAsia"/>
        </w:rPr>
      </w:pPr>
      <w:r>
        <w:rPr>
          <w:rFonts w:hAnsi="新細明體" w:hint="eastAsia"/>
        </w:rPr>
        <w:t>然而相對於瑞士法，同樣在民法上載有不當得利規定的日本（第七百零三條至第七百零八條），則似有審慎面對的必要。蓋我國法學的發展，不論在公、私法領域，由於歷史淵源與地理位置等的雙重因素，日本法制的影響非常深遠。即以民法上不當得利制度為例，國內學說與實務發展，除德國法外，日本法學也著痕甚深</w:t>
      </w:r>
      <w:r>
        <w:rPr>
          <w:rStyle w:val="a9"/>
          <w:rFonts w:hAnsi="新細明體"/>
        </w:rPr>
        <w:footnoteReference w:id="17"/>
      </w:r>
      <w:r>
        <w:rPr>
          <w:rFonts w:hAnsi="新細明體" w:hint="eastAsia"/>
        </w:rPr>
        <w:t>。不過縱令如此，在本研究中，日本法上深入的比較研究，仍將排除在考慮之外</w:t>
      </w:r>
      <w:r>
        <w:rPr>
          <w:rFonts w:hAnsi="新細明體" w:hint="eastAsia"/>
        </w:rPr>
        <w:t>。因為日本民法上不當得利（</w:t>
      </w:r>
      <w:r>
        <w:rPr>
          <w:rFonts w:hint="eastAsia"/>
          <w:lang w:val="de-DE" w:eastAsia="ja-JP"/>
        </w:rPr>
        <w:t>不</w:t>
      </w:r>
      <w:r>
        <w:rPr>
          <w:rFonts w:ascii="新細明體" w:hAnsi="新細明體" w:hint="eastAsia"/>
          <w:lang w:val="de-DE" w:eastAsia="ja-JP"/>
        </w:rPr>
        <w:t>当</w:t>
      </w:r>
      <w:r>
        <w:rPr>
          <w:rFonts w:hint="eastAsia"/>
          <w:lang w:val="de-DE" w:eastAsia="ja-JP"/>
        </w:rPr>
        <w:t>利得</w:t>
      </w:r>
      <w:r>
        <w:rPr>
          <w:rFonts w:hAnsi="新細明體" w:hint="eastAsia"/>
        </w:rPr>
        <w:t>）之規定，在立法之初雖也頗受瑞士債務法之影響</w:t>
      </w:r>
      <w:r>
        <w:rPr>
          <w:rStyle w:val="a9"/>
          <w:rFonts w:hAnsi="新細明體"/>
        </w:rPr>
        <w:footnoteReference w:id="18"/>
      </w:r>
      <w:r>
        <w:rPr>
          <w:rFonts w:hAnsi="新細明體" w:hint="eastAsia"/>
        </w:rPr>
        <w:t>，不過以後的發展，則與我國同，又多以德國為宗</w:t>
      </w:r>
      <w:r>
        <w:rPr>
          <w:rStyle w:val="a9"/>
          <w:rFonts w:hAnsi="新細明體"/>
        </w:rPr>
        <w:footnoteReference w:id="19"/>
      </w:r>
      <w:r>
        <w:rPr>
          <w:rFonts w:hAnsi="新細明體" w:hint="eastAsia"/>
        </w:rPr>
        <w:t>。此外在日本公法學上，學說及實務雖也注意到所謂公法上不當得利的問題</w:t>
      </w:r>
      <w:r>
        <w:rPr>
          <w:rStyle w:val="a9"/>
          <w:rFonts w:hAnsi="新細明體"/>
        </w:rPr>
        <w:footnoteReference w:id="20"/>
      </w:r>
      <w:r>
        <w:rPr>
          <w:rFonts w:hAnsi="新細明體" w:hint="eastAsia"/>
        </w:rPr>
        <w:t>，但究其學說內容，其實仍屬德國法學影響下的產物。在此，既然日本法學的發展，並不能提供我國公法上不當得利的相關研究一種迥異於德國法制的新觀點，因此本研究在選定比較法對象時，日本法制的討論，也將割愛。</w:t>
      </w:r>
    </w:p>
    <w:p w:rsidR="00000000" w:rsidRDefault="007347A9">
      <w:pPr>
        <w:widowControl/>
        <w:spacing w:afterLines="50" w:after="180" w:line="288" w:lineRule="auto"/>
        <w:ind w:firstLineChars="200" w:firstLine="480"/>
        <w:jc w:val="both"/>
        <w:rPr>
          <w:rFonts w:hAnsi="新細明體" w:hint="eastAsia"/>
        </w:rPr>
      </w:pPr>
      <w:r>
        <w:rPr>
          <w:rFonts w:hAnsi="新細明體" w:hint="eastAsia"/>
        </w:rPr>
        <w:t>最後，尚值一提者，我國公法法制的發展，近年來也逐漸受到法國法</w:t>
      </w:r>
      <w:r>
        <w:rPr>
          <w:rStyle w:val="a9"/>
          <w:rFonts w:hAnsi="新細明體"/>
        </w:rPr>
        <w:footnoteReference w:id="21"/>
      </w:r>
      <w:r>
        <w:rPr>
          <w:rFonts w:hAnsi="新細明體" w:hint="eastAsia"/>
        </w:rPr>
        <w:t>，尤其是英美法</w:t>
      </w:r>
      <w:r>
        <w:rPr>
          <w:rStyle w:val="a9"/>
          <w:rFonts w:hAnsi="新細明體"/>
        </w:rPr>
        <w:footnoteReference w:id="22"/>
      </w:r>
      <w:r>
        <w:rPr>
          <w:rFonts w:hAnsi="新細明體" w:hint="eastAsia"/>
        </w:rPr>
        <w:t>的影響；有關</w:t>
      </w:r>
      <w:r>
        <w:rPr>
          <w:rFonts w:hint="eastAsia"/>
        </w:rPr>
        <w:t>公務人員不當受領的薪俸及其他金</w:t>
      </w:r>
      <w:r>
        <w:rPr>
          <w:rFonts w:hint="eastAsia"/>
        </w:rPr>
        <w:t>錢照護給付，行政</w:t>
      </w:r>
      <w:r>
        <w:rPr>
          <w:rFonts w:hint="eastAsia"/>
        </w:rPr>
        <w:lastRenderedPageBreak/>
        <w:t>機關如何請求返還</w:t>
      </w:r>
      <w:r>
        <w:rPr>
          <w:rFonts w:hAnsi="新細明體" w:hint="eastAsia"/>
        </w:rPr>
        <w:t>，在法國法，乃至英國及美國法中，如何處理，想像上必然也有一套相當的機制。不過問題是：這一套法國法及英美法的處理機制，是否也應該成為本研究探討的範圍？就此，本研究基於以下之考慮，仍然採取否定的態度：</w:t>
      </w:r>
    </w:p>
    <w:p w:rsidR="00000000" w:rsidRDefault="007347A9">
      <w:pPr>
        <w:widowControl/>
        <w:spacing w:afterLines="50" w:after="180" w:line="288" w:lineRule="auto"/>
        <w:ind w:firstLineChars="200" w:firstLine="480"/>
        <w:jc w:val="both"/>
        <w:rPr>
          <w:rFonts w:hAnsi="新細明體" w:hint="eastAsia"/>
        </w:rPr>
      </w:pPr>
      <w:r>
        <w:rPr>
          <w:rFonts w:hAnsi="新細明體" w:hint="eastAsia"/>
        </w:rPr>
        <w:t>蓋首先本研究之研究範圍與目標的設定，如前所述，主要以保訓會實務處理</w:t>
      </w:r>
      <w:r>
        <w:rPr>
          <w:rFonts w:hint="eastAsia"/>
        </w:rPr>
        <w:t>公務人員公法上金錢給付之返還請求的</w:t>
      </w:r>
      <w:r>
        <w:rPr>
          <w:rFonts w:hAnsi="新細明體" w:hint="eastAsia"/>
        </w:rPr>
        <w:t>經驗作為出發點。因此，法國法，以及英美法處理相關問題，如果並不是利用公法上之不當得利或其他內容類似的制度著手，則基於本研究之研究主題的設定，似不宜同時列入本研究的比較法探討範圍內；否</w:t>
      </w:r>
      <w:r>
        <w:rPr>
          <w:rFonts w:hAnsi="新細明體" w:hint="eastAsia"/>
        </w:rPr>
        <w:t>則本研究將因研究方向的過度分歧，而缺乏研究過程的一貫性。</w:t>
      </w:r>
    </w:p>
    <w:p w:rsidR="00000000" w:rsidRDefault="007347A9">
      <w:pPr>
        <w:widowControl/>
        <w:spacing w:afterLines="50" w:after="180" w:line="288" w:lineRule="auto"/>
        <w:ind w:firstLineChars="200" w:firstLine="480"/>
        <w:jc w:val="both"/>
        <w:rPr>
          <w:rFonts w:hAnsi="新細明體" w:hint="eastAsia"/>
        </w:rPr>
      </w:pPr>
      <w:r>
        <w:rPr>
          <w:rFonts w:hAnsi="新細明體" w:hint="eastAsia"/>
        </w:rPr>
        <w:t>其次，查公法上不當得利者，無論在德國，或是深受德國法制影響的我國而言，均指那一套脫胎自民法上不當得利，或至少能與民法上不當得利平行比較的制度。準此，當吾人反觀法國法，乃至英美法時，則將發現，所謂民法上之不當得利，無論在法國法或英美法，均存在著與我國法制截然不同的發展方向</w:t>
      </w:r>
      <w:r>
        <w:rPr>
          <w:rStyle w:val="a9"/>
          <w:rFonts w:hAnsi="新細明體"/>
        </w:rPr>
        <w:footnoteReference w:id="23"/>
      </w:r>
      <w:r>
        <w:rPr>
          <w:rFonts w:hAnsi="新細明體" w:hint="eastAsia"/>
        </w:rPr>
        <w:t>；一種與我國法制中熟悉的不當得利概念，在這兩種法制，尤其是英美法中，迄今也未明顯地浮現。從而本研究既將以公法上不當得利制度作為研究主軸，則對於不當得利概念並不採取與德國法或我國法相同</w:t>
      </w:r>
      <w:r>
        <w:rPr>
          <w:rFonts w:hAnsi="新細明體" w:hint="eastAsia"/>
        </w:rPr>
        <w:t>或類似理解的法國法制與英美法制，似乎應該排除在本研究中比較法參考的範圍；否則本研究進行的一貫性，也將同樣地遭受阻撓，以致研究目標，嚴重失焦。</w:t>
      </w:r>
    </w:p>
    <w:p w:rsidR="00000000" w:rsidRDefault="007347A9">
      <w:pPr>
        <w:widowControl/>
        <w:spacing w:afterLines="50" w:after="180" w:line="288" w:lineRule="auto"/>
        <w:ind w:firstLineChars="200" w:firstLine="480"/>
        <w:jc w:val="both"/>
        <w:rPr>
          <w:rFonts w:hAnsi="新細明體" w:hint="eastAsia"/>
        </w:rPr>
      </w:pPr>
      <w:r>
        <w:rPr>
          <w:rFonts w:hAnsi="新細明體" w:hint="eastAsia"/>
        </w:rPr>
        <w:t>因此，根據以上的種種考慮，有關法國法制與英美法制如何解決行政機關請求公務人員返還所不當受領的金錢給付，以及該解決機制，對於我國法制有無啟示性意義等問題，似宜讓諸其他相關的論文另行處理，而在以公法上不當得利作為研究主軸的本研究中，並不列入考慮。</w:t>
      </w:r>
    </w:p>
    <w:p w:rsidR="00000000" w:rsidRDefault="007347A9">
      <w:pPr>
        <w:widowControl/>
        <w:spacing w:line="288" w:lineRule="auto"/>
        <w:ind w:firstLineChars="200" w:firstLine="480"/>
        <w:jc w:val="both"/>
        <w:rPr>
          <w:rFonts w:hAnsi="新細明體" w:hint="eastAsia"/>
        </w:rPr>
      </w:pPr>
      <w:r>
        <w:rPr>
          <w:rFonts w:hAnsi="新細明體" w:hint="eastAsia"/>
        </w:rPr>
        <w:t>總之，綜合如上的討論，作為本研究之比較法觀察的對象，仍以德國法制為唯一選擇；而依據此一考慮，本研究以下的進行，在先介紹過德國法</w:t>
      </w:r>
      <w:r>
        <w:rPr>
          <w:rFonts w:hAnsi="新細明體" w:hint="eastAsia"/>
        </w:rPr>
        <w:t>上之公法上不當得利制度，以及德國法學界如何利用這一套制度處理</w:t>
      </w:r>
      <w:r>
        <w:rPr>
          <w:rFonts w:hint="eastAsia"/>
        </w:rPr>
        <w:t>公務人員公法上金錢給付之返還請求的問題後（第二章），將進一步以交叉比較德國法與我國法的方式，深入討論本研究前開第一章第二節所臚列的各項相關問題（第三章及第四章）。最後，討論之所得，除將做成結論外，也將提供若干立法政策上的建言，用作將來相關法制修正或建立時參考（第五章）。</w:t>
      </w:r>
    </w:p>
    <w:p w:rsidR="007347A9" w:rsidRDefault="007347A9">
      <w:pPr>
        <w:widowControl/>
        <w:spacing w:afterLines="50" w:after="180" w:line="288" w:lineRule="auto"/>
        <w:ind w:firstLineChars="200" w:firstLine="480"/>
        <w:jc w:val="both"/>
        <w:rPr>
          <w:rFonts w:hint="eastAsia"/>
        </w:rPr>
      </w:pPr>
      <w:r>
        <w:br w:type="page"/>
      </w:r>
    </w:p>
    <w:sectPr w:rsidR="007347A9">
      <w:footerReference w:type="even" r:id="rId7"/>
      <w:footerReference w:type="default" r:id="rId8"/>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7A9" w:rsidRDefault="007347A9">
      <w:r>
        <w:separator/>
      </w:r>
    </w:p>
  </w:endnote>
  <w:endnote w:type="continuationSeparator" w:id="0">
    <w:p w:rsidR="007347A9" w:rsidRDefault="0073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347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7347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347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2D0D">
      <w:rPr>
        <w:rStyle w:val="a6"/>
        <w:noProof/>
      </w:rPr>
      <w:t>1</w:t>
    </w:r>
    <w:r>
      <w:rPr>
        <w:rStyle w:val="a6"/>
      </w:rPr>
      <w:fldChar w:fldCharType="end"/>
    </w:r>
  </w:p>
  <w:p w:rsidR="00000000" w:rsidRDefault="007347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7A9" w:rsidRDefault="007347A9">
      <w:r>
        <w:separator/>
      </w:r>
    </w:p>
  </w:footnote>
  <w:footnote w:type="continuationSeparator" w:id="0">
    <w:p w:rsidR="007347A9" w:rsidRDefault="007347A9">
      <w:r>
        <w:continuationSeparator/>
      </w:r>
    </w:p>
  </w:footnote>
  <w:footnote w:id="1">
    <w:p w:rsidR="00000000" w:rsidRDefault="007347A9">
      <w:pPr>
        <w:pStyle w:val="aa"/>
        <w:spacing w:after="180"/>
        <w:rPr>
          <w:rFonts w:hint="eastAsia"/>
        </w:rPr>
      </w:pPr>
      <w:r>
        <w:rPr>
          <w:rStyle w:val="a9"/>
        </w:rPr>
        <w:footnoteRef/>
      </w:r>
      <w:r>
        <w:t xml:space="preserve"> </w:t>
      </w:r>
      <w:r>
        <w:rPr>
          <w:rFonts w:hint="eastAsia"/>
        </w:rPr>
        <w:t>相關理論在我國逐漸被質疑，乃至突破的過程，詳見：李建良等著，行政法入門，頁</w:t>
      </w:r>
      <w:r>
        <w:rPr>
          <w:rFonts w:hint="eastAsia"/>
        </w:rPr>
        <w:t>153</w:t>
      </w:r>
      <w:r>
        <w:rPr>
          <w:rFonts w:hint="eastAsia"/>
        </w:rPr>
        <w:t>以下。</w:t>
      </w:r>
    </w:p>
  </w:footnote>
  <w:footnote w:id="2">
    <w:p w:rsidR="00000000" w:rsidRDefault="007347A9">
      <w:pPr>
        <w:pStyle w:val="aa"/>
        <w:spacing w:after="180"/>
        <w:rPr>
          <w:rFonts w:hint="eastAsia"/>
        </w:rPr>
      </w:pPr>
      <w:r>
        <w:rPr>
          <w:rStyle w:val="a9"/>
        </w:rPr>
        <w:footnoteRef/>
      </w:r>
      <w:r>
        <w:t xml:space="preserve"> </w:t>
      </w:r>
      <w:r>
        <w:rPr>
          <w:rFonts w:hint="eastAsia"/>
        </w:rPr>
        <w:t>關於贍養原則，參見：陳敏，行政法總論，頁</w:t>
      </w:r>
      <w:r>
        <w:rPr>
          <w:rFonts w:hint="eastAsia"/>
        </w:rPr>
        <w:t>1041</w:t>
      </w:r>
      <w:r>
        <w:rPr>
          <w:rFonts w:hint="eastAsia"/>
        </w:rPr>
        <w:t>；德文文獻，例見：</w:t>
      </w:r>
      <w:r>
        <w:rPr>
          <w:rFonts w:hint="eastAsia"/>
          <w:i/>
        </w:rPr>
        <w:t>Wagner</w:t>
      </w:r>
      <w:r>
        <w:rPr>
          <w:rFonts w:hint="eastAsia"/>
        </w:rPr>
        <w:t>,</w:t>
      </w:r>
      <w:r>
        <w:rPr>
          <w:rFonts w:hint="eastAsia"/>
        </w:rPr>
        <w:t xml:space="preserve"> Beamtenrecht, Rn. 263 f.</w:t>
      </w:r>
      <w:r>
        <w:rPr>
          <w:rFonts w:hint="eastAsia"/>
        </w:rPr>
        <w:t>。</w:t>
      </w:r>
    </w:p>
  </w:footnote>
  <w:footnote w:id="3">
    <w:p w:rsidR="00000000" w:rsidRDefault="007347A9">
      <w:pPr>
        <w:pStyle w:val="aa"/>
        <w:spacing w:after="180"/>
        <w:rPr>
          <w:rFonts w:hint="eastAsia"/>
        </w:rPr>
      </w:pPr>
      <w:r>
        <w:rPr>
          <w:rStyle w:val="a9"/>
        </w:rPr>
        <w:footnoteRef/>
      </w:r>
      <w:r>
        <w:t xml:space="preserve"> </w:t>
      </w:r>
      <w:r>
        <w:rPr>
          <w:rFonts w:hint="eastAsia"/>
        </w:rPr>
        <w:t>在民國</w:t>
      </w:r>
      <w:r>
        <w:rPr>
          <w:rFonts w:hint="eastAsia"/>
        </w:rPr>
        <w:t>92</w:t>
      </w:r>
      <w:r>
        <w:rPr>
          <w:rFonts w:hint="eastAsia"/>
        </w:rPr>
        <w:t>年</w:t>
      </w:r>
      <w:r>
        <w:rPr>
          <w:rFonts w:hint="eastAsia"/>
        </w:rPr>
        <w:t>5</w:t>
      </w:r>
      <w:r>
        <w:rPr>
          <w:rFonts w:hint="eastAsia"/>
        </w:rPr>
        <w:t>月</w:t>
      </w:r>
      <w:r>
        <w:rPr>
          <w:rFonts w:hint="eastAsia"/>
        </w:rPr>
        <w:t>28</w:t>
      </w:r>
      <w:r>
        <w:rPr>
          <w:rFonts w:hint="eastAsia"/>
        </w:rPr>
        <w:t>日前，保訓會針對現行公務人員保障法第二十五條所規定的復審事件，原屬再復審管轄機關（舊法第十九條）；在現行法於前揭日期配合訴願法修正公布後，復審、再復審程序簡化為復審程序一級，保訓會依現行法第四條第二項之規定，也成為復審管轄機關。</w:t>
      </w:r>
    </w:p>
  </w:footnote>
  <w:footnote w:id="4">
    <w:p w:rsidR="00000000" w:rsidRDefault="007347A9">
      <w:pPr>
        <w:pStyle w:val="aa"/>
        <w:spacing w:after="180"/>
        <w:rPr>
          <w:rFonts w:hint="eastAsia"/>
        </w:rPr>
      </w:pPr>
      <w:r>
        <w:rPr>
          <w:rStyle w:val="a9"/>
        </w:rPr>
        <w:footnoteRef/>
      </w:r>
      <w:r>
        <w:t xml:space="preserve"> </w:t>
      </w:r>
      <w:r>
        <w:rPr>
          <w:rFonts w:hint="eastAsia"/>
        </w:rPr>
        <w:t>但見：行政法院</w:t>
      </w:r>
      <w:r>
        <w:rPr>
          <w:rFonts w:hint="eastAsia"/>
        </w:rPr>
        <w:t>86</w:t>
      </w:r>
      <w:r>
        <w:rPr>
          <w:rFonts w:hint="eastAsia"/>
        </w:rPr>
        <w:t>年判字第</w:t>
      </w:r>
      <w:r>
        <w:rPr>
          <w:rFonts w:hint="eastAsia"/>
        </w:rPr>
        <w:t>1861</w:t>
      </w:r>
      <w:r>
        <w:rPr>
          <w:rFonts w:hint="eastAsia"/>
        </w:rPr>
        <w:t>號判決；臺中高等行政法院</w:t>
      </w:r>
      <w:r>
        <w:rPr>
          <w:rFonts w:hint="eastAsia"/>
        </w:rPr>
        <w:t>93</w:t>
      </w:r>
      <w:r>
        <w:rPr>
          <w:rFonts w:hint="eastAsia"/>
        </w:rPr>
        <w:t>年簡字第</w:t>
      </w:r>
      <w:r>
        <w:rPr>
          <w:rFonts w:hint="eastAsia"/>
        </w:rPr>
        <w:t>101</w:t>
      </w:r>
      <w:r>
        <w:rPr>
          <w:rFonts w:hint="eastAsia"/>
        </w:rPr>
        <w:t>號判決。</w:t>
      </w:r>
    </w:p>
  </w:footnote>
  <w:footnote w:id="5">
    <w:p w:rsidR="00000000" w:rsidRDefault="007347A9">
      <w:pPr>
        <w:pStyle w:val="aa"/>
        <w:spacing w:after="180"/>
        <w:rPr>
          <w:rFonts w:hint="eastAsia"/>
        </w:rPr>
      </w:pPr>
      <w:r>
        <w:rPr>
          <w:rStyle w:val="a9"/>
        </w:rPr>
        <w:footnoteRef/>
      </w:r>
      <w:r>
        <w:t xml:space="preserve"> </w:t>
      </w:r>
      <w:r>
        <w:rPr>
          <w:rFonts w:hint="eastAsia"/>
        </w:rPr>
        <w:t>有關國內不同的公務人員之概念定義，參見：吳庚，行政法之理論與實用，頁</w:t>
      </w:r>
      <w:r>
        <w:rPr>
          <w:rFonts w:hint="eastAsia"/>
        </w:rPr>
        <w:t>218-220</w:t>
      </w:r>
      <w:r>
        <w:rPr>
          <w:rFonts w:hint="eastAsia"/>
        </w:rPr>
        <w:t>；林明鏘／蔡茂寅，公務員法，</w:t>
      </w:r>
      <w:r>
        <w:rPr>
          <w:rFonts w:hint="eastAsia"/>
        </w:rPr>
        <w:t>收於：翁岳生　編，行政法　上，頁</w:t>
      </w:r>
      <w:r>
        <w:rPr>
          <w:rFonts w:hint="eastAsia"/>
        </w:rPr>
        <w:t>351-353</w:t>
      </w:r>
      <w:r>
        <w:rPr>
          <w:rFonts w:hint="eastAsia"/>
        </w:rPr>
        <w:t>。</w:t>
      </w:r>
    </w:p>
  </w:footnote>
  <w:footnote w:id="6">
    <w:p w:rsidR="00000000" w:rsidRDefault="007347A9">
      <w:pPr>
        <w:pStyle w:val="aa"/>
        <w:spacing w:after="180"/>
        <w:rPr>
          <w:rFonts w:hint="eastAsia"/>
        </w:rPr>
      </w:pPr>
      <w:r>
        <w:rPr>
          <w:rStyle w:val="a9"/>
        </w:rPr>
        <w:footnoteRef/>
      </w:r>
      <w:r>
        <w:t xml:space="preserve"> </w:t>
      </w:r>
      <w:r>
        <w:rPr>
          <w:rFonts w:hint="eastAsia"/>
        </w:rPr>
        <w:t>國內有關公法上不當得利之完整性研究，首推：</w:t>
      </w:r>
      <w:r>
        <w:t>魏虎嶺</w:t>
      </w:r>
      <w:r>
        <w:rPr>
          <w:rFonts w:hint="eastAsia"/>
        </w:rPr>
        <w:t>，</w:t>
      </w:r>
      <w:r>
        <w:t>公法上不當得利之研究</w:t>
      </w:r>
      <w:r>
        <w:rPr>
          <w:rFonts w:hint="eastAsia"/>
        </w:rPr>
        <w:t>，</w:t>
      </w:r>
      <w:r>
        <w:rPr>
          <w:rFonts w:hint="eastAsia"/>
        </w:rPr>
        <w:t>1987</w:t>
      </w:r>
      <w:r>
        <w:rPr>
          <w:rFonts w:hint="eastAsia"/>
        </w:rPr>
        <w:t>年。至於近來行政法教科書，如吳庚，行政法之理論與實用，頁</w:t>
      </w:r>
      <w:r>
        <w:rPr>
          <w:rFonts w:hint="eastAsia"/>
        </w:rPr>
        <w:t>695-698</w:t>
      </w:r>
      <w:r>
        <w:rPr>
          <w:rFonts w:hint="eastAsia"/>
        </w:rPr>
        <w:t>；陳敏，行政法總論，頁</w:t>
      </w:r>
      <w:r>
        <w:rPr>
          <w:rFonts w:hint="eastAsia"/>
        </w:rPr>
        <w:t>1181-1187</w:t>
      </w:r>
      <w:r>
        <w:rPr>
          <w:rFonts w:hint="eastAsia"/>
        </w:rPr>
        <w:t>等，亦均參考德國法制，來探討我國法上的公法上不當得利之制度。</w:t>
      </w:r>
    </w:p>
  </w:footnote>
  <w:footnote w:id="7">
    <w:p w:rsidR="00000000" w:rsidRDefault="007347A9">
      <w:pPr>
        <w:pStyle w:val="aa"/>
        <w:spacing w:after="180"/>
        <w:rPr>
          <w:rFonts w:hint="eastAsia"/>
        </w:rPr>
      </w:pPr>
      <w:r>
        <w:rPr>
          <w:rStyle w:val="a9"/>
        </w:rPr>
        <w:footnoteRef/>
      </w:r>
      <w:r>
        <w:t xml:space="preserve"> </w:t>
      </w:r>
      <w:r>
        <w:rPr>
          <w:rFonts w:hint="eastAsia"/>
        </w:rPr>
        <w:t>例見：臺北高等行政法院</w:t>
      </w:r>
      <w:r>
        <w:rPr>
          <w:rFonts w:hint="eastAsia"/>
        </w:rPr>
        <w:t>90</w:t>
      </w:r>
      <w:r>
        <w:rPr>
          <w:rFonts w:hint="eastAsia"/>
        </w:rPr>
        <w:t>年訴字第</w:t>
      </w:r>
      <w:r>
        <w:rPr>
          <w:rFonts w:hint="eastAsia"/>
        </w:rPr>
        <w:t>1752</w:t>
      </w:r>
      <w:r>
        <w:rPr>
          <w:rFonts w:hint="eastAsia"/>
        </w:rPr>
        <w:t>號判決、臺北高等行政法院</w:t>
      </w:r>
      <w:r>
        <w:rPr>
          <w:rFonts w:hint="eastAsia"/>
        </w:rPr>
        <w:t>91</w:t>
      </w:r>
      <w:r>
        <w:rPr>
          <w:rFonts w:hint="eastAsia"/>
        </w:rPr>
        <w:t>年訴字第</w:t>
      </w:r>
      <w:r>
        <w:rPr>
          <w:rFonts w:hint="eastAsia"/>
        </w:rPr>
        <w:t>4774</w:t>
      </w:r>
      <w:r>
        <w:rPr>
          <w:rFonts w:hint="eastAsia"/>
        </w:rPr>
        <w:t>號判決。</w:t>
      </w:r>
    </w:p>
  </w:footnote>
  <w:footnote w:id="8">
    <w:p w:rsidR="00000000" w:rsidRDefault="007347A9">
      <w:pPr>
        <w:pStyle w:val="aa"/>
        <w:spacing w:after="180"/>
        <w:rPr>
          <w:rFonts w:hint="eastAsia"/>
        </w:rPr>
      </w:pPr>
      <w:r>
        <w:rPr>
          <w:rStyle w:val="a9"/>
        </w:rPr>
        <w:footnoteRef/>
      </w:r>
      <w:r>
        <w:t xml:space="preserve"> </w:t>
      </w:r>
      <w:r>
        <w:rPr>
          <w:rFonts w:hint="eastAsia"/>
        </w:rPr>
        <w:t>例見：</w:t>
      </w:r>
      <w:r>
        <w:rPr>
          <w:rFonts w:hint="eastAsia"/>
        </w:rPr>
        <w:t>86</w:t>
      </w:r>
      <w:r>
        <w:rPr>
          <w:rFonts w:hint="eastAsia"/>
        </w:rPr>
        <w:t>年判字第</w:t>
      </w:r>
      <w:r>
        <w:rPr>
          <w:rFonts w:hint="eastAsia"/>
        </w:rPr>
        <w:t>1861</w:t>
      </w:r>
      <w:r>
        <w:rPr>
          <w:rFonts w:hint="eastAsia"/>
        </w:rPr>
        <w:t>號判決、</w:t>
      </w:r>
      <w:r>
        <w:rPr>
          <w:rFonts w:hint="eastAsia"/>
        </w:rPr>
        <w:t>86</w:t>
      </w:r>
      <w:r>
        <w:rPr>
          <w:rFonts w:hint="eastAsia"/>
        </w:rPr>
        <w:t>年判字第</w:t>
      </w:r>
      <w:r>
        <w:rPr>
          <w:rFonts w:hint="eastAsia"/>
        </w:rPr>
        <w:t>2106</w:t>
      </w:r>
      <w:r>
        <w:rPr>
          <w:rFonts w:hint="eastAsia"/>
        </w:rPr>
        <w:t>號判決、</w:t>
      </w:r>
      <w:r>
        <w:rPr>
          <w:rFonts w:hint="eastAsia"/>
        </w:rPr>
        <w:t>87</w:t>
      </w:r>
      <w:r>
        <w:rPr>
          <w:rFonts w:hint="eastAsia"/>
        </w:rPr>
        <w:t>年判字第</w:t>
      </w:r>
      <w:r>
        <w:rPr>
          <w:rFonts w:hint="eastAsia"/>
        </w:rPr>
        <w:t>1945</w:t>
      </w:r>
      <w:r>
        <w:rPr>
          <w:rFonts w:hint="eastAsia"/>
        </w:rPr>
        <w:t>號判決及</w:t>
      </w:r>
      <w:r>
        <w:rPr>
          <w:rFonts w:hint="eastAsia"/>
        </w:rPr>
        <w:t>88</w:t>
      </w:r>
      <w:r>
        <w:rPr>
          <w:rFonts w:hint="eastAsia"/>
        </w:rPr>
        <w:t>年判字第</w:t>
      </w:r>
      <w:r>
        <w:rPr>
          <w:rFonts w:hint="eastAsia"/>
        </w:rPr>
        <w:t>448</w:t>
      </w:r>
      <w:r>
        <w:rPr>
          <w:rFonts w:hint="eastAsia"/>
        </w:rPr>
        <w:t>號判決。</w:t>
      </w:r>
    </w:p>
  </w:footnote>
  <w:footnote w:id="9">
    <w:p w:rsidR="00000000" w:rsidRDefault="007347A9">
      <w:pPr>
        <w:pStyle w:val="aa"/>
        <w:spacing w:after="180"/>
        <w:rPr>
          <w:rFonts w:hint="eastAsia"/>
        </w:rPr>
      </w:pPr>
      <w:r>
        <w:rPr>
          <w:rStyle w:val="a9"/>
        </w:rPr>
        <w:footnoteRef/>
      </w:r>
      <w:r>
        <w:t xml:space="preserve"> </w:t>
      </w:r>
      <w:r>
        <w:rPr>
          <w:rFonts w:hint="eastAsia"/>
        </w:rPr>
        <w:t>例見：</w:t>
      </w:r>
      <w:r>
        <w:rPr>
          <w:rFonts w:hint="eastAsia"/>
        </w:rPr>
        <w:t>92</w:t>
      </w:r>
      <w:r>
        <w:rPr>
          <w:rFonts w:hint="eastAsia"/>
        </w:rPr>
        <w:t>年判字第</w:t>
      </w:r>
      <w:r>
        <w:rPr>
          <w:rFonts w:hint="eastAsia"/>
        </w:rPr>
        <w:t>761</w:t>
      </w:r>
      <w:r>
        <w:rPr>
          <w:rFonts w:hint="eastAsia"/>
        </w:rPr>
        <w:t>號判決、</w:t>
      </w:r>
      <w:r>
        <w:rPr>
          <w:rFonts w:hint="eastAsia"/>
        </w:rPr>
        <w:t>92</w:t>
      </w:r>
      <w:r>
        <w:rPr>
          <w:rFonts w:hint="eastAsia"/>
        </w:rPr>
        <w:t>年判字第</w:t>
      </w:r>
      <w:r>
        <w:rPr>
          <w:rFonts w:hint="eastAsia"/>
        </w:rPr>
        <w:t>1580</w:t>
      </w:r>
      <w:r>
        <w:rPr>
          <w:rFonts w:hint="eastAsia"/>
        </w:rPr>
        <w:t>號判決。</w:t>
      </w:r>
    </w:p>
  </w:footnote>
  <w:footnote w:id="10">
    <w:p w:rsidR="00000000" w:rsidRDefault="007347A9">
      <w:pPr>
        <w:pStyle w:val="aa"/>
        <w:spacing w:after="180"/>
        <w:rPr>
          <w:rFonts w:hint="eastAsia"/>
        </w:rPr>
      </w:pPr>
      <w:r>
        <w:rPr>
          <w:rStyle w:val="a9"/>
        </w:rPr>
        <w:footnoteRef/>
      </w:r>
      <w:r>
        <w:t xml:space="preserve"> </w:t>
      </w:r>
      <w:r>
        <w:rPr>
          <w:rFonts w:hint="eastAsia"/>
        </w:rPr>
        <w:t>該釋字第</w:t>
      </w:r>
      <w:r>
        <w:rPr>
          <w:rFonts w:hint="eastAsia"/>
        </w:rPr>
        <w:t>515</w:t>
      </w:r>
      <w:r>
        <w:rPr>
          <w:rFonts w:hint="eastAsia"/>
        </w:rPr>
        <w:t>號解釋與此相關之解釋文部分為：「</w:t>
      </w:r>
      <w:r>
        <w:rPr>
          <w:rFonts w:ascii="新細明體" w:hAnsi="新細明體"/>
        </w:rPr>
        <w:t>…</w:t>
      </w:r>
      <w:r>
        <w:rPr>
          <w:rFonts w:ascii="細明體" w:eastAsia="細明體" w:hAnsi="細明體" w:cs="細明體"/>
          <w:kern w:val="0"/>
        </w:rPr>
        <w:t>工業主管機關依本條例</w:t>
      </w:r>
      <w:r>
        <w:rPr>
          <w:rFonts w:ascii="細明體" w:eastAsia="細明體" w:hAnsi="細明體" w:cs="細明體" w:hint="eastAsia"/>
          <w:kern w:val="0"/>
        </w:rPr>
        <w:t>〔筆者按：促進產業升級條例〕</w:t>
      </w:r>
      <w:r>
        <w:rPr>
          <w:rFonts w:ascii="細明體" w:eastAsia="細明體" w:hAnsi="細明體" w:cs="細明體"/>
          <w:kern w:val="0"/>
        </w:rPr>
        <w:t>開發之工業區，除社區用地外，其土地、標準廠房或各種建築物出售時，應由承購人分別按土地承購價額或標準廠房、各種建築物承購價額百分之三或百分之一繳付工業區開發管理基金。此一基金係專對承購工業區土地、廠房及其他建築物興辦工業人課徵，用於挹注工業區開發及管理之所需，性質上相當於對有共同利益群體者所課徵之特別公課及使用規費，並非原購買土地</w:t>
      </w:r>
      <w:r>
        <w:rPr>
          <w:rFonts w:ascii="細明體" w:eastAsia="細明體" w:hAnsi="細明體" w:cs="細明體"/>
          <w:kern w:val="0"/>
        </w:rPr>
        <w:t>或廠房等價格之一部分，該條例施行細則第九十六條：</w:t>
      </w:r>
      <w:r>
        <w:rPr>
          <w:rFonts w:ascii="細明體" w:eastAsia="細明體" w:hAnsi="細明體" w:cs="細明體" w:hint="eastAsia"/>
          <w:kern w:val="0"/>
        </w:rPr>
        <w:t>『</w:t>
      </w:r>
      <w:r>
        <w:rPr>
          <w:rFonts w:ascii="細明體" w:eastAsia="細明體" w:hAnsi="細明體" w:cs="細明體"/>
          <w:kern w:val="0"/>
        </w:rPr>
        <w:t>本條例第三十八條第一項第一款所稱原購買地價及原購買價格，不包括承購時隨價繳付之工業區開發管理基金</w:t>
      </w:r>
      <w:r>
        <w:rPr>
          <w:rFonts w:ascii="細明體" w:eastAsia="細明體" w:hAnsi="細明體" w:cs="細明體" w:hint="eastAsia"/>
          <w:kern w:val="0"/>
        </w:rPr>
        <w:t>』</w:t>
      </w:r>
      <w:r>
        <w:rPr>
          <w:rFonts w:ascii="細明體" w:eastAsia="細明體" w:hAnsi="細明體" w:cs="細明體"/>
          <w:kern w:val="0"/>
        </w:rPr>
        <w:t>，此對購買土地及廠房後未能於前開一年內使用而僅繳付價金者，固無不合。惟興辦工業人承購工業區土地或廠房後，工業主管機關依上開條例第三十八條之規定強制買回，若係由於非可歸責於興辦工業人之事由者，其自始既未成為特別公課徵收對象共同利益群體之成員，亦不具有繳納規費之利用關係，則課徵工業區開發管理基金之前提要件及目的均已消失，其課徵供作基金款項之法律上原因遂不復存在，成為</w:t>
      </w:r>
      <w:r>
        <w:rPr>
          <w:rFonts w:ascii="細明體" w:eastAsia="細明體" w:hAnsi="細明體" w:cs="細明體"/>
          <w:kern w:val="0"/>
        </w:rPr>
        <w:t>公法上之不當得利。依上開細則之規定，該管機關僅須以原價買回，對已按一定比例課徵作為基金之款項，不予返還，即與憲法保障人民權利之意旨有違，該細則此部分規定，並不排除上述返還請求權之行使</w:t>
      </w:r>
      <w:r>
        <w:rPr>
          <w:rFonts w:ascii="新細明體" w:hAnsi="新細明體"/>
        </w:rPr>
        <w:t>…</w:t>
      </w:r>
      <w:r>
        <w:rPr>
          <w:rFonts w:ascii="細明體" w:eastAsia="細明體" w:hAnsi="細明體" w:cs="細明體"/>
          <w:kern w:val="0"/>
        </w:rPr>
        <w:t>。</w:t>
      </w:r>
      <w:r>
        <w:rPr>
          <w:rFonts w:hint="eastAsia"/>
        </w:rPr>
        <w:t>」相關之評論，見：</w:t>
      </w:r>
      <w:r>
        <w:t>陳愛娥</w:t>
      </w:r>
      <w:r>
        <w:rPr>
          <w:rFonts w:hint="eastAsia"/>
        </w:rPr>
        <w:t>，</w:t>
      </w:r>
      <w:r>
        <w:t>工業區開發管理基金與公法上之不當得利返還請求權</w:t>
      </w:r>
      <w:r>
        <w:rPr>
          <w:rFonts w:hint="eastAsia"/>
        </w:rPr>
        <w:t xml:space="preserve"> </w:t>
      </w:r>
      <w:r>
        <w:t>—</w:t>
      </w:r>
      <w:r>
        <w:rPr>
          <w:rFonts w:hint="eastAsia"/>
        </w:rPr>
        <w:t xml:space="preserve"> </w:t>
      </w:r>
      <w:r>
        <w:t>評司法院大法官釋字第五一五號解釋</w:t>
      </w:r>
      <w:r>
        <w:rPr>
          <w:rFonts w:hint="eastAsia"/>
        </w:rPr>
        <w:t>，本土</w:t>
      </w:r>
      <w:r>
        <w:t>19</w:t>
      </w:r>
      <w:r>
        <w:rPr>
          <w:rFonts w:hint="eastAsia"/>
        </w:rPr>
        <w:t>期，</w:t>
      </w:r>
      <w:r>
        <w:rPr>
          <w:rFonts w:hint="eastAsia"/>
        </w:rPr>
        <w:t>2001</w:t>
      </w:r>
      <w:r>
        <w:rPr>
          <w:rFonts w:hint="eastAsia"/>
        </w:rPr>
        <w:t>年</w:t>
      </w:r>
      <w:r>
        <w:t>2</w:t>
      </w:r>
      <w:r>
        <w:rPr>
          <w:rFonts w:hint="eastAsia"/>
        </w:rPr>
        <w:t>月，頁</w:t>
      </w:r>
      <w:r>
        <w:rPr>
          <w:rFonts w:hint="eastAsia"/>
        </w:rPr>
        <w:t>9</w:t>
      </w:r>
      <w:r>
        <w:rPr>
          <w:rFonts w:hint="eastAsia"/>
        </w:rPr>
        <w:t>以下（側重公、私法區別問題之探討）。另本號解釋之解釋文及理由書等全文，見：本研究附錄　參、一。</w:t>
      </w:r>
    </w:p>
  </w:footnote>
  <w:footnote w:id="11">
    <w:p w:rsidR="00000000" w:rsidRDefault="007347A9">
      <w:pPr>
        <w:pStyle w:val="aa"/>
        <w:spacing w:after="180"/>
        <w:rPr>
          <w:rFonts w:hint="eastAsia"/>
        </w:rPr>
      </w:pPr>
      <w:r>
        <w:rPr>
          <w:rStyle w:val="a9"/>
        </w:rPr>
        <w:footnoteRef/>
      </w:r>
      <w:r>
        <w:t xml:space="preserve"> </w:t>
      </w:r>
      <w:r>
        <w:rPr>
          <w:rFonts w:hint="eastAsia"/>
        </w:rPr>
        <w:t>見：立法院法制委員會編，行政程序法案，頁</w:t>
      </w:r>
      <w:r>
        <w:rPr>
          <w:rFonts w:hint="eastAsia"/>
        </w:rPr>
        <w:t>1500-1501</w:t>
      </w:r>
      <w:r>
        <w:rPr>
          <w:rFonts w:hint="eastAsia"/>
        </w:rPr>
        <w:t>。相關問題，並詳見下文第</w:t>
      </w:r>
      <w:r>
        <w:rPr>
          <w:rFonts w:hint="eastAsia"/>
        </w:rPr>
        <w:t>二章第二節貳、一。</w:t>
      </w:r>
    </w:p>
  </w:footnote>
  <w:footnote w:id="12">
    <w:p w:rsidR="00000000" w:rsidRDefault="007347A9">
      <w:pPr>
        <w:pStyle w:val="aa"/>
        <w:spacing w:after="180"/>
        <w:rPr>
          <w:rFonts w:hint="eastAsia"/>
        </w:rPr>
      </w:pPr>
      <w:r>
        <w:rPr>
          <w:rStyle w:val="a9"/>
        </w:rPr>
        <w:footnoteRef/>
      </w:r>
      <w:r>
        <w:t xml:space="preserve"> </w:t>
      </w:r>
      <w:r>
        <w:rPr>
          <w:rFonts w:hint="eastAsia"/>
        </w:rPr>
        <w:t>見：立法院法制委員會編，行政程序法案，頁</w:t>
      </w:r>
      <w:r>
        <w:rPr>
          <w:rFonts w:hint="eastAsia"/>
        </w:rPr>
        <w:t>1500-1501</w:t>
      </w:r>
      <w:r>
        <w:rPr>
          <w:rFonts w:hint="eastAsia"/>
        </w:rPr>
        <w:t>。</w:t>
      </w:r>
    </w:p>
  </w:footnote>
  <w:footnote w:id="13">
    <w:p w:rsidR="00000000" w:rsidRDefault="007347A9">
      <w:pPr>
        <w:pStyle w:val="aa"/>
        <w:spacing w:after="180"/>
        <w:rPr>
          <w:rFonts w:hint="eastAsia"/>
        </w:rPr>
      </w:pPr>
      <w:r>
        <w:rPr>
          <w:rStyle w:val="a9"/>
        </w:rPr>
        <w:footnoteRef/>
      </w:r>
      <w:r>
        <w:t xml:space="preserve"> </w:t>
      </w:r>
      <w:r>
        <w:rPr>
          <w:rFonts w:hint="eastAsia"/>
        </w:rPr>
        <w:t>詳見下文第二章第一節參。</w:t>
      </w:r>
    </w:p>
  </w:footnote>
  <w:footnote w:id="14">
    <w:p w:rsidR="00000000" w:rsidRDefault="007347A9">
      <w:pPr>
        <w:pStyle w:val="aa"/>
        <w:spacing w:after="180"/>
        <w:rPr>
          <w:rFonts w:hint="eastAsia"/>
        </w:rPr>
      </w:pPr>
      <w:r>
        <w:rPr>
          <w:rStyle w:val="a9"/>
        </w:rPr>
        <w:footnoteRef/>
      </w:r>
      <w:r>
        <w:t xml:space="preserve"> </w:t>
      </w:r>
      <w:r>
        <w:rPr>
          <w:rFonts w:hint="eastAsia"/>
        </w:rPr>
        <w:t>詳見：</w:t>
      </w:r>
      <w:r>
        <w:rPr>
          <w:rFonts w:hAnsi="新細明體"/>
        </w:rPr>
        <w:t>王澤鑑，不當得利，頁</w:t>
      </w:r>
      <w:r>
        <w:rPr>
          <w:rFonts w:hAnsi="新細明體" w:hint="eastAsia"/>
        </w:rPr>
        <w:t>17-18</w:t>
      </w:r>
      <w:r>
        <w:rPr>
          <w:rFonts w:hAnsi="新細明體"/>
        </w:rPr>
        <w:t>。</w:t>
      </w:r>
    </w:p>
  </w:footnote>
  <w:footnote w:id="15">
    <w:p w:rsidR="00000000" w:rsidRDefault="007347A9">
      <w:pPr>
        <w:pStyle w:val="aa"/>
        <w:spacing w:after="180"/>
        <w:rPr>
          <w:rFonts w:hint="eastAsia"/>
        </w:rPr>
      </w:pPr>
      <w:r>
        <w:rPr>
          <w:rStyle w:val="a9"/>
        </w:rPr>
        <w:footnoteRef/>
      </w:r>
      <w:r>
        <w:t xml:space="preserve"> </w:t>
      </w:r>
      <w:r>
        <w:rPr>
          <w:rFonts w:hint="eastAsia"/>
        </w:rPr>
        <w:t>同前註，頁</w:t>
      </w:r>
      <w:r>
        <w:rPr>
          <w:rFonts w:hint="eastAsia"/>
        </w:rPr>
        <w:t>18-19</w:t>
      </w:r>
      <w:r>
        <w:rPr>
          <w:rFonts w:hint="eastAsia"/>
        </w:rPr>
        <w:t>。</w:t>
      </w:r>
    </w:p>
  </w:footnote>
  <w:footnote w:id="16">
    <w:p w:rsidR="00000000" w:rsidRDefault="007347A9">
      <w:pPr>
        <w:pStyle w:val="aa"/>
        <w:spacing w:after="180"/>
      </w:pPr>
      <w:r>
        <w:rPr>
          <w:rStyle w:val="a9"/>
        </w:rPr>
        <w:footnoteRef/>
      </w:r>
      <w:r>
        <w:t xml:space="preserve"> </w:t>
      </w:r>
      <w:r>
        <w:rPr>
          <w:rFonts w:hAnsi="新細明體" w:hint="eastAsia"/>
        </w:rPr>
        <w:t>同前註</w:t>
      </w:r>
      <w:r>
        <w:rPr>
          <w:rFonts w:hAnsi="新細明體"/>
        </w:rPr>
        <w:t>，頁</w:t>
      </w:r>
      <w:r>
        <w:t>20</w:t>
      </w:r>
      <w:r>
        <w:rPr>
          <w:rFonts w:hAnsi="新細明體"/>
        </w:rPr>
        <w:t>。</w:t>
      </w:r>
    </w:p>
  </w:footnote>
  <w:footnote w:id="17">
    <w:p w:rsidR="00000000" w:rsidRDefault="007347A9">
      <w:pPr>
        <w:pStyle w:val="aa"/>
        <w:spacing w:after="180"/>
        <w:rPr>
          <w:rFonts w:hint="eastAsia"/>
        </w:rPr>
      </w:pPr>
      <w:r>
        <w:rPr>
          <w:rStyle w:val="a9"/>
        </w:rPr>
        <w:footnoteRef/>
      </w:r>
      <w:r>
        <w:t xml:space="preserve"> </w:t>
      </w:r>
      <w:r>
        <w:rPr>
          <w:rFonts w:hint="eastAsia"/>
        </w:rPr>
        <w:t>例見：孫森</w:t>
      </w:r>
      <w:r>
        <w:t>焱，民法債編總論</w:t>
      </w:r>
      <w:r>
        <w:rPr>
          <w:rFonts w:hint="eastAsia"/>
        </w:rPr>
        <w:t>，頁</w:t>
      </w:r>
      <w:r>
        <w:rPr>
          <w:rFonts w:hint="eastAsia"/>
        </w:rPr>
        <w:t>140</w:t>
      </w:r>
      <w:r>
        <w:rPr>
          <w:rFonts w:hint="eastAsia"/>
        </w:rPr>
        <w:t>以下。</w:t>
      </w:r>
    </w:p>
  </w:footnote>
  <w:footnote w:id="18">
    <w:p w:rsidR="00000000" w:rsidRDefault="007347A9">
      <w:pPr>
        <w:pStyle w:val="aa"/>
        <w:spacing w:after="180"/>
        <w:rPr>
          <w:rFonts w:hint="eastAsia"/>
        </w:rPr>
      </w:pPr>
      <w:r>
        <w:rPr>
          <w:rStyle w:val="a9"/>
        </w:rPr>
        <w:footnoteRef/>
      </w:r>
      <w:r>
        <w:t xml:space="preserve"> </w:t>
      </w:r>
      <w:r>
        <w:rPr>
          <w:rFonts w:hint="eastAsia"/>
        </w:rPr>
        <w:t>參見：</w:t>
      </w:r>
      <w:r>
        <w:rPr>
          <w:rFonts w:hint="eastAsia"/>
          <w:lang w:val="de-DE"/>
        </w:rPr>
        <w:t>我妻榮，債權各論　下卷一</w:t>
      </w:r>
      <w:r>
        <w:rPr>
          <w:rFonts w:hint="eastAsia"/>
        </w:rPr>
        <w:t>，頁</w:t>
      </w:r>
      <w:r>
        <w:rPr>
          <w:rFonts w:hint="eastAsia"/>
        </w:rPr>
        <w:t>1118</w:t>
      </w:r>
      <w:r>
        <w:rPr>
          <w:rFonts w:hint="eastAsia"/>
        </w:rPr>
        <w:t>。</w:t>
      </w:r>
    </w:p>
  </w:footnote>
  <w:footnote w:id="19">
    <w:p w:rsidR="00000000" w:rsidRDefault="007347A9">
      <w:pPr>
        <w:pStyle w:val="aa"/>
        <w:spacing w:after="180"/>
        <w:rPr>
          <w:rFonts w:hint="eastAsia"/>
        </w:rPr>
      </w:pPr>
      <w:r>
        <w:rPr>
          <w:rStyle w:val="a9"/>
        </w:rPr>
        <w:footnoteRef/>
      </w:r>
      <w:r>
        <w:t xml:space="preserve"> </w:t>
      </w:r>
      <w:r>
        <w:rPr>
          <w:rFonts w:hint="eastAsia"/>
        </w:rPr>
        <w:t>同說，見：</w:t>
      </w:r>
      <w:r>
        <w:rPr>
          <w:rFonts w:hAnsi="新細明體"/>
        </w:rPr>
        <w:t>王澤鑑，不當得利，頁</w:t>
      </w:r>
      <w:r>
        <w:rPr>
          <w:rFonts w:hAnsi="新細明體" w:hint="eastAsia"/>
        </w:rPr>
        <w:t>12</w:t>
      </w:r>
      <w:r>
        <w:rPr>
          <w:rFonts w:hAnsi="新細明體" w:hint="eastAsia"/>
        </w:rPr>
        <w:t>。此外，日本民法上不當得利深受德國法影響的事實，例見日本民法權威性教科書，如：</w:t>
      </w:r>
      <w:r>
        <w:rPr>
          <w:rFonts w:hint="eastAsia"/>
          <w:lang w:val="de-DE"/>
        </w:rPr>
        <w:t>我妻榮，債權各論　下卷一</w:t>
      </w:r>
      <w:r>
        <w:rPr>
          <w:rFonts w:hint="eastAsia"/>
        </w:rPr>
        <w:t>，頁</w:t>
      </w:r>
      <w:r>
        <w:rPr>
          <w:rFonts w:hint="eastAsia"/>
        </w:rPr>
        <w:t>934</w:t>
      </w:r>
      <w:r>
        <w:rPr>
          <w:rFonts w:hint="eastAsia"/>
        </w:rPr>
        <w:t>以下有關不當得利制度的種種說明，亦能見其一斑。</w:t>
      </w:r>
    </w:p>
  </w:footnote>
  <w:footnote w:id="20">
    <w:p w:rsidR="00000000" w:rsidRDefault="007347A9">
      <w:pPr>
        <w:pStyle w:val="aa"/>
        <w:spacing w:after="180"/>
        <w:rPr>
          <w:rFonts w:hint="eastAsia"/>
        </w:rPr>
      </w:pPr>
      <w:r>
        <w:rPr>
          <w:rStyle w:val="a9"/>
        </w:rPr>
        <w:footnoteRef/>
      </w:r>
      <w:r>
        <w:t xml:space="preserve"> </w:t>
      </w:r>
      <w:r>
        <w:rPr>
          <w:rFonts w:hint="eastAsia"/>
        </w:rPr>
        <w:t>例</w:t>
      </w:r>
      <w:r>
        <w:rPr>
          <w:rFonts w:hint="eastAsia"/>
        </w:rPr>
        <w:t>見傳統的日本行政法教科書：田中二郎，行政法　上卷，頁</w:t>
      </w:r>
      <w:r>
        <w:rPr>
          <w:rFonts w:hint="eastAsia"/>
        </w:rPr>
        <w:t>101-102</w:t>
      </w:r>
      <w:r>
        <w:rPr>
          <w:rFonts w:hint="eastAsia"/>
        </w:rPr>
        <w:t>；屬於比較晚近的單篇著作：</w:t>
      </w:r>
      <w:r>
        <w:rPr>
          <w:rFonts w:hint="eastAsia"/>
          <w:lang w:val="de-DE" w:eastAsia="ja-JP"/>
        </w:rPr>
        <w:t>木村弘之亮，行政上</w:t>
      </w:r>
      <w:r>
        <w:rPr>
          <w:rFonts w:ascii="新細明體" w:hAnsi="新細明體" w:hint="eastAsia"/>
          <w:lang w:val="de-DE" w:eastAsia="ja-JP"/>
        </w:rPr>
        <w:t>の</w:t>
      </w:r>
      <w:r>
        <w:rPr>
          <w:rFonts w:hint="eastAsia"/>
          <w:lang w:val="de-DE" w:eastAsia="ja-JP"/>
        </w:rPr>
        <w:t>不</w:t>
      </w:r>
      <w:r>
        <w:rPr>
          <w:rFonts w:ascii="新細明體" w:hAnsi="新細明體" w:hint="eastAsia"/>
          <w:lang w:val="de-DE" w:eastAsia="ja-JP"/>
        </w:rPr>
        <w:t>当</w:t>
      </w:r>
      <w:r>
        <w:rPr>
          <w:rFonts w:hint="eastAsia"/>
          <w:lang w:val="de-DE" w:eastAsia="ja-JP"/>
        </w:rPr>
        <w:t>利得，</w:t>
      </w:r>
      <w:r>
        <w:rPr>
          <w:rFonts w:hint="eastAsia"/>
          <w:lang w:eastAsia="ja-JP"/>
        </w:rPr>
        <w:t>收於</w:t>
      </w:r>
      <w:r>
        <w:rPr>
          <w:rFonts w:hint="eastAsia"/>
          <w:lang w:val="de-DE" w:eastAsia="ja-JP"/>
        </w:rPr>
        <w:t>：</w:t>
      </w:r>
      <w:r>
        <w:rPr>
          <w:rFonts w:ascii="新細明體" w:hAnsi="新細明體" w:hint="eastAsia"/>
          <w:lang w:eastAsia="ja-JP"/>
        </w:rPr>
        <w:t>ジュリスト</w:t>
      </w:r>
      <w:r>
        <w:rPr>
          <w:rFonts w:hint="eastAsia"/>
          <w:lang w:val="de-DE" w:eastAsia="ja-JP"/>
        </w:rPr>
        <w:t>行政法</w:t>
      </w:r>
      <w:r>
        <w:rPr>
          <w:rFonts w:ascii="新細明體" w:hAnsi="新細明體" w:hint="eastAsia"/>
          <w:lang w:val="de-DE" w:eastAsia="ja-JP"/>
        </w:rPr>
        <w:t>の爭點</w:t>
      </w:r>
      <w:r>
        <w:rPr>
          <w:rFonts w:hint="eastAsia"/>
          <w:lang w:val="de-DE" w:eastAsia="ja-JP"/>
        </w:rPr>
        <w:t>，頁</w:t>
      </w:r>
      <w:r>
        <w:rPr>
          <w:rFonts w:hint="eastAsia"/>
          <w:lang w:val="de-DE" w:eastAsia="ja-JP"/>
        </w:rPr>
        <w:t>28</w:t>
      </w:r>
      <w:r>
        <w:rPr>
          <w:rFonts w:hint="eastAsia"/>
          <w:lang w:val="de-DE" w:eastAsia="ja-JP"/>
        </w:rPr>
        <w:t>以下</w:t>
      </w:r>
      <w:r>
        <w:rPr>
          <w:rFonts w:hint="eastAsia"/>
          <w:lang w:val="de-DE"/>
        </w:rPr>
        <w:t>。</w:t>
      </w:r>
    </w:p>
  </w:footnote>
  <w:footnote w:id="21">
    <w:p w:rsidR="00000000" w:rsidRDefault="007347A9">
      <w:pPr>
        <w:pStyle w:val="aa"/>
        <w:spacing w:after="180"/>
        <w:rPr>
          <w:rFonts w:hint="eastAsia"/>
        </w:rPr>
      </w:pPr>
      <w:r>
        <w:rPr>
          <w:rStyle w:val="a9"/>
        </w:rPr>
        <w:footnoteRef/>
      </w:r>
      <w:r>
        <w:rPr>
          <w:rFonts w:hAnsi="新細明體" w:hint="eastAsia"/>
        </w:rPr>
        <w:t xml:space="preserve"> </w:t>
      </w:r>
      <w:r>
        <w:rPr>
          <w:rFonts w:hAnsi="新細明體" w:hint="eastAsia"/>
        </w:rPr>
        <w:t>例如行政程序法第一百四十四條至第一百四十七條有關行政契約之若干規定。</w:t>
      </w:r>
    </w:p>
  </w:footnote>
  <w:footnote w:id="22">
    <w:p w:rsidR="00000000" w:rsidRDefault="007347A9">
      <w:pPr>
        <w:pStyle w:val="aa"/>
        <w:spacing w:after="180"/>
        <w:rPr>
          <w:rFonts w:hint="eastAsia"/>
        </w:rPr>
      </w:pPr>
      <w:r>
        <w:rPr>
          <w:rStyle w:val="a9"/>
        </w:rPr>
        <w:footnoteRef/>
      </w:r>
      <w:r>
        <w:rPr>
          <w:rFonts w:hAnsi="新細明體" w:hint="eastAsia"/>
        </w:rPr>
        <w:t xml:space="preserve"> </w:t>
      </w:r>
      <w:r>
        <w:rPr>
          <w:rFonts w:hAnsi="新細明體" w:hint="eastAsia"/>
        </w:rPr>
        <w:t>例如從大法官釋字第</w:t>
      </w:r>
      <w:r>
        <w:rPr>
          <w:rFonts w:hAnsi="新細明體" w:hint="eastAsia"/>
        </w:rPr>
        <w:t>509</w:t>
      </w:r>
      <w:r>
        <w:rPr>
          <w:rFonts w:hAnsi="新細明體" w:hint="eastAsia"/>
        </w:rPr>
        <w:t>號有關言論自由之解釋、行政程序法第四十五條至第四十七條及第一百五十一條以下等規定，乃至為數甚夥的環境、科技等行政法各論領域之立法與學術研究等，影響程度，堪稱全方位。</w:t>
      </w:r>
    </w:p>
  </w:footnote>
  <w:footnote w:id="23">
    <w:p w:rsidR="00000000" w:rsidRDefault="007347A9">
      <w:pPr>
        <w:pStyle w:val="aa"/>
        <w:spacing w:after="180"/>
        <w:rPr>
          <w:rFonts w:hint="eastAsia"/>
        </w:rPr>
      </w:pPr>
      <w:r>
        <w:rPr>
          <w:rStyle w:val="a9"/>
        </w:rPr>
        <w:footnoteRef/>
      </w:r>
      <w:r>
        <w:t xml:space="preserve"> </w:t>
      </w:r>
      <w:r>
        <w:rPr>
          <w:rFonts w:hint="eastAsia"/>
        </w:rPr>
        <w:t>有關法國法上與英美法上與我國不當得利相類似之制度的中文文獻，詳見：王澤鑑，</w:t>
      </w:r>
      <w:r>
        <w:rPr>
          <w:rFonts w:hint="eastAsia"/>
        </w:rPr>
        <w:t>不當得利，頁</w:t>
      </w:r>
      <w:r>
        <w:rPr>
          <w:rFonts w:hint="eastAsia"/>
        </w:rPr>
        <w:t>9-10</w:t>
      </w:r>
      <w:r>
        <w:rPr>
          <w:rFonts w:hint="eastAsia"/>
        </w:rPr>
        <w:t>（法國法部分）、</w:t>
      </w:r>
      <w:r>
        <w:rPr>
          <w:rFonts w:hint="eastAsia"/>
        </w:rPr>
        <w:t>13-15</w:t>
      </w:r>
      <w:r>
        <w:rPr>
          <w:rFonts w:hint="eastAsia"/>
        </w:rPr>
        <w:t>（英美法部分）。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886"/>
    <w:multiLevelType w:val="hybridMultilevel"/>
    <w:tmpl w:val="EF7E7F0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19490B"/>
    <w:multiLevelType w:val="multilevel"/>
    <w:tmpl w:val="0A522912"/>
    <w:lvl w:ilvl="0">
      <w:start w:val="1"/>
      <w:numFmt w:val="decimal"/>
      <w:lvlText w:val="%1."/>
      <w:lvlJc w:val="left"/>
      <w:pPr>
        <w:tabs>
          <w:tab w:val="num" w:pos="480"/>
        </w:tabs>
        <w:ind w:left="480" w:hanging="48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DB054F8"/>
    <w:multiLevelType w:val="hybridMultilevel"/>
    <w:tmpl w:val="0BD8B79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C6055B4"/>
    <w:multiLevelType w:val="hybridMultilevel"/>
    <w:tmpl w:val="A0464CC8"/>
    <w:lvl w:ilvl="0" w:tplc="BA34EF9C">
      <w:start w:val="1"/>
      <w:numFmt w:val="decimal"/>
      <w:lvlText w:val="%1."/>
      <w:lvlJc w:val="left"/>
      <w:pPr>
        <w:tabs>
          <w:tab w:val="num" w:pos="284"/>
        </w:tabs>
        <w:ind w:left="284" w:hanging="284"/>
      </w:pPr>
      <w:rPr>
        <w:rFonts w:ascii="新細明體" w:eastAsia="新細明體" w:hAnsi="Times New Roman" w:cs="Times New Roman" w:hint="eastAsia"/>
      </w:rPr>
    </w:lvl>
    <w:lvl w:ilvl="1" w:tplc="CF38269C">
      <w:start w:val="1"/>
      <w:numFmt w:val="decimal"/>
      <w:lvlText w:val="（%2）"/>
      <w:lvlJc w:val="left"/>
      <w:pPr>
        <w:tabs>
          <w:tab w:val="num" w:pos="510"/>
        </w:tabs>
        <w:ind w:left="680" w:hanging="5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5B54BE"/>
    <w:multiLevelType w:val="hybridMultilevel"/>
    <w:tmpl w:val="78C6C8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E71F4A"/>
    <w:multiLevelType w:val="hybridMultilevel"/>
    <w:tmpl w:val="0A52291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58E3600"/>
    <w:multiLevelType w:val="multilevel"/>
    <w:tmpl w:val="5C267EF2"/>
    <w:lvl w:ilvl="0">
      <w:start w:val="1"/>
      <w:numFmt w:val="decimal"/>
      <w:lvlText w:val="%1."/>
      <w:lvlJc w:val="left"/>
      <w:pPr>
        <w:tabs>
          <w:tab w:val="num" w:pos="480"/>
        </w:tabs>
        <w:ind w:left="480" w:hanging="480"/>
      </w:pPr>
    </w:lvl>
    <w:lvl w:ilvl="1">
      <w:start w:val="1"/>
      <w:numFmt w:val="decimal"/>
      <w:lvlText w:val="（%2）"/>
      <w:lvlJc w:val="left"/>
      <w:pPr>
        <w:tabs>
          <w:tab w:val="num" w:pos="1200"/>
        </w:tabs>
        <w:ind w:left="1200" w:hanging="103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7AC0C17"/>
    <w:multiLevelType w:val="multilevel"/>
    <w:tmpl w:val="547A2454"/>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567"/>
        </w:tabs>
        <w:ind w:left="851" w:hanging="56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81D01FF"/>
    <w:multiLevelType w:val="hybridMultilevel"/>
    <w:tmpl w:val="6A3886BE"/>
    <w:lvl w:ilvl="0" w:tplc="F5685FAC">
      <w:start w:val="1"/>
      <w:numFmt w:val="decimal"/>
      <w:lvlText w:val="%1."/>
      <w:lvlJc w:val="left"/>
      <w:pPr>
        <w:tabs>
          <w:tab w:val="num" w:pos="360"/>
        </w:tabs>
        <w:ind w:left="360" w:hanging="360"/>
      </w:pPr>
      <w:rPr>
        <w:rFonts w:hint="eastAsia"/>
      </w:rPr>
    </w:lvl>
    <w:lvl w:ilvl="1" w:tplc="CE148C36">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8C59FE"/>
    <w:multiLevelType w:val="multilevel"/>
    <w:tmpl w:val="1DE8C92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F0431E1"/>
    <w:multiLevelType w:val="hybridMultilevel"/>
    <w:tmpl w:val="2B28EEC4"/>
    <w:lvl w:ilvl="0" w:tplc="7060763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5E102D6"/>
    <w:multiLevelType w:val="multilevel"/>
    <w:tmpl w:val="104CA99C"/>
    <w:lvl w:ilvl="0">
      <w:start w:val="1"/>
      <w:numFmt w:val="decimal"/>
      <w:lvlText w:val="%1."/>
      <w:lvlJc w:val="left"/>
      <w:pPr>
        <w:tabs>
          <w:tab w:val="num" w:pos="480"/>
        </w:tabs>
        <w:ind w:left="480" w:hanging="480"/>
      </w:pPr>
    </w:lvl>
    <w:lvl w:ilvl="1">
      <w:start w:val="1"/>
      <w:numFmt w:val="decimal"/>
      <w:lvlText w:val="（%2）"/>
      <w:lvlJc w:val="left"/>
      <w:pPr>
        <w:tabs>
          <w:tab w:val="num" w:pos="567"/>
        </w:tabs>
        <w:ind w:left="975" w:hanging="691"/>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64C1AA6"/>
    <w:multiLevelType w:val="multilevel"/>
    <w:tmpl w:val="67D27D9C"/>
    <w:lvl w:ilvl="0">
      <w:start w:val="1"/>
      <w:numFmt w:val="decimal"/>
      <w:lvlText w:val="%1."/>
      <w:lvlJc w:val="left"/>
      <w:pPr>
        <w:tabs>
          <w:tab w:val="num" w:pos="480"/>
        </w:tabs>
        <w:ind w:left="480" w:hanging="480"/>
      </w:pPr>
    </w:lvl>
    <w:lvl w:ilvl="1">
      <w:start w:val="1"/>
      <w:numFmt w:val="decimal"/>
      <w:lvlText w:val="（%2）"/>
      <w:lvlJc w:val="left"/>
      <w:pPr>
        <w:tabs>
          <w:tab w:val="num" w:pos="567"/>
        </w:tabs>
        <w:ind w:left="1004"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5129478E"/>
    <w:multiLevelType w:val="multilevel"/>
    <w:tmpl w:val="EAE6FCA8"/>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284"/>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21F408A"/>
    <w:multiLevelType w:val="multilevel"/>
    <w:tmpl w:val="9A1228D6"/>
    <w:lvl w:ilvl="0">
      <w:start w:val="1"/>
      <w:numFmt w:val="decimal"/>
      <w:lvlText w:val="%1."/>
      <w:lvlJc w:val="left"/>
      <w:pPr>
        <w:tabs>
          <w:tab w:val="num" w:pos="480"/>
        </w:tabs>
        <w:ind w:left="480" w:hanging="480"/>
      </w:pPr>
    </w:lvl>
    <w:lvl w:ilvl="1">
      <w:start w:val="1"/>
      <w:numFmt w:val="decimal"/>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538D1997"/>
    <w:multiLevelType w:val="multilevel"/>
    <w:tmpl w:val="1D966DE4"/>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454"/>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59D04057"/>
    <w:multiLevelType w:val="multilevel"/>
    <w:tmpl w:val="B932210E"/>
    <w:lvl w:ilvl="0">
      <w:start w:val="1"/>
      <w:numFmt w:val="decimal"/>
      <w:lvlText w:val="%1."/>
      <w:lvlJc w:val="left"/>
      <w:pPr>
        <w:tabs>
          <w:tab w:val="num" w:pos="480"/>
        </w:tabs>
        <w:ind w:left="480" w:hanging="480"/>
      </w:pPr>
    </w:lvl>
    <w:lvl w:ilvl="1">
      <w:start w:val="1"/>
      <w:numFmt w:val="decimal"/>
      <w:lvlText w:val="（%2）"/>
      <w:lvlJc w:val="left"/>
      <w:pPr>
        <w:tabs>
          <w:tab w:val="num" w:pos="567"/>
        </w:tabs>
        <w:ind w:left="987" w:hanging="703"/>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59F83554"/>
    <w:multiLevelType w:val="multilevel"/>
    <w:tmpl w:val="EA985596"/>
    <w:lvl w:ilvl="0">
      <w:start w:val="1"/>
      <w:numFmt w:val="decimal"/>
      <w:lvlText w:val="%1."/>
      <w:lvlJc w:val="left"/>
      <w:pPr>
        <w:tabs>
          <w:tab w:val="num" w:pos="480"/>
        </w:tabs>
        <w:ind w:left="480" w:hanging="480"/>
      </w:pPr>
    </w:lvl>
    <w:lvl w:ilvl="1">
      <w:start w:val="1"/>
      <w:numFmt w:val="decimal"/>
      <w:lvlText w:val="（%2）"/>
      <w:lvlJc w:val="left"/>
      <w:pPr>
        <w:tabs>
          <w:tab w:val="num" w:pos="567"/>
        </w:tabs>
        <w:ind w:left="964"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5A3853AD"/>
    <w:multiLevelType w:val="hybridMultilevel"/>
    <w:tmpl w:val="CDBC45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08F10D1"/>
    <w:multiLevelType w:val="hybridMultilevel"/>
    <w:tmpl w:val="CB34006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BB96E98"/>
    <w:multiLevelType w:val="hybridMultilevel"/>
    <w:tmpl w:val="1DE8C9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C6B078B"/>
    <w:multiLevelType w:val="multilevel"/>
    <w:tmpl w:val="ECE6CA3C"/>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397"/>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C787DF6"/>
    <w:multiLevelType w:val="hybridMultilevel"/>
    <w:tmpl w:val="3200A71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D5657E7"/>
    <w:multiLevelType w:val="hybridMultilevel"/>
    <w:tmpl w:val="EC9A514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E5D3BB5"/>
    <w:multiLevelType w:val="multilevel"/>
    <w:tmpl w:val="0BEEF1CC"/>
    <w:lvl w:ilvl="0">
      <w:start w:val="1"/>
      <w:numFmt w:val="decimal"/>
      <w:lvlText w:val="%1."/>
      <w:lvlJc w:val="left"/>
      <w:pPr>
        <w:tabs>
          <w:tab w:val="num" w:pos="480"/>
        </w:tabs>
        <w:ind w:left="480" w:hanging="480"/>
      </w:pPr>
    </w:lvl>
    <w:lvl w:ilvl="1">
      <w:start w:val="1"/>
      <w:numFmt w:val="decimal"/>
      <w:lvlText w:val="（%2）"/>
      <w:lvlJc w:val="left"/>
      <w:pPr>
        <w:tabs>
          <w:tab w:val="num" w:pos="567"/>
        </w:tabs>
        <w:ind w:left="998" w:hanging="714"/>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49675DB"/>
    <w:multiLevelType w:val="multilevel"/>
    <w:tmpl w:val="C0BEAE18"/>
    <w:lvl w:ilvl="0">
      <w:start w:val="1"/>
      <w:numFmt w:val="decimal"/>
      <w:lvlText w:val="%1."/>
      <w:lvlJc w:val="left"/>
      <w:pPr>
        <w:tabs>
          <w:tab w:val="num" w:pos="480"/>
        </w:tabs>
        <w:ind w:left="480" w:hanging="480"/>
      </w:pPr>
      <w:rPr>
        <w:rFonts w:ascii="新細明體" w:eastAsia="新細明體" w:hAnsi="Times New Roman" w:cs="Times New Roman"/>
      </w:rPr>
    </w:lvl>
    <w:lvl w:ilvl="1">
      <w:start w:val="1"/>
      <w:numFmt w:val="decimal"/>
      <w:lvlText w:val="（%2）"/>
      <w:lvlJc w:val="left"/>
      <w:pPr>
        <w:tabs>
          <w:tab w:val="num" w:pos="567"/>
        </w:tabs>
        <w:ind w:left="964"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8AC26E7"/>
    <w:multiLevelType w:val="multilevel"/>
    <w:tmpl w:val="59B8467A"/>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763"/>
        </w:tabs>
        <w:ind w:left="1160"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799107B3"/>
    <w:multiLevelType w:val="hybridMultilevel"/>
    <w:tmpl w:val="C0BEAE18"/>
    <w:lvl w:ilvl="0" w:tplc="7996EF88">
      <w:start w:val="1"/>
      <w:numFmt w:val="decimal"/>
      <w:lvlText w:val="%1."/>
      <w:lvlJc w:val="left"/>
      <w:pPr>
        <w:tabs>
          <w:tab w:val="num" w:pos="480"/>
        </w:tabs>
        <w:ind w:left="480" w:hanging="480"/>
      </w:pPr>
      <w:rPr>
        <w:rFonts w:ascii="新細明體" w:eastAsia="新細明體" w:hAnsi="Times New Roman" w:cs="Times New Roman"/>
      </w:rPr>
    </w:lvl>
    <w:lvl w:ilvl="1" w:tplc="00D07F84">
      <w:start w:val="1"/>
      <w:numFmt w:val="decimal"/>
      <w:lvlText w:val="（%2）"/>
      <w:lvlJc w:val="left"/>
      <w:pPr>
        <w:tabs>
          <w:tab w:val="num" w:pos="567"/>
        </w:tabs>
        <w:ind w:left="964" w:hanging="6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A375CE4"/>
    <w:multiLevelType w:val="hybridMultilevel"/>
    <w:tmpl w:val="9BE2C148"/>
    <w:lvl w:ilvl="0" w:tplc="F70E9376">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A9A33FA"/>
    <w:multiLevelType w:val="multilevel"/>
    <w:tmpl w:val="B2C2360A"/>
    <w:lvl w:ilvl="0">
      <w:start w:val="1"/>
      <w:numFmt w:val="decimal"/>
      <w:lvlText w:val="%1."/>
      <w:lvlJc w:val="left"/>
      <w:pPr>
        <w:tabs>
          <w:tab w:val="num" w:pos="480"/>
        </w:tabs>
        <w:ind w:left="480" w:hanging="480"/>
      </w:pPr>
    </w:lvl>
    <w:lvl w:ilvl="1">
      <w:start w:val="1"/>
      <w:numFmt w:val="decimal"/>
      <w:lvlText w:val="（%2）"/>
      <w:lvlJc w:val="left"/>
      <w:pPr>
        <w:tabs>
          <w:tab w:val="num" w:pos="567"/>
        </w:tabs>
        <w:ind w:left="567" w:hanging="283"/>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8"/>
  </w:num>
  <w:num w:numId="2">
    <w:abstractNumId w:val="10"/>
  </w:num>
  <w:num w:numId="3">
    <w:abstractNumId w:val="20"/>
  </w:num>
  <w:num w:numId="4">
    <w:abstractNumId w:val="9"/>
  </w:num>
  <w:num w:numId="5">
    <w:abstractNumId w:val="5"/>
  </w:num>
  <w:num w:numId="6">
    <w:abstractNumId w:val="1"/>
  </w:num>
  <w:num w:numId="7">
    <w:abstractNumId w:val="23"/>
  </w:num>
  <w:num w:numId="8">
    <w:abstractNumId w:val="2"/>
  </w:num>
  <w:num w:numId="9">
    <w:abstractNumId w:val="18"/>
  </w:num>
  <w:num w:numId="10">
    <w:abstractNumId w:val="0"/>
  </w:num>
  <w:num w:numId="11">
    <w:abstractNumId w:val="19"/>
  </w:num>
  <w:num w:numId="12">
    <w:abstractNumId w:val="4"/>
  </w:num>
  <w:num w:numId="13">
    <w:abstractNumId w:val="8"/>
  </w:num>
  <w:num w:numId="14">
    <w:abstractNumId w:val="27"/>
  </w:num>
  <w:num w:numId="15">
    <w:abstractNumId w:val="14"/>
  </w:num>
  <w:num w:numId="16">
    <w:abstractNumId w:val="6"/>
  </w:num>
  <w:num w:numId="17">
    <w:abstractNumId w:val="29"/>
  </w:num>
  <w:num w:numId="18">
    <w:abstractNumId w:val="12"/>
  </w:num>
  <w:num w:numId="19">
    <w:abstractNumId w:val="24"/>
  </w:num>
  <w:num w:numId="20">
    <w:abstractNumId w:val="16"/>
  </w:num>
  <w:num w:numId="21">
    <w:abstractNumId w:val="11"/>
  </w:num>
  <w:num w:numId="22">
    <w:abstractNumId w:val="17"/>
  </w:num>
  <w:num w:numId="23">
    <w:abstractNumId w:val="25"/>
  </w:num>
  <w:num w:numId="24">
    <w:abstractNumId w:val="3"/>
  </w:num>
  <w:num w:numId="25">
    <w:abstractNumId w:val="26"/>
  </w:num>
  <w:num w:numId="26">
    <w:abstractNumId w:val="7"/>
  </w:num>
  <w:num w:numId="27">
    <w:abstractNumId w:val="21"/>
  </w:num>
  <w:num w:numId="28">
    <w:abstractNumId w:val="15"/>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hyphenationZone w:val="3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0D"/>
    <w:rsid w:val="007347A9"/>
    <w:rsid w:val="00FA2D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4A104B-2ECF-4D0F-A73B-0400D4F1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rFonts w:ascii="Arial" w:hAnsi="Arial" w:cs="Arial"/>
      <w:b/>
      <w:bCs/>
      <w:kern w:val="36"/>
      <w:sz w:val="48"/>
      <w:szCs w:val="4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ind w:leftChars="1800" w:left="100"/>
    </w:p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szCs w:val="20"/>
    </w:rPr>
  </w:style>
  <w:style w:type="character" w:styleId="a8">
    <w:name w:val="Strong"/>
    <w:basedOn w:val="a0"/>
    <w:qFormat/>
    <w:rPr>
      <w:b/>
      <w:bCs/>
    </w:rPr>
  </w:style>
  <w:style w:type="character" w:styleId="a9">
    <w:name w:val="footnote reference"/>
    <w:basedOn w:val="a0"/>
    <w:semiHidden/>
    <w:rPr>
      <w:vertAlign w:val="superscript"/>
    </w:rPr>
  </w:style>
  <w:style w:type="paragraph" w:customStyle="1" w:styleId="proportionalschrift">
    <w:name w:val="proportionalschrift"/>
    <w:basedOn w:val="a"/>
    <w:pPr>
      <w:widowControl/>
      <w:spacing w:before="100" w:beforeAutospacing="1" w:after="100" w:afterAutospacing="1"/>
    </w:pPr>
    <w:rPr>
      <w:rFonts w:ascii="新細明體" w:hAnsi="新細明體" w:cs="新細明體"/>
      <w:kern w:val="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footnote text"/>
    <w:basedOn w:val="a"/>
    <w:semiHidden/>
    <w:pPr>
      <w:widowControl/>
      <w:snapToGrid w:val="0"/>
      <w:spacing w:afterLines="50" w:after="50" w:line="288" w:lineRule="auto"/>
      <w:jc w:val="both"/>
    </w:pPr>
    <w:rPr>
      <w:sz w:val="20"/>
      <w:szCs w:val="20"/>
    </w:rPr>
  </w:style>
  <w:style w:type="paragraph" w:styleId="Web">
    <w:name w:val="Normal (Web)"/>
    <w:basedOn w:val="a"/>
    <w:semiHidden/>
    <w:pPr>
      <w:widowControl/>
      <w:spacing w:before="100" w:beforeAutospacing="1" w:after="100" w:afterAutospacing="1"/>
    </w:pPr>
    <w:rPr>
      <w:rFonts w:ascii="Arial" w:hAnsi="Arial" w:cs="Arial"/>
      <w:kern w:val="0"/>
    </w:rPr>
  </w:style>
  <w:style w:type="paragraph" w:styleId="ab">
    <w:name w:val="Body Text Indent"/>
    <w:basedOn w:val="a"/>
    <w:semiHidden/>
    <w:pPr>
      <w:widowControl/>
      <w:spacing w:afterLines="50" w:after="180" w:line="288" w:lineRule="auto"/>
      <w:ind w:firstLineChars="200" w:firstLine="480"/>
      <w:jc w:val="both"/>
    </w:pPr>
    <w:rPr>
      <w:rFonts w:hAnsi="新細明體"/>
    </w:rPr>
  </w:style>
  <w:style w:type="paragraph" w:styleId="ac">
    <w:name w:val="Date"/>
    <w:basedOn w:val="a"/>
    <w:next w:val="a"/>
    <w:semiHidden/>
    <w:pPr>
      <w:jc w:val="right"/>
    </w:pPr>
  </w:style>
  <w:style w:type="character" w:customStyle="1" w:styleId="stext1">
    <w:name w:val="stext1"/>
    <w:basedOn w:val="a0"/>
    <w:rPr>
      <w:sz w:val="19"/>
      <w:szCs w:val="19"/>
    </w:rPr>
  </w:style>
  <w:style w:type="paragraph" w:styleId="2">
    <w:name w:val="Body Text Indent 2"/>
    <w:basedOn w:val="a"/>
    <w:semiHidden/>
    <w:pPr>
      <w:widowControl/>
      <w:spacing w:line="288" w:lineRule="auto"/>
      <w:ind w:leftChars="400" w:left="2160" w:hangingChars="500" w:hanging="12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Achim</dc:creator>
  <cp:keywords/>
  <dc:description/>
  <cp:lastModifiedBy>卓卿雲</cp:lastModifiedBy>
  <cp:revision>2</cp:revision>
  <cp:lastPrinted>2006-04-26T01:27:00Z</cp:lastPrinted>
  <dcterms:created xsi:type="dcterms:W3CDTF">2021-09-22T10:47:00Z</dcterms:created>
  <dcterms:modified xsi:type="dcterms:W3CDTF">2021-09-22T10:47:00Z</dcterms:modified>
</cp:coreProperties>
</file>