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24932">
      <w:pPr>
        <w:widowControl/>
        <w:spacing w:line="288" w:lineRule="auto"/>
        <w:jc w:val="center"/>
        <w:rPr>
          <w:rFonts w:hint="eastAsia"/>
          <w:b/>
          <w:sz w:val="72"/>
          <w:szCs w:val="72"/>
        </w:rPr>
      </w:pPr>
      <w:bookmarkStart w:id="0" w:name="_GoBack"/>
      <w:bookmarkEnd w:id="0"/>
      <w:r>
        <w:rPr>
          <w:rFonts w:hint="eastAsia"/>
          <w:b/>
          <w:sz w:val="72"/>
          <w:szCs w:val="72"/>
        </w:rPr>
        <w:t>目　次</w:t>
      </w:r>
    </w:p>
    <w:p w:rsidR="00000000" w:rsidRDefault="00724932">
      <w:pPr>
        <w:widowControl/>
        <w:spacing w:line="288" w:lineRule="auto"/>
        <w:jc w:val="center"/>
        <w:rPr>
          <w:rFonts w:hint="eastAsia"/>
          <w:b/>
          <w:sz w:val="36"/>
          <w:szCs w:val="36"/>
        </w:rPr>
      </w:pPr>
    </w:p>
    <w:p w:rsidR="00000000" w:rsidRDefault="00724932">
      <w:pPr>
        <w:widowControl/>
        <w:spacing w:line="288" w:lineRule="auto"/>
        <w:jc w:val="center"/>
        <w:rPr>
          <w:rFonts w:hint="eastAsia"/>
          <w:b/>
          <w:sz w:val="36"/>
          <w:szCs w:val="36"/>
        </w:rPr>
      </w:pPr>
    </w:p>
    <w:p w:rsidR="00000000" w:rsidRDefault="00724932">
      <w:pPr>
        <w:widowControl/>
        <w:tabs>
          <w:tab w:val="right" w:leader="dot" w:pos="8280"/>
        </w:tabs>
        <w:spacing w:line="288" w:lineRule="auto"/>
        <w:ind w:rightChars="200" w:right="480"/>
        <w:jc w:val="both"/>
        <w:rPr>
          <w:rFonts w:hint="eastAsia"/>
        </w:rPr>
      </w:pPr>
      <w:r>
        <w:rPr>
          <w:rFonts w:hint="eastAsia"/>
        </w:rPr>
        <w:t>第一章　緒論</w:t>
      </w:r>
      <w:r>
        <w:rPr>
          <w:rFonts w:hint="eastAsia"/>
        </w:rPr>
        <w:tab/>
        <w:t>3</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第一節　研究背景</w:t>
      </w:r>
      <w:r>
        <w:rPr>
          <w:rFonts w:hint="eastAsia"/>
        </w:rPr>
        <w:tab/>
        <w:t>3</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第二節　研究範圍</w:t>
      </w:r>
      <w:r>
        <w:rPr>
          <w:rFonts w:hint="eastAsia"/>
        </w:rPr>
        <w:tab/>
        <w:t>4</w:t>
      </w:r>
    </w:p>
    <w:p w:rsidR="00000000" w:rsidRDefault="00724932">
      <w:pPr>
        <w:widowControl/>
        <w:tabs>
          <w:tab w:val="right" w:leader="dot" w:pos="8280"/>
        </w:tabs>
        <w:spacing w:afterLines="50" w:after="180" w:line="288" w:lineRule="auto"/>
        <w:ind w:leftChars="200" w:left="1440" w:rightChars="200" w:right="480" w:hangingChars="400" w:hanging="960"/>
        <w:jc w:val="both"/>
        <w:rPr>
          <w:rFonts w:hint="eastAsia"/>
        </w:rPr>
      </w:pPr>
      <w:r>
        <w:rPr>
          <w:rFonts w:hint="eastAsia"/>
        </w:rPr>
        <w:t>第三節　研究方法</w:t>
      </w:r>
      <w:r>
        <w:rPr>
          <w:rFonts w:hint="eastAsia"/>
        </w:rPr>
        <w:tab/>
        <w:t>7</w:t>
      </w:r>
    </w:p>
    <w:p w:rsidR="00000000" w:rsidRDefault="00724932">
      <w:pPr>
        <w:widowControl/>
        <w:tabs>
          <w:tab w:val="right" w:leader="dot" w:pos="8280"/>
        </w:tabs>
        <w:spacing w:line="288" w:lineRule="auto"/>
        <w:ind w:rightChars="200" w:right="480"/>
        <w:jc w:val="both"/>
        <w:rPr>
          <w:rFonts w:hint="eastAsia"/>
        </w:rPr>
      </w:pPr>
      <w:r>
        <w:rPr>
          <w:rFonts w:hint="eastAsia"/>
        </w:rPr>
        <w:t>第二章　德國法制之比較觀察</w:t>
      </w:r>
      <w:r>
        <w:rPr>
          <w:rFonts w:hint="eastAsia"/>
        </w:rPr>
        <w:tab/>
        <w:t>12</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第一節　公法上返還請求權（公法上不當得利）</w:t>
      </w:r>
      <w:r>
        <w:rPr>
          <w:rFonts w:hint="eastAsia"/>
        </w:rPr>
        <w:tab/>
        <w:t>12</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概說</w:t>
      </w:r>
      <w:r>
        <w:rPr>
          <w:rFonts w:hint="eastAsia"/>
        </w:rPr>
        <w:tab/>
        <w:t>12</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法律基礎</w:t>
      </w:r>
      <w:r>
        <w:rPr>
          <w:rFonts w:hint="eastAsia"/>
        </w:rPr>
        <w:tab/>
        <w:t>14</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參　與民法上不當得利之關係</w:t>
      </w:r>
      <w:r>
        <w:rPr>
          <w:rFonts w:hint="eastAsia"/>
        </w:rPr>
        <w:tab/>
        <w:t>16</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第二節　各種不同類型之公法上返還請求權</w:t>
      </w:r>
      <w:r>
        <w:rPr>
          <w:rFonts w:hint="eastAsia"/>
        </w:rPr>
        <w:tab/>
        <w:t>22</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一般公法上返還請求權</w:t>
      </w:r>
      <w:r>
        <w:rPr>
          <w:rFonts w:hint="eastAsia"/>
        </w:rPr>
        <w:tab/>
        <w:t>23</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一　請求權之成立與內容</w:t>
      </w:r>
      <w:r>
        <w:rPr>
          <w:rFonts w:hint="eastAsia"/>
        </w:rPr>
        <w:tab/>
        <w:t>23</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二　請求權行使之方法</w:t>
      </w:r>
      <w:r>
        <w:rPr>
          <w:rFonts w:hint="eastAsia"/>
        </w:rPr>
        <w:tab/>
        <w:t>25</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特殊公法上返還請求權</w:t>
      </w:r>
      <w:r>
        <w:rPr>
          <w:rFonts w:hint="eastAsia"/>
        </w:rPr>
        <w:tab/>
        <w:t>26</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一　聯邦行政程序法第四十九條之一</w:t>
      </w:r>
      <w:r>
        <w:rPr>
          <w:rFonts w:hint="eastAsia"/>
        </w:rPr>
        <w:tab/>
        <w:t>26</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二　公務人員法制上之特別規定</w:t>
      </w:r>
      <w:r>
        <w:rPr>
          <w:rFonts w:hint="eastAsia"/>
        </w:rPr>
        <w:tab/>
        <w:t>30</w:t>
      </w:r>
    </w:p>
    <w:p w:rsidR="00000000" w:rsidRDefault="00724932">
      <w:pPr>
        <w:widowControl/>
        <w:tabs>
          <w:tab w:val="right" w:leader="dot" w:pos="8280"/>
        </w:tabs>
        <w:spacing w:afterLines="50" w:after="180" w:line="288" w:lineRule="auto"/>
        <w:ind w:leftChars="200" w:left="1440" w:rightChars="200" w:right="480" w:hangingChars="400" w:hanging="960"/>
        <w:jc w:val="both"/>
        <w:rPr>
          <w:rFonts w:hint="eastAsia"/>
        </w:rPr>
      </w:pPr>
      <w:r>
        <w:rPr>
          <w:rFonts w:hint="eastAsia"/>
        </w:rPr>
        <w:t>第三節　小結</w:t>
      </w:r>
      <w:r>
        <w:rPr>
          <w:rFonts w:hint="eastAsia"/>
        </w:rPr>
        <w:tab/>
        <w:t>41</w:t>
      </w:r>
    </w:p>
    <w:p w:rsidR="00000000" w:rsidRDefault="00724932">
      <w:pPr>
        <w:widowControl/>
        <w:tabs>
          <w:tab w:val="right" w:leader="dot" w:pos="8280"/>
        </w:tabs>
        <w:spacing w:line="288" w:lineRule="auto"/>
        <w:ind w:rightChars="200" w:right="480"/>
        <w:jc w:val="both"/>
        <w:rPr>
          <w:rFonts w:hint="eastAsia"/>
        </w:rPr>
      </w:pPr>
      <w:r>
        <w:rPr>
          <w:rFonts w:hint="eastAsia"/>
        </w:rPr>
        <w:t>第三章　對公務人員無法律上之原因受領公法上金錢給付之返還請求權</w:t>
      </w:r>
      <w:r>
        <w:rPr>
          <w:rFonts w:hint="eastAsia"/>
        </w:rPr>
        <w:tab/>
        <w:t>44</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第一節　公務人員受領公法上金錢給付類型之分析</w:t>
      </w:r>
      <w:r>
        <w:rPr>
          <w:rFonts w:hint="eastAsia"/>
        </w:rPr>
        <w:tab/>
        <w:t>46</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以「公務人員之範圍」作為分類標準</w:t>
      </w:r>
      <w:r>
        <w:rPr>
          <w:rFonts w:hint="eastAsia"/>
        </w:rPr>
        <w:tab/>
        <w:t>46</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以「受領給付之種類」作為分類標準</w:t>
      </w:r>
      <w:r>
        <w:rPr>
          <w:rFonts w:hint="eastAsia"/>
        </w:rPr>
        <w:tab/>
        <w:t>49</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第二節　公法上不當得利返還請求權之成立</w:t>
      </w:r>
      <w:r>
        <w:rPr>
          <w:rFonts w:hint="eastAsia"/>
        </w:rPr>
        <w:t xml:space="preserve"> </w:t>
      </w:r>
      <w:r>
        <w:t>—</w:t>
      </w:r>
      <w:r>
        <w:rPr>
          <w:rFonts w:hint="eastAsia"/>
        </w:rPr>
        <w:t xml:space="preserve"> </w:t>
      </w:r>
      <w:r>
        <w:rPr>
          <w:rFonts w:hint="eastAsia"/>
        </w:rPr>
        <w:t>構成要件</w:t>
      </w:r>
      <w:r>
        <w:rPr>
          <w:rFonts w:hint="eastAsia"/>
        </w:rPr>
        <w:tab/>
        <w:t>54</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公法上不當得利返還請求權之法律基礎</w:t>
      </w:r>
      <w:r>
        <w:rPr>
          <w:rFonts w:hint="eastAsia"/>
        </w:rPr>
        <w:tab/>
        <w:t>54</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基於行政處分之給付</w:t>
      </w:r>
      <w:r>
        <w:rPr>
          <w:rFonts w:hint="eastAsia"/>
        </w:rPr>
        <w:tab/>
        <w:t>56</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lastRenderedPageBreak/>
        <w:t>一　依行政程序法第一百二十七條第一項所成立之公法上不當得利類型</w:t>
      </w:r>
      <w:r>
        <w:rPr>
          <w:rFonts w:hint="eastAsia"/>
        </w:rPr>
        <w:tab/>
        <w:t>57</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二　因其他情形所成立之公法上不當得利類型</w:t>
      </w:r>
      <w:r>
        <w:rPr>
          <w:rFonts w:hint="eastAsia"/>
        </w:rPr>
        <w:tab/>
        <w:t>59</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參　非基於行政處分之給付</w:t>
      </w:r>
      <w:r>
        <w:rPr>
          <w:rFonts w:hint="eastAsia"/>
        </w:rPr>
        <w:tab/>
        <w:t>62</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肆　小結</w:t>
      </w:r>
      <w:r>
        <w:rPr>
          <w:rFonts w:hint="eastAsia"/>
        </w:rPr>
        <w:tab/>
        <w:t>63</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第三節　公法上不當得利返還請求權之內容</w:t>
      </w:r>
      <w:r>
        <w:rPr>
          <w:rFonts w:hint="eastAsia"/>
        </w:rPr>
        <w:t xml:space="preserve"> </w:t>
      </w:r>
      <w:r>
        <w:t>—</w:t>
      </w:r>
      <w:r>
        <w:rPr>
          <w:rFonts w:hint="eastAsia"/>
        </w:rPr>
        <w:t xml:space="preserve"> </w:t>
      </w:r>
      <w:r>
        <w:rPr>
          <w:rFonts w:hint="eastAsia"/>
        </w:rPr>
        <w:t>法律效果</w:t>
      </w:r>
      <w:r>
        <w:rPr>
          <w:rFonts w:hint="eastAsia"/>
        </w:rPr>
        <w:tab/>
        <w:t>65</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返還標的</w:t>
      </w:r>
      <w:r>
        <w:rPr>
          <w:rFonts w:hint="eastAsia"/>
        </w:rPr>
        <w:tab/>
        <w:t>65</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返還範圍</w:t>
      </w:r>
      <w:r>
        <w:rPr>
          <w:rFonts w:hint="eastAsia"/>
        </w:rPr>
        <w:tab/>
        <w:t>66</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一　信賴保護</w:t>
      </w:r>
      <w:r>
        <w:rPr>
          <w:rFonts w:hint="eastAsia"/>
        </w:rPr>
        <w:t xml:space="preserve"> vs. </w:t>
      </w:r>
      <w:r>
        <w:rPr>
          <w:rFonts w:hint="eastAsia"/>
        </w:rPr>
        <w:t>民法第一百八十二條</w:t>
      </w:r>
      <w:r>
        <w:rPr>
          <w:rFonts w:hint="eastAsia"/>
        </w:rPr>
        <w:tab/>
        <w:t>66</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二　衡平法理</w:t>
      </w:r>
      <w:r>
        <w:rPr>
          <w:rFonts w:hint="eastAsia"/>
        </w:rPr>
        <w:tab/>
        <w:t>73</w:t>
      </w:r>
    </w:p>
    <w:p w:rsidR="00000000" w:rsidRDefault="00724932">
      <w:pPr>
        <w:widowControl/>
        <w:tabs>
          <w:tab w:val="right" w:leader="dot" w:pos="8280"/>
        </w:tabs>
        <w:spacing w:afterLines="50" w:after="180" w:line="288" w:lineRule="auto"/>
        <w:ind w:leftChars="200" w:left="1440" w:rightChars="200" w:right="480" w:hangingChars="400" w:hanging="960"/>
        <w:jc w:val="both"/>
        <w:rPr>
          <w:rFonts w:hint="eastAsia"/>
        </w:rPr>
      </w:pPr>
      <w:r>
        <w:rPr>
          <w:rFonts w:hint="eastAsia"/>
        </w:rPr>
        <w:t>第四節　公法上不當得利返還請求權之消滅時效</w:t>
      </w:r>
      <w:r>
        <w:rPr>
          <w:rFonts w:hint="eastAsia"/>
        </w:rPr>
        <w:tab/>
        <w:t>75</w:t>
      </w:r>
    </w:p>
    <w:p w:rsidR="00000000" w:rsidRDefault="00724932">
      <w:pPr>
        <w:widowControl/>
        <w:tabs>
          <w:tab w:val="right" w:leader="dot" w:pos="8280"/>
        </w:tabs>
        <w:spacing w:line="288" w:lineRule="auto"/>
        <w:ind w:rightChars="200" w:right="480"/>
        <w:jc w:val="both"/>
        <w:rPr>
          <w:rFonts w:hint="eastAsia"/>
        </w:rPr>
      </w:pPr>
      <w:r>
        <w:rPr>
          <w:rFonts w:hint="eastAsia"/>
        </w:rPr>
        <w:t>第四章　對公務人員公法上不當得利返還請求權之行使</w:t>
      </w:r>
      <w:r>
        <w:rPr>
          <w:rFonts w:hint="eastAsia"/>
        </w:rPr>
        <w:tab/>
        <w:t>78</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第一節　我國行政爭訟實務上之爭議</w:t>
      </w:r>
      <w:r>
        <w:rPr>
          <w:rFonts w:hint="eastAsia"/>
        </w:rPr>
        <w:tab/>
        <w:t>78</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爭議過程</w:t>
      </w:r>
      <w:r>
        <w:rPr>
          <w:rFonts w:hint="eastAsia"/>
        </w:rPr>
        <w:tab/>
        <w:t>78</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一　行政法院審判實務</w:t>
      </w:r>
      <w:r>
        <w:rPr>
          <w:rFonts w:hint="eastAsia"/>
        </w:rPr>
        <w:tab/>
        <w:t>78</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二　保訓會復審實務</w:t>
      </w:r>
      <w:r>
        <w:rPr>
          <w:rFonts w:hint="eastAsia"/>
        </w:rPr>
        <w:tab/>
        <w:t>86</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爭議點整理</w:t>
      </w:r>
      <w:r>
        <w:rPr>
          <w:rFonts w:hint="eastAsia"/>
        </w:rPr>
        <w:tab/>
        <w:t>87</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第二節　各種行使之方式</w:t>
      </w:r>
      <w:r>
        <w:rPr>
          <w:rFonts w:hint="eastAsia"/>
        </w:rPr>
        <w:tab/>
        <w:t>88</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壹　行政處分（給付裁決）</w:t>
      </w:r>
      <w:r>
        <w:rPr>
          <w:rFonts w:hint="eastAsia"/>
        </w:rPr>
        <w:tab/>
        <w:t>88</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一　反面理論</w:t>
      </w:r>
      <w:r>
        <w:rPr>
          <w:rFonts w:hint="eastAsia"/>
        </w:rPr>
        <w:tab/>
        <w:t>88</w:t>
      </w:r>
    </w:p>
    <w:p w:rsidR="00000000" w:rsidRDefault="00724932">
      <w:pPr>
        <w:widowControl/>
        <w:tabs>
          <w:tab w:val="right" w:leader="dot" w:pos="8280"/>
        </w:tabs>
        <w:spacing w:line="288" w:lineRule="auto"/>
        <w:ind w:leftChars="600" w:left="1920" w:rightChars="200" w:right="480" w:hangingChars="200" w:hanging="480"/>
        <w:jc w:val="both"/>
        <w:rPr>
          <w:rFonts w:hint="eastAsia"/>
        </w:rPr>
      </w:pPr>
      <w:r>
        <w:rPr>
          <w:rFonts w:hint="eastAsia"/>
        </w:rPr>
        <w:t>二　隸屬關係說</w:t>
      </w:r>
      <w:r>
        <w:rPr>
          <w:rFonts w:hint="eastAsia"/>
        </w:rPr>
        <w:tab/>
        <w:t>9</w:t>
      </w:r>
      <w:r>
        <w:rPr>
          <w:rFonts w:hint="eastAsia"/>
        </w:rPr>
        <w:t>0</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貳　一般給付訴訟</w:t>
      </w:r>
      <w:r>
        <w:rPr>
          <w:rFonts w:hint="eastAsia"/>
        </w:rPr>
        <w:tab/>
        <w:t>93</w:t>
      </w:r>
    </w:p>
    <w:p w:rsidR="00000000" w:rsidRDefault="00724932">
      <w:pPr>
        <w:widowControl/>
        <w:tabs>
          <w:tab w:val="right" w:leader="dot" w:pos="8280"/>
        </w:tabs>
        <w:spacing w:line="288" w:lineRule="auto"/>
        <w:ind w:leftChars="400" w:left="1440" w:rightChars="200" w:right="480" w:hangingChars="200" w:hanging="480"/>
        <w:jc w:val="both"/>
        <w:rPr>
          <w:rFonts w:hint="eastAsia"/>
        </w:rPr>
      </w:pPr>
      <w:r>
        <w:rPr>
          <w:rFonts w:hint="eastAsia"/>
        </w:rPr>
        <w:t>參　公法上之抵銷</w:t>
      </w:r>
      <w:r>
        <w:rPr>
          <w:rFonts w:hint="eastAsia"/>
        </w:rPr>
        <w:tab/>
        <w:t>93</w:t>
      </w:r>
    </w:p>
    <w:p w:rsidR="00000000" w:rsidRDefault="00724932">
      <w:pPr>
        <w:widowControl/>
        <w:tabs>
          <w:tab w:val="right" w:leader="dot" w:pos="8280"/>
        </w:tabs>
        <w:spacing w:line="288" w:lineRule="auto"/>
        <w:ind w:rightChars="200" w:right="480"/>
        <w:jc w:val="both"/>
        <w:rPr>
          <w:rFonts w:hint="eastAsia"/>
        </w:rPr>
      </w:pPr>
      <w:r>
        <w:rPr>
          <w:rFonts w:hint="eastAsia"/>
        </w:rPr>
        <w:t>第五章　結論</w:t>
      </w:r>
      <w:r>
        <w:rPr>
          <w:rFonts w:hint="eastAsia"/>
        </w:rPr>
        <w:tab/>
        <w:t>95</w:t>
      </w:r>
    </w:p>
    <w:p w:rsidR="00000000" w:rsidRDefault="00724932">
      <w:pPr>
        <w:widowControl/>
        <w:tabs>
          <w:tab w:val="right" w:leader="dot" w:pos="8280"/>
        </w:tabs>
        <w:spacing w:line="288" w:lineRule="auto"/>
        <w:ind w:leftChars="200" w:left="1440" w:rightChars="200" w:right="480" w:hangingChars="400" w:hanging="960"/>
        <w:jc w:val="both"/>
        <w:rPr>
          <w:rFonts w:hint="eastAsia"/>
        </w:rPr>
      </w:pPr>
      <w:r>
        <w:rPr>
          <w:rFonts w:hint="eastAsia"/>
        </w:rPr>
        <w:t>第一節　研究結果總整理</w:t>
      </w:r>
      <w:r>
        <w:rPr>
          <w:rFonts w:hint="eastAsia"/>
        </w:rPr>
        <w:tab/>
        <w:t>95</w:t>
      </w:r>
    </w:p>
    <w:p w:rsidR="00000000" w:rsidRDefault="00724932">
      <w:pPr>
        <w:widowControl/>
        <w:tabs>
          <w:tab w:val="right" w:leader="dot" w:pos="8280"/>
        </w:tabs>
        <w:spacing w:afterLines="50" w:after="180" w:line="288" w:lineRule="auto"/>
        <w:ind w:leftChars="200" w:left="1440" w:rightChars="200" w:right="480" w:hangingChars="400" w:hanging="960"/>
        <w:jc w:val="both"/>
        <w:rPr>
          <w:rFonts w:hint="eastAsia"/>
        </w:rPr>
      </w:pPr>
      <w:r>
        <w:rPr>
          <w:rFonts w:hint="eastAsia"/>
        </w:rPr>
        <w:t>第二節　立法政策上之建議</w:t>
      </w:r>
      <w:r>
        <w:rPr>
          <w:rFonts w:hint="eastAsia"/>
        </w:rPr>
        <w:tab/>
        <w:t>103</w:t>
      </w:r>
    </w:p>
    <w:p w:rsidR="00000000" w:rsidRDefault="00724932">
      <w:pPr>
        <w:widowControl/>
        <w:tabs>
          <w:tab w:val="right" w:leader="dot" w:pos="8280"/>
        </w:tabs>
        <w:spacing w:line="288" w:lineRule="auto"/>
        <w:jc w:val="both"/>
        <w:rPr>
          <w:rFonts w:hint="eastAsia"/>
        </w:rPr>
      </w:pPr>
      <w:r>
        <w:rPr>
          <w:rFonts w:hint="eastAsia"/>
        </w:rPr>
        <w:t>附錄</w:t>
      </w:r>
      <w:r>
        <w:rPr>
          <w:rFonts w:hint="eastAsia"/>
        </w:rPr>
        <w:tab/>
        <w:t>106</w:t>
      </w:r>
    </w:p>
    <w:p w:rsidR="00000000" w:rsidRDefault="00724932">
      <w:pPr>
        <w:widowControl/>
        <w:tabs>
          <w:tab w:val="right" w:leader="dot" w:pos="8280"/>
        </w:tabs>
        <w:spacing w:line="288" w:lineRule="auto"/>
        <w:ind w:leftChars="200" w:left="960" w:hangingChars="200" w:hanging="480"/>
        <w:jc w:val="both"/>
        <w:rPr>
          <w:rFonts w:hint="eastAsia"/>
        </w:rPr>
      </w:pPr>
      <w:r>
        <w:rPr>
          <w:rFonts w:hint="eastAsia"/>
        </w:rPr>
        <w:t>壹、參考文獻</w:t>
      </w:r>
      <w:r>
        <w:rPr>
          <w:rFonts w:hint="eastAsia"/>
        </w:rPr>
        <w:tab/>
        <w:t>106</w:t>
      </w:r>
    </w:p>
    <w:p w:rsidR="00000000" w:rsidRDefault="00724932">
      <w:pPr>
        <w:widowControl/>
        <w:tabs>
          <w:tab w:val="right" w:leader="dot" w:pos="8280"/>
        </w:tabs>
        <w:spacing w:line="288" w:lineRule="auto"/>
        <w:ind w:leftChars="200" w:left="960" w:hangingChars="200" w:hanging="480"/>
        <w:jc w:val="both"/>
        <w:rPr>
          <w:rFonts w:hint="eastAsia"/>
        </w:rPr>
      </w:pPr>
      <w:r>
        <w:rPr>
          <w:rFonts w:hint="eastAsia"/>
        </w:rPr>
        <w:t>貳、我國與德國法制主要參考條文</w:t>
      </w:r>
      <w:r>
        <w:rPr>
          <w:rFonts w:hint="eastAsia"/>
        </w:rPr>
        <w:tab/>
        <w:t>111</w:t>
      </w:r>
    </w:p>
    <w:p w:rsidR="00000000" w:rsidRDefault="00724932">
      <w:pPr>
        <w:widowControl/>
        <w:tabs>
          <w:tab w:val="right" w:leader="dot" w:pos="8280"/>
        </w:tabs>
        <w:spacing w:line="288" w:lineRule="auto"/>
        <w:ind w:leftChars="200" w:left="960" w:hangingChars="200" w:hanging="480"/>
        <w:jc w:val="both"/>
        <w:rPr>
          <w:rFonts w:hint="eastAsia"/>
        </w:rPr>
      </w:pPr>
      <w:r>
        <w:rPr>
          <w:rFonts w:hint="eastAsia"/>
        </w:rPr>
        <w:t>參、重要實務見解</w:t>
      </w:r>
      <w:r>
        <w:rPr>
          <w:rFonts w:hint="eastAsia"/>
        </w:rPr>
        <w:tab/>
        <w:t>142</w:t>
      </w:r>
    </w:p>
    <w:p w:rsidR="00000000" w:rsidRDefault="00724932">
      <w:pPr>
        <w:widowControl/>
        <w:tabs>
          <w:tab w:val="right" w:leader="dot" w:pos="8280"/>
        </w:tabs>
        <w:spacing w:line="288" w:lineRule="auto"/>
        <w:ind w:leftChars="200" w:left="960" w:hangingChars="200" w:hanging="480"/>
        <w:jc w:val="both"/>
        <w:rPr>
          <w:rFonts w:hint="eastAsia"/>
        </w:rPr>
      </w:pPr>
      <w:r>
        <w:rPr>
          <w:rFonts w:hint="eastAsia"/>
        </w:rPr>
        <w:t>肆、公務人員受領金錢給付一覽表</w:t>
      </w:r>
      <w:r>
        <w:rPr>
          <w:rFonts w:hint="eastAsia"/>
        </w:rPr>
        <w:tab/>
        <w:t>185</w:t>
      </w:r>
    </w:p>
    <w:p w:rsidR="00000000" w:rsidRDefault="00724932">
      <w:pPr>
        <w:widowControl/>
        <w:spacing w:beforeLines="400" w:before="1440" w:afterLines="50" w:after="180" w:line="288" w:lineRule="auto"/>
        <w:jc w:val="center"/>
        <w:rPr>
          <w:rFonts w:hint="eastAsia"/>
          <w:b/>
          <w:bCs/>
          <w:sz w:val="48"/>
          <w:szCs w:val="48"/>
        </w:rPr>
      </w:pPr>
      <w:r>
        <w:rPr>
          <w:b/>
          <w:sz w:val="48"/>
          <w:szCs w:val="48"/>
        </w:rPr>
        <w:br w:type="page"/>
      </w:r>
      <w:r>
        <w:rPr>
          <w:rFonts w:hint="eastAsia"/>
          <w:b/>
          <w:sz w:val="48"/>
          <w:szCs w:val="48"/>
        </w:rPr>
        <w:lastRenderedPageBreak/>
        <w:t>第一章</w:t>
      </w:r>
      <w:r>
        <w:rPr>
          <w:rFonts w:hAnsi="新細明體" w:hint="eastAsia"/>
          <w:b/>
          <w:bCs/>
          <w:sz w:val="48"/>
          <w:szCs w:val="48"/>
        </w:rPr>
        <w:t xml:space="preserve">　緒論</w:t>
      </w:r>
    </w:p>
    <w:p w:rsidR="00000000" w:rsidRDefault="00724932">
      <w:pPr>
        <w:widowControl/>
        <w:spacing w:afterLines="50" w:after="180" w:line="288" w:lineRule="auto"/>
        <w:jc w:val="both"/>
        <w:rPr>
          <w:rFonts w:hAnsi="新細明體" w:hint="eastAsia"/>
          <w:b/>
          <w:bCs/>
          <w:sz w:val="40"/>
          <w:szCs w:val="40"/>
        </w:rPr>
      </w:pPr>
    </w:p>
    <w:p w:rsidR="00000000" w:rsidRDefault="0072493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第一節　研究背景</w:t>
      </w:r>
    </w:p>
    <w:p w:rsidR="00000000" w:rsidRDefault="00724932">
      <w:pPr>
        <w:widowControl/>
        <w:spacing w:afterLines="50" w:after="180" w:line="288" w:lineRule="auto"/>
        <w:ind w:firstLineChars="200" w:firstLine="480"/>
        <w:jc w:val="both"/>
        <w:rPr>
          <w:rFonts w:hint="eastAsia"/>
        </w:rPr>
      </w:pPr>
      <w:r>
        <w:rPr>
          <w:rFonts w:hint="eastAsia"/>
        </w:rPr>
        <w:t>近年來我國行政法學界，由於行政程序、行政執行、行政爭訟等諸多法制的逐漸革新與確立，無論學說與實務，均有長足的進步；而在公務人員法制的領域中，自從所謂「特別權力關係（</w:t>
      </w:r>
      <w:r>
        <w:rPr>
          <w:rFonts w:hint="eastAsia"/>
        </w:rPr>
        <w:t>besonderes Gewalt</w:t>
      </w:r>
      <w:r>
        <w:rPr>
          <w:rFonts w:hint="eastAsia"/>
        </w:rPr>
        <w:t>verh</w:t>
      </w:r>
      <w:r>
        <w:t>ä</w:t>
      </w:r>
      <w:r>
        <w:rPr>
          <w:rFonts w:hint="eastAsia"/>
        </w:rPr>
        <w:t>ltnis</w:t>
      </w:r>
      <w:r>
        <w:rPr>
          <w:rFonts w:hint="eastAsia"/>
        </w:rPr>
        <w:t>）」的理論突破後</w:t>
      </w:r>
      <w:r>
        <w:rPr>
          <w:rStyle w:val="a9"/>
        </w:rPr>
        <w:footnoteReference w:id="1"/>
      </w:r>
      <w:r>
        <w:rPr>
          <w:rFonts w:hint="eastAsia"/>
        </w:rPr>
        <w:t>，更由於公務人員保障法等之制定、修正，乃至公務人員保障暨培訓委員會（以下依公務人員保障法第四條第二項，簡稱「保訓會」）之設置，相關法學的研究與發展，尤其不能與曩昔同日而語。不過也正因為人民權利意識的普遍覺醒，以及保訓會、行政法院，乃至大法官釋憲實務的逐步更新，若干從前所不存在的法律問題，在公務員法領域中不斷浮現，非但困擾了實務，甚至也成為，或將成為學者競相研究的新課題。其中，行政機關得否，並如何向公務人員請求返還不當受領的薪俸或其他具有財產價值之照護給付，或可稱為適例。</w:t>
      </w:r>
    </w:p>
    <w:p w:rsidR="00000000" w:rsidRDefault="00724932">
      <w:pPr>
        <w:widowControl/>
        <w:spacing w:afterLines="50" w:after="180" w:line="288" w:lineRule="auto"/>
        <w:ind w:firstLineChars="200" w:firstLine="480"/>
        <w:jc w:val="both"/>
        <w:rPr>
          <w:rFonts w:hint="eastAsia"/>
        </w:rPr>
      </w:pPr>
      <w:r>
        <w:rPr>
          <w:rFonts w:hint="eastAsia"/>
        </w:rPr>
        <w:t>在公務人員與國家所形成的公務員法律關係中，公務人員接受國家俸給及其他具有財產價值的照護，本是國家最主要的義務，也是公務人員最主要的權利（贍養原則；</w:t>
      </w:r>
      <w:r>
        <w:rPr>
          <w:rFonts w:hint="eastAsia"/>
        </w:rPr>
        <w:t>Alimentationsprinzip</w:t>
      </w:r>
      <w:r>
        <w:rPr>
          <w:rFonts w:hint="eastAsia"/>
        </w:rPr>
        <w:t>）</w:t>
      </w:r>
      <w:r>
        <w:rPr>
          <w:rStyle w:val="a9"/>
        </w:rPr>
        <w:footnoteReference w:id="2"/>
      </w:r>
      <w:r>
        <w:rPr>
          <w:rFonts w:hint="eastAsia"/>
        </w:rPr>
        <w:t>。然而，公務人員如無法律上之原因或法律上之原因溯及消滅而受領薪俸或其他具有財產價值之照護給付時，代表國家或其他行政主體之行政機關得否，並如何請求公務人員返還</w:t>
      </w:r>
      <w:r>
        <w:t>該受領之</w:t>
      </w:r>
      <w:r>
        <w:rPr>
          <w:rFonts w:hint="eastAsia"/>
        </w:rPr>
        <w:t>金額或其他財產上給付，則將成為問題。關於這個問題點，在我國現行的法律中並無明文規定；因此</w:t>
      </w:r>
      <w:r>
        <w:rPr>
          <w:rFonts w:hint="eastAsia"/>
        </w:rPr>
        <w:lastRenderedPageBreak/>
        <w:t>相關之爭議如何解決，即屬疑義。我國目前的行政實務，事實上也遭遇到是類</w:t>
      </w:r>
      <w:r>
        <w:rPr>
          <w:rFonts w:hint="eastAsia"/>
        </w:rPr>
        <w:t>的問題；在保訓會所審議決定的（再）</w:t>
      </w:r>
      <w:r>
        <w:rPr>
          <w:rStyle w:val="a9"/>
        </w:rPr>
        <w:footnoteReference w:id="3"/>
      </w:r>
      <w:r>
        <w:rPr>
          <w:rFonts w:hint="eastAsia"/>
        </w:rPr>
        <w:t>復審案件中，相關爭議即層出不窮。</w:t>
      </w:r>
    </w:p>
    <w:p w:rsidR="00000000" w:rsidRDefault="00724932">
      <w:pPr>
        <w:widowControl/>
        <w:spacing w:line="288" w:lineRule="auto"/>
        <w:ind w:firstLineChars="200" w:firstLine="480"/>
        <w:jc w:val="both"/>
        <w:rPr>
          <w:rFonts w:hint="eastAsia"/>
        </w:rPr>
      </w:pPr>
      <w:r>
        <w:rPr>
          <w:rFonts w:hint="eastAsia"/>
        </w:rPr>
        <w:t>法學研究的工作，其目的之一，在於協助實務解決爭議的問題。如今行政機關得否，並如何向公務人員請求返還不當受領的薪俸或其他具有財產價值之照護給付，既已在實務上逐漸凸顯出問題的重要性，而非單純學術領域內的紙上談兵，則本研究基於前開法學研究的目的，即擬以行政機關得否，並如何向公務人員請求返還不當受領的薪俸或其他具有財產價值之照護給付為研究主題，詳細探討相關的法律問題，冀能提供實務界處理爭議時參考，並進而為將來相關法制之建立，借箸代籌，作若干立法政</w:t>
      </w:r>
      <w:r>
        <w:rPr>
          <w:rFonts w:hint="eastAsia"/>
        </w:rPr>
        <w:t>策上的興革建議。</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第二節　研究範圍</w:t>
      </w:r>
    </w:p>
    <w:p w:rsidR="00000000" w:rsidRDefault="00724932">
      <w:pPr>
        <w:widowControl/>
        <w:spacing w:afterLines="50" w:after="180" w:line="288" w:lineRule="auto"/>
        <w:ind w:firstLineChars="200" w:firstLine="480"/>
        <w:jc w:val="both"/>
        <w:rPr>
          <w:rFonts w:hint="eastAsia"/>
        </w:rPr>
      </w:pPr>
      <w:r>
        <w:rPr>
          <w:rFonts w:hint="eastAsia"/>
        </w:rPr>
        <w:t>本研究，如前所述，原以協助實務解決爭議為主要取向；因此在研究範圍的設定上，原則上亦以討論行政機關得否，並如何向公務人員請求返還不當受領之薪俸或其他具有財產價值之照護給付的議題，在實務上所遭遇的各種法律爭議為中心。不過，這些爭議究竟為何，在此顯有先予說明的必要。因為唯有如此，本研究的研究範圍，方能更進一步地加以具體確定。</w:t>
      </w:r>
    </w:p>
    <w:p w:rsidR="00000000" w:rsidRDefault="00724932">
      <w:pPr>
        <w:widowControl/>
        <w:spacing w:afterLines="50" w:after="180" w:line="288" w:lineRule="auto"/>
        <w:ind w:firstLineChars="200" w:firstLine="480"/>
        <w:jc w:val="both"/>
        <w:rPr>
          <w:rFonts w:hint="eastAsia"/>
        </w:rPr>
      </w:pPr>
      <w:r>
        <w:rPr>
          <w:rFonts w:hint="eastAsia"/>
        </w:rPr>
        <w:t>查我國有關行政機關得否，並如何向公務人員請求返還不當受領之薪俸或其他具有財產價值之照護給付的實務，迄今仍以保訓會依公務人員保障法所為的（再）復審決定</w:t>
      </w:r>
      <w:r>
        <w:rPr>
          <w:rFonts w:hint="eastAsia"/>
        </w:rPr>
        <w:t>為主（例見：附錄　參、三及肆、備註欄）；而保訓會審議決定相關（再）復審事件時，則率以行政機關有無，並如何透過所謂「公法上不當得利返還請求權」的機制，向公務人員請求返還因無法律上之原因而受領的薪俸或其他具有財產價值之照護給付為處理相關案件的重心。從而有關行政機關得否，並如何向公務人員請求返還不當受領之薪俸或其他具有財產價值之照護給付的議題，在我國目前實務上，其實就是「公法上不當得利」制度的一種運用；換言之，公法上不當得利的構成要件如何、法律效果如何，及其如何正確地運用在行</w:t>
      </w:r>
      <w:r>
        <w:rPr>
          <w:rFonts w:hint="eastAsia"/>
        </w:rPr>
        <w:lastRenderedPageBreak/>
        <w:t>政機關得否，並如何向公務人員請求返還不</w:t>
      </w:r>
      <w:r>
        <w:rPr>
          <w:rFonts w:hint="eastAsia"/>
        </w:rPr>
        <w:t>當受領之薪俸或其他具有財產價值之照護給付的案件上，是為我國相關實務的主要爭議問題，同時也就是本研究之研究範圍的主軸。</w:t>
      </w:r>
    </w:p>
    <w:p w:rsidR="00000000" w:rsidRDefault="00724932">
      <w:pPr>
        <w:widowControl/>
        <w:spacing w:afterLines="50" w:after="180" w:line="288" w:lineRule="auto"/>
        <w:ind w:firstLineChars="200" w:firstLine="480"/>
        <w:jc w:val="both"/>
        <w:rPr>
          <w:rFonts w:hint="eastAsia"/>
        </w:rPr>
      </w:pPr>
      <w:r>
        <w:rPr>
          <w:rFonts w:hint="eastAsia"/>
        </w:rPr>
        <w:t>此外，公務人員依法所受領的薪俸或其他具有財產價值之照護給付，在現行法中，不外乎以金錢為主（詳見：附錄　肆）；而此一金錢之給付，又因原則上為基於具有公法性質之公務員法律關係而來者，所以本身可以定性為「公法上金錢給付」之一種。因此，在本研究的研究範圍內，有關行政機關得否，並如何向公務人員請求返還不當受領之薪俸或其他具有財產價值之照護給付的問題，一方面將集中在公務人員受領金錢給付的部分進行討論；另</w:t>
      </w:r>
      <w:r>
        <w:rPr>
          <w:rFonts w:hint="eastAsia"/>
        </w:rPr>
        <w:t>一方面，則又鑑於該金錢給付的公法性質，相關問題也將簡稱為「公務人員公法上金錢給付之返還請求」，以免行文上措辭累贅。</w:t>
      </w:r>
    </w:p>
    <w:p w:rsidR="00000000" w:rsidRDefault="00724932">
      <w:pPr>
        <w:widowControl/>
        <w:spacing w:afterLines="50" w:after="180" w:line="288" w:lineRule="auto"/>
        <w:ind w:firstLineChars="200" w:firstLine="480"/>
        <w:jc w:val="both"/>
        <w:rPr>
          <w:rFonts w:hint="eastAsia"/>
        </w:rPr>
      </w:pPr>
      <w:r>
        <w:rPr>
          <w:rFonts w:hint="eastAsia"/>
        </w:rPr>
        <w:t>又，有關「公務人員公法上金錢給付之返還請求」案件，據本研究初步蒐集資料所得，尚少成為我國行政法院體系的司法審判標的</w:t>
      </w:r>
      <w:r>
        <w:rPr>
          <w:rStyle w:val="a9"/>
        </w:rPr>
        <w:footnoteReference w:id="4"/>
      </w:r>
      <w:r>
        <w:rPr>
          <w:rFonts w:hint="eastAsia"/>
        </w:rPr>
        <w:t>；惟有關「公法上不當得利」的制度本身，則常在高等行政法院及最高行政法院所受理的案件中出現（例見：附錄　參、二）。從而，在本研究中，有關公法上不當得利在行政法院審判實務所衍生的相關問題，或多或少也將是研究範圍必須兼顧的重點。</w:t>
      </w:r>
    </w:p>
    <w:p w:rsidR="00000000" w:rsidRDefault="00724932">
      <w:pPr>
        <w:widowControl/>
        <w:spacing w:afterLines="50" w:after="180" w:line="288" w:lineRule="auto"/>
        <w:ind w:firstLineChars="200" w:firstLine="480"/>
        <w:jc w:val="both"/>
        <w:rPr>
          <w:rFonts w:hint="eastAsia"/>
        </w:rPr>
      </w:pPr>
      <w:r>
        <w:rPr>
          <w:rFonts w:hint="eastAsia"/>
        </w:rPr>
        <w:t>總之，綜合上開所揭之各種實務，本研究的研究範圍主要將定位</w:t>
      </w:r>
      <w:r>
        <w:rPr>
          <w:rFonts w:hint="eastAsia"/>
        </w:rPr>
        <w:t>在以下各相關問題的研究討論上：</w:t>
      </w:r>
    </w:p>
    <w:p w:rsidR="00000000" w:rsidRDefault="00724932">
      <w:pPr>
        <w:widowControl/>
        <w:numPr>
          <w:ilvl w:val="0"/>
          <w:numId w:val="5"/>
        </w:numPr>
        <w:spacing w:afterLines="50" w:after="180" w:line="288" w:lineRule="auto"/>
        <w:jc w:val="both"/>
        <w:rPr>
          <w:rFonts w:hint="eastAsia"/>
        </w:rPr>
      </w:pPr>
      <w:r>
        <w:rPr>
          <w:rFonts w:hint="eastAsia"/>
        </w:rPr>
        <w:t>我國公務人員的概念繁多</w:t>
      </w:r>
      <w:r>
        <w:rPr>
          <w:rStyle w:val="a9"/>
        </w:rPr>
        <w:footnoteReference w:id="5"/>
      </w:r>
      <w:r>
        <w:rPr>
          <w:rFonts w:hint="eastAsia"/>
        </w:rPr>
        <w:t>；即以公務人員保障法所定義得適用（同法第三條第一項）及準用（同法第一百零二條）該法規定，並進而成為保訓會案件審理之對象的公務人員類型為例，已難以計數。準此，是等公務人員保障法所定義的各種公務人員類型，在涉及不當受領薪俸或其他具有財產價值之照護給付時，是否均能適用</w:t>
      </w:r>
      <w:r>
        <w:rPr>
          <w:rFonts w:hAnsi="新細明體" w:hint="eastAsia"/>
        </w:rPr>
        <w:t>公法上不當得利的制度，請求返還？而在其能</w:t>
      </w:r>
      <w:r>
        <w:rPr>
          <w:rFonts w:hint="eastAsia"/>
        </w:rPr>
        <w:t>適用</w:t>
      </w:r>
      <w:r>
        <w:rPr>
          <w:rFonts w:hAnsi="新細明體" w:hint="eastAsia"/>
        </w:rPr>
        <w:t>公法上</w:t>
      </w:r>
      <w:r>
        <w:rPr>
          <w:rFonts w:ascii="新細明體" w:hAnsi="新細明體" w:hint="eastAsia"/>
        </w:rPr>
        <w:t>不</w:t>
      </w:r>
      <w:r>
        <w:rPr>
          <w:rFonts w:hAnsi="新細明體" w:hint="eastAsia"/>
        </w:rPr>
        <w:t>當得利之制度請求返還的範圍內，是否另有必要因公務人員類型之不同，再進一步加以適度的類型化，以確定適用不同的公法上不當得利之構成要件及法律效果，</w:t>
      </w:r>
      <w:r>
        <w:rPr>
          <w:rFonts w:hAnsi="新細明體" w:hint="eastAsia"/>
        </w:rPr>
        <w:t>請求返還？</w:t>
      </w:r>
    </w:p>
    <w:p w:rsidR="00000000" w:rsidRDefault="00724932">
      <w:pPr>
        <w:widowControl/>
        <w:numPr>
          <w:ilvl w:val="0"/>
          <w:numId w:val="5"/>
        </w:numPr>
        <w:spacing w:afterLines="50" w:after="180" w:line="288" w:lineRule="auto"/>
        <w:jc w:val="both"/>
        <w:rPr>
          <w:rFonts w:hint="eastAsia"/>
        </w:rPr>
      </w:pPr>
      <w:r>
        <w:rPr>
          <w:rFonts w:hAnsi="新細明體"/>
        </w:rPr>
        <w:lastRenderedPageBreak/>
        <w:t>公務人員</w:t>
      </w:r>
      <w:r>
        <w:rPr>
          <w:rFonts w:hAnsi="新細明體" w:hint="eastAsia"/>
        </w:rPr>
        <w:t>所受領、並具有公法上金錢給付性質的</w:t>
      </w:r>
      <w:r>
        <w:rPr>
          <w:rFonts w:hint="eastAsia"/>
        </w:rPr>
        <w:t>薪俸或其他照護給付本身，種類亦相當複雜而繁多（詳見：附錄　肆）；準此，不同種類的公法上金錢給付，是否均能一概適用</w:t>
      </w:r>
      <w:r>
        <w:rPr>
          <w:rFonts w:hAnsi="新細明體" w:hint="eastAsia"/>
        </w:rPr>
        <w:t>公法上不當得利的制度，請求返還？此外，在其能適用公法上不當得利之制度請求返還的範圍內，有無必要因</w:t>
      </w:r>
      <w:r>
        <w:rPr>
          <w:rFonts w:hint="eastAsia"/>
        </w:rPr>
        <w:t>金錢給付</w:t>
      </w:r>
      <w:r>
        <w:rPr>
          <w:rFonts w:hAnsi="新細明體" w:hint="eastAsia"/>
        </w:rPr>
        <w:t>類型之不同，更進一步加以類型化，以確定適用不同的公法上不當得利之構成要件及法律效果，請求返還？</w:t>
      </w:r>
    </w:p>
    <w:p w:rsidR="00000000" w:rsidRDefault="00724932">
      <w:pPr>
        <w:widowControl/>
        <w:numPr>
          <w:ilvl w:val="0"/>
          <w:numId w:val="5"/>
        </w:numPr>
        <w:spacing w:afterLines="50" w:after="180" w:line="288" w:lineRule="auto"/>
        <w:jc w:val="both"/>
        <w:rPr>
          <w:rFonts w:hint="eastAsia"/>
        </w:rPr>
      </w:pPr>
      <w:r>
        <w:rPr>
          <w:rFonts w:hAnsi="新細明體" w:hint="eastAsia"/>
        </w:rPr>
        <w:t>所謂「公法上不當得利」，其請求權成立之構成要件為何？而</w:t>
      </w:r>
      <w:r>
        <w:rPr>
          <w:rFonts w:hAnsi="新細明體"/>
        </w:rPr>
        <w:t>公務人員</w:t>
      </w:r>
      <w:r>
        <w:rPr>
          <w:rFonts w:hAnsi="新細明體" w:hint="eastAsia"/>
        </w:rPr>
        <w:t>受領具有公法上金錢給付性質的</w:t>
      </w:r>
      <w:r>
        <w:rPr>
          <w:rFonts w:hint="eastAsia"/>
        </w:rPr>
        <w:t>薪俸或其他照護給付，如何始</w:t>
      </w:r>
      <w:r>
        <w:rPr>
          <w:rFonts w:hAnsi="新細明體" w:hint="eastAsia"/>
        </w:rPr>
        <w:t>該當公法上不當得利返還請求權的</w:t>
      </w:r>
      <w:r>
        <w:rPr>
          <w:rFonts w:hAnsi="新細明體" w:hint="eastAsia"/>
        </w:rPr>
        <w:t>構成要件，而得請求返還？</w:t>
      </w:r>
    </w:p>
    <w:p w:rsidR="00000000" w:rsidRDefault="00724932">
      <w:pPr>
        <w:widowControl/>
        <w:numPr>
          <w:ilvl w:val="0"/>
          <w:numId w:val="5"/>
        </w:numPr>
        <w:spacing w:afterLines="50" w:after="180" w:line="288" w:lineRule="auto"/>
        <w:jc w:val="both"/>
        <w:rPr>
          <w:rFonts w:hint="eastAsia"/>
        </w:rPr>
      </w:pPr>
      <w:r>
        <w:rPr>
          <w:rFonts w:hAnsi="新細明體"/>
        </w:rPr>
        <w:t>公務人員</w:t>
      </w:r>
      <w:r>
        <w:rPr>
          <w:rFonts w:hAnsi="新細明體" w:hint="eastAsia"/>
        </w:rPr>
        <w:t>受領公法上金錢給付應否、並如何區分以（一）行政處分為「法律上之原因」而受領之給付（行政程序法</w:t>
      </w:r>
      <w:r>
        <w:rPr>
          <w:rFonts w:hAnsi="新細明體"/>
        </w:rPr>
        <w:t>第一百二十七條</w:t>
      </w:r>
      <w:r>
        <w:rPr>
          <w:rFonts w:hAnsi="新細明體" w:hint="eastAsia"/>
        </w:rPr>
        <w:t>參照），以及（二）非以行政處分為「法律上之原因」而受領之給付等兩種類型？其構成要件及法律效果是否不同？而行政機關請求返還公法上不當得利時，所應採取的法律手段是否也不同？</w:t>
      </w:r>
    </w:p>
    <w:p w:rsidR="00000000" w:rsidRDefault="00724932">
      <w:pPr>
        <w:widowControl/>
        <w:numPr>
          <w:ilvl w:val="0"/>
          <w:numId w:val="5"/>
        </w:numPr>
        <w:spacing w:afterLines="50" w:after="180" w:line="288" w:lineRule="auto"/>
        <w:jc w:val="both"/>
        <w:rPr>
          <w:rFonts w:ascii="新細明體" w:hAnsi="新細明體"/>
        </w:rPr>
      </w:pPr>
      <w:r>
        <w:rPr>
          <w:rFonts w:hAnsi="新細明體"/>
        </w:rPr>
        <w:t>支付行為之性質</w:t>
      </w:r>
      <w:r>
        <w:rPr>
          <w:rFonts w:hAnsi="新細明體" w:hint="eastAsia"/>
        </w:rPr>
        <w:t>為何？其與</w:t>
      </w:r>
      <w:r>
        <w:rPr>
          <w:rFonts w:hAnsi="新細明體"/>
        </w:rPr>
        <w:t>各該法律</w:t>
      </w:r>
      <w:r>
        <w:rPr>
          <w:rFonts w:hAnsi="新細明體" w:hint="eastAsia"/>
        </w:rPr>
        <w:t>上之</w:t>
      </w:r>
      <w:r>
        <w:rPr>
          <w:rFonts w:hAnsi="新細明體"/>
        </w:rPr>
        <w:t>原因</w:t>
      </w:r>
      <w:r>
        <w:rPr>
          <w:rFonts w:hAnsi="新細明體" w:hint="eastAsia"/>
        </w:rPr>
        <w:t>的</w:t>
      </w:r>
      <w:r>
        <w:rPr>
          <w:rFonts w:hAnsi="新細明體"/>
        </w:rPr>
        <w:t>關係</w:t>
      </w:r>
      <w:r>
        <w:rPr>
          <w:rFonts w:hAnsi="新細明體" w:hint="eastAsia"/>
        </w:rPr>
        <w:t>又如何？</w:t>
      </w:r>
      <w:r>
        <w:rPr>
          <w:rFonts w:hAnsi="新細明體"/>
        </w:rPr>
        <w:t>例如以行政處分做為法律上</w:t>
      </w:r>
      <w:r>
        <w:rPr>
          <w:rFonts w:hAnsi="新細明體" w:hint="eastAsia"/>
        </w:rPr>
        <w:t>之</w:t>
      </w:r>
      <w:r>
        <w:rPr>
          <w:rFonts w:hAnsi="新細明體"/>
        </w:rPr>
        <w:t>原因</w:t>
      </w:r>
      <w:r>
        <w:rPr>
          <w:rFonts w:hAnsi="新細明體" w:hint="eastAsia"/>
        </w:rPr>
        <w:t>的金錢</w:t>
      </w:r>
      <w:r>
        <w:rPr>
          <w:rFonts w:hAnsi="新細明體"/>
        </w:rPr>
        <w:t>給付，其後之實際支付行為（可能匯款轉帳或發給薪水通知單）是否亦屬於行政處分，或僅為單純之事實行為</w:t>
      </w:r>
      <w:r>
        <w:rPr>
          <w:rFonts w:hAnsi="新細明體" w:hint="eastAsia"/>
        </w:rPr>
        <w:t>？</w:t>
      </w:r>
    </w:p>
    <w:p w:rsidR="00000000" w:rsidRDefault="00724932">
      <w:pPr>
        <w:widowControl/>
        <w:numPr>
          <w:ilvl w:val="0"/>
          <w:numId w:val="5"/>
        </w:numPr>
        <w:spacing w:afterLines="50" w:after="180" w:line="288" w:lineRule="auto"/>
        <w:jc w:val="both"/>
        <w:rPr>
          <w:rFonts w:hint="eastAsia"/>
        </w:rPr>
      </w:pPr>
      <w:r>
        <w:rPr>
          <w:rFonts w:hAnsi="新細明體"/>
        </w:rPr>
        <w:t>公務人員</w:t>
      </w:r>
      <w:r>
        <w:rPr>
          <w:rFonts w:hAnsi="新細明體" w:hint="eastAsia"/>
        </w:rPr>
        <w:t>不當</w:t>
      </w:r>
      <w:r>
        <w:rPr>
          <w:rFonts w:hAnsi="新細明體" w:hint="eastAsia"/>
        </w:rPr>
        <w:t>受領公法上金錢給付，依公法上不當得利制度所產生的</w:t>
      </w:r>
      <w:r>
        <w:rPr>
          <w:rFonts w:hAnsi="新細明體"/>
        </w:rPr>
        <w:t>返還範圍為何？</w:t>
      </w:r>
      <w:r>
        <w:rPr>
          <w:rFonts w:hAnsi="新細明體" w:hint="eastAsia"/>
        </w:rPr>
        <w:t>被請求返還人</w:t>
      </w:r>
      <w:r>
        <w:rPr>
          <w:rFonts w:hAnsi="新細明體"/>
        </w:rPr>
        <w:t>得否主張所受</w:t>
      </w:r>
      <w:r>
        <w:rPr>
          <w:rFonts w:hAnsi="新細明體" w:hint="eastAsia"/>
        </w:rPr>
        <w:t>之</w:t>
      </w:r>
      <w:r>
        <w:rPr>
          <w:rFonts w:hAnsi="新細明體"/>
        </w:rPr>
        <w:t>利益已不存在，免負返還或償還價額之責任？</w:t>
      </w:r>
      <w:r>
        <w:rPr>
          <w:rFonts w:hAnsi="新細明體" w:hint="eastAsia"/>
        </w:rPr>
        <w:t>又，</w:t>
      </w:r>
      <w:r>
        <w:rPr>
          <w:rFonts w:hAnsi="新細明體"/>
        </w:rPr>
        <w:t>行政程序法第一百二十七條第二項規定：「前項返還範圍準用民法有關不當得利之規定」</w:t>
      </w:r>
      <w:r>
        <w:rPr>
          <w:rFonts w:hAnsi="新細明體" w:hint="eastAsia"/>
        </w:rPr>
        <w:t>，</w:t>
      </w:r>
      <w:r>
        <w:rPr>
          <w:rFonts w:hAnsi="新細明體"/>
        </w:rPr>
        <w:t>究竟應該如何準用？而民法第一百八十二條關於善意受領人僅負返還現存利益之責任及惡意受領人加重責任之規定，是否皆在準用之列？</w:t>
      </w:r>
    </w:p>
    <w:p w:rsidR="00000000" w:rsidRDefault="00724932">
      <w:pPr>
        <w:widowControl/>
        <w:numPr>
          <w:ilvl w:val="0"/>
          <w:numId w:val="5"/>
        </w:numPr>
        <w:spacing w:afterLines="50" w:after="180" w:line="288" w:lineRule="auto"/>
        <w:jc w:val="both"/>
      </w:pPr>
      <w:r>
        <w:rPr>
          <w:rFonts w:hAnsi="新細明體" w:hint="eastAsia"/>
        </w:rPr>
        <w:t>公務人員就其</w:t>
      </w:r>
      <w:r>
        <w:rPr>
          <w:rFonts w:hAnsi="新細明體"/>
        </w:rPr>
        <w:t>對於所</w:t>
      </w:r>
      <w:r>
        <w:rPr>
          <w:rFonts w:hAnsi="新細明體" w:hint="eastAsia"/>
        </w:rPr>
        <w:t>受領</w:t>
      </w:r>
      <w:r>
        <w:rPr>
          <w:rFonts w:hAnsi="新細明體"/>
        </w:rPr>
        <w:t>之</w:t>
      </w:r>
      <w:r>
        <w:rPr>
          <w:rFonts w:hAnsi="新細明體" w:hint="eastAsia"/>
        </w:rPr>
        <w:t>公法上金錢給付</w:t>
      </w:r>
      <w:r>
        <w:rPr>
          <w:rFonts w:hAnsi="新細明體"/>
        </w:rPr>
        <w:t>，得否主張信賴保護原則？</w:t>
      </w:r>
      <w:r>
        <w:rPr>
          <w:rFonts w:hAnsi="新細明體" w:hint="eastAsia"/>
        </w:rPr>
        <w:t>此際，在個案中又</w:t>
      </w:r>
      <w:r>
        <w:rPr>
          <w:rFonts w:hAnsi="新細明體"/>
        </w:rPr>
        <w:t>如何判斷</w:t>
      </w:r>
      <w:r>
        <w:rPr>
          <w:rFonts w:hAnsi="新細明體" w:hint="eastAsia"/>
        </w:rPr>
        <w:t>系爭案件</w:t>
      </w:r>
      <w:r>
        <w:rPr>
          <w:rFonts w:hAnsi="新細明體"/>
        </w:rPr>
        <w:t>有無信賴保護原則之適用？</w:t>
      </w:r>
    </w:p>
    <w:p w:rsidR="00000000" w:rsidRDefault="00724932">
      <w:pPr>
        <w:widowControl/>
        <w:numPr>
          <w:ilvl w:val="0"/>
          <w:numId w:val="5"/>
        </w:numPr>
        <w:spacing w:afterLines="50" w:after="180" w:line="288" w:lineRule="auto"/>
        <w:jc w:val="both"/>
      </w:pPr>
      <w:r>
        <w:rPr>
          <w:rFonts w:hint="eastAsia"/>
        </w:rPr>
        <w:t>行政機關對於</w:t>
      </w:r>
      <w:r>
        <w:rPr>
          <w:rFonts w:hAnsi="新細明體"/>
        </w:rPr>
        <w:t>公務人員</w:t>
      </w:r>
      <w:r>
        <w:rPr>
          <w:rFonts w:hAnsi="新細明體" w:hint="eastAsia"/>
        </w:rPr>
        <w:t>公法上金錢給付之返還請求權，如何適用消</w:t>
      </w:r>
      <w:r>
        <w:rPr>
          <w:rFonts w:hAnsi="新細明體" w:hint="eastAsia"/>
        </w:rPr>
        <w:t>滅時效制度？</w:t>
      </w:r>
    </w:p>
    <w:p w:rsidR="00000000" w:rsidRDefault="00724932">
      <w:pPr>
        <w:widowControl/>
        <w:numPr>
          <w:ilvl w:val="0"/>
          <w:numId w:val="5"/>
        </w:numPr>
        <w:spacing w:afterLines="50" w:after="180" w:line="288" w:lineRule="auto"/>
        <w:jc w:val="both"/>
      </w:pPr>
      <w:r>
        <w:rPr>
          <w:rFonts w:hAnsi="新細明體"/>
        </w:rPr>
        <w:lastRenderedPageBreak/>
        <w:t>行政機關向公務人員</w:t>
      </w:r>
      <w:r>
        <w:rPr>
          <w:rFonts w:hAnsi="新細明體" w:hint="eastAsia"/>
        </w:rPr>
        <w:t>請求</w:t>
      </w:r>
      <w:r>
        <w:rPr>
          <w:rFonts w:hAnsi="新細明體"/>
        </w:rPr>
        <w:t>返還公法上金錢給付</w:t>
      </w:r>
      <w:r>
        <w:rPr>
          <w:rFonts w:hAnsi="新細明體" w:hint="eastAsia"/>
        </w:rPr>
        <w:t>的法律手段</w:t>
      </w:r>
      <w:r>
        <w:rPr>
          <w:rFonts w:hAnsi="新細明體"/>
        </w:rPr>
        <w:t>，依我國現行實務</w:t>
      </w:r>
      <w:r>
        <w:rPr>
          <w:rFonts w:hAnsi="新細明體" w:hint="eastAsia"/>
        </w:rPr>
        <w:t>，</w:t>
      </w:r>
      <w:r>
        <w:rPr>
          <w:rFonts w:hAnsi="新細明體"/>
        </w:rPr>
        <w:t>主要約有下列幾種</w:t>
      </w:r>
      <w:r>
        <w:rPr>
          <w:rFonts w:hAnsi="新細明體" w:hint="eastAsia"/>
        </w:rPr>
        <w:t>；惟行政</w:t>
      </w:r>
      <w:r>
        <w:rPr>
          <w:rFonts w:hAnsi="新細明體"/>
        </w:rPr>
        <w:t>機關</w:t>
      </w:r>
      <w:r>
        <w:rPr>
          <w:rFonts w:hAnsi="新細明體" w:hint="eastAsia"/>
        </w:rPr>
        <w:t>事實上依據法理，應</w:t>
      </w:r>
      <w:r>
        <w:rPr>
          <w:rFonts w:hAnsi="新細明體"/>
        </w:rPr>
        <w:t>得以哪些</w:t>
      </w:r>
      <w:r>
        <w:rPr>
          <w:rFonts w:hAnsi="新細明體" w:hint="eastAsia"/>
        </w:rPr>
        <w:t>手段</w:t>
      </w:r>
      <w:r>
        <w:rPr>
          <w:rFonts w:hAnsi="新細明體"/>
        </w:rPr>
        <w:t>向公務人員主張返還</w:t>
      </w:r>
      <w:r>
        <w:rPr>
          <w:rFonts w:hAnsi="新細明體" w:hint="eastAsia"/>
        </w:rPr>
        <w:t>，以貫徹其請求權之實現</w:t>
      </w:r>
      <w:r>
        <w:rPr>
          <w:rFonts w:hAnsi="新細明體"/>
        </w:rPr>
        <w:t>？</w:t>
      </w:r>
    </w:p>
    <w:p w:rsidR="00000000" w:rsidRDefault="00724932">
      <w:pPr>
        <w:widowControl/>
        <w:numPr>
          <w:ilvl w:val="0"/>
          <w:numId w:val="7"/>
        </w:numPr>
        <w:spacing w:line="288" w:lineRule="auto"/>
        <w:ind w:leftChars="200" w:left="962" w:hanging="482"/>
        <w:jc w:val="both"/>
      </w:pPr>
      <w:r>
        <w:rPr>
          <w:rFonts w:hAnsi="新細明體"/>
        </w:rPr>
        <w:t>作成行政處分令其返還。</w:t>
      </w:r>
      <w:r>
        <w:rPr>
          <w:rFonts w:hAnsi="新細明體" w:hint="eastAsia"/>
        </w:rPr>
        <w:t>在此，</w:t>
      </w:r>
      <w:r>
        <w:rPr>
          <w:rFonts w:hAnsi="新細明體"/>
        </w:rPr>
        <w:t>實務上常見</w:t>
      </w:r>
      <w:r>
        <w:rPr>
          <w:rFonts w:hAnsi="新細明體" w:hint="eastAsia"/>
        </w:rPr>
        <w:t>的行政</w:t>
      </w:r>
      <w:r>
        <w:rPr>
          <w:rFonts w:hAnsi="新細明體"/>
        </w:rPr>
        <w:t>機關多次行文追繳，究竟應以何者為行政處分？</w:t>
      </w:r>
    </w:p>
    <w:p w:rsidR="00000000" w:rsidRDefault="00724932">
      <w:pPr>
        <w:widowControl/>
        <w:numPr>
          <w:ilvl w:val="0"/>
          <w:numId w:val="7"/>
        </w:numPr>
        <w:spacing w:line="288" w:lineRule="auto"/>
        <w:ind w:leftChars="200" w:left="962" w:hanging="482"/>
        <w:jc w:val="both"/>
      </w:pPr>
      <w:r>
        <w:rPr>
          <w:rFonts w:hAnsi="新細明體"/>
        </w:rPr>
        <w:t>向行政法院依行政訴訟法第八條規定，提起一般給付訴訟</w:t>
      </w:r>
      <w:r>
        <w:rPr>
          <w:rFonts w:hAnsi="新細明體" w:hint="eastAsia"/>
        </w:rPr>
        <w:t>。</w:t>
      </w:r>
    </w:p>
    <w:p w:rsidR="00000000" w:rsidRDefault="00724932">
      <w:pPr>
        <w:widowControl/>
        <w:numPr>
          <w:ilvl w:val="0"/>
          <w:numId w:val="7"/>
        </w:numPr>
        <w:spacing w:afterLines="50" w:after="180" w:line="288" w:lineRule="auto"/>
        <w:ind w:leftChars="200" w:left="962" w:hanging="482"/>
        <w:jc w:val="both"/>
      </w:pPr>
      <w:r>
        <w:rPr>
          <w:rFonts w:hAnsi="新細明體"/>
        </w:rPr>
        <w:t>扣繳。</w:t>
      </w:r>
      <w:r>
        <w:rPr>
          <w:rFonts w:hAnsi="新細明體" w:hint="eastAsia"/>
        </w:rPr>
        <w:t>在此，行政</w:t>
      </w:r>
      <w:r>
        <w:rPr>
          <w:rFonts w:hAnsi="新細明體"/>
        </w:rPr>
        <w:t>機關得否於應發給公務人員之其他金</w:t>
      </w:r>
      <w:r>
        <w:rPr>
          <w:rFonts w:hAnsi="新細明體" w:hint="eastAsia"/>
        </w:rPr>
        <w:t>錢給付</w:t>
      </w:r>
      <w:r>
        <w:rPr>
          <w:rFonts w:hAnsi="新細明體"/>
        </w:rPr>
        <w:t>中</w:t>
      </w:r>
      <w:r>
        <w:rPr>
          <w:rFonts w:hAnsi="新細明體" w:hint="eastAsia"/>
        </w:rPr>
        <w:t>，直接</w:t>
      </w:r>
      <w:r>
        <w:rPr>
          <w:rFonts w:hAnsi="新細明體"/>
        </w:rPr>
        <w:t>扣繳前所</w:t>
      </w:r>
      <w:r>
        <w:rPr>
          <w:rFonts w:hAnsi="新細明體" w:hint="eastAsia"/>
        </w:rPr>
        <w:t>不當受</w:t>
      </w:r>
      <w:r>
        <w:rPr>
          <w:rFonts w:hAnsi="新細明體"/>
        </w:rPr>
        <w:t>領之金額？而此「扣繳」</w:t>
      </w:r>
      <w:r>
        <w:rPr>
          <w:rFonts w:hAnsi="新細明體" w:hint="eastAsia"/>
        </w:rPr>
        <w:t>的</w:t>
      </w:r>
      <w:r>
        <w:rPr>
          <w:rFonts w:hAnsi="新細明體"/>
        </w:rPr>
        <w:t>法律性質為何</w:t>
      </w:r>
      <w:r>
        <w:rPr>
          <w:rFonts w:hAnsi="新細明體" w:hint="eastAsia"/>
        </w:rPr>
        <w:t>；</w:t>
      </w:r>
      <w:r>
        <w:rPr>
          <w:rFonts w:hAnsi="新細明體"/>
        </w:rPr>
        <w:t>究係</w:t>
      </w:r>
      <w:r>
        <w:rPr>
          <w:rFonts w:hAnsi="新細明體" w:hint="eastAsia"/>
        </w:rPr>
        <w:t>為一種</w:t>
      </w:r>
      <w:r>
        <w:rPr>
          <w:rFonts w:hAnsi="新細明體"/>
        </w:rPr>
        <w:t>「行政處分」，</w:t>
      </w:r>
      <w:r>
        <w:rPr>
          <w:rFonts w:hAnsi="新細明體" w:hint="eastAsia"/>
        </w:rPr>
        <w:t>抑</w:t>
      </w:r>
      <w:r>
        <w:rPr>
          <w:rFonts w:hAnsi="新細明體"/>
        </w:rPr>
        <w:t>或所謂</w:t>
      </w:r>
      <w:r>
        <w:rPr>
          <w:rFonts w:hAnsi="新細明體" w:hint="eastAsia"/>
        </w:rPr>
        <w:t>「</w:t>
      </w:r>
      <w:r>
        <w:rPr>
          <w:rFonts w:hAnsi="新細明體"/>
        </w:rPr>
        <w:t>公法上之抵銷」</w:t>
      </w:r>
      <w:r>
        <w:rPr>
          <w:rFonts w:hAnsi="新細明體" w:hint="eastAsia"/>
        </w:rPr>
        <w:t>，而非能定性為行政處分</w:t>
      </w:r>
      <w:r>
        <w:rPr>
          <w:rFonts w:hAnsi="新細明體"/>
        </w:rPr>
        <w:t>？</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第三節　研究方法</w:t>
      </w:r>
    </w:p>
    <w:p w:rsidR="00000000" w:rsidRDefault="00724932">
      <w:pPr>
        <w:widowControl/>
        <w:spacing w:afterLines="50" w:after="180" w:line="288" w:lineRule="auto"/>
        <w:ind w:firstLineChars="200" w:firstLine="480"/>
        <w:jc w:val="both"/>
        <w:rPr>
          <w:rFonts w:hint="eastAsia"/>
        </w:rPr>
      </w:pPr>
      <w:r>
        <w:rPr>
          <w:rFonts w:hint="eastAsia"/>
        </w:rPr>
        <w:t>我國現今保訓會的實務，在處理公務人員公法上金錢給付之返還請求案件時，如前所述，原則上是以公法上不當得利作為請求權基礎。惟查公法上不當得利者，在我國現行法中並無明文規定；實務上之所以運用此一制度，而不質疑其法源何在，其實是基於繼受德國法制後，將公法上不當得利視為我國行政法上一種不成文制度的結果。基本上保訓會的這項實務運作，並無違誤；因為公法上不當得利作為我國繼受德國法的產物，早已為行政法學界公認的事實</w:t>
      </w:r>
      <w:r>
        <w:rPr>
          <w:rStyle w:val="a9"/>
        </w:rPr>
        <w:footnoteReference w:id="6"/>
      </w:r>
      <w:r>
        <w:rPr>
          <w:rFonts w:hint="eastAsia"/>
        </w:rPr>
        <w:t>。近年來高等行政法院</w:t>
      </w:r>
      <w:r>
        <w:rPr>
          <w:rStyle w:val="a9"/>
        </w:rPr>
        <w:footnoteReference w:id="7"/>
      </w:r>
      <w:r>
        <w:rPr>
          <w:rFonts w:hint="eastAsia"/>
        </w:rPr>
        <w:t>，乃至改制前的行政法院</w:t>
      </w:r>
      <w:r>
        <w:rPr>
          <w:rStyle w:val="a9"/>
        </w:rPr>
        <w:footnoteReference w:id="8"/>
      </w:r>
      <w:r>
        <w:rPr>
          <w:rFonts w:hint="eastAsia"/>
        </w:rPr>
        <w:t>或改制後的最高行政法院</w:t>
      </w:r>
      <w:r>
        <w:rPr>
          <w:rStyle w:val="a9"/>
        </w:rPr>
        <w:footnoteReference w:id="9"/>
      </w:r>
      <w:r>
        <w:rPr>
          <w:rFonts w:hint="eastAsia"/>
        </w:rPr>
        <w:t>，也常將同一</w:t>
      </w:r>
      <w:r>
        <w:rPr>
          <w:rFonts w:hint="eastAsia"/>
        </w:rPr>
        <w:t>制度運用在不同法律案件中，作為裁判所基的法律基礎；而民國</w:t>
      </w:r>
      <w:r>
        <w:rPr>
          <w:kern w:val="0"/>
        </w:rPr>
        <w:t>89</w:t>
      </w:r>
      <w:r>
        <w:rPr>
          <w:kern w:val="0"/>
        </w:rPr>
        <w:t>年</w:t>
      </w:r>
      <w:r>
        <w:rPr>
          <w:rFonts w:hint="eastAsia"/>
          <w:kern w:val="0"/>
        </w:rPr>
        <w:t>（</w:t>
      </w:r>
      <w:r>
        <w:rPr>
          <w:rFonts w:hint="eastAsia"/>
          <w:kern w:val="0"/>
        </w:rPr>
        <w:t>2000</w:t>
      </w:r>
      <w:r>
        <w:rPr>
          <w:rFonts w:hint="eastAsia"/>
          <w:kern w:val="0"/>
        </w:rPr>
        <w:t>）</w:t>
      </w:r>
      <w:r>
        <w:rPr>
          <w:kern w:val="0"/>
        </w:rPr>
        <w:t>10</w:t>
      </w:r>
      <w:r>
        <w:rPr>
          <w:kern w:val="0"/>
        </w:rPr>
        <w:t>月</w:t>
      </w:r>
      <w:r>
        <w:rPr>
          <w:kern w:val="0"/>
        </w:rPr>
        <w:t>26</w:t>
      </w:r>
      <w:r>
        <w:rPr>
          <w:kern w:val="0"/>
        </w:rPr>
        <w:t>日</w:t>
      </w:r>
      <w:r>
        <w:rPr>
          <w:rFonts w:hint="eastAsia"/>
        </w:rPr>
        <w:t>司法院大法官釋字第</w:t>
      </w:r>
      <w:r>
        <w:rPr>
          <w:rFonts w:hint="eastAsia"/>
        </w:rPr>
        <w:t>515</w:t>
      </w:r>
      <w:r>
        <w:rPr>
          <w:rFonts w:hint="eastAsia"/>
        </w:rPr>
        <w:t>號，更明白指出公法上不當得利作為一種公法</w:t>
      </w:r>
      <w:r>
        <w:rPr>
          <w:rFonts w:hint="eastAsia"/>
        </w:rPr>
        <w:lastRenderedPageBreak/>
        <w:t>上請求權基礎的可能性</w:t>
      </w:r>
      <w:r>
        <w:rPr>
          <w:rStyle w:val="a9"/>
        </w:rPr>
        <w:footnoteReference w:id="10"/>
      </w:r>
      <w:r>
        <w:rPr>
          <w:rFonts w:hint="eastAsia"/>
        </w:rPr>
        <w:t>。顯見公法上不當得利已為我國行政法上的一種不成文制度，殆無疑義。更何況我國行政程序法</w:t>
      </w:r>
      <w:r>
        <w:t>第一百二十七條</w:t>
      </w:r>
      <w:r>
        <w:rPr>
          <w:rFonts w:hint="eastAsia"/>
        </w:rPr>
        <w:t>，原是抄自德國聯邦行政程序法（</w:t>
      </w:r>
      <w:r>
        <w:rPr>
          <w:rFonts w:hint="eastAsia"/>
        </w:rPr>
        <w:t>Verwaltungsverfahrensgesetz; VwVfG</w:t>
      </w:r>
      <w:r>
        <w:rPr>
          <w:rFonts w:hint="eastAsia"/>
        </w:rPr>
        <w:t>）相關（舊）條文而來的立法例</w:t>
      </w:r>
      <w:r>
        <w:rPr>
          <w:rStyle w:val="a9"/>
        </w:rPr>
        <w:footnoteReference w:id="11"/>
      </w:r>
      <w:r>
        <w:rPr>
          <w:rFonts w:hint="eastAsia"/>
        </w:rPr>
        <w:t>；在德國，此一相關條文規定所形成之制度，已被公認為公法上不當得利之一種，而我國立法者在前開行政程序法</w:t>
      </w:r>
      <w:r>
        <w:t>第一百二十七條</w:t>
      </w:r>
      <w:r>
        <w:rPr>
          <w:rFonts w:hint="eastAsia"/>
        </w:rPr>
        <w:t>的立法說明中，也明白表示相同的見解</w:t>
      </w:r>
      <w:r>
        <w:rPr>
          <w:rStyle w:val="a9"/>
        </w:rPr>
        <w:footnoteReference w:id="12"/>
      </w:r>
      <w:r>
        <w:rPr>
          <w:rFonts w:hint="eastAsia"/>
        </w:rPr>
        <w:t>。可見公法上之不當得利，在我國已因前開行政程序法</w:t>
      </w:r>
      <w:r>
        <w:t>第一百二十七條</w:t>
      </w:r>
      <w:r>
        <w:rPr>
          <w:rFonts w:hint="eastAsia"/>
        </w:rPr>
        <w:t>的加持，確立為一種繼受於德國法制的不成文法上制度；至於行政程序法</w:t>
      </w:r>
      <w:r>
        <w:t>第一百二十七條</w:t>
      </w:r>
      <w:r>
        <w:rPr>
          <w:rFonts w:hint="eastAsia"/>
        </w:rPr>
        <w:t>所稱者，則屬其中一種具有法律明文規範基礎的下位類型。</w:t>
      </w:r>
    </w:p>
    <w:p w:rsidR="00000000" w:rsidRDefault="00724932">
      <w:pPr>
        <w:widowControl/>
        <w:spacing w:afterLines="50" w:after="180" w:line="288" w:lineRule="auto"/>
        <w:ind w:firstLineChars="200" w:firstLine="480"/>
        <w:jc w:val="both"/>
        <w:rPr>
          <w:rFonts w:hint="eastAsia"/>
        </w:rPr>
      </w:pPr>
      <w:r>
        <w:rPr>
          <w:rFonts w:hAnsi="新細明體" w:hint="eastAsia"/>
        </w:rPr>
        <w:t>公法上不當得利確立為我國繼受德國法制的產物，對於本研究之研究方法的選定，具有相當程度的啟示。蓋我國現行法制，絕大多數均屬外國法的繼受；因此國內法學上之研究，「比較法（</w:t>
      </w:r>
      <w:r>
        <w:rPr>
          <w:rFonts w:hAnsi="新細明體" w:hint="eastAsia"/>
        </w:rPr>
        <w:t>Rechtsvergleich</w:t>
      </w:r>
      <w:r>
        <w:rPr>
          <w:rFonts w:hAnsi="新細明體" w:hint="eastAsia"/>
        </w:rPr>
        <w:t>）」之觀察，殆為無可避免的研究方法。如今</w:t>
      </w:r>
      <w:r>
        <w:rPr>
          <w:rFonts w:hint="eastAsia"/>
        </w:rPr>
        <w:t>我國公法上之不當得利既確定為德國法制之繼受，則</w:t>
      </w:r>
      <w:r>
        <w:rPr>
          <w:rFonts w:hint="eastAsia"/>
        </w:rPr>
        <w:t>在以討論行政機關如何適用公法上不當得利制度向公務人員請求返還不當受領之薪俸或其他金錢照護給付等問題作為研究主軸的本研究中，</w:t>
      </w:r>
      <w:r>
        <w:rPr>
          <w:rFonts w:hAnsi="新細明體" w:hint="eastAsia"/>
        </w:rPr>
        <w:t>作為相關制度之母國的德國，其法制發展究竟如何，實務上之實際運作又如何，顯然具有比較法上的高度參考價</w:t>
      </w:r>
      <w:r>
        <w:rPr>
          <w:rFonts w:hAnsi="新細明體" w:hint="eastAsia"/>
        </w:rPr>
        <w:lastRenderedPageBreak/>
        <w:t>值。從而本研究</w:t>
      </w:r>
      <w:r>
        <w:rPr>
          <w:rFonts w:hint="eastAsia"/>
        </w:rPr>
        <w:t>之進行，</w:t>
      </w:r>
      <w:r>
        <w:rPr>
          <w:rFonts w:hAnsi="新細明體" w:hint="eastAsia"/>
        </w:rPr>
        <w:t>原則上將確立以「比較法」作為主要的研究方法；而比較之對象，則又將以德國法上相關學說與實務的發展作為觀察重心。更何況這種研究方法，也高度符合我國現行相關實務的發展趨勢；因為在我國目前的實務上，不論直接涉及</w:t>
      </w:r>
      <w:r>
        <w:rPr>
          <w:rFonts w:hint="eastAsia"/>
        </w:rPr>
        <w:t>公務人員公法上金錢給付之返還請求案件的保訓會審議決定，或是處理其他公</w:t>
      </w:r>
      <w:r>
        <w:rPr>
          <w:rFonts w:hint="eastAsia"/>
        </w:rPr>
        <w:t>法上不當得利問題的行政法院之裁判，事實上</w:t>
      </w:r>
      <w:r>
        <w:rPr>
          <w:rFonts w:hAnsi="新細明體" w:hint="eastAsia"/>
        </w:rPr>
        <w:t>有</w:t>
      </w:r>
      <w:r>
        <w:rPr>
          <w:rFonts w:hint="eastAsia"/>
        </w:rPr>
        <w:t>或多或少也均有參考、比較德國相關法制的現象。本研究之研究宗旨，既如前所述，原以協助實務解決相關爭議為中心，則比較德國法制之研究，誠不失為一種妥適的研究方法。</w:t>
      </w:r>
    </w:p>
    <w:p w:rsidR="00000000" w:rsidRDefault="00724932">
      <w:pPr>
        <w:widowControl/>
        <w:spacing w:afterLines="50" w:after="180" w:line="288" w:lineRule="auto"/>
        <w:ind w:firstLineChars="200" w:firstLine="480"/>
        <w:jc w:val="both"/>
        <w:rPr>
          <w:rFonts w:hint="eastAsia"/>
        </w:rPr>
      </w:pPr>
      <w:r>
        <w:rPr>
          <w:rFonts w:hint="eastAsia"/>
        </w:rPr>
        <w:t>不過在此同時吾人另需注意者是：我國現行法之繼受，除德國外，許多歐美先進國家，乃至東瀛的日本，也往往具有高度的影響力；準此，有關本研究之進行，除德國法外，其他國家之法制，是否亦有參考、比較的必要？關於這個問題，在處理與本研究息息相關的公法上不當得利時，尤其重要。因為所謂的公法上不當得利，縱使在德國，也是一個被公認</w:t>
      </w:r>
      <w:r>
        <w:rPr>
          <w:rFonts w:hint="eastAsia"/>
        </w:rPr>
        <w:t>為脫胎於民法上不當得利，或至少得與民法上不當得利平行比較的制度</w:t>
      </w:r>
      <w:r>
        <w:rPr>
          <w:rStyle w:val="a9"/>
        </w:rPr>
        <w:footnoteReference w:id="13"/>
      </w:r>
      <w:r>
        <w:rPr>
          <w:rFonts w:hint="eastAsia"/>
        </w:rPr>
        <w:t>；準此，在我國法的情形，民法第一百七十九條以下之不當得利規定，倘亦有繼受外國法或受外國相當法制之影響的情形，則鑑於公法上不當得利與民法上不當得利前揭的密切關係，似亦有同時參考、比較影響我國民法上不當得利之發展的外國法制的必要。否則一套僅著眼於公法上不當得利部分的比較法之研究，恐有不完整之虞。從而，基於此一考慮，本研究以下擬再就可能影響我國的其他外國法制，逐一檢驗，來確定各該國法制有無同時比較、參考之必要：</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查我國民法上有關不當得利之規定，其實也</w:t>
      </w:r>
      <w:r>
        <w:rPr>
          <w:rFonts w:hAnsi="新細明體" w:hint="eastAsia"/>
        </w:rPr>
        <w:t>是一套繼受德國法的制度</w:t>
      </w:r>
      <w:r>
        <w:rPr>
          <w:rStyle w:val="a9"/>
          <w:rFonts w:hAnsi="新細明體"/>
        </w:rPr>
        <w:footnoteReference w:id="14"/>
      </w:r>
      <w:r>
        <w:rPr>
          <w:rFonts w:hAnsi="新細明體" w:hint="eastAsia"/>
        </w:rPr>
        <w:t>；民法第一百七十九條至第一百八十三條，幾乎均可在德國民法（</w:t>
      </w:r>
      <w:r>
        <w:rPr>
          <w:rFonts w:hAnsi="新細明體" w:hint="eastAsia"/>
        </w:rPr>
        <w:t>B</w:t>
      </w:r>
      <w:r>
        <w:rPr>
          <w:rFonts w:hAnsi="新細明體"/>
        </w:rPr>
        <w:t>ü</w:t>
      </w:r>
      <w:r>
        <w:rPr>
          <w:rFonts w:hAnsi="新細明體" w:hint="eastAsia"/>
        </w:rPr>
        <w:t>rgerliches Gesetz</w:t>
      </w:r>
      <w:r>
        <w:rPr>
          <w:rFonts w:hAnsi="新細明體"/>
        </w:rPr>
        <w:softHyphen/>
      </w:r>
      <w:r>
        <w:rPr>
          <w:rFonts w:hAnsi="新細明體" w:hint="eastAsia"/>
        </w:rPr>
        <w:t>buch; BGB</w:t>
      </w:r>
      <w:r>
        <w:rPr>
          <w:rFonts w:hAnsi="新細明體" w:hint="eastAsia"/>
        </w:rPr>
        <w:t>）第八百十二條至第八百二十二條（條文德文原版與中文翻譯對照，參見：附錄　貳、二）中找到對應的依據。更何況我國民法學在不當得利制度的研究與發展上，也深受德國法學與實務的影響</w:t>
      </w:r>
      <w:r>
        <w:rPr>
          <w:rStyle w:val="a9"/>
          <w:rFonts w:hAnsi="新細明體"/>
        </w:rPr>
        <w:footnoteReference w:id="15"/>
      </w:r>
      <w:r>
        <w:rPr>
          <w:rFonts w:hAnsi="新細明體" w:hint="eastAsia"/>
        </w:rPr>
        <w:t>，所以在我國研究與民法上不當得利制度息息相關的公法上不當得利問題，德國法制的比較觀察，仍是最重要的研究方法。</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lastRenderedPageBreak/>
        <w:t>當然我國現行民法在立法之初，同時也受到</w:t>
      </w:r>
      <w:r>
        <w:rPr>
          <w:rFonts w:hAnsi="新細明體"/>
        </w:rPr>
        <w:t>瑞士債務法（</w:t>
      </w:r>
      <w:r>
        <w:rPr>
          <w:lang w:val="de-DE"/>
        </w:rPr>
        <w:t>Bundesgesetz betref</w:t>
      </w:r>
      <w:r>
        <w:rPr>
          <w:rFonts w:hint="eastAsia"/>
          <w:lang w:val="de-DE"/>
        </w:rPr>
        <w:softHyphen/>
      </w:r>
      <w:r>
        <w:rPr>
          <w:lang w:val="de-DE"/>
        </w:rPr>
        <w:t>fend die Ergänzung des Schweizerischen Zivilgesetzbuches —</w:t>
      </w:r>
      <w:r>
        <w:rPr>
          <w:rFonts w:hint="eastAsia"/>
          <w:lang w:val="de-DE"/>
        </w:rPr>
        <w:t xml:space="preserve"> </w:t>
      </w:r>
      <w:r>
        <w:rPr>
          <w:lang w:val="de-DE"/>
        </w:rPr>
        <w:t>Fünfter Teil: Obliga</w:t>
      </w:r>
      <w:r>
        <w:rPr>
          <w:rFonts w:hint="eastAsia"/>
          <w:lang w:val="de-DE"/>
        </w:rPr>
        <w:softHyphen/>
      </w:r>
      <w:r>
        <w:rPr>
          <w:lang w:val="de-DE"/>
        </w:rPr>
        <w:t>tionenrecht vom 30. März 1911</w:t>
      </w:r>
      <w:r>
        <w:rPr>
          <w:rFonts w:hAnsi="新細明體"/>
        </w:rPr>
        <w:t>）</w:t>
      </w:r>
      <w:r>
        <w:rPr>
          <w:rFonts w:hAnsi="新細明體" w:hint="eastAsia"/>
        </w:rPr>
        <w:t>一定程度</w:t>
      </w:r>
      <w:r>
        <w:rPr>
          <w:rFonts w:hAnsi="新細明體"/>
        </w:rPr>
        <w:t>的影響</w:t>
      </w:r>
      <w:r>
        <w:rPr>
          <w:rFonts w:hAnsi="新細明體" w:hint="eastAsia"/>
        </w:rPr>
        <w:t>。</w:t>
      </w:r>
      <w:r>
        <w:rPr>
          <w:rFonts w:hAnsi="新細明體"/>
        </w:rPr>
        <w:t>不過</w:t>
      </w:r>
      <w:r>
        <w:rPr>
          <w:rFonts w:hAnsi="新細明體" w:hint="eastAsia"/>
        </w:rPr>
        <w:t>一方面由於</w:t>
      </w:r>
      <w:r>
        <w:rPr>
          <w:rFonts w:hAnsi="新細明體"/>
        </w:rPr>
        <w:t>瑞士債務法上的不當得利，畢竟仍屬德國法學流派的產物</w:t>
      </w:r>
      <w:r>
        <w:rPr>
          <w:rStyle w:val="a9"/>
          <w:rFonts w:hAnsi="新細明體"/>
        </w:rPr>
        <w:footnoteReference w:id="16"/>
      </w:r>
      <w:r>
        <w:rPr>
          <w:rFonts w:hAnsi="新細明體"/>
        </w:rPr>
        <w:t>，</w:t>
      </w:r>
      <w:r>
        <w:rPr>
          <w:rFonts w:hAnsi="新細明體" w:hint="eastAsia"/>
        </w:rPr>
        <w:t>而另一方面又由於我國公法學與民法學嗣後的發展，瑞士法制幾乎不再扮演任何的角色，所以在本研究中，瑞士法的問題，似乎可以不必再列入考慮。</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然而相對於瑞士法，同樣在民法上載有不當得利規定的日本（第七百零三條至第七百</w:t>
      </w:r>
      <w:r>
        <w:rPr>
          <w:rFonts w:hAnsi="新細明體" w:hint="eastAsia"/>
        </w:rPr>
        <w:t>零八條），則似有審慎面對的必要。蓋我國法學的發展，不論在公、私法領域，由於歷史淵源與地理位置等的雙重因素，日本法制的影響非常深遠。即以民法上不當得利制度為例，國內學說與實務發展，除德國法外，日本法學也著痕甚深</w:t>
      </w:r>
      <w:r>
        <w:rPr>
          <w:rStyle w:val="a9"/>
          <w:rFonts w:hAnsi="新細明體"/>
        </w:rPr>
        <w:footnoteReference w:id="17"/>
      </w:r>
      <w:r>
        <w:rPr>
          <w:rFonts w:hAnsi="新細明體" w:hint="eastAsia"/>
        </w:rPr>
        <w:t>。不過縱令如此，在本研究中，日本法上深入的比較研究，仍將排除在考慮之外。因為日本民法上不當得利（</w:t>
      </w:r>
      <w:r>
        <w:rPr>
          <w:rFonts w:hint="eastAsia"/>
          <w:lang w:val="de-DE" w:eastAsia="ja-JP"/>
        </w:rPr>
        <w:t>不</w:t>
      </w:r>
      <w:r>
        <w:rPr>
          <w:rFonts w:ascii="新細明體" w:hAnsi="新細明體" w:hint="eastAsia"/>
          <w:lang w:val="de-DE" w:eastAsia="ja-JP"/>
        </w:rPr>
        <w:t>当</w:t>
      </w:r>
      <w:r>
        <w:rPr>
          <w:rFonts w:hint="eastAsia"/>
          <w:lang w:val="de-DE" w:eastAsia="ja-JP"/>
        </w:rPr>
        <w:t>利得</w:t>
      </w:r>
      <w:r>
        <w:rPr>
          <w:rFonts w:hAnsi="新細明體" w:hint="eastAsia"/>
        </w:rPr>
        <w:t>）之規定，在立法之初雖也頗受瑞士債務法之影響</w:t>
      </w:r>
      <w:r>
        <w:rPr>
          <w:rStyle w:val="a9"/>
          <w:rFonts w:hAnsi="新細明體"/>
        </w:rPr>
        <w:footnoteReference w:id="18"/>
      </w:r>
      <w:r>
        <w:rPr>
          <w:rFonts w:hAnsi="新細明體" w:hint="eastAsia"/>
        </w:rPr>
        <w:t>，不過以後的發展，則與我國同，又多以德國為宗</w:t>
      </w:r>
      <w:r>
        <w:rPr>
          <w:rStyle w:val="a9"/>
          <w:rFonts w:hAnsi="新細明體"/>
        </w:rPr>
        <w:footnoteReference w:id="19"/>
      </w:r>
      <w:r>
        <w:rPr>
          <w:rFonts w:hAnsi="新細明體" w:hint="eastAsia"/>
        </w:rPr>
        <w:t>。此外在日本公法學上，學說及實務雖也注意到所謂公法上不當得利的問題</w:t>
      </w:r>
      <w:r>
        <w:rPr>
          <w:rStyle w:val="a9"/>
          <w:rFonts w:hAnsi="新細明體"/>
        </w:rPr>
        <w:footnoteReference w:id="20"/>
      </w:r>
      <w:r>
        <w:rPr>
          <w:rFonts w:hAnsi="新細明體" w:hint="eastAsia"/>
        </w:rPr>
        <w:t>，但究其學說內容，其實仍屬德國法學影響</w:t>
      </w:r>
      <w:r>
        <w:rPr>
          <w:rFonts w:hAnsi="新細明體" w:hint="eastAsia"/>
        </w:rPr>
        <w:t>下的產物。在此，既然日本法學的發展，並不能提供我國公法上不當得利的相關研究一種迥異於德國法制的新觀點，因此本研究在選定比較法對象時，日本法制的討論，也將割愛。</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最後，尚值一提者，我國公法法制的發展，近年來也逐漸受到法國法</w:t>
      </w:r>
      <w:r>
        <w:rPr>
          <w:rStyle w:val="a9"/>
          <w:rFonts w:hAnsi="新細明體"/>
        </w:rPr>
        <w:footnoteReference w:id="21"/>
      </w:r>
      <w:r>
        <w:rPr>
          <w:rFonts w:hAnsi="新細明體" w:hint="eastAsia"/>
        </w:rPr>
        <w:t>，尤其是英美法</w:t>
      </w:r>
      <w:r>
        <w:rPr>
          <w:rStyle w:val="a9"/>
          <w:rFonts w:hAnsi="新細明體"/>
        </w:rPr>
        <w:footnoteReference w:id="22"/>
      </w:r>
      <w:r>
        <w:rPr>
          <w:rFonts w:hAnsi="新細明體" w:hint="eastAsia"/>
        </w:rPr>
        <w:t>的影響；有關</w:t>
      </w:r>
      <w:r>
        <w:rPr>
          <w:rFonts w:hint="eastAsia"/>
        </w:rPr>
        <w:t>公務人員不當受領的薪俸及其他金錢照護給付，行政</w:t>
      </w:r>
      <w:r>
        <w:rPr>
          <w:rFonts w:hint="eastAsia"/>
        </w:rPr>
        <w:lastRenderedPageBreak/>
        <w:t>機關如何請求返還</w:t>
      </w:r>
      <w:r>
        <w:rPr>
          <w:rFonts w:hAnsi="新細明體" w:hint="eastAsia"/>
        </w:rPr>
        <w:t>，在法國法，乃至英國及美國法中，如何處理，想像上必然也有一套相當的機制。不過問題是：這一套法國法及英美法的處理機制，是否也應該成為本研究探討的範圍？就此，本研究基於以下之考慮，仍然採取否定的態度：</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蓋</w:t>
      </w:r>
      <w:r>
        <w:rPr>
          <w:rFonts w:hAnsi="新細明體" w:hint="eastAsia"/>
        </w:rPr>
        <w:t>首先本研究之研究範圍與目標的設定，如前所述，主要以保訓會實務處理</w:t>
      </w:r>
      <w:r>
        <w:rPr>
          <w:rFonts w:hint="eastAsia"/>
        </w:rPr>
        <w:t>公務人員公法上金錢給付之返還請求的</w:t>
      </w:r>
      <w:r>
        <w:rPr>
          <w:rFonts w:hAnsi="新細明體" w:hint="eastAsia"/>
        </w:rPr>
        <w:t>經驗作為出發點。因此，法國法，以及英美法處理相關問題，如果並不是利用公法上之不當得利或其他內容類似的制度著手，則基於本研究之研究主題的設定，似不宜同時列入本研究的比較法探討範圍內；否則本研究將因研究方向的過度分歧，而缺乏研究過程的一貫性。</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其次，查公法上不當得利者，無論在德國，或是深受德國法制影響的我國而言，均指那一套脫胎自民法上不當得利，或至少能與民法上不當得利平行比較的制度。準此，當吾人反觀法國法，乃至英美</w:t>
      </w:r>
      <w:r>
        <w:rPr>
          <w:rFonts w:hAnsi="新細明體" w:hint="eastAsia"/>
        </w:rPr>
        <w:t>法時，則將發現，所謂民法上之不當得利，無論在法國法或英美法，均存在著與我國法制截然不同的發展方向</w:t>
      </w:r>
      <w:r>
        <w:rPr>
          <w:rStyle w:val="a9"/>
          <w:rFonts w:hAnsi="新細明體"/>
        </w:rPr>
        <w:footnoteReference w:id="23"/>
      </w:r>
      <w:r>
        <w:rPr>
          <w:rFonts w:hAnsi="新細明體" w:hint="eastAsia"/>
        </w:rPr>
        <w:t>；一種與我國法制中熟悉的不當得利概念，在這兩種法制，尤其是英美法中，迄今也未明顯地浮現。從而本研究既將以公法上不當得利制度作為研究主軸，則對於不當得利概念並不採取與德國法或我國法相同或類似理解的法國法制與英美法制，似乎應該排除在本研究中比較法參考的範圍；否則本研究進行的一貫性，也將同樣地遭受阻撓，以致研究目標，嚴重失焦。</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因此，根據以上的種種考慮，有關法國法制與英美法制如何解決行政機關請求公務人員返還所不當受領</w:t>
      </w:r>
      <w:r>
        <w:rPr>
          <w:rFonts w:hAnsi="新細明體" w:hint="eastAsia"/>
        </w:rPr>
        <w:t>的金錢給付，以及該解決機制，對於我國法制有無啟示性意義等問題，似宜讓諸其他相關的論文另行處理，而在以公法上不當得利作為研究主軸的本研究中，並不列入考慮。</w:t>
      </w:r>
    </w:p>
    <w:p w:rsidR="00000000" w:rsidRDefault="00724932">
      <w:pPr>
        <w:widowControl/>
        <w:spacing w:line="288" w:lineRule="auto"/>
        <w:ind w:firstLineChars="200" w:firstLine="480"/>
        <w:jc w:val="both"/>
        <w:rPr>
          <w:rFonts w:hAnsi="新細明體" w:hint="eastAsia"/>
        </w:rPr>
      </w:pPr>
      <w:r>
        <w:rPr>
          <w:rFonts w:hAnsi="新細明體" w:hint="eastAsia"/>
        </w:rPr>
        <w:t>總之，綜合如上的討論，作為本研究之比較法觀察的對象，仍以德國法制為唯一選擇；而依據此一考慮，本研究以下的進行，在先介紹過德國法上之公法上不當得利制度，以及德國法學界如何利用這一套制度處理</w:t>
      </w:r>
      <w:r>
        <w:rPr>
          <w:rFonts w:hint="eastAsia"/>
        </w:rPr>
        <w:t>公務人員公法上金錢給付之返還請求的問題後（第二章），將進一步以交叉比較德國法與我國法的方式，深入討論本研究前開第一章第二節所臚列的各項相關問題（第三章及第四章）。最後，討論</w:t>
      </w:r>
      <w:r>
        <w:rPr>
          <w:rFonts w:hint="eastAsia"/>
        </w:rPr>
        <w:t>之所得，除將做成結論外，也將提供若干立法政策上的建言，用作將來相關法制修正或建立時參考（第五章）。</w:t>
      </w:r>
    </w:p>
    <w:p w:rsidR="00000000" w:rsidRDefault="00724932">
      <w:pPr>
        <w:widowControl/>
        <w:spacing w:beforeLines="400" w:before="1440" w:afterLines="50" w:after="180" w:line="288" w:lineRule="auto"/>
        <w:jc w:val="center"/>
        <w:rPr>
          <w:rFonts w:hint="eastAsia"/>
          <w:b/>
          <w:bCs/>
          <w:sz w:val="36"/>
          <w:szCs w:val="36"/>
        </w:rPr>
      </w:pPr>
      <w:r>
        <w:rPr>
          <w:b/>
          <w:sz w:val="48"/>
          <w:szCs w:val="48"/>
        </w:rPr>
        <w:br w:type="page"/>
      </w:r>
      <w:r>
        <w:rPr>
          <w:rFonts w:hint="eastAsia"/>
          <w:b/>
          <w:sz w:val="48"/>
          <w:szCs w:val="48"/>
        </w:rPr>
        <w:lastRenderedPageBreak/>
        <w:t>第二章</w:t>
      </w:r>
      <w:r>
        <w:rPr>
          <w:rFonts w:hAnsi="新細明體" w:hint="eastAsia"/>
          <w:b/>
          <w:bCs/>
          <w:sz w:val="48"/>
          <w:szCs w:val="48"/>
        </w:rPr>
        <w:t xml:space="preserve">　</w:t>
      </w:r>
      <w:r>
        <w:rPr>
          <w:rFonts w:hint="eastAsia"/>
          <w:b/>
          <w:sz w:val="48"/>
          <w:szCs w:val="48"/>
        </w:rPr>
        <w:t>德國法制之比較觀察</w:t>
      </w:r>
    </w:p>
    <w:p w:rsidR="00000000" w:rsidRDefault="00724932">
      <w:pPr>
        <w:widowControl/>
        <w:spacing w:afterLines="50" w:after="180" w:line="288" w:lineRule="auto"/>
        <w:jc w:val="both"/>
        <w:rPr>
          <w:rFonts w:hAnsi="新細明體" w:hint="eastAsia"/>
          <w:b/>
          <w:bCs/>
          <w:sz w:val="40"/>
          <w:szCs w:val="40"/>
        </w:rPr>
      </w:pPr>
    </w:p>
    <w:p w:rsidR="00000000" w:rsidRDefault="00724932">
      <w:pPr>
        <w:widowControl/>
        <w:spacing w:afterLines="50" w:after="180" w:line="288" w:lineRule="auto"/>
        <w:ind w:left="1441" w:hangingChars="400" w:hanging="1441"/>
        <w:jc w:val="both"/>
        <w:rPr>
          <w:rFonts w:hAnsi="新細明體" w:hint="eastAsia"/>
          <w:b/>
          <w:bCs/>
          <w:sz w:val="36"/>
          <w:szCs w:val="36"/>
        </w:rPr>
      </w:pPr>
      <w:r>
        <w:rPr>
          <w:rFonts w:hAnsi="新細明體" w:hint="eastAsia"/>
          <w:b/>
          <w:bCs/>
          <w:sz w:val="36"/>
          <w:szCs w:val="36"/>
        </w:rPr>
        <w:t>第一節　公法上返還請求權（公法上不當得利）</w:t>
      </w:r>
    </w:p>
    <w:p w:rsidR="00000000" w:rsidRDefault="00724932">
      <w:pPr>
        <w:widowControl/>
        <w:spacing w:afterLines="50" w:after="180" w:line="288" w:lineRule="auto"/>
        <w:jc w:val="both"/>
        <w:rPr>
          <w:rFonts w:hint="eastAsia"/>
          <w:b/>
          <w:bCs/>
          <w:sz w:val="32"/>
          <w:szCs w:val="40"/>
        </w:rPr>
      </w:pPr>
      <w:r>
        <w:rPr>
          <w:rFonts w:hint="eastAsia"/>
          <w:b/>
          <w:bCs/>
          <w:sz w:val="32"/>
          <w:szCs w:val="40"/>
        </w:rPr>
        <w:t>壹　概說</w:t>
      </w:r>
    </w:p>
    <w:p w:rsidR="00000000" w:rsidRDefault="00724932">
      <w:pPr>
        <w:widowControl/>
        <w:spacing w:afterLines="50" w:after="180" w:line="288" w:lineRule="auto"/>
        <w:ind w:firstLineChars="200" w:firstLine="480"/>
        <w:jc w:val="both"/>
        <w:rPr>
          <w:rFonts w:hint="eastAsia"/>
        </w:rPr>
      </w:pPr>
      <w:r>
        <w:rPr>
          <w:rFonts w:hint="eastAsia"/>
        </w:rPr>
        <w:t>在德國法中，公法上不當得利</w:t>
      </w:r>
      <w:r>
        <w:rPr>
          <w:rStyle w:val="a9"/>
        </w:rPr>
        <w:footnoteReference w:id="24"/>
      </w:r>
      <w:r>
        <w:rPr>
          <w:rFonts w:hint="eastAsia"/>
        </w:rPr>
        <w:t>，習慣上稱為「公法上返還請求權（</w:t>
      </w:r>
      <w:r>
        <w:t>ö</w:t>
      </w:r>
      <w:r>
        <w:rPr>
          <w:rFonts w:hint="eastAsia"/>
        </w:rPr>
        <w:t>ffentlich</w:t>
      </w:r>
      <w:r>
        <w:softHyphen/>
      </w:r>
      <w:r>
        <w:rPr>
          <w:rFonts w:hint="eastAsia"/>
        </w:rPr>
        <w:t>rechtlicher Erstattungsanspruch</w:t>
      </w:r>
      <w:r>
        <w:rPr>
          <w:rFonts w:hint="eastAsia"/>
        </w:rPr>
        <w:t>）」，係由不成文之「一般公法上返還請求權（</w:t>
      </w:r>
      <w:r>
        <w:rPr>
          <w:rFonts w:hint="eastAsia"/>
        </w:rPr>
        <w:t>all</w:t>
      </w:r>
      <w:r>
        <w:softHyphen/>
      </w:r>
      <w:r>
        <w:rPr>
          <w:rFonts w:hint="eastAsia"/>
        </w:rPr>
        <w:t xml:space="preserve">gemeiner </w:t>
      </w:r>
      <w:r>
        <w:t>ö</w:t>
      </w:r>
      <w:r>
        <w:rPr>
          <w:rFonts w:hint="eastAsia"/>
        </w:rPr>
        <w:t>ffentlich-rechtlicher Erstattungsanspruch</w:t>
      </w:r>
      <w:r>
        <w:rPr>
          <w:rFonts w:hint="eastAsia"/>
        </w:rPr>
        <w:t>）」以及若干法律已明文規定之「</w:t>
      </w:r>
      <w:r>
        <w:rPr>
          <w:rFonts w:hint="eastAsia"/>
        </w:rPr>
        <w:t>特殊公法上返還請求權（</w:t>
      </w:r>
      <w:r>
        <w:rPr>
          <w:rFonts w:hint="eastAsia"/>
        </w:rPr>
        <w:t xml:space="preserve">spezielle </w:t>
      </w:r>
      <w:r>
        <w:t>ö</w:t>
      </w:r>
      <w:r>
        <w:rPr>
          <w:rFonts w:hint="eastAsia"/>
        </w:rPr>
        <w:t>ffentlich-rechtliche Erstattungsanspr</w:t>
      </w:r>
      <w:r>
        <w:t>ü</w:t>
      </w:r>
      <w:r>
        <w:rPr>
          <w:rFonts w:hint="eastAsia"/>
        </w:rPr>
        <w:t>che</w:t>
      </w:r>
      <w:r>
        <w:rPr>
          <w:rFonts w:hint="eastAsia"/>
        </w:rPr>
        <w:t>）」所合併組成的一種「廣義國家責任（</w:t>
      </w:r>
      <w:r>
        <w:rPr>
          <w:rFonts w:hint="eastAsia"/>
        </w:rPr>
        <w:t>Staatshaftung im weiten Sinne; staatliche Ersatz</w:t>
      </w:r>
      <w:r>
        <w:softHyphen/>
      </w:r>
      <w:r>
        <w:rPr>
          <w:rFonts w:hint="eastAsia"/>
        </w:rPr>
        <w:t>leistungen</w:t>
      </w:r>
      <w:r>
        <w:rPr>
          <w:rFonts w:hint="eastAsia"/>
        </w:rPr>
        <w:t>）」制度</w:t>
      </w:r>
      <w:r>
        <w:rPr>
          <w:rStyle w:val="a9"/>
        </w:rPr>
        <w:footnoteReference w:id="25"/>
      </w:r>
      <w:r>
        <w:rPr>
          <w:rFonts w:hint="eastAsia"/>
        </w:rPr>
        <w:t>。不過這個制度，與國家責任體系中屬於核心部分的損害賠償（</w:t>
      </w:r>
      <w:r>
        <w:rPr>
          <w:rFonts w:hint="eastAsia"/>
        </w:rPr>
        <w:t>Schadenersatz</w:t>
      </w:r>
      <w:r>
        <w:rPr>
          <w:rFonts w:hint="eastAsia"/>
        </w:rPr>
        <w:t>）及損失補償（</w:t>
      </w:r>
      <w:r>
        <w:rPr>
          <w:rFonts w:hint="eastAsia"/>
        </w:rPr>
        <w:t>Entsch</w:t>
      </w:r>
      <w:r>
        <w:t>ä</w:t>
      </w:r>
      <w:r>
        <w:rPr>
          <w:rFonts w:hint="eastAsia"/>
        </w:rPr>
        <w:t>digung</w:t>
      </w:r>
      <w:r>
        <w:rPr>
          <w:rFonts w:hint="eastAsia"/>
        </w:rPr>
        <w:t>）等最大的差異，則並非在於填補因國家違法或合法行為所造成的財產上、甚至非財產上之不利益，而是在於調整</w:t>
      </w:r>
      <w:r>
        <w:rPr>
          <w:rFonts w:hint="eastAsia"/>
        </w:rPr>
        <w:t>公法關係中無法律上之原因所造成的財產變動，藉以回復適法的狀態</w:t>
      </w:r>
      <w:r>
        <w:rPr>
          <w:rStyle w:val="a9"/>
        </w:rPr>
        <w:footnoteReference w:id="26"/>
      </w:r>
      <w:r>
        <w:rPr>
          <w:rFonts w:hint="eastAsia"/>
        </w:rPr>
        <w:t>；因</w:t>
      </w:r>
      <w:r>
        <w:rPr>
          <w:rFonts w:hint="eastAsia"/>
        </w:rPr>
        <w:lastRenderedPageBreak/>
        <w:t>此，在這方面上，公法上之不當得利，亦即公法上返還請求權</w:t>
      </w:r>
      <w:r>
        <w:rPr>
          <w:rStyle w:val="a9"/>
        </w:rPr>
        <w:footnoteReference w:id="27"/>
      </w:r>
      <w:r>
        <w:rPr>
          <w:rFonts w:hint="eastAsia"/>
        </w:rPr>
        <w:t>，可以說是一種與民法上不當得利（</w:t>
      </w:r>
      <w:r>
        <w:rPr>
          <w:rFonts w:hint="eastAsia"/>
        </w:rPr>
        <w:t>zivilrechtliche ungerechtfertigte Bereicherung</w:t>
      </w:r>
      <w:r>
        <w:rPr>
          <w:rFonts w:hint="eastAsia"/>
        </w:rPr>
        <w:t>）具有相同功能的平行制度</w:t>
      </w:r>
      <w:r>
        <w:rPr>
          <w:rStyle w:val="a9"/>
        </w:rPr>
        <w:footnoteReference w:id="28"/>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其次，公法上返還請求權者，由於正在於調整各種公法關係中無法律上之原因所造成的財產變動，所以這個制度所認識的各種返還請求權類型，並不以人民（請求權人）向國家或其他行政主體請求返還不當得利為限；事實上公法上返還請求權，尚包括國家或其他行政主</w:t>
      </w:r>
      <w:r>
        <w:rPr>
          <w:rFonts w:hint="eastAsia"/>
        </w:rPr>
        <w:t>體（請求權人）向人民（不當得利受領人）主張，以及國家或其他行政主體間相互主張，甚至同一行政主體中不同行政機關間相互主張等的各種返還請求權類型</w:t>
      </w:r>
      <w:r>
        <w:rPr>
          <w:rStyle w:val="a9"/>
        </w:rPr>
        <w:footnoteReference w:id="29"/>
      </w:r>
      <w:r>
        <w:rPr>
          <w:rFonts w:hint="eastAsia"/>
        </w:rPr>
        <w:t>。要之，德國法制中的公法上返還請求權，只要是涉及「公法關係」中無法律上之原因所造成的財產變動，均有可能成立；任何內、外部公法關係中的權利主體，也均有可能是該返還請求權制度中的請求權人及被請求權人。</w:t>
      </w:r>
    </w:p>
    <w:p w:rsidR="00000000" w:rsidRDefault="00724932">
      <w:pPr>
        <w:widowControl/>
        <w:spacing w:afterLines="50" w:after="180" w:line="288" w:lineRule="auto"/>
        <w:ind w:firstLineChars="200" w:firstLine="480"/>
        <w:jc w:val="both"/>
        <w:rPr>
          <w:rFonts w:hint="eastAsia"/>
        </w:rPr>
      </w:pPr>
      <w:r>
        <w:rPr>
          <w:rFonts w:hint="eastAsia"/>
        </w:rPr>
        <w:t>此外，公法上返還請求權者，依德國法學界的通說</w:t>
      </w:r>
      <w:r>
        <w:rPr>
          <w:rStyle w:val="a9"/>
        </w:rPr>
        <w:footnoteReference w:id="30"/>
      </w:r>
      <w:r>
        <w:rPr>
          <w:rFonts w:hint="eastAsia"/>
        </w:rPr>
        <w:t>，其制度的憲法上基礎，在於德國聯邦憲法，亦即基本法（</w:t>
      </w:r>
      <w:r>
        <w:rPr>
          <w:rFonts w:hint="eastAsia"/>
        </w:rPr>
        <w:t>Grundgesetz; GG</w:t>
      </w:r>
      <w:r>
        <w:rPr>
          <w:rFonts w:hint="eastAsia"/>
        </w:rPr>
        <w:t>）第二十條第三項所確立的依法行政原則（</w:t>
      </w:r>
      <w:r>
        <w:rPr>
          <w:rFonts w:hint="eastAsia"/>
        </w:rPr>
        <w:t>Gru</w:t>
      </w:r>
      <w:r>
        <w:rPr>
          <w:rFonts w:hint="eastAsia"/>
        </w:rPr>
        <w:t>ndsatz der Gesetzm</w:t>
      </w:r>
      <w:r>
        <w:t>äß</w:t>
      </w:r>
      <w:r>
        <w:rPr>
          <w:rFonts w:hint="eastAsia"/>
        </w:rPr>
        <w:t>igkeit der Verwaltung</w:t>
      </w:r>
      <w:r>
        <w:rPr>
          <w:rFonts w:hint="eastAsia"/>
        </w:rPr>
        <w:t>）：憲法既誡命行政行為必須符合法律與法的要求，則無法律上之原因所造成的財產變動，自應藉由公法上返還請求權的調整，回歸適法狀態，始能符合憲法上的誡命要求。然而，又由於公法上返還請求權者，至少含有人民（請求權人）向國家或其他行政主體請求的一種類型；因此在這一種公法上返還請求權的下位類型中，除了前開依法行政原則外，基於憲法保障人民基本權利的意旨，基本權利規範也是一種支持公法上返還請求權的憲法基礎</w:t>
      </w:r>
      <w:r>
        <w:rPr>
          <w:rStyle w:val="a9"/>
        </w:rPr>
        <w:footnoteReference w:id="31"/>
      </w:r>
      <w:r>
        <w:rPr>
          <w:rFonts w:hint="eastAsia"/>
        </w:rPr>
        <w:t>。</w:t>
      </w:r>
    </w:p>
    <w:p w:rsidR="00000000" w:rsidRDefault="00724932">
      <w:pPr>
        <w:widowControl/>
        <w:spacing w:line="288" w:lineRule="auto"/>
        <w:ind w:firstLineChars="200" w:firstLine="480"/>
        <w:jc w:val="both"/>
        <w:rPr>
          <w:rFonts w:hint="eastAsia"/>
        </w:rPr>
      </w:pPr>
      <w:r>
        <w:rPr>
          <w:rFonts w:hint="eastAsia"/>
        </w:rPr>
        <w:lastRenderedPageBreak/>
        <w:t>依法行政原則與基本權利規範作為公</w:t>
      </w:r>
      <w:r>
        <w:rPr>
          <w:rFonts w:hint="eastAsia"/>
        </w:rPr>
        <w:t>法上返還請求權之（部分）憲法基礎，在法學討論的意義，絕非僅止於理論層面上的研究而已。蓋德國法制中的公法上返還請求權，如前所述，除有若干法律已明文規定之「特殊公法上返還請求權」外，還有一種不成文的「一般公法上返還請求權」；而這種不成文的法律制度之所以能夠在整個法律體系立足，其本身具有憲法上之基礎以為依據，實為主要的原因</w:t>
      </w:r>
      <w:r>
        <w:rPr>
          <w:rStyle w:val="a9"/>
        </w:rPr>
        <w:footnoteReference w:id="32"/>
      </w:r>
      <w:r>
        <w:rPr>
          <w:rFonts w:hint="eastAsia"/>
        </w:rPr>
        <w:t>。</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bCs/>
          <w:sz w:val="32"/>
          <w:szCs w:val="40"/>
        </w:rPr>
      </w:pPr>
      <w:r>
        <w:rPr>
          <w:rFonts w:hint="eastAsia"/>
          <w:b/>
          <w:bCs/>
          <w:sz w:val="32"/>
          <w:szCs w:val="40"/>
        </w:rPr>
        <w:t>貳　法律基礎</w:t>
      </w:r>
    </w:p>
    <w:p w:rsidR="00000000" w:rsidRDefault="00724932">
      <w:pPr>
        <w:widowControl/>
        <w:spacing w:afterLines="50" w:after="180" w:line="288" w:lineRule="auto"/>
        <w:ind w:firstLineChars="200" w:firstLine="480"/>
        <w:jc w:val="both"/>
        <w:rPr>
          <w:rFonts w:hint="eastAsia"/>
        </w:rPr>
      </w:pPr>
      <w:r>
        <w:rPr>
          <w:rFonts w:hint="eastAsia"/>
        </w:rPr>
        <w:t>德國法制上的公法上返還請求權，最初原來只是學說與實務逐漸研究討論出來的一種行政法上不成文之制度</w:t>
      </w:r>
      <w:r>
        <w:rPr>
          <w:rStyle w:val="a9"/>
        </w:rPr>
        <w:footnoteReference w:id="33"/>
      </w:r>
      <w:r>
        <w:rPr>
          <w:rFonts w:hint="eastAsia"/>
        </w:rPr>
        <w:t>；不過在後來的發展中，若干法律則針對某些特定的法律關係及領域，明文確定公法</w:t>
      </w:r>
      <w:r>
        <w:rPr>
          <w:rFonts w:hint="eastAsia"/>
        </w:rPr>
        <w:t>上返還請求權的適用，部分並直接規定其獨立的構成要件與法律效果。從而，這些已經具有實定法基礎的公法上返還請求權，例如聯邦行政程序法第四十九條之一及各邦行政程序法中相對應之規定</w:t>
      </w:r>
      <w:r>
        <w:rPr>
          <w:rStyle w:val="a9"/>
        </w:rPr>
        <w:footnoteReference w:id="34"/>
      </w:r>
      <w:r>
        <w:rPr>
          <w:rFonts w:hint="eastAsia"/>
        </w:rPr>
        <w:t>、社會法第十編（</w:t>
      </w:r>
      <w:r>
        <w:t>Zehntes Buch Sozialgesetzbuch — Sozialverwaltungsverfahren und Sozialdatenschutz</w:t>
      </w:r>
      <w:r>
        <w:rPr>
          <w:rFonts w:hint="eastAsia"/>
        </w:rPr>
        <w:t>; SGB X</w:t>
      </w:r>
      <w:r>
        <w:rPr>
          <w:rFonts w:hint="eastAsia"/>
        </w:rPr>
        <w:t>）第五十條、第一百零二條至第一百十四條、租稅通則（</w:t>
      </w:r>
      <w:r>
        <w:rPr>
          <w:rFonts w:hint="eastAsia"/>
        </w:rPr>
        <w:t>Abgabenordnung; AO 1977</w:t>
      </w:r>
      <w:r>
        <w:rPr>
          <w:rFonts w:hint="eastAsia"/>
        </w:rPr>
        <w:t>）第三十七條第二項，以及各種公務員法上之若干相關規定</w:t>
      </w:r>
      <w:r>
        <w:rPr>
          <w:rStyle w:val="a9"/>
        </w:rPr>
        <w:footnoteReference w:id="35"/>
      </w:r>
      <w:r>
        <w:rPr>
          <w:rFonts w:hint="eastAsia"/>
        </w:rPr>
        <w:t>等，因其具有優先適用的特別法性質，是被稱為「特殊公法上返還請求權」</w:t>
      </w:r>
      <w:r>
        <w:rPr>
          <w:rStyle w:val="a9"/>
        </w:rPr>
        <w:footnoteReference w:id="36"/>
      </w:r>
      <w:r>
        <w:rPr>
          <w:rFonts w:hint="eastAsia"/>
        </w:rPr>
        <w:t>；至於其他法律所未規範的領域，則仍適用歷史上原已為學說與實務所發展出來的不成文公法上返還請求權制度。這套不成文法上之制度，因具有補充適用的一般法性質，故通說</w:t>
      </w:r>
      <w:r>
        <w:rPr>
          <w:rStyle w:val="a9"/>
        </w:rPr>
        <w:footnoteReference w:id="37"/>
      </w:r>
      <w:r>
        <w:rPr>
          <w:rFonts w:hint="eastAsia"/>
        </w:rPr>
        <w:t>俱</w:t>
      </w:r>
      <w:r>
        <w:rPr>
          <w:rFonts w:ascii="新細明體" w:hAnsi="新細明體" w:hint="eastAsia"/>
        </w:rPr>
        <w:t>以</w:t>
      </w:r>
      <w:r>
        <w:rPr>
          <w:rFonts w:hint="eastAsia"/>
        </w:rPr>
        <w:t>「一般公法上返還請求權」相名，用來說明其</w:t>
      </w:r>
      <w:r>
        <w:rPr>
          <w:rFonts w:hint="eastAsia"/>
        </w:rPr>
        <w:lastRenderedPageBreak/>
        <w:t>與前開「特殊公法上返還請求權」間一般法（</w:t>
      </w:r>
      <w:r>
        <w:rPr>
          <w:rFonts w:hint="eastAsia"/>
        </w:rPr>
        <w:t>lex generalis</w:t>
      </w:r>
      <w:r>
        <w:rPr>
          <w:rFonts w:hint="eastAsia"/>
        </w:rPr>
        <w:t>）與特別法（</w:t>
      </w:r>
      <w:r>
        <w:rPr>
          <w:rFonts w:hint="eastAsia"/>
        </w:rPr>
        <w:t>lex spexialis</w:t>
      </w:r>
      <w:r>
        <w:rPr>
          <w:rFonts w:hint="eastAsia"/>
        </w:rPr>
        <w:t>）的適用順位關係。</w:t>
      </w:r>
    </w:p>
    <w:p w:rsidR="00000000" w:rsidRDefault="00724932">
      <w:pPr>
        <w:widowControl/>
        <w:spacing w:afterLines="50" w:after="180" w:line="288" w:lineRule="auto"/>
        <w:ind w:firstLineChars="200" w:firstLine="480"/>
        <w:jc w:val="both"/>
        <w:rPr>
          <w:rFonts w:hint="eastAsia"/>
        </w:rPr>
      </w:pPr>
      <w:r>
        <w:rPr>
          <w:rFonts w:hint="eastAsia"/>
        </w:rPr>
        <w:t>不過德國法制中的公法上返還請求權，縱使因此分割為複數、彼此間又具有優先與備位適用順序等關係的複雜制度，但各該不同的公</w:t>
      </w:r>
      <w:r>
        <w:rPr>
          <w:rFonts w:hint="eastAsia"/>
        </w:rPr>
        <w:t>法上返還請求權間，法理其實同一。以法律上已經明文規定的各種特殊公法上返還請求權為例：其彼此間雖輒有獨立的構成要件或法律效果，不過這些構成要件與法律效果的規定，絕大部分卻共同演繹自歷史上原已存在的不成文一般公法上請求權；因此，所謂的不同特殊公法上返還請求權，其制度內涵非但彼此間相當接近，並且在適用上，同一事例，縱使假設因欠缺法律明文規定，不適用特殊公法上返還請求權，而回歸適用一般公法上返還請求權時，其結果實與適用已有明文規範的特殊公法上返還請求權，幾乎一致。換言之，德國法制中所謂的各種特殊公法上返還請求權，其</w:t>
      </w:r>
      <w:r>
        <w:rPr>
          <w:rFonts w:hint="eastAsia"/>
        </w:rPr>
        <w:t>實只是同一種公法上返還請求權的類型化與成文法化而已，彼此間的差異，毋庸過度高估。</w:t>
      </w:r>
    </w:p>
    <w:p w:rsidR="00000000" w:rsidRDefault="00724932">
      <w:pPr>
        <w:widowControl/>
        <w:spacing w:line="288" w:lineRule="auto"/>
        <w:ind w:firstLineChars="200" w:firstLine="480"/>
        <w:jc w:val="both"/>
        <w:rPr>
          <w:rFonts w:hint="eastAsia"/>
        </w:rPr>
      </w:pPr>
      <w:r>
        <w:rPr>
          <w:rFonts w:hint="eastAsia"/>
        </w:rPr>
        <w:t>相反地，德國法制中所謂的一般公法上返還請求權，因其構成要件與法律效果，缺乏成文法上的明文，而取決於學說與實務的累積發展，所以這個制度本身其實是開放的，而且具有變動潛能。因此，德國法制上的一般公法上返還請求權，終其究竟，也往往回饋性地因為相關之學說與實務已經受到與一般公法上返還請求權出於同源之特殊公法上返還請求權的若干法律明文規定影響後修正、補充，而逐漸與各種特殊公法上返還請求權對齊而拉近。結果，這個所謂的一般公法上返還請求權，</w:t>
      </w:r>
      <w:r>
        <w:rPr>
          <w:rFonts w:hint="eastAsia"/>
        </w:rPr>
        <w:t>其實也只是各種特殊公法上返還請求權歸納後所抽取出的共通原理與原則；「一般」與「特殊」間尚能存在多少差異，相當令人懷疑。從而也無怪乎德國法學上有關公法上返還請求權的教科書或體系書類的一般性論述</w:t>
      </w:r>
      <w:r>
        <w:rPr>
          <w:rStyle w:val="a9"/>
        </w:rPr>
        <w:footnoteReference w:id="38"/>
      </w:r>
      <w:r>
        <w:rPr>
          <w:rFonts w:hint="eastAsia"/>
        </w:rPr>
        <w:t>，縱然因鑑於返還請求權之法律基礎有「成文」與「不成文」的區別，多先指出「特殊公法上返還請求權」與「一般公法上返還請求權」的不同，但是就此之後，在有關返還請求權之構成要件與法律效果的討論部分，則不約而同地作統一性的論述，而不再另作「特殊」與「一般」公法上返還請求權的區別處理；關於這一點，值得吾人在認識德國法制上之公法上返</w:t>
      </w:r>
      <w:r>
        <w:rPr>
          <w:rFonts w:hint="eastAsia"/>
        </w:rPr>
        <w:t>還請求權時特別注意。</w:t>
      </w: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bCs/>
          <w:sz w:val="32"/>
          <w:szCs w:val="32"/>
        </w:rPr>
      </w:pPr>
      <w:r>
        <w:rPr>
          <w:rFonts w:hint="eastAsia"/>
          <w:b/>
          <w:bCs/>
          <w:sz w:val="32"/>
          <w:szCs w:val="32"/>
        </w:rPr>
        <w:lastRenderedPageBreak/>
        <w:t xml:space="preserve">參　</w:t>
      </w:r>
      <w:r>
        <w:rPr>
          <w:rFonts w:hint="eastAsia"/>
          <w:b/>
          <w:sz w:val="32"/>
          <w:szCs w:val="32"/>
        </w:rPr>
        <w:t>與民法上不當得利之關係</w:t>
      </w:r>
    </w:p>
    <w:p w:rsidR="00000000" w:rsidRDefault="00724932">
      <w:pPr>
        <w:widowControl/>
        <w:spacing w:afterLines="50" w:after="180" w:line="288" w:lineRule="auto"/>
        <w:ind w:firstLineChars="200" w:firstLine="480"/>
        <w:jc w:val="both"/>
        <w:rPr>
          <w:rFonts w:hint="eastAsia"/>
        </w:rPr>
      </w:pPr>
      <w:r>
        <w:rPr>
          <w:rFonts w:hint="eastAsia"/>
        </w:rPr>
        <w:t>德國著名的公法學者</w:t>
      </w:r>
      <w:r>
        <w:rPr>
          <w:rFonts w:hint="eastAsia"/>
          <w:i/>
        </w:rPr>
        <w:t>Ernst Forsthoff</w:t>
      </w:r>
      <w:r>
        <w:rPr>
          <w:rFonts w:hint="eastAsia"/>
        </w:rPr>
        <w:t>，在其行政法教科書中曾經主張：公法上返還請求權，乃一種行政法上發展出來的獨立制度，所以民法上不當得利之規定，不應再行類推適用</w:t>
      </w:r>
      <w:r>
        <w:rPr>
          <w:rStyle w:val="a9"/>
        </w:rPr>
        <w:footnoteReference w:id="39"/>
      </w:r>
      <w:r>
        <w:rPr>
          <w:rFonts w:hint="eastAsia"/>
        </w:rPr>
        <w:t>。雖然</w:t>
      </w:r>
      <w:r>
        <w:rPr>
          <w:rFonts w:hint="eastAsia"/>
          <w:i/>
        </w:rPr>
        <w:t>Forsthoff</w:t>
      </w:r>
      <w:r>
        <w:rPr>
          <w:rFonts w:hint="eastAsia"/>
        </w:rPr>
        <w:t>的這種確信，自從公法上返還請求權脫離民法上不當得利而自行發展後，一直為法院實務</w:t>
      </w:r>
      <w:r>
        <w:rPr>
          <w:rStyle w:val="a9"/>
        </w:rPr>
        <w:footnoteReference w:id="40"/>
      </w:r>
      <w:r>
        <w:rPr>
          <w:rFonts w:hint="eastAsia"/>
        </w:rPr>
        <w:t>所強調，並且往後也為大多數學說</w:t>
      </w:r>
      <w:r>
        <w:rPr>
          <w:rStyle w:val="a9"/>
        </w:rPr>
        <w:footnoteReference w:id="41"/>
      </w:r>
      <w:r>
        <w:rPr>
          <w:rFonts w:hint="eastAsia"/>
        </w:rPr>
        <w:t>所支持與奉行，不過公法上返還請求權與民法上不當得利這兩種功能相同的平行制度，迄今卻始終維持著一種若即若離的密切關係。因此，公法上返還請求權究竟得否類推</w:t>
      </w:r>
      <w:r>
        <w:rPr>
          <w:rFonts w:hint="eastAsia"/>
        </w:rPr>
        <w:t>適用民法上不當得利、類推的範圍有多廣，乃至類推適用有無實益等，長久以來其實是學者間爭議的議題</w:t>
      </w:r>
      <w:r>
        <w:rPr>
          <w:rStyle w:val="a9"/>
        </w:rPr>
        <w:footnoteReference w:id="42"/>
      </w:r>
      <w:r>
        <w:rPr>
          <w:rFonts w:hint="eastAsia"/>
        </w:rPr>
        <w:t>，而值得本研究在此僅就該請求權的構成要件與法律效果等兩大部分略作說明：</w:t>
      </w:r>
    </w:p>
    <w:p w:rsidR="00000000" w:rsidRDefault="00724932">
      <w:pPr>
        <w:widowControl/>
        <w:spacing w:afterLines="50" w:after="180" w:line="288" w:lineRule="auto"/>
        <w:ind w:firstLineChars="200" w:firstLine="480"/>
        <w:jc w:val="both"/>
        <w:rPr>
          <w:rFonts w:hint="eastAsia"/>
        </w:rPr>
      </w:pPr>
      <w:r>
        <w:rPr>
          <w:rFonts w:hint="eastAsia"/>
        </w:rPr>
        <w:t>首先在構成要件部分，一般認為公法上之返還請求權，無論是不成文的一般公法上返還請求權，抑或法律已有明文規定的特殊公法上返還請求權，其實均有學說與實務已發展定型，乃至法律已自行明文確定的請求權成立要件，因此在這個部分上，德國民法第八百十二條至第八百十七條及第八百二十一條等有關民法上不當得利之構成要件的規定（約略相當於我國民法第一百七十九條及第一百八</w:t>
      </w:r>
      <w:r>
        <w:rPr>
          <w:rFonts w:hint="eastAsia"/>
        </w:rPr>
        <w:t>十條</w:t>
      </w:r>
      <w:r>
        <w:rPr>
          <w:rStyle w:val="a9"/>
        </w:rPr>
        <w:footnoteReference w:id="43"/>
      </w:r>
      <w:r>
        <w:rPr>
          <w:rFonts w:hint="eastAsia"/>
        </w:rPr>
        <w:t>），幾乎毫無再行援用的餘地</w:t>
      </w:r>
      <w:r>
        <w:rPr>
          <w:rStyle w:val="a9"/>
        </w:rPr>
        <w:footnoteReference w:id="44"/>
      </w:r>
      <w:r>
        <w:rPr>
          <w:rFonts w:hint="eastAsia"/>
        </w:rPr>
        <w:t>。不過縱使如此，吾人需注意的是，德國公法上返還請求權，畢竟仍是一種尚在發展階段的法律制度，所以若干的問題點，譬如「非統一理論（區別說；</w:t>
      </w:r>
      <w:r>
        <w:rPr>
          <w:rFonts w:hint="eastAsia"/>
        </w:rPr>
        <w:t>Trennungstheorie</w:t>
      </w:r>
      <w:r>
        <w:rPr>
          <w:rFonts w:hint="eastAsia"/>
        </w:rPr>
        <w:t>）」下的「非給付不當得利（</w:t>
      </w:r>
      <w:r>
        <w:rPr>
          <w:rFonts w:hint="eastAsia"/>
        </w:rPr>
        <w:t>Nicht</w:t>
      </w:r>
      <w:r>
        <w:softHyphen/>
      </w:r>
      <w:r>
        <w:rPr>
          <w:rFonts w:hint="eastAsia"/>
        </w:rPr>
        <w:t>leistungskondiktion</w:t>
      </w:r>
      <w:r>
        <w:rPr>
          <w:rFonts w:hint="eastAsia"/>
        </w:rPr>
        <w:t>）」類型如何認定</w:t>
      </w:r>
      <w:r>
        <w:rPr>
          <w:rStyle w:val="a9"/>
        </w:rPr>
        <w:footnoteReference w:id="45"/>
      </w:r>
      <w:r>
        <w:rPr>
          <w:rFonts w:hint="eastAsia"/>
        </w:rPr>
        <w:t>，以及所謂「三人關係之不當得利（</w:t>
      </w:r>
      <w:r>
        <w:rPr>
          <w:rFonts w:hint="eastAsia"/>
        </w:rPr>
        <w:t>Berei</w:t>
      </w:r>
      <w:r>
        <w:softHyphen/>
      </w:r>
      <w:r>
        <w:rPr>
          <w:rFonts w:hint="eastAsia"/>
        </w:rPr>
        <w:t>che</w:t>
      </w:r>
      <w:r>
        <w:softHyphen/>
      </w:r>
      <w:r>
        <w:rPr>
          <w:rFonts w:hint="eastAsia"/>
        </w:rPr>
        <w:lastRenderedPageBreak/>
        <w:t>rungsausgleich in Dreipersonenverh</w:t>
      </w:r>
      <w:r>
        <w:t>ä</w:t>
      </w:r>
      <w:r>
        <w:rPr>
          <w:rFonts w:hint="eastAsia"/>
        </w:rPr>
        <w:t>ltnissen</w:t>
      </w:r>
      <w:r>
        <w:rPr>
          <w:rFonts w:hint="eastAsia"/>
        </w:rPr>
        <w:t>）」如何處理</w:t>
      </w:r>
      <w:r>
        <w:rPr>
          <w:rStyle w:val="a9"/>
        </w:rPr>
        <w:footnoteReference w:id="46"/>
      </w:r>
      <w:r>
        <w:rPr>
          <w:rFonts w:hint="eastAsia"/>
        </w:rPr>
        <w:t>等，一直有待澄清；在此，民法上不當得利法學</w:t>
      </w:r>
      <w:r>
        <w:rPr>
          <w:rStyle w:val="a9"/>
        </w:rPr>
        <w:footnoteReference w:id="47"/>
      </w:r>
      <w:r>
        <w:rPr>
          <w:rFonts w:hint="eastAsia"/>
        </w:rPr>
        <w:t>不但在理論上可以提供相</w:t>
      </w:r>
      <w:r>
        <w:rPr>
          <w:rFonts w:hint="eastAsia"/>
        </w:rPr>
        <w:t>當程度的參考資料，並且在事實上的確也廣為公法學界所比較與對照</w:t>
      </w:r>
      <w:r>
        <w:rPr>
          <w:rStyle w:val="a9"/>
        </w:rPr>
        <w:footnoteReference w:id="48"/>
      </w:r>
      <w:r>
        <w:rPr>
          <w:rFonts w:hint="eastAsia"/>
        </w:rPr>
        <w:t>。因此在這個層面上，公法上返還請求權與民法上不當得利，其實仍甚難割斷不能分捨的臍帶關係。</w:t>
      </w:r>
    </w:p>
    <w:p w:rsidR="00000000" w:rsidRDefault="00724932">
      <w:pPr>
        <w:widowControl/>
        <w:spacing w:afterLines="50" w:after="180" w:line="288" w:lineRule="auto"/>
        <w:ind w:firstLineChars="200" w:firstLine="480"/>
        <w:jc w:val="both"/>
        <w:rPr>
          <w:rFonts w:hint="eastAsia"/>
        </w:rPr>
      </w:pPr>
      <w:r>
        <w:rPr>
          <w:rFonts w:hint="eastAsia"/>
        </w:rPr>
        <w:t>其次在法律效果方面，公法上返還請求權是否類推適用民法上不當得利，長久以來，原是學說與實務爭議的焦點所在</w:t>
      </w:r>
      <w:r>
        <w:rPr>
          <w:rStyle w:val="a9"/>
        </w:rPr>
        <w:footnoteReference w:id="49"/>
      </w:r>
      <w:r>
        <w:rPr>
          <w:rFonts w:hint="eastAsia"/>
        </w:rPr>
        <w:t>。在此，通說</w:t>
      </w:r>
      <w:r>
        <w:rPr>
          <w:rStyle w:val="a9"/>
        </w:rPr>
        <w:footnoteReference w:id="50"/>
      </w:r>
      <w:r>
        <w:rPr>
          <w:rFonts w:hint="eastAsia"/>
        </w:rPr>
        <w:t>雖已普遍認為，在一般公法上返還請求權部分，由於公法上原有所謂「信賴保護（</w:t>
      </w:r>
      <w:r>
        <w:rPr>
          <w:rFonts w:hint="eastAsia"/>
        </w:rPr>
        <w:t>Vertrauensschutz</w:t>
      </w:r>
      <w:r>
        <w:rPr>
          <w:rFonts w:hint="eastAsia"/>
        </w:rPr>
        <w:t>）」、「誠實信用（</w:t>
      </w:r>
      <w:r>
        <w:t>T</w:t>
      </w:r>
      <w:r>
        <w:rPr>
          <w:rFonts w:hint="eastAsia"/>
        </w:rPr>
        <w:t>reu und Glauben</w:t>
      </w:r>
      <w:r>
        <w:rPr>
          <w:rFonts w:hint="eastAsia"/>
        </w:rPr>
        <w:t>）」與「衡平法理（</w:t>
      </w:r>
      <w:r>
        <w:rPr>
          <w:rFonts w:hint="eastAsia"/>
        </w:rPr>
        <w:t>Billigkeitsgedanke</w:t>
      </w:r>
      <w:r>
        <w:rPr>
          <w:rFonts w:hint="eastAsia"/>
        </w:rPr>
        <w:t>）」等原理原則的適用，足以克服法正</w:t>
      </w:r>
      <w:r>
        <w:rPr>
          <w:rFonts w:hint="eastAsia"/>
        </w:rPr>
        <w:t>義與法安定間的緊張關係，所以德國民法第八百十八條第三項、第四項、第八百十九條及第八百二十條等（約略相當於我國民法第一百八十二條）有關善意受領人及惡意受領人返還不當得利的「範圍」，並不適用，但是除此之外，不當得利受領人應返還的「標的」究竟為何，則民法第八百十八條第一項及第二項（約略相當於我國民法第一百八十一條），仍有參照的餘地</w:t>
      </w:r>
      <w:r>
        <w:rPr>
          <w:rStyle w:val="a9"/>
        </w:rPr>
        <w:footnoteReference w:id="51"/>
      </w:r>
      <w:r>
        <w:rPr>
          <w:rFonts w:hint="eastAsia"/>
        </w:rPr>
        <w:t>。此外，又如在特殊公法上返還請求權的部分，若干法律，如行政程序法第四十九條之一及各種公務員法上之相關規定等，雖然相反地明文指出民法上不當得利規定的準用必要性，不過卻又由於法學上所謂的「</w:t>
      </w:r>
      <w:r>
        <w:rPr>
          <w:rFonts w:hint="eastAsia"/>
        </w:rPr>
        <w:t>準用」，並非一體適用該準用的法條，而是合目的性的適用，從而通說</w:t>
      </w:r>
      <w:r>
        <w:rPr>
          <w:rStyle w:val="a9"/>
        </w:rPr>
        <w:footnoteReference w:id="52"/>
      </w:r>
      <w:r>
        <w:rPr>
          <w:rFonts w:hint="eastAsia"/>
        </w:rPr>
        <w:t>也強調，準用民法，在此仍須參酌公法與民法間公益與私益，乃至隸屬與對等地位等原則性的差異，作有限度，以及修</w:t>
      </w:r>
      <w:r>
        <w:rPr>
          <w:rFonts w:hint="eastAsia"/>
        </w:rPr>
        <w:lastRenderedPageBreak/>
        <w:t>正性的適用，以求配合公法上的法理。結果，可想而知地，有關特殊公法上返還請求權，其於法律效果部分準用民法後，實與前開一般公法上返還請求權的法律效果，並無原則性的高度歧異。</w:t>
      </w:r>
    </w:p>
    <w:p w:rsidR="00000000" w:rsidRDefault="00724932">
      <w:pPr>
        <w:widowControl/>
        <w:spacing w:line="288" w:lineRule="auto"/>
        <w:ind w:firstLineChars="200" w:firstLine="480"/>
        <w:jc w:val="both"/>
        <w:rPr>
          <w:rFonts w:hint="eastAsia"/>
        </w:rPr>
      </w:pPr>
      <w:r>
        <w:rPr>
          <w:rFonts w:hint="eastAsia"/>
        </w:rPr>
        <w:t>總之，依據以上的說明，吾人幾乎可以確信：有關公法上返還請求權究竟是否應該，並如何類推適用（或準用）民法上不當得利之規定的爭議，或多或少誠如德國行政法學者</w:t>
      </w:r>
      <w:r>
        <w:rPr>
          <w:rFonts w:hint="eastAsia"/>
          <w:i/>
        </w:rPr>
        <w:t>Hartmut Mau</w:t>
      </w:r>
      <w:r>
        <w:rPr>
          <w:rFonts w:hint="eastAsia"/>
          <w:i/>
        </w:rPr>
        <w:t>rer</w:t>
      </w:r>
      <w:r>
        <w:rPr>
          <w:rFonts w:hint="eastAsia"/>
        </w:rPr>
        <w:t>所言</w:t>
      </w:r>
      <w:r>
        <w:rPr>
          <w:rStyle w:val="a9"/>
        </w:rPr>
        <w:footnoteReference w:id="53"/>
      </w:r>
      <w:r>
        <w:rPr>
          <w:rFonts w:hint="eastAsia"/>
        </w:rPr>
        <w:t>，理論上的意義往往遠高於實際上的意義。</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jc w:val="both"/>
        <w:rPr>
          <w:rFonts w:hint="eastAsia"/>
          <w:b/>
          <w:kern w:val="0"/>
          <w:sz w:val="32"/>
          <w:szCs w:val="32"/>
        </w:rPr>
      </w:pPr>
      <w:r>
        <w:rPr>
          <w:rFonts w:hAnsi="新細明體"/>
          <w:b/>
          <w:bCs/>
          <w:sz w:val="40"/>
          <w:szCs w:val="40"/>
        </w:rPr>
        <w:br w:type="page"/>
      </w:r>
      <w:r>
        <w:rPr>
          <w:rFonts w:hint="eastAsia"/>
          <w:b/>
          <w:kern w:val="0"/>
          <w:sz w:val="32"/>
          <w:szCs w:val="32"/>
        </w:rPr>
        <w:lastRenderedPageBreak/>
        <w:t>我國與德國民法上不當得利規定對照表</w:t>
      </w:r>
    </w:p>
    <w:p w:rsidR="00000000" w:rsidRDefault="00724932">
      <w:pPr>
        <w:widowControl/>
        <w:spacing w:line="288" w:lineRule="auto"/>
        <w:ind w:firstLineChars="200" w:firstLine="480"/>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65"/>
        <w:gridCol w:w="4789"/>
      </w:tblGrid>
      <w:tr w:rsidR="00000000">
        <w:tc>
          <w:tcPr>
            <w:tcW w:w="468" w:type="dxa"/>
            <w:tcBorders>
              <w:bottom w:val="single" w:sz="12" w:space="0" w:color="auto"/>
              <w:right w:val="single" w:sz="12" w:space="0" w:color="auto"/>
            </w:tcBorders>
          </w:tcPr>
          <w:p w:rsidR="00000000" w:rsidRDefault="00724932">
            <w:pPr>
              <w:widowControl/>
              <w:kinsoku w:val="0"/>
              <w:jc w:val="both"/>
              <w:rPr>
                <w:rFonts w:hint="eastAsia"/>
                <w:sz w:val="20"/>
                <w:szCs w:val="20"/>
              </w:rPr>
            </w:pPr>
          </w:p>
        </w:tc>
        <w:tc>
          <w:tcPr>
            <w:tcW w:w="3265" w:type="dxa"/>
            <w:tcBorders>
              <w:left w:val="single" w:sz="12" w:space="0" w:color="auto"/>
              <w:bottom w:val="single" w:sz="12" w:space="0" w:color="auto"/>
            </w:tcBorders>
          </w:tcPr>
          <w:p w:rsidR="00000000" w:rsidRDefault="00724932">
            <w:pPr>
              <w:widowControl/>
              <w:kinsoku w:val="0"/>
              <w:jc w:val="distribute"/>
              <w:rPr>
                <w:rFonts w:hint="eastAsia"/>
                <w:b/>
                <w:sz w:val="20"/>
                <w:szCs w:val="20"/>
              </w:rPr>
            </w:pPr>
            <w:r>
              <w:rPr>
                <w:rFonts w:hint="eastAsia"/>
                <w:b/>
                <w:sz w:val="20"/>
                <w:szCs w:val="20"/>
              </w:rPr>
              <w:t>我國民法</w:t>
            </w:r>
          </w:p>
        </w:tc>
        <w:tc>
          <w:tcPr>
            <w:tcW w:w="0" w:type="auto"/>
            <w:tcBorders>
              <w:bottom w:val="single" w:sz="12" w:space="0" w:color="auto"/>
            </w:tcBorders>
          </w:tcPr>
          <w:p w:rsidR="00000000" w:rsidRDefault="00724932">
            <w:pPr>
              <w:widowControl/>
              <w:kinsoku w:val="0"/>
              <w:jc w:val="distribute"/>
              <w:rPr>
                <w:rFonts w:hint="eastAsia"/>
                <w:b/>
                <w:sz w:val="20"/>
                <w:szCs w:val="20"/>
              </w:rPr>
            </w:pPr>
            <w:r>
              <w:rPr>
                <w:rFonts w:hint="eastAsia"/>
                <w:b/>
                <w:sz w:val="20"/>
                <w:szCs w:val="20"/>
              </w:rPr>
              <w:t>德國民法</w:t>
            </w:r>
          </w:p>
        </w:tc>
      </w:tr>
      <w:tr w:rsidR="00000000">
        <w:trPr>
          <w:cantSplit/>
        </w:trPr>
        <w:tc>
          <w:tcPr>
            <w:tcW w:w="468" w:type="dxa"/>
            <w:vMerge w:val="restart"/>
            <w:tcBorders>
              <w:top w:val="single" w:sz="12" w:space="0" w:color="auto"/>
              <w:right w:val="single" w:sz="12" w:space="0" w:color="auto"/>
            </w:tcBorders>
            <w:vAlign w:val="center"/>
          </w:tcPr>
          <w:p w:rsidR="00000000" w:rsidRDefault="00724932">
            <w:pPr>
              <w:widowControl/>
              <w:kinsoku w:val="0"/>
              <w:jc w:val="center"/>
              <w:rPr>
                <w:rFonts w:hint="eastAsia"/>
                <w:b/>
                <w:sz w:val="20"/>
                <w:szCs w:val="20"/>
              </w:rPr>
            </w:pPr>
            <w:r>
              <w:rPr>
                <w:rFonts w:hint="eastAsia"/>
                <w:b/>
                <w:sz w:val="20"/>
                <w:szCs w:val="20"/>
              </w:rPr>
              <w:t>構成要件</w:t>
            </w:r>
          </w:p>
        </w:tc>
        <w:tc>
          <w:tcPr>
            <w:tcW w:w="3265" w:type="dxa"/>
            <w:tcBorders>
              <w:top w:val="single" w:sz="12" w:space="0" w:color="auto"/>
              <w:left w:val="single" w:sz="12" w:space="0" w:color="auto"/>
            </w:tcBorders>
          </w:tcPr>
          <w:p w:rsidR="00000000" w:rsidRDefault="00724932">
            <w:pPr>
              <w:widowControl/>
              <w:kinsoku w:val="0"/>
              <w:jc w:val="both"/>
              <w:rPr>
                <w:rFonts w:hint="eastAsia"/>
                <w:b/>
                <w:sz w:val="20"/>
                <w:szCs w:val="20"/>
              </w:rPr>
            </w:pPr>
            <w:r>
              <w:rPr>
                <w:rFonts w:hint="eastAsia"/>
                <w:b/>
                <w:sz w:val="20"/>
                <w:szCs w:val="20"/>
              </w:rPr>
              <w:t>第一百七十九條</w:t>
            </w:r>
          </w:p>
          <w:p w:rsidR="00000000" w:rsidRDefault="00724932">
            <w:pPr>
              <w:widowControl/>
              <w:kinsoku w:val="0"/>
              <w:ind w:firstLineChars="200" w:firstLine="400"/>
              <w:jc w:val="both"/>
              <w:rPr>
                <w:rFonts w:hint="eastAsia"/>
                <w:sz w:val="20"/>
                <w:szCs w:val="20"/>
              </w:rPr>
            </w:pPr>
            <w:r>
              <w:rPr>
                <w:kern w:val="0"/>
                <w:sz w:val="20"/>
                <w:szCs w:val="20"/>
              </w:rPr>
              <w:t>無法律上之原因而受利益，致他人受損害者，應返還其利益。雖有法律上之原因，而其後已不存在者，亦同。</w:t>
            </w:r>
          </w:p>
        </w:tc>
        <w:tc>
          <w:tcPr>
            <w:tcW w:w="0" w:type="auto"/>
            <w:tcBorders>
              <w:top w:val="single" w:sz="12" w:space="0" w:color="auto"/>
            </w:tcBorders>
          </w:tcPr>
          <w:p w:rsidR="00000000" w:rsidRDefault="00724932">
            <w:pPr>
              <w:widowControl/>
              <w:kinsoku w:val="0"/>
              <w:jc w:val="both"/>
              <w:rPr>
                <w:rFonts w:hint="eastAsia"/>
                <w:b/>
                <w:sz w:val="20"/>
                <w:szCs w:val="20"/>
              </w:rPr>
            </w:pPr>
            <w:r>
              <w:rPr>
                <w:rFonts w:hint="eastAsia"/>
                <w:b/>
                <w:sz w:val="20"/>
                <w:szCs w:val="20"/>
              </w:rPr>
              <w:t>第八百十二條</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無法律上之原因，而因他人之給付或依其他方法，藉他人之費用致受取得者，負返還他人之義務。法律上之原因其後不存在，或依法律行為之內容，給付所欲達成之結果不發生者，亦同。</w:t>
            </w:r>
          </w:p>
          <w:p w:rsidR="00000000" w:rsidRDefault="00724932">
            <w:pPr>
              <w:widowControl/>
              <w:kinsoku w:val="0"/>
              <w:ind w:firstLineChars="200" w:firstLine="400"/>
              <w:jc w:val="both"/>
              <w:rPr>
                <w:rFonts w:hint="eastAsia"/>
                <w:sz w:val="20"/>
                <w:szCs w:val="20"/>
              </w:rPr>
            </w:pPr>
            <w:r>
              <w:rPr>
                <w:rFonts w:hint="eastAsia"/>
                <w:sz w:val="20"/>
                <w:szCs w:val="20"/>
              </w:rPr>
              <w:t>以契約承認債務關係存在或不存在者，亦為給付。</w:t>
            </w:r>
          </w:p>
        </w:tc>
      </w:tr>
      <w:tr w:rsidR="00000000">
        <w:trPr>
          <w:cantSplit/>
        </w:trPr>
        <w:tc>
          <w:tcPr>
            <w:tcW w:w="468" w:type="dxa"/>
            <w:vMerge/>
            <w:tcBorders>
              <w:right w:val="single" w:sz="12" w:space="0" w:color="auto"/>
            </w:tcBorders>
          </w:tcPr>
          <w:p w:rsidR="00000000" w:rsidRDefault="00724932">
            <w:pPr>
              <w:widowControl/>
              <w:kinsoku w:val="0"/>
              <w:jc w:val="both"/>
              <w:rPr>
                <w:rFonts w:hint="eastAsia"/>
                <w:sz w:val="20"/>
                <w:szCs w:val="20"/>
              </w:rPr>
            </w:pPr>
          </w:p>
        </w:tc>
        <w:tc>
          <w:tcPr>
            <w:tcW w:w="3265" w:type="dxa"/>
            <w:tcBorders>
              <w:left w:val="single" w:sz="12" w:space="0" w:color="auto"/>
            </w:tcBorders>
          </w:tcPr>
          <w:p w:rsidR="00000000" w:rsidRDefault="00724932">
            <w:pPr>
              <w:widowControl/>
              <w:kinsoku w:val="0"/>
              <w:jc w:val="both"/>
              <w:rPr>
                <w:b/>
                <w:sz w:val="20"/>
                <w:szCs w:val="20"/>
              </w:rPr>
            </w:pPr>
            <w:r>
              <w:rPr>
                <w:b/>
                <w:sz w:val="20"/>
                <w:szCs w:val="20"/>
              </w:rPr>
              <w:t>第一百八十條</w:t>
            </w:r>
          </w:p>
          <w:p w:rsidR="00000000" w:rsidRDefault="0072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firstLineChars="200" w:firstLine="400"/>
              <w:jc w:val="both"/>
              <w:rPr>
                <w:kern w:val="0"/>
                <w:sz w:val="20"/>
                <w:szCs w:val="20"/>
              </w:rPr>
            </w:pPr>
            <w:r>
              <w:rPr>
                <w:kern w:val="0"/>
                <w:sz w:val="20"/>
                <w:szCs w:val="20"/>
              </w:rPr>
              <w:t>給付，有左列情形之一者</w:t>
            </w:r>
            <w:r>
              <w:rPr>
                <w:kern w:val="0"/>
                <w:sz w:val="20"/>
                <w:szCs w:val="20"/>
              </w:rPr>
              <w:t>，不得請求返還：</w:t>
            </w:r>
          </w:p>
          <w:p w:rsidR="00000000" w:rsidRDefault="0072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kern w:val="0"/>
                <w:sz w:val="20"/>
                <w:szCs w:val="20"/>
              </w:rPr>
            </w:pPr>
            <w:r>
              <w:rPr>
                <w:kern w:val="0"/>
                <w:sz w:val="20"/>
                <w:szCs w:val="20"/>
              </w:rPr>
              <w:t>一　給付係履行道德上之義務者。</w:t>
            </w:r>
          </w:p>
          <w:p w:rsidR="00000000" w:rsidRDefault="0072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kern w:val="0"/>
                <w:sz w:val="20"/>
                <w:szCs w:val="20"/>
              </w:rPr>
            </w:pPr>
            <w:r>
              <w:rPr>
                <w:kern w:val="0"/>
                <w:sz w:val="20"/>
                <w:szCs w:val="20"/>
              </w:rPr>
              <w:t>二　債務人於未到期之債務因清償而為給付者。</w:t>
            </w:r>
          </w:p>
          <w:p w:rsidR="00000000" w:rsidRDefault="0072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kern w:val="0"/>
                <w:sz w:val="20"/>
                <w:szCs w:val="20"/>
              </w:rPr>
            </w:pPr>
            <w:r>
              <w:rPr>
                <w:kern w:val="0"/>
                <w:sz w:val="20"/>
                <w:szCs w:val="20"/>
              </w:rPr>
              <w:t>三　因清償債務而為給付，於給付時明知無給付之義務者。</w:t>
            </w:r>
          </w:p>
          <w:p w:rsidR="00000000" w:rsidRDefault="00724932">
            <w:pPr>
              <w:widowControl/>
              <w:kinsoku w:val="0"/>
              <w:jc w:val="both"/>
              <w:rPr>
                <w:rFonts w:hint="eastAsia"/>
                <w:sz w:val="20"/>
                <w:szCs w:val="20"/>
              </w:rPr>
            </w:pPr>
            <w:r>
              <w:rPr>
                <w:kern w:val="0"/>
                <w:sz w:val="20"/>
                <w:szCs w:val="20"/>
              </w:rPr>
              <w:t>四　因不法之原因而為給付者。但不法之原因僅於受領人一方存在時，不在此限。</w:t>
            </w:r>
          </w:p>
        </w:tc>
        <w:tc>
          <w:tcPr>
            <w:tcW w:w="0" w:type="auto"/>
          </w:tcPr>
          <w:p w:rsidR="00000000" w:rsidRDefault="00724932">
            <w:pPr>
              <w:widowControl/>
              <w:kinsoku w:val="0"/>
              <w:jc w:val="both"/>
              <w:rPr>
                <w:rFonts w:hint="eastAsia"/>
                <w:b/>
                <w:sz w:val="20"/>
                <w:szCs w:val="20"/>
              </w:rPr>
            </w:pPr>
            <w:r>
              <w:rPr>
                <w:rFonts w:hint="eastAsia"/>
                <w:b/>
                <w:sz w:val="20"/>
                <w:szCs w:val="20"/>
              </w:rPr>
              <w:t>第八百十三條</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對請求權之主張雖有永久排除其行使之抗辯權，卻以清償債務為目的而為給付者，仍得請求返還。第二百十四條第二項之規定，不受影響。</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於未到期之債務，因清償而為給付者，不得請求返還；中間利息返還之請求，亦不得為之。</w:t>
            </w:r>
          </w:p>
          <w:p w:rsidR="00000000" w:rsidRDefault="00724932">
            <w:pPr>
              <w:pStyle w:val="proportionalschrift"/>
              <w:kinsoku w:val="0"/>
              <w:spacing w:before="0" w:beforeAutospacing="0" w:after="0" w:afterAutospacing="0"/>
              <w:ind w:firstLineChars="200" w:firstLine="400"/>
              <w:jc w:val="both"/>
              <w:rPr>
                <w:rFonts w:hint="eastAsia"/>
                <w:sz w:val="20"/>
                <w:szCs w:val="20"/>
              </w:rPr>
            </w:pPr>
          </w:p>
          <w:p w:rsidR="00000000" w:rsidRDefault="00724932">
            <w:pPr>
              <w:widowControl/>
              <w:kinsoku w:val="0"/>
              <w:jc w:val="both"/>
              <w:rPr>
                <w:rFonts w:hint="eastAsia"/>
                <w:b/>
                <w:sz w:val="20"/>
                <w:szCs w:val="20"/>
              </w:rPr>
            </w:pPr>
            <w:r>
              <w:rPr>
                <w:rFonts w:hint="eastAsia"/>
                <w:b/>
                <w:sz w:val="20"/>
                <w:szCs w:val="20"/>
              </w:rPr>
              <w:t>第八百十四條</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因清償債務而為給付，於給付人明知無給付之義務，或其給付</w:t>
            </w:r>
            <w:r>
              <w:rPr>
                <w:rFonts w:hint="eastAsia"/>
                <w:sz w:val="20"/>
                <w:szCs w:val="20"/>
              </w:rPr>
              <w:t>係履行道德上之義務或禮儀上之考慮者，不得請求返還。</w:t>
            </w:r>
          </w:p>
          <w:p w:rsidR="00000000" w:rsidRDefault="00724932">
            <w:pPr>
              <w:pStyle w:val="proportionalschrift"/>
              <w:kinsoku w:val="0"/>
              <w:spacing w:before="0" w:beforeAutospacing="0" w:after="0" w:afterAutospacing="0"/>
              <w:ind w:firstLineChars="200" w:firstLine="400"/>
              <w:jc w:val="both"/>
              <w:rPr>
                <w:rFonts w:hint="eastAsia"/>
                <w:sz w:val="20"/>
                <w:szCs w:val="20"/>
              </w:rPr>
            </w:pPr>
          </w:p>
          <w:p w:rsidR="00000000" w:rsidRDefault="00724932">
            <w:pPr>
              <w:widowControl/>
              <w:kinsoku w:val="0"/>
              <w:jc w:val="both"/>
              <w:rPr>
                <w:rFonts w:hint="eastAsia"/>
                <w:b/>
                <w:sz w:val="20"/>
                <w:szCs w:val="20"/>
              </w:rPr>
            </w:pPr>
            <w:r>
              <w:rPr>
                <w:rFonts w:hint="eastAsia"/>
                <w:b/>
                <w:sz w:val="20"/>
                <w:szCs w:val="20"/>
              </w:rPr>
              <w:t>第八百十七條</w:t>
            </w:r>
          </w:p>
          <w:p w:rsidR="00000000" w:rsidRDefault="00724932">
            <w:pPr>
              <w:widowControl/>
              <w:kinsoku w:val="0"/>
              <w:ind w:firstLineChars="200" w:firstLine="400"/>
              <w:jc w:val="both"/>
              <w:rPr>
                <w:rFonts w:hint="eastAsia"/>
                <w:sz w:val="20"/>
                <w:szCs w:val="20"/>
              </w:rPr>
            </w:pPr>
            <w:r>
              <w:rPr>
                <w:rFonts w:hint="eastAsia"/>
                <w:sz w:val="20"/>
                <w:szCs w:val="20"/>
              </w:rPr>
              <w:t>給付目的之訂定，如使受領人因受領而違反法律之禁止規定或善良風俗者，受領人負返還之義務。給付人如就違反亦應負責時，除其給付係以債務之負擔為內容者外，不得請求返還；為清償該負擔之債務而已為之給付，亦不得請求返還。</w:t>
            </w:r>
          </w:p>
        </w:tc>
      </w:tr>
      <w:tr w:rsidR="00000000">
        <w:trPr>
          <w:cantSplit/>
        </w:trPr>
        <w:tc>
          <w:tcPr>
            <w:tcW w:w="468" w:type="dxa"/>
            <w:vMerge/>
            <w:tcBorders>
              <w:right w:val="single" w:sz="12" w:space="0" w:color="auto"/>
            </w:tcBorders>
          </w:tcPr>
          <w:p w:rsidR="00000000" w:rsidRDefault="00724932">
            <w:pPr>
              <w:widowControl/>
              <w:kinsoku w:val="0"/>
              <w:jc w:val="both"/>
              <w:rPr>
                <w:rFonts w:hint="eastAsia"/>
                <w:sz w:val="20"/>
                <w:szCs w:val="20"/>
              </w:rPr>
            </w:pPr>
          </w:p>
        </w:tc>
        <w:tc>
          <w:tcPr>
            <w:tcW w:w="3265" w:type="dxa"/>
            <w:tcBorders>
              <w:left w:val="single" w:sz="12" w:space="0" w:color="auto"/>
              <w:bottom w:val="single" w:sz="4" w:space="0" w:color="auto"/>
            </w:tcBorders>
          </w:tcPr>
          <w:p w:rsidR="00000000" w:rsidRDefault="00724932">
            <w:pPr>
              <w:widowControl/>
              <w:kinsoku w:val="0"/>
              <w:jc w:val="both"/>
              <w:rPr>
                <w:rFonts w:hint="eastAsia"/>
                <w:sz w:val="20"/>
                <w:szCs w:val="20"/>
              </w:rPr>
            </w:pPr>
            <w:r>
              <w:rPr>
                <w:rFonts w:hint="eastAsia"/>
                <w:sz w:val="20"/>
                <w:szCs w:val="20"/>
              </w:rPr>
              <w:t>（無相當之規定）</w:t>
            </w:r>
          </w:p>
        </w:tc>
        <w:tc>
          <w:tcPr>
            <w:tcW w:w="0" w:type="auto"/>
            <w:tcBorders>
              <w:bottom w:val="single" w:sz="4" w:space="0" w:color="auto"/>
            </w:tcBorders>
          </w:tcPr>
          <w:p w:rsidR="00000000" w:rsidRDefault="00724932">
            <w:pPr>
              <w:widowControl/>
              <w:kinsoku w:val="0"/>
              <w:jc w:val="both"/>
              <w:rPr>
                <w:rFonts w:hint="eastAsia"/>
                <w:b/>
                <w:sz w:val="20"/>
                <w:szCs w:val="20"/>
              </w:rPr>
            </w:pPr>
            <w:r>
              <w:rPr>
                <w:rFonts w:hint="eastAsia"/>
                <w:b/>
                <w:sz w:val="20"/>
                <w:szCs w:val="20"/>
              </w:rPr>
              <w:t>第八百十五條</w:t>
            </w:r>
          </w:p>
          <w:p w:rsidR="00000000" w:rsidRDefault="00724932">
            <w:pPr>
              <w:widowControl/>
              <w:kinsoku w:val="0"/>
              <w:ind w:firstLineChars="200" w:firstLine="400"/>
              <w:jc w:val="both"/>
              <w:rPr>
                <w:rFonts w:hint="eastAsia"/>
                <w:sz w:val="20"/>
                <w:szCs w:val="20"/>
              </w:rPr>
            </w:pPr>
            <w:r>
              <w:rPr>
                <w:rFonts w:hint="eastAsia"/>
                <w:sz w:val="20"/>
                <w:szCs w:val="20"/>
              </w:rPr>
              <w:t>給付所欲達成之結果不發生，如該結果之發生自始不能，且其不能為給付人所明知，或給付人以違反誠實信用原則之方法，妨礙結果發生者，不得請求返還。</w:t>
            </w:r>
          </w:p>
        </w:tc>
      </w:tr>
      <w:tr w:rsidR="00000000">
        <w:trPr>
          <w:cantSplit/>
        </w:trPr>
        <w:tc>
          <w:tcPr>
            <w:tcW w:w="468" w:type="dxa"/>
            <w:vMerge/>
            <w:tcBorders>
              <w:right w:val="single" w:sz="12" w:space="0" w:color="auto"/>
            </w:tcBorders>
          </w:tcPr>
          <w:p w:rsidR="00000000" w:rsidRDefault="00724932">
            <w:pPr>
              <w:widowControl/>
              <w:kinsoku w:val="0"/>
              <w:jc w:val="both"/>
              <w:rPr>
                <w:rFonts w:hint="eastAsia"/>
                <w:sz w:val="20"/>
                <w:szCs w:val="20"/>
              </w:rPr>
            </w:pPr>
          </w:p>
        </w:tc>
        <w:tc>
          <w:tcPr>
            <w:tcW w:w="3265" w:type="dxa"/>
            <w:tcBorders>
              <w:left w:val="single" w:sz="12" w:space="0" w:color="auto"/>
              <w:bottom w:val="single" w:sz="4" w:space="0" w:color="auto"/>
            </w:tcBorders>
          </w:tcPr>
          <w:p w:rsidR="00000000" w:rsidRDefault="00724932">
            <w:pPr>
              <w:widowControl/>
              <w:kinsoku w:val="0"/>
              <w:jc w:val="both"/>
              <w:rPr>
                <w:rFonts w:hint="eastAsia"/>
                <w:sz w:val="20"/>
                <w:szCs w:val="20"/>
              </w:rPr>
            </w:pPr>
            <w:r>
              <w:rPr>
                <w:rFonts w:hint="eastAsia"/>
                <w:sz w:val="20"/>
                <w:szCs w:val="20"/>
              </w:rPr>
              <w:t>（無相當之規定）</w:t>
            </w:r>
          </w:p>
        </w:tc>
        <w:tc>
          <w:tcPr>
            <w:tcW w:w="0" w:type="auto"/>
            <w:tcBorders>
              <w:bottom w:val="single" w:sz="4" w:space="0" w:color="auto"/>
            </w:tcBorders>
          </w:tcPr>
          <w:p w:rsidR="00000000" w:rsidRDefault="00724932">
            <w:pPr>
              <w:widowControl/>
              <w:kinsoku w:val="0"/>
              <w:jc w:val="both"/>
              <w:rPr>
                <w:rFonts w:hint="eastAsia"/>
                <w:b/>
                <w:sz w:val="20"/>
                <w:szCs w:val="20"/>
              </w:rPr>
            </w:pPr>
            <w:r>
              <w:rPr>
                <w:rFonts w:hint="eastAsia"/>
                <w:b/>
                <w:sz w:val="20"/>
                <w:szCs w:val="20"/>
              </w:rPr>
              <w:t>第八百十六條</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無權利人就標的物為</w:t>
            </w:r>
            <w:r>
              <w:rPr>
                <w:rFonts w:ascii="Times New Roman" w:hAnsi="Times New Roman" w:hint="eastAsia"/>
                <w:sz w:val="20"/>
                <w:szCs w:val="20"/>
              </w:rPr>
              <w:t>處分</w:t>
            </w:r>
            <w:r>
              <w:rPr>
                <w:rFonts w:hint="eastAsia"/>
                <w:sz w:val="20"/>
                <w:szCs w:val="20"/>
              </w:rPr>
              <w:t>，而該處分對權利人有效者，無權利人應返還權利人其因處分所得之利益。處分為無償者，基於該處分而直接取得法律上利益之人，負擔同一義務。</w:t>
            </w:r>
          </w:p>
          <w:p w:rsidR="00000000" w:rsidRDefault="00724932">
            <w:pPr>
              <w:widowControl/>
              <w:kinsoku w:val="0"/>
              <w:ind w:firstLineChars="200" w:firstLine="400"/>
              <w:jc w:val="both"/>
              <w:rPr>
                <w:rFonts w:hint="eastAsia"/>
                <w:b/>
                <w:sz w:val="20"/>
                <w:szCs w:val="20"/>
              </w:rPr>
            </w:pPr>
            <w:r>
              <w:rPr>
                <w:rFonts w:hint="eastAsia"/>
                <w:sz w:val="20"/>
                <w:szCs w:val="20"/>
              </w:rPr>
              <w:t>向無權利人為給付，而該給付對權利人有效者，無權利人應返還權利人其所受領之給付。</w:t>
            </w:r>
          </w:p>
        </w:tc>
      </w:tr>
      <w:tr w:rsidR="00000000">
        <w:trPr>
          <w:cantSplit/>
        </w:trPr>
        <w:tc>
          <w:tcPr>
            <w:tcW w:w="468" w:type="dxa"/>
            <w:vMerge/>
            <w:tcBorders>
              <w:bottom w:val="single" w:sz="12" w:space="0" w:color="auto"/>
              <w:right w:val="single" w:sz="12" w:space="0" w:color="auto"/>
            </w:tcBorders>
          </w:tcPr>
          <w:p w:rsidR="00000000" w:rsidRDefault="00724932">
            <w:pPr>
              <w:widowControl/>
              <w:kinsoku w:val="0"/>
              <w:jc w:val="both"/>
              <w:rPr>
                <w:rFonts w:hint="eastAsia"/>
                <w:sz w:val="20"/>
                <w:szCs w:val="20"/>
              </w:rPr>
            </w:pPr>
          </w:p>
        </w:tc>
        <w:tc>
          <w:tcPr>
            <w:tcW w:w="3265" w:type="dxa"/>
            <w:tcBorders>
              <w:top w:val="single" w:sz="4" w:space="0" w:color="auto"/>
              <w:left w:val="single" w:sz="12" w:space="0" w:color="auto"/>
              <w:bottom w:val="single" w:sz="12" w:space="0" w:color="auto"/>
            </w:tcBorders>
          </w:tcPr>
          <w:p w:rsidR="00000000" w:rsidRDefault="00724932">
            <w:pPr>
              <w:widowControl/>
              <w:kinsoku w:val="0"/>
              <w:jc w:val="both"/>
              <w:rPr>
                <w:rFonts w:hint="eastAsia"/>
                <w:sz w:val="20"/>
                <w:szCs w:val="20"/>
              </w:rPr>
            </w:pPr>
            <w:r>
              <w:rPr>
                <w:rFonts w:hint="eastAsia"/>
                <w:sz w:val="20"/>
                <w:szCs w:val="20"/>
              </w:rPr>
              <w:t>（無相當之規定）</w:t>
            </w:r>
          </w:p>
        </w:tc>
        <w:tc>
          <w:tcPr>
            <w:tcW w:w="0" w:type="auto"/>
            <w:tcBorders>
              <w:top w:val="single" w:sz="4" w:space="0" w:color="auto"/>
              <w:bottom w:val="single" w:sz="12" w:space="0" w:color="auto"/>
            </w:tcBorders>
          </w:tcPr>
          <w:p w:rsidR="00000000" w:rsidRDefault="00724932">
            <w:pPr>
              <w:widowControl/>
              <w:kinsoku w:val="0"/>
              <w:jc w:val="both"/>
              <w:rPr>
                <w:rFonts w:hint="eastAsia"/>
                <w:b/>
                <w:sz w:val="20"/>
                <w:szCs w:val="20"/>
              </w:rPr>
            </w:pPr>
            <w:r>
              <w:rPr>
                <w:rFonts w:hint="eastAsia"/>
                <w:b/>
                <w:sz w:val="20"/>
                <w:szCs w:val="20"/>
              </w:rPr>
              <w:t>第八百二十一條</w:t>
            </w:r>
          </w:p>
          <w:p w:rsidR="00000000" w:rsidRDefault="00724932">
            <w:pPr>
              <w:widowControl/>
              <w:kinsoku w:val="0"/>
              <w:ind w:firstLineChars="200" w:firstLine="400"/>
              <w:jc w:val="both"/>
              <w:rPr>
                <w:rFonts w:hint="eastAsia"/>
                <w:b/>
                <w:sz w:val="20"/>
                <w:szCs w:val="20"/>
              </w:rPr>
            </w:pPr>
            <w:r>
              <w:rPr>
                <w:rFonts w:hint="eastAsia"/>
                <w:sz w:val="20"/>
                <w:szCs w:val="20"/>
              </w:rPr>
              <w:t>無法律上之原因而負擔債務者，縱令免除債務之請求權已罹於時效，仍得拒絕履行。</w:t>
            </w:r>
          </w:p>
        </w:tc>
      </w:tr>
      <w:tr w:rsidR="00000000">
        <w:tc>
          <w:tcPr>
            <w:tcW w:w="468" w:type="dxa"/>
            <w:tcBorders>
              <w:top w:val="single" w:sz="12" w:space="0" w:color="auto"/>
              <w:right w:val="single" w:sz="12" w:space="0" w:color="auto"/>
            </w:tcBorders>
            <w:vAlign w:val="center"/>
          </w:tcPr>
          <w:p w:rsidR="00000000" w:rsidRDefault="00724932">
            <w:pPr>
              <w:widowControl/>
              <w:kinsoku w:val="0"/>
              <w:jc w:val="center"/>
              <w:rPr>
                <w:rFonts w:hint="eastAsia"/>
                <w:b/>
                <w:sz w:val="20"/>
                <w:szCs w:val="20"/>
              </w:rPr>
            </w:pPr>
            <w:r>
              <w:rPr>
                <w:rFonts w:hint="eastAsia"/>
                <w:b/>
                <w:sz w:val="20"/>
                <w:szCs w:val="20"/>
              </w:rPr>
              <w:t>返還標的</w:t>
            </w:r>
          </w:p>
        </w:tc>
        <w:tc>
          <w:tcPr>
            <w:tcW w:w="3265" w:type="dxa"/>
            <w:tcBorders>
              <w:top w:val="single" w:sz="12" w:space="0" w:color="auto"/>
              <w:left w:val="single" w:sz="12" w:space="0" w:color="auto"/>
            </w:tcBorders>
          </w:tcPr>
          <w:p w:rsidR="00000000" w:rsidRDefault="00724932">
            <w:pPr>
              <w:widowControl/>
              <w:kinsoku w:val="0"/>
              <w:jc w:val="both"/>
              <w:rPr>
                <w:b/>
                <w:kern w:val="0"/>
                <w:sz w:val="20"/>
                <w:szCs w:val="20"/>
              </w:rPr>
            </w:pPr>
            <w:r>
              <w:rPr>
                <w:b/>
                <w:sz w:val="20"/>
                <w:szCs w:val="20"/>
              </w:rPr>
              <w:t>第一百八十一</w:t>
            </w:r>
            <w:r>
              <w:rPr>
                <w:b/>
                <w:kern w:val="0"/>
                <w:sz w:val="20"/>
                <w:szCs w:val="20"/>
              </w:rPr>
              <w:t>條</w:t>
            </w:r>
          </w:p>
          <w:p w:rsidR="00000000" w:rsidRDefault="00724932">
            <w:pPr>
              <w:widowControl/>
              <w:kinsoku w:val="0"/>
              <w:ind w:firstLineChars="200" w:firstLine="400"/>
              <w:jc w:val="both"/>
              <w:rPr>
                <w:rFonts w:hint="eastAsia"/>
                <w:sz w:val="20"/>
                <w:szCs w:val="20"/>
              </w:rPr>
            </w:pPr>
            <w:r>
              <w:rPr>
                <w:kern w:val="0"/>
                <w:sz w:val="20"/>
                <w:szCs w:val="20"/>
              </w:rPr>
              <w:t>不當得利之受領人，除返還其所受之利益外，如本於該利益更有所取得者，並應返還。但依其利益之性質或其他情形不能返還者，應返還其價額。</w:t>
            </w:r>
          </w:p>
        </w:tc>
        <w:tc>
          <w:tcPr>
            <w:tcW w:w="0" w:type="auto"/>
            <w:tcBorders>
              <w:top w:val="single" w:sz="12" w:space="0" w:color="auto"/>
            </w:tcBorders>
          </w:tcPr>
          <w:p w:rsidR="00000000" w:rsidRDefault="00724932">
            <w:pPr>
              <w:widowControl/>
              <w:kinsoku w:val="0"/>
              <w:jc w:val="both"/>
              <w:rPr>
                <w:rFonts w:hint="eastAsia"/>
                <w:b/>
                <w:sz w:val="20"/>
                <w:szCs w:val="20"/>
              </w:rPr>
            </w:pPr>
            <w:r>
              <w:rPr>
                <w:rFonts w:hint="eastAsia"/>
                <w:b/>
                <w:sz w:val="20"/>
                <w:szCs w:val="20"/>
              </w:rPr>
              <w:t>第八百十八條第一項及第二項</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受領人，除返還其所生之利益外，如本於所取得之權利更有所取得，或因所取得之標的滅失、毀損或侵奪而受賠償者，並應返還。</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所得之利益依其性質不能返還，或受領人因其他事由不能返還者，受領人應償還其價額。</w:t>
            </w:r>
          </w:p>
        </w:tc>
      </w:tr>
      <w:tr w:rsidR="00000000">
        <w:tc>
          <w:tcPr>
            <w:tcW w:w="468" w:type="dxa"/>
            <w:tcBorders>
              <w:right w:val="single" w:sz="12" w:space="0" w:color="auto"/>
            </w:tcBorders>
            <w:vAlign w:val="center"/>
          </w:tcPr>
          <w:p w:rsidR="00000000" w:rsidRDefault="00724932">
            <w:pPr>
              <w:widowControl/>
              <w:kinsoku w:val="0"/>
              <w:jc w:val="center"/>
              <w:rPr>
                <w:rFonts w:hint="eastAsia"/>
                <w:b/>
                <w:sz w:val="20"/>
                <w:szCs w:val="20"/>
              </w:rPr>
            </w:pPr>
            <w:r>
              <w:rPr>
                <w:rFonts w:hint="eastAsia"/>
                <w:b/>
                <w:sz w:val="20"/>
                <w:szCs w:val="20"/>
              </w:rPr>
              <w:t>善意受領人返還範圍</w:t>
            </w:r>
          </w:p>
        </w:tc>
        <w:tc>
          <w:tcPr>
            <w:tcW w:w="3265" w:type="dxa"/>
            <w:tcBorders>
              <w:left w:val="single" w:sz="12" w:space="0" w:color="auto"/>
            </w:tcBorders>
          </w:tcPr>
          <w:p w:rsidR="00000000" w:rsidRDefault="00724932">
            <w:pPr>
              <w:widowControl/>
              <w:kinsoku w:val="0"/>
              <w:jc w:val="both"/>
              <w:rPr>
                <w:rFonts w:hint="eastAsia"/>
                <w:b/>
                <w:kern w:val="0"/>
                <w:sz w:val="20"/>
                <w:szCs w:val="20"/>
              </w:rPr>
            </w:pPr>
            <w:r>
              <w:rPr>
                <w:b/>
                <w:sz w:val="20"/>
                <w:szCs w:val="20"/>
              </w:rPr>
              <w:t>第一百八十二</w:t>
            </w:r>
            <w:r>
              <w:rPr>
                <w:b/>
                <w:kern w:val="0"/>
                <w:sz w:val="20"/>
                <w:szCs w:val="20"/>
              </w:rPr>
              <w:t>條</w:t>
            </w:r>
            <w:r>
              <w:rPr>
                <w:rFonts w:hint="eastAsia"/>
                <w:b/>
                <w:kern w:val="0"/>
                <w:sz w:val="20"/>
                <w:szCs w:val="20"/>
              </w:rPr>
              <w:t>第一項</w:t>
            </w:r>
          </w:p>
          <w:p w:rsidR="00000000" w:rsidRDefault="0072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firstLineChars="200" w:firstLine="400"/>
              <w:jc w:val="both"/>
              <w:rPr>
                <w:rFonts w:hint="eastAsia"/>
                <w:sz w:val="20"/>
                <w:szCs w:val="20"/>
              </w:rPr>
            </w:pPr>
            <w:r>
              <w:rPr>
                <w:kern w:val="0"/>
                <w:sz w:val="20"/>
                <w:szCs w:val="20"/>
              </w:rPr>
              <w:t>不當得利之受領人，不知無法律上之原因，而其所受之利益已不存在者，免負返還或返還價額之責任。</w:t>
            </w:r>
          </w:p>
        </w:tc>
        <w:tc>
          <w:tcPr>
            <w:tcW w:w="0" w:type="auto"/>
          </w:tcPr>
          <w:p w:rsidR="00000000" w:rsidRDefault="00724932">
            <w:pPr>
              <w:widowControl/>
              <w:kinsoku w:val="0"/>
              <w:jc w:val="both"/>
              <w:rPr>
                <w:rFonts w:hint="eastAsia"/>
                <w:b/>
                <w:sz w:val="20"/>
                <w:szCs w:val="20"/>
              </w:rPr>
            </w:pPr>
            <w:r>
              <w:rPr>
                <w:rFonts w:hint="eastAsia"/>
                <w:b/>
                <w:sz w:val="20"/>
                <w:szCs w:val="20"/>
              </w:rPr>
              <w:t>第八百十八條第三項</w:t>
            </w:r>
          </w:p>
          <w:p w:rsidR="00000000" w:rsidRDefault="00724932">
            <w:pPr>
              <w:widowControl/>
              <w:kinsoku w:val="0"/>
              <w:ind w:firstLineChars="200" w:firstLine="400"/>
              <w:jc w:val="both"/>
              <w:rPr>
                <w:rFonts w:hint="eastAsia"/>
                <w:sz w:val="20"/>
                <w:szCs w:val="20"/>
              </w:rPr>
            </w:pPr>
            <w:r>
              <w:rPr>
                <w:rFonts w:hint="eastAsia"/>
                <w:sz w:val="20"/>
                <w:szCs w:val="20"/>
              </w:rPr>
              <w:t>返還或返還價額之義務，於受領人所受利益已不存在之限度內，歸於消滅。</w:t>
            </w:r>
          </w:p>
        </w:tc>
      </w:tr>
      <w:tr w:rsidR="00000000">
        <w:trPr>
          <w:cantSplit/>
        </w:trPr>
        <w:tc>
          <w:tcPr>
            <w:tcW w:w="468" w:type="dxa"/>
            <w:vMerge w:val="restart"/>
            <w:tcBorders>
              <w:right w:val="single" w:sz="12" w:space="0" w:color="auto"/>
            </w:tcBorders>
            <w:vAlign w:val="center"/>
          </w:tcPr>
          <w:p w:rsidR="00000000" w:rsidRDefault="00724932">
            <w:pPr>
              <w:widowControl/>
              <w:kinsoku w:val="0"/>
              <w:jc w:val="center"/>
              <w:rPr>
                <w:rFonts w:hint="eastAsia"/>
                <w:b/>
                <w:sz w:val="20"/>
                <w:szCs w:val="20"/>
              </w:rPr>
            </w:pPr>
            <w:r>
              <w:rPr>
                <w:rFonts w:hint="eastAsia"/>
                <w:b/>
                <w:sz w:val="20"/>
                <w:szCs w:val="20"/>
              </w:rPr>
              <w:t>惡意受領人返還範圍</w:t>
            </w:r>
          </w:p>
        </w:tc>
        <w:tc>
          <w:tcPr>
            <w:tcW w:w="3265" w:type="dxa"/>
            <w:tcBorders>
              <w:left w:val="single" w:sz="12" w:space="0" w:color="auto"/>
            </w:tcBorders>
          </w:tcPr>
          <w:p w:rsidR="00000000" w:rsidRDefault="00724932">
            <w:pPr>
              <w:widowControl/>
              <w:kinsoku w:val="0"/>
              <w:jc w:val="both"/>
              <w:rPr>
                <w:rFonts w:hint="eastAsia"/>
                <w:b/>
                <w:kern w:val="0"/>
                <w:sz w:val="20"/>
                <w:szCs w:val="20"/>
              </w:rPr>
            </w:pPr>
            <w:r>
              <w:rPr>
                <w:b/>
                <w:sz w:val="20"/>
                <w:szCs w:val="20"/>
              </w:rPr>
              <w:t>第一百八十二</w:t>
            </w:r>
            <w:r>
              <w:rPr>
                <w:b/>
                <w:kern w:val="0"/>
                <w:sz w:val="20"/>
                <w:szCs w:val="20"/>
              </w:rPr>
              <w:t>條</w:t>
            </w:r>
            <w:r>
              <w:rPr>
                <w:rFonts w:hint="eastAsia"/>
                <w:b/>
                <w:kern w:val="0"/>
                <w:sz w:val="20"/>
                <w:szCs w:val="20"/>
              </w:rPr>
              <w:t>第二項</w:t>
            </w:r>
          </w:p>
          <w:p w:rsidR="00000000" w:rsidRDefault="00724932">
            <w:pPr>
              <w:widowControl/>
              <w:kinsoku w:val="0"/>
              <w:ind w:firstLineChars="200" w:firstLine="400"/>
              <w:jc w:val="both"/>
              <w:rPr>
                <w:b/>
                <w:sz w:val="20"/>
                <w:szCs w:val="20"/>
              </w:rPr>
            </w:pPr>
            <w:r>
              <w:rPr>
                <w:kern w:val="0"/>
                <w:sz w:val="20"/>
                <w:szCs w:val="20"/>
              </w:rPr>
              <w:t>受領人於受領時，知無法律上之原因或其後知之者，應</w:t>
            </w:r>
            <w:r>
              <w:rPr>
                <w:kern w:val="0"/>
                <w:sz w:val="20"/>
                <w:szCs w:val="20"/>
              </w:rPr>
              <w:t>將受領時所得之利益，或知無法律上之原因時所現存之利益，附加利息，一併返還；如有損害，並應賠償。</w:t>
            </w:r>
          </w:p>
        </w:tc>
        <w:tc>
          <w:tcPr>
            <w:tcW w:w="0" w:type="auto"/>
          </w:tcPr>
          <w:p w:rsidR="00000000" w:rsidRDefault="00724932">
            <w:pPr>
              <w:widowControl/>
              <w:kinsoku w:val="0"/>
              <w:jc w:val="both"/>
              <w:rPr>
                <w:rFonts w:hint="eastAsia"/>
                <w:b/>
                <w:sz w:val="20"/>
                <w:szCs w:val="20"/>
              </w:rPr>
            </w:pPr>
            <w:r>
              <w:rPr>
                <w:rFonts w:hint="eastAsia"/>
                <w:b/>
                <w:sz w:val="20"/>
                <w:szCs w:val="20"/>
              </w:rPr>
              <w:t>第八百十八條第四項</w:t>
            </w:r>
          </w:p>
          <w:p w:rsidR="00000000" w:rsidRDefault="00724932">
            <w:pPr>
              <w:widowControl/>
              <w:kinsoku w:val="0"/>
              <w:jc w:val="both"/>
              <w:rPr>
                <w:rFonts w:hint="eastAsia"/>
                <w:sz w:val="20"/>
                <w:szCs w:val="20"/>
              </w:rPr>
            </w:pPr>
            <w:r>
              <w:rPr>
                <w:rFonts w:hint="eastAsia"/>
                <w:sz w:val="20"/>
                <w:szCs w:val="20"/>
              </w:rPr>
              <w:t>受領人，自訴訟繫屬發生時起，依一般規定負擔責任。</w:t>
            </w:r>
          </w:p>
          <w:p w:rsidR="00000000" w:rsidRDefault="00724932">
            <w:pPr>
              <w:widowControl/>
              <w:kinsoku w:val="0"/>
              <w:jc w:val="both"/>
              <w:rPr>
                <w:rFonts w:hint="eastAsia"/>
                <w:b/>
                <w:sz w:val="20"/>
                <w:szCs w:val="20"/>
              </w:rPr>
            </w:pPr>
            <w:r>
              <w:rPr>
                <w:rFonts w:hint="eastAsia"/>
                <w:b/>
                <w:sz w:val="20"/>
                <w:szCs w:val="20"/>
              </w:rPr>
              <w:t>第八百十九條</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受領人於受領時，知無法律上之原因或其後知之者，自受領時或知無法律上之原因時起，視同返還請求權於此時已發生訴訟繫屬，而負返還義務。</w:t>
            </w:r>
          </w:p>
          <w:p w:rsidR="00000000" w:rsidRDefault="00724932">
            <w:pPr>
              <w:widowControl/>
              <w:kinsoku w:val="0"/>
              <w:ind w:firstLineChars="200" w:firstLine="400"/>
              <w:jc w:val="both"/>
              <w:rPr>
                <w:rFonts w:hint="eastAsia"/>
                <w:b/>
                <w:sz w:val="20"/>
                <w:szCs w:val="20"/>
              </w:rPr>
            </w:pPr>
            <w:r>
              <w:rPr>
                <w:rFonts w:hint="eastAsia"/>
                <w:sz w:val="20"/>
                <w:szCs w:val="20"/>
              </w:rPr>
              <w:t>受領人因受領給付而違反法律之禁止規定或善良風俗者，自受領給付時起，依同一方法負擔義務。</w:t>
            </w:r>
          </w:p>
        </w:tc>
      </w:tr>
      <w:tr w:rsidR="00000000">
        <w:trPr>
          <w:cantSplit/>
        </w:trPr>
        <w:tc>
          <w:tcPr>
            <w:tcW w:w="468" w:type="dxa"/>
            <w:vMerge/>
            <w:tcBorders>
              <w:right w:val="single" w:sz="12" w:space="0" w:color="auto"/>
            </w:tcBorders>
          </w:tcPr>
          <w:p w:rsidR="00000000" w:rsidRDefault="00724932">
            <w:pPr>
              <w:widowControl/>
              <w:kinsoku w:val="0"/>
              <w:jc w:val="both"/>
              <w:rPr>
                <w:rFonts w:hint="eastAsia"/>
                <w:sz w:val="20"/>
                <w:szCs w:val="20"/>
              </w:rPr>
            </w:pPr>
          </w:p>
        </w:tc>
        <w:tc>
          <w:tcPr>
            <w:tcW w:w="3265" w:type="dxa"/>
            <w:tcBorders>
              <w:left w:val="single" w:sz="12" w:space="0" w:color="auto"/>
            </w:tcBorders>
          </w:tcPr>
          <w:p w:rsidR="00000000" w:rsidRDefault="00724932">
            <w:pPr>
              <w:widowControl/>
              <w:kinsoku w:val="0"/>
              <w:jc w:val="both"/>
              <w:rPr>
                <w:sz w:val="20"/>
                <w:szCs w:val="20"/>
              </w:rPr>
            </w:pPr>
            <w:r>
              <w:rPr>
                <w:rFonts w:hint="eastAsia"/>
                <w:sz w:val="20"/>
                <w:szCs w:val="20"/>
              </w:rPr>
              <w:t>（無相當之規定）</w:t>
            </w:r>
          </w:p>
        </w:tc>
        <w:tc>
          <w:tcPr>
            <w:tcW w:w="0" w:type="auto"/>
          </w:tcPr>
          <w:p w:rsidR="00000000" w:rsidRDefault="00724932">
            <w:pPr>
              <w:widowControl/>
              <w:kinsoku w:val="0"/>
              <w:jc w:val="both"/>
              <w:rPr>
                <w:rFonts w:hint="eastAsia"/>
                <w:b/>
                <w:sz w:val="20"/>
                <w:szCs w:val="20"/>
              </w:rPr>
            </w:pPr>
            <w:r>
              <w:rPr>
                <w:rFonts w:hint="eastAsia"/>
                <w:b/>
                <w:sz w:val="20"/>
                <w:szCs w:val="20"/>
              </w:rPr>
              <w:t>第八百二十條</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給付以達成一定之結果為目的，而依法律行為之內容，該結果之發生不能確定者，於其結</w:t>
            </w:r>
            <w:r>
              <w:rPr>
                <w:rFonts w:hint="eastAsia"/>
                <w:sz w:val="20"/>
                <w:szCs w:val="20"/>
              </w:rPr>
              <w:t>果不</w:t>
            </w:r>
            <w:r>
              <w:rPr>
                <w:rFonts w:ascii="Times New Roman" w:hAnsi="Times New Roman" w:hint="eastAsia"/>
                <w:sz w:val="20"/>
                <w:szCs w:val="20"/>
              </w:rPr>
              <w:t>發生</w:t>
            </w:r>
            <w:r>
              <w:rPr>
                <w:rFonts w:hint="eastAsia"/>
                <w:sz w:val="20"/>
                <w:szCs w:val="20"/>
              </w:rPr>
              <w:t>時，受領人負與返還請求權於受領時已發生訴訟繫屬同一之返還義務。給付基於一定之法律上原因，而依法律行為之內容，該原因有消失之可能者，於給付後法律上之原因消失時，亦同。</w:t>
            </w:r>
          </w:p>
          <w:p w:rsidR="00000000" w:rsidRDefault="00724932">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受領人僅自知悉結果不發生或法律上原因消失時起，始負支付利息之義務；所受之利益，如於此時已不存在者，受領人不負返還之義務。</w:t>
            </w:r>
          </w:p>
        </w:tc>
      </w:tr>
      <w:tr w:rsidR="00000000">
        <w:tc>
          <w:tcPr>
            <w:tcW w:w="468" w:type="dxa"/>
            <w:tcBorders>
              <w:right w:val="single" w:sz="12" w:space="0" w:color="auto"/>
            </w:tcBorders>
            <w:vAlign w:val="center"/>
          </w:tcPr>
          <w:p w:rsidR="00000000" w:rsidRDefault="00724932">
            <w:pPr>
              <w:widowControl/>
              <w:kinsoku w:val="0"/>
              <w:jc w:val="center"/>
              <w:rPr>
                <w:rFonts w:hint="eastAsia"/>
                <w:b/>
                <w:sz w:val="20"/>
                <w:szCs w:val="20"/>
              </w:rPr>
            </w:pPr>
            <w:r>
              <w:rPr>
                <w:rFonts w:hint="eastAsia"/>
                <w:b/>
                <w:sz w:val="20"/>
                <w:szCs w:val="20"/>
              </w:rPr>
              <w:t>其他</w:t>
            </w:r>
          </w:p>
        </w:tc>
        <w:tc>
          <w:tcPr>
            <w:tcW w:w="3265" w:type="dxa"/>
            <w:tcBorders>
              <w:left w:val="single" w:sz="12" w:space="0" w:color="auto"/>
            </w:tcBorders>
          </w:tcPr>
          <w:p w:rsidR="00000000" w:rsidRDefault="00724932">
            <w:pPr>
              <w:widowControl/>
              <w:kinsoku w:val="0"/>
              <w:jc w:val="both"/>
              <w:rPr>
                <w:b/>
                <w:kern w:val="0"/>
                <w:sz w:val="20"/>
                <w:szCs w:val="20"/>
              </w:rPr>
            </w:pPr>
            <w:r>
              <w:rPr>
                <w:b/>
                <w:sz w:val="20"/>
                <w:szCs w:val="20"/>
              </w:rPr>
              <w:t>第一百八十三</w:t>
            </w:r>
            <w:r>
              <w:rPr>
                <w:b/>
                <w:kern w:val="0"/>
                <w:sz w:val="20"/>
                <w:szCs w:val="20"/>
              </w:rPr>
              <w:t>條</w:t>
            </w:r>
          </w:p>
          <w:p w:rsidR="00000000" w:rsidRDefault="00724932">
            <w:pPr>
              <w:widowControl/>
              <w:kinsoku w:val="0"/>
              <w:ind w:firstLineChars="200" w:firstLine="400"/>
              <w:jc w:val="both"/>
              <w:rPr>
                <w:sz w:val="20"/>
                <w:szCs w:val="20"/>
              </w:rPr>
            </w:pPr>
            <w:r>
              <w:rPr>
                <w:kern w:val="0"/>
                <w:sz w:val="20"/>
                <w:szCs w:val="20"/>
              </w:rPr>
              <w:t>不當得利之受領人，以其所受者，無償讓與第三人，而受領人因此免返還義務者，第三人於其所免返還義務之限度內，負返還負任。</w:t>
            </w:r>
          </w:p>
        </w:tc>
        <w:tc>
          <w:tcPr>
            <w:tcW w:w="0" w:type="auto"/>
          </w:tcPr>
          <w:p w:rsidR="00000000" w:rsidRDefault="00724932">
            <w:pPr>
              <w:pStyle w:val="proportionalschrift"/>
              <w:kinsoku w:val="0"/>
              <w:spacing w:before="0" w:beforeAutospacing="0" w:after="0" w:afterAutospacing="0"/>
              <w:jc w:val="both"/>
              <w:rPr>
                <w:rFonts w:hint="eastAsia"/>
                <w:b/>
                <w:sz w:val="20"/>
                <w:szCs w:val="20"/>
              </w:rPr>
            </w:pPr>
            <w:r>
              <w:rPr>
                <w:rFonts w:hint="eastAsia"/>
                <w:b/>
                <w:sz w:val="20"/>
                <w:szCs w:val="20"/>
              </w:rPr>
              <w:t>第八百二十二條</w:t>
            </w:r>
          </w:p>
          <w:p w:rsidR="00000000" w:rsidRDefault="00724932">
            <w:pPr>
              <w:widowControl/>
              <w:kinsoku w:val="0"/>
              <w:ind w:firstLineChars="200" w:firstLine="400"/>
              <w:jc w:val="both"/>
              <w:rPr>
                <w:rFonts w:hint="eastAsia"/>
                <w:sz w:val="20"/>
                <w:szCs w:val="20"/>
              </w:rPr>
            </w:pPr>
            <w:r>
              <w:rPr>
                <w:rFonts w:hint="eastAsia"/>
                <w:sz w:val="20"/>
                <w:szCs w:val="20"/>
              </w:rPr>
              <w:t>受領人，以其所受者，無償讓與第三人，而受領人因此免負不當得</w:t>
            </w:r>
            <w:r>
              <w:rPr>
                <w:rFonts w:hint="eastAsia"/>
                <w:sz w:val="20"/>
                <w:szCs w:val="20"/>
              </w:rPr>
              <w:t>利返還義務者，第三人負與自己無法律上之原因而由債權人受益同一之返還義務。</w:t>
            </w:r>
          </w:p>
        </w:tc>
      </w:tr>
    </w:tbl>
    <w:p w:rsidR="00000000" w:rsidRDefault="00724932">
      <w:pPr>
        <w:widowControl/>
        <w:spacing w:line="288" w:lineRule="auto"/>
        <w:ind w:firstLineChars="200" w:firstLine="480"/>
        <w:jc w:val="both"/>
      </w:pPr>
    </w:p>
    <w:p w:rsidR="00000000" w:rsidRDefault="00724932">
      <w:pPr>
        <w:widowControl/>
        <w:spacing w:afterLines="50" w:after="180" w:line="288" w:lineRule="auto"/>
        <w:ind w:left="1440" w:hangingChars="400" w:hanging="1440"/>
        <w:jc w:val="both"/>
        <w:rPr>
          <w:rFonts w:hint="eastAsia"/>
          <w:b/>
          <w:bCs/>
          <w:sz w:val="36"/>
          <w:szCs w:val="36"/>
        </w:rPr>
      </w:pPr>
      <w:r>
        <w:rPr>
          <w:sz w:val="36"/>
          <w:szCs w:val="36"/>
        </w:rPr>
        <w:br w:type="page"/>
      </w:r>
      <w:r>
        <w:rPr>
          <w:rFonts w:hAnsi="新細明體" w:hint="eastAsia"/>
          <w:b/>
          <w:bCs/>
          <w:sz w:val="36"/>
          <w:szCs w:val="36"/>
        </w:rPr>
        <w:lastRenderedPageBreak/>
        <w:t>第二節　各種不同類型之公法上返還請求權</w:t>
      </w:r>
    </w:p>
    <w:p w:rsidR="00000000" w:rsidRDefault="00724932">
      <w:pPr>
        <w:widowControl/>
        <w:spacing w:line="288" w:lineRule="auto"/>
        <w:ind w:firstLineChars="200" w:firstLine="480"/>
        <w:jc w:val="both"/>
        <w:rPr>
          <w:rFonts w:hint="eastAsia"/>
        </w:rPr>
      </w:pPr>
      <w:r>
        <w:rPr>
          <w:rFonts w:hint="eastAsia"/>
        </w:rPr>
        <w:t>德國法制上之公法上返還請求權，如前所述</w:t>
      </w:r>
      <w:r>
        <w:rPr>
          <w:rStyle w:val="a9"/>
        </w:rPr>
        <w:footnoteReference w:id="54"/>
      </w:r>
      <w:r>
        <w:rPr>
          <w:rFonts w:hint="eastAsia"/>
        </w:rPr>
        <w:t>，原有不成文之「一般公法上返還請求權」，以及若干法律，如聯邦行政程序法第四十九條之一與各邦行政程序法中相對應之規定、社會法第十編第五十條、</w:t>
      </w:r>
      <w:r>
        <w:t>第一百零二條</w:t>
      </w:r>
      <w:r>
        <w:rPr>
          <w:rFonts w:hint="eastAsia"/>
        </w:rPr>
        <w:t>至第一百十四條</w:t>
      </w:r>
      <w:r>
        <w:t>、</w:t>
      </w:r>
      <w:r>
        <w:rPr>
          <w:rFonts w:hint="eastAsia"/>
        </w:rPr>
        <w:t>租稅通則第三十七條第二項及各種公務員法上之相關規定等，已明文規定的「特殊公法上返還請求權」兩大類型。雖然在本研究所關心的公務人員公法上金錢給付之返還請求等問題上，德國各種公務員法均已有相</w:t>
      </w:r>
      <w:r>
        <w:rPr>
          <w:rFonts w:hint="eastAsia"/>
        </w:rPr>
        <w:t>關規定，並且在此範圍內，基於特別法之於普通法的關係，既排除一般公法上返還請求權，也排除涉及行政處分廢棄或因其他事由溯及失效時之不當得利返還請求問題的聯邦行政程序法第四十九條之一與各邦行政程序法中相對應之規定的適用</w:t>
      </w:r>
      <w:r>
        <w:rPr>
          <w:rStyle w:val="a9"/>
        </w:rPr>
        <w:footnoteReference w:id="55"/>
      </w:r>
      <w:r>
        <w:rPr>
          <w:rFonts w:hint="eastAsia"/>
        </w:rPr>
        <w:t>，不過鑑於我國公務人員法制中，並無與德國各種公務員法的相關規定，所以基於比較法上的考慮，本研究以下，除將一般性地討論德國各種公務員法所形成之有關公務人員公法上不當受領金錢給付問題的「特殊公法上返還請求權」外（本節貳、二），也將瀏覽式地介紹對於解釋在我國現行法制下如何處理公務人員公法上金錢給付之返還</w:t>
      </w:r>
      <w:r>
        <w:rPr>
          <w:rFonts w:hint="eastAsia"/>
        </w:rPr>
        <w:t>請求等問題具有比較法上特殊意義的德國「一般公法上返還請求權」（本節壹），以及聯邦行政程序法第四十九條之一與各邦行政程序法中相對應之規定所形成的「特殊公法上返還請求權」（本節貳、一）等另外兩種公法上返還請求權類型。不過在論述的過程中，所有問題的焦點，也將僅限於與「公務人員公法上金錢給付之返還請求」議題有關聯性的範圍。</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bCs/>
          <w:sz w:val="32"/>
          <w:szCs w:val="40"/>
        </w:rPr>
      </w:pPr>
      <w:r>
        <w:rPr>
          <w:b/>
          <w:bCs/>
          <w:sz w:val="32"/>
          <w:szCs w:val="40"/>
        </w:rPr>
        <w:br w:type="page"/>
      </w:r>
      <w:r>
        <w:rPr>
          <w:rFonts w:hint="eastAsia"/>
          <w:b/>
          <w:bCs/>
          <w:sz w:val="32"/>
          <w:szCs w:val="40"/>
        </w:rPr>
        <w:lastRenderedPageBreak/>
        <w:t>壹　一般公法上返還請求權</w:t>
      </w:r>
    </w:p>
    <w:p w:rsidR="00000000" w:rsidRDefault="00724932">
      <w:pPr>
        <w:widowControl/>
        <w:spacing w:afterLines="50" w:after="180" w:line="288" w:lineRule="auto"/>
        <w:ind w:firstLineChars="200" w:firstLine="561"/>
        <w:jc w:val="both"/>
        <w:rPr>
          <w:rFonts w:hint="eastAsia"/>
          <w:b/>
          <w:sz w:val="28"/>
          <w:szCs w:val="28"/>
        </w:rPr>
      </w:pPr>
      <w:r>
        <w:rPr>
          <w:rFonts w:hint="eastAsia"/>
          <w:b/>
          <w:sz w:val="28"/>
          <w:szCs w:val="28"/>
        </w:rPr>
        <w:t>一　請求權之成立與內容</w:t>
      </w:r>
    </w:p>
    <w:p w:rsidR="00000000" w:rsidRDefault="00724932">
      <w:pPr>
        <w:widowControl/>
        <w:spacing w:afterLines="50" w:after="180" w:line="288" w:lineRule="auto"/>
        <w:ind w:firstLineChars="200" w:firstLine="480"/>
        <w:jc w:val="both"/>
        <w:rPr>
          <w:rFonts w:hint="eastAsia"/>
        </w:rPr>
      </w:pPr>
      <w:r>
        <w:rPr>
          <w:rFonts w:hint="eastAsia"/>
        </w:rPr>
        <w:t>一般公法上返還請求權作為德國行政法上的不成文制度，雖然長久以來已被學說與實務</w:t>
      </w:r>
      <w:r>
        <w:rPr>
          <w:rStyle w:val="a9"/>
        </w:rPr>
        <w:footnoteReference w:id="56"/>
      </w:r>
      <w:r>
        <w:rPr>
          <w:rFonts w:hint="eastAsia"/>
        </w:rPr>
        <w:t>公認為一種直接植基於憲法上依法行政原則</w:t>
      </w:r>
      <w:r>
        <w:rPr>
          <w:rStyle w:val="a9"/>
        </w:rPr>
        <w:footnoteReference w:id="57"/>
      </w:r>
      <w:r>
        <w:rPr>
          <w:rFonts w:hint="eastAsia"/>
        </w:rPr>
        <w:t>、並且具有習慣法上地</w:t>
      </w:r>
      <w:r>
        <w:rPr>
          <w:rFonts w:hint="eastAsia"/>
        </w:rPr>
        <w:t>位</w:t>
      </w:r>
      <w:r>
        <w:rPr>
          <w:rStyle w:val="a9"/>
        </w:rPr>
        <w:footnoteReference w:id="58"/>
      </w:r>
      <w:r>
        <w:rPr>
          <w:rFonts w:hint="eastAsia"/>
        </w:rPr>
        <w:t>的獨立制度，不過有關此一請求權制度的構成要件與法律效果等內涵性問題如何確定，德國民法第八百十二條以下有關不當得利之規定，則如前所述</w:t>
      </w:r>
      <w:r>
        <w:rPr>
          <w:rStyle w:val="a9"/>
        </w:rPr>
        <w:footnoteReference w:id="59"/>
      </w:r>
      <w:r>
        <w:rPr>
          <w:rFonts w:hint="eastAsia"/>
        </w:rPr>
        <w:t>，自始至終依舊扮演著重要的指導性角色。首先在構成要件方面，這種返還請求權之成立，依通說</w:t>
      </w:r>
      <w:r>
        <w:rPr>
          <w:rStyle w:val="a9"/>
        </w:rPr>
        <w:footnoteReference w:id="60"/>
      </w:r>
      <w:r>
        <w:rPr>
          <w:rFonts w:hint="eastAsia"/>
        </w:rPr>
        <w:t>所見，至少包含：</w:t>
      </w:r>
    </w:p>
    <w:p w:rsidR="00000000" w:rsidRDefault="00724932">
      <w:pPr>
        <w:widowControl/>
        <w:numPr>
          <w:ilvl w:val="0"/>
          <w:numId w:val="11"/>
        </w:numPr>
        <w:spacing w:line="288" w:lineRule="auto"/>
        <w:ind w:left="482" w:hanging="482"/>
        <w:jc w:val="both"/>
        <w:rPr>
          <w:rFonts w:hint="eastAsia"/>
        </w:rPr>
      </w:pPr>
      <w:r>
        <w:rPr>
          <w:rFonts w:hint="eastAsia"/>
        </w:rPr>
        <w:t>「財產變動（</w:t>
      </w:r>
      <w:r>
        <w:rPr>
          <w:rFonts w:hint="eastAsia"/>
        </w:rPr>
        <w:t>Verm</w:t>
      </w:r>
      <w:r>
        <w:t>ö</w:t>
      </w:r>
      <w:r>
        <w:rPr>
          <w:rFonts w:hint="eastAsia"/>
        </w:rPr>
        <w:t>gensverschiebung</w:t>
      </w:r>
      <w:r>
        <w:rPr>
          <w:rFonts w:hint="eastAsia"/>
        </w:rPr>
        <w:t>）」，即「受利益（</w:t>
      </w:r>
      <w:r>
        <w:rPr>
          <w:rFonts w:hint="eastAsia"/>
        </w:rPr>
        <w:t>Bereicherung</w:t>
      </w:r>
      <w:r>
        <w:rPr>
          <w:rFonts w:hint="eastAsia"/>
        </w:rPr>
        <w:t>），致他人受損害（</w:t>
      </w:r>
      <w:r>
        <w:rPr>
          <w:rFonts w:hint="eastAsia"/>
        </w:rPr>
        <w:t>Entreicherung</w:t>
      </w:r>
      <w:r>
        <w:rPr>
          <w:rFonts w:hint="eastAsia"/>
        </w:rPr>
        <w:t>）」；</w:t>
      </w:r>
    </w:p>
    <w:p w:rsidR="00000000" w:rsidRDefault="00724932">
      <w:pPr>
        <w:widowControl/>
        <w:numPr>
          <w:ilvl w:val="0"/>
          <w:numId w:val="11"/>
        </w:numPr>
        <w:spacing w:line="288" w:lineRule="auto"/>
        <w:ind w:left="482" w:hanging="482"/>
        <w:jc w:val="both"/>
        <w:rPr>
          <w:rFonts w:hint="eastAsia"/>
        </w:rPr>
      </w:pPr>
      <w:r>
        <w:rPr>
          <w:rFonts w:hint="eastAsia"/>
        </w:rPr>
        <w:t>「在公法關係中（</w:t>
      </w:r>
      <w:r>
        <w:rPr>
          <w:rFonts w:hint="eastAsia"/>
        </w:rPr>
        <w:t xml:space="preserve">im Rahmen der </w:t>
      </w:r>
      <w:r>
        <w:t>ö</w:t>
      </w:r>
      <w:r>
        <w:rPr>
          <w:rFonts w:hint="eastAsia"/>
        </w:rPr>
        <w:t>ffentlichrechtlichen Rechtsbeziehungen</w:t>
      </w:r>
      <w:r>
        <w:rPr>
          <w:rFonts w:hint="eastAsia"/>
        </w:rPr>
        <w:t>）」；</w:t>
      </w:r>
    </w:p>
    <w:p w:rsidR="00000000" w:rsidRDefault="00724932">
      <w:pPr>
        <w:widowControl/>
        <w:numPr>
          <w:ilvl w:val="0"/>
          <w:numId w:val="11"/>
        </w:numPr>
        <w:spacing w:afterLines="50" w:after="180" w:line="288" w:lineRule="auto"/>
        <w:ind w:left="482" w:hanging="482"/>
        <w:jc w:val="both"/>
        <w:rPr>
          <w:rFonts w:hint="eastAsia"/>
        </w:rPr>
      </w:pPr>
      <w:r>
        <w:rPr>
          <w:rFonts w:hint="eastAsia"/>
        </w:rPr>
        <w:t>「無法律上之原因（</w:t>
      </w:r>
      <w:r>
        <w:rPr>
          <w:rFonts w:hint="eastAsia"/>
        </w:rPr>
        <w:t>ohne Rechtsgrund</w:t>
      </w:r>
      <w:r>
        <w:rPr>
          <w:rFonts w:hint="eastAsia"/>
        </w:rPr>
        <w:t>）」，含「雖有法律上之原因，而其後已不存在」</w:t>
      </w:r>
    </w:p>
    <w:p w:rsidR="00000000" w:rsidRDefault="00724932">
      <w:pPr>
        <w:widowControl/>
        <w:spacing w:afterLines="50" w:after="180" w:line="288" w:lineRule="auto"/>
        <w:jc w:val="both"/>
        <w:rPr>
          <w:rFonts w:hint="eastAsia"/>
        </w:rPr>
      </w:pPr>
      <w:r>
        <w:rPr>
          <w:rFonts w:hint="eastAsia"/>
        </w:rPr>
        <w:t>等三個要素。在此，很明顯地，一般公法上返還請求權，實與德國民法第八百十二條（相當於我國民法第一百七十九條）規定相互呼應。</w:t>
      </w:r>
    </w:p>
    <w:p w:rsidR="00000000" w:rsidRDefault="00724932">
      <w:pPr>
        <w:widowControl/>
        <w:spacing w:afterLines="50" w:after="180" w:line="288" w:lineRule="auto"/>
        <w:ind w:firstLineChars="200" w:firstLine="480"/>
        <w:jc w:val="both"/>
        <w:rPr>
          <w:rFonts w:hint="eastAsia"/>
        </w:rPr>
      </w:pPr>
      <w:r>
        <w:rPr>
          <w:rFonts w:hint="eastAsia"/>
        </w:rPr>
        <w:t>此外，成立一般公法上返還請求權的前開三個構成要件要素，其定義如何，以及若干特殊事例又應如何判斷等問題，在個案中，雖也迭生爭議</w:t>
      </w:r>
      <w:r>
        <w:rPr>
          <w:rStyle w:val="a9"/>
        </w:rPr>
        <w:footnoteReference w:id="61"/>
      </w:r>
      <w:r>
        <w:rPr>
          <w:rFonts w:hint="eastAsia"/>
        </w:rPr>
        <w:t>，惟鑑於本</w:t>
      </w:r>
      <w:r>
        <w:rPr>
          <w:rFonts w:hint="eastAsia"/>
        </w:rPr>
        <w:lastRenderedPageBreak/>
        <w:t>研究主題「公務人員公法上金錢給付之返還請求」的要旨，相關的爭議問題，在此不復處理。</w:t>
      </w:r>
    </w:p>
    <w:p w:rsidR="00000000" w:rsidRDefault="00724932">
      <w:pPr>
        <w:widowControl/>
        <w:spacing w:afterLines="50" w:after="180" w:line="288" w:lineRule="auto"/>
        <w:ind w:firstLineChars="200" w:firstLine="480"/>
        <w:jc w:val="both"/>
        <w:rPr>
          <w:rFonts w:hint="eastAsia"/>
        </w:rPr>
      </w:pPr>
      <w:r>
        <w:rPr>
          <w:rFonts w:hint="eastAsia"/>
        </w:rPr>
        <w:t>其次在涉及一般公法上返還請求權成立後的法律效果，也就是請求權內容的</w:t>
      </w:r>
      <w:r>
        <w:rPr>
          <w:rFonts w:hint="eastAsia"/>
        </w:rPr>
        <w:t>問題，依通說</w:t>
      </w:r>
      <w:r>
        <w:rPr>
          <w:rStyle w:val="a9"/>
        </w:rPr>
        <w:footnoteReference w:id="62"/>
      </w:r>
      <w:r>
        <w:rPr>
          <w:rFonts w:hint="eastAsia"/>
        </w:rPr>
        <w:t>所見，則可分為請求「標的（</w:t>
      </w:r>
      <w:r>
        <w:rPr>
          <w:rFonts w:hint="eastAsia"/>
        </w:rPr>
        <w:t>Gegenstand</w:t>
      </w:r>
      <w:r>
        <w:rPr>
          <w:rFonts w:hint="eastAsia"/>
        </w:rPr>
        <w:t>）」與請求「範圍（</w:t>
      </w:r>
      <w:r>
        <w:rPr>
          <w:rFonts w:hint="eastAsia"/>
        </w:rPr>
        <w:t>Umfang</w:t>
      </w:r>
      <w:r>
        <w:rPr>
          <w:rFonts w:hint="eastAsia"/>
        </w:rPr>
        <w:t>）」等兩方面來處理</w:t>
      </w:r>
      <w:r>
        <w:rPr>
          <w:rStyle w:val="a9"/>
        </w:rPr>
        <w:footnoteReference w:id="63"/>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首先在請求標的方面，通說</w:t>
      </w:r>
      <w:r>
        <w:t>並</w:t>
      </w:r>
      <w:r>
        <w:rPr>
          <w:rFonts w:hint="eastAsia"/>
        </w:rPr>
        <w:t>認為，德國民法第八百十八條第一項及第二項（相當於我國民法第一百八十一條）規定，可資參照</w:t>
      </w:r>
      <w:r>
        <w:rPr>
          <w:rStyle w:val="a9"/>
        </w:rPr>
        <w:footnoteReference w:id="64"/>
      </w:r>
      <w:r>
        <w:rPr>
          <w:rFonts w:hint="eastAsia"/>
        </w:rPr>
        <w:t>，從而</w:t>
      </w:r>
    </w:p>
    <w:p w:rsidR="00000000" w:rsidRDefault="00724932">
      <w:pPr>
        <w:widowControl/>
        <w:numPr>
          <w:ilvl w:val="0"/>
          <w:numId w:val="11"/>
        </w:numPr>
        <w:spacing w:line="288" w:lineRule="auto"/>
        <w:ind w:left="482" w:hanging="482"/>
        <w:jc w:val="both"/>
        <w:rPr>
          <w:rFonts w:hint="eastAsia"/>
        </w:rPr>
      </w:pPr>
      <w:r>
        <w:rPr>
          <w:rFonts w:hint="eastAsia"/>
        </w:rPr>
        <w:t>「事實取得（</w:t>
      </w:r>
      <w:r>
        <w:rPr>
          <w:rFonts w:hint="eastAsia"/>
        </w:rPr>
        <w:t>tats</w:t>
      </w:r>
      <w:r>
        <w:t>ä</w:t>
      </w:r>
      <w:r>
        <w:rPr>
          <w:rFonts w:hint="eastAsia"/>
        </w:rPr>
        <w:t>chlich Erlangtes</w:t>
      </w:r>
      <w:r>
        <w:rPr>
          <w:rFonts w:hint="eastAsia"/>
        </w:rPr>
        <w:t>）」、</w:t>
      </w:r>
    </w:p>
    <w:p w:rsidR="00000000" w:rsidRDefault="00724932">
      <w:pPr>
        <w:widowControl/>
        <w:numPr>
          <w:ilvl w:val="0"/>
          <w:numId w:val="11"/>
        </w:numPr>
        <w:spacing w:line="288" w:lineRule="auto"/>
        <w:ind w:left="482" w:hanging="482"/>
        <w:jc w:val="both"/>
        <w:rPr>
          <w:rFonts w:hint="eastAsia"/>
        </w:rPr>
      </w:pPr>
      <w:r>
        <w:rPr>
          <w:rFonts w:hint="eastAsia"/>
        </w:rPr>
        <w:t>「事實所生之利益（</w:t>
      </w:r>
      <w:r>
        <w:rPr>
          <w:rFonts w:hint="eastAsia"/>
        </w:rPr>
        <w:t>tats</w:t>
      </w:r>
      <w:r>
        <w:t>ä</w:t>
      </w:r>
      <w:r>
        <w:rPr>
          <w:rFonts w:hint="eastAsia"/>
        </w:rPr>
        <w:t>chlich gezogene Nutzungen</w:t>
      </w:r>
      <w:r>
        <w:rPr>
          <w:rFonts w:hint="eastAsia"/>
        </w:rPr>
        <w:t>）」及</w:t>
      </w:r>
    </w:p>
    <w:p w:rsidR="00000000" w:rsidRDefault="00724932">
      <w:pPr>
        <w:widowControl/>
        <w:numPr>
          <w:ilvl w:val="0"/>
          <w:numId w:val="11"/>
        </w:numPr>
        <w:spacing w:afterLines="50" w:after="180" w:line="288" w:lineRule="auto"/>
        <w:ind w:left="482" w:hanging="482"/>
        <w:jc w:val="both"/>
        <w:rPr>
          <w:rFonts w:hint="eastAsia"/>
        </w:rPr>
      </w:pPr>
      <w:r>
        <w:rPr>
          <w:rFonts w:hint="eastAsia"/>
        </w:rPr>
        <w:t>「代償（</w:t>
      </w:r>
      <w:r>
        <w:rPr>
          <w:rFonts w:hint="eastAsia"/>
        </w:rPr>
        <w:t>Surrogate</w:t>
      </w:r>
      <w:r>
        <w:rPr>
          <w:rFonts w:hint="eastAsia"/>
        </w:rPr>
        <w:t>）」，亦即：「於所取得之權利更有所之取得，或因所取得之標的滅失、毀損或侵奪而受之賠償」等，</w:t>
      </w:r>
    </w:p>
    <w:p w:rsidR="00000000" w:rsidRDefault="00724932">
      <w:pPr>
        <w:widowControl/>
        <w:spacing w:afterLines="50" w:after="180" w:line="288" w:lineRule="auto"/>
        <w:jc w:val="both"/>
        <w:rPr>
          <w:rFonts w:hint="eastAsia"/>
        </w:rPr>
      </w:pPr>
      <w:r>
        <w:rPr>
          <w:rFonts w:hint="eastAsia"/>
        </w:rPr>
        <w:t>均為請求標</w:t>
      </w:r>
      <w:r>
        <w:rPr>
          <w:rFonts w:hint="eastAsia"/>
        </w:rPr>
        <w:t>的（德國民法第八百十八條第一項、我國民法第一百八十一條本文參照）；至於上開所得，依其性質不能返還，或受領人因其他事由不能返還者，受領人則應償還其價額（</w:t>
      </w:r>
      <w:r>
        <w:rPr>
          <w:rFonts w:hint="eastAsia"/>
        </w:rPr>
        <w:t>Wertersatz</w:t>
      </w:r>
      <w:r>
        <w:rPr>
          <w:rFonts w:hint="eastAsia"/>
        </w:rPr>
        <w:t>）（德國民法第八百十八條第二項、我國民法第一百八十一條但書參照）。不過在此應予注意的是，同樣依據德國通說</w:t>
      </w:r>
      <w:r>
        <w:rPr>
          <w:rStyle w:val="a9"/>
        </w:rPr>
        <w:footnoteReference w:id="65"/>
      </w:r>
      <w:r>
        <w:rPr>
          <w:rFonts w:hint="eastAsia"/>
        </w:rPr>
        <w:t>之見解，在公法關係中，除非因取得之標的事實上有生利息（即符合前開「事實所生之利益」的一種情形），否則金錢性質之不當得利的受領人，無論其善意受領或惡意受領（我國民法第一百八十二條第二項參照），並不另負「附加利息」之義務；至於法律別有明文規</w:t>
      </w:r>
      <w:r>
        <w:rPr>
          <w:rFonts w:hint="eastAsia"/>
        </w:rPr>
        <w:t>定，抑或民法不當得利之規定依法明文準用時，則又應依各該相關規定辦理。</w:t>
      </w:r>
    </w:p>
    <w:p w:rsidR="00000000" w:rsidRDefault="00724932">
      <w:pPr>
        <w:widowControl/>
        <w:spacing w:line="288" w:lineRule="auto"/>
        <w:ind w:firstLineChars="200" w:firstLine="480"/>
        <w:jc w:val="both"/>
        <w:rPr>
          <w:rFonts w:hint="eastAsia"/>
        </w:rPr>
      </w:pPr>
      <w:r>
        <w:rPr>
          <w:rFonts w:hint="eastAsia"/>
        </w:rPr>
        <w:t>最後在請求範圍方面，這裡如前所述</w:t>
      </w:r>
      <w:r>
        <w:rPr>
          <w:rStyle w:val="a9"/>
        </w:rPr>
        <w:footnoteReference w:id="66"/>
      </w:r>
      <w:r>
        <w:rPr>
          <w:rFonts w:hint="eastAsia"/>
        </w:rPr>
        <w:t>，原是民法不當得利規定得否類推適用的問題爭議焦點。惟依通說之見，則採否定見解；因此德國民法第八百十八條</w:t>
      </w:r>
      <w:r>
        <w:rPr>
          <w:rFonts w:hint="eastAsia"/>
        </w:rPr>
        <w:lastRenderedPageBreak/>
        <w:t>第三項、第四項及第八百十九條（相當於我國民法第一百八十二條），在此並不適用，取而代之者，則是公法上特有的「信賴保護」與「誠實信用」等原則。所以，也正是誠實信用原則的適用，若干學說及實務所主張德國民法第八百十四條及第八百十七條（我國民法第一百八十條參照）得否類推適用的問題，同樣遭到通說</w:t>
      </w:r>
      <w:r>
        <w:rPr>
          <w:rStyle w:val="a9"/>
        </w:rPr>
        <w:footnoteReference w:id="67"/>
      </w:r>
      <w:r>
        <w:rPr>
          <w:rFonts w:hint="eastAsia"/>
        </w:rPr>
        <w:t>否定；這些民法條文所</w:t>
      </w:r>
      <w:r>
        <w:rPr>
          <w:rFonts w:hint="eastAsia"/>
        </w:rPr>
        <w:t>稱之特殊情況，原則上只能在個案中依誠實信用原則考慮，必要時始予以完全排除或減輕受領人原已成立的不當得利返還責任。</w:t>
      </w: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firstLineChars="200" w:firstLine="561"/>
        <w:jc w:val="both"/>
        <w:rPr>
          <w:rFonts w:hint="eastAsia"/>
          <w:b/>
          <w:sz w:val="28"/>
          <w:szCs w:val="28"/>
        </w:rPr>
      </w:pPr>
      <w:r>
        <w:rPr>
          <w:rFonts w:hint="eastAsia"/>
          <w:b/>
          <w:sz w:val="28"/>
          <w:szCs w:val="28"/>
        </w:rPr>
        <w:t>二　請求權行使之方法</w:t>
      </w:r>
    </w:p>
    <w:p w:rsidR="00000000" w:rsidRDefault="00724932">
      <w:pPr>
        <w:widowControl/>
        <w:spacing w:afterLines="50" w:after="180" w:line="288" w:lineRule="auto"/>
        <w:ind w:firstLineChars="200" w:firstLine="480"/>
        <w:jc w:val="both"/>
        <w:rPr>
          <w:rFonts w:hint="eastAsia"/>
        </w:rPr>
      </w:pPr>
      <w:r>
        <w:rPr>
          <w:rFonts w:hint="eastAsia"/>
        </w:rPr>
        <w:t>在私法的法律關係中，不當得利返還義務人如自行依法返還所受領之不當得利，不當得利請求權當然消滅，而無問題；萬一義務人拒不返還，則請求權人在最後，原則上只有走向法院，提起訴訟，以貫徹其請求權行使的方法可以解決。不過同一的解決途徑，是否也適用在一般公法上返還請求權的情形，在德國學說與實務則頗有爭議</w:t>
      </w:r>
      <w:r>
        <w:rPr>
          <w:rStyle w:val="a9"/>
        </w:rPr>
        <w:footnoteReference w:id="68"/>
      </w:r>
      <w:r>
        <w:rPr>
          <w:rFonts w:hint="eastAsia"/>
        </w:rPr>
        <w:t>。一般而言，假使一般公法上返還請求權為人民（請求權人）對抗國家或其他行政主體（義</w:t>
      </w:r>
      <w:r>
        <w:rPr>
          <w:rFonts w:hint="eastAsia"/>
        </w:rPr>
        <w:t>務人），或行政主體間相互主張，甚至同一行政主體中不同行政機關間相互主張等的各種返還請求權類型，則請求權人最後也只有將此公法上之爭議，訴諸行政法院，提起一般給付訴訟（</w:t>
      </w:r>
      <w:r>
        <w:rPr>
          <w:rFonts w:hint="eastAsia"/>
        </w:rPr>
        <w:t>allgemeine Leistungskla</w:t>
      </w:r>
      <w:r>
        <w:softHyphen/>
      </w:r>
      <w:r>
        <w:rPr>
          <w:rFonts w:hint="eastAsia"/>
        </w:rPr>
        <w:t>ge</w:t>
      </w:r>
      <w:r>
        <w:rPr>
          <w:rFonts w:hint="eastAsia"/>
        </w:rPr>
        <w:t>；相當於我國行政訴訟法第八條之訴訟類型）一途解決，固無疑義；然而在一般公法上返還請求權之請求權人為國家或其他行政主體，而被請求權人為義務人時，是否也應向行政法院提起一般給付訴訟來貫徹其權利之主張，則是德國法學界爭議的焦點：</w:t>
      </w:r>
    </w:p>
    <w:p w:rsidR="00000000" w:rsidRDefault="00724932">
      <w:pPr>
        <w:widowControl/>
        <w:spacing w:afterLines="50" w:after="180" w:line="288" w:lineRule="auto"/>
        <w:ind w:firstLineChars="200" w:firstLine="480"/>
        <w:jc w:val="both"/>
        <w:rPr>
          <w:rFonts w:hint="eastAsia"/>
        </w:rPr>
      </w:pPr>
      <w:r>
        <w:rPr>
          <w:rFonts w:hint="eastAsia"/>
        </w:rPr>
        <w:t>在德國法院的實務</w:t>
      </w:r>
      <w:r>
        <w:rPr>
          <w:rStyle w:val="a9"/>
        </w:rPr>
        <w:footnoteReference w:id="69"/>
      </w:r>
      <w:r>
        <w:rPr>
          <w:rFonts w:hint="eastAsia"/>
        </w:rPr>
        <w:t>，尤其是聯邦行政法院（</w:t>
      </w:r>
      <w:r>
        <w:rPr>
          <w:rFonts w:hint="eastAsia"/>
        </w:rPr>
        <w:t>Bundesverwaltung</w:t>
      </w:r>
      <w:r>
        <w:rPr>
          <w:rFonts w:hint="eastAsia"/>
        </w:rPr>
        <w:t>sgericht; BVerwG</w:t>
      </w:r>
      <w:r>
        <w:rPr>
          <w:rFonts w:hint="eastAsia"/>
        </w:rPr>
        <w:t>），長久以來主張所謂的「反面理論（</w:t>
      </w:r>
      <w:r>
        <w:rPr>
          <w:rFonts w:hint="eastAsia"/>
        </w:rPr>
        <w:t>Kehrseitentheorie</w:t>
      </w:r>
      <w:r>
        <w:rPr>
          <w:rFonts w:hint="eastAsia"/>
        </w:rPr>
        <w:t>）」與「隸屬關係說（</w:t>
      </w:r>
      <w:r>
        <w:rPr>
          <w:rFonts w:hint="eastAsia"/>
        </w:rPr>
        <w:t>Lehre des Subordinationsverh</w:t>
      </w:r>
      <w:r>
        <w:t>ä</w:t>
      </w:r>
      <w:r>
        <w:rPr>
          <w:rFonts w:hint="eastAsia"/>
        </w:rPr>
        <w:t>ltnisses</w:t>
      </w:r>
      <w:r>
        <w:rPr>
          <w:rFonts w:hint="eastAsia"/>
        </w:rPr>
        <w:t>）」；據此，當行政機關之給付，原係以行政處分作為法律上之原因，而該處分嗣後溯及失效時，則因此所產生之不當得利，行政機關亦得逕以行政處分方式做成「給付裁決（</w:t>
      </w:r>
      <w:r>
        <w:rPr>
          <w:rFonts w:hint="eastAsia"/>
        </w:rPr>
        <w:t>Leistungsbescheid</w:t>
      </w:r>
      <w:r>
        <w:rPr>
          <w:rFonts w:hint="eastAsia"/>
        </w:rPr>
        <w:t>）」，命</w:t>
      </w:r>
      <w:r>
        <w:rPr>
          <w:rFonts w:hint="eastAsia"/>
        </w:rPr>
        <w:lastRenderedPageBreak/>
        <w:t>令義務人返還不當得利，必要時，則以行政執行（</w:t>
      </w:r>
      <w:r>
        <w:rPr>
          <w:rFonts w:hint="eastAsia"/>
        </w:rPr>
        <w:t>Verwaltungsvollstreckung</w:t>
      </w:r>
      <w:r>
        <w:rPr>
          <w:rFonts w:hint="eastAsia"/>
        </w:rPr>
        <w:t>）貫徹其主張（反面理論）。此外</w:t>
      </w:r>
      <w:r>
        <w:rPr>
          <w:rFonts w:hint="eastAsia"/>
        </w:rPr>
        <w:t>，在義務人為公務人員或軍人等的情形，其與國家或其他行政主體原處於一種上下隸屬之關係；所以有關行政機關的公法上返還請求權之行使，也得以逕行以行政處分，乃至行政執行的方式處理（隸屬關係說）。</w:t>
      </w:r>
    </w:p>
    <w:p w:rsidR="00000000" w:rsidRDefault="00724932">
      <w:pPr>
        <w:widowControl/>
        <w:spacing w:afterLines="50" w:after="180" w:line="288" w:lineRule="auto"/>
        <w:ind w:firstLineChars="200" w:firstLine="480"/>
        <w:jc w:val="both"/>
        <w:rPr>
          <w:rFonts w:hint="eastAsia"/>
        </w:rPr>
      </w:pPr>
      <w:r>
        <w:rPr>
          <w:rFonts w:hint="eastAsia"/>
        </w:rPr>
        <w:t>此外，雖然德國法院實務的這項例行見解，在學說中，也相當獲得支持；不過批評的聲浪，更是大有所在。蓋學者認為：前開所謂給付裁決的行政處分，具有「負擔處分（</w:t>
      </w:r>
      <w:r>
        <w:rPr>
          <w:rFonts w:hint="eastAsia"/>
        </w:rPr>
        <w:t>belastender Verwaltungsakt</w:t>
      </w:r>
      <w:r>
        <w:rPr>
          <w:rFonts w:hint="eastAsia"/>
        </w:rPr>
        <w:t>）」的性質，故除非法律已有授權之規定，否則該處分違反法律保留原則（</w:t>
      </w:r>
      <w:r>
        <w:rPr>
          <w:rFonts w:hint="eastAsia"/>
        </w:rPr>
        <w:t>Grundsatz des Gesetzesvorbeh</w:t>
      </w:r>
      <w:r>
        <w:rPr>
          <w:rFonts w:hint="eastAsia"/>
        </w:rPr>
        <w:t>alts</w:t>
      </w:r>
      <w:r>
        <w:rPr>
          <w:rFonts w:hint="eastAsia"/>
        </w:rPr>
        <w:t>），非法治國家所能允許的範圍；因此，持此反對見解者遂主張，在此法律未授權行政機關逕以行政處分行使其公法上返還請求權的情形，行政機關仍應以向行政法院提起訴訟的方式主張其請求權。</w:t>
      </w:r>
    </w:p>
    <w:p w:rsidR="00000000" w:rsidRDefault="00724932">
      <w:pPr>
        <w:widowControl/>
        <w:spacing w:line="288" w:lineRule="auto"/>
        <w:ind w:firstLineChars="200" w:firstLine="480"/>
        <w:jc w:val="both"/>
        <w:rPr>
          <w:rFonts w:hint="eastAsia"/>
        </w:rPr>
      </w:pPr>
      <w:r>
        <w:rPr>
          <w:rFonts w:hint="eastAsia"/>
        </w:rPr>
        <w:t>最後，若干學者的這項主張，後來在德國聯邦行政程序法第四十九條之一與各邦行政程序法中相對應之規定，以及社會法第十編第五十條等，已經獲得立法上的解決，不過在此等授權行政機關得以行政處分方式行使其公法上返還請求權之法律條文的適用範圍外，所謂的「反面理論」與「隸屬關係說」是否仍有適用的空間，迄今依然是問題爭執的焦點。關於這個問題的解決</w:t>
      </w:r>
      <w:r>
        <w:rPr>
          <w:rFonts w:hint="eastAsia"/>
        </w:rPr>
        <w:t>，本研究將於下文第四章中繼續處理，在此不贅。</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bCs/>
          <w:sz w:val="32"/>
          <w:szCs w:val="40"/>
        </w:rPr>
      </w:pPr>
      <w:r>
        <w:rPr>
          <w:rFonts w:hint="eastAsia"/>
          <w:b/>
          <w:bCs/>
          <w:sz w:val="32"/>
          <w:szCs w:val="40"/>
        </w:rPr>
        <w:t>貳　特殊公法上返還請求權</w:t>
      </w: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一　聯邦行政程序法第四十九條之一</w:t>
      </w:r>
    </w:p>
    <w:p w:rsidR="00000000" w:rsidRDefault="00724932">
      <w:pPr>
        <w:widowControl/>
        <w:spacing w:afterLines="50" w:after="180" w:line="288" w:lineRule="auto"/>
        <w:ind w:firstLineChars="200" w:firstLine="480"/>
        <w:jc w:val="both"/>
        <w:rPr>
          <w:rFonts w:hint="eastAsia"/>
        </w:rPr>
      </w:pPr>
      <w:r>
        <w:rPr>
          <w:rFonts w:hint="eastAsia"/>
        </w:rPr>
        <w:t>我國行政程序法第一百二十七條，一般被視為與德國聯邦行政程序法第四十九條之一相對應之規定</w:t>
      </w:r>
      <w:r>
        <w:rPr>
          <w:rStyle w:val="a9"/>
        </w:rPr>
        <w:footnoteReference w:id="70"/>
      </w:r>
      <w:r>
        <w:rPr>
          <w:rFonts w:hint="eastAsia"/>
        </w:rPr>
        <w:t>；雖然通說的這項見解，依據我國立法當時之史料</w:t>
      </w:r>
      <w:r>
        <w:rPr>
          <w:rStyle w:val="a9"/>
        </w:rPr>
        <w:footnoteReference w:id="71"/>
      </w:r>
      <w:r>
        <w:rPr>
          <w:rFonts w:hint="eastAsia"/>
        </w:rPr>
        <w:t>觀察，並無錯誤，不過其中有待補充者，則有兩點：</w:t>
      </w:r>
    </w:p>
    <w:p w:rsidR="00000000" w:rsidRDefault="00724932">
      <w:pPr>
        <w:widowControl/>
        <w:spacing w:afterLines="50" w:after="180" w:line="288" w:lineRule="auto"/>
        <w:ind w:firstLineChars="200" w:firstLine="480"/>
        <w:jc w:val="both"/>
        <w:rPr>
          <w:rFonts w:hint="eastAsia"/>
        </w:rPr>
      </w:pPr>
      <w:r>
        <w:rPr>
          <w:rFonts w:hint="eastAsia"/>
        </w:rPr>
        <w:lastRenderedPageBreak/>
        <w:t>首先，德國聯邦行政程序法，正確名稱雖僅為「行政程序法（</w:t>
      </w:r>
      <w:r>
        <w:rPr>
          <w:rFonts w:hint="eastAsia"/>
        </w:rPr>
        <w:t>Verwaltungs</w:t>
      </w:r>
      <w:r>
        <w:softHyphen/>
      </w:r>
      <w:r>
        <w:rPr>
          <w:rFonts w:hint="eastAsia"/>
        </w:rPr>
        <w:t>verfahrensgesetz; VwVfG</w:t>
      </w:r>
      <w:r>
        <w:rPr>
          <w:rFonts w:hint="eastAsia"/>
        </w:rPr>
        <w:t>）」，但是就其適用範圍而言，其實只是一部與聯邦行政有關的法律（同法第一條參照）；至於各邦行政，則</w:t>
      </w:r>
      <w:r>
        <w:rPr>
          <w:rFonts w:hint="eastAsia"/>
        </w:rPr>
        <w:t>有各邦自己的行政程序法加以規範，原則上並不適用前開所謂的「（聯邦）行政程序法」</w:t>
      </w:r>
      <w:r>
        <w:rPr>
          <w:rStyle w:val="a9"/>
        </w:rPr>
        <w:footnoteReference w:id="72"/>
      </w:r>
      <w:r>
        <w:rPr>
          <w:rFonts w:hint="eastAsia"/>
        </w:rPr>
        <w:t>。不過在此同時不容否認者，德國各邦之行政程序法，大體內容與聯邦的行政程序法雷同</w:t>
      </w:r>
      <w:r>
        <w:rPr>
          <w:rStyle w:val="a9"/>
        </w:rPr>
        <w:footnoteReference w:id="73"/>
      </w:r>
      <w:r>
        <w:rPr>
          <w:rFonts w:hint="eastAsia"/>
        </w:rPr>
        <w:t>。即以與本研究在此有關的聯邦行政程序法第四十九條之一而言，各邦行政程序法中相對應之規定，</w:t>
      </w:r>
      <w:r>
        <w:t>基本上</w:t>
      </w:r>
      <w:r>
        <w:rPr>
          <w:rFonts w:hint="eastAsia"/>
        </w:rPr>
        <w:t>並無太大的差異</w:t>
      </w:r>
      <w:r>
        <w:rPr>
          <w:rStyle w:val="a9"/>
        </w:rPr>
        <w:footnoteReference w:id="74"/>
      </w:r>
      <w:r>
        <w:rPr>
          <w:rFonts w:hint="eastAsia"/>
        </w:rPr>
        <w:t>；因此在討論上，本研究也將僅以前開聯邦行政程序法第四十九條之一，作為唯一的觀察對象。</w:t>
      </w:r>
    </w:p>
    <w:p w:rsidR="00000000" w:rsidRDefault="00724932">
      <w:pPr>
        <w:widowControl/>
        <w:spacing w:afterLines="50" w:after="180" w:line="288" w:lineRule="auto"/>
        <w:ind w:firstLineChars="200" w:firstLine="480"/>
        <w:jc w:val="both"/>
        <w:rPr>
          <w:rFonts w:hint="eastAsia"/>
        </w:rPr>
      </w:pPr>
      <w:r>
        <w:rPr>
          <w:rFonts w:hint="eastAsia"/>
        </w:rPr>
        <w:t>其次，我國行政程序法第一百二十七條，原來並不是直接抄襲自德國聯邦行政程序法第四十九條之一而來的產物；事實上，我國立法當時所參考的對象，為德國聯邦行政程序法第</w:t>
      </w:r>
      <w:r>
        <w:rPr>
          <w:rFonts w:hint="eastAsia"/>
        </w:rPr>
        <w:t>四十九條之一的前身，也就是同法第四十八條第二項第五句至第八句之舊規定，以及原聯邦預算法（</w:t>
      </w:r>
      <w:r>
        <w:rPr>
          <w:rFonts w:hint="eastAsia"/>
        </w:rPr>
        <w:t>Bundeshaushaltsordnung; BHO</w:t>
      </w:r>
      <w:r>
        <w:rPr>
          <w:rFonts w:hint="eastAsia"/>
        </w:rPr>
        <w:t>）第四十四條之一之規定</w:t>
      </w:r>
      <w:r>
        <w:rPr>
          <w:rStyle w:val="a9"/>
        </w:rPr>
        <w:footnoteReference w:id="75"/>
      </w:r>
      <w:r>
        <w:rPr>
          <w:rFonts w:hint="eastAsia"/>
        </w:rPr>
        <w:t>。後來這些舊規定，在德國</w:t>
      </w:r>
      <w:r>
        <w:rPr>
          <w:rFonts w:hint="eastAsia"/>
        </w:rPr>
        <w:t>1996</w:t>
      </w:r>
      <w:r>
        <w:rPr>
          <w:rFonts w:hint="eastAsia"/>
        </w:rPr>
        <w:t>年</w:t>
      </w:r>
      <w:r>
        <w:rPr>
          <w:rFonts w:hint="eastAsia"/>
        </w:rPr>
        <w:t>5</w:t>
      </w:r>
      <w:r>
        <w:rPr>
          <w:rFonts w:hint="eastAsia"/>
        </w:rPr>
        <w:t>月</w:t>
      </w:r>
      <w:r>
        <w:rPr>
          <w:rFonts w:hint="eastAsia"/>
        </w:rPr>
        <w:t>2</w:t>
      </w:r>
      <w:r>
        <w:rPr>
          <w:rFonts w:hint="eastAsia"/>
        </w:rPr>
        <w:t>日修正聯邦行政程序法時</w:t>
      </w:r>
      <w:r>
        <w:rPr>
          <w:rStyle w:val="a9"/>
        </w:rPr>
        <w:footnoteReference w:id="76"/>
      </w:r>
      <w:r>
        <w:rPr>
          <w:rFonts w:hint="eastAsia"/>
        </w:rPr>
        <w:t>，悉數整理並略加修正為一條條文；從此舊規定功成身退，新整理後的條文，即成為現行聯邦行政程序法第四十九條之一的規定</w:t>
      </w:r>
      <w:r>
        <w:rPr>
          <w:rStyle w:val="a9"/>
        </w:rPr>
        <w:footnoteReference w:id="77"/>
      </w:r>
      <w:r>
        <w:rPr>
          <w:rFonts w:hint="eastAsia"/>
        </w:rPr>
        <w:t>。不過也正是我國行政程序法第一百二十七條，並未隨同德國聯邦行政程序法第四十九條之一的新增而修正，所以若干德國舊法時期未決的問題，依然存在於我國法制中；許多爭議點，如本研</w:t>
      </w:r>
      <w:r>
        <w:rPr>
          <w:rFonts w:hint="eastAsia"/>
        </w:rPr>
        <w:t>究以下將陸續提及的，只能依據我國現行行政程序法第一百二十七條，從解釋論上（</w:t>
      </w:r>
      <w:r>
        <w:rPr>
          <w:rFonts w:hint="eastAsia"/>
        </w:rPr>
        <w:t>de lege lata</w:t>
      </w:r>
      <w:r>
        <w:rPr>
          <w:rFonts w:hint="eastAsia"/>
        </w:rPr>
        <w:t>）勉強解決。</w:t>
      </w:r>
    </w:p>
    <w:p w:rsidR="00000000" w:rsidRDefault="00724932">
      <w:pPr>
        <w:widowControl/>
        <w:spacing w:afterLines="50" w:after="180" w:line="288" w:lineRule="auto"/>
        <w:ind w:firstLineChars="200" w:firstLine="480"/>
        <w:jc w:val="both"/>
        <w:rPr>
          <w:rFonts w:hint="eastAsia"/>
        </w:rPr>
      </w:pPr>
      <w:r>
        <w:rPr>
          <w:rFonts w:hint="eastAsia"/>
        </w:rPr>
        <w:t>總之，做為德國法制中與行政處分有關之特殊公法上返還請求權法律基礎的德國聯邦行政程序法第四十九條之一，其規定如下</w:t>
      </w:r>
      <w:r>
        <w:rPr>
          <w:rStyle w:val="a9"/>
        </w:rPr>
        <w:footnoteReference w:id="78"/>
      </w:r>
      <w:r>
        <w:rPr>
          <w:rFonts w:hint="eastAsia"/>
        </w:rPr>
        <w:t>：</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行政處分經撤銷、廢止或解除條件成就而溯及既往失其效力者，其已受領之給付應返還之。應返還之給付，應以書面行政處分確定之。</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lastRenderedPageBreak/>
        <w:t>前項返還之範圍，除附加利息之規定外，準用民法上有關不當得利之規定。受益人知導致行政處分撤銷、廢止或失其效力之事由，或因重大過失而不知者，不得主張免負不當得利返還之責</w:t>
      </w:r>
      <w:r>
        <w:rPr>
          <w:rFonts w:ascii="標楷體" w:eastAsia="標楷體" w:hAnsi="標楷體" w:hint="eastAsia"/>
        </w:rPr>
        <w:t>任。</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應返還之價額，應自行政處分失其效力時起，附加週年利率百分之五之利息。附加利息，得因導致行政處分撤銷、廢止或失其效力之事由不可歸責於受益人，且受益人於行政機關所定之期間內給付應返還之價額，或因其他理由，不請求之。</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受領之給付，於給付完成後未立即使用於特定之目的時，得請求附加至給付合目的使用時止之依前項第一句所定之利息。給付之請求，係屬得另有其他之方法部分或優先適用，而仍為之者，亦同。第四十九條第三項第一句第一款之規定，不受影響。</w:t>
      </w:r>
    </w:p>
    <w:p w:rsidR="00000000" w:rsidRDefault="00724932">
      <w:pPr>
        <w:widowControl/>
        <w:spacing w:afterLines="50" w:after="180" w:line="288" w:lineRule="auto"/>
        <w:ind w:firstLineChars="200" w:firstLine="480"/>
        <w:jc w:val="both"/>
      </w:pPr>
      <w:r>
        <w:rPr>
          <w:rFonts w:hint="eastAsia"/>
        </w:rPr>
        <w:t>至於其規範內容的重點，若依據返還請求權之構成要件、法律效果及請求權行使之方</w:t>
      </w:r>
      <w:r>
        <w:rPr>
          <w:rFonts w:hint="eastAsia"/>
        </w:rPr>
        <w:t>法等問題的順序，又可分別整理如下：</w:t>
      </w:r>
    </w:p>
    <w:p w:rsidR="00000000" w:rsidRDefault="00724932">
      <w:pPr>
        <w:widowControl/>
        <w:spacing w:afterLines="50" w:after="180" w:line="288" w:lineRule="auto"/>
        <w:ind w:left="480" w:hangingChars="200" w:hanging="480"/>
        <w:jc w:val="both"/>
        <w:rPr>
          <w:rFonts w:hAnsi="新細明體" w:hint="eastAsia"/>
        </w:rPr>
      </w:pPr>
      <w:r>
        <w:rPr>
          <w:rFonts w:hAnsi="新細明體" w:hint="eastAsia"/>
        </w:rPr>
        <w:t>一、</w:t>
      </w:r>
      <w:r>
        <w:rPr>
          <w:rFonts w:hAnsi="新細明體"/>
        </w:rPr>
        <w:t>本條規定所成立的特殊公法上返還請求權，僅限於</w:t>
      </w:r>
      <w:r>
        <w:rPr>
          <w:rFonts w:hAnsi="新細明體" w:hint="eastAsia"/>
        </w:rPr>
        <w:t>授益</w:t>
      </w:r>
      <w:r>
        <w:rPr>
          <w:rFonts w:hAnsi="新細明體"/>
        </w:rPr>
        <w:t>行政處分</w:t>
      </w:r>
      <w:r>
        <w:rPr>
          <w:rFonts w:hAnsi="新細明體" w:hint="eastAsia"/>
        </w:rPr>
        <w:t>（</w:t>
      </w:r>
      <w:r>
        <w:rPr>
          <w:rFonts w:hAnsi="新細明體" w:hint="eastAsia"/>
        </w:rPr>
        <w:t>beg</w:t>
      </w:r>
      <w:r>
        <w:t>ü</w:t>
      </w:r>
      <w:r>
        <w:rPr>
          <w:rFonts w:hAnsi="新細明體" w:hint="eastAsia"/>
        </w:rPr>
        <w:t>n</w:t>
      </w:r>
      <w:r>
        <w:rPr>
          <w:rFonts w:hAnsi="新細明體"/>
        </w:rPr>
        <w:softHyphen/>
      </w:r>
      <w:r>
        <w:rPr>
          <w:rFonts w:hAnsi="新細明體" w:hint="eastAsia"/>
        </w:rPr>
        <w:t>stigender Verwaltungsakt</w:t>
      </w:r>
      <w:r>
        <w:rPr>
          <w:rFonts w:hAnsi="新細明體" w:hint="eastAsia"/>
        </w:rPr>
        <w:t>）</w:t>
      </w:r>
      <w:r>
        <w:rPr>
          <w:rFonts w:hAnsi="新細明體"/>
        </w:rPr>
        <w:t>經</w:t>
      </w:r>
      <w:r>
        <w:rPr>
          <w:rFonts w:hAnsi="新細明體" w:hint="eastAsia"/>
        </w:rPr>
        <w:t>「</w:t>
      </w:r>
      <w:r>
        <w:rPr>
          <w:rFonts w:hAnsi="新細明體"/>
        </w:rPr>
        <w:t>撤銷</w:t>
      </w:r>
      <w:r>
        <w:rPr>
          <w:rFonts w:hAnsi="新細明體" w:hint="eastAsia"/>
        </w:rPr>
        <w:t>」</w:t>
      </w:r>
      <w:r>
        <w:rPr>
          <w:rFonts w:hAnsi="新細明體"/>
        </w:rPr>
        <w:t>、</w:t>
      </w:r>
      <w:r>
        <w:rPr>
          <w:rFonts w:hAnsi="新細明體" w:hint="eastAsia"/>
        </w:rPr>
        <w:t>「</w:t>
      </w:r>
      <w:r>
        <w:rPr>
          <w:rFonts w:hAnsi="新細明體"/>
        </w:rPr>
        <w:t>廢止</w:t>
      </w:r>
      <w:r>
        <w:rPr>
          <w:rFonts w:hAnsi="新細明體" w:hint="eastAsia"/>
        </w:rPr>
        <w:t>」</w:t>
      </w:r>
      <w:r>
        <w:rPr>
          <w:rFonts w:hAnsi="新細明體"/>
        </w:rPr>
        <w:t>或</w:t>
      </w:r>
      <w:r>
        <w:rPr>
          <w:rFonts w:hAnsi="新細明體" w:hint="eastAsia"/>
        </w:rPr>
        <w:t>「</w:t>
      </w:r>
      <w:r>
        <w:rPr>
          <w:rFonts w:hAnsi="新細明體"/>
        </w:rPr>
        <w:t>解除條件成就</w:t>
      </w:r>
      <w:r>
        <w:rPr>
          <w:rFonts w:hAnsi="新細明體" w:hint="eastAsia"/>
        </w:rPr>
        <w:t>」</w:t>
      </w:r>
      <w:r>
        <w:rPr>
          <w:rFonts w:hAnsi="新細明體"/>
        </w:rPr>
        <w:t>而溯及既往失其效力</w:t>
      </w:r>
      <w:r>
        <w:rPr>
          <w:rFonts w:hAnsi="新細明體" w:hint="eastAsia"/>
        </w:rPr>
        <w:t>時產生的三種不當得利情形（第一項第一句）；至於非以行政處分作為原法律上之原因的不當得利，以及雖與行政處分有關，但不當得利之成立，卻非屬前開法條所列的三種情形者，原則上不適用本條之規定，而應依其他法律規定的特殊公法上返還請求權或不成文的一般公法上返還請求權處理</w:t>
      </w:r>
      <w:r>
        <w:rPr>
          <w:rStyle w:val="a9"/>
          <w:rFonts w:hAnsi="新細明體"/>
        </w:rPr>
        <w:footnoteReference w:id="79"/>
      </w:r>
      <w:r>
        <w:rPr>
          <w:rFonts w:hAnsi="新細明體" w:hint="eastAsia"/>
        </w:rPr>
        <w:t>。</w:t>
      </w:r>
    </w:p>
    <w:p w:rsidR="00000000" w:rsidRDefault="00724932">
      <w:pPr>
        <w:widowControl/>
        <w:spacing w:afterLines="50" w:after="180" w:line="288" w:lineRule="auto"/>
        <w:ind w:left="480" w:hangingChars="200" w:hanging="480"/>
        <w:jc w:val="both"/>
        <w:rPr>
          <w:rFonts w:hAnsi="新細明體" w:hint="eastAsia"/>
        </w:rPr>
      </w:pPr>
      <w:r>
        <w:rPr>
          <w:rFonts w:hAnsi="新細明體" w:hint="eastAsia"/>
        </w:rPr>
        <w:t>二、本條</w:t>
      </w:r>
      <w:r>
        <w:rPr>
          <w:rFonts w:hAnsi="新細明體"/>
        </w:rPr>
        <w:t>規定所成立的特殊公法上返</w:t>
      </w:r>
      <w:r>
        <w:rPr>
          <w:rFonts w:hAnsi="新細明體"/>
        </w:rPr>
        <w:t>還請求權，</w:t>
      </w:r>
      <w:r>
        <w:rPr>
          <w:rFonts w:hAnsi="新細明體" w:hint="eastAsia"/>
        </w:rPr>
        <w:t>其返還範圍準用德國民法第八百十八條至第八百二十條之規定（第二項第一句）；至於同法第八百二十二條（相當於我國民法第一百八十三條）是否亦在準用之列，在德國法學界則頗饒爭議</w:t>
      </w:r>
      <w:r>
        <w:rPr>
          <w:rStyle w:val="a9"/>
          <w:rFonts w:hAnsi="新細明體"/>
        </w:rPr>
        <w:footnoteReference w:id="80"/>
      </w:r>
      <w:r>
        <w:rPr>
          <w:rFonts w:hAnsi="新細明體" w:hint="eastAsia"/>
        </w:rPr>
        <w:t>。不過在此同時，另需注意的是，</w:t>
      </w:r>
      <w:r>
        <w:rPr>
          <w:rFonts w:hAnsi="新細明體"/>
        </w:rPr>
        <w:t>本條規定，雖如前述，準用民法規定，但民法第八百十九條第一項所稱之惡意受領人，不以明知為限，而是包含因重大過失而不知</w:t>
      </w:r>
      <w:r>
        <w:rPr>
          <w:rFonts w:hAnsi="新細明體" w:hint="eastAsia"/>
        </w:rPr>
        <w:t>者在內（第二項第二句）。此外，有關附加利息之規</w:t>
      </w:r>
      <w:r>
        <w:rPr>
          <w:rFonts w:hAnsi="新細明體" w:hint="eastAsia"/>
        </w:rPr>
        <w:lastRenderedPageBreak/>
        <w:t>定，亦不適用民法（第二項第一句除書）；因為本條第三項及第四項，已自行規定附加利息的問題。</w:t>
      </w:r>
    </w:p>
    <w:p w:rsidR="00000000" w:rsidRDefault="00724932">
      <w:pPr>
        <w:widowControl/>
        <w:spacing w:afterLines="50" w:after="180" w:line="288" w:lineRule="auto"/>
        <w:ind w:left="480" w:hangingChars="200" w:hanging="480"/>
        <w:jc w:val="both"/>
        <w:rPr>
          <w:rFonts w:hAnsi="新細明體" w:hint="eastAsia"/>
        </w:rPr>
      </w:pPr>
      <w:r>
        <w:rPr>
          <w:rFonts w:hAnsi="新細明體" w:hint="eastAsia"/>
        </w:rPr>
        <w:t>三、本條相對於本條前身之德國聯邦行政程序法第四十八條第</w:t>
      </w:r>
      <w:r>
        <w:rPr>
          <w:rFonts w:hAnsi="新細明體" w:hint="eastAsia"/>
        </w:rPr>
        <w:t>二項第八句的舊規定，最大的不同，在於確定「應（</w:t>
      </w:r>
      <w:r>
        <w:rPr>
          <w:rFonts w:hAnsi="新細明體" w:hint="eastAsia"/>
        </w:rPr>
        <w:t>ist...</w:t>
      </w:r>
      <w:r>
        <w:rPr>
          <w:rFonts w:hint="eastAsia"/>
        </w:rPr>
        <w:t xml:space="preserve"> </w:t>
      </w:r>
      <w:r>
        <w:rPr>
          <w:rFonts w:hAnsi="新細明體" w:hint="eastAsia"/>
        </w:rPr>
        <w:t>zu...</w:t>
      </w:r>
      <w:r>
        <w:rPr>
          <w:rFonts w:hAnsi="新細明體" w:hint="eastAsia"/>
        </w:rPr>
        <w:t>）」以書面行政處分（給付裁決）作為行政機關行使返還請求權之方法</w:t>
      </w:r>
      <w:r>
        <w:rPr>
          <w:rStyle w:val="a9"/>
          <w:rFonts w:hAnsi="新細明體"/>
        </w:rPr>
        <w:footnoteReference w:id="81"/>
      </w:r>
      <w:r>
        <w:rPr>
          <w:rFonts w:hAnsi="新細明體" w:hint="eastAsia"/>
        </w:rPr>
        <w:t>；從此，德國聯邦行政法院所主張的「反面理論」在此一範圍內，獲得立法論上之解決。</w:t>
      </w:r>
    </w:p>
    <w:p w:rsidR="00000000" w:rsidRDefault="00724932">
      <w:pPr>
        <w:widowControl/>
        <w:spacing w:afterLines="50" w:after="180" w:line="288" w:lineRule="auto"/>
        <w:ind w:firstLineChars="200" w:firstLine="480"/>
        <w:jc w:val="both"/>
        <w:rPr>
          <w:rFonts w:hint="eastAsia"/>
        </w:rPr>
      </w:pPr>
      <w:r>
        <w:rPr>
          <w:rFonts w:hint="eastAsia"/>
        </w:rPr>
        <w:t>最後另附一言者，與德國前開聯邦行政程序法第四十九條之一類似的規定，在德國法中尚有社會法第十編第五十條之規定。這一條社會法上的條文，內容非但與聯邦行政程序法第四十九條之一相當雷同，若干問題點，例如將信賴保護原則，擴張適用至非基於行政處分之給付所生的公法上返還請求權類型（第二項第二句準用同法第四十五條</w:t>
      </w:r>
      <w:r>
        <w:rPr>
          <w:rFonts w:hint="eastAsia"/>
        </w:rPr>
        <w:t>及第四十八條行政處分之廢棄）</w:t>
      </w:r>
      <w:r>
        <w:rPr>
          <w:rStyle w:val="a9"/>
        </w:rPr>
        <w:footnoteReference w:id="82"/>
      </w:r>
      <w:r>
        <w:rPr>
          <w:rFonts w:hint="eastAsia"/>
        </w:rPr>
        <w:t>，以及無論是否為基於行政處分之給付，其所生之公法上返還請求權，均由行政機關以行政處分之方式，行使返還請求權（第三項）等，更能顧及到公法異於私法關係的特殊性；從而，由某些角度觀察，社會法第十編第五十條，遠勝於聯邦行政程序法第四十九條之一之規定。我國將來若有關於公法上不當得利之規定，擬於立法修正或新增之際，德國社會法第十編第五十條或許也可以作為比較法上的參考依據。是鑑於該條條文的重要性意義，今謹迻譯於後</w:t>
      </w:r>
      <w:r>
        <w:rPr>
          <w:rStyle w:val="a9"/>
        </w:rPr>
        <w:footnoteReference w:id="83"/>
      </w:r>
      <w:r>
        <w:rPr>
          <w:rFonts w:hint="eastAsia"/>
        </w:rPr>
        <w:t>，作為本小單元之結語：</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行政處分經廢棄者，其已受領之給付應返還之。實物及服務之</w:t>
      </w:r>
      <w:r>
        <w:rPr>
          <w:rFonts w:ascii="標楷體" w:eastAsia="標楷體" w:hAnsi="標楷體" w:hint="eastAsia"/>
        </w:rPr>
        <w:t>給付，應以金錢返還。</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非基於行政處分之給付，其為不法受領者，應返還之。第四十五條及第四十八條之規定，準用之。</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第二項之一）應返還之價額，應自獎助特定機構之給付或其他類似給付所基之行政處分失其效力時起，附加週年利率百分之五之利息。附加利息，得因導致行政處分撤銷、廢止或失其效力之事由不可歸責於受益人，且受益人於行政機關所定之期間內給付應返還之價額，或因其他理由，不請求之。受領之給付，於給付完成後未立即使用於特定之目的時，得請求附加至給付合目的使用時止之依</w:t>
      </w:r>
      <w:r>
        <w:rPr>
          <w:rFonts w:ascii="標楷體" w:eastAsia="標楷體" w:hAnsi="標楷體" w:hint="eastAsia"/>
        </w:rPr>
        <w:lastRenderedPageBreak/>
        <w:t>第一句所定之利息；給付之請求，係屬得另有其他之方法部分或</w:t>
      </w:r>
      <w:r>
        <w:rPr>
          <w:rFonts w:ascii="標楷體" w:eastAsia="標楷體" w:hAnsi="標楷體" w:hint="eastAsia"/>
        </w:rPr>
        <w:t>優先適用，而仍為之者，亦同；第四十七條第二項第一句第一款之規定，不受影響。</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應返還之給付，應以書面行政處分確定之。給付係基於行政處分所為之者，其應返還之給付之確定，應與該行政處分之廢棄合併為之。</w:t>
      </w:r>
    </w:p>
    <w:p w:rsidR="00000000" w:rsidRDefault="00724932">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返還請求權，因對前項之行政處分不能聲明不服時所在之曆年經過後四年間不行使而消滅。關於時效之停止、不完成、重新開始及效力，準用民法相關之規定。第五十二條之規定，不受影響。</w:t>
      </w:r>
    </w:p>
    <w:p w:rsidR="00000000" w:rsidRDefault="00724932">
      <w:pPr>
        <w:widowControl/>
        <w:spacing w:line="288" w:lineRule="auto"/>
        <w:ind w:firstLineChars="200" w:firstLine="480"/>
        <w:jc w:val="both"/>
        <w:rPr>
          <w:rFonts w:ascii="標楷體" w:eastAsia="標楷體" w:hAnsi="標楷體" w:hint="eastAsia"/>
        </w:rPr>
      </w:pPr>
      <w:r>
        <w:rPr>
          <w:rFonts w:ascii="標楷體" w:eastAsia="標楷體" w:hAnsi="標楷體" w:hint="eastAsia"/>
        </w:rPr>
        <w:t>第一項至前項之規定，於第三十八條之更正準用之。</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二　公務人員法制上之特別規定</w:t>
      </w:r>
    </w:p>
    <w:p w:rsidR="00000000" w:rsidRDefault="00724932">
      <w:pPr>
        <w:widowControl/>
        <w:spacing w:afterLines="50" w:after="180" w:line="288" w:lineRule="auto"/>
        <w:ind w:firstLineChars="200" w:firstLine="480"/>
        <w:jc w:val="both"/>
        <w:rPr>
          <w:rFonts w:hAnsi="新細明體" w:hint="eastAsia"/>
        </w:rPr>
      </w:pPr>
      <w:r>
        <w:rPr>
          <w:rFonts w:hAnsi="新細明體"/>
        </w:rPr>
        <w:t>在德國法制中，有關公務人員不當受領公法上金錢給付之返還請求問題，</w:t>
      </w:r>
      <w:r>
        <w:rPr>
          <w:rFonts w:hAnsi="新細明體"/>
        </w:rPr>
        <w:t>其實係由一系列公務</w:t>
      </w:r>
      <w:r>
        <w:rPr>
          <w:rFonts w:hAnsi="新細明體" w:hint="eastAsia"/>
        </w:rPr>
        <w:t>人</w:t>
      </w:r>
      <w:r>
        <w:rPr>
          <w:rFonts w:hAnsi="新細明體"/>
        </w:rPr>
        <w:t>員法上特別規定所組成的特殊公法上返還請求權來加以處理的</w:t>
      </w:r>
      <w:r>
        <w:rPr>
          <w:rStyle w:val="a9"/>
        </w:rPr>
        <w:footnoteReference w:id="84"/>
      </w:r>
      <w:r>
        <w:rPr>
          <w:rFonts w:hAnsi="新細明體"/>
        </w:rPr>
        <w:t>。最初這些規定，原來僅見於規範聯邦公務員法律關係的聯邦公務員法（</w:t>
      </w:r>
      <w:r>
        <w:t>Bundesbeamtengesetz; BBG</w:t>
      </w:r>
      <w:r>
        <w:rPr>
          <w:rFonts w:hAnsi="新細明體"/>
        </w:rPr>
        <w:t>）第八十七條，以及規範各邦公務員法律關係的統一公務員法制大綱法（</w:t>
      </w:r>
      <w:r>
        <w:t>Rahmengesetz zur Vereinheitlichung des Beamten</w:t>
      </w:r>
      <w:r>
        <w:softHyphen/>
        <w:t>rechts; Be</w:t>
      </w:r>
      <w:r>
        <w:softHyphen/>
        <w:t>amten</w:t>
      </w:r>
      <w:r>
        <w:softHyphen/>
        <w:t>rechtsrahmengesetz; BRRG</w:t>
      </w:r>
      <w:r>
        <w:rPr>
          <w:rFonts w:hAnsi="新細明體"/>
        </w:rPr>
        <w:t>）第五十三條暨各邦相對應之公務員法條文</w:t>
      </w:r>
      <w:r>
        <w:rPr>
          <w:rFonts w:hAnsi="新細明體" w:hint="eastAsia"/>
        </w:rPr>
        <w:t>等如下所見、而內容雷同的規定</w:t>
      </w:r>
      <w:r>
        <w:rPr>
          <w:rFonts w:hAnsi="新細明體"/>
        </w:rPr>
        <w:t>中</w:t>
      </w:r>
      <w:r>
        <w:rPr>
          <w:rStyle w:val="a9"/>
        </w:rPr>
        <w:footnoteReference w:id="85"/>
      </w:r>
      <w:r>
        <w:rPr>
          <w:rFonts w:hAnsi="新細明體" w:hint="eastAsia"/>
        </w:rPr>
        <w:t>：</w:t>
      </w:r>
    </w:p>
    <w:p w:rsidR="00000000" w:rsidRDefault="00724932">
      <w:pPr>
        <w:widowControl/>
        <w:spacing w:afterLines="50" w:after="180" w:line="288" w:lineRule="auto"/>
        <w:jc w:val="both"/>
        <w:rPr>
          <w:rFonts w:ascii="標楷體" w:eastAsia="標楷體" w:hAnsi="標楷體" w:hint="eastAsia"/>
        </w:rPr>
      </w:pPr>
      <w:r>
        <w:rPr>
          <w:rFonts w:ascii="標楷體" w:eastAsia="標楷體" w:hAnsi="標楷體"/>
        </w:rPr>
        <w:t>聯邦公務員</w:t>
      </w:r>
      <w:r>
        <w:rPr>
          <w:rFonts w:ascii="標楷體" w:eastAsia="標楷體" w:hAnsi="標楷體"/>
        </w:rPr>
        <w:t>法</w:t>
      </w:r>
      <w:r>
        <w:rPr>
          <w:rFonts w:ascii="標楷體" w:eastAsia="標楷體" w:hAnsi="標楷體" w:hint="eastAsia"/>
        </w:rPr>
        <w:t>第八十七條</w:t>
      </w:r>
    </w:p>
    <w:p w:rsidR="00000000" w:rsidRDefault="00724932">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公務員或生存照顧權利人之應受領金額或俸給法上之列等，經修正而溯及既往減低時，其差額毋庸返還。</w:t>
      </w:r>
    </w:p>
    <w:p w:rsidR="00000000" w:rsidRDefault="00724932">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因前項以外情形而所生之勤務金或生存照顧金逾額支付者，其返還請求，適用民法上有關不當得利之規定。支付欠缺法律上原因之事由明顯，致受領人應知悉該事由時，視為受領人知無法律上之原因。不當得利之全部或一部，得因衡平理由，經最高勤務機關同意後，不請求返還之。</w:t>
      </w:r>
    </w:p>
    <w:p w:rsidR="00000000" w:rsidRDefault="00724932">
      <w:pPr>
        <w:widowControl/>
        <w:spacing w:afterLines="50" w:after="180" w:line="288" w:lineRule="auto"/>
        <w:jc w:val="both"/>
        <w:rPr>
          <w:rFonts w:ascii="標楷體" w:eastAsia="標楷體" w:hAnsi="標楷體" w:hint="eastAsia"/>
        </w:rPr>
      </w:pPr>
      <w:r>
        <w:rPr>
          <w:rFonts w:ascii="標楷體" w:eastAsia="標楷體" w:hAnsi="標楷體"/>
        </w:rPr>
        <w:lastRenderedPageBreak/>
        <w:t>統一公務員法制大綱法</w:t>
      </w:r>
      <w:r>
        <w:rPr>
          <w:rFonts w:ascii="標楷體" w:eastAsia="標楷體" w:hAnsi="標楷體" w:hint="eastAsia"/>
        </w:rPr>
        <w:t>第五十三條</w:t>
      </w:r>
      <w:r>
        <w:rPr>
          <w:rStyle w:val="a9"/>
          <w:rFonts w:ascii="標楷體" w:eastAsia="標楷體" w:hAnsi="標楷體"/>
        </w:rPr>
        <w:footnoteReference w:id="86"/>
      </w:r>
    </w:p>
    <w:p w:rsidR="00000000" w:rsidRDefault="00724932">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公務員或生存照顧權利人之應受領金額或俸給法上之列等，因基於第五十條第一項之修正而溯及既往減低時，其差額毋庸返還。</w:t>
      </w:r>
    </w:p>
    <w:p w:rsidR="00000000" w:rsidRDefault="00724932">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因前項</w:t>
      </w:r>
      <w:r>
        <w:rPr>
          <w:rFonts w:ascii="標楷體" w:eastAsia="標楷體" w:hAnsi="標楷體" w:hint="eastAsia"/>
        </w:rPr>
        <w:t>以外情形而所生之勤務金或生存照顧金逾額支付者，其返還請求，適用民法上有關不當得利之規定。支付欠缺法律上原因之事由明顯，致受領人應知悉該事由時，視為受領人知無法律上之原因。不當得利之全部或一部，得因衡平理由不請求返還之。</w:t>
      </w:r>
    </w:p>
    <w:p w:rsidR="00000000" w:rsidRDefault="00724932">
      <w:pPr>
        <w:widowControl/>
        <w:spacing w:afterLines="50" w:after="180" w:line="288" w:lineRule="auto"/>
        <w:jc w:val="both"/>
        <w:rPr>
          <w:rFonts w:hint="eastAsia"/>
        </w:rPr>
      </w:pPr>
      <w:r>
        <w:rPr>
          <w:rFonts w:hAnsi="新細明體"/>
        </w:rPr>
        <w:t>嗣後</w:t>
      </w:r>
      <w:r>
        <w:rPr>
          <w:rFonts w:hAnsi="新細明體" w:hint="eastAsia"/>
        </w:rPr>
        <w:t>，</w:t>
      </w:r>
      <w:r>
        <w:rPr>
          <w:rFonts w:hAnsi="新細明體"/>
        </w:rPr>
        <w:t>規範聯邦與各邦公務員、聯邦與各邦法官及軍人俸給問題的聯邦公務員俸給法（</w:t>
      </w:r>
      <w:r>
        <w:t>Bundesbesoldungsgesetz; BBesG</w:t>
      </w:r>
      <w:r>
        <w:rPr>
          <w:rFonts w:hAnsi="新細明體"/>
        </w:rPr>
        <w:t>），以及主要規範聯邦與各邦公務員、聯邦與各邦法官及軍人之退休、養老、撫卹等問題的聯邦及各邦公務員暨法官生存照顧法（</w:t>
      </w:r>
      <w:r>
        <w:t>Gesetz über die Versor</w:t>
      </w:r>
      <w:r>
        <w:t>gung der Beam</w:t>
      </w:r>
      <w:r>
        <w:softHyphen/>
        <w:t>ten und Richter in Bund und Ländern; Be</w:t>
      </w:r>
      <w:r>
        <w:softHyphen/>
        <w:t>amtenversorgungs</w:t>
      </w:r>
      <w:r>
        <w:softHyphen/>
        <w:t>ge</w:t>
      </w:r>
      <w:r>
        <w:softHyphen/>
        <w:t>setz; BeamtVG</w:t>
      </w:r>
      <w:r>
        <w:rPr>
          <w:rFonts w:hAnsi="新細明體"/>
        </w:rPr>
        <w:t>）</w:t>
      </w:r>
      <w:r>
        <w:rPr>
          <w:rFonts w:hAnsi="新細明體" w:hint="eastAsia"/>
        </w:rPr>
        <w:t>、</w:t>
      </w:r>
      <w:r>
        <w:rPr>
          <w:rFonts w:hAnsi="新細明體"/>
        </w:rPr>
        <w:t>聯邦國防軍前軍人及其遺眷生存照顧法（</w:t>
      </w:r>
      <w:r>
        <w:t>Ge</w:t>
      </w:r>
      <w:r>
        <w:softHyphen/>
        <w:t>setz über die Versorgung für die ehemaligen Soldaten der Bundeswehr und ihre Hin</w:t>
      </w:r>
      <w:r>
        <w:softHyphen/>
        <w:t>terbliebenen; Soldatenversorgungsgesetz; SVG</w:t>
      </w:r>
      <w:r>
        <w:rPr>
          <w:rFonts w:hAnsi="新細明體"/>
        </w:rPr>
        <w:t>）</w:t>
      </w:r>
      <w:r>
        <w:rPr>
          <w:rFonts w:hAnsi="新細明體" w:hint="eastAsia"/>
        </w:rPr>
        <w:t>等</w:t>
      </w:r>
      <w:r>
        <w:rPr>
          <w:rFonts w:hint="eastAsia"/>
        </w:rPr>
        <w:t>陸續制訂，相關的規定，內容上大同小異地</w:t>
      </w:r>
      <w:r>
        <w:rPr>
          <w:rFonts w:hint="eastAsia"/>
        </w:rPr>
        <w:t>，也盡見於後來制定、修正的三部法律之中，依序分別為第十二條、第五十二條及第四十九條</w:t>
      </w:r>
      <w:r>
        <w:rPr>
          <w:rStyle w:val="a9"/>
        </w:rPr>
        <w:footnoteReference w:id="87"/>
      </w:r>
      <w:r>
        <w:rPr>
          <w:rFonts w:hint="eastAsia"/>
        </w:rPr>
        <w:t>。此外，又加上規範聯邦及各邦法官的德國法官法</w:t>
      </w:r>
      <w:r>
        <w:t>（</w:t>
      </w:r>
      <w:r>
        <w:t>Deutsches Richtergesetz</w:t>
      </w:r>
      <w:r>
        <w:rPr>
          <w:rFonts w:hint="eastAsia"/>
        </w:rPr>
        <w:t>; DRiC</w:t>
      </w:r>
      <w:r>
        <w:t>）</w:t>
      </w:r>
      <w:r>
        <w:rPr>
          <w:rFonts w:hint="eastAsia"/>
        </w:rPr>
        <w:t>第四十六條，以及規範軍人法律關係的</w:t>
      </w:r>
      <w:r>
        <w:rPr>
          <w:rFonts w:hAnsi="新細明體"/>
        </w:rPr>
        <w:t>軍人法律地位法（</w:t>
      </w:r>
      <w:r>
        <w:t>Gesetz über die Rechtsstellung der Soldaten; Soldatengesetz; SG</w:t>
      </w:r>
      <w:r>
        <w:rPr>
          <w:rFonts w:hAnsi="新細明體"/>
        </w:rPr>
        <w:t>）</w:t>
      </w:r>
      <w:r>
        <w:rPr>
          <w:rFonts w:hAnsi="新細明體" w:hint="eastAsia"/>
        </w:rPr>
        <w:t>第三十條第三項</w:t>
      </w:r>
      <w:r>
        <w:rPr>
          <w:rStyle w:val="a9"/>
          <w:rFonts w:hAnsi="新細明體"/>
        </w:rPr>
        <w:footnoteReference w:id="88"/>
      </w:r>
      <w:r>
        <w:rPr>
          <w:rFonts w:hint="eastAsia"/>
        </w:rPr>
        <w:t>分別準用前開聯邦公務員法第八十七條的結果，因此在德國法制中，</w:t>
      </w:r>
      <w:r>
        <w:rPr>
          <w:rFonts w:hint="eastAsia"/>
        </w:rPr>
        <w:lastRenderedPageBreak/>
        <w:t>有關聯邦及各邦之公務員、法官，以及原來即屬聯邦公職人員一種的軍人，其</w:t>
      </w:r>
      <w:r>
        <w:rPr>
          <w:rFonts w:hint="eastAsia"/>
        </w:rPr>
        <w:t>不當受領之薪俸、以退休金為主的生存照顧金及其他各種公法上金錢給付的返還請求問題，幾乎鉅細靡遺，一併納入由：</w:t>
      </w:r>
    </w:p>
    <w:p w:rsidR="00000000" w:rsidRDefault="00724932">
      <w:pPr>
        <w:widowControl/>
        <w:numPr>
          <w:ilvl w:val="0"/>
          <w:numId w:val="11"/>
        </w:numPr>
        <w:spacing w:line="288" w:lineRule="auto"/>
        <w:ind w:left="482" w:hanging="482"/>
        <w:jc w:val="both"/>
        <w:rPr>
          <w:rFonts w:hint="eastAsia"/>
        </w:rPr>
      </w:pPr>
      <w:r>
        <w:rPr>
          <w:rFonts w:hint="eastAsia"/>
        </w:rPr>
        <w:t>聯邦公務員俸給法第十二條、</w:t>
      </w:r>
    </w:p>
    <w:p w:rsidR="00000000" w:rsidRDefault="00724932">
      <w:pPr>
        <w:widowControl/>
        <w:numPr>
          <w:ilvl w:val="0"/>
          <w:numId w:val="11"/>
        </w:numPr>
        <w:spacing w:line="288" w:lineRule="auto"/>
        <w:ind w:left="482" w:hanging="482"/>
        <w:jc w:val="both"/>
        <w:rPr>
          <w:rFonts w:hint="eastAsia"/>
        </w:rPr>
      </w:pPr>
      <w:r>
        <w:rPr>
          <w:rFonts w:hint="eastAsia"/>
        </w:rPr>
        <w:t>聯邦及各邦公務員暨法官生存照顧法第五十二條、</w:t>
      </w:r>
    </w:p>
    <w:p w:rsidR="00000000" w:rsidRDefault="00724932">
      <w:pPr>
        <w:widowControl/>
        <w:numPr>
          <w:ilvl w:val="0"/>
          <w:numId w:val="11"/>
        </w:numPr>
        <w:spacing w:line="288" w:lineRule="auto"/>
        <w:ind w:left="482" w:hanging="482"/>
        <w:jc w:val="both"/>
        <w:rPr>
          <w:rFonts w:hint="eastAsia"/>
        </w:rPr>
      </w:pPr>
      <w:r>
        <w:t>聯邦國防軍前軍人及其遺眷生存照顧法</w:t>
      </w:r>
      <w:r>
        <w:rPr>
          <w:rFonts w:hint="eastAsia"/>
        </w:rPr>
        <w:t>第四十九條、</w:t>
      </w:r>
    </w:p>
    <w:p w:rsidR="00000000" w:rsidRDefault="00724932">
      <w:pPr>
        <w:widowControl/>
        <w:numPr>
          <w:ilvl w:val="0"/>
          <w:numId w:val="11"/>
        </w:numPr>
        <w:spacing w:line="288" w:lineRule="auto"/>
        <w:ind w:left="482" w:hanging="482"/>
        <w:jc w:val="both"/>
        <w:rPr>
          <w:rFonts w:hint="eastAsia"/>
        </w:rPr>
      </w:pPr>
      <w:r>
        <w:rPr>
          <w:rFonts w:hint="eastAsia"/>
        </w:rPr>
        <w:t>聯邦公務員法第八十七條</w:t>
      </w:r>
      <w:r>
        <w:rPr>
          <w:rStyle w:val="a9"/>
        </w:rPr>
        <w:footnoteReference w:id="89"/>
      </w:r>
      <w:r>
        <w:rPr>
          <w:rFonts w:hint="eastAsia"/>
        </w:rPr>
        <w:t>、</w:t>
      </w:r>
    </w:p>
    <w:p w:rsidR="00000000" w:rsidRDefault="00724932">
      <w:pPr>
        <w:widowControl/>
        <w:numPr>
          <w:ilvl w:val="0"/>
          <w:numId w:val="11"/>
        </w:numPr>
        <w:spacing w:afterLines="50" w:after="180" w:line="288" w:lineRule="auto"/>
        <w:jc w:val="both"/>
        <w:rPr>
          <w:rFonts w:hint="eastAsia"/>
        </w:rPr>
      </w:pPr>
      <w:r>
        <w:rPr>
          <w:rFonts w:hint="eastAsia"/>
        </w:rPr>
        <w:t>統一公務員法制大綱法第五十三條暨各邦相對應之公務員法條文等</w:t>
      </w:r>
    </w:p>
    <w:p w:rsidR="00000000" w:rsidRDefault="00724932">
      <w:pPr>
        <w:widowControl/>
        <w:spacing w:afterLines="50" w:after="180" w:line="288" w:lineRule="auto"/>
        <w:jc w:val="both"/>
      </w:pPr>
      <w:r>
        <w:rPr>
          <w:rFonts w:hint="eastAsia"/>
        </w:rPr>
        <w:t>所共同組成的特殊公法上返還請求權中</w:t>
      </w:r>
      <w:r>
        <w:rPr>
          <w:rStyle w:val="a9"/>
        </w:rPr>
        <w:footnoteReference w:id="90"/>
      </w:r>
      <w:r>
        <w:rPr>
          <w:rFonts w:hint="eastAsia"/>
        </w:rPr>
        <w:t>。從而，有關這些條文適用範圍及條文對照等，謹列表於後，俾資參考；至於其規範內容之重點，亦分別說明於更後：</w:t>
      </w:r>
    </w:p>
    <w:p w:rsidR="00000000" w:rsidRDefault="00724932">
      <w:pPr>
        <w:widowControl/>
        <w:spacing w:line="288" w:lineRule="auto"/>
        <w:jc w:val="both"/>
        <w:rPr>
          <w:rFonts w:hint="eastAsia"/>
          <w:b/>
          <w:kern w:val="0"/>
          <w:sz w:val="28"/>
          <w:szCs w:val="28"/>
        </w:rPr>
      </w:pPr>
      <w:r>
        <w:br w:type="page"/>
      </w:r>
      <w:r>
        <w:rPr>
          <w:rFonts w:hint="eastAsia"/>
          <w:b/>
          <w:kern w:val="0"/>
          <w:sz w:val="28"/>
          <w:szCs w:val="28"/>
        </w:rPr>
        <w:lastRenderedPageBreak/>
        <w:t>德國公務人員法制中特殊公法上返還請求權相關規定對照</w:t>
      </w:r>
      <w:r>
        <w:rPr>
          <w:rFonts w:hint="eastAsia"/>
          <w:b/>
          <w:kern w:val="0"/>
          <w:sz w:val="28"/>
          <w:szCs w:val="28"/>
        </w:rPr>
        <w:t>表</w:t>
      </w:r>
    </w:p>
    <w:p w:rsidR="00000000" w:rsidRDefault="00724932">
      <w:pPr>
        <w:widowControl/>
        <w:spacing w:line="288" w:lineRule="auto"/>
        <w:ind w:firstLineChars="200" w:firstLine="480"/>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2160"/>
        <w:gridCol w:w="1777"/>
        <w:gridCol w:w="1777"/>
      </w:tblGrid>
      <w:tr w:rsidR="00000000">
        <w:tc>
          <w:tcPr>
            <w:tcW w:w="648" w:type="dxa"/>
            <w:tcBorders>
              <w:bottom w:val="single" w:sz="18" w:space="0" w:color="auto"/>
              <w:right w:val="single" w:sz="18" w:space="0" w:color="auto"/>
              <w:tl2br w:val="single" w:sz="4" w:space="0" w:color="auto"/>
            </w:tcBorders>
          </w:tcPr>
          <w:p w:rsidR="00000000" w:rsidRDefault="00724932">
            <w:pPr>
              <w:widowControl/>
              <w:kinsoku w:val="0"/>
              <w:jc w:val="both"/>
              <w:rPr>
                <w:sz w:val="20"/>
                <w:szCs w:val="20"/>
              </w:rPr>
            </w:pPr>
          </w:p>
        </w:tc>
        <w:tc>
          <w:tcPr>
            <w:tcW w:w="2160" w:type="dxa"/>
            <w:tcBorders>
              <w:left w:val="single" w:sz="18" w:space="0" w:color="auto"/>
              <w:bottom w:val="single" w:sz="18" w:space="0" w:color="auto"/>
            </w:tcBorders>
          </w:tcPr>
          <w:p w:rsidR="00000000" w:rsidRDefault="00724932">
            <w:pPr>
              <w:widowControl/>
              <w:kinsoku w:val="0"/>
              <w:jc w:val="both"/>
              <w:rPr>
                <w:rFonts w:hint="eastAsia"/>
                <w:sz w:val="20"/>
                <w:szCs w:val="20"/>
              </w:rPr>
            </w:pPr>
            <w:r>
              <w:rPr>
                <w:rFonts w:hint="eastAsia"/>
                <w:sz w:val="20"/>
                <w:szCs w:val="20"/>
              </w:rPr>
              <w:t>聯邦公務員俸給法第十二條</w:t>
            </w:r>
          </w:p>
        </w:tc>
        <w:tc>
          <w:tcPr>
            <w:tcW w:w="2160" w:type="dxa"/>
            <w:tcBorders>
              <w:bottom w:val="single" w:sz="18" w:space="0" w:color="auto"/>
            </w:tcBorders>
          </w:tcPr>
          <w:p w:rsidR="00000000" w:rsidRDefault="00724932">
            <w:pPr>
              <w:widowControl/>
              <w:kinsoku w:val="0"/>
              <w:jc w:val="both"/>
              <w:rPr>
                <w:sz w:val="20"/>
                <w:szCs w:val="20"/>
              </w:rPr>
            </w:pPr>
            <w:r>
              <w:rPr>
                <w:rFonts w:hint="eastAsia"/>
                <w:sz w:val="20"/>
                <w:szCs w:val="20"/>
              </w:rPr>
              <w:t>聯邦及各邦</w:t>
            </w:r>
            <w:r>
              <w:rPr>
                <w:sz w:val="20"/>
                <w:szCs w:val="20"/>
              </w:rPr>
              <w:t>公務員</w:t>
            </w:r>
            <w:r>
              <w:rPr>
                <w:rFonts w:hint="eastAsia"/>
                <w:sz w:val="20"/>
                <w:szCs w:val="20"/>
              </w:rPr>
              <w:t>暨法官生存照顧法第五十二條</w:t>
            </w:r>
            <w:r>
              <w:rPr>
                <w:rFonts w:hint="eastAsia"/>
                <w:sz w:val="20"/>
                <w:szCs w:val="20"/>
              </w:rPr>
              <w:t>*</w:t>
            </w:r>
          </w:p>
        </w:tc>
        <w:tc>
          <w:tcPr>
            <w:tcW w:w="1777" w:type="dxa"/>
            <w:tcBorders>
              <w:bottom w:val="single" w:sz="18" w:space="0" w:color="auto"/>
            </w:tcBorders>
          </w:tcPr>
          <w:p w:rsidR="00000000" w:rsidRDefault="00724932">
            <w:pPr>
              <w:widowControl/>
              <w:kinsoku w:val="0"/>
              <w:jc w:val="both"/>
              <w:rPr>
                <w:rFonts w:hint="eastAsia"/>
                <w:sz w:val="20"/>
                <w:szCs w:val="20"/>
              </w:rPr>
            </w:pPr>
            <w:r>
              <w:rPr>
                <w:rFonts w:hint="eastAsia"/>
                <w:sz w:val="20"/>
                <w:szCs w:val="20"/>
              </w:rPr>
              <w:t>聯邦公務員法第八十七條</w:t>
            </w:r>
          </w:p>
        </w:tc>
        <w:tc>
          <w:tcPr>
            <w:tcW w:w="1777" w:type="dxa"/>
            <w:tcBorders>
              <w:bottom w:val="single" w:sz="18" w:space="0" w:color="auto"/>
            </w:tcBorders>
          </w:tcPr>
          <w:p w:rsidR="00000000" w:rsidRDefault="00724932">
            <w:pPr>
              <w:widowControl/>
              <w:kinsoku w:val="0"/>
              <w:jc w:val="both"/>
              <w:rPr>
                <w:rFonts w:hint="eastAsia"/>
                <w:sz w:val="20"/>
                <w:szCs w:val="20"/>
              </w:rPr>
            </w:pPr>
            <w:r>
              <w:rPr>
                <w:rFonts w:hint="eastAsia"/>
                <w:sz w:val="20"/>
                <w:szCs w:val="20"/>
              </w:rPr>
              <w:t>統一</w:t>
            </w:r>
            <w:r>
              <w:rPr>
                <w:sz w:val="20"/>
                <w:szCs w:val="20"/>
              </w:rPr>
              <w:t>公務員</w:t>
            </w:r>
            <w:r>
              <w:rPr>
                <w:rFonts w:hint="eastAsia"/>
                <w:sz w:val="20"/>
                <w:szCs w:val="20"/>
              </w:rPr>
              <w:t>法制</w:t>
            </w:r>
            <w:r>
              <w:rPr>
                <w:sz w:val="20"/>
                <w:szCs w:val="20"/>
              </w:rPr>
              <w:t>大綱法</w:t>
            </w:r>
            <w:r>
              <w:rPr>
                <w:rFonts w:hint="eastAsia"/>
                <w:sz w:val="20"/>
                <w:szCs w:val="20"/>
              </w:rPr>
              <w:t>第五十三條及各邦相對應之公務員法規定</w:t>
            </w:r>
          </w:p>
        </w:tc>
      </w:tr>
      <w:tr w:rsidR="00000000">
        <w:tc>
          <w:tcPr>
            <w:tcW w:w="648" w:type="dxa"/>
            <w:tcBorders>
              <w:top w:val="single" w:sz="18" w:space="0" w:color="auto"/>
              <w:right w:val="single" w:sz="18" w:space="0" w:color="auto"/>
            </w:tcBorders>
          </w:tcPr>
          <w:p w:rsidR="00000000" w:rsidRDefault="00724932">
            <w:pPr>
              <w:widowControl/>
              <w:kinsoku w:val="0"/>
              <w:rPr>
                <w:rFonts w:hint="eastAsia"/>
                <w:sz w:val="20"/>
                <w:szCs w:val="20"/>
              </w:rPr>
            </w:pPr>
            <w:r>
              <w:rPr>
                <w:rFonts w:hint="eastAsia"/>
                <w:sz w:val="20"/>
                <w:szCs w:val="20"/>
              </w:rPr>
              <w:t>人之適用範圍</w:t>
            </w:r>
          </w:p>
        </w:tc>
        <w:tc>
          <w:tcPr>
            <w:tcW w:w="2160" w:type="dxa"/>
            <w:tcBorders>
              <w:top w:val="single" w:sz="18" w:space="0" w:color="auto"/>
              <w:left w:val="single" w:sz="18" w:space="0" w:color="auto"/>
            </w:tcBorders>
          </w:tcPr>
          <w:p w:rsidR="00000000" w:rsidRDefault="00724932">
            <w:pPr>
              <w:widowControl/>
              <w:kinsoku w:val="0"/>
              <w:jc w:val="both"/>
              <w:rPr>
                <w:sz w:val="20"/>
                <w:szCs w:val="20"/>
              </w:rPr>
            </w:pPr>
            <w:r>
              <w:rPr>
                <w:rFonts w:hint="eastAsia"/>
                <w:sz w:val="20"/>
                <w:szCs w:val="20"/>
              </w:rPr>
              <w:t>聯邦及各邦公務員、聯邦及各邦法官、軍人</w:t>
            </w:r>
          </w:p>
        </w:tc>
        <w:tc>
          <w:tcPr>
            <w:tcW w:w="2160" w:type="dxa"/>
            <w:tcBorders>
              <w:top w:val="single" w:sz="18" w:space="0" w:color="auto"/>
            </w:tcBorders>
          </w:tcPr>
          <w:p w:rsidR="00000000" w:rsidRDefault="00724932">
            <w:pPr>
              <w:widowControl/>
              <w:kinsoku w:val="0"/>
              <w:jc w:val="both"/>
              <w:rPr>
                <w:sz w:val="20"/>
                <w:szCs w:val="20"/>
              </w:rPr>
            </w:pPr>
            <w:r>
              <w:rPr>
                <w:rFonts w:hint="eastAsia"/>
                <w:sz w:val="20"/>
                <w:szCs w:val="20"/>
              </w:rPr>
              <w:t>聯邦及各邦公務員、聯邦及各邦法官暨其相關之生存照顧權利人</w:t>
            </w:r>
          </w:p>
        </w:tc>
        <w:tc>
          <w:tcPr>
            <w:tcW w:w="1777" w:type="dxa"/>
            <w:tcBorders>
              <w:top w:val="single" w:sz="18" w:space="0" w:color="auto"/>
            </w:tcBorders>
          </w:tcPr>
          <w:p w:rsidR="00000000" w:rsidRDefault="00724932">
            <w:pPr>
              <w:widowControl/>
              <w:kinsoku w:val="0"/>
              <w:jc w:val="both"/>
              <w:rPr>
                <w:sz w:val="20"/>
                <w:szCs w:val="20"/>
              </w:rPr>
            </w:pPr>
            <w:r>
              <w:rPr>
                <w:rFonts w:hint="eastAsia"/>
                <w:sz w:val="20"/>
                <w:szCs w:val="20"/>
              </w:rPr>
              <w:t>聯邦公務員、聯邦及各邦法官（準用）、軍人（準用）</w:t>
            </w:r>
          </w:p>
        </w:tc>
        <w:tc>
          <w:tcPr>
            <w:tcW w:w="1777" w:type="dxa"/>
            <w:tcBorders>
              <w:top w:val="single" w:sz="18" w:space="0" w:color="auto"/>
            </w:tcBorders>
          </w:tcPr>
          <w:p w:rsidR="00000000" w:rsidRDefault="00724932">
            <w:pPr>
              <w:widowControl/>
              <w:kinsoku w:val="0"/>
              <w:jc w:val="both"/>
              <w:rPr>
                <w:sz w:val="20"/>
                <w:szCs w:val="20"/>
              </w:rPr>
            </w:pPr>
            <w:r>
              <w:rPr>
                <w:rFonts w:hint="eastAsia"/>
                <w:sz w:val="20"/>
                <w:szCs w:val="20"/>
              </w:rPr>
              <w:t>各邦公務員</w:t>
            </w:r>
          </w:p>
        </w:tc>
      </w:tr>
      <w:tr w:rsidR="00000000">
        <w:tc>
          <w:tcPr>
            <w:tcW w:w="648" w:type="dxa"/>
            <w:tcBorders>
              <w:right w:val="single" w:sz="18" w:space="0" w:color="auto"/>
            </w:tcBorders>
          </w:tcPr>
          <w:p w:rsidR="00000000" w:rsidRDefault="00724932">
            <w:pPr>
              <w:widowControl/>
              <w:kinsoku w:val="0"/>
              <w:rPr>
                <w:rFonts w:hint="eastAsia"/>
                <w:sz w:val="20"/>
                <w:szCs w:val="20"/>
              </w:rPr>
            </w:pPr>
            <w:r>
              <w:rPr>
                <w:rFonts w:hint="eastAsia"/>
                <w:sz w:val="20"/>
                <w:szCs w:val="20"/>
              </w:rPr>
              <w:t>物之適用範圍</w:t>
            </w:r>
          </w:p>
        </w:tc>
        <w:tc>
          <w:tcPr>
            <w:tcW w:w="2160" w:type="dxa"/>
            <w:tcBorders>
              <w:left w:val="single" w:sz="18" w:space="0" w:color="auto"/>
            </w:tcBorders>
          </w:tcPr>
          <w:p w:rsidR="00000000" w:rsidRDefault="00724932">
            <w:pPr>
              <w:widowControl/>
              <w:kinsoku w:val="0"/>
              <w:jc w:val="both"/>
              <w:rPr>
                <w:rFonts w:hint="eastAsia"/>
                <w:sz w:val="20"/>
                <w:szCs w:val="20"/>
              </w:rPr>
            </w:pPr>
            <w:r>
              <w:rPr>
                <w:rFonts w:hint="eastAsia"/>
                <w:sz w:val="20"/>
                <w:szCs w:val="20"/>
              </w:rPr>
              <w:t>薪俸</w:t>
            </w:r>
          </w:p>
        </w:tc>
        <w:tc>
          <w:tcPr>
            <w:tcW w:w="2160" w:type="dxa"/>
          </w:tcPr>
          <w:p w:rsidR="00000000" w:rsidRDefault="00724932">
            <w:pPr>
              <w:widowControl/>
              <w:kinsoku w:val="0"/>
              <w:jc w:val="both"/>
              <w:rPr>
                <w:sz w:val="20"/>
                <w:szCs w:val="20"/>
              </w:rPr>
            </w:pPr>
            <w:r>
              <w:rPr>
                <w:rFonts w:hint="eastAsia"/>
                <w:sz w:val="20"/>
                <w:szCs w:val="20"/>
              </w:rPr>
              <w:t>生存照顧金</w:t>
            </w:r>
          </w:p>
        </w:tc>
        <w:tc>
          <w:tcPr>
            <w:tcW w:w="1777" w:type="dxa"/>
          </w:tcPr>
          <w:p w:rsidR="00000000" w:rsidRDefault="00724932">
            <w:pPr>
              <w:widowControl/>
              <w:kinsoku w:val="0"/>
              <w:jc w:val="both"/>
              <w:rPr>
                <w:rFonts w:hint="eastAsia"/>
                <w:sz w:val="20"/>
                <w:szCs w:val="20"/>
              </w:rPr>
            </w:pPr>
            <w:r>
              <w:rPr>
                <w:rFonts w:hint="eastAsia"/>
                <w:sz w:val="20"/>
                <w:szCs w:val="20"/>
              </w:rPr>
              <w:t>其他給付</w:t>
            </w:r>
          </w:p>
        </w:tc>
        <w:tc>
          <w:tcPr>
            <w:tcW w:w="1777" w:type="dxa"/>
          </w:tcPr>
          <w:p w:rsidR="00000000" w:rsidRDefault="00724932">
            <w:pPr>
              <w:widowControl/>
              <w:kinsoku w:val="0"/>
              <w:jc w:val="both"/>
              <w:rPr>
                <w:sz w:val="20"/>
                <w:szCs w:val="20"/>
              </w:rPr>
            </w:pPr>
            <w:r>
              <w:rPr>
                <w:rFonts w:hint="eastAsia"/>
                <w:sz w:val="20"/>
                <w:szCs w:val="20"/>
              </w:rPr>
              <w:t>其他給付</w:t>
            </w:r>
          </w:p>
        </w:tc>
      </w:tr>
      <w:tr w:rsidR="00000000">
        <w:tc>
          <w:tcPr>
            <w:tcW w:w="648" w:type="dxa"/>
            <w:tcBorders>
              <w:right w:val="single" w:sz="18" w:space="0" w:color="auto"/>
            </w:tcBorders>
          </w:tcPr>
          <w:p w:rsidR="00000000" w:rsidRDefault="00724932">
            <w:pPr>
              <w:widowControl/>
              <w:kinsoku w:val="0"/>
              <w:rPr>
                <w:rFonts w:hint="eastAsia"/>
                <w:sz w:val="20"/>
                <w:szCs w:val="20"/>
              </w:rPr>
            </w:pPr>
            <w:r>
              <w:rPr>
                <w:rFonts w:hint="eastAsia"/>
                <w:sz w:val="20"/>
                <w:szCs w:val="20"/>
              </w:rPr>
              <w:t>基本規定</w:t>
            </w:r>
          </w:p>
        </w:tc>
        <w:tc>
          <w:tcPr>
            <w:tcW w:w="2160" w:type="dxa"/>
            <w:tcBorders>
              <w:left w:val="single" w:sz="18" w:space="0" w:color="auto"/>
            </w:tcBorders>
          </w:tcPr>
          <w:p w:rsidR="00000000" w:rsidRDefault="00724932">
            <w:pPr>
              <w:widowControl/>
              <w:kinsoku w:val="0"/>
              <w:jc w:val="both"/>
              <w:rPr>
                <w:sz w:val="20"/>
                <w:szCs w:val="20"/>
              </w:rPr>
            </w:pPr>
            <w:r>
              <w:rPr>
                <w:rFonts w:hint="eastAsia"/>
                <w:sz w:val="20"/>
                <w:szCs w:val="20"/>
              </w:rPr>
              <w:t>公務員、法官或軍人之薪俸及其於俸給法中職等表上之職位列等，因法律之修正而溯及既往減低時，其差額毋庸返還。</w:t>
            </w:r>
          </w:p>
        </w:tc>
        <w:tc>
          <w:tcPr>
            <w:tcW w:w="2160" w:type="dxa"/>
          </w:tcPr>
          <w:p w:rsidR="00000000" w:rsidRDefault="00724932">
            <w:pPr>
              <w:widowControl/>
              <w:kinsoku w:val="0"/>
              <w:jc w:val="both"/>
              <w:rPr>
                <w:sz w:val="20"/>
                <w:szCs w:val="20"/>
              </w:rPr>
            </w:pPr>
            <w:r>
              <w:rPr>
                <w:rFonts w:hint="eastAsia"/>
                <w:sz w:val="20"/>
                <w:szCs w:val="20"/>
              </w:rPr>
              <w:t>生</w:t>
            </w:r>
            <w:r>
              <w:rPr>
                <w:rFonts w:hint="eastAsia"/>
                <w:sz w:val="20"/>
                <w:szCs w:val="20"/>
              </w:rPr>
              <w:t>存照顧權利人之生存照顧金，因法律之修正而溯及既往減低時，其差額毋庸返還。</w:t>
            </w:r>
          </w:p>
        </w:tc>
        <w:tc>
          <w:tcPr>
            <w:tcW w:w="1777" w:type="dxa"/>
          </w:tcPr>
          <w:p w:rsidR="00000000" w:rsidRDefault="00724932">
            <w:pPr>
              <w:widowControl/>
              <w:kinsoku w:val="0"/>
              <w:jc w:val="both"/>
              <w:rPr>
                <w:sz w:val="20"/>
                <w:szCs w:val="20"/>
              </w:rPr>
            </w:pPr>
            <w:r>
              <w:rPr>
                <w:rFonts w:hint="eastAsia"/>
                <w:sz w:val="20"/>
                <w:szCs w:val="20"/>
              </w:rPr>
              <w:t>公務員或生存照顧權利人之應受領金額或俸給法上之列等，經修正而溯及既往減低時，其差額毋庸返還。</w:t>
            </w:r>
          </w:p>
        </w:tc>
        <w:tc>
          <w:tcPr>
            <w:tcW w:w="1777" w:type="dxa"/>
          </w:tcPr>
          <w:p w:rsidR="00000000" w:rsidRDefault="00724932">
            <w:pPr>
              <w:widowControl/>
              <w:kinsoku w:val="0"/>
              <w:jc w:val="both"/>
              <w:rPr>
                <w:sz w:val="20"/>
                <w:szCs w:val="20"/>
              </w:rPr>
            </w:pPr>
            <w:r>
              <w:rPr>
                <w:rFonts w:hint="eastAsia"/>
                <w:sz w:val="20"/>
                <w:szCs w:val="20"/>
              </w:rPr>
              <w:t>公務員或生存照顧權利人之應受領金額或俸給法上之列等，因基於第五十條第一項之修正而溯及既往減低時，其差額毋庸返還。</w:t>
            </w:r>
          </w:p>
        </w:tc>
      </w:tr>
      <w:tr w:rsidR="00000000">
        <w:tc>
          <w:tcPr>
            <w:tcW w:w="648" w:type="dxa"/>
            <w:tcBorders>
              <w:right w:val="single" w:sz="18" w:space="0" w:color="auto"/>
            </w:tcBorders>
          </w:tcPr>
          <w:p w:rsidR="00000000" w:rsidRDefault="00724932">
            <w:pPr>
              <w:widowControl/>
              <w:kinsoku w:val="0"/>
              <w:rPr>
                <w:rFonts w:hint="eastAsia"/>
                <w:sz w:val="20"/>
                <w:szCs w:val="20"/>
              </w:rPr>
            </w:pPr>
            <w:r>
              <w:rPr>
                <w:rFonts w:hint="eastAsia"/>
                <w:sz w:val="20"/>
                <w:szCs w:val="20"/>
              </w:rPr>
              <w:t>基本規定</w:t>
            </w:r>
          </w:p>
        </w:tc>
        <w:tc>
          <w:tcPr>
            <w:tcW w:w="2160" w:type="dxa"/>
            <w:tcBorders>
              <w:left w:val="single" w:sz="18" w:space="0" w:color="auto"/>
            </w:tcBorders>
          </w:tcPr>
          <w:p w:rsidR="00000000" w:rsidRDefault="00724932">
            <w:pPr>
              <w:widowControl/>
              <w:kinsoku w:val="0"/>
              <w:jc w:val="both"/>
              <w:rPr>
                <w:sz w:val="20"/>
                <w:szCs w:val="20"/>
              </w:rPr>
            </w:pPr>
            <w:r>
              <w:rPr>
                <w:rFonts w:hint="eastAsia"/>
                <w:sz w:val="20"/>
                <w:szCs w:val="20"/>
              </w:rPr>
              <w:t>因前項以外情形而所生之薪俸逾額支付者，其返還請求，除法律另有規定者外，適用民法上有關不當得利之規定。支付欠缺法律上原因之事由明顯，致受領人應知悉該事由時，視為受領人知無法律上之原因。不當得利之全部或一部，得因衡平理由，</w:t>
            </w:r>
            <w:r>
              <w:rPr>
                <w:rFonts w:hint="eastAsia"/>
                <w:sz w:val="20"/>
                <w:szCs w:val="20"/>
              </w:rPr>
              <w:t>經最高勤務機關或該機關指定之單位同意後，不請求返還之。</w:t>
            </w:r>
          </w:p>
        </w:tc>
        <w:tc>
          <w:tcPr>
            <w:tcW w:w="2160" w:type="dxa"/>
          </w:tcPr>
          <w:p w:rsidR="00000000" w:rsidRDefault="00724932">
            <w:pPr>
              <w:widowControl/>
              <w:kinsoku w:val="0"/>
              <w:jc w:val="both"/>
              <w:rPr>
                <w:sz w:val="20"/>
                <w:szCs w:val="20"/>
              </w:rPr>
            </w:pPr>
            <w:r>
              <w:rPr>
                <w:rFonts w:hint="eastAsia"/>
                <w:sz w:val="20"/>
                <w:szCs w:val="20"/>
              </w:rPr>
              <w:t>因前項以外情形而所生之生存照顧金逾額支付者，其返還請求，除法律另有規定者外，適用民法上有關不當得利之規定。支付欠缺法律上原因之事由明顯，致受領人應知悉該事由時，視為受領人知無法律上之原因。不當得利之全部或一部，得因衡平理由，經最高勤務機關或該機關指定之單位同意後，不請求返還之。</w:t>
            </w:r>
          </w:p>
        </w:tc>
        <w:tc>
          <w:tcPr>
            <w:tcW w:w="1777" w:type="dxa"/>
          </w:tcPr>
          <w:p w:rsidR="00000000" w:rsidRDefault="00724932">
            <w:pPr>
              <w:widowControl/>
              <w:kinsoku w:val="0"/>
              <w:jc w:val="both"/>
              <w:rPr>
                <w:sz w:val="20"/>
                <w:szCs w:val="20"/>
              </w:rPr>
            </w:pPr>
            <w:r>
              <w:rPr>
                <w:rFonts w:hint="eastAsia"/>
                <w:sz w:val="20"/>
                <w:szCs w:val="20"/>
              </w:rPr>
              <w:t>因前項以外情形而所生之勤務金或生存照顧金逾額支付者，其返還請求，適用民法上有關不當得利之規定。支付欠缺法律上原因之事由明顯，致受領人應知悉該事由時，視為受領人知無法律上之原因。</w:t>
            </w:r>
            <w:r>
              <w:rPr>
                <w:rFonts w:hint="eastAsia"/>
                <w:sz w:val="20"/>
                <w:szCs w:val="20"/>
              </w:rPr>
              <w:t>不當得利之全部或一部，得因衡平理由，經最高勤務機關同意後，不請求返還之。</w:t>
            </w:r>
          </w:p>
        </w:tc>
        <w:tc>
          <w:tcPr>
            <w:tcW w:w="1777" w:type="dxa"/>
          </w:tcPr>
          <w:p w:rsidR="00000000" w:rsidRDefault="00724932">
            <w:pPr>
              <w:widowControl/>
              <w:kinsoku w:val="0"/>
              <w:jc w:val="both"/>
              <w:rPr>
                <w:sz w:val="20"/>
                <w:szCs w:val="20"/>
              </w:rPr>
            </w:pPr>
            <w:r>
              <w:rPr>
                <w:rFonts w:hint="eastAsia"/>
                <w:sz w:val="20"/>
                <w:szCs w:val="20"/>
              </w:rPr>
              <w:t>因前項以外情形而所生之勤務金或生存照顧金逾額支付者，其返還請求，適用民法上有關不當得利之規定。支付欠缺法律上原因之事由明顯，致受領人應知悉該事由時，視為受領人知無法律上之原因。不當得利之全部或一部，得因衡平理由不請求返還之。</w:t>
            </w:r>
          </w:p>
        </w:tc>
      </w:tr>
      <w:tr w:rsidR="00000000">
        <w:tc>
          <w:tcPr>
            <w:tcW w:w="648" w:type="dxa"/>
            <w:tcBorders>
              <w:right w:val="single" w:sz="18" w:space="0" w:color="auto"/>
            </w:tcBorders>
          </w:tcPr>
          <w:p w:rsidR="00000000" w:rsidRDefault="00724932">
            <w:pPr>
              <w:widowControl/>
              <w:kinsoku w:val="0"/>
              <w:rPr>
                <w:rFonts w:hint="eastAsia"/>
                <w:sz w:val="20"/>
                <w:szCs w:val="20"/>
              </w:rPr>
            </w:pPr>
            <w:r>
              <w:rPr>
                <w:rFonts w:hint="eastAsia"/>
                <w:sz w:val="20"/>
                <w:szCs w:val="20"/>
              </w:rPr>
              <w:lastRenderedPageBreak/>
              <w:t>特殊規定</w:t>
            </w:r>
          </w:p>
        </w:tc>
        <w:tc>
          <w:tcPr>
            <w:tcW w:w="2160" w:type="dxa"/>
            <w:tcBorders>
              <w:left w:val="single" w:sz="18" w:space="0" w:color="auto"/>
            </w:tcBorders>
          </w:tcPr>
          <w:p w:rsidR="00000000" w:rsidRDefault="00724932">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（無）</w:t>
            </w:r>
          </w:p>
        </w:tc>
        <w:tc>
          <w:tcPr>
            <w:tcW w:w="2160" w:type="dxa"/>
          </w:tcPr>
          <w:p w:rsidR="00000000" w:rsidRDefault="00724932">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得請求返還之金額少於五歐元者，不得請求返還。得請求返還之金額有數款者，得請求返還之界限以總額計之。</w:t>
            </w:r>
          </w:p>
        </w:tc>
        <w:tc>
          <w:tcPr>
            <w:tcW w:w="1777" w:type="dxa"/>
          </w:tcPr>
          <w:p w:rsidR="00000000" w:rsidRDefault="00724932">
            <w:pPr>
              <w:widowControl/>
              <w:kinsoku w:val="0"/>
              <w:jc w:val="both"/>
              <w:rPr>
                <w:rFonts w:hint="eastAsia"/>
                <w:sz w:val="20"/>
                <w:szCs w:val="20"/>
              </w:rPr>
            </w:pPr>
            <w:r>
              <w:rPr>
                <w:rFonts w:hint="eastAsia"/>
                <w:sz w:val="20"/>
                <w:szCs w:val="20"/>
              </w:rPr>
              <w:t>（無）</w:t>
            </w:r>
          </w:p>
        </w:tc>
        <w:tc>
          <w:tcPr>
            <w:tcW w:w="1777" w:type="dxa"/>
          </w:tcPr>
          <w:p w:rsidR="00000000" w:rsidRDefault="00724932">
            <w:pPr>
              <w:widowControl/>
              <w:kinsoku w:val="0"/>
              <w:jc w:val="both"/>
              <w:rPr>
                <w:rFonts w:hint="eastAsia"/>
                <w:sz w:val="20"/>
                <w:szCs w:val="20"/>
              </w:rPr>
            </w:pPr>
            <w:r>
              <w:rPr>
                <w:rFonts w:hint="eastAsia"/>
                <w:sz w:val="20"/>
                <w:szCs w:val="20"/>
              </w:rPr>
              <w:t>（無）</w:t>
            </w:r>
          </w:p>
        </w:tc>
      </w:tr>
      <w:tr w:rsidR="00000000">
        <w:tc>
          <w:tcPr>
            <w:tcW w:w="648" w:type="dxa"/>
            <w:tcBorders>
              <w:right w:val="single" w:sz="18" w:space="0" w:color="auto"/>
            </w:tcBorders>
          </w:tcPr>
          <w:p w:rsidR="00000000" w:rsidRDefault="00724932">
            <w:pPr>
              <w:widowControl/>
              <w:kinsoku w:val="0"/>
              <w:rPr>
                <w:rFonts w:hint="eastAsia"/>
                <w:sz w:val="20"/>
                <w:szCs w:val="20"/>
              </w:rPr>
            </w:pPr>
            <w:r>
              <w:rPr>
                <w:rFonts w:hint="eastAsia"/>
                <w:sz w:val="20"/>
                <w:szCs w:val="20"/>
              </w:rPr>
              <w:t>特殊規定</w:t>
            </w:r>
          </w:p>
        </w:tc>
        <w:tc>
          <w:tcPr>
            <w:tcW w:w="2160" w:type="dxa"/>
            <w:tcBorders>
              <w:left w:val="single" w:sz="18" w:space="0" w:color="auto"/>
            </w:tcBorders>
          </w:tcPr>
          <w:p w:rsidR="00000000" w:rsidRDefault="00724932">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金錢給付，其於公務員、法官或軍人死亡後匯入金融機構之帳戶者，視為</w:t>
            </w:r>
            <w:r>
              <w:rPr>
                <w:rFonts w:ascii="Times New Roman" w:hAnsi="Times New Roman" w:hint="eastAsia"/>
                <w:sz w:val="20"/>
                <w:szCs w:val="20"/>
              </w:rPr>
              <w:t>附保留之給付。金融機構，於匯入單位將所匯金額視為不當之給付而請求返還時，應匯回原匯入單位。應返還之金額於返還之請求到達時已另行處分者，金融機構，除匯回得以帳戶上之存額完成者外，不負擔匯回之義務。金融機構不得將匯入之金額抵充自己之債權。</w:t>
            </w:r>
          </w:p>
        </w:tc>
        <w:tc>
          <w:tcPr>
            <w:tcW w:w="2160" w:type="dxa"/>
          </w:tcPr>
          <w:p w:rsidR="00000000" w:rsidRDefault="00724932">
            <w:pPr>
              <w:pStyle w:val="proportionalschrift"/>
              <w:kinsoku w:val="0"/>
              <w:spacing w:before="0" w:beforeAutospacing="0" w:after="0" w:afterAutospacing="0"/>
              <w:jc w:val="both"/>
              <w:rPr>
                <w:rFonts w:ascii="Times New Roman" w:hAnsi="Times New Roman" w:hint="eastAsia"/>
                <w:sz w:val="20"/>
                <w:szCs w:val="20"/>
              </w:rPr>
            </w:pPr>
            <w:r>
              <w:rPr>
                <w:rFonts w:hint="eastAsia"/>
                <w:sz w:val="20"/>
                <w:szCs w:val="20"/>
              </w:rPr>
              <w:t>金錢給付，其於生存照顧權利人死亡後匯入金融機構之帳戶者，視為附請求返還保留之給付。金融機構，於匯入單位將所匯金額視為不當之給付而請求返還時，應匯回原匯入單位。應返還之金額於返還之請求到達時已另行處分者，金融機構，除匯回得以帳戶上之存額完成者外，不負擔匯回之義務。金融機構不得將</w:t>
            </w:r>
            <w:r>
              <w:rPr>
                <w:rFonts w:hint="eastAsia"/>
                <w:sz w:val="20"/>
                <w:szCs w:val="20"/>
              </w:rPr>
              <w:t>匯入之金額抵充自己之債權。</w:t>
            </w:r>
          </w:p>
        </w:tc>
        <w:tc>
          <w:tcPr>
            <w:tcW w:w="1777" w:type="dxa"/>
          </w:tcPr>
          <w:p w:rsidR="00000000" w:rsidRDefault="00724932">
            <w:pPr>
              <w:widowControl/>
              <w:kinsoku w:val="0"/>
              <w:jc w:val="both"/>
              <w:rPr>
                <w:rFonts w:hint="eastAsia"/>
                <w:sz w:val="20"/>
                <w:szCs w:val="20"/>
              </w:rPr>
            </w:pPr>
            <w:r>
              <w:rPr>
                <w:rFonts w:hint="eastAsia"/>
                <w:sz w:val="20"/>
                <w:szCs w:val="20"/>
              </w:rPr>
              <w:t>（無）</w:t>
            </w:r>
          </w:p>
        </w:tc>
        <w:tc>
          <w:tcPr>
            <w:tcW w:w="1777" w:type="dxa"/>
          </w:tcPr>
          <w:p w:rsidR="00000000" w:rsidRDefault="00724932">
            <w:pPr>
              <w:widowControl/>
              <w:kinsoku w:val="0"/>
              <w:jc w:val="both"/>
              <w:rPr>
                <w:rFonts w:hint="eastAsia"/>
                <w:sz w:val="20"/>
                <w:szCs w:val="20"/>
              </w:rPr>
            </w:pPr>
            <w:r>
              <w:rPr>
                <w:rFonts w:hint="eastAsia"/>
                <w:sz w:val="20"/>
                <w:szCs w:val="20"/>
              </w:rPr>
              <w:t>（無）</w:t>
            </w:r>
          </w:p>
        </w:tc>
      </w:tr>
      <w:tr w:rsidR="00000000">
        <w:tc>
          <w:tcPr>
            <w:tcW w:w="648" w:type="dxa"/>
            <w:tcBorders>
              <w:right w:val="single" w:sz="18" w:space="0" w:color="auto"/>
            </w:tcBorders>
          </w:tcPr>
          <w:p w:rsidR="00000000" w:rsidRDefault="00724932">
            <w:pPr>
              <w:widowControl/>
              <w:kinsoku w:val="0"/>
              <w:rPr>
                <w:sz w:val="20"/>
                <w:szCs w:val="20"/>
              </w:rPr>
            </w:pPr>
            <w:r>
              <w:rPr>
                <w:rFonts w:hint="eastAsia"/>
                <w:sz w:val="20"/>
                <w:szCs w:val="20"/>
              </w:rPr>
              <w:t>特殊規定</w:t>
            </w:r>
          </w:p>
        </w:tc>
        <w:tc>
          <w:tcPr>
            <w:tcW w:w="2160" w:type="dxa"/>
            <w:tcBorders>
              <w:left w:val="single" w:sz="18" w:space="0" w:color="auto"/>
            </w:tcBorders>
          </w:tcPr>
          <w:p w:rsidR="00000000" w:rsidRDefault="00724932">
            <w:pPr>
              <w:pStyle w:val="proportionalschrift"/>
              <w:kinsoku w:val="0"/>
              <w:spacing w:before="0" w:beforeAutospacing="0" w:after="0" w:afterAutospacing="0"/>
              <w:jc w:val="both"/>
              <w:rPr>
                <w:rFonts w:ascii="Times New Roman" w:hAnsi="Times New Roman" w:hint="eastAsia"/>
                <w:sz w:val="20"/>
                <w:szCs w:val="20"/>
              </w:rPr>
            </w:pPr>
            <w:r>
              <w:rPr>
                <w:rFonts w:hint="eastAsia"/>
                <w:sz w:val="20"/>
                <w:szCs w:val="20"/>
              </w:rPr>
              <w:t>金錢給付於公務員、法官或軍人死亡後不當完成者，受領給付或處分該相當金額之人，於金融機構未依前項規定匯回金額時，應返還原匯入單位該金額。金融機構，其以相當之金額已另行處分為由拒絕匯回者，應依要求提供原匯入單位處分人之姓名及住址；必要時，並提供新帳戶持有人之姓名及住址。對於遺產之請求權，不受影響。</w:t>
            </w:r>
          </w:p>
        </w:tc>
        <w:tc>
          <w:tcPr>
            <w:tcW w:w="2160" w:type="dxa"/>
          </w:tcPr>
          <w:p w:rsidR="00000000" w:rsidRDefault="00724932">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金錢給付於生存照顧權利人死亡後不當完成者，受領給付或處分該相當金額之人，於金融機構未依前項規定匯回金額時，應返還原匯入單位該金額。金融機構，其以相當之金額已另行</w:t>
            </w:r>
            <w:r>
              <w:rPr>
                <w:rFonts w:ascii="Times New Roman" w:hAnsi="Times New Roman" w:hint="eastAsia"/>
                <w:sz w:val="20"/>
                <w:szCs w:val="20"/>
              </w:rPr>
              <w:t>處分為由拒絕匯回者，應依要求提供原匯入單位處分人之姓名及住址；必要時，並提供新帳戶持有人之姓名及住址。對於遺產之請求權，不受影響。</w:t>
            </w:r>
          </w:p>
        </w:tc>
        <w:tc>
          <w:tcPr>
            <w:tcW w:w="1777" w:type="dxa"/>
          </w:tcPr>
          <w:p w:rsidR="00000000" w:rsidRDefault="00724932">
            <w:pPr>
              <w:widowControl/>
              <w:kinsoku w:val="0"/>
              <w:jc w:val="both"/>
              <w:rPr>
                <w:rFonts w:hint="eastAsia"/>
                <w:sz w:val="20"/>
                <w:szCs w:val="20"/>
              </w:rPr>
            </w:pPr>
            <w:r>
              <w:rPr>
                <w:rFonts w:hint="eastAsia"/>
                <w:sz w:val="20"/>
                <w:szCs w:val="20"/>
              </w:rPr>
              <w:t>（無）</w:t>
            </w:r>
          </w:p>
        </w:tc>
        <w:tc>
          <w:tcPr>
            <w:tcW w:w="1777" w:type="dxa"/>
          </w:tcPr>
          <w:p w:rsidR="00000000" w:rsidRDefault="00724932">
            <w:pPr>
              <w:widowControl/>
              <w:kinsoku w:val="0"/>
              <w:jc w:val="both"/>
              <w:rPr>
                <w:rFonts w:hint="eastAsia"/>
                <w:sz w:val="20"/>
                <w:szCs w:val="20"/>
              </w:rPr>
            </w:pPr>
            <w:r>
              <w:rPr>
                <w:rFonts w:hint="eastAsia"/>
                <w:sz w:val="20"/>
                <w:szCs w:val="20"/>
              </w:rPr>
              <w:t>（無）</w:t>
            </w:r>
          </w:p>
        </w:tc>
      </w:tr>
    </w:tbl>
    <w:p w:rsidR="00000000" w:rsidRDefault="00724932">
      <w:pPr>
        <w:widowControl/>
        <w:spacing w:beforeLines="50" w:before="180" w:line="288" w:lineRule="auto"/>
        <w:jc w:val="both"/>
        <w:rPr>
          <w:rFonts w:hint="eastAsia"/>
        </w:rPr>
      </w:pPr>
      <w:r>
        <w:rPr>
          <w:rFonts w:hint="eastAsia"/>
          <w:sz w:val="20"/>
          <w:szCs w:val="20"/>
        </w:rPr>
        <w:t>*</w:t>
      </w:r>
      <w:r>
        <w:rPr>
          <w:sz w:val="20"/>
          <w:szCs w:val="20"/>
        </w:rPr>
        <w:t>聯邦國防軍前軍人及其遺眷生存照顧法</w:t>
      </w:r>
      <w:r>
        <w:rPr>
          <w:rFonts w:hint="eastAsia"/>
          <w:sz w:val="20"/>
          <w:szCs w:val="20"/>
        </w:rPr>
        <w:t>第四十九條，因與本條規定內容幾乎無別，故不復贅。</w:t>
      </w:r>
    </w:p>
    <w:p w:rsidR="00000000" w:rsidRDefault="00724932">
      <w:pPr>
        <w:widowControl/>
        <w:spacing w:afterLines="50" w:after="180" w:line="288" w:lineRule="auto"/>
        <w:ind w:firstLineChars="200" w:firstLine="480"/>
        <w:jc w:val="both"/>
        <w:rPr>
          <w:rFonts w:hint="eastAsia"/>
        </w:rPr>
      </w:pPr>
      <w:r>
        <w:rPr>
          <w:rFonts w:hint="eastAsia"/>
        </w:rPr>
        <w:lastRenderedPageBreak/>
        <w:t>依照以上的敘述與相關條文之對照表，有關德國公務人員法制上特殊公法上返還請求權的規範內容問題，可以分別就規範適用的「人」之範圍、「物」之範圍，以及相關規定所構成之特殊公法上返還請求權本身的內容等三方面作分析、整理</w:t>
      </w:r>
      <w:r>
        <w:rPr>
          <w:rStyle w:val="a9"/>
        </w:rPr>
        <w:footnoteReference w:id="91"/>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首先，是關於「人」之適用範圍方面：</w:t>
      </w:r>
    </w:p>
    <w:p w:rsidR="00000000" w:rsidRDefault="00724932">
      <w:pPr>
        <w:widowControl/>
        <w:spacing w:afterLines="50" w:after="180" w:line="288" w:lineRule="auto"/>
        <w:ind w:left="480" w:hangingChars="200" w:hanging="480"/>
        <w:jc w:val="both"/>
        <w:rPr>
          <w:rFonts w:hint="eastAsia"/>
        </w:rPr>
      </w:pPr>
      <w:r>
        <w:rPr>
          <w:rFonts w:hint="eastAsia"/>
        </w:rPr>
        <w:t>一、德國法制中最廣義的「</w:t>
      </w:r>
      <w:r>
        <w:rPr>
          <w:rFonts w:hint="eastAsia"/>
        </w:rPr>
        <w:t>『服公務（</w:t>
      </w:r>
      <w:r>
        <w:t>ö</w:t>
      </w:r>
      <w:r>
        <w:rPr>
          <w:rFonts w:hint="eastAsia"/>
        </w:rPr>
        <w:t xml:space="preserve">ffentliche </w:t>
      </w:r>
      <w:r>
        <w:t>Ä</w:t>
      </w:r>
      <w:r>
        <w:rPr>
          <w:rFonts w:hint="eastAsia"/>
        </w:rPr>
        <w:t>mter</w:t>
      </w:r>
      <w:r>
        <w:rPr>
          <w:rFonts w:hint="eastAsia"/>
        </w:rPr>
        <w:t>）』之人員」，首先應該可以大致分為屬於「公勤務人員（</w:t>
      </w:r>
      <w:r>
        <w:rPr>
          <w:rFonts w:hint="eastAsia"/>
        </w:rPr>
        <w:t>Angeh</w:t>
      </w:r>
      <w:r>
        <w:t>ö</w:t>
      </w:r>
      <w:r>
        <w:rPr>
          <w:rFonts w:hint="eastAsia"/>
        </w:rPr>
        <w:t xml:space="preserve">rige des </w:t>
      </w:r>
      <w:r>
        <w:t>ö</w:t>
      </w:r>
      <w:r>
        <w:rPr>
          <w:rFonts w:hint="eastAsia"/>
        </w:rPr>
        <w:t>ffentlichen Dienstes</w:t>
      </w:r>
      <w:r>
        <w:rPr>
          <w:rFonts w:hint="eastAsia"/>
        </w:rPr>
        <w:t>）」，以及不具有公勤務人員身分的人員</w:t>
      </w:r>
      <w:r>
        <w:rPr>
          <w:rStyle w:val="a9"/>
        </w:rPr>
        <w:footnoteReference w:id="92"/>
      </w:r>
      <w:r>
        <w:rPr>
          <w:rFonts w:hint="eastAsia"/>
        </w:rPr>
        <w:t>。在第二種類型的服公務之人員，除了民間公證人（</w:t>
      </w:r>
      <w:r>
        <w:rPr>
          <w:rFonts w:hint="eastAsia"/>
        </w:rPr>
        <w:t>Notar</w:t>
      </w:r>
      <w:r>
        <w:rPr>
          <w:rFonts w:hint="eastAsia"/>
        </w:rPr>
        <w:t>）或其他受委託行使公權力之人（</w:t>
      </w:r>
      <w:r>
        <w:rPr>
          <w:rFonts w:hint="eastAsia"/>
        </w:rPr>
        <w:t>Beliehener</w:t>
      </w:r>
      <w:r>
        <w:rPr>
          <w:rFonts w:hint="eastAsia"/>
        </w:rPr>
        <w:t>）外，主要為與國家或其他公權力主體構成「公法上職務關係（</w:t>
      </w:r>
      <w:r>
        <w:t>ö</w:t>
      </w:r>
      <w:r>
        <w:rPr>
          <w:rFonts w:hint="eastAsia"/>
        </w:rPr>
        <w:t>ffentlich-rechtliches Amts</w:t>
      </w:r>
      <w:r>
        <w:softHyphen/>
      </w:r>
      <w:r>
        <w:rPr>
          <w:rFonts w:hint="eastAsia"/>
        </w:rPr>
        <w:t>ver</w:t>
      </w:r>
      <w:r>
        <w:softHyphen/>
      </w:r>
      <w:r>
        <w:rPr>
          <w:rFonts w:hint="eastAsia"/>
        </w:rPr>
        <w:t>h</w:t>
      </w:r>
      <w:r>
        <w:t>ä</w:t>
      </w:r>
      <w:r>
        <w:rPr>
          <w:rFonts w:hint="eastAsia"/>
        </w:rPr>
        <w:t>ltnis</w:t>
      </w:r>
      <w:r>
        <w:rPr>
          <w:rFonts w:hint="eastAsia"/>
        </w:rPr>
        <w:t>）」的聯邦總統、聯邦及各邦總理、部長、政務次長等所謂的政務官，以及</w:t>
      </w:r>
      <w:r>
        <w:rPr>
          <w:rFonts w:hint="eastAsia"/>
        </w:rPr>
        <w:t>聯邦、各邦議會議員與地方首長、民意代表等各種民選公職人員，乃至服兵役或替代役之人員。這些第二種類型之服公務之人員，雖不適用公務人員法，不過其若與國家或其他公權力主體構成公法上職務關係時，若干公務人員法上之規定，包含本研究所關心的公法上返還請求權問題，也往往有類推適用，甚至法律明文規定準用的餘地</w:t>
      </w:r>
      <w:r>
        <w:rPr>
          <w:rStyle w:val="a9"/>
        </w:rPr>
        <w:footnoteReference w:id="93"/>
      </w:r>
      <w:r>
        <w:rPr>
          <w:rFonts w:hint="eastAsia"/>
        </w:rPr>
        <w:t>。</w:t>
      </w:r>
    </w:p>
    <w:p w:rsidR="00000000" w:rsidRDefault="00724932">
      <w:pPr>
        <w:widowControl/>
        <w:spacing w:afterLines="50" w:after="180" w:line="288" w:lineRule="auto"/>
        <w:ind w:left="480" w:hangingChars="200" w:hanging="480"/>
        <w:jc w:val="both"/>
        <w:rPr>
          <w:rFonts w:hint="eastAsia"/>
        </w:rPr>
      </w:pPr>
      <w:r>
        <w:rPr>
          <w:rFonts w:hint="eastAsia"/>
        </w:rPr>
        <w:t>二、其次，德國法上所謂的「公勤務人員」，主要是以具有長期性，並以此為職業，向國家或其他公權力主體服公勤務為特徵；從而屬於這種性質之人員，又可以分為：公務員（</w:t>
      </w:r>
      <w:r>
        <w:rPr>
          <w:rFonts w:hint="eastAsia"/>
        </w:rPr>
        <w:t>Beamter</w:t>
      </w:r>
      <w:r>
        <w:rPr>
          <w:rFonts w:hint="eastAsia"/>
        </w:rPr>
        <w:t>）、職員（</w:t>
      </w:r>
      <w:r>
        <w:rPr>
          <w:rFonts w:hint="eastAsia"/>
        </w:rPr>
        <w:t>Angestellter</w:t>
      </w:r>
      <w:r>
        <w:rPr>
          <w:rFonts w:hint="eastAsia"/>
        </w:rPr>
        <w:t>）、職工</w:t>
      </w:r>
      <w:r>
        <w:rPr>
          <w:rFonts w:hint="eastAsia"/>
        </w:rPr>
        <w:t>（</w:t>
      </w:r>
      <w:r>
        <w:rPr>
          <w:rFonts w:hint="eastAsia"/>
        </w:rPr>
        <w:t>Arbeiter</w:t>
      </w:r>
      <w:r>
        <w:rPr>
          <w:rFonts w:hint="eastAsia"/>
        </w:rPr>
        <w:t>）、法官、軍人，乃至教會神職人員。其中，教會神職人員，原屬教會法（</w:t>
      </w:r>
      <w:r>
        <w:rPr>
          <w:rFonts w:hint="eastAsia"/>
        </w:rPr>
        <w:t>Kirchen</w:t>
      </w:r>
      <w:r>
        <w:softHyphen/>
      </w:r>
      <w:r>
        <w:rPr>
          <w:rFonts w:hint="eastAsia"/>
        </w:rPr>
        <w:t>recht</w:t>
      </w:r>
      <w:r>
        <w:rPr>
          <w:rFonts w:hint="eastAsia"/>
        </w:rPr>
        <w:t>）體系問題，不適用屬於世俗法性質的公務人員法制，固無疑問；然而法官與軍人，因其所服職務特殊，傳統上也另有其他法律加以規範其身分與其他法律關係，所以原則上也不直接適用公務人員法。不過在此另外值得注意的是，有關法官與軍人的法律問題，縱使因此有其特別法加以規範，但是在許多方面，尤其是涉及其薪俸、生存照顧金或其他因身分而所得的公法上金錢給付，乃至不當取得是等給付而產生的公法上返還請求權等問題，現行</w:t>
      </w:r>
      <w:r>
        <w:rPr>
          <w:rFonts w:hint="eastAsia"/>
        </w:rPr>
        <w:lastRenderedPageBreak/>
        <w:t>德國法制，</w:t>
      </w:r>
      <w:r>
        <w:rPr>
          <w:rFonts w:hint="eastAsia"/>
        </w:rPr>
        <w:t>不是使其與其他公務員同受統一之法律規範，就是使其準用公務人員法來處理</w:t>
      </w:r>
      <w:r>
        <w:rPr>
          <w:rStyle w:val="a9"/>
        </w:rPr>
        <w:footnoteReference w:id="94"/>
      </w:r>
      <w:r>
        <w:rPr>
          <w:rFonts w:hint="eastAsia"/>
        </w:rPr>
        <w:t>。因此，在前開公務人員法制中有關公法上返還請求權的規定，事實上正是同時適用（或準用）於公務員、法官及軍人。畢竟這些問題，都有共通的法理支配，並不因服公務者的身分或特殊職務而有太大區別。</w:t>
      </w:r>
    </w:p>
    <w:p w:rsidR="00000000" w:rsidRDefault="00724932">
      <w:pPr>
        <w:widowControl/>
        <w:spacing w:afterLines="50" w:after="180" w:line="288" w:lineRule="auto"/>
        <w:ind w:left="480" w:hangingChars="200" w:hanging="480"/>
        <w:jc w:val="both"/>
        <w:rPr>
          <w:rFonts w:hint="eastAsia"/>
        </w:rPr>
      </w:pPr>
      <w:r>
        <w:rPr>
          <w:rFonts w:hint="eastAsia"/>
        </w:rPr>
        <w:t>三、此外，在剩餘的公勤務人員中，德國法制又將公務員，與約略相當於我國「約、聘僱人員」的一般職員、職工區別處理。前者，原則上因國家或其他行政主體任用（</w:t>
      </w:r>
      <w:r>
        <w:rPr>
          <w:rFonts w:hint="eastAsia"/>
        </w:rPr>
        <w:t>Ernennung</w:t>
      </w:r>
      <w:r>
        <w:rPr>
          <w:rFonts w:hint="eastAsia"/>
        </w:rPr>
        <w:t>），取得身分，稱「身分法意義之公務員（</w:t>
      </w:r>
      <w:r>
        <w:rPr>
          <w:rFonts w:hint="eastAsia"/>
        </w:rPr>
        <w:t>Beamter im status</w:t>
      </w:r>
      <w:r>
        <w:softHyphen/>
      </w:r>
      <w:r>
        <w:rPr>
          <w:rFonts w:hint="eastAsia"/>
        </w:rPr>
        <w:t>rechtlic</w:t>
      </w:r>
      <w:r>
        <w:rPr>
          <w:rFonts w:hint="eastAsia"/>
        </w:rPr>
        <w:t>hen Sinne</w:t>
      </w:r>
      <w:r>
        <w:rPr>
          <w:rFonts w:hint="eastAsia"/>
        </w:rPr>
        <w:t>）」，為真正的公務員，與國家發生公法關係，其權利義務等法律關係，由聯邦及各邦公務員法規範；而後兩者，傳統上與國家以團體協約（</w:t>
      </w:r>
      <w:r>
        <w:rPr>
          <w:rFonts w:hint="eastAsia"/>
        </w:rPr>
        <w:t>Tarifsvertrag</w:t>
      </w:r>
      <w:r>
        <w:rPr>
          <w:rFonts w:hint="eastAsia"/>
        </w:rPr>
        <w:t>）的方式構成私法上的僱傭關係，非屬聯邦及各邦公務員法的規範範圍</w:t>
      </w:r>
      <w:r>
        <w:rPr>
          <w:rStyle w:val="a9"/>
        </w:rPr>
        <w:footnoteReference w:id="95"/>
      </w:r>
      <w:r>
        <w:rPr>
          <w:rFonts w:hint="eastAsia"/>
        </w:rPr>
        <w:t>。從而前開公務人員法制中有關公法上返還請求權的規定，均不適用於職員、職工等這些私法上的公勤務人員；有關是等人員不當受領薪資或其他金錢給付等問題，悉依民法上不當得利之規定處理，訴訟上之爭議，原則上則為勞動法院（</w:t>
      </w:r>
      <w:r>
        <w:rPr>
          <w:rFonts w:hint="eastAsia"/>
        </w:rPr>
        <w:t>Arbeitsgericht</w:t>
      </w:r>
      <w:r>
        <w:rPr>
          <w:rFonts w:hint="eastAsia"/>
        </w:rPr>
        <w:t>）審理</w:t>
      </w:r>
      <w:r>
        <w:rPr>
          <w:rStyle w:val="a9"/>
        </w:rPr>
        <w:footnoteReference w:id="96"/>
      </w:r>
      <w:r>
        <w:rPr>
          <w:rFonts w:hint="eastAsia"/>
        </w:rPr>
        <w:t>。</w:t>
      </w:r>
    </w:p>
    <w:p w:rsidR="00000000" w:rsidRDefault="00724932">
      <w:pPr>
        <w:widowControl/>
        <w:spacing w:afterLines="50" w:after="180" w:line="288" w:lineRule="auto"/>
        <w:ind w:left="480" w:hangingChars="200" w:hanging="480"/>
        <w:jc w:val="both"/>
        <w:rPr>
          <w:rFonts w:hint="eastAsia"/>
        </w:rPr>
      </w:pPr>
      <w:r>
        <w:rPr>
          <w:rFonts w:hint="eastAsia"/>
        </w:rPr>
        <w:t>四、不過，同樣是公勤務人員，而分</w:t>
      </w:r>
      <w:r>
        <w:rPr>
          <w:rFonts w:hint="eastAsia"/>
        </w:rPr>
        <w:t>屬公、私法關係，非但不是法理所必然，並且近來也逐漸為學者所懷疑；因此，兩種法律關係如何儘量取得其和諧性，乃至同一性，其實也是德國法學界長期努力的議題</w:t>
      </w:r>
      <w:r>
        <w:rPr>
          <w:rStyle w:val="a9"/>
        </w:rPr>
        <w:footnoteReference w:id="97"/>
      </w:r>
      <w:r>
        <w:rPr>
          <w:rFonts w:hint="eastAsia"/>
        </w:rPr>
        <w:t>。即以職員及職工不當受領薪資或其他金錢給付之返還請求為例，輓近由於相關團體協約的若干特別約定</w:t>
      </w:r>
      <w:r>
        <w:rPr>
          <w:rStyle w:val="a9"/>
        </w:rPr>
        <w:footnoteReference w:id="98"/>
      </w:r>
      <w:r>
        <w:rPr>
          <w:rFonts w:hint="eastAsia"/>
        </w:rPr>
        <w:t>，以及勞動法院實務的法官造法</w:t>
      </w:r>
      <w:r>
        <w:rPr>
          <w:rStyle w:val="a9"/>
        </w:rPr>
        <w:footnoteReference w:id="99"/>
      </w:r>
      <w:r>
        <w:rPr>
          <w:rFonts w:hint="eastAsia"/>
        </w:rPr>
        <w:t>，其相關問題的解決，仍與前開事實上只適用於身分法意義下之公務員的特殊公法上返還請求權處理機制逐漸相同</w:t>
      </w:r>
      <w:r>
        <w:rPr>
          <w:rStyle w:val="a9"/>
        </w:rPr>
        <w:footnoteReference w:id="100"/>
      </w:r>
      <w:r>
        <w:rPr>
          <w:rFonts w:hint="eastAsia"/>
        </w:rPr>
        <w:t>。</w:t>
      </w:r>
    </w:p>
    <w:p w:rsidR="00000000" w:rsidRDefault="00724932">
      <w:pPr>
        <w:widowControl/>
        <w:spacing w:afterLines="50" w:after="180" w:line="288" w:lineRule="auto"/>
        <w:ind w:firstLineChars="200" w:firstLine="480"/>
        <w:jc w:val="both"/>
        <w:rPr>
          <w:rFonts w:hAnsi="新細明體" w:hint="eastAsia"/>
        </w:rPr>
      </w:pPr>
      <w:r>
        <w:rPr>
          <w:rFonts w:hint="eastAsia"/>
        </w:rPr>
        <w:t>其次在關於德國公務人員法制中特殊公法上返還請求權「物」之適用範圍方面，由於德國是一個聯邦國家（</w:t>
      </w:r>
      <w:r>
        <w:rPr>
          <w:rFonts w:hint="eastAsia"/>
        </w:rPr>
        <w:t>Bundesstaat</w:t>
      </w:r>
      <w:r>
        <w:rPr>
          <w:rFonts w:hint="eastAsia"/>
        </w:rPr>
        <w:t>），所以基於聯邦</w:t>
      </w:r>
      <w:r>
        <w:rPr>
          <w:rFonts w:hint="eastAsia"/>
        </w:rPr>
        <w:t>與各邦立法權限分</w:t>
      </w:r>
      <w:r>
        <w:rPr>
          <w:rFonts w:hint="eastAsia"/>
        </w:rPr>
        <w:lastRenderedPageBreak/>
        <w:t>配問題，公務人員法制顯得凌亂而複雜</w:t>
      </w:r>
      <w:r>
        <w:rPr>
          <w:rStyle w:val="a9"/>
        </w:rPr>
        <w:footnoteReference w:id="101"/>
      </w:r>
      <w:r>
        <w:rPr>
          <w:rFonts w:hint="eastAsia"/>
        </w:rPr>
        <w:t>。即以公務人員公法上金錢給付之返還請求問題為例，則如上述，分散在為數甚多的各種法律中。首先是屬於特別法性質的聯邦公務員俸給法第十二條，規範有關薪俸問題的返還請求權，其次又是同屬特別法的聯邦及各邦公務員暨法官生存照顧法第五十二條及</w:t>
      </w:r>
      <w:r>
        <w:t>聯邦國防軍前軍人及其遺眷生存照顧法</w:t>
      </w:r>
      <w:r>
        <w:rPr>
          <w:rFonts w:hint="eastAsia"/>
        </w:rPr>
        <w:t>第四十九條，分別規範公務員、法官及軍人以退休金（</w:t>
      </w:r>
      <w:r>
        <w:rPr>
          <w:rFonts w:hint="eastAsia"/>
        </w:rPr>
        <w:t>Ruhegehalt</w:t>
      </w:r>
      <w:r>
        <w:rPr>
          <w:rFonts w:hint="eastAsia"/>
        </w:rPr>
        <w:t>）為主的生存照顧金</w:t>
      </w:r>
      <w:r>
        <w:rPr>
          <w:rStyle w:val="a9"/>
        </w:rPr>
        <w:footnoteReference w:id="102"/>
      </w:r>
      <w:r>
        <w:rPr>
          <w:rFonts w:hint="eastAsia"/>
        </w:rPr>
        <w:t>返還請求權問題；最後至於屬於一般法性質的聯邦公務員法第八十七條、統一公務員法制大綱法第五十三條暨各邦相對應之公</w:t>
      </w:r>
      <w:r>
        <w:rPr>
          <w:rFonts w:hint="eastAsia"/>
        </w:rPr>
        <w:t>務員法條文，乃至德國法官法第四十六條及</w:t>
      </w:r>
      <w:r>
        <w:rPr>
          <w:rFonts w:hAnsi="新細明體"/>
        </w:rPr>
        <w:t>軍人法律地位法</w:t>
      </w:r>
      <w:r>
        <w:rPr>
          <w:rFonts w:hAnsi="新細明體" w:hint="eastAsia"/>
        </w:rPr>
        <w:t>第三十條第三項</w:t>
      </w:r>
      <w:r>
        <w:rPr>
          <w:rFonts w:hint="eastAsia"/>
        </w:rPr>
        <w:t>等準用規定，法律條文雖概括性地宣稱</w:t>
      </w:r>
      <w:r>
        <w:rPr>
          <w:rFonts w:hAnsi="新細明體"/>
        </w:rPr>
        <w:t>「應受領金額或俸給法上之列等」或「勤務金或生存照顧金」</w:t>
      </w:r>
      <w:r>
        <w:rPr>
          <w:rFonts w:hAnsi="新細明體" w:hint="eastAsia"/>
        </w:rPr>
        <w:t>，但卻因特別法排除一般法後的備位關係，事實上則只規範薪俸、生存照顧金等以外其他公法上之金錢給付</w:t>
      </w:r>
      <w:r>
        <w:rPr>
          <w:rStyle w:val="a9"/>
          <w:rFonts w:hAnsi="新細明體"/>
        </w:rPr>
        <w:footnoteReference w:id="103"/>
      </w:r>
      <w:r>
        <w:rPr>
          <w:rFonts w:hAnsi="新細明體" w:hint="eastAsia"/>
        </w:rPr>
        <w:t>而已</w:t>
      </w:r>
      <w:r>
        <w:rPr>
          <w:rStyle w:val="a9"/>
          <w:rFonts w:hAnsi="新細明體"/>
        </w:rPr>
        <w:footnoteReference w:id="104"/>
      </w:r>
      <w:r>
        <w:rPr>
          <w:rFonts w:hAnsi="新細明體" w:hint="eastAsia"/>
        </w:rPr>
        <w:t>。不過對於這些複雜的金錢給付分類與相關法律規定，在比較法的研究上，其實毋庸寄予過度關心；因為前開各主要法條，其規範內涵大同小異，所以在研究上，幾乎可以一併視為「一套」公務人員法制中的特殊公法上返還請求權制度來處理</w:t>
      </w:r>
      <w:r>
        <w:rPr>
          <w:rStyle w:val="a9"/>
          <w:rFonts w:hAnsi="新細明體"/>
        </w:rPr>
        <w:footnoteReference w:id="105"/>
      </w:r>
      <w:r>
        <w:rPr>
          <w:rFonts w:hAnsi="新細明體" w:hint="eastAsia"/>
        </w:rPr>
        <w:t>。</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最後是有關公務人員法制中這一套特殊公法</w:t>
      </w:r>
      <w:r>
        <w:rPr>
          <w:rFonts w:hAnsi="新細明體" w:hint="eastAsia"/>
        </w:rPr>
        <w:t>上返還請求權制度本身內涵的重點問題。這裡除了同樣可以區分構成要件、法律效果及返還請求權之行使方法（二、三、四）外，另值得一述者，則又有該套特殊公法上返還請求權與一般公法上返還請求權，以及聯邦行政程序法第四十九條之一暨各邦行政程序法中相對應之法條規定的關係（一）：</w:t>
      </w:r>
    </w:p>
    <w:p w:rsidR="00000000" w:rsidRDefault="00724932">
      <w:pPr>
        <w:widowControl/>
        <w:spacing w:afterLines="50" w:after="180" w:line="288" w:lineRule="auto"/>
        <w:ind w:left="480" w:hangingChars="200" w:hanging="480"/>
        <w:jc w:val="both"/>
        <w:rPr>
          <w:rFonts w:hAnsi="新細明體" w:hint="eastAsia"/>
        </w:rPr>
      </w:pPr>
      <w:r>
        <w:rPr>
          <w:rFonts w:hAnsi="新細明體" w:hint="eastAsia"/>
        </w:rPr>
        <w:t>一、公務人員法制中的特殊公法上返還請求權，由於本身已具備完整的構成要件及法律效果，一般被視為是一個獨立的公法上返還請求權制度，所以在此範圍內，依特別法優於一般法的關係，排除德國法制中不成文的一般公法上返還請求權</w:t>
      </w:r>
      <w:r>
        <w:rPr>
          <w:rStyle w:val="a9"/>
          <w:rFonts w:hAnsi="新細明體"/>
        </w:rPr>
        <w:footnoteReference w:id="106"/>
      </w:r>
      <w:r>
        <w:rPr>
          <w:rFonts w:hAnsi="新細明體" w:hint="eastAsia"/>
        </w:rPr>
        <w:t>。此外，聯邦行政程序法第四十九條之一</w:t>
      </w:r>
      <w:r>
        <w:rPr>
          <w:rFonts w:hAnsi="新細明體" w:hint="eastAsia"/>
        </w:rPr>
        <w:t>暨各邦行政程序法中相</w:t>
      </w:r>
      <w:r>
        <w:rPr>
          <w:rFonts w:hAnsi="新細明體" w:hint="eastAsia"/>
        </w:rPr>
        <w:lastRenderedPageBreak/>
        <w:t>對應之法條規定，雖然也是一個特殊公法上返還請求權，不過其屬行政法上之一般規定，所以之於公務人員法制中的特殊公法上返還請求權，仍屬一般法，所以也在排除適用的範圍</w:t>
      </w:r>
      <w:r>
        <w:rPr>
          <w:rStyle w:val="a9"/>
          <w:rFonts w:hAnsi="新細明體"/>
        </w:rPr>
        <w:footnoteReference w:id="107"/>
      </w:r>
      <w:r>
        <w:rPr>
          <w:rFonts w:hAnsi="新細明體" w:hint="eastAsia"/>
        </w:rPr>
        <w:t>。從而公務人員法制中的特殊公法上返還請求權，為一完整獨立的規定，具有排他性</w:t>
      </w:r>
      <w:r>
        <w:rPr>
          <w:rFonts w:hint="eastAsia"/>
        </w:rPr>
        <w:t>的優先適用權</w:t>
      </w:r>
      <w:r>
        <w:rPr>
          <w:rFonts w:hAnsi="新細明體" w:hint="eastAsia"/>
        </w:rPr>
        <w:t>；相關問題，既不再適用不成文的一般公法上返還請求權，也不再適用聯邦行政程序法第四十九條之一暨各邦行政程序法中相對應之法條的規定。</w:t>
      </w:r>
    </w:p>
    <w:p w:rsidR="00000000" w:rsidRDefault="00724932">
      <w:pPr>
        <w:widowControl/>
        <w:spacing w:afterLines="50" w:after="180" w:line="288" w:lineRule="auto"/>
        <w:ind w:leftChars="200" w:left="480"/>
        <w:jc w:val="both"/>
        <w:rPr>
          <w:rFonts w:hAnsi="新細明體" w:hint="eastAsia"/>
        </w:rPr>
      </w:pPr>
      <w:r>
        <w:rPr>
          <w:rFonts w:hAnsi="新細明體" w:hint="eastAsia"/>
        </w:rPr>
        <w:t>不過，值得注意的是，公務人員法制中的特殊公法上返還請求權，雖為一完整獨立的制度，惟其內涵，不論在構成要件方面或法律效</w:t>
      </w:r>
      <w:r>
        <w:rPr>
          <w:rFonts w:hAnsi="新細明體" w:hint="eastAsia"/>
        </w:rPr>
        <w:t>果方面，均與不成文的一般公法上返還請求權或聯邦行政程序法第四十九條之一暨各邦行政程序法中相對應之法條規定適用後的結果相去不遠；所以也無怪乎學者</w:t>
      </w:r>
      <w:r>
        <w:rPr>
          <w:rFonts w:hAnsi="新細明體" w:hint="eastAsia"/>
          <w:i/>
        </w:rPr>
        <w:t>Ulrich Battis</w:t>
      </w:r>
      <w:r>
        <w:rPr>
          <w:rFonts w:hAnsi="新細明體" w:hint="eastAsia"/>
        </w:rPr>
        <w:t>直稱：公務人員法制中的這個特殊公法上返還請求權「具體化一般公法上返還請求權</w:t>
      </w:r>
      <w:r>
        <w:rPr>
          <w:rFonts w:hAnsi="新細明體"/>
        </w:rPr>
        <w:t>…</w:t>
      </w:r>
      <w:r>
        <w:rPr>
          <w:rFonts w:hAnsi="新細明體" w:hint="eastAsia"/>
        </w:rPr>
        <w:t>。」</w:t>
      </w:r>
      <w:r>
        <w:rPr>
          <w:rStyle w:val="a9"/>
          <w:rFonts w:hAnsi="新細明體"/>
        </w:rPr>
        <w:footnoteReference w:id="108"/>
      </w:r>
    </w:p>
    <w:p w:rsidR="00000000" w:rsidRDefault="00724932">
      <w:pPr>
        <w:widowControl/>
        <w:spacing w:afterLines="50" w:after="180" w:line="288" w:lineRule="auto"/>
        <w:ind w:left="480" w:hangingChars="200" w:hanging="480"/>
        <w:jc w:val="both"/>
        <w:rPr>
          <w:rFonts w:hAnsi="新細明體" w:hint="eastAsia"/>
        </w:rPr>
      </w:pPr>
      <w:r>
        <w:rPr>
          <w:rFonts w:hAnsi="新細明體" w:hint="eastAsia"/>
        </w:rPr>
        <w:t>二、不當得利返還請求權制度的功能，無論在私法關係中或公法關係中，如前所述</w:t>
      </w:r>
      <w:r>
        <w:rPr>
          <w:rStyle w:val="a9"/>
          <w:rFonts w:hAnsi="新細明體"/>
        </w:rPr>
        <w:footnoteReference w:id="109"/>
      </w:r>
      <w:r>
        <w:rPr>
          <w:rFonts w:hAnsi="新細明體" w:hint="eastAsia"/>
        </w:rPr>
        <w:t>，主要均是為了重新調整法律關係主體間，無法律上之原因，或雖有法律上之原因，而其後已不存在的財產變動；從而現時「法律上之原因」有無，為成立不當得利返還請求權的主要關鍵。不過在公法關係中，法</w:t>
      </w:r>
      <w:r>
        <w:rPr>
          <w:rFonts w:hAnsi="新細明體" w:hint="eastAsia"/>
        </w:rPr>
        <w:t>律上之原因的不（再）存在，有可能是原財產變動所依據的法規溯及既往改變，亦有可能是法規並無改變，但當事人間的財產變動本身，卻因其他事由，如財產變動所依據的行政處分已經溯及失效等，而成為一種無法律上之原因的不當變動。在德國公務人員法制中所架構的特殊公法上返還請求權，即以公務人員「無法律上之原因」受領給付（財產由國家或其他行政主體移轉至公務人員，造成變動），究係出於原所依據的法規溯及改變，或是其他事由所造成者為區分，並作不同的處理：在後一種情形，可能成立公法上返還請求權（各相關法條第一項第一句）；在前一種情形，各</w:t>
      </w:r>
      <w:r>
        <w:rPr>
          <w:rFonts w:hAnsi="新細明體" w:hint="eastAsia"/>
        </w:rPr>
        <w:t>相關法條第一項則明文排除公法上返還請求權的適用</w:t>
      </w:r>
      <w:r>
        <w:rPr>
          <w:rStyle w:val="a9"/>
          <w:rFonts w:hAnsi="新細明體"/>
        </w:rPr>
        <w:footnoteReference w:id="110"/>
      </w:r>
      <w:r>
        <w:rPr>
          <w:rFonts w:hAnsi="新細明體" w:hint="eastAsia"/>
        </w:rPr>
        <w:t>。</w:t>
      </w:r>
    </w:p>
    <w:p w:rsidR="00000000" w:rsidRDefault="00724932">
      <w:pPr>
        <w:widowControl/>
        <w:spacing w:afterLines="50" w:after="180" w:line="288" w:lineRule="auto"/>
        <w:ind w:leftChars="200" w:left="480"/>
        <w:jc w:val="both"/>
        <w:rPr>
          <w:rFonts w:hAnsi="新細明體"/>
        </w:rPr>
      </w:pPr>
      <w:r>
        <w:rPr>
          <w:rFonts w:hAnsi="新細明體" w:hint="eastAsia"/>
        </w:rPr>
        <w:lastRenderedPageBreak/>
        <w:t>德國公務人員法制中特殊公法上返還請求權的這項特別規定，其實深具意義。蓋法律原則上不得溯及既往，而造成人民的不利益；否則憲法上法治國原則中所內含的信賴保護，將有落空之虞</w:t>
      </w:r>
      <w:r>
        <w:rPr>
          <w:rStyle w:val="a9"/>
          <w:rFonts w:hAnsi="新細明體"/>
        </w:rPr>
        <w:footnoteReference w:id="111"/>
      </w:r>
      <w:r>
        <w:rPr>
          <w:rFonts w:hAnsi="新細明體" w:hint="eastAsia"/>
        </w:rPr>
        <w:t>。至於其他情形所造成的公務人員超領公法上之金錢給付，是否該當不當得利，則在個案中仍依公法上返還請求權與民法上不當得利所共有的「財產變動」，尤其是「無法律上之原因」等構成要件要素逐一判斷</w:t>
      </w:r>
      <w:r>
        <w:rPr>
          <w:rStyle w:val="a9"/>
          <w:rFonts w:hAnsi="新細明體"/>
        </w:rPr>
        <w:footnoteReference w:id="112"/>
      </w:r>
      <w:r>
        <w:rPr>
          <w:rFonts w:hAnsi="新細明體" w:hint="eastAsia"/>
        </w:rPr>
        <w:t>。</w:t>
      </w:r>
    </w:p>
    <w:p w:rsidR="00000000" w:rsidRDefault="00724932">
      <w:pPr>
        <w:widowControl/>
        <w:spacing w:afterLines="50" w:after="180" w:line="288" w:lineRule="auto"/>
        <w:ind w:left="480" w:hangingChars="200" w:hanging="480"/>
        <w:jc w:val="both"/>
        <w:rPr>
          <w:rFonts w:hAnsi="新細明體" w:hint="eastAsia"/>
        </w:rPr>
      </w:pPr>
      <w:r>
        <w:rPr>
          <w:rFonts w:hAnsi="新細明體" w:hint="eastAsia"/>
        </w:rPr>
        <w:t>三、至於在返還請求權的法律效果方面，依據各該相關法條的第二項第一句，準用民法有關不當得利之規定；而按通</w:t>
      </w:r>
      <w:r>
        <w:rPr>
          <w:rFonts w:hAnsi="新細明體" w:hint="eastAsia"/>
        </w:rPr>
        <w:t>說</w:t>
      </w:r>
      <w:r>
        <w:rPr>
          <w:rStyle w:val="a9"/>
          <w:rFonts w:hAnsi="新細明體"/>
        </w:rPr>
        <w:footnoteReference w:id="113"/>
      </w:r>
      <w:r>
        <w:rPr>
          <w:rFonts w:hAnsi="新細明體" w:hint="eastAsia"/>
        </w:rPr>
        <w:t>之見解，在此則與德國聯邦行政程序法第四十九條之一相同，原則上只是德國民法第八百十八條至第八百二十條規定而已，至於其他條文，則不包括在內。此外，另依各該相關法條的第二項第二句規定，</w:t>
      </w:r>
      <w:r>
        <w:rPr>
          <w:rFonts w:hAnsi="新細明體"/>
        </w:rPr>
        <w:t>民法第八百十九條第一項所稱之惡意受領人，</w:t>
      </w:r>
      <w:r>
        <w:rPr>
          <w:rFonts w:hAnsi="新細明體" w:hint="eastAsia"/>
        </w:rPr>
        <w:t>也</w:t>
      </w:r>
      <w:r>
        <w:rPr>
          <w:rFonts w:hAnsi="新細明體"/>
        </w:rPr>
        <w:t>不以明知為限，而是包含因重大過失而不知</w:t>
      </w:r>
      <w:r>
        <w:rPr>
          <w:rFonts w:hAnsi="新細明體" w:hint="eastAsia"/>
        </w:rPr>
        <w:t>者在內；就此，法條上的規定，又與德國聯邦行政程序法第四十九條之一同。</w:t>
      </w:r>
    </w:p>
    <w:p w:rsidR="00000000" w:rsidRDefault="00724932">
      <w:pPr>
        <w:widowControl/>
        <w:spacing w:afterLines="50" w:after="180" w:line="288" w:lineRule="auto"/>
        <w:ind w:leftChars="200" w:left="480"/>
        <w:jc w:val="both"/>
        <w:rPr>
          <w:rFonts w:hAnsi="新細明體" w:hint="eastAsia"/>
        </w:rPr>
      </w:pPr>
      <w:r>
        <w:rPr>
          <w:rFonts w:hint="eastAsia"/>
        </w:rPr>
        <w:t>至於比較特殊者，則屬</w:t>
      </w:r>
      <w:r>
        <w:rPr>
          <w:rFonts w:hAnsi="新細明體" w:hint="eastAsia"/>
        </w:rPr>
        <w:t>各該相關法條的第二項第二句規定；此一衡平法理之適用，雖不見於德國聯邦行政程序法第四十九條之一中，但其則可視為一般公法上返還請求權已承認之在個案中以誠實信用原則一</w:t>
      </w:r>
      <w:r>
        <w:rPr>
          <w:rFonts w:hAnsi="新細明體" w:hint="eastAsia"/>
        </w:rPr>
        <w:t>部或全部免除返還責任的一種具體規定</w:t>
      </w:r>
      <w:r>
        <w:rPr>
          <w:rStyle w:val="a9"/>
          <w:rFonts w:hAnsi="新細明體"/>
        </w:rPr>
        <w:footnoteReference w:id="114"/>
      </w:r>
      <w:r>
        <w:rPr>
          <w:rFonts w:hAnsi="新細明體" w:hint="eastAsia"/>
        </w:rPr>
        <w:t>。</w:t>
      </w:r>
    </w:p>
    <w:p w:rsidR="00000000" w:rsidRDefault="00724932">
      <w:pPr>
        <w:widowControl/>
        <w:spacing w:afterLines="50" w:after="180" w:line="288" w:lineRule="auto"/>
        <w:ind w:leftChars="200" w:left="480"/>
        <w:jc w:val="both"/>
        <w:rPr>
          <w:rFonts w:hint="eastAsia"/>
        </w:rPr>
      </w:pPr>
      <w:r>
        <w:rPr>
          <w:rFonts w:hAnsi="新細明體" w:hint="eastAsia"/>
        </w:rPr>
        <w:t>又，</w:t>
      </w:r>
      <w:r>
        <w:rPr>
          <w:rFonts w:hint="eastAsia"/>
        </w:rPr>
        <w:t>聯邦及各邦</w:t>
      </w:r>
      <w:r>
        <w:rPr>
          <w:rFonts w:hAnsi="新細明體" w:hint="eastAsia"/>
        </w:rPr>
        <w:t>公務員</w:t>
      </w:r>
      <w:r>
        <w:rPr>
          <w:rFonts w:hint="eastAsia"/>
        </w:rPr>
        <w:t>暨法官生存照顧法第五十二條第三項及</w:t>
      </w:r>
      <w:r>
        <w:t>聯邦國防軍前軍人及其遺眷生存照顧法</w:t>
      </w:r>
      <w:r>
        <w:rPr>
          <w:rFonts w:hint="eastAsia"/>
        </w:rPr>
        <w:t>第四十九條，為其他相關法條所無之規定；此一規定雖與衡平法理無關，但依該項規定的立法理由</w:t>
      </w:r>
      <w:r>
        <w:rPr>
          <w:rStyle w:val="a9"/>
        </w:rPr>
        <w:footnoteReference w:id="115"/>
      </w:r>
      <w:r>
        <w:rPr>
          <w:rFonts w:hint="eastAsia"/>
        </w:rPr>
        <w:t>，則為行政單純化（</w:t>
      </w:r>
      <w:r>
        <w:rPr>
          <w:rFonts w:hint="eastAsia"/>
        </w:rPr>
        <w:t>Verwaltungsvereinfachung</w:t>
      </w:r>
      <w:r>
        <w:rPr>
          <w:rFonts w:hint="eastAsia"/>
        </w:rPr>
        <w:t>）的表現。而聯邦公務員俸給法第十二條第三項及第四項，以及聯邦及各邦公務員暨法官生存照顧法第五十二條與</w:t>
      </w:r>
      <w:r>
        <w:t>聯邦國防</w:t>
      </w:r>
      <w:r>
        <w:lastRenderedPageBreak/>
        <w:t>軍前軍人及其遺眷生存照顧法</w:t>
      </w:r>
      <w:r>
        <w:rPr>
          <w:rFonts w:hint="eastAsia"/>
        </w:rPr>
        <w:t>第四十九條所共有的第四項及第五項，依據修法增訂該等條項當時的立法理由</w:t>
      </w:r>
      <w:r>
        <w:rPr>
          <w:rStyle w:val="a9"/>
        </w:rPr>
        <w:footnoteReference w:id="116"/>
      </w:r>
      <w:r>
        <w:rPr>
          <w:rFonts w:hint="eastAsia"/>
        </w:rPr>
        <w:t>，也是為了避免行政繁複，確</w:t>
      </w:r>
      <w:r>
        <w:rPr>
          <w:rFonts w:hint="eastAsia"/>
        </w:rPr>
        <w:t>保返還請求權落實可能性，而仿照</w:t>
      </w:r>
      <w:r>
        <w:t>社會法第六編（</w:t>
      </w:r>
      <w:r>
        <w:t>Sechstes Buch Sozialgesetzbuch — Ge</w:t>
      </w:r>
      <w:r>
        <w:rPr>
          <w:rFonts w:hint="eastAsia"/>
        </w:rPr>
        <w:softHyphen/>
      </w:r>
      <w:r>
        <w:t>setzliche Rentenversicherung</w:t>
      </w:r>
      <w:r>
        <w:rPr>
          <w:rFonts w:hint="eastAsia"/>
        </w:rPr>
        <w:t>; SGB VI</w:t>
      </w:r>
      <w:r>
        <w:t>）第一百十八條第三項及第四項</w:t>
      </w:r>
      <w:r>
        <w:rPr>
          <w:rFonts w:hint="eastAsia"/>
        </w:rPr>
        <w:t>所增設的新規定。</w:t>
      </w:r>
    </w:p>
    <w:p w:rsidR="00000000" w:rsidRDefault="00724932">
      <w:pPr>
        <w:widowControl/>
        <w:spacing w:afterLines="50" w:after="180" w:line="288" w:lineRule="auto"/>
        <w:ind w:left="480" w:hangingChars="200" w:hanging="480"/>
        <w:jc w:val="both"/>
        <w:rPr>
          <w:rFonts w:hAnsi="新細明體" w:hint="eastAsia"/>
        </w:rPr>
      </w:pPr>
      <w:r>
        <w:rPr>
          <w:rFonts w:hint="eastAsia"/>
        </w:rPr>
        <w:t>四、在關於返還請求權行使方面，由於公務人員法中前開的各相關法條並無與</w:t>
      </w:r>
      <w:r>
        <w:rPr>
          <w:rFonts w:hAnsi="新細明體" w:hint="eastAsia"/>
        </w:rPr>
        <w:t>德國聯邦行政程序法第四十九條之一第一項第二句類似之規定，並且又由於</w:t>
      </w:r>
      <w:r>
        <w:rPr>
          <w:rFonts w:hint="eastAsia"/>
        </w:rPr>
        <w:t>公務人員法中前開的各相關法條具有適用上的排他性，而不適用</w:t>
      </w:r>
      <w:r>
        <w:rPr>
          <w:rFonts w:hAnsi="新細明體" w:hint="eastAsia"/>
        </w:rPr>
        <w:t>德國聯邦行政程序法第四十九條之一，所以在此，行政機關並無義務以給付裁決的模式行使其返還請</w:t>
      </w:r>
      <w:r>
        <w:rPr>
          <w:rFonts w:hAnsi="新細明體" w:hint="eastAsia"/>
        </w:rPr>
        <w:t>求權</w:t>
      </w:r>
      <w:r>
        <w:rPr>
          <w:rStyle w:val="a9"/>
          <w:rFonts w:hAnsi="新細明體"/>
        </w:rPr>
        <w:footnoteReference w:id="117"/>
      </w:r>
      <w:r>
        <w:rPr>
          <w:rFonts w:hAnsi="新細明體" w:hint="eastAsia"/>
        </w:rPr>
        <w:t>，而是最多只能回歸一般公法上返還請求權所討論的「反面理論」、「隸屬關係說」，乃至必要時直接向行政法院提起一般給付訴訟，抑或主張公法上之抵銷（</w:t>
      </w:r>
      <w:r>
        <w:rPr>
          <w:rFonts w:hAnsi="新細明體" w:hint="eastAsia"/>
        </w:rPr>
        <w:t>Aufrechnung</w:t>
      </w:r>
      <w:r>
        <w:rPr>
          <w:rFonts w:hint="eastAsia"/>
        </w:rPr>
        <w:t xml:space="preserve"> im </w:t>
      </w:r>
      <w:r>
        <w:t>ö</w:t>
      </w:r>
      <w:r>
        <w:rPr>
          <w:rFonts w:hint="eastAsia"/>
        </w:rPr>
        <w:t>ffentlichen Recht</w:t>
      </w:r>
      <w:r>
        <w:rPr>
          <w:rFonts w:hAnsi="新細明體" w:hint="eastAsia"/>
        </w:rPr>
        <w:t>）等方式，來貫徹其返還請求權</w:t>
      </w:r>
      <w:r>
        <w:rPr>
          <w:rStyle w:val="a9"/>
          <w:rFonts w:hAnsi="新細明體"/>
        </w:rPr>
        <w:footnoteReference w:id="118"/>
      </w:r>
      <w:r>
        <w:rPr>
          <w:rFonts w:hAnsi="新細明體" w:hint="eastAsia"/>
        </w:rPr>
        <w:t>；當然在一般公法上返還請求權行使方式問題上已有的相關爭議，亦不免隨之而起。</w:t>
      </w:r>
    </w:p>
    <w:p w:rsidR="00000000" w:rsidRDefault="00724932">
      <w:pPr>
        <w:widowControl/>
        <w:spacing w:line="288" w:lineRule="auto"/>
        <w:ind w:firstLineChars="200" w:firstLine="480"/>
        <w:jc w:val="both"/>
        <w:rPr>
          <w:rFonts w:hint="eastAsia"/>
        </w:rPr>
      </w:pPr>
      <w:r>
        <w:rPr>
          <w:rFonts w:hAnsi="新細明體"/>
        </w:rPr>
        <w:t>最後頗值一提的是，</w:t>
      </w:r>
      <w:r>
        <w:rPr>
          <w:rFonts w:hAnsi="新細明體" w:hint="eastAsia"/>
        </w:rPr>
        <w:t>針對</w:t>
      </w:r>
      <w:r>
        <w:rPr>
          <w:rFonts w:hAnsi="新細明體"/>
        </w:rPr>
        <w:t>聯邦公務員俸給法</w:t>
      </w:r>
      <w:r>
        <w:rPr>
          <w:rFonts w:hAnsi="新細明體" w:hint="eastAsia"/>
        </w:rPr>
        <w:t>第十二條，德國聯邦內政部（</w:t>
      </w:r>
      <w:r>
        <w:t>Bun</w:t>
      </w:r>
      <w:r>
        <w:rPr>
          <w:rFonts w:hint="eastAsia"/>
        </w:rPr>
        <w:softHyphen/>
      </w:r>
      <w:r>
        <w:t>desministerium des Innern</w:t>
      </w:r>
      <w:r>
        <w:rPr>
          <w:rFonts w:hAnsi="新細明體" w:hint="eastAsia"/>
        </w:rPr>
        <w:t>）依據同法第七十一條第一項，發布了</w:t>
      </w:r>
      <w:r>
        <w:rPr>
          <w:rFonts w:hAnsi="新細明體"/>
        </w:rPr>
        <w:t>聯邦公務員俸給法一般行政規則</w:t>
      </w:r>
      <w:r>
        <w:rPr>
          <w:rFonts w:hAnsi="新細明體"/>
          <w:bCs/>
          <w:kern w:val="0"/>
        </w:rPr>
        <w:t>（</w:t>
      </w:r>
      <w:r>
        <w:rPr>
          <w:bCs/>
          <w:kern w:val="0"/>
        </w:rPr>
        <w:t>Allg</w:t>
      </w:r>
      <w:r>
        <w:rPr>
          <w:bCs/>
          <w:kern w:val="0"/>
        </w:rPr>
        <w:t>emeine Verwaltungsvorschrift zum Bundesbesoldungsgesetz</w:t>
      </w:r>
      <w:r>
        <w:rPr>
          <w:rFonts w:hint="eastAsia"/>
          <w:bCs/>
          <w:kern w:val="0"/>
        </w:rPr>
        <w:t xml:space="preserve">; </w:t>
      </w:r>
      <w:r>
        <w:rPr>
          <w:bCs/>
          <w:kern w:val="0"/>
        </w:rPr>
        <w:t>BBesGVwV vom 29. Mai 1980</w:t>
      </w:r>
      <w:r>
        <w:rPr>
          <w:rFonts w:hAnsi="新細明體"/>
          <w:bCs/>
          <w:kern w:val="0"/>
        </w:rPr>
        <w:t>）</w:t>
      </w:r>
      <w:r>
        <w:rPr>
          <w:rFonts w:hAnsi="新細明體" w:hint="eastAsia"/>
          <w:bCs/>
          <w:kern w:val="0"/>
        </w:rPr>
        <w:t>，其內容詳盡，為德國行政實務處理有關公務人員薪俸之公法上返還請求權問提的重要依據，頗具比較法上的參考意義，而彌足珍貴。本研究鑑於該一般行政規則之重要性，全文抄錄於附錄</w:t>
      </w:r>
      <w:r>
        <w:rPr>
          <w:rFonts w:hint="eastAsia"/>
        </w:rPr>
        <w:t xml:space="preserve">　貳、二中，俾資查照。</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bCs/>
          <w:sz w:val="36"/>
          <w:szCs w:val="36"/>
        </w:rPr>
      </w:pPr>
      <w:r>
        <w:rPr>
          <w:rFonts w:hAnsi="新細明體"/>
          <w:b/>
          <w:bCs/>
          <w:sz w:val="36"/>
          <w:szCs w:val="36"/>
        </w:rPr>
        <w:br w:type="page"/>
      </w:r>
      <w:r>
        <w:rPr>
          <w:rFonts w:hAnsi="新細明體" w:hint="eastAsia"/>
          <w:b/>
          <w:bCs/>
          <w:sz w:val="36"/>
          <w:szCs w:val="36"/>
        </w:rPr>
        <w:lastRenderedPageBreak/>
        <w:t>第</w:t>
      </w:r>
      <w:r>
        <w:rPr>
          <w:rFonts w:hint="eastAsia"/>
          <w:b/>
          <w:sz w:val="36"/>
          <w:szCs w:val="36"/>
        </w:rPr>
        <w:t>三節</w:t>
      </w:r>
      <w:r>
        <w:rPr>
          <w:rFonts w:hAnsi="新細明體" w:hint="eastAsia"/>
          <w:b/>
          <w:bCs/>
          <w:sz w:val="36"/>
          <w:szCs w:val="36"/>
        </w:rPr>
        <w:t xml:space="preserve">　</w:t>
      </w:r>
      <w:r>
        <w:rPr>
          <w:rFonts w:hint="eastAsia"/>
          <w:b/>
          <w:sz w:val="36"/>
          <w:szCs w:val="36"/>
        </w:rPr>
        <w:t>小結</w:t>
      </w:r>
    </w:p>
    <w:p w:rsidR="00000000" w:rsidRDefault="00724932">
      <w:pPr>
        <w:widowControl/>
        <w:spacing w:afterLines="50" w:after="180" w:line="288" w:lineRule="auto"/>
        <w:ind w:firstLineChars="200" w:firstLine="480"/>
        <w:jc w:val="both"/>
        <w:rPr>
          <w:rFonts w:hint="eastAsia"/>
        </w:rPr>
      </w:pPr>
      <w:r>
        <w:rPr>
          <w:rFonts w:hint="eastAsia"/>
        </w:rPr>
        <w:t>總之，依據本章前開種種有關德國公法上返還請求權的說明，最後作為本章之小結，本研究可以作以下幾點確定：</w:t>
      </w:r>
    </w:p>
    <w:p w:rsidR="00000000" w:rsidRDefault="00724932">
      <w:pPr>
        <w:widowControl/>
        <w:spacing w:afterLines="50" w:after="180" w:line="288" w:lineRule="auto"/>
        <w:ind w:left="480" w:hangingChars="200" w:hanging="480"/>
        <w:jc w:val="both"/>
        <w:rPr>
          <w:rFonts w:hint="eastAsia"/>
        </w:rPr>
      </w:pPr>
      <w:r>
        <w:rPr>
          <w:rFonts w:hint="eastAsia"/>
        </w:rPr>
        <w:t>一、有關公務人員公法上金錢給付之</w:t>
      </w:r>
      <w:r>
        <w:rPr>
          <w:rFonts w:hint="eastAsia"/>
        </w:rPr>
        <w:t>返還請求的問題，在德國法制中，足資做為我國比較法參考對象者，依序共計有（一）不成文的「一般公法上返還請求權」，（二）德國聯邦行政程序法第四十九條之一暨各邦行政程序法中相對應之規定所形成的一種「特殊公法上返還請求權」，以及（三）德國公務人員法制中若干特別規定所共同組成的另一種「特殊公法上返還請求權」等三種可能性；不過其中，由於我國目前的法律欠缺類似德國公務人員法上的特別規定，所以在解決我國公務人員公法上金錢給付之返還請求的相關問題時，直接的比較法參考對象，或許只有我國學說與實務</w:t>
      </w:r>
      <w:r>
        <w:rPr>
          <w:rStyle w:val="a9"/>
        </w:rPr>
        <w:footnoteReference w:id="119"/>
      </w:r>
      <w:r>
        <w:rPr>
          <w:rFonts w:hint="eastAsia"/>
        </w:rPr>
        <w:t>亦已承認的一般公法上返還請求權</w:t>
      </w:r>
      <w:r>
        <w:rPr>
          <w:rFonts w:hint="eastAsia"/>
        </w:rPr>
        <w:t>（我國仍習稱：「公法上不當得利」</w:t>
      </w:r>
      <w:r>
        <w:rPr>
          <w:rStyle w:val="a9"/>
        </w:rPr>
        <w:footnoteReference w:id="120"/>
      </w:r>
      <w:r>
        <w:rPr>
          <w:rFonts w:hint="eastAsia"/>
        </w:rPr>
        <w:t>），以及相當於我國行政程序法第一百二十七條的德國聯邦行政程序法第四十九條之一規定，得以考慮。然而在此同時，必須注意的是，德國的公法上返還請求權制度，雖然因此有一般公法上返還請求權與各種特殊公法上返還請求權之分，惟其實際之內容，只要是涉及國家或其他行政主體（請求權人）向人民（被請求權人）請求時，無論是在請求權的構成要件、法律效果或請求權如何行使的問題，並無本質上的絕對差異。換言之，德國的公法上返還請求權在此僅有「一套」的制度；因此以德國作為被繼受國的我國，在處理有關公務人員公</w:t>
      </w:r>
      <w:r>
        <w:rPr>
          <w:rFonts w:hint="eastAsia"/>
        </w:rPr>
        <w:t>法上金錢給付之返還請求的問題時，無論是以德國一般公法上返還請求權，抑或以德國聯邦行政程序法第四十九條之一之規定（涉及公務人員以行政處分作為法律上之原因而受領公法上之金錢給付）作為比較法的參考對象，所得出的答案，實無二致。</w:t>
      </w:r>
    </w:p>
    <w:p w:rsidR="00000000" w:rsidRDefault="00724932">
      <w:pPr>
        <w:widowControl/>
        <w:spacing w:afterLines="50" w:after="180" w:line="288" w:lineRule="auto"/>
        <w:ind w:left="480" w:hangingChars="200" w:hanging="480"/>
        <w:jc w:val="both"/>
        <w:rPr>
          <w:rFonts w:hint="eastAsia"/>
        </w:rPr>
      </w:pPr>
      <w:r>
        <w:rPr>
          <w:rFonts w:hint="eastAsia"/>
        </w:rPr>
        <w:t>二、德國的公法上返還請求權，最早雖或脫胎於民法上不當得利，惟其二者因為支配的法理不同，在往後的發展上已成為兩套平行的制度。從而，公法上返還請求權有其獨立的構成要件，並不直接適用民法第八百十二條至第八百十七條及第八百二十一條之規定（約略相當於我國民法第一百七十九條及第一</w:t>
      </w:r>
      <w:r>
        <w:rPr>
          <w:rFonts w:hint="eastAsia"/>
        </w:rPr>
        <w:lastRenderedPageBreak/>
        <w:t>百八十條之規定）；至於</w:t>
      </w:r>
      <w:r>
        <w:rPr>
          <w:rFonts w:hint="eastAsia"/>
        </w:rPr>
        <w:t>在法律效果的部分，縱令若干特殊公法上返還請求權定有準用民法的明文規定，其結果在準用時，仍應以「信賴保護」與「衡平法理」等原則做實際出發點，合目的性地適用民法第八百十八條至第八百二十條（約略相當於我國民法第一百八十一條及第一百八十二條之規定），而非不加深思熟慮地全盤接受民法上的規定</w:t>
      </w:r>
      <w:r>
        <w:rPr>
          <w:rStyle w:val="a9"/>
        </w:rPr>
        <w:footnoteReference w:id="121"/>
      </w:r>
      <w:r>
        <w:rPr>
          <w:rFonts w:hint="eastAsia"/>
        </w:rPr>
        <w:t>。</w:t>
      </w:r>
    </w:p>
    <w:p w:rsidR="00000000" w:rsidRDefault="00724932">
      <w:pPr>
        <w:widowControl/>
        <w:spacing w:afterLines="50" w:after="180" w:line="288" w:lineRule="auto"/>
        <w:ind w:left="480" w:hangingChars="200" w:hanging="480"/>
        <w:jc w:val="both"/>
        <w:rPr>
          <w:rFonts w:hint="eastAsia"/>
        </w:rPr>
      </w:pPr>
      <w:r>
        <w:rPr>
          <w:rFonts w:hint="eastAsia"/>
        </w:rPr>
        <w:t>三、德國的公法上返還請求權，在有關國家或其他行政主體如何向人民行使請求權的問題上，迄今仍是爭議未休。雖然行政實務上早已分別發展出以「行政處分」、「公法上之抵銷」及「一般給付訴訟」的方法行使，並且獲得法院實務所肯定，但是其間法理</w:t>
      </w:r>
      <w:r>
        <w:rPr>
          <w:rFonts w:hint="eastAsia"/>
        </w:rPr>
        <w:t>究竟何在，縱使在學術界也意見紛歧。因此在本研究中，有關行政機關如何向公務人員行使公法上金錢性質之不當得利返還請求權的問題，將是最難處理的環節之一（參見下文第四章）。</w:t>
      </w:r>
    </w:p>
    <w:p w:rsidR="00000000" w:rsidRDefault="00724932">
      <w:pPr>
        <w:widowControl/>
        <w:spacing w:line="288" w:lineRule="auto"/>
        <w:ind w:left="480" w:hangingChars="200" w:hanging="480"/>
        <w:jc w:val="both"/>
        <w:rPr>
          <w:rFonts w:hint="eastAsia"/>
        </w:rPr>
      </w:pPr>
      <w:r>
        <w:rPr>
          <w:rFonts w:hint="eastAsia"/>
        </w:rPr>
        <w:t>四、在德國公務人員法制中，所謂「公務人員」，廣義上至少尚應包括公勤務關係中的「職員」與「職工」在內。雖然這些非屬「身分法意義下之公務員」的公勤務人員，傳統上與行政機關係依據私法契約而產生法律關係，故在有關行政機關向是等人員請求返還金錢給付的問題上，原則上也只能適用民法不當得利之規定來處理，不過在此，卻由於相關團體協約的若干特殊約定，以及勞動法院</w:t>
      </w:r>
      <w:r>
        <w:rPr>
          <w:rFonts w:hint="eastAsia"/>
        </w:rPr>
        <w:t>實務的法官造法等，其相關問題的解決，最後仍與前開適用於身分法意義下之公務員的公法上返還請求權處理機制若合符節。這種比較法上的觀察，對於我國法而言，相當具有意義。蓋在我國法制中，所謂的「約、聘僱人員」，性質上與前揭德國法上非屬「身分法意義下之公務員」的職員、職工，極其相似，更何況我國近來司法實務</w:t>
      </w:r>
      <w:r>
        <w:rPr>
          <w:rStyle w:val="a9"/>
        </w:rPr>
        <w:footnoteReference w:id="122"/>
      </w:r>
      <w:r>
        <w:rPr>
          <w:rFonts w:hint="eastAsia"/>
        </w:rPr>
        <w:t>逐漸有將這些約聘僱人員與行政機關的關係，定性為我國行政程序法第一百三十五條以下之行政契約，亦即公法關係的趨勢；所以在此一前提下，德國法制中如何比照適用「公法」上返還請求權，來處理原屬民法上不當得利問題的行政機關向職員</w:t>
      </w:r>
      <w:r>
        <w:rPr>
          <w:rFonts w:hint="eastAsia"/>
        </w:rPr>
        <w:t>及職工等請求返還金錢給付關係，實饒富參考上的實益。相同的問題點，進一步地也適用在具有職務特殊性的法官、軍人，以及根本非屬於公勤務人員的政務人員及民選公職人員（公務人員保障法第三條第二項參照）法律關係中。因為</w:t>
      </w:r>
      <w:r>
        <w:rPr>
          <w:rFonts w:hint="eastAsia"/>
        </w:rPr>
        <w:lastRenderedPageBreak/>
        <w:t>這些人員，縱使在德國傳統上均不與一般身分法意義下之公務員同列，但是在涉及有關公務人員公法上金錢給付之返還請求的問題時，德國法制則仍傾向將其與一般身分法意義下之公務員作相同（如法官及軍人等）或至少類似的處理；此一作法，亦值吾國法制上參考。</w:t>
      </w:r>
    </w:p>
    <w:p w:rsidR="00000000" w:rsidRDefault="00724932">
      <w:pPr>
        <w:widowControl/>
        <w:spacing w:line="288" w:lineRule="auto"/>
        <w:ind w:left="480" w:hangingChars="200" w:hanging="480"/>
        <w:jc w:val="both"/>
        <w:rPr>
          <w:rFonts w:hint="eastAsia"/>
        </w:rPr>
      </w:pPr>
    </w:p>
    <w:p w:rsidR="00000000" w:rsidRDefault="00724932">
      <w:pPr>
        <w:widowControl/>
        <w:spacing w:line="288" w:lineRule="auto"/>
        <w:ind w:left="480" w:hangingChars="200" w:hanging="480"/>
        <w:jc w:val="both"/>
        <w:rPr>
          <w:rFonts w:hint="eastAsia"/>
        </w:rPr>
      </w:pPr>
    </w:p>
    <w:p w:rsidR="00000000" w:rsidRDefault="00724932">
      <w:pPr>
        <w:widowControl/>
        <w:spacing w:line="288" w:lineRule="auto"/>
        <w:ind w:left="480" w:hangingChars="200" w:hanging="480"/>
        <w:jc w:val="both"/>
        <w:rPr>
          <w:rFonts w:hint="eastAsia"/>
        </w:rPr>
      </w:pPr>
    </w:p>
    <w:p w:rsidR="00000000" w:rsidRDefault="00724932">
      <w:pPr>
        <w:widowControl/>
        <w:spacing w:beforeLines="400" w:before="1440" w:afterLines="50" w:after="180" w:line="288" w:lineRule="auto"/>
        <w:jc w:val="center"/>
        <w:rPr>
          <w:rFonts w:hint="eastAsia"/>
          <w:b/>
          <w:bCs/>
          <w:sz w:val="48"/>
          <w:szCs w:val="48"/>
        </w:rPr>
      </w:pPr>
      <w:r>
        <w:rPr>
          <w:b/>
          <w:sz w:val="48"/>
          <w:szCs w:val="48"/>
        </w:rPr>
        <w:br w:type="page"/>
      </w:r>
      <w:r>
        <w:rPr>
          <w:rFonts w:hint="eastAsia"/>
          <w:b/>
          <w:sz w:val="48"/>
          <w:szCs w:val="48"/>
        </w:rPr>
        <w:lastRenderedPageBreak/>
        <w:t>第三章</w:t>
      </w:r>
      <w:r>
        <w:rPr>
          <w:rFonts w:hAnsi="新細明體" w:hint="eastAsia"/>
          <w:b/>
          <w:bCs/>
          <w:sz w:val="48"/>
          <w:szCs w:val="48"/>
        </w:rPr>
        <w:t xml:space="preserve">　</w:t>
      </w:r>
      <w:r>
        <w:rPr>
          <w:rFonts w:hint="eastAsia"/>
          <w:b/>
          <w:sz w:val="48"/>
          <w:szCs w:val="48"/>
        </w:rPr>
        <w:t>對公務人員無法律上之原因受領公法上金錢給付之返還請求</w:t>
      </w:r>
      <w:r>
        <w:rPr>
          <w:rFonts w:hint="eastAsia"/>
          <w:b/>
          <w:sz w:val="48"/>
          <w:szCs w:val="48"/>
        </w:rPr>
        <w:t>權</w:t>
      </w:r>
    </w:p>
    <w:p w:rsidR="00000000" w:rsidRDefault="00724932">
      <w:pPr>
        <w:widowControl/>
        <w:spacing w:afterLines="50" w:after="180" w:line="288" w:lineRule="auto"/>
        <w:jc w:val="both"/>
        <w:rPr>
          <w:rFonts w:hAnsi="新細明體" w:hint="eastAsia"/>
          <w:b/>
          <w:bCs/>
          <w:sz w:val="40"/>
          <w:szCs w:val="40"/>
        </w:rPr>
      </w:pPr>
    </w:p>
    <w:p w:rsidR="00000000" w:rsidRDefault="00724932">
      <w:pPr>
        <w:widowControl/>
        <w:spacing w:afterLines="50" w:after="180" w:line="288" w:lineRule="auto"/>
        <w:ind w:firstLineChars="200" w:firstLine="480"/>
        <w:jc w:val="both"/>
        <w:rPr>
          <w:rFonts w:hint="eastAsia"/>
        </w:rPr>
      </w:pPr>
      <w:r>
        <w:rPr>
          <w:rFonts w:hint="eastAsia"/>
        </w:rPr>
        <w:t>承續前章德國法制中公法上返還請求權制度的概括說明後，本</w:t>
      </w:r>
      <w:r>
        <w:rPr>
          <w:rFonts w:hAnsi="新細明體" w:hint="eastAsia"/>
        </w:rPr>
        <w:t>章主要處理者，為進一步利用德國法制之觀察，來架構我國行政機關</w:t>
      </w:r>
      <w:r>
        <w:rPr>
          <w:rFonts w:hint="eastAsia"/>
        </w:rPr>
        <w:t>對公務人員無法律上之原因受領公法上金錢給付之返還請求權的機制。至於在章節順序的安排上，則首先將分析現階段我國公務人員受領公法上金錢給付的各種類型，以決定其於無法律上之原因而受領時，行政機關應否及如何適用公法上不當得利制度，來請求其返還（第一節）；其次，再依序討論各相關類型的不當受領（即：無法律上之原因之公法上金錢給付受領），如何在我國現行法已承認的「一般公法上不當得利返還請求權」及「行政程</w:t>
      </w:r>
      <w:r>
        <w:rPr>
          <w:rFonts w:hint="eastAsia"/>
        </w:rPr>
        <w:t>序法第一百二十七條」等兩種公法上不當得利制度下，分別該當返還請求權之構成要件（第二節），並其有何法律效果（第三節），及返還請求權之消滅時效（第四節）等議題。而最後有關行政機關如何向公務人員行使公法上返還請求權的問題，則另鑑於其特殊性，將留待下一章（第四章）內集中探討。此外，復鑑於本研究之主旨，原在取向於實務問題之處理，所以本章各節中實際的研究重點，原則上也只在透過德國法與我國法的交叉比較，來解決我國目前實務上所遭遇的以下各項重要問題：</w:t>
      </w:r>
    </w:p>
    <w:p w:rsidR="00000000" w:rsidRDefault="00724932">
      <w:pPr>
        <w:widowControl/>
        <w:numPr>
          <w:ilvl w:val="0"/>
          <w:numId w:val="12"/>
        </w:numPr>
        <w:spacing w:afterLines="50" w:after="180" w:line="288" w:lineRule="auto"/>
        <w:jc w:val="both"/>
        <w:rPr>
          <w:rFonts w:hint="eastAsia"/>
        </w:rPr>
      </w:pPr>
      <w:r>
        <w:rPr>
          <w:rFonts w:hint="eastAsia"/>
        </w:rPr>
        <w:t>公務人員保障法所定義的各種公務人員類型，在涉及不當受領薪俸或其他具有財產</w:t>
      </w:r>
      <w:r>
        <w:rPr>
          <w:rFonts w:hint="eastAsia"/>
        </w:rPr>
        <w:t>價值之照護給付時，是否均能適用</w:t>
      </w:r>
      <w:r>
        <w:rPr>
          <w:rFonts w:hAnsi="新細明體" w:hint="eastAsia"/>
        </w:rPr>
        <w:t>公法上不當得利的制度，請求返還？而在其能</w:t>
      </w:r>
      <w:r>
        <w:rPr>
          <w:rFonts w:hint="eastAsia"/>
        </w:rPr>
        <w:t>適用</w:t>
      </w:r>
      <w:r>
        <w:rPr>
          <w:rFonts w:hAnsi="新細明體" w:hint="eastAsia"/>
        </w:rPr>
        <w:t>公法上不當得利之制度請求返還的範圍內，是否另有必要因公務人員類型之不同，再進一步加以適度的類型化，以確定適用不同的公法上不當得利之構成要件及法律效果，請求返還？（第一節、壹）</w:t>
      </w:r>
    </w:p>
    <w:p w:rsidR="00000000" w:rsidRDefault="00724932">
      <w:pPr>
        <w:widowControl/>
        <w:numPr>
          <w:ilvl w:val="0"/>
          <w:numId w:val="12"/>
        </w:numPr>
        <w:spacing w:afterLines="50" w:after="180" w:line="288" w:lineRule="auto"/>
        <w:jc w:val="both"/>
        <w:rPr>
          <w:rFonts w:hint="eastAsia"/>
        </w:rPr>
      </w:pPr>
      <w:r>
        <w:rPr>
          <w:rFonts w:hAnsi="新細明體"/>
        </w:rPr>
        <w:t>公務人員</w:t>
      </w:r>
      <w:r>
        <w:rPr>
          <w:rFonts w:hAnsi="新細明體" w:hint="eastAsia"/>
        </w:rPr>
        <w:t>所受領、並具有公法上金錢給付性質的</w:t>
      </w:r>
      <w:r>
        <w:rPr>
          <w:rFonts w:hint="eastAsia"/>
        </w:rPr>
        <w:t>薪俸或其他照護給付本身，種類亦相當複雜而繁多；準此，不同種類的公法上金錢給付，是否均能一概適用</w:t>
      </w:r>
      <w:r>
        <w:rPr>
          <w:rFonts w:hAnsi="新細明體" w:hint="eastAsia"/>
        </w:rPr>
        <w:t>公法上不當得利的制度，請求返還？此外，在其能適用公法上不當得利</w:t>
      </w:r>
      <w:r>
        <w:rPr>
          <w:rFonts w:hAnsi="新細明體" w:hint="eastAsia"/>
        </w:rPr>
        <w:lastRenderedPageBreak/>
        <w:t>之制度請求返還的範圍內，有無必要因</w:t>
      </w:r>
      <w:r>
        <w:rPr>
          <w:rFonts w:hint="eastAsia"/>
        </w:rPr>
        <w:t>金錢給付</w:t>
      </w:r>
      <w:r>
        <w:rPr>
          <w:rFonts w:hAnsi="新細明體" w:hint="eastAsia"/>
        </w:rPr>
        <w:t>類型之不同，更進一步加</w:t>
      </w:r>
      <w:r>
        <w:rPr>
          <w:rFonts w:hAnsi="新細明體" w:hint="eastAsia"/>
        </w:rPr>
        <w:t>以類型化，以確定適用不同的公法上不當得利之構成要件及法律效果，請求返還？（第一節、貳）</w:t>
      </w:r>
    </w:p>
    <w:p w:rsidR="00000000" w:rsidRDefault="00724932">
      <w:pPr>
        <w:widowControl/>
        <w:numPr>
          <w:ilvl w:val="0"/>
          <w:numId w:val="12"/>
        </w:numPr>
        <w:spacing w:afterLines="50" w:after="180" w:line="288" w:lineRule="auto"/>
        <w:jc w:val="both"/>
        <w:rPr>
          <w:rFonts w:hint="eastAsia"/>
        </w:rPr>
      </w:pPr>
      <w:r>
        <w:rPr>
          <w:rFonts w:hAnsi="新細明體" w:hint="eastAsia"/>
        </w:rPr>
        <w:t>所謂「公法上不當得利」，其請求權成立之構成要件為何？而</w:t>
      </w:r>
      <w:r>
        <w:rPr>
          <w:rFonts w:hAnsi="新細明體"/>
        </w:rPr>
        <w:t>公務人員</w:t>
      </w:r>
      <w:r>
        <w:rPr>
          <w:rFonts w:hAnsi="新細明體" w:hint="eastAsia"/>
        </w:rPr>
        <w:t>受領具有公法上金錢給付性質的</w:t>
      </w:r>
      <w:r>
        <w:rPr>
          <w:rFonts w:hint="eastAsia"/>
        </w:rPr>
        <w:t>薪俸或其他照護給付，如何始</w:t>
      </w:r>
      <w:r>
        <w:rPr>
          <w:rFonts w:hAnsi="新細明體" w:hint="eastAsia"/>
        </w:rPr>
        <w:t>該當公法上不當得利返還請求權的構成要件，而得請求返還？（第二節）</w:t>
      </w:r>
    </w:p>
    <w:p w:rsidR="00000000" w:rsidRDefault="00724932">
      <w:pPr>
        <w:widowControl/>
        <w:numPr>
          <w:ilvl w:val="0"/>
          <w:numId w:val="12"/>
        </w:numPr>
        <w:spacing w:afterLines="50" w:after="180" w:line="288" w:lineRule="auto"/>
        <w:jc w:val="both"/>
        <w:rPr>
          <w:rFonts w:hint="eastAsia"/>
        </w:rPr>
      </w:pPr>
      <w:r>
        <w:rPr>
          <w:rFonts w:hAnsi="新細明體"/>
        </w:rPr>
        <w:t>公務人員</w:t>
      </w:r>
      <w:r>
        <w:rPr>
          <w:rFonts w:hAnsi="新細明體" w:hint="eastAsia"/>
        </w:rPr>
        <w:t>受領公法上金錢給付應否、並如何區分以（一）行政處分為「法律上之原因」而受領之給付（行政程序法</w:t>
      </w:r>
      <w:r>
        <w:rPr>
          <w:rFonts w:hAnsi="新細明體"/>
        </w:rPr>
        <w:t>第一百二十七條</w:t>
      </w:r>
      <w:r>
        <w:rPr>
          <w:rFonts w:hAnsi="新細明體" w:hint="eastAsia"/>
        </w:rPr>
        <w:t>參照），以及（二）非以行政處分為「法律上之原因」而受領之給付等兩種類型？其構成要件及法律效果是否不同？（第二節及第三節）</w:t>
      </w:r>
    </w:p>
    <w:p w:rsidR="00000000" w:rsidRDefault="00724932">
      <w:pPr>
        <w:widowControl/>
        <w:numPr>
          <w:ilvl w:val="0"/>
          <w:numId w:val="12"/>
        </w:numPr>
        <w:spacing w:afterLines="50" w:after="180" w:line="288" w:lineRule="auto"/>
        <w:jc w:val="both"/>
      </w:pPr>
      <w:r>
        <w:rPr>
          <w:rFonts w:hAnsi="新細明體"/>
        </w:rPr>
        <w:t>支付行</w:t>
      </w:r>
      <w:r>
        <w:rPr>
          <w:rFonts w:hAnsi="新細明體"/>
        </w:rPr>
        <w:t>為之性質</w:t>
      </w:r>
      <w:r>
        <w:rPr>
          <w:rFonts w:hAnsi="新細明體" w:hint="eastAsia"/>
        </w:rPr>
        <w:t>為何？其與</w:t>
      </w:r>
      <w:r>
        <w:rPr>
          <w:rFonts w:hAnsi="新細明體"/>
        </w:rPr>
        <w:t>各該法律</w:t>
      </w:r>
      <w:r>
        <w:rPr>
          <w:rFonts w:hAnsi="新細明體" w:hint="eastAsia"/>
        </w:rPr>
        <w:t>上之</w:t>
      </w:r>
      <w:r>
        <w:rPr>
          <w:rFonts w:hAnsi="新細明體"/>
        </w:rPr>
        <w:t>原因</w:t>
      </w:r>
      <w:r>
        <w:rPr>
          <w:rFonts w:hAnsi="新細明體" w:hint="eastAsia"/>
        </w:rPr>
        <w:t>的</w:t>
      </w:r>
      <w:r>
        <w:rPr>
          <w:rFonts w:hAnsi="新細明體"/>
        </w:rPr>
        <w:t>關係</w:t>
      </w:r>
      <w:r>
        <w:rPr>
          <w:rFonts w:hAnsi="新細明體" w:hint="eastAsia"/>
        </w:rPr>
        <w:t>又如何？</w:t>
      </w:r>
      <w:r>
        <w:rPr>
          <w:rFonts w:hAnsi="新細明體"/>
        </w:rPr>
        <w:t>例如以行政處分做為法律上</w:t>
      </w:r>
      <w:r>
        <w:rPr>
          <w:rFonts w:hAnsi="新細明體" w:hint="eastAsia"/>
        </w:rPr>
        <w:t>之</w:t>
      </w:r>
      <w:r>
        <w:rPr>
          <w:rFonts w:hAnsi="新細明體"/>
        </w:rPr>
        <w:t>原因</w:t>
      </w:r>
      <w:r>
        <w:rPr>
          <w:rFonts w:hAnsi="新細明體" w:hint="eastAsia"/>
        </w:rPr>
        <w:t>的金錢</w:t>
      </w:r>
      <w:r>
        <w:rPr>
          <w:rFonts w:hAnsi="新細明體"/>
        </w:rPr>
        <w:t>給付，其後之實際支付行為（可能匯款轉帳或發給薪水通知單）是否亦屬於行政處分，或僅為單純之事實行為</w:t>
      </w:r>
      <w:r>
        <w:rPr>
          <w:rFonts w:hAnsi="新細明體" w:hint="eastAsia"/>
        </w:rPr>
        <w:t>？（第一節、貳）</w:t>
      </w:r>
    </w:p>
    <w:p w:rsidR="00000000" w:rsidRDefault="00724932">
      <w:pPr>
        <w:widowControl/>
        <w:numPr>
          <w:ilvl w:val="0"/>
          <w:numId w:val="12"/>
        </w:numPr>
        <w:spacing w:afterLines="50" w:after="180" w:line="288" w:lineRule="auto"/>
        <w:jc w:val="both"/>
        <w:rPr>
          <w:rFonts w:hint="eastAsia"/>
        </w:rPr>
      </w:pPr>
      <w:r>
        <w:rPr>
          <w:rFonts w:hAnsi="新細明體"/>
        </w:rPr>
        <w:t>公務人員</w:t>
      </w:r>
      <w:r>
        <w:rPr>
          <w:rFonts w:hAnsi="新細明體" w:hint="eastAsia"/>
        </w:rPr>
        <w:t>不當受領公法上金錢給付，依公法上不當得利制度所產生的</w:t>
      </w:r>
      <w:r>
        <w:rPr>
          <w:rFonts w:hAnsi="新細明體"/>
        </w:rPr>
        <w:t>返還範圍為何？</w:t>
      </w:r>
      <w:r>
        <w:rPr>
          <w:rFonts w:hAnsi="新細明體" w:hint="eastAsia"/>
        </w:rPr>
        <w:t>被請求返還人</w:t>
      </w:r>
      <w:r>
        <w:rPr>
          <w:rFonts w:hAnsi="新細明體"/>
        </w:rPr>
        <w:t>得否主張所受</w:t>
      </w:r>
      <w:r>
        <w:rPr>
          <w:rFonts w:hAnsi="新細明體" w:hint="eastAsia"/>
        </w:rPr>
        <w:t>之</w:t>
      </w:r>
      <w:r>
        <w:rPr>
          <w:rFonts w:hAnsi="新細明體"/>
        </w:rPr>
        <w:t>利益已不存在，免負返還或償還價額之責任？</w:t>
      </w:r>
      <w:r>
        <w:rPr>
          <w:rFonts w:hAnsi="新細明體" w:hint="eastAsia"/>
        </w:rPr>
        <w:t>又，</w:t>
      </w:r>
      <w:r>
        <w:rPr>
          <w:rFonts w:hAnsi="新細明體"/>
        </w:rPr>
        <w:t>行政程序法第一百二十七條第二項規定：「前項返還範圍準用民法有關不當得利之規定」</w:t>
      </w:r>
      <w:r>
        <w:rPr>
          <w:rFonts w:hAnsi="新細明體" w:hint="eastAsia"/>
        </w:rPr>
        <w:t>，</w:t>
      </w:r>
      <w:r>
        <w:rPr>
          <w:rFonts w:hAnsi="新細明體"/>
        </w:rPr>
        <w:t>究竟應該如何準用？而民法第一百八十二條關於善意受領人僅負返還現存利益之責任及惡意受領人加重</w:t>
      </w:r>
      <w:r>
        <w:rPr>
          <w:rFonts w:hAnsi="新細明體"/>
        </w:rPr>
        <w:t>責任之規定，是否皆在準用之列？</w:t>
      </w:r>
      <w:r>
        <w:rPr>
          <w:rFonts w:hAnsi="新細明體" w:hint="eastAsia"/>
        </w:rPr>
        <w:t>（第三節、貳、二）</w:t>
      </w:r>
    </w:p>
    <w:p w:rsidR="00000000" w:rsidRDefault="00724932">
      <w:pPr>
        <w:widowControl/>
        <w:numPr>
          <w:ilvl w:val="0"/>
          <w:numId w:val="12"/>
        </w:numPr>
        <w:spacing w:afterLines="50" w:after="180" w:line="288" w:lineRule="auto"/>
        <w:jc w:val="both"/>
      </w:pPr>
      <w:r>
        <w:rPr>
          <w:rFonts w:hAnsi="新細明體" w:hint="eastAsia"/>
        </w:rPr>
        <w:t>公務人員就其</w:t>
      </w:r>
      <w:r>
        <w:rPr>
          <w:rFonts w:hAnsi="新細明體"/>
        </w:rPr>
        <w:t>對於所</w:t>
      </w:r>
      <w:r>
        <w:rPr>
          <w:rFonts w:hAnsi="新細明體" w:hint="eastAsia"/>
        </w:rPr>
        <w:t>受領</w:t>
      </w:r>
      <w:r>
        <w:rPr>
          <w:rFonts w:hAnsi="新細明體"/>
        </w:rPr>
        <w:t>之</w:t>
      </w:r>
      <w:r>
        <w:rPr>
          <w:rFonts w:hAnsi="新細明體" w:hint="eastAsia"/>
        </w:rPr>
        <w:t>公法上金錢給付</w:t>
      </w:r>
      <w:r>
        <w:rPr>
          <w:rFonts w:hAnsi="新細明體"/>
        </w:rPr>
        <w:t>，得否主張信賴保護原則？</w:t>
      </w:r>
      <w:r>
        <w:rPr>
          <w:rFonts w:hAnsi="新細明體" w:hint="eastAsia"/>
        </w:rPr>
        <w:t>此際，在個案中又</w:t>
      </w:r>
      <w:r>
        <w:rPr>
          <w:rFonts w:hAnsi="新細明體"/>
        </w:rPr>
        <w:t>如何判斷</w:t>
      </w:r>
      <w:r>
        <w:rPr>
          <w:rFonts w:hAnsi="新細明體" w:hint="eastAsia"/>
        </w:rPr>
        <w:t>系爭案件</w:t>
      </w:r>
      <w:r>
        <w:rPr>
          <w:rFonts w:hAnsi="新細明體"/>
        </w:rPr>
        <w:t>有無信賴保護原則之適用？</w:t>
      </w:r>
      <w:r>
        <w:rPr>
          <w:rFonts w:hAnsi="新細明體" w:hint="eastAsia"/>
        </w:rPr>
        <w:t>（第三節、貳、二）</w:t>
      </w:r>
    </w:p>
    <w:p w:rsidR="00000000" w:rsidRDefault="00724932">
      <w:pPr>
        <w:widowControl/>
        <w:numPr>
          <w:ilvl w:val="0"/>
          <w:numId w:val="12"/>
        </w:numPr>
        <w:spacing w:line="288" w:lineRule="auto"/>
        <w:ind w:left="482" w:hanging="482"/>
        <w:jc w:val="both"/>
        <w:rPr>
          <w:rFonts w:hint="eastAsia"/>
        </w:rPr>
      </w:pPr>
      <w:r>
        <w:rPr>
          <w:rFonts w:hint="eastAsia"/>
        </w:rPr>
        <w:t>行政機關對於</w:t>
      </w:r>
      <w:r>
        <w:rPr>
          <w:rFonts w:hAnsi="新細明體"/>
        </w:rPr>
        <w:t>公務人員</w:t>
      </w:r>
      <w:r>
        <w:rPr>
          <w:rFonts w:hAnsi="新細明體" w:hint="eastAsia"/>
        </w:rPr>
        <w:t>公法上金錢給付之返還請求權，如何適用消滅時效制度？（第四節）</w:t>
      </w:r>
    </w:p>
    <w:p w:rsidR="00000000" w:rsidRDefault="00724932">
      <w:pPr>
        <w:widowControl/>
        <w:spacing w:line="288" w:lineRule="auto"/>
        <w:jc w:val="both"/>
        <w:rPr>
          <w:rFonts w:hAnsi="新細明體" w:hint="eastAsia"/>
        </w:rPr>
      </w:pPr>
    </w:p>
    <w:p w:rsidR="00000000" w:rsidRDefault="00724932">
      <w:pPr>
        <w:widowControl/>
        <w:spacing w:line="288" w:lineRule="auto"/>
        <w:jc w:val="both"/>
        <w:rPr>
          <w:rFonts w:hAnsi="新細明體" w:hint="eastAsia"/>
        </w:rPr>
      </w:pPr>
    </w:p>
    <w:p w:rsidR="00000000" w:rsidRDefault="00724932">
      <w:pPr>
        <w:widowControl/>
        <w:spacing w:line="288" w:lineRule="auto"/>
        <w:jc w:val="both"/>
      </w:pPr>
    </w:p>
    <w:p w:rsidR="00000000" w:rsidRDefault="00724932">
      <w:pPr>
        <w:widowControl/>
        <w:spacing w:afterLines="50" w:after="180" w:line="288" w:lineRule="auto"/>
        <w:ind w:left="1441" w:hangingChars="400" w:hanging="1441"/>
        <w:jc w:val="both"/>
        <w:rPr>
          <w:rFonts w:hint="eastAsia"/>
          <w:b/>
          <w:sz w:val="36"/>
          <w:szCs w:val="36"/>
        </w:rPr>
      </w:pPr>
      <w:r>
        <w:rPr>
          <w:b/>
          <w:sz w:val="36"/>
          <w:szCs w:val="36"/>
        </w:rPr>
        <w:br w:type="page"/>
      </w:r>
      <w:r>
        <w:rPr>
          <w:rFonts w:hint="eastAsia"/>
          <w:b/>
          <w:sz w:val="36"/>
          <w:szCs w:val="36"/>
        </w:rPr>
        <w:lastRenderedPageBreak/>
        <w:t xml:space="preserve">第一節　</w:t>
      </w:r>
      <w:r>
        <w:rPr>
          <w:rFonts w:hAnsi="新細明體" w:hint="eastAsia"/>
          <w:b/>
          <w:bCs/>
          <w:sz w:val="36"/>
          <w:szCs w:val="36"/>
        </w:rPr>
        <w:t>公務人員</w:t>
      </w:r>
      <w:r>
        <w:rPr>
          <w:rFonts w:hint="eastAsia"/>
          <w:b/>
          <w:sz w:val="36"/>
          <w:szCs w:val="36"/>
        </w:rPr>
        <w:t>受領公法上金錢給付類型之分析</w:t>
      </w:r>
    </w:p>
    <w:p w:rsidR="00000000" w:rsidRDefault="00724932">
      <w:pPr>
        <w:widowControl/>
        <w:spacing w:line="288" w:lineRule="auto"/>
        <w:ind w:firstLineChars="200" w:firstLine="480"/>
        <w:jc w:val="both"/>
        <w:rPr>
          <w:rFonts w:hint="eastAsia"/>
        </w:rPr>
      </w:pPr>
      <w:r>
        <w:rPr>
          <w:rFonts w:hint="eastAsia"/>
        </w:rPr>
        <w:t>首先作為以下各項</w:t>
      </w:r>
      <w:r>
        <w:rPr>
          <w:rFonts w:hAnsi="新細明體" w:hint="eastAsia"/>
        </w:rPr>
        <w:t>問題研究的預備資料，本研究擬先整理在我國現行法制下公務人員受領公法上金錢給付的各種不同類型，進而確定相關之公法上不當得利返還請求權，應適用哪一種法律基礎，並其構成要件、法律</w:t>
      </w:r>
      <w:r>
        <w:rPr>
          <w:rFonts w:hAnsi="新細明體" w:hint="eastAsia"/>
        </w:rPr>
        <w:t>效果等分別如何的問題。在此，有關我國現行法制下公務人員受領公法上金錢給付之各種不同類型的問題，本研究將分別以（一）公務人員之範圍，以及（二）受領給付之種類等兩項標準來分析：</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壹　以「公務人員之範圍」作為分類標準</w:t>
      </w:r>
    </w:p>
    <w:p w:rsidR="00000000" w:rsidRDefault="00724932">
      <w:pPr>
        <w:widowControl/>
        <w:spacing w:afterLines="50" w:after="180" w:line="288" w:lineRule="auto"/>
        <w:ind w:firstLineChars="200" w:firstLine="480"/>
        <w:jc w:val="both"/>
        <w:rPr>
          <w:rFonts w:hint="eastAsia"/>
        </w:rPr>
      </w:pPr>
      <w:r>
        <w:rPr>
          <w:rFonts w:hint="eastAsia"/>
        </w:rPr>
        <w:t>我國公務人員之種類繁多，不同之法律範圍，如刑法、國家賠償法及公務人員法領域等，與現行法律規定，如公務員任用法、公務員服務法等，更有廣狹不一的概念定義</w:t>
      </w:r>
      <w:r>
        <w:rPr>
          <w:rStyle w:val="a9"/>
        </w:rPr>
        <w:footnoteReference w:id="123"/>
      </w:r>
      <w:r>
        <w:rPr>
          <w:rFonts w:hint="eastAsia"/>
        </w:rPr>
        <w:t>。即以本研究委託單位「保訓會」，其主要業務所適用的公務人員保障法為例，所謂的「公務人員」，至少廣範圍地可以包括該法第三條第一項及第一百零二條所列舉</w:t>
      </w:r>
      <w:r>
        <w:rPr>
          <w:rFonts w:hint="eastAsia"/>
        </w:rPr>
        <w:t>的各種中央與地方服公務之人員。雖然這些人員，其所以與國家或其他行政主體形成公務人員之法律關係，並進而適用（第三條第一項）或準用（第一百零二條）公務人員保障法的原因，不一而足</w:t>
      </w:r>
      <w:r>
        <w:rPr>
          <w:rStyle w:val="a9"/>
        </w:rPr>
        <w:footnoteReference w:id="124"/>
      </w:r>
      <w:r>
        <w:rPr>
          <w:rFonts w:hint="eastAsia"/>
        </w:rPr>
        <w:t>，不過在本研究主題的範圍內，如此複雜的分類問題，吾人似毋庸寄予過度的關心。因為依據本研究前開第二章第二節貳、二所揭之德國法比較觀察的經驗，在有關以公法上不當得利返還請求權制度來解決公務人員不當受領公法上金錢給付之返還的問題時，原則上能適用於這套制度的公務人員，應該不分別其種類，而僅以其是否基於國家或其他行政主體之任用的行政處分，而與國家</w:t>
      </w:r>
      <w:r>
        <w:rPr>
          <w:rFonts w:hint="eastAsia"/>
        </w:rPr>
        <w:t>或其他行政主體發生公法上公務人員法律關係為判斷中心。準此，公務人員保障法第三條第一項及第一百零二條所列舉之人員，如果事實上該當此一要件，基本上均屬於本研究以下所處理之請求公務人員返還公法上金錢給付問題的適用範圍內。並且，不寧唯是，公務人員保障法所未列舉，但卻同樣基於國家或其他行政主體之任用的行政處分，而與國家或其他行政主體發生公法上公務人員法律關係的其他服公務之人員，例如</w:t>
      </w:r>
      <w:r>
        <w:rPr>
          <w:rFonts w:hint="eastAsia"/>
        </w:rPr>
        <w:lastRenderedPageBreak/>
        <w:t>法官、軍人等，事實上也有適用同一公法上不當得利返還請求權制度，以解決其不當受領薪俸或其他公法上金錢給付的空間；因為這些人員，縱其職務特殊，</w:t>
      </w:r>
      <w:r>
        <w:rPr>
          <w:rFonts w:hint="eastAsia"/>
        </w:rPr>
        <w:t>未必能適用公務人員保障法，惟其於涉及不當受領薪俸或其他公法上金錢給付之問題時，實無本質上的理由，而需另作處理。</w:t>
      </w:r>
    </w:p>
    <w:p w:rsidR="00000000" w:rsidRDefault="00724932">
      <w:pPr>
        <w:widowControl/>
        <w:spacing w:afterLines="50" w:after="180" w:line="288" w:lineRule="auto"/>
        <w:ind w:firstLineChars="200" w:firstLine="480"/>
        <w:jc w:val="both"/>
        <w:rPr>
          <w:rFonts w:hint="eastAsia"/>
        </w:rPr>
      </w:pPr>
      <w:r>
        <w:rPr>
          <w:rFonts w:hint="eastAsia"/>
        </w:rPr>
        <w:t>相同的道理，似乎也可以（類推）適用於所謂的「政務人員」及「民選公職人員」的關係。雖然是類的公務人員，依據公務人員保障法第三條第二項，並不適用該法之規定，不過就其受領薪俸或其他公法上金錢給付而與國家或其他行政主體發生的法律關係來看，事實上至少也有同受同一公法上不當得利返還請求權制度類推適用的餘地。</w:t>
      </w:r>
    </w:p>
    <w:p w:rsidR="00000000" w:rsidRDefault="00724932">
      <w:pPr>
        <w:widowControl/>
        <w:spacing w:afterLines="50" w:after="180" w:line="288" w:lineRule="auto"/>
        <w:ind w:firstLineChars="200" w:firstLine="480"/>
        <w:jc w:val="both"/>
        <w:rPr>
          <w:rFonts w:hint="eastAsia"/>
        </w:rPr>
      </w:pPr>
      <w:r>
        <w:rPr>
          <w:rFonts w:hint="eastAsia"/>
        </w:rPr>
        <w:t>此外，在公務人員法中，已非現職之公務人員，或公務人員之（遺）眷屬或其他相關之人，本身雖已非公務人員，或</w:t>
      </w:r>
      <w:r>
        <w:rPr>
          <w:rFonts w:hint="eastAsia"/>
        </w:rPr>
        <w:t>自始至終並非公務人員，惟其基於原公務人員身分，或所屬之公務人員的身分，而產生向國家或其他行政主體受領公法上金錢給付時，有關不當受領所造成的公法上不當得利返還請求的問題，也應作相同處理。關於這一點，德國聯邦及各邦</w:t>
      </w:r>
      <w:r>
        <w:t>公務員</w:t>
      </w:r>
      <w:r>
        <w:rPr>
          <w:rFonts w:hint="eastAsia"/>
        </w:rPr>
        <w:t>暨法官生存照顧法第五十二條或</w:t>
      </w:r>
      <w:r>
        <w:t>聯邦國防軍前軍人及其遺眷生存照顧法</w:t>
      </w:r>
      <w:r>
        <w:rPr>
          <w:rFonts w:hint="eastAsia"/>
        </w:rPr>
        <w:t>第四十九條，不稱「公務員」或「軍人」，而泛稱「生存照顧權利人（</w:t>
      </w:r>
      <w:r>
        <w:rPr>
          <w:rFonts w:hint="eastAsia"/>
        </w:rPr>
        <w:t>Versorgungsberechtigter</w:t>
      </w:r>
      <w:r>
        <w:rPr>
          <w:rFonts w:hint="eastAsia"/>
        </w:rPr>
        <w:t>）」，正足以為比較法上的明證。而我國公務人員保障法第二十五條第一項後段及第二項，將保障法上的復審制度擴張適用至「非現職公務人員</w:t>
      </w:r>
      <w:r>
        <w:rPr>
          <w:rFonts w:hint="eastAsia"/>
        </w:rPr>
        <w:t>」及公務人員之「遺族」，其立法意旨，亦昭然若揭</w:t>
      </w:r>
      <w:r>
        <w:rPr>
          <w:rStyle w:val="a9"/>
        </w:rPr>
        <w:footnoteReference w:id="125"/>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事實上在適用公法上不當得利返還請求權制度之公務人員範圍的問題上，最稱爭議者，應屬公立學校教師或其他約聘、僱人員等，以契約方式而與國家或其他行政主體發生公務人員關係的服公務之人員。因為這些人員與國家或其他行政主體所締結而發生權利義務關係的約、聘僱契約，究竟應屬私法契約，或屬行政（公法）契約，向來頗生爭議</w:t>
      </w:r>
      <w:r>
        <w:rPr>
          <w:rStyle w:val="a9"/>
        </w:rPr>
        <w:footnoteReference w:id="126"/>
      </w:r>
      <w:r>
        <w:rPr>
          <w:rFonts w:hint="eastAsia"/>
        </w:rPr>
        <w:t>：我國司法實務，在從前均將是等契約視為私法契約處理</w:t>
      </w:r>
      <w:r>
        <w:rPr>
          <w:rStyle w:val="a9"/>
        </w:rPr>
        <w:footnoteReference w:id="127"/>
      </w:r>
      <w:r>
        <w:rPr>
          <w:rFonts w:hint="eastAsia"/>
        </w:rPr>
        <w:t>，近來則有趨勢，轉為行政契約的見解</w:t>
      </w:r>
      <w:r>
        <w:rPr>
          <w:rStyle w:val="a9"/>
        </w:rPr>
        <w:footnoteReference w:id="128"/>
      </w:r>
      <w:r>
        <w:rPr>
          <w:rFonts w:hint="eastAsia"/>
        </w:rPr>
        <w:t>。從而，設若約聘、僱契約</w:t>
      </w:r>
      <w:r>
        <w:rPr>
          <w:rFonts w:hint="eastAsia"/>
        </w:rPr>
        <w:lastRenderedPageBreak/>
        <w:t>果為行政契約時，相關之人員與國家或其他行政主</w:t>
      </w:r>
      <w:r>
        <w:rPr>
          <w:rFonts w:hint="eastAsia"/>
        </w:rPr>
        <w:t>體發生公法上之公務人員關係，而原則上得以適用公法上不當得利制度</w:t>
      </w:r>
      <w:r>
        <w:rPr>
          <w:rStyle w:val="a9"/>
        </w:rPr>
        <w:footnoteReference w:id="129"/>
      </w:r>
      <w:r>
        <w:rPr>
          <w:rFonts w:hint="eastAsia"/>
        </w:rPr>
        <w:t>，固無疑問；惟若約聘、僱契約，不採「行政契約說」，而採「私法契約說」時，則相關人員與國家或其他行政主體，並不發生公法上的法律關係，故其基於約聘、僱契約所受領之薪資或其他金錢給付，不具公法給付的性質</w:t>
      </w:r>
      <w:r>
        <w:rPr>
          <w:rStyle w:val="a9"/>
        </w:rPr>
        <w:footnoteReference w:id="130"/>
      </w:r>
      <w:r>
        <w:rPr>
          <w:rFonts w:hint="eastAsia"/>
        </w:rPr>
        <w:t>，是應適用民法第一百七十九條以下的不當得利之規定。</w:t>
      </w:r>
    </w:p>
    <w:p w:rsidR="00000000" w:rsidRDefault="00724932">
      <w:pPr>
        <w:widowControl/>
        <w:spacing w:afterLines="50" w:after="180" w:line="288" w:lineRule="auto"/>
        <w:ind w:firstLineChars="200" w:firstLine="480"/>
        <w:jc w:val="both"/>
        <w:rPr>
          <w:rFonts w:hint="eastAsia"/>
        </w:rPr>
      </w:pPr>
      <w:r>
        <w:rPr>
          <w:rFonts w:hint="eastAsia"/>
        </w:rPr>
        <w:t>不過，縱令如此，鑑於約聘、僱人員與國家或其他行政主體間的法律關係，目前與前揭因國家或其他行政主體任用之狹義公務人員其與國家或其他行政主體間的法律關係，其實已無太大差別，所以在有關以民法上不當得利制度</w:t>
      </w:r>
      <w:r>
        <w:rPr>
          <w:rFonts w:hint="eastAsia"/>
        </w:rPr>
        <w:t>處理約、聘僱人員不當受領薪資或其他基於約聘、僱契約所生金錢給付之返還請求時，有必要藉由相關民法規定的合目的性擴張或限縮等「法之續造（</w:t>
      </w:r>
      <w:r>
        <w:rPr>
          <w:rFonts w:hint="eastAsia"/>
        </w:rPr>
        <w:t>Rechtsfort</w:t>
      </w:r>
      <w:r>
        <w:softHyphen/>
      </w:r>
      <w:r>
        <w:rPr>
          <w:rFonts w:hint="eastAsia"/>
        </w:rPr>
        <w:t>bil</w:t>
      </w:r>
      <w:r>
        <w:softHyphen/>
      </w:r>
      <w:r>
        <w:rPr>
          <w:rFonts w:hint="eastAsia"/>
        </w:rPr>
        <w:t>dung</w:t>
      </w:r>
      <w:r>
        <w:rPr>
          <w:rFonts w:hint="eastAsia"/>
        </w:rPr>
        <w:t>）」的方式，而與改採公法上不當得利制度後的結果對齊處理，以謀事理之平。關於這一點，德國法制中處理「職員」、「職工」不當受領薪資或其他金錢給付返還請求問題的經驗</w:t>
      </w:r>
      <w:r>
        <w:rPr>
          <w:rStyle w:val="a9"/>
        </w:rPr>
        <w:footnoteReference w:id="131"/>
      </w:r>
      <w:r>
        <w:rPr>
          <w:rFonts w:hint="eastAsia"/>
        </w:rPr>
        <w:t>，足以做為參考。</w:t>
      </w:r>
    </w:p>
    <w:p w:rsidR="00000000" w:rsidRDefault="00724932">
      <w:pPr>
        <w:widowControl/>
        <w:spacing w:line="288" w:lineRule="auto"/>
        <w:ind w:firstLineChars="200" w:firstLine="480"/>
        <w:jc w:val="both"/>
        <w:rPr>
          <w:rFonts w:hint="eastAsia"/>
        </w:rPr>
      </w:pPr>
      <w:r>
        <w:rPr>
          <w:rFonts w:hint="eastAsia"/>
        </w:rPr>
        <w:t>總之，綜上所言之結果，在有關行政機關向公務人員依公法上不當得利制度請求返還不當受領之薪俸或其他金錢給付的問題上，公務人員的概念定義，並不重要；因為基本上這個制度，或</w:t>
      </w:r>
      <w:r>
        <w:rPr>
          <w:rFonts w:hint="eastAsia"/>
        </w:rPr>
        <w:t>多或少均得直接適用或類推適用在相當廣義的公務人員對象上。</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leftChars="200" w:left="480"/>
        <w:jc w:val="both"/>
        <w:rPr>
          <w:rFonts w:hint="eastAsia"/>
        </w:rPr>
      </w:pPr>
    </w:p>
    <w:p w:rsidR="00000000" w:rsidRDefault="00724932">
      <w:pPr>
        <w:widowControl/>
        <w:spacing w:afterLines="50" w:after="180" w:line="288" w:lineRule="auto"/>
        <w:jc w:val="both"/>
        <w:rPr>
          <w:rFonts w:hint="eastAsia"/>
          <w:b/>
          <w:sz w:val="32"/>
          <w:szCs w:val="32"/>
        </w:rPr>
      </w:pPr>
      <w:r>
        <w:rPr>
          <w:b/>
          <w:sz w:val="32"/>
          <w:szCs w:val="32"/>
        </w:rPr>
        <w:br w:type="page"/>
      </w:r>
      <w:r>
        <w:rPr>
          <w:rFonts w:hint="eastAsia"/>
          <w:b/>
          <w:sz w:val="32"/>
          <w:szCs w:val="32"/>
        </w:rPr>
        <w:lastRenderedPageBreak/>
        <w:t>貳　以「受領給付之種類」作為分類標準</w:t>
      </w:r>
    </w:p>
    <w:p w:rsidR="00000000" w:rsidRDefault="00724932">
      <w:pPr>
        <w:widowControl/>
        <w:spacing w:line="288" w:lineRule="auto"/>
        <w:ind w:firstLineChars="200" w:firstLine="480"/>
        <w:jc w:val="both"/>
        <w:rPr>
          <w:rFonts w:hint="eastAsia"/>
        </w:rPr>
      </w:pPr>
      <w:r>
        <w:rPr>
          <w:rFonts w:hAnsi="新細明體" w:hint="eastAsia"/>
        </w:rPr>
        <w:t>有關公務人員受領公法上金錢給付之類型化問題，除以「公務人員之範圍」作分類標準外，另亦可以公務人員受領金錢給付的「種類」，作為觀察。而</w:t>
      </w:r>
      <w:r>
        <w:rPr>
          <w:rFonts w:hint="eastAsia"/>
        </w:rPr>
        <w:t>我國公務人員，在現階段依法向國家或其他行政主體受領公法上之金錢給付的種類，相當繁多；惟若依據本研究之整理，大致得以列出以下的一份清單來</w:t>
      </w:r>
      <w:r>
        <w:rPr>
          <w:rStyle w:val="a9"/>
        </w:rPr>
        <w:footnoteReference w:id="132"/>
      </w:r>
      <w:r>
        <w:rPr>
          <w:rFonts w:hint="eastAsia"/>
        </w:rPr>
        <w:t>：</w:t>
      </w:r>
    </w:p>
    <w:p w:rsidR="00000000" w:rsidRDefault="00724932">
      <w:pPr>
        <w:widowControl/>
        <w:spacing w:line="288" w:lineRule="auto"/>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1588"/>
        <w:gridCol w:w="3105"/>
        <w:gridCol w:w="3106"/>
      </w:tblGrid>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724932">
            <w:pPr>
              <w:widowControl/>
              <w:kinsoku w:val="0"/>
              <w:snapToGrid w:val="0"/>
              <w:jc w:val="distribute"/>
              <w:rPr>
                <w:rFonts w:hint="eastAsia"/>
                <w:b/>
                <w:bCs/>
                <w:sz w:val="20"/>
                <w:szCs w:val="20"/>
              </w:rPr>
            </w:pPr>
            <w:r>
              <w:rPr>
                <w:rFonts w:hAnsi="新細明體" w:hint="eastAsia"/>
                <w:b/>
                <w:bCs/>
                <w:sz w:val="20"/>
                <w:szCs w:val="20"/>
              </w:rPr>
              <w:t>給付項目</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724932">
            <w:pPr>
              <w:widowControl/>
              <w:kinsoku w:val="0"/>
              <w:snapToGrid w:val="0"/>
              <w:jc w:val="distribute"/>
              <w:rPr>
                <w:rFonts w:hint="eastAsia"/>
                <w:b/>
                <w:bCs/>
                <w:sz w:val="20"/>
                <w:szCs w:val="20"/>
              </w:rPr>
            </w:pPr>
            <w:r>
              <w:rPr>
                <w:rFonts w:hAnsi="新細明體" w:hint="eastAsia"/>
                <w:b/>
                <w:bCs/>
                <w:sz w:val="20"/>
                <w:szCs w:val="20"/>
              </w:rPr>
              <w:t>法令依據</w:t>
            </w:r>
          </w:p>
        </w:tc>
        <w:tc>
          <w:tcPr>
            <w:tcW w:w="3105" w:type="dxa"/>
            <w:tcBorders>
              <w:top w:val="single" w:sz="4" w:space="0" w:color="auto"/>
              <w:left w:val="single" w:sz="4" w:space="0" w:color="auto"/>
              <w:bottom w:val="single" w:sz="4" w:space="0" w:color="auto"/>
              <w:right w:val="single" w:sz="4" w:space="0" w:color="auto"/>
            </w:tcBorders>
            <w:vAlign w:val="center"/>
          </w:tcPr>
          <w:p w:rsidR="00000000" w:rsidRDefault="00724932">
            <w:pPr>
              <w:widowControl/>
              <w:kinsoku w:val="0"/>
              <w:snapToGrid w:val="0"/>
              <w:jc w:val="distribute"/>
              <w:rPr>
                <w:rFonts w:hint="eastAsia"/>
                <w:b/>
                <w:bCs/>
                <w:sz w:val="20"/>
                <w:szCs w:val="20"/>
              </w:rPr>
            </w:pPr>
            <w:r>
              <w:rPr>
                <w:rFonts w:hAnsi="新細明體" w:hint="eastAsia"/>
                <w:b/>
                <w:bCs/>
                <w:sz w:val="20"/>
                <w:szCs w:val="20"/>
              </w:rPr>
              <w:t>程序</w:t>
            </w:r>
          </w:p>
        </w:tc>
        <w:tc>
          <w:tcPr>
            <w:tcW w:w="3106" w:type="dxa"/>
            <w:tcBorders>
              <w:top w:val="single" w:sz="4" w:space="0" w:color="auto"/>
              <w:left w:val="single" w:sz="4" w:space="0" w:color="auto"/>
              <w:bottom w:val="single" w:sz="4" w:space="0" w:color="auto"/>
              <w:right w:val="single" w:sz="4" w:space="0" w:color="auto"/>
            </w:tcBorders>
            <w:vAlign w:val="center"/>
          </w:tcPr>
          <w:p w:rsidR="00000000" w:rsidRDefault="00724932">
            <w:pPr>
              <w:pStyle w:val="HTML"/>
              <w:kinsoku w:val="0"/>
              <w:jc w:val="distribute"/>
              <w:rPr>
                <w:rFonts w:ascii="Times New Roman" w:eastAsia="新細明體" w:hAnsi="Times New Roman" w:hint="eastAsia"/>
                <w:b/>
                <w:bCs/>
                <w:kern w:val="2"/>
                <w:sz w:val="20"/>
                <w:szCs w:val="20"/>
              </w:rPr>
            </w:pPr>
            <w:r>
              <w:rPr>
                <w:rFonts w:ascii="Times New Roman" w:eastAsia="新細明體" w:hAnsi="新細明體" w:hint="eastAsia"/>
                <w:b/>
                <w:bCs/>
                <w:kern w:val="2"/>
                <w:sz w:val="20"/>
                <w:szCs w:val="20"/>
              </w:rPr>
              <w:t>備註</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考績獎金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考績法</w:t>
            </w:r>
            <w:r>
              <w:rPr>
                <w:rFonts w:hAnsi="新細明體" w:hint="eastAsia"/>
                <w:bCs/>
                <w:sz w:val="20"/>
                <w:szCs w:val="20"/>
              </w:rPr>
              <w:t xml:space="preserve"> </w:t>
            </w:r>
            <w:r>
              <w:rPr>
                <w:bCs/>
                <w:sz w:val="20"/>
                <w:szCs w:val="20"/>
              </w:rPr>
              <w:t>§ </w:t>
            </w:r>
            <w:r>
              <w:rPr>
                <w:rFonts w:hint="eastAsia"/>
                <w:bCs/>
                <w:sz w:val="20"/>
                <w:szCs w:val="20"/>
              </w:rPr>
              <w:t>7</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不經申請。考績通知書上已載有受考人該年度之考績結果及獎懲（如等次：甲；核定獎</w:t>
            </w:r>
            <w:r>
              <w:rPr>
                <w:rFonts w:hAnsi="新細明體" w:hint="eastAsia"/>
                <w:bCs/>
                <w:sz w:val="20"/>
                <w:szCs w:val="20"/>
              </w:rPr>
              <w:t>懲：晉級獎金；說明：依法晉本俸一級並給與一個月俸給總額之一次獎金），機關除依上開結果逕行入帳外，通常尚會發給類似每月薪水通知的單據。</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八七公申決字第○一○五號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休假補助</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公務人員請假規則</w:t>
            </w:r>
            <w:r>
              <w:rPr>
                <w:rFonts w:hint="eastAsia"/>
                <w:bCs/>
                <w:sz w:val="20"/>
                <w:szCs w:val="20"/>
              </w:rPr>
              <w:t xml:space="preserve"> </w:t>
            </w:r>
            <w:r>
              <w:rPr>
                <w:bCs/>
                <w:sz w:val="20"/>
                <w:szCs w:val="20"/>
              </w:rPr>
              <w:t>§ </w:t>
            </w:r>
            <w:r>
              <w:rPr>
                <w:rFonts w:hint="eastAsia"/>
                <w:bCs/>
                <w:sz w:val="20"/>
                <w:szCs w:val="20"/>
              </w:rPr>
              <w:t>10</w:t>
            </w:r>
            <w:r>
              <w:rPr>
                <w:rFonts w:hint="eastAsia"/>
                <w:bCs/>
                <w:sz w:val="20"/>
                <w:szCs w:val="20"/>
              </w:rPr>
              <w:t>、</w:t>
            </w:r>
            <w:r>
              <w:rPr>
                <w:rFonts w:hAnsi="新細明體" w:hint="eastAsia"/>
                <w:bCs/>
                <w:sz w:val="20"/>
                <w:szCs w:val="20"/>
              </w:rPr>
              <w:t>行政院及所屬機關公務人員休假改進措施</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刷卡消費</w:t>
            </w:r>
            <w:r>
              <w:rPr>
                <w:rFonts w:hint="eastAsia"/>
                <w:bCs/>
                <w:sz w:val="20"/>
                <w:szCs w:val="20"/>
              </w:rPr>
              <w:t>→</w:t>
            </w:r>
            <w:r>
              <w:rPr>
                <w:rFonts w:hAnsi="新細明體" w:hint="eastAsia"/>
                <w:bCs/>
                <w:sz w:val="20"/>
                <w:szCs w:val="20"/>
              </w:rPr>
              <w:t>填具申請單</w:t>
            </w:r>
            <w:r>
              <w:rPr>
                <w:rFonts w:hint="eastAsia"/>
                <w:bCs/>
                <w:sz w:val="20"/>
                <w:szCs w:val="20"/>
              </w:rPr>
              <w:t>→</w:t>
            </w:r>
            <w:r>
              <w:rPr>
                <w:rFonts w:hAnsi="新細明體" w:hint="eastAsia"/>
                <w:bCs/>
                <w:sz w:val="20"/>
                <w:szCs w:val="20"/>
              </w:rPr>
              <w:t>服務機關審核後將補助金額直撥入帳，若干機關會另外製發通知單。</w:t>
            </w:r>
          </w:p>
          <w:p w:rsidR="00000000" w:rsidRDefault="00724932">
            <w:pPr>
              <w:widowControl/>
              <w:kinsoku w:val="0"/>
              <w:snapToGrid w:val="0"/>
              <w:jc w:val="both"/>
              <w:rPr>
                <w:rFonts w:hint="eastAsia"/>
                <w:bCs/>
                <w:sz w:val="20"/>
                <w:szCs w:val="20"/>
              </w:rPr>
            </w:pP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八九公審決字第○○七九號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未休假加班費</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同上</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申請</w:t>
            </w:r>
            <w:r>
              <w:rPr>
                <w:rFonts w:hint="eastAsia"/>
                <w:bCs/>
                <w:sz w:val="20"/>
                <w:szCs w:val="20"/>
              </w:rPr>
              <w:t>→</w:t>
            </w:r>
            <w:r>
              <w:rPr>
                <w:rFonts w:hAnsi="新細明體" w:hint="eastAsia"/>
                <w:bCs/>
                <w:sz w:val="20"/>
                <w:szCs w:val="20"/>
              </w:rPr>
              <w:t>服務機關撥入帳戶</w:t>
            </w:r>
            <w:r>
              <w:rPr>
                <w:rFonts w:hint="eastAsia"/>
                <w:bCs/>
                <w:sz w:val="20"/>
                <w:szCs w:val="20"/>
              </w:rPr>
              <w:t>→</w:t>
            </w:r>
            <w:r>
              <w:rPr>
                <w:rFonts w:hAnsi="新細明體" w:hint="eastAsia"/>
                <w:bCs/>
                <w:sz w:val="20"/>
                <w:szCs w:val="20"/>
              </w:rPr>
              <w:t>（入帳通知）</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公保給付（養老、殘廢、眷屬喪葬）</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公教人員保險法</w:t>
            </w:r>
            <w:r>
              <w:rPr>
                <w:rFonts w:hAnsi="新細明體" w:hint="eastAsia"/>
                <w:bCs/>
                <w:sz w:val="20"/>
                <w:szCs w:val="20"/>
              </w:rPr>
              <w:t xml:space="preserve"> </w:t>
            </w:r>
            <w:r>
              <w:rPr>
                <w:bCs/>
                <w:sz w:val="20"/>
                <w:szCs w:val="20"/>
              </w:rPr>
              <w:t>§ </w:t>
            </w:r>
            <w:r>
              <w:rPr>
                <w:rFonts w:hint="eastAsia"/>
                <w:bCs/>
                <w:sz w:val="20"/>
                <w:szCs w:val="20"/>
              </w:rPr>
              <w:t>12</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依公保法施行細則</w:t>
            </w:r>
            <w:r>
              <w:rPr>
                <w:rFonts w:hAnsi="新細明體" w:hint="eastAsia"/>
                <w:bCs/>
                <w:sz w:val="20"/>
                <w:szCs w:val="20"/>
              </w:rPr>
              <w:t xml:space="preserve"> </w:t>
            </w:r>
            <w:r>
              <w:rPr>
                <w:bCs/>
                <w:sz w:val="20"/>
                <w:szCs w:val="20"/>
              </w:rPr>
              <w:t>§ </w:t>
            </w:r>
            <w:r>
              <w:rPr>
                <w:rFonts w:hint="eastAsia"/>
                <w:bCs/>
                <w:sz w:val="20"/>
                <w:szCs w:val="20"/>
              </w:rPr>
              <w:t>44</w:t>
            </w:r>
            <w:r>
              <w:rPr>
                <w:rFonts w:hAnsi="新細明體" w:hint="eastAsia"/>
                <w:bCs/>
                <w:sz w:val="20"/>
                <w:szCs w:val="20"/>
              </w:rPr>
              <w:t>規定：</w:t>
            </w:r>
          </w:p>
          <w:p w:rsidR="00000000" w:rsidRDefault="00724932">
            <w:pPr>
              <w:widowControl/>
              <w:kinsoku w:val="0"/>
              <w:snapToGrid w:val="0"/>
              <w:jc w:val="both"/>
              <w:rPr>
                <w:rFonts w:hint="eastAsia"/>
                <w:bCs/>
                <w:sz w:val="20"/>
                <w:szCs w:val="20"/>
              </w:rPr>
            </w:pPr>
            <w:r>
              <w:rPr>
                <w:rFonts w:hAnsi="新細明體" w:hint="eastAsia"/>
                <w:bCs/>
                <w:sz w:val="20"/>
                <w:szCs w:val="20"/>
              </w:rPr>
              <w:t>申請</w:t>
            </w:r>
            <w:r>
              <w:rPr>
                <w:rFonts w:hint="eastAsia"/>
                <w:bCs/>
                <w:sz w:val="20"/>
                <w:szCs w:val="20"/>
              </w:rPr>
              <w:t>→</w:t>
            </w:r>
            <w:r>
              <w:rPr>
                <w:rFonts w:hAnsi="新細明體" w:hint="eastAsia"/>
                <w:bCs/>
                <w:sz w:val="20"/>
                <w:szCs w:val="20"/>
              </w:rPr>
              <w:t>中央信託局現金給付審定函</w:t>
            </w:r>
            <w:r>
              <w:rPr>
                <w:rFonts w:hint="eastAsia"/>
                <w:bCs/>
                <w:sz w:val="20"/>
                <w:szCs w:val="20"/>
              </w:rPr>
              <w:t>→</w:t>
            </w:r>
            <w:r>
              <w:rPr>
                <w:rFonts w:hAnsi="新細明體" w:hint="eastAsia"/>
                <w:bCs/>
                <w:sz w:val="20"/>
                <w:szCs w:val="20"/>
              </w:rPr>
              <w:t>中央信託局核發，並由要保機關轉發被保險人或受益人。但經銓敘部核准得採直撥入帳之給付，如無法入帳時，中央信託局得簽發支票交由要保機關轉發。</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bCs/>
                <w:kern w:val="2"/>
                <w:sz w:val="20"/>
                <w:szCs w:val="20"/>
              </w:rPr>
              <w:t>九三公審決字第</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一六四號</w:t>
            </w:r>
            <w:r>
              <w:rPr>
                <w:rFonts w:ascii="Times New Roman" w:eastAsia="新細明體" w:hAnsi="新細明體" w:hint="eastAsia"/>
                <w:bCs/>
                <w:kern w:val="2"/>
                <w:sz w:val="20"/>
                <w:szCs w:val="20"/>
              </w:rPr>
              <w:t>、九一公審決字第○一二一號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退休金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公務人員退休法</w:t>
            </w:r>
          </w:p>
        </w:tc>
        <w:tc>
          <w:tcPr>
            <w:tcW w:w="3105" w:type="dxa"/>
            <w:vMerge w:val="restart"/>
            <w:tcBorders>
              <w:top w:val="single" w:sz="4" w:space="0" w:color="auto"/>
              <w:left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依退休法施行細則</w:t>
            </w:r>
            <w:r>
              <w:rPr>
                <w:rFonts w:hAnsi="新細明體" w:hint="eastAsia"/>
                <w:bCs/>
                <w:sz w:val="20"/>
                <w:szCs w:val="20"/>
              </w:rPr>
              <w:t xml:space="preserve"> </w:t>
            </w:r>
            <w:r>
              <w:rPr>
                <w:bCs/>
                <w:sz w:val="20"/>
                <w:szCs w:val="20"/>
              </w:rPr>
              <w:t>§ </w:t>
            </w:r>
            <w:r>
              <w:rPr>
                <w:rFonts w:hint="eastAsia"/>
                <w:bCs/>
                <w:sz w:val="20"/>
                <w:szCs w:val="20"/>
              </w:rPr>
              <w:t>21</w:t>
            </w:r>
            <w:r>
              <w:rPr>
                <w:rFonts w:hAnsi="新細明體" w:hint="eastAsia"/>
                <w:bCs/>
                <w:sz w:val="20"/>
                <w:szCs w:val="20"/>
              </w:rPr>
              <w:t>以下規定，須由退休人員提出申請</w:t>
            </w:r>
            <w:r>
              <w:rPr>
                <w:rFonts w:hint="eastAsia"/>
                <w:bCs/>
                <w:sz w:val="20"/>
                <w:szCs w:val="20"/>
              </w:rPr>
              <w:t>→</w:t>
            </w:r>
            <w:r>
              <w:rPr>
                <w:rFonts w:hAnsi="新細明體" w:hint="eastAsia"/>
                <w:bCs/>
                <w:sz w:val="20"/>
                <w:szCs w:val="20"/>
              </w:rPr>
              <w:t>銓敘部審定函</w:t>
            </w:r>
            <w:r>
              <w:rPr>
                <w:rFonts w:hint="eastAsia"/>
                <w:bCs/>
                <w:sz w:val="20"/>
                <w:szCs w:val="20"/>
              </w:rPr>
              <w:t>→</w:t>
            </w:r>
            <w:r>
              <w:rPr>
                <w:rFonts w:hAnsi="新細明體" w:hint="eastAsia"/>
                <w:bCs/>
                <w:sz w:val="20"/>
                <w:szCs w:val="20"/>
              </w:rPr>
              <w:t>銓敘部填發退休金證書，函送服務機關發交退休人員，並副知支給機關及基金管理機關</w:t>
            </w:r>
            <w:r>
              <w:rPr>
                <w:rFonts w:hint="eastAsia"/>
                <w:bCs/>
                <w:sz w:val="20"/>
                <w:szCs w:val="20"/>
              </w:rPr>
              <w:t>→</w:t>
            </w:r>
            <w:r>
              <w:rPr>
                <w:rFonts w:hAnsi="新細明體" w:hint="eastAsia"/>
                <w:bCs/>
                <w:sz w:val="20"/>
                <w:szCs w:val="20"/>
              </w:rPr>
              <w:t>一次退休金及第一次月退休金，由銓敘部通知支給機關或服務機關簽發支票。</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九二公審決字第○二八四號、九○公審決字第○○九四</w:t>
            </w:r>
            <w:r>
              <w:rPr>
                <w:rFonts w:ascii="Times New Roman" w:eastAsia="新細明體" w:hAnsi="新細明體" w:hint="eastAsia"/>
                <w:bCs/>
                <w:kern w:val="2"/>
                <w:sz w:val="20"/>
                <w:szCs w:val="20"/>
              </w:rPr>
              <w:t>號、九○公審決字第○○六七號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退休補償金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公務人員退休法</w:t>
            </w:r>
            <w:r>
              <w:rPr>
                <w:bCs/>
                <w:sz w:val="20"/>
                <w:szCs w:val="20"/>
              </w:rPr>
              <w:t xml:space="preserve"> § </w:t>
            </w:r>
            <w:r>
              <w:rPr>
                <w:rFonts w:hint="eastAsia"/>
                <w:bCs/>
                <w:sz w:val="20"/>
                <w:szCs w:val="20"/>
              </w:rPr>
              <w:t>16</w:t>
            </w:r>
            <w:r>
              <w:rPr>
                <w:rFonts w:hAnsi="新細明體" w:hint="eastAsia"/>
                <w:bCs/>
                <w:sz w:val="20"/>
                <w:szCs w:val="20"/>
              </w:rPr>
              <w:t>之</w:t>
            </w:r>
            <w:r>
              <w:rPr>
                <w:rFonts w:hint="eastAsia"/>
                <w:bCs/>
                <w:sz w:val="20"/>
                <w:szCs w:val="20"/>
              </w:rPr>
              <w:t>1</w:t>
            </w:r>
          </w:p>
        </w:tc>
        <w:tc>
          <w:tcPr>
            <w:tcW w:w="3105" w:type="dxa"/>
            <w:vMerge/>
            <w:tcBorders>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九一公審決字第○○九五號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lastRenderedPageBreak/>
              <w:t>撫卹金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公務人員撫卹法</w:t>
            </w:r>
            <w:r>
              <w:rPr>
                <w:rFonts w:hAnsi="新細明體" w:hint="eastAsia"/>
                <w:bCs/>
                <w:sz w:val="20"/>
                <w:szCs w:val="20"/>
              </w:rPr>
              <w:t xml:space="preserve"> </w:t>
            </w:r>
            <w:r>
              <w:rPr>
                <w:bCs/>
                <w:sz w:val="20"/>
                <w:szCs w:val="20"/>
              </w:rPr>
              <w:t>§ </w:t>
            </w:r>
            <w:r>
              <w:rPr>
                <w:rFonts w:hint="eastAsia"/>
                <w:bCs/>
                <w:sz w:val="20"/>
                <w:szCs w:val="20"/>
              </w:rPr>
              <w:t>3</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依撫卹法施行細則</w:t>
            </w:r>
            <w:r>
              <w:rPr>
                <w:rFonts w:hAnsi="新細明體" w:hint="eastAsia"/>
                <w:bCs/>
                <w:sz w:val="20"/>
                <w:szCs w:val="20"/>
              </w:rPr>
              <w:t xml:space="preserve"> </w:t>
            </w:r>
            <w:r>
              <w:rPr>
                <w:bCs/>
                <w:sz w:val="20"/>
                <w:szCs w:val="20"/>
              </w:rPr>
              <w:t>§§ </w:t>
            </w:r>
            <w:r>
              <w:rPr>
                <w:rFonts w:hint="eastAsia"/>
                <w:bCs/>
                <w:sz w:val="20"/>
                <w:szCs w:val="20"/>
              </w:rPr>
              <w:t>12</w:t>
            </w:r>
            <w:r>
              <w:rPr>
                <w:rFonts w:hAnsi="新細明體" w:hint="eastAsia"/>
                <w:bCs/>
                <w:sz w:val="20"/>
                <w:szCs w:val="20"/>
              </w:rPr>
              <w:t>、</w:t>
            </w:r>
            <w:r>
              <w:rPr>
                <w:rFonts w:hint="eastAsia"/>
                <w:bCs/>
                <w:sz w:val="20"/>
                <w:szCs w:val="20"/>
              </w:rPr>
              <w:t>14</w:t>
            </w:r>
            <w:r>
              <w:rPr>
                <w:rFonts w:hAnsi="新細明體" w:hint="eastAsia"/>
                <w:bCs/>
                <w:sz w:val="20"/>
                <w:szCs w:val="20"/>
              </w:rPr>
              <w:t>、</w:t>
            </w:r>
            <w:r>
              <w:rPr>
                <w:rFonts w:hint="eastAsia"/>
                <w:bCs/>
                <w:sz w:val="20"/>
                <w:szCs w:val="20"/>
              </w:rPr>
              <w:t>19</w:t>
            </w:r>
            <w:r>
              <w:rPr>
                <w:rFonts w:hAnsi="新細明體" w:hint="eastAsia"/>
                <w:bCs/>
                <w:sz w:val="20"/>
                <w:szCs w:val="20"/>
              </w:rPr>
              <w:t>等規定：申請</w:t>
            </w:r>
            <w:r>
              <w:rPr>
                <w:rFonts w:hint="eastAsia"/>
                <w:bCs/>
                <w:sz w:val="20"/>
                <w:szCs w:val="20"/>
              </w:rPr>
              <w:t>→</w:t>
            </w:r>
            <w:r>
              <w:rPr>
                <w:rFonts w:hAnsi="新細明體" w:hint="eastAsia"/>
                <w:bCs/>
                <w:sz w:val="20"/>
                <w:szCs w:val="20"/>
              </w:rPr>
              <w:t>銓敘部審定函</w:t>
            </w:r>
            <w:r>
              <w:rPr>
                <w:rFonts w:hint="eastAsia"/>
                <w:bCs/>
                <w:sz w:val="20"/>
                <w:szCs w:val="20"/>
              </w:rPr>
              <w:t>→</w:t>
            </w:r>
            <w:r>
              <w:rPr>
                <w:rFonts w:hAnsi="新細明體" w:hint="eastAsia"/>
                <w:bCs/>
                <w:sz w:val="20"/>
                <w:szCs w:val="20"/>
              </w:rPr>
              <w:t>銓敘部填發撫卹金證書，函送原服務機關轉交領受人，並副知支給機關及基金管理機關</w:t>
            </w:r>
            <w:r>
              <w:rPr>
                <w:rFonts w:hint="eastAsia"/>
                <w:bCs/>
                <w:sz w:val="20"/>
                <w:szCs w:val="20"/>
              </w:rPr>
              <w:t>→</w:t>
            </w:r>
            <w:r>
              <w:rPr>
                <w:rFonts w:hAnsi="新細明體" w:hint="eastAsia"/>
                <w:bCs/>
                <w:sz w:val="20"/>
                <w:szCs w:val="20"/>
              </w:rPr>
              <w:t>一次撫卹金及第一年年撫卹金於審定後，由銓敘部通知支給機關或服務機關簽發支票。</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bCs/>
                <w:kern w:val="2"/>
                <w:sz w:val="20"/>
                <w:szCs w:val="20"/>
              </w:rPr>
              <w:t>九三公審決字第</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二</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一號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慰問金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公務人員保障法</w:t>
            </w:r>
            <w:r>
              <w:rPr>
                <w:rFonts w:hAnsi="新細明體" w:hint="eastAsia"/>
                <w:bCs/>
                <w:sz w:val="20"/>
                <w:szCs w:val="20"/>
              </w:rPr>
              <w:t xml:space="preserve"> </w:t>
            </w:r>
            <w:r>
              <w:rPr>
                <w:bCs/>
                <w:sz w:val="20"/>
                <w:szCs w:val="20"/>
              </w:rPr>
              <w:t>§ </w:t>
            </w:r>
            <w:r>
              <w:rPr>
                <w:rFonts w:hint="eastAsia"/>
                <w:bCs/>
                <w:sz w:val="20"/>
                <w:szCs w:val="20"/>
              </w:rPr>
              <w:t>21</w:t>
            </w:r>
            <w:r>
              <w:rPr>
                <w:rFonts w:hAnsi="新細明體" w:hint="eastAsia"/>
                <w:bCs/>
                <w:sz w:val="20"/>
                <w:szCs w:val="20"/>
              </w:rPr>
              <w:t>、公務人員因公傷殘死亡慰問金發給辦法</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慰問金發給辦法</w:t>
            </w:r>
            <w:r>
              <w:rPr>
                <w:rFonts w:hAnsi="新細明體" w:hint="eastAsia"/>
                <w:bCs/>
                <w:sz w:val="20"/>
                <w:szCs w:val="20"/>
              </w:rPr>
              <w:t xml:space="preserve"> </w:t>
            </w:r>
            <w:r>
              <w:rPr>
                <w:bCs/>
                <w:sz w:val="20"/>
                <w:szCs w:val="20"/>
              </w:rPr>
              <w:t>§ </w:t>
            </w:r>
            <w:r>
              <w:rPr>
                <w:rFonts w:hint="eastAsia"/>
                <w:bCs/>
                <w:sz w:val="20"/>
                <w:szCs w:val="20"/>
              </w:rPr>
              <w:t>9</w:t>
            </w:r>
            <w:r>
              <w:rPr>
                <w:rFonts w:hAnsi="新細明體" w:hint="eastAsia"/>
                <w:bCs/>
                <w:sz w:val="20"/>
                <w:szCs w:val="20"/>
              </w:rPr>
              <w:t>：申請</w:t>
            </w:r>
            <w:r>
              <w:rPr>
                <w:rFonts w:hint="eastAsia"/>
                <w:bCs/>
                <w:sz w:val="20"/>
                <w:szCs w:val="20"/>
              </w:rPr>
              <w:t>→</w:t>
            </w:r>
            <w:r>
              <w:rPr>
                <w:rFonts w:hAnsi="新細明體" w:hint="eastAsia"/>
                <w:bCs/>
                <w:sz w:val="20"/>
                <w:szCs w:val="20"/>
              </w:rPr>
              <w:t>服務機關或權責機關核定函</w:t>
            </w:r>
            <w:r>
              <w:rPr>
                <w:rFonts w:hint="eastAsia"/>
                <w:bCs/>
                <w:sz w:val="20"/>
                <w:szCs w:val="20"/>
              </w:rPr>
              <w:t>→</w:t>
            </w:r>
            <w:r>
              <w:rPr>
                <w:rFonts w:hAnsi="新細明體" w:hint="eastAsia"/>
                <w:bCs/>
                <w:sz w:val="20"/>
                <w:szCs w:val="20"/>
              </w:rPr>
              <w:t>（通知機關學校核實簽發支票請款轉發，並將核定結果副知銓敘部）</w:t>
            </w:r>
            <w:r>
              <w:rPr>
                <w:rFonts w:hint="eastAsia"/>
                <w:bCs/>
                <w:sz w:val="20"/>
                <w:szCs w:val="20"/>
              </w:rPr>
              <w:t>→</w:t>
            </w:r>
            <w:r>
              <w:rPr>
                <w:rFonts w:hAnsi="新細明體" w:hint="eastAsia"/>
                <w:bCs/>
                <w:sz w:val="20"/>
                <w:szCs w:val="20"/>
              </w:rPr>
              <w:t>發給慰問金</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俸給、職務加給、技術或專業加給、地域加給、警勤加給、教官專業加給</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公務人員俸給法</w:t>
            </w:r>
            <w:r>
              <w:rPr>
                <w:rFonts w:hAnsi="新細明體" w:hint="eastAsia"/>
                <w:bCs/>
                <w:sz w:val="20"/>
                <w:szCs w:val="20"/>
              </w:rPr>
              <w:t xml:space="preserve"> </w:t>
            </w:r>
            <w:r>
              <w:rPr>
                <w:bCs/>
                <w:sz w:val="20"/>
                <w:szCs w:val="20"/>
              </w:rPr>
              <w:t>§§ </w:t>
            </w:r>
            <w:r>
              <w:rPr>
                <w:rFonts w:hint="eastAsia"/>
                <w:bCs/>
                <w:sz w:val="20"/>
                <w:szCs w:val="20"/>
              </w:rPr>
              <w:t>3</w:t>
            </w:r>
            <w:r>
              <w:rPr>
                <w:rFonts w:hAnsi="新細明體" w:hint="eastAsia"/>
                <w:bCs/>
                <w:sz w:val="20"/>
                <w:szCs w:val="20"/>
              </w:rPr>
              <w:t>、</w:t>
            </w:r>
            <w:r>
              <w:rPr>
                <w:rFonts w:hint="eastAsia"/>
                <w:bCs/>
                <w:sz w:val="20"/>
                <w:szCs w:val="20"/>
              </w:rPr>
              <w:t>5</w:t>
            </w:r>
            <w:r>
              <w:rPr>
                <w:rFonts w:hint="eastAsia"/>
                <w:bCs/>
                <w:sz w:val="20"/>
                <w:szCs w:val="20"/>
              </w:rPr>
              <w:t>、</w:t>
            </w:r>
            <w:r>
              <w:rPr>
                <w:rFonts w:hAnsi="新細明體"/>
                <w:bCs/>
                <w:sz w:val="20"/>
                <w:szCs w:val="20"/>
              </w:rPr>
              <w:t>警察人員警勤加給表</w:t>
            </w:r>
            <w:r>
              <w:rPr>
                <w:rFonts w:hAnsi="新細明體" w:hint="eastAsia"/>
                <w:bCs/>
                <w:sz w:val="20"/>
                <w:szCs w:val="20"/>
              </w:rPr>
              <w:t>、中央警察大學、臺灣警察專科學校教官專業加給支給標準表</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毋庸申請，各種加給皆與每月薪資一同撥入帳戶</w:t>
            </w:r>
            <w:r>
              <w:rPr>
                <w:rFonts w:hint="eastAsia"/>
                <w:bCs/>
                <w:sz w:val="20"/>
                <w:szCs w:val="20"/>
              </w:rPr>
              <w:t>→</w:t>
            </w:r>
            <w:r>
              <w:rPr>
                <w:rFonts w:hAnsi="新細明體" w:hint="eastAsia"/>
                <w:bCs/>
                <w:sz w:val="20"/>
                <w:szCs w:val="20"/>
              </w:rPr>
              <w:t>（通知）</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八七公審決字第○一三一號、九二公審決字第○○二二號、九二公審決字第○二七五號（主管加給）、八八公審決字第○一三○號（薪資）、九一公審決字第○○四四號、九○公審決字第○○九八號、八八公審決字第○○一七號、</w:t>
            </w:r>
            <w:r>
              <w:rPr>
                <w:rFonts w:ascii="Times New Roman" w:eastAsia="新細明體" w:hAnsi="新細明體"/>
                <w:bCs/>
                <w:kern w:val="2"/>
                <w:sz w:val="20"/>
                <w:szCs w:val="20"/>
              </w:rPr>
              <w:t>八九公</w:t>
            </w:r>
            <w:r>
              <w:rPr>
                <w:rFonts w:ascii="Times New Roman" w:eastAsia="新細明體" w:hAnsi="新細明體"/>
                <w:bCs/>
                <w:kern w:val="2"/>
                <w:sz w:val="20"/>
                <w:szCs w:val="20"/>
              </w:rPr>
              <w:t>審決字第</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九三號</w:t>
            </w:r>
            <w:r>
              <w:rPr>
                <w:rFonts w:ascii="Times New Roman" w:eastAsia="新細明體" w:hAnsi="新細明體" w:hint="eastAsia"/>
                <w:bCs/>
                <w:kern w:val="2"/>
                <w:sz w:val="20"/>
                <w:szCs w:val="20"/>
              </w:rPr>
              <w:t>、八八公審決字第○○○六號（俸給、獎金）、九二公審決字第○○二二號、</w:t>
            </w:r>
            <w:r>
              <w:rPr>
                <w:rFonts w:ascii="Times New Roman" w:eastAsia="新細明體" w:hAnsi="新細明體"/>
                <w:bCs/>
                <w:kern w:val="2"/>
                <w:sz w:val="20"/>
                <w:szCs w:val="20"/>
              </w:rPr>
              <w:t>九二公審決字第</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三三八號</w:t>
            </w:r>
            <w:r>
              <w:rPr>
                <w:rFonts w:ascii="Times New Roman" w:eastAsia="新細明體" w:hAnsi="新細明體" w:hint="eastAsia"/>
                <w:bCs/>
                <w:kern w:val="2"/>
                <w:sz w:val="20"/>
                <w:szCs w:val="20"/>
              </w:rPr>
              <w:t>（扣薪）、八七公審決字第○○二五號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績效獎金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行政院暨所屬各級行政機關績效獎金實施計畫</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不經申請，由服務機關就所屬人員或單位績效進行評選後即發給現金或直撥入帳。</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獎勵金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省市政府衛生處局所屬醫療機構人員獎勵金發給要點、臺北市政府衛生局暨所屬醫療院所人員獎勵金發給基準、行政院衛生署及直轄市政府衛生局所屬醫療機構人員獎勵金發給要點、臺灣省縣</w:t>
            </w:r>
            <w:r>
              <w:rPr>
                <w:rFonts w:hint="eastAsia"/>
                <w:bCs/>
                <w:sz w:val="20"/>
                <w:szCs w:val="20"/>
              </w:rPr>
              <w:t xml:space="preserve"> (</w:t>
            </w:r>
            <w:r>
              <w:rPr>
                <w:rFonts w:hAnsi="新細明體" w:hint="eastAsia"/>
                <w:bCs/>
                <w:sz w:val="20"/>
                <w:szCs w:val="20"/>
              </w:rPr>
              <w:t>市</w:t>
            </w:r>
            <w:r>
              <w:rPr>
                <w:rFonts w:hint="eastAsia"/>
                <w:bCs/>
                <w:sz w:val="20"/>
                <w:szCs w:val="20"/>
              </w:rPr>
              <w:t xml:space="preserve">) </w:t>
            </w:r>
            <w:r>
              <w:rPr>
                <w:rFonts w:hAnsi="新細明體" w:hint="eastAsia"/>
                <w:bCs/>
                <w:sz w:val="20"/>
                <w:szCs w:val="20"/>
              </w:rPr>
              <w:t>衛生局所屬醫療機構人員獎勵金發給要點等、公立醫療</w:t>
            </w:r>
            <w:r>
              <w:rPr>
                <w:rFonts w:hAnsi="新細明體" w:hint="eastAsia"/>
                <w:bCs/>
                <w:sz w:val="20"/>
                <w:szCs w:val="20"/>
              </w:rPr>
              <w:t>機構人員獎勵金發給要點</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毋庸申請，其支給方式類似績效獎金</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九一公審決字第○一九五號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加班費</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公務人員保障法</w:t>
            </w:r>
            <w:r>
              <w:rPr>
                <w:rFonts w:hAnsi="新細明體" w:hint="eastAsia"/>
                <w:bCs/>
                <w:sz w:val="20"/>
                <w:szCs w:val="20"/>
              </w:rPr>
              <w:t xml:space="preserve"> </w:t>
            </w:r>
            <w:r>
              <w:rPr>
                <w:bCs/>
                <w:sz w:val="20"/>
                <w:szCs w:val="20"/>
              </w:rPr>
              <w:t>§ </w:t>
            </w:r>
            <w:r>
              <w:rPr>
                <w:rFonts w:hint="eastAsia"/>
                <w:bCs/>
                <w:sz w:val="20"/>
                <w:szCs w:val="20"/>
              </w:rPr>
              <w:t>23</w:t>
            </w:r>
            <w:r>
              <w:rPr>
                <w:rFonts w:hint="eastAsia"/>
                <w:bCs/>
                <w:sz w:val="20"/>
                <w:szCs w:val="20"/>
              </w:rPr>
              <w:t>（</w:t>
            </w:r>
            <w:r>
              <w:rPr>
                <w:rFonts w:hAnsi="新細明體" w:hint="eastAsia"/>
                <w:bCs/>
                <w:sz w:val="20"/>
                <w:szCs w:val="20"/>
              </w:rPr>
              <w:t>支給標準則依行政院及人事行政局相關函釋）</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申請</w:t>
            </w:r>
            <w:r>
              <w:rPr>
                <w:rFonts w:hint="eastAsia"/>
                <w:bCs/>
                <w:sz w:val="20"/>
                <w:szCs w:val="20"/>
              </w:rPr>
              <w:t>→</w:t>
            </w:r>
            <w:r>
              <w:rPr>
                <w:rFonts w:hAnsi="新細明體" w:hint="eastAsia"/>
                <w:bCs/>
                <w:sz w:val="20"/>
                <w:szCs w:val="20"/>
              </w:rPr>
              <w:t>服務機關核准加班</w:t>
            </w:r>
            <w:r>
              <w:rPr>
                <w:rFonts w:hint="eastAsia"/>
                <w:bCs/>
                <w:sz w:val="20"/>
                <w:szCs w:val="20"/>
              </w:rPr>
              <w:t>→</w:t>
            </w:r>
            <w:r>
              <w:rPr>
                <w:rFonts w:hAnsi="新細明體" w:hint="eastAsia"/>
                <w:bCs/>
                <w:sz w:val="20"/>
                <w:szCs w:val="20"/>
              </w:rPr>
              <w:t>加班費由機關直撥入帳或給予現金</w:t>
            </w:r>
            <w:r>
              <w:rPr>
                <w:rFonts w:hint="eastAsia"/>
                <w:bCs/>
                <w:sz w:val="20"/>
                <w:szCs w:val="20"/>
              </w:rPr>
              <w:t>→</w:t>
            </w:r>
            <w:r>
              <w:rPr>
                <w:rFonts w:hAnsi="新細明體" w:hint="eastAsia"/>
                <w:bCs/>
                <w:sz w:val="20"/>
                <w:szCs w:val="20"/>
              </w:rPr>
              <w:t>（通知）</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九一公審決字第○○九○號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lastRenderedPageBreak/>
              <w:t>交通補助費</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各機關內規</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公務人員於報到時填寫申請單，往後每月自動撥入帳戶</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bCs/>
                <w:kern w:val="2"/>
                <w:sz w:val="20"/>
                <w:szCs w:val="20"/>
              </w:rPr>
              <w:t>九</w:t>
            </w:r>
            <w:r>
              <w:rPr>
                <w:rFonts w:ascii="Times New Roman" w:eastAsia="新細明體" w:hAnsi="新細明體" w:hint="eastAsia"/>
                <w:bCs/>
                <w:kern w:val="2"/>
                <w:sz w:val="20"/>
                <w:szCs w:val="20"/>
              </w:rPr>
              <w:t>二</w:t>
            </w:r>
            <w:r>
              <w:rPr>
                <w:rFonts w:ascii="Times New Roman" w:eastAsia="新細明體" w:hAnsi="新細明體"/>
                <w:bCs/>
                <w:kern w:val="2"/>
                <w:sz w:val="20"/>
                <w:szCs w:val="20"/>
              </w:rPr>
              <w:t>公審決字第</w:t>
            </w:r>
            <w:r>
              <w:rPr>
                <w:rFonts w:ascii="Times New Roman" w:eastAsia="新細明體" w:hAnsi="新細明體" w:hint="eastAsia"/>
                <w:bCs/>
                <w:kern w:val="2"/>
                <w:sz w:val="20"/>
                <w:szCs w:val="20"/>
              </w:rPr>
              <w:t>○三八○</w:t>
            </w:r>
            <w:r>
              <w:rPr>
                <w:rFonts w:ascii="Times New Roman" w:eastAsia="新細明體" w:hAnsi="新細明體"/>
                <w:bCs/>
                <w:kern w:val="2"/>
                <w:sz w:val="20"/>
                <w:szCs w:val="20"/>
              </w:rPr>
              <w:t>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年終獎金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軍公教人員年終工作獎金發給注意事項</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毋庸申請，由服務機關撥入帳戶</w:t>
            </w:r>
            <w:r>
              <w:rPr>
                <w:rFonts w:hint="eastAsia"/>
                <w:bCs/>
                <w:sz w:val="20"/>
                <w:szCs w:val="20"/>
              </w:rPr>
              <w:t>→</w:t>
            </w:r>
            <w:r>
              <w:rPr>
                <w:rFonts w:hAnsi="新細明體" w:hint="eastAsia"/>
                <w:bCs/>
                <w:sz w:val="20"/>
                <w:szCs w:val="20"/>
              </w:rPr>
              <w:t>（通知）</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r>
              <w:rPr>
                <w:rFonts w:ascii="Times New Roman" w:eastAsia="新細明體" w:hAnsi="新細明體"/>
                <w:bCs/>
                <w:kern w:val="2"/>
                <w:sz w:val="20"/>
                <w:szCs w:val="20"/>
              </w:rPr>
              <w:t>九一公審決字第</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一</w:t>
            </w:r>
            <w:r>
              <w:rPr>
                <w:rFonts w:ascii="Times New Roman" w:eastAsia="新細明體" w:hAnsi="新細明體" w:hint="eastAsia"/>
                <w:bCs/>
                <w:kern w:val="2"/>
                <w:sz w:val="20"/>
                <w:szCs w:val="20"/>
              </w:rPr>
              <w:t>○</w:t>
            </w:r>
            <w:r>
              <w:rPr>
                <w:rFonts w:ascii="Times New Roman" w:eastAsia="新細明體" w:hAnsi="新細明體"/>
                <w:bCs/>
                <w:kern w:val="2"/>
                <w:sz w:val="20"/>
                <w:szCs w:val="20"/>
              </w:rPr>
              <w:t>八號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資遣給與</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公務人員任用法</w:t>
            </w:r>
            <w:r>
              <w:rPr>
                <w:rFonts w:hAnsi="新細明體" w:hint="eastAsia"/>
                <w:bCs/>
                <w:sz w:val="20"/>
                <w:szCs w:val="20"/>
              </w:rPr>
              <w:t xml:space="preserve"> </w:t>
            </w:r>
            <w:r>
              <w:rPr>
                <w:bCs/>
                <w:sz w:val="20"/>
                <w:szCs w:val="20"/>
              </w:rPr>
              <w:t>§ </w:t>
            </w:r>
            <w:r>
              <w:rPr>
                <w:rFonts w:hint="eastAsia"/>
                <w:bCs/>
                <w:sz w:val="20"/>
                <w:szCs w:val="20"/>
              </w:rPr>
              <w:t>29</w:t>
            </w:r>
            <w:r>
              <w:rPr>
                <w:rFonts w:hAnsi="新細明體" w:hint="eastAsia"/>
                <w:bCs/>
                <w:sz w:val="20"/>
                <w:szCs w:val="20"/>
              </w:rPr>
              <w:t>、公務</w:t>
            </w:r>
            <w:r>
              <w:rPr>
                <w:rFonts w:hAnsi="新細明體" w:hint="eastAsia"/>
                <w:bCs/>
                <w:sz w:val="20"/>
                <w:szCs w:val="20"/>
              </w:rPr>
              <w:t>人員資遣給與辦法</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bCs/>
                <w:sz w:val="20"/>
                <w:szCs w:val="20"/>
              </w:rPr>
              <w:t>資遣人員填具資遣事實表</w:t>
            </w:r>
            <w:r>
              <w:rPr>
                <w:rFonts w:hAnsi="新細明體" w:hint="eastAsia"/>
                <w:bCs/>
                <w:sz w:val="20"/>
                <w:szCs w:val="20"/>
              </w:rPr>
              <w:t>申請</w:t>
            </w:r>
            <w:r>
              <w:rPr>
                <w:rFonts w:hint="eastAsia"/>
                <w:bCs/>
                <w:sz w:val="20"/>
                <w:szCs w:val="20"/>
              </w:rPr>
              <w:t>→</w:t>
            </w:r>
            <w:r>
              <w:rPr>
                <w:rFonts w:hAnsi="新細明體"/>
                <w:bCs/>
                <w:sz w:val="20"/>
                <w:szCs w:val="20"/>
              </w:rPr>
              <w:t>送由服務機關核算年資暨給與，函請主管機關核定，並送銓敘部備查，另以副本送公務人員退休撫卹基金管理機關據以發給資遣給與</w:t>
            </w:r>
            <w:r>
              <w:rPr>
                <w:rFonts w:hAnsi="新細明體" w:hint="eastAsia"/>
                <w:bCs/>
                <w:sz w:val="20"/>
                <w:szCs w:val="20"/>
              </w:rPr>
              <w:t>（支票或其他方式）</w:t>
            </w:r>
            <w:r>
              <w:rPr>
                <w:rFonts w:hAnsi="新細明體"/>
                <w:bCs/>
                <w:sz w:val="20"/>
                <w:szCs w:val="20"/>
              </w:rPr>
              <w:t>。必要時得由服務機關代填報送。</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bCs/>
                <w:kern w:val="2"/>
                <w:sz w:val="20"/>
                <w:szCs w:val="20"/>
              </w:rPr>
            </w:pPr>
            <w:r>
              <w:rPr>
                <w:rFonts w:ascii="Times New Roman" w:eastAsia="新細明體" w:hAnsi="新細明體" w:hint="eastAsia"/>
                <w:bCs/>
                <w:kern w:val="2"/>
                <w:sz w:val="20"/>
                <w:szCs w:val="20"/>
              </w:rPr>
              <w:t>八八公審決字第○○五六號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離職加發給與</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原交通部郵政總局及其所屬機構現職人員優惠退休資遣辦法、</w:t>
            </w:r>
            <w:r>
              <w:rPr>
                <w:rFonts w:hAnsi="新細明體"/>
                <w:bCs/>
                <w:sz w:val="20"/>
                <w:szCs w:val="20"/>
              </w:rPr>
              <w:t>原交通部電信總局暨其所屬機構現職人員優惠退休辦法</w:t>
            </w:r>
            <w:r>
              <w:rPr>
                <w:rFonts w:hAnsi="新細明體" w:hint="eastAsia"/>
                <w:bCs/>
                <w:sz w:val="20"/>
                <w:szCs w:val="20"/>
              </w:rPr>
              <w:t>、</w:t>
            </w:r>
            <w:r>
              <w:rPr>
                <w:rFonts w:hAnsi="新細明體"/>
                <w:bCs/>
                <w:sz w:val="20"/>
                <w:szCs w:val="20"/>
              </w:rPr>
              <w:t>原臺灣省菸酒公賣局現職人員離退辦法</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申請</w:t>
            </w:r>
            <w:r>
              <w:rPr>
                <w:rFonts w:hint="eastAsia"/>
                <w:bCs/>
                <w:sz w:val="20"/>
                <w:szCs w:val="20"/>
              </w:rPr>
              <w:t>→</w:t>
            </w:r>
            <w:r>
              <w:rPr>
                <w:rFonts w:hAnsi="新細明體" w:hint="eastAsia"/>
                <w:bCs/>
                <w:sz w:val="20"/>
                <w:szCs w:val="20"/>
              </w:rPr>
              <w:t>機關函復</w:t>
            </w:r>
            <w:r>
              <w:rPr>
                <w:rFonts w:hint="eastAsia"/>
                <w:bCs/>
                <w:sz w:val="20"/>
                <w:szCs w:val="20"/>
              </w:rPr>
              <w:t>→</w:t>
            </w:r>
            <w:r>
              <w:rPr>
                <w:rFonts w:hAnsi="新細明體" w:hint="eastAsia"/>
                <w:bCs/>
                <w:sz w:val="20"/>
                <w:szCs w:val="20"/>
              </w:rPr>
              <w:t>入帳</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九二公審決字第○二三九號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生活津貼（結婚、生育、喪葬補助）</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全國軍公教員工待遇支給要點四（三）</w:t>
            </w:r>
            <w:r>
              <w:rPr>
                <w:rFonts w:hAnsi="新細明體" w:hint="eastAsia"/>
                <w:bCs/>
                <w:sz w:val="20"/>
                <w:szCs w:val="20"/>
              </w:rPr>
              <w:t>其他給與部分</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申請</w:t>
            </w:r>
            <w:r>
              <w:rPr>
                <w:rFonts w:hint="eastAsia"/>
                <w:bCs/>
                <w:sz w:val="20"/>
                <w:szCs w:val="20"/>
              </w:rPr>
              <w:t>→</w:t>
            </w:r>
            <w:r>
              <w:rPr>
                <w:rFonts w:hAnsi="新細明體" w:hint="eastAsia"/>
                <w:bCs/>
                <w:sz w:val="20"/>
                <w:szCs w:val="20"/>
              </w:rPr>
              <w:t>機關直撥入帳</w:t>
            </w:r>
            <w:r>
              <w:rPr>
                <w:rFonts w:hint="eastAsia"/>
                <w:bCs/>
                <w:sz w:val="20"/>
                <w:szCs w:val="20"/>
              </w:rPr>
              <w:t>→</w:t>
            </w:r>
            <w:r>
              <w:rPr>
                <w:rFonts w:hAnsi="新細明體" w:hint="eastAsia"/>
                <w:bCs/>
                <w:sz w:val="20"/>
                <w:szCs w:val="20"/>
              </w:rPr>
              <w:t>（入帳通知）</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snapToGrid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工程獎金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地方各級行政機關工程獎金支給原則、中央及地方各級行政機關工程獎金支給原則</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jc w:val="both"/>
              <w:rPr>
                <w:rFonts w:hint="eastAsia"/>
                <w:bCs/>
                <w:sz w:val="20"/>
                <w:szCs w:val="20"/>
              </w:rPr>
            </w:pPr>
            <w:r>
              <w:rPr>
                <w:rFonts w:hAnsi="新細明體" w:hint="eastAsia"/>
                <w:bCs/>
                <w:sz w:val="20"/>
                <w:szCs w:val="20"/>
              </w:rPr>
              <w:t>毋庸申請，其支給方式類似績效獎金</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九二公審決字第○三五九號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台北市政府所屬工程機關員工工程獎金發給辦法</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jc w:val="both"/>
              <w:rPr>
                <w:rFonts w:hint="eastAsia"/>
                <w:bCs/>
                <w:sz w:val="20"/>
                <w:szCs w:val="20"/>
              </w:rPr>
            </w:pPr>
            <w:r>
              <w:rPr>
                <w:rFonts w:hAnsi="新細明體" w:hint="eastAsia"/>
                <w:bCs/>
                <w:sz w:val="20"/>
                <w:szCs w:val="20"/>
              </w:rPr>
              <w:t>毋庸申請，按月支領</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bCs/>
                <w:sz w:val="20"/>
                <w:szCs w:val="20"/>
              </w:rPr>
            </w:pPr>
            <w:r>
              <w:rPr>
                <w:rFonts w:hAnsi="新細明體" w:hint="eastAsia"/>
                <w:bCs/>
                <w:sz w:val="20"/>
                <w:szCs w:val="20"/>
              </w:rPr>
              <w:t>差旅費</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bCs/>
                <w:sz w:val="20"/>
                <w:szCs w:val="20"/>
              </w:rPr>
              <w:t>國內出差旅費</w:t>
            </w:r>
            <w:r>
              <w:rPr>
                <w:rFonts w:hAnsi="新細明體" w:hint="eastAsia"/>
                <w:bCs/>
                <w:sz w:val="20"/>
                <w:szCs w:val="20"/>
              </w:rPr>
              <w:t>報支要點、國外</w:t>
            </w:r>
            <w:r>
              <w:rPr>
                <w:rFonts w:hAnsi="新細明體"/>
                <w:bCs/>
                <w:sz w:val="20"/>
                <w:szCs w:val="20"/>
              </w:rPr>
              <w:t>出差旅費</w:t>
            </w:r>
            <w:r>
              <w:rPr>
                <w:rFonts w:hAnsi="新細明體" w:hint="eastAsia"/>
                <w:bCs/>
                <w:sz w:val="20"/>
                <w:szCs w:val="20"/>
              </w:rPr>
              <w:t>報支要點</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奉派出差</w:t>
            </w:r>
            <w:r>
              <w:rPr>
                <w:rFonts w:hint="eastAsia"/>
                <w:bCs/>
                <w:sz w:val="20"/>
                <w:szCs w:val="20"/>
              </w:rPr>
              <w:t>→</w:t>
            </w:r>
            <w:r>
              <w:rPr>
                <w:rFonts w:hAnsi="新細明體" w:hint="eastAsia"/>
                <w:bCs/>
                <w:sz w:val="20"/>
                <w:szCs w:val="20"/>
              </w:rPr>
              <w:t>檢具出差旅費報告表，連同有關書據，報請審核</w:t>
            </w:r>
            <w:r>
              <w:rPr>
                <w:rFonts w:hint="eastAsia"/>
                <w:bCs/>
                <w:sz w:val="20"/>
                <w:szCs w:val="20"/>
              </w:rPr>
              <w:t>→</w:t>
            </w:r>
            <w:r>
              <w:rPr>
                <w:rFonts w:hAnsi="新細明體" w:hint="eastAsia"/>
                <w:bCs/>
                <w:sz w:val="20"/>
                <w:szCs w:val="20"/>
              </w:rPr>
              <w:t>機關直撥入帳</w:t>
            </w:r>
            <w:r>
              <w:rPr>
                <w:rFonts w:hint="eastAsia"/>
                <w:bCs/>
                <w:sz w:val="20"/>
                <w:szCs w:val="20"/>
              </w:rPr>
              <w:t>→</w:t>
            </w:r>
            <w:r>
              <w:rPr>
                <w:rFonts w:hAnsi="新細明體" w:hint="eastAsia"/>
                <w:bCs/>
                <w:sz w:val="20"/>
                <w:szCs w:val="20"/>
              </w:rPr>
              <w:t>（入帳通知）。</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訓練進修費用</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訓練進修法</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公務員簽請核准進修及補助</w:t>
            </w:r>
            <w:r>
              <w:rPr>
                <w:rFonts w:hint="eastAsia"/>
                <w:bCs/>
                <w:sz w:val="20"/>
                <w:szCs w:val="20"/>
              </w:rPr>
              <w:t>→</w:t>
            </w:r>
            <w:r>
              <w:rPr>
                <w:rFonts w:hAnsi="新細明體" w:hint="eastAsia"/>
                <w:bCs/>
                <w:sz w:val="20"/>
                <w:szCs w:val="20"/>
              </w:rPr>
              <w:t>機關核准</w:t>
            </w:r>
            <w:r>
              <w:rPr>
                <w:rFonts w:hint="eastAsia"/>
                <w:bCs/>
                <w:sz w:val="20"/>
                <w:szCs w:val="20"/>
              </w:rPr>
              <w:t>→</w:t>
            </w:r>
            <w:r>
              <w:rPr>
                <w:rFonts w:hAnsi="新細明體" w:hint="eastAsia"/>
                <w:bCs/>
                <w:sz w:val="20"/>
                <w:szCs w:val="20"/>
              </w:rPr>
              <w:t>學期結束時檢據申請核發補助費用</w:t>
            </w:r>
            <w:r>
              <w:rPr>
                <w:rFonts w:hint="eastAsia"/>
                <w:bCs/>
                <w:sz w:val="20"/>
                <w:szCs w:val="20"/>
              </w:rPr>
              <w:t>→</w:t>
            </w:r>
            <w:r>
              <w:rPr>
                <w:rFonts w:hAnsi="新細明體" w:hint="eastAsia"/>
                <w:bCs/>
                <w:sz w:val="20"/>
                <w:szCs w:val="20"/>
              </w:rPr>
              <w:t>入帳。（目</w:t>
            </w:r>
            <w:r>
              <w:rPr>
                <w:rFonts w:hAnsi="新細明體" w:hint="eastAsia"/>
                <w:bCs/>
                <w:sz w:val="20"/>
                <w:szCs w:val="20"/>
              </w:rPr>
              <w:t>前做法）</w:t>
            </w:r>
          </w:p>
          <w:p w:rsidR="00000000" w:rsidRDefault="00724932">
            <w:pPr>
              <w:widowControl/>
              <w:kinsoku w:val="0"/>
              <w:snapToGrid w:val="0"/>
              <w:jc w:val="both"/>
              <w:rPr>
                <w:rFonts w:hint="eastAsia"/>
                <w:bCs/>
                <w:sz w:val="20"/>
                <w:szCs w:val="20"/>
              </w:rPr>
            </w:pPr>
            <w:r>
              <w:rPr>
                <w:rFonts w:hAnsi="新細明體" w:hint="eastAsia"/>
                <w:bCs/>
                <w:sz w:val="20"/>
                <w:szCs w:val="20"/>
              </w:rPr>
              <w:t>往後將採二階段核准：</w:t>
            </w:r>
          </w:p>
          <w:p w:rsidR="00000000" w:rsidRDefault="00724932">
            <w:pPr>
              <w:widowControl/>
              <w:kinsoku w:val="0"/>
              <w:snapToGrid w:val="0"/>
              <w:jc w:val="both"/>
              <w:rPr>
                <w:rFonts w:hint="eastAsia"/>
                <w:bCs/>
                <w:sz w:val="20"/>
                <w:szCs w:val="20"/>
              </w:rPr>
            </w:pPr>
            <w:r>
              <w:rPr>
                <w:rFonts w:hAnsi="新細明體" w:hint="eastAsia"/>
                <w:bCs/>
                <w:sz w:val="20"/>
                <w:szCs w:val="20"/>
              </w:rPr>
              <w:t>公務員簽請核准進修</w:t>
            </w:r>
            <w:r>
              <w:rPr>
                <w:rFonts w:hint="eastAsia"/>
                <w:bCs/>
                <w:sz w:val="20"/>
                <w:szCs w:val="20"/>
              </w:rPr>
              <w:t>→</w:t>
            </w:r>
            <w:r>
              <w:rPr>
                <w:rFonts w:hAnsi="新細明體" w:hint="eastAsia"/>
                <w:bCs/>
                <w:sz w:val="20"/>
                <w:szCs w:val="20"/>
              </w:rPr>
              <w:t>機關核准</w:t>
            </w:r>
            <w:r>
              <w:rPr>
                <w:rFonts w:hint="eastAsia"/>
                <w:bCs/>
                <w:sz w:val="20"/>
                <w:szCs w:val="20"/>
              </w:rPr>
              <w:t>→</w:t>
            </w:r>
            <w:r>
              <w:rPr>
                <w:rFonts w:hAnsi="新細明體" w:hint="eastAsia"/>
                <w:bCs/>
                <w:sz w:val="20"/>
                <w:szCs w:val="20"/>
              </w:rPr>
              <w:t>學期結束時檢據申請核發補助費用</w:t>
            </w:r>
            <w:r>
              <w:rPr>
                <w:rFonts w:hint="eastAsia"/>
                <w:bCs/>
                <w:sz w:val="20"/>
                <w:szCs w:val="20"/>
              </w:rPr>
              <w:t>→</w:t>
            </w:r>
            <w:r>
              <w:rPr>
                <w:rFonts w:hAnsi="新細明體" w:hint="eastAsia"/>
                <w:bCs/>
                <w:sz w:val="20"/>
                <w:szCs w:val="20"/>
              </w:rPr>
              <w:t>機關核准</w:t>
            </w:r>
            <w:r>
              <w:rPr>
                <w:rFonts w:hint="eastAsia"/>
                <w:bCs/>
                <w:sz w:val="20"/>
                <w:szCs w:val="20"/>
              </w:rPr>
              <w:t>→</w:t>
            </w:r>
            <w:r>
              <w:rPr>
                <w:rFonts w:hAnsi="新細明體" w:hint="eastAsia"/>
                <w:bCs/>
                <w:sz w:val="20"/>
                <w:szCs w:val="20"/>
              </w:rPr>
              <w:t>入帳。</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久任獎金</w:t>
            </w:r>
          </w:p>
        </w:tc>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bCs/>
                <w:sz w:val="20"/>
                <w:szCs w:val="20"/>
              </w:rPr>
              <w:t>經濟部所屬事業機構表彰員工久任辦法</w:t>
            </w:r>
            <w:r>
              <w:rPr>
                <w:rFonts w:hAnsi="新細明體" w:hint="eastAsia"/>
                <w:bCs/>
                <w:sz w:val="20"/>
                <w:szCs w:val="20"/>
              </w:rPr>
              <w:t>、</w:t>
            </w:r>
            <w:r>
              <w:rPr>
                <w:rFonts w:hAnsi="新細明體"/>
                <w:bCs/>
                <w:sz w:val="20"/>
                <w:szCs w:val="20"/>
              </w:rPr>
              <w:t>交通部所屬事業機構久任人員表彰辦法</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int="eastAsia"/>
                <w:bCs/>
                <w:sz w:val="20"/>
                <w:szCs w:val="20"/>
              </w:rPr>
            </w:pPr>
            <w:r>
              <w:rPr>
                <w:rFonts w:hAnsi="新細明體" w:hint="eastAsia"/>
                <w:bCs/>
                <w:sz w:val="20"/>
                <w:szCs w:val="20"/>
              </w:rPr>
              <w:t>毋庸申請。</w:t>
            </w:r>
          </w:p>
          <w:p w:rsidR="00000000" w:rsidRDefault="00724932">
            <w:pPr>
              <w:widowControl/>
              <w:kinsoku w:val="0"/>
              <w:snapToGrid w:val="0"/>
              <w:jc w:val="both"/>
              <w:rPr>
                <w:rFonts w:hint="eastAsia"/>
                <w:bCs/>
                <w:sz w:val="20"/>
                <w:szCs w:val="20"/>
              </w:rPr>
            </w:pPr>
            <w:r>
              <w:rPr>
                <w:rFonts w:hAnsi="新細明體" w:hint="eastAsia"/>
                <w:bCs/>
                <w:sz w:val="20"/>
                <w:szCs w:val="20"/>
              </w:rPr>
              <w:t>符合條件者，由人事單位主動將久任獎金併入次月薪資核發</w:t>
            </w:r>
            <w:r>
              <w:rPr>
                <w:rFonts w:hint="eastAsia"/>
                <w:bCs/>
                <w:sz w:val="20"/>
                <w:szCs w:val="20"/>
              </w:rPr>
              <w:t>→</w:t>
            </w:r>
            <w:r>
              <w:rPr>
                <w:rFonts w:hAnsi="新細明體" w:hint="eastAsia"/>
                <w:bCs/>
                <w:sz w:val="20"/>
                <w:szCs w:val="20"/>
              </w:rPr>
              <w:t>薪資入帳通知單。</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pStyle w:val="HTML"/>
              <w:kinsoku w:val="0"/>
              <w:jc w:val="both"/>
              <w:rPr>
                <w:rFonts w:ascii="Times New Roman" w:eastAsia="新細明體" w:hAnsi="Times New Roman" w:hint="eastAsia"/>
                <w:bCs/>
                <w:kern w:val="2"/>
                <w:sz w:val="20"/>
                <w:szCs w:val="20"/>
              </w:rPr>
            </w:pPr>
            <w:r>
              <w:rPr>
                <w:rFonts w:ascii="Times New Roman" w:eastAsia="新細明體" w:hAnsi="新細明體" w:hint="eastAsia"/>
                <w:bCs/>
                <w:kern w:val="2"/>
                <w:sz w:val="20"/>
                <w:szCs w:val="20"/>
              </w:rPr>
              <w:t>九二公審決字第○三六二號</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Ansi="新細明體" w:hint="eastAsia"/>
                <w:bCs/>
                <w:sz w:val="20"/>
                <w:szCs w:val="20"/>
              </w:rPr>
            </w:pPr>
            <w:r>
              <w:rPr>
                <w:rFonts w:hAnsi="新細明體" w:hint="eastAsia"/>
                <w:bCs/>
                <w:sz w:val="20"/>
                <w:szCs w:val="20"/>
              </w:rPr>
              <w:lastRenderedPageBreak/>
              <w:t>兼職</w:t>
            </w:r>
            <w:r>
              <w:rPr>
                <w:rFonts w:ascii="新細明體" w:hint="eastAsia"/>
                <w:color w:val="000000"/>
                <w:sz w:val="20"/>
                <w:szCs w:val="20"/>
              </w:rPr>
              <w:t>費</w:t>
            </w:r>
          </w:p>
        </w:tc>
        <w:tc>
          <w:tcPr>
            <w:tcW w:w="0" w:type="auto"/>
            <w:vMerge w:val="restart"/>
            <w:tcBorders>
              <w:top w:val="single" w:sz="4" w:space="0" w:color="auto"/>
              <w:left w:val="single" w:sz="4" w:space="0" w:color="auto"/>
              <w:right w:val="single" w:sz="4" w:space="0" w:color="auto"/>
            </w:tcBorders>
          </w:tcPr>
          <w:p w:rsidR="00000000" w:rsidRDefault="00724932">
            <w:pPr>
              <w:widowControl/>
              <w:kinsoku w:val="0"/>
              <w:snapToGrid w:val="0"/>
              <w:jc w:val="both"/>
              <w:rPr>
                <w:rFonts w:hAnsi="新細明體"/>
                <w:bCs/>
                <w:sz w:val="20"/>
                <w:szCs w:val="20"/>
              </w:rPr>
            </w:pPr>
            <w:r>
              <w:rPr>
                <w:rFonts w:ascii="新細明體" w:hint="eastAsia"/>
                <w:color w:val="000000"/>
                <w:sz w:val="20"/>
                <w:szCs w:val="20"/>
              </w:rPr>
              <w:t>軍</w:t>
            </w:r>
            <w:r>
              <w:rPr>
                <w:rFonts w:hAnsi="新細明體" w:hint="eastAsia"/>
                <w:bCs/>
                <w:sz w:val="20"/>
                <w:szCs w:val="20"/>
              </w:rPr>
              <w:t>公教人員</w:t>
            </w:r>
            <w:r>
              <w:rPr>
                <w:rFonts w:ascii="新細明體" w:hint="eastAsia"/>
                <w:color w:val="000000"/>
                <w:sz w:val="20"/>
                <w:szCs w:val="20"/>
              </w:rPr>
              <w:t>兼職費及講座鐘點費支給規定</w:t>
            </w: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numPr>
                <w:ilvl w:val="0"/>
                <w:numId w:val="24"/>
              </w:numPr>
              <w:kinsoku w:val="0"/>
              <w:snapToGrid w:val="0"/>
              <w:jc w:val="both"/>
              <w:rPr>
                <w:rFonts w:ascii="新細明體" w:hint="eastAsia"/>
                <w:color w:val="000000"/>
                <w:sz w:val="20"/>
                <w:szCs w:val="20"/>
              </w:rPr>
            </w:pPr>
            <w:r>
              <w:rPr>
                <w:rFonts w:ascii="新細明體" w:hint="eastAsia"/>
                <w:color w:val="000000"/>
                <w:sz w:val="20"/>
                <w:szCs w:val="20"/>
              </w:rPr>
              <w:t>兼任職務之性質以開會型態為主者，依實際出席比率計發兼職費。</w:t>
            </w:r>
          </w:p>
          <w:p w:rsidR="00000000" w:rsidRDefault="00724932">
            <w:pPr>
              <w:widowControl/>
              <w:numPr>
                <w:ilvl w:val="0"/>
                <w:numId w:val="24"/>
              </w:numPr>
              <w:kinsoku w:val="0"/>
              <w:snapToGrid w:val="0"/>
              <w:jc w:val="both"/>
              <w:rPr>
                <w:rFonts w:ascii="新細明體" w:hint="eastAsia"/>
                <w:color w:val="000000"/>
                <w:sz w:val="20"/>
                <w:szCs w:val="20"/>
              </w:rPr>
            </w:pPr>
            <w:r>
              <w:rPr>
                <w:rFonts w:ascii="新細明體" w:hint="eastAsia"/>
                <w:color w:val="000000"/>
                <w:sz w:val="20"/>
                <w:szCs w:val="20"/>
              </w:rPr>
              <w:t>兼任職務以執行經常性業務為主者，及依法執行監察權之公司、財團法人之監事，按月支給兼職費。</w:t>
            </w:r>
          </w:p>
          <w:p w:rsidR="00000000" w:rsidRDefault="00724932">
            <w:pPr>
              <w:widowControl/>
              <w:numPr>
                <w:ilvl w:val="0"/>
                <w:numId w:val="24"/>
              </w:numPr>
              <w:kinsoku w:val="0"/>
              <w:snapToGrid w:val="0"/>
              <w:jc w:val="both"/>
              <w:rPr>
                <w:rFonts w:ascii="新細明體" w:hint="eastAsia"/>
                <w:color w:val="000000"/>
                <w:sz w:val="20"/>
                <w:szCs w:val="20"/>
              </w:rPr>
            </w:pPr>
            <w:r>
              <w:rPr>
                <w:rFonts w:ascii="新細明體" w:hint="eastAsia"/>
                <w:color w:val="000000"/>
                <w:sz w:val="20"/>
                <w:szCs w:val="20"/>
              </w:rPr>
              <w:t>支給方</w:t>
            </w:r>
            <w:r>
              <w:rPr>
                <w:rFonts w:ascii="新細明體" w:hint="eastAsia"/>
                <w:color w:val="000000"/>
                <w:sz w:val="20"/>
                <w:szCs w:val="20"/>
              </w:rPr>
              <w:t>式：</w:t>
            </w:r>
          </w:p>
          <w:p w:rsidR="00000000" w:rsidRDefault="00724932">
            <w:pPr>
              <w:widowControl/>
              <w:numPr>
                <w:ilvl w:val="1"/>
                <w:numId w:val="24"/>
              </w:numPr>
              <w:kinsoku w:val="0"/>
              <w:snapToGrid w:val="0"/>
              <w:jc w:val="both"/>
              <w:rPr>
                <w:rFonts w:ascii="新細明體" w:hint="eastAsia"/>
                <w:color w:val="000000"/>
                <w:sz w:val="20"/>
                <w:szCs w:val="20"/>
              </w:rPr>
            </w:pPr>
            <w:r>
              <w:rPr>
                <w:rFonts w:ascii="新細明體" w:hint="eastAsia"/>
                <w:color w:val="000000"/>
                <w:sz w:val="20"/>
                <w:szCs w:val="20"/>
              </w:rPr>
              <w:t>開具支票交由本職機關學校轉發兼職人員。</w:t>
            </w:r>
          </w:p>
          <w:p w:rsidR="00000000" w:rsidRDefault="00724932">
            <w:pPr>
              <w:widowControl/>
              <w:numPr>
                <w:ilvl w:val="1"/>
                <w:numId w:val="24"/>
              </w:numPr>
              <w:kinsoku w:val="0"/>
              <w:snapToGrid w:val="0"/>
              <w:jc w:val="both"/>
              <w:rPr>
                <w:rFonts w:hAnsi="新細明體" w:hint="eastAsia"/>
                <w:bCs/>
                <w:sz w:val="20"/>
                <w:szCs w:val="20"/>
              </w:rPr>
            </w:pPr>
            <w:r>
              <w:rPr>
                <w:rFonts w:ascii="新細明體" w:hint="eastAsia"/>
                <w:color w:val="000000"/>
                <w:sz w:val="20"/>
                <w:szCs w:val="20"/>
              </w:rPr>
              <w:t>電連存帳：由支付處直撥入兼職人員帳戶，再由兼職機關於支付後函知兼職人員本職機關學校。</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ascii="新細明體" w:hAnsi="新細明體" w:hint="eastAsia"/>
                <w:bCs/>
                <w:sz w:val="20"/>
                <w:szCs w:val="20"/>
              </w:rPr>
            </w:pPr>
            <w:r>
              <w:rPr>
                <w:rStyle w:val="stext1"/>
                <w:rFonts w:ascii="新細明體" w:hAnsi="新細明體" w:hint="eastAsia"/>
                <w:color w:val="000000"/>
                <w:sz w:val="20"/>
                <w:szCs w:val="20"/>
              </w:rPr>
              <w:t>九三公審決字第○二六三號、</w:t>
            </w:r>
            <w:r>
              <w:rPr>
                <w:rFonts w:ascii="新細明體" w:hAnsi="新細明體"/>
                <w:color w:val="000000"/>
                <w:sz w:val="20"/>
                <w:szCs w:val="20"/>
              </w:rPr>
              <w:t>九三公審決字第</w:t>
            </w:r>
            <w:r>
              <w:rPr>
                <w:rStyle w:val="stext1"/>
                <w:rFonts w:ascii="新細明體" w:hAnsi="新細明體" w:hint="eastAsia"/>
                <w:color w:val="000000"/>
                <w:sz w:val="20"/>
                <w:szCs w:val="20"/>
              </w:rPr>
              <w:t>○</w:t>
            </w:r>
            <w:r>
              <w:rPr>
                <w:rFonts w:ascii="新細明體" w:hAnsi="新細明體"/>
                <w:color w:val="000000"/>
                <w:sz w:val="20"/>
                <w:szCs w:val="20"/>
              </w:rPr>
              <w:t>一八四號</w:t>
            </w:r>
            <w:r>
              <w:rPr>
                <w:rFonts w:ascii="新細明體" w:hAnsi="新細明體" w:hint="eastAsia"/>
                <w:color w:val="000000"/>
                <w:sz w:val="20"/>
                <w:szCs w:val="20"/>
              </w:rPr>
              <w:t>（</w:t>
            </w:r>
            <w:r>
              <w:rPr>
                <w:rFonts w:ascii="新細明體" w:hAnsi="新細明體"/>
                <w:color w:val="000000"/>
                <w:sz w:val="20"/>
                <w:szCs w:val="20"/>
              </w:rPr>
              <w:t>鄉公所人事室主任，</w:t>
            </w:r>
            <w:r>
              <w:rPr>
                <w:rFonts w:ascii="新細明體" w:hAnsi="新細明體" w:hint="eastAsia"/>
                <w:color w:val="000000"/>
                <w:sz w:val="20"/>
                <w:szCs w:val="20"/>
              </w:rPr>
              <w:t>因兼任該</w:t>
            </w:r>
            <w:r>
              <w:rPr>
                <w:rFonts w:ascii="新細明體" w:hAnsi="新細明體"/>
                <w:color w:val="000000"/>
                <w:sz w:val="20"/>
                <w:szCs w:val="20"/>
              </w:rPr>
              <w:t>鄉清潔隊人事管理員，並支領兼職交通費。嗣審計部臺灣省南投縣審計室函請鄉公所</w:t>
            </w:r>
            <w:r>
              <w:rPr>
                <w:rFonts w:ascii="新細明體" w:hAnsi="新細明體" w:hint="eastAsia"/>
                <w:color w:val="000000"/>
                <w:sz w:val="20"/>
                <w:szCs w:val="20"/>
              </w:rPr>
              <w:t>追繳兼職交通費，</w:t>
            </w:r>
            <w:r>
              <w:rPr>
                <w:rFonts w:ascii="新細明體" w:hAnsi="新細明體"/>
                <w:color w:val="000000"/>
                <w:sz w:val="20"/>
                <w:szCs w:val="20"/>
              </w:rPr>
              <w:t>案經</w:t>
            </w:r>
            <w:r>
              <w:rPr>
                <w:rFonts w:ascii="新細明體" w:hAnsi="新細明體" w:hint="eastAsia"/>
                <w:color w:val="000000"/>
                <w:sz w:val="20"/>
                <w:szCs w:val="20"/>
              </w:rPr>
              <w:t>鄉公</w:t>
            </w:r>
            <w:r>
              <w:rPr>
                <w:rFonts w:ascii="新細明體" w:hAnsi="新細明體"/>
                <w:color w:val="000000"/>
                <w:sz w:val="20"/>
                <w:szCs w:val="20"/>
              </w:rPr>
              <w:t>所</w:t>
            </w:r>
            <w:r>
              <w:rPr>
                <w:rFonts w:ascii="新細明體" w:hAnsi="新細明體"/>
                <w:bCs/>
                <w:color w:val="000000"/>
                <w:sz w:val="20"/>
                <w:szCs w:val="20"/>
              </w:rPr>
              <w:t>簽會</w:t>
            </w:r>
            <w:r>
              <w:rPr>
                <w:rFonts w:ascii="新細明體" w:hAnsi="新細明體"/>
                <w:color w:val="000000"/>
                <w:sz w:val="20"/>
                <w:szCs w:val="20"/>
              </w:rPr>
              <w:t>人事室，復審人不服</w:t>
            </w:r>
            <w:r>
              <w:rPr>
                <w:rFonts w:ascii="新細明體" w:hAnsi="新細明體" w:hint="eastAsia"/>
                <w:color w:val="000000"/>
                <w:sz w:val="20"/>
                <w:szCs w:val="20"/>
              </w:rPr>
              <w:t>該會簽之「意思表示」</w:t>
            </w:r>
            <w:r>
              <w:rPr>
                <w:rFonts w:ascii="新細明體" w:hAnsi="新細明體"/>
                <w:color w:val="000000"/>
                <w:sz w:val="20"/>
                <w:szCs w:val="20"/>
              </w:rPr>
              <w:t>，提起復審</w:t>
            </w:r>
            <w:r>
              <w:rPr>
                <w:rFonts w:ascii="新細明體" w:hAnsi="新細明體" w:hint="eastAsia"/>
                <w:color w:val="000000"/>
                <w:sz w:val="20"/>
                <w:szCs w:val="20"/>
              </w:rPr>
              <w:t>）</w:t>
            </w:r>
          </w:p>
        </w:tc>
      </w:tr>
      <w:tr w:rsidR="00000000">
        <w:tblPrEx>
          <w:tblCellMar>
            <w:top w:w="0" w:type="dxa"/>
            <w:bottom w:w="0" w:type="dxa"/>
          </w:tblCellMar>
        </w:tblPrEx>
        <w:trPr>
          <w:cantSplit/>
          <w:trHeight w:val="524"/>
        </w:trPr>
        <w:tc>
          <w:tcPr>
            <w:tcW w:w="0" w:type="auto"/>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hAnsi="新細明體" w:hint="eastAsia"/>
                <w:bCs/>
                <w:sz w:val="20"/>
                <w:szCs w:val="20"/>
              </w:rPr>
            </w:pPr>
            <w:r>
              <w:rPr>
                <w:rFonts w:ascii="新細明體" w:hint="eastAsia"/>
                <w:color w:val="000000"/>
                <w:sz w:val="20"/>
                <w:szCs w:val="20"/>
              </w:rPr>
              <w:t>講座鐘點費</w:t>
            </w:r>
          </w:p>
        </w:tc>
        <w:tc>
          <w:tcPr>
            <w:tcW w:w="0" w:type="auto"/>
            <w:vMerge/>
            <w:tcBorders>
              <w:left w:val="single" w:sz="4" w:space="0" w:color="auto"/>
              <w:bottom w:val="single" w:sz="4" w:space="0" w:color="auto"/>
              <w:right w:val="single" w:sz="4" w:space="0" w:color="auto"/>
            </w:tcBorders>
          </w:tcPr>
          <w:p w:rsidR="00000000" w:rsidRDefault="00724932">
            <w:pPr>
              <w:widowControl/>
              <w:kinsoku w:val="0"/>
              <w:snapToGrid w:val="0"/>
              <w:jc w:val="both"/>
              <w:rPr>
                <w:rFonts w:ascii="新細明體" w:hint="eastAsia"/>
                <w:color w:val="000000"/>
                <w:sz w:val="20"/>
                <w:szCs w:val="20"/>
              </w:rPr>
            </w:pPr>
          </w:p>
        </w:tc>
        <w:tc>
          <w:tcPr>
            <w:tcW w:w="3105"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Fonts w:ascii="新細明體" w:hint="eastAsia"/>
                <w:color w:val="000000"/>
                <w:sz w:val="20"/>
                <w:szCs w:val="20"/>
              </w:rPr>
            </w:pPr>
            <w:r>
              <w:rPr>
                <w:rFonts w:ascii="新細明體" w:hint="eastAsia"/>
                <w:color w:val="000000"/>
                <w:sz w:val="20"/>
                <w:szCs w:val="20"/>
              </w:rPr>
              <w:t>一般係以現金支付。</w:t>
            </w:r>
          </w:p>
        </w:tc>
        <w:tc>
          <w:tcPr>
            <w:tcW w:w="3106" w:type="dxa"/>
            <w:tcBorders>
              <w:top w:val="single" w:sz="4" w:space="0" w:color="auto"/>
              <w:left w:val="single" w:sz="4" w:space="0" w:color="auto"/>
              <w:bottom w:val="single" w:sz="4" w:space="0" w:color="auto"/>
              <w:right w:val="single" w:sz="4" w:space="0" w:color="auto"/>
            </w:tcBorders>
          </w:tcPr>
          <w:p w:rsidR="00000000" w:rsidRDefault="00724932">
            <w:pPr>
              <w:widowControl/>
              <w:kinsoku w:val="0"/>
              <w:snapToGrid w:val="0"/>
              <w:jc w:val="both"/>
              <w:rPr>
                <w:rStyle w:val="stext1"/>
                <w:rFonts w:ascii="新細明體" w:hAnsi="新細明體" w:hint="eastAsia"/>
                <w:color w:val="000000"/>
                <w:sz w:val="20"/>
                <w:szCs w:val="20"/>
              </w:rPr>
            </w:pPr>
          </w:p>
        </w:tc>
      </w:tr>
    </w:tbl>
    <w:p w:rsidR="00000000" w:rsidRDefault="00724932">
      <w:pPr>
        <w:widowControl/>
        <w:spacing w:line="288" w:lineRule="auto"/>
        <w:ind w:firstLineChars="200" w:firstLine="480"/>
        <w:jc w:val="both"/>
        <w:rPr>
          <w:rFonts w:hAnsi="新細明體"/>
        </w:rPr>
      </w:pPr>
    </w:p>
    <w:p w:rsidR="00000000" w:rsidRDefault="00724932">
      <w:pPr>
        <w:widowControl/>
        <w:spacing w:afterLines="50" w:after="180" w:line="288" w:lineRule="auto"/>
        <w:ind w:firstLineChars="200" w:firstLine="480"/>
        <w:jc w:val="both"/>
        <w:rPr>
          <w:rFonts w:hint="eastAsia"/>
        </w:rPr>
      </w:pPr>
      <w:r>
        <w:rPr>
          <w:rFonts w:hAnsi="新細明體" w:hint="eastAsia"/>
        </w:rPr>
        <w:t>雖然這份清單，乍看之下，甚為繁複，不過若單純是出自處理有關以公法上不當得利返還請求權制度處理公務人員不當</w:t>
      </w:r>
      <w:r>
        <w:rPr>
          <w:rFonts w:hAnsi="新細明體" w:hint="eastAsia"/>
        </w:rPr>
        <w:t>受領公法上金錢給付問題的考慮，有關本表所揭公務人員受領之公法上金錢給付的種類，大致得以給付之「原因」，是否為行政機關作成某一相關行政處分之後的結果，而區分為</w:t>
      </w:r>
      <w:r>
        <w:rPr>
          <w:rFonts w:hint="eastAsia"/>
        </w:rPr>
        <w:t>「基於行政處分之給付」及「非基於行政處分之給付」等兩種類型。因為公法上不當得利返還請求權之成立，依據德國法上的比較觀察</w:t>
      </w:r>
      <w:r>
        <w:rPr>
          <w:rStyle w:val="a9"/>
        </w:rPr>
        <w:footnoteReference w:id="133"/>
      </w:r>
      <w:r>
        <w:rPr>
          <w:rFonts w:hint="eastAsia"/>
        </w:rPr>
        <w:t>，以及國內學者的見解</w:t>
      </w:r>
      <w:r>
        <w:rPr>
          <w:rStyle w:val="a9"/>
        </w:rPr>
        <w:footnoteReference w:id="134"/>
      </w:r>
      <w:r>
        <w:rPr>
          <w:rFonts w:hint="eastAsia"/>
        </w:rPr>
        <w:t>，除「財產變動」與「在公法關係中」外，必須具備「無法律上之原因（含『雖有法律上之原因，而其後已不存在』）」此一構成要件要素。此外，又因為在公務人員受領公法上金錢給付是否足以成立公法上不當得利返還請求權的問題上，行政</w:t>
      </w:r>
      <w:r>
        <w:rPr>
          <w:rFonts w:hint="eastAsia"/>
        </w:rPr>
        <w:t>機關向公務人員為給付，通常即係「財產變動」，而金錢給付性質為公法性質，原則上亦足以該當給付之行政機關與受領之公務人員所存在的「公法關係」構成要件要素，從而相關問題在個案中如何判斷，主要即落在該公法上之金錢給付，是否屬於所謂「無法律上之原因」的狀況。至於有關這一點構成要件要素的判斷，依據德國法學上的經驗</w:t>
      </w:r>
      <w:r>
        <w:rPr>
          <w:rStyle w:val="a9"/>
        </w:rPr>
        <w:footnoteReference w:id="135"/>
      </w:r>
      <w:r>
        <w:rPr>
          <w:rFonts w:hint="eastAsia"/>
        </w:rPr>
        <w:t>，公法上之金錢給付究係基於行政處分或其他原因，復往往具有重要的區別意義；因此不問給付種類為何，單純以「基於行政處分之給付」及「非基於</w:t>
      </w:r>
      <w:r>
        <w:rPr>
          <w:rFonts w:hint="eastAsia"/>
        </w:rPr>
        <w:lastRenderedPageBreak/>
        <w:t>行政處分之給付」為標準，來區分</w:t>
      </w:r>
      <w:r>
        <w:rPr>
          <w:rFonts w:hAnsi="新細明體" w:hint="eastAsia"/>
        </w:rPr>
        <w:t>公務人員受領公法上金錢給付的種類，應該足可認為</w:t>
      </w:r>
      <w:r>
        <w:rPr>
          <w:rFonts w:hAnsi="新細明體" w:hint="eastAsia"/>
        </w:rPr>
        <w:t>是一種完全切合處理相關之公法上不當得利問題為取向的類型化方法。更何況在我國現行法制下，作為請求公務人員返還公法上不當得利的「法律基礎</w:t>
      </w:r>
      <w:r>
        <w:rPr>
          <w:rFonts w:hint="eastAsia"/>
        </w:rPr>
        <w:t>（</w:t>
      </w:r>
      <w:r>
        <w:rPr>
          <w:rFonts w:hint="eastAsia"/>
        </w:rPr>
        <w:t>Rechtsgrundlage</w:t>
      </w:r>
      <w:r>
        <w:rPr>
          <w:rFonts w:hint="eastAsia"/>
        </w:rPr>
        <w:t>）」</w:t>
      </w:r>
      <w:r>
        <w:rPr>
          <w:rFonts w:hAnsi="新細明體" w:hint="eastAsia"/>
        </w:rPr>
        <w:t>，將如後文所言</w:t>
      </w:r>
      <w:r>
        <w:rPr>
          <w:rStyle w:val="a9"/>
          <w:rFonts w:hAnsi="新細明體"/>
        </w:rPr>
        <w:footnoteReference w:id="136"/>
      </w:r>
      <w:r>
        <w:rPr>
          <w:rFonts w:hAnsi="新細明體" w:hint="eastAsia"/>
        </w:rPr>
        <w:t>，共有涉及行政處分溯及失效等問題的行政程序法第一百二十七條之規定，以及學說與實務咸已公認的不成文之公法上不當得利兩種；其中公務人員受領公法上金錢給付的原因，究係為「行政處分」或「非行政處分」，在判斷上，很明顯地，將造成相關公法上不當得利返還請求權問題所應適用的法律依據有所不同。</w:t>
      </w:r>
    </w:p>
    <w:p w:rsidR="00000000" w:rsidRDefault="00724932">
      <w:pPr>
        <w:widowControl/>
        <w:spacing w:afterLines="50" w:after="180" w:line="288" w:lineRule="auto"/>
        <w:ind w:firstLineChars="200" w:firstLine="480"/>
        <w:jc w:val="both"/>
        <w:rPr>
          <w:rFonts w:hint="eastAsia"/>
        </w:rPr>
      </w:pPr>
      <w:r>
        <w:rPr>
          <w:rFonts w:hint="eastAsia"/>
        </w:rPr>
        <w:t>當然不容否認的，公務人員所受領之公法上金錢給付，</w:t>
      </w:r>
      <w:r>
        <w:rPr>
          <w:rFonts w:hint="eastAsia"/>
        </w:rPr>
        <w:t>究係一種「基於行政處分之給付」，抑或一種「非基於行政處分之給付」，在認定上，並不容易。主要是因為在我國現行公務人員的法規中，幾乎並無明文規定公務人員受領公法上金錢給付，行政機關須先以行政處分之方式確定給付之種類、金額或方式；從而公務人員受領公法上金錢給付，究竟是來自行政機關所做成之行政處分的法律效果，抑或直接來自法規規定或其他非行政處分類型之行政行為的結果，在判斷上，僅能依據行政程序法第九十二條之規定，由個案認定行政機關在實際為給付前，有無做成確定給付種類、金額或方式等的某一行政處分。但是這種個案認定，頗有</w:t>
      </w:r>
      <w:r>
        <w:rPr>
          <w:rFonts w:hint="eastAsia"/>
        </w:rPr>
        <w:t>困難；在實務上也輒生爭議。不過依據本研究之見解，基本上只要給付係基於受領人之申請（非單純之報備、通知或登記</w:t>
      </w:r>
      <w:r>
        <w:rPr>
          <w:rFonts w:ascii="新細明體" w:hAnsi="新細明體"/>
        </w:rPr>
        <w:t>…</w:t>
      </w:r>
      <w:r>
        <w:rPr>
          <w:rFonts w:hint="eastAsia"/>
        </w:rPr>
        <w:t>等），或是給付種類、金額與方式等之確定，由於相關法規規定的規範密度過低，而有不確定法律概念之判斷、複雜法律事實之調查，抑或行政機關享有裁量空間等情況時，則因行政機關在此有明顯的單方意思表示之作用，大致均可推定給付直接所基之原因為行政處分，而非該行政處分所依據的法規本身</w:t>
      </w:r>
      <w:r>
        <w:rPr>
          <w:rStyle w:val="a9"/>
        </w:rPr>
        <w:footnoteReference w:id="137"/>
      </w:r>
      <w:r>
        <w:rPr>
          <w:rFonts w:hint="eastAsia"/>
        </w:rPr>
        <w:t>；因此這一類型的給付，是為「基於行政處分之給付」。</w:t>
      </w:r>
    </w:p>
    <w:p w:rsidR="00000000" w:rsidRDefault="00724932">
      <w:pPr>
        <w:widowControl/>
        <w:spacing w:line="288" w:lineRule="auto"/>
        <w:ind w:firstLineChars="200" w:firstLine="480"/>
        <w:jc w:val="both"/>
        <w:rPr>
          <w:rFonts w:hint="eastAsia"/>
        </w:rPr>
      </w:pPr>
      <w:r>
        <w:rPr>
          <w:rFonts w:hint="eastAsia"/>
        </w:rPr>
        <w:t>此外，在此另須注意的是，行政機關向公務人員為金錢給付的給付「原因」，不應與作為「實</w:t>
      </w:r>
      <w:r>
        <w:rPr>
          <w:rFonts w:hint="eastAsia"/>
        </w:rPr>
        <w:t>現」給付的支付行為本身混淆</w:t>
      </w:r>
      <w:r>
        <w:rPr>
          <w:rStyle w:val="a9"/>
        </w:rPr>
        <w:footnoteReference w:id="138"/>
      </w:r>
      <w:r>
        <w:rPr>
          <w:rFonts w:hint="eastAsia"/>
        </w:rPr>
        <w:t>。換言之，行政機關基於由行政處分或其他原因所產生之金錢給付義務，而實際進行的支付行為，不論是現金支付、金融機構轉帳或其他方式，均為屬於「行政事實行為（</w:t>
      </w:r>
      <w:r>
        <w:rPr>
          <w:rFonts w:hint="eastAsia"/>
        </w:rPr>
        <w:t>Verwaltungsrealakt; Ver</w:t>
      </w:r>
      <w:r>
        <w:softHyphen/>
      </w:r>
      <w:r>
        <w:rPr>
          <w:rFonts w:hint="eastAsia"/>
        </w:rPr>
        <w:lastRenderedPageBreak/>
        <w:t>waltungstathandlung</w:t>
      </w:r>
      <w:r>
        <w:rPr>
          <w:rFonts w:hint="eastAsia"/>
        </w:rPr>
        <w:t>）」之一種的「履行行為（</w:t>
      </w:r>
      <w:r>
        <w:rPr>
          <w:rFonts w:hint="eastAsia"/>
        </w:rPr>
        <w:t>Ausf</w:t>
      </w:r>
      <w:r>
        <w:t>ü</w:t>
      </w:r>
      <w:r>
        <w:rPr>
          <w:rFonts w:hint="eastAsia"/>
        </w:rPr>
        <w:t>hrungshandlung</w:t>
      </w:r>
      <w:r>
        <w:rPr>
          <w:rFonts w:hint="eastAsia"/>
        </w:rPr>
        <w:t>）」</w:t>
      </w:r>
      <w:r>
        <w:rPr>
          <w:rStyle w:val="a9"/>
        </w:rPr>
        <w:footnoteReference w:id="139"/>
      </w:r>
      <w:r>
        <w:rPr>
          <w:rFonts w:hint="eastAsia"/>
        </w:rPr>
        <w:t>；判斷金錢給付，究係基於行政處分或非基於行政處分，不應從此支付行為本身有無轉帳單據或其他</w:t>
      </w:r>
      <w:r>
        <w:t>知之</w:t>
      </w:r>
      <w:r>
        <w:rPr>
          <w:rFonts w:hint="eastAsia"/>
        </w:rPr>
        <w:t>表示（</w:t>
      </w:r>
      <w:r>
        <w:rPr>
          <w:rFonts w:hint="eastAsia"/>
        </w:rPr>
        <w:t>Wissenserkl</w:t>
      </w:r>
      <w:r>
        <w:t>ä</w:t>
      </w:r>
      <w:r>
        <w:rPr>
          <w:rFonts w:hint="eastAsia"/>
        </w:rPr>
        <w:t>rung; Vorstellungsmitteilung</w:t>
      </w:r>
      <w:r>
        <w:rPr>
          <w:rFonts w:hint="eastAsia"/>
        </w:rPr>
        <w:t>）</w:t>
      </w:r>
      <w:r>
        <w:rPr>
          <w:rFonts w:hint="eastAsia"/>
        </w:rPr>
        <w:t>等著手，而應直接追究形成金錢給付義務的給付原因。</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sz w:val="36"/>
          <w:szCs w:val="36"/>
        </w:rPr>
      </w:pPr>
      <w:r>
        <w:rPr>
          <w:rFonts w:hint="eastAsia"/>
          <w:b/>
          <w:sz w:val="36"/>
          <w:szCs w:val="36"/>
        </w:rPr>
        <w:t>第二節　公法上不當得利返還請求權之成立</w:t>
      </w:r>
      <w:r>
        <w:rPr>
          <w:rFonts w:hint="eastAsia"/>
          <w:b/>
          <w:sz w:val="36"/>
          <w:szCs w:val="36"/>
        </w:rPr>
        <w:t xml:space="preserve"> </w:t>
      </w:r>
      <w:r>
        <w:rPr>
          <w:b/>
          <w:sz w:val="36"/>
          <w:szCs w:val="36"/>
        </w:rPr>
        <w:t>—</w:t>
      </w:r>
      <w:r>
        <w:rPr>
          <w:rFonts w:hint="eastAsia"/>
          <w:b/>
          <w:sz w:val="36"/>
          <w:szCs w:val="36"/>
        </w:rPr>
        <w:t xml:space="preserve"> </w:t>
      </w:r>
      <w:r>
        <w:rPr>
          <w:rFonts w:hint="eastAsia"/>
          <w:b/>
          <w:sz w:val="36"/>
          <w:szCs w:val="36"/>
        </w:rPr>
        <w:t>構成要件</w:t>
      </w:r>
    </w:p>
    <w:p w:rsidR="00000000" w:rsidRDefault="00724932">
      <w:pPr>
        <w:widowControl/>
        <w:spacing w:afterLines="50" w:after="180" w:line="288" w:lineRule="auto"/>
        <w:jc w:val="both"/>
        <w:rPr>
          <w:rFonts w:hint="eastAsia"/>
          <w:b/>
          <w:sz w:val="32"/>
          <w:szCs w:val="32"/>
        </w:rPr>
      </w:pPr>
      <w:r>
        <w:rPr>
          <w:rFonts w:hint="eastAsia"/>
          <w:b/>
          <w:sz w:val="32"/>
          <w:szCs w:val="32"/>
        </w:rPr>
        <w:t>壹　公法上不當得利返還請求權之法律基礎</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探討過公務人員受領公法上金錢給付的類型後，本研究將繼續說明此一金錢給付之受領可能成立公法上不當得利的原因。不過在正式進入此一公法上不當得利返還請求權之構成要件問題的討論之前，有必要先就規範公法上不當得利返還請求權之構成要件及其法律效果的法律基礎，作一說明：</w:t>
      </w:r>
    </w:p>
    <w:p w:rsidR="00000000" w:rsidRDefault="00724932">
      <w:pPr>
        <w:widowControl/>
        <w:spacing w:afterLines="50" w:after="180" w:line="288" w:lineRule="auto"/>
        <w:ind w:firstLineChars="200" w:firstLine="480"/>
        <w:jc w:val="both"/>
        <w:rPr>
          <w:rFonts w:hint="eastAsia"/>
        </w:rPr>
      </w:pPr>
      <w:r>
        <w:rPr>
          <w:rFonts w:hAnsi="新細明體" w:hint="eastAsia"/>
        </w:rPr>
        <w:t>相對於德國法制</w:t>
      </w:r>
      <w:r>
        <w:rPr>
          <w:rStyle w:val="a9"/>
          <w:rFonts w:hAnsi="新細明體"/>
        </w:rPr>
        <w:footnoteReference w:id="140"/>
      </w:r>
      <w:r>
        <w:rPr>
          <w:rFonts w:hAnsi="新細明體" w:hint="eastAsia"/>
        </w:rPr>
        <w:t>，在我國現行各種公務人員法規中，並無有關行政機關向公務人員請求返還不當受領之薪俸與其他公</w:t>
      </w:r>
      <w:r>
        <w:rPr>
          <w:rFonts w:hAnsi="新細明體" w:hint="eastAsia"/>
        </w:rPr>
        <w:t>法上金錢給付的明文規定。因此相關之公法上不當得利返還請求權，最多只有在行政機關向公務人員給付之原因建立在行政處分上，亦即本研究前開所謂</w:t>
      </w:r>
      <w:r>
        <w:rPr>
          <w:rFonts w:hint="eastAsia"/>
        </w:rPr>
        <w:t>「基於行政處分之給付」，並且該處分有經撤銷、廢止或條件成就而溯及失效，或經確認無效等情形時，或許具有適用行政程序法第一百二十七條的機會。除此以外的情形，則因欠缺法律明文規定，所以最多僅能適用援引自德國所謂「一般公法上返還請求權」的不成文公法上不當得利制度。</w:t>
      </w:r>
    </w:p>
    <w:p w:rsidR="00000000" w:rsidRDefault="00724932">
      <w:pPr>
        <w:widowControl/>
        <w:spacing w:afterLines="50" w:after="180" w:line="288" w:lineRule="auto"/>
        <w:ind w:firstLineChars="200" w:firstLine="480"/>
        <w:jc w:val="both"/>
        <w:rPr>
          <w:rFonts w:hint="eastAsia"/>
        </w:rPr>
      </w:pPr>
      <w:r>
        <w:rPr>
          <w:rFonts w:hint="eastAsia"/>
        </w:rPr>
        <w:lastRenderedPageBreak/>
        <w:t>查不成文之「公法上不當得利」，多年來以為我國學說與實務所承認</w:t>
      </w:r>
      <w:r>
        <w:rPr>
          <w:rStyle w:val="a9"/>
        </w:rPr>
        <w:footnoteReference w:id="141"/>
      </w:r>
      <w:r>
        <w:rPr>
          <w:rFonts w:hint="eastAsia"/>
        </w:rPr>
        <w:t>，而足為作處理</w:t>
      </w:r>
      <w:r>
        <w:rPr>
          <w:rFonts w:hAnsi="新細明體" w:hint="eastAsia"/>
        </w:rPr>
        <w:t>行政機關向公務人員請求返還不當受領之薪俸與其</w:t>
      </w:r>
      <w:r>
        <w:rPr>
          <w:rFonts w:hAnsi="新細明體" w:hint="eastAsia"/>
        </w:rPr>
        <w:t>他公法上金錢給付問題的法律基礎，固無爭議；惟有疑問的是：</w:t>
      </w:r>
      <w:r>
        <w:rPr>
          <w:rFonts w:hint="eastAsia"/>
        </w:rPr>
        <w:t>行政程序法第一百二十七條是否亦能適用在相同問題的情形？蓋依據行政程序法第三條第三項第七款，「對公務員所為之人事行政行為」並不適用行政程序法中之程序規定；準此，設若行政機關向公務人員請求返還不當受領之公法上金錢給付，係屬一種對公務員所為之人事行政行為的話，則行政程序法第一百二十七條在此或亦有遭致排除適用的可能性。</w:t>
      </w:r>
    </w:p>
    <w:p w:rsidR="00000000" w:rsidRDefault="00724932">
      <w:pPr>
        <w:widowControl/>
        <w:spacing w:afterLines="50" w:after="180" w:line="288" w:lineRule="auto"/>
        <w:ind w:firstLineChars="200" w:firstLine="480"/>
        <w:jc w:val="both"/>
        <w:rPr>
          <w:rFonts w:hAnsi="新細明體" w:hint="eastAsia"/>
        </w:rPr>
      </w:pPr>
      <w:r>
        <w:rPr>
          <w:rFonts w:hint="eastAsia"/>
        </w:rPr>
        <w:t>對於這個問題，本研究的見解是：我國現行行政程序法，雖名為「行政程序法」，惟究其實，該法除具有真正行政「程序」的規定，如第五十四條以下（聽證程序</w:t>
      </w:r>
      <w:r>
        <w:rPr>
          <w:rFonts w:hint="eastAsia"/>
        </w:rPr>
        <w:t>）及第六十七條以下（送達）等之外，許多條文，如第四條以下（行政法之一般法律原則），其實頗具行政「實體」法的性質，而非真正的行政程序規定；也就是這個原因，所以行政程序法第三條第三項稱：「下列事項，不適用本法（即：行政程序法）之『程序』規定</w:t>
      </w:r>
      <w:r>
        <w:rPr>
          <w:rFonts w:ascii="新細明體" w:hAnsi="新細明體"/>
        </w:rPr>
        <w:t>…</w:t>
      </w:r>
      <w:r>
        <w:rPr>
          <w:rFonts w:hint="eastAsia"/>
        </w:rPr>
        <w:t>」。換言之，法律在此排除不適用者，為行政程序法之程序規定；至於同法中之實體規定，則不在排除之列</w:t>
      </w:r>
      <w:r>
        <w:rPr>
          <w:rStyle w:val="a9"/>
        </w:rPr>
        <w:footnoteReference w:id="142"/>
      </w:r>
      <w:r>
        <w:rPr>
          <w:rFonts w:hint="eastAsia"/>
        </w:rPr>
        <w:t>。準此，又因為行政程序法第一百二十七條，事涉行政處分溯及失效或確認無效後無法律原因之財產變動重新調整的問題，本質上非屬行政程序之規定，而具有行政實體法之性質；從而，縱令行政機關向</w:t>
      </w:r>
      <w:r>
        <w:rPr>
          <w:rFonts w:hint="eastAsia"/>
        </w:rPr>
        <w:t>公務人員請求返還不當受領之公法上金錢給付，係可認定為一種對公務員所為之人事行政行為時，也不因此排除適用行政程序法第一百二十七條的機會。</w:t>
      </w:r>
    </w:p>
    <w:p w:rsidR="00000000" w:rsidRDefault="00724932">
      <w:pPr>
        <w:widowControl/>
        <w:spacing w:afterLines="50" w:after="180" w:line="288" w:lineRule="auto"/>
        <w:ind w:firstLineChars="200" w:firstLine="480"/>
        <w:jc w:val="both"/>
        <w:rPr>
          <w:rFonts w:hint="eastAsia"/>
        </w:rPr>
      </w:pPr>
      <w:r>
        <w:rPr>
          <w:rFonts w:hAnsi="新細明體" w:hint="eastAsia"/>
        </w:rPr>
        <w:t>總之，根據以上的結論，本研究將我國行政機關</w:t>
      </w:r>
      <w:r>
        <w:rPr>
          <w:rFonts w:hint="eastAsia"/>
        </w:rPr>
        <w:t>對公務人員請求返還不當受領之公法上金錢給付的法律基礎，定位在行政程序法第一百二十七條與國內通說已經確認的不成文公法上不當得利兩種；其中，如同德國聯邦行政程序法第四十九條之一與一般公法上返還請求權間的特別法優於一般法的關係，我國行政程序法第一百二十七條之於不成文的公法上不當得利，也有優先適用的地位。從而，為便利於區別起見，我國前開不成</w:t>
      </w:r>
      <w:r>
        <w:rPr>
          <w:rFonts w:hint="eastAsia"/>
        </w:rPr>
        <w:t>文之公法上不當得利，參考德國法用語，稱為「一般公法上不當得利返還請求權」；至於我國行政程序法第一百二十七條所規定者，則為一種優先適用的「特殊公法上不當得利返還請求權」。</w:t>
      </w:r>
    </w:p>
    <w:p w:rsidR="00000000" w:rsidRDefault="00724932">
      <w:pPr>
        <w:widowControl/>
        <w:spacing w:line="288" w:lineRule="auto"/>
        <w:ind w:firstLineChars="200" w:firstLine="480"/>
        <w:jc w:val="both"/>
        <w:rPr>
          <w:rFonts w:hint="eastAsia"/>
        </w:rPr>
      </w:pPr>
      <w:r>
        <w:rPr>
          <w:rFonts w:hint="eastAsia"/>
        </w:rPr>
        <w:lastRenderedPageBreak/>
        <w:t>此外，這兩種不同的公法上不當得利返還請求權，分別有其個別的構成要件：相對於行政程序法第一百二十七條之構成要件為同條第一項所列舉的情形，所謂「一般公法上不當得利返還請求權」之構成要件，則為「財產變動」、「在公法關係中」及「無法律上之原因（含『雖有法律上之原因，而其後已不存在』）」等我國及德國俱已公認的三大要素</w:t>
      </w:r>
      <w:r>
        <w:rPr>
          <w:rStyle w:val="a9"/>
        </w:rPr>
        <w:footnoteReference w:id="143"/>
      </w:r>
      <w:r>
        <w:rPr>
          <w:rFonts w:hint="eastAsia"/>
        </w:rPr>
        <w:t>。不過由於在</w:t>
      </w:r>
      <w:r>
        <w:rPr>
          <w:rFonts w:hAnsi="新細明體" w:hint="eastAsia"/>
        </w:rPr>
        <w:t>行政機關</w:t>
      </w:r>
      <w:r>
        <w:rPr>
          <w:rFonts w:hint="eastAsia"/>
        </w:rPr>
        <w:t>對公務人員請</w:t>
      </w:r>
      <w:r>
        <w:rPr>
          <w:rFonts w:hint="eastAsia"/>
        </w:rPr>
        <w:t>求返還不當受領之公法上金錢給付的問題上，有關「財產變動」（即：行政機關向公務人員為金錢給付）、「在公法關係中」（即：金錢給付具有公法性質）等，已經確定，從而在這個問題上的判斷重點，應該只剩下「無法律上之原因」一種。申言之，公務人員受領公法上金錢給付是否足以成立公法上不當得利，個案中必須確定者，即是該金錢給付之受領有無該當行政程序法第一百二十七條第一項的情形，抑或具有其他欠缺法律上之原因的事由。其中，在第一種情形，成立行政程序法第一百二十七條的「特殊公法上不當得利返還請求權」；在第二種情形，則成立不成文的「一</w:t>
      </w:r>
      <w:r>
        <w:rPr>
          <w:rFonts w:hint="eastAsia"/>
        </w:rPr>
        <w:t>般公法上不當得利返還請求權」。至於公務人員受領公法上金錢給付，在個案中何時方能分別該當這兩種情形，本研究以下將就受領之給付係為「基於行政處分之給付」（本節壹），抑或「非基於行政處分之給付」（本節貳），區別說明：</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貳　基於行政處分之給付</w:t>
      </w:r>
    </w:p>
    <w:p w:rsidR="00000000" w:rsidRDefault="00724932">
      <w:pPr>
        <w:widowControl/>
        <w:spacing w:line="288" w:lineRule="auto"/>
        <w:ind w:firstLineChars="200" w:firstLine="480"/>
        <w:jc w:val="both"/>
        <w:rPr>
          <w:rFonts w:hint="eastAsia"/>
        </w:rPr>
      </w:pPr>
      <w:r>
        <w:rPr>
          <w:rFonts w:hint="eastAsia"/>
        </w:rPr>
        <w:t>公務人員受領公法上金錢給付，如本研究所示，可依給付之原因，區分為「基於行政處分之給付」與「非基於行政處分之給付」兩種類型。在第二種類型中，由於並無足以產生給付義務的先行行政處分之存在，是無從成立行政程序法第一百二十七條的特殊公法上不當得利返還請求權，固無疑問；至於第一種類</w:t>
      </w:r>
      <w:r>
        <w:rPr>
          <w:rFonts w:hint="eastAsia"/>
        </w:rPr>
        <w:t>型所受領之給付，事實上也因行政程序法第一百二十七條第一項只列舉數種足以成立該條類型之特殊公法上不當得利返還請求權的情形，所以其他非屬行政程序法第一百二十七條第一項者，必須與屬於行政程序法第一百二十七條第一項的情形，區別處理。職此之故，本研究以下，又將公務人員所受領之基於行政處分的公法上給付，依據行政程序法第一百二十七條第一項之規定，分別探討在個案中，何時成立行政程序法第一百二十七條類型的特殊公法上不當得利（貳、一），又何時</w:t>
      </w:r>
      <w:r>
        <w:rPr>
          <w:rFonts w:hint="eastAsia"/>
        </w:rPr>
        <w:lastRenderedPageBreak/>
        <w:t>不能成立該條類型之公法上不當得利，而應適用具有一般法性質的不成文之一般公法上不當得利返</w:t>
      </w:r>
      <w:r>
        <w:rPr>
          <w:rFonts w:hint="eastAsia"/>
        </w:rPr>
        <w:t>還請求權（貳、二）：</w:t>
      </w: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一　依行政程序法第一百二十七條第一項所成立之公法上不當得利類型</w:t>
      </w:r>
    </w:p>
    <w:p w:rsidR="00000000" w:rsidRDefault="00724932">
      <w:pPr>
        <w:widowControl/>
        <w:spacing w:afterLines="50" w:after="180" w:line="288" w:lineRule="auto"/>
        <w:ind w:firstLineChars="200" w:firstLine="480"/>
        <w:jc w:val="both"/>
        <w:rPr>
          <w:rFonts w:hint="eastAsia"/>
        </w:rPr>
      </w:pPr>
      <w:r>
        <w:rPr>
          <w:rFonts w:hint="eastAsia"/>
        </w:rPr>
        <w:t>依據行政程序法第一百二十七條第一項規定，行政機關基於行政處分而向公務人員所為之公法上金錢給付，只有在下列四種情形，始成立本條的特殊公法上不當得利返還請求權：</w:t>
      </w:r>
    </w:p>
    <w:p w:rsidR="00000000" w:rsidRDefault="00724932">
      <w:pPr>
        <w:widowControl/>
        <w:numPr>
          <w:ilvl w:val="0"/>
          <w:numId w:val="11"/>
        </w:numPr>
        <w:spacing w:line="288" w:lineRule="auto"/>
        <w:ind w:left="482" w:hanging="482"/>
        <w:jc w:val="both"/>
        <w:rPr>
          <w:rFonts w:hint="eastAsia"/>
        </w:rPr>
      </w:pPr>
      <w:r>
        <w:rPr>
          <w:rFonts w:hint="eastAsia"/>
        </w:rPr>
        <w:t>行政處分因撤銷而溯及既往（</w:t>
      </w:r>
      <w:r>
        <w:rPr>
          <w:rFonts w:hint="eastAsia"/>
        </w:rPr>
        <w:t>ex tunc</w:t>
      </w:r>
      <w:r>
        <w:rPr>
          <w:rFonts w:hint="eastAsia"/>
        </w:rPr>
        <w:t>）失效</w:t>
      </w:r>
    </w:p>
    <w:p w:rsidR="00000000" w:rsidRDefault="00724932">
      <w:pPr>
        <w:widowControl/>
        <w:numPr>
          <w:ilvl w:val="0"/>
          <w:numId w:val="11"/>
        </w:numPr>
        <w:spacing w:line="288" w:lineRule="auto"/>
        <w:ind w:left="482" w:hanging="482"/>
        <w:jc w:val="both"/>
        <w:rPr>
          <w:rFonts w:hint="eastAsia"/>
        </w:rPr>
      </w:pPr>
      <w:r>
        <w:rPr>
          <w:rFonts w:hint="eastAsia"/>
        </w:rPr>
        <w:t>行政處分因廢止而溯及既往失效</w:t>
      </w:r>
    </w:p>
    <w:p w:rsidR="00000000" w:rsidRDefault="00724932">
      <w:pPr>
        <w:widowControl/>
        <w:numPr>
          <w:ilvl w:val="0"/>
          <w:numId w:val="11"/>
        </w:numPr>
        <w:spacing w:line="288" w:lineRule="auto"/>
        <w:ind w:left="482" w:hanging="482"/>
        <w:jc w:val="both"/>
        <w:rPr>
          <w:rFonts w:hint="eastAsia"/>
        </w:rPr>
      </w:pPr>
      <w:r>
        <w:rPr>
          <w:rFonts w:hint="eastAsia"/>
        </w:rPr>
        <w:t>行政處分因條件成就而溯及既往失效</w:t>
      </w:r>
    </w:p>
    <w:p w:rsidR="00000000" w:rsidRDefault="00724932">
      <w:pPr>
        <w:widowControl/>
        <w:numPr>
          <w:ilvl w:val="0"/>
          <w:numId w:val="11"/>
        </w:numPr>
        <w:spacing w:afterLines="50" w:after="180" w:line="288" w:lineRule="auto"/>
        <w:ind w:left="482" w:hanging="482"/>
        <w:jc w:val="both"/>
        <w:rPr>
          <w:rFonts w:hint="eastAsia"/>
        </w:rPr>
      </w:pPr>
      <w:r>
        <w:rPr>
          <w:rFonts w:hint="eastAsia"/>
        </w:rPr>
        <w:t>行政處分經依行政程序法第一百十三條確認無效</w:t>
      </w:r>
    </w:p>
    <w:p w:rsidR="00000000" w:rsidRDefault="00724932">
      <w:pPr>
        <w:widowControl/>
        <w:spacing w:afterLines="50" w:after="180" w:line="288" w:lineRule="auto"/>
        <w:ind w:firstLineChars="200" w:firstLine="480"/>
        <w:jc w:val="both"/>
        <w:rPr>
          <w:rFonts w:hint="eastAsia"/>
        </w:rPr>
      </w:pPr>
      <w:r>
        <w:rPr>
          <w:rFonts w:hint="eastAsia"/>
        </w:rPr>
        <w:t>雖然這四種情形，由於條文規定明確，在個案的認定中，殆無太多可能的爭議</w:t>
      </w:r>
      <w:r>
        <w:rPr>
          <w:rStyle w:val="a9"/>
        </w:rPr>
        <w:footnoteReference w:id="144"/>
      </w:r>
      <w:r>
        <w:rPr>
          <w:rFonts w:hint="eastAsia"/>
        </w:rPr>
        <w:t>；不過與此相關者，仍有若干重要問題點，必</w:t>
      </w:r>
      <w:r>
        <w:rPr>
          <w:rFonts w:hint="eastAsia"/>
        </w:rPr>
        <w:t>須說明：</w:t>
      </w:r>
    </w:p>
    <w:p w:rsidR="00000000" w:rsidRDefault="00724932">
      <w:pPr>
        <w:widowControl/>
        <w:spacing w:afterLines="50" w:after="180" w:line="288" w:lineRule="auto"/>
        <w:ind w:firstLineChars="200" w:firstLine="480"/>
        <w:jc w:val="both"/>
        <w:rPr>
          <w:rFonts w:hint="eastAsia"/>
        </w:rPr>
      </w:pPr>
      <w:r>
        <w:rPr>
          <w:rFonts w:hint="eastAsia"/>
        </w:rPr>
        <w:t>依據行政程序法第一百十條第三項之規定，行政處分非有撤銷（</w:t>
      </w:r>
      <w:r>
        <w:rPr>
          <w:rFonts w:hint="eastAsia"/>
        </w:rPr>
        <w:t>R</w:t>
      </w:r>
      <w:r>
        <w:t>ü</w:t>
      </w:r>
      <w:r>
        <w:rPr>
          <w:rFonts w:hint="eastAsia"/>
        </w:rPr>
        <w:t>cknah</w:t>
      </w:r>
      <w:r>
        <w:softHyphen/>
      </w:r>
      <w:r>
        <w:rPr>
          <w:rFonts w:hint="eastAsia"/>
        </w:rPr>
        <w:t>me</w:t>
      </w:r>
      <w:r>
        <w:rPr>
          <w:rFonts w:hint="eastAsia"/>
        </w:rPr>
        <w:t>）、廢止（</w:t>
      </w:r>
      <w:r>
        <w:rPr>
          <w:rFonts w:hint="eastAsia"/>
        </w:rPr>
        <w:t>Widerruf</w:t>
      </w:r>
      <w:r>
        <w:rPr>
          <w:rFonts w:hint="eastAsia"/>
        </w:rPr>
        <w:t>），或例如因解除條件（</w:t>
      </w:r>
      <w:r>
        <w:rPr>
          <w:rFonts w:hint="eastAsia"/>
        </w:rPr>
        <w:t>aufl</w:t>
      </w:r>
      <w:r>
        <w:t>ö</w:t>
      </w:r>
      <w:r>
        <w:rPr>
          <w:rFonts w:hint="eastAsia"/>
        </w:rPr>
        <w:t>sende Bedingung</w:t>
      </w:r>
      <w:r>
        <w:rPr>
          <w:rFonts w:hint="eastAsia"/>
        </w:rPr>
        <w:t>）成就失效，原則上效力繼續存在。從而，行政機關或其他關係人，縱認為行政處分本身違法，仍因該違法處分之效力繼續存在，所以依該違法處分之內容所為的給付，例如行政機關向公務人員所為之薪俸或其他公法上金錢給付者，在行政機關未溯及撤銷或廢止該處分前，仍屬具有法律上之原因所為的給付，並不當然成立公法上之不當得利</w:t>
      </w:r>
      <w:r>
        <w:rPr>
          <w:rStyle w:val="a9"/>
        </w:rPr>
        <w:footnoteReference w:id="145"/>
      </w:r>
      <w:r>
        <w:rPr>
          <w:rFonts w:hint="eastAsia"/>
        </w:rPr>
        <w:t>。此一基於行政處分效力問題的特色，是</w:t>
      </w:r>
      <w:r>
        <w:rPr>
          <w:rFonts w:hint="eastAsia"/>
        </w:rPr>
        <w:t>德國法學界一再強調的通說見解</w:t>
      </w:r>
      <w:r>
        <w:rPr>
          <w:rStyle w:val="a9"/>
        </w:rPr>
        <w:footnoteReference w:id="146"/>
      </w:r>
      <w:r>
        <w:rPr>
          <w:rFonts w:hint="eastAsia"/>
        </w:rPr>
        <w:t>；徵諸我國前開相關條文之說明，在我國法中，也應作相同理解。</w:t>
      </w:r>
    </w:p>
    <w:p w:rsidR="00000000" w:rsidRDefault="00724932">
      <w:pPr>
        <w:widowControl/>
        <w:spacing w:afterLines="50" w:after="180" w:line="288" w:lineRule="auto"/>
        <w:ind w:firstLineChars="200" w:firstLine="480"/>
        <w:jc w:val="both"/>
        <w:rPr>
          <w:rFonts w:hint="eastAsia"/>
        </w:rPr>
      </w:pPr>
      <w:r>
        <w:rPr>
          <w:rFonts w:hint="eastAsia"/>
        </w:rPr>
        <w:lastRenderedPageBreak/>
        <w:t>此外，另依據行政程序法第一百十條第四項之規定，無效之行政處分（</w:t>
      </w:r>
      <w:r>
        <w:rPr>
          <w:rFonts w:hint="eastAsia"/>
        </w:rPr>
        <w:t>nichti</w:t>
      </w:r>
      <w:r>
        <w:softHyphen/>
      </w:r>
      <w:r>
        <w:rPr>
          <w:rFonts w:hint="eastAsia"/>
        </w:rPr>
        <w:t>ger Verwaltungsakt</w:t>
      </w:r>
      <w:r>
        <w:rPr>
          <w:rFonts w:hint="eastAsia"/>
        </w:rPr>
        <w:t>），自始不生效力；從而在此有疑的是：行政機關基於某一無效之行政處分而向公務人員所為之公法上金錢給付，是否當然因為自始欠缺法律上之原因，而構成公法上不當得利？關於這個問題，本研究認為，必須從行政程序法第一百二十七條第一項的規定本身觀察：</w:t>
      </w:r>
    </w:p>
    <w:p w:rsidR="00000000" w:rsidRDefault="00724932">
      <w:pPr>
        <w:widowControl/>
        <w:spacing w:afterLines="50" w:after="180" w:line="288" w:lineRule="auto"/>
        <w:ind w:firstLineChars="200" w:firstLine="480"/>
        <w:jc w:val="both"/>
        <w:rPr>
          <w:rFonts w:hint="eastAsia"/>
        </w:rPr>
      </w:pPr>
      <w:r>
        <w:rPr>
          <w:rFonts w:hint="eastAsia"/>
        </w:rPr>
        <w:t>首先，根據該條項之規定，很明顯地只有「行政處分經『確認』無效者」，始足以成</w:t>
      </w:r>
      <w:r>
        <w:rPr>
          <w:rFonts w:hint="eastAsia"/>
        </w:rPr>
        <w:t>立該條類型的公法上不當得利。其次，又因為依據行政程序法第一百十三條之規定，行政處分之無效，非但處分之相對人或利害關係人得以向行政機關請求確認（第二項），並且行政機關本身，尚可依職權自行確認（第一項），從而依據此一條文所授與行政機關或其他相關人廣泛的確認權或請求確認權，吾人實不得再承認另有不經確認行政處分無效，卻得以單純因為行政處分無效之主張，而成立其他公法上不當得利返還請求權。換言之，依據本研究之見解，行政處分縱使無效而自始不生效力，在行政機關未經行政程序法第一百十三條規定確認該處分為無效前，公務人員基於該</w:t>
      </w:r>
      <w:r>
        <w:rPr>
          <w:rFonts w:hint="eastAsia"/>
        </w:rPr>
        <w:t>無效之行政處分所受領之公法上金錢給付，原則上並不因為其客觀上係屬「無法律上之原因而受利益」，當然成立行政程序法第一百二十七條之特殊公法上不當得利，或其他例如具有一般法備位適用地位之不成文一般公法上不當得利類型</w:t>
      </w:r>
      <w:r>
        <w:rPr>
          <w:rStyle w:val="a9"/>
        </w:rPr>
        <w:footnoteReference w:id="147"/>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又，行政機關，如前所述，僅能於行政處分因撤銷、廢止而溯及失效時，始能針對基於該處分所為之給付行使行政程序法第一百二十七條類型的特殊公法上不當得利返還請求權。從而，於此有疑的是，設若行政機關僅以公函方式向公務人員請求返還已給付的基於行政處分所支付的金錢，得否進而推定行政機關在此並有溯及地撤銷或廢止該</w:t>
      </w:r>
      <w:r>
        <w:rPr>
          <w:rFonts w:hint="eastAsia"/>
        </w:rPr>
        <w:t>處分的意思表示。關於這個問題，在我國實務上亦曾出現；而依保訓會的見解</w:t>
      </w:r>
      <w:r>
        <w:rPr>
          <w:rStyle w:val="a9"/>
        </w:rPr>
        <w:footnoteReference w:id="148"/>
      </w:r>
      <w:r>
        <w:rPr>
          <w:rFonts w:hint="eastAsia"/>
        </w:rPr>
        <w:t>，似持肯定態度</w:t>
      </w:r>
      <w:r>
        <w:rPr>
          <w:rStyle w:val="a9"/>
        </w:rPr>
        <w:footnoteReference w:id="149"/>
      </w:r>
      <w:r>
        <w:rPr>
          <w:rFonts w:hint="eastAsia"/>
        </w:rPr>
        <w:t>。雖然依據德國實務與學說</w:t>
      </w:r>
      <w:r>
        <w:rPr>
          <w:rStyle w:val="a9"/>
        </w:rPr>
        <w:footnoteReference w:id="150"/>
      </w:r>
      <w:r>
        <w:rPr>
          <w:rFonts w:hint="eastAsia"/>
        </w:rPr>
        <w:t>之看法，行政機關向人民主張公法上返還請求權，同時也可視為具有默示或推定廢棄原給付所基之行政處分，而與我國保訓會的觀點略同，不過一方面基於行政行為</w:t>
      </w:r>
      <w:r>
        <w:rPr>
          <w:rFonts w:hint="eastAsia"/>
        </w:rPr>
        <w:lastRenderedPageBreak/>
        <w:t>明確性之要求，另一方面也是符合前開所謂行政處分未經溯及性地撤銷、廢止前，基於該處分所為之給付，並不因處分本身的違法或其他瑕疵而成為「無法律上原因」之給付，所以德國法學界同時主張</w:t>
      </w:r>
      <w:r>
        <w:rPr>
          <w:rStyle w:val="a9"/>
        </w:rPr>
        <w:footnoteReference w:id="151"/>
      </w:r>
      <w:r>
        <w:rPr>
          <w:rFonts w:hint="eastAsia"/>
        </w:rPr>
        <w:t>，此種內含推定或默示廢棄原處分的公法上不當得利返還請求之公函，至少必須具備兩項</w:t>
      </w:r>
      <w:r>
        <w:rPr>
          <w:rFonts w:hint="eastAsia"/>
        </w:rPr>
        <w:t>要件：第一，要令被請求權人能明確知悉：行政機關理解，推定被溯及性廢棄之行政處分與被請求返還之給付間原具有原因與結果的關係；第二，被請求權人必須在公函中亦能理解到：行政機關明確地清楚，推定被溯及性廢棄之行政處分的確已經該當得溯及既往撤銷或廢止的法定構成要件，並且行政機關已考慮到行不行使廢棄權的法定裁量問題。換言之，德國法學界就此之要求甚嚴；結果，該行政機關主張公法上返還請求權的公函，除未明文記載撤銷或廢止原行政處分之主旨外，其內容必須明確表示撤銷或廢止該處分的意思。關於這一點，似乎值得我國實務參考。</w:t>
      </w:r>
    </w:p>
    <w:p w:rsidR="00000000" w:rsidRDefault="00724932">
      <w:pPr>
        <w:widowControl/>
        <w:spacing w:line="288" w:lineRule="auto"/>
        <w:ind w:firstLineChars="200" w:firstLine="480"/>
        <w:jc w:val="both"/>
        <w:rPr>
          <w:rFonts w:hint="eastAsia"/>
        </w:rPr>
      </w:pPr>
      <w:r>
        <w:rPr>
          <w:rFonts w:hint="eastAsia"/>
        </w:rPr>
        <w:t>最後尚應</w:t>
      </w:r>
      <w:r>
        <w:rPr>
          <w:rFonts w:hint="eastAsia"/>
        </w:rPr>
        <w:t>注意的是，依行政程序法第一百二十一條之規定，撤銷權係自行政機關之有撤銷原因時起二年內為之；惟基於來自誠實信用原則（同法第八條前段）的「權利失效（</w:t>
      </w:r>
      <w:r>
        <w:rPr>
          <w:rFonts w:hint="eastAsia"/>
        </w:rPr>
        <w:t>Rechtsverwirkung</w:t>
      </w:r>
      <w:r>
        <w:rPr>
          <w:rFonts w:hint="eastAsia"/>
        </w:rPr>
        <w:t>）」概念，個案中，對於存在過久的違法行政處分，行政機關亦有可能不得再加以撤銷，或縱得撤銷，但撤銷不具溯及效力（同法第一百十八條但書參照）</w:t>
      </w:r>
      <w:r>
        <w:rPr>
          <w:rStyle w:val="a9"/>
        </w:rPr>
        <w:footnoteReference w:id="152"/>
      </w:r>
      <w:r>
        <w:rPr>
          <w:rFonts w:hint="eastAsia"/>
        </w:rPr>
        <w:t>。此際，公務人員基於該違法處分既已受領之金錢給付，因不得撤銷，或撤銷不具溯及效力，所以仍為有法律上之原因，而非屬於行政程序法第一百二十七條第一項規定的情形，不成立公法上不當得利。</w:t>
      </w: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二　因其他情形所</w:t>
      </w:r>
      <w:r>
        <w:rPr>
          <w:rFonts w:hint="eastAsia"/>
          <w:b/>
          <w:sz w:val="28"/>
          <w:szCs w:val="28"/>
        </w:rPr>
        <w:t>成立之公法上不當得利類型</w:t>
      </w:r>
    </w:p>
    <w:p w:rsidR="00000000" w:rsidRDefault="00724932">
      <w:pPr>
        <w:widowControl/>
        <w:spacing w:afterLines="50" w:after="180" w:line="288" w:lineRule="auto"/>
        <w:ind w:firstLineChars="200" w:firstLine="480"/>
        <w:jc w:val="both"/>
        <w:rPr>
          <w:rFonts w:hint="eastAsia"/>
        </w:rPr>
      </w:pPr>
      <w:r>
        <w:rPr>
          <w:rFonts w:hint="eastAsia"/>
        </w:rPr>
        <w:t>公務人員受領基於行政處分之公法上金錢給付，而該處分並無行政程序法第一百二十七條第一項所列之溯及失效或確認無效的情事時，雖然其受領之利益，並不因此成立該條類型的公法上不當得利，但卻不因而表示，也絕無其他得以成立公法上不當得利的情形。在此，針對公務人員於此種不直接成立行政程序法第一百二十七條類型之公法上不當得利而所受領的利益，吾人仍須仔細判斷，是否另有其他「無法律上之原因」的情形，而成立另一種類型的公法上不當得利。關</w:t>
      </w:r>
      <w:r>
        <w:rPr>
          <w:rFonts w:hint="eastAsia"/>
        </w:rPr>
        <w:lastRenderedPageBreak/>
        <w:t>於這一點，德國法學界依其實務上之經驗</w:t>
      </w:r>
      <w:r>
        <w:rPr>
          <w:rStyle w:val="a9"/>
        </w:rPr>
        <w:footnoteReference w:id="153"/>
      </w:r>
      <w:r>
        <w:rPr>
          <w:rFonts w:hint="eastAsia"/>
        </w:rPr>
        <w:t>，已經臚列出若干情形</w:t>
      </w:r>
      <w:r>
        <w:rPr>
          <w:rStyle w:val="a9"/>
        </w:rPr>
        <w:footnoteReference w:id="154"/>
      </w:r>
      <w:r>
        <w:rPr>
          <w:rFonts w:hint="eastAsia"/>
        </w:rPr>
        <w:t>，可資參考</w:t>
      </w:r>
      <w:r>
        <w:rPr>
          <w:rFonts w:hint="eastAsia"/>
        </w:rPr>
        <w:t>。在此，本研究僅依據我國現行法之狀況，舉其犖犖大者，條列如後：</w:t>
      </w:r>
    </w:p>
    <w:p w:rsidR="00000000" w:rsidRDefault="00724932">
      <w:pPr>
        <w:widowControl/>
        <w:numPr>
          <w:ilvl w:val="0"/>
          <w:numId w:val="11"/>
        </w:numPr>
        <w:spacing w:line="288" w:lineRule="auto"/>
        <w:ind w:left="482" w:hanging="482"/>
        <w:jc w:val="both"/>
        <w:rPr>
          <w:rFonts w:hint="eastAsia"/>
        </w:rPr>
      </w:pPr>
      <w:r>
        <w:rPr>
          <w:rFonts w:hint="eastAsia"/>
        </w:rPr>
        <w:t>行政處分依行政程序法第一百零一條更正，致原金錢給付超額者</w:t>
      </w:r>
      <w:r>
        <w:rPr>
          <w:rStyle w:val="a9"/>
        </w:rPr>
        <w:footnoteReference w:id="155"/>
      </w:r>
    </w:p>
    <w:p w:rsidR="00000000" w:rsidRDefault="00724932">
      <w:pPr>
        <w:widowControl/>
        <w:numPr>
          <w:ilvl w:val="0"/>
          <w:numId w:val="11"/>
        </w:numPr>
        <w:spacing w:line="288" w:lineRule="auto"/>
        <w:ind w:left="482" w:hanging="482"/>
        <w:jc w:val="both"/>
        <w:rPr>
          <w:rFonts w:hint="eastAsia"/>
        </w:rPr>
      </w:pPr>
      <w:r>
        <w:rPr>
          <w:rFonts w:hint="eastAsia"/>
        </w:rPr>
        <w:t>行政處分已因行政程序法第一百二十七條以外之原因，如終期（</w:t>
      </w:r>
      <w:r>
        <w:rPr>
          <w:rFonts w:hint="eastAsia"/>
        </w:rPr>
        <w:t>aufl</w:t>
      </w:r>
      <w:r>
        <w:t>ö</w:t>
      </w:r>
      <w:r>
        <w:rPr>
          <w:rFonts w:hint="eastAsia"/>
        </w:rPr>
        <w:t>sende Befristung</w:t>
      </w:r>
      <w:r>
        <w:rPr>
          <w:rFonts w:hint="eastAsia"/>
        </w:rPr>
        <w:t>）到來、向後失效（</w:t>
      </w:r>
      <w:r>
        <w:rPr>
          <w:rFonts w:hint="eastAsia"/>
        </w:rPr>
        <w:t>ex nunc</w:t>
      </w:r>
      <w:r>
        <w:rPr>
          <w:rFonts w:hint="eastAsia"/>
        </w:rPr>
        <w:t>）之撤銷、廢止、公務員法律關係終結或公務人員死亡等，而消滅（</w:t>
      </w:r>
      <w:r>
        <w:rPr>
          <w:rFonts w:hint="eastAsia"/>
        </w:rPr>
        <w:t>erledigt</w:t>
      </w:r>
      <w:r>
        <w:rPr>
          <w:rFonts w:hint="eastAsia"/>
        </w:rPr>
        <w:t>），但給付仍繼續進行者</w:t>
      </w:r>
      <w:r>
        <w:rPr>
          <w:rStyle w:val="a9"/>
        </w:rPr>
        <w:footnoteReference w:id="156"/>
      </w:r>
    </w:p>
    <w:p w:rsidR="00000000" w:rsidRDefault="00724932">
      <w:pPr>
        <w:widowControl/>
        <w:numPr>
          <w:ilvl w:val="0"/>
          <w:numId w:val="11"/>
        </w:numPr>
        <w:spacing w:line="288" w:lineRule="auto"/>
        <w:ind w:left="482" w:hanging="482"/>
        <w:jc w:val="both"/>
        <w:rPr>
          <w:rFonts w:hint="eastAsia"/>
        </w:rPr>
      </w:pPr>
      <w:r>
        <w:rPr>
          <w:rFonts w:hint="eastAsia"/>
        </w:rPr>
        <w:t>行政處分由行政法院之確認行政處分無效判決或撤銷判決而自始無效或溯及失效者</w:t>
      </w:r>
      <w:r>
        <w:rPr>
          <w:rStyle w:val="a9"/>
        </w:rPr>
        <w:footnoteReference w:id="157"/>
      </w:r>
    </w:p>
    <w:p w:rsidR="00000000" w:rsidRDefault="00724932">
      <w:pPr>
        <w:widowControl/>
        <w:numPr>
          <w:ilvl w:val="0"/>
          <w:numId w:val="11"/>
        </w:numPr>
        <w:spacing w:line="288" w:lineRule="auto"/>
        <w:ind w:left="482" w:hanging="482"/>
        <w:jc w:val="both"/>
        <w:rPr>
          <w:rFonts w:hint="eastAsia"/>
        </w:rPr>
      </w:pPr>
      <w:r>
        <w:rPr>
          <w:rFonts w:hint="eastAsia"/>
        </w:rPr>
        <w:t>行政處分之效力存在，但實際支付之金額卻超出行政處分確定的範圍者</w:t>
      </w:r>
      <w:r>
        <w:rPr>
          <w:rStyle w:val="a9"/>
        </w:rPr>
        <w:footnoteReference w:id="158"/>
      </w:r>
    </w:p>
    <w:p w:rsidR="00000000" w:rsidRDefault="00724932">
      <w:pPr>
        <w:widowControl/>
        <w:numPr>
          <w:ilvl w:val="0"/>
          <w:numId w:val="11"/>
        </w:numPr>
        <w:spacing w:afterLines="50" w:after="180" w:line="288" w:lineRule="auto"/>
        <w:ind w:left="482" w:hanging="482"/>
        <w:jc w:val="both"/>
        <w:rPr>
          <w:rFonts w:hint="eastAsia"/>
        </w:rPr>
      </w:pPr>
      <w:r>
        <w:rPr>
          <w:rFonts w:hint="eastAsia"/>
        </w:rPr>
        <w:t>行政處分之效力</w:t>
      </w:r>
      <w:r>
        <w:rPr>
          <w:rFonts w:hint="eastAsia"/>
        </w:rPr>
        <w:t>存在，但給付對象錯誤（</w:t>
      </w:r>
      <w:r>
        <w:rPr>
          <w:rFonts w:hint="eastAsia"/>
        </w:rPr>
        <w:t>fehlgeleitete Leistung</w:t>
      </w:r>
      <w:r>
        <w:rPr>
          <w:rFonts w:hint="eastAsia"/>
        </w:rPr>
        <w:t>），如誤將應付款項誤匯入他人帳戶中者</w:t>
      </w:r>
      <w:r>
        <w:rPr>
          <w:rStyle w:val="a9"/>
        </w:rPr>
        <w:footnoteReference w:id="159"/>
      </w:r>
    </w:p>
    <w:p w:rsidR="00000000" w:rsidRDefault="00724932">
      <w:pPr>
        <w:widowControl/>
        <w:spacing w:afterLines="50" w:after="180" w:line="288" w:lineRule="auto"/>
        <w:ind w:firstLineChars="200" w:firstLine="480"/>
        <w:jc w:val="both"/>
        <w:rPr>
          <w:rFonts w:hint="eastAsia"/>
        </w:rPr>
      </w:pPr>
      <w:r>
        <w:rPr>
          <w:rFonts w:hint="eastAsia"/>
        </w:rPr>
        <w:t>這些情況，雖然不該當行政程序法第一百二十七條第一項所列的情形，不過其非因原所基於之行政處分已經改變內容（如第一點）或失效（第二點及第三點），而成為無法律上原因之給付，即其給付與行政處分之內容牴觸（第四點及第五點），也是一種無法律上原因之給付。由於這些給付因此皆具有該當公法上不當得利之構成要件的特徵，尤其是「無法律上之原因」一點，是得以成立某種形式的公法上不當得利，固無疑義；然而有疑的是：究竟成立何種類型</w:t>
      </w:r>
      <w:r>
        <w:rPr>
          <w:rFonts w:hint="eastAsia"/>
        </w:rPr>
        <w:t>的公法上不當得利？</w:t>
      </w:r>
    </w:p>
    <w:p w:rsidR="00000000" w:rsidRDefault="00724932">
      <w:pPr>
        <w:widowControl/>
        <w:spacing w:afterLines="50" w:after="180" w:line="288" w:lineRule="auto"/>
        <w:ind w:firstLineChars="200" w:firstLine="480"/>
        <w:jc w:val="both"/>
        <w:rPr>
          <w:rFonts w:hint="eastAsia"/>
        </w:rPr>
      </w:pPr>
      <w:r>
        <w:rPr>
          <w:rFonts w:hint="eastAsia"/>
        </w:rPr>
        <w:t>或謂：行政程序法第一百二十七條所規定者，既以基於行政處分之給付為中心，則其他非屬該條第一項所舉，但同屬基於行政處分之給付範疇中的公法上不當得利，至少得以其相似性，而類推適用行政程序法第一百二十七條的規定。這</w:t>
      </w:r>
      <w:r>
        <w:rPr>
          <w:rFonts w:hint="eastAsia"/>
        </w:rPr>
        <w:lastRenderedPageBreak/>
        <w:t>種說法，其實並不正確。因為在我國法制中，如本研究其前所言</w:t>
      </w:r>
      <w:r>
        <w:rPr>
          <w:rStyle w:val="a9"/>
        </w:rPr>
        <w:footnoteReference w:id="160"/>
      </w:r>
      <w:r>
        <w:rPr>
          <w:rFonts w:hint="eastAsia"/>
        </w:rPr>
        <w:t>，作為公法上不當得利返還請求權的法律基礎，除行政程序法第一百二十七條外，至少尚有具有一般法備位性質的不成文一般公法上不當得利返還請求權；準此，在我國法制中，有關公法上不當得利問題，成文與不成文之法律規範已經完備，並無所謂「規範漏</w:t>
      </w:r>
      <w:r>
        <w:rPr>
          <w:rFonts w:hint="eastAsia"/>
        </w:rPr>
        <w:t>洞（</w:t>
      </w:r>
      <w:r>
        <w:rPr>
          <w:rFonts w:hint="eastAsia"/>
        </w:rPr>
        <w:t>Normenl</w:t>
      </w:r>
      <w:r>
        <w:t>ü</w:t>
      </w:r>
      <w:r>
        <w:rPr>
          <w:rFonts w:hint="eastAsia"/>
        </w:rPr>
        <w:t>cke</w:t>
      </w:r>
      <w:r>
        <w:rPr>
          <w:rFonts w:hint="eastAsia"/>
        </w:rPr>
        <w:t>）」的情形，則非屬行政程序法第一百二十七條類型的公法上不當得利，也無類推該條規定的必要。換言之，這些前開非屬行政程序法第一百二十七條第一項所列舉的其他無法律原因之給付，縱其雖同屬基於行政處分之給付類型，在無法律另有明文的規定時，均以不成文之一般公法上不當得利返還請求權作為法律基礎，以規範其有關公法上不當得利返還請求之問題。此一見解，在德國，也因為同時具有與我國行政程序法第一百二十七條相當的聯邦行政程序法第四十九條之一，以及具有一般法性質的一般公法上返還請求權，而為多數學者</w:t>
      </w:r>
      <w:r>
        <w:rPr>
          <w:rStyle w:val="a9"/>
        </w:rPr>
        <w:footnoteReference w:id="161"/>
      </w:r>
      <w:r>
        <w:rPr>
          <w:rFonts w:hint="eastAsia"/>
        </w:rPr>
        <w:t>所主張；</w:t>
      </w:r>
      <w:r>
        <w:rPr>
          <w:rFonts w:hint="eastAsia"/>
        </w:rPr>
        <w:t>在比較法上，是為明證。</w:t>
      </w:r>
    </w:p>
    <w:p w:rsidR="00000000" w:rsidRDefault="00724932">
      <w:pPr>
        <w:widowControl/>
        <w:spacing w:line="288" w:lineRule="auto"/>
        <w:ind w:firstLineChars="200" w:firstLine="480"/>
        <w:jc w:val="both"/>
        <w:rPr>
          <w:rFonts w:hint="eastAsia"/>
        </w:rPr>
      </w:pPr>
      <w:r>
        <w:rPr>
          <w:rFonts w:hint="eastAsia"/>
        </w:rPr>
        <w:t>最後，同樣是依據比較法的觀察，相當有爭議的是，給付之金額雖屬正確，行政處分之效力亦無瑕疵，但是行政處分例如以「負擔（</w:t>
      </w:r>
      <w:r>
        <w:rPr>
          <w:rFonts w:hint="eastAsia"/>
        </w:rPr>
        <w:t>Auflage</w:t>
      </w:r>
      <w:r>
        <w:rPr>
          <w:rFonts w:hint="eastAsia"/>
        </w:rPr>
        <w:t>）」之附款（行政程序法第九十三條第二項）所課與受領人的義務並未履行，而致給付違反行政處分之目的的情形，是否也應包括在前開所謂因欠缺法律上之原因，但非屬行政程序法第一百二十七條第一項所列舉的一種公法上不當得利。對於這種可以與德國民法第八百十二條第一項第二句後段「依法律行為之內容，給付所欲達成之結果不發生</w:t>
      </w:r>
      <w:r>
        <w:rPr>
          <w:rFonts w:ascii="新細明體" w:hAnsi="新細明體"/>
        </w:rPr>
        <w:t>…</w:t>
      </w:r>
      <w:r>
        <w:rPr>
          <w:rFonts w:hint="eastAsia"/>
        </w:rPr>
        <w:t>」規定</w:t>
      </w:r>
      <w:r>
        <w:rPr>
          <w:rStyle w:val="a9"/>
        </w:rPr>
        <w:footnoteReference w:id="162"/>
      </w:r>
      <w:r>
        <w:rPr>
          <w:rFonts w:hint="eastAsia"/>
        </w:rPr>
        <w:t>相呼應的所謂「目的違誤（</w:t>
      </w:r>
      <w:r>
        <w:rPr>
          <w:rFonts w:hint="eastAsia"/>
        </w:rPr>
        <w:t>Zweckverfeh</w:t>
      </w:r>
      <w:r>
        <w:rPr>
          <w:rFonts w:hint="eastAsia"/>
        </w:rPr>
        <w:t>lung</w:t>
      </w:r>
      <w:r>
        <w:rPr>
          <w:rFonts w:hint="eastAsia"/>
        </w:rPr>
        <w:t>）」之不當得利（</w:t>
      </w:r>
      <w:r>
        <w:rPr>
          <w:rFonts w:hint="eastAsia"/>
        </w:rPr>
        <w:t>condictio causa data causa non secuta</w:t>
      </w:r>
      <w:r>
        <w:rPr>
          <w:rFonts w:hint="eastAsia"/>
        </w:rPr>
        <w:t>），德國輓近通說</w:t>
      </w:r>
      <w:r>
        <w:rPr>
          <w:rStyle w:val="a9"/>
        </w:rPr>
        <w:footnoteReference w:id="163"/>
      </w:r>
      <w:r>
        <w:rPr>
          <w:rFonts w:hint="eastAsia"/>
        </w:rPr>
        <w:t>持反對見解；在我國似亦作相同解釋。因為依據行政程序法第一百二十三條第三款結合第一百二十五條但書，行政機關本得逕以廢止處分的方式，而達到同法第一百二十七條的情形；</w:t>
      </w:r>
      <w:r>
        <w:rPr>
          <w:rFonts w:hint="eastAsia"/>
        </w:rPr>
        <w:lastRenderedPageBreak/>
        <w:t>行政機關捨此不為，則其依行政處分所為之給付，不應另闢蹊徑，以一般公法上不當得利返還請求權，請求受領人返還給付</w:t>
      </w:r>
      <w:r>
        <w:rPr>
          <w:rStyle w:val="a9"/>
        </w:rPr>
        <w:footnoteReference w:id="164"/>
      </w:r>
      <w:r>
        <w:rPr>
          <w:rFonts w:hint="eastAsia"/>
        </w:rPr>
        <w:t>。</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參　非基於行政處分之給付</w:t>
      </w:r>
    </w:p>
    <w:p w:rsidR="00000000" w:rsidRDefault="00724932">
      <w:pPr>
        <w:widowControl/>
        <w:spacing w:afterLines="50" w:after="180" w:line="288" w:lineRule="auto"/>
        <w:ind w:firstLineChars="200" w:firstLine="480"/>
        <w:jc w:val="both"/>
        <w:rPr>
          <w:rFonts w:hint="eastAsia"/>
        </w:rPr>
      </w:pPr>
      <w:r>
        <w:rPr>
          <w:rFonts w:hint="eastAsia"/>
        </w:rPr>
        <w:t>所謂「非基於行政處分之給付」者，主要係指受領人受領給付的原因，並非直接基於行政處分之效力而來</w:t>
      </w:r>
      <w:r>
        <w:rPr>
          <w:rFonts w:hint="eastAsia"/>
        </w:rPr>
        <w:t>，而是直接以「法規」為依據，或是以「行政契約」為依據</w:t>
      </w:r>
      <w:r>
        <w:rPr>
          <w:rFonts w:ascii="新細明體" w:hAnsi="新細明體"/>
        </w:rPr>
        <w:t>…</w:t>
      </w:r>
      <w:r>
        <w:rPr>
          <w:rFonts w:hint="eastAsia"/>
        </w:rPr>
        <w:t>等，不一而足；不過在本研究所關心的公務人員受領公法上金錢給付之情形，以行政契約作為給付之原因的類型，至少在我國目前應屬甚少，而可以忽略。至於這種類型的公法上金錢給付，在何時能成立公法上不當得利，其判斷，主要仍是以給付有無欠缺「法律上之原因」。假使在個案中，給付的確無法律上之原因，則該給付成立公法上不當得利，得以不成文之一般公法上不當得利返還請求權作為法律基礎，請求返還；在此，由於不當受領之給付，與行政處分根本無關，所以當然毋庸考慮行政程序法第一百二十七條</w:t>
      </w:r>
      <w:r>
        <w:rPr>
          <w:rFonts w:hint="eastAsia"/>
        </w:rPr>
        <w:t>的情形。</w:t>
      </w:r>
    </w:p>
    <w:p w:rsidR="00000000" w:rsidRDefault="00724932">
      <w:pPr>
        <w:widowControl/>
        <w:spacing w:afterLines="50" w:after="180" w:line="288" w:lineRule="auto"/>
        <w:ind w:firstLineChars="200" w:firstLine="480"/>
        <w:jc w:val="both"/>
        <w:rPr>
          <w:rFonts w:hint="eastAsia"/>
        </w:rPr>
      </w:pPr>
      <w:r>
        <w:rPr>
          <w:rFonts w:hint="eastAsia"/>
        </w:rPr>
        <w:t>而非基於行政處分之給付，其給付之所以無法律上之原因，情形不外有二：</w:t>
      </w:r>
    </w:p>
    <w:p w:rsidR="00000000" w:rsidRDefault="00724932">
      <w:pPr>
        <w:widowControl/>
        <w:numPr>
          <w:ilvl w:val="0"/>
          <w:numId w:val="30"/>
        </w:numPr>
        <w:spacing w:line="288" w:lineRule="auto"/>
        <w:jc w:val="both"/>
        <w:rPr>
          <w:rFonts w:hint="eastAsia"/>
        </w:rPr>
      </w:pPr>
      <w:r>
        <w:rPr>
          <w:rFonts w:hint="eastAsia"/>
        </w:rPr>
        <w:t>第一種是給付所基於之法規或行政契約等法律行為無效或嗣後消滅，例如基於行政契約之約定所為的給付，因行政契約有行政程序法第一百四十一條及第一百四十二條所規定之情形而無效者，屬之；</w:t>
      </w:r>
    </w:p>
    <w:p w:rsidR="00000000" w:rsidRDefault="00724932">
      <w:pPr>
        <w:widowControl/>
        <w:numPr>
          <w:ilvl w:val="0"/>
          <w:numId w:val="30"/>
        </w:numPr>
        <w:spacing w:afterLines="50" w:after="180" w:line="288" w:lineRule="auto"/>
        <w:jc w:val="both"/>
        <w:rPr>
          <w:rFonts w:hint="eastAsia"/>
        </w:rPr>
      </w:pPr>
      <w:r>
        <w:rPr>
          <w:rFonts w:hint="eastAsia"/>
        </w:rPr>
        <w:t>至於第二種情形，則係給付所基於之法規或行政契約等法律行為本身，效力存在，但因此所為之實際給付，卻因誤寫、誤算，甚至給付人出於故意而違反法規或行政契約等所預定的給付目的、對象或超越範圍等。</w:t>
      </w:r>
    </w:p>
    <w:p w:rsidR="00000000" w:rsidRDefault="00724932">
      <w:pPr>
        <w:widowControl/>
        <w:spacing w:afterLines="50" w:after="180" w:line="288" w:lineRule="auto"/>
        <w:jc w:val="both"/>
        <w:rPr>
          <w:rFonts w:hint="eastAsia"/>
        </w:rPr>
      </w:pPr>
      <w:r>
        <w:rPr>
          <w:rFonts w:hint="eastAsia"/>
        </w:rPr>
        <w:t>這些情形，均成立不成文的一般公法上不當得利返還請求權。</w:t>
      </w:r>
    </w:p>
    <w:p w:rsidR="00000000" w:rsidRDefault="00724932">
      <w:pPr>
        <w:widowControl/>
        <w:spacing w:line="288" w:lineRule="auto"/>
        <w:ind w:firstLineChars="200" w:firstLine="480"/>
        <w:jc w:val="both"/>
        <w:rPr>
          <w:rFonts w:hint="eastAsia"/>
        </w:rPr>
      </w:pPr>
      <w:r>
        <w:rPr>
          <w:rFonts w:hint="eastAsia"/>
        </w:rPr>
        <w:t>不過在前開第一</w:t>
      </w:r>
      <w:r>
        <w:rPr>
          <w:rFonts w:hint="eastAsia"/>
        </w:rPr>
        <w:t>種情形，應該要注意的是，法規原本存在，金錢給付本身亦未違反法規之規定，但該作為給付原因之法規，因修正而溯及造成原已支付之金錢超額的狀況。此際，由於法規溯及性的修正，必須嚴格考慮人民信賴保護的問題，所以原則上不成立公法上之不當得利。正是這種原因，所以德國聯邦公務員</w:t>
      </w:r>
      <w:r>
        <w:rPr>
          <w:rFonts w:hint="eastAsia"/>
        </w:rPr>
        <w:lastRenderedPageBreak/>
        <w:t>俸給法第十二條第一項及其他法律相當之法條</w:t>
      </w:r>
      <w:r>
        <w:rPr>
          <w:rStyle w:val="a9"/>
        </w:rPr>
        <w:footnoteReference w:id="165"/>
      </w:r>
      <w:r>
        <w:rPr>
          <w:rFonts w:hint="eastAsia"/>
        </w:rPr>
        <w:t>，均直接將此種類型排除於公法上返還請求權的範圍，以求一勞永逸</w:t>
      </w:r>
      <w:r>
        <w:rPr>
          <w:rStyle w:val="a9"/>
        </w:rPr>
        <w:footnoteReference w:id="166"/>
      </w:r>
      <w:r>
        <w:rPr>
          <w:rFonts w:hint="eastAsia"/>
        </w:rPr>
        <w:t>；我國法上雖無類似的規定，不過透過行政程序法第八條後段信賴保護原則之適用</w:t>
      </w:r>
      <w:r>
        <w:rPr>
          <w:rStyle w:val="a9"/>
        </w:rPr>
        <w:footnoteReference w:id="167"/>
      </w:r>
      <w:r>
        <w:rPr>
          <w:rFonts w:hint="eastAsia"/>
        </w:rPr>
        <w:t>，也應該作同一處理。</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肆　小結</w:t>
      </w:r>
    </w:p>
    <w:p w:rsidR="00000000" w:rsidRDefault="00724932">
      <w:pPr>
        <w:widowControl/>
        <w:spacing w:afterLines="50" w:after="180" w:line="288" w:lineRule="auto"/>
        <w:ind w:firstLineChars="200" w:firstLine="480"/>
        <w:jc w:val="both"/>
        <w:rPr>
          <w:rFonts w:hint="eastAsia"/>
        </w:rPr>
      </w:pPr>
      <w:r>
        <w:rPr>
          <w:rFonts w:hint="eastAsia"/>
        </w:rPr>
        <w:t>以上，本研究已針對公務人員受領薪俸或</w:t>
      </w:r>
      <w:r>
        <w:rPr>
          <w:rFonts w:hint="eastAsia"/>
        </w:rPr>
        <w:t>其他公法上金錢給付，就「基於行政處分之給付」與「非基於行政處分之給付」兩種類型，分別探討其造成公法上不當得利時，所依據的法律基礎（即：行政程序法第一百二十七條之「特殊公法上不當得利返還請求權」與不成文之「一般公法上不當得利返還請求權」），以及所可能該當成立公法上不當得利返還請求權之構成要件的各種重要事實（即：行政程序法第一百二十七條第一項所列之四種情形或其他該當「無法律上之原因」之事實）。在此，為便利於瀏覽，並將以上討論種種，重新整理為下頁之一張簡圖。此外，為求圖表完整之緣故，在下節（本章第三節）中始將討論</w:t>
      </w:r>
      <w:r>
        <w:rPr>
          <w:rFonts w:hint="eastAsia"/>
        </w:rPr>
        <w:t>的公法上不當得利返還請求權之法律效果，也一併提前附上，俾資參考：</w:t>
      </w:r>
    </w:p>
    <w:p w:rsidR="00000000" w:rsidRDefault="00A04F10">
      <w:pPr>
        <w:rPr>
          <w:rFonts w:hint="eastAsia"/>
        </w:rPr>
      </w:pPr>
      <w:r>
        <w:rPr>
          <w:noProof/>
        </w:rPr>
        <w:lastRenderedPageBreak/>
        <mc:AlternateContent>
          <mc:Choice Requires="wpc">
            <w:drawing>
              <wp:inline distT="0" distB="0" distL="0" distR="0">
                <wp:extent cx="5372100" cy="8572500"/>
                <wp:effectExtent l="0" t="5080" r="0" b="4445"/>
                <wp:docPr id="35" name="畫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2171622" y="0"/>
                            <a:ext cx="1599874" cy="5715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rPr>
                              </w:pPr>
                              <w:r>
                                <w:rPr>
                                  <w:rFonts w:hint="eastAsia"/>
                                </w:rPr>
                                <w:t>公務人員受領公法上金錢給付</w:t>
                              </w:r>
                            </w:p>
                          </w:txbxContent>
                        </wps:txbx>
                        <wps:bodyPr rot="0" vert="vert" wrap="square" lIns="91440" tIns="45720" rIns="91440" bIns="45720" anchor="t" anchorCtr="0" upright="1">
                          <a:noAutofit/>
                        </wps:bodyPr>
                      </wps:wsp>
                      <wps:wsp>
                        <wps:cNvPr id="2" name="Text Box 38"/>
                        <wps:cNvSpPr txBox="1">
                          <a:spLocks noChangeArrowheads="1"/>
                        </wps:cNvSpPr>
                        <wps:spPr bwMode="auto">
                          <a:xfrm>
                            <a:off x="3314389" y="914400"/>
                            <a:ext cx="686390" cy="9144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基於行政處分之給付</w:t>
                              </w:r>
                            </w:p>
                          </w:txbxContent>
                        </wps:txbx>
                        <wps:bodyPr rot="0" vert="vert" wrap="square" lIns="91440" tIns="45720" rIns="91440" bIns="45720" anchor="t" anchorCtr="0" upright="1">
                          <a:noAutofit/>
                        </wps:bodyPr>
                      </wps:wsp>
                      <wps:wsp>
                        <wps:cNvPr id="3" name="Text Box 39"/>
                        <wps:cNvSpPr txBox="1">
                          <a:spLocks noChangeArrowheads="1"/>
                        </wps:cNvSpPr>
                        <wps:spPr bwMode="auto">
                          <a:xfrm>
                            <a:off x="1943069" y="914400"/>
                            <a:ext cx="685660" cy="9144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非基於行政處分之給付</w:t>
                              </w:r>
                            </w:p>
                          </w:txbxContent>
                        </wps:txbx>
                        <wps:bodyPr rot="0" vert="vert" wrap="square" lIns="91440" tIns="45720" rIns="91440" bIns="45720" anchor="t" anchorCtr="0" upright="1">
                          <a:noAutofit/>
                        </wps:bodyPr>
                      </wps:wsp>
                      <wps:wsp>
                        <wps:cNvPr id="4" name="Line 40"/>
                        <wps:cNvCnPr>
                          <a:cxnSpLocks noChangeShapeType="1"/>
                        </wps:cNvCnPr>
                        <wps:spPr bwMode="auto">
                          <a:xfrm>
                            <a:off x="2400176" y="5715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1"/>
                        <wps:cNvCnPr>
                          <a:cxnSpLocks noChangeShapeType="1"/>
                        </wps:cNvCnPr>
                        <wps:spPr bwMode="auto">
                          <a:xfrm>
                            <a:off x="3542943" y="5715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2"/>
                        <wps:cNvSpPr txBox="1">
                          <a:spLocks noChangeArrowheads="1"/>
                        </wps:cNvSpPr>
                        <wps:spPr bwMode="auto">
                          <a:xfrm>
                            <a:off x="3772226" y="2286000"/>
                            <a:ext cx="684930" cy="12573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行政程序法</w:t>
                              </w:r>
                              <w:r>
                                <w:rPr>
                                  <w:rFonts w:hint="eastAsia"/>
                                  <w:sz w:val="20"/>
                                  <w:szCs w:val="20"/>
                                </w:rPr>
                                <w:t xml:space="preserve"> </w:t>
                              </w:r>
                              <w:r>
                                <w:rPr>
                                  <w:rFonts w:hint="eastAsia"/>
                                  <w:sz w:val="20"/>
                                  <w:szCs w:val="20"/>
                                </w:rPr>
                                <w:t>§</w:t>
                              </w:r>
                              <w:r>
                                <w:rPr>
                                  <w:sz w:val="20"/>
                                  <w:szCs w:val="20"/>
                                </w:rPr>
                                <w:t> </w:t>
                              </w:r>
                              <w:r>
                                <w:rPr>
                                  <w:rFonts w:hint="eastAsia"/>
                                  <w:sz w:val="20"/>
                                  <w:szCs w:val="20"/>
                                </w:rPr>
                                <w:t>127</w:t>
                              </w:r>
                              <w:r>
                                <w:rPr>
                                  <w:rFonts w:hint="eastAsia"/>
                                  <w:sz w:val="20"/>
                                  <w:szCs w:val="20"/>
                                </w:rPr>
                                <w:t>Ⅰ所列之情形</w:t>
                              </w:r>
                            </w:p>
                          </w:txbxContent>
                        </wps:txbx>
                        <wps:bodyPr rot="0" vert="vert" wrap="square" lIns="91440" tIns="45720" rIns="91440" bIns="45720" anchor="t" anchorCtr="0" upright="1">
                          <a:noAutofit/>
                        </wps:bodyPr>
                      </wps:wsp>
                      <wps:wsp>
                        <wps:cNvPr id="7" name="Text Box 43"/>
                        <wps:cNvSpPr txBox="1">
                          <a:spLocks noChangeArrowheads="1"/>
                        </wps:cNvSpPr>
                        <wps:spPr bwMode="auto">
                          <a:xfrm>
                            <a:off x="2628729" y="2286000"/>
                            <a:ext cx="685660" cy="12573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其他「無法律上原因」</w:t>
                              </w:r>
                              <w:r>
                                <w:rPr>
                                  <w:rFonts w:hint="eastAsia"/>
                                  <w:sz w:val="20"/>
                                  <w:szCs w:val="20"/>
                                </w:rPr>
                                <w:t>之情形</w:t>
                              </w:r>
                            </w:p>
                          </w:txbxContent>
                        </wps:txbx>
                        <wps:bodyPr rot="0" vert="vert" wrap="square" lIns="91440" tIns="45720" rIns="91440" bIns="45720" anchor="t" anchorCtr="0" upright="1">
                          <a:noAutofit/>
                        </wps:bodyPr>
                      </wps:wsp>
                      <wps:wsp>
                        <wps:cNvPr id="8" name="Text Box 44"/>
                        <wps:cNvSpPr txBox="1">
                          <a:spLocks noChangeArrowheads="1"/>
                        </wps:cNvSpPr>
                        <wps:spPr bwMode="auto">
                          <a:xfrm>
                            <a:off x="1485962" y="2286000"/>
                            <a:ext cx="571749" cy="12573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無法律上之原因</w:t>
                              </w:r>
                            </w:p>
                          </w:txbxContent>
                        </wps:txbx>
                        <wps:bodyPr rot="0" vert="vert" wrap="square" lIns="91440" tIns="45720" rIns="91440" bIns="45720" anchor="t" anchorCtr="0" upright="1">
                          <a:noAutofit/>
                        </wps:bodyPr>
                      </wps:wsp>
                      <wps:wsp>
                        <wps:cNvPr id="9" name="Text Box 45"/>
                        <wps:cNvSpPr txBox="1">
                          <a:spLocks noChangeArrowheads="1"/>
                        </wps:cNvSpPr>
                        <wps:spPr bwMode="auto">
                          <a:xfrm>
                            <a:off x="3886138" y="4000500"/>
                            <a:ext cx="571018" cy="1257300"/>
                          </a:xfrm>
                          <a:prstGeom prst="rect">
                            <a:avLst/>
                          </a:prstGeom>
                          <a:solidFill>
                            <a:srgbClr val="FFFFFF"/>
                          </a:solidFill>
                          <a:ln w="9525">
                            <a:solidFill>
                              <a:srgbClr val="000000"/>
                            </a:solidFill>
                            <a:miter lim="800000"/>
                            <a:headEnd/>
                            <a:tailEnd/>
                          </a:ln>
                        </wps:spPr>
                        <wps:txbx>
                          <w:txbxContent>
                            <w:p w:rsidR="00000000" w:rsidRDefault="00724932">
                              <w:pPr>
                                <w:jc w:val="both"/>
                              </w:pPr>
                              <w:r>
                                <w:rPr>
                                  <w:rFonts w:hint="eastAsia"/>
                                  <w:sz w:val="20"/>
                                  <w:szCs w:val="20"/>
                                </w:rPr>
                                <w:t>行政程序法</w:t>
                              </w:r>
                              <w:r>
                                <w:rPr>
                                  <w:rFonts w:hint="eastAsia"/>
                                  <w:sz w:val="20"/>
                                  <w:szCs w:val="20"/>
                                </w:rPr>
                                <w:t xml:space="preserve"> </w:t>
                              </w:r>
                              <w:r>
                                <w:rPr>
                                  <w:rFonts w:hint="eastAsia"/>
                                  <w:sz w:val="20"/>
                                  <w:szCs w:val="20"/>
                                </w:rPr>
                                <w:t>§</w:t>
                              </w:r>
                              <w:r>
                                <w:rPr>
                                  <w:sz w:val="20"/>
                                  <w:szCs w:val="20"/>
                                </w:rPr>
                                <w:t> </w:t>
                              </w:r>
                              <w:r>
                                <w:rPr>
                                  <w:rFonts w:hint="eastAsia"/>
                                  <w:sz w:val="20"/>
                                  <w:szCs w:val="20"/>
                                </w:rPr>
                                <w:t>127</w:t>
                              </w:r>
                              <w:r>
                                <w:rPr>
                                  <w:rFonts w:hint="eastAsia"/>
                                  <w:sz w:val="20"/>
                                  <w:szCs w:val="20"/>
                                </w:rPr>
                                <w:t>Ⅰ</w:t>
                              </w:r>
                            </w:p>
                          </w:txbxContent>
                        </wps:txbx>
                        <wps:bodyPr rot="0" vert="vert" wrap="square" lIns="91440" tIns="45720" rIns="91440" bIns="45720" anchor="t" anchorCtr="0" upright="1">
                          <a:noAutofit/>
                        </wps:bodyPr>
                      </wps:wsp>
                      <wps:wsp>
                        <wps:cNvPr id="10" name="Text Box 46"/>
                        <wps:cNvSpPr txBox="1">
                          <a:spLocks noChangeArrowheads="1"/>
                        </wps:cNvSpPr>
                        <wps:spPr bwMode="auto">
                          <a:xfrm>
                            <a:off x="1943069" y="4000500"/>
                            <a:ext cx="685660" cy="12573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一般公法上不當得利返還請求權</w:t>
                              </w:r>
                            </w:p>
                          </w:txbxContent>
                        </wps:txbx>
                        <wps:bodyPr rot="0" vert="vert" wrap="square" lIns="91440" tIns="45720" rIns="91440" bIns="45720" anchor="t" anchorCtr="0" upright="1">
                          <a:noAutofit/>
                        </wps:bodyPr>
                      </wps:wsp>
                      <wps:wsp>
                        <wps:cNvPr id="11" name="Text Box 47"/>
                        <wps:cNvSpPr txBox="1">
                          <a:spLocks noChangeArrowheads="1"/>
                        </wps:cNvSpPr>
                        <wps:spPr bwMode="auto">
                          <a:xfrm>
                            <a:off x="3886138" y="5486400"/>
                            <a:ext cx="571749" cy="11430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準用民法</w:t>
                              </w:r>
                              <w:r>
                                <w:rPr>
                                  <w:rFonts w:hint="eastAsia"/>
                                  <w:sz w:val="20"/>
                                  <w:szCs w:val="20"/>
                                </w:rPr>
                                <w:t xml:space="preserve"> </w:t>
                              </w:r>
                              <w:r>
                                <w:rPr>
                                  <w:rFonts w:hint="eastAsia"/>
                                  <w:sz w:val="20"/>
                                  <w:szCs w:val="20"/>
                                </w:rPr>
                                <w:t>§</w:t>
                              </w:r>
                              <w:r>
                                <w:rPr>
                                  <w:sz w:val="20"/>
                                  <w:szCs w:val="20"/>
                                </w:rPr>
                                <w:t> </w:t>
                              </w:r>
                              <w:r>
                                <w:rPr>
                                  <w:rFonts w:hint="eastAsia"/>
                                  <w:sz w:val="20"/>
                                  <w:szCs w:val="20"/>
                                </w:rPr>
                                <w:t>181</w:t>
                              </w:r>
                            </w:p>
                          </w:txbxContent>
                        </wps:txbx>
                        <wps:bodyPr rot="0" vert="vert" wrap="square" lIns="91440" tIns="45720" rIns="91440" bIns="45720" anchor="t" anchorCtr="0" upright="1">
                          <a:noAutofit/>
                        </wps:bodyPr>
                      </wps:wsp>
                      <wps:wsp>
                        <wps:cNvPr id="12" name="Text Box 48"/>
                        <wps:cNvSpPr txBox="1">
                          <a:spLocks noChangeArrowheads="1"/>
                        </wps:cNvSpPr>
                        <wps:spPr bwMode="auto">
                          <a:xfrm>
                            <a:off x="1943069" y="5486400"/>
                            <a:ext cx="685660" cy="13716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類推民法</w:t>
                              </w:r>
                              <w:r>
                                <w:rPr>
                                  <w:rFonts w:hint="eastAsia"/>
                                  <w:sz w:val="20"/>
                                  <w:szCs w:val="20"/>
                                </w:rPr>
                                <w:t xml:space="preserve"> </w:t>
                              </w:r>
                              <w:r>
                                <w:rPr>
                                  <w:rFonts w:hint="eastAsia"/>
                                  <w:sz w:val="20"/>
                                  <w:szCs w:val="20"/>
                                </w:rPr>
                                <w:t>§</w:t>
                              </w:r>
                              <w:r>
                                <w:rPr>
                                  <w:sz w:val="20"/>
                                  <w:szCs w:val="20"/>
                                </w:rPr>
                                <w:t> </w:t>
                              </w:r>
                              <w:r>
                                <w:rPr>
                                  <w:rFonts w:hint="eastAsia"/>
                                  <w:sz w:val="20"/>
                                  <w:szCs w:val="20"/>
                                </w:rPr>
                                <w:t>181</w:t>
                              </w:r>
                            </w:p>
                          </w:txbxContent>
                        </wps:txbx>
                        <wps:bodyPr rot="0" vert="vert" wrap="square" lIns="91440" tIns="45720" rIns="91440" bIns="45720" anchor="t" anchorCtr="0" upright="1">
                          <a:noAutofit/>
                        </wps:bodyPr>
                      </wps:wsp>
                      <wps:wsp>
                        <wps:cNvPr id="13" name="Text Box 49"/>
                        <wps:cNvSpPr txBox="1">
                          <a:spLocks noChangeArrowheads="1"/>
                        </wps:cNvSpPr>
                        <wps:spPr bwMode="auto">
                          <a:xfrm>
                            <a:off x="3772226" y="7086600"/>
                            <a:ext cx="685660" cy="11430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準用民法</w:t>
                              </w:r>
                              <w:r>
                                <w:rPr>
                                  <w:rFonts w:hint="eastAsia"/>
                                  <w:sz w:val="20"/>
                                  <w:szCs w:val="20"/>
                                </w:rPr>
                                <w:t xml:space="preserve"> </w:t>
                              </w:r>
                              <w:r>
                                <w:rPr>
                                  <w:rFonts w:hint="eastAsia"/>
                                  <w:sz w:val="20"/>
                                  <w:szCs w:val="20"/>
                                </w:rPr>
                                <w:t>§</w:t>
                              </w:r>
                              <w:r>
                                <w:rPr>
                                  <w:sz w:val="20"/>
                                  <w:szCs w:val="20"/>
                                </w:rPr>
                                <w:t> </w:t>
                              </w:r>
                              <w:r>
                                <w:rPr>
                                  <w:rFonts w:hint="eastAsia"/>
                                  <w:sz w:val="20"/>
                                  <w:szCs w:val="20"/>
                                </w:rPr>
                                <w:t>181</w:t>
                              </w:r>
                              <w:r>
                                <w:rPr>
                                  <w:rFonts w:hint="eastAsia"/>
                                  <w:sz w:val="20"/>
                                  <w:szCs w:val="20"/>
                                </w:rPr>
                                <w:t>及衡平法理</w:t>
                              </w:r>
                            </w:p>
                          </w:txbxContent>
                        </wps:txbx>
                        <wps:bodyPr rot="0" vert="vert" wrap="square" lIns="91440" tIns="45720" rIns="91440" bIns="45720" anchor="t" anchorCtr="0" upright="1">
                          <a:noAutofit/>
                        </wps:bodyPr>
                      </wps:wsp>
                      <wps:wsp>
                        <wps:cNvPr id="14" name="Text Box 50"/>
                        <wps:cNvSpPr txBox="1">
                          <a:spLocks noChangeArrowheads="1"/>
                        </wps:cNvSpPr>
                        <wps:spPr bwMode="auto">
                          <a:xfrm>
                            <a:off x="1943069" y="7086600"/>
                            <a:ext cx="685660" cy="1257300"/>
                          </a:xfrm>
                          <a:prstGeom prst="rect">
                            <a:avLst/>
                          </a:prstGeom>
                          <a:solidFill>
                            <a:srgbClr val="FFFFFF"/>
                          </a:solidFill>
                          <a:ln w="9525">
                            <a:solidFill>
                              <a:srgbClr val="000000"/>
                            </a:solidFill>
                            <a:miter lim="800000"/>
                            <a:headEnd/>
                            <a:tailEnd/>
                          </a:ln>
                        </wps:spPr>
                        <wps:txbx>
                          <w:txbxContent>
                            <w:p w:rsidR="00000000" w:rsidRDefault="00724932">
                              <w:pPr>
                                <w:jc w:val="both"/>
                                <w:rPr>
                                  <w:rFonts w:hint="eastAsia"/>
                                  <w:sz w:val="20"/>
                                  <w:szCs w:val="20"/>
                                </w:rPr>
                              </w:pPr>
                              <w:r>
                                <w:rPr>
                                  <w:rFonts w:hint="eastAsia"/>
                                  <w:sz w:val="20"/>
                                  <w:szCs w:val="20"/>
                                </w:rPr>
                                <w:t>信賴保護原則及衡平法理</w:t>
                              </w:r>
                            </w:p>
                          </w:txbxContent>
                        </wps:txbx>
                        <wps:bodyPr rot="0" vert="vert" wrap="square" lIns="91440" tIns="45720" rIns="91440" bIns="45720" anchor="t" anchorCtr="0" upright="1">
                          <a:noAutofit/>
                        </wps:bodyPr>
                      </wps:wsp>
                      <wps:wsp>
                        <wps:cNvPr id="15" name="Line 51"/>
                        <wps:cNvCnPr>
                          <a:cxnSpLocks noChangeShapeType="1"/>
                        </wps:cNvCnPr>
                        <wps:spPr bwMode="auto">
                          <a:xfrm flipH="1">
                            <a:off x="1714516" y="1828800"/>
                            <a:ext cx="457107"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2"/>
                        <wps:cNvCnPr>
                          <a:cxnSpLocks noChangeShapeType="1"/>
                        </wps:cNvCnPr>
                        <wps:spPr bwMode="auto">
                          <a:xfrm flipH="1">
                            <a:off x="3085836" y="1828800"/>
                            <a:ext cx="457107"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3"/>
                        <wps:cNvCnPr>
                          <a:cxnSpLocks noChangeShapeType="1"/>
                        </wps:cNvCnPr>
                        <wps:spPr bwMode="auto">
                          <a:xfrm>
                            <a:off x="3542943" y="1828800"/>
                            <a:ext cx="457837"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4"/>
                        <wps:cNvCnPr>
                          <a:cxnSpLocks noChangeShapeType="1"/>
                        </wps:cNvCnPr>
                        <wps:spPr bwMode="auto">
                          <a:xfrm>
                            <a:off x="1714516" y="3771900"/>
                            <a:ext cx="137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3085836" y="3543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1714516" y="3543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2286264"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8"/>
                        <wps:cNvCnPr>
                          <a:cxnSpLocks noChangeShapeType="1"/>
                        </wps:cNvCnPr>
                        <wps:spPr bwMode="auto">
                          <a:xfrm>
                            <a:off x="4114691" y="35433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9"/>
                        <wps:cNvCnPr>
                          <a:cxnSpLocks noChangeShapeType="1"/>
                        </wps:cNvCnPr>
                        <wps:spPr bwMode="auto">
                          <a:xfrm>
                            <a:off x="4114691" y="5257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60"/>
                        <wps:cNvCnPr>
                          <a:cxnSpLocks noChangeShapeType="1"/>
                        </wps:cNvCnPr>
                        <wps:spPr bwMode="auto">
                          <a:xfrm>
                            <a:off x="2286264" y="5257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1"/>
                        <wps:cNvCnPr>
                          <a:cxnSpLocks noChangeShapeType="1"/>
                        </wps:cNvCnPr>
                        <wps:spPr bwMode="auto">
                          <a:xfrm>
                            <a:off x="2286264" y="6858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2"/>
                        <wps:cNvCnPr>
                          <a:cxnSpLocks noChangeShapeType="1"/>
                        </wps:cNvCnPr>
                        <wps:spPr bwMode="auto">
                          <a:xfrm>
                            <a:off x="4114691" y="66294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63"/>
                        <wps:cNvSpPr txBox="1">
                          <a:spLocks noChangeArrowheads="1"/>
                        </wps:cNvSpPr>
                        <wps:spPr bwMode="auto">
                          <a:xfrm>
                            <a:off x="228553" y="342900"/>
                            <a:ext cx="571749"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4932">
                              <w:pPr>
                                <w:jc w:val="both"/>
                                <w:rPr>
                                  <w:rFonts w:hint="eastAsia"/>
                                </w:rPr>
                              </w:pPr>
                              <w:r>
                                <w:rPr>
                                  <w:rFonts w:hint="eastAsia"/>
                                </w:rPr>
                                <w:t>給　付</w:t>
                              </w:r>
                              <w:r>
                                <w:rPr>
                                  <w:rFonts w:hint="eastAsia"/>
                                </w:rPr>
                                <w:t xml:space="preserve">  </w:t>
                              </w:r>
                              <w:r>
                                <w:rPr>
                                  <w:rFonts w:hint="eastAsia"/>
                                </w:rPr>
                                <w:t>類</w:t>
                              </w:r>
                              <w:r>
                                <w:rPr>
                                  <w:rFonts w:hint="eastAsia"/>
                                </w:rPr>
                                <w:t xml:space="preserve">  </w:t>
                              </w:r>
                              <w:r>
                                <w:rPr>
                                  <w:rFonts w:hint="eastAsia"/>
                                </w:rPr>
                                <w:t>型</w:t>
                              </w:r>
                            </w:p>
                          </w:txbxContent>
                        </wps:txbx>
                        <wps:bodyPr rot="0" vert="vert" wrap="square" lIns="91440" tIns="45720" rIns="91440" bIns="45720" anchor="t" anchorCtr="0" upright="1">
                          <a:noAutofit/>
                        </wps:bodyPr>
                      </wps:wsp>
                      <wps:wsp>
                        <wps:cNvPr id="28" name="Text Box 64"/>
                        <wps:cNvSpPr txBox="1">
                          <a:spLocks noChangeArrowheads="1"/>
                        </wps:cNvSpPr>
                        <wps:spPr bwMode="auto">
                          <a:xfrm>
                            <a:off x="343195" y="2286000"/>
                            <a:ext cx="457107"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4932">
                              <w:pPr>
                                <w:jc w:val="both"/>
                                <w:rPr>
                                  <w:rFonts w:hint="eastAsia"/>
                                </w:rPr>
                              </w:pPr>
                              <w:r>
                                <w:rPr>
                                  <w:rFonts w:hint="eastAsia"/>
                                </w:rPr>
                                <w:t>構</w:t>
                              </w:r>
                              <w:r>
                                <w:rPr>
                                  <w:rFonts w:hint="eastAsia"/>
                                </w:rPr>
                                <w:t xml:space="preserve"> </w:t>
                              </w:r>
                              <w:r>
                                <w:rPr>
                                  <w:rFonts w:hint="eastAsia"/>
                                </w:rPr>
                                <w:t>成</w:t>
                              </w:r>
                              <w:r>
                                <w:rPr>
                                  <w:rFonts w:hint="eastAsia"/>
                                </w:rPr>
                                <w:t xml:space="preserve"> </w:t>
                              </w:r>
                              <w:r>
                                <w:rPr>
                                  <w:rFonts w:hint="eastAsia"/>
                                </w:rPr>
                                <w:t>要</w:t>
                              </w:r>
                              <w:r>
                                <w:rPr>
                                  <w:rFonts w:hint="eastAsia"/>
                                </w:rPr>
                                <w:t xml:space="preserve"> </w:t>
                              </w:r>
                              <w:r>
                                <w:rPr>
                                  <w:rFonts w:hint="eastAsia"/>
                                </w:rPr>
                                <w:t>件</w:t>
                              </w:r>
                            </w:p>
                          </w:txbxContent>
                        </wps:txbx>
                        <wps:bodyPr rot="0" vert="vert" wrap="square" lIns="91440" tIns="45720" rIns="91440" bIns="45720" anchor="t" anchorCtr="0" upright="1">
                          <a:noAutofit/>
                        </wps:bodyPr>
                      </wps:wsp>
                      <wps:wsp>
                        <wps:cNvPr id="29" name="Text Box 65"/>
                        <wps:cNvSpPr txBox="1">
                          <a:spLocks noChangeArrowheads="1"/>
                        </wps:cNvSpPr>
                        <wps:spPr bwMode="auto">
                          <a:xfrm>
                            <a:off x="343195" y="4000500"/>
                            <a:ext cx="457107"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4932">
                              <w:pPr>
                                <w:jc w:val="both"/>
                                <w:rPr>
                                  <w:rFonts w:hint="eastAsia"/>
                                </w:rPr>
                              </w:pPr>
                              <w:r>
                                <w:rPr>
                                  <w:rFonts w:hint="eastAsia"/>
                                </w:rPr>
                                <w:t>法</w:t>
                              </w:r>
                              <w:r>
                                <w:rPr>
                                  <w:rFonts w:hint="eastAsia"/>
                                </w:rPr>
                                <w:t xml:space="preserve"> </w:t>
                              </w:r>
                              <w:r>
                                <w:rPr>
                                  <w:rFonts w:hint="eastAsia"/>
                                </w:rPr>
                                <w:t>律</w:t>
                              </w:r>
                              <w:r>
                                <w:rPr>
                                  <w:rFonts w:hint="eastAsia"/>
                                </w:rPr>
                                <w:t xml:space="preserve"> </w:t>
                              </w:r>
                              <w:r>
                                <w:rPr>
                                  <w:rFonts w:hint="eastAsia"/>
                                </w:rPr>
                                <w:t>基</w:t>
                              </w:r>
                              <w:r>
                                <w:rPr>
                                  <w:rFonts w:hint="eastAsia"/>
                                </w:rPr>
                                <w:t xml:space="preserve"> </w:t>
                              </w:r>
                              <w:r>
                                <w:rPr>
                                  <w:rFonts w:hint="eastAsia"/>
                                </w:rPr>
                                <w:t>礎</w:t>
                              </w:r>
                            </w:p>
                          </w:txbxContent>
                        </wps:txbx>
                        <wps:bodyPr rot="0" vert="vert" wrap="square" lIns="91440" tIns="45720" rIns="91440" bIns="45720" anchor="t" anchorCtr="0" upright="1">
                          <a:noAutofit/>
                        </wps:bodyPr>
                      </wps:wsp>
                      <wps:wsp>
                        <wps:cNvPr id="30" name="Text Box 66"/>
                        <wps:cNvSpPr txBox="1">
                          <a:spLocks noChangeArrowheads="1"/>
                        </wps:cNvSpPr>
                        <wps:spPr bwMode="auto">
                          <a:xfrm>
                            <a:off x="343195" y="5486400"/>
                            <a:ext cx="457107"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4932">
                              <w:pPr>
                                <w:jc w:val="both"/>
                                <w:rPr>
                                  <w:rFonts w:hint="eastAsia"/>
                                </w:rPr>
                              </w:pPr>
                              <w:r>
                                <w:rPr>
                                  <w:rFonts w:hint="eastAsia"/>
                                </w:rPr>
                                <w:t>返</w:t>
                              </w:r>
                              <w:r>
                                <w:rPr>
                                  <w:rFonts w:hint="eastAsia"/>
                                </w:rPr>
                                <w:t xml:space="preserve"> </w:t>
                              </w:r>
                              <w:r>
                                <w:rPr>
                                  <w:rFonts w:hint="eastAsia"/>
                                </w:rPr>
                                <w:t>還</w:t>
                              </w:r>
                              <w:r>
                                <w:rPr>
                                  <w:rFonts w:hint="eastAsia"/>
                                </w:rPr>
                                <w:t xml:space="preserve"> </w:t>
                              </w:r>
                              <w:r>
                                <w:rPr>
                                  <w:rFonts w:hint="eastAsia"/>
                                </w:rPr>
                                <w:t>標</w:t>
                              </w:r>
                              <w:r>
                                <w:rPr>
                                  <w:rFonts w:hint="eastAsia"/>
                                </w:rPr>
                                <w:t xml:space="preserve"> </w:t>
                              </w:r>
                              <w:r>
                                <w:rPr>
                                  <w:rFonts w:hint="eastAsia"/>
                                </w:rPr>
                                <w:t>的</w:t>
                              </w:r>
                            </w:p>
                          </w:txbxContent>
                        </wps:txbx>
                        <wps:bodyPr rot="0" vert="vert" wrap="square" lIns="91440" tIns="45720" rIns="91440" bIns="45720" anchor="t" anchorCtr="0" upright="1">
                          <a:noAutofit/>
                        </wps:bodyPr>
                      </wps:wsp>
                      <wps:wsp>
                        <wps:cNvPr id="31" name="Text Box 67"/>
                        <wps:cNvSpPr txBox="1">
                          <a:spLocks noChangeArrowheads="1"/>
                        </wps:cNvSpPr>
                        <wps:spPr bwMode="auto">
                          <a:xfrm>
                            <a:off x="343195" y="7086600"/>
                            <a:ext cx="457107"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4932">
                              <w:pPr>
                                <w:jc w:val="both"/>
                                <w:rPr>
                                  <w:rFonts w:hint="eastAsia"/>
                                </w:rPr>
                              </w:pPr>
                              <w:r>
                                <w:rPr>
                                  <w:rFonts w:hint="eastAsia"/>
                                </w:rPr>
                                <w:t>返</w:t>
                              </w:r>
                              <w:r>
                                <w:rPr>
                                  <w:rFonts w:hint="eastAsia"/>
                                </w:rPr>
                                <w:t xml:space="preserve"> </w:t>
                              </w:r>
                              <w:r>
                                <w:rPr>
                                  <w:rFonts w:hint="eastAsia"/>
                                </w:rPr>
                                <w:t>還</w:t>
                              </w:r>
                              <w:r>
                                <w:rPr>
                                  <w:rFonts w:hint="eastAsia"/>
                                </w:rPr>
                                <w:t xml:space="preserve"> </w:t>
                              </w:r>
                              <w:r>
                                <w:rPr>
                                  <w:rFonts w:hint="eastAsia"/>
                                </w:rPr>
                                <w:t>範</w:t>
                              </w:r>
                              <w:r>
                                <w:rPr>
                                  <w:rFonts w:hint="eastAsia"/>
                                </w:rPr>
                                <w:t xml:space="preserve"> </w:t>
                              </w:r>
                              <w:r>
                                <w:rPr>
                                  <w:rFonts w:hint="eastAsia"/>
                                </w:rPr>
                                <w:t>圍</w:t>
                              </w:r>
                            </w:p>
                          </w:txbxContent>
                        </wps:txbx>
                        <wps:bodyPr rot="0" vert="vert" wrap="square" lIns="91440" tIns="45720" rIns="91440" bIns="45720" anchor="t" anchorCtr="0" upright="1">
                          <a:noAutofit/>
                        </wps:bodyPr>
                      </wps:wsp>
                    </wpc:wpc>
                  </a:graphicData>
                </a:graphic>
              </wp:inline>
            </w:drawing>
          </mc:Choice>
          <mc:Fallback>
            <w:pict>
              <v:group id="畫布 35" o:spid="_x0000_s1026" editas="canvas" style="width:423pt;height:675pt;mso-position-horizontal-relative:char;mso-position-vertical-relative:line" coordsize="53721,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85725;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21716;width:1599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uXb8A&#10;AADaAAAADwAAAGRycy9kb3ducmV2LnhtbERPTYvCMBC9C/sfwix409RFZLcapawoRfCwungemrGp&#10;NpPSRK3/3giCp+HxPme26GwtrtT6yrGC0TABQVw4XXGp4H+/GnyD8AFZY+2YFNzJw2L+0Zthqt2N&#10;/+i6C6WIIexTVGBCaFIpfWHIoh+6hjhyR9daDBG2pdQt3mK4reVXkkykxYpjg8GGfg0V593FKlgf&#10;ts2mO2ZLOT7kiTnlP9lyvFWq/9llUxCBuvAWv9y5jvPh+crzy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a5dvwAAANoAAAAPAAAAAAAAAAAAAAAAAJgCAABkcnMvZG93bnJl&#10;di54bWxQSwUGAAAAAAQABAD1AAAAhAMAAAAA&#10;">
                  <v:textbox style="layout-flow:vertical">
                    <w:txbxContent>
                      <w:p w:rsidR="00000000" w:rsidRDefault="00724932">
                        <w:pPr>
                          <w:jc w:val="both"/>
                          <w:rPr>
                            <w:rFonts w:hint="eastAsia"/>
                          </w:rPr>
                        </w:pPr>
                        <w:r>
                          <w:rPr>
                            <w:rFonts w:hint="eastAsia"/>
                          </w:rPr>
                          <w:t>公務人員受領公法上金錢給付</w:t>
                        </w:r>
                      </w:p>
                    </w:txbxContent>
                  </v:textbox>
                </v:shape>
                <v:shape id="Text Box 38" o:spid="_x0000_s1029" type="#_x0000_t202" style="position:absolute;left:33143;top:9144;width:686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wKsIA&#10;AADaAAAADwAAAGRycy9kb3ducmV2LnhtbESPQYvCMBSE7wv+h/AEb2uqyLJWoxRFKYKHVfH8aJ5N&#10;tXkpTdT6783Cwh6HmfmGmS87W4sHtb5yrGA0TEAQF05XXCo4HTef3yB8QNZYOyYFL/KwXPQ+5phq&#10;9+QfehxCKSKEfYoKTAhNKqUvDFn0Q9cQR+/iWoshyraUusVnhNtajpPkS1qsOC4YbGhlqLgd7lbB&#10;9rxvdt0lW8vJOU/MNZ9m68leqUG/y2YgAnXhP/zXzrWCMfxeiT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zAqwgAAANoAAAAPAAAAAAAAAAAAAAAAAJgCAABkcnMvZG93&#10;bnJldi54bWxQSwUGAAAAAAQABAD1AAAAhwMAAAAA&#10;">
                  <v:textbox style="layout-flow:vertical">
                    <w:txbxContent>
                      <w:p w:rsidR="00000000" w:rsidRDefault="00724932">
                        <w:pPr>
                          <w:jc w:val="both"/>
                          <w:rPr>
                            <w:rFonts w:hint="eastAsia"/>
                            <w:sz w:val="20"/>
                            <w:szCs w:val="20"/>
                          </w:rPr>
                        </w:pPr>
                        <w:r>
                          <w:rPr>
                            <w:rFonts w:hint="eastAsia"/>
                            <w:sz w:val="20"/>
                            <w:szCs w:val="20"/>
                          </w:rPr>
                          <w:t>基於行政處分之給付</w:t>
                        </w:r>
                      </w:p>
                    </w:txbxContent>
                  </v:textbox>
                </v:shape>
                <v:shape id="Text Box 39" o:spid="_x0000_s1030" type="#_x0000_t202" style="position:absolute;left:19430;top:9144;width:685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VscQA&#10;AADaAAAADwAAAGRycy9kb3ducmV2LnhtbESPQWvCQBSE74X+h+UVvOmmVcSmWSVUWoLgwVg8P7Iv&#10;2bTZtyG71fTfu4LQ4zAz3zDZZrSdONPgW8cKnmcJCOLK6ZYbBV/Hj+kKhA/IGjvHpOCPPGzWjw8Z&#10;ptpd+EDnMjQiQtinqMCE0KdS+sqQRT9zPXH0ajdYDFEOjdQDXiLcdvIlSZbSYstxwWBP74aqn/LX&#10;Kvg87fvdWOdbuTgVifkuXvPtYq/U5GnM30AEGsN/+N4utII53K7E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rlbHEAAAA2gAAAA8AAAAAAAAAAAAAAAAAmAIAAGRycy9k&#10;b3ducmV2LnhtbFBLBQYAAAAABAAEAPUAAACJAwAAAAA=&#10;">
                  <v:textbox style="layout-flow:vertical">
                    <w:txbxContent>
                      <w:p w:rsidR="00000000" w:rsidRDefault="00724932">
                        <w:pPr>
                          <w:jc w:val="both"/>
                          <w:rPr>
                            <w:rFonts w:hint="eastAsia"/>
                            <w:sz w:val="20"/>
                            <w:szCs w:val="20"/>
                          </w:rPr>
                        </w:pPr>
                        <w:r>
                          <w:rPr>
                            <w:rFonts w:hint="eastAsia"/>
                            <w:sz w:val="20"/>
                            <w:szCs w:val="20"/>
                          </w:rPr>
                          <w:t>非基於行政處分之給付</w:t>
                        </w:r>
                      </w:p>
                    </w:txbxContent>
                  </v:textbox>
                </v:shape>
                <v:line id="Line 40" o:spid="_x0000_s1031" style="position:absolute;visibility:visible;mso-wrap-style:square" from="24001,5715" to="2400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1" o:spid="_x0000_s1032" style="position:absolute;visibility:visible;mso-wrap-style:square" from="35429,5715" to="3542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42" o:spid="_x0000_s1033" type="#_x0000_t202" style="position:absolute;left:37722;top:22860;width:684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2KcIA&#10;AADaAAAADwAAAGRycy9kb3ducmV2LnhtbESPQYvCMBSE78L+h/AW9qapi4hbjVJWXIrgQV08P5pn&#10;U21eShO1/nsjCB6HmfmGmS06W4srtb5yrGA4SEAQF05XXCr436/6ExA+IGusHZOCO3lYzD96M0y1&#10;u/GWrrtQighhn6ICE0KTSukLQxb9wDXE0Tu61mKIsi2lbvEW4baW30kylhYrjgsGG/o1VJx3F6vg&#10;77Bp1t0xW8rRIU/MKf/JlqONUl+fXTYFEagL7/CrnWsFY3hei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DYpwgAAANoAAAAPAAAAAAAAAAAAAAAAAJgCAABkcnMvZG93&#10;bnJldi54bWxQSwUGAAAAAAQABAD1AAAAhwMAAAAA&#10;">
                  <v:textbox style="layout-flow:vertical">
                    <w:txbxContent>
                      <w:p w:rsidR="00000000" w:rsidRDefault="00724932">
                        <w:pPr>
                          <w:jc w:val="both"/>
                          <w:rPr>
                            <w:rFonts w:hint="eastAsia"/>
                            <w:sz w:val="20"/>
                            <w:szCs w:val="20"/>
                          </w:rPr>
                        </w:pPr>
                        <w:r>
                          <w:rPr>
                            <w:rFonts w:hint="eastAsia"/>
                            <w:sz w:val="20"/>
                            <w:szCs w:val="20"/>
                          </w:rPr>
                          <w:t>行政程序法</w:t>
                        </w:r>
                        <w:r>
                          <w:rPr>
                            <w:rFonts w:hint="eastAsia"/>
                            <w:sz w:val="20"/>
                            <w:szCs w:val="20"/>
                          </w:rPr>
                          <w:t xml:space="preserve"> </w:t>
                        </w:r>
                        <w:r>
                          <w:rPr>
                            <w:rFonts w:hint="eastAsia"/>
                            <w:sz w:val="20"/>
                            <w:szCs w:val="20"/>
                          </w:rPr>
                          <w:t>§</w:t>
                        </w:r>
                        <w:r>
                          <w:rPr>
                            <w:sz w:val="20"/>
                            <w:szCs w:val="20"/>
                          </w:rPr>
                          <w:t> </w:t>
                        </w:r>
                        <w:r>
                          <w:rPr>
                            <w:rFonts w:hint="eastAsia"/>
                            <w:sz w:val="20"/>
                            <w:szCs w:val="20"/>
                          </w:rPr>
                          <w:t>127</w:t>
                        </w:r>
                        <w:r>
                          <w:rPr>
                            <w:rFonts w:hint="eastAsia"/>
                            <w:sz w:val="20"/>
                            <w:szCs w:val="20"/>
                          </w:rPr>
                          <w:t>Ⅰ所列之情形</w:t>
                        </w:r>
                      </w:p>
                    </w:txbxContent>
                  </v:textbox>
                </v:shape>
                <v:shape id="Text Box 43" o:spid="_x0000_s1034" type="#_x0000_t202" style="position:absolute;left:26287;top:22860;width:6856;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TssQA&#10;AADaAAAADwAAAGRycy9kb3ducmV2LnhtbESPQWvCQBSE74L/YXlCb3VTkVbTrBKUllDwYBTPj+xL&#10;Nm32bchuNf333ULB4zAz3zDZdrSduNLgW8cKnuYJCOLK6ZYbBefT2+MKhA/IGjvHpOCHPGw300mG&#10;qXY3PtK1DI2IEPYpKjAh9KmUvjJk0c9dTxy92g0WQ5RDI/WAtwi3nVwkybO02HJcMNjTzlD1VX5b&#10;Be+XQ/8x1vleLi9FYj6Ldb5fHpR6mI35K4hAY7iH/9uFVvAC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k7LEAAAA2gAAAA8AAAAAAAAAAAAAAAAAmAIAAGRycy9k&#10;b3ducmV2LnhtbFBLBQYAAAAABAAEAPUAAACJAwAAAAA=&#10;">
                  <v:textbox style="layout-flow:vertical">
                    <w:txbxContent>
                      <w:p w:rsidR="00000000" w:rsidRDefault="00724932">
                        <w:pPr>
                          <w:jc w:val="both"/>
                          <w:rPr>
                            <w:rFonts w:hint="eastAsia"/>
                            <w:sz w:val="20"/>
                            <w:szCs w:val="20"/>
                          </w:rPr>
                        </w:pPr>
                        <w:r>
                          <w:rPr>
                            <w:rFonts w:hint="eastAsia"/>
                            <w:sz w:val="20"/>
                            <w:szCs w:val="20"/>
                          </w:rPr>
                          <w:t>其他「無法律上原因」</w:t>
                        </w:r>
                        <w:r>
                          <w:rPr>
                            <w:rFonts w:hint="eastAsia"/>
                            <w:sz w:val="20"/>
                            <w:szCs w:val="20"/>
                          </w:rPr>
                          <w:t>之情形</w:t>
                        </w:r>
                      </w:p>
                    </w:txbxContent>
                  </v:textbox>
                </v:shape>
                <v:shape id="Text Box 44" o:spid="_x0000_s1035" type="#_x0000_t202" style="position:absolute;left:14859;top:22860;width:5718;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HwL8A&#10;AADaAAAADwAAAGRycy9kb3ducmV2LnhtbERPy4rCMBTdD/gP4QruxlSRQatRiqKUARc+cH1prk21&#10;uSlN1Pr3ZjEwy8N5L1adrcWTWl85VjAaJiCIC6crLhWcT9vvKQgfkDXWjknBmzyslr2vBabavfhA&#10;z2MoRQxhn6ICE0KTSukLQxb90DXEkbu61mKIsC2lbvEVw20tx0nyIy1WHBsMNrQ2VNyPD6tgd9k3&#10;v90128jJJU/MLZ9lm8leqUG/y+YgAnXhX/znzrWCuDVei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jwfAvwAAANoAAAAPAAAAAAAAAAAAAAAAAJgCAABkcnMvZG93bnJl&#10;di54bWxQSwUGAAAAAAQABAD1AAAAhAMAAAAA&#10;">
                  <v:textbox style="layout-flow:vertical">
                    <w:txbxContent>
                      <w:p w:rsidR="00000000" w:rsidRDefault="00724932">
                        <w:pPr>
                          <w:jc w:val="both"/>
                          <w:rPr>
                            <w:rFonts w:hint="eastAsia"/>
                            <w:sz w:val="20"/>
                            <w:szCs w:val="20"/>
                          </w:rPr>
                        </w:pPr>
                        <w:r>
                          <w:rPr>
                            <w:rFonts w:hint="eastAsia"/>
                            <w:sz w:val="20"/>
                            <w:szCs w:val="20"/>
                          </w:rPr>
                          <w:t>無法律上之原因</w:t>
                        </w:r>
                      </w:p>
                    </w:txbxContent>
                  </v:textbox>
                </v:shape>
                <v:shape id="Text Box 45" o:spid="_x0000_s1036" type="#_x0000_t202" style="position:absolute;left:38861;top:40005;width:5710;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iW8IA&#10;AADaAAAADwAAAGRycy9kb3ducmV2LnhtbESPQYvCMBSE7wv+h/AEb2vqIrJWoxRlpQgeVsXzo3k2&#10;1ealNFHrvzfCwh6HmfmGmS87W4s7tb5yrGA0TEAQF05XXCo4Hn4+v0H4gKyxdkwKnuRhueh9zDHV&#10;7sG/dN+HUkQI+xQVmBCaVEpfGLLoh64hjt7ZtRZDlG0pdYuPCLe1/EqSibRYcVww2NDKUHHd36yC&#10;zWnXbLtztpbjU56YSz7N1uOdUoN+l81ABOrCf/ivnWsFU3hfiT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6JbwgAAANoAAAAPAAAAAAAAAAAAAAAAAJgCAABkcnMvZG93&#10;bnJldi54bWxQSwUGAAAAAAQABAD1AAAAhwMAAAAA&#10;">
                  <v:textbox style="layout-flow:vertical">
                    <w:txbxContent>
                      <w:p w:rsidR="00000000" w:rsidRDefault="00724932">
                        <w:pPr>
                          <w:jc w:val="both"/>
                        </w:pPr>
                        <w:r>
                          <w:rPr>
                            <w:rFonts w:hint="eastAsia"/>
                            <w:sz w:val="20"/>
                            <w:szCs w:val="20"/>
                          </w:rPr>
                          <w:t>行政程序法</w:t>
                        </w:r>
                        <w:r>
                          <w:rPr>
                            <w:rFonts w:hint="eastAsia"/>
                            <w:sz w:val="20"/>
                            <w:szCs w:val="20"/>
                          </w:rPr>
                          <w:t xml:space="preserve"> </w:t>
                        </w:r>
                        <w:r>
                          <w:rPr>
                            <w:rFonts w:hint="eastAsia"/>
                            <w:sz w:val="20"/>
                            <w:szCs w:val="20"/>
                          </w:rPr>
                          <w:t>§</w:t>
                        </w:r>
                        <w:r>
                          <w:rPr>
                            <w:sz w:val="20"/>
                            <w:szCs w:val="20"/>
                          </w:rPr>
                          <w:t> </w:t>
                        </w:r>
                        <w:r>
                          <w:rPr>
                            <w:rFonts w:hint="eastAsia"/>
                            <w:sz w:val="20"/>
                            <w:szCs w:val="20"/>
                          </w:rPr>
                          <w:t>127</w:t>
                        </w:r>
                        <w:r>
                          <w:rPr>
                            <w:rFonts w:hint="eastAsia"/>
                            <w:sz w:val="20"/>
                            <w:szCs w:val="20"/>
                          </w:rPr>
                          <w:t>Ⅰ</w:t>
                        </w:r>
                      </w:p>
                    </w:txbxContent>
                  </v:textbox>
                </v:shape>
                <v:shape id="Text Box 46" o:spid="_x0000_s1037" type="#_x0000_t202" style="position:absolute;left:19430;top:40005;width:685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sIsQA&#10;AADbAAAADwAAAGRycy9kb3ducmV2LnhtbESPQWvCQBCF7wX/wzJCb3WjSLGpqwTFEgoe1OJ5yI7Z&#10;1OxsyK6a/vvOodDbDO/Ne98s14Nv1Z362AQ2MJ1koIirYBuuDXyddi8LUDEhW2wDk4EfirBejZ6W&#10;mNvw4APdj6lWEsIxRwMupS7XOlaOPMZJ6IhFu4TeY5K1r7Xt8SHhvtWzLHvVHhuWBocdbRxV1+PN&#10;G/g477vP4VJs9fxcZu67fCu2870xz+OheAeVaEj/5r/r0g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UbCLEAAAA2wAAAA8AAAAAAAAAAAAAAAAAmAIAAGRycy9k&#10;b3ducmV2LnhtbFBLBQYAAAAABAAEAPUAAACJAwAAAAA=&#10;">
                  <v:textbox style="layout-flow:vertical">
                    <w:txbxContent>
                      <w:p w:rsidR="00000000" w:rsidRDefault="00724932">
                        <w:pPr>
                          <w:jc w:val="both"/>
                          <w:rPr>
                            <w:rFonts w:hint="eastAsia"/>
                            <w:sz w:val="20"/>
                            <w:szCs w:val="20"/>
                          </w:rPr>
                        </w:pPr>
                        <w:r>
                          <w:rPr>
                            <w:rFonts w:hint="eastAsia"/>
                            <w:sz w:val="20"/>
                            <w:szCs w:val="20"/>
                          </w:rPr>
                          <w:t>一般公法上不當得利返還請求權</w:t>
                        </w:r>
                      </w:p>
                    </w:txbxContent>
                  </v:textbox>
                </v:shape>
                <v:shape id="Text Box 47" o:spid="_x0000_s1038" type="#_x0000_t202" style="position:absolute;left:38861;top:54864;width:571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JucAA&#10;AADbAAAADwAAAGRycy9kb3ducmV2LnhtbERPTYvCMBC9L/gfwgje1tRFZK1GKcpKETysiuehGZtq&#10;MylN1PrvjbCwt3m8z5kvO1uLO7W+cqxgNExAEBdOV1wqOB5+Pr9B+ICssXZMCp7kYbnofcwx1e7B&#10;v3Tfh1LEEPYpKjAhNKmUvjBk0Q9dQxy5s2sthgjbUuoWHzHc1vIrSSbSYsWxwWBDK0PFdX+zCjan&#10;XbPtztlajk95Yi75NFuPd0oN+l02AxGoC//iP3eu4/wRvH+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jJucAAAADbAAAADwAAAAAAAAAAAAAAAACYAgAAZHJzL2Rvd25y&#10;ZXYueG1sUEsFBgAAAAAEAAQA9QAAAIUDAAAAAA==&#10;">
                  <v:textbox style="layout-flow:vertical">
                    <w:txbxContent>
                      <w:p w:rsidR="00000000" w:rsidRDefault="00724932">
                        <w:pPr>
                          <w:jc w:val="both"/>
                          <w:rPr>
                            <w:rFonts w:hint="eastAsia"/>
                            <w:sz w:val="20"/>
                            <w:szCs w:val="20"/>
                          </w:rPr>
                        </w:pPr>
                        <w:r>
                          <w:rPr>
                            <w:rFonts w:hint="eastAsia"/>
                            <w:sz w:val="20"/>
                            <w:szCs w:val="20"/>
                          </w:rPr>
                          <w:t>準用民法</w:t>
                        </w:r>
                        <w:r>
                          <w:rPr>
                            <w:rFonts w:hint="eastAsia"/>
                            <w:sz w:val="20"/>
                            <w:szCs w:val="20"/>
                          </w:rPr>
                          <w:t xml:space="preserve"> </w:t>
                        </w:r>
                        <w:r>
                          <w:rPr>
                            <w:rFonts w:hint="eastAsia"/>
                            <w:sz w:val="20"/>
                            <w:szCs w:val="20"/>
                          </w:rPr>
                          <w:t>§</w:t>
                        </w:r>
                        <w:r>
                          <w:rPr>
                            <w:sz w:val="20"/>
                            <w:szCs w:val="20"/>
                          </w:rPr>
                          <w:t> </w:t>
                        </w:r>
                        <w:r>
                          <w:rPr>
                            <w:rFonts w:hint="eastAsia"/>
                            <w:sz w:val="20"/>
                            <w:szCs w:val="20"/>
                          </w:rPr>
                          <w:t>181</w:t>
                        </w:r>
                      </w:p>
                    </w:txbxContent>
                  </v:textbox>
                </v:shape>
                <v:shape id="Text Box 48" o:spid="_x0000_s1039" type="#_x0000_t202" style="position:absolute;left:19430;top:54864;width:6857;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zsIA&#10;AADbAAAADwAAAGRycy9kb3ducmV2LnhtbERPTWvCQBC9C/0PyxR6001FxKauEiotoeDBWHIesmM2&#10;bXY2ZLdJ+u+7guBtHu9ztvvJtmKg3jeOFTwvEhDEldMN1wq+zu/zDQgfkDW2jknBH3nY7x5mW0y1&#10;G/lEQxFqEUPYp6jAhNClUvrKkEW/cB1x5C6utxgi7GupexxjuG3lMknW0mLDscFgR2+Gqp/i1yr4&#10;KI/d53TJDnJV5on5zl+yw+qo1NPjlL2CCDSFu/jmznWcv4TrL/E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lfOwgAAANsAAAAPAAAAAAAAAAAAAAAAAJgCAABkcnMvZG93&#10;bnJldi54bWxQSwUGAAAAAAQABAD1AAAAhwMAAAAA&#10;">
                  <v:textbox style="layout-flow:vertical">
                    <w:txbxContent>
                      <w:p w:rsidR="00000000" w:rsidRDefault="00724932">
                        <w:pPr>
                          <w:jc w:val="both"/>
                          <w:rPr>
                            <w:rFonts w:hint="eastAsia"/>
                            <w:sz w:val="20"/>
                            <w:szCs w:val="20"/>
                          </w:rPr>
                        </w:pPr>
                        <w:r>
                          <w:rPr>
                            <w:rFonts w:hint="eastAsia"/>
                            <w:sz w:val="20"/>
                            <w:szCs w:val="20"/>
                          </w:rPr>
                          <w:t>類推民法</w:t>
                        </w:r>
                        <w:r>
                          <w:rPr>
                            <w:rFonts w:hint="eastAsia"/>
                            <w:sz w:val="20"/>
                            <w:szCs w:val="20"/>
                          </w:rPr>
                          <w:t xml:space="preserve"> </w:t>
                        </w:r>
                        <w:r>
                          <w:rPr>
                            <w:rFonts w:hint="eastAsia"/>
                            <w:sz w:val="20"/>
                            <w:szCs w:val="20"/>
                          </w:rPr>
                          <w:t>§</w:t>
                        </w:r>
                        <w:r>
                          <w:rPr>
                            <w:sz w:val="20"/>
                            <w:szCs w:val="20"/>
                          </w:rPr>
                          <w:t> </w:t>
                        </w:r>
                        <w:r>
                          <w:rPr>
                            <w:rFonts w:hint="eastAsia"/>
                            <w:sz w:val="20"/>
                            <w:szCs w:val="20"/>
                          </w:rPr>
                          <w:t>181</w:t>
                        </w:r>
                      </w:p>
                    </w:txbxContent>
                  </v:textbox>
                </v:shape>
                <v:shape id="Text Box 49" o:spid="_x0000_s1040" type="#_x0000_t202" style="position:absolute;left:37722;top:70866;width:6856;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yVcIA&#10;AADbAAAADwAAAGRycy9kb3ducmV2LnhtbERPTWvCQBC9F/oflil4002riE2zSqi0BMGDsXgespNs&#10;2uxsyG41/feuIPQ2j/c52Wa0nTjT4FvHCp5nCQjiyumWGwVfx4/pCoQPyBo7x6Tgjzxs1o8PGaba&#10;XfhA5zI0IoawT1GBCaFPpfSVIYt+5nriyNVusBgiHBqpB7zEcNvJlyRZSostxwaDPb0bqn7KX6vg&#10;87Tvd2Odb+XiVCTmu3jNt4u9UpOnMX8DEWgM/+K7u9Bx/hxuv8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vJVwgAAANsAAAAPAAAAAAAAAAAAAAAAAJgCAABkcnMvZG93&#10;bnJldi54bWxQSwUGAAAAAAQABAD1AAAAhwMAAAAA&#10;">
                  <v:textbox style="layout-flow:vertical">
                    <w:txbxContent>
                      <w:p w:rsidR="00000000" w:rsidRDefault="00724932">
                        <w:pPr>
                          <w:jc w:val="both"/>
                          <w:rPr>
                            <w:rFonts w:hint="eastAsia"/>
                            <w:sz w:val="20"/>
                            <w:szCs w:val="20"/>
                          </w:rPr>
                        </w:pPr>
                        <w:r>
                          <w:rPr>
                            <w:rFonts w:hint="eastAsia"/>
                            <w:sz w:val="20"/>
                            <w:szCs w:val="20"/>
                          </w:rPr>
                          <w:t>準用民法</w:t>
                        </w:r>
                        <w:r>
                          <w:rPr>
                            <w:rFonts w:hint="eastAsia"/>
                            <w:sz w:val="20"/>
                            <w:szCs w:val="20"/>
                          </w:rPr>
                          <w:t xml:space="preserve"> </w:t>
                        </w:r>
                        <w:r>
                          <w:rPr>
                            <w:rFonts w:hint="eastAsia"/>
                            <w:sz w:val="20"/>
                            <w:szCs w:val="20"/>
                          </w:rPr>
                          <w:t>§</w:t>
                        </w:r>
                        <w:r>
                          <w:rPr>
                            <w:sz w:val="20"/>
                            <w:szCs w:val="20"/>
                          </w:rPr>
                          <w:t> </w:t>
                        </w:r>
                        <w:r>
                          <w:rPr>
                            <w:rFonts w:hint="eastAsia"/>
                            <w:sz w:val="20"/>
                            <w:szCs w:val="20"/>
                          </w:rPr>
                          <w:t>181</w:t>
                        </w:r>
                        <w:r>
                          <w:rPr>
                            <w:rFonts w:hint="eastAsia"/>
                            <w:sz w:val="20"/>
                            <w:szCs w:val="20"/>
                          </w:rPr>
                          <w:t>及衡平法理</w:t>
                        </w:r>
                      </w:p>
                    </w:txbxContent>
                  </v:textbox>
                </v:shape>
                <v:shape id="Text Box 50" o:spid="_x0000_s1041" type="#_x0000_t202" style="position:absolute;left:19430;top:70866;width:685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qIcIA&#10;AADbAAAADwAAAGRycy9kb3ducmV2LnhtbERPTWvCQBC9F/wPywi91Y0llDZmlaBUguChVjwP2Uk2&#10;mp0N2VXTf+8WCr3N431OvhptJ240+NaxgvksAUFcOd1yo+D4/fnyDsIHZI2dY1LwQx5Wy8lTjpl2&#10;d/6i2yE0Ioawz1CBCaHPpPSVIYt+5nriyNVusBgiHBqpB7zHcNvJ1yR5kxZbjg0Ge1obqi6Hq1Ww&#10;Pe373VgXG5meysScy49ik+6Vep6OxQJEoDH8i//cpY7zU/j9JR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2ohwgAAANsAAAAPAAAAAAAAAAAAAAAAAJgCAABkcnMvZG93&#10;bnJldi54bWxQSwUGAAAAAAQABAD1AAAAhwMAAAAA&#10;">
                  <v:textbox style="layout-flow:vertical">
                    <w:txbxContent>
                      <w:p w:rsidR="00000000" w:rsidRDefault="00724932">
                        <w:pPr>
                          <w:jc w:val="both"/>
                          <w:rPr>
                            <w:rFonts w:hint="eastAsia"/>
                            <w:sz w:val="20"/>
                            <w:szCs w:val="20"/>
                          </w:rPr>
                        </w:pPr>
                        <w:r>
                          <w:rPr>
                            <w:rFonts w:hint="eastAsia"/>
                            <w:sz w:val="20"/>
                            <w:szCs w:val="20"/>
                          </w:rPr>
                          <w:t>信賴保護原則及衡平法理</w:t>
                        </w:r>
                      </w:p>
                    </w:txbxContent>
                  </v:textbox>
                </v:shape>
                <v:line id="Line 51" o:spid="_x0000_s1042" style="position:absolute;flip:x;visibility:visible;mso-wrap-style:square" from="17145,18288" to="2171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52" o:spid="_x0000_s1043" style="position:absolute;flip:x;visibility:visible;mso-wrap-style:square" from="30858,18288" to="3542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53" o:spid="_x0000_s1044" style="position:absolute;visibility:visible;mso-wrap-style:square" from="35429,18288" to="4000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4" o:spid="_x0000_s1045" style="position:absolute;visibility:visible;mso-wrap-style:square" from="17145,37719" to="30858,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5" o:spid="_x0000_s1046" style="position:absolute;visibility:visible;mso-wrap-style:square" from="30858,35433" to="30858,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56" o:spid="_x0000_s1047" style="position:absolute;visibility:visible;mso-wrap-style:square" from="17145,35433" to="1714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57" o:spid="_x0000_s1048" style="position:absolute;visibility:visible;mso-wrap-style:square" from="22862,37719" to="22862,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58" o:spid="_x0000_s1049" style="position:absolute;visibility:visible;mso-wrap-style:square" from="41146,35433" to="41146,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59" o:spid="_x0000_s1050" style="position:absolute;visibility:visible;mso-wrap-style:square" from="41146,52578" to="41146,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60" o:spid="_x0000_s1051" style="position:absolute;visibility:visible;mso-wrap-style:square" from="22862,52578" to="22862,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61" o:spid="_x0000_s1052" style="position:absolute;visibility:visible;mso-wrap-style:square" from="22862,68580" to="22862,70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62" o:spid="_x0000_s1053" style="position:absolute;visibility:visible;mso-wrap-style:square" from="41146,66294" to="41146,70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63" o:spid="_x0000_s1054" type="#_x0000_t202" style="position:absolute;left:2285;top:3429;width:5718;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ZOMUA&#10;AADbAAAADwAAAGRycy9kb3ducmV2LnhtbESPQWvCQBSE74X+h+UVvEjdJFIt0VWkInhp0dji9ZF9&#10;JqG7b0N2jem/7xaEHoeZ+YZZrgdrRE+dbxwrSCcJCOLS6YYrBZ+n3fMrCB+QNRrHpOCHPKxXjw9L&#10;zLW78ZH6IlQiQtjnqKAOoc2l9GVNFv3EtcTRu7jOYoiyq6Tu8Bbh1sgsSWbSYsNxocaW3moqv4ur&#10;VXD+uu7GWXrYbPtpWny8nMz7hY1So6dhswARaAj/4Xt7rxVk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Vk4xQAAANsAAAAPAAAAAAAAAAAAAAAAAJgCAABkcnMv&#10;ZG93bnJldi54bWxQSwUGAAAAAAQABAD1AAAAigMAAAAA&#10;" stroked="f">
                  <v:textbox style="layout-flow:vertical">
                    <w:txbxContent>
                      <w:p w:rsidR="00000000" w:rsidRDefault="00724932">
                        <w:pPr>
                          <w:jc w:val="both"/>
                          <w:rPr>
                            <w:rFonts w:hint="eastAsia"/>
                          </w:rPr>
                        </w:pPr>
                        <w:r>
                          <w:rPr>
                            <w:rFonts w:hint="eastAsia"/>
                          </w:rPr>
                          <w:t>給　付</w:t>
                        </w:r>
                        <w:r>
                          <w:rPr>
                            <w:rFonts w:hint="eastAsia"/>
                          </w:rPr>
                          <w:t xml:space="preserve">  </w:t>
                        </w:r>
                        <w:r>
                          <w:rPr>
                            <w:rFonts w:hint="eastAsia"/>
                          </w:rPr>
                          <w:t>類</w:t>
                        </w:r>
                        <w:r>
                          <w:rPr>
                            <w:rFonts w:hint="eastAsia"/>
                          </w:rPr>
                          <w:t xml:space="preserve">  </w:t>
                        </w:r>
                        <w:r>
                          <w:rPr>
                            <w:rFonts w:hint="eastAsia"/>
                          </w:rPr>
                          <w:t>型</w:t>
                        </w:r>
                      </w:p>
                    </w:txbxContent>
                  </v:textbox>
                </v:shape>
                <v:shape id="Text Box 64" o:spid="_x0000_s1055" type="#_x0000_t202" style="position:absolute;left:3431;top:22860;width:4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SsIA&#10;AADbAAAADwAAAGRycy9kb3ducmV2LnhtbERPy2rCQBTdF/yH4Ra6KTpJxCJpRhGL0I3FRqXbS+bm&#10;QWfuhMwY07/vLApdHs672E7WiJEG3zlWkC4SEMSV0x03Ci7nw3wNwgdkjcYxKfghD9vN7KHAXLs7&#10;f9JYhkbEEPY5KmhD6HMpfdWSRb9wPXHkajdYDBEOjdQD3mO4NTJLkhdpsePY0GJP+5aq7/JmFXxd&#10;b4fnLD3t3sZlWn6szuZYs1Hq6XHavYIINIV/8Z/7XSvI4tj4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s1KwgAAANsAAAAPAAAAAAAAAAAAAAAAAJgCAABkcnMvZG93&#10;bnJldi54bWxQSwUGAAAAAAQABAD1AAAAhwMAAAAA&#10;" stroked="f">
                  <v:textbox style="layout-flow:vertical">
                    <w:txbxContent>
                      <w:p w:rsidR="00000000" w:rsidRDefault="00724932">
                        <w:pPr>
                          <w:jc w:val="both"/>
                          <w:rPr>
                            <w:rFonts w:hint="eastAsia"/>
                          </w:rPr>
                        </w:pPr>
                        <w:r>
                          <w:rPr>
                            <w:rFonts w:hint="eastAsia"/>
                          </w:rPr>
                          <w:t>構</w:t>
                        </w:r>
                        <w:r>
                          <w:rPr>
                            <w:rFonts w:hint="eastAsia"/>
                          </w:rPr>
                          <w:t xml:space="preserve"> </w:t>
                        </w:r>
                        <w:r>
                          <w:rPr>
                            <w:rFonts w:hint="eastAsia"/>
                          </w:rPr>
                          <w:t>成</w:t>
                        </w:r>
                        <w:r>
                          <w:rPr>
                            <w:rFonts w:hint="eastAsia"/>
                          </w:rPr>
                          <w:t xml:space="preserve"> </w:t>
                        </w:r>
                        <w:r>
                          <w:rPr>
                            <w:rFonts w:hint="eastAsia"/>
                          </w:rPr>
                          <w:t>要</w:t>
                        </w:r>
                        <w:r>
                          <w:rPr>
                            <w:rFonts w:hint="eastAsia"/>
                          </w:rPr>
                          <w:t xml:space="preserve"> </w:t>
                        </w:r>
                        <w:r>
                          <w:rPr>
                            <w:rFonts w:hint="eastAsia"/>
                          </w:rPr>
                          <w:t>件</w:t>
                        </w:r>
                      </w:p>
                    </w:txbxContent>
                  </v:textbox>
                </v:shape>
                <v:shape id="Text Box 65" o:spid="_x0000_s1056" type="#_x0000_t202" style="position:absolute;left:3431;top:40005;width:4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o0cUA&#10;AADbAAAADwAAAGRycy9kb3ducmV2LnhtbESPQWvCQBSE74X+h+UVvEjdJFKx0VWkInhp0dji9ZF9&#10;JqG7b0N2jem/7xaEHoeZ+YZZrgdrRE+dbxwrSCcJCOLS6YYrBZ+n3fMchA/IGo1jUvBDHtarx4cl&#10;5trd+Eh9ESoRIexzVFCH0OZS+rImi37iWuLoXVxnMUTZVVJ3eItwa2SWJDNpseG4UGNLbzWV38XV&#10;Kjh/XXfjLD1stv00LT5eTub9wkap0dOwWYAINIT/8L291wqy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mjRxQAAANsAAAAPAAAAAAAAAAAAAAAAAJgCAABkcnMv&#10;ZG93bnJldi54bWxQSwUGAAAAAAQABAD1AAAAigMAAAAA&#10;" stroked="f">
                  <v:textbox style="layout-flow:vertical">
                    <w:txbxContent>
                      <w:p w:rsidR="00000000" w:rsidRDefault="00724932">
                        <w:pPr>
                          <w:jc w:val="both"/>
                          <w:rPr>
                            <w:rFonts w:hint="eastAsia"/>
                          </w:rPr>
                        </w:pPr>
                        <w:r>
                          <w:rPr>
                            <w:rFonts w:hint="eastAsia"/>
                          </w:rPr>
                          <w:t>法</w:t>
                        </w:r>
                        <w:r>
                          <w:rPr>
                            <w:rFonts w:hint="eastAsia"/>
                          </w:rPr>
                          <w:t xml:space="preserve"> </w:t>
                        </w:r>
                        <w:r>
                          <w:rPr>
                            <w:rFonts w:hint="eastAsia"/>
                          </w:rPr>
                          <w:t>律</w:t>
                        </w:r>
                        <w:r>
                          <w:rPr>
                            <w:rFonts w:hint="eastAsia"/>
                          </w:rPr>
                          <w:t xml:space="preserve"> </w:t>
                        </w:r>
                        <w:r>
                          <w:rPr>
                            <w:rFonts w:hint="eastAsia"/>
                          </w:rPr>
                          <w:t>基</w:t>
                        </w:r>
                        <w:r>
                          <w:rPr>
                            <w:rFonts w:hint="eastAsia"/>
                          </w:rPr>
                          <w:t xml:space="preserve"> </w:t>
                        </w:r>
                        <w:r>
                          <w:rPr>
                            <w:rFonts w:hint="eastAsia"/>
                          </w:rPr>
                          <w:t>礎</w:t>
                        </w:r>
                      </w:p>
                    </w:txbxContent>
                  </v:textbox>
                </v:shape>
                <v:shape id="Text Box 66" o:spid="_x0000_s1057" type="#_x0000_t202" style="position:absolute;left:3431;top:54864;width:457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kcEA&#10;AADbAAAADwAAAGRycy9kb3ducmV2LnhtbERPz2vCMBS+D/wfwhN2GZpWcUg1imwIuyhaJ14fzbMt&#10;Ji+libX+9+Yw2PHj+71c99aIjlpfO1aQjhMQxIXTNZcKfk/b0RyED8gajWNS8CQP69XgbYmZdg8+&#10;UpeHUsQQ9hkqqEJoMil9UZFFP3YNceSurrUYImxLqVt8xHBr5CRJPqXFmmNDhQ19VVTc8rtVcDnf&#10;tx+T9LD57qZpvp+dzO7KRqn3Yb9ZgAjUh3/xn/tHK5jG9fF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tV5HBAAAA2wAAAA8AAAAAAAAAAAAAAAAAmAIAAGRycy9kb3du&#10;cmV2LnhtbFBLBQYAAAAABAAEAPUAAACGAwAAAAA=&#10;" stroked="f">
                  <v:textbox style="layout-flow:vertical">
                    <w:txbxContent>
                      <w:p w:rsidR="00000000" w:rsidRDefault="00724932">
                        <w:pPr>
                          <w:jc w:val="both"/>
                          <w:rPr>
                            <w:rFonts w:hint="eastAsia"/>
                          </w:rPr>
                        </w:pPr>
                        <w:r>
                          <w:rPr>
                            <w:rFonts w:hint="eastAsia"/>
                          </w:rPr>
                          <w:t>返</w:t>
                        </w:r>
                        <w:r>
                          <w:rPr>
                            <w:rFonts w:hint="eastAsia"/>
                          </w:rPr>
                          <w:t xml:space="preserve"> </w:t>
                        </w:r>
                        <w:r>
                          <w:rPr>
                            <w:rFonts w:hint="eastAsia"/>
                          </w:rPr>
                          <w:t>還</w:t>
                        </w:r>
                        <w:r>
                          <w:rPr>
                            <w:rFonts w:hint="eastAsia"/>
                          </w:rPr>
                          <w:t xml:space="preserve"> </w:t>
                        </w:r>
                        <w:r>
                          <w:rPr>
                            <w:rFonts w:hint="eastAsia"/>
                          </w:rPr>
                          <w:t>標</w:t>
                        </w:r>
                        <w:r>
                          <w:rPr>
                            <w:rFonts w:hint="eastAsia"/>
                          </w:rPr>
                          <w:t xml:space="preserve"> </w:t>
                        </w:r>
                        <w:r>
                          <w:rPr>
                            <w:rFonts w:hint="eastAsia"/>
                          </w:rPr>
                          <w:t>的</w:t>
                        </w:r>
                      </w:p>
                    </w:txbxContent>
                  </v:textbox>
                </v:shape>
                <v:shape id="Text Box 67" o:spid="_x0000_s1058" type="#_x0000_t202" style="position:absolute;left:3431;top:70866;width:457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yCsQA&#10;AADbAAAADwAAAGRycy9kb3ducmV2LnhtbESPQWvCQBSE7wX/w/KEXopuorRIdBWxCF4qbVS8PrLP&#10;JLj7NmTXGP99Vyj0OMzMN8xi1VsjOmp97VhBOk5AEBdO11wqOB62oxkIH5A1Gsek4EEeVsvBywIz&#10;7e78Q10eShEh7DNUUIXQZFL6oiKLfuwa4uhdXGsxRNmWUrd4j3Br5CRJPqTFmuNChQ1tKiqu+c0q&#10;OJ9u27dJ+r3+7KZpvn8/mK8LG6Veh/16DiJQH/7Df+2dVjBN4f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8grEAAAA2wAAAA8AAAAAAAAAAAAAAAAAmAIAAGRycy9k&#10;b3ducmV2LnhtbFBLBQYAAAAABAAEAPUAAACJAwAAAAA=&#10;" stroked="f">
                  <v:textbox style="layout-flow:vertical">
                    <w:txbxContent>
                      <w:p w:rsidR="00000000" w:rsidRDefault="00724932">
                        <w:pPr>
                          <w:jc w:val="both"/>
                          <w:rPr>
                            <w:rFonts w:hint="eastAsia"/>
                          </w:rPr>
                        </w:pPr>
                        <w:r>
                          <w:rPr>
                            <w:rFonts w:hint="eastAsia"/>
                          </w:rPr>
                          <w:t>返</w:t>
                        </w:r>
                        <w:r>
                          <w:rPr>
                            <w:rFonts w:hint="eastAsia"/>
                          </w:rPr>
                          <w:t xml:space="preserve"> </w:t>
                        </w:r>
                        <w:r>
                          <w:rPr>
                            <w:rFonts w:hint="eastAsia"/>
                          </w:rPr>
                          <w:t>還</w:t>
                        </w:r>
                        <w:r>
                          <w:rPr>
                            <w:rFonts w:hint="eastAsia"/>
                          </w:rPr>
                          <w:t xml:space="preserve"> </w:t>
                        </w:r>
                        <w:r>
                          <w:rPr>
                            <w:rFonts w:hint="eastAsia"/>
                          </w:rPr>
                          <w:t>範</w:t>
                        </w:r>
                        <w:r>
                          <w:rPr>
                            <w:rFonts w:hint="eastAsia"/>
                          </w:rPr>
                          <w:t xml:space="preserve"> </w:t>
                        </w:r>
                        <w:r>
                          <w:rPr>
                            <w:rFonts w:hint="eastAsia"/>
                          </w:rPr>
                          <w:t>圍</w:t>
                        </w:r>
                      </w:p>
                    </w:txbxContent>
                  </v:textbox>
                </v:shape>
                <w10:anchorlock/>
              </v:group>
            </w:pict>
          </mc:Fallback>
        </mc:AlternateContent>
      </w:r>
    </w:p>
    <w:p w:rsidR="00000000" w:rsidRDefault="00724932">
      <w:pPr>
        <w:widowControl/>
        <w:spacing w:afterLines="50" w:after="180" w:line="288" w:lineRule="auto"/>
        <w:ind w:left="1441" w:hangingChars="400" w:hanging="1441"/>
        <w:jc w:val="both"/>
        <w:rPr>
          <w:rFonts w:hint="eastAsia"/>
          <w:b/>
          <w:sz w:val="36"/>
          <w:szCs w:val="36"/>
        </w:rPr>
      </w:pPr>
      <w:r>
        <w:rPr>
          <w:rFonts w:hint="eastAsia"/>
          <w:b/>
          <w:sz w:val="36"/>
          <w:szCs w:val="36"/>
        </w:rPr>
        <w:lastRenderedPageBreak/>
        <w:t>第三節　公法上不當得利返還請求權之內容</w:t>
      </w:r>
      <w:r>
        <w:rPr>
          <w:rFonts w:hint="eastAsia"/>
          <w:b/>
          <w:sz w:val="36"/>
          <w:szCs w:val="36"/>
        </w:rPr>
        <w:t xml:space="preserve"> </w:t>
      </w:r>
      <w:r>
        <w:rPr>
          <w:b/>
          <w:sz w:val="36"/>
          <w:szCs w:val="36"/>
        </w:rPr>
        <w:t>—</w:t>
      </w:r>
      <w:r>
        <w:rPr>
          <w:rFonts w:hint="eastAsia"/>
          <w:b/>
          <w:sz w:val="36"/>
          <w:szCs w:val="36"/>
        </w:rPr>
        <w:t xml:space="preserve"> </w:t>
      </w:r>
      <w:r>
        <w:rPr>
          <w:rFonts w:hint="eastAsia"/>
          <w:b/>
          <w:sz w:val="36"/>
          <w:szCs w:val="36"/>
        </w:rPr>
        <w:t>法律效果</w:t>
      </w:r>
    </w:p>
    <w:p w:rsidR="00000000" w:rsidRDefault="00724932">
      <w:pPr>
        <w:widowControl/>
        <w:spacing w:line="288" w:lineRule="auto"/>
        <w:ind w:firstLineChars="200" w:firstLine="480"/>
        <w:jc w:val="both"/>
        <w:rPr>
          <w:rFonts w:hint="eastAsia"/>
        </w:rPr>
      </w:pPr>
      <w:r>
        <w:rPr>
          <w:rFonts w:hint="eastAsia"/>
        </w:rPr>
        <w:t>公務人員受領公法上金錢給付，並依前開說明，分別成立行政程序法第一百二十七條規定之「特殊公法上不當得利返還請求權」與不成文之「一般公法上不當得利返還請求權」後，究竟有何法律效果，原是公法上不當得利制度中的核心問題。關於此一涉及請求權內容的問題，本研究擬參考德國法學界通常處理的方式</w:t>
      </w:r>
      <w:r>
        <w:rPr>
          <w:rStyle w:val="a9"/>
        </w:rPr>
        <w:footnoteReference w:id="168"/>
      </w:r>
      <w:r>
        <w:rPr>
          <w:rFonts w:hint="eastAsia"/>
        </w:rPr>
        <w:t>，分別就返還之「標的」（本節壹）與「範圍」（本節貳），</w:t>
      </w:r>
      <w:r>
        <w:rPr>
          <w:rFonts w:hint="eastAsia"/>
        </w:rPr>
        <w:t>分別說明如下。其中，有關行政程序法第一百二十七條規定之「特殊公法上不當得利返還請求權」與不成文之「一般公法上不當得利返還請求權」，在此法律效果的問題上，究竟有無差別，並且將是研究的重點。</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壹　返還標的</w:t>
      </w:r>
    </w:p>
    <w:p w:rsidR="00000000" w:rsidRDefault="00724932">
      <w:pPr>
        <w:widowControl/>
        <w:spacing w:afterLines="50" w:after="180" w:line="288" w:lineRule="auto"/>
        <w:ind w:firstLineChars="200" w:firstLine="480"/>
        <w:jc w:val="both"/>
        <w:rPr>
          <w:rFonts w:hint="eastAsia"/>
        </w:rPr>
      </w:pPr>
      <w:r>
        <w:rPr>
          <w:rFonts w:hint="eastAsia"/>
        </w:rPr>
        <w:t>依據行政程序法第一百二十七條第二項之規定，有關已依同條第一項成立的特殊公法上不當得利返還請求權，其返還範圍，應準用民法有關不當得利之規定。雖然此一條項並未同時指出應準用之民法條文具體為何，不過法條上既明言：「返還範圍</w:t>
      </w:r>
      <w:r>
        <w:rPr>
          <w:rFonts w:ascii="新細明體" w:hAnsi="新細明體"/>
        </w:rPr>
        <w:t>…</w:t>
      </w:r>
      <w:r>
        <w:rPr>
          <w:rFonts w:hint="eastAsia"/>
        </w:rPr>
        <w:t>」，顯然僅指民法第一百八十一條以下的情形</w:t>
      </w:r>
      <w:r>
        <w:rPr>
          <w:rStyle w:val="a9"/>
        </w:rPr>
        <w:footnoteReference w:id="169"/>
      </w:r>
      <w:r>
        <w:rPr>
          <w:rFonts w:hint="eastAsia"/>
        </w:rPr>
        <w:t>。換言之，此一條文之準用，係所謂的「效果準用（</w:t>
      </w:r>
      <w:r>
        <w:rPr>
          <w:rFonts w:hint="eastAsia"/>
        </w:rPr>
        <w:t>Rechtsfolgenverweisung</w:t>
      </w:r>
      <w:r>
        <w:rPr>
          <w:rFonts w:hint="eastAsia"/>
        </w:rPr>
        <w:t>）」；至於民法第一百七十九條及第一百八十條，因屬民法上不當得利返還請求權的構成要件規定，所以不在準用之列。我國行政程序法第一百二十七條，原為德國聯邦行政程序法第</w:t>
      </w:r>
      <w:r>
        <w:rPr>
          <w:rFonts w:hint="eastAsia"/>
        </w:rPr>
        <w:lastRenderedPageBreak/>
        <w:t>四十九條之一前身的迻譯</w:t>
      </w:r>
      <w:r>
        <w:rPr>
          <w:rStyle w:val="a9"/>
        </w:rPr>
        <w:footnoteReference w:id="170"/>
      </w:r>
      <w:r>
        <w:rPr>
          <w:rFonts w:hint="eastAsia"/>
        </w:rPr>
        <w:t>；前開所謂的「效果準用說」等</w:t>
      </w:r>
      <w:r>
        <w:rPr>
          <w:rFonts w:ascii="新細明體" w:hAnsi="新細明體"/>
        </w:rPr>
        <w:t>…</w:t>
      </w:r>
      <w:r>
        <w:rPr>
          <w:rFonts w:ascii="新細明體" w:hAnsi="新細明體" w:hint="eastAsia"/>
        </w:rPr>
        <w:t>云云</w:t>
      </w:r>
      <w:r>
        <w:rPr>
          <w:rFonts w:hint="eastAsia"/>
        </w:rPr>
        <w:t>，亦本是德國向來的通說</w:t>
      </w:r>
      <w:r>
        <w:rPr>
          <w:rStyle w:val="a9"/>
        </w:rPr>
        <w:footnoteReference w:id="171"/>
      </w:r>
      <w:r>
        <w:rPr>
          <w:rFonts w:hint="eastAsia"/>
        </w:rPr>
        <w:t>。這個比較法上的觀察，正足以做為佐證。</w:t>
      </w:r>
    </w:p>
    <w:p w:rsidR="00000000" w:rsidRDefault="00724932">
      <w:pPr>
        <w:widowControl/>
        <w:spacing w:afterLines="50" w:after="180" w:line="288" w:lineRule="auto"/>
        <w:ind w:firstLineChars="200" w:firstLine="480"/>
        <w:jc w:val="both"/>
        <w:rPr>
          <w:rFonts w:hint="eastAsia"/>
        </w:rPr>
      </w:pPr>
      <w:r>
        <w:rPr>
          <w:rFonts w:hint="eastAsia"/>
        </w:rPr>
        <w:t>然而，行政程序法第一百二十七條第二項，既如上開見解，將有關已依同條第一項成立之特殊公法上不當得利返還請求權的法律效果問題，準用民法第一百八十一條以下規定辦理，從而此一特殊公法上不當得利返</w:t>
      </w:r>
      <w:r>
        <w:rPr>
          <w:rFonts w:hint="eastAsia"/>
        </w:rPr>
        <w:t>還請求權的返還標的，自依準用結果，適用民法第一百八十一條，包含「所受之利益」及「更有所取得」（本文規定），或取代此二種利益的「價額」（但書規定）等</w:t>
      </w:r>
      <w:r>
        <w:rPr>
          <w:rStyle w:val="a9"/>
        </w:rPr>
        <w:footnoteReference w:id="172"/>
      </w:r>
      <w:r>
        <w:rPr>
          <w:rFonts w:hint="eastAsia"/>
        </w:rPr>
        <w:t>。至於這個民法條文內容之詳細，如何解釋，德國與我國相關通說，可資參照</w:t>
      </w:r>
      <w:r>
        <w:rPr>
          <w:rStyle w:val="a9"/>
        </w:rPr>
        <w:footnoteReference w:id="173"/>
      </w:r>
      <w:r>
        <w:rPr>
          <w:rFonts w:hint="eastAsia"/>
        </w:rPr>
        <w:t>。</w:t>
      </w:r>
    </w:p>
    <w:p w:rsidR="00000000" w:rsidRDefault="00724932">
      <w:pPr>
        <w:widowControl/>
        <w:spacing w:line="288" w:lineRule="auto"/>
        <w:ind w:firstLineChars="200" w:firstLine="480"/>
        <w:jc w:val="both"/>
        <w:rPr>
          <w:rFonts w:hint="eastAsia"/>
        </w:rPr>
      </w:pPr>
      <w:r>
        <w:rPr>
          <w:rFonts w:hint="eastAsia"/>
        </w:rPr>
        <w:t>公務人員受領公法上金錢給付所成立的行政程序法第一百二十七條規定類型之特殊公法上不當得利返還請求權，其返還標的，既如前述，固無疑義；但是相反地，在公務人員受領公法上金錢給付所成立的一般公法上不當得利返還請求權方面，其返還標的如何確定，則有待說明。關於這個問題，由於民法第一百八十一條之規定，基</w:t>
      </w:r>
      <w:r>
        <w:rPr>
          <w:rFonts w:hint="eastAsia"/>
        </w:rPr>
        <w:t>本上相當中性而完備，並無與公法上不當得利制度的精神或內涵牴觸之處，因此同一條文也應類推適用到一般公法上不當得利返還請求權的情形。此一同屬德國通說</w:t>
      </w:r>
      <w:r>
        <w:rPr>
          <w:rStyle w:val="a9"/>
        </w:rPr>
        <w:footnoteReference w:id="174"/>
      </w:r>
      <w:r>
        <w:rPr>
          <w:rFonts w:hint="eastAsia"/>
        </w:rPr>
        <w:t>的見解，似毋庸置疑</w:t>
      </w:r>
      <w:r>
        <w:rPr>
          <w:rStyle w:val="a9"/>
        </w:rPr>
        <w:footnoteReference w:id="175"/>
      </w:r>
      <w:r>
        <w:rPr>
          <w:rFonts w:hint="eastAsia"/>
        </w:rPr>
        <w:t>。</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貳　返還範圍</w:t>
      </w: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一　信賴保護</w:t>
      </w:r>
      <w:r>
        <w:rPr>
          <w:rFonts w:hint="eastAsia"/>
          <w:b/>
          <w:sz w:val="28"/>
          <w:szCs w:val="28"/>
        </w:rPr>
        <w:t xml:space="preserve"> vs. </w:t>
      </w:r>
      <w:r>
        <w:rPr>
          <w:rFonts w:hint="eastAsia"/>
          <w:b/>
          <w:sz w:val="28"/>
          <w:szCs w:val="28"/>
        </w:rPr>
        <w:t>民法第一百八十二條</w:t>
      </w:r>
    </w:p>
    <w:p w:rsidR="00000000" w:rsidRDefault="00724932">
      <w:pPr>
        <w:widowControl/>
        <w:spacing w:afterLines="50" w:after="180" w:line="288" w:lineRule="auto"/>
        <w:ind w:firstLineChars="200" w:firstLine="480"/>
        <w:jc w:val="both"/>
      </w:pPr>
      <w:r>
        <w:rPr>
          <w:rFonts w:hint="eastAsia"/>
        </w:rPr>
        <w:t>依據行政程序法第一百二十七條第二項之規定，本條類型之公法上不當得利返還請求權，其返還範圍準用民法有關不當得利之規定。在此，條文明確地應指</w:t>
      </w:r>
      <w:r>
        <w:rPr>
          <w:rFonts w:hint="eastAsia"/>
        </w:rPr>
        <w:lastRenderedPageBreak/>
        <w:t>民法第一百八十二條之規定</w:t>
      </w:r>
      <w:r>
        <w:rPr>
          <w:rStyle w:val="a9"/>
        </w:rPr>
        <w:footnoteReference w:id="176"/>
      </w:r>
      <w:r>
        <w:rPr>
          <w:rFonts w:hint="eastAsia"/>
        </w:rPr>
        <w:t>；不過在實務中，正是本條規定的準用，而成為長久以來的爭議</w:t>
      </w:r>
      <w:r>
        <w:rPr>
          <w:rStyle w:val="a9"/>
        </w:rPr>
        <w:footnoteReference w:id="177"/>
      </w:r>
      <w:r>
        <w:rPr>
          <w:rFonts w:hint="eastAsia"/>
        </w:rPr>
        <w:t>。但是，這個爭議並不僅存於我國；事實上也就在我國行政程序法第一</w:t>
      </w:r>
      <w:r>
        <w:rPr>
          <w:rFonts w:hint="eastAsia"/>
        </w:rPr>
        <w:t>百二十七條所繼受的德國法制中，若干類似的爭議點，迄今未能完全釐清。蓋依據與我國行政程序法第一百二十七條相當的德國聯邦行政程序法第四十九條之一第二項第一句</w:t>
      </w:r>
      <w:r>
        <w:rPr>
          <w:rStyle w:val="a9"/>
        </w:rPr>
        <w:footnoteReference w:id="178"/>
      </w:r>
      <w:r>
        <w:rPr>
          <w:rFonts w:hint="eastAsia"/>
        </w:rPr>
        <w:t>，該條類型之公法上返還請求權，其返還範圍，同樣準用與我國民法第一百八十二條規定約略相當的德國民法第八百十八條第三項、第四項及第八百十九條</w:t>
      </w:r>
      <w:r>
        <w:rPr>
          <w:rStyle w:val="a9"/>
        </w:rPr>
        <w:footnoteReference w:id="179"/>
      </w:r>
      <w:r>
        <w:rPr>
          <w:rFonts w:hint="eastAsia"/>
        </w:rPr>
        <w:t>；然而這些民法條文，在法理上究竟應否準用，或至如何程度地準用，學者的觀點，仍無一致</w:t>
      </w:r>
      <w:r>
        <w:rPr>
          <w:rStyle w:val="a9"/>
        </w:rPr>
        <w:footnoteReference w:id="180"/>
      </w:r>
      <w:r>
        <w:rPr>
          <w:rFonts w:hint="eastAsia"/>
        </w:rPr>
        <w:t>。更何況，依據德國長久以來儼然定型的通說</w:t>
      </w:r>
      <w:r>
        <w:rPr>
          <w:rStyle w:val="a9"/>
        </w:rPr>
        <w:footnoteReference w:id="181"/>
      </w:r>
      <w:r>
        <w:rPr>
          <w:rFonts w:hint="eastAsia"/>
        </w:rPr>
        <w:t>，作為一般法備位適用的不成文之一般公法上返還請求權，原為一種與民法不當得利平行發展的獨立制度，</w:t>
      </w:r>
      <w:r>
        <w:rPr>
          <w:rFonts w:hint="eastAsia"/>
        </w:rPr>
        <w:t>故於請求權返還範圍界定的問題，不應類推民法相關規定，而是適用公法上獨特的信賴保護原則，已無爭議；如今作為特殊公法上返還請求權的行政程序法第四十九條之一，卻又將返還範圍指向民法條文之適用，體系上的不一致性，已足以啟人疑竇</w:t>
      </w:r>
      <w:r>
        <w:rPr>
          <w:rStyle w:val="a9"/>
        </w:rPr>
        <w:footnoteReference w:id="182"/>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不過，德國法學界縱使對於聯邦行政程序法第四十九條之一準用民法規定，存有疑慮，但是基本上仍大致公認，民法上善意受領人與惡意受領人異其不當得</w:t>
      </w:r>
      <w:r>
        <w:rPr>
          <w:rFonts w:hint="eastAsia"/>
        </w:rPr>
        <w:lastRenderedPageBreak/>
        <w:t>利返還範圍之規定，與公法上的信賴保護原則功能相同</w:t>
      </w:r>
      <w:r>
        <w:rPr>
          <w:rStyle w:val="a9"/>
        </w:rPr>
        <w:footnoteReference w:id="183"/>
      </w:r>
      <w:r>
        <w:rPr>
          <w:rFonts w:hint="eastAsia"/>
        </w:rPr>
        <w:t>；而其之存有準用或不準用間的疑慮，除一方面，若干學者對民法相關法律規定之本身，已有質疑</w:t>
      </w:r>
      <w:r>
        <w:rPr>
          <w:rStyle w:val="a9"/>
        </w:rPr>
        <w:footnoteReference w:id="184"/>
      </w:r>
      <w:r>
        <w:rPr>
          <w:rFonts w:hint="eastAsia"/>
        </w:rPr>
        <w:t>外，主要在另一</w:t>
      </w:r>
      <w:r>
        <w:rPr>
          <w:rFonts w:hint="eastAsia"/>
        </w:rPr>
        <w:t>方面，仍是對於如何正確解釋與適用公法上之信賴保護原則，各家觀點未必齊一。查行政程序法上的特殊公法上不當得利返還請求權，無論在我國，或在德國，主要的適用領域仍在違法行政處分溯及既往撤銷後，基於該處分所受領之金錢給付，如政府補助私人之生活津貼、獎助金或公務人員之薪俸等返還的問題，而行政處分之撤銷，又是公法上信賴保護原則主要的發源地與適用領域；因此，為釐清有關行政程序法上特殊公法上不當得利返還請求權的返還範圍界定，一方面如何顧及信賴保護原則，另方面又如何正確準用民法相關規定的問題，莫如從討論行政機關如何正確適用信</w:t>
      </w:r>
      <w:r>
        <w:rPr>
          <w:rFonts w:hint="eastAsia"/>
        </w:rPr>
        <w:t>賴保護原則，決定（全部或一部）撤銷或不撤銷行政處分的觀點入手。事實上這種研究手法，近來也頗為許多德國學者所樂用</w:t>
      </w:r>
      <w:r>
        <w:rPr>
          <w:rStyle w:val="a9"/>
        </w:rPr>
        <w:footnoteReference w:id="185"/>
      </w:r>
      <w:r>
        <w:rPr>
          <w:rFonts w:hint="eastAsia"/>
        </w:rPr>
        <w:t>；而其研究成果，非但相當可信，並且所得出之解決方案，也同樣可以跨越與撤銷違法行政處分有關的公法上不當得利的界限，同時適用在其他公法上不當得利類型的範圍。</w:t>
      </w:r>
    </w:p>
    <w:p w:rsidR="00000000" w:rsidRDefault="00724932">
      <w:pPr>
        <w:widowControl/>
        <w:spacing w:afterLines="50" w:after="180" w:line="288" w:lineRule="auto"/>
        <w:ind w:firstLineChars="200" w:firstLine="480"/>
        <w:jc w:val="both"/>
        <w:rPr>
          <w:rFonts w:hint="eastAsia"/>
        </w:rPr>
      </w:pPr>
      <w:r>
        <w:rPr>
          <w:rFonts w:hint="eastAsia"/>
        </w:rPr>
        <w:t>依據繼受德國聯邦行政程序法第四十八條的我國行政程序法第一百十七條以下之規定</w:t>
      </w:r>
      <w:r>
        <w:rPr>
          <w:rStyle w:val="a9"/>
        </w:rPr>
        <w:footnoteReference w:id="186"/>
      </w:r>
      <w:r>
        <w:rPr>
          <w:rFonts w:hint="eastAsia"/>
        </w:rPr>
        <w:t>，違法之授益行政處分，其一部、全部撤銷或不撤銷，除公益因素外，主要基於受益人信賴保護之考慮；據此原則，並僅以本研究所關心的以提供金錢給付為內容之行政處分的問題為例，則得以</w:t>
      </w:r>
      <w:r>
        <w:rPr>
          <w:rFonts w:hint="eastAsia"/>
        </w:rPr>
        <w:t>得出以下幾點審查步驟</w:t>
      </w:r>
      <w:r>
        <w:rPr>
          <w:rStyle w:val="a9"/>
        </w:rPr>
        <w:footnoteReference w:id="187"/>
      </w:r>
      <w:r>
        <w:rPr>
          <w:rFonts w:hint="eastAsia"/>
        </w:rPr>
        <w:t>。此外，這一套審查步驟，基本上也正是反映了構成信賴保護原則的要素</w:t>
      </w:r>
      <w:r>
        <w:rPr>
          <w:rStyle w:val="a9"/>
        </w:rPr>
        <w:footnoteReference w:id="188"/>
      </w:r>
      <w:r>
        <w:rPr>
          <w:rFonts w:hint="eastAsia"/>
        </w:rPr>
        <w:t>；這些要素必須全然具備，當事人始能主張其信賴利益，受到法律的保護：</w:t>
      </w:r>
    </w:p>
    <w:p w:rsidR="00000000" w:rsidRDefault="00724932">
      <w:pPr>
        <w:widowControl/>
        <w:spacing w:afterLines="50" w:after="180" w:line="288" w:lineRule="auto"/>
        <w:ind w:left="480" w:hangingChars="200" w:hanging="480"/>
        <w:jc w:val="both"/>
        <w:rPr>
          <w:rFonts w:hint="eastAsia"/>
        </w:rPr>
      </w:pPr>
      <w:r>
        <w:rPr>
          <w:rFonts w:hint="eastAsia"/>
        </w:rPr>
        <w:lastRenderedPageBreak/>
        <w:t>一、首先，必須具有一個以提供一次或連續金錢給付為內容之授益行政處分的存在，以構成「信賴基礎（</w:t>
      </w:r>
      <w:r>
        <w:rPr>
          <w:rFonts w:hint="eastAsia"/>
        </w:rPr>
        <w:t>Vertrauensbasis</w:t>
      </w:r>
      <w:r>
        <w:rPr>
          <w:rFonts w:hint="eastAsia"/>
        </w:rPr>
        <w:t>）」。</w:t>
      </w:r>
    </w:p>
    <w:p w:rsidR="00000000" w:rsidRDefault="00724932">
      <w:pPr>
        <w:widowControl/>
        <w:spacing w:afterLines="50" w:after="180" w:line="288" w:lineRule="auto"/>
        <w:ind w:left="480" w:hangingChars="200" w:hanging="480"/>
        <w:jc w:val="both"/>
        <w:rPr>
          <w:rFonts w:hint="eastAsia"/>
        </w:rPr>
      </w:pPr>
      <w:r>
        <w:rPr>
          <w:rFonts w:hint="eastAsia"/>
        </w:rPr>
        <w:t>二、其次，受領金錢給付之受益人事實上信賴該行政處分之存在並完全有效。因此，假使受益人根本不知該處分之存在，或是確信該處分之效力有瑕疵，為無效，或將遭撤銷，則受益人並無信賴；違法的該處分，原則上也得溯及既往撤銷。</w:t>
      </w:r>
    </w:p>
    <w:p w:rsidR="00000000" w:rsidRDefault="00724932">
      <w:pPr>
        <w:widowControl/>
        <w:spacing w:afterLines="50" w:after="180" w:line="288" w:lineRule="auto"/>
        <w:ind w:left="480" w:hangingChars="200" w:hanging="480"/>
        <w:jc w:val="both"/>
        <w:rPr>
          <w:rFonts w:hint="eastAsia"/>
        </w:rPr>
      </w:pPr>
      <w:r>
        <w:rPr>
          <w:rFonts w:hint="eastAsia"/>
        </w:rPr>
        <w:t>三、再次，受益</w:t>
      </w:r>
      <w:r>
        <w:rPr>
          <w:rFonts w:hint="eastAsia"/>
        </w:rPr>
        <w:t>人之信賴值得保護；在此，即為行政程序法第一百十九條所規定的問題。其中，在實務中最常見，而具有意義者，即為該條第三款所稱：「明知行政處分違法或因重大過失而不知」的情形。假使受益人有該條規定的三款情形之一，則信賴不值得保護，違法之行政處分得以溯及既往撤銷（行政程序法第一百十七條第二款前段反面解釋）；反之，則為「值得保護之信賴（</w:t>
      </w:r>
      <w:r>
        <w:rPr>
          <w:rFonts w:hint="eastAsia"/>
        </w:rPr>
        <w:t>schuzw</w:t>
      </w:r>
      <w:r>
        <w:t>ü</w:t>
      </w:r>
      <w:r>
        <w:rPr>
          <w:rFonts w:hint="eastAsia"/>
        </w:rPr>
        <w:t>rdiges Vertrauen</w:t>
      </w:r>
      <w:r>
        <w:rPr>
          <w:rFonts w:hint="eastAsia"/>
        </w:rPr>
        <w:t>）」。</w:t>
      </w:r>
    </w:p>
    <w:p w:rsidR="00000000" w:rsidRDefault="00724932">
      <w:pPr>
        <w:widowControl/>
        <w:spacing w:afterLines="50" w:after="180" w:line="288" w:lineRule="auto"/>
        <w:ind w:left="480" w:hangingChars="200" w:hanging="480"/>
        <w:jc w:val="both"/>
        <w:rPr>
          <w:rFonts w:hint="eastAsia"/>
        </w:rPr>
      </w:pPr>
      <w:r>
        <w:rPr>
          <w:rFonts w:hint="eastAsia"/>
        </w:rPr>
        <w:t>四、此外，受益人有無「信賴行為（</w:t>
      </w:r>
      <w:r>
        <w:rPr>
          <w:rFonts w:hint="eastAsia"/>
        </w:rPr>
        <w:t>Vertrauensbet</w:t>
      </w:r>
      <w:r>
        <w:t>ä</w:t>
      </w:r>
      <w:r>
        <w:rPr>
          <w:rFonts w:hint="eastAsia"/>
        </w:rPr>
        <w:t>tigung</w:t>
      </w:r>
      <w:r>
        <w:rPr>
          <w:rFonts w:hint="eastAsia"/>
        </w:rPr>
        <w:t>）」。假使受益人已將所受領之金錢給付耗用，或做成不能回復或回復</w:t>
      </w:r>
      <w:r>
        <w:rPr>
          <w:rFonts w:hint="eastAsia"/>
        </w:rPr>
        <w:t>將遭致不可期待之不利益的財產處置或生活安排時，通常認定受益人即有信賴行為</w:t>
      </w:r>
      <w:r>
        <w:rPr>
          <w:rStyle w:val="a9"/>
        </w:rPr>
        <w:footnoteReference w:id="189"/>
      </w:r>
      <w:r>
        <w:rPr>
          <w:rFonts w:hint="eastAsia"/>
        </w:rPr>
        <w:t>；故為顧及其信賴利益，違法之授益處分原則上不得撤銷</w:t>
      </w:r>
      <w:r>
        <w:rPr>
          <w:rStyle w:val="a9"/>
        </w:rPr>
        <w:footnoteReference w:id="190"/>
      </w:r>
      <w:r>
        <w:rPr>
          <w:rFonts w:hint="eastAsia"/>
        </w:rPr>
        <w:t>。反之，由於受益人並無因信賴所受之損失，故違法之授益處分得以撤銷。在此，這個「信賴行為」之要素，具有相當於民法第一百八十二條第一項善意受領人免負已不存在之利益返還責任（</w:t>
      </w:r>
      <w:r>
        <w:rPr>
          <w:rFonts w:hint="eastAsia"/>
        </w:rPr>
        <w:t>Bereicherungswegfall</w:t>
      </w:r>
      <w:r>
        <w:rPr>
          <w:rFonts w:hint="eastAsia"/>
        </w:rPr>
        <w:t>）的功能</w:t>
      </w:r>
      <w:r>
        <w:rPr>
          <w:rStyle w:val="a9"/>
        </w:rPr>
        <w:footnoteReference w:id="191"/>
      </w:r>
      <w:r>
        <w:rPr>
          <w:rFonts w:hint="eastAsia"/>
        </w:rPr>
        <w:t>。</w:t>
      </w:r>
    </w:p>
    <w:p w:rsidR="00000000" w:rsidRDefault="00724932">
      <w:pPr>
        <w:widowControl/>
        <w:spacing w:afterLines="50" w:after="180" w:line="288" w:lineRule="auto"/>
        <w:ind w:left="480" w:hangingChars="200" w:hanging="480"/>
        <w:jc w:val="both"/>
        <w:rPr>
          <w:rFonts w:hint="eastAsia"/>
        </w:rPr>
      </w:pPr>
      <w:r>
        <w:rPr>
          <w:rFonts w:hint="eastAsia"/>
        </w:rPr>
        <w:t>五、最後，信賴利益高於公益。在此，即為個案中，信賴利益與撤銷公益，乃至第三人利益等各種因素之衡量。通常，受益人並無前揭信賴行為時，則公益顯然大於信賴利益，處分得以撤</w:t>
      </w:r>
      <w:r>
        <w:rPr>
          <w:rFonts w:hint="eastAsia"/>
        </w:rPr>
        <w:t>銷；反之，如信賴利益顯然大於撤銷公益時，則處分不得撤銷（行政程序法第一百十七條第二款後段）。此外，信賴利益</w:t>
      </w:r>
      <w:r>
        <w:rPr>
          <w:rFonts w:hint="eastAsia"/>
        </w:rPr>
        <w:lastRenderedPageBreak/>
        <w:t>與撤銷公益之衡量，也可能只導致處分一部（行政程序法第一百十七條前段），或向後或另定失效期日之撤銷（行政程序法第一百十八條但書）。</w:t>
      </w:r>
    </w:p>
    <w:p w:rsidR="00000000" w:rsidRDefault="00724932">
      <w:pPr>
        <w:widowControl/>
        <w:spacing w:afterLines="50" w:after="180" w:line="288" w:lineRule="auto"/>
        <w:ind w:firstLineChars="200" w:firstLine="480"/>
        <w:jc w:val="both"/>
        <w:rPr>
          <w:rFonts w:hint="eastAsia"/>
        </w:rPr>
      </w:pPr>
      <w:r>
        <w:rPr>
          <w:rFonts w:hint="eastAsia"/>
        </w:rPr>
        <w:t>有關違法行政處分之撤銷與信賴保護原則之關係，已作以上之說明；接下來，必須討論的是，經過信賴保護原則審查而撤銷處分後，其所造成之不當得利返還範圍的問題：</w:t>
      </w:r>
    </w:p>
    <w:p w:rsidR="00000000" w:rsidRDefault="00724932">
      <w:pPr>
        <w:widowControl/>
        <w:spacing w:afterLines="50" w:after="180" w:line="288" w:lineRule="auto"/>
        <w:ind w:firstLineChars="200" w:firstLine="480"/>
        <w:jc w:val="both"/>
        <w:rPr>
          <w:rFonts w:hint="eastAsia"/>
        </w:rPr>
      </w:pPr>
      <w:r>
        <w:rPr>
          <w:rFonts w:hint="eastAsia"/>
        </w:rPr>
        <w:t>首先，在前開信賴保護審查機制中，由於其中第三步驟中最常見的「明知行政處分違法或因重大過失而不知」之情形，正好與依民法第一百八</w:t>
      </w:r>
      <w:r>
        <w:rPr>
          <w:rFonts w:hint="eastAsia"/>
        </w:rPr>
        <w:t>十二條決定「善意」或「惡意」受領人的標準息息相關，而第四步驟中的信賴行為，又與善意受領人免負已不存在之利益返還責任的功能相同，因此嚴格而言，已經經過信賴保護原則之審查而決定溯及既往撤銷之違法行政處分，因該處分而受領金錢給付之受領人，大體而言均屬惡意受領人，應負完全返還不當得利之責任；從而，此際行政程序法第一百二十七條第二項再準用民法規定，區分善意受領人與惡意受領人之返還範圍，除仍可進而對於惡意受領人請求「附加利息」</w:t>
      </w:r>
      <w:r>
        <w:rPr>
          <w:rStyle w:val="a9"/>
        </w:rPr>
        <w:footnoteReference w:id="192"/>
      </w:r>
      <w:r>
        <w:rPr>
          <w:rFonts w:hint="eastAsia"/>
        </w:rPr>
        <w:t>外，其實並無太大實益。因此，於此一範圍之內，我國行政程序法第一百二十七條第二項，或相對應的德</w:t>
      </w:r>
      <w:r>
        <w:rPr>
          <w:rFonts w:hint="eastAsia"/>
        </w:rPr>
        <w:t>國聯邦行政程序法第四十九條第二項第一句之準用民法規定的立法例，的確輒為若干德國學者所稱</w:t>
      </w:r>
      <w:r>
        <w:rPr>
          <w:rStyle w:val="a9"/>
        </w:rPr>
        <w:footnoteReference w:id="193"/>
      </w:r>
      <w:r>
        <w:rPr>
          <w:rFonts w:hint="eastAsia"/>
        </w:rPr>
        <w:t>，體系上並不正確。</w:t>
      </w:r>
    </w:p>
    <w:p w:rsidR="00000000" w:rsidRDefault="00724932">
      <w:pPr>
        <w:widowControl/>
        <w:spacing w:afterLines="50" w:after="180" w:line="288" w:lineRule="auto"/>
        <w:ind w:firstLineChars="200" w:firstLine="480"/>
        <w:jc w:val="both"/>
        <w:rPr>
          <w:rFonts w:hint="eastAsia"/>
        </w:rPr>
      </w:pPr>
      <w:r>
        <w:rPr>
          <w:rFonts w:hint="eastAsia"/>
        </w:rPr>
        <w:t>不過在此同時，信賴保護原則與民法第一百八十二條規定仍有若干異同處，值得注意：</w:t>
      </w:r>
    </w:p>
    <w:p w:rsidR="00000000" w:rsidRDefault="00724932">
      <w:pPr>
        <w:widowControl/>
        <w:spacing w:afterLines="50" w:after="180" w:line="288" w:lineRule="auto"/>
        <w:ind w:firstLineChars="200" w:firstLine="480"/>
        <w:jc w:val="both"/>
        <w:rPr>
          <w:rFonts w:hint="eastAsia"/>
        </w:rPr>
      </w:pPr>
      <w:r>
        <w:rPr>
          <w:rFonts w:hint="eastAsia"/>
        </w:rPr>
        <w:t>首先，依據行政程序法第一百十九條所列信賴不值得保護的情形，除實務上最常見的第三款，其實還有第一款及第二款之情形。準此，可以想像的是，例如受益人有第二款對重要事項提供不正確資料或不完全陳述的情事，但卻僅因輕過失，而無同條第三款之情形；此際，的確將有處分雖遭撤銷，但受益人卻仍只負準用民法第一百八十二條第一項善意受領人責任的可能</w:t>
      </w:r>
      <w:r>
        <w:rPr>
          <w:rStyle w:val="a9"/>
        </w:rPr>
        <w:footnoteReference w:id="194"/>
      </w:r>
      <w:r>
        <w:rPr>
          <w:rFonts w:hint="eastAsia"/>
        </w:rPr>
        <w:t>。不過關於這一點，由於以金錢給付為內容之違法授益行政處分，其撤銷之目的，主要即為索回違法受領之金錢給付，假使行政機關一方面溯及撤銷該處分，另方面卻因受領人依民法第一百八十二條第一項，善意受保護，則其撤銷毫無實益；從而在此情形下，除</w:t>
      </w:r>
      <w:r>
        <w:rPr>
          <w:rFonts w:hint="eastAsia"/>
        </w:rPr>
        <w:lastRenderedPageBreak/>
        <w:t>非溯及撤銷該處分，另有索回違法受領之金錢給付以外的其他公益目的，例如溯及否定受領人原依該違法處分所取得之特定身分或地位等，否則行政機關實逕依行政程序法第一百十七條之裁量授權（「原處分機關得</w:t>
      </w:r>
      <w:r>
        <w:rPr>
          <w:rFonts w:ascii="新細明體" w:hAnsi="新細明體"/>
        </w:rPr>
        <w:t>…</w:t>
      </w:r>
      <w:r>
        <w:rPr>
          <w:rFonts w:hint="eastAsia"/>
        </w:rPr>
        <w:t>」），選擇不撤銷該處分。此外，萬一該處分具有以連續性金錢給付的內容時，行政機關亦可利用行政處</w:t>
      </w:r>
      <w:r>
        <w:rPr>
          <w:rFonts w:hint="eastAsia"/>
        </w:rPr>
        <w:t>分廢止之制度</w:t>
      </w:r>
      <w:r>
        <w:rPr>
          <w:rStyle w:val="a9"/>
        </w:rPr>
        <w:footnoteReference w:id="195"/>
      </w:r>
      <w:r>
        <w:rPr>
          <w:rFonts w:hint="eastAsia"/>
        </w:rPr>
        <w:t>，使處分向後失效，進而停止為完成之連續給付。</w:t>
      </w:r>
    </w:p>
    <w:p w:rsidR="00000000" w:rsidRDefault="00724932">
      <w:pPr>
        <w:widowControl/>
        <w:spacing w:afterLines="50" w:after="180" w:line="288" w:lineRule="auto"/>
        <w:ind w:firstLineChars="200" w:firstLine="480"/>
        <w:jc w:val="both"/>
        <w:rPr>
          <w:rFonts w:hint="eastAsia"/>
        </w:rPr>
      </w:pPr>
      <w:r>
        <w:rPr>
          <w:rFonts w:hint="eastAsia"/>
        </w:rPr>
        <w:t>其次，依據德國聯邦行政程序法第四十九條之一第二項第二句或公務人員法制中各條特殊公法上返還請求權的相關規定，準用民法後惡意受領人之認定，除「明知」外，還包括因「重大過失」的情形。此一規定，相當程度地將公法上不當得利中善意與惡意之認定，對齊信賴保護原則中善意與惡意的界定（我國行政程序法第一百十九條第三款參照），以維持其判斷上的一致；但在我國行政程序法第一百二十七條中卻欠缺類似規定，因此將有不合理的情事。亦即：行政機關一方面基於授益處分之受益人因重大過失</w:t>
      </w:r>
      <w:r>
        <w:rPr>
          <w:rFonts w:hint="eastAsia"/>
        </w:rPr>
        <w:t>不知行政處分違法，信賴不值得保護，而溯及既往撤銷以金錢給付為內容之違法授益處分；另一方面，該重大過失之受領人，卻因準用民法第一百八十二條的結果，善意受保護，毋庸返還已不存在之利益。</w:t>
      </w:r>
    </w:p>
    <w:p w:rsidR="00000000" w:rsidRDefault="00724932">
      <w:pPr>
        <w:widowControl/>
        <w:spacing w:afterLines="50" w:after="180" w:line="288" w:lineRule="auto"/>
        <w:ind w:firstLineChars="200" w:firstLine="480"/>
        <w:jc w:val="both"/>
        <w:rPr>
          <w:rFonts w:hint="eastAsia"/>
        </w:rPr>
      </w:pPr>
      <w:r>
        <w:rPr>
          <w:rFonts w:hint="eastAsia"/>
        </w:rPr>
        <w:t>雖然在這種情形下，行政機關亦得比照前開已述的類似情形辦理：依裁量不撤銷處分，或以廢止方式，使違法處分向後失效，並進而停止連續性金錢給付，不過在此一情形，吾人必須同時考慮，行政程序法第一百二十七條並不僅僅適用於行政處分撤銷之情形；萬一處分係因廢止或解除條件成就溯及失效，或因無效處分已經確認，一個幾近明知的重大過失受領人，是否仍因繼</w:t>
      </w:r>
      <w:r>
        <w:rPr>
          <w:rFonts w:hint="eastAsia"/>
        </w:rPr>
        <w:t>續保有受領的不當得利？這種情形，顯然違背善意、惡意之區分在公法上信賴保護原則所具有的意義與功能；更何況民法上僅以明知，不以重大過失而不知作為惡意受領人的認定本身，縱使在私法體系，也有評價上過度保護不當得利受領人的可疑之處</w:t>
      </w:r>
      <w:r>
        <w:rPr>
          <w:rStyle w:val="a9"/>
        </w:rPr>
        <w:footnoteReference w:id="196"/>
      </w:r>
      <w:r>
        <w:rPr>
          <w:rFonts w:hint="eastAsia"/>
        </w:rPr>
        <w:t>。從而，對於此一錯誤評價的條文，為符合基於公法上信賴保護功能所做成的善意與惡意的認定標準，在我國法制中，應參考德國立法例，將行政程序法第一百二十</w:t>
      </w:r>
      <w:r>
        <w:rPr>
          <w:rFonts w:hint="eastAsia"/>
        </w:rPr>
        <w:lastRenderedPageBreak/>
        <w:t>七條第二項之準用民法，作合目的之準用。換言之，在解釋上，民法第一百八十二條惡意受領人之範圍，不應只限於「明知」，而必須包括因「重大過失」而不知者在</w:t>
      </w:r>
      <w:r>
        <w:rPr>
          <w:rFonts w:hint="eastAsia"/>
        </w:rPr>
        <w:t>內，以求與行政程序法第一百十九條第三款之價值判斷相符</w:t>
      </w:r>
      <w:r>
        <w:rPr>
          <w:rStyle w:val="a9"/>
        </w:rPr>
        <w:footnoteReference w:id="197"/>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此外，在適用行政程序法第一百二十七條第二項時，尚須注意：該條條文之適用，雖以違法之授益行政處分為大宗，但是如前所述，行政處分因廢止或解除條件成就溯及失效，或因無效處分已經確認，受益人基於該處分所受領之不當得利，同樣也將因行政程序法第一百二十七條第二項之規定，準用民法第一百八十二條，來決定不當得利的返還範圍。在廢止授益處分之情形，由於行政程序法第一百二十三條以下之規定，已經考慮到信賴保護原則的問題，故可依據前開有關撤銷違法處分的種種方式辦理，而無疑問；</w:t>
      </w:r>
      <w:r>
        <w:rPr>
          <w:rFonts w:hint="eastAsia"/>
        </w:rPr>
        <w:t>但是反之在行政處分因解除條件成就而溯及失效，或因無效處分已經確認的情形，由於信賴保護原則的問題，並未能在處分失效或確認無效時考慮，所以被準用的民法第一百八十二條，即必須完全擔負信賴保護原則落實的功能與意義。換言之，此際，解釋民法第一百八十二條規定時，不應拘泥文義，而應確實掌握前開有關信賴保護原則構成要件要素的說明，尤其是有關「信賴值得保護」與「信賴行為」兩點，合目的地準用民法第一百八十二條之規定。在此，如上所述，該條第二項所謂的「惡意受領人」，也應該包括因重大過失而不知無法律上之原因的情形。更何況這種情形，</w:t>
      </w:r>
      <w:r>
        <w:rPr>
          <w:rFonts w:hint="eastAsia"/>
        </w:rPr>
        <w:t>在本研究所特別關心的公務人員不當受領公法上金錢給付時，尤其具有意義。因為身為實際就是在執行法律的公務人員，因重大過失而不知行政處分有重大明顯之瑕疵以致無效（行政程序法第一百十一條參照）時，根本不值得保護；而公務人員受領金錢給付附有解除條件者，不是實例甚少，就是該條件之成就與不成就，並非取決於某特定客觀事實，而是取決於受領給付之公務人員本身的行為，抑或至少自己能夠支配的情事。此際，公務人員之重大過失導致解除條件成就，也毋庸加以保護。</w:t>
      </w:r>
    </w:p>
    <w:p w:rsidR="00000000" w:rsidRDefault="00724932">
      <w:pPr>
        <w:widowControl/>
        <w:spacing w:line="288" w:lineRule="auto"/>
        <w:ind w:firstLineChars="200" w:firstLine="480"/>
        <w:jc w:val="both"/>
        <w:rPr>
          <w:rFonts w:hint="eastAsia"/>
        </w:rPr>
      </w:pPr>
      <w:r>
        <w:rPr>
          <w:rFonts w:hint="eastAsia"/>
        </w:rPr>
        <w:t>最後，在公務人員受領公法上金錢給付，而成立公法上不當得利的情形，如本章前文第</w:t>
      </w:r>
      <w:r>
        <w:rPr>
          <w:rFonts w:hint="eastAsia"/>
        </w:rPr>
        <w:t>二節之分析，除有適用行政程序法第一百二十七條的情形外，亦有屬於不成文之一般公法上不當得利返還請求權的範圍。雖然在後一種情形，因無法律明文，而無從準用民法第一百八十二條的可能，不過正也是經過以上之分析，吾人得知行政程序法第一百二十七條準用民法第一百八十二條，僅能有限度地落</w:t>
      </w:r>
      <w:r>
        <w:rPr>
          <w:rFonts w:hint="eastAsia"/>
        </w:rPr>
        <w:lastRenderedPageBreak/>
        <w:t>實信賴保護原則之適用後，應該可以確信，有關一般公法上不當得利返還請求權的返還範圍，其界定，毋庸輾轉類推本身具有評價上之瑕疵的民法第一百八十二條，而是直接藉助前開有關信賴保護原則的審查機制</w:t>
      </w:r>
      <w:r>
        <w:rPr>
          <w:rStyle w:val="a9"/>
        </w:rPr>
        <w:footnoteReference w:id="198"/>
      </w:r>
      <w:r>
        <w:rPr>
          <w:rFonts w:hint="eastAsia"/>
        </w:rPr>
        <w:t>，以決定公務人員不當受領之公法上金錢給付，是否應予返還</w:t>
      </w:r>
      <w:r>
        <w:rPr>
          <w:rFonts w:hint="eastAsia"/>
        </w:rPr>
        <w:t>，及返還限度的問題</w:t>
      </w:r>
      <w:r>
        <w:rPr>
          <w:rStyle w:val="a9"/>
        </w:rPr>
        <w:footnoteReference w:id="199"/>
      </w:r>
      <w:r>
        <w:rPr>
          <w:rFonts w:hint="eastAsia"/>
        </w:rPr>
        <w:t>。這種作法，非但已如前述</w:t>
      </w:r>
      <w:r>
        <w:rPr>
          <w:rStyle w:val="a9"/>
        </w:rPr>
        <w:footnoteReference w:id="200"/>
      </w:r>
      <w:r>
        <w:rPr>
          <w:rFonts w:hint="eastAsia"/>
        </w:rPr>
        <w:t>，是德國通說之見解，甚至德國社會法第十編第五十條的立法例，更是徹底揚棄民法條文之準用，而咸以適用信賴保護原則的方式，來決定「基於行政處分之給付」與「非基於行政處分之給付」的公法上不當得利之返還範圍</w:t>
      </w:r>
      <w:r>
        <w:rPr>
          <w:rStyle w:val="a9"/>
        </w:rPr>
        <w:footnoteReference w:id="201"/>
      </w:r>
      <w:r>
        <w:rPr>
          <w:rFonts w:hint="eastAsia"/>
        </w:rPr>
        <w:t>。這些比較法上事例，足資借鏡</w:t>
      </w:r>
      <w:r>
        <w:rPr>
          <w:rStyle w:val="a9"/>
        </w:rPr>
        <w:footnoteReference w:id="202"/>
      </w:r>
      <w:r>
        <w:rPr>
          <w:rFonts w:hint="eastAsia"/>
        </w:rPr>
        <w:t>。</w:t>
      </w: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二　衡平法理</w:t>
      </w:r>
    </w:p>
    <w:p w:rsidR="00000000" w:rsidRDefault="00724932">
      <w:pPr>
        <w:widowControl/>
        <w:spacing w:afterLines="50" w:after="180" w:line="288" w:lineRule="auto"/>
        <w:ind w:firstLineChars="200" w:firstLine="480"/>
        <w:jc w:val="both"/>
        <w:rPr>
          <w:rFonts w:hint="eastAsia"/>
        </w:rPr>
      </w:pPr>
      <w:r>
        <w:rPr>
          <w:rFonts w:hint="eastAsia"/>
        </w:rPr>
        <w:t>依據德國實務與學界的通說</w:t>
      </w:r>
      <w:r>
        <w:rPr>
          <w:rStyle w:val="a9"/>
        </w:rPr>
        <w:footnoteReference w:id="203"/>
      </w:r>
      <w:r>
        <w:rPr>
          <w:rFonts w:hint="eastAsia"/>
        </w:rPr>
        <w:t>，在公法上返還請求權的制度中，相當於我國民法第一百八十條之規定的德國民法第八百十三條以下的條文</w:t>
      </w:r>
      <w:r>
        <w:rPr>
          <w:rStyle w:val="a9"/>
        </w:rPr>
        <w:footnoteReference w:id="204"/>
      </w:r>
      <w:r>
        <w:rPr>
          <w:rFonts w:hint="eastAsia"/>
        </w:rPr>
        <w:t>，尤其是第八百十四條「給付人明知無給付義務</w:t>
      </w:r>
      <w:r>
        <w:rPr>
          <w:rFonts w:ascii="新細明體" w:hAnsi="新細明體"/>
        </w:rPr>
        <w:t>…</w:t>
      </w:r>
      <w:r>
        <w:rPr>
          <w:rFonts w:hint="eastAsia"/>
        </w:rPr>
        <w:t>」與第八百十七條「違反法律之禁止規定或善良風俗之給付</w:t>
      </w:r>
      <w:r>
        <w:rPr>
          <w:rFonts w:ascii="新細明體" w:hAnsi="新細明體"/>
        </w:rPr>
        <w:t>…</w:t>
      </w:r>
      <w:r>
        <w:rPr>
          <w:rFonts w:hint="eastAsia"/>
        </w:rPr>
        <w:t>」等規定，至少並不適用於國家或其他行政主體向人民主張公法</w:t>
      </w:r>
      <w:r>
        <w:rPr>
          <w:rFonts w:hint="eastAsia"/>
        </w:rPr>
        <w:lastRenderedPageBreak/>
        <w:t>上不當得利的情形；因為這些規定，以給付人有私法自治原則中的決定自由為前提，在公法關係中，行政機關受依法行政原則之拘束，並無決定自由之可言，所以相關法規並無從準用或類推適用</w:t>
      </w:r>
      <w:r>
        <w:rPr>
          <w:rStyle w:val="a9"/>
        </w:rPr>
        <w:footnoteReference w:id="205"/>
      </w:r>
      <w:r>
        <w:rPr>
          <w:rFonts w:hint="eastAsia"/>
        </w:rPr>
        <w:t>。相反地，可以取代這些條文者，乃任何行政行為在個案中本來就需遵守的「誠實信用原則」；據此，例如給付人之給付本身，其錯誤已經嚴重到違背職務義務，濫用權利等的情形</w:t>
      </w:r>
      <w:r>
        <w:rPr>
          <w:rStyle w:val="a9"/>
        </w:rPr>
        <w:footnoteReference w:id="206"/>
      </w:r>
      <w:r>
        <w:rPr>
          <w:rFonts w:hint="eastAsia"/>
        </w:rPr>
        <w:t>，其不當得利返還之請求，則得視個案情形予以降低或甚至完全排除。此一見解，目前在我國，也同受學者</w:t>
      </w:r>
      <w:r>
        <w:rPr>
          <w:rStyle w:val="a9"/>
        </w:rPr>
        <w:footnoteReference w:id="207"/>
      </w:r>
      <w:r>
        <w:rPr>
          <w:rFonts w:hint="eastAsia"/>
        </w:rPr>
        <w:t>所支持。不過，誠實信用原則</w:t>
      </w:r>
      <w:r>
        <w:rPr>
          <w:rFonts w:hint="eastAsia"/>
        </w:rPr>
        <w:t>之運用，並不限於在給付人一方有違誤的情形</w:t>
      </w:r>
      <w:r>
        <w:rPr>
          <w:rStyle w:val="a9"/>
        </w:rPr>
        <w:footnoteReference w:id="208"/>
      </w:r>
      <w:r>
        <w:rPr>
          <w:rFonts w:hint="eastAsia"/>
        </w:rPr>
        <w:t>；例如應返還之金錢給付，對於受領人之家計維持具有重大意義者，也可列入考慮，而成為減輕或免除返還責任的依據</w:t>
      </w:r>
      <w:r>
        <w:rPr>
          <w:rStyle w:val="a9"/>
        </w:rPr>
        <w:footnoteReference w:id="209"/>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德國公法上返還請求權法學中的誠實信用原則，在公務人員法中，由於聯邦公務員俸給法第十二條第二項第三句及其他法律相對應之法條明文規定</w:t>
      </w:r>
      <w:r>
        <w:rPr>
          <w:rStyle w:val="a9"/>
        </w:rPr>
        <w:footnoteReference w:id="210"/>
      </w:r>
      <w:r>
        <w:rPr>
          <w:rFonts w:hint="eastAsia"/>
        </w:rPr>
        <w:t>，已經落實為基於衡平法理而來的「衡平決定（</w:t>
      </w:r>
      <w:r>
        <w:rPr>
          <w:rFonts w:hint="eastAsia"/>
        </w:rPr>
        <w:t>Billigkeitsentscheidung</w:t>
      </w:r>
      <w:r>
        <w:rPr>
          <w:rFonts w:hint="eastAsia"/>
        </w:rPr>
        <w:t>）」。據此，為補救公法上返還請求權過度制式化的一體適用，個案中，允許行政機關斟酌受領公務人員的經濟能力、社會狀況，乃至給付機關本身的與有過失（</w:t>
      </w:r>
      <w:r>
        <w:rPr>
          <w:rFonts w:hint="eastAsia"/>
        </w:rPr>
        <w:t>Mitverschulden</w:t>
      </w:r>
      <w:r>
        <w:rPr>
          <w:rFonts w:hint="eastAsia"/>
        </w:rPr>
        <w:t>）等因素，裁量決定公務人員全部或一部之不當得利的返還，以實現個案正義</w:t>
      </w:r>
      <w:r>
        <w:rPr>
          <w:rStyle w:val="a9"/>
        </w:rPr>
        <w:footnoteReference w:id="211"/>
      </w:r>
      <w:r>
        <w:rPr>
          <w:rFonts w:hint="eastAsia"/>
        </w:rPr>
        <w:t>；在此，與一般行政機關行使裁量權時一樣，平等原則與比例原則等之的誡命，均需顧及</w:t>
      </w:r>
      <w:r>
        <w:rPr>
          <w:rStyle w:val="a9"/>
        </w:rPr>
        <w:footnoteReference w:id="212"/>
      </w:r>
      <w:r>
        <w:rPr>
          <w:rFonts w:hint="eastAsia"/>
        </w:rPr>
        <w:t>。此外，不寧唯是，衡平決定的運用，也可以同時或只有表現在不當得利返還的方式；分期返還、延期返還等，均得列入考慮，以適應返還義務人的特殊情事</w:t>
      </w:r>
      <w:r>
        <w:rPr>
          <w:rStyle w:val="a9"/>
        </w:rPr>
        <w:footnoteReference w:id="213"/>
      </w:r>
      <w:r>
        <w:rPr>
          <w:rFonts w:hint="eastAsia"/>
        </w:rPr>
        <w:t>。不過，公務人員受領公法上金錢給付而成立公法上返還請求權，原是來自行政機關依法撤銷給付所基於之行政處分者，若衡平法理之考慮已經表現在</w:t>
      </w:r>
      <w:r>
        <w:rPr>
          <w:rFonts w:hint="eastAsia"/>
        </w:rPr>
        <w:lastRenderedPageBreak/>
        <w:t>撤銷或廢止行政處分所應遵守的信賴保護原則時，則衡平決定可能並無</w:t>
      </w:r>
      <w:r>
        <w:rPr>
          <w:rFonts w:hint="eastAsia"/>
        </w:rPr>
        <w:t>再適用的空間</w:t>
      </w:r>
      <w:r>
        <w:rPr>
          <w:rStyle w:val="a9"/>
        </w:rPr>
        <w:footnoteReference w:id="214"/>
      </w:r>
      <w:r>
        <w:rPr>
          <w:rFonts w:hint="eastAsia"/>
        </w:rPr>
        <w:t>。</w:t>
      </w:r>
    </w:p>
    <w:p w:rsidR="00000000" w:rsidRDefault="00724932">
      <w:pPr>
        <w:widowControl/>
        <w:spacing w:line="288" w:lineRule="auto"/>
        <w:ind w:firstLineChars="200" w:firstLine="480"/>
        <w:jc w:val="both"/>
        <w:rPr>
          <w:rFonts w:hint="eastAsia"/>
        </w:rPr>
      </w:pPr>
      <w:r>
        <w:rPr>
          <w:rFonts w:hint="eastAsia"/>
        </w:rPr>
        <w:t>在我國有關公法上不當得利的法律中，如行政程序法第一百二十七條，並無德國此項衡平決定的規定；不過鑑於該決定所依據的衡平法理，一如上述，究其實，不啻我國行政程序法第八條前段之誠實信用原則的衍生，所以在我國法制中，不論公務人員受領公法上金錢給付，係該當行政程序法第一百二十七條類型之特殊公法上不當得利，抑或該當不成文之一般公法上不當得利，在個案中，仍應就受領人一方與給付人一方的各種特殊情事，斟酌衡量，做出衡平決定，必要時，一部，甚至全部，免除公務人員返還義務，抑或准以分期返還、延期返還等方式，減輕</w:t>
      </w:r>
      <w:r>
        <w:rPr>
          <w:rFonts w:hint="eastAsia"/>
        </w:rPr>
        <w:t>負公法上不當得利返還義務之公務人員的負擔。</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sz w:val="36"/>
          <w:szCs w:val="36"/>
        </w:rPr>
      </w:pPr>
      <w:r>
        <w:rPr>
          <w:rFonts w:hint="eastAsia"/>
          <w:b/>
          <w:sz w:val="36"/>
          <w:szCs w:val="36"/>
        </w:rPr>
        <w:t>第四節　公法上不當得利返還請求權之消滅時效</w:t>
      </w:r>
    </w:p>
    <w:p w:rsidR="00000000" w:rsidRDefault="00724932">
      <w:pPr>
        <w:widowControl/>
        <w:spacing w:afterLines="50" w:after="180" w:line="288" w:lineRule="auto"/>
        <w:ind w:firstLineChars="200" w:firstLine="480"/>
        <w:jc w:val="both"/>
        <w:rPr>
          <w:rFonts w:hint="eastAsia"/>
        </w:rPr>
      </w:pPr>
      <w:r>
        <w:rPr>
          <w:rFonts w:hint="eastAsia"/>
        </w:rPr>
        <w:t>有關公法上不當得利返還請求權之消滅時效（</w:t>
      </w:r>
      <w:r>
        <w:rPr>
          <w:rFonts w:hint="eastAsia"/>
        </w:rPr>
        <w:t>Verj</w:t>
      </w:r>
      <w:r>
        <w:t>ä</w:t>
      </w:r>
      <w:r>
        <w:rPr>
          <w:rFonts w:hint="eastAsia"/>
        </w:rPr>
        <w:t>hrung</w:t>
      </w:r>
      <w:r>
        <w:rPr>
          <w:rFonts w:hint="eastAsia"/>
        </w:rPr>
        <w:t>），不論在行政程序法第一百二十七條所規定之特殊公法上不當得利返還請求權，或不成文之一般公法上不當得利返還請求權的情形，除非法律別有規定，依行政程序法第一百三十一條第一項之規定，均為五年；此外，與消滅時效有關的其他問題，同法第一百三十一條第二項至第一百三十四條之規定，並應適用。雖然此一通說之見解</w:t>
      </w:r>
      <w:r>
        <w:rPr>
          <w:rStyle w:val="a9"/>
        </w:rPr>
        <w:footnoteReference w:id="215"/>
      </w:r>
      <w:r>
        <w:rPr>
          <w:rFonts w:hint="eastAsia"/>
        </w:rPr>
        <w:t>，鑑於行政程序法第一百三十一條第一項泛稱：「公法上之請求權</w:t>
      </w:r>
      <w:r>
        <w:rPr>
          <w:rFonts w:ascii="新細明體" w:hAnsi="新細明體"/>
        </w:rPr>
        <w:t>…</w:t>
      </w:r>
      <w:r>
        <w:rPr>
          <w:rFonts w:hint="eastAsia"/>
        </w:rPr>
        <w:t>」</w:t>
      </w:r>
      <w:r>
        <w:rPr>
          <w:rFonts w:hint="eastAsia"/>
        </w:rPr>
        <w:t>，原則上並無違誤，不過復鑑於我國行政程序法適用範圍與適用起始點等關係，若干與行政機關向公務人員請求返還公法上金錢給付相關之問題，仍有待進一步說明：</w:t>
      </w:r>
    </w:p>
    <w:p w:rsidR="00000000" w:rsidRDefault="00724932">
      <w:pPr>
        <w:widowControl/>
        <w:spacing w:afterLines="50" w:after="180" w:line="288" w:lineRule="auto"/>
        <w:ind w:firstLineChars="200" w:firstLine="480"/>
        <w:jc w:val="both"/>
        <w:rPr>
          <w:rFonts w:hint="eastAsia"/>
        </w:rPr>
      </w:pPr>
      <w:r>
        <w:rPr>
          <w:rFonts w:hint="eastAsia"/>
        </w:rPr>
        <w:t>首先依據行政程序法第三條第三項第七款之規定，行政程序法中之程序規定，並不適用於對公務員所為之人事行政行為。雖然行政機關向公務人員請求返還不當受領之公法上金錢給付，是否亦屬一種對公務員所為之人事行政行為，如本章前揭第二節壹、已述，容有爭議，不過正由於行政程序法第一百三十一條至</w:t>
      </w:r>
      <w:r>
        <w:rPr>
          <w:rFonts w:hint="eastAsia"/>
        </w:rPr>
        <w:lastRenderedPageBreak/>
        <w:t>第一百三十四條有關消滅時效的條文，本質上並非一種行政程序規定，而是涉及行政實體法內容的問題</w:t>
      </w:r>
      <w:r>
        <w:rPr>
          <w:rFonts w:hint="eastAsia"/>
        </w:rPr>
        <w:t>，所以這些規定，縱令行政機關向公務人員請求返還不當受領之公法上金錢給付，係可認定為一種對公務員所為之人事行政行為，也將因其不在行政程序法第三條第三項的排除之列，而有直接適用於行政機關向公務人員請求返還公法上不當受領之金錢給付的機會。</w:t>
      </w:r>
    </w:p>
    <w:p w:rsidR="00000000" w:rsidRDefault="00724932">
      <w:pPr>
        <w:widowControl/>
        <w:spacing w:afterLines="50" w:after="180" w:line="288" w:lineRule="auto"/>
        <w:ind w:firstLineChars="200" w:firstLine="480"/>
        <w:jc w:val="both"/>
        <w:rPr>
          <w:rFonts w:hint="eastAsia"/>
        </w:rPr>
      </w:pPr>
      <w:r>
        <w:rPr>
          <w:rFonts w:hint="eastAsia"/>
        </w:rPr>
        <w:t>其次，比較有爭議的，應該是有關涉及行政程序法施行時點的問題。由於我國行政程序法施行始於民國九十年（同法第一百七十五條），迄今不過四年，因此有關含行政機關向公務人員請求返還不當受領之公法上金錢給付在內的公法上不當得利返還請求權，其於同法施行前已可行使者，消滅時效如何認定，不免多所</w:t>
      </w:r>
      <w:r>
        <w:rPr>
          <w:rFonts w:hint="eastAsia"/>
        </w:rPr>
        <w:t>疑義。在此依據法務部</w:t>
      </w:r>
      <w:r>
        <w:rPr>
          <w:rFonts w:hint="eastAsia"/>
        </w:rPr>
        <w:t>90</w:t>
      </w:r>
      <w:r>
        <w:rPr>
          <w:rFonts w:hint="eastAsia"/>
        </w:rPr>
        <w:t>年</w:t>
      </w:r>
      <w:r>
        <w:rPr>
          <w:rFonts w:hint="eastAsia"/>
        </w:rPr>
        <w:t>3</w:t>
      </w:r>
      <w:r>
        <w:rPr>
          <w:rFonts w:hint="eastAsia"/>
        </w:rPr>
        <w:t>月</w:t>
      </w:r>
      <w:r>
        <w:rPr>
          <w:rFonts w:hint="eastAsia"/>
        </w:rPr>
        <w:t>22</w:t>
      </w:r>
      <w:r>
        <w:rPr>
          <w:rFonts w:hint="eastAsia"/>
        </w:rPr>
        <w:t>日法</w:t>
      </w:r>
      <w:r>
        <w:rPr>
          <w:rFonts w:hint="eastAsia"/>
        </w:rPr>
        <w:t>90</w:t>
      </w:r>
      <w:r>
        <w:rPr>
          <w:rFonts w:hint="eastAsia"/>
        </w:rPr>
        <w:t>令字第</w:t>
      </w:r>
      <w:r>
        <w:rPr>
          <w:rFonts w:hint="eastAsia"/>
        </w:rPr>
        <w:t>008617</w:t>
      </w:r>
      <w:r>
        <w:rPr>
          <w:rFonts w:hint="eastAsia"/>
        </w:rPr>
        <w:t>號令</w:t>
      </w:r>
      <w:r>
        <w:rPr>
          <w:rStyle w:val="a9"/>
        </w:rPr>
        <w:footnoteReference w:id="216"/>
      </w:r>
      <w:r>
        <w:rPr>
          <w:rFonts w:hint="eastAsia"/>
        </w:rPr>
        <w:t>之見解，雖應適用行政程序法施行前有關法規之規定，無相關法規規定者，並類推適用民法消滅時效之規定，不過問題是，有關行政機關向公務人員行使的公法上不當得利返還請求權，其消滅時效問題，依此行政實務，究竟如何處理，事實上仍待澄清。蓋查我國現行公務人員法規，不論在行政程序法施行前或施行後，其實並無與是類公法上不當得利返還請求權之消滅時效相關的規定，從而唯一可能類推適用者，似為民法上有關消滅時效的規定。但是依據民法之相關規定，除有十五年的一般消滅時效（第</w:t>
      </w:r>
      <w:r>
        <w:rPr>
          <w:rFonts w:hint="eastAsia"/>
        </w:rPr>
        <w:t>一百二十五條）外，另有關於一年或不及一年之定期給付債權的五年短期時效（第一百二十六條）；準此，行政機關向公務人員請求返還的公法上不當受領之金錢給付，如該給付，諸如薪俸等，係屬按月定期發給之定期給付時，則行政機關反向行使涉及該等給付的公法上不當得利返還請求權，是否亦類推適用五年的短期消滅時效，則將成為問題。</w:t>
      </w:r>
    </w:p>
    <w:p w:rsidR="00000000" w:rsidRDefault="00724932">
      <w:pPr>
        <w:widowControl/>
        <w:spacing w:afterLines="50" w:after="180" w:line="288" w:lineRule="auto"/>
        <w:ind w:firstLineChars="200" w:firstLine="480"/>
        <w:jc w:val="both"/>
        <w:rPr>
          <w:rFonts w:hint="eastAsia"/>
        </w:rPr>
      </w:pPr>
      <w:r>
        <w:rPr>
          <w:rFonts w:hint="eastAsia"/>
        </w:rPr>
        <w:t>關於這個問題，我國學說與實務似仍未有明確的見解，但依德國通說</w:t>
      </w:r>
      <w:r>
        <w:rPr>
          <w:rStyle w:val="a9"/>
        </w:rPr>
        <w:footnoteReference w:id="217"/>
      </w:r>
      <w:r>
        <w:rPr>
          <w:rFonts w:hint="eastAsia"/>
        </w:rPr>
        <w:t>，則應持肯定的觀點；蓋短期時效之設，貴在迅速確定法律關係，從而有關定期給付的消滅時效規定，無論是針對該給付之請求權本身、取代原給付請求權之損害</w:t>
      </w:r>
      <w:r>
        <w:rPr>
          <w:rFonts w:hint="eastAsia"/>
        </w:rPr>
        <w:t>賠償請求權，抑或是針對請求返還錯誤給付的不當得利返還請求權，似均應適用或</w:t>
      </w:r>
      <w:r>
        <w:rPr>
          <w:rFonts w:hint="eastAsia"/>
        </w:rPr>
        <w:lastRenderedPageBreak/>
        <w:t>類推適用之</w:t>
      </w:r>
      <w:r>
        <w:rPr>
          <w:rStyle w:val="a9"/>
        </w:rPr>
        <w:footnoteReference w:id="218"/>
      </w:r>
      <w:r>
        <w:rPr>
          <w:rFonts w:hint="eastAsia"/>
        </w:rPr>
        <w:t>。準此，在我國，有關行政機關向公務人員請求返還不當受領之公法上金錢給付，應視該原給付有無一年或不及一年之定期給付債權的性質，而分別類推適用民法第一百二十五條及第一百二十六條規定。</w:t>
      </w:r>
    </w:p>
    <w:p w:rsidR="00000000" w:rsidRDefault="00724932">
      <w:pPr>
        <w:widowControl/>
        <w:spacing w:line="288" w:lineRule="auto"/>
        <w:ind w:firstLineChars="200" w:firstLine="480"/>
        <w:jc w:val="both"/>
        <w:rPr>
          <w:rFonts w:hint="eastAsia"/>
        </w:rPr>
      </w:pPr>
      <w:r>
        <w:rPr>
          <w:rFonts w:hint="eastAsia"/>
        </w:rPr>
        <w:t>最後在我國爭議最大者，乃是公法上不當得利返還請求權，其消滅時效，如因依據前揭理由，類推民法第一百二十五條，並且在行政程序法施行後，殘餘其間仍超過五年者，究應至原期間屆滿時完成，抑或縮短為五年的問題。關於此一問題，前開法務部</w:t>
      </w:r>
      <w:r>
        <w:rPr>
          <w:rFonts w:hint="eastAsia"/>
        </w:rPr>
        <w:t>90</w:t>
      </w:r>
      <w:r>
        <w:rPr>
          <w:rFonts w:hint="eastAsia"/>
        </w:rPr>
        <w:t>年</w:t>
      </w:r>
      <w:r>
        <w:rPr>
          <w:rFonts w:hint="eastAsia"/>
        </w:rPr>
        <w:t>3</w:t>
      </w:r>
      <w:r>
        <w:rPr>
          <w:rFonts w:hint="eastAsia"/>
        </w:rPr>
        <w:t>月</w:t>
      </w:r>
      <w:r>
        <w:rPr>
          <w:rFonts w:hint="eastAsia"/>
        </w:rPr>
        <w:t>22</w:t>
      </w:r>
      <w:r>
        <w:rPr>
          <w:rFonts w:hint="eastAsia"/>
        </w:rPr>
        <w:t>日法</w:t>
      </w:r>
      <w:r>
        <w:rPr>
          <w:rFonts w:hint="eastAsia"/>
        </w:rPr>
        <w:t>90</w:t>
      </w:r>
      <w:r>
        <w:rPr>
          <w:rFonts w:hint="eastAsia"/>
        </w:rPr>
        <w:t>令字</w:t>
      </w:r>
      <w:r>
        <w:rPr>
          <w:rFonts w:hint="eastAsia"/>
        </w:rPr>
        <w:t>第</w:t>
      </w:r>
      <w:r>
        <w:rPr>
          <w:rFonts w:hint="eastAsia"/>
        </w:rPr>
        <w:t>008617</w:t>
      </w:r>
      <w:r>
        <w:rPr>
          <w:rFonts w:hint="eastAsia"/>
        </w:rPr>
        <w:t>號令持原期間屆滿時始告終止的觀點，但是如是的行政實務見解，徵諸民法施行法第十八條第二項之規定，非無商榷的餘地。因為依據民法施行法上開條項之意旨，民法總則施行前之法定消滅時效，其於民法總則施行後之殘餘期間，應自施行日起，適用民法總則之規定；準此，殘餘期間，縱使較長於民法總則所規定之時效期間，亦應自動縮短至民法總則所規定之時效期間屆滿時完成。此一法理，似乎也有適用於正好類推民法消滅時效規定的公法上不當得利返還請求權之情形。換言之，含行政機關向公務人員請求返還不當受領之公法上金錢給付在內的公法上不當</w:t>
      </w:r>
      <w:r>
        <w:rPr>
          <w:rFonts w:hint="eastAsia"/>
        </w:rPr>
        <w:t>得利返還請求權，其於行政程序法施行前已可行使，並且其時效期間在同法施行後，仍殘餘超過五年者，應直接適用該法第一百三十一條第一項之規定，自動縮短為五年</w:t>
      </w:r>
      <w:r>
        <w:rPr>
          <w:rStyle w:val="a9"/>
        </w:rPr>
        <w:footnoteReference w:id="219"/>
      </w:r>
      <w:r>
        <w:rPr>
          <w:rFonts w:hint="eastAsia"/>
        </w:rPr>
        <w:t>。</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beforeLines="400" w:before="1440" w:afterLines="50" w:after="180" w:line="288" w:lineRule="auto"/>
        <w:jc w:val="center"/>
        <w:rPr>
          <w:rFonts w:hint="eastAsia"/>
          <w:b/>
          <w:bCs/>
          <w:sz w:val="36"/>
          <w:szCs w:val="36"/>
        </w:rPr>
      </w:pPr>
      <w:r>
        <w:rPr>
          <w:b/>
          <w:sz w:val="48"/>
          <w:szCs w:val="48"/>
        </w:rPr>
        <w:br w:type="page"/>
      </w:r>
      <w:r>
        <w:rPr>
          <w:rFonts w:hint="eastAsia"/>
          <w:b/>
          <w:sz w:val="48"/>
          <w:szCs w:val="48"/>
        </w:rPr>
        <w:lastRenderedPageBreak/>
        <w:t>第四章</w:t>
      </w:r>
      <w:r>
        <w:rPr>
          <w:rFonts w:hAnsi="新細明體" w:hint="eastAsia"/>
          <w:b/>
          <w:bCs/>
          <w:sz w:val="48"/>
          <w:szCs w:val="48"/>
        </w:rPr>
        <w:t xml:space="preserve">　對公務人員公法上不當得利</w:t>
      </w:r>
      <w:r>
        <w:rPr>
          <w:rFonts w:hint="eastAsia"/>
          <w:b/>
          <w:sz w:val="48"/>
          <w:szCs w:val="48"/>
        </w:rPr>
        <w:t>返還請求權之行使</w:t>
      </w:r>
    </w:p>
    <w:p w:rsidR="00000000" w:rsidRDefault="00724932">
      <w:pPr>
        <w:widowControl/>
        <w:spacing w:afterLines="50" w:after="180" w:line="288" w:lineRule="auto"/>
        <w:jc w:val="both"/>
        <w:rPr>
          <w:rFonts w:hAnsi="新細明體" w:hint="eastAsia"/>
          <w:b/>
          <w:bCs/>
          <w:sz w:val="40"/>
          <w:szCs w:val="40"/>
        </w:rPr>
      </w:pPr>
    </w:p>
    <w:p w:rsidR="00000000" w:rsidRDefault="00724932">
      <w:pPr>
        <w:widowControl/>
        <w:spacing w:line="288" w:lineRule="auto"/>
        <w:ind w:firstLineChars="200" w:firstLine="480"/>
        <w:jc w:val="both"/>
        <w:rPr>
          <w:rFonts w:hAnsi="新細明體" w:hint="eastAsia"/>
        </w:rPr>
      </w:pPr>
      <w:r>
        <w:rPr>
          <w:rFonts w:hint="eastAsia"/>
        </w:rPr>
        <w:t>本</w:t>
      </w:r>
      <w:r>
        <w:rPr>
          <w:rFonts w:hAnsi="新細明體" w:hint="eastAsia"/>
        </w:rPr>
        <w:t>章賡續前章之研究，將進一步處理行政機關如何向公務人員行使公法上不當得利返還請求權的問題。由於這個問題，在我國現行行政爭訟實務，堪稱最富爭議的議題之一，因此本章將先以整理實務的爭議點入手，探究其爭議的原因（第一節），其次再交叉比較德國法制與我國法制的異同，以評析實務的方式，檢討行政機關向公務人員行</w:t>
      </w:r>
      <w:r>
        <w:rPr>
          <w:rFonts w:hAnsi="新細明體" w:hint="eastAsia"/>
        </w:rPr>
        <w:t>使公法上不當得利返還請求權時，究竟應採取哪種法律上之手段，始能符合我國現行法制的要求，以作為本章最後的結論（第二節）。</w:t>
      </w:r>
    </w:p>
    <w:p w:rsidR="00000000" w:rsidRDefault="00724932">
      <w:pPr>
        <w:widowControl/>
        <w:spacing w:line="288" w:lineRule="auto"/>
        <w:ind w:firstLineChars="200" w:firstLine="480"/>
        <w:jc w:val="both"/>
        <w:rPr>
          <w:rFonts w:hAnsi="新細明體" w:hint="eastAsia"/>
        </w:rPr>
      </w:pPr>
    </w:p>
    <w:p w:rsidR="00000000" w:rsidRDefault="00724932">
      <w:pPr>
        <w:widowControl/>
        <w:spacing w:line="288" w:lineRule="auto"/>
        <w:ind w:firstLineChars="200" w:firstLine="480"/>
        <w:jc w:val="both"/>
        <w:rPr>
          <w:rFonts w:hAnsi="新細明體" w:hint="eastAsia"/>
        </w:rPr>
      </w:pPr>
    </w:p>
    <w:p w:rsidR="00000000" w:rsidRDefault="00724932">
      <w:pPr>
        <w:widowControl/>
        <w:spacing w:line="288" w:lineRule="auto"/>
        <w:ind w:firstLineChars="200" w:firstLine="480"/>
        <w:jc w:val="both"/>
        <w:rPr>
          <w:rFonts w:hAnsi="新細明體" w:hint="eastAsia"/>
        </w:rPr>
      </w:pPr>
    </w:p>
    <w:p w:rsidR="00000000" w:rsidRDefault="00724932">
      <w:pPr>
        <w:widowControl/>
        <w:spacing w:afterLines="50" w:after="180" w:line="288" w:lineRule="auto"/>
        <w:ind w:left="1441" w:hangingChars="400" w:hanging="1441"/>
        <w:jc w:val="both"/>
        <w:rPr>
          <w:rFonts w:hint="eastAsia"/>
          <w:b/>
          <w:sz w:val="36"/>
          <w:szCs w:val="36"/>
        </w:rPr>
      </w:pPr>
      <w:r>
        <w:rPr>
          <w:rFonts w:hint="eastAsia"/>
          <w:b/>
          <w:sz w:val="36"/>
          <w:szCs w:val="36"/>
        </w:rPr>
        <w:t>第一節　我國行政爭訟實務上之爭議</w:t>
      </w:r>
    </w:p>
    <w:p w:rsidR="00000000" w:rsidRDefault="00724932">
      <w:pPr>
        <w:widowControl/>
        <w:spacing w:afterLines="50" w:after="180" w:line="288" w:lineRule="auto"/>
        <w:jc w:val="both"/>
        <w:rPr>
          <w:rFonts w:hint="eastAsia"/>
          <w:b/>
          <w:sz w:val="32"/>
          <w:szCs w:val="32"/>
        </w:rPr>
      </w:pPr>
      <w:r>
        <w:rPr>
          <w:rFonts w:hint="eastAsia"/>
          <w:b/>
          <w:sz w:val="32"/>
          <w:szCs w:val="32"/>
        </w:rPr>
        <w:t>壹　爭議過程</w:t>
      </w: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一　行政法院審判實務</w:t>
      </w:r>
    </w:p>
    <w:p w:rsidR="00000000" w:rsidRDefault="00724932">
      <w:pPr>
        <w:widowControl/>
        <w:spacing w:afterLines="50" w:after="180" w:line="288" w:lineRule="auto"/>
        <w:ind w:firstLineChars="200" w:firstLine="480"/>
        <w:jc w:val="both"/>
        <w:rPr>
          <w:rFonts w:hint="eastAsia"/>
        </w:rPr>
      </w:pPr>
      <w:r>
        <w:rPr>
          <w:rFonts w:hint="eastAsia"/>
        </w:rPr>
        <w:t>查公法上不當得利返還請求權者，如本研究第二章第一節壹所言，除本研究所關心的由國家或其他行政主體（請求權人）向人民，如公務人員，主張者外，至少也有人民（請求權人）向國家或其他行政主體所主張者，如溢繳之稅款請求退還的類型。至於涉及公法上不當得利返還請求權，請求權人如何向被請求權人行使的問題時，在人民向國家或其他行政主體</w:t>
      </w:r>
      <w:r>
        <w:rPr>
          <w:rFonts w:hint="eastAsia"/>
        </w:rPr>
        <w:t>主張請求權的方面，基本上而言，則較無爭議。因為在此，請求權之行使，其實與民法上不當得利返還請求權人行使請求權的方法一致：以意思通知為之，若受領人仍拒絕返還，則起訴而透過法院爭訟途徑解決。只是在民法上不當得利方面，具有審判權的法院為普通法院；</w:t>
      </w:r>
      <w:r>
        <w:rPr>
          <w:rFonts w:hint="eastAsia"/>
        </w:rPr>
        <w:lastRenderedPageBreak/>
        <w:t>在公法上不當得利方面，具有審判權的法院，則原則上為行政法院（行政訴訟法第二條參照）。我國司法院大法官釋字第</w:t>
      </w:r>
      <w:r>
        <w:rPr>
          <w:rFonts w:hint="eastAsia"/>
        </w:rPr>
        <w:t>515</w:t>
      </w:r>
      <w:r>
        <w:rPr>
          <w:rFonts w:hint="eastAsia"/>
        </w:rPr>
        <w:t>號解釋所涉的公法上不當得利之問題，正屬人民向國家或其他行政主體主張公法上不當得利返還請求權之一種；司法院大法官在該號解釋理由書指出</w:t>
      </w:r>
      <w:r>
        <w:rPr>
          <w:rFonts w:hint="eastAsia"/>
          <w:color w:val="000000"/>
        </w:rPr>
        <w:t>「</w:t>
      </w:r>
      <w:r>
        <w:rPr>
          <w:rFonts w:hAnsi="新細明體"/>
          <w:kern w:val="0"/>
        </w:rPr>
        <w:t>因不可歸責之事由致興辦工業人</w:t>
      </w:r>
      <w:r>
        <w:rPr>
          <w:rFonts w:hAnsi="新細明體"/>
          <w:kern w:val="0"/>
        </w:rPr>
        <w:t>未能於法定期間內依核定開始使用在工業區購得之土地或廠房，其課徵供作基金款項之法律上原因既已不存在，則構成公法上之不當得利，該興辦工業人自得依現行行政訴訟法提起給付訴訟</w:t>
      </w:r>
      <w:r>
        <w:rPr>
          <w:rFonts w:ascii="新細明體" w:hAnsi="新細明體"/>
          <w:color w:val="000000"/>
        </w:rPr>
        <w:t>…</w:t>
      </w:r>
      <w:r>
        <w:rPr>
          <w:rFonts w:hint="eastAsia"/>
          <w:color w:val="000000"/>
        </w:rPr>
        <w:t>」</w:t>
      </w:r>
      <w:r>
        <w:rPr>
          <w:rFonts w:hint="eastAsia"/>
        </w:rPr>
        <w:t>，不啻說明了該種類型之公法上不當得利，其請求權通常如何行使的問題。在此，司法院大法官的見解與德國通說</w:t>
      </w:r>
      <w:r>
        <w:rPr>
          <w:rStyle w:val="a9"/>
        </w:rPr>
        <w:footnoteReference w:id="220"/>
      </w:r>
      <w:r>
        <w:rPr>
          <w:rFonts w:hint="eastAsia"/>
        </w:rPr>
        <w:t>同；從比較法的立場觀察，殊值贊同</w:t>
      </w:r>
      <w:r>
        <w:rPr>
          <w:rStyle w:val="a9"/>
        </w:rPr>
        <w:footnoteReference w:id="221"/>
      </w:r>
      <w:r>
        <w:rPr>
          <w:rFonts w:hint="eastAsia"/>
        </w:rPr>
        <w:t>。</w:t>
      </w:r>
    </w:p>
    <w:p w:rsidR="00000000" w:rsidRDefault="00724932">
      <w:pPr>
        <w:widowControl/>
        <w:spacing w:afterLines="50" w:after="180" w:line="288" w:lineRule="auto"/>
        <w:ind w:firstLineChars="200" w:firstLine="480"/>
        <w:jc w:val="both"/>
        <w:rPr>
          <w:rFonts w:hint="eastAsia"/>
        </w:rPr>
      </w:pPr>
      <w:r>
        <w:rPr>
          <w:rFonts w:hint="eastAsia"/>
        </w:rPr>
        <w:t>然而相對於此，在國家或其他行政主體向人民主張公法上不當得利返還請求權的方面，問題則比較複雜。因為依據德國，以及繼受德國行政法學思想甚多的我國行政法體系，無論國家或其他行政主體向人民作如何公法上之權利的請</w:t>
      </w:r>
      <w:r>
        <w:rPr>
          <w:rFonts w:hint="eastAsia"/>
        </w:rPr>
        <w:t>求，絕大多數均以透過代表國家或其他行政主體之行政機關作成行政處分（</w:t>
      </w:r>
      <w:r>
        <w:rPr>
          <w:rFonts w:hint="eastAsia"/>
        </w:rPr>
        <w:t>Verwal</w:t>
      </w:r>
      <w:r>
        <w:softHyphen/>
      </w:r>
      <w:r>
        <w:rPr>
          <w:rFonts w:hint="eastAsia"/>
        </w:rPr>
        <w:t>tungsakt</w:t>
      </w:r>
      <w:r>
        <w:rPr>
          <w:rFonts w:hint="eastAsia"/>
        </w:rPr>
        <w:t>）的方式進行；設若行政處分之相對人仍不因此而為義務之履行，必要時，則尚得依據行政執行法所提供之機制，逕為行政上之強制執行。此際，行政機關其實毋庸再以起訴的方式，尋求法院爭訟途徑解決問題。反之，行政處分之相對人或其他利害關係人，若有不服行政處分者，則必須自行依循行政爭訟的機制，以提起訴願，或其他取代訴願之程序，如公務人員保障法中之復審，乃至行政訴訟的方式，尋求權利保護。換言之，代表國家或其他行政主體行使公權力的行政</w:t>
      </w:r>
      <w:r>
        <w:rPr>
          <w:rFonts w:hint="eastAsia"/>
        </w:rPr>
        <w:t>機關，在此與人民的法律地位並非對等的；而國家基於統治權行使的公益目的，此一不平等的地位，不但無可厚非，也有實際上的必要性。</w:t>
      </w:r>
    </w:p>
    <w:p w:rsidR="00000000" w:rsidRDefault="00724932">
      <w:pPr>
        <w:widowControl/>
        <w:spacing w:afterLines="50" w:after="180" w:line="288" w:lineRule="auto"/>
        <w:ind w:firstLineChars="200" w:firstLine="480"/>
        <w:jc w:val="both"/>
        <w:rPr>
          <w:rFonts w:ascii="新細明體" w:hAnsi="新細明體" w:hint="eastAsia"/>
          <w:b/>
          <w:sz w:val="28"/>
          <w:szCs w:val="28"/>
        </w:rPr>
      </w:pPr>
      <w:r>
        <w:rPr>
          <w:rFonts w:hint="eastAsia"/>
        </w:rPr>
        <w:t>不過，同樣是依據德國或我國的現行行政法體系，行政機關以行政處分之方式解決公法上之權利義務問題，在另一方面也絕非全面性，而無往不利的。事實上由於法治國思想下的依法行政原則影響，行政機關是否得以作成行政處分，往往取決於法律上明示或默示的基礎是否存在；假使法律事實上並未提供相當的法律基礎，則行政機關解決其與人民間之相關公法上的爭議，仍須透過行政爭訟的</w:t>
      </w:r>
      <w:r>
        <w:rPr>
          <w:rFonts w:hint="eastAsia"/>
        </w:rPr>
        <w:lastRenderedPageBreak/>
        <w:t>途徑，而非逕自以行政處分，乃至行政執行的方</w:t>
      </w:r>
      <w:r>
        <w:rPr>
          <w:rFonts w:hint="eastAsia"/>
        </w:rPr>
        <w:t>式處理</w:t>
      </w:r>
      <w:r>
        <w:rPr>
          <w:rStyle w:val="a9"/>
        </w:rPr>
        <w:footnoteReference w:id="222"/>
      </w:r>
      <w:r>
        <w:rPr>
          <w:rFonts w:hint="eastAsia"/>
        </w:rPr>
        <w:t>。準此，以國家或其他行政主體向人民主張公法上不當得利返還請求權為例，代表國家或其他行政主體之行政機關得否逕以行政處分，乃至行政執行的方式來主張，並實現其返還請求權，而不直接訴諸法院爭訟，在法律未有明文規定的情況下，則屬疑義。關於這個問題，我國實務的見解相當分歧，值得吾人注意：</w:t>
      </w:r>
    </w:p>
    <w:p w:rsidR="00000000" w:rsidRDefault="00724932">
      <w:pPr>
        <w:widowControl/>
        <w:spacing w:afterLines="50" w:after="180" w:line="288" w:lineRule="auto"/>
        <w:ind w:firstLineChars="200" w:firstLine="480"/>
        <w:jc w:val="both"/>
        <w:rPr>
          <w:rFonts w:hint="eastAsia"/>
        </w:rPr>
      </w:pPr>
      <w:r>
        <w:rPr>
          <w:rFonts w:hint="eastAsia"/>
        </w:rPr>
        <w:t>在我國，有關行政機關究竟應以行政處分及行政執行之方式，直接向人民請求返還公法上不當得利，抑或仍應與人民向行政機關請求返還公法上不當得利的類型同，以向行政法院體系提起給付訴訟之方式為之的問題，如前所述，原是行政爭訟實務上的一大爭</w:t>
      </w:r>
      <w:r>
        <w:rPr>
          <w:rFonts w:hint="eastAsia"/>
        </w:rPr>
        <w:t>議。不過關於這個問題點，若經吾人整理相關的實務見解後，即又將發現歷來法院的立場，其實可以分成兩大階段來說明。首先是民國</w:t>
      </w:r>
      <w:r>
        <w:rPr>
          <w:rFonts w:hint="eastAsia"/>
        </w:rPr>
        <w:t>89</w:t>
      </w:r>
      <w:r>
        <w:rPr>
          <w:rFonts w:hint="eastAsia"/>
        </w:rPr>
        <w:t>年（</w:t>
      </w:r>
      <w:r>
        <w:rPr>
          <w:rFonts w:hint="eastAsia"/>
        </w:rPr>
        <w:t>2000</w:t>
      </w:r>
      <w:r>
        <w:rPr>
          <w:rFonts w:hint="eastAsia"/>
        </w:rPr>
        <w:t>）</w:t>
      </w:r>
      <w:r>
        <w:rPr>
          <w:rFonts w:hint="eastAsia"/>
        </w:rPr>
        <w:t>7</w:t>
      </w:r>
      <w:r>
        <w:rPr>
          <w:rFonts w:hint="eastAsia"/>
        </w:rPr>
        <w:t>月</w:t>
      </w:r>
      <w:r>
        <w:rPr>
          <w:rFonts w:hint="eastAsia"/>
        </w:rPr>
        <w:t>1</w:t>
      </w:r>
      <w:r>
        <w:rPr>
          <w:rFonts w:hint="eastAsia"/>
        </w:rPr>
        <w:t>日行政爭訟法改制前當時行政法院（即現在的最高行政法院）的立場：</w:t>
      </w:r>
    </w:p>
    <w:p w:rsidR="00000000" w:rsidRDefault="00724932">
      <w:pPr>
        <w:widowControl/>
        <w:spacing w:afterLines="50" w:after="180" w:line="288" w:lineRule="auto"/>
        <w:ind w:firstLineChars="200" w:firstLine="480"/>
        <w:jc w:val="both"/>
        <w:rPr>
          <w:rFonts w:hint="eastAsia"/>
        </w:rPr>
      </w:pPr>
      <w:r>
        <w:rPr>
          <w:rFonts w:hint="eastAsia"/>
        </w:rPr>
        <w:t>我國現行行政爭訟法改制前，舊行政訴訟法本來採取以行政處分為唯一爭訟對象的所謂「列舉主義」（修正前行政訴訟法第一條參照）。雖然在當時，行政機關代表國家或其他行政主體向人民主張公法上不當得利返還請求權的問題，其實早已成為行政法院審判的對象。不過彼時或許由於行政處分乃人民唯一能夠透過行政爭訟機制表示不服的一種行</w:t>
      </w:r>
      <w:r>
        <w:rPr>
          <w:rFonts w:hint="eastAsia"/>
        </w:rPr>
        <w:t>政行為，所以當時改制前的行政法院，在涉及行政機關向人民請求返還公法上不當得利的爭訟案件上，似乎有意或無意忽視行政機關就此對人民所做的書面返還主張，究竟係屬一種書面的行政處分，抑或只是一種單純的、與一般私人間請求對方返還民法上不當得利相類似的書面意思通知，而直接將之視為「行政處分」來處理。其中，例如民國</w:t>
      </w:r>
      <w:r>
        <w:rPr>
          <w:rFonts w:hint="eastAsia"/>
        </w:rPr>
        <w:t>86</w:t>
      </w:r>
      <w:r>
        <w:rPr>
          <w:rFonts w:hint="eastAsia"/>
        </w:rPr>
        <w:t>年</w:t>
      </w:r>
      <w:r>
        <w:rPr>
          <w:rFonts w:hint="eastAsia"/>
        </w:rPr>
        <w:t>7</w:t>
      </w:r>
      <w:r>
        <w:rPr>
          <w:rFonts w:hint="eastAsia"/>
        </w:rPr>
        <w:t>月</w:t>
      </w:r>
      <w:r>
        <w:rPr>
          <w:rFonts w:hint="eastAsia"/>
        </w:rPr>
        <w:t>31</w:t>
      </w:r>
      <w:r>
        <w:rPr>
          <w:rFonts w:hint="eastAsia"/>
        </w:rPr>
        <w:t>日行政法院所做成的</w:t>
      </w:r>
      <w:r>
        <w:rPr>
          <w:rFonts w:hint="eastAsia"/>
        </w:rPr>
        <w:t>86</w:t>
      </w:r>
      <w:r>
        <w:rPr>
          <w:rFonts w:hint="eastAsia"/>
        </w:rPr>
        <w:t>年度判字第</w:t>
      </w:r>
      <w:r>
        <w:rPr>
          <w:rFonts w:hint="eastAsia"/>
        </w:rPr>
        <w:t>1861</w:t>
      </w:r>
      <w:r>
        <w:rPr>
          <w:rFonts w:hint="eastAsia"/>
        </w:rPr>
        <w:t>號判決稱：「</w:t>
      </w:r>
      <w:r>
        <w:rPr>
          <w:rFonts w:ascii="標楷體" w:eastAsia="標楷體" w:hAnsi="標楷體"/>
        </w:rPr>
        <w:t>按公教人員待遇應以</w:t>
      </w:r>
      <w:r>
        <w:rPr>
          <w:rFonts w:ascii="標楷體" w:eastAsia="標楷體" w:hAnsi="標楷體" w:hint="eastAsia"/>
        </w:rPr>
        <w:t>敘</w:t>
      </w:r>
      <w:r>
        <w:rPr>
          <w:rFonts w:ascii="標楷體" w:eastAsia="標楷體" w:hAnsi="標楷體"/>
        </w:rPr>
        <w:t>薪為前提，如超出核薪範圍，不依規定</w:t>
      </w:r>
      <w:r>
        <w:rPr>
          <w:rFonts w:ascii="標楷體" w:eastAsia="標楷體" w:hAnsi="標楷體" w:hint="eastAsia"/>
        </w:rPr>
        <w:t>敘</w:t>
      </w:r>
      <w:r>
        <w:rPr>
          <w:rFonts w:ascii="標楷體" w:eastAsia="標楷體" w:hAnsi="標楷體"/>
        </w:rPr>
        <w:t>級支給時，執法上並無裁量彈性。多核薪級一級，在法律上實質不合法，形式上亦有瑕疵，屬無法律</w:t>
      </w:r>
      <w:r>
        <w:rPr>
          <w:rFonts w:ascii="標楷體" w:eastAsia="標楷體" w:hAnsi="標楷體"/>
        </w:rPr>
        <w:t>原因之給付為不當得利，應予返還。本件原告</w:t>
      </w:r>
      <w:r>
        <w:rPr>
          <w:rFonts w:ascii="標楷體" w:eastAsia="標楷體" w:hAnsi="標楷體"/>
        </w:rPr>
        <w:t>…</w:t>
      </w:r>
      <w:r>
        <w:rPr>
          <w:rFonts w:ascii="標楷體" w:eastAsia="標楷體" w:hAnsi="標楷體"/>
        </w:rPr>
        <w:t>溢領學術研究費計新台幣三十八萬八千二百七十元，被告函知原告自八十五年七月份起原告薪資中每月扣繳新台幣一萬五千元，分期繳還，如退休或離職時尚未繳清，則餘款請一次還清。揆諸首揭說明洵無違誤；訴願及再訴願決定遞予維持，亦無不合</w:t>
      </w:r>
      <w:r>
        <w:rPr>
          <w:rFonts w:ascii="標楷體" w:eastAsia="標楷體" w:hAnsi="標楷體"/>
        </w:rPr>
        <w:t>…</w:t>
      </w:r>
      <w:r>
        <w:rPr>
          <w:rFonts w:hint="eastAsia"/>
        </w:rPr>
        <w:t>」，即屬代表。蓋在這個案件中，爭訟事實明顯牽涉行政機關（請求權人）以「函知」方式向溢領薪資（學術研究費）的某公教</w:t>
      </w:r>
      <w:r>
        <w:rPr>
          <w:rFonts w:hint="eastAsia"/>
        </w:rPr>
        <w:lastRenderedPageBreak/>
        <w:t>人員（不當得利受領人）主張返還該溢領的學術研究費，為一種典型的行政機關向人民（公教人員）請求返還公法上不當得利之事件，然而行政法院就此，</w:t>
      </w:r>
      <w:r>
        <w:rPr>
          <w:rFonts w:hint="eastAsia"/>
        </w:rPr>
        <w:t>卻在未討論系爭「函知」之法律性質的情況下，直接進入本案不當得利究竟是否成立等問題加以審理；從而，姑不論行政法院在此的立場究竟如何，其針對行政機關得否逕以行政處分之方式，向人民主張公法上不當得利返還請求權的問題，欠缺問題意識，則顯然可知。因此，相關問題的爭議，似乎有待行政爭訟法改制後，始能浮現檯面。至於法院就此爭議問題的態度究竟如何，也得以本節前揭所謂的第二階段來作進一步的說明：</w:t>
      </w:r>
    </w:p>
    <w:p w:rsidR="00000000" w:rsidRDefault="00724932">
      <w:pPr>
        <w:widowControl/>
        <w:spacing w:afterLines="50" w:after="180" w:line="288" w:lineRule="auto"/>
        <w:ind w:firstLineChars="200" w:firstLine="480"/>
        <w:jc w:val="both"/>
        <w:rPr>
          <w:rFonts w:hAnsi="新細明體" w:hint="eastAsia"/>
        </w:rPr>
      </w:pPr>
      <w:r>
        <w:rPr>
          <w:rFonts w:hint="eastAsia"/>
        </w:rPr>
        <w:t>民國</w:t>
      </w:r>
      <w:r>
        <w:rPr>
          <w:rFonts w:hint="eastAsia"/>
        </w:rPr>
        <w:t>89</w:t>
      </w:r>
      <w:r>
        <w:rPr>
          <w:rFonts w:hint="eastAsia"/>
        </w:rPr>
        <w:t>年</w:t>
      </w:r>
      <w:r>
        <w:rPr>
          <w:rFonts w:hint="eastAsia"/>
        </w:rPr>
        <w:t>7</w:t>
      </w:r>
      <w:r>
        <w:rPr>
          <w:rFonts w:hint="eastAsia"/>
        </w:rPr>
        <w:t>月</w:t>
      </w:r>
      <w:r>
        <w:rPr>
          <w:rFonts w:hint="eastAsia"/>
        </w:rPr>
        <w:t>1</w:t>
      </w:r>
      <w:r>
        <w:rPr>
          <w:rFonts w:hint="eastAsia"/>
        </w:rPr>
        <w:t>日現行訴願法及行政訴訟法開始施行；原來的行政法院改制為最高行政法院，管轄行政訴訟案件的終審裁判，而第一審裁判，則由</w:t>
      </w:r>
      <w:r>
        <w:rPr>
          <w:rFonts w:hint="eastAsia"/>
        </w:rPr>
        <w:t>新設的臺北、臺中與高雄等三所高等行政法院負責受理。其間，由於發生在臺北縣的一宗徵收補償費溢放事件，相當多數之溢領人經臺北縣政府於民國</w:t>
      </w:r>
      <w:r>
        <w:rPr>
          <w:rFonts w:hint="eastAsia"/>
        </w:rPr>
        <w:t>85</w:t>
      </w:r>
      <w:r>
        <w:rPr>
          <w:rFonts w:hint="eastAsia"/>
        </w:rPr>
        <w:t>年函知退繳，仍拒絕繳還後，臺北縣政府遂分別於民國</w:t>
      </w:r>
      <w:r>
        <w:rPr>
          <w:rFonts w:hint="eastAsia"/>
        </w:rPr>
        <w:t>90</w:t>
      </w:r>
      <w:r>
        <w:rPr>
          <w:rFonts w:hint="eastAsia"/>
        </w:rPr>
        <w:t>年間，向管轄的臺北高等行政法院依行政訴訟法第八條第一項提起一般給付訴訟，請求溢領人返還前所不當受領之補償費</w:t>
      </w:r>
      <w:r>
        <w:rPr>
          <w:rStyle w:val="a9"/>
        </w:rPr>
        <w:footnoteReference w:id="223"/>
      </w:r>
      <w:r>
        <w:rPr>
          <w:rFonts w:hint="eastAsia"/>
        </w:rPr>
        <w:t>。面對此等因同一事實而大量湧入的公法上不當得利案件，臺北高等法院一一受理後，卻分別於民國</w:t>
      </w:r>
      <w:r>
        <w:rPr>
          <w:rFonts w:hint="eastAsia"/>
        </w:rPr>
        <w:t>91</w:t>
      </w:r>
      <w:r>
        <w:rPr>
          <w:rFonts w:hint="eastAsia"/>
        </w:rPr>
        <w:t>年間，略以原告臺北縣政府得逕以行政處分及行政執行方式主張並貫徹其向人民所生之公法上不當得利返還請求權，是起訴欠缺「權利保護必</w:t>
      </w:r>
      <w:r>
        <w:rPr>
          <w:rFonts w:hint="eastAsia"/>
        </w:rPr>
        <w:t>要性（</w:t>
      </w:r>
      <w:r>
        <w:rPr>
          <w:rFonts w:hAnsi="新細明體" w:hint="eastAsia"/>
        </w:rPr>
        <w:t>Rechtsschutzbed</w:t>
      </w:r>
      <w:r>
        <w:t>ü</w:t>
      </w:r>
      <w:r>
        <w:rPr>
          <w:rFonts w:hAnsi="新細明體" w:hint="eastAsia"/>
        </w:rPr>
        <w:t>rfnis</w:t>
      </w:r>
      <w:r>
        <w:rPr>
          <w:rFonts w:hint="eastAsia"/>
        </w:rPr>
        <w:t>）」等為理由，分別駁回原告之起訴。不過就此，原告不服，遂分別上訴至最高行政法院；而最高行政法院在此卻另持與原審臺北高等行政法院迥然不同的見解。又於民國</w:t>
      </w:r>
      <w:r>
        <w:rPr>
          <w:rFonts w:hint="eastAsia"/>
        </w:rPr>
        <w:t>92</w:t>
      </w:r>
      <w:r>
        <w:rPr>
          <w:rFonts w:hint="eastAsia"/>
        </w:rPr>
        <w:t>年間，分別略以有關行政機關對人民所生之公法上不當得利返還請求權，在法律並無明文規定的情況下，行政機關原則上不得逕以行政處分及行政執行方式主張並貫徹其請求，而應以提起一般給付訴訟為之等理由，廢棄臺北高等行政法院的原判決，發回原法院另為適法之審理。從而有關公法上之不當得利，行政機關究竟如何向人民為返還請求權之主張</w:t>
      </w:r>
      <w:r>
        <w:rPr>
          <w:rFonts w:hint="eastAsia"/>
        </w:rPr>
        <w:t>，臺北高等行政法院及最高行政法院顯然分別採取「行政處分說」及「一般給付訴訟說」等對立的立場，而相持不下。是今正為便利相關問題的探討，本文謹將臺北高等行政法院於</w:t>
      </w:r>
      <w:r>
        <w:rPr>
          <w:rFonts w:hAnsi="新細明體"/>
        </w:rPr>
        <w:t>民國</w:t>
      </w:r>
      <w:r>
        <w:t>91</w:t>
      </w:r>
      <w:r>
        <w:rPr>
          <w:rFonts w:hAnsi="新細明體"/>
        </w:rPr>
        <w:t>年</w:t>
      </w:r>
      <w:r>
        <w:t>1</w:t>
      </w:r>
      <w:r>
        <w:rPr>
          <w:rFonts w:hAnsi="新細明體"/>
        </w:rPr>
        <w:t>月</w:t>
      </w:r>
      <w:r>
        <w:t>14</w:t>
      </w:r>
      <w:r>
        <w:rPr>
          <w:rFonts w:hAnsi="新細明體"/>
        </w:rPr>
        <w:t>日</w:t>
      </w:r>
      <w:r>
        <w:rPr>
          <w:rFonts w:hAnsi="新細明體" w:hint="eastAsia"/>
        </w:rPr>
        <w:t>所作成的</w:t>
      </w:r>
      <w:r>
        <w:t>90</w:t>
      </w:r>
      <w:r>
        <w:rPr>
          <w:rFonts w:hAnsi="新細明體"/>
        </w:rPr>
        <w:t>年度訴字第</w:t>
      </w:r>
      <w:r>
        <w:t>1752</w:t>
      </w:r>
      <w:r>
        <w:rPr>
          <w:rFonts w:hAnsi="新細明體"/>
        </w:rPr>
        <w:t>號判決</w:t>
      </w:r>
      <w:r>
        <w:rPr>
          <w:rFonts w:hAnsi="新細明體" w:hint="eastAsia"/>
        </w:rPr>
        <w:t>理由全文，以及最高行政法院據以廢棄該原審判決之</w:t>
      </w:r>
      <w:r>
        <w:rPr>
          <w:rFonts w:hint="eastAsia"/>
        </w:rPr>
        <w:t>92</w:t>
      </w:r>
      <w:r>
        <w:rPr>
          <w:rFonts w:hint="eastAsia"/>
        </w:rPr>
        <w:t>年度判</w:t>
      </w:r>
      <w:r>
        <w:rPr>
          <w:rFonts w:hint="eastAsia"/>
        </w:rPr>
        <w:lastRenderedPageBreak/>
        <w:t>字第</w:t>
      </w:r>
      <w:r>
        <w:rPr>
          <w:rFonts w:hint="eastAsia"/>
        </w:rPr>
        <w:t>761</w:t>
      </w:r>
      <w:r>
        <w:rPr>
          <w:rFonts w:hint="eastAsia"/>
        </w:rPr>
        <w:t>號判決（民國</w:t>
      </w:r>
      <w:r>
        <w:rPr>
          <w:rFonts w:hint="eastAsia"/>
        </w:rPr>
        <w:t>92</w:t>
      </w:r>
      <w:r>
        <w:rPr>
          <w:rFonts w:hint="eastAsia"/>
        </w:rPr>
        <w:t>年</w:t>
      </w:r>
      <w:r>
        <w:rPr>
          <w:rFonts w:hint="eastAsia"/>
        </w:rPr>
        <w:t>6</w:t>
      </w:r>
      <w:r>
        <w:rPr>
          <w:rFonts w:hint="eastAsia"/>
        </w:rPr>
        <w:t>月</w:t>
      </w:r>
      <w:r>
        <w:rPr>
          <w:rFonts w:hint="eastAsia"/>
        </w:rPr>
        <w:t>13</w:t>
      </w:r>
      <w:r>
        <w:rPr>
          <w:rFonts w:hint="eastAsia"/>
        </w:rPr>
        <w:t>日）</w:t>
      </w:r>
      <w:r>
        <w:rPr>
          <w:rFonts w:hAnsi="新細明體" w:hint="eastAsia"/>
        </w:rPr>
        <w:t>的重要理由部分，分別抄錄在後，以作為兩所法院的不同代表性觀點。</w:t>
      </w:r>
    </w:p>
    <w:p w:rsidR="00000000" w:rsidRDefault="00724932">
      <w:pPr>
        <w:widowControl/>
        <w:spacing w:afterLines="50" w:after="180" w:line="288" w:lineRule="auto"/>
        <w:ind w:firstLineChars="200" w:firstLine="480"/>
        <w:jc w:val="both"/>
        <w:rPr>
          <w:rFonts w:hAnsi="新細明體" w:hint="eastAsia"/>
        </w:rPr>
      </w:pPr>
      <w:r>
        <w:rPr>
          <w:rFonts w:hint="eastAsia"/>
        </w:rPr>
        <w:t>首先，臺北高等行政法院</w:t>
      </w:r>
      <w:r>
        <w:t>90</w:t>
      </w:r>
      <w:r>
        <w:rPr>
          <w:rFonts w:hAnsi="新細明體"/>
        </w:rPr>
        <w:t>年度訴字第</w:t>
      </w:r>
      <w:r>
        <w:t>1752</w:t>
      </w:r>
      <w:r>
        <w:rPr>
          <w:rFonts w:hAnsi="新細明體"/>
        </w:rPr>
        <w:t>號判決</w:t>
      </w:r>
      <w:r>
        <w:rPr>
          <w:rFonts w:hAnsi="新細明體" w:hint="eastAsia"/>
        </w:rPr>
        <w:t>持「行政處分說」之判決理由全文如下：</w:t>
      </w:r>
    </w:p>
    <w:p w:rsidR="00000000" w:rsidRDefault="0072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left="480" w:hangingChars="200" w:hanging="480"/>
        <w:jc w:val="both"/>
        <w:rPr>
          <w:rFonts w:ascii="標楷體" w:eastAsia="標楷體" w:hAnsi="標楷體"/>
        </w:rPr>
      </w:pPr>
      <w:r>
        <w:rPr>
          <w:rFonts w:ascii="標楷體" w:eastAsia="標楷體" w:hAnsi="標楷體"/>
        </w:rPr>
        <w:t>一、按義務人本於法令之行政處分，負有公法上金錢給付</w:t>
      </w:r>
      <w:r>
        <w:rPr>
          <w:rFonts w:ascii="標楷體" w:eastAsia="標楷體" w:hAnsi="標楷體"/>
        </w:rPr>
        <w:t>義務，其處分文書定有履行期間，如逾期不履行，主管機關得移送行政執行處就義務人之財產強制執行，行政執行法第十一條第一項第一款定有明文。又「違法行政處分於法定救濟期間經過後，原處分機關得依職權為全部或一部之撤銷」、「授予利益之行政處分，其內容係提供一次或連續之金錢或可分物之給付者，經撤銷、廢止或條件成就而有溯及既往失效之情形時，受益人應返還因該處分所受領之給付」、「前項返還範圍準用民法有關不當得利之規定」，行政程序法第一百十七條前段、第一百二十七條第一項前段、第二項分別定有明文。次按行政程序法雖於九十年一月一日</w:t>
      </w:r>
      <w:r>
        <w:rPr>
          <w:rFonts w:ascii="標楷體" w:eastAsia="標楷體" w:hAnsi="標楷體"/>
        </w:rPr>
        <w:t>始開始施行，但上開法理本存在於五十九年十二月二十三日修正公布之訴願法第十七條第二項及八十七年十月二十八日修正公布、八十九年七月一日施行之訴願法第八十條第一項有關提起訴願雖逾法定期限，但原行政處分若顯屬違法或不當者，原行政處分機關或其上級機關得依職權變更或撤銷之規定中，改制前行政法院四十四年判字第四十號判例亦明示：「行政官署對其已為之行政行為發覺有違誤之處，而自動更正或撤銷，並非法所不許」，另同院二十四年判字第四號、五十年判字第二十五號判例意旨均屬同一意旨。而授予利益之行政處分之一部或全部被撤銷時，受益人受領</w:t>
      </w:r>
      <w:r>
        <w:rPr>
          <w:rFonts w:ascii="標楷體" w:eastAsia="標楷體" w:hAnsi="標楷體"/>
        </w:rPr>
        <w:t>利益之法律原因即於撤銷範圍內溯及失其效力，依民法第一百七十九條規定之法理，其應負返還該已無法律原因之利益之義務，原授予利益之機關即有請求其返還之權利，且基於主管此項事務之機關職權，自可以行政處分之方式命其返還該項不當得利。故縱使在行政程序法施行前，行政機關仍得於發現其所為授益性行政處分有違誤時，依職權為全部或一部之撤銷，並命受益人於一定期限內返還其不當得利，此乃行政機關本於法令（或法理）所為之形成及下命處分，受處分之相對人即因而負有公法上金錢給付義務，如其認為此項處分有違法或不當，自得另行提起行政救濟。而主</w:t>
      </w:r>
      <w:r>
        <w:rPr>
          <w:rFonts w:ascii="標楷體" w:eastAsia="標楷體" w:hAnsi="標楷體"/>
        </w:rPr>
        <w:t>管機關亦得於履行期限屆滿後，移送行政執行處就義務人之財產強制執行。</w:t>
      </w:r>
    </w:p>
    <w:p w:rsidR="00000000" w:rsidRDefault="007249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line="288" w:lineRule="auto"/>
        <w:ind w:left="480" w:hangingChars="200" w:hanging="480"/>
        <w:jc w:val="both"/>
        <w:rPr>
          <w:rFonts w:ascii="Times New Roman" w:eastAsia="標楷體" w:hAnsi="Times New Roman" w:hint="eastAsia"/>
        </w:rPr>
      </w:pPr>
      <w:r>
        <w:rPr>
          <w:rFonts w:ascii="Times New Roman" w:eastAsia="標楷體" w:hAnsi="標楷體"/>
        </w:rPr>
        <w:lastRenderedPageBreak/>
        <w:t>二、查原告因辦理省道台十五線</w:t>
      </w:r>
      <w:r>
        <w:rPr>
          <w:rFonts w:ascii="Times New Roman" w:eastAsia="標楷體" w:hAnsi="Times New Roman"/>
        </w:rPr>
        <w:t>0k+000</w:t>
      </w:r>
      <w:r>
        <w:rPr>
          <w:rFonts w:ascii="Times New Roman" w:eastAsia="標楷體" w:hAnsi="標楷體"/>
        </w:rPr>
        <w:t>至</w:t>
      </w:r>
      <w:r>
        <w:rPr>
          <w:rFonts w:ascii="Times New Roman" w:eastAsia="標楷體" w:hAnsi="Times New Roman"/>
        </w:rPr>
        <w:t>6k+626</w:t>
      </w:r>
      <w:r>
        <w:rPr>
          <w:rFonts w:ascii="Times New Roman" w:eastAsia="標楷體" w:hAnsi="標楷體"/>
        </w:rPr>
        <w:t>段道路拓寬工程，拆遷被告所有坐落用地內之建築物，前經原告核定應核發補償費二</w:t>
      </w:r>
      <w:r>
        <w:rPr>
          <w:rFonts w:ascii="標楷體" w:eastAsia="標楷體" w:hAnsi="標楷體"/>
        </w:rPr>
        <w:t>、</w:t>
      </w:r>
      <w:r>
        <w:rPr>
          <w:rFonts w:ascii="標楷體" w:eastAsia="標楷體" w:hAnsi="標楷體" w:hint="eastAsia"/>
        </w:rPr>
        <w:t>○</w:t>
      </w:r>
      <w:r>
        <w:rPr>
          <w:rFonts w:ascii="Times New Roman" w:eastAsia="標楷體" w:hAnsi="標楷體"/>
        </w:rPr>
        <w:t>三九、二九六元，經公告確定後發放並拆遷完畢。嗣經原告予以複估，並認應以第三次複估之金額一、六六五、三</w:t>
      </w:r>
      <w:r>
        <w:rPr>
          <w:rFonts w:ascii="標楷體" w:eastAsia="標楷體" w:hAnsi="標楷體" w:hint="eastAsia"/>
        </w:rPr>
        <w:t>○</w:t>
      </w:r>
      <w:r>
        <w:rPr>
          <w:rFonts w:ascii="Times New Roman" w:eastAsia="標楷體" w:hAnsi="標楷體"/>
        </w:rPr>
        <w:t>五元為準，原告乃於八十五年一月十一日以八五北府工土字第七八一</w:t>
      </w:r>
      <w:r>
        <w:rPr>
          <w:rFonts w:ascii="標楷體" w:eastAsia="標楷體" w:hAnsi="標楷體" w:hint="eastAsia"/>
        </w:rPr>
        <w:t>○</w:t>
      </w:r>
      <w:r>
        <w:rPr>
          <w:rFonts w:ascii="Times New Roman" w:eastAsia="標楷體" w:hAnsi="標楷體"/>
        </w:rPr>
        <w:t>號函通知被告：「台端所有坐落省道台十五線</w:t>
      </w:r>
      <w:r>
        <w:rPr>
          <w:rFonts w:ascii="Times New Roman" w:eastAsia="標楷體" w:hAnsi="Times New Roman"/>
        </w:rPr>
        <w:t>0k+000</w:t>
      </w:r>
      <w:r>
        <w:rPr>
          <w:rFonts w:ascii="Times New Roman" w:eastAsia="標楷體" w:hAnsi="標楷體"/>
        </w:rPr>
        <w:t>至</w:t>
      </w:r>
      <w:r>
        <w:rPr>
          <w:rFonts w:ascii="Times New Roman" w:eastAsia="標楷體" w:hAnsi="Times New Roman"/>
        </w:rPr>
        <w:t>6k+626</w:t>
      </w:r>
      <w:r>
        <w:rPr>
          <w:rFonts w:ascii="Times New Roman" w:eastAsia="標楷體" w:hAnsi="標楷體"/>
        </w:rPr>
        <w:t>段道路拓寬工程用地內之建築物補償費，經複估核算後與原公告補償費金額不合，其溢領之補</w:t>
      </w:r>
      <w:r>
        <w:rPr>
          <w:rFonts w:ascii="Times New Roman" w:eastAsia="標楷體" w:hAnsi="標楷體"/>
        </w:rPr>
        <w:t>償費（詳如附件）請八十五年二月二十九日前退繳至台灣土地銀行士林分行補償費發放專戶內，請查照。」，並於附件「建築物補償清冊」內敘明各業主建築物坐落門牌、複估金額、已領金額及追繳金額，其中本件被告應追繳金額為三七三、九九一元，此有原告所提上開公函及附件西部濱海公路台十五線</w:t>
      </w:r>
      <w:r>
        <w:rPr>
          <w:rFonts w:ascii="Times New Roman" w:eastAsia="標楷體" w:hAnsi="Times New Roman"/>
        </w:rPr>
        <w:t>0k+000</w:t>
      </w:r>
      <w:r>
        <w:rPr>
          <w:rFonts w:ascii="Times New Roman" w:eastAsia="標楷體" w:hAnsi="標楷體"/>
        </w:rPr>
        <w:t>至</w:t>
      </w:r>
      <w:r>
        <w:rPr>
          <w:rFonts w:ascii="Times New Roman" w:eastAsia="標楷體" w:hAnsi="Times New Roman"/>
        </w:rPr>
        <w:t>6k+626</w:t>
      </w:r>
      <w:r>
        <w:rPr>
          <w:rFonts w:ascii="Times New Roman" w:eastAsia="標楷體" w:hAnsi="標楷體"/>
        </w:rPr>
        <w:t>用地內建築物補償清冊可稽。原告既於核定被告之建築物補償金額後，因複估發現原核定補償金額有誤，乃決定以複估之金額為準，即係更為核定較低之金額（亦即依職權撤銷原核定之一部），並因該經撤銷之部分已溯及既往失其效力，被告有返還</w:t>
      </w:r>
      <w:r>
        <w:rPr>
          <w:rFonts w:ascii="Times New Roman" w:eastAsia="標楷體" w:hAnsi="標楷體"/>
        </w:rPr>
        <w:t>溢領部分之補償金額之義務，乃發函表明變更之意旨及命其於一定期限內如數返還，其係基於職權就公法上具體事件所為之決定，而對外直接發生法律效果之單方行政行為，甚為明顯，則此公函即係依法令所為之行政處分，具有形成及下命處分之性質，被告因而負有公法上金錢給付義務，茲被告既逾期未履行，依首揭說明，原告即得逕移行政執行處強制執行，自無庸向高等行政法院另行提起給付之訴。至於遲延利息之請求部分，雖然上開公函未一併命被告給付，但依行政程序法第一百二十七條第二項準用民法第一百八十二條第二項之規定，利息本屬不當得利返還之範圍，原告</w:t>
      </w:r>
      <w:r>
        <w:rPr>
          <w:rFonts w:ascii="Times New Roman" w:eastAsia="標楷體" w:hAnsi="標楷體"/>
        </w:rPr>
        <w:t>可另以行政處分命被告給付，亦無向本院起訴之必要。否則如認原告須起訴取得給付判決，始得強制執行，無異否定行政處分之執行力，有違行政訴訟法第一百十六條第一項、訴願法第九十三條第一項及行政執行法第四條第一項之規定。且按行政講究主動、積極與效率，於法律許可之多種作為方式中，行政機關基於行政效率之考慮，及自我實現行政目的之職能，有義務選擇最有效能之行政作為手段，以達成其施政目標。而行政法院存在之目的，主要係提供人民於其權利受侵害時救濟之管道，而非代替行政機關為行政處分。如行政機關放棄自身之行政作為手段，或自認其命人民</w:t>
      </w:r>
      <w:r>
        <w:rPr>
          <w:rFonts w:ascii="Times New Roman" w:eastAsia="標楷體" w:hAnsi="標楷體"/>
        </w:rPr>
        <w:t>為財產上給付之表示，非行政處分，而訴諸法院判決之強制作用來完成其自身應負之行政任務，即難謂在行政訴訟制度上具有權利保護之必要性。何況被告對於右開公函本得提起行政救</w:t>
      </w:r>
      <w:r>
        <w:rPr>
          <w:rFonts w:ascii="Times New Roman" w:eastAsia="標楷體" w:hAnsi="標楷體"/>
        </w:rPr>
        <w:lastRenderedPageBreak/>
        <w:t>濟，如又認原告得另提起返還公法上不當得利之給付訴訟，程序上將造成同一爭議重複進行行政爭訟，應如何審判及判決歧異之困擾。故原告起訴請求返還本件公法上不當得利及其利息，其訴欠缺權利保護必要，在法律上顯無理由，爰不經言詞辯論，逕以判決駁回之。</w:t>
      </w:r>
    </w:p>
    <w:p w:rsidR="00000000" w:rsidRDefault="00724932">
      <w:pPr>
        <w:widowControl/>
        <w:spacing w:afterLines="50" w:after="180" w:line="288" w:lineRule="auto"/>
        <w:ind w:firstLineChars="200" w:firstLine="480"/>
        <w:jc w:val="both"/>
        <w:rPr>
          <w:rFonts w:hint="eastAsia"/>
        </w:rPr>
      </w:pPr>
      <w:r>
        <w:rPr>
          <w:rFonts w:hint="eastAsia"/>
        </w:rPr>
        <w:t>其次，反對前開臺北高等行政法院見解的最高行政法院</w:t>
      </w:r>
      <w:r>
        <w:rPr>
          <w:rFonts w:hint="eastAsia"/>
        </w:rPr>
        <w:t>92</w:t>
      </w:r>
      <w:r>
        <w:rPr>
          <w:rFonts w:hint="eastAsia"/>
        </w:rPr>
        <w:t>年度判字第</w:t>
      </w:r>
      <w:r>
        <w:rPr>
          <w:rFonts w:hint="eastAsia"/>
        </w:rPr>
        <w:t>761</w:t>
      </w:r>
      <w:r>
        <w:rPr>
          <w:rFonts w:hint="eastAsia"/>
        </w:rPr>
        <w:t>號判決，其持「一般給付訴訟說」的重要理由則為</w:t>
      </w:r>
      <w:r>
        <w:rPr>
          <w:rFonts w:hint="eastAsia"/>
        </w:rPr>
        <w:t>：</w:t>
      </w:r>
    </w:p>
    <w:p w:rsidR="00000000" w:rsidRDefault="00724932">
      <w:pPr>
        <w:widowControl/>
        <w:spacing w:afterLines="50" w:after="180" w:line="288" w:lineRule="auto"/>
        <w:ind w:firstLineChars="200" w:firstLine="480"/>
        <w:jc w:val="both"/>
        <w:rPr>
          <w:rFonts w:hint="eastAsia"/>
        </w:rPr>
      </w:pPr>
      <w:r>
        <w:rPr>
          <w:rFonts w:ascii="標楷體" w:eastAsia="標楷體" w:hAnsi="標楷體" w:hint="eastAsia"/>
        </w:rPr>
        <w:t>本件上訴人請求返還溢領補償費，係基於公法上之不當得利請求權，上訴人並無裁量核定之權，性質上非屬行政執行法第十一條之公法上金錢給付義務。次查本件上訴人本於公法上不當得利法律關係請求，係準用民法有關不當得利之規定，其請求權之行使、返還之範圍等均須依民法第一百八十條至第一百八十三條之規定，上訴人並無單方裁量之決定權，足認上訴人行使不當得利請求權，係基於與被上訴人相同地位，故上訴人八十五年一月十一日所發八五北府工土字第七八一○號函中，限期被上訴人返還溢領補償金部分，無非通知被上訴人履行債務，尚非行政機關本於法令</w:t>
      </w:r>
      <w:r>
        <w:rPr>
          <w:rFonts w:ascii="標楷體" w:eastAsia="標楷體" w:hAnsi="標楷體" w:hint="eastAsia"/>
        </w:rPr>
        <w:t>所為之形成或下命之行政處分，顯與行政執行法第十一條第一項所定要件不合。又行政程序法第一百二十七條第二項，僅規定受益人返還範圍準用民法有關不當得利之規定，並未如德國法有明文規定因行政處分撤銷失效，受益人返還所受領給付時，行政機關得以行政處分核定返還金額。主管機關若以行政處分之方式命受領人返還，欠缺法律上依據。行政機關既無依法單方裁量核定之權限，仍應由行政機關提起一般給付訴訟，以確定不當得利之範圍。是以上訴人依行政訴訟法第八條第一項規定，依據公法上之不當得利返還請求權，提起一般給付訴訟，程序上尚無不合，亦有權利</w:t>
      </w:r>
      <w:r>
        <w:rPr>
          <w:rFonts w:ascii="標楷體" w:eastAsia="標楷體" w:hAnsi="標楷體" w:hint="eastAsia"/>
        </w:rPr>
        <w:t>保護之必要。</w:t>
      </w:r>
      <w:r>
        <w:rPr>
          <w:rFonts w:ascii="標楷體" w:eastAsia="標楷體" w:hAnsi="標楷體"/>
        </w:rPr>
        <w:t>…</w:t>
      </w:r>
      <w:r>
        <w:rPr>
          <w:rFonts w:ascii="標楷體" w:eastAsia="標楷體" w:hAnsi="標楷體" w:hint="eastAsia"/>
        </w:rPr>
        <w:t>上訴意旨據以指摘，求為廢棄原判決，為有理由。合將原判決廢棄，發回原法院另為適法之審理，以資救濟。</w:t>
      </w:r>
    </w:p>
    <w:p w:rsidR="00000000" w:rsidRDefault="00724932">
      <w:pPr>
        <w:widowControl/>
        <w:spacing w:afterLines="50" w:after="180" w:line="288" w:lineRule="auto"/>
        <w:ind w:firstLineChars="200" w:firstLine="480"/>
        <w:jc w:val="both"/>
        <w:rPr>
          <w:rFonts w:hint="eastAsia"/>
        </w:rPr>
      </w:pPr>
      <w:r>
        <w:rPr>
          <w:rFonts w:hint="eastAsia"/>
        </w:rPr>
        <w:t>最後，綜上兩所法院不同的見解，吾人可以發現：有關行政機關如何向人民請求返還公法上不當得利的問題，兩所法院判決在此所涉之事實，係屬因行政機關（部分）撤銷原行政處分（在本案，即被告建築物補償金額之原核定）後所生的公法上不當得利。而針對這種原以行政處分作為給付的「法律上之原因」，嗣後因行政處分撤銷，以致「法律上之原因」溯及不存在所生的公法上不當得利類型，我國行政程序法第一百二十七條第二項雖然明確指出，相</w:t>
      </w:r>
      <w:r>
        <w:rPr>
          <w:rFonts w:hint="eastAsia"/>
        </w:rPr>
        <w:t>關的返還範圍準用民法有關不當得利之規定，不過行政機關在此究竟如何向不當受益的人民請求返還，則因法無明文，而滋爭議。不過針對這個法無明文的爭議問題，臺北高等行</w:t>
      </w:r>
      <w:r>
        <w:rPr>
          <w:rFonts w:hint="eastAsia"/>
        </w:rPr>
        <w:lastRenderedPageBreak/>
        <w:t>政法院則認為：行政程序法第一百二十七條所揭示者，終究只是一項行政機關得依職權自行（部分）撤銷違法之授益處分，並同時向受益人請求返還因此已無法律原因之利益的法理；由於此一法理，原已存在，而不待法律明文，所以在本案所示的公法上不當得利類型中，行政機關縱於行政程序法第一百二十七條之規定無從適用，或該規定本身不明確的情形下，仍得逕按前開法理，依職權自行以形成並下</w:t>
      </w:r>
      <w:r>
        <w:rPr>
          <w:rFonts w:hint="eastAsia"/>
        </w:rPr>
        <w:t>命之行政處分的方式，撤銷原違法之授益處分（形成），並同時向受益人請求返還因此所生的不當得利（下命）。此際，又因為基於下命處分既有的執行力，行政機關原得於受益人拒絕返還不當得利時，依行政執行法逕送強制執行，以貫徹其返還請求之主張，因此行政機關若捨此不為，而另以起訴方式主張其公法上不當得利返還請求權，則其所提起之一般給付訴訟，欠缺權利保護必要，應予駁回。</w:t>
      </w:r>
    </w:p>
    <w:p w:rsidR="00000000" w:rsidRDefault="00724932">
      <w:pPr>
        <w:widowControl/>
        <w:spacing w:afterLines="50" w:after="180" w:line="288" w:lineRule="auto"/>
        <w:ind w:firstLineChars="200" w:firstLine="480"/>
        <w:jc w:val="both"/>
        <w:rPr>
          <w:rFonts w:hint="eastAsia"/>
        </w:rPr>
      </w:pPr>
      <w:r>
        <w:rPr>
          <w:rFonts w:hAnsi="新細明體"/>
        </w:rPr>
        <w:t>然而相反地，針對臺北高等行政法院前開見解，最高行政法院一方面雖不否認行政機關就違法之授益處分具有自行撤銷的職權，惟另一方面在有關原處分撤銷後所生之公法上不當得</w:t>
      </w:r>
      <w:r>
        <w:rPr>
          <w:rFonts w:hAnsi="新細明體"/>
        </w:rPr>
        <w:t>利的問題本身上，卻又強調：由於行政程序法第一百二十七條在此指向準用民法之相關規定，從而行政機關對人民行使返還請求權，也應該立於與人民平等的地位。據此，行政機關實無從動用具有高權作用之單方決定性質的下命處分，乃至行政執行，來貫徹其主張；是其最多只能以訴訟方式，來解決與人民立於對等關係所產生的公法上不當得利返還請求權問題。</w:t>
      </w:r>
      <w:r>
        <w:rPr>
          <w:rFonts w:hAnsi="新細明體" w:hint="eastAsia"/>
        </w:rPr>
        <w:t>在此</w:t>
      </w:r>
      <w:r>
        <w:rPr>
          <w:rFonts w:hAnsi="新細明體"/>
        </w:rPr>
        <w:t>，最高行政法院</w:t>
      </w:r>
      <w:r>
        <w:rPr>
          <w:rFonts w:hAnsi="新細明體" w:hint="eastAsia"/>
        </w:rPr>
        <w:t>同時</w:t>
      </w:r>
      <w:r>
        <w:rPr>
          <w:rFonts w:hAnsi="新細明體"/>
        </w:rPr>
        <w:t>又援引德國法制</w:t>
      </w:r>
      <w:r>
        <w:rPr>
          <w:rFonts w:hAnsi="新細明體" w:hint="eastAsia"/>
        </w:rPr>
        <w:t>，亦即德國聯邦行政程序法第四十九條之一</w:t>
      </w:r>
      <w:r>
        <w:rPr>
          <w:rStyle w:val="a9"/>
          <w:rFonts w:hAnsi="新細明體"/>
        </w:rPr>
        <w:footnoteReference w:id="224"/>
      </w:r>
      <w:r>
        <w:rPr>
          <w:rFonts w:hAnsi="新細明體" w:hint="eastAsia"/>
        </w:rPr>
        <w:t>，作</w:t>
      </w:r>
      <w:r>
        <w:rPr>
          <w:rFonts w:hAnsi="新細明體"/>
        </w:rPr>
        <w:t>為</w:t>
      </w:r>
      <w:r>
        <w:rPr>
          <w:rFonts w:hAnsi="新細明體" w:hint="eastAsia"/>
        </w:rPr>
        <w:t>比較法上的佐證：由於</w:t>
      </w:r>
      <w:r>
        <w:rPr>
          <w:rFonts w:hAnsi="新細明體"/>
        </w:rPr>
        <w:t>我國行政程序法第一百二十七條</w:t>
      </w:r>
      <w:r>
        <w:rPr>
          <w:rFonts w:hAnsi="新細明體" w:hint="eastAsia"/>
        </w:rPr>
        <w:t>「</w:t>
      </w:r>
      <w:r>
        <w:rPr>
          <w:rFonts w:ascii="標楷體" w:hAnsi="標楷體"/>
        </w:rPr>
        <w:t>…</w:t>
      </w:r>
      <w:r>
        <w:rPr>
          <w:rFonts w:ascii="標楷體" w:eastAsia="標楷體" w:hAnsi="標楷體" w:hint="eastAsia"/>
        </w:rPr>
        <w:t>並未如德國法有明文規定因行政處分撤銷失效，受益人返還所受領</w:t>
      </w:r>
      <w:r>
        <w:rPr>
          <w:rFonts w:ascii="標楷體" w:eastAsia="標楷體" w:hAnsi="標楷體" w:hint="eastAsia"/>
        </w:rPr>
        <w:t>給付時，行政機關得以行政處分核定返還金額。主管機關若以行政處分之方式命受領人返還，欠缺法律上依據。</w:t>
      </w:r>
      <w:r>
        <w:rPr>
          <w:rFonts w:ascii="標楷體" w:hAnsi="標楷體" w:hint="eastAsia"/>
        </w:rPr>
        <w:t>」</w:t>
      </w:r>
      <w:r>
        <w:rPr>
          <w:rFonts w:hAnsi="新細明體" w:hint="eastAsia"/>
        </w:rPr>
        <w:t>關於這一點，似也</w:t>
      </w:r>
      <w:r>
        <w:rPr>
          <w:rFonts w:hint="eastAsia"/>
        </w:rPr>
        <w:t>值得吾人特別注意。</w:t>
      </w:r>
    </w:p>
    <w:p w:rsidR="00000000" w:rsidRDefault="00724932">
      <w:pPr>
        <w:widowControl/>
        <w:spacing w:line="288" w:lineRule="auto"/>
        <w:ind w:firstLineChars="200" w:firstLine="480"/>
        <w:jc w:val="both"/>
        <w:rPr>
          <w:rFonts w:hint="eastAsia"/>
        </w:rPr>
      </w:pPr>
      <w:r>
        <w:rPr>
          <w:rFonts w:hint="eastAsia"/>
        </w:rPr>
        <w:t>不過無論如何，由於最高行政法院終審的地位，屬於下級法院的臺北高等行政法院最後只能改變其見解。其於民國</w:t>
      </w:r>
      <w:r>
        <w:rPr>
          <w:rFonts w:hint="eastAsia"/>
        </w:rPr>
        <w:t>93</w:t>
      </w:r>
      <w:r>
        <w:rPr>
          <w:rFonts w:hint="eastAsia"/>
        </w:rPr>
        <w:t>年</w:t>
      </w:r>
      <w:r>
        <w:rPr>
          <w:rFonts w:hint="eastAsia"/>
        </w:rPr>
        <w:t>1</w:t>
      </w:r>
      <w:r>
        <w:rPr>
          <w:rFonts w:hint="eastAsia"/>
        </w:rPr>
        <w:t>月</w:t>
      </w:r>
      <w:r>
        <w:rPr>
          <w:rFonts w:hint="eastAsia"/>
        </w:rPr>
        <w:t>20</w:t>
      </w:r>
      <w:r>
        <w:rPr>
          <w:rFonts w:hint="eastAsia"/>
        </w:rPr>
        <w:t>日所做成的</w:t>
      </w:r>
      <w:r>
        <w:rPr>
          <w:rFonts w:hint="eastAsia"/>
        </w:rPr>
        <w:t>91</w:t>
      </w:r>
      <w:r>
        <w:rPr>
          <w:rFonts w:hint="eastAsia"/>
        </w:rPr>
        <w:t>年度訴字第</w:t>
      </w:r>
      <w:r>
        <w:rPr>
          <w:rFonts w:hint="eastAsia"/>
        </w:rPr>
        <w:t>4774</w:t>
      </w:r>
      <w:r>
        <w:rPr>
          <w:rFonts w:hint="eastAsia"/>
        </w:rPr>
        <w:t>號判決稱：「</w:t>
      </w:r>
      <w:r>
        <w:rPr>
          <w:rFonts w:ascii="標楷體" w:eastAsia="標楷體" w:hAnsi="標楷體"/>
        </w:rPr>
        <w:t>惟按行政主體向人民請求</w:t>
      </w:r>
      <w:r>
        <w:rPr>
          <w:rFonts w:ascii="標楷體" w:eastAsia="標楷體" w:hAnsi="標楷體"/>
          <w:color w:val="000000"/>
        </w:rPr>
        <w:t>返還公法上不當得利</w:t>
      </w:r>
      <w:r>
        <w:rPr>
          <w:rFonts w:ascii="標楷體" w:eastAsia="標楷體" w:hAnsi="標楷體"/>
        </w:rPr>
        <w:t>即繳回溢領之補償費時，究應提起一般給付之訴，由行政法院判決命受領人返還；抑或得由行政主體逕行作成行政處分，命受領人返還，為一值得研究之課題，在如法律有明文授權時，一般通說均認行政</w:t>
      </w:r>
      <w:r>
        <w:rPr>
          <w:rFonts w:ascii="標楷體" w:eastAsia="標楷體" w:hAnsi="標楷體"/>
        </w:rPr>
        <w:t>主體得逕行作成行政處分命受領人</w:t>
      </w:r>
      <w:r>
        <w:rPr>
          <w:rFonts w:ascii="標楷體" w:eastAsia="標楷體" w:hAnsi="標楷體"/>
          <w:color w:val="000000"/>
        </w:rPr>
        <w:t>返還公法上不當得</w:t>
      </w:r>
      <w:r>
        <w:rPr>
          <w:rFonts w:ascii="標楷體" w:eastAsia="標楷體" w:hAnsi="標楷體"/>
          <w:color w:val="000000"/>
        </w:rPr>
        <w:lastRenderedPageBreak/>
        <w:t>利</w:t>
      </w:r>
      <w:r>
        <w:rPr>
          <w:rFonts w:ascii="標楷體" w:eastAsia="標楷體" w:hAnsi="標楷體"/>
        </w:rPr>
        <w:t>，固無爭論；惟於欠缺法律明文授權時，有認若前所為之給付原係依據行政處分而提供者，其後法律上原因消滅，行政主體請求返還此公法上不當得利時，得毋需求助於行政法院，逕將其認為屬於行政執行法第十一條第一項規定之行政處分命人民負返還義務者；亦有認此項溢領補償費返還請求權</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 xml:space="preserve"> </w:t>
      </w:r>
      <w:r>
        <w:rPr>
          <w:rFonts w:ascii="標楷體" w:eastAsia="標楷體" w:hAnsi="標楷體"/>
        </w:rPr>
        <w:t>公法上不當得利返還請求權之行使，法令並未規定，依法律保留原則之要求，難謂被告得以行政處分為溢領補償費返還之核定者；後者為目前最高行政法院所採取之見解（最高行政法院九十二年度判字第一五八</w:t>
      </w:r>
      <w:r>
        <w:rPr>
          <w:rFonts w:ascii="標楷體" w:eastAsia="標楷體" w:hAnsi="標楷體"/>
        </w:rPr>
        <w:t>○</w:t>
      </w:r>
      <w:r>
        <w:rPr>
          <w:rFonts w:ascii="標楷體" w:eastAsia="標楷體" w:hAnsi="標楷體"/>
        </w:rPr>
        <w:t>號等判決參照</w:t>
      </w:r>
      <w:r>
        <w:rPr>
          <w:rFonts w:ascii="標楷體" w:eastAsia="標楷體" w:hAnsi="標楷體"/>
        </w:rPr>
        <w:t>）。準此，本件被告前函命原告於一定期限內如數返還部分，尚難認係符合行政執行法第十一條第一項所稱義務人依法令或本於法令之行政處分</w:t>
      </w:r>
      <w:r>
        <w:rPr>
          <w:rFonts w:ascii="標楷體" w:eastAsia="標楷體" w:hAnsi="標楷體"/>
        </w:rPr>
        <w:t>…</w:t>
      </w:r>
      <w:r>
        <w:rPr>
          <w:rFonts w:ascii="標楷體" w:eastAsia="標楷體" w:hAnsi="標楷體" w:hint="eastAsia"/>
        </w:rPr>
        <w:t>。</w:t>
      </w:r>
      <w:r>
        <w:rPr>
          <w:rFonts w:hint="eastAsia"/>
        </w:rPr>
        <w:t>」正為爭議形式上的結束，作一註腳。但是問題最後是否果真解決，則有疑問。</w:t>
      </w: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二　保訓會復審實務</w:t>
      </w:r>
    </w:p>
    <w:p w:rsidR="00000000" w:rsidRDefault="00724932">
      <w:pPr>
        <w:widowControl/>
        <w:spacing w:afterLines="50" w:after="180" w:line="288" w:lineRule="auto"/>
        <w:ind w:firstLineChars="200" w:firstLine="480"/>
        <w:jc w:val="both"/>
        <w:rPr>
          <w:rFonts w:hAnsi="新細明體" w:hint="eastAsia"/>
        </w:rPr>
      </w:pPr>
      <w:r>
        <w:rPr>
          <w:rFonts w:hint="eastAsia"/>
        </w:rPr>
        <w:t>相對於前開臺北高等行政法院與最高行政法院間，對於行政機關向含公務人員在內的人民，究竟應以行政處分之方式，或一般給付訴訟之方式，行使公法上不當得利返還請求權的問題，有所爭執，保訓會在其公務人員的復審實務中，對於這個問題，似乎未有明確的見解表示。雖然在該會於</w:t>
      </w:r>
      <w:r>
        <w:t>民國</w:t>
      </w:r>
      <w:r>
        <w:t>92</w:t>
      </w:r>
      <w:r>
        <w:t>年</w:t>
      </w:r>
      <w:r>
        <w:t>12</w:t>
      </w:r>
      <w:r>
        <w:t>月</w:t>
      </w:r>
      <w:r>
        <w:t>23</w:t>
      </w:r>
      <w:r>
        <w:t>日</w:t>
      </w:r>
      <w:r>
        <w:rPr>
          <w:rFonts w:hint="eastAsia"/>
        </w:rPr>
        <w:t>做成的</w:t>
      </w:r>
      <w:r>
        <w:t>92</w:t>
      </w:r>
      <w:r>
        <w:rPr>
          <w:rFonts w:hAnsi="新細明體"/>
        </w:rPr>
        <w:t>公</w:t>
      </w:r>
      <w:r>
        <w:rPr>
          <w:rFonts w:hAnsi="新細明體"/>
        </w:rPr>
        <w:t>審決字第</w:t>
      </w:r>
      <w:r>
        <w:t>0362</w:t>
      </w:r>
      <w:r>
        <w:rPr>
          <w:rFonts w:hAnsi="新細明體"/>
        </w:rPr>
        <w:t>號復審決定</w:t>
      </w:r>
      <w:r>
        <w:rPr>
          <w:rFonts w:hAnsi="新細明體" w:hint="eastAsia"/>
        </w:rPr>
        <w:t>中，委員</w:t>
      </w:r>
      <w:r>
        <w:rPr>
          <w:rFonts w:ascii="新細明體" w:hAnsi="新細明體"/>
        </w:rPr>
        <w:t>廖林麗貞</w:t>
      </w:r>
      <w:r>
        <w:rPr>
          <w:rFonts w:ascii="新細明體" w:hAnsi="新細明體" w:hint="eastAsia"/>
        </w:rPr>
        <w:t>及</w:t>
      </w:r>
      <w:r>
        <w:rPr>
          <w:rFonts w:ascii="新細明體" w:hAnsi="新細明體"/>
        </w:rPr>
        <w:t>李英毅</w:t>
      </w:r>
      <w:r>
        <w:rPr>
          <w:rFonts w:ascii="新細明體" w:hAnsi="新細明體" w:hint="eastAsia"/>
        </w:rPr>
        <w:t>亦以共同提出的</w:t>
      </w:r>
      <w:r>
        <w:rPr>
          <w:rFonts w:ascii="新細明體" w:hAnsi="新細明體"/>
        </w:rPr>
        <w:t>不同意見書</w:t>
      </w:r>
      <w:r>
        <w:rPr>
          <w:rFonts w:ascii="新細明體" w:hAnsi="新細明體" w:hint="eastAsia"/>
        </w:rPr>
        <w:t>質疑：</w:t>
      </w:r>
      <w:r>
        <w:rPr>
          <w:rFonts w:hAnsi="新細明體"/>
        </w:rPr>
        <w:t>「</w:t>
      </w:r>
      <w:r>
        <w:rPr>
          <w:rFonts w:eastAsia="標楷體" w:hAnsi="標楷體"/>
        </w:rPr>
        <w:t>最高行政法院近來於台北縣政府追繳溢領徵收補償費之連續判決中，對於追繳函之法律性質，大抵認行政機關對人民行使公法上不當得利請求權，係基於與人民相同地位，尚無單方裁量決定之權，故認該追繳僅屬通知履行債務，尚非行政機關本於法令所為之形成或下命之行政處分（如最高行政法院九十二年度判字第七六九號判決、九十二年度判字第八六七號判決等），人民對追繳函不服，無從提起撤銷訴訟，應循一般給付訴訟途徑救濟。事實上，此問題於德國行政法早已爭議多年，惟</w:t>
      </w:r>
      <w:r>
        <w:rPr>
          <w:rFonts w:eastAsia="標楷體" w:hAnsi="標楷體"/>
        </w:rPr>
        <w:t>通說與實務仍認法律有明確授權時，自得以行政處分命相對人返還，縱無法律明確授權，於以行政處分為給付基礎時，基於反面理論，仍得以行政處分命返還，此項爭議並隨德國行政程序法增定第四十九條ａ而塵埃落定</w:t>
      </w:r>
      <w:r>
        <w:rPr>
          <w:rFonts w:ascii="標楷體" w:eastAsia="標楷體" w:hAnsi="標楷體"/>
        </w:rPr>
        <w:t>…</w:t>
      </w:r>
      <w:r>
        <w:rPr>
          <w:rFonts w:eastAsia="標楷體" w:hAnsi="標楷體"/>
        </w:rPr>
        <w:t>。</w:t>
      </w:r>
      <w:r>
        <w:rPr>
          <w:rFonts w:hAnsi="新細明體"/>
        </w:rPr>
        <w:t>」</w:t>
      </w:r>
      <w:r>
        <w:rPr>
          <w:rFonts w:hAnsi="新細明體" w:hint="eastAsia"/>
        </w:rPr>
        <w:t>不過保訓會的復審決定，最後基本上仍將相關案件視為行政處分的類型處理；因為這裡，保訓會所關心的，毋寧是「行政處分說」與「一般給付訴訟說」之爭以外的其他問題。</w:t>
      </w:r>
    </w:p>
    <w:p w:rsidR="00000000" w:rsidRDefault="00724932">
      <w:pPr>
        <w:widowControl/>
        <w:spacing w:afterLines="50" w:after="180" w:line="288" w:lineRule="auto"/>
        <w:ind w:firstLineChars="200" w:firstLine="480"/>
        <w:jc w:val="both"/>
        <w:rPr>
          <w:rFonts w:hint="eastAsia"/>
        </w:rPr>
      </w:pPr>
      <w:r>
        <w:rPr>
          <w:rFonts w:hint="eastAsia"/>
        </w:rPr>
        <w:lastRenderedPageBreak/>
        <w:t>蓋在我國行政實務中，行政機關向公務人員（或其他私人）行使公法上不當得利返還請求權，習就同一返還請求事由、金額及繳交期限等，多次去函追繳，最後始以最終之追繳函移</w:t>
      </w:r>
      <w:r>
        <w:rPr>
          <w:rFonts w:hint="eastAsia"/>
        </w:rPr>
        <w:t>送行政執行。姑不論這種「追繳函」的性質為何，因縱認為其屬行政處分，最後仍有哪一次的追繳函始為有效的行政處分的困惑</w:t>
      </w:r>
      <w:r>
        <w:rPr>
          <w:rStyle w:val="a9"/>
        </w:rPr>
        <w:footnoteReference w:id="225"/>
      </w:r>
      <w:r>
        <w:rPr>
          <w:rFonts w:hint="eastAsia"/>
        </w:rPr>
        <w:t>。此外，也是同在行政實務中，行政機關去函公法上不當得利返還請求權之被請求權人時，函中雖表明返還請求之旨，惟卻非令其繳回，而是逕以「扣繳」</w:t>
      </w:r>
      <w:r>
        <w:rPr>
          <w:rStyle w:val="a9"/>
        </w:rPr>
        <w:footnoteReference w:id="226"/>
      </w:r>
      <w:r>
        <w:rPr>
          <w:rFonts w:hint="eastAsia"/>
        </w:rPr>
        <w:t>、「抵銷」</w:t>
      </w:r>
      <w:r>
        <w:rPr>
          <w:rStyle w:val="a9"/>
        </w:rPr>
        <w:footnoteReference w:id="227"/>
      </w:r>
      <w:r>
        <w:rPr>
          <w:rFonts w:hint="eastAsia"/>
        </w:rPr>
        <w:t>等用詞，通知被請求權人原繼續向行政機關得領的薪資或其他定期之金錢給付等金額，已因行政機關對其之公法上不當得利返還請求權而一部或全部、一次或分期扣除。準此，行政機關此一主張抵銷之扣繳函，性質為何，是否亦屬行政處分，亦一再令保訓會受理復審案件時，產生疑</w:t>
      </w:r>
      <w:r>
        <w:rPr>
          <w:rFonts w:hint="eastAsia"/>
        </w:rPr>
        <w:t>惑。</w:t>
      </w:r>
    </w:p>
    <w:p w:rsidR="00000000" w:rsidRDefault="00724932">
      <w:pPr>
        <w:widowControl/>
        <w:spacing w:line="288" w:lineRule="auto"/>
        <w:ind w:firstLineChars="200" w:firstLine="480"/>
        <w:jc w:val="both"/>
        <w:rPr>
          <w:rFonts w:hint="eastAsia"/>
        </w:rPr>
      </w:pPr>
      <w:r>
        <w:rPr>
          <w:rFonts w:hint="eastAsia"/>
        </w:rPr>
        <w:t>總之，在我國現階段的行政爭訟實務中，有關行政機關向公務人員或其他私人行使公法上返還請求權，究竟應以何種方式為之，似無定論，而爭議頗多，亟待進一步深入研究。</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貳　爭議點整理</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不過，綜觀以上行政爭訟實務上之爭議，本研究在此仍可以將所有的爭議點，簡單地整理成以下的問題：</w:t>
      </w:r>
    </w:p>
    <w:p w:rsidR="00000000" w:rsidRDefault="00724932">
      <w:pPr>
        <w:widowControl/>
        <w:spacing w:afterLines="50" w:after="180" w:line="288" w:lineRule="auto"/>
        <w:ind w:firstLineChars="200" w:firstLine="480"/>
        <w:jc w:val="both"/>
      </w:pPr>
      <w:r>
        <w:rPr>
          <w:rFonts w:hAnsi="新細明體"/>
        </w:rPr>
        <w:t>行政機關向公務人員</w:t>
      </w:r>
      <w:r>
        <w:rPr>
          <w:rFonts w:hAnsi="新細明體" w:hint="eastAsia"/>
        </w:rPr>
        <w:t>請求</w:t>
      </w:r>
      <w:r>
        <w:rPr>
          <w:rFonts w:hAnsi="新細明體"/>
        </w:rPr>
        <w:t>返還公法上金錢給付</w:t>
      </w:r>
      <w:r>
        <w:rPr>
          <w:rFonts w:hAnsi="新細明體" w:hint="eastAsia"/>
        </w:rPr>
        <w:t>的法律手段</w:t>
      </w:r>
      <w:r>
        <w:rPr>
          <w:rFonts w:hAnsi="新細明體"/>
        </w:rPr>
        <w:t>，依我國現行實務</w:t>
      </w:r>
      <w:r>
        <w:rPr>
          <w:rFonts w:hAnsi="新細明體" w:hint="eastAsia"/>
        </w:rPr>
        <w:t>，</w:t>
      </w:r>
      <w:r>
        <w:rPr>
          <w:rFonts w:hAnsi="新細明體"/>
        </w:rPr>
        <w:t>主要約有下列幾種</w:t>
      </w:r>
      <w:r>
        <w:rPr>
          <w:rFonts w:hAnsi="新細明體" w:hint="eastAsia"/>
        </w:rPr>
        <w:t>；惟行政</w:t>
      </w:r>
      <w:r>
        <w:rPr>
          <w:rFonts w:hAnsi="新細明體"/>
        </w:rPr>
        <w:t>機關</w:t>
      </w:r>
      <w:r>
        <w:rPr>
          <w:rFonts w:hAnsi="新細明體" w:hint="eastAsia"/>
        </w:rPr>
        <w:t>事實上依據法理，應</w:t>
      </w:r>
      <w:r>
        <w:rPr>
          <w:rFonts w:hAnsi="新細明體"/>
        </w:rPr>
        <w:t>得以哪些</w:t>
      </w:r>
      <w:r>
        <w:rPr>
          <w:rFonts w:hAnsi="新細明體" w:hint="eastAsia"/>
        </w:rPr>
        <w:t>手段</w:t>
      </w:r>
      <w:r>
        <w:rPr>
          <w:rFonts w:hAnsi="新細明體"/>
        </w:rPr>
        <w:t>向公務人員主張返還</w:t>
      </w:r>
      <w:r>
        <w:rPr>
          <w:rFonts w:hAnsi="新細明體" w:hint="eastAsia"/>
        </w:rPr>
        <w:t>，以貫徹其請求權之實現</w:t>
      </w:r>
      <w:r>
        <w:rPr>
          <w:rFonts w:hAnsi="新細明體"/>
        </w:rPr>
        <w:t>？</w:t>
      </w:r>
    </w:p>
    <w:p w:rsidR="00000000" w:rsidRDefault="00724932">
      <w:pPr>
        <w:widowControl/>
        <w:numPr>
          <w:ilvl w:val="0"/>
          <w:numId w:val="11"/>
        </w:numPr>
        <w:spacing w:line="288" w:lineRule="auto"/>
        <w:ind w:left="482" w:hanging="482"/>
        <w:jc w:val="both"/>
      </w:pPr>
      <w:r>
        <w:rPr>
          <w:rFonts w:hAnsi="新細明體"/>
        </w:rPr>
        <w:t>作成行政處分令其返還。</w:t>
      </w:r>
      <w:r>
        <w:rPr>
          <w:rFonts w:hAnsi="新細明體" w:hint="eastAsia"/>
        </w:rPr>
        <w:t>在此，</w:t>
      </w:r>
      <w:r>
        <w:rPr>
          <w:rFonts w:hAnsi="新細明體"/>
        </w:rPr>
        <w:t>實務上常見</w:t>
      </w:r>
      <w:r>
        <w:rPr>
          <w:rFonts w:hAnsi="新細明體" w:hint="eastAsia"/>
        </w:rPr>
        <w:t>的行政</w:t>
      </w:r>
      <w:r>
        <w:rPr>
          <w:rFonts w:hAnsi="新細明體"/>
        </w:rPr>
        <w:t>機關多次行文追繳，究竟</w:t>
      </w:r>
      <w:r>
        <w:rPr>
          <w:rFonts w:hAnsi="新細明體"/>
        </w:rPr>
        <w:t>應以何者為行政處分？</w:t>
      </w:r>
    </w:p>
    <w:p w:rsidR="00000000" w:rsidRDefault="00724932">
      <w:pPr>
        <w:widowControl/>
        <w:numPr>
          <w:ilvl w:val="0"/>
          <w:numId w:val="11"/>
        </w:numPr>
        <w:spacing w:line="288" w:lineRule="auto"/>
        <w:ind w:left="482" w:hanging="482"/>
        <w:jc w:val="both"/>
      </w:pPr>
      <w:r>
        <w:rPr>
          <w:rFonts w:hAnsi="新細明體"/>
        </w:rPr>
        <w:t>向行政法院依行政訴訟法第八條規定，提起一般給付訴訟</w:t>
      </w:r>
      <w:r>
        <w:rPr>
          <w:rFonts w:hAnsi="新細明體" w:hint="eastAsia"/>
        </w:rPr>
        <w:t>。</w:t>
      </w:r>
    </w:p>
    <w:p w:rsidR="00000000" w:rsidRDefault="00724932">
      <w:pPr>
        <w:widowControl/>
        <w:numPr>
          <w:ilvl w:val="0"/>
          <w:numId w:val="11"/>
        </w:numPr>
        <w:spacing w:afterLines="50" w:after="180" w:line="288" w:lineRule="auto"/>
        <w:ind w:left="482" w:hanging="482"/>
        <w:jc w:val="both"/>
        <w:rPr>
          <w:rFonts w:hint="eastAsia"/>
        </w:rPr>
      </w:pPr>
      <w:r>
        <w:rPr>
          <w:rFonts w:hAnsi="新細明體"/>
        </w:rPr>
        <w:lastRenderedPageBreak/>
        <w:t>扣繳。</w:t>
      </w:r>
      <w:r>
        <w:rPr>
          <w:rFonts w:hAnsi="新細明體" w:hint="eastAsia"/>
        </w:rPr>
        <w:t>在此，行政</w:t>
      </w:r>
      <w:r>
        <w:rPr>
          <w:rFonts w:hAnsi="新細明體"/>
        </w:rPr>
        <w:t>機關得否於應發給公務人員之其他金</w:t>
      </w:r>
      <w:r>
        <w:rPr>
          <w:rFonts w:hAnsi="新細明體" w:hint="eastAsia"/>
        </w:rPr>
        <w:t>錢給付</w:t>
      </w:r>
      <w:r>
        <w:rPr>
          <w:rFonts w:hAnsi="新細明體"/>
        </w:rPr>
        <w:t>中</w:t>
      </w:r>
      <w:r>
        <w:rPr>
          <w:rFonts w:hAnsi="新細明體" w:hint="eastAsia"/>
        </w:rPr>
        <w:t>，直接</w:t>
      </w:r>
      <w:r>
        <w:rPr>
          <w:rFonts w:hAnsi="新細明體"/>
        </w:rPr>
        <w:t>扣繳前所</w:t>
      </w:r>
      <w:r>
        <w:rPr>
          <w:rFonts w:hAnsi="新細明體" w:hint="eastAsia"/>
        </w:rPr>
        <w:t>不當受</w:t>
      </w:r>
      <w:r>
        <w:rPr>
          <w:rFonts w:hAnsi="新細明體"/>
        </w:rPr>
        <w:t>領之金額？而此「扣繳」</w:t>
      </w:r>
      <w:r>
        <w:rPr>
          <w:rFonts w:hAnsi="新細明體" w:hint="eastAsia"/>
        </w:rPr>
        <w:t>的</w:t>
      </w:r>
      <w:r>
        <w:rPr>
          <w:rFonts w:hAnsi="新細明體"/>
        </w:rPr>
        <w:t>法律性質為何</w:t>
      </w:r>
      <w:r>
        <w:rPr>
          <w:rFonts w:hAnsi="新細明體" w:hint="eastAsia"/>
        </w:rPr>
        <w:t>；</w:t>
      </w:r>
      <w:r>
        <w:rPr>
          <w:rFonts w:hAnsi="新細明體"/>
        </w:rPr>
        <w:t>究係</w:t>
      </w:r>
      <w:r>
        <w:rPr>
          <w:rFonts w:hAnsi="新細明體" w:hint="eastAsia"/>
        </w:rPr>
        <w:t>為一種</w:t>
      </w:r>
      <w:r>
        <w:rPr>
          <w:rFonts w:hAnsi="新細明體"/>
        </w:rPr>
        <w:t>「行政處分」，</w:t>
      </w:r>
      <w:r>
        <w:rPr>
          <w:rFonts w:hAnsi="新細明體" w:hint="eastAsia"/>
        </w:rPr>
        <w:t>抑</w:t>
      </w:r>
      <w:r>
        <w:rPr>
          <w:rFonts w:hAnsi="新細明體"/>
        </w:rPr>
        <w:t>或所謂</w:t>
      </w:r>
      <w:r>
        <w:rPr>
          <w:rFonts w:hAnsi="新細明體" w:hint="eastAsia"/>
        </w:rPr>
        <w:t>「</w:t>
      </w:r>
      <w:r>
        <w:rPr>
          <w:rFonts w:hAnsi="新細明體"/>
        </w:rPr>
        <w:t>公法上之抵銷」</w:t>
      </w:r>
      <w:r>
        <w:rPr>
          <w:rFonts w:hAnsi="新細明體" w:hint="eastAsia"/>
        </w:rPr>
        <w:t>，而非能定性為行政處分</w:t>
      </w:r>
      <w:r>
        <w:rPr>
          <w:rFonts w:hAnsi="新細明體"/>
        </w:rPr>
        <w:t>？</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根據這個提問，本研究將總和國內學說意見，並比較德國法制，做出可能性的解決方案。</w:t>
      </w:r>
    </w:p>
    <w:p w:rsidR="00000000" w:rsidRDefault="00724932">
      <w:pPr>
        <w:widowControl/>
        <w:spacing w:line="288" w:lineRule="auto"/>
        <w:jc w:val="both"/>
        <w:rPr>
          <w:rFonts w:hAnsi="新細明體" w:hint="eastAsia"/>
        </w:rPr>
      </w:pPr>
    </w:p>
    <w:p w:rsidR="00000000" w:rsidRDefault="00724932">
      <w:pPr>
        <w:widowControl/>
        <w:spacing w:line="288" w:lineRule="auto"/>
        <w:jc w:val="both"/>
        <w:rPr>
          <w:rFonts w:hAnsi="新細明體" w:hint="eastAsia"/>
        </w:rPr>
      </w:pPr>
    </w:p>
    <w:p w:rsidR="00000000" w:rsidRDefault="00724932">
      <w:pPr>
        <w:widowControl/>
        <w:spacing w:line="288" w:lineRule="auto"/>
        <w:jc w:val="both"/>
        <w:rPr>
          <w:rFonts w:hint="eastAsia"/>
        </w:rPr>
      </w:pPr>
    </w:p>
    <w:p w:rsidR="00000000" w:rsidRDefault="00724932">
      <w:pPr>
        <w:widowControl/>
        <w:spacing w:afterLines="50" w:after="180" w:line="288" w:lineRule="auto"/>
        <w:ind w:left="1441" w:hangingChars="400" w:hanging="1441"/>
        <w:jc w:val="both"/>
        <w:rPr>
          <w:rFonts w:hint="eastAsia"/>
          <w:b/>
          <w:sz w:val="36"/>
          <w:szCs w:val="36"/>
        </w:rPr>
      </w:pPr>
      <w:r>
        <w:rPr>
          <w:rFonts w:hint="eastAsia"/>
          <w:b/>
          <w:sz w:val="36"/>
          <w:szCs w:val="36"/>
        </w:rPr>
        <w:t>第二節　各種行使之方式</w:t>
      </w:r>
    </w:p>
    <w:p w:rsidR="00000000" w:rsidRDefault="00724932">
      <w:pPr>
        <w:widowControl/>
        <w:spacing w:afterLines="50" w:after="180" w:line="288" w:lineRule="auto"/>
        <w:jc w:val="both"/>
        <w:rPr>
          <w:rFonts w:hint="eastAsia"/>
          <w:b/>
          <w:sz w:val="32"/>
          <w:szCs w:val="32"/>
        </w:rPr>
      </w:pPr>
      <w:r>
        <w:rPr>
          <w:rFonts w:hint="eastAsia"/>
          <w:b/>
          <w:sz w:val="32"/>
          <w:szCs w:val="32"/>
        </w:rPr>
        <w:t>壹　行政處分（給付裁決）</w:t>
      </w: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一　反面理論</w:t>
      </w:r>
    </w:p>
    <w:p w:rsidR="00000000" w:rsidRDefault="00724932">
      <w:pPr>
        <w:widowControl/>
        <w:spacing w:afterLines="50" w:after="180" w:line="288" w:lineRule="auto"/>
        <w:ind w:firstLineChars="200" w:firstLine="480"/>
        <w:jc w:val="both"/>
        <w:rPr>
          <w:rFonts w:hint="eastAsia"/>
        </w:rPr>
      </w:pPr>
      <w:r>
        <w:rPr>
          <w:rFonts w:hint="eastAsia"/>
        </w:rPr>
        <w:t>有關行政機關究竟得否逕以行政處分，必要時，並為行政執行的方式，向公務人員或其他私人行使公法上不當得</w:t>
      </w:r>
      <w:r>
        <w:rPr>
          <w:rFonts w:hint="eastAsia"/>
        </w:rPr>
        <w:t>利返還請求權的問題，在我國學術界，近年來，特別是由於前開臺北高等行政法院與最高行政法院的爭議，也引起廣大的討論</w:t>
      </w:r>
      <w:r>
        <w:rPr>
          <w:rStyle w:val="a9"/>
        </w:rPr>
        <w:footnoteReference w:id="228"/>
      </w:r>
      <w:r>
        <w:rPr>
          <w:rFonts w:hint="eastAsia"/>
        </w:rPr>
        <w:t>；不過相對於最高行政法院堅持反對見解，採取所謂的「一般給付訴訟說」，學者大多數贊成臺北高等行政法院的作法，肯定逕以行政處分模式，行使公法上不當得利返還請求權。在此，大多數的學者咸以德國實務所謂的</w:t>
      </w:r>
      <w:r>
        <w:rPr>
          <w:rFonts w:hAnsi="新細明體" w:hint="eastAsia"/>
        </w:rPr>
        <w:t>「反面理論」為依據</w:t>
      </w:r>
      <w:r>
        <w:rPr>
          <w:rStyle w:val="a9"/>
          <w:rFonts w:hAnsi="新細明體"/>
        </w:rPr>
        <w:footnoteReference w:id="229"/>
      </w:r>
      <w:r>
        <w:rPr>
          <w:rFonts w:hAnsi="新細明體" w:hint="eastAsia"/>
        </w:rPr>
        <w:t>，並且將此相關的行政處分，翻譯德文</w:t>
      </w:r>
      <w:r>
        <w:rPr>
          <w:rFonts w:hAnsi="新細明體" w:hint="eastAsia"/>
        </w:rPr>
        <w:t>Leistungsbescheid</w:t>
      </w:r>
      <w:r>
        <w:rPr>
          <w:rFonts w:hAnsi="新細明體" w:hint="eastAsia"/>
        </w:rPr>
        <w:t>，稱為「給付裁決」或「給付決定」。由於國內的學者在此論述已多，殊值贊同，本研究僅就若干觀點，提出補充意見：</w:t>
      </w:r>
    </w:p>
    <w:p w:rsidR="00000000" w:rsidRDefault="00724932">
      <w:pPr>
        <w:widowControl/>
        <w:spacing w:afterLines="50" w:after="180" w:line="288" w:lineRule="auto"/>
        <w:ind w:firstLineChars="200" w:firstLine="480"/>
        <w:jc w:val="both"/>
        <w:rPr>
          <w:rFonts w:hint="eastAsia"/>
        </w:rPr>
      </w:pPr>
      <w:r>
        <w:rPr>
          <w:rFonts w:hint="eastAsia"/>
        </w:rPr>
        <w:t>查德國實務</w:t>
      </w:r>
      <w:r>
        <w:rPr>
          <w:rFonts w:hint="eastAsia"/>
        </w:rPr>
        <w:t>所支持的「反面理論」，主要係適用在行政機關溯及撤銷或廢止授益行政處分後所產生的公法上不當得利之類型。在此，聯邦行政法院</w:t>
      </w:r>
      <w:r>
        <w:rPr>
          <w:rStyle w:val="a9"/>
        </w:rPr>
        <w:footnoteReference w:id="230"/>
      </w:r>
      <w:r>
        <w:rPr>
          <w:rFonts w:hint="eastAsia"/>
        </w:rPr>
        <w:t>認為，</w:t>
      </w:r>
      <w:r>
        <w:rPr>
          <w:rFonts w:hint="eastAsia"/>
        </w:rPr>
        <w:lastRenderedPageBreak/>
        <w:t>相關的問題點均適用與原做成該處分的法律基礎；因此，行政機關在無其他法律明文授權的情況下，亦得逕以行政處分，即：給付裁決，必要時，付諸行政執行，以實現其公法上返還請求權。這種公法上返還請求權，正好是人民原有、對於授益處分之給付請求權的反面，故稱「反面理論」。對於德國法院實務的這種普遍作法，學者贊成者有之</w:t>
      </w:r>
      <w:r>
        <w:rPr>
          <w:rStyle w:val="a9"/>
        </w:rPr>
        <w:footnoteReference w:id="231"/>
      </w:r>
      <w:r>
        <w:rPr>
          <w:rFonts w:hint="eastAsia"/>
        </w:rPr>
        <w:t>，反對者亦有之</w:t>
      </w:r>
      <w:r>
        <w:rPr>
          <w:rStyle w:val="a9"/>
        </w:rPr>
        <w:footnoteReference w:id="232"/>
      </w:r>
      <w:r>
        <w:rPr>
          <w:rFonts w:hint="eastAsia"/>
        </w:rPr>
        <w:t>；不過後來由於德國聯邦行政程序法第四十九條之一第一項第二句：「應返</w:t>
      </w:r>
      <w:r>
        <w:rPr>
          <w:rFonts w:hint="eastAsia"/>
        </w:rPr>
        <w:t>還之給付，應以書面行政處分確定之」，隨著該條之增訂，而成為法律</w:t>
      </w:r>
      <w:r>
        <w:rPr>
          <w:rStyle w:val="a9"/>
        </w:rPr>
        <w:footnoteReference w:id="233"/>
      </w:r>
      <w:r>
        <w:rPr>
          <w:rFonts w:hint="eastAsia"/>
        </w:rPr>
        <w:t>，有關的爭議，即大幅失去實益。僅存意義的，只剩下德國聯邦行政程序法或各邦行政程序法不能適用的領域，如公務人員法上的特殊公法上返還請求權</w:t>
      </w:r>
      <w:r>
        <w:rPr>
          <w:rStyle w:val="a9"/>
        </w:rPr>
        <w:footnoteReference w:id="234"/>
      </w:r>
      <w:r>
        <w:rPr>
          <w:rFonts w:hint="eastAsia"/>
        </w:rPr>
        <w:t>。</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在德國學說的爭議中，贊成說與反對說相持不下者，其實與我國實務中的爭議同，究竟行政機關，在無法律授權下，得否逕以行政處分的方式行使情返還請求權：持否定說者，基於該請求權之行使，為對於人民的一種負擔，故受法律保留的限制；持肯定說者，則傾向適用法理，並強調，法律既授權行政機關得以行政處分方式，撤銷或廢止原行政處分</w:t>
      </w:r>
      <w:r>
        <w:rPr>
          <w:rFonts w:hAnsi="新細明體" w:hint="eastAsia"/>
        </w:rPr>
        <w:t>，殊無撤銷或廢止的固有目的，在此，亦即公法上不當得利返還請求的此一法律效果，不能自為決定，並需轉交法院處理的道理。</w:t>
      </w:r>
    </w:p>
    <w:p w:rsidR="00000000" w:rsidRDefault="00724932">
      <w:pPr>
        <w:widowControl/>
        <w:spacing w:afterLines="50" w:after="180" w:line="288" w:lineRule="auto"/>
        <w:ind w:firstLineChars="200" w:firstLine="480"/>
        <w:jc w:val="both"/>
        <w:rPr>
          <w:rFonts w:hint="eastAsia"/>
        </w:rPr>
      </w:pPr>
      <w:r>
        <w:rPr>
          <w:rFonts w:hAnsi="新細明體" w:hint="eastAsia"/>
        </w:rPr>
        <w:t>基本上本研究贊成肯定說者之意見；而事實上法律保留原則是否必須嚴格到一切侵害保留（</w:t>
      </w:r>
      <w:r>
        <w:rPr>
          <w:rFonts w:hAnsi="新細明體" w:hint="eastAsia"/>
        </w:rPr>
        <w:t>Eingriffsvorbehalt</w:t>
      </w:r>
      <w:r>
        <w:rPr>
          <w:rFonts w:hAnsi="新細明體" w:hint="eastAsia"/>
        </w:rPr>
        <w:t>）的程度，其實令人懷疑。即以授益行政處分之撤銷與廢止為例。這種撤銷或廢止行為本身，也是一種負擔處分；可是在我國尚未有行政程序法之前，或德國尚未有現行聯邦行政程序法暨各邦行政程序法之前，實務</w:t>
      </w:r>
      <w:r>
        <w:rPr>
          <w:rStyle w:val="a9"/>
          <w:rFonts w:hAnsi="新細明體"/>
        </w:rPr>
        <w:footnoteReference w:id="235"/>
      </w:r>
      <w:r>
        <w:rPr>
          <w:rFonts w:hAnsi="新細明體" w:hint="eastAsia"/>
        </w:rPr>
        <w:t>也是直接依據法理，為授益行政處分的撤銷與廢止，並獲學說支持，殊未有人懷疑其與法律保留之間的</w:t>
      </w:r>
      <w:r>
        <w:rPr>
          <w:rFonts w:hAnsi="新細明體" w:hint="eastAsia"/>
        </w:rPr>
        <w:t>關係。更何況，德國聯邦行政程序法，為平息</w:t>
      </w:r>
      <w:r>
        <w:rPr>
          <w:rFonts w:hAnsi="新細明體" w:hint="eastAsia"/>
        </w:rPr>
        <w:lastRenderedPageBreak/>
        <w:t>爭議，所新增的</w:t>
      </w:r>
      <w:r>
        <w:rPr>
          <w:rFonts w:hint="eastAsia"/>
        </w:rPr>
        <w:t>第四十九條之一第一項第二句，最多也不過「應返還之給付，應以書面行政處分確定之」簡單一語；其規範實質內涵，與直接依法理，做成返還請求的書面處分，即：給付裁決，有何兩異？</w:t>
      </w:r>
    </w:p>
    <w:p w:rsidR="00000000" w:rsidRDefault="00724932">
      <w:pPr>
        <w:widowControl/>
        <w:spacing w:line="288" w:lineRule="auto"/>
        <w:ind w:firstLineChars="200" w:firstLine="480"/>
        <w:jc w:val="both"/>
        <w:rPr>
          <w:rFonts w:hint="eastAsia"/>
        </w:rPr>
      </w:pPr>
      <w:r>
        <w:rPr>
          <w:rFonts w:hint="eastAsia"/>
        </w:rPr>
        <w:t>事實上在這個問題上，依本研究之見，與其堅持法律保留，不如強調給付裁決做成前的「程序保障」，似乎更有實益。換言之，本研究在此認為，這種給付裁決的問題，似得以程序保障來彌補其於法律保留方面的不足；從而，</w:t>
      </w:r>
      <w:r>
        <w:rPr>
          <w:rFonts w:hAnsi="新細明體" w:hint="eastAsia"/>
        </w:rPr>
        <w:t>行政機關做成行政處分以</w:t>
      </w:r>
      <w:r>
        <w:rPr>
          <w:rFonts w:hint="eastAsia"/>
        </w:rPr>
        <w:t>向公務人員或其他私人請求返還行政處分撤銷、廢止後的公法上不當得利時，應</w:t>
      </w:r>
      <w:r>
        <w:rPr>
          <w:rFonts w:hint="eastAsia"/>
        </w:rPr>
        <w:t>嚴守程序正義；其中尤其是行政行為之明確性（例如書面之要式等）、附理由及提供相對人陳述意見之機會等，尤應具備。這些制度，在目前我國的行政程序法，均有規定，得為法律上的依據。</w:t>
      </w:r>
    </w:p>
    <w:p w:rsidR="00000000" w:rsidRDefault="00724932">
      <w:pPr>
        <w:widowControl/>
        <w:spacing w:line="288" w:lineRule="auto"/>
        <w:ind w:firstLineChars="200" w:firstLine="480"/>
        <w:jc w:val="both"/>
        <w:rPr>
          <w:rFonts w:hAnsi="新細明體" w:hint="eastAsia"/>
        </w:rPr>
      </w:pPr>
    </w:p>
    <w:p w:rsidR="00000000" w:rsidRDefault="00724932">
      <w:pPr>
        <w:widowControl/>
        <w:spacing w:afterLines="50" w:after="180" w:line="288" w:lineRule="auto"/>
        <w:ind w:leftChars="200" w:left="1041" w:hangingChars="200" w:hanging="561"/>
        <w:jc w:val="both"/>
        <w:rPr>
          <w:rFonts w:hint="eastAsia"/>
          <w:b/>
          <w:sz w:val="28"/>
          <w:szCs w:val="28"/>
        </w:rPr>
      </w:pPr>
      <w:r>
        <w:rPr>
          <w:rFonts w:hint="eastAsia"/>
          <w:b/>
          <w:sz w:val="28"/>
          <w:szCs w:val="28"/>
        </w:rPr>
        <w:t>二　隸屬關係說</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t>不過在另一方面，「反面理論」對於本研究所關心的行政機關向公務人員行使公法上不當得利返還請求權的問題，其實幫助有限。因為依據本研究已做過的分析</w:t>
      </w:r>
      <w:r>
        <w:rPr>
          <w:rStyle w:val="a9"/>
          <w:rFonts w:hAnsi="新細明體"/>
        </w:rPr>
        <w:footnoteReference w:id="236"/>
      </w:r>
      <w:r>
        <w:rPr>
          <w:rFonts w:hAnsi="新細明體" w:hint="eastAsia"/>
        </w:rPr>
        <w:t>，與公務人員受領公法上金錢給付有關的公法上不當得利，除了因給付所基於之行政處分嗣後遭致溯及既往的撤銷或廢止外，尚有其他眾多類型；而這些類型，是否亦能適用「反面理論」，則值得商榷。然</w:t>
      </w:r>
      <w:r>
        <w:rPr>
          <w:rFonts w:hAnsi="新細明體" w:hint="eastAsia"/>
        </w:rPr>
        <w:t>而針對此一問題，似乎毋庸深入，因為正好從比較德國法制的經驗</w:t>
      </w:r>
      <w:r>
        <w:rPr>
          <w:rStyle w:val="a9"/>
          <w:rFonts w:hAnsi="新細明體"/>
        </w:rPr>
        <w:footnoteReference w:id="237"/>
      </w:r>
      <w:r>
        <w:rPr>
          <w:rFonts w:hAnsi="新細明體" w:hint="eastAsia"/>
        </w:rPr>
        <w:t>，吾人可知，德國實務，尤其是聯邦行政法院之實務</w:t>
      </w:r>
      <w:r>
        <w:rPr>
          <w:rStyle w:val="a9"/>
          <w:rFonts w:hAnsi="新細明體"/>
        </w:rPr>
        <w:footnoteReference w:id="238"/>
      </w:r>
      <w:r>
        <w:rPr>
          <w:rFonts w:hAnsi="新細明體" w:hint="eastAsia"/>
        </w:rPr>
        <w:t>，除前開「反面理論」外，另有強調只要是像軍人或公務人員，原與國家立於一種「隸屬關係（</w:t>
      </w:r>
      <w:r>
        <w:rPr>
          <w:rFonts w:hint="eastAsia"/>
        </w:rPr>
        <w:t>Subordinationsverh</w:t>
      </w:r>
      <w:r>
        <w:t>ä</w:t>
      </w:r>
      <w:r>
        <w:rPr>
          <w:rFonts w:hint="eastAsia"/>
        </w:rPr>
        <w:t>ltnis</w:t>
      </w:r>
      <w:r>
        <w:rPr>
          <w:rFonts w:hAnsi="新細明體" w:hint="eastAsia"/>
        </w:rPr>
        <w:t>）」者，處於高權地位的行政機關，基於習慣法或行政法之一般原則，均得逕以行政處分的方式，向其行使公法上返還請求權</w:t>
      </w:r>
      <w:r>
        <w:rPr>
          <w:rStyle w:val="a9"/>
          <w:rFonts w:hAnsi="新細明體"/>
        </w:rPr>
        <w:footnoteReference w:id="239"/>
      </w:r>
      <w:r>
        <w:rPr>
          <w:rFonts w:hAnsi="新細明體" w:hint="eastAsia"/>
        </w:rPr>
        <w:t>。這種所謂的「隸屬關係說」，值得參考，也有效地解決所有國家或其他行政主體（請求權人）對於公務人員所有可能的公法上不當得利返還請求權。</w:t>
      </w:r>
    </w:p>
    <w:p w:rsidR="00000000" w:rsidRDefault="00724932">
      <w:pPr>
        <w:widowControl/>
        <w:spacing w:afterLines="50" w:after="180" w:line="288" w:lineRule="auto"/>
        <w:ind w:firstLineChars="200" w:firstLine="480"/>
        <w:jc w:val="both"/>
        <w:rPr>
          <w:rFonts w:hAnsi="新細明體" w:hint="eastAsia"/>
        </w:rPr>
      </w:pPr>
      <w:r>
        <w:rPr>
          <w:rFonts w:hAnsi="新細明體" w:hint="eastAsia"/>
        </w:rPr>
        <w:lastRenderedPageBreak/>
        <w:t>「隸屬關係說」最大的憂慮是</w:t>
      </w:r>
      <w:r>
        <w:rPr>
          <w:rFonts w:hAnsi="新細明體" w:hint="eastAsia"/>
        </w:rPr>
        <w:t>，是否代表著傳統「特別權力關係」的惡靈復活。關於這一點，本研究持比較樂觀的態度。因為縱使在現代已經逐漸揚棄特別權力關係理論的我國與德國，仍不免肯定代表國家或其他公權力主體行使公權力的公務人員，畢竟與國家或其他公權力主體處於某種一般人民與國家或公權力主體間所無的特別法律關係（</w:t>
      </w:r>
      <w:r>
        <w:rPr>
          <w:rFonts w:hAnsi="新細明體" w:hint="eastAsia"/>
        </w:rPr>
        <w:t>Sonderrechts</w:t>
      </w:r>
      <w:r>
        <w:rPr>
          <w:rFonts w:hint="eastAsia"/>
        </w:rPr>
        <w:t>verh</w:t>
      </w:r>
      <w:r>
        <w:t>ä</w:t>
      </w:r>
      <w:r>
        <w:rPr>
          <w:rFonts w:hint="eastAsia"/>
        </w:rPr>
        <w:t>ltnis</w:t>
      </w:r>
      <w:r>
        <w:rPr>
          <w:rFonts w:hAnsi="新細明體" w:hint="eastAsia"/>
        </w:rPr>
        <w:t>）</w:t>
      </w:r>
      <w:r>
        <w:rPr>
          <w:rStyle w:val="a9"/>
          <w:rFonts w:hAnsi="新細明體"/>
        </w:rPr>
        <w:footnoteReference w:id="240"/>
      </w:r>
      <w:r>
        <w:rPr>
          <w:rFonts w:hAnsi="新細明體" w:hint="eastAsia"/>
        </w:rPr>
        <w:t>；因此相關之規範未必與一般人民齊一處理。事實上「隸屬關係說」之所以在法治國家依然得以成立，重點也是在於對法律保留原則的反省：只要行政處分嚴守正當法律程序，並且公務人員仍有權利救濟的機會，如公</w:t>
      </w:r>
      <w:r>
        <w:rPr>
          <w:rFonts w:hAnsi="新細明體" w:hint="eastAsia"/>
        </w:rPr>
        <w:t>法上不當得利返還之義務，這種非公務人員基於其身分關係原始成立，而是因公務人員法律關係中已出現一種客觀的違法狀態，亟待回復，始所衍生的造成公務人員負擔的類型，有無固守侵害保留的必要，令人懷疑。從而，縱使無法律明文規定，在與國家或其他公權力主體本具有密切結合關係的公務人員領域，除公務人員受領金錢給付，原係基於國家或其他公權力主體與公務人員所定的行政契約作為給付之原因而來，故雙方就此給付關係例外地立於平等地位，行政機關不得任意以高權性質的行政處分方式，行使相關的返還請求權者外，適度地放寬法律保留限制，由行政機關直</w:t>
      </w:r>
      <w:r>
        <w:rPr>
          <w:rFonts w:hAnsi="新細明體" w:hint="eastAsia"/>
        </w:rPr>
        <w:t>接以行政處分之方式，行使公法上不當得利返還請求權，似仍得宜</w:t>
      </w:r>
      <w:r>
        <w:rPr>
          <w:rStyle w:val="a9"/>
          <w:rFonts w:hAnsi="新細明體"/>
        </w:rPr>
        <w:footnoteReference w:id="241"/>
      </w:r>
      <w:r>
        <w:rPr>
          <w:rFonts w:hAnsi="新細明體" w:hint="eastAsia"/>
        </w:rPr>
        <w:t>。換言之，本研究在此，亦建議以程序保障的觀點，彌補法律保留之欠缺。</w:t>
      </w:r>
    </w:p>
    <w:p w:rsidR="00000000" w:rsidRDefault="00724932">
      <w:pPr>
        <w:pStyle w:val="ab"/>
        <w:rPr>
          <w:rFonts w:hint="eastAsia"/>
        </w:rPr>
      </w:pPr>
      <w:r>
        <w:rPr>
          <w:rFonts w:hint="eastAsia"/>
        </w:rPr>
        <w:t>總之，本研究既支持「反面理論」，也贊成「隸屬關係說」。不過在公務員法領域，既然公務人員與國家或其他行政主體既存在著一種隸屬關係，則事實上所謂的「隸屬關係說」應該優先適用，而毋庸區分受領給付的（原）法律上之原因為行政處分抑或其他情形，分別採取「反面理論」及「隸屬關係說」。</w:t>
      </w:r>
    </w:p>
    <w:p w:rsidR="00000000" w:rsidRDefault="00724932">
      <w:pPr>
        <w:widowControl/>
        <w:spacing w:afterLines="50" w:after="180" w:line="288" w:lineRule="auto"/>
        <w:ind w:firstLineChars="200" w:firstLine="480"/>
        <w:jc w:val="both"/>
        <w:rPr>
          <w:rFonts w:hint="eastAsia"/>
        </w:rPr>
      </w:pPr>
      <w:r>
        <w:rPr>
          <w:rFonts w:hAnsi="新細明體" w:hint="eastAsia"/>
        </w:rPr>
        <w:t>不過相同的道理，行政機關做成行政處分以</w:t>
      </w:r>
      <w:r>
        <w:rPr>
          <w:rFonts w:hint="eastAsia"/>
        </w:rPr>
        <w:t>向公務人員請求返還公法上不當受領之金錢給付，亦須嚴守程序正義；其中尤其是行</w:t>
      </w:r>
      <w:r>
        <w:rPr>
          <w:rFonts w:hint="eastAsia"/>
        </w:rPr>
        <w:t>政行為之明確性（例如書面之要式）、附理由及提供相對人陳述意見之機會等，尤應具備</w:t>
      </w:r>
      <w:r>
        <w:rPr>
          <w:rStyle w:val="a9"/>
        </w:rPr>
        <w:footnoteReference w:id="242"/>
      </w:r>
      <w:r>
        <w:rPr>
          <w:rFonts w:hint="eastAsia"/>
        </w:rPr>
        <w:t>。在此，行政程</w:t>
      </w:r>
      <w:r>
        <w:rPr>
          <w:rFonts w:hint="eastAsia"/>
        </w:rPr>
        <w:lastRenderedPageBreak/>
        <w:t>序法之相關「程序」規定，或因同法第三條第三項第七款之規定，而不能直接適用</w:t>
      </w:r>
      <w:r>
        <w:rPr>
          <w:rStyle w:val="a9"/>
        </w:rPr>
        <w:footnoteReference w:id="243"/>
      </w:r>
      <w:r>
        <w:rPr>
          <w:rFonts w:hint="eastAsia"/>
        </w:rPr>
        <w:t>；惟基於公務人員之基本權利本身所散發的的「程序保障」功能，行政程序法之相關規定仍有參考適用的可能。至於公務人員不服行政機關請求返還公法上不當得利所做成之給付裁決，則依據公務人員保障法的復審程序與行政訴訟法上之撤銷訴訟，針對此一書面行政處分請求救濟處理。此外，若另有行政處分之撤銷、廢止等，前於此一給付裁決，或與此給付裁決同時出現，針對該撤銷、廢</w:t>
      </w:r>
      <w:r>
        <w:rPr>
          <w:rFonts w:hint="eastAsia"/>
        </w:rPr>
        <w:t>止本身（也是一種行政處分）不服，亦同一辦理。</w:t>
      </w:r>
    </w:p>
    <w:p w:rsidR="00000000" w:rsidRDefault="00724932">
      <w:pPr>
        <w:widowControl/>
        <w:spacing w:afterLines="50" w:after="180" w:line="288" w:lineRule="auto"/>
        <w:ind w:firstLineChars="200" w:firstLine="480"/>
        <w:jc w:val="both"/>
        <w:rPr>
          <w:rFonts w:hAnsi="新細明體" w:hint="eastAsia"/>
        </w:rPr>
      </w:pPr>
      <w:r>
        <w:rPr>
          <w:rFonts w:hint="eastAsia"/>
        </w:rPr>
        <w:t>最後附帶一提者，是有關</w:t>
      </w:r>
      <w:r>
        <w:rPr>
          <w:rFonts w:hAnsi="新細明體" w:hint="eastAsia"/>
        </w:rPr>
        <w:t>行政</w:t>
      </w:r>
      <w:r>
        <w:rPr>
          <w:rFonts w:hAnsi="新細明體"/>
        </w:rPr>
        <w:t>機關多次行文追繳</w:t>
      </w:r>
      <w:r>
        <w:rPr>
          <w:rFonts w:hAnsi="新細明體" w:hint="eastAsia"/>
        </w:rPr>
        <w:t>的問題。關於此一問題，限於篇幅之見，不擬多做說明；事實上在</w:t>
      </w:r>
      <w:r>
        <w:rPr>
          <w:rFonts w:hint="eastAsia"/>
        </w:rPr>
        <w:t>保訓會</w:t>
      </w:r>
      <w:r>
        <w:t>92</w:t>
      </w:r>
      <w:r>
        <w:rPr>
          <w:rFonts w:hAnsi="新細明體"/>
        </w:rPr>
        <w:t>公審決字第</w:t>
      </w:r>
      <w:r>
        <w:t>0362</w:t>
      </w:r>
      <w:r>
        <w:rPr>
          <w:rFonts w:hAnsi="新細明體"/>
        </w:rPr>
        <w:t>號復審決定</w:t>
      </w:r>
      <w:r>
        <w:rPr>
          <w:rFonts w:hAnsi="新細明體" w:hint="eastAsia"/>
        </w:rPr>
        <w:t>中，由委員</w:t>
      </w:r>
      <w:r>
        <w:rPr>
          <w:rFonts w:ascii="新細明體" w:hAnsi="新細明體"/>
        </w:rPr>
        <w:t>廖林麗貞</w:t>
      </w:r>
      <w:r>
        <w:rPr>
          <w:rFonts w:ascii="新細明體" w:hAnsi="新細明體" w:hint="eastAsia"/>
        </w:rPr>
        <w:t>與</w:t>
      </w:r>
      <w:r>
        <w:rPr>
          <w:rFonts w:ascii="新細明體" w:hAnsi="新細明體"/>
        </w:rPr>
        <w:t>李英毅</w:t>
      </w:r>
      <w:r>
        <w:rPr>
          <w:rFonts w:ascii="新細明體" w:hAnsi="新細明體" w:hint="eastAsia"/>
        </w:rPr>
        <w:t>共同提出之</w:t>
      </w:r>
      <w:r>
        <w:rPr>
          <w:rFonts w:ascii="新細明體" w:hAnsi="新細明體"/>
        </w:rPr>
        <w:t>不同意見書</w:t>
      </w:r>
      <w:r>
        <w:rPr>
          <w:rFonts w:ascii="新細明體" w:hAnsi="新細明體" w:hint="eastAsia"/>
        </w:rPr>
        <w:t>稱：「</w:t>
      </w:r>
      <w:r>
        <w:rPr>
          <w:rFonts w:ascii="標楷體" w:eastAsia="標楷體" w:hAnsi="標楷體"/>
        </w:rPr>
        <w:t>…</w:t>
      </w:r>
      <w:r>
        <w:rPr>
          <w:rFonts w:ascii="標楷體" w:eastAsia="標楷體" w:hAnsi="標楷體"/>
        </w:rPr>
        <w:t>惟問題是我國實務上類如本件情形，習慣多次追繳，並向以最後追繳函移送行政執行。此時究以第一次追繳函為行政處分，其餘追繳函僅屬重複處置，非行政處分？或者以後來所為追繳屬第二次裁決，先前所為追繳已遭後者撤銷，故以最後所為者為最終有效之行政處分？本件本會係以九十一年十一月五日函作為</w:t>
      </w:r>
      <w:r>
        <w:rPr>
          <w:rFonts w:ascii="標楷體" w:eastAsia="標楷體" w:hAnsi="標楷體"/>
        </w:rPr>
        <w:t>救濟標的，顯係採後者看法。惟從民航局三次追繳函之內容比較，前二次均具體指定日期限期繳清，第三次則以文到十日內繳清，並附加表示「台端如未能如期配合繳交，本局當依審計部交通建設審計處函釋規定移送法務部行政執行署相關執行處辦理強制執行」，其內容未必相同，鑑於限期繳清所定日期，與金額均應同屬行政處分主要內容之一，故可認第二次追繳函已撤銷第一次追繳函，至於第三次追繳函之附加表示，旨在使復審人得以預測其將來之不利益，俾督促義務之履行，應屬告誡性質，尚非行政處分。是以，本件真正處分似應為九十一年七月十一日之催繳函，就告誡</w:t>
      </w:r>
      <w:r>
        <w:rPr>
          <w:rFonts w:ascii="標楷體" w:eastAsia="標楷體" w:hAnsi="標楷體"/>
        </w:rPr>
        <w:t>提起行政救濟，於法應有未合。</w:t>
      </w:r>
      <w:r>
        <w:rPr>
          <w:rFonts w:ascii="標楷體" w:eastAsia="標楷體" w:hAnsi="標楷體"/>
        </w:rPr>
        <w:t>…</w:t>
      </w:r>
      <w:r>
        <w:rPr>
          <w:rFonts w:ascii="標楷體" w:eastAsia="標楷體" w:hAnsi="標楷體"/>
        </w:rPr>
        <w:t>多次催繳並非法律所規定，行政執行法僅規定行政處分文書或裁定書未定履行期間者，須以書面限期催告履行後，依法令負有義務者，須以書面通知限期履行者後，逾期不履行，始得移送強制執行，至於行政處分定有履行期間，則毋須再限期催告履行，於完成告誡程序後，即得移送強制執行，返還公法上不當得利，並非依法令負有義務，若以行政處分定有履行期間命返還，並附加救濟教示，即無再發催繳函之必要，多次催繳僅徒增如本件行政處分認定之爭議而已，實亦值檢討。</w:t>
      </w:r>
      <w:r>
        <w:rPr>
          <w:rFonts w:ascii="新細明體" w:hAnsi="新細明體" w:hint="eastAsia"/>
        </w:rPr>
        <w:t>」見地正確，殊值參考。</w:t>
      </w:r>
    </w:p>
    <w:p w:rsidR="00000000" w:rsidRDefault="00724932">
      <w:pPr>
        <w:widowControl/>
        <w:spacing w:line="288" w:lineRule="auto"/>
        <w:ind w:firstLineChars="200" w:firstLine="480"/>
        <w:jc w:val="both"/>
        <w:rPr>
          <w:rFonts w:hAnsi="新細明體"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lastRenderedPageBreak/>
        <w:t>貳　一般給付訴訟</w:t>
      </w:r>
    </w:p>
    <w:p w:rsidR="00000000" w:rsidRDefault="00724932">
      <w:pPr>
        <w:widowControl/>
        <w:spacing w:line="288" w:lineRule="auto"/>
        <w:ind w:firstLineChars="200" w:firstLine="480"/>
        <w:jc w:val="both"/>
        <w:rPr>
          <w:rFonts w:hAnsi="新細明體" w:hint="eastAsia"/>
        </w:rPr>
      </w:pPr>
      <w:r>
        <w:rPr>
          <w:rFonts w:hAnsi="新細明體" w:hint="eastAsia"/>
        </w:rPr>
        <w:t>如前所述，行政</w:t>
      </w:r>
      <w:r>
        <w:rPr>
          <w:rFonts w:hAnsi="新細明體" w:hint="eastAsia"/>
        </w:rPr>
        <w:t>機關既得依據「隸屬關係說」，逕以行政處分方式，必要時佐以行政執行，向公務人員行使公法上不當得利返還請求權；準此，行政機關</w:t>
      </w:r>
      <w:r>
        <w:rPr>
          <w:rFonts w:hAnsi="新細明體"/>
        </w:rPr>
        <w:t>向行政法院</w:t>
      </w:r>
      <w:r>
        <w:rPr>
          <w:rFonts w:hAnsi="新細明體" w:hint="eastAsia"/>
        </w:rPr>
        <w:t>，</w:t>
      </w:r>
      <w:r>
        <w:rPr>
          <w:rFonts w:hAnsi="新細明體"/>
        </w:rPr>
        <w:t>依行政訴訟法第八條規定提起一般給付訴訟</w:t>
      </w:r>
      <w:r>
        <w:rPr>
          <w:rFonts w:hAnsi="新細明體" w:hint="eastAsia"/>
        </w:rPr>
        <w:t>來行使其權利的必要，相對地大為減低。在這方面，我國臺北高等行政法院的見解相當正確，原則上得以行政機關欠缺「權利保護必要性」為理由，駁回訴訟</w:t>
      </w:r>
      <w:r>
        <w:rPr>
          <w:rStyle w:val="a9"/>
          <w:rFonts w:hAnsi="新細明體"/>
        </w:rPr>
        <w:footnoteReference w:id="244"/>
      </w:r>
      <w:r>
        <w:rPr>
          <w:rFonts w:hAnsi="新細明體" w:hint="eastAsia"/>
        </w:rPr>
        <w:t>。查權利保護必要性之概念，原來自民事訴訟法</w:t>
      </w:r>
      <w:r>
        <w:rPr>
          <w:rStyle w:val="a9"/>
          <w:rFonts w:hAnsi="新細明體"/>
        </w:rPr>
        <w:footnoteReference w:id="245"/>
      </w:r>
      <w:r>
        <w:rPr>
          <w:rFonts w:hAnsi="新細明體" w:hint="eastAsia"/>
        </w:rPr>
        <w:t>，不過行政爭訟法中，也有適用餘地</w:t>
      </w:r>
      <w:r>
        <w:rPr>
          <w:rStyle w:val="a9"/>
          <w:rFonts w:hAnsi="新細明體"/>
        </w:rPr>
        <w:footnoteReference w:id="246"/>
      </w:r>
      <w:r>
        <w:rPr>
          <w:rFonts w:hAnsi="新細明體" w:hint="eastAsia"/>
        </w:rPr>
        <w:t>。至於這個概念的實際內涵，及其究竟是屬於「實體裁判要件（</w:t>
      </w:r>
      <w:r>
        <w:rPr>
          <w:rFonts w:hAnsi="新細明體" w:hint="eastAsia"/>
        </w:rPr>
        <w:t>Sachentscheidungsvorausset</w:t>
      </w:r>
      <w:r>
        <w:rPr>
          <w:rFonts w:hAnsi="新細明體"/>
        </w:rPr>
        <w:softHyphen/>
      </w:r>
      <w:r>
        <w:rPr>
          <w:rFonts w:hAnsi="新細明體" w:hint="eastAsia"/>
        </w:rPr>
        <w:t>zung</w:t>
      </w:r>
      <w:r>
        <w:rPr>
          <w:rFonts w:hAnsi="新細明體" w:hint="eastAsia"/>
        </w:rPr>
        <w:t>）」，</w:t>
      </w:r>
      <w:r>
        <w:rPr>
          <w:rFonts w:hAnsi="新細明體" w:hint="eastAsia"/>
        </w:rPr>
        <w:t>為起訴「合法性（</w:t>
      </w:r>
      <w:r>
        <w:rPr>
          <w:rFonts w:hAnsi="新細明體" w:hint="eastAsia"/>
        </w:rPr>
        <w:t>Zul</w:t>
      </w:r>
      <w:r>
        <w:t>ä</w:t>
      </w:r>
      <w:r>
        <w:rPr>
          <w:rFonts w:hAnsi="新細明體" w:hint="eastAsia"/>
        </w:rPr>
        <w:t>ssigkeit</w:t>
      </w:r>
      <w:r>
        <w:rPr>
          <w:rFonts w:hAnsi="新細明體" w:hint="eastAsia"/>
        </w:rPr>
        <w:t>）」問題，或「有（無）理由（</w:t>
      </w:r>
      <w:r>
        <w:rPr>
          <w:rFonts w:hAnsi="新細明體" w:hint="eastAsia"/>
        </w:rPr>
        <w:t>Begr</w:t>
      </w:r>
      <w:r>
        <w:t>ü</w:t>
      </w:r>
      <w:r>
        <w:rPr>
          <w:rFonts w:hAnsi="新細明體"/>
        </w:rPr>
        <w:t>ndetheit</w:t>
      </w:r>
      <w:r>
        <w:rPr>
          <w:rFonts w:hAnsi="新細明體" w:hint="eastAsia"/>
        </w:rPr>
        <w:t>）」問題，鑑於與本研究無直接關聯，在此不贅</w:t>
      </w:r>
      <w:r>
        <w:rPr>
          <w:rStyle w:val="a9"/>
          <w:rFonts w:hAnsi="新細明體"/>
        </w:rPr>
        <w:footnoteReference w:id="247"/>
      </w:r>
      <w:r>
        <w:rPr>
          <w:rFonts w:hAnsi="新細明體" w:hint="eastAsia"/>
        </w:rPr>
        <w:t>。</w:t>
      </w:r>
    </w:p>
    <w:p w:rsidR="00000000" w:rsidRDefault="00724932">
      <w:pPr>
        <w:widowControl/>
        <w:spacing w:line="288" w:lineRule="auto"/>
        <w:ind w:firstLineChars="200" w:firstLine="480"/>
        <w:jc w:val="both"/>
        <w:rPr>
          <w:rFonts w:hAnsi="新細明體" w:hint="eastAsia"/>
        </w:rPr>
      </w:pPr>
    </w:p>
    <w:p w:rsidR="00000000" w:rsidRDefault="00724932">
      <w:pPr>
        <w:widowControl/>
        <w:spacing w:line="288" w:lineRule="auto"/>
        <w:ind w:firstLineChars="200" w:firstLine="480"/>
        <w:jc w:val="both"/>
        <w:rPr>
          <w:rFonts w:hAnsi="新細明體" w:hint="eastAsia"/>
        </w:rPr>
      </w:pPr>
    </w:p>
    <w:p w:rsidR="00000000" w:rsidRDefault="00724932">
      <w:pPr>
        <w:widowControl/>
        <w:spacing w:afterLines="50" w:after="180" w:line="288" w:lineRule="auto"/>
        <w:jc w:val="both"/>
        <w:rPr>
          <w:rFonts w:hint="eastAsia"/>
          <w:b/>
          <w:sz w:val="32"/>
          <w:szCs w:val="32"/>
        </w:rPr>
      </w:pPr>
      <w:r>
        <w:rPr>
          <w:rFonts w:hint="eastAsia"/>
          <w:b/>
          <w:sz w:val="32"/>
          <w:szCs w:val="32"/>
        </w:rPr>
        <w:t>參　公法上之抵銷</w:t>
      </w:r>
    </w:p>
    <w:p w:rsidR="00000000" w:rsidRDefault="00724932">
      <w:pPr>
        <w:widowControl/>
        <w:spacing w:afterLines="50" w:after="180" w:line="288" w:lineRule="auto"/>
        <w:ind w:firstLineChars="200" w:firstLine="480"/>
        <w:jc w:val="both"/>
        <w:rPr>
          <w:rFonts w:hint="eastAsia"/>
        </w:rPr>
      </w:pPr>
      <w:r>
        <w:rPr>
          <w:rFonts w:hAnsi="新細明體" w:hint="eastAsia"/>
        </w:rPr>
        <w:t>最後在有關「扣繳」問題上，其實就是所謂「公法上之抵銷」；</w:t>
      </w:r>
      <w:r>
        <w:rPr>
          <w:rFonts w:hint="eastAsia"/>
        </w:rPr>
        <w:t>此際，民法第三百三十四條以下之規定，應予準用。</w:t>
      </w:r>
      <w:r>
        <w:rPr>
          <w:rFonts w:hAnsi="新細明體" w:hint="eastAsia"/>
        </w:rPr>
        <w:t>雖然這個制度在我國與德國有關行政機關向公務人員或一般私人行使公法上不當得利返還請求權的實務上，廣泛地適用，並且至少在德國方面，也獲得學說方面的贊同</w:t>
      </w:r>
      <w:r>
        <w:rPr>
          <w:rStyle w:val="a9"/>
          <w:rFonts w:hAnsi="新細明體"/>
        </w:rPr>
        <w:footnoteReference w:id="248"/>
      </w:r>
      <w:r>
        <w:rPr>
          <w:rFonts w:hAnsi="新細明體" w:hint="eastAsia"/>
        </w:rPr>
        <w:t>，不過在許多問題點方面，卻一直無法釐清</w:t>
      </w:r>
      <w:r>
        <w:rPr>
          <w:rStyle w:val="a9"/>
          <w:rFonts w:hAnsi="新細明體"/>
        </w:rPr>
        <w:footnoteReference w:id="249"/>
      </w:r>
      <w:r>
        <w:rPr>
          <w:rFonts w:hAnsi="新細明體" w:hint="eastAsia"/>
        </w:rPr>
        <w:t>。首先，學說</w:t>
      </w:r>
      <w:r>
        <w:rPr>
          <w:rStyle w:val="a9"/>
          <w:rFonts w:hAnsi="新細明體"/>
        </w:rPr>
        <w:footnoteReference w:id="250"/>
      </w:r>
      <w:r>
        <w:rPr>
          <w:rFonts w:hAnsi="新細明體" w:hint="eastAsia"/>
        </w:rPr>
        <w:t>上已大致形成共識，行政機關以「函知」方式</w:t>
      </w:r>
      <w:r>
        <w:rPr>
          <w:rFonts w:hAnsi="新細明體" w:hint="eastAsia"/>
        </w:rPr>
        <w:lastRenderedPageBreak/>
        <w:t>向公</w:t>
      </w:r>
      <w:r>
        <w:rPr>
          <w:rFonts w:hAnsi="新細明體" w:hint="eastAsia"/>
        </w:rPr>
        <w:t>務人員或一般私人主張公法上之抵銷，</w:t>
      </w:r>
      <w:r>
        <w:rPr>
          <w:rFonts w:hint="eastAsia"/>
        </w:rPr>
        <w:t>欠缺行政處分之「高權」性質，故非為行政處分，而是最多只為行政處分以外的公法上另一種「意思表示（</w:t>
      </w:r>
      <w:r>
        <w:rPr>
          <w:rFonts w:hint="eastAsia"/>
        </w:rPr>
        <w:t>Willens</w:t>
      </w:r>
      <w:r>
        <w:softHyphen/>
      </w:r>
      <w:r>
        <w:rPr>
          <w:rFonts w:hint="eastAsia"/>
        </w:rPr>
        <w:t>er</w:t>
      </w:r>
      <w:r>
        <w:softHyphen/>
      </w:r>
      <w:r>
        <w:rPr>
          <w:rFonts w:hint="eastAsia"/>
        </w:rPr>
        <w:t>kl</w:t>
      </w:r>
      <w:r>
        <w:t>ärung</w:t>
      </w:r>
      <w:r>
        <w:rPr>
          <w:rFonts w:hint="eastAsia"/>
        </w:rPr>
        <w:t>）」</w:t>
      </w:r>
      <w:r>
        <w:rPr>
          <w:rStyle w:val="a9"/>
        </w:rPr>
        <w:footnoteReference w:id="251"/>
      </w:r>
      <w:r>
        <w:rPr>
          <w:rFonts w:hint="eastAsia"/>
        </w:rPr>
        <w:t>；惟除此以外，其有何行使上之要件，並有何特殊的限制，縱然在德國方面，仍然不甚清楚</w:t>
      </w:r>
      <w:r>
        <w:rPr>
          <w:rStyle w:val="a9"/>
        </w:rPr>
        <w:footnoteReference w:id="252"/>
      </w:r>
      <w:r>
        <w:rPr>
          <w:rFonts w:hint="eastAsia"/>
        </w:rPr>
        <w:t>。本研究限於篇幅，對於此一問題，無法深究；在此僅就若干問題點表示意見。</w:t>
      </w:r>
    </w:p>
    <w:p w:rsidR="00000000" w:rsidRDefault="00724932">
      <w:pPr>
        <w:widowControl/>
        <w:spacing w:afterLines="50" w:after="180" w:line="288" w:lineRule="auto"/>
        <w:ind w:firstLineChars="200" w:firstLine="480"/>
        <w:jc w:val="both"/>
        <w:rPr>
          <w:rFonts w:hint="eastAsia"/>
        </w:rPr>
      </w:pPr>
      <w:r>
        <w:rPr>
          <w:rFonts w:hint="eastAsia"/>
        </w:rPr>
        <w:t>基本上，公法上之抵銷，行政機關似乎未必獨立於行政處分之外單獨行使。事實上正依據我國的實務，行政機關輒以給付裁決（行政處分）函知人民行使公法上不當得利返還請求權時，一方面說明請求權成立之理由</w:t>
      </w:r>
      <w:r>
        <w:rPr>
          <w:rFonts w:hint="eastAsia"/>
        </w:rPr>
        <w:t>，並確定返還範圍與金額，另一方面則同時主張公法上之抵銷（扣繳），而免除行政執行的冗繁程序；準此，公法上之抵銷，其實就是一種代替行政執行，直接實現行政處分效力的手段。此外，又由於行政機關在得主張公法上之抵銷時，通常即對相對人另有一給付種類相同之債務（民法第三百三十四條參照）；如此，行政機關又何庸一方面進行行政執行，取回公法上不當得利之應返還部分，另方面卻又將給付種類相同之取得，給付同一相對人，以履行債務。故為避免此一無庸的同一標的轉進轉出，實務上常見行政機關逕以公法上抵銷，作為給付裁決之「內容」的作法，似無苛</w:t>
      </w:r>
      <w:r>
        <w:rPr>
          <w:rFonts w:hint="eastAsia"/>
        </w:rPr>
        <w:t>求之處。只是此際，行政機關一方面必須嚴守做成行政處分（給付裁決）的形式、程序與實質要件，另方面也必須遵循公法上抵銷（扣繳）之要件與限制。</w:t>
      </w:r>
    </w:p>
    <w:p w:rsidR="00000000" w:rsidRDefault="00724932">
      <w:pPr>
        <w:widowControl/>
        <w:spacing w:line="288" w:lineRule="auto"/>
        <w:ind w:firstLineChars="200" w:firstLine="480"/>
        <w:jc w:val="both"/>
        <w:rPr>
          <w:rFonts w:hAnsi="新細明體" w:hint="eastAsia"/>
        </w:rPr>
      </w:pPr>
      <w:r>
        <w:rPr>
          <w:rFonts w:hint="eastAsia"/>
        </w:rPr>
        <w:t>不過退一步而言，在現今行政法學上，學者對於公法上之抵銷認識其實太少；至於在</w:t>
      </w:r>
      <w:r>
        <w:rPr>
          <w:rFonts w:hAnsi="新細明體" w:hint="eastAsia"/>
        </w:rPr>
        <w:t>實務中，行政機關針對公法上不當得利返還請求的問題所為之「扣繳」，究竟是行政處分或公法上之抵銷，其實連行政機關本身也無明確的問題意識。從而，在此種相關問題仍屬混沌未明的情形，有關公法上之抵銷，在我國，除有深入研究的必要外，基於人民權利之保護，實務上也寧可謹慎。</w:t>
      </w:r>
    </w:p>
    <w:p w:rsidR="00000000" w:rsidRDefault="00724932">
      <w:pPr>
        <w:widowControl/>
        <w:spacing w:beforeLines="400" w:before="1440" w:afterLines="50" w:after="180" w:line="288" w:lineRule="auto"/>
        <w:jc w:val="center"/>
        <w:rPr>
          <w:rFonts w:hint="eastAsia"/>
          <w:b/>
          <w:bCs/>
          <w:sz w:val="36"/>
          <w:szCs w:val="36"/>
        </w:rPr>
      </w:pPr>
      <w:r>
        <w:rPr>
          <w:b/>
          <w:sz w:val="48"/>
          <w:szCs w:val="48"/>
        </w:rPr>
        <w:br w:type="page"/>
      </w:r>
      <w:r>
        <w:rPr>
          <w:rFonts w:hint="eastAsia"/>
          <w:b/>
          <w:sz w:val="48"/>
          <w:szCs w:val="48"/>
        </w:rPr>
        <w:lastRenderedPageBreak/>
        <w:t>第五章</w:t>
      </w:r>
      <w:r>
        <w:rPr>
          <w:rFonts w:hAnsi="新細明體" w:hint="eastAsia"/>
          <w:b/>
          <w:bCs/>
          <w:sz w:val="48"/>
          <w:szCs w:val="48"/>
        </w:rPr>
        <w:t xml:space="preserve">　</w:t>
      </w:r>
      <w:r>
        <w:rPr>
          <w:rFonts w:hint="eastAsia"/>
          <w:b/>
          <w:sz w:val="48"/>
          <w:szCs w:val="48"/>
        </w:rPr>
        <w:t>結論</w:t>
      </w:r>
    </w:p>
    <w:p w:rsidR="00000000" w:rsidRDefault="00724932">
      <w:pPr>
        <w:widowControl/>
        <w:spacing w:afterLines="50" w:after="180" w:line="288" w:lineRule="auto"/>
        <w:jc w:val="both"/>
        <w:rPr>
          <w:rFonts w:hAnsi="新細明體" w:hint="eastAsia"/>
          <w:b/>
          <w:bCs/>
          <w:sz w:val="40"/>
          <w:szCs w:val="40"/>
        </w:rPr>
      </w:pPr>
    </w:p>
    <w:p w:rsidR="00000000" w:rsidRDefault="00724932">
      <w:pPr>
        <w:widowControl/>
        <w:spacing w:line="288" w:lineRule="auto"/>
        <w:ind w:firstLineChars="200" w:firstLine="480"/>
        <w:jc w:val="both"/>
        <w:rPr>
          <w:rFonts w:hint="eastAsia"/>
        </w:rPr>
      </w:pPr>
      <w:r>
        <w:rPr>
          <w:rFonts w:hint="eastAsia"/>
        </w:rPr>
        <w:t>經過以上各章之討論，本</w:t>
      </w:r>
      <w:r>
        <w:rPr>
          <w:rFonts w:hint="eastAsia"/>
        </w:rPr>
        <w:t>章作為結論，首先將以條列的方式，重新整理，逐一報告本研究所得的各項結果，用作實務上處理公務人員公法上金錢給付之返還請求案件時參考（第一節　研究結果總整理）。其次，再進一步基於研究所得，針對立法者將來可能修法，以完整化公法上不當得利，乃至公務人員公法上金錢給付之返還請求制度時，提供若干立法政策上的建議（第二節　立法政策上之建議）。</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第一節　研究結果總整理</w:t>
      </w:r>
    </w:p>
    <w:p w:rsidR="00000000" w:rsidRDefault="00724932">
      <w:pPr>
        <w:widowControl/>
        <w:spacing w:line="288" w:lineRule="auto"/>
        <w:ind w:firstLineChars="200" w:firstLine="480"/>
        <w:jc w:val="both"/>
        <w:rPr>
          <w:rFonts w:hint="eastAsia"/>
        </w:rPr>
      </w:pPr>
      <w:r>
        <w:rPr>
          <w:rFonts w:hint="eastAsia"/>
        </w:rPr>
        <w:t>本研究之研究總結果，謹條列整理如下：</w:t>
      </w:r>
    </w:p>
    <w:p w:rsidR="00000000" w:rsidRDefault="00724932">
      <w:pPr>
        <w:widowControl/>
        <w:spacing w:line="288" w:lineRule="auto"/>
        <w:jc w:val="both"/>
        <w:rPr>
          <w:rFonts w:hint="eastAsia"/>
        </w:rPr>
      </w:pPr>
    </w:p>
    <w:p w:rsidR="00000000" w:rsidRDefault="00724932">
      <w:pPr>
        <w:widowControl/>
        <w:spacing w:line="288" w:lineRule="auto"/>
        <w:ind w:left="480" w:hangingChars="200" w:hanging="480"/>
        <w:jc w:val="both"/>
        <w:rPr>
          <w:rFonts w:hint="eastAsia"/>
        </w:rPr>
      </w:pPr>
      <w:r>
        <w:rPr>
          <w:rFonts w:hint="eastAsia"/>
        </w:rPr>
        <w:t>０　本研究主要是以透過相當於我國所謂「公法上不當得利」之德國「公法上返還請求權」制度的比較觀察，試圖建立一套完</w:t>
      </w:r>
      <w:r>
        <w:rPr>
          <w:rFonts w:hint="eastAsia"/>
        </w:rPr>
        <w:t>整的公務人員不當受領公法上金錢給付之返還請求法律體系，以解決我國實務上利用公法上不當得利制度來解決行政機關向公務人員請求返還其不當受領薪俸或其他公法上金錢給付時所遭遇的各種問題。在此，由於其他國家之法制，如英美法、法國法或日本法，不是欠缺相對應的不當得利制度，就是不當得利之理論與德國法制類同，故均排除在本研究比較法討論之列。（第一章、第二章）</w:t>
      </w:r>
    </w:p>
    <w:p w:rsidR="00000000" w:rsidRDefault="00724932">
      <w:pPr>
        <w:widowControl/>
        <w:spacing w:line="288" w:lineRule="auto"/>
        <w:ind w:left="480" w:hangingChars="200" w:hanging="480"/>
        <w:jc w:val="both"/>
        <w:rPr>
          <w:rFonts w:hint="eastAsia"/>
        </w:rPr>
      </w:pPr>
    </w:p>
    <w:p w:rsidR="00000000" w:rsidRDefault="00724932">
      <w:pPr>
        <w:widowControl/>
        <w:spacing w:afterLines="50" w:after="180" w:line="288" w:lineRule="auto"/>
        <w:ind w:left="480" w:hangingChars="200" w:hanging="480"/>
        <w:jc w:val="both"/>
        <w:rPr>
          <w:rFonts w:hint="eastAsia"/>
        </w:rPr>
      </w:pPr>
      <w:r>
        <w:rPr>
          <w:rFonts w:hint="eastAsia"/>
        </w:rPr>
        <w:t>１　以公法上不當得利返還請求權解決公務人員不當受領公法上金錢給付之返還的問題，主要以具有因國家或其他行政主體之行政處分而與國家或其他行政主體產生公務員法律關係的公務</w:t>
      </w:r>
      <w:r>
        <w:rPr>
          <w:rFonts w:hint="eastAsia"/>
        </w:rPr>
        <w:t>人員為適用中心。不過相同的機制，事實</w:t>
      </w:r>
      <w:r>
        <w:rPr>
          <w:rFonts w:hint="eastAsia"/>
        </w:rPr>
        <w:lastRenderedPageBreak/>
        <w:t>上也可適用或類推適用在以契約方式與國家產生廣義公務員法律關係的所謂約聘、僱人員，及其他接受國家或其他行政主體基於公務員法律關係所延伸照顧的非現職公務人員、公務人員之（遺）眷屬或其他相關之人等範圍。（第三章第一節壹）</w:t>
      </w:r>
    </w:p>
    <w:p w:rsidR="00000000" w:rsidRDefault="00724932">
      <w:pPr>
        <w:widowControl/>
        <w:spacing w:afterLines="50" w:after="180" w:line="288" w:lineRule="auto"/>
        <w:ind w:leftChars="100" w:left="960" w:hangingChars="300" w:hanging="720"/>
        <w:jc w:val="both"/>
        <w:rPr>
          <w:rFonts w:hint="eastAsia"/>
        </w:rPr>
      </w:pPr>
      <w:r>
        <w:rPr>
          <w:rFonts w:hint="eastAsia"/>
        </w:rPr>
        <w:t>１．１在約聘、僱人員方面，若約聘、僱契約採「私法契約說」時，則應適用民法上不當得利制度；但在若干問題上，實宜基於約聘、僱人員之法律關係目前與狹義公務人員之法律關係並無太大差異的考慮，有必要藉由民法規定之合目的性擴張或限縮等法之續造，而與公法上不當得利制度對齊處</w:t>
      </w:r>
      <w:r>
        <w:rPr>
          <w:rFonts w:hint="eastAsia"/>
        </w:rPr>
        <w:t>理。約聘、僱契約，若採「行政契約說」時，則得以完全適用公法上不當得利制度。不過此際，不當得利受領金錢給付而所欠缺的法律上之原因，原則上應係該屬於行政契約的約聘、僱契約本身；除非法律有明確規定，否則並無以行政處分作為（原）法律上之原因的情形。</w:t>
      </w:r>
    </w:p>
    <w:p w:rsidR="00000000" w:rsidRDefault="00724932">
      <w:pPr>
        <w:widowControl/>
        <w:spacing w:line="288" w:lineRule="auto"/>
        <w:ind w:leftChars="100" w:left="960" w:hangingChars="300" w:hanging="720"/>
        <w:jc w:val="both"/>
        <w:rPr>
          <w:rFonts w:hint="eastAsia"/>
        </w:rPr>
      </w:pPr>
      <w:r>
        <w:rPr>
          <w:rFonts w:hint="eastAsia"/>
        </w:rPr>
        <w:t>１．２在基於契約而與國家或其他行政主體成立平等法律關係的約聘、僱人員方面，以及公務人員之（遺）眷屬方面，因與國家或其他行政主體欠缺隸屬關係，故除非另有法律明文或所謂「反面理論」適用的情形，否則行政機關不得逕以做成行政處分之方式，對其行使公法上不當得利請求權。</w:t>
      </w:r>
    </w:p>
    <w:p w:rsidR="00000000" w:rsidRDefault="00724932">
      <w:pPr>
        <w:widowControl/>
        <w:spacing w:line="288" w:lineRule="auto"/>
        <w:ind w:leftChars="200" w:left="480"/>
        <w:jc w:val="both"/>
        <w:rPr>
          <w:rFonts w:hint="eastAsia"/>
        </w:rPr>
      </w:pPr>
    </w:p>
    <w:p w:rsidR="00000000" w:rsidRDefault="00724932">
      <w:pPr>
        <w:widowControl/>
        <w:spacing w:afterLines="50" w:after="180" w:line="288" w:lineRule="auto"/>
        <w:ind w:left="480" w:hangingChars="200" w:hanging="480"/>
        <w:jc w:val="both"/>
        <w:rPr>
          <w:rFonts w:hint="eastAsia"/>
        </w:rPr>
      </w:pPr>
      <w:r>
        <w:rPr>
          <w:rFonts w:hint="eastAsia"/>
        </w:rPr>
        <w:t>２　公務</w:t>
      </w:r>
      <w:r>
        <w:rPr>
          <w:rFonts w:hint="eastAsia"/>
        </w:rPr>
        <w:t>人員受領公法上金錢給付之種類，雖屬繁多，但在涉及公法上不當得利的情形，原則上宜以（原）給付之「原因」為類型化標準，區分為「基於行政處分之給付」與「非基於行政處分之給付」兩種類型。因為在現行法中，第一種類型之給付，輒有適用行政程序法第一百二十七條之可能，而第二種類型則咸屬不成文之「一般公法上不當得利返還請求權」的適用範疇。（第三章第一節貳）</w:t>
      </w:r>
    </w:p>
    <w:p w:rsidR="00000000" w:rsidRDefault="00724932">
      <w:pPr>
        <w:widowControl/>
        <w:spacing w:afterLines="50" w:after="180" w:line="288" w:lineRule="auto"/>
        <w:ind w:leftChars="100" w:left="960" w:hangingChars="300" w:hanging="720"/>
        <w:jc w:val="both"/>
        <w:rPr>
          <w:rFonts w:hint="eastAsia"/>
        </w:rPr>
      </w:pPr>
      <w:r>
        <w:rPr>
          <w:rFonts w:hint="eastAsia"/>
        </w:rPr>
        <w:t>２．１給付之（原因究為「行政處分」或是「非行政處分」（如法規本身、行政契約等），僅能把握行政程序法第九十二條之規定，逐案判斷。不過基本上，在個案中，給付係基於受領人之申請</w:t>
      </w:r>
      <w:r>
        <w:rPr>
          <w:rFonts w:hint="eastAsia"/>
        </w:rPr>
        <w:t>（非單純之報備、通知或登記</w:t>
      </w:r>
      <w:r>
        <w:rPr>
          <w:rFonts w:ascii="新細明體" w:hAnsi="新細明體"/>
        </w:rPr>
        <w:t>…</w:t>
      </w:r>
      <w:r>
        <w:rPr>
          <w:rFonts w:hint="eastAsia"/>
        </w:rPr>
        <w:t>等），或是給付之確定，由於法規規定之規範密度過低，而有不確定法律概念之判斷、複雜法律事實之調查及行政機關享有裁量空間等情況時，因行政機關在此有明顯的單方意思表示之作用，大致均可推定給付之原因為行政處分，而非該行政處分所依據的法規本身。</w:t>
      </w:r>
    </w:p>
    <w:p w:rsidR="00000000" w:rsidRDefault="00724932">
      <w:pPr>
        <w:widowControl/>
        <w:spacing w:line="288" w:lineRule="auto"/>
        <w:ind w:leftChars="100" w:left="960" w:hangingChars="300" w:hanging="720"/>
        <w:jc w:val="both"/>
        <w:rPr>
          <w:rFonts w:hint="eastAsia"/>
        </w:rPr>
      </w:pPr>
      <w:r>
        <w:rPr>
          <w:rFonts w:hint="eastAsia"/>
        </w:rPr>
        <w:t>２．２行政機關向公務人員為金錢給付的給付「原因」，不應與作為「實現」給付的支付行為本身混淆。換言之，行政機關基於由行政處分或其他原因所產生之金錢給付義務，而實際進行的支付行為，不論是現金支付、金融機構轉帳或其他方式，均為屬於「行政事實行為」之一種的</w:t>
      </w:r>
      <w:r>
        <w:rPr>
          <w:rFonts w:hint="eastAsia"/>
        </w:rPr>
        <w:t>履行行為；判斷金錢給付，究係基於行政處分或非基於行政處分，不應從此支付行為本身有無轉帳單據或其他「</w:t>
      </w:r>
      <w:r>
        <w:t>知之</w:t>
      </w:r>
      <w:r>
        <w:rPr>
          <w:rFonts w:hint="eastAsia"/>
        </w:rPr>
        <w:t>表示」等著手，而應直接追究形成金錢給付義務的給付原因。</w:t>
      </w:r>
    </w:p>
    <w:p w:rsidR="00000000" w:rsidRDefault="00724932">
      <w:pPr>
        <w:widowControl/>
        <w:spacing w:line="288" w:lineRule="auto"/>
        <w:jc w:val="both"/>
        <w:rPr>
          <w:rFonts w:hint="eastAsia"/>
        </w:rPr>
      </w:pPr>
    </w:p>
    <w:p w:rsidR="00000000" w:rsidRDefault="00724932">
      <w:pPr>
        <w:widowControl/>
        <w:spacing w:line="288" w:lineRule="auto"/>
        <w:ind w:left="480" w:hangingChars="200" w:hanging="480"/>
        <w:jc w:val="both"/>
        <w:rPr>
          <w:rFonts w:hint="eastAsia"/>
        </w:rPr>
      </w:pPr>
      <w:r>
        <w:rPr>
          <w:rFonts w:hint="eastAsia"/>
        </w:rPr>
        <w:t>３　在公務人員不當受領公法上金錢給付時之返還請求問題上，公法上不當得利返還請求權，依現行法制，分別有屬於「特殊公法上不當得利返還請求權」的行政程序法第一百二十七條規定，處理「基於行政處分之給付」類型中，具有同條第一項所規定之情形，以及屬於不成文、但已經過我國學說與實務所公認的「一般公法上不當得利返還請求權」，處理其他非屬行政程序法第一項所規定之不當得</w:t>
      </w:r>
      <w:r>
        <w:rPr>
          <w:rFonts w:hint="eastAsia"/>
        </w:rPr>
        <w:t>利類型等兩種。至於行政程序法第一百二十七條所規定的「特殊公法上不當得利返還請求權」，以該法條第一項所規定者為成立請求權之構成要件；而不成文的「一般公法上不當得利返還請求權」，則以「財產變動」、「在公法關係中」及「無法律上之原因（含原因其後已不存在）」為構成要件要素（民法第一百七十九條對照）。但其中，在涉及行政機關向公務人員請求返還公法上金錢給付之問題時，由於「財產變動」（即：給付）與「在公法關係中」（即：金錢給付之公法性質）原則上確定，故在個案中的判斷重點，為「無法律上之原因」此一構成要件要素。（第三章第二</w:t>
      </w:r>
      <w:r>
        <w:rPr>
          <w:rFonts w:hint="eastAsia"/>
        </w:rPr>
        <w:t>節壹）</w:t>
      </w:r>
    </w:p>
    <w:p w:rsidR="00000000" w:rsidRDefault="00724932">
      <w:pPr>
        <w:widowControl/>
        <w:spacing w:line="288" w:lineRule="auto"/>
        <w:ind w:leftChars="200" w:left="480"/>
        <w:jc w:val="both"/>
        <w:rPr>
          <w:rFonts w:hint="eastAsia"/>
        </w:rPr>
      </w:pPr>
    </w:p>
    <w:p w:rsidR="00000000" w:rsidRDefault="00724932">
      <w:pPr>
        <w:widowControl/>
        <w:spacing w:afterLines="50" w:after="180" w:line="288" w:lineRule="auto"/>
        <w:ind w:left="480" w:hangingChars="200" w:hanging="480"/>
        <w:jc w:val="both"/>
        <w:rPr>
          <w:rFonts w:hint="eastAsia"/>
        </w:rPr>
      </w:pPr>
      <w:r>
        <w:rPr>
          <w:rFonts w:hint="eastAsia"/>
        </w:rPr>
        <w:t>４　「基於行政處分之給付」，該當公法上不當得利者，主要的類型有二：其一是行政程序法第一百二十七條第一項所規定的情形，其二則是行政處分之效力有行政程序法第一百二十七條第一項所規定之情形以外的瑕疵，或處分效力雖存在，但給付違反行政處分之內容等各種「無法律上之原因」等情形。在第二種情形，因不該當行政程序法第一百二十七條第一項規定的構成要件，所以最多只能成立不成文的一般公法上不當得利返還請求權。（第三章第二節貳）</w:t>
      </w:r>
    </w:p>
    <w:p w:rsidR="00000000" w:rsidRDefault="00724932">
      <w:pPr>
        <w:widowControl/>
        <w:spacing w:afterLines="50" w:after="180" w:line="288" w:lineRule="auto"/>
        <w:ind w:leftChars="100" w:left="960" w:hangingChars="300" w:hanging="720"/>
        <w:jc w:val="both"/>
        <w:rPr>
          <w:rFonts w:hint="eastAsia"/>
        </w:rPr>
      </w:pPr>
      <w:r>
        <w:rPr>
          <w:rFonts w:hint="eastAsia"/>
        </w:rPr>
        <w:t>４．１依據行政程序法第一百十條第三項之規定，行政處分非有撤銷、廢止或因其他事由而失效的情形，</w:t>
      </w:r>
      <w:r>
        <w:rPr>
          <w:rFonts w:hint="eastAsia"/>
        </w:rPr>
        <w:t>原則上仍有效力。從而，行政機關縱認為行政處分本身違法，仍因該違法處分之效力繼續存在，所以依該處分內容所為之給付，在行政機關未溯及撤銷、廢止該處分前，仍屬具有法律上之原因之給付，不因此該當公法上不當得利。此外，行政機關未依行政程序法第一百十三條確認行政處分無效，縱無效之行政處分自始不生效力（同法第一百十條第四項），亦不得針對基於該無效處分所為之給付，主張公法上不當得利返還請求權。（第三章第二節貳、一）</w:t>
      </w:r>
    </w:p>
    <w:p w:rsidR="00000000" w:rsidRDefault="00724932">
      <w:pPr>
        <w:widowControl/>
        <w:spacing w:afterLines="50" w:after="180" w:line="288" w:lineRule="auto"/>
        <w:ind w:leftChars="400" w:left="2160" w:hangingChars="500" w:hanging="1200"/>
        <w:jc w:val="both"/>
        <w:rPr>
          <w:rFonts w:hint="eastAsia"/>
        </w:rPr>
      </w:pPr>
      <w:r>
        <w:rPr>
          <w:rFonts w:hint="eastAsia"/>
        </w:rPr>
        <w:t>４．１．１基於行政行為明確性等之要求，行政機關在未明確表示溯及撤銷或廢止違法之行政處分前，不宜貿然逕以推定的</w:t>
      </w:r>
      <w:r>
        <w:rPr>
          <w:rFonts w:hint="eastAsia"/>
        </w:rPr>
        <w:t>方式，認定行政機關單純函令公務人員返還無法律上之原因所受領之金錢給付，亦含有同時撤銷或廢止違法之行政處分的行為。</w:t>
      </w:r>
    </w:p>
    <w:p w:rsidR="00000000" w:rsidRDefault="00724932">
      <w:pPr>
        <w:widowControl/>
        <w:spacing w:afterLines="50" w:after="180" w:line="288" w:lineRule="auto"/>
        <w:ind w:leftChars="400" w:left="2160" w:hangingChars="500" w:hanging="1200"/>
        <w:jc w:val="both"/>
        <w:rPr>
          <w:rFonts w:hint="eastAsia"/>
        </w:rPr>
      </w:pPr>
      <w:r>
        <w:rPr>
          <w:rFonts w:hint="eastAsia"/>
        </w:rPr>
        <w:t>４．１．２依行政程序法第一百二十一條之規定，撤銷權係自行政機關之有撤銷原因時起二年內為之；惟基於來自誠實信用原則（同法第八條前段）的「權利失效」概念，個案中，對於存在過久的違法行政處分，行政機關亦有可能不得再加以撤銷，或撤銷不具溯及效力（同法第一百十八條但書參照）。此際，公務人員基於該違法處分既已受領之金錢給付，仍具有法律上之原因，而非屬於行政程序法第一百二十七條第一項規定的情形，不成立公法上不</w:t>
      </w:r>
      <w:r>
        <w:rPr>
          <w:rFonts w:hint="eastAsia"/>
        </w:rPr>
        <w:t>當得利。</w:t>
      </w:r>
    </w:p>
    <w:p w:rsidR="00000000" w:rsidRDefault="00724932">
      <w:pPr>
        <w:widowControl/>
        <w:spacing w:line="288" w:lineRule="auto"/>
        <w:ind w:leftChars="100" w:left="960" w:hangingChars="300" w:hanging="720"/>
        <w:jc w:val="both"/>
        <w:rPr>
          <w:rFonts w:hint="eastAsia"/>
        </w:rPr>
      </w:pPr>
      <w:r>
        <w:rPr>
          <w:rFonts w:hint="eastAsia"/>
        </w:rPr>
        <w:t>４．２所謂行政處分之效力仍舊存在，但給付違反行政處分之內容者，主要係指基於行政處分所為之支付行為本身，因誤寫、誤算，甚至給付人出於故意而違背行政處分所記載之給付金額，或給付對象錯誤等情形；這些情形，均屬無法律上之原因的給付，成立不成文的「一般公法上不當得利返還請求權」。除此之外，給付之金額雖屬正確，但行政處分例如以「負擔」之附款（行政程序法第九十三條第二項）所課與受領人之義務未履行，而致給付違誤行政處分之目的所謂「目的違誤」的類型，則並不因此當然成立公法上不當得利。（第三章第二節貳、二）</w:t>
      </w:r>
    </w:p>
    <w:p w:rsidR="00000000" w:rsidRDefault="00724932">
      <w:pPr>
        <w:widowControl/>
        <w:spacing w:line="288" w:lineRule="auto"/>
        <w:ind w:leftChars="200" w:left="480"/>
        <w:jc w:val="both"/>
        <w:rPr>
          <w:rFonts w:hint="eastAsia"/>
        </w:rPr>
      </w:pPr>
    </w:p>
    <w:p w:rsidR="00000000" w:rsidRDefault="00724932">
      <w:pPr>
        <w:widowControl/>
        <w:spacing w:afterLines="50" w:after="180" w:line="288" w:lineRule="auto"/>
        <w:ind w:left="480" w:hangingChars="200" w:hanging="480"/>
        <w:jc w:val="both"/>
        <w:rPr>
          <w:rFonts w:hint="eastAsia"/>
        </w:rPr>
      </w:pPr>
      <w:r>
        <w:rPr>
          <w:rFonts w:hint="eastAsia"/>
        </w:rPr>
        <w:t>５　「</w:t>
      </w:r>
      <w:r>
        <w:rPr>
          <w:rFonts w:hint="eastAsia"/>
        </w:rPr>
        <w:t>非基於行政處分之給付」，其給付，有可能直接以「法規」作為給付之原因者，也有可能以「行政契約」作為給付之原因者；其類型，不一而足。不過在公務人員受領公法上金錢給付的情形，以「行政契約」作為給付之原因的類型，至少在我國目前，應屬甚少，而可以忽略。至於非基於行政處分之給付，其法律上之原因的不存在或其後消滅，主要則是給付所基於之法律行為無效或嗣後消滅，抑或給付所基於之法律行為本身，效力存在，但因此所為之實際給付，卻因誤寫、誤算，甚至給付人出於故意而違反法規或行政契約等所預定的給付目的、對象或超越範圍等。這些情形，均</w:t>
      </w:r>
      <w:r>
        <w:rPr>
          <w:rFonts w:hint="eastAsia"/>
        </w:rPr>
        <w:t>成立不成文的一般公法上不當得利返還請求權。（第三章第二節參）</w:t>
      </w:r>
    </w:p>
    <w:p w:rsidR="00000000" w:rsidRDefault="00724932">
      <w:pPr>
        <w:widowControl/>
        <w:spacing w:afterLines="50" w:after="180" w:line="288" w:lineRule="auto"/>
        <w:ind w:leftChars="100" w:left="960" w:hangingChars="300" w:hanging="720"/>
        <w:jc w:val="both"/>
        <w:rPr>
          <w:rFonts w:hint="eastAsia"/>
        </w:rPr>
      </w:pPr>
      <w:r>
        <w:rPr>
          <w:rFonts w:hint="eastAsia"/>
        </w:rPr>
        <w:t>５．１法規原本存在，金錢給付本身亦未違反法規之規定，但該作為給付原因之法規，因修正而溯及失效時，公務人員既已受領之金錢給付，原則上基於信賴保護原則，仍不成立公法上不當得利（德國聯邦公務員俸給法第十二條第一項及其他法律相當之法條參照）。</w:t>
      </w:r>
    </w:p>
    <w:p w:rsidR="00000000" w:rsidRDefault="00724932">
      <w:pPr>
        <w:widowControl/>
        <w:spacing w:line="288" w:lineRule="auto"/>
        <w:ind w:leftChars="100" w:left="960" w:hangingChars="300" w:hanging="720"/>
        <w:jc w:val="both"/>
        <w:rPr>
          <w:rFonts w:hint="eastAsia"/>
        </w:rPr>
      </w:pPr>
      <w:r>
        <w:rPr>
          <w:rFonts w:hint="eastAsia"/>
        </w:rPr>
        <w:t>５．２行政契約因有行政程序法第一百四十一條及第一百四十二條所規定之情形而無效者，依該契約所為之給付，無法律上之原因，原則上將成立公法上不當得利。</w:t>
      </w:r>
    </w:p>
    <w:p w:rsidR="00000000" w:rsidRDefault="00724932">
      <w:pPr>
        <w:widowControl/>
        <w:spacing w:line="288" w:lineRule="auto"/>
        <w:ind w:leftChars="100" w:left="960" w:hangingChars="300" w:hanging="720"/>
        <w:jc w:val="both"/>
        <w:rPr>
          <w:rFonts w:hint="eastAsia"/>
        </w:rPr>
      </w:pPr>
    </w:p>
    <w:p w:rsidR="00000000" w:rsidRDefault="00724932">
      <w:pPr>
        <w:widowControl/>
        <w:spacing w:line="288" w:lineRule="auto"/>
        <w:ind w:left="480" w:hangingChars="200" w:hanging="480"/>
        <w:jc w:val="both"/>
        <w:rPr>
          <w:rFonts w:hint="eastAsia"/>
        </w:rPr>
      </w:pPr>
      <w:r>
        <w:rPr>
          <w:rFonts w:hint="eastAsia"/>
        </w:rPr>
        <w:t>６　公法上不當得利之返還標的，在行政程序法第一百二十七條規定的特殊</w:t>
      </w:r>
      <w:r>
        <w:rPr>
          <w:rFonts w:hint="eastAsia"/>
        </w:rPr>
        <w:t>公法上不當得利返還請求權，依同條第二項準用民法第一百八十一條處理，含「所受之利益」及「更有所取得」；在一般公法上不當得利返還請求權，原則上亦得類推適用民法第一百八十一條辦理。（第三章第三節壹）</w:t>
      </w:r>
    </w:p>
    <w:p w:rsidR="00000000" w:rsidRDefault="00724932">
      <w:pPr>
        <w:widowControl/>
        <w:spacing w:line="288" w:lineRule="auto"/>
        <w:ind w:left="480" w:hangingChars="200" w:hanging="480"/>
        <w:jc w:val="both"/>
        <w:rPr>
          <w:rFonts w:hint="eastAsia"/>
        </w:rPr>
      </w:pPr>
    </w:p>
    <w:p w:rsidR="00000000" w:rsidRDefault="00724932">
      <w:pPr>
        <w:widowControl/>
        <w:spacing w:afterLines="50" w:after="180" w:line="288" w:lineRule="auto"/>
        <w:ind w:left="480" w:hangingChars="200" w:hanging="480"/>
        <w:jc w:val="both"/>
        <w:rPr>
          <w:rFonts w:hint="eastAsia"/>
        </w:rPr>
      </w:pPr>
      <w:r>
        <w:rPr>
          <w:rFonts w:hint="eastAsia"/>
        </w:rPr>
        <w:t>７　公法上不當得利之返還範圍，在行政程序法第一百二十七條規定的特殊公法上不當得利返還請求權，依同條第二項準用民法第一百八十一條至第一百八十二條處理；但應考慮「信賴保護」，尤其在個案中也須注意「衡平法理」。至於在一般公法上不當得利返還請求權方面，則完全屬於信賴保護與衡平法理的適用領域；民法上之規定，不列入考慮。（第三</w:t>
      </w:r>
      <w:r>
        <w:rPr>
          <w:rFonts w:hint="eastAsia"/>
        </w:rPr>
        <w:t>章第三節貳）</w:t>
      </w:r>
    </w:p>
    <w:p w:rsidR="00000000" w:rsidRDefault="00724932">
      <w:pPr>
        <w:widowControl/>
        <w:spacing w:afterLines="50" w:after="180" w:line="288" w:lineRule="auto"/>
        <w:ind w:leftChars="100" w:left="960" w:hangingChars="300" w:hanging="720"/>
        <w:jc w:val="both"/>
        <w:rPr>
          <w:rFonts w:hint="eastAsia"/>
        </w:rPr>
      </w:pPr>
      <w:r>
        <w:rPr>
          <w:rFonts w:hint="eastAsia"/>
        </w:rPr>
        <w:t>７．１信賴保護的構成要件為：信賴基礎（在此為金錢給付之原因）、信賴表現（信賴給付原因之存在）、信賴值得保護（無行政程序法第一百十九條各款所列之情形）、信賴行為（在此即將金錢給付實際作為生活使用）及信賴利益大於公益（個案衡量）。（第三章第三節貳、一）</w:t>
      </w:r>
    </w:p>
    <w:p w:rsidR="00000000" w:rsidRDefault="00724932">
      <w:pPr>
        <w:widowControl/>
        <w:spacing w:afterLines="50" w:after="180" w:line="288" w:lineRule="auto"/>
        <w:ind w:leftChars="100" w:left="960" w:hangingChars="300" w:hanging="720"/>
        <w:jc w:val="both"/>
        <w:rPr>
          <w:rFonts w:hint="eastAsia"/>
        </w:rPr>
      </w:pPr>
      <w:r>
        <w:rPr>
          <w:rFonts w:hint="eastAsia"/>
        </w:rPr>
        <w:t>７．２公法上不當得利返還請求權之返還範圍與民法上不當得利返還請求權之返還範圍，最大的不同在於「善意」受領人與「惡意」受領人的界定。在公法上不當得利返還請求權的情形，惡意受領人包括「明知」與因「重大過失」而不知的情形；在民法上不當得利返還請求權的情形</w:t>
      </w:r>
      <w:r>
        <w:rPr>
          <w:rFonts w:hint="eastAsia"/>
        </w:rPr>
        <w:t>，則依民法第一百八十二條規定，僅有「明知」一種而已。（第三章第三節貳、一）</w:t>
      </w:r>
    </w:p>
    <w:p w:rsidR="00000000" w:rsidRDefault="00724932">
      <w:pPr>
        <w:widowControl/>
        <w:spacing w:afterLines="50" w:after="180" w:line="288" w:lineRule="auto"/>
        <w:ind w:leftChars="400" w:left="2160" w:hangingChars="500" w:hanging="1200"/>
        <w:jc w:val="both"/>
        <w:rPr>
          <w:rFonts w:hint="eastAsia"/>
        </w:rPr>
      </w:pPr>
      <w:r>
        <w:rPr>
          <w:rFonts w:hint="eastAsia"/>
        </w:rPr>
        <w:t>７．２．１行政程序法第一百二十七條所規定的特殊公法上不當得利返還請求權，在屬於作為給付之原因的行政處分被溯及撤銷或廢止的情形，因於撤銷或廢止之際，已考慮到信賴保護問題，所以在不當得利返還請求權之返還範圍問題上，其實不應再有「重大過失」之善意受領人的情形。</w:t>
      </w:r>
    </w:p>
    <w:p w:rsidR="00000000" w:rsidRDefault="00724932">
      <w:pPr>
        <w:widowControl/>
        <w:spacing w:afterLines="50" w:after="180" w:line="288" w:lineRule="auto"/>
        <w:ind w:leftChars="400" w:left="2160" w:hangingChars="500" w:hanging="1200"/>
        <w:jc w:val="both"/>
        <w:rPr>
          <w:rFonts w:hint="eastAsia"/>
        </w:rPr>
      </w:pPr>
      <w:r>
        <w:rPr>
          <w:rFonts w:hint="eastAsia"/>
        </w:rPr>
        <w:t>７．２．２在行政程序法第一百二十七條中，非屬撤銷及廢止以外的情形，雖因該條第二項而準用民法第一百八十二條，但正因「準用」之故，所以仍非全盤適用民法第一百八十二條之規定。準此，所謂的</w:t>
      </w:r>
      <w:r>
        <w:rPr>
          <w:rFonts w:hint="eastAsia"/>
        </w:rPr>
        <w:t>惡意受領人，仍得擴張至「重大過失」的情形。</w:t>
      </w:r>
    </w:p>
    <w:p w:rsidR="00000000" w:rsidRDefault="00724932">
      <w:pPr>
        <w:widowControl/>
        <w:spacing w:afterLines="50" w:after="180" w:line="288" w:lineRule="auto"/>
        <w:ind w:leftChars="400" w:left="2160" w:hangingChars="500" w:hanging="1200"/>
        <w:jc w:val="both"/>
        <w:rPr>
          <w:rFonts w:hint="eastAsia"/>
        </w:rPr>
      </w:pPr>
      <w:r>
        <w:rPr>
          <w:rFonts w:hint="eastAsia"/>
        </w:rPr>
        <w:t>７．２．３在不成文的一般公法上不當得利返還請求權，不準用或類推民法第一百八十二條，故其惡意受領人包含「明知」與因「重大過失」而不知的兩種情形。</w:t>
      </w:r>
    </w:p>
    <w:p w:rsidR="00000000" w:rsidRDefault="00724932">
      <w:pPr>
        <w:pStyle w:val="2"/>
        <w:rPr>
          <w:rFonts w:hint="eastAsia"/>
        </w:rPr>
      </w:pPr>
      <w:r>
        <w:rPr>
          <w:rFonts w:hint="eastAsia"/>
        </w:rPr>
        <w:t>７．２．４不論行政程序法第一百二十七條所規定的特殊公法上不當得利返還請求權或不成文的一般公法上不當得利返還請求權，在公務人員善意受領無法律上之原因的薪俸或其他公法上金錢照護給付的情形，均得因該受領之金錢確實已為生活所用，而主張「所受之利益已不存在」，免負返還之責任（民法第一百八十二條第一項參照）。在此支配的法理，即為信賴保</w:t>
      </w:r>
      <w:r>
        <w:rPr>
          <w:rFonts w:hint="eastAsia"/>
        </w:rPr>
        <w:t>護原則中「信賴行為」的表現。</w:t>
      </w:r>
    </w:p>
    <w:p w:rsidR="00000000" w:rsidRDefault="00724932">
      <w:pPr>
        <w:widowControl/>
        <w:spacing w:line="288" w:lineRule="auto"/>
        <w:ind w:leftChars="100" w:left="960" w:hangingChars="300" w:hanging="720"/>
        <w:jc w:val="both"/>
        <w:rPr>
          <w:rFonts w:hint="eastAsia"/>
        </w:rPr>
      </w:pPr>
    </w:p>
    <w:p w:rsidR="00000000" w:rsidRDefault="00724932">
      <w:pPr>
        <w:widowControl/>
        <w:spacing w:line="288" w:lineRule="auto"/>
        <w:ind w:left="480" w:hangingChars="200" w:hanging="480"/>
        <w:jc w:val="both"/>
        <w:rPr>
          <w:rFonts w:hint="eastAsia"/>
        </w:rPr>
      </w:pPr>
      <w:r>
        <w:rPr>
          <w:rFonts w:hint="eastAsia"/>
        </w:rPr>
        <w:t>８　德國聯邦公務員俸給法第十二條第二項第三句或其他法律相當之條文所規定的「衡平決定」，究其實，乃我國行政程序法第八條前段之誠實信用原則的衍生，所以在我國法制中，不論公務人員受領公法上金錢給付，係該當行政程序法第一百二十七條類型之特殊公法上不當得利，抑或該當不成文之一般公法上不當得利，在個案中，仍應參考比較德國法制，就受領人一方與給付人一方的各種特殊情事，斟酌衡量，做出衡平決定，必要時，一部，甚至全部，免除公務人員返還義務，抑或准以分期返還、延期返還等方式，減輕負公法上不當得利</w:t>
      </w:r>
      <w:r>
        <w:rPr>
          <w:rFonts w:hint="eastAsia"/>
        </w:rPr>
        <w:t>返還義務之公務人員的負擔。（第三章第三節貳、二）</w:t>
      </w:r>
    </w:p>
    <w:p w:rsidR="00000000" w:rsidRDefault="00724932">
      <w:pPr>
        <w:widowControl/>
        <w:spacing w:line="288" w:lineRule="auto"/>
        <w:ind w:left="480" w:hangingChars="200" w:hanging="480"/>
        <w:jc w:val="both"/>
        <w:rPr>
          <w:rFonts w:hint="eastAsia"/>
        </w:rPr>
      </w:pPr>
    </w:p>
    <w:p w:rsidR="00000000" w:rsidRDefault="00724932">
      <w:pPr>
        <w:widowControl/>
        <w:spacing w:line="288" w:lineRule="auto"/>
        <w:ind w:left="480" w:hangingChars="200" w:hanging="480"/>
        <w:jc w:val="both"/>
        <w:rPr>
          <w:rFonts w:hint="eastAsia"/>
        </w:rPr>
      </w:pPr>
      <w:r>
        <w:rPr>
          <w:rFonts w:hint="eastAsia"/>
        </w:rPr>
        <w:t>９　有關公法上不當得利返還請求權之消滅時效，不論在行政程序法第一百二十七條所規定之「特殊公法上不當得利返還請求權」，或不成文之「一般公法上不當得利返還請求權」的情形，除非法律別有規定，依行政程序法第一百三十一條第一項之規定，為五年。此外，有關消滅時效的其他問題，同法第一百三十一條至第一百三十四條之規定，均適用之。至於行政程序法施行前已得行使之請求權，在無其他法律規定的情況下，分別類推民法第一百二十六條（對於一年期以下之定期給付之不當得利返還請求權）及第一百</w:t>
      </w:r>
      <w:r>
        <w:rPr>
          <w:rFonts w:hint="eastAsia"/>
        </w:rPr>
        <w:t>二十五條（其他類型不當得利返還請求權）之規定，分別為五年及十五年。如該時效期間於行政程序法施行後，尚超過五年者，依實務見解，仍依原時效期間計算；依本研究之所見，則縮短為五年。（第三章第四節）</w:t>
      </w:r>
    </w:p>
    <w:p w:rsidR="00000000" w:rsidRDefault="00724932">
      <w:pPr>
        <w:widowControl/>
        <w:spacing w:line="288" w:lineRule="auto"/>
        <w:ind w:left="480" w:hangingChars="200" w:hanging="480"/>
        <w:jc w:val="both"/>
        <w:rPr>
          <w:rFonts w:hint="eastAsia"/>
        </w:rPr>
      </w:pPr>
    </w:p>
    <w:p w:rsidR="00000000" w:rsidRDefault="00724932">
      <w:pPr>
        <w:widowControl/>
        <w:spacing w:afterLines="50" w:after="180" w:line="288" w:lineRule="auto"/>
        <w:ind w:left="480" w:hangingChars="200" w:hanging="480"/>
        <w:jc w:val="both"/>
        <w:rPr>
          <w:rFonts w:hint="eastAsia"/>
        </w:rPr>
      </w:pPr>
      <w:r>
        <w:rPr>
          <w:rFonts w:hint="eastAsia"/>
        </w:rPr>
        <w:t>１０有關行政機關向公務人員請求返還公法上不當受領之金錢給付的請求權行使方式，無論是屬於行政程序法第一百二十七條所規定之特殊公法上不當得利返還請求權，或不成文之一般公法上不當得利返還請求權的類型，原則上均有「行政處分（給付裁決）」、「公法上之抵銷（扣繳）」與「一般給付訴訟」的適用。不過其中，在原則上，以行政處分的方式，</w:t>
      </w:r>
      <w:r>
        <w:rPr>
          <w:rFonts w:hint="eastAsia"/>
        </w:rPr>
        <w:t>最為妥當而避免程序勞費；一般給付訴訟之方式，是屬於一種相當例外的情形。（第四章第二節）</w:t>
      </w:r>
    </w:p>
    <w:p w:rsidR="00000000" w:rsidRDefault="00724932">
      <w:pPr>
        <w:widowControl/>
        <w:spacing w:afterLines="50" w:after="180" w:line="288" w:lineRule="auto"/>
        <w:ind w:leftChars="100" w:left="1200" w:hangingChars="400" w:hanging="960"/>
        <w:jc w:val="both"/>
        <w:rPr>
          <w:rFonts w:hint="eastAsia"/>
        </w:rPr>
      </w:pPr>
      <w:r>
        <w:rPr>
          <w:rFonts w:hint="eastAsia"/>
        </w:rPr>
        <w:t>１０．１行政機關向公務人員請求返還公法上不當受領之金錢給付，除非該（原）給付之原因為行政契約（平等地位），否則基於國家或其他行政主體原則上與其所屬公務人員立於隸屬關係，依「隸屬關係說」，得逕以行政處分」必要時，再予行政執行的方式為之。就此，僅適用於行政處分溯及撤銷或廢止之情形的所謂「反面理論」，已無競合，甚或優先適用的必要。（第四章第二節壹）</w:t>
      </w:r>
    </w:p>
    <w:p w:rsidR="00000000" w:rsidRDefault="00724932">
      <w:pPr>
        <w:widowControl/>
        <w:spacing w:afterLines="50" w:after="180" w:line="288" w:lineRule="auto"/>
        <w:ind w:leftChars="400" w:left="2280" w:hangingChars="550" w:hanging="1320"/>
        <w:jc w:val="both"/>
        <w:rPr>
          <w:rFonts w:hAnsi="新細明體" w:hint="eastAsia"/>
        </w:rPr>
      </w:pPr>
      <w:r>
        <w:rPr>
          <w:rFonts w:hint="eastAsia"/>
        </w:rPr>
        <w:t>１０．１．１</w:t>
      </w:r>
      <w:r>
        <w:rPr>
          <w:rFonts w:hAnsi="新細明體" w:hint="eastAsia"/>
        </w:rPr>
        <w:t>「隸屬關係說」未必將導致傳統特別權力關係的惡靈復活；其在法治國家</w:t>
      </w:r>
      <w:r>
        <w:rPr>
          <w:rFonts w:hint="eastAsia"/>
        </w:rPr>
        <w:t>之</w:t>
      </w:r>
      <w:r>
        <w:rPr>
          <w:rFonts w:hint="eastAsia"/>
        </w:rPr>
        <w:t>所以</w:t>
      </w:r>
      <w:r>
        <w:rPr>
          <w:rFonts w:hAnsi="新細明體" w:hint="eastAsia"/>
        </w:rPr>
        <w:t>能夠成立，重點在於對於法律保留原則的反省。只要行政處分嚴守正當法律程序，並且公務人員仍有權利救濟的機會，如公法上不當得利返還之義務這種非公務人員基於其身分關係原始成立，而是因公務人員法律關係中已出現一種客觀的違法狀態，亟待回復，始所衍生的造成公務人員負擔的類型，有無固守侵害保留的必要，令人懷疑。</w:t>
      </w:r>
    </w:p>
    <w:p w:rsidR="00000000" w:rsidRDefault="00724932">
      <w:pPr>
        <w:widowControl/>
        <w:spacing w:afterLines="50" w:after="180" w:line="288" w:lineRule="auto"/>
        <w:ind w:leftChars="400" w:left="2280" w:hangingChars="550" w:hanging="1320"/>
        <w:jc w:val="both"/>
        <w:rPr>
          <w:rFonts w:hint="eastAsia"/>
        </w:rPr>
      </w:pPr>
      <w:r>
        <w:rPr>
          <w:rFonts w:hAnsi="新細明體" w:hint="eastAsia"/>
        </w:rPr>
        <w:t>１０．１．２行政機關做成給付裁決以</w:t>
      </w:r>
      <w:r>
        <w:rPr>
          <w:rFonts w:hint="eastAsia"/>
        </w:rPr>
        <w:t>向公務人員請求返還公法上不當受領之金錢給付，應嚴守程序正義；其中尤其是行政行為之明確性（例如書面之要式）、附理由及提供相對人陳述意見之機會等，尤應具備。在此，行政程序法之相關規</w:t>
      </w:r>
      <w:r>
        <w:rPr>
          <w:rFonts w:hint="eastAsia"/>
        </w:rPr>
        <w:t>定，或因同法第三條第三項第七款，而不能直接適用；惟基於公務人員之基本權利的「程序保障」功能，行政程序法之相關規定仍有參考適用的可能。</w:t>
      </w:r>
    </w:p>
    <w:p w:rsidR="00000000" w:rsidRDefault="00724932">
      <w:pPr>
        <w:widowControl/>
        <w:spacing w:afterLines="50" w:after="180" w:line="288" w:lineRule="auto"/>
        <w:ind w:leftChars="400" w:left="2280" w:hangingChars="550" w:hanging="1320"/>
        <w:jc w:val="both"/>
        <w:rPr>
          <w:rFonts w:hint="eastAsia"/>
        </w:rPr>
      </w:pPr>
      <w:r>
        <w:rPr>
          <w:rFonts w:hint="eastAsia"/>
        </w:rPr>
        <w:t>１０．１．３公務人員對於行政機關之此一給付裁決（行政處分）不服，自得依復審程序及行政訴訟程序，請求救濟。</w:t>
      </w:r>
    </w:p>
    <w:p w:rsidR="00000000" w:rsidRDefault="00724932">
      <w:pPr>
        <w:widowControl/>
        <w:spacing w:afterLines="50" w:after="180" w:line="288" w:lineRule="auto"/>
        <w:ind w:leftChars="100" w:left="1200" w:hangingChars="400" w:hanging="960"/>
        <w:jc w:val="both"/>
        <w:rPr>
          <w:rFonts w:hAnsi="新細明體" w:hint="eastAsia"/>
        </w:rPr>
      </w:pPr>
      <w:r>
        <w:rPr>
          <w:rFonts w:hAnsi="新細明體" w:hint="eastAsia"/>
        </w:rPr>
        <w:t>１０．２一般給付訴訟在行政機關</w:t>
      </w:r>
      <w:r>
        <w:rPr>
          <w:rFonts w:hint="eastAsia"/>
        </w:rPr>
        <w:t>向公務人員請求返還公法上不當受領之金錢給付時，原則上因為行政機關得以利用行政處分逕為請求與行政執行，故原則上視為欠缺「權利保護必要性」，而應以起訴不合法駁回。（第四章第二節貳）</w:t>
      </w:r>
    </w:p>
    <w:p w:rsidR="00000000" w:rsidRDefault="00724932">
      <w:pPr>
        <w:widowControl/>
        <w:spacing w:afterLines="50" w:after="180" w:line="288" w:lineRule="auto"/>
        <w:ind w:leftChars="100" w:left="1200" w:hangingChars="400" w:hanging="960"/>
        <w:jc w:val="both"/>
        <w:rPr>
          <w:rFonts w:hint="eastAsia"/>
        </w:rPr>
      </w:pPr>
      <w:r>
        <w:rPr>
          <w:rFonts w:hint="eastAsia"/>
        </w:rPr>
        <w:t>１０．３公法上之抵銷（扣繳），得以適用在</w:t>
      </w:r>
      <w:r>
        <w:rPr>
          <w:rFonts w:hAnsi="新細明體" w:hint="eastAsia"/>
        </w:rPr>
        <w:t>行政機關</w:t>
      </w:r>
      <w:r>
        <w:rPr>
          <w:rFonts w:hint="eastAsia"/>
        </w:rPr>
        <w:t>向公務人員請求返</w:t>
      </w:r>
      <w:r>
        <w:rPr>
          <w:rFonts w:hint="eastAsia"/>
        </w:rPr>
        <w:t>還公法上不當受領之金錢給付的情形。此際，民法第三百三十四條以下之規定，應予準用。（第四章第二節參）</w:t>
      </w:r>
    </w:p>
    <w:p w:rsidR="00000000" w:rsidRDefault="00724932">
      <w:pPr>
        <w:widowControl/>
        <w:spacing w:afterLines="50" w:after="180" w:line="288" w:lineRule="auto"/>
        <w:ind w:leftChars="400" w:left="2280" w:hangingChars="550" w:hanging="1320"/>
        <w:jc w:val="both"/>
        <w:rPr>
          <w:rFonts w:hint="eastAsia"/>
        </w:rPr>
      </w:pPr>
      <w:r>
        <w:rPr>
          <w:rFonts w:hAnsi="新細明體" w:hint="eastAsia"/>
        </w:rPr>
        <w:t>１０．３．１</w:t>
      </w:r>
      <w:r>
        <w:rPr>
          <w:rFonts w:hint="eastAsia"/>
        </w:rPr>
        <w:t>公法上之抵銷，雖非為行政處分之</w:t>
      </w:r>
      <w:r>
        <w:rPr>
          <w:rFonts w:hAnsi="新細明體" w:hint="eastAsia"/>
        </w:rPr>
        <w:t>一種，</w:t>
      </w:r>
      <w:r>
        <w:rPr>
          <w:rFonts w:hint="eastAsia"/>
        </w:rPr>
        <w:t>但似得直接作為給付裁決之「內容」，在無庸另為行政執行的情況下，實現以給付裁決請求公務人員返還不當得利的目的。不過此際，行政機關做成帶有此一公法上抵銷之內容的給付裁決，一方面必須嚴守做成行政處分（給付裁決）的形式、程序與實質要件，另方面也必須遵循公法上抵銷（扣繳）之要件與限制。而相對人對其不服，則依對抗行政處分之方式處理，尋求救濟。</w:t>
      </w:r>
    </w:p>
    <w:p w:rsidR="00000000" w:rsidRDefault="00724932">
      <w:pPr>
        <w:widowControl/>
        <w:spacing w:afterLines="50" w:after="180" w:line="288" w:lineRule="auto"/>
        <w:ind w:leftChars="400" w:left="2280" w:hangingChars="550" w:hanging="1320"/>
        <w:jc w:val="both"/>
        <w:rPr>
          <w:rFonts w:hAnsi="新細明體" w:hint="eastAsia"/>
        </w:rPr>
      </w:pPr>
      <w:r>
        <w:rPr>
          <w:rFonts w:hAnsi="新細明體" w:hint="eastAsia"/>
        </w:rPr>
        <w:t>１０．３．２不過，公法上之抵銷</w:t>
      </w:r>
      <w:r>
        <w:rPr>
          <w:rFonts w:hAnsi="新細明體" w:hint="eastAsia"/>
        </w:rPr>
        <w:t>，在我國研究相當不足。而在實務上，行政機關針對公法上不當得利請求返還問題所為之「扣繳」，究竟是行政處分或公法上之抵銷，其實連行政機關本身也無明確的問題意識。從而，有關公法上之抵銷，在我國，除有深入研究的必要外，基於人民權利之保護，實務上也寧可謹慎。</w:t>
      </w: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line="288" w:lineRule="auto"/>
        <w:ind w:firstLineChars="200" w:firstLine="480"/>
        <w:jc w:val="both"/>
        <w:rPr>
          <w:rFonts w:hint="eastAsia"/>
        </w:rPr>
      </w:pPr>
    </w:p>
    <w:p w:rsidR="00000000" w:rsidRDefault="00724932">
      <w:pPr>
        <w:widowControl/>
        <w:spacing w:afterLines="50" w:after="180" w:line="288" w:lineRule="auto"/>
        <w:ind w:left="1441" w:hangingChars="400" w:hanging="1441"/>
        <w:jc w:val="both"/>
        <w:rPr>
          <w:rFonts w:hint="eastAsia"/>
          <w:b/>
          <w:bCs/>
          <w:sz w:val="36"/>
          <w:szCs w:val="36"/>
        </w:rPr>
      </w:pPr>
      <w:r>
        <w:rPr>
          <w:rFonts w:hAnsi="新細明體" w:hint="eastAsia"/>
          <w:b/>
          <w:bCs/>
          <w:sz w:val="36"/>
          <w:szCs w:val="36"/>
        </w:rPr>
        <w:t>第二節　立法政策上之建議</w:t>
      </w:r>
    </w:p>
    <w:p w:rsidR="00000000" w:rsidRDefault="00724932">
      <w:pPr>
        <w:widowControl/>
        <w:spacing w:afterLines="50" w:after="180" w:line="288" w:lineRule="auto"/>
        <w:ind w:firstLineChars="200" w:firstLine="480"/>
        <w:jc w:val="both"/>
        <w:rPr>
          <w:rFonts w:hint="eastAsia"/>
        </w:rPr>
      </w:pPr>
      <w:r>
        <w:rPr>
          <w:rFonts w:hint="eastAsia"/>
        </w:rPr>
        <w:t>依據本研究前開種種的討論、分析，在有關立法政策上，本研究提供如下的建議，敬供參考：</w:t>
      </w:r>
    </w:p>
    <w:p w:rsidR="00000000" w:rsidRDefault="00724932">
      <w:pPr>
        <w:widowControl/>
        <w:spacing w:afterLines="50" w:after="180" w:line="288" w:lineRule="auto"/>
        <w:ind w:firstLineChars="200" w:firstLine="480"/>
        <w:jc w:val="both"/>
        <w:rPr>
          <w:rFonts w:hint="eastAsia"/>
        </w:rPr>
      </w:pPr>
      <w:r>
        <w:rPr>
          <w:rFonts w:hint="eastAsia"/>
        </w:rPr>
        <w:t>首先在關於公法上不當得利制度之本身方面，鑑於該制度相當複雜，有國家或其他行政主體向人民請求者，有人民向國家或其他行政主體請求者，亦有國家或其他行政</w:t>
      </w:r>
      <w:r>
        <w:rPr>
          <w:rFonts w:hint="eastAsia"/>
        </w:rPr>
        <w:t>主體彼此間相互請求，甚或同一行政主體內不同行政機關彼此間相互請求者，所以在立法上實毋庸，也難以制定一套完整性的法律，作全面性的規範。基本上，在我國現階段中，公法上不當得利制度，似仍維持以一種不成文的「一般公法上不當得利返還請求權」，作為基礎性、備位性規範，而若干比較明確與單純的問題領域，如租稅法</w:t>
      </w:r>
      <w:r>
        <w:rPr>
          <w:rStyle w:val="a9"/>
        </w:rPr>
        <w:footnoteReference w:id="253"/>
      </w:r>
      <w:r>
        <w:rPr>
          <w:rFonts w:hint="eastAsia"/>
        </w:rPr>
        <w:t>、公務員法等，再以成文的「特殊公法上不當得利返還請求權」，作為特別性、優先適用性規範的模式運作為宜。此外，在有關不成文之一般公法上不當得利返還請求權的請求權構成要件、法律效果，以及請求權行使方式等內容問題方面，則待</w:t>
      </w:r>
      <w:r>
        <w:rPr>
          <w:rFonts w:hint="eastAsia"/>
        </w:rPr>
        <w:t>國內學說與實務的努力，加以充實。於此，我國公法上不當得利，甚至含民法上不當得利制度在內所繼受的德國法制，尤其具有比較法上的參考價值。</w:t>
      </w:r>
    </w:p>
    <w:p w:rsidR="00000000" w:rsidRDefault="00724932">
      <w:pPr>
        <w:widowControl/>
        <w:spacing w:afterLines="50" w:after="180" w:line="288" w:lineRule="auto"/>
        <w:ind w:firstLineChars="200" w:firstLine="480"/>
        <w:jc w:val="both"/>
        <w:rPr>
          <w:rFonts w:hint="eastAsia"/>
        </w:rPr>
      </w:pPr>
      <w:r>
        <w:rPr>
          <w:rFonts w:hint="eastAsia"/>
        </w:rPr>
        <w:t>至於在成文的特殊公法上不當得利返還請求權方面，本研究認為我國的立法者，至少可以在重新修正行政程序法第一百二十七條，以及明文化公務人員不當受領公法上金錢給付之返還制度等兩項問題，思考未來立法的可能性：</w:t>
      </w:r>
    </w:p>
    <w:p w:rsidR="00000000" w:rsidRDefault="00724932">
      <w:pPr>
        <w:widowControl/>
        <w:spacing w:afterLines="50" w:after="180" w:line="288" w:lineRule="auto"/>
        <w:ind w:firstLineChars="200" w:firstLine="480"/>
        <w:jc w:val="both"/>
        <w:rPr>
          <w:rFonts w:hint="eastAsia"/>
        </w:rPr>
      </w:pPr>
      <w:r>
        <w:rPr>
          <w:rFonts w:hint="eastAsia"/>
        </w:rPr>
        <w:t>蓋首先，我國現行的行政程序法第一百二十七條，原本即是移植德國聯邦行政程序法第四十八條第二項第五句至第八句，以及聯邦預算法第四十四條之一等舊規定而來的一條規定；如今德國聯邦行政程序</w:t>
      </w:r>
      <w:r>
        <w:rPr>
          <w:rFonts w:hint="eastAsia"/>
        </w:rPr>
        <w:t>法第四十九條之一結集前開各法條規定，而以嶄新的面貌規範與行政處分有關的公法上不當得利問題</w:t>
      </w:r>
      <w:r>
        <w:rPr>
          <w:rStyle w:val="a9"/>
        </w:rPr>
        <w:footnoteReference w:id="254"/>
      </w:r>
      <w:r>
        <w:rPr>
          <w:rFonts w:hint="eastAsia"/>
        </w:rPr>
        <w:t>，我國似亦有參考、修正的必要。在此，立法者一方面可以考慮增加與德國聯邦行政程序法第四十九條之一第一項第二句「應返還之給付，應以書面行政處分確定之」類似的文句，正式明文化確立我國學說與實務所討論的「反面理論」問題；另方面，則基於公法上信賴保護原則的考慮，確立「重大過失」也成立惡意受領人加重責任的法理（德國聯邦行政程序法第四十九條之一第二項第二句「受益人知導致行政處分撤銷、廢止或失其效力之事由，或因重大過失而不知者，不得主</w:t>
      </w:r>
      <w:r>
        <w:rPr>
          <w:rFonts w:hint="eastAsia"/>
        </w:rPr>
        <w:t>張免負不當得利返還之責任」，或我國行政程序法第一百十九條第三款參照）。至於在德國聯邦行政程序法第四十九條之一第三項及第四項有關附加法定利息的問題，則鑑於國內學說對此研究尚未成熟，並且我國行政程序法，因廣泛缺乏其他優先適用的特別法律，所以適用範圍恐有過廣之虞等實情，短期內仍不宜直接列入立法明文化的考慮。</w:t>
      </w:r>
    </w:p>
    <w:p w:rsidR="00000000" w:rsidRDefault="00724932">
      <w:pPr>
        <w:widowControl/>
        <w:spacing w:afterLines="50" w:after="180" w:line="288" w:lineRule="auto"/>
        <w:ind w:firstLineChars="200" w:firstLine="480"/>
        <w:jc w:val="both"/>
        <w:rPr>
          <w:rFonts w:hint="eastAsia"/>
        </w:rPr>
      </w:pPr>
      <w:r>
        <w:rPr>
          <w:rFonts w:hint="eastAsia"/>
        </w:rPr>
        <w:t>其次在有關明文化公務人員不當受領公法上金錢給付之返還制度方面，鑑於公務人員不當受領公法上金錢給付問題之於實務的重要性，實已有必要及早以明文的法律加以規範，以杜爭議。更何況德國法制在此提供了一套與我國現有的不成</w:t>
      </w:r>
      <w:r>
        <w:rPr>
          <w:rFonts w:hint="eastAsia"/>
        </w:rPr>
        <w:t>文之公法上不當得利返還請求權內容上幾近相當的法律規範模式，其長久以來學說與判例的累積，也足資我國立法上比較參考。而根據德國法制發展的經驗，在我國相關法制進行成文法化時，似應把握以下若干重點：</w:t>
      </w:r>
    </w:p>
    <w:p w:rsidR="00000000" w:rsidRDefault="00724932">
      <w:pPr>
        <w:widowControl/>
        <w:spacing w:afterLines="50" w:after="180" w:line="288" w:lineRule="auto"/>
        <w:ind w:left="480" w:hangingChars="200" w:hanging="480"/>
        <w:jc w:val="both"/>
        <w:rPr>
          <w:rFonts w:hint="eastAsia"/>
        </w:rPr>
      </w:pPr>
      <w:r>
        <w:rPr>
          <w:rFonts w:hint="eastAsia"/>
        </w:rPr>
        <w:t>一、公務人員所應返還之金錢給付，應以「無法律上之原因」者為限；不過單純因為法規修正，產生溯及效力而導致的給付溢領，則從信賴保護之觀點出發，不應構成不當得利返還的要件（德國聯邦公務員俸給法第十二條第一項及其他法律相當之法條參照）。</w:t>
      </w:r>
    </w:p>
    <w:p w:rsidR="00000000" w:rsidRDefault="00724932">
      <w:pPr>
        <w:widowControl/>
        <w:spacing w:afterLines="50" w:after="180" w:line="288" w:lineRule="auto"/>
        <w:ind w:left="480" w:hangingChars="200" w:hanging="480"/>
        <w:jc w:val="both"/>
        <w:rPr>
          <w:rFonts w:hint="eastAsia"/>
        </w:rPr>
      </w:pPr>
      <w:r>
        <w:rPr>
          <w:rFonts w:hint="eastAsia"/>
        </w:rPr>
        <w:t>二、給付溢領所造成的不當得利，應以統一的構成要件及法律效果加以規範，而毋庸特意區別「基於行</w:t>
      </w:r>
      <w:r>
        <w:rPr>
          <w:rFonts w:hint="eastAsia"/>
        </w:rPr>
        <w:t>政處分之給付」及「非基於行政處分之給付」兩種類型（德國聯邦公務員俸給法第十二條第二項及其他法律之相當法條參照）。因為給付是否以行政處分作為（原）法律上之原因，在法制上輒為偶然，而在現實上的判斷也往往不易，徒增爭議。在此一前提下，立法明文化所建立的公務人員不當受領公法上金錢給付之返還制度，也應該明確地排除行政程序法第一百二十七條之適用，以免在法條競合適用的情形下，又自動產生「基於行政處分之給付」及「非基於行政處分之給付」兩種不同的公法上不當得利返還請求權類型。</w:t>
      </w:r>
    </w:p>
    <w:p w:rsidR="00000000" w:rsidRDefault="00724932">
      <w:pPr>
        <w:widowControl/>
        <w:spacing w:afterLines="50" w:after="180" w:line="288" w:lineRule="auto"/>
        <w:ind w:left="480" w:hangingChars="200" w:hanging="480"/>
        <w:jc w:val="both"/>
        <w:rPr>
          <w:rFonts w:hint="eastAsia"/>
        </w:rPr>
      </w:pPr>
      <w:r>
        <w:rPr>
          <w:rFonts w:hint="eastAsia"/>
        </w:rPr>
        <w:t>三、在請求權範圍的設計上，最理想的狀態是擺脫準用</w:t>
      </w:r>
      <w:r>
        <w:rPr>
          <w:rFonts w:hint="eastAsia"/>
        </w:rPr>
        <w:t>民法上之不當得利規定的設計，而完全從「信賴保護」與「衡平法理」的思考出發，構成公法上不當得利的獨立規範。不過假使目前我國的立法技術未臻成熟，不能達此理想時，至少德國聯邦公務員俸給法第十二條第二項第二句（信賴保護）及第三句（衡平法理）或其他法律之相當法條的規範方式，姑且可以暫作替代方案。</w:t>
      </w:r>
    </w:p>
    <w:p w:rsidR="00000000" w:rsidRDefault="00724932">
      <w:pPr>
        <w:widowControl/>
        <w:spacing w:afterLines="50" w:after="180" w:line="288" w:lineRule="auto"/>
        <w:ind w:left="480" w:hangingChars="200" w:hanging="480"/>
        <w:jc w:val="both"/>
        <w:rPr>
          <w:rFonts w:hint="eastAsia"/>
        </w:rPr>
      </w:pPr>
      <w:r>
        <w:rPr>
          <w:rFonts w:hint="eastAsia"/>
        </w:rPr>
        <w:t>四、至於在返還請求權如何行使的問題方面，雖然德國法在此並無明文規範，惟為杜絕爭議起見，似仍得將「隸屬關係說」予以明文化，明定行政機關行使公法上不當得利返還請求權，除公務人員不當受領給付的（原）法律上之原因為行政契約者外，一律</w:t>
      </w:r>
      <w:r>
        <w:rPr>
          <w:rFonts w:hint="eastAsia"/>
        </w:rPr>
        <w:t>以做成行政處分「（給付裁決）」的方式為之。此際相關的公務人員權利救濟之問題，則盡由保訓會之復審，乃至行政法院之撤銷訴訟的管道處理。</w:t>
      </w:r>
    </w:p>
    <w:p w:rsidR="00724932" w:rsidRDefault="00724932">
      <w:pPr>
        <w:widowControl/>
        <w:spacing w:line="288" w:lineRule="auto"/>
        <w:ind w:firstLineChars="200" w:firstLine="480"/>
        <w:jc w:val="both"/>
        <w:rPr>
          <w:rFonts w:hint="eastAsia"/>
        </w:rPr>
      </w:pPr>
      <w:r>
        <w:rPr>
          <w:rFonts w:hint="eastAsia"/>
        </w:rPr>
        <w:t>最後另有疑問者是：我國目前有關公務人員俸給與其他具有財產性質之照護，遍佈在為數甚夥的不同法規中；準此，此一明文化的公務人員不當受領公法上金錢給付時之返還請求機制，究竟應該在哪一部公務員法中規定？關於這個問題，雖然想像上有許多解決的可行性，但是這些均非本研究所關心。因為事實上此一問題最大的癥結，全在我國目前公務人員法規的紊亂，所以任何一種規範模式均可能只是治標的工作。總之正本清源</w:t>
      </w:r>
      <w:r>
        <w:rPr>
          <w:rFonts w:hint="eastAsia"/>
        </w:rPr>
        <w:t>之道，應該儘速建立一部完整的公務員法，而將公務人員不當受領公法上金錢給付之返還請求，以及其他各種涉及公務人員法律關係的問題，悉數統一規範。德國公務人員法制，因為基於聯邦國原則，有其聯邦與各邦立法權限分配的困難，所以法規比較難以統一；我國為單一國，相同的問題，原則上不會發生。在此東瀛的立法例，或許具有參考價值；日本「國家公務員法」及「地方公務員法」兩部，正是屬於這種統一立法的典型，而頗值我國在此基礎上推廣</w:t>
      </w:r>
      <w:r>
        <w:rPr>
          <w:rStyle w:val="a9"/>
        </w:rPr>
        <w:footnoteReference w:id="255"/>
      </w:r>
      <w:r>
        <w:rPr>
          <w:rFonts w:hint="eastAsia"/>
        </w:rPr>
        <w:t>。</w:t>
      </w:r>
    </w:p>
    <w:sectPr w:rsidR="00724932">
      <w:footerReference w:type="even" r:id="rId7"/>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32" w:rsidRDefault="00724932">
      <w:r>
        <w:separator/>
      </w:r>
    </w:p>
  </w:endnote>
  <w:endnote w:type="continuationSeparator" w:id="0">
    <w:p w:rsidR="00724932" w:rsidRDefault="0072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249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7249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249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4F10">
      <w:rPr>
        <w:rStyle w:val="a6"/>
        <w:noProof/>
      </w:rPr>
      <w:t>1</w:t>
    </w:r>
    <w:r>
      <w:rPr>
        <w:rStyle w:val="a6"/>
      </w:rPr>
      <w:fldChar w:fldCharType="end"/>
    </w:r>
  </w:p>
  <w:p w:rsidR="00000000" w:rsidRDefault="007249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32" w:rsidRDefault="00724932">
      <w:r>
        <w:separator/>
      </w:r>
    </w:p>
  </w:footnote>
  <w:footnote w:type="continuationSeparator" w:id="0">
    <w:p w:rsidR="00724932" w:rsidRDefault="00724932">
      <w:r>
        <w:continuationSeparator/>
      </w:r>
    </w:p>
  </w:footnote>
  <w:footnote w:id="1">
    <w:p w:rsidR="00000000" w:rsidRDefault="00724932">
      <w:pPr>
        <w:pStyle w:val="aa"/>
        <w:spacing w:after="180"/>
        <w:rPr>
          <w:rFonts w:hint="eastAsia"/>
        </w:rPr>
      </w:pPr>
      <w:r>
        <w:rPr>
          <w:rStyle w:val="a9"/>
        </w:rPr>
        <w:footnoteRef/>
      </w:r>
      <w:r>
        <w:t xml:space="preserve"> </w:t>
      </w:r>
      <w:r>
        <w:rPr>
          <w:rFonts w:hint="eastAsia"/>
        </w:rPr>
        <w:t>相關理論在我國逐漸被質疑，乃至突破的過程，詳見：李建良等著，行政法入門，頁</w:t>
      </w:r>
      <w:r>
        <w:rPr>
          <w:rFonts w:hint="eastAsia"/>
        </w:rPr>
        <w:t>153</w:t>
      </w:r>
      <w:r>
        <w:rPr>
          <w:rFonts w:hint="eastAsia"/>
        </w:rPr>
        <w:t>以下。</w:t>
      </w:r>
    </w:p>
  </w:footnote>
  <w:footnote w:id="2">
    <w:p w:rsidR="00000000" w:rsidRDefault="00724932">
      <w:pPr>
        <w:pStyle w:val="aa"/>
        <w:spacing w:after="180"/>
        <w:rPr>
          <w:rFonts w:hint="eastAsia"/>
        </w:rPr>
      </w:pPr>
      <w:r>
        <w:rPr>
          <w:rStyle w:val="a9"/>
        </w:rPr>
        <w:footnoteRef/>
      </w:r>
      <w:r>
        <w:t xml:space="preserve"> </w:t>
      </w:r>
      <w:r>
        <w:rPr>
          <w:rFonts w:hint="eastAsia"/>
        </w:rPr>
        <w:t>關於</w:t>
      </w:r>
      <w:r>
        <w:rPr>
          <w:rFonts w:hint="eastAsia"/>
        </w:rPr>
        <w:t>贍養原則，參見：陳敏，行政法總論，頁</w:t>
      </w:r>
      <w:r>
        <w:rPr>
          <w:rFonts w:hint="eastAsia"/>
        </w:rPr>
        <w:t>1041</w:t>
      </w:r>
      <w:r>
        <w:rPr>
          <w:rFonts w:hint="eastAsia"/>
        </w:rPr>
        <w:t>；德文文獻，例見：</w:t>
      </w:r>
      <w:r>
        <w:rPr>
          <w:rFonts w:hint="eastAsia"/>
          <w:i/>
        </w:rPr>
        <w:t>Wagner</w:t>
      </w:r>
      <w:r>
        <w:rPr>
          <w:rFonts w:hint="eastAsia"/>
        </w:rPr>
        <w:t>, Beamtenrecht, Rn. 263 f.</w:t>
      </w:r>
      <w:r>
        <w:rPr>
          <w:rFonts w:hint="eastAsia"/>
        </w:rPr>
        <w:t>。</w:t>
      </w:r>
    </w:p>
  </w:footnote>
  <w:footnote w:id="3">
    <w:p w:rsidR="00000000" w:rsidRDefault="00724932">
      <w:pPr>
        <w:pStyle w:val="aa"/>
        <w:spacing w:after="180"/>
        <w:rPr>
          <w:rFonts w:hint="eastAsia"/>
        </w:rPr>
      </w:pPr>
      <w:r>
        <w:rPr>
          <w:rStyle w:val="a9"/>
        </w:rPr>
        <w:footnoteRef/>
      </w:r>
      <w:r>
        <w:t xml:space="preserve"> </w:t>
      </w:r>
      <w:r>
        <w:rPr>
          <w:rFonts w:hint="eastAsia"/>
        </w:rPr>
        <w:t>在民國</w:t>
      </w:r>
      <w:r>
        <w:rPr>
          <w:rFonts w:hint="eastAsia"/>
        </w:rPr>
        <w:t>92</w:t>
      </w:r>
      <w:r>
        <w:rPr>
          <w:rFonts w:hint="eastAsia"/>
        </w:rPr>
        <w:t>年</w:t>
      </w:r>
      <w:r>
        <w:rPr>
          <w:rFonts w:hint="eastAsia"/>
        </w:rPr>
        <w:t>5</w:t>
      </w:r>
      <w:r>
        <w:rPr>
          <w:rFonts w:hint="eastAsia"/>
        </w:rPr>
        <w:t>月</w:t>
      </w:r>
      <w:r>
        <w:rPr>
          <w:rFonts w:hint="eastAsia"/>
        </w:rPr>
        <w:t>28</w:t>
      </w:r>
      <w:r>
        <w:rPr>
          <w:rFonts w:hint="eastAsia"/>
        </w:rPr>
        <w:t>日前，保訓會針對現行公務人員保障法第二十五條所規定的復審事件，原屬再復審管轄機關（舊法第十九條）；在現行法於前揭日期配合訴願法修正公布後，復審、再復審程序簡化為復審程序一級，保訓會依現行法第四條第二項之規定，也成為復審管轄機關。</w:t>
      </w:r>
    </w:p>
  </w:footnote>
  <w:footnote w:id="4">
    <w:p w:rsidR="00000000" w:rsidRDefault="00724932">
      <w:pPr>
        <w:pStyle w:val="aa"/>
        <w:spacing w:after="180"/>
        <w:rPr>
          <w:rFonts w:hint="eastAsia"/>
        </w:rPr>
      </w:pPr>
      <w:r>
        <w:rPr>
          <w:rStyle w:val="a9"/>
        </w:rPr>
        <w:footnoteRef/>
      </w:r>
      <w:r>
        <w:t xml:space="preserve"> </w:t>
      </w:r>
      <w:r>
        <w:rPr>
          <w:rFonts w:hint="eastAsia"/>
        </w:rPr>
        <w:t>但見：行政法院</w:t>
      </w:r>
      <w:r>
        <w:rPr>
          <w:rFonts w:hint="eastAsia"/>
        </w:rPr>
        <w:t>86</w:t>
      </w:r>
      <w:r>
        <w:rPr>
          <w:rFonts w:hint="eastAsia"/>
        </w:rPr>
        <w:t>年判字第</w:t>
      </w:r>
      <w:r>
        <w:rPr>
          <w:rFonts w:hint="eastAsia"/>
        </w:rPr>
        <w:t>1861</w:t>
      </w:r>
      <w:r>
        <w:rPr>
          <w:rFonts w:hint="eastAsia"/>
        </w:rPr>
        <w:t>號判決；臺中高等行政法院</w:t>
      </w:r>
      <w:r>
        <w:rPr>
          <w:rFonts w:hint="eastAsia"/>
        </w:rPr>
        <w:t>93</w:t>
      </w:r>
      <w:r>
        <w:rPr>
          <w:rFonts w:hint="eastAsia"/>
        </w:rPr>
        <w:t>年簡字第</w:t>
      </w:r>
      <w:r>
        <w:rPr>
          <w:rFonts w:hint="eastAsia"/>
        </w:rPr>
        <w:t>101</w:t>
      </w:r>
      <w:r>
        <w:rPr>
          <w:rFonts w:hint="eastAsia"/>
        </w:rPr>
        <w:t>號判決。</w:t>
      </w:r>
    </w:p>
  </w:footnote>
  <w:footnote w:id="5">
    <w:p w:rsidR="00000000" w:rsidRDefault="00724932">
      <w:pPr>
        <w:pStyle w:val="aa"/>
        <w:spacing w:after="180"/>
        <w:rPr>
          <w:rFonts w:hint="eastAsia"/>
        </w:rPr>
      </w:pPr>
      <w:r>
        <w:rPr>
          <w:rStyle w:val="a9"/>
        </w:rPr>
        <w:footnoteRef/>
      </w:r>
      <w:r>
        <w:t xml:space="preserve"> </w:t>
      </w:r>
      <w:r>
        <w:rPr>
          <w:rFonts w:hint="eastAsia"/>
        </w:rPr>
        <w:t>有關國內不同的公務人員之概念定義，</w:t>
      </w:r>
      <w:r>
        <w:rPr>
          <w:rFonts w:hint="eastAsia"/>
        </w:rPr>
        <w:t>參見：吳庚，行政法之理論與實用，頁</w:t>
      </w:r>
      <w:r>
        <w:rPr>
          <w:rFonts w:hint="eastAsia"/>
        </w:rPr>
        <w:t>218-220</w:t>
      </w:r>
      <w:r>
        <w:rPr>
          <w:rFonts w:hint="eastAsia"/>
        </w:rPr>
        <w:t>；林明鏘／蔡茂寅，公務員法，收於：翁岳生　編，行政法　上，頁</w:t>
      </w:r>
      <w:r>
        <w:rPr>
          <w:rFonts w:hint="eastAsia"/>
        </w:rPr>
        <w:t>351-353</w:t>
      </w:r>
      <w:r>
        <w:rPr>
          <w:rFonts w:hint="eastAsia"/>
        </w:rPr>
        <w:t>。</w:t>
      </w:r>
    </w:p>
  </w:footnote>
  <w:footnote w:id="6">
    <w:p w:rsidR="00000000" w:rsidRDefault="00724932">
      <w:pPr>
        <w:pStyle w:val="aa"/>
        <w:spacing w:after="180"/>
        <w:rPr>
          <w:rFonts w:hint="eastAsia"/>
        </w:rPr>
      </w:pPr>
      <w:r>
        <w:rPr>
          <w:rStyle w:val="a9"/>
        </w:rPr>
        <w:footnoteRef/>
      </w:r>
      <w:r>
        <w:t xml:space="preserve"> </w:t>
      </w:r>
      <w:r>
        <w:rPr>
          <w:rFonts w:hint="eastAsia"/>
        </w:rPr>
        <w:t>國內有關公法上不當得利之完整性研究，首推：</w:t>
      </w:r>
      <w:r>
        <w:t>魏虎嶺</w:t>
      </w:r>
      <w:r>
        <w:rPr>
          <w:rFonts w:hint="eastAsia"/>
        </w:rPr>
        <w:t>，</w:t>
      </w:r>
      <w:r>
        <w:t>公法上不當得利之研究</w:t>
      </w:r>
      <w:r>
        <w:rPr>
          <w:rFonts w:hint="eastAsia"/>
        </w:rPr>
        <w:t>，</w:t>
      </w:r>
      <w:r>
        <w:rPr>
          <w:rFonts w:hint="eastAsia"/>
        </w:rPr>
        <w:t>1987</w:t>
      </w:r>
      <w:r>
        <w:rPr>
          <w:rFonts w:hint="eastAsia"/>
        </w:rPr>
        <w:t>年。至於近來行政法教科書，如吳庚，行政法之理論與實用，頁</w:t>
      </w:r>
      <w:r>
        <w:rPr>
          <w:rFonts w:hint="eastAsia"/>
        </w:rPr>
        <w:t>695-698</w:t>
      </w:r>
      <w:r>
        <w:rPr>
          <w:rFonts w:hint="eastAsia"/>
        </w:rPr>
        <w:t>；陳敏，行政法總論，頁</w:t>
      </w:r>
      <w:r>
        <w:rPr>
          <w:rFonts w:hint="eastAsia"/>
        </w:rPr>
        <w:t>1181-1187</w:t>
      </w:r>
      <w:r>
        <w:rPr>
          <w:rFonts w:hint="eastAsia"/>
        </w:rPr>
        <w:t>等，亦均參考德國法制，來探討我國法上的公法上不當得利之制度。</w:t>
      </w:r>
    </w:p>
  </w:footnote>
  <w:footnote w:id="7">
    <w:p w:rsidR="00000000" w:rsidRDefault="00724932">
      <w:pPr>
        <w:pStyle w:val="aa"/>
        <w:spacing w:after="180"/>
        <w:rPr>
          <w:rFonts w:hint="eastAsia"/>
        </w:rPr>
      </w:pPr>
      <w:r>
        <w:rPr>
          <w:rStyle w:val="a9"/>
        </w:rPr>
        <w:footnoteRef/>
      </w:r>
      <w:r>
        <w:t xml:space="preserve"> </w:t>
      </w:r>
      <w:r>
        <w:rPr>
          <w:rFonts w:hint="eastAsia"/>
        </w:rPr>
        <w:t>例見：臺北高等行政法院</w:t>
      </w:r>
      <w:r>
        <w:rPr>
          <w:rFonts w:hint="eastAsia"/>
        </w:rPr>
        <w:t>90</w:t>
      </w:r>
      <w:r>
        <w:rPr>
          <w:rFonts w:hint="eastAsia"/>
        </w:rPr>
        <w:t>年訴字第</w:t>
      </w:r>
      <w:r>
        <w:rPr>
          <w:rFonts w:hint="eastAsia"/>
        </w:rPr>
        <w:t>1752</w:t>
      </w:r>
      <w:r>
        <w:rPr>
          <w:rFonts w:hint="eastAsia"/>
        </w:rPr>
        <w:t>號判決、臺北高等行政法院</w:t>
      </w:r>
      <w:r>
        <w:rPr>
          <w:rFonts w:hint="eastAsia"/>
        </w:rPr>
        <w:t>91</w:t>
      </w:r>
      <w:r>
        <w:rPr>
          <w:rFonts w:hint="eastAsia"/>
        </w:rPr>
        <w:t>年訴字第</w:t>
      </w:r>
      <w:r>
        <w:rPr>
          <w:rFonts w:hint="eastAsia"/>
        </w:rPr>
        <w:t>4774</w:t>
      </w:r>
      <w:r>
        <w:rPr>
          <w:rFonts w:hint="eastAsia"/>
        </w:rPr>
        <w:t>號判決。</w:t>
      </w:r>
    </w:p>
  </w:footnote>
  <w:footnote w:id="8">
    <w:p w:rsidR="00000000" w:rsidRDefault="00724932">
      <w:pPr>
        <w:pStyle w:val="aa"/>
        <w:spacing w:after="180"/>
        <w:rPr>
          <w:rFonts w:hint="eastAsia"/>
        </w:rPr>
      </w:pPr>
      <w:r>
        <w:rPr>
          <w:rStyle w:val="a9"/>
        </w:rPr>
        <w:footnoteRef/>
      </w:r>
      <w:r>
        <w:t xml:space="preserve"> </w:t>
      </w:r>
      <w:r>
        <w:rPr>
          <w:rFonts w:hint="eastAsia"/>
        </w:rPr>
        <w:t>例見：</w:t>
      </w:r>
      <w:r>
        <w:rPr>
          <w:rFonts w:hint="eastAsia"/>
        </w:rPr>
        <w:t>86</w:t>
      </w:r>
      <w:r>
        <w:rPr>
          <w:rFonts w:hint="eastAsia"/>
        </w:rPr>
        <w:t>年判字第</w:t>
      </w:r>
      <w:r>
        <w:rPr>
          <w:rFonts w:hint="eastAsia"/>
        </w:rPr>
        <w:t>1861</w:t>
      </w:r>
      <w:r>
        <w:rPr>
          <w:rFonts w:hint="eastAsia"/>
        </w:rPr>
        <w:t>號判決、</w:t>
      </w:r>
      <w:r>
        <w:rPr>
          <w:rFonts w:hint="eastAsia"/>
        </w:rPr>
        <w:t>86</w:t>
      </w:r>
      <w:r>
        <w:rPr>
          <w:rFonts w:hint="eastAsia"/>
        </w:rPr>
        <w:t>年判字第</w:t>
      </w:r>
      <w:r>
        <w:rPr>
          <w:rFonts w:hint="eastAsia"/>
        </w:rPr>
        <w:t>2106</w:t>
      </w:r>
      <w:r>
        <w:rPr>
          <w:rFonts w:hint="eastAsia"/>
        </w:rPr>
        <w:t>號判決、</w:t>
      </w:r>
      <w:r>
        <w:rPr>
          <w:rFonts w:hint="eastAsia"/>
        </w:rPr>
        <w:t>87</w:t>
      </w:r>
      <w:r>
        <w:rPr>
          <w:rFonts w:hint="eastAsia"/>
        </w:rPr>
        <w:t>年判字第</w:t>
      </w:r>
      <w:r>
        <w:rPr>
          <w:rFonts w:hint="eastAsia"/>
        </w:rPr>
        <w:t>1945</w:t>
      </w:r>
      <w:r>
        <w:rPr>
          <w:rFonts w:hint="eastAsia"/>
        </w:rPr>
        <w:t>號判決及</w:t>
      </w:r>
      <w:r>
        <w:rPr>
          <w:rFonts w:hint="eastAsia"/>
        </w:rPr>
        <w:t>88</w:t>
      </w:r>
      <w:r>
        <w:rPr>
          <w:rFonts w:hint="eastAsia"/>
        </w:rPr>
        <w:t>年判字第</w:t>
      </w:r>
      <w:r>
        <w:rPr>
          <w:rFonts w:hint="eastAsia"/>
        </w:rPr>
        <w:t>448</w:t>
      </w:r>
      <w:r>
        <w:rPr>
          <w:rFonts w:hint="eastAsia"/>
        </w:rPr>
        <w:t>號判決。</w:t>
      </w:r>
    </w:p>
  </w:footnote>
  <w:footnote w:id="9">
    <w:p w:rsidR="00000000" w:rsidRDefault="00724932">
      <w:pPr>
        <w:pStyle w:val="aa"/>
        <w:spacing w:after="180"/>
        <w:rPr>
          <w:rFonts w:hint="eastAsia"/>
        </w:rPr>
      </w:pPr>
      <w:r>
        <w:rPr>
          <w:rStyle w:val="a9"/>
        </w:rPr>
        <w:footnoteRef/>
      </w:r>
      <w:r>
        <w:t xml:space="preserve"> </w:t>
      </w:r>
      <w:r>
        <w:rPr>
          <w:rFonts w:hint="eastAsia"/>
        </w:rPr>
        <w:t>例見：</w:t>
      </w:r>
      <w:r>
        <w:rPr>
          <w:rFonts w:hint="eastAsia"/>
        </w:rPr>
        <w:t>92</w:t>
      </w:r>
      <w:r>
        <w:rPr>
          <w:rFonts w:hint="eastAsia"/>
        </w:rPr>
        <w:t>年判字第</w:t>
      </w:r>
      <w:r>
        <w:rPr>
          <w:rFonts w:hint="eastAsia"/>
        </w:rPr>
        <w:t>761</w:t>
      </w:r>
      <w:r>
        <w:rPr>
          <w:rFonts w:hint="eastAsia"/>
        </w:rPr>
        <w:t>號判決、</w:t>
      </w:r>
      <w:r>
        <w:rPr>
          <w:rFonts w:hint="eastAsia"/>
        </w:rPr>
        <w:t>92</w:t>
      </w:r>
      <w:r>
        <w:rPr>
          <w:rFonts w:hint="eastAsia"/>
        </w:rPr>
        <w:t>年判字第</w:t>
      </w:r>
      <w:r>
        <w:rPr>
          <w:rFonts w:hint="eastAsia"/>
        </w:rPr>
        <w:t>1580</w:t>
      </w:r>
      <w:r>
        <w:rPr>
          <w:rFonts w:hint="eastAsia"/>
        </w:rPr>
        <w:t>號判決。</w:t>
      </w:r>
    </w:p>
  </w:footnote>
  <w:footnote w:id="10">
    <w:p w:rsidR="00000000" w:rsidRDefault="00724932">
      <w:pPr>
        <w:pStyle w:val="aa"/>
        <w:spacing w:after="180"/>
        <w:rPr>
          <w:rFonts w:hint="eastAsia"/>
        </w:rPr>
      </w:pPr>
      <w:r>
        <w:rPr>
          <w:rStyle w:val="a9"/>
        </w:rPr>
        <w:footnoteRef/>
      </w:r>
      <w:r>
        <w:t xml:space="preserve"> </w:t>
      </w:r>
      <w:r>
        <w:rPr>
          <w:rFonts w:hint="eastAsia"/>
        </w:rPr>
        <w:t>該釋字第</w:t>
      </w:r>
      <w:r>
        <w:rPr>
          <w:rFonts w:hint="eastAsia"/>
        </w:rPr>
        <w:t>515</w:t>
      </w:r>
      <w:r>
        <w:rPr>
          <w:rFonts w:hint="eastAsia"/>
        </w:rPr>
        <w:t>號解釋與此相關之解釋文部分為：「</w:t>
      </w:r>
      <w:r>
        <w:rPr>
          <w:rFonts w:ascii="新細明體" w:hAnsi="新細明體"/>
        </w:rPr>
        <w:t>…</w:t>
      </w:r>
      <w:r>
        <w:rPr>
          <w:rFonts w:ascii="細明體" w:eastAsia="細明體" w:hAnsi="細明體" w:cs="細明體"/>
          <w:kern w:val="0"/>
        </w:rPr>
        <w:t>工業主管機關依本條例</w:t>
      </w:r>
      <w:r>
        <w:rPr>
          <w:rFonts w:ascii="細明體" w:eastAsia="細明體" w:hAnsi="細明體" w:cs="細明體" w:hint="eastAsia"/>
          <w:kern w:val="0"/>
        </w:rPr>
        <w:t>〔筆者按：促進產業升級條例〕</w:t>
      </w:r>
      <w:r>
        <w:rPr>
          <w:rFonts w:ascii="細明體" w:eastAsia="細明體" w:hAnsi="細明體" w:cs="細明體"/>
          <w:kern w:val="0"/>
        </w:rPr>
        <w:t>開發之工業區，除社區用地外，其土地、標準廠房或各種建築物出售時，應由承購人分別按土地承購價額或標準廠房、各種建築物承購價額百分之三或百分之一繳付工業區開發管理基金。此一基金係專對承購工業區土地、廠房及其他建築物興辦工業人課徵，用於挹注工業區開發及管理之所</w:t>
      </w:r>
      <w:r>
        <w:rPr>
          <w:rFonts w:ascii="細明體" w:eastAsia="細明體" w:hAnsi="細明體" w:cs="細明體"/>
          <w:kern w:val="0"/>
        </w:rPr>
        <w:t>需，性質上相當於對有共同利益群體者所課徵之特別公課及使用規費，並非原購買土地或廠房等價格之一部分，該條例施行細則第九十六條：</w:t>
      </w:r>
      <w:r>
        <w:rPr>
          <w:rFonts w:ascii="細明體" w:eastAsia="細明體" w:hAnsi="細明體" w:cs="細明體" w:hint="eastAsia"/>
          <w:kern w:val="0"/>
        </w:rPr>
        <w:t>『</w:t>
      </w:r>
      <w:r>
        <w:rPr>
          <w:rFonts w:ascii="細明體" w:eastAsia="細明體" w:hAnsi="細明體" w:cs="細明體"/>
          <w:kern w:val="0"/>
        </w:rPr>
        <w:t>本條例第三十八條第一項第一款所稱原購買地價及原購買價格，不包括承購時隨價繳付之工業區開發管理基金</w:t>
      </w:r>
      <w:r>
        <w:rPr>
          <w:rFonts w:ascii="細明體" w:eastAsia="細明體" w:hAnsi="細明體" w:cs="細明體" w:hint="eastAsia"/>
          <w:kern w:val="0"/>
        </w:rPr>
        <w:t>』</w:t>
      </w:r>
      <w:r>
        <w:rPr>
          <w:rFonts w:ascii="細明體" w:eastAsia="細明體" w:hAnsi="細明體" w:cs="細明體"/>
          <w:kern w:val="0"/>
        </w:rPr>
        <w:t>，此對購買土地及廠房後未能於前開一年內使用而僅繳付價金者，固無不合。惟興辦工業人承購工業區土地或廠房後，工業主管機關依上開條例第三十八條之規定強制買回，若係由於非可歸責於興辦工業人之事由者，其自始既未成為特別公課徵收對象共同利益群體之成員，亦不具有繳納規費之利用關係，則課徵工業區開發管理</w:t>
      </w:r>
      <w:r>
        <w:rPr>
          <w:rFonts w:ascii="細明體" w:eastAsia="細明體" w:hAnsi="細明體" w:cs="細明體"/>
          <w:kern w:val="0"/>
        </w:rPr>
        <w:t>基金之前提要件及目的均已消失，其課徵供作基金款項之法律上原因遂不復存在，成為公法上之不當得利。依上開細則之規定，該管機關僅須以原價買回，對已按一定比例課徵作為基金之款項，不予返還，即與憲法保障人民權利之意旨有違，該細則此部分規定，並不排除上述返還請求權之行使</w:t>
      </w:r>
      <w:r>
        <w:rPr>
          <w:rFonts w:ascii="新細明體" w:hAnsi="新細明體"/>
        </w:rPr>
        <w:t>…</w:t>
      </w:r>
      <w:r>
        <w:rPr>
          <w:rFonts w:ascii="細明體" w:eastAsia="細明體" w:hAnsi="細明體" w:cs="細明體"/>
          <w:kern w:val="0"/>
        </w:rPr>
        <w:t>。</w:t>
      </w:r>
      <w:r>
        <w:rPr>
          <w:rFonts w:hint="eastAsia"/>
        </w:rPr>
        <w:t>」相關之評論，見：</w:t>
      </w:r>
      <w:r>
        <w:t>陳愛娥</w:t>
      </w:r>
      <w:r>
        <w:rPr>
          <w:rFonts w:hint="eastAsia"/>
        </w:rPr>
        <w:t>，</w:t>
      </w:r>
      <w:r>
        <w:t>工業區開發管理基金與公法上之不當得利返還請求權</w:t>
      </w:r>
      <w:r>
        <w:rPr>
          <w:rFonts w:hint="eastAsia"/>
        </w:rPr>
        <w:t xml:space="preserve"> </w:t>
      </w:r>
      <w:r>
        <w:t>—</w:t>
      </w:r>
      <w:r>
        <w:rPr>
          <w:rFonts w:hint="eastAsia"/>
        </w:rPr>
        <w:t xml:space="preserve"> </w:t>
      </w:r>
      <w:r>
        <w:t>評司法院大法官釋字第五一五號解釋</w:t>
      </w:r>
      <w:r>
        <w:rPr>
          <w:rFonts w:hint="eastAsia"/>
        </w:rPr>
        <w:t>，本土</w:t>
      </w:r>
      <w:r>
        <w:t>19</w:t>
      </w:r>
      <w:r>
        <w:rPr>
          <w:rFonts w:hint="eastAsia"/>
        </w:rPr>
        <w:t>期，</w:t>
      </w:r>
      <w:r>
        <w:rPr>
          <w:rFonts w:hint="eastAsia"/>
        </w:rPr>
        <w:t>2001</w:t>
      </w:r>
      <w:r>
        <w:rPr>
          <w:rFonts w:hint="eastAsia"/>
        </w:rPr>
        <w:t>年</w:t>
      </w:r>
      <w:r>
        <w:t>2</w:t>
      </w:r>
      <w:r>
        <w:rPr>
          <w:rFonts w:hint="eastAsia"/>
        </w:rPr>
        <w:t>月，頁</w:t>
      </w:r>
      <w:r>
        <w:rPr>
          <w:rFonts w:hint="eastAsia"/>
        </w:rPr>
        <w:t>9</w:t>
      </w:r>
      <w:r>
        <w:rPr>
          <w:rFonts w:hint="eastAsia"/>
        </w:rPr>
        <w:t>以下（側重公、私法區別問題之探討）。另本號解釋之解釋文及理由書等全文，見：本研究附錄　參、一。</w:t>
      </w:r>
    </w:p>
  </w:footnote>
  <w:footnote w:id="11">
    <w:p w:rsidR="00000000" w:rsidRDefault="00724932">
      <w:pPr>
        <w:pStyle w:val="aa"/>
        <w:spacing w:after="180"/>
        <w:rPr>
          <w:rFonts w:hint="eastAsia"/>
        </w:rPr>
      </w:pPr>
      <w:r>
        <w:rPr>
          <w:rStyle w:val="a9"/>
        </w:rPr>
        <w:footnoteRef/>
      </w:r>
      <w:r>
        <w:t xml:space="preserve"> </w:t>
      </w:r>
      <w:r>
        <w:rPr>
          <w:rFonts w:hint="eastAsia"/>
        </w:rPr>
        <w:t>見：立</w:t>
      </w:r>
      <w:r>
        <w:rPr>
          <w:rFonts w:hint="eastAsia"/>
        </w:rPr>
        <w:t>法院法制委員會編，行政程序法案，頁</w:t>
      </w:r>
      <w:r>
        <w:rPr>
          <w:rFonts w:hint="eastAsia"/>
        </w:rPr>
        <w:t>1500-1501</w:t>
      </w:r>
      <w:r>
        <w:rPr>
          <w:rFonts w:hint="eastAsia"/>
        </w:rPr>
        <w:t>。相關問題，並詳見下文第二章第二節貳、一。</w:t>
      </w:r>
    </w:p>
  </w:footnote>
  <w:footnote w:id="12">
    <w:p w:rsidR="00000000" w:rsidRDefault="00724932">
      <w:pPr>
        <w:pStyle w:val="aa"/>
        <w:spacing w:after="180"/>
        <w:rPr>
          <w:rFonts w:hint="eastAsia"/>
        </w:rPr>
      </w:pPr>
      <w:r>
        <w:rPr>
          <w:rStyle w:val="a9"/>
        </w:rPr>
        <w:footnoteRef/>
      </w:r>
      <w:r>
        <w:t xml:space="preserve"> </w:t>
      </w:r>
      <w:r>
        <w:rPr>
          <w:rFonts w:hint="eastAsia"/>
        </w:rPr>
        <w:t>見：立法院法制委員會編，行政程序法案，頁</w:t>
      </w:r>
      <w:r>
        <w:rPr>
          <w:rFonts w:hint="eastAsia"/>
        </w:rPr>
        <w:t>1500-1501</w:t>
      </w:r>
      <w:r>
        <w:rPr>
          <w:rFonts w:hint="eastAsia"/>
        </w:rPr>
        <w:t>。</w:t>
      </w:r>
    </w:p>
  </w:footnote>
  <w:footnote w:id="13">
    <w:p w:rsidR="00000000" w:rsidRDefault="00724932">
      <w:pPr>
        <w:pStyle w:val="aa"/>
        <w:spacing w:after="180"/>
        <w:rPr>
          <w:rFonts w:hint="eastAsia"/>
        </w:rPr>
      </w:pPr>
      <w:r>
        <w:rPr>
          <w:rStyle w:val="a9"/>
        </w:rPr>
        <w:footnoteRef/>
      </w:r>
      <w:r>
        <w:t xml:space="preserve"> </w:t>
      </w:r>
      <w:r>
        <w:rPr>
          <w:rFonts w:hint="eastAsia"/>
        </w:rPr>
        <w:t>詳見下文第二章第一節參。</w:t>
      </w:r>
    </w:p>
  </w:footnote>
  <w:footnote w:id="14">
    <w:p w:rsidR="00000000" w:rsidRDefault="00724932">
      <w:pPr>
        <w:pStyle w:val="aa"/>
        <w:spacing w:after="180"/>
        <w:rPr>
          <w:rFonts w:hint="eastAsia"/>
        </w:rPr>
      </w:pPr>
      <w:r>
        <w:rPr>
          <w:rStyle w:val="a9"/>
        </w:rPr>
        <w:footnoteRef/>
      </w:r>
      <w:r>
        <w:t xml:space="preserve"> </w:t>
      </w:r>
      <w:r>
        <w:rPr>
          <w:rFonts w:hint="eastAsia"/>
        </w:rPr>
        <w:t>詳見：</w:t>
      </w:r>
      <w:r>
        <w:rPr>
          <w:rFonts w:hAnsi="新細明體"/>
        </w:rPr>
        <w:t>王澤鑑，不當得利，頁</w:t>
      </w:r>
      <w:r>
        <w:rPr>
          <w:rFonts w:hAnsi="新細明體" w:hint="eastAsia"/>
        </w:rPr>
        <w:t>17-18</w:t>
      </w:r>
      <w:r>
        <w:rPr>
          <w:rFonts w:hAnsi="新細明體"/>
        </w:rPr>
        <w:t>。</w:t>
      </w:r>
    </w:p>
  </w:footnote>
  <w:footnote w:id="15">
    <w:p w:rsidR="00000000" w:rsidRDefault="00724932">
      <w:pPr>
        <w:pStyle w:val="aa"/>
        <w:spacing w:after="180"/>
        <w:rPr>
          <w:rFonts w:hint="eastAsia"/>
        </w:rPr>
      </w:pPr>
      <w:r>
        <w:rPr>
          <w:rStyle w:val="a9"/>
        </w:rPr>
        <w:footnoteRef/>
      </w:r>
      <w:r>
        <w:t xml:space="preserve"> </w:t>
      </w:r>
      <w:r>
        <w:rPr>
          <w:rFonts w:hint="eastAsia"/>
        </w:rPr>
        <w:t>同前註，頁</w:t>
      </w:r>
      <w:r>
        <w:rPr>
          <w:rFonts w:hint="eastAsia"/>
        </w:rPr>
        <w:t>18-19</w:t>
      </w:r>
      <w:r>
        <w:rPr>
          <w:rFonts w:hint="eastAsia"/>
        </w:rPr>
        <w:t>。</w:t>
      </w:r>
    </w:p>
  </w:footnote>
  <w:footnote w:id="16">
    <w:p w:rsidR="00000000" w:rsidRDefault="00724932">
      <w:pPr>
        <w:pStyle w:val="aa"/>
        <w:spacing w:after="180"/>
      </w:pPr>
      <w:r>
        <w:rPr>
          <w:rStyle w:val="a9"/>
        </w:rPr>
        <w:footnoteRef/>
      </w:r>
      <w:r>
        <w:t xml:space="preserve"> </w:t>
      </w:r>
      <w:r>
        <w:rPr>
          <w:rFonts w:hAnsi="新細明體" w:hint="eastAsia"/>
        </w:rPr>
        <w:t>同前註</w:t>
      </w:r>
      <w:r>
        <w:rPr>
          <w:rFonts w:hAnsi="新細明體"/>
        </w:rPr>
        <w:t>，頁</w:t>
      </w:r>
      <w:r>
        <w:t>20</w:t>
      </w:r>
      <w:r>
        <w:rPr>
          <w:rFonts w:hAnsi="新細明體"/>
        </w:rPr>
        <w:t>。</w:t>
      </w:r>
    </w:p>
  </w:footnote>
  <w:footnote w:id="17">
    <w:p w:rsidR="00000000" w:rsidRDefault="00724932">
      <w:pPr>
        <w:pStyle w:val="aa"/>
        <w:spacing w:after="180"/>
        <w:rPr>
          <w:rFonts w:hint="eastAsia"/>
        </w:rPr>
      </w:pPr>
      <w:r>
        <w:rPr>
          <w:rStyle w:val="a9"/>
        </w:rPr>
        <w:footnoteRef/>
      </w:r>
      <w:r>
        <w:t xml:space="preserve"> </w:t>
      </w:r>
      <w:r>
        <w:rPr>
          <w:rFonts w:hint="eastAsia"/>
        </w:rPr>
        <w:t>例見：孫森</w:t>
      </w:r>
      <w:r>
        <w:t>焱，民法債編總論</w:t>
      </w:r>
      <w:r>
        <w:rPr>
          <w:rFonts w:hint="eastAsia"/>
        </w:rPr>
        <w:t>，頁</w:t>
      </w:r>
      <w:r>
        <w:rPr>
          <w:rFonts w:hint="eastAsia"/>
        </w:rPr>
        <w:t>140</w:t>
      </w:r>
      <w:r>
        <w:rPr>
          <w:rFonts w:hint="eastAsia"/>
        </w:rPr>
        <w:t>以下。</w:t>
      </w:r>
    </w:p>
  </w:footnote>
  <w:footnote w:id="18">
    <w:p w:rsidR="00000000" w:rsidRDefault="00724932">
      <w:pPr>
        <w:pStyle w:val="aa"/>
        <w:spacing w:after="180"/>
        <w:rPr>
          <w:rFonts w:hint="eastAsia"/>
        </w:rPr>
      </w:pPr>
      <w:r>
        <w:rPr>
          <w:rStyle w:val="a9"/>
        </w:rPr>
        <w:footnoteRef/>
      </w:r>
      <w:r>
        <w:t xml:space="preserve"> </w:t>
      </w:r>
      <w:r>
        <w:rPr>
          <w:rFonts w:hint="eastAsia"/>
        </w:rPr>
        <w:t>參見：</w:t>
      </w:r>
      <w:r>
        <w:rPr>
          <w:rFonts w:hint="eastAsia"/>
          <w:lang w:val="de-DE"/>
        </w:rPr>
        <w:t>我妻榮，債權各論　下卷一</w:t>
      </w:r>
      <w:r>
        <w:rPr>
          <w:rFonts w:hint="eastAsia"/>
        </w:rPr>
        <w:t>，頁</w:t>
      </w:r>
      <w:r>
        <w:rPr>
          <w:rFonts w:hint="eastAsia"/>
        </w:rPr>
        <w:t>1118</w:t>
      </w:r>
      <w:r>
        <w:rPr>
          <w:rFonts w:hint="eastAsia"/>
        </w:rPr>
        <w:t>。</w:t>
      </w:r>
    </w:p>
  </w:footnote>
  <w:footnote w:id="19">
    <w:p w:rsidR="00000000" w:rsidRDefault="00724932">
      <w:pPr>
        <w:pStyle w:val="aa"/>
        <w:spacing w:after="180"/>
        <w:rPr>
          <w:rFonts w:hint="eastAsia"/>
        </w:rPr>
      </w:pPr>
      <w:r>
        <w:rPr>
          <w:rStyle w:val="a9"/>
        </w:rPr>
        <w:footnoteRef/>
      </w:r>
      <w:r>
        <w:t xml:space="preserve"> </w:t>
      </w:r>
      <w:r>
        <w:rPr>
          <w:rFonts w:hint="eastAsia"/>
        </w:rPr>
        <w:t>同說，見：</w:t>
      </w:r>
      <w:r>
        <w:rPr>
          <w:rFonts w:hAnsi="新細明體"/>
        </w:rPr>
        <w:t>王澤鑑，不當得利，頁</w:t>
      </w:r>
      <w:r>
        <w:rPr>
          <w:rFonts w:hAnsi="新細明體" w:hint="eastAsia"/>
        </w:rPr>
        <w:t>12</w:t>
      </w:r>
      <w:r>
        <w:rPr>
          <w:rFonts w:hAnsi="新細明體" w:hint="eastAsia"/>
        </w:rPr>
        <w:t>。此外，日本民法上不當得利深受德國法影響的事實，例見日本民法權威性教科書，如：</w:t>
      </w:r>
      <w:r>
        <w:rPr>
          <w:rFonts w:hint="eastAsia"/>
          <w:lang w:val="de-DE"/>
        </w:rPr>
        <w:t>我妻榮，債權</w:t>
      </w:r>
      <w:r>
        <w:rPr>
          <w:rFonts w:hint="eastAsia"/>
          <w:lang w:val="de-DE"/>
        </w:rPr>
        <w:t>各論　下卷一</w:t>
      </w:r>
      <w:r>
        <w:rPr>
          <w:rFonts w:hint="eastAsia"/>
        </w:rPr>
        <w:t>，頁</w:t>
      </w:r>
      <w:r>
        <w:rPr>
          <w:rFonts w:hint="eastAsia"/>
        </w:rPr>
        <w:t>934</w:t>
      </w:r>
      <w:r>
        <w:rPr>
          <w:rFonts w:hint="eastAsia"/>
        </w:rPr>
        <w:t>以下有關不當得利制度的種種說明，亦能見其一斑。</w:t>
      </w:r>
    </w:p>
  </w:footnote>
  <w:footnote w:id="20">
    <w:p w:rsidR="00000000" w:rsidRDefault="00724932">
      <w:pPr>
        <w:pStyle w:val="aa"/>
        <w:spacing w:after="180"/>
        <w:rPr>
          <w:rFonts w:hint="eastAsia"/>
        </w:rPr>
      </w:pPr>
      <w:r>
        <w:rPr>
          <w:rStyle w:val="a9"/>
        </w:rPr>
        <w:footnoteRef/>
      </w:r>
      <w:r>
        <w:t xml:space="preserve"> </w:t>
      </w:r>
      <w:r>
        <w:rPr>
          <w:rFonts w:hint="eastAsia"/>
        </w:rPr>
        <w:t>例見傳統的日本行政法教科書：田中二郎，行政法　上卷，頁</w:t>
      </w:r>
      <w:r>
        <w:rPr>
          <w:rFonts w:hint="eastAsia"/>
        </w:rPr>
        <w:t>101-102</w:t>
      </w:r>
      <w:r>
        <w:rPr>
          <w:rFonts w:hint="eastAsia"/>
        </w:rPr>
        <w:t>；屬於比較晚近的單篇著作：</w:t>
      </w:r>
      <w:r>
        <w:rPr>
          <w:rFonts w:hint="eastAsia"/>
          <w:lang w:val="de-DE" w:eastAsia="ja-JP"/>
        </w:rPr>
        <w:t>木村弘之亮，行政上</w:t>
      </w:r>
      <w:r>
        <w:rPr>
          <w:rFonts w:ascii="新細明體" w:hAnsi="新細明體" w:hint="eastAsia"/>
          <w:lang w:val="de-DE" w:eastAsia="ja-JP"/>
        </w:rPr>
        <w:t>の</w:t>
      </w:r>
      <w:r>
        <w:rPr>
          <w:rFonts w:hint="eastAsia"/>
          <w:lang w:val="de-DE" w:eastAsia="ja-JP"/>
        </w:rPr>
        <w:t>不</w:t>
      </w:r>
      <w:r>
        <w:rPr>
          <w:rFonts w:ascii="新細明體" w:hAnsi="新細明體" w:hint="eastAsia"/>
          <w:lang w:val="de-DE" w:eastAsia="ja-JP"/>
        </w:rPr>
        <w:t>当</w:t>
      </w:r>
      <w:r>
        <w:rPr>
          <w:rFonts w:hint="eastAsia"/>
          <w:lang w:val="de-DE" w:eastAsia="ja-JP"/>
        </w:rPr>
        <w:t>利得，</w:t>
      </w:r>
      <w:r>
        <w:rPr>
          <w:rFonts w:hint="eastAsia"/>
          <w:lang w:eastAsia="ja-JP"/>
        </w:rPr>
        <w:t>收於</w:t>
      </w:r>
      <w:r>
        <w:rPr>
          <w:rFonts w:hint="eastAsia"/>
          <w:lang w:val="de-DE" w:eastAsia="ja-JP"/>
        </w:rPr>
        <w:t>：</w:t>
      </w:r>
      <w:r>
        <w:rPr>
          <w:rFonts w:ascii="新細明體" w:hAnsi="新細明體" w:hint="eastAsia"/>
          <w:lang w:eastAsia="ja-JP"/>
        </w:rPr>
        <w:t>ジュリスト</w:t>
      </w:r>
      <w:r>
        <w:rPr>
          <w:rFonts w:hint="eastAsia"/>
          <w:lang w:val="de-DE" w:eastAsia="ja-JP"/>
        </w:rPr>
        <w:t>行政法</w:t>
      </w:r>
      <w:r>
        <w:rPr>
          <w:rFonts w:ascii="新細明體" w:hAnsi="新細明體" w:hint="eastAsia"/>
          <w:lang w:val="de-DE" w:eastAsia="ja-JP"/>
        </w:rPr>
        <w:t>の爭點</w:t>
      </w:r>
      <w:r>
        <w:rPr>
          <w:rFonts w:hint="eastAsia"/>
          <w:lang w:val="de-DE" w:eastAsia="ja-JP"/>
        </w:rPr>
        <w:t>，頁</w:t>
      </w:r>
      <w:r>
        <w:rPr>
          <w:rFonts w:hint="eastAsia"/>
          <w:lang w:val="de-DE" w:eastAsia="ja-JP"/>
        </w:rPr>
        <w:t>28</w:t>
      </w:r>
      <w:r>
        <w:rPr>
          <w:rFonts w:hint="eastAsia"/>
          <w:lang w:val="de-DE" w:eastAsia="ja-JP"/>
        </w:rPr>
        <w:t>以下</w:t>
      </w:r>
      <w:r>
        <w:rPr>
          <w:rFonts w:hint="eastAsia"/>
          <w:lang w:val="de-DE"/>
        </w:rPr>
        <w:t>。</w:t>
      </w:r>
    </w:p>
  </w:footnote>
  <w:footnote w:id="21">
    <w:p w:rsidR="00000000" w:rsidRDefault="00724932">
      <w:pPr>
        <w:pStyle w:val="aa"/>
        <w:spacing w:after="180"/>
        <w:rPr>
          <w:rFonts w:hint="eastAsia"/>
        </w:rPr>
      </w:pPr>
      <w:r>
        <w:rPr>
          <w:rStyle w:val="a9"/>
        </w:rPr>
        <w:footnoteRef/>
      </w:r>
      <w:r>
        <w:rPr>
          <w:rFonts w:hAnsi="新細明體" w:hint="eastAsia"/>
        </w:rPr>
        <w:t xml:space="preserve"> </w:t>
      </w:r>
      <w:r>
        <w:rPr>
          <w:rFonts w:hAnsi="新細明體" w:hint="eastAsia"/>
        </w:rPr>
        <w:t>例如行政程序法第一百四十四條至第一百四十七條有關行政契約之若干規定。</w:t>
      </w:r>
    </w:p>
  </w:footnote>
  <w:footnote w:id="22">
    <w:p w:rsidR="00000000" w:rsidRDefault="00724932">
      <w:pPr>
        <w:pStyle w:val="aa"/>
        <w:spacing w:after="180"/>
        <w:rPr>
          <w:rFonts w:hint="eastAsia"/>
        </w:rPr>
      </w:pPr>
      <w:r>
        <w:rPr>
          <w:rStyle w:val="a9"/>
        </w:rPr>
        <w:footnoteRef/>
      </w:r>
      <w:r>
        <w:rPr>
          <w:rFonts w:hAnsi="新細明體" w:hint="eastAsia"/>
        </w:rPr>
        <w:t xml:space="preserve"> </w:t>
      </w:r>
      <w:r>
        <w:rPr>
          <w:rFonts w:hAnsi="新細明體" w:hint="eastAsia"/>
        </w:rPr>
        <w:t>例如從大法官釋字第</w:t>
      </w:r>
      <w:r>
        <w:rPr>
          <w:rFonts w:hAnsi="新細明體" w:hint="eastAsia"/>
        </w:rPr>
        <w:t>509</w:t>
      </w:r>
      <w:r>
        <w:rPr>
          <w:rFonts w:hAnsi="新細明體" w:hint="eastAsia"/>
        </w:rPr>
        <w:t>號有關言論自由之解釋、行政程序法第四十五條至第四十七條及第一百五十一條以下等規定，乃至為數甚夥的環境、科技等行政法各論領域之立法與學術研究等，影響程度，堪稱全方位。</w:t>
      </w:r>
    </w:p>
  </w:footnote>
  <w:footnote w:id="23">
    <w:p w:rsidR="00000000" w:rsidRDefault="00724932">
      <w:pPr>
        <w:pStyle w:val="aa"/>
        <w:spacing w:after="180"/>
        <w:rPr>
          <w:rFonts w:hint="eastAsia"/>
        </w:rPr>
      </w:pPr>
      <w:r>
        <w:rPr>
          <w:rStyle w:val="a9"/>
        </w:rPr>
        <w:footnoteRef/>
      </w:r>
      <w:r>
        <w:t xml:space="preserve"> </w:t>
      </w:r>
      <w:r>
        <w:rPr>
          <w:rFonts w:hint="eastAsia"/>
        </w:rPr>
        <w:t>有關法國法上與英美法上與我國不當得利相類似之制度的中文文獻，詳見：王澤鑑，不當得利，頁</w:t>
      </w:r>
      <w:r>
        <w:rPr>
          <w:rFonts w:hint="eastAsia"/>
        </w:rPr>
        <w:t>9-10</w:t>
      </w:r>
      <w:r>
        <w:rPr>
          <w:rFonts w:hint="eastAsia"/>
        </w:rPr>
        <w:t>（法國法部分）、</w:t>
      </w:r>
      <w:r>
        <w:rPr>
          <w:rFonts w:hint="eastAsia"/>
        </w:rPr>
        <w:t>13-15</w:t>
      </w:r>
      <w:r>
        <w:rPr>
          <w:rFonts w:hint="eastAsia"/>
        </w:rPr>
        <w:t>（英美法部分）。</w:t>
      </w:r>
    </w:p>
  </w:footnote>
  <w:footnote w:id="24">
    <w:p w:rsidR="00000000" w:rsidRDefault="00724932">
      <w:pPr>
        <w:pStyle w:val="aa"/>
        <w:spacing w:after="180"/>
        <w:rPr>
          <w:rFonts w:hint="eastAsia"/>
        </w:rPr>
      </w:pPr>
      <w:r>
        <w:rPr>
          <w:rStyle w:val="a9"/>
        </w:rPr>
        <w:footnoteRef/>
      </w:r>
      <w:r>
        <w:t xml:space="preserve"> </w:t>
      </w:r>
      <w:r>
        <w:rPr>
          <w:rFonts w:hint="eastAsia"/>
        </w:rPr>
        <w:t>有關德國法制上之公法上不當得利，亦即「公法上返還請求權」</w:t>
      </w:r>
      <w:r>
        <w:t>的</w:t>
      </w:r>
      <w:r>
        <w:rPr>
          <w:rFonts w:hint="eastAsia"/>
        </w:rPr>
        <w:t>較新並一般性說明文獻，詳見：</w:t>
      </w:r>
      <w:r>
        <w:rPr>
          <w:rFonts w:hint="eastAsia"/>
          <w:i/>
        </w:rPr>
        <w:t>Detterbeck</w:t>
      </w:r>
      <w:r>
        <w:rPr>
          <w:rFonts w:hint="eastAsia"/>
        </w:rPr>
        <w:t xml:space="preserve">, in: Detterbeck/Windthorst/Sproll, Staatshaftungsrecht, </w:t>
      </w:r>
      <w:r>
        <w:t>§§ </w:t>
      </w:r>
      <w:r>
        <w:rPr>
          <w:rFonts w:hint="eastAsia"/>
        </w:rPr>
        <w:t>23</w:t>
      </w:r>
      <w:r>
        <w:t> </w:t>
      </w:r>
      <w:r>
        <w:rPr>
          <w:rFonts w:hint="eastAsia"/>
        </w:rPr>
        <w:t xml:space="preserve">ff.; </w:t>
      </w:r>
      <w:r>
        <w:rPr>
          <w:i/>
        </w:rPr>
        <w:t>M</w:t>
      </w:r>
      <w:r>
        <w:rPr>
          <w:rFonts w:hint="eastAsia"/>
          <w:i/>
        </w:rPr>
        <w:t>aurer</w:t>
      </w:r>
      <w:r>
        <w:rPr>
          <w:rFonts w:hint="eastAsia"/>
        </w:rPr>
        <w:t>, Allgemei</w:t>
      </w:r>
      <w:r>
        <w:softHyphen/>
      </w:r>
      <w:r>
        <w:rPr>
          <w:rFonts w:hint="eastAsia"/>
        </w:rPr>
        <w:t xml:space="preserve">nes Verwaltungsrecht, </w:t>
      </w:r>
      <w:r>
        <w:t>§ </w:t>
      </w:r>
      <w:r>
        <w:rPr>
          <w:rFonts w:hint="eastAsia"/>
        </w:rPr>
        <w:t xml:space="preserve">29 Rn. 20 ff.; </w:t>
      </w:r>
      <w:r>
        <w:rPr>
          <w:rFonts w:hint="eastAsia"/>
          <w:i/>
        </w:rPr>
        <w:t>Ossenb</w:t>
      </w:r>
      <w:r>
        <w:rPr>
          <w:i/>
        </w:rPr>
        <w:t>ü</w:t>
      </w:r>
      <w:r>
        <w:rPr>
          <w:rFonts w:hint="eastAsia"/>
          <w:i/>
        </w:rPr>
        <w:t>hl</w:t>
      </w:r>
      <w:r>
        <w:rPr>
          <w:rFonts w:hint="eastAsia"/>
        </w:rPr>
        <w:t xml:space="preserve">, Staatshaftungsrecht, S. 414 ff.; </w:t>
      </w:r>
      <w:r>
        <w:rPr>
          <w:rFonts w:hint="eastAsia"/>
          <w:i/>
        </w:rPr>
        <w:t>Schoch</w:t>
      </w:r>
      <w:r>
        <w:rPr>
          <w:rFonts w:hint="eastAsia"/>
        </w:rPr>
        <w:t xml:space="preserve">, Jura 1994, 82 ff.; </w:t>
      </w:r>
      <w:r>
        <w:rPr>
          <w:rFonts w:hint="eastAsia"/>
          <w:i/>
        </w:rPr>
        <w:t>Weber</w:t>
      </w:r>
      <w:r>
        <w:rPr>
          <w:rFonts w:hint="eastAsia"/>
        </w:rPr>
        <w:t>, JuS 1986, 29 ff.;</w:t>
      </w:r>
      <w:r>
        <w:t xml:space="preserve"> </w:t>
      </w:r>
      <w:r>
        <w:rPr>
          <w:rFonts w:hint="eastAsia"/>
          <w:i/>
        </w:rPr>
        <w:t>Windthorst</w:t>
      </w:r>
      <w:r>
        <w:rPr>
          <w:rFonts w:hint="eastAsia"/>
        </w:rPr>
        <w:t>, JuS 1996, 894 ff.</w:t>
      </w:r>
      <w:r>
        <w:rPr>
          <w:rFonts w:hint="eastAsia"/>
        </w:rPr>
        <w:t>；中文文獻，例見：林錫堯，公法上不當得利法理試探，收於：當代公法新論（下），頁</w:t>
      </w:r>
      <w:r>
        <w:rPr>
          <w:rFonts w:hint="eastAsia"/>
        </w:rPr>
        <w:t>267</w:t>
      </w:r>
      <w:r>
        <w:rPr>
          <w:rFonts w:hint="eastAsia"/>
        </w:rPr>
        <w:t>以下；陳敏，行政法總論，頁</w:t>
      </w:r>
      <w:r>
        <w:rPr>
          <w:rFonts w:hint="eastAsia"/>
        </w:rPr>
        <w:t>1181</w:t>
      </w:r>
      <w:r>
        <w:rPr>
          <w:rFonts w:hint="eastAsia"/>
        </w:rPr>
        <w:t>以下；詹震榮，行政機關之公法上不當得利返還請求權，法學講座</w:t>
      </w:r>
      <w:r>
        <w:rPr>
          <w:rFonts w:hint="eastAsia"/>
        </w:rPr>
        <w:t>23</w:t>
      </w:r>
      <w:r>
        <w:rPr>
          <w:rFonts w:hint="eastAsia"/>
        </w:rPr>
        <w:t>期，頁</w:t>
      </w:r>
      <w:r>
        <w:rPr>
          <w:rFonts w:hint="eastAsia"/>
        </w:rPr>
        <w:t>54</w:t>
      </w:r>
      <w:r>
        <w:rPr>
          <w:rFonts w:hint="eastAsia"/>
        </w:rPr>
        <w:t>以下。</w:t>
      </w:r>
    </w:p>
  </w:footnote>
  <w:footnote w:id="25">
    <w:p w:rsidR="00000000" w:rsidRDefault="00724932">
      <w:pPr>
        <w:pStyle w:val="aa"/>
        <w:spacing w:after="180"/>
        <w:rPr>
          <w:rFonts w:hint="eastAsia"/>
        </w:rPr>
      </w:pPr>
      <w:r>
        <w:rPr>
          <w:rStyle w:val="a9"/>
        </w:rPr>
        <w:footnoteRef/>
      </w:r>
      <w:r>
        <w:t xml:space="preserve"> </w:t>
      </w:r>
      <w:r>
        <w:rPr>
          <w:rFonts w:hint="eastAsia"/>
        </w:rPr>
        <w:t>「國家責任（</w:t>
      </w:r>
      <w:r>
        <w:rPr>
          <w:rFonts w:hint="eastAsia"/>
        </w:rPr>
        <w:t>Staatshaftung</w:t>
      </w:r>
      <w:r>
        <w:rPr>
          <w:rFonts w:hint="eastAsia"/>
        </w:rPr>
        <w:t>）」，在德國是一個概念輪廓非常模糊的</w:t>
      </w:r>
      <w:r>
        <w:rPr>
          <w:rFonts w:hint="eastAsia"/>
        </w:rPr>
        <w:t>法學術語（相關說明，</w:t>
      </w:r>
      <w:r>
        <w:t>例</w:t>
      </w:r>
      <w:r>
        <w:rPr>
          <w:rFonts w:hint="eastAsia"/>
        </w:rPr>
        <w:t>見：</w:t>
      </w:r>
      <w:r>
        <w:rPr>
          <w:rFonts w:hint="eastAsia"/>
          <w:i/>
        </w:rPr>
        <w:t>Windthorst</w:t>
      </w:r>
      <w:r>
        <w:rPr>
          <w:rFonts w:hint="eastAsia"/>
        </w:rPr>
        <w:t xml:space="preserve">, in: Detterbeck/Windthorst/Sproll, Staatshaftungsrecht, </w:t>
      </w:r>
      <w:r>
        <w:t>§ </w:t>
      </w:r>
      <w:r>
        <w:rPr>
          <w:rFonts w:hint="eastAsia"/>
        </w:rPr>
        <w:t>1 Rn. 1</w:t>
      </w:r>
      <w:r>
        <w:t> </w:t>
      </w:r>
      <w:r>
        <w:rPr>
          <w:rFonts w:hint="eastAsia"/>
        </w:rPr>
        <w:t>ff. [insb. 7 ff.]</w:t>
      </w:r>
      <w:r>
        <w:rPr>
          <w:rFonts w:hint="eastAsia"/>
        </w:rPr>
        <w:t>）；不過無論如何，公法上返還請求權可歸類於廣義的國家責任概念中，庶幾可以確定。此外，公法上返還請求權，在若干學者的見解中（</w:t>
      </w:r>
      <w:r>
        <w:rPr>
          <w:rFonts w:hint="eastAsia"/>
        </w:rPr>
        <w:t xml:space="preserve">so etwa </w:t>
      </w:r>
      <w:r>
        <w:rPr>
          <w:rFonts w:hint="eastAsia"/>
          <w:i/>
        </w:rPr>
        <w:t>Wolff/Bachof/Stober</w:t>
      </w:r>
      <w:r>
        <w:rPr>
          <w:rFonts w:hint="eastAsia"/>
        </w:rPr>
        <w:t xml:space="preserve">, Verwaltungsrecht, Bd. 2, </w:t>
      </w:r>
      <w:r>
        <w:t>§ </w:t>
      </w:r>
      <w:r>
        <w:rPr>
          <w:rFonts w:hint="eastAsia"/>
        </w:rPr>
        <w:t>55 Rn. 1</w:t>
      </w:r>
      <w:r>
        <w:t> </w:t>
      </w:r>
      <w:r>
        <w:rPr>
          <w:rFonts w:hint="eastAsia"/>
        </w:rPr>
        <w:t xml:space="preserve">ff. u. insb. </w:t>
      </w:r>
      <w:r>
        <w:rPr>
          <w:rFonts w:hint="eastAsia"/>
          <w:i/>
        </w:rPr>
        <w:t>Erichsen</w:t>
      </w:r>
      <w:r>
        <w:rPr>
          <w:rFonts w:hint="eastAsia"/>
        </w:rPr>
        <w:t xml:space="preserve">, </w:t>
      </w:r>
      <w:r>
        <w:rPr>
          <w:rFonts w:hint="eastAsia"/>
        </w:rPr>
        <w:t xml:space="preserve">in: Erichsen/Ehlers, Allgemeines Verwaltungsrecht, </w:t>
      </w:r>
      <w:r>
        <w:t>§ </w:t>
      </w:r>
      <w:r>
        <w:rPr>
          <w:rFonts w:hint="eastAsia"/>
        </w:rPr>
        <w:t>29, Rn. 3</w:t>
      </w:r>
      <w:r>
        <w:rPr>
          <w:rFonts w:hint="eastAsia"/>
        </w:rPr>
        <w:t>），亦有更細部地被分類於同屬廣義國家責任體系下的所謂「公法上債之關係（</w:t>
      </w:r>
      <w:r>
        <w:t>ö</w:t>
      </w:r>
      <w:r>
        <w:rPr>
          <w:rFonts w:hint="eastAsia"/>
        </w:rPr>
        <w:t>ffentlich-rechtliche Schludverh</w:t>
      </w:r>
      <w:r>
        <w:t>ä</w:t>
      </w:r>
      <w:r>
        <w:rPr>
          <w:rFonts w:hint="eastAsia"/>
        </w:rPr>
        <w:t>ltnisse</w:t>
      </w:r>
      <w:r>
        <w:rPr>
          <w:rFonts w:hint="eastAsia"/>
        </w:rPr>
        <w:t>）」或「行政法上債之關係（</w:t>
      </w:r>
      <w:r>
        <w:rPr>
          <w:rFonts w:hint="eastAsia"/>
        </w:rPr>
        <w:t>verwaltungsrechtliche Schuldverh</w:t>
      </w:r>
      <w:r>
        <w:t>ä</w:t>
      </w:r>
      <w:r>
        <w:rPr>
          <w:rFonts w:hint="eastAsia"/>
        </w:rPr>
        <w:t>ltnisse</w:t>
      </w:r>
      <w:r>
        <w:rPr>
          <w:rFonts w:hint="eastAsia"/>
        </w:rPr>
        <w:t>）」中。</w:t>
      </w:r>
    </w:p>
  </w:footnote>
  <w:footnote w:id="26">
    <w:p w:rsidR="00000000" w:rsidRDefault="00724932">
      <w:pPr>
        <w:pStyle w:val="aa"/>
        <w:spacing w:after="180"/>
        <w:rPr>
          <w:rFonts w:hint="eastAsia"/>
        </w:rPr>
      </w:pPr>
      <w:r>
        <w:rPr>
          <w:rStyle w:val="a9"/>
        </w:rPr>
        <w:footnoteRef/>
      </w:r>
      <w:r>
        <w:t xml:space="preserve"> </w:t>
      </w:r>
      <w:r>
        <w:rPr>
          <w:rFonts w:hint="eastAsia"/>
        </w:rPr>
        <w:t xml:space="preserve">So betont etwa </w:t>
      </w:r>
      <w:r>
        <w:rPr>
          <w:rFonts w:hint="eastAsia"/>
          <w:i/>
        </w:rPr>
        <w:t>Schoch</w:t>
      </w:r>
      <w:r>
        <w:rPr>
          <w:rFonts w:hint="eastAsia"/>
        </w:rPr>
        <w:t>, Jura 1994, 82.</w:t>
      </w:r>
    </w:p>
  </w:footnote>
  <w:footnote w:id="27">
    <w:p w:rsidR="00000000" w:rsidRDefault="00724932">
      <w:pPr>
        <w:pStyle w:val="aa"/>
        <w:spacing w:after="180"/>
        <w:rPr>
          <w:rFonts w:hint="eastAsia"/>
        </w:rPr>
      </w:pPr>
      <w:r>
        <w:rPr>
          <w:rStyle w:val="a9"/>
        </w:rPr>
        <w:footnoteRef/>
      </w:r>
      <w:r>
        <w:t xml:space="preserve"> </w:t>
      </w:r>
      <w:r>
        <w:rPr>
          <w:rFonts w:hint="eastAsia"/>
        </w:rPr>
        <w:t>鑑於公法上不當得利，德國法學現咸以「公</w:t>
      </w:r>
      <w:r>
        <w:rPr>
          <w:rFonts w:hint="eastAsia"/>
        </w:rPr>
        <w:t>法上返還請求權」相名，故本研究以下凡涉及德國法制之說明時，亦均稱為「公法上返還請求權」。</w:t>
      </w:r>
    </w:p>
  </w:footnote>
  <w:footnote w:id="28">
    <w:p w:rsidR="00000000" w:rsidRDefault="00724932">
      <w:pPr>
        <w:pStyle w:val="aa"/>
        <w:spacing w:after="180"/>
        <w:rPr>
          <w:rFonts w:hint="eastAsia"/>
        </w:rPr>
      </w:pPr>
      <w:r>
        <w:rPr>
          <w:rStyle w:val="a9"/>
        </w:rPr>
        <w:footnoteRef/>
      </w:r>
      <w:r>
        <w:t xml:space="preserve"> </w:t>
      </w:r>
      <w:r>
        <w:rPr>
          <w:rFonts w:hint="eastAsia"/>
        </w:rPr>
        <w:t xml:space="preserve">Vgl. dazu nur </w:t>
      </w:r>
      <w:r>
        <w:t>B</w:t>
      </w:r>
      <w:r>
        <w:rPr>
          <w:rFonts w:hint="eastAsia"/>
        </w:rPr>
        <w:t>VerwGE 25, 72 (81) und die grundlegende Entscheidung in BVerwGE 71, 85 (87 f.).</w:t>
      </w:r>
    </w:p>
  </w:footnote>
  <w:footnote w:id="29">
    <w:p w:rsidR="00000000" w:rsidRDefault="00724932">
      <w:pPr>
        <w:pStyle w:val="aa"/>
        <w:spacing w:after="180"/>
      </w:pPr>
      <w:r>
        <w:rPr>
          <w:rStyle w:val="a9"/>
        </w:rPr>
        <w:footnoteRef/>
      </w:r>
      <w:r>
        <w:t xml:space="preserve"> </w:t>
      </w:r>
      <w:r>
        <w:rPr>
          <w:rFonts w:hint="eastAsia"/>
        </w:rPr>
        <w:t>有關各種類型之公法上返還請求權的具體事例，詳見：</w:t>
      </w:r>
      <w:r>
        <w:rPr>
          <w:rFonts w:hint="eastAsia"/>
          <w:i/>
        </w:rPr>
        <w:t>Schoch</w:t>
      </w:r>
      <w:r>
        <w:rPr>
          <w:rFonts w:hint="eastAsia"/>
        </w:rPr>
        <w:t xml:space="preserve">, Jura 1994, 82 (85 f.); </w:t>
      </w:r>
      <w:r>
        <w:rPr>
          <w:rFonts w:hint="eastAsia"/>
          <w:i/>
        </w:rPr>
        <w:t>Windthorst</w:t>
      </w:r>
      <w:r>
        <w:rPr>
          <w:rFonts w:hint="eastAsia"/>
        </w:rPr>
        <w:t>, JuS 1996, 894 (895)</w:t>
      </w:r>
      <w:r>
        <w:t>。</w:t>
      </w:r>
    </w:p>
  </w:footnote>
  <w:footnote w:id="30">
    <w:p w:rsidR="00000000" w:rsidRDefault="00724932">
      <w:pPr>
        <w:pStyle w:val="aa"/>
        <w:spacing w:after="180"/>
        <w:rPr>
          <w:rFonts w:hint="eastAsia"/>
        </w:rPr>
      </w:pPr>
      <w:r>
        <w:rPr>
          <w:rStyle w:val="a9"/>
        </w:rPr>
        <w:footnoteRef/>
      </w:r>
      <w:r>
        <w:t xml:space="preserve"> S</w:t>
      </w:r>
      <w:r>
        <w:rPr>
          <w:rFonts w:hint="eastAsia"/>
        </w:rPr>
        <w:t>o bereits fr</w:t>
      </w:r>
      <w:r>
        <w:t>ü</w:t>
      </w:r>
      <w:r>
        <w:rPr>
          <w:rFonts w:hint="eastAsia"/>
        </w:rPr>
        <w:t xml:space="preserve">her </w:t>
      </w:r>
      <w:r>
        <w:rPr>
          <w:rFonts w:hint="eastAsia"/>
          <w:i/>
        </w:rPr>
        <w:t>Jell</w:t>
      </w:r>
      <w:r>
        <w:rPr>
          <w:rFonts w:hint="eastAsia"/>
          <w:i/>
        </w:rPr>
        <w:t>inek</w:t>
      </w:r>
      <w:r>
        <w:rPr>
          <w:rFonts w:hint="eastAsia"/>
        </w:rPr>
        <w:t>, Verwaltungsrecht, S. 239; nun s</w:t>
      </w:r>
      <w:r>
        <w:t>tatt</w:t>
      </w:r>
      <w:r>
        <w:rPr>
          <w:rFonts w:hint="eastAsia"/>
        </w:rPr>
        <w:t xml:space="preserve"> </w:t>
      </w:r>
      <w:r>
        <w:t>aller</w:t>
      </w:r>
      <w:r>
        <w:rPr>
          <w:rFonts w:hint="eastAsia"/>
        </w:rPr>
        <w:t xml:space="preserve"> BVerwGE 48, 279 (286); </w:t>
      </w:r>
      <w:r>
        <w:rPr>
          <w:rFonts w:hint="eastAsia"/>
          <w:i/>
        </w:rPr>
        <w:t>Detter</w:t>
      </w:r>
      <w:r>
        <w:rPr>
          <w:i/>
        </w:rPr>
        <w:softHyphen/>
      </w:r>
      <w:r>
        <w:rPr>
          <w:rFonts w:hint="eastAsia"/>
          <w:i/>
        </w:rPr>
        <w:t>beck</w:t>
      </w:r>
      <w:r>
        <w:rPr>
          <w:rFonts w:hint="eastAsia"/>
        </w:rPr>
        <w:t>, in: Detterbeck/Windthorst/Sproll, Staatshaftungs</w:t>
      </w:r>
      <w:r>
        <w:softHyphen/>
      </w:r>
      <w:r>
        <w:rPr>
          <w:rFonts w:hint="eastAsia"/>
        </w:rPr>
        <w:t xml:space="preserve">recht, </w:t>
      </w:r>
      <w:r>
        <w:t>§ </w:t>
      </w:r>
      <w:r>
        <w:rPr>
          <w:rFonts w:hint="eastAsia"/>
        </w:rPr>
        <w:t xml:space="preserve">23 Rn. 3. und insb. </w:t>
      </w:r>
      <w:r>
        <w:rPr>
          <w:rFonts w:hint="eastAsia"/>
          <w:i/>
        </w:rPr>
        <w:t>Erichsen</w:t>
      </w:r>
      <w:r>
        <w:rPr>
          <w:rFonts w:hint="eastAsia"/>
        </w:rPr>
        <w:t>, in: Eri</w:t>
      </w:r>
      <w:r>
        <w:softHyphen/>
      </w:r>
      <w:r>
        <w:rPr>
          <w:rFonts w:hint="eastAsia"/>
        </w:rPr>
        <w:t xml:space="preserve">chsen/Ehlers, Allgemeines Verwaltungsrecht, </w:t>
      </w:r>
      <w:r>
        <w:t>§ </w:t>
      </w:r>
      <w:r>
        <w:rPr>
          <w:rFonts w:hint="eastAsia"/>
        </w:rPr>
        <w:t>29, Rn. 25 m. w. Nachw.</w:t>
      </w:r>
    </w:p>
  </w:footnote>
  <w:footnote w:id="31">
    <w:p w:rsidR="00000000" w:rsidRDefault="00724932">
      <w:pPr>
        <w:pStyle w:val="aa"/>
        <w:spacing w:after="180"/>
        <w:rPr>
          <w:rFonts w:hint="eastAsia"/>
        </w:rPr>
      </w:pPr>
      <w:r>
        <w:rPr>
          <w:rStyle w:val="a9"/>
        </w:rPr>
        <w:footnoteRef/>
      </w:r>
      <w:r>
        <w:t xml:space="preserve"> </w:t>
      </w:r>
      <w:r>
        <w:rPr>
          <w:rFonts w:hint="eastAsia"/>
        </w:rPr>
        <w:t>Sieh</w:t>
      </w:r>
      <w:r>
        <w:rPr>
          <w:rFonts w:hint="eastAsia"/>
        </w:rPr>
        <w:t xml:space="preserve">e dazu nur </w:t>
      </w:r>
      <w:r>
        <w:rPr>
          <w:rFonts w:hint="eastAsia"/>
          <w:i/>
        </w:rPr>
        <w:t>Detterbeck</w:t>
      </w:r>
      <w:r>
        <w:rPr>
          <w:rFonts w:hint="eastAsia"/>
        </w:rPr>
        <w:t xml:space="preserve">, in: Detterbeck/Windthorst/Sproll, Staatshaftungsrecht, </w:t>
      </w:r>
      <w:r>
        <w:t>§ </w:t>
      </w:r>
      <w:r>
        <w:rPr>
          <w:rFonts w:hint="eastAsia"/>
        </w:rPr>
        <w:t>23 Rn. 3.</w:t>
      </w:r>
    </w:p>
  </w:footnote>
  <w:footnote w:id="32">
    <w:p w:rsidR="00000000" w:rsidRDefault="00724932">
      <w:pPr>
        <w:pStyle w:val="aa"/>
        <w:spacing w:after="180"/>
        <w:rPr>
          <w:rFonts w:hint="eastAsia"/>
        </w:rPr>
      </w:pPr>
      <w:r>
        <w:rPr>
          <w:rStyle w:val="a9"/>
        </w:rPr>
        <w:footnoteRef/>
      </w:r>
      <w:r>
        <w:t xml:space="preserve"> </w:t>
      </w:r>
      <w:r>
        <w:rPr>
          <w:rFonts w:hint="eastAsia"/>
        </w:rPr>
        <w:t xml:space="preserve">So betont z. B. </w:t>
      </w:r>
      <w:r>
        <w:rPr>
          <w:rFonts w:hint="eastAsia"/>
          <w:i/>
        </w:rPr>
        <w:t>Windthorst</w:t>
      </w:r>
      <w:r>
        <w:rPr>
          <w:rFonts w:hint="eastAsia"/>
        </w:rPr>
        <w:t>, JuS 1996, 894 (895).</w:t>
      </w:r>
    </w:p>
  </w:footnote>
  <w:footnote w:id="33">
    <w:p w:rsidR="00000000" w:rsidRDefault="00724932">
      <w:pPr>
        <w:pStyle w:val="aa"/>
        <w:spacing w:after="180"/>
        <w:rPr>
          <w:rFonts w:hint="eastAsia"/>
        </w:rPr>
      </w:pPr>
      <w:r>
        <w:rPr>
          <w:rStyle w:val="a9"/>
        </w:rPr>
        <w:footnoteRef/>
      </w:r>
      <w:r>
        <w:t xml:space="preserve"> </w:t>
      </w:r>
      <w:r>
        <w:rPr>
          <w:rFonts w:hint="eastAsia"/>
        </w:rPr>
        <w:t xml:space="preserve">So bereits </w:t>
      </w:r>
      <w:r>
        <w:rPr>
          <w:rFonts w:hint="eastAsia"/>
          <w:i/>
        </w:rPr>
        <w:t>Lassar</w:t>
      </w:r>
      <w:r>
        <w:rPr>
          <w:rFonts w:hint="eastAsia"/>
        </w:rPr>
        <w:t>, Der Erstattungsanspruch im Verwaltungs- und Finanzrecht, 1921 u. dazu n</w:t>
      </w:r>
      <w:r>
        <w:t>ä</w:t>
      </w:r>
      <w:r>
        <w:rPr>
          <w:rFonts w:hint="eastAsia"/>
        </w:rPr>
        <w:t xml:space="preserve">her </w:t>
      </w:r>
      <w:r>
        <w:rPr>
          <w:rFonts w:hint="eastAsia"/>
          <w:i/>
          <w:iCs/>
          <w:spacing w:val="-2"/>
          <w:lang w:val="de-DE"/>
        </w:rPr>
        <w:t>Lorenz</w:t>
      </w:r>
      <w:r>
        <w:rPr>
          <w:rFonts w:hint="eastAsia"/>
          <w:iCs/>
          <w:spacing w:val="-2"/>
          <w:lang w:val="de-DE"/>
        </w:rPr>
        <w:t xml:space="preserve">, </w:t>
      </w:r>
      <w:r>
        <w:rPr>
          <w:rFonts w:hint="eastAsia"/>
          <w:spacing w:val="-2"/>
          <w:lang w:val="de-DE"/>
        </w:rPr>
        <w:t>Verbindung</w:t>
      </w:r>
      <w:r>
        <w:rPr>
          <w:rFonts w:hint="eastAsia"/>
          <w:spacing w:val="-2"/>
          <w:lang w:val="de-DE"/>
        </w:rPr>
        <w:t xml:space="preserve">slinien zwischen </w:t>
      </w:r>
      <w:r>
        <w:rPr>
          <w:spacing w:val="-2"/>
          <w:lang w:val="de-DE"/>
        </w:rPr>
        <w:t>ö</w:t>
      </w:r>
      <w:r>
        <w:rPr>
          <w:rFonts w:hint="eastAsia"/>
          <w:spacing w:val="-2"/>
          <w:lang w:val="de-DE"/>
        </w:rPr>
        <w:t>ffentlichrechtlichem Erstattungsanspruch und zivilrecht</w:t>
      </w:r>
      <w:r>
        <w:softHyphen/>
      </w:r>
      <w:r>
        <w:rPr>
          <w:rFonts w:hint="eastAsia"/>
          <w:spacing w:val="-2"/>
          <w:lang w:val="de-DE"/>
        </w:rPr>
        <w:t>lichem Be</w:t>
      </w:r>
      <w:r>
        <w:softHyphen/>
      </w:r>
      <w:r>
        <w:rPr>
          <w:rFonts w:hint="eastAsia"/>
          <w:spacing w:val="-2"/>
          <w:lang w:val="de-DE"/>
        </w:rPr>
        <w:t>reicherungsausgleich, in: Badura/Scholz (Hrsg.),</w:t>
      </w:r>
      <w:r>
        <w:rPr>
          <w:rFonts w:hint="eastAsia"/>
          <w:lang w:val="de-DE"/>
        </w:rPr>
        <w:t xml:space="preserve"> FS Lerche</w:t>
      </w:r>
      <w:r>
        <w:rPr>
          <w:rFonts w:hint="eastAsia"/>
        </w:rPr>
        <w:t>, 1993, S. 929 f.</w:t>
      </w:r>
    </w:p>
  </w:footnote>
  <w:footnote w:id="34">
    <w:p w:rsidR="00000000" w:rsidRDefault="00724932">
      <w:pPr>
        <w:pStyle w:val="aa"/>
        <w:spacing w:after="180"/>
        <w:rPr>
          <w:rFonts w:hint="eastAsia"/>
        </w:rPr>
      </w:pPr>
      <w:r>
        <w:rPr>
          <w:rStyle w:val="a9"/>
        </w:rPr>
        <w:footnoteRef/>
      </w:r>
      <w:r>
        <w:t xml:space="preserve"> </w:t>
      </w:r>
      <w:r>
        <w:rPr>
          <w:rFonts w:hint="eastAsia"/>
        </w:rPr>
        <w:t>有關德國各邦行政程序法中與聯邦行政程序法第四十九條之一相對應、且內容上差異不大的規定，詳見：</w:t>
      </w:r>
      <w:r>
        <w:rPr>
          <w:rFonts w:hint="eastAsia"/>
          <w:i/>
        </w:rPr>
        <w:t>Selkens/Bonk/Sachs</w:t>
      </w:r>
      <w:r>
        <w:rPr>
          <w:rFonts w:hint="eastAsia"/>
        </w:rPr>
        <w:t>, VwVfG, Landesverwaltungsverf</w:t>
      </w:r>
      <w:r>
        <w:rPr>
          <w:rFonts w:hint="eastAsia"/>
        </w:rPr>
        <w:t>ahrensgesetze (S. 2529 ff.)</w:t>
      </w:r>
      <w:r>
        <w:rPr>
          <w:rFonts w:hint="eastAsia"/>
        </w:rPr>
        <w:t>。</w:t>
      </w:r>
    </w:p>
  </w:footnote>
  <w:footnote w:id="35">
    <w:p w:rsidR="00000000" w:rsidRDefault="00724932">
      <w:pPr>
        <w:pStyle w:val="aa"/>
        <w:spacing w:after="180"/>
        <w:rPr>
          <w:rFonts w:hint="eastAsia"/>
        </w:rPr>
      </w:pPr>
      <w:r>
        <w:rPr>
          <w:rStyle w:val="a9"/>
        </w:rPr>
        <w:footnoteRef/>
      </w:r>
      <w:r>
        <w:t xml:space="preserve"> </w:t>
      </w:r>
      <w:r>
        <w:rPr>
          <w:rFonts w:hint="eastAsia"/>
        </w:rPr>
        <w:t>有關各種公務員法中的特殊公法上返還請求權規定，詳見本章下文第二節貳、二之說明。</w:t>
      </w:r>
    </w:p>
  </w:footnote>
  <w:footnote w:id="36">
    <w:p w:rsidR="00000000" w:rsidRDefault="00724932">
      <w:pPr>
        <w:pStyle w:val="aa"/>
        <w:spacing w:after="180"/>
        <w:rPr>
          <w:rFonts w:hint="eastAsia"/>
        </w:rPr>
      </w:pPr>
      <w:r>
        <w:rPr>
          <w:rStyle w:val="a9"/>
        </w:rPr>
        <w:footnoteRef/>
      </w:r>
      <w:r>
        <w:t xml:space="preserve"> </w:t>
      </w:r>
      <w:r>
        <w:rPr>
          <w:rFonts w:hint="eastAsia"/>
        </w:rPr>
        <w:t>有關前開各種特殊公法上返還請求權的一般說明性論述，詳見：</w:t>
      </w:r>
      <w:r>
        <w:rPr>
          <w:rFonts w:hint="eastAsia"/>
          <w:i/>
        </w:rPr>
        <w:t>Ossenb</w:t>
      </w:r>
      <w:r>
        <w:rPr>
          <w:i/>
        </w:rPr>
        <w:t>ü</w:t>
      </w:r>
      <w:r>
        <w:rPr>
          <w:rFonts w:hint="eastAsia"/>
          <w:i/>
        </w:rPr>
        <w:t>hl</w:t>
      </w:r>
      <w:r>
        <w:rPr>
          <w:rFonts w:hint="eastAsia"/>
        </w:rPr>
        <w:t>, Staatshaftungsrecht, S. 419 ff.</w:t>
      </w:r>
      <w:r>
        <w:t>;</w:t>
      </w:r>
      <w:r>
        <w:rPr>
          <w:rFonts w:hint="eastAsia"/>
        </w:rPr>
        <w:t xml:space="preserve"> </w:t>
      </w:r>
      <w:r>
        <w:rPr>
          <w:rFonts w:hint="eastAsia"/>
          <w:i/>
        </w:rPr>
        <w:t>Weber</w:t>
      </w:r>
      <w:r>
        <w:rPr>
          <w:rFonts w:hint="eastAsia"/>
        </w:rPr>
        <w:t>, JuS 1986, 29 (31 ff.).</w:t>
      </w:r>
    </w:p>
  </w:footnote>
  <w:footnote w:id="37">
    <w:p w:rsidR="00000000" w:rsidRDefault="00724932">
      <w:pPr>
        <w:pStyle w:val="aa"/>
        <w:spacing w:after="180"/>
        <w:rPr>
          <w:rFonts w:hint="eastAsia"/>
        </w:rPr>
      </w:pPr>
      <w:r>
        <w:rPr>
          <w:rStyle w:val="a9"/>
        </w:rPr>
        <w:footnoteRef/>
      </w:r>
      <w:r>
        <w:t xml:space="preserve"> </w:t>
      </w:r>
      <w:r>
        <w:rPr>
          <w:rFonts w:hint="eastAsia"/>
        </w:rPr>
        <w:t xml:space="preserve">Statt aller BVerwGE 71, 85 (87 f.); </w:t>
      </w:r>
      <w:r>
        <w:rPr>
          <w:rFonts w:hint="eastAsia"/>
          <w:i/>
        </w:rPr>
        <w:t>Detterbeck</w:t>
      </w:r>
      <w:r>
        <w:rPr>
          <w:rFonts w:hint="eastAsia"/>
        </w:rPr>
        <w:t>, in: Detterbeck/Windthorst/Sprol</w:t>
      </w:r>
      <w:r>
        <w:rPr>
          <w:rFonts w:hint="eastAsia"/>
        </w:rPr>
        <w:t>l, Staatshaftungs</w:t>
      </w:r>
      <w:r>
        <w:softHyphen/>
      </w:r>
      <w:r>
        <w:rPr>
          <w:rFonts w:hint="eastAsia"/>
        </w:rPr>
        <w:t xml:space="preserve">recht, </w:t>
      </w:r>
      <w:r>
        <w:t>§ </w:t>
      </w:r>
      <w:r>
        <w:rPr>
          <w:rFonts w:hint="eastAsia"/>
        </w:rPr>
        <w:t>26 Rn. 1 f.</w:t>
      </w:r>
      <w:r>
        <w:t>;</w:t>
      </w:r>
      <w:r>
        <w:rPr>
          <w:rFonts w:hint="eastAsia"/>
        </w:rPr>
        <w:t xml:space="preserve"> </w:t>
      </w:r>
      <w:r>
        <w:rPr>
          <w:rFonts w:hint="eastAsia"/>
          <w:i/>
        </w:rPr>
        <w:t>Schoch</w:t>
      </w:r>
      <w:r>
        <w:rPr>
          <w:rFonts w:hint="eastAsia"/>
        </w:rPr>
        <w:t>, Jura 1994, 82 (84).</w:t>
      </w:r>
    </w:p>
  </w:footnote>
  <w:footnote w:id="38">
    <w:p w:rsidR="00000000" w:rsidRDefault="00724932">
      <w:pPr>
        <w:pStyle w:val="aa"/>
        <w:spacing w:after="180"/>
        <w:rPr>
          <w:rFonts w:hint="eastAsia"/>
        </w:rPr>
      </w:pPr>
      <w:r>
        <w:rPr>
          <w:rStyle w:val="a9"/>
        </w:rPr>
        <w:footnoteRef/>
      </w:r>
      <w:r>
        <w:t xml:space="preserve"> </w:t>
      </w:r>
      <w:r>
        <w:rPr>
          <w:rFonts w:hint="eastAsia"/>
        </w:rPr>
        <w:t xml:space="preserve">So exemplarisch </w:t>
      </w:r>
      <w:r>
        <w:rPr>
          <w:rFonts w:hint="eastAsia"/>
          <w:i/>
        </w:rPr>
        <w:t>Detterbeck</w:t>
      </w:r>
      <w:r>
        <w:rPr>
          <w:rFonts w:hint="eastAsia"/>
        </w:rPr>
        <w:t xml:space="preserve">, in: Detterbeck/Windthorst/Sproll, Staatshaftungsrecht, </w:t>
      </w:r>
      <w:r>
        <w:t>§§ </w:t>
      </w:r>
      <w:r>
        <w:rPr>
          <w:rFonts w:hint="eastAsia"/>
        </w:rPr>
        <w:t>23 ff.</w:t>
      </w:r>
      <w:r>
        <w:t>;</w:t>
      </w:r>
      <w:r>
        <w:rPr>
          <w:rFonts w:hint="eastAsia"/>
        </w:rPr>
        <w:t xml:space="preserve"> </w:t>
      </w:r>
      <w:r>
        <w:rPr>
          <w:rFonts w:hint="eastAsia"/>
          <w:i/>
        </w:rPr>
        <w:t>Mau</w:t>
      </w:r>
      <w:r>
        <w:rPr>
          <w:i/>
        </w:rPr>
        <w:softHyphen/>
      </w:r>
      <w:r>
        <w:rPr>
          <w:rFonts w:hint="eastAsia"/>
          <w:i/>
        </w:rPr>
        <w:t>rer</w:t>
      </w:r>
      <w:r>
        <w:rPr>
          <w:rFonts w:hint="eastAsia"/>
        </w:rPr>
        <w:t>, Allgemeines Verwaltungs</w:t>
      </w:r>
      <w:r>
        <w:softHyphen/>
      </w:r>
      <w:r>
        <w:rPr>
          <w:rFonts w:hint="eastAsia"/>
        </w:rPr>
        <w:t xml:space="preserve">recht, </w:t>
      </w:r>
      <w:r>
        <w:t>§ </w:t>
      </w:r>
      <w:r>
        <w:rPr>
          <w:rFonts w:hint="eastAsia"/>
        </w:rPr>
        <w:t xml:space="preserve">29 Rn. 20 ff.; </w:t>
      </w:r>
      <w:r>
        <w:rPr>
          <w:rFonts w:hint="eastAsia"/>
          <w:i/>
        </w:rPr>
        <w:t>Schoch</w:t>
      </w:r>
      <w:r>
        <w:rPr>
          <w:rFonts w:hint="eastAsia"/>
        </w:rPr>
        <w:t>, Jura 1994, 82</w:t>
      </w:r>
      <w:r>
        <w:t> </w:t>
      </w:r>
      <w:r>
        <w:rPr>
          <w:rFonts w:hint="eastAsia"/>
        </w:rPr>
        <w:t xml:space="preserve">ff.; </w:t>
      </w:r>
      <w:r>
        <w:rPr>
          <w:rFonts w:hint="eastAsia"/>
          <w:i/>
        </w:rPr>
        <w:t>Weber</w:t>
      </w:r>
      <w:r>
        <w:rPr>
          <w:rFonts w:hint="eastAsia"/>
        </w:rPr>
        <w:t>, J</w:t>
      </w:r>
      <w:r>
        <w:rPr>
          <w:rFonts w:hint="eastAsia"/>
        </w:rPr>
        <w:t>uS 1986, 29 ff.;</w:t>
      </w:r>
      <w:r>
        <w:t xml:space="preserve"> </w:t>
      </w:r>
      <w:r>
        <w:rPr>
          <w:rFonts w:hint="eastAsia"/>
          <w:i/>
        </w:rPr>
        <w:t>Windthorst</w:t>
      </w:r>
      <w:r>
        <w:rPr>
          <w:rFonts w:hint="eastAsia"/>
        </w:rPr>
        <w:t>, JuS 1996, 894 ff.</w:t>
      </w:r>
    </w:p>
  </w:footnote>
  <w:footnote w:id="39">
    <w:p w:rsidR="00000000" w:rsidRDefault="00724932">
      <w:pPr>
        <w:pStyle w:val="aa"/>
        <w:spacing w:after="180"/>
        <w:rPr>
          <w:rFonts w:hint="eastAsia"/>
        </w:rPr>
      </w:pPr>
      <w:r>
        <w:rPr>
          <w:rStyle w:val="a9"/>
        </w:rPr>
        <w:footnoteRef/>
      </w:r>
      <w:r>
        <w:t xml:space="preserve"> </w:t>
      </w:r>
      <w:r>
        <w:rPr>
          <w:rFonts w:hint="eastAsia"/>
          <w:i/>
        </w:rPr>
        <w:t>Forsthoff</w:t>
      </w:r>
      <w:r>
        <w:rPr>
          <w:rFonts w:hint="eastAsia"/>
        </w:rPr>
        <w:t>, Lehrbuch des Verwaltungsrechts, S. 175.</w:t>
      </w:r>
    </w:p>
  </w:footnote>
  <w:footnote w:id="40">
    <w:p w:rsidR="00000000" w:rsidRDefault="00724932">
      <w:pPr>
        <w:pStyle w:val="aa"/>
        <w:spacing w:after="180"/>
        <w:rPr>
          <w:rFonts w:hint="eastAsia"/>
        </w:rPr>
      </w:pPr>
      <w:r>
        <w:rPr>
          <w:rStyle w:val="a9"/>
        </w:rPr>
        <w:footnoteRef/>
      </w:r>
      <w:r>
        <w:t xml:space="preserve"> </w:t>
      </w:r>
      <w:r>
        <w:rPr>
          <w:rFonts w:hint="eastAsia"/>
        </w:rPr>
        <w:t>So etwa BVerwGE 20, 295 (297); 71, 85 (90).</w:t>
      </w:r>
    </w:p>
  </w:footnote>
  <w:footnote w:id="41">
    <w:p w:rsidR="00000000" w:rsidRDefault="00724932">
      <w:pPr>
        <w:pStyle w:val="aa"/>
        <w:spacing w:after="180"/>
        <w:rPr>
          <w:rFonts w:hint="eastAsia"/>
        </w:rPr>
      </w:pPr>
      <w:r>
        <w:rPr>
          <w:rStyle w:val="a9"/>
        </w:rPr>
        <w:footnoteRef/>
      </w:r>
      <w:r>
        <w:t xml:space="preserve"> </w:t>
      </w:r>
      <w:r>
        <w:rPr>
          <w:rFonts w:hint="eastAsia"/>
        </w:rPr>
        <w:t xml:space="preserve">Vgl. dazu nur </w:t>
      </w:r>
      <w:r>
        <w:rPr>
          <w:rFonts w:hint="eastAsia"/>
          <w:i/>
        </w:rPr>
        <w:t>Detterbeck</w:t>
      </w:r>
      <w:r>
        <w:rPr>
          <w:rFonts w:hint="eastAsia"/>
        </w:rPr>
        <w:t xml:space="preserve">, in: Detterbeck/Windthorst/Sproll, Staatshaftungsrecht, </w:t>
      </w:r>
      <w:r>
        <w:t>§ </w:t>
      </w:r>
      <w:r>
        <w:rPr>
          <w:rFonts w:hint="eastAsia"/>
        </w:rPr>
        <w:t xml:space="preserve">23 Rn. 3 mit Fn. 9 m. w. </w:t>
      </w:r>
      <w:r>
        <w:rPr>
          <w:rFonts w:hint="eastAsia"/>
        </w:rPr>
        <w:t>Nachw.</w:t>
      </w:r>
    </w:p>
  </w:footnote>
  <w:footnote w:id="42">
    <w:p w:rsidR="00000000" w:rsidRDefault="00724932">
      <w:pPr>
        <w:pStyle w:val="aa"/>
        <w:spacing w:after="180"/>
        <w:rPr>
          <w:rFonts w:hint="eastAsia"/>
        </w:rPr>
      </w:pPr>
      <w:r>
        <w:rPr>
          <w:rStyle w:val="a9"/>
        </w:rPr>
        <w:footnoteRef/>
      </w:r>
      <w:r>
        <w:t xml:space="preserve"> </w:t>
      </w:r>
      <w:r>
        <w:rPr>
          <w:rFonts w:hint="eastAsia"/>
        </w:rPr>
        <w:t xml:space="preserve">Vgl. zuletzt etwa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1993, S. 929 ff.</w:t>
      </w:r>
    </w:p>
  </w:footnote>
  <w:footnote w:id="43">
    <w:p w:rsidR="00000000" w:rsidRDefault="00724932">
      <w:pPr>
        <w:pStyle w:val="aa"/>
        <w:spacing w:after="180"/>
        <w:rPr>
          <w:rFonts w:hint="eastAsia"/>
        </w:rPr>
      </w:pPr>
      <w:r>
        <w:rPr>
          <w:rStyle w:val="a9"/>
        </w:rPr>
        <w:footnoteRef/>
      </w:r>
      <w:r>
        <w:t xml:space="preserve"> </w:t>
      </w:r>
      <w:r>
        <w:rPr>
          <w:rFonts w:hint="eastAsia"/>
        </w:rPr>
        <w:t>有關我國民法與德國民法中不當得利之規定的比較，</w:t>
      </w:r>
      <w:r>
        <w:rPr>
          <w:rFonts w:hint="eastAsia"/>
          <w:color w:val="000000"/>
        </w:rPr>
        <w:t>參見本節所附「</w:t>
      </w:r>
      <w:r>
        <w:rPr>
          <w:rFonts w:hint="eastAsia"/>
          <w:kern w:val="0"/>
        </w:rPr>
        <w:t>我國與德國民法上不當得利規定對照表」</w:t>
      </w:r>
      <w:r>
        <w:rPr>
          <w:rFonts w:hint="eastAsia"/>
          <w:color w:val="000000"/>
        </w:rPr>
        <w:t>。</w:t>
      </w:r>
    </w:p>
  </w:footnote>
  <w:footnote w:id="44">
    <w:p w:rsidR="00000000" w:rsidRDefault="00724932">
      <w:pPr>
        <w:pStyle w:val="aa"/>
        <w:spacing w:after="180"/>
        <w:rPr>
          <w:rFonts w:hint="eastAsia"/>
        </w:rPr>
      </w:pPr>
      <w:r>
        <w:rPr>
          <w:rStyle w:val="a9"/>
        </w:rPr>
        <w:footnoteRef/>
      </w:r>
      <w:r>
        <w:t xml:space="preserve"> </w:t>
      </w:r>
      <w:r>
        <w:rPr>
          <w:rFonts w:hint="eastAsia"/>
        </w:rPr>
        <w:t xml:space="preserve">So betont etwa </w:t>
      </w:r>
      <w:r>
        <w:rPr>
          <w:rFonts w:hint="eastAsia"/>
          <w:i/>
        </w:rPr>
        <w:t>Schnellenbach</w:t>
      </w:r>
      <w:r>
        <w:rPr>
          <w:rFonts w:hint="eastAsia"/>
        </w:rPr>
        <w:t>, Beamtenrecht in der Praxis, Rn. 704 in bezug auf das Beamtenrecht.</w:t>
      </w:r>
    </w:p>
  </w:footnote>
  <w:footnote w:id="45">
    <w:p w:rsidR="00000000" w:rsidRDefault="00724932">
      <w:pPr>
        <w:pStyle w:val="aa"/>
        <w:spacing w:after="180"/>
        <w:rPr>
          <w:rFonts w:hint="eastAsia"/>
        </w:rPr>
      </w:pPr>
      <w:r>
        <w:rPr>
          <w:rStyle w:val="a9"/>
        </w:rPr>
        <w:footnoteRef/>
      </w:r>
      <w:r>
        <w:t xml:space="preserve"> </w:t>
      </w:r>
      <w:r>
        <w:rPr>
          <w:rFonts w:hint="eastAsia"/>
        </w:rPr>
        <w:t xml:space="preserve">Dazu vgl.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w:t>
      </w:r>
      <w:r>
        <w:rPr>
          <w:rFonts w:hint="eastAsia"/>
        </w:rPr>
        <w:t>3, S. 929 (933 </w:t>
      </w:r>
      <w:r>
        <w:t>f</w:t>
      </w:r>
      <w:r>
        <w:rPr>
          <w:rFonts w:hint="eastAsia"/>
        </w:rPr>
        <w:t xml:space="preserve">f.); </w:t>
      </w:r>
      <w:r>
        <w:rPr>
          <w:rFonts w:hint="eastAsia"/>
          <w:i/>
        </w:rPr>
        <w:t>Ossenb</w:t>
      </w:r>
      <w:r>
        <w:rPr>
          <w:i/>
        </w:rPr>
        <w:t>ü</w:t>
      </w:r>
      <w:r>
        <w:rPr>
          <w:rFonts w:hint="eastAsia"/>
          <w:i/>
        </w:rPr>
        <w:t>hl</w:t>
      </w:r>
      <w:r>
        <w:rPr>
          <w:rFonts w:hint="eastAsia"/>
        </w:rPr>
        <w:t xml:space="preserve">, Staatshaftungsrecht, S. 428 f.; </w:t>
      </w:r>
      <w:r>
        <w:rPr>
          <w:rFonts w:hint="eastAsia"/>
          <w:i/>
        </w:rPr>
        <w:t>Schoch</w:t>
      </w:r>
      <w:r>
        <w:rPr>
          <w:rFonts w:hint="eastAsia"/>
        </w:rPr>
        <w:t xml:space="preserve">, Jura 1994, 82 (86); </w:t>
      </w:r>
      <w:r>
        <w:rPr>
          <w:rFonts w:hint="eastAsia"/>
          <w:i/>
        </w:rPr>
        <w:t>Weber</w:t>
      </w:r>
      <w:r>
        <w:rPr>
          <w:rFonts w:hint="eastAsia"/>
        </w:rPr>
        <w:t>, JuS 1986, 29 (30 f.).</w:t>
      </w:r>
    </w:p>
  </w:footnote>
  <w:footnote w:id="46">
    <w:p w:rsidR="00000000" w:rsidRDefault="00724932">
      <w:pPr>
        <w:pStyle w:val="aa"/>
        <w:spacing w:after="180"/>
        <w:rPr>
          <w:rFonts w:hint="eastAsia"/>
        </w:rPr>
      </w:pPr>
      <w:r>
        <w:rPr>
          <w:rStyle w:val="a9"/>
        </w:rPr>
        <w:footnoteRef/>
      </w:r>
      <w:r>
        <w:t xml:space="preserve"> </w:t>
      </w:r>
      <w:r>
        <w:rPr>
          <w:rFonts w:hint="eastAsia"/>
        </w:rPr>
        <w:t xml:space="preserve">Dazu vgl. </w:t>
      </w:r>
      <w:r>
        <w:rPr>
          <w:rFonts w:hint="eastAsia"/>
          <w:i/>
        </w:rPr>
        <w:t>Detterbeck</w:t>
      </w:r>
      <w:r>
        <w:rPr>
          <w:rFonts w:hint="eastAsia"/>
        </w:rPr>
        <w:t xml:space="preserve">, in: Detterbeck/Windthorst/Sproll, Staatshaftungsrecht, </w:t>
      </w:r>
      <w:r>
        <w:t>§ </w:t>
      </w:r>
      <w:r>
        <w:rPr>
          <w:rFonts w:hint="eastAsia"/>
        </w:rPr>
        <w:t xml:space="preserve">24 Rn. 1 ff.;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1993, S. 929 (936</w:t>
      </w:r>
      <w:r>
        <w:rPr>
          <w:rFonts w:hint="eastAsia"/>
        </w:rPr>
        <w:t> ff.).</w:t>
      </w:r>
    </w:p>
  </w:footnote>
  <w:footnote w:id="47">
    <w:p w:rsidR="00000000" w:rsidRDefault="00724932">
      <w:pPr>
        <w:pStyle w:val="aa"/>
        <w:spacing w:after="180"/>
        <w:rPr>
          <w:rFonts w:hint="eastAsia"/>
          <w:lang w:val="de-DE"/>
        </w:rPr>
      </w:pPr>
      <w:r>
        <w:rPr>
          <w:rStyle w:val="a9"/>
        </w:rPr>
        <w:footnoteRef/>
      </w:r>
      <w:r>
        <w:t xml:space="preserve"> </w:t>
      </w:r>
      <w:r>
        <w:rPr>
          <w:rFonts w:hint="eastAsia"/>
        </w:rPr>
        <w:t>有關民法上「非給付不當得利」與「三人關係（或稱：三角關係）之不當給付」問題的德文文獻，例見：</w:t>
      </w:r>
      <w:r>
        <w:rPr>
          <w:rFonts w:hint="eastAsia"/>
          <w:i/>
        </w:rPr>
        <w:t>Larenz/Canaris</w:t>
      </w:r>
      <w:r>
        <w:rPr>
          <w:rFonts w:hint="eastAsia"/>
        </w:rPr>
        <w:t xml:space="preserve">, </w:t>
      </w:r>
      <w:r>
        <w:rPr>
          <w:rFonts w:hint="eastAsia"/>
          <w:lang w:val="de-DE"/>
        </w:rPr>
        <w:t>Lehrbuch des Schuldrechts, Bd. II/2, S. 129 ff.</w:t>
      </w:r>
      <w:r>
        <w:rPr>
          <w:rFonts w:hint="eastAsia"/>
          <w:lang w:val="de-DE"/>
        </w:rPr>
        <w:t>（「統一說」與「非統一說」問題）</w:t>
      </w:r>
      <w:r>
        <w:rPr>
          <w:rFonts w:hint="eastAsia"/>
          <w:lang w:val="de-DE"/>
        </w:rPr>
        <w:t>;</w:t>
      </w:r>
      <w:r>
        <w:t xml:space="preserve"> </w:t>
      </w:r>
      <w:r>
        <w:rPr>
          <w:rFonts w:hint="eastAsia"/>
        </w:rPr>
        <w:t>167</w:t>
      </w:r>
      <w:r>
        <w:t> </w:t>
      </w:r>
      <w:r>
        <w:rPr>
          <w:rFonts w:hint="eastAsia"/>
        </w:rPr>
        <w:t>ff.</w:t>
      </w:r>
      <w:r>
        <w:rPr>
          <w:rFonts w:hint="eastAsia"/>
          <w:lang w:val="de-DE"/>
        </w:rPr>
        <w:t>（</w:t>
      </w:r>
      <w:r>
        <w:rPr>
          <w:rFonts w:hint="eastAsia"/>
        </w:rPr>
        <w:t>非給付不當得利</w:t>
      </w:r>
      <w:r>
        <w:rPr>
          <w:rFonts w:hint="eastAsia"/>
          <w:lang w:val="de-DE"/>
        </w:rPr>
        <w:t>）</w:t>
      </w:r>
      <w:r>
        <w:rPr>
          <w:rFonts w:hint="eastAsia"/>
        </w:rPr>
        <w:t>; 197 ff.</w:t>
      </w:r>
      <w:r>
        <w:rPr>
          <w:rFonts w:hint="eastAsia"/>
          <w:lang w:val="de-DE"/>
        </w:rPr>
        <w:t>（</w:t>
      </w:r>
      <w:r>
        <w:rPr>
          <w:rFonts w:hint="eastAsia"/>
        </w:rPr>
        <w:t>三人關係之不當給付</w:t>
      </w:r>
      <w:r>
        <w:rPr>
          <w:rFonts w:hint="eastAsia"/>
          <w:lang w:val="de-DE"/>
        </w:rPr>
        <w:t>）</w:t>
      </w:r>
      <w:r>
        <w:t>；</w:t>
      </w:r>
      <w:r>
        <w:rPr>
          <w:rFonts w:hint="eastAsia"/>
        </w:rPr>
        <w:t>中文文獻</w:t>
      </w:r>
      <w:r>
        <w:rPr>
          <w:rFonts w:hint="eastAsia"/>
          <w:lang w:val="de-DE"/>
        </w:rPr>
        <w:t>，</w:t>
      </w:r>
      <w:r>
        <w:rPr>
          <w:rFonts w:hint="eastAsia"/>
        </w:rPr>
        <w:t>詳見</w:t>
      </w:r>
      <w:r>
        <w:rPr>
          <w:rFonts w:hint="eastAsia"/>
          <w:lang w:val="de-DE"/>
        </w:rPr>
        <w:t>：</w:t>
      </w:r>
      <w:r>
        <w:rPr>
          <w:rFonts w:hint="eastAsia"/>
        </w:rPr>
        <w:t>王澤鑑</w:t>
      </w:r>
      <w:r>
        <w:rPr>
          <w:rFonts w:hint="eastAsia"/>
          <w:lang w:val="de-DE"/>
        </w:rPr>
        <w:t>，</w:t>
      </w:r>
      <w:r>
        <w:rPr>
          <w:rFonts w:hint="eastAsia"/>
        </w:rPr>
        <w:t>不當得利</w:t>
      </w:r>
      <w:r>
        <w:rPr>
          <w:rFonts w:hint="eastAsia"/>
          <w:lang w:val="de-DE"/>
        </w:rPr>
        <w:t>，</w:t>
      </w:r>
      <w:r>
        <w:rPr>
          <w:rFonts w:hint="eastAsia"/>
        </w:rPr>
        <w:t>頁</w:t>
      </w:r>
      <w:r>
        <w:rPr>
          <w:rFonts w:hint="eastAsia"/>
        </w:rPr>
        <w:t>28</w:t>
      </w:r>
      <w:r>
        <w:rPr>
          <w:rFonts w:hint="eastAsia"/>
        </w:rPr>
        <w:t>以下</w:t>
      </w:r>
      <w:r>
        <w:rPr>
          <w:rFonts w:hint="eastAsia"/>
          <w:lang w:val="de-DE"/>
        </w:rPr>
        <w:t>（「統一說」與「非統一說」問題）、</w:t>
      </w:r>
      <w:r>
        <w:rPr>
          <w:rFonts w:hint="eastAsia"/>
        </w:rPr>
        <w:t>頁</w:t>
      </w:r>
      <w:r>
        <w:rPr>
          <w:rFonts w:hint="eastAsia"/>
          <w:lang w:val="de-DE"/>
        </w:rPr>
        <w:t>89</w:t>
      </w:r>
      <w:r>
        <w:rPr>
          <w:rFonts w:hint="eastAsia"/>
        </w:rPr>
        <w:t>以下</w:t>
      </w:r>
      <w:r>
        <w:rPr>
          <w:rFonts w:hint="eastAsia"/>
          <w:lang w:val="de-DE"/>
        </w:rPr>
        <w:t>（</w:t>
      </w:r>
      <w:r>
        <w:rPr>
          <w:rFonts w:hint="eastAsia"/>
        </w:rPr>
        <w:t>三人關係之不當給付</w:t>
      </w:r>
      <w:r>
        <w:rPr>
          <w:rFonts w:hint="eastAsia"/>
          <w:lang w:val="de-DE"/>
        </w:rPr>
        <w:t>）</w:t>
      </w:r>
      <w:r>
        <w:rPr>
          <w:rFonts w:hint="eastAsia"/>
        </w:rPr>
        <w:t>及頁</w:t>
      </w:r>
      <w:r>
        <w:rPr>
          <w:rFonts w:hint="eastAsia"/>
          <w:lang w:val="de-DE"/>
        </w:rPr>
        <w:t>161</w:t>
      </w:r>
      <w:r>
        <w:rPr>
          <w:rFonts w:hint="eastAsia"/>
        </w:rPr>
        <w:t>以下</w:t>
      </w:r>
      <w:r>
        <w:rPr>
          <w:rFonts w:hint="eastAsia"/>
          <w:lang w:val="de-DE"/>
        </w:rPr>
        <w:t>（</w:t>
      </w:r>
      <w:r>
        <w:rPr>
          <w:rFonts w:hint="eastAsia"/>
        </w:rPr>
        <w:t>非給付不當得利</w:t>
      </w:r>
      <w:r>
        <w:rPr>
          <w:rFonts w:hint="eastAsia"/>
          <w:lang w:val="de-DE"/>
        </w:rPr>
        <w:t>）</w:t>
      </w:r>
      <w:r>
        <w:rPr>
          <w:rFonts w:hint="eastAsia"/>
        </w:rPr>
        <w:t>。</w:t>
      </w:r>
    </w:p>
  </w:footnote>
  <w:footnote w:id="48">
    <w:p w:rsidR="00000000" w:rsidRDefault="00724932">
      <w:pPr>
        <w:pStyle w:val="aa"/>
        <w:spacing w:after="180"/>
        <w:rPr>
          <w:rFonts w:hint="eastAsia"/>
        </w:rPr>
      </w:pPr>
      <w:r>
        <w:rPr>
          <w:rStyle w:val="a9"/>
        </w:rPr>
        <w:footnoteRef/>
      </w:r>
      <w:r>
        <w:t xml:space="preserve"> </w:t>
      </w:r>
      <w:r>
        <w:rPr>
          <w:rFonts w:hint="eastAsia"/>
        </w:rPr>
        <w:t>In diesem Sinne d</w:t>
      </w:r>
      <w:r>
        <w:rPr>
          <w:rFonts w:hint="eastAsia"/>
        </w:rPr>
        <w:t xml:space="preserve">enn auch </w:t>
      </w:r>
      <w:r>
        <w:rPr>
          <w:rFonts w:hint="eastAsia"/>
          <w:i/>
        </w:rPr>
        <w:t>Detterbeck</w:t>
      </w:r>
      <w:r>
        <w:rPr>
          <w:rFonts w:hint="eastAsia"/>
        </w:rPr>
        <w:t xml:space="preserve">, in: Detterbeck/Windthorst/Sproll, Staatshaftungsrecht, </w:t>
      </w:r>
      <w:r>
        <w:t>§ </w:t>
      </w:r>
      <w:r>
        <w:rPr>
          <w:rFonts w:hint="eastAsia"/>
        </w:rPr>
        <w:t xml:space="preserve">25 Rn. 1; </w:t>
      </w:r>
      <w:r>
        <w:rPr>
          <w:rFonts w:hint="eastAsia"/>
          <w:i/>
        </w:rPr>
        <w:t>Ossenb</w:t>
      </w:r>
      <w:r>
        <w:rPr>
          <w:i/>
        </w:rPr>
        <w:t>ü</w:t>
      </w:r>
      <w:r>
        <w:rPr>
          <w:rFonts w:hint="eastAsia"/>
          <w:i/>
        </w:rPr>
        <w:t>hl</w:t>
      </w:r>
      <w:r>
        <w:rPr>
          <w:rFonts w:hint="eastAsia"/>
        </w:rPr>
        <w:t xml:space="preserve">, Staatshaftungsrecht, S. 423; </w:t>
      </w:r>
      <w:r>
        <w:rPr>
          <w:rFonts w:hint="eastAsia"/>
          <w:i/>
        </w:rPr>
        <w:t>Schoch</w:t>
      </w:r>
      <w:r>
        <w:rPr>
          <w:rFonts w:hint="eastAsia"/>
        </w:rPr>
        <w:t>, Jura 1994, 82 (86).</w:t>
      </w:r>
    </w:p>
  </w:footnote>
  <w:footnote w:id="49">
    <w:p w:rsidR="00000000" w:rsidRDefault="00724932">
      <w:pPr>
        <w:pStyle w:val="aa"/>
        <w:spacing w:after="180"/>
        <w:rPr>
          <w:rFonts w:hint="eastAsia"/>
        </w:rPr>
      </w:pPr>
      <w:r>
        <w:rPr>
          <w:rStyle w:val="a9"/>
        </w:rPr>
        <w:footnoteRef/>
      </w:r>
      <w:r>
        <w:t xml:space="preserve"> </w:t>
      </w:r>
      <w:r>
        <w:rPr>
          <w:rFonts w:hint="eastAsia"/>
        </w:rPr>
        <w:t>同前註</w:t>
      </w:r>
      <w:r>
        <w:rPr>
          <w:rFonts w:hint="eastAsia"/>
        </w:rPr>
        <w:t>40</w:t>
      </w:r>
      <w:r>
        <w:rPr>
          <w:rFonts w:hint="eastAsia"/>
        </w:rPr>
        <w:t>。</w:t>
      </w:r>
    </w:p>
  </w:footnote>
  <w:footnote w:id="50">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25 Rn. 1</w:t>
      </w:r>
      <w:r>
        <w:rPr>
          <w:rFonts w:hint="eastAsia"/>
        </w:rPr>
        <w:t>0 ff. m. w. Nachw.</w:t>
      </w:r>
    </w:p>
  </w:footnote>
  <w:footnote w:id="51">
    <w:p w:rsidR="00000000" w:rsidRDefault="00724932">
      <w:pPr>
        <w:pStyle w:val="aa"/>
        <w:spacing w:after="180"/>
        <w:rPr>
          <w:rFonts w:hint="eastAsia"/>
        </w:rPr>
      </w:pPr>
      <w:r>
        <w:rPr>
          <w:rStyle w:val="a9"/>
        </w:rPr>
        <w:footnoteRef/>
      </w:r>
      <w:r>
        <w:t xml:space="preserve"> </w:t>
      </w:r>
      <w:r>
        <w:rPr>
          <w:rFonts w:hint="eastAsia"/>
        </w:rPr>
        <w:t xml:space="preserve">Vgl. dazu nur </w:t>
      </w:r>
      <w:r>
        <w:rPr>
          <w:rFonts w:hint="eastAsia"/>
          <w:i/>
        </w:rPr>
        <w:t>Detterbeck</w:t>
      </w:r>
      <w:r>
        <w:rPr>
          <w:rFonts w:hint="eastAsia"/>
        </w:rPr>
        <w:t xml:space="preserve">, in: Detterbeck/Windthorst/Sproll, Staatshaftungsrecht, </w:t>
      </w:r>
      <w:r>
        <w:t>§ </w:t>
      </w:r>
      <w:r>
        <w:rPr>
          <w:rFonts w:hint="eastAsia"/>
        </w:rPr>
        <w:t>25 Rn. 2 ff.</w:t>
      </w:r>
    </w:p>
  </w:footnote>
  <w:footnote w:id="52">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23 Rn. 4;</w:t>
      </w:r>
      <w:r>
        <w:rPr>
          <w:rFonts w:hint="eastAsia"/>
          <w:i/>
        </w:rPr>
        <w:t xml:space="preserve"> Schoch</w:t>
      </w:r>
      <w:r>
        <w:rPr>
          <w:rFonts w:hint="eastAsia"/>
        </w:rPr>
        <w:t>, Jura 1994, 82 (85).</w:t>
      </w:r>
    </w:p>
  </w:footnote>
  <w:footnote w:id="53">
    <w:p w:rsidR="00000000" w:rsidRDefault="00724932">
      <w:pPr>
        <w:pStyle w:val="aa"/>
        <w:spacing w:after="180"/>
        <w:rPr>
          <w:rFonts w:hint="eastAsia"/>
        </w:rPr>
      </w:pPr>
      <w:r>
        <w:rPr>
          <w:rStyle w:val="a9"/>
        </w:rPr>
        <w:footnoteRef/>
      </w:r>
      <w:r>
        <w:t xml:space="preserve"> </w:t>
      </w:r>
      <w:r>
        <w:rPr>
          <w:rFonts w:hint="eastAsia"/>
          <w:i/>
        </w:rPr>
        <w:t>Maurer</w:t>
      </w:r>
      <w:r>
        <w:rPr>
          <w:rFonts w:hint="eastAsia"/>
        </w:rPr>
        <w:t>, Allgemei</w:t>
      </w:r>
      <w:r>
        <w:rPr>
          <w:rFonts w:hint="eastAsia"/>
        </w:rPr>
        <w:t xml:space="preserve">nes Verwaltungsrecht, </w:t>
      </w:r>
      <w:r>
        <w:t>§ </w:t>
      </w:r>
      <w:r>
        <w:rPr>
          <w:rFonts w:hint="eastAsia"/>
        </w:rPr>
        <w:t>29 Rn. 22.</w:t>
      </w:r>
    </w:p>
  </w:footnote>
  <w:footnote w:id="54">
    <w:p w:rsidR="00000000" w:rsidRDefault="00724932">
      <w:pPr>
        <w:pStyle w:val="aa"/>
        <w:spacing w:after="180"/>
        <w:rPr>
          <w:rFonts w:hint="eastAsia"/>
        </w:rPr>
      </w:pPr>
      <w:r>
        <w:rPr>
          <w:rStyle w:val="a9"/>
        </w:rPr>
        <w:footnoteRef/>
      </w:r>
      <w:r>
        <w:t xml:space="preserve"> </w:t>
      </w:r>
      <w:r>
        <w:rPr>
          <w:rFonts w:hint="eastAsia"/>
        </w:rPr>
        <w:t>詳見本章前節貳之說明。</w:t>
      </w:r>
    </w:p>
  </w:footnote>
  <w:footnote w:id="55">
    <w:p w:rsidR="00000000" w:rsidRDefault="00724932">
      <w:pPr>
        <w:pStyle w:val="aa"/>
        <w:spacing w:after="180"/>
        <w:rPr>
          <w:rFonts w:hint="eastAsia"/>
        </w:rPr>
      </w:pPr>
      <w:r>
        <w:rPr>
          <w:rStyle w:val="a9"/>
        </w:rPr>
        <w:footnoteRef/>
      </w:r>
      <w:r>
        <w:t xml:space="preserve"> </w:t>
      </w:r>
      <w:r>
        <w:rPr>
          <w:rFonts w:hint="eastAsia"/>
        </w:rPr>
        <w:t>有關德國公務人員法制中特殊公法上返還請求權規定也一併排除聯邦行政程序法第四十九條之一與各邦行政程序法中相對應之規定之適用的原因，詳見本節下文貳、二之說明。</w:t>
      </w:r>
    </w:p>
  </w:footnote>
  <w:footnote w:id="56">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BVerwGE 25, 72 (76); 71, 85 (88); </w:t>
      </w:r>
      <w:r>
        <w:rPr>
          <w:rFonts w:hint="eastAsia"/>
          <w:i/>
        </w:rPr>
        <w:t>Schoch</w:t>
      </w:r>
      <w:r>
        <w:rPr>
          <w:rFonts w:hint="eastAsia"/>
        </w:rPr>
        <w:t xml:space="preserve">, Jura 1994, 82 (84 f.) und insb. </w:t>
      </w:r>
      <w:r>
        <w:rPr>
          <w:rFonts w:hint="eastAsia"/>
          <w:i/>
        </w:rPr>
        <w:t>Ossenb</w:t>
      </w:r>
      <w:r>
        <w:rPr>
          <w:i/>
        </w:rPr>
        <w:t>ü</w:t>
      </w:r>
      <w:r>
        <w:rPr>
          <w:rFonts w:hint="eastAsia"/>
          <w:i/>
        </w:rPr>
        <w:t>hl</w:t>
      </w:r>
      <w:r>
        <w:rPr>
          <w:rFonts w:hint="eastAsia"/>
        </w:rPr>
        <w:t>, Staatshaftungsrecht, S. 422 m. w. Nachw.</w:t>
      </w:r>
    </w:p>
  </w:footnote>
  <w:footnote w:id="57">
    <w:p w:rsidR="00000000" w:rsidRDefault="00724932">
      <w:pPr>
        <w:pStyle w:val="aa"/>
        <w:spacing w:after="180"/>
        <w:rPr>
          <w:rFonts w:hint="eastAsia"/>
        </w:rPr>
      </w:pPr>
      <w:r>
        <w:rPr>
          <w:rStyle w:val="a9"/>
        </w:rPr>
        <w:footnoteRef/>
      </w:r>
      <w:r>
        <w:t xml:space="preserve"> </w:t>
      </w:r>
      <w:r>
        <w:rPr>
          <w:rFonts w:hint="eastAsia"/>
        </w:rPr>
        <w:t>有關一般公法上返還請求權，甚至包含特殊公法上</w:t>
      </w:r>
      <w:r>
        <w:rPr>
          <w:rFonts w:hint="eastAsia"/>
        </w:rPr>
        <w:t>返還請求權在內的一切公法上返還請求權與憲法上依法行政原則的關係，詳見本章前節、壹。</w:t>
      </w:r>
    </w:p>
  </w:footnote>
  <w:footnote w:id="58">
    <w:p w:rsidR="00000000" w:rsidRDefault="00724932">
      <w:pPr>
        <w:pStyle w:val="aa"/>
        <w:spacing w:after="180"/>
        <w:rPr>
          <w:rFonts w:hint="eastAsia"/>
        </w:rPr>
      </w:pPr>
      <w:r>
        <w:rPr>
          <w:rStyle w:val="a9"/>
        </w:rPr>
        <w:footnoteRef/>
      </w:r>
      <w:r>
        <w:t xml:space="preserve"> </w:t>
      </w:r>
      <w:r>
        <w:rPr>
          <w:rFonts w:hint="eastAsia"/>
        </w:rPr>
        <w:t>關於一般公法上返還請求權的歷史性文獻，參見：</w:t>
      </w:r>
      <w:r>
        <w:rPr>
          <w:rFonts w:hint="eastAsia"/>
          <w:i/>
        </w:rPr>
        <w:t>Ossenb</w:t>
      </w:r>
      <w:r>
        <w:rPr>
          <w:i/>
        </w:rPr>
        <w:t>ü</w:t>
      </w:r>
      <w:r>
        <w:rPr>
          <w:rFonts w:hint="eastAsia"/>
          <w:i/>
        </w:rPr>
        <w:t>hl</w:t>
      </w:r>
      <w:r>
        <w:rPr>
          <w:rFonts w:hint="eastAsia"/>
        </w:rPr>
        <w:t>, Staatshaftungsrecht, S. 422, Fn. 10</w:t>
      </w:r>
      <w:r>
        <w:rPr>
          <w:rFonts w:hint="eastAsia"/>
        </w:rPr>
        <w:t>所列。</w:t>
      </w:r>
    </w:p>
  </w:footnote>
  <w:footnote w:id="59">
    <w:p w:rsidR="00000000" w:rsidRDefault="00724932">
      <w:pPr>
        <w:pStyle w:val="aa"/>
        <w:spacing w:after="180"/>
        <w:rPr>
          <w:rFonts w:hint="eastAsia"/>
        </w:rPr>
      </w:pPr>
      <w:r>
        <w:rPr>
          <w:rStyle w:val="a9"/>
        </w:rPr>
        <w:footnoteRef/>
      </w:r>
      <w:r>
        <w:t xml:space="preserve"> </w:t>
      </w:r>
      <w:r>
        <w:rPr>
          <w:rFonts w:hint="eastAsia"/>
        </w:rPr>
        <w:t>詳見本章前節參之說明。</w:t>
      </w:r>
    </w:p>
  </w:footnote>
  <w:footnote w:id="60">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 xml:space="preserve">24 Rn. </w:t>
      </w:r>
      <w:r>
        <w:t>1 </w:t>
      </w:r>
      <w:r>
        <w:rPr>
          <w:rFonts w:hint="eastAsia"/>
        </w:rPr>
        <w:t>ff.;</w:t>
      </w:r>
      <w:r>
        <w:rPr>
          <w:rFonts w:hint="eastAsia"/>
          <w:i/>
        </w:rPr>
        <w:t xml:space="preserve"> Schoch</w:t>
      </w:r>
      <w:r>
        <w:rPr>
          <w:rFonts w:hint="eastAsia"/>
        </w:rPr>
        <w:t>, Jura 1994, 82 (86 f.)</w:t>
      </w:r>
      <w:r>
        <w:t xml:space="preserve"> </w:t>
      </w:r>
      <w:r>
        <w:rPr>
          <w:rFonts w:hint="eastAsia"/>
        </w:rPr>
        <w:t xml:space="preserve">; </w:t>
      </w:r>
      <w:r>
        <w:rPr>
          <w:rFonts w:hint="eastAsia"/>
          <w:i/>
        </w:rPr>
        <w:t>Windthorst</w:t>
      </w:r>
      <w:r>
        <w:rPr>
          <w:rFonts w:hint="eastAsia"/>
        </w:rPr>
        <w:t>, JuS 1996, 894 (897 f.) jeweils m. w. Nachw.</w:t>
      </w:r>
    </w:p>
  </w:footnote>
  <w:footnote w:id="61">
    <w:p w:rsidR="00000000" w:rsidRDefault="00724932">
      <w:pPr>
        <w:pStyle w:val="aa"/>
        <w:spacing w:after="180"/>
        <w:rPr>
          <w:rFonts w:hint="eastAsia"/>
        </w:rPr>
      </w:pPr>
      <w:r>
        <w:rPr>
          <w:rStyle w:val="a9"/>
        </w:rPr>
        <w:footnoteRef/>
      </w:r>
      <w:r>
        <w:t xml:space="preserve"> </w:t>
      </w:r>
      <w:r>
        <w:rPr>
          <w:rFonts w:hint="eastAsia"/>
        </w:rPr>
        <w:t>相關中文文獻，例見：林錫堯，公法上不當得利法理試探，收於：當代公法新論（下），頁</w:t>
      </w:r>
      <w:r>
        <w:rPr>
          <w:rFonts w:hint="eastAsia"/>
        </w:rPr>
        <w:t>269-275</w:t>
      </w:r>
      <w:r>
        <w:rPr>
          <w:rFonts w:hint="eastAsia"/>
        </w:rPr>
        <w:t>；陳敏，行政法總論，頁</w:t>
      </w:r>
      <w:r>
        <w:rPr>
          <w:rFonts w:hint="eastAsia"/>
        </w:rPr>
        <w:t>1182-1184</w:t>
      </w:r>
      <w:r>
        <w:rPr>
          <w:rFonts w:hint="eastAsia"/>
        </w:rPr>
        <w:t>；詹震榮，行政機關之公法上不當得利返還請求權，法學講座</w:t>
      </w:r>
      <w:r>
        <w:rPr>
          <w:rFonts w:hint="eastAsia"/>
        </w:rPr>
        <w:t>23</w:t>
      </w:r>
      <w:r>
        <w:rPr>
          <w:rFonts w:hint="eastAsia"/>
        </w:rPr>
        <w:t>期，頁</w:t>
      </w:r>
      <w:r>
        <w:rPr>
          <w:rFonts w:hint="eastAsia"/>
        </w:rPr>
        <w:t>55-56</w:t>
      </w:r>
      <w:r>
        <w:rPr>
          <w:rFonts w:hint="eastAsia"/>
        </w:rPr>
        <w:t>、</w:t>
      </w:r>
      <w:r>
        <w:rPr>
          <w:rFonts w:hint="eastAsia"/>
        </w:rPr>
        <w:t>58-59</w:t>
      </w:r>
      <w:r>
        <w:rPr>
          <w:rFonts w:hint="eastAsia"/>
        </w:rPr>
        <w:t>。</w:t>
      </w:r>
    </w:p>
  </w:footnote>
  <w:footnote w:id="62">
    <w:p w:rsidR="00000000" w:rsidRDefault="00724932">
      <w:pPr>
        <w:pStyle w:val="aa"/>
        <w:spacing w:after="180"/>
        <w:rPr>
          <w:rFonts w:hint="eastAsia"/>
        </w:rPr>
      </w:pPr>
      <w:r>
        <w:rPr>
          <w:rStyle w:val="a9"/>
        </w:rPr>
        <w:footnoteRef/>
      </w:r>
      <w:r>
        <w:t xml:space="preserve"> </w:t>
      </w:r>
      <w:r>
        <w:rPr>
          <w:rFonts w:hint="eastAsia"/>
        </w:rPr>
        <w:t xml:space="preserve">So insb. </w:t>
      </w:r>
      <w:r>
        <w:rPr>
          <w:rFonts w:hint="eastAsia"/>
          <w:i/>
        </w:rPr>
        <w:t>Detterbeck</w:t>
      </w:r>
      <w:r>
        <w:rPr>
          <w:rFonts w:hint="eastAsia"/>
        </w:rPr>
        <w:t xml:space="preserve">, in: Detterbeck/Windthorst/Sproll, Staatshaftungsrecht, </w:t>
      </w:r>
      <w:r>
        <w:t>§ </w:t>
      </w:r>
      <w:r>
        <w:rPr>
          <w:rFonts w:hint="eastAsia"/>
        </w:rPr>
        <w:t xml:space="preserve">25 </w:t>
      </w:r>
      <w:r>
        <w:rPr>
          <w:rFonts w:hint="eastAsia"/>
        </w:rPr>
        <w:t xml:space="preserve">Rn. </w:t>
      </w:r>
      <w:r>
        <w:t>1 </w:t>
      </w:r>
      <w:r>
        <w:rPr>
          <w:rFonts w:hint="eastAsia"/>
        </w:rPr>
        <w:t>ff.;</w:t>
      </w:r>
      <w:r>
        <w:rPr>
          <w:rFonts w:hint="eastAsia"/>
          <w:i/>
        </w:rPr>
        <w:t xml:space="preserve"> Schoch</w:t>
      </w:r>
      <w:r>
        <w:rPr>
          <w:rFonts w:hint="eastAsia"/>
        </w:rPr>
        <w:t xml:space="preserve">, Jura 1994, 82 (88); </w:t>
      </w:r>
      <w:r>
        <w:rPr>
          <w:rFonts w:hint="eastAsia"/>
          <w:i/>
        </w:rPr>
        <w:t>Windthorst</w:t>
      </w:r>
      <w:r>
        <w:rPr>
          <w:rFonts w:hint="eastAsia"/>
        </w:rPr>
        <w:t>, JuS 1996, 894 (898 f.).</w:t>
      </w:r>
    </w:p>
  </w:footnote>
  <w:footnote w:id="63">
    <w:p w:rsidR="00000000" w:rsidRDefault="00724932">
      <w:pPr>
        <w:pStyle w:val="aa"/>
        <w:spacing w:after="180"/>
        <w:rPr>
          <w:rFonts w:hint="eastAsia"/>
        </w:rPr>
      </w:pPr>
      <w:r>
        <w:rPr>
          <w:rStyle w:val="a9"/>
        </w:rPr>
        <w:footnoteRef/>
      </w:r>
      <w:r>
        <w:t xml:space="preserve"> </w:t>
      </w:r>
      <w:r>
        <w:rPr>
          <w:rFonts w:hint="eastAsia"/>
        </w:rPr>
        <w:t>相關中文文獻，參見：林錫堯，公法上不當得利法理試探，收於：當代公法新論（下），頁</w:t>
      </w:r>
      <w:r>
        <w:rPr>
          <w:rFonts w:hint="eastAsia"/>
        </w:rPr>
        <w:t>276-281</w:t>
      </w:r>
      <w:r>
        <w:rPr>
          <w:rFonts w:hint="eastAsia"/>
        </w:rPr>
        <w:t>。</w:t>
      </w:r>
    </w:p>
  </w:footnote>
  <w:footnote w:id="64">
    <w:p w:rsidR="00000000" w:rsidRDefault="00724932">
      <w:pPr>
        <w:pStyle w:val="aa"/>
        <w:spacing w:after="180"/>
        <w:rPr>
          <w:rFonts w:hint="eastAsia"/>
        </w:rPr>
      </w:pPr>
      <w:r>
        <w:rPr>
          <w:rStyle w:val="a9"/>
        </w:rPr>
        <w:footnoteRef/>
      </w:r>
      <w:r>
        <w:t xml:space="preserve"> </w:t>
      </w:r>
      <w:r>
        <w:rPr>
          <w:rFonts w:hint="eastAsia"/>
        </w:rPr>
        <w:t>有關民法上不當得利返還標的之中文文獻，參見：王澤鑑，不當得利，頁</w:t>
      </w:r>
      <w:r>
        <w:rPr>
          <w:rFonts w:hint="eastAsia"/>
        </w:rPr>
        <w:t>234</w:t>
      </w:r>
      <w:r>
        <w:rPr>
          <w:rFonts w:hint="eastAsia"/>
        </w:rPr>
        <w:t>以下。</w:t>
      </w:r>
    </w:p>
  </w:footnote>
  <w:footnote w:id="65">
    <w:p w:rsidR="00000000" w:rsidRDefault="00724932">
      <w:pPr>
        <w:pStyle w:val="aa"/>
        <w:spacing w:after="180"/>
        <w:rPr>
          <w:rFonts w:hint="eastAsia"/>
        </w:rPr>
      </w:pPr>
      <w:r>
        <w:rPr>
          <w:rStyle w:val="a9"/>
        </w:rPr>
        <w:footnoteRef/>
      </w:r>
      <w:r>
        <w:t xml:space="preserve"> </w:t>
      </w:r>
      <w:r>
        <w:rPr>
          <w:rFonts w:hint="eastAsia"/>
        </w:rPr>
        <w:t xml:space="preserve">Zur ganzen Problematik vgl. nur </w:t>
      </w:r>
      <w:r>
        <w:rPr>
          <w:rFonts w:hint="eastAsia"/>
          <w:i/>
        </w:rPr>
        <w:t>Detterbeck</w:t>
      </w:r>
      <w:r>
        <w:rPr>
          <w:rFonts w:hint="eastAsia"/>
        </w:rPr>
        <w:t>, in: Detterbeck/Windthorst/Sproll, Staatshaf</w:t>
      </w:r>
      <w:r>
        <w:rPr>
          <w:rFonts w:hint="eastAsia"/>
        </w:rPr>
        <w:t xml:space="preserve">tungsrecht, </w:t>
      </w:r>
      <w:r>
        <w:t>§ </w:t>
      </w:r>
      <w:r>
        <w:rPr>
          <w:rFonts w:hint="eastAsia"/>
        </w:rPr>
        <w:t>25 Rn. 3</w:t>
      </w:r>
      <w:r>
        <w:t> </w:t>
      </w:r>
      <w:r>
        <w:rPr>
          <w:rFonts w:hint="eastAsia"/>
        </w:rPr>
        <w:t xml:space="preserve">ff.; </w:t>
      </w:r>
      <w:r>
        <w:rPr>
          <w:rFonts w:hint="eastAsia"/>
          <w:i/>
        </w:rPr>
        <w:t>Ossenb</w:t>
      </w:r>
      <w:r>
        <w:rPr>
          <w:i/>
        </w:rPr>
        <w:t>ü</w:t>
      </w:r>
      <w:r>
        <w:rPr>
          <w:rFonts w:hint="eastAsia"/>
          <w:i/>
        </w:rPr>
        <w:t>hl</w:t>
      </w:r>
      <w:r>
        <w:rPr>
          <w:rFonts w:hint="eastAsia"/>
        </w:rPr>
        <w:t>, Staatshaftungsrecht, S. 432</w:t>
      </w:r>
      <w:r>
        <w:t>;</w:t>
      </w:r>
      <w:r>
        <w:rPr>
          <w:rFonts w:hint="eastAsia"/>
        </w:rPr>
        <w:t xml:space="preserve"> </w:t>
      </w:r>
      <w:r>
        <w:rPr>
          <w:rFonts w:hint="eastAsia"/>
          <w:i/>
        </w:rPr>
        <w:t>Weber</w:t>
      </w:r>
      <w:r>
        <w:rPr>
          <w:rFonts w:hint="eastAsia"/>
        </w:rPr>
        <w:t>, JuS 1986, 29 (35) m.w. Nachw.</w:t>
      </w:r>
    </w:p>
  </w:footnote>
  <w:footnote w:id="66">
    <w:p w:rsidR="00000000" w:rsidRDefault="00724932">
      <w:pPr>
        <w:pStyle w:val="aa"/>
        <w:spacing w:after="180"/>
        <w:rPr>
          <w:rFonts w:hint="eastAsia"/>
        </w:rPr>
      </w:pPr>
      <w:r>
        <w:rPr>
          <w:rStyle w:val="a9"/>
        </w:rPr>
        <w:footnoteRef/>
      </w:r>
      <w:r>
        <w:t xml:space="preserve"> </w:t>
      </w:r>
      <w:r>
        <w:rPr>
          <w:rFonts w:hint="eastAsia"/>
        </w:rPr>
        <w:t>詳見本章前文第一節、參之說明。</w:t>
      </w:r>
    </w:p>
  </w:footnote>
  <w:footnote w:id="67">
    <w:p w:rsidR="00000000" w:rsidRDefault="00724932">
      <w:pPr>
        <w:pStyle w:val="aa"/>
        <w:spacing w:after="180"/>
        <w:rPr>
          <w:rFonts w:hint="eastAsia"/>
        </w:rPr>
      </w:pPr>
      <w:r>
        <w:rPr>
          <w:rStyle w:val="a9"/>
        </w:rPr>
        <w:footnoteRef/>
      </w:r>
      <w:r>
        <w:t xml:space="preserve"> </w:t>
      </w:r>
      <w:r>
        <w:rPr>
          <w:rFonts w:hint="eastAsia"/>
        </w:rPr>
        <w:t xml:space="preserve">Vgl. hierzu nur </w:t>
      </w:r>
      <w:r>
        <w:rPr>
          <w:rFonts w:hint="eastAsia"/>
          <w:i/>
        </w:rPr>
        <w:t>Detterbeck</w:t>
      </w:r>
      <w:r>
        <w:rPr>
          <w:rFonts w:hint="eastAsia"/>
        </w:rPr>
        <w:t xml:space="preserve">, in: Detterbeck/Windthorst/Sproll, Staatshaftungsrecht, </w:t>
      </w:r>
      <w:r>
        <w:t>§ </w:t>
      </w:r>
      <w:r>
        <w:rPr>
          <w:rFonts w:hint="eastAsia"/>
        </w:rPr>
        <w:t>25 Rn. 23</w:t>
      </w:r>
      <w:r>
        <w:t> </w:t>
      </w:r>
      <w:r>
        <w:rPr>
          <w:rFonts w:hint="eastAsia"/>
        </w:rPr>
        <w:t>f.;</w:t>
      </w:r>
      <w:r>
        <w:rPr>
          <w:rFonts w:hint="eastAsia"/>
          <w:i/>
        </w:rPr>
        <w:t xml:space="preserve"> Schoch</w:t>
      </w:r>
      <w:r>
        <w:rPr>
          <w:rFonts w:hint="eastAsia"/>
        </w:rPr>
        <w:t xml:space="preserve">, Jura 1994, 82 (89); </w:t>
      </w:r>
      <w:r>
        <w:rPr>
          <w:rFonts w:hint="eastAsia"/>
          <w:i/>
        </w:rPr>
        <w:t>Wolf</w:t>
      </w:r>
      <w:r>
        <w:rPr>
          <w:rFonts w:hint="eastAsia"/>
          <w:i/>
        </w:rPr>
        <w:t>f/Bachof/Stober</w:t>
      </w:r>
      <w:r>
        <w:rPr>
          <w:rFonts w:hint="eastAsia"/>
        </w:rPr>
        <w:t xml:space="preserve">, Verwaltungsrecht, Bd. 2, </w:t>
      </w:r>
      <w:r>
        <w:t>§ </w:t>
      </w:r>
      <w:r>
        <w:rPr>
          <w:rFonts w:hint="eastAsia"/>
        </w:rPr>
        <w:t>55 Rn. 21d.</w:t>
      </w:r>
    </w:p>
  </w:footnote>
  <w:footnote w:id="68">
    <w:p w:rsidR="00000000" w:rsidRDefault="00724932">
      <w:pPr>
        <w:pStyle w:val="aa"/>
        <w:spacing w:after="180"/>
        <w:rPr>
          <w:rFonts w:hint="eastAsia"/>
        </w:rPr>
      </w:pPr>
      <w:r>
        <w:rPr>
          <w:rStyle w:val="a9"/>
        </w:rPr>
        <w:footnoteRef/>
      </w:r>
      <w:r>
        <w:t xml:space="preserve"> </w:t>
      </w:r>
      <w:r>
        <w:rPr>
          <w:rFonts w:hint="eastAsia"/>
        </w:rPr>
        <w:t xml:space="preserve">Zur Problematik vgl. mur </w:t>
      </w:r>
      <w:r>
        <w:rPr>
          <w:rFonts w:hint="eastAsia"/>
          <w:i/>
        </w:rPr>
        <w:t>Detterbeck</w:t>
      </w:r>
      <w:r>
        <w:rPr>
          <w:rFonts w:hint="eastAsia"/>
        </w:rPr>
        <w:t xml:space="preserve">, in: Detterbeck/Windthorst/Sproll, Staatshaftungsrecht, </w:t>
      </w:r>
      <w:r>
        <w:t>§ </w:t>
      </w:r>
      <w:r>
        <w:rPr>
          <w:rFonts w:hint="eastAsia"/>
        </w:rPr>
        <w:t>27 Rn. 1</w:t>
      </w:r>
      <w:r>
        <w:t> </w:t>
      </w:r>
      <w:r>
        <w:rPr>
          <w:rFonts w:hint="eastAsia"/>
        </w:rPr>
        <w:t>ff.;</w:t>
      </w:r>
      <w:r>
        <w:rPr>
          <w:rFonts w:hint="eastAsia"/>
          <w:i/>
        </w:rPr>
        <w:t xml:space="preserve"> Schoch</w:t>
      </w:r>
      <w:r>
        <w:rPr>
          <w:rFonts w:hint="eastAsia"/>
        </w:rPr>
        <w:t>, Jura 1994, 82 (89</w:t>
      </w:r>
      <w:r>
        <w:t> </w:t>
      </w:r>
      <w:r>
        <w:rPr>
          <w:rFonts w:hint="eastAsia"/>
        </w:rPr>
        <w:t xml:space="preserve">f.); </w:t>
      </w:r>
      <w:r>
        <w:rPr>
          <w:rFonts w:hint="eastAsia"/>
          <w:i/>
        </w:rPr>
        <w:t>Windthorst</w:t>
      </w:r>
      <w:r>
        <w:rPr>
          <w:rFonts w:hint="eastAsia"/>
        </w:rPr>
        <w:t>, JuS 1996, 894 (899 f.) m. w. Nachw.</w:t>
      </w:r>
    </w:p>
  </w:footnote>
  <w:footnote w:id="69">
    <w:p w:rsidR="00000000" w:rsidRDefault="00724932">
      <w:pPr>
        <w:pStyle w:val="aa"/>
        <w:spacing w:after="180"/>
        <w:rPr>
          <w:rFonts w:hint="eastAsia"/>
        </w:rPr>
      </w:pPr>
      <w:r>
        <w:rPr>
          <w:rStyle w:val="a9"/>
        </w:rPr>
        <w:footnoteRef/>
      </w:r>
      <w:r>
        <w:t xml:space="preserve"> </w:t>
      </w:r>
      <w:r>
        <w:rPr>
          <w:rFonts w:hint="eastAsia"/>
        </w:rPr>
        <w:t>相關之中文文獻，詳</w:t>
      </w:r>
      <w:r>
        <w:rPr>
          <w:rFonts w:hint="eastAsia"/>
        </w:rPr>
        <w:t>見：劉建宏，行政主體向人民請求返還公法上不當得利之法律途徑，本土</w:t>
      </w:r>
      <w:r>
        <w:rPr>
          <w:rFonts w:hint="eastAsia"/>
        </w:rPr>
        <w:t>64</w:t>
      </w:r>
      <w:r>
        <w:rPr>
          <w:rFonts w:hint="eastAsia"/>
        </w:rPr>
        <w:t>期，頁</w:t>
      </w:r>
      <w:r>
        <w:rPr>
          <w:rFonts w:hint="eastAsia"/>
        </w:rPr>
        <w:t>42-44</w:t>
      </w:r>
      <w:r>
        <w:rPr>
          <w:rFonts w:hint="eastAsia"/>
        </w:rPr>
        <w:t>。</w:t>
      </w:r>
    </w:p>
  </w:footnote>
  <w:footnote w:id="70">
    <w:p w:rsidR="00000000" w:rsidRDefault="00724932">
      <w:pPr>
        <w:pStyle w:val="aa"/>
        <w:spacing w:after="180"/>
        <w:rPr>
          <w:rFonts w:hint="eastAsia"/>
        </w:rPr>
      </w:pPr>
      <w:r>
        <w:rPr>
          <w:rStyle w:val="a9"/>
        </w:rPr>
        <w:footnoteRef/>
      </w:r>
      <w:r>
        <w:t xml:space="preserve"> </w:t>
      </w:r>
      <w:r>
        <w:rPr>
          <w:rFonts w:hint="eastAsia"/>
        </w:rPr>
        <w:t>例見：最高行政法院</w:t>
      </w:r>
      <w:r>
        <w:rPr>
          <w:rFonts w:hint="eastAsia"/>
        </w:rPr>
        <w:t>92</w:t>
      </w:r>
      <w:r>
        <w:rPr>
          <w:rFonts w:hint="eastAsia"/>
        </w:rPr>
        <w:t>年度判字第</w:t>
      </w:r>
      <w:r>
        <w:rPr>
          <w:rFonts w:hint="eastAsia"/>
        </w:rPr>
        <w:t>761</w:t>
      </w:r>
      <w:r>
        <w:rPr>
          <w:rFonts w:hint="eastAsia"/>
        </w:rPr>
        <w:t>號判決；詹震榮，行政機關之公法上不當得利返還請求權，法學講座</w:t>
      </w:r>
      <w:r>
        <w:rPr>
          <w:rFonts w:hint="eastAsia"/>
        </w:rPr>
        <w:t>23</w:t>
      </w:r>
      <w:r>
        <w:rPr>
          <w:rFonts w:hint="eastAsia"/>
        </w:rPr>
        <w:t>期，頁</w:t>
      </w:r>
      <w:r>
        <w:rPr>
          <w:rFonts w:hint="eastAsia"/>
        </w:rPr>
        <w:t>62</w:t>
      </w:r>
      <w:r>
        <w:rPr>
          <w:rFonts w:hint="eastAsia"/>
        </w:rPr>
        <w:t>。</w:t>
      </w:r>
    </w:p>
  </w:footnote>
  <w:footnote w:id="71">
    <w:p w:rsidR="00000000" w:rsidRDefault="00724932">
      <w:pPr>
        <w:pStyle w:val="aa"/>
        <w:spacing w:after="180"/>
        <w:rPr>
          <w:rFonts w:hint="eastAsia"/>
        </w:rPr>
      </w:pPr>
      <w:r>
        <w:rPr>
          <w:rStyle w:val="a9"/>
        </w:rPr>
        <w:footnoteRef/>
      </w:r>
      <w:r>
        <w:t xml:space="preserve"> </w:t>
      </w:r>
      <w:r>
        <w:rPr>
          <w:rFonts w:hint="eastAsia"/>
        </w:rPr>
        <w:t>參見：立法院法制委員會編，行政程序法案，頁</w:t>
      </w:r>
      <w:r>
        <w:rPr>
          <w:rFonts w:hint="eastAsia"/>
        </w:rPr>
        <w:t>1500-1501</w:t>
      </w:r>
      <w:r>
        <w:rPr>
          <w:rFonts w:hint="eastAsia"/>
        </w:rPr>
        <w:t>。</w:t>
      </w:r>
    </w:p>
  </w:footnote>
  <w:footnote w:id="72">
    <w:p w:rsidR="00000000" w:rsidRDefault="00724932">
      <w:pPr>
        <w:pStyle w:val="aa"/>
        <w:spacing w:after="180"/>
        <w:rPr>
          <w:rFonts w:hint="eastAsia"/>
        </w:rPr>
      </w:pPr>
      <w:r>
        <w:rPr>
          <w:rStyle w:val="a9"/>
        </w:rPr>
        <w:footnoteRef/>
      </w:r>
      <w:r>
        <w:t xml:space="preserve"> </w:t>
      </w:r>
      <w:r>
        <w:rPr>
          <w:rFonts w:hint="eastAsia"/>
        </w:rPr>
        <w:t>Dazu n</w:t>
      </w:r>
      <w:r>
        <w:t>ä</w:t>
      </w:r>
      <w:r>
        <w:rPr>
          <w:rFonts w:hint="eastAsia"/>
        </w:rPr>
        <w:t xml:space="preserve">her </w:t>
      </w:r>
      <w:r>
        <w:t>i</w:t>
      </w:r>
      <w:r>
        <w:rPr>
          <w:rFonts w:hint="eastAsia"/>
        </w:rPr>
        <w:t xml:space="preserve">m </w:t>
      </w:r>
      <w:r>
        <w:t>Ü</w:t>
      </w:r>
      <w:r>
        <w:rPr>
          <w:rFonts w:hint="eastAsia"/>
        </w:rPr>
        <w:t xml:space="preserve">berblick s. nur </w:t>
      </w:r>
      <w:r>
        <w:rPr>
          <w:rFonts w:hint="eastAsia"/>
          <w:i/>
        </w:rPr>
        <w:t>Maurer</w:t>
      </w:r>
      <w:r>
        <w:rPr>
          <w:rFonts w:hint="eastAsia"/>
        </w:rPr>
        <w:t xml:space="preserve">, Allgemeines Verwaltungsrecht, </w:t>
      </w:r>
      <w:r>
        <w:t>§ </w:t>
      </w:r>
      <w:r>
        <w:rPr>
          <w:rFonts w:hint="eastAsia"/>
        </w:rPr>
        <w:t>5 Rn. 10 f.</w:t>
      </w:r>
    </w:p>
  </w:footnote>
  <w:footnote w:id="73">
    <w:p w:rsidR="00000000" w:rsidRDefault="00724932">
      <w:pPr>
        <w:pStyle w:val="aa"/>
        <w:spacing w:after="180"/>
        <w:rPr>
          <w:rFonts w:hint="eastAsia"/>
        </w:rPr>
      </w:pPr>
      <w:r>
        <w:rPr>
          <w:rStyle w:val="a9"/>
        </w:rPr>
        <w:footnoteRef/>
      </w:r>
      <w:r>
        <w:t xml:space="preserve"> </w:t>
      </w:r>
      <w:r>
        <w:rPr>
          <w:rFonts w:hint="eastAsia"/>
        </w:rPr>
        <w:t>Dazu n</w:t>
      </w:r>
      <w:r>
        <w:t>ä</w:t>
      </w:r>
      <w:r>
        <w:rPr>
          <w:rFonts w:hint="eastAsia"/>
        </w:rPr>
        <w:t xml:space="preserve">her wiederum </w:t>
      </w:r>
      <w:r>
        <w:rPr>
          <w:rFonts w:hint="eastAsia"/>
          <w:i/>
        </w:rPr>
        <w:t>Maurer</w:t>
      </w:r>
      <w:r>
        <w:rPr>
          <w:rFonts w:hint="eastAsia"/>
        </w:rPr>
        <w:t>, All</w:t>
      </w:r>
      <w:r>
        <w:rPr>
          <w:rFonts w:hint="eastAsia"/>
        </w:rPr>
        <w:t xml:space="preserve">gemeines Verwaltungsrecht, </w:t>
      </w:r>
      <w:r>
        <w:t>§ </w:t>
      </w:r>
      <w:r>
        <w:rPr>
          <w:rFonts w:hint="eastAsia"/>
        </w:rPr>
        <w:t>5 Rn. 18 ff.</w:t>
      </w:r>
    </w:p>
  </w:footnote>
  <w:footnote w:id="74">
    <w:p w:rsidR="00000000" w:rsidRDefault="00724932">
      <w:pPr>
        <w:pStyle w:val="aa"/>
        <w:spacing w:after="180"/>
        <w:rPr>
          <w:rFonts w:hint="eastAsia"/>
        </w:rPr>
      </w:pPr>
      <w:r>
        <w:rPr>
          <w:rStyle w:val="a9"/>
        </w:rPr>
        <w:footnoteRef/>
      </w:r>
      <w:r>
        <w:t xml:space="preserve"> </w:t>
      </w:r>
      <w:r>
        <w:rPr>
          <w:rFonts w:hint="eastAsia"/>
        </w:rPr>
        <w:t xml:space="preserve">Siehe hierzu nur </w:t>
      </w:r>
      <w:r>
        <w:rPr>
          <w:rFonts w:hint="eastAsia"/>
          <w:i/>
        </w:rPr>
        <w:t>Sachs</w:t>
      </w:r>
      <w:r>
        <w:rPr>
          <w:rFonts w:hint="eastAsia"/>
        </w:rPr>
        <w:t xml:space="preserve">, in: Stelkens/Bonk/Sachs, VwVfG, </w:t>
      </w:r>
      <w:r>
        <w:t>§ </w:t>
      </w:r>
      <w:r>
        <w:rPr>
          <w:rFonts w:hint="eastAsia"/>
        </w:rPr>
        <w:t>49a Rn. 86.</w:t>
      </w:r>
    </w:p>
  </w:footnote>
  <w:footnote w:id="75">
    <w:p w:rsidR="00000000" w:rsidRDefault="00724932">
      <w:pPr>
        <w:pStyle w:val="aa"/>
        <w:spacing w:after="180"/>
        <w:rPr>
          <w:rFonts w:hint="eastAsia"/>
        </w:rPr>
      </w:pPr>
      <w:r>
        <w:rPr>
          <w:rStyle w:val="a9"/>
        </w:rPr>
        <w:footnoteRef/>
      </w:r>
      <w:r>
        <w:rPr>
          <w:rFonts w:hint="eastAsia"/>
        </w:rPr>
        <w:t xml:space="preserve"> </w:t>
      </w:r>
      <w:r>
        <w:rPr>
          <w:rFonts w:hint="eastAsia"/>
        </w:rPr>
        <w:t>參見：立法院法制委員會編，行政程序法案，頁</w:t>
      </w:r>
      <w:r>
        <w:rPr>
          <w:rFonts w:hint="eastAsia"/>
        </w:rPr>
        <w:t>1500-1501</w:t>
      </w:r>
      <w:r>
        <w:rPr>
          <w:rFonts w:hint="eastAsia"/>
        </w:rPr>
        <w:t>。</w:t>
      </w:r>
    </w:p>
  </w:footnote>
  <w:footnote w:id="76">
    <w:p w:rsidR="00000000" w:rsidRDefault="00724932">
      <w:pPr>
        <w:pStyle w:val="aa"/>
        <w:spacing w:after="180"/>
        <w:rPr>
          <w:rFonts w:hint="eastAsia"/>
        </w:rPr>
      </w:pPr>
      <w:r>
        <w:rPr>
          <w:rStyle w:val="a9"/>
        </w:rPr>
        <w:footnoteRef/>
      </w:r>
      <w:r>
        <w:t xml:space="preserve"> </w:t>
      </w:r>
      <w:r>
        <w:rPr>
          <w:rFonts w:hint="eastAsia"/>
        </w:rPr>
        <w:t>BGBl. I, S. 656.</w:t>
      </w:r>
    </w:p>
  </w:footnote>
  <w:footnote w:id="77">
    <w:p w:rsidR="00000000" w:rsidRDefault="00724932">
      <w:pPr>
        <w:pStyle w:val="aa"/>
        <w:spacing w:after="180"/>
        <w:rPr>
          <w:rFonts w:hint="eastAsia"/>
        </w:rPr>
      </w:pPr>
      <w:r>
        <w:rPr>
          <w:rStyle w:val="a9"/>
        </w:rPr>
        <w:footnoteRef/>
      </w:r>
      <w:r>
        <w:t xml:space="preserve"> </w:t>
      </w:r>
      <w:r>
        <w:rPr>
          <w:rFonts w:hint="eastAsia"/>
        </w:rPr>
        <w:t>Hierzu ausf</w:t>
      </w:r>
      <w:r>
        <w:t>ü</w:t>
      </w:r>
      <w:r>
        <w:rPr>
          <w:rFonts w:hint="eastAsia"/>
        </w:rPr>
        <w:t xml:space="preserve">hrl.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49a Rn. 1 ff.</w:t>
      </w:r>
    </w:p>
  </w:footnote>
  <w:footnote w:id="78">
    <w:p w:rsidR="00000000" w:rsidRDefault="00724932">
      <w:pPr>
        <w:pStyle w:val="aa"/>
        <w:spacing w:after="180"/>
        <w:rPr>
          <w:rFonts w:hint="eastAsia"/>
        </w:rPr>
      </w:pPr>
      <w:r>
        <w:rPr>
          <w:rStyle w:val="a9"/>
        </w:rPr>
        <w:footnoteRef/>
      </w:r>
      <w:r>
        <w:t xml:space="preserve"> </w:t>
      </w:r>
      <w:r>
        <w:rPr>
          <w:rFonts w:hint="eastAsia"/>
        </w:rPr>
        <w:t>本條規定之德文原文，參見本研究附錄　貳、二。</w:t>
      </w:r>
    </w:p>
  </w:footnote>
  <w:footnote w:id="79">
    <w:p w:rsidR="00000000" w:rsidRDefault="00724932">
      <w:pPr>
        <w:pStyle w:val="aa"/>
        <w:spacing w:after="180"/>
        <w:rPr>
          <w:rFonts w:hint="eastAsia"/>
        </w:rPr>
      </w:pPr>
      <w:r>
        <w:rPr>
          <w:rStyle w:val="a9"/>
        </w:rPr>
        <w:footnoteRef/>
      </w:r>
      <w:r>
        <w:t xml:space="preserve"> </w:t>
      </w:r>
      <w:r>
        <w:rPr>
          <w:rFonts w:hint="eastAsia"/>
        </w:rPr>
        <w:t>Vg</w:t>
      </w:r>
      <w:r>
        <w:rPr>
          <w:rFonts w:hint="eastAsia"/>
        </w:rPr>
        <w:t>l. dazu ausf</w:t>
      </w:r>
      <w:r>
        <w:t>ü</w:t>
      </w:r>
      <w:r>
        <w:rPr>
          <w:rFonts w:hint="eastAsia"/>
        </w:rPr>
        <w:t xml:space="preserve">hrl.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 xml:space="preserve">49a Rn. 8 ff. u. insb. </w:t>
      </w:r>
      <w:r>
        <w:rPr>
          <w:rFonts w:hint="eastAsia"/>
          <w:i/>
        </w:rPr>
        <w:t>Sachs</w:t>
      </w:r>
      <w:r>
        <w:rPr>
          <w:rFonts w:hint="eastAsia"/>
        </w:rPr>
        <w:t>, in: Stelkens/Bonk/</w:t>
      </w:r>
      <w:r>
        <w:t xml:space="preserve"> </w:t>
      </w:r>
      <w:r>
        <w:rPr>
          <w:rFonts w:hint="eastAsia"/>
        </w:rPr>
        <w:t xml:space="preserve">Sachs, VwVfG, </w:t>
      </w:r>
      <w:r>
        <w:t>§ </w:t>
      </w:r>
      <w:r>
        <w:rPr>
          <w:rFonts w:hint="eastAsia"/>
        </w:rPr>
        <w:t>49a Rn. 5 ff.</w:t>
      </w:r>
    </w:p>
  </w:footnote>
  <w:footnote w:id="80">
    <w:p w:rsidR="00000000" w:rsidRDefault="00724932">
      <w:pPr>
        <w:pStyle w:val="aa"/>
        <w:spacing w:after="180"/>
        <w:rPr>
          <w:rFonts w:hint="eastAsia"/>
        </w:rPr>
      </w:pPr>
      <w:r>
        <w:rPr>
          <w:rStyle w:val="a9"/>
        </w:rPr>
        <w:footnoteRef/>
      </w:r>
      <w:r>
        <w:t xml:space="preserve"> </w:t>
      </w:r>
      <w:r>
        <w:rPr>
          <w:rFonts w:hint="eastAsia"/>
        </w:rPr>
        <w:t>相關爭議之德文文獻，例見：</w:t>
      </w:r>
      <w:r>
        <w:rPr>
          <w:rFonts w:hint="eastAsia"/>
          <w:i/>
          <w:iCs/>
          <w:lang w:val="de-DE"/>
        </w:rPr>
        <w:t>Ule/Laubinger</w:t>
      </w:r>
      <w:r>
        <w:rPr>
          <w:rFonts w:hint="eastAsia"/>
          <w:iCs/>
          <w:lang w:val="de-DE"/>
        </w:rPr>
        <w:t xml:space="preserve">, Verwaltungsverfahrensrecht, </w:t>
      </w:r>
      <w:r>
        <w:rPr>
          <w:iCs/>
          <w:lang w:val="de-DE"/>
        </w:rPr>
        <w:t>§</w:t>
      </w:r>
      <w:r>
        <w:rPr>
          <w:iCs/>
        </w:rPr>
        <w:t> </w:t>
      </w:r>
      <w:r>
        <w:rPr>
          <w:rFonts w:hint="eastAsia"/>
          <w:iCs/>
        </w:rPr>
        <w:t>62 Rn. 23</w:t>
      </w:r>
      <w:r>
        <w:rPr>
          <w:rFonts w:hint="eastAsia"/>
        </w:rPr>
        <w:t>；中文文獻，詳見：林錫堯，公法上不當得利法理試探，收於：當代公法新論（下），頁</w:t>
      </w:r>
      <w:r>
        <w:rPr>
          <w:rFonts w:hint="eastAsia"/>
        </w:rPr>
        <w:t>281</w:t>
      </w:r>
      <w:r>
        <w:rPr>
          <w:rFonts w:hint="eastAsia"/>
        </w:rPr>
        <w:t>。</w:t>
      </w:r>
    </w:p>
  </w:footnote>
  <w:footnote w:id="81">
    <w:p w:rsidR="00000000" w:rsidRDefault="00724932">
      <w:pPr>
        <w:pStyle w:val="aa"/>
        <w:spacing w:after="180"/>
        <w:rPr>
          <w:rFonts w:hint="eastAsia"/>
        </w:rPr>
      </w:pPr>
      <w:r>
        <w:rPr>
          <w:rStyle w:val="a9"/>
        </w:rPr>
        <w:footnoteRef/>
      </w:r>
      <w:r>
        <w:t xml:space="preserve"> </w:t>
      </w:r>
      <w:r>
        <w:rPr>
          <w:rFonts w:hint="eastAsia"/>
        </w:rPr>
        <w:t>N</w:t>
      </w:r>
      <w:r>
        <w:t>ä</w:t>
      </w:r>
      <w:r>
        <w:rPr>
          <w:rFonts w:hint="eastAsia"/>
        </w:rPr>
        <w:t>her hierzu s. n</w:t>
      </w:r>
      <w:r>
        <w:rPr>
          <w:rFonts w:hint="eastAsia"/>
        </w:rPr>
        <w:t xml:space="preserve">ur </w:t>
      </w:r>
      <w:r>
        <w:rPr>
          <w:rFonts w:hint="eastAsia"/>
          <w:i/>
        </w:rPr>
        <w:t>Sachs</w:t>
      </w:r>
      <w:r>
        <w:rPr>
          <w:rFonts w:hint="eastAsia"/>
        </w:rPr>
        <w:t>, in: Stelkens/Bonk/</w:t>
      </w:r>
      <w:r>
        <w:t xml:space="preserve"> </w:t>
      </w:r>
      <w:r>
        <w:rPr>
          <w:rFonts w:hint="eastAsia"/>
        </w:rPr>
        <w:t xml:space="preserve">Sachs, VwVfG, </w:t>
      </w:r>
      <w:r>
        <w:t>§ </w:t>
      </w:r>
      <w:r>
        <w:rPr>
          <w:rFonts w:hint="eastAsia"/>
        </w:rPr>
        <w:t>49a Rn. 34 ff.</w:t>
      </w:r>
    </w:p>
  </w:footnote>
  <w:footnote w:id="82">
    <w:p w:rsidR="00000000" w:rsidRDefault="00724932">
      <w:pPr>
        <w:pStyle w:val="aa"/>
        <w:spacing w:after="180"/>
        <w:rPr>
          <w:rFonts w:hint="eastAsia"/>
        </w:rPr>
      </w:pPr>
      <w:r>
        <w:rPr>
          <w:rStyle w:val="a9"/>
        </w:rPr>
        <w:footnoteRef/>
      </w:r>
      <w:r>
        <w:t xml:space="preserve"> </w:t>
      </w:r>
      <w:r>
        <w:rPr>
          <w:rFonts w:hint="eastAsia"/>
        </w:rPr>
        <w:t xml:space="preserve">Hierzu s. nur </w:t>
      </w:r>
      <w:r>
        <w:rPr>
          <w:rFonts w:hint="eastAsia"/>
          <w:i/>
        </w:rPr>
        <w:t>Maurer</w:t>
      </w:r>
      <w:r>
        <w:rPr>
          <w:rFonts w:hint="eastAsia"/>
        </w:rPr>
        <w:t xml:space="preserve">, Allgemeines Verwaltungsrecht, </w:t>
      </w:r>
      <w:r>
        <w:t>§ </w:t>
      </w:r>
      <w:r>
        <w:rPr>
          <w:rFonts w:hint="eastAsia"/>
        </w:rPr>
        <w:t>29 Rn. 28.</w:t>
      </w:r>
    </w:p>
  </w:footnote>
  <w:footnote w:id="83">
    <w:p w:rsidR="00000000" w:rsidRDefault="00724932">
      <w:pPr>
        <w:pStyle w:val="aa"/>
        <w:spacing w:after="180"/>
        <w:rPr>
          <w:rFonts w:hint="eastAsia"/>
        </w:rPr>
      </w:pPr>
      <w:r>
        <w:rPr>
          <w:rStyle w:val="a9"/>
        </w:rPr>
        <w:footnoteRef/>
      </w:r>
      <w:r>
        <w:rPr>
          <w:rFonts w:hint="eastAsia"/>
        </w:rPr>
        <w:t xml:space="preserve"> </w:t>
      </w:r>
      <w:r>
        <w:rPr>
          <w:rFonts w:hint="eastAsia"/>
        </w:rPr>
        <w:t>本條規定之德文原文，參見本研究附錄　貳、二。</w:t>
      </w:r>
    </w:p>
  </w:footnote>
  <w:footnote w:id="84">
    <w:p w:rsidR="00000000" w:rsidRDefault="00724932">
      <w:pPr>
        <w:pStyle w:val="aa"/>
        <w:spacing w:after="180"/>
        <w:rPr>
          <w:rFonts w:hint="eastAsia"/>
        </w:rPr>
      </w:pPr>
      <w:r>
        <w:rPr>
          <w:rStyle w:val="a9"/>
        </w:rPr>
        <w:footnoteRef/>
      </w:r>
      <w:r>
        <w:t xml:space="preserve"> </w:t>
      </w:r>
      <w:r>
        <w:rPr>
          <w:rFonts w:hint="eastAsia"/>
        </w:rPr>
        <w:t xml:space="preserve">Vgl. auch </w:t>
      </w:r>
      <w:r>
        <w:rPr>
          <w:rFonts w:hint="eastAsia"/>
          <w:i/>
        </w:rPr>
        <w:t>Battis</w:t>
      </w:r>
      <w:r>
        <w:rPr>
          <w:rFonts w:hint="eastAsia"/>
        </w:rPr>
        <w:t xml:space="preserve">, BBG, </w:t>
      </w:r>
      <w:r>
        <w:t>§ </w:t>
      </w:r>
      <w:r>
        <w:rPr>
          <w:rFonts w:hint="eastAsia"/>
        </w:rPr>
        <w:t xml:space="preserve">87 Rn. 2; </w:t>
      </w:r>
      <w:r>
        <w:rPr>
          <w:rFonts w:hint="eastAsia"/>
          <w:i/>
        </w:rPr>
        <w:t>Schnellenbach</w:t>
      </w:r>
      <w:r>
        <w:rPr>
          <w:rFonts w:hint="eastAsia"/>
        </w:rPr>
        <w:t>, Beamtenrecht in der Praxis, Rn. 682.</w:t>
      </w:r>
    </w:p>
  </w:footnote>
  <w:footnote w:id="85">
    <w:p w:rsidR="00000000" w:rsidRDefault="00724932">
      <w:pPr>
        <w:pStyle w:val="aa"/>
        <w:spacing w:after="180"/>
        <w:rPr>
          <w:rFonts w:hint="eastAsia"/>
        </w:rPr>
      </w:pPr>
      <w:r>
        <w:rPr>
          <w:rStyle w:val="a9"/>
        </w:rPr>
        <w:footnoteRef/>
      </w:r>
      <w:r>
        <w:t xml:space="preserve"> </w:t>
      </w:r>
      <w:r>
        <w:rPr>
          <w:rFonts w:hint="eastAsia"/>
        </w:rPr>
        <w:t xml:space="preserve">Vgl. dazu </w:t>
      </w:r>
      <w:r>
        <w:t>ä</w:t>
      </w:r>
      <w:r>
        <w:rPr>
          <w:rFonts w:hint="eastAsia"/>
        </w:rPr>
        <w:t>lt</w:t>
      </w:r>
      <w:r>
        <w:rPr>
          <w:rFonts w:hint="eastAsia"/>
        </w:rPr>
        <w:t xml:space="preserve">ere Literatur wie etwa </w:t>
      </w:r>
      <w:r>
        <w:rPr>
          <w:rFonts w:hint="eastAsia"/>
          <w:i/>
          <w:iCs/>
          <w:lang w:val="de-DE"/>
        </w:rPr>
        <w:t>Brandis</w:t>
      </w:r>
      <w:r>
        <w:rPr>
          <w:rFonts w:hint="eastAsia"/>
          <w:iCs/>
          <w:lang w:val="de-DE"/>
        </w:rPr>
        <w:t xml:space="preserve">, </w:t>
      </w:r>
      <w:r>
        <w:rPr>
          <w:rFonts w:hint="eastAsia"/>
          <w:lang w:val="de-DE"/>
        </w:rPr>
        <w:t>Die R</w:t>
      </w:r>
      <w:r>
        <w:t>ü</w:t>
      </w:r>
      <w:r>
        <w:rPr>
          <w:rFonts w:hint="eastAsia"/>
        </w:rPr>
        <w:t>ckforderung zuviel gezahlter Dienst- und Versor</w:t>
      </w:r>
      <w:r>
        <w:softHyphen/>
      </w:r>
      <w:r>
        <w:rPr>
          <w:rFonts w:hint="eastAsia"/>
        </w:rPr>
        <w:t>gungsbez</w:t>
      </w:r>
      <w:r>
        <w:t>ü</w:t>
      </w:r>
      <w:r>
        <w:rPr>
          <w:rFonts w:hint="eastAsia"/>
        </w:rPr>
        <w:t>ge, Diss. Hamburg 1967.</w:t>
      </w:r>
    </w:p>
  </w:footnote>
  <w:footnote w:id="86">
    <w:p w:rsidR="00000000" w:rsidRDefault="00724932">
      <w:pPr>
        <w:pStyle w:val="aa"/>
        <w:spacing w:after="180"/>
        <w:rPr>
          <w:rFonts w:hint="eastAsia"/>
        </w:rPr>
      </w:pPr>
      <w:r>
        <w:rPr>
          <w:rStyle w:val="a9"/>
        </w:rPr>
        <w:footnoteRef/>
      </w:r>
      <w:r>
        <w:t xml:space="preserve"> </w:t>
      </w:r>
      <w:r>
        <w:rPr>
          <w:rFonts w:hint="eastAsia"/>
        </w:rPr>
        <w:t>與統一公務員法制大綱法第五十三條相對應的各邦相對應之公務員法，分別為：</w:t>
      </w:r>
      <w:r>
        <w:t>§ </w:t>
      </w:r>
      <w:r>
        <w:rPr>
          <w:rFonts w:hint="eastAsia"/>
        </w:rPr>
        <w:t>109 Landes</w:t>
      </w:r>
      <w:r>
        <w:softHyphen/>
      </w:r>
      <w:r>
        <w:rPr>
          <w:rFonts w:hint="eastAsia"/>
        </w:rPr>
        <w:t>beamtengesetz Baden-W</w:t>
      </w:r>
      <w:r>
        <w:t>ü</w:t>
      </w:r>
      <w:r>
        <w:rPr>
          <w:rFonts w:hint="eastAsia"/>
        </w:rPr>
        <w:t xml:space="preserve">rttemberg; Art. 94 Bayerisches Beamtengesetz; </w:t>
      </w:r>
      <w:r>
        <w:t>§ </w:t>
      </w:r>
      <w:r>
        <w:rPr>
          <w:rFonts w:hint="eastAsia"/>
        </w:rPr>
        <w:t>49 Landesbeamteng</w:t>
      </w:r>
      <w:r>
        <w:rPr>
          <w:rFonts w:hint="eastAsia"/>
        </w:rPr>
        <w:t xml:space="preserve">esetz Berlin; </w:t>
      </w:r>
      <w:r>
        <w:t>§ </w:t>
      </w:r>
      <w:r>
        <w:rPr>
          <w:rFonts w:hint="eastAsia"/>
        </w:rPr>
        <w:t xml:space="preserve">55 Landesbeamtengesetz Brandenburg; </w:t>
      </w:r>
      <w:r>
        <w:t>§ </w:t>
      </w:r>
      <w:r>
        <w:rPr>
          <w:rFonts w:hint="eastAsia"/>
        </w:rPr>
        <w:t>85 Bre</w:t>
      </w:r>
      <w:r>
        <w:softHyphen/>
      </w:r>
      <w:r>
        <w:rPr>
          <w:rFonts w:hint="eastAsia"/>
        </w:rPr>
        <w:t xml:space="preserve">misches Beamtengesetz; </w:t>
      </w:r>
      <w:r>
        <w:t>§ </w:t>
      </w:r>
      <w:r>
        <w:rPr>
          <w:rFonts w:hint="eastAsia"/>
        </w:rPr>
        <w:t xml:space="preserve">92 Hamburgisches Beamtengesetz; </w:t>
      </w:r>
      <w:r>
        <w:t>§ </w:t>
      </w:r>
      <w:r>
        <w:rPr>
          <w:rFonts w:hint="eastAsia"/>
        </w:rPr>
        <w:t>99 Hessisches Beam</w:t>
      </w:r>
      <w:r>
        <w:softHyphen/>
      </w:r>
      <w:r>
        <w:rPr>
          <w:rFonts w:hint="eastAsia"/>
        </w:rPr>
        <w:t xml:space="preserve">tengesetz; </w:t>
      </w:r>
      <w:r>
        <w:t>§ </w:t>
      </w:r>
      <w:r>
        <w:rPr>
          <w:rFonts w:hint="eastAsia"/>
        </w:rPr>
        <w:t>96 Landesbeamtengesetz Mecklenburg-Vor</w:t>
      </w:r>
      <w:r>
        <w:softHyphen/>
      </w:r>
      <w:r>
        <w:rPr>
          <w:rFonts w:hint="eastAsia"/>
        </w:rPr>
        <w:t>pom</w:t>
      </w:r>
      <w:r>
        <w:softHyphen/>
      </w:r>
      <w:r>
        <w:rPr>
          <w:rFonts w:hint="eastAsia"/>
        </w:rPr>
        <w:t xml:space="preserve">mern; </w:t>
      </w:r>
      <w:r>
        <w:t>§ </w:t>
      </w:r>
      <w:r>
        <w:rPr>
          <w:rFonts w:hint="eastAsia"/>
        </w:rPr>
        <w:t>98a Nieders</w:t>
      </w:r>
      <w:r>
        <w:t>ä</w:t>
      </w:r>
      <w:r>
        <w:rPr>
          <w:rFonts w:hint="eastAsia"/>
        </w:rPr>
        <w:t>ch</w:t>
      </w:r>
      <w:r>
        <w:softHyphen/>
      </w:r>
      <w:r>
        <w:rPr>
          <w:rFonts w:hint="eastAsia"/>
        </w:rPr>
        <w:t xml:space="preserve">sisches Beamtengesetz; </w:t>
      </w:r>
      <w:r>
        <w:t>§ </w:t>
      </w:r>
      <w:r>
        <w:rPr>
          <w:rFonts w:hint="eastAsia"/>
        </w:rPr>
        <w:t>98 Landesbeam</w:t>
      </w:r>
      <w:r>
        <w:rPr>
          <w:rFonts w:hint="eastAsia"/>
        </w:rPr>
        <w:t xml:space="preserve">tengesetz Nordrhein-Westfalen; </w:t>
      </w:r>
      <w:r>
        <w:t>§ </w:t>
      </w:r>
      <w:r>
        <w:rPr>
          <w:rFonts w:hint="eastAsia"/>
        </w:rPr>
        <w:t>96 Lan</w:t>
      </w:r>
      <w:r>
        <w:softHyphen/>
      </w:r>
      <w:r>
        <w:rPr>
          <w:rFonts w:hint="eastAsia"/>
        </w:rPr>
        <w:t xml:space="preserve">desbeamtengesetz Rheinland-Pfalz; </w:t>
      </w:r>
      <w:r>
        <w:t>§ </w:t>
      </w:r>
      <w:r>
        <w:rPr>
          <w:rFonts w:hint="eastAsia"/>
        </w:rPr>
        <w:t>103 Saarl</w:t>
      </w:r>
      <w:r>
        <w:t>ä</w:t>
      </w:r>
      <w:r>
        <w:rPr>
          <w:rFonts w:hint="eastAsia"/>
        </w:rPr>
        <w:t xml:space="preserve">ndisches Beamtengesetz; </w:t>
      </w:r>
      <w:r>
        <w:t>§ </w:t>
      </w:r>
      <w:r>
        <w:rPr>
          <w:rFonts w:hint="eastAsia"/>
        </w:rPr>
        <w:t>110 Be</w:t>
      </w:r>
      <w:r>
        <w:softHyphen/>
      </w:r>
      <w:r>
        <w:rPr>
          <w:rFonts w:hint="eastAsia"/>
        </w:rPr>
        <w:t>amtengesetz f</w:t>
      </w:r>
      <w:r>
        <w:t>ü</w:t>
      </w:r>
      <w:r>
        <w:rPr>
          <w:rFonts w:hint="eastAsia"/>
        </w:rPr>
        <w:t xml:space="preserve">r den Freistaat Sachsen; </w:t>
      </w:r>
      <w:r>
        <w:t>§ </w:t>
      </w:r>
      <w:r>
        <w:rPr>
          <w:rFonts w:hint="eastAsia"/>
        </w:rPr>
        <w:t xml:space="preserve">87 Beamtengesetz Sachsen-Anhalt; </w:t>
      </w:r>
      <w:r>
        <w:t>§ </w:t>
      </w:r>
      <w:r>
        <w:rPr>
          <w:rFonts w:hint="eastAsia"/>
        </w:rPr>
        <w:t>103 Landesbeamtengesetz Schleswig</w:t>
      </w:r>
      <w:r>
        <w:softHyphen/>
      </w:r>
      <w:r>
        <w:rPr>
          <w:rFonts w:hint="eastAsia"/>
        </w:rPr>
        <w:t xml:space="preserve">Holstein; </w:t>
      </w:r>
      <w:r>
        <w:t>§ </w:t>
      </w:r>
      <w:r>
        <w:rPr>
          <w:rFonts w:hint="eastAsia"/>
        </w:rPr>
        <w:t>92 Abs. 3 Th</w:t>
      </w:r>
      <w:r>
        <w:t>ü</w:t>
      </w:r>
      <w:r>
        <w:rPr>
          <w:rFonts w:hint="eastAsia"/>
        </w:rPr>
        <w:t>ri</w:t>
      </w:r>
      <w:r>
        <w:rPr>
          <w:rFonts w:hint="eastAsia"/>
        </w:rPr>
        <w:t>nger Beamtengesetz</w:t>
      </w:r>
      <w:r>
        <w:rPr>
          <w:rFonts w:hint="eastAsia"/>
        </w:rPr>
        <w:t>；至於各條文的內容，則因均直接或間接援引前開統一公務員法制大綱法第五十三條規定，而無太大差別。</w:t>
      </w:r>
    </w:p>
  </w:footnote>
  <w:footnote w:id="87">
    <w:p w:rsidR="00000000" w:rsidRDefault="00724932">
      <w:pPr>
        <w:pStyle w:val="aa"/>
        <w:spacing w:after="180"/>
        <w:rPr>
          <w:rFonts w:hint="eastAsia"/>
        </w:rPr>
      </w:pPr>
      <w:r>
        <w:rPr>
          <w:rStyle w:val="a9"/>
        </w:rPr>
        <w:footnoteRef/>
      </w:r>
      <w:r>
        <w:t xml:space="preserve"> </w:t>
      </w:r>
      <w:r>
        <w:rPr>
          <w:rFonts w:hint="eastAsia"/>
        </w:rPr>
        <w:t>有關聯邦公務員俸給法第十二條、聯邦及各邦公務員暨法官生存照顧法第五十二條及</w:t>
      </w:r>
      <w:r>
        <w:t>聯邦國防軍前軍人及其遺眷生存照顧法</w:t>
      </w:r>
      <w:r>
        <w:rPr>
          <w:rFonts w:hint="eastAsia"/>
        </w:rPr>
        <w:t>第四十九條等規定的德文原文及中文譯文，參見本研究附錄　貳、二。</w:t>
      </w:r>
    </w:p>
  </w:footnote>
  <w:footnote w:id="88">
    <w:p w:rsidR="00000000" w:rsidRDefault="00724932">
      <w:pPr>
        <w:pStyle w:val="aa"/>
        <w:spacing w:after="180"/>
        <w:rPr>
          <w:rFonts w:hint="eastAsia"/>
        </w:rPr>
      </w:pPr>
      <w:r>
        <w:rPr>
          <w:rStyle w:val="a9"/>
        </w:rPr>
        <w:footnoteRef/>
      </w:r>
      <w:r>
        <w:t xml:space="preserve"> </w:t>
      </w:r>
      <w:r>
        <w:rPr>
          <w:rFonts w:hint="eastAsia"/>
        </w:rPr>
        <w:t>有關德國法官法第四十六條及</w:t>
      </w:r>
      <w:r>
        <w:rPr>
          <w:rFonts w:hAnsi="新細明體"/>
        </w:rPr>
        <w:t>軍人法律地位法</w:t>
      </w:r>
      <w:r>
        <w:rPr>
          <w:rFonts w:hAnsi="新細明體" w:hint="eastAsia"/>
        </w:rPr>
        <w:t>第三十條第三項規定的</w:t>
      </w:r>
      <w:r>
        <w:rPr>
          <w:rFonts w:hint="eastAsia"/>
        </w:rPr>
        <w:t>德文原文及中文譯文，亦見本研究附錄　貳、二。</w:t>
      </w:r>
    </w:p>
  </w:footnote>
  <w:footnote w:id="89">
    <w:p w:rsidR="00000000" w:rsidRDefault="00724932">
      <w:pPr>
        <w:pStyle w:val="aa"/>
        <w:spacing w:after="180"/>
        <w:rPr>
          <w:rFonts w:hint="eastAsia"/>
        </w:rPr>
      </w:pPr>
      <w:r>
        <w:rPr>
          <w:rStyle w:val="a9"/>
        </w:rPr>
        <w:footnoteRef/>
      </w:r>
      <w:r>
        <w:t xml:space="preserve"> </w:t>
      </w:r>
      <w:r>
        <w:rPr>
          <w:rFonts w:hint="eastAsia"/>
        </w:rPr>
        <w:t>本條條文，依德國法官法第四十六條及</w:t>
      </w:r>
      <w:r>
        <w:rPr>
          <w:rFonts w:hAnsi="新細明體"/>
        </w:rPr>
        <w:t>軍人法律地位法</w:t>
      </w:r>
      <w:r>
        <w:rPr>
          <w:rFonts w:hAnsi="新細明體" w:hint="eastAsia"/>
        </w:rPr>
        <w:t>第三十條第三項之規定，亦各視情形，分別準用</w:t>
      </w:r>
      <w:r>
        <w:rPr>
          <w:rFonts w:hAnsi="新細明體" w:hint="eastAsia"/>
        </w:rPr>
        <w:t>於法官及軍人的問題。</w:t>
      </w:r>
    </w:p>
  </w:footnote>
  <w:footnote w:id="90">
    <w:p w:rsidR="00000000" w:rsidRDefault="00724932">
      <w:pPr>
        <w:pStyle w:val="aa"/>
        <w:spacing w:after="180"/>
        <w:rPr>
          <w:rFonts w:hint="eastAsia"/>
        </w:rPr>
      </w:pPr>
      <w:r>
        <w:rPr>
          <w:rStyle w:val="a9"/>
        </w:rPr>
        <w:footnoteRef/>
      </w:r>
      <w:r>
        <w:t xml:space="preserve"> </w:t>
      </w:r>
      <w:r>
        <w:rPr>
          <w:rFonts w:hint="eastAsia"/>
        </w:rPr>
        <w:t>關於與這些規定所構成之特殊公法上返還請求權競合的其他法律規定，以及屬於這些規定之特別法，而排除其適用等之適用範圍的問題，另見：</w:t>
      </w:r>
      <w:r>
        <w:rPr>
          <w:rFonts w:hint="eastAsia"/>
          <w:i/>
        </w:rPr>
        <w:t>Schnellenbach</w:t>
      </w:r>
      <w:r>
        <w:rPr>
          <w:rFonts w:hint="eastAsia"/>
        </w:rPr>
        <w:t>, Beamtenrecht in der Praxis, Rn. 685</w:t>
      </w:r>
      <w:r>
        <w:t> </w:t>
      </w:r>
      <w:r>
        <w:rPr>
          <w:rFonts w:hint="eastAsia"/>
        </w:rPr>
        <w:t>ff.</w:t>
      </w:r>
      <w:r>
        <w:rPr>
          <w:rFonts w:hint="eastAsia"/>
        </w:rPr>
        <w:t>。</w:t>
      </w:r>
    </w:p>
  </w:footnote>
  <w:footnote w:id="91">
    <w:p w:rsidR="00000000" w:rsidRDefault="00724932">
      <w:pPr>
        <w:pStyle w:val="aa"/>
        <w:spacing w:after="180"/>
        <w:rPr>
          <w:rFonts w:hint="eastAsia"/>
        </w:rPr>
      </w:pPr>
      <w:r>
        <w:rPr>
          <w:rStyle w:val="a9"/>
        </w:rPr>
        <w:footnoteRef/>
      </w:r>
      <w:r>
        <w:t xml:space="preserve"> </w:t>
      </w:r>
      <w:r>
        <w:rPr>
          <w:rFonts w:hint="eastAsia"/>
        </w:rPr>
        <w:t>N</w:t>
      </w:r>
      <w:r>
        <w:t>ä</w:t>
      </w:r>
      <w:r>
        <w:rPr>
          <w:rFonts w:hint="eastAsia"/>
        </w:rPr>
        <w:t xml:space="preserve">her dazu insgesamt vgl. auch </w:t>
      </w:r>
      <w:r>
        <w:rPr>
          <w:rFonts w:hint="eastAsia"/>
          <w:i/>
        </w:rPr>
        <w:t>Battis</w:t>
      </w:r>
      <w:r>
        <w:rPr>
          <w:rFonts w:hint="eastAsia"/>
        </w:rPr>
        <w:t xml:space="preserve">, BBG, </w:t>
      </w:r>
      <w:r>
        <w:t>§ </w:t>
      </w:r>
      <w:r>
        <w:rPr>
          <w:rFonts w:hint="eastAsia"/>
        </w:rPr>
        <w:t xml:space="preserve">87 Rn. 1 ff. u. insb. </w:t>
      </w:r>
      <w:r>
        <w:rPr>
          <w:rFonts w:hint="eastAsia"/>
          <w:i/>
        </w:rPr>
        <w:t>Schnellenbach</w:t>
      </w:r>
      <w:r>
        <w:rPr>
          <w:rFonts w:hint="eastAsia"/>
        </w:rPr>
        <w:t>, Beamtenrecht in der Praxis, Rn. 682</w:t>
      </w:r>
      <w:r>
        <w:t> </w:t>
      </w:r>
      <w:r>
        <w:rPr>
          <w:rFonts w:hint="eastAsia"/>
        </w:rPr>
        <w:t>ff.</w:t>
      </w:r>
    </w:p>
  </w:footnote>
  <w:footnote w:id="92">
    <w:p w:rsidR="00000000" w:rsidRDefault="00724932">
      <w:pPr>
        <w:pStyle w:val="aa"/>
        <w:spacing w:after="180"/>
        <w:rPr>
          <w:rFonts w:hint="eastAsia"/>
        </w:rPr>
      </w:pPr>
      <w:r>
        <w:rPr>
          <w:rStyle w:val="a9"/>
        </w:rPr>
        <w:footnoteRef/>
      </w:r>
      <w:r>
        <w:t xml:space="preserve"> </w:t>
      </w:r>
      <w:r>
        <w:rPr>
          <w:rFonts w:hint="eastAsia"/>
        </w:rPr>
        <w:t xml:space="preserve">Hierzu im </w:t>
      </w:r>
      <w:r>
        <w:t>Ü</w:t>
      </w:r>
      <w:r>
        <w:rPr>
          <w:rFonts w:hint="eastAsia"/>
        </w:rPr>
        <w:t xml:space="preserve">berblick </w:t>
      </w:r>
      <w:r>
        <w:rPr>
          <w:rFonts w:hint="eastAsia"/>
          <w:i/>
        </w:rPr>
        <w:t>Behrens</w:t>
      </w:r>
      <w:r>
        <w:rPr>
          <w:rFonts w:hint="eastAsia"/>
        </w:rPr>
        <w:t xml:space="preserve">, Beamtenrecht, </w:t>
      </w:r>
      <w:r>
        <w:t>§ </w:t>
      </w:r>
      <w:r>
        <w:rPr>
          <w:rFonts w:hint="eastAsia"/>
        </w:rPr>
        <w:t>1 Rn. 1</w:t>
      </w:r>
      <w:r>
        <w:t> </w:t>
      </w:r>
      <w:r>
        <w:rPr>
          <w:rFonts w:hint="eastAsia"/>
        </w:rPr>
        <w:t xml:space="preserve">f.; </w:t>
      </w:r>
      <w:r>
        <w:rPr>
          <w:rFonts w:hint="eastAsia"/>
          <w:i/>
        </w:rPr>
        <w:t>Wagner</w:t>
      </w:r>
      <w:r>
        <w:rPr>
          <w:rFonts w:hint="eastAsia"/>
        </w:rPr>
        <w:t>, Beamtenrecht, Rn. 2.</w:t>
      </w:r>
    </w:p>
  </w:footnote>
  <w:footnote w:id="93">
    <w:p w:rsidR="00000000" w:rsidRDefault="00724932">
      <w:pPr>
        <w:pStyle w:val="aa"/>
        <w:spacing w:after="180"/>
        <w:rPr>
          <w:rFonts w:hint="eastAsia"/>
        </w:rPr>
      </w:pPr>
      <w:r>
        <w:rPr>
          <w:rStyle w:val="a9"/>
        </w:rPr>
        <w:footnoteRef/>
      </w:r>
      <w:r>
        <w:t xml:space="preserve"> </w:t>
      </w:r>
      <w:r>
        <w:rPr>
          <w:rFonts w:hint="eastAsia"/>
        </w:rPr>
        <w:t xml:space="preserve">So auch </w:t>
      </w:r>
      <w:r>
        <w:rPr>
          <w:rFonts w:hint="eastAsia"/>
          <w:i/>
        </w:rPr>
        <w:t>Behrens</w:t>
      </w:r>
      <w:r>
        <w:rPr>
          <w:rFonts w:hint="eastAsia"/>
        </w:rPr>
        <w:t xml:space="preserve">, Beamtenrecht, </w:t>
      </w:r>
      <w:r>
        <w:t>§ </w:t>
      </w:r>
      <w:r>
        <w:rPr>
          <w:rFonts w:hint="eastAsia"/>
        </w:rPr>
        <w:t>1 Rn. 1.</w:t>
      </w:r>
    </w:p>
  </w:footnote>
  <w:footnote w:id="94">
    <w:p w:rsidR="00000000" w:rsidRDefault="00724932">
      <w:pPr>
        <w:pStyle w:val="aa"/>
        <w:spacing w:after="180"/>
        <w:rPr>
          <w:rFonts w:hint="eastAsia"/>
        </w:rPr>
      </w:pPr>
      <w:r>
        <w:rPr>
          <w:rStyle w:val="a9"/>
        </w:rPr>
        <w:footnoteRef/>
      </w:r>
      <w:r>
        <w:t xml:space="preserve"> </w:t>
      </w:r>
      <w:r>
        <w:rPr>
          <w:rFonts w:hint="eastAsia"/>
        </w:rPr>
        <w:t xml:space="preserve">So auch </w:t>
      </w:r>
      <w:r>
        <w:rPr>
          <w:rFonts w:hint="eastAsia"/>
          <w:i/>
        </w:rPr>
        <w:t>Behrens</w:t>
      </w:r>
      <w:r>
        <w:rPr>
          <w:rFonts w:hint="eastAsia"/>
        </w:rPr>
        <w:t xml:space="preserve">, Beamtenrecht, </w:t>
      </w:r>
      <w:r>
        <w:t>§ </w:t>
      </w:r>
      <w:r>
        <w:rPr>
          <w:rFonts w:hint="eastAsia"/>
        </w:rPr>
        <w:t>1 Rn. 2.</w:t>
      </w:r>
    </w:p>
  </w:footnote>
  <w:footnote w:id="95">
    <w:p w:rsidR="00000000" w:rsidRDefault="00724932">
      <w:pPr>
        <w:pStyle w:val="aa"/>
        <w:spacing w:after="180"/>
        <w:rPr>
          <w:rFonts w:hint="eastAsia"/>
        </w:rPr>
      </w:pPr>
      <w:r>
        <w:rPr>
          <w:rStyle w:val="a9"/>
        </w:rPr>
        <w:footnoteRef/>
      </w:r>
      <w:r>
        <w:t xml:space="preserve"> </w:t>
      </w:r>
      <w:r>
        <w:rPr>
          <w:rFonts w:hint="eastAsia"/>
        </w:rPr>
        <w:t>Dazu ausf</w:t>
      </w:r>
      <w:r>
        <w:t>ü</w:t>
      </w:r>
      <w:r>
        <w:rPr>
          <w:rFonts w:hint="eastAsia"/>
        </w:rPr>
        <w:t xml:space="preserve">hrl. s. nur </w:t>
      </w:r>
      <w:r>
        <w:rPr>
          <w:rFonts w:hint="eastAsia"/>
          <w:i/>
        </w:rPr>
        <w:t>Battis</w:t>
      </w:r>
      <w:r>
        <w:rPr>
          <w:rFonts w:hint="eastAsia"/>
        </w:rPr>
        <w:t xml:space="preserve">, BBG, </w:t>
      </w:r>
      <w:r>
        <w:t>§ </w:t>
      </w:r>
      <w:r>
        <w:rPr>
          <w:rFonts w:hint="eastAsia"/>
        </w:rPr>
        <w:t>4 Rn. 10. m. w. Nachw.</w:t>
      </w:r>
    </w:p>
  </w:footnote>
  <w:footnote w:id="96">
    <w:p w:rsidR="00000000" w:rsidRDefault="00724932">
      <w:pPr>
        <w:pStyle w:val="aa"/>
        <w:spacing w:after="180"/>
        <w:rPr>
          <w:rFonts w:hint="eastAsia"/>
        </w:rPr>
      </w:pPr>
      <w:r>
        <w:rPr>
          <w:rStyle w:val="a9"/>
        </w:rPr>
        <w:footnoteRef/>
      </w:r>
      <w:r>
        <w:t xml:space="preserve"> </w:t>
      </w:r>
      <w:r>
        <w:rPr>
          <w:rFonts w:hint="eastAsia"/>
        </w:rPr>
        <w:t>Vgl. hierzu auc</w:t>
      </w:r>
      <w:r>
        <w:rPr>
          <w:rFonts w:hint="eastAsia"/>
        </w:rPr>
        <w:t xml:space="preserve">h </w:t>
      </w:r>
      <w:r>
        <w:rPr>
          <w:rFonts w:hint="eastAsia"/>
          <w:i/>
        </w:rPr>
        <w:t>Wind/Schimana/Wichmann/Lamger</w:t>
      </w:r>
      <w:r>
        <w:rPr>
          <w:rFonts w:hint="eastAsia"/>
        </w:rPr>
        <w:t xml:space="preserve">, </w:t>
      </w:r>
      <w:r>
        <w:t>Ö</w:t>
      </w:r>
      <w:r>
        <w:rPr>
          <w:rFonts w:hint="eastAsia"/>
        </w:rPr>
        <w:t>ffentliches Dienstrecht, Rn. 571.</w:t>
      </w:r>
    </w:p>
  </w:footnote>
  <w:footnote w:id="97">
    <w:p w:rsidR="00000000" w:rsidRDefault="00724932">
      <w:pPr>
        <w:pStyle w:val="aa"/>
        <w:spacing w:after="180"/>
        <w:rPr>
          <w:rFonts w:hint="eastAsia"/>
        </w:rPr>
      </w:pPr>
      <w:r>
        <w:rPr>
          <w:rStyle w:val="a9"/>
        </w:rPr>
        <w:footnoteRef/>
      </w:r>
      <w:r>
        <w:t xml:space="preserve"> </w:t>
      </w:r>
      <w:r>
        <w:rPr>
          <w:rFonts w:hint="eastAsia"/>
        </w:rPr>
        <w:t xml:space="preserve">Hierzu wiederum </w:t>
      </w:r>
      <w:r>
        <w:rPr>
          <w:rFonts w:hint="eastAsia"/>
          <w:i/>
        </w:rPr>
        <w:t>Battis</w:t>
      </w:r>
      <w:r>
        <w:rPr>
          <w:rFonts w:hint="eastAsia"/>
        </w:rPr>
        <w:t xml:space="preserve">, BBG, </w:t>
      </w:r>
      <w:r>
        <w:t>§ </w:t>
      </w:r>
      <w:r>
        <w:rPr>
          <w:rFonts w:hint="eastAsia"/>
        </w:rPr>
        <w:t>4 Rn. 10</w:t>
      </w:r>
      <w:r>
        <w:t> </w:t>
      </w:r>
      <w:r>
        <w:rPr>
          <w:rFonts w:hint="eastAsia"/>
        </w:rPr>
        <w:t>ff. m. w. Nachw.</w:t>
      </w:r>
    </w:p>
  </w:footnote>
  <w:footnote w:id="98">
    <w:p w:rsidR="00000000" w:rsidRDefault="00724932">
      <w:pPr>
        <w:pStyle w:val="aa"/>
        <w:spacing w:after="180"/>
        <w:rPr>
          <w:rFonts w:hint="eastAsia"/>
        </w:rPr>
      </w:pPr>
      <w:r>
        <w:rPr>
          <w:rStyle w:val="a9"/>
        </w:rPr>
        <w:footnoteRef/>
      </w:r>
      <w:r>
        <w:t xml:space="preserve"> </w:t>
      </w:r>
      <w:r>
        <w:rPr>
          <w:rFonts w:hint="eastAsia"/>
        </w:rPr>
        <w:t xml:space="preserve">So z. B. </w:t>
      </w:r>
      <w:r>
        <w:t>§ </w:t>
      </w:r>
      <w:r>
        <w:rPr>
          <w:rFonts w:hint="eastAsia"/>
        </w:rPr>
        <w:t>36 Abs. 6 BAT im Bezug auf Billigkeitsentscheidung.</w:t>
      </w:r>
    </w:p>
  </w:footnote>
  <w:footnote w:id="99">
    <w:p w:rsidR="00000000" w:rsidRDefault="00724932">
      <w:pPr>
        <w:pStyle w:val="aa"/>
        <w:spacing w:after="180"/>
        <w:rPr>
          <w:rFonts w:hint="eastAsia"/>
        </w:rPr>
      </w:pPr>
      <w:r>
        <w:rPr>
          <w:rStyle w:val="a9"/>
        </w:rPr>
        <w:footnoteRef/>
      </w:r>
      <w:r>
        <w:t xml:space="preserve"> </w:t>
      </w:r>
      <w:r>
        <w:rPr>
          <w:rFonts w:hint="eastAsia"/>
        </w:rPr>
        <w:t xml:space="preserve">Vgl. dazu </w:t>
      </w:r>
      <w:r>
        <w:rPr>
          <w:rFonts w:hint="eastAsia"/>
          <w:i/>
        </w:rPr>
        <w:t>Pfohl</w:t>
      </w:r>
      <w:r>
        <w:rPr>
          <w:rFonts w:hint="eastAsia"/>
        </w:rPr>
        <w:t xml:space="preserve">, Arbeitsrecht des </w:t>
      </w:r>
      <w:r>
        <w:t>ö</w:t>
      </w:r>
      <w:r>
        <w:rPr>
          <w:rFonts w:hint="eastAsia"/>
        </w:rPr>
        <w:t>ffentlichen Dienstes, Rn. 2</w:t>
      </w:r>
      <w:r>
        <w:rPr>
          <w:rFonts w:hint="eastAsia"/>
        </w:rPr>
        <w:t>74.</w:t>
      </w:r>
    </w:p>
  </w:footnote>
  <w:footnote w:id="100">
    <w:p w:rsidR="00000000" w:rsidRDefault="00724932">
      <w:pPr>
        <w:pStyle w:val="aa"/>
        <w:spacing w:after="180"/>
        <w:rPr>
          <w:rFonts w:hint="eastAsia"/>
        </w:rPr>
      </w:pPr>
      <w:r>
        <w:rPr>
          <w:rStyle w:val="a9"/>
        </w:rPr>
        <w:footnoteRef/>
      </w:r>
      <w:r>
        <w:t xml:space="preserve"> </w:t>
      </w:r>
      <w:r>
        <w:rPr>
          <w:rFonts w:hint="eastAsia"/>
        </w:rPr>
        <w:t xml:space="preserve">Siehe dazu </w:t>
      </w:r>
      <w:r>
        <w:rPr>
          <w:rFonts w:hint="eastAsia"/>
          <w:i/>
        </w:rPr>
        <w:t>Battis</w:t>
      </w:r>
      <w:r>
        <w:rPr>
          <w:rFonts w:hint="eastAsia"/>
        </w:rPr>
        <w:t xml:space="preserve">, BBG, </w:t>
      </w:r>
      <w:r>
        <w:t>§ </w:t>
      </w:r>
      <w:r>
        <w:rPr>
          <w:rFonts w:hint="eastAsia"/>
        </w:rPr>
        <w:t>4 Rn. 10 a. E.</w:t>
      </w:r>
    </w:p>
  </w:footnote>
  <w:footnote w:id="101">
    <w:p w:rsidR="00000000" w:rsidRDefault="00724932">
      <w:pPr>
        <w:pStyle w:val="aa"/>
        <w:spacing w:after="180"/>
        <w:rPr>
          <w:rFonts w:hint="eastAsia"/>
        </w:rPr>
      </w:pPr>
      <w:r>
        <w:rPr>
          <w:rStyle w:val="a9"/>
        </w:rPr>
        <w:footnoteRef/>
      </w:r>
      <w:r>
        <w:t xml:space="preserve"> </w:t>
      </w:r>
      <w:r>
        <w:rPr>
          <w:rFonts w:hint="eastAsia"/>
        </w:rPr>
        <w:t xml:space="preserve">Siehe dazu im </w:t>
      </w:r>
      <w:r>
        <w:t>Ü</w:t>
      </w:r>
      <w:r>
        <w:rPr>
          <w:rFonts w:hint="eastAsia"/>
        </w:rPr>
        <w:t xml:space="preserve">berblick </w:t>
      </w:r>
      <w:r>
        <w:rPr>
          <w:rFonts w:hint="eastAsia"/>
          <w:i/>
        </w:rPr>
        <w:t>Behrens</w:t>
      </w:r>
      <w:r>
        <w:rPr>
          <w:rFonts w:hint="eastAsia"/>
        </w:rPr>
        <w:t xml:space="preserve">, Beamtenrecht, </w:t>
      </w:r>
      <w:r>
        <w:t>§ </w:t>
      </w:r>
      <w:r>
        <w:rPr>
          <w:rFonts w:hint="eastAsia"/>
        </w:rPr>
        <w:t>1 Rn. 11 u. n</w:t>
      </w:r>
      <w:r>
        <w:t>ä</w:t>
      </w:r>
      <w:r>
        <w:rPr>
          <w:rFonts w:hint="eastAsia"/>
        </w:rPr>
        <w:t xml:space="preserve">her </w:t>
      </w:r>
      <w:r>
        <w:rPr>
          <w:rFonts w:hint="eastAsia"/>
          <w:i/>
        </w:rPr>
        <w:t>Battis</w:t>
      </w:r>
      <w:r>
        <w:rPr>
          <w:rFonts w:hint="eastAsia"/>
        </w:rPr>
        <w:t>, Beamtenr</w:t>
      </w:r>
      <w:r>
        <w:rPr>
          <w:rFonts w:hint="eastAsia"/>
          <w:lang w:val="de-DE"/>
        </w:rPr>
        <w:t>echt, in: Achterberg/P</w:t>
      </w:r>
      <w:r>
        <w:rPr>
          <w:lang w:val="de-DE"/>
        </w:rPr>
        <w:t>üttner/Würtenberger (Hrsg.),</w:t>
      </w:r>
      <w:r>
        <w:rPr>
          <w:rFonts w:hint="eastAsia"/>
          <w:lang w:val="de-DE"/>
        </w:rPr>
        <w:t xml:space="preserve"> Besonderes Verwaltungsrecht, </w:t>
      </w:r>
      <w:r>
        <w:t>§ 3</w:t>
      </w:r>
      <w:r>
        <w:rPr>
          <w:rFonts w:hint="eastAsia"/>
        </w:rPr>
        <w:t>1 Rn. 14 ff.</w:t>
      </w:r>
    </w:p>
  </w:footnote>
  <w:footnote w:id="102">
    <w:p w:rsidR="00000000" w:rsidRDefault="00724932">
      <w:pPr>
        <w:pStyle w:val="aa"/>
        <w:spacing w:after="180"/>
        <w:rPr>
          <w:rFonts w:hint="eastAsia"/>
        </w:rPr>
      </w:pPr>
      <w:r>
        <w:rPr>
          <w:rStyle w:val="a9"/>
        </w:rPr>
        <w:footnoteRef/>
      </w:r>
      <w:r>
        <w:t xml:space="preserve"> </w:t>
      </w:r>
      <w:r>
        <w:rPr>
          <w:rFonts w:hint="eastAsia"/>
        </w:rPr>
        <w:t>關於生存照顧金之主要項目，參見：</w:t>
      </w:r>
      <w:r>
        <w:rPr>
          <w:rFonts w:hint="eastAsia"/>
          <w:i/>
        </w:rPr>
        <w:t>Wagner</w:t>
      </w:r>
      <w:r>
        <w:rPr>
          <w:rFonts w:hint="eastAsia"/>
        </w:rPr>
        <w:t>, Be</w:t>
      </w:r>
      <w:r>
        <w:rPr>
          <w:rFonts w:hint="eastAsia"/>
        </w:rPr>
        <w:t>amtenrecht, Rn. 272</w:t>
      </w:r>
      <w:r>
        <w:rPr>
          <w:rFonts w:hint="eastAsia"/>
        </w:rPr>
        <w:t>。</w:t>
      </w:r>
    </w:p>
  </w:footnote>
  <w:footnote w:id="103">
    <w:p w:rsidR="00000000" w:rsidRDefault="00724932">
      <w:pPr>
        <w:pStyle w:val="aa"/>
        <w:spacing w:after="180"/>
        <w:rPr>
          <w:rFonts w:hint="eastAsia"/>
        </w:rPr>
      </w:pPr>
      <w:r>
        <w:rPr>
          <w:rStyle w:val="a9"/>
        </w:rPr>
        <w:footnoteRef/>
      </w:r>
      <w:r>
        <w:t xml:space="preserve"> </w:t>
      </w:r>
      <w:r>
        <w:rPr>
          <w:rFonts w:hint="eastAsia"/>
        </w:rPr>
        <w:t>關於這些所謂的其他公法上金錢給付項目，詳見：</w:t>
      </w:r>
      <w:r>
        <w:rPr>
          <w:rFonts w:hint="eastAsia"/>
          <w:i/>
        </w:rPr>
        <w:t>Schnellenbach</w:t>
      </w:r>
      <w:r>
        <w:rPr>
          <w:rFonts w:hint="eastAsia"/>
        </w:rPr>
        <w:t>, Beamtenrecht in der Praxis, Rn. 684</w:t>
      </w:r>
      <w:r>
        <w:rPr>
          <w:rFonts w:hint="eastAsia"/>
        </w:rPr>
        <w:t>。</w:t>
      </w:r>
    </w:p>
  </w:footnote>
  <w:footnote w:id="104">
    <w:p w:rsidR="00000000" w:rsidRDefault="00724932">
      <w:pPr>
        <w:pStyle w:val="aa"/>
        <w:spacing w:after="180"/>
        <w:rPr>
          <w:rFonts w:hint="eastAsia"/>
        </w:rPr>
      </w:pPr>
      <w:r>
        <w:rPr>
          <w:rStyle w:val="a9"/>
        </w:rPr>
        <w:footnoteRef/>
      </w:r>
      <w:r>
        <w:t xml:space="preserve"> </w:t>
      </w:r>
      <w:r>
        <w:rPr>
          <w:rFonts w:hint="eastAsia"/>
        </w:rPr>
        <w:t xml:space="preserve">So betont denn auch </w:t>
      </w:r>
      <w:r>
        <w:rPr>
          <w:rFonts w:hint="eastAsia"/>
          <w:i/>
        </w:rPr>
        <w:t>Schnellenbach</w:t>
      </w:r>
      <w:r>
        <w:rPr>
          <w:rFonts w:hint="eastAsia"/>
        </w:rPr>
        <w:t>, Beamtenrecht in der Praxis, Rn. 682 m. Fn. 4.</w:t>
      </w:r>
    </w:p>
  </w:footnote>
  <w:footnote w:id="105">
    <w:p w:rsidR="00000000" w:rsidRDefault="00724932">
      <w:pPr>
        <w:pStyle w:val="aa"/>
        <w:spacing w:after="180"/>
        <w:rPr>
          <w:rFonts w:hint="eastAsia"/>
        </w:rPr>
      </w:pPr>
      <w:r>
        <w:rPr>
          <w:rStyle w:val="a9"/>
        </w:rPr>
        <w:footnoteRef/>
      </w:r>
      <w:r>
        <w:t xml:space="preserve"> </w:t>
      </w:r>
      <w:r>
        <w:rPr>
          <w:rFonts w:hint="eastAsia"/>
        </w:rPr>
        <w:t xml:space="preserve">So auch </w:t>
      </w:r>
      <w:r>
        <w:rPr>
          <w:rFonts w:hint="eastAsia"/>
          <w:i/>
        </w:rPr>
        <w:t>Battis</w:t>
      </w:r>
      <w:r>
        <w:rPr>
          <w:rFonts w:hint="eastAsia"/>
        </w:rPr>
        <w:t xml:space="preserve">, BBG, </w:t>
      </w:r>
      <w:r>
        <w:t>§ </w:t>
      </w:r>
      <w:r>
        <w:rPr>
          <w:rFonts w:hint="eastAsia"/>
        </w:rPr>
        <w:t>87 Rn. 2.</w:t>
      </w:r>
    </w:p>
  </w:footnote>
  <w:footnote w:id="106">
    <w:p w:rsidR="00000000" w:rsidRDefault="00724932">
      <w:pPr>
        <w:pStyle w:val="aa"/>
        <w:spacing w:after="180"/>
        <w:rPr>
          <w:rFonts w:hint="eastAsia"/>
        </w:rPr>
      </w:pPr>
      <w:r>
        <w:rPr>
          <w:rStyle w:val="a9"/>
        </w:rPr>
        <w:footnoteRef/>
      </w:r>
      <w:r>
        <w:t xml:space="preserve"> </w:t>
      </w:r>
      <w:r>
        <w:rPr>
          <w:rFonts w:hint="eastAsia"/>
        </w:rPr>
        <w:t xml:space="preserve">Vgl. dazu nur </w:t>
      </w:r>
      <w:r>
        <w:rPr>
          <w:rFonts w:hint="eastAsia"/>
          <w:i/>
        </w:rPr>
        <w:t>Battis</w:t>
      </w:r>
      <w:r>
        <w:rPr>
          <w:rFonts w:hint="eastAsia"/>
        </w:rPr>
        <w:t xml:space="preserve">, BBG, </w:t>
      </w:r>
      <w:r>
        <w:t>§ </w:t>
      </w:r>
      <w:r>
        <w:rPr>
          <w:rFonts w:hint="eastAsia"/>
        </w:rPr>
        <w:t>87 Rn. 2 a</w:t>
      </w:r>
      <w:r>
        <w:rPr>
          <w:rFonts w:hint="eastAsia"/>
        </w:rPr>
        <w:t>. E.</w:t>
      </w:r>
    </w:p>
  </w:footnote>
  <w:footnote w:id="107">
    <w:p w:rsidR="00000000" w:rsidRDefault="00724932">
      <w:pPr>
        <w:pStyle w:val="aa"/>
        <w:spacing w:after="180"/>
        <w:rPr>
          <w:rFonts w:hint="eastAsia"/>
        </w:rPr>
      </w:pPr>
      <w:r>
        <w:rPr>
          <w:rStyle w:val="a9"/>
        </w:rPr>
        <w:footnoteRef/>
      </w:r>
      <w:r>
        <w:t xml:space="preserve"> </w:t>
      </w:r>
      <w:r>
        <w:rPr>
          <w:rFonts w:hint="eastAsia"/>
        </w:rPr>
        <w:t xml:space="preserve">Vgl. hierzu </w:t>
      </w:r>
      <w:r>
        <w:rPr>
          <w:rFonts w:hint="eastAsia"/>
          <w:i/>
        </w:rPr>
        <w:t>BVerwG</w:t>
      </w:r>
      <w:r>
        <w:rPr>
          <w:rFonts w:hint="eastAsia"/>
        </w:rPr>
        <w:t xml:space="preserve">, ZBR 83, 206; </w:t>
      </w:r>
      <w:r>
        <w:rPr>
          <w:rFonts w:hint="eastAsia"/>
          <w:i/>
        </w:rPr>
        <w:t>Schnellenbach</w:t>
      </w:r>
      <w:r>
        <w:rPr>
          <w:rFonts w:hint="eastAsia"/>
        </w:rPr>
        <w:t>, Beamtenrecht in der Praxis, Rn. 683 m. w. Nachw.</w:t>
      </w:r>
    </w:p>
  </w:footnote>
  <w:footnote w:id="108">
    <w:p w:rsidR="00000000" w:rsidRDefault="00724932">
      <w:pPr>
        <w:pStyle w:val="aa"/>
        <w:spacing w:after="180"/>
        <w:rPr>
          <w:rFonts w:hint="eastAsia"/>
        </w:rPr>
      </w:pPr>
      <w:r>
        <w:rPr>
          <w:rStyle w:val="a9"/>
        </w:rPr>
        <w:footnoteRef/>
      </w:r>
      <w:r>
        <w:t xml:space="preserve"> </w:t>
      </w:r>
      <w:r>
        <w:rPr>
          <w:rFonts w:hint="eastAsia"/>
          <w:i/>
        </w:rPr>
        <w:t>Battis</w:t>
      </w:r>
      <w:r>
        <w:rPr>
          <w:rFonts w:hint="eastAsia"/>
        </w:rPr>
        <w:t xml:space="preserve">, BBG, </w:t>
      </w:r>
      <w:r>
        <w:t>§ </w:t>
      </w:r>
      <w:r>
        <w:rPr>
          <w:rFonts w:hint="eastAsia"/>
        </w:rPr>
        <w:t>87 Rn. 2.</w:t>
      </w:r>
    </w:p>
  </w:footnote>
  <w:footnote w:id="109">
    <w:p w:rsidR="00000000" w:rsidRDefault="00724932">
      <w:pPr>
        <w:pStyle w:val="aa"/>
        <w:spacing w:after="180"/>
        <w:rPr>
          <w:rFonts w:hint="eastAsia"/>
        </w:rPr>
      </w:pPr>
      <w:r>
        <w:rPr>
          <w:rStyle w:val="a9"/>
        </w:rPr>
        <w:footnoteRef/>
      </w:r>
      <w:r>
        <w:t xml:space="preserve"> </w:t>
      </w:r>
      <w:r>
        <w:rPr>
          <w:rFonts w:hint="eastAsia"/>
        </w:rPr>
        <w:t>詳見本章第一節壹。</w:t>
      </w:r>
    </w:p>
  </w:footnote>
  <w:footnote w:id="110">
    <w:p w:rsidR="00000000" w:rsidRDefault="00724932">
      <w:pPr>
        <w:pStyle w:val="aa"/>
        <w:spacing w:after="180"/>
        <w:rPr>
          <w:rFonts w:hint="eastAsia"/>
        </w:rPr>
      </w:pPr>
      <w:r>
        <w:rPr>
          <w:rStyle w:val="a9"/>
        </w:rPr>
        <w:footnoteRef/>
      </w:r>
      <w:r>
        <w:t xml:space="preserve"> </w:t>
      </w:r>
      <w:r>
        <w:rPr>
          <w:rFonts w:hint="eastAsia"/>
          <w:lang w:val="de-DE"/>
        </w:rPr>
        <w:t>在此必須注意的是</w:t>
      </w:r>
      <w:r>
        <w:rPr>
          <w:rFonts w:hint="eastAsia"/>
        </w:rPr>
        <w:t>，</w:t>
      </w:r>
      <w:r>
        <w:rPr>
          <w:rFonts w:hint="eastAsia"/>
          <w:lang w:val="de-DE"/>
        </w:rPr>
        <w:t>在德國</w:t>
      </w:r>
      <w:r>
        <w:rPr>
          <w:rFonts w:hint="eastAsia"/>
        </w:rPr>
        <w:t>，</w:t>
      </w:r>
      <w:r>
        <w:rPr>
          <w:rFonts w:hint="eastAsia"/>
          <w:lang w:val="de-DE"/>
        </w:rPr>
        <w:t>依據這些公務人員</w:t>
      </w:r>
      <w:r>
        <w:rPr>
          <w:rFonts w:hAnsi="新細明體" w:hint="eastAsia"/>
        </w:rPr>
        <w:t>相關法條第一項規定，原指「法律（</w:t>
      </w:r>
      <w:r>
        <w:rPr>
          <w:rFonts w:hAnsi="新細明體" w:hint="eastAsia"/>
        </w:rPr>
        <w:t>Gesetz</w:t>
      </w:r>
      <w:r>
        <w:rPr>
          <w:rFonts w:hAnsi="新細明體" w:hint="eastAsia"/>
        </w:rPr>
        <w:t>）」而已，惟在實務的作法（</w:t>
      </w:r>
      <w:r>
        <w:rPr>
          <w:rFonts w:hAnsi="新細明體" w:hint="eastAsia"/>
        </w:rPr>
        <w:t>s. BBesGVwV 12.1.1</w:t>
      </w:r>
      <w:r>
        <w:rPr>
          <w:rFonts w:hAnsi="新細明體" w:hint="eastAsia"/>
        </w:rPr>
        <w:t>），則含「法規命令（</w:t>
      </w:r>
      <w:r>
        <w:rPr>
          <w:rFonts w:hAnsi="新細明體" w:hint="eastAsia"/>
        </w:rPr>
        <w:t>Rechtsverordnung</w:t>
      </w:r>
      <w:r>
        <w:rPr>
          <w:rFonts w:hAnsi="新細明體" w:hint="eastAsia"/>
        </w:rPr>
        <w:t>）」在內；從而如按照我</w:t>
      </w:r>
      <w:r>
        <w:rPr>
          <w:rFonts w:hAnsi="新細明體" w:hint="eastAsia"/>
        </w:rPr>
        <w:t>國法的理解，德國法中排除公法上返還請求權之適用者，其實應包括一切「法規」之溯及變動的情形。</w:t>
      </w:r>
    </w:p>
  </w:footnote>
  <w:footnote w:id="111">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Vgl. hierzu </w:t>
      </w:r>
      <w:r>
        <w:rPr>
          <w:rFonts w:hint="eastAsia"/>
          <w:i/>
          <w:lang w:val="de-DE"/>
        </w:rPr>
        <w:t>Battis</w:t>
      </w:r>
      <w:r>
        <w:rPr>
          <w:rFonts w:hint="eastAsia"/>
          <w:lang w:val="de-DE"/>
        </w:rPr>
        <w:t xml:space="preserve">, BBG, </w:t>
      </w:r>
      <w:r>
        <w:rPr>
          <w:lang w:val="de-DE"/>
        </w:rPr>
        <w:t>§ </w:t>
      </w:r>
      <w:r>
        <w:rPr>
          <w:rFonts w:hint="eastAsia"/>
          <w:lang w:val="de-DE"/>
        </w:rPr>
        <w:t>87 Rn. 3 m.w. Nachw.</w:t>
      </w:r>
    </w:p>
  </w:footnote>
  <w:footnote w:id="112">
    <w:p w:rsidR="00000000" w:rsidRDefault="00724932">
      <w:pPr>
        <w:pStyle w:val="aa"/>
        <w:spacing w:after="180"/>
        <w:rPr>
          <w:rFonts w:hint="eastAsia"/>
        </w:rPr>
      </w:pPr>
      <w:r>
        <w:rPr>
          <w:rStyle w:val="a9"/>
        </w:rPr>
        <w:footnoteRef/>
      </w:r>
      <w:r>
        <w:t xml:space="preserve"> </w:t>
      </w:r>
      <w:r>
        <w:rPr>
          <w:rFonts w:hint="eastAsia"/>
        </w:rPr>
        <w:t>So n</w:t>
      </w:r>
      <w:r>
        <w:t>ä</w:t>
      </w:r>
      <w:r>
        <w:rPr>
          <w:rFonts w:hint="eastAsia"/>
        </w:rPr>
        <w:t xml:space="preserve">her </w:t>
      </w:r>
      <w:r>
        <w:rPr>
          <w:rFonts w:hint="eastAsia"/>
          <w:i/>
        </w:rPr>
        <w:t>Battis</w:t>
      </w:r>
      <w:r>
        <w:rPr>
          <w:rFonts w:hint="eastAsia"/>
        </w:rPr>
        <w:t xml:space="preserve">, BBG, </w:t>
      </w:r>
      <w:r>
        <w:t>§ </w:t>
      </w:r>
      <w:r>
        <w:rPr>
          <w:rFonts w:hint="eastAsia"/>
        </w:rPr>
        <w:t>87 Rn. 5 ff.;</w:t>
      </w:r>
      <w:r>
        <w:t xml:space="preserve"> </w:t>
      </w:r>
      <w:r>
        <w:rPr>
          <w:rFonts w:hint="eastAsia"/>
          <w:i/>
        </w:rPr>
        <w:t>Schnellenbach</w:t>
      </w:r>
      <w:r>
        <w:rPr>
          <w:rFonts w:hint="eastAsia"/>
        </w:rPr>
        <w:t>, Beamtenrecht in der Praxis, Rn. 689 ff.</w:t>
      </w:r>
    </w:p>
  </w:footnote>
  <w:footnote w:id="113">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Battis</w:t>
      </w:r>
      <w:r>
        <w:rPr>
          <w:rFonts w:hint="eastAsia"/>
        </w:rPr>
        <w:t xml:space="preserve">, BBG, </w:t>
      </w:r>
      <w:r>
        <w:t>§ </w:t>
      </w:r>
      <w:r>
        <w:rPr>
          <w:rFonts w:hint="eastAsia"/>
        </w:rPr>
        <w:t xml:space="preserve">87 Rn. 4; </w:t>
      </w:r>
      <w:r>
        <w:rPr>
          <w:rFonts w:hint="eastAsia"/>
          <w:i/>
        </w:rPr>
        <w:t>Schnellenbach</w:t>
      </w:r>
      <w:r>
        <w:rPr>
          <w:rFonts w:hint="eastAsia"/>
        </w:rPr>
        <w:t>, Beamtenrech</w:t>
      </w:r>
      <w:r>
        <w:rPr>
          <w:rFonts w:hint="eastAsia"/>
        </w:rPr>
        <w:t>t in der Praxis, Rn. 704.</w:t>
      </w:r>
    </w:p>
  </w:footnote>
  <w:footnote w:id="114">
    <w:p w:rsidR="00000000" w:rsidRDefault="00724932">
      <w:pPr>
        <w:pStyle w:val="aa"/>
        <w:spacing w:after="180"/>
        <w:rPr>
          <w:rFonts w:hint="eastAsia"/>
        </w:rPr>
      </w:pPr>
      <w:r>
        <w:rPr>
          <w:rStyle w:val="a9"/>
        </w:rPr>
        <w:footnoteRef/>
      </w:r>
      <w:r>
        <w:t xml:space="preserve"> </w:t>
      </w:r>
      <w:r>
        <w:rPr>
          <w:rFonts w:hint="eastAsia"/>
        </w:rPr>
        <w:t xml:space="preserve">So betont denn auch </w:t>
      </w:r>
      <w:r>
        <w:rPr>
          <w:rFonts w:hint="eastAsia"/>
          <w:i/>
        </w:rPr>
        <w:t>Battis</w:t>
      </w:r>
      <w:r>
        <w:rPr>
          <w:rFonts w:hint="eastAsia"/>
        </w:rPr>
        <w:t xml:space="preserve">, BBG, </w:t>
      </w:r>
      <w:r>
        <w:t>§ </w:t>
      </w:r>
      <w:r>
        <w:rPr>
          <w:rFonts w:hint="eastAsia"/>
        </w:rPr>
        <w:t>87 Rn. 4 a. E., 22; vgl. zudem ausf</w:t>
      </w:r>
      <w:r>
        <w:t>ü</w:t>
      </w:r>
      <w:r>
        <w:rPr>
          <w:rFonts w:hint="eastAsia"/>
        </w:rPr>
        <w:t xml:space="preserve">hrl. </w:t>
      </w:r>
      <w:r>
        <w:rPr>
          <w:rFonts w:hint="eastAsia"/>
          <w:i/>
        </w:rPr>
        <w:t>Schnellenbach</w:t>
      </w:r>
      <w:r>
        <w:rPr>
          <w:rFonts w:hint="eastAsia"/>
        </w:rPr>
        <w:t>, Beam</w:t>
      </w:r>
      <w:r>
        <w:softHyphen/>
      </w:r>
      <w:r>
        <w:rPr>
          <w:rFonts w:hint="eastAsia"/>
        </w:rPr>
        <w:t>tenrecht in der Praxis, Rn.737 ff.</w:t>
      </w:r>
    </w:p>
  </w:footnote>
  <w:footnote w:id="115">
    <w:p w:rsidR="00000000" w:rsidRDefault="00724932">
      <w:pPr>
        <w:pStyle w:val="aa"/>
        <w:spacing w:after="180"/>
        <w:rPr>
          <w:rFonts w:hint="eastAsia"/>
        </w:rPr>
      </w:pPr>
      <w:r>
        <w:rPr>
          <w:rStyle w:val="a9"/>
        </w:rPr>
        <w:footnoteRef/>
      </w:r>
      <w:r>
        <w:t xml:space="preserve"> </w:t>
      </w:r>
      <w:r>
        <w:rPr>
          <w:rFonts w:hint="eastAsia"/>
        </w:rPr>
        <w:t>Siehe BT-Drs. 12/5919, S. 17.</w:t>
      </w:r>
    </w:p>
  </w:footnote>
  <w:footnote w:id="116">
    <w:p w:rsidR="00000000" w:rsidRDefault="00724932">
      <w:pPr>
        <w:pStyle w:val="aa"/>
        <w:spacing w:after="180"/>
        <w:rPr>
          <w:rFonts w:hint="eastAsia"/>
        </w:rPr>
      </w:pPr>
      <w:r>
        <w:rPr>
          <w:rStyle w:val="a9"/>
        </w:rPr>
        <w:footnoteRef/>
      </w:r>
      <w:r>
        <w:t xml:space="preserve"> </w:t>
      </w:r>
      <w:r>
        <w:rPr>
          <w:rFonts w:hint="eastAsia"/>
        </w:rPr>
        <w:t>So etwa BT-Drs. 14/7064, S. 39; BR-Drs. 735/01, S. 98.</w:t>
      </w:r>
    </w:p>
  </w:footnote>
  <w:footnote w:id="117">
    <w:p w:rsidR="00000000" w:rsidRDefault="00724932">
      <w:pPr>
        <w:pStyle w:val="aa"/>
        <w:spacing w:after="180"/>
        <w:rPr>
          <w:rFonts w:hint="eastAsia"/>
        </w:rPr>
      </w:pPr>
      <w:r>
        <w:rPr>
          <w:rStyle w:val="a9"/>
        </w:rPr>
        <w:footnoteRef/>
      </w:r>
      <w:r>
        <w:t xml:space="preserve"> </w:t>
      </w:r>
      <w:r>
        <w:rPr>
          <w:rFonts w:hint="eastAsia"/>
        </w:rPr>
        <w:t xml:space="preserve">So </w:t>
      </w:r>
      <w:r>
        <w:rPr>
          <w:rFonts w:hint="eastAsia"/>
          <w:i/>
        </w:rPr>
        <w:t>BVe</w:t>
      </w:r>
      <w:r>
        <w:rPr>
          <w:rFonts w:hint="eastAsia"/>
          <w:i/>
        </w:rPr>
        <w:t>rwG</w:t>
      </w:r>
      <w:r>
        <w:rPr>
          <w:rFonts w:hint="eastAsia"/>
        </w:rPr>
        <w:t>, ZBR 92, 311 (312).</w:t>
      </w:r>
    </w:p>
  </w:footnote>
  <w:footnote w:id="118">
    <w:p w:rsidR="00000000" w:rsidRDefault="00724932">
      <w:pPr>
        <w:pStyle w:val="aa"/>
        <w:spacing w:after="180"/>
        <w:rPr>
          <w:rFonts w:hint="eastAsia"/>
        </w:rPr>
      </w:pPr>
      <w:r>
        <w:rPr>
          <w:rStyle w:val="a9"/>
        </w:rPr>
        <w:footnoteRef/>
      </w:r>
      <w:r>
        <w:t xml:space="preserve"> </w:t>
      </w:r>
      <w:r>
        <w:rPr>
          <w:rFonts w:hint="eastAsia"/>
        </w:rPr>
        <w:t>Vgl. dazu ausf</w:t>
      </w:r>
      <w:r>
        <w:t>ü</w:t>
      </w:r>
      <w:r>
        <w:rPr>
          <w:rFonts w:hint="eastAsia"/>
        </w:rPr>
        <w:t xml:space="preserve">hrl. </w:t>
      </w:r>
      <w:r>
        <w:rPr>
          <w:rFonts w:hint="eastAsia"/>
          <w:i/>
        </w:rPr>
        <w:t>Battis</w:t>
      </w:r>
      <w:r>
        <w:rPr>
          <w:rFonts w:hint="eastAsia"/>
        </w:rPr>
        <w:t xml:space="preserve">, BBG, </w:t>
      </w:r>
      <w:r>
        <w:t>§ </w:t>
      </w:r>
      <w:r>
        <w:rPr>
          <w:rFonts w:hint="eastAsia"/>
        </w:rPr>
        <w:t>87 Rn. 24;</w:t>
      </w:r>
      <w:r>
        <w:t xml:space="preserve"> </w:t>
      </w:r>
      <w:r>
        <w:rPr>
          <w:rFonts w:hint="eastAsia"/>
          <w:i/>
        </w:rPr>
        <w:t>Schnellenbach</w:t>
      </w:r>
      <w:r>
        <w:rPr>
          <w:rFonts w:hint="eastAsia"/>
        </w:rPr>
        <w:t>, Beamtenrecht in der Praxis, Rn. 743 ff.</w:t>
      </w:r>
    </w:p>
  </w:footnote>
  <w:footnote w:id="119">
    <w:p w:rsidR="00000000" w:rsidRDefault="00724932">
      <w:pPr>
        <w:pStyle w:val="aa"/>
        <w:spacing w:after="180"/>
        <w:rPr>
          <w:rFonts w:hint="eastAsia"/>
        </w:rPr>
      </w:pPr>
      <w:r>
        <w:rPr>
          <w:rStyle w:val="a9"/>
        </w:rPr>
        <w:footnoteRef/>
      </w:r>
      <w:r>
        <w:t xml:space="preserve"> </w:t>
      </w:r>
      <w:r>
        <w:rPr>
          <w:rFonts w:hint="eastAsia"/>
        </w:rPr>
        <w:t>詳見前文第一章第三節之說明。</w:t>
      </w:r>
    </w:p>
  </w:footnote>
  <w:footnote w:id="120">
    <w:p w:rsidR="00000000" w:rsidRDefault="00724932">
      <w:pPr>
        <w:pStyle w:val="aa"/>
        <w:spacing w:after="180"/>
        <w:rPr>
          <w:rFonts w:hint="eastAsia"/>
        </w:rPr>
      </w:pPr>
      <w:r>
        <w:rPr>
          <w:rStyle w:val="a9"/>
        </w:rPr>
        <w:footnoteRef/>
      </w:r>
      <w:r>
        <w:rPr>
          <w:rFonts w:hint="eastAsia"/>
        </w:rPr>
        <w:t xml:space="preserve"> </w:t>
      </w:r>
      <w:r>
        <w:rPr>
          <w:rFonts w:hint="eastAsia"/>
        </w:rPr>
        <w:t>例見：司法院大法官釋字第</w:t>
      </w:r>
      <w:r>
        <w:rPr>
          <w:rFonts w:hint="eastAsia"/>
        </w:rPr>
        <w:t>515</w:t>
      </w:r>
      <w:r>
        <w:rPr>
          <w:rFonts w:hint="eastAsia"/>
        </w:rPr>
        <w:t>號解釋。</w:t>
      </w:r>
    </w:p>
  </w:footnote>
  <w:footnote w:id="121">
    <w:p w:rsidR="00000000" w:rsidRDefault="00724932">
      <w:pPr>
        <w:pStyle w:val="aa"/>
        <w:spacing w:after="180"/>
        <w:rPr>
          <w:rFonts w:hint="eastAsia"/>
        </w:rPr>
      </w:pPr>
      <w:r>
        <w:rPr>
          <w:rStyle w:val="a9"/>
        </w:rPr>
        <w:footnoteRef/>
      </w:r>
      <w:r>
        <w:rPr>
          <w:rFonts w:hint="eastAsia"/>
        </w:rPr>
        <w:t xml:space="preserve"> </w:t>
      </w:r>
      <w:r>
        <w:rPr>
          <w:rFonts w:hint="eastAsia"/>
        </w:rPr>
        <w:t>有關我國與德國民法上不當得利規定之對照，參見本章第一節參之附表。</w:t>
      </w:r>
    </w:p>
  </w:footnote>
  <w:footnote w:id="122">
    <w:p w:rsidR="00000000" w:rsidRDefault="00724932">
      <w:pPr>
        <w:pStyle w:val="aa"/>
        <w:spacing w:after="180"/>
        <w:rPr>
          <w:rFonts w:hint="eastAsia"/>
        </w:rPr>
      </w:pPr>
      <w:r>
        <w:rPr>
          <w:rStyle w:val="a9"/>
        </w:rPr>
        <w:footnoteRef/>
      </w:r>
      <w:r>
        <w:t xml:space="preserve"> </w:t>
      </w:r>
      <w:r>
        <w:rPr>
          <w:rFonts w:hint="eastAsia"/>
        </w:rPr>
        <w:t>例見：（改制前）行政法院</w:t>
      </w:r>
      <w:r>
        <w:rPr>
          <w:rFonts w:hint="eastAsia"/>
        </w:rPr>
        <w:t>80</w:t>
      </w:r>
      <w:r>
        <w:rPr>
          <w:rFonts w:hint="eastAsia"/>
        </w:rPr>
        <w:t>年判字第</w:t>
      </w:r>
      <w:r>
        <w:rPr>
          <w:rFonts w:hint="eastAsia"/>
        </w:rPr>
        <w:t>1490</w:t>
      </w:r>
      <w:r>
        <w:rPr>
          <w:rFonts w:hint="eastAsia"/>
        </w:rPr>
        <w:t>號判決、最高行政法院</w:t>
      </w:r>
      <w:r>
        <w:rPr>
          <w:rFonts w:hint="eastAsia"/>
        </w:rPr>
        <w:t>91</w:t>
      </w:r>
      <w:r>
        <w:rPr>
          <w:rFonts w:hint="eastAsia"/>
        </w:rPr>
        <w:t>年判字第</w:t>
      </w:r>
      <w:r>
        <w:rPr>
          <w:rFonts w:hint="eastAsia"/>
        </w:rPr>
        <w:t>2282</w:t>
      </w:r>
      <w:r>
        <w:rPr>
          <w:rFonts w:hint="eastAsia"/>
        </w:rPr>
        <w:t>號判決及高雄高等行政法院</w:t>
      </w:r>
      <w:r>
        <w:rPr>
          <w:rFonts w:hint="eastAsia"/>
        </w:rPr>
        <w:t>89</w:t>
      </w:r>
      <w:r>
        <w:rPr>
          <w:rFonts w:hint="eastAsia"/>
        </w:rPr>
        <w:t>年訴字第</w:t>
      </w:r>
      <w:r>
        <w:rPr>
          <w:rFonts w:hint="eastAsia"/>
        </w:rPr>
        <w:t>479</w:t>
      </w:r>
      <w:r>
        <w:rPr>
          <w:rFonts w:hint="eastAsia"/>
        </w:rPr>
        <w:t>號判決等。</w:t>
      </w:r>
    </w:p>
  </w:footnote>
  <w:footnote w:id="123">
    <w:p w:rsidR="00000000" w:rsidRDefault="00724932">
      <w:pPr>
        <w:pStyle w:val="aa"/>
        <w:spacing w:after="180"/>
        <w:rPr>
          <w:rFonts w:hint="eastAsia"/>
        </w:rPr>
      </w:pPr>
      <w:r>
        <w:rPr>
          <w:rStyle w:val="a9"/>
        </w:rPr>
        <w:footnoteRef/>
      </w:r>
      <w:r>
        <w:t xml:space="preserve"> </w:t>
      </w:r>
      <w:r>
        <w:rPr>
          <w:rFonts w:hint="eastAsia"/>
        </w:rPr>
        <w:t>詳見：陳敏，行政法總論，頁</w:t>
      </w:r>
      <w:r>
        <w:rPr>
          <w:rFonts w:hint="eastAsia"/>
        </w:rPr>
        <w:t>1013-1016</w:t>
      </w:r>
      <w:r>
        <w:rPr>
          <w:rFonts w:hint="eastAsia"/>
        </w:rPr>
        <w:t>。</w:t>
      </w:r>
    </w:p>
  </w:footnote>
  <w:footnote w:id="124">
    <w:p w:rsidR="00000000" w:rsidRDefault="00724932">
      <w:pPr>
        <w:pStyle w:val="aa"/>
        <w:spacing w:after="180"/>
        <w:rPr>
          <w:rFonts w:hint="eastAsia"/>
        </w:rPr>
      </w:pPr>
      <w:r>
        <w:rPr>
          <w:rStyle w:val="a9"/>
        </w:rPr>
        <w:footnoteRef/>
      </w:r>
      <w:r>
        <w:t xml:space="preserve"> </w:t>
      </w:r>
      <w:r>
        <w:rPr>
          <w:rFonts w:hint="eastAsia"/>
        </w:rPr>
        <w:t>相關問題，詳見：李建良，保障制度復審範圍之研究，頁</w:t>
      </w:r>
      <w:r>
        <w:rPr>
          <w:rFonts w:hint="eastAsia"/>
        </w:rPr>
        <w:t>93</w:t>
      </w:r>
      <w:r>
        <w:rPr>
          <w:rFonts w:hint="eastAsia"/>
        </w:rPr>
        <w:t>以下。</w:t>
      </w:r>
    </w:p>
  </w:footnote>
  <w:footnote w:id="125">
    <w:p w:rsidR="00000000" w:rsidRDefault="00724932">
      <w:pPr>
        <w:pStyle w:val="aa"/>
        <w:spacing w:after="180"/>
        <w:rPr>
          <w:rFonts w:hint="eastAsia"/>
        </w:rPr>
      </w:pPr>
      <w:r>
        <w:rPr>
          <w:rStyle w:val="a9"/>
        </w:rPr>
        <w:footnoteRef/>
      </w:r>
      <w:r>
        <w:t xml:space="preserve"> </w:t>
      </w:r>
      <w:r>
        <w:rPr>
          <w:rFonts w:hint="eastAsia"/>
        </w:rPr>
        <w:t>有關「非現職公務人員」及公務人員之「遺族」適用復審制度之問題，詳見：李建良，保障制度復審範圍之研究，頁</w:t>
      </w:r>
      <w:r>
        <w:rPr>
          <w:rFonts w:hint="eastAsia"/>
        </w:rPr>
        <w:t>9</w:t>
      </w:r>
      <w:r>
        <w:rPr>
          <w:rFonts w:hint="eastAsia"/>
        </w:rPr>
        <w:t>9-102</w:t>
      </w:r>
      <w:r>
        <w:rPr>
          <w:rFonts w:hint="eastAsia"/>
        </w:rPr>
        <w:t>。</w:t>
      </w:r>
    </w:p>
  </w:footnote>
  <w:footnote w:id="126">
    <w:p w:rsidR="00000000" w:rsidRDefault="00724932">
      <w:pPr>
        <w:pStyle w:val="aa"/>
        <w:spacing w:after="180"/>
        <w:rPr>
          <w:rFonts w:hint="eastAsia"/>
        </w:rPr>
      </w:pPr>
      <w:r>
        <w:rPr>
          <w:rStyle w:val="a9"/>
        </w:rPr>
        <w:footnoteRef/>
      </w:r>
      <w:r>
        <w:t xml:space="preserve"> </w:t>
      </w:r>
      <w:r>
        <w:rPr>
          <w:rFonts w:hint="eastAsia"/>
        </w:rPr>
        <w:t>參見：法務部，行政程序法解釋及諮詢小組會議紀錄彙編，頁</w:t>
      </w:r>
      <w:r>
        <w:rPr>
          <w:rFonts w:hint="eastAsia"/>
        </w:rPr>
        <w:t>154-156</w:t>
      </w:r>
      <w:r>
        <w:rPr>
          <w:rFonts w:hint="eastAsia"/>
        </w:rPr>
        <w:t>（涉及約、聘僱人員）；法務部，行政程序法解釋及諮詢小組會議紀錄彙編（二），頁</w:t>
      </w:r>
      <w:r>
        <w:rPr>
          <w:rFonts w:hint="eastAsia"/>
        </w:rPr>
        <w:t>124</w:t>
      </w:r>
      <w:r>
        <w:rPr>
          <w:rFonts w:hint="eastAsia"/>
        </w:rPr>
        <w:t>（涉及公立學校教師）。</w:t>
      </w:r>
    </w:p>
  </w:footnote>
  <w:footnote w:id="127">
    <w:p w:rsidR="00000000" w:rsidRDefault="00724932">
      <w:pPr>
        <w:pStyle w:val="aa"/>
        <w:spacing w:after="180"/>
        <w:rPr>
          <w:rFonts w:hint="eastAsia"/>
        </w:rPr>
      </w:pPr>
      <w:r>
        <w:rPr>
          <w:rStyle w:val="a9"/>
        </w:rPr>
        <w:footnoteRef/>
      </w:r>
      <w:r>
        <w:t xml:space="preserve"> </w:t>
      </w:r>
      <w:r>
        <w:rPr>
          <w:rFonts w:hint="eastAsia"/>
        </w:rPr>
        <w:t>例見：司法院院解字第</w:t>
      </w:r>
      <w:r>
        <w:rPr>
          <w:rFonts w:hint="eastAsia"/>
        </w:rPr>
        <w:t>2928</w:t>
      </w:r>
      <w:r>
        <w:rPr>
          <w:rFonts w:hint="eastAsia"/>
        </w:rPr>
        <w:t>號解釋、行政法院</w:t>
      </w:r>
      <w:r>
        <w:rPr>
          <w:rFonts w:hint="eastAsia"/>
        </w:rPr>
        <w:t>46</w:t>
      </w:r>
      <w:r>
        <w:rPr>
          <w:rFonts w:hint="eastAsia"/>
        </w:rPr>
        <w:t>年裁字第</w:t>
      </w:r>
      <w:r>
        <w:rPr>
          <w:rFonts w:hint="eastAsia"/>
        </w:rPr>
        <w:t>27</w:t>
      </w:r>
      <w:r>
        <w:rPr>
          <w:rFonts w:hint="eastAsia"/>
        </w:rPr>
        <w:t>號裁定、</w:t>
      </w:r>
      <w:r>
        <w:rPr>
          <w:rFonts w:hint="eastAsia"/>
        </w:rPr>
        <w:t>51</w:t>
      </w:r>
      <w:r>
        <w:rPr>
          <w:rFonts w:hint="eastAsia"/>
        </w:rPr>
        <w:t>年裁字第</w:t>
      </w:r>
      <w:r>
        <w:rPr>
          <w:rFonts w:hint="eastAsia"/>
        </w:rPr>
        <w:t>49</w:t>
      </w:r>
      <w:r>
        <w:rPr>
          <w:rFonts w:hint="eastAsia"/>
        </w:rPr>
        <w:t>號裁定及</w:t>
      </w:r>
      <w:r>
        <w:rPr>
          <w:rFonts w:hint="eastAsia"/>
        </w:rPr>
        <w:t>62</w:t>
      </w:r>
      <w:r>
        <w:rPr>
          <w:rFonts w:hint="eastAsia"/>
        </w:rPr>
        <w:t>年裁字第</w:t>
      </w:r>
      <w:r>
        <w:rPr>
          <w:rFonts w:hint="eastAsia"/>
        </w:rPr>
        <w:t>233</w:t>
      </w:r>
      <w:r>
        <w:rPr>
          <w:rFonts w:hint="eastAsia"/>
        </w:rPr>
        <w:t>號裁定。</w:t>
      </w:r>
    </w:p>
  </w:footnote>
  <w:footnote w:id="128">
    <w:p w:rsidR="00000000" w:rsidRDefault="00724932">
      <w:pPr>
        <w:pStyle w:val="aa"/>
        <w:spacing w:after="180"/>
        <w:rPr>
          <w:rFonts w:hint="eastAsia"/>
        </w:rPr>
      </w:pPr>
      <w:r>
        <w:rPr>
          <w:rStyle w:val="a9"/>
        </w:rPr>
        <w:footnoteRef/>
      </w:r>
      <w:r>
        <w:t xml:space="preserve"> </w:t>
      </w:r>
      <w:r>
        <w:rPr>
          <w:rFonts w:hint="eastAsia"/>
        </w:rPr>
        <w:t>例見：（改制前）行政法院</w:t>
      </w:r>
      <w:r>
        <w:rPr>
          <w:rFonts w:hint="eastAsia"/>
        </w:rPr>
        <w:t>80</w:t>
      </w:r>
      <w:r>
        <w:rPr>
          <w:rFonts w:hint="eastAsia"/>
        </w:rPr>
        <w:t>年判字第</w:t>
      </w:r>
      <w:r>
        <w:rPr>
          <w:rFonts w:hint="eastAsia"/>
        </w:rPr>
        <w:t>1490</w:t>
      </w:r>
      <w:r>
        <w:rPr>
          <w:rFonts w:hint="eastAsia"/>
        </w:rPr>
        <w:t>號判決、最高行政法院</w:t>
      </w:r>
      <w:r>
        <w:rPr>
          <w:rFonts w:hint="eastAsia"/>
        </w:rPr>
        <w:t>91</w:t>
      </w:r>
      <w:r>
        <w:rPr>
          <w:rFonts w:hint="eastAsia"/>
        </w:rPr>
        <w:t>年判字第</w:t>
      </w:r>
      <w:r>
        <w:rPr>
          <w:rFonts w:hint="eastAsia"/>
        </w:rPr>
        <w:t>2282</w:t>
      </w:r>
      <w:r>
        <w:rPr>
          <w:rFonts w:hint="eastAsia"/>
        </w:rPr>
        <w:t>號判決及高雄高等行政法院</w:t>
      </w:r>
      <w:r>
        <w:rPr>
          <w:rFonts w:hint="eastAsia"/>
        </w:rPr>
        <w:t>89</w:t>
      </w:r>
      <w:r>
        <w:rPr>
          <w:rFonts w:hint="eastAsia"/>
        </w:rPr>
        <w:t>年訴字第</w:t>
      </w:r>
      <w:r>
        <w:rPr>
          <w:rFonts w:hint="eastAsia"/>
        </w:rPr>
        <w:t>479</w:t>
      </w:r>
      <w:r>
        <w:rPr>
          <w:rFonts w:hint="eastAsia"/>
        </w:rPr>
        <w:t>號判決等。</w:t>
      </w:r>
    </w:p>
  </w:footnote>
  <w:footnote w:id="129">
    <w:p w:rsidR="00000000" w:rsidRDefault="00724932">
      <w:pPr>
        <w:pStyle w:val="aa"/>
        <w:spacing w:after="180"/>
        <w:rPr>
          <w:rFonts w:hint="eastAsia"/>
        </w:rPr>
      </w:pPr>
      <w:r>
        <w:rPr>
          <w:rStyle w:val="a9"/>
        </w:rPr>
        <w:footnoteRef/>
      </w:r>
      <w:r>
        <w:rPr>
          <w:rFonts w:hint="eastAsia"/>
        </w:rPr>
        <w:t xml:space="preserve"> </w:t>
      </w:r>
      <w:r>
        <w:rPr>
          <w:rFonts w:hint="eastAsia"/>
        </w:rPr>
        <w:t>不過此際，約、聘僱人員不當受領基於約、聘僱契約而來</w:t>
      </w:r>
      <w:r>
        <w:rPr>
          <w:rFonts w:hint="eastAsia"/>
        </w:rPr>
        <w:t>之薪資或其他金錢給付，其所欠缺的「法律上之原因」，原則上應係該屬於行政契約的約聘、僱契約本身。故除非法律另有明確規定，否則並無以行政處分作為（原）法律上之原因的情形。</w:t>
      </w:r>
    </w:p>
  </w:footnote>
  <w:footnote w:id="130">
    <w:p w:rsidR="00000000" w:rsidRDefault="00724932">
      <w:pPr>
        <w:pStyle w:val="aa"/>
        <w:spacing w:after="180"/>
        <w:rPr>
          <w:rFonts w:hint="eastAsia"/>
        </w:rPr>
      </w:pPr>
      <w:r>
        <w:rPr>
          <w:rStyle w:val="a9"/>
        </w:rPr>
        <w:footnoteRef/>
      </w:r>
      <w:r>
        <w:t xml:space="preserve"> </w:t>
      </w:r>
      <w:r>
        <w:rPr>
          <w:rFonts w:hint="eastAsia"/>
        </w:rPr>
        <w:t>不過約、聘僱人員例外在約、聘僱契約外，另因法律規定而受領公法上金錢給付時，則又因其給付的公法性質，而得以適用公法上不當得利返還請求權制度，是屬當然。</w:t>
      </w:r>
    </w:p>
  </w:footnote>
  <w:footnote w:id="131">
    <w:p w:rsidR="00000000" w:rsidRDefault="00724932">
      <w:pPr>
        <w:pStyle w:val="aa"/>
        <w:spacing w:after="180"/>
        <w:rPr>
          <w:rFonts w:hint="eastAsia"/>
        </w:rPr>
      </w:pPr>
      <w:r>
        <w:rPr>
          <w:rStyle w:val="a9"/>
        </w:rPr>
        <w:footnoteRef/>
      </w:r>
      <w:r>
        <w:t xml:space="preserve"> </w:t>
      </w:r>
      <w:r>
        <w:rPr>
          <w:rFonts w:hint="eastAsia"/>
        </w:rPr>
        <w:t>見前文第二章第二節貳、二。</w:t>
      </w:r>
    </w:p>
  </w:footnote>
  <w:footnote w:id="132">
    <w:p w:rsidR="00000000" w:rsidRDefault="00724932">
      <w:pPr>
        <w:pStyle w:val="aa"/>
        <w:spacing w:after="180"/>
        <w:rPr>
          <w:rFonts w:hint="eastAsia"/>
        </w:rPr>
      </w:pPr>
      <w:r>
        <w:rPr>
          <w:rStyle w:val="a9"/>
        </w:rPr>
        <w:footnoteRef/>
      </w:r>
      <w:r>
        <w:t xml:space="preserve"> </w:t>
      </w:r>
      <w:r>
        <w:rPr>
          <w:rFonts w:hint="eastAsia"/>
        </w:rPr>
        <w:t>本表之製作，感謝保訓會保障處提供並協助整理相關資料。</w:t>
      </w:r>
    </w:p>
  </w:footnote>
  <w:footnote w:id="133">
    <w:p w:rsidR="00000000" w:rsidRDefault="00724932">
      <w:pPr>
        <w:pStyle w:val="aa"/>
        <w:spacing w:after="180"/>
        <w:rPr>
          <w:rFonts w:hint="eastAsia"/>
        </w:rPr>
      </w:pPr>
      <w:r>
        <w:rPr>
          <w:rStyle w:val="a9"/>
        </w:rPr>
        <w:footnoteRef/>
      </w:r>
      <w:r>
        <w:t xml:space="preserve"> </w:t>
      </w:r>
      <w:r>
        <w:rPr>
          <w:rFonts w:hint="eastAsia"/>
        </w:rPr>
        <w:t>參見前文第二章第二節壹、一。</w:t>
      </w:r>
    </w:p>
  </w:footnote>
  <w:footnote w:id="134">
    <w:p w:rsidR="00000000" w:rsidRDefault="00724932">
      <w:pPr>
        <w:pStyle w:val="aa"/>
        <w:spacing w:after="180"/>
        <w:rPr>
          <w:rFonts w:hint="eastAsia"/>
        </w:rPr>
      </w:pPr>
      <w:r>
        <w:rPr>
          <w:rStyle w:val="a9"/>
        </w:rPr>
        <w:footnoteRef/>
      </w:r>
      <w:r>
        <w:t xml:space="preserve"> </w:t>
      </w:r>
      <w:r>
        <w:rPr>
          <w:rFonts w:hint="eastAsia"/>
        </w:rPr>
        <w:t>例見：林錫堯，公法上不當得利法理試探，收於：當代公法新論（下）</w:t>
      </w:r>
      <w:r>
        <w:rPr>
          <w:rFonts w:hint="eastAsia"/>
        </w:rPr>
        <w:t>，頁</w:t>
      </w:r>
      <w:r>
        <w:rPr>
          <w:rFonts w:hint="eastAsia"/>
        </w:rPr>
        <w:t>269-275</w:t>
      </w:r>
      <w:r>
        <w:rPr>
          <w:rFonts w:hint="eastAsia"/>
        </w:rPr>
        <w:t>；陳敏，行政法總論，頁</w:t>
      </w:r>
      <w:r>
        <w:rPr>
          <w:rFonts w:hint="eastAsia"/>
        </w:rPr>
        <w:t>1182-1184</w:t>
      </w:r>
      <w:r>
        <w:rPr>
          <w:rFonts w:hint="eastAsia"/>
        </w:rPr>
        <w:t>。</w:t>
      </w:r>
    </w:p>
  </w:footnote>
  <w:footnote w:id="135">
    <w:p w:rsidR="00000000" w:rsidRDefault="00724932">
      <w:pPr>
        <w:pStyle w:val="aa"/>
        <w:spacing w:after="180"/>
        <w:rPr>
          <w:rFonts w:hint="eastAsia"/>
        </w:rPr>
      </w:pPr>
      <w:r>
        <w:rPr>
          <w:rStyle w:val="a9"/>
        </w:rPr>
        <w:footnoteRef/>
      </w:r>
      <w:r>
        <w:t xml:space="preserve"> </w:t>
      </w:r>
      <w:r>
        <w:rPr>
          <w:rFonts w:hint="eastAsia"/>
        </w:rPr>
        <w:t>Vgl. dazu insb. BBesGVwV 12.2.3</w:t>
      </w:r>
      <w:r>
        <w:rPr>
          <w:rFonts w:hint="eastAsia"/>
        </w:rPr>
        <w:t>（條文德文原版，見附錄貳、二）</w:t>
      </w:r>
      <w:r>
        <w:rPr>
          <w:rFonts w:hint="eastAsia"/>
        </w:rPr>
        <w:t xml:space="preserve">und in bezug darauf </w:t>
      </w:r>
      <w:r>
        <w:rPr>
          <w:rFonts w:hint="eastAsia"/>
          <w:i/>
        </w:rPr>
        <w:t>Schnel</w:t>
      </w:r>
      <w:r>
        <w:rPr>
          <w:i/>
        </w:rPr>
        <w:softHyphen/>
      </w:r>
      <w:r>
        <w:rPr>
          <w:rFonts w:hint="eastAsia"/>
          <w:i/>
        </w:rPr>
        <w:t>len</w:t>
      </w:r>
      <w:r>
        <w:rPr>
          <w:i/>
        </w:rPr>
        <w:softHyphen/>
      </w:r>
      <w:r>
        <w:rPr>
          <w:rFonts w:hint="eastAsia"/>
          <w:i/>
        </w:rPr>
        <w:t>bach</w:t>
      </w:r>
      <w:r>
        <w:rPr>
          <w:rFonts w:hint="eastAsia"/>
        </w:rPr>
        <w:t>, Beamtenrecht in der Pra</w:t>
      </w:r>
      <w:r>
        <w:softHyphen/>
      </w:r>
      <w:r>
        <w:rPr>
          <w:rFonts w:hint="eastAsia"/>
        </w:rPr>
        <w:t>xis, Rn. 689.</w:t>
      </w:r>
    </w:p>
  </w:footnote>
  <w:footnote w:id="136">
    <w:p w:rsidR="00000000" w:rsidRDefault="00724932">
      <w:pPr>
        <w:pStyle w:val="aa"/>
        <w:spacing w:after="180"/>
        <w:rPr>
          <w:rFonts w:hint="eastAsia"/>
        </w:rPr>
      </w:pPr>
      <w:r>
        <w:rPr>
          <w:rStyle w:val="a9"/>
        </w:rPr>
        <w:footnoteRef/>
      </w:r>
      <w:r>
        <w:t xml:space="preserve"> </w:t>
      </w:r>
      <w:r>
        <w:rPr>
          <w:rFonts w:hint="eastAsia"/>
        </w:rPr>
        <w:t>見本章以下第二節壹。</w:t>
      </w:r>
    </w:p>
  </w:footnote>
  <w:footnote w:id="137">
    <w:p w:rsidR="00000000" w:rsidRDefault="00724932">
      <w:pPr>
        <w:pStyle w:val="aa"/>
        <w:spacing w:after="180"/>
        <w:rPr>
          <w:rFonts w:hint="eastAsia"/>
        </w:rPr>
      </w:pPr>
      <w:r>
        <w:rPr>
          <w:rStyle w:val="a9"/>
        </w:rPr>
        <w:footnoteRef/>
      </w:r>
      <w:r>
        <w:t xml:space="preserve"> </w:t>
      </w:r>
      <w:r>
        <w:rPr>
          <w:rFonts w:hint="eastAsia"/>
        </w:rPr>
        <w:t xml:space="preserve">Vgl. zudem auch </w:t>
      </w:r>
      <w:r>
        <w:rPr>
          <w:rFonts w:hint="eastAsia"/>
          <w:i/>
        </w:rPr>
        <w:t>Detterbeck</w:t>
      </w:r>
      <w:r>
        <w:rPr>
          <w:rFonts w:hint="eastAsia"/>
        </w:rPr>
        <w:t xml:space="preserve">, in: Detterbeck/Windthorst/Sproll, Staatshaftungsrecht, </w:t>
      </w:r>
      <w:r>
        <w:t>§ </w:t>
      </w:r>
      <w:r>
        <w:rPr>
          <w:rFonts w:hint="eastAsia"/>
        </w:rPr>
        <w:t>24</w:t>
      </w:r>
      <w:r>
        <w:rPr>
          <w:rFonts w:hint="eastAsia"/>
        </w:rPr>
        <w:t xml:space="preserve"> Rn. </w:t>
      </w:r>
      <w:r>
        <w:t>1</w:t>
      </w:r>
      <w:r>
        <w:rPr>
          <w:rFonts w:hint="eastAsia"/>
        </w:rPr>
        <w:t>8.</w:t>
      </w:r>
    </w:p>
  </w:footnote>
  <w:footnote w:id="138">
    <w:p w:rsidR="00000000" w:rsidRDefault="00724932">
      <w:pPr>
        <w:pStyle w:val="aa"/>
        <w:spacing w:after="180"/>
        <w:rPr>
          <w:rFonts w:hint="eastAsia"/>
        </w:rPr>
      </w:pPr>
      <w:r>
        <w:rPr>
          <w:rStyle w:val="a9"/>
        </w:rPr>
        <w:footnoteRef/>
      </w:r>
      <w:r>
        <w:t xml:space="preserve"> </w:t>
      </w:r>
      <w:r>
        <w:rPr>
          <w:rFonts w:hint="eastAsia"/>
        </w:rPr>
        <w:t xml:space="preserve">So betont denn auch </w:t>
      </w:r>
      <w:r>
        <w:rPr>
          <w:rFonts w:hint="eastAsia"/>
          <w:i/>
        </w:rPr>
        <w:t>Detterbeck</w:t>
      </w:r>
      <w:r>
        <w:rPr>
          <w:rFonts w:hint="eastAsia"/>
        </w:rPr>
        <w:t>, Allgemeines Verwaltungsrecht, Rn. 885.</w:t>
      </w:r>
    </w:p>
  </w:footnote>
  <w:footnote w:id="139">
    <w:p w:rsidR="00000000" w:rsidRDefault="00724932">
      <w:pPr>
        <w:pStyle w:val="aa"/>
        <w:spacing w:after="180"/>
        <w:rPr>
          <w:rFonts w:hint="eastAsia"/>
        </w:rPr>
      </w:pPr>
      <w:r>
        <w:rPr>
          <w:rStyle w:val="a9"/>
        </w:rPr>
        <w:footnoteRef/>
      </w:r>
      <w:r>
        <w:t xml:space="preserve"> </w:t>
      </w:r>
      <w:r>
        <w:rPr>
          <w:rFonts w:hint="eastAsia"/>
        </w:rPr>
        <w:t>參見：陳敏，行政法總論，頁</w:t>
      </w:r>
      <w:r>
        <w:rPr>
          <w:rFonts w:hint="eastAsia"/>
        </w:rPr>
        <w:t>612</w:t>
      </w:r>
      <w:r>
        <w:rPr>
          <w:rFonts w:hint="eastAsia"/>
        </w:rPr>
        <w:t>；</w:t>
      </w:r>
      <w:r>
        <w:rPr>
          <w:rFonts w:hint="eastAsia"/>
        </w:rPr>
        <w:t xml:space="preserve">vgl. zudem </w:t>
      </w:r>
      <w:r>
        <w:rPr>
          <w:rFonts w:hint="eastAsia"/>
          <w:i/>
        </w:rPr>
        <w:t>Maurer</w:t>
      </w:r>
      <w:r>
        <w:rPr>
          <w:rFonts w:hint="eastAsia"/>
        </w:rPr>
        <w:t xml:space="preserve">, Allgemeines Verwaltungsrecht, </w:t>
      </w:r>
      <w:r>
        <w:t>§ </w:t>
      </w:r>
      <w:r>
        <w:rPr>
          <w:rFonts w:hint="eastAsia"/>
        </w:rPr>
        <w:t>15 Rn. 2 und ausf</w:t>
      </w:r>
      <w:r>
        <w:t>ü</w:t>
      </w:r>
      <w:r>
        <w:rPr>
          <w:rFonts w:hint="eastAsia"/>
        </w:rPr>
        <w:t xml:space="preserve">hrl. zu den Arten des Verwaltungsrealakts insb. </w:t>
      </w:r>
      <w:r>
        <w:rPr>
          <w:rFonts w:hint="eastAsia"/>
          <w:i/>
        </w:rPr>
        <w:t>Achterberg</w:t>
      </w:r>
      <w:r>
        <w:rPr>
          <w:rFonts w:hint="eastAsia"/>
        </w:rPr>
        <w:t>, Allgemeines Verwaltungsrec</w:t>
      </w:r>
      <w:r>
        <w:rPr>
          <w:rFonts w:hint="eastAsia"/>
        </w:rPr>
        <w:t xml:space="preserve">ht, </w:t>
      </w:r>
      <w:r>
        <w:t>§ </w:t>
      </w:r>
      <w:r>
        <w:rPr>
          <w:rFonts w:hint="eastAsia"/>
        </w:rPr>
        <w:t>21 Rn. 293 ff.</w:t>
      </w:r>
      <w:r>
        <w:rPr>
          <w:rFonts w:hint="eastAsia"/>
        </w:rPr>
        <w:t>。</w:t>
      </w:r>
    </w:p>
  </w:footnote>
  <w:footnote w:id="140">
    <w:p w:rsidR="00000000" w:rsidRDefault="00724932">
      <w:pPr>
        <w:pStyle w:val="aa"/>
        <w:spacing w:after="180"/>
        <w:rPr>
          <w:rFonts w:hint="eastAsia"/>
        </w:rPr>
      </w:pPr>
      <w:r>
        <w:rPr>
          <w:rStyle w:val="a9"/>
        </w:rPr>
        <w:footnoteRef/>
      </w:r>
      <w:r>
        <w:t xml:space="preserve"> </w:t>
      </w:r>
      <w:r>
        <w:rPr>
          <w:rFonts w:hint="eastAsia"/>
        </w:rPr>
        <w:t>有關德國相關之法制，已見前文第二章第二節貳、二之說明。</w:t>
      </w:r>
    </w:p>
  </w:footnote>
  <w:footnote w:id="141">
    <w:p w:rsidR="00000000" w:rsidRDefault="00724932">
      <w:pPr>
        <w:pStyle w:val="aa"/>
        <w:spacing w:after="180"/>
        <w:rPr>
          <w:rFonts w:hint="eastAsia"/>
        </w:rPr>
      </w:pPr>
      <w:r>
        <w:rPr>
          <w:rStyle w:val="a9"/>
        </w:rPr>
        <w:footnoteRef/>
      </w:r>
      <w:r>
        <w:t xml:space="preserve"> </w:t>
      </w:r>
      <w:r>
        <w:rPr>
          <w:rFonts w:hint="eastAsia"/>
        </w:rPr>
        <w:t>詳見前文第一章第三節。</w:t>
      </w:r>
    </w:p>
  </w:footnote>
  <w:footnote w:id="142">
    <w:p w:rsidR="00000000" w:rsidRDefault="00724932">
      <w:pPr>
        <w:pStyle w:val="aa"/>
        <w:spacing w:after="180"/>
        <w:rPr>
          <w:rFonts w:hint="eastAsia"/>
        </w:rPr>
      </w:pPr>
      <w:r>
        <w:rPr>
          <w:rStyle w:val="a9"/>
        </w:rPr>
        <w:footnoteRef/>
      </w:r>
      <w:r>
        <w:t xml:space="preserve"> </w:t>
      </w:r>
      <w:r>
        <w:rPr>
          <w:rFonts w:hAnsi="新細明體"/>
        </w:rPr>
        <w:t>參見：林明昕，行政程序法的適用範圍，法學講座</w:t>
      </w:r>
      <w:r>
        <w:t>3</w:t>
      </w:r>
      <w:r>
        <w:rPr>
          <w:rFonts w:hAnsi="新細明體"/>
        </w:rPr>
        <w:t>期，頁</w:t>
      </w:r>
      <w:r>
        <w:t>5</w:t>
      </w:r>
      <w:r>
        <w:rPr>
          <w:rFonts w:hint="eastAsia"/>
        </w:rPr>
        <w:t>9</w:t>
      </w:r>
      <w:r>
        <w:t>-6</w:t>
      </w:r>
      <w:r>
        <w:rPr>
          <w:rFonts w:hint="eastAsia"/>
        </w:rPr>
        <w:t>0</w:t>
      </w:r>
      <w:r>
        <w:rPr>
          <w:rFonts w:hint="eastAsia"/>
        </w:rPr>
        <w:t>。</w:t>
      </w:r>
    </w:p>
  </w:footnote>
  <w:footnote w:id="143">
    <w:p w:rsidR="00000000" w:rsidRDefault="00724932">
      <w:pPr>
        <w:pStyle w:val="aa"/>
        <w:spacing w:after="180"/>
        <w:rPr>
          <w:rFonts w:hint="eastAsia"/>
        </w:rPr>
      </w:pPr>
      <w:r>
        <w:rPr>
          <w:rStyle w:val="a9"/>
        </w:rPr>
        <w:footnoteRef/>
      </w:r>
      <w:r>
        <w:t xml:space="preserve"> </w:t>
      </w:r>
      <w:r>
        <w:rPr>
          <w:rFonts w:hint="eastAsia"/>
        </w:rPr>
        <w:t>詳見本章前文第一節貳。</w:t>
      </w:r>
    </w:p>
  </w:footnote>
  <w:footnote w:id="144">
    <w:p w:rsidR="00000000" w:rsidRDefault="00724932">
      <w:pPr>
        <w:pStyle w:val="aa"/>
        <w:spacing w:after="180"/>
        <w:rPr>
          <w:rFonts w:hint="eastAsia"/>
        </w:rPr>
      </w:pPr>
      <w:r>
        <w:rPr>
          <w:rStyle w:val="a9"/>
        </w:rPr>
        <w:footnoteRef/>
      </w:r>
      <w:r>
        <w:t xml:space="preserve"> </w:t>
      </w:r>
      <w:r>
        <w:rPr>
          <w:rFonts w:hint="eastAsia"/>
        </w:rPr>
        <w:t>相關之說明，參見：林錫堯，公法上不當得利法理試探，收於：當代公法新論（下），頁</w:t>
      </w:r>
      <w:r>
        <w:rPr>
          <w:rFonts w:hint="eastAsia"/>
        </w:rPr>
        <w:t>272-273</w:t>
      </w:r>
      <w:r>
        <w:rPr>
          <w:rFonts w:hint="eastAsia"/>
        </w:rPr>
        <w:t>。</w:t>
      </w:r>
    </w:p>
  </w:footnote>
  <w:footnote w:id="145">
    <w:p w:rsidR="00000000" w:rsidRDefault="00724932">
      <w:pPr>
        <w:pStyle w:val="aa"/>
        <w:spacing w:after="180"/>
        <w:rPr>
          <w:rFonts w:hint="eastAsia"/>
        </w:rPr>
      </w:pPr>
      <w:r>
        <w:rPr>
          <w:rStyle w:val="a9"/>
        </w:rPr>
        <w:footnoteRef/>
      </w:r>
      <w:r>
        <w:t xml:space="preserve"> </w:t>
      </w:r>
      <w:r>
        <w:rPr>
          <w:rFonts w:hint="eastAsia"/>
        </w:rPr>
        <w:t>同說，例見：林錫堯，前揭文，頁</w:t>
      </w:r>
      <w:r>
        <w:rPr>
          <w:rFonts w:hint="eastAsia"/>
        </w:rPr>
        <w:t>272</w:t>
      </w:r>
      <w:r>
        <w:rPr>
          <w:rFonts w:hint="eastAsia"/>
        </w:rPr>
        <w:t>；詹震榮，行政機關之公法上不當得利返還請求權，法學講座</w:t>
      </w:r>
      <w:r>
        <w:rPr>
          <w:rFonts w:hint="eastAsia"/>
        </w:rPr>
        <w:t>23</w:t>
      </w:r>
      <w:r>
        <w:rPr>
          <w:rFonts w:hint="eastAsia"/>
        </w:rPr>
        <w:t>期，頁</w:t>
      </w:r>
      <w:r>
        <w:rPr>
          <w:rFonts w:hint="eastAsia"/>
        </w:rPr>
        <w:t>56</w:t>
      </w:r>
      <w:r>
        <w:rPr>
          <w:rFonts w:hint="eastAsia"/>
        </w:rPr>
        <w:t>。</w:t>
      </w:r>
    </w:p>
  </w:footnote>
  <w:footnote w:id="146">
    <w:p w:rsidR="00000000" w:rsidRDefault="00724932">
      <w:pPr>
        <w:pStyle w:val="aa"/>
        <w:spacing w:after="180"/>
        <w:rPr>
          <w:rFonts w:hint="eastAsia"/>
        </w:rPr>
      </w:pPr>
      <w:r>
        <w:rPr>
          <w:rStyle w:val="a9"/>
        </w:rPr>
        <w:footnoteRef/>
      </w:r>
      <w:r>
        <w:t xml:space="preserve"> </w:t>
      </w:r>
      <w:r>
        <w:rPr>
          <w:rFonts w:hint="eastAsia"/>
        </w:rPr>
        <w:t>Statt aller:</w:t>
      </w:r>
      <w:r>
        <w:rPr>
          <w:rFonts w:hint="eastAsia"/>
          <w:i/>
        </w:rPr>
        <w:t xml:space="preserve"> Detterbeck</w:t>
      </w:r>
      <w:r>
        <w:rPr>
          <w:rFonts w:hint="eastAsia"/>
        </w:rPr>
        <w:t>, in: Dett</w:t>
      </w:r>
      <w:r>
        <w:rPr>
          <w:rFonts w:hint="eastAsia"/>
        </w:rPr>
        <w:t xml:space="preserve">erbeck/Windthorst/Sproll, Staatshaftungsrecht, </w:t>
      </w:r>
      <w:r>
        <w:t>§ </w:t>
      </w:r>
      <w:r>
        <w:rPr>
          <w:rFonts w:hint="eastAsia"/>
        </w:rPr>
        <w:t xml:space="preserve">24 Rn. </w:t>
      </w:r>
      <w:r>
        <w:t>1</w:t>
      </w:r>
      <w:r>
        <w:rPr>
          <w:rFonts w:hint="eastAsia"/>
        </w:rPr>
        <w:t>5</w:t>
      </w:r>
      <w:r>
        <w:t> </w:t>
      </w:r>
      <w:r>
        <w:rPr>
          <w:rFonts w:hint="eastAsia"/>
        </w:rPr>
        <w:t>f.;</w:t>
      </w:r>
      <w:r>
        <w:rPr>
          <w:rFonts w:hint="eastAsia"/>
          <w:i/>
        </w:rPr>
        <w:t xml:space="preserve"> Ossen</w:t>
      </w:r>
      <w:r>
        <w:rPr>
          <w:i/>
        </w:rPr>
        <w:softHyphen/>
      </w:r>
      <w:r>
        <w:rPr>
          <w:rFonts w:hint="eastAsia"/>
          <w:i/>
        </w:rPr>
        <w:t>b</w:t>
      </w:r>
      <w:r>
        <w:rPr>
          <w:i/>
        </w:rPr>
        <w:t>ü</w:t>
      </w:r>
      <w:r>
        <w:rPr>
          <w:rFonts w:hint="eastAsia"/>
          <w:i/>
        </w:rPr>
        <w:t>hl</w:t>
      </w:r>
      <w:r>
        <w:rPr>
          <w:rFonts w:hint="eastAsia"/>
        </w:rPr>
        <w:t xml:space="preserve">, Staatshafungsrecht, S. 426; </w:t>
      </w:r>
      <w:r>
        <w:rPr>
          <w:rFonts w:hint="eastAsia"/>
          <w:i/>
        </w:rPr>
        <w:t>Schoch</w:t>
      </w:r>
      <w:r>
        <w:rPr>
          <w:rFonts w:hint="eastAsia"/>
        </w:rPr>
        <w:t xml:space="preserve">, Jura 1994, 82 (87); </w:t>
      </w:r>
      <w:r>
        <w:rPr>
          <w:i/>
        </w:rPr>
        <w:t>Weber</w:t>
      </w:r>
      <w:r>
        <w:rPr>
          <w:rFonts w:hint="eastAsia"/>
        </w:rPr>
        <w:t xml:space="preserve">, JuS 1986, 29 (31); </w:t>
      </w:r>
      <w:r>
        <w:rPr>
          <w:rFonts w:hint="eastAsia"/>
          <w:i/>
        </w:rPr>
        <w:t>Windthorst</w:t>
      </w:r>
      <w:r>
        <w:rPr>
          <w:rFonts w:hint="eastAsia"/>
        </w:rPr>
        <w:t>, JuS 1996, 894 (898).</w:t>
      </w:r>
    </w:p>
  </w:footnote>
  <w:footnote w:id="147">
    <w:p w:rsidR="00000000" w:rsidRDefault="00724932">
      <w:pPr>
        <w:pStyle w:val="aa"/>
        <w:spacing w:after="180"/>
        <w:rPr>
          <w:rFonts w:hint="eastAsia"/>
        </w:rPr>
      </w:pPr>
      <w:r>
        <w:rPr>
          <w:rStyle w:val="a9"/>
        </w:rPr>
        <w:footnoteRef/>
      </w:r>
      <w:r>
        <w:t xml:space="preserve"> </w:t>
      </w:r>
      <w:r>
        <w:rPr>
          <w:rFonts w:hint="eastAsia"/>
        </w:rPr>
        <w:t>不同意見，但見：林錫堯，公法上不當得利法理試探，收於：當代公法新論（下），頁</w:t>
      </w:r>
      <w:r>
        <w:rPr>
          <w:rFonts w:hint="eastAsia"/>
        </w:rPr>
        <w:t>273</w:t>
      </w:r>
      <w:r>
        <w:rPr>
          <w:rFonts w:hint="eastAsia"/>
        </w:rPr>
        <w:t>。</w:t>
      </w:r>
    </w:p>
  </w:footnote>
  <w:footnote w:id="148">
    <w:p w:rsidR="00000000" w:rsidRDefault="00724932">
      <w:pPr>
        <w:pStyle w:val="aa"/>
        <w:spacing w:after="180"/>
        <w:rPr>
          <w:rFonts w:hint="eastAsia"/>
        </w:rPr>
      </w:pPr>
      <w:r>
        <w:rPr>
          <w:rStyle w:val="a9"/>
        </w:rPr>
        <w:footnoteRef/>
      </w:r>
      <w:r>
        <w:t xml:space="preserve"> </w:t>
      </w:r>
      <w:r>
        <w:rPr>
          <w:rFonts w:hint="eastAsia"/>
        </w:rPr>
        <w:t>例見：</w:t>
      </w:r>
      <w:r>
        <w:rPr>
          <w:rFonts w:hint="eastAsia"/>
        </w:rPr>
        <w:t>93</w:t>
      </w:r>
      <w:r>
        <w:rPr>
          <w:rFonts w:hint="eastAsia"/>
        </w:rPr>
        <w:t>公審決字第</w:t>
      </w:r>
      <w:r>
        <w:rPr>
          <w:rFonts w:hint="eastAsia"/>
        </w:rPr>
        <w:t>0063</w:t>
      </w:r>
      <w:r>
        <w:rPr>
          <w:rFonts w:hint="eastAsia"/>
        </w:rPr>
        <w:t>號復審決定</w:t>
      </w:r>
      <w:r>
        <w:rPr>
          <w:rFonts w:hint="eastAsia"/>
        </w:rPr>
        <w:t>。</w:t>
      </w:r>
    </w:p>
  </w:footnote>
  <w:footnote w:id="149">
    <w:p w:rsidR="00000000" w:rsidRDefault="00724932">
      <w:pPr>
        <w:pStyle w:val="aa"/>
        <w:spacing w:after="180"/>
        <w:rPr>
          <w:rFonts w:hint="eastAsia"/>
        </w:rPr>
      </w:pPr>
      <w:r>
        <w:rPr>
          <w:rStyle w:val="a9"/>
        </w:rPr>
        <w:footnoteRef/>
      </w:r>
      <w:r>
        <w:t xml:space="preserve"> </w:t>
      </w:r>
      <w:r>
        <w:rPr>
          <w:rFonts w:hint="eastAsia"/>
        </w:rPr>
        <w:t>持肯定見解者，亦見：林錫堯，公法上不當得利法理試探，收於：當代公法新論（下），頁</w:t>
      </w:r>
      <w:r>
        <w:rPr>
          <w:rFonts w:hint="eastAsia"/>
        </w:rPr>
        <w:t>273</w:t>
      </w:r>
      <w:r>
        <w:rPr>
          <w:rFonts w:hint="eastAsia"/>
        </w:rPr>
        <w:t>。</w:t>
      </w:r>
    </w:p>
  </w:footnote>
  <w:footnote w:id="150">
    <w:p w:rsidR="00000000" w:rsidRDefault="00724932">
      <w:pPr>
        <w:pStyle w:val="aa"/>
        <w:spacing w:after="180"/>
        <w:rPr>
          <w:rFonts w:hint="eastAsia"/>
        </w:rPr>
      </w:pPr>
      <w:r>
        <w:rPr>
          <w:rStyle w:val="a9"/>
        </w:rPr>
        <w:footnoteRef/>
      </w:r>
      <w:r>
        <w:t xml:space="preserve"> </w:t>
      </w:r>
      <w:r>
        <w:rPr>
          <w:rFonts w:hint="eastAsia"/>
        </w:rPr>
        <w:t xml:space="preserve">Dazu s. nur </w:t>
      </w:r>
      <w:r>
        <w:rPr>
          <w:rFonts w:hint="eastAsia"/>
          <w:i/>
        </w:rPr>
        <w:t>Detterbeck</w:t>
      </w:r>
      <w:r>
        <w:rPr>
          <w:rFonts w:hint="eastAsia"/>
        </w:rPr>
        <w:t xml:space="preserve">, in: Detterbeck/Windthorst/Sproll, Staatshaftungsrecht, </w:t>
      </w:r>
      <w:r>
        <w:t>§ </w:t>
      </w:r>
      <w:r>
        <w:rPr>
          <w:rFonts w:hint="eastAsia"/>
        </w:rPr>
        <w:t>24 Rn. 20 m. w. Nachw.</w:t>
      </w:r>
    </w:p>
  </w:footnote>
  <w:footnote w:id="151">
    <w:p w:rsidR="00000000" w:rsidRDefault="00724932">
      <w:pPr>
        <w:pStyle w:val="aa"/>
        <w:spacing w:after="180"/>
        <w:rPr>
          <w:rFonts w:hint="eastAsia"/>
        </w:rPr>
      </w:pPr>
      <w:r>
        <w:rPr>
          <w:rStyle w:val="a9"/>
        </w:rPr>
        <w:footnoteRef/>
      </w:r>
      <w:r>
        <w:t xml:space="preserve"> </w:t>
      </w:r>
      <w:r>
        <w:rPr>
          <w:rFonts w:hint="eastAsia"/>
        </w:rPr>
        <w:t xml:space="preserve">So etwa BVerwGE 67, 305 und insb. </w:t>
      </w:r>
      <w:r>
        <w:rPr>
          <w:rFonts w:hint="eastAsia"/>
          <w:i/>
        </w:rPr>
        <w:t>Schnellenbach</w:t>
      </w:r>
      <w:r>
        <w:rPr>
          <w:rFonts w:hint="eastAsia"/>
        </w:rPr>
        <w:t>, Beamtenrecht in der Praxis, Rn. 698.</w:t>
      </w:r>
    </w:p>
  </w:footnote>
  <w:footnote w:id="152">
    <w:p w:rsidR="00000000" w:rsidRDefault="00724932">
      <w:pPr>
        <w:pStyle w:val="aa"/>
        <w:spacing w:after="180"/>
        <w:rPr>
          <w:rFonts w:hint="eastAsia"/>
        </w:rPr>
      </w:pPr>
      <w:r>
        <w:rPr>
          <w:rStyle w:val="a9"/>
        </w:rPr>
        <w:footnoteRef/>
      </w:r>
      <w:r>
        <w:t xml:space="preserve"> </w:t>
      </w:r>
      <w:r>
        <w:rPr>
          <w:rFonts w:hint="eastAsia"/>
        </w:rPr>
        <w:t>Vgl. dazu B</w:t>
      </w:r>
      <w:r>
        <w:rPr>
          <w:rFonts w:hint="eastAsia"/>
        </w:rPr>
        <w:t xml:space="preserve">VerwGE 110, 226 (236); </w:t>
      </w:r>
      <w:r>
        <w:rPr>
          <w:rFonts w:hint="eastAsia"/>
          <w:i/>
        </w:rPr>
        <w:t>Maurer</w:t>
      </w:r>
      <w:r>
        <w:rPr>
          <w:rFonts w:hint="eastAsia"/>
        </w:rPr>
        <w:t xml:space="preserve">, Allgemeines Verwaltungsrecht, </w:t>
      </w:r>
      <w:r>
        <w:t>§ </w:t>
      </w:r>
      <w:r>
        <w:rPr>
          <w:rFonts w:hint="eastAsia"/>
        </w:rPr>
        <w:t>11 Rn. 35a a. E. m. w. Nachw.</w:t>
      </w:r>
    </w:p>
  </w:footnote>
  <w:footnote w:id="153">
    <w:p w:rsidR="00000000" w:rsidRDefault="00724932">
      <w:pPr>
        <w:pStyle w:val="aa"/>
        <w:spacing w:after="180"/>
        <w:rPr>
          <w:rFonts w:hint="eastAsia"/>
        </w:rPr>
      </w:pPr>
      <w:r>
        <w:rPr>
          <w:rStyle w:val="a9"/>
        </w:rPr>
        <w:footnoteRef/>
      </w:r>
      <w:r>
        <w:t xml:space="preserve"> </w:t>
      </w:r>
      <w:r>
        <w:rPr>
          <w:rFonts w:hint="eastAsia"/>
        </w:rPr>
        <w:t>Siehe dazu BBesGVwV 12.2.3</w:t>
      </w:r>
      <w:r>
        <w:t> </w:t>
      </w:r>
      <w:r>
        <w:rPr>
          <w:rFonts w:hint="eastAsia"/>
        </w:rPr>
        <w:t>ff.</w:t>
      </w:r>
    </w:p>
  </w:footnote>
  <w:footnote w:id="154">
    <w:p w:rsidR="00000000" w:rsidRDefault="00724932">
      <w:pPr>
        <w:pStyle w:val="aa"/>
        <w:spacing w:after="180"/>
        <w:rPr>
          <w:rFonts w:hint="eastAsia"/>
        </w:rPr>
      </w:pPr>
      <w:r>
        <w:rPr>
          <w:rStyle w:val="a9"/>
        </w:rPr>
        <w:footnoteRef/>
      </w:r>
      <w:r>
        <w:t xml:space="preserve"> </w:t>
      </w:r>
      <w:r>
        <w:rPr>
          <w:rFonts w:hint="eastAsia"/>
        </w:rPr>
        <w:t xml:space="preserve">Vgl. dazu nur </w:t>
      </w:r>
      <w:r>
        <w:rPr>
          <w:rFonts w:hint="eastAsia"/>
          <w:i/>
        </w:rPr>
        <w:t>Schnellenbach</w:t>
      </w:r>
      <w:r>
        <w:rPr>
          <w:rFonts w:hint="eastAsia"/>
        </w:rPr>
        <w:t>, Beamtenrecht in der Praxis, Rn. 689.</w:t>
      </w:r>
    </w:p>
  </w:footnote>
  <w:footnote w:id="155">
    <w:p w:rsidR="00000000" w:rsidRDefault="00724932">
      <w:pPr>
        <w:pStyle w:val="aa"/>
        <w:spacing w:after="180"/>
        <w:rPr>
          <w:rFonts w:hint="eastAsia"/>
        </w:rPr>
      </w:pPr>
      <w:r>
        <w:rPr>
          <w:rStyle w:val="a9"/>
        </w:rPr>
        <w:footnoteRef/>
      </w:r>
      <w:r>
        <w:t xml:space="preserve"> </w:t>
      </w:r>
      <w:r>
        <w:rPr>
          <w:rFonts w:hint="eastAsia"/>
        </w:rPr>
        <w:t>So ebd.</w:t>
      </w:r>
      <w:r>
        <w:rPr>
          <w:rFonts w:hint="eastAsia"/>
        </w:rPr>
        <w:t>；另，參見：德國社會法第十編第五十條第五項結合第三十八條之規定。</w:t>
      </w:r>
    </w:p>
  </w:footnote>
  <w:footnote w:id="156">
    <w:p w:rsidR="00000000" w:rsidRDefault="00724932">
      <w:pPr>
        <w:pStyle w:val="aa"/>
        <w:spacing w:after="180"/>
        <w:rPr>
          <w:rFonts w:hint="eastAsia"/>
        </w:rPr>
      </w:pPr>
      <w:r>
        <w:rPr>
          <w:rStyle w:val="a9"/>
        </w:rPr>
        <w:footnoteRef/>
      </w:r>
      <w:r>
        <w:t xml:space="preserve"> </w:t>
      </w:r>
      <w:r>
        <w:rPr>
          <w:rFonts w:hint="eastAsia"/>
        </w:rPr>
        <w:t>N</w:t>
      </w:r>
      <w:r>
        <w:t>ä</w:t>
      </w:r>
      <w:r>
        <w:rPr>
          <w:rFonts w:hint="eastAsia"/>
        </w:rPr>
        <w:t>her ebd, Rn. 699</w:t>
      </w:r>
      <w:r>
        <w:rPr>
          <w:rFonts w:hint="eastAsia"/>
        </w:rPr>
        <w:t>；同說，參見：林錫堯，公法上不當得利法理試探，收於：當代公法新論（下），頁</w:t>
      </w:r>
      <w:r>
        <w:rPr>
          <w:rFonts w:hint="eastAsia"/>
        </w:rPr>
        <w:t>272</w:t>
      </w:r>
      <w:r>
        <w:rPr>
          <w:rFonts w:hint="eastAsia"/>
        </w:rPr>
        <w:t>。</w:t>
      </w:r>
    </w:p>
  </w:footnote>
  <w:footnote w:id="157">
    <w:p w:rsidR="00000000" w:rsidRDefault="00724932">
      <w:pPr>
        <w:pStyle w:val="aa"/>
        <w:spacing w:after="180"/>
        <w:rPr>
          <w:rFonts w:hint="eastAsia"/>
        </w:rPr>
      </w:pPr>
      <w:r>
        <w:rPr>
          <w:rStyle w:val="a9"/>
        </w:rPr>
        <w:footnoteRef/>
      </w:r>
      <w:r>
        <w:t xml:space="preserve"> </w:t>
      </w:r>
      <w:r>
        <w:rPr>
          <w:rFonts w:hint="eastAsia"/>
        </w:rPr>
        <w:t>Vgl. BT-Drs. 13/1534, S. 6.</w:t>
      </w:r>
    </w:p>
  </w:footnote>
  <w:footnote w:id="158">
    <w:p w:rsidR="00000000" w:rsidRDefault="00724932">
      <w:pPr>
        <w:pStyle w:val="aa"/>
        <w:spacing w:after="180"/>
        <w:rPr>
          <w:rFonts w:hint="eastAsia"/>
        </w:rPr>
      </w:pPr>
      <w:r>
        <w:rPr>
          <w:rStyle w:val="a9"/>
        </w:rPr>
        <w:footnoteRef/>
      </w:r>
      <w:r>
        <w:t xml:space="preserve"> </w:t>
      </w:r>
      <w:r>
        <w:rPr>
          <w:rFonts w:hint="eastAsia"/>
        </w:rPr>
        <w:t xml:space="preserve">So </w:t>
      </w:r>
      <w:r>
        <w:rPr>
          <w:rFonts w:hint="eastAsia"/>
          <w:i/>
        </w:rPr>
        <w:t>Schnellenbach</w:t>
      </w:r>
      <w:r>
        <w:rPr>
          <w:rFonts w:hint="eastAsia"/>
        </w:rPr>
        <w:t xml:space="preserve">, Beamtenrecht in der Praxis, Rn. 689 und ebenfalls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49a Rn. 9.</w:t>
      </w:r>
    </w:p>
  </w:footnote>
  <w:footnote w:id="159">
    <w:p w:rsidR="00000000" w:rsidRDefault="00724932">
      <w:pPr>
        <w:pStyle w:val="aa"/>
        <w:spacing w:after="180"/>
        <w:rPr>
          <w:rFonts w:hint="eastAsia"/>
        </w:rPr>
      </w:pPr>
      <w:r>
        <w:rPr>
          <w:rStyle w:val="a9"/>
        </w:rPr>
        <w:footnoteRef/>
      </w:r>
      <w:r>
        <w:t xml:space="preserve"> </w:t>
      </w:r>
      <w:r>
        <w:rPr>
          <w:rFonts w:hint="eastAsia"/>
        </w:rPr>
        <w:t>Vgl. ausf</w:t>
      </w:r>
      <w:r>
        <w:t>ü</w:t>
      </w:r>
      <w:r>
        <w:rPr>
          <w:rFonts w:hint="eastAsia"/>
        </w:rPr>
        <w:t xml:space="preserve">hrl. </w:t>
      </w:r>
      <w:r>
        <w:rPr>
          <w:rFonts w:hint="eastAsia"/>
          <w:i/>
        </w:rPr>
        <w:t>Detterbeck</w:t>
      </w:r>
      <w:r>
        <w:rPr>
          <w:rFonts w:hint="eastAsia"/>
        </w:rPr>
        <w:t>, in: Detterbeck/Windthorst/Sproll, Staatshaftung</w:t>
      </w:r>
      <w:r>
        <w:rPr>
          <w:rFonts w:hint="eastAsia"/>
        </w:rPr>
        <w:t xml:space="preserve">srecht, </w:t>
      </w:r>
      <w:r>
        <w:t>§ </w:t>
      </w:r>
      <w:r>
        <w:rPr>
          <w:rFonts w:hint="eastAsia"/>
        </w:rPr>
        <w:t>24 Rn. 11</w:t>
      </w:r>
      <w:r>
        <w:t> </w:t>
      </w:r>
      <w:r>
        <w:rPr>
          <w:rFonts w:hint="eastAsia"/>
        </w:rPr>
        <w:t>ff.;</w:t>
      </w:r>
      <w:r>
        <w:rPr>
          <w:rFonts w:hint="eastAsia"/>
          <w:i/>
        </w:rPr>
        <w:t xml:space="preserve"> Schoch</w:t>
      </w:r>
      <w:r>
        <w:rPr>
          <w:rFonts w:hint="eastAsia"/>
        </w:rPr>
        <w:t>, Jura 1994, 82 (87) m. w. Nachw.</w:t>
      </w:r>
    </w:p>
  </w:footnote>
  <w:footnote w:id="160">
    <w:p w:rsidR="00000000" w:rsidRDefault="00724932">
      <w:pPr>
        <w:pStyle w:val="aa"/>
        <w:spacing w:after="180"/>
        <w:rPr>
          <w:rFonts w:hint="eastAsia"/>
        </w:rPr>
      </w:pPr>
      <w:r>
        <w:rPr>
          <w:rStyle w:val="a9"/>
        </w:rPr>
        <w:footnoteRef/>
      </w:r>
      <w:r>
        <w:t xml:space="preserve"> </w:t>
      </w:r>
      <w:r>
        <w:rPr>
          <w:rFonts w:hint="eastAsia"/>
        </w:rPr>
        <w:t>見本節前文壹。</w:t>
      </w:r>
    </w:p>
  </w:footnote>
  <w:footnote w:id="161">
    <w:p w:rsidR="00000000" w:rsidRDefault="00724932">
      <w:pPr>
        <w:pStyle w:val="aa"/>
        <w:spacing w:after="180"/>
        <w:rPr>
          <w:rFonts w:hint="eastAsia"/>
        </w:rPr>
      </w:pPr>
      <w:r>
        <w:rPr>
          <w:rStyle w:val="a9"/>
        </w:rPr>
        <w:footnoteRef/>
      </w:r>
      <w:r>
        <w:t xml:space="preserve"> Statt</w:t>
      </w:r>
      <w:r>
        <w:rPr>
          <w:rFonts w:hint="eastAsia"/>
        </w:rPr>
        <w:t xml:space="preserve"> vie</w:t>
      </w:r>
      <w:r>
        <w:t>ler</w:t>
      </w:r>
      <w:r>
        <w:rPr>
          <w:rFonts w:hint="eastAsia"/>
        </w:rPr>
        <w:t xml:space="preserve">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 xml:space="preserve">49a Rn. 9; </w:t>
      </w:r>
      <w:r>
        <w:rPr>
          <w:rFonts w:hint="eastAsia"/>
          <w:i/>
        </w:rPr>
        <w:t>Sachs</w:t>
      </w:r>
      <w:r>
        <w:rPr>
          <w:rFonts w:hint="eastAsia"/>
        </w:rPr>
        <w:t xml:space="preserve">, in: Stelkens/Bonk/Sachs, VwVfG, </w:t>
      </w:r>
      <w:r>
        <w:t>§ </w:t>
      </w:r>
      <w:r>
        <w:rPr>
          <w:rFonts w:hint="eastAsia"/>
        </w:rPr>
        <w:t xml:space="preserve">49a Rn. 7; teilweise aber auch </w:t>
      </w:r>
      <w:r>
        <w:rPr>
          <w:rFonts w:hint="eastAsia"/>
          <w:i/>
          <w:iCs/>
          <w:lang w:val="de-DE"/>
        </w:rPr>
        <w:t>Kopp/Ramsauer</w:t>
      </w:r>
      <w:r>
        <w:rPr>
          <w:rFonts w:hint="eastAsia"/>
          <w:iCs/>
          <w:lang w:val="de-DE"/>
        </w:rPr>
        <w:t xml:space="preserve">, VwVfG, </w:t>
      </w:r>
      <w:r>
        <w:t>§ </w:t>
      </w:r>
      <w:r>
        <w:rPr>
          <w:rFonts w:hint="eastAsia"/>
        </w:rPr>
        <w:t>49a Rn. 5.</w:t>
      </w:r>
    </w:p>
  </w:footnote>
  <w:footnote w:id="162">
    <w:p w:rsidR="00000000" w:rsidRDefault="00724932">
      <w:pPr>
        <w:pStyle w:val="aa"/>
        <w:spacing w:after="180"/>
        <w:rPr>
          <w:rFonts w:hint="eastAsia"/>
        </w:rPr>
      </w:pPr>
      <w:r>
        <w:rPr>
          <w:rStyle w:val="a9"/>
        </w:rPr>
        <w:footnoteRef/>
      </w:r>
      <w:r>
        <w:rPr>
          <w:rFonts w:hint="eastAsia"/>
        </w:rPr>
        <w:t xml:space="preserve"> </w:t>
      </w:r>
      <w:r>
        <w:rPr>
          <w:rFonts w:hint="eastAsia"/>
        </w:rPr>
        <w:t>這種類型之不當得利，在我國民法中雖無相</w:t>
      </w:r>
      <w:r>
        <w:rPr>
          <w:rFonts w:hint="eastAsia"/>
        </w:rPr>
        <w:t>對應之條文，但學者也普遍承認其存在；例見：王澤鑑，不當得利，頁</w:t>
      </w:r>
      <w:r>
        <w:rPr>
          <w:rFonts w:hint="eastAsia"/>
        </w:rPr>
        <w:t>62-65</w:t>
      </w:r>
      <w:r>
        <w:rPr>
          <w:rFonts w:hint="eastAsia"/>
        </w:rPr>
        <w:t>。</w:t>
      </w:r>
    </w:p>
  </w:footnote>
  <w:footnote w:id="163">
    <w:p w:rsidR="00000000" w:rsidRDefault="00724932">
      <w:pPr>
        <w:pStyle w:val="aa"/>
        <w:spacing w:after="180"/>
        <w:rPr>
          <w:rFonts w:hint="eastAsia"/>
        </w:rPr>
      </w:pPr>
      <w:r>
        <w:rPr>
          <w:rStyle w:val="a9"/>
        </w:rPr>
        <w:footnoteRef/>
      </w:r>
      <w:r>
        <w:t xml:space="preserve"> Statt</w:t>
      </w:r>
      <w:r>
        <w:rPr>
          <w:rFonts w:hint="eastAsia"/>
        </w:rPr>
        <w:t xml:space="preserve"> vie</w:t>
      </w:r>
      <w:r>
        <w:t>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 xml:space="preserve">24 Rn. 19; </w:t>
      </w:r>
      <w:r>
        <w:rPr>
          <w:rFonts w:hint="eastAsia"/>
          <w:i/>
        </w:rPr>
        <w:t>Sachs</w:t>
      </w:r>
      <w:r>
        <w:rPr>
          <w:rFonts w:hint="eastAsia"/>
        </w:rPr>
        <w:t xml:space="preserve">, in: Stelkens/Bonk/Sachs, VwVfG, </w:t>
      </w:r>
      <w:r>
        <w:t>§ </w:t>
      </w:r>
      <w:r>
        <w:rPr>
          <w:rFonts w:hint="eastAsia"/>
        </w:rPr>
        <w:t xml:space="preserve">49a Rn. 5 und insb. </w:t>
      </w:r>
      <w:r>
        <w:rPr>
          <w:rFonts w:hint="eastAsia"/>
          <w:i/>
        </w:rPr>
        <w:t>Windthorst</w:t>
      </w:r>
      <w:r>
        <w:rPr>
          <w:rFonts w:hint="eastAsia"/>
        </w:rPr>
        <w:t xml:space="preserve">, JuS 1996, 894 (898); a. A. aber noch </w:t>
      </w:r>
      <w:r>
        <w:rPr>
          <w:rFonts w:hint="eastAsia"/>
          <w:i/>
        </w:rPr>
        <w:t>Schoch</w:t>
      </w:r>
      <w:r>
        <w:rPr>
          <w:rFonts w:hint="eastAsia"/>
        </w:rPr>
        <w:t xml:space="preserve">, Jura </w:t>
      </w:r>
      <w:r>
        <w:rPr>
          <w:rFonts w:hint="eastAsia"/>
        </w:rPr>
        <w:t xml:space="preserve">1994, 82 (86); unklar insofern </w:t>
      </w:r>
      <w:r>
        <w:rPr>
          <w:rFonts w:hint="eastAsia"/>
          <w:i/>
        </w:rPr>
        <w:t>Ossenb</w:t>
      </w:r>
      <w:r>
        <w:rPr>
          <w:i/>
        </w:rPr>
        <w:t>ü</w:t>
      </w:r>
      <w:r>
        <w:rPr>
          <w:rFonts w:hint="eastAsia"/>
          <w:i/>
        </w:rPr>
        <w:t>hl</w:t>
      </w:r>
      <w:r>
        <w:rPr>
          <w:rFonts w:hint="eastAsia"/>
        </w:rPr>
        <w:t>, Staatshaftungsrecht, S. 427 einerseits und S. 429</w:t>
      </w:r>
      <w:r>
        <w:t> </w:t>
      </w:r>
      <w:r>
        <w:rPr>
          <w:rFonts w:hint="eastAsia"/>
        </w:rPr>
        <w:t>f. ande</w:t>
      </w:r>
      <w:r>
        <w:softHyphen/>
      </w:r>
      <w:r>
        <w:rPr>
          <w:rFonts w:hint="eastAsia"/>
        </w:rPr>
        <w:t>rerseits.</w:t>
      </w:r>
    </w:p>
  </w:footnote>
  <w:footnote w:id="164">
    <w:p w:rsidR="00000000" w:rsidRDefault="00724932">
      <w:pPr>
        <w:pStyle w:val="aa"/>
        <w:spacing w:after="180"/>
        <w:rPr>
          <w:rFonts w:hint="eastAsia"/>
        </w:rPr>
      </w:pPr>
      <w:r>
        <w:rPr>
          <w:rStyle w:val="a9"/>
        </w:rPr>
        <w:footnoteRef/>
      </w:r>
      <w:r>
        <w:rPr>
          <w:rFonts w:hint="eastAsia"/>
        </w:rPr>
        <w:t xml:space="preserve"> </w:t>
      </w:r>
      <w:r>
        <w:rPr>
          <w:rFonts w:hint="eastAsia"/>
        </w:rPr>
        <w:t>同說，參見：林錫堯，公法上不當得利法理試探，收於：當代公法新論（下），頁</w:t>
      </w:r>
      <w:r>
        <w:rPr>
          <w:rFonts w:hint="eastAsia"/>
        </w:rPr>
        <w:t>274-275</w:t>
      </w:r>
      <w:r>
        <w:rPr>
          <w:rFonts w:hint="eastAsia"/>
        </w:rPr>
        <w:t>；不同意見，但見：</w:t>
      </w:r>
      <w:r>
        <w:t>魏虎嶺</w:t>
      </w:r>
      <w:r>
        <w:rPr>
          <w:rFonts w:hint="eastAsia"/>
        </w:rPr>
        <w:t>，</w:t>
      </w:r>
      <w:r>
        <w:t>公法上不當得利之研究</w:t>
      </w:r>
      <w:r>
        <w:rPr>
          <w:rFonts w:hint="eastAsia"/>
        </w:rPr>
        <w:t>，頁</w:t>
      </w:r>
      <w:r>
        <w:rPr>
          <w:rFonts w:hint="eastAsia"/>
        </w:rPr>
        <w:t>65</w:t>
      </w:r>
      <w:r>
        <w:rPr>
          <w:rFonts w:hint="eastAsia"/>
        </w:rPr>
        <w:t>。</w:t>
      </w:r>
    </w:p>
  </w:footnote>
  <w:footnote w:id="165">
    <w:p w:rsidR="00000000" w:rsidRDefault="00724932">
      <w:pPr>
        <w:pStyle w:val="aa"/>
        <w:spacing w:after="180"/>
        <w:rPr>
          <w:rFonts w:hint="eastAsia"/>
        </w:rPr>
      </w:pPr>
      <w:r>
        <w:rPr>
          <w:rStyle w:val="a9"/>
        </w:rPr>
        <w:footnoteRef/>
      </w:r>
      <w:r>
        <w:rPr>
          <w:rFonts w:hint="eastAsia"/>
        </w:rPr>
        <w:t xml:space="preserve"> </w:t>
      </w:r>
      <w:r>
        <w:rPr>
          <w:rFonts w:hint="eastAsia"/>
        </w:rPr>
        <w:t>相關條文規定，詳見前文第二章第二節貳、二之附表。</w:t>
      </w:r>
    </w:p>
  </w:footnote>
  <w:footnote w:id="166">
    <w:p w:rsidR="00000000" w:rsidRDefault="00724932">
      <w:pPr>
        <w:pStyle w:val="aa"/>
        <w:spacing w:after="180"/>
        <w:rPr>
          <w:rFonts w:hint="eastAsia"/>
        </w:rPr>
      </w:pPr>
      <w:r>
        <w:rPr>
          <w:rStyle w:val="a9"/>
        </w:rPr>
        <w:footnoteRef/>
      </w:r>
      <w:r>
        <w:t xml:space="preserve"> </w:t>
      </w:r>
      <w:r>
        <w:rPr>
          <w:rFonts w:hint="eastAsia"/>
        </w:rPr>
        <w:t>詳見前文第二章第二節貳、二。</w:t>
      </w:r>
    </w:p>
  </w:footnote>
  <w:footnote w:id="167">
    <w:p w:rsidR="00000000" w:rsidRDefault="00724932">
      <w:pPr>
        <w:pStyle w:val="aa"/>
        <w:spacing w:after="180"/>
        <w:rPr>
          <w:rFonts w:hint="eastAsia"/>
        </w:rPr>
      </w:pPr>
      <w:r>
        <w:rPr>
          <w:rStyle w:val="a9"/>
        </w:rPr>
        <w:footnoteRef/>
      </w:r>
      <w:r>
        <w:t xml:space="preserve"> </w:t>
      </w:r>
      <w:r>
        <w:rPr>
          <w:rFonts w:hint="eastAsia"/>
        </w:rPr>
        <w:t>行政程序法第八條並非一種單純的「程序」規定，故依本節</w:t>
      </w:r>
      <w:r>
        <w:rPr>
          <w:rFonts w:hint="eastAsia"/>
        </w:rPr>
        <w:t>前開壹之說明，有適用於行政機關向公務人員請求返還公法上之金錢給付的情形。</w:t>
      </w:r>
    </w:p>
  </w:footnote>
  <w:footnote w:id="168">
    <w:p w:rsidR="00000000" w:rsidRDefault="00724932">
      <w:pPr>
        <w:pStyle w:val="aa"/>
        <w:spacing w:after="180"/>
        <w:rPr>
          <w:rFonts w:hint="eastAsia"/>
        </w:rPr>
      </w:pPr>
      <w:r>
        <w:rPr>
          <w:rStyle w:val="a9"/>
        </w:rPr>
        <w:footnoteRef/>
      </w:r>
      <w:r>
        <w:t xml:space="preserve"> </w:t>
      </w:r>
      <w:r>
        <w:rPr>
          <w:rFonts w:hint="eastAsia"/>
        </w:rPr>
        <w:t xml:space="preserve">Hierzu vgl. nur </w:t>
      </w:r>
      <w:r>
        <w:rPr>
          <w:rFonts w:hint="eastAsia"/>
          <w:i/>
        </w:rPr>
        <w:t>Detterbeck</w:t>
      </w:r>
      <w:r>
        <w:rPr>
          <w:rFonts w:hint="eastAsia"/>
        </w:rPr>
        <w:t xml:space="preserve">, in: Detterbeck/Windthorst/Sproll, Staatshaftungsrecht, </w:t>
      </w:r>
      <w:r>
        <w:t>§ </w:t>
      </w:r>
      <w:r>
        <w:rPr>
          <w:rFonts w:hint="eastAsia"/>
        </w:rPr>
        <w:t>25 Rn. 1</w:t>
      </w:r>
      <w:r>
        <w:t> </w:t>
      </w:r>
      <w:r>
        <w:rPr>
          <w:rFonts w:hint="eastAsia"/>
        </w:rPr>
        <w:t>ff.;</w:t>
      </w:r>
      <w:r>
        <w:rPr>
          <w:rFonts w:hint="eastAsia"/>
          <w:i/>
        </w:rPr>
        <w:t xml:space="preserve"> Schoch</w:t>
      </w:r>
      <w:r>
        <w:rPr>
          <w:rFonts w:hint="eastAsia"/>
        </w:rPr>
        <w:t xml:space="preserve">, Jura 1994, 82 (88); </w:t>
      </w:r>
      <w:r>
        <w:rPr>
          <w:rFonts w:hint="eastAsia"/>
          <w:i/>
        </w:rPr>
        <w:t>Weber</w:t>
      </w:r>
      <w:r>
        <w:rPr>
          <w:rFonts w:hint="eastAsia"/>
        </w:rPr>
        <w:t>, JuS 1986, 29 (34 f.);</w:t>
      </w:r>
      <w:r>
        <w:t xml:space="preserve"> </w:t>
      </w:r>
      <w:r>
        <w:rPr>
          <w:rFonts w:hint="eastAsia"/>
          <w:i/>
        </w:rPr>
        <w:t>Windthorst</w:t>
      </w:r>
      <w:r>
        <w:rPr>
          <w:rFonts w:hint="eastAsia"/>
        </w:rPr>
        <w:t>, JuS 1996, 894 (898</w:t>
      </w:r>
      <w:r>
        <w:t> </w:t>
      </w:r>
      <w:r>
        <w:rPr>
          <w:rFonts w:hint="eastAsia"/>
        </w:rPr>
        <w:t>f.)</w:t>
      </w:r>
      <w:r>
        <w:rPr>
          <w:rFonts w:hint="eastAsia"/>
        </w:rPr>
        <w:t>；在國內，此一說明方法，並為林錫堯，公法上不當得利法理</w:t>
      </w:r>
      <w:r>
        <w:rPr>
          <w:rFonts w:hint="eastAsia"/>
        </w:rPr>
        <w:t>試探，收於：當代公法新論（下），頁</w:t>
      </w:r>
      <w:r>
        <w:rPr>
          <w:rFonts w:hint="eastAsia"/>
        </w:rPr>
        <w:t>276-281</w:t>
      </w:r>
      <w:r>
        <w:rPr>
          <w:rFonts w:hint="eastAsia"/>
        </w:rPr>
        <w:t>所援用，此外也符合民法學者討論民法上不當得利之法律效果的方法（例見：王澤鑑，不當得利，頁</w:t>
      </w:r>
      <w:r>
        <w:rPr>
          <w:rFonts w:hint="eastAsia"/>
        </w:rPr>
        <w:t>234</w:t>
      </w:r>
      <w:r>
        <w:rPr>
          <w:rFonts w:hint="eastAsia"/>
        </w:rPr>
        <w:t>以下。</w:t>
      </w:r>
    </w:p>
  </w:footnote>
  <w:footnote w:id="169">
    <w:p w:rsidR="00000000" w:rsidRDefault="00724932">
      <w:pPr>
        <w:pStyle w:val="aa"/>
        <w:spacing w:after="180"/>
        <w:rPr>
          <w:rFonts w:hint="eastAsia"/>
        </w:rPr>
      </w:pPr>
      <w:r>
        <w:rPr>
          <w:rStyle w:val="a9"/>
        </w:rPr>
        <w:footnoteRef/>
      </w:r>
      <w:r>
        <w:t xml:space="preserve"> </w:t>
      </w:r>
      <w:r>
        <w:rPr>
          <w:rFonts w:hint="eastAsia"/>
        </w:rPr>
        <w:t>同說，例見：林錫堯，公法上不當得利法理試探，收於：當代公法新論（下），頁</w:t>
      </w:r>
      <w:r>
        <w:rPr>
          <w:rFonts w:hint="eastAsia"/>
        </w:rPr>
        <w:t>276</w:t>
      </w:r>
      <w:r>
        <w:rPr>
          <w:rFonts w:hint="eastAsia"/>
        </w:rPr>
        <w:t>。</w:t>
      </w:r>
    </w:p>
  </w:footnote>
  <w:footnote w:id="170">
    <w:p w:rsidR="00000000" w:rsidRDefault="00724932">
      <w:pPr>
        <w:pStyle w:val="aa"/>
        <w:spacing w:after="180"/>
        <w:rPr>
          <w:rFonts w:hint="eastAsia"/>
        </w:rPr>
      </w:pPr>
      <w:r>
        <w:rPr>
          <w:rStyle w:val="a9"/>
        </w:rPr>
        <w:footnoteRef/>
      </w:r>
      <w:r>
        <w:rPr>
          <w:rFonts w:hint="eastAsia"/>
        </w:rPr>
        <w:t xml:space="preserve"> </w:t>
      </w:r>
      <w:r>
        <w:rPr>
          <w:rFonts w:hint="eastAsia"/>
        </w:rPr>
        <w:t>詳見前文第二章第二節貳、一。</w:t>
      </w:r>
    </w:p>
  </w:footnote>
  <w:footnote w:id="171">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 xml:space="preserve">49a Rn. 13; </w:t>
      </w:r>
      <w:r>
        <w:rPr>
          <w:rFonts w:hint="eastAsia"/>
          <w:i/>
        </w:rPr>
        <w:t>Sachs</w:t>
      </w:r>
      <w:r>
        <w:rPr>
          <w:rFonts w:hint="eastAsia"/>
        </w:rPr>
        <w:t xml:space="preserve">, in: Stelkens/Bonk/Sachs, VwVfG, </w:t>
      </w:r>
      <w:r>
        <w:t>§ </w:t>
      </w:r>
      <w:r>
        <w:rPr>
          <w:rFonts w:hint="eastAsia"/>
        </w:rPr>
        <w:t>49a Rn. 42 m. w. Nachw.</w:t>
      </w:r>
    </w:p>
  </w:footnote>
  <w:footnote w:id="172">
    <w:p w:rsidR="00000000" w:rsidRDefault="00724932">
      <w:pPr>
        <w:pStyle w:val="aa"/>
        <w:spacing w:after="180"/>
        <w:rPr>
          <w:rFonts w:hint="eastAsia"/>
        </w:rPr>
      </w:pPr>
      <w:r>
        <w:rPr>
          <w:rStyle w:val="a9"/>
        </w:rPr>
        <w:footnoteRef/>
      </w:r>
      <w:r>
        <w:rPr>
          <w:rFonts w:hint="eastAsia"/>
        </w:rPr>
        <w:t xml:space="preserve"> </w:t>
      </w:r>
      <w:r>
        <w:rPr>
          <w:rFonts w:hint="eastAsia"/>
        </w:rPr>
        <w:t>同</w:t>
      </w:r>
      <w:r>
        <w:rPr>
          <w:rFonts w:hint="eastAsia"/>
        </w:rPr>
        <w:t>說，例見：林錫堯，公法上不當得利法理試探，收於：當代公法新論（下），頁</w:t>
      </w:r>
      <w:r>
        <w:rPr>
          <w:rFonts w:hint="eastAsia"/>
        </w:rPr>
        <w:t>276-277</w:t>
      </w:r>
      <w:r>
        <w:rPr>
          <w:rFonts w:hint="eastAsia"/>
        </w:rPr>
        <w:t>。</w:t>
      </w:r>
    </w:p>
  </w:footnote>
  <w:footnote w:id="173">
    <w:p w:rsidR="00000000" w:rsidRDefault="00724932">
      <w:pPr>
        <w:pStyle w:val="aa"/>
        <w:spacing w:after="180"/>
        <w:rPr>
          <w:rFonts w:hint="eastAsia"/>
        </w:rPr>
      </w:pPr>
      <w:r>
        <w:rPr>
          <w:rStyle w:val="a9"/>
        </w:rPr>
        <w:footnoteRef/>
      </w:r>
      <w:r>
        <w:t xml:space="preserve"> </w:t>
      </w:r>
      <w:r>
        <w:rPr>
          <w:rFonts w:hint="eastAsia"/>
        </w:rPr>
        <w:t>詳見前文第二章第二節壹、一。</w:t>
      </w:r>
    </w:p>
  </w:footnote>
  <w:footnote w:id="174">
    <w:p w:rsidR="00000000" w:rsidRDefault="00724932">
      <w:pPr>
        <w:pStyle w:val="aa"/>
        <w:spacing w:after="180"/>
        <w:rPr>
          <w:rFonts w:hint="eastAsia"/>
        </w:rPr>
      </w:pPr>
      <w:r>
        <w:rPr>
          <w:rStyle w:val="a9"/>
        </w:rPr>
        <w:footnoteRef/>
      </w:r>
      <w:r>
        <w:t xml:space="preserve"> </w:t>
      </w:r>
      <w:r>
        <w:rPr>
          <w:rFonts w:hint="eastAsia"/>
        </w:rPr>
        <w:t>詳見前文第二章第二節壹、一。</w:t>
      </w:r>
    </w:p>
  </w:footnote>
  <w:footnote w:id="175">
    <w:p w:rsidR="00000000" w:rsidRDefault="00724932">
      <w:pPr>
        <w:pStyle w:val="aa"/>
        <w:spacing w:after="180"/>
        <w:rPr>
          <w:rFonts w:hint="eastAsia"/>
        </w:rPr>
      </w:pPr>
      <w:r>
        <w:rPr>
          <w:rStyle w:val="a9"/>
        </w:rPr>
        <w:footnoteRef/>
      </w:r>
      <w:r>
        <w:rPr>
          <w:rFonts w:hint="eastAsia"/>
        </w:rPr>
        <w:t xml:space="preserve"> </w:t>
      </w:r>
      <w:r>
        <w:rPr>
          <w:rFonts w:hint="eastAsia"/>
        </w:rPr>
        <w:t>同說，例見：林錫堯，公法上不當得利法理試探，收於：當代公法新論（下），頁</w:t>
      </w:r>
      <w:r>
        <w:rPr>
          <w:rFonts w:hint="eastAsia"/>
        </w:rPr>
        <w:t>276</w:t>
      </w:r>
      <w:r>
        <w:rPr>
          <w:rFonts w:hint="eastAsia"/>
        </w:rPr>
        <w:t>。</w:t>
      </w:r>
    </w:p>
  </w:footnote>
  <w:footnote w:id="176">
    <w:p w:rsidR="00000000" w:rsidRDefault="00724932">
      <w:pPr>
        <w:pStyle w:val="aa"/>
        <w:spacing w:after="180"/>
        <w:rPr>
          <w:rFonts w:hint="eastAsia"/>
        </w:rPr>
      </w:pPr>
      <w:r>
        <w:rPr>
          <w:rStyle w:val="a9"/>
        </w:rPr>
        <w:footnoteRef/>
      </w:r>
      <w:r>
        <w:t xml:space="preserve"> </w:t>
      </w:r>
      <w:r>
        <w:rPr>
          <w:rFonts w:hint="eastAsia"/>
        </w:rPr>
        <w:t>同說，例見：陳敏，行政法總論，頁</w:t>
      </w:r>
      <w:r>
        <w:rPr>
          <w:rFonts w:hint="eastAsia"/>
        </w:rPr>
        <w:t>1184-1186</w:t>
      </w:r>
      <w:r>
        <w:rPr>
          <w:rFonts w:hint="eastAsia"/>
        </w:rPr>
        <w:t>；詹震榮，行政機關之公法上不當得利返還請求權，法學講座</w:t>
      </w:r>
      <w:r>
        <w:rPr>
          <w:rFonts w:hint="eastAsia"/>
        </w:rPr>
        <w:t>23</w:t>
      </w:r>
      <w:r>
        <w:rPr>
          <w:rFonts w:hint="eastAsia"/>
        </w:rPr>
        <w:t>期，頁</w:t>
      </w:r>
      <w:r>
        <w:rPr>
          <w:rFonts w:hint="eastAsia"/>
        </w:rPr>
        <w:t>59-61</w:t>
      </w:r>
      <w:r>
        <w:rPr>
          <w:rFonts w:hint="eastAsia"/>
        </w:rPr>
        <w:t>（但在頁</w:t>
      </w:r>
      <w:r>
        <w:rPr>
          <w:rFonts w:hint="eastAsia"/>
        </w:rPr>
        <w:t>57</w:t>
      </w:r>
      <w:r>
        <w:rPr>
          <w:rFonts w:hint="eastAsia"/>
        </w:rPr>
        <w:t>中，對行政程序法第一百二十七條第二項之立法例，從立法政策觀點持批判性的觀點）；不同意見，但見：林錫堯，公法上不當得利法理試探，收於</w:t>
      </w:r>
      <w:r>
        <w:rPr>
          <w:rFonts w:hint="eastAsia"/>
        </w:rPr>
        <w:t>：當代公法新論（下），頁</w:t>
      </w:r>
      <w:r>
        <w:rPr>
          <w:rFonts w:hint="eastAsia"/>
        </w:rPr>
        <w:t>277-278</w:t>
      </w:r>
      <w:r>
        <w:rPr>
          <w:rFonts w:hint="eastAsia"/>
        </w:rPr>
        <w:t>。</w:t>
      </w:r>
    </w:p>
  </w:footnote>
  <w:footnote w:id="177">
    <w:p w:rsidR="00000000" w:rsidRDefault="00724932">
      <w:pPr>
        <w:pStyle w:val="aa"/>
        <w:spacing w:after="180"/>
        <w:rPr>
          <w:rFonts w:hint="eastAsia"/>
        </w:rPr>
      </w:pPr>
      <w:r>
        <w:rPr>
          <w:rStyle w:val="a9"/>
        </w:rPr>
        <w:footnoteRef/>
      </w:r>
      <w:r>
        <w:t xml:space="preserve"> </w:t>
      </w:r>
      <w:r>
        <w:rPr>
          <w:rFonts w:hint="eastAsia"/>
        </w:rPr>
        <w:t>例見：（改制前）行政法院</w:t>
      </w:r>
      <w:r>
        <w:rPr>
          <w:rFonts w:hint="eastAsia"/>
        </w:rPr>
        <w:t>86</w:t>
      </w:r>
      <w:r>
        <w:rPr>
          <w:rFonts w:hint="eastAsia"/>
        </w:rPr>
        <w:t>年判字第</w:t>
      </w:r>
      <w:r>
        <w:rPr>
          <w:rFonts w:hint="eastAsia"/>
        </w:rPr>
        <w:t>1861</w:t>
      </w:r>
      <w:r>
        <w:rPr>
          <w:rFonts w:hint="eastAsia"/>
        </w:rPr>
        <w:t>號判決（本案雖非直接涉及當時尚未立法之行政程序法，惟其爭訟內涵仍屬信賴保護與民法第一百八十二條間之關係）；臺中高等行政法院</w:t>
      </w:r>
      <w:r>
        <w:rPr>
          <w:rFonts w:hint="eastAsia"/>
        </w:rPr>
        <w:t>93</w:t>
      </w:r>
      <w:r>
        <w:rPr>
          <w:rFonts w:hint="eastAsia"/>
        </w:rPr>
        <w:t>年簡字第</w:t>
      </w:r>
      <w:r>
        <w:rPr>
          <w:rFonts w:hint="eastAsia"/>
        </w:rPr>
        <w:t>101</w:t>
      </w:r>
      <w:r>
        <w:rPr>
          <w:rFonts w:hint="eastAsia"/>
        </w:rPr>
        <w:t>號判決；保訓會</w:t>
      </w:r>
      <w:r>
        <w:rPr>
          <w:rFonts w:hint="eastAsia"/>
        </w:rPr>
        <w:t>93</w:t>
      </w:r>
      <w:r>
        <w:rPr>
          <w:rFonts w:hint="eastAsia"/>
        </w:rPr>
        <w:t>公審決字第</w:t>
      </w:r>
      <w:r>
        <w:rPr>
          <w:rFonts w:hint="eastAsia"/>
        </w:rPr>
        <w:t>0063</w:t>
      </w:r>
      <w:r>
        <w:rPr>
          <w:rFonts w:hint="eastAsia"/>
        </w:rPr>
        <w:t>號復審決定；</w:t>
      </w:r>
      <w:r>
        <w:rPr>
          <w:rFonts w:hint="eastAsia"/>
        </w:rPr>
        <w:t>93</w:t>
      </w:r>
      <w:r>
        <w:rPr>
          <w:rFonts w:hint="eastAsia"/>
        </w:rPr>
        <w:t>公審決字第</w:t>
      </w:r>
      <w:r>
        <w:rPr>
          <w:rFonts w:hint="eastAsia"/>
        </w:rPr>
        <w:t>0225</w:t>
      </w:r>
      <w:r>
        <w:rPr>
          <w:rFonts w:hint="eastAsia"/>
        </w:rPr>
        <w:t>號復審決定；</w:t>
      </w:r>
      <w:r>
        <w:rPr>
          <w:rFonts w:hint="eastAsia"/>
        </w:rPr>
        <w:t>93</w:t>
      </w:r>
      <w:r>
        <w:rPr>
          <w:rFonts w:hint="eastAsia"/>
        </w:rPr>
        <w:t>公審決字第</w:t>
      </w:r>
      <w:r>
        <w:rPr>
          <w:rFonts w:hint="eastAsia"/>
        </w:rPr>
        <w:t>0237</w:t>
      </w:r>
      <w:r>
        <w:rPr>
          <w:rFonts w:hint="eastAsia"/>
        </w:rPr>
        <w:t>號復審決定。</w:t>
      </w:r>
    </w:p>
  </w:footnote>
  <w:footnote w:id="178">
    <w:p w:rsidR="00000000" w:rsidRDefault="00724932">
      <w:pPr>
        <w:pStyle w:val="aa"/>
        <w:spacing w:after="180"/>
        <w:rPr>
          <w:rFonts w:hint="eastAsia"/>
        </w:rPr>
      </w:pPr>
      <w:r>
        <w:rPr>
          <w:rStyle w:val="a9"/>
        </w:rPr>
        <w:footnoteRef/>
      </w:r>
      <w:r>
        <w:t xml:space="preserve"> </w:t>
      </w:r>
      <w:r>
        <w:rPr>
          <w:rFonts w:hint="eastAsia"/>
        </w:rPr>
        <w:t>依據德國聯邦公務員俸給法第十二條第二項第一句或其他法律相當之法條，有關公務人員受領薪俸或其他公法上金錢給付所造成的特殊公法上返還請求權，其返還範圍，亦同樣指向民</w:t>
      </w:r>
      <w:r>
        <w:rPr>
          <w:rFonts w:hint="eastAsia"/>
        </w:rPr>
        <w:t>法有關不當得利之規定；因此相關的條文，也有爭議（</w:t>
      </w:r>
      <w:r>
        <w:rPr>
          <w:rFonts w:hint="eastAsia"/>
        </w:rPr>
        <w:t xml:space="preserve">vgl. dazu insgesamt nur </w:t>
      </w:r>
      <w:r>
        <w:rPr>
          <w:rFonts w:hint="eastAsia"/>
          <w:i/>
        </w:rPr>
        <w:t>Schnel</w:t>
      </w:r>
      <w:r>
        <w:rPr>
          <w:i/>
        </w:rPr>
        <w:softHyphen/>
      </w:r>
      <w:r>
        <w:rPr>
          <w:rFonts w:hint="eastAsia"/>
          <w:i/>
        </w:rPr>
        <w:t>len</w:t>
      </w:r>
      <w:r>
        <w:rPr>
          <w:i/>
        </w:rPr>
        <w:softHyphen/>
      </w:r>
      <w:r>
        <w:rPr>
          <w:rFonts w:hint="eastAsia"/>
          <w:i/>
        </w:rPr>
        <w:t>bach</w:t>
      </w:r>
      <w:r>
        <w:rPr>
          <w:rFonts w:hint="eastAsia"/>
        </w:rPr>
        <w:t>, Beamten</w:t>
      </w:r>
      <w:r>
        <w:softHyphen/>
      </w:r>
      <w:r>
        <w:rPr>
          <w:rFonts w:hint="eastAsia"/>
        </w:rPr>
        <w:t>recht in der Praxis, Rn. 704 ff.</w:t>
      </w:r>
      <w:r>
        <w:rPr>
          <w:rFonts w:hint="eastAsia"/>
        </w:rPr>
        <w:t>）。不過鑑於德國公務人員法規上的這種特殊公法上返還請求權，在此方面既與德國聯邦行政程序法第四十九條之一之規定雷同，所以這些公務人員法規上的問題，以下不贅敘。</w:t>
      </w:r>
    </w:p>
  </w:footnote>
  <w:footnote w:id="179">
    <w:p w:rsidR="00000000" w:rsidRDefault="00724932">
      <w:pPr>
        <w:pStyle w:val="aa"/>
        <w:spacing w:after="180"/>
        <w:rPr>
          <w:rFonts w:hint="eastAsia"/>
        </w:rPr>
      </w:pPr>
      <w:r>
        <w:rPr>
          <w:rStyle w:val="a9"/>
        </w:rPr>
        <w:footnoteRef/>
      </w:r>
      <w:r>
        <w:rPr>
          <w:rFonts w:hint="eastAsia"/>
        </w:rPr>
        <w:t xml:space="preserve"> </w:t>
      </w:r>
      <w:r>
        <w:rPr>
          <w:rFonts w:hint="eastAsia"/>
        </w:rPr>
        <w:t>我國民法與德國相關民法條文之對照，詳見前文第二章第一節參之附表。</w:t>
      </w:r>
    </w:p>
  </w:footnote>
  <w:footnote w:id="180">
    <w:p w:rsidR="00000000" w:rsidRDefault="00724932">
      <w:pPr>
        <w:pStyle w:val="aa"/>
        <w:spacing w:after="180"/>
        <w:rPr>
          <w:rFonts w:hint="eastAsia"/>
        </w:rPr>
      </w:pPr>
      <w:r>
        <w:rPr>
          <w:rStyle w:val="a9"/>
        </w:rPr>
        <w:footnoteRef/>
      </w:r>
      <w:r>
        <w:t xml:space="preserve"> </w:t>
      </w:r>
      <w:r>
        <w:rPr>
          <w:rFonts w:hint="eastAsia"/>
        </w:rPr>
        <w:t xml:space="preserve">Vgl. dazu nur </w:t>
      </w:r>
      <w:r>
        <w:rPr>
          <w:rFonts w:hint="eastAsia"/>
          <w:i/>
        </w:rPr>
        <w:t>Detterbeck</w:t>
      </w:r>
      <w:r>
        <w:rPr>
          <w:rFonts w:hint="eastAsia"/>
        </w:rPr>
        <w:t>, in: Dette</w:t>
      </w:r>
      <w:r>
        <w:rPr>
          <w:rFonts w:hint="eastAsia"/>
        </w:rPr>
        <w:t xml:space="preserve">rbeck/Windthorst/Sproll, Staatshaftungsrecht, </w:t>
      </w:r>
      <w:r>
        <w:t>§ </w:t>
      </w:r>
      <w:r>
        <w:rPr>
          <w:rFonts w:hint="eastAsia"/>
        </w:rPr>
        <w:t>25 Rn. 16</w:t>
      </w:r>
      <w:r>
        <w:t> </w:t>
      </w:r>
      <w:r>
        <w:rPr>
          <w:rFonts w:hint="eastAsia"/>
        </w:rPr>
        <w:t>ff.</w:t>
      </w:r>
    </w:p>
  </w:footnote>
  <w:footnote w:id="181">
    <w:p w:rsidR="00000000" w:rsidRDefault="00724932">
      <w:pPr>
        <w:pStyle w:val="aa"/>
        <w:spacing w:after="180"/>
        <w:rPr>
          <w:rFonts w:hint="eastAsia"/>
        </w:rPr>
      </w:pPr>
      <w:r>
        <w:rPr>
          <w:rStyle w:val="a9"/>
        </w:rPr>
        <w:footnoteRef/>
      </w:r>
      <w:r>
        <w:t xml:space="preserve"> </w:t>
      </w:r>
      <w:r>
        <w:rPr>
          <w:rFonts w:hint="eastAsia"/>
        </w:rPr>
        <w:t>詳見前文第二章第一節參及第二節壹、一。</w:t>
      </w:r>
    </w:p>
  </w:footnote>
  <w:footnote w:id="182">
    <w:p w:rsidR="00000000" w:rsidRDefault="00724932">
      <w:pPr>
        <w:pStyle w:val="aa"/>
        <w:spacing w:after="180"/>
        <w:rPr>
          <w:rFonts w:hint="eastAsia"/>
        </w:rPr>
      </w:pPr>
      <w:r>
        <w:rPr>
          <w:rStyle w:val="a9"/>
        </w:rPr>
        <w:footnoteRef/>
      </w:r>
      <w:r>
        <w:t xml:space="preserve"> </w:t>
      </w:r>
      <w:r>
        <w:rPr>
          <w:rFonts w:hint="eastAsia"/>
        </w:rPr>
        <w:t xml:space="preserve">So etwa </w:t>
      </w:r>
      <w:r>
        <w:rPr>
          <w:rFonts w:hint="eastAsia"/>
          <w:i/>
          <w:iCs/>
          <w:lang w:val="de-DE"/>
        </w:rPr>
        <w:t>Ossenb</w:t>
      </w:r>
      <w:r>
        <w:rPr>
          <w:i/>
          <w:iCs/>
          <w:lang w:val="de-DE"/>
        </w:rPr>
        <w:t>ühl</w:t>
      </w:r>
      <w:r>
        <w:rPr>
          <w:rFonts w:hint="eastAsia"/>
        </w:rPr>
        <w:t>, Staatshaftungsrecht, S. 434.</w:t>
      </w:r>
    </w:p>
  </w:footnote>
  <w:footnote w:id="183">
    <w:p w:rsidR="00000000" w:rsidRDefault="00724932">
      <w:pPr>
        <w:pStyle w:val="aa"/>
        <w:spacing w:after="180"/>
        <w:rPr>
          <w:rFonts w:hint="eastAsia"/>
        </w:rPr>
      </w:pPr>
      <w:r>
        <w:rPr>
          <w:rStyle w:val="a9"/>
        </w:rPr>
        <w:footnoteRef/>
      </w:r>
      <w:r>
        <w:t xml:space="preserve"> </w:t>
      </w:r>
      <w:r>
        <w:rPr>
          <w:rFonts w:hint="eastAsia"/>
        </w:rPr>
        <w:t>Statt vieler BVerwGE 25, 72 (81)</w:t>
      </w:r>
      <w:r>
        <w:t>;</w:t>
      </w:r>
      <w:r>
        <w:rPr>
          <w:rFonts w:hint="eastAsia"/>
        </w:rPr>
        <w:t xml:space="preserve"> </w:t>
      </w:r>
      <w:r>
        <w:rPr>
          <w:rFonts w:hint="eastAsia"/>
          <w:i/>
        </w:rPr>
        <w:t>Ossenb</w:t>
      </w:r>
      <w:r>
        <w:rPr>
          <w:i/>
        </w:rPr>
        <w:t>ü</w:t>
      </w:r>
      <w:r>
        <w:rPr>
          <w:rFonts w:hint="eastAsia"/>
          <w:i/>
        </w:rPr>
        <w:t>hl</w:t>
      </w:r>
      <w:r>
        <w:rPr>
          <w:rFonts w:hint="eastAsia"/>
        </w:rPr>
        <w:t>, Staatshaftungsrecht, S. 433 a. E.</w:t>
      </w:r>
    </w:p>
  </w:footnote>
  <w:footnote w:id="184">
    <w:p w:rsidR="00000000" w:rsidRDefault="00724932">
      <w:pPr>
        <w:pStyle w:val="aa"/>
        <w:spacing w:after="180"/>
        <w:rPr>
          <w:rFonts w:hint="eastAsia"/>
        </w:rPr>
      </w:pPr>
      <w:r>
        <w:rPr>
          <w:rStyle w:val="a9"/>
        </w:rPr>
        <w:footnoteRef/>
      </w:r>
      <w:r>
        <w:t xml:space="preserve"> </w:t>
      </w:r>
      <w:r>
        <w:rPr>
          <w:rFonts w:hint="eastAsia"/>
        </w:rPr>
        <w:t xml:space="preserve">So etwa </w:t>
      </w:r>
      <w:r>
        <w:rPr>
          <w:rFonts w:hint="eastAsia"/>
          <w:i/>
        </w:rPr>
        <w:t>Ossenb</w:t>
      </w:r>
      <w:r>
        <w:rPr>
          <w:i/>
        </w:rPr>
        <w:t>ü</w:t>
      </w:r>
      <w:r>
        <w:rPr>
          <w:rFonts w:hint="eastAsia"/>
          <w:i/>
        </w:rPr>
        <w:t>hl</w:t>
      </w:r>
      <w:r>
        <w:rPr>
          <w:rFonts w:hint="eastAsia"/>
        </w:rPr>
        <w:t>, Staatshaftungsrecht,</w:t>
      </w:r>
      <w:r>
        <w:rPr>
          <w:rFonts w:hint="eastAsia"/>
        </w:rPr>
        <w:t xml:space="preserve"> S. 434; </w:t>
      </w:r>
      <w:r>
        <w:rPr>
          <w:rFonts w:hint="eastAsia"/>
          <w:i/>
        </w:rPr>
        <w:t>Maurer</w:t>
      </w:r>
      <w:r>
        <w:rPr>
          <w:rFonts w:hint="eastAsia"/>
        </w:rPr>
        <w:t xml:space="preserve">, Allgemeines Verwaltungsrecht, </w:t>
      </w:r>
      <w:r>
        <w:t>§ </w:t>
      </w:r>
      <w:r>
        <w:rPr>
          <w:rFonts w:hint="eastAsia"/>
        </w:rPr>
        <w:t xml:space="preserve">29 Rn. 28; </w:t>
      </w:r>
      <w:r>
        <w:rPr>
          <w:rFonts w:hint="eastAsia"/>
          <w:i/>
        </w:rPr>
        <w:t>Weber</w:t>
      </w:r>
      <w:r>
        <w:rPr>
          <w:rFonts w:hint="eastAsia"/>
        </w:rPr>
        <w:t>, JuS 1986, 29 (35).</w:t>
      </w:r>
    </w:p>
  </w:footnote>
  <w:footnote w:id="185">
    <w:p w:rsidR="00000000" w:rsidRDefault="00724932">
      <w:pPr>
        <w:pStyle w:val="aa"/>
        <w:spacing w:after="180"/>
        <w:rPr>
          <w:rFonts w:hint="eastAsia"/>
        </w:rPr>
      </w:pPr>
      <w:r>
        <w:rPr>
          <w:rStyle w:val="a9"/>
        </w:rPr>
        <w:footnoteRef/>
      </w:r>
      <w:r>
        <w:t xml:space="preserve"> </w:t>
      </w:r>
      <w:r>
        <w:rPr>
          <w:rFonts w:hint="eastAsia"/>
        </w:rPr>
        <w:t xml:space="preserve">Vgl. nur </w:t>
      </w:r>
      <w:r>
        <w:rPr>
          <w:rFonts w:hint="eastAsia"/>
          <w:i/>
        </w:rPr>
        <w:t>Detterbeck</w:t>
      </w:r>
      <w:r>
        <w:rPr>
          <w:rFonts w:hint="eastAsia"/>
        </w:rPr>
        <w:t xml:space="preserve">, in: Detterbeck/Windthorst/Sproll, Staatshaftungsrecht, </w:t>
      </w:r>
      <w:r>
        <w:t>§ </w:t>
      </w:r>
      <w:r>
        <w:rPr>
          <w:rFonts w:hint="eastAsia"/>
        </w:rPr>
        <w:t>25 Rn. 17</w:t>
      </w:r>
      <w:r>
        <w:t> </w:t>
      </w:r>
      <w:r>
        <w:rPr>
          <w:rFonts w:hint="eastAsia"/>
        </w:rPr>
        <w:t>ff.</w:t>
      </w:r>
    </w:p>
  </w:footnote>
  <w:footnote w:id="186">
    <w:p w:rsidR="00000000" w:rsidRDefault="00724932">
      <w:pPr>
        <w:pStyle w:val="aa"/>
        <w:spacing w:after="180"/>
        <w:rPr>
          <w:rFonts w:hint="eastAsia"/>
        </w:rPr>
      </w:pPr>
      <w:r>
        <w:rPr>
          <w:rStyle w:val="a9"/>
        </w:rPr>
        <w:footnoteRef/>
      </w:r>
      <w:r>
        <w:t xml:space="preserve"> </w:t>
      </w:r>
      <w:r>
        <w:rPr>
          <w:rFonts w:hint="eastAsia"/>
        </w:rPr>
        <w:t>參見：立法院法制委員會編，行政程序法案，頁</w:t>
      </w:r>
      <w:r>
        <w:rPr>
          <w:rFonts w:hint="eastAsia"/>
        </w:rPr>
        <w:t>1488-1494</w:t>
      </w:r>
      <w:r>
        <w:rPr>
          <w:rFonts w:hint="eastAsia"/>
        </w:rPr>
        <w:t>。</w:t>
      </w:r>
    </w:p>
  </w:footnote>
  <w:footnote w:id="187">
    <w:p w:rsidR="00000000" w:rsidRDefault="00724932">
      <w:pPr>
        <w:pStyle w:val="aa"/>
        <w:spacing w:after="180"/>
        <w:rPr>
          <w:rFonts w:hint="eastAsia"/>
        </w:rPr>
      </w:pPr>
      <w:r>
        <w:rPr>
          <w:rStyle w:val="a9"/>
        </w:rPr>
        <w:footnoteRef/>
      </w:r>
      <w:r>
        <w:t xml:space="preserve"> </w:t>
      </w:r>
      <w:r>
        <w:rPr>
          <w:rFonts w:hint="eastAsia"/>
        </w:rPr>
        <w:t>參見：林錫堯，公法上不當得利法理試探，收於：當代公法新論（下），頁</w:t>
      </w:r>
      <w:r>
        <w:rPr>
          <w:rFonts w:hint="eastAsia"/>
        </w:rPr>
        <w:t>279-280</w:t>
      </w:r>
      <w:r>
        <w:rPr>
          <w:rFonts w:hint="eastAsia"/>
        </w:rPr>
        <w:t>；陳敏，行政法總論，頁</w:t>
      </w:r>
      <w:r>
        <w:rPr>
          <w:rFonts w:hint="eastAsia"/>
        </w:rPr>
        <w:t>455</w:t>
      </w:r>
      <w:r>
        <w:rPr>
          <w:rFonts w:hint="eastAsia"/>
        </w:rPr>
        <w:t>以下；</w:t>
      </w:r>
      <w:r>
        <w:rPr>
          <w:rFonts w:hint="eastAsia"/>
        </w:rPr>
        <w:t xml:space="preserve">vgl. zudem </w:t>
      </w:r>
      <w:r>
        <w:rPr>
          <w:rFonts w:hint="eastAsia"/>
          <w:i/>
        </w:rPr>
        <w:t>Detterbeck</w:t>
      </w:r>
      <w:r>
        <w:rPr>
          <w:rFonts w:hint="eastAsia"/>
        </w:rPr>
        <w:t xml:space="preserve">, Allgemeines Verwaltungsrecht, Rn. 694; </w:t>
      </w:r>
      <w:r>
        <w:rPr>
          <w:rFonts w:hint="eastAsia"/>
          <w:i/>
        </w:rPr>
        <w:t>Maurer</w:t>
      </w:r>
      <w:r>
        <w:rPr>
          <w:rFonts w:hint="eastAsia"/>
        </w:rPr>
        <w:t xml:space="preserve">, Allgemeines Verwaltungsrecht, </w:t>
      </w:r>
      <w:r>
        <w:t>§ </w:t>
      </w:r>
      <w:r>
        <w:rPr>
          <w:rFonts w:hint="eastAsia"/>
        </w:rPr>
        <w:t>11 Rn. 28</w:t>
      </w:r>
      <w:r>
        <w:t> </w:t>
      </w:r>
      <w:r>
        <w:rPr>
          <w:rFonts w:hint="eastAsia"/>
        </w:rPr>
        <w:t>ff.</w:t>
      </w:r>
    </w:p>
  </w:footnote>
  <w:footnote w:id="188">
    <w:p w:rsidR="00000000" w:rsidRDefault="00724932">
      <w:pPr>
        <w:pStyle w:val="aa"/>
        <w:spacing w:after="180"/>
        <w:rPr>
          <w:rFonts w:hint="eastAsia"/>
        </w:rPr>
      </w:pPr>
      <w:r>
        <w:rPr>
          <w:rStyle w:val="a9"/>
        </w:rPr>
        <w:footnoteRef/>
      </w:r>
      <w:r>
        <w:t xml:space="preserve"> </w:t>
      </w:r>
      <w:r>
        <w:rPr>
          <w:rFonts w:hint="eastAsia"/>
        </w:rPr>
        <w:t>有關信賴保護原則的中文文獻，例見：吳坤城，公法上信賴保護原則初探，收於：行政法之一般法律原則（二），頁</w:t>
      </w:r>
      <w:r>
        <w:rPr>
          <w:rFonts w:hint="eastAsia"/>
        </w:rPr>
        <w:t>235</w:t>
      </w:r>
      <w:r>
        <w:rPr>
          <w:rFonts w:hint="eastAsia"/>
        </w:rPr>
        <w:t>以下；林合民，公法上信賴保護原則。</w:t>
      </w:r>
    </w:p>
  </w:footnote>
  <w:footnote w:id="189">
    <w:p w:rsidR="00000000" w:rsidRDefault="00724932">
      <w:pPr>
        <w:pStyle w:val="aa"/>
        <w:spacing w:after="180"/>
        <w:rPr>
          <w:rFonts w:hint="eastAsia"/>
        </w:rPr>
      </w:pPr>
      <w:r>
        <w:rPr>
          <w:rStyle w:val="a9"/>
        </w:rPr>
        <w:footnoteRef/>
      </w:r>
      <w:r>
        <w:t xml:space="preserve"> </w:t>
      </w:r>
      <w:r>
        <w:rPr>
          <w:rFonts w:hint="eastAsia"/>
        </w:rPr>
        <w:t>不同意見，似見：（改制前）行政法院</w:t>
      </w:r>
      <w:r>
        <w:rPr>
          <w:rFonts w:hint="eastAsia"/>
        </w:rPr>
        <w:t>86</w:t>
      </w:r>
      <w:r>
        <w:rPr>
          <w:rFonts w:hint="eastAsia"/>
        </w:rPr>
        <w:t>年判字第</w:t>
      </w:r>
      <w:r>
        <w:rPr>
          <w:rFonts w:hint="eastAsia"/>
        </w:rPr>
        <w:t>1861</w:t>
      </w:r>
      <w:r>
        <w:rPr>
          <w:rFonts w:hint="eastAsia"/>
        </w:rPr>
        <w:t>號判決。</w:t>
      </w:r>
    </w:p>
  </w:footnote>
  <w:footnote w:id="190">
    <w:p w:rsidR="00000000" w:rsidRDefault="00724932">
      <w:pPr>
        <w:pStyle w:val="aa"/>
        <w:spacing w:after="180"/>
        <w:rPr>
          <w:rFonts w:hint="eastAsia"/>
        </w:rPr>
      </w:pPr>
      <w:r>
        <w:rPr>
          <w:rStyle w:val="a9"/>
        </w:rPr>
        <w:footnoteRef/>
      </w:r>
      <w:r>
        <w:t xml:space="preserve"> </w:t>
      </w:r>
      <w:r>
        <w:rPr>
          <w:rFonts w:hint="eastAsia"/>
        </w:rPr>
        <w:t>套用此一「信賴行為」理論，</w:t>
      </w:r>
      <w:r>
        <w:rPr>
          <w:rFonts w:hint="eastAsia"/>
        </w:rPr>
        <w:t>德國實務在有關公務人員受領公法上金錢給付所衍生之公法上不當得利問題，也發展出一套複雜的推定與個案確定給付不存在，而毋庸返還（我國民法第一百八十二條第一項參照）的方法；詳見：</w:t>
      </w:r>
      <w:r>
        <w:t>B</w:t>
      </w:r>
      <w:r>
        <w:rPr>
          <w:rFonts w:hint="eastAsia"/>
        </w:rPr>
        <w:t>BesGVwV 12.2.11</w:t>
      </w:r>
      <w:r>
        <w:t> </w:t>
      </w:r>
      <w:r>
        <w:rPr>
          <w:rFonts w:hint="eastAsia"/>
        </w:rPr>
        <w:t xml:space="preserve">f.; </w:t>
      </w:r>
      <w:r>
        <w:rPr>
          <w:rFonts w:hint="eastAsia"/>
          <w:i/>
        </w:rPr>
        <w:t>Schnellenbach</w:t>
      </w:r>
      <w:r>
        <w:rPr>
          <w:rFonts w:hint="eastAsia"/>
        </w:rPr>
        <w:t>, Beamtenrecht in der Pra</w:t>
      </w:r>
      <w:r>
        <w:softHyphen/>
      </w:r>
      <w:r>
        <w:rPr>
          <w:rFonts w:hint="eastAsia"/>
        </w:rPr>
        <w:t>xis, Rn. 706 ff.</w:t>
      </w:r>
    </w:p>
  </w:footnote>
  <w:footnote w:id="191">
    <w:p w:rsidR="00000000" w:rsidRDefault="00724932">
      <w:pPr>
        <w:pStyle w:val="aa"/>
        <w:spacing w:after="180"/>
        <w:rPr>
          <w:rFonts w:hint="eastAsia"/>
        </w:rPr>
      </w:pPr>
      <w:r>
        <w:rPr>
          <w:rStyle w:val="a9"/>
        </w:rPr>
        <w:footnoteRef/>
      </w:r>
      <w:r>
        <w:t xml:space="preserve"> </w:t>
      </w:r>
      <w:r>
        <w:rPr>
          <w:rFonts w:hint="eastAsia"/>
        </w:rPr>
        <w:t xml:space="preserve">So </w:t>
      </w:r>
      <w:r>
        <w:rPr>
          <w:rFonts w:hint="eastAsia"/>
          <w:i/>
        </w:rPr>
        <w:t>Detterbeck</w:t>
      </w:r>
      <w:r>
        <w:rPr>
          <w:rFonts w:hint="eastAsia"/>
        </w:rPr>
        <w:t>, Allgemeines Verwaltungsrecht, Rn. 694.</w:t>
      </w:r>
    </w:p>
  </w:footnote>
  <w:footnote w:id="192">
    <w:p w:rsidR="00000000" w:rsidRDefault="00724932">
      <w:pPr>
        <w:pStyle w:val="aa"/>
        <w:spacing w:after="180"/>
        <w:rPr>
          <w:rFonts w:hint="eastAsia"/>
        </w:rPr>
      </w:pPr>
      <w:r>
        <w:rPr>
          <w:rStyle w:val="a9"/>
        </w:rPr>
        <w:footnoteRef/>
      </w:r>
      <w:r>
        <w:t xml:space="preserve"> </w:t>
      </w:r>
      <w:r>
        <w:rPr>
          <w:rFonts w:hint="eastAsia"/>
        </w:rPr>
        <w:t>至於民法第一百八十二條第二項所稱之「</w:t>
      </w:r>
      <w:r>
        <w:rPr>
          <w:rFonts w:ascii="新細明體" w:hAnsi="新細明體"/>
        </w:rPr>
        <w:t>…</w:t>
      </w:r>
      <w:r>
        <w:rPr>
          <w:rFonts w:hint="eastAsia"/>
        </w:rPr>
        <w:t>如有損害，並應賠償」，在金錢給付</w:t>
      </w:r>
      <w:r>
        <w:rPr>
          <w:rFonts w:hint="eastAsia"/>
        </w:rPr>
        <w:t>之情形，甚難想像；縱有，也得以直接類推民法侵權行為法處理。</w:t>
      </w:r>
    </w:p>
  </w:footnote>
  <w:footnote w:id="193">
    <w:p w:rsidR="00000000" w:rsidRDefault="00724932">
      <w:pPr>
        <w:pStyle w:val="aa"/>
        <w:spacing w:after="180"/>
        <w:rPr>
          <w:rFonts w:hint="eastAsia"/>
        </w:rPr>
      </w:pPr>
      <w:r>
        <w:rPr>
          <w:rStyle w:val="a9"/>
        </w:rPr>
        <w:footnoteRef/>
      </w:r>
      <w:r>
        <w:t xml:space="preserve"> </w:t>
      </w:r>
      <w:r>
        <w:rPr>
          <w:rFonts w:hint="eastAsia"/>
        </w:rPr>
        <w:t xml:space="preserve">So </w:t>
      </w:r>
      <w:r>
        <w:rPr>
          <w:rFonts w:hint="eastAsia"/>
          <w:i/>
        </w:rPr>
        <w:t>Ossenb</w:t>
      </w:r>
      <w:r>
        <w:rPr>
          <w:i/>
        </w:rPr>
        <w:t>ü</w:t>
      </w:r>
      <w:r>
        <w:rPr>
          <w:rFonts w:hint="eastAsia"/>
          <w:i/>
        </w:rPr>
        <w:t>hl</w:t>
      </w:r>
      <w:r>
        <w:rPr>
          <w:rFonts w:hint="eastAsia"/>
        </w:rPr>
        <w:t xml:space="preserve">, Staatshaftungsrecht, S. 420 i. V. m. S. 433 f.; </w:t>
      </w:r>
      <w:r>
        <w:rPr>
          <w:rFonts w:hint="eastAsia"/>
          <w:i/>
        </w:rPr>
        <w:t>Weber</w:t>
      </w:r>
      <w:r>
        <w:rPr>
          <w:rFonts w:hint="eastAsia"/>
        </w:rPr>
        <w:t>, JuS 1986, 29 (3</w:t>
      </w:r>
      <w:r>
        <w:t>1</w:t>
      </w:r>
      <w:r>
        <w:rPr>
          <w:rFonts w:hint="eastAsia"/>
        </w:rPr>
        <w:t>).</w:t>
      </w:r>
    </w:p>
  </w:footnote>
  <w:footnote w:id="194">
    <w:p w:rsidR="00000000" w:rsidRDefault="00724932">
      <w:pPr>
        <w:pStyle w:val="aa"/>
        <w:spacing w:after="180"/>
        <w:rPr>
          <w:rFonts w:hint="eastAsia"/>
        </w:rPr>
      </w:pPr>
      <w:r>
        <w:rPr>
          <w:rStyle w:val="a9"/>
        </w:rPr>
        <w:footnoteRef/>
      </w:r>
      <w:r>
        <w:t xml:space="preserve"> </w:t>
      </w:r>
      <w:r>
        <w:rPr>
          <w:rFonts w:hint="eastAsia"/>
        </w:rPr>
        <w:t xml:space="preserve">So </w:t>
      </w:r>
      <w:r>
        <w:rPr>
          <w:rFonts w:hint="eastAsia"/>
          <w:i/>
        </w:rPr>
        <w:t>Battis</w:t>
      </w:r>
      <w:r>
        <w:rPr>
          <w:rFonts w:hint="eastAsia"/>
        </w:rPr>
        <w:t xml:space="preserve">, BBG, </w:t>
      </w:r>
      <w:r>
        <w:t>§ </w:t>
      </w:r>
      <w:r>
        <w:rPr>
          <w:rFonts w:hint="eastAsia"/>
        </w:rPr>
        <w:t xml:space="preserve">87 Rn. 15; </w:t>
      </w:r>
      <w:r>
        <w:rPr>
          <w:rFonts w:hint="eastAsia"/>
          <w:i/>
        </w:rPr>
        <w:t>Schnellenbach</w:t>
      </w:r>
      <w:r>
        <w:rPr>
          <w:rFonts w:hint="eastAsia"/>
        </w:rPr>
        <w:t>, Beamtenrecht in der Praxis, Rn. 720.</w:t>
      </w:r>
    </w:p>
  </w:footnote>
  <w:footnote w:id="195">
    <w:p w:rsidR="00000000" w:rsidRDefault="00724932">
      <w:pPr>
        <w:pStyle w:val="aa"/>
        <w:spacing w:after="180"/>
        <w:rPr>
          <w:rFonts w:hint="eastAsia"/>
        </w:rPr>
      </w:pPr>
      <w:r>
        <w:rPr>
          <w:rStyle w:val="a9"/>
        </w:rPr>
        <w:footnoteRef/>
      </w:r>
      <w:r>
        <w:t xml:space="preserve"> </w:t>
      </w:r>
      <w:r>
        <w:rPr>
          <w:rFonts w:hint="eastAsia"/>
        </w:rPr>
        <w:t>我國行政程序法第一百二十三條雖只規定授益之「合法」處分的廢止，惟依德國通說，「違法」之處分如有相當我國</w:t>
      </w:r>
      <w:r>
        <w:rPr>
          <w:rFonts w:hint="eastAsia"/>
        </w:rPr>
        <w:t>行政程序法前開條文所列舉之得廢止的情形時，仍得廢止該違法處分（</w:t>
      </w:r>
      <w:r>
        <w:rPr>
          <w:rFonts w:hint="eastAsia"/>
        </w:rPr>
        <w:t xml:space="preserve">s. dazu nur </w:t>
      </w:r>
      <w:r>
        <w:rPr>
          <w:rFonts w:hint="eastAsia"/>
          <w:i/>
        </w:rPr>
        <w:t>Maurer</w:t>
      </w:r>
      <w:r>
        <w:rPr>
          <w:rFonts w:hint="eastAsia"/>
        </w:rPr>
        <w:t xml:space="preserve">, Allgemeines Verwaltungsrecht, </w:t>
      </w:r>
      <w:r>
        <w:t>§ </w:t>
      </w:r>
      <w:r>
        <w:rPr>
          <w:rFonts w:hint="eastAsia"/>
        </w:rPr>
        <w:t>11 Rn. 19</w:t>
      </w:r>
      <w:r>
        <w:t> </w:t>
      </w:r>
      <w:r>
        <w:rPr>
          <w:rFonts w:hint="eastAsia"/>
        </w:rPr>
        <w:t>ff.</w:t>
      </w:r>
      <w:r>
        <w:rPr>
          <w:rFonts w:hint="eastAsia"/>
        </w:rPr>
        <w:t>）。同說，參見：陳敏，行政法總論，頁</w:t>
      </w:r>
      <w:r>
        <w:rPr>
          <w:rFonts w:hint="eastAsia"/>
        </w:rPr>
        <w:t>450-451</w:t>
      </w:r>
      <w:r>
        <w:rPr>
          <w:rFonts w:hint="eastAsia"/>
        </w:rPr>
        <w:t>。</w:t>
      </w:r>
    </w:p>
  </w:footnote>
  <w:footnote w:id="196">
    <w:p w:rsidR="00000000" w:rsidRDefault="00724932">
      <w:pPr>
        <w:pStyle w:val="aa"/>
        <w:spacing w:after="180"/>
        <w:rPr>
          <w:rFonts w:hint="eastAsia"/>
        </w:rPr>
      </w:pPr>
      <w:r>
        <w:rPr>
          <w:rStyle w:val="a9"/>
        </w:rPr>
        <w:footnoteRef/>
      </w:r>
      <w:r>
        <w:t xml:space="preserve"> </w:t>
      </w:r>
      <w:r>
        <w:rPr>
          <w:rFonts w:hint="eastAsia"/>
        </w:rPr>
        <w:t xml:space="preserve">So insb. </w:t>
      </w:r>
      <w:r>
        <w:rPr>
          <w:rFonts w:hint="eastAsia"/>
          <w:i/>
        </w:rPr>
        <w:t>Ossenb</w:t>
      </w:r>
      <w:r>
        <w:rPr>
          <w:i/>
        </w:rPr>
        <w:t>ü</w:t>
      </w:r>
      <w:r>
        <w:rPr>
          <w:rFonts w:hint="eastAsia"/>
          <w:i/>
        </w:rPr>
        <w:t>hl</w:t>
      </w:r>
      <w:r>
        <w:rPr>
          <w:rFonts w:hint="eastAsia"/>
        </w:rPr>
        <w:t>, Staatshaftungsrecht, S. 434</w:t>
      </w:r>
      <w:r>
        <w:t>; im Anschluß</w:t>
      </w:r>
      <w:r>
        <w:rPr>
          <w:rFonts w:hint="eastAsia"/>
        </w:rPr>
        <w:t xml:space="preserve"> daran denn auch </w:t>
      </w:r>
      <w:r>
        <w:rPr>
          <w:rFonts w:hint="eastAsia"/>
          <w:i/>
        </w:rPr>
        <w:t>Maurer</w:t>
      </w:r>
      <w:r>
        <w:rPr>
          <w:rFonts w:hint="eastAsia"/>
        </w:rPr>
        <w:t>, Allgemei</w:t>
      </w:r>
      <w:r>
        <w:softHyphen/>
      </w:r>
      <w:r>
        <w:rPr>
          <w:rFonts w:hint="eastAsia"/>
        </w:rPr>
        <w:t xml:space="preserve">nes Verwaltungsrecht, </w:t>
      </w:r>
      <w:r>
        <w:t>§ </w:t>
      </w:r>
      <w:r>
        <w:rPr>
          <w:rFonts w:hint="eastAsia"/>
        </w:rPr>
        <w:t xml:space="preserve">29 Rn. 28; </w:t>
      </w:r>
      <w:r>
        <w:rPr>
          <w:rFonts w:hint="eastAsia"/>
          <w:i/>
        </w:rPr>
        <w:t>We</w:t>
      </w:r>
      <w:r>
        <w:rPr>
          <w:rFonts w:hint="eastAsia"/>
          <w:i/>
        </w:rPr>
        <w:t>ber</w:t>
      </w:r>
      <w:r>
        <w:rPr>
          <w:rFonts w:hint="eastAsia"/>
        </w:rPr>
        <w:t>, JuS 1986, 29 (35).</w:t>
      </w:r>
    </w:p>
  </w:footnote>
  <w:footnote w:id="197">
    <w:p w:rsidR="00000000" w:rsidRDefault="00724932">
      <w:pPr>
        <w:pStyle w:val="aa"/>
        <w:spacing w:after="180"/>
        <w:rPr>
          <w:rFonts w:hint="eastAsia"/>
        </w:rPr>
      </w:pPr>
      <w:r>
        <w:rPr>
          <w:rStyle w:val="a9"/>
        </w:rPr>
        <w:footnoteRef/>
      </w:r>
      <w:r>
        <w:t xml:space="preserve"> </w:t>
      </w:r>
      <w:r>
        <w:rPr>
          <w:rFonts w:hint="eastAsia"/>
        </w:rPr>
        <w:t>同說，見：陳敏，行政法總論，頁</w:t>
      </w:r>
      <w:r>
        <w:rPr>
          <w:rFonts w:hint="eastAsia"/>
        </w:rPr>
        <w:t>1185</w:t>
      </w:r>
      <w:r>
        <w:rPr>
          <w:rFonts w:hint="eastAsia"/>
        </w:rPr>
        <w:t>。</w:t>
      </w:r>
    </w:p>
  </w:footnote>
  <w:footnote w:id="198">
    <w:p w:rsidR="00000000" w:rsidRDefault="00724932">
      <w:pPr>
        <w:pStyle w:val="aa"/>
        <w:spacing w:after="180"/>
        <w:rPr>
          <w:rFonts w:hint="eastAsia"/>
        </w:rPr>
      </w:pPr>
      <w:r>
        <w:rPr>
          <w:rStyle w:val="a9"/>
        </w:rPr>
        <w:footnoteRef/>
      </w:r>
      <w:r>
        <w:t xml:space="preserve"> </w:t>
      </w:r>
      <w:r>
        <w:rPr>
          <w:rFonts w:hint="eastAsia"/>
        </w:rPr>
        <w:t>同說，參見：林錫堯，公法上不當得利法理試探，收於：當代公法新論（下），頁</w:t>
      </w:r>
      <w:r>
        <w:rPr>
          <w:rFonts w:hint="eastAsia"/>
        </w:rPr>
        <w:t>280</w:t>
      </w:r>
      <w:r>
        <w:rPr>
          <w:rFonts w:hint="eastAsia"/>
        </w:rPr>
        <w:t>。</w:t>
      </w:r>
    </w:p>
  </w:footnote>
  <w:footnote w:id="199">
    <w:p w:rsidR="00000000" w:rsidRDefault="00724932">
      <w:pPr>
        <w:pStyle w:val="aa"/>
        <w:spacing w:after="180"/>
        <w:rPr>
          <w:rFonts w:hint="eastAsia"/>
        </w:rPr>
      </w:pPr>
      <w:r>
        <w:rPr>
          <w:rStyle w:val="a9"/>
        </w:rPr>
        <w:footnoteRef/>
      </w:r>
      <w:r>
        <w:t xml:space="preserve"> </w:t>
      </w:r>
      <w:r>
        <w:rPr>
          <w:rFonts w:hint="eastAsia"/>
        </w:rPr>
        <w:t>N</w:t>
      </w:r>
      <w:r>
        <w:t>ä</w:t>
      </w:r>
      <w:r>
        <w:rPr>
          <w:rFonts w:hint="eastAsia"/>
        </w:rPr>
        <w:t xml:space="preserve">her s. nur </w:t>
      </w:r>
      <w:r>
        <w:rPr>
          <w:rFonts w:hint="eastAsia"/>
          <w:i/>
        </w:rPr>
        <w:t>Ossenb</w:t>
      </w:r>
      <w:r>
        <w:rPr>
          <w:i/>
        </w:rPr>
        <w:t>ü</w:t>
      </w:r>
      <w:r>
        <w:rPr>
          <w:rFonts w:hint="eastAsia"/>
          <w:i/>
        </w:rPr>
        <w:t>hl</w:t>
      </w:r>
      <w:r>
        <w:rPr>
          <w:rFonts w:hint="eastAsia"/>
        </w:rPr>
        <w:t>, Staatshaftungsrecht, S. 433</w:t>
      </w:r>
      <w:r>
        <w:t> </w:t>
      </w:r>
      <w:r>
        <w:rPr>
          <w:rFonts w:hint="eastAsia"/>
        </w:rPr>
        <w:t xml:space="preserve">ff.; </w:t>
      </w:r>
      <w:r>
        <w:rPr>
          <w:rFonts w:hint="eastAsia"/>
          <w:i/>
        </w:rPr>
        <w:t>Windthorst</w:t>
      </w:r>
      <w:r>
        <w:rPr>
          <w:rFonts w:hint="eastAsia"/>
        </w:rPr>
        <w:t>, JuS 1996, 894 (899).</w:t>
      </w:r>
    </w:p>
  </w:footnote>
  <w:footnote w:id="200">
    <w:p w:rsidR="00000000" w:rsidRDefault="00724932">
      <w:pPr>
        <w:pStyle w:val="aa"/>
        <w:spacing w:after="180"/>
        <w:rPr>
          <w:rFonts w:hint="eastAsia"/>
        </w:rPr>
      </w:pPr>
      <w:r>
        <w:rPr>
          <w:rStyle w:val="a9"/>
        </w:rPr>
        <w:footnoteRef/>
      </w:r>
      <w:r>
        <w:rPr>
          <w:rFonts w:hint="eastAsia"/>
        </w:rPr>
        <w:t xml:space="preserve"> </w:t>
      </w:r>
      <w:r>
        <w:rPr>
          <w:rFonts w:hint="eastAsia"/>
        </w:rPr>
        <w:t>詳見前文第二章第一節參及第二節壹、一。</w:t>
      </w:r>
    </w:p>
  </w:footnote>
  <w:footnote w:id="201">
    <w:p w:rsidR="00000000" w:rsidRDefault="00724932">
      <w:pPr>
        <w:pStyle w:val="aa"/>
        <w:spacing w:after="180"/>
        <w:rPr>
          <w:rFonts w:hint="eastAsia"/>
        </w:rPr>
      </w:pPr>
      <w:r>
        <w:rPr>
          <w:rStyle w:val="a9"/>
        </w:rPr>
        <w:footnoteRef/>
      </w:r>
      <w:r>
        <w:t xml:space="preserve"> </w:t>
      </w:r>
      <w:r>
        <w:rPr>
          <w:rFonts w:hint="eastAsia"/>
        </w:rPr>
        <w:t>參見前文第二章第二節貳、一。</w:t>
      </w:r>
    </w:p>
  </w:footnote>
  <w:footnote w:id="202">
    <w:p w:rsidR="00000000" w:rsidRDefault="00724932">
      <w:pPr>
        <w:pStyle w:val="aa"/>
        <w:spacing w:after="180"/>
        <w:rPr>
          <w:rFonts w:hint="eastAsia"/>
        </w:rPr>
      </w:pPr>
      <w:r>
        <w:rPr>
          <w:rStyle w:val="a9"/>
        </w:rPr>
        <w:footnoteRef/>
      </w:r>
      <w:r>
        <w:t xml:space="preserve"> </w:t>
      </w:r>
      <w:r>
        <w:rPr>
          <w:rFonts w:hint="eastAsia"/>
        </w:rPr>
        <w:t>另附一提的是，以上所言，因鑑於本研究的主題取向，為行政機關向公務人</w:t>
      </w:r>
      <w:r>
        <w:rPr>
          <w:rFonts w:hint="eastAsia"/>
        </w:rPr>
        <w:t>員主張公法上不當得利的問題，所以所處理的對象，全為公法上不當得利制度中國家或其他行政主體為請求權人、人民為被請求權人的類型；至於人民向國家或其他行政主體請求公法上不當得利，乃至國家或其他行政主體間相互請求的類型（有關公法上不當得利，以請求權人及被請求權人間之關係所分類的各種類型，詳見：前文第二章第一節壹），則不在研究範圍之內。不過基本上，由於國家或其他行政主體並無信賴保護原則之適用，所以於其作為被請求權人時，不能主張不負所受之利益已不存在時的減輕責任；換言之，在此，國家或其他行政主體原則上均應視為惡意受領人</w:t>
      </w:r>
      <w:r>
        <w:rPr>
          <w:rFonts w:hint="eastAsia"/>
        </w:rPr>
        <w:t>來處理。同說參見：林錫堯，公法上不當得利法理試探，收於：當代公法新論（下），頁</w:t>
      </w:r>
      <w:r>
        <w:rPr>
          <w:rFonts w:hint="eastAsia"/>
        </w:rPr>
        <w:t>279</w:t>
      </w:r>
      <w:r>
        <w:rPr>
          <w:rFonts w:hint="eastAsia"/>
        </w:rPr>
        <w:t>；陳敏，行政法總論，頁</w:t>
      </w:r>
      <w:r>
        <w:rPr>
          <w:rFonts w:hint="eastAsia"/>
        </w:rPr>
        <w:t>1184</w:t>
      </w:r>
      <w:r>
        <w:rPr>
          <w:rFonts w:hint="eastAsia"/>
        </w:rPr>
        <w:t>；</w:t>
      </w:r>
      <w:r>
        <w:rPr>
          <w:rFonts w:hint="eastAsia"/>
          <w:i/>
        </w:rPr>
        <w:t>Detterbeck</w:t>
      </w:r>
      <w:r>
        <w:rPr>
          <w:rFonts w:hint="eastAsia"/>
        </w:rPr>
        <w:t xml:space="preserve">, in: Detterbeck/Windthorst/Sproll, Staatshaftungsrecht, </w:t>
      </w:r>
      <w:r>
        <w:t>§ </w:t>
      </w:r>
      <w:r>
        <w:rPr>
          <w:rFonts w:hint="eastAsia"/>
        </w:rPr>
        <w:t>25 Rn. 15;</w:t>
      </w:r>
      <w:r>
        <w:rPr>
          <w:rFonts w:hint="eastAsia"/>
          <w:i/>
        </w:rPr>
        <w:t xml:space="preserve"> Maurer</w:t>
      </w:r>
      <w:r>
        <w:rPr>
          <w:rFonts w:hint="eastAsia"/>
        </w:rPr>
        <w:t>, Allgemei</w:t>
      </w:r>
      <w:r>
        <w:softHyphen/>
      </w:r>
      <w:r>
        <w:rPr>
          <w:rFonts w:hint="eastAsia"/>
        </w:rPr>
        <w:t>nes Verwaltungs</w:t>
      </w:r>
      <w:r>
        <w:softHyphen/>
      </w:r>
      <w:r>
        <w:rPr>
          <w:rFonts w:hint="eastAsia"/>
        </w:rPr>
        <w:t xml:space="preserve">recht, </w:t>
      </w:r>
      <w:r>
        <w:t>§ </w:t>
      </w:r>
      <w:r>
        <w:rPr>
          <w:rFonts w:hint="eastAsia"/>
        </w:rPr>
        <w:t xml:space="preserve">29 Rn. 26; </w:t>
      </w:r>
      <w:r>
        <w:rPr>
          <w:rFonts w:hint="eastAsia"/>
          <w:i/>
        </w:rPr>
        <w:t>Schoch</w:t>
      </w:r>
      <w:r>
        <w:rPr>
          <w:rFonts w:hint="eastAsia"/>
        </w:rPr>
        <w:t xml:space="preserve">, Jura 1994, 82 (88); </w:t>
      </w:r>
      <w:r>
        <w:rPr>
          <w:rFonts w:hint="eastAsia"/>
          <w:i/>
        </w:rPr>
        <w:t>Windthorst</w:t>
      </w:r>
      <w:r>
        <w:rPr>
          <w:rFonts w:hint="eastAsia"/>
        </w:rPr>
        <w:t>, JuS 1996, 894 (899)</w:t>
      </w:r>
    </w:p>
  </w:footnote>
  <w:footnote w:id="203">
    <w:p w:rsidR="00000000" w:rsidRDefault="00724932">
      <w:pPr>
        <w:pStyle w:val="aa"/>
        <w:spacing w:after="180"/>
        <w:rPr>
          <w:rFonts w:hint="eastAsia"/>
        </w:rPr>
      </w:pPr>
      <w:r>
        <w:rPr>
          <w:rStyle w:val="a9"/>
        </w:rPr>
        <w:footnoteRef/>
      </w:r>
      <w:r>
        <w:t xml:space="preserve"> Sta</w:t>
      </w:r>
      <w:r>
        <w:t>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25 Rn. 23</w:t>
      </w:r>
      <w:r>
        <w:t> </w:t>
      </w:r>
      <w:r>
        <w:rPr>
          <w:rFonts w:hint="eastAsia"/>
        </w:rPr>
        <w:t>f.;</w:t>
      </w:r>
      <w:r>
        <w:rPr>
          <w:rFonts w:hint="eastAsia"/>
          <w:i/>
        </w:rPr>
        <w:t xml:space="preserve"> Schoch</w:t>
      </w:r>
      <w:r>
        <w:rPr>
          <w:rFonts w:hint="eastAsia"/>
        </w:rPr>
        <w:t xml:space="preserve">, Jura 1994, 82 (89); </w:t>
      </w:r>
      <w:r>
        <w:rPr>
          <w:rFonts w:hint="eastAsia"/>
          <w:i/>
        </w:rPr>
        <w:t>Windthorst</w:t>
      </w:r>
      <w:r>
        <w:rPr>
          <w:rFonts w:hint="eastAsia"/>
        </w:rPr>
        <w:t xml:space="preserve">, JuS 1996, 894 (899); </w:t>
      </w:r>
      <w:r>
        <w:rPr>
          <w:rFonts w:hint="eastAsia"/>
          <w:i/>
        </w:rPr>
        <w:t>Wolff/Bachof/Stober</w:t>
      </w:r>
      <w:r>
        <w:rPr>
          <w:rFonts w:hint="eastAsia"/>
        </w:rPr>
        <w:t xml:space="preserve">, Verwaltungsrecht, Bd. 2, </w:t>
      </w:r>
      <w:r>
        <w:t>§ </w:t>
      </w:r>
      <w:r>
        <w:rPr>
          <w:rFonts w:hint="eastAsia"/>
        </w:rPr>
        <w:t xml:space="preserve">55 Rn. 21d, jew. </w:t>
      </w:r>
      <w:r>
        <w:t>M</w:t>
      </w:r>
      <w:r>
        <w:rPr>
          <w:rFonts w:hint="eastAsia"/>
        </w:rPr>
        <w:t>. w.Nachw.</w:t>
      </w:r>
    </w:p>
  </w:footnote>
  <w:footnote w:id="204">
    <w:p w:rsidR="00000000" w:rsidRDefault="00724932">
      <w:pPr>
        <w:pStyle w:val="aa"/>
        <w:spacing w:after="180"/>
        <w:rPr>
          <w:rFonts w:hint="eastAsia"/>
        </w:rPr>
      </w:pPr>
      <w:r>
        <w:rPr>
          <w:rStyle w:val="a9"/>
        </w:rPr>
        <w:footnoteRef/>
      </w:r>
      <w:r>
        <w:t xml:space="preserve"> </w:t>
      </w:r>
      <w:r>
        <w:rPr>
          <w:rFonts w:hint="eastAsia"/>
        </w:rPr>
        <w:t>我國民法與德國相關民法條文之對照，詳見前文第二章</w:t>
      </w:r>
      <w:r>
        <w:rPr>
          <w:rFonts w:hint="eastAsia"/>
        </w:rPr>
        <w:t>第一節參之附表。</w:t>
      </w:r>
    </w:p>
  </w:footnote>
  <w:footnote w:id="205">
    <w:p w:rsidR="00000000" w:rsidRDefault="00724932">
      <w:pPr>
        <w:pStyle w:val="aa"/>
        <w:spacing w:after="180"/>
        <w:rPr>
          <w:rFonts w:hint="eastAsia"/>
        </w:rPr>
      </w:pPr>
      <w:r>
        <w:rPr>
          <w:rStyle w:val="a9"/>
        </w:rPr>
        <w:footnoteRef/>
      </w:r>
      <w:r>
        <w:t xml:space="preserve"> S</w:t>
      </w:r>
      <w:r>
        <w:rPr>
          <w:rFonts w:hint="eastAsia"/>
        </w:rPr>
        <w:t xml:space="preserve">o betont etwa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1993, S. 929 (938).</w:t>
      </w:r>
    </w:p>
  </w:footnote>
  <w:footnote w:id="206">
    <w:p w:rsidR="00000000" w:rsidRDefault="00724932">
      <w:pPr>
        <w:pStyle w:val="aa"/>
        <w:spacing w:after="180"/>
        <w:rPr>
          <w:rFonts w:hint="eastAsia"/>
        </w:rPr>
      </w:pPr>
      <w:r>
        <w:rPr>
          <w:rStyle w:val="a9"/>
        </w:rPr>
        <w:footnoteRef/>
      </w:r>
      <w:r>
        <w:t xml:space="preserve"> </w:t>
      </w:r>
      <w:r>
        <w:rPr>
          <w:rFonts w:hint="eastAsia"/>
        </w:rPr>
        <w:t xml:space="preserve">So etwa </w:t>
      </w:r>
      <w:r>
        <w:rPr>
          <w:rFonts w:hint="eastAsia"/>
          <w:i/>
        </w:rPr>
        <w:t>OVG NW</w:t>
      </w:r>
      <w:r>
        <w:rPr>
          <w:rFonts w:hint="eastAsia"/>
        </w:rPr>
        <w:t>, NJW 1992, 2245</w:t>
      </w:r>
      <w:r>
        <w:t> </w:t>
      </w:r>
      <w:r>
        <w:rPr>
          <w:rFonts w:hint="eastAsia"/>
        </w:rPr>
        <w:t>f.</w:t>
      </w:r>
      <w:r>
        <w:t>; NVwZ</w:t>
      </w:r>
      <w:r>
        <w:rPr>
          <w:rFonts w:hint="eastAsia"/>
        </w:rPr>
        <w:t>-RR 1993, 263 (264 f.).</w:t>
      </w:r>
    </w:p>
  </w:footnote>
  <w:footnote w:id="207">
    <w:p w:rsidR="00000000" w:rsidRDefault="00724932">
      <w:pPr>
        <w:pStyle w:val="aa"/>
        <w:spacing w:after="180"/>
        <w:rPr>
          <w:rFonts w:hint="eastAsia"/>
        </w:rPr>
      </w:pPr>
      <w:r>
        <w:rPr>
          <w:rStyle w:val="a9"/>
        </w:rPr>
        <w:footnoteRef/>
      </w:r>
      <w:r>
        <w:t xml:space="preserve"> </w:t>
      </w:r>
      <w:r>
        <w:rPr>
          <w:rFonts w:hint="eastAsia"/>
        </w:rPr>
        <w:t>例見：林錫堯，公法上不當得利法理試探，收於：當代公法新論（下），頁</w:t>
      </w:r>
      <w:r>
        <w:rPr>
          <w:rFonts w:hint="eastAsia"/>
        </w:rPr>
        <w:t>275-276</w:t>
      </w:r>
      <w:r>
        <w:rPr>
          <w:rFonts w:hint="eastAsia"/>
        </w:rPr>
        <w:t>。</w:t>
      </w:r>
    </w:p>
  </w:footnote>
  <w:footnote w:id="208">
    <w:p w:rsidR="00000000" w:rsidRDefault="00724932">
      <w:pPr>
        <w:pStyle w:val="aa"/>
        <w:spacing w:after="180"/>
        <w:rPr>
          <w:rFonts w:hint="eastAsia"/>
        </w:rPr>
      </w:pPr>
      <w:r>
        <w:rPr>
          <w:rStyle w:val="a9"/>
        </w:rPr>
        <w:footnoteRef/>
      </w:r>
      <w:r>
        <w:t xml:space="preserve"> </w:t>
      </w:r>
      <w:r>
        <w:rPr>
          <w:rFonts w:hint="eastAsia"/>
        </w:rPr>
        <w:t>N</w:t>
      </w:r>
      <w:r>
        <w:t>ä</w:t>
      </w:r>
      <w:r>
        <w:rPr>
          <w:rFonts w:hint="eastAsia"/>
        </w:rPr>
        <w:t xml:space="preserve">her </w:t>
      </w:r>
      <w:r>
        <w:rPr>
          <w:rFonts w:hint="eastAsia"/>
          <w:i/>
        </w:rPr>
        <w:t>Schnel</w:t>
      </w:r>
      <w:r>
        <w:rPr>
          <w:i/>
        </w:rPr>
        <w:softHyphen/>
      </w:r>
      <w:r>
        <w:rPr>
          <w:rFonts w:hint="eastAsia"/>
          <w:i/>
        </w:rPr>
        <w:t>len</w:t>
      </w:r>
      <w:r>
        <w:rPr>
          <w:i/>
        </w:rPr>
        <w:softHyphen/>
      </w:r>
      <w:r>
        <w:rPr>
          <w:rFonts w:hint="eastAsia"/>
          <w:i/>
        </w:rPr>
        <w:t>bach</w:t>
      </w:r>
      <w:r>
        <w:rPr>
          <w:rFonts w:hint="eastAsia"/>
        </w:rPr>
        <w:t>, Beamtenrecht in der Praxis, Rn. 734.</w:t>
      </w:r>
    </w:p>
  </w:footnote>
  <w:footnote w:id="209">
    <w:p w:rsidR="00000000" w:rsidRDefault="00724932">
      <w:pPr>
        <w:pStyle w:val="aa"/>
        <w:spacing w:after="180"/>
        <w:rPr>
          <w:rFonts w:hint="eastAsia"/>
        </w:rPr>
      </w:pPr>
      <w:r>
        <w:rPr>
          <w:rStyle w:val="a9"/>
        </w:rPr>
        <w:footnoteRef/>
      </w:r>
      <w:r>
        <w:t xml:space="preserve"> </w:t>
      </w:r>
      <w:r>
        <w:rPr>
          <w:rFonts w:hint="eastAsia"/>
        </w:rPr>
        <w:t>So z. B. BVerw</w:t>
      </w:r>
      <w:r>
        <w:rPr>
          <w:rFonts w:hint="eastAsia"/>
        </w:rPr>
        <w:t>GE 11, 283; 18, 72; 24, 92; 30, 296.</w:t>
      </w:r>
    </w:p>
  </w:footnote>
  <w:footnote w:id="210">
    <w:p w:rsidR="00000000" w:rsidRDefault="00724932">
      <w:pPr>
        <w:pStyle w:val="aa"/>
        <w:spacing w:after="180"/>
        <w:rPr>
          <w:rFonts w:hint="eastAsia"/>
        </w:rPr>
      </w:pPr>
      <w:r>
        <w:rPr>
          <w:rStyle w:val="a9"/>
        </w:rPr>
        <w:footnoteRef/>
      </w:r>
      <w:r>
        <w:t xml:space="preserve"> </w:t>
      </w:r>
      <w:r>
        <w:rPr>
          <w:rFonts w:hint="eastAsia"/>
        </w:rPr>
        <w:t>相關條文規定，詳見前文第二章第二節貳、二之附表。</w:t>
      </w:r>
    </w:p>
  </w:footnote>
  <w:footnote w:id="211">
    <w:p w:rsidR="00000000" w:rsidRDefault="00724932">
      <w:pPr>
        <w:pStyle w:val="aa"/>
        <w:spacing w:after="180"/>
        <w:rPr>
          <w:rFonts w:hint="eastAsia"/>
        </w:rPr>
      </w:pPr>
      <w:r>
        <w:rPr>
          <w:rStyle w:val="a9"/>
        </w:rPr>
        <w:footnoteRef/>
      </w:r>
      <w:r>
        <w:t xml:space="preserve"> </w:t>
      </w:r>
      <w:r>
        <w:rPr>
          <w:rFonts w:hint="eastAsia"/>
        </w:rPr>
        <w:t xml:space="preserve">Vgl. hierzu nur </w:t>
      </w:r>
      <w:r>
        <w:rPr>
          <w:rFonts w:hint="eastAsia"/>
          <w:i/>
        </w:rPr>
        <w:t>BVerwG</w:t>
      </w:r>
      <w:r>
        <w:rPr>
          <w:rFonts w:hint="eastAsia"/>
        </w:rPr>
        <w:t xml:space="preserve">, ZBR 83, 192; 83, 193; </w:t>
      </w:r>
      <w:r>
        <w:rPr>
          <w:rFonts w:hint="eastAsia"/>
          <w:i/>
        </w:rPr>
        <w:t>Battis</w:t>
      </w:r>
      <w:r>
        <w:rPr>
          <w:rFonts w:hint="eastAsia"/>
        </w:rPr>
        <w:t xml:space="preserve">, BBG, </w:t>
      </w:r>
      <w:r>
        <w:t>§ 8</w:t>
      </w:r>
      <w:r>
        <w:rPr>
          <w:rFonts w:hint="eastAsia"/>
        </w:rPr>
        <w:t xml:space="preserve">7 Rn. 22 und insb. </w:t>
      </w:r>
      <w:r>
        <w:t>A</w:t>
      </w:r>
      <w:r>
        <w:rPr>
          <w:rFonts w:hint="eastAsia"/>
        </w:rPr>
        <w:t>usf</w:t>
      </w:r>
      <w:r>
        <w:t>ü</w:t>
      </w:r>
      <w:r>
        <w:rPr>
          <w:rFonts w:hint="eastAsia"/>
        </w:rPr>
        <w:t xml:space="preserve">hrl. </w:t>
      </w:r>
      <w:r>
        <w:rPr>
          <w:rFonts w:hint="eastAsia"/>
          <w:i/>
        </w:rPr>
        <w:t>Schnel</w:t>
      </w:r>
      <w:r>
        <w:rPr>
          <w:i/>
        </w:rPr>
        <w:softHyphen/>
      </w:r>
      <w:r>
        <w:rPr>
          <w:rFonts w:hint="eastAsia"/>
          <w:i/>
        </w:rPr>
        <w:t>len</w:t>
      </w:r>
      <w:r>
        <w:rPr>
          <w:i/>
        </w:rPr>
        <w:softHyphen/>
      </w:r>
      <w:r>
        <w:rPr>
          <w:rFonts w:hint="eastAsia"/>
          <w:i/>
        </w:rPr>
        <w:t>bach</w:t>
      </w:r>
      <w:r>
        <w:rPr>
          <w:rFonts w:hint="eastAsia"/>
        </w:rPr>
        <w:t>, Beamtenrecht in der Praxis, Rn. 737 ff. m.w. Nachw.</w:t>
      </w:r>
    </w:p>
  </w:footnote>
  <w:footnote w:id="212">
    <w:p w:rsidR="00000000" w:rsidRDefault="00724932">
      <w:pPr>
        <w:pStyle w:val="aa"/>
        <w:spacing w:after="180"/>
        <w:rPr>
          <w:rFonts w:hint="eastAsia"/>
        </w:rPr>
      </w:pPr>
      <w:r>
        <w:rPr>
          <w:rStyle w:val="a9"/>
        </w:rPr>
        <w:footnoteRef/>
      </w:r>
      <w:r>
        <w:t xml:space="preserve"> </w:t>
      </w:r>
      <w:r>
        <w:rPr>
          <w:rFonts w:hint="eastAsia"/>
        </w:rPr>
        <w:t xml:space="preserve">So betont </w:t>
      </w:r>
      <w:r>
        <w:rPr>
          <w:rFonts w:hint="eastAsia"/>
          <w:i/>
        </w:rPr>
        <w:t>Schnel</w:t>
      </w:r>
      <w:r>
        <w:rPr>
          <w:i/>
        </w:rPr>
        <w:softHyphen/>
      </w:r>
      <w:r>
        <w:rPr>
          <w:rFonts w:hint="eastAsia"/>
          <w:i/>
        </w:rPr>
        <w:t>len</w:t>
      </w:r>
      <w:r>
        <w:rPr>
          <w:i/>
        </w:rPr>
        <w:softHyphen/>
      </w:r>
      <w:r>
        <w:rPr>
          <w:rFonts w:hint="eastAsia"/>
          <w:i/>
        </w:rPr>
        <w:t>bach</w:t>
      </w:r>
      <w:r>
        <w:rPr>
          <w:rFonts w:hint="eastAsia"/>
        </w:rPr>
        <w:t>, B</w:t>
      </w:r>
      <w:r>
        <w:rPr>
          <w:rFonts w:hint="eastAsia"/>
        </w:rPr>
        <w:t>eamtenrecht in der Praxis, Rn. 739.</w:t>
      </w:r>
    </w:p>
  </w:footnote>
  <w:footnote w:id="213">
    <w:p w:rsidR="00000000" w:rsidRDefault="00724932">
      <w:pPr>
        <w:pStyle w:val="aa"/>
        <w:spacing w:after="180"/>
        <w:rPr>
          <w:rFonts w:hint="eastAsia"/>
        </w:rPr>
      </w:pPr>
      <w:r>
        <w:rPr>
          <w:rStyle w:val="a9"/>
        </w:rPr>
        <w:footnoteRef/>
      </w:r>
      <w:r>
        <w:t xml:space="preserve"> </w:t>
      </w:r>
      <w:r>
        <w:rPr>
          <w:rFonts w:hint="eastAsia"/>
        </w:rPr>
        <w:t xml:space="preserve">Dazu wiederum </w:t>
      </w:r>
      <w:r>
        <w:rPr>
          <w:rFonts w:hint="eastAsia"/>
          <w:i/>
        </w:rPr>
        <w:t>Battis</w:t>
      </w:r>
      <w:r>
        <w:rPr>
          <w:rFonts w:hint="eastAsia"/>
        </w:rPr>
        <w:t xml:space="preserve">, BBG, </w:t>
      </w:r>
      <w:r>
        <w:t>§ 8</w:t>
      </w:r>
      <w:r>
        <w:rPr>
          <w:rFonts w:hint="eastAsia"/>
        </w:rPr>
        <w:t xml:space="preserve">7 Rn. 22; </w:t>
      </w:r>
      <w:r>
        <w:rPr>
          <w:rFonts w:hint="eastAsia"/>
          <w:i/>
        </w:rPr>
        <w:t>Schnel</w:t>
      </w:r>
      <w:r>
        <w:rPr>
          <w:i/>
        </w:rPr>
        <w:softHyphen/>
      </w:r>
      <w:r>
        <w:rPr>
          <w:rFonts w:hint="eastAsia"/>
          <w:i/>
        </w:rPr>
        <w:t>len</w:t>
      </w:r>
      <w:r>
        <w:rPr>
          <w:i/>
        </w:rPr>
        <w:softHyphen/>
      </w:r>
      <w:r>
        <w:rPr>
          <w:rFonts w:hint="eastAsia"/>
          <w:i/>
        </w:rPr>
        <w:t>bach</w:t>
      </w:r>
      <w:r>
        <w:rPr>
          <w:rFonts w:hint="eastAsia"/>
        </w:rPr>
        <w:t>, Beamtenrecht in der Praxis, Rn. 740 und auch BBesGVwV 12.2.17 Satz 1.</w:t>
      </w:r>
    </w:p>
  </w:footnote>
  <w:footnote w:id="214">
    <w:p w:rsidR="00000000" w:rsidRDefault="00724932">
      <w:pPr>
        <w:pStyle w:val="aa"/>
        <w:spacing w:after="180"/>
        <w:rPr>
          <w:rFonts w:hint="eastAsia"/>
        </w:rPr>
      </w:pPr>
      <w:r>
        <w:rPr>
          <w:rStyle w:val="a9"/>
        </w:rPr>
        <w:footnoteRef/>
      </w:r>
      <w:r>
        <w:t xml:space="preserve"> </w:t>
      </w:r>
      <w:r>
        <w:rPr>
          <w:rFonts w:hint="eastAsia"/>
        </w:rPr>
        <w:t xml:space="preserve">So etwa </w:t>
      </w:r>
      <w:r>
        <w:rPr>
          <w:rFonts w:hint="eastAsia"/>
          <w:i/>
        </w:rPr>
        <w:t>Battis</w:t>
      </w:r>
      <w:r>
        <w:rPr>
          <w:rFonts w:hint="eastAsia"/>
        </w:rPr>
        <w:t xml:space="preserve">, BBG, </w:t>
      </w:r>
      <w:r>
        <w:t>§ 8</w:t>
      </w:r>
      <w:r>
        <w:rPr>
          <w:rFonts w:hint="eastAsia"/>
        </w:rPr>
        <w:t>7 Rn. 22.</w:t>
      </w:r>
    </w:p>
  </w:footnote>
  <w:footnote w:id="215">
    <w:p w:rsidR="00000000" w:rsidRDefault="00724932">
      <w:pPr>
        <w:pStyle w:val="aa"/>
        <w:spacing w:after="180"/>
        <w:rPr>
          <w:rFonts w:hint="eastAsia"/>
        </w:rPr>
      </w:pPr>
      <w:r>
        <w:rPr>
          <w:rStyle w:val="a9"/>
        </w:rPr>
        <w:footnoteRef/>
      </w:r>
      <w:r>
        <w:t xml:space="preserve"> </w:t>
      </w:r>
      <w:r>
        <w:rPr>
          <w:rFonts w:hint="eastAsia"/>
        </w:rPr>
        <w:t>例見：林錫堯，公法上不當得利法理試探，收於：當代公法新論（下），頁</w:t>
      </w:r>
      <w:r>
        <w:rPr>
          <w:rFonts w:hint="eastAsia"/>
        </w:rPr>
        <w:t>284</w:t>
      </w:r>
      <w:r>
        <w:rPr>
          <w:rFonts w:hint="eastAsia"/>
        </w:rPr>
        <w:t>；陳敏，行政法總論，頁</w:t>
      </w:r>
      <w:r>
        <w:rPr>
          <w:rFonts w:hint="eastAsia"/>
        </w:rPr>
        <w:t>1187</w:t>
      </w:r>
      <w:r>
        <w:rPr>
          <w:rFonts w:hint="eastAsia"/>
        </w:rPr>
        <w:t>。</w:t>
      </w:r>
    </w:p>
  </w:footnote>
  <w:footnote w:id="216">
    <w:p w:rsidR="00000000" w:rsidRDefault="00724932">
      <w:pPr>
        <w:pStyle w:val="aa"/>
        <w:spacing w:after="180"/>
        <w:rPr>
          <w:rFonts w:hint="eastAsia"/>
        </w:rPr>
      </w:pPr>
      <w:r>
        <w:rPr>
          <w:rStyle w:val="a9"/>
        </w:rPr>
        <w:footnoteRef/>
      </w:r>
      <w:r>
        <w:t xml:space="preserve"> </w:t>
      </w:r>
      <w:r>
        <w:rPr>
          <w:rFonts w:hint="eastAsia"/>
        </w:rPr>
        <w:t>見：法務部，行政程序法解釋及諮詢小組會議紀錄彙編，頁</w:t>
      </w:r>
      <w:r>
        <w:rPr>
          <w:rFonts w:hint="eastAsia"/>
        </w:rPr>
        <w:t>153</w:t>
      </w:r>
      <w:r>
        <w:rPr>
          <w:rFonts w:hint="eastAsia"/>
        </w:rPr>
        <w:t>。</w:t>
      </w:r>
    </w:p>
  </w:footnote>
  <w:footnote w:id="217">
    <w:p w:rsidR="00000000" w:rsidRDefault="00724932">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BVerwGE 23, 166 (167); </w:t>
      </w:r>
      <w:r>
        <w:rPr>
          <w:rFonts w:hint="eastAsia"/>
          <w:i/>
        </w:rPr>
        <w:t>BVerwG</w:t>
      </w:r>
      <w:r>
        <w:rPr>
          <w:rFonts w:hint="eastAsia"/>
        </w:rPr>
        <w:t>, NJW 1997, 1321 f.;</w:t>
      </w:r>
      <w:r>
        <w:t xml:space="preserve"> </w:t>
      </w:r>
      <w:r>
        <w:rPr>
          <w:rFonts w:hint="eastAsia"/>
          <w:i/>
        </w:rPr>
        <w:t>Detterbeck</w:t>
      </w:r>
      <w:r>
        <w:rPr>
          <w:rFonts w:hint="eastAsia"/>
        </w:rPr>
        <w:t xml:space="preserve">, in: Detterbeck/ Windthorst/Sproll, Staatshaftungsrecht, </w:t>
      </w:r>
      <w:r>
        <w:t>§ </w:t>
      </w:r>
      <w:r>
        <w:rPr>
          <w:rFonts w:hint="eastAsia"/>
        </w:rPr>
        <w:t xml:space="preserve">27 Rn. </w:t>
      </w:r>
      <w:r>
        <w:t>1</w:t>
      </w:r>
      <w:r>
        <w:rPr>
          <w:rFonts w:hint="eastAsia"/>
        </w:rPr>
        <w:t xml:space="preserve">3; </w:t>
      </w:r>
      <w:r>
        <w:rPr>
          <w:rFonts w:hint="eastAsia"/>
          <w:i/>
        </w:rPr>
        <w:t>Ossenb</w:t>
      </w:r>
      <w:r>
        <w:rPr>
          <w:i/>
        </w:rPr>
        <w:t>ü</w:t>
      </w:r>
      <w:r>
        <w:rPr>
          <w:rFonts w:hint="eastAsia"/>
          <w:i/>
        </w:rPr>
        <w:t>hl</w:t>
      </w:r>
      <w:r>
        <w:rPr>
          <w:rFonts w:hint="eastAsia"/>
        </w:rPr>
        <w:t xml:space="preserve">, Staatshaftungsrecht, S. 435; </w:t>
      </w:r>
      <w:r>
        <w:rPr>
          <w:rFonts w:hint="eastAsia"/>
          <w:i/>
        </w:rPr>
        <w:t>Schoch</w:t>
      </w:r>
      <w:r>
        <w:rPr>
          <w:rFonts w:hint="eastAsia"/>
        </w:rPr>
        <w:t xml:space="preserve">, Jura 1994, 82 (90); </w:t>
      </w:r>
      <w:r>
        <w:rPr>
          <w:rFonts w:hint="eastAsia"/>
          <w:i/>
        </w:rPr>
        <w:t>Weber</w:t>
      </w:r>
      <w:r>
        <w:rPr>
          <w:rFonts w:hint="eastAsia"/>
        </w:rPr>
        <w:t>, JuS</w:t>
      </w:r>
      <w:r>
        <w:rPr>
          <w:rFonts w:hint="eastAsia"/>
        </w:rPr>
        <w:t xml:space="preserve"> 1986, 29 (33); </w:t>
      </w:r>
      <w:r>
        <w:rPr>
          <w:rFonts w:hint="eastAsia"/>
          <w:i/>
        </w:rPr>
        <w:t>Windthorst</w:t>
      </w:r>
      <w:r>
        <w:rPr>
          <w:rFonts w:hint="eastAsia"/>
        </w:rPr>
        <w:t xml:space="preserve">, JuS 1996, 894 (900); a. A. wohl aber </w:t>
      </w:r>
      <w:r>
        <w:rPr>
          <w:rFonts w:hint="eastAsia"/>
          <w:i/>
        </w:rPr>
        <w:t>Schnel</w:t>
      </w:r>
      <w:r>
        <w:rPr>
          <w:i/>
        </w:rPr>
        <w:softHyphen/>
      </w:r>
      <w:r>
        <w:rPr>
          <w:rFonts w:hint="eastAsia"/>
          <w:i/>
        </w:rPr>
        <w:t>len</w:t>
      </w:r>
      <w:r>
        <w:rPr>
          <w:i/>
        </w:rPr>
        <w:softHyphen/>
      </w:r>
      <w:r>
        <w:rPr>
          <w:rFonts w:hint="eastAsia"/>
          <w:i/>
        </w:rPr>
        <w:t>bach</w:t>
      </w:r>
      <w:r>
        <w:rPr>
          <w:rFonts w:hint="eastAsia"/>
        </w:rPr>
        <w:t xml:space="preserve">, Beamtenrecht in der Praxis, Rn. 748. Zur Anwendung der neuen Regelung des BGB ab 1. 1. 2002 s. </w:t>
      </w:r>
      <w:r>
        <w:rPr>
          <w:rFonts w:hint="eastAsia"/>
          <w:i/>
        </w:rPr>
        <w:t>Wind/Schimana/Wichmann/Lamger</w:t>
      </w:r>
      <w:r>
        <w:rPr>
          <w:rFonts w:hint="eastAsia"/>
        </w:rPr>
        <w:t xml:space="preserve">, </w:t>
      </w:r>
      <w:r>
        <w:t>Ö</w:t>
      </w:r>
      <w:r>
        <w:rPr>
          <w:rFonts w:hint="eastAsia"/>
        </w:rPr>
        <w:t>ffentliches Dienstrecht, Rn. 361.</w:t>
      </w:r>
    </w:p>
  </w:footnote>
  <w:footnote w:id="218">
    <w:p w:rsidR="00000000" w:rsidRDefault="00724932">
      <w:pPr>
        <w:pStyle w:val="aa"/>
        <w:spacing w:after="180"/>
        <w:rPr>
          <w:rFonts w:hint="eastAsia"/>
        </w:rPr>
      </w:pPr>
      <w:r>
        <w:rPr>
          <w:rStyle w:val="a9"/>
        </w:rPr>
        <w:footnoteRef/>
      </w:r>
      <w:r>
        <w:t xml:space="preserve"> </w:t>
      </w:r>
      <w:r>
        <w:rPr>
          <w:rFonts w:hint="eastAsia"/>
        </w:rPr>
        <w:t xml:space="preserve">So auch </w:t>
      </w:r>
      <w:r>
        <w:rPr>
          <w:rFonts w:hint="eastAsia"/>
          <w:i/>
        </w:rPr>
        <w:t>Det</w:t>
      </w:r>
      <w:r>
        <w:rPr>
          <w:rFonts w:hint="eastAsia"/>
          <w:i/>
        </w:rPr>
        <w:t>terbeck</w:t>
      </w:r>
      <w:r>
        <w:rPr>
          <w:rFonts w:hint="eastAsia"/>
        </w:rPr>
        <w:t xml:space="preserve">, in: Detterbeck/Windthorst/Sproll, Staatshaftungsrecht, </w:t>
      </w:r>
      <w:r>
        <w:t>§ </w:t>
      </w:r>
      <w:r>
        <w:rPr>
          <w:rFonts w:hint="eastAsia"/>
        </w:rPr>
        <w:t xml:space="preserve">27 Rn. </w:t>
      </w:r>
      <w:r>
        <w:t>1</w:t>
      </w:r>
      <w:r>
        <w:rPr>
          <w:rFonts w:hint="eastAsia"/>
        </w:rPr>
        <w:t>3.</w:t>
      </w:r>
    </w:p>
  </w:footnote>
  <w:footnote w:id="219">
    <w:p w:rsidR="00000000" w:rsidRDefault="00724932">
      <w:pPr>
        <w:pStyle w:val="aa"/>
        <w:spacing w:after="180"/>
        <w:rPr>
          <w:rFonts w:hint="eastAsia"/>
        </w:rPr>
      </w:pPr>
      <w:r>
        <w:rPr>
          <w:rStyle w:val="a9"/>
        </w:rPr>
        <w:footnoteRef/>
      </w:r>
      <w:r>
        <w:t xml:space="preserve"> </w:t>
      </w:r>
      <w:r>
        <w:rPr>
          <w:rFonts w:hint="eastAsia"/>
        </w:rPr>
        <w:t>同說參見：法務部行政程序法諮詢小組第十二次及第十三次會議討論中之丙說（法務部，行政程序法解釋及諮詢小組會議紀錄彙編，頁</w:t>
      </w:r>
      <w:r>
        <w:rPr>
          <w:rFonts w:hint="eastAsia"/>
        </w:rPr>
        <w:t>149</w:t>
      </w:r>
      <w:r>
        <w:rPr>
          <w:rFonts w:hint="eastAsia"/>
        </w:rPr>
        <w:t>）。</w:t>
      </w:r>
    </w:p>
  </w:footnote>
  <w:footnote w:id="220">
    <w:p w:rsidR="00000000" w:rsidRDefault="00724932">
      <w:pPr>
        <w:pStyle w:val="aa"/>
        <w:spacing w:after="180"/>
        <w:rPr>
          <w:rFonts w:hint="eastAsia"/>
          <w:lang w:val="de-DE"/>
        </w:rPr>
      </w:pPr>
      <w:r>
        <w:rPr>
          <w:rStyle w:val="a9"/>
        </w:rPr>
        <w:footnoteRef/>
      </w:r>
      <w:r>
        <w:rPr>
          <w:lang w:val="de-DE"/>
        </w:rPr>
        <w:t xml:space="preserve"> Statt</w:t>
      </w:r>
      <w:r>
        <w:rPr>
          <w:rFonts w:hint="eastAsia"/>
          <w:lang w:val="de-DE"/>
        </w:rPr>
        <w:t xml:space="preserve"> </w:t>
      </w:r>
      <w:r>
        <w:rPr>
          <w:lang w:val="de-DE"/>
        </w:rPr>
        <w:t>aller</w:t>
      </w:r>
      <w:r>
        <w:rPr>
          <w:rFonts w:hint="eastAsia"/>
          <w:lang w:val="de-DE"/>
        </w:rPr>
        <w:t xml:space="preserve"> </w:t>
      </w:r>
      <w:r>
        <w:rPr>
          <w:rFonts w:hint="eastAsia"/>
          <w:i/>
          <w:lang w:val="de-DE"/>
        </w:rPr>
        <w:t>Detterbeck</w:t>
      </w:r>
      <w:r>
        <w:rPr>
          <w:rFonts w:hint="eastAsia"/>
          <w:lang w:val="de-DE"/>
        </w:rPr>
        <w:t xml:space="preserve">, in: Detterbeck/Windthorst/Sproll, Staatshaftungsrecht, </w:t>
      </w:r>
      <w:r>
        <w:rPr>
          <w:lang w:val="de-DE"/>
        </w:rPr>
        <w:t>§ </w:t>
      </w:r>
      <w:r>
        <w:rPr>
          <w:rFonts w:hint="eastAsia"/>
          <w:lang w:val="de-DE"/>
        </w:rPr>
        <w:t>27 Rn. 5 m. w. Nachw.</w:t>
      </w:r>
    </w:p>
  </w:footnote>
  <w:footnote w:id="221">
    <w:p w:rsidR="00000000" w:rsidRDefault="00724932">
      <w:pPr>
        <w:pStyle w:val="aa"/>
        <w:spacing w:after="180"/>
        <w:rPr>
          <w:rFonts w:hint="eastAsia"/>
        </w:rPr>
      </w:pPr>
      <w:r>
        <w:rPr>
          <w:rStyle w:val="a9"/>
        </w:rPr>
        <w:footnoteRef/>
      </w:r>
      <w:r>
        <w:t xml:space="preserve"> </w:t>
      </w:r>
      <w:r>
        <w:rPr>
          <w:rFonts w:hint="eastAsia"/>
        </w:rPr>
        <w:t>同說，例見：吳庚，行政法之理論與實用，頁</w:t>
      </w:r>
      <w:r>
        <w:rPr>
          <w:rFonts w:hint="eastAsia"/>
        </w:rPr>
        <w:t>697</w:t>
      </w:r>
      <w:r>
        <w:rPr>
          <w:rFonts w:hint="eastAsia"/>
        </w:rPr>
        <w:t>。詳細說明，尤見：林錫堯，公法上不當得利法理試探，收於：當代公法新論（下），頁</w:t>
      </w:r>
      <w:r>
        <w:rPr>
          <w:rFonts w:hint="eastAsia"/>
        </w:rPr>
        <w:t>281-283</w:t>
      </w:r>
      <w:r>
        <w:rPr>
          <w:rFonts w:hint="eastAsia"/>
        </w:rPr>
        <w:t>。</w:t>
      </w:r>
    </w:p>
  </w:footnote>
  <w:footnote w:id="222">
    <w:p w:rsidR="00000000" w:rsidRDefault="00724932">
      <w:pPr>
        <w:pStyle w:val="aa"/>
        <w:spacing w:after="180"/>
        <w:rPr>
          <w:rFonts w:hint="eastAsia"/>
        </w:rPr>
      </w:pPr>
      <w:r>
        <w:rPr>
          <w:rStyle w:val="a9"/>
        </w:rPr>
        <w:footnoteRef/>
      </w:r>
      <w:r>
        <w:t xml:space="preserve"> </w:t>
      </w:r>
      <w:r>
        <w:rPr>
          <w:rFonts w:hint="eastAsia"/>
        </w:rPr>
        <w:t>就此，</w:t>
      </w:r>
      <w:r>
        <w:t>詳</w:t>
      </w:r>
      <w:r>
        <w:rPr>
          <w:rFonts w:hint="eastAsia"/>
        </w:rPr>
        <w:t>見：陳敏，行政</w:t>
      </w:r>
      <w:r>
        <w:rPr>
          <w:rFonts w:hint="eastAsia"/>
        </w:rPr>
        <w:t>法總論，頁</w:t>
      </w:r>
      <w:r>
        <w:rPr>
          <w:rFonts w:hint="eastAsia"/>
        </w:rPr>
        <w:t>377-380</w:t>
      </w:r>
      <w:r>
        <w:rPr>
          <w:rFonts w:hint="eastAsia"/>
        </w:rPr>
        <w:t>；</w:t>
      </w:r>
      <w:r>
        <w:rPr>
          <w:rFonts w:hint="eastAsia"/>
          <w:i/>
        </w:rPr>
        <w:t>Maurer</w:t>
      </w:r>
      <w:r>
        <w:rPr>
          <w:rFonts w:hint="eastAsia"/>
        </w:rPr>
        <w:t xml:space="preserve">, Allgemeines Verwaltungsrecht, </w:t>
      </w:r>
      <w:r>
        <w:t>§ </w:t>
      </w:r>
      <w:r>
        <w:rPr>
          <w:rFonts w:hint="eastAsia"/>
        </w:rPr>
        <w:t>10 Rn. 5 ff.</w:t>
      </w:r>
      <w:r>
        <w:rPr>
          <w:rFonts w:hint="eastAsia"/>
        </w:rPr>
        <w:t>。</w:t>
      </w:r>
    </w:p>
  </w:footnote>
  <w:footnote w:id="223">
    <w:p w:rsidR="00000000" w:rsidRDefault="00724932">
      <w:pPr>
        <w:pStyle w:val="aa"/>
        <w:spacing w:after="180"/>
        <w:rPr>
          <w:rFonts w:hint="eastAsia"/>
        </w:rPr>
      </w:pPr>
      <w:r>
        <w:rPr>
          <w:rStyle w:val="a9"/>
        </w:rPr>
        <w:footnoteRef/>
      </w:r>
      <w:r>
        <w:t xml:space="preserve"> </w:t>
      </w:r>
      <w:r>
        <w:rPr>
          <w:rFonts w:hint="eastAsia"/>
        </w:rPr>
        <w:t>相關問題，詳見：劉建宏，行政主體向人民請求返還公法上不當得利之法律途徑，本土</w:t>
      </w:r>
      <w:r>
        <w:rPr>
          <w:rFonts w:hint="eastAsia"/>
        </w:rPr>
        <w:t>64</w:t>
      </w:r>
      <w:r>
        <w:rPr>
          <w:rFonts w:hint="eastAsia"/>
        </w:rPr>
        <w:t>期，頁</w:t>
      </w:r>
      <w:r>
        <w:rPr>
          <w:rFonts w:hint="eastAsia"/>
        </w:rPr>
        <w:t>37-38</w:t>
      </w:r>
      <w:r>
        <w:rPr>
          <w:rFonts w:hint="eastAsia"/>
        </w:rPr>
        <w:t>。</w:t>
      </w:r>
    </w:p>
  </w:footnote>
  <w:footnote w:id="224">
    <w:p w:rsidR="00000000" w:rsidRDefault="00724932">
      <w:pPr>
        <w:pStyle w:val="aa"/>
        <w:spacing w:after="180"/>
        <w:rPr>
          <w:rFonts w:hint="eastAsia"/>
        </w:rPr>
      </w:pPr>
      <w:r>
        <w:rPr>
          <w:rStyle w:val="a9"/>
        </w:rPr>
        <w:footnoteRef/>
      </w:r>
      <w:r>
        <w:t xml:space="preserve"> </w:t>
      </w:r>
      <w:r>
        <w:rPr>
          <w:rFonts w:hint="eastAsia"/>
        </w:rPr>
        <w:t>惟最高法院在此並未明確指出其所參考者，係德國法制中的哪一條法律條文。</w:t>
      </w:r>
    </w:p>
  </w:footnote>
  <w:footnote w:id="225">
    <w:p w:rsidR="00000000" w:rsidRDefault="00724932">
      <w:pPr>
        <w:pStyle w:val="aa"/>
        <w:spacing w:after="180"/>
        <w:rPr>
          <w:rFonts w:hint="eastAsia"/>
        </w:rPr>
      </w:pPr>
      <w:r>
        <w:rPr>
          <w:rStyle w:val="a9"/>
        </w:rPr>
        <w:footnoteRef/>
      </w:r>
      <w:r>
        <w:t xml:space="preserve"> </w:t>
      </w:r>
      <w:r>
        <w:rPr>
          <w:rFonts w:hint="eastAsia"/>
        </w:rPr>
        <w:t>參見：保訓會</w:t>
      </w:r>
      <w:r>
        <w:t>92</w:t>
      </w:r>
      <w:r>
        <w:rPr>
          <w:rFonts w:hAnsi="新細明體"/>
        </w:rPr>
        <w:t>公審決字第</w:t>
      </w:r>
      <w:r>
        <w:t>0362</w:t>
      </w:r>
      <w:r>
        <w:rPr>
          <w:rFonts w:hAnsi="新細明體"/>
        </w:rPr>
        <w:t>號復審決定</w:t>
      </w:r>
      <w:r>
        <w:rPr>
          <w:rFonts w:hAnsi="新細明體" w:hint="eastAsia"/>
        </w:rPr>
        <w:t>，</w:t>
      </w:r>
      <w:r>
        <w:rPr>
          <w:rFonts w:ascii="新細明體" w:hAnsi="新細明體"/>
        </w:rPr>
        <w:t>廖林麗貞</w:t>
      </w:r>
      <w:r>
        <w:rPr>
          <w:rFonts w:ascii="新細明體" w:hAnsi="新細明體" w:hint="eastAsia"/>
        </w:rPr>
        <w:t>／</w:t>
      </w:r>
      <w:r>
        <w:rPr>
          <w:rFonts w:ascii="新細明體" w:hAnsi="新細明體"/>
        </w:rPr>
        <w:t>李英毅</w:t>
      </w:r>
      <w:r>
        <w:rPr>
          <w:rFonts w:ascii="新細明體" w:hAnsi="新細明體" w:hint="eastAsia"/>
        </w:rPr>
        <w:t>，</w:t>
      </w:r>
      <w:r>
        <w:rPr>
          <w:rFonts w:ascii="新細明體" w:hAnsi="新細明體"/>
        </w:rPr>
        <w:t>不同意見書</w:t>
      </w:r>
      <w:r>
        <w:rPr>
          <w:rFonts w:ascii="新細明體" w:hAnsi="新細明體" w:hint="eastAsia"/>
        </w:rPr>
        <w:t>。</w:t>
      </w:r>
    </w:p>
  </w:footnote>
  <w:footnote w:id="226">
    <w:p w:rsidR="00000000" w:rsidRDefault="00724932">
      <w:pPr>
        <w:pStyle w:val="aa"/>
        <w:spacing w:after="180"/>
        <w:rPr>
          <w:rFonts w:hint="eastAsia"/>
        </w:rPr>
      </w:pPr>
      <w:r>
        <w:rPr>
          <w:rStyle w:val="a9"/>
        </w:rPr>
        <w:footnoteRef/>
      </w:r>
      <w:r>
        <w:t xml:space="preserve"> </w:t>
      </w:r>
      <w:r>
        <w:rPr>
          <w:rFonts w:hint="eastAsia"/>
        </w:rPr>
        <w:t>例見：（改制前）行政法院</w:t>
      </w:r>
      <w:r>
        <w:rPr>
          <w:rFonts w:hint="eastAsia"/>
        </w:rPr>
        <w:t>86</w:t>
      </w:r>
      <w:r>
        <w:rPr>
          <w:rFonts w:hint="eastAsia"/>
        </w:rPr>
        <w:t>年度判字第</w:t>
      </w:r>
      <w:r>
        <w:rPr>
          <w:rFonts w:hint="eastAsia"/>
        </w:rPr>
        <w:t>1861</w:t>
      </w:r>
      <w:r>
        <w:rPr>
          <w:rFonts w:hint="eastAsia"/>
        </w:rPr>
        <w:t>號判決。</w:t>
      </w:r>
    </w:p>
  </w:footnote>
  <w:footnote w:id="227">
    <w:p w:rsidR="00000000" w:rsidRDefault="00724932">
      <w:pPr>
        <w:pStyle w:val="aa"/>
        <w:spacing w:after="180"/>
        <w:rPr>
          <w:rFonts w:hint="eastAsia"/>
        </w:rPr>
      </w:pPr>
      <w:r>
        <w:rPr>
          <w:rStyle w:val="a9"/>
        </w:rPr>
        <w:footnoteRef/>
      </w:r>
      <w:r>
        <w:t xml:space="preserve"> </w:t>
      </w:r>
      <w:r>
        <w:rPr>
          <w:rFonts w:hint="eastAsia"/>
        </w:rPr>
        <w:t>例見：保訓會</w:t>
      </w:r>
      <w:r>
        <w:t>92</w:t>
      </w:r>
      <w:r>
        <w:rPr>
          <w:rFonts w:hAnsi="新細明體"/>
        </w:rPr>
        <w:t>公審決字第</w:t>
      </w:r>
      <w:r>
        <w:t>0</w:t>
      </w:r>
      <w:r>
        <w:rPr>
          <w:rFonts w:hint="eastAsia"/>
        </w:rPr>
        <w:t>239</w:t>
      </w:r>
      <w:r>
        <w:rPr>
          <w:rFonts w:hAnsi="新細明體"/>
        </w:rPr>
        <w:t>號復審決定</w:t>
      </w:r>
      <w:r>
        <w:rPr>
          <w:rFonts w:hAnsi="新細明體" w:hint="eastAsia"/>
        </w:rPr>
        <w:t>。</w:t>
      </w:r>
    </w:p>
  </w:footnote>
  <w:footnote w:id="228">
    <w:p w:rsidR="00000000" w:rsidRDefault="00724932">
      <w:pPr>
        <w:pStyle w:val="aa"/>
        <w:spacing w:after="180"/>
        <w:rPr>
          <w:rFonts w:hint="eastAsia"/>
        </w:rPr>
      </w:pPr>
      <w:r>
        <w:rPr>
          <w:rStyle w:val="a9"/>
        </w:rPr>
        <w:footnoteRef/>
      </w:r>
      <w:r>
        <w:t xml:space="preserve"> </w:t>
      </w:r>
      <w:r>
        <w:rPr>
          <w:rFonts w:hint="eastAsia"/>
        </w:rPr>
        <w:t>例</w:t>
      </w:r>
      <w:r>
        <w:rPr>
          <w:rFonts w:hint="eastAsia"/>
        </w:rPr>
        <w:t>見：林錫堯，公法上不當得利法理試探，收於：當代公法新論（下），頁</w:t>
      </w:r>
      <w:r>
        <w:rPr>
          <w:rFonts w:hint="eastAsia"/>
        </w:rPr>
        <w:t>283-284</w:t>
      </w:r>
      <w:r>
        <w:rPr>
          <w:rFonts w:hint="eastAsia"/>
        </w:rPr>
        <w:t>；詹震榮，行政機關之公法上不當得利返還請求權，法學講座</w:t>
      </w:r>
      <w:r>
        <w:rPr>
          <w:rFonts w:hint="eastAsia"/>
        </w:rPr>
        <w:t>23</w:t>
      </w:r>
      <w:r>
        <w:rPr>
          <w:rFonts w:hint="eastAsia"/>
        </w:rPr>
        <w:t>期，頁</w:t>
      </w:r>
      <w:r>
        <w:rPr>
          <w:rFonts w:hint="eastAsia"/>
        </w:rPr>
        <w:t>61-63</w:t>
      </w:r>
      <w:r>
        <w:rPr>
          <w:rFonts w:hint="eastAsia"/>
        </w:rPr>
        <w:t>；詳細論證，尤見：劉建宏，行政主體向人民請求返還公法上不當得利之法律途徑，本土</w:t>
      </w:r>
      <w:r>
        <w:rPr>
          <w:rFonts w:hint="eastAsia"/>
        </w:rPr>
        <w:t>64</w:t>
      </w:r>
      <w:r>
        <w:rPr>
          <w:rFonts w:hint="eastAsia"/>
        </w:rPr>
        <w:t>期，頁</w:t>
      </w:r>
      <w:r>
        <w:rPr>
          <w:rFonts w:hint="eastAsia"/>
        </w:rPr>
        <w:t>37</w:t>
      </w:r>
      <w:r>
        <w:rPr>
          <w:rFonts w:hint="eastAsia"/>
        </w:rPr>
        <w:t>以下。</w:t>
      </w:r>
    </w:p>
  </w:footnote>
  <w:footnote w:id="229">
    <w:p w:rsidR="00000000" w:rsidRDefault="00724932">
      <w:pPr>
        <w:pStyle w:val="aa"/>
        <w:spacing w:after="180"/>
        <w:rPr>
          <w:rFonts w:hint="eastAsia"/>
        </w:rPr>
      </w:pPr>
      <w:r>
        <w:rPr>
          <w:rStyle w:val="a9"/>
        </w:rPr>
        <w:footnoteRef/>
      </w:r>
      <w:r>
        <w:t xml:space="preserve"> </w:t>
      </w:r>
      <w:r>
        <w:rPr>
          <w:rFonts w:hint="eastAsia"/>
        </w:rPr>
        <w:t>有關德國理論問題，並見前文第二章第二節壹、二。</w:t>
      </w:r>
    </w:p>
  </w:footnote>
  <w:footnote w:id="230">
    <w:p w:rsidR="00000000" w:rsidRDefault="00724932">
      <w:pPr>
        <w:pStyle w:val="aa"/>
        <w:spacing w:after="180"/>
        <w:rPr>
          <w:lang w:val="de-DE"/>
        </w:rPr>
      </w:pPr>
      <w:r>
        <w:rPr>
          <w:rStyle w:val="a9"/>
        </w:rPr>
        <w:footnoteRef/>
      </w:r>
      <w:r>
        <w:rPr>
          <w:lang w:val="de-DE"/>
        </w:rPr>
        <w:t xml:space="preserve"> </w:t>
      </w:r>
      <w:r>
        <w:rPr>
          <w:rFonts w:hint="eastAsia"/>
          <w:lang w:val="de-DE"/>
        </w:rPr>
        <w:t>So etwa BVerwGE 20, 295 (297 f.);</w:t>
      </w:r>
      <w:r>
        <w:rPr>
          <w:lang w:val="de-DE"/>
        </w:rPr>
        <w:t xml:space="preserve"> 25, 72 (76); 40, 85 (89).</w:t>
      </w:r>
    </w:p>
  </w:footnote>
  <w:footnote w:id="231">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So etwa </w:t>
      </w:r>
      <w:r>
        <w:rPr>
          <w:rFonts w:hint="eastAsia"/>
          <w:i/>
          <w:lang w:val="de-DE"/>
        </w:rPr>
        <w:t>Detterbeck</w:t>
      </w:r>
      <w:r>
        <w:rPr>
          <w:rFonts w:hint="eastAsia"/>
          <w:lang w:val="de-DE"/>
        </w:rPr>
        <w:t>, in: Detterbeck/Windt</w:t>
      </w:r>
      <w:r>
        <w:rPr>
          <w:rFonts w:hint="eastAsia"/>
          <w:lang w:val="de-DE"/>
        </w:rPr>
        <w:t xml:space="preserve">horst/Sproll, Staatshaftungsrecht, </w:t>
      </w:r>
      <w:r>
        <w:rPr>
          <w:lang w:val="de-DE"/>
        </w:rPr>
        <w:t>§ </w:t>
      </w:r>
      <w:r>
        <w:rPr>
          <w:rFonts w:hint="eastAsia"/>
          <w:lang w:val="de-DE"/>
        </w:rPr>
        <w:t xml:space="preserve">27 Rn. 10; </w:t>
      </w:r>
      <w:r>
        <w:rPr>
          <w:rFonts w:hint="eastAsia"/>
          <w:i/>
          <w:lang w:val="de-DE"/>
        </w:rPr>
        <w:t>Ossenb</w:t>
      </w:r>
      <w:r>
        <w:rPr>
          <w:i/>
          <w:lang w:val="de-DE"/>
        </w:rPr>
        <w:t>ü</w:t>
      </w:r>
      <w:r>
        <w:rPr>
          <w:rFonts w:hint="eastAsia"/>
          <w:i/>
          <w:lang w:val="de-DE"/>
        </w:rPr>
        <w:t>hl</w:t>
      </w:r>
      <w:r>
        <w:rPr>
          <w:rFonts w:hint="eastAsia"/>
          <w:lang w:val="de-DE"/>
        </w:rPr>
        <w:t>, Staatshaftungsrecht, S. 436 f.</w:t>
      </w:r>
    </w:p>
  </w:footnote>
  <w:footnote w:id="232">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So beispielsweise </w:t>
      </w:r>
      <w:r>
        <w:rPr>
          <w:rFonts w:hint="eastAsia"/>
          <w:i/>
          <w:lang w:val="de-DE"/>
        </w:rPr>
        <w:t>Erichsen</w:t>
      </w:r>
      <w:r>
        <w:rPr>
          <w:rFonts w:hint="eastAsia"/>
          <w:lang w:val="de-DE"/>
        </w:rPr>
        <w:t>, in: Eri</w:t>
      </w:r>
      <w:r>
        <w:rPr>
          <w:lang w:val="de-DE"/>
        </w:rPr>
        <w:softHyphen/>
      </w:r>
      <w:r>
        <w:rPr>
          <w:rFonts w:hint="eastAsia"/>
          <w:lang w:val="de-DE"/>
        </w:rPr>
        <w:t xml:space="preserve">chsen/Ehlers, Allgemeines Verwaltungsrecht, </w:t>
      </w:r>
      <w:r>
        <w:rPr>
          <w:lang w:val="de-DE"/>
        </w:rPr>
        <w:t>§ </w:t>
      </w:r>
      <w:r>
        <w:rPr>
          <w:rFonts w:hint="eastAsia"/>
          <w:lang w:val="de-DE"/>
        </w:rPr>
        <w:t xml:space="preserve">15, Rn. 4, </w:t>
      </w:r>
      <w:r>
        <w:rPr>
          <w:lang w:val="de-DE"/>
        </w:rPr>
        <w:t>§ </w:t>
      </w:r>
      <w:r>
        <w:rPr>
          <w:rFonts w:hint="eastAsia"/>
          <w:lang w:val="de-DE"/>
        </w:rPr>
        <w:t xml:space="preserve">29, Rn. 31; </w:t>
      </w:r>
      <w:r>
        <w:rPr>
          <w:rFonts w:hint="eastAsia"/>
          <w:i/>
          <w:lang w:val="de-DE"/>
        </w:rPr>
        <w:t>Windthorst</w:t>
      </w:r>
      <w:r>
        <w:rPr>
          <w:rFonts w:hint="eastAsia"/>
          <w:lang w:val="de-DE"/>
        </w:rPr>
        <w:t xml:space="preserve">, JuS 1996, 894 (900); </w:t>
      </w:r>
      <w:r>
        <w:rPr>
          <w:rFonts w:hint="eastAsia"/>
          <w:i/>
          <w:lang w:val="de-DE"/>
        </w:rPr>
        <w:t>Wolff/Bachof/Stober</w:t>
      </w:r>
      <w:r>
        <w:rPr>
          <w:rFonts w:hint="eastAsia"/>
          <w:lang w:val="de-DE"/>
        </w:rPr>
        <w:t>, Ver</w:t>
      </w:r>
      <w:r>
        <w:rPr>
          <w:rFonts w:hint="eastAsia"/>
          <w:lang w:val="de-DE"/>
        </w:rPr>
        <w:t xml:space="preserve">waltungsrecht, Bd. 1, </w:t>
      </w:r>
      <w:r>
        <w:rPr>
          <w:lang w:val="de-DE"/>
        </w:rPr>
        <w:t>§ </w:t>
      </w:r>
      <w:r>
        <w:rPr>
          <w:rFonts w:hint="eastAsia"/>
          <w:lang w:val="de-DE"/>
        </w:rPr>
        <w:t xml:space="preserve">30 Rn. 19; Bd. 2, </w:t>
      </w:r>
      <w:r>
        <w:rPr>
          <w:lang w:val="de-DE"/>
        </w:rPr>
        <w:t>§ </w:t>
      </w:r>
      <w:r>
        <w:rPr>
          <w:rFonts w:hint="eastAsia"/>
          <w:lang w:val="de-DE"/>
        </w:rPr>
        <w:t>55 Rn. 26.</w:t>
      </w:r>
    </w:p>
  </w:footnote>
  <w:footnote w:id="233">
    <w:p w:rsidR="00000000" w:rsidRDefault="00724932">
      <w:pPr>
        <w:pStyle w:val="aa"/>
        <w:spacing w:after="180"/>
        <w:rPr>
          <w:rFonts w:hint="eastAsia"/>
        </w:rPr>
      </w:pPr>
      <w:r>
        <w:rPr>
          <w:rStyle w:val="a9"/>
        </w:rPr>
        <w:footnoteRef/>
      </w:r>
      <w:r>
        <w:t xml:space="preserve"> </w:t>
      </w:r>
      <w:r>
        <w:rPr>
          <w:rFonts w:hint="eastAsia"/>
        </w:rPr>
        <w:t>就此，並詳見前文第二章第二節貳、一。</w:t>
      </w:r>
    </w:p>
  </w:footnote>
  <w:footnote w:id="234">
    <w:p w:rsidR="00000000" w:rsidRDefault="00724932">
      <w:pPr>
        <w:pStyle w:val="aa"/>
        <w:spacing w:after="180"/>
      </w:pPr>
      <w:r>
        <w:rPr>
          <w:rStyle w:val="a9"/>
        </w:rPr>
        <w:footnoteRef/>
      </w:r>
      <w:r>
        <w:rPr>
          <w:rFonts w:hint="eastAsia"/>
        </w:rPr>
        <w:t xml:space="preserve"> </w:t>
      </w:r>
      <w:r>
        <w:rPr>
          <w:rFonts w:hint="eastAsia"/>
        </w:rPr>
        <w:t>並見前文第二章第二節貳、一；</w:t>
      </w:r>
      <w:r>
        <w:rPr>
          <w:rFonts w:hint="eastAsia"/>
        </w:rPr>
        <w:t xml:space="preserve">vgl. Zudem </w:t>
      </w:r>
      <w:r>
        <w:rPr>
          <w:rFonts w:hint="eastAsia"/>
          <w:i/>
        </w:rPr>
        <w:t>Schnel</w:t>
      </w:r>
      <w:r>
        <w:rPr>
          <w:i/>
        </w:rPr>
        <w:softHyphen/>
      </w:r>
      <w:r>
        <w:rPr>
          <w:rFonts w:hint="eastAsia"/>
          <w:i/>
        </w:rPr>
        <w:t>len</w:t>
      </w:r>
      <w:r>
        <w:rPr>
          <w:i/>
        </w:rPr>
        <w:softHyphen/>
      </w:r>
      <w:r>
        <w:rPr>
          <w:rFonts w:hint="eastAsia"/>
          <w:i/>
        </w:rPr>
        <w:t>bach</w:t>
      </w:r>
      <w:r>
        <w:rPr>
          <w:rFonts w:hint="eastAsia"/>
        </w:rPr>
        <w:t>, Beamtenrecht in der Praxis, Rn. 744 ff.</w:t>
      </w:r>
    </w:p>
  </w:footnote>
  <w:footnote w:id="235">
    <w:p w:rsidR="00000000" w:rsidRDefault="00724932">
      <w:pPr>
        <w:pStyle w:val="aa"/>
        <w:spacing w:after="180"/>
        <w:rPr>
          <w:rFonts w:hint="eastAsia"/>
        </w:rPr>
      </w:pPr>
      <w:r>
        <w:rPr>
          <w:rStyle w:val="a9"/>
        </w:rPr>
        <w:footnoteRef/>
      </w:r>
      <w:r>
        <w:t xml:space="preserve"> </w:t>
      </w:r>
      <w:r>
        <w:rPr>
          <w:rFonts w:hint="eastAsia"/>
        </w:rPr>
        <w:t>有關行政程序法制定前之實務，我國部分，參見：陳敏，行政法總論，頁</w:t>
      </w:r>
      <w:r>
        <w:rPr>
          <w:rFonts w:hint="eastAsia"/>
        </w:rPr>
        <w:t>452-453</w:t>
      </w:r>
      <w:r>
        <w:rPr>
          <w:rFonts w:hint="eastAsia"/>
        </w:rPr>
        <w:t>；德國部分，參見：</w:t>
      </w:r>
      <w:r>
        <w:rPr>
          <w:rFonts w:hint="eastAsia"/>
          <w:i/>
        </w:rPr>
        <w:t>Maurer</w:t>
      </w:r>
      <w:r>
        <w:rPr>
          <w:rFonts w:hint="eastAsia"/>
        </w:rPr>
        <w:t xml:space="preserve">, Allgemeines Verwaltungsrecht, </w:t>
      </w:r>
      <w:r>
        <w:t>§ </w:t>
      </w:r>
      <w:r>
        <w:rPr>
          <w:rFonts w:hint="eastAsia"/>
        </w:rPr>
        <w:t>11 Rn. 21 ff.</w:t>
      </w:r>
      <w:r>
        <w:rPr>
          <w:rFonts w:hint="eastAsia"/>
        </w:rPr>
        <w:t>。</w:t>
      </w:r>
    </w:p>
  </w:footnote>
  <w:footnote w:id="236">
    <w:p w:rsidR="00000000" w:rsidRDefault="00724932">
      <w:pPr>
        <w:pStyle w:val="aa"/>
        <w:spacing w:after="180"/>
        <w:rPr>
          <w:rFonts w:hint="eastAsia"/>
        </w:rPr>
      </w:pPr>
      <w:r>
        <w:rPr>
          <w:rStyle w:val="a9"/>
        </w:rPr>
        <w:footnoteRef/>
      </w:r>
      <w:r>
        <w:t xml:space="preserve"> </w:t>
      </w:r>
      <w:r>
        <w:rPr>
          <w:rFonts w:hint="eastAsia"/>
        </w:rPr>
        <w:t>詳見前文第三章第二節之分析。</w:t>
      </w:r>
    </w:p>
  </w:footnote>
  <w:footnote w:id="237">
    <w:p w:rsidR="00000000" w:rsidRDefault="00724932">
      <w:pPr>
        <w:pStyle w:val="aa"/>
        <w:spacing w:after="180"/>
        <w:rPr>
          <w:rFonts w:hint="eastAsia"/>
        </w:rPr>
      </w:pPr>
      <w:r>
        <w:rPr>
          <w:rStyle w:val="a9"/>
        </w:rPr>
        <w:footnoteRef/>
      </w:r>
      <w:r>
        <w:t xml:space="preserve"> </w:t>
      </w:r>
      <w:r>
        <w:rPr>
          <w:rFonts w:hint="eastAsia"/>
        </w:rPr>
        <w:t>參見前文第二章第二節壹、二及貳、二。</w:t>
      </w:r>
    </w:p>
  </w:footnote>
  <w:footnote w:id="238">
    <w:p w:rsidR="00000000" w:rsidRDefault="00724932">
      <w:pPr>
        <w:pStyle w:val="aa"/>
        <w:spacing w:after="180"/>
        <w:rPr>
          <w:rFonts w:hint="eastAsia"/>
        </w:rPr>
      </w:pPr>
      <w:r>
        <w:rPr>
          <w:rStyle w:val="a9"/>
        </w:rPr>
        <w:footnoteRef/>
      </w:r>
      <w:r>
        <w:t xml:space="preserve"> </w:t>
      </w:r>
      <w:r>
        <w:rPr>
          <w:rFonts w:hint="eastAsia"/>
        </w:rPr>
        <w:t>So z. B.</w:t>
      </w:r>
      <w:r>
        <w:rPr>
          <w:rFonts w:hint="eastAsia"/>
        </w:rPr>
        <w:t xml:space="preserve"> BVerwGE 21, 270 (271); 24, 225 (228); </w:t>
      </w:r>
      <w:r>
        <w:rPr>
          <w:rFonts w:hint="eastAsia"/>
          <w:i/>
          <w:iCs/>
        </w:rPr>
        <w:t>BVerwG</w:t>
      </w:r>
      <w:r>
        <w:rPr>
          <w:rFonts w:hint="eastAsia"/>
        </w:rPr>
        <w:t xml:space="preserve">, NJW 1977, 1838 (1839); vgl. zudem nur </w:t>
      </w:r>
      <w:r>
        <w:rPr>
          <w:rFonts w:hint="eastAsia"/>
          <w:i/>
          <w:iCs/>
        </w:rPr>
        <w:t>Schoch</w:t>
      </w:r>
      <w:r>
        <w:rPr>
          <w:rFonts w:hint="eastAsia"/>
        </w:rPr>
        <w:t>, Jura 1994, 82 (89 f.)</w:t>
      </w:r>
      <w:r>
        <w:t>；</w:t>
      </w:r>
      <w:r>
        <w:rPr>
          <w:rFonts w:hint="eastAsia"/>
        </w:rPr>
        <w:t>中文文獻，參見：劉建宏，行政主體向人民請求返還公法上不當得利之法律途徑，本土</w:t>
      </w:r>
      <w:r>
        <w:rPr>
          <w:rFonts w:hint="eastAsia"/>
        </w:rPr>
        <w:t>64</w:t>
      </w:r>
      <w:r>
        <w:rPr>
          <w:rFonts w:hint="eastAsia"/>
        </w:rPr>
        <w:t>期，頁</w:t>
      </w:r>
      <w:r>
        <w:rPr>
          <w:rFonts w:hint="eastAsia"/>
        </w:rPr>
        <w:t>42-43</w:t>
      </w:r>
      <w:r>
        <w:rPr>
          <w:rFonts w:hint="eastAsia"/>
        </w:rPr>
        <w:t>。</w:t>
      </w:r>
    </w:p>
  </w:footnote>
  <w:footnote w:id="239">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Vgl. hierzu ausf</w:t>
      </w:r>
      <w:r>
        <w:rPr>
          <w:lang w:val="de-DE"/>
        </w:rPr>
        <w:t>ührl</w:t>
      </w:r>
      <w:r>
        <w:rPr>
          <w:rFonts w:hint="eastAsia"/>
          <w:lang w:val="de-DE"/>
        </w:rPr>
        <w:t xml:space="preserve">. </w:t>
      </w:r>
      <w:r>
        <w:rPr>
          <w:rFonts w:hint="eastAsia"/>
          <w:i/>
          <w:lang w:val="de-DE"/>
        </w:rPr>
        <w:t>Schnel</w:t>
      </w:r>
      <w:r>
        <w:rPr>
          <w:i/>
          <w:lang w:val="de-DE"/>
        </w:rPr>
        <w:softHyphen/>
      </w:r>
      <w:r>
        <w:rPr>
          <w:rFonts w:hint="eastAsia"/>
          <w:i/>
          <w:lang w:val="de-DE"/>
        </w:rPr>
        <w:t>len</w:t>
      </w:r>
      <w:r>
        <w:rPr>
          <w:i/>
          <w:lang w:val="de-DE"/>
        </w:rPr>
        <w:softHyphen/>
      </w:r>
      <w:r>
        <w:rPr>
          <w:rFonts w:hint="eastAsia"/>
          <w:i/>
          <w:lang w:val="de-DE"/>
        </w:rPr>
        <w:t>bach</w:t>
      </w:r>
      <w:r>
        <w:rPr>
          <w:rFonts w:hint="eastAsia"/>
          <w:lang w:val="de-DE"/>
        </w:rPr>
        <w:t>, Beamtenrecht in der Praxis, Rn. 744 ff.</w:t>
      </w:r>
    </w:p>
  </w:footnote>
  <w:footnote w:id="240">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Dazu vgl</w:t>
      </w:r>
      <w:r>
        <w:rPr>
          <w:rFonts w:hint="eastAsia"/>
          <w:lang w:val="de-DE"/>
        </w:rPr>
        <w:t xml:space="preserve">. nur </w:t>
      </w:r>
      <w:r>
        <w:rPr>
          <w:rFonts w:hint="eastAsia"/>
          <w:i/>
          <w:lang w:val="de-DE"/>
        </w:rPr>
        <w:t>Maurer</w:t>
      </w:r>
      <w:r>
        <w:rPr>
          <w:rFonts w:hint="eastAsia"/>
          <w:lang w:val="de-DE"/>
        </w:rPr>
        <w:t xml:space="preserve">, Allgemeines Verwaltungsrecht, </w:t>
      </w:r>
      <w:r>
        <w:rPr>
          <w:lang w:val="de-DE"/>
        </w:rPr>
        <w:t>§ </w:t>
      </w:r>
      <w:r>
        <w:rPr>
          <w:rFonts w:hint="eastAsia"/>
          <w:lang w:val="de-DE"/>
        </w:rPr>
        <w:t>8 Rn. 30</w:t>
      </w:r>
      <w:r>
        <w:rPr>
          <w:rFonts w:hint="eastAsia"/>
          <w:lang w:val="de-DE"/>
        </w:rPr>
        <w:t>；並見：</w:t>
      </w:r>
      <w:r>
        <w:rPr>
          <w:rFonts w:hint="eastAsia"/>
        </w:rPr>
        <w:t>陳敏</w:t>
      </w:r>
      <w:r>
        <w:rPr>
          <w:rFonts w:hint="eastAsia"/>
          <w:lang w:val="de-DE"/>
        </w:rPr>
        <w:t>，</w:t>
      </w:r>
      <w:r>
        <w:rPr>
          <w:rFonts w:hint="eastAsia"/>
        </w:rPr>
        <w:t>行政法總論</w:t>
      </w:r>
      <w:r>
        <w:rPr>
          <w:rFonts w:hint="eastAsia"/>
          <w:lang w:val="de-DE"/>
        </w:rPr>
        <w:t>，</w:t>
      </w:r>
      <w:r>
        <w:rPr>
          <w:rFonts w:hint="eastAsia"/>
        </w:rPr>
        <w:t>頁</w:t>
      </w:r>
      <w:r>
        <w:rPr>
          <w:rFonts w:hint="eastAsia"/>
          <w:lang w:val="de-DE"/>
        </w:rPr>
        <w:t>224-226</w:t>
      </w:r>
      <w:r>
        <w:rPr>
          <w:rFonts w:hint="eastAsia"/>
        </w:rPr>
        <w:t>。</w:t>
      </w:r>
    </w:p>
  </w:footnote>
  <w:footnote w:id="241">
    <w:p w:rsidR="00000000" w:rsidRDefault="00724932">
      <w:pPr>
        <w:pStyle w:val="aa"/>
        <w:spacing w:after="180"/>
        <w:rPr>
          <w:rFonts w:hint="eastAsia"/>
          <w:lang w:val="de-DE"/>
        </w:rPr>
      </w:pPr>
      <w:r>
        <w:rPr>
          <w:rStyle w:val="a9"/>
        </w:rPr>
        <w:footnoteRef/>
      </w:r>
      <w:r>
        <w:rPr>
          <w:rFonts w:hint="eastAsia"/>
        </w:rPr>
        <w:t>此外</w:t>
      </w:r>
      <w:r>
        <w:rPr>
          <w:rFonts w:hint="eastAsia"/>
          <w:lang w:val="de-DE"/>
        </w:rPr>
        <w:t>，</w:t>
      </w:r>
      <w:r>
        <w:rPr>
          <w:rFonts w:hint="eastAsia"/>
        </w:rPr>
        <w:t>在基於契約而與國家或其他行政主體成立平等法律關係的約聘、僱人員方面</w:t>
      </w:r>
      <w:r>
        <w:rPr>
          <w:rFonts w:hint="eastAsia"/>
          <w:lang w:val="de-DE"/>
        </w:rPr>
        <w:t>，</w:t>
      </w:r>
      <w:r>
        <w:rPr>
          <w:rFonts w:hint="eastAsia"/>
        </w:rPr>
        <w:t>以及公務人員之</w:t>
      </w:r>
      <w:r>
        <w:rPr>
          <w:rFonts w:hint="eastAsia"/>
          <w:lang w:val="de-DE"/>
        </w:rPr>
        <w:t>（</w:t>
      </w:r>
      <w:r>
        <w:rPr>
          <w:rFonts w:hint="eastAsia"/>
        </w:rPr>
        <w:t>遺</w:t>
      </w:r>
      <w:r>
        <w:rPr>
          <w:rFonts w:hint="eastAsia"/>
          <w:lang w:val="de-DE"/>
        </w:rPr>
        <w:t>）</w:t>
      </w:r>
      <w:r>
        <w:rPr>
          <w:rFonts w:hint="eastAsia"/>
        </w:rPr>
        <w:t>眷屬方面</w:t>
      </w:r>
      <w:r>
        <w:rPr>
          <w:rFonts w:hint="eastAsia"/>
          <w:lang w:val="de-DE"/>
        </w:rPr>
        <w:t>，</w:t>
      </w:r>
      <w:r>
        <w:rPr>
          <w:rFonts w:hint="eastAsia"/>
        </w:rPr>
        <w:t>因與國家或其他行政主體欠缺隸屬關係</w:t>
      </w:r>
      <w:r>
        <w:rPr>
          <w:rFonts w:hint="eastAsia"/>
          <w:lang w:val="de-DE"/>
        </w:rPr>
        <w:t>，</w:t>
      </w:r>
      <w:r>
        <w:rPr>
          <w:rFonts w:hint="eastAsia"/>
        </w:rPr>
        <w:t>故除非法律另有明文規定</w:t>
      </w:r>
      <w:r>
        <w:rPr>
          <w:rFonts w:hint="eastAsia"/>
          <w:lang w:val="de-DE"/>
        </w:rPr>
        <w:t>，</w:t>
      </w:r>
      <w:r>
        <w:rPr>
          <w:rFonts w:hint="eastAsia"/>
        </w:rPr>
        <w:t>或前開所謂「反面理論」適用的情形</w:t>
      </w:r>
      <w:r>
        <w:rPr>
          <w:rFonts w:hint="eastAsia"/>
          <w:lang w:val="de-DE"/>
        </w:rPr>
        <w:t>，</w:t>
      </w:r>
      <w:r>
        <w:rPr>
          <w:rFonts w:hint="eastAsia"/>
        </w:rPr>
        <w:t>否則行政機關</w:t>
      </w:r>
      <w:r>
        <w:rPr>
          <w:rFonts w:hint="eastAsia"/>
          <w:lang w:val="de-DE"/>
        </w:rPr>
        <w:t>，</w:t>
      </w:r>
      <w:r>
        <w:rPr>
          <w:rFonts w:hint="eastAsia"/>
        </w:rPr>
        <w:t>原則上不得逕以做成行政處分之方式</w:t>
      </w:r>
      <w:r>
        <w:rPr>
          <w:rFonts w:hint="eastAsia"/>
          <w:lang w:val="de-DE"/>
        </w:rPr>
        <w:t>，</w:t>
      </w:r>
      <w:r>
        <w:rPr>
          <w:rFonts w:hint="eastAsia"/>
        </w:rPr>
        <w:t>對其行使公法上不當得利返還請求權</w:t>
      </w:r>
      <w:r>
        <w:rPr>
          <w:rFonts w:hint="eastAsia"/>
          <w:lang w:val="de-DE"/>
        </w:rPr>
        <w:t>；</w:t>
      </w:r>
      <w:r>
        <w:rPr>
          <w:rFonts w:hint="eastAsia"/>
          <w:lang w:val="de-DE"/>
        </w:rPr>
        <w:t>vgl. dazu n</w:t>
      </w:r>
      <w:r>
        <w:rPr>
          <w:lang w:val="de-DE"/>
        </w:rPr>
        <w:t xml:space="preserve">äher </w:t>
      </w:r>
      <w:r>
        <w:rPr>
          <w:rFonts w:hint="eastAsia"/>
          <w:i/>
          <w:lang w:val="de-DE"/>
        </w:rPr>
        <w:t>Schnel</w:t>
      </w:r>
      <w:r>
        <w:rPr>
          <w:i/>
          <w:lang w:val="de-DE"/>
        </w:rPr>
        <w:softHyphen/>
      </w:r>
      <w:r>
        <w:rPr>
          <w:rFonts w:hint="eastAsia"/>
          <w:i/>
          <w:lang w:val="de-DE"/>
        </w:rPr>
        <w:t>len</w:t>
      </w:r>
      <w:r>
        <w:rPr>
          <w:i/>
          <w:lang w:val="de-DE"/>
        </w:rPr>
        <w:softHyphen/>
      </w:r>
      <w:r>
        <w:rPr>
          <w:rFonts w:hint="eastAsia"/>
          <w:i/>
          <w:lang w:val="de-DE"/>
        </w:rPr>
        <w:t>bach</w:t>
      </w:r>
      <w:r>
        <w:rPr>
          <w:rFonts w:hint="eastAsia"/>
          <w:lang w:val="de-DE"/>
        </w:rPr>
        <w:t>, Beamt</w:t>
      </w:r>
      <w:r>
        <w:rPr>
          <w:rFonts w:hint="eastAsia"/>
          <w:lang w:val="de-DE"/>
        </w:rPr>
        <w:t>enrecht in der Praxis, Rn. 744 m. w. Nachw.</w:t>
      </w:r>
      <w:r>
        <w:rPr>
          <w:rFonts w:hint="eastAsia"/>
        </w:rPr>
        <w:t>。</w:t>
      </w:r>
    </w:p>
  </w:footnote>
  <w:footnote w:id="242">
    <w:p w:rsidR="00000000" w:rsidRDefault="00724932">
      <w:pPr>
        <w:pStyle w:val="aa"/>
        <w:spacing w:after="180"/>
        <w:rPr>
          <w:lang w:val="de-DE"/>
        </w:rPr>
      </w:pPr>
      <w:r>
        <w:rPr>
          <w:rStyle w:val="a9"/>
        </w:rPr>
        <w:footnoteRef/>
      </w:r>
      <w:r>
        <w:rPr>
          <w:lang w:val="de-DE"/>
        </w:rPr>
        <w:t xml:space="preserve"> So betont denn auch </w:t>
      </w:r>
      <w:r>
        <w:rPr>
          <w:rFonts w:hint="eastAsia"/>
          <w:i/>
          <w:lang w:val="de-DE"/>
        </w:rPr>
        <w:t>Schnel</w:t>
      </w:r>
      <w:r>
        <w:rPr>
          <w:i/>
          <w:lang w:val="de-DE"/>
        </w:rPr>
        <w:softHyphen/>
      </w:r>
      <w:r>
        <w:rPr>
          <w:rFonts w:hint="eastAsia"/>
          <w:i/>
          <w:lang w:val="de-DE"/>
        </w:rPr>
        <w:t>len</w:t>
      </w:r>
      <w:r>
        <w:rPr>
          <w:i/>
          <w:lang w:val="de-DE"/>
        </w:rPr>
        <w:softHyphen/>
      </w:r>
      <w:r>
        <w:rPr>
          <w:rFonts w:hint="eastAsia"/>
          <w:i/>
          <w:lang w:val="de-DE"/>
        </w:rPr>
        <w:t>bach</w:t>
      </w:r>
      <w:r>
        <w:rPr>
          <w:rFonts w:hint="eastAsia"/>
          <w:lang w:val="de-DE"/>
        </w:rPr>
        <w:t>, Beamtenrecht in der Praxis, Rn. 744</w:t>
      </w:r>
      <w:r>
        <w:rPr>
          <w:lang w:val="de-DE"/>
        </w:rPr>
        <w:t> f</w:t>
      </w:r>
      <w:r>
        <w:rPr>
          <w:rFonts w:hint="eastAsia"/>
          <w:lang w:val="de-DE"/>
        </w:rPr>
        <w:t>.</w:t>
      </w:r>
    </w:p>
  </w:footnote>
  <w:footnote w:id="243">
    <w:p w:rsidR="00000000" w:rsidRDefault="00724932">
      <w:pPr>
        <w:pStyle w:val="aa"/>
        <w:spacing w:after="180"/>
        <w:rPr>
          <w:rFonts w:hint="eastAsia"/>
        </w:rPr>
      </w:pPr>
      <w:r>
        <w:rPr>
          <w:rStyle w:val="a9"/>
        </w:rPr>
        <w:footnoteRef/>
      </w:r>
      <w:r>
        <w:t xml:space="preserve"> </w:t>
      </w:r>
      <w:r>
        <w:rPr>
          <w:rFonts w:hint="eastAsia"/>
        </w:rPr>
        <w:t>就此，已見前文第三章第二節壹之說明。</w:t>
      </w:r>
    </w:p>
  </w:footnote>
  <w:footnote w:id="244">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Vgl. dazu </w:t>
      </w:r>
      <w:r>
        <w:rPr>
          <w:rFonts w:hint="eastAsia"/>
          <w:i/>
          <w:lang w:val="de-DE"/>
        </w:rPr>
        <w:t>Detterbeck</w:t>
      </w:r>
      <w:r>
        <w:rPr>
          <w:rFonts w:hint="eastAsia"/>
          <w:lang w:val="de-DE"/>
        </w:rPr>
        <w:t xml:space="preserve">, in: Detterbeck/Windthorst/Sproll, Staatshaftungsrecht, </w:t>
      </w:r>
      <w:r>
        <w:rPr>
          <w:lang w:val="de-DE"/>
        </w:rPr>
        <w:t>§ </w:t>
      </w:r>
      <w:r>
        <w:rPr>
          <w:rFonts w:hint="eastAsia"/>
          <w:lang w:val="de-DE"/>
        </w:rPr>
        <w:t xml:space="preserve">27 Rn. 11; </w:t>
      </w:r>
      <w:r>
        <w:rPr>
          <w:rFonts w:hint="eastAsia"/>
          <w:i/>
          <w:lang w:val="de-DE"/>
        </w:rPr>
        <w:t>Schnel</w:t>
      </w:r>
      <w:r>
        <w:rPr>
          <w:i/>
          <w:lang w:val="de-DE"/>
        </w:rPr>
        <w:softHyphen/>
      </w:r>
      <w:r>
        <w:rPr>
          <w:rFonts w:hint="eastAsia"/>
          <w:i/>
          <w:lang w:val="de-DE"/>
        </w:rPr>
        <w:t>len</w:t>
      </w:r>
      <w:r>
        <w:rPr>
          <w:i/>
          <w:lang w:val="de-DE"/>
        </w:rPr>
        <w:softHyphen/>
      </w:r>
      <w:r>
        <w:rPr>
          <w:rFonts w:hint="eastAsia"/>
          <w:i/>
          <w:lang w:val="de-DE"/>
        </w:rPr>
        <w:t>bach</w:t>
      </w:r>
      <w:r>
        <w:rPr>
          <w:rFonts w:hint="eastAsia"/>
          <w:lang w:val="de-DE"/>
        </w:rPr>
        <w:t>, Bea</w:t>
      </w:r>
      <w:r>
        <w:rPr>
          <w:rFonts w:hint="eastAsia"/>
          <w:lang w:val="de-DE"/>
        </w:rPr>
        <w:t>mtenrecht in der Praxis, Rn. 749 jew. m. w. Nachw.</w:t>
      </w:r>
    </w:p>
  </w:footnote>
  <w:footnote w:id="245">
    <w:p w:rsidR="00000000" w:rsidRDefault="00724932">
      <w:pPr>
        <w:pStyle w:val="aa"/>
        <w:spacing w:after="180"/>
        <w:rPr>
          <w:rFonts w:hint="eastAsia"/>
        </w:rPr>
      </w:pPr>
      <w:r>
        <w:rPr>
          <w:rStyle w:val="a9"/>
        </w:rPr>
        <w:footnoteRef/>
      </w:r>
      <w:r>
        <w:t xml:space="preserve"> </w:t>
      </w:r>
      <w:r>
        <w:rPr>
          <w:rFonts w:hint="eastAsia"/>
        </w:rPr>
        <w:t>參見：王甲乙／楊建華／鄭健才，民事訴訟法新論，頁</w:t>
      </w:r>
      <w:r>
        <w:rPr>
          <w:rFonts w:hint="eastAsia"/>
        </w:rPr>
        <w:t>274-275</w:t>
      </w:r>
      <w:r>
        <w:rPr>
          <w:rFonts w:hint="eastAsia"/>
        </w:rPr>
        <w:t>；陳榮宗／林慶苗，民事訴訟法　上，頁</w:t>
      </w:r>
      <w:r>
        <w:rPr>
          <w:rFonts w:hint="eastAsia"/>
        </w:rPr>
        <w:t>325</w:t>
      </w:r>
      <w:r>
        <w:rPr>
          <w:rFonts w:hint="eastAsia"/>
        </w:rPr>
        <w:t>以下。</w:t>
      </w:r>
    </w:p>
  </w:footnote>
  <w:footnote w:id="246">
    <w:p w:rsidR="00000000" w:rsidRDefault="00724932">
      <w:pPr>
        <w:pStyle w:val="aa"/>
        <w:spacing w:after="180"/>
      </w:pPr>
      <w:r>
        <w:rPr>
          <w:rStyle w:val="a9"/>
        </w:rPr>
        <w:footnoteRef/>
      </w:r>
      <w:r>
        <w:rPr>
          <w:rFonts w:hint="eastAsia"/>
        </w:rPr>
        <w:t xml:space="preserve"> </w:t>
      </w:r>
      <w:r>
        <w:rPr>
          <w:rFonts w:hint="eastAsia"/>
        </w:rPr>
        <w:t>吳庚，行政爭訟法論，頁</w:t>
      </w:r>
      <w:r>
        <w:rPr>
          <w:rFonts w:hint="eastAsia"/>
        </w:rPr>
        <w:t>89</w:t>
      </w:r>
      <w:r>
        <w:rPr>
          <w:rFonts w:hint="eastAsia"/>
        </w:rPr>
        <w:t>以下；德文文獻，例見：</w:t>
      </w:r>
      <w:r>
        <w:rPr>
          <w:rFonts w:hint="eastAsia"/>
          <w:i/>
          <w:iCs/>
        </w:rPr>
        <w:t>Hufen</w:t>
      </w:r>
      <w:r>
        <w:rPr>
          <w:rFonts w:hint="eastAsia"/>
        </w:rPr>
        <w:t>,</w:t>
      </w:r>
      <w:r>
        <w:rPr>
          <w:rFonts w:hint="eastAsia"/>
          <w:iCs/>
        </w:rPr>
        <w:t>Verwaltungsproze</w:t>
      </w:r>
      <w:r>
        <w:rPr>
          <w:iCs/>
        </w:rPr>
        <w:t>ß</w:t>
      </w:r>
      <w:r>
        <w:rPr>
          <w:rFonts w:hint="eastAsia"/>
          <w:iCs/>
        </w:rPr>
        <w:t>recht,</w:t>
      </w:r>
      <w:r>
        <w:rPr>
          <w:iCs/>
        </w:rPr>
        <w:t xml:space="preserve"> </w:t>
      </w:r>
      <w:r>
        <w:t>§ </w:t>
      </w:r>
      <w:r>
        <w:rPr>
          <w:rFonts w:hint="eastAsia"/>
        </w:rPr>
        <w:t>23 Rn. 10</w:t>
      </w:r>
      <w:r>
        <w:t> ff.</w:t>
      </w:r>
      <w:r>
        <w:rPr>
          <w:rFonts w:hint="eastAsia"/>
        </w:rPr>
        <w:t xml:space="preserve">; </w:t>
      </w:r>
      <w:r>
        <w:rPr>
          <w:rFonts w:hint="eastAsia"/>
          <w:i/>
          <w:iCs/>
        </w:rPr>
        <w:t>Schenke</w:t>
      </w:r>
      <w:r>
        <w:rPr>
          <w:rFonts w:hint="eastAsia"/>
        </w:rPr>
        <w:t>, Verwaltungsproze</w:t>
      </w:r>
      <w:r>
        <w:t>ß</w:t>
      </w:r>
      <w:r>
        <w:rPr>
          <w:rFonts w:hint="eastAsia"/>
        </w:rPr>
        <w:t>recht, Rn. 557 ff.</w:t>
      </w:r>
      <w:r>
        <w:rPr>
          <w:rFonts w:hint="eastAsia"/>
        </w:rPr>
        <w:t>。</w:t>
      </w:r>
    </w:p>
  </w:footnote>
  <w:footnote w:id="247">
    <w:p w:rsidR="00000000" w:rsidRDefault="00724932">
      <w:pPr>
        <w:pStyle w:val="aa"/>
        <w:spacing w:after="180"/>
        <w:rPr>
          <w:rFonts w:hint="eastAsia"/>
        </w:rPr>
      </w:pPr>
      <w:r>
        <w:rPr>
          <w:rStyle w:val="a9"/>
        </w:rPr>
        <w:footnoteRef/>
      </w:r>
      <w:r>
        <w:t xml:space="preserve"> </w:t>
      </w:r>
      <w:r>
        <w:rPr>
          <w:rFonts w:hint="eastAsia"/>
        </w:rPr>
        <w:t>相關問題，詳見：林三欽，試論「行政爭訟實益之欠缺」（</w:t>
      </w:r>
      <w:r>
        <w:rPr>
          <w:rFonts w:hint="eastAsia"/>
        </w:rPr>
        <w:t>上），本土</w:t>
      </w:r>
      <w:r>
        <w:rPr>
          <w:rFonts w:hint="eastAsia"/>
        </w:rPr>
        <w:t>42</w:t>
      </w:r>
      <w:r>
        <w:rPr>
          <w:rFonts w:hint="eastAsia"/>
        </w:rPr>
        <w:t>期，頁</w:t>
      </w:r>
      <w:r>
        <w:rPr>
          <w:rFonts w:hint="eastAsia"/>
        </w:rPr>
        <w:t>37</w:t>
      </w:r>
      <w:r>
        <w:rPr>
          <w:rFonts w:hint="eastAsia"/>
        </w:rPr>
        <w:t>以下；（下），本土</w:t>
      </w:r>
      <w:r>
        <w:rPr>
          <w:rFonts w:hint="eastAsia"/>
        </w:rPr>
        <w:t>43</w:t>
      </w:r>
      <w:r>
        <w:rPr>
          <w:rFonts w:hint="eastAsia"/>
        </w:rPr>
        <w:t>期，頁</w:t>
      </w:r>
      <w:r>
        <w:rPr>
          <w:rFonts w:hint="eastAsia"/>
        </w:rPr>
        <w:t>12</w:t>
      </w:r>
      <w:r>
        <w:rPr>
          <w:rFonts w:hint="eastAsia"/>
        </w:rPr>
        <w:t>以下。</w:t>
      </w:r>
    </w:p>
  </w:footnote>
  <w:footnote w:id="248">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Dazu vgl. nur </w:t>
      </w:r>
      <w:r>
        <w:rPr>
          <w:rFonts w:hint="eastAsia"/>
          <w:i/>
          <w:lang w:val="de-DE"/>
        </w:rPr>
        <w:t>Battis</w:t>
      </w:r>
      <w:r>
        <w:rPr>
          <w:rFonts w:hint="eastAsia"/>
          <w:lang w:val="de-DE"/>
        </w:rPr>
        <w:t xml:space="preserve">, BBG, </w:t>
      </w:r>
      <w:r>
        <w:rPr>
          <w:lang w:val="de-DE"/>
        </w:rPr>
        <w:t>§ </w:t>
      </w:r>
      <w:r>
        <w:rPr>
          <w:rFonts w:hint="eastAsia"/>
          <w:lang w:val="de-DE"/>
        </w:rPr>
        <w:t xml:space="preserve">87 Rn. 24 und insb. </w:t>
      </w:r>
      <w:r>
        <w:rPr>
          <w:rFonts w:hint="eastAsia"/>
          <w:i/>
          <w:lang w:val="de-DE"/>
        </w:rPr>
        <w:t>Schnel</w:t>
      </w:r>
      <w:r>
        <w:rPr>
          <w:i/>
          <w:lang w:val="de-DE"/>
        </w:rPr>
        <w:softHyphen/>
      </w:r>
      <w:r>
        <w:rPr>
          <w:rFonts w:hint="eastAsia"/>
          <w:i/>
          <w:lang w:val="de-DE"/>
        </w:rPr>
        <w:t>len</w:t>
      </w:r>
      <w:r>
        <w:rPr>
          <w:i/>
          <w:lang w:val="de-DE"/>
        </w:rPr>
        <w:softHyphen/>
      </w:r>
      <w:r>
        <w:rPr>
          <w:rFonts w:hint="eastAsia"/>
          <w:i/>
          <w:lang w:val="de-DE"/>
        </w:rPr>
        <w:t>bach</w:t>
      </w:r>
      <w:r>
        <w:rPr>
          <w:rFonts w:hint="eastAsia"/>
          <w:lang w:val="de-DE"/>
        </w:rPr>
        <w:t>, Beamtenrecht in der Praxis, Rn. 750 </w:t>
      </w:r>
      <w:r>
        <w:rPr>
          <w:lang w:val="de-DE"/>
        </w:rPr>
        <w:t>ff.</w:t>
      </w:r>
      <w:r>
        <w:rPr>
          <w:rFonts w:hint="eastAsia"/>
          <w:lang w:val="de-DE"/>
        </w:rPr>
        <w:t xml:space="preserve"> m. w. Nachw.</w:t>
      </w:r>
    </w:p>
  </w:footnote>
  <w:footnote w:id="249">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So beklagt denn auch </w:t>
      </w:r>
      <w:r>
        <w:rPr>
          <w:rFonts w:hint="eastAsia"/>
          <w:i/>
          <w:iCs/>
          <w:lang w:val="de-DE"/>
        </w:rPr>
        <w:t>Detterbeck</w:t>
      </w:r>
      <w:r>
        <w:rPr>
          <w:rFonts w:hint="eastAsia"/>
          <w:iCs/>
          <w:lang w:val="de-DE"/>
        </w:rPr>
        <w:t>,</w:t>
      </w:r>
      <w:r>
        <w:rPr>
          <w:rFonts w:hint="eastAsia"/>
          <w:lang w:val="de-DE"/>
        </w:rPr>
        <w:t xml:space="preserve"> D</w:t>
      </w:r>
      <w:r>
        <w:rPr>
          <w:lang w:val="de-DE"/>
        </w:rPr>
        <w:t>Ö</w:t>
      </w:r>
      <w:r>
        <w:rPr>
          <w:rFonts w:hint="eastAsia"/>
          <w:lang w:val="de-DE"/>
        </w:rPr>
        <w:t>V 1996, 889.</w:t>
      </w:r>
    </w:p>
  </w:footnote>
  <w:footnote w:id="250">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Statt viel </w:t>
      </w:r>
      <w:r>
        <w:rPr>
          <w:rFonts w:hint="eastAsia"/>
          <w:i/>
          <w:iCs/>
          <w:lang w:val="de-DE"/>
        </w:rPr>
        <w:t>Detterbeck</w:t>
      </w:r>
      <w:r>
        <w:rPr>
          <w:rFonts w:hint="eastAsia"/>
          <w:iCs/>
          <w:lang w:val="de-DE"/>
        </w:rPr>
        <w:t>,</w:t>
      </w:r>
      <w:r>
        <w:rPr>
          <w:rFonts w:hint="eastAsia"/>
          <w:lang w:val="de-DE"/>
        </w:rPr>
        <w:t xml:space="preserve"> D</w:t>
      </w:r>
      <w:r>
        <w:rPr>
          <w:lang w:val="de-DE"/>
        </w:rPr>
        <w:t>Ö</w:t>
      </w:r>
      <w:r>
        <w:rPr>
          <w:rFonts w:hint="eastAsia"/>
          <w:lang w:val="de-DE"/>
        </w:rPr>
        <w:t>V 1996, 889 (890 f.)</w:t>
      </w:r>
      <w:r>
        <w:rPr>
          <w:lang w:val="de-DE"/>
        </w:rPr>
        <w:t xml:space="preserve"> m</w:t>
      </w:r>
      <w:r>
        <w:rPr>
          <w:rFonts w:hint="eastAsia"/>
          <w:lang w:val="de-DE"/>
        </w:rPr>
        <w:t>. w.</w:t>
      </w:r>
      <w:r>
        <w:rPr>
          <w:rFonts w:hint="eastAsia"/>
          <w:lang w:val="de-DE"/>
        </w:rPr>
        <w:t xml:space="preserve"> Nachw.</w:t>
      </w:r>
      <w:r>
        <w:rPr>
          <w:rFonts w:hint="eastAsia"/>
          <w:lang w:val="de-DE"/>
        </w:rPr>
        <w:t>；保訓會</w:t>
      </w:r>
      <w:r>
        <w:rPr>
          <w:lang w:val="de-DE"/>
        </w:rPr>
        <w:t>92</w:t>
      </w:r>
      <w:r>
        <w:rPr>
          <w:rFonts w:hAnsi="新細明體"/>
        </w:rPr>
        <w:t>公審決字第</w:t>
      </w:r>
      <w:r>
        <w:rPr>
          <w:lang w:val="de-DE"/>
        </w:rPr>
        <w:t>0</w:t>
      </w:r>
      <w:r>
        <w:rPr>
          <w:rFonts w:hint="eastAsia"/>
          <w:lang w:val="de-DE"/>
        </w:rPr>
        <w:t>239</w:t>
      </w:r>
      <w:r>
        <w:rPr>
          <w:rFonts w:hAnsi="新細明體"/>
        </w:rPr>
        <w:t>號復審決定</w:t>
      </w:r>
      <w:r>
        <w:rPr>
          <w:rFonts w:hAnsi="新細明體" w:hint="eastAsia"/>
          <w:lang w:val="de-DE"/>
        </w:rPr>
        <w:t>，</w:t>
      </w:r>
      <w:r>
        <w:rPr>
          <w:rFonts w:ascii="新細明體" w:hAnsi="新細明體"/>
        </w:rPr>
        <w:t>廖林麗貞</w:t>
      </w:r>
      <w:r>
        <w:rPr>
          <w:rFonts w:ascii="新細明體" w:hAnsi="新細明體" w:hint="eastAsia"/>
          <w:lang w:val="de-DE"/>
        </w:rPr>
        <w:t>／</w:t>
      </w:r>
      <w:r>
        <w:rPr>
          <w:rFonts w:ascii="新細明體" w:hAnsi="新細明體"/>
        </w:rPr>
        <w:t>李英毅</w:t>
      </w:r>
      <w:r>
        <w:rPr>
          <w:rFonts w:ascii="新細明體" w:hAnsi="新細明體" w:hint="eastAsia"/>
          <w:lang w:val="de-DE"/>
        </w:rPr>
        <w:t>，</w:t>
      </w:r>
      <w:r>
        <w:rPr>
          <w:rFonts w:ascii="新細明體" w:hAnsi="新細明體"/>
        </w:rPr>
        <w:t>不同意見書</w:t>
      </w:r>
      <w:r>
        <w:rPr>
          <w:rFonts w:ascii="新細明體" w:hAnsi="新細明體" w:hint="eastAsia"/>
          <w:lang w:val="de-DE"/>
        </w:rPr>
        <w:t>，</w:t>
      </w:r>
      <w:r>
        <w:rPr>
          <w:rFonts w:ascii="新細明體" w:hAnsi="新細明體" w:hint="eastAsia"/>
        </w:rPr>
        <w:t>亦同此見解。</w:t>
      </w:r>
    </w:p>
  </w:footnote>
  <w:footnote w:id="251">
    <w:p w:rsidR="00000000" w:rsidRDefault="00724932">
      <w:pPr>
        <w:pStyle w:val="aa"/>
        <w:spacing w:after="180"/>
      </w:pPr>
      <w:r>
        <w:rPr>
          <w:rStyle w:val="a9"/>
        </w:rPr>
        <w:footnoteRef/>
      </w:r>
      <w:r>
        <w:rPr>
          <w:rFonts w:hint="eastAsia"/>
        </w:rPr>
        <w:t xml:space="preserve"> </w:t>
      </w:r>
      <w:r>
        <w:rPr>
          <w:rFonts w:hint="eastAsia"/>
        </w:rPr>
        <w:t>關於公法上之意思表示，參見：李建良，論行政法上之意思表示，台北大學法學論叢</w:t>
      </w:r>
      <w:r>
        <w:rPr>
          <w:rFonts w:hint="eastAsia"/>
        </w:rPr>
        <w:t>50</w:t>
      </w:r>
      <w:r>
        <w:rPr>
          <w:rFonts w:hint="eastAsia"/>
        </w:rPr>
        <w:t>期，</w:t>
      </w:r>
      <w:r>
        <w:rPr>
          <w:rFonts w:hint="eastAsia"/>
        </w:rPr>
        <w:t>2002</w:t>
      </w:r>
      <w:r>
        <w:rPr>
          <w:rFonts w:hint="eastAsia"/>
        </w:rPr>
        <w:t>年</w:t>
      </w:r>
      <w:r>
        <w:rPr>
          <w:rFonts w:hint="eastAsia"/>
        </w:rPr>
        <w:t>6</w:t>
      </w:r>
      <w:r>
        <w:rPr>
          <w:rFonts w:hint="eastAsia"/>
        </w:rPr>
        <w:t>月，頁</w:t>
      </w:r>
      <w:r>
        <w:rPr>
          <w:rFonts w:hint="eastAsia"/>
        </w:rPr>
        <w:t>25</w:t>
      </w:r>
      <w:r>
        <w:rPr>
          <w:rFonts w:hint="eastAsia"/>
        </w:rPr>
        <w:t>以下。</w:t>
      </w:r>
    </w:p>
  </w:footnote>
  <w:footnote w:id="252">
    <w:p w:rsidR="00000000" w:rsidRDefault="00724932">
      <w:pPr>
        <w:pStyle w:val="aa"/>
        <w:spacing w:after="180"/>
        <w:rPr>
          <w:rFonts w:hint="eastAsia"/>
          <w:lang w:val="de-DE"/>
        </w:rPr>
      </w:pPr>
      <w:r>
        <w:rPr>
          <w:rStyle w:val="a9"/>
        </w:rPr>
        <w:footnoteRef/>
      </w:r>
      <w:r>
        <w:rPr>
          <w:lang w:val="de-DE"/>
        </w:rPr>
        <w:t xml:space="preserve"> </w:t>
      </w:r>
      <w:r>
        <w:rPr>
          <w:rFonts w:hint="eastAsia"/>
          <w:lang w:val="de-DE"/>
        </w:rPr>
        <w:t xml:space="preserve">Hierzu s. </w:t>
      </w:r>
      <w:r>
        <w:rPr>
          <w:rFonts w:hint="eastAsia"/>
          <w:i/>
          <w:iCs/>
          <w:lang w:val="de-DE"/>
        </w:rPr>
        <w:t>Detterbeck</w:t>
      </w:r>
      <w:r>
        <w:rPr>
          <w:rFonts w:hint="eastAsia"/>
          <w:iCs/>
          <w:lang w:val="de-DE"/>
        </w:rPr>
        <w:t>,</w:t>
      </w:r>
      <w:r>
        <w:rPr>
          <w:rFonts w:hint="eastAsia"/>
          <w:lang w:val="de-DE"/>
        </w:rPr>
        <w:t xml:space="preserve"> D</w:t>
      </w:r>
      <w:r>
        <w:rPr>
          <w:lang w:val="de-DE"/>
        </w:rPr>
        <w:t>Ö</w:t>
      </w:r>
      <w:r>
        <w:rPr>
          <w:rFonts w:hint="eastAsia"/>
          <w:lang w:val="de-DE"/>
        </w:rPr>
        <w:t>V 1996, 889</w:t>
      </w:r>
      <w:r>
        <w:rPr>
          <w:lang w:val="de-DE"/>
        </w:rPr>
        <w:t> ff.</w:t>
      </w:r>
      <w:r>
        <w:rPr>
          <w:rFonts w:hint="eastAsia"/>
          <w:lang w:val="de-DE"/>
        </w:rPr>
        <w:t xml:space="preserve"> m. w. Nachw.</w:t>
      </w:r>
    </w:p>
  </w:footnote>
  <w:footnote w:id="253">
    <w:p w:rsidR="00000000" w:rsidRDefault="00724932">
      <w:pPr>
        <w:pStyle w:val="aa"/>
        <w:spacing w:after="180"/>
        <w:rPr>
          <w:rFonts w:hint="eastAsia"/>
        </w:rPr>
      </w:pPr>
      <w:r>
        <w:rPr>
          <w:rStyle w:val="a9"/>
        </w:rPr>
        <w:footnoteRef/>
      </w:r>
      <w:r>
        <w:t xml:space="preserve"> </w:t>
      </w:r>
      <w:r>
        <w:rPr>
          <w:rFonts w:hint="eastAsia"/>
        </w:rPr>
        <w:t>有關稅法上之不當得利問題，詳見陳敏，</w:t>
      </w:r>
      <w:r>
        <w:t>租稅法之返還請求權，政大法學評論</w:t>
      </w:r>
      <w:r>
        <w:rPr>
          <w:rFonts w:hint="eastAsia"/>
        </w:rPr>
        <w:t>59</w:t>
      </w:r>
      <w:r>
        <w:t>期，</w:t>
      </w:r>
      <w:r>
        <w:rPr>
          <w:rFonts w:hint="eastAsia"/>
        </w:rPr>
        <w:t>1998</w:t>
      </w:r>
      <w:r>
        <w:t>年</w:t>
      </w:r>
      <w:r>
        <w:rPr>
          <w:rFonts w:hint="eastAsia"/>
        </w:rPr>
        <w:t>6</w:t>
      </w:r>
      <w:r>
        <w:t>月</w:t>
      </w:r>
      <w:r>
        <w:rPr>
          <w:rFonts w:hint="eastAsia"/>
        </w:rPr>
        <w:t>，頁</w:t>
      </w:r>
      <w:r>
        <w:rPr>
          <w:rFonts w:hint="eastAsia"/>
        </w:rPr>
        <w:t>64</w:t>
      </w:r>
      <w:r>
        <w:rPr>
          <w:rFonts w:hint="eastAsia"/>
        </w:rPr>
        <w:t>以下。</w:t>
      </w:r>
    </w:p>
  </w:footnote>
  <w:footnote w:id="254">
    <w:p w:rsidR="00000000" w:rsidRDefault="00724932">
      <w:pPr>
        <w:pStyle w:val="aa"/>
        <w:spacing w:after="180"/>
        <w:rPr>
          <w:rFonts w:hint="eastAsia"/>
        </w:rPr>
      </w:pPr>
      <w:r>
        <w:rPr>
          <w:rStyle w:val="a9"/>
        </w:rPr>
        <w:footnoteRef/>
      </w:r>
      <w:r>
        <w:t xml:space="preserve"> </w:t>
      </w:r>
      <w:r>
        <w:rPr>
          <w:rFonts w:hint="eastAsia"/>
        </w:rPr>
        <w:t>就此，詳見前文第二章第二節貳、一說明。</w:t>
      </w:r>
    </w:p>
  </w:footnote>
  <w:footnote w:id="255">
    <w:p w:rsidR="00000000" w:rsidRDefault="00724932">
      <w:pPr>
        <w:pStyle w:val="aa"/>
        <w:spacing w:after="180"/>
        <w:rPr>
          <w:rFonts w:hint="eastAsia"/>
        </w:rPr>
      </w:pPr>
      <w:r>
        <w:rPr>
          <w:rStyle w:val="a9"/>
        </w:rPr>
        <w:footnoteRef/>
      </w:r>
      <w:r>
        <w:t xml:space="preserve"> </w:t>
      </w:r>
      <w:r>
        <w:rPr>
          <w:rFonts w:hint="eastAsia"/>
        </w:rPr>
        <w:t>不過日本國家公務員法與地方公</w:t>
      </w:r>
      <w:r>
        <w:rPr>
          <w:rFonts w:hint="eastAsia"/>
        </w:rPr>
        <w:t>務員法的規範密度甚低，比較屬於一種基準法的性質；例如在兩部法律中，有關公務人員不當受領公法上金錢給付之返還請求的問題，即未見明文規定。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886"/>
    <w:multiLevelType w:val="hybridMultilevel"/>
    <w:tmpl w:val="EF7E7F0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19490B"/>
    <w:multiLevelType w:val="multilevel"/>
    <w:tmpl w:val="0A522912"/>
    <w:lvl w:ilvl="0">
      <w:start w:val="1"/>
      <w:numFmt w:val="decimal"/>
      <w:lvlText w:val="%1."/>
      <w:lvlJc w:val="left"/>
      <w:pPr>
        <w:tabs>
          <w:tab w:val="num" w:pos="480"/>
        </w:tabs>
        <w:ind w:left="480" w:hanging="48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DB054F8"/>
    <w:multiLevelType w:val="hybridMultilevel"/>
    <w:tmpl w:val="0BD8B7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055B4"/>
    <w:multiLevelType w:val="hybridMultilevel"/>
    <w:tmpl w:val="A0464CC8"/>
    <w:lvl w:ilvl="0" w:tplc="BA34EF9C">
      <w:start w:val="1"/>
      <w:numFmt w:val="decimal"/>
      <w:lvlText w:val="%1."/>
      <w:lvlJc w:val="left"/>
      <w:pPr>
        <w:tabs>
          <w:tab w:val="num" w:pos="284"/>
        </w:tabs>
        <w:ind w:left="284" w:hanging="284"/>
      </w:pPr>
      <w:rPr>
        <w:rFonts w:ascii="新細明體" w:eastAsia="新細明體" w:hAnsi="Times New Roman" w:cs="Times New Roman" w:hint="eastAsia"/>
      </w:rPr>
    </w:lvl>
    <w:lvl w:ilvl="1" w:tplc="CF38269C">
      <w:start w:val="1"/>
      <w:numFmt w:val="decimal"/>
      <w:lvlText w:val="（%2）"/>
      <w:lvlJc w:val="left"/>
      <w:pPr>
        <w:tabs>
          <w:tab w:val="num" w:pos="510"/>
        </w:tabs>
        <w:ind w:left="680" w:hanging="5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5B54BE"/>
    <w:multiLevelType w:val="hybridMultilevel"/>
    <w:tmpl w:val="78C6C8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71F4A"/>
    <w:multiLevelType w:val="hybridMultilevel"/>
    <w:tmpl w:val="0A52291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58E3600"/>
    <w:multiLevelType w:val="multilevel"/>
    <w:tmpl w:val="5C267EF2"/>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103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7AC0C17"/>
    <w:multiLevelType w:val="multilevel"/>
    <w:tmpl w:val="547A245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567"/>
        </w:tabs>
        <w:ind w:left="851" w:hanging="56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81D01FF"/>
    <w:multiLevelType w:val="hybridMultilevel"/>
    <w:tmpl w:val="6A3886BE"/>
    <w:lvl w:ilvl="0" w:tplc="F5685FAC">
      <w:start w:val="1"/>
      <w:numFmt w:val="decimal"/>
      <w:lvlText w:val="%1."/>
      <w:lvlJc w:val="left"/>
      <w:pPr>
        <w:tabs>
          <w:tab w:val="num" w:pos="360"/>
        </w:tabs>
        <w:ind w:left="360" w:hanging="360"/>
      </w:pPr>
      <w:rPr>
        <w:rFonts w:hint="eastAsia"/>
      </w:rPr>
    </w:lvl>
    <w:lvl w:ilvl="1" w:tplc="CE148C36">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8C59FE"/>
    <w:multiLevelType w:val="multilevel"/>
    <w:tmpl w:val="1DE8C92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F0431E1"/>
    <w:multiLevelType w:val="hybridMultilevel"/>
    <w:tmpl w:val="2B28EEC4"/>
    <w:lvl w:ilvl="0" w:tplc="7060763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E102D6"/>
    <w:multiLevelType w:val="multilevel"/>
    <w:tmpl w:val="104CA99C"/>
    <w:lvl w:ilvl="0">
      <w:start w:val="1"/>
      <w:numFmt w:val="decimal"/>
      <w:lvlText w:val="%1."/>
      <w:lvlJc w:val="left"/>
      <w:pPr>
        <w:tabs>
          <w:tab w:val="num" w:pos="480"/>
        </w:tabs>
        <w:ind w:left="480" w:hanging="480"/>
      </w:pPr>
    </w:lvl>
    <w:lvl w:ilvl="1">
      <w:start w:val="1"/>
      <w:numFmt w:val="decimal"/>
      <w:lvlText w:val="（%2）"/>
      <w:lvlJc w:val="left"/>
      <w:pPr>
        <w:tabs>
          <w:tab w:val="num" w:pos="567"/>
        </w:tabs>
        <w:ind w:left="975" w:hanging="69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64C1AA6"/>
    <w:multiLevelType w:val="multilevel"/>
    <w:tmpl w:val="67D27D9C"/>
    <w:lvl w:ilvl="0">
      <w:start w:val="1"/>
      <w:numFmt w:val="decimal"/>
      <w:lvlText w:val="%1."/>
      <w:lvlJc w:val="left"/>
      <w:pPr>
        <w:tabs>
          <w:tab w:val="num" w:pos="480"/>
        </w:tabs>
        <w:ind w:left="480" w:hanging="480"/>
      </w:pPr>
    </w:lvl>
    <w:lvl w:ilvl="1">
      <w:start w:val="1"/>
      <w:numFmt w:val="decimal"/>
      <w:lvlText w:val="（%2）"/>
      <w:lvlJc w:val="left"/>
      <w:pPr>
        <w:tabs>
          <w:tab w:val="num" w:pos="567"/>
        </w:tabs>
        <w:ind w:left="1004"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129478E"/>
    <w:multiLevelType w:val="multilevel"/>
    <w:tmpl w:val="EAE6FCA8"/>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28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21F408A"/>
    <w:multiLevelType w:val="multilevel"/>
    <w:tmpl w:val="9A1228D6"/>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38D1997"/>
    <w:multiLevelType w:val="multilevel"/>
    <w:tmpl w:val="1D966DE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45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9D04057"/>
    <w:multiLevelType w:val="multilevel"/>
    <w:tmpl w:val="B932210E"/>
    <w:lvl w:ilvl="0">
      <w:start w:val="1"/>
      <w:numFmt w:val="decimal"/>
      <w:lvlText w:val="%1."/>
      <w:lvlJc w:val="left"/>
      <w:pPr>
        <w:tabs>
          <w:tab w:val="num" w:pos="480"/>
        </w:tabs>
        <w:ind w:left="480" w:hanging="480"/>
      </w:pPr>
    </w:lvl>
    <w:lvl w:ilvl="1">
      <w:start w:val="1"/>
      <w:numFmt w:val="decimal"/>
      <w:lvlText w:val="（%2）"/>
      <w:lvlJc w:val="left"/>
      <w:pPr>
        <w:tabs>
          <w:tab w:val="num" w:pos="567"/>
        </w:tabs>
        <w:ind w:left="987" w:hanging="70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9F83554"/>
    <w:multiLevelType w:val="multilevel"/>
    <w:tmpl w:val="EA985596"/>
    <w:lvl w:ilvl="0">
      <w:start w:val="1"/>
      <w:numFmt w:val="decimal"/>
      <w:lvlText w:val="%1."/>
      <w:lvlJc w:val="left"/>
      <w:pPr>
        <w:tabs>
          <w:tab w:val="num" w:pos="480"/>
        </w:tabs>
        <w:ind w:left="480" w:hanging="480"/>
      </w:p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A3853AD"/>
    <w:multiLevelType w:val="hybridMultilevel"/>
    <w:tmpl w:val="CDBC45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08F10D1"/>
    <w:multiLevelType w:val="hybridMultilevel"/>
    <w:tmpl w:val="CB34006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BB96E98"/>
    <w:multiLevelType w:val="hybridMultilevel"/>
    <w:tmpl w:val="1DE8C9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C6B078B"/>
    <w:multiLevelType w:val="multilevel"/>
    <w:tmpl w:val="ECE6CA3C"/>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397"/>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C787DF6"/>
    <w:multiLevelType w:val="hybridMultilevel"/>
    <w:tmpl w:val="3200A7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D5657E7"/>
    <w:multiLevelType w:val="hybridMultilevel"/>
    <w:tmpl w:val="EC9A51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E5D3BB5"/>
    <w:multiLevelType w:val="multilevel"/>
    <w:tmpl w:val="0BEEF1CC"/>
    <w:lvl w:ilvl="0">
      <w:start w:val="1"/>
      <w:numFmt w:val="decimal"/>
      <w:lvlText w:val="%1."/>
      <w:lvlJc w:val="left"/>
      <w:pPr>
        <w:tabs>
          <w:tab w:val="num" w:pos="480"/>
        </w:tabs>
        <w:ind w:left="480" w:hanging="480"/>
      </w:pPr>
    </w:lvl>
    <w:lvl w:ilvl="1">
      <w:start w:val="1"/>
      <w:numFmt w:val="decimal"/>
      <w:lvlText w:val="（%2）"/>
      <w:lvlJc w:val="left"/>
      <w:pPr>
        <w:tabs>
          <w:tab w:val="num" w:pos="567"/>
        </w:tabs>
        <w:ind w:left="998" w:hanging="714"/>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49675DB"/>
    <w:multiLevelType w:val="multilevel"/>
    <w:tmpl w:val="C0BEAE18"/>
    <w:lvl w:ilvl="0">
      <w:start w:val="1"/>
      <w:numFmt w:val="decimal"/>
      <w:lvlText w:val="%1."/>
      <w:lvlJc w:val="left"/>
      <w:pPr>
        <w:tabs>
          <w:tab w:val="num" w:pos="480"/>
        </w:tabs>
        <w:ind w:left="480" w:hanging="480"/>
      </w:pPr>
      <w:rPr>
        <w:rFonts w:ascii="新細明體" w:eastAsia="新細明體" w:hAnsi="Times New Roman" w:cs="Times New Roman"/>
      </w:r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8AC26E7"/>
    <w:multiLevelType w:val="multilevel"/>
    <w:tmpl w:val="59B8467A"/>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763"/>
        </w:tabs>
        <w:ind w:left="1160"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799107B3"/>
    <w:multiLevelType w:val="hybridMultilevel"/>
    <w:tmpl w:val="C0BEAE18"/>
    <w:lvl w:ilvl="0" w:tplc="7996EF88">
      <w:start w:val="1"/>
      <w:numFmt w:val="decimal"/>
      <w:lvlText w:val="%1."/>
      <w:lvlJc w:val="left"/>
      <w:pPr>
        <w:tabs>
          <w:tab w:val="num" w:pos="480"/>
        </w:tabs>
        <w:ind w:left="480" w:hanging="480"/>
      </w:pPr>
      <w:rPr>
        <w:rFonts w:ascii="新細明體" w:eastAsia="新細明體" w:hAnsi="Times New Roman" w:cs="Times New Roman"/>
      </w:rPr>
    </w:lvl>
    <w:lvl w:ilvl="1" w:tplc="00D07F84">
      <w:start w:val="1"/>
      <w:numFmt w:val="decimal"/>
      <w:lvlText w:val="（%2）"/>
      <w:lvlJc w:val="left"/>
      <w:pPr>
        <w:tabs>
          <w:tab w:val="num" w:pos="567"/>
        </w:tabs>
        <w:ind w:left="964" w:hanging="6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375CE4"/>
    <w:multiLevelType w:val="hybridMultilevel"/>
    <w:tmpl w:val="9BE2C148"/>
    <w:lvl w:ilvl="0" w:tplc="F70E9376">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9A33FA"/>
    <w:multiLevelType w:val="multilevel"/>
    <w:tmpl w:val="B2C2360A"/>
    <w:lvl w:ilvl="0">
      <w:start w:val="1"/>
      <w:numFmt w:val="decimal"/>
      <w:lvlText w:val="%1."/>
      <w:lvlJc w:val="left"/>
      <w:pPr>
        <w:tabs>
          <w:tab w:val="num" w:pos="480"/>
        </w:tabs>
        <w:ind w:left="480" w:hanging="480"/>
      </w:pPr>
    </w:lvl>
    <w:lvl w:ilvl="1">
      <w:start w:val="1"/>
      <w:numFmt w:val="decimal"/>
      <w:lvlText w:val="（%2）"/>
      <w:lvlJc w:val="left"/>
      <w:pPr>
        <w:tabs>
          <w:tab w:val="num" w:pos="567"/>
        </w:tabs>
        <w:ind w:left="567" w:hanging="28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8"/>
  </w:num>
  <w:num w:numId="2">
    <w:abstractNumId w:val="10"/>
  </w:num>
  <w:num w:numId="3">
    <w:abstractNumId w:val="20"/>
  </w:num>
  <w:num w:numId="4">
    <w:abstractNumId w:val="9"/>
  </w:num>
  <w:num w:numId="5">
    <w:abstractNumId w:val="5"/>
  </w:num>
  <w:num w:numId="6">
    <w:abstractNumId w:val="1"/>
  </w:num>
  <w:num w:numId="7">
    <w:abstractNumId w:val="23"/>
  </w:num>
  <w:num w:numId="8">
    <w:abstractNumId w:val="2"/>
  </w:num>
  <w:num w:numId="9">
    <w:abstractNumId w:val="18"/>
  </w:num>
  <w:num w:numId="10">
    <w:abstractNumId w:val="0"/>
  </w:num>
  <w:num w:numId="11">
    <w:abstractNumId w:val="19"/>
  </w:num>
  <w:num w:numId="12">
    <w:abstractNumId w:val="4"/>
  </w:num>
  <w:num w:numId="13">
    <w:abstractNumId w:val="8"/>
  </w:num>
  <w:num w:numId="14">
    <w:abstractNumId w:val="27"/>
  </w:num>
  <w:num w:numId="15">
    <w:abstractNumId w:val="14"/>
  </w:num>
  <w:num w:numId="16">
    <w:abstractNumId w:val="6"/>
  </w:num>
  <w:num w:numId="17">
    <w:abstractNumId w:val="29"/>
  </w:num>
  <w:num w:numId="18">
    <w:abstractNumId w:val="12"/>
  </w:num>
  <w:num w:numId="19">
    <w:abstractNumId w:val="24"/>
  </w:num>
  <w:num w:numId="20">
    <w:abstractNumId w:val="16"/>
  </w:num>
  <w:num w:numId="21">
    <w:abstractNumId w:val="11"/>
  </w:num>
  <w:num w:numId="22">
    <w:abstractNumId w:val="17"/>
  </w:num>
  <w:num w:numId="23">
    <w:abstractNumId w:val="25"/>
  </w:num>
  <w:num w:numId="24">
    <w:abstractNumId w:val="3"/>
  </w:num>
  <w:num w:numId="25">
    <w:abstractNumId w:val="26"/>
  </w:num>
  <w:num w:numId="26">
    <w:abstractNumId w:val="7"/>
  </w:num>
  <w:num w:numId="27">
    <w:abstractNumId w:val="21"/>
  </w:num>
  <w:num w:numId="28">
    <w:abstractNumId w:val="15"/>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hyphenationZone w:val="3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10"/>
    <w:rsid w:val="00724932"/>
    <w:rsid w:val="00A04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6C4AA-A5E0-4AF9-A619-6FD86BC7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w:hAnsi="Arial" w:cs="Arial"/>
      <w:b/>
      <w:bCs/>
      <w:kern w:val="36"/>
      <w:sz w:val="48"/>
      <w:szCs w:val="4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ind w:leftChars="1800" w:left="100"/>
    </w:p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character" w:styleId="a8">
    <w:name w:val="Strong"/>
    <w:basedOn w:val="a0"/>
    <w:qFormat/>
    <w:rPr>
      <w:b/>
      <w:bCs/>
    </w:rPr>
  </w:style>
  <w:style w:type="character" w:styleId="a9">
    <w:name w:val="footnote reference"/>
    <w:basedOn w:val="a0"/>
    <w:semiHidden/>
    <w:rPr>
      <w:vertAlign w:val="superscript"/>
    </w:rPr>
  </w:style>
  <w:style w:type="paragraph" w:customStyle="1" w:styleId="proportionalschrift">
    <w:name w:val="proportionalschrift"/>
    <w:basedOn w:val="a"/>
    <w:pPr>
      <w:widowControl/>
      <w:spacing w:before="100" w:beforeAutospacing="1" w:after="100" w:afterAutospacing="1"/>
    </w:pPr>
    <w:rPr>
      <w:rFonts w:ascii="新細明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footnote text"/>
    <w:basedOn w:val="a"/>
    <w:semiHidden/>
    <w:pPr>
      <w:widowControl/>
      <w:snapToGrid w:val="0"/>
      <w:spacing w:afterLines="50" w:after="50" w:line="288" w:lineRule="auto"/>
      <w:jc w:val="both"/>
    </w:pPr>
    <w:rPr>
      <w:sz w:val="20"/>
      <w:szCs w:val="20"/>
    </w:rPr>
  </w:style>
  <w:style w:type="paragraph" w:styleId="Web">
    <w:name w:val="Normal (Web)"/>
    <w:basedOn w:val="a"/>
    <w:semiHidden/>
    <w:pPr>
      <w:widowControl/>
      <w:spacing w:before="100" w:beforeAutospacing="1" w:after="100" w:afterAutospacing="1"/>
    </w:pPr>
    <w:rPr>
      <w:rFonts w:ascii="Arial" w:hAnsi="Arial" w:cs="Arial"/>
      <w:kern w:val="0"/>
    </w:rPr>
  </w:style>
  <w:style w:type="paragraph" w:styleId="ab">
    <w:name w:val="Body Text Indent"/>
    <w:basedOn w:val="a"/>
    <w:semiHidden/>
    <w:pPr>
      <w:widowControl/>
      <w:spacing w:afterLines="50" w:after="180" w:line="288" w:lineRule="auto"/>
      <w:ind w:firstLineChars="200" w:firstLine="480"/>
      <w:jc w:val="both"/>
    </w:pPr>
    <w:rPr>
      <w:rFonts w:hAnsi="新細明體"/>
    </w:rPr>
  </w:style>
  <w:style w:type="paragraph" w:styleId="ac">
    <w:name w:val="Date"/>
    <w:basedOn w:val="a"/>
    <w:next w:val="a"/>
    <w:semiHidden/>
    <w:pPr>
      <w:jc w:val="right"/>
    </w:pPr>
  </w:style>
  <w:style w:type="character" w:customStyle="1" w:styleId="stext1">
    <w:name w:val="stext1"/>
    <w:basedOn w:val="a0"/>
    <w:rPr>
      <w:sz w:val="19"/>
      <w:szCs w:val="19"/>
    </w:rPr>
  </w:style>
  <w:style w:type="paragraph" w:styleId="2">
    <w:name w:val="Body Text Indent 2"/>
    <w:basedOn w:val="a"/>
    <w:semiHidden/>
    <w:pPr>
      <w:widowControl/>
      <w:spacing w:line="288" w:lineRule="auto"/>
      <w:ind w:leftChars="400" w:left="2160" w:hangingChars="500" w:hanging="1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11412</Words>
  <Characters>65055</Characters>
  <Application>Microsoft Office Word</Application>
  <DocSecurity>0</DocSecurity>
  <Lines>542</Lines>
  <Paragraphs>152</Paragraphs>
  <ScaleCrop>false</ScaleCrop>
  <Company/>
  <LinksUpToDate>false</LinksUpToDate>
  <CharactersWithSpaces>76315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Achim</dc:creator>
  <cp:keywords/>
  <dc:description/>
  <cp:lastModifiedBy>卓卿雲</cp:lastModifiedBy>
  <cp:revision>2</cp:revision>
  <cp:lastPrinted>2006-04-26T01:27:00Z</cp:lastPrinted>
  <dcterms:created xsi:type="dcterms:W3CDTF">2021-09-22T10:48:00Z</dcterms:created>
  <dcterms:modified xsi:type="dcterms:W3CDTF">2021-09-22T10:48:00Z</dcterms:modified>
</cp:coreProperties>
</file>