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D5" w:rsidRPr="001E4FD9" w:rsidRDefault="004F4520" w:rsidP="001E4FD9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4"/>
          <w:szCs w:val="3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111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年公務人員高等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考試三級考試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暨普通考試</w:t>
      </w:r>
      <w:r w:rsidR="00010EAB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航運行政、航海技術及輪機技術</w:t>
      </w:r>
      <w:r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類科錄取人員</w:t>
      </w:r>
      <w:r w:rsidR="002824BC" w:rsidRPr="001E4FD9">
        <w:rPr>
          <w:rFonts w:ascii="標楷體" w:eastAsia="標楷體" w:hAnsi="標楷體" w:cs="Times New Roman" w:hint="eastAsia"/>
          <w:b/>
          <w:bCs/>
          <w:color w:val="000000"/>
          <w:sz w:val="34"/>
          <w:szCs w:val="34"/>
        </w:rPr>
        <w:t>集中實務訓練計畫</w:t>
      </w:r>
    </w:p>
    <w:p w:rsidR="002824BC" w:rsidRPr="002824BC" w:rsidRDefault="00053C64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627E0D">
        <w:rPr>
          <w:rFonts w:ascii="標楷體" w:eastAsia="標楷體" w:hAnsi="標楷體" w:cs="Times New Roman" w:hint="eastAsia"/>
          <w:color w:val="000000"/>
          <w:szCs w:val="24"/>
        </w:rPr>
        <w:t>111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627E0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72F8B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D1BF3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日保訓會公訓字第</w:t>
      </w:r>
      <w:r w:rsidR="00627E0D">
        <w:rPr>
          <w:rFonts w:ascii="標楷體" w:eastAsia="標楷體" w:hAnsi="標楷體" w:cs="Times New Roman" w:hint="eastAsia"/>
          <w:color w:val="000000"/>
          <w:szCs w:val="24"/>
        </w:rPr>
        <w:t>1110011939</w:t>
      </w:r>
      <w:r w:rsidR="004D1BF3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853967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853967">
        <w:rPr>
          <w:rFonts w:ascii="標楷體" w:eastAsia="標楷體" w:hAnsi="標楷體" w:cs="Times New Roman" w:hint="eastAsia"/>
          <w:color w:val="000000"/>
          <w:sz w:val="32"/>
        </w:rPr>
        <w:t>111</w:t>
      </w:r>
      <w:r w:rsidR="00B0700C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公務人員高等</w:t>
      </w:r>
      <w:r w:rsidR="00D8024B" w:rsidRPr="00292FE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="00853967" w:rsidRPr="00853967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類科錄取人員於實務訓練期間充實專業法令與實務，強化並提升渠等專業服務素質，特訂定本計畫。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</w:t>
      </w:r>
      <w:r w:rsidR="0057690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F1727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</w:t>
      </w:r>
      <w:r w:rsidR="00444292">
        <w:rPr>
          <w:rFonts w:ascii="標楷體" w:eastAsia="標楷體" w:hAnsi="標楷體" w:cs="Times New Roman" w:hint="eastAsia"/>
          <w:color w:val="000000"/>
          <w:sz w:val="32"/>
        </w:rPr>
        <w:t>至交通部航港局</w:t>
      </w:r>
      <w:r w:rsidR="00444292" w:rsidRPr="00364ACE">
        <w:rPr>
          <w:rFonts w:ascii="標楷體" w:eastAsia="標楷體" w:hAnsi="標楷體" w:cs="Times New Roman" w:hint="eastAsia"/>
          <w:color w:val="000000"/>
          <w:sz w:val="32"/>
        </w:rPr>
        <w:t>(以下簡稱航港局)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現缺人員。另經分配</w:t>
      </w:r>
      <w:r w:rsidR="00444292">
        <w:rPr>
          <w:rFonts w:ascii="標楷體" w:eastAsia="標楷體" w:hAnsi="標楷體" w:cs="Times New Roman" w:hint="eastAsia"/>
          <w:color w:val="000000"/>
          <w:sz w:val="32"/>
        </w:rPr>
        <w:t>至航港局之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正額預估缺及增額錄取人員，依其分配報到實務訓練時程及人數，由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576902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4A1A00" w:rsidRPr="002824BC" w:rsidRDefault="004A1A00" w:rsidP="004A1A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441FF6">
        <w:rPr>
          <w:rFonts w:ascii="標楷體" w:eastAsia="標楷體" w:hAnsi="標楷體" w:cs="Times New Roman" w:hint="eastAsia"/>
          <w:color w:val="000000"/>
          <w:sz w:val="32"/>
        </w:rPr>
        <w:t>航港局(地址：臺北市大安區和平東路3段1巷1號，電話</w:t>
      </w:r>
      <w:r w:rsidR="008C000A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441FF6">
        <w:rPr>
          <w:rFonts w:ascii="標楷體" w:eastAsia="標楷體" w:hAnsi="標楷體" w:cs="Times New Roman" w:hint="eastAsia"/>
          <w:color w:val="000000"/>
          <w:sz w:val="32"/>
        </w:rPr>
        <w:t>02-89782900)。</w:t>
      </w:r>
    </w:p>
    <w:p w:rsidR="002824BC" w:rsidRPr="002824BC" w:rsidRDefault="005769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853"/>
        <w:gridCol w:w="1205"/>
        <w:gridCol w:w="1205"/>
      </w:tblGrid>
      <w:tr w:rsidR="003538F7" w:rsidRPr="002824BC" w:rsidTr="0011714F">
        <w:trPr>
          <w:cantSplit/>
          <w:trHeight w:hRule="exact" w:val="734"/>
          <w:tblHeader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576902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3538F7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CF2DF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CF2DF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合計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576902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訓練</w:t>
            </w:r>
            <w:r w:rsidR="003538F7"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導引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5454B1" w:rsidP="006B56E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開訓</w:t>
            </w:r>
            <w:r w:rsidR="006B56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3538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研習課程說明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航港業務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相關機關(構)簡介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5E5ED9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977FA2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FA2" w:rsidRPr="006A5111" w:rsidRDefault="00977FA2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航運政策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7FA2" w:rsidRPr="006A5111" w:rsidRDefault="00977FA2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全球海運發展趨勢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A2" w:rsidRPr="006A5111" w:rsidRDefault="00977FA2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977FA2" w:rsidRPr="006A5111" w:rsidRDefault="00977FA2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7</w:t>
            </w:r>
          </w:p>
        </w:tc>
      </w:tr>
      <w:tr w:rsidR="009F0A3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船舶發展趨勢及政策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5E5ED9" w:rsidRDefault="009F0A3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5E5ED9" w:rsidRDefault="009F0A3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9F0A3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F0A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淺談航運政策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6A5111" w:rsidRDefault="009F0A3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5E5ED9" w:rsidRDefault="009F0A3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lastRenderedPageBreak/>
              <w:t>航港法規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航業管理概要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船舶管理概要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船員管理概要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ind w:leftChars="41" w:left="227" w:rightChars="100" w:right="240" w:hangingChars="22" w:hanging="129"/>
              <w:rPr>
                <w:rFonts w:ascii="標楷體" w:eastAsia="標楷體" w:hAnsi="標楷體" w:cs="Times New Roman"/>
                <w:color w:val="000000" w:themeColor="text1"/>
                <w:spacing w:val="133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116CE8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國際海事公約</w:t>
            </w:r>
            <w:r w:rsidR="00DC18E5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概論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海事安全管理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國際船舶及港口設施保全(ISPS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FB565E" w:rsidRDefault="003538F7" w:rsidP="00FB565E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B565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航港單一窗口服務平臺及</w:t>
            </w:r>
            <w:r w:rsidRPr="006A5111">
              <w:rPr>
                <w:rFonts w:eastAsia="標楷體"/>
                <w:color w:val="000000" w:themeColor="text1"/>
                <w:sz w:val="32"/>
                <w:szCs w:val="32"/>
              </w:rPr>
              <w:t>共用資料庫</w:t>
            </w: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簡介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(MTNet簡介)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5E7A50" w:rsidP="005E7A50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「基隆港港區導覽」參訪行程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766169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5E5ED9" w:rsidRDefault="00766169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</w:tr>
      <w:tr w:rsidR="00116CE8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CE8" w:rsidRPr="006A5111" w:rsidRDefault="00116CE8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培育英語能力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6CE8" w:rsidRPr="00157BE8" w:rsidRDefault="00977FA2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職場專業英語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8" w:rsidRPr="005E5ED9" w:rsidRDefault="00116CE8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6CE8" w:rsidRPr="005E5ED9" w:rsidRDefault="00116CE8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AE2CF7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測驗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5E5ED9" w:rsidRDefault="003538F7" w:rsidP="005E5ED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5E5ED9" w:rsidRDefault="003538F7" w:rsidP="00AE2CF7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5E5ED9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487931" w:rsidRPr="002824BC" w:rsidTr="005E5ED9">
        <w:trPr>
          <w:cantSplit/>
          <w:trHeight w:val="510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結訓(不採計課程時數)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87931" w:rsidRPr="00487931" w:rsidRDefault="00487931" w:rsidP="00487931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5~10分鐘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716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left="100" w:right="100" w:firstLine="22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38F7" w:rsidRPr="00157BE8" w:rsidRDefault="00766169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31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57690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576902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訓練</w:t>
      </w:r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期程：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本訓練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預定於1</w:t>
      </w:r>
      <w:r w:rsidR="00116CE8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2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年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2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月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13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日至</w:t>
      </w:r>
      <w:r w:rsidR="00F048E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17</w:t>
      </w:r>
      <w:r w:rsid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F048E9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C05264" w:rsidRPr="00D31B2A">
        <w:rPr>
          <w:rFonts w:ascii="標楷體" w:eastAsia="標楷體" w:hAnsi="標楷體" w:cs="Times New Roman" w:hint="eastAsia"/>
          <w:color w:val="000000"/>
          <w:sz w:val="32"/>
        </w:rPr>
        <w:t>膳宿安排：</w:t>
      </w:r>
      <w:r w:rsidR="00722C11">
        <w:rPr>
          <w:rFonts w:ascii="標楷體" w:eastAsia="標楷體" w:hAnsi="標楷體" w:cs="Times New Roman" w:hint="eastAsia"/>
          <w:color w:val="000000"/>
          <w:sz w:val="32"/>
        </w:rPr>
        <w:t>採密集訓練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方式辦理，提供中餐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住宿部分依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「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國內出差旅費報支要點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」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規定辦理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）。</w:t>
      </w:r>
      <w:r w:rsidR="00F048E9" w:rsidRPr="00F048E9">
        <w:rPr>
          <w:rFonts w:ascii="標楷體" w:eastAsia="標楷體" w:hAnsi="標楷體" w:cs="Times New Roman" w:hint="eastAsia"/>
          <w:color w:val="000000"/>
          <w:sz w:val="32"/>
        </w:rPr>
        <w:t>另得應特殊情事或視實際需要，調整為線上遠距學習方式辦理。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測驗考核：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受訓人員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訓練期間之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學習情形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及測驗成績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，作為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航港局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實務訓練成績考核之參據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Default="00E122FB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意見調查：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487931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982384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</w:t>
      </w:r>
      <w:r w:rsidR="00722C11">
        <w:rPr>
          <w:rFonts w:ascii="標楷體" w:eastAsia="標楷體" w:hAnsi="標楷體" w:cs="Times New Roman" w:hint="eastAsia"/>
          <w:color w:val="000000"/>
          <w:sz w:val="32"/>
          <w:szCs w:val="32"/>
        </w:rPr>
        <w:t>受訓人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</w:t>
      </w:r>
      <w:r w:rsidR="007235D8" w:rsidRPr="006A3D14">
        <w:rPr>
          <w:rFonts w:ascii="標楷體" w:eastAsia="標楷體" w:hAnsi="標楷體" w:cs="Times New Roman" w:hint="eastAsia"/>
          <w:color w:val="000000"/>
          <w:sz w:val="32"/>
          <w:szCs w:val="32"/>
        </w:rPr>
        <w:t>映</w:t>
      </w:r>
      <w:r w:rsidR="00722C11">
        <w:rPr>
          <w:rFonts w:ascii="標楷體" w:eastAsia="標楷體" w:hAnsi="標楷體" w:cs="Times New Roman" w:hint="eastAsia"/>
          <w:color w:val="000000"/>
          <w:sz w:val="32"/>
          <w:szCs w:val="32"/>
        </w:rPr>
        <w:t>意見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F85C27" w:rsidRPr="002824BC" w:rsidRDefault="00F85C27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9B3106"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9B3106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737218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87C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Pr="00D21616" w:rsidRDefault="002824BC" w:rsidP="00D21616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Pr="00D95B5E" w:rsidRDefault="008C781E" w:rsidP="008C781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95B5E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F2FB" wp14:editId="1B8F5290">
                <wp:simplePos x="0" y="0"/>
                <wp:positionH relativeFrom="column">
                  <wp:posOffset>5633085</wp:posOffset>
                </wp:positionH>
                <wp:positionV relativeFrom="paragraph">
                  <wp:posOffset>-327660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8687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17006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8EDF2F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3.55pt;margin-top:-25.8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rS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" filled="f" stroked="f">
                <v:textbox>
                  <w:txbxContent>
                    <w:p w:rsidR="00517006" w:rsidRPr="00A236AF" w:rsidRDefault="0058687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17006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22C11" w:rsidRPr="00D95B5E">
        <w:rPr>
          <w:rFonts w:ascii="標楷體" w:eastAsia="標楷體" w:hAnsi="標楷體" w:cs="Times New Roman" w:hint="eastAsia"/>
          <w:b/>
          <w:noProof/>
          <w:sz w:val="32"/>
          <w:szCs w:val="32"/>
        </w:rPr>
        <w:t>111</w:t>
      </w:r>
      <w:r w:rsidR="00B0700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</w:t>
      </w:r>
      <w:r w:rsidR="002824B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公務人員高等</w:t>
      </w:r>
      <w:r w:rsidR="0058687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考試三級考試</w:t>
      </w:r>
      <w:r w:rsidR="002824BC" w:rsidRPr="00D95B5E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暨普通考試錄取人員</w:t>
      </w:r>
      <w:r w:rsidR="0058687C" w:rsidRPr="00D95B5E">
        <w:rPr>
          <w:rFonts w:ascii="標楷體" w:eastAsia="標楷體" w:hAnsi="標楷體" w:cs="Times New Roman" w:hint="eastAsia"/>
          <w:b/>
          <w:sz w:val="32"/>
          <w:szCs w:val="32"/>
        </w:rPr>
        <w:t>航運行政、航海技術及輪機技術</w:t>
      </w:r>
      <w:r w:rsidR="00722C11" w:rsidRPr="00D95B5E">
        <w:rPr>
          <w:rFonts w:ascii="標楷體" w:eastAsia="標楷體" w:hAnsi="標楷體" w:cs="Times New Roman" w:hint="eastAsia"/>
          <w:b/>
          <w:sz w:val="32"/>
          <w:szCs w:val="32"/>
        </w:rPr>
        <w:t>類科</w:t>
      </w:r>
      <w:r w:rsidR="00406BCB" w:rsidRPr="006A3D14">
        <w:rPr>
          <w:rFonts w:ascii="標楷體" w:eastAsia="標楷體" w:hAnsi="標楷體" w:cs="Times New Roman" w:hint="eastAsia"/>
          <w:b/>
          <w:sz w:val="32"/>
          <w:szCs w:val="32"/>
        </w:rPr>
        <w:t>錄取人員集中</w:t>
      </w:r>
      <w:r w:rsidR="00722C11" w:rsidRPr="00D95B5E">
        <w:rPr>
          <w:rFonts w:ascii="標楷體" w:eastAsia="標楷體" w:hAnsi="標楷體" w:cs="Times New Roman" w:hint="eastAsia"/>
          <w:b/>
          <w:sz w:val="32"/>
          <w:szCs w:val="32"/>
        </w:rPr>
        <w:t>實務訓練</w:t>
      </w:r>
      <w:r w:rsidR="002824BC" w:rsidRPr="00D95B5E">
        <w:rPr>
          <w:rFonts w:ascii="標楷體" w:eastAsia="標楷體" w:hAnsi="標楷體" w:cs="Times New Roman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13F05" w:rsidRPr="002824BC" w:rsidTr="008A4A10">
        <w:trPr>
          <w:trHeight w:val="2485"/>
        </w:trPr>
        <w:tc>
          <w:tcPr>
            <w:tcW w:w="9540" w:type="dxa"/>
          </w:tcPr>
          <w:p w:rsidR="00913F05" w:rsidRPr="002824BC" w:rsidRDefault="00722C11" w:rsidP="008A4A1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親愛的受訓人員</w:t>
            </w:r>
            <w:r w:rsidR="00913F05" w:rsidRPr="002824BC">
              <w:rPr>
                <w:rFonts w:ascii="標楷體" w:eastAsia="標楷體" w:hAnsi="標楷體" w:cs="Times New Roman" w:hint="eastAsia"/>
              </w:rPr>
              <w:t>，您好！</w:t>
            </w:r>
          </w:p>
          <w:p w:rsidR="005C4624" w:rsidRDefault="005C4624" w:rsidP="00406BCB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依</w:t>
            </w:r>
            <w:r w:rsidR="00722C11">
              <w:rPr>
                <w:rFonts w:ascii="標楷體" w:eastAsia="標楷體" w:hAnsi="標楷體" w:cs="Times New Roman" w:hint="eastAsia"/>
              </w:rPr>
              <w:t>111</w:t>
            </w:r>
            <w:r w:rsidRPr="005C4624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年公務人員高等暨普通考試（以下簡稱高普考）錄取人員訓練計畫規定，為增進考試錄取人員所需工作知能，保訓會得依公務人員考試錄取人員訓練辦法第 6 條規定，於實務訓練期間按錄取等級、類科，實施集中訓練，並由保訓會委託相關機關辦理。</w:t>
            </w:r>
          </w:p>
          <w:p w:rsidR="005C4624" w:rsidRPr="005C4624" w:rsidRDefault="005C4624" w:rsidP="00406BCB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5C4624">
              <w:rPr>
                <w:rFonts w:ascii="標楷體" w:eastAsia="標楷體" w:hAnsi="標楷體" w:cs="Times New Roman" w:hint="eastAsia"/>
              </w:rPr>
              <w:t>為瞭解您對於</w:t>
            </w:r>
            <w:r w:rsidR="00722C11">
              <w:rPr>
                <w:rFonts w:ascii="標楷體" w:eastAsia="標楷體" w:hAnsi="標楷體" w:cs="Times New Roman" w:hint="eastAsia"/>
              </w:rPr>
              <w:t>111</w:t>
            </w:r>
            <w:r w:rsidRPr="005C4624">
              <w:rPr>
                <w:rFonts w:ascii="標楷體" w:eastAsia="標楷體" w:hAnsi="標楷體" w:cs="Times New Roman" w:hint="eastAsia"/>
              </w:rPr>
              <w:t>年高普考錄取人員集中實務訓練（以下稱本訓練）課程安排及實施情形等意見，請撥冗逐題</w:t>
            </w:r>
            <w:r w:rsidR="00722C11">
              <w:rPr>
                <w:rFonts w:ascii="標楷體" w:eastAsia="標楷體" w:hAnsi="標楷體" w:cs="Times New Roman" w:hint="eastAsia"/>
              </w:rPr>
              <w:t>填答，本調查表採不具名方式，請安心填寫，填畢</w:t>
            </w:r>
            <w:bookmarkStart w:id="0" w:name="_GoBack"/>
            <w:bookmarkEnd w:id="0"/>
            <w:r w:rsidR="00722C11">
              <w:rPr>
                <w:rFonts w:ascii="標楷體" w:eastAsia="標楷體" w:hAnsi="標楷體" w:cs="Times New Roman" w:hint="eastAsia"/>
              </w:rPr>
              <w:t>後轉交訓練機關</w:t>
            </w:r>
            <w:r w:rsidR="00406BCB" w:rsidRPr="006A3D14">
              <w:rPr>
                <w:rFonts w:ascii="標楷體" w:eastAsia="標楷體" w:hAnsi="標楷體" w:cs="Times New Roman" w:hint="eastAsia"/>
              </w:rPr>
              <w:t>(構)</w:t>
            </w:r>
            <w:r w:rsidRPr="005C4624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:rsidR="00913F05" w:rsidRPr="002824BC" w:rsidRDefault="005C4624" w:rsidP="005C4624">
            <w:pPr>
              <w:spacing w:before="50" w:after="100" w:line="240" w:lineRule="exact"/>
              <w:ind w:leftChars="299" w:left="958" w:right="480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913F05"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13F05" w:rsidTr="008A4A10">
        <w:trPr>
          <w:trHeight w:val="1472"/>
        </w:trPr>
        <w:tc>
          <w:tcPr>
            <w:tcW w:w="7162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9547" w:type="dxa"/>
            <w:gridSpan w:val="6"/>
            <w:vAlign w:val="center"/>
          </w:tcPr>
          <w:p w:rsidR="00913F05" w:rsidRPr="002252B1" w:rsidRDefault="00913F05" w:rsidP="008A4A1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13F05" w:rsidRPr="002824BC" w:rsidRDefault="00913F05" w:rsidP="00913F0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13F05" w:rsidRPr="002824BC" w:rsidRDefault="00ED6FAF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913F05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913F05" w:rsidRPr="00ED6FAF" w:rsidRDefault="00913F05" w:rsidP="00ED6FAF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13F05" w:rsidRPr="002824BC" w:rsidRDefault="00ED6FAF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913F05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913F05" w:rsidRPr="00B0700C" w:rsidRDefault="00323652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700C">
        <w:rPr>
          <w:rFonts w:ascii="標楷體" w:eastAsia="標楷體" w:hAnsi="標楷體" w:cs="Times New Roman" w:hint="eastAsia"/>
          <w:sz w:val="28"/>
        </w:rPr>
        <w:t>1.</w:t>
      </w:r>
      <w:r w:rsidR="00913F05" w:rsidRPr="00B0700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42736" wp14:editId="62B0F92A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05" w:rsidRDefault="00913F05" w:rsidP="00913F0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942736" id="文字方塊 1" o:spid="_x0000_s1027" type="#_x0000_t202" style="position:absolute;left:0;text-align:left;margin-left:66.05pt;margin-top:12.2pt;width:365.5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913F05" w:rsidRDefault="00913F05" w:rsidP="00913F0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913F05" w:rsidRPr="00B0700C">
        <w:rPr>
          <w:rFonts w:ascii="標楷體" w:eastAsia="標楷體" w:hAnsi="標楷體" w:cs="Times New Roman" w:hint="eastAsia"/>
          <w:sz w:val="28"/>
        </w:rPr>
        <w:t>□</w:t>
      </w:r>
      <w:r w:rsidR="002A201D" w:rsidRPr="00B0700C">
        <w:rPr>
          <w:rFonts w:ascii="標楷體" w:eastAsia="標楷體" w:hAnsi="標楷體" w:cs="Times New Roman" w:hint="eastAsia"/>
          <w:sz w:val="28"/>
        </w:rPr>
        <w:t>交通部航港局</w:t>
      </w:r>
      <w:r w:rsidRPr="00B0700C">
        <w:rPr>
          <w:rFonts w:ascii="標楷體" w:eastAsia="標楷體" w:hAnsi="標楷體" w:cs="Times New Roman" w:hint="eastAsia"/>
          <w:sz w:val="28"/>
        </w:rPr>
        <w:t xml:space="preserve"> 2.□交通部航港局以外機關</w:t>
      </w:r>
    </w:p>
    <w:sectPr w:rsidR="00913F05" w:rsidRPr="00B0700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CF" w:rsidRDefault="004440CF" w:rsidP="008E096D">
      <w:r>
        <w:separator/>
      </w:r>
    </w:p>
  </w:endnote>
  <w:endnote w:type="continuationSeparator" w:id="0">
    <w:p w:rsidR="004440CF" w:rsidRDefault="004440CF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CF" w:rsidRDefault="004440CF" w:rsidP="008E096D">
      <w:r>
        <w:separator/>
      </w:r>
    </w:p>
  </w:footnote>
  <w:footnote w:type="continuationSeparator" w:id="0">
    <w:p w:rsidR="004440CF" w:rsidRDefault="004440CF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068C"/>
    <w:rsid w:val="00010EAB"/>
    <w:rsid w:val="00016772"/>
    <w:rsid w:val="000219C7"/>
    <w:rsid w:val="00022354"/>
    <w:rsid w:val="0003742E"/>
    <w:rsid w:val="000423B0"/>
    <w:rsid w:val="0005340F"/>
    <w:rsid w:val="00053C64"/>
    <w:rsid w:val="00074309"/>
    <w:rsid w:val="000B0394"/>
    <w:rsid w:val="000B2AC2"/>
    <w:rsid w:val="000E08F3"/>
    <w:rsid w:val="00116CE8"/>
    <w:rsid w:val="00154EE5"/>
    <w:rsid w:val="00157BE8"/>
    <w:rsid w:val="00182032"/>
    <w:rsid w:val="00194DD5"/>
    <w:rsid w:val="001E4FD9"/>
    <w:rsid w:val="001E5BA7"/>
    <w:rsid w:val="001F0B1B"/>
    <w:rsid w:val="0020239F"/>
    <w:rsid w:val="002079B9"/>
    <w:rsid w:val="00214261"/>
    <w:rsid w:val="00220233"/>
    <w:rsid w:val="002252B1"/>
    <w:rsid w:val="00242A96"/>
    <w:rsid w:val="002714F4"/>
    <w:rsid w:val="002824BC"/>
    <w:rsid w:val="0028663C"/>
    <w:rsid w:val="002A201D"/>
    <w:rsid w:val="002F75BF"/>
    <w:rsid w:val="003154D3"/>
    <w:rsid w:val="00323652"/>
    <w:rsid w:val="003538F7"/>
    <w:rsid w:val="003655DD"/>
    <w:rsid w:val="003D23DA"/>
    <w:rsid w:val="00406BCB"/>
    <w:rsid w:val="004440CF"/>
    <w:rsid w:val="00444292"/>
    <w:rsid w:val="00477B4F"/>
    <w:rsid w:val="00487931"/>
    <w:rsid w:val="004A1A00"/>
    <w:rsid w:val="004D1BF3"/>
    <w:rsid w:val="004D3413"/>
    <w:rsid w:val="004F4520"/>
    <w:rsid w:val="00517006"/>
    <w:rsid w:val="00517C96"/>
    <w:rsid w:val="00532759"/>
    <w:rsid w:val="005442AD"/>
    <w:rsid w:val="005454B1"/>
    <w:rsid w:val="00547A88"/>
    <w:rsid w:val="0057079D"/>
    <w:rsid w:val="00576902"/>
    <w:rsid w:val="0058372D"/>
    <w:rsid w:val="005848CF"/>
    <w:rsid w:val="0058687C"/>
    <w:rsid w:val="005C12F7"/>
    <w:rsid w:val="005C4624"/>
    <w:rsid w:val="005E5ED9"/>
    <w:rsid w:val="005E7A50"/>
    <w:rsid w:val="005F1E0F"/>
    <w:rsid w:val="00627E0D"/>
    <w:rsid w:val="00694FB5"/>
    <w:rsid w:val="006A3D14"/>
    <w:rsid w:val="006A3F94"/>
    <w:rsid w:val="006B17DA"/>
    <w:rsid w:val="006B56E4"/>
    <w:rsid w:val="006B761A"/>
    <w:rsid w:val="00722C11"/>
    <w:rsid w:val="007235D8"/>
    <w:rsid w:val="0073151B"/>
    <w:rsid w:val="00737218"/>
    <w:rsid w:val="007423AE"/>
    <w:rsid w:val="00766169"/>
    <w:rsid w:val="00767A38"/>
    <w:rsid w:val="0077074B"/>
    <w:rsid w:val="007A46F3"/>
    <w:rsid w:val="007B1A8F"/>
    <w:rsid w:val="007E6230"/>
    <w:rsid w:val="007F1727"/>
    <w:rsid w:val="00853967"/>
    <w:rsid w:val="008C000A"/>
    <w:rsid w:val="008C2740"/>
    <w:rsid w:val="008C781E"/>
    <w:rsid w:val="008E096D"/>
    <w:rsid w:val="008F67A8"/>
    <w:rsid w:val="00901B55"/>
    <w:rsid w:val="00911BD8"/>
    <w:rsid w:val="00913F05"/>
    <w:rsid w:val="009474B6"/>
    <w:rsid w:val="00972F8B"/>
    <w:rsid w:val="00977FA2"/>
    <w:rsid w:val="00994A0F"/>
    <w:rsid w:val="00996526"/>
    <w:rsid w:val="009B2B37"/>
    <w:rsid w:val="009B3106"/>
    <w:rsid w:val="009F0A37"/>
    <w:rsid w:val="00A003D3"/>
    <w:rsid w:val="00A31443"/>
    <w:rsid w:val="00A515C8"/>
    <w:rsid w:val="00A56E16"/>
    <w:rsid w:val="00AE2CF7"/>
    <w:rsid w:val="00AE7D9A"/>
    <w:rsid w:val="00AF5A57"/>
    <w:rsid w:val="00B00CC0"/>
    <w:rsid w:val="00B04E3D"/>
    <w:rsid w:val="00B0700C"/>
    <w:rsid w:val="00B63B33"/>
    <w:rsid w:val="00B8484F"/>
    <w:rsid w:val="00BB077B"/>
    <w:rsid w:val="00BD0912"/>
    <w:rsid w:val="00BE71C4"/>
    <w:rsid w:val="00C05264"/>
    <w:rsid w:val="00C1374D"/>
    <w:rsid w:val="00C760FB"/>
    <w:rsid w:val="00C805DC"/>
    <w:rsid w:val="00C863A7"/>
    <w:rsid w:val="00CB4BED"/>
    <w:rsid w:val="00CF2DF5"/>
    <w:rsid w:val="00D21616"/>
    <w:rsid w:val="00D35168"/>
    <w:rsid w:val="00D8024B"/>
    <w:rsid w:val="00D95B5E"/>
    <w:rsid w:val="00D96EAB"/>
    <w:rsid w:val="00DC18E5"/>
    <w:rsid w:val="00E001DB"/>
    <w:rsid w:val="00E122FB"/>
    <w:rsid w:val="00E210A9"/>
    <w:rsid w:val="00E31253"/>
    <w:rsid w:val="00E82302"/>
    <w:rsid w:val="00E9713B"/>
    <w:rsid w:val="00EB1A68"/>
    <w:rsid w:val="00ED3D6F"/>
    <w:rsid w:val="00ED6FAF"/>
    <w:rsid w:val="00EE079F"/>
    <w:rsid w:val="00EE113B"/>
    <w:rsid w:val="00EE470C"/>
    <w:rsid w:val="00F02AF7"/>
    <w:rsid w:val="00F048E9"/>
    <w:rsid w:val="00F55905"/>
    <w:rsid w:val="00F8190A"/>
    <w:rsid w:val="00F85C27"/>
    <w:rsid w:val="00FA190F"/>
    <w:rsid w:val="00FA2D99"/>
    <w:rsid w:val="00FB565E"/>
    <w:rsid w:val="00FC48E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CBC0C9-0601-4926-8757-D46FC5D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陳龍智</cp:lastModifiedBy>
  <cp:revision>13</cp:revision>
  <cp:lastPrinted>2022-10-03T06:32:00Z</cp:lastPrinted>
  <dcterms:created xsi:type="dcterms:W3CDTF">2022-10-03T06:12:00Z</dcterms:created>
  <dcterms:modified xsi:type="dcterms:W3CDTF">2022-10-04T05:43:00Z</dcterms:modified>
</cp:coreProperties>
</file>