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line="820" w:lineRule="exact" w:before="0"/>
        <w:ind w:left="1255" w:right="1371" w:firstLine="0"/>
        <w:jc w:val="center"/>
        <w:rPr>
          <w:rFonts w:ascii="Adobe 繁黑體 Std B" w:eastAsia="Adobe 繁黑體 Std B" w:hint="eastAsia"/>
          <w:b/>
          <w:sz w:val="60"/>
        </w:rPr>
      </w:pPr>
      <w:r>
        <w:rPr>
          <w:rFonts w:ascii="Times New Roman" w:eastAsia="Times New Roman"/>
          <w:b/>
          <w:sz w:val="60"/>
        </w:rPr>
        <w:t>104</w:t>
      </w:r>
      <w:r>
        <w:rPr>
          <w:rFonts w:ascii="Adobe 繁黑體 Std B" w:eastAsia="Adobe 繁黑體 Std B" w:hint="eastAsia"/>
          <w:b/>
          <w:sz w:val="60"/>
        </w:rPr>
        <w:t>年度</w:t>
      </w:r>
    </w:p>
    <w:p>
      <w:pPr>
        <w:pStyle w:val="Title"/>
        <w:rPr>
          <w:b/>
        </w:rPr>
      </w:pPr>
      <w:r>
        <w:rPr>
          <w:b/>
        </w:rPr>
        <w:t>公務人員保障業務輔導活動</w:t>
      </w:r>
    </w:p>
    <w:p>
      <w:pPr>
        <w:pStyle w:val="BodyText"/>
        <w:spacing w:before="5"/>
        <w:rPr>
          <w:rFonts w:ascii="Adobe 繁黑體 Std B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1595119</wp:posOffset>
            </wp:positionH>
            <wp:positionV relativeFrom="paragraph">
              <wp:posOffset>293497</wp:posOffset>
            </wp:positionV>
            <wp:extent cx="4367303" cy="4402836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303" cy="4402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Adobe 繁黑體 Std B"/>
          <w:b/>
          <w:sz w:val="48"/>
        </w:rPr>
      </w:pPr>
    </w:p>
    <w:p>
      <w:pPr>
        <w:spacing w:line="213" w:lineRule="auto" w:before="0"/>
        <w:ind w:left="1990" w:right="2110" w:firstLine="0"/>
        <w:jc w:val="center"/>
        <w:rPr>
          <w:rFonts w:ascii="Adobe 繁黑體 Std B" w:eastAsia="Adobe 繁黑體 Std B" w:hint="eastAsia"/>
          <w:b/>
          <w:sz w:val="48"/>
        </w:rPr>
      </w:pPr>
      <w:r>
        <w:rPr>
          <w:rFonts w:ascii="Adobe 繁黑體 Std B" w:eastAsia="Adobe 繁黑體 Std B" w:hint="eastAsia"/>
          <w:b/>
          <w:sz w:val="48"/>
        </w:rPr>
        <w:t>公務人員保障暨培訓委員會民國</w:t>
      </w:r>
      <w:r>
        <w:rPr>
          <w:rFonts w:ascii="Times New Roman" w:eastAsia="Times New Roman"/>
          <w:b/>
          <w:sz w:val="48"/>
        </w:rPr>
        <w:t>104</w:t>
      </w:r>
      <w:r>
        <w:rPr>
          <w:rFonts w:ascii="Adobe 繁黑體 Std B" w:eastAsia="Adobe 繁黑體 Std B" w:hint="eastAsia"/>
          <w:b/>
          <w:sz w:val="48"/>
        </w:rPr>
        <w:t>年</w:t>
      </w:r>
      <w:r>
        <w:rPr>
          <w:rFonts w:ascii="Times New Roman" w:eastAsia="Times New Roman"/>
          <w:b/>
          <w:sz w:val="48"/>
        </w:rPr>
        <w:t>3</w:t>
      </w:r>
      <w:r>
        <w:rPr>
          <w:rFonts w:ascii="Adobe 繁黑體 Std B" w:eastAsia="Adobe 繁黑體 Std B" w:hint="eastAsia"/>
          <w:b/>
          <w:sz w:val="48"/>
        </w:rPr>
        <w:t>月編印</w:t>
      </w:r>
    </w:p>
    <w:p>
      <w:pPr>
        <w:spacing w:after="0" w:line="213" w:lineRule="auto"/>
        <w:jc w:val="center"/>
        <w:rPr>
          <w:rFonts w:ascii="Adobe 繁黑體 Std B" w:eastAsia="Adobe 繁黑體 Std B" w:hint="eastAsia"/>
          <w:sz w:val="48"/>
        </w:rPr>
        <w:sectPr>
          <w:type w:val="continuous"/>
          <w:pgSz w:w="11910" w:h="16840"/>
          <w:pgMar w:top="1580" w:bottom="280" w:left="1080" w:right="960"/>
        </w:sect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spacing w:before="7"/>
        <w:rPr>
          <w:rFonts w:ascii="Adobe 繁黑體 Std B"/>
          <w:b/>
          <w:sz w:val="22"/>
        </w:rPr>
      </w:pPr>
    </w:p>
    <w:p>
      <w:pPr>
        <w:spacing w:before="90"/>
        <w:ind w:left="0" w:right="65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2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top="1580" w:bottom="280" w:left="1080" w:right="960"/>
        </w:sectPr>
      </w:pPr>
    </w:p>
    <w:p>
      <w:pPr>
        <w:spacing w:line="521" w:lineRule="exact" w:before="0"/>
        <w:ind w:left="1255" w:right="1373" w:firstLine="0"/>
        <w:jc w:val="center"/>
        <w:rPr>
          <w:rFonts w:ascii="Adobe 繁黑體 Std B" w:eastAsia="Adobe 繁黑體 Std B" w:hint="eastAsia"/>
          <w:b/>
          <w:sz w:val="36"/>
        </w:rPr>
      </w:pPr>
      <w:r>
        <w:rPr>
          <w:rFonts w:ascii="Adobe 繁黑體 Std B" w:eastAsia="Adobe 繁黑體 Std B" w:hint="eastAsia"/>
          <w:b/>
          <w:sz w:val="36"/>
        </w:rPr>
        <w:t>保障事件撤銷案例類型</w:t>
      </w:r>
    </w:p>
    <w:p>
      <w:pPr>
        <w:spacing w:after="0" w:line="521" w:lineRule="exact"/>
        <w:jc w:val="center"/>
        <w:rPr>
          <w:rFonts w:ascii="Adobe 繁黑體 Std B" w:eastAsia="Adobe 繁黑體 Std B" w:hint="eastAsia"/>
          <w:sz w:val="36"/>
        </w:rPr>
        <w:sectPr>
          <w:footerReference w:type="default" r:id="rId6"/>
          <w:pgSz w:w="11910" w:h="16840"/>
          <w:pgMar w:footer="731" w:header="0" w:top="1060" w:bottom="1307" w:left="1080" w:right="960"/>
          <w:pgNumType w:start="1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65" w:val="left" w:leader="dot"/>
            </w:tabs>
          </w:pPr>
          <w:hyperlink w:history="true" w:anchor="_bookmark0">
            <w:r>
              <w:rPr/>
              <w:t>壹、再申訴事件</w:t>
            </w:r>
            <w:r>
              <w:rPr>
                <w:rFonts w:ascii="Times New Roman" w:eastAsia="Times New Roman"/>
              </w:rPr>
              <w:tab/>
            </w:r>
            <w:r>
              <w:rPr/>
              <w:t>1</w:t>
            </w:r>
          </w:hyperlink>
        </w:p>
        <w:p>
          <w:pPr>
            <w:pStyle w:val="TOC2"/>
            <w:tabs>
              <w:tab w:pos="9465" w:val="left" w:leader="dot"/>
            </w:tabs>
            <w:spacing w:before="63"/>
            <w:rPr>
              <w:rFonts w:ascii="Times New Roman" w:eastAsia="Times New Roman"/>
            </w:rPr>
          </w:pPr>
          <w:hyperlink w:history="true" w:anchor="_bookmark1">
            <w:r>
              <w:rPr/>
              <w:t>（壹）程序事項</w:t>
            </w:r>
            <w:r>
              <w:rPr>
                <w:rFonts w:ascii="Times New Roman" w:eastAsia="Times New Roman"/>
              </w:rPr>
              <w:tab/>
              <w:t>1</w:t>
            </w:r>
          </w:hyperlink>
        </w:p>
        <w:p>
          <w:pPr>
            <w:pStyle w:val="TOC3"/>
            <w:tabs>
              <w:tab w:pos="9465" w:val="left" w:leader="dot"/>
            </w:tabs>
            <w:spacing w:before="52"/>
            <w:rPr>
              <w:rFonts w:ascii="Times New Roman" w:eastAsia="Times New Roman"/>
            </w:rPr>
          </w:pPr>
          <w:hyperlink w:history="true" w:anchor="_bookmark2">
            <w:r>
              <w:rPr/>
              <w:t>一、考績事件及懲處事件</w:t>
            </w:r>
            <w:r>
              <w:rPr>
                <w:rFonts w:ascii="Times New Roman" w:eastAsia="Times New Roman"/>
              </w:rPr>
              <w:tab/>
              <w:t>1</w:t>
            </w:r>
          </w:hyperlink>
        </w:p>
        <w:p>
          <w:pPr>
            <w:pStyle w:val="TOC4"/>
            <w:tabs>
              <w:tab w:pos="9465" w:val="left" w:leader="dot"/>
            </w:tabs>
            <w:spacing w:before="54"/>
            <w:rPr>
              <w:rFonts w:ascii="Times New Roman" w:eastAsia="Times New Roman"/>
            </w:rPr>
          </w:pPr>
          <w:hyperlink w:history="true" w:anchor="_bookmark3">
            <w:r>
              <w:rPr/>
              <w:t>（一）欠缺管轄權限</w:t>
            </w:r>
            <w:r>
              <w:rPr>
                <w:rFonts w:ascii="Times New Roman" w:eastAsia="Times New Roman"/>
              </w:rPr>
              <w:tab/>
              <w:t>1</w:t>
            </w:r>
          </w:hyperlink>
        </w:p>
        <w:p>
          <w:pPr>
            <w:pStyle w:val="TOC5"/>
            <w:tabs>
              <w:tab w:pos="9465" w:val="left" w:leader="dot"/>
            </w:tabs>
            <w:spacing w:line="268" w:lineRule="auto" w:before="52"/>
            <w:ind w:left="3800" w:right="239" w:hanging="1218"/>
            <w:rPr>
              <w:rFonts w:ascii="Times New Roman" w:eastAsia="Times New Roman"/>
            </w:rPr>
          </w:pPr>
          <w:hyperlink w:history="true" w:anchor="_bookmark4">
            <w:r>
              <w:rPr>
                <w:w w:val="95"/>
              </w:rPr>
              <w:t>案例</w:t>
            </w:r>
            <w:r>
              <w:rPr>
                <w:spacing w:val="86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1</w:t>
            </w:r>
            <w:r>
              <w:rPr>
                <w:w w:val="95"/>
              </w:rPr>
              <w:t>、各機關內部單位並無受理申訴及為申訴函</w:t>
            </w:r>
          </w:hyperlink>
          <w:hyperlink w:history="true" w:anchor="_bookmark4">
            <w:r>
              <w:rPr/>
              <w:t>復之權責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Times New Roman" w:eastAsia="Times New Roman"/>
                <w:spacing w:val="-3"/>
              </w:rPr>
              <w:t>1</w:t>
            </w:r>
          </w:hyperlink>
        </w:p>
        <w:p>
          <w:pPr>
            <w:pStyle w:val="TOC5"/>
            <w:tabs>
              <w:tab w:pos="9465" w:val="left" w:leader="dot"/>
            </w:tabs>
            <w:spacing w:line="446" w:lineRule="exact"/>
            <w:rPr>
              <w:rFonts w:ascii="Times New Roman" w:eastAsia="Times New Roman"/>
            </w:rPr>
          </w:pPr>
          <w:hyperlink w:history="true" w:anchor="_bookmark5">
            <w:r>
              <w:rPr>
                <w:w w:val="95"/>
              </w:rPr>
              <w:t>案例</w:t>
            </w:r>
            <w:r>
              <w:rPr>
                <w:spacing w:val="-5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2</w:t>
            </w:r>
            <w:r>
              <w:rPr>
                <w:w w:val="95"/>
              </w:rPr>
              <w:t>、應向權責處理機關提起申訴</w:t>
            </w:r>
            <w:r>
              <w:rPr>
                <w:rFonts w:ascii="Times New Roman" w:eastAsia="Times New Roman"/>
                <w:w w:val="95"/>
              </w:rPr>
              <w:tab/>
            </w:r>
            <w:r>
              <w:rPr>
                <w:rFonts w:ascii="Times New Roman" w:eastAsia="Times New Roman"/>
              </w:rPr>
              <w:t>2</w:t>
            </w:r>
          </w:hyperlink>
        </w:p>
        <w:p>
          <w:pPr>
            <w:pStyle w:val="TOC4"/>
            <w:tabs>
              <w:tab w:pos="9465" w:val="left" w:leader="dot"/>
            </w:tabs>
            <w:rPr>
              <w:rFonts w:ascii="Times New Roman" w:eastAsia="Times New Roman"/>
            </w:rPr>
          </w:pPr>
          <w:hyperlink w:history="true" w:anchor="_bookmark6">
            <w:r>
              <w:rPr/>
              <w:t>（二）考績委員會組成不合法</w:t>
            </w:r>
            <w:r>
              <w:rPr>
                <w:rFonts w:ascii="Times New Roman" w:eastAsia="Times New Roman"/>
              </w:rPr>
              <w:tab/>
              <w:t>3</w:t>
            </w:r>
          </w:hyperlink>
        </w:p>
        <w:p>
          <w:pPr>
            <w:pStyle w:val="TOC5"/>
            <w:tabs>
              <w:tab w:pos="9465" w:val="left" w:leader="dot"/>
            </w:tabs>
            <w:spacing w:line="268" w:lineRule="auto" w:before="52"/>
            <w:ind w:left="3800" w:right="239" w:hanging="1218"/>
            <w:rPr>
              <w:rFonts w:ascii="Times New Roman" w:eastAsia="Times New Roman"/>
            </w:rPr>
          </w:pPr>
          <w:hyperlink w:history="true" w:anchor="_bookmark7">
            <w:r>
              <w:rPr>
                <w:w w:val="95"/>
              </w:rPr>
              <w:t>案例</w:t>
            </w:r>
            <w:r>
              <w:rPr>
                <w:spacing w:val="86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3</w:t>
            </w:r>
            <w:r>
              <w:rPr>
                <w:w w:val="95"/>
              </w:rPr>
              <w:t>、指定委員於考績年度內並無具公務人員身</w:t>
            </w:r>
          </w:hyperlink>
          <w:hyperlink w:history="true" w:anchor="_bookmark7">
            <w:r>
              <w:rPr/>
              <w:t>分之屬員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Times New Roman" w:eastAsia="Times New Roman"/>
                <w:spacing w:val="-3"/>
              </w:rPr>
              <w:t>3</w:t>
            </w:r>
          </w:hyperlink>
        </w:p>
        <w:p>
          <w:pPr>
            <w:pStyle w:val="TOC5"/>
            <w:tabs>
              <w:tab w:pos="9465" w:val="left" w:leader="dot"/>
            </w:tabs>
            <w:spacing w:line="268" w:lineRule="auto"/>
            <w:ind w:left="3800" w:right="239" w:hanging="1218"/>
            <w:rPr>
              <w:rFonts w:ascii="Times New Roman" w:eastAsia="Times New Roman"/>
            </w:rPr>
          </w:pPr>
          <w:hyperlink w:history="true" w:anchor="_bookmark8">
            <w:r>
              <w:rPr>
                <w:w w:val="95"/>
              </w:rPr>
              <w:t>案例</w:t>
            </w:r>
            <w:r>
              <w:rPr>
                <w:spacing w:val="86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4</w:t>
            </w:r>
            <w:r>
              <w:rPr>
                <w:w w:val="95"/>
              </w:rPr>
              <w:t>、考績委員會非由本機關人員或本機關受考</w:t>
            </w:r>
          </w:hyperlink>
          <w:hyperlink w:history="true" w:anchor="_bookmark8">
            <w:r>
              <w:rPr/>
              <w:t>人組成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Times New Roman" w:eastAsia="Times New Roman"/>
                <w:spacing w:val="-3"/>
              </w:rPr>
              <w:t>5</w:t>
            </w:r>
          </w:hyperlink>
        </w:p>
        <w:p>
          <w:pPr>
            <w:pStyle w:val="TOC5"/>
            <w:tabs>
              <w:tab w:pos="9465" w:val="left" w:leader="dot"/>
            </w:tabs>
            <w:spacing w:line="446" w:lineRule="exact"/>
            <w:rPr>
              <w:rFonts w:ascii="Times New Roman" w:eastAsia="Times New Roman"/>
            </w:rPr>
          </w:pPr>
          <w:hyperlink w:history="true" w:anchor="_bookmark9">
            <w:r>
              <w:rPr>
                <w:w w:val="95"/>
              </w:rPr>
              <w:t>案例</w:t>
            </w:r>
            <w:r>
              <w:rPr>
                <w:spacing w:val="-10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5</w:t>
            </w:r>
            <w:r>
              <w:rPr>
                <w:w w:val="95"/>
              </w:rPr>
              <w:t>、票選委員人數比例不合法</w:t>
            </w:r>
            <w:r>
              <w:rPr>
                <w:rFonts w:ascii="Times New Roman" w:eastAsia="Times New Roman"/>
                <w:w w:val="95"/>
              </w:rPr>
              <w:tab/>
            </w:r>
            <w:r>
              <w:rPr>
                <w:rFonts w:ascii="Times New Roman" w:eastAsia="Times New Roman"/>
              </w:rPr>
              <w:t>6</w:t>
            </w:r>
          </w:hyperlink>
        </w:p>
        <w:p>
          <w:pPr>
            <w:pStyle w:val="TOC5"/>
            <w:tabs>
              <w:tab w:pos="9465" w:val="left" w:leader="dot"/>
            </w:tabs>
            <w:spacing w:line="268" w:lineRule="auto" w:before="50"/>
            <w:ind w:left="3800" w:right="239" w:hanging="1218"/>
            <w:rPr>
              <w:rFonts w:ascii="Times New Roman" w:eastAsia="Times New Roman"/>
            </w:rPr>
          </w:pPr>
          <w:hyperlink w:history="true" w:anchor="_bookmark10">
            <w:r>
              <w:rPr>
                <w:w w:val="95"/>
              </w:rPr>
              <w:t>案例</w:t>
            </w:r>
            <w:r>
              <w:rPr>
                <w:spacing w:val="86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6</w:t>
            </w:r>
            <w:r>
              <w:rPr>
                <w:w w:val="95"/>
              </w:rPr>
              <w:t>、機關限制受考人登記或受推薦為票選委員</w:t>
            </w:r>
          </w:hyperlink>
          <w:hyperlink w:history="true" w:anchor="_bookmark10">
            <w:r>
              <w:rPr/>
              <w:t>候選人之資格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Times New Roman" w:eastAsia="Times New Roman"/>
                <w:spacing w:val="-3"/>
              </w:rPr>
              <w:t>7</w:t>
            </w:r>
          </w:hyperlink>
        </w:p>
        <w:p>
          <w:pPr>
            <w:pStyle w:val="TOC5"/>
            <w:tabs>
              <w:tab w:pos="9465" w:val="left" w:leader="dot"/>
            </w:tabs>
            <w:spacing w:line="446" w:lineRule="exact"/>
            <w:rPr>
              <w:rFonts w:ascii="Times New Roman" w:eastAsia="Times New Roman"/>
            </w:rPr>
          </w:pPr>
          <w:hyperlink w:history="true" w:anchor="_bookmark11">
            <w:r>
              <w:rPr>
                <w:w w:val="95"/>
              </w:rPr>
              <w:t>案例</w:t>
            </w:r>
            <w:r>
              <w:rPr>
                <w:spacing w:val="-1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7</w:t>
            </w:r>
            <w:r>
              <w:rPr>
                <w:w w:val="95"/>
              </w:rPr>
              <w:t>、非由受考人投票產生票選委員</w:t>
            </w:r>
            <w:r>
              <w:rPr>
                <w:rFonts w:ascii="Times New Roman" w:eastAsia="Times New Roman"/>
                <w:w w:val="95"/>
              </w:rPr>
              <w:tab/>
            </w:r>
            <w:r>
              <w:rPr>
                <w:rFonts w:ascii="Times New Roman" w:eastAsia="Times New Roman"/>
              </w:rPr>
              <w:t>8</w:t>
            </w:r>
          </w:hyperlink>
        </w:p>
        <w:p>
          <w:pPr>
            <w:pStyle w:val="TOC5"/>
            <w:tabs>
              <w:tab w:pos="9465" w:val="left" w:leader="dot"/>
            </w:tabs>
            <w:spacing w:line="268" w:lineRule="auto" w:before="52"/>
            <w:ind w:left="3800" w:right="154" w:hanging="1218"/>
            <w:rPr>
              <w:rFonts w:ascii="Times New Roman" w:eastAsia="Times New Roman"/>
            </w:rPr>
          </w:pPr>
          <w:hyperlink w:history="true" w:anchor="_bookmark12">
            <w:r>
              <w:rPr>
                <w:w w:val="95"/>
              </w:rPr>
              <w:t>案例</w:t>
            </w:r>
            <w:r>
              <w:rPr>
                <w:spacing w:val="76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8</w:t>
            </w:r>
            <w:r>
              <w:rPr>
                <w:w w:val="95"/>
              </w:rPr>
              <w:t>、票選委員選舉方式違反普通、平等、直接、</w:t>
            </w:r>
          </w:hyperlink>
          <w:hyperlink w:history="true" w:anchor="_bookmark12">
            <w:r>
              <w:rPr/>
              <w:t>無記名之原則</w:t>
            </w:r>
            <w:r>
              <w:rPr>
                <w:rFonts w:ascii="Times New Roman" w:eastAsia="Times New Roman"/>
              </w:rPr>
              <w:tab/>
              <w:t>9</w:t>
            </w:r>
          </w:hyperlink>
        </w:p>
        <w:p>
          <w:pPr>
            <w:pStyle w:val="TOC5"/>
            <w:tabs>
              <w:tab w:pos="9306" w:val="left" w:leader="dot"/>
            </w:tabs>
            <w:spacing w:line="268" w:lineRule="auto"/>
            <w:ind w:left="3800" w:right="236" w:hanging="1218"/>
            <w:rPr>
              <w:rFonts w:ascii="Times New Roman" w:eastAsia="Times New Roman"/>
            </w:rPr>
          </w:pPr>
          <w:hyperlink w:history="true" w:anchor="_bookmark13">
            <w:r>
              <w:rPr>
                <w:w w:val="95"/>
              </w:rPr>
              <w:t>案例</w:t>
            </w:r>
            <w:r>
              <w:rPr>
                <w:spacing w:val="84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9</w:t>
            </w:r>
            <w:r>
              <w:rPr>
                <w:w w:val="95"/>
              </w:rPr>
              <w:t>、與得採分組、間接、通訊等票選方式之要</w:t>
            </w:r>
          </w:hyperlink>
          <w:hyperlink w:history="true" w:anchor="_bookmark13">
            <w:r>
              <w:rPr/>
              <w:t>件不符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Times New Roman" w:eastAsia="Times New Roman"/>
                <w:spacing w:val="-1"/>
              </w:rPr>
              <w:t>10</w:t>
            </w:r>
          </w:hyperlink>
        </w:p>
        <w:p>
          <w:pPr>
            <w:pStyle w:val="TOC4"/>
            <w:tabs>
              <w:tab w:pos="9318" w:val="left" w:leader="dot"/>
            </w:tabs>
            <w:spacing w:line="443" w:lineRule="exact" w:before="0"/>
            <w:rPr>
              <w:rFonts w:ascii="Times New Roman" w:eastAsia="Times New Roman"/>
            </w:rPr>
          </w:pPr>
          <w:hyperlink w:history="true" w:anchor="_bookmark14">
            <w:r>
              <w:rPr/>
              <w:t>（三）考績評擬程序不合法</w:t>
            </w:r>
            <w:r>
              <w:rPr>
                <w:rFonts w:ascii="Times New Roman" w:eastAsia="Times New Roman"/>
              </w:rPr>
              <w:tab/>
              <w:t>11</w:t>
            </w:r>
          </w:hyperlink>
        </w:p>
        <w:p>
          <w:pPr>
            <w:pStyle w:val="TOC5"/>
            <w:spacing w:before="52"/>
          </w:pPr>
          <w:hyperlink w:history="true" w:anchor="_bookmark15">
            <w:r>
              <w:rPr>
                <w:spacing w:val="-1"/>
                <w:w w:val="95"/>
              </w:rPr>
              <w:t>案例 </w:t>
            </w:r>
            <w:r>
              <w:rPr>
                <w:rFonts w:ascii="Times New Roman" w:eastAsia="Times New Roman"/>
                <w:w w:val="95"/>
              </w:rPr>
              <w:t>10</w:t>
            </w:r>
            <w:r>
              <w:rPr>
                <w:w w:val="95"/>
              </w:rPr>
              <w:t>、非本職單位主管或直屬長官所為之評擬</w:t>
            </w:r>
          </w:hyperlink>
        </w:p>
        <w:p>
          <w:pPr>
            <w:pStyle w:val="TOC7"/>
          </w:pPr>
          <w:hyperlink w:history="true" w:anchor="_bookmark15">
            <w:r>
              <w:rPr/>
              <w:t>.....................................................................11</w:t>
            </w:r>
          </w:hyperlink>
        </w:p>
        <w:p>
          <w:pPr>
            <w:pStyle w:val="TOC5"/>
            <w:tabs>
              <w:tab w:pos="9306" w:val="left" w:leader="dot"/>
            </w:tabs>
            <w:spacing w:line="268" w:lineRule="auto" w:before="110"/>
            <w:ind w:left="3800" w:right="230" w:hanging="1218"/>
            <w:rPr>
              <w:rFonts w:ascii="Times New Roman" w:eastAsia="Times New Roman"/>
            </w:rPr>
          </w:pPr>
          <w:hyperlink w:history="true" w:anchor="_bookmark16">
            <w:r>
              <w:rPr>
                <w:w w:val="95"/>
              </w:rPr>
              <w:t>案例</w:t>
            </w:r>
            <w:r>
              <w:rPr>
                <w:spacing w:val="135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11</w:t>
            </w:r>
            <w:r>
              <w:rPr>
                <w:w w:val="95"/>
              </w:rPr>
              <w:t>、未覈實考核公務人員考績，且會議進行之</w:t>
            </w:r>
          </w:hyperlink>
          <w:hyperlink w:history="true" w:anchor="_bookmark16">
            <w:r>
              <w:rPr/>
              <w:t>方式違反規定</w:t>
            </w:r>
            <w:r>
              <w:rPr>
                <w:rFonts w:ascii="Times New Roman" w:eastAsia="Times New Roman"/>
              </w:rPr>
              <w:tab/>
              <w:t>13</w:t>
            </w:r>
          </w:hyperlink>
        </w:p>
        <w:p>
          <w:pPr>
            <w:pStyle w:val="TOC5"/>
            <w:tabs>
              <w:tab w:pos="9306" w:val="left" w:leader="dot"/>
            </w:tabs>
            <w:spacing w:line="268" w:lineRule="auto"/>
            <w:ind w:left="3800" w:right="232" w:hanging="1218"/>
            <w:rPr>
              <w:rFonts w:ascii="Times New Roman" w:eastAsia="Times New Roman"/>
            </w:rPr>
          </w:pPr>
          <w:hyperlink w:history="true" w:anchor="_bookmark17">
            <w:r>
              <w:rPr>
                <w:w w:val="95"/>
              </w:rPr>
              <w:t>案例</w:t>
            </w:r>
            <w:r>
              <w:rPr>
                <w:spacing w:val="133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12</w:t>
            </w:r>
            <w:r>
              <w:rPr>
                <w:w w:val="95"/>
              </w:rPr>
              <w:t>、指定委員由其職務代理人或委請他人代表</w:t>
            </w:r>
          </w:hyperlink>
          <w:hyperlink w:history="true" w:anchor="_bookmark17">
            <w:r>
              <w:rPr/>
              <w:t>出席</w:t>
            </w:r>
            <w:r>
              <w:rPr>
                <w:rFonts w:ascii="Times New Roman" w:eastAsia="Times New Roman"/>
              </w:rPr>
              <w:tab/>
              <w:t>14</w:t>
            </w:r>
          </w:hyperlink>
        </w:p>
        <w:p>
          <w:pPr>
            <w:pStyle w:val="TOC5"/>
            <w:tabs>
              <w:tab w:pos="9306" w:val="left" w:leader="dot"/>
            </w:tabs>
            <w:spacing w:line="446" w:lineRule="exact" w:after="20"/>
            <w:rPr>
              <w:rFonts w:ascii="Times New Roman" w:eastAsia="Times New Roman"/>
            </w:rPr>
          </w:pPr>
          <w:hyperlink w:history="true" w:anchor="_bookmark18">
            <w:r>
              <w:rPr>
                <w:w w:val="95"/>
              </w:rPr>
              <w:t>案例</w:t>
            </w:r>
            <w:r>
              <w:rPr>
                <w:spacing w:val="-7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13</w:t>
            </w:r>
            <w:r>
              <w:rPr>
                <w:w w:val="95"/>
              </w:rPr>
              <w:t>、機關首長列席考績委員會</w:t>
            </w:r>
            <w:r>
              <w:rPr>
                <w:rFonts w:ascii="Times New Roman" w:eastAsia="Times New Roman"/>
                <w:w w:val="95"/>
              </w:rPr>
              <w:tab/>
            </w:r>
            <w:r>
              <w:rPr>
                <w:rFonts w:ascii="Times New Roman" w:eastAsia="Times New Roman"/>
              </w:rPr>
              <w:t>15</w:t>
            </w:r>
          </w:hyperlink>
        </w:p>
        <w:p>
          <w:pPr>
            <w:pStyle w:val="TOC5"/>
            <w:tabs>
              <w:tab w:pos="9628" w:val="right" w:leader="dot"/>
            </w:tabs>
            <w:spacing w:before="47"/>
            <w:rPr>
              <w:rFonts w:ascii="Times New Roman" w:eastAsia="Times New Roman"/>
            </w:rPr>
          </w:pPr>
          <w:hyperlink w:history="true" w:anchor="_bookmark19">
            <w:r>
              <w:rPr>
                <w:w w:val="95"/>
              </w:rPr>
              <w:t>案例</w:t>
            </w:r>
            <w:r>
              <w:rPr>
                <w:spacing w:val="-60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14</w:t>
            </w:r>
            <w:r>
              <w:rPr>
                <w:w w:val="95"/>
              </w:rPr>
              <w:t>、機關首長覆核程序不合法</w:t>
            </w:r>
            <w:r>
              <w:rPr>
                <w:rFonts w:ascii="Times New Roman" w:eastAsia="Times New Roman"/>
                <w:w w:val="95"/>
              </w:rPr>
              <w:tab/>
              <w:t>16</w:t>
            </w:r>
          </w:hyperlink>
        </w:p>
        <w:p>
          <w:pPr>
            <w:pStyle w:val="TOC2"/>
            <w:tabs>
              <w:tab w:pos="9628" w:val="right" w:leader="dot"/>
            </w:tabs>
            <w:spacing w:before="52"/>
            <w:rPr>
              <w:rFonts w:ascii="Times New Roman" w:eastAsia="Times New Roman"/>
            </w:rPr>
          </w:pPr>
          <w:hyperlink w:history="true" w:anchor="_bookmark20">
            <w:r>
              <w:rPr/>
              <w:t>（貳）實體事項</w:t>
            </w:r>
            <w:r>
              <w:rPr>
                <w:rFonts w:ascii="Times New Roman" w:eastAsia="Times New Roman"/>
              </w:rPr>
              <w:tab/>
              <w:t>17</w:t>
            </w:r>
          </w:hyperlink>
        </w:p>
        <w:p>
          <w:pPr>
            <w:pStyle w:val="TOC3"/>
            <w:tabs>
              <w:tab w:pos="9628" w:val="right" w:leader="dot"/>
            </w:tabs>
            <w:spacing w:before="52"/>
            <w:rPr>
              <w:rFonts w:ascii="Times New Roman" w:eastAsia="Times New Roman"/>
            </w:rPr>
          </w:pPr>
          <w:hyperlink w:history="true" w:anchor="_bookmark21">
            <w:r>
              <w:rPr/>
              <w:t>一、考績事件</w:t>
            </w:r>
            <w:r>
              <w:rPr>
                <w:rFonts w:ascii="Times New Roman" w:eastAsia="Times New Roman"/>
              </w:rPr>
              <w:tab/>
              <w:t>17</w:t>
            </w:r>
          </w:hyperlink>
        </w:p>
        <w:p>
          <w:pPr>
            <w:pStyle w:val="TOC4"/>
            <w:tabs>
              <w:tab w:pos="9628" w:val="right" w:leader="dot"/>
            </w:tabs>
            <w:spacing w:before="54"/>
            <w:rPr>
              <w:rFonts w:ascii="Times New Roman" w:eastAsia="Times New Roman"/>
            </w:rPr>
          </w:pPr>
          <w:hyperlink w:history="true" w:anchor="_bookmark22">
            <w:r>
              <w:rPr/>
              <w:t>（一）服務機關對事實認定有誤</w:t>
            </w:r>
            <w:r>
              <w:rPr>
                <w:rFonts w:ascii="Times New Roman" w:eastAsia="Times New Roman"/>
              </w:rPr>
              <w:tab/>
              <w:t>17</w:t>
            </w:r>
          </w:hyperlink>
        </w:p>
        <w:p>
          <w:pPr>
            <w:pStyle w:val="TOC5"/>
            <w:tabs>
              <w:tab w:pos="9628" w:val="right" w:leader="dot"/>
            </w:tabs>
            <w:spacing w:before="52"/>
            <w:rPr>
              <w:rFonts w:ascii="Times New Roman" w:eastAsia="Times New Roman"/>
            </w:rPr>
          </w:pPr>
          <w:hyperlink w:history="true" w:anchor="_bookmark23">
            <w:r>
              <w:rPr>
                <w:w w:val="95"/>
              </w:rPr>
              <w:t>案例</w:t>
            </w:r>
            <w:r>
              <w:rPr>
                <w:spacing w:val="-30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15</w:t>
            </w:r>
            <w:r>
              <w:rPr>
                <w:w w:val="95"/>
              </w:rPr>
              <w:t>、年終考績評擬所依據之事實不明確</w:t>
            </w:r>
            <w:r>
              <w:rPr>
                <w:rFonts w:ascii="Times New Roman" w:eastAsia="Times New Roman"/>
                <w:w w:val="95"/>
              </w:rPr>
              <w:tab/>
              <w:t>17</w:t>
            </w:r>
          </w:hyperlink>
        </w:p>
        <w:p>
          <w:pPr>
            <w:pStyle w:val="TOC4"/>
            <w:tabs>
              <w:tab w:pos="9628" w:val="right" w:leader="dot"/>
            </w:tabs>
            <w:spacing w:before="51"/>
            <w:rPr>
              <w:rFonts w:ascii="Times New Roman" w:eastAsia="Times New Roman"/>
            </w:rPr>
          </w:pPr>
          <w:hyperlink w:history="true" w:anchor="_bookmark24">
            <w:r>
              <w:rPr/>
              <w:t>（二）適用法規顯有錯誤</w:t>
            </w:r>
            <w:r>
              <w:rPr>
                <w:rFonts w:ascii="Times New Roman" w:eastAsia="Times New Roman"/>
              </w:rPr>
              <w:tab/>
              <w:t>18</w:t>
            </w:r>
          </w:hyperlink>
        </w:p>
        <w:p>
          <w:pPr>
            <w:pStyle w:val="TOC5"/>
            <w:tabs>
              <w:tab w:pos="9628" w:val="right" w:leader="dot"/>
            </w:tabs>
            <w:spacing w:before="54"/>
            <w:rPr>
              <w:rFonts w:ascii="Times New Roman" w:eastAsia="Times New Roman"/>
            </w:rPr>
          </w:pPr>
          <w:hyperlink w:history="true" w:anchor="_bookmark25">
            <w:r>
              <w:rPr>
                <w:w w:val="95"/>
              </w:rPr>
              <w:t>案例</w:t>
            </w:r>
            <w:r>
              <w:rPr>
                <w:spacing w:val="-62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16</w:t>
            </w:r>
            <w:r>
              <w:rPr>
                <w:w w:val="95"/>
              </w:rPr>
              <w:t>、錯誤引用法規並予適用</w:t>
            </w:r>
            <w:r>
              <w:rPr>
                <w:rFonts w:ascii="Times New Roman" w:eastAsia="Times New Roman"/>
                <w:w w:val="95"/>
              </w:rPr>
              <w:tab/>
              <w:t>18</w:t>
            </w:r>
          </w:hyperlink>
        </w:p>
        <w:p>
          <w:pPr>
            <w:pStyle w:val="TOC4"/>
            <w:tabs>
              <w:tab w:pos="9628" w:val="right" w:leader="dot"/>
            </w:tabs>
            <w:rPr>
              <w:rFonts w:ascii="Times New Roman" w:eastAsia="Times New Roman"/>
            </w:rPr>
          </w:pPr>
          <w:hyperlink w:history="true" w:anchor="_bookmark26">
            <w:r>
              <w:rPr/>
              <w:t>（三）違反一般公認之價值判斷標準</w:t>
            </w:r>
            <w:r>
              <w:rPr>
                <w:rFonts w:ascii="Times New Roman" w:eastAsia="Times New Roman"/>
              </w:rPr>
              <w:tab/>
              <w:t>19</w:t>
            </w:r>
          </w:hyperlink>
        </w:p>
        <w:p>
          <w:pPr>
            <w:pStyle w:val="TOC5"/>
            <w:tabs>
              <w:tab w:pos="9628" w:val="right" w:leader="dot"/>
            </w:tabs>
            <w:spacing w:before="52"/>
            <w:rPr>
              <w:rFonts w:ascii="Times New Roman" w:eastAsia="Times New Roman"/>
            </w:rPr>
          </w:pPr>
          <w:hyperlink w:history="true" w:anchor="_bookmark27">
            <w:r>
              <w:rPr>
                <w:w w:val="95"/>
              </w:rPr>
              <w:t>案例</w:t>
            </w:r>
            <w:r>
              <w:rPr>
                <w:spacing w:val="-52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17</w:t>
            </w:r>
            <w:r>
              <w:rPr>
                <w:w w:val="95"/>
              </w:rPr>
              <w:t>、違反一般公認之價值判斷標準</w:t>
            </w:r>
            <w:r>
              <w:rPr>
                <w:rFonts w:ascii="Times New Roman" w:eastAsia="Times New Roman"/>
                <w:w w:val="95"/>
              </w:rPr>
              <w:tab/>
              <w:t>19</w:t>
            </w:r>
          </w:hyperlink>
        </w:p>
        <w:p>
          <w:pPr>
            <w:pStyle w:val="TOC4"/>
            <w:tabs>
              <w:tab w:pos="9628" w:val="right" w:leader="dot"/>
            </w:tabs>
            <w:spacing w:before="54"/>
            <w:rPr>
              <w:rFonts w:ascii="Times New Roman" w:eastAsia="Times New Roman"/>
            </w:rPr>
          </w:pPr>
          <w:hyperlink w:history="true" w:anchor="_bookmark28">
            <w:r>
              <w:rPr/>
              <w:t>（四）裁量怠惰</w:t>
            </w:r>
            <w:r>
              <w:rPr>
                <w:rFonts w:ascii="Times New Roman" w:eastAsia="Times New Roman"/>
              </w:rPr>
              <w:tab/>
              <w:t>21</w:t>
            </w:r>
          </w:hyperlink>
        </w:p>
        <w:p>
          <w:pPr>
            <w:pStyle w:val="TOC5"/>
            <w:tabs>
              <w:tab w:pos="9628" w:val="right" w:leader="dot"/>
            </w:tabs>
            <w:spacing w:before="52"/>
            <w:rPr>
              <w:rFonts w:ascii="Times New Roman" w:eastAsia="Times New Roman"/>
            </w:rPr>
          </w:pPr>
          <w:hyperlink w:history="true" w:anchor="_bookmark29">
            <w:r>
              <w:rPr>
                <w:w w:val="95"/>
              </w:rPr>
              <w:t>案例</w:t>
            </w:r>
            <w:r>
              <w:rPr>
                <w:spacing w:val="-68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18</w:t>
            </w:r>
            <w:r>
              <w:rPr>
                <w:w w:val="95"/>
              </w:rPr>
              <w:t>、裁量怠惰</w:t>
            </w:r>
            <w:r>
              <w:rPr>
                <w:rFonts w:ascii="Times New Roman" w:eastAsia="Times New Roman"/>
                <w:w w:val="95"/>
              </w:rPr>
              <w:tab/>
              <w:t>21</w:t>
            </w:r>
          </w:hyperlink>
        </w:p>
        <w:p>
          <w:pPr>
            <w:pStyle w:val="TOC4"/>
            <w:tabs>
              <w:tab w:pos="9628" w:val="right" w:leader="dot"/>
            </w:tabs>
            <w:rPr>
              <w:rFonts w:ascii="Times New Roman" w:eastAsia="Times New Roman"/>
            </w:rPr>
          </w:pPr>
          <w:hyperlink w:history="true" w:anchor="_bookmark30">
            <w:r>
              <w:rPr/>
              <w:t>（五）重複評價</w:t>
            </w:r>
            <w:r>
              <w:rPr>
                <w:rFonts w:ascii="Times New Roman" w:eastAsia="Times New Roman"/>
              </w:rPr>
              <w:tab/>
              <w:t>23</w:t>
            </w:r>
          </w:hyperlink>
        </w:p>
        <w:p>
          <w:pPr>
            <w:pStyle w:val="TOC5"/>
            <w:tabs>
              <w:tab w:pos="9628" w:val="right" w:leader="dot"/>
            </w:tabs>
            <w:spacing w:before="54"/>
            <w:rPr>
              <w:rFonts w:ascii="Times New Roman" w:eastAsia="Times New Roman"/>
            </w:rPr>
          </w:pPr>
          <w:hyperlink w:history="true" w:anchor="_bookmark31">
            <w:r>
              <w:rPr>
                <w:w w:val="95"/>
              </w:rPr>
              <w:t>案例</w:t>
            </w:r>
            <w:r>
              <w:rPr>
                <w:spacing w:val="-68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19</w:t>
            </w:r>
            <w:r>
              <w:rPr>
                <w:w w:val="95"/>
              </w:rPr>
              <w:t>、重複評價</w:t>
            </w:r>
            <w:r>
              <w:rPr>
                <w:rFonts w:ascii="Times New Roman" w:eastAsia="Times New Roman"/>
                <w:w w:val="95"/>
              </w:rPr>
              <w:tab/>
              <w:t>23</w:t>
            </w:r>
          </w:hyperlink>
        </w:p>
        <w:p>
          <w:pPr>
            <w:pStyle w:val="TOC3"/>
            <w:tabs>
              <w:tab w:pos="9628" w:val="right" w:leader="dot"/>
            </w:tabs>
            <w:spacing w:before="52"/>
            <w:rPr>
              <w:rFonts w:ascii="Times New Roman" w:eastAsia="Times New Roman"/>
            </w:rPr>
          </w:pPr>
          <w:hyperlink w:history="true" w:anchor="_bookmark32">
            <w:r>
              <w:rPr/>
              <w:t>二、懲處事件</w:t>
            </w:r>
            <w:r>
              <w:rPr>
                <w:rFonts w:ascii="Times New Roman" w:eastAsia="Times New Roman"/>
              </w:rPr>
              <w:tab/>
              <w:t>24</w:t>
            </w:r>
          </w:hyperlink>
        </w:p>
        <w:p>
          <w:pPr>
            <w:pStyle w:val="TOC4"/>
            <w:tabs>
              <w:tab w:pos="9628" w:val="right" w:leader="dot"/>
            </w:tabs>
            <w:spacing w:before="51"/>
            <w:rPr>
              <w:rFonts w:ascii="Times New Roman" w:eastAsia="Times New Roman"/>
            </w:rPr>
          </w:pPr>
          <w:hyperlink w:history="true" w:anchor="_bookmark33">
            <w:r>
              <w:rPr/>
              <w:t>（一）逾懲處權時效</w:t>
            </w:r>
            <w:r>
              <w:rPr>
                <w:rFonts w:ascii="Times New Roman" w:eastAsia="Times New Roman"/>
              </w:rPr>
              <w:tab/>
              <w:t>24</w:t>
            </w:r>
          </w:hyperlink>
        </w:p>
        <w:p>
          <w:pPr>
            <w:pStyle w:val="TOC5"/>
            <w:tabs>
              <w:tab w:pos="9628" w:val="right" w:leader="dot"/>
            </w:tabs>
            <w:spacing w:before="54"/>
            <w:rPr>
              <w:rFonts w:ascii="Times New Roman" w:eastAsia="Times New Roman"/>
            </w:rPr>
          </w:pPr>
          <w:hyperlink w:history="true" w:anchor="_bookmark34">
            <w:r>
              <w:rPr>
                <w:w w:val="95"/>
              </w:rPr>
              <w:t>案例</w:t>
            </w:r>
            <w:r>
              <w:rPr>
                <w:spacing w:val="-57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20</w:t>
            </w:r>
            <w:r>
              <w:rPr>
                <w:w w:val="95"/>
              </w:rPr>
              <w:t>、懲處權行使期間以</w:t>
            </w:r>
            <w:r>
              <w:rPr>
                <w:spacing w:val="-56"/>
                <w:w w:val="95"/>
              </w:rPr>
              <w:t> </w:t>
            </w:r>
            <w:r>
              <w:rPr>
                <w:w w:val="95"/>
              </w:rPr>
              <w:t>10</w:t>
            </w:r>
            <w:r>
              <w:rPr>
                <w:spacing w:val="-61"/>
                <w:w w:val="95"/>
              </w:rPr>
              <w:t> </w:t>
            </w:r>
            <w:r>
              <w:rPr>
                <w:w w:val="95"/>
              </w:rPr>
              <w:t>年為限</w:t>
            </w:r>
            <w:r>
              <w:rPr>
                <w:rFonts w:ascii="Times New Roman" w:eastAsia="Times New Roman"/>
                <w:w w:val="95"/>
              </w:rPr>
              <w:tab/>
              <w:t>24</w:t>
            </w:r>
          </w:hyperlink>
        </w:p>
        <w:p>
          <w:pPr>
            <w:pStyle w:val="TOC4"/>
            <w:tabs>
              <w:tab w:pos="9628" w:val="right" w:leader="dot"/>
            </w:tabs>
            <w:spacing w:before="53"/>
            <w:rPr>
              <w:rFonts w:ascii="Times New Roman" w:eastAsia="Times New Roman"/>
            </w:rPr>
          </w:pPr>
          <w:hyperlink w:history="true" w:anchor="_bookmark35">
            <w:r>
              <w:rPr/>
              <w:t>（二）違反從新從輕原則</w:t>
            </w:r>
            <w:r>
              <w:rPr>
                <w:rFonts w:ascii="Times New Roman" w:eastAsia="Times New Roman"/>
              </w:rPr>
              <w:tab/>
              <w:t>25</w:t>
            </w:r>
          </w:hyperlink>
        </w:p>
        <w:p>
          <w:pPr>
            <w:pStyle w:val="TOC5"/>
            <w:tabs>
              <w:tab w:pos="9628" w:val="right" w:leader="dot"/>
            </w:tabs>
            <w:spacing w:before="51"/>
            <w:rPr>
              <w:rFonts w:ascii="Times New Roman" w:eastAsia="Times New Roman"/>
            </w:rPr>
          </w:pPr>
          <w:hyperlink w:history="true" w:anchor="_bookmark36">
            <w:r>
              <w:rPr>
                <w:w w:val="95"/>
              </w:rPr>
              <w:t>案例</w:t>
            </w:r>
            <w:r>
              <w:rPr>
                <w:spacing w:val="-65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21</w:t>
            </w:r>
            <w:r>
              <w:rPr>
                <w:w w:val="95"/>
              </w:rPr>
              <w:t>、違反從新從輕原則</w:t>
            </w:r>
            <w:r>
              <w:rPr>
                <w:rFonts w:ascii="Times New Roman" w:eastAsia="Times New Roman"/>
                <w:w w:val="95"/>
              </w:rPr>
              <w:tab/>
              <w:t>25</w:t>
            </w:r>
          </w:hyperlink>
        </w:p>
        <w:p>
          <w:pPr>
            <w:pStyle w:val="TOC4"/>
            <w:tabs>
              <w:tab w:pos="9628" w:val="right" w:leader="dot"/>
            </w:tabs>
            <w:spacing w:before="54"/>
            <w:rPr>
              <w:rFonts w:ascii="Times New Roman" w:eastAsia="Times New Roman"/>
            </w:rPr>
          </w:pPr>
          <w:hyperlink w:history="true" w:anchor="_bookmark37">
            <w:r>
              <w:rPr/>
              <w:t>（三）違反一行為不二罰原則</w:t>
            </w:r>
            <w:r>
              <w:rPr>
                <w:rFonts w:ascii="Times New Roman" w:eastAsia="Times New Roman"/>
              </w:rPr>
              <w:tab/>
              <w:t>26</w:t>
            </w:r>
          </w:hyperlink>
        </w:p>
        <w:p>
          <w:pPr>
            <w:pStyle w:val="TOC5"/>
            <w:tabs>
              <w:tab w:pos="9628" w:val="right" w:leader="dot"/>
            </w:tabs>
            <w:spacing w:before="52"/>
            <w:rPr>
              <w:rFonts w:ascii="Times New Roman" w:eastAsia="Times New Roman"/>
            </w:rPr>
          </w:pPr>
          <w:hyperlink w:history="true" w:anchor="_bookmark38">
            <w:r>
              <w:rPr>
                <w:w w:val="95"/>
              </w:rPr>
              <w:t>案例</w:t>
            </w:r>
            <w:r>
              <w:rPr>
                <w:spacing w:val="-62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22</w:t>
            </w:r>
            <w:r>
              <w:rPr>
                <w:w w:val="95"/>
              </w:rPr>
              <w:t>、違反一行為不二罰原則</w:t>
            </w:r>
            <w:r>
              <w:rPr>
                <w:rFonts w:ascii="Times New Roman" w:eastAsia="Times New Roman"/>
                <w:w w:val="95"/>
              </w:rPr>
              <w:tab/>
              <w:t>26</w:t>
            </w:r>
          </w:hyperlink>
        </w:p>
        <w:p>
          <w:pPr>
            <w:pStyle w:val="TOC4"/>
            <w:tabs>
              <w:tab w:pos="9628" w:val="right" w:leader="dot"/>
            </w:tabs>
            <w:rPr>
              <w:rFonts w:ascii="Times New Roman" w:eastAsia="Times New Roman"/>
            </w:rPr>
          </w:pPr>
          <w:hyperlink w:history="true" w:anchor="_bookmark39">
            <w:r>
              <w:rPr/>
              <w:t>（四）服務機關對事實未經詳實調查或認定有誤</w:t>
            </w:r>
            <w:r>
              <w:rPr>
                <w:rFonts w:ascii="Times New Roman" w:eastAsia="Times New Roman"/>
              </w:rPr>
              <w:tab/>
              <w:t>27</w:t>
            </w:r>
          </w:hyperlink>
        </w:p>
        <w:p>
          <w:pPr>
            <w:pStyle w:val="TOC5"/>
            <w:tabs>
              <w:tab w:pos="9628" w:val="right" w:leader="dot"/>
            </w:tabs>
            <w:spacing w:before="54"/>
            <w:rPr>
              <w:rFonts w:ascii="Times New Roman" w:eastAsia="Times New Roman"/>
            </w:rPr>
          </w:pPr>
          <w:hyperlink w:history="true" w:anchor="_bookmark40">
            <w:r>
              <w:rPr>
                <w:w w:val="95"/>
              </w:rPr>
              <w:t>案例</w:t>
            </w:r>
            <w:r>
              <w:rPr>
                <w:spacing w:val="-62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23</w:t>
            </w:r>
            <w:r>
              <w:rPr>
                <w:w w:val="95"/>
              </w:rPr>
              <w:t>、懲處事實未經詳實調查</w:t>
            </w:r>
            <w:r>
              <w:rPr>
                <w:rFonts w:ascii="Times New Roman" w:eastAsia="Times New Roman"/>
                <w:w w:val="95"/>
              </w:rPr>
              <w:tab/>
              <w:t>27</w:t>
            </w:r>
          </w:hyperlink>
        </w:p>
        <w:p>
          <w:pPr>
            <w:pStyle w:val="TOC4"/>
            <w:tabs>
              <w:tab w:pos="9628" w:val="right" w:leader="dot"/>
            </w:tabs>
            <w:spacing w:before="51"/>
            <w:rPr>
              <w:rFonts w:ascii="Times New Roman" w:eastAsia="Times New Roman"/>
            </w:rPr>
          </w:pPr>
          <w:hyperlink w:history="true" w:anchor="_bookmark41">
            <w:r>
              <w:rPr/>
              <w:t>（五）適用法規錯誤</w:t>
            </w:r>
            <w:r>
              <w:rPr>
                <w:rFonts w:ascii="Times New Roman" w:eastAsia="Times New Roman"/>
              </w:rPr>
              <w:tab/>
              <w:t>28</w:t>
            </w:r>
          </w:hyperlink>
        </w:p>
        <w:p>
          <w:pPr>
            <w:pStyle w:val="TOC5"/>
            <w:tabs>
              <w:tab w:pos="9628" w:val="right" w:leader="dot"/>
            </w:tabs>
            <w:spacing w:before="53"/>
            <w:rPr>
              <w:rFonts w:ascii="Times New Roman" w:eastAsia="Times New Roman"/>
            </w:rPr>
          </w:pPr>
          <w:hyperlink w:history="true" w:anchor="_bookmark42">
            <w:r>
              <w:rPr>
                <w:w w:val="95"/>
              </w:rPr>
              <w:t>案例</w:t>
            </w:r>
            <w:r>
              <w:rPr>
                <w:spacing w:val="-65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24</w:t>
            </w:r>
            <w:r>
              <w:rPr>
                <w:w w:val="95"/>
              </w:rPr>
              <w:t>、記過不得併記申誡</w:t>
            </w:r>
            <w:r>
              <w:rPr>
                <w:rFonts w:ascii="Times New Roman" w:eastAsia="Times New Roman"/>
                <w:w w:val="95"/>
              </w:rPr>
              <w:tab/>
              <w:t>28</w:t>
            </w:r>
          </w:hyperlink>
        </w:p>
        <w:p>
          <w:pPr>
            <w:pStyle w:val="TOC4"/>
            <w:tabs>
              <w:tab w:pos="9628" w:val="right" w:leader="dot"/>
            </w:tabs>
            <w:spacing w:before="54"/>
            <w:rPr>
              <w:rFonts w:ascii="Times New Roman" w:eastAsia="Times New Roman"/>
            </w:rPr>
          </w:pPr>
          <w:hyperlink w:history="true" w:anchor="_bookmark43">
            <w:r>
              <w:rPr/>
              <w:t>（六）違反比例原則</w:t>
            </w:r>
            <w:r>
              <w:rPr>
                <w:rFonts w:ascii="Times New Roman" w:eastAsia="Times New Roman"/>
              </w:rPr>
              <w:tab/>
              <w:t>29</w:t>
            </w:r>
          </w:hyperlink>
        </w:p>
        <w:p>
          <w:pPr>
            <w:pStyle w:val="TOC5"/>
            <w:tabs>
              <w:tab w:pos="9628" w:val="right" w:leader="dot"/>
            </w:tabs>
            <w:spacing w:before="52"/>
            <w:rPr>
              <w:rFonts w:ascii="Times New Roman" w:eastAsia="Times New Roman"/>
            </w:rPr>
          </w:pPr>
          <w:hyperlink w:history="true" w:anchor="_bookmark44">
            <w:r>
              <w:rPr>
                <w:w w:val="95"/>
              </w:rPr>
              <w:t>案例</w:t>
            </w:r>
            <w:r>
              <w:rPr>
                <w:spacing w:val="-66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25</w:t>
            </w:r>
            <w:r>
              <w:rPr>
                <w:w w:val="95"/>
              </w:rPr>
              <w:t>、違反比例原則</w:t>
            </w:r>
            <w:r>
              <w:rPr>
                <w:rFonts w:ascii="Times New Roman" w:eastAsia="Times New Roman"/>
                <w:w w:val="95"/>
              </w:rPr>
              <w:tab/>
              <w:t>29</w:t>
            </w:r>
          </w:hyperlink>
        </w:p>
        <w:p>
          <w:pPr>
            <w:pStyle w:val="TOC4"/>
            <w:tabs>
              <w:tab w:pos="9628" w:val="right" w:leader="dot"/>
            </w:tabs>
            <w:spacing w:before="51"/>
            <w:rPr>
              <w:rFonts w:ascii="Times New Roman" w:eastAsia="Times New Roman"/>
            </w:rPr>
          </w:pPr>
          <w:hyperlink w:history="true" w:anchor="_bookmark45">
            <w:r>
              <w:rPr/>
              <w:t>（七）違反平等原則</w:t>
            </w:r>
            <w:r>
              <w:rPr>
                <w:rFonts w:ascii="Times New Roman" w:eastAsia="Times New Roman"/>
              </w:rPr>
              <w:tab/>
              <w:t>30</w:t>
            </w:r>
          </w:hyperlink>
        </w:p>
        <w:p>
          <w:pPr>
            <w:pStyle w:val="TOC5"/>
            <w:tabs>
              <w:tab w:pos="9628" w:val="right" w:leader="dot"/>
            </w:tabs>
            <w:spacing w:before="54"/>
            <w:rPr>
              <w:rFonts w:ascii="Times New Roman" w:eastAsia="Times New Roman"/>
            </w:rPr>
          </w:pPr>
          <w:hyperlink w:history="true" w:anchor="_bookmark46">
            <w:r>
              <w:rPr>
                <w:w w:val="95"/>
              </w:rPr>
              <w:t>案例</w:t>
            </w:r>
            <w:r>
              <w:rPr>
                <w:spacing w:val="-66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26</w:t>
            </w:r>
            <w:r>
              <w:rPr>
                <w:w w:val="95"/>
              </w:rPr>
              <w:t>、違反平等原則</w:t>
            </w:r>
            <w:r>
              <w:rPr>
                <w:rFonts w:ascii="Times New Roman" w:eastAsia="Times New Roman"/>
                <w:w w:val="95"/>
              </w:rPr>
              <w:tab/>
              <w:t>30</w:t>
            </w:r>
          </w:hyperlink>
        </w:p>
        <w:p>
          <w:pPr>
            <w:pStyle w:val="TOC4"/>
            <w:tabs>
              <w:tab w:pos="9628" w:val="right" w:leader="dot"/>
            </w:tabs>
            <w:spacing w:after="36"/>
            <w:rPr>
              <w:rFonts w:ascii="Times New Roman" w:eastAsia="Times New Roman"/>
            </w:rPr>
          </w:pPr>
          <w:hyperlink w:history="true" w:anchor="_bookmark47">
            <w:r>
              <w:rPr/>
              <w:t>（八）考核監督責任不具可歸責性</w:t>
            </w:r>
            <w:r>
              <w:rPr>
                <w:rFonts w:ascii="Times New Roman" w:eastAsia="Times New Roman"/>
              </w:rPr>
              <w:tab/>
              <w:t>31</w:t>
            </w:r>
          </w:hyperlink>
        </w:p>
        <w:p>
          <w:pPr>
            <w:pStyle w:val="TOC5"/>
            <w:tabs>
              <w:tab w:pos="9306" w:val="left" w:leader="dot"/>
            </w:tabs>
            <w:spacing w:before="47"/>
            <w:rPr>
              <w:rFonts w:ascii="Times New Roman" w:eastAsia="Times New Roman"/>
            </w:rPr>
          </w:pPr>
          <w:hyperlink w:history="true" w:anchor="_bookmark48">
            <w:r>
              <w:rPr>
                <w:w w:val="95"/>
              </w:rPr>
              <w:t>案例</w:t>
            </w:r>
            <w:r>
              <w:rPr>
                <w:spacing w:val="-3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27</w:t>
            </w:r>
            <w:r>
              <w:rPr>
                <w:w w:val="95"/>
              </w:rPr>
              <w:t>、考核監督責任不具可歸責性</w:t>
            </w:r>
            <w:r>
              <w:rPr>
                <w:rFonts w:ascii="Times New Roman" w:eastAsia="Times New Roman"/>
                <w:w w:val="95"/>
              </w:rPr>
              <w:tab/>
            </w:r>
            <w:r>
              <w:rPr>
                <w:rFonts w:ascii="Times New Roman" w:eastAsia="Times New Roman"/>
              </w:rPr>
              <w:t>31</w:t>
            </w:r>
          </w:hyperlink>
        </w:p>
        <w:p>
          <w:pPr>
            <w:pStyle w:val="TOC4"/>
            <w:tabs>
              <w:tab w:pos="9306" w:val="left" w:leader="dot"/>
            </w:tabs>
            <w:rPr>
              <w:rFonts w:ascii="Times New Roman" w:eastAsia="Times New Roman"/>
            </w:rPr>
          </w:pPr>
          <w:hyperlink w:history="true" w:anchor="_bookmark49">
            <w:r>
              <w:rPr/>
              <w:t>（九）其他實體有理由之情形</w:t>
            </w:r>
            <w:r>
              <w:rPr>
                <w:rFonts w:ascii="Times New Roman" w:eastAsia="Times New Roman"/>
              </w:rPr>
              <w:tab/>
              <w:t>33</w:t>
            </w:r>
          </w:hyperlink>
        </w:p>
        <w:p>
          <w:pPr>
            <w:pStyle w:val="TOC5"/>
            <w:tabs>
              <w:tab w:pos="9306" w:val="left" w:leader="dot"/>
            </w:tabs>
            <w:spacing w:line="268" w:lineRule="auto" w:before="52"/>
            <w:ind w:left="3800" w:right="230" w:hanging="1218"/>
            <w:rPr>
              <w:rFonts w:ascii="Times New Roman" w:eastAsia="Times New Roman"/>
            </w:rPr>
          </w:pPr>
          <w:hyperlink w:history="true" w:anchor="_bookmark50">
            <w:r>
              <w:rPr>
                <w:w w:val="95"/>
              </w:rPr>
              <w:t>案例</w:t>
            </w:r>
            <w:r>
              <w:rPr>
                <w:spacing w:val="135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28</w:t>
            </w:r>
            <w:r>
              <w:rPr>
                <w:w w:val="95"/>
              </w:rPr>
              <w:t>、不得以當事人拒絕陳述，逕認其違抗長官</w:t>
            </w:r>
          </w:hyperlink>
          <w:hyperlink w:history="true" w:anchor="_bookmark50">
            <w:r>
              <w:rPr/>
              <w:t>命令而予懲處</w:t>
            </w:r>
            <w:r>
              <w:rPr>
                <w:rFonts w:ascii="Times New Roman" w:eastAsia="Times New Roman"/>
              </w:rPr>
              <w:tab/>
              <w:t>33</w:t>
            </w:r>
          </w:hyperlink>
        </w:p>
        <w:p>
          <w:pPr>
            <w:pStyle w:val="TOC3"/>
            <w:tabs>
              <w:tab w:pos="9306" w:val="left" w:leader="dot"/>
            </w:tabs>
            <w:spacing w:line="446" w:lineRule="exact"/>
            <w:rPr>
              <w:rFonts w:ascii="Times New Roman" w:eastAsia="Times New Roman"/>
            </w:rPr>
          </w:pPr>
          <w:hyperlink w:history="true" w:anchor="_bookmark51">
            <w:r>
              <w:rPr/>
              <w:t>三、其他事件</w:t>
            </w:r>
            <w:r>
              <w:rPr>
                <w:rFonts w:ascii="Times New Roman" w:eastAsia="Times New Roman"/>
              </w:rPr>
              <w:tab/>
              <w:t>34</w:t>
            </w:r>
          </w:hyperlink>
        </w:p>
        <w:p>
          <w:pPr>
            <w:pStyle w:val="TOC5"/>
            <w:tabs>
              <w:tab w:pos="9306" w:val="left" w:leader="dot"/>
            </w:tabs>
            <w:spacing w:line="427" w:lineRule="exact" w:before="51"/>
            <w:rPr>
              <w:rFonts w:ascii="Times New Roman" w:eastAsia="Times New Roman"/>
            </w:rPr>
          </w:pPr>
          <w:hyperlink w:history="true" w:anchor="_bookmark52">
            <w:r>
              <w:rPr>
                <w:w w:val="95"/>
              </w:rPr>
              <w:t>案例</w:t>
            </w:r>
            <w:r>
              <w:rPr>
                <w:spacing w:val="5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29</w:t>
            </w:r>
            <w:r>
              <w:rPr>
                <w:w w:val="95"/>
              </w:rPr>
              <w:t>、服務機關應就客觀事實詳為調查</w:t>
            </w:r>
            <w:r>
              <w:rPr>
                <w:rFonts w:ascii="Times New Roman" w:eastAsia="Times New Roman"/>
                <w:w w:val="95"/>
              </w:rPr>
              <w:tab/>
            </w:r>
            <w:r>
              <w:rPr>
                <w:rFonts w:ascii="Times New Roman" w:eastAsia="Times New Roman"/>
              </w:rPr>
              <w:t>34</w:t>
            </w:r>
          </w:hyperlink>
        </w:p>
        <w:p>
          <w:pPr>
            <w:pStyle w:val="TOC1"/>
            <w:tabs>
              <w:tab w:pos="9306" w:val="left" w:leader="dot"/>
            </w:tabs>
            <w:spacing w:line="427" w:lineRule="exact"/>
          </w:pPr>
          <w:hyperlink w:history="true" w:anchor="_bookmark53">
            <w:r>
              <w:rPr/>
              <w:t>貳、復審事件</w:t>
            </w:r>
            <w:r>
              <w:rPr>
                <w:rFonts w:ascii="Times New Roman" w:eastAsia="Times New Roman"/>
              </w:rPr>
              <w:tab/>
            </w:r>
            <w:r>
              <w:rPr/>
              <w:t>36</w:t>
            </w:r>
          </w:hyperlink>
        </w:p>
        <w:p>
          <w:pPr>
            <w:pStyle w:val="TOC2"/>
            <w:tabs>
              <w:tab w:pos="9306" w:val="left" w:leader="dot"/>
            </w:tabs>
            <w:spacing w:before="64"/>
            <w:rPr>
              <w:rFonts w:ascii="Times New Roman" w:eastAsia="Times New Roman"/>
            </w:rPr>
          </w:pPr>
          <w:hyperlink w:history="true" w:anchor="_bookmark54">
            <w:r>
              <w:rPr/>
              <w:t>（壹）程序事項</w:t>
            </w:r>
            <w:r>
              <w:rPr>
                <w:rFonts w:ascii="Times New Roman" w:eastAsia="Times New Roman"/>
              </w:rPr>
              <w:tab/>
              <w:t>36</w:t>
            </w:r>
          </w:hyperlink>
        </w:p>
        <w:p>
          <w:pPr>
            <w:pStyle w:val="TOC3"/>
            <w:tabs>
              <w:tab w:pos="9306" w:val="left" w:leader="dot"/>
            </w:tabs>
            <w:spacing w:before="52"/>
            <w:rPr>
              <w:rFonts w:ascii="Times New Roman" w:eastAsia="Times New Roman"/>
            </w:rPr>
          </w:pPr>
          <w:hyperlink w:history="true" w:anchor="_bookmark55">
            <w:r>
              <w:rPr/>
              <w:t>一、欠缺管轄權限</w:t>
            </w:r>
            <w:r>
              <w:rPr>
                <w:rFonts w:ascii="Times New Roman" w:eastAsia="Times New Roman"/>
              </w:rPr>
              <w:tab/>
              <w:t>36</w:t>
            </w:r>
          </w:hyperlink>
        </w:p>
        <w:p>
          <w:pPr>
            <w:pStyle w:val="TOC5"/>
            <w:tabs>
              <w:tab w:pos="9306" w:val="left" w:leader="dot"/>
            </w:tabs>
            <w:spacing w:line="268" w:lineRule="auto" w:before="54"/>
            <w:ind w:left="3800" w:right="232" w:hanging="1218"/>
            <w:rPr>
              <w:rFonts w:ascii="Times New Roman" w:eastAsia="Times New Roman"/>
            </w:rPr>
          </w:pPr>
          <w:hyperlink w:history="true" w:anchor="_bookmark56">
            <w:r>
              <w:rPr>
                <w:w w:val="95"/>
              </w:rPr>
              <w:t>案例</w:t>
            </w:r>
            <w:r>
              <w:rPr>
                <w:spacing w:val="133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30</w:t>
            </w:r>
            <w:r>
              <w:rPr>
                <w:w w:val="95"/>
              </w:rPr>
              <w:t>、追繳俸給之權責機關須為編列俸給相關預</w:t>
            </w:r>
          </w:hyperlink>
          <w:hyperlink w:history="true" w:anchor="_bookmark56">
            <w:r>
              <w:rPr/>
              <w:t>算之機關</w:t>
            </w:r>
            <w:r>
              <w:rPr>
                <w:rFonts w:ascii="Times New Roman" w:eastAsia="Times New Roman"/>
              </w:rPr>
              <w:tab/>
              <w:t>36</w:t>
            </w:r>
          </w:hyperlink>
        </w:p>
        <w:p>
          <w:pPr>
            <w:pStyle w:val="TOC5"/>
            <w:tabs>
              <w:tab w:pos="9306" w:val="left" w:leader="dot"/>
            </w:tabs>
            <w:spacing w:line="268" w:lineRule="auto"/>
            <w:ind w:left="3800" w:right="232" w:hanging="1218"/>
            <w:rPr>
              <w:rFonts w:ascii="Times New Roman" w:eastAsia="Times New Roman"/>
            </w:rPr>
          </w:pPr>
          <w:hyperlink w:history="true" w:anchor="_bookmark57">
            <w:r>
              <w:rPr>
                <w:w w:val="95"/>
              </w:rPr>
              <w:t>案例</w:t>
            </w:r>
            <w:r>
              <w:rPr>
                <w:spacing w:val="133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31</w:t>
            </w:r>
            <w:r>
              <w:rPr>
                <w:w w:val="95"/>
              </w:rPr>
              <w:t>、發布停職處分之機關須為公務員懲戒法所</w:t>
            </w:r>
          </w:hyperlink>
          <w:hyperlink w:history="true" w:anchor="_bookmark57">
            <w:r>
              <w:rPr/>
              <w:t>定之主管長官</w:t>
            </w:r>
            <w:r>
              <w:rPr>
                <w:rFonts w:ascii="Times New Roman" w:eastAsia="Times New Roman"/>
              </w:rPr>
              <w:tab/>
              <w:t>37</w:t>
            </w:r>
          </w:hyperlink>
        </w:p>
        <w:p>
          <w:pPr>
            <w:pStyle w:val="TOC3"/>
            <w:tabs>
              <w:tab w:pos="9306" w:val="left" w:leader="dot"/>
            </w:tabs>
            <w:spacing w:line="446" w:lineRule="exact"/>
            <w:rPr>
              <w:rFonts w:ascii="Times New Roman" w:eastAsia="Times New Roman"/>
            </w:rPr>
          </w:pPr>
          <w:hyperlink w:history="true" w:anchor="_bookmark58">
            <w:r>
              <w:rPr/>
              <w:t>二、其他</w:t>
            </w:r>
            <w:r>
              <w:rPr>
                <w:rFonts w:ascii="Times New Roman" w:eastAsia="Times New Roman"/>
              </w:rPr>
              <w:tab/>
              <w:t>38</w:t>
            </w:r>
          </w:hyperlink>
        </w:p>
        <w:p>
          <w:pPr>
            <w:pStyle w:val="TOC5"/>
            <w:tabs>
              <w:tab w:pos="9306" w:val="left" w:leader="dot"/>
            </w:tabs>
            <w:spacing w:line="268" w:lineRule="auto" w:before="48"/>
            <w:ind w:left="3800" w:right="232" w:hanging="1218"/>
            <w:rPr>
              <w:rFonts w:ascii="Times New Roman" w:eastAsia="Times New Roman"/>
            </w:rPr>
          </w:pPr>
          <w:hyperlink w:history="true" w:anchor="_bookmark59">
            <w:r>
              <w:rPr>
                <w:w w:val="95"/>
              </w:rPr>
              <w:t>案例</w:t>
            </w:r>
            <w:r>
              <w:rPr>
                <w:spacing w:val="133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32</w:t>
            </w:r>
            <w:r>
              <w:rPr>
                <w:w w:val="95"/>
              </w:rPr>
              <w:t>、考績丁等免職人員未依法給予陳述意見之</w:t>
            </w:r>
          </w:hyperlink>
          <w:hyperlink w:history="true" w:anchor="_bookmark59">
            <w:r>
              <w:rPr/>
              <w:t>機會</w:t>
            </w:r>
            <w:r>
              <w:rPr>
                <w:rFonts w:ascii="Times New Roman" w:eastAsia="Times New Roman"/>
              </w:rPr>
              <w:tab/>
              <w:t>38</w:t>
            </w:r>
          </w:hyperlink>
        </w:p>
        <w:p>
          <w:pPr>
            <w:pStyle w:val="TOC2"/>
            <w:tabs>
              <w:tab w:pos="9306" w:val="left" w:leader="dot"/>
            </w:tabs>
            <w:spacing w:line="446" w:lineRule="exact"/>
            <w:rPr>
              <w:rFonts w:ascii="Times New Roman" w:eastAsia="Times New Roman"/>
            </w:rPr>
          </w:pPr>
          <w:hyperlink w:history="true" w:anchor="_bookmark60">
            <w:r>
              <w:rPr/>
              <w:t>（貳）實體事項</w:t>
            </w:r>
            <w:r>
              <w:rPr>
                <w:rFonts w:ascii="Times New Roman" w:eastAsia="Times New Roman"/>
              </w:rPr>
              <w:tab/>
              <w:t>39</w:t>
            </w:r>
          </w:hyperlink>
        </w:p>
        <w:p>
          <w:pPr>
            <w:pStyle w:val="TOC5"/>
            <w:tabs>
              <w:tab w:pos="9306" w:val="left" w:leader="dot"/>
            </w:tabs>
            <w:spacing w:before="52"/>
            <w:rPr>
              <w:rFonts w:ascii="Times New Roman" w:eastAsia="Times New Roman"/>
            </w:rPr>
          </w:pPr>
          <w:hyperlink w:history="true" w:anchor="_bookmark61">
            <w:r>
              <w:rPr>
                <w:w w:val="95"/>
              </w:rPr>
              <w:t>案例</w:t>
            </w:r>
            <w:r>
              <w:rPr>
                <w:spacing w:val="-20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33</w:t>
            </w:r>
            <w:r>
              <w:rPr>
                <w:w w:val="95"/>
              </w:rPr>
              <w:t>、違反信賴保護原則</w:t>
            </w:r>
            <w:r>
              <w:rPr>
                <w:rFonts w:ascii="Times New Roman" w:eastAsia="Times New Roman"/>
                <w:w w:val="95"/>
              </w:rPr>
              <w:tab/>
            </w:r>
            <w:r>
              <w:rPr>
                <w:rFonts w:ascii="Times New Roman" w:eastAsia="Times New Roman"/>
              </w:rPr>
              <w:t>39</w:t>
            </w:r>
          </w:hyperlink>
        </w:p>
        <w:p>
          <w:pPr>
            <w:pStyle w:val="TOC5"/>
            <w:tabs>
              <w:tab w:pos="9306" w:val="left" w:leader="dot"/>
            </w:tabs>
            <w:spacing w:line="268" w:lineRule="auto" w:before="54"/>
            <w:ind w:left="3800" w:right="232" w:hanging="1218"/>
            <w:rPr>
              <w:rFonts w:ascii="Times New Roman" w:eastAsia="Times New Roman"/>
            </w:rPr>
          </w:pPr>
          <w:hyperlink w:history="true" w:anchor="_bookmark62">
            <w:r>
              <w:rPr>
                <w:w w:val="95"/>
              </w:rPr>
              <w:t>案例</w:t>
            </w:r>
            <w:r>
              <w:rPr>
                <w:spacing w:val="133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34</w:t>
            </w:r>
            <w:r>
              <w:rPr>
                <w:w w:val="95"/>
              </w:rPr>
              <w:t>、公法上不當得利返還請求權之消滅時效為</w:t>
            </w:r>
          </w:hyperlink>
          <w:hyperlink w:history="true" w:anchor="_bookmark62">
            <w:r>
              <w:rPr>
                <w:w w:val="95"/>
              </w:rPr>
              <w:t>5</w:t>
            </w:r>
            <w:r>
              <w:rPr>
                <w:spacing w:val="-66"/>
                <w:w w:val="95"/>
              </w:rPr>
              <w:t> </w:t>
            </w:r>
            <w:r>
              <w:rPr>
                <w:w w:val="95"/>
              </w:rPr>
              <w:t>年</w:t>
            </w:r>
            <w:r>
              <w:rPr>
                <w:rFonts w:ascii="Times New Roman" w:eastAsia="Times New Roman"/>
                <w:w w:val="95"/>
              </w:rPr>
              <w:tab/>
            </w:r>
            <w:r>
              <w:rPr>
                <w:rFonts w:ascii="Times New Roman" w:eastAsia="Times New Roman"/>
              </w:rPr>
              <w:t>41</w:t>
            </w:r>
          </w:hyperlink>
        </w:p>
        <w:p>
          <w:pPr>
            <w:pStyle w:val="TOC5"/>
            <w:spacing w:line="268" w:lineRule="auto"/>
            <w:ind w:left="3800" w:right="150" w:hanging="1218"/>
          </w:pPr>
          <w:hyperlink w:history="true" w:anchor="_bookmark63">
            <w:r>
              <w:rPr>
                <w:spacing w:val="1"/>
                <w:w w:val="95"/>
              </w:rPr>
              <w:t>案例 </w:t>
            </w:r>
            <w:r>
              <w:rPr>
                <w:rFonts w:ascii="Times New Roman" w:eastAsia="Times New Roman"/>
                <w:w w:val="95"/>
              </w:rPr>
              <w:t>35</w:t>
            </w:r>
            <w:r>
              <w:rPr>
                <w:spacing w:val="-7"/>
                <w:w w:val="95"/>
              </w:rPr>
              <w:t>、違失行為終了後逾 </w:t>
            </w:r>
            <w:r>
              <w:rPr>
                <w:w w:val="95"/>
              </w:rPr>
              <w:t>10</w:t>
            </w:r>
            <w:r>
              <w:rPr>
                <w:spacing w:val="-2"/>
                <w:w w:val="95"/>
              </w:rPr>
              <w:t> 年始作成停職處分，</w:t>
            </w:r>
            <w:r>
              <w:rPr>
                <w:spacing w:val="-149"/>
                <w:w w:val="95"/>
              </w:rPr>
              <w:t> </w:t>
            </w:r>
          </w:hyperlink>
          <w:hyperlink w:history="true" w:anchor="_bookmark63">
            <w:r>
              <w:rPr>
                <w:spacing w:val="-3"/>
                <w:w w:val="95"/>
              </w:rPr>
              <w:t>顯失公務員懲戒法第 </w:t>
            </w:r>
            <w:r>
              <w:rPr>
                <w:w w:val="95"/>
              </w:rPr>
              <w:t>4</w:t>
            </w:r>
            <w:r>
              <w:rPr>
                <w:spacing w:val="-15"/>
                <w:w w:val="95"/>
              </w:rPr>
              <w:t> 條第 </w:t>
            </w:r>
            <w:r>
              <w:rPr>
                <w:w w:val="95"/>
              </w:rPr>
              <w:t>2</w:t>
            </w:r>
            <w:r>
              <w:rPr>
                <w:spacing w:val="-7"/>
                <w:w w:val="95"/>
              </w:rPr>
              <w:t> 項規定所欲</w:t>
            </w:r>
          </w:hyperlink>
        </w:p>
        <w:p>
          <w:pPr>
            <w:pStyle w:val="TOC6"/>
            <w:tabs>
              <w:tab w:pos="9306" w:val="left" w:leader="dot"/>
            </w:tabs>
            <w:rPr>
              <w:rFonts w:ascii="Times New Roman" w:eastAsia="Times New Roman"/>
            </w:rPr>
          </w:pPr>
          <w:hyperlink w:history="true" w:anchor="_bookmark63">
            <w:r>
              <w:rPr/>
              <w:t>達成維護公務秩序之立法目的</w:t>
            </w:r>
            <w:r>
              <w:rPr>
                <w:rFonts w:ascii="Times New Roman" w:eastAsia="Times New Roman"/>
              </w:rPr>
              <w:tab/>
              <w:t>43</w:t>
            </w:r>
          </w:hyperlink>
        </w:p>
        <w:p>
          <w:pPr>
            <w:pStyle w:val="TOC5"/>
            <w:tabs>
              <w:tab w:pos="9306" w:val="left" w:leader="dot"/>
            </w:tabs>
            <w:spacing w:before="48"/>
            <w:rPr>
              <w:rFonts w:ascii="Times New Roman" w:eastAsia="Times New Roman"/>
            </w:rPr>
          </w:pPr>
          <w:hyperlink w:history="true" w:anchor="_bookmark64">
            <w:r>
              <w:rPr>
                <w:w w:val="95"/>
              </w:rPr>
              <w:t>案例</w:t>
            </w:r>
            <w:r>
              <w:rPr>
                <w:spacing w:val="-25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36</w:t>
            </w:r>
            <w:r>
              <w:rPr>
                <w:w w:val="95"/>
              </w:rPr>
              <w:t>、行使撤銷權已逾</w:t>
            </w:r>
            <w:r>
              <w:rPr>
                <w:spacing w:val="-24"/>
                <w:w w:val="95"/>
              </w:rPr>
              <w:t> </w:t>
            </w:r>
            <w:r>
              <w:rPr>
                <w:w w:val="95"/>
              </w:rPr>
              <w:t>2</w:t>
            </w:r>
            <w:r>
              <w:rPr>
                <w:spacing w:val="-30"/>
                <w:w w:val="95"/>
              </w:rPr>
              <w:t> </w:t>
            </w:r>
            <w:r>
              <w:rPr>
                <w:w w:val="95"/>
              </w:rPr>
              <w:t>年除斥期間</w:t>
            </w:r>
            <w:r>
              <w:rPr>
                <w:rFonts w:ascii="Times New Roman" w:eastAsia="Times New Roman"/>
                <w:w w:val="95"/>
              </w:rPr>
              <w:tab/>
            </w:r>
            <w:r>
              <w:rPr>
                <w:rFonts w:ascii="Times New Roman" w:eastAsia="Times New Roman"/>
              </w:rPr>
              <w:t>45</w:t>
            </w:r>
          </w:hyperlink>
        </w:p>
      </w:sdtContent>
    </w:sdt>
    <w:p>
      <w:pPr>
        <w:spacing w:after="0"/>
        <w:rPr>
          <w:rFonts w:ascii="Times New Roman" w:eastAsia="Times New Roman"/>
        </w:rPr>
        <w:sectPr>
          <w:type w:val="continuous"/>
          <w:pgSz w:w="11910" w:h="16840"/>
          <w:pgMar w:top="1000" w:bottom="1307" w:left="1080" w:right="96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10" w:h="16840"/>
          <w:pgMar w:header="0" w:footer="731" w:top="1580" w:bottom="920" w:left="1080" w:right="960"/>
        </w:sectPr>
      </w:pPr>
    </w:p>
    <w:p>
      <w:pPr>
        <w:pStyle w:val="Heading1"/>
        <w:spacing w:line="603" w:lineRule="exact"/>
        <w:ind w:left="2582"/>
      </w:pPr>
      <w:bookmarkStart w:name="_bookmark0" w:id="1"/>
      <w:bookmarkEnd w:id="1"/>
      <w:r>
        <w:rPr/>
      </w:r>
      <w:r>
        <w:rPr>
          <w:w w:val="95"/>
        </w:rPr>
        <w:t>壹、再申訴事件</w:t>
      </w:r>
    </w:p>
    <w:p>
      <w:pPr>
        <w:pStyle w:val="Heading2"/>
        <w:spacing w:line="693" w:lineRule="exact" w:before="179"/>
        <w:rPr>
          <w:b/>
        </w:rPr>
      </w:pPr>
      <w:bookmarkStart w:name="_bookmark1" w:id="2"/>
      <w:bookmarkEnd w:id="2"/>
      <w:r>
        <w:rPr/>
      </w:r>
      <w:r>
        <w:rPr>
          <w:b/>
        </w:rPr>
        <w:t>（壹）程序事項</w:t>
      </w:r>
    </w:p>
    <w:p>
      <w:pPr>
        <w:pStyle w:val="Heading1"/>
        <w:spacing w:line="582" w:lineRule="exact"/>
        <w:ind w:left="550"/>
      </w:pPr>
      <w:bookmarkStart w:name="_bookmark2" w:id="3"/>
      <w:bookmarkEnd w:id="3"/>
      <w:r>
        <w:rPr/>
      </w:r>
      <w:r>
        <w:rPr>
          <w:w w:val="95"/>
        </w:rPr>
        <w:t>一、考績事件及懲處事件</w:t>
      </w:r>
    </w:p>
    <w:p>
      <w:pPr>
        <w:pStyle w:val="Heading3"/>
        <w:spacing w:line="240" w:lineRule="auto" w:before="222"/>
        <w:ind w:right="1373"/>
      </w:pPr>
      <w:bookmarkStart w:name="_bookmark3" w:id="4"/>
      <w:bookmarkEnd w:id="4"/>
      <w:r>
        <w:rPr>
          <w:b w:val="0"/>
        </w:rPr>
      </w:r>
      <w:r>
        <w:rPr>
          <w:w w:val="95"/>
        </w:rPr>
        <w:t>（一）</w:t>
      </w:r>
      <w:r>
        <w:rPr>
          <w:spacing w:val="109"/>
        </w:rPr>
        <w:t> </w:t>
      </w:r>
      <w:r>
        <w:rPr>
          <w:w w:val="95"/>
        </w:rPr>
        <w:t>欠缺管轄權限</w:t>
      </w:r>
    </w:p>
    <w:p>
      <w:pPr>
        <w:pStyle w:val="Heading4"/>
        <w:spacing w:before="268"/>
        <w:ind w:left="190"/>
        <w:rPr>
          <w:b/>
        </w:rPr>
      </w:pPr>
      <w:bookmarkStart w:name="_bookmark4" w:id="5"/>
      <w:bookmarkEnd w:id="5"/>
      <w:r>
        <w:rPr/>
      </w:r>
      <w:r>
        <w:rPr>
          <w:b/>
          <w:spacing w:val="6"/>
        </w:rPr>
        <w:t>案例 </w:t>
      </w:r>
      <w:r>
        <w:rPr>
          <w:rFonts w:ascii="Times New Roman" w:eastAsia="Times New Roman"/>
          <w:b/>
        </w:rPr>
        <w:t>1</w:t>
      </w:r>
      <w:r>
        <w:rPr>
          <w:b/>
        </w:rPr>
        <w:t>、各機關內部單位並無受理申訴及為申訴函復之權責</w:t>
      </w:r>
    </w:p>
    <w:p>
      <w:pPr>
        <w:pStyle w:val="BodyText"/>
        <w:spacing w:before="87"/>
        <w:ind w:left="110"/>
      </w:pPr>
      <w:r>
        <w:rPr>
          <w:spacing w:val="-41"/>
        </w:rPr>
        <w:t>【事實】</w:t>
      </w:r>
      <w:r>
        <w:rPr/>
        <w:t>（</w:t>
      </w:r>
      <w:r>
        <w:rPr>
          <w:rFonts w:ascii="Times New Roman" w:eastAsia="Times New Roman"/>
        </w:rPr>
        <w:t>102</w:t>
      </w:r>
      <w:r>
        <w:rPr/>
        <w:t>公申決字第</w:t>
      </w:r>
      <w:r>
        <w:rPr>
          <w:rFonts w:ascii="Times New Roman" w:eastAsia="Times New Roman"/>
        </w:rPr>
        <w:t>0040</w:t>
      </w:r>
      <w:r>
        <w:rPr/>
        <w:t>號）</w:t>
      </w:r>
    </w:p>
    <w:p>
      <w:pPr>
        <w:pStyle w:val="BodyText"/>
        <w:spacing w:line="321" w:lineRule="auto" w:before="154"/>
        <w:ind w:left="1310" w:right="227"/>
        <w:jc w:val="both"/>
      </w:pPr>
      <w:r>
        <w:rPr>
          <w:w w:val="95"/>
        </w:rPr>
        <w:t>志明是Ａ機關統計處辦事員，不服該處核布其年終考績考列</w:t>
      </w:r>
      <w:r>
        <w:rPr>
          <w:spacing w:val="1"/>
          <w:w w:val="95"/>
        </w:rPr>
        <w:t> </w:t>
      </w:r>
      <w:r>
        <w:rPr>
          <w:w w:val="95"/>
        </w:rPr>
        <w:t>乙等，提起申訴，經該處逕為申訴函復，仍維持原考列乙等</w:t>
      </w:r>
      <w:r>
        <w:rPr>
          <w:spacing w:val="1"/>
          <w:w w:val="95"/>
        </w:rPr>
        <w:t> </w:t>
      </w:r>
      <w:r>
        <w:rPr/>
        <w:t>之評定。</w:t>
      </w:r>
    </w:p>
    <w:p>
      <w:pPr>
        <w:pStyle w:val="BodyText"/>
        <w:spacing w:before="1"/>
        <w:ind w:left="110"/>
      </w:pPr>
      <w:r>
        <w:rPr/>
        <w:t>【解析】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321" w:lineRule="auto" w:before="152" w:after="0"/>
        <w:ind w:left="1279" w:right="149" w:hanging="828"/>
        <w:jc w:val="both"/>
        <w:rPr>
          <w:sz w:val="32"/>
        </w:rPr>
      </w:pPr>
      <w:r>
        <w:rPr>
          <w:sz w:val="32"/>
        </w:rPr>
        <w:t>依主計機構人員設置管理條例第</w:t>
      </w:r>
      <w:r>
        <w:rPr>
          <w:rFonts w:ascii="Times New Roman" w:eastAsia="Times New Roman"/>
          <w:sz w:val="32"/>
        </w:rPr>
        <w:t>4</w:t>
      </w:r>
      <w:r>
        <w:rPr>
          <w:sz w:val="32"/>
        </w:rPr>
        <w:t>條及第</w:t>
      </w:r>
      <w:r>
        <w:rPr>
          <w:rFonts w:ascii="Times New Roman" w:eastAsia="Times New Roman"/>
          <w:sz w:val="32"/>
        </w:rPr>
        <w:t>27</w:t>
      </w:r>
      <w:r>
        <w:rPr>
          <w:sz w:val="32"/>
        </w:rPr>
        <w:t>條第</w:t>
      </w:r>
      <w:r>
        <w:rPr>
          <w:rFonts w:ascii="Times New Roman" w:eastAsia="Times New Roman"/>
          <w:sz w:val="32"/>
        </w:rPr>
        <w:t>1</w:t>
      </w:r>
      <w:r>
        <w:rPr>
          <w:sz w:val="32"/>
        </w:rPr>
        <w:t>項規定，中央及地方機關統計人員之管理，屬一條鞭制度，惟該等人員不服考績評定而提起救濟時，仍應依公務人員保障法規定辦</w:t>
      </w:r>
      <w:r>
        <w:rPr>
          <w:w w:val="95"/>
          <w:sz w:val="32"/>
        </w:rPr>
        <w:t>理。各機關之內部單位，無權受理公務人員所提起之申訴案，</w:t>
      </w:r>
      <w:r>
        <w:rPr>
          <w:spacing w:val="1"/>
          <w:w w:val="95"/>
          <w:sz w:val="32"/>
        </w:rPr>
        <w:t> </w:t>
      </w:r>
      <w:r>
        <w:rPr>
          <w:sz w:val="32"/>
        </w:rPr>
        <w:t>亦不能為申訴函復。中央及地方機關人事、政風等人員之管理，亦同。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321" w:lineRule="auto" w:before="3" w:after="0"/>
        <w:ind w:left="1279" w:right="222" w:hanging="828"/>
        <w:jc w:val="both"/>
        <w:rPr>
          <w:sz w:val="32"/>
        </w:rPr>
      </w:pPr>
      <w:r>
        <w:rPr>
          <w:w w:val="95"/>
          <w:sz w:val="32"/>
        </w:rPr>
        <w:t>Ａ機關統計處僅係內部單位，並非機關，故逕以該處名義為</w:t>
      </w:r>
      <w:r>
        <w:rPr>
          <w:spacing w:val="1"/>
          <w:w w:val="95"/>
          <w:sz w:val="32"/>
        </w:rPr>
        <w:t> </w:t>
      </w:r>
      <w:r>
        <w:rPr>
          <w:sz w:val="32"/>
        </w:rPr>
        <w:t>申訴函復，於法未合。應由Ａ機關為申訴函復，始為適法。</w:t>
      </w:r>
    </w:p>
    <w:p>
      <w:pPr>
        <w:spacing w:after="0" w:line="321" w:lineRule="auto"/>
        <w:jc w:val="both"/>
        <w:rPr>
          <w:sz w:val="32"/>
        </w:rPr>
        <w:sectPr>
          <w:footerReference w:type="default" r:id="rId7"/>
          <w:pgSz w:w="11910" w:h="16840"/>
          <w:pgMar w:footer="811" w:header="0" w:top="920" w:bottom="1000" w:left="1080" w:right="960"/>
          <w:pgNumType w:start="1"/>
        </w:sectPr>
      </w:pPr>
    </w:p>
    <w:p>
      <w:pPr>
        <w:pStyle w:val="Heading4"/>
        <w:spacing w:line="579" w:lineRule="exact"/>
        <w:ind w:left="310"/>
        <w:rPr>
          <w:b/>
        </w:rPr>
      </w:pPr>
      <w:bookmarkStart w:name="_bookmark5" w:id="6"/>
      <w:bookmarkEnd w:id="6"/>
      <w:r>
        <w:rPr/>
      </w:r>
      <w:r>
        <w:rPr>
          <w:b/>
          <w:spacing w:val="4"/>
        </w:rPr>
        <w:t>案例 </w:t>
      </w:r>
      <w:r>
        <w:rPr>
          <w:rFonts w:ascii="Times New Roman" w:eastAsia="Times New Roman"/>
          <w:b/>
        </w:rPr>
        <w:t>2</w:t>
      </w:r>
      <w:r>
        <w:rPr>
          <w:b/>
        </w:rPr>
        <w:t>、應向權責處理機關提起申訴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</w:t>
      </w:r>
      <w:r>
        <w:rPr>
          <w:rFonts w:ascii="Times New Roman" w:eastAsia="Times New Roman"/>
        </w:rPr>
        <w:t>100</w:t>
      </w:r>
      <w:r>
        <w:rPr/>
        <w:t>公申決字第</w:t>
      </w:r>
      <w:r>
        <w:rPr>
          <w:rFonts w:ascii="Times New Roman" w:eastAsia="Times New Roman"/>
        </w:rPr>
        <w:t>0415</w:t>
      </w:r>
      <w:r>
        <w:rPr/>
        <w:t>號）</w:t>
      </w:r>
    </w:p>
    <w:p>
      <w:pPr>
        <w:pStyle w:val="BodyText"/>
        <w:spacing w:line="321" w:lineRule="auto" w:before="152"/>
        <w:ind w:left="1070" w:right="227"/>
        <w:jc w:val="both"/>
      </w:pPr>
      <w:r>
        <w:rPr>
          <w:w w:val="95"/>
        </w:rPr>
        <w:t>裴永郡是Ｂ直轄市政府警察局（以下簡稱Ｂ市警局）Ｃ分局之</w:t>
      </w:r>
      <w:r>
        <w:rPr>
          <w:spacing w:val="1"/>
          <w:w w:val="95"/>
        </w:rPr>
        <w:t> </w:t>
      </w:r>
      <w:r>
        <w:rPr>
          <w:w w:val="95"/>
        </w:rPr>
        <w:t>警員。Ｃ分局審認裴永郡言行失檢，影響聲譽，情節重大，核</w:t>
      </w:r>
      <w:r>
        <w:rPr>
          <w:spacing w:val="1"/>
          <w:w w:val="95"/>
        </w:rPr>
        <w:t> </w:t>
      </w:r>
      <w:r>
        <w:rPr>
          <w:w w:val="95"/>
        </w:rPr>
        <w:t>予其記一大過之懲處。裴永郡不服該懲處，向Ｂ市警局提起申</w:t>
      </w:r>
      <w:r>
        <w:rPr>
          <w:spacing w:val="1"/>
          <w:w w:val="95"/>
        </w:rPr>
        <w:t> </w:t>
      </w:r>
      <w:r>
        <w:rPr/>
        <w:t>訴；嗣不服該局之申訴函復，向本會提起再申訴。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321" w:lineRule="auto" w:before="153" w:after="0"/>
        <w:ind w:left="1111" w:right="157" w:hanging="831"/>
        <w:jc w:val="both"/>
        <w:rPr>
          <w:sz w:val="32"/>
        </w:rPr>
      </w:pPr>
      <w:r>
        <w:rPr>
          <w:spacing w:val="-5"/>
          <w:sz w:val="32"/>
        </w:rPr>
        <w:t>按公務人員考績法施行細則</w:t>
      </w:r>
      <w:r>
        <w:rPr>
          <w:sz w:val="32"/>
        </w:rPr>
        <w:t>（以下簡稱考績法施行細則</w:t>
      </w:r>
      <w:r>
        <w:rPr>
          <w:spacing w:val="-55"/>
          <w:sz w:val="32"/>
        </w:rPr>
        <w:t>）</w:t>
      </w:r>
      <w:r>
        <w:rPr>
          <w:sz w:val="32"/>
        </w:rPr>
        <w:t>第</w:t>
      </w:r>
      <w:r>
        <w:rPr>
          <w:rFonts w:ascii="Times New Roman" w:eastAsia="Times New Roman"/>
          <w:sz w:val="32"/>
        </w:rPr>
        <w:t>13</w:t>
      </w:r>
      <w:r>
        <w:rPr>
          <w:rFonts w:ascii="Times New Roman" w:eastAsia="Times New Roman"/>
          <w:spacing w:val="-78"/>
          <w:sz w:val="32"/>
        </w:rPr>
        <w:t> </w:t>
      </w:r>
      <w:r>
        <w:rPr>
          <w:sz w:val="32"/>
        </w:rPr>
        <w:t>條第</w:t>
      </w:r>
      <w:r>
        <w:rPr>
          <w:rFonts w:ascii="Times New Roman" w:eastAsia="Times New Roman"/>
          <w:sz w:val="32"/>
        </w:rPr>
        <w:t>4</w:t>
      </w:r>
      <w:r>
        <w:rPr>
          <w:spacing w:val="-5"/>
          <w:sz w:val="32"/>
        </w:rPr>
        <w:t>項規定及考績委員會組織規程</w:t>
      </w:r>
      <w:r>
        <w:rPr>
          <w:sz w:val="32"/>
        </w:rPr>
        <w:t>（以下簡稱組織規程</w:t>
      </w:r>
      <w:r>
        <w:rPr>
          <w:spacing w:val="-56"/>
          <w:sz w:val="32"/>
        </w:rPr>
        <w:t>）</w:t>
      </w:r>
      <w:r>
        <w:rPr>
          <w:sz w:val="32"/>
        </w:rPr>
        <w:t>第</w:t>
      </w:r>
      <w:r>
        <w:rPr>
          <w:rFonts w:ascii="Times New Roman" w:eastAsia="Times New Roman"/>
          <w:sz w:val="32"/>
        </w:rPr>
        <w:t>3</w:t>
      </w:r>
      <w:r>
        <w:rPr>
          <w:rFonts w:ascii="Times New Roman" w:eastAsia="Times New Roman"/>
          <w:spacing w:val="-78"/>
          <w:sz w:val="32"/>
        </w:rPr>
        <w:t> </w:t>
      </w:r>
      <w:r>
        <w:rPr>
          <w:spacing w:val="-3"/>
          <w:sz w:val="32"/>
        </w:rPr>
        <w:t>條規定，機關職員平時考核之獎懲，應遞送該機關考績委員會</w:t>
      </w:r>
      <w:r>
        <w:rPr>
          <w:w w:val="95"/>
          <w:sz w:val="32"/>
        </w:rPr>
        <w:t>初核，未經此程序審議通過之懲處，即有法定程序上之瑕疵。</w:t>
      </w: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321" w:lineRule="auto" w:before="1" w:after="0"/>
        <w:ind w:left="1111" w:right="226" w:hanging="831"/>
        <w:jc w:val="both"/>
        <w:rPr>
          <w:sz w:val="32"/>
        </w:rPr>
      </w:pPr>
      <w:r>
        <w:rPr>
          <w:spacing w:val="-14"/>
          <w:w w:val="95"/>
          <w:sz w:val="32"/>
        </w:rPr>
        <w:t>查直轄市政府警察局及各分局，具備「獨立編制」、「獨立預</w:t>
      </w:r>
      <w:r>
        <w:rPr>
          <w:spacing w:val="153"/>
          <w:sz w:val="32"/>
        </w:rPr>
        <w:t> </w:t>
      </w:r>
      <w:r>
        <w:rPr>
          <w:spacing w:val="-31"/>
          <w:w w:val="95"/>
          <w:sz w:val="32"/>
        </w:rPr>
        <w:t>算」、「依法設置」、「對外行文」之機關組織要件。故Ｃ分局為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行政機關，並非Ｂ市警局之內部單位，Ｂ市警局所屬人員之懲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處，應經該分局之考績委員會審議，始為適法。裴永郡之懲處</w:t>
      </w:r>
      <w:r>
        <w:rPr>
          <w:spacing w:val="1"/>
          <w:w w:val="95"/>
          <w:sz w:val="32"/>
        </w:rPr>
        <w:t> </w:t>
      </w:r>
      <w:r>
        <w:rPr>
          <w:sz w:val="32"/>
        </w:rPr>
        <w:t>案未經Ｃ分局之考績委員會初核，即有法定程序上之瑕疵。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Heading3"/>
        <w:ind w:right="1255"/>
      </w:pPr>
      <w:bookmarkStart w:name="_bookmark6" w:id="7"/>
      <w:bookmarkEnd w:id="7"/>
      <w:r>
        <w:rPr>
          <w:b w:val="0"/>
        </w:rPr>
      </w:r>
      <w:r>
        <w:rPr/>
        <w:t>（二）考績委員會組成不合法</w:t>
      </w:r>
    </w:p>
    <w:p>
      <w:pPr>
        <w:pStyle w:val="Heading4"/>
        <w:spacing w:before="268"/>
        <w:ind w:left="202"/>
        <w:rPr>
          <w:b/>
        </w:rPr>
      </w:pPr>
      <w:bookmarkStart w:name="_bookmark7" w:id="8"/>
      <w:bookmarkEnd w:id="8"/>
      <w:r>
        <w:rPr/>
      </w:r>
      <w:r>
        <w:rPr>
          <w:b/>
          <w:spacing w:val="6"/>
        </w:rPr>
        <w:t>案例 </w:t>
      </w:r>
      <w:r>
        <w:rPr>
          <w:rFonts w:ascii="Times New Roman" w:eastAsia="Times New Roman"/>
          <w:b/>
        </w:rPr>
        <w:t>3</w:t>
      </w:r>
      <w:r>
        <w:rPr>
          <w:b/>
        </w:rPr>
        <w:t>、指定委員於考績年度內並無具公務人員身分之屬員</w:t>
      </w:r>
    </w:p>
    <w:p>
      <w:pPr>
        <w:pStyle w:val="BodyText"/>
        <w:spacing w:before="87"/>
        <w:ind w:left="110"/>
      </w:pPr>
      <w:r>
        <w:rPr>
          <w:spacing w:val="-41"/>
        </w:rPr>
        <w:t>【事實】</w:t>
      </w:r>
      <w:r>
        <w:rPr/>
        <w:t>（</w:t>
      </w:r>
      <w:r>
        <w:rPr>
          <w:rFonts w:ascii="Times New Roman" w:eastAsia="Times New Roman"/>
        </w:rPr>
        <w:t>103</w:t>
      </w:r>
      <w:r>
        <w:rPr/>
        <w:t>公申決字第</w:t>
      </w:r>
      <w:r>
        <w:rPr>
          <w:rFonts w:ascii="Times New Roman" w:eastAsia="Times New Roman"/>
        </w:rPr>
        <w:t>0135</w:t>
      </w:r>
      <w:r>
        <w:rPr/>
        <w:t>號）</w:t>
      </w:r>
    </w:p>
    <w:p>
      <w:pPr>
        <w:pStyle w:val="BodyText"/>
        <w:spacing w:line="321" w:lineRule="auto" w:before="153"/>
        <w:ind w:left="1070" w:right="231"/>
        <w:jc w:val="both"/>
      </w:pPr>
      <w:r>
        <w:rPr>
          <w:w w:val="95"/>
        </w:rPr>
        <w:t>春嬌是Ｄ國民中學護理師，不服該校核布其</w:t>
      </w:r>
      <w:r>
        <w:rPr>
          <w:rFonts w:ascii="Times New Roman" w:eastAsia="Times New Roman"/>
          <w:w w:val="95"/>
        </w:rPr>
        <w:t>102</w:t>
      </w:r>
      <w:r>
        <w:rPr>
          <w:w w:val="95"/>
        </w:rPr>
        <w:t>年年終考績考</w:t>
      </w:r>
      <w:r>
        <w:rPr>
          <w:spacing w:val="58"/>
          <w:w w:val="95"/>
        </w:rPr>
        <w:t> </w:t>
      </w:r>
      <w:r>
        <w:rPr>
          <w:w w:val="95"/>
        </w:rPr>
        <w:t>列乙等，循序提起申訴、再申訴。經查該校考績委員會之指定</w:t>
      </w:r>
      <w:r>
        <w:rPr>
          <w:spacing w:val="1"/>
          <w:w w:val="95"/>
        </w:rPr>
        <w:t> </w:t>
      </w:r>
      <w:r>
        <w:rPr>
          <w:w w:val="95"/>
        </w:rPr>
        <w:t>委員為教務主任、總務主任、學務主任及輔導主任，其中輔導</w:t>
      </w:r>
      <w:r>
        <w:rPr>
          <w:spacing w:val="1"/>
          <w:w w:val="95"/>
        </w:rPr>
        <w:t> </w:t>
      </w:r>
      <w:r>
        <w:rPr/>
        <w:t>主任於</w:t>
      </w:r>
      <w:r>
        <w:rPr>
          <w:rFonts w:ascii="Times New Roman" w:eastAsia="Times New Roman"/>
        </w:rPr>
        <w:t>102</w:t>
      </w:r>
      <w:r>
        <w:rPr/>
        <w:t>學年度，並無具公務人員身分之屬員。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3"/>
        </w:numPr>
        <w:tabs>
          <w:tab w:pos="1047" w:val="left" w:leader="none"/>
        </w:tabs>
        <w:spacing w:line="321" w:lineRule="auto" w:before="152" w:after="0"/>
        <w:ind w:left="1030" w:right="228" w:hanging="800"/>
        <w:jc w:val="both"/>
        <w:rPr>
          <w:sz w:val="32"/>
        </w:rPr>
      </w:pPr>
      <w:r>
        <w:rPr>
          <w:w w:val="95"/>
          <w:sz w:val="32"/>
        </w:rPr>
        <w:t>依銓敘部</w:t>
      </w:r>
      <w:r>
        <w:rPr>
          <w:rFonts w:ascii="Times New Roman" w:hAnsi="Times New Roman" w:eastAsia="Times New Roman"/>
          <w:w w:val="95"/>
          <w:sz w:val="32"/>
        </w:rPr>
        <w:t>98</w:t>
      </w:r>
      <w:r>
        <w:rPr>
          <w:w w:val="95"/>
          <w:sz w:val="32"/>
        </w:rPr>
        <w:t>年</w:t>
      </w:r>
      <w:r>
        <w:rPr>
          <w:rFonts w:ascii="Times New Roman" w:hAnsi="Times New Roman" w:eastAsia="Times New Roman"/>
          <w:w w:val="95"/>
          <w:sz w:val="32"/>
        </w:rPr>
        <w:t>8</w:t>
      </w:r>
      <w:r>
        <w:rPr>
          <w:w w:val="95"/>
          <w:sz w:val="32"/>
        </w:rPr>
        <w:t>月</w:t>
      </w:r>
      <w:r>
        <w:rPr>
          <w:rFonts w:ascii="Times New Roman" w:hAnsi="Times New Roman" w:eastAsia="Times New Roman"/>
          <w:w w:val="95"/>
          <w:sz w:val="32"/>
        </w:rPr>
        <w:t>21</w:t>
      </w:r>
      <w:r>
        <w:rPr>
          <w:w w:val="95"/>
          <w:sz w:val="32"/>
        </w:rPr>
        <w:t>日部法二字第</w:t>
      </w:r>
      <w:r>
        <w:rPr>
          <w:rFonts w:ascii="Times New Roman" w:hAnsi="Times New Roman" w:eastAsia="Times New Roman"/>
          <w:w w:val="95"/>
          <w:sz w:val="32"/>
        </w:rPr>
        <w:t>0983092871</w:t>
      </w:r>
      <w:r>
        <w:rPr>
          <w:w w:val="95"/>
          <w:sz w:val="32"/>
        </w:rPr>
        <w:t>號書函說明四、</w:t>
      </w:r>
      <w:r>
        <w:rPr>
          <w:spacing w:val="55"/>
          <w:w w:val="95"/>
          <w:sz w:val="32"/>
        </w:rPr>
        <w:t> </w:t>
      </w:r>
      <w:r>
        <w:rPr>
          <w:spacing w:val="-8"/>
          <w:sz w:val="32"/>
        </w:rPr>
        <w:t>記載：「有關本部</w:t>
      </w:r>
      <w:r>
        <w:rPr>
          <w:rFonts w:ascii="Times New Roman" w:hAnsi="Times New Roman" w:eastAsia="Times New Roman"/>
          <w:sz w:val="32"/>
        </w:rPr>
        <w:t>92</w:t>
      </w:r>
      <w:r>
        <w:rPr>
          <w:spacing w:val="14"/>
          <w:sz w:val="32"/>
        </w:rPr>
        <w:t>年</w:t>
      </w:r>
      <w:r>
        <w:rPr>
          <w:rFonts w:ascii="Times New Roman" w:hAnsi="Times New Roman" w:eastAsia="Times New Roman"/>
          <w:spacing w:val="13"/>
          <w:sz w:val="32"/>
        </w:rPr>
        <w:t>3</w:t>
      </w:r>
      <w:r>
        <w:rPr>
          <w:spacing w:val="14"/>
          <w:sz w:val="32"/>
        </w:rPr>
        <w:t>月</w:t>
      </w:r>
      <w:r>
        <w:rPr>
          <w:rFonts w:ascii="Times New Roman" w:hAnsi="Times New Roman" w:eastAsia="Times New Roman"/>
          <w:sz w:val="32"/>
        </w:rPr>
        <w:t>20</w:t>
      </w:r>
      <w:r>
        <w:rPr>
          <w:spacing w:val="12"/>
          <w:sz w:val="32"/>
        </w:rPr>
        <w:t>日部法二字第</w:t>
      </w:r>
      <w:r>
        <w:rPr>
          <w:rFonts w:ascii="Times New Roman" w:hAnsi="Times New Roman" w:eastAsia="Times New Roman"/>
          <w:sz w:val="32"/>
        </w:rPr>
        <w:t>0922215919</w:t>
      </w:r>
      <w:r>
        <w:rPr>
          <w:spacing w:val="8"/>
          <w:sz w:val="32"/>
        </w:rPr>
        <w:t>號令規</w:t>
      </w:r>
      <w:r>
        <w:rPr>
          <w:spacing w:val="-52"/>
          <w:w w:val="95"/>
          <w:sz w:val="32"/>
        </w:rPr>
        <w:t>定：『</w:t>
      </w:r>
      <w:r>
        <w:rPr>
          <w:rFonts w:ascii="Times New Roman" w:hAnsi="Times New Roman" w:eastAsia="Times New Roman"/>
          <w:w w:val="95"/>
          <w:sz w:val="32"/>
        </w:rPr>
        <w:t>……</w:t>
      </w:r>
      <w:r>
        <w:rPr>
          <w:w w:val="95"/>
          <w:sz w:val="32"/>
        </w:rPr>
        <w:t>各機關考績委員會票選委員選舉權（被選舉權及投</w:t>
      </w:r>
      <w:r>
        <w:rPr>
          <w:spacing w:val="103"/>
          <w:w w:val="95"/>
          <w:sz w:val="32"/>
        </w:rPr>
        <w:t> </w:t>
      </w:r>
      <w:r>
        <w:rPr>
          <w:w w:val="95"/>
          <w:sz w:val="32"/>
        </w:rPr>
        <w:t>票權）之行使，應以本機關受考人為限；至為兼顧公立學校兼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任行政職務教師之監督管理權，許其擔任考績委員會之指定委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員。</w:t>
      </w:r>
      <w:r>
        <w:rPr>
          <w:rFonts w:ascii="Times New Roman" w:hAnsi="Times New Roman" w:eastAsia="Times New Roman"/>
          <w:w w:val="95"/>
          <w:sz w:val="32"/>
        </w:rPr>
        <w:t>……</w:t>
      </w:r>
      <w:r>
        <w:rPr>
          <w:w w:val="95"/>
          <w:sz w:val="32"/>
        </w:rPr>
        <w:t>』以上開令釋規定，係考量公立學校兼任行政職務之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教師，雖非考績法之適用對象，惟其屬員係依考績法相關規定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辦理考績者，基於監督管理考核之需，爰從寬同意是類教師得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經機關首長指定為考績委員會委員；又依考績法第</w:t>
      </w:r>
      <w:r>
        <w:rPr>
          <w:rFonts w:ascii="Times New Roman" w:hAnsi="Times New Roman" w:eastAsia="Times New Roman"/>
          <w:w w:val="95"/>
          <w:sz w:val="32"/>
        </w:rPr>
        <w:t>14</w:t>
      </w:r>
      <w:r>
        <w:rPr>
          <w:w w:val="95"/>
          <w:sz w:val="32"/>
        </w:rPr>
        <w:t>條第</w:t>
      </w:r>
      <w:r>
        <w:rPr>
          <w:rFonts w:ascii="Times New Roman" w:hAnsi="Times New Roman" w:eastAsia="Times New Roman"/>
          <w:w w:val="95"/>
          <w:sz w:val="32"/>
        </w:rPr>
        <w:t>1</w:t>
      </w:r>
      <w:r>
        <w:rPr>
          <w:w w:val="95"/>
          <w:sz w:val="32"/>
        </w:rPr>
        <w:t>項</w:t>
      </w:r>
      <w:r>
        <w:rPr>
          <w:spacing w:val="87"/>
          <w:w w:val="95"/>
          <w:sz w:val="32"/>
        </w:rPr>
        <w:t> </w:t>
      </w:r>
      <w:r>
        <w:rPr>
          <w:w w:val="95"/>
          <w:sz w:val="32"/>
        </w:rPr>
        <w:t>前段規定之考績程序及公務人員考績表可知，此等監督關係限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於依各機關組織法規規定，為依考績法相關規定辦理考績之受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考人其職務所在單位主管。</w:t>
      </w:r>
      <w:r>
        <w:rPr>
          <w:rFonts w:ascii="Times New Roman" w:hAnsi="Times New Roman" w:eastAsia="Times New Roman"/>
          <w:w w:val="95"/>
          <w:sz w:val="32"/>
        </w:rPr>
        <w:t>……</w:t>
      </w:r>
      <w:r>
        <w:rPr>
          <w:w w:val="95"/>
          <w:sz w:val="32"/>
        </w:rPr>
        <w:t>」據此，教師並非公務人員考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績法（以下簡稱考績法）之受考人，兼任行政職務之教師應以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依各機關組織法規規定具有監督管理受考人權責者，始具擔任</w:t>
      </w:r>
      <w:r>
        <w:rPr>
          <w:spacing w:val="1"/>
          <w:w w:val="95"/>
          <w:sz w:val="32"/>
        </w:rPr>
        <w:t> </w:t>
      </w:r>
      <w:r>
        <w:rPr>
          <w:sz w:val="32"/>
        </w:rPr>
        <w:t>考績委員會指定委員之資格。</w:t>
      </w:r>
    </w:p>
    <w:p>
      <w:pPr>
        <w:pStyle w:val="ListParagraph"/>
        <w:numPr>
          <w:ilvl w:val="0"/>
          <w:numId w:val="3"/>
        </w:numPr>
        <w:tabs>
          <w:tab w:pos="1045" w:val="left" w:leader="none"/>
        </w:tabs>
        <w:spacing w:line="240" w:lineRule="auto" w:before="7" w:after="0"/>
        <w:ind w:left="1044" w:right="0" w:hanging="815"/>
        <w:jc w:val="left"/>
        <w:rPr>
          <w:sz w:val="32"/>
        </w:rPr>
      </w:pPr>
      <w:r>
        <w:rPr>
          <w:sz w:val="32"/>
        </w:rPr>
        <w:t>Ｄ國民中學</w:t>
      </w:r>
      <w:r>
        <w:rPr>
          <w:rFonts w:ascii="Times New Roman" w:eastAsia="Times New Roman"/>
          <w:sz w:val="32"/>
        </w:rPr>
        <w:t>102</w:t>
      </w:r>
      <w:r>
        <w:rPr>
          <w:sz w:val="32"/>
        </w:rPr>
        <w:t>年計有</w:t>
      </w:r>
      <w:r>
        <w:rPr>
          <w:rFonts w:ascii="Times New Roman" w:eastAsia="Times New Roman"/>
          <w:sz w:val="32"/>
        </w:rPr>
        <w:t>8</w:t>
      </w:r>
      <w:r>
        <w:rPr>
          <w:sz w:val="32"/>
        </w:rPr>
        <w:t>名公務人員為受考人，其中</w:t>
      </w:r>
      <w:r>
        <w:rPr>
          <w:rFonts w:ascii="Times New Roman" w:eastAsia="Times New Roman"/>
          <w:sz w:val="32"/>
        </w:rPr>
        <w:t>1</w:t>
      </w:r>
      <w:r>
        <w:rPr>
          <w:sz w:val="32"/>
        </w:rPr>
        <w:t>名配置於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0" w:footer="811" w:top="1060" w:bottom="1000" w:left="1080" w:right="960"/>
        </w:sectPr>
      </w:pPr>
    </w:p>
    <w:p>
      <w:pPr>
        <w:pStyle w:val="BodyText"/>
        <w:spacing w:line="321" w:lineRule="auto" w:before="46"/>
        <w:ind w:left="1030" w:right="154"/>
        <w:jc w:val="both"/>
      </w:pPr>
      <w:r>
        <w:rPr/>
        <w:t>教務處，受教務主任之指揮監督；</w:t>
      </w:r>
      <w:r>
        <w:rPr>
          <w:rFonts w:ascii="Times New Roman" w:eastAsia="Times New Roman"/>
        </w:rPr>
        <w:t>3</w:t>
      </w:r>
      <w:r>
        <w:rPr/>
        <w:t>名配置於學務處，受學務</w:t>
      </w:r>
      <w:r>
        <w:rPr>
          <w:w w:val="95"/>
        </w:rPr>
        <w:t>主任之指揮監督；</w:t>
      </w:r>
      <w:r>
        <w:rPr>
          <w:rFonts w:ascii="Times New Roman" w:eastAsia="Times New Roman"/>
          <w:w w:val="95"/>
        </w:rPr>
        <w:t>4</w:t>
      </w:r>
      <w:r>
        <w:rPr>
          <w:w w:val="95"/>
        </w:rPr>
        <w:t>名配置於總務處，受總務主任之指揮監督。</w:t>
      </w:r>
      <w:r>
        <w:rPr>
          <w:spacing w:val="12"/>
        </w:rPr>
        <w:t>次查該校</w:t>
      </w:r>
      <w:r>
        <w:rPr>
          <w:rFonts w:ascii="Times New Roman" w:eastAsia="Times New Roman"/>
        </w:rPr>
        <w:t>103</w:t>
      </w:r>
      <w:r>
        <w:rPr>
          <w:spacing w:val="11"/>
        </w:rPr>
        <w:t>年公務人員甄審委員會暨考績委員會，置委員</w:t>
      </w:r>
      <w:r>
        <w:rPr>
          <w:rFonts w:ascii="Times New Roman" w:eastAsia="Times New Roman"/>
        </w:rPr>
        <w:t>7</w:t>
      </w:r>
      <w:r>
        <w:rPr>
          <w:rFonts w:ascii="Times New Roman" w:eastAsia="Times New Roman"/>
          <w:spacing w:val="1"/>
        </w:rPr>
        <w:t> </w:t>
      </w:r>
      <w:r>
        <w:rPr>
          <w:w w:val="95"/>
        </w:rPr>
        <w:t>人，其中指定委員</w:t>
      </w:r>
      <w:r>
        <w:rPr>
          <w:rFonts w:ascii="Times New Roman" w:eastAsia="Times New Roman"/>
          <w:w w:val="95"/>
        </w:rPr>
        <w:t>4</w:t>
      </w:r>
      <w:r>
        <w:rPr>
          <w:w w:val="95"/>
        </w:rPr>
        <w:t>人，均由教師兼任之教務主任、總務主任、</w:t>
      </w:r>
      <w:r>
        <w:rPr>
          <w:spacing w:val="1"/>
          <w:w w:val="95"/>
        </w:rPr>
        <w:t> </w:t>
      </w:r>
      <w:r>
        <w:rPr/>
        <w:t>學務主任及輔導主任擔任。惟該校輔導室</w:t>
      </w:r>
      <w:r>
        <w:rPr>
          <w:rFonts w:ascii="Times New Roman" w:eastAsia="Times New Roman"/>
        </w:rPr>
        <w:t>102</w:t>
      </w:r>
      <w:r>
        <w:rPr/>
        <w:t>年全年度並無具</w:t>
      </w:r>
      <w:r>
        <w:rPr>
          <w:spacing w:val="10"/>
        </w:rPr>
        <w:t>公務人員身分之人員，輔導主任自無監督管理受考人之可能</w:t>
      </w:r>
      <w:r>
        <w:rPr/>
        <w:t>性，而不具擔任考績委員會指定委員之資格。是Ｄ國民中學所組成之考績委員會，其組織於法即有未合，依上開違法組成之考績委員會辦理之考績評定，即具有法定程序之瑕疵。</w:t>
      </w:r>
    </w:p>
    <w:p>
      <w:pPr>
        <w:spacing w:after="0" w:line="321" w:lineRule="auto"/>
        <w:jc w:val="both"/>
        <w:sectPr>
          <w:pgSz w:w="11910" w:h="16840"/>
          <w:pgMar w:header="0" w:footer="811" w:top="1060" w:bottom="1000" w:left="1080" w:right="960"/>
        </w:sectPr>
      </w:pPr>
    </w:p>
    <w:p>
      <w:pPr>
        <w:pStyle w:val="Heading4"/>
        <w:spacing w:line="579" w:lineRule="exact"/>
        <w:rPr>
          <w:b/>
        </w:rPr>
      </w:pPr>
      <w:bookmarkStart w:name="_bookmark8" w:id="9"/>
      <w:bookmarkEnd w:id="9"/>
      <w:r>
        <w:rPr/>
      </w:r>
      <w:r>
        <w:rPr>
          <w:b/>
          <w:spacing w:val="5"/>
        </w:rPr>
        <w:t>案例 </w:t>
      </w:r>
      <w:r>
        <w:rPr>
          <w:rFonts w:ascii="Times New Roman" w:eastAsia="Times New Roman"/>
          <w:b/>
        </w:rPr>
        <w:t>4</w:t>
      </w:r>
      <w:r>
        <w:rPr>
          <w:b/>
        </w:rPr>
        <w:t>、考績委員會非由本機關人員或本機關受考人組成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</w:t>
      </w:r>
      <w:r>
        <w:rPr>
          <w:rFonts w:ascii="Times New Roman" w:eastAsia="Times New Roman"/>
        </w:rPr>
        <w:t>102</w:t>
      </w:r>
      <w:r>
        <w:rPr/>
        <w:t>公申決字第</w:t>
      </w:r>
      <w:r>
        <w:rPr>
          <w:rFonts w:ascii="Times New Roman" w:eastAsia="Times New Roman"/>
        </w:rPr>
        <w:t>0325</w:t>
      </w:r>
      <w:r>
        <w:rPr/>
        <w:t>號）</w:t>
      </w:r>
    </w:p>
    <w:p>
      <w:pPr>
        <w:pStyle w:val="BodyText"/>
        <w:spacing w:line="321" w:lineRule="auto" w:before="152"/>
        <w:ind w:left="1070" w:right="155"/>
        <w:jc w:val="both"/>
      </w:pPr>
      <w:r>
        <w:rPr>
          <w:spacing w:val="-1"/>
        </w:rPr>
        <w:t>金秀閒是法務部矯正署Ｅ看守所戒護科管理員。經Ｅ看守所核</w:t>
      </w:r>
      <w:r>
        <w:rPr>
          <w:w w:val="95"/>
        </w:rPr>
        <w:t>予其申誡一次之懲處。金秀閒不服，循序提起申訴、再申訴。</w:t>
      </w:r>
      <w:r>
        <w:rPr>
          <w:spacing w:val="1"/>
          <w:w w:val="95"/>
        </w:rPr>
        <w:t> </w:t>
      </w:r>
      <w:r>
        <w:rPr>
          <w:spacing w:val="-1"/>
        </w:rPr>
        <w:t>查矯正署所屬Ｅ看守所與Ｆ少年觀護所合署辦公，共同組成考績委員會，其票選委員並由Ｅ看守所與Ｆ少年觀護所受考人共</w:t>
      </w:r>
      <w:r>
        <w:rPr/>
        <w:t>同票選產生。</w:t>
      </w:r>
    </w:p>
    <w:p>
      <w:pPr>
        <w:pStyle w:val="BodyText"/>
        <w:spacing w:before="3"/>
        <w:ind w:left="110"/>
      </w:pPr>
      <w:r>
        <w:rPr/>
        <w:t>【解析】</w:t>
      </w:r>
    </w:p>
    <w:p>
      <w:pPr>
        <w:pStyle w:val="ListParagraph"/>
        <w:numPr>
          <w:ilvl w:val="0"/>
          <w:numId w:val="4"/>
        </w:numPr>
        <w:tabs>
          <w:tab w:pos="1112" w:val="left" w:leader="none"/>
        </w:tabs>
        <w:spacing w:line="321" w:lineRule="auto" w:before="152" w:after="0"/>
        <w:ind w:left="1111" w:right="227" w:hanging="831"/>
        <w:jc w:val="both"/>
        <w:rPr>
          <w:sz w:val="32"/>
        </w:rPr>
      </w:pPr>
      <w:r>
        <w:rPr>
          <w:w w:val="95"/>
          <w:sz w:val="32"/>
        </w:rPr>
        <w:t>依組織規程第</w:t>
      </w:r>
      <w:r>
        <w:rPr>
          <w:rFonts w:ascii="Times New Roman" w:eastAsia="Times New Roman"/>
          <w:w w:val="95"/>
          <w:sz w:val="32"/>
        </w:rPr>
        <w:t>2</w:t>
      </w:r>
      <w:r>
        <w:rPr>
          <w:w w:val="95"/>
          <w:sz w:val="32"/>
        </w:rPr>
        <w:t>條第</w:t>
      </w:r>
      <w:r>
        <w:rPr>
          <w:rFonts w:ascii="Times New Roman" w:eastAsia="Times New Roman"/>
          <w:w w:val="95"/>
          <w:sz w:val="32"/>
        </w:rPr>
        <w:t>2</w:t>
      </w:r>
      <w:r>
        <w:rPr>
          <w:w w:val="95"/>
          <w:sz w:val="32"/>
        </w:rPr>
        <w:t>項、第</w:t>
      </w:r>
      <w:r>
        <w:rPr>
          <w:rFonts w:ascii="Times New Roman" w:eastAsia="Times New Roman"/>
          <w:w w:val="95"/>
          <w:sz w:val="32"/>
        </w:rPr>
        <w:t>4</w:t>
      </w:r>
      <w:r>
        <w:rPr>
          <w:w w:val="95"/>
          <w:sz w:val="32"/>
        </w:rPr>
        <w:t>項前段、第</w:t>
      </w:r>
      <w:r>
        <w:rPr>
          <w:rFonts w:ascii="Times New Roman" w:eastAsia="Times New Roman"/>
          <w:w w:val="95"/>
          <w:sz w:val="32"/>
        </w:rPr>
        <w:t>3</w:t>
      </w:r>
      <w:r>
        <w:rPr>
          <w:w w:val="95"/>
          <w:sz w:val="32"/>
        </w:rPr>
        <w:t>條及考績法施行細則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第</w:t>
      </w:r>
      <w:r>
        <w:rPr>
          <w:rFonts w:ascii="Times New Roman" w:eastAsia="Times New Roman"/>
          <w:w w:val="95"/>
          <w:sz w:val="32"/>
        </w:rPr>
        <w:t>13</w:t>
      </w:r>
      <w:r>
        <w:rPr>
          <w:w w:val="95"/>
          <w:sz w:val="32"/>
        </w:rPr>
        <w:t>條第</w:t>
      </w:r>
      <w:r>
        <w:rPr>
          <w:rFonts w:ascii="Times New Roman" w:eastAsia="Times New Roman"/>
          <w:w w:val="95"/>
          <w:sz w:val="32"/>
        </w:rPr>
        <w:t>4</w:t>
      </w:r>
      <w:r>
        <w:rPr>
          <w:w w:val="95"/>
          <w:sz w:val="32"/>
        </w:rPr>
        <w:t>項規定，凡符合機關要件者，即屬考績法規所稱之</w:t>
      </w:r>
      <w:r>
        <w:rPr>
          <w:spacing w:val="21"/>
          <w:w w:val="95"/>
          <w:sz w:val="32"/>
        </w:rPr>
        <w:t> </w:t>
      </w:r>
      <w:r>
        <w:rPr>
          <w:spacing w:val="-12"/>
          <w:w w:val="95"/>
          <w:sz w:val="32"/>
        </w:rPr>
        <w:t>機關，除因長官僅有一級或特殊情形報經上級機關核准不設置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考績委員會者外，均應設置考績委員會，且應由本機關人員及</w:t>
      </w:r>
      <w:r>
        <w:rPr>
          <w:spacing w:val="1"/>
          <w:w w:val="95"/>
          <w:sz w:val="32"/>
        </w:rPr>
        <w:t> </w:t>
      </w:r>
      <w:r>
        <w:rPr>
          <w:sz w:val="32"/>
        </w:rPr>
        <w:t>本機關受考人組成。</w:t>
      </w:r>
    </w:p>
    <w:p>
      <w:pPr>
        <w:pStyle w:val="ListParagraph"/>
        <w:numPr>
          <w:ilvl w:val="0"/>
          <w:numId w:val="4"/>
        </w:numPr>
        <w:tabs>
          <w:tab w:pos="1112" w:val="left" w:leader="none"/>
        </w:tabs>
        <w:spacing w:line="321" w:lineRule="auto" w:before="2" w:after="0"/>
        <w:ind w:left="1111" w:right="227" w:hanging="831"/>
        <w:jc w:val="both"/>
        <w:rPr>
          <w:sz w:val="32"/>
        </w:rPr>
      </w:pPr>
      <w:r>
        <w:rPr>
          <w:spacing w:val="-6"/>
          <w:w w:val="95"/>
          <w:sz w:val="32"/>
        </w:rPr>
        <w:t>查Ｅ看守所與Ｆ少年觀護所分別具備機關之要件，均屬考績法</w:t>
      </w:r>
      <w:r>
        <w:rPr>
          <w:spacing w:val="1"/>
          <w:w w:val="95"/>
          <w:sz w:val="32"/>
        </w:rPr>
        <w:t> </w:t>
      </w:r>
      <w:r>
        <w:rPr>
          <w:spacing w:val="-11"/>
          <w:w w:val="95"/>
          <w:sz w:val="32"/>
        </w:rPr>
        <w:t>規所稱之機關，且無報經上級機關核准不設置考績委員會之情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形，爰Ｅ看守所與Ｆ少年觀護所均應分別設置考績委員會。惟</w:t>
      </w:r>
      <w:r>
        <w:rPr>
          <w:spacing w:val="1"/>
          <w:w w:val="95"/>
          <w:sz w:val="32"/>
        </w:rPr>
        <w:t> </w:t>
      </w:r>
      <w:r>
        <w:rPr>
          <w:spacing w:val="-7"/>
          <w:w w:val="95"/>
          <w:sz w:val="32"/>
        </w:rPr>
        <w:t>查Ｅ看守所與Ｆ少年觀護所因合署辦公，即共同組成考績委員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會，其票選委員並由</w:t>
      </w:r>
      <w:r>
        <w:rPr>
          <w:rFonts w:ascii="Times New Roman" w:eastAsia="Times New Roman"/>
          <w:w w:val="95"/>
          <w:sz w:val="32"/>
        </w:rPr>
        <w:t>2</w:t>
      </w:r>
      <w:r>
        <w:rPr>
          <w:w w:val="95"/>
          <w:sz w:val="32"/>
        </w:rPr>
        <w:t>所受考人共同票選產生，核與考績法規</w:t>
      </w:r>
      <w:r>
        <w:rPr>
          <w:spacing w:val="21"/>
          <w:w w:val="95"/>
          <w:sz w:val="32"/>
        </w:rPr>
        <w:t> </w:t>
      </w:r>
      <w:r>
        <w:rPr>
          <w:spacing w:val="-12"/>
          <w:w w:val="95"/>
          <w:sz w:val="32"/>
        </w:rPr>
        <w:t>規定，應由本機關人員及本機關受考人組成考績委員會之意旨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未合。經該考績委員會初核，並經Ｅ看守所核定的系爭懲處</w:t>
      </w:r>
      <w:r>
        <w:rPr>
          <w:spacing w:val="165"/>
          <w:sz w:val="32"/>
        </w:rPr>
        <w:t> </w:t>
      </w:r>
      <w:r>
        <w:rPr>
          <w:w w:val="95"/>
          <w:sz w:val="32"/>
        </w:rPr>
        <w:t>案，即有法定程序之瑕疵。Ｅ看守所與Ｆ少年觀護所均應分別</w:t>
      </w:r>
      <w:r>
        <w:rPr>
          <w:spacing w:val="1"/>
          <w:w w:val="95"/>
          <w:sz w:val="32"/>
        </w:rPr>
        <w:t> </w:t>
      </w:r>
      <w:r>
        <w:rPr>
          <w:sz w:val="32"/>
        </w:rPr>
        <w:t>設置考績委員會，始為適法。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Heading4"/>
        <w:spacing w:line="579" w:lineRule="exact"/>
        <w:rPr>
          <w:b/>
        </w:rPr>
      </w:pPr>
      <w:bookmarkStart w:name="_bookmark9" w:id="10"/>
      <w:bookmarkEnd w:id="10"/>
      <w:r>
        <w:rPr/>
      </w:r>
      <w:r>
        <w:rPr>
          <w:b/>
          <w:spacing w:val="3"/>
        </w:rPr>
        <w:t>案例 </w:t>
      </w:r>
      <w:r>
        <w:rPr>
          <w:rFonts w:ascii="Times New Roman" w:eastAsia="Times New Roman"/>
          <w:b/>
        </w:rPr>
        <w:t>5</w:t>
      </w:r>
      <w:r>
        <w:rPr>
          <w:b/>
        </w:rPr>
        <w:t>、票選委員人數比例不合法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</w:t>
      </w:r>
      <w:r>
        <w:rPr>
          <w:rFonts w:ascii="Times New Roman" w:eastAsia="Times New Roman"/>
        </w:rPr>
        <w:t>100</w:t>
      </w:r>
      <w:r>
        <w:rPr/>
        <w:t>公申決字第</w:t>
      </w:r>
      <w:r>
        <w:rPr>
          <w:rFonts w:ascii="Times New Roman" w:eastAsia="Times New Roman"/>
        </w:rPr>
        <w:t>0262</w:t>
      </w:r>
      <w:r>
        <w:rPr/>
        <w:t>號）</w:t>
      </w:r>
    </w:p>
    <w:p>
      <w:pPr>
        <w:pStyle w:val="BodyText"/>
        <w:spacing w:line="321" w:lineRule="auto" w:before="152"/>
        <w:ind w:left="1070" w:right="227"/>
        <w:jc w:val="both"/>
      </w:pPr>
      <w:r>
        <w:rPr>
          <w:w w:val="95"/>
        </w:rPr>
        <w:t>成武是Ｇ機關環境安全衛生室主任，不服Ｇ機關核布其</w:t>
      </w:r>
      <w:r>
        <w:rPr>
          <w:rFonts w:ascii="Times New Roman" w:eastAsia="Times New Roman"/>
          <w:w w:val="95"/>
        </w:rPr>
        <w:t>99</w:t>
      </w:r>
      <w:r>
        <w:rPr>
          <w:w w:val="95"/>
        </w:rPr>
        <w:t>年年</w:t>
      </w:r>
      <w:r>
        <w:rPr>
          <w:spacing w:val="1"/>
          <w:w w:val="95"/>
        </w:rPr>
        <w:t> </w:t>
      </w:r>
      <w:r>
        <w:rPr>
          <w:w w:val="95"/>
        </w:rPr>
        <w:t>終考績考列乙等，循序提起申訴、再申訴。查Ｇ機關</w:t>
      </w:r>
      <w:r>
        <w:rPr>
          <w:rFonts w:ascii="Times New Roman" w:eastAsia="Times New Roman"/>
          <w:w w:val="95"/>
        </w:rPr>
        <w:t>99</w:t>
      </w:r>
      <w:r>
        <w:rPr>
          <w:w w:val="95"/>
        </w:rPr>
        <w:t>學年度</w:t>
      </w:r>
      <w:r>
        <w:rPr>
          <w:spacing w:val="1"/>
          <w:w w:val="95"/>
        </w:rPr>
        <w:t> </w:t>
      </w:r>
      <w:r>
        <w:rPr>
          <w:w w:val="95"/>
        </w:rPr>
        <w:t>職員甄審暨考績委員會置委員</w:t>
      </w:r>
      <w:r>
        <w:rPr>
          <w:rFonts w:ascii="Times New Roman" w:eastAsia="Times New Roman"/>
          <w:w w:val="95"/>
        </w:rPr>
        <w:t>12</w:t>
      </w:r>
      <w:r>
        <w:rPr>
          <w:w w:val="95"/>
        </w:rPr>
        <w:t>人，其中指定委員</w:t>
      </w:r>
      <w:r>
        <w:rPr>
          <w:rFonts w:ascii="Times New Roman" w:eastAsia="Times New Roman"/>
          <w:w w:val="95"/>
        </w:rPr>
        <w:t>6</w:t>
      </w:r>
      <w:r>
        <w:rPr>
          <w:w w:val="95"/>
        </w:rPr>
        <w:t>人、當然</w:t>
      </w:r>
      <w:r>
        <w:rPr>
          <w:spacing w:val="46"/>
          <w:w w:val="95"/>
        </w:rPr>
        <w:t> </w:t>
      </w:r>
      <w:r>
        <w:rPr/>
        <w:t>委員</w:t>
      </w:r>
      <w:r>
        <w:rPr>
          <w:rFonts w:ascii="Times New Roman" w:eastAsia="Times New Roman"/>
        </w:rPr>
        <w:t>1</w:t>
      </w:r>
      <w:r>
        <w:rPr/>
        <w:t>人及票選委員</w:t>
      </w:r>
      <w:r>
        <w:rPr>
          <w:rFonts w:ascii="Times New Roman" w:eastAsia="Times New Roman"/>
        </w:rPr>
        <w:t>5</w:t>
      </w:r>
      <w:r>
        <w:rPr/>
        <w:t>人。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5"/>
        </w:numPr>
        <w:tabs>
          <w:tab w:pos="1112" w:val="left" w:leader="none"/>
        </w:tabs>
        <w:spacing w:line="321" w:lineRule="auto" w:before="153" w:after="0"/>
        <w:ind w:left="1111" w:right="156" w:hanging="831"/>
        <w:jc w:val="both"/>
        <w:rPr>
          <w:sz w:val="32"/>
        </w:rPr>
      </w:pPr>
      <w:r>
        <w:rPr>
          <w:spacing w:val="-3"/>
          <w:sz w:val="32"/>
        </w:rPr>
        <w:t>按組織規程第</w:t>
      </w:r>
      <w:r>
        <w:rPr>
          <w:rFonts w:ascii="Times New Roman" w:eastAsia="Times New Roman"/>
          <w:spacing w:val="-3"/>
          <w:sz w:val="32"/>
        </w:rPr>
        <w:t>2</w:t>
      </w:r>
      <w:r>
        <w:rPr>
          <w:spacing w:val="-3"/>
          <w:sz w:val="32"/>
        </w:rPr>
        <w:t>條第</w:t>
      </w:r>
      <w:r>
        <w:rPr>
          <w:rFonts w:ascii="Times New Roman" w:eastAsia="Times New Roman"/>
          <w:spacing w:val="-2"/>
          <w:sz w:val="32"/>
        </w:rPr>
        <w:t>2</w:t>
      </w:r>
      <w:r>
        <w:rPr>
          <w:spacing w:val="-2"/>
          <w:sz w:val="32"/>
        </w:rPr>
        <w:t>項前段、第</w:t>
      </w:r>
      <w:r>
        <w:rPr>
          <w:rFonts w:ascii="Times New Roman" w:eastAsia="Times New Roman"/>
          <w:spacing w:val="-2"/>
          <w:sz w:val="32"/>
        </w:rPr>
        <w:t>4</w:t>
      </w:r>
      <w:r>
        <w:rPr>
          <w:spacing w:val="-2"/>
          <w:sz w:val="32"/>
        </w:rPr>
        <w:t>項前段及第</w:t>
      </w:r>
      <w:r>
        <w:rPr>
          <w:rFonts w:ascii="Times New Roman" w:eastAsia="Times New Roman"/>
          <w:spacing w:val="-2"/>
          <w:sz w:val="32"/>
        </w:rPr>
        <w:t>5</w:t>
      </w:r>
      <w:r>
        <w:rPr>
          <w:spacing w:val="-2"/>
          <w:sz w:val="32"/>
        </w:rPr>
        <w:t>項前段規定，考</w:t>
      </w:r>
      <w:r>
        <w:rPr>
          <w:sz w:val="32"/>
        </w:rPr>
        <w:t>績委員會設置票選委員之宗旨，係透過選舉機制產生票選委</w:t>
      </w:r>
      <w:r>
        <w:rPr>
          <w:spacing w:val="-3"/>
          <w:sz w:val="32"/>
        </w:rPr>
        <w:t>員，使參與考績及平時考核之初核或核議等事項，經由考績委</w:t>
      </w:r>
      <w:r>
        <w:rPr>
          <w:w w:val="95"/>
          <w:sz w:val="32"/>
        </w:rPr>
        <w:t>員會合議機制作公正客觀之考核，以落實考績制度綜覈名實、</w:t>
      </w:r>
      <w:r>
        <w:rPr>
          <w:spacing w:val="1"/>
          <w:w w:val="95"/>
          <w:sz w:val="32"/>
        </w:rPr>
        <w:t> </w:t>
      </w:r>
      <w:r>
        <w:rPr>
          <w:spacing w:val="-3"/>
          <w:sz w:val="32"/>
        </w:rPr>
        <w:t>信賞必罰之意旨。各機關考績委員會票選委員之人數，如不符</w:t>
      </w:r>
      <w:r>
        <w:rPr>
          <w:spacing w:val="1"/>
          <w:sz w:val="32"/>
        </w:rPr>
        <w:t>合組織規程第</w:t>
      </w:r>
      <w:r>
        <w:rPr>
          <w:rFonts w:ascii="Times New Roman" w:eastAsia="Times New Roman"/>
          <w:sz w:val="32"/>
        </w:rPr>
        <w:t>2</w:t>
      </w:r>
      <w:r>
        <w:rPr>
          <w:sz w:val="32"/>
        </w:rPr>
        <w:t>條第</w:t>
      </w:r>
      <w:r>
        <w:rPr>
          <w:rFonts w:ascii="Times New Roman" w:eastAsia="Times New Roman"/>
          <w:sz w:val="32"/>
        </w:rPr>
        <w:t>4</w:t>
      </w:r>
      <w:r>
        <w:rPr>
          <w:sz w:val="32"/>
        </w:rPr>
        <w:t>項之規定，該考績委員會之組織即不合法。</w:t>
      </w:r>
    </w:p>
    <w:p>
      <w:pPr>
        <w:pStyle w:val="ListParagraph"/>
        <w:numPr>
          <w:ilvl w:val="0"/>
          <w:numId w:val="5"/>
        </w:numPr>
        <w:tabs>
          <w:tab w:pos="1112" w:val="left" w:leader="none"/>
        </w:tabs>
        <w:spacing w:line="321" w:lineRule="auto" w:before="3" w:after="0"/>
        <w:ind w:left="1111" w:right="226" w:hanging="831"/>
        <w:jc w:val="both"/>
        <w:rPr>
          <w:sz w:val="32"/>
        </w:rPr>
      </w:pPr>
      <w:r>
        <w:rPr>
          <w:w w:val="95"/>
          <w:sz w:val="32"/>
        </w:rPr>
        <w:t>Ｇ機關</w:t>
      </w:r>
      <w:r>
        <w:rPr>
          <w:rFonts w:ascii="Times New Roman" w:eastAsia="Times New Roman"/>
          <w:w w:val="95"/>
          <w:sz w:val="32"/>
        </w:rPr>
        <w:t>99</w:t>
      </w:r>
      <w:r>
        <w:rPr>
          <w:w w:val="95"/>
          <w:sz w:val="32"/>
        </w:rPr>
        <w:t>學年度職員甄審暨考績委員會置委員</w:t>
      </w:r>
      <w:r>
        <w:rPr>
          <w:rFonts w:ascii="Times New Roman" w:eastAsia="Times New Roman"/>
          <w:w w:val="95"/>
          <w:sz w:val="32"/>
        </w:rPr>
        <w:t>12</w:t>
      </w:r>
      <w:r>
        <w:rPr>
          <w:spacing w:val="-20"/>
          <w:w w:val="95"/>
          <w:sz w:val="32"/>
        </w:rPr>
        <w:t>人，其中指定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委員</w:t>
      </w:r>
      <w:r>
        <w:rPr>
          <w:rFonts w:ascii="Times New Roman" w:eastAsia="Times New Roman"/>
          <w:w w:val="95"/>
          <w:sz w:val="32"/>
        </w:rPr>
        <w:t>6</w:t>
      </w:r>
      <w:r>
        <w:rPr>
          <w:w w:val="95"/>
          <w:sz w:val="32"/>
        </w:rPr>
        <w:t>人、當然委員</w:t>
      </w:r>
      <w:r>
        <w:rPr>
          <w:rFonts w:ascii="Times New Roman" w:eastAsia="Times New Roman"/>
          <w:w w:val="95"/>
          <w:sz w:val="32"/>
        </w:rPr>
        <w:t>1</w:t>
      </w:r>
      <w:r>
        <w:rPr>
          <w:w w:val="95"/>
          <w:sz w:val="32"/>
        </w:rPr>
        <w:t>人及票選委員</w:t>
      </w:r>
      <w:r>
        <w:rPr>
          <w:rFonts w:ascii="Times New Roman" w:eastAsia="Times New Roman"/>
          <w:w w:val="95"/>
          <w:sz w:val="32"/>
        </w:rPr>
        <w:t>5</w:t>
      </w:r>
      <w:r>
        <w:rPr>
          <w:w w:val="95"/>
          <w:sz w:val="32"/>
        </w:rPr>
        <w:t>人。惟依組織規程第</w:t>
      </w:r>
      <w:r>
        <w:rPr>
          <w:rFonts w:ascii="Times New Roman" w:eastAsia="Times New Roman"/>
          <w:w w:val="95"/>
          <w:sz w:val="32"/>
        </w:rPr>
        <w:t>2</w:t>
      </w:r>
      <w:r>
        <w:rPr>
          <w:w w:val="95"/>
          <w:sz w:val="32"/>
        </w:rPr>
        <w:t>條第</w:t>
      </w:r>
      <w:r>
        <w:rPr>
          <w:spacing w:val="22"/>
          <w:w w:val="95"/>
          <w:sz w:val="32"/>
        </w:rPr>
        <w:t> </w:t>
      </w:r>
      <w:r>
        <w:rPr>
          <w:rFonts w:ascii="Times New Roman" w:eastAsia="Times New Roman"/>
          <w:w w:val="95"/>
          <w:sz w:val="32"/>
        </w:rPr>
        <w:t>4</w:t>
      </w:r>
      <w:r>
        <w:rPr>
          <w:w w:val="95"/>
          <w:sz w:val="32"/>
        </w:rPr>
        <w:t>項前段規定，該校</w:t>
      </w:r>
      <w:r>
        <w:rPr>
          <w:rFonts w:ascii="Times New Roman" w:eastAsia="Times New Roman"/>
          <w:w w:val="95"/>
          <w:sz w:val="32"/>
        </w:rPr>
        <w:t>99</w:t>
      </w:r>
      <w:r>
        <w:rPr>
          <w:w w:val="95"/>
          <w:sz w:val="32"/>
        </w:rPr>
        <w:t>年考績委員會之票選委員應有</w:t>
      </w:r>
      <w:r>
        <w:rPr>
          <w:rFonts w:ascii="Times New Roman" w:eastAsia="Times New Roman"/>
          <w:w w:val="95"/>
          <w:sz w:val="32"/>
        </w:rPr>
        <w:t>6</w:t>
      </w:r>
      <w:r>
        <w:rPr>
          <w:w w:val="95"/>
          <w:sz w:val="32"/>
        </w:rPr>
        <w:t>人，則該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校</w:t>
      </w:r>
      <w:r>
        <w:rPr>
          <w:rFonts w:ascii="Times New Roman" w:eastAsia="Times New Roman"/>
          <w:w w:val="95"/>
          <w:sz w:val="32"/>
        </w:rPr>
        <w:t>99</w:t>
      </w:r>
      <w:r>
        <w:rPr>
          <w:spacing w:val="-7"/>
          <w:w w:val="95"/>
          <w:sz w:val="32"/>
        </w:rPr>
        <w:t>學年度職員甄審暨考績委員會組織為不合法，經該考績委</w:t>
      </w:r>
      <w:r>
        <w:rPr>
          <w:spacing w:val="1"/>
          <w:w w:val="95"/>
          <w:sz w:val="32"/>
        </w:rPr>
        <w:t> </w:t>
      </w:r>
      <w:r>
        <w:rPr>
          <w:sz w:val="32"/>
        </w:rPr>
        <w:t>員會審議通過之考績，即有法定程序上之瑕疵。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Heading4"/>
        <w:spacing w:line="579" w:lineRule="exact"/>
        <w:ind w:left="202"/>
        <w:rPr>
          <w:b/>
        </w:rPr>
      </w:pPr>
      <w:bookmarkStart w:name="_bookmark10" w:id="11"/>
      <w:bookmarkEnd w:id="11"/>
      <w:r>
        <w:rPr/>
      </w:r>
      <w:r>
        <w:rPr>
          <w:b/>
          <w:spacing w:val="1"/>
        </w:rPr>
        <w:t>案例 </w:t>
      </w:r>
      <w:r>
        <w:rPr>
          <w:rFonts w:ascii="Times New Roman" w:eastAsia="Times New Roman"/>
          <w:b/>
        </w:rPr>
        <w:t>6</w:t>
      </w:r>
      <w:r>
        <w:rPr>
          <w:b/>
        </w:rPr>
        <w:t>、機關限制受考人登記或受推薦為票選委員候選人之資格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（103公申決字第0415號）</w:t>
      </w:r>
    </w:p>
    <w:p>
      <w:pPr>
        <w:pStyle w:val="BodyText"/>
        <w:spacing w:line="321" w:lineRule="auto" w:before="152"/>
        <w:ind w:left="1190" w:right="221"/>
        <w:jc w:val="both"/>
      </w:pPr>
      <w:r>
        <w:rPr>
          <w:w w:val="95"/>
        </w:rPr>
        <w:t>志伶是Ｈ醫院醫事檢驗生，不服Ｈ醫院審認其有違失情事，</w:t>
      </w:r>
      <w:r>
        <w:rPr>
          <w:spacing w:val="100"/>
          <w:w w:val="95"/>
        </w:rPr>
        <w:t> </w:t>
      </w:r>
      <w:r>
        <w:rPr>
          <w:w w:val="95"/>
        </w:rPr>
        <w:t>核予其申誡二次之懲處，循序提起申訴、再申訴。經查該院</w:t>
      </w:r>
      <w:r>
        <w:rPr>
          <w:spacing w:val="73"/>
          <w:w w:val="95"/>
        </w:rPr>
        <w:t> </w:t>
      </w:r>
      <w:r>
        <w:rPr>
          <w:spacing w:val="-7"/>
        </w:rPr>
        <w:t>辦理 </w:t>
      </w:r>
      <w:r>
        <w:rPr/>
        <w:t>102</w:t>
      </w:r>
      <w:r>
        <w:rPr>
          <w:spacing w:val="-5"/>
        </w:rPr>
        <w:t> 年度員工考績</w:t>
      </w:r>
      <w:r>
        <w:rPr/>
        <w:t>（核）委員會及甄審委員會之票選委</w:t>
      </w:r>
    </w:p>
    <w:p>
      <w:pPr>
        <w:pStyle w:val="BodyText"/>
        <w:spacing w:before="1"/>
        <w:ind w:left="1190"/>
      </w:pPr>
      <w:r>
        <w:rPr>
          <w:spacing w:val="5"/>
          <w:w w:val="95"/>
        </w:rPr>
        <w:t>員選舉投票，通知各單位有意參選票選委員者，需檢具 </w:t>
      </w:r>
      <w:r>
        <w:rPr>
          <w:w w:val="95"/>
        </w:rPr>
        <w:t>10</w:t>
      </w:r>
      <w:r>
        <w:rPr>
          <w:spacing w:val="53"/>
          <w:w w:val="95"/>
        </w:rPr>
        <w:t> 人</w:t>
      </w:r>
    </w:p>
    <w:p>
      <w:pPr>
        <w:pStyle w:val="BodyText"/>
        <w:spacing w:before="153"/>
        <w:ind w:left="1190"/>
      </w:pPr>
      <w:r>
        <w:rPr/>
        <w:t>（含）以上之書面連署推薦書，始得參選。</w:t>
      </w:r>
    </w:p>
    <w:p>
      <w:pPr>
        <w:pStyle w:val="BodyText"/>
        <w:spacing w:before="153"/>
        <w:ind w:left="110"/>
      </w:pPr>
      <w:r>
        <w:rPr/>
        <w:t>【解析】</w:t>
      </w:r>
    </w:p>
    <w:p>
      <w:pPr>
        <w:pStyle w:val="ListParagraph"/>
        <w:numPr>
          <w:ilvl w:val="1"/>
          <w:numId w:val="5"/>
        </w:numPr>
        <w:tabs>
          <w:tab w:pos="1232" w:val="left" w:leader="none"/>
        </w:tabs>
        <w:spacing w:line="321" w:lineRule="auto" w:before="152" w:after="0"/>
        <w:ind w:left="1231" w:right="237" w:hanging="831"/>
        <w:jc w:val="both"/>
        <w:rPr>
          <w:sz w:val="32"/>
        </w:rPr>
      </w:pPr>
      <w:r>
        <w:rPr>
          <w:w w:val="95"/>
          <w:sz w:val="32"/>
        </w:rPr>
        <w:t>按考績法規僅規定各機關考績委員會票選委員，係由各機關</w:t>
      </w:r>
      <w:r>
        <w:rPr>
          <w:spacing w:val="43"/>
          <w:w w:val="95"/>
          <w:sz w:val="32"/>
        </w:rPr>
        <w:t> </w:t>
      </w:r>
      <w:r>
        <w:rPr>
          <w:w w:val="95"/>
          <w:sz w:val="32"/>
        </w:rPr>
        <w:t>受考人以普通、平等、直接及無記名方式投票產生，受考人</w:t>
      </w:r>
      <w:r>
        <w:rPr>
          <w:spacing w:val="43"/>
          <w:w w:val="95"/>
          <w:sz w:val="32"/>
        </w:rPr>
        <w:t> </w:t>
      </w:r>
      <w:r>
        <w:rPr>
          <w:w w:val="95"/>
          <w:sz w:val="32"/>
        </w:rPr>
        <w:t>得經單位推薦或自行登記為被選舉人，並未對票選委員另訂</w:t>
      </w:r>
      <w:r>
        <w:rPr>
          <w:spacing w:val="43"/>
          <w:w w:val="95"/>
          <w:sz w:val="32"/>
        </w:rPr>
        <w:t> </w:t>
      </w:r>
      <w:r>
        <w:rPr>
          <w:w w:val="95"/>
          <w:sz w:val="32"/>
        </w:rPr>
        <w:t>參選資格或條件。故各機關於公告、處理票選委員參選作業</w:t>
      </w:r>
      <w:r>
        <w:rPr>
          <w:spacing w:val="43"/>
          <w:w w:val="95"/>
          <w:sz w:val="32"/>
        </w:rPr>
        <w:t> </w:t>
      </w:r>
      <w:r>
        <w:rPr>
          <w:w w:val="95"/>
          <w:sz w:val="32"/>
        </w:rPr>
        <w:t>時，如對於票選委員之參選資格訂定限制條件，即違反組織</w:t>
      </w:r>
      <w:r>
        <w:rPr>
          <w:spacing w:val="27"/>
          <w:w w:val="95"/>
          <w:sz w:val="32"/>
        </w:rPr>
        <w:t> </w:t>
      </w:r>
      <w:r>
        <w:rPr>
          <w:sz w:val="32"/>
        </w:rPr>
        <w:t>規程第2條規定之意旨，該考績委員會組織為不合法。</w:t>
      </w:r>
    </w:p>
    <w:p>
      <w:pPr>
        <w:pStyle w:val="ListParagraph"/>
        <w:numPr>
          <w:ilvl w:val="1"/>
          <w:numId w:val="5"/>
        </w:numPr>
        <w:tabs>
          <w:tab w:pos="1232" w:val="left" w:leader="none"/>
        </w:tabs>
        <w:spacing w:line="321" w:lineRule="auto" w:before="3" w:after="0"/>
        <w:ind w:left="1231" w:right="228" w:hanging="831"/>
        <w:jc w:val="both"/>
        <w:rPr>
          <w:sz w:val="32"/>
        </w:rPr>
      </w:pPr>
      <w:r>
        <w:rPr>
          <w:w w:val="95"/>
          <w:sz w:val="32"/>
        </w:rPr>
        <w:t>系爭懲處案雖經Ｈ醫院員工考績（核）委員會核議，惟查該</w:t>
      </w:r>
      <w:r>
        <w:rPr>
          <w:spacing w:val="52"/>
          <w:w w:val="95"/>
          <w:sz w:val="32"/>
        </w:rPr>
        <w:t> </w:t>
      </w:r>
      <w:r>
        <w:rPr>
          <w:w w:val="95"/>
          <w:sz w:val="32"/>
        </w:rPr>
        <w:t>院辦理102年度員工考績（核）委員會及甄審委員會之票選委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員選舉，明定有意參選之受考人，須檢具10人（含）以上之</w:t>
      </w:r>
      <w:r>
        <w:rPr>
          <w:spacing w:val="42"/>
          <w:w w:val="95"/>
          <w:sz w:val="32"/>
        </w:rPr>
        <w:t> </w:t>
      </w:r>
      <w:r>
        <w:rPr>
          <w:w w:val="95"/>
          <w:sz w:val="32"/>
        </w:rPr>
        <w:t>書面連署推薦書，始得登記參選。則上開票選委員參選資格</w:t>
      </w:r>
      <w:r>
        <w:rPr>
          <w:spacing w:val="52"/>
          <w:w w:val="95"/>
          <w:sz w:val="32"/>
        </w:rPr>
        <w:t> </w:t>
      </w:r>
      <w:r>
        <w:rPr>
          <w:w w:val="95"/>
          <w:sz w:val="32"/>
        </w:rPr>
        <w:t>之要求，顯係增加考績法規所無之限制，其所組成之考績委</w:t>
      </w:r>
      <w:r>
        <w:rPr>
          <w:spacing w:val="52"/>
          <w:w w:val="95"/>
          <w:sz w:val="32"/>
        </w:rPr>
        <w:t> </w:t>
      </w:r>
      <w:r>
        <w:rPr>
          <w:w w:val="95"/>
          <w:sz w:val="32"/>
        </w:rPr>
        <w:t>員會組織為不合法，經該委員會核議通過之懲處案，自有法</w:t>
      </w:r>
      <w:r>
        <w:rPr>
          <w:spacing w:val="36"/>
          <w:w w:val="95"/>
          <w:sz w:val="32"/>
        </w:rPr>
        <w:t> </w:t>
      </w:r>
      <w:r>
        <w:rPr>
          <w:sz w:val="32"/>
        </w:rPr>
        <w:t>定程序之瑕疵。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Heading4"/>
        <w:spacing w:line="579" w:lineRule="exact"/>
        <w:rPr>
          <w:b/>
        </w:rPr>
      </w:pPr>
      <w:bookmarkStart w:name="_bookmark11" w:id="12"/>
      <w:bookmarkEnd w:id="12"/>
      <w:r>
        <w:rPr/>
      </w:r>
      <w:r>
        <w:rPr>
          <w:b/>
          <w:spacing w:val="4"/>
        </w:rPr>
        <w:t>案例 </w:t>
      </w:r>
      <w:r>
        <w:rPr>
          <w:rFonts w:ascii="Times New Roman" w:eastAsia="Times New Roman"/>
          <w:b/>
        </w:rPr>
        <w:t>7</w:t>
      </w:r>
      <w:r>
        <w:rPr>
          <w:b/>
        </w:rPr>
        <w:t>、非由受考人投票產生票選委員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</w:t>
      </w:r>
      <w:r>
        <w:rPr>
          <w:rFonts w:ascii="Times New Roman" w:eastAsia="Times New Roman"/>
        </w:rPr>
        <w:t>103</w:t>
      </w:r>
      <w:r>
        <w:rPr/>
        <w:t>公申決字第</w:t>
      </w:r>
      <w:r>
        <w:rPr>
          <w:rFonts w:ascii="Times New Roman" w:eastAsia="Times New Roman"/>
        </w:rPr>
        <w:t>0169</w:t>
      </w:r>
      <w:r>
        <w:rPr/>
        <w:t>號、</w:t>
      </w:r>
      <w:r>
        <w:rPr>
          <w:rFonts w:ascii="Times New Roman" w:eastAsia="Times New Roman"/>
        </w:rPr>
        <w:t>103</w:t>
      </w:r>
      <w:r>
        <w:rPr/>
        <w:t>公申決字第</w:t>
      </w:r>
      <w:r>
        <w:rPr>
          <w:rFonts w:ascii="Times New Roman" w:eastAsia="Times New Roman"/>
        </w:rPr>
        <w:t>0195</w:t>
      </w:r>
      <w:r>
        <w:rPr/>
        <w:t>號）</w:t>
      </w:r>
    </w:p>
    <w:p>
      <w:pPr>
        <w:pStyle w:val="BodyText"/>
        <w:spacing w:line="321" w:lineRule="auto" w:before="152"/>
        <w:ind w:left="1190" w:right="195"/>
        <w:jc w:val="both"/>
      </w:pPr>
      <w:r>
        <w:rPr/>
        <w:t>阿信在Ｉ機關服務，Ｉ機關設有駐外單位，將其派駐Ｊ駐外</w:t>
      </w:r>
      <w:r>
        <w:rPr>
          <w:spacing w:val="-1"/>
        </w:rPr>
        <w:t>辦事處擔任組長。其不服Ｉ機關核布其</w:t>
      </w:r>
      <w:r>
        <w:rPr>
          <w:rFonts w:ascii="Times New Roman" w:eastAsia="Times New Roman"/>
        </w:rPr>
        <w:t>102</w:t>
      </w:r>
      <w:r>
        <w:rPr/>
        <w:t>年年終考績考列乙</w:t>
      </w:r>
      <w:r>
        <w:rPr>
          <w:spacing w:val="-1"/>
        </w:rPr>
        <w:t>等，循序提起申訴、再申訴。查Ｉ機關</w:t>
      </w:r>
      <w:r>
        <w:rPr>
          <w:rFonts w:ascii="Times New Roman" w:eastAsia="Times New Roman"/>
        </w:rPr>
        <w:t>102</w:t>
      </w:r>
      <w:r>
        <w:rPr/>
        <w:t>年考績委員會之</w:t>
      </w:r>
      <w:r>
        <w:rPr>
          <w:rFonts w:ascii="Times New Roman" w:eastAsia="Times New Roman"/>
        </w:rPr>
        <w:t>10</w:t>
      </w:r>
      <w:r>
        <w:rPr>
          <w:rFonts w:ascii="Times New Roman" w:eastAsia="Times New Roman"/>
          <w:spacing w:val="-78"/>
        </w:rPr>
        <w:t> </w:t>
      </w:r>
      <w:r>
        <w:rPr>
          <w:spacing w:val="-1"/>
        </w:rPr>
        <w:t>名票選委員，區分為國內幕僚組及駐外機構組</w:t>
      </w:r>
      <w:r>
        <w:rPr>
          <w:rFonts w:ascii="Times New Roman" w:eastAsia="Times New Roman"/>
        </w:rPr>
        <w:t>2</w:t>
      </w:r>
      <w:r>
        <w:rPr/>
        <w:t>組人員，其中</w:t>
      </w:r>
      <w:r>
        <w:rPr>
          <w:spacing w:val="-1"/>
        </w:rPr>
        <w:t>駐外機構組之</w:t>
      </w:r>
      <w:r>
        <w:rPr>
          <w:rFonts w:ascii="Times New Roman" w:eastAsia="Times New Roman"/>
          <w:spacing w:val="-1"/>
        </w:rPr>
        <w:t>2</w:t>
      </w:r>
      <w:r>
        <w:rPr>
          <w:spacing w:val="-1"/>
        </w:rPr>
        <w:t>名票選委員，係逕由駐外考核小組得票數最高</w:t>
      </w:r>
      <w:r>
        <w:rPr>
          <w:w w:val="95"/>
        </w:rPr>
        <w:t>之前</w:t>
      </w:r>
      <w:r>
        <w:rPr>
          <w:rFonts w:ascii="Times New Roman" w:eastAsia="Times New Roman"/>
          <w:w w:val="95"/>
        </w:rPr>
        <w:t>2</w:t>
      </w:r>
      <w:r>
        <w:rPr>
          <w:w w:val="95"/>
        </w:rPr>
        <w:t>名擔任，並以預算員額為計算基準，限制各組別人數。</w:t>
      </w:r>
    </w:p>
    <w:p>
      <w:pPr>
        <w:pStyle w:val="BodyText"/>
        <w:spacing w:before="3"/>
        <w:ind w:left="110"/>
      </w:pPr>
      <w:r>
        <w:rPr/>
        <w:t>【解析】</w:t>
      </w:r>
    </w:p>
    <w:p>
      <w:pPr>
        <w:pStyle w:val="BodyText"/>
        <w:spacing w:line="321" w:lineRule="auto" w:before="152"/>
        <w:ind w:left="1190" w:right="213"/>
        <w:jc w:val="both"/>
      </w:pPr>
      <w:r>
        <w:rPr>
          <w:spacing w:val="18"/>
          <w:w w:val="95"/>
        </w:rPr>
        <w:t>查Ｉ機關為辦理駐外人員成績考核作業，設置駐外考核小</w:t>
      </w:r>
      <w:r>
        <w:rPr>
          <w:spacing w:val="1"/>
          <w:w w:val="95"/>
        </w:rPr>
        <w:t> </w:t>
      </w:r>
      <w:r>
        <w:rPr>
          <w:w w:val="95"/>
        </w:rPr>
        <w:t>組；Ｉ機關</w:t>
      </w:r>
      <w:r>
        <w:rPr>
          <w:rFonts w:ascii="Times New Roman" w:eastAsia="Times New Roman"/>
          <w:w w:val="95"/>
        </w:rPr>
        <w:t>102</w:t>
      </w:r>
      <w:r>
        <w:rPr>
          <w:w w:val="95"/>
        </w:rPr>
        <w:t>年考績委員會，置委員</w:t>
      </w:r>
      <w:r>
        <w:rPr>
          <w:rFonts w:ascii="Times New Roman" w:eastAsia="Times New Roman"/>
          <w:w w:val="95"/>
        </w:rPr>
        <w:t>23</w:t>
      </w:r>
      <w:r>
        <w:rPr>
          <w:w w:val="95"/>
        </w:rPr>
        <w:t>人，其中指定委員</w:t>
      </w:r>
      <w:r>
        <w:rPr>
          <w:rFonts w:ascii="Times New Roman" w:eastAsia="Times New Roman"/>
          <w:w w:val="95"/>
        </w:rPr>
        <w:t>12</w:t>
      </w:r>
      <w:r>
        <w:rPr>
          <w:rFonts w:ascii="Times New Roman" w:eastAsia="Times New Roman"/>
          <w:spacing w:val="32"/>
          <w:w w:val="95"/>
        </w:rPr>
        <w:t> </w:t>
      </w:r>
      <w:r>
        <w:rPr>
          <w:w w:val="95"/>
        </w:rPr>
        <w:t>人，當然委員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人，票選委員</w:t>
      </w:r>
      <w:r>
        <w:rPr>
          <w:rFonts w:ascii="Times New Roman" w:eastAsia="Times New Roman"/>
          <w:w w:val="95"/>
        </w:rPr>
        <w:t>10</w:t>
      </w:r>
      <w:r>
        <w:rPr>
          <w:w w:val="95"/>
        </w:rPr>
        <w:t>人，</w:t>
      </w:r>
      <w:r>
        <w:rPr>
          <w:rFonts w:ascii="Times New Roman" w:eastAsia="Times New Roman"/>
          <w:w w:val="95"/>
        </w:rPr>
        <w:t>10</w:t>
      </w:r>
      <w:r>
        <w:rPr>
          <w:w w:val="95"/>
        </w:rPr>
        <w:t>名票選委員區分為國內</w:t>
      </w:r>
      <w:r>
        <w:rPr>
          <w:spacing w:val="1"/>
          <w:w w:val="95"/>
        </w:rPr>
        <w:t> </w:t>
      </w:r>
      <w:r>
        <w:rPr>
          <w:w w:val="95"/>
        </w:rPr>
        <w:t>幕僚組及駐外機構組</w:t>
      </w:r>
      <w:r>
        <w:rPr>
          <w:rFonts w:ascii="Times New Roman" w:eastAsia="Times New Roman"/>
          <w:w w:val="95"/>
        </w:rPr>
        <w:t>2</w:t>
      </w:r>
      <w:r>
        <w:rPr>
          <w:w w:val="95"/>
        </w:rPr>
        <w:t>組人員，並以預算員額為計算基準，限</w:t>
      </w:r>
      <w:r>
        <w:rPr>
          <w:spacing w:val="1"/>
          <w:w w:val="95"/>
        </w:rPr>
        <w:t> </w:t>
      </w:r>
      <w:r>
        <w:rPr>
          <w:spacing w:val="-1"/>
        </w:rPr>
        <w:t>制各組別組成人數比例為</w:t>
      </w:r>
      <w:r>
        <w:rPr>
          <w:rFonts w:ascii="Times New Roman" w:eastAsia="Times New Roman"/>
          <w:spacing w:val="-1"/>
        </w:rPr>
        <w:t>8</w:t>
      </w:r>
      <w:r>
        <w:rPr>
          <w:spacing w:val="-1"/>
        </w:rPr>
        <w:t>：</w:t>
      </w:r>
      <w:r>
        <w:rPr>
          <w:rFonts w:ascii="Times New Roman" w:eastAsia="Times New Roman"/>
          <w:spacing w:val="-1"/>
        </w:rPr>
        <w:t>2</w:t>
      </w:r>
      <w:r>
        <w:rPr>
          <w:spacing w:val="-1"/>
        </w:rPr>
        <w:t>，其中駐外機構組之</w:t>
      </w:r>
      <w:r>
        <w:rPr>
          <w:rFonts w:ascii="Times New Roman" w:eastAsia="Times New Roman"/>
        </w:rPr>
        <w:t>2</w:t>
      </w:r>
      <w:r>
        <w:rPr/>
        <w:t>名票選委</w:t>
      </w:r>
      <w:r>
        <w:rPr>
          <w:w w:val="95"/>
        </w:rPr>
        <w:t>員，係逕由駐外考核小組得票數最高之前</w:t>
      </w:r>
      <w:r>
        <w:rPr>
          <w:rFonts w:ascii="Times New Roman" w:eastAsia="Times New Roman"/>
          <w:w w:val="95"/>
        </w:rPr>
        <w:t>2</w:t>
      </w:r>
      <w:r>
        <w:rPr>
          <w:w w:val="95"/>
        </w:rPr>
        <w:t>名擔任，而非另行</w:t>
      </w:r>
      <w:r>
        <w:rPr>
          <w:spacing w:val="1"/>
          <w:w w:val="95"/>
        </w:rPr>
        <w:t> </w:t>
      </w:r>
      <w:r>
        <w:rPr/>
        <w:t>選舉。依組織規程規定意旨，服務機關就票選委員之組成人數比例，固有裁量權限，惟該比例宜參考機關全體受考人之人數計算，其以預算員額之人數，作為考績委員會票選委員人數比例之計算基準，是否妥適，不無疑義。且駐外考核小組並非組織規程所稱考績委員會，得否逕行指派該小組成員擔任考績委員會票選委員，亦非無疑；又該小組成員產生方式，並非以選舉考績委員會票選委員之名義為之，其適法性核有再行斟酌之餘地。</w:t>
      </w:r>
    </w:p>
    <w:p>
      <w:pPr>
        <w:spacing w:after="0" w:line="321" w:lineRule="auto"/>
        <w:jc w:val="both"/>
        <w:sectPr>
          <w:pgSz w:w="11910" w:h="16840"/>
          <w:pgMar w:header="0" w:footer="811" w:top="1040" w:bottom="1000" w:left="1080" w:right="960"/>
        </w:sectPr>
      </w:pPr>
    </w:p>
    <w:p>
      <w:pPr>
        <w:pStyle w:val="Heading4"/>
        <w:spacing w:line="570" w:lineRule="exact"/>
        <w:ind w:left="310"/>
        <w:rPr>
          <w:b/>
        </w:rPr>
      </w:pPr>
      <w:bookmarkStart w:name="_bookmark12" w:id="13"/>
      <w:bookmarkEnd w:id="13"/>
      <w:r>
        <w:rPr/>
      </w:r>
      <w:r>
        <w:rPr>
          <w:b/>
          <w:spacing w:val="-8"/>
        </w:rPr>
        <w:t>案例 </w:t>
      </w:r>
      <w:r>
        <w:rPr>
          <w:rFonts w:ascii="Times New Roman" w:eastAsia="Times New Roman"/>
          <w:b/>
          <w:spacing w:val="-4"/>
        </w:rPr>
        <w:t>8</w:t>
      </w:r>
      <w:r>
        <w:rPr>
          <w:b/>
          <w:spacing w:val="-4"/>
        </w:rPr>
        <w:t>、票選委員選舉方式違反普通、平等、直接、無記名之原</w:t>
      </w:r>
    </w:p>
    <w:p>
      <w:pPr>
        <w:spacing w:line="609" w:lineRule="exact" w:before="0"/>
        <w:ind w:left="1589" w:right="0" w:firstLine="0"/>
        <w:jc w:val="left"/>
        <w:rPr>
          <w:rFonts w:ascii="Adobe 繁黑體 Std B" w:eastAsia="Adobe 繁黑體 Std B" w:hint="eastAsia"/>
          <w:b/>
          <w:sz w:val="34"/>
        </w:rPr>
      </w:pPr>
      <w:r>
        <w:rPr>
          <w:rFonts w:ascii="Adobe 繁黑體 Std B" w:eastAsia="Adobe 繁黑體 Std B" w:hint="eastAsia"/>
          <w:b/>
          <w:w w:val="100"/>
          <w:sz w:val="34"/>
        </w:rPr>
        <w:t>則</w:t>
      </w:r>
    </w:p>
    <w:p>
      <w:pPr>
        <w:pStyle w:val="BodyText"/>
        <w:spacing w:line="321" w:lineRule="auto" w:before="87"/>
        <w:ind w:left="1550" w:right="149" w:hanging="1441"/>
      </w:pPr>
      <w:r>
        <w:rPr>
          <w:w w:val="95"/>
        </w:rPr>
        <w:t>【事實</w:t>
      </w:r>
      <w:r>
        <w:rPr>
          <w:spacing w:val="-221"/>
          <w:w w:val="95"/>
        </w:rPr>
        <w:t>】</w:t>
      </w:r>
      <w:r>
        <w:rPr>
          <w:w w:val="95"/>
        </w:rPr>
        <w:t>（103公申決字第0215號、102公申決字第0170號、第0185號、</w:t>
      </w:r>
      <w:r>
        <w:rPr>
          <w:spacing w:val="1"/>
          <w:w w:val="95"/>
        </w:rPr>
        <w:t> </w:t>
      </w:r>
      <w:r>
        <w:rPr/>
        <w:t>第0306號）</w:t>
      </w:r>
    </w:p>
    <w:p>
      <w:pPr>
        <w:pStyle w:val="BodyText"/>
        <w:spacing w:line="321" w:lineRule="auto" w:before="1"/>
        <w:ind w:left="1190" w:right="226"/>
        <w:jc w:val="both"/>
      </w:pPr>
      <w:r>
        <w:rPr>
          <w:w w:val="95"/>
        </w:rPr>
        <w:t>大康是Ｋ機關數位知識系統組設計師，不服Ｋ機關核布其102</w:t>
      </w:r>
      <w:r>
        <w:rPr>
          <w:spacing w:val="1"/>
          <w:w w:val="95"/>
        </w:rPr>
        <w:t> </w:t>
      </w:r>
      <w:r>
        <w:rPr>
          <w:w w:val="95"/>
        </w:rPr>
        <w:t>年年終考績考列丙等，循序提起申訴、再申訴。經查Ｋ機關</w:t>
      </w:r>
      <w:r>
        <w:rPr>
          <w:spacing w:val="1"/>
          <w:w w:val="95"/>
        </w:rPr>
        <w:t> </w:t>
      </w:r>
      <w:r>
        <w:rPr>
          <w:w w:val="95"/>
        </w:rPr>
        <w:t>102年度考績委員會置委員13人，其中票選委員6人之產生方</w:t>
      </w:r>
      <w:r>
        <w:rPr>
          <w:spacing w:val="95"/>
          <w:w w:val="95"/>
        </w:rPr>
        <w:t> </w:t>
      </w:r>
      <w:r>
        <w:rPr>
          <w:w w:val="95"/>
        </w:rPr>
        <w:t>式，係由Ｋ機關全體受考人為候選人及選舉人，互相票選產</w:t>
      </w:r>
      <w:r>
        <w:rPr>
          <w:spacing w:val="95"/>
          <w:w w:val="95"/>
        </w:rPr>
        <w:t> </w:t>
      </w:r>
      <w:r>
        <w:rPr>
          <w:w w:val="95"/>
        </w:rPr>
        <w:t>生；惟Ｋ機關以所屬組、室、中心為單位，限制每一單位至</w:t>
      </w:r>
      <w:r>
        <w:rPr>
          <w:spacing w:val="81"/>
          <w:w w:val="95"/>
        </w:rPr>
        <w:t> </w:t>
      </w:r>
      <w:r>
        <w:rPr>
          <w:w w:val="95"/>
        </w:rPr>
        <w:t>多以當選1人為限。Ｋ機關102年度考績委員會票選結果，秘</w:t>
      </w:r>
      <w:r>
        <w:rPr>
          <w:spacing w:val="95"/>
          <w:w w:val="95"/>
        </w:rPr>
        <w:t> </w:t>
      </w:r>
      <w:r>
        <w:rPr>
          <w:w w:val="95"/>
        </w:rPr>
        <w:t>書室受考人有2人得票數並列票選委員第3名，惟Ｋ機關以同</w:t>
      </w:r>
      <w:r>
        <w:rPr>
          <w:spacing w:val="85"/>
          <w:w w:val="95"/>
        </w:rPr>
        <w:t> </w:t>
      </w:r>
      <w:r>
        <w:rPr>
          <w:w w:val="95"/>
        </w:rPr>
        <w:t>一單位至多僅能當選1人為由，排除其中1人之當選資格，並</w:t>
      </w:r>
      <w:r>
        <w:rPr>
          <w:spacing w:val="79"/>
          <w:w w:val="95"/>
        </w:rPr>
        <w:t> </w:t>
      </w:r>
      <w:r>
        <w:rPr/>
        <w:t>自無當選人之單位中遞補1人擔任票選委員。</w:t>
      </w:r>
    </w:p>
    <w:p>
      <w:pPr>
        <w:pStyle w:val="BodyText"/>
        <w:spacing w:before="4"/>
        <w:ind w:left="110"/>
      </w:pPr>
      <w:r>
        <w:rPr/>
        <w:t>【解析】</w:t>
      </w:r>
    </w:p>
    <w:p>
      <w:pPr>
        <w:pStyle w:val="ListParagraph"/>
        <w:numPr>
          <w:ilvl w:val="0"/>
          <w:numId w:val="6"/>
        </w:numPr>
        <w:tabs>
          <w:tab w:pos="1232" w:val="left" w:leader="none"/>
        </w:tabs>
        <w:spacing w:line="321" w:lineRule="auto" w:before="153" w:after="0"/>
        <w:ind w:left="1231" w:right="228" w:hanging="831"/>
        <w:jc w:val="both"/>
        <w:rPr>
          <w:sz w:val="32"/>
        </w:rPr>
      </w:pPr>
      <w:r>
        <w:rPr>
          <w:w w:val="95"/>
          <w:sz w:val="32"/>
        </w:rPr>
        <w:t>按組織規程第2條第5</w:t>
      </w:r>
      <w:r>
        <w:rPr>
          <w:spacing w:val="-14"/>
          <w:w w:val="95"/>
          <w:sz w:val="32"/>
        </w:rPr>
        <w:t>項前段規定：「前項票選，應採普通、平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等、直接及無記名投票法行之。」是各機關受考人均應以上</w:t>
      </w:r>
      <w:r>
        <w:rPr>
          <w:spacing w:val="52"/>
          <w:w w:val="95"/>
          <w:sz w:val="32"/>
        </w:rPr>
        <w:t> </w:t>
      </w:r>
      <w:r>
        <w:rPr>
          <w:w w:val="95"/>
          <w:sz w:val="32"/>
        </w:rPr>
        <w:t>開方式行使其考績委員會票選委員選舉權（被選舉權及投票</w:t>
      </w:r>
      <w:r>
        <w:rPr>
          <w:spacing w:val="36"/>
          <w:w w:val="95"/>
          <w:sz w:val="32"/>
        </w:rPr>
        <w:t> </w:t>
      </w:r>
      <w:r>
        <w:rPr>
          <w:sz w:val="32"/>
        </w:rPr>
        <w:t>權</w:t>
      </w:r>
      <w:r>
        <w:rPr>
          <w:spacing w:val="-161"/>
          <w:sz w:val="32"/>
        </w:rPr>
        <w:t>）</w:t>
      </w:r>
      <w:r>
        <w:rPr>
          <w:sz w:val="32"/>
        </w:rPr>
        <w:t>。</w:t>
      </w:r>
    </w:p>
    <w:p>
      <w:pPr>
        <w:pStyle w:val="ListParagraph"/>
        <w:numPr>
          <w:ilvl w:val="0"/>
          <w:numId w:val="6"/>
        </w:numPr>
        <w:tabs>
          <w:tab w:pos="1232" w:val="left" w:leader="none"/>
        </w:tabs>
        <w:spacing w:line="321" w:lineRule="auto" w:before="1" w:after="0"/>
        <w:ind w:left="1231" w:right="227" w:hanging="831"/>
        <w:jc w:val="both"/>
        <w:rPr>
          <w:sz w:val="32"/>
        </w:rPr>
      </w:pPr>
      <w:r>
        <w:rPr>
          <w:w w:val="95"/>
          <w:sz w:val="32"/>
        </w:rPr>
        <w:t>查Ｋ機關辦理102年度考績委員會票選委員選舉作業，限制每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一單位至多以當選1人為限。該次票選結果，秘書室受考人有</w:t>
      </w:r>
      <w:r>
        <w:rPr>
          <w:spacing w:val="53"/>
          <w:w w:val="95"/>
          <w:sz w:val="32"/>
        </w:rPr>
        <w:t> </w:t>
      </w:r>
      <w:r>
        <w:rPr>
          <w:w w:val="95"/>
          <w:sz w:val="32"/>
        </w:rPr>
        <w:t>2人得票數並列第3名，惟Ｋ機關以上開理由排除其中1人之當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選資格，並自無當選人之單位中遞補1人擔任票選委員，顯已</w:t>
      </w:r>
      <w:r>
        <w:rPr>
          <w:spacing w:val="1"/>
          <w:w w:val="95"/>
          <w:sz w:val="32"/>
        </w:rPr>
        <w:t> </w:t>
      </w:r>
      <w:r>
        <w:rPr>
          <w:sz w:val="32"/>
        </w:rPr>
        <w:t>違反平等原則。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Heading4"/>
        <w:spacing w:line="579" w:lineRule="exact"/>
        <w:rPr>
          <w:b/>
        </w:rPr>
      </w:pPr>
      <w:bookmarkStart w:name="_bookmark13" w:id="14"/>
      <w:bookmarkEnd w:id="14"/>
      <w:r>
        <w:rPr/>
      </w:r>
      <w:r>
        <w:rPr>
          <w:b/>
          <w:spacing w:val="5"/>
        </w:rPr>
        <w:t>案例 </w:t>
      </w:r>
      <w:r>
        <w:rPr>
          <w:rFonts w:ascii="Times New Roman" w:eastAsia="Times New Roman"/>
          <w:b/>
        </w:rPr>
        <w:t>9</w:t>
      </w:r>
      <w:r>
        <w:rPr>
          <w:b/>
        </w:rPr>
        <w:t>、與得採分組、間接、通訊等票選方式之要件不符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（102公申決字第0185號、102公申決字第0170號）</w:t>
      </w:r>
    </w:p>
    <w:p>
      <w:pPr>
        <w:pStyle w:val="BodyText"/>
        <w:spacing w:line="321" w:lineRule="auto" w:before="152"/>
        <w:ind w:left="1190" w:right="192"/>
        <w:jc w:val="both"/>
      </w:pPr>
      <w:r>
        <w:rPr/>
        <w:t>阿咩是Ｌ機關所屬機構之人事室辦事員。其不服Ｌ機關人事</w:t>
      </w:r>
      <w:r>
        <w:rPr>
          <w:w w:val="95"/>
        </w:rPr>
        <w:t>處核布其101年年終考績考列乙等，循序提起申訴、再申訴。</w:t>
      </w:r>
      <w:r>
        <w:rPr>
          <w:spacing w:val="1"/>
          <w:w w:val="95"/>
        </w:rPr>
        <w:t> </w:t>
      </w:r>
      <w:r>
        <w:rPr>
          <w:spacing w:val="11"/>
        </w:rPr>
        <w:t>查Ｌ機關人事處辦理該處及所屬機構人事人員</w:t>
      </w:r>
      <w:r>
        <w:rPr/>
        <w:t>101</w:t>
      </w:r>
      <w:r>
        <w:rPr>
          <w:spacing w:val="9"/>
        </w:rPr>
        <w:t>年甄審暨</w:t>
      </w:r>
      <w:r>
        <w:rPr>
          <w:spacing w:val="-1"/>
        </w:rPr>
        <w:t>考績委員會籌組作業，置委員</w:t>
      </w:r>
      <w:r>
        <w:rPr/>
        <w:t>11人，其中指定委員5人，當然</w:t>
      </w:r>
      <w:r>
        <w:rPr>
          <w:w w:val="95"/>
        </w:rPr>
        <w:t>委員1人，票選委員5人，並將該處及所屬人事機構分為5組，</w:t>
      </w:r>
      <w:r>
        <w:rPr>
          <w:spacing w:val="1"/>
          <w:w w:val="95"/>
        </w:rPr>
        <w:t> </w:t>
      </w:r>
      <w:r>
        <w:rPr/>
        <w:t>分組辦理候選人推薦參選及網路票選作業。</w:t>
      </w:r>
    </w:p>
    <w:p>
      <w:pPr>
        <w:pStyle w:val="BodyText"/>
        <w:spacing w:before="3"/>
        <w:ind w:left="110"/>
      </w:pPr>
      <w:r>
        <w:rPr/>
        <w:t>【解析】</w:t>
      </w:r>
    </w:p>
    <w:p>
      <w:pPr>
        <w:pStyle w:val="ListParagraph"/>
        <w:numPr>
          <w:ilvl w:val="0"/>
          <w:numId w:val="7"/>
        </w:numPr>
        <w:tabs>
          <w:tab w:pos="1112" w:val="left" w:leader="none"/>
        </w:tabs>
        <w:spacing w:line="321" w:lineRule="auto" w:before="152" w:after="0"/>
        <w:ind w:left="1111" w:right="156" w:hanging="831"/>
        <w:jc w:val="both"/>
        <w:rPr>
          <w:sz w:val="32"/>
        </w:rPr>
      </w:pPr>
      <w:r>
        <w:rPr>
          <w:spacing w:val="-3"/>
          <w:sz w:val="32"/>
        </w:rPr>
        <w:t>按各機關辦理票選委員時，雖得因機關之特殊情形，依組織規</w:t>
      </w:r>
      <w:r>
        <w:rPr>
          <w:spacing w:val="-5"/>
          <w:w w:val="95"/>
          <w:sz w:val="32"/>
        </w:rPr>
        <w:t>程第 </w:t>
      </w:r>
      <w:r>
        <w:rPr>
          <w:w w:val="95"/>
          <w:sz w:val="32"/>
        </w:rPr>
        <w:t>2</w:t>
      </w:r>
      <w:r>
        <w:rPr>
          <w:spacing w:val="-7"/>
          <w:w w:val="95"/>
          <w:sz w:val="32"/>
        </w:rPr>
        <w:t> 條第 </w:t>
      </w:r>
      <w:r>
        <w:rPr>
          <w:w w:val="95"/>
          <w:sz w:val="32"/>
        </w:rPr>
        <w:t>5</w:t>
      </w:r>
      <w:r>
        <w:rPr>
          <w:spacing w:val="-4"/>
          <w:w w:val="95"/>
          <w:sz w:val="32"/>
        </w:rPr>
        <w:t> 項但書規定，採分組、間接、通訊等方式辦理投</w:t>
      </w:r>
      <w:r>
        <w:rPr>
          <w:spacing w:val="-3"/>
          <w:sz w:val="32"/>
        </w:rPr>
        <w:t>票作業，惟仍應符合採行各該選舉方式之要件。如公務人員職</w:t>
      </w:r>
      <w:r>
        <w:rPr>
          <w:spacing w:val="-8"/>
          <w:sz w:val="32"/>
        </w:rPr>
        <w:t>務性質相同而服勤地點分散各處者，其考績委員會之票選委員</w:t>
      </w:r>
      <w:r>
        <w:rPr>
          <w:sz w:val="32"/>
        </w:rPr>
        <w:t>固得採間接或通訊投票方式選舉，惟尚不得採行分組方式票</w:t>
      </w:r>
      <w:r>
        <w:rPr>
          <w:spacing w:val="-3"/>
          <w:sz w:val="32"/>
        </w:rPr>
        <w:t>選。此與醫院護理人員、醫師間，因職務屬性差異致受考人數</w:t>
      </w:r>
      <w:r>
        <w:rPr>
          <w:w w:val="95"/>
          <w:sz w:val="32"/>
        </w:rPr>
        <w:t>顯有落差，得依其職務採分組票選產生若干委員之情形有別。</w:t>
      </w:r>
    </w:p>
    <w:p>
      <w:pPr>
        <w:pStyle w:val="ListParagraph"/>
        <w:numPr>
          <w:ilvl w:val="0"/>
          <w:numId w:val="7"/>
        </w:numPr>
        <w:tabs>
          <w:tab w:pos="1112" w:val="left" w:leader="none"/>
        </w:tabs>
        <w:spacing w:line="321" w:lineRule="auto" w:before="3" w:after="0"/>
        <w:ind w:left="1111" w:right="227" w:hanging="831"/>
        <w:jc w:val="both"/>
        <w:rPr>
          <w:sz w:val="32"/>
        </w:rPr>
      </w:pPr>
      <w:r>
        <w:rPr>
          <w:w w:val="95"/>
          <w:sz w:val="32"/>
        </w:rPr>
        <w:t>Ｌ機關人事處及所屬人事機構之人事人員，雖分別配置於該</w:t>
      </w:r>
      <w:r>
        <w:rPr>
          <w:spacing w:val="150"/>
          <w:sz w:val="32"/>
        </w:rPr>
        <w:t> </w:t>
      </w:r>
      <w:r>
        <w:rPr>
          <w:spacing w:val="-6"/>
          <w:w w:val="95"/>
          <w:sz w:val="32"/>
        </w:rPr>
        <w:t>處暨所屬各級人事機構，然其職務性質並無不同；該處分組辦</w:t>
      </w:r>
      <w:r>
        <w:rPr>
          <w:spacing w:val="1"/>
          <w:w w:val="95"/>
          <w:sz w:val="32"/>
        </w:rPr>
        <w:t> 理其考績委員會票選委員票選作業，核與組織規程第 </w:t>
      </w:r>
      <w:r>
        <w:rPr>
          <w:w w:val="95"/>
          <w:sz w:val="32"/>
        </w:rPr>
        <w:t>2</w:t>
      </w:r>
      <w:r>
        <w:rPr>
          <w:spacing w:val="16"/>
          <w:w w:val="95"/>
          <w:sz w:val="32"/>
        </w:rPr>
        <w:t> 條第 </w:t>
      </w:r>
      <w:r>
        <w:rPr>
          <w:w w:val="95"/>
          <w:sz w:val="32"/>
        </w:rPr>
        <w:t>5</w:t>
      </w:r>
      <w:r>
        <w:rPr>
          <w:spacing w:val="-150"/>
          <w:w w:val="95"/>
          <w:sz w:val="32"/>
        </w:rPr>
        <w:t> </w:t>
      </w:r>
      <w:r>
        <w:rPr>
          <w:w w:val="95"/>
          <w:sz w:val="32"/>
        </w:rPr>
        <w:t>項規定，票選方式應符合普通、平等、直接及無記名投票法</w:t>
      </w:r>
      <w:r>
        <w:rPr>
          <w:spacing w:val="149"/>
          <w:sz w:val="32"/>
        </w:rPr>
        <w:t> </w:t>
      </w:r>
      <w:r>
        <w:rPr>
          <w:sz w:val="32"/>
        </w:rPr>
        <w:t>之意旨有違。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Heading3"/>
        <w:ind w:right="1373"/>
      </w:pPr>
      <w:bookmarkStart w:name="_bookmark14" w:id="15"/>
      <w:bookmarkEnd w:id="15"/>
      <w:r>
        <w:rPr>
          <w:b w:val="0"/>
        </w:rPr>
      </w:r>
      <w:r>
        <w:rPr/>
        <w:t>（三）考績評擬程序不合法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rPr>
          <w:b/>
        </w:rPr>
      </w:pPr>
      <w:bookmarkStart w:name="_bookmark15" w:id="16"/>
      <w:bookmarkEnd w:id="16"/>
      <w:r>
        <w:rPr/>
      </w:r>
      <w:r>
        <w:rPr>
          <w:b/>
          <w:spacing w:val="4"/>
        </w:rPr>
        <w:t>案例 </w:t>
      </w:r>
      <w:r>
        <w:rPr>
          <w:rFonts w:ascii="Times New Roman" w:eastAsia="Times New Roman"/>
          <w:b/>
        </w:rPr>
        <w:t>10</w:t>
      </w:r>
      <w:r>
        <w:rPr>
          <w:b/>
        </w:rPr>
        <w:t>、非本職單位主管或直屬長官所為之評擬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（103公申決字第0244號、103公申決字第0073號）</w:t>
      </w:r>
    </w:p>
    <w:p>
      <w:pPr>
        <w:pStyle w:val="BodyText"/>
        <w:spacing w:line="321" w:lineRule="auto" w:before="153"/>
        <w:ind w:left="1070" w:right="229"/>
        <w:jc w:val="both"/>
      </w:pPr>
      <w:r>
        <w:rPr>
          <w:w w:val="95"/>
        </w:rPr>
        <w:t>胡颳原是Ｎ機關綜合規劃科技士，自102年11月18日起奉派支</w:t>
      </w:r>
      <w:r>
        <w:rPr>
          <w:spacing w:val="60"/>
          <w:w w:val="95"/>
        </w:rPr>
        <w:t> </w:t>
      </w:r>
      <w:r>
        <w:rPr>
          <w:w w:val="95"/>
        </w:rPr>
        <w:t>援Ｎ機關稽查檢驗科，協助辦理該科綜合業務。其因不服Ｎ機</w:t>
      </w:r>
      <w:r>
        <w:rPr>
          <w:spacing w:val="1"/>
          <w:w w:val="95"/>
        </w:rPr>
        <w:t> </w:t>
      </w:r>
      <w:r>
        <w:rPr>
          <w:w w:val="95"/>
        </w:rPr>
        <w:t>關核布其102年年終考績考列丙等，循序提起申訴、再申訴。</w:t>
      </w:r>
      <w:r>
        <w:rPr>
          <w:spacing w:val="60"/>
          <w:w w:val="95"/>
        </w:rPr>
        <w:t> </w:t>
      </w:r>
      <w:r>
        <w:rPr>
          <w:w w:val="95"/>
        </w:rPr>
        <w:t>經查胡颳102年公務人員考績表之直屬或上級長官考評欄，係</w:t>
      </w:r>
      <w:r>
        <w:rPr>
          <w:spacing w:val="44"/>
          <w:w w:val="95"/>
        </w:rPr>
        <w:t> </w:t>
      </w:r>
      <w:r>
        <w:rPr/>
        <w:t>由支援單位之稽查檢驗科科長評擬。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8"/>
        </w:numPr>
        <w:tabs>
          <w:tab w:pos="1112" w:val="left" w:leader="none"/>
        </w:tabs>
        <w:spacing w:line="321" w:lineRule="auto" w:before="152" w:after="0"/>
        <w:ind w:left="1111" w:right="149" w:hanging="831"/>
        <w:jc w:val="both"/>
        <w:rPr>
          <w:sz w:val="32"/>
        </w:rPr>
      </w:pPr>
      <w:r>
        <w:rPr>
          <w:spacing w:val="14"/>
          <w:sz w:val="32"/>
        </w:rPr>
        <w:t>依考績法第</w:t>
      </w:r>
      <w:r>
        <w:rPr>
          <w:sz w:val="32"/>
        </w:rPr>
        <w:t>14</w:t>
      </w:r>
      <w:r>
        <w:rPr>
          <w:spacing w:val="15"/>
          <w:sz w:val="32"/>
        </w:rPr>
        <w:t>條第1</w:t>
      </w:r>
      <w:r>
        <w:rPr>
          <w:spacing w:val="13"/>
          <w:sz w:val="32"/>
        </w:rPr>
        <w:t>項前段規定，各機關對於公務人員之考</w:t>
      </w:r>
      <w:r>
        <w:rPr>
          <w:sz w:val="32"/>
        </w:rPr>
        <w:t>績，應由主管人員就考績表項目評擬。次按銓敘部96年7月4</w:t>
      </w:r>
      <w:r>
        <w:rPr>
          <w:spacing w:val="1"/>
          <w:sz w:val="32"/>
        </w:rPr>
        <w:t> </w:t>
      </w:r>
      <w:r>
        <w:rPr>
          <w:sz w:val="32"/>
        </w:rPr>
        <w:t>日部法二字第0962807727</w:t>
      </w:r>
      <w:r>
        <w:rPr>
          <w:spacing w:val="-14"/>
          <w:sz w:val="32"/>
        </w:rPr>
        <w:t>號書函所載：「……公務人員所任職</w:t>
      </w:r>
      <w:r>
        <w:rPr>
          <w:spacing w:val="-3"/>
          <w:sz w:val="32"/>
        </w:rPr>
        <w:t>務經銓敘審定，機關首長基於業務考量，工作指派至其他單位服務，其考績依前開考績法第</w:t>
      </w:r>
      <w:r>
        <w:rPr>
          <w:spacing w:val="-2"/>
          <w:sz w:val="32"/>
        </w:rPr>
        <w:t>14條規定，仍應由其銓敘審定職</w:t>
      </w:r>
      <w:r>
        <w:rPr>
          <w:spacing w:val="-10"/>
          <w:sz w:val="32"/>
        </w:rPr>
        <w:t>務之所屬單位主管評擬分數，惟工作指派之單位主管對公務人</w:t>
      </w:r>
      <w:r>
        <w:rPr>
          <w:spacing w:val="20"/>
          <w:sz w:val="32"/>
        </w:rPr>
        <w:t>員平時工作表現考評，可作為所屬單位主管評擬分數之參</w:t>
      </w:r>
      <w:r>
        <w:rPr>
          <w:spacing w:val="-10"/>
          <w:w w:val="95"/>
          <w:sz w:val="32"/>
        </w:rPr>
        <w:t>考……。」據此，公務人員之考績，應由其本職單位主管評擬，</w:t>
      </w:r>
      <w:r>
        <w:rPr>
          <w:spacing w:val="1"/>
          <w:w w:val="95"/>
          <w:sz w:val="32"/>
        </w:rPr>
        <w:t> </w:t>
      </w:r>
      <w:r>
        <w:rPr>
          <w:spacing w:val="-8"/>
          <w:sz w:val="32"/>
        </w:rPr>
        <w:t>奉派支援單位之主管所評擬之意見，僅得作為本職單位主管評</w:t>
      </w:r>
      <w:r>
        <w:rPr>
          <w:sz w:val="32"/>
        </w:rPr>
        <w:t>擬該公務人員考績之參考依據。</w:t>
      </w:r>
    </w:p>
    <w:p>
      <w:pPr>
        <w:pStyle w:val="ListParagraph"/>
        <w:numPr>
          <w:ilvl w:val="0"/>
          <w:numId w:val="8"/>
        </w:numPr>
        <w:tabs>
          <w:tab w:pos="1112" w:val="left" w:leader="none"/>
        </w:tabs>
        <w:spacing w:line="321" w:lineRule="auto" w:before="5" w:after="0"/>
        <w:ind w:left="1111" w:right="224" w:hanging="831"/>
        <w:jc w:val="both"/>
        <w:rPr>
          <w:sz w:val="32"/>
        </w:rPr>
      </w:pPr>
      <w:r>
        <w:rPr>
          <w:w w:val="95"/>
          <w:sz w:val="32"/>
        </w:rPr>
        <w:t>惟查胡颳102年公務人員考績表之直屬或上級長官考評欄，並</w:t>
      </w:r>
      <w:r>
        <w:rPr>
          <w:spacing w:val="24"/>
          <w:w w:val="95"/>
          <w:sz w:val="32"/>
        </w:rPr>
        <w:t> </w:t>
      </w:r>
      <w:r>
        <w:rPr>
          <w:spacing w:val="-8"/>
          <w:w w:val="95"/>
          <w:sz w:val="32"/>
        </w:rPr>
        <w:t>非由其單位主管綜合規劃科科長評擬，而係由Ｎ機關稽查檢驗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科科長綜合評擬為69分。是Ｎ機關辦理胡颳102年年終考績之</w:t>
      </w:r>
      <w:r>
        <w:rPr>
          <w:spacing w:val="24"/>
          <w:w w:val="95"/>
          <w:sz w:val="32"/>
        </w:rPr>
        <w:t> </w:t>
      </w:r>
      <w:r>
        <w:rPr>
          <w:spacing w:val="-13"/>
          <w:w w:val="95"/>
          <w:sz w:val="32"/>
        </w:rPr>
        <w:t>作業程序，核與考績法第</w:t>
      </w:r>
      <w:r>
        <w:rPr>
          <w:w w:val="95"/>
          <w:sz w:val="32"/>
        </w:rPr>
        <w:t>14條第1項前段之規定及銓敘部96年7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60" w:bottom="1000" w:left="1080" w:right="960"/>
        </w:sectPr>
      </w:pPr>
    </w:p>
    <w:p>
      <w:pPr>
        <w:pStyle w:val="BodyText"/>
        <w:spacing w:before="6"/>
        <w:ind w:left="1111"/>
      </w:pPr>
      <w:r>
        <w:rPr/>
        <w:t>月4日書函意旨有違，自有法定程序之瑕疵。</w:t>
      </w:r>
    </w:p>
    <w:p>
      <w:pPr>
        <w:spacing w:after="0"/>
        <w:sectPr>
          <w:pgSz w:w="11910" w:h="16840"/>
          <w:pgMar w:header="0" w:footer="811" w:top="1100" w:bottom="1000" w:left="1080" w:right="960"/>
        </w:sectPr>
      </w:pPr>
    </w:p>
    <w:p>
      <w:pPr>
        <w:pStyle w:val="Heading4"/>
        <w:spacing w:line="579" w:lineRule="exact"/>
        <w:rPr>
          <w:b/>
        </w:rPr>
      </w:pPr>
      <w:bookmarkStart w:name="_bookmark16" w:id="17"/>
      <w:bookmarkEnd w:id="17"/>
      <w:r>
        <w:rPr/>
      </w:r>
      <w:r>
        <w:rPr>
          <w:b/>
          <w:spacing w:val="-8"/>
        </w:rPr>
        <w:t>案例 </w:t>
      </w:r>
      <w:r>
        <w:rPr>
          <w:rFonts w:ascii="Times New Roman" w:eastAsia="Times New Roman"/>
          <w:b/>
          <w:spacing w:val="-2"/>
        </w:rPr>
        <w:t>11</w:t>
      </w:r>
      <w:r>
        <w:rPr>
          <w:b/>
          <w:spacing w:val="-2"/>
        </w:rPr>
        <w:t>、未覈實考核公務人員考績，且會議進行之方式違反規定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（103公申決字第0089號）</w:t>
      </w:r>
    </w:p>
    <w:p>
      <w:pPr>
        <w:pStyle w:val="BodyText"/>
        <w:spacing w:line="321" w:lineRule="auto" w:before="152"/>
        <w:ind w:left="1070" w:right="231"/>
        <w:jc w:val="both"/>
      </w:pPr>
      <w:r>
        <w:rPr>
          <w:w w:val="95"/>
        </w:rPr>
        <w:t>昆伶是Ｐ機關書記，不服Ｐ機關核布其102年年終考績考列乙</w:t>
      </w:r>
      <w:r>
        <w:rPr>
          <w:spacing w:val="58"/>
          <w:w w:val="95"/>
        </w:rPr>
        <w:t> </w:t>
      </w:r>
      <w:r>
        <w:rPr>
          <w:w w:val="95"/>
        </w:rPr>
        <w:t>等，循序提起申訴、再申訴。惟考績委員會初核程序，主席均</w:t>
      </w:r>
      <w:r>
        <w:rPr>
          <w:spacing w:val="1"/>
          <w:w w:val="95"/>
        </w:rPr>
        <w:t> </w:t>
      </w:r>
      <w:r>
        <w:rPr/>
        <w:t>參加表決，且以抽籤方式決定考列乙等人選。</w:t>
      </w:r>
    </w:p>
    <w:p>
      <w:pPr>
        <w:pStyle w:val="BodyText"/>
        <w:spacing w:before="1"/>
        <w:ind w:left="110"/>
      </w:pPr>
      <w:r>
        <w:rPr/>
        <w:t>【解析】</w:t>
      </w:r>
    </w:p>
    <w:p>
      <w:pPr>
        <w:pStyle w:val="ListParagraph"/>
        <w:numPr>
          <w:ilvl w:val="0"/>
          <w:numId w:val="9"/>
        </w:numPr>
        <w:tabs>
          <w:tab w:pos="1112" w:val="left" w:leader="none"/>
        </w:tabs>
        <w:spacing w:line="321" w:lineRule="auto" w:before="153" w:after="0"/>
        <w:ind w:left="1111" w:right="151" w:hanging="831"/>
        <w:jc w:val="both"/>
        <w:rPr>
          <w:sz w:val="32"/>
        </w:rPr>
      </w:pPr>
      <w:r>
        <w:rPr>
          <w:spacing w:val="-3"/>
          <w:sz w:val="32"/>
        </w:rPr>
        <w:t>按組織規程第</w:t>
      </w:r>
      <w:r>
        <w:rPr>
          <w:spacing w:val="-2"/>
          <w:sz w:val="32"/>
        </w:rPr>
        <w:t>4條第1項前段規定，考績委員會之召開，須有全</w:t>
      </w:r>
      <w:r>
        <w:rPr>
          <w:sz w:val="32"/>
        </w:rPr>
        <w:t>體委員過半數之出席，始得開會，及出席委員半數以上之同</w:t>
      </w:r>
      <w:r>
        <w:rPr>
          <w:spacing w:val="-3"/>
          <w:sz w:val="32"/>
        </w:rPr>
        <w:t>意，始得決議；可否均未達半數時，主席可加入任一方以達半</w:t>
      </w:r>
      <w:r>
        <w:rPr>
          <w:spacing w:val="-20"/>
          <w:w w:val="95"/>
          <w:sz w:val="32"/>
        </w:rPr>
        <w:t>數同意。據上，考績委員會主席於議案表決時，以不參與發言、</w:t>
      </w:r>
      <w:r>
        <w:rPr>
          <w:spacing w:val="1"/>
          <w:w w:val="95"/>
          <w:sz w:val="32"/>
        </w:rPr>
        <w:t> </w:t>
      </w:r>
      <w:r>
        <w:rPr>
          <w:spacing w:val="-3"/>
          <w:sz w:val="32"/>
        </w:rPr>
        <w:t>討論或表決為原則；僅在議案表決結果係可否同數時，方得加</w:t>
      </w:r>
      <w:r>
        <w:rPr>
          <w:sz w:val="32"/>
        </w:rPr>
        <w:t>入可方，使其通過；或不加入，而使其否決。</w:t>
      </w:r>
    </w:p>
    <w:p>
      <w:pPr>
        <w:pStyle w:val="ListParagraph"/>
        <w:numPr>
          <w:ilvl w:val="0"/>
          <w:numId w:val="9"/>
        </w:numPr>
        <w:tabs>
          <w:tab w:pos="1112" w:val="left" w:leader="none"/>
        </w:tabs>
        <w:spacing w:line="321" w:lineRule="auto" w:before="2" w:after="0"/>
        <w:ind w:left="1111" w:right="148" w:hanging="831"/>
        <w:jc w:val="both"/>
        <w:rPr>
          <w:sz w:val="32"/>
        </w:rPr>
      </w:pPr>
      <w:r>
        <w:rPr>
          <w:sz w:val="32"/>
        </w:rPr>
        <w:t>查Ｐ機關考績委員會辦理所屬人員（含再申訴人）102年年終</w:t>
      </w:r>
      <w:r>
        <w:rPr>
          <w:spacing w:val="-20"/>
          <w:w w:val="95"/>
          <w:sz w:val="32"/>
        </w:rPr>
        <w:t>考績初核時，係以無記名、</w:t>
      </w:r>
      <w:r>
        <w:rPr>
          <w:w w:val="95"/>
          <w:sz w:val="32"/>
        </w:rPr>
        <w:t>3</w:t>
      </w:r>
      <w:r>
        <w:rPr>
          <w:spacing w:val="-7"/>
          <w:w w:val="95"/>
          <w:sz w:val="32"/>
        </w:rPr>
        <w:t>輪投票方式表決，</w:t>
      </w:r>
      <w:r>
        <w:rPr>
          <w:w w:val="95"/>
          <w:sz w:val="32"/>
        </w:rPr>
        <w:t>6名委員均出席，</w:t>
      </w:r>
      <w:r>
        <w:rPr>
          <w:spacing w:val="1"/>
          <w:w w:val="95"/>
          <w:sz w:val="32"/>
        </w:rPr>
        <w:t> </w:t>
      </w:r>
      <w:r>
        <w:rPr>
          <w:spacing w:val="-3"/>
          <w:sz w:val="32"/>
        </w:rPr>
        <w:t>連同主席，共計</w:t>
      </w:r>
      <w:r>
        <w:rPr>
          <w:spacing w:val="-2"/>
          <w:sz w:val="32"/>
        </w:rPr>
        <w:t>7人；經3輪投票表決後，因表決後之考列甲等</w:t>
      </w:r>
      <w:r>
        <w:rPr>
          <w:spacing w:val="-3"/>
          <w:sz w:val="32"/>
        </w:rPr>
        <w:t>人數比例仍過高，為符合比例要求，乃再以抽籤方式表決，抽</w:t>
      </w:r>
      <w:r>
        <w:rPr>
          <w:sz w:val="32"/>
        </w:rPr>
        <w:t>中昆伶考列乙等。</w:t>
      </w:r>
    </w:p>
    <w:p>
      <w:pPr>
        <w:pStyle w:val="ListParagraph"/>
        <w:numPr>
          <w:ilvl w:val="0"/>
          <w:numId w:val="9"/>
        </w:numPr>
        <w:tabs>
          <w:tab w:pos="1112" w:val="left" w:leader="none"/>
        </w:tabs>
        <w:spacing w:line="321" w:lineRule="auto" w:before="3" w:after="0"/>
        <w:ind w:left="1111" w:right="205" w:hanging="831"/>
        <w:jc w:val="both"/>
        <w:rPr>
          <w:sz w:val="32"/>
        </w:rPr>
      </w:pPr>
      <w:r>
        <w:rPr>
          <w:spacing w:val="-4"/>
          <w:sz w:val="32"/>
        </w:rPr>
        <w:t>按抽籤具有高度之隨機性與射倖性，除欠缺法源依據外，且違</w:t>
      </w:r>
      <w:r>
        <w:rPr>
          <w:spacing w:val="21"/>
          <w:w w:val="95"/>
          <w:sz w:val="32"/>
        </w:rPr>
        <w:t>反考績法第</w:t>
      </w:r>
      <w:r>
        <w:rPr>
          <w:spacing w:val="20"/>
          <w:w w:val="95"/>
          <w:sz w:val="32"/>
        </w:rPr>
        <w:t>2</w:t>
      </w:r>
      <w:r>
        <w:rPr>
          <w:spacing w:val="22"/>
          <w:w w:val="95"/>
          <w:sz w:val="32"/>
        </w:rPr>
        <w:t>條及第</w:t>
      </w:r>
      <w:r>
        <w:rPr>
          <w:spacing w:val="20"/>
          <w:w w:val="95"/>
          <w:sz w:val="32"/>
        </w:rPr>
        <w:t>5</w:t>
      </w:r>
      <w:r>
        <w:rPr>
          <w:spacing w:val="21"/>
          <w:w w:val="95"/>
          <w:sz w:val="32"/>
        </w:rPr>
        <w:t>條規定應覈實考核公務人員考績之原</w:t>
      </w:r>
      <w:r>
        <w:rPr>
          <w:spacing w:val="22"/>
          <w:w w:val="95"/>
          <w:sz w:val="32"/>
        </w:rPr>
        <w:t> </w:t>
      </w:r>
      <w:r>
        <w:rPr>
          <w:sz w:val="32"/>
        </w:rPr>
        <w:t>則。又考績委員會會議主席參與3輪投票表決程序，參酌銓敘部96年10月29日部法二字第0962867818</w:t>
      </w:r>
      <w:r>
        <w:rPr>
          <w:spacing w:val="-14"/>
          <w:sz w:val="32"/>
        </w:rPr>
        <w:t>號書函意旨，考績委員</w:t>
      </w:r>
      <w:r>
        <w:rPr>
          <w:spacing w:val="-6"/>
          <w:sz w:val="32"/>
        </w:rPr>
        <w:t>會主席僅得於表決結果係可否同數時加入投票；如主席於決議</w:t>
      </w:r>
      <w:r>
        <w:rPr>
          <w:sz w:val="32"/>
        </w:rPr>
        <w:t>之初即參與投票，應認違反組織規程第4條第1項規定。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Heading4"/>
        <w:spacing w:line="579" w:lineRule="exact"/>
        <w:rPr>
          <w:b/>
        </w:rPr>
      </w:pPr>
      <w:bookmarkStart w:name="_bookmark17" w:id="18"/>
      <w:bookmarkEnd w:id="18"/>
      <w:r>
        <w:rPr/>
      </w:r>
      <w:r>
        <w:rPr>
          <w:b/>
          <w:spacing w:val="5"/>
        </w:rPr>
        <w:t>案例 </w:t>
      </w:r>
      <w:r>
        <w:rPr>
          <w:rFonts w:ascii="Times New Roman" w:eastAsia="Times New Roman"/>
          <w:b/>
        </w:rPr>
        <w:t>12</w:t>
      </w:r>
      <w:r>
        <w:rPr>
          <w:b/>
        </w:rPr>
        <w:t>、指定委員由其職務代理人或委請他人代表出席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（102公申決字第0069號）</w:t>
      </w:r>
    </w:p>
    <w:p>
      <w:pPr>
        <w:pStyle w:val="BodyText"/>
        <w:spacing w:line="321" w:lineRule="auto" w:before="152"/>
        <w:ind w:left="1070" w:right="153"/>
        <w:jc w:val="both"/>
      </w:pPr>
      <w:r>
        <w:rPr/>
        <w:t>心如係Ｑ醫院醫師。該院審認心如自101年11月14日起，未依</w:t>
      </w:r>
      <w:r>
        <w:rPr>
          <w:spacing w:val="-1"/>
        </w:rPr>
        <w:t>公務人員請假規則請假，於工作時間內遲到早退曠職，累計達</w:t>
      </w:r>
      <w:r>
        <w:rPr/>
        <w:t>40</w:t>
      </w:r>
      <w:r>
        <w:rPr>
          <w:spacing w:val="14"/>
        </w:rPr>
        <w:t>小時以上，依考績法施行細則第</w:t>
      </w:r>
      <w:r>
        <w:rPr/>
        <w:t>13</w:t>
      </w:r>
      <w:r>
        <w:rPr>
          <w:spacing w:val="16"/>
        </w:rPr>
        <w:t>條第</w:t>
      </w:r>
      <w:r>
        <w:rPr>
          <w:spacing w:val="15"/>
        </w:rPr>
        <w:t>1</w:t>
      </w:r>
      <w:r>
        <w:rPr>
          <w:spacing w:val="16"/>
        </w:rPr>
        <w:t>項第</w:t>
      </w:r>
      <w:r>
        <w:rPr>
          <w:spacing w:val="13"/>
        </w:rPr>
        <w:t>2</w:t>
      </w:r>
      <w:r>
        <w:rPr>
          <w:spacing w:val="16"/>
        </w:rPr>
        <w:t>款第</w:t>
      </w:r>
      <w:r>
        <w:rPr>
          <w:spacing w:val="15"/>
        </w:rPr>
        <w:t>5</w:t>
      </w:r>
      <w:r>
        <w:rPr>
          <w:spacing w:val="16"/>
        </w:rPr>
        <w:t>目規</w:t>
      </w:r>
      <w:r>
        <w:rPr>
          <w:w w:val="95"/>
        </w:rPr>
        <w:t>定，核予其記過一次懲處。心如不服，循序提起申訴、再申訴。</w:t>
      </w:r>
      <w:r>
        <w:rPr>
          <w:spacing w:val="-1"/>
        </w:rPr>
        <w:t>經查有考績委員以外之人員代理出席參與會議，並核議系爭懲</w:t>
      </w:r>
      <w:r>
        <w:rPr/>
        <w:t>處案。</w:t>
      </w:r>
    </w:p>
    <w:p>
      <w:pPr>
        <w:pStyle w:val="BodyText"/>
        <w:spacing w:before="3"/>
        <w:ind w:left="110"/>
      </w:pPr>
      <w:r>
        <w:rPr/>
        <w:t>【解析】</w:t>
      </w:r>
    </w:p>
    <w:p>
      <w:pPr>
        <w:pStyle w:val="ListParagraph"/>
        <w:numPr>
          <w:ilvl w:val="0"/>
          <w:numId w:val="10"/>
        </w:numPr>
        <w:tabs>
          <w:tab w:pos="1112" w:val="left" w:leader="none"/>
        </w:tabs>
        <w:spacing w:line="321" w:lineRule="auto" w:before="152" w:after="0"/>
        <w:ind w:left="1111" w:right="158" w:hanging="831"/>
        <w:jc w:val="both"/>
        <w:rPr>
          <w:sz w:val="32"/>
        </w:rPr>
      </w:pPr>
      <w:r>
        <w:rPr>
          <w:sz w:val="32"/>
        </w:rPr>
        <w:t>按銓敘部87年11月2日87臺法二字第1690557</w:t>
      </w:r>
      <w:r>
        <w:rPr>
          <w:spacing w:val="-16"/>
          <w:sz w:val="32"/>
        </w:rPr>
        <w:t>號函釋略以，考績</w:t>
      </w:r>
      <w:r>
        <w:rPr>
          <w:sz w:val="32"/>
        </w:rPr>
        <w:t>委員會委員職掌各機關公務人員考績及平時考核獎懲案件之</w:t>
      </w:r>
      <w:r>
        <w:rPr>
          <w:spacing w:val="-3"/>
          <w:sz w:val="32"/>
        </w:rPr>
        <w:t>核議，均關係公務人員權益至鉅，不宜由其職務代理人或委請</w:t>
      </w:r>
      <w:r>
        <w:rPr>
          <w:w w:val="95"/>
          <w:sz w:val="32"/>
        </w:rPr>
        <w:t>他人代表出席。據此，考績委員具有專屬性，並有一定職掌，</w:t>
      </w:r>
      <w:r>
        <w:rPr>
          <w:spacing w:val="1"/>
          <w:w w:val="95"/>
          <w:sz w:val="32"/>
        </w:rPr>
        <w:t> </w:t>
      </w:r>
      <w:r>
        <w:rPr>
          <w:sz w:val="32"/>
        </w:rPr>
        <w:t>其執行各項職掌，自非他人所得代理。</w:t>
      </w:r>
    </w:p>
    <w:p>
      <w:pPr>
        <w:pStyle w:val="ListParagraph"/>
        <w:numPr>
          <w:ilvl w:val="0"/>
          <w:numId w:val="10"/>
        </w:numPr>
        <w:tabs>
          <w:tab w:pos="1112" w:val="left" w:leader="none"/>
        </w:tabs>
        <w:spacing w:line="321" w:lineRule="auto" w:before="3" w:after="0"/>
        <w:ind w:left="1111" w:right="228" w:hanging="831"/>
        <w:jc w:val="both"/>
        <w:rPr>
          <w:sz w:val="32"/>
        </w:rPr>
      </w:pPr>
      <w:r>
        <w:rPr>
          <w:w w:val="95"/>
          <w:sz w:val="32"/>
        </w:rPr>
        <w:t>惟查Ｑ醫院101年度考績委員會第○次會議核議系爭懲處案，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惟該次會議紀錄所列出席人員與考績委員會委員名單並不一</w:t>
      </w:r>
      <w:r>
        <w:rPr>
          <w:spacing w:val="209"/>
          <w:sz w:val="32"/>
        </w:rPr>
        <w:t> </w:t>
      </w:r>
      <w:r>
        <w:rPr>
          <w:spacing w:val="-12"/>
          <w:w w:val="95"/>
          <w:sz w:val="32"/>
        </w:rPr>
        <w:t>致，經Ｑ醫院表示該次會議紀錄係漏列代理藥劑科主任阿霞之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春嬌。因為春嬌不是考績委員，卻代理出席參與會議核議系爭</w:t>
      </w:r>
      <w:r>
        <w:rPr>
          <w:spacing w:val="1"/>
          <w:w w:val="95"/>
          <w:sz w:val="32"/>
        </w:rPr>
        <w:t> </w:t>
      </w:r>
      <w:r>
        <w:rPr>
          <w:sz w:val="32"/>
        </w:rPr>
        <w:t>懲處案。系爭懲處之作成，於法即有未合。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Heading4"/>
        <w:spacing w:line="579" w:lineRule="exact"/>
        <w:rPr>
          <w:b/>
        </w:rPr>
      </w:pPr>
      <w:bookmarkStart w:name="_bookmark18" w:id="19"/>
      <w:bookmarkEnd w:id="19"/>
      <w:r>
        <w:rPr/>
      </w:r>
      <w:r>
        <w:rPr>
          <w:b/>
          <w:spacing w:val="3"/>
        </w:rPr>
        <w:t>案例 </w:t>
      </w:r>
      <w:r>
        <w:rPr>
          <w:rFonts w:ascii="Times New Roman" w:eastAsia="Times New Roman"/>
          <w:b/>
        </w:rPr>
        <w:t>13</w:t>
      </w:r>
      <w:r>
        <w:rPr>
          <w:b/>
        </w:rPr>
        <w:t>、機關首長列席考績委員會</w:t>
      </w:r>
    </w:p>
    <w:p>
      <w:pPr>
        <w:pStyle w:val="BodyText"/>
        <w:spacing w:before="88"/>
        <w:ind w:left="110"/>
      </w:pPr>
      <w:r>
        <w:rPr>
          <w:spacing w:val="-41"/>
          <w:w w:val="95"/>
        </w:rPr>
        <w:t>【事實】</w:t>
      </w:r>
      <w:r>
        <w:rPr>
          <w:w w:val="95"/>
        </w:rPr>
        <w:t>（102公申決字第0284號）</w:t>
      </w:r>
    </w:p>
    <w:p>
      <w:pPr>
        <w:pStyle w:val="BodyText"/>
        <w:spacing w:line="321" w:lineRule="auto" w:before="152"/>
        <w:ind w:left="1070" w:right="227"/>
        <w:jc w:val="both"/>
      </w:pPr>
      <w:r>
        <w:rPr>
          <w:w w:val="95"/>
        </w:rPr>
        <w:t>吳騎龍是Ｒ國民小學幹事，不服Ｒ國小核布其101年年終考績</w:t>
      </w:r>
      <w:r>
        <w:rPr>
          <w:spacing w:val="52"/>
          <w:w w:val="95"/>
        </w:rPr>
        <w:t> </w:t>
      </w:r>
      <w:r>
        <w:rPr>
          <w:w w:val="95"/>
        </w:rPr>
        <w:t>考列乙等，循序提起申訴、再申訴。經查該校校長列席該校考</w:t>
      </w:r>
      <w:r>
        <w:rPr>
          <w:spacing w:val="1"/>
          <w:w w:val="95"/>
        </w:rPr>
        <w:t> </w:t>
      </w:r>
      <w:r>
        <w:rPr/>
        <w:t>績委員會初評及複評會議。</w:t>
      </w:r>
    </w:p>
    <w:p>
      <w:pPr>
        <w:pStyle w:val="BodyText"/>
        <w:spacing w:before="1"/>
        <w:ind w:left="110"/>
      </w:pPr>
      <w:r>
        <w:rPr/>
        <w:t>【解析】</w:t>
      </w:r>
    </w:p>
    <w:p>
      <w:pPr>
        <w:pStyle w:val="ListParagraph"/>
        <w:numPr>
          <w:ilvl w:val="0"/>
          <w:numId w:val="11"/>
        </w:numPr>
        <w:tabs>
          <w:tab w:pos="1112" w:val="left" w:leader="none"/>
        </w:tabs>
        <w:spacing w:line="321" w:lineRule="auto" w:before="153" w:after="0"/>
        <w:ind w:left="1111" w:right="224" w:hanging="831"/>
        <w:jc w:val="both"/>
        <w:rPr>
          <w:sz w:val="32"/>
        </w:rPr>
      </w:pPr>
      <w:r>
        <w:rPr>
          <w:w w:val="95"/>
          <w:sz w:val="32"/>
        </w:rPr>
        <w:t>按考績法施行細則第19條第1項、組織規程第2條第2項前段及</w:t>
      </w:r>
      <w:r>
        <w:rPr>
          <w:spacing w:val="8"/>
          <w:w w:val="95"/>
          <w:sz w:val="32"/>
        </w:rPr>
        <w:t> </w:t>
      </w:r>
      <w:r>
        <w:rPr>
          <w:sz w:val="32"/>
        </w:rPr>
        <w:t>銓敘部部94年3月25日部銓一字第0942475944號書函略以，鑑</w:t>
      </w:r>
      <w:r>
        <w:rPr>
          <w:spacing w:val="-6"/>
          <w:w w:val="95"/>
          <w:sz w:val="32"/>
        </w:rPr>
        <w:t>於機關首長對於考績委員會初核有不同意見時，得交考績委員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會復議，復議結果，仍不同意時，得變更之，機關首長應不宜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列席考績委員會，避免影響考績委員會決議之效力。據此，公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立學校已設置考績委員會者，委員之組成應符合人數規定，並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包括當然委員、票選委員及指定委員，其中指定委員如係兼行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政職務之教師，尚須其有得行使監督管理權限之受考人，始足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堪任；校長為學校首長，不同意考績委員會之決議，既得提請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復議，即應不宜列席考績委員會，俾免影響考績委員會決議之</w:t>
      </w:r>
      <w:r>
        <w:rPr>
          <w:spacing w:val="1"/>
          <w:w w:val="95"/>
          <w:sz w:val="32"/>
        </w:rPr>
        <w:t> </w:t>
      </w:r>
      <w:r>
        <w:rPr>
          <w:sz w:val="32"/>
        </w:rPr>
        <w:t>效力。</w:t>
      </w:r>
    </w:p>
    <w:p>
      <w:pPr>
        <w:pStyle w:val="ListParagraph"/>
        <w:numPr>
          <w:ilvl w:val="0"/>
          <w:numId w:val="11"/>
        </w:numPr>
        <w:tabs>
          <w:tab w:pos="1112" w:val="left" w:leader="none"/>
        </w:tabs>
        <w:spacing w:line="240" w:lineRule="auto" w:before="5" w:after="0"/>
        <w:ind w:left="1111" w:right="0" w:hanging="831"/>
        <w:jc w:val="both"/>
        <w:rPr>
          <w:sz w:val="32"/>
        </w:rPr>
      </w:pPr>
      <w:r>
        <w:rPr>
          <w:sz w:val="32"/>
        </w:rPr>
        <w:t>查Ｒ國小職員編制僅有幹事及護士各1</w:t>
      </w:r>
      <w:r>
        <w:rPr>
          <w:spacing w:val="-39"/>
          <w:sz w:val="32"/>
        </w:rPr>
        <w:t>人，依</w:t>
      </w:r>
      <w:r>
        <w:rPr>
          <w:sz w:val="32"/>
        </w:rPr>
        <w:t>R國小幹事兼人事</w:t>
      </w:r>
    </w:p>
    <w:p>
      <w:pPr>
        <w:pStyle w:val="BodyText"/>
        <w:spacing w:line="321" w:lineRule="auto" w:before="152"/>
        <w:ind w:left="1111" w:right="226"/>
        <w:jc w:val="both"/>
      </w:pPr>
      <w:r>
        <w:rPr>
          <w:w w:val="95"/>
        </w:rPr>
        <w:t>（即再申訴人）102年3月4</w:t>
      </w:r>
      <w:r>
        <w:rPr>
          <w:spacing w:val="-14"/>
          <w:w w:val="95"/>
        </w:rPr>
        <w:t>日簽說明二、記載：「……由校長指</w:t>
      </w:r>
      <w:r>
        <w:rPr>
          <w:spacing w:val="1"/>
          <w:w w:val="95"/>
        </w:rPr>
        <w:t> </w:t>
      </w:r>
      <w:r>
        <w:rPr>
          <w:w w:val="95"/>
        </w:rPr>
        <w:t>定教導、總務主任及教務、訓導組長4人為考績委員，分別於</w:t>
      </w:r>
      <w:r>
        <w:rPr>
          <w:spacing w:val="1"/>
          <w:w w:val="95"/>
        </w:rPr>
        <w:t> </w:t>
      </w:r>
      <w:r>
        <w:rPr>
          <w:w w:val="95"/>
        </w:rPr>
        <w:t>101年12月19日及102年1月2日15時30分許於校長室召開考績</w:t>
      </w:r>
      <w:r>
        <w:rPr>
          <w:spacing w:val="166"/>
        </w:rPr>
        <w:t> </w:t>
      </w:r>
      <w:r>
        <w:rPr>
          <w:w w:val="95"/>
        </w:rPr>
        <w:t>會初評與複評會議，與會者為校長及4位考績委員，會中並做</w:t>
      </w:r>
    </w:p>
    <w:p>
      <w:pPr>
        <w:pStyle w:val="BodyText"/>
        <w:spacing w:line="321" w:lineRule="auto" w:before="2"/>
        <w:ind w:left="1111" w:right="230"/>
      </w:pPr>
      <w:r>
        <w:rPr>
          <w:w w:val="95"/>
        </w:rPr>
        <w:t>（作）成決議……。」則該校校長列席該校考績委員會初評及</w:t>
      </w:r>
      <w:r>
        <w:rPr>
          <w:spacing w:val="1"/>
          <w:w w:val="95"/>
        </w:rPr>
        <w:t> </w:t>
      </w:r>
      <w:r>
        <w:rPr/>
        <w:t>複評會議，核與前揭銓敘部94年3月25日書函之意旨有違。</w:t>
      </w:r>
    </w:p>
    <w:p>
      <w:pPr>
        <w:spacing w:after="0" w:line="321" w:lineRule="auto"/>
        <w:sectPr>
          <w:pgSz w:w="11910" w:h="16840"/>
          <w:pgMar w:header="0" w:footer="811" w:top="1040" w:bottom="1000" w:left="1080" w:right="960"/>
        </w:sectPr>
      </w:pPr>
    </w:p>
    <w:p>
      <w:pPr>
        <w:pStyle w:val="Heading4"/>
        <w:spacing w:line="579" w:lineRule="exact"/>
        <w:rPr>
          <w:b/>
        </w:rPr>
      </w:pPr>
      <w:bookmarkStart w:name="_bookmark19" w:id="20"/>
      <w:bookmarkEnd w:id="20"/>
      <w:r>
        <w:rPr/>
      </w:r>
      <w:r>
        <w:rPr>
          <w:b/>
          <w:spacing w:val="3"/>
        </w:rPr>
        <w:t>案例 </w:t>
      </w:r>
      <w:r>
        <w:rPr>
          <w:rFonts w:ascii="Times New Roman" w:eastAsia="Times New Roman"/>
          <w:b/>
        </w:rPr>
        <w:t>14</w:t>
      </w:r>
      <w:r>
        <w:rPr>
          <w:b/>
        </w:rPr>
        <w:t>、機關首長覆核程序不合法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（102公申決字第0035號）</w:t>
      </w:r>
    </w:p>
    <w:p>
      <w:pPr>
        <w:pStyle w:val="BodyText"/>
        <w:spacing w:line="321" w:lineRule="auto" w:before="152"/>
        <w:ind w:left="1070" w:right="226"/>
        <w:jc w:val="both"/>
      </w:pPr>
      <w:r>
        <w:rPr>
          <w:w w:val="95"/>
        </w:rPr>
        <w:t>黃紫嬌是Ｓ機關總務組專員，不服S機關核布其100年年終考績</w:t>
      </w:r>
      <w:r>
        <w:rPr>
          <w:spacing w:val="1"/>
          <w:w w:val="95"/>
        </w:rPr>
        <w:t> </w:t>
      </w:r>
      <w:r>
        <w:rPr>
          <w:w w:val="95"/>
        </w:rPr>
        <w:t>考列乙等，循序提起申訴、再申訴。經查Ｓ機關首長就本件考</w:t>
      </w:r>
      <w:r>
        <w:rPr>
          <w:spacing w:val="1"/>
          <w:w w:val="95"/>
        </w:rPr>
        <w:t> </w:t>
      </w:r>
      <w:r>
        <w:rPr>
          <w:w w:val="95"/>
        </w:rPr>
        <w:t>績案為覆核時，並未先交考績委員會復議，即逕將黃紫嬌100</w:t>
      </w:r>
      <w:r>
        <w:rPr>
          <w:spacing w:val="35"/>
          <w:w w:val="95"/>
        </w:rPr>
        <w:t> </w:t>
      </w:r>
      <w:r>
        <w:rPr/>
        <w:t>年年終考績由82分變更為79分。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12"/>
        </w:numPr>
        <w:tabs>
          <w:tab w:pos="1112" w:val="left" w:leader="none"/>
        </w:tabs>
        <w:spacing w:line="321" w:lineRule="auto" w:before="153" w:after="0"/>
        <w:ind w:left="1111" w:right="156" w:hanging="831"/>
        <w:jc w:val="both"/>
        <w:rPr>
          <w:sz w:val="32"/>
        </w:rPr>
      </w:pPr>
      <w:r>
        <w:rPr>
          <w:w w:val="95"/>
          <w:sz w:val="32"/>
        </w:rPr>
        <w:t>公務人員年終考績之初核，屬該機關考績委員會之法定職掌，</w:t>
      </w:r>
      <w:r>
        <w:rPr>
          <w:spacing w:val="1"/>
          <w:w w:val="95"/>
          <w:sz w:val="32"/>
        </w:rPr>
        <w:t> </w:t>
      </w:r>
      <w:r>
        <w:rPr>
          <w:spacing w:val="-8"/>
          <w:sz w:val="32"/>
        </w:rPr>
        <w:t>應由考績委員會全體委員合議為之。機關首長對初核結果如有</w:t>
      </w:r>
      <w:r>
        <w:rPr>
          <w:sz w:val="32"/>
        </w:rPr>
        <w:t>意見，應依考績法施行細則第19條第1項規定，先交考績委員</w:t>
      </w:r>
      <w:r>
        <w:rPr>
          <w:spacing w:val="-3"/>
          <w:sz w:val="32"/>
        </w:rPr>
        <w:t>會復議，對復議結果如仍不同意，始得加註理由變更之。又依</w:t>
      </w:r>
      <w:r>
        <w:rPr>
          <w:sz w:val="32"/>
        </w:rPr>
        <w:t>銓敘部93年9月15日部法二字第0932370781號函釋意旨，為使</w:t>
      </w:r>
      <w:r>
        <w:rPr>
          <w:spacing w:val="-6"/>
          <w:sz w:val="32"/>
        </w:rPr>
        <w:t>機關首長考核權與考績委員會職權之行使取得衡平，機關首長</w:t>
      </w:r>
      <w:r>
        <w:rPr>
          <w:spacing w:val="-7"/>
          <w:sz w:val="32"/>
        </w:rPr>
        <w:t>對於考績委員會初核結果有不同意見時，簽註意見不宜具體指</w:t>
      </w:r>
      <w:r>
        <w:rPr>
          <w:sz w:val="32"/>
        </w:rPr>
        <w:t>述考績之等次或分數等結果，以免影響考績委員會之決定。</w:t>
      </w:r>
    </w:p>
    <w:p>
      <w:pPr>
        <w:pStyle w:val="ListParagraph"/>
        <w:numPr>
          <w:ilvl w:val="0"/>
          <w:numId w:val="12"/>
        </w:numPr>
        <w:tabs>
          <w:tab w:pos="1112" w:val="left" w:leader="none"/>
        </w:tabs>
        <w:spacing w:line="321" w:lineRule="auto" w:before="3" w:after="0"/>
        <w:ind w:left="1111" w:right="224" w:hanging="831"/>
        <w:jc w:val="both"/>
        <w:rPr>
          <w:sz w:val="32"/>
        </w:rPr>
      </w:pPr>
      <w:r>
        <w:rPr>
          <w:w w:val="95"/>
          <w:sz w:val="32"/>
        </w:rPr>
        <w:t>查黃紫嬌100年年終考績之辦理程序，係由其單位主管綜合評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擬為82分，遞送Ｓ機關101年度第2次考績委員會會議初核，亦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維持82分，惟機關首長覆核時，於年終考績評分清冊填列79</w:t>
      </w:r>
      <w:r>
        <w:rPr>
          <w:spacing w:val="151"/>
          <w:sz w:val="32"/>
        </w:rPr>
        <w:t> </w:t>
      </w:r>
      <w:r>
        <w:rPr>
          <w:w w:val="95"/>
          <w:sz w:val="32"/>
        </w:rPr>
        <w:t>分；嗣於101年度第3次考績委員會會議提請復議時，始就機關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首長所填列之79</w:t>
      </w:r>
      <w:r>
        <w:rPr>
          <w:spacing w:val="-13"/>
          <w:w w:val="95"/>
          <w:sz w:val="32"/>
        </w:rPr>
        <w:t>分為復議並決議：「……同意依照館長覆核結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果辦理。」則Ｓ機關首長就本件考績案為覆核時，並未先交考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績委員會復議，即逕將黃紫嬌100年年終考績由82分變更為79</w:t>
      </w:r>
      <w:r>
        <w:rPr>
          <w:spacing w:val="82"/>
          <w:w w:val="95"/>
          <w:sz w:val="32"/>
        </w:rPr>
        <w:t> </w:t>
      </w:r>
      <w:r>
        <w:rPr>
          <w:spacing w:val="-16"/>
          <w:w w:val="95"/>
          <w:sz w:val="32"/>
        </w:rPr>
        <w:t>分，核與考績法第</w:t>
      </w:r>
      <w:r>
        <w:rPr>
          <w:w w:val="95"/>
          <w:sz w:val="32"/>
        </w:rPr>
        <w:t>14條第1項及同法施行細則第19條第1項之規</w:t>
      </w:r>
      <w:r>
        <w:rPr>
          <w:spacing w:val="1"/>
          <w:w w:val="95"/>
          <w:sz w:val="32"/>
        </w:rPr>
        <w:t> </w:t>
      </w:r>
      <w:r>
        <w:rPr>
          <w:sz w:val="32"/>
        </w:rPr>
        <w:t>定未符。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Heading2"/>
        <w:rPr>
          <w:b/>
        </w:rPr>
      </w:pPr>
      <w:bookmarkStart w:name="_bookmark20" w:id="21"/>
      <w:bookmarkEnd w:id="21"/>
      <w:r>
        <w:rPr/>
      </w:r>
      <w:r>
        <w:rPr>
          <w:b/>
        </w:rPr>
        <w:t>（貳）實體事項</w:t>
      </w:r>
    </w:p>
    <w:p>
      <w:pPr>
        <w:pStyle w:val="Heading1"/>
        <w:spacing w:line="582" w:lineRule="exact"/>
        <w:ind w:left="550"/>
      </w:pPr>
      <w:bookmarkStart w:name="_bookmark21" w:id="22"/>
      <w:bookmarkEnd w:id="22"/>
      <w:r>
        <w:rPr/>
      </w:r>
      <w:r>
        <w:rPr>
          <w:w w:val="95"/>
        </w:rPr>
        <w:t>一、考績事件</w:t>
      </w:r>
    </w:p>
    <w:p>
      <w:pPr>
        <w:pStyle w:val="BodyText"/>
        <w:rPr>
          <w:sz w:val="39"/>
        </w:rPr>
      </w:pPr>
    </w:p>
    <w:p>
      <w:pPr>
        <w:pStyle w:val="Heading3"/>
        <w:spacing w:line="240" w:lineRule="auto"/>
      </w:pPr>
      <w:bookmarkStart w:name="_bookmark22" w:id="23"/>
      <w:bookmarkEnd w:id="23"/>
      <w:r>
        <w:rPr>
          <w:b w:val="0"/>
        </w:rPr>
      </w:r>
      <w:r>
        <w:rPr/>
        <w:t>（一）服務機關對事實認定有誤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spacing w:before="1"/>
        <w:rPr>
          <w:b/>
        </w:rPr>
      </w:pPr>
      <w:bookmarkStart w:name="_bookmark23" w:id="24"/>
      <w:bookmarkEnd w:id="24"/>
      <w:r>
        <w:rPr/>
      </w:r>
      <w:r>
        <w:rPr>
          <w:b/>
          <w:spacing w:val="5"/>
        </w:rPr>
        <w:t>案例 </w:t>
      </w:r>
      <w:r>
        <w:rPr>
          <w:rFonts w:ascii="Times New Roman" w:eastAsia="Times New Roman"/>
          <w:b/>
        </w:rPr>
        <w:t>15</w:t>
      </w:r>
      <w:r>
        <w:rPr>
          <w:b/>
        </w:rPr>
        <w:t>、年終考績評擬所依據之事實不明確</w:t>
      </w:r>
    </w:p>
    <w:p>
      <w:pPr>
        <w:pStyle w:val="BodyText"/>
        <w:spacing w:before="87"/>
        <w:ind w:left="110"/>
      </w:pPr>
      <w:r>
        <w:rPr>
          <w:spacing w:val="-41"/>
        </w:rPr>
        <w:t>【事實】</w:t>
      </w:r>
      <w:r>
        <w:rPr/>
        <w:t>（101公申決字第0191號）</w:t>
      </w:r>
    </w:p>
    <w:p>
      <w:pPr>
        <w:pStyle w:val="BodyText"/>
        <w:spacing w:line="321" w:lineRule="auto" w:before="153"/>
        <w:ind w:left="1070" w:right="230"/>
        <w:jc w:val="both"/>
      </w:pPr>
      <w:r>
        <w:rPr>
          <w:w w:val="95"/>
        </w:rPr>
        <w:t>金凱銳是Ｔ機關股長，不服Ｔ機關核布其100年年終考績考列</w:t>
      </w:r>
      <w:r>
        <w:rPr>
          <w:spacing w:val="59"/>
          <w:w w:val="95"/>
        </w:rPr>
        <w:t> </w:t>
      </w:r>
      <w:r>
        <w:rPr>
          <w:w w:val="95"/>
        </w:rPr>
        <w:t>乙等，循序提起申訴、再申訴。經查金凱銳100年公務人員考</w:t>
      </w:r>
      <w:r>
        <w:rPr>
          <w:spacing w:val="59"/>
          <w:w w:val="95"/>
        </w:rPr>
        <w:t> </w:t>
      </w:r>
      <w:r>
        <w:rPr>
          <w:w w:val="95"/>
        </w:rPr>
        <w:t>績表所載之獎勵次數與Ｔ機關100年核布再申訴人之獎勵次數</w:t>
      </w:r>
      <w:r>
        <w:rPr>
          <w:spacing w:val="43"/>
          <w:w w:val="95"/>
        </w:rPr>
        <w:t> </w:t>
      </w:r>
      <w:r>
        <w:rPr/>
        <w:t>不符。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13"/>
        </w:numPr>
        <w:tabs>
          <w:tab w:pos="1112" w:val="left" w:leader="none"/>
        </w:tabs>
        <w:spacing w:line="321" w:lineRule="auto" w:before="152" w:after="0"/>
        <w:ind w:left="1111" w:right="227" w:hanging="831"/>
        <w:jc w:val="both"/>
        <w:rPr>
          <w:sz w:val="32"/>
        </w:rPr>
      </w:pPr>
      <w:r>
        <w:rPr>
          <w:w w:val="95"/>
          <w:sz w:val="32"/>
        </w:rPr>
        <w:t>依各機關辦理公務人員考績（成）</w:t>
      </w:r>
      <w:r>
        <w:rPr>
          <w:spacing w:val="-15"/>
          <w:w w:val="95"/>
          <w:sz w:val="32"/>
        </w:rPr>
        <w:t>作業要點五、規定，「平時</w:t>
      </w:r>
      <w:r>
        <w:rPr>
          <w:spacing w:val="9"/>
          <w:w w:val="95"/>
          <w:sz w:val="32"/>
        </w:rPr>
        <w:t> </w:t>
      </w:r>
      <w:r>
        <w:rPr>
          <w:sz w:val="32"/>
        </w:rPr>
        <w:t>考核獎懲欄」獎懲次數應詳實填列，不得遺漏或登載錯誤。</w:t>
      </w:r>
    </w:p>
    <w:p>
      <w:pPr>
        <w:pStyle w:val="ListParagraph"/>
        <w:numPr>
          <w:ilvl w:val="0"/>
          <w:numId w:val="13"/>
        </w:numPr>
        <w:tabs>
          <w:tab w:pos="1112" w:val="left" w:leader="none"/>
        </w:tabs>
        <w:spacing w:line="321" w:lineRule="auto" w:before="1" w:after="0"/>
        <w:ind w:left="1111" w:right="224" w:hanging="831"/>
        <w:jc w:val="both"/>
        <w:rPr>
          <w:sz w:val="32"/>
        </w:rPr>
      </w:pPr>
      <w:r>
        <w:rPr>
          <w:w w:val="95"/>
          <w:sz w:val="32"/>
        </w:rPr>
        <w:t>查金凱銳100年公務人員考績表中，平時考核獎懲項下填列嘉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獎5次、記功2次；惟查Ｔ機關另於100年12月21日核予再申訴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人嘉獎2次，未登錄於其公務人員考績表。是金凱銳100年公務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人員考績表所載之獎勵次數與Ｔ機關100年核布再申訴人之獎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勵次數，顯有不符。Ｔ機關未確實查核再申訴人平時考核之獎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勵次數，對再申訴人所為100年年終考績評定之基礎事實即有</w:t>
      </w:r>
      <w:r>
        <w:rPr>
          <w:spacing w:val="8"/>
          <w:w w:val="95"/>
          <w:sz w:val="32"/>
        </w:rPr>
        <w:t> </w:t>
      </w:r>
      <w:r>
        <w:rPr>
          <w:sz w:val="32"/>
        </w:rPr>
        <w:t>錯誤，應予撤銷。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20" w:bottom="1000" w:left="1080" w:right="960"/>
        </w:sectPr>
      </w:pPr>
    </w:p>
    <w:p>
      <w:pPr>
        <w:pStyle w:val="Heading3"/>
        <w:ind w:right="1373"/>
      </w:pPr>
      <w:bookmarkStart w:name="_bookmark24" w:id="25"/>
      <w:bookmarkEnd w:id="25"/>
      <w:r>
        <w:rPr>
          <w:b w:val="0"/>
        </w:rPr>
      </w:r>
      <w:r>
        <w:rPr/>
        <w:t>（二）適用法規顯有錯誤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jc w:val="both"/>
        <w:rPr>
          <w:b/>
        </w:rPr>
      </w:pPr>
      <w:bookmarkStart w:name="_bookmark25" w:id="26"/>
      <w:bookmarkEnd w:id="26"/>
      <w:r>
        <w:rPr/>
      </w:r>
      <w:r>
        <w:rPr>
          <w:b/>
          <w:spacing w:val="3"/>
        </w:rPr>
        <w:t>案例 </w:t>
      </w:r>
      <w:r>
        <w:rPr>
          <w:rFonts w:ascii="Times New Roman" w:eastAsia="Times New Roman"/>
          <w:b/>
        </w:rPr>
        <w:t>16</w:t>
      </w:r>
      <w:r>
        <w:rPr>
          <w:b/>
        </w:rPr>
        <w:t>、錯誤引用法規並予適用</w:t>
      </w:r>
    </w:p>
    <w:p>
      <w:pPr>
        <w:pStyle w:val="BodyText"/>
        <w:spacing w:before="88"/>
        <w:ind w:left="110"/>
        <w:jc w:val="both"/>
      </w:pPr>
      <w:r>
        <w:rPr>
          <w:spacing w:val="-41"/>
          <w:w w:val="95"/>
        </w:rPr>
        <w:t>【事實】</w:t>
      </w:r>
      <w:r>
        <w:rPr>
          <w:w w:val="95"/>
        </w:rPr>
        <w:t>（103</w:t>
      </w:r>
      <w:r>
        <w:rPr>
          <w:spacing w:val="-12"/>
          <w:w w:val="95"/>
        </w:rPr>
        <w:t> 公申決字第 </w:t>
      </w:r>
      <w:r>
        <w:rPr>
          <w:w w:val="95"/>
        </w:rPr>
        <w:t>0243</w:t>
      </w:r>
      <w:r>
        <w:rPr>
          <w:spacing w:val="-20"/>
          <w:w w:val="95"/>
        </w:rPr>
        <w:t> 號</w:t>
      </w:r>
      <w:r>
        <w:rPr>
          <w:w w:val="95"/>
        </w:rPr>
        <w:t>）</w:t>
      </w:r>
    </w:p>
    <w:p>
      <w:pPr>
        <w:pStyle w:val="BodyText"/>
        <w:spacing w:line="321" w:lineRule="auto" w:before="153"/>
        <w:ind w:left="1070" w:right="228"/>
        <w:jc w:val="both"/>
      </w:pPr>
      <w:r>
        <w:rPr>
          <w:w w:val="95"/>
        </w:rPr>
        <w:t>傳賢原是Ｕ市政府消防局小隊長。其因不服該局核布其102年</w:t>
      </w:r>
      <w:r>
        <w:rPr>
          <w:spacing w:val="51"/>
          <w:w w:val="95"/>
        </w:rPr>
        <w:t> </w:t>
      </w:r>
      <w:r>
        <w:rPr>
          <w:w w:val="95"/>
        </w:rPr>
        <w:t>年終考績考列丙等，循序提起申訴、再申訴。經查傳賢102年</w:t>
      </w:r>
      <w:r>
        <w:rPr>
          <w:spacing w:val="45"/>
          <w:w w:val="95"/>
        </w:rPr>
        <w:t> </w:t>
      </w:r>
      <w:r>
        <w:rPr/>
        <w:t>獎懲次數依法互相抵銷後，並未有記一大過之情事。</w:t>
      </w:r>
    </w:p>
    <w:p>
      <w:pPr>
        <w:pStyle w:val="BodyText"/>
        <w:spacing w:before="1"/>
        <w:ind w:left="110"/>
      </w:pPr>
      <w:r>
        <w:rPr/>
        <w:t>【解析】</w:t>
      </w:r>
    </w:p>
    <w:p>
      <w:pPr>
        <w:pStyle w:val="ListParagraph"/>
        <w:numPr>
          <w:ilvl w:val="0"/>
          <w:numId w:val="14"/>
        </w:numPr>
        <w:tabs>
          <w:tab w:pos="1112" w:val="left" w:leader="none"/>
        </w:tabs>
        <w:spacing w:line="321" w:lineRule="auto" w:before="153" w:after="0"/>
        <w:ind w:left="1111" w:right="224" w:hanging="831"/>
        <w:jc w:val="both"/>
        <w:rPr>
          <w:sz w:val="32"/>
        </w:rPr>
      </w:pPr>
      <w:r>
        <w:rPr>
          <w:sz w:val="32"/>
        </w:rPr>
        <w:t>按銓敘部91年11月14日部法二字第0912197180</w:t>
      </w:r>
      <w:r>
        <w:rPr>
          <w:spacing w:val="-18"/>
          <w:sz w:val="32"/>
        </w:rPr>
        <w:t>號書函略以，平</w:t>
      </w:r>
      <w:r>
        <w:rPr>
          <w:w w:val="95"/>
          <w:sz w:val="32"/>
        </w:rPr>
        <w:t>時考核之功過應先依考績法第12條規定互相抵銷，除累積達2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大過者，年終考績應考列丁等外，其積餘之功過中，如尚有記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一大功2次、記一大功1次或記一大過1次之人員，始有警察人</w:t>
      </w:r>
      <w:r>
        <w:rPr>
          <w:spacing w:val="8"/>
          <w:w w:val="95"/>
          <w:sz w:val="32"/>
        </w:rPr>
        <w:t> </w:t>
      </w:r>
      <w:r>
        <w:rPr>
          <w:sz w:val="32"/>
        </w:rPr>
        <w:t>員人事條例第28條第2項考績等次限制規定之適用。</w:t>
      </w:r>
    </w:p>
    <w:p>
      <w:pPr>
        <w:pStyle w:val="ListParagraph"/>
        <w:numPr>
          <w:ilvl w:val="0"/>
          <w:numId w:val="14"/>
        </w:numPr>
        <w:tabs>
          <w:tab w:pos="1112" w:val="left" w:leader="none"/>
        </w:tabs>
        <w:spacing w:line="321" w:lineRule="auto" w:before="2" w:after="0"/>
        <w:ind w:left="1111" w:right="228" w:hanging="831"/>
        <w:jc w:val="both"/>
        <w:rPr>
          <w:sz w:val="32"/>
        </w:rPr>
      </w:pPr>
      <w:r>
        <w:rPr>
          <w:w w:val="95"/>
          <w:sz w:val="32"/>
        </w:rPr>
        <w:t>查再申訴人102年獎懲次數依法互相抵銷後，並未有記一大過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之情事；原單位主管未慮及此，逕認其已具考績法第13條所定</w:t>
      </w:r>
    </w:p>
    <w:p>
      <w:pPr>
        <w:pStyle w:val="BodyText"/>
        <w:spacing w:line="321" w:lineRule="auto" w:before="1"/>
        <w:ind w:left="1111" w:right="224"/>
      </w:pPr>
      <w:r>
        <w:rPr>
          <w:w w:val="95"/>
        </w:rPr>
        <w:t>，考績不得列乙等以上之要件，並據以評擬再申訴人102年年</w:t>
      </w:r>
      <w:r>
        <w:rPr>
          <w:spacing w:val="1"/>
          <w:w w:val="95"/>
        </w:rPr>
        <w:t> </w:t>
      </w:r>
      <w:r>
        <w:rPr/>
        <w:t>終考績為丙等，即有違誤。</w:t>
      </w:r>
    </w:p>
    <w:p>
      <w:pPr>
        <w:spacing w:after="0" w:line="321" w:lineRule="auto"/>
        <w:sectPr>
          <w:pgSz w:w="11910" w:h="16840"/>
          <w:pgMar w:header="0" w:footer="811" w:top="1060" w:bottom="1000" w:left="1080" w:right="960"/>
        </w:sectPr>
      </w:pPr>
    </w:p>
    <w:p>
      <w:pPr>
        <w:pStyle w:val="Heading3"/>
        <w:ind w:left="1253"/>
      </w:pPr>
      <w:bookmarkStart w:name="_bookmark26" w:id="27"/>
      <w:bookmarkEnd w:id="27"/>
      <w:r>
        <w:rPr>
          <w:b w:val="0"/>
        </w:rPr>
      </w:r>
      <w:r>
        <w:rPr/>
        <w:t>（三）違反一般公認之價值判斷標準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rPr>
          <w:b/>
        </w:rPr>
      </w:pPr>
      <w:bookmarkStart w:name="_bookmark27" w:id="28"/>
      <w:bookmarkEnd w:id="28"/>
      <w:r>
        <w:rPr/>
      </w:r>
      <w:r>
        <w:rPr>
          <w:b/>
          <w:spacing w:val="4"/>
        </w:rPr>
        <w:t>案例 </w:t>
      </w:r>
      <w:r>
        <w:rPr>
          <w:rFonts w:ascii="Times New Roman" w:eastAsia="Times New Roman"/>
          <w:b/>
        </w:rPr>
        <w:t>17</w:t>
      </w:r>
      <w:r>
        <w:rPr>
          <w:b/>
        </w:rPr>
        <w:t>、違反一般公認之價值判斷標準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（102公申決字第0321號）</w:t>
      </w:r>
    </w:p>
    <w:p>
      <w:pPr>
        <w:pStyle w:val="BodyText"/>
        <w:spacing w:line="321" w:lineRule="auto" w:before="153"/>
        <w:ind w:left="1070" w:right="227"/>
        <w:jc w:val="both"/>
      </w:pPr>
      <w:r>
        <w:rPr>
          <w:w w:val="95"/>
        </w:rPr>
        <w:t>賈蔔絲為Ｖ機關副館長，前不服Ｖ機關於101年4月核布其100</w:t>
      </w:r>
      <w:r>
        <w:rPr>
          <w:spacing w:val="62"/>
          <w:w w:val="95"/>
        </w:rPr>
        <w:t> </w:t>
      </w:r>
      <w:r>
        <w:rPr>
          <w:w w:val="95"/>
        </w:rPr>
        <w:t>年年終考績考列乙等，提起申訴、再申訴，經本會審認其自100</w:t>
      </w:r>
      <w:r>
        <w:rPr>
          <w:spacing w:val="1"/>
          <w:w w:val="95"/>
        </w:rPr>
        <w:t> </w:t>
      </w:r>
      <w:r>
        <w:rPr>
          <w:w w:val="95"/>
        </w:rPr>
        <w:t>年8月1日起至同年9月4日止代理館長，應由Ｗ直轄市政府文化</w:t>
      </w:r>
      <w:r>
        <w:rPr>
          <w:spacing w:val="1"/>
          <w:w w:val="95"/>
        </w:rPr>
        <w:t> </w:t>
      </w:r>
      <w:r>
        <w:rPr>
          <w:w w:val="95"/>
        </w:rPr>
        <w:t>局辦理其100年5月至8月之平時成績考核，惟Ｖ機關未向該局</w:t>
      </w:r>
      <w:r>
        <w:rPr>
          <w:spacing w:val="62"/>
          <w:w w:val="95"/>
        </w:rPr>
        <w:t> </w:t>
      </w:r>
      <w:r>
        <w:rPr>
          <w:w w:val="95"/>
        </w:rPr>
        <w:t>調閱上開平時成績考核紀錄，並據以評定其成績，與考績法規</w:t>
      </w:r>
      <w:r>
        <w:rPr>
          <w:spacing w:val="1"/>
          <w:w w:val="95"/>
        </w:rPr>
        <w:t> </w:t>
      </w:r>
      <w:r>
        <w:rPr>
          <w:w w:val="95"/>
        </w:rPr>
        <w:t>有違，爰撤銷原考績評定及申訴函復，由服務機關另為適法之</w:t>
      </w:r>
      <w:r>
        <w:rPr>
          <w:spacing w:val="1"/>
          <w:w w:val="95"/>
        </w:rPr>
        <w:t> </w:t>
      </w:r>
      <w:r>
        <w:rPr/>
        <w:t>評定。</w:t>
      </w:r>
    </w:p>
    <w:p>
      <w:pPr>
        <w:pStyle w:val="BodyText"/>
        <w:spacing w:line="321" w:lineRule="auto" w:before="3"/>
        <w:ind w:left="1070" w:right="228"/>
        <w:jc w:val="both"/>
      </w:pPr>
      <w:r>
        <w:rPr>
          <w:w w:val="95"/>
        </w:rPr>
        <w:t>嗣Ｖ機關重行辦理賈蔔絲100年年終考績，仍核布其100年年終</w:t>
      </w:r>
      <w:r>
        <w:rPr>
          <w:spacing w:val="1"/>
          <w:w w:val="95"/>
        </w:rPr>
        <w:t> </w:t>
      </w:r>
      <w:r>
        <w:rPr>
          <w:w w:val="95"/>
        </w:rPr>
        <w:t>考績考列乙等。賈蔔絲不服，提起申訴、再申訴。經查Ｖ機關</w:t>
      </w:r>
      <w:r>
        <w:rPr>
          <w:spacing w:val="1"/>
          <w:w w:val="95"/>
        </w:rPr>
        <w:t> </w:t>
      </w:r>
      <w:r>
        <w:rPr>
          <w:w w:val="95"/>
        </w:rPr>
        <w:t>再次核布其100年年終考績考列乙等，係因該機關人事主任誤</w:t>
      </w:r>
      <w:r>
        <w:rPr>
          <w:spacing w:val="61"/>
          <w:w w:val="95"/>
        </w:rPr>
        <w:t> </w:t>
      </w:r>
      <w:r>
        <w:rPr>
          <w:w w:val="95"/>
        </w:rPr>
        <w:t>認僅具程序瑕疵，多次向機關首長及考績委員會表示，如將再</w:t>
      </w:r>
      <w:r>
        <w:rPr>
          <w:spacing w:val="1"/>
          <w:w w:val="95"/>
        </w:rPr>
        <w:t> </w:t>
      </w:r>
      <w:r>
        <w:rPr>
          <w:w w:val="95"/>
        </w:rPr>
        <w:t>申訴人之年終考績改列甲等，當年度Ｖ機關其餘受考人之年度</w:t>
      </w:r>
      <w:r>
        <w:rPr>
          <w:spacing w:val="1"/>
          <w:w w:val="95"/>
        </w:rPr>
        <w:t> </w:t>
      </w:r>
      <w:r>
        <w:rPr/>
        <w:t>考績將需重新辦理。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1"/>
          <w:numId w:val="14"/>
        </w:numPr>
        <w:tabs>
          <w:tab w:pos="1018" w:val="left" w:leader="none"/>
        </w:tabs>
        <w:spacing w:line="321" w:lineRule="auto" w:before="153" w:after="0"/>
        <w:ind w:left="1018" w:right="226" w:hanging="548"/>
        <w:jc w:val="both"/>
        <w:rPr>
          <w:sz w:val="32"/>
        </w:rPr>
      </w:pPr>
      <w:r>
        <w:rPr>
          <w:w w:val="95"/>
          <w:sz w:val="32"/>
        </w:rPr>
        <w:t>按銓敘部99年10月1日部法二字第0993252554號書函略以，保</w:t>
      </w:r>
      <w:r>
        <w:rPr>
          <w:spacing w:val="115"/>
          <w:w w:val="95"/>
          <w:sz w:val="32"/>
        </w:rPr>
        <w:t> </w:t>
      </w:r>
      <w:r>
        <w:rPr>
          <w:w w:val="95"/>
          <w:sz w:val="32"/>
        </w:rPr>
        <w:t>訓會以考績具「法定程序」瑕疵而予以撤銷，並要求行政機關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另為適法之評定，單位主管重行評擬時，如未見「其他原未審</w:t>
      </w:r>
      <w:r>
        <w:rPr>
          <w:spacing w:val="1"/>
          <w:w w:val="95"/>
          <w:sz w:val="32"/>
        </w:rPr>
        <w:t> </w:t>
      </w:r>
      <w:r>
        <w:rPr>
          <w:spacing w:val="-7"/>
          <w:w w:val="95"/>
          <w:sz w:val="32"/>
        </w:rPr>
        <w:t>究且足以影響原考績結果之顯然錯誤或違反規定情事」，單位</w:t>
      </w:r>
      <w:r>
        <w:rPr>
          <w:spacing w:val="107"/>
          <w:w w:val="95"/>
          <w:sz w:val="32"/>
        </w:rPr>
        <w:t> </w:t>
      </w:r>
      <w:r>
        <w:rPr>
          <w:w w:val="95"/>
          <w:sz w:val="32"/>
        </w:rPr>
        <w:t>主管尚不宜變更原評擬結果。又該部代表陳述意見時表示，如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服務機關係因未備平時成績考核紀錄，而經本會撤銷原考績評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60" w:bottom="1000" w:left="1080" w:right="960"/>
        </w:sectPr>
      </w:pPr>
    </w:p>
    <w:p>
      <w:pPr>
        <w:pStyle w:val="BodyText"/>
        <w:spacing w:line="321" w:lineRule="auto" w:before="6"/>
        <w:ind w:left="1018" w:right="229"/>
        <w:jc w:val="both"/>
      </w:pPr>
      <w:r>
        <w:rPr>
          <w:w w:val="95"/>
        </w:rPr>
        <w:t>定，係屬實體瑕疵之情形，服務機關於重行辦理受考人之考績</w:t>
      </w:r>
      <w:r>
        <w:rPr>
          <w:spacing w:val="1"/>
          <w:w w:val="95"/>
        </w:rPr>
        <w:t> </w:t>
      </w:r>
      <w:r>
        <w:rPr>
          <w:w w:val="95"/>
        </w:rPr>
        <w:t>時，應覈實考量原未審究之平時成績考核紀錄，以決定其考績</w:t>
      </w:r>
      <w:r>
        <w:rPr>
          <w:spacing w:val="1"/>
          <w:w w:val="95"/>
        </w:rPr>
        <w:t> </w:t>
      </w:r>
      <w:r>
        <w:rPr/>
        <w:t>等次，不受考績年度考列甲等人數比例之限制。</w:t>
      </w:r>
    </w:p>
    <w:p>
      <w:pPr>
        <w:pStyle w:val="ListParagraph"/>
        <w:numPr>
          <w:ilvl w:val="1"/>
          <w:numId w:val="14"/>
        </w:numPr>
        <w:tabs>
          <w:tab w:pos="1018" w:val="left" w:leader="none"/>
        </w:tabs>
        <w:spacing w:line="321" w:lineRule="auto" w:before="2" w:after="0"/>
        <w:ind w:left="1018" w:right="210" w:hanging="548"/>
        <w:jc w:val="both"/>
        <w:rPr>
          <w:sz w:val="32"/>
        </w:rPr>
      </w:pPr>
      <w:r>
        <w:rPr>
          <w:sz w:val="32"/>
        </w:rPr>
        <w:t>查Ｖ機關重行辦理本件再申訴人100年年終考績時，因人事主</w:t>
      </w:r>
      <w:r>
        <w:rPr>
          <w:w w:val="95"/>
          <w:sz w:val="32"/>
        </w:rPr>
        <w:t>任誤認本會撤銷該機關原考績評定，係屬程序瑕疵之情形，而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一再向機關首長及考績委員會表示，再申訴人當年度考績仍應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受甲等比例之限制，如將再申訴人之年終考績改列甲等，當年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度Ｖ機關其餘受考人之年度考績將需重新辦理。致機關首長及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考績委員會重新辦理再申訴人年終考績作業時，有違反一般公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認之價值判斷標準之考量，核與上開銓敘部99年10月1日書函</w:t>
      </w:r>
      <w:r>
        <w:rPr>
          <w:spacing w:val="121"/>
          <w:w w:val="95"/>
          <w:sz w:val="32"/>
        </w:rPr>
        <w:t> </w:t>
      </w:r>
      <w:r>
        <w:rPr>
          <w:w w:val="95"/>
          <w:sz w:val="32"/>
        </w:rPr>
        <w:t>意旨及該部代表陳述意見之內容不符，其考評決定應予撤銷。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100" w:bottom="1000" w:left="1080" w:right="960"/>
        </w:sectPr>
      </w:pPr>
    </w:p>
    <w:p>
      <w:pPr>
        <w:pStyle w:val="Heading3"/>
      </w:pPr>
      <w:bookmarkStart w:name="_bookmark28" w:id="29"/>
      <w:bookmarkEnd w:id="29"/>
      <w:r>
        <w:rPr>
          <w:b w:val="0"/>
        </w:rPr>
      </w:r>
      <w:r>
        <w:rPr/>
        <w:t>（四）裁量怠惰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rPr>
          <w:b/>
        </w:rPr>
      </w:pPr>
      <w:bookmarkStart w:name="_bookmark29" w:id="30"/>
      <w:bookmarkEnd w:id="30"/>
      <w:r>
        <w:rPr/>
      </w:r>
      <w:r>
        <w:rPr>
          <w:b/>
          <w:spacing w:val="3"/>
        </w:rPr>
        <w:t>案例 </w:t>
      </w:r>
      <w:r>
        <w:rPr>
          <w:rFonts w:ascii="Times New Roman" w:eastAsia="Times New Roman"/>
          <w:b/>
        </w:rPr>
        <w:t>18</w:t>
      </w:r>
      <w:r>
        <w:rPr>
          <w:b/>
        </w:rPr>
        <w:t>、裁量怠惰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（103公申決字第0277號）</w:t>
      </w:r>
    </w:p>
    <w:p>
      <w:pPr>
        <w:pStyle w:val="BodyText"/>
        <w:spacing w:line="321" w:lineRule="auto" w:before="153"/>
        <w:ind w:left="1070" w:right="227"/>
        <w:jc w:val="both"/>
      </w:pPr>
      <w:r>
        <w:rPr>
          <w:w w:val="95"/>
        </w:rPr>
        <w:t>美秀是Ｘ地方法院書記官，不服該院核布其102年年終考績考</w:t>
      </w:r>
      <w:r>
        <w:rPr>
          <w:spacing w:val="62"/>
          <w:w w:val="95"/>
        </w:rPr>
        <w:t> </w:t>
      </w:r>
      <w:r>
        <w:rPr>
          <w:w w:val="95"/>
        </w:rPr>
        <w:t>列丙等，循序提起申訴、再申訴。經查該院係依據銓敘部103</w:t>
      </w:r>
      <w:r>
        <w:rPr>
          <w:spacing w:val="52"/>
          <w:w w:val="95"/>
        </w:rPr>
        <w:t> </w:t>
      </w:r>
      <w:r>
        <w:rPr>
          <w:w w:val="95"/>
        </w:rPr>
        <w:t>年4月2日部法二字第1033816760號函釋，審認該院對再申訴人</w:t>
      </w:r>
      <w:r>
        <w:rPr/>
        <w:t>102年年終考績案已無裁量權限，而作成考列丙等之評定。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15"/>
        </w:numPr>
        <w:tabs>
          <w:tab w:pos="1112" w:val="left" w:leader="none"/>
        </w:tabs>
        <w:spacing w:line="321" w:lineRule="auto" w:before="152" w:after="0"/>
        <w:ind w:left="1111" w:right="115" w:hanging="831"/>
        <w:jc w:val="left"/>
        <w:rPr>
          <w:sz w:val="32"/>
        </w:rPr>
      </w:pPr>
      <w:r>
        <w:rPr>
          <w:sz w:val="32"/>
        </w:rPr>
        <w:t>按考績法第13</w:t>
      </w:r>
      <w:r>
        <w:rPr>
          <w:spacing w:val="-12"/>
          <w:sz w:val="32"/>
        </w:rPr>
        <w:t>條後段規定，曾記一大過人員考績不得列乙等以</w:t>
      </w:r>
      <w:r>
        <w:rPr>
          <w:sz w:val="32"/>
        </w:rPr>
        <w:t>上之等次；同法施行細則第4條第3項第3款規定，累積達記過以上處分者，即不得考列甲等。次按銓敘部102年1月3日部法</w:t>
      </w:r>
      <w:r>
        <w:rPr>
          <w:spacing w:val="-2"/>
          <w:sz w:val="32"/>
        </w:rPr>
        <w:t>二字第1023681986</w:t>
      </w:r>
      <w:r>
        <w:rPr>
          <w:spacing w:val="-1"/>
          <w:sz w:val="32"/>
        </w:rPr>
        <w:t>號函說明二、略以，各機關辦理受考人考績</w:t>
      </w:r>
      <w:r>
        <w:rPr>
          <w:spacing w:val="-2"/>
          <w:sz w:val="32"/>
        </w:rPr>
        <w:t>時，對於違法失職、涉及弊案或符合「受考人考績宜考列丙等條件一覽表」所定各該條件者，考績不宜考列甲等，情節重大或確有具體事證者，考績等次以考列丙等以下為宜，以落實考</w:t>
      </w:r>
      <w:r>
        <w:rPr>
          <w:spacing w:val="28"/>
          <w:w w:val="95"/>
          <w:sz w:val="32"/>
        </w:rPr>
        <w:t>績獎優汰劣之功能。復按銓敘部</w:t>
      </w:r>
      <w:r>
        <w:rPr>
          <w:spacing w:val="9"/>
          <w:w w:val="95"/>
          <w:sz w:val="32"/>
        </w:rPr>
        <w:t>103</w:t>
      </w:r>
      <w:r>
        <w:rPr>
          <w:spacing w:val="31"/>
          <w:w w:val="95"/>
          <w:sz w:val="32"/>
        </w:rPr>
        <w:t>年</w:t>
      </w:r>
      <w:r>
        <w:rPr>
          <w:spacing w:val="27"/>
          <w:w w:val="95"/>
          <w:sz w:val="32"/>
        </w:rPr>
        <w:t>4</w:t>
      </w:r>
      <w:r>
        <w:rPr>
          <w:spacing w:val="28"/>
          <w:w w:val="95"/>
          <w:sz w:val="32"/>
        </w:rPr>
        <w:t>月</w:t>
      </w:r>
      <w:r>
        <w:rPr>
          <w:w w:val="95"/>
          <w:sz w:val="32"/>
        </w:rPr>
        <w:t>2</w:t>
      </w:r>
      <w:r>
        <w:rPr>
          <w:spacing w:val="16"/>
          <w:w w:val="95"/>
          <w:sz w:val="32"/>
        </w:rPr>
        <w:t> 日部法二字第</w:t>
      </w:r>
      <w:r>
        <w:rPr>
          <w:sz w:val="32"/>
        </w:rPr>
        <w:t>1033816760號函釋略以，受考人具該部102年1月3日部法二字</w:t>
      </w:r>
      <w:r>
        <w:rPr>
          <w:w w:val="95"/>
          <w:sz w:val="32"/>
        </w:rPr>
        <w:t>第1023681986號函所附「受考人考績宜考列丙等條件一覽表」</w:t>
      </w:r>
      <w:r>
        <w:rPr>
          <w:spacing w:val="1"/>
          <w:w w:val="95"/>
          <w:sz w:val="32"/>
        </w:rPr>
        <w:t> </w:t>
      </w:r>
      <w:r>
        <w:rPr>
          <w:sz w:val="32"/>
        </w:rPr>
        <w:t>第1款至第3</w:t>
      </w:r>
      <w:r>
        <w:rPr>
          <w:spacing w:val="-39"/>
          <w:sz w:val="32"/>
        </w:rPr>
        <w:t>款、第</w:t>
      </w:r>
      <w:r>
        <w:rPr>
          <w:sz w:val="32"/>
        </w:rPr>
        <w:t>23款至第24款及第26款條件並確有具體事證</w:t>
      </w:r>
      <w:r>
        <w:rPr>
          <w:spacing w:val="-14"/>
          <w:sz w:val="32"/>
        </w:rPr>
        <w:t>者，除其具有考績法第</w:t>
      </w:r>
      <w:r>
        <w:rPr>
          <w:sz w:val="32"/>
        </w:rPr>
        <w:t>13條所定不得考列丙等以下之積極要件外，其年終考績不應考列乙等以上等次。</w:t>
      </w:r>
    </w:p>
    <w:p>
      <w:pPr>
        <w:pStyle w:val="ListParagraph"/>
        <w:numPr>
          <w:ilvl w:val="0"/>
          <w:numId w:val="15"/>
        </w:numPr>
        <w:tabs>
          <w:tab w:pos="1112" w:val="left" w:leader="none"/>
        </w:tabs>
        <w:spacing w:line="321" w:lineRule="auto" w:before="6" w:after="0"/>
        <w:ind w:left="1111" w:right="227" w:hanging="831"/>
        <w:jc w:val="left"/>
        <w:rPr>
          <w:sz w:val="32"/>
        </w:rPr>
      </w:pPr>
      <w:r>
        <w:rPr>
          <w:w w:val="95"/>
          <w:sz w:val="32"/>
        </w:rPr>
        <w:t>惟查銓敘部上開102年1月3日函，應僅係建議各機關辦理考績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時，對於違法失職、涉及弊案或有上開一覽表所列舉之各項條</w:t>
      </w:r>
    </w:p>
    <w:p>
      <w:pPr>
        <w:spacing w:after="0" w:line="321" w:lineRule="auto"/>
        <w:jc w:val="left"/>
        <w:rPr>
          <w:sz w:val="32"/>
        </w:rPr>
        <w:sectPr>
          <w:pgSz w:w="11910" w:h="16840"/>
          <w:pgMar w:header="0" w:footer="811" w:top="1060" w:bottom="1000" w:left="1080" w:right="960"/>
        </w:sectPr>
      </w:pPr>
    </w:p>
    <w:p>
      <w:pPr>
        <w:pStyle w:val="BodyText"/>
        <w:spacing w:line="321" w:lineRule="auto" w:before="6"/>
        <w:ind w:left="1111" w:right="154"/>
        <w:jc w:val="both"/>
      </w:pPr>
      <w:r>
        <w:rPr>
          <w:spacing w:val="-3"/>
        </w:rPr>
        <w:t>件，情節重大或確有具體事證之受考人，其考績等次以考列丙</w:t>
      </w:r>
      <w:r>
        <w:rPr/>
        <w:t>等以下為宜。又銓敘部上開103年4月2日函，雖明確表示各機</w:t>
      </w:r>
      <w:r>
        <w:rPr>
          <w:spacing w:val="-9"/>
        </w:rPr>
        <w:t>關對於符合一定條件之受考人，其年終考績不應考列乙等以上</w:t>
      </w:r>
      <w:r>
        <w:rPr>
          <w:spacing w:val="-3"/>
        </w:rPr>
        <w:t>等次；惟查該函應屬類似行政指導之性質，各機關辦理考績業務時，除參酌該函規定外，仍應綜覈名實，按受考人平時成績考核紀錄或具體事蹟，評定適當考績等次，尚不得以該函作為</w:t>
      </w:r>
      <w:r>
        <w:rPr>
          <w:w w:val="95"/>
        </w:rPr>
        <w:t>其辦理考績之唯一準據。則Ｘ地方法院依據銓敘部上開函釋，</w:t>
      </w:r>
      <w:r>
        <w:rPr>
          <w:spacing w:val="1"/>
          <w:w w:val="95"/>
        </w:rPr>
        <w:t> </w:t>
      </w:r>
      <w:r>
        <w:rPr/>
        <w:t>審認該院對再申訴人102年年終考績案已無裁量權限，而作成考列丙等之評定，即有違誤，核有再行斟酌之必要。</w:t>
      </w:r>
    </w:p>
    <w:p>
      <w:pPr>
        <w:spacing w:after="0" w:line="321" w:lineRule="auto"/>
        <w:jc w:val="both"/>
        <w:sectPr>
          <w:pgSz w:w="11910" w:h="16840"/>
          <w:pgMar w:header="0" w:footer="811" w:top="1100" w:bottom="1000" w:left="1080" w:right="960"/>
        </w:sectPr>
      </w:pPr>
    </w:p>
    <w:p>
      <w:pPr>
        <w:pStyle w:val="Heading3"/>
        <w:ind w:left="1254"/>
      </w:pPr>
      <w:bookmarkStart w:name="_bookmark30" w:id="31"/>
      <w:bookmarkEnd w:id="31"/>
      <w:r>
        <w:rPr>
          <w:b w:val="0"/>
        </w:rPr>
      </w:r>
      <w:r>
        <w:rPr/>
        <w:t>（五）重複評價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rPr>
          <w:b/>
        </w:rPr>
      </w:pPr>
      <w:bookmarkStart w:name="_bookmark31" w:id="32"/>
      <w:bookmarkEnd w:id="32"/>
      <w:r>
        <w:rPr/>
      </w:r>
      <w:r>
        <w:rPr>
          <w:b/>
          <w:spacing w:val="3"/>
        </w:rPr>
        <w:t>案例 </w:t>
      </w:r>
      <w:r>
        <w:rPr>
          <w:rFonts w:ascii="Times New Roman" w:eastAsia="Times New Roman"/>
          <w:b/>
        </w:rPr>
        <w:t>19</w:t>
      </w:r>
      <w:r>
        <w:rPr>
          <w:b/>
        </w:rPr>
        <w:t>、重複評價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（103公申決字第0298號）</w:t>
      </w:r>
    </w:p>
    <w:p>
      <w:pPr>
        <w:pStyle w:val="BodyText"/>
        <w:spacing w:line="321" w:lineRule="auto" w:before="153"/>
        <w:ind w:left="1070" w:right="228"/>
        <w:jc w:val="both"/>
      </w:pPr>
      <w:r>
        <w:rPr>
          <w:w w:val="95"/>
        </w:rPr>
        <w:t>范兵兵是Ｙ縣政府警察局Ｚ分局轄下派出所警員。其因不服該</w:t>
      </w:r>
      <w:r>
        <w:rPr>
          <w:spacing w:val="1"/>
          <w:w w:val="95"/>
        </w:rPr>
        <w:t> </w:t>
      </w:r>
      <w:r>
        <w:rPr>
          <w:w w:val="95"/>
        </w:rPr>
        <w:t>局核布其102年年終考績考列丙等，循序提起申訴、再申訴。</w:t>
      </w:r>
      <w:r>
        <w:rPr>
          <w:spacing w:val="42"/>
          <w:w w:val="95"/>
        </w:rPr>
        <w:t> </w:t>
      </w:r>
      <w:r>
        <w:rPr>
          <w:spacing w:val="16"/>
          <w:w w:val="95"/>
        </w:rPr>
        <w:t>經查范兵兵所涉之偽造文書案，分別於</w:t>
      </w:r>
      <w:r>
        <w:rPr>
          <w:w w:val="95"/>
        </w:rPr>
        <w:t>101</w:t>
      </w:r>
      <w:r>
        <w:rPr>
          <w:spacing w:val="13"/>
          <w:w w:val="95"/>
        </w:rPr>
        <w:t>年受刑事確定判</w:t>
      </w:r>
      <w:r>
        <w:rPr>
          <w:spacing w:val="1"/>
          <w:w w:val="95"/>
        </w:rPr>
        <w:t> </w:t>
      </w:r>
      <w:r>
        <w:rPr>
          <w:w w:val="95"/>
        </w:rPr>
        <w:t>決、102年受懲戒處分，並經Ｙ縣政府警察局分別列入101年年</w:t>
      </w:r>
      <w:r>
        <w:rPr>
          <w:spacing w:val="1"/>
          <w:w w:val="95"/>
        </w:rPr>
        <w:t> </w:t>
      </w:r>
      <w:r>
        <w:rPr/>
        <w:t>終考績考列乙等及102年年終考績考列丙等之考量。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16"/>
        </w:numPr>
        <w:tabs>
          <w:tab w:pos="1112" w:val="left" w:leader="none"/>
        </w:tabs>
        <w:spacing w:line="321" w:lineRule="auto" w:before="152" w:after="0"/>
        <w:ind w:left="1111" w:right="227" w:hanging="831"/>
        <w:jc w:val="both"/>
        <w:rPr>
          <w:sz w:val="32"/>
        </w:rPr>
      </w:pPr>
      <w:r>
        <w:rPr>
          <w:sz w:val="32"/>
        </w:rPr>
        <w:t>按銓敘部84年12月16日（84）臺中甄二字第1206584號函釋略</w:t>
      </w:r>
      <w:r>
        <w:rPr>
          <w:w w:val="95"/>
          <w:sz w:val="32"/>
        </w:rPr>
        <w:t>以，考績法施行細則第4條第3項第1款「公務人員於考績年度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內，曾受刑事或懲戒處分者，不得考列甲等」規定，所指刑事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或懲戒處分，係為不同事由而受之處分，如係同一事由，應以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先受之懲戒處分或刑事確定判決之年度為不得考列甲等之唯</w:t>
      </w:r>
      <w:r>
        <w:rPr>
          <w:spacing w:val="149"/>
          <w:sz w:val="32"/>
        </w:rPr>
        <w:t> </w:t>
      </w:r>
      <w:r>
        <w:rPr>
          <w:sz w:val="32"/>
        </w:rPr>
        <w:t>一年度。</w:t>
      </w:r>
    </w:p>
    <w:p>
      <w:pPr>
        <w:pStyle w:val="ListParagraph"/>
        <w:numPr>
          <w:ilvl w:val="0"/>
          <w:numId w:val="16"/>
        </w:numPr>
        <w:tabs>
          <w:tab w:pos="1112" w:val="left" w:leader="none"/>
        </w:tabs>
        <w:spacing w:line="321" w:lineRule="auto" w:before="3" w:after="0"/>
        <w:ind w:left="1111" w:right="224" w:hanging="831"/>
        <w:jc w:val="both"/>
        <w:rPr>
          <w:sz w:val="32"/>
        </w:rPr>
      </w:pPr>
      <w:r>
        <w:rPr>
          <w:w w:val="95"/>
          <w:sz w:val="32"/>
        </w:rPr>
        <w:t>范兵兵所涉之偽造文書案，分別於101年受刑事確定判決、102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年受懲戒處分，並經Ｙ縣政府警察局列入101年年終考績考列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乙等及102年年終考績考列丙等之考量。核與上揭銓敘部84年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12月16</w:t>
      </w:r>
      <w:r>
        <w:rPr>
          <w:spacing w:val="-12"/>
          <w:w w:val="95"/>
          <w:sz w:val="32"/>
        </w:rPr>
        <w:t>日函釋同一事由，應以先受之懲戒處分或刑事確定判決</w:t>
      </w:r>
      <w:r>
        <w:rPr>
          <w:spacing w:val="1"/>
          <w:w w:val="95"/>
          <w:sz w:val="32"/>
        </w:rPr>
        <w:t> </w:t>
      </w:r>
      <w:r>
        <w:rPr>
          <w:sz w:val="32"/>
        </w:rPr>
        <w:t>之年度，為不得考列甲等之唯一年度之意旨不符。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60" w:bottom="1000" w:left="1080" w:right="960"/>
        </w:sectPr>
      </w:pPr>
    </w:p>
    <w:p>
      <w:pPr>
        <w:pStyle w:val="Heading1"/>
      </w:pPr>
      <w:bookmarkStart w:name="_bookmark32" w:id="33"/>
      <w:bookmarkEnd w:id="33"/>
      <w:r>
        <w:rPr/>
      </w:r>
      <w:r>
        <w:rPr>
          <w:w w:val="95"/>
        </w:rPr>
        <w:t>二、懲處事件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3"/>
        <w:spacing w:line="572" w:lineRule="exact"/>
      </w:pPr>
      <w:bookmarkStart w:name="_bookmark33" w:id="34"/>
      <w:bookmarkEnd w:id="34"/>
      <w:r>
        <w:rPr>
          <w:b w:val="0"/>
        </w:rPr>
      </w:r>
      <w:r>
        <w:rPr/>
        <w:t>（一）逾懲處權時效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rPr>
          <w:b/>
        </w:rPr>
      </w:pPr>
      <w:bookmarkStart w:name="_bookmark34" w:id="35"/>
      <w:bookmarkEnd w:id="35"/>
      <w:r>
        <w:rPr/>
      </w:r>
      <w:r>
        <w:rPr>
          <w:b/>
          <w:spacing w:val="-2"/>
        </w:rPr>
        <w:t>案例 </w:t>
      </w:r>
      <w:r>
        <w:rPr>
          <w:rFonts w:ascii="Times New Roman" w:eastAsia="Times New Roman"/>
          <w:b/>
        </w:rPr>
        <w:t>20</w:t>
      </w:r>
      <w:r>
        <w:rPr>
          <w:b/>
          <w:spacing w:val="-1"/>
        </w:rPr>
        <w:t>、懲處權行使期間以 </w:t>
      </w:r>
      <w:r>
        <w:rPr>
          <w:b/>
        </w:rPr>
        <w:t>10</w:t>
      </w:r>
      <w:r>
        <w:rPr>
          <w:b/>
          <w:spacing w:val="-2"/>
        </w:rPr>
        <w:t> 年為限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（103公申決字第0128號）</w:t>
      </w:r>
    </w:p>
    <w:p>
      <w:pPr>
        <w:pStyle w:val="BodyText"/>
        <w:spacing w:line="321" w:lineRule="auto" w:before="152"/>
        <w:ind w:left="1070" w:right="226"/>
        <w:jc w:val="both"/>
      </w:pPr>
      <w:r>
        <w:rPr>
          <w:w w:val="95"/>
        </w:rPr>
        <w:t>武妹娘原是Ａ學校會計室會計主任。其上級機關Ｂ機關會計處</w:t>
      </w:r>
      <w:r>
        <w:rPr>
          <w:spacing w:val="1"/>
          <w:w w:val="95"/>
        </w:rPr>
        <w:t> </w:t>
      </w:r>
      <w:r>
        <w:rPr>
          <w:w w:val="95"/>
        </w:rPr>
        <w:t>審認其於任職該校期間，核有行政違失行為，核予其申誡一次</w:t>
      </w:r>
      <w:r>
        <w:rPr>
          <w:spacing w:val="1"/>
          <w:w w:val="95"/>
        </w:rPr>
        <w:t> </w:t>
      </w:r>
      <w:r>
        <w:rPr>
          <w:w w:val="95"/>
        </w:rPr>
        <w:t>之懲處。武妹娘不服，循序提起申訴、再申訴。經查武妹娘違</w:t>
      </w:r>
      <w:r>
        <w:rPr>
          <w:spacing w:val="1"/>
          <w:w w:val="95"/>
        </w:rPr>
        <w:t> </w:t>
      </w:r>
      <w:r>
        <w:rPr>
          <w:w w:val="95"/>
        </w:rPr>
        <w:t>失行為係發生於91年7月至9月間，惟Ｂ機關會計處遲至102年9</w:t>
      </w:r>
      <w:r>
        <w:rPr>
          <w:spacing w:val="1"/>
          <w:w w:val="95"/>
        </w:rPr>
        <w:t> </w:t>
      </w:r>
      <w:r>
        <w:rPr/>
        <w:t>月2日，始就其違失行為追究責任，並作成記過一次之懲處。</w:t>
      </w:r>
    </w:p>
    <w:p>
      <w:pPr>
        <w:pStyle w:val="BodyText"/>
        <w:spacing w:before="3"/>
        <w:ind w:left="110"/>
      </w:pPr>
      <w:r>
        <w:rPr/>
        <w:t>【解析】</w:t>
      </w:r>
    </w:p>
    <w:p>
      <w:pPr>
        <w:pStyle w:val="ListParagraph"/>
        <w:numPr>
          <w:ilvl w:val="0"/>
          <w:numId w:val="17"/>
        </w:numPr>
        <w:tabs>
          <w:tab w:pos="1112" w:val="left" w:leader="none"/>
        </w:tabs>
        <w:spacing w:line="321" w:lineRule="auto" w:before="152" w:after="0"/>
        <w:ind w:left="1111" w:right="152" w:hanging="831"/>
        <w:jc w:val="both"/>
        <w:rPr>
          <w:sz w:val="32"/>
        </w:rPr>
      </w:pPr>
      <w:r>
        <w:rPr>
          <w:spacing w:val="-6"/>
          <w:sz w:val="32"/>
        </w:rPr>
        <w:t>查公務人員考績法並未明定平時考核辦理期限，參酌司法院釋</w:t>
      </w:r>
      <w:r>
        <w:rPr>
          <w:sz w:val="32"/>
        </w:rPr>
        <w:t>字第583號解釋意旨，為貫徹憲法上對公務員權益之保障，對於公務員懲處權之行使期間，應類推適用公務員懲戒法第25</w:t>
      </w:r>
      <w:r>
        <w:rPr>
          <w:spacing w:val="1"/>
          <w:sz w:val="32"/>
        </w:rPr>
        <w:t> </w:t>
      </w:r>
      <w:r>
        <w:rPr>
          <w:sz w:val="32"/>
        </w:rPr>
        <w:t>條第3款有關懲戒權行使期間為10年之規定。是有關平時考核</w:t>
      </w:r>
      <w:r>
        <w:rPr>
          <w:w w:val="95"/>
          <w:sz w:val="32"/>
        </w:rPr>
        <w:t>之懲處，自公務人員違法失職行為終了之日起，已逾10年者，</w:t>
      </w:r>
      <w:r>
        <w:rPr>
          <w:spacing w:val="1"/>
          <w:w w:val="95"/>
          <w:sz w:val="32"/>
        </w:rPr>
        <w:t> </w:t>
      </w:r>
      <w:r>
        <w:rPr>
          <w:sz w:val="32"/>
        </w:rPr>
        <w:t>應不再予以追究。</w:t>
      </w:r>
    </w:p>
    <w:p>
      <w:pPr>
        <w:pStyle w:val="ListParagraph"/>
        <w:numPr>
          <w:ilvl w:val="0"/>
          <w:numId w:val="17"/>
        </w:numPr>
        <w:tabs>
          <w:tab w:pos="1112" w:val="left" w:leader="none"/>
        </w:tabs>
        <w:spacing w:line="321" w:lineRule="auto" w:before="3" w:after="0"/>
        <w:ind w:left="1111" w:right="226" w:hanging="831"/>
        <w:jc w:val="both"/>
        <w:rPr>
          <w:sz w:val="32"/>
        </w:rPr>
      </w:pPr>
      <w:r>
        <w:rPr>
          <w:w w:val="95"/>
          <w:sz w:val="32"/>
        </w:rPr>
        <w:t>武妹娘違失行為係發生於91年7月至9</w:t>
      </w:r>
      <w:r>
        <w:rPr>
          <w:spacing w:val="-13"/>
          <w:w w:val="95"/>
          <w:sz w:val="32"/>
        </w:rPr>
        <w:t>月間，惟Ｂ機關會計處遲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至102年9月2日，始就其違失行為追究責任，並作成記過一次</w:t>
      </w:r>
      <w:r>
        <w:rPr>
          <w:spacing w:val="6"/>
          <w:w w:val="95"/>
          <w:sz w:val="32"/>
        </w:rPr>
        <w:t> </w:t>
      </w:r>
      <w:r>
        <w:rPr>
          <w:sz w:val="32"/>
        </w:rPr>
        <w:t>之懲處，已逾公務人員懲處權之10年行使期間。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00" w:bottom="1000" w:left="1080" w:right="960"/>
        </w:sectPr>
      </w:pPr>
    </w:p>
    <w:p>
      <w:pPr>
        <w:pStyle w:val="Heading3"/>
        <w:ind w:right="1373"/>
      </w:pPr>
      <w:bookmarkStart w:name="_bookmark35" w:id="36"/>
      <w:bookmarkEnd w:id="36"/>
      <w:r>
        <w:rPr>
          <w:b w:val="0"/>
        </w:rPr>
      </w:r>
      <w:r>
        <w:rPr/>
        <w:t>（二）違反從新從輕原則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rPr>
          <w:b/>
        </w:rPr>
      </w:pPr>
      <w:bookmarkStart w:name="_bookmark36" w:id="37"/>
      <w:bookmarkEnd w:id="37"/>
      <w:r>
        <w:rPr/>
      </w:r>
      <w:r>
        <w:rPr>
          <w:b/>
          <w:spacing w:val="4"/>
        </w:rPr>
        <w:t>案例 </w:t>
      </w:r>
      <w:r>
        <w:rPr>
          <w:rFonts w:ascii="Times New Roman" w:eastAsia="Times New Roman"/>
          <w:b/>
        </w:rPr>
        <w:t>21</w:t>
      </w:r>
      <w:r>
        <w:rPr>
          <w:b/>
        </w:rPr>
        <w:t>、違反從新從輕原則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（102公申決字第0017號）</w:t>
      </w:r>
    </w:p>
    <w:p>
      <w:pPr>
        <w:pStyle w:val="BodyText"/>
        <w:spacing w:line="321" w:lineRule="auto" w:before="153"/>
        <w:ind w:left="1070" w:right="150"/>
        <w:jc w:val="both"/>
      </w:pPr>
      <w:r>
        <w:rPr>
          <w:spacing w:val="-1"/>
        </w:rPr>
        <w:t>李敏號是Ｃ機關警務正，Ｃ機關審認其前於Ｄ縣政府警察局任職期間，對屬員考核監督不周，依警察人員獎懲標準第</w:t>
      </w:r>
      <w:r>
        <w:rPr/>
        <w:t>9條第1</w:t>
      </w:r>
      <w:r>
        <w:rPr>
          <w:spacing w:val="-158"/>
        </w:rPr>
        <w:t> </w:t>
      </w:r>
      <w:r>
        <w:rPr>
          <w:spacing w:val="-11"/>
          <w:w w:val="95"/>
        </w:rPr>
        <w:t>項規定，核予其記過二次之懲處。李敏號不服，循序提起申訴、</w:t>
      </w:r>
      <w:r>
        <w:rPr/>
        <w:t>再申訴。惟該標準前於100年7月8日修正發布，就該獎懲標準第10條第1項得予以減輕懲處之規定，已有較嚴格之規定。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18"/>
        </w:numPr>
        <w:tabs>
          <w:tab w:pos="1112" w:val="left" w:leader="none"/>
        </w:tabs>
        <w:spacing w:line="321" w:lineRule="auto" w:before="152" w:after="0"/>
        <w:ind w:left="1111" w:right="227" w:hanging="831"/>
        <w:jc w:val="both"/>
        <w:rPr>
          <w:sz w:val="32"/>
        </w:rPr>
      </w:pPr>
      <w:r>
        <w:rPr>
          <w:w w:val="95"/>
          <w:sz w:val="32"/>
        </w:rPr>
        <w:t>依銓敘部102年1月14</w:t>
      </w:r>
      <w:r>
        <w:rPr>
          <w:spacing w:val="1"/>
          <w:w w:val="95"/>
          <w:sz w:val="32"/>
        </w:rPr>
        <w:t>日派員至本會保障事件審查會</w:t>
      </w:r>
      <w:r>
        <w:rPr>
          <w:w w:val="95"/>
          <w:sz w:val="32"/>
        </w:rPr>
        <w:t>102年第2</w:t>
      </w:r>
      <w:r>
        <w:rPr>
          <w:spacing w:val="151"/>
          <w:sz w:val="32"/>
        </w:rPr>
        <w:t> </w:t>
      </w:r>
      <w:r>
        <w:rPr>
          <w:w w:val="95"/>
          <w:sz w:val="32"/>
        </w:rPr>
        <w:t>次會議陳述意見表示，機關辦理公務人員平時考核之懲處，如</w:t>
      </w:r>
      <w:r>
        <w:rPr>
          <w:spacing w:val="1"/>
          <w:w w:val="95"/>
          <w:sz w:val="32"/>
        </w:rPr>
        <w:t> </w:t>
      </w:r>
      <w:r>
        <w:rPr>
          <w:spacing w:val="-8"/>
          <w:w w:val="95"/>
          <w:sz w:val="32"/>
        </w:rPr>
        <w:t>受考人行為後獎懲相關規定有變更者，原則上應以機關辦理懲</w:t>
      </w:r>
      <w:r>
        <w:rPr>
          <w:spacing w:val="1"/>
          <w:w w:val="95"/>
          <w:sz w:val="32"/>
        </w:rPr>
        <w:t> </w:t>
      </w:r>
      <w:r>
        <w:rPr>
          <w:spacing w:val="-11"/>
          <w:w w:val="95"/>
          <w:sz w:val="32"/>
        </w:rPr>
        <w:t>處時之規定為處罰依據，惟如受考人行為時之獎懲相關規定較</w:t>
      </w:r>
      <w:r>
        <w:rPr>
          <w:spacing w:val="1"/>
          <w:w w:val="95"/>
          <w:sz w:val="32"/>
        </w:rPr>
        <w:t> </w:t>
      </w:r>
      <w:r>
        <w:rPr>
          <w:sz w:val="32"/>
        </w:rPr>
        <w:t>有利於受考人，即應適用有利於受考人之規定。</w:t>
      </w:r>
    </w:p>
    <w:p>
      <w:pPr>
        <w:pStyle w:val="ListParagraph"/>
        <w:numPr>
          <w:ilvl w:val="0"/>
          <w:numId w:val="18"/>
        </w:numPr>
        <w:tabs>
          <w:tab w:pos="1112" w:val="left" w:leader="none"/>
        </w:tabs>
        <w:spacing w:line="321" w:lineRule="auto" w:before="3" w:after="0"/>
        <w:ind w:left="1111" w:right="155" w:hanging="831"/>
        <w:jc w:val="both"/>
        <w:rPr>
          <w:sz w:val="32"/>
        </w:rPr>
      </w:pPr>
      <w:r>
        <w:rPr>
          <w:sz w:val="32"/>
        </w:rPr>
        <w:t>依此從新從輕原則，本件適用100年7月8日修正發布前警察人員獎懲標準第10條第1項得予以減輕懲處之規定，既較有利於</w:t>
      </w:r>
      <w:r>
        <w:rPr>
          <w:spacing w:val="-3"/>
          <w:sz w:val="32"/>
        </w:rPr>
        <w:t>再申訴人，Ｃ機關未審及此，逕依警察人員獎懲標準第</w:t>
      </w:r>
      <w:r>
        <w:rPr>
          <w:spacing w:val="-2"/>
          <w:sz w:val="32"/>
        </w:rPr>
        <w:t>9條第1</w:t>
      </w:r>
      <w:r>
        <w:rPr>
          <w:spacing w:val="-158"/>
          <w:sz w:val="32"/>
        </w:rPr>
        <w:t> </w:t>
      </w:r>
      <w:r>
        <w:rPr>
          <w:sz w:val="32"/>
        </w:rPr>
        <w:t>項附表及100年7月8日修正發布之該標準第10條第1</w:t>
      </w:r>
      <w:r>
        <w:rPr>
          <w:spacing w:val="-24"/>
          <w:sz w:val="32"/>
        </w:rPr>
        <w:t>項規定，核</w:t>
      </w:r>
      <w:r>
        <w:rPr>
          <w:w w:val="95"/>
          <w:sz w:val="32"/>
        </w:rPr>
        <w:t>予再申訴人記過二次之懲處，核其認事用法，不無斟酌餘地。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60" w:bottom="1000" w:left="1080" w:right="960"/>
        </w:sectPr>
      </w:pPr>
    </w:p>
    <w:p>
      <w:pPr>
        <w:pStyle w:val="Heading3"/>
      </w:pPr>
      <w:bookmarkStart w:name="_bookmark37" w:id="38"/>
      <w:bookmarkEnd w:id="38"/>
      <w:r>
        <w:rPr>
          <w:b w:val="0"/>
        </w:rPr>
      </w:r>
      <w:r>
        <w:rPr/>
        <w:t>（三）違反一行為不二罰原則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rPr>
          <w:b/>
        </w:rPr>
      </w:pPr>
      <w:bookmarkStart w:name="_bookmark38" w:id="39"/>
      <w:bookmarkEnd w:id="39"/>
      <w:r>
        <w:rPr/>
      </w:r>
      <w:r>
        <w:rPr>
          <w:b/>
          <w:spacing w:val="3"/>
        </w:rPr>
        <w:t>案例 </w:t>
      </w:r>
      <w:r>
        <w:rPr>
          <w:rFonts w:ascii="Times New Roman" w:eastAsia="Times New Roman"/>
          <w:b/>
        </w:rPr>
        <w:t>22</w:t>
      </w:r>
      <w:r>
        <w:rPr>
          <w:b/>
        </w:rPr>
        <w:t>、違反一行為不二罰原則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（100公申決字第0169號、100公申決字第0198號）</w:t>
      </w:r>
    </w:p>
    <w:p>
      <w:pPr>
        <w:pStyle w:val="BodyText"/>
        <w:spacing w:line="321" w:lineRule="auto" w:before="153"/>
        <w:ind w:left="1070" w:right="157"/>
        <w:jc w:val="both"/>
      </w:pPr>
      <w:r>
        <w:rPr>
          <w:spacing w:val="-1"/>
        </w:rPr>
        <w:t>三郎是Ｅ機關Ｆ分局督察組組長。其負責之轄區內被查獲「員警集體包庇色情業者長期存在」案，Ｅ機關審認三郎未能掌握涉案之違紀傾向人員及風紀誘因場所，亦未將涉案員警提列違</w:t>
      </w:r>
      <w:r>
        <w:rPr>
          <w:w w:val="95"/>
        </w:rPr>
        <w:t>紀傾向人員，工作不力，分別核予申誡二次及申誡一次懲處。</w:t>
      </w:r>
      <w:r>
        <w:rPr>
          <w:spacing w:val="1"/>
          <w:w w:val="95"/>
        </w:rPr>
        <w:t> </w:t>
      </w:r>
      <w:r>
        <w:rPr/>
        <w:t>三郎不服，循序提起申訴、再申訴。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BodyText"/>
        <w:spacing w:line="321" w:lineRule="auto" w:before="152"/>
        <w:ind w:left="1070" w:right="228"/>
        <w:jc w:val="both"/>
      </w:pPr>
      <w:r>
        <w:rPr>
          <w:w w:val="95"/>
        </w:rPr>
        <w:t>查三郎未能掌握「員警集體包庇色情業者長期存在」案之違紀</w:t>
      </w:r>
      <w:r>
        <w:rPr>
          <w:spacing w:val="1"/>
          <w:w w:val="95"/>
        </w:rPr>
        <w:t> </w:t>
      </w:r>
      <w:r>
        <w:rPr>
          <w:w w:val="95"/>
        </w:rPr>
        <w:t>傾向人員及風紀誘因場所，均係三郎基於同一執行督察工作不</w:t>
      </w:r>
      <w:r>
        <w:rPr>
          <w:spacing w:val="1"/>
          <w:w w:val="95"/>
        </w:rPr>
        <w:t> </w:t>
      </w:r>
      <w:r>
        <w:rPr>
          <w:w w:val="95"/>
        </w:rPr>
        <w:t>力之違失行為，其間之關係為同一行為之原因結果關係，Ｅ機</w:t>
      </w:r>
      <w:r>
        <w:rPr>
          <w:spacing w:val="1"/>
          <w:w w:val="95"/>
        </w:rPr>
        <w:t> </w:t>
      </w:r>
      <w:r>
        <w:rPr>
          <w:w w:val="95"/>
        </w:rPr>
        <w:t>關疏於注意其原因結果關係，逕予評價成2個違失行為，分別</w:t>
      </w:r>
      <w:r>
        <w:rPr>
          <w:spacing w:val="51"/>
          <w:w w:val="95"/>
        </w:rPr>
        <w:t> </w:t>
      </w:r>
      <w:r>
        <w:rPr>
          <w:w w:val="95"/>
        </w:rPr>
        <w:t>予以申誡二次及申誡一次懲處，核有重複處罰之情事，難謂適</w:t>
      </w:r>
      <w:r>
        <w:rPr>
          <w:spacing w:val="1"/>
          <w:w w:val="95"/>
        </w:rPr>
        <w:t> </w:t>
      </w:r>
      <w:r>
        <w:rPr/>
        <w:t>法。</w:t>
      </w:r>
    </w:p>
    <w:p>
      <w:pPr>
        <w:spacing w:after="0" w:line="321" w:lineRule="auto"/>
        <w:jc w:val="both"/>
        <w:sectPr>
          <w:pgSz w:w="11910" w:h="16840"/>
          <w:pgMar w:header="0" w:footer="811" w:top="1060" w:bottom="1000" w:left="1080" w:right="960"/>
        </w:sectPr>
      </w:pPr>
    </w:p>
    <w:p>
      <w:pPr>
        <w:pStyle w:val="Heading3"/>
        <w:ind w:left="1087" w:right="0"/>
        <w:jc w:val="left"/>
      </w:pPr>
      <w:bookmarkStart w:name="_bookmark39" w:id="40"/>
      <w:bookmarkEnd w:id="40"/>
      <w:r>
        <w:rPr>
          <w:b w:val="0"/>
        </w:rPr>
      </w:r>
      <w:r>
        <w:rPr/>
        <w:t>（四）服務機關對事實未經詳實調查或認定有誤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rPr>
          <w:b/>
        </w:rPr>
      </w:pPr>
      <w:bookmarkStart w:name="_bookmark40" w:id="41"/>
      <w:bookmarkEnd w:id="41"/>
      <w:r>
        <w:rPr/>
      </w:r>
      <w:r>
        <w:rPr>
          <w:b/>
          <w:spacing w:val="3"/>
        </w:rPr>
        <w:t>案例 </w:t>
      </w:r>
      <w:r>
        <w:rPr>
          <w:rFonts w:ascii="Times New Roman" w:eastAsia="Times New Roman"/>
          <w:b/>
        </w:rPr>
        <w:t>23</w:t>
      </w:r>
      <w:r>
        <w:rPr>
          <w:b/>
        </w:rPr>
        <w:t>、懲處事實未經詳實調查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（101公申決字第0394號）</w:t>
      </w:r>
    </w:p>
    <w:p>
      <w:pPr>
        <w:pStyle w:val="BodyText"/>
        <w:spacing w:line="321" w:lineRule="auto" w:before="153"/>
        <w:ind w:left="1070" w:right="227"/>
        <w:jc w:val="both"/>
      </w:pPr>
      <w:r>
        <w:rPr>
          <w:w w:val="95"/>
        </w:rPr>
        <w:t>米高是Ｆ機關Ｇ運務段某站站務員。因案外人小新涉嫌與該站</w:t>
      </w:r>
      <w:r>
        <w:rPr>
          <w:spacing w:val="1"/>
          <w:w w:val="95"/>
        </w:rPr>
        <w:t> </w:t>
      </w:r>
      <w:r>
        <w:rPr>
          <w:w w:val="95"/>
        </w:rPr>
        <w:t>所屬員工勾結，大量套購花蓮至宜蘭間對號車火車票，經Ｋ地</w:t>
      </w:r>
      <w:r>
        <w:rPr>
          <w:spacing w:val="1"/>
          <w:w w:val="95"/>
        </w:rPr>
        <w:t> </w:t>
      </w:r>
      <w:r>
        <w:rPr>
          <w:w w:val="95"/>
        </w:rPr>
        <w:t>方法院檢察署傳喚米高及數名該站同仁到庭說明，並對外發布</w:t>
      </w:r>
      <w:r>
        <w:rPr>
          <w:spacing w:val="1"/>
          <w:w w:val="95"/>
        </w:rPr>
        <w:t> </w:t>
      </w:r>
      <w:r>
        <w:rPr>
          <w:w w:val="95"/>
        </w:rPr>
        <w:t>新聞稿。Ｅ運務段認為米高涉入外人套購乘車票情事，票務作</w:t>
      </w:r>
      <w:r>
        <w:rPr>
          <w:spacing w:val="1"/>
          <w:w w:val="95"/>
        </w:rPr>
        <w:t> </w:t>
      </w:r>
      <w:r>
        <w:rPr>
          <w:w w:val="95"/>
        </w:rPr>
        <w:t>業涉有疏失，核予其申誡二次之懲處。米高不服，循序提起申</w:t>
      </w:r>
      <w:r>
        <w:rPr>
          <w:spacing w:val="1"/>
          <w:w w:val="95"/>
        </w:rPr>
        <w:t> </w:t>
      </w:r>
      <w:r>
        <w:rPr/>
        <w:t>訴、再申訴。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19"/>
        </w:numPr>
        <w:tabs>
          <w:tab w:pos="1112" w:val="left" w:leader="none"/>
        </w:tabs>
        <w:spacing w:line="321" w:lineRule="auto" w:before="153" w:after="0"/>
        <w:ind w:left="1111" w:right="229" w:hanging="831"/>
        <w:jc w:val="both"/>
        <w:rPr>
          <w:sz w:val="32"/>
        </w:rPr>
      </w:pPr>
      <w:r>
        <w:rPr>
          <w:w w:val="95"/>
          <w:sz w:val="32"/>
        </w:rPr>
        <w:t>米高在接受調查時表明，其擔任票房領班，受指派負責大量及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團體購票業務，係依服務機關內部作業規定辦理，並未協助外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人套購乘車票情事；他接受傳喚僅係協助釐清案情，亦無遭收</w:t>
      </w:r>
      <w:r>
        <w:rPr>
          <w:spacing w:val="1"/>
          <w:w w:val="95"/>
          <w:sz w:val="32"/>
        </w:rPr>
        <w:t> </w:t>
      </w:r>
      <w:r>
        <w:rPr>
          <w:spacing w:val="-11"/>
          <w:w w:val="95"/>
          <w:sz w:val="32"/>
        </w:rPr>
        <w:t>押或交保情事。經查Ｇ運務段未查證小新持有長期且大量之車</w:t>
      </w:r>
      <w:r>
        <w:rPr>
          <w:spacing w:val="1"/>
          <w:w w:val="95"/>
          <w:sz w:val="32"/>
        </w:rPr>
        <w:t> </w:t>
      </w:r>
      <w:r>
        <w:rPr>
          <w:spacing w:val="-10"/>
          <w:w w:val="95"/>
          <w:sz w:val="32"/>
        </w:rPr>
        <w:t>票是否依票務規定申請購買，也未查明是否由米高服務之車站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售出等事實，即逕予懲處。且對於米高是否確實經辦相關乘車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票之購票作業，協助外人套購乘車票之日期、車次與人數等資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料為何，以及其違反何項票務作業規定而有違失等，均未敘</w:t>
      </w:r>
      <w:r>
        <w:rPr>
          <w:spacing w:val="163"/>
          <w:sz w:val="32"/>
        </w:rPr>
        <w:t> </w:t>
      </w:r>
      <w:r>
        <w:rPr>
          <w:w w:val="95"/>
          <w:sz w:val="32"/>
        </w:rPr>
        <w:t>明，已有未詳查相關事實，即認定米高涉有上開違失並予懲處</w:t>
      </w:r>
      <w:r>
        <w:rPr>
          <w:spacing w:val="1"/>
          <w:w w:val="95"/>
          <w:sz w:val="32"/>
        </w:rPr>
        <w:t> </w:t>
      </w:r>
      <w:r>
        <w:rPr>
          <w:sz w:val="32"/>
        </w:rPr>
        <w:t>之情形，核屬率斷。</w:t>
      </w:r>
    </w:p>
    <w:p>
      <w:pPr>
        <w:pStyle w:val="ListParagraph"/>
        <w:numPr>
          <w:ilvl w:val="0"/>
          <w:numId w:val="19"/>
        </w:numPr>
        <w:tabs>
          <w:tab w:pos="1112" w:val="left" w:leader="none"/>
        </w:tabs>
        <w:spacing w:line="321" w:lineRule="auto" w:before="4" w:after="0"/>
        <w:ind w:left="1111" w:right="229" w:hanging="831"/>
        <w:jc w:val="both"/>
        <w:rPr>
          <w:sz w:val="32"/>
        </w:rPr>
      </w:pPr>
      <w:r>
        <w:rPr>
          <w:w w:val="95"/>
          <w:sz w:val="32"/>
        </w:rPr>
        <w:t>本件懲處事由是否該當獎懲標準表所定「怠忽職責」或「違反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服務規定」之構成要件，容有疑義，Ｇ運務段逕依該規定核予</w:t>
      </w:r>
      <w:r>
        <w:rPr>
          <w:spacing w:val="1"/>
          <w:w w:val="95"/>
          <w:sz w:val="32"/>
        </w:rPr>
        <w:t> </w:t>
      </w:r>
      <w:r>
        <w:rPr>
          <w:sz w:val="32"/>
        </w:rPr>
        <w:t>米高申誡二次之懲處，不無斟酌之餘地。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60" w:bottom="1000" w:left="1080" w:right="960"/>
        </w:sectPr>
      </w:pPr>
    </w:p>
    <w:p>
      <w:pPr>
        <w:pStyle w:val="Heading3"/>
        <w:ind w:left="1254"/>
      </w:pPr>
      <w:bookmarkStart w:name="_bookmark41" w:id="42"/>
      <w:bookmarkEnd w:id="42"/>
      <w:r>
        <w:rPr>
          <w:b w:val="0"/>
        </w:rPr>
      </w:r>
      <w:r>
        <w:rPr/>
        <w:t>（五）適用法規錯誤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rPr>
          <w:b/>
        </w:rPr>
      </w:pPr>
      <w:bookmarkStart w:name="_bookmark42" w:id="43"/>
      <w:bookmarkEnd w:id="43"/>
      <w:r>
        <w:rPr/>
      </w:r>
      <w:r>
        <w:rPr>
          <w:b/>
          <w:spacing w:val="4"/>
        </w:rPr>
        <w:t>案例 </w:t>
      </w:r>
      <w:r>
        <w:rPr>
          <w:rFonts w:ascii="Times New Roman" w:eastAsia="Times New Roman"/>
          <w:b/>
        </w:rPr>
        <w:t>24</w:t>
      </w:r>
      <w:r>
        <w:rPr>
          <w:b/>
        </w:rPr>
        <w:t>、記過不得併記申誡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（103公申決字第0024號）</w:t>
      </w:r>
    </w:p>
    <w:p>
      <w:pPr>
        <w:pStyle w:val="BodyText"/>
        <w:spacing w:line="321" w:lineRule="auto" w:before="153"/>
        <w:ind w:left="1070" w:right="226"/>
        <w:jc w:val="both"/>
      </w:pPr>
      <w:r>
        <w:rPr>
          <w:w w:val="95"/>
        </w:rPr>
        <w:t>李應愛是Ｈ醫院科員。Ｈ醫院審認李應愛於試用期間，辦理儀</w:t>
      </w:r>
      <w:r>
        <w:rPr>
          <w:spacing w:val="1"/>
          <w:w w:val="95"/>
        </w:rPr>
        <w:t> </w:t>
      </w:r>
      <w:r>
        <w:rPr>
          <w:w w:val="95"/>
        </w:rPr>
        <w:t>器採購、保養、招標等業務，雖經多次輔導，仍有多次無故稽</w:t>
      </w:r>
      <w:r>
        <w:rPr>
          <w:spacing w:val="1"/>
          <w:w w:val="95"/>
        </w:rPr>
        <w:t> </w:t>
      </w:r>
      <w:r>
        <w:rPr>
          <w:w w:val="95"/>
        </w:rPr>
        <w:t>延公務處理時效情形，致造成不良後果，核予其記過二次申誡</w:t>
      </w:r>
      <w:r>
        <w:rPr>
          <w:spacing w:val="1"/>
          <w:w w:val="95"/>
        </w:rPr>
        <w:t> </w:t>
      </w:r>
      <w:r>
        <w:rPr/>
        <w:t>二次之懲處。李應愛不服，循序提起申訴、再申訴。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20"/>
        </w:numPr>
        <w:tabs>
          <w:tab w:pos="1112" w:val="left" w:leader="none"/>
        </w:tabs>
        <w:spacing w:line="321" w:lineRule="auto" w:before="152" w:after="0"/>
        <w:ind w:left="1111" w:right="225" w:hanging="831"/>
        <w:jc w:val="both"/>
        <w:rPr>
          <w:sz w:val="32"/>
        </w:rPr>
      </w:pPr>
      <w:r>
        <w:rPr>
          <w:w w:val="95"/>
          <w:sz w:val="32"/>
        </w:rPr>
        <w:t>按銓敘部93年5月17日部法二字第0932328291</w:t>
      </w:r>
      <w:r>
        <w:rPr>
          <w:spacing w:val="-36"/>
          <w:w w:val="95"/>
          <w:sz w:val="32"/>
        </w:rPr>
        <w:t>號令釋：「依公務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人員考績法施行細則第十三條第一項及第二項規定一次記一</w:t>
      </w:r>
      <w:r>
        <w:rPr>
          <w:spacing w:val="149"/>
          <w:sz w:val="32"/>
        </w:rPr>
        <w:t> </w:t>
      </w:r>
      <w:r>
        <w:rPr>
          <w:spacing w:val="-8"/>
          <w:w w:val="99"/>
          <w:sz w:val="32"/>
        </w:rPr>
        <w:t>大功</w:t>
      </w:r>
      <w:r>
        <w:rPr>
          <w:w w:val="99"/>
          <w:sz w:val="32"/>
        </w:rPr>
        <w:t>（</w:t>
      </w:r>
      <w:r>
        <w:rPr>
          <w:spacing w:val="2"/>
          <w:w w:val="99"/>
          <w:sz w:val="32"/>
        </w:rPr>
        <w:t>過</w:t>
      </w:r>
      <w:r>
        <w:rPr>
          <w:spacing w:val="-17"/>
          <w:w w:val="99"/>
          <w:sz w:val="32"/>
        </w:rPr>
        <w:t>）</w:t>
      </w:r>
      <w:r>
        <w:rPr>
          <w:spacing w:val="-5"/>
          <w:w w:val="99"/>
          <w:sz w:val="32"/>
        </w:rPr>
        <w:t>者，不得併記功</w:t>
      </w:r>
      <w:r>
        <w:rPr>
          <w:spacing w:val="2"/>
          <w:w w:val="99"/>
          <w:sz w:val="32"/>
        </w:rPr>
        <w:t>（</w:t>
      </w:r>
      <w:r>
        <w:rPr>
          <w:w w:val="99"/>
          <w:sz w:val="32"/>
        </w:rPr>
        <w:t>過</w:t>
      </w:r>
      <w:r>
        <w:rPr>
          <w:spacing w:val="-168"/>
          <w:w w:val="99"/>
          <w:sz w:val="32"/>
        </w:rPr>
        <w:t>）</w:t>
      </w:r>
      <w:r>
        <w:rPr>
          <w:spacing w:val="-8"/>
          <w:w w:val="99"/>
          <w:sz w:val="32"/>
        </w:rPr>
        <w:t>、嘉獎</w:t>
      </w:r>
      <w:r>
        <w:rPr>
          <w:w w:val="99"/>
          <w:sz w:val="32"/>
        </w:rPr>
        <w:t>（</w:t>
      </w:r>
      <w:r>
        <w:rPr>
          <w:spacing w:val="1"/>
          <w:w w:val="99"/>
          <w:sz w:val="32"/>
        </w:rPr>
        <w:t>申誡</w:t>
      </w:r>
      <w:r>
        <w:rPr>
          <w:spacing w:val="-168"/>
          <w:w w:val="99"/>
          <w:sz w:val="32"/>
        </w:rPr>
        <w:t>）</w:t>
      </w:r>
      <w:r>
        <w:rPr>
          <w:spacing w:val="-2"/>
          <w:w w:val="99"/>
          <w:sz w:val="32"/>
        </w:rPr>
        <w:t>；依同條第三</w:t>
      </w:r>
      <w:r>
        <w:rPr>
          <w:w w:val="95"/>
          <w:sz w:val="32"/>
        </w:rPr>
        <w:t>項規定記功（過）者，亦不得併記嘉獎（申誡</w:t>
      </w:r>
      <w:r>
        <w:rPr>
          <w:spacing w:val="-159"/>
          <w:w w:val="95"/>
          <w:sz w:val="32"/>
        </w:rPr>
        <w:t>）</w:t>
      </w:r>
      <w:r>
        <w:rPr>
          <w:w w:val="95"/>
          <w:sz w:val="32"/>
        </w:rPr>
        <w:t>。」據此，服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務機關就所屬人員之違失行為，固得視事實發生之原因、動機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及其影響程度，核予記過一次或二次、申誡一次或二次之懲</w:t>
      </w:r>
      <w:r>
        <w:rPr>
          <w:spacing w:val="167"/>
          <w:sz w:val="32"/>
        </w:rPr>
        <w:t> </w:t>
      </w:r>
      <w:r>
        <w:rPr>
          <w:spacing w:val="1"/>
          <w:w w:val="95"/>
          <w:sz w:val="32"/>
        </w:rPr>
        <w:t>處，惟仍須與考績法第</w:t>
      </w:r>
      <w:r>
        <w:rPr>
          <w:w w:val="95"/>
          <w:sz w:val="32"/>
        </w:rPr>
        <w:t>12</w:t>
      </w:r>
      <w:r>
        <w:rPr>
          <w:spacing w:val="5"/>
          <w:w w:val="95"/>
          <w:sz w:val="32"/>
        </w:rPr>
        <w:t>條第</w:t>
      </w:r>
      <w:r>
        <w:rPr>
          <w:w w:val="95"/>
          <w:sz w:val="32"/>
        </w:rPr>
        <w:t>1</w:t>
      </w:r>
      <w:r>
        <w:rPr>
          <w:spacing w:val="1"/>
          <w:w w:val="95"/>
          <w:sz w:val="32"/>
        </w:rPr>
        <w:t>項及同法施行細則第</w:t>
      </w:r>
      <w:r>
        <w:rPr>
          <w:w w:val="95"/>
          <w:sz w:val="32"/>
        </w:rPr>
        <w:t>13條第3</w:t>
      </w:r>
      <w:r>
        <w:rPr>
          <w:spacing w:val="141"/>
          <w:w w:val="95"/>
          <w:sz w:val="32"/>
        </w:rPr>
        <w:t> </w:t>
      </w:r>
      <w:r>
        <w:rPr>
          <w:w w:val="95"/>
          <w:sz w:val="32"/>
        </w:rPr>
        <w:t>項規定之本旨，及上開銓敘部93年5月17日令釋有關記過不得</w:t>
      </w:r>
      <w:r>
        <w:rPr>
          <w:spacing w:val="7"/>
          <w:w w:val="95"/>
          <w:sz w:val="32"/>
        </w:rPr>
        <w:t> </w:t>
      </w:r>
      <w:r>
        <w:rPr>
          <w:sz w:val="32"/>
        </w:rPr>
        <w:t>併記申誡之意旨相符，始為適法。</w:t>
      </w:r>
    </w:p>
    <w:p>
      <w:pPr>
        <w:pStyle w:val="ListParagraph"/>
        <w:numPr>
          <w:ilvl w:val="0"/>
          <w:numId w:val="20"/>
        </w:numPr>
        <w:tabs>
          <w:tab w:pos="1112" w:val="left" w:leader="none"/>
        </w:tabs>
        <w:spacing w:line="321" w:lineRule="auto" w:before="4" w:after="0"/>
        <w:ind w:left="1111" w:right="230" w:hanging="831"/>
        <w:jc w:val="both"/>
        <w:rPr>
          <w:sz w:val="32"/>
        </w:rPr>
      </w:pPr>
      <w:r>
        <w:rPr>
          <w:spacing w:val="-7"/>
          <w:w w:val="95"/>
          <w:sz w:val="32"/>
        </w:rPr>
        <w:t>系爭懲處令核予李應愛記過二次及申誡二次，適用法令顯有違</w:t>
      </w:r>
      <w:r>
        <w:rPr>
          <w:spacing w:val="1"/>
          <w:w w:val="95"/>
          <w:sz w:val="32"/>
        </w:rPr>
        <w:t> </w:t>
      </w:r>
      <w:r>
        <w:rPr>
          <w:sz w:val="32"/>
        </w:rPr>
        <w:t>誤，應予撤銷。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60" w:bottom="1000" w:left="1080" w:right="960"/>
        </w:sectPr>
      </w:pPr>
    </w:p>
    <w:p>
      <w:pPr>
        <w:pStyle w:val="Heading3"/>
      </w:pPr>
      <w:bookmarkStart w:name="_bookmark43" w:id="44"/>
      <w:bookmarkEnd w:id="44"/>
      <w:r>
        <w:rPr>
          <w:b w:val="0"/>
        </w:rPr>
      </w:r>
      <w:r>
        <w:rPr/>
        <w:t>（六）違反比例原則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rPr>
          <w:b/>
        </w:rPr>
      </w:pPr>
      <w:bookmarkStart w:name="_bookmark44" w:id="45"/>
      <w:bookmarkEnd w:id="45"/>
      <w:r>
        <w:rPr/>
      </w:r>
      <w:r>
        <w:rPr>
          <w:b/>
          <w:spacing w:val="3"/>
        </w:rPr>
        <w:t>案例 </w:t>
      </w:r>
      <w:r>
        <w:rPr>
          <w:rFonts w:ascii="Times New Roman" w:eastAsia="Times New Roman"/>
          <w:b/>
        </w:rPr>
        <w:t>25</w:t>
      </w:r>
      <w:r>
        <w:rPr>
          <w:b/>
        </w:rPr>
        <w:t>、違反比例原則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（103公申決字第0019號）</w:t>
      </w:r>
    </w:p>
    <w:p>
      <w:pPr>
        <w:pStyle w:val="BodyText"/>
        <w:spacing w:line="321" w:lineRule="auto" w:before="153"/>
        <w:ind w:left="1070" w:right="155"/>
        <w:jc w:val="both"/>
      </w:pPr>
      <w:r>
        <w:rPr>
          <w:spacing w:val="-1"/>
        </w:rPr>
        <w:t>李連結原是Ｉ市公所清潔隊隊長。李連結的屬員兩津管理之傾卸式清潔車，因實施定期檢驗未通過，復未依限辦理覆驗，致</w:t>
      </w:r>
      <w:r>
        <w:rPr>
          <w:w w:val="95"/>
        </w:rPr>
        <w:t>遭車輛監理單位罰鍰並註銷牌照；且牌照於93年間遭註銷後，</w:t>
      </w:r>
      <w:r>
        <w:rPr>
          <w:spacing w:val="1"/>
          <w:w w:val="95"/>
        </w:rPr>
        <w:t> </w:t>
      </w:r>
      <w:r>
        <w:rPr>
          <w:spacing w:val="-1"/>
        </w:rPr>
        <w:t>仍持續編列該車輛的維護預算。Ｉ市公所審認李連結對屬員兩津疏於督導考核，致發生不良後果，情節較重，核予其記過一</w:t>
      </w:r>
      <w:r>
        <w:rPr/>
        <w:t>次之懲處。李連結不服，循序提起申訴、再申訴。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BodyText"/>
        <w:spacing w:line="321" w:lineRule="auto" w:before="153"/>
        <w:ind w:left="1070" w:right="226"/>
        <w:jc w:val="both"/>
      </w:pPr>
      <w:r>
        <w:rPr>
          <w:w w:val="95"/>
        </w:rPr>
        <w:t>Ｉ市公所就系爭車輛管理疏失之責，經查李連結對於系爭車輛</w:t>
      </w:r>
      <w:r>
        <w:rPr>
          <w:spacing w:val="1"/>
          <w:w w:val="95"/>
        </w:rPr>
        <w:t> </w:t>
      </w:r>
      <w:r>
        <w:rPr>
          <w:w w:val="95"/>
        </w:rPr>
        <w:t>遭註銷牌照一事，是否知情，尚非無疑；Ｉ市公所僅憑清潔隊</w:t>
      </w:r>
      <w:r>
        <w:rPr>
          <w:spacing w:val="1"/>
          <w:w w:val="95"/>
        </w:rPr>
        <w:t> </w:t>
      </w:r>
      <w:r>
        <w:rPr>
          <w:w w:val="95"/>
        </w:rPr>
        <w:t>隊員之說詞，即認李連結知悉系爭車輛牌照遭註銷，並持續督</w:t>
      </w:r>
      <w:r>
        <w:rPr>
          <w:spacing w:val="1"/>
          <w:w w:val="95"/>
        </w:rPr>
        <w:t> </w:t>
      </w:r>
      <w:r>
        <w:rPr>
          <w:w w:val="95"/>
        </w:rPr>
        <w:t>導編列該車維護預算，甚而依此推認李連結未依事務管理規則</w:t>
      </w:r>
      <w:r>
        <w:rPr>
          <w:spacing w:val="1"/>
          <w:w w:val="95"/>
        </w:rPr>
        <w:t> </w:t>
      </w:r>
      <w:r>
        <w:rPr>
          <w:w w:val="95"/>
        </w:rPr>
        <w:t>等相關規定辦理系爭車輛定期檢驗，於系爭懲令記載其係有業</w:t>
      </w:r>
      <w:r>
        <w:rPr>
          <w:spacing w:val="1"/>
          <w:w w:val="95"/>
        </w:rPr>
        <w:t> </w:t>
      </w:r>
      <w:r>
        <w:rPr>
          <w:w w:val="95"/>
        </w:rPr>
        <w:t>務疏失，而非監督不周，則Ｉ市公所追究李連結之責任為何業</w:t>
      </w:r>
      <w:r>
        <w:rPr>
          <w:spacing w:val="1"/>
          <w:w w:val="95"/>
        </w:rPr>
        <w:t> </w:t>
      </w:r>
      <w:r>
        <w:rPr>
          <w:w w:val="95"/>
        </w:rPr>
        <w:t>務疏失或監督不周，尚待釐清。又Ｉ市公所核予管理人員兩津</w:t>
      </w:r>
      <w:r>
        <w:rPr>
          <w:spacing w:val="1"/>
          <w:w w:val="95"/>
        </w:rPr>
        <w:t> </w:t>
      </w:r>
      <w:r>
        <w:rPr>
          <w:w w:val="95"/>
        </w:rPr>
        <w:t>記過一次之懲處，則該公所就其直屬主管李連結之督導不周責</w:t>
      </w:r>
      <w:r>
        <w:rPr>
          <w:spacing w:val="1"/>
          <w:w w:val="95"/>
        </w:rPr>
        <w:t> </w:t>
      </w:r>
      <w:r>
        <w:rPr>
          <w:w w:val="95"/>
        </w:rPr>
        <w:t>任，亦核予記過一次之懲處，二者之額度相同，亦難謂與比例</w:t>
      </w:r>
      <w:r>
        <w:rPr>
          <w:spacing w:val="1"/>
          <w:w w:val="95"/>
        </w:rPr>
        <w:t> </w:t>
      </w:r>
      <w:r>
        <w:rPr/>
        <w:t>原則相符，核有再行查明並斟酌之必要。</w:t>
      </w:r>
    </w:p>
    <w:p>
      <w:pPr>
        <w:spacing w:after="0" w:line="321" w:lineRule="auto"/>
        <w:jc w:val="both"/>
        <w:sectPr>
          <w:pgSz w:w="11910" w:h="16840"/>
          <w:pgMar w:header="0" w:footer="811" w:top="1060" w:bottom="1000" w:left="1080" w:right="960"/>
        </w:sectPr>
      </w:pPr>
    </w:p>
    <w:p>
      <w:pPr>
        <w:pStyle w:val="Heading3"/>
      </w:pPr>
      <w:bookmarkStart w:name="_bookmark45" w:id="46"/>
      <w:bookmarkEnd w:id="46"/>
      <w:r>
        <w:rPr>
          <w:b w:val="0"/>
        </w:rPr>
      </w:r>
      <w:r>
        <w:rPr/>
        <w:t>（七）違反平等原則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rPr>
          <w:b/>
        </w:rPr>
      </w:pPr>
      <w:bookmarkStart w:name="_bookmark46" w:id="47"/>
      <w:bookmarkEnd w:id="47"/>
      <w:r>
        <w:rPr/>
      </w:r>
      <w:r>
        <w:rPr>
          <w:b/>
          <w:spacing w:val="3"/>
        </w:rPr>
        <w:t>案例 </w:t>
      </w:r>
      <w:r>
        <w:rPr>
          <w:rFonts w:ascii="Times New Roman" w:eastAsia="Times New Roman"/>
          <w:b/>
        </w:rPr>
        <w:t>26</w:t>
      </w:r>
      <w:r>
        <w:rPr>
          <w:b/>
        </w:rPr>
        <w:t>、違反平等原則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（99公申決字第0473號）</w:t>
      </w:r>
    </w:p>
    <w:p>
      <w:pPr>
        <w:pStyle w:val="BodyText"/>
        <w:spacing w:line="321" w:lineRule="auto" w:before="153"/>
        <w:ind w:left="1070" w:right="227"/>
        <w:jc w:val="both"/>
      </w:pPr>
      <w:r>
        <w:rPr>
          <w:w w:val="95"/>
        </w:rPr>
        <w:t>蔡一林現任Ｊ分局督察組巡官，不服Ｊ分局審認其對於電子遊</w:t>
      </w:r>
      <w:r>
        <w:rPr>
          <w:spacing w:val="1"/>
          <w:w w:val="95"/>
        </w:rPr>
        <w:t> </w:t>
      </w:r>
      <w:r>
        <w:rPr>
          <w:w w:val="95"/>
        </w:rPr>
        <w:t>戲場涉嫌經營賭博電玩案，取締不力，依警察人員獎懲標準第</w:t>
      </w:r>
      <w:r>
        <w:rPr>
          <w:spacing w:val="62"/>
          <w:w w:val="95"/>
        </w:rPr>
        <w:t> </w:t>
      </w:r>
      <w:r>
        <w:rPr>
          <w:w w:val="95"/>
        </w:rPr>
        <w:t>6條第1款規定，核予其申誡二次之懲處，循序提起申訴、再申</w:t>
      </w:r>
      <w:r>
        <w:rPr>
          <w:spacing w:val="1"/>
          <w:w w:val="95"/>
        </w:rPr>
        <w:t> </w:t>
      </w:r>
      <w:r>
        <w:rPr/>
        <w:t>訴。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BodyText"/>
        <w:spacing w:line="321" w:lineRule="auto" w:before="152"/>
        <w:ind w:left="1070" w:right="226"/>
        <w:jc w:val="both"/>
      </w:pPr>
      <w:r>
        <w:rPr>
          <w:w w:val="95"/>
        </w:rPr>
        <w:t>Ｊ分局行政組電玩業務承辦人劉的華因同一事由，經該分局以</w:t>
      </w:r>
      <w:r>
        <w:rPr>
          <w:spacing w:val="1"/>
          <w:w w:val="95"/>
        </w:rPr>
        <w:t> </w:t>
      </w:r>
      <w:r>
        <w:rPr>
          <w:w w:val="95"/>
        </w:rPr>
        <w:t>同令核予其申誡一次之懲處。經查劉的華原應受記過一次之懲</w:t>
      </w:r>
      <w:r>
        <w:rPr>
          <w:spacing w:val="1"/>
          <w:w w:val="95"/>
        </w:rPr>
        <w:t> </w:t>
      </w:r>
      <w:r>
        <w:rPr>
          <w:spacing w:val="5"/>
          <w:w w:val="95"/>
        </w:rPr>
        <w:t>處，惟Ｊ分局審酌其任職未滿 </w:t>
      </w:r>
      <w:r>
        <w:rPr>
          <w:w w:val="95"/>
        </w:rPr>
        <w:t>3</w:t>
      </w:r>
      <w:r>
        <w:rPr>
          <w:spacing w:val="1"/>
          <w:w w:val="95"/>
        </w:rPr>
        <w:t> 個月，並會同辦理○○電子遊</w:t>
      </w:r>
      <w:r>
        <w:rPr>
          <w:w w:val="95"/>
        </w:rPr>
        <w:t>戲場涉嫌經營賭博電玩案，爰予減輕，改核予其申誡一次之懲</w:t>
      </w:r>
      <w:r>
        <w:rPr>
          <w:spacing w:val="1"/>
          <w:w w:val="95"/>
        </w:rPr>
        <w:t> </w:t>
      </w:r>
      <w:r>
        <w:rPr>
          <w:spacing w:val="4"/>
          <w:w w:val="95"/>
        </w:rPr>
        <w:t>處。則Ｊ分局卻未考量蔡一林到職亦未滿 </w:t>
      </w:r>
      <w:r>
        <w:rPr>
          <w:w w:val="95"/>
        </w:rPr>
        <w:t>3</w:t>
      </w:r>
      <w:r>
        <w:rPr>
          <w:spacing w:val="7"/>
          <w:w w:val="95"/>
        </w:rPr>
        <w:t> 個月之事實，顯然</w:t>
      </w:r>
      <w:r>
        <w:rPr/>
        <w:t>對於同一情事為不同之處理，有違平等原則。</w:t>
      </w:r>
    </w:p>
    <w:p>
      <w:pPr>
        <w:spacing w:after="0" w:line="321" w:lineRule="auto"/>
        <w:jc w:val="both"/>
        <w:sectPr>
          <w:pgSz w:w="11910" w:h="16840"/>
          <w:pgMar w:header="0" w:footer="811" w:top="1060" w:bottom="1000" w:left="1080" w:right="960"/>
        </w:sectPr>
      </w:pPr>
    </w:p>
    <w:p>
      <w:pPr>
        <w:pStyle w:val="Heading3"/>
        <w:ind w:left="2155" w:right="2274"/>
      </w:pPr>
      <w:bookmarkStart w:name="_bookmark47" w:id="48"/>
      <w:bookmarkEnd w:id="48"/>
      <w:r>
        <w:rPr>
          <w:b w:val="0"/>
        </w:rPr>
      </w:r>
      <w:r>
        <w:rPr/>
        <w:t>（八）考核監督責任不具可歸責性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rPr>
          <w:b/>
        </w:rPr>
      </w:pPr>
      <w:bookmarkStart w:name="_bookmark48" w:id="49"/>
      <w:bookmarkEnd w:id="49"/>
      <w:r>
        <w:rPr/>
      </w:r>
      <w:r>
        <w:rPr>
          <w:b/>
          <w:spacing w:val="4"/>
        </w:rPr>
        <w:t>案例 </w:t>
      </w:r>
      <w:r>
        <w:rPr>
          <w:rFonts w:ascii="Times New Roman" w:eastAsia="Times New Roman"/>
          <w:b/>
        </w:rPr>
        <w:t>27</w:t>
      </w:r>
      <w:r>
        <w:rPr>
          <w:b/>
        </w:rPr>
        <w:t>、考核監督責任不具可歸責性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（103公申決字第0018號）</w:t>
      </w:r>
    </w:p>
    <w:p>
      <w:pPr>
        <w:pStyle w:val="BodyText"/>
        <w:spacing w:line="321" w:lineRule="auto" w:before="153"/>
        <w:ind w:left="1070" w:right="224"/>
        <w:jc w:val="both"/>
      </w:pPr>
      <w:r>
        <w:rPr>
          <w:w w:val="95"/>
        </w:rPr>
        <w:t>貝克汗現是Ｋ縣政府警察局秘書室警務員。其前任該局交通警</w:t>
      </w:r>
      <w:r>
        <w:rPr>
          <w:spacing w:val="1"/>
          <w:w w:val="95"/>
        </w:rPr>
        <w:t> </w:t>
      </w:r>
      <w:r>
        <w:rPr>
          <w:spacing w:val="-8"/>
          <w:w w:val="99"/>
        </w:rPr>
        <w:t>察隊分隊長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自</w:t>
      </w:r>
      <w:r>
        <w:rPr>
          <w:spacing w:val="-2"/>
          <w:w w:val="99"/>
        </w:rPr>
        <w:t>9</w:t>
      </w:r>
      <w:r>
        <w:rPr>
          <w:spacing w:val="1"/>
          <w:w w:val="99"/>
        </w:rPr>
        <w:t>9</w:t>
      </w:r>
      <w:r>
        <w:rPr>
          <w:spacing w:val="2"/>
          <w:w w:val="99"/>
        </w:rPr>
        <w:t>年</w:t>
      </w:r>
      <w:r>
        <w:rPr>
          <w:spacing w:val="-2"/>
          <w:w w:val="99"/>
        </w:rPr>
        <w:t>4</w:t>
      </w:r>
      <w:r>
        <w:rPr>
          <w:spacing w:val="2"/>
          <w:w w:val="99"/>
        </w:rPr>
        <w:t>月</w:t>
      </w:r>
      <w:r>
        <w:rPr>
          <w:spacing w:val="-2"/>
          <w:w w:val="99"/>
        </w:rPr>
        <w:t>2</w:t>
      </w:r>
      <w:r>
        <w:rPr>
          <w:spacing w:val="1"/>
          <w:w w:val="99"/>
        </w:rPr>
        <w:t>8</w:t>
      </w:r>
      <w:r>
        <w:rPr>
          <w:w w:val="99"/>
        </w:rPr>
        <w:t>日起至</w:t>
      </w:r>
      <w:r>
        <w:rPr>
          <w:spacing w:val="-2"/>
          <w:w w:val="99"/>
        </w:rPr>
        <w:t>1</w:t>
      </w:r>
      <w:r>
        <w:rPr>
          <w:w w:val="99"/>
        </w:rPr>
        <w:t>0</w:t>
      </w:r>
      <w:r>
        <w:rPr>
          <w:spacing w:val="1"/>
          <w:w w:val="99"/>
        </w:rPr>
        <w:t>1</w:t>
      </w:r>
      <w:r>
        <w:rPr>
          <w:w w:val="99"/>
        </w:rPr>
        <w:t>年</w:t>
      </w:r>
      <w:r>
        <w:rPr>
          <w:spacing w:val="1"/>
          <w:w w:val="99"/>
        </w:rPr>
        <w:t>9</w:t>
      </w:r>
      <w:r>
        <w:rPr>
          <w:w w:val="99"/>
        </w:rPr>
        <w:t>月</w:t>
      </w:r>
      <w:r>
        <w:rPr>
          <w:spacing w:val="1"/>
          <w:w w:val="99"/>
        </w:rPr>
        <w:t>2</w:t>
      </w:r>
      <w:r>
        <w:rPr>
          <w:spacing w:val="-2"/>
          <w:w w:val="99"/>
        </w:rPr>
        <w:t>4</w:t>
      </w:r>
      <w:r>
        <w:rPr>
          <w:spacing w:val="1"/>
          <w:w w:val="99"/>
        </w:rPr>
        <w:t>日止</w:t>
      </w:r>
      <w:r>
        <w:rPr>
          <w:spacing w:val="-181"/>
          <w:w w:val="99"/>
        </w:rPr>
        <w:t>）</w:t>
      </w:r>
      <w:r>
        <w:rPr>
          <w:spacing w:val="-4"/>
          <w:w w:val="99"/>
        </w:rPr>
        <w:t>，警員大雄</w:t>
      </w:r>
      <w:r>
        <w:rPr>
          <w:w w:val="95"/>
        </w:rPr>
        <w:t>自99年8月12日起至102年5月15日止，任職於該分隊。Ｋ縣政</w:t>
      </w:r>
      <w:r>
        <w:rPr>
          <w:spacing w:val="54"/>
          <w:w w:val="95"/>
        </w:rPr>
        <w:t> </w:t>
      </w:r>
      <w:r>
        <w:rPr>
          <w:w w:val="95"/>
        </w:rPr>
        <w:t>府警察局審認貝克汗之屬員大雄偵辦志明於97</w:t>
      </w:r>
      <w:r>
        <w:rPr>
          <w:spacing w:val="3"/>
          <w:w w:val="95"/>
        </w:rPr>
        <w:t>年間涉嫌犯公</w:t>
      </w:r>
      <w:r>
        <w:rPr>
          <w:spacing w:val="79"/>
          <w:w w:val="95"/>
        </w:rPr>
        <w:t> </w:t>
      </w:r>
      <w:r>
        <w:rPr>
          <w:w w:val="95"/>
        </w:rPr>
        <w:t>共危險罪一案，遲至102年間始移送Ｌ地方法院檢察署偵辦，</w:t>
      </w:r>
      <w:r>
        <w:rPr>
          <w:spacing w:val="65"/>
          <w:w w:val="95"/>
        </w:rPr>
        <w:t> </w:t>
      </w:r>
      <w:r>
        <w:rPr>
          <w:w w:val="95"/>
        </w:rPr>
        <w:t>貝克汗對大雄監督不周，情節嚴重，依警察人員獎懲標準第7</w:t>
      </w:r>
      <w:r>
        <w:rPr>
          <w:spacing w:val="53"/>
          <w:w w:val="95"/>
        </w:rPr>
        <w:t> </w:t>
      </w:r>
      <w:r>
        <w:rPr>
          <w:w w:val="95"/>
        </w:rPr>
        <w:t>條第11款規定，核予其記過一次之懲處。貝克汗不服，循序提</w:t>
      </w:r>
      <w:r>
        <w:rPr>
          <w:spacing w:val="1"/>
          <w:w w:val="95"/>
        </w:rPr>
        <w:t> </w:t>
      </w:r>
      <w:r>
        <w:rPr/>
        <w:t>起申訴、再申訴。</w:t>
      </w:r>
    </w:p>
    <w:p>
      <w:pPr>
        <w:pStyle w:val="BodyText"/>
        <w:spacing w:before="3"/>
        <w:ind w:left="110"/>
      </w:pPr>
      <w:r>
        <w:rPr/>
        <w:t>【解析】</w:t>
      </w:r>
    </w:p>
    <w:p>
      <w:pPr>
        <w:pStyle w:val="BodyText"/>
        <w:spacing w:line="321" w:lineRule="auto" w:before="153"/>
        <w:ind w:left="1070" w:right="226"/>
        <w:jc w:val="both"/>
      </w:pPr>
      <w:r>
        <w:rPr>
          <w:w w:val="95"/>
        </w:rPr>
        <w:t>經查大雄係於 97</w:t>
      </w:r>
      <w:r>
        <w:rPr>
          <w:spacing w:val="2"/>
          <w:w w:val="95"/>
        </w:rPr>
        <w:t> 年間受理系爭刑案，但未將受理之刑案建檔</w:t>
      </w:r>
      <w:r>
        <w:rPr>
          <w:w w:val="95"/>
        </w:rPr>
        <w:t>或以公文收掛文號，亦未陳報長官或列管交接。貝克汗係於該</w:t>
      </w:r>
      <w:r>
        <w:rPr>
          <w:spacing w:val="1"/>
          <w:w w:val="95"/>
        </w:rPr>
        <w:t> </w:t>
      </w:r>
      <w:r>
        <w:rPr>
          <w:spacing w:val="2"/>
          <w:w w:val="95"/>
        </w:rPr>
        <w:t>案發生 </w:t>
      </w:r>
      <w:r>
        <w:rPr>
          <w:w w:val="95"/>
        </w:rPr>
        <w:t>1</w:t>
      </w:r>
      <w:r>
        <w:rPr>
          <w:spacing w:val="7"/>
          <w:w w:val="95"/>
        </w:rPr>
        <w:t> 年 </w:t>
      </w:r>
      <w:r>
        <w:rPr>
          <w:w w:val="95"/>
        </w:rPr>
        <w:t>6 個月後，始擔任大雄之分隊長，尚難期待其能監</w:t>
      </w:r>
    </w:p>
    <w:p>
      <w:pPr>
        <w:pStyle w:val="BodyText"/>
        <w:spacing w:line="321" w:lineRule="auto" w:before="1"/>
        <w:ind w:left="1070" w:right="226"/>
        <w:jc w:val="both"/>
      </w:pPr>
      <w:r>
        <w:rPr>
          <w:w w:val="95"/>
        </w:rPr>
        <w:t>督系爭刑案之辦理。且查Ｋ縣政府警察局 97</w:t>
      </w:r>
      <w:r>
        <w:rPr>
          <w:spacing w:val="154"/>
        </w:rPr>
        <w:t> </w:t>
      </w:r>
      <w:r>
        <w:rPr>
          <w:w w:val="95"/>
        </w:rPr>
        <w:t>年員警工作紀錄簿因已逾保存年限而銷毀，大雄是否將系爭刑案確實記載，已</w:t>
      </w:r>
      <w:r>
        <w:rPr>
          <w:spacing w:val="1"/>
          <w:w w:val="95"/>
        </w:rPr>
        <w:t> </w:t>
      </w:r>
      <w:r>
        <w:rPr>
          <w:w w:val="95"/>
        </w:rPr>
        <w:t>無從查考，尚難遽認貝克汗得以查核該紀錄簿之方式，作為其</w:t>
      </w:r>
      <w:r>
        <w:rPr>
          <w:spacing w:val="1"/>
          <w:w w:val="95"/>
        </w:rPr>
        <w:t> </w:t>
      </w:r>
      <w:r>
        <w:rPr>
          <w:w w:val="95"/>
        </w:rPr>
        <w:t>監督大雄延宕移送系爭刑案之方法；且以貝克汗得實際查核其</w:t>
      </w:r>
      <w:r>
        <w:rPr>
          <w:spacing w:val="1"/>
          <w:w w:val="95"/>
        </w:rPr>
        <w:t> </w:t>
      </w:r>
      <w:r>
        <w:rPr>
          <w:spacing w:val="3"/>
          <w:w w:val="95"/>
        </w:rPr>
        <w:t>屬員 </w:t>
      </w:r>
      <w:r>
        <w:rPr>
          <w:w w:val="95"/>
        </w:rPr>
        <w:t>1</w:t>
      </w:r>
      <w:r>
        <w:rPr>
          <w:spacing w:val="5"/>
          <w:w w:val="95"/>
        </w:rPr>
        <w:t> 年 </w:t>
      </w:r>
      <w:r>
        <w:rPr>
          <w:w w:val="95"/>
        </w:rPr>
        <w:t>6 個月以前之員警工作紀錄簿，而發現系爭刑案漏未移送之事實，此種期待是否合理，亦非無疑。又大雄延宕系爭</w:t>
      </w:r>
      <w:r>
        <w:rPr>
          <w:spacing w:val="1"/>
          <w:w w:val="95"/>
        </w:rPr>
        <w:t> 刑案移送偵辦之 </w:t>
      </w:r>
      <w:r>
        <w:rPr>
          <w:w w:val="95"/>
        </w:rPr>
        <w:t>4</w:t>
      </w:r>
      <w:r>
        <w:rPr>
          <w:spacing w:val="1"/>
          <w:w w:val="95"/>
        </w:rPr>
        <w:t> 年餘期間，歷經 </w:t>
      </w:r>
      <w:r>
        <w:rPr>
          <w:w w:val="95"/>
        </w:rPr>
        <w:t>3 位分隊長，Ｋ縣政府警察</w:t>
      </w:r>
    </w:p>
    <w:p>
      <w:pPr>
        <w:pStyle w:val="BodyText"/>
        <w:spacing w:before="3"/>
        <w:ind w:left="1070"/>
        <w:jc w:val="both"/>
      </w:pPr>
      <w:r>
        <w:rPr>
          <w:spacing w:val="17"/>
          <w:w w:val="95"/>
        </w:rPr>
        <w:t>局追究其第 </w:t>
      </w:r>
      <w:r>
        <w:rPr>
          <w:w w:val="95"/>
        </w:rPr>
        <w:t>1 層主管分隊長考核監督責任，未就距系爭刑案發</w:t>
      </w:r>
    </w:p>
    <w:p>
      <w:pPr>
        <w:spacing w:after="0"/>
        <w:jc w:val="both"/>
        <w:sectPr>
          <w:pgSz w:w="11910" w:h="16840"/>
          <w:pgMar w:header="0" w:footer="811" w:top="1060" w:bottom="1000" w:left="1080" w:right="960"/>
        </w:sectPr>
      </w:pPr>
    </w:p>
    <w:p>
      <w:pPr>
        <w:pStyle w:val="BodyText"/>
        <w:spacing w:line="321" w:lineRule="auto" w:before="6"/>
        <w:ind w:left="1070" w:right="226"/>
      </w:pPr>
      <w:r>
        <w:rPr>
          <w:w w:val="95"/>
        </w:rPr>
        <w:t>生時間之遠近，分別考慮考核監督責任之不同，亦有再行斟酌</w:t>
      </w:r>
      <w:r>
        <w:rPr>
          <w:spacing w:val="1"/>
          <w:w w:val="95"/>
        </w:rPr>
        <w:t> </w:t>
      </w:r>
      <w:r>
        <w:rPr/>
        <w:t>之必要。</w:t>
      </w:r>
    </w:p>
    <w:p>
      <w:pPr>
        <w:spacing w:after="0" w:line="321" w:lineRule="auto"/>
        <w:sectPr>
          <w:pgSz w:w="11910" w:h="16840"/>
          <w:pgMar w:header="0" w:footer="811" w:top="1100" w:bottom="1000" w:left="1080" w:right="960"/>
        </w:sectPr>
      </w:pPr>
    </w:p>
    <w:p>
      <w:pPr>
        <w:pStyle w:val="Heading3"/>
        <w:ind w:left="2155" w:right="2274"/>
      </w:pPr>
      <w:bookmarkStart w:name="_bookmark49" w:id="50"/>
      <w:bookmarkEnd w:id="50"/>
      <w:r>
        <w:rPr>
          <w:b w:val="0"/>
        </w:rPr>
      </w:r>
      <w:r>
        <w:rPr/>
        <w:t>（九）其他實體有理由之情形</w:t>
      </w:r>
    </w:p>
    <w:p>
      <w:pPr>
        <w:pStyle w:val="BodyText"/>
        <w:spacing w:before="10"/>
        <w:rPr>
          <w:rFonts w:ascii="微軟正黑體"/>
          <w:b/>
          <w:sz w:val="33"/>
        </w:rPr>
      </w:pPr>
    </w:p>
    <w:p>
      <w:pPr>
        <w:pStyle w:val="BodyText"/>
        <w:ind w:left="110"/>
        <w:rPr>
          <w:rFonts w:ascii="Adobe 繁黑體 Std B" w:eastAsia="Adobe 繁黑體 Std B" w:hint="eastAsia"/>
          <w:b/>
        </w:rPr>
      </w:pPr>
      <w:bookmarkStart w:name="_bookmark50" w:id="51"/>
      <w:bookmarkEnd w:id="51"/>
      <w:r>
        <w:rPr/>
      </w:r>
      <w:r>
        <w:rPr>
          <w:rFonts w:ascii="Adobe 繁黑體 Std B" w:eastAsia="Adobe 繁黑體 Std B" w:hint="eastAsia"/>
          <w:b/>
          <w:spacing w:val="3"/>
        </w:rPr>
        <w:t>案例 </w:t>
      </w:r>
      <w:r>
        <w:rPr>
          <w:rFonts w:ascii="Times New Roman" w:eastAsia="Times New Roman"/>
          <w:b/>
          <w:sz w:val="34"/>
        </w:rPr>
        <w:t>28</w:t>
      </w:r>
      <w:r>
        <w:rPr>
          <w:rFonts w:ascii="Adobe 繁黑體 Std B" w:eastAsia="Adobe 繁黑體 Std B" w:hint="eastAsia"/>
          <w:b/>
        </w:rPr>
        <w:t>、不得以當事人拒絕陳述，逕認其違抗長官命令而予懲處</w:t>
      </w:r>
    </w:p>
    <w:p>
      <w:pPr>
        <w:pStyle w:val="BodyText"/>
        <w:spacing w:before="99"/>
        <w:ind w:left="110"/>
      </w:pPr>
      <w:r>
        <w:rPr>
          <w:spacing w:val="-41"/>
        </w:rPr>
        <w:t>【事實】</w:t>
      </w:r>
      <w:r>
        <w:rPr/>
        <w:t>（103公申決字第0109號）</w:t>
      </w:r>
    </w:p>
    <w:p>
      <w:pPr>
        <w:pStyle w:val="BodyText"/>
        <w:spacing w:line="321" w:lineRule="auto" w:before="152"/>
        <w:ind w:left="1070" w:right="154"/>
        <w:jc w:val="both"/>
      </w:pPr>
      <w:r>
        <w:rPr>
          <w:spacing w:val="-1"/>
        </w:rPr>
        <w:t>張協友是Ｍ機關助理研究員。Ｍ機關審認其未依該機關分層負責明細表規定，逕自對外發表文章，拒不提出書面報告，對上</w:t>
      </w:r>
      <w:r>
        <w:rPr>
          <w:w w:val="95"/>
        </w:rPr>
        <w:t>級交辦事項，消極不為，經疏導無效，違抗命令，情節重大，</w:t>
      </w:r>
      <w:r>
        <w:rPr>
          <w:spacing w:val="1"/>
          <w:w w:val="95"/>
        </w:rPr>
        <w:t> </w:t>
      </w:r>
      <w:r>
        <w:rPr>
          <w:w w:val="95"/>
        </w:rPr>
        <w:t>核予記過一次之懲處，以樹立Ｍ機關公務紀律。張協友不服，</w:t>
      </w:r>
      <w:r>
        <w:rPr>
          <w:spacing w:val="1"/>
          <w:w w:val="95"/>
        </w:rPr>
        <w:t> </w:t>
      </w:r>
      <w:r>
        <w:rPr/>
        <w:t>循序提起申訴、再申訴。</w:t>
      </w:r>
    </w:p>
    <w:p>
      <w:pPr>
        <w:pStyle w:val="BodyText"/>
        <w:spacing w:before="3"/>
        <w:ind w:left="110"/>
      </w:pPr>
      <w:r>
        <w:rPr/>
        <w:t>【解析】</w:t>
      </w:r>
    </w:p>
    <w:p>
      <w:pPr>
        <w:pStyle w:val="BodyText"/>
        <w:spacing w:line="321" w:lineRule="auto" w:before="152"/>
        <w:ind w:left="1070" w:right="226"/>
        <w:jc w:val="both"/>
      </w:pPr>
      <w:r>
        <w:rPr>
          <w:spacing w:val="1"/>
          <w:w w:val="95"/>
        </w:rPr>
        <w:t>參酌行政程序法第 </w:t>
      </w:r>
      <w:r>
        <w:rPr>
          <w:w w:val="95"/>
        </w:rPr>
        <w:t>39</w:t>
      </w:r>
      <w:r>
        <w:rPr>
          <w:spacing w:val="153"/>
        </w:rPr>
        <w:t> </w:t>
      </w:r>
      <w:r>
        <w:rPr>
          <w:w w:val="95"/>
        </w:rPr>
        <w:t>條規定意旨，陳述意見既非屬強制性之義務，縱張協友消極不為或拒絕提出書面報告，亦僅得就張協</w:t>
      </w:r>
      <w:r>
        <w:rPr>
          <w:spacing w:val="1"/>
          <w:w w:val="95"/>
        </w:rPr>
        <w:t> </w:t>
      </w:r>
      <w:r>
        <w:rPr>
          <w:w w:val="95"/>
        </w:rPr>
        <w:t>友違反規定逕自對外發表文章案，相關事實或證據不明確而生</w:t>
      </w:r>
      <w:r>
        <w:rPr>
          <w:spacing w:val="1"/>
          <w:w w:val="95"/>
        </w:rPr>
        <w:t> </w:t>
      </w:r>
      <w:r>
        <w:rPr>
          <w:w w:val="95"/>
        </w:rPr>
        <w:t>之不利益，歸屬於張協友，尚不得因其拒絕說明而予切割處</w:t>
      </w:r>
      <w:r>
        <w:rPr>
          <w:spacing w:val="65"/>
          <w:w w:val="95"/>
        </w:rPr>
        <w:t> </w:t>
      </w:r>
      <w:r>
        <w:rPr/>
        <w:t>理，逕認其違抗長官命令而予處罰。</w:t>
      </w:r>
    </w:p>
    <w:p>
      <w:pPr>
        <w:spacing w:after="0" w:line="321" w:lineRule="auto"/>
        <w:jc w:val="both"/>
        <w:sectPr>
          <w:pgSz w:w="11910" w:h="16840"/>
          <w:pgMar w:header="0" w:footer="811" w:top="1060" w:bottom="1000" w:left="1080" w:right="960"/>
        </w:sectPr>
      </w:pPr>
    </w:p>
    <w:p>
      <w:pPr>
        <w:pStyle w:val="Heading1"/>
      </w:pPr>
      <w:bookmarkStart w:name="_bookmark51" w:id="52"/>
      <w:bookmarkEnd w:id="52"/>
      <w:r>
        <w:rPr/>
      </w:r>
      <w:r>
        <w:rPr>
          <w:w w:val="95"/>
        </w:rPr>
        <w:t>三、其他事件</w:t>
      </w:r>
    </w:p>
    <w:p>
      <w:pPr>
        <w:pStyle w:val="BodyText"/>
        <w:spacing w:before="12"/>
        <w:rPr>
          <w:sz w:val="42"/>
        </w:rPr>
      </w:pPr>
    </w:p>
    <w:p>
      <w:pPr>
        <w:pStyle w:val="Heading4"/>
        <w:rPr>
          <w:b/>
        </w:rPr>
      </w:pPr>
      <w:bookmarkStart w:name="_bookmark52" w:id="53"/>
      <w:bookmarkEnd w:id="53"/>
      <w:r>
        <w:rPr/>
      </w:r>
      <w:r>
        <w:rPr>
          <w:b/>
          <w:spacing w:val="5"/>
        </w:rPr>
        <w:t>案例 </w:t>
      </w:r>
      <w:r>
        <w:rPr>
          <w:rFonts w:ascii="Times New Roman" w:eastAsia="Times New Roman"/>
          <w:b/>
        </w:rPr>
        <w:t>29</w:t>
      </w:r>
      <w:r>
        <w:rPr>
          <w:b/>
        </w:rPr>
        <w:t>、服務機關應就客觀事實詳為調查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（103公申決字第0287號）</w:t>
      </w:r>
    </w:p>
    <w:p>
      <w:pPr>
        <w:pStyle w:val="BodyText"/>
        <w:spacing w:line="321" w:lineRule="auto" w:before="153"/>
        <w:ind w:left="1070" w:right="224"/>
        <w:jc w:val="both"/>
      </w:pPr>
      <w:r>
        <w:rPr>
          <w:w w:val="95"/>
        </w:rPr>
        <w:t>如花是Ｎ醫院護士，自103年1月2日起受指派至Ｐ醫院參加訓</w:t>
      </w:r>
      <w:r>
        <w:rPr>
          <w:spacing w:val="65"/>
          <w:w w:val="95"/>
        </w:rPr>
        <w:t> </w:t>
      </w:r>
      <w:r>
        <w:rPr>
          <w:w w:val="95"/>
        </w:rPr>
        <w:t>練，其自稱於同年月23日受訓結束返回Ｎ醫院值班途中，發生</w:t>
      </w:r>
      <w:r>
        <w:rPr>
          <w:spacing w:val="1"/>
          <w:w w:val="95"/>
        </w:rPr>
        <w:t> </w:t>
      </w:r>
      <w:r>
        <w:rPr>
          <w:w w:val="95"/>
        </w:rPr>
        <w:t>交通事故，惟其未於當日就醫。嗣因身體不適，另於同年月27</w:t>
      </w:r>
      <w:r>
        <w:rPr>
          <w:spacing w:val="1"/>
          <w:w w:val="95"/>
        </w:rPr>
        <w:t> </w:t>
      </w:r>
      <w:r>
        <w:rPr>
          <w:w w:val="95"/>
        </w:rPr>
        <w:t>日自行至Ｐ醫院就醫，並住院療養至同年2月5日出院。於同年</w:t>
      </w:r>
      <w:r>
        <w:rPr>
          <w:spacing w:val="1"/>
          <w:w w:val="95"/>
        </w:rPr>
        <w:t> </w:t>
      </w:r>
      <w:r>
        <w:rPr>
          <w:w w:val="95"/>
        </w:rPr>
        <w:t>月7日返回Ｎ醫院辦理請假手續時，再因身體不適至Ｐ醫院就</w:t>
      </w:r>
      <w:r>
        <w:rPr>
          <w:spacing w:val="55"/>
          <w:w w:val="95"/>
        </w:rPr>
        <w:t> </w:t>
      </w:r>
      <w:r>
        <w:rPr>
          <w:w w:val="95"/>
        </w:rPr>
        <w:t>診並住院療養，至同年月15日出院。如花於103年2月10日檢附</w:t>
      </w:r>
      <w:r>
        <w:rPr>
          <w:spacing w:val="1"/>
          <w:w w:val="95"/>
        </w:rPr>
        <w:t> </w:t>
      </w:r>
      <w:r>
        <w:rPr>
          <w:w w:val="95"/>
        </w:rPr>
        <w:t>診斷證明書，主張其係因公受傷，向Ｎ醫院申請自103年1月27</w:t>
      </w:r>
      <w:r>
        <w:rPr>
          <w:spacing w:val="1"/>
          <w:w w:val="95"/>
        </w:rPr>
        <w:t> </w:t>
      </w:r>
      <w:r>
        <w:rPr>
          <w:w w:val="95"/>
        </w:rPr>
        <w:t>日起至同年5月1日止，合計3個月又3日之公假。因如花未補具</w:t>
      </w:r>
      <w:r>
        <w:rPr>
          <w:spacing w:val="1"/>
          <w:w w:val="95"/>
        </w:rPr>
        <w:t> </w:t>
      </w:r>
      <w:r>
        <w:rPr>
          <w:w w:val="95"/>
        </w:rPr>
        <w:t>警察機關之證明文件及相關資料，經Ｎ醫院於103年3月10日否</w:t>
      </w:r>
      <w:r>
        <w:rPr>
          <w:spacing w:val="1"/>
          <w:w w:val="95"/>
        </w:rPr>
        <w:t> </w:t>
      </w:r>
      <w:r>
        <w:rPr/>
        <w:t>准其公假之申請。如花不服，循序提起申訴、再申訴。</w:t>
      </w:r>
    </w:p>
    <w:p>
      <w:pPr>
        <w:pStyle w:val="BodyText"/>
        <w:spacing w:before="4"/>
        <w:ind w:left="110"/>
      </w:pPr>
      <w:r>
        <w:rPr/>
        <w:t>【解析】</w:t>
      </w:r>
    </w:p>
    <w:p>
      <w:pPr>
        <w:pStyle w:val="ListParagraph"/>
        <w:numPr>
          <w:ilvl w:val="0"/>
          <w:numId w:val="21"/>
        </w:numPr>
        <w:tabs>
          <w:tab w:pos="1112" w:val="left" w:leader="none"/>
        </w:tabs>
        <w:spacing w:line="321" w:lineRule="auto" w:before="153" w:after="0"/>
        <w:ind w:left="1111" w:right="228" w:hanging="831"/>
        <w:jc w:val="both"/>
        <w:rPr>
          <w:sz w:val="32"/>
        </w:rPr>
      </w:pPr>
      <w:r>
        <w:rPr>
          <w:spacing w:val="-6"/>
          <w:w w:val="95"/>
          <w:sz w:val="32"/>
        </w:rPr>
        <w:t>本案Ｎ醫院不同意如花所提出之公傷假申請之理由，是因為如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花在交通事故發生後，並未向警察機關報案，事故發生地點並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無交通號誌，亦無監視錄影畫面，致難以認定責任歸屬，無從</w:t>
      </w:r>
      <w:r>
        <w:rPr>
          <w:spacing w:val="1"/>
          <w:w w:val="95"/>
          <w:sz w:val="32"/>
        </w:rPr>
        <w:t> </w:t>
      </w:r>
      <w:r>
        <w:rPr>
          <w:sz w:val="32"/>
        </w:rPr>
        <w:t>判斷得否核給其公假。</w:t>
      </w:r>
    </w:p>
    <w:p>
      <w:pPr>
        <w:pStyle w:val="ListParagraph"/>
        <w:numPr>
          <w:ilvl w:val="0"/>
          <w:numId w:val="21"/>
        </w:numPr>
        <w:tabs>
          <w:tab w:pos="1112" w:val="left" w:leader="none"/>
        </w:tabs>
        <w:spacing w:line="321" w:lineRule="auto" w:before="2" w:after="0"/>
        <w:ind w:left="1111" w:right="231" w:hanging="831"/>
        <w:jc w:val="both"/>
        <w:rPr>
          <w:sz w:val="32"/>
        </w:rPr>
      </w:pPr>
      <w:r>
        <w:rPr>
          <w:w w:val="95"/>
          <w:sz w:val="32"/>
        </w:rPr>
        <w:t>按上下班途中發生交通事故而受傷，其中因果關係之證明，公</w:t>
      </w:r>
      <w:r>
        <w:rPr>
          <w:spacing w:val="1"/>
          <w:w w:val="95"/>
          <w:sz w:val="32"/>
        </w:rPr>
        <w:t> </w:t>
      </w:r>
      <w:r>
        <w:rPr>
          <w:spacing w:val="-6"/>
          <w:w w:val="95"/>
          <w:sz w:val="32"/>
        </w:rPr>
        <w:t>務人員請假規則並未規定須以警察機關之證明文件，作為公假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申請之必要條件，其僅係其中一項證明方法，用以佐證當事人</w:t>
      </w:r>
      <w:r>
        <w:rPr>
          <w:spacing w:val="1"/>
          <w:w w:val="95"/>
          <w:sz w:val="32"/>
        </w:rPr>
        <w:t> </w:t>
      </w:r>
      <w:r>
        <w:rPr>
          <w:spacing w:val="-7"/>
          <w:w w:val="95"/>
          <w:sz w:val="32"/>
        </w:rPr>
        <w:t>確於上下班途中發生車禍之時點及受傷事實；倘當事人能提出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其他證明，如人證或錄影等足資佐證之資料，作為服務機關客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00" w:bottom="1000" w:left="1080" w:right="960"/>
        </w:sectPr>
      </w:pPr>
    </w:p>
    <w:p>
      <w:pPr>
        <w:pStyle w:val="BodyText"/>
        <w:spacing w:before="6"/>
        <w:ind w:left="1111"/>
      </w:pPr>
      <w:r>
        <w:rPr/>
        <w:t>觀判斷是否核予公假之依據，亦非法所不許。</w:t>
      </w:r>
    </w:p>
    <w:p>
      <w:pPr>
        <w:pStyle w:val="ListParagraph"/>
        <w:numPr>
          <w:ilvl w:val="0"/>
          <w:numId w:val="21"/>
        </w:numPr>
        <w:tabs>
          <w:tab w:pos="1112" w:val="left" w:leader="none"/>
        </w:tabs>
        <w:spacing w:line="321" w:lineRule="auto" w:before="153" w:after="0"/>
        <w:ind w:left="1111" w:right="228" w:hanging="831"/>
        <w:jc w:val="both"/>
        <w:rPr>
          <w:sz w:val="32"/>
        </w:rPr>
      </w:pPr>
      <w:r>
        <w:rPr>
          <w:spacing w:val="-6"/>
          <w:w w:val="95"/>
          <w:sz w:val="32"/>
        </w:rPr>
        <w:t>縱使沒有警察機關之證明文件或監視錄影畫面，服務機關仍應</w:t>
      </w:r>
      <w:r>
        <w:rPr>
          <w:spacing w:val="1"/>
          <w:w w:val="95"/>
          <w:sz w:val="32"/>
        </w:rPr>
        <w:t> </w:t>
      </w:r>
      <w:r>
        <w:rPr>
          <w:spacing w:val="-11"/>
          <w:w w:val="95"/>
          <w:sz w:val="32"/>
        </w:rPr>
        <w:t>就其他客觀事實詳為調查，並視個案實際情形覈實為准駁之決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定，始符合請假規則保障公務人員權益之意旨。如花主張其曾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向同事說明其因車禍受傷，無法照護病患，也提出相關診斷證</w:t>
      </w:r>
      <w:r>
        <w:rPr>
          <w:spacing w:val="1"/>
          <w:w w:val="95"/>
          <w:sz w:val="32"/>
        </w:rPr>
        <w:t> </w:t>
      </w:r>
      <w:r>
        <w:rPr>
          <w:spacing w:val="-5"/>
          <w:w w:val="95"/>
          <w:sz w:val="32"/>
        </w:rPr>
        <w:t>明書及歷年就診紀錄說明病情，Ｎ醫院對此並未加以調查或審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酌，即否准其公假之申請，該院就本案之事實認定及判斷核有</w:t>
      </w:r>
      <w:r>
        <w:rPr>
          <w:spacing w:val="1"/>
          <w:w w:val="95"/>
          <w:sz w:val="32"/>
        </w:rPr>
        <w:t> </w:t>
      </w:r>
      <w:r>
        <w:rPr>
          <w:sz w:val="32"/>
        </w:rPr>
        <w:t>再行斟酌之必要。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100" w:bottom="1000" w:left="1080" w:right="960"/>
        </w:sectPr>
      </w:pPr>
    </w:p>
    <w:p>
      <w:pPr>
        <w:pStyle w:val="Heading1"/>
        <w:ind w:left="2155" w:right="2274"/>
        <w:jc w:val="center"/>
      </w:pPr>
      <w:bookmarkStart w:name="_bookmark53" w:id="54"/>
      <w:bookmarkEnd w:id="54"/>
      <w:r>
        <w:rPr/>
      </w:r>
      <w:r>
        <w:rPr>
          <w:w w:val="95"/>
        </w:rPr>
        <w:t>貳、復審事件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spacing w:line="648" w:lineRule="exact"/>
        <w:rPr>
          <w:b/>
        </w:rPr>
      </w:pPr>
      <w:bookmarkStart w:name="_bookmark54" w:id="55"/>
      <w:bookmarkEnd w:id="55"/>
      <w:r>
        <w:rPr/>
      </w:r>
      <w:r>
        <w:rPr>
          <w:b/>
        </w:rPr>
        <w:t>（壹）程序事項</w:t>
      </w:r>
    </w:p>
    <w:p>
      <w:pPr>
        <w:pStyle w:val="BodyText"/>
        <w:spacing w:before="6"/>
        <w:rPr>
          <w:rFonts w:ascii="Adobe 繁黑體 Std B"/>
          <w:b/>
          <w:sz w:val="29"/>
        </w:rPr>
      </w:pPr>
    </w:p>
    <w:p>
      <w:pPr>
        <w:pStyle w:val="Heading1"/>
        <w:spacing w:line="240" w:lineRule="auto" w:before="1"/>
        <w:ind w:left="550"/>
      </w:pPr>
      <w:bookmarkStart w:name="_bookmark55" w:id="56"/>
      <w:bookmarkEnd w:id="56"/>
      <w:r>
        <w:rPr/>
      </w:r>
      <w:r>
        <w:rPr>
          <w:w w:val="95"/>
        </w:rPr>
        <w:t>一、欠缺管轄權限</w:t>
      </w:r>
    </w:p>
    <w:p>
      <w:pPr>
        <w:pStyle w:val="BodyText"/>
        <w:spacing w:before="12"/>
        <w:rPr>
          <w:sz w:val="42"/>
        </w:rPr>
      </w:pPr>
    </w:p>
    <w:p>
      <w:pPr>
        <w:pStyle w:val="Heading4"/>
        <w:rPr>
          <w:b/>
        </w:rPr>
      </w:pPr>
      <w:bookmarkStart w:name="_bookmark56" w:id="57"/>
      <w:bookmarkEnd w:id="57"/>
      <w:r>
        <w:rPr/>
      </w:r>
      <w:r>
        <w:rPr>
          <w:b/>
          <w:spacing w:val="6"/>
        </w:rPr>
        <w:t>案例 </w:t>
      </w:r>
      <w:r>
        <w:rPr>
          <w:rFonts w:ascii="Times New Roman" w:eastAsia="Times New Roman"/>
          <w:b/>
        </w:rPr>
        <w:t>30</w:t>
      </w:r>
      <w:r>
        <w:rPr>
          <w:b/>
        </w:rPr>
        <w:t>、追繳俸給之權責機關須為編列俸給相關預算之機關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（103公審決字第0343號、103公審決字第0344號）</w:t>
      </w:r>
    </w:p>
    <w:p>
      <w:pPr>
        <w:pStyle w:val="BodyText"/>
        <w:spacing w:line="321" w:lineRule="auto" w:before="153"/>
        <w:ind w:left="1070" w:right="228"/>
      </w:pPr>
      <w:r>
        <w:rPr>
          <w:w w:val="95"/>
        </w:rPr>
        <w:t>郭護城在擔任Ａ機關Ｂ運務段Ｃ組車長及列車長期間，代理Ｃ</w:t>
      </w:r>
      <w:r>
        <w:rPr>
          <w:spacing w:val="1"/>
          <w:w w:val="95"/>
        </w:rPr>
        <w:t> 組副主任職務長達 </w:t>
      </w:r>
      <w:r>
        <w:rPr>
          <w:w w:val="95"/>
        </w:rPr>
        <w:t>1</w:t>
      </w:r>
      <w:r>
        <w:rPr>
          <w:spacing w:val="7"/>
          <w:w w:val="95"/>
        </w:rPr>
        <w:t> 年 </w:t>
      </w:r>
      <w:r>
        <w:rPr>
          <w:w w:val="95"/>
        </w:rPr>
        <w:t>4 個月。Ａ運務段認為郭護城代理副主</w:t>
      </w:r>
    </w:p>
    <w:p>
      <w:pPr>
        <w:pStyle w:val="BodyText"/>
        <w:ind w:left="1070"/>
      </w:pPr>
      <w:r>
        <w:rPr>
          <w:spacing w:val="10"/>
          <w:w w:val="95"/>
        </w:rPr>
        <w:t>任職務超過職務代理 </w:t>
      </w:r>
      <w:r>
        <w:rPr>
          <w:w w:val="95"/>
        </w:rPr>
        <w:t>1 年之限制，不符合各機關職務代理應行</w:t>
      </w:r>
    </w:p>
    <w:p>
      <w:pPr>
        <w:pStyle w:val="BodyText"/>
        <w:spacing w:line="321" w:lineRule="auto" w:before="153"/>
        <w:ind w:left="1070" w:right="153"/>
      </w:pPr>
      <w:r>
        <w:rPr>
          <w:spacing w:val="-4"/>
          <w:w w:val="95"/>
        </w:rPr>
        <w:t>注意事項第 </w:t>
      </w:r>
      <w:r>
        <w:rPr>
          <w:w w:val="95"/>
        </w:rPr>
        <w:t>2</w:t>
      </w:r>
      <w:r>
        <w:rPr>
          <w:spacing w:val="-14"/>
          <w:w w:val="95"/>
        </w:rPr>
        <w:t> 點第 </w:t>
      </w:r>
      <w:r>
        <w:rPr>
          <w:w w:val="95"/>
        </w:rPr>
        <w:t>2</w:t>
      </w:r>
      <w:r>
        <w:rPr>
          <w:spacing w:val="-7"/>
          <w:w w:val="95"/>
        </w:rPr>
        <w:t> 項規定，請其繳回溢領的 </w:t>
      </w:r>
      <w:r>
        <w:rPr>
          <w:w w:val="95"/>
        </w:rPr>
        <w:t>4</w:t>
      </w:r>
      <w:r>
        <w:rPr>
          <w:spacing w:val="-6"/>
          <w:w w:val="95"/>
        </w:rPr>
        <w:t> 個月主管職務</w:t>
      </w:r>
      <w:r>
        <w:rPr>
          <w:spacing w:val="-30"/>
          <w:w w:val="95"/>
        </w:rPr>
        <w:t>加給</w:t>
      </w:r>
      <w:r>
        <w:rPr>
          <w:w w:val="95"/>
        </w:rPr>
        <w:t>（含職務加給之延長工時工資</w:t>
      </w:r>
      <w:r>
        <w:rPr>
          <w:spacing w:val="-190"/>
          <w:w w:val="95"/>
        </w:rPr>
        <w:t>）</w:t>
      </w:r>
      <w:r>
        <w:rPr>
          <w:w w:val="95"/>
        </w:rPr>
        <w:t>。郭護城不服，提起復審。</w:t>
      </w:r>
    </w:p>
    <w:p>
      <w:pPr>
        <w:pStyle w:val="BodyText"/>
        <w:spacing w:before="1"/>
        <w:ind w:left="110"/>
      </w:pPr>
      <w:r>
        <w:rPr/>
        <w:t>【解析】</w:t>
      </w:r>
    </w:p>
    <w:p>
      <w:pPr>
        <w:pStyle w:val="ListParagraph"/>
        <w:numPr>
          <w:ilvl w:val="0"/>
          <w:numId w:val="22"/>
        </w:numPr>
        <w:tabs>
          <w:tab w:pos="1112" w:val="left" w:leader="none"/>
        </w:tabs>
        <w:spacing w:line="321" w:lineRule="auto" w:before="152" w:after="0"/>
        <w:ind w:left="1111" w:right="229" w:hanging="831"/>
        <w:jc w:val="both"/>
        <w:rPr>
          <w:sz w:val="32"/>
        </w:rPr>
      </w:pPr>
      <w:r>
        <w:rPr>
          <w:spacing w:val="20"/>
          <w:w w:val="95"/>
          <w:sz w:val="32"/>
        </w:rPr>
        <w:t>按交通事業機構現職非主管人員代理出缺主管職務相關事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宜，適用各機關職務代理應行注意事項之規定，並得參照公務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人員加給給與辦法規定，支給主管職務加給；惟如職務代理不</w:t>
      </w:r>
      <w:r>
        <w:rPr>
          <w:spacing w:val="1"/>
          <w:w w:val="95"/>
          <w:sz w:val="32"/>
        </w:rPr>
        <w:t> </w:t>
      </w:r>
      <w:r>
        <w:rPr>
          <w:sz w:val="32"/>
        </w:rPr>
        <w:t>符合規定，各機關即應追繳代理人員所支酬金。</w:t>
      </w:r>
    </w:p>
    <w:p>
      <w:pPr>
        <w:pStyle w:val="ListParagraph"/>
        <w:numPr>
          <w:ilvl w:val="0"/>
          <w:numId w:val="22"/>
        </w:numPr>
        <w:tabs>
          <w:tab w:pos="1112" w:val="left" w:leader="none"/>
        </w:tabs>
        <w:spacing w:line="321" w:lineRule="auto" w:before="2" w:after="0"/>
        <w:ind w:left="1111" w:right="228" w:hanging="831"/>
        <w:jc w:val="both"/>
        <w:rPr>
          <w:sz w:val="32"/>
        </w:rPr>
      </w:pPr>
      <w:r>
        <w:rPr>
          <w:w w:val="95"/>
          <w:sz w:val="32"/>
        </w:rPr>
        <w:t>惟查Ａ機關103年度法定預算內容，所屬各事業機構並未單獨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編列預算，係由Ａ機關統一編列，再按科目別勻支。是本件溢</w:t>
      </w:r>
      <w:r>
        <w:rPr>
          <w:spacing w:val="1"/>
          <w:w w:val="95"/>
          <w:sz w:val="32"/>
        </w:rPr>
        <w:t> </w:t>
      </w:r>
      <w:r>
        <w:rPr>
          <w:spacing w:val="-4"/>
          <w:w w:val="95"/>
          <w:sz w:val="32"/>
        </w:rPr>
        <w:t>發主管職務加給之追繳權責屬Ａ機關，Ｂ運務段欠缺管轄權限</w:t>
      </w:r>
      <w:r>
        <w:rPr>
          <w:spacing w:val="1"/>
          <w:w w:val="95"/>
          <w:sz w:val="32"/>
        </w:rPr>
        <w:t> </w:t>
      </w:r>
      <w:r>
        <w:rPr>
          <w:sz w:val="32"/>
        </w:rPr>
        <w:t>而予以追繳，於法未合。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00" w:bottom="1000" w:left="1080" w:right="960"/>
        </w:sectPr>
      </w:pPr>
    </w:p>
    <w:p>
      <w:pPr>
        <w:pStyle w:val="Heading4"/>
        <w:spacing w:line="579" w:lineRule="exact"/>
        <w:ind w:left="175"/>
        <w:rPr>
          <w:b/>
        </w:rPr>
      </w:pPr>
      <w:bookmarkStart w:name="_bookmark57" w:id="58"/>
      <w:bookmarkEnd w:id="58"/>
      <w:r>
        <w:rPr/>
      </w:r>
      <w:r>
        <w:rPr>
          <w:b/>
          <w:spacing w:val="-8"/>
        </w:rPr>
        <w:t>案例 </w:t>
      </w:r>
      <w:r>
        <w:rPr>
          <w:rFonts w:ascii="Times New Roman" w:eastAsia="Times New Roman"/>
          <w:b/>
          <w:spacing w:val="-2"/>
        </w:rPr>
        <w:t>31</w:t>
      </w:r>
      <w:r>
        <w:rPr>
          <w:b/>
          <w:spacing w:val="-11"/>
        </w:rPr>
        <w:t>、發布停職處分之機關須為公務員懲戒法所定之主管長官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（103公審決字第0088號、103公審決字第第0178號）</w:t>
      </w:r>
    </w:p>
    <w:p>
      <w:pPr>
        <w:pStyle w:val="BodyText"/>
        <w:spacing w:line="321" w:lineRule="auto" w:before="152"/>
        <w:ind w:left="1070" w:right="228"/>
        <w:jc w:val="both"/>
      </w:pPr>
      <w:r>
        <w:rPr>
          <w:spacing w:val="-14"/>
          <w:w w:val="95"/>
        </w:rPr>
        <w:t>世聞原是Ｄ部</w:t>
      </w:r>
      <w:r>
        <w:rPr>
          <w:w w:val="95"/>
        </w:rPr>
        <w:t>（中央二級機關）</w:t>
      </w:r>
      <w:r>
        <w:rPr>
          <w:spacing w:val="-40"/>
          <w:w w:val="95"/>
        </w:rPr>
        <w:t>Ｅ署</w:t>
      </w:r>
      <w:r>
        <w:rPr>
          <w:w w:val="95"/>
        </w:rPr>
        <w:t>（中央三級機關）</w:t>
      </w:r>
      <w:r>
        <w:rPr>
          <w:spacing w:val="-40"/>
          <w:w w:val="95"/>
        </w:rPr>
        <w:t>Ｆ局</w:t>
      </w:r>
      <w:r>
        <w:rPr>
          <w:w w:val="95"/>
        </w:rPr>
        <w:t>（中央四級機關）工務課工程員，前因涉犯貪污治罪條例罪嫌，經</w:t>
      </w:r>
      <w:r>
        <w:rPr>
          <w:spacing w:val="1"/>
          <w:w w:val="95"/>
        </w:rPr>
        <w:t> </w:t>
      </w:r>
      <w:r>
        <w:rPr>
          <w:w w:val="95"/>
        </w:rPr>
        <w:t>判處有期徒刑7年，褫奪公權5年。案經Ｆ局依公務員懲戒法第</w:t>
      </w:r>
      <w:r>
        <w:rPr>
          <w:spacing w:val="53"/>
          <w:w w:val="95"/>
        </w:rPr>
        <w:t> </w:t>
      </w:r>
      <w:r>
        <w:rPr/>
        <w:t>4條第2項規定發布停職令。世聞不服，提起復審。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23"/>
        </w:numPr>
        <w:tabs>
          <w:tab w:pos="1112" w:val="left" w:leader="none"/>
        </w:tabs>
        <w:spacing w:line="321" w:lineRule="auto" w:before="153" w:after="0"/>
        <w:ind w:left="1111" w:right="227" w:hanging="831"/>
        <w:jc w:val="both"/>
        <w:rPr>
          <w:sz w:val="32"/>
        </w:rPr>
      </w:pPr>
      <w:r>
        <w:rPr>
          <w:w w:val="95"/>
          <w:sz w:val="32"/>
        </w:rPr>
        <w:t>依公務員懲戒法第4條第2項及第19</w:t>
      </w:r>
      <w:r>
        <w:rPr>
          <w:spacing w:val="-12"/>
          <w:w w:val="95"/>
          <w:sz w:val="32"/>
        </w:rPr>
        <w:t>條規定，有權責發布停職處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分之主管長官為各院、部、會長官，地方最高行政長官或其他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相當之主管長官。是將世聞移送公務員懲戒委員會審議之Ｄ</w:t>
      </w:r>
      <w:r>
        <w:rPr>
          <w:spacing w:val="147"/>
          <w:w w:val="95"/>
          <w:sz w:val="32"/>
        </w:rPr>
        <w:t> </w:t>
      </w:r>
      <w:r>
        <w:rPr>
          <w:sz w:val="32"/>
        </w:rPr>
        <w:t>部，始有對其核布停職處分之事務處理權限。</w:t>
      </w:r>
    </w:p>
    <w:p>
      <w:pPr>
        <w:pStyle w:val="ListParagraph"/>
        <w:numPr>
          <w:ilvl w:val="0"/>
          <w:numId w:val="23"/>
        </w:numPr>
        <w:tabs>
          <w:tab w:pos="1112" w:val="left" w:leader="none"/>
        </w:tabs>
        <w:spacing w:line="321" w:lineRule="auto" w:before="1" w:after="0"/>
        <w:ind w:left="1111" w:right="231" w:hanging="831"/>
        <w:jc w:val="both"/>
        <w:rPr>
          <w:sz w:val="32"/>
        </w:rPr>
      </w:pPr>
      <w:r>
        <w:rPr>
          <w:spacing w:val="-6"/>
          <w:w w:val="95"/>
          <w:sz w:val="32"/>
        </w:rPr>
        <w:t>又停職處分係屬影響公務人員權益之重大事項，主管機關無法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規授權依據而委由所屬機關發布停職令，本有疑義，系爭停職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處分之發布既無法規授權依據，且屬再授權之情形，益顯欠缺</w:t>
      </w:r>
      <w:r>
        <w:rPr>
          <w:spacing w:val="1"/>
          <w:w w:val="95"/>
          <w:sz w:val="32"/>
        </w:rPr>
        <w:t> </w:t>
      </w:r>
      <w:r>
        <w:rPr>
          <w:sz w:val="32"/>
        </w:rPr>
        <w:t>合法性。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Heading1"/>
      </w:pPr>
      <w:bookmarkStart w:name="_bookmark58" w:id="59"/>
      <w:bookmarkEnd w:id="59"/>
      <w:r>
        <w:rPr/>
      </w:r>
      <w:r>
        <w:rPr>
          <w:w w:val="95"/>
        </w:rPr>
        <w:t>二、其他</w:t>
      </w:r>
    </w:p>
    <w:p>
      <w:pPr>
        <w:pStyle w:val="BodyText"/>
        <w:spacing w:before="12"/>
        <w:rPr>
          <w:sz w:val="42"/>
        </w:rPr>
      </w:pPr>
    </w:p>
    <w:p>
      <w:pPr>
        <w:pStyle w:val="Heading4"/>
        <w:rPr>
          <w:b/>
        </w:rPr>
      </w:pPr>
      <w:bookmarkStart w:name="_bookmark59" w:id="60"/>
      <w:bookmarkEnd w:id="60"/>
      <w:r>
        <w:rPr/>
      </w:r>
      <w:r>
        <w:rPr>
          <w:b/>
          <w:spacing w:val="5"/>
        </w:rPr>
        <w:t>案例 </w:t>
      </w:r>
      <w:r>
        <w:rPr>
          <w:rFonts w:ascii="Times New Roman" w:eastAsia="Times New Roman"/>
          <w:b/>
        </w:rPr>
        <w:t>32</w:t>
      </w:r>
      <w:r>
        <w:rPr>
          <w:b/>
        </w:rPr>
        <w:t>、考績丁等免職人員未依法給予陳述意見之機會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（103公審決字第0045號）</w:t>
      </w:r>
    </w:p>
    <w:p>
      <w:pPr>
        <w:pStyle w:val="BodyText"/>
        <w:spacing w:line="321" w:lineRule="auto" w:before="153"/>
        <w:ind w:left="1070" w:right="227"/>
        <w:jc w:val="both"/>
      </w:pPr>
      <w:r>
        <w:rPr>
          <w:w w:val="95"/>
        </w:rPr>
        <w:t>阿糯是Ｇ機關社會課課員。Ｇ機關審認其有年終考績應考列丁</w:t>
      </w:r>
      <w:r>
        <w:rPr>
          <w:spacing w:val="1"/>
          <w:w w:val="95"/>
        </w:rPr>
        <w:t> </w:t>
      </w:r>
      <w:r>
        <w:rPr>
          <w:w w:val="95"/>
        </w:rPr>
        <w:t>等之情事，核布其免職，並依考績法第18條規定，免職處分未</w:t>
      </w:r>
      <w:r>
        <w:rPr>
          <w:spacing w:val="1"/>
          <w:w w:val="95"/>
        </w:rPr>
        <w:t> </w:t>
      </w:r>
      <w:r>
        <w:rPr>
          <w:w w:val="95"/>
        </w:rPr>
        <w:t>確定前先行停職。阿糯不服，提起復審。經查Ｇ機關於核布阿</w:t>
      </w:r>
      <w:r>
        <w:rPr>
          <w:spacing w:val="1"/>
          <w:w w:val="95"/>
        </w:rPr>
        <w:t> </w:t>
      </w:r>
      <w:r>
        <w:rPr>
          <w:w w:val="95"/>
        </w:rPr>
        <w:t>糯101年年終考績考列丁等免職前，並未給予陳述及申辯之機</w:t>
      </w:r>
      <w:r>
        <w:rPr>
          <w:spacing w:val="46"/>
          <w:w w:val="95"/>
        </w:rPr>
        <w:t> </w:t>
      </w:r>
      <w:r>
        <w:rPr/>
        <w:t>會。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24"/>
        </w:numPr>
        <w:tabs>
          <w:tab w:pos="1112" w:val="left" w:leader="none"/>
        </w:tabs>
        <w:spacing w:line="321" w:lineRule="auto" w:before="152" w:after="0"/>
        <w:ind w:left="1111" w:right="227" w:hanging="831"/>
        <w:jc w:val="both"/>
        <w:rPr>
          <w:sz w:val="32"/>
        </w:rPr>
      </w:pPr>
      <w:r>
        <w:rPr>
          <w:w w:val="95"/>
          <w:sz w:val="32"/>
        </w:rPr>
        <w:t>按考績法第5條、第6條、第7條第1項及第14條規定，各機關辦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理年終考績，應由主管人員依考績表就部屬之工作、操行、學</w:t>
      </w:r>
      <w:r>
        <w:rPr>
          <w:spacing w:val="1"/>
          <w:w w:val="95"/>
          <w:sz w:val="32"/>
        </w:rPr>
        <w:t> </w:t>
      </w:r>
      <w:r>
        <w:rPr>
          <w:spacing w:val="-9"/>
          <w:w w:val="95"/>
          <w:sz w:val="32"/>
        </w:rPr>
        <w:t>識及才能等項目表現進行考評，並踐行考績法第</w:t>
      </w:r>
      <w:r>
        <w:rPr>
          <w:w w:val="95"/>
          <w:sz w:val="32"/>
        </w:rPr>
        <w:t>14條所定之考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績作業程序。又受考人須有考績法第6條第3項所定情形之一</w:t>
      </w:r>
      <w:r>
        <w:rPr>
          <w:spacing w:val="143"/>
          <w:w w:val="95"/>
          <w:sz w:val="32"/>
        </w:rPr>
        <w:t> </w:t>
      </w:r>
      <w:r>
        <w:rPr>
          <w:sz w:val="32"/>
        </w:rPr>
        <w:t>者，始該當年終考績考列丁等應予免職處分之要件。</w:t>
      </w:r>
    </w:p>
    <w:p>
      <w:pPr>
        <w:pStyle w:val="ListParagraph"/>
        <w:numPr>
          <w:ilvl w:val="0"/>
          <w:numId w:val="24"/>
        </w:numPr>
        <w:tabs>
          <w:tab w:pos="1112" w:val="left" w:leader="none"/>
        </w:tabs>
        <w:spacing w:line="321" w:lineRule="auto" w:before="3" w:after="0"/>
        <w:ind w:left="1111" w:right="224" w:hanging="831"/>
        <w:jc w:val="both"/>
        <w:rPr>
          <w:sz w:val="32"/>
        </w:rPr>
      </w:pPr>
      <w:r>
        <w:rPr>
          <w:w w:val="95"/>
          <w:sz w:val="32"/>
        </w:rPr>
        <w:t>Ｇ機關於核布其101年年終考績考列丁等前，並未給予其陳述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及申辯之機會，即與考績法第14條第3項規定不符，核有法定</w:t>
      </w:r>
      <w:r>
        <w:rPr>
          <w:spacing w:val="8"/>
          <w:w w:val="95"/>
          <w:sz w:val="32"/>
        </w:rPr>
        <w:t> </w:t>
      </w:r>
      <w:r>
        <w:rPr>
          <w:sz w:val="32"/>
        </w:rPr>
        <w:t>程序之瑕疵。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00" w:bottom="1000" w:left="1080" w:right="960"/>
        </w:sectPr>
      </w:pPr>
    </w:p>
    <w:p>
      <w:pPr>
        <w:pStyle w:val="Heading2"/>
        <w:spacing w:line="633" w:lineRule="exact"/>
        <w:rPr>
          <w:b/>
        </w:rPr>
      </w:pPr>
      <w:bookmarkStart w:name="_bookmark60" w:id="61"/>
      <w:bookmarkEnd w:id="61"/>
      <w:r>
        <w:rPr/>
      </w:r>
      <w:r>
        <w:rPr>
          <w:b/>
        </w:rPr>
        <w:t>（貳）實體事項</w:t>
      </w:r>
    </w:p>
    <w:p>
      <w:pPr>
        <w:pStyle w:val="BodyText"/>
        <w:spacing w:before="4"/>
        <w:rPr>
          <w:rFonts w:ascii="Adobe 繁黑體 Std B"/>
          <w:b/>
          <w:sz w:val="30"/>
        </w:rPr>
      </w:pPr>
    </w:p>
    <w:p>
      <w:pPr>
        <w:pStyle w:val="Heading4"/>
        <w:rPr>
          <w:b/>
        </w:rPr>
      </w:pPr>
      <w:bookmarkStart w:name="_bookmark61" w:id="62"/>
      <w:bookmarkEnd w:id="62"/>
      <w:r>
        <w:rPr/>
      </w:r>
      <w:r>
        <w:rPr>
          <w:b/>
          <w:spacing w:val="4"/>
        </w:rPr>
        <w:t>案例 </w:t>
      </w:r>
      <w:r>
        <w:rPr>
          <w:rFonts w:ascii="Times New Roman" w:eastAsia="Times New Roman"/>
          <w:b/>
        </w:rPr>
        <w:t>33</w:t>
      </w:r>
      <w:r>
        <w:rPr>
          <w:b/>
        </w:rPr>
        <w:t>、違反信賴保護原則</w:t>
      </w:r>
    </w:p>
    <w:p>
      <w:pPr>
        <w:pStyle w:val="BodyText"/>
        <w:spacing w:before="87"/>
        <w:ind w:left="110"/>
      </w:pPr>
      <w:r>
        <w:rPr>
          <w:spacing w:val="-41"/>
        </w:rPr>
        <w:t>【事實】</w:t>
      </w:r>
      <w:r>
        <w:rPr/>
        <w:t>（103公審決字第0315號）</w:t>
      </w:r>
    </w:p>
    <w:p>
      <w:pPr>
        <w:pStyle w:val="BodyText"/>
        <w:spacing w:line="321" w:lineRule="auto" w:before="153"/>
        <w:ind w:left="1070" w:right="226"/>
        <w:jc w:val="both"/>
      </w:pPr>
      <w:r>
        <w:rPr>
          <w:w w:val="95"/>
        </w:rPr>
        <w:t>杰輪原是Ｈ機關秘書。其自100年7月9日起派駐國外某代表處</w:t>
      </w:r>
      <w:r>
        <w:rPr>
          <w:spacing w:val="63"/>
          <w:w w:val="95"/>
        </w:rPr>
        <w:t> </w:t>
      </w:r>
      <w:r>
        <w:rPr>
          <w:w w:val="95"/>
        </w:rPr>
        <w:t>服務，並於100年7月17日與出租人簽訂房屋租賃契約，租期自100年7月24日起至101年7月23日止，租約中約定承租人另須負</w:t>
      </w:r>
      <w:r>
        <w:rPr>
          <w:spacing w:val="1"/>
          <w:w w:val="95"/>
        </w:rPr>
        <w:t> </w:t>
      </w:r>
      <w:r>
        <w:rPr>
          <w:w w:val="95"/>
        </w:rPr>
        <w:t>擔管理費。因Ｈ機關於101年修正駐外人員房租補助費支給規</w:t>
      </w:r>
      <w:r>
        <w:rPr>
          <w:spacing w:val="63"/>
          <w:w w:val="95"/>
        </w:rPr>
        <w:t> </w:t>
      </w:r>
      <w:r>
        <w:rPr>
          <w:w w:val="95"/>
        </w:rPr>
        <w:t>定，並訂自101年1月1日生效，明定管理費（公共維護費）須</w:t>
      </w:r>
      <w:r>
        <w:rPr>
          <w:spacing w:val="63"/>
          <w:w w:val="95"/>
        </w:rPr>
        <w:t> </w:t>
      </w:r>
      <w:r>
        <w:rPr>
          <w:w w:val="95"/>
        </w:rPr>
        <w:t>包含於租金之中，始得申請補助。杰輪向Ｈ機關請領101年1至</w:t>
      </w:r>
      <w:r>
        <w:rPr>
          <w:spacing w:val="55"/>
          <w:w w:val="95"/>
        </w:rPr>
        <w:t> </w:t>
      </w:r>
      <w:r>
        <w:rPr/>
        <w:t>7月份管理費，經Ｈ機關否准所請。杰輪不服，提起復審。</w:t>
      </w:r>
    </w:p>
    <w:p>
      <w:pPr>
        <w:pStyle w:val="BodyText"/>
        <w:spacing w:before="3"/>
        <w:ind w:left="110"/>
      </w:pPr>
      <w:r>
        <w:rPr/>
        <w:t>【解析】</w:t>
      </w:r>
    </w:p>
    <w:p>
      <w:pPr>
        <w:pStyle w:val="ListParagraph"/>
        <w:numPr>
          <w:ilvl w:val="0"/>
          <w:numId w:val="25"/>
        </w:numPr>
        <w:tabs>
          <w:tab w:pos="1112" w:val="left" w:leader="none"/>
        </w:tabs>
        <w:spacing w:line="321" w:lineRule="auto" w:before="153" w:after="0"/>
        <w:ind w:left="1111" w:right="229" w:hanging="831"/>
        <w:jc w:val="both"/>
        <w:rPr>
          <w:sz w:val="32"/>
        </w:rPr>
      </w:pPr>
      <w:r>
        <w:rPr>
          <w:spacing w:val="-9"/>
          <w:w w:val="95"/>
          <w:sz w:val="32"/>
        </w:rPr>
        <w:t>按駐外人員租賃住宅之管理費，依修正前之駐外人員房租補助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費支給規定，僅須於租約內列明，即准在補助限額內予以補</w:t>
      </w:r>
      <w:r>
        <w:rPr>
          <w:spacing w:val="163"/>
          <w:sz w:val="32"/>
        </w:rPr>
        <w:t> </w:t>
      </w:r>
      <w:r>
        <w:rPr>
          <w:w w:val="95"/>
          <w:sz w:val="32"/>
        </w:rPr>
        <w:t>助；惟依修正後之規定，須於租約內列明包含於租金中，始准</w:t>
      </w:r>
      <w:r>
        <w:rPr>
          <w:spacing w:val="1"/>
          <w:w w:val="95"/>
          <w:sz w:val="32"/>
        </w:rPr>
        <w:t> </w:t>
      </w:r>
      <w:r>
        <w:rPr>
          <w:sz w:val="32"/>
        </w:rPr>
        <w:t>在補助限額內予以補助。</w:t>
      </w:r>
    </w:p>
    <w:p>
      <w:pPr>
        <w:pStyle w:val="ListParagraph"/>
        <w:numPr>
          <w:ilvl w:val="0"/>
          <w:numId w:val="25"/>
        </w:numPr>
        <w:tabs>
          <w:tab w:pos="1112" w:val="left" w:leader="none"/>
        </w:tabs>
        <w:spacing w:line="321" w:lineRule="auto" w:before="1" w:after="0"/>
        <w:ind w:left="1111" w:right="147" w:hanging="831"/>
        <w:jc w:val="both"/>
        <w:rPr>
          <w:sz w:val="32"/>
        </w:rPr>
      </w:pPr>
      <w:r>
        <w:rPr>
          <w:spacing w:val="1"/>
          <w:sz w:val="32"/>
        </w:rPr>
        <w:t>杰輪的房屋租賃契約，租期自</w:t>
      </w:r>
      <w:r>
        <w:rPr>
          <w:sz w:val="32"/>
        </w:rPr>
        <w:t>100年7月24日起至101年7月23</w:t>
      </w:r>
      <w:r>
        <w:rPr>
          <w:spacing w:val="1"/>
          <w:sz w:val="32"/>
        </w:rPr>
        <w:t> </w:t>
      </w:r>
      <w:r>
        <w:rPr>
          <w:sz w:val="32"/>
        </w:rPr>
        <w:t>日止，租約中約定租金為每月3,000元，承租人另須負擔管理費每月200</w:t>
      </w:r>
      <w:r>
        <w:rPr>
          <w:spacing w:val="-13"/>
          <w:sz w:val="32"/>
        </w:rPr>
        <w:t>元。杰輪前向Ｈ機關請領</w:t>
      </w:r>
      <w:r>
        <w:rPr>
          <w:sz w:val="32"/>
        </w:rPr>
        <w:t>100年7月至100年12月管理</w:t>
      </w:r>
      <w:r>
        <w:rPr>
          <w:w w:val="95"/>
          <w:sz w:val="32"/>
        </w:rPr>
        <w:t>費，業經Ｈ機關核給在案。杰輪另申請101年1至7月份管理費，</w:t>
      </w:r>
      <w:r>
        <w:rPr>
          <w:spacing w:val="1"/>
          <w:w w:val="95"/>
          <w:sz w:val="32"/>
        </w:rPr>
        <w:t> </w:t>
      </w:r>
      <w:r>
        <w:rPr>
          <w:sz w:val="32"/>
        </w:rPr>
        <w:t>經Ｈ機關依修正後之駐外人員房租補助費支給規定，否准所</w:t>
      </w:r>
      <w:r>
        <w:rPr>
          <w:spacing w:val="-2"/>
          <w:sz w:val="32"/>
        </w:rPr>
        <w:t>請。惟查復審人於100年7月17日簽訂契約時，因信賴行為時駐</w:t>
      </w:r>
      <w:r>
        <w:rPr>
          <w:sz w:val="32"/>
        </w:rPr>
        <w:t>外人員房租補助費支給規定第6點之規定，其房租及管理費得</w:t>
      </w:r>
      <w:r>
        <w:rPr>
          <w:spacing w:val="-3"/>
          <w:sz w:val="32"/>
        </w:rPr>
        <w:t>分別請領補助，故於租賃契約約定承租人另須負擔管理費。其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20" w:bottom="1000" w:left="1080" w:right="960"/>
        </w:sectPr>
      </w:pPr>
    </w:p>
    <w:p>
      <w:pPr>
        <w:pStyle w:val="BodyText"/>
        <w:spacing w:line="321" w:lineRule="auto" w:before="6"/>
        <w:ind w:left="1111" w:right="228"/>
        <w:jc w:val="both"/>
      </w:pPr>
      <w:r>
        <w:rPr>
          <w:w w:val="95"/>
        </w:rPr>
        <w:t>簽約當時尚無從預期上開規定將於101年1月1日修正，並限縮</w:t>
      </w:r>
      <w:r>
        <w:rPr>
          <w:spacing w:val="20"/>
          <w:w w:val="95"/>
        </w:rPr>
        <w:t> </w:t>
      </w:r>
      <w:r>
        <w:rPr>
          <w:w w:val="95"/>
        </w:rPr>
        <w:t>管理費之補助要件，自無法就該法秩序之變動預作因應。參諸</w:t>
      </w:r>
      <w:r>
        <w:rPr>
          <w:spacing w:val="1"/>
          <w:w w:val="95"/>
        </w:rPr>
        <w:t> </w:t>
      </w:r>
      <w:r>
        <w:rPr>
          <w:spacing w:val="2"/>
          <w:w w:val="95"/>
        </w:rPr>
        <w:t>司法院釋字</w:t>
      </w:r>
      <w:r>
        <w:rPr>
          <w:w w:val="95"/>
        </w:rPr>
        <w:t>525號及589號解釋意旨，Ｈ機關為否准所請之決</w:t>
      </w:r>
      <w:r>
        <w:rPr>
          <w:spacing w:val="128"/>
          <w:w w:val="95"/>
        </w:rPr>
        <w:t> </w:t>
      </w:r>
      <w:r>
        <w:rPr/>
        <w:t>定，即難謂無違信賴保護原則。</w:t>
      </w:r>
    </w:p>
    <w:p>
      <w:pPr>
        <w:spacing w:after="0" w:line="321" w:lineRule="auto"/>
        <w:jc w:val="both"/>
        <w:sectPr>
          <w:pgSz w:w="11910" w:h="16840"/>
          <w:pgMar w:header="0" w:footer="811" w:top="1100" w:bottom="1000" w:left="1080" w:right="960"/>
        </w:sectPr>
      </w:pPr>
    </w:p>
    <w:p>
      <w:pPr>
        <w:pStyle w:val="Heading4"/>
        <w:spacing w:line="579" w:lineRule="exact"/>
        <w:rPr>
          <w:b/>
        </w:rPr>
      </w:pPr>
      <w:bookmarkStart w:name="_bookmark62" w:id="63"/>
      <w:bookmarkEnd w:id="63"/>
      <w:r>
        <w:rPr/>
      </w:r>
      <w:r>
        <w:rPr>
          <w:b/>
          <w:spacing w:val="1"/>
        </w:rPr>
        <w:t>案例 </w:t>
      </w:r>
      <w:r>
        <w:rPr>
          <w:rFonts w:ascii="Times New Roman" w:eastAsia="Times New Roman"/>
          <w:b/>
        </w:rPr>
        <w:t>34</w:t>
      </w:r>
      <w:r>
        <w:rPr>
          <w:b/>
        </w:rPr>
        <w:t>、公法上不當得利返還請求權之消滅時效為 5</w:t>
      </w:r>
      <w:r>
        <w:rPr>
          <w:b/>
          <w:spacing w:val="1"/>
        </w:rPr>
        <w:t> 年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（103公審決字第0309號、103公審決字第0285號）</w:t>
      </w:r>
    </w:p>
    <w:p>
      <w:pPr>
        <w:pStyle w:val="BodyText"/>
        <w:spacing w:line="321" w:lineRule="auto" w:before="152"/>
        <w:ind w:left="1070" w:right="226"/>
        <w:jc w:val="both"/>
      </w:pPr>
      <w:r>
        <w:rPr>
          <w:spacing w:val="7"/>
          <w:w w:val="95"/>
        </w:rPr>
        <w:t>周潤花自</w:t>
      </w:r>
      <w:r>
        <w:rPr>
          <w:w w:val="95"/>
        </w:rPr>
        <w:t>88年9</w:t>
      </w:r>
      <w:r>
        <w:rPr>
          <w:spacing w:val="12"/>
          <w:w w:val="95"/>
        </w:rPr>
        <w:t>月</w:t>
      </w:r>
      <w:r>
        <w:rPr>
          <w:w w:val="95"/>
        </w:rPr>
        <w:t>17</w:t>
      </w:r>
      <w:r>
        <w:rPr>
          <w:spacing w:val="4"/>
          <w:w w:val="95"/>
        </w:rPr>
        <w:t>日起至</w:t>
      </w:r>
      <w:r>
        <w:rPr>
          <w:w w:val="95"/>
        </w:rPr>
        <w:t>90年</w:t>
      </w:r>
      <w:r>
        <w:rPr>
          <w:spacing w:val="10"/>
          <w:w w:val="95"/>
        </w:rPr>
        <w:t>9</w:t>
      </w:r>
      <w:r>
        <w:rPr>
          <w:spacing w:val="12"/>
          <w:w w:val="95"/>
        </w:rPr>
        <w:t>月</w:t>
      </w:r>
      <w:r>
        <w:rPr>
          <w:w w:val="95"/>
        </w:rPr>
        <w:t>19</w:t>
      </w:r>
      <w:r>
        <w:rPr>
          <w:spacing w:val="2"/>
          <w:w w:val="95"/>
        </w:rPr>
        <w:t>日止，任Ｉ醫院聘用醫</w:t>
      </w:r>
      <w:r>
        <w:rPr>
          <w:spacing w:val="91"/>
          <w:w w:val="95"/>
        </w:rPr>
        <w:t> </w:t>
      </w:r>
      <w:r>
        <w:rPr>
          <w:w w:val="95"/>
        </w:rPr>
        <w:t>師，除依法支領俸給外，並按月支領該院依每月醫療費用結算</w:t>
      </w:r>
      <w:r>
        <w:rPr>
          <w:spacing w:val="1"/>
          <w:w w:val="95"/>
        </w:rPr>
        <w:t> </w:t>
      </w:r>
      <w:r>
        <w:rPr>
          <w:w w:val="95"/>
        </w:rPr>
        <w:t>情形所核發之獎勵金。因中央健康保險局核減Ｉ醫院89年至92</w:t>
      </w:r>
      <w:r>
        <w:rPr>
          <w:spacing w:val="1"/>
          <w:w w:val="95"/>
        </w:rPr>
        <w:t> </w:t>
      </w:r>
      <w:r>
        <w:rPr>
          <w:spacing w:val="17"/>
        </w:rPr>
        <w:t>年之醫療費用</w:t>
      </w:r>
      <w:r>
        <w:rPr/>
        <w:t>6,867</w:t>
      </w:r>
      <w:r>
        <w:rPr>
          <w:spacing w:val="15"/>
        </w:rPr>
        <w:t>餘萬元，致該院已核發之獎勵金中，有</w:t>
      </w:r>
      <w:r>
        <w:rPr>
          <w:w w:val="95"/>
        </w:rPr>
        <w:t>5,100萬餘元屬溢發之款項，並經前行政院人事行政局於94年</w:t>
      </w:r>
      <w:r>
        <w:rPr>
          <w:spacing w:val="51"/>
          <w:w w:val="95"/>
        </w:rPr>
        <w:t> </w:t>
      </w:r>
      <w:r>
        <w:rPr>
          <w:w w:val="95"/>
        </w:rPr>
        <w:t>間作成解釋，認為因健保醫療點值費用結算，致該院人員實領</w:t>
      </w:r>
      <w:r>
        <w:rPr>
          <w:spacing w:val="1"/>
          <w:w w:val="95"/>
        </w:rPr>
        <w:t> </w:t>
      </w:r>
      <w:r>
        <w:rPr>
          <w:w w:val="95"/>
        </w:rPr>
        <w:t>與應領獎勵金之數額有所不同者，應予追扣或補付。惟Ｉ醫院</w:t>
      </w:r>
      <w:r>
        <w:rPr>
          <w:spacing w:val="1"/>
          <w:w w:val="95"/>
        </w:rPr>
        <w:t> </w:t>
      </w:r>
      <w:r>
        <w:rPr/>
        <w:t>並未立即辦理追繳。</w:t>
      </w:r>
    </w:p>
    <w:p>
      <w:pPr>
        <w:pStyle w:val="BodyText"/>
        <w:spacing w:line="321" w:lineRule="auto" w:before="4"/>
        <w:ind w:left="1070" w:right="228"/>
        <w:jc w:val="both"/>
      </w:pPr>
      <w:r>
        <w:rPr>
          <w:w w:val="95"/>
        </w:rPr>
        <w:t>審計部於101年間審核Ｉ醫院之上級機關Ｊ機關榮民醫療作業</w:t>
      </w:r>
      <w:r>
        <w:rPr>
          <w:spacing w:val="61"/>
          <w:w w:val="95"/>
        </w:rPr>
        <w:t> </w:t>
      </w:r>
      <w:r>
        <w:rPr>
          <w:w w:val="95"/>
        </w:rPr>
        <w:t>基金財務收支情形異常，請Ｊ機關查明並議處相關人員。Ｉ醫</w:t>
      </w:r>
      <w:r>
        <w:rPr>
          <w:spacing w:val="1"/>
          <w:w w:val="95"/>
        </w:rPr>
        <w:t> </w:t>
      </w:r>
      <w:r>
        <w:rPr>
          <w:w w:val="95"/>
        </w:rPr>
        <w:t>院始於103年3月25日向周潤花追繳上開期間溢領之獎勵金。周</w:t>
      </w:r>
      <w:r>
        <w:rPr>
          <w:spacing w:val="1"/>
          <w:w w:val="95"/>
        </w:rPr>
        <w:t> </w:t>
      </w:r>
      <w:r>
        <w:rPr/>
        <w:t>潤花不服，提起復審。</w:t>
      </w:r>
    </w:p>
    <w:p>
      <w:pPr>
        <w:pStyle w:val="BodyText"/>
        <w:spacing w:before="1"/>
        <w:ind w:left="110"/>
      </w:pPr>
      <w:r>
        <w:rPr/>
        <w:t>【解析】</w:t>
      </w:r>
    </w:p>
    <w:p>
      <w:pPr>
        <w:pStyle w:val="ListParagraph"/>
        <w:numPr>
          <w:ilvl w:val="0"/>
          <w:numId w:val="26"/>
        </w:numPr>
        <w:tabs>
          <w:tab w:pos="1112" w:val="left" w:leader="none"/>
        </w:tabs>
        <w:spacing w:line="321" w:lineRule="auto" w:before="153" w:after="0"/>
        <w:ind w:left="1111" w:right="226" w:hanging="831"/>
        <w:jc w:val="both"/>
        <w:rPr>
          <w:sz w:val="32"/>
        </w:rPr>
      </w:pPr>
      <w:r>
        <w:rPr>
          <w:w w:val="95"/>
          <w:sz w:val="32"/>
        </w:rPr>
        <w:t>按行政程序法第131條第1</w:t>
      </w:r>
      <w:r>
        <w:rPr>
          <w:spacing w:val="-18"/>
          <w:w w:val="95"/>
          <w:sz w:val="32"/>
        </w:rPr>
        <w:t>項規定：「公法上之請求權，</w:t>
      </w:r>
      <w:r>
        <w:rPr>
          <w:spacing w:val="156"/>
          <w:sz w:val="32"/>
        </w:rPr>
        <w:t> </w:t>
      </w:r>
      <w:r>
        <w:rPr>
          <w:w w:val="95"/>
          <w:sz w:val="32"/>
        </w:rPr>
        <w:t>於請求權人為行政機關時，除法律另有規定外，因五年間不行使而消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滅……。」第2</w:t>
      </w:r>
      <w:r>
        <w:rPr>
          <w:spacing w:val="-14"/>
          <w:w w:val="95"/>
          <w:sz w:val="32"/>
        </w:rPr>
        <w:t>項規定：「公法上請求權，因時效完成而當然消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滅。」對於行政機關向人民行使公法上之請求權，定有5年之</w:t>
      </w:r>
      <w:r>
        <w:rPr>
          <w:spacing w:val="6"/>
          <w:w w:val="95"/>
          <w:sz w:val="32"/>
        </w:rPr>
        <w:t> </w:t>
      </w:r>
      <w:r>
        <w:rPr>
          <w:sz w:val="32"/>
        </w:rPr>
        <w:t>消滅時效期間，以維護法秩序之安定性。</w:t>
      </w:r>
    </w:p>
    <w:p>
      <w:pPr>
        <w:pStyle w:val="ListParagraph"/>
        <w:numPr>
          <w:ilvl w:val="0"/>
          <w:numId w:val="26"/>
        </w:numPr>
        <w:tabs>
          <w:tab w:pos="1112" w:val="left" w:leader="none"/>
        </w:tabs>
        <w:spacing w:line="321" w:lineRule="auto" w:before="2" w:after="0"/>
        <w:ind w:left="1111" w:right="226" w:hanging="831"/>
        <w:jc w:val="both"/>
        <w:rPr>
          <w:sz w:val="32"/>
        </w:rPr>
      </w:pPr>
      <w:r>
        <w:rPr>
          <w:w w:val="95"/>
          <w:sz w:val="32"/>
        </w:rPr>
        <w:t>周潤花溢領獎勵金，雖欠缺法律上之原因而受有利益，然Ｉ醫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院行使公法上不當得利返還請求權，仍應受行政程序法第131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條第1項所定，5年消滅時效期間之限制。茲因該院之醫療費用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係按月計算，於次月向健保局申報，經該局於2年內為結算確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BodyText"/>
        <w:spacing w:line="321" w:lineRule="auto" w:before="6"/>
        <w:ind w:left="1111" w:right="154"/>
        <w:jc w:val="both"/>
      </w:pPr>
      <w:r>
        <w:rPr>
          <w:spacing w:val="-3"/>
        </w:rPr>
        <w:t>認，並核減該院之醫療費用，故該院核發其</w:t>
      </w:r>
      <w:r>
        <w:rPr>
          <w:spacing w:val="-2"/>
        </w:rPr>
        <w:t>89年至90年獎勵金</w:t>
      </w:r>
      <w:r>
        <w:rPr/>
        <w:t>之數額，至遲於92年已告確定。依最高行政法院102年11月5</w:t>
      </w:r>
      <w:r>
        <w:rPr>
          <w:spacing w:val="1"/>
        </w:rPr>
        <w:t> </w:t>
      </w:r>
      <w:r>
        <w:rPr/>
        <w:t>日102年11月份第1</w:t>
      </w:r>
      <w:r>
        <w:rPr>
          <w:spacing w:val="-11"/>
        </w:rPr>
        <w:t>次庭長法官聯席會議決議，機關追繳金錢給付之公法上請求權，應自可合理期待機關得為追繳時起算其消滅時效期間之意旨，本件既可合理期待Ｉ醫院至遲於</w:t>
      </w:r>
      <w:r>
        <w:rPr/>
        <w:t>92年即得追繳其89年至90</w:t>
      </w:r>
      <w:r>
        <w:rPr>
          <w:spacing w:val="-12"/>
        </w:rPr>
        <w:t>年溢發之獎勵金，該院之公法上不當得利返還</w:t>
      </w:r>
      <w:r>
        <w:rPr>
          <w:spacing w:val="-3"/>
        </w:rPr>
        <w:t>請求權時效至遲應自</w:t>
      </w:r>
      <w:r>
        <w:rPr>
          <w:spacing w:val="-2"/>
        </w:rPr>
        <w:t>92年起算。據此，Ｉ醫院相關人員疏於執</w:t>
      </w:r>
      <w:r>
        <w:rPr>
          <w:w w:val="95"/>
        </w:rPr>
        <w:t>行職務，遲至103年3月25日始追繳周潤花溢領之該筆獎勵金，</w:t>
      </w:r>
      <w:r>
        <w:rPr>
          <w:spacing w:val="1"/>
          <w:w w:val="95"/>
        </w:rPr>
        <w:t> </w:t>
      </w:r>
      <w:r>
        <w:rPr/>
        <w:t>顯已逾5年之消滅時效期間；該院怠於行使公法上不當得利返</w:t>
      </w:r>
      <w:r>
        <w:rPr>
          <w:spacing w:val="-3"/>
        </w:rPr>
        <w:t>還請求權，該請求權已因時效完成而當然消滅，自不得再向周</w:t>
      </w:r>
      <w:r>
        <w:rPr/>
        <w:t>潤花請求返還。</w:t>
      </w:r>
    </w:p>
    <w:p>
      <w:pPr>
        <w:spacing w:after="0" w:line="321" w:lineRule="auto"/>
        <w:jc w:val="both"/>
        <w:sectPr>
          <w:pgSz w:w="11910" w:h="16840"/>
          <w:pgMar w:header="0" w:footer="811" w:top="1100" w:bottom="1000" w:left="1080" w:right="960"/>
        </w:sectPr>
      </w:pPr>
    </w:p>
    <w:p>
      <w:pPr>
        <w:pStyle w:val="Heading4"/>
        <w:spacing w:line="570" w:lineRule="exact"/>
        <w:ind w:left="310"/>
        <w:rPr>
          <w:b/>
        </w:rPr>
      </w:pPr>
      <w:bookmarkStart w:name="_bookmark63" w:id="64"/>
      <w:bookmarkEnd w:id="64"/>
      <w:r>
        <w:rPr/>
      </w:r>
      <w:r>
        <w:rPr>
          <w:b/>
          <w:spacing w:val="-7"/>
        </w:rPr>
        <w:t>案例 </w:t>
      </w:r>
      <w:r>
        <w:rPr>
          <w:rFonts w:ascii="Times New Roman" w:eastAsia="Times New Roman"/>
          <w:b/>
          <w:spacing w:val="-3"/>
        </w:rPr>
        <w:t>35</w:t>
      </w:r>
      <w:r>
        <w:rPr>
          <w:b/>
          <w:spacing w:val="-5"/>
        </w:rPr>
        <w:t>、違失行為終了後逾 </w:t>
      </w:r>
      <w:r>
        <w:rPr>
          <w:b/>
          <w:spacing w:val="-3"/>
        </w:rPr>
        <w:t>10</w:t>
      </w:r>
      <w:r>
        <w:rPr>
          <w:b/>
          <w:spacing w:val="-7"/>
        </w:rPr>
        <w:t> 年始作成停職處分，顯失公務員</w:t>
      </w:r>
    </w:p>
    <w:p>
      <w:pPr>
        <w:spacing w:line="232" w:lineRule="auto" w:before="4"/>
        <w:ind w:left="1670" w:right="227" w:firstLine="0"/>
        <w:jc w:val="left"/>
        <w:rPr>
          <w:rFonts w:ascii="Adobe 繁黑體 Std B" w:eastAsia="Adobe 繁黑體 Std B" w:hint="eastAsia"/>
          <w:b/>
          <w:sz w:val="34"/>
        </w:rPr>
      </w:pPr>
      <w:r>
        <w:rPr>
          <w:rFonts w:ascii="Adobe 繁黑體 Std B" w:eastAsia="Adobe 繁黑體 Std B" w:hint="eastAsia"/>
          <w:b/>
          <w:spacing w:val="5"/>
          <w:sz w:val="34"/>
        </w:rPr>
        <w:t>懲戒法第 </w:t>
      </w:r>
      <w:r>
        <w:rPr>
          <w:rFonts w:ascii="Adobe 繁黑體 Std B" w:eastAsia="Adobe 繁黑體 Std B" w:hint="eastAsia"/>
          <w:b/>
          <w:sz w:val="34"/>
        </w:rPr>
        <w:t>4</w:t>
      </w:r>
      <w:r>
        <w:rPr>
          <w:rFonts w:ascii="Adobe 繁黑體 Std B" w:eastAsia="Adobe 繁黑體 Std B" w:hint="eastAsia"/>
          <w:b/>
          <w:spacing w:val="15"/>
          <w:sz w:val="34"/>
        </w:rPr>
        <w:t> 條第 </w:t>
      </w:r>
      <w:r>
        <w:rPr>
          <w:rFonts w:ascii="Adobe 繁黑體 Std B" w:eastAsia="Adobe 繁黑體 Std B" w:hint="eastAsia"/>
          <w:b/>
          <w:sz w:val="34"/>
        </w:rPr>
        <w:t>2 項規定所欲達成維護公務秩序之立法目的</w:t>
      </w:r>
    </w:p>
    <w:p>
      <w:pPr>
        <w:pStyle w:val="BodyText"/>
        <w:spacing w:before="94"/>
        <w:ind w:left="110"/>
      </w:pPr>
      <w:r>
        <w:rPr>
          <w:spacing w:val="-41"/>
        </w:rPr>
        <w:t>【事實】</w:t>
      </w:r>
      <w:r>
        <w:rPr/>
        <w:t>（103公審決字第0280號）</w:t>
      </w:r>
    </w:p>
    <w:p>
      <w:pPr>
        <w:pStyle w:val="BodyText"/>
        <w:spacing w:line="321" w:lineRule="auto" w:before="153"/>
        <w:ind w:left="1070" w:right="226"/>
        <w:jc w:val="both"/>
      </w:pPr>
      <w:r>
        <w:rPr>
          <w:w w:val="95"/>
        </w:rPr>
        <w:t>馬蓋先是Ｋ機關Ｌ林區管理處技士。J機關因為馬蓋先在Ｍ機</w:t>
      </w:r>
      <w:r>
        <w:rPr>
          <w:spacing w:val="43"/>
          <w:w w:val="95"/>
        </w:rPr>
        <w:t> </w:t>
      </w:r>
      <w:r>
        <w:rPr>
          <w:spacing w:val="3"/>
          <w:w w:val="99"/>
        </w:rPr>
        <w:t>關任職期間</w:t>
      </w:r>
      <w:r>
        <w:rPr>
          <w:spacing w:val="2"/>
          <w:w w:val="99"/>
        </w:rPr>
        <w:t>（</w:t>
      </w:r>
      <w:r>
        <w:rPr>
          <w:spacing w:val="7"/>
          <w:w w:val="99"/>
        </w:rPr>
        <w:t>自</w:t>
      </w:r>
      <w:r>
        <w:rPr>
          <w:spacing w:val="-2"/>
          <w:w w:val="99"/>
        </w:rPr>
        <w:t>7</w:t>
      </w:r>
      <w:r>
        <w:rPr>
          <w:spacing w:val="3"/>
          <w:w w:val="99"/>
        </w:rPr>
        <w:t>8</w:t>
      </w:r>
      <w:r>
        <w:rPr>
          <w:spacing w:val="4"/>
          <w:w w:val="99"/>
        </w:rPr>
        <w:t>年</w:t>
      </w:r>
      <w:r>
        <w:rPr>
          <w:spacing w:val="3"/>
          <w:w w:val="99"/>
        </w:rPr>
        <w:t>8月起至</w:t>
      </w:r>
      <w:r>
        <w:rPr>
          <w:spacing w:val="1"/>
          <w:w w:val="99"/>
        </w:rPr>
        <w:t>8</w:t>
      </w:r>
      <w:r>
        <w:rPr>
          <w:spacing w:val="3"/>
          <w:w w:val="99"/>
        </w:rPr>
        <w:t>4</w:t>
      </w:r>
      <w:r>
        <w:rPr>
          <w:spacing w:val="4"/>
          <w:w w:val="99"/>
        </w:rPr>
        <w:t>年</w:t>
      </w:r>
      <w:r>
        <w:rPr>
          <w:spacing w:val="1"/>
          <w:w w:val="99"/>
        </w:rPr>
        <w:t>2</w:t>
      </w:r>
      <w:r>
        <w:rPr>
          <w:spacing w:val="3"/>
          <w:w w:val="99"/>
        </w:rPr>
        <w:t>月止</w:t>
      </w:r>
      <w:r>
        <w:rPr>
          <w:spacing w:val="-154"/>
          <w:w w:val="99"/>
        </w:rPr>
        <w:t>）</w:t>
      </w:r>
      <w:r>
        <w:rPr>
          <w:spacing w:val="1"/>
          <w:w w:val="99"/>
        </w:rPr>
        <w:t>，涉嫌對於職務上之</w:t>
      </w:r>
      <w:r>
        <w:rPr>
          <w:w w:val="95"/>
        </w:rPr>
        <w:t>行為期約收受賄賂，經檢察官以涉嫌違反貪污治罪條例案件提</w:t>
      </w:r>
      <w:r>
        <w:rPr>
          <w:spacing w:val="1"/>
          <w:w w:val="95"/>
        </w:rPr>
        <w:t> </w:t>
      </w:r>
      <w:r>
        <w:rPr>
          <w:w w:val="95"/>
        </w:rPr>
        <w:t>起公訴，嗣經地方法院、臺灣高等法院歷次刑事判決，均諭知</w:t>
      </w:r>
      <w:r>
        <w:rPr>
          <w:spacing w:val="1"/>
          <w:w w:val="95"/>
        </w:rPr>
        <w:t> </w:t>
      </w:r>
      <w:r>
        <w:rPr>
          <w:w w:val="95"/>
        </w:rPr>
        <w:t>有罪，惟尚未確定。Ｋ機關乃依公務員懲戒法第2條第1款及第</w:t>
      </w:r>
      <w:r>
        <w:rPr>
          <w:spacing w:val="1"/>
          <w:w w:val="95"/>
        </w:rPr>
        <w:t> </w:t>
      </w:r>
      <w:r>
        <w:rPr>
          <w:w w:val="95"/>
        </w:rPr>
        <w:t>19條規定，將其移送公務員懲戒委員會審議，並審認其違法情</w:t>
      </w:r>
      <w:r>
        <w:rPr>
          <w:spacing w:val="1"/>
          <w:w w:val="95"/>
        </w:rPr>
        <w:t> </w:t>
      </w:r>
      <w:r>
        <w:rPr>
          <w:w w:val="95"/>
        </w:rPr>
        <w:t>節重大，依公務員懲戒法第4條第2項規定，核予停職處分。馬</w:t>
      </w:r>
      <w:r>
        <w:rPr>
          <w:spacing w:val="1"/>
          <w:w w:val="95"/>
        </w:rPr>
        <w:t> </w:t>
      </w:r>
      <w:r>
        <w:rPr/>
        <w:t>蓋先不服，提起復審。</w:t>
      </w:r>
    </w:p>
    <w:p>
      <w:pPr>
        <w:pStyle w:val="BodyText"/>
        <w:spacing w:before="3"/>
        <w:ind w:left="110"/>
      </w:pPr>
      <w:r>
        <w:rPr/>
        <w:t>【解析】</w:t>
      </w:r>
    </w:p>
    <w:p>
      <w:pPr>
        <w:pStyle w:val="ListParagraph"/>
        <w:numPr>
          <w:ilvl w:val="0"/>
          <w:numId w:val="27"/>
        </w:numPr>
        <w:tabs>
          <w:tab w:pos="1112" w:val="left" w:leader="none"/>
        </w:tabs>
        <w:spacing w:line="321" w:lineRule="auto" w:before="153" w:after="0"/>
        <w:ind w:left="1111" w:right="226" w:hanging="831"/>
        <w:jc w:val="both"/>
        <w:rPr>
          <w:sz w:val="32"/>
        </w:rPr>
      </w:pPr>
      <w:r>
        <w:rPr>
          <w:w w:val="95"/>
          <w:sz w:val="32"/>
        </w:rPr>
        <w:t>依公懲會84年8月31日84台會義議字第2891號函釋意旨，公務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員懲戒法第4條第2</w:t>
      </w:r>
      <w:r>
        <w:rPr>
          <w:spacing w:val="-13"/>
          <w:w w:val="95"/>
          <w:sz w:val="32"/>
        </w:rPr>
        <w:t>項所稱「情節重大」，係不確定法律概念，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是否情節重大，應由被付懲戒人之主管長官就具體案件，斟酌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其違失行為之動機、目的、手段，以及對公務秩序所生之損害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或影響是否重大等認定之。是以，公務員懲戒法第4條第2項所</w:t>
      </w:r>
      <w:r>
        <w:rPr>
          <w:spacing w:val="1"/>
          <w:w w:val="95"/>
          <w:sz w:val="32"/>
        </w:rPr>
        <w:t> </w:t>
      </w:r>
      <w:r>
        <w:rPr>
          <w:spacing w:val="-11"/>
          <w:w w:val="95"/>
          <w:sz w:val="32"/>
        </w:rPr>
        <w:t>定停止公務員職務，係主管機關於公務員懲戒委員會議決懲戒</w:t>
      </w:r>
      <w:r>
        <w:rPr>
          <w:spacing w:val="1"/>
          <w:w w:val="95"/>
          <w:sz w:val="32"/>
        </w:rPr>
        <w:t> </w:t>
      </w:r>
      <w:r>
        <w:rPr>
          <w:spacing w:val="-12"/>
          <w:w w:val="95"/>
          <w:sz w:val="32"/>
        </w:rPr>
        <w:t>處分前，為調查公務員行政責任所為之暫時中止該公務員與國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家間職務關係之處分；此觀諸同法第5條規定，停止職務之公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務員，在停職中所為之職務上行為不生效力，及同法第6條第1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項規定，停止職務之公務員，未受撤職或休職處分或徒刑之執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行者，應許復職，並補給其停職期間之俸給自明。故公務員是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BodyText"/>
        <w:spacing w:line="321" w:lineRule="auto" w:before="6"/>
        <w:ind w:left="1111" w:right="231"/>
        <w:jc w:val="both"/>
      </w:pPr>
      <w:r>
        <w:rPr>
          <w:w w:val="95"/>
        </w:rPr>
        <w:t>否應予停職，除應符合所涉情節重大之要求外，亦應衡酌其必</w:t>
      </w:r>
      <w:r>
        <w:rPr>
          <w:spacing w:val="1"/>
          <w:w w:val="95"/>
        </w:rPr>
        <w:t> </w:t>
      </w:r>
      <w:r>
        <w:rPr>
          <w:w w:val="95"/>
        </w:rPr>
        <w:t>要性，考量重點包括：應避免被調查之公務員仍得利用職務上</w:t>
      </w:r>
      <w:r>
        <w:rPr>
          <w:spacing w:val="1"/>
          <w:w w:val="95"/>
        </w:rPr>
        <w:t> </w:t>
      </w:r>
      <w:r>
        <w:rPr>
          <w:w w:val="95"/>
        </w:rPr>
        <w:t>之機會，對責任之釐清有所干擾，且如許其繼續執行職務，是</w:t>
      </w:r>
      <w:r>
        <w:rPr>
          <w:spacing w:val="1"/>
          <w:w w:val="95"/>
        </w:rPr>
        <w:t> </w:t>
      </w:r>
      <w:r>
        <w:rPr>
          <w:w w:val="95"/>
        </w:rPr>
        <w:t>否影響該職務之公正性；又於責任未明之際，先令其停止職</w:t>
      </w:r>
      <w:r>
        <w:rPr>
          <w:spacing w:val="161"/>
        </w:rPr>
        <w:t> </w:t>
      </w:r>
      <w:r>
        <w:rPr>
          <w:w w:val="95"/>
        </w:rPr>
        <w:t>務，能否達到維護公務員品位形象，以正視聽之目的，而非藉</w:t>
      </w:r>
      <w:r>
        <w:rPr>
          <w:spacing w:val="1"/>
          <w:w w:val="95"/>
        </w:rPr>
        <w:t> </w:t>
      </w:r>
      <w:r>
        <w:rPr/>
        <w:t>由停職處分懲戒或懲處公務員。</w:t>
      </w:r>
    </w:p>
    <w:p>
      <w:pPr>
        <w:pStyle w:val="ListParagraph"/>
        <w:numPr>
          <w:ilvl w:val="0"/>
          <w:numId w:val="27"/>
        </w:numPr>
        <w:tabs>
          <w:tab w:pos="1112" w:val="left" w:leader="none"/>
        </w:tabs>
        <w:spacing w:line="321" w:lineRule="auto" w:before="3" w:after="0"/>
        <w:ind w:left="1111" w:right="153" w:hanging="831"/>
        <w:jc w:val="both"/>
        <w:rPr>
          <w:sz w:val="32"/>
        </w:rPr>
      </w:pPr>
      <w:r>
        <w:rPr>
          <w:sz w:val="32"/>
        </w:rPr>
        <w:t>Ｋ機關係因馬蓋先涉嫌犯貪污治罪條例第4條第1項第5款違背</w:t>
      </w:r>
      <w:r>
        <w:rPr>
          <w:spacing w:val="-3"/>
          <w:sz w:val="32"/>
        </w:rPr>
        <w:t>職務收受賄賂罪，經檢察官提起公訴，歷次刑事判決均諭知有罪，並處以重刑，爰於</w:t>
      </w:r>
      <w:r>
        <w:rPr>
          <w:spacing w:val="-2"/>
          <w:sz w:val="32"/>
        </w:rPr>
        <w:t>103年8月13日將其移付懲戒，並依懲戒</w:t>
      </w:r>
      <w:r>
        <w:rPr>
          <w:sz w:val="32"/>
        </w:rPr>
        <w:t>法第4條第2</w:t>
      </w:r>
      <w:r>
        <w:rPr>
          <w:spacing w:val="-11"/>
          <w:sz w:val="32"/>
        </w:rPr>
        <w:t>項規定為系爭停職處分。惟查馬蓋先收受賄款之時</w:t>
      </w:r>
      <w:r>
        <w:rPr>
          <w:spacing w:val="-3"/>
          <w:sz w:val="32"/>
        </w:rPr>
        <w:t>點，經刑事程序調查認定為</w:t>
      </w:r>
      <w:r>
        <w:rPr>
          <w:spacing w:val="-2"/>
          <w:sz w:val="32"/>
        </w:rPr>
        <w:t>86年2月間及87年1月間，亦即其所</w:t>
      </w:r>
      <w:r>
        <w:rPr>
          <w:sz w:val="32"/>
        </w:rPr>
        <w:t>涉違失行為終了之日為87</w:t>
      </w:r>
      <w:r>
        <w:rPr>
          <w:spacing w:val="-12"/>
          <w:sz w:val="32"/>
        </w:rPr>
        <w:t>年間。經Ｎ地方法院檢察署檢察官提</w:t>
      </w:r>
      <w:r>
        <w:rPr>
          <w:w w:val="95"/>
          <w:sz w:val="32"/>
        </w:rPr>
        <w:t>起公訴後，馬蓋先的原服務機關Ｍ機關曾函知Ｌ林區管理處，</w:t>
      </w:r>
      <w:r>
        <w:rPr>
          <w:spacing w:val="1"/>
          <w:w w:val="95"/>
          <w:sz w:val="32"/>
        </w:rPr>
        <w:t> </w:t>
      </w:r>
      <w:r>
        <w:rPr>
          <w:spacing w:val="2"/>
          <w:w w:val="99"/>
          <w:sz w:val="32"/>
        </w:rPr>
        <w:t>惟該處未積極處理或陳報Ｋ機關（主管長官</w:t>
      </w:r>
      <w:r>
        <w:rPr>
          <w:spacing w:val="-159"/>
          <w:w w:val="99"/>
          <w:sz w:val="32"/>
        </w:rPr>
        <w:t>）</w:t>
      </w:r>
      <w:r>
        <w:rPr>
          <w:spacing w:val="1"/>
          <w:w w:val="99"/>
          <w:sz w:val="32"/>
        </w:rPr>
        <w:t>，容任其繼續在</w:t>
      </w:r>
      <w:r>
        <w:rPr>
          <w:spacing w:val="-3"/>
          <w:sz w:val="32"/>
        </w:rPr>
        <w:t>職逾10</w:t>
      </w:r>
      <w:r>
        <w:rPr>
          <w:spacing w:val="-2"/>
          <w:sz w:val="32"/>
        </w:rPr>
        <w:t>年，遲至103年7月間始陳報Ｋ機關。Ｋ機關認為馬蓋先</w:t>
      </w:r>
      <w:r>
        <w:rPr>
          <w:sz w:val="32"/>
        </w:rPr>
        <w:t>已不適合繼續執行職務，予以移付懲戒，並核予上開停職處</w:t>
      </w:r>
      <w:r>
        <w:rPr>
          <w:spacing w:val="-3"/>
          <w:sz w:val="32"/>
        </w:rPr>
        <w:t>分。但馬蓋先經移付懲戒案，業經公務員懲戒委員會認為馬蓋先之違法失職行為自終了之日起，至移送該會之日止，已逾</w:t>
      </w:r>
      <w:r>
        <w:rPr>
          <w:spacing w:val="-2"/>
          <w:sz w:val="32"/>
        </w:rPr>
        <w:t>10</w:t>
      </w:r>
      <w:r>
        <w:rPr>
          <w:spacing w:val="-158"/>
          <w:sz w:val="32"/>
        </w:rPr>
        <w:t> </w:t>
      </w:r>
      <w:r>
        <w:rPr>
          <w:sz w:val="32"/>
        </w:rPr>
        <w:t>年，依公務員懲戒法第25條第3款規定免議在案。是Ｋ機關自</w:t>
      </w:r>
      <w:r>
        <w:rPr>
          <w:spacing w:val="-3"/>
          <w:sz w:val="32"/>
        </w:rPr>
        <w:t>馬蓋先違失行為終了後，逾</w:t>
      </w:r>
      <w:r>
        <w:rPr>
          <w:spacing w:val="-2"/>
          <w:sz w:val="32"/>
        </w:rPr>
        <w:t>10年始作成上開停職處分，顯失公</w:t>
      </w:r>
      <w:r>
        <w:rPr>
          <w:spacing w:val="1"/>
          <w:sz w:val="32"/>
        </w:rPr>
        <w:t>務員懲戒法第</w:t>
      </w:r>
      <w:r>
        <w:rPr>
          <w:sz w:val="32"/>
        </w:rPr>
        <w:t>4條第2項規定所欲達成維護公務秩序之立法目的，核有未妥。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100" w:bottom="1000" w:left="1080" w:right="960"/>
        </w:sectPr>
      </w:pPr>
    </w:p>
    <w:p>
      <w:pPr>
        <w:pStyle w:val="Heading4"/>
        <w:spacing w:line="579" w:lineRule="exact"/>
        <w:rPr>
          <w:b/>
        </w:rPr>
      </w:pPr>
      <w:bookmarkStart w:name="_bookmark64" w:id="65"/>
      <w:bookmarkEnd w:id="65"/>
      <w:r>
        <w:rPr/>
      </w:r>
      <w:r>
        <w:rPr>
          <w:b/>
          <w:spacing w:val="1"/>
        </w:rPr>
        <w:t>案例 </w:t>
      </w:r>
      <w:r>
        <w:rPr>
          <w:rFonts w:ascii="Times New Roman" w:eastAsia="Times New Roman"/>
          <w:b/>
        </w:rPr>
        <w:t>36</w:t>
      </w:r>
      <w:r>
        <w:rPr>
          <w:b/>
        </w:rPr>
        <w:t>、行使撤銷權已逾 2 年除斥期間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（103公審決字第0171號）</w:t>
      </w:r>
    </w:p>
    <w:p>
      <w:pPr>
        <w:pStyle w:val="BodyText"/>
        <w:spacing w:line="321" w:lineRule="auto" w:before="152"/>
        <w:ind w:left="1070" w:right="157"/>
        <w:jc w:val="both"/>
      </w:pPr>
      <w:r>
        <w:rPr>
          <w:spacing w:val="2"/>
          <w:w w:val="99"/>
        </w:rPr>
        <w:t>泰山是Ｐ機關視察，其於</w:t>
      </w:r>
      <w:r>
        <w:rPr>
          <w:spacing w:val="1"/>
          <w:w w:val="99"/>
        </w:rPr>
        <w:t>9</w:t>
      </w:r>
      <w:r>
        <w:rPr>
          <w:spacing w:val="3"/>
          <w:w w:val="99"/>
        </w:rPr>
        <w:t>5</w:t>
      </w:r>
      <w:r>
        <w:rPr>
          <w:spacing w:val="4"/>
          <w:w w:val="99"/>
        </w:rPr>
        <w:t>年至</w:t>
      </w:r>
      <w:r>
        <w:rPr>
          <w:spacing w:val="-2"/>
          <w:w w:val="99"/>
        </w:rPr>
        <w:t>9</w:t>
      </w:r>
      <w:r>
        <w:rPr>
          <w:spacing w:val="3"/>
          <w:w w:val="99"/>
        </w:rPr>
        <w:t>9</w:t>
      </w:r>
      <w:r>
        <w:rPr>
          <w:spacing w:val="4"/>
          <w:w w:val="99"/>
        </w:rPr>
        <w:t>年間（</w:t>
      </w:r>
      <w:r>
        <w:rPr>
          <w:spacing w:val="2"/>
          <w:w w:val="99"/>
        </w:rPr>
        <w:t>以下稱系爭期間</w:t>
      </w:r>
      <w:r>
        <w:rPr>
          <w:spacing w:val="-157"/>
          <w:w w:val="99"/>
        </w:rPr>
        <w:t>）</w:t>
      </w:r>
      <w:r>
        <w:rPr>
          <w:w w:val="99"/>
        </w:rPr>
        <w:t>，</w:t>
      </w:r>
      <w:r>
        <w:rPr>
          <w:spacing w:val="-1"/>
        </w:rPr>
        <w:t>擔任Ｐ機關第一科技士及第六科股長，辦理空氣污染與噪音防</w:t>
      </w:r>
      <w:r>
        <w:rPr>
          <w:w w:val="95"/>
        </w:rPr>
        <w:t>制、環境衛生稽查等工作，並負責環境保護案件之裁處業務，</w:t>
      </w:r>
      <w:r>
        <w:rPr>
          <w:spacing w:val="1"/>
          <w:w w:val="95"/>
        </w:rPr>
        <w:t> </w:t>
      </w:r>
      <w:r>
        <w:rPr/>
        <w:t>卻以直接告發人員身分支領處理違反環境保護法律案件人員</w:t>
      </w:r>
      <w:r>
        <w:rPr>
          <w:spacing w:val="-1"/>
        </w:rPr>
        <w:t>獎勵金。經審計部Ｑ審計處抽查Ｐ機關99年度財務收支暨單位決算後發覺有異，並於100年5月17日函請Ｐ機關查明。惟Ｐ機關調查發現泰山並未實際從事告發、違規主體查證及違反事實</w:t>
      </w:r>
      <w:r>
        <w:rPr/>
        <w:t>之舉發，其所支領之獎勵金與行政院92年10月7日修正核定之處理違反環境保護法律案件人員獎勵金支領要點第5點規定不合，爰據以追繳泰山於系爭期間支領之上開獎勵金。泰山不服，提起復審。</w:t>
      </w:r>
    </w:p>
    <w:p>
      <w:pPr>
        <w:pStyle w:val="BodyText"/>
        <w:spacing w:before="5"/>
        <w:ind w:left="110"/>
      </w:pPr>
      <w:r>
        <w:rPr/>
        <w:t>【解析】</w:t>
      </w:r>
    </w:p>
    <w:p>
      <w:pPr>
        <w:pStyle w:val="ListParagraph"/>
        <w:numPr>
          <w:ilvl w:val="0"/>
          <w:numId w:val="28"/>
        </w:numPr>
        <w:tabs>
          <w:tab w:pos="1112" w:val="left" w:leader="none"/>
        </w:tabs>
        <w:spacing w:line="321" w:lineRule="auto" w:before="153" w:after="0"/>
        <w:ind w:left="1111" w:right="227" w:hanging="831"/>
        <w:jc w:val="both"/>
        <w:rPr>
          <w:sz w:val="32"/>
        </w:rPr>
      </w:pPr>
      <w:r>
        <w:rPr>
          <w:w w:val="95"/>
          <w:sz w:val="32"/>
        </w:rPr>
        <w:t>依行政程序法第117條、第121條第1項、第127條第1項規定，</w:t>
      </w:r>
      <w:r>
        <w:rPr>
          <w:spacing w:val="21"/>
          <w:w w:val="95"/>
          <w:sz w:val="32"/>
        </w:rPr>
        <w:t> </w:t>
      </w:r>
      <w:r>
        <w:rPr>
          <w:spacing w:val="-7"/>
          <w:w w:val="95"/>
          <w:sz w:val="32"/>
        </w:rPr>
        <w:t>Ｐ機關調查發現泰山並未實際從事告發、違規主體查證及違反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事實之舉發，依法應不得支領上開獎勵金，爰撤銷原發給泰山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獎勵金之違法行政處分。該行政處分既經撤銷，泰山所受領之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獎勵金即欠缺法律上之原因，構成公法上不當得利。Ｐ機關本</w:t>
      </w:r>
      <w:r>
        <w:rPr>
          <w:spacing w:val="1"/>
          <w:w w:val="95"/>
          <w:sz w:val="32"/>
        </w:rPr>
        <w:t> </w:t>
      </w:r>
      <w:r>
        <w:rPr>
          <w:sz w:val="32"/>
        </w:rPr>
        <w:t>於公法上請求權，向泰山請求返還，固非無據。</w:t>
      </w:r>
    </w:p>
    <w:p>
      <w:pPr>
        <w:pStyle w:val="ListParagraph"/>
        <w:numPr>
          <w:ilvl w:val="0"/>
          <w:numId w:val="28"/>
        </w:numPr>
        <w:tabs>
          <w:tab w:pos="1112" w:val="left" w:leader="none"/>
        </w:tabs>
        <w:spacing w:line="321" w:lineRule="auto" w:before="2" w:after="0"/>
        <w:ind w:left="1111" w:right="225" w:hanging="831"/>
        <w:jc w:val="both"/>
        <w:rPr>
          <w:sz w:val="32"/>
        </w:rPr>
      </w:pPr>
      <w:r>
        <w:rPr>
          <w:spacing w:val="14"/>
          <w:w w:val="95"/>
          <w:sz w:val="32"/>
        </w:rPr>
        <w:t>惟按最高行政法院</w:t>
      </w:r>
      <w:r>
        <w:rPr>
          <w:w w:val="95"/>
          <w:sz w:val="32"/>
        </w:rPr>
        <w:t>102</w:t>
      </w:r>
      <w:r>
        <w:rPr>
          <w:spacing w:val="15"/>
          <w:w w:val="95"/>
          <w:sz w:val="32"/>
        </w:rPr>
        <w:t>年度</w:t>
      </w:r>
      <w:r>
        <w:rPr>
          <w:spacing w:val="13"/>
          <w:w w:val="95"/>
          <w:sz w:val="32"/>
        </w:rPr>
        <w:t>2</w:t>
      </w:r>
      <w:r>
        <w:rPr>
          <w:spacing w:val="15"/>
          <w:w w:val="95"/>
          <w:sz w:val="32"/>
        </w:rPr>
        <w:t>月份第2</w:t>
      </w:r>
      <w:r>
        <w:rPr>
          <w:spacing w:val="12"/>
          <w:w w:val="95"/>
          <w:sz w:val="32"/>
        </w:rPr>
        <w:t>次庭長法官聯席會議決</w:t>
      </w:r>
      <w:r>
        <w:rPr>
          <w:spacing w:val="1"/>
          <w:w w:val="95"/>
          <w:sz w:val="32"/>
        </w:rPr>
        <w:t> </w:t>
      </w:r>
      <w:r>
        <w:rPr>
          <w:spacing w:val="-14"/>
          <w:w w:val="95"/>
          <w:sz w:val="32"/>
        </w:rPr>
        <w:t>議：「……在授益行政處分之撤銷，且其撤銷純係因法律適用</w:t>
      </w:r>
      <w:r>
        <w:rPr>
          <w:spacing w:val="28"/>
          <w:w w:val="95"/>
          <w:sz w:val="32"/>
        </w:rPr>
        <w:t> </w:t>
      </w:r>
      <w:r>
        <w:rPr>
          <w:spacing w:val="-8"/>
          <w:w w:val="95"/>
          <w:sz w:val="32"/>
        </w:rPr>
        <w:t>之瑕疵時，……應自有權撤銷之機關確實知曉原作成之授益行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政處分有撤銷原因時，起算2年之除斥期間。又是否確實知曉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BodyText"/>
        <w:spacing w:line="321" w:lineRule="auto" w:before="6"/>
        <w:ind w:left="1111" w:right="229"/>
        <w:jc w:val="both"/>
      </w:pPr>
      <w:r>
        <w:rPr>
          <w:w w:val="95"/>
        </w:rPr>
        <w:t>有撤銷原因者，乃事實問題，自應具體審認。」據此，違法授</w:t>
      </w:r>
      <w:r>
        <w:rPr>
          <w:spacing w:val="1"/>
          <w:w w:val="95"/>
        </w:rPr>
        <w:t> </w:t>
      </w:r>
      <w:r>
        <w:rPr>
          <w:w w:val="95"/>
        </w:rPr>
        <w:t>益行政處分之撤銷，如純粹係因法律適用之瑕疵，有權撤銷之</w:t>
      </w:r>
      <w:r>
        <w:rPr>
          <w:spacing w:val="1"/>
          <w:w w:val="95"/>
        </w:rPr>
        <w:t> </w:t>
      </w:r>
      <w:r>
        <w:rPr/>
        <w:t>機關應於確實知曉該處分有撤銷原因時起2年內行使撤銷權。</w:t>
      </w:r>
    </w:p>
    <w:p>
      <w:pPr>
        <w:pStyle w:val="ListParagraph"/>
        <w:numPr>
          <w:ilvl w:val="0"/>
          <w:numId w:val="28"/>
        </w:numPr>
        <w:tabs>
          <w:tab w:pos="1112" w:val="left" w:leader="none"/>
        </w:tabs>
        <w:spacing w:line="321" w:lineRule="auto" w:before="2" w:after="0"/>
        <w:ind w:left="1111" w:right="149" w:hanging="831"/>
        <w:jc w:val="both"/>
        <w:rPr>
          <w:sz w:val="32"/>
        </w:rPr>
      </w:pPr>
      <w:r>
        <w:rPr>
          <w:spacing w:val="-6"/>
          <w:sz w:val="32"/>
        </w:rPr>
        <w:t>惟依前揭最高行政法院庭長法官聯席會議決議，行政程序法第</w:t>
      </w:r>
      <w:r>
        <w:rPr>
          <w:sz w:val="32"/>
        </w:rPr>
        <w:t>121條除斥期間之計算，仍應以有權撤銷之機關確實知曉該處</w:t>
      </w:r>
      <w:r>
        <w:rPr>
          <w:spacing w:val="-3"/>
          <w:sz w:val="32"/>
        </w:rPr>
        <w:t>分有撤銷原因時，作為起算始點。Ｐ機關於收受審計部高雄市</w:t>
      </w:r>
      <w:r>
        <w:rPr>
          <w:sz w:val="32"/>
        </w:rPr>
        <w:t>審計處100年5月17</w:t>
      </w:r>
      <w:r>
        <w:rPr>
          <w:spacing w:val="-12"/>
          <w:sz w:val="32"/>
        </w:rPr>
        <w:t>日函時，即已確實知曉原發給復審人直接告</w:t>
      </w:r>
      <w:r>
        <w:rPr>
          <w:w w:val="95"/>
          <w:sz w:val="32"/>
        </w:rPr>
        <w:t>發獎勵金之處分有撤銷原因。然查Ｐ機關遲至103年5月20日，</w:t>
      </w:r>
      <w:r>
        <w:rPr>
          <w:spacing w:val="1"/>
          <w:w w:val="95"/>
          <w:sz w:val="32"/>
        </w:rPr>
        <w:t> </w:t>
      </w:r>
      <w:r>
        <w:rPr>
          <w:spacing w:val="-6"/>
          <w:sz w:val="32"/>
        </w:rPr>
        <w:t>始以系爭處分撤銷原核發復審人直接告發獎勵金之處分，顯已</w:t>
      </w:r>
      <w:r>
        <w:rPr>
          <w:sz w:val="32"/>
        </w:rPr>
        <w:t>逾行政程序法第121條第1項之2年除斥期間；該局行使撤銷權</w:t>
      </w:r>
      <w:r>
        <w:rPr>
          <w:spacing w:val="15"/>
          <w:sz w:val="32"/>
        </w:rPr>
        <w:t>既已逾</w:t>
      </w:r>
      <w:r>
        <w:rPr>
          <w:spacing w:val="13"/>
          <w:sz w:val="32"/>
        </w:rPr>
        <w:t>2年除斥期間，對原違法發給獎勵金之處分已不得撤</w:t>
      </w:r>
      <w:r>
        <w:rPr>
          <w:spacing w:val="-3"/>
          <w:sz w:val="32"/>
        </w:rPr>
        <w:t>銷，復審人自無返還不當得利之問題。是系爭處分於法即有未</w:t>
      </w:r>
      <w:r>
        <w:rPr>
          <w:sz w:val="32"/>
        </w:rPr>
        <w:t>合，應予撤銷。</w:t>
      </w:r>
    </w:p>
    <w:sectPr>
      <w:pgSz w:w="11910" w:h="16840"/>
      <w:pgMar w:header="0" w:footer="811" w:top="1100" w:bottom="1000" w:left="10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細明體_HKSCS">
    <w:altName w:val="細明體_HKSCS"/>
    <w:charset w:val="88"/>
    <w:family w:val="roman"/>
    <w:pitch w:val="variable"/>
  </w:font>
  <w:font w:name="Adobe 繁黑體 Std B">
    <w:altName w:val="Adobe 繁黑體 Std B"/>
    <w:charset w:val="80"/>
    <w:family w:val="swiss"/>
    <w:pitch w:val="variable"/>
  </w:font>
  <w:font w:name="微軟正黑體">
    <w:altName w:val="微軟正黑體"/>
    <w:charset w:val="88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970001pt;margin-top:790.386597pt;width:18.350pt;height:15.3pt;mso-position-horizontal-relative:page;mso-position-vertical-relative:page;z-index:-1612083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970001pt;margin-top:790.386597pt;width:18pt;height:15.3pt;mso-position-horizontal-relative:page;mso-position-vertical-relative:page;z-index:-1612032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26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25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24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23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22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21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20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19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18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17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16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15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14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13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1"/>
      <w:numFmt w:val="decimal"/>
      <w:lvlText w:val="(%2)"/>
      <w:lvlJc w:val="left"/>
      <w:pPr>
        <w:ind w:left="1018" w:hanging="548"/>
        <w:jc w:val="left"/>
      </w:pPr>
      <w:rPr>
        <w:rFonts w:hint="default" w:ascii="細明體_HKSCS" w:hAnsi="細明體_HKSCS" w:eastAsia="細明體_HKSCS" w:cs="細明體_HKSCS"/>
        <w:spacing w:val="0"/>
        <w:w w:val="99"/>
        <w:sz w:val="32"/>
        <w:szCs w:val="32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091" w:hanging="54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63" w:hanging="54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035" w:hanging="54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007" w:hanging="54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979" w:hanging="54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950" w:hanging="54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922" w:hanging="548"/>
      </w:pPr>
      <w:rPr>
        <w:rFonts w:hint="default"/>
        <w:lang w:val="en-US" w:eastAsia="zh-tw" w:bidi="ar-SA"/>
      </w:rPr>
    </w:lvl>
  </w:abstractNum>
  <w:abstractNum w:abstractNumId="12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11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10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9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8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7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6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5">
    <w:multiLevelType w:val="hybridMultilevel"/>
    <w:lvl w:ilvl="0">
      <w:start w:val="1"/>
      <w:numFmt w:val="decimal"/>
      <w:lvlText w:val="（%1）"/>
      <w:lvlJc w:val="left"/>
      <w:pPr>
        <w:ind w:left="123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102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965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827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90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55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415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78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41" w:hanging="831"/>
      </w:pPr>
      <w:rPr>
        <w:rFonts w:hint="default"/>
        <w:lang w:val="en-US" w:eastAsia="zh-tw" w:bidi="ar-SA"/>
      </w:rPr>
    </w:lvl>
  </w:abstractNum>
  <w:abstractNum w:abstractNumId="4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1"/>
      <w:numFmt w:val="decimal"/>
      <w:lvlText w:val="（%2）"/>
      <w:lvlJc w:val="left"/>
      <w:pPr>
        <w:ind w:left="123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98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156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115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07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032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990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949" w:hanging="831"/>
      </w:pPr>
      <w:rPr>
        <w:rFonts w:hint="default"/>
        <w:lang w:val="en-US" w:eastAsia="zh-tw" w:bidi="ar-SA"/>
      </w:rPr>
    </w:lvl>
  </w:abstractNum>
  <w:abstractNum w:abstractNumId="3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2">
    <w:multiLevelType w:val="hybridMultilevel"/>
    <w:lvl w:ilvl="0">
      <w:start w:val="1"/>
      <w:numFmt w:val="decimal"/>
      <w:lvlText w:val="（%1）"/>
      <w:lvlJc w:val="left"/>
      <w:pPr>
        <w:ind w:left="1030" w:hanging="816"/>
        <w:jc w:val="left"/>
      </w:pPr>
      <w:rPr>
        <w:rFonts w:hint="default" w:ascii="細明體_HKSCS" w:hAnsi="細明體_HKSCS" w:eastAsia="細明體_HKSCS" w:cs="細明體_HKSCS"/>
        <w:spacing w:val="4"/>
        <w:w w:val="99"/>
        <w:sz w:val="30"/>
        <w:szCs w:val="3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22" w:hanging="816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05" w:hanging="816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687" w:hanging="816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570" w:hanging="816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53" w:hanging="816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35" w:hanging="816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18" w:hanging="816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01" w:hanging="816"/>
      </w:pPr>
      <w:rPr>
        <w:rFonts w:hint="default"/>
        <w:lang w:val="en-US" w:eastAsia="zh-tw" w:bidi="ar-SA"/>
      </w:rPr>
    </w:lvl>
  </w:abstractNum>
  <w:abstractNum w:abstractNumId="1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"/>
      <w:numFmt w:val="decimal"/>
      <w:lvlText w:val="（%1）"/>
      <w:lvlJc w:val="left"/>
      <w:pPr>
        <w:ind w:left="1279" w:hanging="828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138" w:hanging="82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997" w:hanging="82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855" w:hanging="82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714" w:hanging="82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573" w:hanging="82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431" w:hanging="82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90" w:hanging="82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49" w:hanging="828"/>
      </w:pPr>
      <w:rPr>
        <w:rFonts w:hint="default"/>
        <w:lang w:val="en-US" w:eastAsia="zh-tw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細明體_HKSCS" w:hAnsi="細明體_HKSCS" w:eastAsia="細明體_HKSCS" w:cs="細明體_HKSCS"/>
      <w:lang w:val="en-US" w:eastAsia="zh-tw" w:bidi="ar-SA"/>
    </w:rPr>
  </w:style>
  <w:style w:styleId="TOC1" w:type="paragraph">
    <w:name w:val="TOC 1"/>
    <w:basedOn w:val="Normal"/>
    <w:uiPriority w:val="1"/>
    <w:qFormat/>
    <w:pPr>
      <w:spacing w:line="398" w:lineRule="exact"/>
      <w:ind w:left="110"/>
    </w:pPr>
    <w:rPr>
      <w:rFonts w:ascii="細明體_HKSCS" w:hAnsi="細明體_HKSCS" w:eastAsia="細明體_HKSCS" w:cs="細明體_HKSCS"/>
      <w:sz w:val="32"/>
      <w:szCs w:val="32"/>
      <w:lang w:val="en-US" w:eastAsia="zh-tw" w:bidi="ar-SA"/>
    </w:rPr>
  </w:style>
  <w:style w:styleId="TOC2" w:type="paragraph">
    <w:name w:val="TOC 2"/>
    <w:basedOn w:val="Normal"/>
    <w:uiPriority w:val="1"/>
    <w:qFormat/>
    <w:pPr>
      <w:ind w:left="470"/>
    </w:pPr>
    <w:rPr>
      <w:rFonts w:ascii="細明體_HKSCS" w:hAnsi="細明體_HKSCS" w:eastAsia="細明體_HKSCS" w:cs="細明體_HKSCS"/>
      <w:sz w:val="32"/>
      <w:szCs w:val="32"/>
      <w:lang w:val="en-US" w:eastAsia="zh-tw" w:bidi="ar-SA"/>
    </w:rPr>
  </w:style>
  <w:style w:styleId="TOC3" w:type="paragraph">
    <w:name w:val="TOC 3"/>
    <w:basedOn w:val="Normal"/>
    <w:uiPriority w:val="1"/>
    <w:qFormat/>
    <w:pPr>
      <w:ind w:left="1142"/>
    </w:pPr>
    <w:rPr>
      <w:rFonts w:ascii="細明體_HKSCS" w:hAnsi="細明體_HKSCS" w:eastAsia="細明體_HKSCS" w:cs="細明體_HKSCS"/>
      <w:sz w:val="32"/>
      <w:szCs w:val="32"/>
      <w:lang w:val="en-US" w:eastAsia="zh-tw" w:bidi="ar-SA"/>
    </w:rPr>
  </w:style>
  <w:style w:styleId="TOC4" w:type="paragraph">
    <w:name w:val="TOC 4"/>
    <w:basedOn w:val="Normal"/>
    <w:uiPriority w:val="1"/>
    <w:qFormat/>
    <w:pPr>
      <w:spacing w:before="52"/>
      <w:ind w:left="1598"/>
    </w:pPr>
    <w:rPr>
      <w:rFonts w:ascii="細明體_HKSCS" w:hAnsi="細明體_HKSCS" w:eastAsia="細明體_HKSCS" w:cs="細明體_HKSCS"/>
      <w:sz w:val="32"/>
      <w:szCs w:val="32"/>
      <w:lang w:val="en-US" w:eastAsia="zh-tw" w:bidi="ar-SA"/>
    </w:rPr>
  </w:style>
  <w:style w:styleId="TOC5" w:type="paragraph">
    <w:name w:val="TOC 5"/>
    <w:basedOn w:val="Normal"/>
    <w:uiPriority w:val="1"/>
    <w:qFormat/>
    <w:pPr>
      <w:ind w:left="2582"/>
    </w:pPr>
    <w:rPr>
      <w:rFonts w:ascii="細明體_HKSCS" w:hAnsi="細明體_HKSCS" w:eastAsia="細明體_HKSCS" w:cs="細明體_HKSCS"/>
      <w:sz w:val="32"/>
      <w:szCs w:val="32"/>
      <w:lang w:val="en-US" w:eastAsia="zh-tw" w:bidi="ar-SA"/>
    </w:rPr>
  </w:style>
  <w:style w:styleId="TOC6" w:type="paragraph">
    <w:name w:val="TOC 6"/>
    <w:basedOn w:val="Normal"/>
    <w:uiPriority w:val="1"/>
    <w:qFormat/>
    <w:pPr>
      <w:spacing w:line="446" w:lineRule="exact"/>
      <w:ind w:left="3800"/>
    </w:pPr>
    <w:rPr>
      <w:rFonts w:ascii="細明體_HKSCS" w:hAnsi="細明體_HKSCS" w:eastAsia="細明體_HKSCS" w:cs="細明體_HKSCS"/>
      <w:sz w:val="32"/>
      <w:szCs w:val="32"/>
      <w:lang w:val="en-US" w:eastAsia="zh-tw" w:bidi="ar-SA"/>
    </w:rPr>
  </w:style>
  <w:style w:styleId="TOC7" w:type="paragraph">
    <w:name w:val="TOC 7"/>
    <w:basedOn w:val="Normal"/>
    <w:uiPriority w:val="1"/>
    <w:qFormat/>
    <w:pPr>
      <w:spacing w:before="74"/>
      <w:ind w:left="3831"/>
    </w:pPr>
    <w:rPr>
      <w:rFonts w:ascii="Times New Roman" w:hAnsi="Times New Roman" w:eastAsia="Times New Roman" w:cs="Times New Roman"/>
      <w:sz w:val="32"/>
      <w:szCs w:val="32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細明體_HKSCS" w:hAnsi="細明體_HKSCS" w:eastAsia="細明體_HKSCS" w:cs="細明體_HKSCS"/>
      <w:sz w:val="32"/>
      <w:szCs w:val="32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line="602" w:lineRule="exact"/>
      <w:ind w:left="511"/>
      <w:outlineLvl w:val="1"/>
    </w:pPr>
    <w:rPr>
      <w:rFonts w:ascii="細明體_HKSCS" w:hAnsi="細明體_HKSCS" w:eastAsia="細明體_HKSCS" w:cs="細明體_HKSCS"/>
      <w:sz w:val="44"/>
      <w:szCs w:val="44"/>
      <w:lang w:val="en-US" w:eastAsia="zh-tw" w:bidi="ar-SA"/>
    </w:rPr>
  </w:style>
  <w:style w:styleId="Heading2" w:type="paragraph">
    <w:name w:val="Heading 2"/>
    <w:basedOn w:val="Normal"/>
    <w:uiPriority w:val="1"/>
    <w:qFormat/>
    <w:pPr>
      <w:spacing w:line="600" w:lineRule="exact"/>
      <w:ind w:left="110"/>
      <w:outlineLvl w:val="2"/>
    </w:pPr>
    <w:rPr>
      <w:rFonts w:ascii="Adobe 繁黑體 Std B" w:hAnsi="Adobe 繁黑體 Std B" w:eastAsia="Adobe 繁黑體 Std B" w:cs="Adobe 繁黑體 Std B"/>
      <w:sz w:val="40"/>
      <w:szCs w:val="40"/>
      <w:lang w:val="en-US" w:eastAsia="zh-tw" w:bidi="ar-SA"/>
    </w:rPr>
  </w:style>
  <w:style w:styleId="Heading3" w:type="paragraph">
    <w:name w:val="Heading 3"/>
    <w:basedOn w:val="Normal"/>
    <w:uiPriority w:val="1"/>
    <w:qFormat/>
    <w:pPr>
      <w:spacing w:line="550" w:lineRule="exact"/>
      <w:ind w:left="1255" w:right="1375"/>
      <w:jc w:val="center"/>
      <w:outlineLvl w:val="3"/>
    </w:pPr>
    <w:rPr>
      <w:rFonts w:ascii="微軟正黑體" w:hAnsi="微軟正黑體" w:eastAsia="微軟正黑體" w:cs="微軟正黑體"/>
      <w:b/>
      <w:bCs/>
      <w:sz w:val="36"/>
      <w:szCs w:val="36"/>
      <w:lang w:val="en-US" w:eastAsia="zh-tw" w:bidi="ar-SA"/>
    </w:rPr>
  </w:style>
  <w:style w:styleId="Heading4" w:type="paragraph">
    <w:name w:val="Heading 4"/>
    <w:basedOn w:val="Normal"/>
    <w:uiPriority w:val="1"/>
    <w:qFormat/>
    <w:pPr>
      <w:ind w:left="110"/>
      <w:outlineLvl w:val="4"/>
    </w:pPr>
    <w:rPr>
      <w:rFonts w:ascii="Adobe 繁黑體 Std B" w:hAnsi="Adobe 繁黑體 Std B" w:eastAsia="Adobe 繁黑體 Std B" w:cs="Adobe 繁黑體 Std B"/>
      <w:sz w:val="34"/>
      <w:szCs w:val="3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935" w:lineRule="exact"/>
      <w:ind w:left="1255" w:right="1375"/>
      <w:jc w:val="center"/>
    </w:pPr>
    <w:rPr>
      <w:rFonts w:ascii="Adobe 繁黑體 Std B" w:hAnsi="Adobe 繁黑體 Std B" w:eastAsia="Adobe 繁黑體 Std B" w:cs="Adobe 繁黑體 Std B"/>
      <w:sz w:val="60"/>
      <w:szCs w:val="60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before="152"/>
      <w:ind w:left="1111" w:right="227" w:hanging="831"/>
      <w:jc w:val="both"/>
    </w:pPr>
    <w:rPr>
      <w:rFonts w:ascii="細明體_HKSCS" w:hAnsi="細明體_HKSCS" w:eastAsia="細明體_HKSCS" w:cs="細明體_HKSCS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</dc:creator>
  <dc:title>100年度地方機關</dc:title>
  <dcterms:created xsi:type="dcterms:W3CDTF">2021-09-16T07:11:01Z</dcterms:created>
  <dcterms:modified xsi:type="dcterms:W3CDTF">2021-09-16T07:11:01Z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2021-09-16T00:00:00Z</vt:filetime>
  </property>
</Properties>
</file>