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B9" w:rsidRPr="004B2896" w:rsidRDefault="009920B9" w:rsidP="009920B9">
      <w:pPr>
        <w:widowControl/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40"/>
          <w:szCs w:val="40"/>
        </w:rPr>
      </w:pPr>
      <w:bookmarkStart w:id="0" w:name="_GoBack"/>
      <w:bookmarkEnd w:id="0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40"/>
          <w:szCs w:val="40"/>
        </w:rPr>
        <w:t>公務人員晉升官等（資位）訓練成績評量要點第十二點</w:t>
      </w:r>
      <w:r w:rsidRPr="004B2896">
        <w:rPr>
          <w:rFonts w:ascii="Times New Roman" w:eastAsia="標楷體" w:hAnsi="Times New Roman" w:cs="Times New Roman"/>
          <w:color w:val="000000" w:themeColor="text1"/>
          <w:kern w:val="0"/>
          <w:sz w:val="40"/>
          <w:szCs w:val="40"/>
        </w:rPr>
        <w:t>修正總說明</w:t>
      </w:r>
    </w:p>
    <w:p w:rsidR="009920B9" w:rsidRPr="004B2896" w:rsidRDefault="009920B9" w:rsidP="009920B9">
      <w:pPr>
        <w:widowControl/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40"/>
          <w:szCs w:val="40"/>
        </w:rPr>
      </w:pPr>
    </w:p>
    <w:p w:rsidR="009920B9" w:rsidRPr="004B2896" w:rsidRDefault="009920B9" w:rsidP="009920B9">
      <w:pPr>
        <w:widowControl/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公務人員晉升官等（資位）訓練成績評量要點自一百零一年八月三十一日訂定發布，歷經七次修正，最近一次修正發布日期為一百零七年四月十三日。</w:t>
      </w:r>
    </w:p>
    <w:p w:rsidR="009920B9" w:rsidRPr="004B2896" w:rsidRDefault="009920B9" w:rsidP="009920B9">
      <w:pPr>
        <w:widowControl/>
        <w:overflowPunct w:val="0"/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4B2896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應薦任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公務人員晉升簡任官等訓練、警正警察人員晉升</w:t>
      </w:r>
      <w:proofErr w:type="gramStart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警監官等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訓練、委任公務人員晉升薦任官等訓練、警佐警察人員晉升</w:t>
      </w:r>
      <w:proofErr w:type="gramStart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警正官等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訓練及交通事業人員</w:t>
      </w:r>
      <w:proofErr w:type="gramStart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員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級晉升高員</w:t>
      </w:r>
      <w:proofErr w:type="gramStart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級資位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訓練受訓人員，於訓練期間遭遇</w:t>
      </w:r>
      <w:r w:rsidRPr="004B2896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天災</w:t>
      </w:r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</w:t>
      </w:r>
      <w:proofErr w:type="gramStart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癘疫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或突發事件，例如嚴重特殊傳染性肺炎</w:t>
      </w:r>
      <w:r w:rsidR="00A36111" w:rsidRPr="00A361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A36111" w:rsidRPr="00A361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COVID-19</w:t>
      </w:r>
      <w:r w:rsidR="00A36111" w:rsidRPr="00A361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proofErr w:type="gramStart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疫情等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，致無法進行全程實體訓練</w:t>
      </w:r>
      <w:r w:rsidR="00AD7E4E"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或測驗</w:t>
      </w:r>
      <w:r w:rsidR="0090229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</w:t>
      </w:r>
      <w:r w:rsidRPr="004B2896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公務人員保障暨培訓委員會得視實際需要，酌予調整該年度案例書面寫作與測驗成績項目及其百分比、專題研討方式及測驗實施方式等事項，</w:t>
      </w:r>
      <w:proofErr w:type="gramStart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爰</w:t>
      </w:r>
      <w:proofErr w:type="gramEnd"/>
      <w:r w:rsidRPr="004B289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增訂第十二點規定。</w:t>
      </w:r>
    </w:p>
    <w:p w:rsidR="009920B9" w:rsidRPr="00191FD2" w:rsidRDefault="009920B9" w:rsidP="009920B9">
      <w:pPr>
        <w:rPr>
          <w:color w:val="000000" w:themeColor="text1"/>
        </w:rPr>
      </w:pPr>
      <w:r w:rsidRPr="00191FD2">
        <w:rPr>
          <w:color w:val="000000" w:themeColor="text1"/>
        </w:rPr>
        <w:br w:type="page"/>
      </w:r>
    </w:p>
    <w:tbl>
      <w:tblPr>
        <w:tblpPr w:leftFromText="180" w:rightFromText="180" w:vertAnchor="text" w:tblpY="1"/>
        <w:tblOverlap w:val="never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2595"/>
        <w:gridCol w:w="2695"/>
      </w:tblGrid>
      <w:tr w:rsidR="009920B9" w:rsidRPr="00191FD2" w:rsidTr="0019617F">
        <w:trPr>
          <w:trHeight w:val="53"/>
        </w:trPr>
        <w:tc>
          <w:tcPr>
            <w:tcW w:w="8502" w:type="dxa"/>
            <w:gridSpan w:val="3"/>
            <w:shd w:val="clear" w:color="auto" w:fill="FFFFFF"/>
            <w:vAlign w:val="center"/>
          </w:tcPr>
          <w:p w:rsidR="009920B9" w:rsidRPr="00191FD2" w:rsidRDefault="009920B9" w:rsidP="0019617F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36"/>
                <w:szCs w:val="32"/>
              </w:rPr>
            </w:pP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 w:val="36"/>
                <w:szCs w:val="32"/>
              </w:rPr>
              <w:lastRenderedPageBreak/>
              <w:t>公務人員晉升官等（資位）訓練成績評量要點</w:t>
            </w:r>
            <w:r w:rsidRPr="00191FD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36"/>
                <w:szCs w:val="32"/>
              </w:rPr>
              <w:t>第十二點</w:t>
            </w:r>
          </w:p>
          <w:p w:rsidR="009920B9" w:rsidRPr="00191FD2" w:rsidRDefault="00E70982" w:rsidP="0019617F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jc w:val="center"/>
              <w:rPr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36"/>
                <w:szCs w:val="32"/>
              </w:rPr>
              <w:t>修正</w:t>
            </w:r>
            <w:r w:rsidR="009920B9" w:rsidRPr="00191FD2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 w:val="36"/>
                <w:szCs w:val="32"/>
              </w:rPr>
              <w:t>對照表</w:t>
            </w:r>
          </w:p>
        </w:tc>
      </w:tr>
      <w:tr w:rsidR="009920B9" w:rsidRPr="00191FD2" w:rsidTr="00447103">
        <w:trPr>
          <w:trHeight w:val="53"/>
        </w:trPr>
        <w:tc>
          <w:tcPr>
            <w:tcW w:w="3212" w:type="dxa"/>
            <w:shd w:val="clear" w:color="auto" w:fill="FFFFFF"/>
            <w:vAlign w:val="center"/>
          </w:tcPr>
          <w:p w:rsidR="009920B9" w:rsidRPr="00191FD2" w:rsidRDefault="009920B9" w:rsidP="000F68F6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91F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修正規定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9920B9" w:rsidRPr="00191FD2" w:rsidRDefault="009920B9" w:rsidP="000F68F6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91F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現行規定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9920B9" w:rsidRPr="00191FD2" w:rsidRDefault="009920B9" w:rsidP="000F68F6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91F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9920B9" w:rsidRPr="00191FD2" w:rsidTr="0019617F">
        <w:trPr>
          <w:trHeight w:val="53"/>
        </w:trPr>
        <w:tc>
          <w:tcPr>
            <w:tcW w:w="3212" w:type="dxa"/>
          </w:tcPr>
          <w:p w:rsidR="009920B9" w:rsidRPr="00191FD2" w:rsidRDefault="009920B9" w:rsidP="0019617F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ind w:left="784" w:hangingChars="280" w:hanging="7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91F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十二、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薦升簡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、正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升監、委升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薦、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佐升正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及員升高員訓練期間如遇天災、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癘疫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或突發事件，致無法進</w:t>
            </w:r>
            <w:r w:rsidRPr="005B35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行全程實體訓練</w:t>
            </w:r>
            <w:r w:rsidR="00AD7E4E" w:rsidRPr="005B35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或測驗</w:t>
            </w:r>
            <w:r w:rsidR="0090229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時</w:t>
            </w:r>
            <w:r w:rsidRPr="005B35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，保訓會得視實際需要，</w:t>
            </w:r>
            <w:r w:rsidR="00AD7E4E" w:rsidRPr="005B35E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在</w:t>
            </w:r>
            <w:proofErr w:type="gramStart"/>
            <w:r w:rsidR="00AD7E4E" w:rsidRPr="005B35E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不</w:t>
            </w:r>
            <w:proofErr w:type="gramEnd"/>
            <w:r w:rsidR="00AD7E4E" w:rsidRPr="005B35E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牴觸相關</w:t>
            </w:r>
            <w:r w:rsidR="00BC0D83" w:rsidRPr="005B35E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晉</w:t>
            </w:r>
            <w:r w:rsidR="00AD7E4E" w:rsidRPr="005B35E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升官等</w:t>
            </w:r>
            <w:r w:rsidR="00AD7E4E" w:rsidRPr="005B35E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（資位）訓練辦法等規定前提下，</w:t>
            </w:r>
            <w:r w:rsidRPr="005B35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酌予調整該年度案例書面寫作與測驗成績項目及其百分比、專題研討方式及測驗</w:t>
            </w:r>
            <w:r w:rsidRPr="005B35E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實施</w:t>
            </w:r>
            <w:r w:rsidRPr="005B35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方式等事項，</w:t>
            </w:r>
            <w:r w:rsidRPr="005B35E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公告並通知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受訓人員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9920B9" w:rsidRPr="00191FD2" w:rsidRDefault="009920B9" w:rsidP="0019617F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ind w:left="784" w:hangingChars="280" w:hanging="7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</w:tcPr>
          <w:p w:rsidR="009920B9" w:rsidRPr="00191FD2" w:rsidRDefault="009920B9" w:rsidP="0019617F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</w:tcPr>
          <w:p w:rsidR="009920B9" w:rsidRPr="00191FD2" w:rsidRDefault="009920B9" w:rsidP="0019617F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一、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本點新增。</w:t>
            </w:r>
          </w:p>
          <w:p w:rsidR="009920B9" w:rsidRPr="00191FD2" w:rsidRDefault="009920B9" w:rsidP="00BC0D83">
            <w:pPr>
              <w:keepLines/>
              <w:widowControl/>
              <w:kinsoku w:val="0"/>
              <w:adjustRightInd w:val="0"/>
              <w:snapToGrid w:val="0"/>
              <w:spacing w:line="46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二、</w:t>
            </w:r>
            <w:r w:rsidRPr="00191F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為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因應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薦升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簡、正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升監、委升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薦、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佐升正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及員升高員受訓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人員於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訓練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期間遭遇</w:t>
            </w:r>
            <w:r w:rsidRPr="00191F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天災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癘疫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或突發事件，例如嚴重特殊傳染性肺炎</w:t>
            </w:r>
            <w:r w:rsidR="009B2E33" w:rsidRPr="00A3611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="009B2E33" w:rsidRPr="00A3611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COVID-19</w:t>
            </w:r>
            <w:r w:rsidR="009B2E33" w:rsidRPr="00A3611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疫情等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，致無法進行全程實體訓練</w:t>
            </w:r>
            <w:r w:rsidR="004C44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或測驗</w:t>
            </w:r>
            <w:r w:rsidR="0090229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時</w:t>
            </w:r>
            <w:r w:rsidRPr="00191F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，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保訓會</w:t>
            </w:r>
            <w:r w:rsidR="00BC0D83" w:rsidRPr="00BC0D8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得視實際需要，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在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不牴觸薦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任公務人員晉升簡任官等訓練辦法第十五條、警正警察人員晉升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警監官等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訓練辦法第十五條、委任公務人員晉升薦任官等訓練辦法第十五條、警佐警察人員晉升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警正官等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訓練辦法第十五條及交通事業人員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員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級晉升高員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級資位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訓練辦法第十五條等規定前提下，</w:t>
            </w:r>
            <w:r w:rsidRPr="00191F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酌予調整該年度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課程成績項下之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案例書面寫作與測驗成績項目及其百分比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、專題研討方式</w:t>
            </w:r>
            <w:r w:rsidRPr="00191FD2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（包含專題研討評分及進行方式等相關事項）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及測驗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實施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方式等事項，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公告並通知受訓人員</w:t>
            </w:r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爰</w:t>
            </w:r>
            <w:proofErr w:type="gramEnd"/>
            <w:r w:rsidRPr="00191F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增</w:t>
            </w:r>
            <w:r w:rsidRPr="00191F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訂第十二點規定。</w:t>
            </w:r>
          </w:p>
        </w:tc>
      </w:tr>
    </w:tbl>
    <w:p w:rsidR="009920B9" w:rsidRPr="001B57B9" w:rsidRDefault="009920B9" w:rsidP="009920B9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46DA0" w:rsidRPr="009920B9" w:rsidRDefault="00346DA0"/>
    <w:sectPr w:rsidR="00346DA0" w:rsidRPr="009920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EC" w:rsidRDefault="00915EEC" w:rsidP="00447103">
      <w:r>
        <w:separator/>
      </w:r>
    </w:p>
  </w:endnote>
  <w:endnote w:type="continuationSeparator" w:id="0">
    <w:p w:rsidR="00915EEC" w:rsidRDefault="00915EEC" w:rsidP="0044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B" w:rsidRDefault="00416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EC" w:rsidRDefault="00915EEC" w:rsidP="00447103">
      <w:r>
        <w:separator/>
      </w:r>
    </w:p>
  </w:footnote>
  <w:footnote w:type="continuationSeparator" w:id="0">
    <w:p w:rsidR="00915EEC" w:rsidRDefault="00915EEC" w:rsidP="0044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9"/>
    <w:rsid w:val="000531A2"/>
    <w:rsid w:val="000F68F6"/>
    <w:rsid w:val="002269C1"/>
    <w:rsid w:val="00346DA0"/>
    <w:rsid w:val="0041657B"/>
    <w:rsid w:val="00447103"/>
    <w:rsid w:val="004B2896"/>
    <w:rsid w:val="004C4436"/>
    <w:rsid w:val="004F28D0"/>
    <w:rsid w:val="00514D40"/>
    <w:rsid w:val="005B35EC"/>
    <w:rsid w:val="0066338C"/>
    <w:rsid w:val="008F4085"/>
    <w:rsid w:val="0090229E"/>
    <w:rsid w:val="00915EEC"/>
    <w:rsid w:val="009920B9"/>
    <w:rsid w:val="009B2E33"/>
    <w:rsid w:val="00A36111"/>
    <w:rsid w:val="00AC40E3"/>
    <w:rsid w:val="00AC62F2"/>
    <w:rsid w:val="00AD7E4E"/>
    <w:rsid w:val="00BC0D83"/>
    <w:rsid w:val="00BD1EC8"/>
    <w:rsid w:val="00D73ACB"/>
    <w:rsid w:val="00D94E89"/>
    <w:rsid w:val="00E5731A"/>
    <w:rsid w:val="00E70982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B05DA-6F9E-48B4-9F6E-378D13D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7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71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448F-455B-43C1-AECD-248B2260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user</cp:lastModifiedBy>
  <cp:revision>10</cp:revision>
  <cp:lastPrinted>2021-06-08T08:19:00Z</cp:lastPrinted>
  <dcterms:created xsi:type="dcterms:W3CDTF">2021-06-08T06:01:00Z</dcterms:created>
  <dcterms:modified xsi:type="dcterms:W3CDTF">2021-06-09T07:09:00Z</dcterms:modified>
</cp:coreProperties>
</file>