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33" w:lineRule="exact" w:before="0"/>
        <w:ind w:left="3389" w:right="0" w:firstLine="0"/>
        <w:jc w:val="left"/>
        <w:rPr>
          <w:rFonts w:ascii="標楷體" w:hAnsi="標楷體" w:cs="標楷體" w:eastAsia="標楷體"/>
          <w:sz w:val="36"/>
          <w:szCs w:val="36"/>
        </w:rPr>
      </w:pPr>
      <w:r>
        <w:rPr>
          <w:rFonts w:ascii="標楷體" w:hAnsi="標楷體" w:cs="標楷體" w:eastAsia="標楷體"/>
          <w:b/>
          <w:bCs/>
          <w:sz w:val="36"/>
          <w:szCs w:val="36"/>
        </w:rPr>
        <w:t>復審文書使用收費標準</w:t>
      </w:r>
      <w:r>
        <w:rPr>
          <w:rFonts w:ascii="標楷體" w:hAnsi="標楷體" w:cs="標楷體" w:eastAsia="標楷體"/>
          <w:sz w:val="36"/>
          <w:szCs w:val="36"/>
        </w:rPr>
      </w:r>
    </w:p>
    <w:p>
      <w:pPr>
        <w:spacing w:line="240" w:lineRule="auto" w:before="8"/>
        <w:rPr>
          <w:rFonts w:ascii="標楷體" w:hAnsi="標楷體" w:cs="標楷體" w:eastAsia="標楷體"/>
          <w:b/>
          <w:bCs/>
          <w:sz w:val="39"/>
          <w:szCs w:val="39"/>
        </w:rPr>
      </w:pPr>
    </w:p>
    <w:p>
      <w:pPr>
        <w:spacing w:before="0"/>
        <w:ind w:left="112" w:right="0" w:firstLine="0"/>
        <w:jc w:val="left"/>
        <w:rPr>
          <w:rFonts w:ascii="標楷體" w:hAnsi="標楷體" w:cs="標楷體" w:eastAsia="標楷體"/>
          <w:sz w:val="20"/>
          <w:szCs w:val="20"/>
        </w:rPr>
      </w:pPr>
      <w:r>
        <w:rPr>
          <w:rFonts w:ascii="標楷體" w:hAnsi="標楷體" w:cs="標楷體" w:eastAsia="標楷體"/>
          <w:sz w:val="20"/>
          <w:szCs w:val="20"/>
        </w:rPr>
        <w:t>中華民國</w:t>
      </w:r>
      <w:r>
        <w:rPr>
          <w:rFonts w:ascii="標楷體" w:hAnsi="標楷體" w:cs="標楷體" w:eastAsia="標楷體"/>
          <w:spacing w:val="-53"/>
          <w:sz w:val="20"/>
          <w:szCs w:val="20"/>
        </w:rPr>
        <w:t> </w:t>
      </w:r>
      <w:r>
        <w:rPr>
          <w:rFonts w:ascii="標楷體" w:hAnsi="標楷體" w:cs="標楷體" w:eastAsia="標楷體"/>
          <w:spacing w:val="-1"/>
          <w:sz w:val="20"/>
          <w:szCs w:val="20"/>
        </w:rPr>
        <w:t>92</w:t>
      </w:r>
      <w:r>
        <w:rPr>
          <w:rFonts w:ascii="標楷體" w:hAnsi="標楷體" w:cs="標楷體" w:eastAsia="標楷體"/>
          <w:spacing w:val="-54"/>
          <w:sz w:val="20"/>
          <w:szCs w:val="20"/>
        </w:rPr>
        <w:t> </w:t>
      </w:r>
      <w:r>
        <w:rPr>
          <w:rFonts w:ascii="標楷體" w:hAnsi="標楷體" w:cs="標楷體" w:eastAsia="標楷體"/>
          <w:sz w:val="20"/>
          <w:szCs w:val="20"/>
        </w:rPr>
        <w:t>年</w:t>
      </w:r>
      <w:r>
        <w:rPr>
          <w:rFonts w:ascii="標楷體" w:hAnsi="標楷體" w:cs="標楷體" w:eastAsia="標楷體"/>
          <w:spacing w:val="-55"/>
          <w:sz w:val="20"/>
          <w:szCs w:val="20"/>
        </w:rPr>
        <w:t> </w:t>
      </w:r>
      <w:r>
        <w:rPr>
          <w:rFonts w:ascii="標楷體" w:hAnsi="標楷體" w:cs="標楷體" w:eastAsia="標楷體"/>
          <w:sz w:val="20"/>
          <w:szCs w:val="20"/>
        </w:rPr>
        <w:t>6</w:t>
      </w:r>
      <w:r>
        <w:rPr>
          <w:rFonts w:ascii="標楷體" w:hAnsi="標楷體" w:cs="標楷體" w:eastAsia="標楷體"/>
          <w:spacing w:val="-56"/>
          <w:sz w:val="20"/>
          <w:szCs w:val="20"/>
        </w:rPr>
        <w:t> </w:t>
      </w:r>
      <w:r>
        <w:rPr>
          <w:rFonts w:ascii="標楷體" w:hAnsi="標楷體" w:cs="標楷體" w:eastAsia="標楷體"/>
          <w:sz w:val="20"/>
          <w:szCs w:val="20"/>
        </w:rPr>
        <w:t>月</w:t>
      </w:r>
      <w:r>
        <w:rPr>
          <w:rFonts w:ascii="標楷體" w:hAnsi="標楷體" w:cs="標楷體" w:eastAsia="標楷體"/>
          <w:spacing w:val="-53"/>
          <w:sz w:val="20"/>
          <w:szCs w:val="20"/>
        </w:rPr>
        <w:t> </w:t>
      </w:r>
      <w:r>
        <w:rPr>
          <w:rFonts w:ascii="標楷體" w:hAnsi="標楷體" w:cs="標楷體" w:eastAsia="標楷體"/>
          <w:spacing w:val="-1"/>
          <w:sz w:val="20"/>
          <w:szCs w:val="20"/>
        </w:rPr>
        <w:t>20</w:t>
      </w:r>
      <w:r>
        <w:rPr>
          <w:rFonts w:ascii="標楷體" w:hAnsi="標楷體" w:cs="標楷體" w:eastAsia="標楷體"/>
          <w:spacing w:val="-54"/>
          <w:sz w:val="20"/>
          <w:szCs w:val="20"/>
        </w:rPr>
        <w:t> </w:t>
      </w:r>
      <w:r>
        <w:rPr>
          <w:rFonts w:ascii="標楷體" w:hAnsi="標楷體" w:cs="標楷體" w:eastAsia="標楷體"/>
          <w:sz w:val="20"/>
          <w:szCs w:val="20"/>
        </w:rPr>
        <w:t>日公保字第</w:t>
      </w:r>
      <w:r>
        <w:rPr>
          <w:rFonts w:ascii="標楷體" w:hAnsi="標楷體" w:cs="標楷體" w:eastAsia="標楷體"/>
          <w:spacing w:val="-53"/>
          <w:sz w:val="20"/>
          <w:szCs w:val="20"/>
        </w:rPr>
        <w:t> </w:t>
      </w:r>
      <w:r>
        <w:rPr>
          <w:rFonts w:ascii="標楷體" w:hAnsi="標楷體" w:cs="標楷體" w:eastAsia="標楷體"/>
          <w:spacing w:val="-1"/>
          <w:sz w:val="20"/>
          <w:szCs w:val="20"/>
        </w:rPr>
        <w:t>0920004604</w:t>
      </w:r>
      <w:r>
        <w:rPr>
          <w:rFonts w:ascii="標楷體" w:hAnsi="標楷體" w:cs="標楷體" w:eastAsia="標楷體"/>
          <w:spacing w:val="-52"/>
          <w:sz w:val="20"/>
          <w:szCs w:val="20"/>
        </w:rPr>
        <w:t> </w:t>
      </w:r>
      <w:r>
        <w:rPr>
          <w:rFonts w:ascii="標楷體" w:hAnsi="標楷體" w:cs="標楷體" w:eastAsia="標楷體"/>
          <w:sz w:val="20"/>
          <w:szCs w:val="20"/>
        </w:rPr>
        <w:t>號令發布全文</w:t>
      </w:r>
      <w:r>
        <w:rPr>
          <w:rFonts w:ascii="標楷體" w:hAnsi="標楷體" w:cs="標楷體" w:eastAsia="標楷體"/>
          <w:spacing w:val="-55"/>
          <w:sz w:val="20"/>
          <w:szCs w:val="20"/>
        </w:rPr>
        <w:t> </w:t>
      </w:r>
      <w:r>
        <w:rPr>
          <w:rFonts w:ascii="標楷體" w:hAnsi="標楷體" w:cs="標楷體" w:eastAsia="標楷體"/>
          <w:sz w:val="20"/>
          <w:szCs w:val="20"/>
        </w:rPr>
        <w:t>5</w:t>
      </w:r>
      <w:r>
        <w:rPr>
          <w:rFonts w:ascii="標楷體" w:hAnsi="標楷體" w:cs="標楷體" w:eastAsia="標楷體"/>
          <w:spacing w:val="-54"/>
          <w:sz w:val="20"/>
          <w:szCs w:val="20"/>
        </w:rPr>
        <w:t> </w:t>
      </w:r>
      <w:r>
        <w:rPr>
          <w:rFonts w:ascii="標楷體" w:hAnsi="標楷體" w:cs="標楷體" w:eastAsia="標楷體"/>
          <w:sz w:val="20"/>
          <w:szCs w:val="20"/>
        </w:rPr>
        <w:t>條</w:t>
      </w:r>
      <w:r>
        <w:rPr>
          <w:rFonts w:ascii="標楷體" w:hAnsi="標楷體" w:cs="標楷體" w:eastAsia="標楷體"/>
          <w:sz w:val="20"/>
          <w:szCs w:val="20"/>
        </w:rPr>
      </w:r>
    </w:p>
    <w:p>
      <w:pPr>
        <w:spacing w:before="139"/>
        <w:ind w:left="112" w:right="0" w:firstLine="0"/>
        <w:jc w:val="left"/>
        <w:rPr>
          <w:rFonts w:ascii="標楷體" w:hAnsi="標楷體" w:cs="標楷體" w:eastAsia="標楷體"/>
          <w:sz w:val="20"/>
          <w:szCs w:val="20"/>
        </w:rPr>
      </w:pPr>
      <w:r>
        <w:rPr>
          <w:rFonts w:ascii="標楷體" w:hAnsi="標楷體" w:cs="標楷體" w:eastAsia="標楷體"/>
          <w:sz w:val="20"/>
          <w:szCs w:val="20"/>
        </w:rPr>
        <w:t>中華民國</w:t>
      </w:r>
      <w:r>
        <w:rPr>
          <w:rFonts w:ascii="標楷體" w:hAnsi="標楷體" w:cs="標楷體" w:eastAsia="標楷體"/>
          <w:spacing w:val="-56"/>
          <w:sz w:val="20"/>
          <w:szCs w:val="20"/>
        </w:rPr>
        <w:t> </w:t>
      </w:r>
      <w:r>
        <w:rPr>
          <w:rFonts w:ascii="標楷體" w:hAnsi="標楷體" w:cs="標楷體" w:eastAsia="標楷體"/>
          <w:spacing w:val="-1"/>
          <w:sz w:val="20"/>
          <w:szCs w:val="20"/>
        </w:rPr>
        <w:t>103</w:t>
      </w:r>
      <w:r>
        <w:rPr>
          <w:rFonts w:ascii="標楷體" w:hAnsi="標楷體" w:cs="標楷體" w:eastAsia="標楷體"/>
          <w:spacing w:val="-59"/>
          <w:sz w:val="20"/>
          <w:szCs w:val="20"/>
        </w:rPr>
        <w:t> </w:t>
      </w:r>
      <w:r>
        <w:rPr>
          <w:rFonts w:ascii="標楷體" w:hAnsi="標楷體" w:cs="標楷體" w:eastAsia="標楷體"/>
          <w:sz w:val="20"/>
          <w:szCs w:val="20"/>
        </w:rPr>
        <w:t>年</w:t>
      </w:r>
      <w:r>
        <w:rPr>
          <w:rFonts w:ascii="標楷體" w:hAnsi="標楷體" w:cs="標楷體" w:eastAsia="標楷體"/>
          <w:spacing w:val="-56"/>
          <w:sz w:val="20"/>
          <w:szCs w:val="20"/>
        </w:rPr>
        <w:t> </w:t>
      </w:r>
      <w:r>
        <w:rPr>
          <w:rFonts w:ascii="標楷體" w:hAnsi="標楷體" w:cs="標楷體" w:eastAsia="標楷體"/>
          <w:sz w:val="20"/>
          <w:szCs w:val="20"/>
        </w:rPr>
        <w:t>7</w:t>
      </w:r>
      <w:r>
        <w:rPr>
          <w:rFonts w:ascii="標楷體" w:hAnsi="標楷體" w:cs="標楷體" w:eastAsia="標楷體"/>
          <w:spacing w:val="-59"/>
          <w:sz w:val="20"/>
          <w:szCs w:val="20"/>
        </w:rPr>
        <w:t> </w:t>
      </w:r>
      <w:r>
        <w:rPr>
          <w:rFonts w:ascii="標楷體" w:hAnsi="標楷體" w:cs="標楷體" w:eastAsia="標楷體"/>
          <w:sz w:val="20"/>
          <w:szCs w:val="20"/>
        </w:rPr>
        <w:t>月</w:t>
      </w:r>
      <w:r>
        <w:rPr>
          <w:rFonts w:ascii="標楷體" w:hAnsi="標楷體" w:cs="標楷體" w:eastAsia="標楷體"/>
          <w:spacing w:val="-58"/>
          <w:sz w:val="20"/>
          <w:szCs w:val="20"/>
        </w:rPr>
        <w:t> </w:t>
      </w:r>
      <w:r>
        <w:rPr>
          <w:rFonts w:ascii="標楷體" w:hAnsi="標楷體" w:cs="標楷體" w:eastAsia="標楷體"/>
          <w:sz w:val="20"/>
          <w:szCs w:val="20"/>
        </w:rPr>
        <w:t>3</w:t>
      </w:r>
      <w:r>
        <w:rPr>
          <w:rFonts w:ascii="標楷體" w:hAnsi="標楷體" w:cs="標楷體" w:eastAsia="標楷體"/>
          <w:spacing w:val="-57"/>
          <w:sz w:val="20"/>
          <w:szCs w:val="20"/>
        </w:rPr>
        <w:t> </w:t>
      </w:r>
      <w:r>
        <w:rPr>
          <w:rFonts w:ascii="標楷體" w:hAnsi="標楷體" w:cs="標楷體" w:eastAsia="標楷體"/>
          <w:sz w:val="20"/>
          <w:szCs w:val="20"/>
        </w:rPr>
        <w:t>日公務人員保障暨培訓委員會公保字第</w:t>
      </w:r>
      <w:r>
        <w:rPr>
          <w:rFonts w:ascii="標楷體" w:hAnsi="標楷體" w:cs="標楷體" w:eastAsia="標楷體"/>
          <w:spacing w:val="-55"/>
          <w:sz w:val="20"/>
          <w:szCs w:val="20"/>
        </w:rPr>
        <w:t> </w:t>
      </w:r>
      <w:r>
        <w:rPr>
          <w:rFonts w:ascii="標楷體" w:hAnsi="標楷體" w:cs="標楷體" w:eastAsia="標楷體"/>
          <w:spacing w:val="-1"/>
          <w:sz w:val="20"/>
          <w:szCs w:val="20"/>
        </w:rPr>
        <w:t>1030009849</w:t>
      </w:r>
      <w:r>
        <w:rPr>
          <w:rFonts w:ascii="標楷體" w:hAnsi="標楷體" w:cs="標楷體" w:eastAsia="標楷體"/>
          <w:spacing w:val="-55"/>
          <w:sz w:val="20"/>
          <w:szCs w:val="20"/>
        </w:rPr>
        <w:t> </w:t>
      </w:r>
      <w:r>
        <w:rPr>
          <w:rFonts w:ascii="標楷體" w:hAnsi="標楷體" w:cs="標楷體" w:eastAsia="標楷體"/>
          <w:sz w:val="20"/>
          <w:szCs w:val="20"/>
        </w:rPr>
        <w:t>號令修正發布第</w:t>
      </w:r>
      <w:r>
        <w:rPr>
          <w:rFonts w:ascii="標楷體" w:hAnsi="標楷體" w:cs="標楷體" w:eastAsia="標楷體"/>
          <w:spacing w:val="-56"/>
          <w:sz w:val="20"/>
          <w:szCs w:val="20"/>
        </w:rPr>
        <w:t> </w:t>
      </w:r>
      <w:r>
        <w:rPr>
          <w:rFonts w:ascii="標楷體" w:hAnsi="標楷體" w:cs="標楷體" w:eastAsia="標楷體"/>
          <w:sz w:val="20"/>
          <w:szCs w:val="20"/>
        </w:rPr>
        <w:t>2</w:t>
      </w:r>
      <w:r>
        <w:rPr>
          <w:rFonts w:ascii="標楷體" w:hAnsi="標楷體" w:cs="標楷體" w:eastAsia="標楷體"/>
          <w:spacing w:val="-58"/>
          <w:sz w:val="20"/>
          <w:szCs w:val="20"/>
        </w:rPr>
        <w:t> </w:t>
      </w:r>
      <w:r>
        <w:rPr>
          <w:rFonts w:ascii="標楷體" w:hAnsi="標楷體" w:cs="標楷體" w:eastAsia="標楷體"/>
          <w:sz w:val="20"/>
          <w:szCs w:val="20"/>
        </w:rPr>
        <w:t>條條文</w:t>
      </w:r>
      <w:r>
        <w:rPr>
          <w:rFonts w:ascii="標楷體" w:hAnsi="標楷體" w:cs="標楷體" w:eastAsia="標楷體"/>
          <w:sz w:val="20"/>
          <w:szCs w:val="20"/>
        </w:rPr>
      </w: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6"/>
          <w:szCs w:val="16"/>
        </w:rPr>
      </w:pPr>
    </w:p>
    <w:p>
      <w:pPr>
        <w:pStyle w:val="BodyText"/>
        <w:tabs>
          <w:tab w:pos="673" w:val="left" w:leader="none"/>
          <w:tab w:pos="1233" w:val="left" w:leader="none"/>
        </w:tabs>
        <w:spacing w:line="287" w:lineRule="auto"/>
        <w:ind w:right="956"/>
        <w:jc w:val="left"/>
      </w:pPr>
      <w:r>
        <w:rPr/>
        <w:t>第</w:t>
        <w:tab/>
        <w:t>一</w:t>
        <w:tab/>
        <w:t>條 </w:t>
      </w:r>
      <w:r>
        <w:rPr>
          <w:spacing w:val="-2"/>
        </w:rPr>
        <w:t>本標準依公務人員保障法（以下簡稱本法）第四十二條第三項規定訂定之。</w:t>
      </w:r>
    </w:p>
    <w:p>
      <w:pPr>
        <w:spacing w:line="240" w:lineRule="auto" w:before="1"/>
        <w:rPr>
          <w:rFonts w:ascii="標楷體" w:hAnsi="標楷體" w:cs="標楷體" w:eastAsia="標楷體"/>
          <w:sz w:val="35"/>
          <w:szCs w:val="35"/>
        </w:rPr>
      </w:pPr>
    </w:p>
    <w:p>
      <w:pPr>
        <w:pStyle w:val="BodyText"/>
        <w:tabs>
          <w:tab w:pos="673" w:val="left" w:leader="none"/>
          <w:tab w:pos="1233" w:val="left" w:leader="none"/>
        </w:tabs>
        <w:spacing w:line="288" w:lineRule="auto"/>
        <w:ind w:right="113"/>
        <w:jc w:val="left"/>
      </w:pPr>
      <w:r>
        <w:rPr/>
        <w:t>第</w:t>
        <w:tab/>
        <w:t>二</w:t>
        <w:tab/>
        <w:t>條 </w:t>
      </w:r>
      <w:r>
        <w:rPr>
          <w:spacing w:val="-1"/>
        </w:rPr>
        <w:t>復審人或其代理人依本法第四十二條第一項或第五十九條第二項規定，向公務人員</w:t>
      </w:r>
      <w:r>
        <w:rPr>
          <w:spacing w:val="21"/>
        </w:rPr>
        <w:t> </w:t>
      </w:r>
      <w:r>
        <w:rPr>
          <w:spacing w:val="-1"/>
        </w:rPr>
        <w:t>保障暨培訓委員會（以下簡稱保訓會）請求閱覽、抄錄、影印或攝錄復審事件卷宗</w:t>
      </w:r>
      <w:r>
        <w:rPr>
          <w:spacing w:val="21"/>
        </w:rPr>
        <w:t> </w:t>
      </w:r>
      <w:r>
        <w:rPr>
          <w:spacing w:val="-1"/>
        </w:rPr>
        <w:t>內文書或請求閱覽、抄錄或影印原處分機關提出於保訓會之據以處分證據資料者，</w:t>
      </w:r>
      <w:r>
        <w:rPr>
          <w:spacing w:val="21"/>
        </w:rPr>
        <w:t> </w:t>
      </w:r>
      <w:r>
        <w:rPr>
          <w:spacing w:val="-2"/>
        </w:rPr>
        <w:t>每二小時收取使用費新臺幣二十元；不足二小時，以二小時計算。</w:t>
      </w:r>
    </w:p>
    <w:p>
      <w:pPr>
        <w:spacing w:line="240" w:lineRule="auto" w:before="0"/>
        <w:rPr>
          <w:rFonts w:ascii="標楷體" w:hAnsi="標楷體" w:cs="標楷體" w:eastAsia="標楷體"/>
          <w:sz w:val="35"/>
          <w:szCs w:val="35"/>
        </w:rPr>
      </w:pPr>
    </w:p>
    <w:p>
      <w:pPr>
        <w:pStyle w:val="BodyText"/>
        <w:tabs>
          <w:tab w:pos="673" w:val="left" w:leader="none"/>
          <w:tab w:pos="1233" w:val="left" w:leader="none"/>
        </w:tabs>
        <w:spacing w:line="288" w:lineRule="auto"/>
        <w:ind w:right="113"/>
        <w:jc w:val="left"/>
      </w:pPr>
      <w:r>
        <w:rPr/>
        <w:t>第</w:t>
        <w:tab/>
        <w:t>三</w:t>
        <w:tab/>
        <w:t>條 </w:t>
      </w:r>
      <w:r>
        <w:rPr>
          <w:spacing w:val="-1"/>
        </w:rPr>
        <w:t>復審人或其代理人使用保訓會之機器影印前條之文書資料者，每張應繳納新臺幣二</w:t>
      </w:r>
      <w:r>
        <w:rPr>
          <w:spacing w:val="21"/>
        </w:rPr>
        <w:t> </w:t>
      </w:r>
      <w:r>
        <w:rPr>
          <w:spacing w:val="-1"/>
        </w:rPr>
        <w:t>元；預納費用請求付與繕本、影本或節本者，每張應繳納新臺幣三元。</w:t>
      </w:r>
    </w:p>
    <w:p>
      <w:pPr>
        <w:spacing w:line="240" w:lineRule="auto" w:before="11"/>
        <w:rPr>
          <w:rFonts w:ascii="標楷體" w:hAnsi="標楷體" w:cs="標楷體" w:eastAsia="標楷體"/>
          <w:sz w:val="34"/>
          <w:szCs w:val="34"/>
        </w:rPr>
      </w:pPr>
    </w:p>
    <w:p>
      <w:pPr>
        <w:pStyle w:val="BodyText"/>
        <w:tabs>
          <w:tab w:pos="673" w:val="left" w:leader="none"/>
          <w:tab w:pos="1233" w:val="left" w:leader="none"/>
        </w:tabs>
        <w:spacing w:line="288" w:lineRule="auto"/>
        <w:ind w:right="113"/>
        <w:jc w:val="left"/>
      </w:pPr>
      <w:r>
        <w:rPr/>
        <w:t>第</w:t>
        <w:tab/>
        <w:t>四</w:t>
        <w:tab/>
        <w:t>條 </w:t>
      </w:r>
      <w:r>
        <w:rPr>
          <w:spacing w:val="-1"/>
        </w:rPr>
        <w:t>再申訴人或其代理人依本法第八十四條準用同法第四十二條第一項及第五十九條第</w:t>
      </w:r>
      <w:r>
        <w:rPr>
          <w:spacing w:val="24"/>
        </w:rPr>
        <w:t> </w:t>
      </w:r>
      <w:r>
        <w:rPr>
          <w:spacing w:val="-1"/>
        </w:rPr>
        <w:t>二項規定請求者，其收費準用本標準之規定。</w:t>
      </w:r>
    </w:p>
    <w:p>
      <w:pPr>
        <w:spacing w:line="240" w:lineRule="auto" w:before="13"/>
        <w:rPr>
          <w:rFonts w:ascii="標楷體" w:hAnsi="標楷體" w:cs="標楷體" w:eastAsia="標楷體"/>
          <w:sz w:val="34"/>
          <w:szCs w:val="34"/>
        </w:rPr>
      </w:pPr>
    </w:p>
    <w:p>
      <w:pPr>
        <w:pStyle w:val="BodyText"/>
        <w:tabs>
          <w:tab w:pos="673" w:val="left" w:leader="none"/>
          <w:tab w:pos="1233" w:val="left" w:leader="none"/>
          <w:tab w:pos="1794" w:val="left" w:leader="none"/>
        </w:tabs>
        <w:spacing w:line="240" w:lineRule="auto"/>
        <w:ind w:right="0"/>
        <w:jc w:val="left"/>
      </w:pPr>
      <w:r>
        <w:rPr/>
        <w:t>第</w:t>
        <w:tab/>
        <w:t>五</w:t>
        <w:tab/>
        <w:t>條</w:t>
        <w:tab/>
      </w:r>
      <w:r>
        <w:rPr>
          <w:spacing w:val="-2"/>
        </w:rPr>
        <w:t>本標準自發布日施行。</w:t>
      </w:r>
    </w:p>
    <w:sectPr>
      <w:type w:val="continuous"/>
      <w:pgSz w:w="11910" w:h="16840"/>
      <w:pgMar w:top="1380" w:bottom="280" w:left="7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pPr>
    <w:rPr>
      <w:rFonts w:ascii="標楷體" w:hAnsi="標楷體" w:eastAsia="標楷體"/>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保訓會</dc:creator>
  <dc:title>公務人員保障暨培訓委員會閱卷須知</dc:title>
  <dcterms:created xsi:type="dcterms:W3CDTF">2021-09-15T19:25:46Z</dcterms:created>
  <dcterms:modified xsi:type="dcterms:W3CDTF">2021-09-15T19:25:46Z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LastSaved">
    <vt:filetime>2021-09-15T00:00:00Z</vt:filetime>
  </property>
</Properties>
</file>