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33" w:lineRule="exact"/>
        <w:ind w:left="1311" w:right="908"/>
        <w:jc w:val="center"/>
        <w:rPr>
          <w:b w:val="0"/>
          <w:bCs w:val="0"/>
        </w:rPr>
      </w:pPr>
      <w:r>
        <w:rPr/>
        <w:pict>
          <v:group style="position:absolute;margin-left:128.419998pt;margin-top:235.399994pt;width:88pt;height:.1pt;mso-position-horizontal-relative:page;mso-position-vertical-relative:page;z-index:-21040" coordorigin="2568,4708" coordsize="1760,2">
            <v:shape style="position:absolute;left:2568;top:4708;width:1760;height:2" coordorigin="2568,4708" coordsize="1760,0" path="m2568,4708l4328,4708e" filled="false" stroked="true" strokeweight=".69999pt" strokecolor="#000000">
              <v:path arrowok="t"/>
            </v:shape>
            <w10:wrap type="none"/>
          </v:group>
        </w:pict>
      </w:r>
      <w:r>
        <w:rPr/>
        <w:pict>
          <v:group style="position:absolute;margin-left:154.220001pt;margin-top:266.719971pt;width:12.6pt;height:.1pt;mso-position-horizontal-relative:page;mso-position-vertical-relative:page;z-index:-21016" coordorigin="3084,5334" coordsize="252,2">
            <v:shape style="position:absolute;left:3084;top:5334;width:252;height:2" coordorigin="3084,5334" coordsize="252,0" path="m3084,5334l3336,5334e" filled="false" stroked="true" strokeweight=".70001pt" strokecolor="#000000">
              <v:path arrowok="t"/>
            </v:shape>
            <w10:wrap type="none"/>
          </v:group>
        </w:pict>
      </w:r>
      <w:r>
        <w:rPr/>
        <w:t>公務人員保障暨培訓委員會保障事件審議規則</w:t>
      </w:r>
      <w:r>
        <w:rPr>
          <w:b w:val="0"/>
          <w:bCs w:val="0"/>
        </w:rPr>
      </w:r>
    </w:p>
    <w:p>
      <w:pPr>
        <w:pStyle w:val="BodyText"/>
        <w:spacing w:line="240" w:lineRule="auto" w:before="177"/>
        <w:ind w:right="908"/>
        <w:jc w:val="center"/>
        <w:rPr>
          <w:b w:val="0"/>
          <w:bCs w:val="0"/>
        </w:rPr>
      </w:pPr>
      <w:r>
        <w:rPr/>
        <w:t>部分條文修正條文對照表</w:t>
      </w:r>
      <w:r>
        <w:rPr>
          <w:b w:val="0"/>
          <w:bCs w:val="0"/>
        </w:rPr>
      </w:r>
    </w:p>
    <w:p>
      <w:pPr>
        <w:spacing w:line="240" w:lineRule="auto" w:before="5"/>
        <w:rPr>
          <w:rFonts w:ascii="標楷體" w:hAnsi="標楷體" w:cs="標楷體" w:eastAsia="標楷體"/>
          <w:b/>
          <w:bCs/>
          <w:sz w:val="18"/>
          <w:szCs w:val="18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3"/>
        <w:gridCol w:w="3080"/>
        <w:gridCol w:w="3082"/>
      </w:tblGrid>
      <w:tr>
        <w:trPr>
          <w:trHeight w:val="458" w:hRule="exact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51" w:val="left" w:leader="none"/>
                <w:tab w:pos="1877" w:val="left" w:leader="none"/>
                <w:tab w:pos="2806" w:val="left" w:leader="none"/>
              </w:tabs>
              <w:spacing w:line="240" w:lineRule="auto" w:before="30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修</w:t>
              <w:tab/>
              <w:t>正</w:t>
              <w:tab/>
              <w:t>條</w:t>
              <w:tab/>
              <w:t>文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49" w:val="left" w:leader="none"/>
                <w:tab w:pos="1875" w:val="left" w:leader="none"/>
                <w:tab w:pos="2803" w:val="left" w:leader="none"/>
              </w:tabs>
              <w:spacing w:line="240" w:lineRule="auto" w:before="30"/>
              <w:ind w:left="2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現</w:t>
              <w:tab/>
              <w:t>行</w:t>
              <w:tab/>
              <w:t>條</w:t>
              <w:tab/>
              <w:t>文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807" w:val="left" w:leader="none"/>
              </w:tabs>
              <w:spacing w:line="240" w:lineRule="auto" w:before="30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</w:t>
              <w:tab/>
              <w:t>明</w:t>
            </w:r>
          </w:p>
        </w:tc>
      </w:tr>
      <w:tr>
        <w:trPr>
          <w:trHeight w:val="11562" w:hRule="exact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43" w:val="left" w:leader="none"/>
              </w:tabs>
              <w:spacing w:line="274" w:lineRule="exact"/>
              <w:ind w:left="280" w:right="0" w:hanging="25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第十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</w:t>
              <w:tab/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復審人依本法第七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312" w:lineRule="exact" w:before="15"/>
              <w:ind w:left="280" w:right="23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條第五項規定，備具書狀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敘明理由向保訓會申請迴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避者，準用行政程序法第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三十三條第二項及第四項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規定辦理。</w:t>
            </w:r>
          </w:p>
          <w:p>
            <w:pPr>
              <w:pStyle w:val="TableParagraph"/>
              <w:spacing w:line="312" w:lineRule="exact" w:before="2"/>
              <w:ind w:left="280" w:right="-33" w:firstLine="5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對保訓會審理保障事</w:t>
            </w:r>
            <w:r>
              <w:rPr>
                <w:rFonts w:ascii="標楷體" w:hAnsi="標楷體" w:cs="標楷體" w:eastAsia="標楷體"/>
                <w:spacing w:val="2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1"/>
                <w:w w:val="95"/>
                <w:sz w:val="24"/>
                <w:szCs w:val="24"/>
              </w:rPr>
              <w:t>件人員申請迴避者，由</w:t>
            </w:r>
            <w:r>
              <w:rPr>
                <w:rFonts w:ascii="標楷體" w:hAnsi="標楷體" w:cs="標楷體" w:eastAsia="標楷體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9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28"/>
                <w:w w:val="95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w w:val="95"/>
                <w:sz w:val="24"/>
                <w:szCs w:val="24"/>
                <w:u w:val="single" w:color="000000"/>
              </w:rPr>
              <w:t>保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97" w:lineRule="exact"/>
              <w:ind w:left="280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訓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會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委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員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會</w:t>
            </w:r>
            <w:r>
              <w:rPr>
                <w:rFonts w:ascii="標楷體" w:hAnsi="標楷體" w:cs="標楷體" w:eastAsia="標楷體"/>
                <w:spacing w:val="-10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議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（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以</w:t>
            </w:r>
            <w:r>
              <w:rPr>
                <w:rFonts w:ascii="標楷體" w:hAnsi="標楷體" w:cs="標楷體" w:eastAsia="標楷體"/>
                <w:spacing w:val="-10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下</w:t>
            </w:r>
            <w:r>
              <w:rPr>
                <w:rFonts w:ascii="標楷體" w:hAnsi="標楷體" w:cs="標楷體" w:eastAsia="標楷體"/>
                <w:spacing w:val="-10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簡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稱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312" w:lineRule="exact"/>
              <w:ind w:left="280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委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員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會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議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）</w:t>
            </w:r>
            <w:r>
              <w:rPr>
                <w:rFonts w:ascii="標楷體" w:hAnsi="標楷體" w:cs="標楷體" w:eastAsia="標楷體"/>
                <w:spacing w:val="-10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決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議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；</w:t>
            </w:r>
            <w:r>
              <w:rPr>
                <w:rFonts w:ascii="標楷體" w:hAnsi="標楷體" w:cs="標楷體" w:eastAsia="標楷體"/>
                <w:spacing w:val="-10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對</w:t>
            </w:r>
            <w:r>
              <w:rPr>
                <w:rFonts w:ascii="標楷體" w:hAnsi="標楷體" w:cs="標楷體" w:eastAsia="標楷體"/>
                <w:spacing w:val="-10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協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助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312" w:lineRule="exact"/>
              <w:ind w:left="280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辦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理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保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障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事</w:t>
            </w:r>
            <w:r>
              <w:rPr>
                <w:rFonts w:ascii="標楷體" w:hAnsi="標楷體" w:cs="標楷體" w:eastAsia="標楷體"/>
                <w:spacing w:val="-10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件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人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員</w:t>
            </w:r>
            <w:r>
              <w:rPr>
                <w:rFonts w:ascii="標楷體" w:hAnsi="標楷體" w:cs="標楷體" w:eastAsia="標楷體"/>
                <w:spacing w:val="-10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申</w:t>
            </w:r>
            <w:r>
              <w:rPr>
                <w:rFonts w:ascii="標楷體" w:hAnsi="標楷體" w:cs="標楷體" w:eastAsia="標楷體"/>
                <w:spacing w:val="-10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請</w:t>
            </w:r>
            <w:r>
              <w:rPr>
                <w:rFonts w:ascii="標楷體" w:hAnsi="標楷體" w:cs="標楷體" w:eastAsia="標楷體"/>
                <w:spacing w:val="-10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9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迴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313" w:lineRule="exact"/>
              <w:ind w:left="280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避者，由主任委員決定。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40" w:val="left" w:leader="none"/>
              </w:tabs>
              <w:spacing w:line="274" w:lineRule="exact"/>
              <w:ind w:left="277" w:right="0" w:hanging="25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第十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</w:t>
              <w:tab/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復審人依本法第七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312" w:lineRule="exact" w:before="15"/>
              <w:ind w:left="277" w:right="22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條第五項規定，備具書狀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敘明理由向保訓會申請迴</w:t>
            </w:r>
            <w:r>
              <w:rPr>
                <w:rFonts w:ascii="標楷體" w:hAnsi="標楷體" w:cs="標楷體" w:eastAsia="標楷體"/>
                <w:spacing w:val="2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避者，準用行政程序法第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三十三條規定辦理。</w:t>
            </w:r>
          </w:p>
          <w:p>
            <w:pPr>
              <w:pStyle w:val="TableParagraph"/>
              <w:spacing w:line="297" w:lineRule="exact"/>
              <w:ind w:left="277" w:right="0" w:firstLine="54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6"/>
                <w:sz w:val="24"/>
                <w:szCs w:val="24"/>
              </w:rPr>
              <w:t>對保訓會辦理保障事</w:t>
            </w:r>
          </w:p>
          <w:p>
            <w:pPr>
              <w:pStyle w:val="TableParagraph"/>
              <w:spacing w:line="238" w:lineRule="auto" w:before="2"/>
              <w:ind w:left="277" w:right="23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件人員之申請迴避，由主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任委員決定；對主任委員</w:t>
            </w:r>
            <w:r>
              <w:rPr>
                <w:rFonts w:ascii="標楷體" w:hAnsi="標楷體" w:cs="標楷體" w:eastAsia="標楷體"/>
                <w:spacing w:val="3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之申請迴避，由保訓會委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員會議（以下簡稱委員會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議）決議。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23" w:right="0" w:hanging="60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公務人員保障法（以下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38" w:lineRule="auto"/>
              <w:ind w:left="623" w:right="22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簡稱本法）第七條第一 項各款規定，已列舉審 理保障事件人員應自行 迴避之事由，另於同條 第五項明定，復審人及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再申訴人亦得向保訓會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申請迴避，尚無準用行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政程序法第三十三條第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一項規定之必要。另依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本法第六十條規定，復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 審人對保訓會於復審程 序進行中所為之程序上 處置不服者，應併同復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審決定提起行政訴訟，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此與依行政程序法第三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 十三條規定係行政程序 中申請迴避之性質不同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312" w:lineRule="exact"/>
              <w:ind w:left="623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，自不宜準用上開規定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38" w:lineRule="auto" w:before="2"/>
              <w:ind w:left="623" w:right="22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，避免衍生保障事件當 事人對保訓會駁回申請 迴避之決定，於程序進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行中，得否依行政程序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 法第三十三條第三項規 定，向上級機關即考試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院提請覆決之疑義。復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依本法第七條第三項規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 定，審理及協助辦理保 障事件之人員明知應迴 避而不迴避者，應依法 移送懲戒，亦無準用行 政程序法第三十三條第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五項規定之必要。爰明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定準用行政程序法第三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十三條之範圍為該條第</w:t>
            </w:r>
            <w:r>
              <w:rPr>
                <w:rFonts w:ascii="標楷體" w:hAnsi="標楷體" w:cs="標楷體" w:eastAsia="標楷體"/>
                <w:spacing w:val="2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二項及第四項規定。</w:t>
            </w:r>
          </w:p>
          <w:p>
            <w:pPr>
              <w:pStyle w:val="TableParagraph"/>
              <w:spacing w:line="312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二、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依本法第七條第二項規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</w:tbl>
    <w:p>
      <w:pPr>
        <w:spacing w:line="240" w:lineRule="auto" w:before="1"/>
        <w:rPr>
          <w:rFonts w:ascii="標楷體" w:hAnsi="標楷體" w:cs="標楷體" w:eastAsia="標楷體"/>
          <w:b/>
          <w:bCs/>
          <w:sz w:val="16"/>
          <w:szCs w:val="16"/>
        </w:rPr>
      </w:pPr>
    </w:p>
    <w:p>
      <w:pPr>
        <w:spacing w:before="73"/>
        <w:ind w:left="1309" w:right="90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1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380" w:bottom="280" w:left="1160" w:right="12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3"/>
        <w:gridCol w:w="3080"/>
        <w:gridCol w:w="3082"/>
      </w:tblGrid>
      <w:tr>
        <w:trPr>
          <w:trHeight w:val="317" w:hRule="exact"/>
        </w:trPr>
        <w:tc>
          <w:tcPr>
            <w:tcW w:w="3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定，協助辦理保障事件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人員準用迴避之規定，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爰將協助辦理保障事件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人員納入申請迴避之對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象，並以保訓會審理保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障事件人員包含主任委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員、副主任委員及專（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兼）任委員，依保訓會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組織法第六條第三項規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定，於審議、決定有關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公務人員保障事件時，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應超出黨派，依據法律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獨立行使職權。是如有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對上開保訓會審理保障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事件人員申請迴避事項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，允宜提交委員會議充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分討論後決議，以彰顯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並落實保訓會以合議制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方式審理保障事件之精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神。至協助辦理保障事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件之人員，與上開審理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保障事件人員之職權不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同，對於機關長官依法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下達之命令，負有服從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之義務，是如有對協助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辦理保障事件人員申請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迴避事項，基於行政監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督之考量，應由保訓會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主任委員決定，爰修正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現行條文，以資明確。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三、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相關規定：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公務人員保障法</w:t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第七條：「審理保障事件之</w:t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人員有下列各款情形之一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者，應自行迴避：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2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與提起保障事件之公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務人員有配偶、前配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偶、四親等內血親、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三親等內姻親、家長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、家屬或曾有此關係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者。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2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二、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曾參與該保障事件之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行政處分、管理措施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9" w:hRule="exact"/>
        </w:trPr>
        <w:tc>
          <w:tcPr>
            <w:tcW w:w="3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、有關工作條件之處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</w:tbl>
    <w:p>
      <w:pPr>
        <w:spacing w:after="0" w:line="276" w:lineRule="exact"/>
        <w:jc w:val="left"/>
        <w:rPr>
          <w:rFonts w:ascii="標楷體" w:hAnsi="標楷體" w:cs="標楷體" w:eastAsia="標楷體"/>
          <w:sz w:val="24"/>
          <w:szCs w:val="24"/>
        </w:rPr>
        <w:sectPr>
          <w:footerReference w:type="default" r:id="rId5"/>
          <w:pgSz w:w="11910" w:h="16840"/>
          <w:pgMar w:footer="1035" w:header="0" w:top="1320" w:bottom="1220" w:left="1160" w:right="128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3"/>
        <w:gridCol w:w="3080"/>
        <w:gridCol w:w="3082"/>
      </w:tblGrid>
      <w:tr>
        <w:trPr>
          <w:trHeight w:val="317" w:hRule="exact"/>
        </w:trPr>
        <w:tc>
          <w:tcPr>
            <w:tcW w:w="3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置或申訴程序者。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2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三、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現為或曾為該保障事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件當事人之代理人、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輔佐人者。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2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四、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於該保障事件，曾為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證人、鑑定人者。</w:t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2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五、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與該保障事件有法律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上利害關係者。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前項迴避，於協助辦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理保障事件人員準用之。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前二項人員明知應迴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避而不迴避者，應依法移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送懲戒。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9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有關機關副首長兼任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保訓會之委員者，不受第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一項第二款迴避規定限制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。但涉及本機關有關保障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事件之決定，無表決權。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5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復審人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、</w:t>
            </w:r>
            <w:r>
              <w:rPr>
                <w:rFonts w:ascii="標楷體" w:hAnsi="標楷體" w:cs="標楷體" w:eastAsia="標楷體"/>
                <w:spacing w:val="-9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再申訴人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亦</w:t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得備具書狀敘明理由向保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訓會申請迴避。」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2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第六十條：「復審人對保訓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1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會於復審程序進行中所為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1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之程序上處置不服者，應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1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8"/>
                <w:sz w:val="24"/>
                <w:szCs w:val="24"/>
              </w:rPr>
              <w:t>併同復審決定提起行政訴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1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訟。」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行政程序法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第三十三條：「公務員有下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列各款情形之一者，當事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人得申請迴避︰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327" w:right="-1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</w:t>
            </w:r>
            <w:r>
              <w:rPr>
                <w:rFonts w:ascii="標楷體" w:hAnsi="標楷體" w:cs="標楷體" w:eastAsia="標楷體"/>
                <w:spacing w:val="-3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有前條所定之情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形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9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而不自行迴避者。</w:t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327" w:right="-1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二、</w:t>
            </w:r>
            <w:r>
              <w:rPr>
                <w:rFonts w:ascii="標楷體" w:hAnsi="標楷體" w:cs="標楷體" w:eastAsia="標楷體"/>
                <w:spacing w:val="-3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有具體事實，足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認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896" w:right="-1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其執行職務有偏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頗</w:t>
            </w:r>
            <w:r>
              <w:rPr>
                <w:rFonts w:ascii="標楷體" w:hAnsi="標楷體" w:cs="標楷體" w:eastAsia="標楷體"/>
                <w:spacing w:val="-8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9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之虞者。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4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5"/>
                <w:sz w:val="24"/>
                <w:szCs w:val="24"/>
              </w:rPr>
              <w:t>前項申請，應舉其原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因及事實，向該公務員所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屬機關為之，並應為適當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之釋明；被申請迴避之公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務員，對於該申請得提出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意見書。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4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5"/>
                <w:sz w:val="24"/>
                <w:szCs w:val="24"/>
              </w:rPr>
              <w:t>不服行政機關之駁回</w:t>
            </w:r>
          </w:p>
        </w:tc>
      </w:tr>
      <w:tr>
        <w:trPr>
          <w:trHeight w:val="312" w:hRule="exact"/>
        </w:trPr>
        <w:tc>
          <w:tcPr>
            <w:tcW w:w="3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決定者，得於五日內提請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19" w:hRule="exact"/>
        </w:trPr>
        <w:tc>
          <w:tcPr>
            <w:tcW w:w="3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上級機關覆決，受理機關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</w:tbl>
    <w:p>
      <w:pPr>
        <w:spacing w:after="0" w:line="276" w:lineRule="exact"/>
        <w:jc w:val="left"/>
        <w:rPr>
          <w:rFonts w:ascii="標楷體" w:hAnsi="標楷體" w:cs="標楷體" w:eastAsia="標楷體"/>
          <w:sz w:val="24"/>
          <w:szCs w:val="24"/>
        </w:rPr>
        <w:sectPr>
          <w:pgSz w:w="11910" w:h="16840"/>
          <w:pgMar w:header="0" w:footer="1035" w:top="1320" w:bottom="1220" w:left="1160" w:right="12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84.809998pt;margin-top:696.999939pt;width:24.5pt;height:.1pt;mso-position-horizontal-relative:page;mso-position-vertical-relative:page;z-index:-20992" coordorigin="5696,13940" coordsize="490,2">
            <v:shape style="position:absolute;left:5696;top:13940;width:490;height:2" coordorigin="5696,13940" coordsize="490,0" path="m5696,13940l6186,13940e" filled="false" stroked="true" strokeweight=".7000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3"/>
        <w:gridCol w:w="3080"/>
        <w:gridCol w:w="3082"/>
      </w:tblGrid>
      <w:tr>
        <w:trPr>
          <w:trHeight w:val="9688" w:hRule="exact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63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除有正當理由外，應於十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312" w:lineRule="exact"/>
              <w:ind w:left="263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日內為適當之處置。</w:t>
            </w:r>
          </w:p>
          <w:p>
            <w:pPr>
              <w:pStyle w:val="TableParagraph"/>
              <w:spacing w:line="312" w:lineRule="exact" w:before="15"/>
              <w:ind w:left="263" w:right="7" w:firstLine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5"/>
                <w:sz w:val="24"/>
                <w:szCs w:val="24"/>
              </w:rPr>
              <w:t>被申請迴避之公務員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在其所屬機關就該申請事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件為准許或駁回之決定前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312" w:lineRule="exact"/>
              <w:ind w:left="263" w:right="7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，應停止行政程序。但有 急迫情形，仍應為必要處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99" w:lineRule="exact"/>
              <w:ind w:left="263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置。</w:t>
            </w:r>
          </w:p>
          <w:p>
            <w:pPr>
              <w:pStyle w:val="TableParagraph"/>
              <w:spacing w:line="312" w:lineRule="exact" w:before="15"/>
              <w:ind w:left="263" w:right="7" w:firstLine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5"/>
                <w:sz w:val="24"/>
                <w:szCs w:val="24"/>
              </w:rPr>
              <w:t>公務員有前條所定情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形不自行迴避，而未經當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事人申請迴避者，應由該 公務員所屬機關依職權命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其迴避。」</w:t>
            </w:r>
          </w:p>
          <w:p>
            <w:pPr>
              <w:pStyle w:val="TableParagraph"/>
              <w:spacing w:line="312" w:lineRule="exact"/>
              <w:ind w:left="15" w:right="2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公務人員保障暨培訓委員會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組織法</w:t>
            </w:r>
          </w:p>
          <w:p>
            <w:pPr>
              <w:pStyle w:val="TableParagraph"/>
              <w:spacing w:line="312" w:lineRule="exact"/>
              <w:ind w:left="263" w:right="7" w:hanging="24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第四條第一項：「本會置委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員十人至十四人，其中五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人至七人專任，職務比照 簡任第十三職等，由考試 院院長提請總統任命之；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38" w:lineRule="auto"/>
              <w:ind w:left="263" w:right="7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餘五人至七人兼任，由考 試院院長聘兼之；任期均 為三年，任滿得連任。但 兼任委員為有關機關副首 長者，其任期隨職務異動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而更易。」</w:t>
            </w:r>
          </w:p>
          <w:p>
            <w:pPr>
              <w:pStyle w:val="TableParagraph"/>
              <w:spacing w:line="312" w:lineRule="exact" w:before="15"/>
              <w:ind w:left="263" w:right="7" w:hanging="24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第六條第三項：「本會委員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於審議、決定有關公務人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員保障事件時，應超出黨 派，依據法律獨立行使職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權。」</w:t>
            </w:r>
          </w:p>
        </w:tc>
      </w:tr>
      <w:tr>
        <w:trPr>
          <w:trHeight w:val="3973" w:hRule="exact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263" w:right="7" w:hanging="241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第二十八條</w:t>
            </w:r>
            <w:r>
              <w:rPr>
                <w:rFonts w:ascii="標楷體" w:hAnsi="標楷體" w:cs="標楷體" w:eastAsia="標楷體"/>
                <w:spacing w:val="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復審事件經提</w:t>
            </w:r>
            <w:r>
              <w:rPr>
                <w:rFonts w:ascii="標楷體" w:hAnsi="標楷體" w:cs="標楷體" w:eastAsia="標楷體"/>
                <w:spacing w:val="3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送委員會議審議決定後，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保訓會承辦單位應即製作 決定書原本，送主任委員 判行作成正本，於決定後 十五日內送達復審人及原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處分機關。</w:t>
            </w:r>
          </w:p>
          <w:p>
            <w:pPr>
              <w:pStyle w:val="TableParagraph"/>
              <w:spacing w:line="275" w:lineRule="auto" w:before="10"/>
              <w:ind w:left="263" w:right="2" w:firstLine="491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6"/>
                <w:sz w:val="24"/>
                <w:szCs w:val="24"/>
              </w:rPr>
              <w:t>復審決定書應記載參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與決定之主任委員、副主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任委員及委員姓名；其有 不同意見書或協同意見書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260" w:right="8" w:hanging="24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第二十八條</w:t>
            </w:r>
            <w:r>
              <w:rPr>
                <w:rFonts w:ascii="標楷體" w:hAnsi="標楷體" w:cs="標楷體" w:eastAsia="標楷體"/>
                <w:spacing w:val="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4"/>
                <w:szCs w:val="24"/>
              </w:rPr>
              <w:t>復審事件經提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送委員會議審議決定後，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保訓會承辦單位應即製作 決定書原本，送主任委員 判行作成正本，於決定後 十五日內送達復審人及原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處分機關。</w:t>
            </w:r>
          </w:p>
          <w:p>
            <w:pPr>
              <w:pStyle w:val="TableParagraph"/>
              <w:spacing w:line="275" w:lineRule="auto" w:before="10"/>
              <w:ind w:left="260" w:right="8" w:firstLine="583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復審事件決定書應記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載參與決定之主任委員、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副主任委員及委員姓名； 其有不同意見書或協同意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589" w:right="22" w:hanging="567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第二項配合本法第九十</w:t>
            </w:r>
            <w:r>
              <w:rPr>
                <w:rFonts w:ascii="標楷體" w:hAnsi="標楷體" w:cs="標楷體" w:eastAsia="標楷體"/>
                <w:spacing w:val="2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4"/>
                <w:szCs w:val="24"/>
              </w:rPr>
              <w:t>三條規定，酌作文字修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5"/>
                <w:sz w:val="24"/>
                <w:szCs w:val="24"/>
              </w:rPr>
              <w:t>正；第三項則配合該項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酌作文字修正。</w:t>
            </w:r>
          </w:p>
          <w:p>
            <w:pPr>
              <w:pStyle w:val="TableParagraph"/>
              <w:spacing w:line="304" w:lineRule="auto" w:before="78"/>
              <w:ind w:left="23" w:right="124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二、 相關規定： 公務人員保障法</w:t>
            </w:r>
          </w:p>
          <w:p>
            <w:pPr>
              <w:pStyle w:val="TableParagraph"/>
              <w:spacing w:line="244" w:lineRule="exact"/>
              <w:ind w:left="263" w:right="0" w:hanging="24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第九十三條：「保障事件決</w:t>
            </w:r>
          </w:p>
          <w:p>
            <w:pPr>
              <w:pStyle w:val="TableParagraph"/>
              <w:spacing w:line="312" w:lineRule="exact" w:before="15"/>
              <w:ind w:left="263" w:right="7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定書及其執行情形，應定 期刊登政府公報並公布於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機關網站。」</w:t>
            </w:r>
          </w:p>
        </w:tc>
      </w:tr>
    </w:tbl>
    <w:p>
      <w:pPr>
        <w:spacing w:after="0" w:line="312" w:lineRule="exact"/>
        <w:jc w:val="both"/>
        <w:rPr>
          <w:rFonts w:ascii="標楷體" w:hAnsi="標楷體" w:cs="標楷體" w:eastAsia="標楷體"/>
          <w:sz w:val="24"/>
          <w:szCs w:val="24"/>
        </w:rPr>
        <w:sectPr>
          <w:pgSz w:w="11910" w:h="16840"/>
          <w:pgMar w:header="0" w:footer="1035" w:top="1340" w:bottom="1220" w:left="1160" w:right="12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153.5pt;margin-top:302.989990pt;width:62.95pt;height:.1pt;mso-position-horizontal-relative:page;mso-position-vertical-relative:page;z-index:-20920" coordorigin="3070,6060" coordsize="1259,2">
            <v:shape style="position:absolute;left:3070;top:6060;width:1259;height:2" coordorigin="3070,6060" coordsize="1259,0" path="m3070,6060l4328,6060e" filled="false" stroked="true" strokeweight=".7000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3"/>
        <w:gridCol w:w="3080"/>
        <w:gridCol w:w="3082"/>
      </w:tblGrid>
      <w:tr>
        <w:trPr>
          <w:trHeight w:val="2890" w:hRule="exact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263" w:right="-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者，併同決定書發送及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定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6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期</w:t>
            </w:r>
            <w:r>
              <w:rPr>
                <w:rFonts w:ascii="標楷體" w:hAnsi="標楷體" w:cs="標楷體" w:eastAsia="標楷體"/>
                <w:spacing w:val="-10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刊登政府公報，並公布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tabs>
                <w:tab w:pos="2037" w:val="left" w:leader="none"/>
              </w:tabs>
              <w:spacing w:line="20" w:lineRule="atLeast"/>
              <w:ind w:left="101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26.15pt;height:.7pt;mso-position-horizontal-relative:char;mso-position-vertical-relative:line" coordorigin="0,0" coordsize="523,14">
                  <v:group style="position:absolute;left:7;top:7;width:509;height:2" coordorigin="7,7" coordsize="509,2">
                    <v:shape style="position:absolute;left:7;top:7;width:509;height:2" coordorigin="7,7" coordsize="509,0" path="m7,7l516,7e" filled="false" stroked="true" strokeweight=".7000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50.9pt;height:.7pt;mso-position-horizontal-relative:char;mso-position-vertical-relative:line" coordorigin="0,0" coordsize="1018,14">
                  <v:group style="position:absolute;left:7;top:7;width:1004;height:2" coordorigin="7,7" coordsize="1004,2">
                    <v:shape style="position:absolute;left:7;top:7;width:1004;height:2" coordorigin="7,7" coordsize="1004,0" path="m7,7l1011,7e" filled="false" stroked="true" strokeweight=".7000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22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  <w:u w:val="single" w:color="000000"/>
              </w:rPr>
              <w:t>於機關網站。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5" w:lineRule="auto" w:before="46"/>
              <w:ind w:left="263" w:right="7" w:firstLine="506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  <w:u w:val="single" w:color="000000"/>
              </w:rPr>
              <w:t>復審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-240"/>
                <w:sz w:val="24"/>
                <w:szCs w:val="24"/>
              </w:rPr>
              <w:t>決</w:t>
            </w:r>
            <w:r>
              <w:rPr>
                <w:rFonts w:ascii="標楷體" w:hAnsi="標楷體" w:cs="標楷體" w:eastAsia="標楷體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定書有誤寫、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誤算或其他類此之顯然錯 誤者，得依申請或依職權 更正之；其正本與原本不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符者，亦同。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26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見書者，併同決定書發送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6"/>
              <w:ind w:left="26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及刊登公報。</w:t>
            </w:r>
          </w:p>
          <w:p>
            <w:pPr>
              <w:pStyle w:val="TableParagraph"/>
              <w:spacing w:line="275" w:lineRule="auto" w:before="46"/>
              <w:ind w:left="260" w:right="8" w:firstLine="494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6"/>
                <w:sz w:val="24"/>
                <w:szCs w:val="24"/>
              </w:rPr>
              <w:t>決定書有誤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寫</w:t>
            </w:r>
            <w:r>
              <w:rPr>
                <w:rFonts w:ascii="標楷體" w:hAnsi="標楷體" w:cs="標楷體" w:eastAsia="標楷體"/>
                <w:spacing w:val="16"/>
                <w:sz w:val="24"/>
                <w:szCs w:val="24"/>
              </w:rPr>
              <w:t>、誤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算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或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其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他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類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此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之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顯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然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錯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誤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者，得依申請或依職權更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正之；其正本與原本不符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者，亦同。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91" w:hRule="exact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7" w:val="left" w:leader="none"/>
              </w:tabs>
              <w:spacing w:line="299" w:lineRule="exact"/>
              <w:ind w:left="263" w:right="0" w:hanging="24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第二十九條</w:t>
              <w:tab/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復審事件文書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75" w:lineRule="auto" w:before="46"/>
              <w:ind w:left="263" w:right="7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之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達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採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用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郵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務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達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者，應使用保障事件文書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郵務送達證書；派員或囑 託原處分機關、公務人員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75" w:lineRule="auto" w:before="10"/>
              <w:ind w:left="263" w:right="7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  <w:u w:val="single" w:color="000000"/>
              </w:rPr>
              <w:t>服務機關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-240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達者，應由執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行送達人作成送達證書。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4" w:val="left" w:leader="none"/>
              </w:tabs>
              <w:spacing w:line="299" w:lineRule="exact"/>
              <w:ind w:left="260" w:right="0" w:hanging="24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第二十九條</w:t>
              <w:tab/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復審事件文書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75" w:lineRule="auto" w:before="46"/>
              <w:ind w:left="260" w:right="8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之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達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採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用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郵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務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達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者，應使用保障事件文書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郵務送達證書；派員或囑 託原處分機關或該管警察 機關送達者，應由執行送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達人作成送達證書。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618" w:right="0" w:hanging="596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4"/>
                <w:szCs w:val="24"/>
              </w:rPr>
              <w:t>配合本法第七十六條規</w:t>
            </w:r>
          </w:p>
          <w:p>
            <w:pPr>
              <w:pStyle w:val="TableParagraph"/>
              <w:spacing w:line="275" w:lineRule="auto" w:before="46"/>
              <w:ind w:left="618" w:right="22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定，刪除囑託警察機關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送達並增列公務人員服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務機關送達之規定。</w:t>
            </w:r>
          </w:p>
          <w:p>
            <w:pPr>
              <w:pStyle w:val="TableParagraph"/>
              <w:spacing w:line="326" w:lineRule="auto" w:before="11"/>
              <w:ind w:left="23" w:right="125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二、</w:t>
            </w:r>
            <w:r>
              <w:rPr>
                <w:rFonts w:ascii="標楷體" w:hAnsi="標楷體" w:cs="標楷體" w:eastAsia="標楷體"/>
                <w:spacing w:val="-1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相關規定：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公務人員保障法</w:t>
            </w:r>
          </w:p>
          <w:p>
            <w:pPr>
              <w:pStyle w:val="TableParagraph"/>
              <w:spacing w:line="247" w:lineRule="exact"/>
              <w:ind w:left="2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第七十六條：「復審事件文</w:t>
            </w:r>
          </w:p>
          <w:p>
            <w:pPr>
              <w:pStyle w:val="TableParagraph"/>
              <w:spacing w:line="275" w:lineRule="auto" w:before="46"/>
              <w:ind w:left="241" w:right="2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6"/>
                <w:sz w:val="24"/>
                <w:szCs w:val="24"/>
              </w:rPr>
              <w:t>書之送達，應註明復審人 或其代表人、代理人之住 居所、事務所，交付郵務 機構以復審事件文書郵務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送達證書發送。</w:t>
            </w:r>
          </w:p>
          <w:p>
            <w:pPr>
              <w:pStyle w:val="TableParagraph"/>
              <w:spacing w:line="240" w:lineRule="auto" w:before="11"/>
              <w:ind w:left="80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復審事件文書不能為</w:t>
            </w:r>
          </w:p>
          <w:p>
            <w:pPr>
              <w:pStyle w:val="TableParagraph"/>
              <w:spacing w:line="240" w:lineRule="auto" w:before="46"/>
              <w:ind w:left="241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6"/>
                <w:sz w:val="24"/>
                <w:szCs w:val="24"/>
              </w:rPr>
              <w:t>前項之送達時，得由保訓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75" w:lineRule="auto" w:before="46"/>
              <w:ind w:left="241" w:right="-25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45"/>
                <w:sz w:val="24"/>
                <w:szCs w:val="24"/>
              </w:rPr>
              <w:t>會派員或囑託原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處</w:t>
            </w:r>
            <w:r>
              <w:rPr>
                <w:rFonts w:ascii="標楷體" w:hAnsi="標楷體" w:cs="標楷體" w:eastAsia="標楷體"/>
                <w:spacing w:val="-7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45"/>
                <w:sz w:val="24"/>
                <w:szCs w:val="24"/>
              </w:rPr>
              <w:t>分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機</w:t>
            </w:r>
            <w:r>
              <w:rPr>
                <w:rFonts w:ascii="標楷體" w:hAnsi="標楷體" w:cs="標楷體" w:eastAsia="標楷體"/>
                <w:spacing w:val="64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6"/>
                <w:sz w:val="24"/>
                <w:szCs w:val="24"/>
              </w:rPr>
              <w:t>關、公務人員服務機關送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75" w:lineRule="auto" w:before="11"/>
              <w:ind w:left="241" w:right="2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6"/>
                <w:sz w:val="24"/>
                <w:szCs w:val="24"/>
              </w:rPr>
              <w:t>達，並由執行送達人作成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送達證書。</w:t>
            </w:r>
          </w:p>
          <w:p>
            <w:pPr>
              <w:pStyle w:val="TableParagraph"/>
              <w:spacing w:line="275" w:lineRule="auto" w:before="11"/>
              <w:ind w:left="241" w:right="2" w:firstLine="424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復</w:t>
            </w:r>
            <w:r>
              <w:rPr>
                <w:rFonts w:ascii="標楷體" w:hAnsi="標楷體" w:cs="標楷體" w:eastAsia="標楷體"/>
                <w:spacing w:val="-5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審</w:t>
            </w:r>
            <w:r>
              <w:rPr>
                <w:rFonts w:ascii="標楷體" w:hAnsi="標楷體" w:cs="標楷體" w:eastAsia="標楷體"/>
                <w:spacing w:val="-5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事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件</w:t>
            </w:r>
            <w:r>
              <w:rPr>
                <w:rFonts w:ascii="標楷體" w:hAnsi="標楷體" w:cs="標楷體" w:eastAsia="標楷體"/>
                <w:spacing w:val="-5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文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書</w:t>
            </w:r>
            <w:r>
              <w:rPr>
                <w:rFonts w:ascii="標楷體" w:hAnsi="標楷體" w:cs="標楷體" w:eastAsia="標楷體"/>
                <w:spacing w:val="-5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之</w:t>
            </w:r>
            <w:r>
              <w:rPr>
                <w:rFonts w:ascii="標楷體" w:hAnsi="標楷體" w:cs="標楷體" w:eastAsia="標楷體"/>
                <w:spacing w:val="-5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6"/>
                <w:sz w:val="24"/>
                <w:szCs w:val="24"/>
              </w:rPr>
              <w:t>達，除前二項規定外，準</w:t>
            </w:r>
            <w:r>
              <w:rPr>
                <w:rFonts w:ascii="標楷體" w:hAnsi="標楷體" w:cs="標楷體" w:eastAsia="標楷體"/>
                <w:spacing w:val="16"/>
                <w:sz w:val="24"/>
                <w:szCs w:val="24"/>
              </w:rPr>
              <w:t> 用行政訴訟法第六十七條 至第六十九條、第七十一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</w:t>
            </w:r>
            <w:r>
              <w:rPr>
                <w:rFonts w:ascii="標楷體" w:hAnsi="標楷體" w:cs="標楷體" w:eastAsia="標楷體"/>
                <w:spacing w:val="-3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至</w:t>
            </w:r>
            <w:r>
              <w:rPr>
                <w:rFonts w:ascii="標楷體" w:hAnsi="標楷體" w:cs="標楷體" w:eastAsia="標楷體"/>
                <w:spacing w:val="-3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3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八</w:t>
            </w:r>
            <w:r>
              <w:rPr>
                <w:rFonts w:ascii="標楷體" w:hAnsi="標楷體" w:cs="標楷體" w:eastAsia="標楷體"/>
                <w:spacing w:val="-3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十</w:t>
            </w:r>
            <w:r>
              <w:rPr>
                <w:rFonts w:ascii="標楷體" w:hAnsi="標楷體" w:cs="標楷體" w:eastAsia="標楷體"/>
                <w:spacing w:val="-4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三</w:t>
            </w:r>
            <w:r>
              <w:rPr>
                <w:rFonts w:ascii="標楷體" w:hAnsi="標楷體" w:cs="標楷體" w:eastAsia="標楷體"/>
                <w:spacing w:val="-3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</w:t>
            </w:r>
            <w:r>
              <w:rPr>
                <w:rFonts w:ascii="標楷體" w:hAnsi="標楷體" w:cs="標楷體" w:eastAsia="標楷體"/>
                <w:spacing w:val="-4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之</w:t>
            </w:r>
            <w:r>
              <w:rPr>
                <w:rFonts w:ascii="標楷體" w:hAnsi="標楷體" w:cs="標楷體" w:eastAsia="標楷體"/>
                <w:spacing w:val="-3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定。 」</w:t>
            </w:r>
          </w:p>
        </w:tc>
      </w:tr>
      <w:tr>
        <w:trPr>
          <w:trHeight w:val="1450" w:hRule="exact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263" w:right="7" w:hanging="241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第三十四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   </w:t>
            </w:r>
            <w:r>
              <w:rPr>
                <w:rFonts w:ascii="標楷體" w:hAnsi="標楷體" w:cs="標楷體" w:eastAsia="標楷體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  <w:u w:val="single" w:color="000000"/>
              </w:rPr>
              <w:t>復審人或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-240"/>
                <w:sz w:val="24"/>
                <w:szCs w:val="24"/>
              </w:rPr>
              <w:t>再</w:t>
            </w:r>
            <w:r>
              <w:rPr>
                <w:rFonts w:ascii="Times New Roman" w:hAnsi="Times New Roman" w:cs="Times New Roman" w:eastAsia="Times New Roman"/>
                <w:spacing w:val="-24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申</w:t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訴人依本法第八十五條規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定申請調處者，應以書面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為之。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260" w:right="8" w:hanging="24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第三十四條</w:t>
            </w:r>
            <w:r>
              <w:rPr>
                <w:rFonts w:ascii="標楷體" w:hAnsi="標楷體" w:cs="標楷體" w:eastAsia="標楷體"/>
                <w:spacing w:val="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再申訴人依本</w:t>
            </w:r>
            <w:r>
              <w:rPr>
                <w:rFonts w:ascii="標楷體" w:hAnsi="標楷體" w:cs="標楷體" w:eastAsia="標楷體"/>
                <w:spacing w:val="3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法第八十五條規定申請調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處者，應以書面為之。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23" w:right="21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配合本法第八十五條將調處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規定擴大適用於復審事件，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爰增列復審人。</w:t>
            </w:r>
          </w:p>
        </w:tc>
      </w:tr>
      <w:tr>
        <w:trPr>
          <w:trHeight w:val="730" w:hRule="exact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00" w:val="left" w:leader="none"/>
              </w:tabs>
              <w:spacing w:line="299" w:lineRule="exact"/>
              <w:ind w:left="263" w:right="0" w:hanging="24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第三十五條</w:t>
              <w:tab/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復</w:t>
            </w:r>
            <w:r>
              <w:rPr>
                <w:rFonts w:ascii="標楷體" w:hAnsi="標楷體" w:cs="標楷體" w:eastAsia="標楷體"/>
                <w:spacing w:val="-118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8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審</w:t>
            </w:r>
            <w:r>
              <w:rPr>
                <w:rFonts w:ascii="標楷體" w:hAnsi="標楷體" w:cs="標楷體" w:eastAsia="標楷體"/>
                <w:spacing w:val="-118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8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人或</w:t>
            </w:r>
            <w:r>
              <w:rPr>
                <w:rFonts w:ascii="標楷體" w:hAnsi="標楷體" w:cs="標楷體" w:eastAsia="標楷體"/>
                <w:spacing w:val="-118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8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-118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再申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6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訴人申請調處，有下列各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97" w:val="left" w:leader="none"/>
              </w:tabs>
              <w:spacing w:line="299" w:lineRule="exact"/>
              <w:ind w:left="260" w:right="0" w:hanging="24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第三十五條</w:t>
              <w:tab/>
              <w:t>再申訴人申請</w:t>
            </w:r>
          </w:p>
          <w:p>
            <w:pPr>
              <w:pStyle w:val="TableParagraph"/>
              <w:spacing w:line="240" w:lineRule="auto" w:before="46"/>
              <w:ind w:left="26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調處，有下列各款情形之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23" w:right="-1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8"/>
                <w:sz w:val="24"/>
                <w:szCs w:val="24"/>
              </w:rPr>
              <w:t>本條修正理由同第三十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四</w:t>
            </w:r>
            <w:r>
              <w:rPr>
                <w:rFonts w:ascii="標楷體" w:hAnsi="標楷體" w:cs="標楷體" w:eastAsia="標楷體"/>
                <w:spacing w:val="-8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6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條。</w:t>
            </w:r>
          </w:p>
        </w:tc>
      </w:tr>
    </w:tbl>
    <w:p>
      <w:pPr>
        <w:spacing w:after="0" w:line="240" w:lineRule="auto"/>
        <w:jc w:val="left"/>
        <w:rPr>
          <w:rFonts w:ascii="標楷體" w:hAnsi="標楷體" w:cs="標楷體" w:eastAsia="標楷體"/>
          <w:sz w:val="24"/>
          <w:szCs w:val="24"/>
        </w:rPr>
        <w:sectPr>
          <w:pgSz w:w="11910" w:h="16840"/>
          <w:pgMar w:header="0" w:footer="1035" w:top="1340" w:bottom="1220" w:left="1160" w:right="12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3"/>
        <w:gridCol w:w="3084"/>
        <w:gridCol w:w="3078"/>
      </w:tblGrid>
      <w:tr>
        <w:trPr>
          <w:trHeight w:val="4331" w:hRule="exact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款情形之一者，保訓會得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6"/>
              <w:ind w:left="2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拒絕之：</w:t>
            </w:r>
          </w:p>
          <w:p>
            <w:pPr>
              <w:pStyle w:val="TableParagraph"/>
              <w:spacing w:line="240" w:lineRule="auto" w:before="46"/>
              <w:ind w:left="30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</w:t>
            </w:r>
            <w:r>
              <w:rPr>
                <w:rFonts w:ascii="標楷體" w:hAnsi="標楷體" w:cs="標楷體" w:eastAsia="標楷體"/>
                <w:spacing w:val="-3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依調處事由之性質、</w:t>
            </w:r>
          </w:p>
          <w:p>
            <w:pPr>
              <w:pStyle w:val="TableParagraph"/>
              <w:spacing w:line="275" w:lineRule="auto" w:before="46"/>
              <w:ind w:left="875" w:right="19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  <w:u w:val="single" w:color="000000"/>
              </w:rPr>
              <w:t>復審人或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再申訴人之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狀況或其他情事經審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慎評估後，可認為不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能調處或顯無調處之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必要或調處顯無成立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之望者。</w:t>
            </w:r>
          </w:p>
          <w:p>
            <w:pPr>
              <w:pStyle w:val="TableParagraph"/>
              <w:spacing w:line="275" w:lineRule="auto" w:before="11"/>
              <w:ind w:left="875" w:right="20" w:hanging="569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二、</w:t>
            </w:r>
            <w:r>
              <w:rPr>
                <w:rFonts w:ascii="標楷體" w:hAnsi="標楷體" w:cs="標楷體" w:eastAsia="標楷體"/>
                <w:spacing w:val="-3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曾依其他調處（解）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程序經調處（解）不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成立者。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301" w:right="0" w:hanging="4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一者，保訓會得拒絕之：</w:t>
            </w:r>
          </w:p>
          <w:p>
            <w:pPr>
              <w:pStyle w:val="TableParagraph"/>
              <w:spacing w:line="275" w:lineRule="auto" w:before="46"/>
              <w:ind w:left="870" w:right="25" w:hanging="569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</w:t>
            </w:r>
            <w:r>
              <w:rPr>
                <w:rFonts w:ascii="標楷體" w:hAnsi="標楷體" w:cs="標楷體" w:eastAsia="標楷體"/>
                <w:spacing w:val="-3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依調處事由之性質、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再申訴人之狀況或其</w:t>
            </w:r>
          </w:p>
          <w:p>
            <w:pPr>
              <w:pStyle w:val="TableParagraph"/>
              <w:spacing w:line="275" w:lineRule="auto" w:before="11"/>
              <w:ind w:left="870" w:right="-6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6"/>
                <w:sz w:val="24"/>
                <w:szCs w:val="24"/>
              </w:rPr>
              <w:t>他情事經審慎評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估</w:t>
            </w:r>
            <w:r>
              <w:rPr>
                <w:rFonts w:ascii="標楷體" w:hAnsi="標楷體" w:cs="標楷體" w:eastAsia="標楷體"/>
                <w:spacing w:val="42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後，可認為不能調處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或顯無調處之必要或</w:t>
            </w:r>
          </w:p>
          <w:p>
            <w:pPr>
              <w:pStyle w:val="TableParagraph"/>
              <w:spacing w:line="275" w:lineRule="auto" w:before="11"/>
              <w:ind w:left="870" w:right="-6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36"/>
                <w:sz w:val="24"/>
                <w:szCs w:val="24"/>
              </w:rPr>
              <w:t>調處顯無成立之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望</w:t>
            </w:r>
            <w:r>
              <w:rPr>
                <w:rFonts w:ascii="標楷體" w:hAnsi="標楷體" w:cs="標楷體" w:eastAsia="標楷體"/>
                <w:spacing w:val="42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者。</w:t>
            </w:r>
          </w:p>
          <w:p>
            <w:pPr>
              <w:pStyle w:val="TableParagraph"/>
              <w:spacing w:line="275" w:lineRule="auto" w:before="11"/>
              <w:ind w:left="872" w:right="24" w:hanging="569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二、</w:t>
            </w:r>
            <w:r>
              <w:rPr>
                <w:rFonts w:ascii="標楷體" w:hAnsi="標楷體" w:cs="標楷體" w:eastAsia="標楷體"/>
                <w:spacing w:val="-3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曾依其他調處（解）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程序經調處（解）不</w:t>
            </w:r>
            <w:r>
              <w:rPr>
                <w:rFonts w:ascii="標楷體" w:hAnsi="標楷體" w:cs="標楷體" w:eastAsia="標楷體"/>
                <w:spacing w:val="2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成立者。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90" w:hRule="exact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7" w:val="left" w:leader="none"/>
              </w:tabs>
              <w:spacing w:line="299" w:lineRule="exact"/>
              <w:ind w:left="23" w:right="-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第三十六條</w:t>
              <w:tab/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保訓會審理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保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5" w:lineRule="auto" w:before="46"/>
              <w:ind w:left="263" w:right="7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60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障</w:t>
            </w:r>
            <w:r>
              <w:rPr>
                <w:rFonts w:ascii="標楷體" w:hAnsi="標楷體" w:cs="標楷體" w:eastAsia="標楷體"/>
                <w:spacing w:val="-10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-106"/>
                <w:sz w:val="24"/>
                <w:szCs w:val="24"/>
              </w:rPr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事件，依本法第八十五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條第一項規定進行調處， 應經審查會決議，並簽報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主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任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委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員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指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定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人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員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進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之。</w:t>
            </w:r>
          </w:p>
          <w:p>
            <w:pPr>
              <w:pStyle w:val="TableParagraph"/>
              <w:spacing w:line="275" w:lineRule="auto" w:before="11"/>
              <w:ind w:left="263" w:right="25" w:firstLine="47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前項調處之結果，應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向委員會議提出報告。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4" w:val="left" w:leader="none"/>
              </w:tabs>
              <w:spacing w:line="299" w:lineRule="exact"/>
              <w:ind w:left="260" w:right="0" w:hanging="24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9"/>
                <w:sz w:val="24"/>
                <w:szCs w:val="24"/>
              </w:rPr>
              <w:t>第三十六條</w:t>
              <w:tab/>
            </w:r>
            <w:r>
              <w:rPr>
                <w:rFonts w:ascii="標楷體" w:hAnsi="標楷體" w:cs="標楷體" w:eastAsia="標楷體"/>
                <w:spacing w:val="12"/>
                <w:sz w:val="24"/>
                <w:szCs w:val="24"/>
              </w:rPr>
              <w:t>保訓會審理再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75" w:lineRule="auto" w:before="46"/>
              <w:ind w:left="260" w:right="11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申訴事件，依本法第八十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五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一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規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定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進</w:t>
            </w:r>
            <w:r>
              <w:rPr>
                <w:rFonts w:ascii="標楷體" w:hAnsi="標楷體" w:cs="標楷體" w:eastAsia="標楷體"/>
                <w:spacing w:val="-8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行</w:t>
            </w:r>
            <w:r>
              <w:rPr>
                <w:rFonts w:ascii="標楷體" w:hAnsi="標楷體" w:cs="標楷體" w:eastAsia="標楷體"/>
                <w:spacing w:val="-7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調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處，應經審查會決議，並</w:t>
            </w: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 簽報主任委員指定人員進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行之。</w:t>
            </w:r>
          </w:p>
          <w:p>
            <w:pPr>
              <w:pStyle w:val="TableParagraph"/>
              <w:spacing w:line="275" w:lineRule="auto" w:before="11"/>
              <w:ind w:left="260" w:right="30" w:firstLine="48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4"/>
                <w:sz w:val="24"/>
                <w:szCs w:val="24"/>
              </w:rPr>
              <w:t>前項調處之結果，應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向委員會議提出報告。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23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配合本法第八十五條將調處</w:t>
            </w:r>
          </w:p>
          <w:p>
            <w:pPr>
              <w:pStyle w:val="TableParagraph"/>
              <w:spacing w:line="275" w:lineRule="auto" w:before="46"/>
              <w:ind w:left="23" w:right="19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規定擴大適用於復審事件，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爰將復審、再申訴事件簡稱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11"/>
                <w:sz w:val="24"/>
                <w:szCs w:val="24"/>
              </w:rPr>
              <w:t>為保障事件之用語，酌作文</w:t>
            </w:r>
            <w:r>
              <w:rPr>
                <w:rFonts w:ascii="標楷體" w:hAnsi="標楷體" w:cs="標楷體" w:eastAsia="標楷體"/>
                <w:spacing w:val="2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字修正。</w:t>
            </w:r>
          </w:p>
        </w:tc>
      </w:tr>
    </w:tbl>
    <w:sectPr>
      <w:pgSz w:w="11910" w:h="16840"/>
      <w:pgMar w:header="0" w:footer="1035" w:top="1340" w:bottom="1220" w:left="11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09991pt;margin-top:778.161438pt;width:9pt;height:12pt;mso-position-horizontal-relative:page;mso-position-vertical-relative:page;z-index:-2104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0"/>
    </w:pPr>
    <w:rPr>
      <w:rFonts w:ascii="標楷體" w:hAnsi="標楷體" w:eastAsia="標楷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檔案法部分條文修正草案總說明</dc:title>
  <dcterms:created xsi:type="dcterms:W3CDTF">2021-09-15T19:13:03Z</dcterms:created>
  <dcterms:modified xsi:type="dcterms:W3CDTF">2021-09-15T19:13:03Z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2021-09-15T00:00:00Z</vt:filetime>
  </property>
</Properties>
</file>