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4" w:lineRule="exact"/>
        <w:ind w:right="0"/>
        <w:jc w:val="center"/>
        <w:rPr>
          <w:b w:val="0"/>
          <w:bCs w:val="0"/>
        </w:rPr>
      </w:pPr>
      <w:r>
        <w:rPr/>
        <w:t>公務人員保障暨培訓委員會保障事件審議規則</w:t>
      </w:r>
      <w:r>
        <w:rPr>
          <w:b w:val="0"/>
          <w:bCs w:val="0"/>
        </w:rPr>
      </w:r>
    </w:p>
    <w:p>
      <w:pPr>
        <w:spacing w:before="249"/>
        <w:ind w:left="1" w:right="0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/>
          <w:bCs/>
          <w:sz w:val="36"/>
          <w:szCs w:val="36"/>
        </w:rPr>
        <w:t>部分條文修正條文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34"/>
          <w:szCs w:val="34"/>
        </w:rPr>
      </w:pPr>
    </w:p>
    <w:p>
      <w:pPr>
        <w:pStyle w:val="BodyText"/>
        <w:spacing w:line="327" w:lineRule="auto"/>
        <w:ind w:right="109"/>
        <w:jc w:val="both"/>
      </w:pPr>
      <w:r>
        <w:rPr/>
        <w:t>第</w:t>
      </w:r>
      <w:r>
        <w:rPr>
          <w:spacing w:val="8"/>
        </w:rPr>
        <w:t> </w:t>
      </w:r>
      <w:r>
        <w:rPr/>
        <w:t>十</w:t>
      </w:r>
      <w:r>
        <w:rPr>
          <w:spacing w:val="10"/>
        </w:rPr>
        <w:t> </w:t>
      </w:r>
      <w:r>
        <w:rPr/>
        <w:t>條</w:t>
      </w:r>
      <w:r>
        <w:rPr>
          <w:spacing w:val="13"/>
        </w:rPr>
        <w:t> </w:t>
      </w:r>
      <w:r>
        <w:rPr>
          <w:spacing w:val="2"/>
        </w:rPr>
        <w:t>復審人依本法第七條第五項規定，備具書狀敘明理由向保訓</w:t>
      </w:r>
      <w:r>
        <w:rPr>
          <w:spacing w:val="2"/>
        </w:rPr>
        <w:t> 會申請迴避者，準用行政程序法第三十三條第二項及第四項規定</w:t>
      </w:r>
      <w:r>
        <w:rPr>
          <w:spacing w:val="40"/>
        </w:rPr>
        <w:t> </w:t>
      </w:r>
      <w:r>
        <w:rPr/>
        <w:t>辦理。</w:t>
      </w:r>
    </w:p>
    <w:p>
      <w:pPr>
        <w:pStyle w:val="BodyText"/>
        <w:spacing w:line="240" w:lineRule="auto" w:before="30"/>
        <w:ind w:left="2116" w:right="0" w:firstLine="0"/>
        <w:jc w:val="left"/>
      </w:pPr>
      <w:r>
        <w:rPr>
          <w:spacing w:val="1"/>
        </w:rPr>
        <w:t>對保訓會審理保障事件人員申請迴避者，由保訓會委員會議</w:t>
      </w:r>
      <w:r>
        <w:rPr/>
      </w:r>
    </w:p>
    <w:p>
      <w:pPr>
        <w:pStyle w:val="BodyText"/>
        <w:spacing w:line="326" w:lineRule="auto" w:before="135"/>
        <w:ind w:left="1557" w:right="116" w:firstLine="0"/>
        <w:jc w:val="left"/>
      </w:pPr>
      <w:r>
        <w:rPr>
          <w:spacing w:val="1"/>
        </w:rPr>
        <w:t>（以下簡稱委員會議）決議；對協助辦理保障事件人員申請迴避</w:t>
      </w:r>
      <w:r>
        <w:rPr>
          <w:spacing w:val="40"/>
        </w:rPr>
        <w:t> </w:t>
      </w:r>
      <w:r>
        <w:rPr>
          <w:spacing w:val="-1"/>
        </w:rPr>
        <w:t>者，由主任委員決定。</w:t>
      </w:r>
    </w:p>
    <w:p>
      <w:pPr>
        <w:pStyle w:val="BodyText"/>
        <w:spacing w:line="327" w:lineRule="auto" w:before="212"/>
        <w:ind w:right="116"/>
        <w:jc w:val="both"/>
      </w:pPr>
      <w:r>
        <w:rPr>
          <w:spacing w:val="1"/>
        </w:rPr>
        <w:t>第二十八條</w:t>
      </w:r>
      <w:r>
        <w:rPr>
          <w:spacing w:val="16"/>
        </w:rPr>
        <w:t> </w:t>
      </w:r>
      <w:r>
        <w:rPr>
          <w:spacing w:val="2"/>
        </w:rPr>
        <w:t>復審事件經提送委員會議審議決定後，保訓會承辦單位應即</w:t>
      </w:r>
      <w:r>
        <w:rPr>
          <w:spacing w:val="25"/>
        </w:rPr>
        <w:t> </w:t>
      </w:r>
      <w:r>
        <w:rPr>
          <w:spacing w:val="2"/>
        </w:rPr>
        <w:t>製作決定書原本，送主任委員判行作成正本，於決定後十五日內</w:t>
      </w:r>
      <w:r>
        <w:rPr>
          <w:spacing w:val="40"/>
        </w:rPr>
        <w:t> </w:t>
      </w:r>
      <w:r>
        <w:rPr>
          <w:spacing w:val="-1"/>
        </w:rPr>
        <w:t>送達復審人及原處分機關。</w:t>
      </w:r>
    </w:p>
    <w:p>
      <w:pPr>
        <w:pStyle w:val="BodyText"/>
        <w:spacing w:line="327" w:lineRule="auto" w:before="30"/>
        <w:ind w:left="1557" w:right="105" w:firstLine="559"/>
        <w:jc w:val="both"/>
      </w:pPr>
      <w:r>
        <w:rPr>
          <w:spacing w:val="1"/>
        </w:rPr>
        <w:t>復審決定書應記載參與決定之主任委員、副主任委員及委員</w:t>
      </w:r>
      <w:r>
        <w:rPr>
          <w:spacing w:val="40"/>
        </w:rPr>
        <w:t> </w:t>
      </w:r>
      <w:r>
        <w:rPr>
          <w:spacing w:val="1"/>
        </w:rPr>
        <w:t>姓名；其有不同意見書或協同意見書者，併同決定書發送及定期</w:t>
      </w:r>
      <w:r>
        <w:rPr>
          <w:spacing w:val="40"/>
        </w:rPr>
        <w:t> </w:t>
      </w:r>
      <w:r>
        <w:rPr>
          <w:spacing w:val="-1"/>
        </w:rPr>
        <w:t>刊登政府公報，並公布於機關網站。</w:t>
      </w:r>
    </w:p>
    <w:p>
      <w:pPr>
        <w:pStyle w:val="BodyText"/>
        <w:spacing w:line="328" w:lineRule="auto" w:before="30"/>
        <w:ind w:left="1557" w:right="112" w:firstLine="559"/>
        <w:jc w:val="both"/>
      </w:pPr>
      <w:r>
        <w:rPr>
          <w:spacing w:val="1"/>
        </w:rPr>
        <w:t>復審決定書有誤寫、誤算或其他類此之顯然錯誤者，得依申</w:t>
      </w:r>
      <w:r>
        <w:rPr>
          <w:spacing w:val="36"/>
        </w:rPr>
        <w:t> </w:t>
      </w:r>
      <w:r>
        <w:rPr>
          <w:spacing w:val="-1"/>
        </w:rPr>
        <w:t>請或依職權更正之；其正本與原本不符者，亦同。</w:t>
      </w:r>
    </w:p>
    <w:p>
      <w:pPr>
        <w:pStyle w:val="BodyText"/>
        <w:spacing w:line="327" w:lineRule="auto" w:before="209"/>
        <w:ind w:right="116"/>
        <w:jc w:val="both"/>
      </w:pPr>
      <w:r>
        <w:rPr>
          <w:spacing w:val="1"/>
        </w:rPr>
        <w:t>第二十九條</w:t>
      </w:r>
      <w:r>
        <w:rPr>
          <w:spacing w:val="16"/>
        </w:rPr>
        <w:t> </w:t>
      </w:r>
      <w:r>
        <w:rPr>
          <w:spacing w:val="2"/>
        </w:rPr>
        <w:t>復審事件文書之送達，採用郵務送達者，應使用保障事件文</w:t>
      </w:r>
      <w:r>
        <w:rPr>
          <w:spacing w:val="25"/>
        </w:rPr>
        <w:t> </w:t>
      </w:r>
      <w:r>
        <w:rPr>
          <w:spacing w:val="2"/>
        </w:rPr>
        <w:t>書郵務送達證書；派員或囑託原處分機關、公務人員服務機關送</w:t>
      </w:r>
      <w:r>
        <w:rPr>
          <w:spacing w:val="40"/>
        </w:rPr>
        <w:t> </w:t>
      </w:r>
      <w:r>
        <w:rPr>
          <w:spacing w:val="-2"/>
        </w:rPr>
        <w:t>達者，應由執行送達人作成送達證書。</w:t>
      </w:r>
    </w:p>
    <w:p>
      <w:pPr>
        <w:pStyle w:val="BodyText"/>
        <w:spacing w:line="326" w:lineRule="auto" w:before="210"/>
        <w:ind w:right="116"/>
        <w:jc w:val="both"/>
      </w:pPr>
      <w:r>
        <w:rPr>
          <w:spacing w:val="1"/>
        </w:rPr>
        <w:t>第三十四條</w:t>
      </w:r>
      <w:r>
        <w:rPr>
          <w:spacing w:val="16"/>
        </w:rPr>
        <w:t> </w:t>
      </w:r>
      <w:r>
        <w:rPr>
          <w:spacing w:val="2"/>
        </w:rPr>
        <w:t>復審人或再申訴人依本法第八十五條規定申請調處者，應以</w:t>
      </w:r>
      <w:r>
        <w:rPr>
          <w:spacing w:val="25"/>
        </w:rPr>
        <w:t> </w:t>
      </w:r>
      <w:r>
        <w:rPr>
          <w:spacing w:val="-1"/>
        </w:rPr>
        <w:t>書面為之。</w:t>
      </w:r>
    </w:p>
    <w:p>
      <w:pPr>
        <w:pStyle w:val="BodyText"/>
        <w:spacing w:line="326" w:lineRule="auto" w:before="214"/>
        <w:ind w:right="114"/>
        <w:jc w:val="both"/>
      </w:pPr>
      <w:r>
        <w:rPr>
          <w:spacing w:val="1"/>
        </w:rPr>
        <w:t>第三十五條</w:t>
      </w:r>
      <w:r>
        <w:rPr>
          <w:spacing w:val="16"/>
        </w:rPr>
        <w:t> </w:t>
      </w:r>
      <w:r>
        <w:rPr>
          <w:spacing w:val="2"/>
        </w:rPr>
        <w:t>復審人或再申訴人申請調處，有下列各款情形之一者，保訓</w:t>
      </w:r>
      <w:r>
        <w:rPr>
          <w:spacing w:val="26"/>
        </w:rPr>
        <w:t> </w:t>
      </w:r>
      <w:r>
        <w:rPr>
          <w:spacing w:val="-1"/>
        </w:rPr>
        <w:t>會得拒絕之：</w:t>
      </w:r>
    </w:p>
    <w:p>
      <w:pPr>
        <w:pStyle w:val="BodyText"/>
        <w:spacing w:line="327" w:lineRule="auto" w:before="31"/>
        <w:ind w:left="2656" w:right="114" w:hanging="560"/>
        <w:jc w:val="both"/>
      </w:pPr>
      <w:r>
        <w:rPr>
          <w:spacing w:val="2"/>
        </w:rPr>
        <w:t>一、依調處事由之性質、復審人或再申訴人之狀況或其他情</w:t>
      </w:r>
      <w:r>
        <w:rPr>
          <w:spacing w:val="24"/>
        </w:rPr>
        <w:t> </w:t>
      </w:r>
      <w:r>
        <w:rPr>
          <w:spacing w:val="2"/>
        </w:rPr>
        <w:t>事經審慎評估後，可認為不能調處或顯無調處之必要或</w:t>
      </w:r>
      <w:r>
        <w:rPr>
          <w:spacing w:val="32"/>
        </w:rPr>
        <w:t> </w:t>
      </w:r>
      <w:r>
        <w:rPr>
          <w:spacing w:val="-1"/>
        </w:rPr>
        <w:t>調處顯無成立之望者。</w:t>
      </w:r>
    </w:p>
    <w:p>
      <w:pPr>
        <w:spacing w:after="0" w:line="327" w:lineRule="auto"/>
        <w:jc w:val="both"/>
        <w:sectPr>
          <w:type w:val="continuous"/>
          <w:pgSz w:w="11910" w:h="16840"/>
          <w:pgMar w:top="1220" w:bottom="280" w:left="1160" w:right="1160"/>
        </w:sectPr>
      </w:pPr>
    </w:p>
    <w:p>
      <w:pPr>
        <w:pStyle w:val="BodyText"/>
        <w:spacing w:line="351" w:lineRule="exact"/>
        <w:ind w:left="2097" w:right="0" w:firstLine="0"/>
        <w:jc w:val="left"/>
      </w:pPr>
      <w:r>
        <w:rPr>
          <w:spacing w:val="-1"/>
        </w:rPr>
        <w:t>二、曾依其他調處（解）程序經調處（解）不成立者。</w:t>
      </w:r>
    </w:p>
    <w:p>
      <w:pPr>
        <w:spacing w:line="240" w:lineRule="auto" w:before="2"/>
        <w:rPr>
          <w:rFonts w:ascii="標楷體" w:hAnsi="標楷體" w:cs="標楷體" w:eastAsia="標楷體"/>
          <w:sz w:val="24"/>
          <w:szCs w:val="24"/>
        </w:rPr>
      </w:pPr>
    </w:p>
    <w:p>
      <w:pPr>
        <w:pStyle w:val="BodyText"/>
        <w:tabs>
          <w:tab w:pos="2106" w:val="left" w:leader="none"/>
        </w:tabs>
        <w:spacing w:line="326" w:lineRule="auto"/>
        <w:ind w:right="116"/>
        <w:jc w:val="left"/>
      </w:pPr>
      <w:r>
        <w:rPr>
          <w:spacing w:val="1"/>
        </w:rPr>
        <w:t>第三十六條</w:t>
        <w:tab/>
      </w:r>
      <w:r>
        <w:rPr>
          <w:spacing w:val="2"/>
        </w:rPr>
        <w:t>保訓會審理保障事件，依本法第八十五條第一項規定進行調</w:t>
      </w:r>
      <w:r>
        <w:rPr>
          <w:spacing w:val="25"/>
        </w:rPr>
        <w:t> </w:t>
      </w:r>
      <w:r>
        <w:rPr>
          <w:spacing w:val="-2"/>
        </w:rPr>
        <w:t>處，應經審查會決議，並簽報主任委員指定人員進行之。</w:t>
      </w:r>
    </w:p>
    <w:p>
      <w:pPr>
        <w:pStyle w:val="BodyText"/>
        <w:spacing w:line="240" w:lineRule="auto" w:before="31"/>
        <w:ind w:left="2116" w:right="0" w:firstLine="0"/>
        <w:jc w:val="left"/>
      </w:pPr>
      <w:r>
        <w:rPr>
          <w:spacing w:val="-1"/>
        </w:rPr>
        <w:t>前項調處之結果，應向委員會議提出報告。</w:t>
      </w:r>
    </w:p>
    <w:sectPr>
      <w:pgSz w:w="11910" w:h="16840"/>
      <w:pgMar w:top="122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6" w:hanging="1400"/>
    </w:pPr>
    <w:rPr>
      <w:rFonts w:ascii="標楷體" w:hAnsi="標楷體" w:eastAsia="標楷體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c283_薛瑞慶</dc:creator>
  <dc:title>公務人員因公傷殘死亡慰問金發給辦法部分條文修正條文</dc:title>
  <dcterms:created xsi:type="dcterms:W3CDTF">2021-09-15T19:13:18Z</dcterms:created>
  <dcterms:modified xsi:type="dcterms:W3CDTF">2021-09-15T19:13:18Z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2021-09-15T00:00:00Z</vt:filetime>
  </property>
</Properties>
</file>