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F2" w:rsidRPr="00393074" w:rsidRDefault="006F26CF" w:rsidP="00F66AF2">
      <w:pPr>
        <w:jc w:val="center"/>
      </w:pPr>
      <w:r>
        <w:rPr>
          <w:rFonts w:ascii="標楷體" w:eastAsia="標楷體" w:hAnsi="標楷體" w:hint="eastAsia"/>
          <w:sz w:val="36"/>
          <w:szCs w:val="36"/>
        </w:rPr>
        <w:t>公務人員因公涉訟輔助辦法</w:t>
      </w:r>
      <w:bookmarkStart w:id="0" w:name="_GoBack"/>
      <w:bookmarkEnd w:id="0"/>
    </w:p>
    <w:tbl>
      <w:tblPr>
        <w:tblW w:w="9072" w:type="dxa"/>
        <w:tblInd w:w="-426" w:type="dxa"/>
        <w:tblLayout w:type="fixed"/>
        <w:tblLook w:val="04A0" w:firstRow="1" w:lastRow="0" w:firstColumn="1" w:lastColumn="0" w:noHBand="0" w:noVBand="1"/>
      </w:tblPr>
      <w:tblGrid>
        <w:gridCol w:w="9072"/>
      </w:tblGrid>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一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本辦法依公務人員保障法（以下簡稱本法）第二十二條第三項規定訂定之。</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二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本法第三條及第一百零二條第一項所定人員，依法執行職務之涉訟輔助，依本辦法規定行之。</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三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本法第二十二條第一項所定依法執行職務，應由服務機關就該公務人員之職務權限範圍，認定是否依法令規定，執行其職務。</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四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公務人員因其長官依本法第十七條第一項規定，所署名下達之書面命令執行職務涉訟者，視為依法執行職務。但其長官命令有違反刑事法律者，不得視為依法執行職務。</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五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本法第二十二條第一項所稱涉訟，指依法執行職務，而涉及民事、刑事訴訟案件。</w:t>
            </w:r>
          </w:p>
          <w:p w:rsidR="00F66AF2" w:rsidRPr="00393074" w:rsidRDefault="00F66AF2" w:rsidP="00694670">
            <w:pPr>
              <w:spacing w:line="500" w:lineRule="exact"/>
              <w:ind w:leftChars="581" w:left="1397" w:hangingChars="1" w:hanging="3"/>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前項所稱涉及民事、刑事訴訟案件，指在民事訴訟為原告、被告或參加人；在刑事訴訟偵查程序或審判程序為自訴人、告訴人、犯罪嫌疑人或被告。</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六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本法第二十二條第一項所稱輔助，係指服務機關為公務人員延聘律師，或公務人員自行延聘律師後，向服務機關申請涉訟輔助。</w:t>
            </w:r>
          </w:p>
          <w:p w:rsidR="00F66AF2" w:rsidRPr="00393074" w:rsidRDefault="00694670"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依本法第二十二條第一項延聘律師為公務人員辯護及提供法律上之協助，指延聘律師為公務人員提供法律諮詢、文書代撰、代理訴訟、辯護、交涉協商及其他法律事務上之必要服務。</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七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公務人員依法執行職務涉訟，由服務機關為其延聘律師者，人選應先徵得該公務人員之同意。</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　八　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公務人員依法執行職務涉訟，自行延聘律師者，應以申請書敘明涉訟輔助之事由，並檢具證明文件，向服務機關申請核</w:t>
            </w:r>
            <w:r w:rsidRPr="00393074">
              <w:rPr>
                <w:rFonts w:ascii="標楷體" w:eastAsia="標楷體" w:hAnsi="標楷體" w:hint="eastAsia"/>
                <w:color w:val="000000" w:themeColor="text1"/>
                <w:sz w:val="28"/>
                <w:szCs w:val="28"/>
              </w:rPr>
              <w:lastRenderedPageBreak/>
              <w:t>發其延聘律師之費用。</w:t>
            </w:r>
          </w:p>
          <w:p w:rsidR="00F66AF2" w:rsidRPr="00393074" w:rsidRDefault="00694670"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服務機關受理前項申請，應於受理之次日起一個月內作成決定。未能於期限內決定者，得延長之，並通知申請人。延長以一次為限，最長不得逾一個月。</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lastRenderedPageBreak/>
              <w:t>第</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九</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 xml:space="preserve">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公務人員對其服務機關涉訟者，不得給予涉訟輔助。</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第</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十</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 xml:space="preserve">條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機關首長依法執行職務涉訟者，其涉訟輔助事項，除中央一級機關自行決定外，應由具有行政監督權限之上級機關決定之；其涉訟輔助費用由服務機</w:t>
            </w:r>
            <w:r w:rsidRPr="00393074">
              <w:rPr>
                <w:rFonts w:ascii="標楷體" w:eastAsia="標楷體" w:hAnsi="標楷體"/>
                <w:color w:val="000000" w:themeColor="text1"/>
                <w:sz w:val="28"/>
                <w:szCs w:val="28"/>
              </w:rPr>
              <w:t>關</w:t>
            </w:r>
            <w:r w:rsidRPr="00393074">
              <w:rPr>
                <w:rFonts w:ascii="標楷體" w:eastAsia="標楷體" w:hAnsi="標楷體" w:hint="eastAsia"/>
                <w:color w:val="000000" w:themeColor="text1"/>
                <w:sz w:val="28"/>
                <w:szCs w:val="28"/>
              </w:rPr>
              <w:t>發給。</w:t>
            </w:r>
          </w:p>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694670"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機關首長前於本機關擔任非首長職務涉訟者，依前項規定辦理涉訟輔助。</w:t>
            </w:r>
          </w:p>
        </w:tc>
      </w:tr>
      <w:tr w:rsidR="00F66AF2" w:rsidRPr="00393074" w:rsidTr="00694670">
        <w:tc>
          <w:tcPr>
            <w:tcW w:w="9072" w:type="dxa"/>
          </w:tcPr>
          <w:p w:rsidR="00F66AF2" w:rsidRPr="00393074" w:rsidRDefault="00F66AF2" w:rsidP="00EC3AC5">
            <w:pPr>
              <w:spacing w:line="500" w:lineRule="exact"/>
              <w:ind w:left="1326" w:hangingChars="390" w:hanging="1326"/>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第十一條</w:t>
            </w: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公務人員於調職或離職後，因原任職期間依法執行職務涉訟者，應由其原服務機關辦理涉訟輔助。</w:t>
            </w:r>
          </w:p>
          <w:p w:rsidR="00EC3AC5" w:rsidRPr="00393074" w:rsidRDefault="00F66AF2" w:rsidP="00EC3AC5">
            <w:pPr>
              <w:spacing w:line="500" w:lineRule="exact"/>
              <w:ind w:leftChars="250" w:left="1448" w:hangingChars="303" w:hanging="848"/>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機關首長調職或離職後，因原任職期間依法執行職務涉訟者，其涉訟輔助事項，除中央一級機關自行決定外，應由其原具有行政監督權限之上級機關決定之；其涉訟輔助費用由原服務機關發給。</w:t>
            </w:r>
          </w:p>
          <w:p w:rsidR="00F66AF2" w:rsidRPr="00393074" w:rsidRDefault="00EC3AC5" w:rsidP="00EC3AC5">
            <w:pPr>
              <w:spacing w:line="500" w:lineRule="exact"/>
              <w:ind w:leftChars="250" w:left="1448" w:hangingChars="303" w:hanging="848"/>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前二項辦理涉訟輔助機關裁撤或組織變更者，應由該涉訟業務承受機關辦理涉訟輔助。</w:t>
            </w:r>
          </w:p>
        </w:tc>
      </w:tr>
      <w:tr w:rsidR="00F66AF2" w:rsidRPr="00393074" w:rsidTr="00694670">
        <w:tc>
          <w:tcPr>
            <w:tcW w:w="9072" w:type="dxa"/>
          </w:tcPr>
          <w:p w:rsidR="00F66AF2" w:rsidRPr="00393074" w:rsidRDefault="00F66AF2" w:rsidP="00694670">
            <w:pPr>
              <w:spacing w:line="500" w:lineRule="exact"/>
              <w:ind w:left="1700" w:hangingChars="500" w:hanging="1700"/>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第十二條</w:t>
            </w: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各機關應組成審查小組，審查公務人員涉訟輔助事件。</w:t>
            </w:r>
          </w:p>
          <w:p w:rsidR="00F66AF2" w:rsidRPr="00393074" w:rsidRDefault="00F66AF2" w:rsidP="00EC3AC5">
            <w:pPr>
              <w:spacing w:line="500" w:lineRule="exact"/>
              <w:ind w:leftChars="73" w:left="1399" w:hangingChars="437" w:hanging="122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審查小組成員包含人事、政風、法制、該涉訟業務單位及其他適當人員。</w:t>
            </w:r>
          </w:p>
        </w:tc>
      </w:tr>
      <w:tr w:rsidR="00F66AF2" w:rsidRPr="00393074" w:rsidTr="00694670">
        <w:tc>
          <w:tcPr>
            <w:tcW w:w="9072" w:type="dxa"/>
          </w:tcPr>
          <w:p w:rsidR="00F66AF2" w:rsidRPr="00393074" w:rsidRDefault="00F66AF2" w:rsidP="00EC3AC5">
            <w:pPr>
              <w:spacing w:line="500" w:lineRule="exact"/>
              <w:ind w:left="1275" w:hangingChars="375" w:hanging="1275"/>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第十三條</w:t>
            </w: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輔助延聘律師之費用，應檢據覈實報支，於偵查每一程序、民事或刑事訴訟每一審級、再</w:t>
            </w:r>
            <w:r w:rsidRPr="00393074">
              <w:rPr>
                <w:rFonts w:ascii="標楷體" w:eastAsia="標楷體" w:hAnsi="標楷體"/>
                <w:color w:val="000000" w:themeColor="text1"/>
                <w:sz w:val="28"/>
                <w:szCs w:val="28"/>
              </w:rPr>
              <w:t>審</w:t>
            </w:r>
            <w:r w:rsidRPr="00393074">
              <w:rPr>
                <w:rFonts w:ascii="標楷體" w:eastAsia="標楷體" w:hAnsi="標楷體" w:hint="eastAsia"/>
                <w:color w:val="000000" w:themeColor="text1"/>
                <w:sz w:val="28"/>
                <w:szCs w:val="28"/>
              </w:rPr>
              <w:t>及聲請非常上訴</w:t>
            </w:r>
            <w:r w:rsidRPr="00393074">
              <w:rPr>
                <w:rFonts w:ascii="標楷體" w:eastAsia="標楷體" w:hAnsi="標楷體"/>
                <w:color w:val="000000" w:themeColor="text1"/>
                <w:sz w:val="28"/>
                <w:szCs w:val="28"/>
              </w:rPr>
              <w:t>程序</w:t>
            </w:r>
            <w:r w:rsidRPr="00393074">
              <w:rPr>
                <w:rFonts w:ascii="標楷體" w:eastAsia="標楷體" w:hAnsi="標楷體" w:hint="eastAsia"/>
                <w:color w:val="000000" w:themeColor="text1"/>
                <w:sz w:val="28"/>
                <w:szCs w:val="28"/>
              </w:rPr>
              <w:t>，每案不得超過前一年度稽徵機關核算執行業務者收入標準之二倍。</w:t>
            </w:r>
          </w:p>
          <w:p w:rsidR="00F66AF2" w:rsidRPr="00393074" w:rsidRDefault="00F66AF2" w:rsidP="00EC3AC5">
            <w:pPr>
              <w:spacing w:line="500" w:lineRule="exact"/>
              <w:ind w:leftChars="225" w:left="1164" w:hangingChars="223" w:hanging="62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前項延聘律師之費用，由服務機關預算支應。</w:t>
            </w:r>
          </w:p>
          <w:p w:rsidR="00F66AF2" w:rsidRPr="00393074" w:rsidRDefault="00F66AF2" w:rsidP="00EC3AC5">
            <w:pPr>
              <w:spacing w:line="500" w:lineRule="exact"/>
              <w:ind w:leftChars="221" w:left="1364" w:hangingChars="298" w:hanging="83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EC3AC5"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本法第二十四條之一第一款第二目所定之依法執行職務涉訟輔助費用請求權，自得申請之日起，因十年間不行使而消</w:t>
            </w:r>
            <w:r w:rsidRPr="00393074">
              <w:rPr>
                <w:rFonts w:ascii="標楷體" w:eastAsia="標楷體" w:hAnsi="標楷體" w:hint="eastAsia"/>
                <w:color w:val="000000" w:themeColor="text1"/>
                <w:sz w:val="28"/>
                <w:szCs w:val="28"/>
              </w:rPr>
              <w:lastRenderedPageBreak/>
              <w:t>滅。但因不可抗力之事由，致不能行使者，自該請求權可行使時起算。</w:t>
            </w:r>
          </w:p>
        </w:tc>
      </w:tr>
      <w:tr w:rsidR="00F66AF2" w:rsidRPr="00393074" w:rsidTr="00694670">
        <w:tc>
          <w:tcPr>
            <w:tcW w:w="9072" w:type="dxa"/>
          </w:tcPr>
          <w:p w:rsidR="00F66AF2" w:rsidRPr="00393074" w:rsidRDefault="00F66AF2" w:rsidP="00EF3F2E">
            <w:pPr>
              <w:spacing w:line="500" w:lineRule="exact"/>
              <w:ind w:left="1289" w:hangingChars="379" w:hanging="1289"/>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lastRenderedPageBreak/>
              <w:t>第十四條</w:t>
            </w:r>
            <w:r w:rsidR="00EF3F2E" w:rsidRPr="00393074">
              <w:rPr>
                <w:rFonts w:ascii="標楷體" w:eastAsia="標楷體" w:hAnsi="標楷體" w:hint="eastAsia"/>
                <w:color w:val="000000" w:themeColor="text1"/>
                <w:kern w:val="0"/>
                <w:sz w:val="28"/>
                <w:szCs w:val="28"/>
              </w:rPr>
              <w:t xml:space="preserve">　　</w:t>
            </w:r>
            <w:r w:rsidRPr="00393074">
              <w:rPr>
                <w:rFonts w:ascii="標楷體" w:eastAsia="標楷體" w:hAnsi="標楷體" w:hint="eastAsia"/>
                <w:color w:val="000000" w:themeColor="text1"/>
                <w:sz w:val="28"/>
                <w:szCs w:val="28"/>
              </w:rPr>
              <w:t>公務人員經服務機關認定非依法執行職務不予涉訟輔助後，其訴訟案件有下列各款情形之一者，得於確定之日起檢具證明文件以書面重行向服務機關申請輔助延聘律師之費用：</w:t>
            </w:r>
          </w:p>
          <w:p w:rsidR="00F66AF2" w:rsidRPr="00393074" w:rsidRDefault="00F66AF2" w:rsidP="00EF3F2E">
            <w:pPr>
              <w:numPr>
                <w:ilvl w:val="1"/>
                <w:numId w:val="1"/>
              </w:numPr>
              <w:spacing w:line="500" w:lineRule="exact"/>
              <w:ind w:leftChars="825" w:left="2540" w:hangingChars="200" w:hanging="56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經不起訴處分確定。但不包括依刑事訴訟法第二百五十三條及第二百五十四條所為之不起訴處分。</w:t>
            </w:r>
          </w:p>
          <w:p w:rsidR="00F66AF2" w:rsidRPr="00393074" w:rsidRDefault="00F66AF2" w:rsidP="00EF3F2E">
            <w:pPr>
              <w:numPr>
                <w:ilvl w:val="1"/>
                <w:numId w:val="1"/>
              </w:numPr>
              <w:spacing w:line="500" w:lineRule="exact"/>
              <w:ind w:leftChars="825" w:left="2540" w:hangingChars="200" w:hanging="56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經裁判確定，認無民事或刑事責任。</w:t>
            </w:r>
          </w:p>
          <w:p w:rsidR="00EF3F2E" w:rsidRPr="00393074" w:rsidRDefault="00EF3F2E" w:rsidP="00EF3F2E">
            <w:pPr>
              <w:spacing w:line="500" w:lineRule="exact"/>
              <w:ind w:leftChars="-107" w:left="1440" w:hangingChars="606" w:hanging="1697"/>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服務機關受理前項申請，應依本法及本辦法規定重行認定，並自受理之次日起一個月內作成決定。未能於期限內決定者，得延長之，並通知申請人。延長以一次為限，最長不得逾一個月。</w:t>
            </w:r>
          </w:p>
          <w:p w:rsidR="00EF3F2E" w:rsidRPr="00393074" w:rsidRDefault="00EF3F2E" w:rsidP="00EF3F2E">
            <w:pPr>
              <w:spacing w:line="500" w:lineRule="exact"/>
              <w:ind w:leftChars="14" w:left="1440" w:hangingChars="502" w:hanging="1406"/>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公務人員經依法移付懲戒或移送監察院審查者，其依第一項規定重行申請輔助延聘律師之費用時，服務機關應俟懲戒機關審理結果或監察院審查彈劾不成立後，再行認定是否給予涉訟輔助。</w:t>
            </w:r>
          </w:p>
          <w:p w:rsidR="00F66AF2" w:rsidRPr="00393074" w:rsidRDefault="00EF3F2E" w:rsidP="00EF3F2E">
            <w:pPr>
              <w:spacing w:line="500" w:lineRule="exact"/>
              <w:ind w:leftChars="14" w:left="1440" w:hangingChars="502" w:hanging="1406"/>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第一項規定之重行申請，應自不起訴處分或裁判確定之日起三個月內為之。</w:t>
            </w:r>
          </w:p>
          <w:p w:rsidR="00F66AF2" w:rsidRPr="00393074" w:rsidRDefault="00D56FDD" w:rsidP="00D56FDD">
            <w:pPr>
              <w:spacing w:line="500" w:lineRule="exact"/>
              <w:ind w:leftChars="139" w:left="1448" w:hangingChars="398" w:hanging="111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本辦法修正生效前，有第一項規定重行申請事由，且尚未屆滿五年期間者，自本辦法修正生效之日起，於三個月內為之。</w:t>
            </w:r>
          </w:p>
        </w:tc>
      </w:tr>
      <w:tr w:rsidR="00F66AF2" w:rsidRPr="00393074" w:rsidTr="00694670">
        <w:tc>
          <w:tcPr>
            <w:tcW w:w="9072" w:type="dxa"/>
          </w:tcPr>
          <w:p w:rsidR="00F66AF2" w:rsidRPr="00393074" w:rsidRDefault="00F66AF2" w:rsidP="00D56FDD">
            <w:pPr>
              <w:spacing w:line="500" w:lineRule="exact"/>
              <w:ind w:left="1275" w:hangingChars="375" w:hanging="1275"/>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第十五條</w:t>
            </w:r>
            <w:r w:rsidR="00D56FDD" w:rsidRPr="00393074">
              <w:rPr>
                <w:rFonts w:ascii="標楷體" w:eastAsia="標楷體" w:hAnsi="標楷體" w:hint="eastAsia"/>
                <w:color w:val="000000" w:themeColor="text1"/>
                <w:kern w:val="0"/>
                <w:sz w:val="28"/>
                <w:szCs w:val="28"/>
              </w:rPr>
              <w:t xml:space="preserve">　　</w:t>
            </w:r>
            <w:r w:rsidRPr="00393074">
              <w:rPr>
                <w:rFonts w:ascii="標楷體" w:eastAsia="標楷體" w:hAnsi="標楷體" w:hint="eastAsia"/>
                <w:color w:val="000000" w:themeColor="text1"/>
                <w:sz w:val="28"/>
                <w:szCs w:val="28"/>
              </w:rPr>
              <w:t>給予涉訟輔助之公務人員，所涉訴訟案件，其律師費用依法或依約定全部或一部應由他造負擔者，就他造已給付部分應繳還之。其未繳還者，涉訟輔助機關應以書面行政處分確認返還範圍，並限期命其繳還。</w:t>
            </w:r>
          </w:p>
        </w:tc>
      </w:tr>
      <w:tr w:rsidR="00F66AF2" w:rsidRPr="00393074" w:rsidTr="00694670">
        <w:tc>
          <w:tcPr>
            <w:tcW w:w="9072" w:type="dxa"/>
          </w:tcPr>
          <w:p w:rsidR="00F66AF2" w:rsidRPr="00393074" w:rsidRDefault="00F66AF2" w:rsidP="00D56FDD">
            <w:pPr>
              <w:spacing w:line="500" w:lineRule="exact"/>
              <w:ind w:left="1275" w:hangingChars="375" w:hanging="1275"/>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第十六條</w:t>
            </w:r>
            <w:r w:rsidRPr="00393074">
              <w:rPr>
                <w:rFonts w:ascii="標楷體" w:eastAsia="標楷體" w:hAnsi="標楷體" w:hint="eastAsia"/>
                <w:color w:val="000000" w:themeColor="text1"/>
                <w:sz w:val="28"/>
                <w:szCs w:val="28"/>
              </w:rPr>
              <w:t xml:space="preserve">　</w:t>
            </w:r>
            <w:r w:rsidR="00D56FD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給予涉訟輔助之公務人員，於刑事訴訟案件，經法院判決有罪確定；或經檢察官依刑事訴訟法第二百五十三條、第二百</w:t>
            </w:r>
            <w:r w:rsidRPr="00393074">
              <w:rPr>
                <w:rFonts w:ascii="標楷體" w:eastAsia="標楷體" w:hAnsi="標楷體" w:hint="eastAsia"/>
                <w:color w:val="000000" w:themeColor="text1"/>
                <w:sz w:val="28"/>
                <w:szCs w:val="28"/>
              </w:rPr>
              <w:lastRenderedPageBreak/>
              <w:t>五十四條予以不起訴處分或依第二百五十三條之一予以緩起訴處分確定後，涉訟輔助機關應以書面行政處分確認返還範圍，限期命其繳還涉訟輔助費用。</w:t>
            </w:r>
          </w:p>
          <w:p w:rsidR="00F66AF2" w:rsidRPr="00393074" w:rsidRDefault="00D56FDD" w:rsidP="00D56FDD">
            <w:pPr>
              <w:spacing w:line="500" w:lineRule="exact"/>
              <w:ind w:leftChars="110" w:left="1378" w:hangingChars="398" w:hanging="111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前項情形以外，給予涉訟輔助之公務人員，其訴訟案件於其他不起訴處分、裁判或懲戒判決確定後，涉訟輔助機關應重行審查，經審認有故意或重大過失者，應以書面行政處分確認返還範圍，限期命其繳還涉訟輔助費用。</w:t>
            </w:r>
          </w:p>
          <w:p w:rsidR="00F66AF2" w:rsidRPr="00393074" w:rsidRDefault="00D56FDD" w:rsidP="00D56FDD">
            <w:pPr>
              <w:spacing w:line="500" w:lineRule="exact"/>
              <w:ind w:leftChars="110" w:left="1367" w:hangingChars="394" w:hanging="1103"/>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給予涉訟輔助之公務人員，其訴訟案件於不起訴處分、緩起訴處分、裁判或懲戒判決確定後，應即檢具不起訴處分書、緩起訴處分書或歷審裁判書，向涉訟輔助機關報告。</w:t>
            </w:r>
          </w:p>
        </w:tc>
      </w:tr>
      <w:tr w:rsidR="00F66AF2" w:rsidRPr="00393074" w:rsidTr="00694670">
        <w:tc>
          <w:tcPr>
            <w:tcW w:w="9072" w:type="dxa"/>
          </w:tcPr>
          <w:p w:rsidR="00F66AF2" w:rsidRPr="00393074" w:rsidRDefault="00F66AF2" w:rsidP="00D56FDD">
            <w:pPr>
              <w:spacing w:line="500" w:lineRule="exact"/>
              <w:ind w:left="1261" w:hangingChars="371" w:hanging="1261"/>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lastRenderedPageBreak/>
              <w:t>第十七條</w:t>
            </w:r>
            <w:r w:rsidR="00D56FD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公務人員依規定應繳還涉訟輔助費用而未能一次繳還者，經涉訟輔助機關同意，得以分期方式攤還。</w:t>
            </w:r>
          </w:p>
        </w:tc>
      </w:tr>
      <w:tr w:rsidR="00F66AF2" w:rsidRPr="00393074" w:rsidTr="00694670">
        <w:tc>
          <w:tcPr>
            <w:tcW w:w="9072" w:type="dxa"/>
          </w:tcPr>
          <w:p w:rsidR="00F66AF2" w:rsidRPr="00393074" w:rsidRDefault="00F66AF2" w:rsidP="00D56FDD">
            <w:pPr>
              <w:spacing w:line="500" w:lineRule="exact"/>
              <w:ind w:left="1248" w:hangingChars="367" w:hanging="1248"/>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第十八條</w:t>
            </w:r>
            <w:r w:rsidRPr="00393074">
              <w:rPr>
                <w:rFonts w:ascii="標楷體" w:eastAsia="標楷體" w:hAnsi="標楷體" w:hint="eastAsia"/>
                <w:color w:val="000000" w:themeColor="text1"/>
                <w:sz w:val="28"/>
                <w:szCs w:val="28"/>
              </w:rPr>
              <w:t xml:space="preserve">　</w:t>
            </w:r>
            <w:r w:rsidR="00D56FD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公務人員依法執行職務涉及民事訴訟，於訴訟程序終結前死亡，其依法律得提起或承受訴訟之人，得準用本辦法之規定申請涉訟輔助費用。</w:t>
            </w:r>
          </w:p>
          <w:p w:rsidR="00F66AF2" w:rsidRPr="00393074" w:rsidRDefault="00F66AF2" w:rsidP="00AE0EFD">
            <w:pPr>
              <w:spacing w:line="500" w:lineRule="exact"/>
              <w:ind w:leftChars="544" w:left="1307" w:hanging="1"/>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公務人員依法執行職務涉及刑事訴訟，於訴訟程序終結前死亡，死亡前已延聘律師者，其遺族得準用本辦法之規定申請涉訟輔助費用。</w:t>
            </w:r>
          </w:p>
          <w:p w:rsidR="00F66AF2" w:rsidRPr="00393074" w:rsidRDefault="00F66AF2" w:rsidP="00D56FDD">
            <w:pPr>
              <w:spacing w:line="500" w:lineRule="exact"/>
              <w:ind w:left="1310" w:hangingChars="468" w:hanging="131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D56FD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前項涉訟輔助費用，由配偶領受二分之一；其餘依子女、父母、祖父母、兄弟姊妹之順序，依序平均領受之。領受權之同一順序遺族有數人請領時，得委任其中具有行為能力者一人代為申請；遺族為無行為能力者，由其法定代理人代為申請。</w:t>
            </w:r>
          </w:p>
          <w:p w:rsidR="00F66AF2" w:rsidRPr="00393074" w:rsidRDefault="00F66AF2" w:rsidP="00AE0EFD">
            <w:pPr>
              <w:spacing w:line="500" w:lineRule="exact"/>
              <w:ind w:leftChars="14" w:left="1311" w:hangingChars="456" w:hanging="1277"/>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D56FD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前項遺族有行蹤不明，或未能取得一致請領之協議者，得由其他遺族按具有領受權之人數比率，分別請領涉訟輔助費用。</w:t>
            </w:r>
          </w:p>
        </w:tc>
      </w:tr>
      <w:tr w:rsidR="00F66AF2" w:rsidRPr="00393074" w:rsidTr="00694670">
        <w:tc>
          <w:tcPr>
            <w:tcW w:w="9072" w:type="dxa"/>
          </w:tcPr>
          <w:p w:rsidR="00F66AF2" w:rsidRPr="00393074" w:rsidRDefault="00F66AF2" w:rsidP="00AE0EFD">
            <w:pPr>
              <w:spacing w:line="500" w:lineRule="exact"/>
              <w:ind w:left="1197" w:hangingChars="352" w:hanging="1197"/>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t>第十九條</w:t>
            </w:r>
            <w:r w:rsidR="00AE0EF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下列人員依法執行職務之涉訟輔助，得比照本辦法之規定：</w:t>
            </w:r>
          </w:p>
          <w:p w:rsidR="00AE0EFD" w:rsidRPr="00393074" w:rsidRDefault="00F66AF2" w:rsidP="00AE0EFD">
            <w:pPr>
              <w:numPr>
                <w:ilvl w:val="0"/>
                <w:numId w:val="3"/>
              </w:numPr>
              <w:spacing w:line="500" w:lineRule="exact"/>
              <w:ind w:left="2558" w:hanging="593"/>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lastRenderedPageBreak/>
              <w:t>政務人員。</w:t>
            </w:r>
          </w:p>
          <w:p w:rsidR="00AE0EFD" w:rsidRPr="00393074" w:rsidRDefault="00F66AF2" w:rsidP="00AE0EFD">
            <w:pPr>
              <w:numPr>
                <w:ilvl w:val="0"/>
                <w:numId w:val="3"/>
              </w:numPr>
              <w:spacing w:line="500" w:lineRule="exact"/>
              <w:ind w:left="2558" w:hanging="593"/>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民選公職人員。</w:t>
            </w:r>
          </w:p>
          <w:p w:rsidR="00F66AF2" w:rsidRPr="00393074" w:rsidRDefault="00F66AF2" w:rsidP="00AE0EFD">
            <w:pPr>
              <w:numPr>
                <w:ilvl w:val="0"/>
                <w:numId w:val="3"/>
              </w:numPr>
              <w:spacing w:line="500" w:lineRule="exact"/>
              <w:ind w:left="2558" w:hanging="593"/>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其他於各級政府機關、公立學校、公營事業機構依法令從事於公務之人員。</w:t>
            </w:r>
          </w:p>
        </w:tc>
      </w:tr>
      <w:tr w:rsidR="00F66AF2" w:rsidRPr="00393074" w:rsidTr="00694670">
        <w:tc>
          <w:tcPr>
            <w:tcW w:w="9072" w:type="dxa"/>
          </w:tcPr>
          <w:p w:rsidR="00F66AF2" w:rsidRPr="00393074" w:rsidRDefault="00AE0EFD" w:rsidP="00AE0EFD">
            <w:pPr>
              <w:spacing w:line="500" w:lineRule="exact"/>
              <w:ind w:left="1275" w:hangingChars="375" w:hanging="1275"/>
              <w:jc w:val="both"/>
              <w:rPr>
                <w:rFonts w:ascii="標楷體" w:eastAsia="標楷體" w:hAnsi="標楷體"/>
                <w:color w:val="000000" w:themeColor="text1"/>
                <w:sz w:val="28"/>
                <w:szCs w:val="28"/>
              </w:rPr>
            </w:pPr>
            <w:r w:rsidRPr="006F26CF">
              <w:rPr>
                <w:rFonts w:ascii="標楷體" w:eastAsia="標楷體" w:hAnsi="標楷體" w:hint="eastAsia"/>
                <w:color w:val="000000" w:themeColor="text1"/>
                <w:spacing w:val="30"/>
                <w:kern w:val="0"/>
                <w:sz w:val="28"/>
                <w:szCs w:val="28"/>
                <w:fitText w:val="1400" w:id="1550477312"/>
              </w:rPr>
              <w:lastRenderedPageBreak/>
              <w:t>第</w:t>
            </w:r>
            <w:r w:rsidR="00F66AF2" w:rsidRPr="006F26CF">
              <w:rPr>
                <w:rFonts w:ascii="標楷體" w:eastAsia="標楷體" w:hAnsi="標楷體" w:hint="eastAsia"/>
                <w:color w:val="000000" w:themeColor="text1"/>
                <w:spacing w:val="30"/>
                <w:kern w:val="0"/>
                <w:sz w:val="28"/>
                <w:szCs w:val="28"/>
                <w:fitText w:val="1400" w:id="1550477312"/>
              </w:rPr>
              <w:t>二十條</w:t>
            </w:r>
            <w:r w:rsidRPr="00393074">
              <w:rPr>
                <w:rFonts w:ascii="標楷體" w:eastAsia="標楷體" w:hAnsi="標楷體" w:hint="eastAsia"/>
                <w:color w:val="000000" w:themeColor="text1"/>
                <w:kern w:val="0"/>
                <w:sz w:val="28"/>
                <w:szCs w:val="28"/>
              </w:rPr>
              <w:t xml:space="preserve">　　</w:t>
            </w:r>
            <w:r w:rsidR="00F66AF2" w:rsidRPr="00393074">
              <w:rPr>
                <w:rFonts w:ascii="標楷體" w:eastAsia="標楷體" w:hAnsi="標楷體" w:hint="eastAsia"/>
                <w:color w:val="000000" w:themeColor="text1"/>
                <w:sz w:val="28"/>
                <w:szCs w:val="28"/>
              </w:rPr>
              <w:t>直轄市長、縣（市）長因自治事項涉訟之輔助事項，直轄市長由行政院決定之；縣（市）長由中央各該業務主管機關決定之；其涉訟輔助費用由各直轄市、縣（市）政府發給。</w:t>
            </w:r>
          </w:p>
          <w:p w:rsidR="00AE0EFD" w:rsidRPr="00393074" w:rsidRDefault="00AE0EFD" w:rsidP="00AE0EFD">
            <w:pPr>
              <w:spacing w:line="500" w:lineRule="exact"/>
              <w:ind w:leftChars="167" w:left="1395" w:hangingChars="355" w:hanging="994"/>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直轄市議會議長、縣（市）議會議長執行職務涉訟之輔助事項，直轄市議會議長由行政院決定之；縣（市）議會議長由中央各該業務主管機關決定之；其涉訟輔助費用由各直轄市議會、縣（市）議會發給。</w:t>
            </w:r>
          </w:p>
          <w:p w:rsidR="00AE0EFD" w:rsidRPr="00393074" w:rsidRDefault="00AE0EFD" w:rsidP="00AE0EFD">
            <w:pPr>
              <w:spacing w:line="500" w:lineRule="exact"/>
              <w:ind w:leftChars="250" w:left="1392" w:hangingChars="283" w:hanging="792"/>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鄉（鎮、市）長因自治事項涉訟之輔助事項，由縣政府決定之；其涉訟輔助費用由各鄉（鎮、市）公所發給。</w:t>
            </w:r>
          </w:p>
          <w:p w:rsidR="00AE0EFD" w:rsidRPr="00393074" w:rsidRDefault="00AE0EFD" w:rsidP="00AE0EFD">
            <w:pPr>
              <w:spacing w:line="500" w:lineRule="exact"/>
              <w:ind w:leftChars="250" w:left="1392" w:hangingChars="283" w:hanging="792"/>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鄉（鎮、市）民代表會主席執行職務涉訟之輔助事項，由縣政府決定之；其涉訟輔助費用由各鄉</w:t>
            </w:r>
            <w:r w:rsidR="00F66AF2" w:rsidRPr="00393074">
              <w:rPr>
                <w:rFonts w:ascii="標楷體" w:eastAsia="標楷體" w:hAnsi="標楷體"/>
                <w:color w:val="000000" w:themeColor="text1"/>
                <w:sz w:val="28"/>
                <w:szCs w:val="28"/>
              </w:rPr>
              <w:t>（</w:t>
            </w:r>
            <w:r w:rsidR="00F66AF2" w:rsidRPr="00393074">
              <w:rPr>
                <w:rFonts w:ascii="標楷體" w:eastAsia="標楷體" w:hAnsi="標楷體" w:hint="eastAsia"/>
                <w:color w:val="000000" w:themeColor="text1"/>
                <w:sz w:val="28"/>
                <w:szCs w:val="28"/>
              </w:rPr>
              <w:t>鎮、</w:t>
            </w:r>
            <w:r w:rsidR="00F66AF2" w:rsidRPr="00393074">
              <w:rPr>
                <w:rFonts w:ascii="標楷體" w:eastAsia="標楷體" w:hAnsi="標楷體"/>
                <w:color w:val="000000" w:themeColor="text1"/>
                <w:sz w:val="28"/>
                <w:szCs w:val="28"/>
              </w:rPr>
              <w:t>市）</w:t>
            </w:r>
            <w:r w:rsidR="00F66AF2" w:rsidRPr="00393074">
              <w:rPr>
                <w:rFonts w:ascii="標楷體" w:eastAsia="標楷體" w:hAnsi="標楷體" w:hint="eastAsia"/>
                <w:color w:val="000000" w:themeColor="text1"/>
                <w:sz w:val="28"/>
                <w:szCs w:val="28"/>
              </w:rPr>
              <w:t>民</w:t>
            </w:r>
            <w:r w:rsidR="00F66AF2" w:rsidRPr="00393074">
              <w:rPr>
                <w:rFonts w:ascii="標楷體" w:eastAsia="標楷體" w:hAnsi="標楷體"/>
                <w:color w:val="000000" w:themeColor="text1"/>
                <w:sz w:val="28"/>
                <w:szCs w:val="28"/>
              </w:rPr>
              <w:t>代表會</w:t>
            </w:r>
            <w:r w:rsidR="00F66AF2" w:rsidRPr="00393074">
              <w:rPr>
                <w:rFonts w:ascii="標楷體" w:eastAsia="標楷體" w:hAnsi="標楷體" w:hint="eastAsia"/>
                <w:color w:val="000000" w:themeColor="text1"/>
                <w:sz w:val="28"/>
                <w:szCs w:val="28"/>
              </w:rPr>
              <w:t>發給。</w:t>
            </w:r>
          </w:p>
          <w:p w:rsidR="00F66AF2" w:rsidRPr="00393074" w:rsidRDefault="00AE0EFD" w:rsidP="00AE0EFD">
            <w:pPr>
              <w:spacing w:line="500" w:lineRule="exact"/>
              <w:ind w:leftChars="222" w:left="1381" w:hangingChars="303" w:hanging="848"/>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　　　　　</w:t>
            </w:r>
            <w:r w:rsidR="00F66AF2" w:rsidRPr="00393074">
              <w:rPr>
                <w:rFonts w:ascii="標楷體" w:eastAsia="標楷體" w:hAnsi="標楷體" w:hint="eastAsia"/>
                <w:color w:val="000000" w:themeColor="text1"/>
                <w:sz w:val="28"/>
                <w:szCs w:val="28"/>
              </w:rPr>
              <w:t>直轄市長、縣（市）長、鄉（鎮、市）長因委辦事項涉訟之輔助事項，由委辦機關決定並發給涉訟輔助費用。</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第二十一條  </w:t>
            </w:r>
            <w:r w:rsidR="00AE0EF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中央二級以上機關、省政府、省諮議會、直轄市政府、直轄市議會、縣（市）政府及縣（市）議會應於每年一月及七月底前，彙整各該機關及所屬機關（構、學校）受理之涉訟輔助案件及其處理情形，併送公務人員保障暨培訓委員會。</w:t>
            </w:r>
          </w:p>
        </w:tc>
      </w:tr>
      <w:tr w:rsidR="00F66AF2" w:rsidRPr="00393074" w:rsidTr="00694670">
        <w:tc>
          <w:tcPr>
            <w:tcW w:w="9072" w:type="dxa"/>
          </w:tcPr>
          <w:p w:rsidR="00F66AF2" w:rsidRPr="00393074" w:rsidRDefault="00F66AF2" w:rsidP="00694670">
            <w:pPr>
              <w:spacing w:line="500" w:lineRule="exact"/>
              <w:ind w:left="1400" w:hangingChars="500" w:hanging="1400"/>
              <w:jc w:val="both"/>
              <w:rPr>
                <w:rFonts w:ascii="標楷體" w:eastAsia="標楷體" w:hAnsi="標楷體"/>
                <w:color w:val="000000" w:themeColor="text1"/>
                <w:sz w:val="28"/>
                <w:szCs w:val="28"/>
              </w:rPr>
            </w:pPr>
            <w:r w:rsidRPr="00393074">
              <w:rPr>
                <w:rFonts w:ascii="標楷體" w:eastAsia="標楷體" w:hAnsi="標楷體" w:hint="eastAsia"/>
                <w:color w:val="000000" w:themeColor="text1"/>
                <w:sz w:val="28"/>
                <w:szCs w:val="28"/>
              </w:rPr>
              <w:t xml:space="preserve">第二十二條　</w:t>
            </w:r>
            <w:r w:rsidR="00AE0EFD" w:rsidRPr="00393074">
              <w:rPr>
                <w:rFonts w:ascii="標楷體" w:eastAsia="標楷體" w:hAnsi="標楷體" w:hint="eastAsia"/>
                <w:color w:val="000000" w:themeColor="text1"/>
                <w:sz w:val="28"/>
                <w:szCs w:val="28"/>
              </w:rPr>
              <w:t xml:space="preserve">　</w:t>
            </w:r>
            <w:r w:rsidRPr="00393074">
              <w:rPr>
                <w:rFonts w:ascii="標楷體" w:eastAsia="標楷體" w:hAnsi="標楷體" w:hint="eastAsia"/>
                <w:color w:val="000000" w:themeColor="text1"/>
                <w:sz w:val="28"/>
                <w:szCs w:val="28"/>
              </w:rPr>
              <w:t>本辦法自發布日施行。</w:t>
            </w:r>
          </w:p>
        </w:tc>
      </w:tr>
    </w:tbl>
    <w:p w:rsidR="009E1306" w:rsidRPr="00F66AF2" w:rsidRDefault="009E1306"/>
    <w:sectPr w:rsidR="009E1306" w:rsidRPr="00F66AF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F2" w:rsidRDefault="00F66AF2" w:rsidP="00F66AF2">
      <w:r>
        <w:separator/>
      </w:r>
    </w:p>
  </w:endnote>
  <w:endnote w:type="continuationSeparator" w:id="0">
    <w:p w:rsidR="00F66AF2" w:rsidRDefault="00F66AF2" w:rsidP="00F6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83818"/>
      <w:docPartObj>
        <w:docPartGallery w:val="Page Numbers (Bottom of Page)"/>
        <w:docPartUnique/>
      </w:docPartObj>
    </w:sdtPr>
    <w:sdtEndPr/>
    <w:sdtContent>
      <w:p w:rsidR="00393074" w:rsidRDefault="00393074">
        <w:pPr>
          <w:pStyle w:val="a6"/>
          <w:jc w:val="center"/>
        </w:pPr>
        <w:r>
          <w:fldChar w:fldCharType="begin"/>
        </w:r>
        <w:r>
          <w:instrText>PAGE   \* MERGEFORMAT</w:instrText>
        </w:r>
        <w:r>
          <w:fldChar w:fldCharType="separate"/>
        </w:r>
        <w:r w:rsidR="006F26CF" w:rsidRPr="006F26CF">
          <w:rPr>
            <w:noProof/>
            <w:lang w:val="zh-TW"/>
          </w:rPr>
          <w:t>5</w:t>
        </w:r>
        <w:r>
          <w:fldChar w:fldCharType="end"/>
        </w:r>
      </w:p>
    </w:sdtContent>
  </w:sdt>
  <w:p w:rsidR="00393074" w:rsidRDefault="00393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F2" w:rsidRDefault="00F66AF2" w:rsidP="00F66AF2">
      <w:r>
        <w:separator/>
      </w:r>
    </w:p>
  </w:footnote>
  <w:footnote w:type="continuationSeparator" w:id="0">
    <w:p w:rsidR="00F66AF2" w:rsidRDefault="00F66AF2" w:rsidP="00F66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6F6"/>
    <w:multiLevelType w:val="hybridMultilevel"/>
    <w:tmpl w:val="C896D682"/>
    <w:lvl w:ilvl="0" w:tplc="04090015">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612E71FD"/>
    <w:multiLevelType w:val="hybridMultilevel"/>
    <w:tmpl w:val="9AC4C2EC"/>
    <w:lvl w:ilvl="0" w:tplc="6390EEE8">
      <w:start w:val="1"/>
      <w:numFmt w:val="taiwaneseCountingThousand"/>
      <w:lvlText w:val="%1、"/>
      <w:lvlJc w:val="left"/>
      <w:pPr>
        <w:ind w:left="2465"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33364C2"/>
    <w:multiLevelType w:val="hybridMultilevel"/>
    <w:tmpl w:val="3A6CBCE6"/>
    <w:lvl w:ilvl="0" w:tplc="200CB7B0">
      <w:start w:val="1"/>
      <w:numFmt w:val="taiwaneseCountingThousand"/>
      <w:lvlText w:val="（%1）"/>
      <w:lvlJc w:val="left"/>
      <w:pPr>
        <w:ind w:left="720" w:hanging="720"/>
      </w:pPr>
      <w:rPr>
        <w:rFonts w:hint="default"/>
      </w:rPr>
    </w:lvl>
    <w:lvl w:ilvl="1" w:tplc="6390EEE8">
      <w:start w:val="1"/>
      <w:numFmt w:val="taiwaneseCountingThousand"/>
      <w:lvlText w:val="%2、"/>
      <w:lvlJc w:val="left"/>
      <w:pPr>
        <w:ind w:left="1189"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F2"/>
    <w:rsid w:val="001C39CC"/>
    <w:rsid w:val="00393074"/>
    <w:rsid w:val="00694670"/>
    <w:rsid w:val="006F26CF"/>
    <w:rsid w:val="009E1306"/>
    <w:rsid w:val="00AE0EFD"/>
    <w:rsid w:val="00D56FDD"/>
    <w:rsid w:val="00EC3AC5"/>
    <w:rsid w:val="00EF3F2E"/>
    <w:rsid w:val="00F66AF2"/>
    <w:rsid w:val="00FB5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AFED577-D7F6-4018-8FF8-1F176733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AF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AF2"/>
    <w:pPr>
      <w:ind w:leftChars="200" w:left="480"/>
    </w:pPr>
  </w:style>
  <w:style w:type="paragraph" w:styleId="a4">
    <w:name w:val="header"/>
    <w:basedOn w:val="a"/>
    <w:link w:val="a5"/>
    <w:uiPriority w:val="99"/>
    <w:unhideWhenUsed/>
    <w:rsid w:val="00F66AF2"/>
    <w:pPr>
      <w:tabs>
        <w:tab w:val="center" w:pos="4153"/>
        <w:tab w:val="right" w:pos="8306"/>
      </w:tabs>
      <w:snapToGrid w:val="0"/>
    </w:pPr>
    <w:rPr>
      <w:sz w:val="20"/>
      <w:szCs w:val="20"/>
    </w:rPr>
  </w:style>
  <w:style w:type="character" w:customStyle="1" w:styleId="a5">
    <w:name w:val="頁首 字元"/>
    <w:basedOn w:val="a0"/>
    <w:link w:val="a4"/>
    <w:uiPriority w:val="99"/>
    <w:rsid w:val="00F66AF2"/>
    <w:rPr>
      <w:rFonts w:ascii="Calibri" w:eastAsia="新細明體" w:hAnsi="Calibri" w:cs="Times New Roman"/>
      <w:sz w:val="20"/>
      <w:szCs w:val="20"/>
    </w:rPr>
  </w:style>
  <w:style w:type="paragraph" w:styleId="a6">
    <w:name w:val="footer"/>
    <w:basedOn w:val="a"/>
    <w:link w:val="a7"/>
    <w:uiPriority w:val="99"/>
    <w:unhideWhenUsed/>
    <w:rsid w:val="00F66AF2"/>
    <w:pPr>
      <w:tabs>
        <w:tab w:val="center" w:pos="4153"/>
        <w:tab w:val="right" w:pos="8306"/>
      </w:tabs>
      <w:snapToGrid w:val="0"/>
    </w:pPr>
    <w:rPr>
      <w:sz w:val="20"/>
      <w:szCs w:val="20"/>
    </w:rPr>
  </w:style>
  <w:style w:type="character" w:customStyle="1" w:styleId="a7">
    <w:name w:val="頁尾 字元"/>
    <w:basedOn w:val="a0"/>
    <w:link w:val="a6"/>
    <w:uiPriority w:val="99"/>
    <w:rsid w:val="00F66AF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郭宛陵</dc:creator>
  <cp:keywords/>
  <dc:description/>
  <cp:lastModifiedBy>0520</cp:lastModifiedBy>
  <cp:revision>2</cp:revision>
  <cp:lastPrinted>2017-12-13T03:09:00Z</cp:lastPrinted>
  <dcterms:created xsi:type="dcterms:W3CDTF">2021-09-11T06:35:00Z</dcterms:created>
  <dcterms:modified xsi:type="dcterms:W3CDTF">2021-09-11T06:35:00Z</dcterms:modified>
</cp:coreProperties>
</file>