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1818" w:right="1831"/>
        <w:jc w:val="center"/>
      </w:pPr>
      <w:r>
        <w:rPr/>
        <w:t>公務人員保障法修正部分條文對照表</w:t>
      </w:r>
    </w:p>
    <w:p>
      <w:pPr>
        <w:pStyle w:val="BodyText"/>
        <w:spacing w:before="10"/>
        <w:rPr>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2668" w:hRule="atLeast"/>
        </w:trPr>
        <w:tc>
          <w:tcPr>
            <w:tcW w:w="2835" w:type="dxa"/>
          </w:tcPr>
          <w:p>
            <w:pPr>
              <w:pStyle w:val="TableParagraph"/>
              <w:spacing w:line="223" w:lineRule="auto" w:before="4"/>
              <w:ind w:right="98" w:hanging="240"/>
              <w:jc w:val="both"/>
              <w:rPr>
                <w:sz w:val="24"/>
              </w:rPr>
            </w:pPr>
            <w:r>
              <w:rPr>
                <w:spacing w:val="18"/>
                <w:sz w:val="24"/>
              </w:rPr>
              <w:t>第三條 本法所稱公務</w:t>
            </w:r>
            <w:r>
              <w:rPr>
                <w:spacing w:val="13"/>
                <w:w w:val="95"/>
                <w:sz w:val="24"/>
              </w:rPr>
              <w:t>人員， 係指法定機關</w:t>
            </w:r>
          </w:p>
          <w:p>
            <w:pPr>
              <w:pStyle w:val="TableParagraph"/>
              <w:spacing w:line="223" w:lineRule="auto"/>
              <w:ind w:right="72"/>
              <w:jc w:val="both"/>
              <w:rPr>
                <w:sz w:val="24"/>
              </w:rPr>
            </w:pPr>
            <w:r>
              <w:rPr>
                <w:sz w:val="24"/>
                <w:u w:val="single"/>
              </w:rPr>
              <w:t>（</w:t>
            </w:r>
            <w:r>
              <w:rPr>
                <w:spacing w:val="-35"/>
                <w:sz w:val="24"/>
                <w:u w:val="single"/>
              </w:rPr>
              <w:t> 構</w:t>
            </w:r>
            <w:r>
              <w:rPr>
                <w:sz w:val="24"/>
                <w:u w:val="single"/>
              </w:rPr>
              <w:t>）</w:t>
            </w:r>
            <w:r>
              <w:rPr>
                <w:spacing w:val="5"/>
                <w:sz w:val="24"/>
                <w:u w:val="single"/>
              </w:rPr>
              <w:t> 及公立學校依</w:t>
            </w:r>
            <w:r>
              <w:rPr>
                <w:spacing w:val="-223"/>
                <w:sz w:val="24"/>
                <w:u w:val="single"/>
              </w:rPr>
              <w:t>公務</w:t>
            </w:r>
            <w:r>
              <w:rPr>
                <w:spacing w:val="19"/>
                <w:sz w:val="24"/>
                <w:u w:val="single"/>
              </w:rPr>
              <w:t>人員任用法律任用之</w:t>
            </w:r>
            <w:r>
              <w:rPr>
                <w:sz w:val="24"/>
                <w:u w:val="single"/>
              </w:rPr>
              <w:t>有給專任人員。</w:t>
            </w:r>
          </w:p>
        </w:tc>
        <w:tc>
          <w:tcPr>
            <w:tcW w:w="3262" w:type="dxa"/>
          </w:tcPr>
          <w:p>
            <w:pPr>
              <w:pStyle w:val="TableParagraph"/>
              <w:spacing w:line="312" w:lineRule="exact"/>
              <w:ind w:left="107"/>
              <w:jc w:val="both"/>
              <w:rPr>
                <w:sz w:val="24"/>
              </w:rPr>
            </w:pPr>
            <w:r>
              <w:rPr>
                <w:spacing w:val="21"/>
                <w:sz w:val="24"/>
              </w:rPr>
              <w:t>第三條 本法所稱公務人員</w:t>
            </w:r>
          </w:p>
          <w:p>
            <w:pPr>
              <w:pStyle w:val="TableParagraph"/>
              <w:spacing w:line="223" w:lineRule="auto" w:before="5"/>
              <w:ind w:right="79"/>
              <w:jc w:val="both"/>
              <w:rPr>
                <w:sz w:val="24"/>
              </w:rPr>
            </w:pPr>
            <w:r>
              <w:rPr>
                <w:spacing w:val="15"/>
                <w:sz w:val="24"/>
              </w:rPr>
              <w:t>，係指法定機關依法任用之有給專任人員及公立學校編制內依法任用之職員</w:t>
            </w:r>
          </w:p>
          <w:p>
            <w:pPr>
              <w:pStyle w:val="TableParagraph"/>
              <w:spacing w:line="308" w:lineRule="exact"/>
              <w:rPr>
                <w:sz w:val="24"/>
              </w:rPr>
            </w:pPr>
            <w:r>
              <w:rPr>
                <w:sz w:val="24"/>
              </w:rPr>
              <w:t>。</w:t>
            </w:r>
          </w:p>
          <w:p>
            <w:pPr>
              <w:pStyle w:val="TableParagraph"/>
              <w:spacing w:line="223" w:lineRule="auto" w:before="6"/>
              <w:ind w:right="79" w:firstLine="504"/>
              <w:rPr>
                <w:sz w:val="24"/>
              </w:rPr>
            </w:pPr>
            <w:r>
              <w:rPr>
                <w:spacing w:val="14"/>
                <w:w w:val="95"/>
                <w:sz w:val="24"/>
                <w:u w:val="single"/>
              </w:rPr>
              <w:t>前項公務人員不包括</w:t>
            </w:r>
            <w:r>
              <w:rPr>
                <w:spacing w:val="-224"/>
                <w:w w:val="95"/>
                <w:sz w:val="24"/>
                <w:u w:val="single"/>
              </w:rPr>
              <w:t>政務</w:t>
            </w:r>
            <w:r>
              <w:rPr>
                <w:spacing w:val="15"/>
                <w:sz w:val="24"/>
                <w:u w:val="single"/>
              </w:rPr>
              <w:t>人員及民選公職人員</w:t>
            </w:r>
          </w:p>
          <w:p>
            <w:pPr>
              <w:pStyle w:val="TableParagraph"/>
              <w:spacing w:line="319" w:lineRule="exact"/>
              <w:rPr>
                <w:sz w:val="24"/>
              </w:rPr>
            </w:pPr>
            <w:r>
              <w:rPr>
                <w:sz w:val="24"/>
                <w:u w:val="single"/>
              </w:rPr>
              <w:t>。</w:t>
            </w:r>
          </w:p>
        </w:tc>
        <w:tc>
          <w:tcPr>
            <w:tcW w:w="3116" w:type="dxa"/>
          </w:tcPr>
          <w:p>
            <w:pPr>
              <w:pStyle w:val="TableParagraph"/>
              <w:spacing w:line="223" w:lineRule="auto" w:before="4"/>
              <w:ind w:left="628" w:right="72" w:hanging="524"/>
              <w:jc w:val="both"/>
              <w:rPr>
                <w:sz w:val="24"/>
              </w:rPr>
            </w:pPr>
            <w:r>
              <w:rPr>
                <w:spacing w:val="8"/>
                <w:sz w:val="24"/>
              </w:rPr>
              <w:t>一、 為明確定義本法之適</w:t>
            </w:r>
            <w:r>
              <w:rPr>
                <w:spacing w:val="15"/>
                <w:w w:val="95"/>
                <w:sz w:val="24"/>
              </w:rPr>
              <w:t>用對象， 係指法定機</w:t>
            </w:r>
            <w:r>
              <w:rPr>
                <w:spacing w:val="23"/>
                <w:sz w:val="24"/>
              </w:rPr>
              <w:t>關或公法人依公務人員任用法及依該法第三十二條、第三十三</w:t>
            </w:r>
            <w:r>
              <w:rPr>
                <w:spacing w:val="24"/>
                <w:sz w:val="24"/>
              </w:rPr>
              <w:t>所定之任用法律，依</w:t>
            </w:r>
            <w:r>
              <w:rPr>
                <w:spacing w:val="12"/>
                <w:w w:val="95"/>
                <w:sz w:val="24"/>
              </w:rPr>
              <w:t>法任用， 且定有官職</w:t>
            </w:r>
          </w:p>
          <w:p>
            <w:pPr>
              <w:pStyle w:val="TableParagraph"/>
              <w:spacing w:line="223" w:lineRule="auto" w:before="2"/>
              <w:ind w:left="628" w:right="98"/>
              <w:jc w:val="both"/>
              <w:rPr>
                <w:sz w:val="24"/>
              </w:rPr>
            </w:pPr>
            <w:r>
              <w:rPr>
                <w:spacing w:val="23"/>
                <w:sz w:val="24"/>
              </w:rPr>
              <w:t>、等級之常任文官；</w:t>
            </w:r>
            <w:r>
              <w:rPr>
                <w:spacing w:val="-118"/>
                <w:sz w:val="24"/>
              </w:rPr>
              <w:t> </w:t>
            </w:r>
            <w:r>
              <w:rPr>
                <w:spacing w:val="23"/>
                <w:sz w:val="24"/>
              </w:rPr>
              <w:t>且公立學校編制內依</w:t>
            </w:r>
            <w:r>
              <w:rPr>
                <w:spacing w:val="6"/>
                <w:sz w:val="24"/>
              </w:rPr>
              <w:t>法任用之職員， 亦係</w:t>
            </w:r>
            <w:r>
              <w:rPr>
                <w:spacing w:val="23"/>
                <w:sz w:val="24"/>
              </w:rPr>
              <w:t>依公務人員任用法任</w:t>
            </w:r>
            <w:r>
              <w:rPr>
                <w:spacing w:val="6"/>
                <w:sz w:val="24"/>
              </w:rPr>
              <w:t>用之人員， 爰精簡文字， 將第一項規定酌</w:t>
            </w:r>
            <w:r>
              <w:rPr>
                <w:sz w:val="24"/>
              </w:rPr>
              <w:t>作文字修正。</w:t>
            </w:r>
          </w:p>
          <w:p>
            <w:pPr>
              <w:pStyle w:val="TableParagraph"/>
              <w:spacing w:line="223" w:lineRule="auto"/>
              <w:ind w:left="626" w:right="98" w:hanging="521"/>
              <w:jc w:val="both"/>
              <w:rPr>
                <w:sz w:val="24"/>
              </w:rPr>
            </w:pPr>
            <w:r>
              <w:rPr>
                <w:spacing w:val="20"/>
                <w:sz w:val="24"/>
              </w:rPr>
              <w:t>二、政務人員及民選公職</w:t>
            </w:r>
            <w:r>
              <w:rPr>
                <w:spacing w:val="23"/>
                <w:sz w:val="24"/>
              </w:rPr>
              <w:t>人員本非本法之適用</w:t>
            </w:r>
            <w:r>
              <w:rPr>
                <w:spacing w:val="6"/>
                <w:sz w:val="24"/>
              </w:rPr>
              <w:t>對象， 爰刪除第二項</w:t>
            </w:r>
            <w:r>
              <w:rPr>
                <w:sz w:val="24"/>
              </w:rPr>
              <w:t>規定。</w:t>
            </w:r>
          </w:p>
          <w:p>
            <w:pPr>
              <w:pStyle w:val="TableParagraph"/>
              <w:spacing w:line="309" w:lineRule="exact"/>
              <w:ind w:left="105"/>
              <w:rPr>
                <w:sz w:val="24"/>
              </w:rPr>
            </w:pPr>
            <w:r>
              <w:rPr>
                <w:spacing w:val="5"/>
                <w:sz w:val="24"/>
              </w:rPr>
              <w:t>三、相關條文</w:t>
            </w:r>
          </w:p>
          <w:p>
            <w:pPr>
              <w:pStyle w:val="TableParagraph"/>
              <w:spacing w:line="312" w:lineRule="exact"/>
              <w:ind w:left="105"/>
              <w:rPr>
                <w:sz w:val="24"/>
              </w:rPr>
            </w:pPr>
            <w:r>
              <w:rPr>
                <w:sz w:val="24"/>
              </w:rPr>
              <w:t>（一）公務人員任用法</w:t>
            </w:r>
          </w:p>
          <w:p>
            <w:pPr>
              <w:pStyle w:val="TableParagraph"/>
              <w:spacing w:line="223" w:lineRule="auto" w:before="4"/>
              <w:ind w:left="345" w:right="98" w:hanging="240"/>
              <w:jc w:val="both"/>
              <w:rPr>
                <w:sz w:val="24"/>
              </w:rPr>
            </w:pPr>
            <w:r>
              <w:rPr>
                <w:sz w:val="24"/>
              </w:rPr>
              <w:t>第一條 公務人員之任用，</w:t>
            </w:r>
            <w:r>
              <w:rPr>
                <w:spacing w:val="-118"/>
                <w:sz w:val="24"/>
              </w:rPr>
              <w:t> </w:t>
            </w:r>
            <w:r>
              <w:rPr>
                <w:sz w:val="24"/>
              </w:rPr>
              <w:t>依本法行之。</w:t>
            </w:r>
          </w:p>
          <w:p>
            <w:pPr>
              <w:pStyle w:val="TableParagraph"/>
              <w:spacing w:line="223" w:lineRule="auto" w:before="1"/>
              <w:ind w:left="345" w:right="98" w:hanging="240"/>
              <w:jc w:val="both"/>
              <w:rPr>
                <w:sz w:val="24"/>
              </w:rPr>
            </w:pPr>
            <w:r>
              <w:rPr>
                <w:sz w:val="24"/>
              </w:rPr>
              <w:t>第三十二條 司法人員、審計人員、主計人員、關務人員、外交領事人員及警察人員之任用，均另以法律定之。但有關任用資格之規定，不得與本法牴觸</w:t>
            </w:r>
          </w:p>
          <w:p>
            <w:pPr>
              <w:pStyle w:val="TableParagraph"/>
              <w:spacing w:line="306" w:lineRule="exact"/>
              <w:ind w:left="345"/>
              <w:rPr>
                <w:sz w:val="24"/>
              </w:rPr>
            </w:pPr>
            <w:r>
              <w:rPr>
                <w:sz w:val="24"/>
              </w:rPr>
              <w:t>。</w:t>
            </w:r>
          </w:p>
          <w:p>
            <w:pPr>
              <w:pStyle w:val="TableParagraph"/>
              <w:spacing w:line="223" w:lineRule="auto" w:before="5"/>
              <w:ind w:left="345" w:right="98" w:hanging="240"/>
              <w:jc w:val="both"/>
              <w:rPr>
                <w:sz w:val="24"/>
              </w:rPr>
            </w:pPr>
            <w:r>
              <w:rPr>
                <w:sz w:val="24"/>
              </w:rPr>
              <w:t>第三十三條 教育人員、醫事人員、交通事業人員及公營事業人員之任用，均另以法律定之。</w:t>
            </w:r>
          </w:p>
          <w:p>
            <w:pPr>
              <w:pStyle w:val="TableParagraph"/>
              <w:spacing w:line="223" w:lineRule="auto" w:before="1"/>
              <w:ind w:left="345" w:right="98" w:hanging="240"/>
              <w:jc w:val="both"/>
              <w:rPr>
                <w:sz w:val="24"/>
              </w:rPr>
            </w:pPr>
            <w:r>
              <w:rPr>
                <w:sz w:val="24"/>
              </w:rPr>
              <w:t>第三十六條 各機關以契約定期聘用之專業或技術人員，其聘用另以法律定之</w:t>
            </w:r>
          </w:p>
          <w:p>
            <w:pPr>
              <w:pStyle w:val="TableParagraph"/>
              <w:spacing w:line="319" w:lineRule="exact"/>
              <w:ind w:left="345"/>
              <w:rPr>
                <w:sz w:val="24"/>
              </w:rPr>
            </w:pPr>
            <w:r>
              <w:rPr>
                <w:sz w:val="24"/>
              </w:rPr>
              <w:t>。</w:t>
            </w:r>
          </w:p>
          <w:p>
            <w:pPr>
              <w:pStyle w:val="TableParagraph"/>
              <w:spacing w:line="312" w:lineRule="exact" w:before="147"/>
              <w:ind w:left="873" w:right="98" w:hanging="768"/>
              <w:jc w:val="both"/>
              <w:rPr>
                <w:sz w:val="24"/>
              </w:rPr>
            </w:pPr>
            <w:r>
              <w:rPr>
                <w:sz w:val="24"/>
              </w:rPr>
              <w:t>（二）參考考試院與行政院</w:t>
            </w:r>
            <w:r>
              <w:rPr>
                <w:spacing w:val="24"/>
                <w:sz w:val="24"/>
              </w:rPr>
              <w:t>於一百零一年三月</w:t>
            </w:r>
            <w:r>
              <w:rPr>
                <w:spacing w:val="23"/>
                <w:sz w:val="24"/>
              </w:rPr>
              <w:t>二十七日會銜函請</w:t>
            </w:r>
          </w:p>
        </w:tc>
      </w:tr>
    </w:tbl>
    <w:p>
      <w:pPr>
        <w:spacing w:after="0" w:line="312" w:lineRule="exact"/>
        <w:jc w:val="both"/>
        <w:rPr>
          <w:sz w:val="24"/>
        </w:rPr>
        <w:sectPr>
          <w:footerReference w:type="default" r:id="rId5"/>
          <w:type w:val="continuous"/>
          <w:pgSz w:w="11910" w:h="16840"/>
          <w:pgMar w:footer="743" w:top="1400" w:bottom="940" w:left="1240" w:right="1220"/>
          <w:pgNumType w:start="1"/>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121" w:hRule="atLeast"/>
        </w:trPr>
        <w:tc>
          <w:tcPr>
            <w:tcW w:w="2835" w:type="dxa"/>
          </w:tcPr>
          <w:p>
            <w:pPr>
              <w:pStyle w:val="TableParagraph"/>
              <w:ind w:left="0"/>
              <w:rPr>
                <w:rFonts w:ascii="Times New Roman"/>
                <w:sz w:val="24"/>
              </w:rPr>
            </w:pPr>
          </w:p>
        </w:tc>
        <w:tc>
          <w:tcPr>
            <w:tcW w:w="3262" w:type="dxa"/>
          </w:tcPr>
          <w:p>
            <w:pPr>
              <w:pStyle w:val="TableParagraph"/>
              <w:ind w:left="0"/>
              <w:rPr>
                <w:rFonts w:ascii="Times New Roman"/>
                <w:sz w:val="24"/>
              </w:rPr>
            </w:pPr>
          </w:p>
        </w:tc>
        <w:tc>
          <w:tcPr>
            <w:tcW w:w="3116" w:type="dxa"/>
          </w:tcPr>
          <w:p>
            <w:pPr>
              <w:pStyle w:val="TableParagraph"/>
              <w:spacing w:line="223" w:lineRule="auto" w:before="4"/>
              <w:ind w:left="873" w:right="96"/>
              <w:jc w:val="both"/>
              <w:rPr>
                <w:sz w:val="24"/>
              </w:rPr>
            </w:pPr>
            <w:r>
              <w:rPr>
                <w:spacing w:val="24"/>
                <w:sz w:val="24"/>
              </w:rPr>
              <w:t>立法院審議之公務人員基準法草案第二條第一項之立法</w:t>
            </w:r>
            <w:r>
              <w:rPr>
                <w:sz w:val="24"/>
              </w:rPr>
              <w:t>意旨</w:t>
            </w:r>
          </w:p>
          <w:p>
            <w:pPr>
              <w:pStyle w:val="TableParagraph"/>
              <w:spacing w:line="223" w:lineRule="auto"/>
              <w:ind w:left="345" w:right="98" w:firstLine="487"/>
              <w:jc w:val="both"/>
              <w:rPr>
                <w:sz w:val="24"/>
              </w:rPr>
            </w:pPr>
            <w:r>
              <w:rPr>
                <w:sz w:val="24"/>
              </w:rPr>
              <w:t>本法所稱公務人員，</w:t>
            </w:r>
            <w:r>
              <w:rPr>
                <w:spacing w:val="-118"/>
                <w:sz w:val="24"/>
              </w:rPr>
              <w:t> </w:t>
            </w:r>
            <w:r>
              <w:rPr>
                <w:sz w:val="24"/>
              </w:rPr>
              <w:t>指於各級政府機關、公立學校（以下簡稱各機關）</w:t>
            </w:r>
            <w:r>
              <w:rPr>
                <w:spacing w:val="-118"/>
                <w:sz w:val="24"/>
              </w:rPr>
              <w:t> </w:t>
            </w:r>
            <w:r>
              <w:rPr>
                <w:sz w:val="24"/>
              </w:rPr>
              <w:t>擔任組織法規所定編制內職務支領俸（薪）給之人</w:t>
            </w:r>
          </w:p>
          <w:p>
            <w:pPr>
              <w:pStyle w:val="TableParagraph"/>
              <w:spacing w:line="289" w:lineRule="exact"/>
              <w:ind w:left="345"/>
              <w:rPr>
                <w:sz w:val="24"/>
              </w:rPr>
            </w:pPr>
            <w:r>
              <w:rPr>
                <w:sz w:val="24"/>
              </w:rPr>
              <w:t>員。</w:t>
            </w:r>
          </w:p>
        </w:tc>
      </w:tr>
      <w:tr>
        <w:trPr>
          <w:trHeight w:val="10304" w:hRule="atLeast"/>
        </w:trPr>
        <w:tc>
          <w:tcPr>
            <w:tcW w:w="2835" w:type="dxa"/>
          </w:tcPr>
          <w:p>
            <w:pPr>
              <w:pStyle w:val="TableParagraph"/>
              <w:spacing w:line="223" w:lineRule="auto" w:before="4"/>
              <w:ind w:right="97" w:hanging="240"/>
              <w:jc w:val="both"/>
              <w:rPr>
                <w:sz w:val="24"/>
              </w:rPr>
            </w:pPr>
            <w:r>
              <w:rPr>
                <w:spacing w:val="18"/>
                <w:sz w:val="24"/>
              </w:rPr>
              <w:t>第九條之一 公務人員</w:t>
            </w:r>
            <w:r>
              <w:rPr>
                <w:spacing w:val="13"/>
                <w:w w:val="95"/>
                <w:sz w:val="24"/>
              </w:rPr>
              <w:t>非依法律， 不得予以</w:t>
            </w:r>
            <w:r>
              <w:rPr>
                <w:sz w:val="24"/>
              </w:rPr>
              <w:t>停職。</w:t>
            </w:r>
          </w:p>
          <w:p>
            <w:pPr>
              <w:pStyle w:val="TableParagraph"/>
              <w:spacing w:line="307" w:lineRule="exact"/>
              <w:ind w:left="875"/>
              <w:rPr>
                <w:sz w:val="24"/>
              </w:rPr>
            </w:pPr>
            <w:r>
              <w:rPr>
                <w:spacing w:val="23"/>
                <w:sz w:val="24"/>
              </w:rPr>
              <w:t>公務人員於停職</w:t>
            </w:r>
          </w:p>
          <w:p>
            <w:pPr>
              <w:pStyle w:val="TableParagraph"/>
              <w:spacing w:line="223" w:lineRule="auto" w:before="5"/>
              <w:ind w:right="100"/>
              <w:jc w:val="both"/>
              <w:rPr>
                <w:sz w:val="24"/>
              </w:rPr>
            </w:pPr>
            <w:r>
              <w:rPr>
                <w:spacing w:val="23"/>
                <w:sz w:val="24"/>
              </w:rPr>
              <w:t>、休職或留職停薪期</w:t>
            </w:r>
            <w:r>
              <w:rPr>
                <w:spacing w:val="13"/>
                <w:w w:val="95"/>
                <w:sz w:val="24"/>
              </w:rPr>
              <w:t>間， 仍具公務人員身</w:t>
            </w:r>
            <w:r>
              <w:rPr>
                <w:spacing w:val="21"/>
                <w:sz w:val="24"/>
              </w:rPr>
              <w:t>分。但不得執行職務</w:t>
            </w:r>
          </w:p>
          <w:p>
            <w:pPr>
              <w:pStyle w:val="TableParagraph"/>
              <w:spacing w:line="318" w:lineRule="exact"/>
              <w:rPr>
                <w:sz w:val="24"/>
              </w:rPr>
            </w:pPr>
            <w:r>
              <w:rPr>
                <w:sz w:val="24"/>
              </w:rPr>
              <w:t>。</w:t>
            </w:r>
          </w:p>
        </w:tc>
        <w:tc>
          <w:tcPr>
            <w:tcW w:w="3262" w:type="dxa"/>
          </w:tcPr>
          <w:p>
            <w:pPr>
              <w:pStyle w:val="TableParagraph"/>
              <w:ind w:left="0"/>
              <w:rPr>
                <w:rFonts w:ascii="Times New Roman"/>
                <w:sz w:val="24"/>
              </w:rPr>
            </w:pPr>
          </w:p>
        </w:tc>
        <w:tc>
          <w:tcPr>
            <w:tcW w:w="3116" w:type="dxa"/>
          </w:tcPr>
          <w:p>
            <w:pPr>
              <w:pStyle w:val="TableParagraph"/>
              <w:spacing w:line="223" w:lineRule="auto" w:before="4"/>
              <w:ind w:left="626" w:right="72" w:hanging="521"/>
              <w:jc w:val="both"/>
              <w:rPr>
                <w:sz w:val="24"/>
              </w:rPr>
            </w:pPr>
            <w:r>
              <w:rPr>
                <w:spacing w:val="20"/>
                <w:sz w:val="24"/>
              </w:rPr>
              <w:t>一、第一項由第十條第一</w:t>
            </w:r>
            <w:r>
              <w:rPr>
                <w:spacing w:val="9"/>
                <w:sz w:val="24"/>
              </w:rPr>
              <w:t>項移列， 並新增第二</w:t>
            </w:r>
            <w:r>
              <w:rPr>
                <w:sz w:val="24"/>
              </w:rPr>
              <w:t>項。</w:t>
            </w:r>
          </w:p>
          <w:p>
            <w:pPr>
              <w:pStyle w:val="TableParagraph"/>
              <w:spacing w:line="307" w:lineRule="exact"/>
              <w:ind w:left="105"/>
              <w:jc w:val="both"/>
              <w:rPr>
                <w:sz w:val="24"/>
              </w:rPr>
            </w:pPr>
            <w:r>
              <w:rPr>
                <w:spacing w:val="20"/>
                <w:sz w:val="24"/>
              </w:rPr>
              <w:t>二、原第十條第一項規定</w:t>
            </w:r>
          </w:p>
          <w:p>
            <w:pPr>
              <w:pStyle w:val="TableParagraph"/>
              <w:spacing w:line="223" w:lineRule="auto" w:before="5"/>
              <w:ind w:left="626" w:right="100"/>
              <w:jc w:val="both"/>
              <w:rPr>
                <w:sz w:val="24"/>
              </w:rPr>
            </w:pPr>
            <w:r>
              <w:rPr>
                <w:spacing w:val="23"/>
                <w:sz w:val="24"/>
              </w:rPr>
              <w:t>︰「公務人員非依法</w:t>
            </w:r>
            <w:r>
              <w:rPr>
                <w:spacing w:val="6"/>
                <w:sz w:val="24"/>
              </w:rPr>
              <w:t>律， 不得予以停職。</w:t>
            </w:r>
          </w:p>
          <w:p>
            <w:pPr>
              <w:pStyle w:val="TableParagraph"/>
              <w:spacing w:line="223" w:lineRule="auto"/>
              <w:ind w:left="626" w:right="101"/>
              <w:jc w:val="both"/>
              <w:rPr>
                <w:sz w:val="24"/>
              </w:rPr>
            </w:pPr>
            <w:r>
              <w:rPr>
                <w:spacing w:val="23"/>
                <w:sz w:val="24"/>
              </w:rPr>
              <w:t>」係為保障公務人員服公職權利之原則性</w:t>
            </w:r>
            <w:r>
              <w:rPr>
                <w:spacing w:val="13"/>
                <w:w w:val="95"/>
                <w:sz w:val="24"/>
              </w:rPr>
              <w:t>規範， 其與同條第二</w:t>
            </w:r>
            <w:r>
              <w:rPr>
                <w:spacing w:val="23"/>
                <w:sz w:val="24"/>
              </w:rPr>
              <w:t>項至第四項所定之停職事由消滅後如何復</w:t>
            </w:r>
            <w:r>
              <w:rPr>
                <w:spacing w:val="7"/>
                <w:sz w:val="24"/>
              </w:rPr>
              <w:t>職之執行規定， 尚有</w:t>
            </w:r>
            <w:r>
              <w:rPr>
                <w:spacing w:val="13"/>
                <w:w w:val="95"/>
                <w:sz w:val="24"/>
              </w:rPr>
              <w:t>差異， 爰將其移列至</w:t>
            </w:r>
            <w:r>
              <w:rPr>
                <w:sz w:val="24"/>
              </w:rPr>
              <w:t>本條第一項。</w:t>
            </w:r>
          </w:p>
          <w:p>
            <w:pPr>
              <w:pStyle w:val="TableParagraph"/>
              <w:spacing w:line="223" w:lineRule="auto" w:before="2"/>
              <w:ind w:left="626" w:right="72" w:hanging="521"/>
              <w:jc w:val="both"/>
              <w:rPr>
                <w:sz w:val="24"/>
              </w:rPr>
            </w:pPr>
            <w:r>
              <w:rPr>
                <w:spacing w:val="20"/>
                <w:sz w:val="24"/>
              </w:rPr>
              <w:t>三、依法停職、休職或申</w:t>
            </w:r>
            <w:r>
              <w:rPr>
                <w:spacing w:val="23"/>
                <w:sz w:val="24"/>
              </w:rPr>
              <w:t>請留職停薪之公務人員，其公務人員之身</w:t>
            </w:r>
            <w:r>
              <w:rPr>
                <w:spacing w:val="8"/>
                <w:sz w:val="24"/>
              </w:rPr>
              <w:t>分， 並不因停職、休</w:t>
            </w:r>
            <w:r>
              <w:rPr>
                <w:spacing w:val="23"/>
                <w:sz w:val="24"/>
              </w:rPr>
              <w:t>職或留職停薪期間暫時停止執行職務而喪</w:t>
            </w:r>
            <w:r>
              <w:rPr>
                <w:spacing w:val="8"/>
                <w:sz w:val="24"/>
              </w:rPr>
              <w:t>失； 其於停職、休職或留職停薪期間， 相</w:t>
            </w:r>
            <w:r>
              <w:rPr>
                <w:spacing w:val="23"/>
                <w:sz w:val="24"/>
              </w:rPr>
              <w:t>關權利義務應回歸各該人事法規規範。爰</w:t>
            </w:r>
            <w:r>
              <w:rPr>
                <w:spacing w:val="24"/>
                <w:sz w:val="24"/>
              </w:rPr>
              <w:t>於第二項明定上開人</w:t>
            </w:r>
            <w:r>
              <w:rPr>
                <w:spacing w:val="23"/>
                <w:sz w:val="24"/>
              </w:rPr>
              <w:t>員仍具公務人員身分</w:t>
            </w:r>
          </w:p>
          <w:p>
            <w:pPr>
              <w:pStyle w:val="TableParagraph"/>
              <w:spacing w:line="223" w:lineRule="auto" w:before="1"/>
              <w:ind w:left="626" w:right="98"/>
              <w:jc w:val="both"/>
              <w:rPr>
                <w:sz w:val="24"/>
              </w:rPr>
            </w:pPr>
            <w:r>
              <w:rPr>
                <w:spacing w:val="13"/>
                <w:w w:val="95"/>
                <w:sz w:val="24"/>
              </w:rPr>
              <w:t>， 惟不得執行職務，</w:t>
            </w:r>
            <w:r>
              <w:rPr>
                <w:spacing w:val="-111"/>
                <w:w w:val="95"/>
                <w:sz w:val="24"/>
              </w:rPr>
              <w:t> </w:t>
            </w:r>
            <w:r>
              <w:rPr>
                <w:sz w:val="24"/>
              </w:rPr>
              <w:t>俾資明確。</w:t>
            </w:r>
          </w:p>
          <w:p>
            <w:pPr>
              <w:pStyle w:val="TableParagraph"/>
              <w:spacing w:line="307" w:lineRule="exact"/>
              <w:ind w:left="105"/>
              <w:rPr>
                <w:sz w:val="24"/>
              </w:rPr>
            </w:pPr>
            <w:r>
              <w:rPr>
                <w:spacing w:val="5"/>
                <w:sz w:val="24"/>
              </w:rPr>
              <w:t>四、相關條文</w:t>
            </w:r>
          </w:p>
          <w:p>
            <w:pPr>
              <w:pStyle w:val="TableParagraph"/>
              <w:spacing w:line="312" w:lineRule="exact"/>
              <w:ind w:left="105"/>
              <w:rPr>
                <w:sz w:val="24"/>
              </w:rPr>
            </w:pPr>
            <w:r>
              <w:rPr>
                <w:sz w:val="24"/>
              </w:rPr>
              <w:t>（一）</w:t>
            </w:r>
            <w:r>
              <w:rPr>
                <w:spacing w:val="-7"/>
                <w:sz w:val="24"/>
              </w:rPr>
              <w:t> 公務員懲戒法</w:t>
            </w:r>
          </w:p>
          <w:p>
            <w:pPr>
              <w:pStyle w:val="TableParagraph"/>
              <w:spacing w:line="312" w:lineRule="exact"/>
              <w:ind w:left="105"/>
              <w:rPr>
                <w:sz w:val="24"/>
              </w:rPr>
            </w:pPr>
            <w:r>
              <w:rPr>
                <w:spacing w:val="9"/>
                <w:sz w:val="24"/>
              </w:rPr>
              <w:t>第十四條 休職，休其現職</w:t>
            </w:r>
          </w:p>
          <w:p>
            <w:pPr>
              <w:pStyle w:val="TableParagraph"/>
              <w:spacing w:line="312" w:lineRule="exact"/>
              <w:ind w:left="345"/>
              <w:rPr>
                <w:sz w:val="24"/>
              </w:rPr>
            </w:pPr>
            <w:r>
              <w:rPr>
                <w:sz w:val="24"/>
              </w:rPr>
              <w:t>，停發俸（薪）給，並不</w:t>
            </w:r>
          </w:p>
          <w:p>
            <w:pPr>
              <w:pStyle w:val="TableParagraph"/>
              <w:spacing w:line="294" w:lineRule="exact"/>
              <w:ind w:left="345"/>
              <w:rPr>
                <w:sz w:val="24"/>
              </w:rPr>
            </w:pPr>
            <w:r>
              <w:rPr>
                <w:sz w:val="24"/>
              </w:rPr>
              <w:t>得申請退休、退伍或在其</w:t>
            </w:r>
          </w:p>
        </w:tc>
      </w:tr>
    </w:tbl>
    <w:p>
      <w:pPr>
        <w:spacing w:after="0" w:line="294"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7048" w:hRule="atLeast"/>
        </w:trPr>
        <w:tc>
          <w:tcPr>
            <w:tcW w:w="2835" w:type="dxa"/>
          </w:tcPr>
          <w:p>
            <w:pPr>
              <w:pStyle w:val="TableParagraph"/>
              <w:ind w:left="0"/>
              <w:rPr>
                <w:rFonts w:ascii="Times New Roman"/>
                <w:sz w:val="24"/>
              </w:rPr>
            </w:pPr>
          </w:p>
        </w:tc>
        <w:tc>
          <w:tcPr>
            <w:tcW w:w="3262" w:type="dxa"/>
          </w:tcPr>
          <w:p>
            <w:pPr>
              <w:pStyle w:val="TableParagraph"/>
              <w:ind w:left="0"/>
              <w:rPr>
                <w:rFonts w:ascii="Times New Roman"/>
                <w:sz w:val="24"/>
              </w:rPr>
            </w:pPr>
          </w:p>
        </w:tc>
        <w:tc>
          <w:tcPr>
            <w:tcW w:w="3116" w:type="dxa"/>
          </w:tcPr>
          <w:p>
            <w:pPr>
              <w:pStyle w:val="TableParagraph"/>
              <w:spacing w:line="223" w:lineRule="auto" w:before="4"/>
              <w:ind w:left="345" w:right="99"/>
              <w:rPr>
                <w:sz w:val="24"/>
              </w:rPr>
            </w:pPr>
            <w:r>
              <w:rPr>
                <w:sz w:val="24"/>
              </w:rPr>
              <w:t>他機關任職；其期間為六個月以上、三年以下。</w:t>
            </w:r>
          </w:p>
          <w:p>
            <w:pPr>
              <w:pStyle w:val="TableParagraph"/>
              <w:spacing w:line="223" w:lineRule="auto"/>
              <w:ind w:left="345" w:right="65" w:firstLine="504"/>
              <w:jc w:val="both"/>
              <w:rPr>
                <w:sz w:val="24"/>
              </w:rPr>
            </w:pPr>
            <w:r>
              <w:rPr>
                <w:spacing w:val="31"/>
                <w:sz w:val="24"/>
              </w:rPr>
              <w:t>休職期滿，許其回</w:t>
            </w:r>
            <w:r>
              <w:rPr>
                <w:sz w:val="24"/>
              </w:rPr>
              <w:t>復原職務或相當之其他職務。自復職之日起，二年內不得晉敘、陞任或遷調主管職務。</w:t>
            </w:r>
          </w:p>
          <w:p>
            <w:pPr>
              <w:pStyle w:val="TableParagraph"/>
              <w:spacing w:line="223" w:lineRule="auto" w:before="2"/>
              <w:ind w:left="345" w:right="65" w:firstLine="504"/>
              <w:jc w:val="both"/>
              <w:rPr>
                <w:sz w:val="24"/>
              </w:rPr>
            </w:pPr>
            <w:r>
              <w:rPr>
                <w:spacing w:val="31"/>
                <w:sz w:val="24"/>
              </w:rPr>
              <w:t>前項復職，得於休</w:t>
            </w:r>
            <w:r>
              <w:rPr>
                <w:sz w:val="24"/>
              </w:rPr>
              <w:t>職期滿前三十日內提出申請，並準用公務人員保障法之復職規定辦理。</w:t>
            </w:r>
          </w:p>
          <w:p>
            <w:pPr>
              <w:pStyle w:val="TableParagraph"/>
              <w:spacing w:line="223" w:lineRule="auto" w:before="180"/>
              <w:ind w:left="878" w:right="103" w:hanging="773"/>
              <w:jc w:val="both"/>
              <w:rPr>
                <w:sz w:val="24"/>
              </w:rPr>
            </w:pPr>
            <w:r>
              <w:rPr>
                <w:sz w:val="24"/>
              </w:rPr>
              <w:t>（二）</w:t>
            </w:r>
            <w:r>
              <w:rPr>
                <w:spacing w:val="11"/>
                <w:sz w:val="24"/>
              </w:rPr>
              <w:t> 參考考試院與行政</w:t>
            </w:r>
            <w:r>
              <w:rPr>
                <w:spacing w:val="24"/>
                <w:sz w:val="24"/>
              </w:rPr>
              <w:t>院於一百零一年三月二十七日會銜函請立法院審議之公務人員基準法草案第十二條之立法意</w:t>
            </w:r>
            <w:r>
              <w:rPr>
                <w:sz w:val="24"/>
              </w:rPr>
              <w:t>旨</w:t>
            </w:r>
          </w:p>
          <w:p>
            <w:pPr>
              <w:pStyle w:val="TableParagraph"/>
              <w:spacing w:line="223" w:lineRule="auto"/>
              <w:ind w:left="345" w:right="98" w:firstLine="487"/>
              <w:jc w:val="both"/>
              <w:rPr>
                <w:sz w:val="24"/>
              </w:rPr>
            </w:pPr>
            <w:r>
              <w:rPr>
                <w:sz w:val="24"/>
              </w:rPr>
              <w:t>公務人員於休職、停職或留職停薪期間，仍具公務人員身分。但不得執</w:t>
            </w:r>
          </w:p>
          <w:p>
            <w:pPr>
              <w:pStyle w:val="TableParagraph"/>
              <w:spacing w:line="289" w:lineRule="exact"/>
              <w:ind w:left="345"/>
              <w:rPr>
                <w:sz w:val="24"/>
              </w:rPr>
            </w:pPr>
            <w:r>
              <w:rPr>
                <w:sz w:val="24"/>
              </w:rPr>
              <w:t>行職務。</w:t>
            </w:r>
          </w:p>
        </w:tc>
      </w:tr>
      <w:tr>
        <w:trPr>
          <w:trHeight w:val="6245" w:hRule="atLeast"/>
        </w:trPr>
        <w:tc>
          <w:tcPr>
            <w:tcW w:w="2835" w:type="dxa"/>
          </w:tcPr>
          <w:p>
            <w:pPr>
              <w:pStyle w:val="TableParagraph"/>
              <w:spacing w:line="223" w:lineRule="auto" w:before="4"/>
              <w:ind w:right="98" w:hanging="240"/>
              <w:jc w:val="both"/>
              <w:rPr>
                <w:sz w:val="24"/>
              </w:rPr>
            </w:pPr>
            <w:r>
              <w:rPr>
                <w:spacing w:val="18"/>
                <w:sz w:val="24"/>
              </w:rPr>
              <w:t>第十條 經依法停職之</w:t>
            </w:r>
            <w:r>
              <w:rPr>
                <w:spacing w:val="6"/>
                <w:sz w:val="24"/>
              </w:rPr>
              <w:t>公務人員， 於停職事</w:t>
            </w:r>
            <w:r>
              <w:rPr>
                <w:spacing w:val="23"/>
                <w:sz w:val="24"/>
              </w:rPr>
              <w:t>由消滅後三個月內，</w:t>
            </w:r>
            <w:r>
              <w:rPr>
                <w:spacing w:val="-118"/>
                <w:sz w:val="24"/>
              </w:rPr>
              <w:t> </w:t>
            </w:r>
            <w:r>
              <w:rPr>
                <w:spacing w:val="7"/>
                <w:sz w:val="24"/>
              </w:rPr>
              <w:t>得申請復職； 服務機關或其上級機關， 除</w:t>
            </w:r>
            <w:r>
              <w:rPr>
                <w:spacing w:val="23"/>
                <w:sz w:val="24"/>
              </w:rPr>
              <w:t>法律另有規定者外，</w:t>
            </w:r>
            <w:r>
              <w:rPr>
                <w:spacing w:val="-118"/>
                <w:sz w:val="24"/>
              </w:rPr>
              <w:t> </w:t>
            </w:r>
            <w:r>
              <w:rPr>
                <w:spacing w:val="7"/>
                <w:sz w:val="24"/>
              </w:rPr>
              <w:t>應許其復職， 並自受</w:t>
            </w:r>
            <w:r>
              <w:rPr>
                <w:spacing w:val="23"/>
                <w:sz w:val="24"/>
              </w:rPr>
              <w:t>理之日起三十日內通</w:t>
            </w:r>
            <w:r>
              <w:rPr>
                <w:sz w:val="24"/>
              </w:rPr>
              <w:t>知其復職。</w:t>
            </w:r>
          </w:p>
          <w:p>
            <w:pPr>
              <w:pStyle w:val="TableParagraph"/>
              <w:spacing w:line="223" w:lineRule="auto" w:before="2"/>
              <w:ind w:right="95" w:firstLine="503"/>
              <w:jc w:val="both"/>
              <w:rPr>
                <w:sz w:val="24"/>
              </w:rPr>
            </w:pPr>
            <w:r>
              <w:rPr>
                <w:spacing w:val="25"/>
                <w:sz w:val="24"/>
              </w:rPr>
              <w:t>依前項規定復職</w:t>
            </w:r>
            <w:r>
              <w:rPr>
                <w:spacing w:val="7"/>
                <w:sz w:val="24"/>
              </w:rPr>
              <w:t>之公務人員， 服務機</w:t>
            </w:r>
            <w:r>
              <w:rPr>
                <w:spacing w:val="23"/>
                <w:sz w:val="24"/>
              </w:rPr>
              <w:t>關或其上級機關應回復原職務或與原職務職等相當或與其原敘職等俸級相當之其他</w:t>
            </w:r>
            <w:r>
              <w:rPr>
                <w:spacing w:val="16"/>
                <w:w w:val="95"/>
                <w:sz w:val="24"/>
              </w:rPr>
              <w:t>職務； 如仍無法回復</w:t>
            </w:r>
            <w:r>
              <w:rPr>
                <w:spacing w:val="7"/>
                <w:sz w:val="24"/>
              </w:rPr>
              <w:t>職務時， 應依公務人</w:t>
            </w:r>
            <w:r>
              <w:rPr>
                <w:spacing w:val="23"/>
                <w:sz w:val="24"/>
              </w:rPr>
              <w:t>員任用法及公務人員俸給法有關調任之規</w:t>
            </w:r>
          </w:p>
          <w:p>
            <w:pPr>
              <w:pStyle w:val="TableParagraph"/>
              <w:spacing w:line="289" w:lineRule="exact"/>
              <w:rPr>
                <w:sz w:val="24"/>
              </w:rPr>
            </w:pPr>
            <w:r>
              <w:rPr>
                <w:sz w:val="24"/>
              </w:rPr>
              <w:t>定辦理。</w:t>
            </w:r>
          </w:p>
        </w:tc>
        <w:tc>
          <w:tcPr>
            <w:tcW w:w="3262" w:type="dxa"/>
          </w:tcPr>
          <w:p>
            <w:pPr>
              <w:pStyle w:val="TableParagraph"/>
              <w:spacing w:line="312" w:lineRule="exact"/>
              <w:ind w:left="107"/>
              <w:rPr>
                <w:sz w:val="24"/>
              </w:rPr>
            </w:pPr>
            <w:r>
              <w:rPr>
                <w:spacing w:val="43"/>
                <w:sz w:val="24"/>
              </w:rPr>
              <w:t>第十條 </w:t>
            </w:r>
            <w:r>
              <w:rPr>
                <w:spacing w:val="12"/>
                <w:sz w:val="24"/>
                <w:u w:val="single"/>
              </w:rPr>
              <w:t>公務人員非依法律</w:t>
            </w:r>
          </w:p>
          <w:p>
            <w:pPr>
              <w:pStyle w:val="TableParagraph"/>
              <w:spacing w:line="312" w:lineRule="exact"/>
              <w:rPr>
                <w:sz w:val="24"/>
              </w:rPr>
            </w:pPr>
            <w:r>
              <w:rPr>
                <w:sz w:val="24"/>
                <w:u w:val="single"/>
              </w:rPr>
              <w:t>，不得予以停職。</w:t>
            </w:r>
          </w:p>
          <w:p>
            <w:pPr>
              <w:pStyle w:val="TableParagraph"/>
              <w:spacing w:line="223" w:lineRule="auto" w:before="5"/>
              <w:ind w:right="79" w:firstLine="504"/>
              <w:jc w:val="both"/>
              <w:rPr>
                <w:sz w:val="24"/>
              </w:rPr>
            </w:pPr>
            <w:r>
              <w:rPr>
                <w:spacing w:val="14"/>
                <w:sz w:val="24"/>
              </w:rPr>
              <w:t>經依法停職之公務人</w:t>
            </w:r>
            <w:r>
              <w:rPr>
                <w:spacing w:val="15"/>
                <w:sz w:val="24"/>
              </w:rPr>
              <w:t>員，於停職事由消滅後三個月內，得申請復職；服務機關或其上級機關，除法律另有規定者外，應許其復職，並自受理之日起</w:t>
            </w:r>
            <w:r>
              <w:rPr>
                <w:sz w:val="24"/>
              </w:rPr>
              <w:t>三十日內通知其復職。</w:t>
            </w:r>
          </w:p>
          <w:p>
            <w:pPr>
              <w:pStyle w:val="TableParagraph"/>
              <w:spacing w:line="223" w:lineRule="auto" w:before="1"/>
              <w:ind w:right="79" w:firstLine="504"/>
              <w:jc w:val="both"/>
              <w:rPr>
                <w:sz w:val="24"/>
              </w:rPr>
            </w:pPr>
            <w:r>
              <w:rPr>
                <w:spacing w:val="14"/>
                <w:sz w:val="24"/>
              </w:rPr>
              <w:t>依前項規定復職之公</w:t>
            </w:r>
            <w:r>
              <w:rPr>
                <w:spacing w:val="15"/>
                <w:sz w:val="24"/>
              </w:rPr>
              <w:t>務人員，服務機關或其上級機關應回復原職務或與原職務職等相當或與其原敘職等俸級相當之其他職務；如仍無法回復職務時</w:t>
            </w:r>
          </w:p>
          <w:p>
            <w:pPr>
              <w:pStyle w:val="TableParagraph"/>
              <w:spacing w:line="223" w:lineRule="auto"/>
              <w:ind w:right="79"/>
              <w:jc w:val="both"/>
              <w:rPr>
                <w:sz w:val="24"/>
              </w:rPr>
            </w:pPr>
            <w:r>
              <w:rPr>
                <w:spacing w:val="15"/>
                <w:sz w:val="24"/>
              </w:rPr>
              <w:t>，應依公務人員任用法及公務人員俸給法有關調任</w:t>
            </w:r>
            <w:r>
              <w:rPr>
                <w:sz w:val="24"/>
              </w:rPr>
              <w:t>之規定辦理。</w:t>
            </w:r>
          </w:p>
          <w:p>
            <w:pPr>
              <w:pStyle w:val="TableParagraph"/>
              <w:spacing w:line="307" w:lineRule="exact"/>
              <w:ind w:left="0" w:right="103"/>
              <w:jc w:val="right"/>
              <w:rPr>
                <w:sz w:val="24"/>
              </w:rPr>
            </w:pPr>
            <w:r>
              <w:rPr>
                <w:spacing w:val="14"/>
                <w:sz w:val="24"/>
              </w:rPr>
              <w:t>經依法停職之公務人</w:t>
            </w:r>
          </w:p>
          <w:p>
            <w:pPr>
              <w:pStyle w:val="TableParagraph"/>
              <w:spacing w:line="294" w:lineRule="exact"/>
              <w:ind w:left="0" w:right="79"/>
              <w:jc w:val="right"/>
              <w:rPr>
                <w:sz w:val="24"/>
              </w:rPr>
            </w:pPr>
            <w:r>
              <w:rPr>
                <w:spacing w:val="15"/>
                <w:sz w:val="24"/>
              </w:rPr>
              <w:t>員，於停職事由消滅後三</w:t>
            </w:r>
          </w:p>
        </w:tc>
        <w:tc>
          <w:tcPr>
            <w:tcW w:w="3116" w:type="dxa"/>
          </w:tcPr>
          <w:p>
            <w:pPr>
              <w:pStyle w:val="TableParagraph"/>
              <w:spacing w:line="223" w:lineRule="auto" w:before="4"/>
              <w:ind w:left="105" w:right="94"/>
              <w:jc w:val="both"/>
              <w:rPr>
                <w:sz w:val="24"/>
              </w:rPr>
            </w:pPr>
            <w:r>
              <w:rPr>
                <w:sz w:val="24"/>
              </w:rPr>
              <w:t>第一項移列第九條之一第一項，原第二項至第四項，項次變更為第一項至第三項。</w:t>
            </w:r>
          </w:p>
        </w:tc>
      </w:tr>
    </w:tbl>
    <w:p>
      <w:pPr>
        <w:spacing w:after="0" w:line="223" w:lineRule="auto"/>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746" w:hRule="atLeast"/>
        </w:trPr>
        <w:tc>
          <w:tcPr>
            <w:tcW w:w="2835" w:type="dxa"/>
          </w:tcPr>
          <w:p>
            <w:pPr>
              <w:pStyle w:val="TableParagraph"/>
              <w:spacing w:line="223" w:lineRule="auto" w:before="4"/>
              <w:ind w:right="95" w:firstLine="503"/>
              <w:jc w:val="both"/>
              <w:rPr>
                <w:sz w:val="24"/>
              </w:rPr>
            </w:pPr>
            <w:r>
              <w:rPr>
                <w:spacing w:val="25"/>
                <w:sz w:val="24"/>
              </w:rPr>
              <w:t>經依法停職之公</w:t>
            </w:r>
            <w:r>
              <w:rPr>
                <w:spacing w:val="7"/>
                <w:sz w:val="24"/>
              </w:rPr>
              <w:t>務人員， 於停職事由</w:t>
            </w:r>
            <w:r>
              <w:rPr>
                <w:spacing w:val="8"/>
                <w:sz w:val="24"/>
              </w:rPr>
              <w:t>消滅後三個月內， 未</w:t>
            </w:r>
            <w:r>
              <w:rPr>
                <w:spacing w:val="7"/>
                <w:sz w:val="24"/>
              </w:rPr>
              <w:t>申請復職者， 服務機</w:t>
            </w:r>
            <w:r>
              <w:rPr>
                <w:spacing w:val="23"/>
                <w:sz w:val="24"/>
              </w:rPr>
              <w:t>關或其上級機關人事</w:t>
            </w:r>
            <w:r>
              <w:rPr>
                <w:spacing w:val="8"/>
                <w:sz w:val="24"/>
              </w:rPr>
              <w:t>單位應負責查催； 如</w:t>
            </w:r>
            <w:r>
              <w:rPr>
                <w:spacing w:val="23"/>
                <w:sz w:val="24"/>
              </w:rPr>
              <w:t>仍未於接到查催通知之日起三十日內申請</w:t>
            </w:r>
            <w:r>
              <w:rPr>
                <w:spacing w:val="16"/>
                <w:w w:val="95"/>
                <w:sz w:val="24"/>
              </w:rPr>
              <w:t>復職， 除有不可歸責</w:t>
            </w:r>
            <w:r>
              <w:rPr>
                <w:spacing w:val="23"/>
                <w:sz w:val="24"/>
              </w:rPr>
              <w:t>於該公務人員之事由</w:t>
            </w:r>
            <w:r>
              <w:rPr>
                <w:sz w:val="24"/>
              </w:rPr>
              <w:t>外，視為辭職。</w:t>
            </w:r>
          </w:p>
        </w:tc>
        <w:tc>
          <w:tcPr>
            <w:tcW w:w="3262" w:type="dxa"/>
          </w:tcPr>
          <w:p>
            <w:pPr>
              <w:pStyle w:val="TableParagraph"/>
              <w:spacing w:line="223" w:lineRule="auto" w:before="4"/>
              <w:ind w:right="79"/>
              <w:jc w:val="both"/>
              <w:rPr>
                <w:sz w:val="24"/>
              </w:rPr>
            </w:pPr>
            <w:r>
              <w:rPr>
                <w:spacing w:val="15"/>
                <w:sz w:val="24"/>
              </w:rPr>
              <w:t>個月內，未申請復職者，</w:t>
            </w:r>
            <w:r>
              <w:rPr>
                <w:spacing w:val="-118"/>
                <w:sz w:val="24"/>
              </w:rPr>
              <w:t> </w:t>
            </w:r>
            <w:r>
              <w:rPr>
                <w:spacing w:val="15"/>
                <w:sz w:val="24"/>
              </w:rPr>
              <w:t>服務機關或其上級機關人事單位應負責查催；如仍未於接到查催通知之日起三十日內申請復職，除有不可歸責於該公務人員之</w:t>
            </w:r>
            <w:r>
              <w:rPr>
                <w:sz w:val="24"/>
              </w:rPr>
              <w:t>事由外，視為辭職。</w:t>
            </w:r>
          </w:p>
        </w:tc>
        <w:tc>
          <w:tcPr>
            <w:tcW w:w="3116" w:type="dxa"/>
          </w:tcPr>
          <w:p>
            <w:pPr>
              <w:pStyle w:val="TableParagraph"/>
              <w:ind w:left="0"/>
              <w:rPr>
                <w:rFonts w:ascii="Times New Roman"/>
                <w:sz w:val="24"/>
              </w:rPr>
            </w:pPr>
          </w:p>
        </w:tc>
      </w:tr>
      <w:tr>
        <w:trPr>
          <w:trHeight w:val="9679" w:hRule="atLeast"/>
        </w:trPr>
        <w:tc>
          <w:tcPr>
            <w:tcW w:w="2835" w:type="dxa"/>
          </w:tcPr>
          <w:p>
            <w:pPr>
              <w:pStyle w:val="TableParagraph"/>
              <w:spacing w:line="223" w:lineRule="auto" w:before="4"/>
              <w:ind w:right="72" w:hanging="240"/>
              <w:jc w:val="both"/>
              <w:rPr>
                <w:sz w:val="24"/>
              </w:rPr>
            </w:pPr>
            <w:r>
              <w:rPr>
                <w:spacing w:val="20"/>
                <w:sz w:val="24"/>
              </w:rPr>
              <w:t>第十一條 受停職處分</w:t>
            </w:r>
            <w:r>
              <w:rPr>
                <w:spacing w:val="23"/>
                <w:w w:val="95"/>
                <w:sz w:val="24"/>
              </w:rPr>
              <w:t>之公務人員， </w:t>
            </w:r>
            <w:r>
              <w:rPr>
                <w:spacing w:val="21"/>
                <w:w w:val="95"/>
                <w:sz w:val="24"/>
                <w:u w:val="single"/>
              </w:rPr>
              <w:t>其停職</w:t>
            </w:r>
            <w:r>
              <w:rPr>
                <w:spacing w:val="-220"/>
                <w:w w:val="95"/>
                <w:sz w:val="24"/>
                <w:u w:val="single"/>
              </w:rPr>
              <w:t>處</w:t>
            </w:r>
            <w:r>
              <w:rPr>
                <w:spacing w:val="26"/>
                <w:sz w:val="24"/>
                <w:u w:val="single"/>
              </w:rPr>
              <w:t>分經撤銷者</w:t>
            </w:r>
            <w:r>
              <w:rPr>
                <w:spacing w:val="26"/>
                <w:sz w:val="24"/>
              </w:rPr>
              <w:t>，除得依</w:t>
            </w:r>
            <w:r>
              <w:rPr>
                <w:spacing w:val="22"/>
                <w:sz w:val="24"/>
              </w:rPr>
              <w:t>法另為處理者外，其服務機關或其上級機</w:t>
            </w:r>
            <w:r>
              <w:rPr>
                <w:spacing w:val="7"/>
                <w:sz w:val="24"/>
              </w:rPr>
              <w:t>關應予復職， 並準用</w:t>
            </w:r>
            <w:r>
              <w:rPr>
                <w:spacing w:val="22"/>
                <w:sz w:val="24"/>
              </w:rPr>
              <w:t>前條第二項之規定</w:t>
            </w:r>
          </w:p>
          <w:p>
            <w:pPr>
              <w:pStyle w:val="TableParagraph"/>
              <w:spacing w:line="308" w:lineRule="exact"/>
              <w:rPr>
                <w:sz w:val="24"/>
              </w:rPr>
            </w:pPr>
            <w:r>
              <w:rPr>
                <w:sz w:val="24"/>
              </w:rPr>
              <w:t>。</w:t>
            </w:r>
          </w:p>
          <w:p>
            <w:pPr>
              <w:pStyle w:val="TableParagraph"/>
              <w:spacing w:line="223" w:lineRule="auto" w:before="5"/>
              <w:ind w:right="98" w:firstLine="551"/>
              <w:jc w:val="both"/>
              <w:rPr>
                <w:sz w:val="24"/>
              </w:rPr>
            </w:pPr>
            <w:r>
              <w:rPr>
                <w:spacing w:val="19"/>
                <w:sz w:val="24"/>
              </w:rPr>
              <w:t>前項之公務人員</w:t>
            </w:r>
            <w:r>
              <w:rPr>
                <w:spacing w:val="6"/>
                <w:sz w:val="24"/>
              </w:rPr>
              <w:t>於復職報到前， 仍視</w:t>
            </w:r>
            <w:r>
              <w:rPr>
                <w:sz w:val="24"/>
              </w:rPr>
              <w:t>為停職。</w:t>
            </w:r>
          </w:p>
          <w:p>
            <w:pPr>
              <w:pStyle w:val="TableParagraph"/>
              <w:spacing w:line="223" w:lineRule="auto"/>
              <w:ind w:right="98" w:firstLine="551"/>
              <w:jc w:val="both"/>
              <w:rPr>
                <w:sz w:val="24"/>
              </w:rPr>
            </w:pPr>
            <w:r>
              <w:rPr>
                <w:spacing w:val="19"/>
                <w:sz w:val="24"/>
              </w:rPr>
              <w:t>依第一項應予復</w:t>
            </w:r>
            <w:r>
              <w:rPr>
                <w:spacing w:val="6"/>
                <w:sz w:val="24"/>
              </w:rPr>
              <w:t>職之公務人員， 於接</w:t>
            </w:r>
            <w:r>
              <w:rPr>
                <w:spacing w:val="7"/>
                <w:sz w:val="24"/>
              </w:rPr>
              <w:t>獲復職令後， 應於三</w:t>
            </w:r>
            <w:r>
              <w:rPr>
                <w:spacing w:val="24"/>
                <w:sz w:val="24"/>
              </w:rPr>
              <w:t>十日內報到</w:t>
            </w:r>
            <w:r>
              <w:rPr>
                <w:spacing w:val="-9"/>
                <w:sz w:val="24"/>
                <w:u w:val="single"/>
              </w:rPr>
              <w:t>， 並於復</w:t>
            </w:r>
            <w:r>
              <w:rPr>
                <w:spacing w:val="-220"/>
                <w:sz w:val="24"/>
                <w:u w:val="single"/>
              </w:rPr>
              <w:t>職</w:t>
            </w:r>
            <w:r>
              <w:rPr>
                <w:spacing w:val="8"/>
                <w:sz w:val="24"/>
                <w:u w:val="single"/>
              </w:rPr>
              <w:t>報到後， 回復其應有</w:t>
            </w:r>
            <w:r>
              <w:rPr>
                <w:spacing w:val="27"/>
                <w:sz w:val="24"/>
                <w:u w:val="single"/>
              </w:rPr>
              <w:t>之權益</w:t>
            </w:r>
            <w:r>
              <w:rPr>
                <w:spacing w:val="1"/>
                <w:sz w:val="24"/>
              </w:rPr>
              <w:t>； 其未於期限</w:t>
            </w:r>
            <w:r>
              <w:rPr>
                <w:spacing w:val="7"/>
                <w:sz w:val="24"/>
              </w:rPr>
              <w:t>內報到者， 除經核准</w:t>
            </w:r>
            <w:r>
              <w:rPr>
                <w:spacing w:val="22"/>
                <w:sz w:val="24"/>
              </w:rPr>
              <w:t>延長或有不可歸責於</w:t>
            </w:r>
            <w:r>
              <w:rPr>
                <w:spacing w:val="19"/>
                <w:sz w:val="24"/>
              </w:rPr>
              <w:t>該公務人員之事由外</w:t>
            </w:r>
            <w:r>
              <w:rPr>
                <w:sz w:val="24"/>
              </w:rPr>
              <w:t>，視為辭職。</w:t>
            </w:r>
          </w:p>
        </w:tc>
        <w:tc>
          <w:tcPr>
            <w:tcW w:w="3262" w:type="dxa"/>
          </w:tcPr>
          <w:p>
            <w:pPr>
              <w:pStyle w:val="TableParagraph"/>
              <w:spacing w:line="223" w:lineRule="auto" w:before="4"/>
              <w:ind w:right="79" w:hanging="240"/>
              <w:jc w:val="both"/>
              <w:rPr>
                <w:sz w:val="24"/>
              </w:rPr>
            </w:pPr>
            <w:r>
              <w:rPr>
                <w:spacing w:val="11"/>
                <w:sz w:val="24"/>
              </w:rPr>
              <w:t>第十一條 受停職處分之公</w:t>
            </w:r>
            <w:r>
              <w:rPr>
                <w:spacing w:val="15"/>
                <w:sz w:val="24"/>
              </w:rPr>
              <w:t>務人員，經依法提起救濟而撤銷原行政處分者，除得依法另為處理者外，其服務機關或其上級機關應予復職，並準用前條第二</w:t>
            </w:r>
            <w:r>
              <w:rPr>
                <w:sz w:val="24"/>
              </w:rPr>
              <w:t>項之規定。</w:t>
            </w:r>
          </w:p>
          <w:p>
            <w:pPr>
              <w:pStyle w:val="TableParagraph"/>
              <w:spacing w:line="223" w:lineRule="auto" w:before="2"/>
              <w:ind w:left="364" w:right="102" w:firstLine="508"/>
              <w:jc w:val="both"/>
              <w:rPr>
                <w:sz w:val="24"/>
              </w:rPr>
            </w:pPr>
            <w:r>
              <w:rPr>
                <w:spacing w:val="11"/>
                <w:sz w:val="24"/>
              </w:rPr>
              <w:t>前項之公務人員於復</w:t>
            </w:r>
            <w:r>
              <w:rPr>
                <w:sz w:val="24"/>
              </w:rPr>
              <w:t>職報到前，仍視為停職。</w:t>
            </w:r>
          </w:p>
          <w:p>
            <w:pPr>
              <w:pStyle w:val="TableParagraph"/>
              <w:spacing w:line="223" w:lineRule="auto"/>
              <w:ind w:right="79" w:firstLine="513"/>
              <w:jc w:val="both"/>
              <w:rPr>
                <w:sz w:val="24"/>
              </w:rPr>
            </w:pPr>
            <w:r>
              <w:rPr>
                <w:spacing w:val="13"/>
                <w:sz w:val="24"/>
              </w:rPr>
              <w:t>依第一項應予復職之</w:t>
            </w:r>
            <w:r>
              <w:rPr>
                <w:spacing w:val="15"/>
                <w:sz w:val="24"/>
              </w:rPr>
              <w:t>公務人員，於接獲復職令後，應於三十日內報到；</w:t>
            </w:r>
            <w:r>
              <w:rPr>
                <w:spacing w:val="-118"/>
                <w:sz w:val="24"/>
              </w:rPr>
              <w:t> </w:t>
            </w:r>
            <w:r>
              <w:rPr>
                <w:spacing w:val="15"/>
                <w:sz w:val="24"/>
              </w:rPr>
              <w:t>其未於期限內報到者，除經核准延長或有不可歸責於該公務人員之事由</w:t>
            </w:r>
            <w:r>
              <w:rPr>
                <w:spacing w:val="16"/>
                <w:sz w:val="24"/>
                <w:u w:val="single"/>
              </w:rPr>
              <w:t>者</w:t>
            </w:r>
            <w:r>
              <w:rPr>
                <w:sz w:val="24"/>
              </w:rPr>
              <w:t>外</w:t>
            </w:r>
          </w:p>
          <w:p>
            <w:pPr>
              <w:pStyle w:val="TableParagraph"/>
              <w:spacing w:line="318" w:lineRule="exact"/>
              <w:rPr>
                <w:sz w:val="24"/>
              </w:rPr>
            </w:pPr>
            <w:r>
              <w:rPr>
                <w:sz w:val="24"/>
              </w:rPr>
              <w:t>，視為辭職。</w:t>
            </w:r>
          </w:p>
        </w:tc>
        <w:tc>
          <w:tcPr>
            <w:tcW w:w="3116" w:type="dxa"/>
          </w:tcPr>
          <w:p>
            <w:pPr>
              <w:pStyle w:val="TableParagraph"/>
              <w:spacing w:line="223" w:lineRule="auto" w:before="4"/>
              <w:ind w:left="621" w:right="67" w:hanging="516"/>
              <w:jc w:val="both"/>
              <w:rPr>
                <w:sz w:val="24"/>
              </w:rPr>
            </w:pPr>
            <w:r>
              <w:rPr>
                <w:spacing w:val="20"/>
                <w:sz w:val="24"/>
              </w:rPr>
              <w:t>一、按停職處分之撤銷，</w:t>
            </w:r>
            <w:r>
              <w:rPr>
                <w:spacing w:val="-118"/>
                <w:sz w:val="24"/>
              </w:rPr>
              <w:t> </w:t>
            </w:r>
            <w:r>
              <w:rPr>
                <w:spacing w:val="23"/>
                <w:sz w:val="24"/>
              </w:rPr>
              <w:t>不限於依法提起救濟</w:t>
            </w:r>
            <w:r>
              <w:rPr>
                <w:spacing w:val="9"/>
                <w:sz w:val="24"/>
              </w:rPr>
              <w:t>而撤銷之情形， 亦包</w:t>
            </w:r>
            <w:r>
              <w:rPr>
                <w:spacing w:val="23"/>
                <w:sz w:val="24"/>
              </w:rPr>
              <w:t>括權責機關依行政程</w:t>
            </w:r>
            <w:r>
              <w:rPr>
                <w:spacing w:val="25"/>
                <w:sz w:val="24"/>
              </w:rPr>
              <w:t>序法第一百十七條規</w:t>
            </w:r>
            <w:r>
              <w:rPr>
                <w:spacing w:val="8"/>
                <w:sz w:val="24"/>
              </w:rPr>
              <w:t>定， 本於職權而撤銷</w:t>
            </w:r>
            <w:r>
              <w:rPr>
                <w:spacing w:val="23"/>
                <w:sz w:val="24"/>
              </w:rPr>
              <w:t>之情形。為周全保障受停職處分公務人員</w:t>
            </w:r>
            <w:r>
              <w:rPr>
                <w:spacing w:val="8"/>
                <w:sz w:val="24"/>
              </w:rPr>
              <w:t>復職之權利， 爰將第</w:t>
            </w:r>
            <w:r>
              <w:rPr>
                <w:spacing w:val="23"/>
                <w:sz w:val="24"/>
              </w:rPr>
              <w:t>一項所定「經依法提起救濟而撤銷原行政</w:t>
            </w:r>
            <w:r>
              <w:rPr>
                <w:spacing w:val="8"/>
                <w:sz w:val="24"/>
              </w:rPr>
              <w:t>處分者」， 修正為「</w:t>
            </w:r>
            <w:r>
              <w:rPr>
                <w:spacing w:val="23"/>
                <w:sz w:val="24"/>
              </w:rPr>
              <w:t>其停職處分經撤銷者</w:t>
            </w:r>
          </w:p>
          <w:p>
            <w:pPr>
              <w:pStyle w:val="TableParagraph"/>
              <w:spacing w:line="223" w:lineRule="auto" w:before="1"/>
              <w:ind w:left="621" w:right="67"/>
              <w:jc w:val="both"/>
              <w:rPr>
                <w:sz w:val="24"/>
              </w:rPr>
            </w:pPr>
            <w:r>
              <w:rPr>
                <w:spacing w:val="25"/>
                <w:sz w:val="24"/>
              </w:rPr>
              <w:t>」，俾使經服務機關</w:t>
            </w:r>
            <w:r>
              <w:rPr>
                <w:spacing w:val="23"/>
                <w:sz w:val="24"/>
              </w:rPr>
              <w:t>或上級機關依職權撤</w:t>
            </w:r>
            <w:r>
              <w:rPr>
                <w:spacing w:val="25"/>
                <w:sz w:val="24"/>
              </w:rPr>
              <w:t>銷停職處分而應予復</w:t>
            </w:r>
            <w:r>
              <w:rPr>
                <w:spacing w:val="8"/>
                <w:sz w:val="24"/>
              </w:rPr>
              <w:t>職之情形， 亦納入規</w:t>
            </w:r>
            <w:r>
              <w:rPr>
                <w:sz w:val="24"/>
              </w:rPr>
              <w:t>範。</w:t>
            </w:r>
          </w:p>
          <w:p>
            <w:pPr>
              <w:pStyle w:val="TableParagraph"/>
              <w:spacing w:line="223" w:lineRule="auto" w:before="2"/>
              <w:ind w:left="621" w:right="67" w:hanging="516"/>
              <w:jc w:val="both"/>
              <w:rPr>
                <w:sz w:val="24"/>
              </w:rPr>
            </w:pPr>
            <w:r>
              <w:rPr>
                <w:spacing w:val="20"/>
                <w:sz w:val="24"/>
              </w:rPr>
              <w:t>二、又受停職處分之公務</w:t>
            </w:r>
            <w:r>
              <w:rPr>
                <w:spacing w:val="8"/>
                <w:sz w:val="24"/>
              </w:rPr>
              <w:t>人員， 其違法停職處分既經撤銷， 依行政</w:t>
            </w:r>
            <w:r>
              <w:rPr>
                <w:spacing w:val="23"/>
                <w:sz w:val="24"/>
              </w:rPr>
              <w:t>程序法第一百十八條本文規定，該停職處分即溯及既往失其效</w:t>
            </w:r>
            <w:r>
              <w:rPr>
                <w:spacing w:val="13"/>
                <w:w w:val="95"/>
                <w:sz w:val="24"/>
              </w:rPr>
              <w:t>力。職此， 原受停職</w:t>
            </w:r>
            <w:r>
              <w:rPr>
                <w:spacing w:val="25"/>
                <w:sz w:val="24"/>
              </w:rPr>
              <w:t>處分之公務人員於辦</w:t>
            </w:r>
            <w:r>
              <w:rPr>
                <w:spacing w:val="9"/>
                <w:sz w:val="24"/>
              </w:rPr>
              <w:t>理復職報到後， 其相</w:t>
            </w:r>
            <w:r>
              <w:rPr>
                <w:spacing w:val="8"/>
                <w:sz w:val="24"/>
              </w:rPr>
              <w:t>關權益應予回復， 如</w:t>
            </w:r>
            <w:r>
              <w:rPr>
                <w:spacing w:val="23"/>
                <w:sz w:val="24"/>
              </w:rPr>
              <w:t>任職年資、休假年資及退休年資等權益，</w:t>
            </w:r>
          </w:p>
          <w:p>
            <w:pPr>
              <w:pStyle w:val="TableParagraph"/>
              <w:spacing w:line="288" w:lineRule="exact"/>
              <w:ind w:left="621"/>
              <w:jc w:val="both"/>
              <w:rPr>
                <w:sz w:val="24"/>
              </w:rPr>
            </w:pPr>
            <w:r>
              <w:rPr>
                <w:spacing w:val="23"/>
                <w:sz w:val="24"/>
              </w:rPr>
              <w:t>應均不受該違法停職</w:t>
            </w:r>
          </w:p>
        </w:tc>
      </w:tr>
    </w:tbl>
    <w:p>
      <w:pPr>
        <w:spacing w:after="0" w:line="288" w:lineRule="exact"/>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2392" w:hRule="atLeast"/>
        </w:trPr>
        <w:tc>
          <w:tcPr>
            <w:tcW w:w="2835" w:type="dxa"/>
          </w:tcPr>
          <w:p>
            <w:pPr>
              <w:pStyle w:val="TableParagraph"/>
              <w:ind w:left="0"/>
              <w:rPr>
                <w:rFonts w:ascii="Times New Roman"/>
                <w:sz w:val="24"/>
              </w:rPr>
            </w:pPr>
          </w:p>
        </w:tc>
        <w:tc>
          <w:tcPr>
            <w:tcW w:w="3262" w:type="dxa"/>
          </w:tcPr>
          <w:p>
            <w:pPr>
              <w:pStyle w:val="TableParagraph"/>
              <w:ind w:left="0"/>
              <w:rPr>
                <w:rFonts w:ascii="Times New Roman"/>
                <w:sz w:val="24"/>
              </w:rPr>
            </w:pPr>
          </w:p>
        </w:tc>
        <w:tc>
          <w:tcPr>
            <w:tcW w:w="3116" w:type="dxa"/>
          </w:tcPr>
          <w:p>
            <w:pPr>
              <w:pStyle w:val="TableParagraph"/>
              <w:spacing w:line="223" w:lineRule="auto" w:before="4"/>
              <w:ind w:left="621" w:right="67"/>
              <w:jc w:val="both"/>
              <w:rPr>
                <w:sz w:val="24"/>
              </w:rPr>
            </w:pPr>
            <w:r>
              <w:rPr>
                <w:spacing w:val="8"/>
                <w:sz w:val="24"/>
              </w:rPr>
              <w:t>處分之影響， 爰於第</w:t>
            </w:r>
            <w:r>
              <w:rPr>
                <w:spacing w:val="23"/>
                <w:sz w:val="24"/>
              </w:rPr>
              <w:t>三項增列「並於復職</w:t>
            </w:r>
            <w:r>
              <w:rPr>
                <w:spacing w:val="8"/>
                <w:sz w:val="24"/>
              </w:rPr>
              <w:t>報到後， 回復其應有</w:t>
            </w:r>
            <w:r>
              <w:rPr>
                <w:spacing w:val="24"/>
                <w:sz w:val="24"/>
              </w:rPr>
              <w:t>之權益」等文字，俾</w:t>
            </w:r>
            <w:r>
              <w:rPr>
                <w:spacing w:val="23"/>
                <w:sz w:val="24"/>
              </w:rPr>
              <w:t>符本法保障公務人員</w:t>
            </w:r>
            <w:r>
              <w:rPr>
                <w:sz w:val="24"/>
              </w:rPr>
              <w:t>權益之立法意旨。</w:t>
            </w:r>
          </w:p>
        </w:tc>
      </w:tr>
      <w:tr>
        <w:trPr>
          <w:trHeight w:val="10930" w:hRule="atLeast"/>
        </w:trPr>
        <w:tc>
          <w:tcPr>
            <w:tcW w:w="2835" w:type="dxa"/>
          </w:tcPr>
          <w:p>
            <w:pPr>
              <w:pStyle w:val="TableParagraph"/>
              <w:spacing w:line="223" w:lineRule="auto" w:before="7"/>
              <w:ind w:right="96" w:hanging="240"/>
              <w:jc w:val="both"/>
              <w:rPr>
                <w:sz w:val="24"/>
              </w:rPr>
            </w:pPr>
            <w:r>
              <w:rPr>
                <w:spacing w:val="18"/>
                <w:sz w:val="24"/>
              </w:rPr>
              <w:t>第十一條之一 留職停</w:t>
            </w:r>
            <w:r>
              <w:rPr>
                <w:spacing w:val="23"/>
                <w:sz w:val="24"/>
              </w:rPr>
              <w:t>薪原因消滅後或期間</w:t>
            </w:r>
            <w:r>
              <w:rPr>
                <w:spacing w:val="13"/>
                <w:w w:val="95"/>
                <w:sz w:val="24"/>
              </w:rPr>
              <w:t>屆滿， 有關復職之事</w:t>
            </w:r>
            <w:r>
              <w:rPr>
                <w:spacing w:val="7"/>
                <w:sz w:val="24"/>
              </w:rPr>
              <w:t>項， 除法規另有規定</w:t>
            </w:r>
            <w:r>
              <w:rPr>
                <w:spacing w:val="16"/>
                <w:w w:val="95"/>
                <w:sz w:val="24"/>
              </w:rPr>
              <w:t>者外， 準用第十條之</w:t>
            </w:r>
            <w:r>
              <w:rPr>
                <w:sz w:val="24"/>
              </w:rPr>
              <w:t>規定。</w:t>
            </w:r>
          </w:p>
        </w:tc>
        <w:tc>
          <w:tcPr>
            <w:tcW w:w="3262" w:type="dxa"/>
          </w:tcPr>
          <w:p>
            <w:pPr>
              <w:pStyle w:val="TableParagraph"/>
              <w:ind w:left="0"/>
              <w:rPr>
                <w:rFonts w:ascii="Times New Roman"/>
                <w:sz w:val="24"/>
              </w:rPr>
            </w:pPr>
          </w:p>
        </w:tc>
        <w:tc>
          <w:tcPr>
            <w:tcW w:w="3116" w:type="dxa"/>
          </w:tcPr>
          <w:p>
            <w:pPr>
              <w:pStyle w:val="TableParagraph"/>
              <w:spacing w:line="314"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6" w:right="72" w:hanging="521"/>
              <w:jc w:val="both"/>
              <w:rPr>
                <w:sz w:val="24"/>
              </w:rPr>
            </w:pPr>
            <w:r>
              <w:rPr>
                <w:spacing w:val="20"/>
                <w:sz w:val="24"/>
              </w:rPr>
              <w:t>二、為保障留職停薪之公</w:t>
            </w:r>
            <w:r>
              <w:rPr>
                <w:spacing w:val="8"/>
                <w:sz w:val="24"/>
              </w:rPr>
              <w:t>務人員， 於留職停薪</w:t>
            </w:r>
            <w:r>
              <w:rPr>
                <w:spacing w:val="23"/>
                <w:sz w:val="24"/>
              </w:rPr>
              <w:t>原因消滅後或期間屆</w:t>
            </w:r>
            <w:r>
              <w:rPr>
                <w:spacing w:val="9"/>
                <w:sz w:val="24"/>
              </w:rPr>
              <w:t>滿之復職權益， 爰明</w:t>
            </w:r>
            <w:r>
              <w:rPr>
                <w:spacing w:val="23"/>
                <w:sz w:val="24"/>
              </w:rPr>
              <w:t>定留職停薪公務人員</w:t>
            </w:r>
          </w:p>
          <w:p>
            <w:pPr>
              <w:pStyle w:val="TableParagraph"/>
              <w:spacing w:line="223" w:lineRule="auto"/>
              <w:ind w:left="626" w:right="98"/>
              <w:jc w:val="both"/>
              <w:rPr>
                <w:sz w:val="24"/>
              </w:rPr>
            </w:pPr>
            <w:r>
              <w:rPr>
                <w:spacing w:val="13"/>
                <w:w w:val="95"/>
                <w:sz w:val="24"/>
              </w:rPr>
              <w:t>， 有關復職之事項，</w:t>
            </w:r>
            <w:r>
              <w:rPr>
                <w:spacing w:val="-111"/>
                <w:w w:val="95"/>
                <w:sz w:val="24"/>
              </w:rPr>
              <w:t> </w:t>
            </w:r>
            <w:r>
              <w:rPr>
                <w:spacing w:val="22"/>
                <w:sz w:val="24"/>
              </w:rPr>
              <w:t>除法規另有規定者外</w:t>
            </w:r>
          </w:p>
          <w:p>
            <w:pPr>
              <w:pStyle w:val="TableParagraph"/>
              <w:spacing w:line="307" w:lineRule="exact"/>
              <w:ind w:left="626"/>
              <w:rPr>
                <w:sz w:val="24"/>
              </w:rPr>
            </w:pPr>
            <w:r>
              <w:rPr>
                <w:spacing w:val="8"/>
                <w:sz w:val="24"/>
              </w:rPr>
              <w:t>， 準用第十條之規定</w:t>
            </w:r>
          </w:p>
          <w:p>
            <w:pPr>
              <w:pStyle w:val="TableParagraph"/>
              <w:spacing w:line="312" w:lineRule="exact"/>
              <w:ind w:left="626"/>
              <w:rPr>
                <w:sz w:val="24"/>
              </w:rPr>
            </w:pPr>
            <w:r>
              <w:rPr>
                <w:sz w:val="24"/>
              </w:rPr>
              <w:t>。</w:t>
            </w:r>
          </w:p>
          <w:p>
            <w:pPr>
              <w:pStyle w:val="TableParagraph"/>
              <w:spacing w:line="313" w:lineRule="exact"/>
              <w:ind w:left="105"/>
              <w:rPr>
                <w:sz w:val="24"/>
              </w:rPr>
            </w:pPr>
            <w:r>
              <w:rPr>
                <w:spacing w:val="5"/>
                <w:sz w:val="24"/>
              </w:rPr>
              <w:t>三、相關條文</w:t>
            </w:r>
          </w:p>
          <w:p>
            <w:pPr>
              <w:pStyle w:val="TableParagraph"/>
              <w:spacing w:line="313" w:lineRule="exact"/>
              <w:ind w:left="105"/>
              <w:rPr>
                <w:sz w:val="24"/>
              </w:rPr>
            </w:pPr>
            <w:r>
              <w:rPr>
                <w:sz w:val="24"/>
              </w:rPr>
              <w:t>公務人員留職停薪辦法</w:t>
            </w:r>
          </w:p>
          <w:p>
            <w:pPr>
              <w:pStyle w:val="TableParagraph"/>
              <w:spacing w:line="223" w:lineRule="auto" w:before="5"/>
              <w:ind w:left="345" w:right="98" w:hanging="240"/>
              <w:jc w:val="both"/>
              <w:rPr>
                <w:sz w:val="24"/>
              </w:rPr>
            </w:pPr>
            <w:r>
              <w:rPr>
                <w:sz w:val="24"/>
              </w:rPr>
              <w:t>第七條 留職停薪人員除其他法律別有規定外，應於留職停薪期間屆滿之次日復職。但其留職停薪屆滿前原因消失後，應即申請復職。</w:t>
            </w:r>
          </w:p>
          <w:p>
            <w:pPr>
              <w:pStyle w:val="TableParagraph"/>
              <w:spacing w:line="223" w:lineRule="auto"/>
              <w:ind w:left="345" w:right="65" w:firstLine="504"/>
              <w:rPr>
                <w:sz w:val="24"/>
              </w:rPr>
            </w:pPr>
            <w:r>
              <w:rPr>
                <w:spacing w:val="31"/>
                <w:sz w:val="24"/>
              </w:rPr>
              <w:t>留職停薪人員於留</w:t>
            </w:r>
            <w:r>
              <w:rPr>
                <w:sz w:val="24"/>
              </w:rPr>
              <w:t>職停薪期間或屆滿之次日</w:t>
            </w:r>
          </w:p>
          <w:p>
            <w:pPr>
              <w:pStyle w:val="TableParagraph"/>
              <w:spacing w:line="307" w:lineRule="exact"/>
              <w:ind w:left="345"/>
              <w:rPr>
                <w:sz w:val="24"/>
              </w:rPr>
            </w:pPr>
            <w:r>
              <w:rPr>
                <w:sz w:val="24"/>
              </w:rPr>
              <w:t>，因辭職或其他事由離職</w:t>
            </w:r>
          </w:p>
          <w:p>
            <w:pPr>
              <w:pStyle w:val="TableParagraph"/>
              <w:spacing w:line="223" w:lineRule="auto" w:before="4"/>
              <w:ind w:left="345" w:right="99"/>
              <w:rPr>
                <w:sz w:val="24"/>
              </w:rPr>
            </w:pPr>
            <w:r>
              <w:rPr>
                <w:sz w:val="24"/>
              </w:rPr>
              <w:t>，不受前項應申請復職之限制。</w:t>
            </w:r>
          </w:p>
          <w:p>
            <w:pPr>
              <w:pStyle w:val="TableParagraph"/>
              <w:spacing w:line="223" w:lineRule="auto"/>
              <w:ind w:left="345" w:right="65" w:firstLine="504"/>
              <w:jc w:val="both"/>
              <w:rPr>
                <w:sz w:val="24"/>
              </w:rPr>
            </w:pPr>
            <w:r>
              <w:rPr>
                <w:spacing w:val="31"/>
                <w:sz w:val="24"/>
              </w:rPr>
              <w:t>留職停薪人員服務</w:t>
            </w:r>
            <w:r>
              <w:rPr>
                <w:sz w:val="24"/>
              </w:rPr>
              <w:t>機關應於留職停薪期間屆滿前三十日預為通知留職停薪人員；留職停薪人員</w:t>
            </w:r>
          </w:p>
          <w:p>
            <w:pPr>
              <w:pStyle w:val="TableParagraph"/>
              <w:spacing w:line="223" w:lineRule="auto" w:before="2"/>
              <w:ind w:left="345" w:right="99"/>
              <w:jc w:val="both"/>
              <w:rPr>
                <w:sz w:val="24"/>
              </w:rPr>
            </w:pPr>
            <w:r>
              <w:rPr>
                <w:sz w:val="24"/>
              </w:rPr>
              <w:t>，應於留職停薪期間屆滿前二十日內，向服務機關申請復職；逾期未復職者</w:t>
            </w:r>
          </w:p>
          <w:p>
            <w:pPr>
              <w:pStyle w:val="TableParagraph"/>
              <w:spacing w:line="223" w:lineRule="auto"/>
              <w:ind w:left="345" w:right="99"/>
              <w:jc w:val="both"/>
              <w:rPr>
                <w:sz w:val="24"/>
              </w:rPr>
            </w:pPr>
            <w:r>
              <w:rPr>
                <w:sz w:val="24"/>
              </w:rPr>
              <w:t>，除有不可歸責於留職停薪人員之事由外，視同辭職，並以留職停薪屆滿之次日為辭職生效日。</w:t>
            </w:r>
          </w:p>
          <w:p>
            <w:pPr>
              <w:pStyle w:val="TableParagraph"/>
              <w:spacing w:line="289" w:lineRule="exact"/>
              <w:ind w:left="849"/>
              <w:rPr>
                <w:sz w:val="24"/>
              </w:rPr>
            </w:pPr>
            <w:r>
              <w:rPr>
                <w:spacing w:val="33"/>
                <w:sz w:val="24"/>
              </w:rPr>
              <w:t>留職停薪人員於留</w:t>
            </w:r>
          </w:p>
        </w:tc>
      </w:tr>
    </w:tbl>
    <w:p>
      <w:pPr>
        <w:spacing w:after="0" w:line="289" w:lineRule="exac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4058" w:hRule="atLeast"/>
        </w:trPr>
        <w:tc>
          <w:tcPr>
            <w:tcW w:w="2835" w:type="dxa"/>
          </w:tcPr>
          <w:p>
            <w:pPr>
              <w:pStyle w:val="TableParagraph"/>
              <w:ind w:left="0"/>
              <w:rPr>
                <w:rFonts w:ascii="Times New Roman"/>
                <w:sz w:val="24"/>
              </w:rPr>
            </w:pPr>
          </w:p>
        </w:tc>
        <w:tc>
          <w:tcPr>
            <w:tcW w:w="3262" w:type="dxa"/>
          </w:tcPr>
          <w:p>
            <w:pPr>
              <w:pStyle w:val="TableParagraph"/>
              <w:ind w:left="0"/>
              <w:rPr>
                <w:rFonts w:ascii="Times New Roman"/>
                <w:sz w:val="24"/>
              </w:rPr>
            </w:pPr>
          </w:p>
        </w:tc>
        <w:tc>
          <w:tcPr>
            <w:tcW w:w="3116" w:type="dxa"/>
          </w:tcPr>
          <w:p>
            <w:pPr>
              <w:pStyle w:val="TableParagraph"/>
              <w:spacing w:line="223" w:lineRule="auto" w:before="4"/>
              <w:ind w:left="345" w:right="98"/>
              <w:jc w:val="both"/>
              <w:rPr>
                <w:sz w:val="24"/>
              </w:rPr>
            </w:pPr>
            <w:r>
              <w:rPr>
                <w:sz w:val="24"/>
              </w:rPr>
              <w:t>職停薪期間因留職停薪原因消失，應於原因消失之日起二十日內，向服務機關申請復職，服務機關應於受理之日起三十日內通知其復職；如未申請復職者，服務機關應即查處，</w:t>
            </w:r>
            <w:r>
              <w:rPr>
                <w:spacing w:val="-118"/>
                <w:sz w:val="24"/>
              </w:rPr>
              <w:t> </w:t>
            </w:r>
            <w:r>
              <w:rPr>
                <w:sz w:val="24"/>
              </w:rPr>
              <w:t>並通知於十日內復職；逾期未復職者，除有不可歸責於留職停薪人員之事由外，視同辭職，並以留職停薪原因消失之次日為辭</w:t>
            </w:r>
          </w:p>
          <w:p>
            <w:pPr>
              <w:pStyle w:val="TableParagraph"/>
              <w:spacing w:line="288" w:lineRule="exact"/>
              <w:ind w:left="345"/>
              <w:rPr>
                <w:sz w:val="24"/>
              </w:rPr>
            </w:pPr>
            <w:r>
              <w:rPr>
                <w:sz w:val="24"/>
              </w:rPr>
              <w:t>職生效日。</w:t>
            </w:r>
          </w:p>
        </w:tc>
      </w:tr>
      <w:tr>
        <w:trPr>
          <w:trHeight w:val="7805" w:hRule="atLeast"/>
        </w:trPr>
        <w:tc>
          <w:tcPr>
            <w:tcW w:w="2835" w:type="dxa"/>
          </w:tcPr>
          <w:p>
            <w:pPr>
              <w:pStyle w:val="TableParagraph"/>
              <w:spacing w:line="223" w:lineRule="auto" w:before="4"/>
              <w:ind w:right="72" w:hanging="240"/>
              <w:jc w:val="both"/>
              <w:rPr>
                <w:sz w:val="24"/>
              </w:rPr>
            </w:pPr>
            <w:r>
              <w:rPr>
                <w:spacing w:val="20"/>
                <w:sz w:val="24"/>
              </w:rPr>
              <w:t>第十一條之二 經依法</w:t>
            </w:r>
            <w:r>
              <w:rPr>
                <w:spacing w:val="8"/>
                <w:sz w:val="24"/>
              </w:rPr>
              <w:t>休職之公務人員， 有</w:t>
            </w:r>
            <w:r>
              <w:rPr>
                <w:spacing w:val="15"/>
                <w:w w:val="95"/>
                <w:sz w:val="24"/>
              </w:rPr>
              <w:t>關復職之事項， 除法</w:t>
            </w:r>
            <w:r>
              <w:rPr>
                <w:spacing w:val="13"/>
                <w:w w:val="95"/>
                <w:sz w:val="24"/>
              </w:rPr>
              <w:t>律另有規定者外， 準</w:t>
            </w:r>
            <w:r>
              <w:rPr>
                <w:sz w:val="24"/>
              </w:rPr>
              <w:t>用第十條之規定。</w:t>
            </w:r>
          </w:p>
        </w:tc>
        <w:tc>
          <w:tcPr>
            <w:tcW w:w="3262" w:type="dxa"/>
          </w:tcPr>
          <w:p>
            <w:pPr>
              <w:pStyle w:val="TableParagraph"/>
              <w:ind w:left="0"/>
              <w:rPr>
                <w:rFonts w:ascii="Times New Roman"/>
                <w:sz w:val="24"/>
              </w:rPr>
            </w:pPr>
          </w:p>
        </w:tc>
        <w:tc>
          <w:tcPr>
            <w:tcW w:w="3116"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6" w:right="72" w:hanging="521"/>
              <w:jc w:val="both"/>
              <w:rPr>
                <w:sz w:val="24"/>
              </w:rPr>
            </w:pPr>
            <w:r>
              <w:rPr>
                <w:spacing w:val="20"/>
                <w:sz w:val="24"/>
              </w:rPr>
              <w:t>二、為保障經依法休職之</w:t>
            </w:r>
            <w:r>
              <w:rPr>
                <w:spacing w:val="9"/>
                <w:sz w:val="24"/>
              </w:rPr>
              <w:t>公務人員， 於休職期</w:t>
            </w:r>
            <w:r>
              <w:rPr>
                <w:spacing w:val="8"/>
                <w:sz w:val="24"/>
              </w:rPr>
              <w:t>滿後之復職權益， 爰</w:t>
            </w:r>
            <w:r>
              <w:rPr>
                <w:spacing w:val="23"/>
                <w:sz w:val="24"/>
              </w:rPr>
              <w:t>明定經依法休職之公</w:t>
            </w:r>
            <w:r>
              <w:rPr>
                <w:spacing w:val="8"/>
                <w:sz w:val="24"/>
              </w:rPr>
              <w:t>務人員， 有關復職之事項， 除法律另有規定者外， 準用第十條</w:t>
            </w:r>
            <w:r>
              <w:rPr>
                <w:sz w:val="24"/>
              </w:rPr>
              <w:t>之規定。</w:t>
            </w:r>
          </w:p>
          <w:p>
            <w:pPr>
              <w:pStyle w:val="TableParagraph"/>
              <w:spacing w:line="223" w:lineRule="auto" w:before="1"/>
              <w:ind w:left="105" w:right="1517"/>
              <w:rPr>
                <w:sz w:val="24"/>
              </w:rPr>
            </w:pPr>
            <w:r>
              <w:rPr>
                <w:spacing w:val="5"/>
                <w:sz w:val="24"/>
              </w:rPr>
              <w:t>三、相關條文</w:t>
            </w:r>
            <w:r>
              <w:rPr>
                <w:sz w:val="24"/>
              </w:rPr>
              <w:t>公務員懲戒法</w:t>
            </w:r>
          </w:p>
          <w:p>
            <w:pPr>
              <w:pStyle w:val="TableParagraph"/>
              <w:spacing w:line="307" w:lineRule="exact"/>
              <w:ind w:left="105"/>
              <w:rPr>
                <w:sz w:val="24"/>
              </w:rPr>
            </w:pPr>
            <w:r>
              <w:rPr>
                <w:spacing w:val="9"/>
                <w:sz w:val="24"/>
              </w:rPr>
              <w:t>第十四條 休職，休其現職</w:t>
            </w:r>
          </w:p>
          <w:p>
            <w:pPr>
              <w:pStyle w:val="TableParagraph"/>
              <w:spacing w:line="223" w:lineRule="auto" w:before="5"/>
              <w:ind w:left="345" w:right="99"/>
              <w:jc w:val="both"/>
              <w:rPr>
                <w:sz w:val="24"/>
              </w:rPr>
            </w:pPr>
            <w:r>
              <w:rPr>
                <w:sz w:val="24"/>
              </w:rPr>
              <w:t>，停發俸（薪）給，並不得申請退休、退伍或在其他機關任職；其期間為六個月以上、三年以下。</w:t>
            </w:r>
          </w:p>
          <w:p>
            <w:pPr>
              <w:pStyle w:val="TableParagraph"/>
              <w:spacing w:line="223" w:lineRule="auto"/>
              <w:ind w:left="345" w:right="65" w:firstLine="504"/>
              <w:jc w:val="both"/>
              <w:rPr>
                <w:sz w:val="24"/>
              </w:rPr>
            </w:pPr>
            <w:r>
              <w:rPr>
                <w:spacing w:val="31"/>
                <w:sz w:val="24"/>
              </w:rPr>
              <w:t>休職期滿，許其回</w:t>
            </w:r>
            <w:r>
              <w:rPr>
                <w:sz w:val="24"/>
              </w:rPr>
              <w:t>復原職務或相當之其他職務。自復職之日起，二年內不得晉敘、陞任或遷調主管職務。</w:t>
            </w:r>
          </w:p>
          <w:p>
            <w:pPr>
              <w:pStyle w:val="TableParagraph"/>
              <w:spacing w:line="223" w:lineRule="auto" w:before="1"/>
              <w:ind w:left="345" w:right="65" w:firstLine="504"/>
              <w:jc w:val="both"/>
              <w:rPr>
                <w:sz w:val="24"/>
              </w:rPr>
            </w:pPr>
            <w:r>
              <w:rPr>
                <w:spacing w:val="31"/>
                <w:sz w:val="24"/>
              </w:rPr>
              <w:t>前項復職，得於休</w:t>
            </w:r>
            <w:r>
              <w:rPr>
                <w:sz w:val="24"/>
              </w:rPr>
              <w:t>職期滿前三十日內提出申請，並準用公務人員保障</w:t>
            </w:r>
          </w:p>
          <w:p>
            <w:pPr>
              <w:pStyle w:val="TableParagraph"/>
              <w:spacing w:line="287" w:lineRule="exact"/>
              <w:ind w:left="345"/>
              <w:rPr>
                <w:sz w:val="24"/>
              </w:rPr>
            </w:pPr>
            <w:r>
              <w:rPr>
                <w:sz w:val="24"/>
              </w:rPr>
              <w:t>法之復職規定辦理。</w:t>
            </w:r>
          </w:p>
        </w:tc>
      </w:tr>
      <w:tr>
        <w:trPr>
          <w:trHeight w:val="1561" w:hRule="atLeast"/>
        </w:trPr>
        <w:tc>
          <w:tcPr>
            <w:tcW w:w="2835" w:type="dxa"/>
          </w:tcPr>
          <w:p>
            <w:pPr>
              <w:pStyle w:val="TableParagraph"/>
              <w:spacing w:line="223" w:lineRule="auto" w:before="4"/>
              <w:ind w:right="97" w:hanging="240"/>
              <w:jc w:val="both"/>
              <w:rPr>
                <w:sz w:val="24"/>
              </w:rPr>
            </w:pPr>
            <w:r>
              <w:rPr>
                <w:spacing w:val="18"/>
                <w:sz w:val="24"/>
              </w:rPr>
              <w:t>第十二條之一 公務人</w:t>
            </w:r>
            <w:r>
              <w:rPr>
                <w:spacing w:val="13"/>
                <w:w w:val="95"/>
                <w:sz w:val="24"/>
              </w:rPr>
              <w:t>員之辭職， 應以書面</w:t>
            </w:r>
            <w:r>
              <w:rPr>
                <w:spacing w:val="23"/>
                <w:sz w:val="24"/>
              </w:rPr>
              <w:t>為之。除有危害國家</w:t>
            </w:r>
            <w:r>
              <w:rPr>
                <w:spacing w:val="22"/>
                <w:sz w:val="24"/>
              </w:rPr>
              <w:t>安全之虞或法律另有</w:t>
            </w:r>
          </w:p>
          <w:p>
            <w:pPr>
              <w:pStyle w:val="TableParagraph"/>
              <w:spacing w:line="289" w:lineRule="exact"/>
              <w:jc w:val="both"/>
              <w:rPr>
                <w:sz w:val="24"/>
              </w:rPr>
            </w:pPr>
            <w:r>
              <w:rPr>
                <w:spacing w:val="7"/>
                <w:sz w:val="24"/>
              </w:rPr>
              <w:t>規定者外， 服務機關</w:t>
            </w:r>
          </w:p>
        </w:tc>
        <w:tc>
          <w:tcPr>
            <w:tcW w:w="3262" w:type="dxa"/>
          </w:tcPr>
          <w:p>
            <w:pPr>
              <w:pStyle w:val="TableParagraph"/>
              <w:ind w:left="0"/>
              <w:rPr>
                <w:rFonts w:ascii="Times New Roman"/>
                <w:sz w:val="24"/>
              </w:rPr>
            </w:pPr>
          </w:p>
        </w:tc>
        <w:tc>
          <w:tcPr>
            <w:tcW w:w="3116"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6" w:right="99" w:hanging="521"/>
              <w:jc w:val="both"/>
              <w:rPr>
                <w:sz w:val="24"/>
              </w:rPr>
            </w:pPr>
            <w:r>
              <w:rPr>
                <w:spacing w:val="20"/>
                <w:sz w:val="24"/>
              </w:rPr>
              <w:t>二、憲法明定人民有服公</w:t>
            </w:r>
            <w:r>
              <w:rPr>
                <w:spacing w:val="6"/>
                <w:sz w:val="24"/>
              </w:rPr>
              <w:t>職之權利， 亦應肯定</w:t>
            </w:r>
            <w:r>
              <w:rPr>
                <w:spacing w:val="22"/>
                <w:sz w:val="24"/>
              </w:rPr>
              <w:t>人民有不服公職之權</w:t>
            </w:r>
          </w:p>
          <w:p>
            <w:pPr>
              <w:pStyle w:val="TableParagraph"/>
              <w:spacing w:line="289" w:lineRule="exact"/>
              <w:ind w:left="626"/>
              <w:jc w:val="both"/>
              <w:rPr>
                <w:sz w:val="24"/>
              </w:rPr>
            </w:pPr>
            <w:r>
              <w:rPr>
                <w:spacing w:val="23"/>
                <w:sz w:val="24"/>
              </w:rPr>
              <w:t>利。為避免公務人員</w:t>
            </w:r>
          </w:p>
        </w:tc>
      </w:tr>
    </w:tbl>
    <w:p>
      <w:pPr>
        <w:spacing w:after="0" w:line="289" w:lineRule="exact"/>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26" w:hRule="atLeast"/>
        </w:trPr>
        <w:tc>
          <w:tcPr>
            <w:tcW w:w="2835" w:type="dxa"/>
          </w:tcPr>
          <w:p>
            <w:pPr>
              <w:pStyle w:val="TableParagraph"/>
              <w:spacing w:line="223" w:lineRule="auto" w:before="4"/>
              <w:ind w:right="101"/>
              <w:jc w:val="both"/>
              <w:rPr>
                <w:sz w:val="24"/>
              </w:rPr>
            </w:pPr>
            <w:r>
              <w:rPr>
                <w:spacing w:val="23"/>
                <w:sz w:val="24"/>
              </w:rPr>
              <w:t>或其上級機關不得拒</w:t>
            </w:r>
            <w:r>
              <w:rPr>
                <w:sz w:val="24"/>
              </w:rPr>
              <w:t>絶之。</w:t>
            </w:r>
          </w:p>
          <w:p>
            <w:pPr>
              <w:pStyle w:val="TableParagraph"/>
              <w:spacing w:line="223" w:lineRule="auto"/>
              <w:ind w:right="95" w:firstLine="460"/>
              <w:jc w:val="both"/>
              <w:rPr>
                <w:sz w:val="24"/>
              </w:rPr>
            </w:pPr>
            <w:r>
              <w:rPr>
                <w:spacing w:val="32"/>
                <w:sz w:val="24"/>
              </w:rPr>
              <w:t>服務機關或其上</w:t>
            </w:r>
            <w:r>
              <w:rPr>
                <w:spacing w:val="23"/>
                <w:sz w:val="24"/>
              </w:rPr>
              <w:t>級機關應於收受辭職書之次日起三十日內為准駁之決定。逾期</w:t>
            </w:r>
            <w:r>
              <w:rPr>
                <w:spacing w:val="7"/>
                <w:sz w:val="24"/>
              </w:rPr>
              <w:t>未為決定者， 視為同意辭職， 並以期滿之</w:t>
            </w:r>
            <w:r>
              <w:rPr>
                <w:spacing w:val="23"/>
                <w:sz w:val="24"/>
              </w:rPr>
              <w:t>次日為生效日。但公務人員指定之離職日</w:t>
            </w:r>
            <w:r>
              <w:rPr>
                <w:spacing w:val="7"/>
                <w:sz w:val="24"/>
              </w:rPr>
              <w:t>逾三十日者， 以該日</w:t>
            </w:r>
            <w:r>
              <w:rPr>
                <w:sz w:val="24"/>
              </w:rPr>
              <w:t>為生效日。</w:t>
            </w:r>
          </w:p>
        </w:tc>
        <w:tc>
          <w:tcPr>
            <w:tcW w:w="3262" w:type="dxa"/>
          </w:tcPr>
          <w:p>
            <w:pPr>
              <w:pStyle w:val="TableParagraph"/>
              <w:ind w:left="0"/>
              <w:rPr>
                <w:rFonts w:ascii="Times New Roman"/>
                <w:sz w:val="24"/>
              </w:rPr>
            </w:pPr>
          </w:p>
        </w:tc>
        <w:tc>
          <w:tcPr>
            <w:tcW w:w="3116" w:type="dxa"/>
          </w:tcPr>
          <w:p>
            <w:pPr>
              <w:pStyle w:val="TableParagraph"/>
              <w:spacing w:line="223" w:lineRule="auto" w:before="4"/>
              <w:ind w:left="626" w:right="72"/>
              <w:jc w:val="both"/>
              <w:rPr>
                <w:sz w:val="24"/>
              </w:rPr>
            </w:pPr>
            <w:r>
              <w:rPr>
                <w:spacing w:val="24"/>
                <w:sz w:val="24"/>
              </w:rPr>
              <w:t>受限機關首長領導統</w:t>
            </w:r>
            <w:r>
              <w:rPr>
                <w:spacing w:val="13"/>
                <w:w w:val="95"/>
                <w:sz w:val="24"/>
              </w:rPr>
              <w:t>御權， 無法依其生涯</w:t>
            </w:r>
            <w:r>
              <w:rPr>
                <w:spacing w:val="23"/>
                <w:sz w:val="24"/>
              </w:rPr>
              <w:t>規劃或個人意願行使</w:t>
            </w:r>
            <w:r>
              <w:rPr>
                <w:spacing w:val="8"/>
                <w:sz w:val="24"/>
              </w:rPr>
              <w:t>不服公職之權利， 爰</w:t>
            </w:r>
            <w:r>
              <w:rPr>
                <w:spacing w:val="23"/>
                <w:sz w:val="24"/>
              </w:rPr>
              <w:t>於第一項明定，公務</w:t>
            </w:r>
            <w:r>
              <w:rPr>
                <w:spacing w:val="8"/>
                <w:sz w:val="24"/>
              </w:rPr>
              <w:t>人員之辭職， 應以書</w:t>
            </w:r>
            <w:r>
              <w:rPr>
                <w:spacing w:val="23"/>
                <w:sz w:val="24"/>
              </w:rPr>
              <w:t>面為之。除有危害國家安全之虞或法律另</w:t>
            </w:r>
            <w:r>
              <w:rPr>
                <w:spacing w:val="8"/>
                <w:sz w:val="24"/>
              </w:rPr>
              <w:t>有規定者外， 服務機</w:t>
            </w:r>
            <w:r>
              <w:rPr>
                <w:spacing w:val="23"/>
                <w:sz w:val="24"/>
              </w:rPr>
              <w:t>關或其上級機關不得</w:t>
            </w:r>
            <w:r>
              <w:rPr>
                <w:sz w:val="24"/>
              </w:rPr>
              <w:t>拒絕之。</w:t>
            </w:r>
          </w:p>
          <w:p>
            <w:pPr>
              <w:pStyle w:val="TableParagraph"/>
              <w:spacing w:line="223" w:lineRule="auto" w:before="1"/>
              <w:ind w:left="626" w:right="98" w:hanging="521"/>
              <w:jc w:val="both"/>
              <w:rPr>
                <w:sz w:val="24"/>
              </w:rPr>
            </w:pPr>
            <w:r>
              <w:rPr>
                <w:spacing w:val="20"/>
                <w:sz w:val="24"/>
              </w:rPr>
              <w:t>三、為給予機關長官或上</w:t>
            </w:r>
            <w:r>
              <w:rPr>
                <w:spacing w:val="7"/>
                <w:sz w:val="24"/>
              </w:rPr>
              <w:t>級機關相當時間， 以</w:t>
            </w:r>
            <w:r>
              <w:rPr>
                <w:spacing w:val="23"/>
                <w:sz w:val="24"/>
              </w:rPr>
              <w:t>考量核定並覓遞補人選，以免影響公務運作。又為免機關長官或其上級機關逾期未</w:t>
            </w:r>
            <w:r>
              <w:rPr>
                <w:spacing w:val="6"/>
                <w:sz w:val="24"/>
              </w:rPr>
              <w:t>為決定， 致影響公務</w:t>
            </w:r>
            <w:r>
              <w:rPr>
                <w:spacing w:val="7"/>
                <w:sz w:val="24"/>
              </w:rPr>
              <w:t>人員之辭職權利， 爰</w:t>
            </w:r>
            <w:r>
              <w:rPr>
                <w:spacing w:val="23"/>
                <w:sz w:val="24"/>
              </w:rPr>
              <w:t>應予視為同意辭職，</w:t>
            </w:r>
            <w:r>
              <w:rPr>
                <w:spacing w:val="-118"/>
                <w:sz w:val="24"/>
              </w:rPr>
              <w:t> </w:t>
            </w:r>
            <w:r>
              <w:rPr>
                <w:spacing w:val="23"/>
                <w:sz w:val="24"/>
              </w:rPr>
              <w:t>並以期滿之次日為生效日期。另公務人員</w:t>
            </w:r>
            <w:r>
              <w:rPr>
                <w:spacing w:val="7"/>
                <w:sz w:val="24"/>
              </w:rPr>
              <w:t>簽提辭職書日期， 與</w:t>
            </w:r>
            <w:r>
              <w:rPr>
                <w:spacing w:val="23"/>
                <w:sz w:val="24"/>
              </w:rPr>
              <w:t>其擬辭職生效日期，</w:t>
            </w:r>
            <w:r>
              <w:rPr>
                <w:spacing w:val="-118"/>
                <w:sz w:val="24"/>
              </w:rPr>
              <w:t> </w:t>
            </w:r>
            <w:r>
              <w:rPr>
                <w:spacing w:val="23"/>
                <w:sz w:val="24"/>
              </w:rPr>
              <w:t>相隔如逾三十日者，</w:t>
            </w:r>
            <w:r>
              <w:rPr>
                <w:spacing w:val="-118"/>
                <w:sz w:val="24"/>
              </w:rPr>
              <w:t> </w:t>
            </w:r>
            <w:r>
              <w:rPr>
                <w:spacing w:val="23"/>
                <w:sz w:val="24"/>
              </w:rPr>
              <w:t>以該日期為生效日期</w:t>
            </w:r>
            <w:r>
              <w:rPr>
                <w:spacing w:val="6"/>
                <w:sz w:val="24"/>
              </w:rPr>
              <w:t>以為周全， 爰於第二</w:t>
            </w:r>
            <w:r>
              <w:rPr>
                <w:spacing w:val="23"/>
                <w:sz w:val="24"/>
              </w:rPr>
              <w:t>項明定辭職之辦理程</w:t>
            </w:r>
            <w:r>
              <w:rPr>
                <w:sz w:val="24"/>
              </w:rPr>
              <w:t>序及生效日期。</w:t>
            </w:r>
          </w:p>
          <w:p>
            <w:pPr>
              <w:pStyle w:val="TableParagraph"/>
              <w:spacing w:line="308" w:lineRule="exact"/>
              <w:ind w:left="105"/>
              <w:jc w:val="both"/>
              <w:rPr>
                <w:sz w:val="24"/>
              </w:rPr>
            </w:pPr>
            <w:r>
              <w:rPr>
                <w:spacing w:val="5"/>
                <w:sz w:val="24"/>
              </w:rPr>
              <w:t>四、相關條文</w:t>
            </w:r>
          </w:p>
          <w:p>
            <w:pPr>
              <w:pStyle w:val="TableParagraph"/>
              <w:spacing w:line="223" w:lineRule="auto" w:before="5"/>
              <w:ind w:left="105" w:right="98"/>
              <w:jc w:val="both"/>
              <w:rPr>
                <w:sz w:val="24"/>
              </w:rPr>
            </w:pPr>
            <w:r>
              <w:rPr>
                <w:sz w:val="24"/>
              </w:rPr>
              <w:t>（一）公務人員交代條例</w:t>
            </w:r>
            <w:r>
              <w:rPr>
                <w:spacing w:val="1"/>
                <w:sz w:val="24"/>
              </w:rPr>
              <w:t> </w:t>
            </w:r>
            <w:r>
              <w:rPr>
                <w:spacing w:val="8"/>
                <w:sz w:val="24"/>
              </w:rPr>
              <w:t>第六條 經管人員應移交之</w:t>
            </w:r>
          </w:p>
          <w:p>
            <w:pPr>
              <w:pStyle w:val="TableParagraph"/>
              <w:spacing w:line="223" w:lineRule="auto" w:before="2"/>
              <w:ind w:left="345" w:right="99"/>
              <w:rPr>
                <w:sz w:val="24"/>
              </w:rPr>
            </w:pPr>
            <w:r>
              <w:rPr>
                <w:sz w:val="24"/>
              </w:rPr>
              <w:t>事項，按其經管財務或事務分別造冊，其種類名稱</w:t>
            </w:r>
          </w:p>
          <w:p>
            <w:pPr>
              <w:pStyle w:val="TableParagraph"/>
              <w:spacing w:line="223" w:lineRule="auto"/>
              <w:ind w:left="345" w:right="99"/>
              <w:jc w:val="both"/>
              <w:rPr>
                <w:sz w:val="24"/>
              </w:rPr>
            </w:pPr>
            <w:r>
              <w:rPr>
                <w:sz w:val="24"/>
              </w:rPr>
              <w:t>，由各機關依各經管人員職掌範圍及其經管情形，</w:t>
            </w:r>
            <w:r>
              <w:rPr>
                <w:spacing w:val="-118"/>
                <w:sz w:val="24"/>
              </w:rPr>
              <w:t> </w:t>
            </w:r>
            <w:r>
              <w:rPr>
                <w:sz w:val="24"/>
              </w:rPr>
              <w:t>分別規定之。</w:t>
            </w:r>
          </w:p>
          <w:p>
            <w:pPr>
              <w:pStyle w:val="TableParagraph"/>
              <w:spacing w:line="223" w:lineRule="auto"/>
              <w:ind w:left="345" w:right="98" w:hanging="240"/>
              <w:jc w:val="both"/>
              <w:rPr>
                <w:sz w:val="24"/>
              </w:rPr>
            </w:pPr>
            <w:r>
              <w:rPr>
                <w:sz w:val="24"/>
              </w:rPr>
              <w:t>第八條 公務人員之交接，</w:t>
            </w:r>
            <w:r>
              <w:rPr>
                <w:spacing w:val="-118"/>
                <w:sz w:val="24"/>
              </w:rPr>
              <w:t> </w:t>
            </w:r>
            <w:r>
              <w:rPr>
                <w:sz w:val="24"/>
              </w:rPr>
              <w:t>如發生爭執，應由移交人或接收人會同監交人擬具處理意見，呈報其上級主管機關或本機關首長核定</w:t>
            </w:r>
          </w:p>
          <w:p>
            <w:pPr>
              <w:pStyle w:val="TableParagraph"/>
              <w:spacing w:line="289" w:lineRule="exact"/>
              <w:ind w:left="345"/>
              <w:rPr>
                <w:sz w:val="24"/>
              </w:rPr>
            </w:pPr>
            <w:r>
              <w:rPr>
                <w:sz w:val="24"/>
              </w:rPr>
              <w:t>之。</w:t>
            </w:r>
          </w:p>
        </w:tc>
      </w:tr>
    </w:tbl>
    <w:p>
      <w:pPr>
        <w:spacing w:after="0" w:line="289" w:lineRule="exac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7181" w:hRule="atLeast"/>
        </w:trPr>
        <w:tc>
          <w:tcPr>
            <w:tcW w:w="2835" w:type="dxa"/>
          </w:tcPr>
          <w:p>
            <w:pPr>
              <w:pStyle w:val="TableParagraph"/>
              <w:ind w:left="0"/>
              <w:rPr>
                <w:rFonts w:ascii="Times New Roman"/>
                <w:sz w:val="24"/>
              </w:rPr>
            </w:pPr>
          </w:p>
        </w:tc>
        <w:tc>
          <w:tcPr>
            <w:tcW w:w="3262" w:type="dxa"/>
          </w:tcPr>
          <w:p>
            <w:pPr>
              <w:pStyle w:val="TableParagraph"/>
              <w:ind w:left="0"/>
              <w:rPr>
                <w:rFonts w:ascii="Times New Roman"/>
                <w:sz w:val="24"/>
              </w:rPr>
            </w:pPr>
          </w:p>
        </w:tc>
        <w:tc>
          <w:tcPr>
            <w:tcW w:w="3116" w:type="dxa"/>
          </w:tcPr>
          <w:p>
            <w:pPr>
              <w:pStyle w:val="TableParagraph"/>
              <w:spacing w:line="223" w:lineRule="auto" w:before="4"/>
              <w:ind w:left="825" w:right="97" w:hanging="720"/>
              <w:jc w:val="both"/>
              <w:rPr>
                <w:sz w:val="24"/>
              </w:rPr>
            </w:pPr>
            <w:r>
              <w:rPr>
                <w:sz w:val="24"/>
              </w:rPr>
              <w:t>（二）參考考試院與行政院於一百零一年三月二十七日會銜函請立法院審議之公務人員基準法草案第十五條之立法意旨</w:t>
            </w:r>
          </w:p>
          <w:p>
            <w:pPr>
              <w:pStyle w:val="TableParagraph"/>
              <w:spacing w:line="223" w:lineRule="auto"/>
              <w:ind w:left="345" w:right="97" w:firstLine="480"/>
              <w:jc w:val="both"/>
              <w:rPr>
                <w:sz w:val="24"/>
              </w:rPr>
            </w:pPr>
            <w:r>
              <w:rPr>
                <w:sz w:val="24"/>
              </w:rPr>
              <w:t>公務人員之辭職，除有危害國家安全之虞或法律、契約另有規定或訂定外，機關長官或其上級機關不得拒絶。</w:t>
            </w:r>
          </w:p>
          <w:p>
            <w:pPr>
              <w:pStyle w:val="TableParagraph"/>
              <w:spacing w:line="223" w:lineRule="auto" w:before="1"/>
              <w:ind w:left="345" w:right="97" w:firstLine="480"/>
              <w:jc w:val="both"/>
              <w:rPr>
                <w:sz w:val="24"/>
              </w:rPr>
            </w:pPr>
            <w:r>
              <w:rPr>
                <w:sz w:val="24"/>
              </w:rPr>
              <w:t>辭職應以書面為之，</w:t>
            </w:r>
            <w:r>
              <w:rPr>
                <w:spacing w:val="-118"/>
                <w:sz w:val="24"/>
              </w:rPr>
              <w:t> </w:t>
            </w:r>
            <w:r>
              <w:rPr>
                <w:sz w:val="24"/>
              </w:rPr>
              <w:t>機關長官或其上級機關並應於收受辭職書之次日起一個月內核准，或認有前項得拒絕辭職之情形者，</w:t>
            </w:r>
            <w:r>
              <w:rPr>
                <w:spacing w:val="-118"/>
                <w:sz w:val="24"/>
              </w:rPr>
              <w:t> </w:t>
            </w:r>
            <w:r>
              <w:rPr>
                <w:sz w:val="24"/>
              </w:rPr>
              <w:t>於一個月內敍明理由拒絕之；逾期未為核准或拒絕者，視為照准，並以期滿之次日為生效日期。但公務人員指定離職生效日期為一個月之後者，以該日</w:t>
            </w:r>
          </w:p>
          <w:p>
            <w:pPr>
              <w:pStyle w:val="TableParagraph"/>
              <w:spacing w:line="289" w:lineRule="exact"/>
              <w:ind w:left="345"/>
              <w:rPr>
                <w:sz w:val="24"/>
              </w:rPr>
            </w:pPr>
            <w:r>
              <w:rPr>
                <w:sz w:val="24"/>
              </w:rPr>
              <w:t>期為生效日期。</w:t>
            </w:r>
          </w:p>
        </w:tc>
      </w:tr>
      <w:tr>
        <w:trPr>
          <w:trHeight w:val="6245" w:hRule="atLeast"/>
        </w:trPr>
        <w:tc>
          <w:tcPr>
            <w:tcW w:w="2835" w:type="dxa"/>
          </w:tcPr>
          <w:p>
            <w:pPr>
              <w:pStyle w:val="TableParagraph"/>
              <w:spacing w:line="223" w:lineRule="auto" w:before="4"/>
              <w:ind w:right="97" w:hanging="240"/>
              <w:jc w:val="both"/>
              <w:rPr>
                <w:sz w:val="24"/>
              </w:rPr>
            </w:pPr>
            <w:r>
              <w:rPr>
                <w:spacing w:val="18"/>
                <w:sz w:val="24"/>
              </w:rPr>
              <w:t>第十七條 公務人員對</w:t>
            </w:r>
            <w:r>
              <w:rPr>
                <w:spacing w:val="23"/>
                <w:sz w:val="24"/>
              </w:rPr>
              <w:t>於長官監督範圍內所</w:t>
            </w:r>
            <w:r>
              <w:rPr>
                <w:spacing w:val="22"/>
                <w:sz w:val="24"/>
              </w:rPr>
              <w:t>發之命令有服從義務</w:t>
            </w:r>
          </w:p>
          <w:p>
            <w:pPr>
              <w:pStyle w:val="TableParagraph"/>
              <w:spacing w:line="307" w:lineRule="exact"/>
              <w:jc w:val="both"/>
              <w:rPr>
                <w:sz w:val="24"/>
              </w:rPr>
            </w:pPr>
            <w:r>
              <w:rPr>
                <w:spacing w:val="7"/>
                <w:sz w:val="24"/>
              </w:rPr>
              <w:t>， 如認為該命令違法</w:t>
            </w:r>
          </w:p>
          <w:p>
            <w:pPr>
              <w:pStyle w:val="TableParagraph"/>
              <w:spacing w:line="223" w:lineRule="auto" w:before="5"/>
              <w:ind w:right="100"/>
              <w:jc w:val="both"/>
              <w:rPr>
                <w:sz w:val="24"/>
              </w:rPr>
            </w:pPr>
            <w:r>
              <w:rPr>
                <w:spacing w:val="13"/>
                <w:w w:val="95"/>
                <w:sz w:val="24"/>
              </w:rPr>
              <w:t>， 應負報告之義務；</w:t>
            </w:r>
            <w:r>
              <w:rPr>
                <w:spacing w:val="-112"/>
                <w:w w:val="95"/>
                <w:sz w:val="24"/>
              </w:rPr>
              <w:t> </w:t>
            </w:r>
            <w:r>
              <w:rPr>
                <w:spacing w:val="23"/>
                <w:sz w:val="24"/>
              </w:rPr>
              <w:t>該管長官如認其命令</w:t>
            </w:r>
            <w:r>
              <w:rPr>
                <w:spacing w:val="6"/>
                <w:sz w:val="24"/>
              </w:rPr>
              <w:t>並未違法， 而以書面</w:t>
            </w:r>
            <w:r>
              <w:rPr>
                <w:spacing w:val="24"/>
                <w:sz w:val="24"/>
                <w:u w:val="single"/>
              </w:rPr>
              <w:t>署名</w:t>
            </w:r>
            <w:r>
              <w:rPr>
                <w:spacing w:val="2"/>
                <w:sz w:val="24"/>
              </w:rPr>
              <w:t>下達時， 公務人</w:t>
            </w:r>
            <w:r>
              <w:rPr>
                <w:spacing w:val="7"/>
                <w:sz w:val="24"/>
              </w:rPr>
              <w:t>員即應服從； 其因此所生之責任， 由該長</w:t>
            </w:r>
            <w:r>
              <w:rPr>
                <w:spacing w:val="23"/>
                <w:sz w:val="24"/>
              </w:rPr>
              <w:t>官負之。但其命令有</w:t>
            </w:r>
            <w:r>
              <w:rPr>
                <w:spacing w:val="7"/>
                <w:sz w:val="24"/>
              </w:rPr>
              <w:t>違反刑事法律者， 公</w:t>
            </w:r>
            <w:r>
              <w:rPr>
                <w:spacing w:val="21"/>
                <w:sz w:val="24"/>
              </w:rPr>
              <w:t>務人員無服從之義務</w:t>
            </w:r>
          </w:p>
          <w:p>
            <w:pPr>
              <w:pStyle w:val="TableParagraph"/>
              <w:spacing w:line="309" w:lineRule="exact"/>
              <w:rPr>
                <w:sz w:val="24"/>
              </w:rPr>
            </w:pPr>
            <w:r>
              <w:rPr>
                <w:sz w:val="24"/>
              </w:rPr>
              <w:t>。</w:t>
            </w:r>
          </w:p>
          <w:p>
            <w:pPr>
              <w:pStyle w:val="TableParagraph"/>
              <w:spacing w:line="223" w:lineRule="auto" w:before="5"/>
              <w:ind w:right="65" w:firstLine="527"/>
              <w:jc w:val="both"/>
              <w:rPr>
                <w:sz w:val="24"/>
              </w:rPr>
            </w:pPr>
            <w:r>
              <w:rPr>
                <w:spacing w:val="26"/>
                <w:sz w:val="24"/>
              </w:rPr>
              <w:t>前項情形，該管長官非以書面</w:t>
            </w:r>
            <w:r>
              <w:rPr>
                <w:spacing w:val="26"/>
                <w:sz w:val="24"/>
                <w:u w:val="single"/>
              </w:rPr>
              <w:t>署名</w:t>
            </w:r>
            <w:r>
              <w:rPr>
                <w:sz w:val="24"/>
              </w:rPr>
              <w:t>下</w:t>
            </w:r>
            <w:r>
              <w:rPr>
                <w:spacing w:val="7"/>
                <w:sz w:val="24"/>
              </w:rPr>
              <w:t>達命令者， 公務人員</w:t>
            </w:r>
            <w:r>
              <w:rPr>
                <w:spacing w:val="26"/>
                <w:sz w:val="24"/>
              </w:rPr>
              <w:t>得請求其以書面</w:t>
            </w:r>
            <w:r>
              <w:rPr>
                <w:spacing w:val="26"/>
                <w:sz w:val="24"/>
                <w:u w:val="single"/>
              </w:rPr>
              <w:t>署名</w:t>
            </w:r>
            <w:r>
              <w:rPr>
                <w:spacing w:val="18"/>
                <w:w w:val="95"/>
                <w:sz w:val="24"/>
              </w:rPr>
              <w:t>為之， 該管長官拒絕</w:t>
            </w:r>
          </w:p>
          <w:p>
            <w:pPr>
              <w:pStyle w:val="TableParagraph"/>
              <w:spacing w:line="289" w:lineRule="exact"/>
              <w:jc w:val="both"/>
              <w:rPr>
                <w:sz w:val="24"/>
              </w:rPr>
            </w:pPr>
            <w:r>
              <w:rPr>
                <w:spacing w:val="7"/>
                <w:sz w:val="24"/>
              </w:rPr>
              <w:t>時， 視為撤回其命令</w:t>
            </w:r>
          </w:p>
        </w:tc>
        <w:tc>
          <w:tcPr>
            <w:tcW w:w="3262" w:type="dxa"/>
          </w:tcPr>
          <w:p>
            <w:pPr>
              <w:pStyle w:val="TableParagraph"/>
              <w:spacing w:line="223" w:lineRule="auto" w:before="4"/>
              <w:ind w:right="79" w:hanging="240"/>
              <w:jc w:val="both"/>
              <w:rPr>
                <w:sz w:val="24"/>
              </w:rPr>
            </w:pPr>
            <w:r>
              <w:rPr>
                <w:spacing w:val="11"/>
                <w:sz w:val="24"/>
              </w:rPr>
              <w:t>第十七條 公務人員對於長</w:t>
            </w:r>
            <w:r>
              <w:rPr>
                <w:spacing w:val="15"/>
                <w:sz w:val="24"/>
              </w:rPr>
              <w:t>官監督範圍內所發之命令有服從義務，如認為該命令違法，應負報告之義務</w:t>
            </w:r>
          </w:p>
          <w:p>
            <w:pPr>
              <w:pStyle w:val="TableParagraph"/>
              <w:spacing w:line="223" w:lineRule="auto"/>
              <w:ind w:right="79"/>
              <w:rPr>
                <w:sz w:val="24"/>
              </w:rPr>
            </w:pPr>
            <w:r>
              <w:rPr>
                <w:spacing w:val="15"/>
                <w:sz w:val="24"/>
              </w:rPr>
              <w:t>；該管長官如認其命令並未違法，而以書面下達時</w:t>
            </w:r>
          </w:p>
          <w:p>
            <w:pPr>
              <w:pStyle w:val="TableParagraph"/>
              <w:spacing w:line="223" w:lineRule="auto"/>
              <w:ind w:right="79"/>
              <w:jc w:val="both"/>
              <w:rPr>
                <w:sz w:val="24"/>
              </w:rPr>
            </w:pPr>
            <w:r>
              <w:rPr>
                <w:spacing w:val="15"/>
                <w:sz w:val="24"/>
              </w:rPr>
              <w:t>，公務人員即應服從；其因此所生之責任，由該長官負之。但其命令有違反刑事法律者，公務人員無</w:t>
            </w:r>
            <w:r>
              <w:rPr>
                <w:sz w:val="24"/>
              </w:rPr>
              <w:t>服從之義務。</w:t>
            </w:r>
          </w:p>
          <w:p>
            <w:pPr>
              <w:pStyle w:val="TableParagraph"/>
              <w:spacing w:line="223" w:lineRule="auto" w:before="2"/>
              <w:ind w:right="79" w:firstLine="528"/>
              <w:jc w:val="both"/>
              <w:rPr>
                <w:sz w:val="24"/>
              </w:rPr>
            </w:pPr>
            <w:r>
              <w:rPr>
                <w:spacing w:val="14"/>
                <w:sz w:val="24"/>
              </w:rPr>
              <w:t>前項情形，該管長官</w:t>
            </w:r>
            <w:r>
              <w:rPr>
                <w:spacing w:val="15"/>
                <w:sz w:val="24"/>
              </w:rPr>
              <w:t>非以書面下達命令者，公務人員得請求其以書面為之，該管長官拒絕時，視</w:t>
            </w:r>
            <w:r>
              <w:rPr>
                <w:sz w:val="24"/>
              </w:rPr>
              <w:t>為撤回其命令。</w:t>
            </w:r>
          </w:p>
        </w:tc>
        <w:tc>
          <w:tcPr>
            <w:tcW w:w="3116" w:type="dxa"/>
          </w:tcPr>
          <w:p>
            <w:pPr>
              <w:pStyle w:val="TableParagraph"/>
              <w:spacing w:line="223" w:lineRule="auto" w:before="4"/>
              <w:ind w:left="585" w:right="94" w:hanging="480"/>
              <w:jc w:val="both"/>
              <w:rPr>
                <w:sz w:val="24"/>
              </w:rPr>
            </w:pPr>
            <w:r>
              <w:rPr>
                <w:sz w:val="24"/>
              </w:rPr>
              <w:t>一、公務人員有正當理由認長官之命令違法，而提出報告者，受報告之長官如堅持其命令未違法</w:t>
            </w:r>
          </w:p>
          <w:p>
            <w:pPr>
              <w:pStyle w:val="TableParagraph"/>
              <w:spacing w:line="223" w:lineRule="auto"/>
              <w:ind w:left="585" w:right="94"/>
              <w:jc w:val="both"/>
              <w:rPr>
                <w:sz w:val="24"/>
              </w:rPr>
            </w:pPr>
            <w:r>
              <w:rPr>
                <w:sz w:val="24"/>
              </w:rPr>
              <w:t>，以書面再次下達時，</w:t>
            </w:r>
            <w:r>
              <w:rPr>
                <w:spacing w:val="-118"/>
                <w:sz w:val="24"/>
              </w:rPr>
              <w:t> </w:t>
            </w:r>
            <w:r>
              <w:rPr>
                <w:sz w:val="24"/>
              </w:rPr>
              <w:t>公務人員即應無異議服從。惟現行法對於長官以書面下達之命令，並未明定應否署名，致生該命令是否確由該管長官所下達之認定疑義。為保障公務人員權益，</w:t>
            </w:r>
            <w:r>
              <w:rPr>
                <w:spacing w:val="-118"/>
                <w:sz w:val="24"/>
              </w:rPr>
              <w:t> </w:t>
            </w:r>
            <w:r>
              <w:rPr>
                <w:sz w:val="24"/>
              </w:rPr>
              <w:t>爰於第一項明定該管長官應以書面署名下達命令，始得課予公務人員應服從之義務。如該管長官非以書面署名下達命令，公務人員亦得請求其以書面署名為之，</w:t>
            </w:r>
          </w:p>
          <w:p>
            <w:pPr>
              <w:pStyle w:val="TableParagraph"/>
              <w:spacing w:line="290" w:lineRule="exact"/>
              <w:ind w:left="585"/>
              <w:rPr>
                <w:sz w:val="24"/>
              </w:rPr>
            </w:pPr>
            <w:r>
              <w:rPr>
                <w:sz w:val="24"/>
              </w:rPr>
              <w:t>爰修正第二項。</w:t>
            </w:r>
          </w:p>
        </w:tc>
      </w:tr>
    </w:tbl>
    <w:p>
      <w:pPr>
        <w:spacing w:after="0" w:line="290"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4058" w:hRule="atLeast"/>
        </w:trPr>
        <w:tc>
          <w:tcPr>
            <w:tcW w:w="2835" w:type="dxa"/>
          </w:tcPr>
          <w:p>
            <w:pPr>
              <w:pStyle w:val="TableParagraph"/>
              <w:spacing w:line="323" w:lineRule="exact"/>
              <w:rPr>
                <w:sz w:val="24"/>
              </w:rPr>
            </w:pPr>
            <w:r>
              <w:rPr>
                <w:sz w:val="24"/>
              </w:rPr>
              <w:t>。</w:t>
            </w:r>
          </w:p>
        </w:tc>
        <w:tc>
          <w:tcPr>
            <w:tcW w:w="3262" w:type="dxa"/>
          </w:tcPr>
          <w:p>
            <w:pPr>
              <w:pStyle w:val="TableParagraph"/>
              <w:ind w:left="0"/>
              <w:rPr>
                <w:rFonts w:ascii="Times New Roman"/>
                <w:sz w:val="24"/>
              </w:rPr>
            </w:pPr>
          </w:p>
        </w:tc>
        <w:tc>
          <w:tcPr>
            <w:tcW w:w="3116" w:type="dxa"/>
          </w:tcPr>
          <w:p>
            <w:pPr>
              <w:pStyle w:val="TableParagraph"/>
              <w:spacing w:line="223" w:lineRule="auto" w:before="4"/>
              <w:ind w:left="105" w:right="1558"/>
              <w:rPr>
                <w:sz w:val="24"/>
              </w:rPr>
            </w:pPr>
            <w:r>
              <w:rPr>
                <w:spacing w:val="-1"/>
                <w:sz w:val="24"/>
              </w:rPr>
              <w:t>二、相關條文公務員服務法</w:t>
            </w:r>
          </w:p>
          <w:p>
            <w:pPr>
              <w:pStyle w:val="TableParagraph"/>
              <w:spacing w:line="223" w:lineRule="auto"/>
              <w:ind w:left="345" w:right="99" w:hanging="240"/>
              <w:jc w:val="both"/>
              <w:rPr>
                <w:sz w:val="24"/>
              </w:rPr>
            </w:pPr>
            <w:r>
              <w:rPr>
                <w:sz w:val="24"/>
              </w:rPr>
              <w:t>第二條 長官就其監督範圍以內所發命令，屬官有服從之義務。但屬官對於長官所發命令，如有意見，</w:t>
            </w:r>
            <w:r>
              <w:rPr>
                <w:spacing w:val="-118"/>
                <w:sz w:val="24"/>
              </w:rPr>
              <w:t> </w:t>
            </w:r>
            <w:r>
              <w:rPr>
                <w:sz w:val="24"/>
              </w:rPr>
              <w:t>得隨時陳述。</w:t>
            </w:r>
          </w:p>
          <w:p>
            <w:pPr>
              <w:pStyle w:val="TableParagraph"/>
              <w:spacing w:line="223" w:lineRule="auto" w:before="2"/>
              <w:ind w:left="345" w:right="99" w:hanging="240"/>
              <w:jc w:val="both"/>
              <w:rPr>
                <w:sz w:val="24"/>
              </w:rPr>
            </w:pPr>
            <w:r>
              <w:rPr>
                <w:sz w:val="24"/>
              </w:rPr>
              <w:t>第三條 公務員對於兩級長官同時所發命令，以上級長官之命令為準；主管長官與兼管長官同時所發命令，以主管長官之命令為</w:t>
            </w:r>
          </w:p>
          <w:p>
            <w:pPr>
              <w:pStyle w:val="TableParagraph"/>
              <w:spacing w:line="287" w:lineRule="exact"/>
              <w:ind w:left="345"/>
              <w:rPr>
                <w:sz w:val="24"/>
              </w:rPr>
            </w:pPr>
            <w:r>
              <w:rPr>
                <w:sz w:val="24"/>
              </w:rPr>
              <w:t>準。</w:t>
            </w:r>
          </w:p>
        </w:tc>
      </w:tr>
      <w:tr>
        <w:trPr>
          <w:trHeight w:val="9367" w:hRule="atLeast"/>
        </w:trPr>
        <w:tc>
          <w:tcPr>
            <w:tcW w:w="2835" w:type="dxa"/>
          </w:tcPr>
          <w:p>
            <w:pPr>
              <w:pStyle w:val="TableParagraph"/>
              <w:spacing w:line="223" w:lineRule="auto" w:before="4"/>
              <w:ind w:left="395" w:right="72" w:hanging="288"/>
              <w:jc w:val="both"/>
              <w:rPr>
                <w:sz w:val="24"/>
              </w:rPr>
            </w:pPr>
            <w:r>
              <w:rPr>
                <w:spacing w:val="20"/>
                <w:sz w:val="24"/>
              </w:rPr>
              <w:t>第二十一條 公務人員</w:t>
            </w:r>
            <w:r>
              <w:rPr>
                <w:spacing w:val="19"/>
                <w:sz w:val="24"/>
              </w:rPr>
              <w:t>因機關提供之安全及衛生防護措施有瑕疵</w:t>
            </w:r>
          </w:p>
          <w:p>
            <w:pPr>
              <w:pStyle w:val="TableParagraph"/>
              <w:spacing w:line="223" w:lineRule="auto"/>
              <w:ind w:left="395" w:right="72"/>
              <w:jc w:val="both"/>
              <w:rPr>
                <w:sz w:val="24"/>
              </w:rPr>
            </w:pPr>
            <w:r>
              <w:rPr>
                <w:spacing w:val="19"/>
                <w:sz w:val="24"/>
              </w:rPr>
              <w:t>，致其生命、身體或健康受損時，得依國</w:t>
            </w:r>
            <w:r>
              <w:rPr>
                <w:sz w:val="24"/>
              </w:rPr>
              <w:t>家賠償法請求賠償。</w:t>
            </w:r>
          </w:p>
          <w:p>
            <w:pPr>
              <w:pStyle w:val="TableParagraph"/>
              <w:spacing w:line="223" w:lineRule="auto" w:before="2"/>
              <w:ind w:right="63" w:firstLine="479"/>
              <w:jc w:val="both"/>
              <w:rPr>
                <w:sz w:val="24"/>
              </w:rPr>
            </w:pPr>
            <w:r>
              <w:rPr>
                <w:spacing w:val="36"/>
                <w:w w:val="95"/>
                <w:sz w:val="24"/>
              </w:rPr>
              <w:t>公務人員</w:t>
            </w:r>
            <w:r>
              <w:rPr>
                <w:spacing w:val="30"/>
                <w:w w:val="95"/>
                <w:sz w:val="24"/>
                <w:u w:val="single"/>
              </w:rPr>
              <w:t>執行職</w:t>
            </w:r>
            <w:r>
              <w:rPr>
                <w:spacing w:val="-220"/>
                <w:w w:val="95"/>
                <w:sz w:val="24"/>
                <w:u w:val="single"/>
              </w:rPr>
              <w:t>務</w:t>
            </w:r>
            <w:r>
              <w:rPr>
                <w:spacing w:val="13"/>
                <w:w w:val="95"/>
                <w:sz w:val="24"/>
                <w:u w:val="single"/>
              </w:rPr>
              <w:t>時， 發生意外致</w:t>
            </w:r>
            <w:r>
              <w:rPr>
                <w:spacing w:val="13"/>
                <w:w w:val="95"/>
                <w:sz w:val="24"/>
              </w:rPr>
              <w:t>受傷</w:t>
            </w:r>
            <w:r>
              <w:rPr>
                <w:spacing w:val="26"/>
                <w:sz w:val="24"/>
              </w:rPr>
              <w:t>、</w:t>
            </w:r>
            <w:r>
              <w:rPr>
                <w:spacing w:val="27"/>
                <w:sz w:val="24"/>
                <w:u w:val="single"/>
              </w:rPr>
              <w:t>失能</w:t>
            </w:r>
            <w:r>
              <w:rPr>
                <w:spacing w:val="21"/>
                <w:sz w:val="24"/>
              </w:rPr>
              <w:t>或死亡者，應</w:t>
            </w:r>
            <w:r>
              <w:rPr>
                <w:spacing w:val="22"/>
                <w:sz w:val="24"/>
              </w:rPr>
              <w:t>發給慰問金。但該公務人員有故意或重大</w:t>
            </w:r>
            <w:r>
              <w:rPr>
                <w:spacing w:val="23"/>
                <w:sz w:val="24"/>
              </w:rPr>
              <w:t>過失情事者，得不發</w:t>
            </w:r>
            <w:r>
              <w:rPr>
                <w:sz w:val="24"/>
              </w:rPr>
              <w:t>或減發慰問金。</w:t>
            </w:r>
          </w:p>
          <w:p>
            <w:pPr>
              <w:pStyle w:val="TableParagraph"/>
              <w:spacing w:line="223" w:lineRule="auto"/>
              <w:ind w:right="63" w:firstLine="479"/>
              <w:jc w:val="both"/>
              <w:rPr>
                <w:sz w:val="24"/>
              </w:rPr>
            </w:pPr>
            <w:r>
              <w:rPr>
                <w:spacing w:val="33"/>
                <w:sz w:val="24"/>
              </w:rPr>
              <w:t>前項慰問金發給</w:t>
            </w:r>
            <w:r>
              <w:rPr>
                <w:spacing w:val="11"/>
                <w:w w:val="95"/>
                <w:sz w:val="24"/>
              </w:rPr>
              <w:t>辦法， 由考試院會同</w:t>
            </w:r>
            <w:r>
              <w:rPr>
                <w:sz w:val="24"/>
              </w:rPr>
              <w:t>行政院定之。</w:t>
            </w:r>
          </w:p>
        </w:tc>
        <w:tc>
          <w:tcPr>
            <w:tcW w:w="3262" w:type="dxa"/>
          </w:tcPr>
          <w:p>
            <w:pPr>
              <w:pStyle w:val="TableParagraph"/>
              <w:spacing w:line="223" w:lineRule="auto" w:before="4"/>
              <w:ind w:right="79" w:hanging="240"/>
              <w:jc w:val="both"/>
              <w:rPr>
                <w:sz w:val="24"/>
              </w:rPr>
            </w:pPr>
            <w:r>
              <w:rPr>
                <w:spacing w:val="12"/>
                <w:sz w:val="24"/>
              </w:rPr>
              <w:t>第二十一條 公務人員因機</w:t>
            </w:r>
            <w:r>
              <w:rPr>
                <w:spacing w:val="15"/>
                <w:sz w:val="24"/>
              </w:rPr>
              <w:t>關提供之安全及衛生防護措施有瑕疵，致其生命、身體或健康受損時，得依</w:t>
            </w:r>
            <w:r>
              <w:rPr>
                <w:sz w:val="24"/>
              </w:rPr>
              <w:t>國家賠償法請求賠償。</w:t>
            </w:r>
          </w:p>
          <w:p>
            <w:pPr>
              <w:pStyle w:val="TableParagraph"/>
              <w:spacing w:line="223" w:lineRule="auto" w:before="2"/>
              <w:ind w:right="79" w:firstLine="480"/>
              <w:jc w:val="both"/>
              <w:rPr>
                <w:sz w:val="24"/>
              </w:rPr>
            </w:pPr>
            <w:r>
              <w:rPr>
                <w:spacing w:val="16"/>
                <w:sz w:val="24"/>
              </w:rPr>
              <w:t>公務人員因公受傷、</w:t>
            </w:r>
            <w:r>
              <w:rPr>
                <w:spacing w:val="15"/>
                <w:sz w:val="24"/>
              </w:rPr>
              <w:t>殘廢或死亡者，應發給慰問金。但該公務人員有故意或重大過失情事者，得</w:t>
            </w:r>
            <w:r>
              <w:rPr>
                <w:sz w:val="24"/>
              </w:rPr>
              <w:t>不發或減發慰問金。</w:t>
            </w:r>
          </w:p>
          <w:p>
            <w:pPr>
              <w:pStyle w:val="TableParagraph"/>
              <w:spacing w:line="223" w:lineRule="auto"/>
              <w:ind w:right="79" w:firstLine="480"/>
              <w:jc w:val="both"/>
              <w:rPr>
                <w:sz w:val="24"/>
              </w:rPr>
            </w:pPr>
            <w:r>
              <w:rPr>
                <w:spacing w:val="21"/>
                <w:sz w:val="24"/>
              </w:rPr>
              <w:t>前項</w:t>
            </w:r>
            <w:r>
              <w:rPr>
                <w:spacing w:val="18"/>
                <w:sz w:val="24"/>
                <w:u w:val="single"/>
              </w:rPr>
              <w:t>因公之範圍及</w:t>
            </w:r>
            <w:r>
              <w:rPr>
                <w:sz w:val="24"/>
              </w:rPr>
              <w:t>慰</w:t>
            </w:r>
            <w:r>
              <w:rPr>
                <w:spacing w:val="15"/>
                <w:sz w:val="24"/>
              </w:rPr>
              <w:t>問金發給辦法，由考試院</w:t>
            </w:r>
            <w:r>
              <w:rPr>
                <w:sz w:val="24"/>
              </w:rPr>
              <w:t>會同行政院定之。</w:t>
            </w:r>
          </w:p>
        </w:tc>
        <w:tc>
          <w:tcPr>
            <w:tcW w:w="3116" w:type="dxa"/>
          </w:tcPr>
          <w:p>
            <w:pPr>
              <w:pStyle w:val="TableParagraph"/>
              <w:spacing w:line="223" w:lineRule="auto" w:before="4"/>
              <w:ind w:left="626" w:right="98" w:hanging="521"/>
              <w:jc w:val="both"/>
              <w:rPr>
                <w:sz w:val="24"/>
              </w:rPr>
            </w:pPr>
            <w:r>
              <w:rPr>
                <w:spacing w:val="20"/>
                <w:sz w:val="24"/>
              </w:rPr>
              <w:t>一、本條修正第二項及第</w:t>
            </w:r>
            <w:r>
              <w:rPr>
                <w:sz w:val="24"/>
              </w:rPr>
              <w:t>三項。</w:t>
            </w:r>
          </w:p>
          <w:p>
            <w:pPr>
              <w:pStyle w:val="TableParagraph"/>
              <w:spacing w:line="223" w:lineRule="auto"/>
              <w:ind w:left="626" w:right="98" w:hanging="521"/>
              <w:jc w:val="both"/>
              <w:rPr>
                <w:sz w:val="24"/>
              </w:rPr>
            </w:pPr>
            <w:r>
              <w:rPr>
                <w:spacing w:val="20"/>
                <w:sz w:val="24"/>
              </w:rPr>
              <w:t>二、考量慰問金之性質係</w:t>
            </w:r>
            <w:r>
              <w:rPr>
                <w:spacing w:val="23"/>
                <w:sz w:val="24"/>
              </w:rPr>
              <w:t>政府對於因執行職務</w:t>
            </w:r>
            <w:r>
              <w:rPr>
                <w:spacing w:val="6"/>
                <w:sz w:val="24"/>
              </w:rPr>
              <w:t>時， 發生意外致受傷</w:t>
            </w:r>
          </w:p>
          <w:p>
            <w:pPr>
              <w:pStyle w:val="TableParagraph"/>
              <w:spacing w:line="223" w:lineRule="auto" w:before="2"/>
              <w:ind w:left="626" w:right="72"/>
              <w:jc w:val="both"/>
              <w:rPr>
                <w:sz w:val="24"/>
              </w:rPr>
            </w:pPr>
            <w:r>
              <w:rPr>
                <w:spacing w:val="23"/>
                <w:sz w:val="24"/>
              </w:rPr>
              <w:t>、失能或死亡之公務</w:t>
            </w:r>
            <w:r>
              <w:rPr>
                <w:spacing w:val="13"/>
                <w:w w:val="95"/>
                <w:sz w:val="24"/>
              </w:rPr>
              <w:t>人員， 予以慰問、照</w:t>
            </w:r>
            <w:r>
              <w:rPr>
                <w:spacing w:val="23"/>
                <w:sz w:val="24"/>
              </w:rPr>
              <w:t>護及保障所發給之及</w:t>
            </w:r>
            <w:r>
              <w:rPr>
                <w:spacing w:val="9"/>
                <w:sz w:val="24"/>
              </w:rPr>
              <w:t>時性給與， 原「因公</w:t>
            </w:r>
          </w:p>
          <w:p>
            <w:pPr>
              <w:pStyle w:val="TableParagraph"/>
              <w:spacing w:line="223" w:lineRule="auto"/>
              <w:ind w:left="626" w:right="98"/>
              <w:jc w:val="both"/>
              <w:rPr>
                <w:sz w:val="24"/>
              </w:rPr>
            </w:pPr>
            <w:r>
              <w:rPr>
                <w:spacing w:val="23"/>
                <w:sz w:val="24"/>
              </w:rPr>
              <w:t>」用語與公務人員撫</w:t>
            </w:r>
            <w:r>
              <w:rPr>
                <w:spacing w:val="7"/>
                <w:sz w:val="24"/>
              </w:rPr>
              <w:t>卹法規定類同， 易生</w:t>
            </w:r>
            <w:r>
              <w:rPr>
                <w:spacing w:val="23"/>
                <w:sz w:val="24"/>
              </w:rPr>
              <w:t>混淆。為切合立法意</w:t>
            </w:r>
            <w:r>
              <w:rPr>
                <w:spacing w:val="13"/>
                <w:w w:val="95"/>
                <w:sz w:val="24"/>
              </w:rPr>
              <w:t>旨， 爰修正第二項前</w:t>
            </w:r>
            <w:r>
              <w:rPr>
                <w:spacing w:val="6"/>
                <w:sz w:val="24"/>
              </w:rPr>
              <w:t>段規定， 明定公務人</w:t>
            </w:r>
            <w:r>
              <w:rPr>
                <w:spacing w:val="7"/>
                <w:sz w:val="24"/>
              </w:rPr>
              <w:t>員執行職務時， 發生</w:t>
            </w:r>
            <w:r>
              <w:rPr>
                <w:spacing w:val="23"/>
                <w:sz w:val="24"/>
              </w:rPr>
              <w:t>意外致受傷、失能或</w:t>
            </w:r>
            <w:r>
              <w:rPr>
                <w:spacing w:val="6"/>
                <w:sz w:val="24"/>
              </w:rPr>
              <w:t>死亡者， 應發給慰問</w:t>
            </w:r>
            <w:r>
              <w:rPr>
                <w:spacing w:val="23"/>
                <w:sz w:val="24"/>
              </w:rPr>
              <w:t>金。另考量慰問金制</w:t>
            </w:r>
            <w:r>
              <w:rPr>
                <w:spacing w:val="7"/>
                <w:sz w:val="24"/>
              </w:rPr>
              <w:t>度之創設緣由， 係為</w:t>
            </w:r>
            <w:r>
              <w:rPr>
                <w:spacing w:val="23"/>
                <w:sz w:val="24"/>
              </w:rPr>
              <w:t>取代各機關學校原競</w:t>
            </w:r>
            <w:r>
              <w:rPr>
                <w:spacing w:val="7"/>
                <w:sz w:val="24"/>
              </w:rPr>
              <w:t>相辦理之意外險， 爰第二項所稱意外， 自</w:t>
            </w:r>
            <w:r>
              <w:rPr>
                <w:spacing w:val="23"/>
                <w:sz w:val="24"/>
              </w:rPr>
              <w:t>應參酌保險法第一百三十一條第二項規定</w:t>
            </w:r>
            <w:r>
              <w:rPr>
                <w:spacing w:val="7"/>
                <w:sz w:val="24"/>
              </w:rPr>
              <w:t>及其實務作業， 指突</w:t>
            </w:r>
            <w:r>
              <w:rPr>
                <w:spacing w:val="22"/>
                <w:sz w:val="24"/>
              </w:rPr>
              <w:t>發性之外來危險事故</w:t>
            </w:r>
          </w:p>
          <w:p>
            <w:pPr>
              <w:pStyle w:val="TableParagraph"/>
              <w:spacing w:line="223" w:lineRule="auto" w:before="1"/>
              <w:ind w:left="626" w:right="100"/>
              <w:jc w:val="both"/>
              <w:rPr>
                <w:sz w:val="24"/>
              </w:rPr>
            </w:pPr>
            <w:r>
              <w:rPr>
                <w:spacing w:val="23"/>
                <w:sz w:val="24"/>
              </w:rPr>
              <w:t>；至於當事人疏忽或</w:t>
            </w:r>
            <w:r>
              <w:rPr>
                <w:spacing w:val="6"/>
                <w:sz w:val="24"/>
              </w:rPr>
              <w:t>疾病所致， 皆非屬意</w:t>
            </w:r>
            <w:r>
              <w:rPr>
                <w:sz w:val="24"/>
              </w:rPr>
              <w:t>外事故。</w:t>
            </w:r>
          </w:p>
          <w:p>
            <w:pPr>
              <w:pStyle w:val="TableParagraph"/>
              <w:spacing w:line="289" w:lineRule="exact"/>
              <w:ind w:left="105"/>
              <w:jc w:val="both"/>
              <w:rPr>
                <w:sz w:val="24"/>
              </w:rPr>
            </w:pPr>
            <w:r>
              <w:rPr>
                <w:spacing w:val="8"/>
                <w:sz w:val="24"/>
              </w:rPr>
              <w:t>三、為落實人性尊嚴， 與</w:t>
            </w:r>
          </w:p>
        </w:tc>
      </w:tr>
    </w:tbl>
    <w:p>
      <w:pPr>
        <w:spacing w:after="0" w:line="289" w:lineRule="exact"/>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26"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626" w:right="98"/>
              <w:jc w:val="both"/>
              <w:rPr>
                <w:sz w:val="24"/>
              </w:rPr>
            </w:pPr>
            <w:r>
              <w:rPr>
                <w:spacing w:val="23"/>
                <w:sz w:val="24"/>
              </w:rPr>
              <w:t>身心障礙者權利公約之意旨，以及配合公</w:t>
            </w:r>
            <w:r>
              <w:rPr>
                <w:spacing w:val="22"/>
                <w:sz w:val="24"/>
              </w:rPr>
              <w:t>教人員保險法第三條</w:t>
            </w:r>
          </w:p>
          <w:p>
            <w:pPr>
              <w:pStyle w:val="TableParagraph"/>
              <w:spacing w:line="223" w:lineRule="auto"/>
              <w:ind w:left="626" w:right="72"/>
              <w:jc w:val="both"/>
              <w:rPr>
                <w:sz w:val="24"/>
              </w:rPr>
            </w:pPr>
            <w:r>
              <w:rPr>
                <w:spacing w:val="24"/>
                <w:sz w:val="24"/>
              </w:rPr>
              <w:t>、第十二條及第三章</w:t>
            </w:r>
            <w:r>
              <w:rPr>
                <w:spacing w:val="23"/>
                <w:sz w:val="24"/>
              </w:rPr>
              <w:t>第二節失能給付規定</w:t>
            </w:r>
          </w:p>
          <w:p>
            <w:pPr>
              <w:pStyle w:val="TableParagraph"/>
              <w:spacing w:line="223" w:lineRule="auto"/>
              <w:ind w:left="626" w:right="72"/>
              <w:jc w:val="both"/>
              <w:rPr>
                <w:sz w:val="24"/>
              </w:rPr>
            </w:pPr>
            <w:r>
              <w:rPr>
                <w:spacing w:val="12"/>
                <w:w w:val="95"/>
                <w:sz w:val="24"/>
              </w:rPr>
              <w:t>， 業將「殘廢」用語</w:t>
            </w:r>
            <w:r>
              <w:rPr>
                <w:spacing w:val="8"/>
                <w:sz w:val="24"/>
              </w:rPr>
              <w:t>修正為「失能」， 爰</w:t>
            </w:r>
            <w:r>
              <w:rPr>
                <w:spacing w:val="24"/>
                <w:sz w:val="24"/>
              </w:rPr>
              <w:t>將第二項所定「殘廢</w:t>
            </w:r>
          </w:p>
          <w:p>
            <w:pPr>
              <w:pStyle w:val="TableParagraph"/>
              <w:spacing w:line="223" w:lineRule="auto" w:before="2"/>
              <w:ind w:left="626" w:right="98"/>
              <w:jc w:val="both"/>
              <w:rPr>
                <w:sz w:val="24"/>
              </w:rPr>
            </w:pPr>
            <w:r>
              <w:rPr>
                <w:spacing w:val="6"/>
                <w:sz w:val="24"/>
              </w:rPr>
              <w:t>」用語， 修正為「失</w:t>
            </w:r>
            <w:r>
              <w:rPr>
                <w:sz w:val="24"/>
              </w:rPr>
              <w:t>能」。</w:t>
            </w:r>
          </w:p>
          <w:p>
            <w:pPr>
              <w:pStyle w:val="TableParagraph"/>
              <w:spacing w:line="307" w:lineRule="exact"/>
              <w:ind w:left="105"/>
              <w:jc w:val="both"/>
              <w:rPr>
                <w:sz w:val="24"/>
              </w:rPr>
            </w:pPr>
            <w:r>
              <w:rPr>
                <w:spacing w:val="20"/>
                <w:sz w:val="24"/>
              </w:rPr>
              <w:t>四、關於執行職務之範圍</w:t>
            </w:r>
          </w:p>
          <w:p>
            <w:pPr>
              <w:pStyle w:val="TableParagraph"/>
              <w:spacing w:line="223" w:lineRule="auto" w:before="5"/>
              <w:ind w:left="626" w:right="72"/>
              <w:jc w:val="both"/>
              <w:rPr>
                <w:sz w:val="24"/>
              </w:rPr>
            </w:pPr>
            <w:r>
              <w:rPr>
                <w:spacing w:val="15"/>
                <w:w w:val="95"/>
                <w:sz w:val="24"/>
              </w:rPr>
              <w:t>， 係屬技術性、細節</w:t>
            </w:r>
            <w:r>
              <w:rPr>
                <w:spacing w:val="8"/>
                <w:sz w:val="24"/>
              </w:rPr>
              <w:t>性事項， 應以辦法定</w:t>
            </w:r>
            <w:r>
              <w:rPr>
                <w:spacing w:val="13"/>
                <w:w w:val="95"/>
                <w:sz w:val="24"/>
              </w:rPr>
              <w:t>之， 爰將第三項「因</w:t>
            </w:r>
            <w:r>
              <w:rPr>
                <w:spacing w:val="23"/>
                <w:sz w:val="24"/>
              </w:rPr>
              <w:t>公之範圍及」等字刪</w:t>
            </w:r>
            <w:r>
              <w:rPr>
                <w:sz w:val="24"/>
              </w:rPr>
              <w:t>除。</w:t>
            </w:r>
          </w:p>
          <w:p>
            <w:pPr>
              <w:pStyle w:val="TableParagraph"/>
              <w:spacing w:line="307" w:lineRule="exact"/>
              <w:ind w:left="105"/>
              <w:rPr>
                <w:sz w:val="24"/>
              </w:rPr>
            </w:pPr>
            <w:r>
              <w:rPr>
                <w:spacing w:val="5"/>
                <w:sz w:val="24"/>
              </w:rPr>
              <w:t>五、相關條文</w:t>
            </w:r>
          </w:p>
          <w:p>
            <w:pPr>
              <w:pStyle w:val="TableParagraph"/>
              <w:spacing w:line="312" w:lineRule="exact"/>
              <w:ind w:left="105"/>
              <w:rPr>
                <w:sz w:val="24"/>
              </w:rPr>
            </w:pPr>
            <w:r>
              <w:rPr>
                <w:sz w:val="24"/>
              </w:rPr>
              <w:t>（一）公教人員保險法</w:t>
            </w:r>
          </w:p>
          <w:p>
            <w:pPr>
              <w:pStyle w:val="TableParagraph"/>
              <w:spacing w:line="312" w:lineRule="exact"/>
              <w:ind w:left="105"/>
              <w:rPr>
                <w:sz w:val="24"/>
              </w:rPr>
            </w:pPr>
            <w:r>
              <w:rPr>
                <w:spacing w:val="9"/>
                <w:sz w:val="24"/>
              </w:rPr>
              <w:t>第三條 本保險之保險範圍</w:t>
            </w:r>
          </w:p>
          <w:p>
            <w:pPr>
              <w:pStyle w:val="TableParagraph"/>
              <w:spacing w:line="313" w:lineRule="exact"/>
              <w:ind w:left="345"/>
              <w:rPr>
                <w:sz w:val="24"/>
              </w:rPr>
            </w:pPr>
            <w:r>
              <w:rPr>
                <w:sz w:val="24"/>
              </w:rPr>
              <w:t>，包括失能、養老、死亡</w:t>
            </w:r>
          </w:p>
          <w:p>
            <w:pPr>
              <w:pStyle w:val="TableParagraph"/>
              <w:spacing w:line="223" w:lineRule="auto" w:before="6"/>
              <w:ind w:left="345" w:right="99"/>
              <w:rPr>
                <w:sz w:val="24"/>
              </w:rPr>
            </w:pPr>
            <w:r>
              <w:rPr>
                <w:sz w:val="24"/>
              </w:rPr>
              <w:t>、眷屬喪葬、生育及育嬰留職停薪六項。</w:t>
            </w:r>
          </w:p>
          <w:p>
            <w:pPr>
              <w:pStyle w:val="TableParagraph"/>
              <w:spacing w:line="223" w:lineRule="auto"/>
              <w:ind w:left="345" w:right="96" w:hanging="240"/>
              <w:jc w:val="both"/>
              <w:rPr>
                <w:sz w:val="24"/>
              </w:rPr>
            </w:pPr>
            <w:r>
              <w:rPr>
                <w:sz w:val="24"/>
              </w:rPr>
              <w:t>第十二條第一項 被保險人在保險有效期間，發生失能、養老、死亡、眷屬喪葬、生育或育嬰留職停薪之保險事故時，應予現金給付；其給付金額之計算標準，依下列規定：</w:t>
            </w:r>
          </w:p>
          <w:p>
            <w:pPr>
              <w:pStyle w:val="TableParagraph"/>
              <w:spacing w:line="306" w:lineRule="exact"/>
              <w:ind w:left="345"/>
              <w:rPr>
                <w:sz w:val="24"/>
              </w:rPr>
            </w:pPr>
            <w:r>
              <w:rPr>
                <w:sz w:val="24"/>
              </w:rPr>
              <w:t>一、養老給付及死亡給付</w:t>
            </w:r>
          </w:p>
          <w:p>
            <w:pPr>
              <w:pStyle w:val="TableParagraph"/>
              <w:spacing w:line="223" w:lineRule="auto" w:before="5"/>
              <w:ind w:left="873" w:right="98"/>
              <w:jc w:val="both"/>
              <w:rPr>
                <w:sz w:val="24"/>
              </w:rPr>
            </w:pPr>
            <w:r>
              <w:rPr>
                <w:spacing w:val="7"/>
                <w:sz w:val="24"/>
              </w:rPr>
              <w:t>： 按被保險人發生</w:t>
            </w:r>
            <w:r>
              <w:rPr>
                <w:spacing w:val="24"/>
                <w:sz w:val="24"/>
              </w:rPr>
              <w:t>保險事故當月起，</w:t>
            </w:r>
            <w:r>
              <w:rPr>
                <w:spacing w:val="-118"/>
                <w:sz w:val="24"/>
              </w:rPr>
              <w:t> </w:t>
            </w:r>
            <w:r>
              <w:rPr>
                <w:spacing w:val="24"/>
                <w:sz w:val="24"/>
              </w:rPr>
              <w:t>前十年投保年資之</w:t>
            </w:r>
            <w:r>
              <w:rPr>
                <w:spacing w:val="27"/>
                <w:sz w:val="24"/>
              </w:rPr>
              <w:t>實際保險俸</w:t>
            </w:r>
            <w:r>
              <w:rPr>
                <w:sz w:val="24"/>
              </w:rPr>
              <w:t>（</w:t>
            </w:r>
            <w:r>
              <w:rPr>
                <w:spacing w:val="-32"/>
                <w:sz w:val="24"/>
              </w:rPr>
              <w:t> 薪</w:t>
            </w:r>
            <w:r>
              <w:rPr>
                <w:sz w:val="24"/>
              </w:rPr>
              <w:t>）</w:t>
            </w:r>
            <w:r>
              <w:rPr>
                <w:spacing w:val="-118"/>
                <w:sz w:val="24"/>
              </w:rPr>
              <w:t> </w:t>
            </w:r>
            <w:r>
              <w:rPr>
                <w:spacing w:val="27"/>
                <w:sz w:val="24"/>
              </w:rPr>
              <w:t>額平均計算</w:t>
            </w:r>
            <w:r>
              <w:rPr>
                <w:sz w:val="24"/>
              </w:rPr>
              <w:t>（</w:t>
            </w:r>
            <w:r>
              <w:rPr>
                <w:spacing w:val="-22"/>
                <w:sz w:val="24"/>
              </w:rPr>
              <w:t> 以下</w:t>
            </w:r>
            <w:r>
              <w:rPr>
                <w:spacing w:val="27"/>
                <w:sz w:val="24"/>
              </w:rPr>
              <w:t>簡稱平均保俸額</w:t>
            </w:r>
            <w:r>
              <w:rPr>
                <w:sz w:val="24"/>
              </w:rPr>
              <w:t>）</w:t>
            </w:r>
          </w:p>
          <w:p>
            <w:pPr>
              <w:pStyle w:val="TableParagraph"/>
              <w:numPr>
                <w:ilvl w:val="0"/>
                <w:numId w:val="1"/>
              </w:numPr>
              <w:tabs>
                <w:tab w:pos="1145" w:val="left" w:leader="none"/>
              </w:tabs>
              <w:spacing w:line="223" w:lineRule="auto" w:before="2" w:after="0"/>
              <w:ind w:left="873" w:right="98" w:firstLine="0"/>
              <w:jc w:val="both"/>
              <w:rPr>
                <w:sz w:val="24"/>
              </w:rPr>
            </w:pPr>
            <w:r>
              <w:rPr>
                <w:spacing w:val="24"/>
                <w:sz w:val="24"/>
              </w:rPr>
              <w:t>但加保未滿十年</w:t>
            </w:r>
            <w:r>
              <w:rPr>
                <w:spacing w:val="6"/>
                <w:sz w:val="24"/>
              </w:rPr>
              <w:t>者， 按其實際投保</w:t>
            </w:r>
            <w:r>
              <w:rPr>
                <w:spacing w:val="27"/>
                <w:sz w:val="24"/>
              </w:rPr>
              <w:t>年資之保險俸</w:t>
            </w:r>
            <w:r>
              <w:rPr>
                <w:sz w:val="24"/>
              </w:rPr>
              <w:t>（</w:t>
            </w:r>
            <w:r>
              <w:rPr>
                <w:spacing w:val="-45"/>
                <w:sz w:val="24"/>
              </w:rPr>
              <w:t> 薪</w:t>
            </w:r>
          </w:p>
          <w:p>
            <w:pPr>
              <w:pStyle w:val="TableParagraph"/>
              <w:spacing w:line="307" w:lineRule="exact"/>
              <w:ind w:left="873"/>
              <w:rPr>
                <w:sz w:val="24"/>
              </w:rPr>
            </w:pPr>
            <w:r>
              <w:rPr>
                <w:sz w:val="24"/>
              </w:rPr>
              <w:t>）額平均計算。</w:t>
            </w:r>
          </w:p>
          <w:p>
            <w:pPr>
              <w:pStyle w:val="TableParagraph"/>
              <w:spacing w:line="223" w:lineRule="auto" w:before="5"/>
              <w:ind w:left="873" w:right="98" w:hanging="528"/>
              <w:rPr>
                <w:sz w:val="24"/>
              </w:rPr>
            </w:pPr>
            <w:r>
              <w:rPr>
                <w:sz w:val="24"/>
              </w:rPr>
              <w:t>二、育嬰留職停薪津貼：</w:t>
            </w:r>
            <w:r>
              <w:rPr>
                <w:spacing w:val="-117"/>
                <w:sz w:val="24"/>
              </w:rPr>
              <w:t> </w:t>
            </w:r>
            <w:r>
              <w:rPr>
                <w:spacing w:val="23"/>
                <w:sz w:val="24"/>
              </w:rPr>
              <w:t>按被保險人育嬰留</w:t>
            </w:r>
          </w:p>
          <w:p>
            <w:pPr>
              <w:pStyle w:val="TableParagraph"/>
              <w:spacing w:line="289" w:lineRule="exact"/>
              <w:ind w:left="873"/>
              <w:rPr>
                <w:sz w:val="24"/>
              </w:rPr>
            </w:pPr>
            <w:r>
              <w:rPr>
                <w:spacing w:val="8"/>
                <w:sz w:val="24"/>
              </w:rPr>
              <w:t>職停薪當月起， 往</w:t>
            </w:r>
          </w:p>
        </w:tc>
      </w:tr>
    </w:tbl>
    <w:p>
      <w:pPr>
        <w:spacing w:after="0" w:line="289"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292"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873" w:right="98"/>
              <w:jc w:val="both"/>
              <w:rPr>
                <w:sz w:val="24"/>
              </w:rPr>
            </w:pPr>
            <w:r>
              <w:rPr>
                <w:spacing w:val="24"/>
                <w:sz w:val="24"/>
              </w:rPr>
              <w:t>前推算六個月保險</w:t>
            </w:r>
            <w:r>
              <w:rPr>
                <w:spacing w:val="27"/>
                <w:sz w:val="24"/>
              </w:rPr>
              <w:t>俸</w:t>
            </w:r>
            <w:r>
              <w:rPr>
                <w:sz w:val="24"/>
              </w:rPr>
              <w:t>（</w:t>
            </w:r>
            <w:r>
              <w:rPr>
                <w:spacing w:val="-32"/>
                <w:sz w:val="24"/>
              </w:rPr>
              <w:t> 薪</w:t>
            </w:r>
            <w:r>
              <w:rPr>
                <w:sz w:val="24"/>
              </w:rPr>
              <w:t>）</w:t>
            </w:r>
            <w:r>
              <w:rPr>
                <w:spacing w:val="-3"/>
                <w:sz w:val="24"/>
              </w:rPr>
              <w:t> 額之平均</w:t>
            </w:r>
            <w:r>
              <w:rPr>
                <w:spacing w:val="24"/>
                <w:sz w:val="24"/>
              </w:rPr>
              <w:t>數百分之六十計算</w:t>
            </w:r>
          </w:p>
          <w:p>
            <w:pPr>
              <w:pStyle w:val="TableParagraph"/>
              <w:spacing w:line="307" w:lineRule="exact"/>
              <w:ind w:left="873"/>
              <w:rPr>
                <w:sz w:val="24"/>
              </w:rPr>
            </w:pPr>
            <w:r>
              <w:rPr>
                <w:sz w:val="24"/>
              </w:rPr>
              <w:t>。</w:t>
            </w:r>
          </w:p>
          <w:p>
            <w:pPr>
              <w:pStyle w:val="TableParagraph"/>
              <w:spacing w:line="223" w:lineRule="auto" w:before="5"/>
              <w:ind w:left="873" w:right="96" w:hanging="528"/>
              <w:jc w:val="both"/>
              <w:rPr>
                <w:sz w:val="24"/>
              </w:rPr>
            </w:pPr>
            <w:r>
              <w:rPr>
                <w:sz w:val="24"/>
              </w:rPr>
              <w:t>三、失能給付、生育給付</w:t>
            </w:r>
            <w:r>
              <w:rPr>
                <w:spacing w:val="24"/>
                <w:sz w:val="24"/>
              </w:rPr>
              <w:t>及眷屬喪葬津貼：</w:t>
            </w:r>
            <w:r>
              <w:rPr>
                <w:spacing w:val="-118"/>
                <w:sz w:val="24"/>
              </w:rPr>
              <w:t> </w:t>
            </w:r>
            <w:r>
              <w:rPr>
                <w:spacing w:val="24"/>
                <w:sz w:val="24"/>
              </w:rPr>
              <w:t>按被保險人發生保</w:t>
            </w:r>
            <w:r>
              <w:rPr>
                <w:spacing w:val="8"/>
                <w:sz w:val="24"/>
              </w:rPr>
              <w:t>險事故當月起， 往</w:t>
            </w:r>
            <w:r>
              <w:rPr>
                <w:spacing w:val="24"/>
                <w:sz w:val="24"/>
              </w:rPr>
              <w:t>前推算六個月保險</w:t>
            </w:r>
            <w:r>
              <w:rPr>
                <w:spacing w:val="30"/>
                <w:sz w:val="24"/>
              </w:rPr>
              <w:t>俸</w:t>
            </w:r>
            <w:r>
              <w:rPr>
                <w:sz w:val="24"/>
              </w:rPr>
              <w:t>（</w:t>
            </w:r>
            <w:r>
              <w:rPr>
                <w:spacing w:val="-30"/>
                <w:sz w:val="24"/>
              </w:rPr>
              <w:t> 薪</w:t>
            </w:r>
            <w:r>
              <w:rPr>
                <w:sz w:val="24"/>
              </w:rPr>
              <w:t>）</w:t>
            </w:r>
            <w:r>
              <w:rPr>
                <w:spacing w:val="-2"/>
                <w:sz w:val="24"/>
              </w:rPr>
              <w:t> 額之平均</w:t>
            </w:r>
            <w:r>
              <w:rPr>
                <w:spacing w:val="24"/>
                <w:sz w:val="24"/>
              </w:rPr>
              <w:t>數計算。但加保未</w:t>
            </w:r>
            <w:r>
              <w:rPr>
                <w:spacing w:val="8"/>
                <w:sz w:val="24"/>
              </w:rPr>
              <w:t>滿六個月者， 按其</w:t>
            </w:r>
            <w:r>
              <w:rPr>
                <w:spacing w:val="24"/>
                <w:sz w:val="24"/>
              </w:rPr>
              <w:t>實際加保月數之平</w:t>
            </w:r>
            <w:r>
              <w:rPr>
                <w:spacing w:val="29"/>
                <w:sz w:val="24"/>
              </w:rPr>
              <w:t>均保險俸</w:t>
            </w:r>
            <w:r>
              <w:rPr>
                <w:sz w:val="24"/>
              </w:rPr>
              <w:t>（</w:t>
            </w:r>
            <w:r>
              <w:rPr>
                <w:spacing w:val="-31"/>
                <w:sz w:val="24"/>
              </w:rPr>
              <w:t> 薪</w:t>
            </w:r>
            <w:r>
              <w:rPr>
                <w:sz w:val="24"/>
              </w:rPr>
              <w:t>）</w:t>
            </w:r>
            <w:r>
              <w:rPr>
                <w:spacing w:val="-45"/>
                <w:sz w:val="24"/>
              </w:rPr>
              <w:t> 額</w:t>
            </w:r>
            <w:r>
              <w:rPr>
                <w:sz w:val="24"/>
              </w:rPr>
              <w:t>計算。</w:t>
            </w:r>
          </w:p>
          <w:p>
            <w:pPr>
              <w:pStyle w:val="TableParagraph"/>
              <w:spacing w:line="309" w:lineRule="exact"/>
              <w:ind w:left="105"/>
              <w:rPr>
                <w:sz w:val="24"/>
              </w:rPr>
            </w:pPr>
            <w:r>
              <w:rPr>
                <w:sz w:val="24"/>
              </w:rPr>
              <w:t>（二）保險法</w:t>
            </w:r>
          </w:p>
          <w:p>
            <w:pPr>
              <w:pStyle w:val="TableParagraph"/>
              <w:spacing w:line="223" w:lineRule="auto" w:before="5"/>
              <w:ind w:left="419" w:right="5" w:hanging="240"/>
              <w:rPr>
                <w:sz w:val="24"/>
              </w:rPr>
            </w:pPr>
            <w:r>
              <w:rPr>
                <w:spacing w:val="16"/>
                <w:sz w:val="24"/>
              </w:rPr>
              <w:t>第一百三十一條 傷害保險人 於被保險人遭受意外傷害及其所致殘廢</w:t>
            </w:r>
            <w:r>
              <w:rPr>
                <w:spacing w:val="3"/>
                <w:sz w:val="24"/>
              </w:rPr>
              <w:t>或死亡時， 負給付保險</w:t>
            </w:r>
            <w:r>
              <w:rPr>
                <w:sz w:val="24"/>
              </w:rPr>
              <w:t>金額之責。</w:t>
            </w:r>
          </w:p>
          <w:p>
            <w:pPr>
              <w:pStyle w:val="TableParagraph"/>
              <w:spacing w:line="223" w:lineRule="auto" w:before="2"/>
              <w:ind w:left="419" w:right="97" w:firstLine="537"/>
              <w:jc w:val="both"/>
              <w:rPr>
                <w:sz w:val="24"/>
              </w:rPr>
            </w:pPr>
            <w:r>
              <w:rPr>
                <w:spacing w:val="14"/>
                <w:sz w:val="24"/>
              </w:rPr>
              <w:t>前項意外傷害，指</w:t>
            </w:r>
            <w:r>
              <w:rPr>
                <w:spacing w:val="11"/>
                <w:sz w:val="24"/>
              </w:rPr>
              <w:t>非由      疾病引起</w:t>
            </w:r>
            <w:r>
              <w:rPr>
                <w:spacing w:val="16"/>
                <w:sz w:val="24"/>
              </w:rPr>
              <w:t>之外來突發事故所致者</w:t>
            </w:r>
          </w:p>
          <w:p>
            <w:pPr>
              <w:pStyle w:val="TableParagraph"/>
              <w:spacing w:line="319" w:lineRule="exact"/>
              <w:ind w:left="419"/>
              <w:rPr>
                <w:sz w:val="24"/>
              </w:rPr>
            </w:pPr>
            <w:r>
              <w:rPr>
                <w:sz w:val="24"/>
              </w:rPr>
              <w:t>。</w:t>
            </w:r>
          </w:p>
          <w:p>
            <w:pPr>
              <w:pStyle w:val="TableParagraph"/>
              <w:spacing w:line="223" w:lineRule="auto" w:before="173"/>
              <w:ind w:left="873" w:right="94" w:hanging="768"/>
              <w:rPr>
                <w:sz w:val="24"/>
              </w:rPr>
            </w:pPr>
            <w:r>
              <w:rPr>
                <w:sz w:val="24"/>
              </w:rPr>
              <w:t>（三）公務人員因公傷殘死亡慰問金發給辦法</w:t>
            </w:r>
          </w:p>
          <w:p>
            <w:pPr>
              <w:pStyle w:val="TableParagraph"/>
              <w:spacing w:line="223" w:lineRule="auto"/>
              <w:ind w:left="345" w:right="98" w:hanging="240"/>
              <w:jc w:val="both"/>
              <w:rPr>
                <w:sz w:val="24"/>
              </w:rPr>
            </w:pPr>
            <w:r>
              <w:rPr>
                <w:sz w:val="24"/>
              </w:rPr>
              <w:t>第三條 本辦法所稱因公受傷、殘廢、死亡，指因下列情事之一，致受傷、殘廢或死亡者：</w:t>
            </w:r>
          </w:p>
          <w:p>
            <w:pPr>
              <w:pStyle w:val="TableParagraph"/>
              <w:spacing w:line="225" w:lineRule="auto"/>
              <w:ind w:left="345" w:right="118"/>
              <w:rPr>
                <w:sz w:val="24"/>
              </w:rPr>
            </w:pPr>
            <w:r>
              <w:rPr>
                <w:spacing w:val="-1"/>
                <w:sz w:val="24"/>
              </w:rPr>
              <w:t>一、執行職務發生意外。</w:t>
            </w:r>
            <w:r>
              <w:rPr>
                <w:sz w:val="24"/>
              </w:rPr>
              <w:t>二、公差遇險。</w:t>
            </w:r>
          </w:p>
          <w:p>
            <w:pPr>
              <w:pStyle w:val="TableParagraph"/>
              <w:spacing w:line="305" w:lineRule="exact"/>
              <w:rPr>
                <w:sz w:val="24"/>
              </w:rPr>
            </w:pPr>
            <w:r>
              <w:rPr>
                <w:sz w:val="24"/>
              </w:rPr>
              <w:t>三、在辦公場所發生意外</w:t>
            </w:r>
          </w:p>
          <w:p>
            <w:pPr>
              <w:pStyle w:val="TableParagraph"/>
              <w:spacing w:line="312" w:lineRule="exact"/>
              <w:ind w:left="873"/>
              <w:rPr>
                <w:sz w:val="24"/>
              </w:rPr>
            </w:pPr>
            <w:r>
              <w:rPr>
                <w:sz w:val="24"/>
              </w:rPr>
              <w:t>。</w:t>
            </w:r>
          </w:p>
          <w:p>
            <w:pPr>
              <w:pStyle w:val="TableParagraph"/>
              <w:spacing w:line="223" w:lineRule="auto" w:before="2"/>
              <w:ind w:left="345" w:right="98" w:firstLine="487"/>
              <w:jc w:val="both"/>
              <w:rPr>
                <w:sz w:val="24"/>
              </w:rPr>
            </w:pPr>
            <w:r>
              <w:rPr>
                <w:sz w:val="24"/>
              </w:rPr>
              <w:t>前項第一款所稱執行職務發生意外，指於執行職務時，發生意外事故；</w:t>
            </w:r>
            <w:r>
              <w:rPr>
                <w:spacing w:val="-118"/>
                <w:sz w:val="24"/>
              </w:rPr>
              <w:t> </w:t>
            </w:r>
            <w:r>
              <w:rPr>
                <w:sz w:val="24"/>
              </w:rPr>
              <w:t>第二款所稱公差遇險，指公務人員經機關學校指派執行一定之任務而遭遇危</w:t>
            </w:r>
          </w:p>
          <w:p>
            <w:pPr>
              <w:pStyle w:val="TableParagraph"/>
              <w:spacing w:line="286" w:lineRule="exact"/>
              <w:ind w:left="345"/>
              <w:rPr>
                <w:sz w:val="24"/>
              </w:rPr>
            </w:pPr>
            <w:r>
              <w:rPr>
                <w:sz w:val="24"/>
              </w:rPr>
              <w:t>險，其時程之計算係自出</w:t>
            </w:r>
          </w:p>
        </w:tc>
      </w:tr>
    </w:tbl>
    <w:p>
      <w:pPr>
        <w:spacing w:after="0" w:line="286" w:lineRule="exac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746"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345" w:right="99"/>
              <w:jc w:val="right"/>
              <w:rPr>
                <w:sz w:val="24"/>
              </w:rPr>
            </w:pPr>
            <w:r>
              <w:rPr>
                <w:sz w:val="24"/>
              </w:rPr>
              <w:t>發以迄完成指派任務返回辦公場所或住（居）所止</w:t>
            </w:r>
          </w:p>
          <w:p>
            <w:pPr>
              <w:pStyle w:val="TableParagraph"/>
              <w:spacing w:line="223" w:lineRule="auto"/>
              <w:ind w:left="345" w:right="98"/>
              <w:jc w:val="right"/>
              <w:rPr>
                <w:sz w:val="24"/>
              </w:rPr>
            </w:pPr>
            <w:r>
              <w:rPr>
                <w:sz w:val="24"/>
              </w:rPr>
              <w:t>；第三款所稱在辦公場所發生意外，指在處理公務之場所，於辦公時間內或指定之工作時間內，因處理公務而發生意外事故。依本辦法發給慰問金</w:t>
            </w:r>
          </w:p>
          <w:p>
            <w:pPr>
              <w:pStyle w:val="TableParagraph"/>
              <w:spacing w:line="223" w:lineRule="auto" w:before="2"/>
              <w:ind w:left="345" w:right="99"/>
              <w:jc w:val="both"/>
              <w:rPr>
                <w:sz w:val="24"/>
              </w:rPr>
            </w:pPr>
            <w:r>
              <w:rPr>
                <w:sz w:val="24"/>
              </w:rPr>
              <w:t>者，以其受傷、殘廢或死亡與第一項各款因公情事之一具有相當因果關係者</w:t>
            </w:r>
          </w:p>
          <w:p>
            <w:pPr>
              <w:pStyle w:val="TableParagraph"/>
              <w:spacing w:line="287" w:lineRule="exact"/>
              <w:ind w:left="345"/>
              <w:rPr>
                <w:sz w:val="24"/>
              </w:rPr>
            </w:pPr>
            <w:r>
              <w:rPr>
                <w:sz w:val="24"/>
              </w:rPr>
              <w:t>為限。</w:t>
            </w:r>
          </w:p>
        </w:tc>
      </w:tr>
      <w:tr>
        <w:trPr>
          <w:trHeight w:val="9367" w:hRule="atLeast"/>
        </w:trPr>
        <w:tc>
          <w:tcPr>
            <w:tcW w:w="2835" w:type="dxa"/>
          </w:tcPr>
          <w:p>
            <w:pPr>
              <w:pStyle w:val="TableParagraph"/>
              <w:spacing w:line="223" w:lineRule="auto" w:before="4"/>
              <w:ind w:right="315" w:hanging="240"/>
              <w:jc w:val="right"/>
              <w:rPr>
                <w:sz w:val="24"/>
              </w:rPr>
            </w:pPr>
            <w:r>
              <w:rPr>
                <w:spacing w:val="9"/>
                <w:sz w:val="24"/>
              </w:rPr>
              <w:t>第二十二條 公務人員</w:t>
            </w:r>
            <w:r>
              <w:rPr>
                <w:spacing w:val="-2"/>
                <w:sz w:val="24"/>
              </w:rPr>
              <w:t>依法執行職務涉訟時</w:t>
            </w:r>
          </w:p>
          <w:p>
            <w:pPr>
              <w:pStyle w:val="TableParagraph"/>
              <w:spacing w:line="223" w:lineRule="auto"/>
              <w:ind w:right="291"/>
              <w:jc w:val="right"/>
              <w:rPr>
                <w:sz w:val="24"/>
              </w:rPr>
            </w:pPr>
            <w:r>
              <w:rPr>
                <w:sz w:val="24"/>
              </w:rPr>
              <w:t>，服務機關應</w:t>
            </w:r>
            <w:r>
              <w:rPr>
                <w:sz w:val="24"/>
                <w:u w:val="single"/>
              </w:rPr>
              <w:t>輔助其</w:t>
            </w:r>
            <w:r>
              <w:rPr>
                <w:sz w:val="24"/>
              </w:rPr>
              <w:t>延聘律師為其辯護及提供法律上之協助。前項情形，其涉</w:t>
            </w:r>
          </w:p>
          <w:p>
            <w:pPr>
              <w:pStyle w:val="TableParagraph"/>
              <w:spacing w:line="223" w:lineRule="auto" w:before="2"/>
              <w:ind w:right="315"/>
              <w:jc w:val="right"/>
              <w:rPr>
                <w:sz w:val="24"/>
              </w:rPr>
            </w:pPr>
            <w:r>
              <w:rPr>
                <w:spacing w:val="-1"/>
                <w:sz w:val="24"/>
              </w:rPr>
              <w:t>訟係因公務人員之故</w:t>
            </w:r>
            <w:r>
              <w:rPr>
                <w:spacing w:val="-2"/>
                <w:sz w:val="24"/>
              </w:rPr>
              <w:t>意或重大過失所致者</w:t>
            </w:r>
          </w:p>
          <w:p>
            <w:pPr>
              <w:pStyle w:val="TableParagraph"/>
              <w:spacing w:line="223" w:lineRule="auto"/>
              <w:ind w:right="315"/>
              <w:jc w:val="both"/>
              <w:rPr>
                <w:sz w:val="24"/>
              </w:rPr>
            </w:pPr>
            <w:r>
              <w:rPr>
                <w:sz w:val="24"/>
              </w:rPr>
              <w:t>，</w:t>
            </w:r>
            <w:r>
              <w:rPr>
                <w:sz w:val="24"/>
                <w:u w:val="single"/>
              </w:rPr>
              <w:t>應不予輔助；如</w:t>
            </w:r>
            <w:r>
              <w:rPr>
                <w:spacing w:val="1"/>
                <w:sz w:val="24"/>
                <w:u w:val="single"/>
              </w:rPr>
              <w:t> </w:t>
            </w:r>
            <w:r>
              <w:rPr>
                <w:spacing w:val="-2"/>
                <w:sz w:val="24"/>
                <w:u w:val="single"/>
              </w:rPr>
              <w:t>服務機關已支付涉訟</w:t>
            </w:r>
            <w:r>
              <w:rPr>
                <w:spacing w:val="-26"/>
                <w:sz w:val="24"/>
                <w:u w:val="single"/>
              </w:rPr>
              <w:t>輔助費用者，應予追</w:t>
            </w:r>
            <w:r>
              <w:rPr>
                <w:sz w:val="24"/>
                <w:u w:val="single"/>
              </w:rPr>
              <w:t>還</w:t>
            </w:r>
          </w:p>
          <w:p>
            <w:pPr>
              <w:pStyle w:val="TableParagraph"/>
              <w:spacing w:line="307" w:lineRule="exact"/>
              <w:rPr>
                <w:sz w:val="24"/>
              </w:rPr>
            </w:pPr>
            <w:r>
              <w:rPr>
                <w:sz w:val="24"/>
                <w:u w:val="single"/>
              </w:rPr>
              <w:t>。</w:t>
            </w:r>
          </w:p>
          <w:p>
            <w:pPr>
              <w:pStyle w:val="TableParagraph"/>
              <w:spacing w:line="223" w:lineRule="auto" w:before="5"/>
              <w:ind w:right="291" w:firstLine="503"/>
              <w:jc w:val="both"/>
              <w:rPr>
                <w:sz w:val="24"/>
              </w:rPr>
            </w:pPr>
            <w:r>
              <w:rPr>
                <w:spacing w:val="-1"/>
                <w:sz w:val="24"/>
                <w:u w:val="single"/>
              </w:rPr>
              <w:t>第一項之</w:t>
            </w:r>
            <w:r>
              <w:rPr>
                <w:sz w:val="24"/>
              </w:rPr>
              <w:t>涉訟輔助辦法，由考試院會同行政院定之。</w:t>
            </w:r>
          </w:p>
        </w:tc>
        <w:tc>
          <w:tcPr>
            <w:tcW w:w="3262" w:type="dxa"/>
          </w:tcPr>
          <w:p>
            <w:pPr>
              <w:pStyle w:val="TableParagraph"/>
              <w:spacing w:line="223" w:lineRule="auto" w:before="4"/>
              <w:ind w:right="79" w:hanging="240"/>
              <w:jc w:val="both"/>
              <w:rPr>
                <w:sz w:val="24"/>
              </w:rPr>
            </w:pPr>
            <w:r>
              <w:rPr>
                <w:spacing w:val="12"/>
                <w:sz w:val="24"/>
              </w:rPr>
              <w:t>第二十二條 公務人員依法</w:t>
            </w:r>
            <w:r>
              <w:rPr>
                <w:spacing w:val="15"/>
                <w:sz w:val="24"/>
              </w:rPr>
              <w:t>執行職務涉訟時，其服務機關應延聘律師為其辯護</w:t>
            </w:r>
            <w:r>
              <w:rPr>
                <w:sz w:val="24"/>
              </w:rPr>
              <w:t>及提供法律上之協助。</w:t>
            </w:r>
          </w:p>
          <w:p>
            <w:pPr>
              <w:pStyle w:val="TableParagraph"/>
              <w:spacing w:line="223" w:lineRule="auto"/>
              <w:ind w:right="79" w:firstLine="504"/>
              <w:jc w:val="both"/>
              <w:rPr>
                <w:sz w:val="24"/>
              </w:rPr>
            </w:pPr>
            <w:r>
              <w:rPr>
                <w:spacing w:val="14"/>
                <w:sz w:val="24"/>
              </w:rPr>
              <w:t>前項情形，其涉訟係</w:t>
            </w:r>
            <w:r>
              <w:rPr>
                <w:spacing w:val="15"/>
                <w:sz w:val="24"/>
              </w:rPr>
              <w:t>因公務人員之故意或重大過失所致者，其服務機關</w:t>
            </w:r>
            <w:r>
              <w:rPr>
                <w:sz w:val="24"/>
              </w:rPr>
              <w:t>應向該公務人員求償。</w:t>
            </w:r>
          </w:p>
          <w:p>
            <w:pPr>
              <w:pStyle w:val="TableParagraph"/>
              <w:spacing w:line="223" w:lineRule="auto" w:before="2"/>
              <w:ind w:right="79" w:firstLine="504"/>
              <w:jc w:val="both"/>
              <w:rPr>
                <w:sz w:val="24"/>
              </w:rPr>
            </w:pPr>
            <w:r>
              <w:rPr>
                <w:spacing w:val="14"/>
                <w:sz w:val="24"/>
              </w:rPr>
              <w:t>公務人員因公涉訟輔</w:t>
            </w:r>
            <w:r>
              <w:rPr>
                <w:spacing w:val="15"/>
                <w:sz w:val="24"/>
              </w:rPr>
              <w:t>助辦法，由考試院會同行</w:t>
            </w:r>
            <w:r>
              <w:rPr>
                <w:sz w:val="24"/>
              </w:rPr>
              <w:t>政院定之。</w:t>
            </w:r>
          </w:p>
        </w:tc>
        <w:tc>
          <w:tcPr>
            <w:tcW w:w="3116" w:type="dxa"/>
          </w:tcPr>
          <w:p>
            <w:pPr>
              <w:pStyle w:val="TableParagraph"/>
              <w:spacing w:line="223" w:lineRule="auto" w:before="4"/>
              <w:ind w:left="626" w:right="99" w:hanging="521"/>
              <w:jc w:val="both"/>
              <w:rPr>
                <w:sz w:val="24"/>
              </w:rPr>
            </w:pPr>
            <w:r>
              <w:rPr>
                <w:spacing w:val="8"/>
                <w:sz w:val="24"/>
              </w:rPr>
              <w:t>一、實務上， 公務人員依</w:t>
            </w:r>
            <w:r>
              <w:rPr>
                <w:spacing w:val="23"/>
                <w:sz w:val="24"/>
              </w:rPr>
              <w:t>法執行職務涉訟時，</w:t>
            </w:r>
            <w:r>
              <w:rPr>
                <w:spacing w:val="-118"/>
                <w:sz w:val="24"/>
              </w:rPr>
              <w:t> </w:t>
            </w:r>
            <w:r>
              <w:rPr>
                <w:spacing w:val="23"/>
                <w:sz w:val="24"/>
              </w:rPr>
              <w:t>除由服務機關為其延聘律師辯護及提供法</w:t>
            </w:r>
            <w:r>
              <w:rPr>
                <w:spacing w:val="7"/>
                <w:sz w:val="24"/>
              </w:rPr>
              <w:t>律上之協助外， 大多</w:t>
            </w:r>
            <w:r>
              <w:rPr>
                <w:spacing w:val="23"/>
                <w:sz w:val="24"/>
              </w:rPr>
              <w:t>數情形係由公務人員自行延聘律師辯護及提供法律上之協助後</w:t>
            </w:r>
          </w:p>
          <w:p>
            <w:pPr>
              <w:pStyle w:val="TableParagraph"/>
              <w:spacing w:line="223" w:lineRule="auto" w:before="2"/>
              <w:ind w:left="626" w:right="72"/>
              <w:jc w:val="both"/>
              <w:rPr>
                <w:sz w:val="24"/>
              </w:rPr>
            </w:pPr>
            <w:r>
              <w:rPr>
                <w:spacing w:val="12"/>
                <w:w w:val="95"/>
                <w:sz w:val="24"/>
              </w:rPr>
              <w:t>， 再向服務機關申請</w:t>
            </w:r>
            <w:r>
              <w:rPr>
                <w:spacing w:val="23"/>
                <w:sz w:val="24"/>
              </w:rPr>
              <w:t>因公涉訟輔助費用，</w:t>
            </w:r>
            <w:r>
              <w:rPr>
                <w:spacing w:val="-118"/>
                <w:sz w:val="24"/>
              </w:rPr>
              <w:t> </w:t>
            </w:r>
            <w:r>
              <w:rPr>
                <w:spacing w:val="23"/>
                <w:sz w:val="24"/>
              </w:rPr>
              <w:t>爰於第一項將上述二種延聘律師之情形，</w:t>
            </w:r>
            <w:r>
              <w:rPr>
                <w:spacing w:val="-118"/>
                <w:sz w:val="24"/>
              </w:rPr>
              <w:t> </w:t>
            </w:r>
            <w:r>
              <w:rPr>
                <w:spacing w:val="24"/>
                <w:sz w:val="24"/>
              </w:rPr>
              <w:t>以「輔助」一詞含括</w:t>
            </w:r>
            <w:r>
              <w:rPr>
                <w:sz w:val="24"/>
              </w:rPr>
              <w:t>之，俾符實際情形。</w:t>
            </w:r>
          </w:p>
          <w:p>
            <w:pPr>
              <w:pStyle w:val="TableParagraph"/>
              <w:spacing w:line="223" w:lineRule="auto"/>
              <w:ind w:left="626" w:right="98" w:hanging="521"/>
              <w:jc w:val="both"/>
              <w:rPr>
                <w:sz w:val="24"/>
              </w:rPr>
            </w:pPr>
            <w:r>
              <w:rPr>
                <w:spacing w:val="20"/>
                <w:sz w:val="24"/>
              </w:rPr>
              <w:t>二、公務人員依法執行職</w:t>
            </w:r>
            <w:r>
              <w:rPr>
                <w:spacing w:val="6"/>
                <w:sz w:val="24"/>
              </w:rPr>
              <w:t>務涉訟， 係因故意或</w:t>
            </w:r>
            <w:r>
              <w:rPr>
                <w:spacing w:val="7"/>
                <w:sz w:val="24"/>
              </w:rPr>
              <w:t>重大過失所致者， 服</w:t>
            </w:r>
            <w:r>
              <w:rPr>
                <w:spacing w:val="23"/>
                <w:sz w:val="24"/>
              </w:rPr>
              <w:t>務機關應不予輔助，</w:t>
            </w:r>
            <w:r>
              <w:rPr>
                <w:spacing w:val="-118"/>
                <w:sz w:val="24"/>
              </w:rPr>
              <w:t> </w:t>
            </w:r>
            <w:r>
              <w:rPr>
                <w:spacing w:val="23"/>
                <w:sz w:val="24"/>
              </w:rPr>
              <w:t>如服務機關已支付涉</w:t>
            </w:r>
            <w:r>
              <w:rPr>
                <w:spacing w:val="6"/>
                <w:sz w:val="24"/>
              </w:rPr>
              <w:t>訟輔助費用， 應予追還， 惟現行第二項規</w:t>
            </w:r>
            <w:r>
              <w:rPr>
                <w:spacing w:val="23"/>
                <w:sz w:val="24"/>
              </w:rPr>
              <w:t>定服務機關應向公務</w:t>
            </w:r>
            <w:r>
              <w:rPr>
                <w:spacing w:val="6"/>
                <w:sz w:val="24"/>
              </w:rPr>
              <w:t>人員求償， 恐與國家</w:t>
            </w:r>
            <w:r>
              <w:rPr>
                <w:spacing w:val="23"/>
                <w:sz w:val="24"/>
              </w:rPr>
              <w:t>賠償法相關規定產生</w:t>
            </w:r>
            <w:r>
              <w:rPr>
                <w:spacing w:val="6"/>
                <w:sz w:val="24"/>
              </w:rPr>
              <w:t>混淆， 爰修正第二項</w:t>
            </w:r>
            <w:r>
              <w:rPr>
                <w:sz w:val="24"/>
              </w:rPr>
              <w:t>規定，俾資適用。</w:t>
            </w:r>
          </w:p>
          <w:p>
            <w:pPr>
              <w:pStyle w:val="TableParagraph"/>
              <w:spacing w:line="223" w:lineRule="auto" w:before="1"/>
              <w:ind w:left="626" w:right="100" w:hanging="521"/>
              <w:jc w:val="both"/>
              <w:rPr>
                <w:sz w:val="24"/>
              </w:rPr>
            </w:pPr>
            <w:r>
              <w:rPr>
                <w:spacing w:val="20"/>
                <w:sz w:val="24"/>
              </w:rPr>
              <w:t>三、配合第二十一條第二</w:t>
            </w:r>
            <w:r>
              <w:rPr>
                <w:spacing w:val="22"/>
                <w:sz w:val="24"/>
              </w:rPr>
              <w:t>項修正「因公」用語</w:t>
            </w:r>
          </w:p>
          <w:p>
            <w:pPr>
              <w:pStyle w:val="TableParagraph"/>
              <w:spacing w:line="307" w:lineRule="exact"/>
              <w:ind w:left="626"/>
              <w:rPr>
                <w:sz w:val="24"/>
              </w:rPr>
            </w:pPr>
            <w:r>
              <w:rPr>
                <w:spacing w:val="8"/>
                <w:sz w:val="24"/>
              </w:rPr>
              <w:t>， 第三項爰酌作文字</w:t>
            </w:r>
          </w:p>
          <w:p>
            <w:pPr>
              <w:pStyle w:val="TableParagraph"/>
              <w:spacing w:line="294" w:lineRule="exact"/>
              <w:ind w:left="626"/>
              <w:rPr>
                <w:sz w:val="24"/>
              </w:rPr>
            </w:pPr>
            <w:r>
              <w:rPr>
                <w:sz w:val="24"/>
              </w:rPr>
              <w:t>修正。</w:t>
            </w:r>
          </w:p>
        </w:tc>
      </w:tr>
    </w:tbl>
    <w:p>
      <w:pPr>
        <w:spacing w:after="0" w:line="294"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26" w:hRule="atLeast"/>
        </w:trPr>
        <w:tc>
          <w:tcPr>
            <w:tcW w:w="2835" w:type="dxa"/>
          </w:tcPr>
          <w:p>
            <w:pPr>
              <w:pStyle w:val="TableParagraph"/>
              <w:spacing w:line="223" w:lineRule="auto" w:before="4"/>
              <w:ind w:right="72" w:hanging="240"/>
              <w:rPr>
                <w:sz w:val="24"/>
              </w:rPr>
            </w:pPr>
            <w:r>
              <w:rPr>
                <w:spacing w:val="19"/>
                <w:sz w:val="24"/>
              </w:rPr>
              <w:t>第二十四條之一 下列</w:t>
            </w:r>
            <w:r>
              <w:rPr>
                <w:spacing w:val="23"/>
                <w:sz w:val="24"/>
              </w:rPr>
              <w:t>公務人員之公法上財</w:t>
            </w:r>
            <w:r>
              <w:rPr>
                <w:spacing w:val="15"/>
                <w:w w:val="95"/>
                <w:sz w:val="24"/>
              </w:rPr>
              <w:t>產請求權， 其消滅時</w:t>
            </w:r>
            <w:r>
              <w:rPr>
                <w:sz w:val="24"/>
              </w:rPr>
              <w:t>效期間依本法行之︰</w:t>
            </w:r>
            <w:r>
              <w:rPr>
                <w:spacing w:val="24"/>
                <w:sz w:val="24"/>
              </w:rPr>
              <w:t>一、因十年間不行使</w:t>
            </w:r>
          </w:p>
          <w:p>
            <w:pPr>
              <w:pStyle w:val="TableParagraph"/>
              <w:spacing w:line="306" w:lineRule="exact"/>
              <w:ind w:left="875"/>
              <w:rPr>
                <w:sz w:val="24"/>
              </w:rPr>
            </w:pPr>
            <w:r>
              <w:rPr>
                <w:sz w:val="24"/>
              </w:rPr>
              <w:t>而消滅者︰</w:t>
            </w:r>
          </w:p>
          <w:p>
            <w:pPr>
              <w:pStyle w:val="TableParagraph"/>
              <w:spacing w:line="313" w:lineRule="exact"/>
              <w:jc w:val="both"/>
              <w:rPr>
                <w:sz w:val="24"/>
              </w:rPr>
            </w:pPr>
            <w:r>
              <w:rPr>
                <w:spacing w:val="26"/>
                <w:w w:val="95"/>
                <w:sz w:val="24"/>
              </w:rPr>
              <w:t>（一</w:t>
            </w:r>
            <w:r>
              <w:rPr>
                <w:w w:val="95"/>
                <w:sz w:val="24"/>
              </w:rPr>
              <w:t>）</w:t>
            </w:r>
            <w:r>
              <w:rPr>
                <w:spacing w:val="8"/>
                <w:w w:val="95"/>
                <w:sz w:val="24"/>
              </w:rPr>
              <w:t> 執行職務時，</w:t>
            </w:r>
          </w:p>
          <w:p>
            <w:pPr>
              <w:pStyle w:val="TableParagraph"/>
              <w:spacing w:line="223" w:lineRule="auto" w:before="6"/>
              <w:ind w:left="1115" w:right="65"/>
              <w:jc w:val="both"/>
              <w:rPr>
                <w:sz w:val="24"/>
              </w:rPr>
            </w:pPr>
            <w:r>
              <w:rPr>
                <w:spacing w:val="30"/>
                <w:sz w:val="24"/>
              </w:rPr>
              <w:t>發生意外致受傷、失能或死亡應發給之慰</w:t>
            </w:r>
            <w:r>
              <w:rPr>
                <w:sz w:val="24"/>
              </w:rPr>
              <w:t>問金。</w:t>
            </w:r>
          </w:p>
          <w:p>
            <w:pPr>
              <w:pStyle w:val="TableParagraph"/>
              <w:spacing w:line="307" w:lineRule="exact"/>
              <w:jc w:val="both"/>
              <w:rPr>
                <w:sz w:val="24"/>
              </w:rPr>
            </w:pPr>
            <w:r>
              <w:rPr>
                <w:sz w:val="24"/>
              </w:rPr>
              <w:t>（</w:t>
            </w:r>
            <w:r>
              <w:rPr>
                <w:spacing w:val="-35"/>
                <w:sz w:val="24"/>
              </w:rPr>
              <w:t> 二</w:t>
            </w:r>
            <w:r>
              <w:rPr>
                <w:sz w:val="24"/>
              </w:rPr>
              <w:t>）</w:t>
            </w:r>
            <w:r>
              <w:rPr>
                <w:spacing w:val="5"/>
                <w:sz w:val="24"/>
              </w:rPr>
              <w:t> 依法執行職務</w:t>
            </w:r>
          </w:p>
          <w:p>
            <w:pPr>
              <w:pStyle w:val="TableParagraph"/>
              <w:spacing w:line="223" w:lineRule="auto" w:before="6"/>
              <w:ind w:left="1115" w:right="65"/>
              <w:rPr>
                <w:sz w:val="24"/>
              </w:rPr>
            </w:pPr>
            <w:r>
              <w:rPr>
                <w:spacing w:val="30"/>
                <w:sz w:val="24"/>
              </w:rPr>
              <w:t>涉訟輔助之費</w:t>
            </w:r>
            <w:r>
              <w:rPr>
                <w:sz w:val="24"/>
              </w:rPr>
              <w:t>用。</w:t>
            </w:r>
          </w:p>
          <w:p>
            <w:pPr>
              <w:pStyle w:val="TableParagraph"/>
              <w:spacing w:line="223" w:lineRule="auto"/>
              <w:ind w:left="875" w:right="101" w:hanging="528"/>
              <w:rPr>
                <w:sz w:val="24"/>
              </w:rPr>
            </w:pPr>
            <w:r>
              <w:rPr>
                <w:spacing w:val="23"/>
                <w:sz w:val="24"/>
              </w:rPr>
              <w:t>二、因二年間不行使</w:t>
            </w:r>
            <w:r>
              <w:rPr>
                <w:sz w:val="24"/>
              </w:rPr>
              <w:t>而消滅者︰</w:t>
            </w:r>
          </w:p>
          <w:p>
            <w:pPr>
              <w:pStyle w:val="TableParagraph"/>
              <w:spacing w:line="307" w:lineRule="exact"/>
              <w:rPr>
                <w:sz w:val="24"/>
              </w:rPr>
            </w:pPr>
            <w:r>
              <w:rPr>
                <w:sz w:val="24"/>
              </w:rPr>
              <w:t>（</w:t>
            </w:r>
            <w:r>
              <w:rPr>
                <w:spacing w:val="-35"/>
                <w:sz w:val="24"/>
              </w:rPr>
              <w:t> 一</w:t>
            </w:r>
            <w:r>
              <w:rPr>
                <w:sz w:val="24"/>
              </w:rPr>
              <w:t>）</w:t>
            </w:r>
            <w:r>
              <w:rPr>
                <w:spacing w:val="5"/>
                <w:sz w:val="24"/>
              </w:rPr>
              <w:t> 經服務機關核</w:t>
            </w:r>
          </w:p>
          <w:p>
            <w:pPr>
              <w:pStyle w:val="TableParagraph"/>
              <w:spacing w:line="223" w:lineRule="auto" w:before="5"/>
              <w:ind w:left="1115" w:right="65"/>
              <w:jc w:val="both"/>
              <w:rPr>
                <w:sz w:val="24"/>
              </w:rPr>
            </w:pPr>
            <w:r>
              <w:rPr>
                <w:spacing w:val="30"/>
                <w:sz w:val="24"/>
              </w:rPr>
              <w:t>准實施公務人員一般健康檢</w:t>
            </w:r>
            <w:r>
              <w:rPr>
                <w:sz w:val="24"/>
              </w:rPr>
              <w:t>查之費用。</w:t>
            </w:r>
          </w:p>
          <w:p>
            <w:pPr>
              <w:pStyle w:val="TableParagraph"/>
              <w:spacing w:line="309" w:lineRule="exact"/>
              <w:jc w:val="both"/>
              <w:rPr>
                <w:sz w:val="24"/>
              </w:rPr>
            </w:pPr>
            <w:r>
              <w:rPr>
                <w:sz w:val="24"/>
              </w:rPr>
              <w:t>（</w:t>
            </w:r>
            <w:r>
              <w:rPr>
                <w:spacing w:val="-35"/>
                <w:sz w:val="24"/>
              </w:rPr>
              <w:t> 二</w:t>
            </w:r>
            <w:r>
              <w:rPr>
                <w:sz w:val="24"/>
              </w:rPr>
              <w:t>）</w:t>
            </w:r>
            <w:r>
              <w:rPr>
                <w:spacing w:val="5"/>
                <w:sz w:val="24"/>
              </w:rPr>
              <w:t> 經服務機關核</w:t>
            </w:r>
          </w:p>
          <w:p>
            <w:pPr>
              <w:pStyle w:val="TableParagraph"/>
              <w:spacing w:line="312" w:lineRule="exact"/>
              <w:ind w:left="1115"/>
              <w:rPr>
                <w:sz w:val="24"/>
              </w:rPr>
            </w:pPr>
            <w:r>
              <w:rPr>
                <w:sz w:val="24"/>
              </w:rPr>
              <w:t>准之加班費。</w:t>
            </w:r>
          </w:p>
          <w:p>
            <w:pPr>
              <w:pStyle w:val="TableParagraph"/>
              <w:spacing w:line="312" w:lineRule="exact"/>
              <w:rPr>
                <w:sz w:val="24"/>
              </w:rPr>
            </w:pPr>
            <w:r>
              <w:rPr>
                <w:sz w:val="24"/>
              </w:rPr>
              <w:t>（</w:t>
            </w:r>
            <w:r>
              <w:rPr>
                <w:spacing w:val="-35"/>
                <w:sz w:val="24"/>
              </w:rPr>
              <w:t> 三</w:t>
            </w:r>
            <w:r>
              <w:rPr>
                <w:sz w:val="24"/>
              </w:rPr>
              <w:t>）</w:t>
            </w:r>
            <w:r>
              <w:rPr>
                <w:spacing w:val="5"/>
                <w:sz w:val="24"/>
              </w:rPr>
              <w:t> 執行職務墊支</w:t>
            </w:r>
          </w:p>
          <w:p>
            <w:pPr>
              <w:pStyle w:val="TableParagraph"/>
              <w:spacing w:line="324" w:lineRule="exact"/>
              <w:ind w:left="1115"/>
              <w:rPr>
                <w:sz w:val="24"/>
              </w:rPr>
            </w:pPr>
            <w:r>
              <w:rPr>
                <w:sz w:val="24"/>
              </w:rPr>
              <w:t>之必要費用。</w:t>
            </w:r>
          </w:p>
        </w:tc>
        <w:tc>
          <w:tcPr>
            <w:tcW w:w="3262" w:type="dxa"/>
          </w:tcPr>
          <w:p>
            <w:pPr>
              <w:pStyle w:val="TableParagraph"/>
              <w:ind w:left="0"/>
              <w:rPr>
                <w:rFonts w:ascii="Times New Roman"/>
                <w:sz w:val="22"/>
              </w:rPr>
            </w:pPr>
          </w:p>
        </w:tc>
        <w:tc>
          <w:tcPr>
            <w:tcW w:w="3116"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6" w:right="72" w:hanging="521"/>
              <w:jc w:val="both"/>
              <w:rPr>
                <w:sz w:val="24"/>
              </w:rPr>
            </w:pPr>
            <w:r>
              <w:rPr>
                <w:spacing w:val="20"/>
                <w:sz w:val="24"/>
              </w:rPr>
              <w:t>二、為符合司法院釋字第</w:t>
            </w:r>
            <w:r>
              <w:rPr>
                <w:spacing w:val="24"/>
                <w:sz w:val="24"/>
              </w:rPr>
              <w:t>四七四號及第七二三</w:t>
            </w:r>
            <w:r>
              <w:rPr>
                <w:spacing w:val="8"/>
                <w:sz w:val="24"/>
              </w:rPr>
              <w:t>號解釋， 關於時效制</w:t>
            </w:r>
            <w:r>
              <w:rPr>
                <w:spacing w:val="23"/>
                <w:sz w:val="24"/>
              </w:rPr>
              <w:t>度應逕由法律明定，</w:t>
            </w:r>
            <w:r>
              <w:rPr>
                <w:spacing w:val="-118"/>
                <w:sz w:val="24"/>
              </w:rPr>
              <w:t> </w:t>
            </w:r>
            <w:r>
              <w:rPr>
                <w:spacing w:val="23"/>
                <w:sz w:val="24"/>
              </w:rPr>
              <w:t>不得授權行政機關衡情以法規命令訂定或由行政機關依職權以</w:t>
            </w:r>
            <w:r>
              <w:rPr>
                <w:spacing w:val="24"/>
                <w:sz w:val="24"/>
              </w:rPr>
              <w:t>命令定之之解釋意旨</w:t>
            </w:r>
          </w:p>
          <w:p>
            <w:pPr>
              <w:pStyle w:val="TableParagraph"/>
              <w:spacing w:line="223" w:lineRule="auto" w:before="1"/>
              <w:ind w:left="626" w:right="98"/>
              <w:jc w:val="both"/>
              <w:rPr>
                <w:sz w:val="24"/>
              </w:rPr>
            </w:pPr>
            <w:r>
              <w:rPr>
                <w:spacing w:val="23"/>
                <w:sz w:val="24"/>
              </w:rPr>
              <w:t>。爰明定公務人員執</w:t>
            </w:r>
            <w:r>
              <w:rPr>
                <w:spacing w:val="6"/>
                <w:sz w:val="24"/>
              </w:rPr>
              <w:t>行職務時， 發生意外</w:t>
            </w:r>
            <w:r>
              <w:rPr>
                <w:spacing w:val="23"/>
                <w:sz w:val="24"/>
              </w:rPr>
              <w:t>致受傷、失能或死亡應發給之慰問金、依法執行職務涉訟輔助之費用、經服務機關核准實施公務人員一般健康檢查之費用、經服務機關核准之加班費及執行職務墊支之必要費用等五種公</w:t>
            </w:r>
            <w:r>
              <w:rPr>
                <w:spacing w:val="7"/>
                <w:sz w:val="24"/>
              </w:rPr>
              <w:t>法上財產請求權， 其</w:t>
            </w:r>
            <w:r>
              <w:rPr>
                <w:spacing w:val="23"/>
                <w:sz w:val="24"/>
              </w:rPr>
              <w:t>消滅時效期間應依本</w:t>
            </w:r>
            <w:r>
              <w:rPr>
                <w:sz w:val="24"/>
              </w:rPr>
              <w:t>條規定辦理。</w:t>
            </w:r>
          </w:p>
          <w:p>
            <w:pPr>
              <w:pStyle w:val="TableParagraph"/>
              <w:spacing w:line="223" w:lineRule="auto" w:before="1"/>
              <w:ind w:left="626" w:right="99" w:hanging="521"/>
              <w:jc w:val="both"/>
              <w:rPr>
                <w:sz w:val="24"/>
              </w:rPr>
            </w:pPr>
            <w:r>
              <w:rPr>
                <w:spacing w:val="20"/>
                <w:sz w:val="24"/>
              </w:rPr>
              <w:t>三、考量公務人員執行職</w:t>
            </w:r>
            <w:r>
              <w:rPr>
                <w:spacing w:val="6"/>
                <w:sz w:val="24"/>
              </w:rPr>
              <w:t>務時， 發生意外致受</w:t>
            </w:r>
            <w:r>
              <w:rPr>
                <w:spacing w:val="23"/>
                <w:sz w:val="24"/>
              </w:rPr>
              <w:t>傷、失能或死亡應發</w:t>
            </w:r>
            <w:r>
              <w:rPr>
                <w:spacing w:val="6"/>
                <w:sz w:val="24"/>
              </w:rPr>
              <w:t>給之慰問金， 及依法</w:t>
            </w:r>
            <w:r>
              <w:rPr>
                <w:spacing w:val="23"/>
                <w:sz w:val="24"/>
              </w:rPr>
              <w:t>執行職務涉訟輔助之</w:t>
            </w:r>
            <w:r>
              <w:rPr>
                <w:spacing w:val="6"/>
                <w:sz w:val="24"/>
              </w:rPr>
              <w:t>費用， 金額較為龐大</w:t>
            </w:r>
          </w:p>
          <w:p>
            <w:pPr>
              <w:pStyle w:val="TableParagraph"/>
              <w:spacing w:line="223" w:lineRule="auto"/>
              <w:ind w:left="626" w:right="101"/>
              <w:jc w:val="both"/>
              <w:rPr>
                <w:sz w:val="24"/>
              </w:rPr>
            </w:pPr>
            <w:r>
              <w:rPr>
                <w:spacing w:val="13"/>
                <w:w w:val="95"/>
                <w:sz w:val="24"/>
              </w:rPr>
              <w:t>， 且相關事件之進行</w:t>
            </w:r>
            <w:r>
              <w:rPr>
                <w:spacing w:val="6"/>
                <w:sz w:val="24"/>
              </w:rPr>
              <w:t>期間較長， 對公務人</w:t>
            </w:r>
            <w:r>
              <w:rPr>
                <w:spacing w:val="21"/>
                <w:sz w:val="24"/>
              </w:rPr>
              <w:t>員權益影響較為重大</w:t>
            </w:r>
          </w:p>
          <w:p>
            <w:pPr>
              <w:pStyle w:val="TableParagraph"/>
              <w:spacing w:line="223" w:lineRule="auto" w:before="2"/>
              <w:ind w:left="626" w:right="72"/>
              <w:jc w:val="both"/>
              <w:rPr>
                <w:sz w:val="24"/>
              </w:rPr>
            </w:pPr>
            <w:r>
              <w:rPr>
                <w:spacing w:val="12"/>
                <w:w w:val="95"/>
                <w:sz w:val="24"/>
              </w:rPr>
              <w:t>， 經參酌行政程序法</w:t>
            </w:r>
            <w:r>
              <w:rPr>
                <w:spacing w:val="24"/>
                <w:sz w:val="24"/>
              </w:rPr>
              <w:t>第一百三十一條第一</w:t>
            </w:r>
            <w:r>
              <w:rPr>
                <w:spacing w:val="8"/>
                <w:sz w:val="24"/>
              </w:rPr>
              <w:t>項規定， 人民之公法</w:t>
            </w:r>
            <w:r>
              <w:rPr>
                <w:spacing w:val="23"/>
                <w:sz w:val="24"/>
              </w:rPr>
              <w:t>上請求權消滅時效期間為十年，及公教人員保險法第三十八條</w:t>
            </w:r>
            <w:r>
              <w:rPr>
                <w:spacing w:val="8"/>
                <w:sz w:val="24"/>
              </w:rPr>
              <w:t>第一項規定， 公務人</w:t>
            </w:r>
            <w:r>
              <w:rPr>
                <w:spacing w:val="23"/>
                <w:sz w:val="24"/>
              </w:rPr>
              <w:t>員請領保險給付之請</w:t>
            </w:r>
            <w:r>
              <w:rPr>
                <w:spacing w:val="24"/>
                <w:sz w:val="24"/>
              </w:rPr>
              <w:t>求權消滅時效期間為</w:t>
            </w:r>
            <w:r>
              <w:rPr>
                <w:spacing w:val="23"/>
                <w:sz w:val="24"/>
              </w:rPr>
              <w:t>十年。於第一款明定</w:t>
            </w:r>
          </w:p>
          <w:p>
            <w:pPr>
              <w:pStyle w:val="TableParagraph"/>
              <w:spacing w:line="289" w:lineRule="exact"/>
              <w:ind w:left="626"/>
              <w:jc w:val="both"/>
              <w:rPr>
                <w:sz w:val="24"/>
              </w:rPr>
            </w:pPr>
            <w:r>
              <w:rPr>
                <w:spacing w:val="23"/>
                <w:sz w:val="24"/>
              </w:rPr>
              <w:t>上開二種費用之公法</w:t>
            </w:r>
          </w:p>
        </w:tc>
      </w:tr>
    </w:tbl>
    <w:p>
      <w:pPr>
        <w:spacing w:after="0" w:line="289" w:lineRule="exact"/>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72"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626" w:right="99"/>
              <w:jc w:val="both"/>
              <w:rPr>
                <w:sz w:val="24"/>
              </w:rPr>
            </w:pPr>
            <w:r>
              <w:rPr>
                <w:spacing w:val="23"/>
                <w:sz w:val="24"/>
              </w:rPr>
              <w:t>上財產請求權消滅時</w:t>
            </w:r>
            <w:r>
              <w:rPr>
                <w:sz w:val="24"/>
              </w:rPr>
              <w:t>效期間為十年。</w:t>
            </w:r>
          </w:p>
          <w:p>
            <w:pPr>
              <w:pStyle w:val="TableParagraph"/>
              <w:spacing w:line="223" w:lineRule="auto"/>
              <w:ind w:left="626" w:right="72" w:hanging="521"/>
              <w:jc w:val="both"/>
              <w:rPr>
                <w:sz w:val="24"/>
              </w:rPr>
            </w:pPr>
            <w:r>
              <w:rPr>
                <w:spacing w:val="20"/>
                <w:sz w:val="24"/>
              </w:rPr>
              <w:t>四、又鑑於經服務機關核</w:t>
            </w:r>
            <w:r>
              <w:rPr>
                <w:spacing w:val="23"/>
                <w:sz w:val="24"/>
              </w:rPr>
              <w:t>准實施公務人員一般</w:t>
            </w:r>
            <w:r>
              <w:rPr>
                <w:spacing w:val="24"/>
                <w:sz w:val="24"/>
              </w:rPr>
              <w:t>健康檢查之費用、經</w:t>
            </w:r>
            <w:r>
              <w:rPr>
                <w:spacing w:val="23"/>
                <w:sz w:val="24"/>
              </w:rPr>
              <w:t>服務機關核准之加班</w:t>
            </w:r>
            <w:r>
              <w:rPr>
                <w:spacing w:val="24"/>
                <w:sz w:val="24"/>
              </w:rPr>
              <w:t>費及公務人員因執行</w:t>
            </w:r>
            <w:r>
              <w:rPr>
                <w:spacing w:val="23"/>
                <w:sz w:val="24"/>
              </w:rPr>
              <w:t>職務墊支之必要費用</w:t>
            </w:r>
          </w:p>
          <w:p>
            <w:pPr>
              <w:pStyle w:val="TableParagraph"/>
              <w:spacing w:line="223" w:lineRule="auto" w:before="2"/>
              <w:ind w:left="626" w:right="72"/>
              <w:jc w:val="both"/>
              <w:rPr>
                <w:sz w:val="24"/>
              </w:rPr>
            </w:pPr>
            <w:r>
              <w:rPr>
                <w:spacing w:val="13"/>
                <w:w w:val="95"/>
                <w:sz w:val="24"/>
              </w:rPr>
              <w:t>， 本應儘速請求機關</w:t>
            </w:r>
            <w:r>
              <w:rPr>
                <w:spacing w:val="16"/>
                <w:w w:val="95"/>
                <w:sz w:val="24"/>
              </w:rPr>
              <w:t>補助； 且其支出與機</w:t>
            </w:r>
            <w:r>
              <w:rPr>
                <w:spacing w:val="23"/>
                <w:sz w:val="24"/>
              </w:rPr>
              <w:t>關當年度預算編列、</w:t>
            </w:r>
            <w:r>
              <w:rPr>
                <w:spacing w:val="24"/>
                <w:sz w:val="24"/>
              </w:rPr>
              <w:t>執行與核銷相關。為使預算核銷儘早確定</w:t>
            </w:r>
          </w:p>
          <w:p>
            <w:pPr>
              <w:pStyle w:val="TableParagraph"/>
              <w:spacing w:line="223" w:lineRule="auto"/>
              <w:ind w:left="626" w:right="98"/>
              <w:jc w:val="both"/>
              <w:rPr>
                <w:sz w:val="24"/>
              </w:rPr>
            </w:pPr>
            <w:r>
              <w:rPr>
                <w:spacing w:val="23"/>
                <w:sz w:val="24"/>
              </w:rPr>
              <w:t>，允宜規定短期之請求權消滅時效期間。爰於第二款明定上開三種費用之公法上財產請求權消滅時效期</w:t>
            </w:r>
            <w:r>
              <w:rPr>
                <w:sz w:val="24"/>
              </w:rPr>
              <w:t>間為二年。</w:t>
            </w:r>
          </w:p>
          <w:p>
            <w:pPr>
              <w:pStyle w:val="TableParagraph"/>
              <w:spacing w:line="307" w:lineRule="exact"/>
              <w:ind w:left="105"/>
              <w:rPr>
                <w:sz w:val="24"/>
              </w:rPr>
            </w:pPr>
            <w:r>
              <w:rPr>
                <w:spacing w:val="5"/>
                <w:sz w:val="24"/>
              </w:rPr>
              <w:t>五、相關條文</w:t>
            </w:r>
          </w:p>
          <w:p>
            <w:pPr>
              <w:pStyle w:val="TableParagraph"/>
              <w:spacing w:line="313" w:lineRule="exact"/>
              <w:ind w:left="105"/>
              <w:rPr>
                <w:sz w:val="24"/>
              </w:rPr>
            </w:pPr>
            <w:r>
              <w:rPr>
                <w:sz w:val="24"/>
              </w:rPr>
              <w:t>（一）行政程序法</w:t>
            </w:r>
          </w:p>
          <w:p>
            <w:pPr>
              <w:pStyle w:val="TableParagraph"/>
              <w:spacing w:line="312" w:lineRule="exact"/>
              <w:ind w:left="105"/>
              <w:rPr>
                <w:sz w:val="24"/>
              </w:rPr>
            </w:pPr>
            <w:r>
              <w:rPr>
                <w:sz w:val="24"/>
              </w:rPr>
              <w:t>第一百三十一條第一項</w:t>
            </w:r>
          </w:p>
          <w:p>
            <w:pPr>
              <w:pStyle w:val="TableParagraph"/>
              <w:spacing w:line="223" w:lineRule="auto" w:before="5"/>
              <w:ind w:left="345" w:right="98" w:firstLine="480"/>
              <w:jc w:val="both"/>
              <w:rPr>
                <w:sz w:val="24"/>
              </w:rPr>
            </w:pPr>
            <w:r>
              <w:rPr>
                <w:sz w:val="24"/>
              </w:rPr>
              <w:t>公法上之請求權，於請求權人為行政機關時，</w:t>
            </w:r>
            <w:r>
              <w:rPr>
                <w:spacing w:val="-118"/>
                <w:sz w:val="24"/>
              </w:rPr>
              <w:t> </w:t>
            </w:r>
            <w:r>
              <w:rPr>
                <w:sz w:val="24"/>
              </w:rPr>
              <w:t>除法律另有規定外，因五年間不行使而消滅；於請求權人為人民時，除法律另有規定外，因十年間不行使而消滅。</w:t>
            </w:r>
          </w:p>
          <w:p>
            <w:pPr>
              <w:pStyle w:val="TableParagraph"/>
              <w:spacing w:line="324" w:lineRule="exact" w:before="162"/>
              <w:ind w:left="105"/>
              <w:rPr>
                <w:sz w:val="24"/>
              </w:rPr>
            </w:pPr>
            <w:r>
              <w:rPr>
                <w:sz w:val="24"/>
              </w:rPr>
              <w:t>（二）公教人員保險法</w:t>
            </w:r>
          </w:p>
          <w:p>
            <w:pPr>
              <w:pStyle w:val="TableParagraph"/>
              <w:spacing w:line="223" w:lineRule="auto" w:before="5"/>
              <w:ind w:left="383" w:right="77" w:hanging="240"/>
              <w:jc w:val="both"/>
              <w:rPr>
                <w:sz w:val="24"/>
              </w:rPr>
            </w:pPr>
            <w:r>
              <w:rPr>
                <w:spacing w:val="19"/>
                <w:sz w:val="24"/>
              </w:rPr>
              <w:t>第三十八條第一項 請領</w:t>
            </w:r>
            <w:r>
              <w:rPr>
                <w:spacing w:val="7"/>
                <w:sz w:val="24"/>
              </w:rPr>
              <w:t>本保險給付之權利， 自</w:t>
            </w:r>
            <w:r>
              <w:rPr>
                <w:spacing w:val="20"/>
                <w:sz w:val="24"/>
              </w:rPr>
              <w:t>請求權可行使之日起，</w:t>
            </w:r>
            <w:r>
              <w:rPr>
                <w:spacing w:val="-118"/>
                <w:sz w:val="24"/>
              </w:rPr>
              <w:t> </w:t>
            </w:r>
            <w:r>
              <w:rPr>
                <w:spacing w:val="20"/>
                <w:sz w:val="24"/>
              </w:rPr>
              <w:t>因十年間不行使而當然</w:t>
            </w:r>
            <w:r>
              <w:rPr>
                <w:sz w:val="24"/>
              </w:rPr>
              <w:t>消滅。</w:t>
            </w:r>
          </w:p>
          <w:p>
            <w:pPr>
              <w:pStyle w:val="TableParagraph"/>
              <w:spacing w:line="324" w:lineRule="exact" w:before="166"/>
              <w:ind w:left="105"/>
              <w:rPr>
                <w:sz w:val="24"/>
              </w:rPr>
            </w:pPr>
            <w:r>
              <w:rPr>
                <w:sz w:val="24"/>
              </w:rPr>
              <w:t>（三）民法</w:t>
            </w:r>
          </w:p>
          <w:p>
            <w:pPr>
              <w:pStyle w:val="TableParagraph"/>
              <w:spacing w:line="223" w:lineRule="auto" w:before="5"/>
              <w:ind w:left="345" w:right="96" w:hanging="240"/>
              <w:jc w:val="both"/>
              <w:rPr>
                <w:sz w:val="24"/>
              </w:rPr>
            </w:pPr>
            <w:r>
              <w:rPr>
                <w:sz w:val="24"/>
              </w:rPr>
              <w:t>第一百二十七條 左列各款請求權，因二年間不行使而消滅：</w:t>
            </w:r>
          </w:p>
          <w:p>
            <w:pPr>
              <w:pStyle w:val="TableParagraph"/>
              <w:spacing w:line="223" w:lineRule="auto"/>
              <w:ind w:left="849" w:right="65" w:hanging="504"/>
              <w:rPr>
                <w:sz w:val="24"/>
              </w:rPr>
            </w:pPr>
            <w:r>
              <w:rPr>
                <w:sz w:val="24"/>
              </w:rPr>
              <w:t>一、旅店、飲食店及娛樂</w:t>
            </w:r>
            <w:r>
              <w:rPr>
                <w:spacing w:val="31"/>
                <w:sz w:val="24"/>
              </w:rPr>
              <w:t>場之住宿費、飲食</w:t>
            </w:r>
          </w:p>
          <w:p>
            <w:pPr>
              <w:pStyle w:val="TableParagraph"/>
              <w:spacing w:line="287" w:lineRule="exact"/>
              <w:ind w:left="849"/>
              <w:rPr>
                <w:sz w:val="24"/>
              </w:rPr>
            </w:pPr>
            <w:r>
              <w:rPr>
                <w:spacing w:val="33"/>
                <w:sz w:val="24"/>
              </w:rPr>
              <w:t>費、座費、消費物</w:t>
            </w:r>
          </w:p>
        </w:tc>
      </w:tr>
    </w:tbl>
    <w:p>
      <w:pPr>
        <w:spacing w:after="0" w:line="287"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72"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345" w:right="99" w:firstLine="504"/>
              <w:rPr>
                <w:sz w:val="24"/>
              </w:rPr>
            </w:pPr>
            <w:r>
              <w:rPr>
                <w:sz w:val="24"/>
              </w:rPr>
              <w:t>之代價及其墊款。二、運送費及運送人所墊</w:t>
            </w:r>
          </w:p>
          <w:p>
            <w:pPr>
              <w:pStyle w:val="TableParagraph"/>
              <w:spacing w:line="307" w:lineRule="exact"/>
              <w:ind w:left="849"/>
              <w:rPr>
                <w:sz w:val="24"/>
              </w:rPr>
            </w:pPr>
            <w:r>
              <w:rPr>
                <w:sz w:val="24"/>
              </w:rPr>
              <w:t>之款。</w:t>
            </w:r>
          </w:p>
          <w:p>
            <w:pPr>
              <w:pStyle w:val="TableParagraph"/>
              <w:spacing w:line="223" w:lineRule="auto" w:before="5"/>
              <w:ind w:left="849" w:right="99" w:hanging="504"/>
              <w:rPr>
                <w:sz w:val="24"/>
              </w:rPr>
            </w:pPr>
            <w:r>
              <w:rPr>
                <w:sz w:val="24"/>
              </w:rPr>
              <w:t>三、以租賃動產為營業者之租價。</w:t>
            </w:r>
          </w:p>
          <w:p>
            <w:pPr>
              <w:pStyle w:val="TableParagraph"/>
              <w:spacing w:line="223" w:lineRule="auto"/>
              <w:ind w:left="849" w:right="65" w:hanging="504"/>
              <w:jc w:val="both"/>
              <w:rPr>
                <w:sz w:val="24"/>
              </w:rPr>
            </w:pPr>
            <w:r>
              <w:rPr>
                <w:sz w:val="24"/>
              </w:rPr>
              <w:t>四、醫生、藥師、看護生</w:t>
            </w:r>
            <w:r>
              <w:rPr>
                <w:spacing w:val="31"/>
                <w:sz w:val="24"/>
              </w:rPr>
              <w:t>之診費、藥費、報</w:t>
            </w:r>
            <w:r>
              <w:rPr>
                <w:sz w:val="24"/>
              </w:rPr>
              <w:t>酬及其墊款。</w:t>
            </w:r>
          </w:p>
          <w:p>
            <w:pPr>
              <w:pStyle w:val="TableParagraph"/>
              <w:spacing w:line="223" w:lineRule="auto" w:before="2"/>
              <w:ind w:left="849" w:right="65" w:hanging="504"/>
              <w:rPr>
                <w:sz w:val="24"/>
              </w:rPr>
            </w:pPr>
            <w:r>
              <w:rPr>
                <w:sz w:val="24"/>
              </w:rPr>
              <w:t>五、律師、會計師、公證</w:t>
            </w:r>
            <w:r>
              <w:rPr>
                <w:spacing w:val="31"/>
                <w:sz w:val="24"/>
              </w:rPr>
              <w:t>人之報酬及其墊款</w:t>
            </w:r>
          </w:p>
          <w:p>
            <w:pPr>
              <w:pStyle w:val="TableParagraph"/>
              <w:spacing w:line="307" w:lineRule="exact"/>
              <w:ind w:left="849"/>
              <w:rPr>
                <w:sz w:val="24"/>
              </w:rPr>
            </w:pPr>
            <w:r>
              <w:rPr>
                <w:sz w:val="24"/>
              </w:rPr>
              <w:t>。</w:t>
            </w:r>
          </w:p>
          <w:p>
            <w:pPr>
              <w:pStyle w:val="TableParagraph"/>
              <w:spacing w:line="223" w:lineRule="auto" w:before="5"/>
              <w:ind w:left="849" w:right="65" w:hanging="504"/>
              <w:jc w:val="both"/>
              <w:rPr>
                <w:sz w:val="24"/>
              </w:rPr>
            </w:pPr>
            <w:r>
              <w:rPr>
                <w:sz w:val="24"/>
              </w:rPr>
              <w:t>六、律師、會計師、公證</w:t>
            </w:r>
            <w:r>
              <w:rPr>
                <w:spacing w:val="31"/>
                <w:sz w:val="24"/>
              </w:rPr>
              <w:t>人所收當事人物件</w:t>
            </w:r>
            <w:r>
              <w:rPr>
                <w:sz w:val="24"/>
              </w:rPr>
              <w:t>之交還。</w:t>
            </w:r>
          </w:p>
          <w:p>
            <w:pPr>
              <w:pStyle w:val="TableParagraph"/>
              <w:spacing w:line="223" w:lineRule="auto"/>
              <w:ind w:left="849" w:right="99" w:hanging="504"/>
              <w:rPr>
                <w:sz w:val="24"/>
              </w:rPr>
            </w:pPr>
            <w:r>
              <w:rPr>
                <w:sz w:val="24"/>
              </w:rPr>
              <w:t>七、技師、承攬人之報酬及其墊款。</w:t>
            </w:r>
          </w:p>
          <w:p>
            <w:pPr>
              <w:pStyle w:val="TableParagraph"/>
              <w:spacing w:line="223" w:lineRule="auto"/>
              <w:ind w:left="849" w:right="65" w:hanging="504"/>
              <w:jc w:val="both"/>
              <w:rPr>
                <w:sz w:val="24"/>
              </w:rPr>
            </w:pPr>
            <w:r>
              <w:rPr>
                <w:sz w:val="24"/>
              </w:rPr>
              <w:t>八、商人、製造人、手工</w:t>
            </w:r>
            <w:r>
              <w:rPr>
                <w:spacing w:val="31"/>
                <w:sz w:val="24"/>
              </w:rPr>
              <w:t>業人所供給之商品</w:t>
            </w:r>
            <w:r>
              <w:rPr>
                <w:sz w:val="24"/>
              </w:rPr>
              <w:t>及產物之代價。</w:t>
            </w:r>
          </w:p>
          <w:p>
            <w:pPr>
              <w:pStyle w:val="TableParagraph"/>
              <w:spacing w:line="225" w:lineRule="auto" w:before="177"/>
              <w:ind w:left="825" w:right="97" w:hanging="720"/>
              <w:rPr>
                <w:sz w:val="24"/>
              </w:rPr>
            </w:pPr>
            <w:r>
              <w:rPr>
                <w:sz w:val="24"/>
              </w:rPr>
              <w:t>（四）公務人員因公涉訟輔助辦法</w:t>
            </w:r>
          </w:p>
          <w:p>
            <w:pPr>
              <w:pStyle w:val="TableParagraph"/>
              <w:spacing w:line="223" w:lineRule="auto"/>
              <w:ind w:left="345" w:right="96" w:hanging="240"/>
              <w:jc w:val="both"/>
              <w:rPr>
                <w:sz w:val="24"/>
              </w:rPr>
            </w:pPr>
            <w:r>
              <w:rPr>
                <w:sz w:val="24"/>
              </w:rPr>
              <w:t>第十四條第三項 第一項涉訟輔助費用之請求權，自得申請之日起，因五年間不行使而消滅。但因不可抗力之事由，致不能行使者，自該請求權可行使時起算。</w:t>
            </w:r>
          </w:p>
          <w:p>
            <w:pPr>
              <w:pStyle w:val="TableParagraph"/>
              <w:spacing w:line="223" w:lineRule="auto"/>
              <w:ind w:left="345" w:right="96" w:hanging="240"/>
              <w:jc w:val="both"/>
              <w:rPr>
                <w:sz w:val="24"/>
              </w:rPr>
            </w:pPr>
            <w:r>
              <w:rPr>
                <w:sz w:val="24"/>
              </w:rPr>
              <w:t>第十五條第四項 依第一項規定重行申請輔助延聘律師費用之請求權，自不起訴處分或裁判確定之日起</w:t>
            </w:r>
          </w:p>
          <w:p>
            <w:pPr>
              <w:pStyle w:val="TableParagraph"/>
              <w:spacing w:line="309" w:lineRule="exact"/>
              <w:ind w:left="345" w:right="99"/>
              <w:jc w:val="right"/>
              <w:rPr>
                <w:sz w:val="24"/>
              </w:rPr>
            </w:pPr>
            <w:r>
              <w:rPr>
                <w:sz w:val="24"/>
              </w:rPr>
              <w:t>，因五年間不行使而消滅</w:t>
            </w:r>
          </w:p>
          <w:p>
            <w:pPr>
              <w:pStyle w:val="TableParagraph"/>
              <w:spacing w:line="223" w:lineRule="auto" w:before="2"/>
              <w:ind w:left="345" w:right="99"/>
              <w:jc w:val="both"/>
              <w:rPr>
                <w:sz w:val="24"/>
              </w:rPr>
            </w:pPr>
            <w:r>
              <w:rPr>
                <w:sz w:val="24"/>
              </w:rPr>
              <w:t>。但因不可抗力之事由，</w:t>
            </w:r>
            <w:r>
              <w:rPr>
                <w:spacing w:val="-118"/>
                <w:sz w:val="24"/>
              </w:rPr>
              <w:t> </w:t>
            </w:r>
            <w:r>
              <w:rPr>
                <w:sz w:val="24"/>
              </w:rPr>
              <w:t>致不能行使者，自該請求權可行使時起算。</w:t>
            </w:r>
          </w:p>
          <w:p>
            <w:pPr>
              <w:pStyle w:val="TableParagraph"/>
              <w:spacing w:line="223" w:lineRule="auto" w:before="181"/>
              <w:ind w:left="825" w:right="97" w:hanging="720"/>
              <w:rPr>
                <w:sz w:val="24"/>
              </w:rPr>
            </w:pPr>
            <w:r>
              <w:rPr>
                <w:sz w:val="24"/>
              </w:rPr>
              <w:t>（五）國內出差旅費報支要點</w:t>
            </w:r>
          </w:p>
          <w:p>
            <w:pPr>
              <w:pStyle w:val="TableParagraph"/>
              <w:spacing w:line="223" w:lineRule="auto"/>
              <w:ind w:left="585" w:right="94" w:hanging="480"/>
              <w:jc w:val="both"/>
              <w:rPr>
                <w:sz w:val="24"/>
              </w:rPr>
            </w:pPr>
            <w:r>
              <w:rPr>
                <w:sz w:val="24"/>
              </w:rPr>
              <w:t>四、出差事畢，於十五日內依附表二檢具出差旅費報告表，連同有關書據</w:t>
            </w:r>
          </w:p>
          <w:p>
            <w:pPr>
              <w:pStyle w:val="TableParagraph"/>
              <w:spacing w:line="287" w:lineRule="exact"/>
              <w:ind w:left="345" w:right="118"/>
              <w:jc w:val="right"/>
              <w:rPr>
                <w:sz w:val="24"/>
              </w:rPr>
            </w:pPr>
            <w:r>
              <w:rPr>
                <w:sz w:val="24"/>
              </w:rPr>
              <w:t>，一併報請機關審核。</w:t>
            </w:r>
          </w:p>
        </w:tc>
      </w:tr>
    </w:tbl>
    <w:p>
      <w:pPr>
        <w:spacing w:after="0" w:line="287" w:lineRule="exact"/>
        <w:jc w:val="righ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26" w:hRule="atLeast"/>
        </w:trPr>
        <w:tc>
          <w:tcPr>
            <w:tcW w:w="2835" w:type="dxa"/>
          </w:tcPr>
          <w:p>
            <w:pPr>
              <w:pStyle w:val="TableParagraph"/>
              <w:spacing w:line="223" w:lineRule="auto" w:before="4"/>
              <w:ind w:right="72" w:hanging="240"/>
              <w:jc w:val="both"/>
              <w:rPr>
                <w:sz w:val="24"/>
              </w:rPr>
            </w:pPr>
            <w:r>
              <w:rPr>
                <w:spacing w:val="20"/>
                <w:sz w:val="24"/>
              </w:rPr>
              <w:t>第二十六條 公務人員</w:t>
            </w:r>
            <w:r>
              <w:rPr>
                <w:spacing w:val="23"/>
                <w:sz w:val="24"/>
              </w:rPr>
              <w:t>因原處分機關對其依</w:t>
            </w:r>
            <w:r>
              <w:rPr>
                <w:spacing w:val="8"/>
                <w:sz w:val="24"/>
              </w:rPr>
              <w:t>法申請之案件， 於法</w:t>
            </w:r>
            <w:r>
              <w:rPr>
                <w:spacing w:val="23"/>
                <w:sz w:val="24"/>
              </w:rPr>
              <w:t>定期間內應作為而不</w:t>
            </w:r>
            <w:r>
              <w:rPr>
                <w:spacing w:val="26"/>
                <w:w w:val="95"/>
                <w:sz w:val="24"/>
              </w:rPr>
              <w:t>作為</w:t>
            </w:r>
            <w:r>
              <w:rPr>
                <w:spacing w:val="13"/>
                <w:w w:val="95"/>
                <w:sz w:val="24"/>
                <w:u w:val="single"/>
              </w:rPr>
              <w:t>， 或予以駁回</w:t>
            </w:r>
            <w:r>
              <w:rPr>
                <w:w w:val="95"/>
                <w:sz w:val="24"/>
              </w:rPr>
              <w:t>，</w:t>
            </w:r>
            <w:r>
              <w:rPr>
                <w:spacing w:val="-112"/>
                <w:w w:val="95"/>
                <w:sz w:val="24"/>
              </w:rPr>
              <w:t> </w:t>
            </w:r>
            <w:r>
              <w:rPr>
                <w:spacing w:val="23"/>
                <w:sz w:val="24"/>
              </w:rPr>
              <w:t>認為損害其權利或利</w:t>
            </w:r>
            <w:r>
              <w:rPr>
                <w:spacing w:val="8"/>
                <w:w w:val="95"/>
                <w:sz w:val="24"/>
              </w:rPr>
              <w:t>益者， </w:t>
            </w:r>
            <w:r>
              <w:rPr>
                <w:spacing w:val="21"/>
                <w:w w:val="95"/>
                <w:sz w:val="24"/>
                <w:u w:val="single"/>
              </w:rPr>
              <w:t>得提起請求該</w:t>
            </w:r>
            <w:r>
              <w:rPr>
                <w:spacing w:val="-226"/>
                <w:w w:val="95"/>
                <w:sz w:val="24"/>
                <w:u w:val="single"/>
              </w:rPr>
              <w:t>機</w:t>
            </w:r>
            <w:r>
              <w:rPr>
                <w:spacing w:val="22"/>
                <w:sz w:val="24"/>
                <w:u w:val="single"/>
              </w:rPr>
              <w:t>關為行政處分或應</w:t>
            </w:r>
            <w:r>
              <w:rPr>
                <w:spacing w:val="-220"/>
                <w:sz w:val="24"/>
                <w:u w:val="single"/>
              </w:rPr>
              <w:t>為</w:t>
            </w:r>
            <w:r>
              <w:rPr>
                <w:spacing w:val="26"/>
                <w:sz w:val="24"/>
                <w:u w:val="single"/>
              </w:rPr>
              <w:t>特</w:t>
            </w:r>
            <w:r>
              <w:rPr>
                <w:spacing w:val="19"/>
                <w:sz w:val="24"/>
                <w:u w:val="single"/>
              </w:rPr>
              <w:t>定內容之行政處分之</w:t>
            </w:r>
            <w:r>
              <w:rPr>
                <w:sz w:val="24"/>
                <w:u w:val="single"/>
              </w:rPr>
              <w:t>復審。</w:t>
            </w:r>
          </w:p>
          <w:p>
            <w:pPr>
              <w:pStyle w:val="TableParagraph"/>
              <w:spacing w:line="223" w:lineRule="auto" w:before="1"/>
              <w:ind w:left="364" w:right="96" w:firstLine="503"/>
              <w:jc w:val="both"/>
              <w:rPr>
                <w:sz w:val="24"/>
              </w:rPr>
            </w:pPr>
            <w:r>
              <w:rPr>
                <w:spacing w:val="5"/>
                <w:sz w:val="24"/>
              </w:rPr>
              <w:t>前項期間， 法令</w:t>
            </w:r>
            <w:r>
              <w:rPr>
                <w:spacing w:val="4"/>
                <w:sz w:val="24"/>
              </w:rPr>
              <w:t>未明定者， 自機關受</w:t>
            </w:r>
            <w:r>
              <w:rPr>
                <w:spacing w:val="20"/>
                <w:sz w:val="24"/>
              </w:rPr>
              <w:t>理申請之日起為二個</w:t>
            </w:r>
            <w:r>
              <w:rPr>
                <w:sz w:val="24"/>
              </w:rPr>
              <w:t>月。</w:t>
            </w:r>
          </w:p>
        </w:tc>
        <w:tc>
          <w:tcPr>
            <w:tcW w:w="3262" w:type="dxa"/>
          </w:tcPr>
          <w:p>
            <w:pPr>
              <w:pStyle w:val="TableParagraph"/>
              <w:spacing w:line="223" w:lineRule="auto" w:before="4"/>
              <w:ind w:right="79" w:hanging="240"/>
              <w:jc w:val="both"/>
              <w:rPr>
                <w:sz w:val="24"/>
              </w:rPr>
            </w:pPr>
            <w:r>
              <w:rPr>
                <w:spacing w:val="12"/>
                <w:sz w:val="24"/>
              </w:rPr>
              <w:t>第二十六條 公務人員因原</w:t>
            </w:r>
            <w:r>
              <w:rPr>
                <w:spacing w:val="15"/>
                <w:sz w:val="24"/>
              </w:rPr>
              <w:t>處分機關對其依法申請之案件，於法定期間內應作為而不作為，認為損害其權利或利益者，亦得提起</w:t>
            </w:r>
            <w:r>
              <w:rPr>
                <w:sz w:val="24"/>
              </w:rPr>
              <w:t>復審。</w:t>
            </w:r>
          </w:p>
          <w:p>
            <w:pPr>
              <w:pStyle w:val="TableParagraph"/>
              <w:spacing w:line="223" w:lineRule="auto"/>
              <w:ind w:left="364" w:right="84" w:firstLine="504"/>
              <w:jc w:val="both"/>
              <w:rPr>
                <w:sz w:val="24"/>
              </w:rPr>
            </w:pPr>
            <w:r>
              <w:rPr>
                <w:spacing w:val="12"/>
                <w:sz w:val="24"/>
              </w:rPr>
              <w:t>前項期間，法令未明定者，自機關受理申請之</w:t>
            </w:r>
            <w:r>
              <w:rPr>
                <w:sz w:val="24"/>
              </w:rPr>
              <w:t>日起為二個月。</w:t>
            </w:r>
          </w:p>
        </w:tc>
        <w:tc>
          <w:tcPr>
            <w:tcW w:w="3116" w:type="dxa"/>
          </w:tcPr>
          <w:p>
            <w:pPr>
              <w:pStyle w:val="TableParagraph"/>
              <w:spacing w:line="223" w:lineRule="auto" w:before="4"/>
              <w:ind w:left="626" w:right="72" w:hanging="521"/>
              <w:jc w:val="both"/>
              <w:rPr>
                <w:sz w:val="24"/>
              </w:rPr>
            </w:pPr>
            <w:r>
              <w:rPr>
                <w:spacing w:val="20"/>
                <w:sz w:val="24"/>
              </w:rPr>
              <w:t>一、公務人員因原處分機</w:t>
            </w:r>
            <w:r>
              <w:rPr>
                <w:spacing w:val="23"/>
                <w:sz w:val="24"/>
              </w:rPr>
              <w:t>關對其依法申請之案</w:t>
            </w:r>
            <w:r>
              <w:rPr>
                <w:spacing w:val="-4"/>
                <w:sz w:val="24"/>
              </w:rPr>
              <w:t>件， 予以駁回， 原僅</w:t>
            </w:r>
            <w:r>
              <w:rPr>
                <w:spacing w:val="23"/>
                <w:sz w:val="24"/>
              </w:rPr>
              <w:t>得依第二十五條規定</w:t>
            </w:r>
            <w:r>
              <w:rPr>
                <w:spacing w:val="8"/>
                <w:sz w:val="24"/>
              </w:rPr>
              <w:t>提起復審， 請求撤銷</w:t>
            </w:r>
            <w:r>
              <w:rPr>
                <w:spacing w:val="23"/>
                <w:sz w:val="24"/>
              </w:rPr>
              <w:t>原處分機關所為拒絕</w:t>
            </w:r>
            <w:r>
              <w:rPr>
                <w:spacing w:val="9"/>
                <w:sz w:val="24"/>
              </w:rPr>
              <w:t>之行政處分， 惟該處</w:t>
            </w:r>
            <w:r>
              <w:rPr>
                <w:spacing w:val="23"/>
                <w:sz w:val="24"/>
              </w:rPr>
              <w:t>分縱經保訓會撤銷，</w:t>
            </w:r>
            <w:r>
              <w:rPr>
                <w:spacing w:val="-118"/>
                <w:sz w:val="24"/>
              </w:rPr>
              <w:t> </w:t>
            </w:r>
            <w:r>
              <w:rPr>
                <w:spacing w:val="24"/>
                <w:sz w:val="24"/>
              </w:rPr>
              <w:t>原處分機關仍可繼續</w:t>
            </w:r>
            <w:r>
              <w:rPr>
                <w:spacing w:val="10"/>
                <w:sz w:val="24"/>
              </w:rPr>
              <w:t>作成駁回處分， 致公</w:t>
            </w:r>
            <w:r>
              <w:rPr>
                <w:spacing w:val="23"/>
                <w:sz w:val="24"/>
              </w:rPr>
              <w:t>務人員無法迅速有效</w:t>
            </w:r>
            <w:r>
              <w:rPr>
                <w:spacing w:val="9"/>
                <w:sz w:val="24"/>
              </w:rPr>
              <w:t>獲得救濟， 爰於第一</w:t>
            </w:r>
            <w:r>
              <w:rPr>
                <w:spacing w:val="23"/>
                <w:sz w:val="24"/>
              </w:rPr>
              <w:t>項增列拒絕申請之課</w:t>
            </w:r>
            <w:r>
              <w:rPr>
                <w:spacing w:val="8"/>
                <w:sz w:val="24"/>
              </w:rPr>
              <w:t>予義務復審類型， 使</w:t>
            </w:r>
            <w:r>
              <w:rPr>
                <w:spacing w:val="23"/>
                <w:sz w:val="24"/>
              </w:rPr>
              <w:t>公務人員得提起請求該機關為行政處分或應為特定內容之行政</w:t>
            </w:r>
            <w:r>
              <w:rPr>
                <w:spacing w:val="24"/>
                <w:sz w:val="24"/>
              </w:rPr>
              <w:t>處分之復審，俾完整</w:t>
            </w:r>
            <w:r>
              <w:rPr>
                <w:sz w:val="24"/>
              </w:rPr>
              <w:t>保障公務人員權利。</w:t>
            </w:r>
          </w:p>
          <w:p>
            <w:pPr>
              <w:pStyle w:val="TableParagraph"/>
              <w:spacing w:line="223" w:lineRule="auto" w:before="1"/>
              <w:ind w:left="626" w:right="72" w:hanging="521"/>
              <w:jc w:val="both"/>
              <w:rPr>
                <w:sz w:val="24"/>
              </w:rPr>
            </w:pPr>
            <w:r>
              <w:rPr>
                <w:spacing w:val="20"/>
                <w:sz w:val="24"/>
              </w:rPr>
              <w:t>二、另公務人員因原處分</w:t>
            </w:r>
            <w:r>
              <w:rPr>
                <w:spacing w:val="23"/>
                <w:sz w:val="24"/>
              </w:rPr>
              <w:t>機關對其依法申請之</w:t>
            </w:r>
            <w:r>
              <w:rPr>
                <w:spacing w:val="-4"/>
                <w:sz w:val="24"/>
              </w:rPr>
              <w:t>案件， 予以駁回， 如</w:t>
            </w:r>
            <w:r>
              <w:rPr>
                <w:spacing w:val="23"/>
                <w:sz w:val="24"/>
              </w:rPr>
              <w:t>依第二十五條規定提</w:t>
            </w:r>
            <w:r>
              <w:rPr>
                <w:spacing w:val="8"/>
                <w:sz w:val="24"/>
              </w:rPr>
              <w:t>起復審， 經保訓會予以駁回後， 應向行政</w:t>
            </w:r>
            <w:r>
              <w:rPr>
                <w:spacing w:val="23"/>
                <w:sz w:val="24"/>
              </w:rPr>
              <w:t>法院提起課予義務之</w:t>
            </w:r>
            <w:r>
              <w:rPr>
                <w:spacing w:val="8"/>
                <w:sz w:val="24"/>
              </w:rPr>
              <w:t>訴， 而非撤銷訴訟，</w:t>
            </w:r>
            <w:r>
              <w:rPr>
                <w:spacing w:val="-118"/>
                <w:sz w:val="24"/>
              </w:rPr>
              <w:t> </w:t>
            </w:r>
            <w:r>
              <w:rPr>
                <w:spacing w:val="8"/>
                <w:sz w:val="24"/>
              </w:rPr>
              <w:t>為統一立法體例， 爰</w:t>
            </w:r>
            <w:r>
              <w:rPr>
                <w:spacing w:val="23"/>
                <w:sz w:val="24"/>
              </w:rPr>
              <w:t>參酌行政訴訟法第五</w:t>
            </w:r>
            <w:r>
              <w:rPr>
                <w:spacing w:val="24"/>
                <w:sz w:val="24"/>
              </w:rPr>
              <w:t>條第二項規定修正第</w:t>
            </w:r>
            <w:r>
              <w:rPr>
                <w:sz w:val="24"/>
              </w:rPr>
              <w:t>一項條文。</w:t>
            </w:r>
          </w:p>
          <w:p>
            <w:pPr>
              <w:pStyle w:val="TableParagraph"/>
              <w:spacing w:line="225" w:lineRule="auto"/>
              <w:ind w:left="105" w:right="1517"/>
              <w:jc w:val="both"/>
              <w:rPr>
                <w:sz w:val="24"/>
              </w:rPr>
            </w:pPr>
            <w:r>
              <w:rPr>
                <w:spacing w:val="5"/>
                <w:sz w:val="24"/>
              </w:rPr>
              <w:t>三、相關條文</w:t>
            </w:r>
            <w:r>
              <w:rPr>
                <w:sz w:val="24"/>
              </w:rPr>
              <w:t>行政訴訟法</w:t>
            </w:r>
          </w:p>
          <w:p>
            <w:pPr>
              <w:pStyle w:val="TableParagraph"/>
              <w:spacing w:line="223" w:lineRule="auto"/>
              <w:ind w:left="345" w:right="98" w:hanging="240"/>
              <w:jc w:val="both"/>
              <w:rPr>
                <w:sz w:val="24"/>
              </w:rPr>
            </w:pPr>
            <w:r>
              <w:rPr>
                <w:sz w:val="24"/>
              </w:rPr>
              <w:t>第五條 人民因中央或地方機關對其依法申請之案件</w:t>
            </w:r>
          </w:p>
          <w:p>
            <w:pPr>
              <w:pStyle w:val="TableParagraph"/>
              <w:spacing w:line="223" w:lineRule="auto"/>
              <w:ind w:left="345" w:right="99"/>
              <w:jc w:val="both"/>
              <w:rPr>
                <w:sz w:val="24"/>
              </w:rPr>
            </w:pPr>
            <w:r>
              <w:rPr>
                <w:sz w:val="24"/>
              </w:rPr>
              <w:t>，於法令所定期間內應作為而不作為，認為其權利或法律上利益受損害者，</w:t>
            </w:r>
            <w:r>
              <w:rPr>
                <w:spacing w:val="-118"/>
                <w:sz w:val="24"/>
              </w:rPr>
              <w:t> </w:t>
            </w:r>
            <w:r>
              <w:rPr>
                <w:sz w:val="24"/>
              </w:rPr>
              <w:t>經依訴願程序後，得向行政法院提起請求該機關應為行政處分或應為特定內容之行政處分之訴訟。</w:t>
            </w:r>
          </w:p>
          <w:p>
            <w:pPr>
              <w:pStyle w:val="TableParagraph"/>
              <w:spacing w:line="289" w:lineRule="exact"/>
              <w:ind w:left="849"/>
              <w:rPr>
                <w:sz w:val="24"/>
              </w:rPr>
            </w:pPr>
            <w:r>
              <w:rPr>
                <w:spacing w:val="33"/>
                <w:sz w:val="24"/>
              </w:rPr>
              <w:t>人民因中央或地方</w:t>
            </w:r>
          </w:p>
        </w:tc>
      </w:tr>
    </w:tbl>
    <w:p>
      <w:pPr>
        <w:spacing w:after="0" w:line="289"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2497"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312" w:lineRule="exact"/>
              <w:ind w:left="345"/>
              <w:rPr>
                <w:sz w:val="24"/>
              </w:rPr>
            </w:pPr>
            <w:r>
              <w:rPr>
                <w:sz w:val="24"/>
              </w:rPr>
              <w:t>機關對其依法申請之案件</w:t>
            </w:r>
          </w:p>
          <w:p>
            <w:pPr>
              <w:pStyle w:val="TableParagraph"/>
              <w:spacing w:line="223" w:lineRule="auto" w:before="5"/>
              <w:ind w:left="345" w:right="99"/>
              <w:jc w:val="both"/>
              <w:rPr>
                <w:sz w:val="24"/>
              </w:rPr>
            </w:pPr>
            <w:r>
              <w:rPr>
                <w:sz w:val="24"/>
              </w:rPr>
              <w:t>，予以駁回，認為其權利或法律上利益受違法損害者，經依訴願程序後，得向行政法院提起請求該機關應為行政處分或應為特定內容之行政處分之訴訟</w:t>
            </w:r>
          </w:p>
          <w:p>
            <w:pPr>
              <w:pStyle w:val="TableParagraph"/>
              <w:spacing w:line="289" w:lineRule="exact"/>
              <w:ind w:left="345"/>
              <w:rPr>
                <w:sz w:val="24"/>
              </w:rPr>
            </w:pPr>
            <w:r>
              <w:rPr>
                <w:sz w:val="24"/>
              </w:rPr>
              <w:t>。</w:t>
            </w:r>
          </w:p>
        </w:tc>
      </w:tr>
      <w:tr>
        <w:trPr>
          <w:trHeight w:val="10928" w:hRule="atLeast"/>
        </w:trPr>
        <w:tc>
          <w:tcPr>
            <w:tcW w:w="2835" w:type="dxa"/>
          </w:tcPr>
          <w:p>
            <w:pPr>
              <w:pStyle w:val="TableParagraph"/>
              <w:spacing w:line="223" w:lineRule="auto" w:before="4"/>
              <w:ind w:right="97" w:hanging="240"/>
              <w:jc w:val="both"/>
              <w:rPr>
                <w:sz w:val="24"/>
              </w:rPr>
            </w:pPr>
            <w:r>
              <w:rPr>
                <w:spacing w:val="18"/>
                <w:sz w:val="24"/>
              </w:rPr>
              <w:t>第四十三條 提起復審</w:t>
            </w:r>
            <w:r>
              <w:rPr>
                <w:spacing w:val="13"/>
                <w:w w:val="95"/>
                <w:sz w:val="24"/>
              </w:rPr>
              <w:t>應具復審書， 載明下列事項， 由復審人或</w:t>
            </w:r>
            <w:r>
              <w:rPr>
                <w:spacing w:val="23"/>
                <w:sz w:val="24"/>
              </w:rPr>
              <w:t>其代理人簽名或蓋章</w:t>
            </w:r>
          </w:p>
          <w:p>
            <w:pPr>
              <w:pStyle w:val="TableParagraph"/>
              <w:spacing w:line="307" w:lineRule="exact"/>
              <w:rPr>
                <w:sz w:val="24"/>
              </w:rPr>
            </w:pPr>
            <w:r>
              <w:rPr>
                <w:sz w:val="24"/>
              </w:rPr>
              <w:t>：</w:t>
            </w:r>
          </w:p>
          <w:p>
            <w:pPr>
              <w:pStyle w:val="TableParagraph"/>
              <w:spacing w:line="223" w:lineRule="auto" w:before="5"/>
              <w:ind w:left="842" w:right="65" w:hanging="497"/>
              <w:jc w:val="both"/>
              <w:rPr>
                <w:sz w:val="24"/>
              </w:rPr>
            </w:pPr>
            <w:r>
              <w:rPr>
                <w:spacing w:val="23"/>
                <w:sz w:val="24"/>
              </w:rPr>
              <w:t>一、復審人之姓名、</w:t>
            </w:r>
            <w:r>
              <w:rPr>
                <w:spacing w:val="31"/>
                <w:sz w:val="24"/>
              </w:rPr>
              <w:t>出生年月日、住居所、國民身分</w:t>
            </w:r>
            <w:r>
              <w:rPr>
                <w:spacing w:val="33"/>
                <w:sz w:val="24"/>
              </w:rPr>
              <w:t>證統一編號</w:t>
            </w:r>
            <w:r>
              <w:rPr>
                <w:spacing w:val="26"/>
                <w:sz w:val="24"/>
                <w:u w:val="single"/>
              </w:rPr>
              <w:t>或身</w:t>
            </w:r>
            <w:r>
              <w:rPr>
                <w:spacing w:val="31"/>
                <w:sz w:val="24"/>
                <w:u w:val="single"/>
              </w:rPr>
              <w:t>分證明文件及字</w:t>
            </w:r>
            <w:r>
              <w:rPr>
                <w:spacing w:val="-220"/>
                <w:sz w:val="24"/>
                <w:u w:val="single"/>
              </w:rPr>
              <w:t>號</w:t>
            </w:r>
            <w:r>
              <w:rPr>
                <w:spacing w:val="33"/>
                <w:sz w:val="24"/>
              </w:rPr>
              <w:t>。有代理人者</w:t>
            </w:r>
          </w:p>
          <w:p>
            <w:pPr>
              <w:pStyle w:val="TableParagraph"/>
              <w:spacing w:line="223" w:lineRule="auto" w:before="2"/>
              <w:ind w:left="842" w:right="65"/>
              <w:jc w:val="both"/>
              <w:rPr>
                <w:sz w:val="24"/>
              </w:rPr>
            </w:pPr>
            <w:r>
              <w:rPr>
                <w:spacing w:val="31"/>
                <w:sz w:val="24"/>
              </w:rPr>
              <w:t>，其姓名、出生年月日、職業、住居所或事務所</w:t>
            </w:r>
          </w:p>
          <w:p>
            <w:pPr>
              <w:pStyle w:val="TableParagraph"/>
              <w:spacing w:line="223" w:lineRule="auto"/>
              <w:ind w:left="842" w:right="65"/>
              <w:jc w:val="both"/>
              <w:rPr>
                <w:sz w:val="24"/>
              </w:rPr>
            </w:pPr>
            <w:r>
              <w:rPr>
                <w:spacing w:val="31"/>
                <w:sz w:val="24"/>
              </w:rPr>
              <w:t>、國民身分證統</w:t>
            </w:r>
            <w:r>
              <w:rPr>
                <w:spacing w:val="33"/>
                <w:sz w:val="24"/>
              </w:rPr>
              <w:t>一編號</w:t>
            </w:r>
            <w:r>
              <w:rPr>
                <w:spacing w:val="29"/>
                <w:sz w:val="24"/>
                <w:u w:val="single"/>
              </w:rPr>
              <w:t>或身分證</w:t>
            </w:r>
            <w:r>
              <w:rPr>
                <w:sz w:val="24"/>
                <w:u w:val="single"/>
              </w:rPr>
              <w:t>明文件及字號。</w:t>
            </w:r>
          </w:p>
          <w:p>
            <w:pPr>
              <w:pStyle w:val="TableParagraph"/>
              <w:spacing w:line="223" w:lineRule="auto"/>
              <w:ind w:left="842" w:right="65" w:hanging="497"/>
              <w:jc w:val="both"/>
              <w:rPr>
                <w:sz w:val="24"/>
              </w:rPr>
            </w:pPr>
            <w:r>
              <w:rPr>
                <w:spacing w:val="23"/>
                <w:sz w:val="24"/>
              </w:rPr>
              <w:t>二、復審人之服務機</w:t>
            </w:r>
            <w:r>
              <w:rPr>
                <w:spacing w:val="31"/>
                <w:sz w:val="24"/>
              </w:rPr>
              <w:t>關、職稱、官職</w:t>
            </w:r>
            <w:r>
              <w:rPr>
                <w:sz w:val="24"/>
              </w:rPr>
              <w:t>等。</w:t>
            </w:r>
          </w:p>
          <w:p>
            <w:pPr>
              <w:pStyle w:val="TableParagraph"/>
              <w:spacing w:line="223" w:lineRule="auto"/>
              <w:ind w:left="345" w:right="317"/>
              <w:rPr>
                <w:sz w:val="24"/>
              </w:rPr>
            </w:pPr>
            <w:r>
              <w:rPr>
                <w:sz w:val="24"/>
              </w:rPr>
              <w:t>三、原處分機關。</w:t>
            </w:r>
            <w:r>
              <w:rPr>
                <w:spacing w:val="1"/>
                <w:sz w:val="24"/>
              </w:rPr>
              <w:t> </w:t>
            </w:r>
            <w:r>
              <w:rPr>
                <w:spacing w:val="-1"/>
                <w:sz w:val="24"/>
              </w:rPr>
              <w:t>四、復審請求事項。</w:t>
            </w:r>
            <w:r>
              <w:rPr>
                <w:sz w:val="24"/>
              </w:rPr>
              <w:t>五、事實及理由。</w:t>
            </w:r>
          </w:p>
          <w:p>
            <w:pPr>
              <w:pStyle w:val="TableParagraph"/>
              <w:spacing w:line="223" w:lineRule="auto" w:before="1"/>
              <w:ind w:left="842" w:right="65" w:hanging="497"/>
              <w:jc w:val="both"/>
              <w:rPr>
                <w:sz w:val="24"/>
              </w:rPr>
            </w:pPr>
            <w:r>
              <w:rPr>
                <w:spacing w:val="23"/>
                <w:sz w:val="24"/>
              </w:rPr>
              <w:t>六、證據。其為文書</w:t>
            </w:r>
            <w:r>
              <w:rPr>
                <w:spacing w:val="31"/>
                <w:sz w:val="24"/>
              </w:rPr>
              <w:t>者，應添具影本</w:t>
            </w:r>
            <w:r>
              <w:rPr>
                <w:sz w:val="24"/>
              </w:rPr>
              <w:t>或繕本。</w:t>
            </w:r>
          </w:p>
          <w:p>
            <w:pPr>
              <w:pStyle w:val="TableParagraph"/>
              <w:spacing w:line="223" w:lineRule="auto"/>
              <w:ind w:left="842" w:right="96" w:hanging="497"/>
              <w:jc w:val="both"/>
              <w:rPr>
                <w:sz w:val="24"/>
              </w:rPr>
            </w:pPr>
            <w:r>
              <w:rPr>
                <w:spacing w:val="23"/>
                <w:sz w:val="24"/>
              </w:rPr>
              <w:t>七、行政處分達到之</w:t>
            </w:r>
            <w:r>
              <w:rPr>
                <w:sz w:val="24"/>
              </w:rPr>
              <w:t>年月日。</w:t>
            </w:r>
          </w:p>
          <w:p>
            <w:pPr>
              <w:pStyle w:val="TableParagraph"/>
              <w:spacing w:line="223" w:lineRule="auto"/>
              <w:ind w:left="851" w:right="95" w:hanging="507"/>
              <w:jc w:val="both"/>
              <w:rPr>
                <w:sz w:val="24"/>
              </w:rPr>
            </w:pPr>
            <w:r>
              <w:rPr>
                <w:sz w:val="24"/>
              </w:rPr>
              <w:t>八、提起之年月日。</w:t>
            </w:r>
            <w:r>
              <w:rPr>
                <w:spacing w:val="25"/>
                <w:sz w:val="24"/>
              </w:rPr>
              <w:t>提起復審應附原</w:t>
            </w:r>
          </w:p>
          <w:p>
            <w:pPr>
              <w:pStyle w:val="TableParagraph"/>
              <w:spacing w:line="307" w:lineRule="exact"/>
              <w:rPr>
                <w:sz w:val="24"/>
              </w:rPr>
            </w:pPr>
            <w:r>
              <w:rPr>
                <w:sz w:val="24"/>
              </w:rPr>
              <w:t>行政處分書影本。</w:t>
            </w:r>
          </w:p>
          <w:p>
            <w:pPr>
              <w:pStyle w:val="TableParagraph"/>
              <w:spacing w:line="223" w:lineRule="auto" w:before="5"/>
              <w:ind w:right="95" w:firstLine="503"/>
              <w:rPr>
                <w:sz w:val="24"/>
              </w:rPr>
            </w:pPr>
            <w:r>
              <w:rPr>
                <w:spacing w:val="25"/>
                <w:sz w:val="24"/>
              </w:rPr>
              <w:t>依第二十六條第</w:t>
            </w:r>
            <w:r>
              <w:rPr>
                <w:spacing w:val="23"/>
                <w:sz w:val="24"/>
              </w:rPr>
              <w:t>一項規定提起復審者</w:t>
            </w:r>
          </w:p>
          <w:p>
            <w:pPr>
              <w:pStyle w:val="TableParagraph"/>
              <w:spacing w:line="307" w:lineRule="exact"/>
              <w:rPr>
                <w:sz w:val="24"/>
              </w:rPr>
            </w:pPr>
            <w:r>
              <w:rPr>
                <w:spacing w:val="7"/>
                <w:sz w:val="24"/>
              </w:rPr>
              <w:t>， 第一項第三款、第</w:t>
            </w:r>
          </w:p>
          <w:p>
            <w:pPr>
              <w:pStyle w:val="TableParagraph"/>
              <w:spacing w:line="294" w:lineRule="exact"/>
              <w:rPr>
                <w:sz w:val="24"/>
              </w:rPr>
            </w:pPr>
            <w:r>
              <w:rPr>
                <w:spacing w:val="8"/>
                <w:sz w:val="24"/>
              </w:rPr>
              <w:t>七款所列事項， 載明</w:t>
            </w:r>
          </w:p>
        </w:tc>
        <w:tc>
          <w:tcPr>
            <w:tcW w:w="3262" w:type="dxa"/>
          </w:tcPr>
          <w:p>
            <w:pPr>
              <w:pStyle w:val="TableParagraph"/>
              <w:spacing w:line="223" w:lineRule="auto" w:before="4"/>
              <w:ind w:right="79" w:hanging="240"/>
              <w:jc w:val="both"/>
              <w:rPr>
                <w:sz w:val="24"/>
              </w:rPr>
            </w:pPr>
            <w:r>
              <w:rPr>
                <w:spacing w:val="11"/>
                <w:sz w:val="24"/>
              </w:rPr>
              <w:t>第四十三條 提起復審應具</w:t>
            </w:r>
            <w:r>
              <w:rPr>
                <w:spacing w:val="15"/>
                <w:sz w:val="24"/>
              </w:rPr>
              <w:t>復審書，載明下列事項，</w:t>
            </w:r>
            <w:r>
              <w:rPr>
                <w:spacing w:val="-118"/>
                <w:sz w:val="24"/>
              </w:rPr>
              <w:t> </w:t>
            </w:r>
            <w:r>
              <w:rPr>
                <w:spacing w:val="15"/>
                <w:sz w:val="24"/>
              </w:rPr>
              <w:t>由復審人或其代理人簽名</w:t>
            </w:r>
            <w:r>
              <w:rPr>
                <w:sz w:val="24"/>
              </w:rPr>
              <w:t>或蓋章：</w:t>
            </w:r>
          </w:p>
          <w:p>
            <w:pPr>
              <w:pStyle w:val="TableParagraph"/>
              <w:spacing w:line="223" w:lineRule="auto"/>
              <w:ind w:left="842" w:right="77" w:hanging="497"/>
              <w:jc w:val="both"/>
              <w:rPr>
                <w:sz w:val="24"/>
              </w:rPr>
            </w:pPr>
            <w:r>
              <w:rPr>
                <w:spacing w:val="15"/>
                <w:sz w:val="24"/>
              </w:rPr>
              <w:t>一、復審人之姓名、出生</w:t>
            </w:r>
            <w:r>
              <w:rPr>
                <w:spacing w:val="19"/>
                <w:sz w:val="24"/>
              </w:rPr>
              <w:t>年月日</w:t>
            </w:r>
            <w:r>
              <w:rPr>
                <w:spacing w:val="18"/>
                <w:sz w:val="24"/>
                <w:u w:val="single"/>
              </w:rPr>
              <w:t>、性別</w:t>
            </w:r>
            <w:r>
              <w:rPr>
                <w:spacing w:val="12"/>
                <w:sz w:val="24"/>
              </w:rPr>
              <w:t>、住居</w:t>
            </w:r>
            <w:r>
              <w:rPr>
                <w:spacing w:val="15"/>
                <w:sz w:val="24"/>
              </w:rPr>
              <w:t>所、國民身分證統一編號。有代理人者，</w:t>
            </w:r>
            <w:r>
              <w:rPr>
                <w:spacing w:val="-118"/>
                <w:sz w:val="24"/>
              </w:rPr>
              <w:t> </w:t>
            </w:r>
            <w:r>
              <w:rPr>
                <w:spacing w:val="15"/>
                <w:sz w:val="24"/>
              </w:rPr>
              <w:t>其姓名、出生年月日</w:t>
            </w:r>
          </w:p>
          <w:p>
            <w:pPr>
              <w:pStyle w:val="TableParagraph"/>
              <w:spacing w:line="223" w:lineRule="auto"/>
              <w:ind w:left="842" w:right="97"/>
              <w:jc w:val="both"/>
              <w:rPr>
                <w:sz w:val="24"/>
              </w:rPr>
            </w:pPr>
            <w:r>
              <w:rPr>
                <w:spacing w:val="19"/>
                <w:sz w:val="24"/>
                <w:u w:val="single"/>
              </w:rPr>
              <w:t>、性別</w:t>
            </w:r>
            <w:r>
              <w:rPr>
                <w:spacing w:val="14"/>
                <w:sz w:val="24"/>
              </w:rPr>
              <w:t>、職業、住居</w:t>
            </w:r>
            <w:r>
              <w:rPr>
                <w:spacing w:val="15"/>
                <w:sz w:val="24"/>
              </w:rPr>
              <w:t>所或事務所、國民身</w:t>
            </w:r>
            <w:r>
              <w:rPr>
                <w:sz w:val="24"/>
              </w:rPr>
              <w:t>分證統一編號。</w:t>
            </w:r>
          </w:p>
          <w:p>
            <w:pPr>
              <w:pStyle w:val="TableParagraph"/>
              <w:spacing w:line="223" w:lineRule="auto" w:before="2"/>
              <w:ind w:left="842" w:right="82" w:hanging="497"/>
              <w:rPr>
                <w:sz w:val="24"/>
              </w:rPr>
            </w:pPr>
            <w:r>
              <w:rPr>
                <w:spacing w:val="15"/>
                <w:sz w:val="24"/>
              </w:rPr>
              <w:t>二、復審人之服務機關、</w:t>
            </w:r>
            <w:r>
              <w:rPr>
                <w:sz w:val="24"/>
              </w:rPr>
              <w:t>職稱、官職等。</w:t>
            </w:r>
          </w:p>
          <w:p>
            <w:pPr>
              <w:pStyle w:val="TableParagraph"/>
              <w:spacing w:line="223" w:lineRule="auto"/>
              <w:ind w:left="345" w:right="744"/>
              <w:rPr>
                <w:sz w:val="24"/>
              </w:rPr>
            </w:pPr>
            <w:r>
              <w:rPr>
                <w:sz w:val="24"/>
              </w:rPr>
              <w:t>三、原處分機關。</w:t>
            </w:r>
            <w:r>
              <w:rPr>
                <w:spacing w:val="1"/>
                <w:sz w:val="24"/>
              </w:rPr>
              <w:t> </w:t>
            </w:r>
            <w:r>
              <w:rPr>
                <w:spacing w:val="-1"/>
                <w:sz w:val="24"/>
              </w:rPr>
              <w:t>四、復審請求事項。</w:t>
            </w:r>
            <w:r>
              <w:rPr>
                <w:sz w:val="24"/>
              </w:rPr>
              <w:t>五、事實及理由。</w:t>
            </w:r>
          </w:p>
          <w:p>
            <w:pPr>
              <w:pStyle w:val="TableParagraph"/>
              <w:spacing w:line="223" w:lineRule="auto"/>
              <w:ind w:left="842" w:right="82" w:hanging="497"/>
              <w:rPr>
                <w:sz w:val="24"/>
              </w:rPr>
            </w:pPr>
            <w:r>
              <w:rPr>
                <w:spacing w:val="15"/>
                <w:sz w:val="24"/>
              </w:rPr>
              <w:t>六、證據。其為文書者，</w:t>
            </w:r>
            <w:r>
              <w:rPr>
                <w:spacing w:val="-117"/>
                <w:sz w:val="24"/>
              </w:rPr>
              <w:t> </w:t>
            </w:r>
            <w:r>
              <w:rPr>
                <w:sz w:val="24"/>
              </w:rPr>
              <w:t>應添具影本或繕本。</w:t>
            </w:r>
          </w:p>
          <w:p>
            <w:pPr>
              <w:pStyle w:val="TableParagraph"/>
              <w:spacing w:line="223" w:lineRule="auto"/>
              <w:ind w:left="842" w:right="82" w:hanging="497"/>
              <w:rPr>
                <w:sz w:val="24"/>
              </w:rPr>
            </w:pPr>
            <w:r>
              <w:rPr>
                <w:spacing w:val="15"/>
                <w:sz w:val="24"/>
              </w:rPr>
              <w:t>七、行政處分達到之年月</w:t>
            </w:r>
            <w:r>
              <w:rPr>
                <w:sz w:val="24"/>
              </w:rPr>
              <w:t>日。</w:t>
            </w:r>
          </w:p>
          <w:p>
            <w:pPr>
              <w:pStyle w:val="TableParagraph"/>
              <w:spacing w:line="308" w:lineRule="exact"/>
              <w:ind w:left="345"/>
              <w:rPr>
                <w:sz w:val="24"/>
              </w:rPr>
            </w:pPr>
            <w:r>
              <w:rPr>
                <w:sz w:val="24"/>
              </w:rPr>
              <w:t>八、提起之年月日。</w:t>
            </w:r>
          </w:p>
          <w:p>
            <w:pPr>
              <w:pStyle w:val="TableParagraph"/>
              <w:spacing w:line="223" w:lineRule="auto" w:before="5"/>
              <w:ind w:right="98" w:firstLine="480"/>
              <w:jc w:val="both"/>
              <w:rPr>
                <w:sz w:val="24"/>
              </w:rPr>
            </w:pPr>
            <w:r>
              <w:rPr>
                <w:spacing w:val="16"/>
                <w:sz w:val="24"/>
              </w:rPr>
              <w:t>提起復審應附原行政</w:t>
            </w:r>
            <w:r>
              <w:rPr>
                <w:sz w:val="24"/>
              </w:rPr>
              <w:t>處分書影本。</w:t>
            </w:r>
          </w:p>
          <w:p>
            <w:pPr>
              <w:pStyle w:val="TableParagraph"/>
              <w:spacing w:line="223" w:lineRule="auto"/>
              <w:ind w:right="79" w:firstLine="504"/>
              <w:jc w:val="both"/>
              <w:rPr>
                <w:sz w:val="24"/>
              </w:rPr>
            </w:pPr>
            <w:r>
              <w:rPr>
                <w:spacing w:val="14"/>
                <w:sz w:val="24"/>
              </w:rPr>
              <w:t>依第二十六條第一項</w:t>
            </w:r>
            <w:r>
              <w:rPr>
                <w:spacing w:val="15"/>
                <w:sz w:val="24"/>
              </w:rPr>
              <w:t>規定提起復審者，第一項第三款、第七款所列事項</w:t>
            </w:r>
          </w:p>
          <w:p>
            <w:pPr>
              <w:pStyle w:val="TableParagraph"/>
              <w:spacing w:line="223" w:lineRule="auto"/>
              <w:ind w:right="79"/>
              <w:jc w:val="both"/>
              <w:rPr>
                <w:sz w:val="24"/>
              </w:rPr>
            </w:pPr>
            <w:r>
              <w:rPr>
                <w:spacing w:val="15"/>
                <w:sz w:val="24"/>
              </w:rPr>
              <w:t>，載明應為行政處分之機關、申請之年月日，並附原申請書之影本及受理申</w:t>
            </w:r>
            <w:r>
              <w:rPr>
                <w:sz w:val="24"/>
              </w:rPr>
              <w:t>請機關收受證明。</w:t>
            </w:r>
          </w:p>
        </w:tc>
        <w:tc>
          <w:tcPr>
            <w:tcW w:w="3116" w:type="dxa"/>
          </w:tcPr>
          <w:p>
            <w:pPr>
              <w:pStyle w:val="TableParagraph"/>
              <w:spacing w:line="223" w:lineRule="auto" w:before="4"/>
              <w:ind w:left="609" w:right="72" w:hanging="504"/>
              <w:jc w:val="both"/>
              <w:rPr>
                <w:sz w:val="24"/>
              </w:rPr>
            </w:pPr>
            <w:r>
              <w:rPr>
                <w:spacing w:val="7"/>
                <w:sz w:val="24"/>
              </w:rPr>
              <w:t>一、保障事件之審理， 並</w:t>
            </w:r>
            <w:r>
              <w:rPr>
                <w:spacing w:val="24"/>
                <w:sz w:val="24"/>
              </w:rPr>
              <w:t>不因當事人之性別而</w:t>
            </w:r>
            <w:r>
              <w:rPr>
                <w:spacing w:val="9"/>
                <w:sz w:val="24"/>
              </w:rPr>
              <w:t>為差別待遇， 為避免</w:t>
            </w:r>
            <w:r>
              <w:rPr>
                <w:spacing w:val="24"/>
                <w:sz w:val="24"/>
              </w:rPr>
              <w:t>落入傳統性別區分之</w:t>
            </w:r>
            <w:r>
              <w:rPr>
                <w:spacing w:val="9"/>
                <w:sz w:val="24"/>
              </w:rPr>
              <w:t>刻版印象， 並尊重多元性別傾向， 第一項</w:t>
            </w:r>
            <w:r>
              <w:rPr>
                <w:spacing w:val="24"/>
                <w:sz w:val="24"/>
              </w:rPr>
              <w:t>第一款爰參酌訴願法</w:t>
            </w:r>
            <w:r>
              <w:rPr>
                <w:spacing w:val="9"/>
                <w:sz w:val="24"/>
              </w:rPr>
              <w:t>第五十六條規定， 刪</w:t>
            </w:r>
            <w:r>
              <w:rPr>
                <w:spacing w:val="24"/>
                <w:sz w:val="24"/>
              </w:rPr>
              <w:t>除復審書應載明復審</w:t>
            </w:r>
            <w:r>
              <w:rPr>
                <w:spacing w:val="26"/>
                <w:sz w:val="24"/>
              </w:rPr>
              <w:t>人及代理人性別之規</w:t>
            </w:r>
            <w:r>
              <w:rPr>
                <w:sz w:val="24"/>
              </w:rPr>
              <w:t>定。</w:t>
            </w:r>
          </w:p>
          <w:p>
            <w:pPr>
              <w:pStyle w:val="TableParagraph"/>
              <w:spacing w:line="223" w:lineRule="auto" w:before="2"/>
              <w:ind w:left="609" w:right="103" w:hanging="504"/>
              <w:jc w:val="both"/>
              <w:rPr>
                <w:sz w:val="24"/>
              </w:rPr>
            </w:pPr>
            <w:r>
              <w:rPr>
                <w:spacing w:val="20"/>
                <w:sz w:val="24"/>
              </w:rPr>
              <w:t>二、另為因應提起保障事</w:t>
            </w:r>
            <w:r>
              <w:rPr>
                <w:spacing w:val="24"/>
                <w:sz w:val="24"/>
              </w:rPr>
              <w:t>件之當事人或其代理人可能為外籍人士或</w:t>
            </w:r>
            <w:r>
              <w:rPr>
                <w:spacing w:val="8"/>
                <w:sz w:val="24"/>
              </w:rPr>
              <w:t>大陸地區人民， 爰於</w:t>
            </w:r>
            <w:r>
              <w:rPr>
                <w:spacing w:val="24"/>
                <w:sz w:val="24"/>
              </w:rPr>
              <w:t>第一項第一款復審書</w:t>
            </w:r>
            <w:r>
              <w:rPr>
                <w:spacing w:val="8"/>
                <w:sz w:val="24"/>
              </w:rPr>
              <w:t>之應記載事項， 增訂</w:t>
            </w:r>
            <w:r>
              <w:rPr>
                <w:spacing w:val="24"/>
                <w:sz w:val="24"/>
              </w:rPr>
              <w:t>身分證明文件及字號</w:t>
            </w:r>
            <w:r>
              <w:rPr>
                <w:sz w:val="24"/>
              </w:rPr>
              <w:t>之記載，以符實需。</w:t>
            </w:r>
          </w:p>
        </w:tc>
      </w:tr>
    </w:tbl>
    <w:p>
      <w:pPr>
        <w:spacing w:after="0" w:line="223" w:lineRule="auto"/>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559" w:hRule="atLeast"/>
        </w:trPr>
        <w:tc>
          <w:tcPr>
            <w:tcW w:w="2835" w:type="dxa"/>
          </w:tcPr>
          <w:p>
            <w:pPr>
              <w:pStyle w:val="TableParagraph"/>
              <w:spacing w:line="312" w:lineRule="exact"/>
              <w:jc w:val="both"/>
              <w:rPr>
                <w:sz w:val="24"/>
              </w:rPr>
            </w:pPr>
            <w:r>
              <w:rPr>
                <w:spacing w:val="23"/>
                <w:sz w:val="24"/>
              </w:rPr>
              <w:t>應為行政處分之機關</w:t>
            </w:r>
          </w:p>
          <w:p>
            <w:pPr>
              <w:pStyle w:val="TableParagraph"/>
              <w:spacing w:line="223" w:lineRule="auto" w:before="5"/>
              <w:ind w:right="100"/>
              <w:jc w:val="both"/>
              <w:rPr>
                <w:sz w:val="24"/>
              </w:rPr>
            </w:pPr>
            <w:r>
              <w:rPr>
                <w:spacing w:val="7"/>
                <w:sz w:val="24"/>
              </w:rPr>
              <w:t>、申請之年月日， 並</w:t>
            </w:r>
            <w:r>
              <w:rPr>
                <w:spacing w:val="23"/>
                <w:sz w:val="24"/>
              </w:rPr>
              <w:t>附原申請書之影本及</w:t>
            </w:r>
            <w:r>
              <w:rPr>
                <w:spacing w:val="21"/>
                <w:sz w:val="24"/>
              </w:rPr>
              <w:t>受理申請機關收受證</w:t>
            </w:r>
          </w:p>
          <w:p>
            <w:pPr>
              <w:pStyle w:val="TableParagraph"/>
              <w:spacing w:line="287" w:lineRule="exact"/>
              <w:rPr>
                <w:sz w:val="24"/>
              </w:rPr>
            </w:pPr>
            <w:r>
              <w:rPr>
                <w:sz w:val="24"/>
              </w:rPr>
              <w:t>明。</w:t>
            </w:r>
          </w:p>
        </w:tc>
        <w:tc>
          <w:tcPr>
            <w:tcW w:w="3262" w:type="dxa"/>
          </w:tcPr>
          <w:p>
            <w:pPr>
              <w:pStyle w:val="TableParagraph"/>
              <w:ind w:left="0"/>
              <w:rPr>
                <w:rFonts w:ascii="Times New Roman"/>
                <w:sz w:val="22"/>
              </w:rPr>
            </w:pPr>
          </w:p>
        </w:tc>
        <w:tc>
          <w:tcPr>
            <w:tcW w:w="3116" w:type="dxa"/>
          </w:tcPr>
          <w:p>
            <w:pPr>
              <w:pStyle w:val="TableParagraph"/>
              <w:ind w:left="0"/>
              <w:rPr>
                <w:rFonts w:ascii="Times New Roman"/>
                <w:sz w:val="22"/>
              </w:rPr>
            </w:pPr>
          </w:p>
        </w:tc>
      </w:tr>
      <w:tr>
        <w:trPr>
          <w:trHeight w:val="5309" w:hRule="atLeast"/>
        </w:trPr>
        <w:tc>
          <w:tcPr>
            <w:tcW w:w="2835" w:type="dxa"/>
          </w:tcPr>
          <w:p>
            <w:pPr>
              <w:pStyle w:val="TableParagraph"/>
              <w:spacing w:line="223" w:lineRule="auto" w:before="7"/>
              <w:ind w:right="97" w:hanging="240"/>
              <w:jc w:val="both"/>
              <w:rPr>
                <w:sz w:val="24"/>
              </w:rPr>
            </w:pPr>
            <w:r>
              <w:rPr>
                <w:spacing w:val="18"/>
                <w:sz w:val="24"/>
              </w:rPr>
              <w:t>第五十一條 保訓會得</w:t>
            </w:r>
            <w:r>
              <w:rPr>
                <w:spacing w:val="23"/>
                <w:sz w:val="24"/>
              </w:rPr>
              <w:t>指定副主任委員、委員聽取前條到場人員</w:t>
            </w:r>
            <w:r>
              <w:rPr>
                <w:sz w:val="24"/>
              </w:rPr>
              <w:t>之陳述。</w:t>
            </w:r>
          </w:p>
        </w:tc>
        <w:tc>
          <w:tcPr>
            <w:tcW w:w="3262" w:type="dxa"/>
          </w:tcPr>
          <w:p>
            <w:pPr>
              <w:pStyle w:val="TableParagraph"/>
              <w:spacing w:line="223" w:lineRule="auto" w:before="7"/>
              <w:ind w:right="79" w:hanging="240"/>
              <w:jc w:val="both"/>
              <w:rPr>
                <w:sz w:val="24"/>
              </w:rPr>
            </w:pPr>
            <w:r>
              <w:rPr>
                <w:spacing w:val="14"/>
                <w:sz w:val="24"/>
              </w:rPr>
              <w:t>第五十一條 保訓會</w:t>
            </w:r>
            <w:r>
              <w:rPr>
                <w:spacing w:val="14"/>
                <w:sz w:val="24"/>
                <w:u w:val="single"/>
              </w:rPr>
              <w:t>主任委</w:t>
            </w:r>
            <w:r>
              <w:rPr>
                <w:spacing w:val="-240"/>
                <w:sz w:val="24"/>
                <w:u w:val="single"/>
              </w:rPr>
              <w:t>員</w:t>
            </w:r>
            <w:r>
              <w:rPr>
                <w:spacing w:val="15"/>
                <w:sz w:val="24"/>
              </w:rPr>
              <w:t>得指定副主任委員、委</w:t>
            </w:r>
            <w:r>
              <w:rPr>
                <w:spacing w:val="17"/>
                <w:sz w:val="24"/>
              </w:rPr>
              <w:t> </w:t>
            </w:r>
            <w:r>
              <w:rPr>
                <w:spacing w:val="15"/>
                <w:sz w:val="24"/>
              </w:rPr>
              <w:t>員聽取前條到場人員之陳</w:t>
            </w:r>
            <w:r>
              <w:rPr>
                <w:sz w:val="24"/>
              </w:rPr>
              <w:t>述。</w:t>
            </w:r>
          </w:p>
        </w:tc>
        <w:tc>
          <w:tcPr>
            <w:tcW w:w="3116" w:type="dxa"/>
          </w:tcPr>
          <w:p>
            <w:pPr>
              <w:pStyle w:val="TableParagraph"/>
              <w:spacing w:line="223" w:lineRule="auto" w:before="7"/>
              <w:ind w:left="105" w:right="96"/>
              <w:rPr>
                <w:sz w:val="24"/>
              </w:rPr>
            </w:pPr>
            <w:r>
              <w:rPr>
                <w:sz w:val="24"/>
              </w:rPr>
              <w:t>依第五十條第二項規定，保訓會審理保障事件，必要時</w:t>
            </w:r>
          </w:p>
          <w:p>
            <w:pPr>
              <w:pStyle w:val="TableParagraph"/>
              <w:spacing w:line="223" w:lineRule="auto"/>
              <w:ind w:left="105" w:right="94"/>
              <w:jc w:val="both"/>
              <w:rPr>
                <w:sz w:val="24"/>
              </w:rPr>
            </w:pPr>
            <w:r>
              <w:rPr>
                <w:sz w:val="24"/>
              </w:rPr>
              <w:t>，得通知當事人或有關人員到達指定處所陳述意見並接受詢問；同條第三項規定，</w:t>
            </w:r>
            <w:r>
              <w:rPr>
                <w:spacing w:val="-118"/>
                <w:sz w:val="24"/>
              </w:rPr>
              <w:t> </w:t>
            </w:r>
            <w:r>
              <w:rPr>
                <w:sz w:val="24"/>
              </w:rPr>
              <w:t>復審人請求陳述意見，而有正當理由者，應予到達指定處所陳述意見之機會。上開依職權通知陳述意見及同意提起人申請陳述意見，其聽取人員，實務上，係於審查會，由全體專任委員聽取陳述意見，或由審查會主席指定專任委員一人至二人聽取之。為符合實務運作情形，</w:t>
            </w:r>
            <w:r>
              <w:rPr>
                <w:spacing w:val="-118"/>
                <w:sz w:val="24"/>
              </w:rPr>
              <w:t> </w:t>
            </w:r>
            <w:r>
              <w:rPr>
                <w:sz w:val="24"/>
              </w:rPr>
              <w:t>並使實務運作更具彈性，爰</w:t>
            </w:r>
          </w:p>
          <w:p>
            <w:pPr>
              <w:pStyle w:val="TableParagraph"/>
              <w:spacing w:line="288" w:lineRule="exact"/>
              <w:ind w:left="105"/>
              <w:rPr>
                <w:sz w:val="24"/>
              </w:rPr>
            </w:pPr>
            <w:r>
              <w:rPr>
                <w:sz w:val="24"/>
              </w:rPr>
              <w:t>刪除「主任委員」等字。</w:t>
            </w:r>
          </w:p>
        </w:tc>
      </w:tr>
      <w:tr>
        <w:trPr>
          <w:trHeight w:val="6557" w:hRule="atLeast"/>
        </w:trPr>
        <w:tc>
          <w:tcPr>
            <w:tcW w:w="2835" w:type="dxa"/>
          </w:tcPr>
          <w:p>
            <w:pPr>
              <w:pStyle w:val="TableParagraph"/>
              <w:tabs>
                <w:tab w:pos="1732" w:val="left" w:leader="none"/>
              </w:tabs>
              <w:spacing w:line="223" w:lineRule="auto" w:before="4"/>
              <w:ind w:right="97" w:hanging="240"/>
              <w:rPr>
                <w:sz w:val="24"/>
              </w:rPr>
            </w:pPr>
            <w:r>
              <w:rPr>
                <w:sz w:val="24"/>
              </w:rPr>
              <w:t>第七</w:t>
            </w:r>
            <w:r>
              <w:rPr>
                <w:spacing w:val="12"/>
                <w:sz w:val="24"/>
              </w:rPr>
              <w:t>十</w:t>
            </w:r>
            <w:r>
              <w:rPr>
                <w:sz w:val="24"/>
              </w:rPr>
              <w:t>一條</w:t>
              <w:tab/>
            </w:r>
            <w:r>
              <w:rPr>
                <w:spacing w:val="11"/>
                <w:sz w:val="24"/>
              </w:rPr>
              <w:t>復</w:t>
            </w:r>
            <w:r>
              <w:rPr>
                <w:sz w:val="24"/>
              </w:rPr>
              <w:t>審</w:t>
            </w:r>
            <w:r>
              <w:rPr>
                <w:spacing w:val="11"/>
                <w:sz w:val="24"/>
              </w:rPr>
              <w:t>決</w:t>
            </w:r>
            <w:r>
              <w:rPr>
                <w:sz w:val="24"/>
              </w:rPr>
              <w:t>定</w:t>
            </w:r>
            <w:r>
              <w:rPr>
                <w:spacing w:val="26"/>
                <w:w w:val="95"/>
                <w:sz w:val="24"/>
              </w:rPr>
              <w:t>書</w:t>
            </w:r>
            <w:r>
              <w:rPr>
                <w:w w:val="95"/>
                <w:sz w:val="24"/>
              </w:rPr>
              <w:t>，</w:t>
            </w:r>
            <w:r>
              <w:rPr>
                <w:spacing w:val="-34"/>
                <w:w w:val="95"/>
                <w:sz w:val="24"/>
              </w:rPr>
              <w:t> </w:t>
            </w:r>
            <w:r>
              <w:rPr>
                <w:spacing w:val="28"/>
                <w:w w:val="95"/>
                <w:sz w:val="24"/>
              </w:rPr>
              <w:t>應</w:t>
            </w:r>
            <w:r>
              <w:rPr>
                <w:spacing w:val="26"/>
                <w:w w:val="95"/>
                <w:sz w:val="24"/>
              </w:rPr>
              <w:t>載明</w:t>
            </w:r>
            <w:r>
              <w:rPr>
                <w:spacing w:val="28"/>
                <w:w w:val="95"/>
                <w:sz w:val="24"/>
              </w:rPr>
              <w:t>下</w:t>
            </w:r>
            <w:r>
              <w:rPr>
                <w:spacing w:val="26"/>
                <w:w w:val="95"/>
                <w:sz w:val="24"/>
              </w:rPr>
              <w:t>列事</w:t>
            </w:r>
            <w:r>
              <w:rPr>
                <w:w w:val="95"/>
                <w:sz w:val="24"/>
              </w:rPr>
              <w:t>項</w:t>
            </w:r>
          </w:p>
          <w:p>
            <w:pPr>
              <w:pStyle w:val="TableParagraph"/>
              <w:spacing w:line="307" w:lineRule="exact"/>
              <w:rPr>
                <w:sz w:val="24"/>
              </w:rPr>
            </w:pPr>
            <w:r>
              <w:rPr>
                <w:sz w:val="24"/>
              </w:rPr>
              <w:t>：</w:t>
            </w:r>
          </w:p>
          <w:p>
            <w:pPr>
              <w:pStyle w:val="TableParagraph"/>
              <w:spacing w:line="223" w:lineRule="auto" w:before="5"/>
              <w:ind w:left="827" w:right="63" w:hanging="480"/>
              <w:jc w:val="both"/>
              <w:rPr>
                <w:sz w:val="24"/>
              </w:rPr>
            </w:pPr>
            <w:r>
              <w:rPr>
                <w:spacing w:val="23"/>
                <w:sz w:val="24"/>
              </w:rPr>
              <w:t>一、復審人之姓名、</w:t>
            </w:r>
            <w:r>
              <w:rPr>
                <w:spacing w:val="33"/>
                <w:sz w:val="24"/>
              </w:rPr>
              <w:t>出生年月日、服務機關、職稱、住居所、國民身</w:t>
            </w:r>
            <w:r>
              <w:rPr>
                <w:spacing w:val="36"/>
                <w:sz w:val="24"/>
              </w:rPr>
              <w:t>分證統一編號</w:t>
            </w:r>
            <w:r>
              <w:rPr>
                <w:sz w:val="24"/>
                <w:u w:val="single"/>
              </w:rPr>
              <w:t>或</w:t>
            </w:r>
            <w:r>
              <w:rPr>
                <w:spacing w:val="33"/>
                <w:sz w:val="24"/>
                <w:u w:val="single"/>
              </w:rPr>
              <w:t>身分證明文件及</w:t>
            </w:r>
            <w:r>
              <w:rPr>
                <w:sz w:val="24"/>
                <w:u w:val="single"/>
              </w:rPr>
              <w:t>字號</w:t>
            </w:r>
            <w:r>
              <w:rPr>
                <w:sz w:val="24"/>
              </w:rPr>
              <w:t>。</w:t>
            </w:r>
          </w:p>
          <w:p>
            <w:pPr>
              <w:pStyle w:val="TableParagraph"/>
              <w:spacing w:line="223" w:lineRule="auto" w:before="2"/>
              <w:ind w:left="827" w:right="63" w:hanging="480"/>
              <w:jc w:val="both"/>
              <w:rPr>
                <w:sz w:val="24"/>
              </w:rPr>
            </w:pPr>
            <w:r>
              <w:rPr>
                <w:spacing w:val="23"/>
                <w:sz w:val="24"/>
              </w:rPr>
              <w:t>二、有法定代理人或</w:t>
            </w:r>
            <w:r>
              <w:rPr>
                <w:spacing w:val="30"/>
                <w:sz w:val="24"/>
              </w:rPr>
              <w:t>復審代理人者，</w:t>
            </w:r>
            <w:r>
              <w:rPr>
                <w:spacing w:val="-118"/>
                <w:sz w:val="24"/>
              </w:rPr>
              <w:t> </w:t>
            </w:r>
            <w:r>
              <w:rPr>
                <w:spacing w:val="33"/>
                <w:sz w:val="24"/>
              </w:rPr>
              <w:t>其姓名、出生年月日、住居所、國民身分證統一</w:t>
            </w:r>
            <w:r>
              <w:rPr>
                <w:spacing w:val="36"/>
                <w:sz w:val="24"/>
              </w:rPr>
              <w:t>編號</w:t>
            </w:r>
            <w:r>
              <w:rPr>
                <w:spacing w:val="32"/>
                <w:sz w:val="24"/>
                <w:u w:val="single"/>
              </w:rPr>
              <w:t>或身分證明</w:t>
            </w:r>
            <w:r>
              <w:rPr>
                <w:sz w:val="24"/>
                <w:u w:val="single"/>
              </w:rPr>
              <w:t>文件及字號</w:t>
            </w:r>
            <w:r>
              <w:rPr>
                <w:sz w:val="24"/>
              </w:rPr>
              <w:t>。</w:t>
            </w:r>
          </w:p>
          <w:p>
            <w:pPr>
              <w:pStyle w:val="TableParagraph"/>
              <w:spacing w:line="223" w:lineRule="auto"/>
              <w:ind w:left="827" w:right="63" w:hanging="480"/>
              <w:jc w:val="both"/>
              <w:rPr>
                <w:sz w:val="24"/>
              </w:rPr>
            </w:pPr>
            <w:r>
              <w:rPr>
                <w:spacing w:val="23"/>
                <w:sz w:val="24"/>
              </w:rPr>
              <w:t>三、主文、事實及理</w:t>
            </w:r>
            <w:r>
              <w:rPr>
                <w:spacing w:val="33"/>
                <w:sz w:val="24"/>
              </w:rPr>
              <w:t>由；其係不受理決定者，得不記</w:t>
            </w:r>
          </w:p>
          <w:p>
            <w:pPr>
              <w:pStyle w:val="TableParagraph"/>
              <w:spacing w:line="289" w:lineRule="exact"/>
              <w:ind w:left="827"/>
              <w:rPr>
                <w:sz w:val="24"/>
              </w:rPr>
            </w:pPr>
            <w:r>
              <w:rPr>
                <w:sz w:val="24"/>
              </w:rPr>
              <w:t>載事實。</w:t>
            </w:r>
          </w:p>
        </w:tc>
        <w:tc>
          <w:tcPr>
            <w:tcW w:w="3262" w:type="dxa"/>
          </w:tcPr>
          <w:p>
            <w:pPr>
              <w:pStyle w:val="TableParagraph"/>
              <w:spacing w:line="223" w:lineRule="auto" w:before="4"/>
              <w:ind w:right="100" w:hanging="240"/>
              <w:jc w:val="both"/>
              <w:rPr>
                <w:sz w:val="24"/>
              </w:rPr>
            </w:pPr>
            <w:r>
              <w:rPr>
                <w:spacing w:val="11"/>
                <w:sz w:val="24"/>
              </w:rPr>
              <w:t>第七十一條 復審決定書，</w:t>
            </w:r>
            <w:r>
              <w:rPr>
                <w:spacing w:val="-118"/>
                <w:sz w:val="24"/>
              </w:rPr>
              <w:t> </w:t>
            </w:r>
            <w:r>
              <w:rPr>
                <w:sz w:val="24"/>
              </w:rPr>
              <w:t>應載明下列事項：</w:t>
            </w:r>
          </w:p>
          <w:p>
            <w:pPr>
              <w:pStyle w:val="TableParagraph"/>
              <w:spacing w:line="223" w:lineRule="auto"/>
              <w:ind w:left="827" w:right="79" w:hanging="480"/>
              <w:jc w:val="both"/>
              <w:rPr>
                <w:sz w:val="24"/>
              </w:rPr>
            </w:pPr>
            <w:r>
              <w:rPr>
                <w:spacing w:val="15"/>
                <w:sz w:val="24"/>
              </w:rPr>
              <w:t>一、復審人之姓名、出生</w:t>
            </w:r>
            <w:r>
              <w:rPr>
                <w:spacing w:val="16"/>
                <w:sz w:val="24"/>
              </w:rPr>
              <w:t>年月日、服務機關、職稱、住居所、國民</w:t>
            </w:r>
            <w:r>
              <w:rPr>
                <w:sz w:val="24"/>
              </w:rPr>
              <w:t>身分證統一編號。</w:t>
            </w:r>
          </w:p>
          <w:p>
            <w:pPr>
              <w:pStyle w:val="TableParagraph"/>
              <w:spacing w:line="223" w:lineRule="auto" w:before="2"/>
              <w:ind w:left="827" w:right="79" w:hanging="480"/>
              <w:jc w:val="both"/>
              <w:rPr>
                <w:sz w:val="24"/>
              </w:rPr>
            </w:pPr>
            <w:r>
              <w:rPr>
                <w:spacing w:val="15"/>
                <w:sz w:val="24"/>
              </w:rPr>
              <w:t>二、有法定代理人或復審</w:t>
            </w:r>
            <w:r>
              <w:rPr>
                <w:spacing w:val="16"/>
                <w:sz w:val="24"/>
              </w:rPr>
              <w:t>代理人者，其姓名、出生年月日、住居所</w:t>
            </w:r>
          </w:p>
          <w:p>
            <w:pPr>
              <w:pStyle w:val="TableParagraph"/>
              <w:spacing w:line="223" w:lineRule="auto"/>
              <w:ind w:left="827" w:right="98"/>
              <w:jc w:val="both"/>
              <w:rPr>
                <w:sz w:val="24"/>
              </w:rPr>
            </w:pPr>
            <w:r>
              <w:rPr>
                <w:spacing w:val="16"/>
                <w:sz w:val="24"/>
              </w:rPr>
              <w:t>、國民身分證統一編</w:t>
            </w:r>
            <w:r>
              <w:rPr>
                <w:sz w:val="24"/>
              </w:rPr>
              <w:t>號。</w:t>
            </w:r>
          </w:p>
          <w:p>
            <w:pPr>
              <w:pStyle w:val="TableParagraph"/>
              <w:spacing w:line="223" w:lineRule="auto"/>
              <w:ind w:left="827" w:right="79" w:hanging="480"/>
              <w:jc w:val="both"/>
              <w:rPr>
                <w:sz w:val="24"/>
              </w:rPr>
            </w:pPr>
            <w:r>
              <w:rPr>
                <w:spacing w:val="15"/>
                <w:sz w:val="24"/>
              </w:rPr>
              <w:t>三、主文、事實及理由；</w:t>
            </w:r>
            <w:r>
              <w:rPr>
                <w:spacing w:val="-118"/>
                <w:sz w:val="24"/>
              </w:rPr>
              <w:t> </w:t>
            </w:r>
            <w:r>
              <w:rPr>
                <w:spacing w:val="16"/>
                <w:sz w:val="24"/>
              </w:rPr>
              <w:t>其係不受理決定者，</w:t>
            </w:r>
            <w:r>
              <w:rPr>
                <w:spacing w:val="-118"/>
                <w:sz w:val="24"/>
              </w:rPr>
              <w:t> </w:t>
            </w:r>
            <w:r>
              <w:rPr>
                <w:sz w:val="24"/>
              </w:rPr>
              <w:t>得不記載事實。</w:t>
            </w:r>
          </w:p>
          <w:p>
            <w:pPr>
              <w:pStyle w:val="TableParagraph"/>
              <w:spacing w:line="223" w:lineRule="auto"/>
              <w:ind w:left="345" w:right="262" w:firstLine="2"/>
              <w:rPr>
                <w:sz w:val="24"/>
              </w:rPr>
            </w:pPr>
            <w:r>
              <w:rPr>
                <w:spacing w:val="-1"/>
                <w:sz w:val="24"/>
              </w:rPr>
              <w:t>四、決定機關及其首長。</w:t>
            </w:r>
            <w:r>
              <w:rPr>
                <w:sz w:val="24"/>
              </w:rPr>
              <w:t>五、年、月、日。</w:t>
            </w:r>
          </w:p>
          <w:p>
            <w:pPr>
              <w:pStyle w:val="TableParagraph"/>
              <w:spacing w:line="223" w:lineRule="auto"/>
              <w:ind w:right="79" w:firstLine="480"/>
              <w:jc w:val="both"/>
              <w:rPr>
                <w:sz w:val="24"/>
              </w:rPr>
            </w:pPr>
            <w:r>
              <w:rPr>
                <w:spacing w:val="16"/>
                <w:sz w:val="24"/>
              </w:rPr>
              <w:t>復審決定書之正本應</w:t>
            </w:r>
            <w:r>
              <w:rPr>
                <w:spacing w:val="15"/>
                <w:sz w:val="24"/>
              </w:rPr>
              <w:t>於決定後十五日內送達復</w:t>
            </w:r>
            <w:r>
              <w:rPr>
                <w:sz w:val="24"/>
              </w:rPr>
              <w:t>審人及原處分機關。</w:t>
            </w:r>
          </w:p>
        </w:tc>
        <w:tc>
          <w:tcPr>
            <w:tcW w:w="3116" w:type="dxa"/>
          </w:tcPr>
          <w:p>
            <w:pPr>
              <w:pStyle w:val="TableParagraph"/>
              <w:spacing w:line="223" w:lineRule="auto" w:before="4"/>
              <w:ind w:left="105" w:right="96"/>
              <w:jc w:val="both"/>
              <w:rPr>
                <w:sz w:val="24"/>
              </w:rPr>
            </w:pPr>
            <w:r>
              <w:rPr>
                <w:sz w:val="24"/>
              </w:rPr>
              <w:t>為因應提起保障事件之當事人或其代理人可能為外籍人士或大陸地區人民，爰於第一項第一款及第二款復審決定書之應記載事項，增訂身分證明文件及字號之記載，</w:t>
            </w:r>
            <w:r>
              <w:rPr>
                <w:spacing w:val="-118"/>
                <w:sz w:val="24"/>
              </w:rPr>
              <w:t> </w:t>
            </w:r>
            <w:r>
              <w:rPr>
                <w:sz w:val="24"/>
              </w:rPr>
              <w:t>以符實需。</w:t>
            </w:r>
          </w:p>
        </w:tc>
      </w:tr>
    </w:tbl>
    <w:p>
      <w:pPr>
        <w:spacing w:after="0" w:line="223" w:lineRule="auto"/>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2185" w:hRule="atLeast"/>
        </w:trPr>
        <w:tc>
          <w:tcPr>
            <w:tcW w:w="2835" w:type="dxa"/>
          </w:tcPr>
          <w:p>
            <w:pPr>
              <w:pStyle w:val="TableParagraph"/>
              <w:spacing w:line="223" w:lineRule="auto" w:before="4"/>
              <w:ind w:left="827" w:right="101" w:hanging="480"/>
              <w:rPr>
                <w:sz w:val="24"/>
              </w:rPr>
            </w:pPr>
            <w:r>
              <w:rPr>
                <w:spacing w:val="23"/>
                <w:sz w:val="24"/>
              </w:rPr>
              <w:t>四、決定機關及其首</w:t>
            </w:r>
            <w:r>
              <w:rPr>
                <w:sz w:val="24"/>
              </w:rPr>
              <w:t>長。</w:t>
            </w:r>
          </w:p>
          <w:p>
            <w:pPr>
              <w:pStyle w:val="TableParagraph"/>
              <w:spacing w:line="307" w:lineRule="exact"/>
              <w:rPr>
                <w:sz w:val="24"/>
              </w:rPr>
            </w:pPr>
            <w:r>
              <w:rPr>
                <w:sz w:val="24"/>
              </w:rPr>
              <w:t>五、年、月、日。</w:t>
            </w:r>
          </w:p>
          <w:p>
            <w:pPr>
              <w:pStyle w:val="TableParagraph"/>
              <w:spacing w:line="223" w:lineRule="auto" w:before="5"/>
              <w:ind w:left="427" w:right="95" w:firstLine="479"/>
              <w:jc w:val="both"/>
              <w:rPr>
                <w:sz w:val="24"/>
              </w:rPr>
            </w:pPr>
            <w:r>
              <w:rPr>
                <w:spacing w:val="18"/>
                <w:sz w:val="24"/>
              </w:rPr>
              <w:t>復審決定書之正</w:t>
            </w:r>
            <w:r>
              <w:rPr>
                <w:spacing w:val="14"/>
                <w:sz w:val="24"/>
              </w:rPr>
              <w:t>本應於決定後十五日內送達復審人及原處</w:t>
            </w:r>
          </w:p>
          <w:p>
            <w:pPr>
              <w:pStyle w:val="TableParagraph"/>
              <w:spacing w:line="289" w:lineRule="exact"/>
              <w:ind w:left="427"/>
              <w:rPr>
                <w:sz w:val="24"/>
              </w:rPr>
            </w:pPr>
            <w:r>
              <w:rPr>
                <w:sz w:val="24"/>
              </w:rPr>
              <w:t>分機關。</w:t>
            </w:r>
          </w:p>
        </w:tc>
        <w:tc>
          <w:tcPr>
            <w:tcW w:w="3262" w:type="dxa"/>
          </w:tcPr>
          <w:p>
            <w:pPr>
              <w:pStyle w:val="TableParagraph"/>
              <w:ind w:left="0"/>
              <w:rPr>
                <w:rFonts w:ascii="Times New Roman"/>
                <w:sz w:val="22"/>
              </w:rPr>
            </w:pPr>
          </w:p>
        </w:tc>
        <w:tc>
          <w:tcPr>
            <w:tcW w:w="3116" w:type="dxa"/>
          </w:tcPr>
          <w:p>
            <w:pPr>
              <w:pStyle w:val="TableParagraph"/>
              <w:ind w:left="0"/>
              <w:rPr>
                <w:rFonts w:ascii="Times New Roman"/>
                <w:sz w:val="22"/>
              </w:rPr>
            </w:pPr>
          </w:p>
        </w:tc>
      </w:tr>
      <w:tr>
        <w:trPr>
          <w:trHeight w:val="2184" w:hRule="atLeast"/>
        </w:trPr>
        <w:tc>
          <w:tcPr>
            <w:tcW w:w="2835" w:type="dxa"/>
          </w:tcPr>
          <w:p>
            <w:pPr>
              <w:pStyle w:val="TableParagraph"/>
              <w:spacing w:line="223" w:lineRule="auto" w:before="4"/>
              <w:ind w:right="97" w:hanging="240"/>
              <w:jc w:val="both"/>
              <w:rPr>
                <w:sz w:val="24"/>
              </w:rPr>
            </w:pPr>
            <w:r>
              <w:rPr>
                <w:spacing w:val="18"/>
                <w:sz w:val="24"/>
              </w:rPr>
              <w:t>第七十四條 對於無復</w:t>
            </w:r>
            <w:r>
              <w:rPr>
                <w:spacing w:val="23"/>
                <w:sz w:val="24"/>
              </w:rPr>
              <w:t>審能力人為送達者，</w:t>
            </w:r>
            <w:r>
              <w:rPr>
                <w:spacing w:val="-118"/>
                <w:sz w:val="24"/>
              </w:rPr>
              <w:t> </w:t>
            </w:r>
            <w:r>
              <w:rPr>
                <w:spacing w:val="23"/>
                <w:sz w:val="24"/>
              </w:rPr>
              <w:t>應向其法定代理人為</w:t>
            </w:r>
            <w:r>
              <w:rPr>
                <w:sz w:val="24"/>
              </w:rPr>
              <w:t>之。</w:t>
            </w:r>
          </w:p>
          <w:p>
            <w:pPr>
              <w:pStyle w:val="TableParagraph"/>
              <w:spacing w:line="223" w:lineRule="auto"/>
              <w:ind w:right="63" w:firstLine="479"/>
              <w:rPr>
                <w:sz w:val="24"/>
              </w:rPr>
            </w:pPr>
            <w:r>
              <w:rPr>
                <w:spacing w:val="33"/>
                <w:sz w:val="24"/>
              </w:rPr>
              <w:t>法定代理人有二</w:t>
            </w:r>
            <w:r>
              <w:rPr>
                <w:spacing w:val="7"/>
                <w:sz w:val="24"/>
              </w:rPr>
              <w:t>人以上者， 送達得僅</w:t>
            </w:r>
          </w:p>
          <w:p>
            <w:pPr>
              <w:pStyle w:val="TableParagraph"/>
              <w:spacing w:line="287" w:lineRule="exact"/>
              <w:rPr>
                <w:sz w:val="24"/>
              </w:rPr>
            </w:pPr>
            <w:r>
              <w:rPr>
                <w:spacing w:val="-1"/>
                <w:sz w:val="24"/>
              </w:rPr>
              <w:t>向其中一人為</w:t>
            </w:r>
            <w:r>
              <w:rPr>
                <w:sz w:val="24"/>
                <w:u w:val="single"/>
              </w:rPr>
              <w:t>之</w:t>
            </w:r>
            <w:r>
              <w:rPr>
                <w:sz w:val="24"/>
              </w:rPr>
              <w:t>。</w:t>
            </w:r>
          </w:p>
        </w:tc>
        <w:tc>
          <w:tcPr>
            <w:tcW w:w="3262" w:type="dxa"/>
          </w:tcPr>
          <w:p>
            <w:pPr>
              <w:pStyle w:val="TableParagraph"/>
              <w:spacing w:line="223" w:lineRule="auto" w:before="4"/>
              <w:ind w:right="79" w:hanging="240"/>
              <w:jc w:val="both"/>
              <w:rPr>
                <w:sz w:val="24"/>
              </w:rPr>
            </w:pPr>
            <w:r>
              <w:rPr>
                <w:spacing w:val="12"/>
                <w:sz w:val="24"/>
              </w:rPr>
              <w:t>第七十四條 對於無復審能</w:t>
            </w:r>
            <w:r>
              <w:rPr>
                <w:spacing w:val="15"/>
                <w:sz w:val="24"/>
              </w:rPr>
              <w:t>力人為送達者，應向其法</w:t>
            </w:r>
            <w:r>
              <w:rPr>
                <w:sz w:val="24"/>
              </w:rPr>
              <w:t>定代理人為之。</w:t>
            </w:r>
          </w:p>
          <w:p>
            <w:pPr>
              <w:pStyle w:val="TableParagraph"/>
              <w:spacing w:line="223" w:lineRule="auto"/>
              <w:ind w:right="79" w:firstLine="480"/>
              <w:jc w:val="both"/>
              <w:rPr>
                <w:sz w:val="24"/>
              </w:rPr>
            </w:pPr>
            <w:r>
              <w:rPr>
                <w:spacing w:val="16"/>
                <w:sz w:val="24"/>
              </w:rPr>
              <w:t>法定代理人有二人以</w:t>
            </w:r>
            <w:r>
              <w:rPr>
                <w:spacing w:val="15"/>
                <w:sz w:val="24"/>
              </w:rPr>
              <w:t>上者，送達得僅向其中一</w:t>
            </w:r>
            <w:r>
              <w:rPr>
                <w:sz w:val="24"/>
              </w:rPr>
              <w:t>人為送達。</w:t>
            </w:r>
          </w:p>
        </w:tc>
        <w:tc>
          <w:tcPr>
            <w:tcW w:w="3116" w:type="dxa"/>
          </w:tcPr>
          <w:p>
            <w:pPr>
              <w:pStyle w:val="TableParagraph"/>
              <w:spacing w:line="323" w:lineRule="exact"/>
              <w:ind w:left="105"/>
              <w:rPr>
                <w:sz w:val="24"/>
              </w:rPr>
            </w:pPr>
            <w:r>
              <w:rPr>
                <w:sz w:val="24"/>
              </w:rPr>
              <w:t>第二項酌作文字修正。</w:t>
            </w:r>
          </w:p>
        </w:tc>
      </w:tr>
      <w:tr>
        <w:trPr>
          <w:trHeight w:val="4372" w:hRule="atLeast"/>
        </w:trPr>
        <w:tc>
          <w:tcPr>
            <w:tcW w:w="2835" w:type="dxa"/>
          </w:tcPr>
          <w:p>
            <w:pPr>
              <w:pStyle w:val="TableParagraph"/>
              <w:spacing w:line="223" w:lineRule="auto" w:before="4"/>
              <w:ind w:right="97" w:hanging="240"/>
              <w:jc w:val="both"/>
              <w:rPr>
                <w:sz w:val="24"/>
              </w:rPr>
            </w:pPr>
            <w:r>
              <w:rPr>
                <w:spacing w:val="18"/>
                <w:sz w:val="24"/>
              </w:rPr>
              <w:t>第七十七條 公務人員</w:t>
            </w:r>
            <w:r>
              <w:rPr>
                <w:spacing w:val="23"/>
                <w:sz w:val="24"/>
              </w:rPr>
              <w:t>對於服務機關所為之管理措施或有關工作條件之處置認為不當</w:t>
            </w:r>
          </w:p>
          <w:p>
            <w:pPr>
              <w:pStyle w:val="TableParagraph"/>
              <w:spacing w:line="223" w:lineRule="auto" w:before="2"/>
              <w:ind w:right="72"/>
              <w:jc w:val="both"/>
              <w:rPr>
                <w:sz w:val="24"/>
              </w:rPr>
            </w:pPr>
            <w:r>
              <w:rPr>
                <w:spacing w:val="11"/>
                <w:w w:val="95"/>
                <w:sz w:val="24"/>
              </w:rPr>
              <w:t>， 致影響其權益者，</w:t>
            </w:r>
            <w:r>
              <w:rPr>
                <w:spacing w:val="-111"/>
                <w:w w:val="95"/>
                <w:sz w:val="24"/>
              </w:rPr>
              <w:t> </w:t>
            </w:r>
            <w:r>
              <w:rPr>
                <w:spacing w:val="24"/>
                <w:sz w:val="24"/>
              </w:rPr>
              <w:t>得依本法提起申訴、</w:t>
            </w:r>
            <w:r>
              <w:rPr>
                <w:sz w:val="24"/>
              </w:rPr>
              <w:t>再申訴。</w:t>
            </w:r>
          </w:p>
          <w:p>
            <w:pPr>
              <w:pStyle w:val="TableParagraph"/>
              <w:spacing w:line="307" w:lineRule="exact"/>
              <w:ind w:left="827"/>
              <w:rPr>
                <w:sz w:val="24"/>
              </w:rPr>
            </w:pPr>
            <w:r>
              <w:rPr>
                <w:spacing w:val="36"/>
                <w:sz w:val="24"/>
              </w:rPr>
              <w:t>公務人員離職後</w:t>
            </w:r>
          </w:p>
          <w:p>
            <w:pPr>
              <w:pStyle w:val="TableParagraph"/>
              <w:spacing w:line="223" w:lineRule="auto" w:before="5"/>
              <w:ind w:right="101"/>
              <w:jc w:val="both"/>
              <w:rPr>
                <w:sz w:val="24"/>
              </w:rPr>
            </w:pPr>
            <w:r>
              <w:rPr>
                <w:spacing w:val="13"/>
                <w:w w:val="95"/>
                <w:sz w:val="24"/>
              </w:rPr>
              <w:t>， 接獲原服務機關之</w:t>
            </w:r>
            <w:r>
              <w:rPr>
                <w:spacing w:val="23"/>
                <w:sz w:val="24"/>
              </w:rPr>
              <w:t>管理措施或處置者，</w:t>
            </w:r>
            <w:r>
              <w:rPr>
                <w:spacing w:val="-118"/>
                <w:sz w:val="24"/>
              </w:rPr>
              <w:t> </w:t>
            </w:r>
            <w:r>
              <w:rPr>
                <w:spacing w:val="23"/>
                <w:sz w:val="24"/>
              </w:rPr>
              <w:t>亦得依前項規定提起</w:t>
            </w:r>
            <w:r>
              <w:rPr>
                <w:sz w:val="24"/>
              </w:rPr>
              <w:t>申訴、再申訴。</w:t>
            </w:r>
          </w:p>
        </w:tc>
        <w:tc>
          <w:tcPr>
            <w:tcW w:w="3262" w:type="dxa"/>
          </w:tcPr>
          <w:p>
            <w:pPr>
              <w:pStyle w:val="TableParagraph"/>
              <w:spacing w:line="223" w:lineRule="auto" w:before="4"/>
              <w:ind w:right="79" w:hanging="240"/>
              <w:jc w:val="both"/>
              <w:rPr>
                <w:sz w:val="24"/>
              </w:rPr>
            </w:pPr>
            <w:r>
              <w:rPr>
                <w:spacing w:val="12"/>
                <w:sz w:val="24"/>
              </w:rPr>
              <w:t>第七十七條 公務人員對於</w:t>
            </w:r>
            <w:r>
              <w:rPr>
                <w:spacing w:val="15"/>
                <w:sz w:val="24"/>
              </w:rPr>
              <w:t>服務機關所為之管理措施或有關工作條件之處置認為不當，致影響其權益者</w:t>
            </w:r>
          </w:p>
          <w:p>
            <w:pPr>
              <w:pStyle w:val="TableParagraph"/>
              <w:spacing w:line="223" w:lineRule="auto" w:before="2"/>
              <w:ind w:right="79"/>
              <w:rPr>
                <w:sz w:val="24"/>
              </w:rPr>
            </w:pPr>
            <w:r>
              <w:rPr>
                <w:spacing w:val="15"/>
                <w:sz w:val="24"/>
              </w:rPr>
              <w:t>，得依本法提起申訴、再</w:t>
            </w:r>
            <w:r>
              <w:rPr>
                <w:sz w:val="24"/>
              </w:rPr>
              <w:t>申訴。</w:t>
            </w:r>
          </w:p>
          <w:p>
            <w:pPr>
              <w:pStyle w:val="TableParagraph"/>
              <w:spacing w:line="223" w:lineRule="auto"/>
              <w:ind w:right="79" w:firstLine="480"/>
              <w:jc w:val="both"/>
              <w:rPr>
                <w:sz w:val="24"/>
              </w:rPr>
            </w:pPr>
            <w:r>
              <w:rPr>
                <w:spacing w:val="16"/>
                <w:w w:val="95"/>
                <w:sz w:val="24"/>
                <w:u w:val="single"/>
              </w:rPr>
              <w:t>公務人員提起申訴，</w:t>
            </w:r>
            <w:r>
              <w:rPr>
                <w:spacing w:val="-227"/>
                <w:w w:val="95"/>
                <w:sz w:val="24"/>
                <w:u w:val="single"/>
              </w:rPr>
              <w:t>應於</w:t>
            </w:r>
            <w:r>
              <w:rPr>
                <w:spacing w:val="15"/>
                <w:sz w:val="24"/>
                <w:u w:val="single"/>
              </w:rPr>
              <w:t>前項之管理措施或處置達</w:t>
            </w:r>
            <w:r>
              <w:rPr>
                <w:spacing w:val="11"/>
                <w:sz w:val="24"/>
                <w:u w:val="single"/>
              </w:rPr>
              <w:t>到之次日起三十日內為之</w:t>
            </w:r>
            <w:r>
              <w:rPr>
                <w:sz w:val="24"/>
                <w:u w:val="single"/>
              </w:rPr>
              <w:t>。</w:t>
            </w:r>
          </w:p>
          <w:p>
            <w:pPr>
              <w:pStyle w:val="TableParagraph"/>
              <w:spacing w:line="223" w:lineRule="auto"/>
              <w:ind w:right="79" w:firstLine="480"/>
              <w:jc w:val="both"/>
              <w:rPr>
                <w:sz w:val="24"/>
              </w:rPr>
            </w:pPr>
            <w:r>
              <w:rPr>
                <w:spacing w:val="7"/>
                <w:w w:val="95"/>
                <w:sz w:val="24"/>
              </w:rPr>
              <w:t>公務人員離職後， 接</w:t>
            </w:r>
            <w:r>
              <w:rPr>
                <w:spacing w:val="15"/>
                <w:sz w:val="24"/>
              </w:rPr>
              <w:t>獲原服務機關之管理措施或處置者，亦得依前</w:t>
            </w:r>
            <w:r>
              <w:rPr>
                <w:spacing w:val="16"/>
                <w:sz w:val="24"/>
                <w:u w:val="single"/>
              </w:rPr>
              <w:t>二</w:t>
            </w:r>
            <w:r>
              <w:rPr>
                <w:sz w:val="24"/>
              </w:rPr>
              <w:t>項</w:t>
            </w:r>
          </w:p>
          <w:p>
            <w:pPr>
              <w:pStyle w:val="TableParagraph"/>
              <w:spacing w:line="289" w:lineRule="exact"/>
              <w:rPr>
                <w:sz w:val="24"/>
              </w:rPr>
            </w:pPr>
            <w:r>
              <w:rPr>
                <w:sz w:val="24"/>
              </w:rPr>
              <w:t>規定提起申訴、再申訴。</w:t>
            </w:r>
          </w:p>
        </w:tc>
        <w:tc>
          <w:tcPr>
            <w:tcW w:w="3116" w:type="dxa"/>
          </w:tcPr>
          <w:p>
            <w:pPr>
              <w:pStyle w:val="TableParagraph"/>
              <w:spacing w:line="225" w:lineRule="auto" w:before="2"/>
              <w:ind w:left="621" w:right="96" w:hanging="516"/>
              <w:rPr>
                <w:sz w:val="24"/>
              </w:rPr>
            </w:pPr>
            <w:r>
              <w:rPr>
                <w:spacing w:val="20"/>
                <w:sz w:val="24"/>
              </w:rPr>
              <w:t>一、第二項移列第七十八</w:t>
            </w:r>
            <w:r>
              <w:rPr>
                <w:sz w:val="24"/>
              </w:rPr>
              <w:t>條第一項。</w:t>
            </w:r>
          </w:p>
          <w:p>
            <w:pPr>
              <w:pStyle w:val="TableParagraph"/>
              <w:spacing w:line="305" w:lineRule="exact"/>
              <w:ind w:left="105"/>
              <w:rPr>
                <w:sz w:val="24"/>
              </w:rPr>
            </w:pPr>
            <w:r>
              <w:rPr>
                <w:spacing w:val="20"/>
                <w:sz w:val="24"/>
              </w:rPr>
              <w:t>二、原第三項移列第二項</w:t>
            </w:r>
          </w:p>
          <w:p>
            <w:pPr>
              <w:pStyle w:val="TableParagraph"/>
              <w:spacing w:line="324" w:lineRule="exact"/>
              <w:ind w:left="621"/>
              <w:rPr>
                <w:sz w:val="24"/>
              </w:rPr>
            </w:pPr>
            <w:r>
              <w:rPr>
                <w:sz w:val="24"/>
              </w:rPr>
              <w:t>，並酌作文字修正。</w:t>
            </w:r>
          </w:p>
        </w:tc>
      </w:tr>
      <w:tr>
        <w:trPr>
          <w:trHeight w:val="4058" w:hRule="atLeast"/>
        </w:trPr>
        <w:tc>
          <w:tcPr>
            <w:tcW w:w="2835" w:type="dxa"/>
          </w:tcPr>
          <w:p>
            <w:pPr>
              <w:pStyle w:val="TableParagraph"/>
              <w:spacing w:line="223" w:lineRule="auto" w:before="4"/>
              <w:ind w:right="97" w:hanging="240"/>
              <w:jc w:val="both"/>
              <w:rPr>
                <w:sz w:val="24"/>
              </w:rPr>
            </w:pPr>
            <w:r>
              <w:rPr>
                <w:spacing w:val="21"/>
                <w:sz w:val="24"/>
              </w:rPr>
              <w:t>第七十八條 </w:t>
            </w:r>
            <w:r>
              <w:rPr>
                <w:spacing w:val="18"/>
                <w:sz w:val="24"/>
                <w:u w:val="single"/>
              </w:rPr>
              <w:t>申訴之提</w:t>
            </w:r>
            <w:r>
              <w:rPr>
                <w:spacing w:val="-220"/>
                <w:sz w:val="24"/>
                <w:u w:val="single"/>
              </w:rPr>
              <w:t>起</w:t>
            </w:r>
            <w:r>
              <w:rPr>
                <w:spacing w:val="17"/>
                <w:w w:val="95"/>
                <w:sz w:val="24"/>
                <w:u w:val="single"/>
              </w:rPr>
              <w:t>， 應於管理措施或有</w:t>
            </w:r>
            <w:r>
              <w:rPr>
                <w:spacing w:val="22"/>
                <w:sz w:val="24"/>
                <w:u w:val="single"/>
              </w:rPr>
              <w:t>關工作條件之處置達到之次日起三十日內</w:t>
            </w:r>
            <w:r>
              <w:rPr>
                <w:spacing w:val="-40"/>
                <w:w w:val="95"/>
                <w:sz w:val="24"/>
                <w:u w:val="single"/>
              </w:rPr>
              <w:t>， </w:t>
            </w:r>
            <w:r>
              <w:rPr>
                <w:spacing w:val="22"/>
                <w:w w:val="95"/>
                <w:sz w:val="24"/>
              </w:rPr>
              <w:t>向服務機關為之</w:t>
            </w:r>
          </w:p>
          <w:p>
            <w:pPr>
              <w:pStyle w:val="TableParagraph"/>
              <w:spacing w:line="223" w:lineRule="auto"/>
              <w:ind w:right="101"/>
              <w:jc w:val="both"/>
              <w:rPr>
                <w:sz w:val="24"/>
              </w:rPr>
            </w:pPr>
            <w:r>
              <w:rPr>
                <w:spacing w:val="23"/>
                <w:sz w:val="24"/>
              </w:rPr>
              <w:t>。不服服務機關函復</w:t>
            </w:r>
            <w:r>
              <w:rPr>
                <w:spacing w:val="13"/>
                <w:w w:val="95"/>
                <w:sz w:val="24"/>
              </w:rPr>
              <w:t>者， 得於復函送達之</w:t>
            </w:r>
            <w:r>
              <w:rPr>
                <w:spacing w:val="7"/>
                <w:sz w:val="24"/>
              </w:rPr>
              <w:t>次日起三十日內， 向</w:t>
            </w:r>
            <w:r>
              <w:rPr>
                <w:sz w:val="24"/>
              </w:rPr>
              <w:t>保訓會提起再申訴。</w:t>
            </w:r>
          </w:p>
          <w:p>
            <w:pPr>
              <w:pStyle w:val="TableParagraph"/>
              <w:spacing w:line="307" w:lineRule="exact"/>
              <w:ind w:left="827"/>
              <w:rPr>
                <w:sz w:val="24"/>
              </w:rPr>
            </w:pPr>
            <w:r>
              <w:rPr>
                <w:spacing w:val="36"/>
                <w:sz w:val="24"/>
              </w:rPr>
              <w:t>前項之服務機關</w:t>
            </w:r>
          </w:p>
          <w:p>
            <w:pPr>
              <w:pStyle w:val="TableParagraph"/>
              <w:spacing w:line="225" w:lineRule="auto" w:before="2"/>
              <w:ind w:right="101"/>
              <w:rPr>
                <w:sz w:val="24"/>
              </w:rPr>
            </w:pPr>
            <w:r>
              <w:rPr>
                <w:spacing w:val="13"/>
                <w:w w:val="95"/>
                <w:sz w:val="24"/>
              </w:rPr>
              <w:t>， 以管理措施或有關</w:t>
            </w:r>
            <w:r>
              <w:rPr>
                <w:spacing w:val="21"/>
                <w:sz w:val="24"/>
              </w:rPr>
              <w:t>工作條件之處置之權</w:t>
            </w:r>
          </w:p>
          <w:p>
            <w:pPr>
              <w:pStyle w:val="TableParagraph"/>
              <w:spacing w:line="285" w:lineRule="exact"/>
              <w:rPr>
                <w:sz w:val="24"/>
              </w:rPr>
            </w:pPr>
            <w:r>
              <w:rPr>
                <w:sz w:val="24"/>
              </w:rPr>
              <w:t>責處理機關為準。</w:t>
            </w:r>
          </w:p>
        </w:tc>
        <w:tc>
          <w:tcPr>
            <w:tcW w:w="3262" w:type="dxa"/>
          </w:tcPr>
          <w:p>
            <w:pPr>
              <w:pStyle w:val="TableParagraph"/>
              <w:spacing w:line="223" w:lineRule="auto" w:before="4"/>
              <w:ind w:right="79" w:hanging="240"/>
              <w:jc w:val="both"/>
              <w:rPr>
                <w:sz w:val="24"/>
              </w:rPr>
            </w:pPr>
            <w:r>
              <w:rPr>
                <w:spacing w:val="12"/>
                <w:sz w:val="24"/>
              </w:rPr>
              <w:t>第七十八條 提起申訴，應</w:t>
            </w:r>
            <w:r>
              <w:rPr>
                <w:spacing w:val="15"/>
                <w:sz w:val="24"/>
              </w:rPr>
              <w:t>向服務機關為之。不服服務機關函復者，得於復函送達之次日起三十日內，</w:t>
            </w:r>
            <w:r>
              <w:rPr>
                <w:spacing w:val="-118"/>
                <w:sz w:val="24"/>
              </w:rPr>
              <w:t> </w:t>
            </w:r>
            <w:r>
              <w:rPr>
                <w:sz w:val="24"/>
              </w:rPr>
              <w:t>向保訓會提起再申訴。</w:t>
            </w:r>
          </w:p>
          <w:p>
            <w:pPr>
              <w:pStyle w:val="TableParagraph"/>
              <w:spacing w:line="223" w:lineRule="auto"/>
              <w:ind w:right="79" w:firstLine="480"/>
              <w:jc w:val="both"/>
              <w:rPr>
                <w:sz w:val="24"/>
              </w:rPr>
            </w:pPr>
            <w:r>
              <w:rPr>
                <w:spacing w:val="7"/>
                <w:w w:val="95"/>
                <w:sz w:val="24"/>
              </w:rPr>
              <w:t>前項之服務機關， 以</w:t>
            </w:r>
            <w:r>
              <w:rPr>
                <w:spacing w:val="15"/>
                <w:sz w:val="24"/>
              </w:rPr>
              <w:t>管理措施或有關工作條件之處置之權責處理機關為</w:t>
            </w:r>
            <w:r>
              <w:rPr>
                <w:sz w:val="24"/>
              </w:rPr>
              <w:t>準。</w:t>
            </w:r>
          </w:p>
        </w:tc>
        <w:tc>
          <w:tcPr>
            <w:tcW w:w="3116" w:type="dxa"/>
          </w:tcPr>
          <w:p>
            <w:pPr>
              <w:pStyle w:val="TableParagraph"/>
              <w:spacing w:line="223" w:lineRule="auto" w:before="4"/>
              <w:ind w:left="105" w:right="94"/>
              <w:jc w:val="both"/>
              <w:rPr>
                <w:sz w:val="24"/>
              </w:rPr>
            </w:pPr>
            <w:r>
              <w:rPr>
                <w:sz w:val="24"/>
              </w:rPr>
              <w:t>將第七十七第二項之規定移列本條第一項規範，並酌作文字修正，俾使規範體例一致。</w:t>
            </w:r>
          </w:p>
        </w:tc>
      </w:tr>
    </w:tbl>
    <w:p>
      <w:pPr>
        <w:spacing w:after="0" w:line="223" w:lineRule="auto"/>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8429" w:hRule="atLeast"/>
        </w:trPr>
        <w:tc>
          <w:tcPr>
            <w:tcW w:w="2835" w:type="dxa"/>
          </w:tcPr>
          <w:p>
            <w:pPr>
              <w:pStyle w:val="TableParagraph"/>
              <w:spacing w:line="223" w:lineRule="auto" w:before="4"/>
              <w:ind w:right="97" w:hanging="240"/>
              <w:jc w:val="both"/>
              <w:rPr>
                <w:sz w:val="24"/>
              </w:rPr>
            </w:pPr>
            <w:r>
              <w:rPr>
                <w:spacing w:val="18"/>
                <w:sz w:val="24"/>
              </w:rPr>
              <w:t>第八十條 申訴應以書</w:t>
            </w:r>
            <w:r>
              <w:rPr>
                <w:spacing w:val="13"/>
                <w:w w:val="95"/>
                <w:sz w:val="24"/>
              </w:rPr>
              <w:t>面為之， 載明下列事項， 由申訴人或其代</w:t>
            </w:r>
            <w:r>
              <w:rPr>
                <w:sz w:val="24"/>
              </w:rPr>
              <w:t>理人簽名或蓋章：</w:t>
            </w:r>
          </w:p>
          <w:p>
            <w:pPr>
              <w:pStyle w:val="TableParagraph"/>
              <w:spacing w:line="223" w:lineRule="auto"/>
              <w:ind w:left="842" w:right="65" w:hanging="497"/>
              <w:jc w:val="both"/>
              <w:rPr>
                <w:sz w:val="24"/>
              </w:rPr>
            </w:pPr>
            <w:r>
              <w:rPr>
                <w:spacing w:val="23"/>
                <w:sz w:val="24"/>
              </w:rPr>
              <w:t>一、申訴人之姓名、</w:t>
            </w:r>
            <w:r>
              <w:rPr>
                <w:spacing w:val="33"/>
                <w:sz w:val="24"/>
              </w:rPr>
              <w:t>出生年月日、</w:t>
            </w:r>
            <w:r>
              <w:rPr>
                <w:spacing w:val="34"/>
                <w:sz w:val="24"/>
              </w:rPr>
              <w:t> </w:t>
            </w:r>
            <w:r>
              <w:rPr>
                <w:spacing w:val="29"/>
                <w:sz w:val="24"/>
              </w:rPr>
              <w:t>住居所、國民身</w:t>
            </w:r>
            <w:r>
              <w:rPr>
                <w:spacing w:val="33"/>
                <w:sz w:val="24"/>
              </w:rPr>
              <w:t>分證統一編號</w:t>
            </w:r>
            <w:r>
              <w:rPr>
                <w:spacing w:val="33"/>
                <w:sz w:val="24"/>
                <w:u w:val="single"/>
              </w:rPr>
              <w:t>或身分證明文件及字號</w:t>
            </w:r>
            <w:r>
              <w:rPr>
                <w:spacing w:val="33"/>
                <w:sz w:val="24"/>
              </w:rPr>
              <w:t>、服務機關、職稱、官職等。有代理人者，</w:t>
            </w:r>
            <w:r>
              <w:rPr>
                <w:spacing w:val="-118"/>
                <w:sz w:val="24"/>
              </w:rPr>
              <w:t> </w:t>
            </w:r>
            <w:r>
              <w:rPr>
                <w:spacing w:val="33"/>
                <w:sz w:val="24"/>
              </w:rPr>
              <w:t>其姓名、出生年月日、職業、住居所或事務所、國民身分證統一編號</w:t>
            </w:r>
            <w:r>
              <w:rPr>
                <w:spacing w:val="33"/>
                <w:sz w:val="24"/>
                <w:u w:val="single"/>
              </w:rPr>
              <w:t>或身分證明</w:t>
            </w:r>
            <w:r>
              <w:rPr>
                <w:spacing w:val="5"/>
                <w:sz w:val="24"/>
                <w:u w:val="single"/>
              </w:rPr>
              <w:t>文件及字號</w:t>
            </w:r>
            <w:r>
              <w:rPr>
                <w:sz w:val="24"/>
              </w:rPr>
              <w:t>。</w:t>
            </w:r>
          </w:p>
          <w:p>
            <w:pPr>
              <w:pStyle w:val="TableParagraph"/>
              <w:spacing w:line="223" w:lineRule="auto" w:before="1"/>
              <w:ind w:left="345" w:right="557"/>
              <w:rPr>
                <w:sz w:val="24"/>
              </w:rPr>
            </w:pPr>
            <w:r>
              <w:rPr>
                <w:sz w:val="24"/>
              </w:rPr>
              <w:t>二、請求事項。</w:t>
            </w:r>
            <w:r>
              <w:rPr>
                <w:spacing w:val="1"/>
                <w:sz w:val="24"/>
              </w:rPr>
              <w:t> </w:t>
            </w:r>
            <w:r>
              <w:rPr>
                <w:spacing w:val="-1"/>
                <w:sz w:val="24"/>
              </w:rPr>
              <w:t>三、事實及理由。</w:t>
            </w:r>
            <w:r>
              <w:rPr>
                <w:sz w:val="24"/>
              </w:rPr>
              <w:t>四、證據。</w:t>
            </w:r>
          </w:p>
          <w:p>
            <w:pPr>
              <w:pStyle w:val="TableParagraph"/>
              <w:spacing w:line="223" w:lineRule="auto" w:before="2"/>
              <w:ind w:left="842" w:right="65" w:hanging="497"/>
              <w:jc w:val="both"/>
              <w:rPr>
                <w:sz w:val="24"/>
              </w:rPr>
            </w:pPr>
            <w:r>
              <w:rPr>
                <w:spacing w:val="23"/>
                <w:sz w:val="24"/>
              </w:rPr>
              <w:t>五、管理措施或有關</w:t>
            </w:r>
            <w:r>
              <w:rPr>
                <w:spacing w:val="31"/>
                <w:sz w:val="24"/>
              </w:rPr>
              <w:t>工作條件之處置</w:t>
            </w:r>
            <w:r>
              <w:rPr>
                <w:sz w:val="24"/>
              </w:rPr>
              <w:t>達到之年月日。</w:t>
            </w:r>
          </w:p>
          <w:p>
            <w:pPr>
              <w:pStyle w:val="TableParagraph"/>
              <w:spacing w:line="223" w:lineRule="auto"/>
              <w:ind w:left="899" w:right="98" w:hanging="555"/>
              <w:jc w:val="both"/>
              <w:rPr>
                <w:sz w:val="24"/>
              </w:rPr>
            </w:pPr>
            <w:r>
              <w:rPr>
                <w:sz w:val="24"/>
              </w:rPr>
              <w:t>六、提起之年月日。前項規定， 於再</w:t>
            </w:r>
          </w:p>
          <w:p>
            <w:pPr>
              <w:pStyle w:val="TableParagraph"/>
              <w:spacing w:line="287" w:lineRule="exact"/>
              <w:rPr>
                <w:sz w:val="24"/>
              </w:rPr>
            </w:pPr>
            <w:r>
              <w:rPr>
                <w:sz w:val="24"/>
              </w:rPr>
              <w:t>申訴準用之。</w:t>
            </w:r>
          </w:p>
        </w:tc>
        <w:tc>
          <w:tcPr>
            <w:tcW w:w="3262" w:type="dxa"/>
          </w:tcPr>
          <w:p>
            <w:pPr>
              <w:pStyle w:val="TableParagraph"/>
              <w:spacing w:line="223" w:lineRule="auto" w:before="4"/>
              <w:ind w:right="79" w:hanging="240"/>
              <w:jc w:val="both"/>
              <w:rPr>
                <w:sz w:val="24"/>
              </w:rPr>
            </w:pPr>
            <w:r>
              <w:rPr>
                <w:spacing w:val="11"/>
                <w:sz w:val="24"/>
              </w:rPr>
              <w:t>第八十條 申訴應以書面為</w:t>
            </w:r>
            <w:r>
              <w:rPr>
                <w:spacing w:val="15"/>
                <w:sz w:val="24"/>
              </w:rPr>
              <w:t>之，載明下列事項，由申訴人或其代理人簽名或蓋</w:t>
            </w:r>
            <w:r>
              <w:rPr>
                <w:sz w:val="24"/>
              </w:rPr>
              <w:t>章：</w:t>
            </w:r>
          </w:p>
          <w:p>
            <w:pPr>
              <w:pStyle w:val="TableParagraph"/>
              <w:spacing w:line="223" w:lineRule="auto"/>
              <w:ind w:left="842" w:right="77" w:hanging="497"/>
              <w:jc w:val="both"/>
              <w:rPr>
                <w:sz w:val="24"/>
              </w:rPr>
            </w:pPr>
            <w:r>
              <w:rPr>
                <w:spacing w:val="15"/>
                <w:sz w:val="24"/>
              </w:rPr>
              <w:t>一、申訴人之姓名、出生</w:t>
            </w:r>
            <w:r>
              <w:rPr>
                <w:spacing w:val="19"/>
                <w:sz w:val="24"/>
              </w:rPr>
              <w:t>年月日</w:t>
            </w:r>
            <w:r>
              <w:rPr>
                <w:spacing w:val="18"/>
                <w:sz w:val="24"/>
                <w:u w:val="single"/>
              </w:rPr>
              <w:t>、性別</w:t>
            </w:r>
            <w:r>
              <w:rPr>
                <w:spacing w:val="12"/>
                <w:sz w:val="24"/>
              </w:rPr>
              <w:t>、住居</w:t>
            </w:r>
            <w:r>
              <w:rPr>
                <w:spacing w:val="15"/>
                <w:sz w:val="24"/>
              </w:rPr>
              <w:t>所、國民身分證統一編號、服務機關、職稱、官職等。有代理人者，其姓名、出生</w:t>
            </w:r>
            <w:r>
              <w:rPr>
                <w:spacing w:val="19"/>
                <w:sz w:val="24"/>
              </w:rPr>
              <w:t>年月日</w:t>
            </w:r>
            <w:r>
              <w:rPr>
                <w:spacing w:val="18"/>
                <w:sz w:val="24"/>
                <w:u w:val="single"/>
              </w:rPr>
              <w:t>、性別</w:t>
            </w:r>
            <w:r>
              <w:rPr>
                <w:spacing w:val="12"/>
                <w:sz w:val="24"/>
              </w:rPr>
              <w:t>、職業</w:t>
            </w:r>
          </w:p>
          <w:p>
            <w:pPr>
              <w:pStyle w:val="TableParagraph"/>
              <w:spacing w:line="223" w:lineRule="auto" w:before="1"/>
              <w:ind w:left="842" w:right="98"/>
              <w:jc w:val="both"/>
              <w:rPr>
                <w:sz w:val="24"/>
              </w:rPr>
            </w:pPr>
            <w:r>
              <w:rPr>
                <w:spacing w:val="15"/>
                <w:sz w:val="24"/>
              </w:rPr>
              <w:t>、住居所或事務所、</w:t>
            </w:r>
            <w:r>
              <w:rPr>
                <w:spacing w:val="14"/>
                <w:sz w:val="24"/>
              </w:rPr>
              <w:t>國民身分證統一編號</w:t>
            </w:r>
          </w:p>
          <w:p>
            <w:pPr>
              <w:pStyle w:val="TableParagraph"/>
              <w:spacing w:line="307" w:lineRule="exact"/>
              <w:ind w:left="842"/>
              <w:rPr>
                <w:sz w:val="24"/>
              </w:rPr>
            </w:pPr>
            <w:r>
              <w:rPr>
                <w:sz w:val="24"/>
              </w:rPr>
              <w:t>。</w:t>
            </w:r>
          </w:p>
          <w:p>
            <w:pPr>
              <w:pStyle w:val="TableParagraph"/>
              <w:spacing w:line="223" w:lineRule="auto" w:before="5"/>
              <w:ind w:left="345" w:right="984"/>
              <w:rPr>
                <w:sz w:val="24"/>
              </w:rPr>
            </w:pPr>
            <w:r>
              <w:rPr>
                <w:sz w:val="24"/>
              </w:rPr>
              <w:t>二、請求事項。</w:t>
            </w:r>
            <w:r>
              <w:rPr>
                <w:spacing w:val="1"/>
                <w:sz w:val="24"/>
              </w:rPr>
              <w:t> </w:t>
            </w:r>
            <w:r>
              <w:rPr>
                <w:spacing w:val="-1"/>
                <w:sz w:val="24"/>
              </w:rPr>
              <w:t>三、事實及理由。</w:t>
            </w:r>
            <w:r>
              <w:rPr>
                <w:sz w:val="24"/>
              </w:rPr>
              <w:t>四、證據。</w:t>
            </w:r>
          </w:p>
          <w:p>
            <w:pPr>
              <w:pStyle w:val="TableParagraph"/>
              <w:spacing w:line="223" w:lineRule="auto"/>
              <w:ind w:left="842" w:right="82" w:hanging="497"/>
              <w:jc w:val="both"/>
              <w:rPr>
                <w:sz w:val="24"/>
              </w:rPr>
            </w:pPr>
            <w:r>
              <w:rPr>
                <w:spacing w:val="15"/>
                <w:sz w:val="24"/>
              </w:rPr>
              <w:t>五、管理措施或有關工作條件之處置達到之年</w:t>
            </w:r>
            <w:r>
              <w:rPr>
                <w:sz w:val="24"/>
              </w:rPr>
              <w:t>月日。</w:t>
            </w:r>
          </w:p>
          <w:p>
            <w:pPr>
              <w:pStyle w:val="TableParagraph"/>
              <w:spacing w:line="309" w:lineRule="exact"/>
              <w:ind w:left="345"/>
              <w:rPr>
                <w:sz w:val="24"/>
              </w:rPr>
            </w:pPr>
            <w:r>
              <w:rPr>
                <w:sz w:val="24"/>
              </w:rPr>
              <w:t>六、提起之年月日。</w:t>
            </w:r>
          </w:p>
          <w:p>
            <w:pPr>
              <w:pStyle w:val="TableParagraph"/>
              <w:tabs>
                <w:tab w:pos="827" w:val="left" w:leader="none"/>
              </w:tabs>
              <w:spacing w:line="223" w:lineRule="auto" w:before="5"/>
              <w:ind w:right="102" w:firstLine="523"/>
              <w:rPr>
                <w:sz w:val="24"/>
              </w:rPr>
            </w:pPr>
            <w:r>
              <w:rPr>
                <w:spacing w:val="14"/>
                <w:sz w:val="24"/>
              </w:rPr>
              <w:t>前項規定，</w:t>
            </w:r>
            <w:r>
              <w:rPr>
                <w:spacing w:val="15"/>
                <w:sz w:val="24"/>
              </w:rPr>
              <w:t>於</w:t>
            </w:r>
            <w:r>
              <w:rPr>
                <w:spacing w:val="14"/>
                <w:sz w:val="24"/>
              </w:rPr>
              <w:t>再申</w:t>
            </w:r>
            <w:r>
              <w:rPr>
                <w:sz w:val="24"/>
              </w:rPr>
              <w:t>訴準</w:t>
              <w:tab/>
              <w:t>用之。</w:t>
            </w:r>
          </w:p>
        </w:tc>
        <w:tc>
          <w:tcPr>
            <w:tcW w:w="3116" w:type="dxa"/>
          </w:tcPr>
          <w:p>
            <w:pPr>
              <w:pStyle w:val="TableParagraph"/>
              <w:spacing w:line="223" w:lineRule="auto" w:before="4"/>
              <w:ind w:left="609" w:right="103" w:hanging="504"/>
              <w:jc w:val="both"/>
              <w:rPr>
                <w:sz w:val="24"/>
              </w:rPr>
            </w:pPr>
            <w:r>
              <w:rPr>
                <w:spacing w:val="7"/>
                <w:sz w:val="24"/>
              </w:rPr>
              <w:t>一、保障事件之審理， 本</w:t>
            </w:r>
            <w:r>
              <w:rPr>
                <w:spacing w:val="24"/>
                <w:sz w:val="24"/>
              </w:rPr>
              <w:t>不因當事人之性別而</w:t>
            </w:r>
            <w:r>
              <w:rPr>
                <w:spacing w:val="7"/>
                <w:sz w:val="24"/>
              </w:rPr>
              <w:t>為差別待遇， 為避免</w:t>
            </w:r>
            <w:r>
              <w:rPr>
                <w:spacing w:val="24"/>
                <w:sz w:val="24"/>
              </w:rPr>
              <w:t>落入傳統性別區分之</w:t>
            </w:r>
            <w:r>
              <w:rPr>
                <w:spacing w:val="7"/>
                <w:sz w:val="24"/>
              </w:rPr>
              <w:t>刻版印象， 並尊重多元性別傾向， 第一項</w:t>
            </w:r>
            <w:r>
              <w:rPr>
                <w:spacing w:val="24"/>
                <w:sz w:val="24"/>
              </w:rPr>
              <w:t>第一款爰參酌訴願法</w:t>
            </w:r>
            <w:r>
              <w:rPr>
                <w:spacing w:val="8"/>
                <w:sz w:val="24"/>
              </w:rPr>
              <w:t>第五十六條規定， 刪</w:t>
            </w:r>
            <w:r>
              <w:rPr>
                <w:spacing w:val="24"/>
                <w:sz w:val="24"/>
              </w:rPr>
              <w:t>除申訴書應載明申訴人及代理人之性別之</w:t>
            </w:r>
            <w:r>
              <w:rPr>
                <w:sz w:val="24"/>
              </w:rPr>
              <w:t>規定。</w:t>
            </w:r>
          </w:p>
          <w:p>
            <w:pPr>
              <w:pStyle w:val="TableParagraph"/>
              <w:spacing w:line="223" w:lineRule="auto" w:before="1"/>
              <w:ind w:left="609" w:right="103" w:hanging="504"/>
              <w:jc w:val="both"/>
              <w:rPr>
                <w:sz w:val="24"/>
              </w:rPr>
            </w:pPr>
            <w:r>
              <w:rPr>
                <w:spacing w:val="20"/>
                <w:sz w:val="24"/>
              </w:rPr>
              <w:t>二、另為因應提起保障事</w:t>
            </w:r>
            <w:r>
              <w:rPr>
                <w:spacing w:val="24"/>
                <w:sz w:val="24"/>
              </w:rPr>
              <w:t>件之當事人或其代理人可能為外籍人士或</w:t>
            </w:r>
            <w:r>
              <w:rPr>
                <w:spacing w:val="8"/>
                <w:sz w:val="24"/>
              </w:rPr>
              <w:t>大陸地區人民， 爰於</w:t>
            </w:r>
            <w:r>
              <w:rPr>
                <w:spacing w:val="24"/>
                <w:sz w:val="24"/>
              </w:rPr>
              <w:t>第一項第一款申訴書</w:t>
            </w:r>
            <w:r>
              <w:rPr>
                <w:spacing w:val="8"/>
                <w:sz w:val="24"/>
              </w:rPr>
              <w:t>之應記載事項， 增訂</w:t>
            </w:r>
            <w:r>
              <w:rPr>
                <w:spacing w:val="24"/>
                <w:sz w:val="24"/>
              </w:rPr>
              <w:t>身分證明文件及字號</w:t>
            </w:r>
            <w:r>
              <w:rPr>
                <w:sz w:val="24"/>
              </w:rPr>
              <w:t>之記載，以符實需。</w:t>
            </w:r>
          </w:p>
        </w:tc>
      </w:tr>
      <w:tr>
        <w:trPr>
          <w:trHeight w:val="4996" w:hRule="atLeast"/>
        </w:trPr>
        <w:tc>
          <w:tcPr>
            <w:tcW w:w="2835" w:type="dxa"/>
          </w:tcPr>
          <w:p>
            <w:pPr>
              <w:pStyle w:val="TableParagraph"/>
              <w:spacing w:line="223" w:lineRule="auto" w:before="4"/>
              <w:ind w:right="97" w:hanging="240"/>
              <w:jc w:val="both"/>
              <w:rPr>
                <w:sz w:val="24"/>
              </w:rPr>
            </w:pPr>
            <w:r>
              <w:rPr>
                <w:spacing w:val="17"/>
                <w:sz w:val="24"/>
              </w:rPr>
              <w:t>第八十三條 再申訴決</w:t>
            </w:r>
            <w:r>
              <w:rPr>
                <w:spacing w:val="13"/>
                <w:w w:val="95"/>
                <w:sz w:val="24"/>
              </w:rPr>
              <w:t>定書， 應載明下列事</w:t>
            </w:r>
            <w:r>
              <w:rPr>
                <w:sz w:val="24"/>
              </w:rPr>
              <w:t>項：</w:t>
            </w:r>
          </w:p>
          <w:p>
            <w:pPr>
              <w:pStyle w:val="TableParagraph"/>
              <w:spacing w:line="309" w:lineRule="exact"/>
              <w:ind w:left="345"/>
              <w:rPr>
                <w:sz w:val="24"/>
              </w:rPr>
            </w:pPr>
            <w:r>
              <w:rPr>
                <w:spacing w:val="23"/>
                <w:sz w:val="24"/>
              </w:rPr>
              <w:t>一、再申訴人之姓名</w:t>
            </w:r>
          </w:p>
          <w:p>
            <w:pPr>
              <w:pStyle w:val="TableParagraph"/>
              <w:spacing w:line="223" w:lineRule="auto" w:before="5"/>
              <w:ind w:left="842" w:right="65"/>
              <w:rPr>
                <w:sz w:val="24"/>
              </w:rPr>
            </w:pPr>
            <w:r>
              <w:rPr>
                <w:spacing w:val="31"/>
                <w:sz w:val="24"/>
              </w:rPr>
              <w:t>、出生年月日、服務機關及職稱</w:t>
            </w:r>
          </w:p>
          <w:p>
            <w:pPr>
              <w:pStyle w:val="TableParagraph"/>
              <w:spacing w:line="223" w:lineRule="auto"/>
              <w:ind w:left="842" w:right="65"/>
              <w:jc w:val="both"/>
              <w:rPr>
                <w:sz w:val="24"/>
              </w:rPr>
            </w:pPr>
            <w:r>
              <w:rPr>
                <w:spacing w:val="31"/>
                <w:sz w:val="24"/>
              </w:rPr>
              <w:t>、住居所、國民身分證統一編號</w:t>
            </w:r>
            <w:r>
              <w:rPr>
                <w:spacing w:val="31"/>
                <w:sz w:val="24"/>
                <w:u w:val="single"/>
              </w:rPr>
              <w:t>或身分證明文件</w:t>
            </w:r>
            <w:r>
              <w:rPr>
                <w:sz w:val="24"/>
                <w:u w:val="single"/>
              </w:rPr>
              <w:t>及字號。</w:t>
            </w:r>
          </w:p>
          <w:p>
            <w:pPr>
              <w:pStyle w:val="TableParagraph"/>
              <w:spacing w:line="223" w:lineRule="auto"/>
              <w:ind w:left="842" w:right="65" w:hanging="497"/>
              <w:jc w:val="both"/>
              <w:rPr>
                <w:sz w:val="24"/>
              </w:rPr>
            </w:pPr>
            <w:r>
              <w:rPr>
                <w:spacing w:val="23"/>
                <w:sz w:val="24"/>
              </w:rPr>
              <w:t>二、有再申訴代理人</w:t>
            </w:r>
            <w:r>
              <w:rPr>
                <w:spacing w:val="31"/>
                <w:sz w:val="24"/>
              </w:rPr>
              <w:t>者，其姓名、出生年月日、住居所、國民身分證</w:t>
            </w:r>
            <w:r>
              <w:rPr>
                <w:spacing w:val="33"/>
                <w:sz w:val="24"/>
              </w:rPr>
              <w:t>統一編號</w:t>
            </w:r>
            <w:r>
              <w:rPr>
                <w:spacing w:val="28"/>
                <w:sz w:val="24"/>
                <w:u w:val="single"/>
              </w:rPr>
              <w:t>或身分</w:t>
            </w:r>
          </w:p>
          <w:p>
            <w:pPr>
              <w:pStyle w:val="TableParagraph"/>
              <w:spacing w:line="289" w:lineRule="exact"/>
              <w:ind w:left="842"/>
              <w:rPr>
                <w:sz w:val="24"/>
              </w:rPr>
            </w:pPr>
            <w:r>
              <w:rPr>
                <w:spacing w:val="33"/>
                <w:sz w:val="24"/>
                <w:u w:val="single"/>
              </w:rPr>
              <w:t>證明文件及字號</w:t>
            </w:r>
          </w:p>
        </w:tc>
        <w:tc>
          <w:tcPr>
            <w:tcW w:w="3262" w:type="dxa"/>
          </w:tcPr>
          <w:p>
            <w:pPr>
              <w:pStyle w:val="TableParagraph"/>
              <w:tabs>
                <w:tab w:pos="1691" w:val="left" w:leader="none"/>
              </w:tabs>
              <w:spacing w:line="312" w:lineRule="exact"/>
              <w:ind w:left="107"/>
              <w:rPr>
                <w:sz w:val="24"/>
              </w:rPr>
            </w:pPr>
            <w:r>
              <w:rPr>
                <w:sz w:val="24"/>
              </w:rPr>
              <w:t>第八十三條</w:t>
              <w:tab/>
              <w:t>再申訴決定書</w:t>
            </w:r>
          </w:p>
          <w:p>
            <w:pPr>
              <w:pStyle w:val="TableParagraph"/>
              <w:spacing w:line="312" w:lineRule="exact"/>
              <w:rPr>
                <w:sz w:val="24"/>
              </w:rPr>
            </w:pPr>
            <w:r>
              <w:rPr>
                <w:sz w:val="24"/>
              </w:rPr>
              <w:t>，應載明下列事項：</w:t>
            </w:r>
          </w:p>
          <w:p>
            <w:pPr>
              <w:pStyle w:val="TableParagraph"/>
              <w:spacing w:line="223" w:lineRule="auto" w:before="5"/>
              <w:ind w:left="842" w:right="82" w:hanging="497"/>
              <w:jc w:val="both"/>
              <w:rPr>
                <w:sz w:val="24"/>
              </w:rPr>
            </w:pPr>
            <w:r>
              <w:rPr>
                <w:spacing w:val="15"/>
                <w:sz w:val="24"/>
              </w:rPr>
              <w:t>一、再申訴人之姓名、出生年月日、服務機關及職稱、住居所、國</w:t>
            </w:r>
            <w:r>
              <w:rPr>
                <w:sz w:val="24"/>
              </w:rPr>
              <w:t>民身分證統一編號。</w:t>
            </w:r>
          </w:p>
          <w:p>
            <w:pPr>
              <w:pStyle w:val="TableParagraph"/>
              <w:spacing w:line="223" w:lineRule="auto" w:before="2"/>
              <w:ind w:left="842" w:right="82" w:hanging="497"/>
              <w:jc w:val="both"/>
              <w:rPr>
                <w:sz w:val="24"/>
              </w:rPr>
            </w:pPr>
            <w:r>
              <w:rPr>
                <w:spacing w:val="15"/>
                <w:sz w:val="24"/>
              </w:rPr>
              <w:t>二、有再申訴代理人者，</w:t>
            </w:r>
            <w:r>
              <w:rPr>
                <w:spacing w:val="-118"/>
                <w:sz w:val="24"/>
              </w:rPr>
              <w:t> </w:t>
            </w:r>
            <w:r>
              <w:rPr>
                <w:spacing w:val="15"/>
                <w:sz w:val="24"/>
              </w:rPr>
              <w:t>其姓名、出生年月日</w:t>
            </w:r>
          </w:p>
          <w:p>
            <w:pPr>
              <w:pStyle w:val="TableParagraph"/>
              <w:spacing w:line="223" w:lineRule="auto"/>
              <w:ind w:left="842" w:right="98"/>
              <w:jc w:val="both"/>
              <w:rPr>
                <w:sz w:val="24"/>
              </w:rPr>
            </w:pPr>
            <w:r>
              <w:rPr>
                <w:spacing w:val="15"/>
                <w:sz w:val="24"/>
              </w:rPr>
              <w:t>、住居所、國民身分</w:t>
            </w:r>
            <w:r>
              <w:rPr>
                <w:sz w:val="24"/>
              </w:rPr>
              <w:t>證統一編號。</w:t>
            </w:r>
          </w:p>
          <w:p>
            <w:pPr>
              <w:pStyle w:val="TableParagraph"/>
              <w:spacing w:line="223" w:lineRule="auto"/>
              <w:ind w:left="842" w:right="82" w:hanging="497"/>
              <w:jc w:val="both"/>
              <w:rPr>
                <w:sz w:val="24"/>
              </w:rPr>
            </w:pPr>
            <w:r>
              <w:rPr>
                <w:spacing w:val="15"/>
                <w:sz w:val="24"/>
              </w:rPr>
              <w:t>三、主文、事實及理由；</w:t>
            </w:r>
            <w:r>
              <w:rPr>
                <w:spacing w:val="-118"/>
                <w:sz w:val="24"/>
              </w:rPr>
              <w:t> </w:t>
            </w:r>
            <w:r>
              <w:rPr>
                <w:spacing w:val="15"/>
                <w:sz w:val="24"/>
              </w:rPr>
              <w:t>其係不受理決定者，</w:t>
            </w:r>
            <w:r>
              <w:rPr>
                <w:spacing w:val="-118"/>
                <w:sz w:val="24"/>
              </w:rPr>
              <w:t> </w:t>
            </w:r>
            <w:r>
              <w:rPr>
                <w:sz w:val="24"/>
              </w:rPr>
              <w:t>得不記載事實。</w:t>
            </w:r>
          </w:p>
          <w:p>
            <w:pPr>
              <w:pStyle w:val="TableParagraph"/>
              <w:spacing w:line="223" w:lineRule="auto"/>
              <w:ind w:left="333" w:right="264" w:firstLine="12"/>
              <w:rPr>
                <w:sz w:val="24"/>
              </w:rPr>
            </w:pPr>
            <w:r>
              <w:rPr>
                <w:spacing w:val="-1"/>
                <w:sz w:val="24"/>
              </w:rPr>
              <w:t>四、決定機關及其首長。</w:t>
            </w:r>
            <w:r>
              <w:rPr>
                <w:sz w:val="24"/>
              </w:rPr>
              <w:t>五、年、月、日。</w:t>
            </w:r>
          </w:p>
          <w:p>
            <w:pPr>
              <w:pStyle w:val="TableParagraph"/>
              <w:spacing w:line="289" w:lineRule="exact"/>
              <w:ind w:left="345"/>
              <w:rPr>
                <w:sz w:val="24"/>
              </w:rPr>
            </w:pPr>
            <w:r>
              <w:rPr>
                <w:spacing w:val="15"/>
                <w:sz w:val="24"/>
              </w:rPr>
              <w:t>六、附記對於保訓會所為</w:t>
            </w:r>
          </w:p>
        </w:tc>
        <w:tc>
          <w:tcPr>
            <w:tcW w:w="3116" w:type="dxa"/>
          </w:tcPr>
          <w:p>
            <w:pPr>
              <w:pStyle w:val="TableParagraph"/>
              <w:spacing w:line="223" w:lineRule="auto" w:before="4"/>
              <w:ind w:left="105" w:right="96"/>
              <w:jc w:val="both"/>
              <w:rPr>
                <w:sz w:val="24"/>
              </w:rPr>
            </w:pPr>
            <w:r>
              <w:rPr>
                <w:sz w:val="24"/>
              </w:rPr>
              <w:t>為因應提起保障事件之當事人或其代理人可能為外籍人士或大陸地區人民，爰於第一款及第二款再申訴決定書之應記載事項，增訂身分證明文件及字號之記載，以符實需。</w:t>
            </w:r>
          </w:p>
        </w:tc>
      </w:tr>
    </w:tbl>
    <w:p>
      <w:pPr>
        <w:spacing w:after="0" w:line="223" w:lineRule="auto"/>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746" w:hRule="atLeast"/>
        </w:trPr>
        <w:tc>
          <w:tcPr>
            <w:tcW w:w="2835" w:type="dxa"/>
          </w:tcPr>
          <w:p>
            <w:pPr>
              <w:pStyle w:val="TableParagraph"/>
              <w:spacing w:line="312" w:lineRule="exact"/>
              <w:ind w:left="842"/>
              <w:rPr>
                <w:sz w:val="24"/>
              </w:rPr>
            </w:pPr>
            <w:r>
              <w:rPr>
                <w:sz w:val="24"/>
                <w:u w:val="single"/>
              </w:rPr>
              <w:t>。</w:t>
            </w:r>
          </w:p>
          <w:p>
            <w:pPr>
              <w:pStyle w:val="TableParagraph"/>
              <w:spacing w:line="223" w:lineRule="auto" w:before="5"/>
              <w:ind w:left="842" w:right="65" w:hanging="497"/>
              <w:jc w:val="both"/>
              <w:rPr>
                <w:sz w:val="24"/>
              </w:rPr>
            </w:pPr>
            <w:r>
              <w:rPr>
                <w:spacing w:val="23"/>
                <w:sz w:val="24"/>
              </w:rPr>
              <w:t>三、主文、事實及理</w:t>
            </w:r>
            <w:r>
              <w:rPr>
                <w:spacing w:val="31"/>
                <w:sz w:val="24"/>
              </w:rPr>
              <w:t>由；其係不受理決定者，得不記</w:t>
            </w:r>
            <w:r>
              <w:rPr>
                <w:sz w:val="24"/>
              </w:rPr>
              <w:t>載事實。</w:t>
            </w:r>
          </w:p>
          <w:p>
            <w:pPr>
              <w:pStyle w:val="TableParagraph"/>
              <w:spacing w:line="223" w:lineRule="auto"/>
              <w:ind w:left="842" w:right="96" w:hanging="497"/>
              <w:jc w:val="both"/>
              <w:rPr>
                <w:sz w:val="24"/>
              </w:rPr>
            </w:pPr>
            <w:r>
              <w:rPr>
                <w:spacing w:val="23"/>
                <w:sz w:val="24"/>
              </w:rPr>
              <w:t>四、決定機關及其首</w:t>
            </w:r>
            <w:r>
              <w:rPr>
                <w:sz w:val="24"/>
              </w:rPr>
              <w:t>長。</w:t>
            </w:r>
          </w:p>
          <w:p>
            <w:pPr>
              <w:pStyle w:val="TableParagraph"/>
              <w:spacing w:line="309" w:lineRule="exact"/>
              <w:ind w:left="333"/>
              <w:rPr>
                <w:sz w:val="24"/>
              </w:rPr>
            </w:pPr>
            <w:r>
              <w:rPr>
                <w:sz w:val="24"/>
              </w:rPr>
              <w:t>五、年、月、日。</w:t>
            </w:r>
          </w:p>
          <w:p>
            <w:pPr>
              <w:pStyle w:val="TableParagraph"/>
              <w:spacing w:line="223" w:lineRule="auto" w:before="4"/>
              <w:ind w:left="842" w:right="65" w:hanging="497"/>
              <w:jc w:val="both"/>
              <w:rPr>
                <w:sz w:val="24"/>
              </w:rPr>
            </w:pPr>
            <w:r>
              <w:rPr>
                <w:spacing w:val="23"/>
                <w:sz w:val="24"/>
              </w:rPr>
              <w:t>六、附記對於保訓會</w:t>
            </w:r>
            <w:r>
              <w:rPr>
                <w:spacing w:val="31"/>
                <w:sz w:val="24"/>
              </w:rPr>
              <w:t>所為再申訴之決定不得以同一事</w:t>
            </w:r>
          </w:p>
          <w:p>
            <w:pPr>
              <w:pStyle w:val="TableParagraph"/>
              <w:spacing w:line="287" w:lineRule="exact"/>
              <w:ind w:left="842"/>
              <w:rPr>
                <w:sz w:val="24"/>
              </w:rPr>
            </w:pPr>
            <w:r>
              <w:rPr>
                <w:sz w:val="24"/>
              </w:rPr>
              <w:t>由復提再申訴。</w:t>
            </w:r>
          </w:p>
        </w:tc>
        <w:tc>
          <w:tcPr>
            <w:tcW w:w="3262" w:type="dxa"/>
          </w:tcPr>
          <w:p>
            <w:pPr>
              <w:pStyle w:val="TableParagraph"/>
              <w:spacing w:line="223" w:lineRule="auto" w:before="4"/>
              <w:ind w:left="842" w:right="98"/>
              <w:rPr>
                <w:sz w:val="24"/>
              </w:rPr>
            </w:pPr>
            <w:r>
              <w:rPr>
                <w:spacing w:val="15"/>
                <w:sz w:val="24"/>
              </w:rPr>
              <w:t>再申訴之決定不得以同一事由復提再申訴</w:t>
            </w:r>
          </w:p>
          <w:p>
            <w:pPr>
              <w:pStyle w:val="TableParagraph"/>
              <w:spacing w:line="319" w:lineRule="exact"/>
              <w:ind w:left="842"/>
              <w:rPr>
                <w:sz w:val="24"/>
              </w:rPr>
            </w:pPr>
            <w:r>
              <w:rPr>
                <w:sz w:val="24"/>
              </w:rPr>
              <w:t>。</w:t>
            </w:r>
          </w:p>
        </w:tc>
        <w:tc>
          <w:tcPr>
            <w:tcW w:w="3116" w:type="dxa"/>
          </w:tcPr>
          <w:p>
            <w:pPr>
              <w:pStyle w:val="TableParagraph"/>
              <w:ind w:left="0"/>
              <w:rPr>
                <w:rFonts w:ascii="Times New Roman"/>
                <w:sz w:val="22"/>
              </w:rPr>
            </w:pPr>
          </w:p>
        </w:tc>
      </w:tr>
      <w:tr>
        <w:trPr>
          <w:trHeight w:val="6244" w:hRule="atLeast"/>
        </w:trPr>
        <w:tc>
          <w:tcPr>
            <w:tcW w:w="2835" w:type="dxa"/>
          </w:tcPr>
          <w:p>
            <w:pPr>
              <w:pStyle w:val="TableParagraph"/>
              <w:spacing w:line="223" w:lineRule="auto" w:before="4"/>
              <w:ind w:right="70" w:hanging="240"/>
              <w:jc w:val="both"/>
              <w:rPr>
                <w:sz w:val="24"/>
              </w:rPr>
            </w:pPr>
            <w:r>
              <w:rPr>
                <w:spacing w:val="23"/>
                <w:sz w:val="24"/>
              </w:rPr>
              <w:t>第八十五條 </w:t>
            </w:r>
            <w:r>
              <w:rPr>
                <w:spacing w:val="24"/>
                <w:sz w:val="24"/>
                <w:u w:val="single"/>
              </w:rPr>
              <w:t>保障</w:t>
            </w:r>
            <w:r>
              <w:rPr>
                <w:spacing w:val="18"/>
                <w:sz w:val="24"/>
              </w:rPr>
              <w:t>事件</w:t>
            </w:r>
            <w:r>
              <w:rPr>
                <w:spacing w:val="7"/>
                <w:sz w:val="24"/>
              </w:rPr>
              <w:t>審理中， 保訓會得依</w:t>
            </w:r>
            <w:r>
              <w:rPr>
                <w:spacing w:val="8"/>
                <w:sz w:val="24"/>
              </w:rPr>
              <w:t>職權或依申請， 指定</w:t>
            </w:r>
            <w:r>
              <w:rPr>
                <w:spacing w:val="23"/>
                <w:sz w:val="24"/>
              </w:rPr>
              <w:t>副主任委員或委員一</w:t>
            </w:r>
            <w:r>
              <w:rPr>
                <w:spacing w:val="7"/>
                <w:sz w:val="24"/>
              </w:rPr>
              <w:t>人至三人， 進行調處</w:t>
            </w:r>
          </w:p>
          <w:p>
            <w:pPr>
              <w:pStyle w:val="TableParagraph"/>
              <w:spacing w:line="308" w:lineRule="exact"/>
              <w:rPr>
                <w:sz w:val="24"/>
              </w:rPr>
            </w:pPr>
            <w:r>
              <w:rPr>
                <w:sz w:val="24"/>
              </w:rPr>
              <w:t>。</w:t>
            </w:r>
          </w:p>
          <w:p>
            <w:pPr>
              <w:pStyle w:val="TableParagraph"/>
              <w:spacing w:line="223" w:lineRule="auto" w:before="6"/>
              <w:ind w:right="72" w:firstLine="503"/>
              <w:jc w:val="both"/>
              <w:rPr>
                <w:sz w:val="24"/>
              </w:rPr>
            </w:pPr>
            <w:r>
              <w:rPr>
                <w:spacing w:val="7"/>
                <w:sz w:val="24"/>
              </w:rPr>
              <w:t>前項調處， 於多</w:t>
            </w:r>
            <w:r>
              <w:rPr>
                <w:spacing w:val="26"/>
                <w:sz w:val="24"/>
              </w:rPr>
              <w:t>數人共同提起之</w:t>
            </w:r>
            <w:r>
              <w:rPr>
                <w:spacing w:val="13"/>
                <w:sz w:val="24"/>
                <w:u w:val="single"/>
              </w:rPr>
              <w:t>保障</w:t>
            </w:r>
            <w:r>
              <w:rPr>
                <w:spacing w:val="12"/>
                <w:w w:val="95"/>
                <w:sz w:val="24"/>
              </w:rPr>
              <w:t>事件， 其代表人非徵</w:t>
            </w:r>
            <w:r>
              <w:rPr>
                <w:spacing w:val="26"/>
                <w:sz w:val="24"/>
              </w:rPr>
              <w:t>得全體</w:t>
            </w:r>
            <w:r>
              <w:rPr>
                <w:spacing w:val="26"/>
                <w:sz w:val="24"/>
                <w:u w:val="single"/>
              </w:rPr>
              <w:t>復審人或</w:t>
            </w:r>
            <w:r>
              <w:rPr>
                <w:spacing w:val="19"/>
                <w:sz w:val="24"/>
              </w:rPr>
              <w:t>再申</w:t>
            </w:r>
            <w:r>
              <w:rPr>
                <w:spacing w:val="8"/>
                <w:sz w:val="24"/>
              </w:rPr>
              <w:t>訴人之書面同意， 不</w:t>
            </w:r>
            <w:r>
              <w:rPr>
                <w:sz w:val="24"/>
              </w:rPr>
              <w:t>得為之。</w:t>
            </w:r>
          </w:p>
        </w:tc>
        <w:tc>
          <w:tcPr>
            <w:tcW w:w="3262" w:type="dxa"/>
          </w:tcPr>
          <w:p>
            <w:pPr>
              <w:pStyle w:val="TableParagraph"/>
              <w:spacing w:line="223" w:lineRule="auto" w:before="4"/>
              <w:ind w:right="79" w:hanging="240"/>
              <w:jc w:val="both"/>
              <w:rPr>
                <w:sz w:val="24"/>
              </w:rPr>
            </w:pPr>
            <w:r>
              <w:rPr>
                <w:spacing w:val="12"/>
                <w:sz w:val="24"/>
              </w:rPr>
              <w:t>第八十五條 再申訴事件審</w:t>
            </w:r>
            <w:r>
              <w:rPr>
                <w:spacing w:val="15"/>
                <w:sz w:val="24"/>
              </w:rPr>
              <w:t>理中，保訓會得依職權或依申請，指定副主任委員或委員一人至三人，進行</w:t>
            </w:r>
            <w:r>
              <w:rPr>
                <w:sz w:val="24"/>
              </w:rPr>
              <w:t>調處。</w:t>
            </w:r>
          </w:p>
          <w:p>
            <w:pPr>
              <w:pStyle w:val="TableParagraph"/>
              <w:spacing w:line="223" w:lineRule="auto"/>
              <w:ind w:right="79" w:firstLine="504"/>
              <w:jc w:val="both"/>
              <w:rPr>
                <w:sz w:val="24"/>
              </w:rPr>
            </w:pPr>
            <w:r>
              <w:rPr>
                <w:spacing w:val="14"/>
                <w:sz w:val="24"/>
              </w:rPr>
              <w:t>前項調處，於多數人</w:t>
            </w:r>
            <w:r>
              <w:rPr>
                <w:spacing w:val="15"/>
                <w:sz w:val="24"/>
              </w:rPr>
              <w:t>共同提起之再申訴事件，</w:t>
            </w:r>
            <w:r>
              <w:rPr>
                <w:spacing w:val="-118"/>
                <w:sz w:val="24"/>
              </w:rPr>
              <w:t> </w:t>
            </w:r>
            <w:r>
              <w:rPr>
                <w:spacing w:val="15"/>
                <w:sz w:val="24"/>
              </w:rPr>
              <w:t>其代表人非徵得全體再申訴人之書面同意，不得為</w:t>
            </w:r>
            <w:r>
              <w:rPr>
                <w:sz w:val="24"/>
              </w:rPr>
              <w:t>之。</w:t>
            </w:r>
          </w:p>
        </w:tc>
        <w:tc>
          <w:tcPr>
            <w:tcW w:w="3116" w:type="dxa"/>
          </w:tcPr>
          <w:p>
            <w:pPr>
              <w:pStyle w:val="TableParagraph"/>
              <w:spacing w:line="223" w:lineRule="auto" w:before="4"/>
              <w:ind w:left="626" w:right="98" w:hanging="521"/>
              <w:jc w:val="both"/>
              <w:rPr>
                <w:sz w:val="24"/>
              </w:rPr>
            </w:pPr>
            <w:r>
              <w:rPr>
                <w:spacing w:val="20"/>
                <w:sz w:val="24"/>
              </w:rPr>
              <w:t>一、鑑於行政機關對於行</w:t>
            </w:r>
            <w:r>
              <w:rPr>
                <w:spacing w:val="23"/>
                <w:sz w:val="24"/>
              </w:rPr>
              <w:t>政處分所依據之事實</w:t>
            </w:r>
            <w:r>
              <w:rPr>
                <w:spacing w:val="7"/>
                <w:sz w:val="24"/>
              </w:rPr>
              <w:t>及適用之法律， 經依</w:t>
            </w:r>
            <w:r>
              <w:rPr>
                <w:spacing w:val="23"/>
                <w:sz w:val="24"/>
              </w:rPr>
              <w:t>職權調查仍不能確定</w:t>
            </w:r>
            <w:r>
              <w:rPr>
                <w:spacing w:val="6"/>
                <w:sz w:val="24"/>
              </w:rPr>
              <w:t>者， 為有效達成行政</w:t>
            </w:r>
            <w:r>
              <w:rPr>
                <w:spacing w:val="-6"/>
                <w:sz w:val="24"/>
              </w:rPr>
              <w:t>目的， 解決紛爭， 尚</w:t>
            </w:r>
            <w:r>
              <w:rPr>
                <w:spacing w:val="23"/>
                <w:sz w:val="24"/>
              </w:rPr>
              <w:t>得與人民締結和解契約。是為增進行政效率、維持機關內部之和諧及減少行政成本</w:t>
            </w:r>
            <w:r>
              <w:rPr>
                <w:spacing w:val="6"/>
                <w:sz w:val="24"/>
              </w:rPr>
              <w:t>之支出， 亦應允許原</w:t>
            </w:r>
            <w:r>
              <w:rPr>
                <w:spacing w:val="23"/>
                <w:sz w:val="24"/>
              </w:rPr>
              <w:t>處分機關與公務人員進行調處。爰將調處規定擴大適用於復審</w:t>
            </w:r>
            <w:r>
              <w:rPr>
                <w:sz w:val="24"/>
              </w:rPr>
              <w:t>事件。</w:t>
            </w:r>
          </w:p>
          <w:p>
            <w:pPr>
              <w:pStyle w:val="TableParagraph"/>
              <w:spacing w:line="223" w:lineRule="auto" w:before="1"/>
              <w:ind w:left="626" w:right="72" w:hanging="521"/>
              <w:jc w:val="both"/>
              <w:rPr>
                <w:sz w:val="24"/>
              </w:rPr>
            </w:pPr>
            <w:r>
              <w:rPr>
                <w:spacing w:val="22"/>
                <w:sz w:val="24"/>
              </w:rPr>
              <w:t>二、第一項及第二項參酌</w:t>
            </w:r>
            <w:r>
              <w:rPr>
                <w:spacing w:val="23"/>
                <w:sz w:val="24"/>
              </w:rPr>
              <w:t>第四條將復審、再申訴事件簡稱為保障事</w:t>
            </w:r>
            <w:r>
              <w:rPr>
                <w:spacing w:val="9"/>
                <w:sz w:val="24"/>
              </w:rPr>
              <w:t>件之用語， 酌作文字</w:t>
            </w:r>
          </w:p>
          <w:p>
            <w:pPr>
              <w:pStyle w:val="TableParagraph"/>
              <w:spacing w:line="289" w:lineRule="exact"/>
              <w:ind w:left="626"/>
              <w:rPr>
                <w:sz w:val="24"/>
              </w:rPr>
            </w:pPr>
            <w:r>
              <w:rPr>
                <w:sz w:val="24"/>
              </w:rPr>
              <w:t>修正。</w:t>
            </w:r>
          </w:p>
        </w:tc>
      </w:tr>
      <w:tr>
        <w:trPr>
          <w:trHeight w:val="3434" w:hRule="atLeast"/>
        </w:trPr>
        <w:tc>
          <w:tcPr>
            <w:tcW w:w="2835" w:type="dxa"/>
          </w:tcPr>
          <w:p>
            <w:pPr>
              <w:pStyle w:val="TableParagraph"/>
              <w:spacing w:line="223" w:lineRule="auto" w:before="4"/>
              <w:ind w:right="72" w:hanging="240"/>
              <w:jc w:val="both"/>
              <w:rPr>
                <w:sz w:val="24"/>
              </w:rPr>
            </w:pPr>
            <w:r>
              <w:rPr>
                <w:spacing w:val="20"/>
                <w:sz w:val="24"/>
              </w:rPr>
              <w:t>第八十六條 保訓會進</w:t>
            </w:r>
            <w:r>
              <w:rPr>
                <w:spacing w:val="7"/>
                <w:sz w:val="24"/>
              </w:rPr>
              <w:t>行調處時， 應以書面</w:t>
            </w:r>
            <w:r>
              <w:rPr>
                <w:spacing w:val="26"/>
                <w:sz w:val="24"/>
              </w:rPr>
              <w:t>通知</w:t>
            </w:r>
            <w:r>
              <w:rPr>
                <w:spacing w:val="26"/>
                <w:sz w:val="24"/>
                <w:u w:val="single"/>
              </w:rPr>
              <w:t>復審人</w:t>
            </w:r>
            <w:r>
              <w:rPr>
                <w:spacing w:val="23"/>
                <w:sz w:val="24"/>
              </w:rPr>
              <w:t>、再申訴</w:t>
            </w:r>
            <w:r>
              <w:rPr>
                <w:spacing w:val="26"/>
                <w:sz w:val="24"/>
              </w:rPr>
              <w:t>人</w:t>
            </w:r>
            <w:r>
              <w:rPr>
                <w:sz w:val="24"/>
                <w:u w:val="single"/>
              </w:rPr>
              <w:t>，</w:t>
            </w:r>
            <w:r>
              <w:rPr>
                <w:spacing w:val="7"/>
                <w:sz w:val="24"/>
              </w:rPr>
              <w:t> 或其代表人、代</w:t>
            </w:r>
            <w:r>
              <w:rPr>
                <w:spacing w:val="8"/>
                <w:sz w:val="24"/>
              </w:rPr>
              <w:t>理人及有關機關， 於</w:t>
            </w:r>
            <w:r>
              <w:rPr>
                <w:spacing w:val="23"/>
                <w:sz w:val="24"/>
              </w:rPr>
              <w:t>指定期日到達指定處</w:t>
            </w:r>
            <w:r>
              <w:rPr>
                <w:sz w:val="24"/>
              </w:rPr>
              <w:t>所行之。</w:t>
            </w:r>
          </w:p>
          <w:p>
            <w:pPr>
              <w:pStyle w:val="TableParagraph"/>
              <w:spacing w:line="223" w:lineRule="auto"/>
              <w:ind w:left="345" w:right="95" w:firstLine="503"/>
              <w:jc w:val="both"/>
              <w:rPr>
                <w:sz w:val="24"/>
              </w:rPr>
            </w:pPr>
            <w:r>
              <w:rPr>
                <w:spacing w:val="27"/>
                <w:sz w:val="24"/>
              </w:rPr>
              <w:t>前項之代理人，</w:t>
            </w:r>
            <w:r>
              <w:rPr>
                <w:spacing w:val="-118"/>
                <w:sz w:val="24"/>
              </w:rPr>
              <w:t> </w:t>
            </w:r>
            <w:r>
              <w:rPr>
                <w:spacing w:val="27"/>
                <w:sz w:val="24"/>
              </w:rPr>
              <w:t>應提出</w:t>
            </w:r>
            <w:r>
              <w:rPr>
                <w:spacing w:val="28"/>
                <w:sz w:val="24"/>
                <w:u w:val="single"/>
              </w:rPr>
              <w:t>經</w:t>
            </w:r>
            <w:r>
              <w:rPr>
                <w:spacing w:val="20"/>
                <w:sz w:val="24"/>
              </w:rPr>
              <w:t>特別委任之</w:t>
            </w:r>
            <w:r>
              <w:rPr>
                <w:spacing w:val="7"/>
                <w:sz w:val="24"/>
              </w:rPr>
              <w:t>授權證明， 始得參與</w:t>
            </w:r>
          </w:p>
          <w:p>
            <w:pPr>
              <w:pStyle w:val="TableParagraph"/>
              <w:spacing w:line="289" w:lineRule="exact"/>
              <w:ind w:left="345"/>
              <w:rPr>
                <w:sz w:val="24"/>
              </w:rPr>
            </w:pPr>
            <w:r>
              <w:rPr>
                <w:sz w:val="24"/>
              </w:rPr>
              <w:t>調處。</w:t>
            </w:r>
          </w:p>
        </w:tc>
        <w:tc>
          <w:tcPr>
            <w:tcW w:w="3262" w:type="dxa"/>
          </w:tcPr>
          <w:p>
            <w:pPr>
              <w:pStyle w:val="TableParagraph"/>
              <w:spacing w:line="223" w:lineRule="auto" w:before="4"/>
              <w:ind w:right="79" w:hanging="240"/>
              <w:jc w:val="both"/>
              <w:rPr>
                <w:sz w:val="24"/>
              </w:rPr>
            </w:pPr>
            <w:r>
              <w:rPr>
                <w:spacing w:val="12"/>
                <w:sz w:val="24"/>
              </w:rPr>
              <w:t>第八十六條 保訓會進行調</w:t>
            </w:r>
            <w:r>
              <w:rPr>
                <w:spacing w:val="15"/>
                <w:sz w:val="24"/>
              </w:rPr>
              <w:t>處時，應以書面通知再申訴人或其代表人、代理人及有關機關，於指定期日</w:t>
            </w:r>
            <w:r>
              <w:rPr>
                <w:sz w:val="24"/>
              </w:rPr>
              <w:t>到達指定處所行之。</w:t>
            </w:r>
          </w:p>
          <w:p>
            <w:pPr>
              <w:pStyle w:val="TableParagraph"/>
              <w:spacing w:line="223" w:lineRule="auto"/>
              <w:ind w:left="345" w:right="82" w:firstLine="504"/>
              <w:jc w:val="both"/>
              <w:rPr>
                <w:sz w:val="24"/>
              </w:rPr>
            </w:pPr>
            <w:r>
              <w:rPr>
                <w:spacing w:val="14"/>
                <w:sz w:val="24"/>
              </w:rPr>
              <w:t>前項之代理人，應提</w:t>
            </w:r>
            <w:r>
              <w:rPr>
                <w:spacing w:val="15"/>
                <w:sz w:val="24"/>
              </w:rPr>
              <w:t>出特別委任之授權證明，</w:t>
            </w:r>
            <w:r>
              <w:rPr>
                <w:spacing w:val="-118"/>
                <w:sz w:val="24"/>
              </w:rPr>
              <w:t> </w:t>
            </w:r>
            <w:r>
              <w:rPr>
                <w:sz w:val="24"/>
              </w:rPr>
              <w:t>始得參與調處。</w:t>
            </w:r>
          </w:p>
          <w:p>
            <w:pPr>
              <w:pStyle w:val="TableParagraph"/>
              <w:spacing w:line="225" w:lineRule="auto"/>
              <w:ind w:left="345" w:right="82" w:firstLine="504"/>
              <w:jc w:val="both"/>
              <w:rPr>
                <w:sz w:val="24"/>
              </w:rPr>
            </w:pPr>
            <w:r>
              <w:rPr>
                <w:spacing w:val="14"/>
                <w:sz w:val="24"/>
              </w:rPr>
              <w:t>再申訴人及有關機關</w:t>
            </w:r>
            <w:r>
              <w:rPr>
                <w:spacing w:val="15"/>
                <w:sz w:val="24"/>
              </w:rPr>
              <w:t>無正當理由，於調處期日</w:t>
            </w:r>
          </w:p>
          <w:p>
            <w:pPr>
              <w:pStyle w:val="TableParagraph"/>
              <w:spacing w:line="285" w:lineRule="exact"/>
              <w:ind w:left="345"/>
              <w:rPr>
                <w:sz w:val="24"/>
              </w:rPr>
            </w:pPr>
            <w:r>
              <w:rPr>
                <w:spacing w:val="15"/>
                <w:sz w:val="24"/>
              </w:rPr>
              <w:t>不到場者，視為調處不成</w:t>
            </w:r>
          </w:p>
        </w:tc>
        <w:tc>
          <w:tcPr>
            <w:tcW w:w="3116" w:type="dxa"/>
          </w:tcPr>
          <w:p>
            <w:pPr>
              <w:pStyle w:val="TableParagraph"/>
              <w:spacing w:line="223" w:lineRule="auto" w:before="4"/>
              <w:ind w:left="626" w:right="101" w:hanging="521"/>
              <w:jc w:val="both"/>
              <w:rPr>
                <w:sz w:val="24"/>
              </w:rPr>
            </w:pPr>
            <w:r>
              <w:rPr>
                <w:spacing w:val="20"/>
                <w:sz w:val="24"/>
              </w:rPr>
              <w:t>一、本條修正第一項至第</w:t>
            </w:r>
            <w:r>
              <w:rPr>
                <w:sz w:val="24"/>
              </w:rPr>
              <w:t>三項。</w:t>
            </w:r>
          </w:p>
          <w:p>
            <w:pPr>
              <w:pStyle w:val="TableParagraph"/>
              <w:spacing w:line="307" w:lineRule="exact"/>
              <w:ind w:left="105"/>
              <w:jc w:val="both"/>
              <w:rPr>
                <w:sz w:val="24"/>
              </w:rPr>
            </w:pPr>
            <w:r>
              <w:rPr>
                <w:spacing w:val="20"/>
                <w:sz w:val="24"/>
              </w:rPr>
              <w:t>二、配合第八十五條規定</w:t>
            </w:r>
          </w:p>
          <w:p>
            <w:pPr>
              <w:pStyle w:val="TableParagraph"/>
              <w:spacing w:line="223" w:lineRule="auto" w:before="5"/>
              <w:ind w:left="626" w:right="98"/>
              <w:jc w:val="both"/>
              <w:rPr>
                <w:sz w:val="24"/>
              </w:rPr>
            </w:pPr>
            <w:r>
              <w:rPr>
                <w:spacing w:val="13"/>
                <w:w w:val="95"/>
                <w:sz w:val="24"/>
              </w:rPr>
              <w:t>， 將調處程序擴大適</w:t>
            </w:r>
            <w:r>
              <w:rPr>
                <w:spacing w:val="7"/>
                <w:sz w:val="24"/>
              </w:rPr>
              <w:t>用於復審事件， 於第</w:t>
            </w:r>
            <w:r>
              <w:rPr>
                <w:sz w:val="24"/>
              </w:rPr>
              <w:t>一項增列復審人。</w:t>
            </w:r>
          </w:p>
          <w:p>
            <w:pPr>
              <w:pStyle w:val="TableParagraph"/>
              <w:spacing w:line="223" w:lineRule="auto"/>
              <w:ind w:left="626" w:right="72" w:hanging="521"/>
              <w:jc w:val="both"/>
              <w:rPr>
                <w:sz w:val="24"/>
              </w:rPr>
            </w:pPr>
            <w:r>
              <w:rPr>
                <w:spacing w:val="20"/>
                <w:sz w:val="24"/>
              </w:rPr>
              <w:t>三、又鑑於經調處成立之</w:t>
            </w:r>
            <w:r>
              <w:rPr>
                <w:spacing w:val="8"/>
                <w:sz w:val="24"/>
              </w:rPr>
              <w:t>保障事件， 具終結保</w:t>
            </w:r>
            <w:r>
              <w:rPr>
                <w:spacing w:val="23"/>
                <w:sz w:val="24"/>
              </w:rPr>
              <w:t>障事件審理程序之效</w:t>
            </w:r>
            <w:r>
              <w:rPr>
                <w:spacing w:val="9"/>
                <w:sz w:val="24"/>
              </w:rPr>
              <w:t>力， 對復審人及再申</w:t>
            </w:r>
          </w:p>
          <w:p>
            <w:pPr>
              <w:pStyle w:val="TableParagraph"/>
              <w:spacing w:line="289" w:lineRule="exact"/>
              <w:ind w:left="626"/>
              <w:jc w:val="both"/>
              <w:rPr>
                <w:sz w:val="24"/>
              </w:rPr>
            </w:pPr>
            <w:r>
              <w:rPr>
                <w:spacing w:val="23"/>
                <w:sz w:val="24"/>
              </w:rPr>
              <w:t>訴人權益影響甚鉅，</w:t>
            </w:r>
            <w:r>
              <w:rPr>
                <w:spacing w:val="-94"/>
                <w:sz w:val="24"/>
              </w:rPr>
              <w:t> </w:t>
            </w:r>
          </w:p>
        </w:tc>
      </w:tr>
    </w:tbl>
    <w:p>
      <w:pPr>
        <w:spacing w:after="0" w:line="289" w:lineRule="exact"/>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5306" w:hRule="atLeast"/>
        </w:trPr>
        <w:tc>
          <w:tcPr>
            <w:tcW w:w="2835" w:type="dxa"/>
          </w:tcPr>
          <w:p>
            <w:pPr>
              <w:pStyle w:val="TableParagraph"/>
              <w:spacing w:line="223" w:lineRule="auto" w:before="4"/>
              <w:ind w:left="345" w:right="60" w:firstLine="503"/>
              <w:jc w:val="both"/>
              <w:rPr>
                <w:sz w:val="24"/>
              </w:rPr>
            </w:pPr>
            <w:r>
              <w:rPr>
                <w:spacing w:val="32"/>
                <w:sz w:val="24"/>
                <w:u w:val="single"/>
              </w:rPr>
              <w:t>復審人、</w:t>
            </w:r>
            <w:r>
              <w:rPr>
                <w:spacing w:val="29"/>
                <w:sz w:val="24"/>
              </w:rPr>
              <w:t>再申訴</w:t>
            </w:r>
            <w:r>
              <w:rPr>
                <w:spacing w:val="28"/>
                <w:w w:val="95"/>
                <w:sz w:val="24"/>
              </w:rPr>
              <w:t>人</w:t>
            </w:r>
            <w:r>
              <w:rPr>
                <w:spacing w:val="23"/>
                <w:w w:val="95"/>
                <w:sz w:val="24"/>
                <w:u w:val="single"/>
              </w:rPr>
              <w:t>， 或其代表人、經</w:t>
            </w:r>
            <w:r>
              <w:rPr>
                <w:spacing w:val="-240"/>
                <w:w w:val="95"/>
                <w:sz w:val="24"/>
                <w:u w:val="single"/>
              </w:rPr>
              <w:t>特</w:t>
            </w:r>
            <w:r>
              <w:rPr>
                <w:spacing w:val="-227"/>
                <w:sz w:val="24"/>
                <w:u w:val="single"/>
              </w:rPr>
              <w:t>別</w:t>
            </w:r>
            <w:r>
              <w:rPr>
                <w:spacing w:val="26"/>
                <w:sz w:val="24"/>
                <w:u w:val="single"/>
              </w:rPr>
              <w:t>委任之代理人</w:t>
            </w:r>
            <w:r>
              <w:rPr>
                <w:sz w:val="24"/>
              </w:rPr>
              <w:t>及</w:t>
            </w:r>
            <w:r>
              <w:rPr>
                <w:spacing w:val="176"/>
                <w:sz w:val="24"/>
              </w:rPr>
              <w:t> </w:t>
            </w:r>
            <w:r>
              <w:rPr>
                <w:spacing w:val="27"/>
                <w:sz w:val="24"/>
              </w:rPr>
              <w:t>有關機關</w:t>
            </w:r>
            <w:r>
              <w:rPr>
                <w:sz w:val="24"/>
                <w:u w:val="single"/>
              </w:rPr>
              <w:t>，</w:t>
            </w:r>
            <w:r>
              <w:rPr>
                <w:spacing w:val="-4"/>
                <w:sz w:val="24"/>
              </w:rPr>
              <w:t> 無正當理</w:t>
            </w:r>
            <w:r>
              <w:rPr>
                <w:spacing w:val="9"/>
                <w:w w:val="95"/>
                <w:sz w:val="24"/>
              </w:rPr>
              <w:t>由， 於</w:t>
            </w:r>
            <w:r>
              <w:rPr>
                <w:spacing w:val="27"/>
                <w:w w:val="95"/>
                <w:sz w:val="24"/>
                <w:u w:val="single"/>
              </w:rPr>
              <w:t>指定</w:t>
            </w:r>
            <w:r>
              <w:rPr>
                <w:spacing w:val="27"/>
                <w:w w:val="95"/>
                <w:sz w:val="24"/>
              </w:rPr>
              <w:t>期日不到</w:t>
            </w:r>
            <w:r>
              <w:rPr>
                <w:spacing w:val="7"/>
                <w:sz w:val="24"/>
              </w:rPr>
              <w:t>場者， 視為調處不成</w:t>
            </w:r>
            <w:r>
              <w:rPr>
                <w:spacing w:val="23"/>
                <w:sz w:val="24"/>
              </w:rPr>
              <w:t>立。但保訓會認為有成立調處之可能者，</w:t>
            </w:r>
            <w:r>
              <w:rPr>
                <w:spacing w:val="-118"/>
                <w:sz w:val="24"/>
              </w:rPr>
              <w:t> </w:t>
            </w:r>
            <w:r>
              <w:rPr>
                <w:sz w:val="24"/>
              </w:rPr>
              <w:t>得另定調處期日。</w:t>
            </w:r>
          </w:p>
          <w:p>
            <w:pPr>
              <w:pStyle w:val="TableParagraph"/>
              <w:spacing w:line="223" w:lineRule="auto" w:before="2"/>
              <w:ind w:left="345" w:right="95" w:firstLine="503"/>
              <w:jc w:val="both"/>
              <w:rPr>
                <w:sz w:val="24"/>
              </w:rPr>
            </w:pPr>
            <w:r>
              <w:rPr>
                <w:spacing w:val="27"/>
                <w:sz w:val="24"/>
              </w:rPr>
              <w:t>調處之過程及結</w:t>
            </w:r>
            <w:r>
              <w:rPr>
                <w:spacing w:val="7"/>
                <w:sz w:val="24"/>
              </w:rPr>
              <w:t>果應製作紀錄， 由參</w:t>
            </w:r>
            <w:r>
              <w:rPr>
                <w:spacing w:val="23"/>
                <w:sz w:val="24"/>
              </w:rPr>
              <w:t>與調處之人員簽名；</w:t>
            </w:r>
            <w:r>
              <w:rPr>
                <w:spacing w:val="-118"/>
                <w:sz w:val="24"/>
              </w:rPr>
              <w:t> </w:t>
            </w:r>
            <w:r>
              <w:rPr>
                <w:spacing w:val="7"/>
                <w:sz w:val="24"/>
              </w:rPr>
              <w:t>其拒絕簽名者， 應記</w:t>
            </w:r>
            <w:r>
              <w:rPr>
                <w:sz w:val="24"/>
              </w:rPr>
              <w:t>明其事由。</w:t>
            </w:r>
          </w:p>
        </w:tc>
        <w:tc>
          <w:tcPr>
            <w:tcW w:w="3262" w:type="dxa"/>
          </w:tcPr>
          <w:p>
            <w:pPr>
              <w:pStyle w:val="TableParagraph"/>
              <w:spacing w:line="223" w:lineRule="auto" w:before="4"/>
              <w:ind w:left="345" w:right="82"/>
              <w:jc w:val="both"/>
              <w:rPr>
                <w:sz w:val="24"/>
              </w:rPr>
            </w:pPr>
            <w:r>
              <w:rPr>
                <w:spacing w:val="15"/>
                <w:sz w:val="24"/>
              </w:rPr>
              <w:t>立。但保訓會認為有成立調處之可能者，得另定調</w:t>
            </w:r>
            <w:r>
              <w:rPr>
                <w:sz w:val="24"/>
              </w:rPr>
              <w:t>處期日。</w:t>
            </w:r>
          </w:p>
          <w:p>
            <w:pPr>
              <w:pStyle w:val="TableParagraph"/>
              <w:spacing w:line="223" w:lineRule="auto"/>
              <w:ind w:left="345" w:right="82" w:firstLine="504"/>
              <w:jc w:val="both"/>
              <w:rPr>
                <w:sz w:val="24"/>
              </w:rPr>
            </w:pPr>
            <w:r>
              <w:rPr>
                <w:spacing w:val="14"/>
                <w:sz w:val="24"/>
              </w:rPr>
              <w:t>調處之過程及結果應</w:t>
            </w:r>
            <w:r>
              <w:rPr>
                <w:spacing w:val="15"/>
                <w:sz w:val="24"/>
              </w:rPr>
              <w:t>製作紀錄，由參與調處之人員簽名；其拒絕簽名者</w:t>
            </w:r>
          </w:p>
          <w:p>
            <w:pPr>
              <w:pStyle w:val="TableParagraph"/>
              <w:spacing w:line="318" w:lineRule="exact"/>
              <w:ind w:left="345"/>
              <w:rPr>
                <w:sz w:val="24"/>
              </w:rPr>
            </w:pPr>
            <w:r>
              <w:rPr>
                <w:sz w:val="24"/>
              </w:rPr>
              <w:t>，應記明其事由。</w:t>
            </w:r>
          </w:p>
        </w:tc>
        <w:tc>
          <w:tcPr>
            <w:tcW w:w="3116" w:type="dxa"/>
          </w:tcPr>
          <w:p>
            <w:pPr>
              <w:pStyle w:val="TableParagraph"/>
              <w:spacing w:line="223" w:lineRule="auto" w:before="4"/>
              <w:ind w:left="626" w:right="72"/>
              <w:jc w:val="both"/>
              <w:rPr>
                <w:sz w:val="24"/>
              </w:rPr>
            </w:pPr>
            <w:r>
              <w:rPr>
                <w:spacing w:val="23"/>
                <w:sz w:val="24"/>
              </w:rPr>
              <w:t>而代表人亦為保障事</w:t>
            </w:r>
            <w:r>
              <w:rPr>
                <w:spacing w:val="8"/>
                <w:sz w:val="24"/>
              </w:rPr>
              <w:t>件之當事人， 依第三十七條， 及第八十四</w:t>
            </w:r>
            <w:r>
              <w:rPr>
                <w:spacing w:val="23"/>
                <w:sz w:val="24"/>
              </w:rPr>
              <w:t>條再申訴準用第三十</w:t>
            </w:r>
            <w:r>
              <w:rPr>
                <w:spacing w:val="9"/>
                <w:sz w:val="24"/>
              </w:rPr>
              <w:t>七條規定， 其係代表</w:t>
            </w:r>
            <w:r>
              <w:rPr>
                <w:spacing w:val="23"/>
                <w:sz w:val="24"/>
              </w:rPr>
              <w:t>全體當事人為復審行</w:t>
            </w:r>
            <w:r>
              <w:rPr>
                <w:spacing w:val="8"/>
                <w:sz w:val="24"/>
              </w:rPr>
              <w:t>為或再申訴行為； 至</w:t>
            </w:r>
            <w:r>
              <w:rPr>
                <w:spacing w:val="23"/>
                <w:sz w:val="24"/>
              </w:rPr>
              <w:t>經特別委任之代理人</w:t>
            </w:r>
          </w:p>
          <w:p>
            <w:pPr>
              <w:pStyle w:val="TableParagraph"/>
              <w:spacing w:line="223" w:lineRule="auto" w:before="2"/>
              <w:ind w:left="626" w:right="98"/>
              <w:jc w:val="both"/>
              <w:rPr>
                <w:sz w:val="24"/>
              </w:rPr>
            </w:pPr>
            <w:r>
              <w:rPr>
                <w:spacing w:val="13"/>
                <w:w w:val="95"/>
                <w:sz w:val="24"/>
              </w:rPr>
              <w:t>， 除依第三十九條規</w:t>
            </w:r>
            <w:r>
              <w:rPr>
                <w:spacing w:val="23"/>
                <w:sz w:val="24"/>
              </w:rPr>
              <w:t>定得為一切復審行為</w:t>
            </w:r>
            <w:r>
              <w:rPr>
                <w:spacing w:val="7"/>
                <w:sz w:val="24"/>
              </w:rPr>
              <w:t>及再申訴行為外， 亦</w:t>
            </w:r>
            <w:r>
              <w:rPr>
                <w:spacing w:val="6"/>
                <w:sz w:val="24"/>
              </w:rPr>
              <w:t>得參與調處， 且為配</w:t>
            </w:r>
            <w:r>
              <w:rPr>
                <w:spacing w:val="23"/>
                <w:sz w:val="24"/>
              </w:rPr>
              <w:t>合第一項關於通知對</w:t>
            </w:r>
            <w:r>
              <w:rPr>
                <w:spacing w:val="6"/>
                <w:sz w:val="24"/>
              </w:rPr>
              <w:t>象之規定， 爰於第三</w:t>
            </w:r>
            <w:r>
              <w:rPr>
                <w:spacing w:val="23"/>
                <w:sz w:val="24"/>
              </w:rPr>
              <w:t>項增列復審人、代表</w:t>
            </w:r>
            <w:r>
              <w:rPr>
                <w:spacing w:val="22"/>
                <w:sz w:val="24"/>
              </w:rPr>
              <w:t>人及經特別委任之代</w:t>
            </w:r>
          </w:p>
          <w:p>
            <w:pPr>
              <w:pStyle w:val="TableParagraph"/>
              <w:spacing w:line="287" w:lineRule="exact"/>
              <w:ind w:left="626"/>
              <w:rPr>
                <w:sz w:val="24"/>
              </w:rPr>
            </w:pPr>
            <w:r>
              <w:rPr>
                <w:sz w:val="24"/>
              </w:rPr>
              <w:t>理人。</w:t>
            </w:r>
          </w:p>
        </w:tc>
      </w:tr>
      <w:tr>
        <w:trPr>
          <w:trHeight w:val="8119" w:hRule="atLeast"/>
        </w:trPr>
        <w:tc>
          <w:tcPr>
            <w:tcW w:w="2835" w:type="dxa"/>
          </w:tcPr>
          <w:p>
            <w:pPr>
              <w:pStyle w:val="TableParagraph"/>
              <w:spacing w:line="223" w:lineRule="auto" w:before="4"/>
              <w:ind w:right="70" w:hanging="240"/>
              <w:jc w:val="both"/>
              <w:rPr>
                <w:sz w:val="24"/>
              </w:rPr>
            </w:pPr>
            <w:r>
              <w:rPr>
                <w:spacing w:val="23"/>
                <w:sz w:val="24"/>
              </w:rPr>
              <w:t>第八十七條 </w:t>
            </w:r>
            <w:r>
              <w:rPr>
                <w:spacing w:val="24"/>
                <w:sz w:val="24"/>
                <w:u w:val="single"/>
              </w:rPr>
              <w:t>保障</w:t>
            </w:r>
            <w:r>
              <w:rPr>
                <w:spacing w:val="18"/>
                <w:sz w:val="24"/>
              </w:rPr>
              <w:t>事件</w:t>
            </w:r>
            <w:r>
              <w:rPr>
                <w:spacing w:val="8"/>
                <w:sz w:val="24"/>
              </w:rPr>
              <w:t>經調處成立者， 保訓會應作成調處書， 記</w:t>
            </w:r>
            <w:r>
              <w:rPr>
                <w:spacing w:val="7"/>
                <w:sz w:val="24"/>
              </w:rPr>
              <w:t>載下列事項， 並函知</w:t>
            </w:r>
            <w:r>
              <w:rPr>
                <w:spacing w:val="26"/>
                <w:sz w:val="24"/>
                <w:u w:val="single"/>
              </w:rPr>
              <w:t>復審人、</w:t>
            </w:r>
            <w:r>
              <w:rPr>
                <w:spacing w:val="20"/>
                <w:sz w:val="24"/>
              </w:rPr>
              <w:t>再申訴人、</w:t>
            </w:r>
            <w:r>
              <w:rPr>
                <w:spacing w:val="23"/>
                <w:sz w:val="24"/>
                <w:u w:val="single"/>
              </w:rPr>
              <w:t>代表人、經特別委任</w:t>
            </w:r>
            <w:r>
              <w:rPr>
                <w:spacing w:val="-222"/>
                <w:sz w:val="24"/>
                <w:u w:val="single"/>
              </w:rPr>
              <w:t>之代</w:t>
            </w:r>
            <w:r>
              <w:rPr>
                <w:spacing w:val="27"/>
                <w:sz w:val="24"/>
                <w:u w:val="single"/>
              </w:rPr>
              <w:t>理人</w:t>
            </w:r>
            <w:r>
              <w:rPr>
                <w:spacing w:val="20"/>
                <w:sz w:val="24"/>
              </w:rPr>
              <w:t>及有關機關</w:t>
            </w:r>
          </w:p>
          <w:p>
            <w:pPr>
              <w:pStyle w:val="TableParagraph"/>
              <w:spacing w:line="309" w:lineRule="exact"/>
              <w:rPr>
                <w:sz w:val="24"/>
              </w:rPr>
            </w:pPr>
            <w:r>
              <w:rPr>
                <w:sz w:val="24"/>
              </w:rPr>
              <w:t>：</w:t>
            </w:r>
          </w:p>
          <w:p>
            <w:pPr>
              <w:pStyle w:val="TableParagraph"/>
              <w:spacing w:line="223" w:lineRule="auto" w:before="5"/>
              <w:ind w:left="842" w:right="65" w:hanging="497"/>
              <w:jc w:val="both"/>
              <w:rPr>
                <w:sz w:val="24"/>
              </w:rPr>
            </w:pPr>
            <w:r>
              <w:rPr>
                <w:spacing w:val="28"/>
                <w:sz w:val="24"/>
              </w:rPr>
              <w:t>一、</w:t>
            </w:r>
            <w:r>
              <w:rPr>
                <w:spacing w:val="26"/>
                <w:sz w:val="24"/>
                <w:u w:val="single"/>
              </w:rPr>
              <w:t>復審人或</w:t>
            </w:r>
            <w:r>
              <w:rPr>
                <w:spacing w:val="18"/>
                <w:sz w:val="24"/>
              </w:rPr>
              <w:t>再申訴</w:t>
            </w:r>
            <w:r>
              <w:rPr>
                <w:spacing w:val="33"/>
                <w:sz w:val="24"/>
              </w:rPr>
              <w:t>人</w:t>
            </w:r>
            <w:r>
              <w:rPr>
                <w:spacing w:val="33"/>
                <w:sz w:val="24"/>
                <w:u w:val="single"/>
              </w:rPr>
              <w:t>之</w:t>
            </w:r>
            <w:r>
              <w:rPr>
                <w:spacing w:val="30"/>
                <w:sz w:val="24"/>
              </w:rPr>
              <w:t>姓名、出生</w:t>
            </w:r>
            <w:r>
              <w:rPr>
                <w:spacing w:val="31"/>
                <w:sz w:val="24"/>
              </w:rPr>
              <w:t>年月日、服務機</w:t>
            </w:r>
            <w:r>
              <w:rPr>
                <w:spacing w:val="33"/>
                <w:sz w:val="24"/>
              </w:rPr>
              <w:t>關及職稱、住</w:t>
            </w:r>
            <w:r>
              <w:rPr>
                <w:spacing w:val="34"/>
                <w:sz w:val="24"/>
              </w:rPr>
              <w:t> </w:t>
            </w:r>
            <w:r>
              <w:rPr>
                <w:spacing w:val="29"/>
                <w:sz w:val="24"/>
              </w:rPr>
              <w:t>居所、國民身分</w:t>
            </w:r>
            <w:r>
              <w:rPr>
                <w:spacing w:val="33"/>
                <w:sz w:val="24"/>
              </w:rPr>
              <w:t>證統一編號</w:t>
            </w:r>
            <w:r>
              <w:rPr>
                <w:spacing w:val="33"/>
                <w:sz w:val="24"/>
                <w:u w:val="single"/>
              </w:rPr>
              <w:t>或身分證明文件及字號</w:t>
            </w:r>
          </w:p>
          <w:p>
            <w:pPr>
              <w:pStyle w:val="TableParagraph"/>
              <w:spacing w:line="308" w:lineRule="exact"/>
              <w:ind w:left="842"/>
              <w:rPr>
                <w:sz w:val="24"/>
              </w:rPr>
            </w:pPr>
            <w:r>
              <w:rPr>
                <w:sz w:val="24"/>
                <w:u w:val="single"/>
              </w:rPr>
              <w:t>。</w:t>
            </w:r>
          </w:p>
          <w:p>
            <w:pPr>
              <w:pStyle w:val="TableParagraph"/>
              <w:spacing w:line="223" w:lineRule="auto" w:before="5"/>
              <w:ind w:left="842" w:right="65" w:hanging="497"/>
              <w:jc w:val="both"/>
              <w:rPr>
                <w:sz w:val="24"/>
              </w:rPr>
            </w:pPr>
            <w:r>
              <w:rPr>
                <w:spacing w:val="27"/>
                <w:sz w:val="24"/>
              </w:rPr>
              <w:t>二、有</w:t>
            </w:r>
            <w:r>
              <w:rPr>
                <w:spacing w:val="21"/>
                <w:sz w:val="24"/>
                <w:u w:val="single"/>
              </w:rPr>
              <w:t>代表人或經特</w:t>
            </w:r>
            <w:r>
              <w:rPr>
                <w:spacing w:val="-222"/>
                <w:sz w:val="24"/>
                <w:u w:val="single"/>
              </w:rPr>
              <w:t>別委</w:t>
            </w:r>
            <w:r>
              <w:rPr>
                <w:spacing w:val="33"/>
                <w:sz w:val="24"/>
                <w:u w:val="single"/>
              </w:rPr>
              <w:t>任之</w:t>
            </w:r>
            <w:r>
              <w:rPr>
                <w:spacing w:val="33"/>
                <w:sz w:val="24"/>
              </w:rPr>
              <w:t>代理人者，</w:t>
            </w:r>
            <w:r>
              <w:rPr>
                <w:spacing w:val="-118"/>
                <w:sz w:val="24"/>
              </w:rPr>
              <w:t> </w:t>
            </w:r>
            <w:r>
              <w:rPr>
                <w:spacing w:val="33"/>
                <w:sz w:val="24"/>
              </w:rPr>
              <w:t>其姓名、出生年月日、住居所、國民身分證統一編號</w:t>
            </w:r>
            <w:r>
              <w:rPr>
                <w:spacing w:val="33"/>
                <w:sz w:val="24"/>
                <w:u w:val="single"/>
              </w:rPr>
              <w:t>或身分證明文件及字號</w:t>
            </w:r>
          </w:p>
          <w:p>
            <w:pPr>
              <w:pStyle w:val="TableParagraph"/>
              <w:spacing w:line="307" w:lineRule="exact"/>
              <w:ind w:left="842"/>
              <w:rPr>
                <w:sz w:val="24"/>
              </w:rPr>
            </w:pPr>
            <w:r>
              <w:rPr>
                <w:sz w:val="24"/>
                <w:u w:val="single"/>
              </w:rPr>
              <w:t>。</w:t>
            </w:r>
          </w:p>
          <w:p>
            <w:pPr>
              <w:pStyle w:val="TableParagraph"/>
              <w:spacing w:line="312" w:lineRule="exact"/>
              <w:ind w:left="0" w:right="96"/>
              <w:jc w:val="right"/>
              <w:rPr>
                <w:sz w:val="24"/>
              </w:rPr>
            </w:pPr>
            <w:r>
              <w:rPr>
                <w:spacing w:val="23"/>
                <w:sz w:val="24"/>
              </w:rPr>
              <w:t>三、參與調處之副主</w:t>
            </w:r>
          </w:p>
          <w:p>
            <w:pPr>
              <w:pStyle w:val="TableParagraph"/>
              <w:spacing w:line="294" w:lineRule="exact"/>
              <w:ind w:left="0" w:right="65"/>
              <w:jc w:val="right"/>
              <w:rPr>
                <w:sz w:val="24"/>
              </w:rPr>
            </w:pPr>
            <w:r>
              <w:rPr>
                <w:spacing w:val="33"/>
                <w:sz w:val="24"/>
              </w:rPr>
              <w:t>任委員、委員姓</w:t>
            </w:r>
          </w:p>
        </w:tc>
        <w:tc>
          <w:tcPr>
            <w:tcW w:w="3262" w:type="dxa"/>
          </w:tcPr>
          <w:p>
            <w:pPr>
              <w:pStyle w:val="TableParagraph"/>
              <w:spacing w:line="223" w:lineRule="auto" w:before="4"/>
              <w:ind w:right="79" w:hanging="240"/>
              <w:jc w:val="both"/>
              <w:rPr>
                <w:sz w:val="24"/>
              </w:rPr>
            </w:pPr>
            <w:r>
              <w:rPr>
                <w:spacing w:val="12"/>
                <w:sz w:val="24"/>
              </w:rPr>
              <w:t>第八十七條 再申訴事件經</w:t>
            </w:r>
            <w:r>
              <w:rPr>
                <w:spacing w:val="15"/>
                <w:sz w:val="24"/>
              </w:rPr>
              <w:t>調處成立者，保訓會應作成調處書，記載下列事項</w:t>
            </w:r>
          </w:p>
          <w:p>
            <w:pPr>
              <w:pStyle w:val="TableParagraph"/>
              <w:spacing w:line="223" w:lineRule="auto" w:before="2"/>
              <w:ind w:right="79"/>
              <w:rPr>
                <w:sz w:val="24"/>
              </w:rPr>
            </w:pPr>
            <w:r>
              <w:rPr>
                <w:spacing w:val="15"/>
                <w:sz w:val="24"/>
              </w:rPr>
              <w:t>，並函知再申訴人及有關</w:t>
            </w:r>
            <w:r>
              <w:rPr>
                <w:sz w:val="24"/>
              </w:rPr>
              <w:t>機關：</w:t>
            </w:r>
          </w:p>
          <w:p>
            <w:pPr>
              <w:pStyle w:val="TableParagraph"/>
              <w:spacing w:line="223" w:lineRule="auto"/>
              <w:ind w:left="842" w:right="82" w:hanging="497"/>
              <w:jc w:val="both"/>
              <w:rPr>
                <w:sz w:val="24"/>
              </w:rPr>
            </w:pPr>
            <w:r>
              <w:rPr>
                <w:spacing w:val="15"/>
                <w:sz w:val="24"/>
              </w:rPr>
              <w:t>一、再申訴人姓名、出生年月日、服務機關及職稱、住居所、國民</w:t>
            </w:r>
            <w:r>
              <w:rPr>
                <w:sz w:val="24"/>
              </w:rPr>
              <w:t>身分證統一編號。</w:t>
            </w:r>
          </w:p>
          <w:p>
            <w:pPr>
              <w:pStyle w:val="TableParagraph"/>
              <w:spacing w:line="307" w:lineRule="exact"/>
              <w:ind w:left="345"/>
              <w:rPr>
                <w:sz w:val="24"/>
              </w:rPr>
            </w:pPr>
            <w:r>
              <w:rPr>
                <w:spacing w:val="15"/>
                <w:sz w:val="24"/>
              </w:rPr>
              <w:t>二、有代理人者，其姓名</w:t>
            </w:r>
          </w:p>
          <w:p>
            <w:pPr>
              <w:pStyle w:val="TableParagraph"/>
              <w:spacing w:line="223" w:lineRule="auto" w:before="5"/>
              <w:ind w:left="842" w:right="98"/>
              <w:jc w:val="both"/>
              <w:rPr>
                <w:sz w:val="24"/>
              </w:rPr>
            </w:pPr>
            <w:r>
              <w:rPr>
                <w:spacing w:val="15"/>
                <w:sz w:val="24"/>
              </w:rPr>
              <w:t>、出生年月日、住居所、國民身分證統一</w:t>
            </w:r>
            <w:r>
              <w:rPr>
                <w:sz w:val="24"/>
              </w:rPr>
              <w:t>編號。</w:t>
            </w:r>
          </w:p>
          <w:p>
            <w:pPr>
              <w:pStyle w:val="TableParagraph"/>
              <w:spacing w:line="223" w:lineRule="auto" w:before="2"/>
              <w:ind w:left="842" w:right="82" w:hanging="497"/>
              <w:rPr>
                <w:sz w:val="24"/>
              </w:rPr>
            </w:pPr>
            <w:r>
              <w:rPr>
                <w:spacing w:val="15"/>
                <w:sz w:val="24"/>
              </w:rPr>
              <w:t>三、參與調處之副主任委</w:t>
            </w:r>
            <w:r>
              <w:rPr>
                <w:sz w:val="24"/>
              </w:rPr>
              <w:t>員、委員姓名。</w:t>
            </w:r>
          </w:p>
          <w:p>
            <w:pPr>
              <w:pStyle w:val="TableParagraph"/>
              <w:spacing w:line="307" w:lineRule="exact"/>
              <w:ind w:left="345"/>
              <w:rPr>
                <w:sz w:val="24"/>
              </w:rPr>
            </w:pPr>
            <w:r>
              <w:rPr>
                <w:sz w:val="24"/>
              </w:rPr>
              <w:t>四、調處事由。</w:t>
            </w:r>
          </w:p>
          <w:p>
            <w:pPr>
              <w:pStyle w:val="TableParagraph"/>
              <w:spacing w:line="223" w:lineRule="auto" w:before="5"/>
              <w:ind w:left="345" w:right="264"/>
              <w:rPr>
                <w:sz w:val="24"/>
              </w:rPr>
            </w:pPr>
            <w:r>
              <w:rPr>
                <w:sz w:val="24"/>
              </w:rPr>
              <w:t>五、調處成立之內容。</w:t>
            </w:r>
            <w:r>
              <w:rPr>
                <w:spacing w:val="1"/>
                <w:sz w:val="24"/>
              </w:rPr>
              <w:t> </w:t>
            </w:r>
            <w:r>
              <w:rPr>
                <w:sz w:val="24"/>
              </w:rPr>
              <w:t>六、調處成立之場所。</w:t>
            </w:r>
            <w:r>
              <w:rPr>
                <w:spacing w:val="1"/>
                <w:sz w:val="24"/>
              </w:rPr>
              <w:t> </w:t>
            </w:r>
            <w:r>
              <w:rPr>
                <w:spacing w:val="-1"/>
                <w:sz w:val="24"/>
              </w:rPr>
              <w:t>七、調處成立之年月日。</w:t>
            </w:r>
          </w:p>
          <w:p>
            <w:pPr>
              <w:pStyle w:val="TableParagraph"/>
              <w:spacing w:line="223" w:lineRule="auto"/>
              <w:ind w:left="364" w:right="84" w:firstLine="480"/>
              <w:jc w:val="both"/>
              <w:rPr>
                <w:sz w:val="24"/>
              </w:rPr>
            </w:pPr>
            <w:r>
              <w:rPr>
                <w:spacing w:val="14"/>
                <w:sz w:val="24"/>
              </w:rPr>
              <w:t>前項經調處成立之再</w:t>
            </w:r>
            <w:r>
              <w:rPr>
                <w:spacing w:val="12"/>
                <w:sz w:val="24"/>
              </w:rPr>
              <w:t>申訴事件，保訓會應終結</w:t>
            </w:r>
            <w:r>
              <w:rPr>
                <w:sz w:val="24"/>
              </w:rPr>
              <w:t>其審理程序。</w:t>
            </w:r>
          </w:p>
        </w:tc>
        <w:tc>
          <w:tcPr>
            <w:tcW w:w="3116" w:type="dxa"/>
          </w:tcPr>
          <w:p>
            <w:pPr>
              <w:pStyle w:val="TableParagraph"/>
              <w:spacing w:line="225" w:lineRule="auto" w:before="2"/>
              <w:ind w:left="626" w:right="101" w:hanging="521"/>
              <w:jc w:val="both"/>
              <w:rPr>
                <w:sz w:val="24"/>
              </w:rPr>
            </w:pPr>
            <w:r>
              <w:rPr>
                <w:spacing w:val="20"/>
                <w:sz w:val="24"/>
              </w:rPr>
              <w:t>一、本條修正第一項及第</w:t>
            </w:r>
            <w:r>
              <w:rPr>
                <w:sz w:val="24"/>
              </w:rPr>
              <w:t>二項。</w:t>
            </w:r>
          </w:p>
          <w:p>
            <w:pPr>
              <w:pStyle w:val="TableParagraph"/>
              <w:spacing w:line="223" w:lineRule="auto"/>
              <w:ind w:left="626" w:right="72" w:hanging="521"/>
              <w:jc w:val="both"/>
              <w:rPr>
                <w:sz w:val="24"/>
              </w:rPr>
            </w:pPr>
            <w:r>
              <w:rPr>
                <w:spacing w:val="20"/>
                <w:sz w:val="24"/>
              </w:rPr>
              <w:t>二、依第八十五條規定，</w:t>
            </w:r>
            <w:r>
              <w:rPr>
                <w:spacing w:val="-118"/>
                <w:sz w:val="24"/>
              </w:rPr>
              <w:t> </w:t>
            </w:r>
            <w:r>
              <w:rPr>
                <w:spacing w:val="23"/>
                <w:sz w:val="24"/>
              </w:rPr>
              <w:t>代表人徵得全體復審人或再申訴人之書面</w:t>
            </w:r>
            <w:r>
              <w:rPr>
                <w:spacing w:val="8"/>
                <w:sz w:val="24"/>
              </w:rPr>
              <w:t>同意， 得與原處分機</w:t>
            </w:r>
            <w:r>
              <w:rPr>
                <w:spacing w:val="24"/>
                <w:sz w:val="24"/>
              </w:rPr>
              <w:t>關或服務機關進行調</w:t>
            </w:r>
            <w:r>
              <w:rPr>
                <w:spacing w:val="8"/>
                <w:sz w:val="24"/>
              </w:rPr>
              <w:t>處； 第八十六條第二項規定， 經復審人或</w:t>
            </w:r>
            <w:r>
              <w:rPr>
                <w:spacing w:val="23"/>
                <w:sz w:val="24"/>
              </w:rPr>
              <w:t>再申訴人特別委任之</w:t>
            </w:r>
            <w:r>
              <w:rPr>
                <w:spacing w:val="24"/>
                <w:sz w:val="24"/>
              </w:rPr>
              <w:t>代理人，亦得參與調處。爰於第一項增列</w:t>
            </w:r>
            <w:r>
              <w:rPr>
                <w:spacing w:val="23"/>
                <w:sz w:val="24"/>
              </w:rPr>
              <w:t>調處書應函知復審人</w:t>
            </w:r>
          </w:p>
          <w:p>
            <w:pPr>
              <w:pStyle w:val="TableParagraph"/>
              <w:spacing w:line="223" w:lineRule="auto"/>
              <w:ind w:left="626" w:right="72"/>
              <w:jc w:val="both"/>
              <w:rPr>
                <w:sz w:val="24"/>
              </w:rPr>
            </w:pPr>
            <w:r>
              <w:rPr>
                <w:spacing w:val="24"/>
                <w:sz w:val="24"/>
              </w:rPr>
              <w:t>、代表人、經復審人</w:t>
            </w:r>
            <w:r>
              <w:rPr>
                <w:spacing w:val="23"/>
                <w:sz w:val="24"/>
              </w:rPr>
              <w:t>或再申訴人特別委任</w:t>
            </w:r>
            <w:r>
              <w:rPr>
                <w:spacing w:val="9"/>
                <w:sz w:val="24"/>
              </w:rPr>
              <w:t>之代理人， 俾當事人</w:t>
            </w:r>
          </w:p>
          <w:p>
            <w:pPr>
              <w:pStyle w:val="TableParagraph"/>
              <w:spacing w:line="223" w:lineRule="auto"/>
              <w:ind w:left="626" w:right="98"/>
              <w:jc w:val="both"/>
              <w:rPr>
                <w:sz w:val="24"/>
              </w:rPr>
            </w:pPr>
            <w:r>
              <w:rPr>
                <w:spacing w:val="23"/>
                <w:sz w:val="24"/>
              </w:rPr>
              <w:t>、代表人及經特別委任之代理人知悉調處</w:t>
            </w:r>
            <w:r>
              <w:rPr>
                <w:sz w:val="24"/>
              </w:rPr>
              <w:t>結果。</w:t>
            </w:r>
          </w:p>
          <w:p>
            <w:pPr>
              <w:pStyle w:val="TableParagraph"/>
              <w:spacing w:line="223" w:lineRule="auto"/>
              <w:ind w:left="626" w:right="101" w:hanging="521"/>
              <w:jc w:val="both"/>
              <w:rPr>
                <w:sz w:val="24"/>
              </w:rPr>
            </w:pPr>
            <w:r>
              <w:rPr>
                <w:spacing w:val="20"/>
                <w:sz w:val="24"/>
              </w:rPr>
              <w:t>三、為因應提起保障事件</w:t>
            </w:r>
            <w:r>
              <w:rPr>
                <w:spacing w:val="21"/>
                <w:sz w:val="24"/>
              </w:rPr>
              <w:t>之當事人或其代表人</w:t>
            </w:r>
          </w:p>
          <w:p>
            <w:pPr>
              <w:pStyle w:val="TableParagraph"/>
              <w:spacing w:line="223" w:lineRule="auto"/>
              <w:ind w:left="626" w:right="101"/>
              <w:jc w:val="both"/>
              <w:rPr>
                <w:sz w:val="24"/>
              </w:rPr>
            </w:pPr>
            <w:r>
              <w:rPr>
                <w:spacing w:val="23"/>
                <w:sz w:val="24"/>
              </w:rPr>
              <w:t>、代理人可能為外籍</w:t>
            </w:r>
            <w:r>
              <w:rPr>
                <w:spacing w:val="21"/>
                <w:sz w:val="24"/>
              </w:rPr>
              <w:t>人士或大陸地區人民</w:t>
            </w:r>
          </w:p>
          <w:p>
            <w:pPr>
              <w:pStyle w:val="TableParagraph"/>
              <w:spacing w:line="223" w:lineRule="auto"/>
              <w:ind w:left="626" w:right="101"/>
              <w:jc w:val="both"/>
              <w:rPr>
                <w:sz w:val="24"/>
              </w:rPr>
            </w:pPr>
            <w:r>
              <w:rPr>
                <w:spacing w:val="13"/>
                <w:w w:val="95"/>
                <w:sz w:val="24"/>
              </w:rPr>
              <w:t>， 爰於第一項第一款</w:t>
            </w:r>
            <w:r>
              <w:rPr>
                <w:spacing w:val="21"/>
                <w:sz w:val="24"/>
              </w:rPr>
              <w:t>及第二款調處書之應</w:t>
            </w:r>
          </w:p>
          <w:p>
            <w:pPr>
              <w:pStyle w:val="TableParagraph"/>
              <w:spacing w:line="289" w:lineRule="exact"/>
              <w:ind w:left="626"/>
              <w:jc w:val="both"/>
              <w:rPr>
                <w:sz w:val="24"/>
              </w:rPr>
            </w:pPr>
            <w:r>
              <w:rPr>
                <w:spacing w:val="8"/>
                <w:sz w:val="24"/>
              </w:rPr>
              <w:t>記載事項， 增訂身分</w:t>
            </w:r>
          </w:p>
        </w:tc>
      </w:tr>
    </w:tbl>
    <w:p>
      <w:pPr>
        <w:spacing w:after="0" w:line="289" w:lineRule="exact"/>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433" w:hRule="atLeast"/>
        </w:trPr>
        <w:tc>
          <w:tcPr>
            <w:tcW w:w="2835" w:type="dxa"/>
          </w:tcPr>
          <w:p>
            <w:pPr>
              <w:pStyle w:val="TableParagraph"/>
              <w:spacing w:line="312" w:lineRule="exact"/>
              <w:ind w:left="842"/>
              <w:rPr>
                <w:sz w:val="24"/>
              </w:rPr>
            </w:pPr>
            <w:r>
              <w:rPr>
                <w:sz w:val="24"/>
              </w:rPr>
              <w:t>名。</w:t>
            </w:r>
          </w:p>
          <w:p>
            <w:pPr>
              <w:pStyle w:val="TableParagraph"/>
              <w:spacing w:line="312" w:lineRule="exact"/>
              <w:ind w:left="345"/>
              <w:rPr>
                <w:sz w:val="24"/>
              </w:rPr>
            </w:pPr>
            <w:r>
              <w:rPr>
                <w:sz w:val="24"/>
              </w:rPr>
              <w:t>四、調處事由。</w:t>
            </w:r>
          </w:p>
          <w:p>
            <w:pPr>
              <w:pStyle w:val="TableParagraph"/>
              <w:spacing w:line="312" w:lineRule="exact"/>
              <w:ind w:left="345"/>
              <w:rPr>
                <w:sz w:val="24"/>
              </w:rPr>
            </w:pPr>
            <w:r>
              <w:rPr>
                <w:spacing w:val="23"/>
                <w:sz w:val="24"/>
              </w:rPr>
              <w:t>五、調處成立之內容</w:t>
            </w:r>
          </w:p>
          <w:p>
            <w:pPr>
              <w:pStyle w:val="TableParagraph"/>
              <w:spacing w:line="312" w:lineRule="exact"/>
              <w:ind w:left="842"/>
              <w:rPr>
                <w:sz w:val="24"/>
              </w:rPr>
            </w:pPr>
            <w:r>
              <w:rPr>
                <w:sz w:val="24"/>
              </w:rPr>
              <w:t>。</w:t>
            </w:r>
          </w:p>
          <w:p>
            <w:pPr>
              <w:pStyle w:val="TableParagraph"/>
              <w:spacing w:line="312" w:lineRule="exact"/>
              <w:ind w:left="345"/>
              <w:rPr>
                <w:sz w:val="24"/>
              </w:rPr>
            </w:pPr>
            <w:r>
              <w:rPr>
                <w:spacing w:val="23"/>
                <w:sz w:val="24"/>
              </w:rPr>
              <w:t>六、調處成立之場所</w:t>
            </w:r>
          </w:p>
          <w:p>
            <w:pPr>
              <w:pStyle w:val="TableParagraph"/>
              <w:spacing w:line="312" w:lineRule="exact"/>
              <w:ind w:left="842"/>
              <w:rPr>
                <w:sz w:val="24"/>
              </w:rPr>
            </w:pPr>
            <w:r>
              <w:rPr>
                <w:sz w:val="24"/>
              </w:rPr>
              <w:t>。</w:t>
            </w:r>
          </w:p>
          <w:p>
            <w:pPr>
              <w:pStyle w:val="TableParagraph"/>
              <w:spacing w:line="225" w:lineRule="auto" w:before="2"/>
              <w:ind w:left="842" w:right="96" w:hanging="497"/>
              <w:rPr>
                <w:sz w:val="24"/>
              </w:rPr>
            </w:pPr>
            <w:r>
              <w:rPr>
                <w:spacing w:val="23"/>
                <w:sz w:val="24"/>
              </w:rPr>
              <w:t>七、調處成立之年月</w:t>
            </w:r>
            <w:r>
              <w:rPr>
                <w:sz w:val="24"/>
              </w:rPr>
              <w:t>日。</w:t>
            </w:r>
          </w:p>
          <w:p>
            <w:pPr>
              <w:pStyle w:val="TableParagraph"/>
              <w:spacing w:line="223" w:lineRule="auto"/>
              <w:ind w:right="63" w:firstLine="479"/>
              <w:rPr>
                <w:sz w:val="24"/>
              </w:rPr>
            </w:pPr>
            <w:r>
              <w:rPr>
                <w:spacing w:val="33"/>
                <w:sz w:val="24"/>
              </w:rPr>
              <w:t>前項經調處成立</w:t>
            </w:r>
            <w:r>
              <w:rPr>
                <w:spacing w:val="26"/>
                <w:sz w:val="24"/>
              </w:rPr>
              <w:t>之</w:t>
            </w:r>
            <w:r>
              <w:rPr>
                <w:spacing w:val="27"/>
                <w:sz w:val="24"/>
                <w:u w:val="single"/>
              </w:rPr>
              <w:t>保障</w:t>
            </w:r>
            <w:r>
              <w:rPr>
                <w:sz w:val="24"/>
              </w:rPr>
              <w:t>事件， 保訓會</w:t>
            </w:r>
          </w:p>
          <w:p>
            <w:pPr>
              <w:pStyle w:val="TableParagraph"/>
              <w:spacing w:line="287" w:lineRule="exact"/>
              <w:rPr>
                <w:sz w:val="24"/>
              </w:rPr>
            </w:pPr>
            <w:r>
              <w:rPr>
                <w:sz w:val="24"/>
              </w:rPr>
              <w:t>應終結其審理程序。</w:t>
            </w:r>
          </w:p>
        </w:tc>
        <w:tc>
          <w:tcPr>
            <w:tcW w:w="3262" w:type="dxa"/>
          </w:tcPr>
          <w:p>
            <w:pPr>
              <w:pStyle w:val="TableParagraph"/>
              <w:ind w:left="0"/>
              <w:rPr>
                <w:rFonts w:ascii="Times New Roman"/>
                <w:sz w:val="22"/>
              </w:rPr>
            </w:pPr>
          </w:p>
        </w:tc>
        <w:tc>
          <w:tcPr>
            <w:tcW w:w="3116" w:type="dxa"/>
          </w:tcPr>
          <w:p>
            <w:pPr>
              <w:pStyle w:val="TableParagraph"/>
              <w:spacing w:line="223" w:lineRule="auto" w:before="4"/>
              <w:ind w:left="626" w:right="101"/>
              <w:jc w:val="both"/>
              <w:rPr>
                <w:sz w:val="24"/>
              </w:rPr>
            </w:pPr>
            <w:r>
              <w:rPr>
                <w:spacing w:val="23"/>
                <w:sz w:val="24"/>
              </w:rPr>
              <w:t>證明文件及字號之記</w:t>
            </w:r>
            <w:r>
              <w:rPr>
                <w:sz w:val="24"/>
              </w:rPr>
              <w:t>載，以符實需。</w:t>
            </w:r>
          </w:p>
          <w:p>
            <w:pPr>
              <w:pStyle w:val="TableParagraph"/>
              <w:spacing w:line="223" w:lineRule="auto"/>
              <w:ind w:left="626" w:right="100" w:hanging="521"/>
              <w:jc w:val="both"/>
              <w:rPr>
                <w:sz w:val="24"/>
              </w:rPr>
            </w:pPr>
            <w:r>
              <w:rPr>
                <w:spacing w:val="20"/>
                <w:sz w:val="24"/>
              </w:rPr>
              <w:t>四、第二項配合第一項修</w:t>
            </w:r>
            <w:r>
              <w:rPr>
                <w:spacing w:val="6"/>
                <w:sz w:val="24"/>
              </w:rPr>
              <w:t>正， 將再申訴事件修</w:t>
            </w:r>
            <w:r>
              <w:rPr>
                <w:sz w:val="24"/>
              </w:rPr>
              <w:t>正為保障事件。</w:t>
            </w:r>
          </w:p>
        </w:tc>
      </w:tr>
      <w:tr>
        <w:trPr>
          <w:trHeight w:val="1560" w:hRule="atLeast"/>
        </w:trPr>
        <w:tc>
          <w:tcPr>
            <w:tcW w:w="2835" w:type="dxa"/>
          </w:tcPr>
          <w:p>
            <w:pPr>
              <w:pStyle w:val="TableParagraph"/>
              <w:spacing w:line="223" w:lineRule="auto" w:before="4"/>
              <w:ind w:right="70" w:hanging="240"/>
              <w:jc w:val="both"/>
              <w:rPr>
                <w:sz w:val="24"/>
              </w:rPr>
            </w:pPr>
            <w:r>
              <w:rPr>
                <w:spacing w:val="23"/>
                <w:sz w:val="24"/>
              </w:rPr>
              <w:t>第八十八條 </w:t>
            </w:r>
            <w:r>
              <w:rPr>
                <w:spacing w:val="24"/>
                <w:sz w:val="24"/>
                <w:u w:val="single"/>
              </w:rPr>
              <w:t>保障</w:t>
            </w:r>
            <w:r>
              <w:rPr>
                <w:spacing w:val="18"/>
                <w:sz w:val="24"/>
              </w:rPr>
              <w:t>事件</w:t>
            </w:r>
            <w:r>
              <w:rPr>
                <w:spacing w:val="8"/>
                <w:sz w:val="24"/>
              </w:rPr>
              <w:t>經調處不成立者， 保</w:t>
            </w:r>
            <w:r>
              <w:rPr>
                <w:spacing w:val="23"/>
                <w:sz w:val="24"/>
              </w:rPr>
              <w:t>訓會應逕依本法所定</w:t>
            </w:r>
            <w:r>
              <w:rPr>
                <w:spacing w:val="26"/>
                <w:sz w:val="24"/>
              </w:rPr>
              <w:t>之</w:t>
            </w:r>
            <w:r>
              <w:rPr>
                <w:spacing w:val="26"/>
                <w:sz w:val="24"/>
                <w:u w:val="single"/>
              </w:rPr>
              <w:t>復審程序或</w:t>
            </w:r>
            <w:r>
              <w:rPr>
                <w:spacing w:val="22"/>
                <w:sz w:val="24"/>
              </w:rPr>
              <w:t>再申訴</w:t>
            </w:r>
          </w:p>
          <w:p>
            <w:pPr>
              <w:pStyle w:val="TableParagraph"/>
              <w:spacing w:line="287" w:lineRule="exact"/>
              <w:rPr>
                <w:sz w:val="24"/>
              </w:rPr>
            </w:pPr>
            <w:r>
              <w:rPr>
                <w:sz w:val="24"/>
              </w:rPr>
              <w:t>程序為審議決定。</w:t>
            </w:r>
          </w:p>
        </w:tc>
        <w:tc>
          <w:tcPr>
            <w:tcW w:w="3262" w:type="dxa"/>
          </w:tcPr>
          <w:p>
            <w:pPr>
              <w:pStyle w:val="TableParagraph"/>
              <w:spacing w:line="223" w:lineRule="auto" w:before="4"/>
              <w:ind w:right="79" w:hanging="240"/>
              <w:jc w:val="both"/>
              <w:rPr>
                <w:sz w:val="24"/>
              </w:rPr>
            </w:pPr>
            <w:r>
              <w:rPr>
                <w:spacing w:val="12"/>
                <w:sz w:val="24"/>
              </w:rPr>
              <w:t>第八十八條 再申訴事件經</w:t>
            </w:r>
            <w:r>
              <w:rPr>
                <w:spacing w:val="15"/>
                <w:sz w:val="24"/>
              </w:rPr>
              <w:t>調處不成立者，保訓會應逕依本法所定之再申訴程</w:t>
            </w:r>
            <w:r>
              <w:rPr>
                <w:sz w:val="24"/>
              </w:rPr>
              <w:t>序為審議決定。</w:t>
            </w:r>
          </w:p>
        </w:tc>
        <w:tc>
          <w:tcPr>
            <w:tcW w:w="3116" w:type="dxa"/>
          </w:tcPr>
          <w:p>
            <w:pPr>
              <w:pStyle w:val="TableParagraph"/>
              <w:spacing w:line="223" w:lineRule="auto" w:before="4"/>
              <w:ind w:left="105" w:right="100"/>
              <w:rPr>
                <w:sz w:val="24"/>
              </w:rPr>
            </w:pPr>
            <w:r>
              <w:rPr>
                <w:sz w:val="24"/>
              </w:rPr>
              <w:t>配合第八十五條規定，酌作文字修正。</w:t>
            </w:r>
          </w:p>
        </w:tc>
      </w:tr>
      <w:tr>
        <w:trPr>
          <w:trHeight w:val="8431" w:hRule="atLeast"/>
        </w:trPr>
        <w:tc>
          <w:tcPr>
            <w:tcW w:w="2835" w:type="dxa"/>
          </w:tcPr>
          <w:p>
            <w:pPr>
              <w:pStyle w:val="TableParagraph"/>
              <w:spacing w:line="223" w:lineRule="auto" w:before="7"/>
              <w:ind w:right="97" w:hanging="240"/>
              <w:jc w:val="both"/>
              <w:rPr>
                <w:sz w:val="24"/>
              </w:rPr>
            </w:pPr>
            <w:r>
              <w:rPr>
                <w:spacing w:val="6"/>
                <w:sz w:val="24"/>
              </w:rPr>
              <w:t>第九十一條 保訓會所</w:t>
            </w:r>
            <w:r>
              <w:rPr>
                <w:spacing w:val="23"/>
                <w:sz w:val="24"/>
              </w:rPr>
              <w:t>為保障事件之決定確</w:t>
            </w:r>
            <w:r>
              <w:rPr>
                <w:spacing w:val="13"/>
                <w:w w:val="95"/>
                <w:sz w:val="24"/>
              </w:rPr>
              <w:t>定後， 有拘束各關係機關之效力； 其經保</w:t>
            </w:r>
            <w:r>
              <w:rPr>
                <w:spacing w:val="23"/>
                <w:sz w:val="24"/>
              </w:rPr>
              <w:t>訓會作成調處書者，</w:t>
            </w:r>
            <w:r>
              <w:rPr>
                <w:spacing w:val="-118"/>
                <w:sz w:val="24"/>
              </w:rPr>
              <w:t> </w:t>
            </w:r>
            <w:r>
              <w:rPr>
                <w:sz w:val="24"/>
              </w:rPr>
              <w:t>亦同。</w:t>
            </w:r>
          </w:p>
          <w:p>
            <w:pPr>
              <w:pStyle w:val="TableParagraph"/>
              <w:spacing w:line="223" w:lineRule="auto"/>
              <w:ind w:right="63" w:firstLine="479"/>
              <w:jc w:val="both"/>
              <w:rPr>
                <w:sz w:val="24"/>
              </w:rPr>
            </w:pPr>
            <w:r>
              <w:rPr>
                <w:spacing w:val="33"/>
                <w:sz w:val="24"/>
              </w:rPr>
              <w:t>原處分機關應於</w:t>
            </w:r>
            <w:r>
              <w:rPr>
                <w:spacing w:val="23"/>
                <w:sz w:val="24"/>
              </w:rPr>
              <w:t>復審決定確定之次日</w:t>
            </w:r>
            <w:r>
              <w:rPr>
                <w:spacing w:val="7"/>
                <w:sz w:val="24"/>
              </w:rPr>
              <w:t>起二個月內， 將處理</w:t>
            </w:r>
            <w:r>
              <w:rPr>
                <w:spacing w:val="23"/>
                <w:sz w:val="24"/>
              </w:rPr>
              <w:t>情形回復保訓會。必</w:t>
            </w:r>
            <w:r>
              <w:rPr>
                <w:spacing w:val="8"/>
                <w:sz w:val="24"/>
              </w:rPr>
              <w:t>要時得予延長， 但不得超過二個月， 並通</w:t>
            </w:r>
            <w:r>
              <w:rPr>
                <w:sz w:val="24"/>
              </w:rPr>
              <w:t>知復審人及保訓會。</w:t>
            </w:r>
          </w:p>
          <w:p>
            <w:pPr>
              <w:pStyle w:val="TableParagraph"/>
              <w:spacing w:line="223" w:lineRule="auto" w:before="1"/>
              <w:ind w:right="63" w:firstLine="479"/>
              <w:jc w:val="both"/>
              <w:rPr>
                <w:sz w:val="24"/>
              </w:rPr>
            </w:pPr>
            <w:r>
              <w:rPr>
                <w:spacing w:val="33"/>
                <w:sz w:val="24"/>
              </w:rPr>
              <w:t>服務機關應於收</w:t>
            </w:r>
            <w:r>
              <w:rPr>
                <w:spacing w:val="23"/>
                <w:sz w:val="24"/>
              </w:rPr>
              <w:t>受再申訴決定書之次</w:t>
            </w:r>
            <w:r>
              <w:rPr>
                <w:spacing w:val="8"/>
                <w:sz w:val="24"/>
              </w:rPr>
              <w:t>日起二個月內， 將處</w:t>
            </w:r>
            <w:r>
              <w:rPr>
                <w:spacing w:val="23"/>
                <w:sz w:val="24"/>
              </w:rPr>
              <w:t>理情形回復保訓會。</w:t>
            </w:r>
            <w:r>
              <w:rPr>
                <w:spacing w:val="8"/>
                <w:sz w:val="24"/>
              </w:rPr>
              <w:t>必要時得予延長， 但不得超過二個月， 並</w:t>
            </w:r>
            <w:r>
              <w:rPr>
                <w:spacing w:val="23"/>
                <w:sz w:val="24"/>
              </w:rPr>
              <w:t>通知再申訴人及保訓</w:t>
            </w:r>
            <w:r>
              <w:rPr>
                <w:sz w:val="24"/>
              </w:rPr>
              <w:t>會。</w:t>
            </w:r>
          </w:p>
          <w:p>
            <w:pPr>
              <w:pStyle w:val="TableParagraph"/>
              <w:spacing w:line="223" w:lineRule="auto"/>
              <w:ind w:right="63" w:firstLine="479"/>
              <w:jc w:val="both"/>
              <w:rPr>
                <w:sz w:val="24"/>
              </w:rPr>
            </w:pPr>
            <w:r>
              <w:rPr>
                <w:spacing w:val="36"/>
                <w:sz w:val="24"/>
                <w:u w:val="single"/>
              </w:rPr>
              <w:t>保障</w:t>
            </w:r>
            <w:r>
              <w:rPr>
                <w:spacing w:val="32"/>
                <w:sz w:val="24"/>
              </w:rPr>
              <w:t>事件經調處</w:t>
            </w:r>
            <w:r>
              <w:rPr>
                <w:spacing w:val="-4"/>
                <w:sz w:val="24"/>
              </w:rPr>
              <w:t>成立者， </w:t>
            </w:r>
            <w:r>
              <w:rPr>
                <w:spacing w:val="20"/>
                <w:sz w:val="24"/>
                <w:u w:val="single"/>
              </w:rPr>
              <w:t>原處分機關</w:t>
            </w:r>
            <w:r>
              <w:rPr>
                <w:spacing w:val="26"/>
                <w:sz w:val="24"/>
                <w:u w:val="single"/>
              </w:rPr>
              <w:t>或</w:t>
            </w:r>
            <w:r>
              <w:rPr>
                <w:spacing w:val="22"/>
                <w:sz w:val="24"/>
              </w:rPr>
              <w:t>服務機關應於收受</w:t>
            </w:r>
            <w:r>
              <w:rPr>
                <w:spacing w:val="-219"/>
                <w:sz w:val="24"/>
              </w:rPr>
              <w:t>調處</w:t>
            </w:r>
            <w:r>
              <w:rPr>
                <w:spacing w:val="22"/>
                <w:sz w:val="24"/>
              </w:rPr>
              <w:t>書之次日起二個月內</w:t>
            </w:r>
            <w:r>
              <w:rPr>
                <w:spacing w:val="3"/>
                <w:sz w:val="24"/>
              </w:rPr>
              <w:t>， 將處理情形回</w:t>
            </w:r>
          </w:p>
          <w:p>
            <w:pPr>
              <w:pStyle w:val="TableParagraph"/>
              <w:spacing w:line="289" w:lineRule="exact"/>
              <w:rPr>
                <w:sz w:val="24"/>
              </w:rPr>
            </w:pPr>
            <w:r>
              <w:rPr>
                <w:sz w:val="24"/>
              </w:rPr>
              <w:t>復保訓會。</w:t>
            </w:r>
          </w:p>
        </w:tc>
        <w:tc>
          <w:tcPr>
            <w:tcW w:w="3262" w:type="dxa"/>
          </w:tcPr>
          <w:p>
            <w:pPr>
              <w:pStyle w:val="TableParagraph"/>
              <w:spacing w:line="223" w:lineRule="auto" w:before="7"/>
              <w:ind w:right="79" w:hanging="240"/>
              <w:jc w:val="both"/>
              <w:rPr>
                <w:sz w:val="24"/>
              </w:rPr>
            </w:pPr>
            <w:r>
              <w:rPr>
                <w:spacing w:val="11"/>
                <w:sz w:val="24"/>
              </w:rPr>
              <w:t>第九十一條 保訓會所為保</w:t>
            </w:r>
            <w:r>
              <w:rPr>
                <w:spacing w:val="15"/>
                <w:sz w:val="24"/>
              </w:rPr>
              <w:t>障事件之決定確定後，有拘束各關係機關之效力；</w:t>
            </w:r>
            <w:r>
              <w:rPr>
                <w:spacing w:val="-118"/>
                <w:sz w:val="24"/>
              </w:rPr>
              <w:t> </w:t>
            </w:r>
            <w:r>
              <w:rPr>
                <w:spacing w:val="15"/>
                <w:sz w:val="24"/>
              </w:rPr>
              <w:t>其經保訓會作成調處書者</w:t>
            </w:r>
          </w:p>
          <w:p>
            <w:pPr>
              <w:pStyle w:val="TableParagraph"/>
              <w:spacing w:line="306" w:lineRule="exact"/>
              <w:rPr>
                <w:sz w:val="24"/>
              </w:rPr>
            </w:pPr>
            <w:r>
              <w:rPr>
                <w:sz w:val="24"/>
              </w:rPr>
              <w:t>，亦同。</w:t>
            </w:r>
          </w:p>
          <w:p>
            <w:pPr>
              <w:pStyle w:val="TableParagraph"/>
              <w:spacing w:line="223" w:lineRule="auto" w:before="5"/>
              <w:ind w:right="79" w:firstLine="480"/>
              <w:jc w:val="both"/>
              <w:rPr>
                <w:sz w:val="24"/>
              </w:rPr>
            </w:pPr>
            <w:r>
              <w:rPr>
                <w:spacing w:val="16"/>
                <w:sz w:val="24"/>
              </w:rPr>
              <w:t>原處分機關應於復審</w:t>
            </w:r>
            <w:r>
              <w:rPr>
                <w:spacing w:val="15"/>
                <w:sz w:val="24"/>
              </w:rPr>
              <w:t>決定確定之次日起二個月內，將處理情形回復保訓會。必要時得予延長，但不得超過二個月，並通知</w:t>
            </w:r>
            <w:r>
              <w:rPr>
                <w:sz w:val="24"/>
              </w:rPr>
              <w:t>復審人及保訓會。</w:t>
            </w:r>
          </w:p>
          <w:p>
            <w:pPr>
              <w:pStyle w:val="TableParagraph"/>
              <w:spacing w:line="223" w:lineRule="auto"/>
              <w:ind w:right="79" w:firstLine="480"/>
              <w:jc w:val="both"/>
              <w:rPr>
                <w:sz w:val="24"/>
              </w:rPr>
            </w:pPr>
            <w:r>
              <w:rPr>
                <w:spacing w:val="16"/>
                <w:sz w:val="24"/>
              </w:rPr>
              <w:t>服務機關應於收受再</w:t>
            </w:r>
            <w:r>
              <w:rPr>
                <w:spacing w:val="15"/>
                <w:sz w:val="24"/>
              </w:rPr>
              <w:t>申訴決定書之次日起二個月內，將處理情形回復保訓會。必要時得予延長，</w:t>
            </w:r>
            <w:r>
              <w:rPr>
                <w:spacing w:val="-118"/>
                <w:sz w:val="24"/>
              </w:rPr>
              <w:t> </w:t>
            </w:r>
            <w:r>
              <w:rPr>
                <w:spacing w:val="15"/>
                <w:sz w:val="24"/>
              </w:rPr>
              <w:t>但不得超過二個月，並通</w:t>
            </w:r>
            <w:r>
              <w:rPr>
                <w:sz w:val="24"/>
              </w:rPr>
              <w:t>知再申訴人及保訓會。</w:t>
            </w:r>
          </w:p>
          <w:p>
            <w:pPr>
              <w:pStyle w:val="TableParagraph"/>
              <w:spacing w:line="223" w:lineRule="auto" w:before="1"/>
              <w:ind w:right="79" w:firstLine="480"/>
              <w:jc w:val="both"/>
              <w:rPr>
                <w:sz w:val="24"/>
              </w:rPr>
            </w:pPr>
            <w:r>
              <w:rPr>
                <w:spacing w:val="16"/>
                <w:sz w:val="24"/>
              </w:rPr>
              <w:t>再申訴事件經調處成</w:t>
            </w:r>
            <w:r>
              <w:rPr>
                <w:spacing w:val="15"/>
                <w:sz w:val="24"/>
              </w:rPr>
              <w:t>立者，服務機關應於收受調處書之次日起二個月內</w:t>
            </w:r>
          </w:p>
          <w:p>
            <w:pPr>
              <w:pStyle w:val="TableParagraph"/>
              <w:spacing w:line="307" w:lineRule="exact"/>
              <w:rPr>
                <w:sz w:val="24"/>
              </w:rPr>
            </w:pPr>
            <w:r>
              <w:rPr>
                <w:spacing w:val="15"/>
                <w:sz w:val="24"/>
              </w:rPr>
              <w:t>，將處理情形回復保訓會</w:t>
            </w:r>
          </w:p>
          <w:p>
            <w:pPr>
              <w:pStyle w:val="TableParagraph"/>
              <w:spacing w:line="324" w:lineRule="exact"/>
              <w:rPr>
                <w:sz w:val="24"/>
              </w:rPr>
            </w:pPr>
            <w:r>
              <w:rPr>
                <w:sz w:val="24"/>
              </w:rPr>
              <w:t>。</w:t>
            </w:r>
          </w:p>
        </w:tc>
        <w:tc>
          <w:tcPr>
            <w:tcW w:w="3116" w:type="dxa"/>
          </w:tcPr>
          <w:p>
            <w:pPr>
              <w:pStyle w:val="TableParagraph"/>
              <w:spacing w:line="223" w:lineRule="auto" w:before="7"/>
              <w:ind w:left="105" w:right="99"/>
              <w:rPr>
                <w:sz w:val="24"/>
              </w:rPr>
            </w:pPr>
            <w:r>
              <w:rPr>
                <w:sz w:val="24"/>
              </w:rPr>
              <w:t>配合第八十五條規定，酌作文字修正。</w:t>
            </w:r>
          </w:p>
        </w:tc>
      </w:tr>
    </w:tbl>
    <w:p>
      <w:pPr>
        <w:spacing w:after="0" w:line="223" w:lineRule="auto"/>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871" w:hRule="atLeast"/>
        </w:trPr>
        <w:tc>
          <w:tcPr>
            <w:tcW w:w="2835" w:type="dxa"/>
          </w:tcPr>
          <w:p>
            <w:pPr>
              <w:pStyle w:val="TableParagraph"/>
              <w:spacing w:line="223" w:lineRule="auto" w:before="4"/>
              <w:ind w:right="97" w:hanging="240"/>
              <w:rPr>
                <w:sz w:val="24"/>
              </w:rPr>
            </w:pPr>
            <w:r>
              <w:rPr>
                <w:spacing w:val="18"/>
                <w:sz w:val="24"/>
              </w:rPr>
              <w:t>第九十三條 保障事件</w:t>
            </w:r>
            <w:r>
              <w:rPr>
                <w:spacing w:val="22"/>
                <w:sz w:val="24"/>
              </w:rPr>
              <w:t>決定書及其執行情形</w:t>
            </w:r>
          </w:p>
          <w:p>
            <w:pPr>
              <w:pStyle w:val="TableParagraph"/>
              <w:spacing w:line="223" w:lineRule="auto"/>
              <w:ind w:right="99"/>
              <w:rPr>
                <w:sz w:val="24"/>
              </w:rPr>
            </w:pPr>
            <w:r>
              <w:rPr>
                <w:spacing w:val="13"/>
                <w:w w:val="95"/>
                <w:sz w:val="24"/>
              </w:rPr>
              <w:t>， 應定期刊登</w:t>
            </w:r>
            <w:r>
              <w:rPr>
                <w:spacing w:val="26"/>
                <w:w w:val="95"/>
                <w:sz w:val="24"/>
                <w:u w:val="single"/>
              </w:rPr>
              <w:t>政府</w:t>
            </w:r>
            <w:r>
              <w:rPr>
                <w:w w:val="95"/>
                <w:sz w:val="24"/>
              </w:rPr>
              <w:t>公</w:t>
            </w:r>
            <w:r>
              <w:rPr>
                <w:spacing w:val="24"/>
                <w:sz w:val="24"/>
              </w:rPr>
              <w:t>報</w:t>
            </w:r>
            <w:r>
              <w:rPr>
                <w:spacing w:val="21"/>
                <w:sz w:val="24"/>
                <w:u w:val="single"/>
              </w:rPr>
              <w:t>並公布於機關網站</w:t>
            </w:r>
          </w:p>
          <w:p>
            <w:pPr>
              <w:pStyle w:val="TableParagraph"/>
              <w:spacing w:line="319" w:lineRule="exact"/>
              <w:rPr>
                <w:sz w:val="24"/>
              </w:rPr>
            </w:pPr>
            <w:r>
              <w:rPr>
                <w:sz w:val="24"/>
              </w:rPr>
              <w:t>。</w:t>
            </w:r>
          </w:p>
        </w:tc>
        <w:tc>
          <w:tcPr>
            <w:tcW w:w="3262" w:type="dxa"/>
          </w:tcPr>
          <w:p>
            <w:pPr>
              <w:pStyle w:val="TableParagraph"/>
              <w:spacing w:line="223" w:lineRule="auto" w:before="4"/>
              <w:ind w:right="79" w:hanging="240"/>
              <w:jc w:val="both"/>
              <w:rPr>
                <w:sz w:val="24"/>
              </w:rPr>
            </w:pPr>
            <w:r>
              <w:rPr>
                <w:spacing w:val="12"/>
                <w:sz w:val="24"/>
              </w:rPr>
              <w:t>第九十三條 保障事件決定</w:t>
            </w:r>
            <w:r>
              <w:rPr>
                <w:spacing w:val="15"/>
                <w:sz w:val="24"/>
              </w:rPr>
              <w:t>書及其執行情形，應定期</w:t>
            </w:r>
            <w:r>
              <w:rPr>
                <w:sz w:val="24"/>
              </w:rPr>
              <w:t>刊登公報。</w:t>
            </w:r>
          </w:p>
        </w:tc>
        <w:tc>
          <w:tcPr>
            <w:tcW w:w="3116" w:type="dxa"/>
          </w:tcPr>
          <w:p>
            <w:pPr>
              <w:pStyle w:val="TableParagraph"/>
              <w:spacing w:line="223" w:lineRule="auto" w:before="4"/>
              <w:ind w:left="105" w:right="94"/>
              <w:jc w:val="both"/>
              <w:rPr>
                <w:sz w:val="24"/>
              </w:rPr>
            </w:pPr>
            <w:r>
              <w:rPr>
                <w:sz w:val="24"/>
              </w:rPr>
              <w:t>為因應電子化政府及公文無紙化政策，關於保障事件決定書及其執行情形之公告周知方式，除採現行刊登政府公報之方式外，增訂可公布</w:t>
            </w:r>
          </w:p>
          <w:p>
            <w:pPr>
              <w:pStyle w:val="TableParagraph"/>
              <w:spacing w:line="286" w:lineRule="exact"/>
              <w:ind w:left="105"/>
              <w:rPr>
                <w:sz w:val="24"/>
              </w:rPr>
            </w:pPr>
            <w:r>
              <w:rPr>
                <w:sz w:val="24"/>
              </w:rPr>
              <w:t>於機關網站，爰修正本條。</w:t>
            </w:r>
          </w:p>
        </w:tc>
      </w:tr>
      <w:tr>
        <w:trPr>
          <w:trHeight w:val="11554" w:hRule="atLeast"/>
        </w:trPr>
        <w:tc>
          <w:tcPr>
            <w:tcW w:w="2835" w:type="dxa"/>
          </w:tcPr>
          <w:p>
            <w:pPr>
              <w:pStyle w:val="TableParagraph"/>
              <w:spacing w:line="223" w:lineRule="auto" w:before="7"/>
              <w:ind w:right="70" w:hanging="240"/>
              <w:jc w:val="both"/>
              <w:rPr>
                <w:sz w:val="24"/>
              </w:rPr>
            </w:pPr>
            <w:r>
              <w:rPr>
                <w:spacing w:val="23"/>
                <w:sz w:val="24"/>
              </w:rPr>
              <w:t>第九十四條 </w:t>
            </w:r>
            <w:r>
              <w:rPr>
                <w:spacing w:val="24"/>
                <w:sz w:val="24"/>
                <w:u w:val="single"/>
              </w:rPr>
              <w:t>保障</w:t>
            </w:r>
            <w:r>
              <w:rPr>
                <w:spacing w:val="18"/>
                <w:sz w:val="24"/>
              </w:rPr>
              <w:t>事件</w:t>
            </w:r>
            <w:r>
              <w:rPr>
                <w:spacing w:val="23"/>
                <w:sz w:val="24"/>
              </w:rPr>
              <w:t>經保訓會審議決定，</w:t>
            </w:r>
            <w:r>
              <w:rPr>
                <w:spacing w:val="-118"/>
                <w:sz w:val="24"/>
              </w:rPr>
              <w:t> </w:t>
            </w:r>
            <w:r>
              <w:rPr>
                <w:spacing w:val="23"/>
                <w:sz w:val="24"/>
              </w:rPr>
              <w:t>除復審事件復審人已依法向司法機關請求</w:t>
            </w:r>
            <w:r>
              <w:rPr>
                <w:spacing w:val="7"/>
                <w:sz w:val="24"/>
              </w:rPr>
              <w:t>救濟者外， 於復審決</w:t>
            </w:r>
            <w:r>
              <w:rPr>
                <w:spacing w:val="26"/>
                <w:sz w:val="24"/>
              </w:rPr>
              <w:t>定</w:t>
            </w:r>
            <w:r>
              <w:rPr>
                <w:spacing w:val="26"/>
                <w:sz w:val="24"/>
                <w:u w:val="single"/>
              </w:rPr>
              <w:t>或再申訴</w:t>
            </w:r>
            <w:r>
              <w:rPr>
                <w:spacing w:val="19"/>
                <w:sz w:val="24"/>
              </w:rPr>
              <w:t>決定確定</w:t>
            </w:r>
            <w:r>
              <w:rPr>
                <w:spacing w:val="7"/>
                <w:sz w:val="24"/>
              </w:rPr>
              <w:t>後， 有下列情形之一</w:t>
            </w:r>
            <w:r>
              <w:rPr>
                <w:spacing w:val="22"/>
                <w:w w:val="95"/>
                <w:sz w:val="24"/>
              </w:rPr>
              <w:t>者， 原處分機關</w:t>
            </w:r>
            <w:r>
              <w:rPr>
                <w:spacing w:val="20"/>
                <w:w w:val="95"/>
                <w:sz w:val="24"/>
                <w:u w:val="single"/>
              </w:rPr>
              <w:t>、服</w:t>
            </w:r>
            <w:r>
              <w:rPr>
                <w:spacing w:val="-220"/>
                <w:w w:val="95"/>
                <w:sz w:val="24"/>
                <w:u w:val="single"/>
              </w:rPr>
              <w:t>務</w:t>
            </w:r>
            <w:r>
              <w:rPr>
                <w:spacing w:val="27"/>
                <w:sz w:val="24"/>
                <w:u w:val="single"/>
              </w:rPr>
              <w:t>機關</w:t>
            </w:r>
            <w:r>
              <w:rPr>
                <w:spacing w:val="26"/>
                <w:sz w:val="24"/>
              </w:rPr>
              <w:t>、復審人或</w:t>
            </w:r>
            <w:r>
              <w:rPr>
                <w:spacing w:val="13"/>
                <w:sz w:val="24"/>
                <w:u w:val="single"/>
              </w:rPr>
              <w:t>再申</w:t>
            </w:r>
            <w:r>
              <w:rPr>
                <w:spacing w:val="27"/>
                <w:sz w:val="24"/>
                <w:u w:val="single"/>
              </w:rPr>
              <w:t>訴人</w:t>
            </w:r>
            <w:r>
              <w:rPr>
                <w:spacing w:val="18"/>
                <w:sz w:val="24"/>
              </w:rPr>
              <w:t>得向保訓會申請</w:t>
            </w:r>
            <w:r>
              <w:rPr>
                <w:sz w:val="24"/>
              </w:rPr>
              <w:t>再審議：</w:t>
            </w:r>
          </w:p>
          <w:p>
            <w:pPr>
              <w:pStyle w:val="TableParagraph"/>
              <w:spacing w:line="225" w:lineRule="auto"/>
              <w:ind w:left="856" w:right="96" w:hanging="512"/>
              <w:rPr>
                <w:sz w:val="24"/>
              </w:rPr>
            </w:pPr>
            <w:r>
              <w:rPr>
                <w:spacing w:val="23"/>
                <w:sz w:val="24"/>
              </w:rPr>
              <w:t>一、適用法規顯有錯</w:t>
            </w:r>
            <w:r>
              <w:rPr>
                <w:sz w:val="24"/>
              </w:rPr>
              <w:t>誤者。</w:t>
            </w:r>
          </w:p>
          <w:p>
            <w:pPr>
              <w:pStyle w:val="TableParagraph"/>
              <w:spacing w:line="223" w:lineRule="auto"/>
              <w:ind w:left="856" w:right="96" w:hanging="512"/>
              <w:rPr>
                <w:sz w:val="24"/>
              </w:rPr>
            </w:pPr>
            <w:r>
              <w:rPr>
                <w:spacing w:val="23"/>
                <w:sz w:val="24"/>
              </w:rPr>
              <w:t>二、決定理由與主文</w:t>
            </w:r>
            <w:r>
              <w:rPr>
                <w:sz w:val="24"/>
              </w:rPr>
              <w:t>顯有矛盾者。</w:t>
            </w:r>
          </w:p>
          <w:p>
            <w:pPr>
              <w:pStyle w:val="TableParagraph"/>
              <w:spacing w:line="223" w:lineRule="auto"/>
              <w:ind w:left="856" w:right="96" w:hanging="512"/>
              <w:rPr>
                <w:sz w:val="24"/>
              </w:rPr>
            </w:pPr>
            <w:r>
              <w:rPr>
                <w:spacing w:val="23"/>
                <w:sz w:val="24"/>
              </w:rPr>
              <w:t>三、決定機關之組織</w:t>
            </w:r>
            <w:r>
              <w:rPr>
                <w:sz w:val="24"/>
              </w:rPr>
              <w:t>不合法者。</w:t>
            </w:r>
          </w:p>
          <w:p>
            <w:pPr>
              <w:pStyle w:val="TableParagraph"/>
              <w:spacing w:line="223" w:lineRule="auto"/>
              <w:ind w:left="856" w:right="96" w:hanging="512"/>
              <w:rPr>
                <w:sz w:val="24"/>
              </w:rPr>
            </w:pPr>
            <w:r>
              <w:rPr>
                <w:spacing w:val="23"/>
                <w:sz w:val="24"/>
              </w:rPr>
              <w:t>四、依本法應迴避之</w:t>
            </w:r>
            <w:r>
              <w:rPr>
                <w:spacing w:val="25"/>
                <w:sz w:val="24"/>
              </w:rPr>
              <w:t>委員參與決定者</w:t>
            </w:r>
          </w:p>
          <w:p>
            <w:pPr>
              <w:pStyle w:val="TableParagraph"/>
              <w:spacing w:line="307" w:lineRule="exact"/>
              <w:ind w:left="856"/>
              <w:rPr>
                <w:sz w:val="24"/>
              </w:rPr>
            </w:pPr>
            <w:r>
              <w:rPr>
                <w:sz w:val="24"/>
              </w:rPr>
              <w:t>。</w:t>
            </w:r>
          </w:p>
          <w:p>
            <w:pPr>
              <w:pStyle w:val="TableParagraph"/>
              <w:spacing w:line="223" w:lineRule="auto"/>
              <w:ind w:left="856" w:right="65" w:hanging="512"/>
              <w:jc w:val="both"/>
              <w:rPr>
                <w:sz w:val="24"/>
              </w:rPr>
            </w:pPr>
            <w:r>
              <w:rPr>
                <w:spacing w:val="23"/>
                <w:sz w:val="24"/>
              </w:rPr>
              <w:t>五、參與決定之委員</w:t>
            </w:r>
            <w:r>
              <w:rPr>
                <w:spacing w:val="31"/>
                <w:sz w:val="24"/>
              </w:rPr>
              <w:t>關於該</w:t>
            </w:r>
            <w:r>
              <w:rPr>
                <w:spacing w:val="32"/>
                <w:sz w:val="24"/>
                <w:u w:val="single"/>
              </w:rPr>
              <w:t>保障</w:t>
            </w:r>
            <w:r>
              <w:rPr>
                <w:spacing w:val="23"/>
                <w:sz w:val="24"/>
              </w:rPr>
              <w:t>事件</w:t>
            </w:r>
            <w:r>
              <w:rPr>
                <w:spacing w:val="7"/>
                <w:sz w:val="24"/>
              </w:rPr>
              <w:t>違背職務， 犯刑</w:t>
            </w:r>
            <w:r>
              <w:rPr>
                <w:sz w:val="24"/>
              </w:rPr>
              <w:t>事上之罪者。</w:t>
            </w:r>
          </w:p>
          <w:p>
            <w:pPr>
              <w:pStyle w:val="TableParagraph"/>
              <w:spacing w:line="223" w:lineRule="auto" w:before="1"/>
              <w:ind w:left="856" w:right="94" w:hanging="512"/>
              <w:jc w:val="both"/>
              <w:rPr>
                <w:sz w:val="24"/>
              </w:rPr>
            </w:pPr>
            <w:r>
              <w:rPr>
                <w:spacing w:val="27"/>
                <w:sz w:val="24"/>
              </w:rPr>
              <w:t>六、復審</w:t>
            </w:r>
            <w:r>
              <w:rPr>
                <w:spacing w:val="26"/>
                <w:sz w:val="24"/>
                <w:u w:val="single"/>
              </w:rPr>
              <w:t>、再申訴</w:t>
            </w:r>
            <w:r>
              <w:rPr>
                <w:sz w:val="24"/>
              </w:rPr>
              <w:t>之</w:t>
            </w:r>
            <w:r>
              <w:rPr>
                <w:spacing w:val="25"/>
                <w:sz w:val="24"/>
              </w:rPr>
              <w:t>代理人或代表人</w:t>
            </w:r>
          </w:p>
          <w:p>
            <w:pPr>
              <w:pStyle w:val="TableParagraph"/>
              <w:spacing w:line="223" w:lineRule="auto"/>
              <w:ind w:left="856" w:right="96"/>
              <w:jc w:val="both"/>
              <w:rPr>
                <w:sz w:val="24"/>
              </w:rPr>
            </w:pPr>
            <w:r>
              <w:rPr>
                <w:spacing w:val="6"/>
                <w:sz w:val="24"/>
              </w:rPr>
              <w:t>， 關於該復審</w:t>
            </w:r>
            <w:r>
              <w:rPr>
                <w:sz w:val="24"/>
                <w:u w:val="single"/>
              </w:rPr>
              <w:t>、</w:t>
            </w:r>
            <w:r>
              <w:rPr>
                <w:spacing w:val="-220"/>
                <w:sz w:val="24"/>
                <w:u w:val="single"/>
              </w:rPr>
              <w:t>再</w:t>
            </w:r>
            <w:r>
              <w:rPr>
                <w:spacing w:val="31"/>
                <w:sz w:val="24"/>
                <w:u w:val="single"/>
              </w:rPr>
              <w:t>申訴</w:t>
            </w:r>
            <w:r>
              <w:rPr>
                <w:spacing w:val="22"/>
                <w:sz w:val="24"/>
              </w:rPr>
              <w:t>有刑事上</w:t>
            </w:r>
            <w:r>
              <w:rPr>
                <w:spacing w:val="7"/>
                <w:sz w:val="24"/>
              </w:rPr>
              <w:t>應罰之行為， 影</w:t>
            </w:r>
            <w:r>
              <w:rPr>
                <w:sz w:val="24"/>
              </w:rPr>
              <w:t>響於決定者。</w:t>
            </w:r>
          </w:p>
          <w:p>
            <w:pPr>
              <w:pStyle w:val="TableParagraph"/>
              <w:spacing w:line="223" w:lineRule="auto"/>
              <w:ind w:left="856" w:right="96" w:hanging="512"/>
              <w:jc w:val="both"/>
              <w:rPr>
                <w:sz w:val="24"/>
              </w:rPr>
            </w:pPr>
            <w:r>
              <w:rPr>
                <w:spacing w:val="23"/>
                <w:sz w:val="24"/>
              </w:rPr>
              <w:t>七、證人、鑑定人或</w:t>
            </w:r>
            <w:r>
              <w:rPr>
                <w:spacing w:val="25"/>
                <w:sz w:val="24"/>
              </w:rPr>
              <w:t>通譯就為決定基礎之證言、鑑定或通譯為虛偽陳</w:t>
            </w:r>
            <w:r>
              <w:rPr>
                <w:sz w:val="24"/>
              </w:rPr>
              <w:t>述者。</w:t>
            </w:r>
          </w:p>
          <w:p>
            <w:pPr>
              <w:pStyle w:val="TableParagraph"/>
              <w:spacing w:line="306" w:lineRule="exact"/>
              <w:ind w:left="0" w:right="96"/>
              <w:jc w:val="right"/>
              <w:rPr>
                <w:sz w:val="24"/>
              </w:rPr>
            </w:pPr>
            <w:r>
              <w:rPr>
                <w:spacing w:val="23"/>
                <w:sz w:val="24"/>
              </w:rPr>
              <w:t>八、為決定基礎之證</w:t>
            </w:r>
          </w:p>
          <w:p>
            <w:pPr>
              <w:pStyle w:val="TableParagraph"/>
              <w:spacing w:line="294" w:lineRule="exact"/>
              <w:ind w:left="0" w:right="98"/>
              <w:jc w:val="right"/>
              <w:rPr>
                <w:sz w:val="24"/>
              </w:rPr>
            </w:pPr>
            <w:r>
              <w:rPr>
                <w:spacing w:val="6"/>
                <w:sz w:val="24"/>
              </w:rPr>
              <w:t>物， 係偽造或變</w:t>
            </w:r>
          </w:p>
        </w:tc>
        <w:tc>
          <w:tcPr>
            <w:tcW w:w="3262" w:type="dxa"/>
          </w:tcPr>
          <w:p>
            <w:pPr>
              <w:pStyle w:val="TableParagraph"/>
              <w:spacing w:line="223" w:lineRule="auto" w:before="7"/>
              <w:ind w:right="79" w:hanging="240"/>
              <w:jc w:val="both"/>
              <w:rPr>
                <w:sz w:val="24"/>
              </w:rPr>
            </w:pPr>
            <w:r>
              <w:rPr>
                <w:spacing w:val="11"/>
                <w:sz w:val="24"/>
              </w:rPr>
              <w:t>第九十四條 復審事件經保</w:t>
            </w:r>
            <w:r>
              <w:rPr>
                <w:spacing w:val="15"/>
                <w:sz w:val="24"/>
              </w:rPr>
              <w:t>訓會審議決定，除復審人已依法向司法機關請求救濟者外，於復審決定確定後，有下列情形之一者，</w:t>
            </w:r>
            <w:r>
              <w:rPr>
                <w:spacing w:val="-118"/>
                <w:sz w:val="24"/>
              </w:rPr>
              <w:t> </w:t>
            </w:r>
            <w:r>
              <w:rPr>
                <w:spacing w:val="15"/>
                <w:sz w:val="24"/>
              </w:rPr>
              <w:t>原處分機關或復審人得向</w:t>
            </w:r>
            <w:r>
              <w:rPr>
                <w:sz w:val="24"/>
              </w:rPr>
              <w:t>保訓會申請再審議：</w:t>
            </w:r>
          </w:p>
          <w:p>
            <w:pPr>
              <w:pStyle w:val="TableParagraph"/>
              <w:spacing w:line="307" w:lineRule="exact"/>
              <w:ind w:left="345"/>
              <w:rPr>
                <w:sz w:val="24"/>
              </w:rPr>
            </w:pPr>
            <w:r>
              <w:rPr>
                <w:spacing w:val="15"/>
                <w:sz w:val="24"/>
              </w:rPr>
              <w:t>一、適用法規顯有錯誤者</w:t>
            </w:r>
          </w:p>
          <w:p>
            <w:pPr>
              <w:pStyle w:val="TableParagraph"/>
              <w:spacing w:line="312" w:lineRule="exact"/>
              <w:ind w:left="856"/>
              <w:rPr>
                <w:sz w:val="24"/>
              </w:rPr>
            </w:pPr>
            <w:r>
              <w:rPr>
                <w:sz w:val="24"/>
              </w:rPr>
              <w:t>。</w:t>
            </w:r>
          </w:p>
          <w:p>
            <w:pPr>
              <w:pStyle w:val="TableParagraph"/>
              <w:spacing w:line="223" w:lineRule="auto" w:before="5"/>
              <w:ind w:left="856" w:right="82" w:hanging="512"/>
              <w:rPr>
                <w:sz w:val="24"/>
              </w:rPr>
            </w:pPr>
            <w:r>
              <w:rPr>
                <w:spacing w:val="15"/>
                <w:sz w:val="24"/>
              </w:rPr>
              <w:t>二、決定理由與主文顯有</w:t>
            </w:r>
            <w:r>
              <w:rPr>
                <w:sz w:val="24"/>
              </w:rPr>
              <w:t>矛盾者。</w:t>
            </w:r>
          </w:p>
          <w:p>
            <w:pPr>
              <w:pStyle w:val="TableParagraph"/>
              <w:spacing w:line="225" w:lineRule="auto"/>
              <w:ind w:left="856" w:right="82" w:hanging="512"/>
              <w:rPr>
                <w:sz w:val="24"/>
              </w:rPr>
            </w:pPr>
            <w:r>
              <w:rPr>
                <w:spacing w:val="15"/>
                <w:sz w:val="24"/>
              </w:rPr>
              <w:t>三、決定機關之組織不合</w:t>
            </w:r>
            <w:r>
              <w:rPr>
                <w:sz w:val="24"/>
              </w:rPr>
              <w:t>法者。</w:t>
            </w:r>
          </w:p>
          <w:p>
            <w:pPr>
              <w:pStyle w:val="TableParagraph"/>
              <w:spacing w:line="223" w:lineRule="auto"/>
              <w:ind w:left="856" w:right="82" w:hanging="512"/>
              <w:rPr>
                <w:sz w:val="24"/>
              </w:rPr>
            </w:pPr>
            <w:r>
              <w:rPr>
                <w:spacing w:val="15"/>
                <w:sz w:val="24"/>
              </w:rPr>
              <w:t>四、依本法應迴避之委員</w:t>
            </w:r>
            <w:r>
              <w:rPr>
                <w:sz w:val="24"/>
              </w:rPr>
              <w:t>參與決定者。</w:t>
            </w:r>
          </w:p>
          <w:p>
            <w:pPr>
              <w:pStyle w:val="TableParagraph"/>
              <w:spacing w:line="223" w:lineRule="auto"/>
              <w:ind w:left="856" w:right="82" w:hanging="512"/>
              <w:rPr>
                <w:sz w:val="24"/>
              </w:rPr>
            </w:pPr>
            <w:r>
              <w:rPr>
                <w:spacing w:val="15"/>
                <w:sz w:val="24"/>
              </w:rPr>
              <w:t>五、參與決定之委員關於</w:t>
            </w:r>
            <w:r>
              <w:rPr>
                <w:spacing w:val="14"/>
                <w:sz w:val="24"/>
              </w:rPr>
              <w:t>該復審事件違背職務</w:t>
            </w:r>
          </w:p>
          <w:p>
            <w:pPr>
              <w:pStyle w:val="TableParagraph"/>
              <w:spacing w:line="223" w:lineRule="auto"/>
              <w:ind w:left="345" w:right="82" w:firstLine="511"/>
              <w:rPr>
                <w:sz w:val="24"/>
              </w:rPr>
            </w:pPr>
            <w:r>
              <w:rPr>
                <w:sz w:val="24"/>
              </w:rPr>
              <w:t>，犯刑事上之罪者。</w:t>
            </w:r>
            <w:r>
              <w:rPr>
                <w:spacing w:val="15"/>
                <w:sz w:val="24"/>
              </w:rPr>
              <w:t>六、復審之代理人或代表</w:t>
            </w:r>
          </w:p>
          <w:p>
            <w:pPr>
              <w:pStyle w:val="TableParagraph"/>
              <w:spacing w:line="223" w:lineRule="auto"/>
              <w:ind w:left="856" w:right="82"/>
              <w:jc w:val="both"/>
              <w:rPr>
                <w:sz w:val="24"/>
              </w:rPr>
            </w:pPr>
            <w:r>
              <w:rPr>
                <w:spacing w:val="14"/>
                <w:sz w:val="24"/>
              </w:rPr>
              <w:t>人，關於該復審有刑事上應罰之行為，影</w:t>
            </w:r>
            <w:r>
              <w:rPr>
                <w:sz w:val="24"/>
              </w:rPr>
              <w:t>響於決定者。</w:t>
            </w:r>
          </w:p>
          <w:p>
            <w:pPr>
              <w:pStyle w:val="TableParagraph"/>
              <w:spacing w:line="223" w:lineRule="auto"/>
              <w:ind w:left="856" w:right="82" w:hanging="512"/>
              <w:rPr>
                <w:sz w:val="24"/>
              </w:rPr>
            </w:pPr>
            <w:r>
              <w:rPr>
                <w:spacing w:val="15"/>
                <w:sz w:val="24"/>
              </w:rPr>
              <w:t>七、證人、鑑定人或通譯</w:t>
            </w:r>
            <w:r>
              <w:rPr>
                <w:spacing w:val="14"/>
                <w:sz w:val="24"/>
              </w:rPr>
              <w:t>就為決定基礎之證言</w:t>
            </w:r>
          </w:p>
          <w:p>
            <w:pPr>
              <w:pStyle w:val="TableParagraph"/>
              <w:spacing w:line="223" w:lineRule="auto"/>
              <w:ind w:left="856" w:right="82"/>
              <w:rPr>
                <w:sz w:val="24"/>
              </w:rPr>
            </w:pPr>
            <w:r>
              <w:rPr>
                <w:spacing w:val="14"/>
                <w:sz w:val="24"/>
              </w:rPr>
              <w:t>、鑑定或通譯為虛偽</w:t>
            </w:r>
            <w:r>
              <w:rPr>
                <w:sz w:val="24"/>
              </w:rPr>
              <w:t>陳述者。</w:t>
            </w:r>
          </w:p>
          <w:p>
            <w:pPr>
              <w:pStyle w:val="TableParagraph"/>
              <w:spacing w:line="223" w:lineRule="auto"/>
              <w:ind w:left="856" w:right="82" w:hanging="512"/>
              <w:rPr>
                <w:sz w:val="24"/>
              </w:rPr>
            </w:pPr>
            <w:r>
              <w:rPr>
                <w:spacing w:val="15"/>
                <w:sz w:val="24"/>
              </w:rPr>
              <w:t>八、為決定基礎之證物，</w:t>
            </w:r>
            <w:r>
              <w:rPr>
                <w:spacing w:val="-117"/>
                <w:sz w:val="24"/>
              </w:rPr>
              <w:t> </w:t>
            </w:r>
            <w:r>
              <w:rPr>
                <w:sz w:val="24"/>
              </w:rPr>
              <w:t>係偽造或變造者。</w:t>
            </w:r>
          </w:p>
          <w:p>
            <w:pPr>
              <w:pStyle w:val="TableParagraph"/>
              <w:spacing w:line="223" w:lineRule="auto"/>
              <w:ind w:left="856" w:right="82" w:hanging="512"/>
              <w:jc w:val="both"/>
              <w:rPr>
                <w:sz w:val="24"/>
              </w:rPr>
            </w:pPr>
            <w:r>
              <w:rPr>
                <w:spacing w:val="15"/>
                <w:sz w:val="24"/>
              </w:rPr>
              <w:t>九、為決定基礎之民事、</w:t>
            </w:r>
            <w:r>
              <w:rPr>
                <w:spacing w:val="14"/>
                <w:sz w:val="24"/>
              </w:rPr>
              <w:t>刑事或行政訴訟判決或行政處分，依其後之確定裁判或行政處</w:t>
            </w:r>
            <w:r>
              <w:rPr>
                <w:sz w:val="24"/>
              </w:rPr>
              <w:t>分已變更者。</w:t>
            </w:r>
          </w:p>
          <w:p>
            <w:pPr>
              <w:pStyle w:val="TableParagraph"/>
              <w:spacing w:line="223" w:lineRule="auto"/>
              <w:ind w:left="856" w:right="82" w:hanging="512"/>
              <w:jc w:val="both"/>
              <w:rPr>
                <w:sz w:val="24"/>
              </w:rPr>
            </w:pPr>
            <w:r>
              <w:rPr>
                <w:spacing w:val="15"/>
                <w:sz w:val="24"/>
              </w:rPr>
              <w:t>十、發見未經斟酌之證物</w:t>
            </w:r>
            <w:r>
              <w:rPr>
                <w:spacing w:val="14"/>
                <w:sz w:val="24"/>
              </w:rPr>
              <w:t>或得使用該證物者。但以如經斟酌可受較</w:t>
            </w:r>
          </w:p>
          <w:p>
            <w:pPr>
              <w:pStyle w:val="TableParagraph"/>
              <w:spacing w:line="289" w:lineRule="exact"/>
              <w:ind w:left="856"/>
              <w:rPr>
                <w:sz w:val="24"/>
              </w:rPr>
            </w:pPr>
            <w:r>
              <w:rPr>
                <w:spacing w:val="16"/>
                <w:sz w:val="24"/>
              </w:rPr>
              <w:t>有利益之決定者為限</w:t>
            </w:r>
          </w:p>
        </w:tc>
        <w:tc>
          <w:tcPr>
            <w:tcW w:w="3116" w:type="dxa"/>
          </w:tcPr>
          <w:p>
            <w:pPr>
              <w:pStyle w:val="TableParagraph"/>
              <w:spacing w:line="223" w:lineRule="auto" w:before="7"/>
              <w:ind w:left="105" w:right="99"/>
              <w:jc w:val="both"/>
              <w:rPr>
                <w:sz w:val="24"/>
              </w:rPr>
            </w:pPr>
            <w:r>
              <w:rPr>
                <w:sz w:val="24"/>
              </w:rPr>
              <w:t>目前保障事件實務上，對於已確定之再申訴決定，如有認事用法上之違誤，均類推適用行政程序法第一百二十八條有關程序再開之規定，</w:t>
            </w:r>
            <w:r>
              <w:rPr>
                <w:spacing w:val="-118"/>
                <w:sz w:val="24"/>
              </w:rPr>
              <w:t> </w:t>
            </w:r>
            <w:r>
              <w:rPr>
                <w:sz w:val="24"/>
              </w:rPr>
              <w:t>辦理更正。再申訴人雖非救濟無門，惟再申訴人仍須先向服務機關申請，經否准後</w:t>
            </w:r>
          </w:p>
          <w:p>
            <w:pPr>
              <w:pStyle w:val="TableParagraph"/>
              <w:spacing w:line="223" w:lineRule="auto"/>
              <w:ind w:left="105" w:right="99"/>
              <w:jc w:val="both"/>
              <w:rPr>
                <w:sz w:val="24"/>
              </w:rPr>
            </w:pPr>
            <w:r>
              <w:rPr>
                <w:sz w:val="24"/>
              </w:rPr>
              <w:t>，再依申訴、再申訴程序請求救濟，徒增救濟程序之勞費；若再申訴人得依再審議程序，逕向保訓會請求更正再申訴決定之違誤，即可達到救濟程序經濟之目的。爰將再審議程序擴大適用於再申訴事件，並酌作文字修正</w:t>
            </w:r>
          </w:p>
          <w:p>
            <w:pPr>
              <w:pStyle w:val="TableParagraph"/>
              <w:spacing w:line="320" w:lineRule="exact"/>
              <w:ind w:left="105"/>
              <w:rPr>
                <w:sz w:val="24"/>
              </w:rPr>
            </w:pPr>
            <w:r>
              <w:rPr>
                <w:sz w:val="24"/>
              </w:rPr>
              <w:t>。</w:t>
            </w:r>
          </w:p>
        </w:tc>
      </w:tr>
    </w:tbl>
    <w:p>
      <w:pPr>
        <w:spacing w:after="0" w:line="320"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8741" w:hRule="atLeast"/>
        </w:trPr>
        <w:tc>
          <w:tcPr>
            <w:tcW w:w="2835" w:type="dxa"/>
          </w:tcPr>
          <w:p>
            <w:pPr>
              <w:pStyle w:val="TableParagraph"/>
              <w:spacing w:line="312" w:lineRule="exact"/>
              <w:ind w:left="856"/>
              <w:rPr>
                <w:sz w:val="24"/>
              </w:rPr>
            </w:pPr>
            <w:r>
              <w:rPr>
                <w:sz w:val="24"/>
              </w:rPr>
              <w:t>造者。</w:t>
            </w:r>
          </w:p>
          <w:p>
            <w:pPr>
              <w:pStyle w:val="TableParagraph"/>
              <w:spacing w:line="223" w:lineRule="auto" w:before="5"/>
              <w:ind w:left="856" w:right="96" w:hanging="512"/>
              <w:jc w:val="both"/>
              <w:rPr>
                <w:sz w:val="24"/>
              </w:rPr>
            </w:pPr>
            <w:r>
              <w:rPr>
                <w:spacing w:val="23"/>
                <w:sz w:val="24"/>
              </w:rPr>
              <w:t>九、為決定基礎之民</w:t>
            </w:r>
            <w:r>
              <w:rPr>
                <w:spacing w:val="25"/>
                <w:sz w:val="24"/>
              </w:rPr>
              <w:t>事、刑事或行政訴訟判決或行政</w:t>
            </w:r>
            <w:r>
              <w:rPr>
                <w:spacing w:val="6"/>
                <w:sz w:val="24"/>
              </w:rPr>
              <w:t>處分， 依其後之</w:t>
            </w:r>
            <w:r>
              <w:rPr>
                <w:spacing w:val="25"/>
                <w:sz w:val="24"/>
              </w:rPr>
              <w:t>確定裁判或行政</w:t>
            </w:r>
            <w:r>
              <w:rPr>
                <w:sz w:val="24"/>
              </w:rPr>
              <w:t>處分已變更者。</w:t>
            </w:r>
          </w:p>
          <w:p>
            <w:pPr>
              <w:pStyle w:val="TableParagraph"/>
              <w:spacing w:line="223" w:lineRule="auto" w:before="1"/>
              <w:ind w:left="856" w:right="95" w:hanging="512"/>
              <w:jc w:val="both"/>
              <w:rPr>
                <w:sz w:val="24"/>
              </w:rPr>
            </w:pPr>
            <w:r>
              <w:rPr>
                <w:spacing w:val="27"/>
                <w:sz w:val="24"/>
              </w:rPr>
              <w:t>十、發</w:t>
            </w:r>
            <w:r>
              <w:rPr>
                <w:spacing w:val="28"/>
                <w:sz w:val="24"/>
                <w:u w:val="single"/>
              </w:rPr>
              <w:t>現</w:t>
            </w:r>
            <w:r>
              <w:rPr>
                <w:spacing w:val="20"/>
                <w:sz w:val="24"/>
              </w:rPr>
              <w:t>未經斟酌之</w:t>
            </w:r>
            <w:r>
              <w:rPr>
                <w:spacing w:val="25"/>
                <w:sz w:val="24"/>
              </w:rPr>
              <w:t>證物或得使用該證物者。但以如經斟酌可受較有利益之決定者為</w:t>
            </w:r>
            <w:r>
              <w:rPr>
                <w:sz w:val="24"/>
              </w:rPr>
              <w:t>限。</w:t>
            </w:r>
          </w:p>
          <w:p>
            <w:pPr>
              <w:pStyle w:val="TableParagraph"/>
              <w:spacing w:line="223" w:lineRule="auto"/>
              <w:ind w:left="875" w:right="65" w:hanging="768"/>
              <w:jc w:val="both"/>
              <w:rPr>
                <w:sz w:val="24"/>
              </w:rPr>
            </w:pPr>
            <w:r>
              <w:rPr>
                <w:spacing w:val="21"/>
                <w:sz w:val="24"/>
              </w:rPr>
              <w:t>十一、原決定就足以影</w:t>
            </w:r>
            <w:r>
              <w:rPr>
                <w:spacing w:val="26"/>
                <w:sz w:val="24"/>
              </w:rPr>
              <w:t>響於決定之重要證物漏未斟酌者</w:t>
            </w:r>
          </w:p>
          <w:p>
            <w:pPr>
              <w:pStyle w:val="TableParagraph"/>
              <w:spacing w:line="307" w:lineRule="exact"/>
              <w:ind w:left="875"/>
              <w:rPr>
                <w:sz w:val="24"/>
              </w:rPr>
            </w:pPr>
            <w:r>
              <w:rPr>
                <w:sz w:val="24"/>
              </w:rPr>
              <w:t>。</w:t>
            </w:r>
          </w:p>
          <w:p>
            <w:pPr>
              <w:pStyle w:val="TableParagraph"/>
              <w:spacing w:line="223" w:lineRule="auto" w:before="5"/>
              <w:ind w:right="95" w:firstLine="503"/>
              <w:rPr>
                <w:sz w:val="24"/>
              </w:rPr>
            </w:pPr>
            <w:r>
              <w:rPr>
                <w:spacing w:val="25"/>
                <w:sz w:val="24"/>
              </w:rPr>
              <w:t>前項申請於原行</w:t>
            </w:r>
            <w:r>
              <w:rPr>
                <w:spacing w:val="26"/>
                <w:sz w:val="24"/>
              </w:rPr>
              <w:t>政處分</w:t>
            </w:r>
            <w:r>
              <w:rPr>
                <w:spacing w:val="21"/>
                <w:sz w:val="24"/>
                <w:u w:val="single"/>
              </w:rPr>
              <w:t>、原管理措施</w:t>
            </w:r>
          </w:p>
          <w:p>
            <w:pPr>
              <w:pStyle w:val="TableParagraph"/>
              <w:spacing w:line="225" w:lineRule="auto"/>
              <w:ind w:right="100"/>
              <w:rPr>
                <w:sz w:val="24"/>
              </w:rPr>
            </w:pPr>
            <w:r>
              <w:rPr>
                <w:spacing w:val="23"/>
                <w:w w:val="95"/>
                <w:sz w:val="24"/>
                <w:u w:val="single"/>
              </w:rPr>
              <w:t>、原工作條件之處置</w:t>
            </w:r>
            <w:r>
              <w:rPr>
                <w:spacing w:val="-220"/>
                <w:w w:val="95"/>
                <w:sz w:val="24"/>
                <w:u w:val="single"/>
              </w:rPr>
              <w:t>及</w:t>
            </w:r>
            <w:r>
              <w:rPr>
                <w:spacing w:val="22"/>
                <w:sz w:val="24"/>
              </w:rPr>
              <w:t>原決定執行完畢後</w:t>
            </w:r>
          </w:p>
          <w:p>
            <w:pPr>
              <w:pStyle w:val="TableParagraph"/>
              <w:spacing w:line="305" w:lineRule="exact"/>
              <w:rPr>
                <w:sz w:val="24"/>
              </w:rPr>
            </w:pPr>
            <w:r>
              <w:rPr>
                <w:sz w:val="24"/>
              </w:rPr>
              <w:t>，亦得為之。</w:t>
            </w:r>
          </w:p>
          <w:p>
            <w:pPr>
              <w:pStyle w:val="TableParagraph"/>
              <w:spacing w:line="223" w:lineRule="auto" w:before="2"/>
              <w:ind w:right="95" w:firstLine="503"/>
              <w:jc w:val="both"/>
              <w:rPr>
                <w:sz w:val="24"/>
              </w:rPr>
            </w:pPr>
            <w:r>
              <w:rPr>
                <w:spacing w:val="25"/>
                <w:sz w:val="24"/>
              </w:rPr>
              <w:t>第一項第五款至</w:t>
            </w:r>
            <w:r>
              <w:rPr>
                <w:spacing w:val="7"/>
                <w:sz w:val="24"/>
              </w:rPr>
              <w:t>第八款情形， 以宣告</w:t>
            </w:r>
            <w:r>
              <w:rPr>
                <w:spacing w:val="23"/>
                <w:sz w:val="24"/>
              </w:rPr>
              <w:t>有罪之判決已確定，</w:t>
            </w:r>
            <w:r>
              <w:rPr>
                <w:spacing w:val="-118"/>
                <w:sz w:val="24"/>
              </w:rPr>
              <w:t> </w:t>
            </w:r>
            <w:r>
              <w:rPr>
                <w:spacing w:val="23"/>
                <w:sz w:val="24"/>
              </w:rPr>
              <w:t>或其刑事訴訟不能開始或續行非因證據不</w:t>
            </w:r>
          </w:p>
          <w:p>
            <w:pPr>
              <w:pStyle w:val="TableParagraph"/>
              <w:spacing w:line="287" w:lineRule="exact"/>
              <w:rPr>
                <w:sz w:val="24"/>
              </w:rPr>
            </w:pPr>
            <w:r>
              <w:rPr>
                <w:sz w:val="24"/>
              </w:rPr>
              <w:t>足者為限。</w:t>
            </w:r>
          </w:p>
        </w:tc>
        <w:tc>
          <w:tcPr>
            <w:tcW w:w="3262" w:type="dxa"/>
          </w:tcPr>
          <w:p>
            <w:pPr>
              <w:pStyle w:val="TableParagraph"/>
              <w:spacing w:line="312" w:lineRule="exact"/>
              <w:ind w:left="856"/>
              <w:rPr>
                <w:sz w:val="24"/>
              </w:rPr>
            </w:pPr>
            <w:r>
              <w:rPr>
                <w:sz w:val="24"/>
              </w:rPr>
              <w:t>。</w:t>
            </w:r>
          </w:p>
          <w:p>
            <w:pPr>
              <w:pStyle w:val="TableParagraph"/>
              <w:spacing w:line="223" w:lineRule="auto" w:before="5"/>
              <w:ind w:left="875" w:right="84" w:hanging="768"/>
              <w:jc w:val="both"/>
              <w:rPr>
                <w:sz w:val="24"/>
              </w:rPr>
            </w:pPr>
            <w:r>
              <w:rPr>
                <w:spacing w:val="12"/>
                <w:sz w:val="24"/>
              </w:rPr>
              <w:t>十一、原決定就足以影響於決定之重要證物漏未</w:t>
            </w:r>
            <w:r>
              <w:rPr>
                <w:sz w:val="24"/>
              </w:rPr>
              <w:t>斟酌者。</w:t>
            </w:r>
          </w:p>
          <w:p>
            <w:pPr>
              <w:pStyle w:val="TableParagraph"/>
              <w:spacing w:line="223" w:lineRule="auto"/>
              <w:ind w:left="364" w:right="84" w:firstLine="480"/>
              <w:jc w:val="both"/>
              <w:rPr>
                <w:sz w:val="24"/>
              </w:rPr>
            </w:pPr>
            <w:r>
              <w:rPr>
                <w:spacing w:val="14"/>
                <w:sz w:val="24"/>
              </w:rPr>
              <w:t>前項申請於原行政處</w:t>
            </w:r>
            <w:r>
              <w:rPr>
                <w:spacing w:val="12"/>
                <w:sz w:val="24"/>
              </w:rPr>
              <w:t>分、原決定執行完畢後，</w:t>
            </w:r>
            <w:r>
              <w:rPr>
                <w:spacing w:val="-118"/>
                <w:sz w:val="24"/>
              </w:rPr>
              <w:t> </w:t>
            </w:r>
            <w:r>
              <w:rPr>
                <w:sz w:val="24"/>
              </w:rPr>
              <w:t>亦得為之。</w:t>
            </w:r>
          </w:p>
          <w:p>
            <w:pPr>
              <w:pStyle w:val="TableParagraph"/>
              <w:spacing w:line="223" w:lineRule="auto" w:before="1"/>
              <w:ind w:right="79" w:firstLine="480"/>
              <w:jc w:val="both"/>
              <w:rPr>
                <w:sz w:val="24"/>
              </w:rPr>
            </w:pPr>
            <w:r>
              <w:rPr>
                <w:spacing w:val="16"/>
                <w:sz w:val="24"/>
              </w:rPr>
              <w:t>第一項第五款至第八</w:t>
            </w:r>
            <w:r>
              <w:rPr>
                <w:spacing w:val="15"/>
                <w:sz w:val="24"/>
              </w:rPr>
              <w:t>款情形，以宣告有罪之判決已確定，或其刑事訴訟不能開始或續行非因證據</w:t>
            </w:r>
            <w:r>
              <w:rPr>
                <w:sz w:val="24"/>
              </w:rPr>
              <w:t>不足者為限。</w:t>
            </w:r>
          </w:p>
        </w:tc>
        <w:tc>
          <w:tcPr>
            <w:tcW w:w="3116" w:type="dxa"/>
          </w:tcPr>
          <w:p>
            <w:pPr>
              <w:pStyle w:val="TableParagraph"/>
              <w:ind w:left="0"/>
              <w:rPr>
                <w:rFonts w:ascii="Times New Roman"/>
                <w:sz w:val="22"/>
              </w:rPr>
            </w:pPr>
          </w:p>
        </w:tc>
      </w:tr>
      <w:tr>
        <w:trPr>
          <w:trHeight w:val="3746" w:hRule="atLeast"/>
        </w:trPr>
        <w:tc>
          <w:tcPr>
            <w:tcW w:w="2835" w:type="dxa"/>
          </w:tcPr>
          <w:p>
            <w:pPr>
              <w:pStyle w:val="TableParagraph"/>
              <w:spacing w:line="223" w:lineRule="auto" w:before="4"/>
              <w:ind w:right="97" w:hanging="240"/>
              <w:jc w:val="both"/>
              <w:rPr>
                <w:sz w:val="24"/>
              </w:rPr>
            </w:pPr>
            <w:r>
              <w:rPr>
                <w:spacing w:val="18"/>
                <w:sz w:val="24"/>
              </w:rPr>
              <w:t>第九十五條 申請再審</w:t>
            </w:r>
            <w:r>
              <w:rPr>
                <w:spacing w:val="23"/>
                <w:sz w:val="24"/>
              </w:rPr>
              <w:t>議應於三十日之不變</w:t>
            </w:r>
            <w:r>
              <w:rPr>
                <w:sz w:val="24"/>
              </w:rPr>
              <w:t>期間內為之。</w:t>
            </w:r>
          </w:p>
          <w:p>
            <w:pPr>
              <w:pStyle w:val="TableParagraph"/>
              <w:spacing w:line="223" w:lineRule="auto" w:before="2"/>
              <w:ind w:right="95" w:firstLine="503"/>
              <w:jc w:val="both"/>
              <w:rPr>
                <w:sz w:val="24"/>
              </w:rPr>
            </w:pPr>
            <w:r>
              <w:rPr>
                <w:spacing w:val="25"/>
                <w:sz w:val="24"/>
              </w:rPr>
              <w:t>前項期間自復審</w:t>
            </w:r>
            <w:r>
              <w:rPr>
                <w:spacing w:val="26"/>
                <w:sz w:val="24"/>
              </w:rPr>
              <w:t>決定</w:t>
            </w:r>
            <w:r>
              <w:rPr>
                <w:spacing w:val="26"/>
                <w:sz w:val="24"/>
                <w:u w:val="single"/>
              </w:rPr>
              <w:t>或再申訴決定</w:t>
            </w:r>
            <w:r>
              <w:rPr>
                <w:sz w:val="24"/>
              </w:rPr>
              <w:t>確</w:t>
            </w:r>
            <w:r>
              <w:rPr>
                <w:spacing w:val="23"/>
                <w:sz w:val="24"/>
              </w:rPr>
              <w:t>定時起算。但再審議之理由知悉在後者，</w:t>
            </w:r>
            <w:r>
              <w:rPr>
                <w:spacing w:val="-118"/>
                <w:sz w:val="24"/>
              </w:rPr>
              <w:t> </w:t>
            </w:r>
            <w:r>
              <w:rPr>
                <w:sz w:val="24"/>
              </w:rPr>
              <w:t>自知悉時起算。</w:t>
            </w:r>
          </w:p>
          <w:p>
            <w:pPr>
              <w:pStyle w:val="TableParagraph"/>
              <w:spacing w:line="223" w:lineRule="auto"/>
              <w:ind w:right="95" w:firstLine="503"/>
              <w:jc w:val="both"/>
              <w:rPr>
                <w:sz w:val="24"/>
              </w:rPr>
            </w:pPr>
            <w:r>
              <w:rPr>
                <w:spacing w:val="25"/>
                <w:sz w:val="24"/>
              </w:rPr>
              <w:t>再審議之申請，</w:t>
            </w:r>
            <w:r>
              <w:rPr>
                <w:spacing w:val="-118"/>
                <w:sz w:val="24"/>
              </w:rPr>
              <w:t> </w:t>
            </w:r>
            <w:r>
              <w:rPr>
                <w:spacing w:val="26"/>
                <w:sz w:val="24"/>
              </w:rPr>
              <w:t>自復審決定</w:t>
            </w:r>
            <w:r>
              <w:rPr>
                <w:spacing w:val="19"/>
                <w:sz w:val="24"/>
                <w:u w:val="single"/>
              </w:rPr>
              <w:t>或再申訴</w:t>
            </w:r>
            <w:r>
              <w:rPr>
                <w:spacing w:val="26"/>
                <w:sz w:val="24"/>
                <w:u w:val="single"/>
              </w:rPr>
              <w:t>決定</w:t>
            </w:r>
            <w:r>
              <w:rPr>
                <w:spacing w:val="3"/>
                <w:sz w:val="24"/>
              </w:rPr>
              <w:t>確定時起， 如逾</w:t>
            </w:r>
          </w:p>
          <w:p>
            <w:pPr>
              <w:pStyle w:val="TableParagraph"/>
              <w:spacing w:line="287" w:lineRule="exact"/>
              <w:rPr>
                <w:sz w:val="24"/>
              </w:rPr>
            </w:pPr>
            <w:r>
              <w:rPr>
                <w:sz w:val="24"/>
              </w:rPr>
              <w:t>五年者，不得提起。</w:t>
            </w:r>
          </w:p>
        </w:tc>
        <w:tc>
          <w:tcPr>
            <w:tcW w:w="3262" w:type="dxa"/>
          </w:tcPr>
          <w:p>
            <w:pPr>
              <w:pStyle w:val="TableParagraph"/>
              <w:spacing w:line="223" w:lineRule="auto" w:before="4"/>
              <w:ind w:right="79" w:hanging="240"/>
              <w:jc w:val="both"/>
              <w:rPr>
                <w:sz w:val="24"/>
              </w:rPr>
            </w:pPr>
            <w:r>
              <w:rPr>
                <w:spacing w:val="12"/>
                <w:sz w:val="24"/>
              </w:rPr>
              <w:t>第九十五條 申請再審議應</w:t>
            </w:r>
            <w:r>
              <w:rPr>
                <w:spacing w:val="15"/>
                <w:sz w:val="24"/>
              </w:rPr>
              <w:t>於三十日之不變期間內為</w:t>
            </w:r>
            <w:r>
              <w:rPr>
                <w:sz w:val="24"/>
              </w:rPr>
              <w:t>之。</w:t>
            </w:r>
          </w:p>
          <w:p>
            <w:pPr>
              <w:pStyle w:val="TableParagraph"/>
              <w:spacing w:line="223" w:lineRule="auto" w:before="2"/>
              <w:ind w:right="79" w:firstLine="504"/>
              <w:jc w:val="both"/>
              <w:rPr>
                <w:sz w:val="24"/>
              </w:rPr>
            </w:pPr>
            <w:r>
              <w:rPr>
                <w:spacing w:val="14"/>
                <w:sz w:val="24"/>
              </w:rPr>
              <w:t>前項期間自復審決定</w:t>
            </w:r>
            <w:r>
              <w:rPr>
                <w:spacing w:val="15"/>
                <w:sz w:val="24"/>
              </w:rPr>
              <w:t>確定時起算。但再審議之理由知悉在後者，自知悉</w:t>
            </w:r>
            <w:r>
              <w:rPr>
                <w:sz w:val="24"/>
              </w:rPr>
              <w:t>時起算。</w:t>
            </w:r>
          </w:p>
          <w:p>
            <w:pPr>
              <w:pStyle w:val="TableParagraph"/>
              <w:spacing w:line="223" w:lineRule="auto"/>
              <w:ind w:right="79" w:firstLine="504"/>
              <w:jc w:val="both"/>
              <w:rPr>
                <w:sz w:val="24"/>
              </w:rPr>
            </w:pPr>
            <w:r>
              <w:rPr>
                <w:spacing w:val="14"/>
                <w:sz w:val="24"/>
              </w:rPr>
              <w:t>再審議之申請，自復</w:t>
            </w:r>
            <w:r>
              <w:rPr>
                <w:spacing w:val="15"/>
                <w:sz w:val="24"/>
              </w:rPr>
              <w:t>審決定確定時起，如逾五</w:t>
            </w:r>
            <w:r>
              <w:rPr>
                <w:sz w:val="24"/>
              </w:rPr>
              <w:t>年者，不得提起。</w:t>
            </w:r>
          </w:p>
        </w:tc>
        <w:tc>
          <w:tcPr>
            <w:tcW w:w="3116" w:type="dxa"/>
          </w:tcPr>
          <w:p>
            <w:pPr>
              <w:pStyle w:val="TableParagraph"/>
              <w:spacing w:line="223" w:lineRule="auto" w:before="4"/>
              <w:ind w:left="105" w:right="99"/>
              <w:jc w:val="both"/>
              <w:rPr>
                <w:sz w:val="24"/>
              </w:rPr>
            </w:pPr>
            <w:r>
              <w:rPr>
                <w:sz w:val="24"/>
              </w:rPr>
              <w:t>配合第九十四條將再審議程序擴大適用於再申訴事件之規定，酌作文字修正。</w:t>
            </w:r>
          </w:p>
        </w:tc>
      </w:tr>
      <w:tr>
        <w:trPr>
          <w:trHeight w:val="937" w:hRule="atLeast"/>
        </w:trPr>
        <w:tc>
          <w:tcPr>
            <w:tcW w:w="2835" w:type="dxa"/>
          </w:tcPr>
          <w:p>
            <w:pPr>
              <w:pStyle w:val="TableParagraph"/>
              <w:spacing w:line="225" w:lineRule="auto" w:before="2"/>
              <w:ind w:right="97" w:hanging="240"/>
              <w:rPr>
                <w:sz w:val="24"/>
              </w:rPr>
            </w:pPr>
            <w:r>
              <w:rPr>
                <w:spacing w:val="18"/>
                <w:sz w:val="24"/>
              </w:rPr>
              <w:t>第一百條 保訓會認為</w:t>
            </w:r>
            <w:r>
              <w:rPr>
                <w:spacing w:val="18"/>
                <w:w w:val="95"/>
                <w:sz w:val="24"/>
              </w:rPr>
              <w:t>再審議有理由者， 應</w:t>
            </w:r>
          </w:p>
          <w:p>
            <w:pPr>
              <w:pStyle w:val="TableParagraph"/>
              <w:spacing w:line="285" w:lineRule="exact"/>
              <w:rPr>
                <w:sz w:val="24"/>
              </w:rPr>
            </w:pPr>
            <w:r>
              <w:rPr>
                <w:spacing w:val="23"/>
                <w:sz w:val="24"/>
              </w:rPr>
              <w:t>撤銷或變更原復審決</w:t>
            </w:r>
          </w:p>
        </w:tc>
        <w:tc>
          <w:tcPr>
            <w:tcW w:w="3262" w:type="dxa"/>
          </w:tcPr>
          <w:p>
            <w:pPr>
              <w:pStyle w:val="TableParagraph"/>
              <w:spacing w:line="225" w:lineRule="auto" w:before="2"/>
              <w:ind w:right="79" w:hanging="240"/>
              <w:rPr>
                <w:sz w:val="24"/>
              </w:rPr>
            </w:pPr>
            <w:r>
              <w:rPr>
                <w:spacing w:val="11"/>
                <w:sz w:val="24"/>
              </w:rPr>
              <w:t>第一百條 保訓會認為再審</w:t>
            </w:r>
            <w:r>
              <w:rPr>
                <w:spacing w:val="15"/>
                <w:sz w:val="24"/>
              </w:rPr>
              <w:t>議有理由者，應撤銷或變</w:t>
            </w:r>
          </w:p>
          <w:p>
            <w:pPr>
              <w:pStyle w:val="TableParagraph"/>
              <w:spacing w:line="285" w:lineRule="exact"/>
              <w:rPr>
                <w:sz w:val="24"/>
              </w:rPr>
            </w:pPr>
            <w:r>
              <w:rPr>
                <w:sz w:val="24"/>
              </w:rPr>
              <w:t>更原復審決定。</w:t>
            </w:r>
          </w:p>
        </w:tc>
        <w:tc>
          <w:tcPr>
            <w:tcW w:w="3116" w:type="dxa"/>
          </w:tcPr>
          <w:p>
            <w:pPr>
              <w:pStyle w:val="TableParagraph"/>
              <w:spacing w:line="225" w:lineRule="auto" w:before="2"/>
              <w:ind w:left="105" w:right="99"/>
              <w:rPr>
                <w:sz w:val="24"/>
              </w:rPr>
            </w:pPr>
            <w:r>
              <w:rPr>
                <w:sz w:val="24"/>
              </w:rPr>
              <w:t>配合第九十四條將再審議程序擴大適用於再申訴事件之</w:t>
            </w:r>
          </w:p>
          <w:p>
            <w:pPr>
              <w:pStyle w:val="TableParagraph"/>
              <w:spacing w:line="285" w:lineRule="exact"/>
              <w:ind w:left="105"/>
              <w:rPr>
                <w:sz w:val="24"/>
              </w:rPr>
            </w:pPr>
            <w:r>
              <w:rPr>
                <w:sz w:val="24"/>
              </w:rPr>
              <w:t>規定，酌作文字修正。</w:t>
            </w:r>
          </w:p>
        </w:tc>
      </w:tr>
    </w:tbl>
    <w:p>
      <w:pPr>
        <w:spacing w:after="0" w:line="285" w:lineRule="exac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311" w:hRule="atLeast"/>
        </w:trPr>
        <w:tc>
          <w:tcPr>
            <w:tcW w:w="2835" w:type="dxa"/>
          </w:tcPr>
          <w:p>
            <w:pPr>
              <w:pStyle w:val="TableParagraph"/>
              <w:spacing w:line="292" w:lineRule="exact"/>
              <w:rPr>
                <w:sz w:val="24"/>
              </w:rPr>
            </w:pPr>
            <w:r>
              <w:rPr>
                <w:sz w:val="24"/>
              </w:rPr>
              <w:t>定或</w:t>
            </w:r>
            <w:r>
              <w:rPr>
                <w:sz w:val="24"/>
                <w:u w:val="single"/>
              </w:rPr>
              <w:t>再申訴決定</w:t>
            </w:r>
            <w:r>
              <w:rPr>
                <w:sz w:val="24"/>
              </w:rPr>
              <w:t>。</w:t>
            </w:r>
          </w:p>
        </w:tc>
        <w:tc>
          <w:tcPr>
            <w:tcW w:w="3262" w:type="dxa"/>
          </w:tcPr>
          <w:p>
            <w:pPr>
              <w:pStyle w:val="TableParagraph"/>
              <w:ind w:left="0"/>
              <w:rPr>
                <w:rFonts w:ascii="Times New Roman"/>
                <w:sz w:val="22"/>
              </w:rPr>
            </w:pPr>
          </w:p>
        </w:tc>
        <w:tc>
          <w:tcPr>
            <w:tcW w:w="3116" w:type="dxa"/>
          </w:tcPr>
          <w:p>
            <w:pPr>
              <w:pStyle w:val="TableParagraph"/>
              <w:ind w:left="0"/>
              <w:rPr>
                <w:rFonts w:ascii="Times New Roman"/>
                <w:sz w:val="22"/>
              </w:rPr>
            </w:pPr>
          </w:p>
        </w:tc>
      </w:tr>
      <w:tr>
        <w:trPr>
          <w:trHeight w:val="1874" w:hRule="atLeast"/>
        </w:trPr>
        <w:tc>
          <w:tcPr>
            <w:tcW w:w="2835" w:type="dxa"/>
          </w:tcPr>
          <w:p>
            <w:pPr>
              <w:pStyle w:val="TableParagraph"/>
              <w:spacing w:line="312" w:lineRule="exact"/>
              <w:ind w:left="0" w:right="97"/>
              <w:jc w:val="right"/>
              <w:rPr>
                <w:sz w:val="24"/>
              </w:rPr>
            </w:pPr>
            <w:r>
              <w:rPr>
                <w:spacing w:val="32"/>
                <w:sz w:val="24"/>
              </w:rPr>
              <w:t>第一百零一條 再審議</w:t>
            </w:r>
          </w:p>
          <w:p>
            <w:pPr>
              <w:pStyle w:val="TableParagraph"/>
              <w:spacing w:line="312" w:lineRule="exact"/>
              <w:ind w:right="101"/>
              <w:jc w:val="right"/>
              <w:rPr>
                <w:sz w:val="24"/>
              </w:rPr>
            </w:pPr>
            <w:r>
              <w:rPr>
                <w:spacing w:val="7"/>
                <w:sz w:val="24"/>
              </w:rPr>
              <w:t>， 除本章另有規定外</w:t>
            </w:r>
          </w:p>
          <w:p>
            <w:pPr>
              <w:pStyle w:val="TableParagraph"/>
              <w:spacing w:line="223" w:lineRule="auto" w:before="5"/>
              <w:ind w:right="100"/>
              <w:jc w:val="both"/>
              <w:rPr>
                <w:sz w:val="24"/>
              </w:rPr>
            </w:pPr>
            <w:r>
              <w:rPr>
                <w:spacing w:val="13"/>
                <w:w w:val="95"/>
                <w:sz w:val="24"/>
              </w:rPr>
              <w:t>， 準用第三章復審程</w:t>
            </w:r>
            <w:r>
              <w:rPr>
                <w:spacing w:val="26"/>
                <w:w w:val="95"/>
                <w:sz w:val="24"/>
              </w:rPr>
              <w:t>序</w:t>
            </w:r>
            <w:r>
              <w:rPr>
                <w:spacing w:val="22"/>
                <w:w w:val="95"/>
                <w:sz w:val="24"/>
                <w:u w:val="single"/>
              </w:rPr>
              <w:t>、第四章再申訴程</w:t>
            </w:r>
            <w:r>
              <w:rPr>
                <w:spacing w:val="-220"/>
                <w:w w:val="95"/>
                <w:sz w:val="24"/>
                <w:u w:val="single"/>
              </w:rPr>
              <w:t>序</w:t>
            </w:r>
            <w:r>
              <w:rPr>
                <w:spacing w:val="22"/>
                <w:sz w:val="24"/>
              </w:rPr>
              <w:t>及第六章執行之規</w:t>
            </w:r>
          </w:p>
          <w:p>
            <w:pPr>
              <w:pStyle w:val="TableParagraph"/>
              <w:spacing w:line="289" w:lineRule="exact"/>
              <w:rPr>
                <w:sz w:val="24"/>
              </w:rPr>
            </w:pPr>
            <w:r>
              <w:rPr>
                <w:sz w:val="24"/>
              </w:rPr>
              <w:t>定。</w:t>
            </w:r>
          </w:p>
        </w:tc>
        <w:tc>
          <w:tcPr>
            <w:tcW w:w="3262" w:type="dxa"/>
          </w:tcPr>
          <w:p>
            <w:pPr>
              <w:pStyle w:val="TableParagraph"/>
              <w:spacing w:line="223" w:lineRule="auto" w:before="4"/>
              <w:ind w:right="79" w:hanging="240"/>
              <w:jc w:val="both"/>
              <w:rPr>
                <w:sz w:val="24"/>
              </w:rPr>
            </w:pPr>
            <w:r>
              <w:rPr>
                <w:spacing w:val="12"/>
                <w:sz w:val="24"/>
              </w:rPr>
              <w:t>第一百零一條 再審議，除</w:t>
            </w:r>
            <w:r>
              <w:rPr>
                <w:spacing w:val="15"/>
                <w:sz w:val="24"/>
              </w:rPr>
              <w:t>本章另有規定外，準用第三章復審程序及第六章執</w:t>
            </w:r>
            <w:r>
              <w:rPr>
                <w:sz w:val="24"/>
              </w:rPr>
              <w:t>行之規定。</w:t>
            </w:r>
          </w:p>
        </w:tc>
        <w:tc>
          <w:tcPr>
            <w:tcW w:w="3116" w:type="dxa"/>
          </w:tcPr>
          <w:p>
            <w:pPr>
              <w:pStyle w:val="TableParagraph"/>
              <w:spacing w:line="223" w:lineRule="auto" w:before="4"/>
              <w:ind w:left="105" w:right="99"/>
              <w:jc w:val="both"/>
              <w:rPr>
                <w:sz w:val="24"/>
              </w:rPr>
            </w:pPr>
            <w:r>
              <w:rPr>
                <w:sz w:val="24"/>
              </w:rPr>
              <w:t>配合第九十四條將再審議程序擴大適用於再申訴事件之規定，酌作文字修正。</w:t>
            </w:r>
          </w:p>
        </w:tc>
      </w:tr>
      <w:tr>
        <w:trPr>
          <w:trHeight w:val="11240" w:hRule="atLeast"/>
        </w:trPr>
        <w:tc>
          <w:tcPr>
            <w:tcW w:w="2835" w:type="dxa"/>
          </w:tcPr>
          <w:p>
            <w:pPr>
              <w:pStyle w:val="TableParagraph"/>
              <w:spacing w:line="223" w:lineRule="auto" w:before="4"/>
              <w:ind w:left="345" w:right="96" w:hanging="238"/>
              <w:rPr>
                <w:sz w:val="24"/>
              </w:rPr>
            </w:pPr>
            <w:r>
              <w:rPr>
                <w:spacing w:val="18"/>
                <w:sz w:val="24"/>
              </w:rPr>
              <w:t>第一百零二條 下列人</w:t>
            </w:r>
            <w:r>
              <w:rPr>
                <w:sz w:val="24"/>
              </w:rPr>
              <w:t>員準用本法之規定：</w:t>
            </w:r>
            <w:r>
              <w:rPr>
                <w:spacing w:val="1"/>
                <w:sz w:val="24"/>
              </w:rPr>
              <w:t> </w:t>
            </w:r>
            <w:r>
              <w:rPr>
                <w:spacing w:val="23"/>
                <w:sz w:val="24"/>
              </w:rPr>
              <w:t>一、教育人員任用條</w:t>
            </w:r>
          </w:p>
          <w:p>
            <w:pPr>
              <w:pStyle w:val="TableParagraph"/>
              <w:spacing w:line="223" w:lineRule="auto"/>
              <w:ind w:left="856" w:right="98"/>
              <w:jc w:val="both"/>
              <w:rPr>
                <w:sz w:val="24"/>
              </w:rPr>
            </w:pPr>
            <w:r>
              <w:rPr>
                <w:spacing w:val="25"/>
                <w:sz w:val="24"/>
              </w:rPr>
              <w:t>例公布施行前已進用未經銓敘合格之公立學校職</w:t>
            </w:r>
            <w:r>
              <w:rPr>
                <w:sz w:val="24"/>
              </w:rPr>
              <w:t>員。</w:t>
            </w:r>
          </w:p>
          <w:p>
            <w:pPr>
              <w:pStyle w:val="TableParagraph"/>
              <w:spacing w:line="223" w:lineRule="auto"/>
              <w:ind w:left="856" w:right="96" w:hanging="512"/>
              <w:jc w:val="both"/>
              <w:rPr>
                <w:sz w:val="24"/>
              </w:rPr>
            </w:pPr>
            <w:r>
              <w:rPr>
                <w:spacing w:val="23"/>
                <w:sz w:val="24"/>
              </w:rPr>
              <w:t>二、私立學校改制為</w:t>
            </w:r>
            <w:r>
              <w:rPr>
                <w:spacing w:val="25"/>
                <w:sz w:val="24"/>
              </w:rPr>
              <w:t>公立學校未具任用資格之留用人</w:t>
            </w:r>
            <w:r>
              <w:rPr>
                <w:sz w:val="24"/>
              </w:rPr>
              <w:t>員。</w:t>
            </w:r>
          </w:p>
          <w:p>
            <w:pPr>
              <w:pStyle w:val="TableParagraph"/>
              <w:spacing w:line="223" w:lineRule="auto" w:before="2"/>
              <w:ind w:left="856" w:right="96" w:hanging="512"/>
              <w:jc w:val="both"/>
              <w:rPr>
                <w:sz w:val="24"/>
              </w:rPr>
            </w:pPr>
            <w:r>
              <w:rPr>
                <w:spacing w:val="23"/>
                <w:sz w:val="24"/>
              </w:rPr>
              <w:t>三、公營事業依法任</w:t>
            </w:r>
            <w:r>
              <w:rPr>
                <w:sz w:val="24"/>
              </w:rPr>
              <w:t>用之人員。</w:t>
            </w:r>
          </w:p>
          <w:p>
            <w:pPr>
              <w:pStyle w:val="TableParagraph"/>
              <w:spacing w:line="307" w:lineRule="exact"/>
              <w:ind w:left="345"/>
              <w:jc w:val="both"/>
              <w:rPr>
                <w:sz w:val="24"/>
              </w:rPr>
            </w:pPr>
            <w:r>
              <w:rPr>
                <w:spacing w:val="23"/>
                <w:sz w:val="24"/>
              </w:rPr>
              <w:t>四、各機關依法派用</w:t>
            </w:r>
          </w:p>
          <w:p>
            <w:pPr>
              <w:pStyle w:val="TableParagraph"/>
              <w:spacing w:line="223" w:lineRule="auto" w:before="5"/>
              <w:ind w:left="856" w:right="98"/>
              <w:rPr>
                <w:sz w:val="24"/>
              </w:rPr>
            </w:pPr>
            <w:r>
              <w:rPr>
                <w:spacing w:val="25"/>
                <w:sz w:val="24"/>
              </w:rPr>
              <w:t>、聘用、聘任、</w:t>
            </w:r>
            <w:r>
              <w:rPr>
                <w:spacing w:val="24"/>
                <w:sz w:val="24"/>
              </w:rPr>
              <w:t>僱用或留用人員</w:t>
            </w:r>
          </w:p>
          <w:p>
            <w:pPr>
              <w:pStyle w:val="TableParagraph"/>
              <w:spacing w:line="307" w:lineRule="exact"/>
              <w:ind w:left="856"/>
              <w:rPr>
                <w:sz w:val="24"/>
              </w:rPr>
            </w:pPr>
            <w:r>
              <w:rPr>
                <w:sz w:val="24"/>
              </w:rPr>
              <w:t>。</w:t>
            </w:r>
          </w:p>
          <w:p>
            <w:pPr>
              <w:pStyle w:val="TableParagraph"/>
              <w:spacing w:line="223" w:lineRule="auto" w:before="5"/>
              <w:ind w:left="856" w:right="96" w:hanging="512"/>
              <w:jc w:val="both"/>
              <w:rPr>
                <w:sz w:val="24"/>
              </w:rPr>
            </w:pPr>
            <w:r>
              <w:rPr>
                <w:spacing w:val="23"/>
                <w:sz w:val="24"/>
              </w:rPr>
              <w:t>五、應各種公務人員</w:t>
            </w:r>
            <w:r>
              <w:rPr>
                <w:spacing w:val="28"/>
                <w:sz w:val="24"/>
              </w:rPr>
              <w:t>考試錄取</w:t>
            </w:r>
            <w:r>
              <w:rPr>
                <w:spacing w:val="19"/>
                <w:sz w:val="24"/>
                <w:u w:val="single"/>
              </w:rPr>
              <w:t>參加訓</w:t>
            </w:r>
            <w:r>
              <w:rPr>
                <w:spacing w:val="-220"/>
                <w:sz w:val="24"/>
                <w:u w:val="single"/>
              </w:rPr>
              <w:t>練</w:t>
            </w:r>
            <w:r>
              <w:rPr>
                <w:spacing w:val="4"/>
                <w:sz w:val="24"/>
                <w:u w:val="single"/>
              </w:rPr>
              <w:t>之人員， 或訓</w:t>
            </w:r>
            <w:r>
              <w:rPr>
                <w:spacing w:val="25"/>
                <w:sz w:val="24"/>
                <w:u w:val="single"/>
              </w:rPr>
              <w:t>練期滿成績及格未獲分發任用之</w:t>
            </w:r>
            <w:r>
              <w:rPr>
                <w:sz w:val="24"/>
                <w:u w:val="single"/>
              </w:rPr>
              <w:t>人員</w:t>
            </w:r>
            <w:r>
              <w:rPr>
                <w:sz w:val="24"/>
              </w:rPr>
              <w:t>。</w:t>
            </w:r>
          </w:p>
          <w:p>
            <w:pPr>
              <w:pStyle w:val="TableParagraph"/>
              <w:spacing w:line="223" w:lineRule="auto" w:before="2"/>
              <w:ind w:right="98" w:firstLine="551"/>
              <w:jc w:val="both"/>
              <w:rPr>
                <w:sz w:val="24"/>
              </w:rPr>
            </w:pPr>
            <w:r>
              <w:rPr>
                <w:spacing w:val="19"/>
                <w:sz w:val="24"/>
                <w:u w:val="single"/>
              </w:rPr>
              <w:t>前項第五款應各</w:t>
            </w:r>
            <w:r>
              <w:rPr>
                <w:spacing w:val="-220"/>
                <w:sz w:val="24"/>
                <w:u w:val="single"/>
              </w:rPr>
              <w:t>種</w:t>
            </w:r>
            <w:r>
              <w:rPr>
                <w:spacing w:val="22"/>
                <w:sz w:val="24"/>
                <w:u w:val="single"/>
              </w:rPr>
              <w:t>公務人員考試錄取</w:t>
            </w:r>
            <w:r>
              <w:rPr>
                <w:spacing w:val="8"/>
                <w:sz w:val="24"/>
                <w:u w:val="single"/>
              </w:rPr>
              <w:t>參加訓練之人員， 不</w:t>
            </w:r>
            <w:r>
              <w:rPr>
                <w:spacing w:val="23"/>
                <w:sz w:val="24"/>
                <w:u w:val="single"/>
              </w:rPr>
              <w:t>服保訓會所為之行政</w:t>
            </w:r>
            <w:r>
              <w:rPr>
                <w:spacing w:val="7"/>
                <w:sz w:val="24"/>
                <w:u w:val="single"/>
              </w:rPr>
              <w:t>處分者， 有關其權益之救濟， 依訴願法之</w:t>
            </w:r>
            <w:r>
              <w:rPr>
                <w:sz w:val="24"/>
                <w:u w:val="single"/>
              </w:rPr>
              <w:t>規定行之。</w:t>
            </w:r>
          </w:p>
        </w:tc>
        <w:tc>
          <w:tcPr>
            <w:tcW w:w="3262" w:type="dxa"/>
          </w:tcPr>
          <w:p>
            <w:pPr>
              <w:pStyle w:val="TableParagraph"/>
              <w:spacing w:line="223" w:lineRule="auto" w:before="4"/>
              <w:ind w:right="100" w:hanging="240"/>
              <w:jc w:val="both"/>
              <w:rPr>
                <w:sz w:val="24"/>
              </w:rPr>
            </w:pPr>
            <w:r>
              <w:rPr>
                <w:spacing w:val="11"/>
                <w:sz w:val="24"/>
              </w:rPr>
              <w:t>第一百零二條 下列人員準</w:t>
            </w:r>
            <w:r>
              <w:rPr>
                <w:sz w:val="24"/>
              </w:rPr>
              <w:t>用本法之規定：</w:t>
            </w:r>
          </w:p>
          <w:p>
            <w:pPr>
              <w:pStyle w:val="TableParagraph"/>
              <w:spacing w:line="223" w:lineRule="auto"/>
              <w:ind w:left="856" w:right="82" w:hanging="512"/>
              <w:jc w:val="both"/>
              <w:rPr>
                <w:sz w:val="24"/>
              </w:rPr>
            </w:pPr>
            <w:r>
              <w:rPr>
                <w:spacing w:val="15"/>
                <w:sz w:val="24"/>
              </w:rPr>
              <w:t>一、教育人員任用條例公</w:t>
            </w:r>
            <w:r>
              <w:rPr>
                <w:spacing w:val="14"/>
                <w:sz w:val="24"/>
              </w:rPr>
              <w:t>布施行前已進用未經銓敘合格之公立學校</w:t>
            </w:r>
            <w:r>
              <w:rPr>
                <w:sz w:val="24"/>
              </w:rPr>
              <w:t>職員。</w:t>
            </w:r>
          </w:p>
          <w:p>
            <w:pPr>
              <w:pStyle w:val="TableParagraph"/>
              <w:spacing w:line="223" w:lineRule="auto"/>
              <w:ind w:left="856" w:right="82" w:hanging="512"/>
              <w:jc w:val="both"/>
              <w:rPr>
                <w:sz w:val="24"/>
              </w:rPr>
            </w:pPr>
            <w:r>
              <w:rPr>
                <w:spacing w:val="15"/>
                <w:sz w:val="24"/>
              </w:rPr>
              <w:t>二、私立學校改制為公立</w:t>
            </w:r>
            <w:r>
              <w:rPr>
                <w:spacing w:val="14"/>
                <w:sz w:val="24"/>
              </w:rPr>
              <w:t>學校未具任用資格之</w:t>
            </w:r>
            <w:r>
              <w:rPr>
                <w:sz w:val="24"/>
              </w:rPr>
              <w:t>留用人員。</w:t>
            </w:r>
          </w:p>
          <w:p>
            <w:pPr>
              <w:pStyle w:val="TableParagraph"/>
              <w:spacing w:line="223" w:lineRule="auto" w:before="2"/>
              <w:ind w:left="856" w:right="82" w:hanging="512"/>
              <w:rPr>
                <w:sz w:val="24"/>
              </w:rPr>
            </w:pPr>
            <w:r>
              <w:rPr>
                <w:spacing w:val="15"/>
                <w:sz w:val="24"/>
              </w:rPr>
              <w:t>三、公營事業依法任用之</w:t>
            </w:r>
            <w:r>
              <w:rPr>
                <w:sz w:val="24"/>
              </w:rPr>
              <w:t>人員。</w:t>
            </w:r>
          </w:p>
          <w:p>
            <w:pPr>
              <w:pStyle w:val="TableParagraph"/>
              <w:spacing w:line="223" w:lineRule="auto"/>
              <w:ind w:left="856" w:right="82" w:hanging="512"/>
              <w:jc w:val="both"/>
              <w:rPr>
                <w:sz w:val="24"/>
              </w:rPr>
            </w:pPr>
            <w:r>
              <w:rPr>
                <w:spacing w:val="15"/>
                <w:sz w:val="24"/>
              </w:rPr>
              <w:t>四、各機關依法派用、聘</w:t>
            </w:r>
            <w:r>
              <w:rPr>
                <w:spacing w:val="14"/>
                <w:sz w:val="24"/>
              </w:rPr>
              <w:t>用、聘任、僱用或留</w:t>
            </w:r>
            <w:r>
              <w:rPr>
                <w:sz w:val="24"/>
              </w:rPr>
              <w:t>用人員。</w:t>
            </w:r>
          </w:p>
          <w:p>
            <w:pPr>
              <w:pStyle w:val="TableParagraph"/>
              <w:spacing w:line="223" w:lineRule="auto"/>
              <w:ind w:left="856" w:right="82" w:hanging="512"/>
              <w:jc w:val="both"/>
              <w:rPr>
                <w:sz w:val="24"/>
              </w:rPr>
            </w:pPr>
            <w:r>
              <w:rPr>
                <w:spacing w:val="13"/>
                <w:sz w:val="24"/>
              </w:rPr>
              <w:t>五、應各種公務人員考試</w:t>
            </w:r>
            <w:r>
              <w:rPr>
                <w:spacing w:val="14"/>
                <w:sz w:val="24"/>
              </w:rPr>
              <w:t>錄取占法定機關、公立學校編制職缺參加</w:t>
            </w:r>
            <w:r>
              <w:rPr>
                <w:sz w:val="24"/>
              </w:rPr>
              <w:t>學習或訓練之人員。</w:t>
            </w:r>
          </w:p>
        </w:tc>
        <w:tc>
          <w:tcPr>
            <w:tcW w:w="3116" w:type="dxa"/>
          </w:tcPr>
          <w:p>
            <w:pPr>
              <w:pStyle w:val="TableParagraph"/>
              <w:spacing w:line="223" w:lineRule="auto" w:before="4"/>
              <w:ind w:left="621" w:right="96" w:hanging="516"/>
              <w:jc w:val="both"/>
              <w:rPr>
                <w:sz w:val="24"/>
              </w:rPr>
            </w:pPr>
            <w:r>
              <w:rPr>
                <w:spacing w:val="20"/>
                <w:sz w:val="24"/>
              </w:rPr>
              <w:t>一、本條修正第一項第五</w:t>
            </w:r>
            <w:r>
              <w:rPr>
                <w:sz w:val="24"/>
              </w:rPr>
              <w:t>款，並增列第二項。</w:t>
            </w:r>
          </w:p>
          <w:p>
            <w:pPr>
              <w:pStyle w:val="TableParagraph"/>
              <w:spacing w:line="223" w:lineRule="auto"/>
              <w:ind w:left="621" w:right="98" w:hanging="516"/>
              <w:jc w:val="both"/>
              <w:rPr>
                <w:sz w:val="24"/>
              </w:rPr>
            </w:pPr>
            <w:r>
              <w:rPr>
                <w:spacing w:val="20"/>
                <w:sz w:val="24"/>
              </w:rPr>
              <w:t>二、鑑於經考試錄取未占</w:t>
            </w:r>
            <w:r>
              <w:rPr>
                <w:spacing w:val="23"/>
                <w:sz w:val="24"/>
              </w:rPr>
              <w:t>機關編制職缺參加訓</w:t>
            </w:r>
            <w:r>
              <w:rPr>
                <w:spacing w:val="7"/>
                <w:sz w:val="24"/>
              </w:rPr>
              <w:t>練人員， 雖未具法定任用資格， 惟其訓練</w:t>
            </w:r>
            <w:r>
              <w:rPr>
                <w:spacing w:val="23"/>
                <w:sz w:val="24"/>
              </w:rPr>
              <w:t>期間仍有執行公務行</w:t>
            </w:r>
            <w:r>
              <w:rPr>
                <w:spacing w:val="7"/>
                <w:sz w:val="24"/>
              </w:rPr>
              <w:t>為， 且亦負有公務員</w:t>
            </w:r>
            <w:r>
              <w:rPr>
                <w:spacing w:val="23"/>
                <w:sz w:val="24"/>
              </w:rPr>
              <w:t>服務法所定之義務。復以自一百零六年起公務人員考試錄取人</w:t>
            </w:r>
            <w:r>
              <w:rPr>
                <w:spacing w:val="7"/>
                <w:sz w:val="24"/>
              </w:rPr>
              <w:t>員訓練， 將全面實施未占缺訓練， 且公務</w:t>
            </w:r>
            <w:r>
              <w:rPr>
                <w:spacing w:val="23"/>
                <w:sz w:val="24"/>
              </w:rPr>
              <w:t>人員考試錄取人員訓練辦法於一百零五年</w:t>
            </w:r>
            <w:r>
              <w:rPr>
                <w:spacing w:val="7"/>
                <w:sz w:val="24"/>
              </w:rPr>
              <w:t>二月五日修正時， 已</w:t>
            </w:r>
            <w:r>
              <w:rPr>
                <w:spacing w:val="23"/>
                <w:sz w:val="24"/>
              </w:rPr>
              <w:t>將「占缺訓練人員」及「未占缺訓練人員</w:t>
            </w:r>
          </w:p>
          <w:p>
            <w:pPr>
              <w:pStyle w:val="TableParagraph"/>
              <w:spacing w:line="223" w:lineRule="auto" w:before="1"/>
              <w:ind w:left="621" w:right="100"/>
              <w:jc w:val="both"/>
              <w:rPr>
                <w:sz w:val="24"/>
              </w:rPr>
            </w:pPr>
            <w:r>
              <w:rPr>
                <w:spacing w:val="23"/>
                <w:sz w:val="24"/>
              </w:rPr>
              <w:t>」之用語均修正為「受訓人員」。為保障</w:t>
            </w:r>
            <w:r>
              <w:rPr>
                <w:spacing w:val="7"/>
                <w:sz w:val="24"/>
              </w:rPr>
              <w:t>受訓人員之權益， 爰</w:t>
            </w:r>
            <w:r>
              <w:rPr>
                <w:spacing w:val="23"/>
                <w:sz w:val="24"/>
              </w:rPr>
              <w:t>修正第一項第五款規</w:t>
            </w:r>
            <w:r>
              <w:rPr>
                <w:spacing w:val="6"/>
                <w:sz w:val="24"/>
              </w:rPr>
              <w:t>定， 將應各種公務人</w:t>
            </w:r>
            <w:r>
              <w:rPr>
                <w:spacing w:val="23"/>
                <w:sz w:val="24"/>
              </w:rPr>
              <w:t>員考試錄取參加訓練</w:t>
            </w:r>
            <w:r>
              <w:rPr>
                <w:spacing w:val="6"/>
                <w:sz w:val="24"/>
              </w:rPr>
              <w:t>之人員， 均納為本法</w:t>
            </w:r>
            <w:r>
              <w:rPr>
                <w:sz w:val="24"/>
              </w:rPr>
              <w:t>之準用對象。</w:t>
            </w:r>
          </w:p>
          <w:p>
            <w:pPr>
              <w:pStyle w:val="TableParagraph"/>
              <w:spacing w:line="223" w:lineRule="auto" w:before="2"/>
              <w:ind w:left="621" w:right="67" w:hanging="516"/>
              <w:jc w:val="both"/>
              <w:rPr>
                <w:sz w:val="24"/>
              </w:rPr>
            </w:pPr>
            <w:r>
              <w:rPr>
                <w:spacing w:val="9"/>
                <w:sz w:val="24"/>
              </w:rPr>
              <w:t>三、又訓練期滿， 並經核</w:t>
            </w:r>
            <w:r>
              <w:rPr>
                <w:spacing w:val="25"/>
                <w:sz w:val="24"/>
              </w:rPr>
              <w:t>定成績及格之考試錄取人員，本應由分發</w:t>
            </w:r>
            <w:r>
              <w:rPr>
                <w:spacing w:val="23"/>
                <w:sz w:val="24"/>
              </w:rPr>
              <w:t>機關或申辦考試機關</w:t>
            </w:r>
            <w:r>
              <w:rPr>
                <w:spacing w:val="13"/>
                <w:w w:val="95"/>
                <w:sz w:val="24"/>
              </w:rPr>
              <w:t>分發任用， 如其因具</w:t>
            </w:r>
            <w:r>
              <w:rPr>
                <w:spacing w:val="23"/>
                <w:sz w:val="24"/>
              </w:rPr>
              <w:t>公務人員任用法第二</w:t>
            </w:r>
            <w:r>
              <w:rPr>
                <w:spacing w:val="14"/>
                <w:w w:val="95"/>
                <w:sz w:val="24"/>
              </w:rPr>
              <w:t>十八條所定事由， 或</w:t>
            </w:r>
            <w:r>
              <w:rPr>
                <w:spacing w:val="23"/>
                <w:sz w:val="24"/>
              </w:rPr>
              <w:t>警察人員人事條例第十條之一第一項之消</w:t>
            </w:r>
          </w:p>
          <w:p>
            <w:pPr>
              <w:pStyle w:val="TableParagraph"/>
              <w:spacing w:line="289" w:lineRule="exact"/>
              <w:ind w:left="621"/>
              <w:jc w:val="both"/>
              <w:rPr>
                <w:sz w:val="24"/>
              </w:rPr>
            </w:pPr>
            <w:r>
              <w:rPr>
                <w:spacing w:val="11"/>
                <w:sz w:val="24"/>
              </w:rPr>
              <w:t>極任用資格， 經拒絕</w:t>
            </w:r>
          </w:p>
        </w:tc>
      </w:tr>
    </w:tbl>
    <w:p>
      <w:pPr>
        <w:spacing w:after="0" w:line="289" w:lineRule="exact"/>
        <w:jc w:val="both"/>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26"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621" w:right="67"/>
              <w:jc w:val="both"/>
              <w:rPr>
                <w:sz w:val="24"/>
              </w:rPr>
            </w:pPr>
            <w:r>
              <w:rPr>
                <w:spacing w:val="8"/>
                <w:sz w:val="24"/>
              </w:rPr>
              <w:t>派任時， 將使其服公</w:t>
            </w:r>
            <w:r>
              <w:rPr>
                <w:spacing w:val="23"/>
                <w:sz w:val="24"/>
              </w:rPr>
              <w:t>職權利受損。爰於第</w:t>
            </w:r>
            <w:r>
              <w:rPr>
                <w:spacing w:val="24"/>
                <w:sz w:val="24"/>
              </w:rPr>
              <w:t>一項第五款明定是類</w:t>
            </w:r>
            <w:r>
              <w:rPr>
                <w:spacing w:val="25"/>
                <w:sz w:val="24"/>
              </w:rPr>
              <w:t>人員亦得準用本法規</w:t>
            </w:r>
            <w:r>
              <w:rPr>
                <w:sz w:val="24"/>
              </w:rPr>
              <w:t>定，請求救濟。</w:t>
            </w:r>
          </w:p>
          <w:p>
            <w:pPr>
              <w:pStyle w:val="TableParagraph"/>
              <w:spacing w:line="223" w:lineRule="auto"/>
              <w:ind w:left="621" w:right="96" w:hanging="516"/>
              <w:jc w:val="both"/>
              <w:rPr>
                <w:sz w:val="24"/>
              </w:rPr>
            </w:pPr>
            <w:r>
              <w:rPr>
                <w:spacing w:val="20"/>
                <w:sz w:val="24"/>
              </w:rPr>
              <w:t>四、另依保訓會組織法第</w:t>
            </w:r>
            <w:r>
              <w:rPr>
                <w:spacing w:val="14"/>
                <w:w w:val="95"/>
                <w:sz w:val="24"/>
              </w:rPr>
              <w:t>二條規定， 保訓會職</w:t>
            </w:r>
            <w:r>
              <w:rPr>
                <w:spacing w:val="23"/>
                <w:sz w:val="24"/>
              </w:rPr>
              <w:t>掌除辦理公務人員保</w:t>
            </w:r>
            <w:r>
              <w:rPr>
                <w:spacing w:val="14"/>
                <w:w w:val="95"/>
                <w:sz w:val="24"/>
              </w:rPr>
              <w:t>障事件之審議外， 尚</w:t>
            </w:r>
            <w:r>
              <w:rPr>
                <w:spacing w:val="23"/>
                <w:sz w:val="24"/>
              </w:rPr>
              <w:t>包含辦理公務人員考試錄取訓練事項。應各種公務人員考試錄取參加訓練之人員，</w:t>
            </w:r>
            <w:r>
              <w:rPr>
                <w:spacing w:val="-118"/>
                <w:sz w:val="24"/>
              </w:rPr>
              <w:t> </w:t>
            </w:r>
            <w:r>
              <w:rPr>
                <w:spacing w:val="23"/>
                <w:sz w:val="24"/>
              </w:rPr>
              <w:t>不服保訓會依考試錄取人員訓練法規所為</w:t>
            </w:r>
            <w:r>
              <w:rPr>
                <w:spacing w:val="14"/>
                <w:w w:val="95"/>
                <w:sz w:val="24"/>
              </w:rPr>
              <w:t>之行政處分， 例如否</w:t>
            </w:r>
            <w:r>
              <w:rPr>
                <w:spacing w:val="23"/>
                <w:sz w:val="24"/>
              </w:rPr>
              <w:t>准保留受訓資格、免除基礎訓練、縮短實務訓練、免訓、補訓</w:t>
            </w:r>
          </w:p>
          <w:p>
            <w:pPr>
              <w:pStyle w:val="TableParagraph"/>
              <w:spacing w:line="223" w:lineRule="auto" w:before="1"/>
              <w:ind w:left="621" w:right="100"/>
              <w:jc w:val="both"/>
              <w:rPr>
                <w:sz w:val="24"/>
              </w:rPr>
            </w:pPr>
            <w:r>
              <w:rPr>
                <w:spacing w:val="23"/>
                <w:sz w:val="24"/>
              </w:rPr>
              <w:t>、重新訓練、停止訓</w:t>
            </w:r>
            <w:r>
              <w:rPr>
                <w:spacing w:val="6"/>
                <w:sz w:val="24"/>
              </w:rPr>
              <w:t>練； 廢止受訓資格、</w:t>
            </w:r>
            <w:r>
              <w:rPr>
                <w:spacing w:val="23"/>
                <w:sz w:val="24"/>
              </w:rPr>
              <w:t>訓練成績核定通知、</w:t>
            </w:r>
            <w:r>
              <w:rPr>
                <w:spacing w:val="22"/>
                <w:sz w:val="24"/>
              </w:rPr>
              <w:t>核定訓練成績不及格</w:t>
            </w:r>
          </w:p>
          <w:p>
            <w:pPr>
              <w:pStyle w:val="TableParagraph"/>
              <w:spacing w:line="223" w:lineRule="auto" w:before="2"/>
              <w:ind w:left="621" w:right="67"/>
              <w:jc w:val="both"/>
              <w:rPr>
                <w:sz w:val="24"/>
              </w:rPr>
            </w:pPr>
            <w:r>
              <w:rPr>
                <w:spacing w:val="23"/>
                <w:sz w:val="24"/>
              </w:rPr>
              <w:t>、否准提供測驗試題或不服試題疑義之處</w:t>
            </w:r>
            <w:r>
              <w:rPr>
                <w:spacing w:val="10"/>
                <w:sz w:val="24"/>
              </w:rPr>
              <w:t>理結果等， 倘仍依本</w:t>
            </w:r>
            <w:r>
              <w:rPr>
                <w:spacing w:val="23"/>
                <w:sz w:val="24"/>
              </w:rPr>
              <w:t>法規定提起復審救濟</w:t>
            </w:r>
          </w:p>
          <w:p>
            <w:pPr>
              <w:pStyle w:val="TableParagraph"/>
              <w:spacing w:line="223" w:lineRule="auto"/>
              <w:ind w:left="621" w:right="96"/>
              <w:jc w:val="both"/>
              <w:rPr>
                <w:sz w:val="24"/>
              </w:rPr>
            </w:pPr>
            <w:r>
              <w:rPr>
                <w:spacing w:val="7"/>
                <w:sz w:val="24"/>
              </w:rPr>
              <w:t>， 並由保訓會審議決定， 當事人恐將滋生</w:t>
            </w:r>
            <w:r>
              <w:rPr>
                <w:spacing w:val="23"/>
                <w:sz w:val="24"/>
              </w:rPr>
              <w:t>公正性不足之疑慮，</w:t>
            </w:r>
            <w:r>
              <w:rPr>
                <w:spacing w:val="-118"/>
                <w:sz w:val="24"/>
              </w:rPr>
              <w:t> </w:t>
            </w:r>
            <w:r>
              <w:rPr>
                <w:spacing w:val="7"/>
                <w:sz w:val="24"/>
              </w:rPr>
              <w:t>為增加其信服度， 爰增列第二項， 明定渠</w:t>
            </w:r>
            <w:r>
              <w:rPr>
                <w:spacing w:val="23"/>
                <w:sz w:val="24"/>
              </w:rPr>
              <w:t>等不服保訓會所為之</w:t>
            </w:r>
            <w:r>
              <w:rPr>
                <w:spacing w:val="7"/>
                <w:sz w:val="24"/>
              </w:rPr>
              <w:t>行政處分者， 依訴願</w:t>
            </w:r>
            <w:r>
              <w:rPr>
                <w:sz w:val="24"/>
              </w:rPr>
              <w:t>程序請求救濟。</w:t>
            </w:r>
          </w:p>
          <w:p>
            <w:pPr>
              <w:pStyle w:val="TableParagraph"/>
              <w:spacing w:line="223" w:lineRule="auto" w:before="1"/>
              <w:ind w:left="621" w:right="97" w:hanging="516"/>
              <w:jc w:val="both"/>
              <w:rPr>
                <w:sz w:val="24"/>
              </w:rPr>
            </w:pPr>
            <w:r>
              <w:rPr>
                <w:spacing w:val="20"/>
                <w:sz w:val="24"/>
              </w:rPr>
              <w:t>五、至不服保訓會以外之</w:t>
            </w:r>
            <w:r>
              <w:rPr>
                <w:spacing w:val="25"/>
                <w:sz w:val="24"/>
              </w:rPr>
              <w:t>訓練機關</w:t>
            </w:r>
            <w:r>
              <w:rPr>
                <w:sz w:val="24"/>
              </w:rPr>
              <w:t>（</w:t>
            </w:r>
            <w:r>
              <w:rPr>
                <w:spacing w:val="-33"/>
                <w:sz w:val="24"/>
              </w:rPr>
              <w:t> 構</w:t>
            </w:r>
            <w:r>
              <w:rPr>
                <w:sz w:val="24"/>
              </w:rPr>
              <w:t>）</w:t>
            </w:r>
            <w:r>
              <w:rPr>
                <w:spacing w:val="-23"/>
                <w:sz w:val="24"/>
              </w:rPr>
              <w:t> 或實</w:t>
            </w:r>
            <w:r>
              <w:rPr>
                <w:spacing w:val="23"/>
                <w:sz w:val="24"/>
              </w:rPr>
              <w:t>務訓練機關於訓練期間所為之行政處分，</w:t>
            </w:r>
            <w:r>
              <w:rPr>
                <w:spacing w:val="-118"/>
                <w:sz w:val="24"/>
              </w:rPr>
              <w:t> </w:t>
            </w:r>
            <w:r>
              <w:rPr>
                <w:spacing w:val="23"/>
                <w:sz w:val="24"/>
              </w:rPr>
              <w:t>例如加班費、因公涉訟輔助費用及津貼之</w:t>
            </w:r>
            <w:r>
              <w:rPr>
                <w:spacing w:val="8"/>
                <w:sz w:val="24"/>
              </w:rPr>
              <w:t>發給或追繳等， 非屬</w:t>
            </w:r>
          </w:p>
          <w:p>
            <w:pPr>
              <w:pStyle w:val="TableParagraph"/>
              <w:spacing w:line="289" w:lineRule="exact"/>
              <w:ind w:left="621"/>
              <w:jc w:val="both"/>
              <w:rPr>
                <w:sz w:val="24"/>
              </w:rPr>
            </w:pPr>
            <w:r>
              <w:rPr>
                <w:spacing w:val="23"/>
                <w:sz w:val="24"/>
              </w:rPr>
              <w:t>保訓會所為之處分，</w:t>
            </w:r>
          </w:p>
        </w:tc>
      </w:tr>
    </w:tbl>
    <w:p>
      <w:pPr>
        <w:spacing w:after="0" w:line="289" w:lineRule="exact"/>
        <w:jc w:val="both"/>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472"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621" w:right="100"/>
              <w:rPr>
                <w:sz w:val="24"/>
              </w:rPr>
            </w:pPr>
            <w:r>
              <w:rPr>
                <w:spacing w:val="23"/>
                <w:sz w:val="24"/>
              </w:rPr>
              <w:t>仍得依本法規定之救</w:t>
            </w:r>
            <w:r>
              <w:rPr>
                <w:sz w:val="24"/>
              </w:rPr>
              <w:t>濟程序為之。</w:t>
            </w:r>
          </w:p>
          <w:p>
            <w:pPr>
              <w:pStyle w:val="TableParagraph"/>
              <w:spacing w:line="319" w:lineRule="exact"/>
              <w:ind w:left="105"/>
              <w:rPr>
                <w:sz w:val="24"/>
              </w:rPr>
            </w:pPr>
            <w:r>
              <w:rPr>
                <w:spacing w:val="5"/>
                <w:sz w:val="24"/>
              </w:rPr>
              <w:t>六、相關規定</w:t>
            </w:r>
          </w:p>
          <w:p>
            <w:pPr>
              <w:pStyle w:val="TableParagraph"/>
              <w:spacing w:line="324" w:lineRule="exact" w:before="157"/>
              <w:ind w:left="105"/>
              <w:rPr>
                <w:sz w:val="24"/>
              </w:rPr>
            </w:pPr>
            <w:r>
              <w:rPr>
                <w:sz w:val="24"/>
              </w:rPr>
              <w:t>（一）公務人員任用法</w:t>
            </w:r>
          </w:p>
          <w:p>
            <w:pPr>
              <w:pStyle w:val="TableParagraph"/>
              <w:spacing w:line="223" w:lineRule="auto" w:before="5"/>
              <w:ind w:left="345" w:right="96" w:hanging="240"/>
              <w:jc w:val="both"/>
              <w:rPr>
                <w:sz w:val="24"/>
              </w:rPr>
            </w:pPr>
            <w:r>
              <w:rPr>
                <w:sz w:val="24"/>
              </w:rPr>
              <w:t>第二十八條第一項 有下列情事之一者，不得任用為公務人員：</w:t>
            </w:r>
          </w:p>
          <w:p>
            <w:pPr>
              <w:pStyle w:val="TableParagraph"/>
              <w:spacing w:line="223" w:lineRule="auto" w:before="2"/>
              <w:ind w:left="873" w:right="99" w:hanging="528"/>
              <w:rPr>
                <w:sz w:val="24"/>
              </w:rPr>
            </w:pPr>
            <w:r>
              <w:rPr>
                <w:sz w:val="24"/>
              </w:rPr>
              <w:t>一、未具或喪失中華民國國籍。</w:t>
            </w:r>
          </w:p>
          <w:p>
            <w:pPr>
              <w:pStyle w:val="TableParagraph"/>
              <w:spacing w:line="223" w:lineRule="auto"/>
              <w:ind w:left="873" w:right="98" w:hanging="528"/>
              <w:jc w:val="both"/>
              <w:rPr>
                <w:sz w:val="24"/>
              </w:rPr>
            </w:pPr>
            <w:r>
              <w:rPr>
                <w:sz w:val="24"/>
              </w:rPr>
              <w:t>二、具中華民國國籍兼具</w:t>
            </w:r>
            <w:r>
              <w:rPr>
                <w:spacing w:val="24"/>
                <w:sz w:val="24"/>
              </w:rPr>
              <w:t>外國國籍。但其他法律另有規定者，</w:t>
            </w:r>
            <w:r>
              <w:rPr>
                <w:spacing w:val="-118"/>
                <w:sz w:val="24"/>
              </w:rPr>
              <w:t> </w:t>
            </w:r>
            <w:r>
              <w:rPr>
                <w:sz w:val="24"/>
              </w:rPr>
              <w:t>不在此限。</w:t>
            </w:r>
          </w:p>
          <w:p>
            <w:pPr>
              <w:pStyle w:val="TableParagraph"/>
              <w:spacing w:line="307" w:lineRule="exact"/>
              <w:ind w:left="345"/>
              <w:rPr>
                <w:sz w:val="24"/>
              </w:rPr>
            </w:pPr>
            <w:r>
              <w:rPr>
                <w:sz w:val="24"/>
              </w:rPr>
              <w:t>三、動員戡亂時期終止後</w:t>
            </w:r>
          </w:p>
          <w:p>
            <w:pPr>
              <w:pStyle w:val="TableParagraph"/>
              <w:spacing w:line="223" w:lineRule="auto" w:before="4"/>
              <w:ind w:left="873" w:right="98"/>
              <w:jc w:val="both"/>
              <w:rPr>
                <w:sz w:val="24"/>
              </w:rPr>
            </w:pPr>
            <w:r>
              <w:rPr>
                <w:spacing w:val="7"/>
                <w:sz w:val="24"/>
              </w:rPr>
              <w:t>， 曾犯內亂罪、外患罪， 經有罪判決</w:t>
            </w:r>
            <w:r>
              <w:rPr>
                <w:spacing w:val="24"/>
                <w:sz w:val="24"/>
              </w:rPr>
              <w:t>確定或通緝有案尚</w:t>
            </w:r>
            <w:r>
              <w:rPr>
                <w:sz w:val="24"/>
              </w:rPr>
              <w:t>未結案。</w:t>
            </w:r>
          </w:p>
          <w:p>
            <w:pPr>
              <w:pStyle w:val="TableParagraph"/>
              <w:spacing w:line="306" w:lineRule="exact"/>
              <w:ind w:left="345"/>
              <w:rPr>
                <w:sz w:val="24"/>
              </w:rPr>
            </w:pPr>
            <w:r>
              <w:rPr>
                <w:sz w:val="24"/>
              </w:rPr>
              <w:t>四、曾服公務有貪污行為</w:t>
            </w:r>
          </w:p>
          <w:p>
            <w:pPr>
              <w:pStyle w:val="TableParagraph"/>
              <w:spacing w:line="223" w:lineRule="auto" w:before="5"/>
              <w:ind w:left="873" w:right="98"/>
              <w:jc w:val="both"/>
              <w:rPr>
                <w:sz w:val="24"/>
              </w:rPr>
            </w:pPr>
            <w:r>
              <w:rPr>
                <w:spacing w:val="7"/>
                <w:sz w:val="24"/>
              </w:rPr>
              <w:t>， 經有罪判決確定</w:t>
            </w:r>
            <w:r>
              <w:rPr>
                <w:spacing w:val="24"/>
                <w:sz w:val="24"/>
              </w:rPr>
              <w:t>或通緝有案尚未結</w:t>
            </w:r>
            <w:r>
              <w:rPr>
                <w:sz w:val="24"/>
              </w:rPr>
              <w:t>案。</w:t>
            </w:r>
          </w:p>
          <w:p>
            <w:pPr>
              <w:pStyle w:val="TableParagraph"/>
              <w:spacing w:line="223" w:lineRule="auto" w:before="2"/>
              <w:ind w:left="873" w:right="98" w:hanging="528"/>
              <w:jc w:val="both"/>
              <w:rPr>
                <w:sz w:val="24"/>
              </w:rPr>
            </w:pPr>
            <w:r>
              <w:rPr>
                <w:sz w:val="24"/>
              </w:rPr>
              <w:t>五、犯前二款以外之罪，</w:t>
            </w:r>
            <w:r>
              <w:rPr>
                <w:spacing w:val="-118"/>
                <w:sz w:val="24"/>
              </w:rPr>
              <w:t> </w:t>
            </w:r>
            <w:r>
              <w:rPr>
                <w:spacing w:val="24"/>
                <w:sz w:val="24"/>
              </w:rPr>
              <w:t>判處有期徒刑以上</w:t>
            </w:r>
            <w:r>
              <w:rPr>
                <w:spacing w:val="14"/>
                <w:w w:val="95"/>
                <w:sz w:val="24"/>
              </w:rPr>
              <w:t>之刑確定， 尚未執</w:t>
            </w:r>
            <w:r>
              <w:rPr>
                <w:spacing w:val="24"/>
                <w:sz w:val="24"/>
              </w:rPr>
              <w:t>行或執行未畢。但</w:t>
            </w:r>
            <w:r>
              <w:rPr>
                <w:spacing w:val="14"/>
                <w:w w:val="95"/>
                <w:sz w:val="24"/>
              </w:rPr>
              <w:t>受緩刑宣告者， 不</w:t>
            </w:r>
            <w:r>
              <w:rPr>
                <w:sz w:val="24"/>
              </w:rPr>
              <w:t>在此限。</w:t>
            </w:r>
          </w:p>
          <w:p>
            <w:pPr>
              <w:pStyle w:val="TableParagraph"/>
              <w:spacing w:line="307" w:lineRule="exact"/>
              <w:ind w:left="345"/>
              <w:rPr>
                <w:sz w:val="24"/>
              </w:rPr>
            </w:pPr>
            <w:r>
              <w:rPr>
                <w:sz w:val="24"/>
              </w:rPr>
              <w:t>六、依法停止任用。</w:t>
            </w:r>
          </w:p>
          <w:p>
            <w:pPr>
              <w:pStyle w:val="TableParagraph"/>
              <w:spacing w:line="223" w:lineRule="auto" w:before="5"/>
              <w:ind w:left="345" w:right="98"/>
              <w:jc w:val="right"/>
              <w:rPr>
                <w:sz w:val="24"/>
              </w:rPr>
            </w:pPr>
            <w:r>
              <w:rPr>
                <w:sz w:val="24"/>
              </w:rPr>
              <w:t>七、褫奪公權尚未復權。八、經原住民族特種考試</w:t>
            </w:r>
            <w:r>
              <w:rPr>
                <w:spacing w:val="8"/>
                <w:sz w:val="24"/>
              </w:rPr>
              <w:t>及格， 而未具或喪</w:t>
            </w:r>
          </w:p>
          <w:p>
            <w:pPr>
              <w:pStyle w:val="TableParagraph"/>
              <w:spacing w:line="309" w:lineRule="exact"/>
              <w:ind w:left="873"/>
              <w:rPr>
                <w:sz w:val="24"/>
              </w:rPr>
            </w:pPr>
            <w:r>
              <w:rPr>
                <w:sz w:val="24"/>
              </w:rPr>
              <w:t>失原住民身分。</w:t>
            </w:r>
          </w:p>
          <w:p>
            <w:pPr>
              <w:pStyle w:val="TableParagraph"/>
              <w:spacing w:line="223" w:lineRule="auto" w:before="5"/>
              <w:ind w:left="873" w:right="99" w:hanging="528"/>
              <w:rPr>
                <w:sz w:val="24"/>
              </w:rPr>
            </w:pPr>
            <w:r>
              <w:rPr>
                <w:sz w:val="24"/>
              </w:rPr>
              <w:t>九、受監護或輔助宣告，</w:t>
            </w:r>
            <w:r>
              <w:rPr>
                <w:spacing w:val="-117"/>
                <w:sz w:val="24"/>
              </w:rPr>
              <w:t> </w:t>
            </w:r>
            <w:r>
              <w:rPr>
                <w:sz w:val="24"/>
              </w:rPr>
              <w:t>尚未撤銷。</w:t>
            </w:r>
          </w:p>
          <w:p>
            <w:pPr>
              <w:pStyle w:val="TableParagraph"/>
              <w:spacing w:line="223" w:lineRule="auto" w:before="181"/>
              <w:ind w:left="105" w:right="96"/>
              <w:rPr>
                <w:sz w:val="24"/>
              </w:rPr>
            </w:pPr>
            <w:r>
              <w:rPr>
                <w:sz w:val="24"/>
              </w:rPr>
              <w:t>（二）警察人員人事條例</w:t>
            </w:r>
            <w:r>
              <w:rPr>
                <w:spacing w:val="1"/>
                <w:sz w:val="24"/>
              </w:rPr>
              <w:t> </w:t>
            </w:r>
            <w:r>
              <w:rPr>
                <w:sz w:val="24"/>
              </w:rPr>
              <w:t>第十條之一第一項 第六條</w:t>
            </w:r>
          </w:p>
          <w:p>
            <w:pPr>
              <w:pStyle w:val="TableParagraph"/>
              <w:spacing w:line="223" w:lineRule="auto"/>
              <w:ind w:left="345" w:right="99"/>
              <w:rPr>
                <w:sz w:val="24"/>
              </w:rPr>
            </w:pPr>
            <w:r>
              <w:rPr>
                <w:sz w:val="24"/>
              </w:rPr>
              <w:t>人員經查核有下列情形之一者，不得任用：</w:t>
            </w:r>
          </w:p>
          <w:p>
            <w:pPr>
              <w:pStyle w:val="TableParagraph"/>
              <w:spacing w:line="223" w:lineRule="auto"/>
              <w:ind w:left="873" w:right="98" w:hanging="528"/>
              <w:rPr>
                <w:sz w:val="24"/>
              </w:rPr>
            </w:pPr>
            <w:r>
              <w:rPr>
                <w:sz w:val="24"/>
              </w:rPr>
              <w:t>一、公務人員任用法第二</w:t>
            </w:r>
            <w:r>
              <w:rPr>
                <w:spacing w:val="24"/>
                <w:sz w:val="24"/>
              </w:rPr>
              <w:t>十八條第一項各款</w:t>
            </w:r>
          </w:p>
          <w:p>
            <w:pPr>
              <w:pStyle w:val="TableParagraph"/>
              <w:spacing w:line="287" w:lineRule="exact"/>
              <w:ind w:left="873"/>
              <w:rPr>
                <w:sz w:val="24"/>
              </w:rPr>
            </w:pPr>
            <w:r>
              <w:rPr>
                <w:sz w:val="24"/>
              </w:rPr>
              <w:t>情形之一。</w:t>
            </w:r>
          </w:p>
        </w:tc>
      </w:tr>
    </w:tbl>
    <w:p>
      <w:pPr>
        <w:spacing w:after="0" w:line="287" w:lineRule="exact"/>
        <w:rPr>
          <w:sz w:val="24"/>
        </w:rPr>
        <w:sectPr>
          <w:pgSz w:w="11910" w:h="16840"/>
          <w:pgMar w:header="0" w:footer="743" w:top="1420" w:bottom="94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8429" w:hRule="atLeast"/>
        </w:trPr>
        <w:tc>
          <w:tcPr>
            <w:tcW w:w="2835" w:type="dxa"/>
          </w:tcPr>
          <w:p>
            <w:pPr>
              <w:pStyle w:val="TableParagraph"/>
              <w:ind w:left="0"/>
              <w:rPr>
                <w:rFonts w:ascii="Times New Roman"/>
                <w:sz w:val="22"/>
              </w:rPr>
            </w:pPr>
          </w:p>
        </w:tc>
        <w:tc>
          <w:tcPr>
            <w:tcW w:w="3262" w:type="dxa"/>
          </w:tcPr>
          <w:p>
            <w:pPr>
              <w:pStyle w:val="TableParagraph"/>
              <w:ind w:left="0"/>
              <w:rPr>
                <w:rFonts w:ascii="Times New Roman"/>
                <w:sz w:val="22"/>
              </w:rPr>
            </w:pPr>
          </w:p>
        </w:tc>
        <w:tc>
          <w:tcPr>
            <w:tcW w:w="3116" w:type="dxa"/>
          </w:tcPr>
          <w:p>
            <w:pPr>
              <w:pStyle w:val="TableParagraph"/>
              <w:spacing w:line="223" w:lineRule="auto" w:before="4"/>
              <w:ind w:left="873" w:right="98" w:hanging="528"/>
              <w:jc w:val="both"/>
              <w:rPr>
                <w:sz w:val="24"/>
              </w:rPr>
            </w:pPr>
            <w:r>
              <w:rPr>
                <w:sz w:val="24"/>
              </w:rPr>
              <w:t>二、曾服公職依公務人員</w:t>
            </w:r>
            <w:r>
              <w:rPr>
                <w:spacing w:val="24"/>
                <w:sz w:val="24"/>
              </w:rPr>
              <w:t>考績法受免職處分或依公務員懲戒法受撤職處分或其他違法犯紀行為依法</w:t>
            </w:r>
            <w:r>
              <w:rPr>
                <w:sz w:val="24"/>
              </w:rPr>
              <w:t>予以免職處分。</w:t>
            </w:r>
          </w:p>
          <w:p>
            <w:pPr>
              <w:pStyle w:val="TableParagraph"/>
              <w:spacing w:line="223" w:lineRule="auto"/>
              <w:ind w:left="873" w:right="98" w:hanging="528"/>
              <w:jc w:val="both"/>
              <w:rPr>
                <w:sz w:val="24"/>
              </w:rPr>
            </w:pPr>
            <w:r>
              <w:rPr>
                <w:sz w:val="24"/>
              </w:rPr>
              <w:t>三、曾列警察職權行使法</w:t>
            </w:r>
            <w:r>
              <w:rPr>
                <w:spacing w:val="24"/>
                <w:sz w:val="24"/>
              </w:rPr>
              <w:t>第十五條第一項各款之治安顧慮人口</w:t>
            </w:r>
          </w:p>
          <w:p>
            <w:pPr>
              <w:pStyle w:val="TableParagraph"/>
              <w:spacing w:line="309" w:lineRule="exact"/>
              <w:ind w:left="873"/>
              <w:rPr>
                <w:sz w:val="24"/>
              </w:rPr>
            </w:pPr>
            <w:r>
              <w:rPr>
                <w:sz w:val="24"/>
              </w:rPr>
              <w:t>。</w:t>
            </w:r>
          </w:p>
          <w:p>
            <w:pPr>
              <w:pStyle w:val="TableParagraph"/>
              <w:spacing w:line="223" w:lineRule="auto" w:before="4"/>
              <w:ind w:left="873" w:right="98" w:hanging="528"/>
              <w:jc w:val="both"/>
              <w:rPr>
                <w:sz w:val="24"/>
              </w:rPr>
            </w:pPr>
            <w:r>
              <w:rPr>
                <w:sz w:val="24"/>
              </w:rPr>
              <w:t>四、曾犯刑法第二百六十</w:t>
            </w:r>
            <w:r>
              <w:rPr>
                <w:spacing w:val="24"/>
                <w:sz w:val="24"/>
              </w:rPr>
              <w:t>八條、中華民國九十五年七月一日刑法修正施行前第二百六十七條、第三</w:t>
            </w:r>
            <w:r>
              <w:rPr>
                <w:spacing w:val="14"/>
                <w:w w:val="95"/>
                <w:sz w:val="24"/>
              </w:rPr>
              <w:t>百五十條之罪， 經</w:t>
            </w:r>
            <w:r>
              <w:rPr>
                <w:sz w:val="24"/>
              </w:rPr>
              <w:t>有罪判決確定。</w:t>
            </w:r>
          </w:p>
          <w:p>
            <w:pPr>
              <w:pStyle w:val="TableParagraph"/>
              <w:spacing w:line="223" w:lineRule="auto"/>
              <w:ind w:left="345" w:right="99"/>
              <w:jc w:val="center"/>
              <w:rPr>
                <w:sz w:val="24"/>
              </w:rPr>
            </w:pPr>
            <w:r>
              <w:rPr>
                <w:sz w:val="24"/>
              </w:rPr>
              <w:t>五、依刑事訴訟程序被羈押或通緝中。</w:t>
            </w:r>
          </w:p>
          <w:p>
            <w:pPr>
              <w:pStyle w:val="TableParagraph"/>
              <w:spacing w:line="223" w:lineRule="auto"/>
              <w:ind w:left="873" w:right="98" w:hanging="528"/>
              <w:jc w:val="both"/>
              <w:rPr>
                <w:sz w:val="24"/>
              </w:rPr>
            </w:pPr>
            <w:r>
              <w:rPr>
                <w:sz w:val="24"/>
              </w:rPr>
              <w:t>六、曾經中央警察大學、</w:t>
            </w:r>
            <w:r>
              <w:rPr>
                <w:spacing w:val="24"/>
                <w:sz w:val="24"/>
              </w:rPr>
              <w:t>中央警官學校、臺灣警察專科學校、臺灣警察學校、軍事院校勒令退學或</w:t>
            </w:r>
            <w:r>
              <w:rPr>
                <w:sz w:val="24"/>
              </w:rPr>
              <w:t>開除學籍。</w:t>
            </w:r>
          </w:p>
          <w:p>
            <w:pPr>
              <w:pStyle w:val="TableParagraph"/>
              <w:spacing w:line="309" w:lineRule="exact"/>
              <w:ind w:left="334" w:right="91"/>
              <w:jc w:val="center"/>
              <w:rPr>
                <w:sz w:val="24"/>
              </w:rPr>
            </w:pPr>
            <w:r>
              <w:rPr>
                <w:sz w:val="24"/>
              </w:rPr>
              <w:t>七、依其他法律規定不得</w:t>
            </w:r>
          </w:p>
          <w:p>
            <w:pPr>
              <w:pStyle w:val="TableParagraph"/>
              <w:spacing w:line="292" w:lineRule="exact"/>
              <w:ind w:left="873"/>
              <w:rPr>
                <w:sz w:val="24"/>
              </w:rPr>
            </w:pPr>
            <w:r>
              <w:rPr>
                <w:sz w:val="24"/>
              </w:rPr>
              <w:t>為公務人員。</w:t>
            </w:r>
          </w:p>
        </w:tc>
      </w:tr>
      <w:tr>
        <w:trPr>
          <w:trHeight w:val="4996" w:hRule="atLeast"/>
        </w:trPr>
        <w:tc>
          <w:tcPr>
            <w:tcW w:w="2835" w:type="dxa"/>
          </w:tcPr>
          <w:p>
            <w:pPr>
              <w:pStyle w:val="TableParagraph"/>
              <w:spacing w:line="223" w:lineRule="auto" w:before="4"/>
              <w:ind w:right="97" w:hanging="240"/>
              <w:jc w:val="both"/>
              <w:rPr>
                <w:sz w:val="24"/>
              </w:rPr>
            </w:pPr>
            <w:r>
              <w:rPr>
                <w:spacing w:val="18"/>
                <w:sz w:val="24"/>
              </w:rPr>
              <w:t>第一百零三條 本法修</w:t>
            </w:r>
            <w:r>
              <w:rPr>
                <w:spacing w:val="13"/>
                <w:w w:val="95"/>
                <w:sz w:val="24"/>
              </w:rPr>
              <w:t>正施行前， 尚未終結</w:t>
            </w:r>
            <w:r>
              <w:rPr>
                <w:spacing w:val="26"/>
                <w:w w:val="95"/>
                <w:sz w:val="24"/>
              </w:rPr>
              <w:t>之</w:t>
            </w:r>
            <w:r>
              <w:rPr>
                <w:spacing w:val="27"/>
                <w:w w:val="95"/>
                <w:sz w:val="24"/>
                <w:u w:val="single"/>
              </w:rPr>
              <w:t>保障</w:t>
            </w:r>
            <w:r>
              <w:rPr>
                <w:spacing w:val="9"/>
                <w:w w:val="95"/>
                <w:sz w:val="24"/>
              </w:rPr>
              <w:t>事件， 其以後</w:t>
            </w:r>
            <w:r>
              <w:rPr>
                <w:spacing w:val="13"/>
                <w:w w:val="95"/>
                <w:sz w:val="24"/>
              </w:rPr>
              <w:t>之程序， 依修正之本</w:t>
            </w:r>
            <w:r>
              <w:rPr>
                <w:sz w:val="24"/>
              </w:rPr>
              <w:t>法規定終結之。</w:t>
            </w:r>
          </w:p>
        </w:tc>
        <w:tc>
          <w:tcPr>
            <w:tcW w:w="3262" w:type="dxa"/>
          </w:tcPr>
          <w:p>
            <w:pPr>
              <w:pStyle w:val="TableParagraph"/>
              <w:spacing w:line="223" w:lineRule="auto" w:before="4"/>
              <w:ind w:right="79" w:hanging="240"/>
              <w:jc w:val="both"/>
              <w:rPr>
                <w:sz w:val="24"/>
              </w:rPr>
            </w:pPr>
            <w:r>
              <w:rPr>
                <w:spacing w:val="12"/>
                <w:sz w:val="24"/>
              </w:rPr>
              <w:t>第一百零三條 本法修正施</w:t>
            </w:r>
            <w:r>
              <w:rPr>
                <w:spacing w:val="15"/>
                <w:sz w:val="24"/>
              </w:rPr>
              <w:t>行前，尚未終結之復審事件，其以後之程序，依修正之本法規定終結之；</w:t>
            </w:r>
            <w:r>
              <w:rPr>
                <w:sz w:val="24"/>
                <w:u w:val="single"/>
              </w:rPr>
              <w:t>尚</w:t>
            </w:r>
            <w:r>
              <w:rPr>
                <w:spacing w:val="15"/>
                <w:sz w:val="24"/>
                <w:u w:val="single"/>
              </w:rPr>
              <w:t>未終結之再復審事件，其</w:t>
            </w:r>
            <w:r>
              <w:rPr>
                <w:spacing w:val="-234"/>
                <w:sz w:val="24"/>
                <w:u w:val="single"/>
              </w:rPr>
              <w:t>以後</w:t>
            </w:r>
            <w:r>
              <w:rPr>
                <w:spacing w:val="15"/>
                <w:sz w:val="24"/>
                <w:u w:val="single"/>
              </w:rPr>
              <w:t>之再復審程序，準用修正</w:t>
            </w:r>
            <w:r>
              <w:rPr>
                <w:spacing w:val="11"/>
                <w:sz w:val="24"/>
                <w:u w:val="single"/>
              </w:rPr>
              <w:t>之本法有關復審程序規定</w:t>
            </w:r>
            <w:r>
              <w:rPr>
                <w:sz w:val="24"/>
                <w:u w:val="single"/>
              </w:rPr>
              <w:t>終結之。</w:t>
            </w:r>
          </w:p>
          <w:p>
            <w:pPr>
              <w:pStyle w:val="TableParagraph"/>
              <w:spacing w:line="223" w:lineRule="auto" w:before="2"/>
              <w:ind w:left="364" w:right="84" w:firstLine="480"/>
              <w:jc w:val="both"/>
              <w:rPr>
                <w:sz w:val="24"/>
              </w:rPr>
            </w:pPr>
            <w:r>
              <w:rPr>
                <w:spacing w:val="14"/>
                <w:sz w:val="24"/>
                <w:u w:val="single"/>
              </w:rPr>
              <w:t>本法修正施行後，對</w:t>
            </w:r>
            <w:r>
              <w:rPr>
                <w:spacing w:val="12"/>
                <w:sz w:val="24"/>
                <w:u w:val="single"/>
              </w:rPr>
              <w:t>於原依相關法律審理中之</w:t>
            </w:r>
            <w:r>
              <w:rPr>
                <w:spacing w:val="-220"/>
                <w:sz w:val="24"/>
                <w:u w:val="single"/>
              </w:rPr>
              <w:t>訴</w:t>
            </w:r>
            <w:r>
              <w:rPr>
                <w:spacing w:val="14"/>
                <w:sz w:val="24"/>
                <w:u w:val="single"/>
              </w:rPr>
              <w:t>願事件，其以後之程序</w:t>
            </w:r>
          </w:p>
          <w:p>
            <w:pPr>
              <w:pStyle w:val="TableParagraph"/>
              <w:spacing w:line="223" w:lineRule="auto"/>
              <w:ind w:left="364" w:right="84"/>
              <w:rPr>
                <w:sz w:val="24"/>
              </w:rPr>
            </w:pPr>
            <w:r>
              <w:rPr>
                <w:spacing w:val="12"/>
                <w:sz w:val="24"/>
                <w:u w:val="single"/>
              </w:rPr>
              <w:t>，應依修正之本法有關復</w:t>
            </w:r>
            <w:r>
              <w:rPr>
                <w:spacing w:val="-220"/>
                <w:sz w:val="24"/>
                <w:u w:val="single"/>
              </w:rPr>
              <w:t>審</w:t>
            </w:r>
            <w:r>
              <w:rPr>
                <w:sz w:val="24"/>
                <w:u w:val="single"/>
              </w:rPr>
              <w:t>程序規定終結之。</w:t>
            </w:r>
          </w:p>
          <w:p>
            <w:pPr>
              <w:pStyle w:val="TableParagraph"/>
              <w:spacing w:line="223" w:lineRule="auto"/>
              <w:ind w:left="364" w:right="84" w:firstLine="480"/>
              <w:rPr>
                <w:sz w:val="24"/>
              </w:rPr>
            </w:pPr>
            <w:r>
              <w:rPr>
                <w:spacing w:val="14"/>
                <w:sz w:val="24"/>
                <w:u w:val="single"/>
              </w:rPr>
              <w:t>本法修正施行後，依</w:t>
            </w:r>
            <w:r>
              <w:rPr>
                <w:spacing w:val="12"/>
                <w:sz w:val="24"/>
                <w:u w:val="single"/>
              </w:rPr>
              <w:t>本法所定程序提起復審者</w:t>
            </w:r>
          </w:p>
          <w:p>
            <w:pPr>
              <w:pStyle w:val="TableParagraph"/>
              <w:spacing w:line="289" w:lineRule="exact"/>
              <w:ind w:left="364"/>
              <w:rPr>
                <w:sz w:val="24"/>
              </w:rPr>
            </w:pPr>
            <w:r>
              <w:rPr>
                <w:spacing w:val="14"/>
                <w:sz w:val="24"/>
                <w:u w:val="single"/>
              </w:rPr>
              <w:t>，不得復依其他法律提起</w:t>
            </w:r>
          </w:p>
        </w:tc>
        <w:tc>
          <w:tcPr>
            <w:tcW w:w="3116" w:type="dxa"/>
          </w:tcPr>
          <w:p>
            <w:pPr>
              <w:pStyle w:val="TableParagraph"/>
              <w:spacing w:line="223" w:lineRule="auto" w:before="4"/>
              <w:ind w:left="585" w:right="94" w:hanging="480"/>
              <w:jc w:val="both"/>
              <w:rPr>
                <w:sz w:val="24"/>
              </w:rPr>
            </w:pPr>
            <w:r>
              <w:rPr>
                <w:sz w:val="24"/>
              </w:rPr>
              <w:t>一、本法自九十二年五月二十八日修正公布迄今，</w:t>
            </w:r>
            <w:r>
              <w:rPr>
                <w:spacing w:val="-118"/>
                <w:sz w:val="24"/>
              </w:rPr>
              <w:t> </w:t>
            </w:r>
            <w:r>
              <w:rPr>
                <w:sz w:val="24"/>
              </w:rPr>
              <w:t>已逾十年，實務上已無修正施行前，尚未終結之再復審事件，及原依相關法律審理中之訴願事件，應依復審程序終結之事件，爰刪除第一項後段至第三項之規定</w:t>
            </w:r>
          </w:p>
          <w:p>
            <w:pPr>
              <w:pStyle w:val="TableParagraph"/>
              <w:spacing w:line="309" w:lineRule="exact"/>
              <w:ind w:left="585"/>
              <w:rPr>
                <w:sz w:val="24"/>
              </w:rPr>
            </w:pPr>
            <w:r>
              <w:rPr>
                <w:sz w:val="24"/>
              </w:rPr>
              <w:t>。</w:t>
            </w:r>
          </w:p>
          <w:p>
            <w:pPr>
              <w:pStyle w:val="TableParagraph"/>
              <w:spacing w:line="223" w:lineRule="auto" w:before="5"/>
              <w:ind w:left="585" w:right="94" w:hanging="480"/>
              <w:jc w:val="both"/>
              <w:rPr>
                <w:sz w:val="24"/>
              </w:rPr>
            </w:pPr>
            <w:r>
              <w:rPr>
                <w:sz w:val="24"/>
              </w:rPr>
              <w:t>二、另本法關於保障事件審議程序之規定，屬於程序法之範圍，爰依程序從新之原則，明定本法修正施行前尚未終結之</w:t>
            </w:r>
          </w:p>
          <w:p>
            <w:pPr>
              <w:pStyle w:val="TableParagraph"/>
              <w:spacing w:line="289" w:lineRule="exact"/>
              <w:ind w:left="585"/>
              <w:rPr>
                <w:sz w:val="24"/>
              </w:rPr>
            </w:pPr>
            <w:r>
              <w:rPr>
                <w:sz w:val="24"/>
              </w:rPr>
              <w:t>保障事件，應依新法所</w:t>
            </w:r>
          </w:p>
        </w:tc>
      </w:tr>
    </w:tbl>
    <w:p>
      <w:pPr>
        <w:spacing w:after="0" w:line="289" w:lineRule="exact"/>
        <w:rPr>
          <w:sz w:val="24"/>
        </w:rPr>
        <w:sectPr>
          <w:pgSz w:w="11910" w:h="16840"/>
          <w:pgMar w:header="0" w:footer="743" w:top="1420" w:bottom="980" w:left="1240" w:right="12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262"/>
        <w:gridCol w:w="3116"/>
      </w:tblGrid>
      <w:tr>
        <w:trPr>
          <w:trHeight w:val="460" w:hRule="atLeast"/>
        </w:trPr>
        <w:tc>
          <w:tcPr>
            <w:tcW w:w="2835" w:type="dxa"/>
          </w:tcPr>
          <w:p>
            <w:pPr>
              <w:pStyle w:val="TableParagraph"/>
              <w:tabs>
                <w:tab w:pos="899" w:val="left" w:leader="none"/>
                <w:tab w:pos="1691" w:val="left" w:leader="none"/>
                <w:tab w:pos="2485" w:val="left" w:leader="none"/>
              </w:tabs>
              <w:spacing w:before="62"/>
              <w:ind w:left="107"/>
              <w:rPr>
                <w:sz w:val="24"/>
              </w:rPr>
            </w:pPr>
            <w:r>
              <w:rPr>
                <w:sz w:val="24"/>
              </w:rPr>
              <w:t>修</w:t>
              <w:tab/>
              <w:t>正</w:t>
              <w:tab/>
              <w:t>條</w:t>
              <w:tab/>
              <w:t>文</w:t>
            </w:r>
          </w:p>
        </w:tc>
        <w:tc>
          <w:tcPr>
            <w:tcW w:w="3262" w:type="dxa"/>
          </w:tcPr>
          <w:p>
            <w:pPr>
              <w:pStyle w:val="TableParagraph"/>
              <w:tabs>
                <w:tab w:pos="1041" w:val="left" w:leader="none"/>
                <w:tab w:pos="1976" w:val="left" w:leader="none"/>
                <w:tab w:pos="2910" w:val="left" w:leader="none"/>
              </w:tabs>
              <w:spacing w:before="62"/>
              <w:ind w:left="107"/>
              <w:rPr>
                <w:sz w:val="24"/>
              </w:rPr>
            </w:pPr>
            <w:r>
              <w:rPr>
                <w:sz w:val="24"/>
              </w:rPr>
              <w:t>現</w:t>
              <w:tab/>
              <w:t>行</w:t>
              <w:tab/>
              <w:t>條</w:t>
              <w:tab/>
              <w:t>文</w:t>
            </w:r>
          </w:p>
        </w:tc>
        <w:tc>
          <w:tcPr>
            <w:tcW w:w="3116" w:type="dxa"/>
          </w:tcPr>
          <w:p>
            <w:pPr>
              <w:pStyle w:val="TableParagraph"/>
              <w:tabs>
                <w:tab w:pos="2765" w:val="left" w:leader="none"/>
              </w:tabs>
              <w:spacing w:before="62"/>
              <w:ind w:left="105"/>
              <w:rPr>
                <w:sz w:val="24"/>
              </w:rPr>
            </w:pPr>
            <w:r>
              <w:rPr>
                <w:sz w:val="24"/>
              </w:rPr>
              <w:t>說</w:t>
              <w:tab/>
              <w:t>明</w:t>
            </w:r>
          </w:p>
        </w:tc>
      </w:tr>
      <w:tr>
        <w:trPr>
          <w:trHeight w:val="1362" w:hRule="atLeast"/>
        </w:trPr>
        <w:tc>
          <w:tcPr>
            <w:tcW w:w="2835" w:type="dxa"/>
          </w:tcPr>
          <w:p>
            <w:pPr>
              <w:pStyle w:val="TableParagraph"/>
              <w:ind w:left="0"/>
              <w:rPr>
                <w:rFonts w:ascii="Times New Roman"/>
                <w:sz w:val="22"/>
              </w:rPr>
            </w:pPr>
          </w:p>
        </w:tc>
        <w:tc>
          <w:tcPr>
            <w:tcW w:w="3262" w:type="dxa"/>
          </w:tcPr>
          <w:p>
            <w:pPr>
              <w:pStyle w:val="TableParagraph"/>
              <w:spacing w:line="323" w:lineRule="exact"/>
              <w:ind w:left="364"/>
              <w:rPr>
                <w:sz w:val="24"/>
              </w:rPr>
            </w:pPr>
            <w:r>
              <w:rPr>
                <w:sz w:val="24"/>
                <w:u w:val="single"/>
              </w:rPr>
              <w:t>訴願或其他類此程序。</w:t>
            </w:r>
          </w:p>
        </w:tc>
        <w:tc>
          <w:tcPr>
            <w:tcW w:w="3116" w:type="dxa"/>
          </w:tcPr>
          <w:p>
            <w:pPr>
              <w:pStyle w:val="TableParagraph"/>
              <w:spacing w:line="223" w:lineRule="auto" w:before="4"/>
              <w:ind w:left="585" w:right="94"/>
              <w:rPr>
                <w:sz w:val="24"/>
              </w:rPr>
            </w:pPr>
            <w:r>
              <w:rPr>
                <w:sz w:val="24"/>
              </w:rPr>
              <w:t>定之程序終結之，以確立新舊法適用之原則。</w:t>
            </w:r>
          </w:p>
        </w:tc>
      </w:tr>
    </w:tbl>
    <w:sectPr>
      <w:pgSz w:w="11910" w:h="16840"/>
      <w:pgMar w:header="0" w:footer="743" w:top="1420" w:bottom="940" w:left="12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289.730011pt;margin-top:787.500488pt;width:16.1pt;height:15.35pt;mso-position-horizontal-relative:page;mso-position-vertical-relative:page;z-index:-16433664" type="#_x0000_t202" filled="false" stroked="false">
          <v:textbox inset="0,0,0,0">
            <w:txbxContent>
              <w:p>
                <w:pPr>
                  <w:spacing w:before="56"/>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3" w:hanging="271"/>
      </w:pPr>
      <w:rPr>
        <w:rFonts w:hint="default" w:ascii="標楷體" w:hAnsi="標楷體" w:eastAsia="標楷體" w:cs="標楷體"/>
        <w:w w:val="100"/>
        <w:sz w:val="24"/>
        <w:szCs w:val="24"/>
        <w:lang w:val="en-US" w:eastAsia="zh-tw" w:bidi="ar-SA"/>
      </w:rPr>
    </w:lvl>
    <w:lvl w:ilvl="1">
      <w:start w:val="0"/>
      <w:numFmt w:val="bullet"/>
      <w:lvlText w:val="•"/>
      <w:lvlJc w:val="left"/>
      <w:pPr>
        <w:ind w:left="1102" w:hanging="271"/>
      </w:pPr>
      <w:rPr>
        <w:rFonts w:hint="default"/>
        <w:lang w:val="en-US" w:eastAsia="zh-tw" w:bidi="ar-SA"/>
      </w:rPr>
    </w:lvl>
    <w:lvl w:ilvl="2">
      <w:start w:val="0"/>
      <w:numFmt w:val="bullet"/>
      <w:lvlText w:val="•"/>
      <w:lvlJc w:val="left"/>
      <w:pPr>
        <w:ind w:left="1325" w:hanging="271"/>
      </w:pPr>
      <w:rPr>
        <w:rFonts w:hint="default"/>
        <w:lang w:val="en-US" w:eastAsia="zh-tw" w:bidi="ar-SA"/>
      </w:rPr>
    </w:lvl>
    <w:lvl w:ilvl="3">
      <w:start w:val="0"/>
      <w:numFmt w:val="bullet"/>
      <w:lvlText w:val="•"/>
      <w:lvlJc w:val="left"/>
      <w:pPr>
        <w:ind w:left="1547" w:hanging="271"/>
      </w:pPr>
      <w:rPr>
        <w:rFonts w:hint="default"/>
        <w:lang w:val="en-US" w:eastAsia="zh-tw" w:bidi="ar-SA"/>
      </w:rPr>
    </w:lvl>
    <w:lvl w:ilvl="4">
      <w:start w:val="0"/>
      <w:numFmt w:val="bullet"/>
      <w:lvlText w:val="•"/>
      <w:lvlJc w:val="left"/>
      <w:pPr>
        <w:ind w:left="1770" w:hanging="271"/>
      </w:pPr>
      <w:rPr>
        <w:rFonts w:hint="default"/>
        <w:lang w:val="en-US" w:eastAsia="zh-tw" w:bidi="ar-SA"/>
      </w:rPr>
    </w:lvl>
    <w:lvl w:ilvl="5">
      <w:start w:val="0"/>
      <w:numFmt w:val="bullet"/>
      <w:lvlText w:val="•"/>
      <w:lvlJc w:val="left"/>
      <w:pPr>
        <w:ind w:left="1993" w:hanging="271"/>
      </w:pPr>
      <w:rPr>
        <w:rFonts w:hint="default"/>
        <w:lang w:val="en-US" w:eastAsia="zh-tw" w:bidi="ar-SA"/>
      </w:rPr>
    </w:lvl>
    <w:lvl w:ilvl="6">
      <w:start w:val="0"/>
      <w:numFmt w:val="bullet"/>
      <w:lvlText w:val="•"/>
      <w:lvlJc w:val="left"/>
      <w:pPr>
        <w:ind w:left="2215" w:hanging="271"/>
      </w:pPr>
      <w:rPr>
        <w:rFonts w:hint="default"/>
        <w:lang w:val="en-US" w:eastAsia="zh-tw" w:bidi="ar-SA"/>
      </w:rPr>
    </w:lvl>
    <w:lvl w:ilvl="7">
      <w:start w:val="0"/>
      <w:numFmt w:val="bullet"/>
      <w:lvlText w:val="•"/>
      <w:lvlJc w:val="left"/>
      <w:pPr>
        <w:ind w:left="2438" w:hanging="271"/>
      </w:pPr>
      <w:rPr>
        <w:rFonts w:hint="default"/>
        <w:lang w:val="en-US" w:eastAsia="zh-tw" w:bidi="ar-SA"/>
      </w:rPr>
    </w:lvl>
    <w:lvl w:ilvl="8">
      <w:start w:val="0"/>
      <w:numFmt w:val="bullet"/>
      <w:lvlText w:val="•"/>
      <w:lvlJc w:val="left"/>
      <w:pPr>
        <w:ind w:left="2660" w:hanging="271"/>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ind w:left="347"/>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保障法研修</dc:title>
  <dcterms:created xsi:type="dcterms:W3CDTF">2021-09-15T10:25:39Z</dcterms:created>
  <dcterms:modified xsi:type="dcterms:W3CDTF">2021-09-15T10:25:39Z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2013</vt:lpwstr>
  </property>
  <property fmtid="{D5CDD505-2E9C-101B-9397-08002B2CF9AE}" pid="4" name="LastSaved">
    <vt:filetime>2021-09-15T00:00:00Z</vt:filetime>
  </property>
</Properties>
</file>