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91" w:val="left" w:leader="none"/>
          <w:tab w:pos="1396" w:val="left" w:leader="none"/>
          <w:tab w:pos="2001" w:val="left" w:leader="none"/>
          <w:tab w:pos="2603" w:val="left" w:leader="none"/>
          <w:tab w:pos="3208" w:val="left" w:leader="none"/>
          <w:tab w:pos="3813" w:val="left" w:leader="none"/>
          <w:tab w:pos="4418" w:val="left" w:leader="none"/>
          <w:tab w:pos="5020" w:val="left" w:leader="none"/>
          <w:tab w:pos="5625" w:val="left" w:leader="none"/>
          <w:tab w:pos="6230" w:val="left" w:leader="none"/>
          <w:tab w:pos="6835" w:val="left" w:leader="none"/>
          <w:tab w:pos="7437" w:val="left" w:leader="none"/>
          <w:tab w:pos="8042" w:val="left" w:leader="none"/>
        </w:tabs>
        <w:spacing w:line="399" w:lineRule="exact" w:before="0"/>
        <w:ind w:left="187" w:right="0" w:firstLine="0"/>
        <w:jc w:val="left"/>
        <w:rPr>
          <w:rFonts w:ascii="細明體_HKSCS" w:hAnsi="細明體_HKSCS" w:cs="細明體_HKSCS" w:eastAsia="細明體_HKSCS"/>
          <w:sz w:val="32"/>
          <w:szCs w:val="32"/>
        </w:rPr>
      </w:pPr>
      <w:r>
        <w:rPr>
          <w:rFonts w:ascii="細明體_HKSCS" w:hAnsi="細明體_HKSCS" w:cs="細明體_HKSCS" w:eastAsia="細明體_HKSCS"/>
          <w:w w:val="95"/>
          <w:sz w:val="32"/>
          <w:szCs w:val="32"/>
        </w:rPr>
        <w:t>公</w:t>
        <w:tab/>
        <w:t>務</w:t>
        <w:tab/>
        <w:t>人</w:t>
        <w:tab/>
        <w:t>員</w:t>
        <w:tab/>
        <w:t>保</w:t>
        <w:tab/>
        <w:t>障</w:t>
        <w:tab/>
        <w:t>事</w:t>
        <w:tab/>
        <w:t>件</w:t>
        <w:tab/>
        <w:t>調</w:t>
        <w:tab/>
        <w:t>處</w:t>
        <w:tab/>
        <w:t>實</w:t>
        <w:tab/>
        <w:t>施</w:t>
        <w:tab/>
        <w:t>要</w:t>
        <w:tab/>
      </w:r>
      <w:r>
        <w:rPr>
          <w:rFonts w:ascii="細明體_HKSCS" w:hAnsi="細明體_HKSCS" w:cs="細明體_HKSCS" w:eastAsia="細明體_HKSCS"/>
          <w:sz w:val="32"/>
          <w:szCs w:val="32"/>
        </w:rPr>
        <w:t>點</w:t>
      </w:r>
      <w:r>
        <w:rPr>
          <w:rFonts w:ascii="細明體_HKSCS" w:hAnsi="細明體_HKSCS" w:cs="細明體_HKSCS" w:eastAsia="細明體_HKSCS"/>
          <w:sz w:val="32"/>
          <w:szCs w:val="32"/>
        </w:rPr>
      </w:r>
    </w:p>
    <w:p>
      <w:pPr>
        <w:spacing w:before="32"/>
        <w:ind w:left="2594" w:right="0" w:firstLine="0"/>
        <w:jc w:val="left"/>
        <w:rPr>
          <w:rFonts w:ascii="細明體_HKSCS" w:hAnsi="細明體_HKSCS" w:cs="細明體_HKSCS" w:eastAsia="細明體_HKSCS"/>
          <w:sz w:val="24"/>
          <w:szCs w:val="24"/>
        </w:rPr>
      </w:pPr>
      <w:r>
        <w:rPr>
          <w:rFonts w:ascii="細明體_HKSCS" w:hAnsi="細明體_HKSCS" w:cs="細明體_HKSCS" w:eastAsia="細明體_HKSCS"/>
          <w:sz w:val="24"/>
          <w:szCs w:val="24"/>
        </w:rPr>
        <w:t>中華民國</w:t>
      </w:r>
      <w:r>
        <w:rPr>
          <w:rFonts w:ascii="細明體_HKSCS" w:hAnsi="細明體_HKSCS" w:cs="細明體_HKSCS" w:eastAsia="細明體_HKSCS"/>
          <w:spacing w:val="-57"/>
          <w:sz w:val="24"/>
          <w:szCs w:val="24"/>
        </w:rPr>
        <w:t> </w:t>
      </w:r>
      <w:r>
        <w:rPr>
          <w:rFonts w:ascii="細明體_HKSCS" w:hAnsi="細明體_HKSCS" w:cs="細明體_HKSCS" w:eastAsia="細明體_HKSCS"/>
          <w:sz w:val="24"/>
          <w:szCs w:val="24"/>
        </w:rPr>
        <w:t>106</w:t>
      </w:r>
      <w:r>
        <w:rPr>
          <w:rFonts w:ascii="細明體_HKSCS" w:hAnsi="細明體_HKSCS" w:cs="細明體_HKSCS" w:eastAsia="細明體_HKSCS"/>
          <w:spacing w:val="-57"/>
          <w:sz w:val="24"/>
          <w:szCs w:val="24"/>
        </w:rPr>
        <w:t> </w:t>
      </w:r>
      <w:r>
        <w:rPr>
          <w:rFonts w:ascii="細明體_HKSCS" w:hAnsi="細明體_HKSCS" w:cs="細明體_HKSCS" w:eastAsia="細明體_HKSCS"/>
          <w:sz w:val="24"/>
          <w:szCs w:val="24"/>
        </w:rPr>
        <w:t>年</w:t>
      </w:r>
      <w:r>
        <w:rPr>
          <w:rFonts w:ascii="細明體_HKSCS" w:hAnsi="細明體_HKSCS" w:cs="細明體_HKSCS" w:eastAsia="細明體_HKSCS"/>
          <w:spacing w:val="-57"/>
          <w:sz w:val="24"/>
          <w:szCs w:val="24"/>
        </w:rPr>
        <w:t> </w:t>
      </w:r>
      <w:r>
        <w:rPr>
          <w:rFonts w:ascii="細明體_HKSCS" w:hAnsi="細明體_HKSCS" w:cs="細明體_HKSCS" w:eastAsia="細明體_HKSCS"/>
          <w:sz w:val="24"/>
          <w:szCs w:val="24"/>
        </w:rPr>
        <w:t>10</w:t>
      </w:r>
      <w:r>
        <w:rPr>
          <w:rFonts w:ascii="細明體_HKSCS" w:hAnsi="細明體_HKSCS" w:cs="細明體_HKSCS" w:eastAsia="細明體_HKSCS"/>
          <w:spacing w:val="-57"/>
          <w:sz w:val="24"/>
          <w:szCs w:val="24"/>
        </w:rPr>
        <w:t> </w:t>
      </w:r>
      <w:r>
        <w:rPr>
          <w:rFonts w:ascii="細明體_HKSCS" w:hAnsi="細明體_HKSCS" w:cs="細明體_HKSCS" w:eastAsia="細明體_HKSCS"/>
          <w:sz w:val="24"/>
          <w:szCs w:val="24"/>
        </w:rPr>
        <w:t>月</w:t>
      </w:r>
      <w:r>
        <w:rPr>
          <w:rFonts w:ascii="細明體_HKSCS" w:hAnsi="細明體_HKSCS" w:cs="細明體_HKSCS" w:eastAsia="細明體_HKSCS"/>
          <w:spacing w:val="-57"/>
          <w:sz w:val="24"/>
          <w:szCs w:val="24"/>
        </w:rPr>
        <w:t> </w:t>
      </w:r>
      <w:r>
        <w:rPr>
          <w:rFonts w:ascii="細明體_HKSCS" w:hAnsi="細明體_HKSCS" w:cs="細明體_HKSCS" w:eastAsia="細明體_HKSCS"/>
          <w:sz w:val="24"/>
          <w:szCs w:val="24"/>
        </w:rPr>
        <w:t>11</w:t>
      </w:r>
      <w:r>
        <w:rPr>
          <w:rFonts w:ascii="細明體_HKSCS" w:hAnsi="細明體_HKSCS" w:cs="細明體_HKSCS" w:eastAsia="細明體_HKSCS"/>
          <w:spacing w:val="-57"/>
          <w:sz w:val="24"/>
          <w:szCs w:val="24"/>
        </w:rPr>
        <w:t> </w:t>
      </w:r>
      <w:r>
        <w:rPr>
          <w:rFonts w:ascii="細明體_HKSCS" w:hAnsi="細明體_HKSCS" w:cs="細明體_HKSCS" w:eastAsia="細明體_HKSCS"/>
          <w:sz w:val="24"/>
          <w:szCs w:val="24"/>
        </w:rPr>
        <w:t>日公務人員保障暨培訓委員會</w:t>
      </w:r>
      <w:r>
        <w:rPr>
          <w:rFonts w:ascii="細明體_HKSCS" w:hAnsi="細明體_HKSCS" w:cs="細明體_HKSCS" w:eastAsia="細明體_HKSCS"/>
          <w:sz w:val="24"/>
          <w:szCs w:val="24"/>
        </w:rPr>
      </w:r>
    </w:p>
    <w:p>
      <w:pPr>
        <w:spacing w:before="5"/>
        <w:ind w:left="2596" w:right="0" w:firstLine="0"/>
        <w:jc w:val="left"/>
        <w:rPr>
          <w:rFonts w:ascii="細明體_HKSCS" w:hAnsi="細明體_HKSCS" w:cs="細明體_HKSCS" w:eastAsia="細明體_HKSCS"/>
          <w:sz w:val="24"/>
          <w:szCs w:val="24"/>
        </w:rPr>
      </w:pPr>
      <w:r>
        <w:rPr>
          <w:rFonts w:ascii="細明體_HKSCS" w:hAnsi="細明體_HKSCS" w:cs="細明體_HKSCS" w:eastAsia="細明體_HKSCS"/>
          <w:sz w:val="24"/>
          <w:szCs w:val="24"/>
        </w:rPr>
        <w:t>公地保字第</w:t>
      </w:r>
      <w:r>
        <w:rPr>
          <w:rFonts w:ascii="細明體_HKSCS" w:hAnsi="細明體_HKSCS" w:cs="細明體_HKSCS" w:eastAsia="細明體_HKSCS"/>
          <w:spacing w:val="-80"/>
          <w:sz w:val="24"/>
          <w:szCs w:val="24"/>
        </w:rPr>
        <w:t> </w:t>
      </w:r>
      <w:r>
        <w:rPr>
          <w:rFonts w:ascii="細明體_HKSCS" w:hAnsi="細明體_HKSCS" w:cs="細明體_HKSCS" w:eastAsia="細明體_HKSCS"/>
          <w:sz w:val="24"/>
          <w:szCs w:val="24"/>
        </w:rPr>
        <w:t>1061160265</w:t>
      </w:r>
      <w:r>
        <w:rPr>
          <w:rFonts w:ascii="細明體_HKSCS" w:hAnsi="細明體_HKSCS" w:cs="細明體_HKSCS" w:eastAsia="細明體_HKSCS"/>
          <w:spacing w:val="-79"/>
          <w:sz w:val="24"/>
          <w:szCs w:val="24"/>
        </w:rPr>
        <w:t> </w:t>
      </w:r>
      <w:r>
        <w:rPr>
          <w:rFonts w:ascii="細明體_HKSCS" w:hAnsi="細明體_HKSCS" w:cs="細明體_HKSCS" w:eastAsia="細明體_HKSCS"/>
          <w:sz w:val="24"/>
          <w:szCs w:val="24"/>
        </w:rPr>
        <w:t>號令修正發布</w:t>
      </w:r>
      <w:r>
        <w:rPr>
          <w:rFonts w:ascii="細明體_HKSCS" w:hAnsi="細明體_HKSCS" w:cs="細明體_HKSCS" w:eastAsia="細明體_HKSCS"/>
          <w:sz w:val="24"/>
          <w:szCs w:val="24"/>
        </w:rPr>
      </w:r>
    </w:p>
    <w:p>
      <w:pPr>
        <w:spacing w:line="240" w:lineRule="auto" w:before="1"/>
        <w:rPr>
          <w:rFonts w:ascii="細明體_HKSCS" w:hAnsi="細明體_HKSCS" w:cs="細明體_HKSCS" w:eastAsia="細明體_HKSCS"/>
          <w:sz w:val="20"/>
          <w:szCs w:val="20"/>
        </w:rPr>
      </w:pPr>
    </w:p>
    <w:p>
      <w:pPr>
        <w:pStyle w:val="BodyText"/>
        <w:spacing w:line="262" w:lineRule="auto" w:before="0"/>
        <w:ind w:right="0"/>
        <w:jc w:val="left"/>
      </w:pPr>
      <w:r>
        <w:rPr/>
        <w:t>一、</w:t>
      </w:r>
      <w:r>
        <w:rPr>
          <w:spacing w:val="18"/>
        </w:rPr>
        <w:t> </w:t>
      </w:r>
      <w:r>
        <w:rPr/>
        <w:t>公務人員保障暨培訓委員會（以下簡稱本會）為依公務人員保</w:t>
      </w:r>
      <w:r>
        <w:rPr>
          <w:spacing w:val="26"/>
        </w:rPr>
        <w:t> </w:t>
      </w:r>
      <w:r>
        <w:rPr/>
        <w:t>障法（以下簡稱本法）第八十五條至八十八條及公務人員保障</w:t>
      </w:r>
      <w:r>
        <w:rPr>
          <w:spacing w:val="26"/>
        </w:rPr>
        <w:t> </w:t>
      </w:r>
      <w:r>
        <w:rPr/>
        <w:t>暨培訓</w:t>
      </w:r>
      <w:r>
        <w:rPr>
          <w:spacing w:val="-3"/>
        </w:rPr>
        <w:t>委</w:t>
      </w:r>
      <w:r>
        <w:rPr/>
        <w:t>員會</w:t>
      </w:r>
      <w:r>
        <w:rPr>
          <w:spacing w:val="-3"/>
        </w:rPr>
        <w:t>保障</w:t>
      </w:r>
      <w:r>
        <w:rPr/>
        <w:t>事件審</w:t>
      </w:r>
      <w:r>
        <w:rPr>
          <w:spacing w:val="-3"/>
        </w:rPr>
        <w:t>議</w:t>
      </w:r>
      <w:r>
        <w:rPr/>
        <w:t>規</w:t>
      </w:r>
      <w:r>
        <w:rPr>
          <w:spacing w:val="-116"/>
        </w:rPr>
        <w:t>則</w:t>
      </w:r>
      <w:r>
        <w:rPr/>
        <w:t>（以</w:t>
      </w:r>
      <w:r>
        <w:rPr>
          <w:spacing w:val="-3"/>
        </w:rPr>
        <w:t>下</w:t>
      </w:r>
      <w:r>
        <w:rPr/>
        <w:t>簡稱保</w:t>
      </w:r>
      <w:r>
        <w:rPr>
          <w:spacing w:val="-3"/>
        </w:rPr>
        <w:t>障</w:t>
      </w:r>
      <w:r>
        <w:rPr/>
        <w:t>事件</w:t>
      </w:r>
      <w:r>
        <w:rPr>
          <w:spacing w:val="-3"/>
        </w:rPr>
        <w:t>審議</w:t>
      </w:r>
      <w:r>
        <w:rPr/>
        <w:t>規則）</w:t>
      </w:r>
      <w:r>
        <w:rPr/>
        <w:t> 第三十四條至第三十六條規定，進行保障事件之調處，特訂定</w:t>
      </w:r>
      <w:r>
        <w:rPr>
          <w:spacing w:val="26"/>
        </w:rPr>
        <w:t> </w:t>
      </w:r>
      <w:r>
        <w:rPr/>
        <w:t>本要點。</w:t>
      </w:r>
    </w:p>
    <w:p>
      <w:pPr>
        <w:pStyle w:val="BodyText"/>
        <w:spacing w:line="260" w:lineRule="auto"/>
        <w:ind w:left="840" w:right="0"/>
        <w:jc w:val="left"/>
      </w:pPr>
      <w:r>
        <w:rPr/>
        <w:t>二、</w:t>
      </w:r>
      <w:r>
        <w:rPr>
          <w:spacing w:val="18"/>
        </w:rPr>
        <w:t> </w:t>
      </w:r>
      <w:r>
        <w:rPr/>
        <w:t>復審人、再申訴人依本法第八十五條規定申請調處者，應以書</w:t>
      </w:r>
      <w:r>
        <w:rPr>
          <w:spacing w:val="26"/>
        </w:rPr>
        <w:t> </w:t>
      </w:r>
      <w:r>
        <w:rPr>
          <w:spacing w:val="-1"/>
        </w:rPr>
        <w:t>面表明調處事由、爭議情形及具體請求內容。</w:t>
      </w:r>
    </w:p>
    <w:p>
      <w:pPr>
        <w:pStyle w:val="BodyText"/>
        <w:spacing w:line="262" w:lineRule="auto" w:before="10"/>
        <w:ind w:right="249"/>
        <w:jc w:val="both"/>
      </w:pPr>
      <w:r>
        <w:rPr/>
        <w:t>三、</w:t>
      </w:r>
      <w:r>
        <w:rPr>
          <w:spacing w:val="18"/>
        </w:rPr>
        <w:t> </w:t>
      </w:r>
      <w:r>
        <w:rPr/>
        <w:t>申請調處，有保障事件審議規則第三十五條之情形，經保障事</w:t>
      </w:r>
      <w:r>
        <w:rPr>
          <w:spacing w:val="26"/>
        </w:rPr>
        <w:t> </w:t>
      </w:r>
      <w:r>
        <w:rPr/>
        <w:t>件審查會（以下簡稱審查會）決議拒絕調處者，承辦單位應簽</w:t>
      </w:r>
      <w:r>
        <w:rPr>
          <w:spacing w:val="26"/>
        </w:rPr>
        <w:t> </w:t>
      </w:r>
      <w:r>
        <w:rPr/>
        <w:t>報主任委員，並將拒絕理由於復審決定書或再申訴決定書中敘</w:t>
      </w:r>
      <w:r>
        <w:rPr>
          <w:spacing w:val="26"/>
        </w:rPr>
        <w:t> </w:t>
      </w:r>
      <w:r>
        <w:rPr/>
        <w:t>明之。</w:t>
      </w:r>
    </w:p>
    <w:p>
      <w:pPr>
        <w:pStyle w:val="BodyText"/>
        <w:spacing w:line="261" w:lineRule="auto"/>
        <w:ind w:right="0"/>
        <w:jc w:val="left"/>
      </w:pPr>
      <w:r>
        <w:rPr/>
        <w:t>四、</w:t>
      </w:r>
      <w:r>
        <w:rPr>
          <w:spacing w:val="18"/>
        </w:rPr>
        <w:t> </w:t>
      </w:r>
      <w:r>
        <w:rPr/>
        <w:t>申請調處，經審查會決議同意進行調處時，承辦單位應簽報主</w:t>
      </w:r>
      <w:r>
        <w:rPr>
          <w:spacing w:val="26"/>
        </w:rPr>
        <w:t> </w:t>
      </w:r>
      <w:r>
        <w:rPr>
          <w:spacing w:val="-1"/>
        </w:rPr>
        <w:t>任委員，依本法第八十五條規定指定人員進行調處。</w:t>
      </w:r>
      <w:r>
        <w:rPr>
          <w:spacing w:val="23"/>
        </w:rPr>
        <w:t> </w:t>
      </w:r>
      <w:r>
        <w:rPr/>
        <w:t>依本法第八十六條規定，以書面通知復審人、再申訴人，或其</w:t>
      </w:r>
      <w:r>
        <w:rPr>
          <w:spacing w:val="26"/>
        </w:rPr>
        <w:t> </w:t>
      </w:r>
      <w:r>
        <w:rPr/>
        <w:t>代表人、經特別委任之代理人及有關機關，於指定期日到場進</w:t>
      </w:r>
      <w:r>
        <w:rPr>
          <w:spacing w:val="26"/>
        </w:rPr>
        <w:t> </w:t>
      </w:r>
      <w:r>
        <w:rPr>
          <w:spacing w:val="-1"/>
        </w:rPr>
        <w:t>行調處時，其有調處申請書者，應將繕本一併送達。</w:t>
      </w:r>
      <w:r>
        <w:rPr>
          <w:spacing w:val="23"/>
        </w:rPr>
        <w:t> </w:t>
      </w:r>
      <w:r>
        <w:rPr/>
        <w:t>前項指定期日，自受理申請之日起，不得逾三十日。但經復審</w:t>
      </w:r>
      <w:r>
        <w:rPr>
          <w:spacing w:val="26"/>
        </w:rPr>
        <w:t> </w:t>
      </w:r>
      <w:r>
        <w:rPr/>
        <w:t>人、再申訴人，或其代表人、經特別委任之代理人，或有關機</w:t>
      </w:r>
      <w:r>
        <w:rPr>
          <w:spacing w:val="26"/>
        </w:rPr>
        <w:t> </w:t>
      </w:r>
      <w:r>
        <w:rPr>
          <w:spacing w:val="-1"/>
        </w:rPr>
        <w:t>關申請延期者，得予延長，最長不得逾十日。</w:t>
      </w:r>
    </w:p>
    <w:p>
      <w:pPr>
        <w:pStyle w:val="BodyText"/>
        <w:spacing w:line="262" w:lineRule="auto" w:before="9"/>
        <w:ind w:right="0"/>
        <w:jc w:val="left"/>
      </w:pPr>
      <w:r>
        <w:rPr/>
        <w:t>五、</w:t>
      </w:r>
      <w:r>
        <w:rPr>
          <w:spacing w:val="18"/>
        </w:rPr>
        <w:t> </w:t>
      </w:r>
      <w:r>
        <w:rPr/>
        <w:t>經指定進行調處之副主任委員或委員應親自進行調處，不得委</w:t>
      </w:r>
      <w:r>
        <w:rPr>
          <w:spacing w:val="26"/>
        </w:rPr>
        <w:t> </w:t>
      </w:r>
      <w:r>
        <w:rPr>
          <w:spacing w:val="-1"/>
        </w:rPr>
        <w:t>任他人代理。</w:t>
      </w:r>
    </w:p>
    <w:p>
      <w:pPr>
        <w:pStyle w:val="BodyText"/>
        <w:spacing w:line="262" w:lineRule="auto" w:before="5"/>
        <w:ind w:right="0"/>
        <w:jc w:val="left"/>
      </w:pPr>
      <w:r>
        <w:rPr/>
        <w:t>六、</w:t>
      </w:r>
      <w:r>
        <w:rPr>
          <w:spacing w:val="18"/>
        </w:rPr>
        <w:t> </w:t>
      </w:r>
      <w:r>
        <w:rPr/>
        <w:t>參與調處人員對於調處過程及資料，除法令另有規定外，應予</w:t>
      </w:r>
      <w:r>
        <w:rPr>
          <w:spacing w:val="26"/>
        </w:rPr>
        <w:t> </w:t>
      </w:r>
      <w:r>
        <w:rPr/>
        <w:t>保密。</w:t>
      </w:r>
    </w:p>
    <w:p>
      <w:pPr>
        <w:pStyle w:val="BodyText"/>
        <w:spacing w:line="260" w:lineRule="auto"/>
        <w:ind w:right="0"/>
        <w:jc w:val="left"/>
      </w:pPr>
      <w:r>
        <w:rPr/>
        <w:t>七、</w:t>
      </w:r>
      <w:r>
        <w:rPr>
          <w:spacing w:val="18"/>
        </w:rPr>
        <w:t> </w:t>
      </w:r>
      <w:r>
        <w:rPr/>
        <w:t>調處應審究事實真相及復審人、再申訴人與有關機關爭議之所</w:t>
      </w:r>
      <w:r>
        <w:rPr>
          <w:spacing w:val="26"/>
        </w:rPr>
        <w:t> </w:t>
      </w:r>
      <w:r>
        <w:rPr>
          <w:spacing w:val="-1"/>
        </w:rPr>
        <w:t>在，必要時得商請相關機關協助之。</w:t>
      </w:r>
    </w:p>
    <w:p>
      <w:pPr>
        <w:pStyle w:val="BodyText"/>
        <w:spacing w:line="262" w:lineRule="auto" w:before="10"/>
        <w:ind w:right="0"/>
        <w:jc w:val="left"/>
      </w:pPr>
      <w:r>
        <w:rPr/>
        <w:t>八、</w:t>
      </w:r>
      <w:r>
        <w:rPr>
          <w:spacing w:val="18"/>
        </w:rPr>
        <w:t> </w:t>
      </w:r>
      <w:r>
        <w:rPr/>
        <w:t>參與調處之副主任委員或委員得依事件之性質、復審人、再申</w:t>
      </w:r>
      <w:r>
        <w:rPr>
          <w:spacing w:val="26"/>
        </w:rPr>
        <w:t> </w:t>
      </w:r>
      <w:r>
        <w:rPr/>
        <w:t>訴人與有關機關之期望，或迅速調處等必要性考量，決定調處</w:t>
      </w:r>
      <w:r>
        <w:rPr>
          <w:spacing w:val="26"/>
        </w:rPr>
        <w:t> </w:t>
      </w:r>
      <w:r>
        <w:rPr>
          <w:spacing w:val="-2"/>
        </w:rPr>
        <w:t>程序，並得引導復審人、再申訴人與有關機關達成調處。</w:t>
      </w:r>
      <w:r>
        <w:rPr>
          <w:spacing w:val="47"/>
        </w:rPr>
        <w:t> </w:t>
      </w:r>
      <w:r>
        <w:rPr/>
        <w:t>參與調處之副主任委員或委員於調處程序中，得不附理由，以</w:t>
      </w:r>
      <w:r>
        <w:rPr>
          <w:spacing w:val="26"/>
        </w:rPr>
        <w:t> </w:t>
      </w:r>
      <w:r>
        <w:rPr>
          <w:spacing w:val="-1"/>
        </w:rPr>
        <w:t>口頭或書面，提出建議意見。</w:t>
      </w:r>
    </w:p>
    <w:p>
      <w:pPr>
        <w:pStyle w:val="BodyText"/>
        <w:spacing w:line="240" w:lineRule="auto" w:before="6"/>
        <w:ind w:left="119" w:right="0" w:firstLine="0"/>
        <w:jc w:val="left"/>
      </w:pPr>
      <w:r>
        <w:rPr/>
        <w:t>九、</w:t>
      </w:r>
      <w:r>
        <w:rPr>
          <w:spacing w:val="18"/>
        </w:rPr>
        <w:t> </w:t>
      </w:r>
      <w:r>
        <w:rPr/>
        <w:t>有關機關不得利用職務上之權力、機會或方法，以不正當方式</w:t>
      </w:r>
    </w:p>
    <w:p>
      <w:pPr>
        <w:spacing w:after="0" w:line="240" w:lineRule="auto"/>
        <w:jc w:val="left"/>
        <w:sectPr>
          <w:type w:val="continuous"/>
          <w:pgSz w:w="11900" w:h="16840"/>
          <w:pgMar w:top="1520" w:bottom="280" w:left="1680" w:right="1540"/>
        </w:sectPr>
      </w:pPr>
    </w:p>
    <w:p>
      <w:pPr>
        <w:pStyle w:val="BodyText"/>
        <w:spacing w:line="262" w:lineRule="auto" w:before="0"/>
        <w:ind w:left="840" w:right="0" w:firstLine="0"/>
        <w:jc w:val="left"/>
      </w:pPr>
      <w:r>
        <w:rPr/>
        <w:t>進行調處。復審人、再申訴人、代表人、經特別委任之代理人</w:t>
      </w:r>
      <w:r>
        <w:rPr>
          <w:spacing w:val="26"/>
        </w:rPr>
        <w:t> </w:t>
      </w:r>
      <w:r>
        <w:rPr/>
        <w:t>或有關機關代表如有強暴、脅迫或其他不正當行為者，參與調</w:t>
      </w:r>
      <w:r>
        <w:rPr>
          <w:spacing w:val="26"/>
        </w:rPr>
        <w:t> </w:t>
      </w:r>
      <w:r>
        <w:rPr>
          <w:spacing w:val="-1"/>
        </w:rPr>
        <w:t>處之副主任委員或委員應予制止，並通知其服務機關。</w:t>
      </w:r>
      <w:r>
        <w:rPr>
          <w:spacing w:val="21"/>
        </w:rPr>
        <w:t> </w:t>
      </w:r>
      <w:r>
        <w:rPr>
          <w:spacing w:val="-1"/>
        </w:rPr>
        <w:t>前項情形其有涉及犯罪行為者，應移送司法機關處理。</w:t>
      </w:r>
    </w:p>
    <w:p>
      <w:pPr>
        <w:pStyle w:val="BodyText"/>
        <w:spacing w:line="260" w:lineRule="auto"/>
        <w:ind w:left="840" w:right="0"/>
        <w:jc w:val="left"/>
      </w:pPr>
      <w:r>
        <w:rPr/>
        <w:t>十、</w:t>
      </w:r>
      <w:r>
        <w:rPr>
          <w:spacing w:val="18"/>
        </w:rPr>
        <w:t> </w:t>
      </w:r>
      <w:r>
        <w:rPr/>
        <w:t>調處尚未成立者，參與調處之副主任委員或委員得視情形，另</w:t>
      </w:r>
      <w:r>
        <w:rPr>
          <w:spacing w:val="26"/>
        </w:rPr>
        <w:t> </w:t>
      </w:r>
      <w:r>
        <w:rPr>
          <w:spacing w:val="-1"/>
        </w:rPr>
        <w:t>定期日再行調處。</w:t>
      </w:r>
    </w:p>
    <w:p>
      <w:pPr>
        <w:pStyle w:val="BodyText"/>
        <w:spacing w:line="262" w:lineRule="auto" w:before="10"/>
        <w:ind w:left="1087" w:right="111" w:hanging="968"/>
        <w:jc w:val="both"/>
      </w:pPr>
      <w:r>
        <w:rPr/>
        <w:t>十一、</w:t>
      </w:r>
      <w:r>
        <w:rPr>
          <w:spacing w:val="-16"/>
        </w:rPr>
        <w:t> </w:t>
      </w:r>
      <w:r>
        <w:rPr>
          <w:spacing w:val="1"/>
        </w:rPr>
        <w:t>依本法第八十六條第三項規定製作調處紀錄，應記載下列事</w:t>
      </w:r>
      <w:r>
        <w:rPr>
          <w:spacing w:val="26"/>
        </w:rPr>
        <w:t> </w:t>
      </w:r>
      <w:r>
        <w:rPr/>
        <w:t>項：</w:t>
      </w:r>
    </w:p>
    <w:p>
      <w:pPr>
        <w:pStyle w:val="BodyText"/>
        <w:spacing w:line="240" w:lineRule="auto" w:before="5"/>
        <w:ind w:left="1084" w:right="0" w:firstLine="0"/>
        <w:jc w:val="left"/>
      </w:pPr>
      <w:r>
        <w:rPr>
          <w:spacing w:val="-1"/>
        </w:rPr>
        <w:t>（一）調處之處所及年、月、日。</w:t>
      </w:r>
    </w:p>
    <w:p>
      <w:pPr>
        <w:pStyle w:val="BodyText"/>
        <w:spacing w:line="240" w:lineRule="auto" w:before="34"/>
        <w:ind w:left="1084" w:right="0" w:firstLine="0"/>
        <w:jc w:val="left"/>
      </w:pPr>
      <w:r>
        <w:rPr>
          <w:spacing w:val="-1"/>
        </w:rPr>
        <w:t>（二）參與調處之副主任委員、委員及承辦人員姓名。</w:t>
      </w:r>
    </w:p>
    <w:p>
      <w:pPr>
        <w:pStyle w:val="BodyText"/>
        <w:spacing w:line="240" w:lineRule="auto" w:before="34"/>
        <w:ind w:left="1084" w:right="0" w:firstLine="0"/>
        <w:jc w:val="left"/>
      </w:pPr>
      <w:r>
        <w:rPr>
          <w:spacing w:val="-1"/>
        </w:rPr>
        <w:t>（三）調處事由。</w:t>
      </w:r>
    </w:p>
    <w:p>
      <w:pPr>
        <w:pStyle w:val="BodyText"/>
        <w:spacing w:line="262" w:lineRule="auto" w:before="32"/>
        <w:ind w:left="1869" w:right="0" w:hanging="785"/>
        <w:jc w:val="left"/>
      </w:pPr>
      <w:r>
        <w:rPr/>
        <w:t>（四</w:t>
      </w:r>
      <w:r>
        <w:rPr>
          <w:spacing w:val="-56"/>
        </w:rPr>
        <w:t>）</w:t>
      </w:r>
      <w:r>
        <w:rPr/>
        <w:t>到</w:t>
      </w:r>
      <w:r>
        <w:rPr>
          <w:spacing w:val="-3"/>
        </w:rPr>
        <w:t>場</w:t>
      </w:r>
      <w:r>
        <w:rPr/>
        <w:t>之復</w:t>
      </w:r>
      <w:r>
        <w:rPr>
          <w:spacing w:val="-3"/>
        </w:rPr>
        <w:t>審</w:t>
      </w:r>
      <w:r>
        <w:rPr>
          <w:spacing w:val="-27"/>
        </w:rPr>
        <w:t>人</w:t>
      </w:r>
      <w:r>
        <w:rPr>
          <w:spacing w:val="-29"/>
        </w:rPr>
        <w:t>、</w:t>
      </w:r>
      <w:r>
        <w:rPr/>
        <w:t>再申</w:t>
      </w:r>
      <w:r>
        <w:rPr>
          <w:spacing w:val="-3"/>
        </w:rPr>
        <w:t>訴</w:t>
      </w:r>
      <w:r>
        <w:rPr>
          <w:spacing w:val="-29"/>
        </w:rPr>
        <w:t>人</w:t>
      </w:r>
      <w:r>
        <w:rPr>
          <w:spacing w:val="-27"/>
        </w:rPr>
        <w:t>，</w:t>
      </w:r>
      <w:r>
        <w:rPr>
          <w:spacing w:val="-3"/>
        </w:rPr>
        <w:t>或其</w:t>
      </w:r>
      <w:r>
        <w:rPr/>
        <w:t>代表</w:t>
      </w:r>
      <w:r>
        <w:rPr>
          <w:spacing w:val="-29"/>
        </w:rPr>
        <w:t>人</w:t>
      </w:r>
      <w:r>
        <w:rPr>
          <w:spacing w:val="-27"/>
        </w:rPr>
        <w:t>、</w:t>
      </w:r>
      <w:r>
        <w:rPr>
          <w:spacing w:val="-3"/>
        </w:rPr>
        <w:t>經</w:t>
      </w:r>
      <w:r>
        <w:rPr/>
        <w:t>特別</w:t>
      </w:r>
      <w:r>
        <w:rPr>
          <w:spacing w:val="-3"/>
        </w:rPr>
        <w:t>委</w:t>
      </w:r>
      <w:r>
        <w:rPr/>
        <w:t>任之</w:t>
      </w:r>
      <w:r>
        <w:rPr/>
        <w:t> 代理</w:t>
      </w:r>
      <w:r>
        <w:rPr>
          <w:spacing w:val="-56"/>
        </w:rPr>
        <w:t>人、</w:t>
      </w:r>
      <w:r>
        <w:rPr/>
        <w:t>有</w:t>
      </w:r>
      <w:r>
        <w:rPr>
          <w:spacing w:val="-3"/>
        </w:rPr>
        <w:t>關</w:t>
      </w:r>
      <w:r>
        <w:rPr/>
        <w:t>機關</w:t>
      </w:r>
      <w:r>
        <w:rPr>
          <w:spacing w:val="-3"/>
        </w:rPr>
        <w:t>代</w:t>
      </w:r>
      <w:r>
        <w:rPr/>
        <w:t>表或其</w:t>
      </w:r>
      <w:r>
        <w:rPr>
          <w:spacing w:val="-3"/>
        </w:rPr>
        <w:t>他</w:t>
      </w:r>
      <w:r>
        <w:rPr/>
        <w:t>經通</w:t>
      </w:r>
      <w:r>
        <w:rPr>
          <w:spacing w:val="-3"/>
        </w:rPr>
        <w:t>知到</w:t>
      </w:r>
      <w:r>
        <w:rPr/>
        <w:t>場人員</w:t>
      </w:r>
      <w:r>
        <w:rPr>
          <w:spacing w:val="-3"/>
        </w:rPr>
        <w:t>之</w:t>
      </w:r>
      <w:r>
        <w:rPr/>
        <w:t>姓</w:t>
      </w:r>
      <w:r>
        <w:rPr>
          <w:spacing w:val="-56"/>
        </w:rPr>
        <w:t>名</w:t>
      </w:r>
      <w:r>
        <w:rPr/>
        <w:t>。</w:t>
      </w:r>
    </w:p>
    <w:p>
      <w:pPr>
        <w:pStyle w:val="BodyText"/>
        <w:spacing w:line="240" w:lineRule="auto"/>
        <w:ind w:left="1084" w:right="0" w:firstLine="0"/>
        <w:jc w:val="left"/>
      </w:pPr>
      <w:r>
        <w:rPr>
          <w:spacing w:val="-1"/>
        </w:rPr>
        <w:t>（五）調處進行之要旨。</w:t>
      </w:r>
    </w:p>
    <w:p>
      <w:pPr>
        <w:pStyle w:val="BodyText"/>
        <w:spacing w:line="240" w:lineRule="auto" w:before="32"/>
        <w:ind w:left="1084" w:right="0" w:firstLine="0"/>
        <w:jc w:val="left"/>
      </w:pPr>
      <w:r>
        <w:rPr>
          <w:spacing w:val="-1"/>
        </w:rPr>
        <w:t>（六）調處結果。</w:t>
      </w:r>
    </w:p>
    <w:p>
      <w:pPr>
        <w:pStyle w:val="BodyText"/>
        <w:spacing w:line="262" w:lineRule="auto" w:before="34"/>
        <w:ind w:left="1099" w:right="106" w:hanging="980"/>
        <w:jc w:val="both"/>
      </w:pPr>
      <w:r>
        <w:rPr/>
        <w:t>十二、</w:t>
      </w:r>
      <w:r>
        <w:rPr>
          <w:spacing w:val="-4"/>
        </w:rPr>
        <w:t> </w:t>
      </w:r>
      <w:r>
        <w:rPr>
          <w:spacing w:val="2"/>
        </w:rPr>
        <w:t>經</w:t>
      </w:r>
      <w:r>
        <w:rPr/>
        <w:t>調</w:t>
      </w:r>
      <w:r>
        <w:rPr>
          <w:spacing w:val="2"/>
        </w:rPr>
        <w:t>處</w:t>
      </w:r>
      <w:r>
        <w:rPr/>
        <w:t>成</w:t>
      </w:r>
      <w:r>
        <w:rPr>
          <w:spacing w:val="2"/>
        </w:rPr>
        <w:t>立</w:t>
      </w:r>
      <w:r>
        <w:rPr/>
        <w:t>者</w:t>
      </w:r>
      <w:r>
        <w:rPr>
          <w:spacing w:val="2"/>
        </w:rPr>
        <w:t>，</w:t>
      </w:r>
      <w:r>
        <w:rPr/>
        <w:t>承</w:t>
      </w:r>
      <w:r>
        <w:rPr>
          <w:spacing w:val="2"/>
        </w:rPr>
        <w:t>辦</w:t>
      </w:r>
      <w:r>
        <w:rPr/>
        <w:t>單</w:t>
      </w:r>
      <w:r>
        <w:rPr>
          <w:spacing w:val="2"/>
        </w:rPr>
        <w:t>位</w:t>
      </w:r>
      <w:r>
        <w:rPr/>
        <w:t>應</w:t>
      </w:r>
      <w:r>
        <w:rPr>
          <w:spacing w:val="2"/>
        </w:rPr>
        <w:t>依</w:t>
      </w:r>
      <w:r>
        <w:rPr/>
        <w:t>本</w:t>
      </w:r>
      <w:r>
        <w:rPr>
          <w:spacing w:val="2"/>
        </w:rPr>
        <w:t>法</w:t>
      </w:r>
      <w:r>
        <w:rPr/>
        <w:t>第</w:t>
      </w:r>
      <w:r>
        <w:rPr>
          <w:spacing w:val="2"/>
        </w:rPr>
        <w:t>八</w:t>
      </w:r>
      <w:r>
        <w:rPr/>
        <w:t>十</w:t>
      </w:r>
      <w:r>
        <w:rPr>
          <w:spacing w:val="2"/>
        </w:rPr>
        <w:t>七</w:t>
      </w:r>
      <w:r>
        <w:rPr/>
        <w:t>條</w:t>
      </w:r>
      <w:r>
        <w:rPr>
          <w:spacing w:val="2"/>
        </w:rPr>
        <w:t>規</w:t>
      </w:r>
      <w:r>
        <w:rPr/>
        <w:t>定</w:t>
      </w:r>
      <w:r>
        <w:rPr>
          <w:spacing w:val="2"/>
        </w:rPr>
        <w:t>作</w:t>
      </w:r>
      <w:r>
        <w:rPr/>
        <w:t>成</w:t>
      </w:r>
      <w:r>
        <w:rPr>
          <w:spacing w:val="2"/>
        </w:rPr>
        <w:t>調</w:t>
      </w:r>
      <w:r>
        <w:rPr/>
        <w:t>處</w:t>
      </w:r>
      <w:r>
        <w:rPr/>
        <w:t> </w:t>
      </w:r>
      <w:r>
        <w:rPr>
          <w:spacing w:val="2"/>
        </w:rPr>
        <w:t>書</w:t>
      </w:r>
      <w:r>
        <w:rPr/>
        <w:t>，</w:t>
      </w:r>
      <w:r>
        <w:rPr>
          <w:spacing w:val="2"/>
        </w:rPr>
        <w:t>向</w:t>
      </w:r>
      <w:r>
        <w:rPr/>
        <w:t>本</w:t>
      </w:r>
      <w:r>
        <w:rPr>
          <w:spacing w:val="2"/>
        </w:rPr>
        <w:t>會</w:t>
      </w:r>
      <w:r>
        <w:rPr/>
        <w:t>委</w:t>
      </w:r>
      <w:r>
        <w:rPr>
          <w:spacing w:val="2"/>
        </w:rPr>
        <w:t>員</w:t>
      </w:r>
      <w:r>
        <w:rPr/>
        <w:t>會</w:t>
      </w:r>
      <w:r>
        <w:rPr>
          <w:spacing w:val="2"/>
        </w:rPr>
        <w:t>議</w:t>
      </w:r>
      <w:r>
        <w:rPr/>
        <w:t>提</w:t>
      </w:r>
      <w:r>
        <w:rPr>
          <w:spacing w:val="2"/>
        </w:rPr>
        <w:t>出</w:t>
      </w:r>
      <w:r>
        <w:rPr/>
        <w:t>報</w:t>
      </w:r>
      <w:r>
        <w:rPr>
          <w:spacing w:val="2"/>
        </w:rPr>
        <w:t>告</w:t>
      </w:r>
      <w:r>
        <w:rPr/>
        <w:t>後</w:t>
      </w:r>
      <w:r>
        <w:rPr>
          <w:spacing w:val="2"/>
        </w:rPr>
        <w:t>，</w:t>
      </w:r>
      <w:r>
        <w:rPr/>
        <w:t>於</w:t>
      </w:r>
      <w:r>
        <w:rPr>
          <w:spacing w:val="2"/>
        </w:rPr>
        <w:t>十</w:t>
      </w:r>
      <w:r>
        <w:rPr/>
        <w:t>日</w:t>
      </w:r>
      <w:r>
        <w:rPr>
          <w:spacing w:val="2"/>
        </w:rPr>
        <w:t>內</w:t>
      </w:r>
      <w:r>
        <w:rPr/>
        <w:t>，</w:t>
      </w:r>
      <w:r>
        <w:rPr>
          <w:spacing w:val="2"/>
        </w:rPr>
        <w:t>將</w:t>
      </w:r>
      <w:r>
        <w:rPr/>
        <w:t>調</w:t>
      </w:r>
      <w:r>
        <w:rPr>
          <w:spacing w:val="2"/>
        </w:rPr>
        <w:t>處</w:t>
      </w:r>
      <w:r>
        <w:rPr/>
        <w:t>書</w:t>
      </w:r>
      <w:r>
        <w:rPr>
          <w:spacing w:val="2"/>
        </w:rPr>
        <w:t>以</w:t>
      </w:r>
      <w:r>
        <w:rPr/>
        <w:t>正</w:t>
      </w:r>
      <w:r>
        <w:rPr/>
        <w:t> </w:t>
      </w:r>
      <w:r>
        <w:rPr>
          <w:spacing w:val="2"/>
        </w:rPr>
        <w:t>本</w:t>
      </w:r>
      <w:r>
        <w:rPr/>
        <w:t>發</w:t>
      </w:r>
      <w:r>
        <w:rPr>
          <w:spacing w:val="2"/>
        </w:rPr>
        <w:t>送</w:t>
      </w:r>
      <w:r>
        <w:rPr/>
        <w:t>復</w:t>
      </w:r>
      <w:r>
        <w:rPr>
          <w:spacing w:val="2"/>
        </w:rPr>
        <w:t>審</w:t>
      </w:r>
      <w:r>
        <w:rPr/>
        <w:t>人</w:t>
      </w:r>
      <w:r>
        <w:rPr>
          <w:spacing w:val="2"/>
        </w:rPr>
        <w:t>、</w:t>
      </w:r>
      <w:r>
        <w:rPr/>
        <w:t>再</w:t>
      </w:r>
      <w:r>
        <w:rPr>
          <w:spacing w:val="2"/>
        </w:rPr>
        <w:t>申</w:t>
      </w:r>
      <w:r>
        <w:rPr/>
        <w:t>訴</w:t>
      </w:r>
      <w:r>
        <w:rPr>
          <w:spacing w:val="2"/>
        </w:rPr>
        <w:t>人</w:t>
      </w:r>
      <w:r>
        <w:rPr/>
        <w:t>、</w:t>
      </w:r>
      <w:r>
        <w:rPr>
          <w:spacing w:val="2"/>
        </w:rPr>
        <w:t>代</w:t>
      </w:r>
      <w:r>
        <w:rPr/>
        <w:t>表</w:t>
      </w:r>
      <w:r>
        <w:rPr>
          <w:spacing w:val="2"/>
        </w:rPr>
        <w:t>人</w:t>
      </w:r>
      <w:r>
        <w:rPr/>
        <w:t>、</w:t>
      </w:r>
      <w:r>
        <w:rPr>
          <w:spacing w:val="2"/>
        </w:rPr>
        <w:t>經</w:t>
      </w:r>
      <w:r>
        <w:rPr/>
        <w:t>特</w:t>
      </w:r>
      <w:r>
        <w:rPr>
          <w:spacing w:val="2"/>
        </w:rPr>
        <w:t>別</w:t>
      </w:r>
      <w:r>
        <w:rPr/>
        <w:t>委</w:t>
      </w:r>
      <w:r>
        <w:rPr>
          <w:spacing w:val="2"/>
        </w:rPr>
        <w:t>任</w:t>
      </w:r>
      <w:r>
        <w:rPr/>
        <w:t>之</w:t>
      </w:r>
      <w:r>
        <w:rPr>
          <w:spacing w:val="2"/>
        </w:rPr>
        <w:t>代</w:t>
      </w:r>
      <w:r>
        <w:rPr/>
        <w:t>理</w:t>
      </w:r>
      <w:r>
        <w:rPr>
          <w:spacing w:val="2"/>
        </w:rPr>
        <w:t>人</w:t>
      </w:r>
      <w:r>
        <w:rPr/>
        <w:t>及</w:t>
      </w:r>
      <w:r>
        <w:rPr/>
        <w:t> </w:t>
      </w:r>
      <w:r>
        <w:rPr>
          <w:spacing w:val="-1"/>
        </w:rPr>
        <w:t>有關機關。</w:t>
      </w:r>
    </w:p>
    <w:p>
      <w:pPr>
        <w:pStyle w:val="BodyText"/>
        <w:spacing w:line="261" w:lineRule="auto"/>
        <w:ind w:left="1099" w:right="106" w:hanging="980"/>
        <w:jc w:val="both"/>
      </w:pPr>
      <w:r>
        <w:rPr/>
        <w:t>十三、</w:t>
      </w:r>
      <w:r>
        <w:rPr>
          <w:spacing w:val="-4"/>
        </w:rPr>
        <w:t> </w:t>
      </w:r>
      <w:r>
        <w:rPr>
          <w:spacing w:val="2"/>
        </w:rPr>
        <w:t>調</w:t>
      </w:r>
      <w:r>
        <w:rPr/>
        <w:t>處</w:t>
      </w:r>
      <w:r>
        <w:rPr>
          <w:spacing w:val="2"/>
        </w:rPr>
        <w:t>不</w:t>
      </w:r>
      <w:r>
        <w:rPr/>
        <w:t>成</w:t>
      </w:r>
      <w:r>
        <w:rPr>
          <w:spacing w:val="2"/>
        </w:rPr>
        <w:t>立</w:t>
      </w:r>
      <w:r>
        <w:rPr/>
        <w:t>者</w:t>
      </w:r>
      <w:r>
        <w:rPr>
          <w:spacing w:val="2"/>
        </w:rPr>
        <w:t>，</w:t>
      </w:r>
      <w:r>
        <w:rPr/>
        <w:t>承</w:t>
      </w:r>
      <w:r>
        <w:rPr>
          <w:spacing w:val="2"/>
        </w:rPr>
        <w:t>辦</w:t>
      </w:r>
      <w:r>
        <w:rPr/>
        <w:t>單</w:t>
      </w:r>
      <w:r>
        <w:rPr>
          <w:spacing w:val="2"/>
        </w:rPr>
        <w:t>位</w:t>
      </w:r>
      <w:r>
        <w:rPr/>
        <w:t>應</w:t>
      </w:r>
      <w:r>
        <w:rPr>
          <w:spacing w:val="2"/>
        </w:rPr>
        <w:t>將</w:t>
      </w:r>
      <w:r>
        <w:rPr/>
        <w:t>調</w:t>
      </w:r>
      <w:r>
        <w:rPr>
          <w:spacing w:val="2"/>
        </w:rPr>
        <w:t>處</w:t>
      </w:r>
      <w:r>
        <w:rPr/>
        <w:t>紀</w:t>
      </w:r>
      <w:r>
        <w:rPr>
          <w:spacing w:val="2"/>
        </w:rPr>
        <w:t>錄</w:t>
      </w:r>
      <w:r>
        <w:rPr/>
        <w:t>附</w:t>
      </w:r>
      <w:r>
        <w:rPr>
          <w:spacing w:val="2"/>
        </w:rPr>
        <w:t>於</w:t>
      </w:r>
      <w:r>
        <w:rPr/>
        <w:t>復</w:t>
      </w:r>
      <w:r>
        <w:rPr>
          <w:spacing w:val="2"/>
        </w:rPr>
        <w:t>審</w:t>
      </w:r>
      <w:r>
        <w:rPr/>
        <w:t>人</w:t>
      </w:r>
      <w:r>
        <w:rPr>
          <w:spacing w:val="2"/>
        </w:rPr>
        <w:t>或</w:t>
      </w:r>
      <w:r>
        <w:rPr/>
        <w:t>再</w:t>
      </w:r>
      <w:r>
        <w:rPr>
          <w:spacing w:val="2"/>
        </w:rPr>
        <w:t>申</w:t>
      </w:r>
      <w:r>
        <w:rPr/>
        <w:t>訴</w:t>
      </w:r>
      <w:r>
        <w:rPr/>
        <w:t> </w:t>
      </w:r>
      <w:r>
        <w:rPr>
          <w:spacing w:val="2"/>
        </w:rPr>
        <w:t>人</w:t>
      </w:r>
      <w:r>
        <w:rPr/>
        <w:t>原</w:t>
      </w:r>
      <w:r>
        <w:rPr>
          <w:spacing w:val="2"/>
        </w:rPr>
        <w:t>提</w:t>
      </w:r>
      <w:r>
        <w:rPr/>
        <w:t>保</w:t>
      </w:r>
      <w:r>
        <w:rPr>
          <w:spacing w:val="2"/>
        </w:rPr>
        <w:t>障</w:t>
      </w:r>
      <w:r>
        <w:rPr/>
        <w:t>事</w:t>
      </w:r>
      <w:r>
        <w:rPr>
          <w:spacing w:val="2"/>
        </w:rPr>
        <w:t>件</w:t>
      </w:r>
      <w:r>
        <w:rPr/>
        <w:t>卷</w:t>
      </w:r>
      <w:r>
        <w:rPr>
          <w:spacing w:val="2"/>
        </w:rPr>
        <w:t>宗</w:t>
      </w:r>
      <w:r>
        <w:rPr/>
        <w:t>，</w:t>
      </w:r>
      <w:r>
        <w:rPr>
          <w:spacing w:val="2"/>
        </w:rPr>
        <w:t>併</w:t>
      </w:r>
      <w:r>
        <w:rPr/>
        <w:t>同</w:t>
      </w:r>
      <w:r>
        <w:rPr>
          <w:spacing w:val="2"/>
        </w:rPr>
        <w:t>復</w:t>
      </w:r>
      <w:r>
        <w:rPr/>
        <w:t>審</w:t>
      </w:r>
      <w:r>
        <w:rPr>
          <w:spacing w:val="2"/>
        </w:rPr>
        <w:t>決</w:t>
      </w:r>
      <w:r>
        <w:rPr/>
        <w:t>定</w:t>
      </w:r>
      <w:r>
        <w:rPr>
          <w:spacing w:val="2"/>
        </w:rPr>
        <w:t>書</w:t>
      </w:r>
      <w:r>
        <w:rPr/>
        <w:t>稿</w:t>
      </w:r>
      <w:r>
        <w:rPr>
          <w:spacing w:val="2"/>
        </w:rPr>
        <w:t>或</w:t>
      </w:r>
      <w:r>
        <w:rPr/>
        <w:t>再</w:t>
      </w:r>
      <w:r>
        <w:rPr>
          <w:spacing w:val="2"/>
        </w:rPr>
        <w:t>申</w:t>
      </w:r>
      <w:r>
        <w:rPr/>
        <w:t>訴</w:t>
      </w:r>
      <w:r>
        <w:rPr>
          <w:spacing w:val="2"/>
        </w:rPr>
        <w:t>決</w:t>
      </w:r>
      <w:r>
        <w:rPr/>
        <w:t>定</w:t>
      </w:r>
      <w:r>
        <w:rPr>
          <w:spacing w:val="2"/>
        </w:rPr>
        <w:t>書</w:t>
      </w:r>
      <w:r>
        <w:rPr/>
        <w:t>稿</w:t>
      </w:r>
      <w:r>
        <w:rPr/>
        <w:t> </w:t>
      </w:r>
      <w:r>
        <w:rPr>
          <w:spacing w:val="-1"/>
        </w:rPr>
        <w:t>提送本會委員會議審議。</w:t>
      </w:r>
    </w:p>
    <w:p>
      <w:pPr>
        <w:pStyle w:val="BodyText"/>
        <w:spacing w:line="240" w:lineRule="auto" w:before="9"/>
        <w:ind w:left="120" w:right="0" w:firstLine="0"/>
        <w:jc w:val="left"/>
      </w:pPr>
      <w:r>
        <w:rPr/>
        <w:t>十四、</w:t>
      </w:r>
      <w:r>
        <w:rPr>
          <w:spacing w:val="-4"/>
        </w:rPr>
        <w:t> </w:t>
      </w:r>
      <w:r>
        <w:rPr>
          <w:spacing w:val="-2"/>
        </w:rPr>
        <w:t>調處有關文書之送達，應依保障事件之文書送達規定辦理。</w:t>
      </w:r>
    </w:p>
    <w:sectPr>
      <w:pgSz w:w="11900" w:h="16840"/>
      <w:pgMar w:top="14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細明體_HKSCS">
    <w:altName w:val="細明體_HKSCS"/>
    <w:charset w:val="88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"/>
      <w:ind w:left="839" w:hanging="720"/>
    </w:pPr>
    <w:rPr>
      <w:rFonts w:ascii="細明體_HKSCS" w:hAnsi="細明體_HKSCS" w:eastAsia="細明體_HKSCS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0280</dc:creator>
  <dc:title>&lt;4D6963726F736F667420576F7264202D20303120A4BDB0C8A448ADFBAB4FBBD9A8C6BDD5B342B9EAAC49AD6EC2492E646F6378&gt;</dc:title>
  <dcterms:created xsi:type="dcterms:W3CDTF">2021-09-15T19:05:50Z</dcterms:created>
  <dcterms:modified xsi:type="dcterms:W3CDTF">2021-09-15T19:05:50Z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2021-09-15T00:00:00Z</vt:filetime>
  </property>
</Properties>
</file>