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1" w:lineRule="exact" w:before="0"/>
        <w:ind w:left="0" w:right="12" w:firstLine="0"/>
        <w:jc w:val="center"/>
        <w:rPr>
          <w:rFonts w:ascii="新細明體" w:hAnsi="新細明體" w:cs="新細明體" w:eastAsia="新細明體"/>
          <w:sz w:val="36"/>
          <w:szCs w:val="36"/>
        </w:rPr>
      </w:pPr>
      <w:r>
        <w:rPr>
          <w:rFonts w:ascii="新細明體" w:hAnsi="新細明體" w:cs="新細明體" w:eastAsia="新細明體"/>
          <w:sz w:val="36"/>
          <w:szCs w:val="36"/>
        </w:rPr>
        <w:t>公務人員再申訴事件調處實施要點修正條文總說明</w:t>
      </w:r>
    </w:p>
    <w:p>
      <w:pPr>
        <w:pStyle w:val="BodyText"/>
        <w:spacing w:line="301" w:lineRule="auto" w:before="292"/>
        <w:ind w:right="102" w:firstLine="559"/>
        <w:jc w:val="both"/>
      </w:pPr>
      <w:r>
        <w:rPr>
          <w:spacing w:val="2"/>
        </w:rPr>
        <w:t>公務人員再申訴事件調處實施要點為本會審理再申訴事件，於進行</w:t>
      </w:r>
      <w:r>
        <w:rPr>
          <w:spacing w:val="28"/>
        </w:rPr>
        <w:t> </w:t>
      </w:r>
      <w:r>
        <w:rPr>
          <w:spacing w:val="2"/>
        </w:rPr>
        <w:t>調處程序時之準則性規範，全文共計十四點，於民國九十三年六月十五</w:t>
      </w:r>
      <w:r>
        <w:rPr>
          <w:spacing w:val="26"/>
        </w:rPr>
        <w:t> </w:t>
      </w:r>
      <w:r>
        <w:rPr>
          <w:spacing w:val="2"/>
        </w:rPr>
        <w:t>日訂定發布，迄今已十餘年；為配合民國一百零六年六月十四日修正公</w:t>
      </w:r>
      <w:r>
        <w:rPr>
          <w:spacing w:val="26"/>
        </w:rPr>
        <w:t> </w:t>
      </w:r>
      <w:r>
        <w:rPr>
          <w:spacing w:val="2"/>
        </w:rPr>
        <w:t>布之公務人員保障法（以下簡稱保障法）第八十五條至第八十八條及第</w:t>
      </w:r>
      <w:r>
        <w:rPr>
          <w:spacing w:val="26"/>
        </w:rPr>
        <w:t> </w:t>
      </w:r>
      <w:r>
        <w:rPr>
          <w:spacing w:val="2"/>
        </w:rPr>
        <w:t>九十一條規定，增訂調處程序適用於復審事件，並增列復審人、其代表</w:t>
      </w:r>
      <w:r>
        <w:rPr>
          <w:spacing w:val="26"/>
        </w:rPr>
        <w:t> </w:t>
      </w:r>
      <w:r>
        <w:rPr>
          <w:spacing w:val="2"/>
        </w:rPr>
        <w:t>人及經特別委任之代理人為到場調處之對象，爰將本實施要點名稱修正</w:t>
      </w:r>
      <w:r>
        <w:rPr>
          <w:spacing w:val="26"/>
        </w:rPr>
        <w:t> </w:t>
      </w:r>
      <w:r>
        <w:rPr>
          <w:spacing w:val="-17"/>
        </w:rPr>
        <w:t>為</w:t>
      </w:r>
      <w:r>
        <w:rPr/>
        <w:t>「公務</w:t>
      </w:r>
      <w:r>
        <w:rPr>
          <w:spacing w:val="-3"/>
        </w:rPr>
        <w:t>人</w:t>
      </w:r>
      <w:r>
        <w:rPr/>
        <w:t>員保</w:t>
      </w:r>
      <w:r>
        <w:rPr>
          <w:spacing w:val="-3"/>
        </w:rPr>
        <w:t>障</w:t>
      </w:r>
      <w:r>
        <w:rPr/>
        <w:t>事件調</w:t>
      </w:r>
      <w:r>
        <w:rPr>
          <w:spacing w:val="-3"/>
        </w:rPr>
        <w:t>處</w:t>
      </w:r>
      <w:r>
        <w:rPr/>
        <w:t>實施</w:t>
      </w:r>
      <w:r>
        <w:rPr>
          <w:spacing w:val="-3"/>
        </w:rPr>
        <w:t>要</w:t>
      </w:r>
      <w:r>
        <w:rPr/>
        <w:t>點</w:t>
      </w:r>
      <w:r>
        <w:rPr>
          <w:spacing w:val="-149"/>
        </w:rPr>
        <w:t>」</w:t>
      </w:r>
      <w:r>
        <w:rPr>
          <w:spacing w:val="-10"/>
        </w:rPr>
        <w:t>，</w:t>
      </w:r>
      <w:r>
        <w:rPr/>
        <w:t>並配合</w:t>
      </w:r>
      <w:r>
        <w:rPr>
          <w:spacing w:val="-3"/>
        </w:rPr>
        <w:t>修</w:t>
      </w:r>
      <w:r>
        <w:rPr/>
        <w:t>正本</w:t>
      </w:r>
      <w:r>
        <w:rPr>
          <w:spacing w:val="-3"/>
        </w:rPr>
        <w:t>實</w:t>
      </w:r>
      <w:r>
        <w:rPr/>
        <w:t>施要點</w:t>
      </w:r>
      <w:r>
        <w:rPr>
          <w:spacing w:val="-3"/>
        </w:rPr>
        <w:t>第</w:t>
      </w:r>
      <w:r>
        <w:rPr/>
        <w:t>一點至</w:t>
      </w:r>
      <w:r>
        <w:rPr/>
        <w:t> </w:t>
      </w:r>
      <w:r>
        <w:rPr>
          <w:spacing w:val="2"/>
        </w:rPr>
        <w:t>第五點、第七點、第八點第一項、第九點第一項及第十一點至第十四點</w:t>
      </w:r>
      <w:r>
        <w:rPr>
          <w:spacing w:val="26"/>
        </w:rPr>
        <w:t> </w:t>
      </w:r>
      <w:r>
        <w:rPr>
          <w:spacing w:val="-1"/>
        </w:rPr>
        <w:t>等規定之文字，共計修正十二點規定，修正重點如下：</w:t>
      </w:r>
    </w:p>
    <w:p>
      <w:pPr>
        <w:pStyle w:val="BodyText"/>
        <w:spacing w:line="240" w:lineRule="auto" w:before="23"/>
        <w:ind w:right="0"/>
        <w:jc w:val="left"/>
      </w:pPr>
      <w:r>
        <w:rPr/>
        <w:t>一、</w:t>
      </w:r>
      <w:r>
        <w:rPr>
          <w:spacing w:val="-18"/>
        </w:rPr>
        <w:t> </w:t>
      </w:r>
      <w:r>
        <w:rPr/>
        <w:t>配合調處規定擴大適用於復審事件，將再申訴事件修正為保障事件</w:t>
      </w:r>
    </w:p>
    <w:p>
      <w:pPr>
        <w:pStyle w:val="BodyText"/>
        <w:spacing w:line="240" w:lineRule="auto"/>
        <w:ind w:left="718" w:right="0"/>
        <w:jc w:val="left"/>
      </w:pPr>
      <w:r>
        <w:rPr>
          <w:spacing w:val="-140"/>
        </w:rPr>
        <w:t>。</w:t>
      </w:r>
      <w:r>
        <w:rPr/>
        <w:t>（</w:t>
      </w:r>
      <w:r>
        <w:rPr>
          <w:spacing w:val="-3"/>
        </w:rPr>
        <w:t>修</w:t>
      </w:r>
      <w:r>
        <w:rPr/>
        <w:t>正規</w:t>
      </w:r>
      <w:r>
        <w:rPr>
          <w:spacing w:val="-3"/>
        </w:rPr>
        <w:t>定</w:t>
      </w:r>
      <w:r>
        <w:rPr/>
        <w:t>第一</w:t>
      </w:r>
      <w:r>
        <w:rPr>
          <w:spacing w:val="-3"/>
        </w:rPr>
        <w:t>點</w:t>
      </w:r>
      <w:r>
        <w:rPr/>
        <w:t>）</w:t>
      </w:r>
    </w:p>
    <w:p>
      <w:pPr>
        <w:pStyle w:val="BodyText"/>
        <w:spacing w:line="240" w:lineRule="auto" w:before="92"/>
        <w:ind w:right="0"/>
        <w:jc w:val="left"/>
      </w:pPr>
      <w:r>
        <w:rPr/>
        <w:t>二、</w:t>
      </w:r>
      <w:r>
        <w:rPr>
          <w:spacing w:val="-18"/>
        </w:rPr>
        <w:t> </w:t>
      </w:r>
      <w:r>
        <w:rPr/>
        <w:t>增列復</w:t>
      </w:r>
      <w:r>
        <w:rPr>
          <w:spacing w:val="-3"/>
        </w:rPr>
        <w:t>審</w:t>
      </w:r>
      <w:r>
        <w:rPr/>
        <w:t>人得</w:t>
      </w:r>
      <w:r>
        <w:rPr>
          <w:spacing w:val="-3"/>
        </w:rPr>
        <w:t>申請</w:t>
      </w:r>
      <w:r>
        <w:rPr/>
        <w:t>調處程</w:t>
      </w:r>
      <w:r>
        <w:rPr>
          <w:spacing w:val="-3"/>
        </w:rPr>
        <w:t>序</w:t>
      </w:r>
      <w:r>
        <w:rPr>
          <w:spacing w:val="-140"/>
        </w:rPr>
        <w:t>。</w:t>
      </w:r>
      <w:r>
        <w:rPr>
          <w:spacing w:val="-3"/>
        </w:rPr>
        <w:t>（</w:t>
      </w:r>
      <w:r>
        <w:rPr/>
        <w:t>修正</w:t>
      </w:r>
      <w:r>
        <w:rPr>
          <w:spacing w:val="-3"/>
        </w:rPr>
        <w:t>規</w:t>
      </w:r>
      <w:r>
        <w:rPr/>
        <w:t>定第二</w:t>
      </w:r>
      <w:r>
        <w:rPr>
          <w:spacing w:val="-3"/>
        </w:rPr>
        <w:t>點</w:t>
      </w:r>
      <w:r>
        <w:rPr/>
        <w:t>）</w:t>
      </w:r>
    </w:p>
    <w:p>
      <w:pPr>
        <w:pStyle w:val="BodyText"/>
        <w:spacing w:line="301" w:lineRule="auto"/>
        <w:ind w:left="718" w:right="0" w:hanging="617"/>
        <w:jc w:val="left"/>
      </w:pPr>
      <w:r>
        <w:rPr/>
        <w:t>三、</w:t>
      </w:r>
      <w:r>
        <w:rPr>
          <w:spacing w:val="-18"/>
        </w:rPr>
        <w:t> </w:t>
      </w:r>
      <w:r>
        <w:rPr/>
        <w:t>增列拒</w:t>
      </w:r>
      <w:r>
        <w:rPr>
          <w:spacing w:val="-3"/>
        </w:rPr>
        <w:t>絕</w:t>
      </w:r>
      <w:r>
        <w:rPr/>
        <w:t>調處</w:t>
      </w:r>
      <w:r>
        <w:rPr>
          <w:spacing w:val="-3"/>
        </w:rPr>
        <w:t>申請</w:t>
      </w:r>
      <w:r>
        <w:rPr>
          <w:spacing w:val="-22"/>
        </w:rPr>
        <w:t>者</w:t>
      </w:r>
      <w:r>
        <w:rPr>
          <w:spacing w:val="-24"/>
        </w:rPr>
        <w:t>，</w:t>
      </w:r>
      <w:r>
        <w:rPr/>
        <w:t>於復審</w:t>
      </w:r>
      <w:r>
        <w:rPr>
          <w:spacing w:val="-3"/>
        </w:rPr>
        <w:t>決</w:t>
      </w:r>
      <w:r>
        <w:rPr/>
        <w:t>定</w:t>
      </w:r>
      <w:r>
        <w:rPr>
          <w:spacing w:val="-3"/>
        </w:rPr>
        <w:t>書</w:t>
      </w:r>
      <w:r>
        <w:rPr/>
        <w:t>敘明拒</w:t>
      </w:r>
      <w:r>
        <w:rPr>
          <w:spacing w:val="-3"/>
        </w:rPr>
        <w:t>絕</w:t>
      </w:r>
      <w:r>
        <w:rPr/>
        <w:t>理</w:t>
      </w:r>
      <w:r>
        <w:rPr>
          <w:spacing w:val="-24"/>
        </w:rPr>
        <w:t>由</w:t>
      </w:r>
      <w:r>
        <w:rPr>
          <w:spacing w:val="-161"/>
        </w:rPr>
        <w:t>。</w:t>
      </w:r>
      <w:r>
        <w:rPr>
          <w:spacing w:val="-3"/>
        </w:rPr>
        <w:t>（修</w:t>
      </w:r>
      <w:r>
        <w:rPr/>
        <w:t>正規定</w:t>
      </w:r>
      <w:r>
        <w:rPr>
          <w:spacing w:val="-3"/>
        </w:rPr>
        <w:t>第</w:t>
      </w:r>
      <w:r>
        <w:rPr/>
        <w:t>三</w:t>
      </w:r>
      <w:r>
        <w:rPr/>
        <w:t> 點）</w:t>
      </w:r>
    </w:p>
    <w:p>
      <w:pPr>
        <w:pStyle w:val="BodyText"/>
        <w:spacing w:line="301" w:lineRule="auto" w:before="19"/>
        <w:ind w:left="718" w:right="0" w:hanging="617"/>
        <w:jc w:val="left"/>
      </w:pPr>
      <w:r>
        <w:rPr/>
        <w:t>四、</w:t>
      </w:r>
      <w:r>
        <w:rPr>
          <w:spacing w:val="-18"/>
        </w:rPr>
        <w:t> </w:t>
      </w:r>
      <w:r>
        <w:rPr/>
        <w:t>增列通知復審人、代表人及經特別委任之代理人到場進行調處，及</w:t>
      </w:r>
      <w:r>
        <w:rPr>
          <w:spacing w:val="44"/>
        </w:rPr>
        <w:t> </w:t>
      </w:r>
      <w:r>
        <w:rPr/>
        <w:t>上開人</w:t>
      </w:r>
      <w:r>
        <w:rPr>
          <w:spacing w:val="-3"/>
        </w:rPr>
        <w:t>員</w:t>
      </w:r>
      <w:r>
        <w:rPr/>
        <w:t>得申</w:t>
      </w:r>
      <w:r>
        <w:rPr>
          <w:spacing w:val="-3"/>
        </w:rPr>
        <w:t>請調</w:t>
      </w:r>
      <w:r>
        <w:rPr/>
        <w:t>處期日</w:t>
      </w:r>
      <w:r>
        <w:rPr>
          <w:spacing w:val="-3"/>
        </w:rPr>
        <w:t>之</w:t>
      </w:r>
      <w:r>
        <w:rPr/>
        <w:t>延期</w:t>
      </w:r>
      <w:r>
        <w:rPr>
          <w:spacing w:val="-142"/>
        </w:rPr>
        <w:t>。</w:t>
      </w:r>
      <w:r>
        <w:rPr/>
        <w:t>（</w:t>
      </w:r>
      <w:r>
        <w:rPr>
          <w:spacing w:val="-3"/>
        </w:rPr>
        <w:t>修</w:t>
      </w:r>
      <w:r>
        <w:rPr/>
        <w:t>正規定</w:t>
      </w:r>
      <w:r>
        <w:rPr>
          <w:spacing w:val="-3"/>
        </w:rPr>
        <w:t>第</w:t>
      </w:r>
      <w:r>
        <w:rPr/>
        <w:t>四點）</w:t>
      </w:r>
    </w:p>
    <w:p>
      <w:pPr>
        <w:pStyle w:val="BodyText"/>
        <w:spacing w:line="240" w:lineRule="auto" w:before="22"/>
        <w:ind w:right="0"/>
        <w:jc w:val="left"/>
      </w:pPr>
      <w:r>
        <w:rPr/>
        <w:t>五、</w:t>
      </w:r>
      <w:r>
        <w:rPr>
          <w:spacing w:val="-18"/>
        </w:rPr>
        <w:t> </w:t>
      </w:r>
      <w:r>
        <w:rPr/>
        <w:t>為使文</w:t>
      </w:r>
      <w:r>
        <w:rPr>
          <w:spacing w:val="-3"/>
        </w:rPr>
        <w:t>意</w:t>
      </w:r>
      <w:r>
        <w:rPr/>
        <w:t>明確</w:t>
      </w:r>
      <w:r>
        <w:rPr>
          <w:spacing w:val="-3"/>
        </w:rPr>
        <w:t>，酌</w:t>
      </w:r>
      <w:r>
        <w:rPr/>
        <w:t>作文字</w:t>
      </w:r>
      <w:r>
        <w:rPr>
          <w:spacing w:val="-3"/>
        </w:rPr>
        <w:t>修</w:t>
      </w:r>
      <w:r>
        <w:rPr/>
        <w:t>正</w:t>
      </w:r>
      <w:r>
        <w:rPr>
          <w:spacing w:val="-142"/>
        </w:rPr>
        <w:t>。</w:t>
      </w:r>
      <w:r>
        <w:rPr/>
        <w:t>（修</w:t>
      </w:r>
      <w:r>
        <w:rPr>
          <w:spacing w:val="-3"/>
        </w:rPr>
        <w:t>正</w:t>
      </w:r>
      <w:r>
        <w:rPr/>
        <w:t>規定第</w:t>
      </w:r>
      <w:r>
        <w:rPr>
          <w:spacing w:val="-3"/>
        </w:rPr>
        <w:t>五</w:t>
      </w:r>
      <w:r>
        <w:rPr/>
        <w:t>點）</w:t>
      </w:r>
    </w:p>
    <w:p>
      <w:pPr>
        <w:pStyle w:val="BodyText"/>
        <w:spacing w:line="240" w:lineRule="auto" w:before="92"/>
        <w:ind w:right="0"/>
        <w:jc w:val="left"/>
      </w:pPr>
      <w:r>
        <w:rPr/>
        <w:t>六、</w:t>
      </w:r>
      <w:r>
        <w:rPr>
          <w:spacing w:val="-18"/>
        </w:rPr>
        <w:t> </w:t>
      </w:r>
      <w:r>
        <w:rPr>
          <w:spacing w:val="-2"/>
        </w:rPr>
        <w:t>配合保障法第八十五條至第八十七條規定，酌作文字修正。</w:t>
      </w:r>
    </w:p>
    <w:p>
      <w:pPr>
        <w:pStyle w:val="BodyText"/>
        <w:spacing w:line="301" w:lineRule="auto"/>
        <w:ind w:left="718" w:right="0"/>
        <w:jc w:val="left"/>
      </w:pPr>
      <w:r>
        <w:rPr/>
        <w:t>（修正規定第七點、第八點第一項、第九點第一項及第十一點至第</w:t>
      </w:r>
      <w:r>
        <w:rPr>
          <w:spacing w:val="44"/>
        </w:rPr>
        <w:t> </w:t>
      </w:r>
      <w:r>
        <w:rPr/>
        <w:t>十四點）</w:t>
      </w: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0"/>
        <w:rPr>
          <w:rFonts w:ascii="新細明體" w:hAnsi="新細明體" w:cs="新細明體" w:eastAsia="新細明體"/>
          <w:sz w:val="20"/>
          <w:szCs w:val="20"/>
        </w:rPr>
      </w:pPr>
    </w:p>
    <w:p>
      <w:pPr>
        <w:spacing w:line="240" w:lineRule="auto" w:before="9"/>
        <w:rPr>
          <w:rFonts w:ascii="新細明體" w:hAnsi="新細明體" w:cs="新細明體" w:eastAsia="新細明體"/>
          <w:sz w:val="28"/>
          <w:szCs w:val="28"/>
        </w:rPr>
      </w:pPr>
    </w:p>
    <w:p>
      <w:pPr>
        <w:spacing w:before="112"/>
        <w:ind w:left="0" w:right="1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1</w:t>
      </w:r>
    </w:p>
    <w:sectPr>
      <w:type w:val="continuous"/>
      <w:pgSz w:w="11900" w:h="16840"/>
      <w:pgMar w:top="158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4"/>
      <w:ind w:left="101"/>
    </w:pPr>
    <w:rPr>
      <w:rFonts w:ascii="新細明體" w:hAnsi="新細明體" w:eastAsia="新細明體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0280</dc:creator>
  <dc:title>&lt;4D6963726F736F667420576F7264202D20303220A4BDB0C8A448ADFBA641A5D3B644A8C6A5F3BDD5B342B9EAAC49AD6EC249ADD7A5BFB1F8A4E5AFF3AED7C160BBA1A9FA2E646F63&gt;</dc:title>
  <dcterms:created xsi:type="dcterms:W3CDTF">2021-09-15T19:06:03Z</dcterms:created>
  <dcterms:modified xsi:type="dcterms:W3CDTF">2021-09-15T19:06:03Z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2021-09-15T00:00:00Z</vt:filetime>
  </property>
</Properties>
</file>