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考試院法案及性別影響評估檢視表</w:t>
      </w:r>
    </w:p>
    <w:p>
      <w:pPr>
        <w:spacing w:line="240" w:lineRule="auto" w:before="5"/>
        <w:rPr>
          <w:b/>
          <w:sz w:val="42"/>
        </w:rPr>
      </w:pPr>
    </w:p>
    <w:p>
      <w:pPr>
        <w:pStyle w:val="BodyText"/>
        <w:ind w:left="101"/>
      </w:pPr>
      <w:r>
        <w:rPr>
          <w:spacing w:val="-12"/>
          <w:w w:val="95"/>
        </w:rPr>
        <w:t>【第一部分】：本部分由機關人員填寫</w:t>
      </w:r>
    </w:p>
    <w:p>
      <w:pPr>
        <w:spacing w:line="240" w:lineRule="auto" w:before="12"/>
        <w:rPr>
          <w:b/>
          <w:sz w:val="6"/>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714"/>
        <w:gridCol w:w="1223"/>
        <w:gridCol w:w="2206"/>
        <w:gridCol w:w="1259"/>
        <w:gridCol w:w="270"/>
        <w:gridCol w:w="3338"/>
      </w:tblGrid>
      <w:tr>
        <w:trPr>
          <w:trHeight w:val="359" w:hRule="atLeast"/>
        </w:trPr>
        <w:tc>
          <w:tcPr>
            <w:tcW w:w="9836" w:type="dxa"/>
            <w:gridSpan w:val="7"/>
          </w:tcPr>
          <w:p>
            <w:pPr>
              <w:pStyle w:val="TableParagraph"/>
              <w:spacing w:line="328" w:lineRule="exact" w:before="11"/>
              <w:ind w:left="3425" w:right="3418"/>
              <w:jc w:val="center"/>
              <w:rPr>
                <w:b/>
                <w:sz w:val="24"/>
              </w:rPr>
            </w:pPr>
            <w:r>
              <w:rPr>
                <w:b/>
                <w:spacing w:val="-1"/>
                <w:sz w:val="24"/>
              </w:rPr>
              <w:t>填表日期：</w:t>
            </w:r>
            <w:r>
              <w:rPr>
                <w:rFonts w:ascii="Calibri" w:eastAsia="Calibri"/>
                <w:b/>
                <w:spacing w:val="-1"/>
                <w:sz w:val="24"/>
              </w:rPr>
              <w:t>105</w:t>
            </w:r>
            <w:r>
              <w:rPr>
                <w:rFonts w:ascii="Calibri" w:eastAsia="Calibri"/>
                <w:b/>
                <w:spacing w:val="5"/>
                <w:sz w:val="24"/>
              </w:rPr>
              <w:t> </w:t>
            </w:r>
            <w:r>
              <w:rPr>
                <w:b/>
                <w:spacing w:val="-30"/>
                <w:sz w:val="24"/>
              </w:rPr>
              <w:t>年 </w:t>
            </w:r>
            <w:r>
              <w:rPr>
                <w:rFonts w:ascii="Calibri" w:eastAsia="Calibri"/>
                <w:b/>
                <w:sz w:val="24"/>
              </w:rPr>
              <w:t>9</w:t>
            </w:r>
            <w:r>
              <w:rPr>
                <w:rFonts w:ascii="Calibri" w:eastAsia="Calibri"/>
                <w:b/>
                <w:spacing w:val="5"/>
                <w:sz w:val="24"/>
              </w:rPr>
              <w:t> </w:t>
            </w:r>
            <w:r>
              <w:rPr>
                <w:b/>
                <w:spacing w:val="-30"/>
                <w:sz w:val="24"/>
              </w:rPr>
              <w:t>月 </w:t>
            </w:r>
            <w:r>
              <w:rPr>
                <w:rFonts w:ascii="Calibri" w:eastAsia="Calibri"/>
                <w:b/>
                <w:sz w:val="24"/>
              </w:rPr>
              <w:t>26</w:t>
            </w:r>
            <w:r>
              <w:rPr>
                <w:rFonts w:ascii="Calibri" w:eastAsia="Calibri"/>
                <w:b/>
                <w:spacing w:val="6"/>
                <w:sz w:val="24"/>
              </w:rPr>
              <w:t> </w:t>
            </w:r>
            <w:r>
              <w:rPr>
                <w:b/>
                <w:sz w:val="24"/>
              </w:rPr>
              <w:t>日</w:t>
            </w:r>
          </w:p>
        </w:tc>
      </w:tr>
      <w:tr>
        <w:trPr>
          <w:trHeight w:val="1560" w:hRule="atLeast"/>
        </w:trPr>
        <w:tc>
          <w:tcPr>
            <w:tcW w:w="9836" w:type="dxa"/>
            <w:gridSpan w:val="7"/>
          </w:tcPr>
          <w:p>
            <w:pPr>
              <w:pStyle w:val="TableParagraph"/>
              <w:spacing w:before="133"/>
              <w:ind w:left="107"/>
              <w:rPr>
                <w:b/>
                <w:sz w:val="24"/>
              </w:rPr>
            </w:pPr>
            <w:r>
              <w:rPr>
                <w:b/>
                <w:w w:val="95"/>
                <w:sz w:val="24"/>
              </w:rPr>
              <w:t>填表單位：公務人員保障暨培訓委員會</w:t>
            </w:r>
          </w:p>
          <w:p>
            <w:pPr>
              <w:pStyle w:val="TableParagraph"/>
              <w:tabs>
                <w:tab w:pos="4192" w:val="left" w:leader="none"/>
              </w:tabs>
              <w:spacing w:before="144"/>
              <w:ind w:left="107"/>
              <w:rPr>
                <w:b/>
                <w:sz w:val="24"/>
              </w:rPr>
            </w:pPr>
            <w:r>
              <w:rPr>
                <w:b/>
                <w:sz w:val="24"/>
              </w:rPr>
              <w:t>填表人姓名：○○○</w:t>
              <w:tab/>
            </w:r>
            <w:r>
              <w:rPr>
                <w:b/>
                <w:w w:val="95"/>
                <w:sz w:val="24"/>
              </w:rPr>
              <w:t>職稱：科長</w:t>
            </w:r>
          </w:p>
          <w:p>
            <w:pPr>
              <w:pStyle w:val="TableParagraph"/>
              <w:tabs>
                <w:tab w:pos="4228" w:val="left" w:leader="none"/>
              </w:tabs>
              <w:spacing w:before="144"/>
              <w:ind w:left="112"/>
              <w:rPr>
                <w:rFonts w:ascii="Calibri" w:hAnsi="Calibri" w:eastAsia="Calibri"/>
                <w:b/>
                <w:sz w:val="24"/>
              </w:rPr>
            </w:pPr>
            <w:r>
              <w:rPr>
                <w:b/>
                <w:sz w:val="24"/>
              </w:rPr>
              <w:t>電話：</w:t>
            </w:r>
            <w:r>
              <w:rPr>
                <w:rFonts w:ascii="Calibri" w:hAnsi="Calibri" w:eastAsia="Calibri"/>
                <w:b/>
                <w:sz w:val="24"/>
              </w:rPr>
              <w:t>(02)</w:t>
            </w:r>
            <w:r>
              <w:rPr>
                <w:rFonts w:ascii="Calibri" w:hAnsi="Calibri" w:eastAsia="Calibri"/>
                <w:b/>
                <w:spacing w:val="63"/>
                <w:sz w:val="24"/>
              </w:rPr>
              <w:t> </w:t>
            </w:r>
            <w:r>
              <w:rPr>
                <w:b/>
                <w:sz w:val="24"/>
              </w:rPr>
              <w:t>○○○</w:t>
              <w:tab/>
            </w:r>
            <w:r>
              <w:rPr>
                <w:rFonts w:ascii="Calibri" w:hAnsi="Calibri" w:eastAsia="Calibri"/>
                <w:b/>
                <w:sz w:val="24"/>
              </w:rPr>
              <w:t>e‐mail</w:t>
            </w:r>
            <w:r>
              <w:rPr>
                <w:b/>
                <w:sz w:val="24"/>
              </w:rPr>
              <w:t>：○○○</w:t>
            </w:r>
            <w:r>
              <w:rPr>
                <w:rFonts w:ascii="Calibri" w:hAnsi="Calibri" w:eastAsia="Calibri"/>
                <w:b/>
                <w:sz w:val="24"/>
              </w:rPr>
              <w:t>@csptc.gov.tw</w:t>
            </w:r>
          </w:p>
        </w:tc>
      </w:tr>
      <w:tr>
        <w:trPr>
          <w:trHeight w:val="2890" w:hRule="atLeast"/>
        </w:trPr>
        <w:tc>
          <w:tcPr>
            <w:tcW w:w="9836" w:type="dxa"/>
            <w:gridSpan w:val="7"/>
          </w:tcPr>
          <w:p>
            <w:pPr>
              <w:pStyle w:val="TableParagraph"/>
              <w:spacing w:before="11"/>
              <w:ind w:left="107"/>
              <w:rPr>
                <w:b/>
                <w:sz w:val="24"/>
              </w:rPr>
            </w:pPr>
            <w:r>
              <w:rPr>
                <w:b/>
                <w:spacing w:val="50"/>
                <w:sz w:val="24"/>
                <w:u w:val="single"/>
              </w:rPr>
              <w:t>填 表 説 明</w:t>
            </w:r>
          </w:p>
          <w:p>
            <w:pPr>
              <w:pStyle w:val="TableParagraph"/>
              <w:spacing w:line="242" w:lineRule="auto" w:before="45"/>
              <w:ind w:left="587" w:right="95" w:hanging="480"/>
              <w:rPr>
                <w:b/>
                <w:sz w:val="24"/>
              </w:rPr>
            </w:pPr>
            <w:r>
              <w:rPr>
                <w:b/>
                <w:sz w:val="24"/>
              </w:rPr>
              <w:t>一、考試院暨所屬各機關研修（訂）</w:t>
            </w:r>
            <w:r>
              <w:rPr>
                <w:b/>
                <w:spacing w:val="-6"/>
                <w:sz w:val="24"/>
              </w:rPr>
              <w:t>主管法律，應依據本表進行「法案及性別影響評估」，</w:t>
            </w:r>
            <w:r>
              <w:rPr>
                <w:b/>
                <w:spacing w:val="1"/>
                <w:sz w:val="24"/>
              </w:rPr>
              <w:t> </w:t>
            </w:r>
            <w:r>
              <w:rPr>
                <w:b/>
                <w:sz w:val="24"/>
              </w:rPr>
              <w:t>附案報院審議。但廢止案及配合行政院組織改造整批處理之法律案，不在此限。</w:t>
            </w:r>
          </w:p>
          <w:p>
            <w:pPr>
              <w:pStyle w:val="TableParagraph"/>
              <w:spacing w:line="242" w:lineRule="auto" w:before="3"/>
              <w:ind w:left="587" w:right="96" w:hanging="480"/>
              <w:jc w:val="both"/>
              <w:rPr>
                <w:b/>
                <w:sz w:val="24"/>
              </w:rPr>
            </w:pPr>
            <w:r>
              <w:rPr>
                <w:b/>
                <w:sz w:val="24"/>
              </w:rPr>
              <w:t>二、建議各單位於法案研擬初期，即先徵詢性別平等專家學者意見；法案研擬完成後，應併</w:t>
            </w:r>
            <w:r>
              <w:rPr>
                <w:b/>
                <w:w w:val="99"/>
                <w:sz w:val="24"/>
              </w:rPr>
              <w:t>同本表送請民間性別平等專家學者進行程序參與（至少預留</w:t>
            </w:r>
            <w:r>
              <w:rPr>
                <w:b/>
                <w:spacing w:val="1"/>
                <w:sz w:val="24"/>
              </w:rPr>
              <w:t> </w:t>
            </w:r>
            <w:r>
              <w:rPr>
                <w:rFonts w:ascii="Calibri" w:eastAsia="Calibri"/>
                <w:b/>
                <w:sz w:val="24"/>
              </w:rPr>
              <w:t>1</w:t>
            </w:r>
            <w:r>
              <w:rPr>
                <w:rFonts w:ascii="Calibri" w:eastAsia="Calibri"/>
                <w:b/>
                <w:spacing w:val="5"/>
                <w:sz w:val="24"/>
              </w:rPr>
              <w:t>  </w:t>
            </w:r>
            <w:r>
              <w:rPr>
                <w:b/>
                <w:w w:val="99"/>
                <w:sz w:val="24"/>
              </w:rPr>
              <w:t>週的填寫時間</w:t>
            </w:r>
            <w:r>
              <w:rPr>
                <w:b/>
                <w:spacing w:val="-120"/>
                <w:w w:val="99"/>
                <w:sz w:val="24"/>
              </w:rPr>
              <w:t>）</w:t>
            </w:r>
            <w:r>
              <w:rPr>
                <w:b/>
                <w:w w:val="99"/>
                <w:sz w:val="24"/>
              </w:rPr>
              <w:t>，參酌其</w:t>
            </w:r>
            <w:r>
              <w:rPr>
                <w:b/>
                <w:sz w:val="24"/>
              </w:rPr>
              <w:t>意見修正法案內容，並填寫「玖、評估結果」後，通知程序參與者。</w:t>
            </w:r>
          </w:p>
          <w:p>
            <w:pPr>
              <w:pStyle w:val="TableParagraph"/>
              <w:spacing w:line="242" w:lineRule="auto" w:before="3"/>
              <w:ind w:left="587" w:right="96" w:hanging="480"/>
              <w:rPr>
                <w:b/>
                <w:sz w:val="24"/>
              </w:rPr>
            </w:pPr>
            <w:r>
              <w:rPr>
                <w:b/>
                <w:sz w:val="24"/>
              </w:rPr>
              <w:t>三、法案經參與程序之民間性別平等專家學者評定有違反性別平等事項，而研擬單位未採納其意見調整者，應提本機關性別平等委員會（小組）討論。</w:t>
            </w:r>
          </w:p>
        </w:tc>
      </w:tr>
      <w:tr>
        <w:trPr>
          <w:trHeight w:val="600" w:hRule="atLeast"/>
        </w:trPr>
        <w:tc>
          <w:tcPr>
            <w:tcW w:w="1540" w:type="dxa"/>
            <w:gridSpan w:val="2"/>
          </w:tcPr>
          <w:p>
            <w:pPr>
              <w:pStyle w:val="TableParagraph"/>
              <w:spacing w:before="169"/>
              <w:ind w:left="-1"/>
              <w:rPr>
                <w:b/>
                <w:sz w:val="24"/>
              </w:rPr>
            </w:pPr>
            <w:r>
              <w:rPr>
                <w:b/>
                <w:w w:val="95"/>
                <w:sz w:val="24"/>
              </w:rPr>
              <w:t>壹、法案名稱</w:t>
            </w:r>
          </w:p>
        </w:tc>
        <w:tc>
          <w:tcPr>
            <w:tcW w:w="8296" w:type="dxa"/>
            <w:gridSpan w:val="5"/>
          </w:tcPr>
          <w:p>
            <w:pPr>
              <w:pStyle w:val="TableParagraph"/>
              <w:spacing w:before="169"/>
              <w:ind w:left="106"/>
              <w:rPr>
                <w:b/>
                <w:sz w:val="24"/>
              </w:rPr>
            </w:pPr>
            <w:r>
              <w:rPr>
                <w:b/>
                <w:w w:val="95"/>
                <w:sz w:val="24"/>
              </w:rPr>
              <w:t>公務人員保障法部分條文修正草案</w:t>
            </w:r>
          </w:p>
        </w:tc>
      </w:tr>
      <w:tr>
        <w:trPr>
          <w:trHeight w:val="599" w:hRule="atLeast"/>
        </w:trPr>
        <w:tc>
          <w:tcPr>
            <w:tcW w:w="1540" w:type="dxa"/>
            <w:gridSpan w:val="2"/>
          </w:tcPr>
          <w:p>
            <w:pPr>
              <w:pStyle w:val="TableParagraph"/>
              <w:spacing w:before="167"/>
              <w:ind w:left="-1"/>
              <w:rPr>
                <w:b/>
                <w:sz w:val="24"/>
              </w:rPr>
            </w:pPr>
            <w:r>
              <w:rPr>
                <w:b/>
                <w:w w:val="95"/>
                <w:sz w:val="24"/>
              </w:rPr>
              <w:t>貳、主管機關</w:t>
            </w:r>
          </w:p>
        </w:tc>
        <w:tc>
          <w:tcPr>
            <w:tcW w:w="3429" w:type="dxa"/>
            <w:gridSpan w:val="2"/>
          </w:tcPr>
          <w:p>
            <w:pPr>
              <w:pStyle w:val="TableParagraph"/>
              <w:spacing w:before="167"/>
              <w:ind w:left="106"/>
              <w:rPr>
                <w:b/>
                <w:sz w:val="24"/>
              </w:rPr>
            </w:pPr>
            <w:r>
              <w:rPr>
                <w:b/>
                <w:w w:val="95"/>
                <w:sz w:val="24"/>
              </w:rPr>
              <w:t>公務人員保障暨培訓委員會</w:t>
            </w:r>
          </w:p>
        </w:tc>
        <w:tc>
          <w:tcPr>
            <w:tcW w:w="1259" w:type="dxa"/>
          </w:tcPr>
          <w:p>
            <w:pPr>
              <w:pStyle w:val="TableParagraph"/>
              <w:spacing w:before="167"/>
              <w:ind w:left="-2"/>
              <w:rPr>
                <w:b/>
                <w:sz w:val="24"/>
              </w:rPr>
            </w:pPr>
            <w:r>
              <w:rPr>
                <w:b/>
                <w:w w:val="95"/>
                <w:sz w:val="24"/>
              </w:rPr>
              <w:t>主辦機關</w:t>
            </w:r>
          </w:p>
        </w:tc>
        <w:tc>
          <w:tcPr>
            <w:tcW w:w="3608" w:type="dxa"/>
            <w:gridSpan w:val="2"/>
          </w:tcPr>
          <w:p>
            <w:pPr>
              <w:pStyle w:val="TableParagraph"/>
              <w:spacing w:before="131"/>
              <w:ind w:left="105"/>
              <w:rPr>
                <w:b/>
                <w:sz w:val="24"/>
              </w:rPr>
            </w:pPr>
            <w:r>
              <w:rPr>
                <w:b/>
                <w:w w:val="95"/>
                <w:sz w:val="24"/>
              </w:rPr>
              <w:t>公務人員保障暨培訓委員會</w:t>
            </w:r>
          </w:p>
        </w:tc>
      </w:tr>
      <w:tr>
        <w:trPr>
          <w:trHeight w:val="599" w:hRule="atLeast"/>
        </w:trPr>
        <w:tc>
          <w:tcPr>
            <w:tcW w:w="6498" w:type="dxa"/>
            <w:gridSpan w:val="6"/>
          </w:tcPr>
          <w:p>
            <w:pPr>
              <w:pStyle w:val="TableParagraph"/>
              <w:spacing w:before="167"/>
              <w:ind w:left="-1"/>
              <w:rPr>
                <w:b/>
                <w:sz w:val="24"/>
              </w:rPr>
            </w:pPr>
            <w:r>
              <w:rPr>
                <w:b/>
                <w:w w:val="95"/>
                <w:sz w:val="24"/>
              </w:rPr>
              <w:t>參、法案內容涉及領域：</w:t>
            </w:r>
          </w:p>
        </w:tc>
        <w:tc>
          <w:tcPr>
            <w:tcW w:w="3338" w:type="dxa"/>
          </w:tcPr>
          <w:p>
            <w:pPr>
              <w:pStyle w:val="TableParagraph"/>
              <w:spacing w:before="131"/>
              <w:ind w:left="113"/>
              <w:rPr>
                <w:b/>
                <w:sz w:val="24"/>
              </w:rPr>
            </w:pPr>
            <w:r>
              <w:rPr>
                <w:b/>
                <w:w w:val="95"/>
                <w:sz w:val="24"/>
              </w:rPr>
              <w:t>勾選（可複選）</w:t>
            </w:r>
          </w:p>
        </w:tc>
      </w:tr>
      <w:tr>
        <w:trPr>
          <w:trHeight w:val="360" w:hRule="atLeast"/>
        </w:trPr>
        <w:tc>
          <w:tcPr>
            <w:tcW w:w="6498" w:type="dxa"/>
            <w:gridSpan w:val="6"/>
          </w:tcPr>
          <w:p>
            <w:pPr>
              <w:pStyle w:val="TableParagraph"/>
              <w:spacing w:line="322" w:lineRule="exact" w:before="19"/>
              <w:ind w:left="107"/>
              <w:rPr>
                <w:sz w:val="24"/>
              </w:rPr>
            </w:pPr>
            <w:r>
              <w:rPr>
                <w:rFonts w:ascii="Calibri" w:hAnsi="Calibri" w:eastAsia="Calibri"/>
                <w:sz w:val="24"/>
              </w:rPr>
              <w:t>3‐1</w:t>
            </w:r>
            <w:r>
              <w:rPr>
                <w:rFonts w:ascii="Calibri" w:hAnsi="Calibri" w:eastAsia="Calibri"/>
                <w:spacing w:val="10"/>
                <w:sz w:val="24"/>
              </w:rPr>
              <w:t> </w:t>
            </w:r>
            <w:r>
              <w:rPr>
                <w:sz w:val="24"/>
              </w:rPr>
              <w:t>組織</w:t>
            </w:r>
          </w:p>
        </w:tc>
        <w:tc>
          <w:tcPr>
            <w:tcW w:w="3338" w:type="dxa"/>
          </w:tcPr>
          <w:p>
            <w:pPr>
              <w:pStyle w:val="TableParagraph"/>
              <w:rPr>
                <w:rFonts w:ascii="Times New Roman"/>
                <w:sz w:val="24"/>
              </w:rPr>
            </w:pPr>
          </w:p>
        </w:tc>
      </w:tr>
      <w:tr>
        <w:trPr>
          <w:trHeight w:val="359" w:hRule="atLeast"/>
        </w:trPr>
        <w:tc>
          <w:tcPr>
            <w:tcW w:w="6498" w:type="dxa"/>
            <w:gridSpan w:val="6"/>
          </w:tcPr>
          <w:p>
            <w:pPr>
              <w:pStyle w:val="TableParagraph"/>
              <w:spacing w:line="322" w:lineRule="exact" w:before="17"/>
              <w:ind w:left="107"/>
              <w:rPr>
                <w:sz w:val="24"/>
              </w:rPr>
            </w:pPr>
            <w:r>
              <w:rPr>
                <w:rFonts w:ascii="Calibri" w:hAnsi="Calibri" w:eastAsia="Calibri"/>
                <w:sz w:val="24"/>
              </w:rPr>
              <w:t>3‐2</w:t>
            </w:r>
            <w:r>
              <w:rPr>
                <w:rFonts w:ascii="Calibri" w:hAnsi="Calibri" w:eastAsia="Calibri"/>
                <w:spacing w:val="10"/>
                <w:sz w:val="24"/>
              </w:rPr>
              <w:t> </w:t>
            </w:r>
            <w:r>
              <w:rPr>
                <w:sz w:val="24"/>
              </w:rPr>
              <w:t>考選</w:t>
            </w:r>
          </w:p>
        </w:tc>
        <w:tc>
          <w:tcPr>
            <w:tcW w:w="3338" w:type="dxa"/>
          </w:tcPr>
          <w:p>
            <w:pPr>
              <w:pStyle w:val="TableParagraph"/>
              <w:rPr>
                <w:rFonts w:ascii="Times New Roman"/>
                <w:sz w:val="24"/>
              </w:rPr>
            </w:pPr>
          </w:p>
        </w:tc>
      </w:tr>
      <w:tr>
        <w:trPr>
          <w:trHeight w:val="359" w:hRule="atLeast"/>
        </w:trPr>
        <w:tc>
          <w:tcPr>
            <w:tcW w:w="6498" w:type="dxa"/>
            <w:gridSpan w:val="6"/>
          </w:tcPr>
          <w:p>
            <w:pPr>
              <w:pStyle w:val="TableParagraph"/>
              <w:spacing w:line="321" w:lineRule="exact" w:before="19"/>
              <w:ind w:left="107"/>
              <w:rPr>
                <w:sz w:val="24"/>
              </w:rPr>
            </w:pPr>
            <w:r>
              <w:rPr>
                <w:rFonts w:ascii="Calibri" w:hAnsi="Calibri" w:eastAsia="Calibri"/>
                <w:sz w:val="24"/>
              </w:rPr>
              <w:t>3‐3</w:t>
            </w:r>
            <w:r>
              <w:rPr>
                <w:rFonts w:ascii="Calibri" w:hAnsi="Calibri" w:eastAsia="Calibri"/>
                <w:spacing w:val="10"/>
                <w:sz w:val="24"/>
              </w:rPr>
              <w:t> </w:t>
            </w:r>
            <w:r>
              <w:rPr>
                <w:sz w:val="24"/>
              </w:rPr>
              <w:t>銓敘</w:t>
            </w:r>
          </w:p>
        </w:tc>
        <w:tc>
          <w:tcPr>
            <w:tcW w:w="3338" w:type="dxa"/>
          </w:tcPr>
          <w:p>
            <w:pPr>
              <w:pStyle w:val="TableParagraph"/>
              <w:rPr>
                <w:rFonts w:ascii="Times New Roman"/>
                <w:sz w:val="24"/>
              </w:rPr>
            </w:pPr>
          </w:p>
        </w:tc>
      </w:tr>
      <w:tr>
        <w:trPr>
          <w:trHeight w:val="360" w:hRule="atLeast"/>
        </w:trPr>
        <w:tc>
          <w:tcPr>
            <w:tcW w:w="6498" w:type="dxa"/>
            <w:gridSpan w:val="6"/>
          </w:tcPr>
          <w:p>
            <w:pPr>
              <w:pStyle w:val="TableParagraph"/>
              <w:spacing w:line="322" w:lineRule="exact" w:before="19"/>
              <w:ind w:left="107"/>
              <w:rPr>
                <w:sz w:val="24"/>
              </w:rPr>
            </w:pPr>
            <w:r>
              <w:rPr>
                <w:rFonts w:ascii="Calibri" w:hAnsi="Calibri" w:eastAsia="Calibri"/>
                <w:sz w:val="24"/>
              </w:rPr>
              <w:t>3‐4</w:t>
            </w:r>
            <w:r>
              <w:rPr>
                <w:rFonts w:ascii="Calibri" w:hAnsi="Calibri" w:eastAsia="Calibri"/>
                <w:spacing w:val="10"/>
                <w:sz w:val="24"/>
              </w:rPr>
              <w:t> </w:t>
            </w:r>
            <w:r>
              <w:rPr>
                <w:sz w:val="24"/>
              </w:rPr>
              <w:t>保障、培訓</w:t>
            </w:r>
          </w:p>
        </w:tc>
        <w:tc>
          <w:tcPr>
            <w:tcW w:w="3338" w:type="dxa"/>
          </w:tcPr>
          <w:p>
            <w:pPr>
              <w:pStyle w:val="TableParagraph"/>
              <w:spacing w:line="329" w:lineRule="exact" w:before="11"/>
              <w:ind w:left="113"/>
              <w:rPr>
                <w:sz w:val="24"/>
              </w:rPr>
            </w:pPr>
            <w:r>
              <w:rPr>
                <w:sz w:val="24"/>
              </w:rPr>
              <w:t>Ｖ</w:t>
            </w:r>
          </w:p>
        </w:tc>
      </w:tr>
      <w:tr>
        <w:trPr>
          <w:trHeight w:val="359" w:hRule="atLeast"/>
        </w:trPr>
        <w:tc>
          <w:tcPr>
            <w:tcW w:w="6498" w:type="dxa"/>
            <w:gridSpan w:val="6"/>
          </w:tcPr>
          <w:p>
            <w:pPr>
              <w:pStyle w:val="TableParagraph"/>
              <w:spacing w:line="322" w:lineRule="exact" w:before="17"/>
              <w:ind w:left="107"/>
              <w:rPr>
                <w:sz w:val="24"/>
              </w:rPr>
            </w:pPr>
            <w:r>
              <w:rPr>
                <w:rFonts w:ascii="Calibri" w:hAnsi="Calibri" w:eastAsia="Calibri"/>
                <w:sz w:val="24"/>
              </w:rPr>
              <w:t>3‐5</w:t>
            </w:r>
            <w:r>
              <w:rPr>
                <w:rFonts w:ascii="Calibri" w:hAnsi="Calibri" w:eastAsia="Calibri"/>
                <w:spacing w:val="10"/>
                <w:sz w:val="24"/>
              </w:rPr>
              <w:t> </w:t>
            </w:r>
            <w:r>
              <w:rPr>
                <w:sz w:val="24"/>
              </w:rPr>
              <w:t>退撫基金管理及監理</w:t>
            </w:r>
          </w:p>
        </w:tc>
        <w:tc>
          <w:tcPr>
            <w:tcW w:w="3338" w:type="dxa"/>
          </w:tcPr>
          <w:p>
            <w:pPr>
              <w:pStyle w:val="TableParagraph"/>
              <w:rPr>
                <w:rFonts w:ascii="Times New Roman"/>
                <w:sz w:val="24"/>
              </w:rPr>
            </w:pPr>
          </w:p>
        </w:tc>
      </w:tr>
      <w:tr>
        <w:trPr>
          <w:trHeight w:val="359" w:hRule="atLeast"/>
        </w:trPr>
        <w:tc>
          <w:tcPr>
            <w:tcW w:w="6498" w:type="dxa"/>
            <w:gridSpan w:val="6"/>
          </w:tcPr>
          <w:p>
            <w:pPr>
              <w:pStyle w:val="TableParagraph"/>
              <w:spacing w:line="328" w:lineRule="exact" w:before="11"/>
              <w:ind w:left="107"/>
              <w:rPr>
                <w:sz w:val="24"/>
              </w:rPr>
            </w:pPr>
            <w:r>
              <w:rPr>
                <w:rFonts w:ascii="Calibri" w:hAnsi="Calibri" w:eastAsia="Calibri"/>
                <w:sz w:val="24"/>
              </w:rPr>
              <w:t>3‐6</w:t>
            </w:r>
            <w:r>
              <w:rPr>
                <w:rFonts w:ascii="Calibri" w:hAnsi="Calibri" w:eastAsia="Calibri"/>
                <w:spacing w:val="10"/>
                <w:sz w:val="24"/>
              </w:rPr>
              <w:t> </w:t>
            </w:r>
            <w:r>
              <w:rPr>
                <w:sz w:val="24"/>
              </w:rPr>
              <w:t>其他（勾選「其他」欄位者，請簡述法律案涉及領域）</w:t>
            </w:r>
          </w:p>
        </w:tc>
        <w:tc>
          <w:tcPr>
            <w:tcW w:w="3338" w:type="dxa"/>
          </w:tcPr>
          <w:p>
            <w:pPr>
              <w:pStyle w:val="TableParagraph"/>
              <w:rPr>
                <w:rFonts w:ascii="Times New Roman"/>
                <w:sz w:val="24"/>
              </w:rPr>
            </w:pPr>
          </w:p>
        </w:tc>
      </w:tr>
      <w:tr>
        <w:trPr>
          <w:trHeight w:val="360" w:hRule="atLeast"/>
        </w:trPr>
        <w:tc>
          <w:tcPr>
            <w:tcW w:w="9836" w:type="dxa"/>
            <w:gridSpan w:val="7"/>
          </w:tcPr>
          <w:p>
            <w:pPr>
              <w:pStyle w:val="TableParagraph"/>
              <w:spacing w:line="304" w:lineRule="exact" w:before="37"/>
              <w:ind w:left="-1"/>
              <w:rPr>
                <w:b/>
                <w:sz w:val="24"/>
              </w:rPr>
            </w:pPr>
            <w:r>
              <w:rPr>
                <w:b/>
                <w:w w:val="95"/>
                <w:sz w:val="24"/>
              </w:rPr>
              <w:t>肆、問題界定與訂修需求</w:t>
            </w:r>
          </w:p>
        </w:tc>
      </w:tr>
      <w:tr>
        <w:trPr>
          <w:trHeight w:val="311" w:hRule="atLeast"/>
        </w:trPr>
        <w:tc>
          <w:tcPr>
            <w:tcW w:w="2763" w:type="dxa"/>
            <w:gridSpan w:val="3"/>
          </w:tcPr>
          <w:p>
            <w:pPr>
              <w:pStyle w:val="TableParagraph"/>
              <w:spacing w:line="292" w:lineRule="exact"/>
              <w:ind w:left="71"/>
              <w:rPr>
                <w:b/>
                <w:sz w:val="24"/>
              </w:rPr>
            </w:pPr>
            <w:r>
              <w:rPr>
                <w:b/>
                <w:spacing w:val="40"/>
                <w:sz w:val="24"/>
              </w:rPr>
              <w:t>項 目</w:t>
            </w:r>
          </w:p>
        </w:tc>
        <w:tc>
          <w:tcPr>
            <w:tcW w:w="3735" w:type="dxa"/>
            <w:gridSpan w:val="3"/>
          </w:tcPr>
          <w:p>
            <w:pPr>
              <w:pStyle w:val="TableParagraph"/>
              <w:spacing w:line="292" w:lineRule="exact"/>
              <w:rPr>
                <w:b/>
                <w:sz w:val="24"/>
              </w:rPr>
            </w:pPr>
            <w:r>
              <w:rPr>
                <w:b/>
                <w:spacing w:val="40"/>
                <w:sz w:val="24"/>
              </w:rPr>
              <w:t>說 明</w:t>
            </w:r>
          </w:p>
        </w:tc>
        <w:tc>
          <w:tcPr>
            <w:tcW w:w="3338" w:type="dxa"/>
          </w:tcPr>
          <w:p>
            <w:pPr>
              <w:pStyle w:val="TableParagraph"/>
              <w:spacing w:line="292" w:lineRule="exact"/>
              <w:ind w:left="-8"/>
              <w:rPr>
                <w:b/>
                <w:sz w:val="24"/>
              </w:rPr>
            </w:pPr>
            <w:r>
              <w:rPr>
                <w:b/>
                <w:spacing w:val="40"/>
                <w:sz w:val="24"/>
              </w:rPr>
              <w:t>備 註</w:t>
            </w:r>
          </w:p>
        </w:tc>
      </w:tr>
      <w:tr>
        <w:trPr>
          <w:trHeight w:val="3240" w:hRule="atLeast"/>
        </w:trPr>
        <w:tc>
          <w:tcPr>
            <w:tcW w:w="826" w:type="dxa"/>
          </w:tcPr>
          <w:p>
            <w:pPr>
              <w:pStyle w:val="TableParagraph"/>
              <w:spacing w:before="35"/>
              <w:ind w:left="71"/>
              <w:rPr>
                <w:b/>
                <w:sz w:val="24"/>
              </w:rPr>
            </w:pPr>
            <w:r>
              <w:rPr>
                <w:rFonts w:ascii="Calibri" w:hAnsi="Calibri" w:eastAsia="Calibri"/>
                <w:b/>
                <w:sz w:val="24"/>
              </w:rPr>
              <w:t>4‐1</w:t>
            </w:r>
            <w:r>
              <w:rPr>
                <w:rFonts w:ascii="Calibri" w:hAnsi="Calibri" w:eastAsia="Calibri"/>
                <w:b/>
                <w:spacing w:val="54"/>
                <w:sz w:val="24"/>
              </w:rPr>
              <w:t> </w:t>
            </w:r>
            <w:r>
              <w:rPr>
                <w:b/>
                <w:sz w:val="24"/>
              </w:rPr>
              <w:t>問</w:t>
            </w:r>
          </w:p>
          <w:p>
            <w:pPr>
              <w:pStyle w:val="TableParagraph"/>
              <w:spacing w:line="256" w:lineRule="auto" w:before="25"/>
              <w:ind w:left="472" w:right="101"/>
              <w:jc w:val="both"/>
              <w:rPr>
                <w:b/>
                <w:sz w:val="24"/>
              </w:rPr>
            </w:pPr>
            <w:r>
              <w:rPr>
                <w:b/>
                <w:sz w:val="24"/>
              </w:rPr>
              <w:t>題界定</w:t>
            </w:r>
          </w:p>
        </w:tc>
        <w:tc>
          <w:tcPr>
            <w:tcW w:w="1937" w:type="dxa"/>
            <w:gridSpan w:val="2"/>
          </w:tcPr>
          <w:p>
            <w:pPr>
              <w:pStyle w:val="TableParagraph"/>
              <w:spacing w:before="35"/>
              <w:ind w:left="70"/>
              <w:rPr>
                <w:b/>
                <w:sz w:val="24"/>
              </w:rPr>
            </w:pPr>
            <w:r>
              <w:rPr>
                <w:rFonts w:ascii="Calibri" w:hAnsi="Calibri" w:eastAsia="Calibri"/>
                <w:b/>
                <w:sz w:val="24"/>
              </w:rPr>
              <w:t>4‐1‐1</w:t>
            </w:r>
            <w:r>
              <w:rPr>
                <w:rFonts w:ascii="Calibri" w:hAnsi="Calibri" w:eastAsia="Calibri"/>
                <w:b/>
                <w:spacing w:val="4"/>
                <w:sz w:val="24"/>
              </w:rPr>
              <w:t> </w:t>
            </w:r>
            <w:r>
              <w:rPr>
                <w:b/>
                <w:sz w:val="24"/>
              </w:rPr>
              <w:t>問題描述</w:t>
            </w:r>
          </w:p>
        </w:tc>
        <w:tc>
          <w:tcPr>
            <w:tcW w:w="3735" w:type="dxa"/>
            <w:gridSpan w:val="3"/>
          </w:tcPr>
          <w:p>
            <w:pPr>
              <w:pStyle w:val="TableParagraph"/>
              <w:spacing w:line="256" w:lineRule="auto" w:before="35"/>
              <w:ind w:right="-15"/>
              <w:jc w:val="both"/>
              <w:rPr>
                <w:sz w:val="24"/>
              </w:rPr>
            </w:pPr>
            <w:r>
              <w:rPr>
                <w:spacing w:val="27"/>
                <w:sz w:val="24"/>
              </w:rPr>
              <w:t>公務人員保障法</w:t>
            </w:r>
            <w:r>
              <w:rPr>
                <w:spacing w:val="28"/>
                <w:sz w:val="24"/>
              </w:rPr>
              <w:t>（</w:t>
            </w:r>
            <w:r>
              <w:rPr>
                <w:spacing w:val="22"/>
                <w:sz w:val="24"/>
              </w:rPr>
              <w:t>以下簡稱保障</w:t>
            </w:r>
            <w:r>
              <w:rPr>
                <w:spacing w:val="-1"/>
                <w:sz w:val="24"/>
              </w:rPr>
              <w:t>法）</w:t>
            </w:r>
            <w:r>
              <w:rPr>
                <w:spacing w:val="-21"/>
                <w:sz w:val="24"/>
              </w:rPr>
              <w:t>自 </w:t>
            </w:r>
            <w:r>
              <w:rPr>
                <w:rFonts w:ascii="Calibri" w:eastAsia="Calibri"/>
                <w:sz w:val="24"/>
              </w:rPr>
              <w:t>92</w:t>
            </w:r>
            <w:r>
              <w:rPr>
                <w:rFonts w:ascii="Calibri" w:eastAsia="Calibri"/>
                <w:spacing w:val="25"/>
                <w:sz w:val="24"/>
              </w:rPr>
              <w:t> </w:t>
            </w:r>
            <w:r>
              <w:rPr>
                <w:spacing w:val="-21"/>
                <w:sz w:val="24"/>
              </w:rPr>
              <w:t>年 </w:t>
            </w:r>
            <w:r>
              <w:rPr>
                <w:rFonts w:ascii="Calibri" w:eastAsia="Calibri"/>
                <w:sz w:val="24"/>
              </w:rPr>
              <w:t>5</w:t>
            </w:r>
            <w:r>
              <w:rPr>
                <w:rFonts w:ascii="Calibri" w:eastAsia="Calibri"/>
                <w:spacing w:val="24"/>
                <w:sz w:val="24"/>
              </w:rPr>
              <w:t> </w:t>
            </w:r>
            <w:r>
              <w:rPr>
                <w:spacing w:val="-21"/>
                <w:sz w:val="24"/>
              </w:rPr>
              <w:t>月 </w:t>
            </w:r>
            <w:r>
              <w:rPr>
                <w:rFonts w:ascii="Calibri" w:eastAsia="Calibri"/>
                <w:sz w:val="24"/>
              </w:rPr>
              <w:t>28</w:t>
            </w:r>
            <w:r>
              <w:rPr>
                <w:rFonts w:ascii="Calibri" w:eastAsia="Calibri"/>
                <w:spacing w:val="26"/>
                <w:sz w:val="24"/>
              </w:rPr>
              <w:t> </w:t>
            </w:r>
            <w:r>
              <w:rPr>
                <w:sz w:val="24"/>
              </w:rPr>
              <w:t>日修正公布迄</w:t>
            </w:r>
          </w:p>
          <w:p>
            <w:pPr>
              <w:pStyle w:val="TableParagraph"/>
              <w:spacing w:line="256" w:lineRule="auto" w:before="2"/>
              <w:ind w:right="-15"/>
              <w:jc w:val="both"/>
              <w:rPr>
                <w:sz w:val="24"/>
              </w:rPr>
            </w:pPr>
            <w:r>
              <w:rPr>
                <w:spacing w:val="-16"/>
                <w:sz w:val="24"/>
              </w:rPr>
              <w:t>今已逾 </w:t>
            </w:r>
            <w:r>
              <w:rPr>
                <w:rFonts w:ascii="Calibri" w:eastAsia="Calibri"/>
                <w:sz w:val="24"/>
              </w:rPr>
              <w:t>10</w:t>
            </w:r>
            <w:r>
              <w:rPr>
                <w:rFonts w:ascii="Calibri" w:eastAsia="Calibri"/>
                <w:spacing w:val="6"/>
                <w:sz w:val="24"/>
              </w:rPr>
              <w:t> </w:t>
            </w:r>
            <w:r>
              <w:rPr>
                <w:sz w:val="24"/>
              </w:rPr>
              <w:t>餘年；期間除人事法規、行政程序法及行政救濟法規，已有諸多變革外，且實務上有若干問題亟待解決，例如考試錄取人員是否納為保障法之準用對象、是否增訂辭職之保障規定、是否增訂公法上</w:t>
            </w:r>
          </w:p>
          <w:p>
            <w:pPr>
              <w:pStyle w:val="TableParagraph"/>
              <w:spacing w:line="305" w:lineRule="exact" w:before="6"/>
              <w:ind w:right="-15"/>
              <w:rPr>
                <w:sz w:val="24"/>
              </w:rPr>
            </w:pPr>
            <w:r>
              <w:rPr>
                <w:sz w:val="24"/>
              </w:rPr>
              <w:t>財產請求權之消滅時效期間、是否</w:t>
            </w:r>
          </w:p>
        </w:tc>
        <w:tc>
          <w:tcPr>
            <w:tcW w:w="3338" w:type="dxa"/>
          </w:tcPr>
          <w:p>
            <w:pPr>
              <w:pStyle w:val="TableParagraph"/>
              <w:spacing w:before="35"/>
              <w:ind w:left="-8"/>
              <w:rPr>
                <w:sz w:val="24"/>
              </w:rPr>
            </w:pPr>
            <w:r>
              <w:rPr>
                <w:sz w:val="24"/>
              </w:rPr>
              <w:t>簡要說明所面臨問題之梗概。</w:t>
            </w:r>
          </w:p>
        </w:tc>
      </w:tr>
    </w:tbl>
    <w:p>
      <w:pPr>
        <w:spacing w:after="0"/>
        <w:rPr>
          <w:sz w:val="24"/>
        </w:rPr>
        <w:sectPr>
          <w:footerReference w:type="default" r:id="rId5"/>
          <w:type w:val="continuous"/>
          <w:pgSz w:w="11910" w:h="16840"/>
          <w:pgMar w:footer="918" w:top="1080" w:bottom="1100" w:left="880" w:right="900"/>
          <w:pgNumType w:start="1"/>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27"/>
        <w:gridCol w:w="3345"/>
      </w:tblGrid>
      <w:tr>
        <w:trPr>
          <w:trHeight w:val="1079" w:hRule="atLeast"/>
        </w:trPr>
        <w:tc>
          <w:tcPr>
            <w:tcW w:w="826" w:type="dxa"/>
            <w:vMerge w:val="restart"/>
          </w:tcPr>
          <w:p>
            <w:pPr>
              <w:pStyle w:val="TableParagraph"/>
              <w:rPr>
                <w:rFonts w:ascii="Times New Roman"/>
                <w:sz w:val="24"/>
              </w:rPr>
            </w:pPr>
          </w:p>
        </w:tc>
        <w:tc>
          <w:tcPr>
            <w:tcW w:w="1937" w:type="dxa"/>
          </w:tcPr>
          <w:p>
            <w:pPr>
              <w:pStyle w:val="TableParagraph"/>
              <w:rPr>
                <w:rFonts w:ascii="Times New Roman"/>
                <w:sz w:val="24"/>
              </w:rPr>
            </w:pPr>
          </w:p>
        </w:tc>
        <w:tc>
          <w:tcPr>
            <w:tcW w:w="3727" w:type="dxa"/>
          </w:tcPr>
          <w:p>
            <w:pPr>
              <w:pStyle w:val="TableParagraph"/>
              <w:spacing w:line="360" w:lineRule="atLeast"/>
              <w:ind w:right="-29"/>
              <w:jc w:val="both"/>
              <w:rPr>
                <w:sz w:val="24"/>
              </w:rPr>
            </w:pPr>
            <w:r>
              <w:rPr>
                <w:sz w:val="24"/>
              </w:rPr>
              <w:t>增訂復審救濟之類型、調處程序是否擴大適用於復審事件及再審議事件之適用範圍等。</w:t>
            </w:r>
          </w:p>
        </w:tc>
        <w:tc>
          <w:tcPr>
            <w:tcW w:w="3345" w:type="dxa"/>
          </w:tcPr>
          <w:p>
            <w:pPr>
              <w:pStyle w:val="TableParagraph"/>
              <w:rPr>
                <w:rFonts w:ascii="Times New Roman"/>
                <w:sz w:val="24"/>
              </w:rPr>
            </w:pPr>
          </w:p>
        </w:tc>
      </w:tr>
      <w:tr>
        <w:trPr>
          <w:trHeight w:val="13320" w:hRule="atLeast"/>
        </w:trPr>
        <w:tc>
          <w:tcPr>
            <w:tcW w:w="826" w:type="dxa"/>
            <w:vMerge/>
            <w:tcBorders>
              <w:top w:val="nil"/>
            </w:tcBorders>
          </w:tcPr>
          <w:p>
            <w:pPr>
              <w:rPr>
                <w:sz w:val="2"/>
                <w:szCs w:val="2"/>
              </w:rPr>
            </w:pPr>
          </w:p>
        </w:tc>
        <w:tc>
          <w:tcPr>
            <w:tcW w:w="1937" w:type="dxa"/>
          </w:tcPr>
          <w:p>
            <w:pPr>
              <w:pStyle w:val="TableParagraph"/>
              <w:spacing w:before="30"/>
              <w:ind w:left="70"/>
              <w:rPr>
                <w:b/>
                <w:sz w:val="24"/>
              </w:rPr>
            </w:pPr>
            <w:r>
              <w:rPr>
                <w:rFonts w:ascii="Calibri" w:hAnsi="Calibri" w:eastAsia="Calibri"/>
                <w:b/>
                <w:sz w:val="24"/>
              </w:rPr>
              <w:t>4‐1‐2</w:t>
            </w:r>
            <w:r>
              <w:rPr>
                <w:rFonts w:ascii="Calibri" w:hAnsi="Calibri" w:eastAsia="Calibri"/>
                <w:b/>
                <w:spacing w:val="10"/>
                <w:sz w:val="24"/>
              </w:rPr>
              <w:t> </w:t>
            </w:r>
            <w:r>
              <w:rPr>
                <w:b/>
                <w:sz w:val="24"/>
              </w:rPr>
              <w:t>執行現況及</w:t>
            </w:r>
          </w:p>
          <w:p>
            <w:pPr>
              <w:pStyle w:val="TableParagraph"/>
              <w:spacing w:line="256" w:lineRule="auto" w:before="25"/>
              <w:ind w:left="659" w:right="-15"/>
              <w:rPr>
                <w:b/>
                <w:sz w:val="24"/>
              </w:rPr>
            </w:pPr>
            <w:r>
              <w:rPr>
                <w:b/>
                <w:spacing w:val="57"/>
                <w:sz w:val="24"/>
              </w:rPr>
              <w:t>問題之分</w:t>
            </w:r>
            <w:r>
              <w:rPr>
                <w:b/>
                <w:sz w:val="24"/>
              </w:rPr>
              <w:t>析</w:t>
            </w:r>
          </w:p>
        </w:tc>
        <w:tc>
          <w:tcPr>
            <w:tcW w:w="3727" w:type="dxa"/>
          </w:tcPr>
          <w:p>
            <w:pPr>
              <w:pStyle w:val="TableParagraph"/>
              <w:spacing w:line="256" w:lineRule="auto" w:before="30"/>
              <w:ind w:left="480" w:right="-15" w:hanging="480"/>
              <w:rPr>
                <w:b/>
                <w:sz w:val="24"/>
              </w:rPr>
            </w:pPr>
            <w:r>
              <w:rPr>
                <w:sz w:val="24"/>
              </w:rPr>
              <w:t>一、</w:t>
            </w:r>
            <w:r>
              <w:rPr>
                <w:b/>
                <w:sz w:val="24"/>
              </w:rPr>
              <w:t>刪除占缺參加學習或訓練之考試錄取人員為保障對象</w:t>
            </w:r>
          </w:p>
          <w:p>
            <w:pPr>
              <w:pStyle w:val="TableParagraph"/>
              <w:spacing w:line="256" w:lineRule="auto" w:before="2"/>
              <w:ind w:left="826" w:right="-29" w:hanging="720"/>
              <w:jc w:val="both"/>
              <w:rPr>
                <w:sz w:val="24"/>
              </w:rPr>
            </w:pPr>
            <w:r>
              <w:rPr>
                <w:spacing w:val="-1"/>
                <w:sz w:val="24"/>
              </w:rPr>
              <w:t>（一</w:t>
            </w:r>
            <w:r>
              <w:rPr>
                <w:sz w:val="24"/>
              </w:rPr>
              <w:t>）</w:t>
            </w:r>
            <w:r>
              <w:rPr>
                <w:spacing w:val="-9"/>
                <w:sz w:val="24"/>
              </w:rPr>
              <w:t>現行保障法第 </w:t>
            </w:r>
            <w:r>
              <w:rPr>
                <w:rFonts w:ascii="Calibri" w:eastAsia="Calibri"/>
                <w:sz w:val="24"/>
              </w:rPr>
              <w:t>102</w:t>
            </w:r>
            <w:r>
              <w:rPr>
                <w:rFonts w:ascii="Calibri" w:eastAsia="Calibri"/>
                <w:spacing w:val="8"/>
                <w:sz w:val="24"/>
              </w:rPr>
              <w:t> </w:t>
            </w:r>
            <w:r>
              <w:rPr>
                <w:spacing w:val="-19"/>
                <w:sz w:val="24"/>
              </w:rPr>
              <w:t>條第 </w:t>
            </w:r>
            <w:r>
              <w:rPr>
                <w:rFonts w:ascii="Calibri" w:eastAsia="Calibri"/>
                <w:sz w:val="24"/>
              </w:rPr>
              <w:t>5</w:t>
            </w:r>
            <w:r>
              <w:rPr>
                <w:rFonts w:ascii="Calibri" w:eastAsia="Calibri"/>
                <w:spacing w:val="8"/>
                <w:sz w:val="24"/>
              </w:rPr>
              <w:t> </w:t>
            </w:r>
            <w:r>
              <w:rPr>
                <w:sz w:val="24"/>
              </w:rPr>
              <w:t>款僅規定，應各種公務人員考試錄取「占法定機關、公立學校編制職缺」，參加學習或訓練之人員（以下簡稱占</w:t>
            </w:r>
            <w:r>
              <w:rPr>
                <w:spacing w:val="12"/>
                <w:sz w:val="24"/>
              </w:rPr>
              <w:t>缺訓練人員</w:t>
            </w:r>
            <w:r>
              <w:rPr>
                <w:spacing w:val="-107"/>
                <w:sz w:val="24"/>
              </w:rPr>
              <w:t>）</w:t>
            </w:r>
            <w:r>
              <w:rPr>
                <w:spacing w:val="10"/>
                <w:sz w:val="24"/>
              </w:rPr>
              <w:t>，為保障法之</w:t>
            </w:r>
            <w:r>
              <w:rPr>
                <w:sz w:val="24"/>
              </w:rPr>
              <w:t>準用對象。</w:t>
            </w:r>
          </w:p>
          <w:p>
            <w:pPr>
              <w:pStyle w:val="TableParagraph"/>
              <w:spacing w:line="256" w:lineRule="auto" w:before="6"/>
              <w:ind w:left="826" w:right="-15" w:hanging="720"/>
              <w:jc w:val="both"/>
              <w:rPr>
                <w:sz w:val="24"/>
              </w:rPr>
            </w:pPr>
            <w:r>
              <w:rPr>
                <w:spacing w:val="-1"/>
                <w:sz w:val="24"/>
              </w:rPr>
              <w:t>（二）</w:t>
            </w:r>
            <w:r>
              <w:rPr>
                <w:spacing w:val="-12"/>
                <w:sz w:val="24"/>
              </w:rPr>
              <w:t>惟自民國 </w:t>
            </w:r>
            <w:r>
              <w:rPr>
                <w:rFonts w:ascii="Calibri" w:eastAsia="Calibri"/>
                <w:spacing w:val="-1"/>
                <w:sz w:val="24"/>
              </w:rPr>
              <w:t>106</w:t>
            </w:r>
            <w:r>
              <w:rPr>
                <w:rFonts w:ascii="Calibri" w:eastAsia="Calibri"/>
                <w:spacing w:val="12"/>
                <w:sz w:val="24"/>
              </w:rPr>
              <w:t> </w:t>
            </w:r>
            <w:r>
              <w:rPr>
                <w:spacing w:val="-1"/>
                <w:sz w:val="24"/>
              </w:rPr>
              <w:t>年起公務人員</w:t>
            </w:r>
            <w:r>
              <w:rPr>
                <w:sz w:val="24"/>
              </w:rPr>
              <w:t>考試錄取人員訓練，將全面實施未占缺訓練，是時將無占缺訓練人員，原第五款︰</w:t>
            </w:r>
          </w:p>
          <w:p>
            <w:pPr>
              <w:pStyle w:val="TableParagraph"/>
              <w:spacing w:line="256" w:lineRule="auto" w:before="4"/>
              <w:ind w:left="826" w:right="-44"/>
              <w:jc w:val="both"/>
              <w:rPr>
                <w:sz w:val="24"/>
              </w:rPr>
            </w:pPr>
            <w:r>
              <w:rPr>
                <w:sz w:val="24"/>
              </w:rPr>
              <w:t>「應各種公務人員考試錄取占法定機關、公立學校編制</w:t>
            </w:r>
            <w:r>
              <w:rPr>
                <w:spacing w:val="25"/>
                <w:sz w:val="24"/>
              </w:rPr>
              <w:t>職缺參加學習或訓練之人</w:t>
            </w:r>
            <w:r>
              <w:rPr>
                <w:sz w:val="24"/>
              </w:rPr>
              <w:t>員。」準用本法之規定，形同具文。復以考試錄取人員於訓練期間，尚未取得公務人員資格，與國家尚不具有公法上職務關係，爰有排除</w:t>
            </w:r>
            <w:r>
              <w:rPr>
                <w:spacing w:val="25"/>
                <w:sz w:val="24"/>
              </w:rPr>
              <w:t>渠等人員適用保障法之必</w:t>
            </w:r>
            <w:r>
              <w:rPr>
                <w:sz w:val="24"/>
              </w:rPr>
              <w:t>要。</w:t>
            </w:r>
          </w:p>
          <w:p>
            <w:pPr>
              <w:pStyle w:val="TableParagraph"/>
              <w:spacing w:line="256" w:lineRule="auto" w:before="9"/>
              <w:ind w:left="586" w:right="-15" w:hanging="480"/>
              <w:rPr>
                <w:b/>
                <w:sz w:val="24"/>
              </w:rPr>
            </w:pPr>
            <w:r>
              <w:rPr>
                <w:b/>
                <w:sz w:val="24"/>
              </w:rPr>
              <w:t>二、未規範公務人員辭職之保障規定</w:t>
            </w:r>
          </w:p>
          <w:p>
            <w:pPr>
              <w:pStyle w:val="TableParagraph"/>
              <w:spacing w:line="256" w:lineRule="auto" w:before="1"/>
              <w:ind w:left="826" w:right="-15" w:hanging="720"/>
              <w:jc w:val="both"/>
              <w:rPr>
                <w:sz w:val="24"/>
              </w:rPr>
            </w:pPr>
            <w:r>
              <w:rPr>
                <w:sz w:val="24"/>
              </w:rPr>
              <w:t>（一）現行人事法規，並無辭職相關規定，致實務上時有服務機關不同意公務人員申請辭職之情事發生。</w:t>
            </w:r>
          </w:p>
          <w:p>
            <w:pPr>
              <w:pStyle w:val="TableParagraph"/>
              <w:spacing w:line="256" w:lineRule="auto" w:before="4"/>
              <w:ind w:left="826" w:right="-15" w:hanging="720"/>
              <w:jc w:val="both"/>
              <w:rPr>
                <w:sz w:val="24"/>
              </w:rPr>
            </w:pPr>
            <w:r>
              <w:rPr>
                <w:sz w:val="24"/>
              </w:rPr>
              <w:t>（二）憲法既已明定人民有服公職之權利，亦應肯定人民有不服公職之權利。因此，為避免公務人員受制於機關首長之人事任用權，而無法依其生涯規劃或個人意願行使其辭職權利，爰有增訂公務人</w:t>
            </w:r>
          </w:p>
          <w:p>
            <w:pPr>
              <w:pStyle w:val="TableParagraph"/>
              <w:spacing w:line="310" w:lineRule="exact" w:before="6"/>
              <w:ind w:left="826"/>
              <w:rPr>
                <w:sz w:val="24"/>
              </w:rPr>
            </w:pPr>
            <w:r>
              <w:rPr>
                <w:sz w:val="24"/>
              </w:rPr>
              <w:t>員辭職規定之必要。</w:t>
            </w:r>
          </w:p>
        </w:tc>
        <w:tc>
          <w:tcPr>
            <w:tcW w:w="3345" w:type="dxa"/>
          </w:tcPr>
          <w:p>
            <w:pPr>
              <w:pStyle w:val="TableParagraph"/>
              <w:numPr>
                <w:ilvl w:val="0"/>
                <w:numId w:val="1"/>
              </w:numPr>
              <w:tabs>
                <w:tab w:pos="206" w:val="left" w:leader="none"/>
              </w:tabs>
              <w:spacing w:line="256" w:lineRule="auto" w:before="30" w:after="0"/>
              <w:ind w:left="190" w:right="57" w:hanging="183"/>
              <w:jc w:val="left"/>
              <w:rPr>
                <w:sz w:val="24"/>
              </w:rPr>
            </w:pPr>
            <w:r>
              <w:rPr>
                <w:spacing w:val="15"/>
                <w:sz w:val="24"/>
              </w:rPr>
              <w:t>業務推動執行時，遭遇問題</w:t>
            </w:r>
            <w:r>
              <w:rPr>
                <w:sz w:val="24"/>
              </w:rPr>
              <w:t>之原因分析。</w:t>
            </w:r>
          </w:p>
          <w:p>
            <w:pPr>
              <w:pStyle w:val="TableParagraph"/>
              <w:numPr>
                <w:ilvl w:val="0"/>
                <w:numId w:val="1"/>
              </w:numPr>
              <w:tabs>
                <w:tab w:pos="206" w:val="left" w:leader="none"/>
              </w:tabs>
              <w:spacing w:line="256" w:lineRule="auto" w:before="2" w:after="0"/>
              <w:ind w:left="190" w:right="57" w:hanging="183"/>
              <w:jc w:val="left"/>
              <w:rPr>
                <w:sz w:val="24"/>
              </w:rPr>
            </w:pPr>
            <w:r>
              <w:rPr>
                <w:spacing w:val="15"/>
                <w:sz w:val="24"/>
              </w:rPr>
              <w:t>說明現行法規是否不足、須</w:t>
            </w:r>
            <w:r>
              <w:rPr>
                <w:sz w:val="24"/>
              </w:rPr>
              <w:t>否配合現況或政策調整。</w:t>
            </w:r>
          </w:p>
        </w:tc>
      </w:tr>
    </w:tbl>
    <w:p>
      <w:pPr>
        <w:spacing w:after="0" w:line="256" w:lineRule="auto"/>
        <w:jc w:val="left"/>
        <w:rPr>
          <w:sz w:val="24"/>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27"/>
        <w:gridCol w:w="3345"/>
      </w:tblGrid>
      <w:tr>
        <w:trPr>
          <w:trHeight w:val="14400" w:hRule="atLeast"/>
        </w:trPr>
        <w:tc>
          <w:tcPr>
            <w:tcW w:w="826" w:type="dxa"/>
          </w:tcPr>
          <w:p>
            <w:pPr>
              <w:pStyle w:val="TableParagraph"/>
              <w:rPr>
                <w:rFonts w:ascii="Times New Roman"/>
                <w:sz w:val="24"/>
              </w:rPr>
            </w:pPr>
          </w:p>
        </w:tc>
        <w:tc>
          <w:tcPr>
            <w:tcW w:w="1937" w:type="dxa"/>
          </w:tcPr>
          <w:p>
            <w:pPr>
              <w:pStyle w:val="TableParagraph"/>
              <w:rPr>
                <w:rFonts w:ascii="Times New Roman"/>
                <w:sz w:val="24"/>
              </w:rPr>
            </w:pPr>
          </w:p>
        </w:tc>
        <w:tc>
          <w:tcPr>
            <w:tcW w:w="3727" w:type="dxa"/>
          </w:tcPr>
          <w:p>
            <w:pPr>
              <w:pStyle w:val="TableParagraph"/>
              <w:spacing w:line="256" w:lineRule="auto" w:before="29"/>
              <w:ind w:left="586" w:right="-15" w:hanging="480"/>
              <w:rPr>
                <w:b/>
                <w:sz w:val="24"/>
              </w:rPr>
            </w:pPr>
            <w:r>
              <w:rPr>
                <w:b/>
                <w:sz w:val="24"/>
              </w:rPr>
              <w:t>三、未規範公法上財產請求權之消滅時效期間</w:t>
            </w:r>
          </w:p>
          <w:p>
            <w:pPr>
              <w:pStyle w:val="TableParagraph"/>
              <w:spacing w:line="256" w:lineRule="auto" w:before="2"/>
              <w:ind w:left="826" w:right="-15" w:hanging="720"/>
              <w:jc w:val="both"/>
              <w:rPr>
                <w:rFonts w:ascii="Calibri" w:eastAsia="Calibri"/>
                <w:sz w:val="24"/>
              </w:rPr>
            </w:pPr>
            <w:r>
              <w:rPr>
                <w:sz w:val="24"/>
              </w:rPr>
              <w:t>（一）現行保障法對於保障法本身或保障法授權子法所規定之公法上財產請求權，並未規範消滅時效期間，實務上僅得參照依行政程序法第 </w:t>
            </w:r>
            <w:r>
              <w:rPr>
                <w:rFonts w:ascii="Calibri" w:eastAsia="Calibri"/>
                <w:sz w:val="24"/>
              </w:rPr>
              <w:t>131</w:t>
            </w:r>
          </w:p>
          <w:p>
            <w:pPr>
              <w:pStyle w:val="TableParagraph"/>
              <w:spacing w:line="256" w:lineRule="auto" w:before="5"/>
              <w:ind w:left="826" w:right="-15"/>
              <w:jc w:val="both"/>
              <w:rPr>
                <w:sz w:val="24"/>
              </w:rPr>
            </w:pPr>
            <w:r>
              <w:rPr>
                <w:spacing w:val="-18"/>
                <w:sz w:val="24"/>
              </w:rPr>
              <w:t>條第 </w:t>
            </w:r>
            <w:r>
              <w:rPr>
                <w:rFonts w:ascii="Calibri" w:eastAsia="Calibri"/>
                <w:spacing w:val="-1"/>
                <w:sz w:val="24"/>
              </w:rPr>
              <w:t>1</w:t>
            </w:r>
            <w:r>
              <w:rPr>
                <w:rFonts w:ascii="Calibri" w:eastAsia="Calibri"/>
                <w:spacing w:val="13"/>
                <w:sz w:val="24"/>
              </w:rPr>
              <w:t> </w:t>
            </w:r>
            <w:r>
              <w:rPr>
                <w:spacing w:val="-1"/>
                <w:sz w:val="24"/>
              </w:rPr>
              <w:t>項規定或保障法授權</w:t>
            </w:r>
            <w:r>
              <w:rPr>
                <w:sz w:val="24"/>
              </w:rPr>
              <w:t>訂定之法規命令辦理。</w:t>
            </w:r>
          </w:p>
          <w:p>
            <w:pPr>
              <w:pStyle w:val="TableParagraph"/>
              <w:spacing w:before="1"/>
              <w:ind w:left="105"/>
              <w:jc w:val="both"/>
              <w:rPr>
                <w:sz w:val="24"/>
              </w:rPr>
            </w:pPr>
            <w:r>
              <w:rPr>
                <w:spacing w:val="-2"/>
                <w:sz w:val="24"/>
              </w:rPr>
              <w:t>（二）</w:t>
            </w:r>
            <w:r>
              <w:rPr>
                <w:spacing w:val="-9"/>
                <w:sz w:val="24"/>
              </w:rPr>
              <w:t>依司法院釋字第 </w:t>
            </w:r>
            <w:r>
              <w:rPr>
                <w:rFonts w:ascii="Calibri" w:eastAsia="Calibri"/>
                <w:spacing w:val="-2"/>
                <w:sz w:val="24"/>
              </w:rPr>
              <w:t>474</w:t>
            </w:r>
            <w:r>
              <w:rPr>
                <w:rFonts w:ascii="Calibri" w:eastAsia="Calibri"/>
                <w:spacing w:val="13"/>
                <w:sz w:val="24"/>
              </w:rPr>
              <w:t> </w:t>
            </w:r>
            <w:r>
              <w:rPr>
                <w:spacing w:val="-1"/>
                <w:sz w:val="24"/>
              </w:rPr>
              <w:t>號及第</w:t>
            </w:r>
          </w:p>
          <w:p>
            <w:pPr>
              <w:pStyle w:val="TableParagraph"/>
              <w:spacing w:line="256" w:lineRule="auto" w:before="25"/>
              <w:ind w:left="826" w:right="-44"/>
              <w:jc w:val="both"/>
              <w:rPr>
                <w:sz w:val="24"/>
              </w:rPr>
            </w:pPr>
            <w:r>
              <w:rPr>
                <w:rFonts w:ascii="Calibri" w:eastAsia="Calibri"/>
                <w:sz w:val="24"/>
              </w:rPr>
              <w:t>723</w:t>
            </w:r>
            <w:r>
              <w:rPr>
                <w:rFonts w:ascii="Calibri" w:eastAsia="Calibri"/>
                <w:spacing w:val="18"/>
                <w:sz w:val="24"/>
              </w:rPr>
              <w:t> </w:t>
            </w:r>
            <w:r>
              <w:rPr>
                <w:sz w:val="24"/>
              </w:rPr>
              <w:t>號解釋規定，關於時效制度應由法律明定，不得授權行政機關衡情以法規命令訂定或由行政機關依職權以</w:t>
            </w:r>
            <w:r>
              <w:rPr>
                <w:spacing w:val="25"/>
                <w:sz w:val="24"/>
              </w:rPr>
              <w:t>命令定之。行政程序法第</w:t>
            </w:r>
            <w:r>
              <w:rPr>
                <w:rFonts w:ascii="Calibri" w:eastAsia="Calibri"/>
                <w:spacing w:val="-1"/>
                <w:sz w:val="24"/>
              </w:rPr>
              <w:t>131</w:t>
            </w:r>
            <w:r>
              <w:rPr>
                <w:rFonts w:ascii="Calibri" w:eastAsia="Calibri"/>
                <w:spacing w:val="28"/>
                <w:sz w:val="24"/>
              </w:rPr>
              <w:t> </w:t>
            </w:r>
            <w:r>
              <w:rPr>
                <w:spacing w:val="-12"/>
                <w:sz w:val="24"/>
              </w:rPr>
              <w:t>條第 </w:t>
            </w:r>
            <w:r>
              <w:rPr>
                <w:rFonts w:ascii="Calibri" w:eastAsia="Calibri"/>
                <w:sz w:val="24"/>
              </w:rPr>
              <w:t>1</w:t>
            </w:r>
            <w:r>
              <w:rPr>
                <w:rFonts w:ascii="Calibri" w:eastAsia="Calibri"/>
                <w:spacing w:val="31"/>
                <w:sz w:val="24"/>
              </w:rPr>
              <w:t> </w:t>
            </w:r>
            <w:r>
              <w:rPr>
                <w:sz w:val="24"/>
              </w:rPr>
              <w:t>項雖已規定，人民之公法上請求權消滅時效</w:t>
            </w:r>
            <w:r>
              <w:rPr>
                <w:spacing w:val="1"/>
                <w:sz w:val="24"/>
              </w:rPr>
              <w:t>期間為 </w:t>
            </w:r>
            <w:r>
              <w:rPr>
                <w:rFonts w:ascii="Calibri" w:eastAsia="Calibri"/>
                <w:sz w:val="24"/>
              </w:rPr>
              <w:t>10</w:t>
            </w:r>
            <w:r>
              <w:rPr>
                <w:rFonts w:ascii="Calibri" w:eastAsia="Calibri"/>
                <w:spacing w:val="18"/>
                <w:sz w:val="24"/>
              </w:rPr>
              <w:t> </w:t>
            </w:r>
            <w:r>
              <w:rPr>
                <w:sz w:val="24"/>
              </w:rPr>
              <w:t>年；惟公務人員之公法上財產請求權，得否</w:t>
            </w:r>
            <w:r>
              <w:rPr>
                <w:spacing w:val="11"/>
                <w:sz w:val="24"/>
              </w:rPr>
              <w:t>一體適用該規定， 仍有爭</w:t>
            </w:r>
            <w:r>
              <w:rPr>
                <w:sz w:val="24"/>
              </w:rPr>
              <w:t>議。又公務人員公法上財產請求權消滅時效期間，與公務運作及預算編列、核銷息息相關，爰有增訂之必要。</w:t>
            </w:r>
          </w:p>
          <w:p>
            <w:pPr>
              <w:pStyle w:val="TableParagraph"/>
              <w:spacing w:line="256" w:lineRule="auto" w:before="12"/>
              <w:ind w:left="586" w:right="-15" w:hanging="480"/>
              <w:jc w:val="both"/>
              <w:rPr>
                <w:b/>
                <w:sz w:val="24"/>
              </w:rPr>
            </w:pPr>
            <w:r>
              <w:rPr>
                <w:b/>
                <w:sz w:val="24"/>
              </w:rPr>
              <w:t>四、未周全規範怠於作為之課予義務復審類型，亦未規範拒絕申請之課予義務復審類型</w:t>
            </w:r>
          </w:p>
          <w:p>
            <w:pPr>
              <w:pStyle w:val="TableParagraph"/>
              <w:spacing w:line="256" w:lineRule="auto" w:before="3"/>
              <w:ind w:left="826" w:right="-15" w:hanging="720"/>
              <w:jc w:val="both"/>
              <w:rPr>
                <w:sz w:val="24"/>
              </w:rPr>
            </w:pPr>
            <w:r>
              <w:rPr>
                <w:sz w:val="24"/>
              </w:rPr>
              <w:t>（一）公務人員因原處分機關對其依法申請之案件，於法定期間內應作為而不作為，認為該怠於作為，損害其權利或利益者，雖得依現行保障法</w:t>
            </w:r>
            <w:r>
              <w:rPr>
                <w:spacing w:val="-14"/>
                <w:sz w:val="24"/>
              </w:rPr>
              <w:t>第 </w:t>
            </w:r>
            <w:r>
              <w:rPr>
                <w:rFonts w:ascii="Calibri" w:eastAsia="Calibri"/>
                <w:sz w:val="24"/>
              </w:rPr>
              <w:t>26</w:t>
            </w:r>
            <w:r>
              <w:rPr>
                <w:rFonts w:ascii="Calibri" w:eastAsia="Calibri"/>
                <w:spacing w:val="38"/>
                <w:sz w:val="24"/>
              </w:rPr>
              <w:t> </w:t>
            </w:r>
            <w:r>
              <w:rPr>
                <w:spacing w:val="-9"/>
                <w:sz w:val="24"/>
              </w:rPr>
              <w:t>條第 </w:t>
            </w:r>
            <w:r>
              <w:rPr>
                <w:rFonts w:ascii="Calibri" w:eastAsia="Calibri"/>
                <w:sz w:val="24"/>
              </w:rPr>
              <w:t>1</w:t>
            </w:r>
            <w:r>
              <w:rPr>
                <w:rFonts w:ascii="Calibri" w:eastAsia="Calibri"/>
                <w:spacing w:val="38"/>
                <w:sz w:val="24"/>
              </w:rPr>
              <w:t> </w:t>
            </w:r>
            <w:r>
              <w:rPr>
                <w:sz w:val="24"/>
              </w:rPr>
              <w:t>項規定，提起課予義務復審，惟該條並未明定得請求該機關為行政處分或應為特定內容之行政處分。</w:t>
            </w:r>
          </w:p>
          <w:p>
            <w:pPr>
              <w:pStyle w:val="TableParagraph"/>
              <w:spacing w:line="256" w:lineRule="auto" w:before="9"/>
              <w:ind w:left="826" w:right="-15" w:hanging="720"/>
              <w:rPr>
                <w:sz w:val="24"/>
              </w:rPr>
            </w:pPr>
            <w:r>
              <w:rPr>
                <w:sz w:val="24"/>
              </w:rPr>
              <w:t>（二）至於公務人員因原處分機關對其依法申請之案件，予以</w:t>
            </w:r>
          </w:p>
          <w:p>
            <w:pPr>
              <w:pStyle w:val="TableParagraph"/>
              <w:spacing w:line="311" w:lineRule="exact" w:before="1"/>
              <w:ind w:left="826" w:right="-15"/>
              <w:rPr>
                <w:sz w:val="24"/>
              </w:rPr>
            </w:pPr>
            <w:r>
              <w:rPr>
                <w:sz w:val="24"/>
              </w:rPr>
              <w:t>駁回，目前僅得依保障法第</w:t>
            </w:r>
          </w:p>
        </w:tc>
        <w:tc>
          <w:tcPr>
            <w:tcW w:w="3345" w:type="dxa"/>
          </w:tcPr>
          <w:p>
            <w:pPr>
              <w:pStyle w:val="TableParagraph"/>
              <w:rPr>
                <w:rFonts w:ascii="Times New Roman"/>
                <w:sz w:val="24"/>
              </w:rPr>
            </w:pPr>
          </w:p>
        </w:tc>
      </w:tr>
    </w:tbl>
    <w:p>
      <w:pPr>
        <w:spacing w:after="0"/>
        <w:rPr>
          <w:rFonts w:ascii="Times New Roman"/>
          <w:sz w:val="24"/>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27"/>
        <w:gridCol w:w="3345"/>
      </w:tblGrid>
      <w:tr>
        <w:trPr>
          <w:trHeight w:val="14400" w:hRule="atLeast"/>
        </w:trPr>
        <w:tc>
          <w:tcPr>
            <w:tcW w:w="826" w:type="dxa"/>
          </w:tcPr>
          <w:p>
            <w:pPr>
              <w:pStyle w:val="TableParagraph"/>
              <w:rPr>
                <w:rFonts w:ascii="Times New Roman"/>
                <w:sz w:val="24"/>
              </w:rPr>
            </w:pPr>
          </w:p>
        </w:tc>
        <w:tc>
          <w:tcPr>
            <w:tcW w:w="1937" w:type="dxa"/>
          </w:tcPr>
          <w:p>
            <w:pPr>
              <w:pStyle w:val="TableParagraph"/>
              <w:rPr>
                <w:rFonts w:ascii="Times New Roman"/>
                <w:sz w:val="24"/>
              </w:rPr>
            </w:pPr>
          </w:p>
        </w:tc>
        <w:tc>
          <w:tcPr>
            <w:tcW w:w="3727" w:type="dxa"/>
          </w:tcPr>
          <w:p>
            <w:pPr>
              <w:pStyle w:val="TableParagraph"/>
              <w:spacing w:line="256" w:lineRule="auto" w:before="29"/>
              <w:ind w:left="826" w:right="-58"/>
              <w:jc w:val="both"/>
              <w:rPr>
                <w:sz w:val="24"/>
              </w:rPr>
            </w:pPr>
            <w:r>
              <w:rPr>
                <w:rFonts w:ascii="Calibri" w:eastAsia="Calibri"/>
                <w:sz w:val="24"/>
              </w:rPr>
              <w:t>25</w:t>
            </w:r>
            <w:r>
              <w:rPr>
                <w:rFonts w:ascii="Calibri" w:eastAsia="Calibri"/>
                <w:spacing w:val="53"/>
                <w:sz w:val="24"/>
              </w:rPr>
              <w:t> </w:t>
            </w:r>
            <w:r>
              <w:rPr>
                <w:spacing w:val="23"/>
                <w:sz w:val="24"/>
              </w:rPr>
              <w:t>條規定， 提起撤銷復</w:t>
            </w:r>
            <w:r>
              <w:rPr>
                <w:sz w:val="24"/>
              </w:rPr>
              <w:t>審，請求撤銷原處分機關之拒絕處分。惟該處分縱經保訓會決定撤銷，原處分機關仍可繼續作成駁回處分，而公務人員僅能反覆爭訟請求撤銷該駁回處分，以致公務</w:t>
            </w:r>
            <w:r>
              <w:rPr>
                <w:spacing w:val="25"/>
                <w:sz w:val="24"/>
              </w:rPr>
              <w:t>人員無法迅速有效獲得救</w:t>
            </w:r>
            <w:r>
              <w:rPr>
                <w:sz w:val="24"/>
              </w:rPr>
              <w:t>濟；另一方面，公務人員就該處分提起撤銷復審，如經保訓會決定駁回，公務人員仍得向行政法院提起課予義務之訴，請求該機關為行政處分或應為特定內容之行政處分，而非僅得提起撤銷訴訟。為使公務人員保障制度更為周延，並使立法體例更完整，增訂怠於作為及拒絕申請之課予義務復審類型，</w:t>
            </w:r>
            <w:r>
              <w:rPr>
                <w:spacing w:val="-118"/>
                <w:sz w:val="24"/>
              </w:rPr>
              <w:t> </w:t>
            </w:r>
            <w:r>
              <w:rPr>
                <w:sz w:val="24"/>
              </w:rPr>
              <w:t>實刻不容緩。</w:t>
            </w:r>
          </w:p>
          <w:p>
            <w:pPr>
              <w:pStyle w:val="TableParagraph"/>
              <w:spacing w:line="256" w:lineRule="auto" w:before="18"/>
              <w:ind w:left="586" w:right="-15" w:hanging="480"/>
              <w:rPr>
                <w:b/>
                <w:sz w:val="24"/>
              </w:rPr>
            </w:pPr>
            <w:r>
              <w:rPr>
                <w:b/>
                <w:sz w:val="24"/>
              </w:rPr>
              <w:t>五、現行調處程序僅適用於再申訴事件，仍有不足</w:t>
            </w:r>
          </w:p>
          <w:p>
            <w:pPr>
              <w:pStyle w:val="TableParagraph"/>
              <w:spacing w:line="256" w:lineRule="auto" w:before="2"/>
              <w:ind w:left="826" w:right="-44" w:hanging="720"/>
              <w:jc w:val="both"/>
              <w:rPr>
                <w:sz w:val="24"/>
              </w:rPr>
            </w:pPr>
            <w:r>
              <w:rPr>
                <w:sz w:val="24"/>
              </w:rPr>
              <w:t>（一）依現行保障法第五章規定，</w:t>
            </w:r>
            <w:r>
              <w:rPr>
                <w:spacing w:val="-118"/>
                <w:sz w:val="24"/>
              </w:rPr>
              <w:t> </w:t>
            </w:r>
            <w:r>
              <w:rPr>
                <w:spacing w:val="25"/>
                <w:sz w:val="24"/>
              </w:rPr>
              <w:t>僅有再申訴事件得進行調</w:t>
            </w:r>
            <w:r>
              <w:rPr>
                <w:sz w:val="24"/>
              </w:rPr>
              <w:t>處。</w:t>
            </w:r>
          </w:p>
          <w:p>
            <w:pPr>
              <w:pStyle w:val="TableParagraph"/>
              <w:spacing w:line="256" w:lineRule="auto" w:before="3"/>
              <w:ind w:left="826" w:right="-44" w:hanging="720"/>
              <w:jc w:val="both"/>
              <w:rPr>
                <w:sz w:val="24"/>
              </w:rPr>
            </w:pPr>
            <w:r>
              <w:rPr>
                <w:sz w:val="24"/>
              </w:rPr>
              <w:t>（二）鑑於調處制度具有解決紛爭</w:t>
            </w:r>
            <w:r>
              <w:rPr>
                <w:spacing w:val="25"/>
                <w:sz w:val="24"/>
              </w:rPr>
              <w:t>及維持機關內部和諧之功</w:t>
            </w:r>
            <w:r>
              <w:rPr>
                <w:sz w:val="24"/>
              </w:rPr>
              <w:t>能。且行政機關對於行政處分所依據之事實或適用之法律，經依職權調查仍不能確</w:t>
            </w:r>
            <w:r>
              <w:rPr>
                <w:spacing w:val="10"/>
                <w:sz w:val="24"/>
              </w:rPr>
              <w:t>定的， 為有效達成行政目</w:t>
            </w:r>
            <w:r>
              <w:rPr>
                <w:sz w:val="24"/>
              </w:rPr>
              <w:t>時，解決紛爭，亦得與人民締結和解契約。因此，將調</w:t>
            </w:r>
            <w:r>
              <w:rPr>
                <w:spacing w:val="25"/>
                <w:sz w:val="24"/>
              </w:rPr>
              <w:t>處制度擴大適用於復審事</w:t>
            </w:r>
            <w:r>
              <w:rPr>
                <w:sz w:val="24"/>
              </w:rPr>
              <w:t>件，有其必要性。</w:t>
            </w:r>
          </w:p>
          <w:p>
            <w:pPr>
              <w:pStyle w:val="TableParagraph"/>
              <w:spacing w:line="256" w:lineRule="auto" w:before="8"/>
              <w:ind w:left="586" w:right="-15" w:hanging="480"/>
              <w:jc w:val="both"/>
              <w:rPr>
                <w:b/>
                <w:sz w:val="24"/>
              </w:rPr>
            </w:pPr>
            <w:r>
              <w:rPr>
                <w:b/>
                <w:sz w:val="24"/>
              </w:rPr>
              <w:t>六、現行再審議程序適用於復審事件，而未適用再申訴事件，規範成效有限</w:t>
            </w:r>
          </w:p>
          <w:p>
            <w:pPr>
              <w:pStyle w:val="TableParagraph"/>
              <w:spacing w:before="3"/>
              <w:ind w:right="-15"/>
              <w:jc w:val="right"/>
              <w:rPr>
                <w:sz w:val="24"/>
              </w:rPr>
            </w:pPr>
            <w:r>
              <w:rPr>
                <w:sz w:val="24"/>
              </w:rPr>
              <w:t>（一）依現行保障法第七章規定，</w:t>
            </w:r>
          </w:p>
          <w:p>
            <w:pPr>
              <w:pStyle w:val="TableParagraph"/>
              <w:spacing w:line="311" w:lineRule="exact" w:before="24"/>
              <w:ind w:right="-44"/>
              <w:jc w:val="right"/>
              <w:rPr>
                <w:sz w:val="24"/>
              </w:rPr>
            </w:pPr>
            <w:r>
              <w:rPr>
                <w:spacing w:val="25"/>
                <w:sz w:val="24"/>
              </w:rPr>
              <w:t>僅有復審事件可提起再審</w:t>
            </w:r>
          </w:p>
        </w:tc>
        <w:tc>
          <w:tcPr>
            <w:tcW w:w="3345" w:type="dxa"/>
          </w:tcPr>
          <w:p>
            <w:pPr>
              <w:pStyle w:val="TableParagraph"/>
              <w:rPr>
                <w:rFonts w:ascii="Times New Roman"/>
                <w:sz w:val="24"/>
              </w:rPr>
            </w:pPr>
          </w:p>
        </w:tc>
      </w:tr>
    </w:tbl>
    <w:p>
      <w:pPr>
        <w:spacing w:after="0"/>
        <w:rPr>
          <w:rFonts w:ascii="Times New Roman"/>
          <w:sz w:val="24"/>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27"/>
        <w:gridCol w:w="3345"/>
      </w:tblGrid>
      <w:tr>
        <w:trPr>
          <w:trHeight w:val="5399" w:hRule="atLeast"/>
        </w:trPr>
        <w:tc>
          <w:tcPr>
            <w:tcW w:w="826" w:type="dxa"/>
            <w:vMerge w:val="restart"/>
          </w:tcPr>
          <w:p>
            <w:pPr>
              <w:pStyle w:val="TableParagraph"/>
              <w:rPr>
                <w:rFonts w:ascii="Times New Roman"/>
                <w:sz w:val="24"/>
              </w:rPr>
            </w:pPr>
          </w:p>
        </w:tc>
        <w:tc>
          <w:tcPr>
            <w:tcW w:w="1937" w:type="dxa"/>
          </w:tcPr>
          <w:p>
            <w:pPr>
              <w:pStyle w:val="TableParagraph"/>
              <w:rPr>
                <w:rFonts w:ascii="Times New Roman"/>
                <w:sz w:val="24"/>
              </w:rPr>
            </w:pPr>
          </w:p>
        </w:tc>
        <w:tc>
          <w:tcPr>
            <w:tcW w:w="3727" w:type="dxa"/>
          </w:tcPr>
          <w:p>
            <w:pPr>
              <w:pStyle w:val="TableParagraph"/>
              <w:spacing w:before="29"/>
              <w:ind w:left="826"/>
              <w:rPr>
                <w:sz w:val="24"/>
              </w:rPr>
            </w:pPr>
            <w:r>
              <w:rPr>
                <w:sz w:val="24"/>
              </w:rPr>
              <w:t>議。</w:t>
            </w:r>
          </w:p>
          <w:p>
            <w:pPr>
              <w:pStyle w:val="TableParagraph"/>
              <w:spacing w:line="360" w:lineRule="atLeast"/>
              <w:ind w:left="826" w:right="-15" w:hanging="720"/>
              <w:jc w:val="both"/>
              <w:rPr>
                <w:sz w:val="24"/>
              </w:rPr>
            </w:pPr>
            <w:r>
              <w:rPr>
                <w:sz w:val="24"/>
              </w:rPr>
              <w:t>（二）目前保障事件實務上，對於再申訴決定已確定後，原管理措施如有認事用法上之違誤，固可類推適用行政程序</w:t>
            </w:r>
            <w:r>
              <w:rPr>
                <w:spacing w:val="-19"/>
                <w:sz w:val="24"/>
              </w:rPr>
              <w:t>法第 </w:t>
            </w:r>
            <w:r>
              <w:rPr>
                <w:rFonts w:ascii="Calibri" w:eastAsia="Calibri"/>
                <w:spacing w:val="-1"/>
                <w:sz w:val="24"/>
              </w:rPr>
              <w:t>128</w:t>
            </w:r>
            <w:r>
              <w:rPr>
                <w:rFonts w:ascii="Calibri" w:eastAsia="Calibri"/>
                <w:spacing w:val="12"/>
                <w:sz w:val="24"/>
              </w:rPr>
              <w:t> </w:t>
            </w:r>
            <w:r>
              <w:rPr>
                <w:spacing w:val="-1"/>
                <w:sz w:val="24"/>
              </w:rPr>
              <w:t>條有關程序再開之</w:t>
            </w:r>
            <w:r>
              <w:rPr>
                <w:sz w:val="24"/>
              </w:rPr>
              <w:t>規定，重啟程序。惟再申訴人仍須先向服務機關申請，</w:t>
            </w:r>
            <w:r>
              <w:rPr>
                <w:spacing w:val="-118"/>
                <w:sz w:val="24"/>
              </w:rPr>
              <w:t> </w:t>
            </w:r>
            <w:r>
              <w:rPr>
                <w:sz w:val="24"/>
              </w:rPr>
              <w:t>經否准後，再依申訴、再申訴程序請求救濟，徒增救濟程序之勞費；若再申訴人得依再審議程序，逕向本會請求更正再申訴決定之違誤，</w:t>
            </w:r>
            <w:r>
              <w:rPr>
                <w:spacing w:val="-118"/>
                <w:sz w:val="24"/>
              </w:rPr>
              <w:t> </w:t>
            </w:r>
            <w:r>
              <w:rPr>
                <w:sz w:val="24"/>
              </w:rPr>
              <w:t>即可達到救濟程序經濟之目的。</w:t>
            </w:r>
          </w:p>
        </w:tc>
        <w:tc>
          <w:tcPr>
            <w:tcW w:w="3345" w:type="dxa"/>
          </w:tcPr>
          <w:p>
            <w:pPr>
              <w:pStyle w:val="TableParagraph"/>
              <w:rPr>
                <w:rFonts w:ascii="Times New Roman"/>
                <w:sz w:val="24"/>
              </w:rPr>
            </w:pPr>
          </w:p>
        </w:tc>
      </w:tr>
      <w:tr>
        <w:trPr>
          <w:trHeight w:val="5035" w:hRule="atLeast"/>
        </w:trPr>
        <w:tc>
          <w:tcPr>
            <w:tcW w:w="826" w:type="dxa"/>
            <w:vMerge/>
            <w:tcBorders>
              <w:top w:val="nil"/>
            </w:tcBorders>
          </w:tcPr>
          <w:p>
            <w:pPr>
              <w:rPr>
                <w:sz w:val="2"/>
                <w:szCs w:val="2"/>
              </w:rPr>
            </w:pPr>
          </w:p>
        </w:tc>
        <w:tc>
          <w:tcPr>
            <w:tcW w:w="1937" w:type="dxa"/>
          </w:tcPr>
          <w:p>
            <w:pPr>
              <w:pStyle w:val="TableParagraph"/>
              <w:spacing w:before="26"/>
              <w:ind w:left="70"/>
              <w:rPr>
                <w:b/>
                <w:sz w:val="24"/>
              </w:rPr>
            </w:pPr>
            <w:r>
              <w:rPr>
                <w:rFonts w:ascii="Calibri" w:hAnsi="Calibri" w:eastAsia="Calibri"/>
                <w:b/>
                <w:sz w:val="24"/>
              </w:rPr>
              <w:t>4‐1‐3</w:t>
            </w:r>
            <w:r>
              <w:rPr>
                <w:rFonts w:ascii="Calibri" w:hAnsi="Calibri" w:eastAsia="Calibri"/>
                <w:b/>
                <w:spacing w:val="10"/>
                <w:sz w:val="24"/>
              </w:rPr>
              <w:t> </w:t>
            </w:r>
            <w:r>
              <w:rPr>
                <w:b/>
                <w:sz w:val="24"/>
              </w:rPr>
              <w:t>相關之性別</w:t>
            </w:r>
          </w:p>
          <w:p>
            <w:pPr>
              <w:pStyle w:val="TableParagraph"/>
              <w:spacing w:line="256" w:lineRule="auto" w:before="24"/>
              <w:ind w:left="648" w:right="73"/>
              <w:rPr>
                <w:b/>
                <w:sz w:val="24"/>
              </w:rPr>
            </w:pPr>
            <w:r>
              <w:rPr>
                <w:b/>
                <w:spacing w:val="-1"/>
                <w:sz w:val="24"/>
              </w:rPr>
              <w:t>統計及性別</w:t>
            </w:r>
            <w:r>
              <w:rPr>
                <w:b/>
                <w:sz w:val="24"/>
              </w:rPr>
              <w:t>分析</w:t>
            </w:r>
          </w:p>
        </w:tc>
        <w:tc>
          <w:tcPr>
            <w:tcW w:w="3727" w:type="dxa"/>
          </w:tcPr>
          <w:p>
            <w:pPr>
              <w:pStyle w:val="TableParagraph"/>
              <w:spacing w:line="360" w:lineRule="atLeast"/>
              <w:ind w:left="118" w:right="-58"/>
              <w:jc w:val="both"/>
              <w:rPr>
                <w:sz w:val="24"/>
              </w:rPr>
            </w:pPr>
            <w:r>
              <w:rPr>
                <w:sz w:val="24"/>
              </w:rPr>
              <w:t>保障事件（含復審事件及再申訴事件）係公務人員對原處分機關所為之行政處分，或對服務機關所為之</w:t>
            </w:r>
            <w:r>
              <w:rPr>
                <w:spacing w:val="40"/>
                <w:sz w:val="24"/>
              </w:rPr>
              <w:t>管理措施</w:t>
            </w:r>
            <w:r>
              <w:rPr>
                <w:sz w:val="24"/>
              </w:rPr>
              <w:t>（</w:t>
            </w:r>
            <w:r>
              <w:rPr>
                <w:spacing w:val="25"/>
                <w:sz w:val="24"/>
              </w:rPr>
              <w:t> 有關工作條件之處</w:t>
            </w:r>
            <w:r>
              <w:rPr>
                <w:spacing w:val="9"/>
                <w:sz w:val="24"/>
              </w:rPr>
              <w:t>置</w:t>
            </w:r>
            <w:r>
              <w:rPr>
                <w:spacing w:val="-111"/>
                <w:sz w:val="24"/>
              </w:rPr>
              <w:t>）</w:t>
            </w:r>
            <w:r>
              <w:rPr>
                <w:spacing w:val="8"/>
                <w:sz w:val="24"/>
              </w:rPr>
              <w:t>，認為違法或顯然不當，致損</w:t>
            </w:r>
            <w:r>
              <w:rPr>
                <w:sz w:val="24"/>
              </w:rPr>
              <w:t>害其權利或利益，所提起之行政救濟事件。亦即，本會係屬事後之救濟機關，並非作成行政處分、管理措施或工作條件處置之機關，故在</w:t>
            </w:r>
            <w:r>
              <w:rPr>
                <w:spacing w:val="16"/>
                <w:sz w:val="24"/>
              </w:rPr>
              <w:t>救濟制度之設計上，並未區分性別。又本會秉持公正、客觀、專</w:t>
            </w:r>
            <w:r>
              <w:rPr>
                <w:sz w:val="24"/>
              </w:rPr>
              <w:t>業、中立之原則，審理保障事件，</w:t>
            </w:r>
            <w:r>
              <w:rPr>
                <w:spacing w:val="-118"/>
                <w:sz w:val="24"/>
              </w:rPr>
              <w:t> </w:t>
            </w:r>
            <w:r>
              <w:rPr>
                <w:sz w:val="24"/>
              </w:rPr>
              <w:t>並未因當事人之性別不同而為差別待遇。</w:t>
            </w:r>
          </w:p>
        </w:tc>
        <w:tc>
          <w:tcPr>
            <w:tcW w:w="3345" w:type="dxa"/>
          </w:tcPr>
          <w:p>
            <w:pPr>
              <w:pStyle w:val="TableParagraph"/>
              <w:numPr>
                <w:ilvl w:val="0"/>
                <w:numId w:val="2"/>
              </w:numPr>
              <w:tabs>
                <w:tab w:pos="187" w:val="left" w:leader="none"/>
              </w:tabs>
              <w:spacing w:line="256" w:lineRule="auto" w:before="26" w:after="0"/>
              <w:ind w:left="180" w:right="-15" w:hanging="180"/>
              <w:jc w:val="both"/>
              <w:rPr>
                <w:sz w:val="24"/>
              </w:rPr>
            </w:pPr>
            <w:r>
              <w:rPr>
                <w:sz w:val="24"/>
              </w:rPr>
              <w:t>透過相關資料庫、圖書等各種途徑蒐集既有的性別統計，並作出性別分析，以說明該問題是否會對不同性別人口造成不同影響。</w:t>
            </w:r>
          </w:p>
          <w:p>
            <w:pPr>
              <w:pStyle w:val="TableParagraph"/>
              <w:numPr>
                <w:ilvl w:val="0"/>
                <w:numId w:val="2"/>
              </w:numPr>
              <w:tabs>
                <w:tab w:pos="200" w:val="left" w:leader="none"/>
              </w:tabs>
              <w:spacing w:line="256" w:lineRule="auto" w:before="4" w:after="0"/>
              <w:ind w:left="234" w:right="53" w:hanging="234"/>
              <w:jc w:val="both"/>
              <w:rPr>
                <w:sz w:val="24"/>
              </w:rPr>
            </w:pPr>
            <w:r>
              <w:rPr>
                <w:spacing w:val="16"/>
                <w:sz w:val="24"/>
              </w:rPr>
              <w:t>性別統計與性別分析應儘量</w:t>
            </w:r>
            <w:r>
              <w:rPr>
                <w:spacing w:val="13"/>
                <w:sz w:val="24"/>
              </w:rPr>
              <w:t>顧及不同性別、性傾向及性別認同者之年齡、族群、地</w:t>
            </w:r>
            <w:r>
              <w:rPr>
                <w:sz w:val="24"/>
              </w:rPr>
              <w:t>區等面向。</w:t>
            </w:r>
          </w:p>
        </w:tc>
      </w:tr>
      <w:tr>
        <w:trPr>
          <w:trHeight w:val="1075" w:hRule="atLeast"/>
        </w:trPr>
        <w:tc>
          <w:tcPr>
            <w:tcW w:w="826" w:type="dxa"/>
            <w:vMerge/>
            <w:tcBorders>
              <w:top w:val="nil"/>
            </w:tcBorders>
          </w:tcPr>
          <w:p>
            <w:pPr>
              <w:rPr>
                <w:sz w:val="2"/>
                <w:szCs w:val="2"/>
              </w:rPr>
            </w:pPr>
          </w:p>
        </w:tc>
        <w:tc>
          <w:tcPr>
            <w:tcW w:w="1937" w:type="dxa"/>
          </w:tcPr>
          <w:p>
            <w:pPr>
              <w:pStyle w:val="TableParagraph"/>
              <w:spacing w:before="25"/>
              <w:ind w:left="70"/>
              <w:rPr>
                <w:b/>
                <w:sz w:val="24"/>
              </w:rPr>
            </w:pPr>
            <w:r>
              <w:rPr>
                <w:rFonts w:ascii="Calibri" w:hAnsi="Calibri" w:eastAsia="Calibri"/>
                <w:b/>
                <w:sz w:val="24"/>
              </w:rPr>
              <w:t>4‐1‐4</w:t>
            </w:r>
            <w:r>
              <w:rPr>
                <w:rFonts w:ascii="Calibri" w:hAnsi="Calibri" w:eastAsia="Calibri"/>
                <w:b/>
                <w:spacing w:val="10"/>
                <w:sz w:val="24"/>
              </w:rPr>
              <w:t> </w:t>
            </w:r>
            <w:r>
              <w:rPr>
                <w:b/>
                <w:sz w:val="24"/>
              </w:rPr>
              <w:t>須強化的性</w:t>
            </w:r>
          </w:p>
          <w:p>
            <w:pPr>
              <w:pStyle w:val="TableParagraph"/>
              <w:spacing w:line="360" w:lineRule="atLeast"/>
              <w:ind w:left="648" w:right="73"/>
              <w:rPr>
                <w:b/>
                <w:sz w:val="24"/>
              </w:rPr>
            </w:pPr>
            <w:r>
              <w:rPr>
                <w:b/>
                <w:spacing w:val="-1"/>
                <w:sz w:val="24"/>
              </w:rPr>
              <w:t>別統計及其</w:t>
            </w:r>
            <w:r>
              <w:rPr>
                <w:b/>
                <w:sz w:val="24"/>
              </w:rPr>
              <w:t>方法</w:t>
            </w:r>
          </w:p>
        </w:tc>
        <w:tc>
          <w:tcPr>
            <w:tcW w:w="3727" w:type="dxa"/>
          </w:tcPr>
          <w:p>
            <w:pPr>
              <w:pStyle w:val="TableParagraph"/>
              <w:spacing w:line="360" w:lineRule="atLeast"/>
              <w:ind w:right="-29"/>
              <w:jc w:val="both"/>
              <w:rPr>
                <w:sz w:val="24"/>
              </w:rPr>
            </w:pPr>
            <w:r>
              <w:rPr>
                <w:sz w:val="24"/>
              </w:rPr>
              <w:t>本會係被動受理公務人員提起之救濟事件，性別統計分析不具實質意義，故未就性別為相關之統計。</w:t>
            </w:r>
          </w:p>
        </w:tc>
        <w:tc>
          <w:tcPr>
            <w:tcW w:w="3345" w:type="dxa"/>
          </w:tcPr>
          <w:p>
            <w:pPr>
              <w:pStyle w:val="TableParagraph"/>
              <w:spacing w:line="256" w:lineRule="auto" w:before="25"/>
              <w:ind w:left="-9" w:right="58" w:firstLine="7"/>
              <w:rPr>
                <w:sz w:val="24"/>
              </w:rPr>
            </w:pPr>
            <w:r>
              <w:rPr>
                <w:spacing w:val="11"/>
                <w:sz w:val="24"/>
              </w:rPr>
              <w:t>如既有性別統計不足，請提出</w:t>
            </w:r>
            <w:r>
              <w:rPr>
                <w:sz w:val="24"/>
              </w:rPr>
              <w:t>須強化之處及其建置方法。</w:t>
            </w:r>
          </w:p>
        </w:tc>
      </w:tr>
      <w:tr>
        <w:trPr>
          <w:trHeight w:val="2875" w:hRule="atLeast"/>
        </w:trPr>
        <w:tc>
          <w:tcPr>
            <w:tcW w:w="826" w:type="dxa"/>
          </w:tcPr>
          <w:p>
            <w:pPr>
              <w:pStyle w:val="TableParagraph"/>
              <w:spacing w:before="24"/>
              <w:ind w:left="71"/>
              <w:rPr>
                <w:b/>
                <w:sz w:val="24"/>
              </w:rPr>
            </w:pPr>
            <w:r>
              <w:rPr>
                <w:rFonts w:ascii="Calibri" w:hAnsi="Calibri" w:eastAsia="Calibri"/>
                <w:b/>
                <w:sz w:val="24"/>
              </w:rPr>
              <w:t>4‐2</w:t>
            </w:r>
            <w:r>
              <w:rPr>
                <w:rFonts w:ascii="Calibri" w:hAnsi="Calibri" w:eastAsia="Calibri"/>
                <w:b/>
                <w:spacing w:val="54"/>
                <w:sz w:val="24"/>
              </w:rPr>
              <w:t> </w:t>
            </w:r>
            <w:r>
              <w:rPr>
                <w:b/>
                <w:sz w:val="24"/>
              </w:rPr>
              <w:t>訂</w:t>
            </w:r>
          </w:p>
          <w:p>
            <w:pPr>
              <w:pStyle w:val="TableParagraph"/>
              <w:spacing w:line="256" w:lineRule="auto" w:before="25"/>
              <w:ind w:left="472" w:right="101"/>
              <w:jc w:val="both"/>
              <w:rPr>
                <w:b/>
                <w:sz w:val="24"/>
              </w:rPr>
            </w:pPr>
            <w:r>
              <w:rPr>
                <w:b/>
                <w:sz w:val="24"/>
              </w:rPr>
              <w:t>修需求</w:t>
            </w:r>
          </w:p>
        </w:tc>
        <w:tc>
          <w:tcPr>
            <w:tcW w:w="1937" w:type="dxa"/>
          </w:tcPr>
          <w:p>
            <w:pPr>
              <w:pStyle w:val="TableParagraph"/>
              <w:spacing w:line="256" w:lineRule="auto" w:before="24"/>
              <w:ind w:left="659" w:right="71" w:hanging="590"/>
              <w:rPr>
                <w:b/>
                <w:sz w:val="24"/>
              </w:rPr>
            </w:pPr>
            <w:r>
              <w:rPr>
                <w:rFonts w:ascii="Calibri" w:hAnsi="Calibri" w:eastAsia="Calibri"/>
                <w:b/>
                <w:sz w:val="24"/>
              </w:rPr>
              <w:t>4‐2‐1</w:t>
            </w:r>
            <w:r>
              <w:rPr>
                <w:rFonts w:ascii="Calibri" w:hAnsi="Calibri" w:eastAsia="Calibri"/>
                <w:b/>
                <w:spacing w:val="8"/>
                <w:sz w:val="24"/>
              </w:rPr>
              <w:t> </w:t>
            </w:r>
            <w:r>
              <w:rPr>
                <w:b/>
                <w:sz w:val="24"/>
              </w:rPr>
              <w:t>解決問題可能方案</w:t>
            </w:r>
          </w:p>
        </w:tc>
        <w:tc>
          <w:tcPr>
            <w:tcW w:w="3727" w:type="dxa"/>
          </w:tcPr>
          <w:p>
            <w:pPr>
              <w:pStyle w:val="TableParagraph"/>
              <w:spacing w:line="256" w:lineRule="auto" w:before="24"/>
              <w:ind w:right="-29"/>
              <w:jc w:val="both"/>
              <w:rPr>
                <w:sz w:val="24"/>
              </w:rPr>
            </w:pPr>
            <w:r>
              <w:rPr>
                <w:sz w:val="24"/>
              </w:rPr>
              <w:t>前述問題，可透過增訂或修正相關規定，補足目前法規範之不足。例如，刪除占缺訓練人員準用保障法</w:t>
            </w:r>
          </w:p>
          <w:p>
            <w:pPr>
              <w:pStyle w:val="TableParagraph"/>
              <w:spacing w:line="256" w:lineRule="auto" w:before="3"/>
              <w:ind w:right="-15"/>
              <w:jc w:val="both"/>
              <w:rPr>
                <w:sz w:val="24"/>
              </w:rPr>
            </w:pPr>
            <w:r>
              <w:rPr>
                <w:sz w:val="24"/>
              </w:rPr>
              <w:t>（第 </w:t>
            </w:r>
            <w:r>
              <w:rPr>
                <w:rFonts w:ascii="Calibri" w:eastAsia="Calibri"/>
                <w:spacing w:val="-1"/>
                <w:sz w:val="24"/>
              </w:rPr>
              <w:t>10</w:t>
            </w:r>
            <w:r>
              <w:rPr>
                <w:rFonts w:ascii="Calibri" w:eastAsia="Calibri"/>
                <w:sz w:val="24"/>
              </w:rPr>
              <w:t>2</w:t>
            </w:r>
            <w:r>
              <w:rPr>
                <w:rFonts w:ascii="Calibri" w:eastAsia="Calibri"/>
                <w:spacing w:val="5"/>
                <w:sz w:val="24"/>
              </w:rPr>
              <w:t>  </w:t>
            </w:r>
            <w:r>
              <w:rPr>
                <w:sz w:val="24"/>
              </w:rPr>
              <w:t>條第 </w:t>
            </w:r>
            <w:r>
              <w:rPr>
                <w:rFonts w:ascii="Calibri" w:eastAsia="Calibri"/>
                <w:sz w:val="24"/>
              </w:rPr>
              <w:t>5</w:t>
            </w:r>
            <w:r>
              <w:rPr>
                <w:rFonts w:ascii="Calibri" w:eastAsia="Calibri"/>
                <w:spacing w:val="5"/>
                <w:sz w:val="24"/>
              </w:rPr>
              <w:t>  </w:t>
            </w:r>
            <w:r>
              <w:rPr>
                <w:sz w:val="24"/>
              </w:rPr>
              <w:t>款</w:t>
            </w:r>
            <w:r>
              <w:rPr>
                <w:spacing w:val="-120"/>
                <w:sz w:val="24"/>
              </w:rPr>
              <w:t>）</w:t>
            </w:r>
            <w:r>
              <w:rPr>
                <w:spacing w:val="-2"/>
                <w:sz w:val="24"/>
              </w:rPr>
              <w:t>；增訂公務人</w:t>
            </w:r>
            <w:r>
              <w:rPr>
                <w:sz w:val="24"/>
              </w:rPr>
              <w:t>員辭職規定（第 </w:t>
            </w:r>
            <w:r>
              <w:rPr>
                <w:rFonts w:ascii="Calibri" w:eastAsia="Calibri"/>
                <w:spacing w:val="-1"/>
                <w:sz w:val="24"/>
              </w:rPr>
              <w:t>1</w:t>
            </w:r>
            <w:r>
              <w:rPr>
                <w:rFonts w:ascii="Calibri" w:eastAsia="Calibri"/>
                <w:sz w:val="24"/>
              </w:rPr>
              <w:t>2</w:t>
            </w:r>
            <w:r>
              <w:rPr>
                <w:rFonts w:ascii="Calibri" w:eastAsia="Calibri"/>
                <w:spacing w:val="5"/>
                <w:sz w:val="24"/>
              </w:rPr>
              <w:t>  </w:t>
            </w:r>
            <w:r>
              <w:rPr>
                <w:sz w:val="24"/>
              </w:rPr>
              <w:t>條之 </w:t>
            </w:r>
            <w:r>
              <w:rPr>
                <w:rFonts w:ascii="Calibri" w:eastAsia="Calibri"/>
                <w:spacing w:val="-1"/>
                <w:sz w:val="24"/>
              </w:rPr>
              <w:t>1</w:t>
            </w:r>
            <w:r>
              <w:rPr>
                <w:spacing w:val="-120"/>
                <w:sz w:val="24"/>
              </w:rPr>
              <w:t>）</w:t>
            </w:r>
            <w:r>
              <w:rPr>
                <w:spacing w:val="-4"/>
                <w:sz w:val="24"/>
              </w:rPr>
              <w:t>；增訂</w:t>
            </w:r>
            <w:r>
              <w:rPr>
                <w:sz w:val="24"/>
              </w:rPr>
              <w:t>公法上財產請求權消滅時效期間之規定（第 </w:t>
            </w:r>
            <w:r>
              <w:rPr>
                <w:rFonts w:ascii="Calibri" w:eastAsia="Calibri"/>
                <w:spacing w:val="-1"/>
                <w:sz w:val="24"/>
              </w:rPr>
              <w:t>2</w:t>
            </w:r>
            <w:r>
              <w:rPr>
                <w:rFonts w:ascii="Calibri" w:eastAsia="Calibri"/>
                <w:sz w:val="24"/>
              </w:rPr>
              <w:t>4</w:t>
            </w:r>
            <w:r>
              <w:rPr>
                <w:rFonts w:ascii="Calibri" w:eastAsia="Calibri"/>
                <w:spacing w:val="5"/>
                <w:sz w:val="24"/>
              </w:rPr>
              <w:t>  </w:t>
            </w:r>
            <w:r>
              <w:rPr>
                <w:sz w:val="24"/>
              </w:rPr>
              <w:t>條之 </w:t>
            </w:r>
            <w:r>
              <w:rPr>
                <w:rFonts w:ascii="Calibri" w:eastAsia="Calibri"/>
                <w:spacing w:val="-1"/>
                <w:sz w:val="24"/>
              </w:rPr>
              <w:t>1</w:t>
            </w:r>
            <w:r>
              <w:rPr>
                <w:spacing w:val="-119"/>
                <w:sz w:val="24"/>
              </w:rPr>
              <w:t>）</w:t>
            </w:r>
            <w:r>
              <w:rPr>
                <w:spacing w:val="-2"/>
                <w:sz w:val="24"/>
              </w:rPr>
              <w:t>；增訂怠於作</w:t>
            </w:r>
          </w:p>
          <w:p>
            <w:pPr>
              <w:pStyle w:val="TableParagraph"/>
              <w:spacing w:line="311" w:lineRule="exact" w:before="3"/>
              <w:ind w:right="-29"/>
              <w:rPr>
                <w:sz w:val="24"/>
              </w:rPr>
            </w:pPr>
            <w:r>
              <w:rPr>
                <w:sz w:val="24"/>
              </w:rPr>
              <w:t>為及拒絕申請之課予義務復審類型</w:t>
            </w:r>
          </w:p>
        </w:tc>
        <w:tc>
          <w:tcPr>
            <w:tcW w:w="3345" w:type="dxa"/>
          </w:tcPr>
          <w:p>
            <w:pPr>
              <w:pStyle w:val="TableParagraph"/>
              <w:spacing w:line="256" w:lineRule="auto" w:before="24"/>
              <w:ind w:left="5" w:right="34" w:hanging="5"/>
              <w:jc w:val="both"/>
              <w:rPr>
                <w:sz w:val="24"/>
              </w:rPr>
            </w:pPr>
            <w:r>
              <w:rPr>
                <w:spacing w:val="11"/>
                <w:sz w:val="24"/>
              </w:rPr>
              <w:t>請詳列解決問題之可能方案及</w:t>
            </w:r>
            <w:r>
              <w:rPr>
                <w:spacing w:val="34"/>
                <w:sz w:val="24"/>
              </w:rPr>
              <w:t>其評估（</w:t>
            </w:r>
            <w:r>
              <w:rPr>
                <w:spacing w:val="32"/>
                <w:sz w:val="24"/>
              </w:rPr>
              <w:t>涉及性別平等議題</w:t>
            </w:r>
            <w:r>
              <w:rPr>
                <w:sz w:val="24"/>
              </w:rPr>
              <w:t>者，併列之</w:t>
            </w:r>
            <w:r>
              <w:rPr>
                <w:spacing w:val="-120"/>
                <w:sz w:val="24"/>
              </w:rPr>
              <w:t>）</w:t>
            </w:r>
            <w:r>
              <w:rPr>
                <w:sz w:val="24"/>
              </w:rPr>
              <w:t>。</w:t>
            </w:r>
          </w:p>
        </w:tc>
      </w:tr>
    </w:tbl>
    <w:p>
      <w:pPr>
        <w:spacing w:after="0" w:line="256" w:lineRule="auto"/>
        <w:jc w:val="both"/>
        <w:rPr>
          <w:sz w:val="24"/>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35"/>
        <w:gridCol w:w="3339"/>
      </w:tblGrid>
      <w:tr>
        <w:trPr>
          <w:trHeight w:val="1439" w:hRule="atLeast"/>
        </w:trPr>
        <w:tc>
          <w:tcPr>
            <w:tcW w:w="826" w:type="dxa"/>
            <w:vMerge w:val="restart"/>
          </w:tcPr>
          <w:p>
            <w:pPr>
              <w:pStyle w:val="TableParagraph"/>
              <w:rPr>
                <w:rFonts w:ascii="Times New Roman"/>
                <w:sz w:val="24"/>
              </w:rPr>
            </w:pPr>
          </w:p>
        </w:tc>
        <w:tc>
          <w:tcPr>
            <w:tcW w:w="1937" w:type="dxa"/>
          </w:tcPr>
          <w:p>
            <w:pPr>
              <w:pStyle w:val="TableParagraph"/>
              <w:rPr>
                <w:rFonts w:ascii="Times New Roman"/>
                <w:sz w:val="24"/>
              </w:rPr>
            </w:pPr>
          </w:p>
        </w:tc>
        <w:tc>
          <w:tcPr>
            <w:tcW w:w="3735" w:type="dxa"/>
          </w:tcPr>
          <w:p>
            <w:pPr>
              <w:pStyle w:val="TableParagraph"/>
              <w:spacing w:before="29"/>
              <w:rPr>
                <w:sz w:val="24"/>
              </w:rPr>
            </w:pPr>
            <w:r>
              <w:rPr>
                <w:sz w:val="24"/>
              </w:rPr>
              <w:t>（</w:t>
            </w:r>
            <w:r>
              <w:rPr>
                <w:spacing w:val="-5"/>
                <w:sz w:val="24"/>
              </w:rPr>
              <w:t>第 </w:t>
            </w:r>
            <w:r>
              <w:rPr>
                <w:rFonts w:ascii="Calibri" w:eastAsia="Calibri"/>
                <w:sz w:val="24"/>
              </w:rPr>
              <w:t>26</w:t>
            </w:r>
            <w:r>
              <w:rPr>
                <w:rFonts w:ascii="Calibri" w:eastAsia="Calibri"/>
                <w:spacing w:val="56"/>
                <w:sz w:val="24"/>
              </w:rPr>
              <w:t> </w:t>
            </w:r>
            <w:r>
              <w:rPr>
                <w:sz w:val="24"/>
              </w:rPr>
              <w:t>條</w:t>
            </w:r>
            <w:r>
              <w:rPr>
                <w:spacing w:val="-120"/>
                <w:sz w:val="24"/>
              </w:rPr>
              <w:t>）</w:t>
            </w:r>
            <w:r>
              <w:rPr>
                <w:sz w:val="24"/>
              </w:rPr>
              <w:t>、修正調處程序擴大適</w:t>
            </w:r>
          </w:p>
          <w:p>
            <w:pPr>
              <w:pStyle w:val="TableParagraph"/>
              <w:spacing w:before="25"/>
              <w:ind w:right="-15"/>
              <w:rPr>
                <w:sz w:val="24"/>
              </w:rPr>
            </w:pPr>
            <w:r>
              <w:rPr>
                <w:spacing w:val="-1"/>
                <w:sz w:val="24"/>
              </w:rPr>
              <w:t>用於復審事件之規定</w:t>
            </w:r>
            <w:r>
              <w:rPr>
                <w:sz w:val="24"/>
              </w:rPr>
              <w:t>（</w:t>
            </w:r>
            <w:r>
              <w:rPr>
                <w:spacing w:val="-30"/>
                <w:sz w:val="24"/>
              </w:rPr>
              <w:t>第 </w:t>
            </w:r>
            <w:r>
              <w:rPr>
                <w:rFonts w:ascii="Calibri" w:eastAsia="Calibri"/>
                <w:sz w:val="24"/>
              </w:rPr>
              <w:t>85</w:t>
            </w:r>
            <w:r>
              <w:rPr>
                <w:rFonts w:ascii="Calibri" w:eastAsia="Calibri"/>
                <w:spacing w:val="7"/>
                <w:sz w:val="24"/>
              </w:rPr>
              <w:t> </w:t>
            </w:r>
            <w:r>
              <w:rPr>
                <w:sz w:val="24"/>
              </w:rPr>
              <w:t>條至第</w:t>
            </w:r>
          </w:p>
          <w:p>
            <w:pPr>
              <w:pStyle w:val="TableParagraph"/>
              <w:spacing w:before="24"/>
              <w:rPr>
                <w:sz w:val="24"/>
              </w:rPr>
            </w:pPr>
            <w:r>
              <w:rPr>
                <w:rFonts w:ascii="Calibri" w:eastAsia="Calibri"/>
                <w:sz w:val="24"/>
              </w:rPr>
              <w:t>88</w:t>
            </w:r>
            <w:r>
              <w:rPr>
                <w:rFonts w:ascii="Calibri" w:eastAsia="Calibri"/>
                <w:spacing w:val="47"/>
                <w:sz w:val="24"/>
              </w:rPr>
              <w:t> </w:t>
            </w:r>
            <w:r>
              <w:rPr>
                <w:sz w:val="24"/>
              </w:rPr>
              <w:t>條）及再審議程序擴大適用於再</w:t>
            </w:r>
          </w:p>
          <w:p>
            <w:pPr>
              <w:pStyle w:val="TableParagraph"/>
              <w:spacing w:line="310" w:lineRule="exact" w:before="25"/>
              <w:rPr>
                <w:sz w:val="24"/>
              </w:rPr>
            </w:pPr>
            <w:r>
              <w:rPr>
                <w:spacing w:val="-1"/>
                <w:sz w:val="24"/>
              </w:rPr>
              <w:t>申訴事件</w:t>
            </w:r>
            <w:r>
              <w:rPr>
                <w:sz w:val="24"/>
              </w:rPr>
              <w:t>（</w:t>
            </w:r>
            <w:r>
              <w:rPr>
                <w:spacing w:val="-30"/>
                <w:sz w:val="24"/>
              </w:rPr>
              <w:t>第 </w:t>
            </w:r>
            <w:r>
              <w:rPr>
                <w:rFonts w:ascii="Calibri" w:eastAsia="Calibri"/>
                <w:sz w:val="24"/>
              </w:rPr>
              <w:t>94</w:t>
            </w:r>
            <w:r>
              <w:rPr>
                <w:rFonts w:ascii="Calibri" w:eastAsia="Calibri"/>
                <w:spacing w:val="5"/>
                <w:sz w:val="24"/>
              </w:rPr>
              <w:t> </w:t>
            </w:r>
            <w:r>
              <w:rPr>
                <w:spacing w:val="-15"/>
                <w:sz w:val="24"/>
              </w:rPr>
              <w:t>條至第 </w:t>
            </w:r>
            <w:r>
              <w:rPr>
                <w:rFonts w:ascii="Calibri" w:eastAsia="Calibri"/>
                <w:sz w:val="24"/>
              </w:rPr>
              <w:t>101</w:t>
            </w:r>
            <w:r>
              <w:rPr>
                <w:rFonts w:ascii="Calibri" w:eastAsia="Calibri"/>
                <w:spacing w:val="5"/>
                <w:sz w:val="24"/>
              </w:rPr>
              <w:t> </w:t>
            </w:r>
            <w:r>
              <w:rPr>
                <w:sz w:val="24"/>
              </w:rPr>
              <w:t>條</w:t>
            </w:r>
            <w:r>
              <w:rPr>
                <w:spacing w:val="-119"/>
                <w:sz w:val="24"/>
              </w:rPr>
              <w:t>）</w:t>
            </w:r>
            <w:r>
              <w:rPr>
                <w:sz w:val="24"/>
              </w:rPr>
              <w:t>。</w:t>
            </w:r>
          </w:p>
        </w:tc>
        <w:tc>
          <w:tcPr>
            <w:tcW w:w="3339" w:type="dxa"/>
          </w:tcPr>
          <w:p>
            <w:pPr>
              <w:pStyle w:val="TableParagraph"/>
              <w:rPr>
                <w:rFonts w:ascii="Times New Roman"/>
                <w:sz w:val="24"/>
              </w:rPr>
            </w:pPr>
          </w:p>
        </w:tc>
      </w:tr>
      <w:tr>
        <w:trPr>
          <w:trHeight w:val="3960" w:hRule="atLeast"/>
        </w:trPr>
        <w:tc>
          <w:tcPr>
            <w:tcW w:w="826" w:type="dxa"/>
            <w:vMerge/>
            <w:tcBorders>
              <w:top w:val="nil"/>
            </w:tcBorders>
          </w:tcPr>
          <w:p>
            <w:pPr>
              <w:rPr>
                <w:sz w:val="2"/>
                <w:szCs w:val="2"/>
              </w:rPr>
            </w:pPr>
          </w:p>
        </w:tc>
        <w:tc>
          <w:tcPr>
            <w:tcW w:w="1937" w:type="dxa"/>
          </w:tcPr>
          <w:p>
            <w:pPr>
              <w:pStyle w:val="TableParagraph"/>
              <w:spacing w:before="31"/>
              <w:ind w:left="70"/>
              <w:rPr>
                <w:b/>
                <w:sz w:val="24"/>
              </w:rPr>
            </w:pPr>
            <w:r>
              <w:rPr>
                <w:rFonts w:ascii="Calibri" w:hAnsi="Calibri" w:eastAsia="Calibri"/>
                <w:b/>
                <w:sz w:val="24"/>
              </w:rPr>
              <w:t>4‐2‐2</w:t>
            </w:r>
            <w:r>
              <w:rPr>
                <w:rFonts w:ascii="Calibri" w:hAnsi="Calibri" w:eastAsia="Calibri"/>
                <w:b/>
                <w:spacing w:val="3"/>
                <w:sz w:val="24"/>
              </w:rPr>
              <w:t> </w:t>
            </w:r>
            <w:r>
              <w:rPr>
                <w:b/>
                <w:sz w:val="24"/>
              </w:rPr>
              <w:t>訂修必要性</w:t>
            </w:r>
          </w:p>
        </w:tc>
        <w:tc>
          <w:tcPr>
            <w:tcW w:w="3735" w:type="dxa"/>
          </w:tcPr>
          <w:p>
            <w:pPr>
              <w:pStyle w:val="TableParagraph"/>
              <w:spacing w:line="256" w:lineRule="auto" w:before="31"/>
              <w:ind w:left="144" w:right="-15"/>
              <w:jc w:val="both"/>
              <w:rPr>
                <w:sz w:val="24"/>
              </w:rPr>
            </w:pPr>
            <w:r>
              <w:rPr>
                <w:spacing w:val="14"/>
                <w:sz w:val="24"/>
              </w:rPr>
              <w:t>保障法係保障公務人員權益之基</w:t>
            </w:r>
            <w:r>
              <w:rPr>
                <w:spacing w:val="-4"/>
                <w:sz w:val="24"/>
              </w:rPr>
              <w:t>本法，該法自 </w:t>
            </w:r>
            <w:r>
              <w:rPr>
                <w:rFonts w:ascii="Calibri" w:eastAsia="Calibri"/>
                <w:sz w:val="24"/>
              </w:rPr>
              <w:t>92</w:t>
            </w:r>
            <w:r>
              <w:rPr>
                <w:rFonts w:ascii="Calibri" w:eastAsia="Calibri"/>
                <w:spacing w:val="41"/>
                <w:sz w:val="24"/>
              </w:rPr>
              <w:t> </w:t>
            </w:r>
            <w:r>
              <w:rPr>
                <w:spacing w:val="-12"/>
                <w:sz w:val="24"/>
              </w:rPr>
              <w:t>年 </w:t>
            </w:r>
            <w:r>
              <w:rPr>
                <w:rFonts w:ascii="Calibri" w:eastAsia="Calibri"/>
                <w:sz w:val="24"/>
              </w:rPr>
              <w:t>5</w:t>
            </w:r>
            <w:r>
              <w:rPr>
                <w:rFonts w:ascii="Calibri" w:eastAsia="Calibri"/>
                <w:spacing w:val="39"/>
                <w:sz w:val="24"/>
              </w:rPr>
              <w:t> </w:t>
            </w:r>
            <w:r>
              <w:rPr>
                <w:spacing w:val="-13"/>
                <w:sz w:val="24"/>
              </w:rPr>
              <w:t>月 </w:t>
            </w:r>
            <w:r>
              <w:rPr>
                <w:rFonts w:ascii="Calibri" w:eastAsia="Calibri"/>
                <w:sz w:val="24"/>
              </w:rPr>
              <w:t>28</w:t>
            </w:r>
            <w:r>
              <w:rPr>
                <w:rFonts w:ascii="Calibri" w:eastAsia="Calibri"/>
                <w:spacing w:val="41"/>
                <w:sz w:val="24"/>
              </w:rPr>
              <w:t> </w:t>
            </w:r>
            <w:r>
              <w:rPr>
                <w:sz w:val="24"/>
              </w:rPr>
              <w:t>日修</w:t>
            </w:r>
          </w:p>
          <w:p>
            <w:pPr>
              <w:pStyle w:val="TableParagraph"/>
              <w:spacing w:line="256" w:lineRule="auto" w:before="1"/>
              <w:ind w:left="144" w:right="-29"/>
              <w:jc w:val="both"/>
              <w:rPr>
                <w:sz w:val="24"/>
              </w:rPr>
            </w:pPr>
            <w:r>
              <w:rPr>
                <w:spacing w:val="-2"/>
                <w:sz w:val="24"/>
              </w:rPr>
              <w:t>正公布迄今，已逾 </w:t>
            </w:r>
            <w:r>
              <w:rPr>
                <w:rFonts w:ascii="Calibri" w:eastAsia="Calibri"/>
                <w:sz w:val="24"/>
              </w:rPr>
              <w:t>10  </w:t>
            </w:r>
            <w:r>
              <w:rPr>
                <w:sz w:val="24"/>
              </w:rPr>
              <w:t>餘年，除人</w:t>
            </w:r>
            <w:r>
              <w:rPr>
                <w:spacing w:val="16"/>
                <w:sz w:val="24"/>
              </w:rPr>
              <w:t>事法規、行政程序法及行政救濟</w:t>
            </w:r>
            <w:r>
              <w:rPr>
                <w:spacing w:val="17"/>
                <w:sz w:val="24"/>
              </w:rPr>
              <w:t>法規，已有諸多變革外，且實務</w:t>
            </w:r>
            <w:r>
              <w:rPr>
                <w:spacing w:val="14"/>
                <w:sz w:val="24"/>
              </w:rPr>
              <w:t>上有若干問題，亟需解決，相關</w:t>
            </w:r>
            <w:r>
              <w:rPr>
                <w:spacing w:val="16"/>
                <w:sz w:val="24"/>
              </w:rPr>
              <w:t>條文之修正或增訂均攸關公務人</w:t>
            </w:r>
            <w:r>
              <w:rPr>
                <w:spacing w:val="17"/>
                <w:sz w:val="24"/>
              </w:rPr>
              <w:t>員救濟權益，為使保障法制與時</w:t>
            </w:r>
            <w:r>
              <w:rPr>
                <w:spacing w:val="16"/>
                <w:sz w:val="24"/>
              </w:rPr>
              <w:t>俱進，並使公務人員之權益保障</w:t>
            </w:r>
            <w:r>
              <w:rPr>
                <w:spacing w:val="14"/>
                <w:sz w:val="24"/>
              </w:rPr>
              <w:t>機制更臻完備，保障法應儘速修</w:t>
            </w:r>
          </w:p>
          <w:p>
            <w:pPr>
              <w:pStyle w:val="TableParagraph"/>
              <w:spacing w:line="310" w:lineRule="exact" w:before="8"/>
              <w:ind w:left="144"/>
              <w:rPr>
                <w:sz w:val="24"/>
              </w:rPr>
            </w:pPr>
            <w:r>
              <w:rPr>
                <w:sz w:val="24"/>
              </w:rPr>
              <w:t>正。</w:t>
            </w:r>
          </w:p>
        </w:tc>
        <w:tc>
          <w:tcPr>
            <w:tcW w:w="3339" w:type="dxa"/>
          </w:tcPr>
          <w:p>
            <w:pPr>
              <w:pStyle w:val="TableParagraph"/>
              <w:spacing w:line="256" w:lineRule="auto" w:before="31"/>
              <w:ind w:left="-18" w:right="36" w:firstLine="7"/>
              <w:jc w:val="both"/>
              <w:rPr>
                <w:sz w:val="24"/>
              </w:rPr>
            </w:pPr>
            <w:r>
              <w:rPr>
                <w:spacing w:val="12"/>
                <w:sz w:val="24"/>
              </w:rPr>
              <w:t>請說明最終必須訂修法案以解</w:t>
            </w:r>
            <w:r>
              <w:rPr>
                <w:spacing w:val="35"/>
                <w:sz w:val="24"/>
              </w:rPr>
              <w:t>決問題之理由；如有立委提</w:t>
            </w:r>
            <w:r>
              <w:rPr>
                <w:sz w:val="24"/>
              </w:rPr>
              <w:t>案，並請納入研析。</w:t>
            </w:r>
          </w:p>
        </w:tc>
      </w:tr>
      <w:tr>
        <w:trPr>
          <w:trHeight w:val="7559" w:hRule="atLeast"/>
        </w:trPr>
        <w:tc>
          <w:tcPr>
            <w:tcW w:w="2763" w:type="dxa"/>
            <w:gridSpan w:val="2"/>
            <w:tcBorders>
              <w:bottom w:val="thickThinMediumGap" w:sz="12" w:space="0" w:color="000000"/>
            </w:tcBorders>
          </w:tcPr>
          <w:p>
            <w:pPr>
              <w:pStyle w:val="TableParagraph"/>
              <w:spacing w:line="256" w:lineRule="auto" w:before="29"/>
              <w:ind w:left="527" w:right="72" w:hanging="456"/>
              <w:rPr>
                <w:b/>
                <w:sz w:val="24"/>
              </w:rPr>
            </w:pPr>
            <w:r>
              <w:rPr>
                <w:rFonts w:ascii="Calibri" w:hAnsi="Calibri" w:eastAsia="Calibri"/>
                <w:b/>
                <w:sz w:val="24"/>
              </w:rPr>
              <w:t>4‐3</w:t>
            </w:r>
            <w:r>
              <w:rPr>
                <w:rFonts w:ascii="Calibri" w:hAnsi="Calibri" w:eastAsia="Calibri"/>
                <w:b/>
                <w:spacing w:val="4"/>
                <w:sz w:val="24"/>
              </w:rPr>
              <w:t> </w:t>
            </w:r>
            <w:r>
              <w:rPr>
                <w:b/>
                <w:sz w:val="24"/>
              </w:rPr>
              <w:t>配套措施及相關機關協力事項</w:t>
            </w:r>
          </w:p>
        </w:tc>
        <w:tc>
          <w:tcPr>
            <w:tcW w:w="3735" w:type="dxa"/>
            <w:tcBorders>
              <w:bottom w:val="thickThinMediumGap" w:sz="12" w:space="0" w:color="000000"/>
            </w:tcBorders>
          </w:tcPr>
          <w:p>
            <w:pPr>
              <w:pStyle w:val="TableParagraph"/>
              <w:spacing w:line="256" w:lineRule="auto" w:before="29"/>
              <w:ind w:left="493" w:right="-15" w:hanging="494"/>
              <w:jc w:val="both"/>
              <w:rPr>
                <w:sz w:val="24"/>
              </w:rPr>
            </w:pPr>
            <w:r>
              <w:rPr>
                <w:sz w:val="24"/>
              </w:rPr>
              <w:t>一、本次修正條文係屬與公務人員權利保障有關之辭職申請相關作業流程（</w:t>
            </w:r>
            <w:r>
              <w:rPr>
                <w:spacing w:val="-3"/>
                <w:sz w:val="24"/>
              </w:rPr>
              <w:t>第 </w:t>
            </w:r>
            <w:r>
              <w:rPr>
                <w:rFonts w:ascii="Calibri" w:eastAsia="Calibri"/>
                <w:spacing w:val="-1"/>
                <w:sz w:val="24"/>
              </w:rPr>
              <w:t>1</w:t>
            </w:r>
            <w:r>
              <w:rPr>
                <w:rFonts w:ascii="Calibri" w:eastAsia="Calibri"/>
                <w:sz w:val="24"/>
              </w:rPr>
              <w:t>2</w:t>
            </w:r>
            <w:r>
              <w:rPr>
                <w:rFonts w:ascii="Calibri" w:eastAsia="Calibri"/>
                <w:spacing w:val="3"/>
                <w:sz w:val="24"/>
              </w:rPr>
              <w:t>  </w:t>
            </w:r>
            <w:r>
              <w:rPr>
                <w:spacing w:val="-2"/>
                <w:sz w:val="24"/>
              </w:rPr>
              <w:t>條之 </w:t>
            </w:r>
            <w:r>
              <w:rPr>
                <w:rFonts w:ascii="Calibri" w:eastAsia="Calibri"/>
                <w:spacing w:val="-1"/>
                <w:sz w:val="24"/>
              </w:rPr>
              <w:t>1</w:t>
            </w:r>
            <w:r>
              <w:rPr>
                <w:spacing w:val="-120"/>
                <w:sz w:val="24"/>
              </w:rPr>
              <w:t>）</w:t>
            </w:r>
            <w:r>
              <w:rPr>
                <w:sz w:val="24"/>
              </w:rPr>
              <w:t>、公法上財產請求權消滅時效期間</w:t>
            </w:r>
          </w:p>
          <w:p>
            <w:pPr>
              <w:pStyle w:val="TableParagraph"/>
              <w:spacing w:line="256" w:lineRule="auto" w:before="4"/>
              <w:ind w:left="493" w:right="-15"/>
              <w:jc w:val="both"/>
              <w:rPr>
                <w:sz w:val="24"/>
              </w:rPr>
            </w:pPr>
            <w:r>
              <w:rPr>
                <w:sz w:val="24"/>
              </w:rPr>
              <w:t>（</w:t>
            </w:r>
            <w:r>
              <w:rPr>
                <w:spacing w:val="-3"/>
                <w:sz w:val="24"/>
              </w:rPr>
              <w:t>第 </w:t>
            </w:r>
            <w:r>
              <w:rPr>
                <w:rFonts w:ascii="Calibri" w:eastAsia="Calibri"/>
                <w:spacing w:val="-1"/>
                <w:sz w:val="24"/>
              </w:rPr>
              <w:t>2</w:t>
            </w:r>
            <w:r>
              <w:rPr>
                <w:rFonts w:ascii="Calibri" w:eastAsia="Calibri"/>
                <w:sz w:val="24"/>
              </w:rPr>
              <w:t>4</w:t>
            </w:r>
            <w:r>
              <w:rPr>
                <w:rFonts w:ascii="Calibri" w:eastAsia="Calibri"/>
                <w:spacing w:val="3"/>
                <w:sz w:val="24"/>
              </w:rPr>
              <w:t>  </w:t>
            </w:r>
            <w:r>
              <w:rPr>
                <w:spacing w:val="-2"/>
                <w:sz w:val="24"/>
              </w:rPr>
              <w:t>條之 </w:t>
            </w:r>
            <w:r>
              <w:rPr>
                <w:rFonts w:ascii="Calibri" w:eastAsia="Calibri"/>
                <w:spacing w:val="-1"/>
                <w:sz w:val="24"/>
              </w:rPr>
              <w:t>1</w:t>
            </w:r>
            <w:r>
              <w:rPr>
                <w:spacing w:val="-120"/>
                <w:sz w:val="24"/>
              </w:rPr>
              <w:t>）</w:t>
            </w:r>
            <w:r>
              <w:rPr>
                <w:sz w:val="24"/>
              </w:rPr>
              <w:t>、復審救濟種</w:t>
            </w:r>
            <w:r>
              <w:rPr>
                <w:sz w:val="24"/>
              </w:rPr>
              <w:t>類（</w:t>
            </w:r>
            <w:r>
              <w:rPr>
                <w:spacing w:val="13"/>
                <w:sz w:val="24"/>
              </w:rPr>
              <w:t>第 </w:t>
            </w:r>
            <w:r>
              <w:rPr>
                <w:rFonts w:ascii="Calibri" w:eastAsia="Calibri"/>
                <w:sz w:val="24"/>
              </w:rPr>
              <w:t>26</w:t>
            </w:r>
            <w:r>
              <w:rPr>
                <w:rFonts w:ascii="Calibri" w:eastAsia="Calibri"/>
                <w:spacing w:val="92"/>
                <w:sz w:val="24"/>
              </w:rPr>
              <w:t> </w:t>
            </w:r>
            <w:r>
              <w:rPr>
                <w:spacing w:val="5"/>
                <w:sz w:val="24"/>
              </w:rPr>
              <w:t>條增訂課予義務復</w:t>
            </w:r>
          </w:p>
          <w:p>
            <w:pPr>
              <w:pStyle w:val="TableParagraph"/>
              <w:spacing w:before="2"/>
              <w:ind w:left="493"/>
              <w:rPr>
                <w:sz w:val="24"/>
              </w:rPr>
            </w:pPr>
            <w:r>
              <w:rPr>
                <w:sz w:val="24"/>
              </w:rPr>
              <w:t>審種類</w:t>
            </w:r>
            <w:r>
              <w:rPr>
                <w:spacing w:val="-120"/>
                <w:sz w:val="24"/>
              </w:rPr>
              <w:t>）</w:t>
            </w:r>
            <w:r>
              <w:rPr>
                <w:sz w:val="24"/>
              </w:rPr>
              <w:t>、調處制度（</w:t>
            </w:r>
            <w:r>
              <w:rPr>
                <w:spacing w:val="-8"/>
                <w:sz w:val="24"/>
              </w:rPr>
              <w:t>第 </w:t>
            </w:r>
            <w:r>
              <w:rPr>
                <w:rFonts w:ascii="Calibri" w:eastAsia="Calibri"/>
                <w:sz w:val="24"/>
              </w:rPr>
              <w:t>85</w:t>
            </w:r>
            <w:r>
              <w:rPr>
                <w:rFonts w:ascii="Calibri" w:eastAsia="Calibri"/>
                <w:spacing w:val="50"/>
                <w:sz w:val="24"/>
              </w:rPr>
              <w:t> </w:t>
            </w:r>
            <w:r>
              <w:rPr>
                <w:sz w:val="24"/>
              </w:rPr>
              <w:t>條</w:t>
            </w:r>
          </w:p>
          <w:p>
            <w:pPr>
              <w:pStyle w:val="TableParagraph"/>
              <w:spacing w:before="24"/>
              <w:ind w:left="493" w:right="-15"/>
              <w:rPr>
                <w:sz w:val="24"/>
              </w:rPr>
            </w:pPr>
            <w:r>
              <w:rPr>
                <w:spacing w:val="8"/>
                <w:sz w:val="24"/>
              </w:rPr>
              <w:t>至第 </w:t>
            </w:r>
            <w:r>
              <w:rPr>
                <w:rFonts w:ascii="Calibri" w:eastAsia="Calibri"/>
                <w:sz w:val="24"/>
              </w:rPr>
              <w:t>88</w:t>
            </w:r>
            <w:r>
              <w:rPr>
                <w:rFonts w:ascii="Calibri" w:eastAsia="Calibri"/>
                <w:spacing w:val="93"/>
                <w:sz w:val="24"/>
              </w:rPr>
              <w:t> </w:t>
            </w:r>
            <w:r>
              <w:rPr>
                <w:spacing w:val="4"/>
                <w:sz w:val="24"/>
              </w:rPr>
              <w:t>條修正擴大適用於復</w:t>
            </w:r>
          </w:p>
          <w:p>
            <w:pPr>
              <w:pStyle w:val="TableParagraph"/>
              <w:spacing w:before="25"/>
              <w:ind w:left="493"/>
              <w:rPr>
                <w:rFonts w:ascii="Calibri" w:eastAsia="Calibri"/>
                <w:sz w:val="24"/>
              </w:rPr>
            </w:pPr>
            <w:r>
              <w:rPr>
                <w:spacing w:val="-1"/>
                <w:sz w:val="24"/>
              </w:rPr>
              <w:t>審事件</w:t>
            </w:r>
            <w:r>
              <w:rPr>
                <w:sz w:val="24"/>
              </w:rPr>
              <w:t>）及再審議制度（</w:t>
            </w:r>
            <w:r>
              <w:rPr>
                <w:spacing w:val="-15"/>
                <w:sz w:val="24"/>
              </w:rPr>
              <w:t>第 </w:t>
            </w:r>
            <w:r>
              <w:rPr>
                <w:rFonts w:ascii="Calibri" w:eastAsia="Calibri"/>
                <w:sz w:val="24"/>
              </w:rPr>
              <w:t>94</w:t>
            </w:r>
          </w:p>
          <w:p>
            <w:pPr>
              <w:pStyle w:val="TableParagraph"/>
              <w:spacing w:line="256" w:lineRule="auto" w:before="24"/>
              <w:ind w:left="493" w:right="-58"/>
              <w:jc w:val="both"/>
              <w:rPr>
                <w:sz w:val="24"/>
              </w:rPr>
            </w:pPr>
            <w:r>
              <w:rPr>
                <w:spacing w:val="-2"/>
                <w:sz w:val="24"/>
              </w:rPr>
              <w:t>年至第 </w:t>
            </w:r>
            <w:r>
              <w:rPr>
                <w:rFonts w:ascii="Calibri" w:eastAsia="Calibri"/>
                <w:sz w:val="24"/>
              </w:rPr>
              <w:t>101</w:t>
            </w:r>
            <w:r>
              <w:rPr>
                <w:rFonts w:ascii="Calibri" w:eastAsia="Calibri"/>
                <w:spacing w:val="4"/>
                <w:sz w:val="24"/>
              </w:rPr>
              <w:t> </w:t>
            </w:r>
            <w:r>
              <w:rPr>
                <w:sz w:val="24"/>
              </w:rPr>
              <w:t>條修正擴大適用於</w:t>
            </w:r>
            <w:r>
              <w:rPr>
                <w:spacing w:val="15"/>
                <w:sz w:val="24"/>
              </w:rPr>
              <w:t>再申訴事件 </w:t>
            </w:r>
            <w:r>
              <w:rPr>
                <w:spacing w:val="-78"/>
                <w:sz w:val="24"/>
              </w:rPr>
              <w:t>）</w:t>
            </w:r>
            <w:r>
              <w:rPr>
                <w:spacing w:val="12"/>
                <w:sz w:val="24"/>
              </w:rPr>
              <w:t>，相關修 正條</w:t>
            </w:r>
            <w:r>
              <w:rPr>
                <w:spacing w:val="-77"/>
                <w:sz w:val="24"/>
              </w:rPr>
              <w:t> </w:t>
            </w:r>
            <w:r>
              <w:rPr>
                <w:sz w:val="24"/>
              </w:rPr>
              <w:t>文，就本會而言，並無人力、經費之需求。</w:t>
            </w:r>
          </w:p>
          <w:p>
            <w:pPr>
              <w:pStyle w:val="TableParagraph"/>
              <w:spacing w:line="256" w:lineRule="auto" w:before="3"/>
              <w:ind w:left="493" w:right="-15" w:hanging="494"/>
              <w:jc w:val="both"/>
              <w:rPr>
                <w:sz w:val="24"/>
              </w:rPr>
            </w:pPr>
            <w:r>
              <w:rPr>
                <w:sz w:val="24"/>
              </w:rPr>
              <w:t>二、在法制整備方面，僅有部分子法應配合修正，例如公務人員因公涉訟輔助辦法、公務人員保障暨培訓委員會保障事件審議規則、公務人員再申訴事件調處實施要點及公務人員因公傷殘死亡慰問金發給辦法等子</w:t>
            </w:r>
          </w:p>
          <w:p>
            <w:pPr>
              <w:pStyle w:val="TableParagraph"/>
              <w:spacing w:line="309" w:lineRule="exact" w:before="7"/>
              <w:ind w:left="493"/>
              <w:rPr>
                <w:sz w:val="24"/>
              </w:rPr>
            </w:pPr>
            <w:r>
              <w:rPr>
                <w:sz w:val="24"/>
              </w:rPr>
              <w:t>法。</w:t>
            </w:r>
          </w:p>
        </w:tc>
        <w:tc>
          <w:tcPr>
            <w:tcW w:w="3339" w:type="dxa"/>
            <w:tcBorders>
              <w:bottom w:val="thickThinMediumGap" w:sz="12" w:space="0" w:color="000000"/>
            </w:tcBorders>
          </w:tcPr>
          <w:p>
            <w:pPr>
              <w:pStyle w:val="TableParagraph"/>
              <w:spacing w:line="256" w:lineRule="auto" w:before="29"/>
              <w:ind w:left="-18" w:right="59" w:firstLine="7"/>
              <w:jc w:val="both"/>
              <w:rPr>
                <w:sz w:val="24"/>
              </w:rPr>
            </w:pPr>
            <w:r>
              <w:rPr>
                <w:spacing w:val="11"/>
                <w:sz w:val="24"/>
              </w:rPr>
              <w:t>配套措施諸如人力、經費需求</w:t>
            </w:r>
            <w:r>
              <w:rPr>
                <w:spacing w:val="12"/>
                <w:sz w:val="24"/>
              </w:rPr>
              <w:t>或法制整備等；相關機關協力</w:t>
            </w:r>
            <w:r>
              <w:rPr>
                <w:sz w:val="24"/>
              </w:rPr>
              <w:t>事項請予詳列。</w:t>
            </w:r>
          </w:p>
        </w:tc>
      </w:tr>
      <w:tr>
        <w:trPr>
          <w:trHeight w:val="1081" w:hRule="atLeast"/>
        </w:trPr>
        <w:tc>
          <w:tcPr>
            <w:tcW w:w="2763" w:type="dxa"/>
            <w:gridSpan w:val="2"/>
            <w:tcBorders>
              <w:top w:val="thinThickMediumGap" w:sz="12" w:space="0" w:color="000000"/>
              <w:bottom w:val="thickThinMediumGap" w:sz="12" w:space="0" w:color="000000"/>
            </w:tcBorders>
          </w:tcPr>
          <w:p>
            <w:pPr>
              <w:pStyle w:val="TableParagraph"/>
              <w:spacing w:before="11"/>
              <w:rPr>
                <w:b/>
                <w:sz w:val="28"/>
              </w:rPr>
            </w:pPr>
          </w:p>
          <w:p>
            <w:pPr>
              <w:pStyle w:val="TableParagraph"/>
              <w:ind w:left="-1"/>
              <w:rPr>
                <w:b/>
                <w:sz w:val="24"/>
              </w:rPr>
            </w:pPr>
            <w:r>
              <w:rPr>
                <w:b/>
                <w:w w:val="95"/>
                <w:sz w:val="24"/>
              </w:rPr>
              <w:t>伍、政策目標</w:t>
            </w:r>
          </w:p>
        </w:tc>
        <w:tc>
          <w:tcPr>
            <w:tcW w:w="3735" w:type="dxa"/>
            <w:tcBorders>
              <w:top w:val="thinThickMediumGap" w:sz="12" w:space="0" w:color="000000"/>
              <w:bottom w:val="thickThinMediumGap" w:sz="12" w:space="0" w:color="000000"/>
            </w:tcBorders>
          </w:tcPr>
          <w:p>
            <w:pPr>
              <w:pStyle w:val="TableParagraph"/>
              <w:spacing w:line="360" w:lineRule="atLeast"/>
              <w:ind w:right="-44"/>
              <w:jc w:val="both"/>
              <w:rPr>
                <w:sz w:val="24"/>
              </w:rPr>
            </w:pPr>
            <w:r>
              <w:rPr>
                <w:spacing w:val="26"/>
                <w:sz w:val="24"/>
              </w:rPr>
              <w:t>為使公務人員勇於任事、戮力從</w:t>
            </w:r>
            <w:r>
              <w:rPr>
                <w:sz w:val="24"/>
              </w:rPr>
              <w:t>公，進而提升政府效能及國家總體競爭力，完備公務人員權益保障法</w:t>
            </w:r>
          </w:p>
        </w:tc>
        <w:tc>
          <w:tcPr>
            <w:tcW w:w="3339" w:type="dxa"/>
            <w:tcBorders>
              <w:top w:val="thinThickMediumGap" w:sz="12" w:space="0" w:color="000000"/>
              <w:bottom w:val="thickThinMediumGap" w:sz="12" w:space="0" w:color="000000"/>
            </w:tcBorders>
          </w:tcPr>
          <w:p>
            <w:pPr>
              <w:pStyle w:val="TableParagraph"/>
              <w:spacing w:before="6"/>
              <w:ind w:left="113"/>
              <w:rPr>
                <w:sz w:val="24"/>
              </w:rPr>
            </w:pPr>
            <w:r>
              <w:rPr>
                <w:sz w:val="24"/>
              </w:rPr>
              <w:t>簡要說明政策取向。</w:t>
            </w:r>
          </w:p>
        </w:tc>
      </w:tr>
    </w:tbl>
    <w:p>
      <w:pPr>
        <w:spacing w:after="0"/>
        <w:rPr>
          <w:sz w:val="24"/>
        </w:rPr>
        <w:sectPr>
          <w:pgSz w:w="11910" w:h="16840"/>
          <w:pgMar w:header="0" w:footer="918" w:top="1140" w:bottom="1100" w:left="880" w:right="900"/>
        </w:sectPr>
      </w:pPr>
    </w:p>
    <w:p>
      <w:pPr>
        <w:spacing w:line="20" w:lineRule="exact" w:after="3"/>
        <w:ind w:left="161" w:right="0" w:firstLine="0"/>
        <w:rPr>
          <w:sz w:val="2"/>
        </w:rPr>
      </w:pPr>
      <w:r>
        <w:rPr>
          <w:sz w:val="2"/>
        </w:rPr>
        <w:pict>
          <v:group style="width:492.25pt;height:.75pt;mso-position-horizontal-relative:char;mso-position-vertical-relative:line" coordorigin="0,0" coordsize="9845,15">
            <v:shape style="position:absolute;left:0;top:0;width:9845;height:15" coordorigin="0,0" coordsize="9845,15" path="m10,0l0,0,0,14,10,14,10,0xm6593,0l6504,0,2851,0,2762,0,10,0,10,14,2762,14,2851,14,6504,14,6593,14,6593,0xm9845,0l9835,0,6593,0,6593,14,9835,14,9845,14,9845,0xe" filled="true" fillcolor="#000000" stroked="false">
              <v:path arrowok="t"/>
              <v:fill type="solid"/>
            </v:shape>
          </v:group>
        </w:pict>
      </w:r>
      <w:r>
        <w:rPr>
          <w:sz w:val="2"/>
        </w:rPr>
      </w:r>
    </w:p>
    <w:tbl>
      <w:tblPr>
        <w:tblW w:w="0" w:type="auto"/>
        <w:jc w:val="left"/>
        <w:tblInd w:w="17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2762"/>
        <w:gridCol w:w="3741"/>
        <w:gridCol w:w="3331"/>
      </w:tblGrid>
      <w:tr>
        <w:trPr>
          <w:trHeight w:val="720" w:hRule="atLeast"/>
        </w:trPr>
        <w:tc>
          <w:tcPr>
            <w:tcW w:w="2762" w:type="dxa"/>
            <w:tcBorders>
              <w:left w:val="single" w:sz="4" w:space="0" w:color="000000"/>
              <w:bottom w:val="thickThinMediumGap" w:sz="12" w:space="0" w:color="000000"/>
              <w:right w:val="single" w:sz="4" w:space="0" w:color="000000"/>
            </w:tcBorders>
          </w:tcPr>
          <w:p>
            <w:pPr>
              <w:pStyle w:val="TableParagraph"/>
              <w:rPr>
                <w:rFonts w:ascii="Times New Roman"/>
                <w:sz w:val="24"/>
              </w:rPr>
            </w:pPr>
          </w:p>
        </w:tc>
        <w:tc>
          <w:tcPr>
            <w:tcW w:w="3741" w:type="dxa"/>
            <w:tcBorders>
              <w:left w:val="single" w:sz="4" w:space="0" w:color="000000"/>
              <w:bottom w:val="thickThinMediumGap" w:sz="12" w:space="0" w:color="000000"/>
              <w:right w:val="single" w:sz="4" w:space="0" w:color="000000"/>
            </w:tcBorders>
          </w:tcPr>
          <w:p>
            <w:pPr>
              <w:pStyle w:val="TableParagraph"/>
              <w:spacing w:line="360" w:lineRule="atLeast"/>
              <w:ind w:left="1" w:right="-15"/>
              <w:rPr>
                <w:sz w:val="24"/>
              </w:rPr>
            </w:pPr>
            <w:r>
              <w:rPr>
                <w:sz w:val="24"/>
              </w:rPr>
              <w:t>制為首要之道，期能透過修法而達成此一目標。</w:t>
            </w:r>
          </w:p>
        </w:tc>
        <w:tc>
          <w:tcPr>
            <w:tcW w:w="3331" w:type="dxa"/>
            <w:tcBorders>
              <w:left w:val="single" w:sz="4" w:space="0" w:color="000000"/>
              <w:bottom w:val="thickThinMediumGap" w:sz="12" w:space="0" w:color="000000"/>
              <w:right w:val="single" w:sz="4" w:space="0" w:color="000000"/>
            </w:tcBorders>
          </w:tcPr>
          <w:p>
            <w:pPr>
              <w:pStyle w:val="TableParagraph"/>
              <w:rPr>
                <w:rFonts w:ascii="Times New Roman"/>
                <w:sz w:val="24"/>
              </w:rPr>
            </w:pPr>
          </w:p>
        </w:tc>
      </w:tr>
      <w:tr>
        <w:trPr>
          <w:trHeight w:val="602" w:hRule="atLeast"/>
        </w:trPr>
        <w:tc>
          <w:tcPr>
            <w:tcW w:w="9834" w:type="dxa"/>
            <w:gridSpan w:val="3"/>
            <w:tcBorders>
              <w:top w:val="thinThickMediumGap" w:sz="12" w:space="0" w:color="000000"/>
              <w:left w:val="single" w:sz="4" w:space="0" w:color="000000"/>
              <w:bottom w:val="single" w:sz="4" w:space="0" w:color="000000"/>
              <w:right w:val="single" w:sz="4" w:space="0" w:color="000000"/>
            </w:tcBorders>
          </w:tcPr>
          <w:p>
            <w:pPr>
              <w:pStyle w:val="TableParagraph"/>
              <w:spacing w:before="157"/>
              <w:ind w:left="-1"/>
              <w:rPr>
                <w:b/>
                <w:sz w:val="24"/>
              </w:rPr>
            </w:pPr>
            <w:r>
              <w:rPr>
                <w:b/>
                <w:w w:val="95"/>
                <w:sz w:val="24"/>
              </w:rPr>
              <w:t>陸、徵詢及協商程序</w:t>
            </w:r>
          </w:p>
        </w:tc>
      </w:tr>
      <w:tr>
        <w:trPr>
          <w:trHeight w:val="359" w:hRule="atLeas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before="35"/>
              <w:ind w:left="-1"/>
              <w:rPr>
                <w:b/>
                <w:sz w:val="24"/>
              </w:rPr>
            </w:pPr>
            <w:r>
              <w:rPr>
                <w:b/>
                <w:spacing w:val="40"/>
                <w:sz w:val="24"/>
              </w:rPr>
              <w:t>項 目</w:t>
            </w:r>
          </w:p>
        </w:tc>
        <w:tc>
          <w:tcPr>
            <w:tcW w:w="3741"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before="35"/>
              <w:ind w:left="-2"/>
              <w:rPr>
                <w:b/>
                <w:sz w:val="24"/>
              </w:rPr>
            </w:pPr>
            <w:r>
              <w:rPr>
                <w:b/>
                <w:spacing w:val="40"/>
                <w:sz w:val="24"/>
              </w:rPr>
              <w:t>說 明</w:t>
            </w:r>
          </w:p>
        </w:tc>
        <w:tc>
          <w:tcPr>
            <w:tcW w:w="3331"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before="35"/>
              <w:rPr>
                <w:b/>
                <w:sz w:val="24"/>
              </w:rPr>
            </w:pPr>
            <w:r>
              <w:rPr>
                <w:b/>
                <w:spacing w:val="40"/>
                <w:sz w:val="24"/>
              </w:rPr>
              <w:t>備 註</w:t>
            </w:r>
          </w:p>
        </w:tc>
      </w:tr>
      <w:tr>
        <w:trPr>
          <w:trHeight w:val="4319" w:hRule="atLeast"/>
        </w:trPr>
        <w:tc>
          <w:tcPr>
            <w:tcW w:w="2762" w:type="dxa"/>
            <w:tcBorders>
              <w:top w:val="single" w:sz="4" w:space="0" w:color="000000"/>
              <w:left w:val="single" w:sz="4" w:space="0" w:color="000000"/>
              <w:bottom w:val="single" w:sz="4" w:space="0" w:color="000000"/>
              <w:right w:val="single" w:sz="4"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22"/>
              </w:rPr>
            </w:pPr>
          </w:p>
          <w:p>
            <w:pPr>
              <w:pStyle w:val="TableParagraph"/>
              <w:ind w:left="107"/>
              <w:rPr>
                <w:b/>
                <w:sz w:val="24"/>
              </w:rPr>
            </w:pPr>
            <w:r>
              <w:rPr>
                <w:rFonts w:ascii="Calibri" w:hAnsi="Calibri" w:eastAsia="Calibri"/>
                <w:b/>
                <w:sz w:val="24"/>
              </w:rPr>
              <w:t>6‐1</w:t>
            </w:r>
            <w:r>
              <w:rPr>
                <w:rFonts w:ascii="Calibri" w:hAnsi="Calibri" w:eastAsia="Calibri"/>
                <w:b/>
                <w:spacing w:val="4"/>
                <w:sz w:val="24"/>
              </w:rPr>
              <w:t> </w:t>
            </w:r>
            <w:r>
              <w:rPr>
                <w:b/>
                <w:sz w:val="24"/>
              </w:rPr>
              <w:t>法案主要影響對象</w:t>
            </w:r>
          </w:p>
        </w:tc>
        <w:tc>
          <w:tcPr>
            <w:tcW w:w="3741"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35"/>
              <w:ind w:left="481" w:right="-29" w:hanging="480"/>
              <w:rPr>
                <w:sz w:val="24"/>
              </w:rPr>
            </w:pPr>
            <w:r>
              <w:rPr>
                <w:sz w:val="24"/>
              </w:rPr>
              <w:t>一、依公務人員任用法任用之公務人員。</w:t>
            </w:r>
          </w:p>
          <w:p>
            <w:pPr>
              <w:pStyle w:val="TableParagraph"/>
              <w:spacing w:line="256" w:lineRule="auto" w:before="2"/>
              <w:ind w:left="481" w:right="-29" w:hanging="480"/>
              <w:jc w:val="both"/>
              <w:rPr>
                <w:sz w:val="24"/>
              </w:rPr>
            </w:pPr>
            <w:r>
              <w:rPr>
                <w:sz w:val="24"/>
              </w:rPr>
              <w:t>二、教育人員任用條例公布施行前</w:t>
            </w:r>
            <w:r>
              <w:rPr>
                <w:spacing w:val="11"/>
                <w:sz w:val="24"/>
              </w:rPr>
              <w:t>已進用未經銓敘合格之公立學</w:t>
            </w:r>
            <w:r>
              <w:rPr>
                <w:sz w:val="24"/>
              </w:rPr>
              <w:t>校職員。</w:t>
            </w:r>
          </w:p>
          <w:p>
            <w:pPr>
              <w:pStyle w:val="TableParagraph"/>
              <w:spacing w:line="256" w:lineRule="auto" w:before="3"/>
              <w:ind w:left="481" w:right="-29" w:hanging="480"/>
              <w:rPr>
                <w:sz w:val="24"/>
              </w:rPr>
            </w:pPr>
            <w:r>
              <w:rPr>
                <w:sz w:val="24"/>
              </w:rPr>
              <w:t>三、私立學校改制為公立學校未具任用資格之留用人員。</w:t>
            </w:r>
          </w:p>
          <w:p>
            <w:pPr>
              <w:pStyle w:val="TableParagraph"/>
              <w:spacing w:before="2"/>
              <w:ind w:left="1"/>
              <w:rPr>
                <w:sz w:val="24"/>
              </w:rPr>
            </w:pPr>
            <w:r>
              <w:rPr>
                <w:sz w:val="24"/>
              </w:rPr>
              <w:t>四、公營事業依法任用之人員。</w:t>
            </w:r>
          </w:p>
          <w:p>
            <w:pPr>
              <w:pStyle w:val="TableParagraph"/>
              <w:spacing w:before="24"/>
              <w:ind w:left="1" w:right="-29"/>
              <w:rPr>
                <w:sz w:val="24"/>
              </w:rPr>
            </w:pPr>
            <w:r>
              <w:rPr>
                <w:sz w:val="24"/>
              </w:rPr>
              <w:t>五、各機關依法派用、聘用、聘任</w:t>
            </w:r>
          </w:p>
          <w:p>
            <w:pPr>
              <w:pStyle w:val="TableParagraph"/>
              <w:spacing w:before="24"/>
              <w:ind w:left="481"/>
              <w:rPr>
                <w:sz w:val="24"/>
              </w:rPr>
            </w:pPr>
            <w:r>
              <w:rPr>
                <w:sz w:val="24"/>
              </w:rPr>
              <w:t>、僱用或留用人員。</w:t>
            </w:r>
          </w:p>
          <w:p>
            <w:pPr>
              <w:pStyle w:val="TableParagraph"/>
              <w:spacing w:line="360" w:lineRule="atLeast"/>
              <w:ind w:left="481" w:right="-15" w:hanging="480"/>
              <w:rPr>
                <w:sz w:val="24"/>
              </w:rPr>
            </w:pPr>
            <w:r>
              <w:rPr>
                <w:sz w:val="24"/>
              </w:rPr>
              <w:t>六、應各種公務人員考試錄取之占缺訓練人員。</w:t>
            </w:r>
          </w:p>
        </w:tc>
        <w:tc>
          <w:tcPr>
            <w:tcW w:w="3331"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35"/>
              <w:ind w:right="84"/>
              <w:rPr>
                <w:sz w:val="24"/>
              </w:rPr>
            </w:pPr>
            <w:r>
              <w:rPr>
                <w:sz w:val="24"/>
              </w:rPr>
              <w:t>請說明法案內容主要影響之機關（構</w:t>
            </w:r>
            <w:r>
              <w:rPr>
                <w:spacing w:val="-120"/>
                <w:sz w:val="24"/>
              </w:rPr>
              <w:t>）</w:t>
            </w:r>
            <w:r>
              <w:rPr>
                <w:sz w:val="24"/>
              </w:rPr>
              <w:t>、團體或人員。</w:t>
            </w:r>
          </w:p>
        </w:tc>
      </w:tr>
      <w:tr>
        <w:trPr>
          <w:trHeight w:val="2109" w:hRule="atLeast"/>
        </w:trPr>
        <w:tc>
          <w:tcPr>
            <w:tcW w:w="2762" w:type="dxa"/>
            <w:tcBorders>
              <w:top w:val="single" w:sz="4" w:space="0" w:color="000000"/>
              <w:left w:val="single" w:sz="4" w:space="0" w:color="000000"/>
              <w:bottom w:val="single" w:sz="4" w:space="0" w:color="000000"/>
              <w:right w:val="single" w:sz="4" w:space="0" w:color="000000"/>
            </w:tcBorders>
          </w:tcPr>
          <w:p>
            <w:pPr>
              <w:pStyle w:val="TableParagraph"/>
              <w:rPr>
                <w:b/>
                <w:sz w:val="24"/>
              </w:rPr>
            </w:pPr>
          </w:p>
          <w:p>
            <w:pPr>
              <w:pStyle w:val="TableParagraph"/>
              <w:rPr>
                <w:b/>
                <w:sz w:val="24"/>
              </w:rPr>
            </w:pPr>
          </w:p>
          <w:p>
            <w:pPr>
              <w:pStyle w:val="TableParagraph"/>
              <w:spacing w:before="6"/>
              <w:rPr>
                <w:b/>
                <w:sz w:val="16"/>
              </w:rPr>
            </w:pPr>
          </w:p>
          <w:p>
            <w:pPr>
              <w:pStyle w:val="TableParagraph"/>
              <w:spacing w:before="1"/>
              <w:ind w:left="107"/>
              <w:rPr>
                <w:b/>
                <w:sz w:val="24"/>
              </w:rPr>
            </w:pPr>
            <w:r>
              <w:rPr>
                <w:rFonts w:ascii="Calibri" w:hAnsi="Calibri" w:eastAsia="Calibri"/>
                <w:b/>
                <w:sz w:val="24"/>
              </w:rPr>
              <w:t>6‐2</w:t>
            </w:r>
            <w:r>
              <w:rPr>
                <w:rFonts w:ascii="Calibri" w:hAnsi="Calibri" w:eastAsia="Calibri"/>
                <w:b/>
                <w:spacing w:val="4"/>
                <w:sz w:val="24"/>
              </w:rPr>
              <w:t> </w:t>
            </w:r>
            <w:r>
              <w:rPr>
                <w:b/>
                <w:sz w:val="24"/>
              </w:rPr>
              <w:t>對外意見徵詢</w:t>
            </w:r>
          </w:p>
        </w:tc>
        <w:tc>
          <w:tcPr>
            <w:tcW w:w="3741" w:type="dxa"/>
            <w:tcBorders>
              <w:top w:val="single" w:sz="4" w:space="0" w:color="000000"/>
              <w:left w:val="single" w:sz="4" w:space="0" w:color="000000"/>
              <w:bottom w:val="single" w:sz="4" w:space="0" w:color="000000"/>
              <w:right w:val="single" w:sz="4" w:space="0" w:color="000000"/>
            </w:tcBorders>
          </w:tcPr>
          <w:p>
            <w:pPr>
              <w:pStyle w:val="TableParagraph"/>
              <w:spacing w:line="360" w:lineRule="atLeast"/>
              <w:ind w:left="1" w:right="-29"/>
              <w:jc w:val="both"/>
              <w:rPr>
                <w:sz w:val="24"/>
              </w:rPr>
            </w:pPr>
            <w:r>
              <w:rPr>
                <w:sz w:val="24"/>
              </w:rPr>
              <w:t>保障法部分條文修正草案涉及各機關所屬公務人員權益，為期周妥，</w:t>
            </w:r>
            <w:r>
              <w:rPr>
                <w:spacing w:val="1"/>
                <w:sz w:val="24"/>
              </w:rPr>
              <w:t> </w:t>
            </w:r>
            <w:r>
              <w:rPr>
                <w:spacing w:val="-15"/>
                <w:sz w:val="24"/>
              </w:rPr>
              <w:t>本會於 </w:t>
            </w:r>
            <w:r>
              <w:rPr>
                <w:rFonts w:ascii="Calibri" w:hAnsi="Calibri" w:eastAsia="Calibri"/>
                <w:sz w:val="24"/>
              </w:rPr>
              <w:t>104</w:t>
            </w:r>
            <w:r>
              <w:rPr>
                <w:rFonts w:ascii="Calibri" w:hAnsi="Calibri" w:eastAsia="Calibri"/>
                <w:spacing w:val="7"/>
                <w:sz w:val="24"/>
              </w:rPr>
              <w:t> </w:t>
            </w:r>
            <w:r>
              <w:rPr>
                <w:spacing w:val="-30"/>
                <w:sz w:val="24"/>
              </w:rPr>
              <w:t>年 </w:t>
            </w:r>
            <w:r>
              <w:rPr>
                <w:rFonts w:ascii="Calibri" w:hAnsi="Calibri" w:eastAsia="Calibri"/>
                <w:sz w:val="24"/>
              </w:rPr>
              <w:t>12</w:t>
            </w:r>
            <w:r>
              <w:rPr>
                <w:rFonts w:ascii="Calibri" w:hAnsi="Calibri" w:eastAsia="Calibri"/>
                <w:spacing w:val="6"/>
                <w:sz w:val="24"/>
              </w:rPr>
              <w:t> </w:t>
            </w:r>
            <w:r>
              <w:rPr>
                <w:spacing w:val="-29"/>
                <w:sz w:val="24"/>
              </w:rPr>
              <w:t>月 </w:t>
            </w:r>
            <w:r>
              <w:rPr>
                <w:rFonts w:ascii="Calibri" w:hAnsi="Calibri" w:eastAsia="Calibri"/>
                <w:sz w:val="24"/>
              </w:rPr>
              <w:t>2</w:t>
            </w:r>
            <w:r>
              <w:rPr>
                <w:rFonts w:ascii="Calibri" w:hAnsi="Calibri" w:eastAsia="Calibri"/>
                <w:spacing w:val="7"/>
                <w:sz w:val="24"/>
              </w:rPr>
              <w:t> </w:t>
            </w:r>
            <w:r>
              <w:rPr>
                <w:sz w:val="24"/>
              </w:rPr>
              <w:t>日邀集中央及地方各主管機關召開研商「公務人</w:t>
            </w:r>
            <w:r>
              <w:rPr>
                <w:spacing w:val="26"/>
                <w:sz w:val="24"/>
              </w:rPr>
              <w:t>員保障法部分條文修正草案」會</w:t>
            </w:r>
            <w:r>
              <w:rPr>
                <w:spacing w:val="-7"/>
                <w:sz w:val="24"/>
              </w:rPr>
              <w:t>議，各機關意見如下述 </w:t>
            </w:r>
            <w:r>
              <w:rPr>
                <w:rFonts w:ascii="Calibri" w:hAnsi="Calibri" w:eastAsia="Calibri"/>
                <w:sz w:val="24"/>
              </w:rPr>
              <w:t>6‐3</w:t>
            </w:r>
            <w:r>
              <w:rPr>
                <w:sz w:val="24"/>
              </w:rPr>
              <w:t>。</w:t>
            </w:r>
          </w:p>
        </w:tc>
        <w:tc>
          <w:tcPr>
            <w:tcW w:w="3331" w:type="dxa"/>
            <w:vMerge w:val="restart"/>
            <w:tcBorders>
              <w:top w:val="single" w:sz="4" w:space="0" w:color="000000"/>
              <w:left w:val="single" w:sz="4" w:space="0" w:color="000000"/>
              <w:bottom w:val="thickThinMediumGap" w:sz="12" w:space="0" w:color="000000"/>
              <w:right w:val="single" w:sz="4" w:space="0" w:color="000000"/>
            </w:tcBorders>
          </w:tcPr>
          <w:p>
            <w:pPr>
              <w:pStyle w:val="TableParagraph"/>
              <w:numPr>
                <w:ilvl w:val="0"/>
                <w:numId w:val="3"/>
              </w:numPr>
              <w:tabs>
                <w:tab w:pos="451" w:val="left" w:leader="none"/>
              </w:tabs>
              <w:spacing w:line="256" w:lineRule="auto" w:before="2" w:after="0"/>
              <w:ind w:left="450" w:right="84" w:hanging="360"/>
              <w:jc w:val="both"/>
              <w:rPr>
                <w:sz w:val="24"/>
              </w:rPr>
            </w:pPr>
            <w:r>
              <w:rPr>
                <w:spacing w:val="11"/>
                <w:sz w:val="24"/>
              </w:rPr>
              <w:t>請說明對社會各界徵詢意</w:t>
            </w:r>
            <w:r>
              <w:rPr>
                <w:sz w:val="24"/>
              </w:rPr>
              <w:t>見及與相關機關（構</w:t>
            </w:r>
            <w:r>
              <w:rPr>
                <w:spacing w:val="-119"/>
                <w:sz w:val="24"/>
              </w:rPr>
              <w:t>）</w:t>
            </w:r>
            <w:r>
              <w:rPr>
                <w:sz w:val="24"/>
              </w:rPr>
              <w:t>、地</w:t>
            </w:r>
            <w:r>
              <w:rPr>
                <w:spacing w:val="11"/>
                <w:sz w:val="24"/>
              </w:rPr>
              <w:t>方自治團體協商之人事時</w:t>
            </w:r>
            <w:r>
              <w:rPr>
                <w:sz w:val="24"/>
              </w:rPr>
              <w:t>地。</w:t>
            </w:r>
          </w:p>
          <w:p>
            <w:pPr>
              <w:pStyle w:val="TableParagraph"/>
              <w:numPr>
                <w:ilvl w:val="0"/>
                <w:numId w:val="3"/>
              </w:numPr>
              <w:tabs>
                <w:tab w:pos="451" w:val="left" w:leader="none"/>
              </w:tabs>
              <w:spacing w:line="256" w:lineRule="auto" w:before="3" w:after="0"/>
              <w:ind w:left="450" w:right="72" w:hanging="360"/>
              <w:jc w:val="both"/>
              <w:rPr>
                <w:sz w:val="24"/>
              </w:rPr>
            </w:pPr>
            <w:r>
              <w:rPr>
                <w:spacing w:val="13"/>
                <w:sz w:val="24"/>
              </w:rPr>
              <w:t>徵詢或協商時，應敘明其重要事項、有無爭議、相關條文、主要意見、參採與否及其理由（含國際參</w:t>
            </w:r>
            <w:r>
              <w:rPr>
                <w:spacing w:val="25"/>
                <w:sz w:val="24"/>
              </w:rPr>
              <w:t>考案例</w:t>
            </w:r>
            <w:r>
              <w:rPr>
                <w:spacing w:val="-95"/>
                <w:sz w:val="24"/>
              </w:rPr>
              <w:t>）</w:t>
            </w:r>
            <w:r>
              <w:rPr>
                <w:spacing w:val="22"/>
                <w:sz w:val="24"/>
              </w:rPr>
              <w:t>，並請填列於附</w:t>
            </w:r>
            <w:r>
              <w:rPr>
                <w:spacing w:val="13"/>
                <w:sz w:val="24"/>
              </w:rPr>
              <w:t>表；如有其他相關資料，</w:t>
            </w:r>
            <w:r>
              <w:rPr>
                <w:spacing w:val="-118"/>
                <w:sz w:val="24"/>
              </w:rPr>
              <w:t> </w:t>
            </w:r>
            <w:r>
              <w:rPr>
                <w:sz w:val="24"/>
              </w:rPr>
              <w:t>亦請一併檢附。</w:t>
            </w:r>
          </w:p>
          <w:p>
            <w:pPr>
              <w:pStyle w:val="TableParagraph"/>
              <w:numPr>
                <w:ilvl w:val="0"/>
                <w:numId w:val="3"/>
              </w:numPr>
              <w:tabs>
                <w:tab w:pos="451" w:val="left" w:leader="none"/>
              </w:tabs>
              <w:spacing w:line="256" w:lineRule="auto" w:before="6" w:after="0"/>
              <w:ind w:left="450" w:right="84" w:hanging="360"/>
              <w:jc w:val="both"/>
              <w:rPr>
                <w:sz w:val="24"/>
              </w:rPr>
            </w:pPr>
            <w:r>
              <w:rPr>
                <w:spacing w:val="11"/>
                <w:sz w:val="24"/>
              </w:rPr>
              <w:t>對社會各界徵詢意見，應</w:t>
            </w:r>
            <w:r>
              <w:rPr>
                <w:sz w:val="24"/>
              </w:rPr>
              <w:t>落實性別參與。</w:t>
            </w:r>
          </w:p>
        </w:tc>
      </w:tr>
      <w:tr>
        <w:trPr>
          <w:trHeight w:val="5670" w:hRule="atLeast"/>
        </w:trPr>
        <w:tc>
          <w:tcPr>
            <w:tcW w:w="2762" w:type="dxa"/>
            <w:tcBorders>
              <w:top w:val="single" w:sz="4" w:space="0" w:color="000000"/>
              <w:left w:val="single" w:sz="4" w:space="0" w:color="000000"/>
              <w:bottom w:val="thickThinMediumGap" w:sz="12" w:space="0" w:color="000000"/>
              <w:right w:val="single" w:sz="4"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33"/>
              </w:rPr>
            </w:pPr>
          </w:p>
          <w:p>
            <w:pPr>
              <w:pStyle w:val="TableParagraph"/>
              <w:spacing w:line="256" w:lineRule="auto"/>
              <w:ind w:left="544" w:right="26" w:hanging="449"/>
              <w:rPr>
                <w:b/>
                <w:sz w:val="24"/>
              </w:rPr>
            </w:pPr>
            <w:r>
              <w:rPr>
                <w:rFonts w:ascii="Calibri" w:hAnsi="Calibri" w:eastAsia="Calibri"/>
                <w:b/>
                <w:sz w:val="24"/>
              </w:rPr>
              <w:t>6‐3</w:t>
            </w:r>
            <w:r>
              <w:rPr>
                <w:rFonts w:ascii="Calibri" w:hAnsi="Calibri" w:eastAsia="Calibri"/>
                <w:b/>
                <w:spacing w:val="23"/>
                <w:sz w:val="24"/>
              </w:rPr>
              <w:t> </w:t>
            </w:r>
            <w:r>
              <w:rPr>
                <w:b/>
                <w:sz w:val="24"/>
              </w:rPr>
              <w:t>與相關機關（構）及地方自治團體協商</w:t>
            </w:r>
          </w:p>
        </w:tc>
        <w:tc>
          <w:tcPr>
            <w:tcW w:w="3741" w:type="dxa"/>
            <w:tcBorders>
              <w:top w:val="single" w:sz="4" w:space="0" w:color="000000"/>
              <w:left w:val="single" w:sz="4" w:space="0" w:color="000000"/>
              <w:bottom w:val="thickThinMediumGap" w:sz="12" w:space="0" w:color="000000"/>
              <w:right w:val="single" w:sz="4" w:space="0" w:color="000000"/>
            </w:tcBorders>
          </w:tcPr>
          <w:p>
            <w:pPr>
              <w:pStyle w:val="TableParagraph"/>
              <w:spacing w:line="281" w:lineRule="exact"/>
              <w:ind w:left="135" w:right="-15"/>
              <w:rPr>
                <w:sz w:val="24"/>
              </w:rPr>
            </w:pPr>
            <w:r>
              <w:rPr>
                <w:spacing w:val="-1"/>
                <w:sz w:val="24"/>
              </w:rPr>
              <w:t>一、各機關除就保障法第</w:t>
            </w:r>
            <w:r>
              <w:rPr>
                <w:rFonts w:ascii="Calibri" w:eastAsia="Calibri"/>
                <w:spacing w:val="-1"/>
                <w:sz w:val="24"/>
              </w:rPr>
              <w:t>17</w:t>
            </w:r>
            <w:r>
              <w:rPr>
                <w:sz w:val="24"/>
              </w:rPr>
              <w:t>條及第</w:t>
            </w:r>
          </w:p>
          <w:p>
            <w:pPr>
              <w:pStyle w:val="TableParagraph"/>
              <w:spacing w:line="256" w:lineRule="auto" w:before="24"/>
              <w:ind w:left="615" w:right="-15"/>
              <w:jc w:val="both"/>
              <w:rPr>
                <w:sz w:val="24"/>
              </w:rPr>
            </w:pPr>
            <w:r>
              <w:rPr>
                <w:rFonts w:ascii="Calibri" w:eastAsia="Calibri"/>
                <w:sz w:val="24"/>
              </w:rPr>
              <w:t>23</w:t>
            </w:r>
            <w:r>
              <w:rPr>
                <w:sz w:val="24"/>
              </w:rPr>
              <w:t>條提出具體之修正意見外（</w:t>
            </w:r>
            <w:r>
              <w:rPr>
                <w:spacing w:val="-118"/>
                <w:sz w:val="24"/>
              </w:rPr>
              <w:t> </w:t>
            </w:r>
            <w:r>
              <w:rPr>
                <w:spacing w:val="10"/>
                <w:sz w:val="24"/>
              </w:rPr>
              <w:t>詳下述</w:t>
            </w:r>
            <w:r>
              <w:rPr>
                <w:spacing w:val="-111"/>
                <w:sz w:val="24"/>
              </w:rPr>
              <w:t>）</w:t>
            </w:r>
            <w:r>
              <w:rPr>
                <w:spacing w:val="10"/>
                <w:sz w:val="24"/>
              </w:rPr>
              <w:t>，另就修正草案第</w:t>
            </w:r>
            <w:r>
              <w:rPr>
                <w:rFonts w:ascii="Calibri" w:eastAsia="Calibri"/>
                <w:spacing w:val="-7"/>
                <w:sz w:val="24"/>
              </w:rPr>
              <w:t>24</w:t>
            </w:r>
            <w:r>
              <w:rPr>
                <w:spacing w:val="10"/>
                <w:sz w:val="24"/>
              </w:rPr>
              <w:t>條之</w:t>
            </w:r>
            <w:r>
              <w:rPr>
                <w:rFonts w:ascii="Calibri" w:eastAsia="Calibri"/>
                <w:spacing w:val="10"/>
                <w:sz w:val="24"/>
              </w:rPr>
              <w:t>1</w:t>
            </w:r>
            <w:r>
              <w:rPr>
                <w:spacing w:val="9"/>
                <w:sz w:val="24"/>
              </w:rPr>
              <w:t>提出文字修正意見，獲</w:t>
            </w:r>
            <w:r>
              <w:rPr>
                <w:sz w:val="24"/>
              </w:rPr>
              <w:t>本會採納，本會所擬其餘修正條文草案，均獲同意。</w:t>
            </w:r>
          </w:p>
          <w:p>
            <w:pPr>
              <w:pStyle w:val="TableParagraph"/>
              <w:spacing w:line="256" w:lineRule="auto" w:before="4"/>
              <w:ind w:left="615" w:right="-15" w:hanging="480"/>
              <w:rPr>
                <w:sz w:val="24"/>
              </w:rPr>
            </w:pPr>
            <w:r>
              <w:rPr>
                <w:sz w:val="24"/>
              </w:rPr>
              <w:t>二、銓敘部建議修正第</w:t>
            </w:r>
            <w:r>
              <w:rPr>
                <w:rFonts w:ascii="Calibri" w:eastAsia="Calibri"/>
                <w:sz w:val="24"/>
              </w:rPr>
              <w:t>17</w:t>
            </w:r>
            <w:r>
              <w:rPr>
                <w:sz w:val="24"/>
              </w:rPr>
              <w:t>條及本會之回應</w:t>
            </w:r>
          </w:p>
          <w:p>
            <w:pPr>
              <w:pStyle w:val="TableParagraph"/>
              <w:spacing w:line="256" w:lineRule="auto" w:before="2"/>
              <w:ind w:left="826" w:right="-29" w:hanging="720"/>
              <w:jc w:val="both"/>
              <w:rPr>
                <w:sz w:val="24"/>
              </w:rPr>
            </w:pPr>
            <w:r>
              <w:rPr>
                <w:sz w:val="24"/>
              </w:rPr>
              <w:t>（一）銓敘部認為，實務上，長官下達書面命令時，係以打字為之，如未署名，即無從判別係由何人所為。爰建請將</w:t>
            </w:r>
            <w:r>
              <w:rPr>
                <w:spacing w:val="13"/>
                <w:sz w:val="24"/>
              </w:rPr>
              <w:t>保障法第</w:t>
            </w:r>
            <w:r>
              <w:rPr>
                <w:rFonts w:ascii="Calibri" w:eastAsia="Calibri"/>
                <w:sz w:val="24"/>
              </w:rPr>
              <w:t>17</w:t>
            </w:r>
            <w:r>
              <w:rPr>
                <w:spacing w:val="13"/>
                <w:sz w:val="24"/>
              </w:rPr>
              <w:t>條第</w:t>
            </w:r>
            <w:r>
              <w:rPr>
                <w:rFonts w:ascii="Calibri" w:eastAsia="Calibri"/>
                <w:spacing w:val="12"/>
                <w:sz w:val="24"/>
              </w:rPr>
              <w:t>1</w:t>
            </w:r>
            <w:r>
              <w:rPr>
                <w:spacing w:val="13"/>
                <w:sz w:val="24"/>
              </w:rPr>
              <w:t>項修正為</w:t>
            </w:r>
          </w:p>
          <w:p>
            <w:pPr>
              <w:pStyle w:val="TableParagraph"/>
              <w:spacing w:line="256" w:lineRule="auto" w:before="5"/>
              <w:ind w:left="826" w:right="-29"/>
              <w:rPr>
                <w:sz w:val="24"/>
              </w:rPr>
            </w:pPr>
            <w:r>
              <w:rPr>
                <w:sz w:val="24"/>
              </w:rPr>
              <w:t>：「公務人員對於長官監督範圍內所發之命令有服從之</w:t>
            </w:r>
          </w:p>
          <w:p>
            <w:pPr>
              <w:pStyle w:val="TableParagraph"/>
              <w:spacing w:line="305" w:lineRule="exact" w:before="1"/>
              <w:ind w:left="826" w:right="-15"/>
              <w:rPr>
                <w:sz w:val="24"/>
              </w:rPr>
            </w:pPr>
            <w:r>
              <w:rPr>
                <w:sz w:val="24"/>
              </w:rPr>
              <w:t>義務，如認為該命令違法，</w:t>
            </w:r>
          </w:p>
        </w:tc>
        <w:tc>
          <w:tcPr>
            <w:tcW w:w="3331" w:type="dxa"/>
            <w:vMerge/>
            <w:tcBorders>
              <w:top w:val="nil"/>
              <w:left w:val="single" w:sz="4" w:space="0" w:color="000000"/>
              <w:bottom w:val="thickThinMediumGap" w:sz="12" w:space="0" w:color="000000"/>
              <w:right w:val="single" w:sz="4" w:space="0" w:color="000000"/>
            </w:tcBorders>
          </w:tcPr>
          <w:p>
            <w:pPr>
              <w:rPr>
                <w:sz w:val="2"/>
                <w:szCs w:val="2"/>
              </w:rPr>
            </w:pPr>
          </w:p>
        </w:tc>
      </w:tr>
    </w:tbl>
    <w:p>
      <w:pPr>
        <w:spacing w:after="0"/>
        <w:rPr>
          <w:sz w:val="2"/>
          <w:szCs w:val="2"/>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2"/>
        <w:gridCol w:w="3741"/>
        <w:gridCol w:w="3331"/>
      </w:tblGrid>
      <w:tr>
        <w:trPr>
          <w:trHeight w:val="14040" w:hRule="atLeast"/>
        </w:trPr>
        <w:tc>
          <w:tcPr>
            <w:tcW w:w="2762" w:type="dxa"/>
            <w:tcBorders>
              <w:bottom w:val="thickThinMediumGap" w:sz="12" w:space="0" w:color="000000"/>
            </w:tcBorders>
          </w:tcPr>
          <w:p>
            <w:pPr>
              <w:pStyle w:val="TableParagraph"/>
              <w:rPr>
                <w:rFonts w:ascii="Times New Roman"/>
                <w:sz w:val="24"/>
              </w:rPr>
            </w:pPr>
          </w:p>
        </w:tc>
        <w:tc>
          <w:tcPr>
            <w:tcW w:w="3741" w:type="dxa"/>
            <w:tcBorders>
              <w:bottom w:val="thickThinMediumGap" w:sz="12" w:space="0" w:color="000000"/>
            </w:tcBorders>
          </w:tcPr>
          <w:p>
            <w:pPr>
              <w:pStyle w:val="TableParagraph"/>
              <w:spacing w:line="256" w:lineRule="auto" w:before="29"/>
              <w:ind w:left="826" w:right="-29"/>
              <w:jc w:val="both"/>
              <w:rPr>
                <w:sz w:val="24"/>
              </w:rPr>
            </w:pPr>
            <w:r>
              <w:rPr>
                <w:sz w:val="24"/>
              </w:rPr>
              <w:t>應負報告之義務；該管長官如認其命令並未違法，而以書面</w:t>
            </w:r>
            <w:r>
              <w:rPr>
                <w:sz w:val="24"/>
                <w:u w:val="single"/>
              </w:rPr>
              <w:t>署名</w:t>
            </w:r>
            <w:r>
              <w:rPr>
                <w:sz w:val="24"/>
              </w:rPr>
              <w:t>下達時，公務人員應即服從；其因此所生之責任，由該長官負之。但其命令有違反刑事法律者，公務</w:t>
            </w:r>
            <w:r>
              <w:rPr>
                <w:spacing w:val="13"/>
                <w:sz w:val="24"/>
              </w:rPr>
              <w:t>人員無服從之義務。」第</w:t>
            </w:r>
            <w:r>
              <w:rPr>
                <w:rFonts w:ascii="Calibri" w:eastAsia="Calibri"/>
                <w:sz w:val="24"/>
              </w:rPr>
              <w:t>2</w:t>
            </w:r>
            <w:r>
              <w:rPr>
                <w:rFonts w:ascii="Calibri" w:eastAsia="Calibri"/>
                <w:spacing w:val="-52"/>
                <w:sz w:val="24"/>
              </w:rPr>
              <w:t> </w:t>
            </w:r>
            <w:r>
              <w:rPr>
                <w:sz w:val="24"/>
              </w:rPr>
              <w:t>項修正為「前項情形，該管長官非以書面</w:t>
            </w:r>
            <w:r>
              <w:rPr>
                <w:sz w:val="24"/>
                <w:u w:val="single"/>
              </w:rPr>
              <w:t>署名</w:t>
            </w:r>
            <w:r>
              <w:rPr>
                <w:sz w:val="24"/>
              </w:rPr>
              <w:t>下達命令者，公務人員得請求其以書面</w:t>
            </w:r>
            <w:r>
              <w:rPr>
                <w:sz w:val="24"/>
                <w:u w:val="single"/>
              </w:rPr>
              <w:t>署名</w:t>
            </w:r>
            <w:r>
              <w:rPr>
                <w:sz w:val="24"/>
              </w:rPr>
              <w:t>為之，該管長官拒絕時，視為撤回其命令。」</w:t>
            </w:r>
          </w:p>
          <w:p>
            <w:pPr>
              <w:pStyle w:val="TableParagraph"/>
              <w:spacing w:line="256" w:lineRule="auto" w:before="11"/>
              <w:ind w:left="826" w:right="-15" w:hanging="720"/>
              <w:rPr>
                <w:sz w:val="24"/>
              </w:rPr>
            </w:pPr>
            <w:r>
              <w:rPr>
                <w:sz w:val="24"/>
              </w:rPr>
              <w:t>（二）參酌該部建議意見，已修正本條文字。</w:t>
            </w:r>
          </w:p>
          <w:p>
            <w:pPr>
              <w:pStyle w:val="TableParagraph"/>
              <w:spacing w:line="256" w:lineRule="auto" w:before="2"/>
              <w:ind w:left="615" w:right="-15" w:hanging="480"/>
              <w:rPr>
                <w:sz w:val="24"/>
              </w:rPr>
            </w:pPr>
            <w:r>
              <w:rPr>
                <w:sz w:val="24"/>
              </w:rPr>
              <w:t>三、行政院人事行政總處建議修正第</w:t>
            </w:r>
            <w:r>
              <w:rPr>
                <w:rFonts w:ascii="Calibri" w:eastAsia="Calibri"/>
                <w:sz w:val="24"/>
              </w:rPr>
              <w:t>23</w:t>
            </w:r>
            <w:r>
              <w:rPr>
                <w:sz w:val="24"/>
              </w:rPr>
              <w:t>條及本會之回應</w:t>
            </w:r>
          </w:p>
          <w:p>
            <w:pPr>
              <w:pStyle w:val="TableParagraph"/>
              <w:spacing w:line="256" w:lineRule="auto" w:before="2"/>
              <w:ind w:left="826" w:right="-29" w:hanging="720"/>
              <w:jc w:val="both"/>
              <w:rPr>
                <w:sz w:val="24"/>
              </w:rPr>
            </w:pPr>
            <w:r>
              <w:rPr>
                <w:sz w:val="24"/>
              </w:rPr>
              <w:t>（一）行政院人事行政總處認為，</w:t>
            </w:r>
            <w:r>
              <w:rPr>
                <w:spacing w:val="-118"/>
                <w:sz w:val="24"/>
              </w:rPr>
              <w:t> </w:t>
            </w:r>
            <w:r>
              <w:rPr>
                <w:sz w:val="24"/>
              </w:rPr>
              <w:t>依該總處</w:t>
            </w:r>
            <w:r>
              <w:rPr>
                <w:rFonts w:ascii="Calibri" w:eastAsia="Calibri"/>
                <w:sz w:val="24"/>
              </w:rPr>
              <w:t>104</w:t>
            </w:r>
            <w:r>
              <w:rPr>
                <w:sz w:val="24"/>
              </w:rPr>
              <w:t>年</w:t>
            </w:r>
            <w:r>
              <w:rPr>
                <w:rFonts w:ascii="Calibri" w:eastAsia="Calibri"/>
                <w:sz w:val="24"/>
              </w:rPr>
              <w:t>7</w:t>
            </w:r>
            <w:r>
              <w:rPr>
                <w:sz w:val="24"/>
              </w:rPr>
              <w:t>月</w:t>
            </w:r>
            <w:r>
              <w:rPr>
                <w:rFonts w:ascii="Calibri" w:eastAsia="Calibri"/>
                <w:sz w:val="24"/>
              </w:rPr>
              <w:t>13</w:t>
            </w:r>
            <w:r>
              <w:rPr>
                <w:sz w:val="24"/>
              </w:rPr>
              <w:t>日及同年月</w:t>
            </w:r>
            <w:r>
              <w:rPr>
                <w:rFonts w:ascii="Calibri" w:eastAsia="Calibri"/>
                <w:sz w:val="24"/>
              </w:rPr>
              <w:t>15</w:t>
            </w:r>
            <w:r>
              <w:rPr>
                <w:sz w:val="24"/>
              </w:rPr>
              <w:t>日召開之「軍公教人員法定給與以外其他給與項目法制化推動計畫」審查小組會議決議略以，就各給與項目法制化型態評估結果之處理原則，如給與項目性質為本職工作衍生之給付，應以法律或法律明確授權為依據。其中加班費部分，雖為保障法加班補償方式之一，</w:t>
            </w:r>
            <w:r>
              <w:rPr>
                <w:spacing w:val="-118"/>
                <w:sz w:val="24"/>
              </w:rPr>
              <w:t> </w:t>
            </w:r>
            <w:r>
              <w:rPr>
                <w:sz w:val="24"/>
              </w:rPr>
              <w:t>但未就其發給訂定實質授權規定，不宜逕以保障法第</w:t>
            </w:r>
            <w:r>
              <w:rPr>
                <w:rFonts w:ascii="Calibri" w:eastAsia="Calibri"/>
                <w:sz w:val="24"/>
              </w:rPr>
              <w:t>23</w:t>
            </w:r>
            <w:r>
              <w:rPr>
                <w:rFonts w:ascii="Calibri" w:eastAsia="Calibri"/>
                <w:spacing w:val="-52"/>
                <w:sz w:val="24"/>
              </w:rPr>
              <w:t> </w:t>
            </w:r>
            <w:r>
              <w:rPr>
                <w:sz w:val="24"/>
              </w:rPr>
              <w:t>條為法律依據，並宜朝修正保障法訂定授權條文方式辦</w:t>
            </w:r>
            <w:r>
              <w:rPr>
                <w:spacing w:val="13"/>
                <w:sz w:val="24"/>
              </w:rPr>
              <w:t>理，爰建議第</w:t>
            </w:r>
            <w:r>
              <w:rPr>
                <w:rFonts w:ascii="Calibri" w:eastAsia="Calibri"/>
                <w:sz w:val="24"/>
              </w:rPr>
              <w:t>23</w:t>
            </w:r>
            <w:r>
              <w:rPr>
                <w:spacing w:val="13"/>
                <w:sz w:val="24"/>
              </w:rPr>
              <w:t>條第</w:t>
            </w:r>
            <w:r>
              <w:rPr>
                <w:rFonts w:ascii="Calibri" w:eastAsia="Calibri"/>
                <w:spacing w:val="12"/>
                <w:sz w:val="24"/>
              </w:rPr>
              <w:t>1</w:t>
            </w:r>
            <w:r>
              <w:rPr>
                <w:spacing w:val="6"/>
                <w:sz w:val="24"/>
              </w:rPr>
              <w:t>項修</w:t>
            </w:r>
            <w:r>
              <w:rPr>
                <w:sz w:val="24"/>
              </w:rPr>
              <w:t>正為︰「公務人員經指派於上班時間以外執行職務者，</w:t>
            </w:r>
            <w:r>
              <w:rPr>
                <w:spacing w:val="-118"/>
                <w:sz w:val="24"/>
              </w:rPr>
              <w:t> </w:t>
            </w:r>
            <w:r>
              <w:rPr>
                <w:sz w:val="24"/>
              </w:rPr>
              <w:t>服務機關應給予加班費、補休假、獎勵或其他相當之補償。</w:t>
            </w:r>
            <w:r>
              <w:rPr>
                <w:sz w:val="24"/>
                <w:u w:val="single"/>
              </w:rPr>
              <w:t>加班費支給條件及基準</w:t>
            </w:r>
          </w:p>
          <w:p>
            <w:pPr>
              <w:pStyle w:val="TableParagraph"/>
              <w:spacing w:line="311" w:lineRule="exact" w:before="19"/>
              <w:ind w:left="826" w:right="-15"/>
              <w:rPr>
                <w:sz w:val="24"/>
              </w:rPr>
            </w:pPr>
            <w:r>
              <w:rPr>
                <w:sz w:val="24"/>
                <w:u w:val="single"/>
              </w:rPr>
              <w:t>等有關事項之規定，由行政</w:t>
            </w:r>
          </w:p>
        </w:tc>
        <w:tc>
          <w:tcPr>
            <w:tcW w:w="3331" w:type="dxa"/>
            <w:tcBorders>
              <w:bottom w:val="thickThinMediumGap" w:sz="12" w:space="0" w:color="000000"/>
            </w:tcBorders>
          </w:tcPr>
          <w:p>
            <w:pPr>
              <w:pStyle w:val="TableParagraph"/>
              <w:rPr>
                <w:rFonts w:ascii="Times New Roman"/>
                <w:sz w:val="24"/>
              </w:rPr>
            </w:pPr>
          </w:p>
        </w:tc>
      </w:tr>
    </w:tbl>
    <w:p>
      <w:pPr>
        <w:spacing w:after="0"/>
        <w:rPr>
          <w:rFonts w:ascii="Times New Roman"/>
          <w:sz w:val="24"/>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0"/>
        <w:gridCol w:w="3735"/>
        <w:gridCol w:w="3332"/>
      </w:tblGrid>
      <w:tr>
        <w:trPr>
          <w:trHeight w:val="12599" w:hRule="atLeast"/>
        </w:trPr>
        <w:tc>
          <w:tcPr>
            <w:tcW w:w="2770" w:type="dxa"/>
            <w:tcBorders>
              <w:bottom w:val="thickThinMediumGap" w:sz="12" w:space="0" w:color="000000"/>
            </w:tcBorders>
          </w:tcPr>
          <w:p>
            <w:pPr>
              <w:pStyle w:val="TableParagraph"/>
              <w:rPr>
                <w:rFonts w:ascii="Times New Roman"/>
                <w:sz w:val="24"/>
              </w:rPr>
            </w:pPr>
          </w:p>
        </w:tc>
        <w:tc>
          <w:tcPr>
            <w:tcW w:w="3735" w:type="dxa"/>
            <w:tcBorders>
              <w:bottom w:val="thickThinMediumGap" w:sz="12" w:space="0" w:color="000000"/>
            </w:tcBorders>
          </w:tcPr>
          <w:p>
            <w:pPr>
              <w:pStyle w:val="TableParagraph"/>
              <w:spacing w:line="256" w:lineRule="auto" w:before="29"/>
              <w:ind w:left="819" w:right="-29"/>
              <w:jc w:val="both"/>
              <w:rPr>
                <w:sz w:val="24"/>
              </w:rPr>
            </w:pPr>
            <w:r>
              <w:rPr>
                <w:sz w:val="24"/>
                <w:u w:val="single"/>
              </w:rPr>
              <w:t>院定之。</w:t>
            </w:r>
            <w:r>
              <w:rPr>
                <w:sz w:val="24"/>
              </w:rPr>
              <w:t>」又各給與項目除加班費以外之其他因本職工作衍生之給付（如法務部所屬檢察機關相驗解剖費等</w:t>
            </w:r>
            <w:r>
              <w:rPr>
                <w:rFonts w:ascii="Calibri" w:eastAsia="Calibri"/>
                <w:sz w:val="24"/>
              </w:rPr>
              <w:t>14</w:t>
            </w:r>
            <w:r>
              <w:rPr>
                <w:rFonts w:ascii="Calibri" w:eastAsia="Calibri"/>
                <w:spacing w:val="-52"/>
                <w:sz w:val="24"/>
              </w:rPr>
              <w:t> </w:t>
            </w:r>
            <w:r>
              <w:rPr>
                <w:spacing w:val="14"/>
                <w:sz w:val="24"/>
              </w:rPr>
              <w:t>項給與</w:t>
            </w:r>
            <w:r>
              <w:rPr>
                <w:spacing w:val="-107"/>
                <w:sz w:val="24"/>
              </w:rPr>
              <w:t>）</w:t>
            </w:r>
            <w:r>
              <w:rPr>
                <w:spacing w:val="11"/>
                <w:sz w:val="24"/>
              </w:rPr>
              <w:t>，目前尚無法律明</w:t>
            </w:r>
            <w:r>
              <w:rPr>
                <w:sz w:val="24"/>
              </w:rPr>
              <w:t>確授權依據，於前開會議決議︰於公務人員基準法草案或保障法增訂通案性授權規定。復考量是類給與與公務</w:t>
            </w:r>
            <w:r>
              <w:rPr>
                <w:spacing w:val="13"/>
                <w:sz w:val="24"/>
              </w:rPr>
              <w:t>人員加給給與辦法第</w:t>
            </w:r>
            <w:r>
              <w:rPr>
                <w:rFonts w:ascii="Calibri" w:eastAsia="Calibri"/>
                <w:spacing w:val="13"/>
                <w:sz w:val="24"/>
              </w:rPr>
              <w:t>4</w:t>
            </w:r>
            <w:r>
              <w:rPr>
                <w:spacing w:val="7"/>
                <w:sz w:val="24"/>
              </w:rPr>
              <w:t>條所</w:t>
            </w:r>
            <w:r>
              <w:rPr>
                <w:sz w:val="24"/>
              </w:rPr>
              <w:t>定衡酌其職責繁重或工作危險程度之職務加給，屬按月固定給與，與職務有密切長久關係，二者性質尚有不同</w:t>
            </w:r>
          </w:p>
          <w:p>
            <w:pPr>
              <w:pStyle w:val="TableParagraph"/>
              <w:spacing w:before="13"/>
              <w:ind w:left="819" w:right="-15"/>
              <w:rPr>
                <w:sz w:val="24"/>
              </w:rPr>
            </w:pPr>
            <w:r>
              <w:rPr>
                <w:sz w:val="24"/>
              </w:rPr>
              <w:t>，為符合機關業務實際需求</w:t>
            </w:r>
          </w:p>
          <w:p>
            <w:pPr>
              <w:pStyle w:val="TableParagraph"/>
              <w:spacing w:line="256" w:lineRule="auto" w:before="24"/>
              <w:ind w:left="819" w:right="-29"/>
              <w:jc w:val="both"/>
              <w:rPr>
                <w:sz w:val="24"/>
              </w:rPr>
            </w:pPr>
            <w:r>
              <w:rPr>
                <w:sz w:val="24"/>
              </w:rPr>
              <w:t>，並與加班費之法律規範及位階衡平一致，爰建議增訂</w:t>
            </w:r>
            <w:r>
              <w:rPr>
                <w:spacing w:val="13"/>
                <w:sz w:val="24"/>
              </w:rPr>
              <w:t>第</w:t>
            </w:r>
            <w:r>
              <w:rPr>
                <w:rFonts w:ascii="Calibri" w:eastAsia="Calibri"/>
                <w:sz w:val="24"/>
              </w:rPr>
              <w:t>23</w:t>
            </w:r>
            <w:r>
              <w:rPr>
                <w:spacing w:val="13"/>
                <w:sz w:val="24"/>
              </w:rPr>
              <w:t>條第</w:t>
            </w:r>
            <w:r>
              <w:rPr>
                <w:rFonts w:ascii="Calibri" w:eastAsia="Calibri"/>
                <w:spacing w:val="13"/>
                <w:sz w:val="24"/>
              </w:rPr>
              <w:t>2</w:t>
            </w:r>
            <w:r>
              <w:rPr>
                <w:spacing w:val="13"/>
                <w:sz w:val="24"/>
              </w:rPr>
              <w:t>項︰「</w:t>
            </w:r>
            <w:r>
              <w:rPr>
                <w:spacing w:val="13"/>
                <w:sz w:val="24"/>
                <w:u w:val="single"/>
              </w:rPr>
              <w:t>公務人員</w:t>
            </w:r>
            <w:r>
              <w:rPr>
                <w:spacing w:val="-240"/>
                <w:sz w:val="24"/>
                <w:u w:val="single"/>
              </w:rPr>
              <w:t>因</w:t>
            </w:r>
            <w:r>
              <w:rPr>
                <w:spacing w:val="-107"/>
                <w:sz w:val="24"/>
                <w:u w:val="single"/>
              </w:rPr>
              <w:t> </w:t>
            </w:r>
            <w:r>
              <w:rPr>
                <w:spacing w:val="-23"/>
                <w:sz w:val="24"/>
                <w:u w:val="single"/>
              </w:rPr>
              <w:t>業務需要，需於一定期間</w:t>
            </w:r>
          </w:p>
          <w:p>
            <w:pPr>
              <w:pStyle w:val="TableParagraph"/>
              <w:spacing w:line="256" w:lineRule="auto" w:before="4"/>
              <w:ind w:left="819" w:right="-29"/>
              <w:jc w:val="both"/>
              <w:rPr>
                <w:sz w:val="24"/>
              </w:rPr>
            </w:pPr>
            <w:r>
              <w:rPr>
                <w:sz w:val="24"/>
                <w:u w:val="single"/>
              </w:rPr>
              <w:t>，執行特定任務，服務機關</w:t>
            </w:r>
            <w:r>
              <w:rPr>
                <w:spacing w:val="-240"/>
                <w:sz w:val="24"/>
                <w:u w:val="single"/>
              </w:rPr>
              <w:t>得</w:t>
            </w:r>
            <w:r>
              <w:rPr>
                <w:spacing w:val="-84"/>
                <w:sz w:val="24"/>
                <w:u w:val="single"/>
              </w:rPr>
              <w:t> </w:t>
            </w:r>
            <w:r>
              <w:rPr>
                <w:spacing w:val="-29"/>
                <w:sz w:val="24"/>
                <w:u w:val="single"/>
              </w:rPr>
              <w:t>給與適當之津貼。</w:t>
            </w:r>
            <w:r>
              <w:rPr>
                <w:spacing w:val="2"/>
                <w:sz w:val="24"/>
              </w:rPr>
              <w:t>」及第 </w:t>
            </w:r>
            <w:r>
              <w:rPr>
                <w:rFonts w:ascii="Calibri" w:eastAsia="Calibri"/>
                <w:spacing w:val="13"/>
                <w:sz w:val="24"/>
              </w:rPr>
              <w:t>3</w:t>
            </w:r>
            <w:r>
              <w:rPr>
                <w:rFonts w:ascii="Calibri" w:eastAsia="Calibri"/>
                <w:spacing w:val="14"/>
                <w:sz w:val="24"/>
              </w:rPr>
              <w:t> </w:t>
            </w:r>
            <w:r>
              <w:rPr>
                <w:spacing w:val="13"/>
                <w:sz w:val="24"/>
              </w:rPr>
              <w:t>項︰</w:t>
            </w:r>
            <w:r>
              <w:rPr>
                <w:spacing w:val="13"/>
                <w:sz w:val="24"/>
                <w:u w:val="single"/>
              </w:rPr>
              <w:t>「前項給與之適用對</w:t>
            </w:r>
            <w:r>
              <w:rPr>
                <w:sz w:val="24"/>
                <w:u w:val="single"/>
              </w:rPr>
              <w:t>象、條件、發給基準及上限等有關事項之規定，由中央業務主管機關擬訂，報行政院核定。」</w:t>
            </w:r>
          </w:p>
          <w:p>
            <w:pPr>
              <w:pStyle w:val="TableParagraph"/>
              <w:spacing w:line="256" w:lineRule="auto" w:before="6"/>
              <w:ind w:left="819" w:right="-15" w:hanging="720"/>
              <w:jc w:val="both"/>
              <w:rPr>
                <w:sz w:val="24"/>
              </w:rPr>
            </w:pPr>
            <w:r>
              <w:rPr>
                <w:sz w:val="24"/>
              </w:rPr>
              <w:t>（二）本會認為保障法之制定、修正為考試院權責；不宜於保障法規定之實體保障事項中</w:t>
            </w:r>
          </w:p>
          <w:p>
            <w:pPr>
              <w:pStyle w:val="TableParagraph"/>
              <w:spacing w:line="256" w:lineRule="auto" w:before="3"/>
              <w:ind w:left="819" w:right="-15"/>
              <w:jc w:val="both"/>
              <w:rPr>
                <w:sz w:val="24"/>
              </w:rPr>
            </w:pPr>
            <w:r>
              <w:rPr>
                <w:sz w:val="24"/>
              </w:rPr>
              <w:t>，將其執行事宜，定為由行政院定之，以免產生權責劃分不明之疑慮。又行政院如認為相關待遇之給與，應予法制化，建議另訂相關規定</w:t>
            </w:r>
          </w:p>
          <w:p>
            <w:pPr>
              <w:pStyle w:val="TableParagraph"/>
              <w:spacing w:line="309" w:lineRule="exact" w:before="4"/>
              <w:ind w:left="819"/>
              <w:rPr>
                <w:sz w:val="24"/>
              </w:rPr>
            </w:pPr>
            <w:r>
              <w:rPr>
                <w:sz w:val="24"/>
              </w:rPr>
              <w:t>。</w:t>
            </w:r>
          </w:p>
        </w:tc>
        <w:tc>
          <w:tcPr>
            <w:tcW w:w="3332" w:type="dxa"/>
            <w:tcBorders>
              <w:bottom w:val="thickThinMediumGap" w:sz="12" w:space="0" w:color="000000"/>
            </w:tcBorders>
          </w:tcPr>
          <w:p>
            <w:pPr>
              <w:pStyle w:val="TableParagraph"/>
              <w:rPr>
                <w:rFonts w:ascii="Times New Roman"/>
                <w:sz w:val="24"/>
              </w:rPr>
            </w:pPr>
          </w:p>
        </w:tc>
      </w:tr>
      <w:tr>
        <w:trPr>
          <w:trHeight w:val="720" w:hRule="atLeast"/>
        </w:trPr>
        <w:tc>
          <w:tcPr>
            <w:tcW w:w="9837" w:type="dxa"/>
            <w:gridSpan w:val="3"/>
            <w:tcBorders>
              <w:top w:val="thinThickMediumGap" w:sz="12" w:space="0" w:color="000000"/>
            </w:tcBorders>
          </w:tcPr>
          <w:p>
            <w:pPr>
              <w:pStyle w:val="TableParagraph"/>
              <w:spacing w:before="12"/>
              <w:rPr>
                <w:b/>
                <w:sz w:val="15"/>
              </w:rPr>
            </w:pPr>
          </w:p>
          <w:p>
            <w:pPr>
              <w:pStyle w:val="TableParagraph"/>
              <w:spacing w:before="1"/>
              <w:ind w:left="2"/>
              <w:rPr>
                <w:b/>
                <w:sz w:val="24"/>
              </w:rPr>
            </w:pPr>
            <w:r>
              <w:rPr>
                <w:b/>
                <w:w w:val="95"/>
                <w:sz w:val="24"/>
              </w:rPr>
              <w:t>柒、成本效益分析及對人權之影響：</w:t>
            </w:r>
          </w:p>
        </w:tc>
      </w:tr>
      <w:tr>
        <w:trPr>
          <w:trHeight w:val="540" w:hRule="atLeast"/>
        </w:trPr>
        <w:tc>
          <w:tcPr>
            <w:tcW w:w="2770" w:type="dxa"/>
          </w:tcPr>
          <w:p>
            <w:pPr>
              <w:pStyle w:val="TableParagraph"/>
              <w:spacing w:before="43"/>
              <w:ind w:left="2"/>
              <w:rPr>
                <w:b/>
                <w:sz w:val="24"/>
              </w:rPr>
            </w:pPr>
            <w:r>
              <w:rPr>
                <w:b/>
                <w:spacing w:val="40"/>
                <w:sz w:val="24"/>
              </w:rPr>
              <w:t>項 目</w:t>
            </w:r>
          </w:p>
        </w:tc>
        <w:tc>
          <w:tcPr>
            <w:tcW w:w="3735" w:type="dxa"/>
          </w:tcPr>
          <w:p>
            <w:pPr>
              <w:pStyle w:val="TableParagraph"/>
              <w:spacing w:before="43"/>
              <w:ind w:left="9"/>
              <w:rPr>
                <w:b/>
                <w:sz w:val="24"/>
              </w:rPr>
            </w:pPr>
            <w:r>
              <w:rPr>
                <w:b/>
                <w:spacing w:val="40"/>
                <w:sz w:val="24"/>
              </w:rPr>
              <w:t>說 明</w:t>
            </w:r>
          </w:p>
        </w:tc>
        <w:tc>
          <w:tcPr>
            <w:tcW w:w="3332" w:type="dxa"/>
          </w:tcPr>
          <w:p>
            <w:pPr>
              <w:pStyle w:val="TableParagraph"/>
              <w:spacing w:before="43"/>
              <w:ind w:left="1"/>
              <w:rPr>
                <w:b/>
                <w:sz w:val="24"/>
              </w:rPr>
            </w:pPr>
            <w:r>
              <w:rPr>
                <w:b/>
                <w:spacing w:val="40"/>
                <w:sz w:val="24"/>
              </w:rPr>
              <w:t>備 註</w:t>
            </w:r>
          </w:p>
        </w:tc>
      </w:tr>
    </w:tbl>
    <w:p>
      <w:pPr>
        <w:spacing w:after="0"/>
        <w:rPr>
          <w:sz w:val="24"/>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
        <w:gridCol w:w="1842"/>
        <w:gridCol w:w="3727"/>
        <w:gridCol w:w="3331"/>
      </w:tblGrid>
      <w:tr>
        <w:trPr>
          <w:trHeight w:val="2159" w:hRule="atLeast"/>
        </w:trPr>
        <w:tc>
          <w:tcPr>
            <w:tcW w:w="2777" w:type="dxa"/>
            <w:gridSpan w:val="2"/>
          </w:tcPr>
          <w:p>
            <w:pPr>
              <w:pStyle w:val="TableParagraph"/>
              <w:spacing w:before="12"/>
              <w:rPr>
                <w:b/>
                <w:sz w:val="15"/>
              </w:rPr>
            </w:pPr>
          </w:p>
          <w:p>
            <w:pPr>
              <w:pStyle w:val="TableParagraph"/>
              <w:ind w:left="93"/>
              <w:rPr>
                <w:b/>
                <w:sz w:val="24"/>
              </w:rPr>
            </w:pPr>
            <w:r>
              <w:rPr>
                <w:rFonts w:ascii="Calibri" w:hAnsi="Calibri" w:eastAsia="Calibri"/>
                <w:b/>
                <w:sz w:val="24"/>
              </w:rPr>
              <w:t>7‐1</w:t>
            </w:r>
            <w:r>
              <w:rPr>
                <w:rFonts w:ascii="Calibri" w:hAnsi="Calibri" w:eastAsia="Calibri"/>
                <w:b/>
                <w:spacing w:val="4"/>
                <w:sz w:val="24"/>
              </w:rPr>
              <w:t> </w:t>
            </w:r>
            <w:r>
              <w:rPr>
                <w:b/>
                <w:sz w:val="24"/>
              </w:rPr>
              <w:t>成本</w:t>
            </w:r>
          </w:p>
        </w:tc>
        <w:tc>
          <w:tcPr>
            <w:tcW w:w="3727" w:type="dxa"/>
          </w:tcPr>
          <w:p>
            <w:pPr>
              <w:pStyle w:val="TableParagraph"/>
              <w:spacing w:line="360" w:lineRule="atLeast"/>
              <w:ind w:left="107" w:right="-15"/>
              <w:jc w:val="both"/>
              <w:rPr>
                <w:sz w:val="24"/>
              </w:rPr>
            </w:pPr>
            <w:r>
              <w:rPr>
                <w:sz w:val="24"/>
              </w:rPr>
              <w:t>有關將調處程序擴大適用於復審事件，及將再審議程序擴大適用於再申訴事件等修正規定，將使承辦人員付出更多辦理時間，增加審議保障事件之成本。惟因目前並未受理此類案件，無法具體量化。</w:t>
            </w:r>
          </w:p>
        </w:tc>
        <w:tc>
          <w:tcPr>
            <w:tcW w:w="3331" w:type="dxa"/>
            <w:vMerge w:val="restart"/>
            <w:tcBorders>
              <w:bottom w:val="nil"/>
            </w:tcBorders>
          </w:tcPr>
          <w:p>
            <w:pPr>
              <w:pStyle w:val="TableParagraph"/>
              <w:numPr>
                <w:ilvl w:val="0"/>
                <w:numId w:val="4"/>
              </w:numPr>
              <w:tabs>
                <w:tab w:pos="196" w:val="left" w:leader="none"/>
              </w:tabs>
              <w:spacing w:line="256" w:lineRule="auto" w:before="41" w:after="0"/>
              <w:ind w:left="170" w:right="81" w:hanging="171"/>
              <w:jc w:val="both"/>
              <w:rPr>
                <w:sz w:val="24"/>
              </w:rPr>
            </w:pPr>
            <w:r>
              <w:rPr>
                <w:spacing w:val="13"/>
                <w:sz w:val="24"/>
              </w:rPr>
              <w:t>關於成本及效益，指政府及</w:t>
            </w:r>
            <w:r>
              <w:rPr>
                <w:spacing w:val="15"/>
                <w:sz w:val="24"/>
              </w:rPr>
              <w:t>社會為推動及落實法案必須付出之代價及可能得到之效</w:t>
            </w:r>
            <w:r>
              <w:rPr>
                <w:sz w:val="24"/>
              </w:rPr>
              <w:t>益。</w:t>
            </w:r>
          </w:p>
          <w:p>
            <w:pPr>
              <w:pStyle w:val="TableParagraph"/>
              <w:numPr>
                <w:ilvl w:val="0"/>
                <w:numId w:val="4"/>
              </w:numPr>
              <w:tabs>
                <w:tab w:pos="196" w:val="left" w:leader="none"/>
              </w:tabs>
              <w:spacing w:line="256" w:lineRule="auto" w:before="184" w:after="0"/>
              <w:ind w:left="170" w:right="82" w:hanging="171"/>
              <w:jc w:val="left"/>
              <w:rPr>
                <w:sz w:val="24"/>
              </w:rPr>
            </w:pPr>
            <w:r>
              <w:rPr>
                <w:spacing w:val="11"/>
                <w:sz w:val="24"/>
              </w:rPr>
              <w:t>得量化者應有明確數字，難</w:t>
            </w:r>
            <w:r>
              <w:rPr>
                <w:sz w:val="24"/>
              </w:rPr>
              <w:t>以量化者亦應有詳細說明。</w:t>
            </w:r>
          </w:p>
        </w:tc>
      </w:tr>
      <w:tr>
        <w:trPr>
          <w:trHeight w:val="1916" w:hRule="atLeast"/>
        </w:trPr>
        <w:tc>
          <w:tcPr>
            <w:tcW w:w="2777" w:type="dxa"/>
            <w:gridSpan w:val="2"/>
            <w:tcBorders>
              <w:bottom w:val="nil"/>
            </w:tcBorders>
          </w:tcPr>
          <w:p>
            <w:pPr>
              <w:pStyle w:val="TableParagraph"/>
              <w:rPr>
                <w:rFonts w:ascii="Times New Roman"/>
                <w:sz w:val="22"/>
              </w:rPr>
            </w:pPr>
          </w:p>
        </w:tc>
        <w:tc>
          <w:tcPr>
            <w:tcW w:w="3727" w:type="dxa"/>
            <w:vMerge w:val="restart"/>
          </w:tcPr>
          <w:p>
            <w:pPr>
              <w:pStyle w:val="TableParagraph"/>
              <w:spacing w:line="256" w:lineRule="auto" w:before="30"/>
              <w:ind w:left="495" w:right="-15" w:hanging="494"/>
              <w:jc w:val="both"/>
              <w:rPr>
                <w:sz w:val="24"/>
              </w:rPr>
            </w:pPr>
            <w:r>
              <w:rPr>
                <w:sz w:val="24"/>
              </w:rPr>
              <w:t>一、本修正草案通過後，將使復審事件增加課予復審救濟類型及復審事件得適用調處程序，相</w:t>
            </w:r>
            <w:r>
              <w:rPr>
                <w:spacing w:val="8"/>
                <w:sz w:val="24"/>
              </w:rPr>
              <w:t>關救濟機制，更臻完備。</w:t>
            </w:r>
            <w:r>
              <w:rPr>
                <w:spacing w:val="19"/>
                <w:sz w:val="24"/>
              </w:rPr>
              <w:t>（</w:t>
            </w:r>
            <w:r>
              <w:rPr>
                <w:sz w:val="24"/>
              </w:rPr>
              <w:t>第</w:t>
            </w:r>
            <w:r>
              <w:rPr>
                <w:rFonts w:ascii="Calibri" w:eastAsia="Calibri"/>
                <w:spacing w:val="-1"/>
                <w:sz w:val="24"/>
              </w:rPr>
              <w:t>26</w:t>
            </w:r>
            <w:r>
              <w:rPr>
                <w:rFonts w:ascii="Calibri" w:eastAsia="Calibri"/>
                <w:spacing w:val="5"/>
                <w:sz w:val="24"/>
              </w:rPr>
              <w:t> </w:t>
            </w:r>
            <w:r>
              <w:rPr>
                <w:spacing w:val="-15"/>
                <w:sz w:val="24"/>
              </w:rPr>
              <w:t>條、第 </w:t>
            </w:r>
            <w:r>
              <w:rPr>
                <w:rFonts w:ascii="Calibri" w:eastAsia="Calibri"/>
                <w:sz w:val="24"/>
              </w:rPr>
              <w:t>85</w:t>
            </w:r>
            <w:r>
              <w:rPr>
                <w:rFonts w:ascii="Calibri" w:eastAsia="Calibri"/>
                <w:spacing w:val="5"/>
                <w:sz w:val="24"/>
              </w:rPr>
              <w:t> </w:t>
            </w:r>
            <w:r>
              <w:rPr>
                <w:spacing w:val="-15"/>
                <w:sz w:val="24"/>
              </w:rPr>
              <w:t>條至第 </w:t>
            </w:r>
            <w:r>
              <w:rPr>
                <w:rFonts w:ascii="Calibri" w:eastAsia="Calibri"/>
                <w:sz w:val="24"/>
              </w:rPr>
              <w:t>88</w:t>
            </w:r>
            <w:r>
              <w:rPr>
                <w:rFonts w:ascii="Calibri" w:eastAsia="Calibri"/>
                <w:spacing w:val="5"/>
                <w:sz w:val="24"/>
              </w:rPr>
              <w:t> </w:t>
            </w:r>
            <w:r>
              <w:rPr>
                <w:sz w:val="24"/>
              </w:rPr>
              <w:t>條）</w:t>
            </w:r>
          </w:p>
          <w:p>
            <w:pPr>
              <w:pStyle w:val="TableParagraph"/>
              <w:spacing w:line="256" w:lineRule="auto" w:before="5"/>
              <w:ind w:left="495" w:right="-29" w:hanging="494"/>
              <w:jc w:val="both"/>
              <w:rPr>
                <w:sz w:val="24"/>
              </w:rPr>
            </w:pPr>
            <w:r>
              <w:rPr>
                <w:sz w:val="24"/>
              </w:rPr>
              <w:t>二、增訂公務人員辭職規定，將公務人員得依其意願選擇不服公職之權利，予以法制化，獲得</w:t>
            </w:r>
            <w:r>
              <w:rPr>
                <w:spacing w:val="-41"/>
                <w:sz w:val="24"/>
              </w:rPr>
              <w:t>保障。</w:t>
            </w:r>
            <w:r>
              <w:rPr>
                <w:sz w:val="24"/>
              </w:rPr>
              <w:t>（</w:t>
            </w:r>
            <w:r>
              <w:rPr>
                <w:spacing w:val="-30"/>
                <w:sz w:val="24"/>
              </w:rPr>
              <w:t>第 </w:t>
            </w:r>
            <w:r>
              <w:rPr>
                <w:rFonts w:ascii="Calibri" w:eastAsia="Calibri"/>
                <w:sz w:val="24"/>
              </w:rPr>
              <w:t>12</w:t>
            </w:r>
            <w:r>
              <w:rPr>
                <w:rFonts w:ascii="Calibri" w:eastAsia="Calibri"/>
                <w:spacing w:val="5"/>
                <w:sz w:val="24"/>
              </w:rPr>
              <w:t> </w:t>
            </w:r>
            <w:r>
              <w:rPr>
                <w:spacing w:val="-20"/>
                <w:sz w:val="24"/>
              </w:rPr>
              <w:t>條之 </w:t>
            </w:r>
            <w:r>
              <w:rPr>
                <w:rFonts w:ascii="Calibri" w:eastAsia="Calibri"/>
                <w:sz w:val="24"/>
              </w:rPr>
              <w:t>1</w:t>
            </w:r>
            <w:r>
              <w:rPr>
                <w:sz w:val="24"/>
              </w:rPr>
              <w:t>）</w:t>
            </w:r>
          </w:p>
          <w:p>
            <w:pPr>
              <w:pStyle w:val="TableParagraph"/>
              <w:spacing w:line="256" w:lineRule="auto" w:before="3"/>
              <w:ind w:left="495" w:right="-29" w:hanging="494"/>
              <w:jc w:val="both"/>
              <w:rPr>
                <w:sz w:val="24"/>
              </w:rPr>
            </w:pPr>
            <w:r>
              <w:rPr>
                <w:sz w:val="24"/>
              </w:rPr>
              <w:t>三、針對一般健康檢查補助費用、加班費及因執行職務墊支必要</w:t>
            </w:r>
            <w:r>
              <w:rPr>
                <w:spacing w:val="-1"/>
                <w:sz w:val="24"/>
              </w:rPr>
              <w:t>費用，增訂 </w:t>
            </w:r>
            <w:r>
              <w:rPr>
                <w:rFonts w:ascii="Calibri" w:eastAsia="Calibri"/>
                <w:sz w:val="24"/>
              </w:rPr>
              <w:t>2</w:t>
            </w:r>
            <w:r>
              <w:rPr>
                <w:rFonts w:ascii="Calibri" w:eastAsia="Calibri"/>
                <w:spacing w:val="6"/>
                <w:sz w:val="24"/>
              </w:rPr>
              <w:t> </w:t>
            </w:r>
            <w:r>
              <w:rPr>
                <w:sz w:val="24"/>
              </w:rPr>
              <w:t>年之短期請求權消滅時效期間，使機關預算之</w:t>
            </w:r>
            <w:r>
              <w:rPr>
                <w:spacing w:val="8"/>
                <w:sz w:val="24"/>
              </w:rPr>
              <w:t>編列與執行，更為確實。</w:t>
            </w:r>
            <w:r>
              <w:rPr>
                <w:spacing w:val="19"/>
                <w:sz w:val="24"/>
              </w:rPr>
              <w:t>（</w:t>
            </w:r>
            <w:r>
              <w:rPr>
                <w:sz w:val="24"/>
              </w:rPr>
              <w:t>第</w:t>
            </w:r>
            <w:r>
              <w:rPr>
                <w:rFonts w:ascii="Calibri" w:eastAsia="Calibri"/>
                <w:spacing w:val="-1"/>
                <w:sz w:val="24"/>
              </w:rPr>
              <w:t>24</w:t>
            </w:r>
            <w:r>
              <w:rPr>
                <w:rFonts w:ascii="Calibri" w:eastAsia="Calibri"/>
                <w:spacing w:val="5"/>
                <w:sz w:val="24"/>
              </w:rPr>
              <w:t> </w:t>
            </w:r>
            <w:r>
              <w:rPr>
                <w:spacing w:val="-20"/>
                <w:sz w:val="24"/>
              </w:rPr>
              <w:t>條之 </w:t>
            </w:r>
            <w:r>
              <w:rPr>
                <w:rFonts w:ascii="Calibri" w:eastAsia="Calibri"/>
                <w:sz w:val="24"/>
              </w:rPr>
              <w:t>1</w:t>
            </w:r>
            <w:r>
              <w:rPr>
                <w:sz w:val="24"/>
              </w:rPr>
              <w:t>）</w:t>
            </w:r>
          </w:p>
          <w:p>
            <w:pPr>
              <w:pStyle w:val="TableParagraph"/>
              <w:spacing w:line="256" w:lineRule="auto" w:before="6"/>
              <w:ind w:left="495" w:right="-29" w:hanging="494"/>
              <w:jc w:val="both"/>
              <w:rPr>
                <w:rFonts w:ascii="Calibri" w:eastAsia="Calibri"/>
                <w:sz w:val="24"/>
              </w:rPr>
            </w:pPr>
            <w:r>
              <w:rPr>
                <w:sz w:val="24"/>
              </w:rPr>
              <w:t>四、將再審議程序規定亦適用於再申訴事件，使具特別救濟程序性質之再審議程序，擴大適用於具有最終救濟程序之再申訴事件，更切合立法意旨（</w:t>
            </w:r>
            <w:r>
              <w:rPr>
                <w:spacing w:val="-7"/>
                <w:sz w:val="24"/>
              </w:rPr>
              <w:t>第 </w:t>
            </w:r>
            <w:r>
              <w:rPr>
                <w:rFonts w:ascii="Calibri" w:eastAsia="Calibri"/>
                <w:sz w:val="24"/>
              </w:rPr>
              <w:t>94</w:t>
            </w:r>
          </w:p>
          <w:p>
            <w:pPr>
              <w:pStyle w:val="TableParagraph"/>
              <w:spacing w:line="310" w:lineRule="exact" w:before="4"/>
              <w:ind w:left="495"/>
              <w:jc w:val="both"/>
              <w:rPr>
                <w:sz w:val="24"/>
              </w:rPr>
            </w:pPr>
            <w:r>
              <w:rPr>
                <w:spacing w:val="-16"/>
                <w:sz w:val="24"/>
              </w:rPr>
              <w:t>條至第 </w:t>
            </w:r>
            <w:r>
              <w:rPr>
                <w:rFonts w:ascii="Calibri" w:eastAsia="Calibri"/>
                <w:sz w:val="24"/>
              </w:rPr>
              <w:t>101</w:t>
            </w:r>
            <w:r>
              <w:rPr>
                <w:rFonts w:ascii="Calibri" w:eastAsia="Calibri"/>
                <w:spacing w:val="7"/>
                <w:sz w:val="24"/>
              </w:rPr>
              <w:t> </w:t>
            </w:r>
            <w:r>
              <w:rPr>
                <w:sz w:val="24"/>
              </w:rPr>
              <w:t>條</w:t>
            </w:r>
            <w:r>
              <w:rPr>
                <w:spacing w:val="-120"/>
                <w:sz w:val="24"/>
              </w:rPr>
              <w:t>）</w:t>
            </w:r>
            <w:r>
              <w:rPr>
                <w:sz w:val="24"/>
              </w:rPr>
              <w:t>。</w:t>
            </w:r>
          </w:p>
        </w:tc>
        <w:tc>
          <w:tcPr>
            <w:tcW w:w="3331" w:type="dxa"/>
            <w:vMerge/>
            <w:tcBorders>
              <w:top w:val="nil"/>
              <w:bottom w:val="nil"/>
            </w:tcBorders>
          </w:tcPr>
          <w:p>
            <w:pPr>
              <w:rPr>
                <w:sz w:val="2"/>
                <w:szCs w:val="2"/>
              </w:rPr>
            </w:pPr>
          </w:p>
        </w:tc>
      </w:tr>
      <w:tr>
        <w:trPr>
          <w:trHeight w:val="5634" w:hRule="atLeast"/>
        </w:trPr>
        <w:tc>
          <w:tcPr>
            <w:tcW w:w="2777" w:type="dxa"/>
            <w:gridSpan w:val="2"/>
            <w:tcBorders>
              <w:top w:val="nil"/>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26"/>
              </w:rPr>
            </w:pPr>
          </w:p>
          <w:p>
            <w:pPr>
              <w:pStyle w:val="TableParagraph"/>
              <w:ind w:left="93"/>
              <w:rPr>
                <w:b/>
                <w:sz w:val="24"/>
              </w:rPr>
            </w:pPr>
            <w:r>
              <w:rPr>
                <w:rFonts w:ascii="Calibri" w:hAnsi="Calibri" w:eastAsia="Calibri"/>
                <w:b/>
                <w:sz w:val="24"/>
              </w:rPr>
              <w:t>7‐2</w:t>
            </w:r>
            <w:r>
              <w:rPr>
                <w:rFonts w:ascii="Calibri" w:hAnsi="Calibri" w:eastAsia="Calibri"/>
                <w:b/>
                <w:spacing w:val="4"/>
                <w:sz w:val="24"/>
              </w:rPr>
              <w:t> </w:t>
            </w:r>
            <w:r>
              <w:rPr>
                <w:b/>
                <w:sz w:val="24"/>
              </w:rPr>
              <w:t>效益</w:t>
            </w:r>
          </w:p>
        </w:tc>
        <w:tc>
          <w:tcPr>
            <w:tcW w:w="3727" w:type="dxa"/>
            <w:vMerge/>
            <w:tcBorders>
              <w:top w:val="nil"/>
            </w:tcBorders>
          </w:tcPr>
          <w:p>
            <w:pPr>
              <w:rPr>
                <w:sz w:val="2"/>
                <w:szCs w:val="2"/>
              </w:rPr>
            </w:pPr>
          </w:p>
        </w:tc>
        <w:tc>
          <w:tcPr>
            <w:tcW w:w="3331" w:type="dxa"/>
            <w:tcBorders>
              <w:top w:val="nil"/>
            </w:tcBorders>
          </w:tcPr>
          <w:p>
            <w:pPr>
              <w:pStyle w:val="TableParagraph"/>
              <w:rPr>
                <w:rFonts w:ascii="Times New Roman"/>
                <w:sz w:val="22"/>
              </w:rPr>
            </w:pPr>
          </w:p>
        </w:tc>
      </w:tr>
      <w:tr>
        <w:trPr>
          <w:trHeight w:val="384" w:hRule="atLeast"/>
        </w:trPr>
        <w:tc>
          <w:tcPr>
            <w:tcW w:w="935" w:type="dxa"/>
            <w:tcBorders>
              <w:bottom w:val="nil"/>
            </w:tcBorders>
          </w:tcPr>
          <w:p>
            <w:pPr>
              <w:pStyle w:val="TableParagraph"/>
              <w:rPr>
                <w:rFonts w:ascii="Times New Roman"/>
                <w:sz w:val="22"/>
              </w:rPr>
            </w:pPr>
          </w:p>
        </w:tc>
        <w:tc>
          <w:tcPr>
            <w:tcW w:w="1842" w:type="dxa"/>
            <w:vMerge w:val="restart"/>
          </w:tcPr>
          <w:p>
            <w:pPr>
              <w:pStyle w:val="TableParagraph"/>
              <w:spacing w:before="12"/>
              <w:rPr>
                <w:b/>
                <w:sz w:val="27"/>
              </w:rPr>
            </w:pPr>
          </w:p>
          <w:p>
            <w:pPr>
              <w:pStyle w:val="TableParagraph"/>
              <w:ind w:left="70"/>
              <w:rPr>
                <w:b/>
                <w:sz w:val="24"/>
              </w:rPr>
            </w:pPr>
            <w:r>
              <w:rPr>
                <w:rFonts w:ascii="Calibri" w:hAnsi="Calibri" w:eastAsia="Calibri"/>
                <w:b/>
                <w:sz w:val="24"/>
              </w:rPr>
              <w:t>7‐3‐1</w:t>
            </w:r>
            <w:r>
              <w:rPr>
                <w:rFonts w:ascii="Calibri" w:hAnsi="Calibri" w:eastAsia="Calibri"/>
                <w:b/>
                <w:spacing w:val="31"/>
                <w:sz w:val="24"/>
              </w:rPr>
              <w:t> </w:t>
            </w:r>
            <w:r>
              <w:rPr>
                <w:b/>
                <w:spacing w:val="24"/>
                <w:sz w:val="24"/>
              </w:rPr>
              <w:t>憲法有關</w:t>
            </w:r>
          </w:p>
          <w:p>
            <w:pPr>
              <w:pStyle w:val="TableParagraph"/>
              <w:spacing w:line="256" w:lineRule="auto" w:before="24"/>
              <w:ind w:left="723" w:right="47"/>
              <w:rPr>
                <w:b/>
                <w:sz w:val="24"/>
              </w:rPr>
            </w:pPr>
            <w:r>
              <w:rPr>
                <w:b/>
                <w:spacing w:val="20"/>
                <w:sz w:val="24"/>
              </w:rPr>
              <w:t>人民權利</w:t>
            </w:r>
            <w:r>
              <w:rPr>
                <w:b/>
                <w:sz w:val="24"/>
              </w:rPr>
              <w:t>之規定</w:t>
            </w:r>
          </w:p>
        </w:tc>
        <w:tc>
          <w:tcPr>
            <w:tcW w:w="3727" w:type="dxa"/>
            <w:tcBorders>
              <w:bottom w:val="nil"/>
            </w:tcBorders>
          </w:tcPr>
          <w:p>
            <w:pPr>
              <w:pStyle w:val="TableParagraph"/>
              <w:spacing w:line="335" w:lineRule="exact" w:before="29"/>
              <w:ind w:left="1" w:right="-15"/>
              <w:jc w:val="center"/>
              <w:rPr>
                <w:sz w:val="24"/>
              </w:rPr>
            </w:pPr>
            <w:r>
              <w:rPr>
                <w:spacing w:val="-7"/>
                <w:sz w:val="24"/>
              </w:rPr>
              <w:t>本修正草案依憲法第 </w:t>
            </w:r>
            <w:r>
              <w:rPr>
                <w:rFonts w:ascii="Calibri" w:eastAsia="Calibri"/>
                <w:spacing w:val="-1"/>
                <w:sz w:val="24"/>
              </w:rPr>
              <w:t>18</w:t>
            </w:r>
            <w:r>
              <w:rPr>
                <w:rFonts w:ascii="Calibri" w:eastAsia="Calibri"/>
                <w:spacing w:val="6"/>
                <w:sz w:val="24"/>
              </w:rPr>
              <w:t> </w:t>
            </w:r>
            <w:r>
              <w:rPr>
                <w:spacing w:val="-1"/>
                <w:sz w:val="24"/>
              </w:rPr>
              <w:t>條及司法院</w:t>
            </w:r>
          </w:p>
        </w:tc>
        <w:tc>
          <w:tcPr>
            <w:tcW w:w="3331" w:type="dxa"/>
            <w:tcBorders>
              <w:bottom w:val="nil"/>
            </w:tcBorders>
          </w:tcPr>
          <w:p>
            <w:pPr>
              <w:pStyle w:val="TableParagraph"/>
              <w:spacing w:line="323" w:lineRule="exact" w:before="41"/>
              <w:ind w:left="-1"/>
              <w:rPr>
                <w:sz w:val="24"/>
              </w:rPr>
            </w:pPr>
            <w:r>
              <w:rPr>
                <w:sz w:val="24"/>
              </w:rPr>
              <w:t>請檢視法案是否符合憲法有關</w:t>
            </w:r>
          </w:p>
        </w:tc>
      </w:tr>
      <w:tr>
        <w:trPr>
          <w:trHeight w:val="350" w:hRule="atLeast"/>
        </w:trPr>
        <w:tc>
          <w:tcPr>
            <w:tcW w:w="935" w:type="dxa"/>
            <w:tcBorders>
              <w:top w:val="nil"/>
              <w:bottom w:val="nil"/>
            </w:tcBorders>
          </w:tcPr>
          <w:p>
            <w:pPr>
              <w:pStyle w:val="TableParagraph"/>
              <w:rPr>
                <w:rFonts w:ascii="Times New Roman"/>
                <w:sz w:val="22"/>
              </w:rPr>
            </w:pPr>
          </w:p>
        </w:tc>
        <w:tc>
          <w:tcPr>
            <w:tcW w:w="1842" w:type="dxa"/>
            <w:vMerge/>
            <w:tcBorders>
              <w:top w:val="nil"/>
            </w:tcBorders>
          </w:tcPr>
          <w:p>
            <w:pPr>
              <w:rPr>
                <w:sz w:val="2"/>
                <w:szCs w:val="2"/>
              </w:rPr>
            </w:pPr>
          </w:p>
        </w:tc>
        <w:tc>
          <w:tcPr>
            <w:tcW w:w="3727" w:type="dxa"/>
            <w:tcBorders>
              <w:top w:val="nil"/>
              <w:bottom w:val="nil"/>
            </w:tcBorders>
          </w:tcPr>
          <w:p>
            <w:pPr>
              <w:pStyle w:val="TableParagraph"/>
              <w:spacing w:line="330" w:lineRule="exact"/>
              <w:ind w:left="1" w:right="-15"/>
              <w:jc w:val="center"/>
              <w:rPr>
                <w:sz w:val="24"/>
              </w:rPr>
            </w:pPr>
            <w:r>
              <w:rPr>
                <w:spacing w:val="6"/>
                <w:sz w:val="24"/>
              </w:rPr>
              <w:t>釋字第 </w:t>
            </w:r>
            <w:r>
              <w:rPr>
                <w:rFonts w:ascii="Calibri" w:eastAsia="Calibri"/>
                <w:sz w:val="24"/>
              </w:rPr>
              <w:t>474</w:t>
            </w:r>
            <w:r>
              <w:rPr>
                <w:rFonts w:ascii="Calibri" w:eastAsia="Calibri"/>
                <w:spacing w:val="74"/>
                <w:sz w:val="24"/>
              </w:rPr>
              <w:t> </w:t>
            </w:r>
            <w:r>
              <w:rPr>
                <w:spacing w:val="6"/>
                <w:sz w:val="24"/>
              </w:rPr>
              <w:t>號及第 </w:t>
            </w:r>
            <w:r>
              <w:rPr>
                <w:rFonts w:ascii="Calibri" w:eastAsia="Calibri"/>
                <w:sz w:val="24"/>
              </w:rPr>
              <w:t>723</w:t>
            </w:r>
            <w:r>
              <w:rPr>
                <w:rFonts w:ascii="Calibri" w:eastAsia="Calibri"/>
                <w:spacing w:val="74"/>
                <w:sz w:val="24"/>
              </w:rPr>
              <w:t> </w:t>
            </w:r>
            <w:r>
              <w:rPr>
                <w:spacing w:val="7"/>
                <w:sz w:val="24"/>
              </w:rPr>
              <w:t>號解釋意</w:t>
            </w:r>
          </w:p>
        </w:tc>
        <w:tc>
          <w:tcPr>
            <w:tcW w:w="3331" w:type="dxa"/>
            <w:tcBorders>
              <w:top w:val="nil"/>
              <w:bottom w:val="nil"/>
            </w:tcBorders>
          </w:tcPr>
          <w:p>
            <w:pPr>
              <w:pStyle w:val="TableParagraph"/>
              <w:spacing w:line="323" w:lineRule="exact" w:before="7"/>
              <w:ind w:left="26"/>
              <w:rPr>
                <w:sz w:val="24"/>
              </w:rPr>
            </w:pPr>
            <w:r>
              <w:rPr>
                <w:spacing w:val="28"/>
                <w:sz w:val="24"/>
              </w:rPr>
              <w:t>人民權利之規定及司法院解</w:t>
            </w:r>
          </w:p>
        </w:tc>
      </w:tr>
      <w:tr>
        <w:trPr>
          <w:trHeight w:val="349" w:hRule="atLeast"/>
        </w:trPr>
        <w:tc>
          <w:tcPr>
            <w:tcW w:w="935" w:type="dxa"/>
            <w:tcBorders>
              <w:top w:val="nil"/>
              <w:bottom w:val="nil"/>
            </w:tcBorders>
          </w:tcPr>
          <w:p>
            <w:pPr>
              <w:pStyle w:val="TableParagraph"/>
              <w:rPr>
                <w:rFonts w:ascii="Times New Roman"/>
                <w:sz w:val="22"/>
              </w:rPr>
            </w:pPr>
          </w:p>
        </w:tc>
        <w:tc>
          <w:tcPr>
            <w:tcW w:w="1842" w:type="dxa"/>
            <w:vMerge/>
            <w:tcBorders>
              <w:top w:val="nil"/>
            </w:tcBorders>
          </w:tcPr>
          <w:p>
            <w:pPr>
              <w:rPr>
                <w:sz w:val="2"/>
                <w:szCs w:val="2"/>
              </w:rPr>
            </w:pPr>
          </w:p>
        </w:tc>
        <w:tc>
          <w:tcPr>
            <w:tcW w:w="3727" w:type="dxa"/>
            <w:tcBorders>
              <w:top w:val="nil"/>
              <w:bottom w:val="nil"/>
            </w:tcBorders>
          </w:tcPr>
          <w:p>
            <w:pPr>
              <w:pStyle w:val="TableParagraph"/>
              <w:spacing w:line="330" w:lineRule="exact"/>
              <w:ind w:left="1" w:right="-15"/>
              <w:jc w:val="center"/>
              <w:rPr>
                <w:sz w:val="24"/>
              </w:rPr>
            </w:pPr>
            <w:r>
              <w:rPr>
                <w:spacing w:val="25"/>
                <w:sz w:val="24"/>
              </w:rPr>
              <w:t>旨，就保障公務人員服公職之權</w:t>
            </w:r>
          </w:p>
        </w:tc>
        <w:tc>
          <w:tcPr>
            <w:tcW w:w="3331" w:type="dxa"/>
            <w:tcBorders>
              <w:top w:val="nil"/>
              <w:bottom w:val="nil"/>
            </w:tcBorders>
          </w:tcPr>
          <w:p>
            <w:pPr>
              <w:pStyle w:val="TableParagraph"/>
              <w:spacing w:line="323" w:lineRule="exact" w:before="7"/>
              <w:ind w:left="26"/>
              <w:rPr>
                <w:sz w:val="24"/>
              </w:rPr>
            </w:pPr>
            <w:r>
              <w:rPr>
                <w:sz w:val="24"/>
              </w:rPr>
              <w:t>釋。</w:t>
            </w:r>
          </w:p>
        </w:tc>
      </w:tr>
      <w:tr>
        <w:trPr>
          <w:trHeight w:val="684" w:hRule="atLeast"/>
        </w:trPr>
        <w:tc>
          <w:tcPr>
            <w:tcW w:w="935" w:type="dxa"/>
            <w:vMerge w:val="restart"/>
            <w:tcBorders>
              <w:top w:val="nil"/>
              <w:bottom w:val="nil"/>
            </w:tcBorders>
          </w:tcPr>
          <w:p>
            <w:pPr>
              <w:pStyle w:val="TableParagraph"/>
              <w:spacing w:line="256" w:lineRule="auto" w:before="184"/>
              <w:ind w:left="587" w:right="74" w:hanging="480"/>
              <w:jc w:val="both"/>
              <w:rPr>
                <w:b/>
                <w:sz w:val="24"/>
              </w:rPr>
            </w:pPr>
            <w:r>
              <w:rPr>
                <w:rFonts w:ascii="Calibri" w:hAnsi="Calibri" w:eastAsia="Calibri"/>
                <w:b/>
                <w:sz w:val="24"/>
              </w:rPr>
              <w:t>7‐3</w:t>
            </w:r>
            <w:r>
              <w:rPr>
                <w:rFonts w:ascii="Calibri" w:hAnsi="Calibri" w:eastAsia="Calibri"/>
                <w:b/>
                <w:spacing w:val="6"/>
                <w:sz w:val="24"/>
              </w:rPr>
              <w:t> </w:t>
            </w:r>
            <w:r>
              <w:rPr>
                <w:b/>
                <w:sz w:val="24"/>
              </w:rPr>
              <w:t>對人權之影響</w:t>
            </w:r>
          </w:p>
        </w:tc>
        <w:tc>
          <w:tcPr>
            <w:tcW w:w="1842" w:type="dxa"/>
            <w:vMerge/>
            <w:tcBorders>
              <w:top w:val="nil"/>
            </w:tcBorders>
          </w:tcPr>
          <w:p>
            <w:pPr>
              <w:rPr>
                <w:sz w:val="2"/>
                <w:szCs w:val="2"/>
              </w:rPr>
            </w:pPr>
          </w:p>
        </w:tc>
        <w:tc>
          <w:tcPr>
            <w:tcW w:w="3727" w:type="dxa"/>
            <w:tcBorders>
              <w:top w:val="nil"/>
            </w:tcBorders>
          </w:tcPr>
          <w:p>
            <w:pPr>
              <w:pStyle w:val="TableParagraph"/>
              <w:spacing w:line="331" w:lineRule="exact"/>
              <w:ind w:left="1" w:right="-15"/>
              <w:rPr>
                <w:sz w:val="24"/>
              </w:rPr>
            </w:pPr>
            <w:r>
              <w:rPr>
                <w:sz w:val="24"/>
              </w:rPr>
              <w:t>利，為更周詳之規範，符合憲法保</w:t>
            </w:r>
          </w:p>
          <w:p>
            <w:pPr>
              <w:pStyle w:val="TableParagraph"/>
              <w:spacing w:line="310" w:lineRule="exact" w:before="24"/>
              <w:ind w:left="1"/>
              <w:rPr>
                <w:sz w:val="24"/>
              </w:rPr>
            </w:pPr>
            <w:r>
              <w:rPr>
                <w:sz w:val="24"/>
              </w:rPr>
              <w:t>障人權之意旨。</w:t>
            </w:r>
          </w:p>
        </w:tc>
        <w:tc>
          <w:tcPr>
            <w:tcW w:w="3331" w:type="dxa"/>
            <w:tcBorders>
              <w:top w:val="nil"/>
            </w:tcBorders>
          </w:tcPr>
          <w:p>
            <w:pPr>
              <w:pStyle w:val="TableParagraph"/>
              <w:rPr>
                <w:rFonts w:ascii="Times New Roman"/>
                <w:sz w:val="22"/>
              </w:rPr>
            </w:pPr>
          </w:p>
        </w:tc>
      </w:tr>
      <w:tr>
        <w:trPr>
          <w:trHeight w:val="1830" w:hRule="atLeast"/>
        </w:trPr>
        <w:tc>
          <w:tcPr>
            <w:tcW w:w="935" w:type="dxa"/>
            <w:vMerge/>
            <w:tcBorders>
              <w:top w:val="nil"/>
              <w:bottom w:val="nil"/>
            </w:tcBorders>
          </w:tcPr>
          <w:p>
            <w:pPr>
              <w:rPr>
                <w:sz w:val="2"/>
                <w:szCs w:val="2"/>
              </w:rPr>
            </w:pPr>
          </w:p>
        </w:tc>
        <w:tc>
          <w:tcPr>
            <w:tcW w:w="1842" w:type="dxa"/>
            <w:vMerge w:val="restart"/>
          </w:tcPr>
          <w:p>
            <w:pPr>
              <w:pStyle w:val="TableParagraph"/>
              <w:rPr>
                <w:b/>
                <w:sz w:val="24"/>
              </w:rPr>
            </w:pPr>
          </w:p>
          <w:p>
            <w:pPr>
              <w:pStyle w:val="TableParagraph"/>
              <w:spacing w:before="10"/>
              <w:rPr>
                <w:b/>
                <w:sz w:val="16"/>
              </w:rPr>
            </w:pPr>
          </w:p>
          <w:p>
            <w:pPr>
              <w:pStyle w:val="TableParagraph"/>
              <w:ind w:left="70"/>
              <w:rPr>
                <w:b/>
                <w:sz w:val="24"/>
              </w:rPr>
            </w:pPr>
            <w:r>
              <w:rPr>
                <w:rFonts w:ascii="Calibri" w:hAnsi="Calibri" w:eastAsia="Calibri"/>
                <w:b/>
                <w:sz w:val="24"/>
              </w:rPr>
              <w:t>7‐3‐2</w:t>
            </w:r>
            <w:r>
              <w:rPr>
                <w:rFonts w:ascii="Calibri" w:hAnsi="Calibri" w:eastAsia="Calibri"/>
                <w:b/>
                <w:spacing w:val="31"/>
                <w:sz w:val="24"/>
              </w:rPr>
              <w:t> </w:t>
            </w:r>
            <w:r>
              <w:rPr>
                <w:b/>
                <w:spacing w:val="24"/>
                <w:sz w:val="24"/>
              </w:rPr>
              <w:t>公民與政</w:t>
            </w:r>
          </w:p>
          <w:p>
            <w:pPr>
              <w:pStyle w:val="TableParagraph"/>
              <w:spacing w:line="256" w:lineRule="auto" w:before="24"/>
              <w:ind w:left="723" w:right="47"/>
              <w:rPr>
                <w:b/>
                <w:sz w:val="24"/>
              </w:rPr>
            </w:pPr>
            <w:r>
              <w:rPr>
                <w:b/>
                <w:spacing w:val="20"/>
                <w:sz w:val="24"/>
              </w:rPr>
              <w:t>治權利國</w:t>
            </w:r>
            <w:r>
              <w:rPr>
                <w:b/>
                <w:sz w:val="24"/>
              </w:rPr>
              <w:t>際公約</w:t>
            </w:r>
          </w:p>
        </w:tc>
        <w:tc>
          <w:tcPr>
            <w:tcW w:w="3727" w:type="dxa"/>
            <w:tcBorders>
              <w:bottom w:val="nil"/>
            </w:tcBorders>
          </w:tcPr>
          <w:p>
            <w:pPr>
              <w:pStyle w:val="TableParagraph"/>
              <w:spacing w:line="360" w:lineRule="atLeast" w:before="5"/>
              <w:ind w:left="1" w:right="-29"/>
              <w:jc w:val="both"/>
              <w:rPr>
                <w:sz w:val="24"/>
              </w:rPr>
            </w:pPr>
            <w:r>
              <w:rPr>
                <w:spacing w:val="25"/>
                <w:sz w:val="24"/>
              </w:rPr>
              <w:t>本修正草案係以保障公務人員權</w:t>
            </w:r>
            <w:r>
              <w:rPr>
                <w:sz w:val="24"/>
              </w:rPr>
              <w:t>益，兼顧行政機關行政效能為修正宗旨，符合公民與政治權利國際公約及聯合國人權事務委員會之一般性意見。</w:t>
            </w:r>
          </w:p>
        </w:tc>
        <w:tc>
          <w:tcPr>
            <w:tcW w:w="3331" w:type="dxa"/>
            <w:tcBorders>
              <w:bottom w:val="nil"/>
            </w:tcBorders>
          </w:tcPr>
          <w:p>
            <w:pPr>
              <w:pStyle w:val="TableParagraph"/>
              <w:spacing w:line="360" w:lineRule="atLeast" w:before="10"/>
              <w:ind w:left="26" w:right="85" w:hanging="27"/>
              <w:jc w:val="both"/>
              <w:rPr>
                <w:sz w:val="24"/>
              </w:rPr>
            </w:pPr>
            <w:r>
              <w:rPr>
                <w:sz w:val="24"/>
              </w:rPr>
              <w:t>依公民與政治權利國際公約及經濟社會文化權利國際公約施行法，請檢視法案是否符合公約規定及聯合國人權事務委員會之一般性意見，以積極促進</w:t>
            </w:r>
          </w:p>
        </w:tc>
      </w:tr>
      <w:tr>
        <w:trPr>
          <w:trHeight w:val="318" w:hRule="atLeast"/>
        </w:trPr>
        <w:tc>
          <w:tcPr>
            <w:tcW w:w="935" w:type="dxa"/>
            <w:tcBorders>
              <w:top w:val="nil"/>
              <w:bottom w:val="nil"/>
            </w:tcBorders>
          </w:tcPr>
          <w:p>
            <w:pPr>
              <w:pStyle w:val="TableParagraph"/>
              <w:rPr>
                <w:rFonts w:ascii="Times New Roman"/>
                <w:sz w:val="22"/>
              </w:rPr>
            </w:pPr>
          </w:p>
        </w:tc>
        <w:tc>
          <w:tcPr>
            <w:tcW w:w="1842" w:type="dxa"/>
            <w:vMerge/>
            <w:tcBorders>
              <w:top w:val="nil"/>
            </w:tcBorders>
          </w:tcPr>
          <w:p>
            <w:pPr>
              <w:rPr>
                <w:sz w:val="2"/>
                <w:szCs w:val="2"/>
              </w:rPr>
            </w:pPr>
          </w:p>
        </w:tc>
        <w:tc>
          <w:tcPr>
            <w:tcW w:w="3727" w:type="dxa"/>
            <w:tcBorders>
              <w:top w:val="nil"/>
            </w:tcBorders>
          </w:tcPr>
          <w:p>
            <w:pPr>
              <w:pStyle w:val="TableParagraph"/>
              <w:rPr>
                <w:rFonts w:ascii="Times New Roman"/>
                <w:sz w:val="22"/>
              </w:rPr>
            </w:pPr>
          </w:p>
        </w:tc>
        <w:tc>
          <w:tcPr>
            <w:tcW w:w="3331" w:type="dxa"/>
            <w:tcBorders>
              <w:top w:val="nil"/>
            </w:tcBorders>
          </w:tcPr>
          <w:p>
            <w:pPr>
              <w:pStyle w:val="TableParagraph"/>
              <w:spacing w:line="298" w:lineRule="exact" w:before="1"/>
              <w:ind w:left="26"/>
              <w:rPr>
                <w:sz w:val="24"/>
              </w:rPr>
            </w:pPr>
            <w:r>
              <w:rPr>
                <w:sz w:val="24"/>
              </w:rPr>
              <w:t>各項人權之實現。</w:t>
            </w:r>
          </w:p>
        </w:tc>
      </w:tr>
      <w:tr>
        <w:trPr>
          <w:trHeight w:val="390" w:hRule="atLeast"/>
        </w:trPr>
        <w:tc>
          <w:tcPr>
            <w:tcW w:w="935" w:type="dxa"/>
            <w:tcBorders>
              <w:top w:val="nil"/>
              <w:bottom w:val="nil"/>
            </w:tcBorders>
          </w:tcPr>
          <w:p>
            <w:pPr>
              <w:pStyle w:val="TableParagraph"/>
              <w:rPr>
                <w:rFonts w:ascii="Times New Roman"/>
                <w:sz w:val="22"/>
              </w:rPr>
            </w:pPr>
          </w:p>
        </w:tc>
        <w:tc>
          <w:tcPr>
            <w:tcW w:w="1842" w:type="dxa"/>
            <w:tcBorders>
              <w:bottom w:val="nil"/>
            </w:tcBorders>
          </w:tcPr>
          <w:p>
            <w:pPr>
              <w:pStyle w:val="TableParagraph"/>
              <w:spacing w:before="31"/>
              <w:ind w:right="48"/>
              <w:jc w:val="right"/>
              <w:rPr>
                <w:b/>
                <w:sz w:val="24"/>
              </w:rPr>
            </w:pPr>
            <w:r>
              <w:rPr>
                <w:rFonts w:ascii="Calibri" w:hAnsi="Calibri" w:eastAsia="Calibri"/>
                <w:b/>
                <w:sz w:val="24"/>
              </w:rPr>
              <w:t>7‐3‐3</w:t>
            </w:r>
            <w:r>
              <w:rPr>
                <w:rFonts w:ascii="Calibri" w:hAnsi="Calibri" w:eastAsia="Calibri"/>
                <w:b/>
                <w:spacing w:val="32"/>
                <w:sz w:val="24"/>
              </w:rPr>
              <w:t> </w:t>
            </w:r>
            <w:r>
              <w:rPr>
                <w:b/>
                <w:spacing w:val="24"/>
                <w:sz w:val="24"/>
              </w:rPr>
              <w:t>經濟社會</w:t>
            </w:r>
          </w:p>
        </w:tc>
        <w:tc>
          <w:tcPr>
            <w:tcW w:w="3727" w:type="dxa"/>
            <w:tcBorders>
              <w:bottom w:val="nil"/>
            </w:tcBorders>
          </w:tcPr>
          <w:p>
            <w:pPr>
              <w:pStyle w:val="TableParagraph"/>
              <w:spacing w:before="31"/>
              <w:ind w:left="1" w:right="-15"/>
              <w:jc w:val="center"/>
              <w:rPr>
                <w:sz w:val="24"/>
              </w:rPr>
            </w:pPr>
            <w:r>
              <w:rPr>
                <w:spacing w:val="25"/>
                <w:sz w:val="24"/>
              </w:rPr>
              <w:t>本修正草案係以保障公務人員權</w:t>
            </w:r>
          </w:p>
        </w:tc>
        <w:tc>
          <w:tcPr>
            <w:tcW w:w="3331" w:type="dxa"/>
            <w:tcBorders>
              <w:bottom w:val="nil"/>
            </w:tcBorders>
          </w:tcPr>
          <w:p>
            <w:pPr>
              <w:pStyle w:val="TableParagraph"/>
              <w:spacing w:line="328" w:lineRule="exact" w:before="43"/>
              <w:ind w:left="-1"/>
              <w:rPr>
                <w:sz w:val="24"/>
              </w:rPr>
            </w:pPr>
            <w:r>
              <w:rPr>
                <w:sz w:val="24"/>
              </w:rPr>
              <w:t>依公民與政治權利國際公約及</w:t>
            </w:r>
          </w:p>
        </w:tc>
      </w:tr>
      <w:tr>
        <w:trPr>
          <w:trHeight w:val="329" w:hRule="atLeast"/>
        </w:trPr>
        <w:tc>
          <w:tcPr>
            <w:tcW w:w="935" w:type="dxa"/>
            <w:tcBorders>
              <w:top w:val="nil"/>
            </w:tcBorders>
          </w:tcPr>
          <w:p>
            <w:pPr>
              <w:pStyle w:val="TableParagraph"/>
              <w:rPr>
                <w:rFonts w:ascii="Times New Roman"/>
                <w:sz w:val="22"/>
              </w:rPr>
            </w:pPr>
          </w:p>
        </w:tc>
        <w:tc>
          <w:tcPr>
            <w:tcW w:w="1842" w:type="dxa"/>
            <w:tcBorders>
              <w:top w:val="nil"/>
            </w:tcBorders>
          </w:tcPr>
          <w:p>
            <w:pPr>
              <w:pStyle w:val="TableParagraph"/>
              <w:spacing w:line="310" w:lineRule="exact"/>
              <w:ind w:right="47"/>
              <w:jc w:val="right"/>
              <w:rPr>
                <w:b/>
                <w:sz w:val="24"/>
              </w:rPr>
            </w:pPr>
            <w:r>
              <w:rPr>
                <w:b/>
                <w:spacing w:val="24"/>
                <w:w w:val="95"/>
                <w:sz w:val="24"/>
              </w:rPr>
              <w:t>文化權利</w:t>
            </w:r>
          </w:p>
        </w:tc>
        <w:tc>
          <w:tcPr>
            <w:tcW w:w="3727" w:type="dxa"/>
            <w:tcBorders>
              <w:top w:val="nil"/>
            </w:tcBorders>
          </w:tcPr>
          <w:p>
            <w:pPr>
              <w:pStyle w:val="TableParagraph"/>
              <w:spacing w:line="310" w:lineRule="exact"/>
              <w:ind w:left="53" w:right="23"/>
              <w:jc w:val="center"/>
              <w:rPr>
                <w:sz w:val="24"/>
              </w:rPr>
            </w:pPr>
            <w:r>
              <w:rPr>
                <w:sz w:val="24"/>
              </w:rPr>
              <w:t>益，兼顧行政機關行政效能為修正</w:t>
            </w:r>
          </w:p>
        </w:tc>
        <w:tc>
          <w:tcPr>
            <w:tcW w:w="3331" w:type="dxa"/>
            <w:tcBorders>
              <w:top w:val="nil"/>
            </w:tcBorders>
          </w:tcPr>
          <w:p>
            <w:pPr>
              <w:pStyle w:val="TableParagraph"/>
              <w:spacing w:line="298" w:lineRule="exact" w:before="12"/>
              <w:ind w:left="26"/>
              <w:rPr>
                <w:sz w:val="24"/>
              </w:rPr>
            </w:pPr>
            <w:r>
              <w:rPr>
                <w:sz w:val="24"/>
              </w:rPr>
              <w:t>經濟社會文化權利國際公約施</w:t>
            </w:r>
          </w:p>
        </w:tc>
      </w:tr>
    </w:tbl>
    <w:p>
      <w:pPr>
        <w:spacing w:after="0" w:line="298" w:lineRule="exact"/>
        <w:rPr>
          <w:sz w:val="24"/>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
        <w:gridCol w:w="1210"/>
        <w:gridCol w:w="458"/>
        <w:gridCol w:w="169"/>
        <w:gridCol w:w="290"/>
        <w:gridCol w:w="3441"/>
        <w:gridCol w:w="3337"/>
      </w:tblGrid>
      <w:tr>
        <w:trPr>
          <w:trHeight w:val="344" w:hRule="atLeast"/>
        </w:trPr>
        <w:tc>
          <w:tcPr>
            <w:tcW w:w="935" w:type="dxa"/>
            <w:vMerge w:val="restart"/>
            <w:tcBorders>
              <w:bottom w:val="thickThinMediumGap" w:sz="12" w:space="0" w:color="000000"/>
            </w:tcBorders>
          </w:tcPr>
          <w:p>
            <w:pPr>
              <w:pStyle w:val="TableParagraph"/>
              <w:rPr>
                <w:rFonts w:ascii="Times New Roman"/>
                <w:sz w:val="22"/>
              </w:rPr>
            </w:pPr>
          </w:p>
        </w:tc>
        <w:tc>
          <w:tcPr>
            <w:tcW w:w="1837" w:type="dxa"/>
            <w:gridSpan w:val="3"/>
            <w:tcBorders>
              <w:bottom w:val="nil"/>
            </w:tcBorders>
          </w:tcPr>
          <w:p>
            <w:pPr>
              <w:pStyle w:val="TableParagraph"/>
              <w:spacing w:line="295" w:lineRule="exact" w:before="29"/>
              <w:ind w:left="723"/>
              <w:rPr>
                <w:b/>
                <w:sz w:val="24"/>
              </w:rPr>
            </w:pPr>
            <w:r>
              <w:rPr>
                <w:b/>
                <w:w w:val="95"/>
                <w:sz w:val="24"/>
              </w:rPr>
              <w:t>國際公約</w:t>
            </w:r>
          </w:p>
        </w:tc>
        <w:tc>
          <w:tcPr>
            <w:tcW w:w="3731" w:type="dxa"/>
            <w:gridSpan w:val="2"/>
            <w:tcBorders>
              <w:bottom w:val="nil"/>
            </w:tcBorders>
          </w:tcPr>
          <w:p>
            <w:pPr>
              <w:pStyle w:val="TableParagraph"/>
              <w:spacing w:line="295" w:lineRule="exact" w:before="29"/>
              <w:ind w:left="7" w:right="-29"/>
              <w:rPr>
                <w:sz w:val="24"/>
              </w:rPr>
            </w:pPr>
            <w:r>
              <w:rPr>
                <w:sz w:val="24"/>
              </w:rPr>
              <w:t>宗旨，符合經濟社會文化權利國際</w:t>
            </w:r>
          </w:p>
        </w:tc>
        <w:tc>
          <w:tcPr>
            <w:tcW w:w="3337" w:type="dxa"/>
            <w:tcBorders>
              <w:bottom w:val="nil"/>
            </w:tcBorders>
          </w:tcPr>
          <w:p>
            <w:pPr>
              <w:pStyle w:val="TableParagraph"/>
              <w:spacing w:line="283" w:lineRule="exact" w:before="41"/>
              <w:ind w:left="27"/>
              <w:rPr>
                <w:sz w:val="24"/>
              </w:rPr>
            </w:pPr>
            <w:r>
              <w:rPr>
                <w:sz w:val="24"/>
              </w:rPr>
              <w:t>行法，請檢視法案是否符合公</w:t>
            </w:r>
          </w:p>
        </w:tc>
      </w:tr>
      <w:tr>
        <w:trPr>
          <w:trHeight w:val="270" w:hRule="atLeast"/>
        </w:trPr>
        <w:tc>
          <w:tcPr>
            <w:tcW w:w="935" w:type="dxa"/>
            <w:vMerge/>
            <w:tcBorders>
              <w:top w:val="nil"/>
              <w:bottom w:val="thickThinMediumGap" w:sz="12" w:space="0" w:color="000000"/>
            </w:tcBorders>
          </w:tcPr>
          <w:p>
            <w:pPr>
              <w:rPr>
                <w:sz w:val="2"/>
                <w:szCs w:val="2"/>
              </w:rPr>
            </w:pPr>
          </w:p>
        </w:tc>
        <w:tc>
          <w:tcPr>
            <w:tcW w:w="1837" w:type="dxa"/>
            <w:gridSpan w:val="3"/>
            <w:tcBorders>
              <w:top w:val="nil"/>
              <w:bottom w:val="nil"/>
            </w:tcBorders>
          </w:tcPr>
          <w:p>
            <w:pPr>
              <w:pStyle w:val="TableParagraph"/>
              <w:rPr>
                <w:rFonts w:ascii="Times New Roman"/>
                <w:sz w:val="20"/>
              </w:rPr>
            </w:pPr>
          </w:p>
        </w:tc>
        <w:tc>
          <w:tcPr>
            <w:tcW w:w="3731" w:type="dxa"/>
            <w:gridSpan w:val="2"/>
            <w:tcBorders>
              <w:top w:val="nil"/>
              <w:bottom w:val="nil"/>
            </w:tcBorders>
          </w:tcPr>
          <w:p>
            <w:pPr>
              <w:pStyle w:val="TableParagraph"/>
              <w:spacing w:line="250" w:lineRule="exact"/>
              <w:ind w:left="7" w:right="-29"/>
              <w:rPr>
                <w:sz w:val="24"/>
              </w:rPr>
            </w:pPr>
            <w:r>
              <w:rPr>
                <w:sz w:val="24"/>
              </w:rPr>
              <w:t>公約及聯合國經濟社會文化權利委</w:t>
            </w:r>
          </w:p>
        </w:tc>
        <w:tc>
          <w:tcPr>
            <w:tcW w:w="3337" w:type="dxa"/>
            <w:tcBorders>
              <w:top w:val="nil"/>
              <w:bottom w:val="nil"/>
            </w:tcBorders>
          </w:tcPr>
          <w:p>
            <w:pPr>
              <w:pStyle w:val="TableParagraph"/>
              <w:spacing w:line="250" w:lineRule="exact"/>
              <w:ind w:left="27"/>
              <w:rPr>
                <w:sz w:val="24"/>
              </w:rPr>
            </w:pPr>
            <w:r>
              <w:rPr>
                <w:sz w:val="24"/>
              </w:rPr>
              <w:t>約規定及聯合國經濟社會文化</w:t>
            </w:r>
          </w:p>
        </w:tc>
      </w:tr>
      <w:tr>
        <w:trPr>
          <w:trHeight w:val="275" w:hRule="atLeast"/>
        </w:trPr>
        <w:tc>
          <w:tcPr>
            <w:tcW w:w="935" w:type="dxa"/>
            <w:vMerge/>
            <w:tcBorders>
              <w:top w:val="nil"/>
              <w:bottom w:val="thickThinMediumGap" w:sz="12" w:space="0" w:color="000000"/>
            </w:tcBorders>
          </w:tcPr>
          <w:p>
            <w:pPr>
              <w:rPr>
                <w:sz w:val="2"/>
                <w:szCs w:val="2"/>
              </w:rPr>
            </w:pPr>
          </w:p>
        </w:tc>
        <w:tc>
          <w:tcPr>
            <w:tcW w:w="1837" w:type="dxa"/>
            <w:gridSpan w:val="3"/>
            <w:tcBorders>
              <w:top w:val="nil"/>
              <w:bottom w:val="nil"/>
            </w:tcBorders>
          </w:tcPr>
          <w:p>
            <w:pPr>
              <w:pStyle w:val="TableParagraph"/>
              <w:rPr>
                <w:rFonts w:ascii="Times New Roman"/>
                <w:sz w:val="20"/>
              </w:rPr>
            </w:pPr>
          </w:p>
        </w:tc>
        <w:tc>
          <w:tcPr>
            <w:tcW w:w="3731" w:type="dxa"/>
            <w:gridSpan w:val="2"/>
            <w:tcBorders>
              <w:top w:val="nil"/>
              <w:bottom w:val="nil"/>
            </w:tcBorders>
          </w:tcPr>
          <w:p>
            <w:pPr>
              <w:pStyle w:val="TableParagraph"/>
              <w:spacing w:line="256" w:lineRule="exact"/>
              <w:ind w:left="7"/>
              <w:rPr>
                <w:sz w:val="24"/>
              </w:rPr>
            </w:pPr>
            <w:r>
              <w:rPr>
                <w:sz w:val="24"/>
              </w:rPr>
              <w:t>員會之一般性意見。</w:t>
            </w:r>
          </w:p>
        </w:tc>
        <w:tc>
          <w:tcPr>
            <w:tcW w:w="3337" w:type="dxa"/>
            <w:tcBorders>
              <w:top w:val="nil"/>
              <w:bottom w:val="nil"/>
            </w:tcBorders>
          </w:tcPr>
          <w:p>
            <w:pPr>
              <w:pStyle w:val="TableParagraph"/>
              <w:spacing w:line="256" w:lineRule="exact"/>
              <w:ind w:left="27"/>
              <w:rPr>
                <w:sz w:val="24"/>
              </w:rPr>
            </w:pPr>
            <w:r>
              <w:rPr>
                <w:sz w:val="24"/>
              </w:rPr>
              <w:t>權利委員會之一般性意見，以</w:t>
            </w:r>
          </w:p>
        </w:tc>
      </w:tr>
      <w:tr>
        <w:trPr>
          <w:trHeight w:val="278" w:hRule="atLeast"/>
        </w:trPr>
        <w:tc>
          <w:tcPr>
            <w:tcW w:w="935" w:type="dxa"/>
            <w:vMerge/>
            <w:tcBorders>
              <w:top w:val="nil"/>
              <w:bottom w:val="thickThinMediumGap" w:sz="12" w:space="0" w:color="000000"/>
            </w:tcBorders>
          </w:tcPr>
          <w:p>
            <w:pPr>
              <w:rPr>
                <w:sz w:val="2"/>
                <w:szCs w:val="2"/>
              </w:rPr>
            </w:pPr>
          </w:p>
        </w:tc>
        <w:tc>
          <w:tcPr>
            <w:tcW w:w="1837" w:type="dxa"/>
            <w:gridSpan w:val="3"/>
            <w:tcBorders>
              <w:top w:val="nil"/>
              <w:bottom w:val="thickThinMediumGap" w:sz="12" w:space="0" w:color="000000"/>
            </w:tcBorders>
          </w:tcPr>
          <w:p>
            <w:pPr>
              <w:pStyle w:val="TableParagraph"/>
              <w:rPr>
                <w:rFonts w:ascii="Times New Roman"/>
                <w:sz w:val="20"/>
              </w:rPr>
            </w:pPr>
          </w:p>
        </w:tc>
        <w:tc>
          <w:tcPr>
            <w:tcW w:w="3731" w:type="dxa"/>
            <w:gridSpan w:val="2"/>
            <w:tcBorders>
              <w:top w:val="nil"/>
              <w:bottom w:val="thickThinMediumGap" w:sz="12" w:space="0" w:color="000000"/>
            </w:tcBorders>
          </w:tcPr>
          <w:p>
            <w:pPr>
              <w:pStyle w:val="TableParagraph"/>
              <w:rPr>
                <w:rFonts w:ascii="Times New Roman"/>
                <w:sz w:val="20"/>
              </w:rPr>
            </w:pPr>
          </w:p>
        </w:tc>
        <w:tc>
          <w:tcPr>
            <w:tcW w:w="3337" w:type="dxa"/>
            <w:tcBorders>
              <w:top w:val="nil"/>
              <w:bottom w:val="thickThinMediumGap" w:sz="12" w:space="0" w:color="000000"/>
            </w:tcBorders>
          </w:tcPr>
          <w:p>
            <w:pPr>
              <w:pStyle w:val="TableParagraph"/>
              <w:spacing w:line="259" w:lineRule="exact"/>
              <w:ind w:left="27"/>
              <w:rPr>
                <w:sz w:val="24"/>
              </w:rPr>
            </w:pPr>
            <w:r>
              <w:rPr>
                <w:sz w:val="24"/>
              </w:rPr>
              <w:t>積極促進各項人權之實現。</w:t>
            </w:r>
          </w:p>
        </w:tc>
      </w:tr>
      <w:tr>
        <w:trPr>
          <w:trHeight w:val="2499" w:hRule="atLeast"/>
        </w:trPr>
        <w:tc>
          <w:tcPr>
            <w:tcW w:w="9840" w:type="dxa"/>
            <w:gridSpan w:val="7"/>
            <w:tcBorders>
              <w:top w:val="thinThickMediumGap" w:sz="12" w:space="0" w:color="000000"/>
            </w:tcBorders>
          </w:tcPr>
          <w:p>
            <w:pPr>
              <w:pStyle w:val="TableParagraph"/>
              <w:spacing w:line="306" w:lineRule="exact"/>
              <w:ind w:left="-1"/>
              <w:rPr>
                <w:b/>
                <w:sz w:val="24"/>
              </w:rPr>
            </w:pPr>
            <w:r>
              <w:rPr>
                <w:b/>
                <w:w w:val="95"/>
                <w:sz w:val="24"/>
              </w:rPr>
              <w:t>捌、性別議題相關性</w:t>
            </w:r>
          </w:p>
          <w:p>
            <w:pPr>
              <w:pStyle w:val="TableParagraph"/>
              <w:spacing w:line="313" w:lineRule="exact"/>
              <w:ind w:left="52"/>
              <w:rPr>
                <w:b/>
                <w:sz w:val="24"/>
              </w:rPr>
            </w:pPr>
            <w:r>
              <w:rPr>
                <w:rFonts w:ascii="Calibri" w:hAnsi="Calibri" w:eastAsia="Calibri"/>
                <w:b/>
                <w:sz w:val="24"/>
              </w:rPr>
              <w:t>8‐1</w:t>
            </w:r>
            <w:r>
              <w:rPr>
                <w:rFonts w:ascii="Calibri" w:hAnsi="Calibri" w:eastAsia="Calibri"/>
                <w:b/>
                <w:spacing w:val="4"/>
                <w:sz w:val="24"/>
              </w:rPr>
              <w:t> </w:t>
            </w:r>
            <w:r>
              <w:rPr>
                <w:b/>
                <w:sz w:val="24"/>
              </w:rPr>
              <w:t>規範對象：</w:t>
            </w:r>
          </w:p>
          <w:p>
            <w:pPr>
              <w:pStyle w:val="TableParagraph"/>
              <w:numPr>
                <w:ilvl w:val="0"/>
                <w:numId w:val="5"/>
              </w:numPr>
              <w:tabs>
                <w:tab w:pos="602" w:val="left" w:leader="none"/>
              </w:tabs>
              <w:spacing w:line="223" w:lineRule="auto" w:before="5" w:after="0"/>
              <w:ind w:left="359" w:right="93" w:hanging="360"/>
              <w:jc w:val="both"/>
              <w:rPr>
                <w:sz w:val="24"/>
              </w:rPr>
            </w:pPr>
            <w:r>
              <w:rPr>
                <w:spacing w:val="-29"/>
                <w:sz w:val="24"/>
              </w:rPr>
              <w:t>若 </w:t>
            </w:r>
            <w:r>
              <w:rPr>
                <w:rFonts w:ascii="Calibri" w:hAnsi="Calibri" w:eastAsia="Calibri"/>
                <w:spacing w:val="-1"/>
                <w:sz w:val="24"/>
              </w:rPr>
              <w:t>8‐1</w:t>
            </w:r>
            <w:r>
              <w:rPr>
                <w:rFonts w:ascii="Calibri" w:hAnsi="Calibri" w:eastAsia="Calibri"/>
                <w:spacing w:val="8"/>
                <w:sz w:val="24"/>
              </w:rPr>
              <w:t> </w:t>
            </w:r>
            <w:r>
              <w:rPr>
                <w:spacing w:val="-1"/>
                <w:sz w:val="24"/>
              </w:rPr>
              <w:t>任一指標評定「是」者，應繼續填列項目「捌、</w:t>
            </w:r>
            <w:r>
              <w:rPr>
                <w:rFonts w:ascii="Calibri" w:hAnsi="Calibri" w:eastAsia="Calibri"/>
                <w:sz w:val="24"/>
              </w:rPr>
              <w:t>8‐2</w:t>
            </w:r>
            <w:r>
              <w:rPr>
                <w:rFonts w:ascii="Calibri" w:hAnsi="Calibri" w:eastAsia="Calibri"/>
                <w:spacing w:val="8"/>
                <w:sz w:val="24"/>
              </w:rPr>
              <w:t> </w:t>
            </w:r>
            <w:r>
              <w:rPr>
                <w:spacing w:val="-28"/>
                <w:sz w:val="24"/>
              </w:rPr>
              <w:t>及 </w:t>
            </w:r>
            <w:r>
              <w:rPr>
                <w:rFonts w:ascii="Calibri" w:hAnsi="Calibri" w:eastAsia="Calibri"/>
                <w:sz w:val="24"/>
              </w:rPr>
              <w:t>8‐3</w:t>
            </w:r>
            <w:r>
              <w:rPr>
                <w:sz w:val="24"/>
              </w:rPr>
              <w:t>」及「第二部分－性別</w:t>
            </w:r>
            <w:r>
              <w:rPr>
                <w:spacing w:val="-17"/>
                <w:sz w:val="24"/>
              </w:rPr>
              <w:t>影響評估程序參與」；如 </w:t>
            </w:r>
            <w:r>
              <w:rPr>
                <w:rFonts w:ascii="Calibri" w:hAnsi="Calibri" w:eastAsia="Calibri"/>
                <w:sz w:val="24"/>
              </w:rPr>
              <w:t>8‐1</w:t>
            </w:r>
            <w:r>
              <w:rPr>
                <w:rFonts w:ascii="Calibri" w:hAnsi="Calibri" w:eastAsia="Calibri"/>
                <w:spacing w:val="8"/>
                <w:sz w:val="24"/>
              </w:rPr>
              <w:t> </w:t>
            </w:r>
            <w:r>
              <w:rPr>
                <w:sz w:val="24"/>
              </w:rPr>
              <w:t>皆評定為「否」者，則免填「捌、</w:t>
            </w:r>
            <w:r>
              <w:rPr>
                <w:rFonts w:ascii="Calibri" w:hAnsi="Calibri" w:eastAsia="Calibri"/>
                <w:sz w:val="24"/>
              </w:rPr>
              <w:t>8‐2</w:t>
            </w:r>
            <w:r>
              <w:rPr>
                <w:rFonts w:ascii="Calibri" w:hAnsi="Calibri" w:eastAsia="Calibri"/>
                <w:spacing w:val="10"/>
                <w:sz w:val="24"/>
              </w:rPr>
              <w:t> </w:t>
            </w:r>
            <w:r>
              <w:rPr>
                <w:spacing w:val="-29"/>
                <w:sz w:val="24"/>
              </w:rPr>
              <w:t>及 </w:t>
            </w:r>
            <w:r>
              <w:rPr>
                <w:rFonts w:ascii="Calibri" w:hAnsi="Calibri" w:eastAsia="Calibri"/>
                <w:sz w:val="24"/>
              </w:rPr>
              <w:t>8‐3</w:t>
            </w:r>
            <w:r>
              <w:rPr>
                <w:spacing w:val="-16"/>
                <w:sz w:val="24"/>
              </w:rPr>
              <w:t>」，逕填寫「第二</w:t>
            </w:r>
            <w:r>
              <w:rPr>
                <w:spacing w:val="-6"/>
                <w:sz w:val="24"/>
              </w:rPr>
              <w:t>部分－性別影響評估程序參與」，惟若經程序參與後， </w:t>
            </w:r>
            <w:r>
              <w:rPr>
                <w:rFonts w:ascii="Calibri" w:hAnsi="Calibri" w:eastAsia="Calibri"/>
                <w:sz w:val="24"/>
              </w:rPr>
              <w:t>11‐5</w:t>
            </w:r>
            <w:r>
              <w:rPr>
                <w:sz w:val="24"/>
              </w:rPr>
              <w:t>「法案與性別議題關聯之程度」評定為「有關」者，則需修正「捌</w:t>
            </w:r>
            <w:r>
              <w:rPr>
                <w:b/>
                <w:sz w:val="24"/>
              </w:rPr>
              <w:t>、</w:t>
            </w:r>
            <w:r>
              <w:rPr>
                <w:rFonts w:ascii="Calibri" w:hAnsi="Calibri" w:eastAsia="Calibri"/>
                <w:sz w:val="24"/>
              </w:rPr>
              <w:t>8‐1</w:t>
            </w:r>
            <w:r>
              <w:rPr>
                <w:rFonts w:ascii="Calibri" w:hAnsi="Calibri" w:eastAsia="Calibri"/>
                <w:spacing w:val="49"/>
                <w:sz w:val="24"/>
              </w:rPr>
              <w:t> </w:t>
            </w:r>
            <w:r>
              <w:rPr>
                <w:spacing w:val="46"/>
                <w:sz w:val="24"/>
              </w:rPr>
              <w:t>至 </w:t>
            </w:r>
            <w:r>
              <w:rPr>
                <w:rFonts w:ascii="Calibri" w:hAnsi="Calibri" w:eastAsia="Calibri"/>
                <w:sz w:val="24"/>
              </w:rPr>
              <w:t>8‐3</w:t>
            </w:r>
            <w:r>
              <w:rPr>
                <w:spacing w:val="-12"/>
                <w:sz w:val="24"/>
              </w:rPr>
              <w:t>」，並補填列「玖、性別影響評估結</w:t>
            </w:r>
            <w:r>
              <w:rPr>
                <w:spacing w:val="-40"/>
                <w:sz w:val="24"/>
              </w:rPr>
              <w:t>果」。</w:t>
            </w:r>
          </w:p>
          <w:p>
            <w:pPr>
              <w:pStyle w:val="TableParagraph"/>
              <w:numPr>
                <w:ilvl w:val="0"/>
                <w:numId w:val="5"/>
              </w:numPr>
              <w:tabs>
                <w:tab w:pos="602" w:val="left" w:leader="none"/>
              </w:tabs>
              <w:spacing w:line="295" w:lineRule="exact" w:before="0" w:after="0"/>
              <w:ind w:left="602" w:right="0" w:hanging="603"/>
              <w:jc w:val="left"/>
              <w:rPr>
                <w:sz w:val="24"/>
              </w:rPr>
            </w:pPr>
            <w:r>
              <w:rPr>
                <w:spacing w:val="-8"/>
                <w:sz w:val="24"/>
              </w:rPr>
              <w:t>本項不論評定結果為「是」或「否」，皆需填寫評定原因。</w:t>
            </w:r>
          </w:p>
        </w:tc>
      </w:tr>
      <w:tr>
        <w:trPr>
          <w:trHeight w:val="519" w:hRule="atLeast"/>
        </w:trPr>
        <w:tc>
          <w:tcPr>
            <w:tcW w:w="2145" w:type="dxa"/>
            <w:gridSpan w:val="2"/>
            <w:vMerge w:val="restart"/>
          </w:tcPr>
          <w:p>
            <w:pPr>
              <w:pStyle w:val="TableParagraph"/>
              <w:spacing w:before="4"/>
              <w:rPr>
                <w:b/>
                <w:sz w:val="16"/>
              </w:rPr>
            </w:pPr>
          </w:p>
          <w:p>
            <w:pPr>
              <w:pStyle w:val="TableParagraph"/>
              <w:ind w:left="107"/>
              <w:rPr>
                <w:b/>
                <w:sz w:val="24"/>
              </w:rPr>
            </w:pPr>
            <w:r>
              <w:rPr>
                <w:b/>
                <w:spacing w:val="40"/>
                <w:sz w:val="24"/>
              </w:rPr>
              <w:t>項 目</w:t>
            </w:r>
          </w:p>
        </w:tc>
        <w:tc>
          <w:tcPr>
            <w:tcW w:w="917" w:type="dxa"/>
            <w:gridSpan w:val="3"/>
          </w:tcPr>
          <w:p>
            <w:pPr>
              <w:pStyle w:val="TableParagraph"/>
              <w:spacing w:line="266" w:lineRule="exact"/>
              <w:ind w:left="29" w:right="-15"/>
              <w:rPr>
                <w:b/>
                <w:sz w:val="22"/>
              </w:rPr>
            </w:pPr>
            <w:r>
              <w:rPr>
                <w:b/>
                <w:w w:val="95"/>
                <w:sz w:val="22"/>
              </w:rPr>
              <w:t>評定結果</w:t>
            </w:r>
          </w:p>
          <w:p>
            <w:pPr>
              <w:pStyle w:val="TableParagraph"/>
              <w:spacing w:line="233" w:lineRule="exact"/>
              <w:ind w:left="29"/>
              <w:rPr>
                <w:rFonts w:ascii="Calibri" w:eastAsia="Calibri"/>
                <w:sz w:val="22"/>
              </w:rPr>
            </w:pPr>
            <w:r>
              <w:rPr>
                <w:rFonts w:ascii="Calibri" w:eastAsia="Calibri"/>
                <w:sz w:val="22"/>
              </w:rPr>
              <w:t>(</w:t>
            </w:r>
            <w:r>
              <w:rPr>
                <w:sz w:val="22"/>
              </w:rPr>
              <w:t>請勾選</w:t>
            </w:r>
            <w:r>
              <w:rPr>
                <w:rFonts w:ascii="Calibri" w:eastAsia="Calibri"/>
                <w:sz w:val="22"/>
              </w:rPr>
              <w:t>)</w:t>
            </w:r>
          </w:p>
        </w:tc>
        <w:tc>
          <w:tcPr>
            <w:tcW w:w="3441" w:type="dxa"/>
            <w:vMerge w:val="restart"/>
          </w:tcPr>
          <w:p>
            <w:pPr>
              <w:pStyle w:val="TableParagraph"/>
              <w:spacing w:before="4"/>
              <w:rPr>
                <w:b/>
                <w:sz w:val="16"/>
              </w:rPr>
            </w:pPr>
          </w:p>
          <w:p>
            <w:pPr>
              <w:pStyle w:val="TableParagraph"/>
              <w:ind w:left="103"/>
              <w:rPr>
                <w:b/>
                <w:sz w:val="24"/>
              </w:rPr>
            </w:pPr>
            <w:r>
              <w:rPr>
                <w:b/>
                <w:w w:val="95"/>
                <w:sz w:val="24"/>
              </w:rPr>
              <w:t>評定原因</w:t>
            </w:r>
          </w:p>
        </w:tc>
        <w:tc>
          <w:tcPr>
            <w:tcW w:w="3337" w:type="dxa"/>
            <w:vMerge w:val="restart"/>
          </w:tcPr>
          <w:p>
            <w:pPr>
              <w:pStyle w:val="TableParagraph"/>
              <w:spacing w:before="4"/>
              <w:rPr>
                <w:b/>
                <w:sz w:val="16"/>
              </w:rPr>
            </w:pPr>
          </w:p>
          <w:p>
            <w:pPr>
              <w:pStyle w:val="TableParagraph"/>
              <w:ind w:left="93"/>
              <w:rPr>
                <w:b/>
                <w:sz w:val="24"/>
              </w:rPr>
            </w:pPr>
            <w:r>
              <w:rPr>
                <w:b/>
                <w:spacing w:val="40"/>
                <w:sz w:val="24"/>
              </w:rPr>
              <w:t>備 註</w:t>
            </w:r>
          </w:p>
        </w:tc>
      </w:tr>
      <w:tr>
        <w:trPr>
          <w:trHeight w:val="260" w:hRule="atLeast"/>
        </w:trPr>
        <w:tc>
          <w:tcPr>
            <w:tcW w:w="2145" w:type="dxa"/>
            <w:gridSpan w:val="2"/>
            <w:vMerge/>
            <w:tcBorders>
              <w:top w:val="nil"/>
            </w:tcBorders>
          </w:tcPr>
          <w:p>
            <w:pPr>
              <w:rPr>
                <w:sz w:val="2"/>
                <w:szCs w:val="2"/>
              </w:rPr>
            </w:pPr>
          </w:p>
        </w:tc>
        <w:tc>
          <w:tcPr>
            <w:tcW w:w="458" w:type="dxa"/>
          </w:tcPr>
          <w:p>
            <w:pPr>
              <w:pStyle w:val="TableParagraph"/>
              <w:spacing w:line="240" w:lineRule="exact"/>
              <w:ind w:left="106"/>
              <w:rPr>
                <w:b/>
                <w:sz w:val="24"/>
              </w:rPr>
            </w:pPr>
            <w:r>
              <w:rPr>
                <w:b/>
                <w:w w:val="99"/>
                <w:sz w:val="24"/>
              </w:rPr>
              <w:t>是</w:t>
            </w:r>
          </w:p>
        </w:tc>
        <w:tc>
          <w:tcPr>
            <w:tcW w:w="459" w:type="dxa"/>
            <w:gridSpan w:val="2"/>
          </w:tcPr>
          <w:p>
            <w:pPr>
              <w:pStyle w:val="TableParagraph"/>
              <w:spacing w:line="240" w:lineRule="exact"/>
              <w:ind w:left="105"/>
              <w:rPr>
                <w:b/>
                <w:sz w:val="24"/>
              </w:rPr>
            </w:pPr>
            <w:r>
              <w:rPr>
                <w:b/>
                <w:w w:val="99"/>
                <w:sz w:val="24"/>
              </w:rPr>
              <w:t>否</w:t>
            </w:r>
          </w:p>
        </w:tc>
        <w:tc>
          <w:tcPr>
            <w:tcW w:w="3441" w:type="dxa"/>
            <w:vMerge/>
            <w:tcBorders>
              <w:top w:val="nil"/>
            </w:tcBorders>
          </w:tcPr>
          <w:p>
            <w:pPr>
              <w:rPr>
                <w:sz w:val="2"/>
                <w:szCs w:val="2"/>
              </w:rPr>
            </w:pPr>
          </w:p>
        </w:tc>
        <w:tc>
          <w:tcPr>
            <w:tcW w:w="3337" w:type="dxa"/>
            <w:vMerge/>
            <w:tcBorders>
              <w:top w:val="nil"/>
            </w:tcBorders>
          </w:tcPr>
          <w:p>
            <w:pPr>
              <w:rPr>
                <w:sz w:val="2"/>
                <w:szCs w:val="2"/>
              </w:rPr>
            </w:pPr>
          </w:p>
        </w:tc>
      </w:tr>
      <w:tr>
        <w:trPr>
          <w:trHeight w:val="385" w:hRule="atLeast"/>
        </w:trPr>
        <w:tc>
          <w:tcPr>
            <w:tcW w:w="2145" w:type="dxa"/>
            <w:gridSpan w:val="2"/>
            <w:tcBorders>
              <w:bottom w:val="nil"/>
            </w:tcBorders>
          </w:tcPr>
          <w:p>
            <w:pPr>
              <w:pStyle w:val="TableParagraph"/>
              <w:spacing w:line="335" w:lineRule="exact" w:before="31"/>
              <w:ind w:left="71"/>
              <w:rPr>
                <w:b/>
                <w:sz w:val="24"/>
              </w:rPr>
            </w:pPr>
            <w:r>
              <w:rPr>
                <w:rFonts w:ascii="Calibri" w:hAnsi="Calibri" w:eastAsia="Calibri"/>
                <w:b/>
                <w:sz w:val="24"/>
              </w:rPr>
              <w:t>8‐1‐1</w:t>
            </w:r>
            <w:r>
              <w:rPr>
                <w:rFonts w:ascii="Calibri" w:hAnsi="Calibri" w:eastAsia="Calibri"/>
                <w:b/>
                <w:spacing w:val="39"/>
                <w:sz w:val="24"/>
              </w:rPr>
              <w:t> </w:t>
            </w:r>
            <w:r>
              <w:rPr>
                <w:b/>
                <w:spacing w:val="31"/>
                <w:sz w:val="24"/>
              </w:rPr>
              <w:t>訂修內容以</w:t>
            </w:r>
          </w:p>
        </w:tc>
        <w:tc>
          <w:tcPr>
            <w:tcW w:w="458" w:type="dxa"/>
            <w:vMerge w:val="restart"/>
          </w:tcPr>
          <w:p>
            <w:pPr>
              <w:pStyle w:val="TableParagraph"/>
              <w:rPr>
                <w:rFonts w:ascii="Times New Roman"/>
                <w:sz w:val="22"/>
              </w:rPr>
            </w:pPr>
          </w:p>
        </w:tc>
        <w:tc>
          <w:tcPr>
            <w:tcW w:w="459" w:type="dxa"/>
            <w:gridSpan w:val="2"/>
            <w:tcBorders>
              <w:bottom w:val="nil"/>
            </w:tcBorders>
          </w:tcPr>
          <w:p>
            <w:pPr>
              <w:pStyle w:val="TableParagraph"/>
              <w:spacing w:line="319" w:lineRule="exact"/>
              <w:ind w:left="105"/>
              <w:rPr>
                <w:b/>
                <w:sz w:val="24"/>
              </w:rPr>
            </w:pPr>
            <w:r>
              <w:rPr>
                <w:b/>
                <w:w w:val="99"/>
                <w:sz w:val="24"/>
              </w:rPr>
              <w:t>Ｖ</w:t>
            </w:r>
          </w:p>
        </w:tc>
        <w:tc>
          <w:tcPr>
            <w:tcW w:w="3441" w:type="dxa"/>
            <w:tcBorders>
              <w:bottom w:val="nil"/>
            </w:tcBorders>
          </w:tcPr>
          <w:p>
            <w:pPr>
              <w:pStyle w:val="TableParagraph"/>
              <w:spacing w:line="335" w:lineRule="exact" w:before="31"/>
              <w:ind w:left="-3"/>
              <w:rPr>
                <w:sz w:val="24"/>
              </w:rPr>
            </w:pPr>
            <w:r>
              <w:rPr>
                <w:sz w:val="24"/>
              </w:rPr>
              <w:t>本修正草案並未以特定性別、性</w:t>
            </w:r>
          </w:p>
        </w:tc>
        <w:tc>
          <w:tcPr>
            <w:tcW w:w="3337" w:type="dxa"/>
            <w:tcBorders>
              <w:bottom w:val="nil"/>
            </w:tcBorders>
          </w:tcPr>
          <w:p>
            <w:pPr>
              <w:pStyle w:val="TableParagraph"/>
              <w:spacing w:line="335" w:lineRule="exact" w:before="31"/>
              <w:ind w:left="23"/>
              <w:rPr>
                <w:sz w:val="24"/>
              </w:rPr>
            </w:pPr>
            <w:r>
              <w:rPr>
                <w:spacing w:val="31"/>
                <w:sz w:val="24"/>
              </w:rPr>
              <w:t>如規範對象以男性或女性為</w:t>
            </w:r>
          </w:p>
        </w:tc>
      </w:tr>
      <w:tr>
        <w:trPr>
          <w:trHeight w:val="343" w:hRule="atLeast"/>
        </w:trPr>
        <w:tc>
          <w:tcPr>
            <w:tcW w:w="2145" w:type="dxa"/>
            <w:gridSpan w:val="2"/>
            <w:tcBorders>
              <w:top w:val="nil"/>
              <w:bottom w:val="nil"/>
            </w:tcBorders>
          </w:tcPr>
          <w:p>
            <w:pPr>
              <w:pStyle w:val="TableParagraph"/>
              <w:spacing w:line="324" w:lineRule="exact"/>
              <w:ind w:left="724"/>
              <w:rPr>
                <w:b/>
                <w:sz w:val="24"/>
              </w:rPr>
            </w:pPr>
            <w:r>
              <w:rPr>
                <w:b/>
                <w:spacing w:val="33"/>
                <w:w w:val="95"/>
                <w:sz w:val="24"/>
              </w:rPr>
              <w:t>特定性別、</w:t>
            </w:r>
          </w:p>
        </w:tc>
        <w:tc>
          <w:tcPr>
            <w:tcW w:w="458" w:type="dxa"/>
            <w:vMerge/>
            <w:tcBorders>
              <w:top w:val="nil"/>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spacing w:line="324" w:lineRule="exact"/>
              <w:ind w:left="-3"/>
              <w:rPr>
                <w:sz w:val="24"/>
              </w:rPr>
            </w:pPr>
            <w:r>
              <w:rPr>
                <w:sz w:val="24"/>
              </w:rPr>
              <w:t>傾向或性別認同為規範對象。</w:t>
            </w:r>
          </w:p>
        </w:tc>
        <w:tc>
          <w:tcPr>
            <w:tcW w:w="3337" w:type="dxa"/>
            <w:tcBorders>
              <w:top w:val="nil"/>
              <w:bottom w:val="nil"/>
            </w:tcBorders>
          </w:tcPr>
          <w:p>
            <w:pPr>
              <w:pStyle w:val="TableParagraph"/>
              <w:spacing w:line="324" w:lineRule="exact"/>
              <w:ind w:left="23"/>
              <w:rPr>
                <w:sz w:val="24"/>
              </w:rPr>
            </w:pPr>
            <w:r>
              <w:rPr>
                <w:sz w:val="24"/>
              </w:rPr>
              <w:t>主，或以同性戀、異性戀或雙</w:t>
            </w:r>
          </w:p>
        </w:tc>
      </w:tr>
      <w:tr>
        <w:trPr>
          <w:trHeight w:val="350" w:hRule="atLeast"/>
        </w:trPr>
        <w:tc>
          <w:tcPr>
            <w:tcW w:w="2145" w:type="dxa"/>
            <w:gridSpan w:val="2"/>
            <w:tcBorders>
              <w:top w:val="nil"/>
              <w:bottom w:val="nil"/>
            </w:tcBorders>
          </w:tcPr>
          <w:p>
            <w:pPr>
              <w:pStyle w:val="TableParagraph"/>
              <w:spacing w:line="329" w:lineRule="exact" w:before="1"/>
              <w:ind w:left="724"/>
              <w:rPr>
                <w:b/>
                <w:sz w:val="24"/>
              </w:rPr>
            </w:pPr>
            <w:r>
              <w:rPr>
                <w:b/>
                <w:spacing w:val="33"/>
                <w:w w:val="95"/>
                <w:sz w:val="24"/>
              </w:rPr>
              <w:t>性傾向或性</w:t>
            </w:r>
          </w:p>
        </w:tc>
        <w:tc>
          <w:tcPr>
            <w:tcW w:w="458" w:type="dxa"/>
            <w:vMerge/>
            <w:tcBorders>
              <w:top w:val="nil"/>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spacing w:line="329" w:lineRule="exact" w:before="1"/>
              <w:ind w:left="23"/>
              <w:rPr>
                <w:sz w:val="24"/>
              </w:rPr>
            </w:pPr>
            <w:r>
              <w:rPr>
                <w:sz w:val="24"/>
              </w:rPr>
              <w:t>性戀為主，或個人自認屬於男</w:t>
            </w:r>
          </w:p>
        </w:tc>
      </w:tr>
      <w:tr>
        <w:trPr>
          <w:trHeight w:val="350" w:hRule="atLeast"/>
        </w:trPr>
        <w:tc>
          <w:tcPr>
            <w:tcW w:w="2145" w:type="dxa"/>
            <w:gridSpan w:val="2"/>
            <w:tcBorders>
              <w:top w:val="nil"/>
              <w:bottom w:val="nil"/>
            </w:tcBorders>
          </w:tcPr>
          <w:p>
            <w:pPr>
              <w:pStyle w:val="TableParagraph"/>
              <w:spacing w:line="329" w:lineRule="exact" w:before="1"/>
              <w:ind w:left="724"/>
              <w:rPr>
                <w:b/>
                <w:sz w:val="24"/>
              </w:rPr>
            </w:pPr>
            <w:r>
              <w:rPr>
                <w:b/>
                <w:spacing w:val="33"/>
                <w:w w:val="95"/>
                <w:sz w:val="24"/>
              </w:rPr>
              <w:t>別認同者為</w:t>
            </w:r>
          </w:p>
        </w:tc>
        <w:tc>
          <w:tcPr>
            <w:tcW w:w="458" w:type="dxa"/>
            <w:vMerge/>
            <w:tcBorders>
              <w:top w:val="nil"/>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spacing w:line="329" w:lineRule="exact" w:before="1"/>
              <w:ind w:left="23" w:right="-15"/>
              <w:rPr>
                <w:sz w:val="24"/>
              </w:rPr>
            </w:pPr>
            <w:r>
              <w:rPr>
                <w:spacing w:val="81"/>
                <w:sz w:val="24"/>
              </w:rPr>
              <w:t>性或女性者，請評定為</w:t>
            </w:r>
            <w:r>
              <w:rPr>
                <w:spacing w:val="-29"/>
                <w:sz w:val="24"/>
              </w:rPr>
              <w:t> </w:t>
            </w:r>
          </w:p>
        </w:tc>
      </w:tr>
      <w:tr>
        <w:trPr>
          <w:trHeight w:val="330" w:hRule="atLeast"/>
        </w:trPr>
        <w:tc>
          <w:tcPr>
            <w:tcW w:w="2145" w:type="dxa"/>
            <w:gridSpan w:val="2"/>
            <w:tcBorders>
              <w:top w:val="nil"/>
            </w:tcBorders>
          </w:tcPr>
          <w:p>
            <w:pPr>
              <w:pStyle w:val="TableParagraph"/>
              <w:spacing w:line="310" w:lineRule="exact" w:before="1"/>
              <w:ind w:left="724"/>
              <w:rPr>
                <w:b/>
                <w:sz w:val="24"/>
              </w:rPr>
            </w:pPr>
            <w:r>
              <w:rPr>
                <w:b/>
                <w:w w:val="95"/>
                <w:sz w:val="24"/>
              </w:rPr>
              <w:t>規範對象</w:t>
            </w:r>
          </w:p>
        </w:tc>
        <w:tc>
          <w:tcPr>
            <w:tcW w:w="458" w:type="dxa"/>
            <w:vMerge/>
            <w:tcBorders>
              <w:top w:val="nil"/>
            </w:tcBorders>
          </w:tcPr>
          <w:p>
            <w:pPr>
              <w:rPr>
                <w:sz w:val="2"/>
                <w:szCs w:val="2"/>
              </w:rPr>
            </w:pPr>
          </w:p>
        </w:tc>
        <w:tc>
          <w:tcPr>
            <w:tcW w:w="459" w:type="dxa"/>
            <w:gridSpan w:val="2"/>
            <w:tcBorders>
              <w:top w:val="nil"/>
            </w:tcBorders>
          </w:tcPr>
          <w:p>
            <w:pPr>
              <w:pStyle w:val="TableParagraph"/>
              <w:rPr>
                <w:rFonts w:ascii="Times New Roman"/>
                <w:sz w:val="22"/>
              </w:rPr>
            </w:pPr>
          </w:p>
        </w:tc>
        <w:tc>
          <w:tcPr>
            <w:tcW w:w="3441" w:type="dxa"/>
            <w:tcBorders>
              <w:top w:val="nil"/>
            </w:tcBorders>
          </w:tcPr>
          <w:p>
            <w:pPr>
              <w:pStyle w:val="TableParagraph"/>
              <w:rPr>
                <w:rFonts w:ascii="Times New Roman"/>
                <w:sz w:val="22"/>
              </w:rPr>
            </w:pPr>
          </w:p>
        </w:tc>
        <w:tc>
          <w:tcPr>
            <w:tcW w:w="3337" w:type="dxa"/>
            <w:tcBorders>
              <w:top w:val="nil"/>
            </w:tcBorders>
          </w:tcPr>
          <w:p>
            <w:pPr>
              <w:pStyle w:val="TableParagraph"/>
              <w:spacing w:line="310" w:lineRule="exact" w:before="1"/>
              <w:ind w:left="23"/>
              <w:rPr>
                <w:sz w:val="24"/>
              </w:rPr>
            </w:pPr>
            <w:r>
              <w:rPr>
                <w:spacing w:val="-30"/>
                <w:sz w:val="24"/>
              </w:rPr>
              <w:t>「是」。</w:t>
            </w:r>
          </w:p>
        </w:tc>
      </w:tr>
      <w:tr>
        <w:trPr>
          <w:trHeight w:val="384" w:hRule="atLeast"/>
        </w:trPr>
        <w:tc>
          <w:tcPr>
            <w:tcW w:w="2145" w:type="dxa"/>
            <w:gridSpan w:val="2"/>
            <w:tcBorders>
              <w:bottom w:val="nil"/>
            </w:tcBorders>
          </w:tcPr>
          <w:p>
            <w:pPr>
              <w:pStyle w:val="TableParagraph"/>
              <w:spacing w:line="335" w:lineRule="exact" w:before="29"/>
              <w:ind w:left="71"/>
              <w:rPr>
                <w:b/>
                <w:sz w:val="24"/>
              </w:rPr>
            </w:pPr>
            <w:r>
              <w:rPr>
                <w:rFonts w:ascii="Calibri" w:hAnsi="Calibri" w:eastAsia="Calibri"/>
                <w:b/>
                <w:sz w:val="24"/>
              </w:rPr>
              <w:t>8‐1‐2</w:t>
            </w:r>
            <w:r>
              <w:rPr>
                <w:rFonts w:ascii="Calibri" w:hAnsi="Calibri" w:eastAsia="Calibri"/>
                <w:b/>
                <w:spacing w:val="38"/>
                <w:sz w:val="24"/>
              </w:rPr>
              <w:t> </w:t>
            </w:r>
            <w:r>
              <w:rPr>
                <w:b/>
                <w:spacing w:val="31"/>
                <w:sz w:val="24"/>
              </w:rPr>
              <w:t>訂修內容未</w:t>
            </w:r>
          </w:p>
        </w:tc>
        <w:tc>
          <w:tcPr>
            <w:tcW w:w="458" w:type="dxa"/>
            <w:vMerge w:val="restart"/>
          </w:tcPr>
          <w:p>
            <w:pPr>
              <w:pStyle w:val="TableParagraph"/>
              <w:rPr>
                <w:rFonts w:ascii="Times New Roman"/>
                <w:sz w:val="22"/>
              </w:rPr>
            </w:pPr>
          </w:p>
        </w:tc>
        <w:tc>
          <w:tcPr>
            <w:tcW w:w="459" w:type="dxa"/>
            <w:gridSpan w:val="2"/>
            <w:tcBorders>
              <w:bottom w:val="nil"/>
            </w:tcBorders>
          </w:tcPr>
          <w:p>
            <w:pPr>
              <w:pStyle w:val="TableParagraph"/>
              <w:spacing w:line="317" w:lineRule="exact"/>
              <w:ind w:left="105"/>
              <w:rPr>
                <w:b/>
                <w:sz w:val="24"/>
              </w:rPr>
            </w:pPr>
            <w:r>
              <w:rPr>
                <w:b/>
                <w:w w:val="99"/>
                <w:sz w:val="24"/>
              </w:rPr>
              <w:t>Ｖ</w:t>
            </w:r>
          </w:p>
        </w:tc>
        <w:tc>
          <w:tcPr>
            <w:tcW w:w="3441" w:type="dxa"/>
            <w:tcBorders>
              <w:bottom w:val="nil"/>
            </w:tcBorders>
          </w:tcPr>
          <w:p>
            <w:pPr>
              <w:pStyle w:val="TableParagraph"/>
              <w:spacing w:line="335" w:lineRule="exact" w:before="29"/>
              <w:ind w:left="-3" w:right="-29"/>
              <w:rPr>
                <w:sz w:val="24"/>
              </w:rPr>
            </w:pPr>
            <w:r>
              <w:rPr>
                <w:spacing w:val="25"/>
                <w:sz w:val="24"/>
              </w:rPr>
              <w:t>本修正草案之執行方式不因性</w:t>
            </w:r>
          </w:p>
        </w:tc>
        <w:tc>
          <w:tcPr>
            <w:tcW w:w="3337" w:type="dxa"/>
            <w:tcBorders>
              <w:bottom w:val="nil"/>
            </w:tcBorders>
          </w:tcPr>
          <w:p>
            <w:pPr>
              <w:pStyle w:val="TableParagraph"/>
              <w:spacing w:line="335" w:lineRule="exact" w:before="29"/>
              <w:ind w:left="23"/>
              <w:rPr>
                <w:sz w:val="24"/>
              </w:rPr>
            </w:pPr>
            <w:r>
              <w:rPr>
                <w:spacing w:val="31"/>
                <w:sz w:val="24"/>
              </w:rPr>
              <w:t>規範對象雖無區別，但因性</w:t>
            </w:r>
          </w:p>
        </w:tc>
      </w:tr>
      <w:tr>
        <w:trPr>
          <w:trHeight w:val="343" w:hRule="atLeast"/>
        </w:trPr>
        <w:tc>
          <w:tcPr>
            <w:tcW w:w="2145" w:type="dxa"/>
            <w:gridSpan w:val="2"/>
            <w:tcBorders>
              <w:top w:val="nil"/>
              <w:bottom w:val="nil"/>
            </w:tcBorders>
          </w:tcPr>
          <w:p>
            <w:pPr>
              <w:pStyle w:val="TableParagraph"/>
              <w:spacing w:line="324" w:lineRule="exact"/>
              <w:ind w:left="652"/>
              <w:rPr>
                <w:b/>
                <w:sz w:val="24"/>
              </w:rPr>
            </w:pPr>
            <w:r>
              <w:rPr>
                <w:b/>
                <w:spacing w:val="40"/>
                <w:w w:val="95"/>
                <w:sz w:val="24"/>
              </w:rPr>
              <w:t>區別對象，</w:t>
            </w:r>
            <w:r>
              <w:rPr>
                <w:b/>
                <w:spacing w:val="-69"/>
                <w:sz w:val="24"/>
              </w:rPr>
              <w:t> </w:t>
            </w:r>
          </w:p>
        </w:tc>
        <w:tc>
          <w:tcPr>
            <w:tcW w:w="458" w:type="dxa"/>
            <w:vMerge/>
            <w:tcBorders>
              <w:top w:val="nil"/>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spacing w:line="324" w:lineRule="exact"/>
              <w:ind w:left="-3" w:right="-29"/>
              <w:rPr>
                <w:sz w:val="24"/>
              </w:rPr>
            </w:pPr>
            <w:r>
              <w:rPr>
                <w:spacing w:val="25"/>
                <w:sz w:val="24"/>
              </w:rPr>
              <w:t>別、性傾向或性別認同而有差</w:t>
            </w:r>
          </w:p>
        </w:tc>
        <w:tc>
          <w:tcPr>
            <w:tcW w:w="3337" w:type="dxa"/>
            <w:tcBorders>
              <w:top w:val="nil"/>
              <w:bottom w:val="nil"/>
            </w:tcBorders>
          </w:tcPr>
          <w:p>
            <w:pPr>
              <w:pStyle w:val="TableParagraph"/>
              <w:spacing w:line="324" w:lineRule="exact"/>
              <w:ind w:left="23"/>
              <w:rPr>
                <w:sz w:val="24"/>
              </w:rPr>
            </w:pPr>
            <w:r>
              <w:rPr>
                <w:sz w:val="24"/>
              </w:rPr>
              <w:t>別、性傾向或性別認同之本質</w:t>
            </w:r>
          </w:p>
        </w:tc>
      </w:tr>
      <w:tr>
        <w:trPr>
          <w:trHeight w:val="350" w:hRule="atLeast"/>
        </w:trPr>
        <w:tc>
          <w:tcPr>
            <w:tcW w:w="2145" w:type="dxa"/>
            <w:gridSpan w:val="2"/>
            <w:tcBorders>
              <w:top w:val="nil"/>
              <w:bottom w:val="nil"/>
            </w:tcBorders>
          </w:tcPr>
          <w:p>
            <w:pPr>
              <w:pStyle w:val="TableParagraph"/>
              <w:spacing w:line="329" w:lineRule="exact" w:before="1"/>
              <w:ind w:left="652"/>
              <w:rPr>
                <w:b/>
                <w:sz w:val="24"/>
              </w:rPr>
            </w:pPr>
            <w:r>
              <w:rPr>
                <w:b/>
                <w:spacing w:val="40"/>
                <w:w w:val="95"/>
                <w:sz w:val="24"/>
              </w:rPr>
              <w:t>但執行方式</w:t>
            </w:r>
            <w:r>
              <w:rPr>
                <w:b/>
                <w:spacing w:val="-69"/>
                <w:sz w:val="24"/>
              </w:rPr>
              <w:t> </w:t>
            </w:r>
          </w:p>
        </w:tc>
        <w:tc>
          <w:tcPr>
            <w:tcW w:w="458" w:type="dxa"/>
            <w:vMerge/>
            <w:tcBorders>
              <w:top w:val="nil"/>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spacing w:line="329" w:lineRule="exact" w:before="1"/>
              <w:ind w:left="-3"/>
              <w:rPr>
                <w:sz w:val="24"/>
              </w:rPr>
            </w:pPr>
            <w:r>
              <w:rPr>
                <w:sz w:val="24"/>
              </w:rPr>
              <w:t>異。</w:t>
            </w:r>
          </w:p>
        </w:tc>
        <w:tc>
          <w:tcPr>
            <w:tcW w:w="3337" w:type="dxa"/>
            <w:tcBorders>
              <w:top w:val="nil"/>
              <w:bottom w:val="nil"/>
            </w:tcBorders>
          </w:tcPr>
          <w:p>
            <w:pPr>
              <w:pStyle w:val="TableParagraph"/>
              <w:spacing w:line="329" w:lineRule="exact" w:before="1"/>
              <w:ind w:left="23"/>
              <w:rPr>
                <w:sz w:val="24"/>
              </w:rPr>
            </w:pPr>
            <w:r>
              <w:rPr>
                <w:sz w:val="24"/>
              </w:rPr>
              <w:t>差異，而有不同執行方式者，</w:t>
            </w:r>
          </w:p>
        </w:tc>
      </w:tr>
      <w:tr>
        <w:trPr>
          <w:trHeight w:val="350" w:hRule="atLeast"/>
        </w:trPr>
        <w:tc>
          <w:tcPr>
            <w:tcW w:w="2145" w:type="dxa"/>
            <w:gridSpan w:val="2"/>
            <w:tcBorders>
              <w:top w:val="nil"/>
              <w:bottom w:val="nil"/>
            </w:tcBorders>
          </w:tcPr>
          <w:p>
            <w:pPr>
              <w:pStyle w:val="TableParagraph"/>
              <w:spacing w:line="329" w:lineRule="exact" w:before="1"/>
              <w:ind w:left="652"/>
              <w:rPr>
                <w:b/>
                <w:sz w:val="24"/>
              </w:rPr>
            </w:pPr>
            <w:r>
              <w:rPr>
                <w:b/>
                <w:spacing w:val="40"/>
                <w:w w:val="95"/>
                <w:sz w:val="24"/>
              </w:rPr>
              <w:t>將因性別、</w:t>
            </w:r>
            <w:r>
              <w:rPr>
                <w:b/>
                <w:spacing w:val="-69"/>
                <w:sz w:val="24"/>
              </w:rPr>
              <w:t> </w:t>
            </w:r>
          </w:p>
        </w:tc>
        <w:tc>
          <w:tcPr>
            <w:tcW w:w="458" w:type="dxa"/>
            <w:vMerge/>
            <w:tcBorders>
              <w:top w:val="nil"/>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spacing w:line="329" w:lineRule="exact" w:before="1"/>
              <w:ind w:left="23"/>
              <w:rPr>
                <w:sz w:val="24"/>
              </w:rPr>
            </w:pPr>
            <w:r>
              <w:rPr>
                <w:spacing w:val="-16"/>
                <w:sz w:val="24"/>
              </w:rPr>
              <w:t>請評定為「是」。</w:t>
            </w:r>
          </w:p>
        </w:tc>
      </w:tr>
      <w:tr>
        <w:trPr>
          <w:trHeight w:val="350" w:hRule="atLeast"/>
        </w:trPr>
        <w:tc>
          <w:tcPr>
            <w:tcW w:w="2145" w:type="dxa"/>
            <w:gridSpan w:val="2"/>
            <w:tcBorders>
              <w:top w:val="nil"/>
              <w:bottom w:val="nil"/>
            </w:tcBorders>
          </w:tcPr>
          <w:p>
            <w:pPr>
              <w:pStyle w:val="TableParagraph"/>
              <w:spacing w:line="329" w:lineRule="exact" w:before="1"/>
              <w:ind w:left="652"/>
              <w:rPr>
                <w:b/>
                <w:sz w:val="24"/>
              </w:rPr>
            </w:pPr>
            <w:r>
              <w:rPr>
                <w:b/>
                <w:spacing w:val="40"/>
                <w:w w:val="95"/>
                <w:sz w:val="24"/>
              </w:rPr>
              <w:t>性傾向或性</w:t>
            </w:r>
            <w:r>
              <w:rPr>
                <w:b/>
                <w:spacing w:val="-69"/>
                <w:sz w:val="24"/>
              </w:rPr>
              <w:t> </w:t>
            </w:r>
          </w:p>
        </w:tc>
        <w:tc>
          <w:tcPr>
            <w:tcW w:w="458" w:type="dxa"/>
            <w:vMerge/>
            <w:tcBorders>
              <w:top w:val="nil"/>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rPr>
                <w:rFonts w:ascii="Times New Roman"/>
                <w:sz w:val="22"/>
              </w:rPr>
            </w:pPr>
          </w:p>
        </w:tc>
      </w:tr>
      <w:tr>
        <w:trPr>
          <w:trHeight w:val="350" w:hRule="atLeast"/>
        </w:trPr>
        <w:tc>
          <w:tcPr>
            <w:tcW w:w="2145" w:type="dxa"/>
            <w:gridSpan w:val="2"/>
            <w:tcBorders>
              <w:top w:val="nil"/>
              <w:bottom w:val="nil"/>
            </w:tcBorders>
          </w:tcPr>
          <w:p>
            <w:pPr>
              <w:pStyle w:val="TableParagraph"/>
              <w:spacing w:line="329" w:lineRule="exact" w:before="1"/>
              <w:ind w:left="652"/>
              <w:rPr>
                <w:b/>
                <w:sz w:val="24"/>
              </w:rPr>
            </w:pPr>
            <w:r>
              <w:rPr>
                <w:b/>
                <w:spacing w:val="40"/>
                <w:w w:val="95"/>
                <w:sz w:val="24"/>
              </w:rPr>
              <w:t>別認同不同</w:t>
            </w:r>
            <w:r>
              <w:rPr>
                <w:b/>
                <w:spacing w:val="-69"/>
                <w:sz w:val="24"/>
              </w:rPr>
              <w:t> </w:t>
            </w:r>
          </w:p>
        </w:tc>
        <w:tc>
          <w:tcPr>
            <w:tcW w:w="458" w:type="dxa"/>
            <w:vMerge/>
            <w:tcBorders>
              <w:top w:val="nil"/>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rPr>
                <w:rFonts w:ascii="Times New Roman"/>
                <w:sz w:val="22"/>
              </w:rPr>
            </w:pPr>
          </w:p>
        </w:tc>
      </w:tr>
      <w:tr>
        <w:trPr>
          <w:trHeight w:val="330" w:hRule="atLeast"/>
        </w:trPr>
        <w:tc>
          <w:tcPr>
            <w:tcW w:w="2145" w:type="dxa"/>
            <w:gridSpan w:val="2"/>
            <w:tcBorders>
              <w:top w:val="nil"/>
            </w:tcBorders>
          </w:tcPr>
          <w:p>
            <w:pPr>
              <w:pStyle w:val="TableParagraph"/>
              <w:spacing w:line="310" w:lineRule="exact" w:before="1"/>
              <w:ind w:left="652"/>
              <w:rPr>
                <w:b/>
                <w:sz w:val="24"/>
              </w:rPr>
            </w:pPr>
            <w:r>
              <w:rPr>
                <w:b/>
                <w:w w:val="95"/>
                <w:sz w:val="24"/>
              </w:rPr>
              <w:t>而有差異</w:t>
            </w:r>
          </w:p>
        </w:tc>
        <w:tc>
          <w:tcPr>
            <w:tcW w:w="458" w:type="dxa"/>
            <w:vMerge/>
            <w:tcBorders>
              <w:top w:val="nil"/>
            </w:tcBorders>
          </w:tcPr>
          <w:p>
            <w:pPr>
              <w:rPr>
                <w:sz w:val="2"/>
                <w:szCs w:val="2"/>
              </w:rPr>
            </w:pPr>
          </w:p>
        </w:tc>
        <w:tc>
          <w:tcPr>
            <w:tcW w:w="459" w:type="dxa"/>
            <w:gridSpan w:val="2"/>
            <w:tcBorders>
              <w:top w:val="nil"/>
            </w:tcBorders>
          </w:tcPr>
          <w:p>
            <w:pPr>
              <w:pStyle w:val="TableParagraph"/>
              <w:rPr>
                <w:rFonts w:ascii="Times New Roman"/>
                <w:sz w:val="22"/>
              </w:rPr>
            </w:pPr>
          </w:p>
        </w:tc>
        <w:tc>
          <w:tcPr>
            <w:tcW w:w="3441" w:type="dxa"/>
            <w:tcBorders>
              <w:top w:val="nil"/>
            </w:tcBorders>
          </w:tcPr>
          <w:p>
            <w:pPr>
              <w:pStyle w:val="TableParagraph"/>
              <w:rPr>
                <w:rFonts w:ascii="Times New Roman"/>
                <w:sz w:val="22"/>
              </w:rPr>
            </w:pPr>
          </w:p>
        </w:tc>
        <w:tc>
          <w:tcPr>
            <w:tcW w:w="3337" w:type="dxa"/>
            <w:tcBorders>
              <w:top w:val="nil"/>
            </w:tcBorders>
          </w:tcPr>
          <w:p>
            <w:pPr>
              <w:pStyle w:val="TableParagraph"/>
              <w:rPr>
                <w:rFonts w:ascii="Times New Roman"/>
                <w:sz w:val="22"/>
              </w:rPr>
            </w:pPr>
          </w:p>
        </w:tc>
      </w:tr>
      <w:tr>
        <w:trPr>
          <w:trHeight w:val="374" w:hRule="atLeast"/>
        </w:trPr>
        <w:tc>
          <w:tcPr>
            <w:tcW w:w="2145" w:type="dxa"/>
            <w:gridSpan w:val="2"/>
            <w:tcBorders>
              <w:bottom w:val="nil"/>
            </w:tcBorders>
          </w:tcPr>
          <w:p>
            <w:pPr>
              <w:pStyle w:val="TableParagraph"/>
              <w:spacing w:line="325" w:lineRule="exact" w:before="29"/>
              <w:ind w:left="71"/>
              <w:rPr>
                <w:b/>
                <w:sz w:val="24"/>
              </w:rPr>
            </w:pPr>
            <w:r>
              <w:rPr>
                <w:rFonts w:ascii="Calibri" w:hAnsi="Calibri" w:eastAsia="Calibri"/>
                <w:b/>
                <w:sz w:val="24"/>
              </w:rPr>
              <w:t>8‐1‐3</w:t>
            </w:r>
            <w:r>
              <w:rPr>
                <w:rFonts w:ascii="Calibri" w:hAnsi="Calibri" w:eastAsia="Calibri"/>
                <w:b/>
                <w:spacing w:val="38"/>
                <w:sz w:val="24"/>
              </w:rPr>
              <w:t> </w:t>
            </w:r>
            <w:r>
              <w:rPr>
                <w:b/>
                <w:spacing w:val="31"/>
                <w:sz w:val="24"/>
              </w:rPr>
              <w:t>訂修內容所</w:t>
            </w:r>
          </w:p>
        </w:tc>
        <w:tc>
          <w:tcPr>
            <w:tcW w:w="458" w:type="dxa"/>
            <w:vMerge w:val="restart"/>
            <w:tcBorders>
              <w:bottom w:val="double" w:sz="1" w:space="0" w:color="000000"/>
            </w:tcBorders>
          </w:tcPr>
          <w:p>
            <w:pPr>
              <w:pStyle w:val="TableParagraph"/>
              <w:rPr>
                <w:rFonts w:ascii="Times New Roman"/>
                <w:sz w:val="22"/>
              </w:rPr>
            </w:pPr>
          </w:p>
        </w:tc>
        <w:tc>
          <w:tcPr>
            <w:tcW w:w="459" w:type="dxa"/>
            <w:gridSpan w:val="2"/>
            <w:tcBorders>
              <w:bottom w:val="nil"/>
            </w:tcBorders>
          </w:tcPr>
          <w:p>
            <w:pPr>
              <w:pStyle w:val="TableParagraph"/>
              <w:spacing w:line="317" w:lineRule="exact"/>
              <w:ind w:left="105"/>
              <w:rPr>
                <w:b/>
                <w:sz w:val="24"/>
              </w:rPr>
            </w:pPr>
            <w:r>
              <w:rPr>
                <w:b/>
                <w:w w:val="99"/>
                <w:sz w:val="24"/>
              </w:rPr>
              <w:t>Ｖ</w:t>
            </w:r>
          </w:p>
        </w:tc>
        <w:tc>
          <w:tcPr>
            <w:tcW w:w="3441" w:type="dxa"/>
            <w:tcBorders>
              <w:bottom w:val="nil"/>
            </w:tcBorders>
          </w:tcPr>
          <w:p>
            <w:pPr>
              <w:pStyle w:val="TableParagraph"/>
              <w:spacing w:line="325" w:lineRule="exact" w:before="29"/>
              <w:ind w:left="-3"/>
              <w:rPr>
                <w:sz w:val="24"/>
              </w:rPr>
            </w:pPr>
            <w:r>
              <w:rPr>
                <w:sz w:val="24"/>
              </w:rPr>
              <w:t>本修正草案不因性別、性傾向或</w:t>
            </w:r>
          </w:p>
        </w:tc>
        <w:tc>
          <w:tcPr>
            <w:tcW w:w="3337" w:type="dxa"/>
            <w:tcBorders>
              <w:bottom w:val="nil"/>
            </w:tcBorders>
          </w:tcPr>
          <w:p>
            <w:pPr>
              <w:pStyle w:val="TableParagraph"/>
              <w:spacing w:line="325" w:lineRule="exact" w:before="29"/>
              <w:ind w:left="23"/>
              <w:rPr>
                <w:sz w:val="24"/>
              </w:rPr>
            </w:pPr>
            <w:r>
              <w:rPr>
                <w:spacing w:val="31"/>
                <w:sz w:val="24"/>
              </w:rPr>
              <w:t>規範對象及執行方式雖無差</w:t>
            </w:r>
          </w:p>
        </w:tc>
      </w:tr>
      <w:tr>
        <w:trPr>
          <w:trHeight w:val="323" w:hRule="atLeast"/>
        </w:trPr>
        <w:tc>
          <w:tcPr>
            <w:tcW w:w="2145" w:type="dxa"/>
            <w:gridSpan w:val="2"/>
            <w:tcBorders>
              <w:top w:val="nil"/>
              <w:bottom w:val="nil"/>
            </w:tcBorders>
          </w:tcPr>
          <w:p>
            <w:pPr>
              <w:pStyle w:val="TableParagraph"/>
              <w:spacing w:line="304" w:lineRule="exact"/>
              <w:ind w:left="668"/>
              <w:rPr>
                <w:b/>
                <w:sz w:val="24"/>
              </w:rPr>
            </w:pPr>
            <w:r>
              <w:rPr>
                <w:b/>
                <w:spacing w:val="38"/>
                <w:w w:val="95"/>
                <w:sz w:val="24"/>
              </w:rPr>
              <w:t>規範對象及</w:t>
            </w:r>
            <w:r>
              <w:rPr>
                <w:b/>
                <w:spacing w:val="-73"/>
                <w:sz w:val="24"/>
              </w:rPr>
              <w:t> </w:t>
            </w:r>
          </w:p>
        </w:tc>
        <w:tc>
          <w:tcPr>
            <w:tcW w:w="458" w:type="dxa"/>
            <w:vMerge/>
            <w:tcBorders>
              <w:top w:val="nil"/>
              <w:bottom w:val="double" w:sz="1" w:space="0" w:color="000000"/>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spacing w:line="304" w:lineRule="exact"/>
              <w:ind w:left="-3"/>
              <w:rPr>
                <w:sz w:val="24"/>
              </w:rPr>
            </w:pPr>
            <w:r>
              <w:rPr>
                <w:sz w:val="24"/>
              </w:rPr>
              <w:t>性別認同而產生不同結果。</w:t>
            </w:r>
          </w:p>
        </w:tc>
        <w:tc>
          <w:tcPr>
            <w:tcW w:w="3337" w:type="dxa"/>
            <w:tcBorders>
              <w:top w:val="nil"/>
              <w:bottom w:val="nil"/>
            </w:tcBorders>
          </w:tcPr>
          <w:p>
            <w:pPr>
              <w:pStyle w:val="TableParagraph"/>
              <w:spacing w:line="304" w:lineRule="exact"/>
              <w:ind w:left="23"/>
              <w:rPr>
                <w:sz w:val="24"/>
              </w:rPr>
            </w:pPr>
            <w:r>
              <w:rPr>
                <w:sz w:val="24"/>
              </w:rPr>
              <w:t>異，惟其結果乃因性別、性傾</w:t>
            </w:r>
          </w:p>
        </w:tc>
      </w:tr>
      <w:tr>
        <w:trPr>
          <w:trHeight w:val="330" w:hRule="atLeast"/>
        </w:trPr>
        <w:tc>
          <w:tcPr>
            <w:tcW w:w="2145" w:type="dxa"/>
            <w:gridSpan w:val="2"/>
            <w:tcBorders>
              <w:top w:val="nil"/>
              <w:bottom w:val="nil"/>
            </w:tcBorders>
          </w:tcPr>
          <w:p>
            <w:pPr>
              <w:pStyle w:val="TableParagraph"/>
              <w:spacing w:line="310" w:lineRule="exact"/>
              <w:ind w:left="668"/>
              <w:rPr>
                <w:b/>
                <w:sz w:val="24"/>
              </w:rPr>
            </w:pPr>
            <w:r>
              <w:rPr>
                <w:b/>
                <w:spacing w:val="38"/>
                <w:w w:val="95"/>
                <w:sz w:val="24"/>
              </w:rPr>
              <w:t>執行方式無</w:t>
            </w:r>
            <w:r>
              <w:rPr>
                <w:b/>
                <w:spacing w:val="-73"/>
                <w:sz w:val="24"/>
              </w:rPr>
              <w:t> </w:t>
            </w:r>
          </w:p>
        </w:tc>
        <w:tc>
          <w:tcPr>
            <w:tcW w:w="458" w:type="dxa"/>
            <w:vMerge/>
            <w:tcBorders>
              <w:top w:val="nil"/>
              <w:bottom w:val="double" w:sz="1" w:space="0" w:color="000000"/>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spacing w:line="310" w:lineRule="exact"/>
              <w:ind w:left="23"/>
              <w:rPr>
                <w:sz w:val="24"/>
              </w:rPr>
            </w:pPr>
            <w:r>
              <w:rPr>
                <w:sz w:val="24"/>
              </w:rPr>
              <w:t>向或性別認同而有不同者，請</w:t>
            </w:r>
          </w:p>
        </w:tc>
      </w:tr>
      <w:tr>
        <w:trPr>
          <w:trHeight w:val="330" w:hRule="atLeast"/>
        </w:trPr>
        <w:tc>
          <w:tcPr>
            <w:tcW w:w="2145" w:type="dxa"/>
            <w:gridSpan w:val="2"/>
            <w:tcBorders>
              <w:top w:val="nil"/>
              <w:bottom w:val="nil"/>
            </w:tcBorders>
          </w:tcPr>
          <w:p>
            <w:pPr>
              <w:pStyle w:val="TableParagraph"/>
              <w:spacing w:line="310" w:lineRule="exact"/>
              <w:ind w:left="668"/>
              <w:rPr>
                <w:b/>
                <w:sz w:val="24"/>
              </w:rPr>
            </w:pPr>
            <w:r>
              <w:rPr>
                <w:b/>
                <w:spacing w:val="38"/>
                <w:w w:val="95"/>
                <w:sz w:val="24"/>
              </w:rPr>
              <w:t>差異，但對</w:t>
            </w:r>
            <w:r>
              <w:rPr>
                <w:b/>
                <w:spacing w:val="-73"/>
                <w:sz w:val="24"/>
              </w:rPr>
              <w:t> </w:t>
            </w:r>
          </w:p>
        </w:tc>
        <w:tc>
          <w:tcPr>
            <w:tcW w:w="458" w:type="dxa"/>
            <w:vMerge/>
            <w:tcBorders>
              <w:top w:val="nil"/>
              <w:bottom w:val="double" w:sz="1" w:space="0" w:color="000000"/>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spacing w:line="310" w:lineRule="exact"/>
              <w:ind w:left="23"/>
              <w:rPr>
                <w:sz w:val="24"/>
              </w:rPr>
            </w:pPr>
            <w:r>
              <w:rPr>
                <w:spacing w:val="-18"/>
                <w:sz w:val="24"/>
              </w:rPr>
              <w:t>評定為「是」。</w:t>
            </w:r>
          </w:p>
        </w:tc>
      </w:tr>
      <w:tr>
        <w:trPr>
          <w:trHeight w:val="330" w:hRule="atLeast"/>
        </w:trPr>
        <w:tc>
          <w:tcPr>
            <w:tcW w:w="2145" w:type="dxa"/>
            <w:gridSpan w:val="2"/>
            <w:tcBorders>
              <w:top w:val="nil"/>
              <w:bottom w:val="nil"/>
            </w:tcBorders>
          </w:tcPr>
          <w:p>
            <w:pPr>
              <w:pStyle w:val="TableParagraph"/>
              <w:spacing w:line="310" w:lineRule="exact"/>
              <w:ind w:left="668"/>
              <w:rPr>
                <w:b/>
                <w:sz w:val="24"/>
              </w:rPr>
            </w:pPr>
            <w:r>
              <w:rPr>
                <w:b/>
                <w:spacing w:val="8"/>
                <w:sz w:val="24"/>
              </w:rPr>
              <w:t>於 不 同 性</w:t>
            </w:r>
          </w:p>
        </w:tc>
        <w:tc>
          <w:tcPr>
            <w:tcW w:w="458" w:type="dxa"/>
            <w:vMerge/>
            <w:tcBorders>
              <w:top w:val="nil"/>
              <w:bottom w:val="double" w:sz="1" w:space="0" w:color="000000"/>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rPr>
                <w:rFonts w:ascii="Times New Roman"/>
                <w:sz w:val="22"/>
              </w:rPr>
            </w:pPr>
          </w:p>
        </w:tc>
      </w:tr>
      <w:tr>
        <w:trPr>
          <w:trHeight w:val="330" w:hRule="atLeast"/>
        </w:trPr>
        <w:tc>
          <w:tcPr>
            <w:tcW w:w="2145" w:type="dxa"/>
            <w:gridSpan w:val="2"/>
            <w:tcBorders>
              <w:top w:val="nil"/>
              <w:bottom w:val="nil"/>
            </w:tcBorders>
          </w:tcPr>
          <w:p>
            <w:pPr>
              <w:pStyle w:val="TableParagraph"/>
              <w:spacing w:line="310" w:lineRule="exact"/>
              <w:ind w:left="668"/>
              <w:rPr>
                <w:b/>
                <w:sz w:val="24"/>
              </w:rPr>
            </w:pPr>
            <w:r>
              <w:rPr>
                <w:b/>
                <w:spacing w:val="38"/>
                <w:w w:val="95"/>
                <w:sz w:val="24"/>
              </w:rPr>
              <w:t>別、性傾向</w:t>
            </w:r>
            <w:r>
              <w:rPr>
                <w:b/>
                <w:spacing w:val="-73"/>
                <w:sz w:val="24"/>
              </w:rPr>
              <w:t> </w:t>
            </w:r>
          </w:p>
        </w:tc>
        <w:tc>
          <w:tcPr>
            <w:tcW w:w="458" w:type="dxa"/>
            <w:vMerge/>
            <w:tcBorders>
              <w:top w:val="nil"/>
              <w:bottom w:val="double" w:sz="1" w:space="0" w:color="000000"/>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rPr>
                <w:rFonts w:ascii="Times New Roman"/>
                <w:sz w:val="22"/>
              </w:rPr>
            </w:pPr>
          </w:p>
        </w:tc>
      </w:tr>
      <w:tr>
        <w:trPr>
          <w:trHeight w:val="330" w:hRule="atLeast"/>
        </w:trPr>
        <w:tc>
          <w:tcPr>
            <w:tcW w:w="2145" w:type="dxa"/>
            <w:gridSpan w:val="2"/>
            <w:tcBorders>
              <w:top w:val="nil"/>
              <w:bottom w:val="nil"/>
            </w:tcBorders>
          </w:tcPr>
          <w:p>
            <w:pPr>
              <w:pStyle w:val="TableParagraph"/>
              <w:spacing w:line="310" w:lineRule="exact"/>
              <w:ind w:left="668"/>
              <w:rPr>
                <w:b/>
                <w:sz w:val="24"/>
              </w:rPr>
            </w:pPr>
            <w:r>
              <w:rPr>
                <w:b/>
                <w:spacing w:val="38"/>
                <w:w w:val="95"/>
                <w:sz w:val="24"/>
              </w:rPr>
              <w:t>或性別認同</w:t>
            </w:r>
            <w:r>
              <w:rPr>
                <w:b/>
                <w:spacing w:val="-73"/>
                <w:sz w:val="24"/>
              </w:rPr>
              <w:t> </w:t>
            </w:r>
          </w:p>
        </w:tc>
        <w:tc>
          <w:tcPr>
            <w:tcW w:w="458" w:type="dxa"/>
            <w:vMerge/>
            <w:tcBorders>
              <w:top w:val="nil"/>
              <w:bottom w:val="double" w:sz="1" w:space="0" w:color="000000"/>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rPr>
                <w:rFonts w:ascii="Times New Roman"/>
                <w:sz w:val="22"/>
              </w:rPr>
            </w:pPr>
          </w:p>
        </w:tc>
      </w:tr>
      <w:tr>
        <w:trPr>
          <w:trHeight w:val="330" w:hRule="atLeast"/>
        </w:trPr>
        <w:tc>
          <w:tcPr>
            <w:tcW w:w="2145" w:type="dxa"/>
            <w:gridSpan w:val="2"/>
            <w:tcBorders>
              <w:top w:val="nil"/>
              <w:bottom w:val="nil"/>
            </w:tcBorders>
          </w:tcPr>
          <w:p>
            <w:pPr>
              <w:pStyle w:val="TableParagraph"/>
              <w:spacing w:line="310" w:lineRule="exact"/>
              <w:ind w:left="668"/>
              <w:rPr>
                <w:b/>
                <w:sz w:val="24"/>
              </w:rPr>
            </w:pPr>
            <w:r>
              <w:rPr>
                <w:b/>
                <w:spacing w:val="38"/>
                <w:w w:val="95"/>
                <w:sz w:val="24"/>
              </w:rPr>
              <w:t>者將產生不</w:t>
            </w:r>
            <w:r>
              <w:rPr>
                <w:b/>
                <w:spacing w:val="-73"/>
                <w:sz w:val="24"/>
              </w:rPr>
              <w:t> </w:t>
            </w:r>
          </w:p>
        </w:tc>
        <w:tc>
          <w:tcPr>
            <w:tcW w:w="458" w:type="dxa"/>
            <w:vMerge/>
            <w:tcBorders>
              <w:top w:val="nil"/>
              <w:bottom w:val="double" w:sz="1" w:space="0" w:color="000000"/>
            </w:tcBorders>
          </w:tcPr>
          <w:p>
            <w:pPr>
              <w:rPr>
                <w:sz w:val="2"/>
                <w:szCs w:val="2"/>
              </w:rPr>
            </w:pPr>
          </w:p>
        </w:tc>
        <w:tc>
          <w:tcPr>
            <w:tcW w:w="459" w:type="dxa"/>
            <w:gridSpan w:val="2"/>
            <w:tcBorders>
              <w:top w:val="nil"/>
              <w:bottom w:val="nil"/>
            </w:tcBorders>
          </w:tcPr>
          <w:p>
            <w:pPr>
              <w:pStyle w:val="TableParagraph"/>
              <w:rPr>
                <w:rFonts w:ascii="Times New Roman"/>
                <w:sz w:val="22"/>
              </w:rPr>
            </w:pPr>
          </w:p>
        </w:tc>
        <w:tc>
          <w:tcPr>
            <w:tcW w:w="3441" w:type="dxa"/>
            <w:tcBorders>
              <w:top w:val="nil"/>
              <w:bottom w:val="nil"/>
            </w:tcBorders>
          </w:tcPr>
          <w:p>
            <w:pPr>
              <w:pStyle w:val="TableParagraph"/>
              <w:rPr>
                <w:rFonts w:ascii="Times New Roman"/>
                <w:sz w:val="22"/>
              </w:rPr>
            </w:pPr>
          </w:p>
        </w:tc>
        <w:tc>
          <w:tcPr>
            <w:tcW w:w="3337" w:type="dxa"/>
            <w:tcBorders>
              <w:top w:val="nil"/>
              <w:bottom w:val="nil"/>
            </w:tcBorders>
          </w:tcPr>
          <w:p>
            <w:pPr>
              <w:pStyle w:val="TableParagraph"/>
              <w:rPr>
                <w:rFonts w:ascii="Times New Roman"/>
                <w:sz w:val="22"/>
              </w:rPr>
            </w:pPr>
          </w:p>
        </w:tc>
      </w:tr>
      <w:tr>
        <w:trPr>
          <w:trHeight w:val="320" w:hRule="atLeast"/>
        </w:trPr>
        <w:tc>
          <w:tcPr>
            <w:tcW w:w="2145" w:type="dxa"/>
            <w:gridSpan w:val="2"/>
            <w:tcBorders>
              <w:top w:val="nil"/>
              <w:bottom w:val="double" w:sz="1" w:space="0" w:color="000000"/>
            </w:tcBorders>
          </w:tcPr>
          <w:p>
            <w:pPr>
              <w:pStyle w:val="TableParagraph"/>
              <w:spacing w:line="301" w:lineRule="exact"/>
              <w:ind w:left="668"/>
              <w:rPr>
                <w:b/>
                <w:sz w:val="24"/>
              </w:rPr>
            </w:pPr>
            <w:r>
              <w:rPr>
                <w:b/>
                <w:w w:val="95"/>
                <w:sz w:val="24"/>
              </w:rPr>
              <w:t>同結果</w:t>
            </w:r>
          </w:p>
        </w:tc>
        <w:tc>
          <w:tcPr>
            <w:tcW w:w="458" w:type="dxa"/>
            <w:vMerge/>
            <w:tcBorders>
              <w:top w:val="nil"/>
              <w:bottom w:val="double" w:sz="1" w:space="0" w:color="000000"/>
            </w:tcBorders>
          </w:tcPr>
          <w:p>
            <w:pPr>
              <w:rPr>
                <w:sz w:val="2"/>
                <w:szCs w:val="2"/>
              </w:rPr>
            </w:pPr>
          </w:p>
        </w:tc>
        <w:tc>
          <w:tcPr>
            <w:tcW w:w="459" w:type="dxa"/>
            <w:gridSpan w:val="2"/>
            <w:tcBorders>
              <w:top w:val="nil"/>
              <w:bottom w:val="double" w:sz="1" w:space="0" w:color="000000"/>
            </w:tcBorders>
          </w:tcPr>
          <w:p>
            <w:pPr>
              <w:pStyle w:val="TableParagraph"/>
              <w:rPr>
                <w:rFonts w:ascii="Times New Roman"/>
                <w:sz w:val="22"/>
              </w:rPr>
            </w:pPr>
          </w:p>
        </w:tc>
        <w:tc>
          <w:tcPr>
            <w:tcW w:w="3441" w:type="dxa"/>
            <w:tcBorders>
              <w:top w:val="nil"/>
              <w:bottom w:val="double" w:sz="1" w:space="0" w:color="000000"/>
            </w:tcBorders>
          </w:tcPr>
          <w:p>
            <w:pPr>
              <w:pStyle w:val="TableParagraph"/>
              <w:rPr>
                <w:rFonts w:ascii="Times New Roman"/>
                <w:sz w:val="22"/>
              </w:rPr>
            </w:pPr>
          </w:p>
        </w:tc>
        <w:tc>
          <w:tcPr>
            <w:tcW w:w="3337" w:type="dxa"/>
            <w:tcBorders>
              <w:top w:val="nil"/>
              <w:bottom w:val="double" w:sz="1" w:space="0" w:color="000000"/>
            </w:tcBorders>
          </w:tcPr>
          <w:p>
            <w:pPr>
              <w:pStyle w:val="TableParagraph"/>
              <w:rPr>
                <w:rFonts w:ascii="Times New Roman"/>
                <w:sz w:val="22"/>
              </w:rPr>
            </w:pPr>
          </w:p>
        </w:tc>
      </w:tr>
      <w:tr>
        <w:trPr>
          <w:trHeight w:val="313" w:hRule="atLeast"/>
        </w:trPr>
        <w:tc>
          <w:tcPr>
            <w:tcW w:w="9840" w:type="dxa"/>
            <w:gridSpan w:val="7"/>
            <w:tcBorders>
              <w:top w:val="double" w:sz="1" w:space="0" w:color="000000"/>
            </w:tcBorders>
          </w:tcPr>
          <w:p>
            <w:pPr>
              <w:pStyle w:val="TableParagraph"/>
              <w:spacing w:line="294" w:lineRule="exact"/>
              <w:ind w:left="-1"/>
              <w:rPr>
                <w:b/>
                <w:sz w:val="24"/>
              </w:rPr>
            </w:pPr>
            <w:r>
              <w:rPr>
                <w:rFonts w:ascii="Calibri" w:hAnsi="Calibri" w:eastAsia="Calibri"/>
                <w:b/>
                <w:sz w:val="24"/>
              </w:rPr>
              <w:t>8‐2</w:t>
            </w:r>
            <w:r>
              <w:rPr>
                <w:rFonts w:ascii="Calibri" w:hAnsi="Calibri" w:eastAsia="Calibri"/>
                <w:b/>
                <w:spacing w:val="4"/>
                <w:sz w:val="24"/>
              </w:rPr>
              <w:t> </w:t>
            </w:r>
            <w:r>
              <w:rPr>
                <w:b/>
                <w:sz w:val="24"/>
              </w:rPr>
              <w:t>性別目標</w:t>
            </w:r>
          </w:p>
        </w:tc>
      </w:tr>
      <w:tr>
        <w:trPr>
          <w:trHeight w:val="311" w:hRule="atLeast"/>
        </w:trPr>
        <w:tc>
          <w:tcPr>
            <w:tcW w:w="2772" w:type="dxa"/>
            <w:gridSpan w:val="4"/>
          </w:tcPr>
          <w:p>
            <w:pPr>
              <w:pStyle w:val="TableParagraph"/>
              <w:spacing w:line="292" w:lineRule="exact"/>
              <w:ind w:left="71"/>
              <w:rPr>
                <w:b/>
                <w:sz w:val="24"/>
              </w:rPr>
            </w:pPr>
            <w:r>
              <w:rPr>
                <w:b/>
                <w:spacing w:val="40"/>
                <w:sz w:val="24"/>
              </w:rPr>
              <w:t>項 目</w:t>
            </w:r>
          </w:p>
        </w:tc>
        <w:tc>
          <w:tcPr>
            <w:tcW w:w="3731" w:type="dxa"/>
            <w:gridSpan w:val="2"/>
          </w:tcPr>
          <w:p>
            <w:pPr>
              <w:pStyle w:val="TableParagraph"/>
              <w:spacing w:line="292" w:lineRule="exact"/>
              <w:ind w:left="-9"/>
              <w:rPr>
                <w:b/>
                <w:sz w:val="24"/>
              </w:rPr>
            </w:pPr>
            <w:r>
              <w:rPr>
                <w:b/>
                <w:spacing w:val="40"/>
                <w:sz w:val="24"/>
              </w:rPr>
              <w:t>說 明</w:t>
            </w:r>
          </w:p>
        </w:tc>
        <w:tc>
          <w:tcPr>
            <w:tcW w:w="3337" w:type="dxa"/>
          </w:tcPr>
          <w:p>
            <w:pPr>
              <w:pStyle w:val="TableParagraph"/>
              <w:spacing w:line="292" w:lineRule="exact"/>
              <w:ind w:left="3"/>
              <w:rPr>
                <w:b/>
                <w:sz w:val="24"/>
              </w:rPr>
            </w:pPr>
            <w:r>
              <w:rPr>
                <w:b/>
                <w:spacing w:val="40"/>
                <w:sz w:val="24"/>
              </w:rPr>
              <w:t>備 註</w:t>
            </w:r>
          </w:p>
        </w:tc>
      </w:tr>
      <w:tr>
        <w:trPr>
          <w:trHeight w:val="1250" w:hRule="atLeast"/>
        </w:trPr>
        <w:tc>
          <w:tcPr>
            <w:tcW w:w="2772" w:type="dxa"/>
            <w:gridSpan w:val="4"/>
          </w:tcPr>
          <w:p>
            <w:pPr>
              <w:pStyle w:val="TableParagraph"/>
              <w:spacing w:line="256" w:lineRule="auto" w:before="31"/>
              <w:ind w:left="668" w:right="26" w:hanging="597"/>
              <w:jc w:val="both"/>
              <w:rPr>
                <w:b/>
                <w:sz w:val="24"/>
              </w:rPr>
            </w:pPr>
            <w:r>
              <w:rPr>
                <w:rFonts w:ascii="Calibri" w:hAnsi="Calibri" w:eastAsia="Calibri"/>
                <w:b/>
                <w:sz w:val="24"/>
              </w:rPr>
              <w:t>8‐2‐1</w:t>
            </w:r>
            <w:r>
              <w:rPr>
                <w:rFonts w:ascii="Calibri" w:hAnsi="Calibri" w:eastAsia="Calibri"/>
                <w:b/>
                <w:spacing w:val="47"/>
                <w:sz w:val="24"/>
              </w:rPr>
              <w:t> </w:t>
            </w:r>
            <w:r>
              <w:rPr>
                <w:b/>
                <w:sz w:val="24"/>
              </w:rPr>
              <w:t>採取積極作為，去</w:t>
            </w:r>
            <w:r>
              <w:rPr>
                <w:b/>
                <w:spacing w:val="47"/>
                <w:sz w:val="24"/>
              </w:rPr>
              <w:t>除不必要差別待</w:t>
            </w:r>
            <w:r>
              <w:rPr>
                <w:b/>
                <w:spacing w:val="12"/>
                <w:sz w:val="24"/>
              </w:rPr>
              <w:t>遇，或促進實質平</w:t>
            </w:r>
          </w:p>
        </w:tc>
        <w:tc>
          <w:tcPr>
            <w:tcW w:w="3731" w:type="dxa"/>
            <w:gridSpan w:val="2"/>
          </w:tcPr>
          <w:p>
            <w:pPr>
              <w:pStyle w:val="TableParagraph"/>
              <w:rPr>
                <w:rFonts w:ascii="Times New Roman"/>
                <w:sz w:val="22"/>
              </w:rPr>
            </w:pPr>
          </w:p>
        </w:tc>
        <w:tc>
          <w:tcPr>
            <w:tcW w:w="3337" w:type="dxa"/>
          </w:tcPr>
          <w:p>
            <w:pPr>
              <w:pStyle w:val="TableParagraph"/>
              <w:spacing w:line="223" w:lineRule="auto"/>
              <w:ind w:left="-5" w:right="17" w:firstLine="7"/>
              <w:jc w:val="both"/>
              <w:rPr>
                <w:sz w:val="24"/>
              </w:rPr>
            </w:pPr>
            <w:r>
              <w:rPr>
                <w:spacing w:val="12"/>
                <w:sz w:val="24"/>
              </w:rPr>
              <w:t>基於憲法平等權之規定，採行</w:t>
            </w:r>
            <w:r>
              <w:rPr>
                <w:spacing w:val="14"/>
                <w:sz w:val="24"/>
              </w:rPr>
              <w:t>一定方式去除現行法規及其執行所造成之差別待遇，或提供</w:t>
            </w:r>
          </w:p>
          <w:p>
            <w:pPr>
              <w:pStyle w:val="TableParagraph"/>
              <w:spacing w:line="294" w:lineRule="exact"/>
              <w:ind w:left="-5"/>
              <w:rPr>
                <w:sz w:val="24"/>
              </w:rPr>
            </w:pPr>
            <w:r>
              <w:rPr>
                <w:spacing w:val="14"/>
                <w:sz w:val="24"/>
              </w:rPr>
              <w:t>較為弱勢之一方必要之協助，</w:t>
            </w:r>
          </w:p>
        </w:tc>
      </w:tr>
    </w:tbl>
    <w:p>
      <w:pPr>
        <w:spacing w:after="0" w:line="294" w:lineRule="exact"/>
        <w:rPr>
          <w:sz w:val="24"/>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2"/>
        <w:gridCol w:w="2134"/>
        <w:gridCol w:w="1606"/>
        <w:gridCol w:w="3330"/>
      </w:tblGrid>
      <w:tr>
        <w:trPr>
          <w:trHeight w:val="624" w:hRule="atLeast"/>
        </w:trPr>
        <w:tc>
          <w:tcPr>
            <w:tcW w:w="2762" w:type="dxa"/>
          </w:tcPr>
          <w:p>
            <w:pPr>
              <w:pStyle w:val="TableParagraph"/>
              <w:spacing w:before="29"/>
              <w:ind w:left="668"/>
              <w:rPr>
                <w:b/>
                <w:sz w:val="24"/>
              </w:rPr>
            </w:pPr>
            <w:r>
              <w:rPr>
                <w:b/>
                <w:w w:val="99"/>
                <w:sz w:val="24"/>
              </w:rPr>
              <w:t>等</w:t>
            </w:r>
          </w:p>
        </w:tc>
        <w:tc>
          <w:tcPr>
            <w:tcW w:w="3740" w:type="dxa"/>
            <w:gridSpan w:val="2"/>
          </w:tcPr>
          <w:p>
            <w:pPr>
              <w:pStyle w:val="TableParagraph"/>
              <w:rPr>
                <w:rFonts w:ascii="Times New Roman"/>
                <w:sz w:val="24"/>
              </w:rPr>
            </w:pPr>
          </w:p>
        </w:tc>
        <w:tc>
          <w:tcPr>
            <w:tcW w:w="3330" w:type="dxa"/>
          </w:tcPr>
          <w:p>
            <w:pPr>
              <w:pStyle w:val="TableParagraph"/>
              <w:spacing w:line="306" w:lineRule="exact"/>
              <w:ind w:left="-4"/>
              <w:rPr>
                <w:sz w:val="24"/>
              </w:rPr>
            </w:pPr>
            <w:r>
              <w:rPr>
                <w:spacing w:val="-10"/>
                <w:sz w:val="24"/>
              </w:rPr>
              <w:t>以促進其實質地位之平等。</w:t>
            </w:r>
            <w:r>
              <w:rPr>
                <w:sz w:val="24"/>
              </w:rPr>
              <w:t>（本</w:t>
            </w:r>
          </w:p>
          <w:p>
            <w:pPr>
              <w:pStyle w:val="TableParagraph"/>
              <w:spacing w:line="299" w:lineRule="exact"/>
              <w:ind w:left="-4"/>
              <w:rPr>
                <w:sz w:val="24"/>
              </w:rPr>
            </w:pPr>
            <w:r>
              <w:rPr>
                <w:spacing w:val="-20"/>
                <w:sz w:val="24"/>
              </w:rPr>
              <w:t>項及 </w:t>
            </w:r>
            <w:r>
              <w:rPr>
                <w:rFonts w:ascii="Calibri" w:hAnsi="Calibri" w:eastAsia="Calibri"/>
                <w:spacing w:val="-1"/>
                <w:sz w:val="24"/>
              </w:rPr>
              <w:t>8‐2‐2</w:t>
            </w:r>
            <w:r>
              <w:rPr>
                <w:rFonts w:ascii="Calibri" w:hAnsi="Calibri" w:eastAsia="Calibri"/>
                <w:spacing w:val="8"/>
                <w:sz w:val="24"/>
              </w:rPr>
              <w:t> </w:t>
            </w:r>
            <w:r>
              <w:rPr>
                <w:sz w:val="24"/>
              </w:rPr>
              <w:t>不得全部填列無關）</w:t>
            </w:r>
          </w:p>
        </w:tc>
      </w:tr>
      <w:tr>
        <w:trPr>
          <w:trHeight w:val="2497" w:hRule="atLeast"/>
        </w:trPr>
        <w:tc>
          <w:tcPr>
            <w:tcW w:w="2762" w:type="dxa"/>
            <w:tcBorders>
              <w:bottom w:val="double" w:sz="1" w:space="0" w:color="000000"/>
            </w:tcBorders>
          </w:tcPr>
          <w:p>
            <w:pPr>
              <w:pStyle w:val="TableParagraph"/>
              <w:spacing w:line="256" w:lineRule="auto" w:before="29"/>
              <w:ind w:left="668" w:right="66" w:hanging="597"/>
              <w:rPr>
                <w:b/>
                <w:sz w:val="24"/>
              </w:rPr>
            </w:pPr>
            <w:r>
              <w:rPr>
                <w:rFonts w:ascii="Calibri" w:hAnsi="Calibri" w:eastAsia="Calibri"/>
                <w:b/>
                <w:sz w:val="24"/>
              </w:rPr>
              <w:t>8‐2‐2</w:t>
            </w:r>
            <w:r>
              <w:rPr>
                <w:rFonts w:ascii="Calibri" w:hAnsi="Calibri" w:eastAsia="Calibri"/>
                <w:b/>
                <w:spacing w:val="3"/>
                <w:sz w:val="24"/>
              </w:rPr>
              <w:t> </w:t>
            </w:r>
            <w:r>
              <w:rPr>
                <w:b/>
                <w:sz w:val="24"/>
              </w:rPr>
              <w:t>營造平等環境，預防及消除性別歧視</w:t>
            </w:r>
          </w:p>
        </w:tc>
        <w:tc>
          <w:tcPr>
            <w:tcW w:w="3740" w:type="dxa"/>
            <w:gridSpan w:val="2"/>
            <w:tcBorders>
              <w:bottom w:val="double" w:sz="1" w:space="0" w:color="000000"/>
            </w:tcBorders>
          </w:tcPr>
          <w:p>
            <w:pPr>
              <w:pStyle w:val="TableParagraph"/>
              <w:rPr>
                <w:rFonts w:ascii="Times New Roman"/>
                <w:sz w:val="24"/>
              </w:rPr>
            </w:pPr>
          </w:p>
        </w:tc>
        <w:tc>
          <w:tcPr>
            <w:tcW w:w="3330" w:type="dxa"/>
            <w:tcBorders>
              <w:bottom w:val="double" w:sz="1" w:space="0" w:color="000000"/>
            </w:tcBorders>
          </w:tcPr>
          <w:p>
            <w:pPr>
              <w:pStyle w:val="TableParagraph"/>
              <w:spacing w:line="223" w:lineRule="auto"/>
              <w:ind w:left="23" w:right="11" w:hanging="17"/>
              <w:jc w:val="both"/>
              <w:rPr>
                <w:sz w:val="24"/>
              </w:rPr>
            </w:pPr>
            <w:r>
              <w:rPr>
                <w:spacing w:val="13"/>
                <w:sz w:val="24"/>
              </w:rPr>
              <w:t>消除或打破性別刻板印象與性</w:t>
            </w:r>
            <w:r>
              <w:rPr>
                <w:spacing w:val="12"/>
                <w:sz w:val="24"/>
              </w:rPr>
              <w:t>別隔離，以消弭因社會文化面向所形成之差異，或提供不同性別、性傾向或性別認同者平等機會獲取社會資源，提升其參與社會及公共事務之機會。</w:t>
            </w:r>
          </w:p>
          <w:p>
            <w:pPr>
              <w:pStyle w:val="TableParagraph"/>
              <w:spacing w:line="307" w:lineRule="exact"/>
              <w:ind w:left="23"/>
              <w:rPr>
                <w:sz w:val="24"/>
              </w:rPr>
            </w:pPr>
            <w:r>
              <w:rPr>
                <w:spacing w:val="12"/>
                <w:sz w:val="24"/>
              </w:rPr>
              <w:t>（</w:t>
            </w:r>
            <w:r>
              <w:rPr>
                <w:spacing w:val="7"/>
                <w:sz w:val="24"/>
              </w:rPr>
              <w:t>本項及 </w:t>
            </w:r>
            <w:r>
              <w:rPr>
                <w:rFonts w:ascii="Calibri" w:hAnsi="Calibri" w:eastAsia="Calibri"/>
                <w:sz w:val="24"/>
              </w:rPr>
              <w:t>8‐2‐1</w:t>
            </w:r>
            <w:r>
              <w:rPr>
                <w:rFonts w:ascii="Calibri" w:hAnsi="Calibri" w:eastAsia="Calibri"/>
                <w:spacing w:val="74"/>
                <w:sz w:val="24"/>
              </w:rPr>
              <w:t> </w:t>
            </w:r>
            <w:r>
              <w:rPr>
                <w:spacing w:val="12"/>
                <w:sz w:val="24"/>
              </w:rPr>
              <w:t>不得全部填列</w:t>
            </w:r>
          </w:p>
          <w:p>
            <w:pPr>
              <w:pStyle w:val="TableParagraph"/>
              <w:spacing w:line="299" w:lineRule="exact"/>
              <w:ind w:left="23"/>
              <w:rPr>
                <w:sz w:val="24"/>
              </w:rPr>
            </w:pPr>
            <w:r>
              <w:rPr>
                <w:sz w:val="24"/>
              </w:rPr>
              <w:t>無關）</w:t>
            </w:r>
          </w:p>
        </w:tc>
      </w:tr>
      <w:tr>
        <w:trPr>
          <w:trHeight w:val="312" w:hRule="atLeast"/>
        </w:trPr>
        <w:tc>
          <w:tcPr>
            <w:tcW w:w="9832" w:type="dxa"/>
            <w:gridSpan w:val="4"/>
            <w:tcBorders>
              <w:top w:val="double" w:sz="1" w:space="0" w:color="000000"/>
            </w:tcBorders>
          </w:tcPr>
          <w:p>
            <w:pPr>
              <w:pStyle w:val="TableParagraph"/>
              <w:spacing w:line="292" w:lineRule="exact"/>
              <w:ind w:left="2"/>
              <w:rPr>
                <w:b/>
                <w:sz w:val="24"/>
              </w:rPr>
            </w:pPr>
            <w:r>
              <w:rPr>
                <w:rFonts w:ascii="Calibri" w:hAnsi="Calibri" w:eastAsia="Calibri"/>
                <w:b/>
                <w:sz w:val="24"/>
              </w:rPr>
              <w:t>8‐3</w:t>
            </w:r>
            <w:r>
              <w:rPr>
                <w:rFonts w:ascii="Calibri" w:hAnsi="Calibri" w:eastAsia="Calibri"/>
                <w:b/>
                <w:spacing w:val="10"/>
                <w:sz w:val="24"/>
              </w:rPr>
              <w:t> </w:t>
            </w:r>
            <w:r>
              <w:rPr>
                <w:b/>
                <w:sz w:val="24"/>
              </w:rPr>
              <w:t>性別效益</w:t>
            </w:r>
          </w:p>
        </w:tc>
      </w:tr>
      <w:tr>
        <w:trPr>
          <w:trHeight w:val="359" w:hRule="atLeast"/>
        </w:trPr>
        <w:tc>
          <w:tcPr>
            <w:tcW w:w="2762" w:type="dxa"/>
            <w:tcBorders>
              <w:bottom w:val="double" w:sz="1" w:space="0" w:color="000000"/>
            </w:tcBorders>
          </w:tcPr>
          <w:p>
            <w:pPr>
              <w:pStyle w:val="TableParagraph"/>
              <w:spacing w:line="309" w:lineRule="exact" w:before="29"/>
              <w:ind w:left="71"/>
              <w:rPr>
                <w:b/>
                <w:sz w:val="24"/>
              </w:rPr>
            </w:pPr>
            <w:r>
              <w:rPr>
                <w:b/>
                <w:spacing w:val="40"/>
                <w:sz w:val="24"/>
              </w:rPr>
              <w:t>項 目</w:t>
            </w:r>
          </w:p>
        </w:tc>
        <w:tc>
          <w:tcPr>
            <w:tcW w:w="3740" w:type="dxa"/>
            <w:gridSpan w:val="2"/>
            <w:tcBorders>
              <w:bottom w:val="double" w:sz="1" w:space="0" w:color="000000"/>
            </w:tcBorders>
          </w:tcPr>
          <w:p>
            <w:pPr>
              <w:pStyle w:val="TableParagraph"/>
              <w:spacing w:line="317" w:lineRule="exact"/>
              <w:ind w:left="1"/>
              <w:rPr>
                <w:b/>
                <w:sz w:val="24"/>
              </w:rPr>
            </w:pPr>
            <w:r>
              <w:rPr>
                <w:b/>
                <w:spacing w:val="40"/>
                <w:sz w:val="24"/>
              </w:rPr>
              <w:t>說 明</w:t>
            </w:r>
          </w:p>
        </w:tc>
        <w:tc>
          <w:tcPr>
            <w:tcW w:w="3330" w:type="dxa"/>
            <w:tcBorders>
              <w:bottom w:val="double" w:sz="1" w:space="0" w:color="000000"/>
            </w:tcBorders>
          </w:tcPr>
          <w:p>
            <w:pPr>
              <w:pStyle w:val="TableParagraph"/>
              <w:spacing w:line="317" w:lineRule="exact"/>
              <w:ind w:left="4"/>
              <w:rPr>
                <w:b/>
                <w:sz w:val="24"/>
              </w:rPr>
            </w:pPr>
            <w:r>
              <w:rPr>
                <w:b/>
                <w:spacing w:val="40"/>
                <w:sz w:val="24"/>
              </w:rPr>
              <w:t>備 註</w:t>
            </w:r>
          </w:p>
        </w:tc>
      </w:tr>
      <w:tr>
        <w:trPr>
          <w:trHeight w:val="1080" w:hRule="atLeast"/>
        </w:trPr>
        <w:tc>
          <w:tcPr>
            <w:tcW w:w="2762" w:type="dxa"/>
            <w:tcBorders>
              <w:top w:val="double" w:sz="1" w:space="0" w:color="000000"/>
            </w:tcBorders>
          </w:tcPr>
          <w:p>
            <w:pPr>
              <w:pStyle w:val="TableParagraph"/>
              <w:spacing w:line="360" w:lineRule="atLeast"/>
              <w:ind w:left="728" w:right="29" w:hanging="652"/>
              <w:jc w:val="both"/>
              <w:rPr>
                <w:b/>
                <w:sz w:val="24"/>
              </w:rPr>
            </w:pPr>
            <w:r>
              <w:rPr>
                <w:rFonts w:ascii="Calibri" w:hAnsi="Calibri" w:eastAsia="Calibri"/>
                <w:b/>
                <w:sz w:val="24"/>
              </w:rPr>
              <w:t>8‐3‐1</w:t>
            </w:r>
            <w:r>
              <w:rPr>
                <w:rFonts w:ascii="Calibri" w:hAnsi="Calibri" w:eastAsia="Calibri"/>
                <w:b/>
                <w:spacing w:val="47"/>
                <w:sz w:val="24"/>
              </w:rPr>
              <w:t> </w:t>
            </w:r>
            <w:r>
              <w:rPr>
                <w:b/>
                <w:spacing w:val="41"/>
                <w:sz w:val="24"/>
              </w:rPr>
              <w:t>對於消弭性別歧</w:t>
            </w:r>
            <w:r>
              <w:rPr>
                <w:b/>
                <w:sz w:val="24"/>
              </w:rPr>
              <w:t>視、促進性別平等有積極、正面綜效</w:t>
            </w:r>
          </w:p>
        </w:tc>
        <w:tc>
          <w:tcPr>
            <w:tcW w:w="3740" w:type="dxa"/>
            <w:gridSpan w:val="2"/>
            <w:tcBorders>
              <w:top w:val="double" w:sz="1" w:space="0" w:color="000000"/>
            </w:tcBorders>
          </w:tcPr>
          <w:p>
            <w:pPr>
              <w:pStyle w:val="TableParagraph"/>
              <w:rPr>
                <w:rFonts w:ascii="Times New Roman"/>
                <w:sz w:val="24"/>
              </w:rPr>
            </w:pPr>
          </w:p>
        </w:tc>
        <w:tc>
          <w:tcPr>
            <w:tcW w:w="3330" w:type="dxa"/>
            <w:tcBorders>
              <w:top w:val="double" w:sz="1" w:space="0" w:color="000000"/>
            </w:tcBorders>
          </w:tcPr>
          <w:p>
            <w:pPr>
              <w:pStyle w:val="TableParagraph"/>
              <w:spacing w:line="223" w:lineRule="auto"/>
              <w:ind w:left="6" w:right="-15" w:hanging="5"/>
              <w:rPr>
                <w:sz w:val="24"/>
              </w:rPr>
            </w:pPr>
            <w:r>
              <w:rPr>
                <w:spacing w:val="14"/>
                <w:sz w:val="24"/>
              </w:rPr>
              <w:t>請詳加說明性別效益何在，本</w:t>
            </w:r>
            <w:r>
              <w:rPr>
                <w:sz w:val="24"/>
              </w:rPr>
              <w:t>項不得填列無關。</w:t>
            </w:r>
          </w:p>
        </w:tc>
      </w:tr>
      <w:tr>
        <w:trPr>
          <w:trHeight w:val="2160" w:hRule="atLeast"/>
        </w:trPr>
        <w:tc>
          <w:tcPr>
            <w:tcW w:w="2762" w:type="dxa"/>
            <w:tcBorders>
              <w:bottom w:val="thickThinMediumGap" w:sz="12" w:space="0" w:color="000000"/>
            </w:tcBorders>
          </w:tcPr>
          <w:p>
            <w:pPr>
              <w:pStyle w:val="TableParagraph"/>
              <w:spacing w:line="360" w:lineRule="atLeast"/>
              <w:ind w:left="728" w:right="43" w:hanging="652"/>
              <w:jc w:val="both"/>
              <w:rPr>
                <w:b/>
                <w:sz w:val="24"/>
              </w:rPr>
            </w:pPr>
            <w:r>
              <w:rPr>
                <w:rFonts w:ascii="Calibri" w:hAnsi="Calibri" w:eastAsia="Calibri"/>
                <w:b/>
                <w:sz w:val="24"/>
              </w:rPr>
              <w:t>8‐3‐2</w:t>
            </w:r>
            <w:r>
              <w:rPr>
                <w:rFonts w:ascii="Calibri" w:hAnsi="Calibri" w:eastAsia="Calibri"/>
                <w:b/>
                <w:spacing w:val="51"/>
                <w:sz w:val="24"/>
              </w:rPr>
              <w:t> </w:t>
            </w:r>
            <w:r>
              <w:rPr>
                <w:b/>
                <w:sz w:val="24"/>
              </w:rPr>
              <w:t>符合憲法、國際規</w:t>
            </w:r>
            <w:r>
              <w:rPr>
                <w:b/>
                <w:spacing w:val="28"/>
                <w:w w:val="95"/>
                <w:sz w:val="24"/>
              </w:rPr>
              <w:t>範</w:t>
            </w:r>
            <w:r>
              <w:rPr>
                <w:rFonts w:ascii="Calibri" w:hAnsi="Calibri" w:eastAsia="Calibri"/>
                <w:b/>
                <w:spacing w:val="12"/>
                <w:w w:val="95"/>
                <w:sz w:val="24"/>
              </w:rPr>
              <w:t>( </w:t>
            </w:r>
            <w:r>
              <w:rPr>
                <w:b/>
                <w:spacing w:val="25"/>
                <w:w w:val="95"/>
                <w:sz w:val="24"/>
              </w:rPr>
              <w:t>包括消除對婦</w:t>
            </w:r>
            <w:r>
              <w:rPr>
                <w:b/>
                <w:sz w:val="24"/>
              </w:rPr>
              <w:t>女一切形式歧視公</w:t>
            </w:r>
            <w:r>
              <w:rPr>
                <w:b/>
                <w:spacing w:val="3"/>
                <w:sz w:val="24"/>
              </w:rPr>
              <w:t>約 </w:t>
            </w:r>
            <w:r>
              <w:rPr>
                <w:rFonts w:ascii="Calibri" w:hAnsi="Calibri" w:eastAsia="Calibri"/>
                <w:b/>
                <w:sz w:val="24"/>
              </w:rPr>
              <w:t>CEDAW)</w:t>
            </w:r>
            <w:r>
              <w:rPr>
                <w:b/>
                <w:spacing w:val="13"/>
                <w:sz w:val="24"/>
              </w:rPr>
              <w:t>、性別</w:t>
            </w:r>
            <w:r>
              <w:rPr>
                <w:b/>
                <w:sz w:val="24"/>
              </w:rPr>
              <w:t>平等政策綱領等要求</w:t>
            </w:r>
          </w:p>
        </w:tc>
        <w:tc>
          <w:tcPr>
            <w:tcW w:w="3740" w:type="dxa"/>
            <w:gridSpan w:val="2"/>
            <w:tcBorders>
              <w:bottom w:val="thickThinMediumGap" w:sz="12" w:space="0" w:color="000000"/>
            </w:tcBorders>
          </w:tcPr>
          <w:p>
            <w:pPr>
              <w:pStyle w:val="TableParagraph"/>
              <w:rPr>
                <w:rFonts w:ascii="Times New Roman"/>
                <w:sz w:val="24"/>
              </w:rPr>
            </w:pPr>
          </w:p>
        </w:tc>
        <w:tc>
          <w:tcPr>
            <w:tcW w:w="3330" w:type="dxa"/>
            <w:tcBorders>
              <w:bottom w:val="thickThinMediumGap" w:sz="12" w:space="0" w:color="000000"/>
            </w:tcBorders>
          </w:tcPr>
          <w:p>
            <w:pPr>
              <w:pStyle w:val="TableParagraph"/>
              <w:spacing w:line="223" w:lineRule="auto"/>
              <w:ind w:left="-18" w:right="-44" w:firstLine="21"/>
              <w:jc w:val="both"/>
              <w:rPr>
                <w:sz w:val="24"/>
              </w:rPr>
            </w:pPr>
            <w:r>
              <w:rPr>
                <w:spacing w:val="17"/>
                <w:sz w:val="24"/>
              </w:rPr>
              <w:t>依消除對婦女一切形式歧視公</w:t>
            </w:r>
            <w:r>
              <w:rPr>
                <w:spacing w:val="19"/>
                <w:sz w:val="24"/>
              </w:rPr>
              <w:t>約施行法，請檢視法案是否符</w:t>
            </w:r>
            <w:r>
              <w:rPr>
                <w:sz w:val="24"/>
              </w:rPr>
              <w:t>合公約</w:t>
            </w:r>
            <w:r>
              <w:rPr>
                <w:rFonts w:ascii="Calibri" w:eastAsia="Calibri"/>
                <w:sz w:val="24"/>
              </w:rPr>
              <w:t>(CEDAW)</w:t>
            </w:r>
            <w:r>
              <w:rPr>
                <w:sz w:val="24"/>
              </w:rPr>
              <w:t>規定及其一般性</w:t>
            </w:r>
            <w:r>
              <w:rPr>
                <w:spacing w:val="19"/>
                <w:sz w:val="24"/>
              </w:rPr>
              <w:t>建議，並請再查核法案內容之</w:t>
            </w:r>
            <w:r>
              <w:rPr>
                <w:sz w:val="24"/>
              </w:rPr>
              <w:t>合宜性，本項不得填列無關。</w:t>
            </w:r>
          </w:p>
        </w:tc>
      </w:tr>
      <w:tr>
        <w:trPr>
          <w:trHeight w:val="1800" w:hRule="atLeast"/>
        </w:trPr>
        <w:tc>
          <w:tcPr>
            <w:tcW w:w="9832" w:type="dxa"/>
            <w:gridSpan w:val="4"/>
            <w:tcBorders>
              <w:top w:val="thinThickMediumGap" w:sz="12" w:space="0" w:color="000000"/>
            </w:tcBorders>
          </w:tcPr>
          <w:p>
            <w:pPr>
              <w:pStyle w:val="TableParagraph"/>
              <w:spacing w:line="360" w:lineRule="atLeast"/>
              <w:ind w:left="1619" w:right="84" w:hanging="1620"/>
              <w:jc w:val="both"/>
              <w:rPr>
                <w:sz w:val="24"/>
              </w:rPr>
            </w:pPr>
            <w:r>
              <w:rPr>
                <w:b/>
                <w:sz w:val="24"/>
              </w:rPr>
              <w:t>玖、性別影響評估結果：</w:t>
            </w:r>
            <w:r>
              <w:rPr>
                <w:sz w:val="24"/>
              </w:rPr>
              <w:t>請填表人依據性別平等專家學者意見之檢視意見提出綜合說明，包括對「第二部分、性別影響評估程序參與」主要意見參採情形、採納意見之法案調整情形、無法採納意見之理由或替代規劃等；經「第二部分－性別影響評估程序參與」後，</w:t>
            </w:r>
            <w:r>
              <w:rPr>
                <w:rFonts w:ascii="Calibri" w:hAnsi="Calibri" w:eastAsia="Calibri"/>
                <w:sz w:val="24"/>
              </w:rPr>
              <w:t>11‐5</w:t>
            </w:r>
            <w:r>
              <w:rPr>
                <w:sz w:val="24"/>
              </w:rPr>
              <w:t>「法案與性別議題關聯之程度」評定為「無關」</w:t>
            </w:r>
            <w:r>
              <w:rPr>
                <w:spacing w:val="1"/>
                <w:sz w:val="24"/>
              </w:rPr>
              <w:t> </w:t>
            </w:r>
            <w:r>
              <w:rPr>
                <w:spacing w:val="-1"/>
                <w:sz w:val="24"/>
              </w:rPr>
              <w:t>者，</w:t>
            </w:r>
            <w:r>
              <w:rPr>
                <w:rFonts w:ascii="Calibri" w:hAnsi="Calibri" w:eastAsia="Calibri"/>
                <w:spacing w:val="-1"/>
                <w:sz w:val="24"/>
              </w:rPr>
              <w:t>9‐1</w:t>
            </w:r>
            <w:r>
              <w:rPr>
                <w:rFonts w:ascii="Calibri" w:hAnsi="Calibri" w:eastAsia="Calibri"/>
                <w:spacing w:val="5"/>
                <w:sz w:val="24"/>
              </w:rPr>
              <w:t> </w:t>
            </w:r>
            <w:r>
              <w:rPr>
                <w:spacing w:val="-30"/>
                <w:sz w:val="24"/>
              </w:rPr>
              <w:t>至 </w:t>
            </w:r>
            <w:r>
              <w:rPr>
                <w:rFonts w:ascii="Calibri" w:hAnsi="Calibri" w:eastAsia="Calibri"/>
                <w:sz w:val="24"/>
              </w:rPr>
              <w:t>9‐3</w:t>
            </w:r>
            <w:r>
              <w:rPr>
                <w:rFonts w:ascii="Calibri" w:hAnsi="Calibri" w:eastAsia="Calibri"/>
                <w:spacing w:val="5"/>
                <w:sz w:val="24"/>
              </w:rPr>
              <w:t> </w:t>
            </w:r>
            <w:r>
              <w:rPr>
                <w:sz w:val="24"/>
              </w:rPr>
              <w:t>免填。</w:t>
            </w:r>
          </w:p>
        </w:tc>
      </w:tr>
      <w:tr>
        <w:trPr>
          <w:trHeight w:val="4662" w:hRule="atLeast"/>
        </w:trPr>
        <w:tc>
          <w:tcPr>
            <w:tcW w:w="276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34"/>
              </w:rPr>
            </w:pPr>
          </w:p>
          <w:p>
            <w:pPr>
              <w:pStyle w:val="TableParagraph"/>
              <w:spacing w:before="1"/>
              <w:ind w:left="-1"/>
              <w:rPr>
                <w:b/>
                <w:sz w:val="24"/>
              </w:rPr>
            </w:pPr>
            <w:r>
              <w:rPr>
                <w:rFonts w:ascii="Calibri" w:hAnsi="Calibri" w:eastAsia="Calibri"/>
                <w:b/>
                <w:sz w:val="24"/>
              </w:rPr>
              <w:t>9‐1</w:t>
            </w:r>
            <w:r>
              <w:rPr>
                <w:rFonts w:ascii="Calibri" w:hAnsi="Calibri" w:eastAsia="Calibri"/>
                <w:b/>
                <w:spacing w:val="4"/>
                <w:sz w:val="24"/>
              </w:rPr>
              <w:t> </w:t>
            </w:r>
            <w:r>
              <w:rPr>
                <w:b/>
                <w:sz w:val="24"/>
              </w:rPr>
              <w:t>評估結果之綜合說明</w:t>
            </w:r>
          </w:p>
        </w:tc>
        <w:tc>
          <w:tcPr>
            <w:tcW w:w="7070" w:type="dxa"/>
            <w:gridSpan w:val="3"/>
          </w:tcPr>
          <w:p>
            <w:pPr>
              <w:pStyle w:val="TableParagraph"/>
              <w:spacing w:line="223" w:lineRule="auto"/>
              <w:ind w:left="-2" w:right="-29"/>
              <w:jc w:val="both"/>
              <w:rPr>
                <w:sz w:val="24"/>
              </w:rPr>
            </w:pPr>
            <w:r>
              <w:rPr>
                <w:sz w:val="24"/>
              </w:rPr>
              <w:t>有關建議先以目前保障法適用範圍之性別統計作為基礎，並將留職停薪者之性別比例與事由，於未來施行後再行統計，以了解其修法之效益，提供未來執行上之參考一節，按公務人員向服務機關申請案件，其結果有二：機關核准或否准。其中經機關否准者僅有部分人員向本會提起救濟；又提起救濟者，與性別統計較具關連性之事件，包含留職停薪、育嬰假、生理假及性騷擾等；惟此類事件數量甚少，並無大量資料可供分析，且本會未取得公務人員向服務機關申請上開案件之總數、機關核准及否准之件數，如僅就是類提起保障事件統計性別，無法窺知全貌所得分析資料對於本會進行宣導、輔導及政策制定之成效不大。另洽詢行政院訴願審議委員會、考試院訴願審議委員會、臺北市政府法務局、臺北高等行政法院及最高</w:t>
            </w:r>
            <w:r>
              <w:rPr>
                <w:spacing w:val="11"/>
                <w:sz w:val="24"/>
              </w:rPr>
              <w:t>行政法院等機關，均未就提起訴願或行政訴訟者之性別作統計分</w:t>
            </w:r>
            <w:r>
              <w:rPr>
                <w:sz w:val="24"/>
              </w:rPr>
              <w:t>析，主要係因性質上不適合。是以，本會目前尚無相關統計資料，</w:t>
            </w:r>
            <w:r>
              <w:rPr>
                <w:spacing w:val="1"/>
                <w:sz w:val="24"/>
              </w:rPr>
              <w:t> </w:t>
            </w:r>
            <w:r>
              <w:rPr>
                <w:sz w:val="24"/>
              </w:rPr>
              <w:t>日後進行相關研究時，將適時參酌所提意見辦理。</w:t>
            </w:r>
          </w:p>
        </w:tc>
      </w:tr>
      <w:tr>
        <w:trPr>
          <w:trHeight w:val="605" w:hRule="atLeast"/>
        </w:trPr>
        <w:tc>
          <w:tcPr>
            <w:tcW w:w="2762" w:type="dxa"/>
          </w:tcPr>
          <w:p>
            <w:pPr>
              <w:pStyle w:val="TableParagraph"/>
              <w:spacing w:line="319" w:lineRule="exact"/>
              <w:ind w:left="-1"/>
              <w:rPr>
                <w:b/>
                <w:sz w:val="24"/>
              </w:rPr>
            </w:pPr>
            <w:r>
              <w:rPr>
                <w:rFonts w:ascii="Calibri" w:hAnsi="Calibri" w:eastAsia="Calibri"/>
                <w:b/>
                <w:sz w:val="24"/>
              </w:rPr>
              <w:t>9‐2</w:t>
            </w:r>
            <w:r>
              <w:rPr>
                <w:rFonts w:ascii="Calibri" w:hAnsi="Calibri" w:eastAsia="Calibri"/>
                <w:b/>
                <w:spacing w:val="4"/>
                <w:sz w:val="24"/>
              </w:rPr>
              <w:t> </w:t>
            </w:r>
            <w:r>
              <w:rPr>
                <w:b/>
                <w:sz w:val="24"/>
              </w:rPr>
              <w:t>參採情形</w:t>
            </w:r>
          </w:p>
        </w:tc>
        <w:tc>
          <w:tcPr>
            <w:tcW w:w="2134" w:type="dxa"/>
          </w:tcPr>
          <w:p>
            <w:pPr>
              <w:pStyle w:val="TableParagraph"/>
              <w:spacing w:line="282" w:lineRule="exact"/>
              <w:ind w:left="-2"/>
              <w:rPr>
                <w:rFonts w:ascii="Calibri" w:hAnsi="Calibri"/>
                <w:b/>
                <w:sz w:val="24"/>
              </w:rPr>
            </w:pPr>
            <w:r>
              <w:rPr>
                <w:rFonts w:ascii="Calibri" w:hAnsi="Calibri"/>
                <w:b/>
                <w:sz w:val="24"/>
              </w:rPr>
              <w:t>9‐2‐1</w:t>
            </w:r>
          </w:p>
          <w:p>
            <w:pPr>
              <w:pStyle w:val="TableParagraph"/>
              <w:spacing w:line="304" w:lineRule="exact"/>
              <w:ind w:left="-2" w:right="-15"/>
              <w:rPr>
                <w:b/>
                <w:sz w:val="24"/>
              </w:rPr>
            </w:pPr>
            <w:r>
              <w:rPr>
                <w:b/>
                <w:spacing w:val="26"/>
                <w:w w:val="95"/>
                <w:sz w:val="24"/>
              </w:rPr>
              <w:t>說明採納意見後之</w:t>
            </w:r>
          </w:p>
        </w:tc>
        <w:tc>
          <w:tcPr>
            <w:tcW w:w="4936" w:type="dxa"/>
            <w:gridSpan w:val="2"/>
          </w:tcPr>
          <w:p>
            <w:pPr>
              <w:pStyle w:val="TableParagraph"/>
              <w:spacing w:before="10"/>
              <w:rPr>
                <w:b/>
                <w:sz w:val="19"/>
              </w:rPr>
            </w:pPr>
          </w:p>
          <w:p>
            <w:pPr>
              <w:pStyle w:val="TableParagraph"/>
              <w:spacing w:line="310" w:lineRule="exact"/>
              <w:ind w:left="1"/>
              <w:rPr>
                <w:rFonts w:ascii="Calibri" w:hAnsi="Calibri" w:eastAsia="Calibri"/>
                <w:sz w:val="24"/>
              </w:rPr>
            </w:pPr>
            <w:r>
              <w:rPr>
                <w:spacing w:val="-1"/>
                <w:w w:val="95"/>
                <w:sz w:val="24"/>
              </w:rPr>
              <w:t>如前開 </w:t>
            </w:r>
            <w:r>
              <w:rPr>
                <w:rFonts w:ascii="Calibri" w:hAnsi="Calibri" w:eastAsia="Calibri"/>
                <w:w w:val="95"/>
                <w:sz w:val="24"/>
              </w:rPr>
              <w:t>9‐1</w:t>
            </w:r>
          </w:p>
        </w:tc>
      </w:tr>
    </w:tbl>
    <w:p>
      <w:pPr>
        <w:spacing w:after="0" w:line="310" w:lineRule="exact"/>
        <w:rPr>
          <w:rFonts w:ascii="Calibri" w:hAnsi="Calibri" w:eastAsia="Calibri"/>
          <w:sz w:val="24"/>
        </w:rPr>
        <w:sectPr>
          <w:pgSz w:w="11910" w:h="16840"/>
          <w:pgMar w:header="0" w:footer="918" w:top="114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2"/>
        <w:gridCol w:w="2134"/>
        <w:gridCol w:w="4937"/>
      </w:tblGrid>
      <w:tr>
        <w:trPr>
          <w:trHeight w:val="311" w:hRule="atLeast"/>
        </w:trPr>
        <w:tc>
          <w:tcPr>
            <w:tcW w:w="2762" w:type="dxa"/>
            <w:vMerge w:val="restart"/>
          </w:tcPr>
          <w:p>
            <w:pPr>
              <w:pStyle w:val="TableParagraph"/>
              <w:rPr>
                <w:rFonts w:ascii="Times New Roman"/>
                <w:sz w:val="22"/>
              </w:rPr>
            </w:pPr>
          </w:p>
        </w:tc>
        <w:tc>
          <w:tcPr>
            <w:tcW w:w="2134" w:type="dxa"/>
          </w:tcPr>
          <w:p>
            <w:pPr>
              <w:pStyle w:val="TableParagraph"/>
              <w:spacing w:line="292" w:lineRule="exact"/>
              <w:ind w:left="-2"/>
              <w:rPr>
                <w:b/>
                <w:sz w:val="24"/>
              </w:rPr>
            </w:pPr>
            <w:r>
              <w:rPr>
                <w:b/>
                <w:w w:val="95"/>
                <w:sz w:val="24"/>
              </w:rPr>
              <w:t>法案調整</w:t>
            </w:r>
          </w:p>
        </w:tc>
        <w:tc>
          <w:tcPr>
            <w:tcW w:w="4937" w:type="dxa"/>
          </w:tcPr>
          <w:p>
            <w:pPr>
              <w:pStyle w:val="TableParagraph"/>
              <w:rPr>
                <w:rFonts w:ascii="Times New Roman"/>
                <w:sz w:val="22"/>
              </w:rPr>
            </w:pPr>
          </w:p>
        </w:tc>
      </w:tr>
      <w:tr>
        <w:trPr>
          <w:trHeight w:val="917" w:hRule="atLeast"/>
        </w:trPr>
        <w:tc>
          <w:tcPr>
            <w:tcW w:w="2762" w:type="dxa"/>
            <w:vMerge/>
            <w:tcBorders>
              <w:top w:val="nil"/>
            </w:tcBorders>
          </w:tcPr>
          <w:p>
            <w:pPr>
              <w:rPr>
                <w:sz w:val="2"/>
                <w:szCs w:val="2"/>
              </w:rPr>
            </w:pPr>
          </w:p>
        </w:tc>
        <w:tc>
          <w:tcPr>
            <w:tcW w:w="2134" w:type="dxa"/>
          </w:tcPr>
          <w:p>
            <w:pPr>
              <w:pStyle w:val="TableParagraph"/>
              <w:spacing w:line="282" w:lineRule="exact"/>
              <w:ind w:left="-2"/>
              <w:rPr>
                <w:rFonts w:ascii="Calibri" w:hAnsi="Calibri"/>
                <w:b/>
                <w:sz w:val="24"/>
              </w:rPr>
            </w:pPr>
            <w:r>
              <w:rPr>
                <w:rFonts w:ascii="Calibri" w:hAnsi="Calibri"/>
                <w:b/>
                <w:sz w:val="24"/>
              </w:rPr>
              <w:t>9‐2‐2</w:t>
            </w:r>
          </w:p>
          <w:p>
            <w:pPr>
              <w:pStyle w:val="TableParagraph"/>
              <w:spacing w:line="318" w:lineRule="exact"/>
              <w:ind w:left="-2"/>
              <w:rPr>
                <w:b/>
                <w:sz w:val="24"/>
              </w:rPr>
            </w:pPr>
            <w:r>
              <w:rPr>
                <w:b/>
                <w:spacing w:val="14"/>
                <w:w w:val="95"/>
                <w:sz w:val="24"/>
              </w:rPr>
              <w:t>說明未參採之理由</w:t>
            </w:r>
          </w:p>
          <w:p>
            <w:pPr>
              <w:pStyle w:val="TableParagraph"/>
              <w:spacing w:line="298" w:lineRule="exact"/>
              <w:ind w:left="-2"/>
              <w:rPr>
                <w:b/>
                <w:sz w:val="24"/>
              </w:rPr>
            </w:pPr>
            <w:r>
              <w:rPr>
                <w:b/>
                <w:w w:val="95"/>
                <w:sz w:val="24"/>
              </w:rPr>
              <w:t>或替代規劃</w:t>
            </w:r>
          </w:p>
        </w:tc>
        <w:tc>
          <w:tcPr>
            <w:tcW w:w="4937" w:type="dxa"/>
          </w:tcPr>
          <w:p>
            <w:pPr>
              <w:pStyle w:val="TableParagraph"/>
              <w:spacing w:before="10"/>
              <w:rPr>
                <w:b/>
                <w:sz w:val="19"/>
              </w:rPr>
            </w:pPr>
          </w:p>
          <w:p>
            <w:pPr>
              <w:pStyle w:val="TableParagraph"/>
              <w:ind w:left="1"/>
              <w:rPr>
                <w:rFonts w:ascii="Calibri" w:hAnsi="Calibri" w:eastAsia="Calibri"/>
                <w:sz w:val="24"/>
              </w:rPr>
            </w:pPr>
            <w:r>
              <w:rPr>
                <w:spacing w:val="-1"/>
                <w:w w:val="95"/>
                <w:sz w:val="24"/>
              </w:rPr>
              <w:t>如前開 </w:t>
            </w:r>
            <w:r>
              <w:rPr>
                <w:rFonts w:ascii="Calibri" w:hAnsi="Calibri" w:eastAsia="Calibri"/>
                <w:w w:val="95"/>
                <w:sz w:val="24"/>
              </w:rPr>
              <w:t>9‐1</w:t>
            </w:r>
          </w:p>
        </w:tc>
      </w:tr>
      <w:tr>
        <w:trPr>
          <w:trHeight w:val="1440" w:hRule="atLeast"/>
        </w:trPr>
        <w:tc>
          <w:tcPr>
            <w:tcW w:w="9833" w:type="dxa"/>
            <w:gridSpan w:val="3"/>
            <w:tcBorders>
              <w:bottom w:val="thickThinMediumGap" w:sz="12" w:space="0" w:color="000000"/>
            </w:tcBorders>
          </w:tcPr>
          <w:p>
            <w:pPr>
              <w:pStyle w:val="TableParagraph"/>
              <w:spacing w:line="343" w:lineRule="auto" w:before="31"/>
              <w:ind w:left="-1" w:right="194"/>
              <w:rPr>
                <w:sz w:val="24"/>
              </w:rPr>
            </w:pPr>
            <w:r>
              <w:rPr>
                <w:rFonts w:ascii="Calibri" w:hAnsi="Calibri" w:eastAsia="Calibri"/>
                <w:b/>
                <w:spacing w:val="-1"/>
                <w:sz w:val="24"/>
              </w:rPr>
              <w:t>9‐</w:t>
            </w:r>
            <w:r>
              <w:rPr>
                <w:rFonts w:ascii="Calibri" w:hAnsi="Calibri" w:eastAsia="Calibri"/>
                <w:b/>
                <w:sz w:val="24"/>
              </w:rPr>
              <w:t>3</w:t>
            </w:r>
            <w:r>
              <w:rPr>
                <w:rFonts w:ascii="Calibri" w:hAnsi="Calibri" w:eastAsia="Calibri"/>
                <w:b/>
                <w:spacing w:val="5"/>
                <w:sz w:val="24"/>
              </w:rPr>
              <w:t> </w:t>
            </w:r>
            <w:r>
              <w:rPr>
                <w:b/>
                <w:w w:val="99"/>
                <w:sz w:val="24"/>
              </w:rPr>
              <w:t>通知程序參與之專家學者本法案的評估結果</w:t>
            </w:r>
            <w:r>
              <w:rPr>
                <w:b/>
                <w:spacing w:val="1"/>
                <w:w w:val="99"/>
                <w:sz w:val="24"/>
              </w:rPr>
              <w:t>（</w:t>
            </w:r>
            <w:r>
              <w:rPr>
                <w:b/>
                <w:w w:val="99"/>
                <w:sz w:val="24"/>
              </w:rPr>
              <w:t>請填寫日期及勾選通知方式，請勿空白</w:t>
            </w:r>
            <w:r>
              <w:rPr>
                <w:b/>
                <w:spacing w:val="-120"/>
                <w:w w:val="99"/>
                <w:sz w:val="24"/>
              </w:rPr>
              <w:t>）</w:t>
            </w:r>
            <w:r>
              <w:rPr>
                <w:b/>
                <w:w w:val="99"/>
                <w:sz w:val="24"/>
              </w:rPr>
              <w:t>：</w:t>
            </w:r>
            <w:r>
              <w:rPr>
                <w:spacing w:val="-21"/>
                <w:sz w:val="24"/>
              </w:rPr>
              <w:t>已於 </w:t>
            </w:r>
            <w:r>
              <w:rPr>
                <w:rFonts w:ascii="Calibri" w:hAnsi="Calibri" w:eastAsia="Calibri"/>
                <w:spacing w:val="-1"/>
                <w:sz w:val="24"/>
              </w:rPr>
              <w:t>105</w:t>
            </w:r>
            <w:r>
              <w:rPr>
                <w:rFonts w:ascii="Calibri" w:hAnsi="Calibri" w:eastAsia="Calibri"/>
                <w:spacing w:val="6"/>
                <w:sz w:val="24"/>
              </w:rPr>
              <w:t> </w:t>
            </w:r>
            <w:r>
              <w:rPr>
                <w:spacing w:val="-30"/>
                <w:sz w:val="24"/>
              </w:rPr>
              <w:t>年 </w:t>
            </w:r>
            <w:r>
              <w:rPr>
                <w:rFonts w:ascii="Calibri" w:hAnsi="Calibri" w:eastAsia="Calibri"/>
                <w:sz w:val="24"/>
              </w:rPr>
              <w:t>10</w:t>
            </w:r>
            <w:r>
              <w:rPr>
                <w:rFonts w:ascii="Calibri" w:hAnsi="Calibri" w:eastAsia="Calibri"/>
                <w:spacing w:val="5"/>
                <w:sz w:val="24"/>
              </w:rPr>
              <w:t> </w:t>
            </w:r>
            <w:r>
              <w:rPr>
                <w:spacing w:val="-30"/>
                <w:sz w:val="24"/>
              </w:rPr>
              <w:t>月 </w:t>
            </w:r>
            <w:r>
              <w:rPr>
                <w:rFonts w:ascii="Calibri" w:hAnsi="Calibri" w:eastAsia="Calibri"/>
                <w:sz w:val="24"/>
              </w:rPr>
              <w:t>3</w:t>
            </w:r>
            <w:r>
              <w:rPr>
                <w:rFonts w:ascii="Calibri" w:hAnsi="Calibri" w:eastAsia="Calibri"/>
                <w:spacing w:val="6"/>
                <w:sz w:val="24"/>
              </w:rPr>
              <w:t> </w:t>
            </w:r>
            <w:r>
              <w:rPr>
                <w:sz w:val="24"/>
              </w:rPr>
              <w:t>日將「評估結果」以下列方式通知程序參與者審閱</w:t>
            </w:r>
          </w:p>
          <w:p>
            <w:pPr>
              <w:pStyle w:val="TableParagraph"/>
              <w:tabs>
                <w:tab w:pos="1344" w:val="left" w:leader="none"/>
                <w:tab w:pos="2914" w:val="left" w:leader="none"/>
                <w:tab w:pos="4259" w:val="left" w:leader="none"/>
                <w:tab w:pos="6084" w:val="left" w:leader="none"/>
              </w:tabs>
              <w:ind w:left="-1"/>
              <w:rPr>
                <w:rFonts w:ascii="Times New Roman" w:hAnsi="Times New Roman" w:eastAsia="Times New Roman"/>
                <w:sz w:val="24"/>
              </w:rPr>
            </w:pPr>
            <w:r>
              <w:rPr>
                <w:rFonts w:ascii="Calibri" w:hAnsi="Calibri" w:eastAsia="Calibri"/>
                <w:sz w:val="24"/>
              </w:rPr>
              <w:t>□</w:t>
            </w:r>
            <w:r>
              <w:rPr>
                <w:sz w:val="24"/>
              </w:rPr>
              <w:t>傳真</w:t>
              <w:tab/>
              <w:t>■</w:t>
            </w:r>
            <w:r>
              <w:rPr>
                <w:rFonts w:ascii="Calibri" w:hAnsi="Calibri" w:eastAsia="Calibri"/>
                <w:sz w:val="24"/>
              </w:rPr>
              <w:t>e‐mail</w:t>
              <w:tab/>
              <w:t>□</w:t>
            </w:r>
            <w:r>
              <w:rPr>
                <w:sz w:val="24"/>
              </w:rPr>
              <w:t>郵寄</w:t>
              <w:tab/>
            </w:r>
            <w:r>
              <w:rPr>
                <w:rFonts w:ascii="Calibri" w:hAnsi="Calibri" w:eastAsia="Calibri"/>
                <w:sz w:val="24"/>
              </w:rPr>
              <w:t>□</w:t>
            </w:r>
            <w:r>
              <w:rPr>
                <w:sz w:val="24"/>
              </w:rPr>
              <w:t>其他</w:t>
            </w:r>
            <w:r>
              <w:rPr>
                <w:rFonts w:ascii="Times New Roman" w:hAnsi="Times New Roman" w:eastAsia="Times New Roman"/>
                <w:sz w:val="24"/>
                <w:u w:val="single"/>
              </w:rPr>
              <w:t> </w:t>
              <w:tab/>
            </w:r>
          </w:p>
        </w:tc>
      </w:tr>
      <w:tr>
        <w:trPr>
          <w:trHeight w:val="2880" w:hRule="atLeast"/>
        </w:trPr>
        <w:tc>
          <w:tcPr>
            <w:tcW w:w="9833" w:type="dxa"/>
            <w:gridSpan w:val="3"/>
            <w:tcBorders>
              <w:top w:val="thinThickMediumGap" w:sz="12" w:space="0" w:color="000000"/>
            </w:tcBorders>
          </w:tcPr>
          <w:p>
            <w:pPr>
              <w:pStyle w:val="TableParagraph"/>
              <w:spacing w:before="30"/>
              <w:ind w:left="-1"/>
              <w:rPr>
                <w:b/>
                <w:sz w:val="24"/>
              </w:rPr>
            </w:pPr>
            <w:r>
              <w:rPr>
                <w:b/>
                <w:w w:val="95"/>
                <w:sz w:val="24"/>
              </w:rPr>
              <w:t>拾、法制單位復核（此欄空白未填寫者，將以不符形式審查逕予退件。）</w:t>
            </w:r>
          </w:p>
          <w:p>
            <w:pPr>
              <w:pStyle w:val="TableParagraph"/>
              <w:tabs>
                <w:tab w:pos="4662" w:val="left" w:leader="none"/>
              </w:tabs>
              <w:spacing w:before="145"/>
              <w:ind w:left="-1"/>
              <w:rPr>
                <w:sz w:val="24"/>
              </w:rPr>
            </w:pPr>
            <w:r>
              <w:rPr>
                <w:rFonts w:ascii="Calibri" w:hAnsi="Calibri" w:eastAsia="Calibri"/>
                <w:b/>
                <w:sz w:val="24"/>
              </w:rPr>
              <w:t>10‐1</w:t>
            </w:r>
            <w:r>
              <w:rPr>
                <w:rFonts w:ascii="Calibri" w:hAnsi="Calibri" w:eastAsia="Calibri"/>
                <w:b/>
                <w:spacing w:val="63"/>
                <w:sz w:val="24"/>
              </w:rPr>
              <w:t> </w:t>
            </w:r>
            <w:r>
              <w:rPr>
                <w:sz w:val="24"/>
              </w:rPr>
              <w:t>法案內容：</w:t>
            </w:r>
            <w:r>
              <w:rPr>
                <w:spacing w:val="119"/>
                <w:sz w:val="24"/>
              </w:rPr>
              <w:t> </w:t>
            </w:r>
            <w:r>
              <w:rPr>
                <w:rFonts w:ascii="Calibri" w:hAnsi="Calibri" w:eastAsia="Calibri"/>
                <w:sz w:val="24"/>
              </w:rPr>
              <w:t>□</w:t>
            </w:r>
            <w:r>
              <w:rPr>
                <w:sz w:val="24"/>
              </w:rPr>
              <w:t>提經法規會討論通過</w:t>
              <w:tab/>
            </w:r>
            <w:r>
              <w:rPr>
                <w:rFonts w:ascii="新細明體" w:hAnsi="新細明體" w:eastAsia="新細明體" w:hint="eastAsia"/>
                <w:sz w:val="24"/>
              </w:rPr>
              <w:t>■</w:t>
            </w:r>
            <w:r>
              <w:rPr>
                <w:sz w:val="24"/>
              </w:rPr>
              <w:t>已會法制單位表示意見</w:t>
            </w:r>
          </w:p>
          <w:p>
            <w:pPr>
              <w:pStyle w:val="TableParagraph"/>
              <w:spacing w:before="144"/>
              <w:ind w:left="-1"/>
              <w:rPr>
                <w:sz w:val="24"/>
              </w:rPr>
            </w:pPr>
            <w:r>
              <w:rPr>
                <w:rFonts w:ascii="Calibri" w:hAnsi="Calibri" w:eastAsia="Calibri"/>
                <w:b/>
                <w:sz w:val="24"/>
              </w:rPr>
              <w:t>10‐2</w:t>
            </w:r>
            <w:r>
              <w:rPr>
                <w:rFonts w:ascii="Calibri" w:hAnsi="Calibri" w:eastAsia="Calibri"/>
                <w:b/>
                <w:spacing w:val="11"/>
                <w:sz w:val="24"/>
              </w:rPr>
              <w:t> </w:t>
            </w:r>
            <w:r>
              <w:rPr>
                <w:spacing w:val="13"/>
                <w:sz w:val="24"/>
              </w:rPr>
              <w:t>徵詢及協商程序： </w:t>
            </w:r>
            <w:r>
              <w:rPr>
                <w:rFonts w:ascii="新細明體" w:hAnsi="新細明體" w:eastAsia="新細明體" w:hint="eastAsia"/>
                <w:sz w:val="24"/>
              </w:rPr>
              <w:t>■</w:t>
            </w:r>
            <w:r>
              <w:rPr>
                <w:sz w:val="24"/>
              </w:rPr>
              <w:t>已徵詢及協商法案主要影響對象</w:t>
            </w:r>
          </w:p>
          <w:p>
            <w:pPr>
              <w:pStyle w:val="TableParagraph"/>
              <w:numPr>
                <w:ilvl w:val="0"/>
                <w:numId w:val="6"/>
              </w:numPr>
              <w:tabs>
                <w:tab w:pos="2951" w:val="left" w:leader="none"/>
              </w:tabs>
              <w:spacing w:line="240" w:lineRule="auto" w:before="144" w:after="0"/>
              <w:ind w:left="2950" w:right="0" w:hanging="242"/>
              <w:jc w:val="left"/>
              <w:rPr>
                <w:sz w:val="24"/>
              </w:rPr>
            </w:pPr>
            <w:r>
              <w:rPr>
                <w:sz w:val="24"/>
              </w:rPr>
              <w:t>已適當說明與回應徵詢及協商對象所提之主要意見</w:t>
            </w:r>
          </w:p>
          <w:p>
            <w:pPr>
              <w:pStyle w:val="TableParagraph"/>
              <w:spacing w:line="480" w:lineRule="atLeast"/>
              <w:ind w:left="-1" w:right="5423"/>
              <w:rPr>
                <w:b/>
                <w:sz w:val="24"/>
              </w:rPr>
            </w:pPr>
            <w:r>
              <w:rPr>
                <w:rFonts w:ascii="Calibri" w:hAnsi="Calibri" w:eastAsia="Calibri"/>
                <w:b/>
                <w:sz w:val="24"/>
              </w:rPr>
              <w:t>10‐3</w:t>
            </w:r>
            <w:r>
              <w:rPr>
                <w:rFonts w:ascii="Calibri" w:hAnsi="Calibri" w:eastAsia="Calibri"/>
                <w:b/>
                <w:spacing w:val="6"/>
                <w:sz w:val="24"/>
              </w:rPr>
              <w:t> </w:t>
            </w:r>
            <w:r>
              <w:rPr>
                <w:spacing w:val="18"/>
                <w:sz w:val="24"/>
              </w:rPr>
              <w:t>訂修程序： </w:t>
            </w:r>
            <w:r>
              <w:rPr>
                <w:rFonts w:ascii="新細明體" w:hAnsi="新細明體" w:eastAsia="新細明體" w:hint="eastAsia"/>
                <w:sz w:val="24"/>
              </w:rPr>
              <w:t>■</w:t>
            </w:r>
            <w:r>
              <w:rPr>
                <w:sz w:val="24"/>
              </w:rPr>
              <w:t>本檢視表已完整填列</w:t>
            </w:r>
            <w:r>
              <w:rPr>
                <w:b/>
                <w:spacing w:val="-1"/>
                <w:sz w:val="24"/>
              </w:rPr>
              <w:t>復核人姓名及職稱： ○○○</w:t>
            </w:r>
          </w:p>
        </w:tc>
      </w:tr>
    </w:tbl>
    <w:p>
      <w:pPr>
        <w:spacing w:after="0" w:line="480" w:lineRule="atLeast"/>
        <w:rPr>
          <w:sz w:val="24"/>
        </w:rPr>
        <w:sectPr>
          <w:pgSz w:w="11910" w:h="16840"/>
          <w:pgMar w:header="0" w:footer="918" w:top="1140" w:bottom="1100" w:left="880" w:right="900"/>
        </w:sectPr>
      </w:pPr>
    </w:p>
    <w:p>
      <w:pPr>
        <w:pStyle w:val="BodyText"/>
        <w:spacing w:before="22"/>
        <w:ind w:left="821"/>
      </w:pPr>
      <w:r>
        <w:rPr>
          <w:spacing w:val="-8"/>
          <w:w w:val="95"/>
        </w:rPr>
        <w:t>【第二部分－性別影響評估程序參與】：本部分由性別平等專家學者填寫</w:t>
      </w:r>
    </w:p>
    <w:p>
      <w:pPr>
        <w:spacing w:line="240" w:lineRule="auto" w:before="7" w:after="0"/>
        <w:rPr>
          <w:b/>
          <w:sz w:val="18"/>
        </w:rPr>
      </w:pPr>
    </w:p>
    <w:tbl>
      <w:tblPr>
        <w:tblW w:w="0" w:type="auto"/>
        <w:jc w:val="left"/>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6"/>
        <w:gridCol w:w="1068"/>
        <w:gridCol w:w="2880"/>
        <w:gridCol w:w="2652"/>
      </w:tblGrid>
      <w:tr>
        <w:trPr>
          <w:trHeight w:val="1280" w:hRule="atLeast"/>
        </w:trPr>
        <w:tc>
          <w:tcPr>
            <w:tcW w:w="9326" w:type="dxa"/>
            <w:gridSpan w:val="4"/>
          </w:tcPr>
          <w:p>
            <w:pPr>
              <w:pStyle w:val="TableParagraph"/>
              <w:spacing w:line="228" w:lineRule="auto" w:before="28"/>
              <w:ind w:left="1927" w:right="-29" w:hanging="1928"/>
              <w:jc w:val="both"/>
              <w:rPr>
                <w:sz w:val="24"/>
              </w:rPr>
            </w:pPr>
            <w:r>
              <w:rPr>
                <w:b/>
                <w:sz w:val="24"/>
              </w:rPr>
              <w:t>拾壹、性別影響評估程序參與：</w:t>
            </w:r>
            <w:r>
              <w:rPr>
                <w:spacing w:val="1"/>
                <w:sz w:val="24"/>
              </w:rPr>
              <w:t>若採用書面意見的方式，至少應徵詢 </w:t>
            </w:r>
            <w:r>
              <w:rPr>
                <w:rFonts w:ascii="Calibri" w:eastAsia="Calibri"/>
                <w:sz w:val="24"/>
              </w:rPr>
              <w:t>1</w:t>
            </w:r>
            <w:r>
              <w:rPr>
                <w:rFonts w:ascii="Calibri" w:eastAsia="Calibri"/>
                <w:spacing w:val="45"/>
                <w:sz w:val="24"/>
              </w:rPr>
              <w:t> </w:t>
            </w:r>
            <w:r>
              <w:rPr>
                <w:sz w:val="24"/>
              </w:rPr>
              <w:t>位以上性別平等專家學者意見，並填寫參與者的姓名、職稱及服務單位；專家學者資</w:t>
            </w:r>
            <w:r>
              <w:rPr>
                <w:spacing w:val="27"/>
                <w:sz w:val="24"/>
              </w:rPr>
              <w:t>料 可 至 台 灣 國 家 婦 女 館 網 站 參 閱</w:t>
            </w:r>
          </w:p>
          <w:p>
            <w:pPr>
              <w:pStyle w:val="TableParagraph"/>
              <w:spacing w:line="275" w:lineRule="exact"/>
              <w:ind w:left="1927"/>
              <w:rPr>
                <w:sz w:val="24"/>
              </w:rPr>
            </w:pPr>
            <w:r>
              <w:rPr>
                <w:sz w:val="24"/>
              </w:rPr>
              <w:t>（</w:t>
            </w:r>
            <w:hyperlink r:id="rId6">
              <w:r>
                <w:rPr>
                  <w:rFonts w:ascii="Calibri" w:eastAsia="Calibri"/>
                  <w:spacing w:val="-3"/>
                  <w:sz w:val="24"/>
                </w:rPr>
                <w:t>h</w:t>
              </w:r>
              <w:r>
                <w:rPr>
                  <w:rFonts w:ascii="Calibri" w:eastAsia="Calibri"/>
                  <w:spacing w:val="-4"/>
                  <w:sz w:val="24"/>
                </w:rPr>
                <w:t>t</w:t>
              </w:r>
              <w:r>
                <w:rPr>
                  <w:rFonts w:ascii="Calibri" w:eastAsia="Calibri"/>
                  <w:sz w:val="24"/>
                </w:rPr>
                <w:t>tp://ww</w:t>
              </w:r>
              <w:r>
                <w:rPr>
                  <w:rFonts w:ascii="Calibri" w:eastAsia="Calibri"/>
                  <w:spacing w:val="-16"/>
                  <w:sz w:val="24"/>
                </w:rPr>
                <w:t>w</w:t>
              </w:r>
              <w:r>
                <w:rPr>
                  <w:rFonts w:ascii="Calibri" w:eastAsia="Calibri"/>
                  <w:spacing w:val="-5"/>
                  <w:sz w:val="24"/>
                </w:rPr>
                <w:t>.</w:t>
              </w:r>
              <w:r>
                <w:rPr>
                  <w:rFonts w:ascii="Calibri" w:eastAsia="Calibri"/>
                  <w:spacing w:val="-4"/>
                  <w:sz w:val="24"/>
                </w:rPr>
                <w:t>t</w:t>
              </w:r>
              <w:r>
                <w:rPr>
                  <w:rFonts w:ascii="Calibri" w:eastAsia="Calibri"/>
                  <w:sz w:val="24"/>
                </w:rPr>
                <w:t>ai</w:t>
              </w:r>
              <w:r>
                <w:rPr>
                  <w:rFonts w:ascii="Calibri" w:eastAsia="Calibri"/>
                  <w:spacing w:val="-3"/>
                  <w:sz w:val="24"/>
                </w:rPr>
                <w:t>w</w:t>
              </w:r>
              <w:r>
                <w:rPr>
                  <w:rFonts w:ascii="Calibri" w:eastAsia="Calibri"/>
                  <w:sz w:val="24"/>
                </w:rPr>
                <w:t>a</w:t>
              </w:r>
              <w:r>
                <w:rPr>
                  <w:rFonts w:ascii="Calibri" w:eastAsia="Calibri"/>
                  <w:spacing w:val="-2"/>
                  <w:sz w:val="24"/>
                </w:rPr>
                <w:t>n</w:t>
              </w:r>
              <w:r>
                <w:rPr>
                  <w:rFonts w:ascii="Calibri" w:eastAsia="Calibri"/>
                  <w:spacing w:val="-4"/>
                  <w:sz w:val="24"/>
                </w:rPr>
                <w:t>w</w:t>
              </w:r>
              <w:r>
                <w:rPr>
                  <w:rFonts w:ascii="Calibri" w:eastAsia="Calibri"/>
                  <w:sz w:val="24"/>
                </w:rPr>
                <w:t>ome</w:t>
              </w:r>
              <w:r>
                <w:rPr>
                  <w:rFonts w:ascii="Calibri" w:eastAsia="Calibri"/>
                  <w:spacing w:val="-2"/>
                  <w:sz w:val="24"/>
                </w:rPr>
                <w:t>n</w:t>
              </w:r>
              <w:r>
                <w:rPr>
                  <w:rFonts w:ascii="Calibri" w:eastAsia="Calibri"/>
                  <w:sz w:val="24"/>
                </w:rPr>
                <w:t>ce</w:t>
              </w:r>
              <w:r>
                <w:rPr>
                  <w:rFonts w:ascii="Calibri" w:eastAsia="Calibri"/>
                  <w:spacing w:val="-3"/>
                  <w:sz w:val="24"/>
                </w:rPr>
                <w:t>n</w:t>
              </w:r>
              <w:r>
                <w:rPr>
                  <w:rFonts w:ascii="Calibri" w:eastAsia="Calibri"/>
                  <w:spacing w:val="-4"/>
                  <w:sz w:val="24"/>
                </w:rPr>
                <w:t>t</w:t>
              </w:r>
              <w:r>
                <w:rPr>
                  <w:rFonts w:ascii="Calibri" w:eastAsia="Calibri"/>
                  <w:sz w:val="24"/>
                </w:rPr>
                <w:t>e</w:t>
              </w:r>
              <w:r>
                <w:rPr>
                  <w:rFonts w:ascii="Calibri" w:eastAsia="Calibri"/>
                  <w:spacing w:val="-24"/>
                  <w:sz w:val="24"/>
                </w:rPr>
                <w:t>r</w:t>
              </w:r>
              <w:r>
                <w:rPr>
                  <w:rFonts w:ascii="Calibri" w:eastAsia="Calibri"/>
                  <w:sz w:val="24"/>
                </w:rPr>
                <w:t>.o</w:t>
              </w:r>
              <w:r>
                <w:rPr>
                  <w:rFonts w:ascii="Calibri" w:eastAsia="Calibri"/>
                  <w:spacing w:val="-4"/>
                  <w:sz w:val="24"/>
                </w:rPr>
                <w:t>r</w:t>
              </w:r>
              <w:r>
                <w:rPr>
                  <w:rFonts w:ascii="Calibri" w:eastAsia="Calibri"/>
                  <w:spacing w:val="-1"/>
                  <w:sz w:val="24"/>
                </w:rPr>
                <w:t>g</w:t>
              </w:r>
              <w:r>
                <w:rPr>
                  <w:rFonts w:ascii="Calibri" w:eastAsia="Calibri"/>
                  <w:spacing w:val="-5"/>
                  <w:sz w:val="24"/>
                </w:rPr>
                <w:t>.</w:t>
              </w:r>
              <w:r>
                <w:rPr>
                  <w:rFonts w:ascii="Calibri" w:eastAsia="Calibri"/>
                  <w:sz w:val="24"/>
                </w:rPr>
                <w:t>tw</w:t>
              </w:r>
              <w:r>
                <w:rPr>
                  <w:rFonts w:ascii="Calibri" w:eastAsia="Calibri"/>
                  <w:spacing w:val="-1"/>
                  <w:sz w:val="24"/>
                </w:rPr>
                <w:t>/</w:t>
              </w:r>
            </w:hyperlink>
            <w:r>
              <w:rPr>
                <w:spacing w:val="-120"/>
                <w:sz w:val="24"/>
              </w:rPr>
              <w:t>）</w:t>
            </w:r>
            <w:r>
              <w:rPr>
                <w:sz w:val="24"/>
              </w:rPr>
              <w:t>。</w:t>
            </w:r>
          </w:p>
        </w:tc>
      </w:tr>
      <w:tr>
        <w:trPr>
          <w:trHeight w:val="446" w:hRule="atLeast"/>
        </w:trPr>
        <w:tc>
          <w:tcPr>
            <w:tcW w:w="9326" w:type="dxa"/>
            <w:gridSpan w:val="4"/>
          </w:tcPr>
          <w:p>
            <w:pPr>
              <w:pStyle w:val="TableParagraph"/>
              <w:spacing w:before="55"/>
              <w:ind w:left="-1"/>
              <w:rPr>
                <w:b/>
                <w:sz w:val="24"/>
              </w:rPr>
            </w:pPr>
            <w:r>
              <w:rPr>
                <w:b/>
                <w:sz w:val="24"/>
              </w:rPr>
              <w:t>（一）基本資料</w:t>
            </w:r>
          </w:p>
        </w:tc>
      </w:tr>
      <w:tr>
        <w:trPr>
          <w:trHeight w:val="624" w:hRule="atLeast"/>
        </w:trPr>
        <w:tc>
          <w:tcPr>
            <w:tcW w:w="2726" w:type="dxa"/>
          </w:tcPr>
          <w:p>
            <w:pPr>
              <w:pStyle w:val="TableParagraph"/>
              <w:spacing w:line="312" w:lineRule="exact"/>
              <w:ind w:left="107" w:right="-29"/>
              <w:rPr>
                <w:sz w:val="24"/>
              </w:rPr>
            </w:pPr>
            <w:r>
              <w:rPr>
                <w:rFonts w:ascii="Calibri" w:hAnsi="Calibri" w:eastAsia="Calibri"/>
                <w:sz w:val="24"/>
              </w:rPr>
              <w:t>11‐1</w:t>
            </w:r>
            <w:r>
              <w:rPr>
                <w:rFonts w:ascii="Calibri" w:hAnsi="Calibri" w:eastAsia="Calibri"/>
                <w:spacing w:val="32"/>
                <w:sz w:val="24"/>
              </w:rPr>
              <w:t> </w:t>
            </w:r>
            <w:r>
              <w:rPr>
                <w:spacing w:val="14"/>
                <w:sz w:val="24"/>
              </w:rPr>
              <w:t>程序參與期程或時</w:t>
            </w:r>
          </w:p>
          <w:p>
            <w:pPr>
              <w:pStyle w:val="TableParagraph"/>
              <w:spacing w:line="293" w:lineRule="exact"/>
              <w:ind w:left="707"/>
              <w:rPr>
                <w:sz w:val="24"/>
              </w:rPr>
            </w:pPr>
            <w:r>
              <w:rPr>
                <w:sz w:val="24"/>
              </w:rPr>
              <w:t>間</w:t>
            </w:r>
          </w:p>
        </w:tc>
        <w:tc>
          <w:tcPr>
            <w:tcW w:w="6600" w:type="dxa"/>
            <w:gridSpan w:val="3"/>
          </w:tcPr>
          <w:p>
            <w:pPr>
              <w:pStyle w:val="TableParagraph"/>
              <w:tabs>
                <w:tab w:pos="1566" w:val="left" w:leader="none"/>
                <w:tab w:pos="4098" w:val="left" w:leader="none"/>
              </w:tabs>
              <w:spacing w:before="143"/>
              <w:ind w:left="480"/>
              <w:rPr>
                <w:sz w:val="24"/>
              </w:rPr>
            </w:pPr>
            <w:r>
              <w:rPr>
                <w:rFonts w:ascii="Calibri" w:eastAsia="Calibri"/>
                <w:spacing w:val="-1"/>
                <w:sz w:val="24"/>
              </w:rPr>
              <w:t>105</w:t>
            </w:r>
            <w:r>
              <w:rPr>
                <w:rFonts w:ascii="Calibri" w:eastAsia="Calibri"/>
                <w:spacing w:val="5"/>
                <w:sz w:val="24"/>
              </w:rPr>
              <w:t> </w:t>
            </w:r>
            <w:r>
              <w:rPr>
                <w:sz w:val="24"/>
              </w:rPr>
              <w:t>年</w:t>
            </w:r>
            <w:r>
              <w:rPr>
                <w:spacing w:val="-60"/>
                <w:sz w:val="24"/>
              </w:rPr>
              <w:t> </w:t>
            </w:r>
            <w:r>
              <w:rPr>
                <w:rFonts w:ascii="Calibri" w:eastAsia="Calibri"/>
                <w:sz w:val="24"/>
              </w:rPr>
              <w:t>9</w:t>
              <w:tab/>
            </w:r>
            <w:r>
              <w:rPr>
                <w:spacing w:val="-1"/>
                <w:sz w:val="24"/>
              </w:rPr>
              <w:t>月</w:t>
            </w:r>
            <w:r>
              <w:rPr>
                <w:spacing w:val="-60"/>
                <w:sz w:val="24"/>
              </w:rPr>
              <w:t> </w:t>
            </w:r>
            <w:r>
              <w:rPr>
                <w:rFonts w:ascii="Calibri" w:eastAsia="Calibri"/>
                <w:spacing w:val="-1"/>
                <w:sz w:val="24"/>
              </w:rPr>
              <w:t>26</w:t>
            </w:r>
            <w:r>
              <w:rPr>
                <w:rFonts w:ascii="Calibri" w:eastAsia="Calibri"/>
                <w:spacing w:val="64"/>
                <w:sz w:val="24"/>
              </w:rPr>
              <w:t> </w:t>
            </w:r>
            <w:r>
              <w:rPr>
                <w:sz w:val="24"/>
              </w:rPr>
              <w:t>日至</w:t>
            </w:r>
            <w:r>
              <w:rPr>
                <w:spacing w:val="1"/>
                <w:sz w:val="24"/>
              </w:rPr>
              <w:t> </w:t>
            </w:r>
            <w:r>
              <w:rPr>
                <w:rFonts w:ascii="Calibri" w:eastAsia="Calibri"/>
                <w:sz w:val="24"/>
              </w:rPr>
              <w:t>105</w:t>
            </w:r>
            <w:r>
              <w:rPr>
                <w:rFonts w:ascii="Calibri" w:eastAsia="Calibri"/>
                <w:spacing w:val="64"/>
                <w:sz w:val="24"/>
              </w:rPr>
              <w:t> </w:t>
            </w:r>
            <w:r>
              <w:rPr>
                <w:sz w:val="24"/>
              </w:rPr>
              <w:t>年</w:t>
            </w:r>
            <w:r>
              <w:rPr>
                <w:spacing w:val="-60"/>
                <w:sz w:val="24"/>
              </w:rPr>
              <w:t> </w:t>
            </w:r>
            <w:r>
              <w:rPr>
                <w:rFonts w:ascii="Calibri" w:eastAsia="Calibri"/>
                <w:sz w:val="24"/>
              </w:rPr>
              <w:t>10</w:t>
              <w:tab/>
            </w:r>
            <w:r>
              <w:rPr>
                <w:sz w:val="24"/>
              </w:rPr>
              <w:t>月</w:t>
            </w:r>
            <w:r>
              <w:rPr>
                <w:spacing w:val="-60"/>
                <w:sz w:val="24"/>
              </w:rPr>
              <w:t> </w:t>
            </w:r>
            <w:r>
              <w:rPr>
                <w:rFonts w:ascii="Calibri" w:eastAsia="Calibri"/>
                <w:sz w:val="24"/>
              </w:rPr>
              <w:t>2</w:t>
            </w:r>
            <w:r>
              <w:rPr>
                <w:rFonts w:ascii="Calibri" w:eastAsia="Calibri"/>
                <w:spacing w:val="12"/>
                <w:sz w:val="24"/>
              </w:rPr>
              <w:t> </w:t>
            </w:r>
            <w:r>
              <w:rPr>
                <w:sz w:val="24"/>
              </w:rPr>
              <w:t>日</w:t>
            </w:r>
          </w:p>
        </w:tc>
      </w:tr>
      <w:tr>
        <w:trPr>
          <w:trHeight w:val="936" w:hRule="atLeast"/>
        </w:trPr>
        <w:tc>
          <w:tcPr>
            <w:tcW w:w="2726" w:type="dxa"/>
          </w:tcPr>
          <w:p>
            <w:pPr>
              <w:pStyle w:val="TableParagraph"/>
              <w:spacing w:line="223" w:lineRule="auto" w:before="4"/>
              <w:ind w:left="707" w:right="-29" w:hanging="600"/>
              <w:rPr>
                <w:sz w:val="24"/>
              </w:rPr>
            </w:pPr>
            <w:r>
              <w:rPr>
                <w:rFonts w:ascii="Calibri" w:hAnsi="Calibri" w:eastAsia="Calibri"/>
                <w:sz w:val="24"/>
              </w:rPr>
              <w:t>11‐2</w:t>
            </w:r>
            <w:r>
              <w:rPr>
                <w:rFonts w:ascii="Calibri" w:hAnsi="Calibri" w:eastAsia="Calibri"/>
                <w:spacing w:val="11"/>
                <w:sz w:val="24"/>
              </w:rPr>
              <w:t> </w:t>
            </w:r>
            <w:r>
              <w:rPr>
                <w:spacing w:val="24"/>
                <w:sz w:val="24"/>
              </w:rPr>
              <w:t>參與者姓名、 職</w:t>
            </w:r>
            <w:r>
              <w:rPr>
                <w:spacing w:val="12"/>
                <w:sz w:val="24"/>
              </w:rPr>
              <w:t>稱、服務單位及其</w:t>
            </w:r>
          </w:p>
          <w:p>
            <w:pPr>
              <w:pStyle w:val="TableParagraph"/>
              <w:spacing w:line="288" w:lineRule="exact"/>
              <w:ind w:left="707"/>
              <w:rPr>
                <w:sz w:val="24"/>
              </w:rPr>
            </w:pPr>
            <w:r>
              <w:rPr>
                <w:sz w:val="24"/>
              </w:rPr>
              <w:t>專長領域</w:t>
            </w:r>
          </w:p>
        </w:tc>
        <w:tc>
          <w:tcPr>
            <w:tcW w:w="6600" w:type="dxa"/>
            <w:gridSpan w:val="3"/>
          </w:tcPr>
          <w:p>
            <w:pPr>
              <w:pStyle w:val="TableParagraph"/>
              <w:spacing w:line="323" w:lineRule="exact"/>
              <w:rPr>
                <w:b/>
                <w:sz w:val="24"/>
              </w:rPr>
            </w:pPr>
            <w:r>
              <w:rPr>
                <w:b/>
                <w:sz w:val="24"/>
              </w:rPr>
              <w:t>○○○</w:t>
            </w:r>
          </w:p>
        </w:tc>
      </w:tr>
      <w:tr>
        <w:trPr>
          <w:trHeight w:val="445" w:hRule="atLeast"/>
        </w:trPr>
        <w:tc>
          <w:tcPr>
            <w:tcW w:w="2726" w:type="dxa"/>
          </w:tcPr>
          <w:p>
            <w:pPr>
              <w:pStyle w:val="TableParagraph"/>
              <w:spacing w:before="53"/>
              <w:ind w:left="107"/>
              <w:rPr>
                <w:sz w:val="24"/>
              </w:rPr>
            </w:pPr>
            <w:r>
              <w:rPr>
                <w:rFonts w:ascii="Calibri" w:hAnsi="Calibri" w:eastAsia="Calibri"/>
                <w:sz w:val="24"/>
              </w:rPr>
              <w:t>11‐3</w:t>
            </w:r>
            <w:r>
              <w:rPr>
                <w:rFonts w:ascii="Calibri" w:hAnsi="Calibri" w:eastAsia="Calibri"/>
                <w:spacing w:val="4"/>
                <w:sz w:val="24"/>
              </w:rPr>
              <w:t> </w:t>
            </w:r>
            <w:r>
              <w:rPr>
                <w:sz w:val="24"/>
              </w:rPr>
              <w:t>參與方式</w:t>
            </w:r>
          </w:p>
        </w:tc>
        <w:tc>
          <w:tcPr>
            <w:tcW w:w="6600" w:type="dxa"/>
            <w:gridSpan w:val="3"/>
          </w:tcPr>
          <w:p>
            <w:pPr>
              <w:pStyle w:val="TableParagraph"/>
              <w:tabs>
                <w:tab w:pos="1825" w:val="left" w:leader="none"/>
                <w:tab w:pos="4130" w:val="left" w:leader="none"/>
              </w:tabs>
              <w:spacing w:line="323" w:lineRule="exact"/>
              <w:rPr>
                <w:sz w:val="24"/>
              </w:rPr>
            </w:pPr>
            <w:r>
              <w:rPr>
                <w:rFonts w:ascii="Arial" w:hAnsi="Arial" w:eastAsia="Arial"/>
                <w:sz w:val="24"/>
              </w:rPr>
              <w:t>□</w:t>
            </w:r>
            <w:r>
              <w:rPr>
                <w:sz w:val="24"/>
              </w:rPr>
              <w:t>法案研商會議</w:t>
              <w:tab/>
            </w:r>
            <w:r>
              <w:rPr>
                <w:rFonts w:ascii="Arial" w:hAnsi="Arial" w:eastAsia="Arial"/>
                <w:sz w:val="24"/>
              </w:rPr>
              <w:t>□</w:t>
            </w:r>
            <w:r>
              <w:rPr>
                <w:sz w:val="24"/>
              </w:rPr>
              <w:t>性別平等專案小組</w:t>
              <w:tab/>
            </w:r>
            <w:r>
              <w:rPr>
                <w:rFonts w:ascii="Times New Roman" w:hAnsi="Times New Roman" w:eastAsia="Times New Roman"/>
                <w:sz w:val="24"/>
              </w:rPr>
              <w:t>√</w:t>
            </w:r>
            <w:r>
              <w:rPr>
                <w:sz w:val="24"/>
              </w:rPr>
              <w:t>書面意見</w:t>
            </w:r>
          </w:p>
        </w:tc>
      </w:tr>
      <w:tr>
        <w:trPr>
          <w:trHeight w:val="311" w:hRule="atLeast"/>
        </w:trPr>
        <w:tc>
          <w:tcPr>
            <w:tcW w:w="2726" w:type="dxa"/>
            <w:vMerge w:val="restart"/>
          </w:tcPr>
          <w:p>
            <w:pPr>
              <w:pStyle w:val="TableParagraph"/>
              <w:rPr>
                <w:b/>
                <w:sz w:val="24"/>
              </w:rPr>
            </w:pPr>
          </w:p>
          <w:p>
            <w:pPr>
              <w:pStyle w:val="TableParagraph"/>
              <w:spacing w:before="5"/>
              <w:rPr>
                <w:b/>
                <w:sz w:val="21"/>
              </w:rPr>
            </w:pPr>
          </w:p>
          <w:p>
            <w:pPr>
              <w:pStyle w:val="TableParagraph"/>
              <w:spacing w:line="223" w:lineRule="auto"/>
              <w:ind w:left="707" w:right="-29" w:hanging="600"/>
              <w:rPr>
                <w:sz w:val="24"/>
              </w:rPr>
            </w:pPr>
            <w:r>
              <w:rPr>
                <w:rFonts w:ascii="Calibri" w:hAnsi="Calibri" w:eastAsia="Calibri"/>
                <w:sz w:val="24"/>
              </w:rPr>
              <w:t>11‐4</w:t>
            </w:r>
            <w:r>
              <w:rPr>
                <w:rFonts w:ascii="Calibri" w:hAnsi="Calibri" w:eastAsia="Calibri"/>
                <w:spacing w:val="32"/>
                <w:sz w:val="24"/>
              </w:rPr>
              <w:t> </w:t>
            </w:r>
            <w:r>
              <w:rPr>
                <w:spacing w:val="14"/>
                <w:sz w:val="24"/>
              </w:rPr>
              <w:t>業務單位所提供之</w:t>
            </w:r>
            <w:r>
              <w:rPr>
                <w:sz w:val="24"/>
              </w:rPr>
              <w:t>資料</w:t>
            </w:r>
          </w:p>
        </w:tc>
        <w:tc>
          <w:tcPr>
            <w:tcW w:w="3948" w:type="dxa"/>
            <w:gridSpan w:val="2"/>
          </w:tcPr>
          <w:p>
            <w:pPr>
              <w:pStyle w:val="TableParagraph"/>
              <w:spacing w:line="292" w:lineRule="exact"/>
              <w:rPr>
                <w:sz w:val="24"/>
              </w:rPr>
            </w:pPr>
            <w:r>
              <w:rPr>
                <w:sz w:val="24"/>
              </w:rPr>
              <w:t>相關性別統計資料</w:t>
            </w:r>
          </w:p>
        </w:tc>
        <w:tc>
          <w:tcPr>
            <w:tcW w:w="2652" w:type="dxa"/>
          </w:tcPr>
          <w:p>
            <w:pPr>
              <w:pStyle w:val="TableParagraph"/>
              <w:spacing w:line="292" w:lineRule="exact"/>
              <w:rPr>
                <w:sz w:val="24"/>
              </w:rPr>
            </w:pPr>
            <w:r>
              <w:rPr>
                <w:sz w:val="24"/>
              </w:rPr>
              <w:t>法案內容</w:t>
            </w:r>
          </w:p>
        </w:tc>
      </w:tr>
      <w:tr>
        <w:trPr>
          <w:trHeight w:val="1562" w:hRule="atLeast"/>
        </w:trPr>
        <w:tc>
          <w:tcPr>
            <w:tcW w:w="2726" w:type="dxa"/>
            <w:vMerge/>
            <w:tcBorders>
              <w:top w:val="nil"/>
            </w:tcBorders>
          </w:tcPr>
          <w:p>
            <w:pPr>
              <w:rPr>
                <w:sz w:val="2"/>
                <w:szCs w:val="2"/>
              </w:rPr>
            </w:pPr>
          </w:p>
        </w:tc>
        <w:tc>
          <w:tcPr>
            <w:tcW w:w="3948" w:type="dxa"/>
            <w:gridSpan w:val="2"/>
          </w:tcPr>
          <w:p>
            <w:pPr>
              <w:pStyle w:val="TableParagraph"/>
              <w:spacing w:line="312" w:lineRule="exact"/>
              <w:ind w:left="108"/>
              <w:rPr>
                <w:sz w:val="24"/>
              </w:rPr>
            </w:pPr>
            <w:r>
              <w:rPr>
                <w:rFonts w:ascii="Calibri" w:hAnsi="Calibri" w:eastAsia="Calibri"/>
                <w:sz w:val="24"/>
              </w:rPr>
              <w:t>□</w:t>
            </w:r>
            <w:r>
              <w:rPr>
                <w:spacing w:val="59"/>
                <w:sz w:val="24"/>
              </w:rPr>
              <w:t>有 </w:t>
            </w:r>
            <w:r>
              <w:rPr>
                <w:rFonts w:ascii="Calibri" w:hAnsi="Calibri" w:eastAsia="Calibri"/>
                <w:sz w:val="24"/>
              </w:rPr>
              <w:t>□</w:t>
            </w:r>
            <w:r>
              <w:rPr>
                <w:sz w:val="24"/>
              </w:rPr>
              <w:t>很完整</w:t>
            </w:r>
          </w:p>
          <w:p>
            <w:pPr>
              <w:pStyle w:val="TableParagraph"/>
              <w:spacing w:line="313" w:lineRule="exact"/>
              <w:ind w:left="843"/>
              <w:rPr>
                <w:sz w:val="24"/>
              </w:rPr>
            </w:pPr>
            <w:r>
              <w:rPr>
                <w:rFonts w:ascii="Calibri" w:hAnsi="Calibri" w:eastAsia="Calibri"/>
                <w:sz w:val="24"/>
              </w:rPr>
              <w:t>□</w:t>
            </w:r>
            <w:r>
              <w:rPr>
                <w:sz w:val="24"/>
              </w:rPr>
              <w:t>可更完整</w:t>
            </w:r>
          </w:p>
          <w:p>
            <w:pPr>
              <w:pStyle w:val="TableParagraph"/>
              <w:spacing w:line="312" w:lineRule="exact"/>
              <w:ind w:left="840"/>
              <w:rPr>
                <w:sz w:val="24"/>
              </w:rPr>
            </w:pPr>
            <w:r>
              <w:rPr>
                <w:rFonts w:ascii="Calibri" w:hAnsi="Calibri" w:eastAsia="Calibri"/>
                <w:sz w:val="24"/>
              </w:rPr>
              <w:t>□</w:t>
            </w:r>
            <w:r>
              <w:rPr>
                <w:sz w:val="24"/>
              </w:rPr>
              <w:t>現有資料不足須設法 補足</w:t>
            </w:r>
          </w:p>
          <w:p>
            <w:pPr>
              <w:pStyle w:val="TableParagraph"/>
              <w:tabs>
                <w:tab w:pos="830" w:val="left" w:leader="none"/>
              </w:tabs>
              <w:spacing w:line="313" w:lineRule="exact"/>
              <w:ind w:left="98"/>
              <w:rPr>
                <w:sz w:val="24"/>
              </w:rPr>
            </w:pPr>
            <w:r>
              <w:rPr>
                <w:rFonts w:ascii="Times New Roman" w:hAnsi="Times New Roman" w:eastAsia="Times New Roman"/>
                <w:sz w:val="24"/>
              </w:rPr>
              <w:t>√</w:t>
            </w:r>
            <w:r>
              <w:rPr>
                <w:sz w:val="24"/>
              </w:rPr>
              <w:t>無</w:t>
              <w:tab/>
            </w:r>
            <w:r>
              <w:rPr>
                <w:rFonts w:ascii="Times New Roman" w:hAnsi="Times New Roman" w:eastAsia="Times New Roman"/>
                <w:sz w:val="24"/>
              </w:rPr>
              <w:t>√</w:t>
            </w:r>
            <w:r>
              <w:rPr>
                <w:sz w:val="24"/>
              </w:rPr>
              <w:t>未來應可設法找尋</w:t>
            </w:r>
          </w:p>
          <w:p>
            <w:pPr>
              <w:pStyle w:val="TableParagraph"/>
              <w:spacing w:line="293" w:lineRule="exact"/>
              <w:ind w:left="824"/>
              <w:rPr>
                <w:sz w:val="24"/>
              </w:rPr>
            </w:pPr>
            <w:r>
              <w:rPr>
                <w:rFonts w:ascii="Calibri" w:hAnsi="Calibri" w:eastAsia="Calibri"/>
                <w:sz w:val="24"/>
              </w:rPr>
              <w:t>□</w:t>
            </w:r>
            <w:r>
              <w:rPr>
                <w:sz w:val="24"/>
              </w:rPr>
              <w:t>現狀與未來皆有困難</w:t>
            </w:r>
          </w:p>
        </w:tc>
        <w:tc>
          <w:tcPr>
            <w:tcW w:w="2652" w:type="dxa"/>
          </w:tcPr>
          <w:p>
            <w:pPr>
              <w:pStyle w:val="TableParagraph"/>
              <w:spacing w:line="312" w:lineRule="exact"/>
              <w:rPr>
                <w:sz w:val="24"/>
              </w:rPr>
            </w:pPr>
            <w:r>
              <w:rPr>
                <w:rFonts w:ascii="Times New Roman" w:hAnsi="Times New Roman" w:eastAsia="Times New Roman"/>
                <w:sz w:val="24"/>
              </w:rPr>
              <w:t>√</w:t>
            </w:r>
            <w:r>
              <w:rPr>
                <w:sz w:val="24"/>
              </w:rPr>
              <w:t>有，</w:t>
            </w:r>
          </w:p>
          <w:p>
            <w:pPr>
              <w:pStyle w:val="TableParagraph"/>
              <w:spacing w:line="313" w:lineRule="exact"/>
              <w:ind w:left="240"/>
              <w:rPr>
                <w:sz w:val="24"/>
              </w:rPr>
            </w:pPr>
            <w:r>
              <w:rPr>
                <w:sz w:val="24"/>
              </w:rPr>
              <w:t>且具性別觀點</w:t>
            </w:r>
          </w:p>
          <w:p>
            <w:pPr>
              <w:pStyle w:val="TableParagraph"/>
              <w:spacing w:line="313" w:lineRule="exact"/>
              <w:rPr>
                <w:sz w:val="24"/>
              </w:rPr>
            </w:pPr>
            <w:r>
              <w:rPr>
                <w:rFonts w:ascii="Calibri" w:hAnsi="Calibri" w:eastAsia="Calibri"/>
                <w:sz w:val="24"/>
              </w:rPr>
              <w:t>□</w:t>
            </w:r>
            <w:r>
              <w:rPr>
                <w:sz w:val="24"/>
              </w:rPr>
              <w:t>有，</w:t>
            </w:r>
          </w:p>
          <w:p>
            <w:pPr>
              <w:pStyle w:val="TableParagraph"/>
              <w:spacing w:line="312" w:lineRule="exact"/>
              <w:ind w:left="240"/>
              <w:rPr>
                <w:sz w:val="24"/>
              </w:rPr>
            </w:pPr>
            <w:r>
              <w:rPr>
                <w:sz w:val="24"/>
              </w:rPr>
              <w:t>但不具性別觀點</w:t>
            </w:r>
          </w:p>
          <w:p>
            <w:pPr>
              <w:pStyle w:val="TableParagraph"/>
              <w:spacing w:line="293" w:lineRule="exact"/>
              <w:rPr>
                <w:sz w:val="24"/>
              </w:rPr>
            </w:pPr>
            <w:r>
              <w:rPr>
                <w:rFonts w:ascii="Calibri" w:hAnsi="Calibri" w:eastAsia="Calibri"/>
                <w:sz w:val="24"/>
              </w:rPr>
              <w:t>□</w:t>
            </w:r>
            <w:r>
              <w:rPr>
                <w:sz w:val="24"/>
              </w:rPr>
              <w:t>無</w:t>
            </w:r>
          </w:p>
        </w:tc>
      </w:tr>
      <w:tr>
        <w:trPr>
          <w:trHeight w:val="1250" w:hRule="atLeast"/>
        </w:trPr>
        <w:tc>
          <w:tcPr>
            <w:tcW w:w="2726" w:type="dxa"/>
          </w:tcPr>
          <w:p>
            <w:pPr>
              <w:pStyle w:val="TableParagraph"/>
              <w:spacing w:before="10"/>
              <w:rPr>
                <w:b/>
                <w:sz w:val="22"/>
              </w:rPr>
            </w:pPr>
          </w:p>
          <w:p>
            <w:pPr>
              <w:pStyle w:val="TableParagraph"/>
              <w:spacing w:line="223" w:lineRule="auto"/>
              <w:ind w:left="707" w:right="-29" w:hanging="600"/>
              <w:rPr>
                <w:sz w:val="24"/>
              </w:rPr>
            </w:pPr>
            <w:r>
              <w:rPr>
                <w:rFonts w:ascii="Calibri" w:hAnsi="Calibri" w:eastAsia="Calibri"/>
                <w:sz w:val="24"/>
              </w:rPr>
              <w:t>11‐5</w:t>
            </w:r>
            <w:r>
              <w:rPr>
                <w:rFonts w:ascii="Calibri" w:hAnsi="Calibri" w:eastAsia="Calibri"/>
                <w:spacing w:val="32"/>
                <w:sz w:val="24"/>
              </w:rPr>
              <w:t> </w:t>
            </w:r>
            <w:r>
              <w:rPr>
                <w:spacing w:val="14"/>
                <w:sz w:val="24"/>
              </w:rPr>
              <w:t>法案與性別議題關</w:t>
            </w:r>
            <w:r>
              <w:rPr>
                <w:sz w:val="24"/>
              </w:rPr>
              <w:t>聯之程度</w:t>
            </w:r>
          </w:p>
        </w:tc>
        <w:tc>
          <w:tcPr>
            <w:tcW w:w="6600" w:type="dxa"/>
            <w:gridSpan w:val="3"/>
          </w:tcPr>
          <w:p>
            <w:pPr>
              <w:pStyle w:val="TableParagraph"/>
              <w:tabs>
                <w:tab w:pos="1825" w:val="left" w:leader="none"/>
              </w:tabs>
              <w:spacing w:line="312" w:lineRule="exact"/>
              <w:rPr>
                <w:sz w:val="24"/>
              </w:rPr>
            </w:pPr>
            <w:r>
              <w:rPr>
                <w:rFonts w:ascii="Calibri" w:hAnsi="Calibri" w:eastAsia="Calibri"/>
                <w:sz w:val="24"/>
              </w:rPr>
              <w:t>□</w:t>
            </w:r>
            <w:r>
              <w:rPr>
                <w:sz w:val="24"/>
              </w:rPr>
              <w:t>有關</w:t>
              <w:tab/>
            </w:r>
            <w:r>
              <w:rPr>
                <w:rFonts w:ascii="Arial" w:hAnsi="Arial" w:eastAsia="Arial"/>
                <w:sz w:val="24"/>
              </w:rPr>
              <w:t>■</w:t>
            </w:r>
            <w:r>
              <w:rPr>
                <w:sz w:val="24"/>
              </w:rPr>
              <w:t>無關</w:t>
            </w:r>
          </w:p>
          <w:p>
            <w:pPr>
              <w:pStyle w:val="TableParagraph"/>
              <w:spacing w:line="223" w:lineRule="auto" w:before="5"/>
              <w:ind w:right="-8"/>
              <w:rPr>
                <w:rFonts w:ascii="Calibri" w:hAnsi="Calibri" w:eastAsia="Calibri"/>
                <w:b/>
                <w:sz w:val="24"/>
              </w:rPr>
            </w:pPr>
            <w:r>
              <w:rPr>
                <w:b/>
                <w:sz w:val="24"/>
              </w:rPr>
              <w:t>（若性別平等專家學者認為第一部分「捌、</w:t>
            </w:r>
            <w:r>
              <w:rPr>
                <w:rFonts w:ascii="Calibri" w:hAnsi="Calibri" w:eastAsia="Calibri"/>
                <w:b/>
                <w:sz w:val="24"/>
              </w:rPr>
              <w:t>8‐1</w:t>
            </w:r>
            <w:r>
              <w:rPr>
                <w:rFonts w:ascii="Calibri" w:hAnsi="Calibri" w:eastAsia="Calibri"/>
                <w:b/>
                <w:spacing w:val="2"/>
                <w:sz w:val="24"/>
              </w:rPr>
              <w:t> </w:t>
            </w:r>
            <w:r>
              <w:rPr>
                <w:b/>
                <w:sz w:val="24"/>
              </w:rPr>
              <w:t>規範對象」</w:t>
            </w:r>
            <w:r>
              <w:rPr>
                <w:rFonts w:ascii="Calibri" w:hAnsi="Calibri" w:eastAsia="Calibri"/>
                <w:b/>
                <w:sz w:val="24"/>
              </w:rPr>
              <w:t>8‐1‐</w:t>
            </w:r>
            <w:r>
              <w:rPr>
                <w:rFonts w:ascii="Calibri" w:hAnsi="Calibri" w:eastAsia="Calibri"/>
                <w:b/>
                <w:spacing w:val="-52"/>
                <w:sz w:val="24"/>
              </w:rPr>
              <w:t> </w:t>
            </w:r>
            <w:r>
              <w:rPr>
                <w:rFonts w:ascii="Calibri" w:hAnsi="Calibri" w:eastAsia="Calibri"/>
                <w:b/>
                <w:sz w:val="24"/>
              </w:rPr>
              <w:t>1</w:t>
            </w:r>
            <w:r>
              <w:rPr>
                <w:rFonts w:ascii="Calibri" w:hAnsi="Calibri" w:eastAsia="Calibri"/>
                <w:b/>
                <w:spacing w:val="34"/>
                <w:sz w:val="24"/>
              </w:rPr>
              <w:t> </w:t>
            </w:r>
            <w:r>
              <w:rPr>
                <w:b/>
                <w:spacing w:val="-15"/>
                <w:sz w:val="24"/>
              </w:rPr>
              <w:t>至 </w:t>
            </w:r>
            <w:r>
              <w:rPr>
                <w:rFonts w:ascii="Calibri" w:hAnsi="Calibri" w:eastAsia="Calibri"/>
                <w:b/>
                <w:sz w:val="24"/>
              </w:rPr>
              <w:t>8‐1‐3</w:t>
            </w:r>
            <w:r>
              <w:rPr>
                <w:rFonts w:ascii="Calibri" w:hAnsi="Calibri" w:eastAsia="Calibri"/>
                <w:b/>
                <w:spacing w:val="35"/>
                <w:sz w:val="24"/>
              </w:rPr>
              <w:t> </w:t>
            </w:r>
            <w:r>
              <w:rPr>
                <w:b/>
                <w:spacing w:val="-8"/>
                <w:sz w:val="24"/>
              </w:rPr>
              <w:t>任一指標應評定為「是」者，則勾選「有關」；若 </w:t>
            </w:r>
            <w:r>
              <w:rPr>
                <w:rFonts w:ascii="Calibri" w:hAnsi="Calibri" w:eastAsia="Calibri"/>
                <w:b/>
                <w:sz w:val="24"/>
              </w:rPr>
              <w:t>8‐</w:t>
            </w:r>
          </w:p>
          <w:p>
            <w:pPr>
              <w:pStyle w:val="TableParagraph"/>
              <w:spacing w:line="288" w:lineRule="exact"/>
              <w:rPr>
                <w:b/>
                <w:sz w:val="24"/>
              </w:rPr>
            </w:pPr>
            <w:r>
              <w:rPr>
                <w:rFonts w:ascii="Calibri" w:hAnsi="Calibri" w:eastAsia="Calibri"/>
                <w:b/>
                <w:w w:val="95"/>
                <w:sz w:val="24"/>
              </w:rPr>
              <w:t>1‐1</w:t>
            </w:r>
            <w:r>
              <w:rPr>
                <w:rFonts w:ascii="Calibri" w:hAnsi="Calibri" w:eastAsia="Calibri"/>
                <w:b/>
                <w:spacing w:val="44"/>
                <w:w w:val="95"/>
                <w:sz w:val="24"/>
              </w:rPr>
              <w:t> </w:t>
            </w:r>
            <w:r>
              <w:rPr>
                <w:b/>
                <w:spacing w:val="-9"/>
                <w:w w:val="95"/>
                <w:sz w:val="24"/>
              </w:rPr>
              <w:t>至 </w:t>
            </w:r>
            <w:r>
              <w:rPr>
                <w:rFonts w:ascii="Calibri" w:hAnsi="Calibri" w:eastAsia="Calibri"/>
                <w:b/>
                <w:w w:val="95"/>
                <w:sz w:val="24"/>
              </w:rPr>
              <w:t>8‐1‐3</w:t>
            </w:r>
            <w:r>
              <w:rPr>
                <w:rFonts w:ascii="Calibri" w:hAnsi="Calibri" w:eastAsia="Calibri"/>
                <w:b/>
                <w:spacing w:val="45"/>
                <w:w w:val="95"/>
                <w:sz w:val="24"/>
              </w:rPr>
              <w:t> </w:t>
            </w:r>
            <w:r>
              <w:rPr>
                <w:b/>
                <w:spacing w:val="-8"/>
                <w:w w:val="95"/>
                <w:sz w:val="24"/>
              </w:rPr>
              <w:t>均可評定「否」者，則勾選「無關」</w:t>
            </w:r>
            <w:r>
              <w:rPr>
                <w:b/>
                <w:spacing w:val="-119"/>
                <w:w w:val="95"/>
                <w:sz w:val="24"/>
              </w:rPr>
              <w:t>）</w:t>
            </w:r>
            <w:r>
              <w:rPr>
                <w:b/>
                <w:w w:val="95"/>
                <w:sz w:val="24"/>
              </w:rPr>
              <w:t>。</w:t>
            </w:r>
          </w:p>
        </w:tc>
      </w:tr>
      <w:tr>
        <w:trPr>
          <w:trHeight w:val="445" w:hRule="atLeast"/>
        </w:trPr>
        <w:tc>
          <w:tcPr>
            <w:tcW w:w="9326" w:type="dxa"/>
            <w:gridSpan w:val="4"/>
          </w:tcPr>
          <w:p>
            <w:pPr>
              <w:pStyle w:val="TableParagraph"/>
              <w:spacing w:line="323" w:lineRule="exact"/>
              <w:ind w:left="-1"/>
              <w:rPr>
                <w:b/>
                <w:sz w:val="24"/>
              </w:rPr>
            </w:pPr>
            <w:r>
              <w:rPr>
                <w:b/>
                <w:sz w:val="24"/>
              </w:rPr>
              <w:t>（二）主要意見：就前述各項之合宜性提出檢視意見，並提供綜合意見</w:t>
            </w:r>
          </w:p>
        </w:tc>
      </w:tr>
      <w:tr>
        <w:trPr>
          <w:trHeight w:val="2159" w:hRule="atLeast"/>
        </w:trPr>
        <w:tc>
          <w:tcPr>
            <w:tcW w:w="3794" w:type="dxa"/>
            <w:gridSpan w:val="2"/>
          </w:tcPr>
          <w:p>
            <w:pPr>
              <w:pStyle w:val="TableParagraph"/>
              <w:spacing w:before="35"/>
              <w:ind w:left="107"/>
              <w:rPr>
                <w:b/>
                <w:sz w:val="24"/>
              </w:rPr>
            </w:pPr>
            <w:r>
              <w:rPr>
                <w:rFonts w:ascii="Calibri" w:hAnsi="Calibri" w:eastAsia="Calibri"/>
                <w:b/>
                <w:sz w:val="24"/>
              </w:rPr>
              <w:t>11‐6</w:t>
            </w:r>
            <w:r>
              <w:rPr>
                <w:rFonts w:ascii="Calibri" w:hAnsi="Calibri" w:eastAsia="Calibri"/>
                <w:b/>
                <w:spacing w:val="2"/>
                <w:sz w:val="24"/>
              </w:rPr>
              <w:t> </w:t>
            </w:r>
            <w:r>
              <w:rPr>
                <w:b/>
                <w:sz w:val="24"/>
              </w:rPr>
              <w:t>性別統計及性別分析之合宜性</w:t>
            </w:r>
          </w:p>
        </w:tc>
        <w:tc>
          <w:tcPr>
            <w:tcW w:w="5532" w:type="dxa"/>
            <w:gridSpan w:val="2"/>
          </w:tcPr>
          <w:p>
            <w:pPr>
              <w:pStyle w:val="TableParagraph"/>
              <w:spacing w:line="360" w:lineRule="atLeast"/>
              <w:ind w:right="-29"/>
              <w:jc w:val="both"/>
              <w:rPr>
                <w:sz w:val="24"/>
              </w:rPr>
            </w:pPr>
            <w:r>
              <w:rPr>
                <w:sz w:val="24"/>
              </w:rPr>
              <w:t>本修正案仍未施行，目前未有具體統計，惟為使法案之施行，能落實性別平等，建議先以目前保障法適用範圍之性別統計作為基礎，雖然為被動救濟，但性別與事由分析，或仍能提供未來執行上之參考，特別是</w:t>
            </w:r>
            <w:r>
              <w:rPr>
                <w:spacing w:val="11"/>
                <w:sz w:val="24"/>
              </w:rPr>
              <w:t>留職停薪者之性別比例與事由，未來施行後再行統</w:t>
            </w:r>
            <w:r>
              <w:rPr>
                <w:sz w:val="24"/>
              </w:rPr>
              <w:t>計，以了解其修法之效益。</w:t>
            </w:r>
          </w:p>
        </w:tc>
      </w:tr>
      <w:tr>
        <w:trPr>
          <w:trHeight w:val="719" w:hRule="atLeast"/>
        </w:trPr>
        <w:tc>
          <w:tcPr>
            <w:tcW w:w="3794" w:type="dxa"/>
            <w:gridSpan w:val="2"/>
          </w:tcPr>
          <w:p>
            <w:pPr>
              <w:pStyle w:val="TableParagraph"/>
              <w:spacing w:before="35"/>
              <w:ind w:left="107"/>
              <w:rPr>
                <w:b/>
                <w:sz w:val="24"/>
              </w:rPr>
            </w:pPr>
            <w:r>
              <w:rPr>
                <w:rFonts w:ascii="Calibri" w:hAnsi="Calibri" w:eastAsia="Calibri"/>
                <w:b/>
                <w:sz w:val="24"/>
              </w:rPr>
              <w:t>11‐7</w:t>
            </w:r>
            <w:r>
              <w:rPr>
                <w:rFonts w:ascii="Calibri" w:hAnsi="Calibri" w:eastAsia="Calibri"/>
                <w:b/>
                <w:spacing w:val="2"/>
                <w:sz w:val="24"/>
              </w:rPr>
              <w:t> </w:t>
            </w:r>
            <w:r>
              <w:rPr>
                <w:b/>
                <w:sz w:val="24"/>
              </w:rPr>
              <w:t>正當程序中性別參與之合宜性</w:t>
            </w:r>
          </w:p>
        </w:tc>
        <w:tc>
          <w:tcPr>
            <w:tcW w:w="5532" w:type="dxa"/>
            <w:gridSpan w:val="2"/>
          </w:tcPr>
          <w:p>
            <w:pPr>
              <w:pStyle w:val="TableParagraph"/>
              <w:spacing w:line="360" w:lineRule="atLeast"/>
              <w:ind w:right="-15"/>
              <w:rPr>
                <w:sz w:val="24"/>
              </w:rPr>
            </w:pPr>
            <w:r>
              <w:rPr>
                <w:sz w:val="24"/>
              </w:rPr>
              <w:t>本修正案主要為將程序明確化，且擴大保障對象，以書面資料提供審查，並有詳細的修法說明，合宜。</w:t>
            </w:r>
          </w:p>
        </w:tc>
      </w:tr>
      <w:tr>
        <w:trPr>
          <w:trHeight w:val="359" w:hRule="atLeast"/>
        </w:trPr>
        <w:tc>
          <w:tcPr>
            <w:tcW w:w="3794" w:type="dxa"/>
            <w:gridSpan w:val="2"/>
          </w:tcPr>
          <w:p>
            <w:pPr>
              <w:pStyle w:val="TableParagraph"/>
              <w:spacing w:line="304" w:lineRule="exact" w:before="36"/>
              <w:ind w:left="107"/>
              <w:rPr>
                <w:b/>
                <w:sz w:val="24"/>
              </w:rPr>
            </w:pPr>
            <w:r>
              <w:rPr>
                <w:rFonts w:ascii="Calibri" w:hAnsi="Calibri" w:eastAsia="Calibri"/>
                <w:b/>
                <w:sz w:val="24"/>
              </w:rPr>
              <w:t>11‐8</w:t>
            </w:r>
            <w:r>
              <w:rPr>
                <w:rFonts w:ascii="Calibri" w:hAnsi="Calibri" w:eastAsia="Calibri"/>
                <w:b/>
                <w:spacing w:val="4"/>
                <w:sz w:val="24"/>
              </w:rPr>
              <w:t> </w:t>
            </w:r>
            <w:r>
              <w:rPr>
                <w:b/>
                <w:sz w:val="24"/>
              </w:rPr>
              <w:t>性別目標之合宜性</w:t>
            </w:r>
          </w:p>
        </w:tc>
        <w:tc>
          <w:tcPr>
            <w:tcW w:w="5532" w:type="dxa"/>
            <w:gridSpan w:val="2"/>
          </w:tcPr>
          <w:p>
            <w:pPr>
              <w:pStyle w:val="TableParagraph"/>
              <w:spacing w:line="304" w:lineRule="exact" w:before="36"/>
              <w:rPr>
                <w:sz w:val="24"/>
              </w:rPr>
            </w:pPr>
            <w:r>
              <w:rPr>
                <w:sz w:val="24"/>
              </w:rPr>
              <w:t>以擴大保障範圍為目標，並無區分性別，合宜。</w:t>
            </w:r>
          </w:p>
        </w:tc>
      </w:tr>
      <w:tr>
        <w:trPr>
          <w:trHeight w:val="719" w:hRule="atLeast"/>
        </w:trPr>
        <w:tc>
          <w:tcPr>
            <w:tcW w:w="3794" w:type="dxa"/>
            <w:gridSpan w:val="2"/>
          </w:tcPr>
          <w:p>
            <w:pPr>
              <w:pStyle w:val="TableParagraph"/>
              <w:spacing w:before="35"/>
              <w:ind w:left="107"/>
              <w:rPr>
                <w:b/>
                <w:sz w:val="24"/>
              </w:rPr>
            </w:pPr>
            <w:r>
              <w:rPr>
                <w:rFonts w:ascii="Calibri" w:hAnsi="Calibri" w:eastAsia="Calibri"/>
                <w:b/>
                <w:sz w:val="24"/>
              </w:rPr>
              <w:t>11‐9</w:t>
            </w:r>
            <w:r>
              <w:rPr>
                <w:rFonts w:ascii="Calibri" w:hAnsi="Calibri" w:eastAsia="Calibri"/>
                <w:b/>
                <w:spacing w:val="3"/>
                <w:sz w:val="24"/>
              </w:rPr>
              <w:t> </w:t>
            </w:r>
            <w:r>
              <w:rPr>
                <w:b/>
                <w:sz w:val="24"/>
              </w:rPr>
              <w:t>性別效益說明之合宜性</w:t>
            </w:r>
          </w:p>
        </w:tc>
        <w:tc>
          <w:tcPr>
            <w:tcW w:w="5532" w:type="dxa"/>
            <w:gridSpan w:val="2"/>
          </w:tcPr>
          <w:p>
            <w:pPr>
              <w:pStyle w:val="TableParagraph"/>
              <w:spacing w:line="360" w:lineRule="atLeast"/>
              <w:ind w:right="-15"/>
              <w:rPr>
                <w:sz w:val="24"/>
              </w:rPr>
            </w:pPr>
            <w:r>
              <w:rPr>
                <w:spacing w:val="2"/>
                <w:sz w:val="24"/>
              </w:rPr>
              <w:t>本草案無區分性別，亦符合 </w:t>
            </w:r>
            <w:r>
              <w:rPr>
                <w:rFonts w:ascii="Calibri" w:eastAsia="Calibri"/>
                <w:sz w:val="24"/>
              </w:rPr>
              <w:t>Cedaw</w:t>
            </w:r>
            <w:r>
              <w:rPr>
                <w:rFonts w:ascii="Calibri" w:eastAsia="Calibri"/>
                <w:spacing w:val="40"/>
                <w:sz w:val="24"/>
              </w:rPr>
              <w:t> </w:t>
            </w:r>
            <w:r>
              <w:rPr>
                <w:sz w:val="24"/>
              </w:rPr>
              <w:t>等相關公約之規定，合宜。</w:t>
            </w:r>
          </w:p>
        </w:tc>
      </w:tr>
      <w:tr>
        <w:trPr>
          <w:trHeight w:val="1079" w:hRule="atLeast"/>
        </w:trPr>
        <w:tc>
          <w:tcPr>
            <w:tcW w:w="3794" w:type="dxa"/>
            <w:gridSpan w:val="2"/>
          </w:tcPr>
          <w:p>
            <w:pPr>
              <w:pStyle w:val="TableParagraph"/>
              <w:spacing w:before="35"/>
              <w:ind w:left="107"/>
              <w:rPr>
                <w:b/>
                <w:sz w:val="24"/>
              </w:rPr>
            </w:pPr>
            <w:r>
              <w:rPr>
                <w:rFonts w:ascii="Calibri" w:hAnsi="Calibri" w:eastAsia="Calibri"/>
                <w:b/>
                <w:sz w:val="24"/>
              </w:rPr>
              <w:t>11‐10</w:t>
            </w:r>
            <w:r>
              <w:rPr>
                <w:rFonts w:ascii="Calibri" w:hAnsi="Calibri" w:eastAsia="Calibri"/>
                <w:b/>
                <w:spacing w:val="3"/>
                <w:sz w:val="24"/>
              </w:rPr>
              <w:t> </w:t>
            </w:r>
            <w:r>
              <w:rPr>
                <w:b/>
                <w:sz w:val="24"/>
              </w:rPr>
              <w:t>綜合性檢視意見</w:t>
            </w:r>
          </w:p>
        </w:tc>
        <w:tc>
          <w:tcPr>
            <w:tcW w:w="5532" w:type="dxa"/>
            <w:gridSpan w:val="2"/>
          </w:tcPr>
          <w:p>
            <w:pPr>
              <w:pStyle w:val="TableParagraph"/>
              <w:spacing w:line="360" w:lineRule="atLeast"/>
              <w:ind w:right="-15"/>
              <w:jc w:val="both"/>
              <w:rPr>
                <w:sz w:val="24"/>
              </w:rPr>
            </w:pPr>
            <w:r>
              <w:rPr>
                <w:sz w:val="24"/>
              </w:rPr>
              <w:t>本草案目標明確，特別是針對實務爭議問題及保障不足部分，提出修正；惟目前性別統計分析部分效未見具體說明，未來修正施行後，建議進行比較研究。</w:t>
            </w:r>
          </w:p>
        </w:tc>
      </w:tr>
      <w:tr>
        <w:trPr>
          <w:trHeight w:val="359" w:hRule="atLeast"/>
        </w:trPr>
        <w:tc>
          <w:tcPr>
            <w:tcW w:w="3794" w:type="dxa"/>
            <w:gridSpan w:val="2"/>
          </w:tcPr>
          <w:p>
            <w:pPr>
              <w:pStyle w:val="TableParagraph"/>
              <w:spacing w:line="304" w:lineRule="exact" w:before="36"/>
              <w:ind w:left="-1"/>
              <w:rPr>
                <w:b/>
                <w:sz w:val="24"/>
              </w:rPr>
            </w:pPr>
            <w:r>
              <w:rPr>
                <w:b/>
                <w:sz w:val="24"/>
              </w:rPr>
              <w:t>（三）參與時機及方式之合宜性</w:t>
            </w:r>
          </w:p>
        </w:tc>
        <w:tc>
          <w:tcPr>
            <w:tcW w:w="5532" w:type="dxa"/>
            <w:gridSpan w:val="2"/>
          </w:tcPr>
          <w:p>
            <w:pPr>
              <w:pStyle w:val="TableParagraph"/>
              <w:spacing w:line="304" w:lineRule="exact" w:before="36"/>
              <w:rPr>
                <w:sz w:val="24"/>
              </w:rPr>
            </w:pPr>
            <w:r>
              <w:rPr>
                <w:sz w:val="24"/>
              </w:rPr>
              <w:t>給予充分時間審查，草案說明資料亦完整，合宜。</w:t>
            </w:r>
          </w:p>
        </w:tc>
      </w:tr>
      <w:tr>
        <w:trPr>
          <w:trHeight w:val="624" w:hRule="atLeast"/>
        </w:trPr>
        <w:tc>
          <w:tcPr>
            <w:tcW w:w="9326" w:type="dxa"/>
            <w:gridSpan w:val="4"/>
            <w:tcBorders>
              <w:bottom w:val="thickThinMediumGap" w:sz="12" w:space="0" w:color="000000"/>
            </w:tcBorders>
          </w:tcPr>
          <w:p>
            <w:pPr>
              <w:pStyle w:val="TableParagraph"/>
              <w:spacing w:line="312" w:lineRule="exact"/>
              <w:ind w:left="-1"/>
              <w:rPr>
                <w:b/>
                <w:sz w:val="24"/>
              </w:rPr>
            </w:pPr>
            <w:r>
              <w:rPr>
                <w:b/>
                <w:w w:val="95"/>
                <w:sz w:val="24"/>
              </w:rPr>
              <w:t>本人同意恪遵保密義務，未經部會同意不得逕自對外公開所評估之法案。</w:t>
            </w:r>
          </w:p>
          <w:p>
            <w:pPr>
              <w:pStyle w:val="TableParagraph"/>
              <w:tabs>
                <w:tab w:pos="3603" w:val="left" w:leader="none"/>
                <w:tab w:pos="4804" w:val="left" w:leader="none"/>
              </w:tabs>
              <w:spacing w:line="293" w:lineRule="exact"/>
              <w:ind w:left="-1"/>
              <w:rPr>
                <w:rFonts w:ascii="Times New Roman" w:hAnsi="Times New Roman" w:eastAsia="Times New Roman"/>
                <w:b/>
                <w:sz w:val="24"/>
              </w:rPr>
            </w:pPr>
            <w:r>
              <w:rPr>
                <w:b/>
                <w:sz w:val="24"/>
              </w:rPr>
              <w:t>（簽章，簽名或打字皆可）</w:t>
            </w:r>
            <w:r>
              <w:rPr>
                <w:rFonts w:ascii="Times New Roman" w:hAnsi="Times New Roman" w:eastAsia="Times New Roman"/>
                <w:b/>
                <w:sz w:val="24"/>
                <w:u w:val="single"/>
              </w:rPr>
              <w:tab/>
            </w:r>
            <w:r>
              <w:rPr>
                <w:b/>
                <w:sz w:val="24"/>
              </w:rPr>
              <w:t>○○○</w:t>
            </w:r>
            <w:r>
              <w:rPr>
                <w:rFonts w:ascii="Times New Roman" w:hAnsi="Times New Roman" w:eastAsia="Times New Roman"/>
                <w:b/>
                <w:sz w:val="24"/>
                <w:u w:val="single"/>
              </w:rPr>
              <w:t> </w:t>
              <w:tab/>
            </w:r>
          </w:p>
        </w:tc>
      </w:tr>
    </w:tbl>
    <w:p>
      <w:pPr>
        <w:spacing w:after="0" w:line="293" w:lineRule="exact"/>
        <w:rPr>
          <w:rFonts w:ascii="Times New Roman" w:hAnsi="Times New Roman" w:eastAsia="Times New Roman"/>
          <w:sz w:val="24"/>
        </w:rPr>
        <w:sectPr>
          <w:pgSz w:w="11910" w:h="16840"/>
          <w:pgMar w:header="0" w:footer="918" w:top="1240" w:bottom="1100" w:left="880" w:right="900"/>
        </w:sectPr>
      </w:pPr>
    </w:p>
    <w:p>
      <w:pPr>
        <w:pStyle w:val="BodyText"/>
        <w:spacing w:line="223" w:lineRule="auto" w:before="58"/>
        <w:ind w:left="1181" w:right="400" w:hanging="360"/>
        <w:jc w:val="both"/>
      </w:pPr>
      <w:r>
        <w:rPr>
          <w:rFonts w:ascii="新細明體" w:hAnsi="新細明體" w:eastAsia="新細明體" w:hint="eastAsia"/>
          <w:spacing w:val="27"/>
        </w:rPr>
        <w:t>＊ </w:t>
      </w:r>
      <w:r>
        <w:rPr/>
        <w:t>第一部分「捌、</w:t>
      </w:r>
      <w:r>
        <w:rPr>
          <w:rFonts w:ascii="Calibri" w:hAnsi="Calibri" w:eastAsia="Calibri"/>
        </w:rPr>
        <w:t>8‐1</w:t>
      </w:r>
      <w:r>
        <w:rPr>
          <w:rFonts w:ascii="Calibri" w:hAnsi="Calibri" w:eastAsia="Calibri"/>
          <w:spacing w:val="6"/>
        </w:rPr>
        <w:t> </w:t>
      </w:r>
      <w:r>
        <w:rPr/>
        <w:t>規範對象」</w:t>
      </w:r>
      <w:r>
        <w:rPr>
          <w:rFonts w:ascii="Calibri" w:hAnsi="Calibri" w:eastAsia="Calibri"/>
        </w:rPr>
        <w:t>8‐1‐1</w:t>
      </w:r>
      <w:r>
        <w:rPr>
          <w:rFonts w:ascii="Calibri" w:hAnsi="Calibri" w:eastAsia="Calibri"/>
          <w:spacing w:val="5"/>
        </w:rPr>
        <w:t> </w:t>
      </w:r>
      <w:r>
        <w:rPr>
          <w:spacing w:val="-3"/>
        </w:rPr>
        <w:t>至 </w:t>
      </w:r>
      <w:r>
        <w:rPr>
          <w:rFonts w:ascii="Calibri" w:hAnsi="Calibri" w:eastAsia="Calibri"/>
        </w:rPr>
        <w:t>8‐1‐3</w:t>
      </w:r>
      <w:r>
        <w:rPr>
          <w:rFonts w:ascii="Calibri" w:hAnsi="Calibri" w:eastAsia="Calibri"/>
          <w:spacing w:val="5"/>
        </w:rPr>
        <w:t> </w:t>
      </w:r>
      <w:r>
        <w:rPr/>
        <w:t>皆評定為「否」者，若經程序參與後，</w:t>
      </w:r>
      <w:r>
        <w:rPr>
          <w:rFonts w:ascii="Calibri" w:hAnsi="Calibri" w:eastAsia="Calibri"/>
        </w:rPr>
        <w:t>11‐5</w:t>
      </w:r>
      <w:r>
        <w:rPr/>
        <w:t>「法案與性別議題關聯之程度」評定為「有關」者，則需修正列第一部分「捌、</w:t>
      </w:r>
      <w:r>
        <w:rPr>
          <w:rFonts w:ascii="Calibri" w:hAnsi="Calibri" w:eastAsia="Calibri"/>
        </w:rPr>
        <w:t>8‐1</w:t>
      </w:r>
      <w:r>
        <w:rPr>
          <w:rFonts w:ascii="Calibri" w:hAnsi="Calibri" w:eastAsia="Calibri"/>
          <w:spacing w:val="28"/>
        </w:rPr>
        <w:t> </w:t>
      </w:r>
      <w:r>
        <w:rPr>
          <w:spacing w:val="-12"/>
        </w:rPr>
        <w:t>規範對象」，並補填列「捌、</w:t>
      </w:r>
      <w:r>
        <w:rPr>
          <w:rFonts w:ascii="Calibri" w:hAnsi="Calibri" w:eastAsia="Calibri"/>
        </w:rPr>
        <w:t>8‐2</w:t>
      </w:r>
      <w:r>
        <w:rPr>
          <w:rFonts w:ascii="Calibri" w:hAnsi="Calibri" w:eastAsia="Calibri"/>
          <w:spacing w:val="28"/>
        </w:rPr>
        <w:t> </w:t>
      </w:r>
      <w:r>
        <w:rPr/>
        <w:t>性別目標、</w:t>
      </w:r>
      <w:r>
        <w:rPr>
          <w:rFonts w:ascii="Calibri" w:hAnsi="Calibri" w:eastAsia="Calibri"/>
        </w:rPr>
        <w:t>8‐3</w:t>
      </w:r>
      <w:r>
        <w:rPr>
          <w:rFonts w:ascii="Calibri" w:hAnsi="Calibri" w:eastAsia="Calibri"/>
          <w:spacing w:val="28"/>
        </w:rPr>
        <w:t> </w:t>
      </w:r>
      <w:r>
        <w:rPr/>
        <w:t>性別效益」及「玖、</w:t>
      </w:r>
      <w:r>
        <w:rPr>
          <w:spacing w:val="-20"/>
        </w:rPr>
        <w:t>評估結果」。</w:t>
      </w:r>
    </w:p>
    <w:p>
      <w:pPr>
        <w:pStyle w:val="BodyText"/>
        <w:spacing w:line="309" w:lineRule="exact"/>
        <w:ind w:left="821"/>
        <w:jc w:val="both"/>
      </w:pPr>
      <w:r>
        <w:rPr>
          <w:rFonts w:ascii="新細明體" w:eastAsia="新細明體" w:hint="eastAsia"/>
          <w:spacing w:val="27"/>
        </w:rPr>
        <w:t>＊ </w:t>
      </w:r>
      <w:r>
        <w:rPr>
          <w:spacing w:val="-4"/>
        </w:rPr>
        <w:t>本表所提專有名詞之定義及參考資料，請詳見「性別影響評估操作指南」</w:t>
      </w:r>
      <w:r>
        <w:rPr/>
        <w:t>（網址：</w:t>
      </w:r>
    </w:p>
    <w:p>
      <w:pPr>
        <w:pStyle w:val="BodyText"/>
        <w:spacing w:line="324" w:lineRule="exact"/>
        <w:ind w:left="1181"/>
      </w:pPr>
      <w:hyperlink r:id="rId7">
        <w:r>
          <w:rPr>
            <w:rFonts w:ascii="Calibri" w:eastAsia="Calibri"/>
          </w:rPr>
          <w:t>http://www.gec.ey.gov.tw/cp.aspx?n=FC0CD59A5BF00232</w:t>
        </w:r>
      </w:hyperlink>
      <w:r>
        <w:rPr/>
        <w:t>）</w:t>
      </w:r>
    </w:p>
    <w:sectPr>
      <w:pgSz w:w="11910" w:h="16840"/>
      <w:pgMar w:header="0" w:footer="918" w:top="1540" w:bottom="1180" w:left="8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標楷體">
    <w:altName w:val="標楷體"/>
    <w:charset w:val="88"/>
    <w:family w:val="script"/>
    <w:pitch w:val="fixed"/>
  </w:font>
  <w:font w:name="Arial">
    <w:altName w:val="Arial"/>
    <w:charset w:val="0"/>
    <w:family w:val="swiss"/>
    <w:pitch w:val="variable"/>
  </w:font>
  <w:font w:name="新細明體">
    <w:altName w:val="新細明體"/>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296.639252pt;margin-top:781.084717pt;width:16.2pt;height:12.05pt;mso-position-horizontal-relative:page;mso-position-vertical-relative:page;z-index:-16585216" type="#_x0000_t202" filled="false" stroked="false">
          <v:textbox inset="0,0,0,0">
            <w:txbxContent>
              <w:p>
                <w:pPr>
                  <w:spacing w:line="224"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950" w:hanging="241"/>
      </w:pPr>
      <w:rPr>
        <w:rFonts w:hint="default" w:ascii="新細明體" w:hAnsi="新細明體" w:eastAsia="新細明體" w:cs="新細明體"/>
        <w:w w:val="100"/>
        <w:sz w:val="22"/>
        <w:szCs w:val="22"/>
      </w:rPr>
    </w:lvl>
    <w:lvl w:ilvl="1">
      <w:start w:val="0"/>
      <w:numFmt w:val="bullet"/>
      <w:lvlText w:val="•"/>
      <w:lvlJc w:val="left"/>
      <w:pPr>
        <w:ind w:left="3646" w:hanging="241"/>
      </w:pPr>
      <w:rPr>
        <w:rFonts w:hint="default"/>
      </w:rPr>
    </w:lvl>
    <w:lvl w:ilvl="2">
      <w:start w:val="0"/>
      <w:numFmt w:val="bullet"/>
      <w:lvlText w:val="•"/>
      <w:lvlJc w:val="left"/>
      <w:pPr>
        <w:ind w:left="4332" w:hanging="241"/>
      </w:pPr>
      <w:rPr>
        <w:rFonts w:hint="default"/>
      </w:rPr>
    </w:lvl>
    <w:lvl w:ilvl="3">
      <w:start w:val="0"/>
      <w:numFmt w:val="bullet"/>
      <w:lvlText w:val="•"/>
      <w:lvlJc w:val="left"/>
      <w:pPr>
        <w:ind w:left="5018" w:hanging="241"/>
      </w:pPr>
      <w:rPr>
        <w:rFonts w:hint="default"/>
      </w:rPr>
    </w:lvl>
    <w:lvl w:ilvl="4">
      <w:start w:val="0"/>
      <w:numFmt w:val="bullet"/>
      <w:lvlText w:val="•"/>
      <w:lvlJc w:val="left"/>
      <w:pPr>
        <w:ind w:left="5705" w:hanging="241"/>
      </w:pPr>
      <w:rPr>
        <w:rFonts w:hint="default"/>
      </w:rPr>
    </w:lvl>
    <w:lvl w:ilvl="5">
      <w:start w:val="0"/>
      <w:numFmt w:val="bullet"/>
      <w:lvlText w:val="•"/>
      <w:lvlJc w:val="left"/>
      <w:pPr>
        <w:ind w:left="6391" w:hanging="241"/>
      </w:pPr>
      <w:rPr>
        <w:rFonts w:hint="default"/>
      </w:rPr>
    </w:lvl>
    <w:lvl w:ilvl="6">
      <w:start w:val="0"/>
      <w:numFmt w:val="bullet"/>
      <w:lvlText w:val="•"/>
      <w:lvlJc w:val="left"/>
      <w:pPr>
        <w:ind w:left="7077" w:hanging="241"/>
      </w:pPr>
      <w:rPr>
        <w:rFonts w:hint="default"/>
      </w:rPr>
    </w:lvl>
    <w:lvl w:ilvl="7">
      <w:start w:val="0"/>
      <w:numFmt w:val="bullet"/>
      <w:lvlText w:val="•"/>
      <w:lvlJc w:val="left"/>
      <w:pPr>
        <w:ind w:left="7764" w:hanging="241"/>
      </w:pPr>
      <w:rPr>
        <w:rFonts w:hint="default"/>
      </w:rPr>
    </w:lvl>
    <w:lvl w:ilvl="8">
      <w:start w:val="0"/>
      <w:numFmt w:val="bullet"/>
      <w:lvlText w:val="•"/>
      <w:lvlJc w:val="left"/>
      <w:pPr>
        <w:ind w:left="8450" w:hanging="241"/>
      </w:pPr>
      <w:rPr>
        <w:rFonts w:hint="default"/>
      </w:rPr>
    </w:lvl>
  </w:abstractNum>
  <w:abstractNum w:abstractNumId="4">
    <w:multiLevelType w:val="hybridMultilevel"/>
    <w:lvl w:ilvl="0">
      <w:start w:val="1"/>
      <w:numFmt w:val="decimal"/>
      <w:lvlText w:val="（%1）"/>
      <w:lvlJc w:val="left"/>
      <w:pPr>
        <w:ind w:left="359" w:hanging="603"/>
        <w:jc w:val="left"/>
      </w:pPr>
      <w:rPr>
        <w:rFonts w:hint="default" w:ascii="標楷體" w:hAnsi="標楷體" w:eastAsia="標楷體" w:cs="標楷體"/>
        <w:spacing w:val="-1"/>
        <w:w w:val="100"/>
        <w:sz w:val="22"/>
        <w:szCs w:val="22"/>
      </w:rPr>
    </w:lvl>
    <w:lvl w:ilvl="1">
      <w:start w:val="0"/>
      <w:numFmt w:val="bullet"/>
      <w:lvlText w:val="•"/>
      <w:lvlJc w:val="left"/>
      <w:pPr>
        <w:ind w:left="1307" w:hanging="603"/>
      </w:pPr>
      <w:rPr>
        <w:rFonts w:hint="default"/>
      </w:rPr>
    </w:lvl>
    <w:lvl w:ilvl="2">
      <w:start w:val="0"/>
      <w:numFmt w:val="bullet"/>
      <w:lvlText w:val="•"/>
      <w:lvlJc w:val="left"/>
      <w:pPr>
        <w:ind w:left="2254" w:hanging="603"/>
      </w:pPr>
      <w:rPr>
        <w:rFonts w:hint="default"/>
      </w:rPr>
    </w:lvl>
    <w:lvl w:ilvl="3">
      <w:start w:val="0"/>
      <w:numFmt w:val="bullet"/>
      <w:lvlText w:val="•"/>
      <w:lvlJc w:val="left"/>
      <w:pPr>
        <w:ind w:left="3201" w:hanging="603"/>
      </w:pPr>
      <w:rPr>
        <w:rFonts w:hint="default"/>
      </w:rPr>
    </w:lvl>
    <w:lvl w:ilvl="4">
      <w:start w:val="0"/>
      <w:numFmt w:val="bullet"/>
      <w:lvlText w:val="•"/>
      <w:lvlJc w:val="left"/>
      <w:pPr>
        <w:ind w:left="4148" w:hanging="603"/>
      </w:pPr>
      <w:rPr>
        <w:rFonts w:hint="default"/>
      </w:rPr>
    </w:lvl>
    <w:lvl w:ilvl="5">
      <w:start w:val="0"/>
      <w:numFmt w:val="bullet"/>
      <w:lvlText w:val="•"/>
      <w:lvlJc w:val="left"/>
      <w:pPr>
        <w:ind w:left="5095" w:hanging="603"/>
      </w:pPr>
      <w:rPr>
        <w:rFonts w:hint="default"/>
      </w:rPr>
    </w:lvl>
    <w:lvl w:ilvl="6">
      <w:start w:val="0"/>
      <w:numFmt w:val="bullet"/>
      <w:lvlText w:val="•"/>
      <w:lvlJc w:val="left"/>
      <w:pPr>
        <w:ind w:left="6042" w:hanging="603"/>
      </w:pPr>
      <w:rPr>
        <w:rFonts w:hint="default"/>
      </w:rPr>
    </w:lvl>
    <w:lvl w:ilvl="7">
      <w:start w:val="0"/>
      <w:numFmt w:val="bullet"/>
      <w:lvlText w:val="•"/>
      <w:lvlJc w:val="left"/>
      <w:pPr>
        <w:ind w:left="6989" w:hanging="603"/>
      </w:pPr>
      <w:rPr>
        <w:rFonts w:hint="default"/>
      </w:rPr>
    </w:lvl>
    <w:lvl w:ilvl="8">
      <w:start w:val="0"/>
      <w:numFmt w:val="bullet"/>
      <w:lvlText w:val="•"/>
      <w:lvlJc w:val="left"/>
      <w:pPr>
        <w:ind w:left="7936" w:hanging="603"/>
      </w:pPr>
      <w:rPr>
        <w:rFonts w:hint="default"/>
      </w:rPr>
    </w:lvl>
  </w:abstractNum>
  <w:abstractNum w:abstractNumId="3">
    <w:multiLevelType w:val="hybridMultilevel"/>
    <w:lvl w:ilvl="0">
      <w:start w:val="1"/>
      <w:numFmt w:val="decimal"/>
      <w:lvlText w:val="%1."/>
      <w:lvlJc w:val="left"/>
      <w:pPr>
        <w:ind w:left="170" w:hanging="196"/>
        <w:jc w:val="left"/>
      </w:pPr>
      <w:rPr>
        <w:rFonts w:hint="default" w:ascii="Calibri" w:hAnsi="Calibri" w:eastAsia="Calibri" w:cs="Calibri"/>
        <w:spacing w:val="-1"/>
        <w:w w:val="100"/>
        <w:sz w:val="22"/>
        <w:szCs w:val="22"/>
      </w:rPr>
    </w:lvl>
    <w:lvl w:ilvl="1">
      <w:start w:val="0"/>
      <w:numFmt w:val="bullet"/>
      <w:lvlText w:val="•"/>
      <w:lvlJc w:val="left"/>
      <w:pPr>
        <w:ind w:left="494" w:hanging="196"/>
      </w:pPr>
      <w:rPr>
        <w:rFonts w:hint="default"/>
      </w:rPr>
    </w:lvl>
    <w:lvl w:ilvl="2">
      <w:start w:val="0"/>
      <w:numFmt w:val="bullet"/>
      <w:lvlText w:val="•"/>
      <w:lvlJc w:val="left"/>
      <w:pPr>
        <w:ind w:left="808" w:hanging="196"/>
      </w:pPr>
      <w:rPr>
        <w:rFonts w:hint="default"/>
      </w:rPr>
    </w:lvl>
    <w:lvl w:ilvl="3">
      <w:start w:val="0"/>
      <w:numFmt w:val="bullet"/>
      <w:lvlText w:val="•"/>
      <w:lvlJc w:val="left"/>
      <w:pPr>
        <w:ind w:left="1122" w:hanging="196"/>
      </w:pPr>
      <w:rPr>
        <w:rFonts w:hint="default"/>
      </w:rPr>
    </w:lvl>
    <w:lvl w:ilvl="4">
      <w:start w:val="0"/>
      <w:numFmt w:val="bullet"/>
      <w:lvlText w:val="•"/>
      <w:lvlJc w:val="left"/>
      <w:pPr>
        <w:ind w:left="1436" w:hanging="196"/>
      </w:pPr>
      <w:rPr>
        <w:rFonts w:hint="default"/>
      </w:rPr>
    </w:lvl>
    <w:lvl w:ilvl="5">
      <w:start w:val="0"/>
      <w:numFmt w:val="bullet"/>
      <w:lvlText w:val="•"/>
      <w:lvlJc w:val="left"/>
      <w:pPr>
        <w:ind w:left="1750" w:hanging="196"/>
      </w:pPr>
      <w:rPr>
        <w:rFonts w:hint="default"/>
      </w:rPr>
    </w:lvl>
    <w:lvl w:ilvl="6">
      <w:start w:val="0"/>
      <w:numFmt w:val="bullet"/>
      <w:lvlText w:val="•"/>
      <w:lvlJc w:val="left"/>
      <w:pPr>
        <w:ind w:left="2064" w:hanging="196"/>
      </w:pPr>
      <w:rPr>
        <w:rFonts w:hint="default"/>
      </w:rPr>
    </w:lvl>
    <w:lvl w:ilvl="7">
      <w:start w:val="0"/>
      <w:numFmt w:val="bullet"/>
      <w:lvlText w:val="•"/>
      <w:lvlJc w:val="left"/>
      <w:pPr>
        <w:ind w:left="2378" w:hanging="196"/>
      </w:pPr>
      <w:rPr>
        <w:rFonts w:hint="default"/>
      </w:rPr>
    </w:lvl>
    <w:lvl w:ilvl="8">
      <w:start w:val="0"/>
      <w:numFmt w:val="bullet"/>
      <w:lvlText w:val="•"/>
      <w:lvlJc w:val="left"/>
      <w:pPr>
        <w:ind w:left="2692" w:hanging="196"/>
      </w:pPr>
      <w:rPr>
        <w:rFonts w:hint="default"/>
      </w:rPr>
    </w:lvl>
  </w:abstractNum>
  <w:abstractNum w:abstractNumId="2">
    <w:multiLevelType w:val="hybridMultilevel"/>
    <w:lvl w:ilvl="0">
      <w:start w:val="1"/>
      <w:numFmt w:val="decimal"/>
      <w:lvlText w:val="%1."/>
      <w:lvlJc w:val="left"/>
      <w:pPr>
        <w:ind w:left="450" w:hanging="360"/>
        <w:jc w:val="left"/>
      </w:pPr>
      <w:rPr>
        <w:rFonts w:hint="default" w:ascii="Calibri" w:hAnsi="Calibri" w:eastAsia="Calibri" w:cs="Calibri"/>
        <w:spacing w:val="-1"/>
        <w:w w:val="100"/>
        <w:sz w:val="24"/>
        <w:szCs w:val="24"/>
      </w:rPr>
    </w:lvl>
    <w:lvl w:ilvl="1">
      <w:start w:val="0"/>
      <w:numFmt w:val="bullet"/>
      <w:lvlText w:val="•"/>
      <w:lvlJc w:val="left"/>
      <w:pPr>
        <w:ind w:left="746" w:hanging="360"/>
      </w:pPr>
      <w:rPr>
        <w:rFonts w:hint="default"/>
      </w:rPr>
    </w:lvl>
    <w:lvl w:ilvl="2">
      <w:start w:val="0"/>
      <w:numFmt w:val="bullet"/>
      <w:lvlText w:val="•"/>
      <w:lvlJc w:val="left"/>
      <w:pPr>
        <w:ind w:left="1032" w:hanging="360"/>
      </w:pPr>
      <w:rPr>
        <w:rFonts w:hint="default"/>
      </w:rPr>
    </w:lvl>
    <w:lvl w:ilvl="3">
      <w:start w:val="0"/>
      <w:numFmt w:val="bullet"/>
      <w:lvlText w:val="•"/>
      <w:lvlJc w:val="left"/>
      <w:pPr>
        <w:ind w:left="1318" w:hanging="360"/>
      </w:pPr>
      <w:rPr>
        <w:rFonts w:hint="default"/>
      </w:rPr>
    </w:lvl>
    <w:lvl w:ilvl="4">
      <w:start w:val="0"/>
      <w:numFmt w:val="bullet"/>
      <w:lvlText w:val="•"/>
      <w:lvlJc w:val="left"/>
      <w:pPr>
        <w:ind w:left="1604" w:hanging="360"/>
      </w:pPr>
      <w:rPr>
        <w:rFonts w:hint="default"/>
      </w:rPr>
    </w:lvl>
    <w:lvl w:ilvl="5">
      <w:start w:val="0"/>
      <w:numFmt w:val="bullet"/>
      <w:lvlText w:val="•"/>
      <w:lvlJc w:val="left"/>
      <w:pPr>
        <w:ind w:left="1890" w:hanging="360"/>
      </w:pPr>
      <w:rPr>
        <w:rFonts w:hint="default"/>
      </w:rPr>
    </w:lvl>
    <w:lvl w:ilvl="6">
      <w:start w:val="0"/>
      <w:numFmt w:val="bullet"/>
      <w:lvlText w:val="•"/>
      <w:lvlJc w:val="left"/>
      <w:pPr>
        <w:ind w:left="2176" w:hanging="360"/>
      </w:pPr>
      <w:rPr>
        <w:rFonts w:hint="default"/>
      </w:rPr>
    </w:lvl>
    <w:lvl w:ilvl="7">
      <w:start w:val="0"/>
      <w:numFmt w:val="bullet"/>
      <w:lvlText w:val="•"/>
      <w:lvlJc w:val="left"/>
      <w:pPr>
        <w:ind w:left="2462" w:hanging="360"/>
      </w:pPr>
      <w:rPr>
        <w:rFonts w:hint="default"/>
      </w:rPr>
    </w:lvl>
    <w:lvl w:ilvl="8">
      <w:start w:val="0"/>
      <w:numFmt w:val="bullet"/>
      <w:lvlText w:val="•"/>
      <w:lvlJc w:val="left"/>
      <w:pPr>
        <w:ind w:left="2748" w:hanging="360"/>
      </w:pPr>
      <w:rPr>
        <w:rFonts w:hint="default"/>
      </w:rPr>
    </w:lvl>
  </w:abstractNum>
  <w:abstractNum w:abstractNumId="1">
    <w:multiLevelType w:val="hybridMultilevel"/>
    <w:lvl w:ilvl="0">
      <w:start w:val="1"/>
      <w:numFmt w:val="decimal"/>
      <w:lvlText w:val="%1."/>
      <w:lvlJc w:val="left"/>
      <w:pPr>
        <w:ind w:left="180" w:hanging="186"/>
        <w:jc w:val="left"/>
      </w:pPr>
      <w:rPr>
        <w:rFonts w:hint="default" w:ascii="Calibri" w:hAnsi="Calibri" w:eastAsia="Calibri" w:cs="Calibri"/>
        <w:spacing w:val="-1"/>
        <w:w w:val="100"/>
        <w:sz w:val="22"/>
        <w:szCs w:val="22"/>
      </w:rPr>
    </w:lvl>
    <w:lvl w:ilvl="1">
      <w:start w:val="0"/>
      <w:numFmt w:val="bullet"/>
      <w:lvlText w:val="•"/>
      <w:lvlJc w:val="left"/>
      <w:pPr>
        <w:ind w:left="495" w:hanging="186"/>
      </w:pPr>
      <w:rPr>
        <w:rFonts w:hint="default"/>
      </w:rPr>
    </w:lvl>
    <w:lvl w:ilvl="2">
      <w:start w:val="0"/>
      <w:numFmt w:val="bullet"/>
      <w:lvlText w:val="•"/>
      <w:lvlJc w:val="left"/>
      <w:pPr>
        <w:ind w:left="811" w:hanging="186"/>
      </w:pPr>
      <w:rPr>
        <w:rFonts w:hint="default"/>
      </w:rPr>
    </w:lvl>
    <w:lvl w:ilvl="3">
      <w:start w:val="0"/>
      <w:numFmt w:val="bullet"/>
      <w:lvlText w:val="•"/>
      <w:lvlJc w:val="left"/>
      <w:pPr>
        <w:ind w:left="1126" w:hanging="186"/>
      </w:pPr>
      <w:rPr>
        <w:rFonts w:hint="default"/>
      </w:rPr>
    </w:lvl>
    <w:lvl w:ilvl="4">
      <w:start w:val="0"/>
      <w:numFmt w:val="bullet"/>
      <w:lvlText w:val="•"/>
      <w:lvlJc w:val="left"/>
      <w:pPr>
        <w:ind w:left="1442" w:hanging="186"/>
      </w:pPr>
      <w:rPr>
        <w:rFonts w:hint="default"/>
      </w:rPr>
    </w:lvl>
    <w:lvl w:ilvl="5">
      <w:start w:val="0"/>
      <w:numFmt w:val="bullet"/>
      <w:lvlText w:val="•"/>
      <w:lvlJc w:val="left"/>
      <w:pPr>
        <w:ind w:left="1757" w:hanging="186"/>
      </w:pPr>
      <w:rPr>
        <w:rFonts w:hint="default"/>
      </w:rPr>
    </w:lvl>
    <w:lvl w:ilvl="6">
      <w:start w:val="0"/>
      <w:numFmt w:val="bullet"/>
      <w:lvlText w:val="•"/>
      <w:lvlJc w:val="left"/>
      <w:pPr>
        <w:ind w:left="2073" w:hanging="186"/>
      </w:pPr>
      <w:rPr>
        <w:rFonts w:hint="default"/>
      </w:rPr>
    </w:lvl>
    <w:lvl w:ilvl="7">
      <w:start w:val="0"/>
      <w:numFmt w:val="bullet"/>
      <w:lvlText w:val="•"/>
      <w:lvlJc w:val="left"/>
      <w:pPr>
        <w:ind w:left="2388" w:hanging="186"/>
      </w:pPr>
      <w:rPr>
        <w:rFonts w:hint="default"/>
      </w:rPr>
    </w:lvl>
    <w:lvl w:ilvl="8">
      <w:start w:val="0"/>
      <w:numFmt w:val="bullet"/>
      <w:lvlText w:val="•"/>
      <w:lvlJc w:val="left"/>
      <w:pPr>
        <w:ind w:left="2704" w:hanging="186"/>
      </w:pPr>
      <w:rPr>
        <w:rFonts w:hint="default"/>
      </w:rPr>
    </w:lvl>
  </w:abstractNum>
  <w:abstractNum w:abstractNumId="0">
    <w:multiLevelType w:val="hybridMultilevel"/>
    <w:lvl w:ilvl="0">
      <w:start w:val="1"/>
      <w:numFmt w:val="decimal"/>
      <w:lvlText w:val="%1."/>
      <w:lvlJc w:val="left"/>
      <w:pPr>
        <w:ind w:left="190" w:hanging="198"/>
        <w:jc w:val="left"/>
      </w:pPr>
      <w:rPr>
        <w:rFonts w:hint="default" w:ascii="Calibri" w:hAnsi="Calibri" w:eastAsia="Calibri" w:cs="Calibri"/>
        <w:spacing w:val="-1"/>
        <w:w w:val="100"/>
        <w:sz w:val="22"/>
        <w:szCs w:val="22"/>
      </w:rPr>
    </w:lvl>
    <w:lvl w:ilvl="1">
      <w:start w:val="0"/>
      <w:numFmt w:val="bullet"/>
      <w:lvlText w:val="•"/>
      <w:lvlJc w:val="left"/>
      <w:pPr>
        <w:ind w:left="513" w:hanging="198"/>
      </w:pPr>
      <w:rPr>
        <w:rFonts w:hint="default"/>
      </w:rPr>
    </w:lvl>
    <w:lvl w:ilvl="2">
      <w:start w:val="0"/>
      <w:numFmt w:val="bullet"/>
      <w:lvlText w:val="•"/>
      <w:lvlJc w:val="left"/>
      <w:pPr>
        <w:ind w:left="827" w:hanging="198"/>
      </w:pPr>
      <w:rPr>
        <w:rFonts w:hint="default"/>
      </w:rPr>
    </w:lvl>
    <w:lvl w:ilvl="3">
      <w:start w:val="0"/>
      <w:numFmt w:val="bullet"/>
      <w:lvlText w:val="•"/>
      <w:lvlJc w:val="left"/>
      <w:pPr>
        <w:ind w:left="1140" w:hanging="198"/>
      </w:pPr>
      <w:rPr>
        <w:rFonts w:hint="default"/>
      </w:rPr>
    </w:lvl>
    <w:lvl w:ilvl="4">
      <w:start w:val="0"/>
      <w:numFmt w:val="bullet"/>
      <w:lvlText w:val="•"/>
      <w:lvlJc w:val="left"/>
      <w:pPr>
        <w:ind w:left="1454" w:hanging="198"/>
      </w:pPr>
      <w:rPr>
        <w:rFonts w:hint="default"/>
      </w:rPr>
    </w:lvl>
    <w:lvl w:ilvl="5">
      <w:start w:val="0"/>
      <w:numFmt w:val="bullet"/>
      <w:lvlText w:val="•"/>
      <w:lvlJc w:val="left"/>
      <w:pPr>
        <w:ind w:left="1767" w:hanging="198"/>
      </w:pPr>
      <w:rPr>
        <w:rFonts w:hint="default"/>
      </w:rPr>
    </w:lvl>
    <w:lvl w:ilvl="6">
      <w:start w:val="0"/>
      <w:numFmt w:val="bullet"/>
      <w:lvlText w:val="•"/>
      <w:lvlJc w:val="left"/>
      <w:pPr>
        <w:ind w:left="2081" w:hanging="198"/>
      </w:pPr>
      <w:rPr>
        <w:rFonts w:hint="default"/>
      </w:rPr>
    </w:lvl>
    <w:lvl w:ilvl="7">
      <w:start w:val="0"/>
      <w:numFmt w:val="bullet"/>
      <w:lvlText w:val="•"/>
      <w:lvlJc w:val="left"/>
      <w:pPr>
        <w:ind w:left="2394" w:hanging="198"/>
      </w:pPr>
      <w:rPr>
        <w:rFonts w:hint="default"/>
      </w:rPr>
    </w:lvl>
    <w:lvl w:ilvl="8">
      <w:start w:val="0"/>
      <w:numFmt w:val="bullet"/>
      <w:lvlText w:val="•"/>
      <w:lvlJc w:val="left"/>
      <w:pPr>
        <w:ind w:left="2708" w:hanging="198"/>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rPr>
      <w:rFonts w:ascii="標楷體" w:hAnsi="標楷體" w:eastAsia="標楷體" w:cs="標楷體"/>
      <w:b/>
      <w:bCs/>
      <w:sz w:val="24"/>
      <w:szCs w:val="24"/>
    </w:rPr>
  </w:style>
  <w:style w:styleId="Title" w:type="paragraph">
    <w:name w:val="Title"/>
    <w:basedOn w:val="Normal"/>
    <w:uiPriority w:val="1"/>
    <w:qFormat/>
    <w:pPr>
      <w:spacing w:before="22"/>
      <w:ind w:left="2795" w:right="2489"/>
      <w:jc w:val="center"/>
    </w:pPr>
    <w:rPr>
      <w:rFonts w:ascii="標楷體" w:hAnsi="標楷體" w:eastAsia="標楷體" w:cs="標楷體"/>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標楷體" w:hAnsi="標楷體" w:eastAsia="標楷體" w:cs="標楷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taiwanwomencenter.org.tw/" TargetMode="External"/><Relationship Id="rId7" Type="http://schemas.openxmlformats.org/officeDocument/2006/relationships/hyperlink" Target="http://www.gec.ey.gov.tw/cp.aspx?n=FC0CD59A5BF00232"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0137</dc:creator>
  <dc:title>&lt;4D6963726F736F667420576F7264202D20AB4FBBD9AA6BB2C42033B1F8B5A5B1F8A4E5A146A8C3BC57AD71B2C420392D31B5A5B1F8B1F8A4E5ADD7A5BFAFF3AED72DA6D2B8D5B07CAA6BAED7A4CEA9CAA74FBC76C554B5FBA6F4C0CBB5F8AAED283130352E392E32362920202D20A457BAF4AAA92E646F6</dc:title>
  <dcterms:created xsi:type="dcterms:W3CDTF">2021-10-13T07:18:26Z</dcterms:created>
  <dcterms:modified xsi:type="dcterms:W3CDTF">2021-10-13T07:18:26Z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PScript5.dll Version 5.2.2</vt:lpwstr>
  </property>
  <property fmtid="{D5CDD505-2E9C-101B-9397-08002B2CF9AE}" pid="4" name="LastSaved">
    <vt:filetime>2021-10-13T00:00:00Z</vt:filetime>
  </property>
</Properties>
</file>