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3"/>
        <w:spacing w:lineRule="exact" w:line="500"/>
        <w:jc w:val="distribute"/>
        <w:rPr>
          <w:sz w:val="36"/>
          <w:szCs w:val="36"/>
        </w:rPr>
      </w:pPr>
      <w:r>
        <w:rPr>
          <w:sz w:val="36"/>
          <w:szCs w:val="36"/>
        </w:rPr>
        <w:t>公務人員保障暨培訓委員會</w:t>
      </w:r>
      <w:r>
        <w:rPr>
          <w:sz w:val="36"/>
          <w:szCs w:val="36"/>
        </w:rPr>
        <w:t>10</w:t>
      </w:r>
      <w:r>
        <w:rPr>
          <w:sz w:val="36"/>
          <w:szCs w:val="36"/>
        </w:rPr>
        <w:t>4</w:t>
      </w:r>
      <w:r>
        <w:rPr>
          <w:sz w:val="36"/>
          <w:szCs w:val="36"/>
        </w:rPr>
        <w:t>年</w:t>
      </w:r>
      <w:r>
        <w:rPr>
          <w:sz w:val="36"/>
          <w:szCs w:val="36"/>
        </w:rPr>
        <w:t>1</w:t>
      </w:r>
      <w:r>
        <w:rPr>
          <w:sz w:val="36"/>
          <w:szCs w:val="36"/>
        </w:rPr>
        <w:t>月至</w:t>
      </w:r>
      <w:r>
        <w:rPr>
          <w:sz w:val="36"/>
          <w:szCs w:val="36"/>
        </w:rPr>
        <w:t>6</w:t>
      </w:r>
      <w:r>
        <w:rPr>
          <w:sz w:val="36"/>
          <w:szCs w:val="36"/>
        </w:rPr>
        <w:t xml:space="preserve">月  </w:t>
      </w:r>
      <w:r>
        <w:rPr>
          <w:sz w:val="36"/>
          <w:szCs w:val="36"/>
        </w:rPr>
        <w:t xml:space="preserve">               </w:t>
      </w:r>
      <w:r>
        <w:rPr>
          <w:sz w:val="36"/>
          <w:szCs w:val="36"/>
        </w:rPr>
        <w:t>審理保障事件常見撤銷原因分析參考資料</w:t>
      </w:r>
    </w:p>
    <w:p>
      <w:pPr>
        <w:pStyle w:val="23"/>
        <w:kinsoku w:val="true"/>
        <w:spacing w:before="199" w:after="0"/>
        <w:ind w:firstLine="640"/>
        <w:rPr>
          <w:sz w:val="32"/>
          <w:szCs w:val="32"/>
        </w:rPr>
      </w:pPr>
      <w:r>
        <w:rPr>
          <w:sz w:val="32"/>
          <w:szCs w:val="32"/>
        </w:rPr>
        <w:t>按公務人員對於服務機關或人事主管機關所為之行政處分，認為違法或顯然不當，致損害其權利或利益者，得提起復審；至於公務人員對於服務機關所為之管理措施或有關工作條件之處置，認為不當者，則得提起申訴、再申訴，分別為公務人員保障法（以下簡稱保障法）第</w:t>
      </w:r>
      <w:r>
        <w:rPr>
          <w:sz w:val="32"/>
          <w:szCs w:val="32"/>
        </w:rPr>
        <w:t>25</w:t>
      </w:r>
      <w:r>
        <w:rPr>
          <w:sz w:val="32"/>
          <w:szCs w:val="32"/>
        </w:rPr>
        <w:t>條、第</w:t>
      </w:r>
      <w:r>
        <w:rPr>
          <w:sz w:val="32"/>
          <w:szCs w:val="32"/>
        </w:rPr>
        <w:t>77</w:t>
      </w:r>
      <w:r>
        <w:rPr>
          <w:sz w:val="32"/>
          <w:szCs w:val="32"/>
        </w:rPr>
        <w:t>條第</w:t>
      </w:r>
      <w:r>
        <w:rPr>
          <w:sz w:val="32"/>
          <w:szCs w:val="32"/>
        </w:rPr>
        <w:t>1</w:t>
      </w:r>
      <w:r>
        <w:rPr>
          <w:sz w:val="32"/>
          <w:szCs w:val="32"/>
        </w:rPr>
        <w:t>項所明定。茲就</w:t>
      </w:r>
      <w:r>
        <w:rPr>
          <w:sz w:val="32"/>
          <w:szCs w:val="32"/>
        </w:rPr>
        <w:t>104</w:t>
      </w:r>
      <w:r>
        <w:rPr>
          <w:sz w:val="32"/>
          <w:szCs w:val="32"/>
        </w:rPr>
        <w:t>年</w:t>
      </w:r>
      <w:r>
        <w:rPr>
          <w:sz w:val="32"/>
          <w:szCs w:val="32"/>
        </w:rPr>
        <w:t>1</w:t>
      </w:r>
      <w:r>
        <w:rPr>
          <w:sz w:val="32"/>
          <w:szCs w:val="32"/>
        </w:rPr>
        <w:t>月至</w:t>
      </w:r>
      <w:r>
        <w:rPr>
          <w:sz w:val="32"/>
          <w:szCs w:val="32"/>
        </w:rPr>
        <w:t>6</w:t>
      </w:r>
      <w:r>
        <w:rPr>
          <w:sz w:val="32"/>
          <w:szCs w:val="32"/>
        </w:rPr>
        <w:t>月經本會審理決定撤銷之保障事件，歸納分析其撤銷原因，並就機關為人事管理行為時，常發生之作業疏失綜整說明。〔相關決定書可至本會網站保障事件決定書查詢系統（</w:t>
      </w:r>
      <w:r>
        <w:rPr>
          <w:sz w:val="32"/>
          <w:szCs w:val="32"/>
        </w:rPr>
        <w:t>https://web13.csptc.gov.tw/index.aspx</w:t>
      </w:r>
      <w:r>
        <w:rPr>
          <w:sz w:val="32"/>
          <w:szCs w:val="32"/>
        </w:rPr>
        <w:t>）查詢。〕</w:t>
      </w:r>
    </w:p>
    <w:p>
      <w:pPr>
        <w:pStyle w:val="Normal"/>
        <w:overflowPunct w:val="false"/>
        <w:autoSpaceDE w:val="false"/>
        <w:spacing w:lineRule="exact" w:line="560" w:before="398" w:after="0"/>
        <w:jc w:val="both"/>
        <w:rPr>
          <w:rFonts w:ascii="標楷體" w:hAnsi="標楷體" w:cs="標楷體"/>
          <w:sz w:val="32"/>
          <w:szCs w:val="32"/>
        </w:rPr>
      </w:pPr>
      <w:r>
        <w:rPr>
          <w:rFonts w:ascii="標楷體" w:hAnsi="標楷體" w:cs="標楷體"/>
          <w:b/>
          <w:bCs/>
          <w:sz w:val="32"/>
          <w:szCs w:val="32"/>
        </w:rPr>
        <w:t>壹、常見之撤銷原因摘要</w:t>
      </w:r>
    </w:p>
    <w:p>
      <w:pPr>
        <w:pStyle w:val="Normal"/>
        <w:overflowPunct w:val="false"/>
        <w:autoSpaceDE w:val="false"/>
        <w:spacing w:lineRule="exact" w:line="560" w:before="80" w:after="0"/>
        <w:jc w:val="both"/>
        <w:rPr/>
      </w:pPr>
      <w:r>
        <w:rPr>
          <w:rFonts w:ascii="標楷體" w:hAnsi="標楷體" w:cs="標楷體"/>
          <w:b/>
          <w:sz w:val="32"/>
          <w:szCs w:val="32"/>
        </w:rPr>
        <w:t>一、關於考績或獎懲法定程序部分：</w:t>
      </w:r>
    </w:p>
    <w:p>
      <w:pPr>
        <w:pStyle w:val="Normal"/>
        <w:overflowPunct w:val="false"/>
        <w:autoSpaceDE w:val="false"/>
        <w:spacing w:lineRule="exact" w:line="560" w:before="80" w:after="0"/>
        <w:jc w:val="both"/>
        <w:rPr>
          <w:rFonts w:ascii="標楷體" w:hAnsi="標楷體" w:cs="標楷體"/>
          <w:b/>
          <w:b/>
          <w:sz w:val="32"/>
          <w:szCs w:val="32"/>
        </w:rPr>
      </w:pPr>
      <w:r>
        <w:rPr>
          <w:rFonts w:ascii="標楷體" w:hAnsi="標楷體" w:cs="標楷體"/>
          <w:b/>
          <w:sz w:val="32"/>
          <w:szCs w:val="32"/>
        </w:rPr>
        <w:t>（一）考績委員會組成不合法：</w:t>
      </w:r>
    </w:p>
    <w:p>
      <w:pPr>
        <w:pStyle w:val="Normal"/>
        <w:overflowPunct w:val="false"/>
        <w:autoSpaceDE w:val="false"/>
        <w:spacing w:lineRule="exact" w:line="560"/>
        <w:ind w:left="1041" w:hanging="51"/>
        <w:jc w:val="both"/>
        <w:rPr>
          <w:rStyle w:val="Stext"/>
          <w:rFonts w:ascii="標楷體" w:hAnsi="標楷體" w:cs="標楷體"/>
          <w:sz w:val="32"/>
          <w:szCs w:val="32"/>
        </w:rPr>
      </w:pPr>
      <w:r>
        <w:rPr>
          <w:rStyle w:val="Stext"/>
          <w:rFonts w:ascii="標楷體" w:hAnsi="標楷體" w:cs="標楷體"/>
          <w:sz w:val="32"/>
          <w:szCs w:val="32"/>
        </w:rPr>
        <w:t>機</w:t>
      </w:r>
      <w:r>
        <w:rPr>
          <w:rStyle w:val="Stext"/>
          <w:rFonts w:ascii="標楷體" w:hAnsi="標楷體" w:cs="標楷體"/>
          <w:sz w:val="32"/>
          <w:szCs w:val="32"/>
        </w:rPr>
        <w:t>關</w:t>
      </w:r>
      <w:r>
        <w:rPr>
          <w:rStyle w:val="Stext"/>
          <w:rFonts w:ascii="標楷體" w:hAnsi="標楷體" w:cs="標楷體"/>
          <w:sz w:val="32"/>
          <w:szCs w:val="32"/>
        </w:rPr>
        <w:t>為達成任一性別比例不得低於三分之一之政策目標，宜先選舉票選委員，續就票選委員之當選人及當然委員之性別比例加以計算後，再由首長視該計算結果，圈選指定委員；如僅就票選委員之性別比例予以調整，進而影響票選委員依得票高低產生之公平性，即違反考績委員會組織規程（以下簡稱組織規程）第</w:t>
      </w:r>
      <w:r>
        <w:rPr>
          <w:rStyle w:val="Stext"/>
          <w:rFonts w:cs="標楷體" w:ascii="標楷體" w:hAnsi="標楷體"/>
          <w:sz w:val="32"/>
          <w:szCs w:val="32"/>
        </w:rPr>
        <w:t>2</w:t>
      </w:r>
      <w:r>
        <w:rPr>
          <w:rStyle w:val="Stext"/>
          <w:rFonts w:ascii="標楷體" w:hAnsi="標楷體" w:cs="標楷體"/>
          <w:sz w:val="32"/>
          <w:szCs w:val="32"/>
        </w:rPr>
        <w:t>條之規定意旨。又</w:t>
      </w:r>
      <w:r>
        <w:rPr>
          <w:rFonts w:ascii="標楷體" w:hAnsi="標楷體" w:cs="標楷體"/>
          <w:sz w:val="32"/>
          <w:szCs w:val="32"/>
        </w:rPr>
        <w:t>票選委員選舉限制受考人須投</w:t>
      </w:r>
      <w:r>
        <w:rPr>
          <w:rFonts w:cs="標楷體" w:ascii="標楷體" w:hAnsi="標楷體"/>
          <w:sz w:val="32"/>
          <w:szCs w:val="32"/>
        </w:rPr>
        <w:t>3</w:t>
      </w:r>
      <w:r>
        <w:rPr>
          <w:rFonts w:ascii="標楷體" w:hAnsi="標楷體" w:cs="標楷體"/>
          <w:sz w:val="32"/>
          <w:szCs w:val="32"/>
        </w:rPr>
        <w:t>票，其中</w:t>
      </w:r>
      <w:r>
        <w:rPr>
          <w:rFonts w:cs="標楷體" w:ascii="標楷體" w:hAnsi="標楷體"/>
          <w:sz w:val="32"/>
          <w:szCs w:val="32"/>
        </w:rPr>
        <w:t>1</w:t>
      </w:r>
      <w:r>
        <w:rPr>
          <w:rFonts w:ascii="標楷體" w:hAnsi="標楷體" w:cs="標楷體"/>
          <w:sz w:val="32"/>
          <w:szCs w:val="32"/>
        </w:rPr>
        <w:t>票應投男性，</w:t>
      </w:r>
      <w:r>
        <w:rPr>
          <w:rFonts w:cs="標楷體" w:ascii="標楷體" w:hAnsi="標楷體"/>
          <w:sz w:val="32"/>
          <w:szCs w:val="32"/>
        </w:rPr>
        <w:t>1</w:t>
      </w:r>
      <w:r>
        <w:rPr>
          <w:rFonts w:ascii="標楷體" w:hAnsi="標楷體" w:cs="標楷體"/>
          <w:sz w:val="32"/>
          <w:szCs w:val="32"/>
        </w:rPr>
        <w:t>票應投女性，餘</w:t>
      </w:r>
      <w:r>
        <w:rPr>
          <w:rFonts w:cs="標楷體" w:ascii="標楷體" w:hAnsi="標楷體"/>
          <w:sz w:val="32"/>
          <w:szCs w:val="32"/>
        </w:rPr>
        <w:t>1</w:t>
      </w:r>
      <w:r>
        <w:rPr>
          <w:rFonts w:ascii="標楷體" w:hAnsi="標楷體" w:cs="標楷體"/>
          <w:sz w:val="32"/>
          <w:szCs w:val="32"/>
        </w:rPr>
        <w:t>票不限定</w:t>
      </w:r>
      <w:r>
        <w:rPr>
          <w:rFonts w:ascii="標楷體" w:hAnsi="標楷體" w:cs="標楷體"/>
          <w:sz w:val="32"/>
          <w:szCs w:val="32"/>
        </w:rPr>
        <w:t>，</w:t>
      </w:r>
      <w:r>
        <w:rPr>
          <w:rFonts w:ascii="標楷體" w:hAnsi="標楷體" w:cs="標楷體"/>
          <w:sz w:val="32"/>
          <w:szCs w:val="32"/>
        </w:rPr>
        <w:t>該限制受考人僅得依各性別選出票選委員，以達成考績委員會任一性別委員不得低於三分之一之要求，</w:t>
      </w:r>
      <w:r>
        <w:rPr>
          <w:rStyle w:val="Stext"/>
          <w:rFonts w:ascii="標楷體" w:hAnsi="標楷體" w:cs="標楷體"/>
          <w:sz w:val="32"/>
          <w:szCs w:val="32"/>
        </w:rPr>
        <w:t>該考績委員會之組織即不合法。（</w:t>
      </w:r>
      <w:r>
        <w:rPr>
          <w:rStyle w:val="Stext"/>
          <w:rFonts w:cs="標楷體" w:ascii="標楷體" w:hAnsi="標楷體"/>
          <w:sz w:val="32"/>
          <w:szCs w:val="32"/>
        </w:rPr>
        <w:t>104</w:t>
      </w:r>
      <w:r>
        <w:rPr>
          <w:rStyle w:val="Stext"/>
          <w:rFonts w:ascii="標楷體" w:hAnsi="標楷體" w:cs="標楷體"/>
          <w:sz w:val="32"/>
          <w:szCs w:val="32"/>
        </w:rPr>
        <w:t>公申決字第</w:t>
      </w:r>
      <w:r>
        <w:rPr>
          <w:rStyle w:val="Stext"/>
          <w:rFonts w:cs="標楷體" w:ascii="標楷體" w:hAnsi="標楷體"/>
          <w:sz w:val="32"/>
          <w:szCs w:val="32"/>
        </w:rPr>
        <w:t>0039</w:t>
      </w:r>
      <w:r>
        <w:rPr>
          <w:rStyle w:val="Stext"/>
          <w:rFonts w:ascii="標楷體" w:hAnsi="標楷體" w:cs="標楷體"/>
          <w:sz w:val="32"/>
          <w:szCs w:val="32"/>
        </w:rPr>
        <w:t>號、第</w:t>
      </w:r>
      <w:r>
        <w:rPr>
          <w:rStyle w:val="Stext"/>
          <w:rFonts w:cs="標楷體" w:ascii="標楷體" w:hAnsi="標楷體"/>
          <w:sz w:val="32"/>
          <w:szCs w:val="32"/>
        </w:rPr>
        <w:t>0050</w:t>
      </w:r>
      <w:r>
        <w:rPr>
          <w:rStyle w:val="Stext"/>
          <w:rFonts w:ascii="標楷體" w:hAnsi="標楷體" w:cs="標楷體"/>
          <w:sz w:val="32"/>
          <w:szCs w:val="32"/>
        </w:rPr>
        <w:t>號、第</w:t>
      </w:r>
      <w:r>
        <w:rPr>
          <w:rStyle w:val="Stext"/>
          <w:rFonts w:cs="標楷體" w:ascii="標楷體" w:hAnsi="標楷體"/>
          <w:sz w:val="32"/>
          <w:szCs w:val="32"/>
        </w:rPr>
        <w:t>0090</w:t>
      </w:r>
      <w:r>
        <w:rPr>
          <w:rStyle w:val="Stext"/>
          <w:rFonts w:ascii="標楷體" w:hAnsi="標楷體" w:cs="標楷體"/>
          <w:sz w:val="32"/>
          <w:szCs w:val="32"/>
        </w:rPr>
        <w:t>號、第</w:t>
      </w:r>
      <w:r>
        <w:rPr>
          <w:rStyle w:val="Stext"/>
          <w:rFonts w:cs="標楷體" w:ascii="標楷體" w:hAnsi="標楷體"/>
          <w:sz w:val="32"/>
          <w:szCs w:val="32"/>
        </w:rPr>
        <w:t>0132</w:t>
      </w:r>
      <w:r>
        <w:rPr>
          <w:rStyle w:val="Stext"/>
          <w:rFonts w:ascii="標楷體" w:hAnsi="標楷體" w:cs="標楷體"/>
          <w:sz w:val="32"/>
          <w:szCs w:val="32"/>
        </w:rPr>
        <w:t xml:space="preserve">號再申訴決定書） </w:t>
      </w:r>
    </w:p>
    <w:p>
      <w:pPr>
        <w:pStyle w:val="Normal"/>
        <w:overflowPunct w:val="false"/>
        <w:autoSpaceDE w:val="false"/>
        <w:spacing w:lineRule="exact" w:line="560" w:before="199" w:after="0"/>
        <w:jc w:val="both"/>
        <w:rPr/>
      </w:pPr>
      <w:r>
        <w:rPr>
          <w:rFonts w:ascii="標楷體" w:hAnsi="標楷體" w:cs="標楷體"/>
          <w:b/>
          <w:sz w:val="32"/>
          <w:szCs w:val="32"/>
        </w:rPr>
        <w:t xml:space="preserve">（二）考績評擬或獎懲核議程序不合法： </w:t>
      </w:r>
    </w:p>
    <w:p>
      <w:pPr>
        <w:pStyle w:val="Normal"/>
        <w:overflowPunct w:val="false"/>
        <w:autoSpaceDE w:val="false"/>
        <w:spacing w:lineRule="exact" w:line="560"/>
        <w:ind w:left="1065" w:hanging="320"/>
        <w:jc w:val="both"/>
        <w:rPr>
          <w:rFonts w:ascii="標楷體" w:hAnsi="標楷體" w:cs="標楷體"/>
          <w:sz w:val="32"/>
          <w:szCs w:val="32"/>
        </w:rPr>
      </w:pPr>
      <w:r>
        <w:rPr>
          <w:rFonts w:cs="標楷體" w:ascii="標楷體" w:hAnsi="標楷體"/>
          <w:sz w:val="32"/>
          <w:szCs w:val="32"/>
        </w:rPr>
        <w:t>1.</w:t>
      </w:r>
      <w:r>
        <w:rPr>
          <w:rFonts w:ascii="標楷體" w:hAnsi="標楷體" w:cs="標楷體"/>
          <w:sz w:val="32"/>
          <w:szCs w:val="32"/>
        </w:rPr>
        <w:t>按</w:t>
      </w:r>
      <w:r>
        <w:rPr>
          <w:rFonts w:ascii="標楷體" w:hAnsi="標楷體" w:cs="Tahoma"/>
          <w:sz w:val="32"/>
          <w:szCs w:val="32"/>
        </w:rPr>
        <w:t>銓敘部</w:t>
      </w:r>
      <w:r>
        <w:rPr>
          <w:rFonts w:cs="Tahoma" w:ascii="標楷體" w:hAnsi="標楷體"/>
          <w:sz w:val="32"/>
          <w:szCs w:val="32"/>
        </w:rPr>
        <w:t>102</w:t>
      </w:r>
      <w:r>
        <w:rPr>
          <w:rFonts w:ascii="標楷體" w:hAnsi="標楷體" w:cs="Tahoma"/>
          <w:sz w:val="32"/>
          <w:szCs w:val="32"/>
        </w:rPr>
        <w:t>年</w:t>
      </w:r>
      <w:r>
        <w:rPr>
          <w:rFonts w:cs="Tahoma" w:ascii="標楷體" w:hAnsi="標楷體"/>
          <w:sz w:val="32"/>
          <w:szCs w:val="32"/>
        </w:rPr>
        <w:t>3</w:t>
      </w:r>
      <w:r>
        <w:rPr>
          <w:rFonts w:ascii="標楷體" w:hAnsi="標楷體" w:cs="Tahoma"/>
          <w:sz w:val="32"/>
          <w:szCs w:val="32"/>
        </w:rPr>
        <w:t>月</w:t>
      </w:r>
      <w:r>
        <w:rPr>
          <w:rFonts w:cs="Tahoma" w:ascii="標楷體" w:hAnsi="標楷體"/>
          <w:sz w:val="32"/>
          <w:szCs w:val="32"/>
        </w:rPr>
        <w:t>4</w:t>
      </w:r>
      <w:r>
        <w:rPr>
          <w:rFonts w:ascii="標楷體" w:hAnsi="標楷體" w:cs="Tahoma"/>
          <w:sz w:val="32"/>
          <w:szCs w:val="32"/>
        </w:rPr>
        <w:t>日部銓三字第</w:t>
      </w:r>
      <w:r>
        <w:rPr>
          <w:rFonts w:cs="Tahoma" w:ascii="標楷體" w:hAnsi="標楷體"/>
          <w:sz w:val="32"/>
          <w:szCs w:val="32"/>
        </w:rPr>
        <w:t>1023698220</w:t>
      </w:r>
      <w:r>
        <w:rPr>
          <w:rFonts w:ascii="標楷體" w:hAnsi="標楷體" w:cs="Tahoma"/>
          <w:sz w:val="32"/>
          <w:szCs w:val="32"/>
        </w:rPr>
        <w:t>號書函略以：「……各機關辦理受考人考績……，於辦理之際倘遇機關首長異動，機關人事管理權限既為新機關首長所有，受考人考績自應由新機關首長……辦理。」據此，機關人事管理本係機關首長既有權限，遇有機關首長異動，自應由辦理考績時之機關首長評定。如由已調職之前機關首長重行辦理其考績評定，於法即有未合。</w:t>
      </w:r>
      <w:r>
        <w:rPr>
          <w:rFonts w:ascii="標楷體" w:hAnsi="標楷體" w:cs="標楷體"/>
          <w:sz w:val="32"/>
          <w:szCs w:val="32"/>
        </w:rPr>
        <w:t>（</w:t>
      </w:r>
      <w:r>
        <w:rPr>
          <w:rFonts w:cs="標楷體" w:ascii="標楷體" w:hAnsi="標楷體"/>
          <w:sz w:val="32"/>
          <w:szCs w:val="32"/>
        </w:rPr>
        <w:t>104</w:t>
      </w:r>
      <w:r>
        <w:rPr>
          <w:rFonts w:ascii="標楷體" w:hAnsi="標楷體" w:cs="標楷體"/>
          <w:sz w:val="32"/>
          <w:szCs w:val="32"/>
        </w:rPr>
        <w:t>公申決字第</w:t>
      </w:r>
      <w:r>
        <w:rPr>
          <w:rFonts w:cs="標楷體" w:ascii="標楷體" w:hAnsi="標楷體"/>
          <w:sz w:val="32"/>
          <w:szCs w:val="32"/>
        </w:rPr>
        <w:t>0020</w:t>
      </w:r>
      <w:r>
        <w:rPr>
          <w:rFonts w:ascii="標楷體" w:hAnsi="標楷體" w:cs="標楷體"/>
          <w:sz w:val="32"/>
          <w:szCs w:val="32"/>
        </w:rPr>
        <w:t>號再申訴決定書）</w:t>
      </w:r>
    </w:p>
    <w:p>
      <w:pPr>
        <w:pStyle w:val="Normal"/>
        <w:overflowPunct w:val="false"/>
        <w:autoSpaceDE w:val="false"/>
        <w:spacing w:lineRule="exact" w:line="560"/>
        <w:ind w:left="1065" w:hanging="320"/>
        <w:jc w:val="both"/>
        <w:rPr>
          <w:rFonts w:ascii="標楷體" w:hAnsi="標楷體" w:cs="標楷體"/>
          <w:sz w:val="32"/>
          <w:szCs w:val="32"/>
        </w:rPr>
      </w:pPr>
      <w:r>
        <w:rPr>
          <w:rFonts w:cs="標楷體" w:ascii="標楷體" w:hAnsi="標楷體"/>
          <w:sz w:val="32"/>
          <w:szCs w:val="32"/>
        </w:rPr>
        <w:t>2.</w:t>
      </w:r>
      <w:r>
        <w:rPr>
          <w:rFonts w:ascii="標楷體" w:hAnsi="標楷體" w:cs="標楷體"/>
          <w:sz w:val="32"/>
          <w:szCs w:val="32"/>
        </w:rPr>
        <w:t>依</w:t>
      </w:r>
      <w:r>
        <w:rPr>
          <w:rFonts w:ascii="標楷體" w:hAnsi="標楷體" w:cs="Tahoma"/>
          <w:sz w:val="32"/>
          <w:szCs w:val="32"/>
        </w:rPr>
        <w:t>銓敘部</w:t>
      </w:r>
      <w:r>
        <w:rPr>
          <w:rFonts w:cs="Tahoma" w:ascii="標楷體" w:hAnsi="標楷體"/>
          <w:sz w:val="32"/>
          <w:szCs w:val="32"/>
        </w:rPr>
        <w:t>100</w:t>
      </w:r>
      <w:r>
        <w:rPr>
          <w:rFonts w:ascii="標楷體" w:hAnsi="標楷體" w:cs="Tahoma"/>
          <w:sz w:val="32"/>
          <w:szCs w:val="32"/>
        </w:rPr>
        <w:t>年</w:t>
      </w:r>
      <w:r>
        <w:rPr>
          <w:rFonts w:cs="Tahoma" w:ascii="標楷體" w:hAnsi="標楷體"/>
          <w:sz w:val="32"/>
          <w:szCs w:val="32"/>
        </w:rPr>
        <w:t>10</w:t>
      </w:r>
      <w:r>
        <w:rPr>
          <w:rFonts w:ascii="標楷體" w:hAnsi="標楷體" w:cs="Tahoma"/>
          <w:sz w:val="32"/>
          <w:szCs w:val="32"/>
        </w:rPr>
        <w:t>月</w:t>
      </w:r>
      <w:r>
        <w:rPr>
          <w:rFonts w:cs="Tahoma" w:ascii="標楷體" w:hAnsi="標楷體"/>
          <w:sz w:val="32"/>
          <w:szCs w:val="32"/>
        </w:rPr>
        <w:t>28</w:t>
      </w:r>
      <w:r>
        <w:rPr>
          <w:rFonts w:ascii="標楷體" w:hAnsi="標楷體" w:cs="Tahoma"/>
          <w:sz w:val="32"/>
          <w:szCs w:val="32"/>
        </w:rPr>
        <w:t>日部法二字第</w:t>
      </w:r>
      <w:r>
        <w:rPr>
          <w:rFonts w:cs="Tahoma" w:ascii="標楷體" w:hAnsi="標楷體"/>
          <w:sz w:val="32"/>
          <w:szCs w:val="32"/>
        </w:rPr>
        <w:t>1003503717</w:t>
      </w:r>
      <w:r>
        <w:rPr>
          <w:rFonts w:ascii="標楷體" w:hAnsi="標楷體" w:cs="Tahoma"/>
          <w:sz w:val="32"/>
          <w:szCs w:val="32"/>
        </w:rPr>
        <w:t>號書函釋意旨，各機關單位主管及未隸屬於單位之技監、參事、參議、秘書等人員，應由機關首長以其</w:t>
      </w:r>
      <w:r>
        <w:rPr>
          <w:rFonts w:ascii="標楷體" w:hAnsi="標楷體" w:cs="標楷體"/>
          <w:sz w:val="32"/>
          <w:szCs w:val="32"/>
        </w:rPr>
        <w:t>平時成績考核紀錄為依據，按公務人員考績表所列工作、操行、學識、才能各項細目之考核內容，對該等人員之整體表現予以綜合評擬。</w:t>
      </w:r>
      <w:r>
        <w:rPr>
          <w:rFonts w:ascii="標楷體" w:hAnsi="標楷體" w:cs="Tahoma"/>
          <w:sz w:val="32"/>
          <w:szCs w:val="32"/>
        </w:rPr>
        <w:t>至機關副首長或具幕僚長職務屬性之公務人員，如奉機關首長之命令，對上開人員之考績予以考評時，其所為之考評僅能作為機關首長評擬時之參考，尚不得以其名義直接於該等受考人之公務人員考績表內評擬，如由其逕為評擬，於法即有未洽。</w:t>
      </w:r>
      <w:r>
        <w:rPr>
          <w:rFonts w:ascii="標楷體" w:hAnsi="標楷體" w:cs="標楷體"/>
          <w:sz w:val="32"/>
          <w:szCs w:val="32"/>
        </w:rPr>
        <w:t>（</w:t>
      </w:r>
      <w:r>
        <w:rPr>
          <w:rFonts w:cs="標楷體" w:ascii="標楷體" w:hAnsi="標楷體"/>
          <w:sz w:val="32"/>
          <w:szCs w:val="32"/>
        </w:rPr>
        <w:t>104</w:t>
      </w:r>
      <w:r>
        <w:rPr>
          <w:rFonts w:ascii="標楷體" w:hAnsi="標楷體" w:cs="標楷體"/>
          <w:sz w:val="32"/>
          <w:szCs w:val="32"/>
        </w:rPr>
        <w:t>公申決字第</w:t>
      </w:r>
      <w:r>
        <w:rPr>
          <w:rFonts w:cs="標楷體" w:ascii="標楷體" w:hAnsi="標楷體"/>
          <w:sz w:val="32"/>
          <w:szCs w:val="32"/>
        </w:rPr>
        <w:t>0087</w:t>
      </w:r>
      <w:r>
        <w:rPr>
          <w:rFonts w:ascii="標楷體" w:hAnsi="標楷體" w:cs="標楷體"/>
          <w:sz w:val="32"/>
          <w:szCs w:val="32"/>
        </w:rPr>
        <w:t>號、第</w:t>
      </w:r>
      <w:r>
        <w:rPr>
          <w:rFonts w:cs="標楷體" w:ascii="標楷體" w:hAnsi="標楷體"/>
          <w:sz w:val="32"/>
          <w:szCs w:val="32"/>
        </w:rPr>
        <w:t>0108</w:t>
      </w:r>
      <w:r>
        <w:rPr>
          <w:rFonts w:ascii="標楷體" w:hAnsi="標楷體" w:cs="標楷體"/>
          <w:sz w:val="32"/>
          <w:szCs w:val="32"/>
        </w:rPr>
        <w:t>號再申訴決定書）</w:t>
      </w:r>
    </w:p>
    <w:p>
      <w:pPr>
        <w:pStyle w:val="Normal"/>
        <w:overflowPunct w:val="false"/>
        <w:autoSpaceDE w:val="false"/>
        <w:spacing w:lineRule="exact" w:line="560"/>
        <w:ind w:left="1065" w:hanging="320"/>
        <w:jc w:val="both"/>
        <w:rPr>
          <w:rFonts w:ascii="標楷體" w:hAnsi="標楷體" w:cs="標楷體"/>
          <w:sz w:val="32"/>
          <w:szCs w:val="32"/>
        </w:rPr>
      </w:pPr>
      <w:r>
        <w:rPr>
          <w:rFonts w:cs="標楷體" w:ascii="標楷體" w:hAnsi="標楷體"/>
          <w:sz w:val="32"/>
          <w:szCs w:val="32"/>
        </w:rPr>
        <w:t>3.</w:t>
      </w:r>
      <w:r>
        <w:rPr>
          <w:rFonts w:ascii="標楷體" w:hAnsi="標楷體" w:cs="標楷體"/>
          <w:sz w:val="32"/>
          <w:szCs w:val="32"/>
        </w:rPr>
        <w:t>查再申訴人公務人員考績表之直屬或上級長官考評欄，並非由其單位主管評擬，而係由○○醫院院長綜合評擬為</w:t>
      </w:r>
      <w:r>
        <w:rPr>
          <w:rFonts w:cs="標楷體" w:ascii="標楷體" w:hAnsi="標楷體"/>
          <w:sz w:val="32"/>
          <w:szCs w:val="32"/>
        </w:rPr>
        <w:t>79</w:t>
      </w:r>
      <w:r>
        <w:rPr>
          <w:rFonts w:ascii="標楷體" w:hAnsi="標楷體" w:cs="標楷體"/>
          <w:sz w:val="32"/>
          <w:szCs w:val="32"/>
        </w:rPr>
        <w:t>分，遞送考績委員會初核、該院院長覆核，均維持</w:t>
      </w:r>
      <w:r>
        <w:rPr>
          <w:rFonts w:cs="標楷體" w:ascii="標楷體" w:hAnsi="標楷體"/>
          <w:sz w:val="32"/>
          <w:szCs w:val="32"/>
        </w:rPr>
        <w:t>79</w:t>
      </w:r>
      <w:r>
        <w:rPr>
          <w:rFonts w:ascii="標楷體" w:hAnsi="標楷體" w:cs="標楷體"/>
          <w:sz w:val="32"/>
          <w:szCs w:val="32"/>
        </w:rPr>
        <w:t>分。茲以該院院長並非再申訴人之直屬主管，自無對再申訴人為考績評擬之權限。再申訴人</w:t>
      </w:r>
      <w:r>
        <w:rPr>
          <w:rFonts w:cs="標楷體" w:ascii="標楷體" w:hAnsi="標楷體"/>
          <w:sz w:val="32"/>
          <w:szCs w:val="32"/>
        </w:rPr>
        <w:t>103</w:t>
      </w:r>
      <w:r>
        <w:rPr>
          <w:rFonts w:ascii="標楷體" w:hAnsi="標楷體" w:cs="標楷體"/>
          <w:sz w:val="32"/>
          <w:szCs w:val="32"/>
        </w:rPr>
        <w:t>年年終考績之辦理作業程序，與公務人員考績法（以下簡稱考績法）第</w:t>
      </w:r>
      <w:r>
        <w:rPr>
          <w:rFonts w:cs="標楷體" w:ascii="標楷體" w:hAnsi="標楷體"/>
          <w:sz w:val="32"/>
          <w:szCs w:val="32"/>
        </w:rPr>
        <w:t>14</w:t>
      </w:r>
      <w:r>
        <w:rPr>
          <w:rFonts w:ascii="標楷體" w:hAnsi="標楷體" w:cs="標楷體"/>
          <w:sz w:val="32"/>
          <w:szCs w:val="32"/>
        </w:rPr>
        <w:t>條第</w:t>
      </w:r>
      <w:r>
        <w:rPr>
          <w:rFonts w:cs="標楷體" w:ascii="標楷體" w:hAnsi="標楷體"/>
          <w:sz w:val="32"/>
          <w:szCs w:val="32"/>
        </w:rPr>
        <w:t>1</w:t>
      </w:r>
      <w:r>
        <w:rPr>
          <w:rFonts w:ascii="標楷體" w:hAnsi="標楷體" w:cs="標楷體"/>
          <w:sz w:val="32"/>
          <w:szCs w:val="32"/>
        </w:rPr>
        <w:t>項前段及同法施行細則第</w:t>
      </w:r>
      <w:r>
        <w:rPr>
          <w:rFonts w:cs="標楷體" w:ascii="標楷體" w:hAnsi="標楷體"/>
          <w:sz w:val="32"/>
          <w:szCs w:val="32"/>
        </w:rPr>
        <w:t>18</w:t>
      </w:r>
      <w:r>
        <w:rPr>
          <w:rFonts w:ascii="標楷體" w:hAnsi="標楷體" w:cs="標楷體"/>
          <w:sz w:val="32"/>
          <w:szCs w:val="32"/>
        </w:rPr>
        <w:t>條規定有違，核有法定程序之瑕疵。（</w:t>
      </w:r>
      <w:r>
        <w:rPr>
          <w:rFonts w:cs="標楷體" w:ascii="標楷體" w:hAnsi="標楷體"/>
          <w:sz w:val="32"/>
          <w:szCs w:val="32"/>
        </w:rPr>
        <w:t>104</w:t>
      </w:r>
      <w:r>
        <w:rPr>
          <w:rFonts w:ascii="標楷體" w:hAnsi="標楷體" w:cs="標楷體"/>
          <w:sz w:val="32"/>
          <w:szCs w:val="32"/>
        </w:rPr>
        <w:t>公申決字第</w:t>
      </w:r>
      <w:r>
        <w:rPr>
          <w:rFonts w:cs="標楷體" w:ascii="標楷體" w:hAnsi="標楷體"/>
          <w:sz w:val="32"/>
          <w:szCs w:val="32"/>
        </w:rPr>
        <w:t>0</w:t>
      </w:r>
      <w:r>
        <w:rPr>
          <w:rFonts w:cs="標楷體" w:ascii="標楷體" w:hAnsi="標楷體"/>
          <w:sz w:val="32"/>
          <w:szCs w:val="32"/>
        </w:rPr>
        <w:t>159</w:t>
      </w:r>
      <w:r>
        <w:rPr>
          <w:rFonts w:ascii="標楷體" w:hAnsi="標楷體" w:cs="標楷體"/>
          <w:sz w:val="32"/>
          <w:szCs w:val="32"/>
        </w:rPr>
        <w:t>號再申訴決定書）</w:t>
      </w:r>
    </w:p>
    <w:p>
      <w:pPr>
        <w:pStyle w:val="Normal"/>
        <w:overflowPunct w:val="false"/>
        <w:autoSpaceDE w:val="false"/>
        <w:spacing w:lineRule="exact" w:line="560"/>
        <w:ind w:left="1065" w:hanging="320"/>
        <w:jc w:val="both"/>
        <w:rPr>
          <w:rFonts w:ascii="標楷體" w:hAnsi="標楷體" w:cs="標楷體"/>
          <w:sz w:val="32"/>
          <w:szCs w:val="32"/>
        </w:rPr>
      </w:pPr>
      <w:r>
        <w:rPr>
          <w:rFonts w:cs="標楷體" w:ascii="標楷體" w:hAnsi="標楷體"/>
          <w:sz w:val="32"/>
          <w:szCs w:val="32"/>
        </w:rPr>
        <w:t>4.○○</w:t>
      </w:r>
      <w:r>
        <w:rPr>
          <w:rFonts w:ascii="標楷體" w:hAnsi="標楷體" w:cs="標楷體"/>
          <w:sz w:val="32"/>
          <w:szCs w:val="32"/>
        </w:rPr>
        <w:t>中學公務人員甄審暨考績委員會為辦理該校</w:t>
      </w:r>
      <w:r>
        <w:rPr>
          <w:rFonts w:cs="標楷體" w:ascii="標楷體" w:hAnsi="標楷體"/>
          <w:sz w:val="32"/>
          <w:szCs w:val="32"/>
        </w:rPr>
        <w:t>103</w:t>
      </w:r>
      <w:r>
        <w:rPr>
          <w:rFonts w:ascii="標楷體" w:hAnsi="標楷體" w:cs="標楷體"/>
          <w:sz w:val="32"/>
          <w:szCs w:val="32"/>
        </w:rPr>
        <w:t>年公務人員年終考績初核案，分別就該校</w:t>
      </w:r>
      <w:r>
        <w:rPr>
          <w:rFonts w:cs="標楷體" w:ascii="標楷體" w:hAnsi="標楷體"/>
          <w:sz w:val="32"/>
          <w:szCs w:val="32"/>
        </w:rPr>
        <w:t>3</w:t>
      </w:r>
      <w:r>
        <w:rPr>
          <w:rFonts w:ascii="標楷體" w:hAnsi="標楷體" w:cs="標楷體"/>
          <w:sz w:val="32"/>
          <w:szCs w:val="32"/>
        </w:rPr>
        <w:t>名組長（即事務組、文書組及出納組組長）不列入乙等案，及其餘受考人是否列入考列乙等名單案，進行無記名投票。因該校上開考績委員會，計有出納組組長吳○○、幹事張○○、幹事黃○○及護理師徐○○等</w:t>
      </w:r>
      <w:r>
        <w:rPr>
          <w:rFonts w:cs="標楷體" w:ascii="標楷體" w:hAnsi="標楷體"/>
          <w:sz w:val="32"/>
          <w:szCs w:val="32"/>
        </w:rPr>
        <w:t>4</w:t>
      </w:r>
      <w:r>
        <w:rPr>
          <w:rFonts w:ascii="標楷體" w:hAnsi="標楷體" w:cs="標楷體"/>
          <w:sz w:val="32"/>
          <w:szCs w:val="32"/>
        </w:rPr>
        <w:t>人為考績委員會委員，並為上開考績案之受考人。則上開</w:t>
      </w:r>
      <w:r>
        <w:rPr>
          <w:rFonts w:cs="標楷體" w:ascii="標楷體" w:hAnsi="標楷體"/>
          <w:sz w:val="32"/>
          <w:szCs w:val="32"/>
        </w:rPr>
        <w:t>4</w:t>
      </w:r>
      <w:r>
        <w:rPr>
          <w:rFonts w:ascii="標楷體" w:hAnsi="標楷體" w:cs="標楷體"/>
          <w:sz w:val="32"/>
          <w:szCs w:val="32"/>
        </w:rPr>
        <w:t>位委員參與自身年終考績是否列入乙等相關議案之投票，皆屬涉及考績委員會委員本身之事項，然均未予迴避，顯已違反組織規程第</w:t>
      </w:r>
      <w:r>
        <w:rPr>
          <w:rFonts w:cs="標楷體" w:ascii="標楷體" w:hAnsi="標楷體"/>
          <w:sz w:val="32"/>
          <w:szCs w:val="32"/>
        </w:rPr>
        <w:t>8</w:t>
      </w:r>
      <w:r>
        <w:rPr>
          <w:rFonts w:ascii="標楷體" w:hAnsi="標楷體" w:cs="標楷體"/>
          <w:sz w:val="32"/>
          <w:szCs w:val="32"/>
        </w:rPr>
        <w:t>條第</w:t>
      </w:r>
      <w:r>
        <w:rPr>
          <w:rFonts w:cs="標楷體" w:ascii="標楷體" w:hAnsi="標楷體"/>
          <w:sz w:val="32"/>
          <w:szCs w:val="32"/>
        </w:rPr>
        <w:t>1</w:t>
      </w:r>
      <w:r>
        <w:rPr>
          <w:rFonts w:ascii="標楷體" w:hAnsi="標楷體" w:cs="標楷體"/>
          <w:sz w:val="32"/>
          <w:szCs w:val="32"/>
        </w:rPr>
        <w:t>項規定，而有法定程序之瑕疵；且考績委員會主席原則上不參與投票，僅於可否意見同數時加入表決，然該校公務人員甄審暨考績委員會主席，仍參與上開各階段議案之投票，致有影響再申訴人總得票數之疑慮，亦有法定程序之瑕疵。（</w:t>
      </w:r>
      <w:r>
        <w:rPr>
          <w:rFonts w:cs="標楷體" w:ascii="標楷體" w:hAnsi="標楷體"/>
          <w:sz w:val="32"/>
          <w:szCs w:val="32"/>
        </w:rPr>
        <w:t>104</w:t>
      </w:r>
      <w:r>
        <w:rPr>
          <w:rFonts w:ascii="標楷體" w:hAnsi="標楷體" w:cs="標楷體"/>
          <w:sz w:val="32"/>
          <w:szCs w:val="32"/>
        </w:rPr>
        <w:t>公申決字第</w:t>
      </w:r>
      <w:r>
        <w:rPr>
          <w:rFonts w:cs="標楷體" w:ascii="標楷體" w:hAnsi="標楷體"/>
          <w:sz w:val="32"/>
          <w:szCs w:val="32"/>
        </w:rPr>
        <w:t>0</w:t>
      </w:r>
      <w:r>
        <w:rPr>
          <w:rFonts w:cs="標楷體" w:ascii="標楷體" w:hAnsi="標楷體"/>
          <w:sz w:val="32"/>
          <w:szCs w:val="32"/>
        </w:rPr>
        <w:t>160</w:t>
      </w:r>
      <w:r>
        <w:rPr>
          <w:rFonts w:ascii="標楷體" w:hAnsi="標楷體" w:cs="標楷體"/>
          <w:sz w:val="32"/>
          <w:szCs w:val="32"/>
        </w:rPr>
        <w:t>號再申訴決定書）</w:t>
      </w:r>
    </w:p>
    <w:p>
      <w:pPr>
        <w:pStyle w:val="Normal"/>
        <w:overflowPunct w:val="false"/>
        <w:autoSpaceDE w:val="false"/>
        <w:spacing w:lineRule="exact" w:line="560"/>
        <w:ind w:left="1065" w:hanging="320"/>
        <w:jc w:val="both"/>
        <w:rPr>
          <w:rFonts w:ascii="標楷體" w:hAnsi="標楷體" w:cs="標楷體"/>
          <w:sz w:val="32"/>
          <w:szCs w:val="32"/>
        </w:rPr>
      </w:pPr>
      <w:r>
        <w:rPr>
          <w:rFonts w:cs="標楷體" w:ascii="標楷體" w:hAnsi="標楷體"/>
          <w:sz w:val="32"/>
          <w:szCs w:val="32"/>
        </w:rPr>
        <w:t>5.</w:t>
      </w:r>
      <w:r>
        <w:rPr>
          <w:rFonts w:ascii="標楷體" w:hAnsi="標楷體" w:cs="標楷體"/>
          <w:sz w:val="32"/>
          <w:szCs w:val="32"/>
        </w:rPr>
        <w:t>考績委員會核議懲處案之表決結果，贊成票僅有</w:t>
      </w:r>
      <w:r>
        <w:rPr>
          <w:rFonts w:cs="標楷體" w:ascii="標楷體" w:hAnsi="標楷體"/>
          <w:sz w:val="32"/>
          <w:szCs w:val="32"/>
        </w:rPr>
        <w:t>4</w:t>
      </w:r>
      <w:r>
        <w:rPr>
          <w:rFonts w:ascii="標楷體" w:hAnsi="標楷體" w:cs="標楷體"/>
          <w:sz w:val="32"/>
          <w:szCs w:val="32"/>
        </w:rPr>
        <w:t>票，並未達該次會議出席委員</w:t>
      </w:r>
      <w:r>
        <w:rPr>
          <w:rFonts w:cs="標楷體" w:ascii="標楷體" w:hAnsi="標楷體"/>
          <w:sz w:val="32"/>
          <w:szCs w:val="32"/>
        </w:rPr>
        <w:t>9</w:t>
      </w:r>
      <w:r>
        <w:rPr>
          <w:rFonts w:ascii="標楷體" w:hAnsi="標楷體" w:cs="標楷體"/>
          <w:sz w:val="32"/>
          <w:szCs w:val="32"/>
        </w:rPr>
        <w:t>人之半數以上同意，其決議核與組織規程第</w:t>
      </w:r>
      <w:r>
        <w:rPr>
          <w:rFonts w:cs="標楷體" w:ascii="標楷體" w:hAnsi="標楷體"/>
          <w:sz w:val="32"/>
          <w:szCs w:val="32"/>
        </w:rPr>
        <w:t>4</w:t>
      </w:r>
      <w:r>
        <w:rPr>
          <w:rFonts w:ascii="標楷體" w:hAnsi="標楷體" w:cs="標楷體"/>
          <w:sz w:val="32"/>
          <w:szCs w:val="32"/>
        </w:rPr>
        <w:t>條第</w:t>
      </w:r>
      <w:r>
        <w:rPr>
          <w:rFonts w:cs="標楷體" w:ascii="標楷體" w:hAnsi="標楷體"/>
          <w:sz w:val="32"/>
          <w:szCs w:val="32"/>
        </w:rPr>
        <w:t>1</w:t>
      </w:r>
      <w:r>
        <w:rPr>
          <w:rFonts w:ascii="標楷體" w:hAnsi="標楷體" w:cs="標楷體"/>
          <w:sz w:val="32"/>
          <w:szCs w:val="32"/>
        </w:rPr>
        <w:t>項規定不符。（</w:t>
      </w:r>
      <w:r>
        <w:rPr>
          <w:rFonts w:cs="標楷體" w:ascii="標楷體" w:hAnsi="標楷體"/>
          <w:sz w:val="32"/>
          <w:szCs w:val="32"/>
        </w:rPr>
        <w:t>104</w:t>
      </w:r>
      <w:r>
        <w:rPr>
          <w:rFonts w:ascii="標楷體" w:hAnsi="標楷體" w:cs="標楷體"/>
          <w:sz w:val="32"/>
          <w:szCs w:val="32"/>
        </w:rPr>
        <w:t>公申決字第</w:t>
      </w:r>
      <w:r>
        <w:rPr>
          <w:rFonts w:cs="標楷體" w:ascii="標楷體" w:hAnsi="標楷體"/>
          <w:sz w:val="32"/>
          <w:szCs w:val="32"/>
        </w:rPr>
        <w:t>0</w:t>
      </w:r>
      <w:r>
        <w:rPr>
          <w:rFonts w:cs="標楷體" w:ascii="標楷體" w:hAnsi="標楷體"/>
          <w:sz w:val="32"/>
          <w:szCs w:val="32"/>
        </w:rPr>
        <w:t>136</w:t>
      </w:r>
      <w:r>
        <w:rPr>
          <w:rFonts w:ascii="標楷體" w:hAnsi="標楷體" w:cs="標楷體"/>
          <w:sz w:val="32"/>
          <w:szCs w:val="32"/>
        </w:rPr>
        <w:t>號再申訴決定書）</w:t>
      </w:r>
    </w:p>
    <w:p>
      <w:pPr>
        <w:pStyle w:val="Normal"/>
        <w:overflowPunct w:val="false"/>
        <w:autoSpaceDE w:val="false"/>
        <w:spacing w:lineRule="exact" w:line="560"/>
        <w:jc w:val="both"/>
        <w:rPr>
          <w:rFonts w:ascii="標楷體" w:hAnsi="標楷體" w:cs="標楷體"/>
          <w:sz w:val="32"/>
          <w:szCs w:val="32"/>
        </w:rPr>
      </w:pPr>
      <w:r>
        <w:rPr>
          <w:rFonts w:ascii="標楷體" w:hAnsi="標楷體" w:cs="標楷體"/>
          <w:b/>
          <w:sz w:val="32"/>
          <w:szCs w:val="32"/>
        </w:rPr>
        <w:t>（三）管理措施或工作條件處置之權責處理機關有誤</w:t>
      </w:r>
    </w:p>
    <w:p>
      <w:pPr>
        <w:pStyle w:val="Normal"/>
        <w:spacing w:lineRule="exact" w:line="560"/>
        <w:ind w:left="964" w:hanging="0"/>
        <w:jc w:val="both"/>
        <w:rPr>
          <w:rFonts w:ascii="標楷體" w:hAnsi="標楷體" w:cs="標楷體"/>
          <w:sz w:val="32"/>
          <w:szCs w:val="32"/>
        </w:rPr>
      </w:pPr>
      <w:r>
        <w:rPr>
          <w:rFonts w:ascii="標楷體" w:hAnsi="標楷體" w:cs="標楷體"/>
          <w:sz w:val="32"/>
          <w:szCs w:val="32"/>
        </w:rPr>
        <w:t>警察機關提報員警為關懷輔導對象，應由分局級警察機關風紀評估委員會初評，再送局級警察機關風紀評估審核委員會審議，經機關首長核定為之。再申訴人對經列為關懷輔導對象，如有不服，應依保障法第</w:t>
      </w:r>
      <w:r>
        <w:rPr>
          <w:rFonts w:cs="標楷體" w:ascii="標楷體" w:hAnsi="標楷體"/>
          <w:sz w:val="32"/>
          <w:szCs w:val="32"/>
        </w:rPr>
        <w:t>78</w:t>
      </w:r>
      <w:r>
        <w:rPr>
          <w:rFonts w:ascii="標楷體" w:hAnsi="標楷體" w:cs="標楷體"/>
          <w:sz w:val="32"/>
          <w:szCs w:val="32"/>
        </w:rPr>
        <w:t>條第</w:t>
      </w:r>
      <w:r>
        <w:rPr>
          <w:rFonts w:cs="標楷體" w:ascii="標楷體" w:hAnsi="標楷體"/>
          <w:sz w:val="32"/>
          <w:szCs w:val="32"/>
        </w:rPr>
        <w:t>2</w:t>
      </w:r>
      <w:r>
        <w:rPr>
          <w:rFonts w:ascii="標楷體" w:hAnsi="標楷體" w:cs="標楷體"/>
          <w:sz w:val="32"/>
          <w:szCs w:val="32"/>
        </w:rPr>
        <w:t>項規定，向</w:t>
      </w:r>
      <w:r>
        <w:rPr>
          <w:rFonts w:ascii="標楷體" w:hAnsi="標楷體" w:cs="標楷體"/>
          <w:sz w:val="32"/>
          <w:szCs w:val="32"/>
        </w:rPr>
        <w:t>○○</w:t>
      </w:r>
      <w:r>
        <w:rPr>
          <w:rFonts w:ascii="標楷體" w:hAnsi="標楷體" w:cs="標楷體"/>
          <w:sz w:val="32"/>
          <w:szCs w:val="32"/>
        </w:rPr>
        <w:t>警</w:t>
      </w:r>
      <w:r>
        <w:rPr>
          <w:rFonts w:ascii="標楷體" w:hAnsi="標楷體" w:cs="標楷體"/>
          <w:sz w:val="32"/>
          <w:szCs w:val="32"/>
        </w:rPr>
        <w:t>察</w:t>
      </w:r>
      <w:r>
        <w:rPr>
          <w:rFonts w:ascii="標楷體" w:hAnsi="標楷體" w:cs="標楷體"/>
          <w:sz w:val="32"/>
          <w:szCs w:val="32"/>
        </w:rPr>
        <w:t>局提起申訴，並由該局為申訴函復，亦即</w:t>
      </w:r>
      <w:r>
        <w:rPr>
          <w:rFonts w:ascii="標楷體" w:hAnsi="標楷體" w:cs="標楷體"/>
          <w:sz w:val="32"/>
          <w:szCs w:val="32"/>
        </w:rPr>
        <w:t>○○</w:t>
      </w:r>
      <w:r>
        <w:rPr>
          <w:rFonts w:ascii="標楷體" w:hAnsi="標楷體" w:cs="標楷體"/>
          <w:sz w:val="32"/>
          <w:szCs w:val="32"/>
        </w:rPr>
        <w:t>分局於此部分，並非保障法第</w:t>
      </w:r>
      <w:r>
        <w:rPr>
          <w:rFonts w:cs="標楷體" w:ascii="標楷體" w:hAnsi="標楷體"/>
          <w:sz w:val="32"/>
          <w:szCs w:val="32"/>
        </w:rPr>
        <w:t>78</w:t>
      </w:r>
      <w:r>
        <w:rPr>
          <w:rFonts w:ascii="標楷體" w:hAnsi="標楷體" w:cs="標楷體"/>
          <w:sz w:val="32"/>
          <w:szCs w:val="32"/>
        </w:rPr>
        <w:t>條第</w:t>
      </w:r>
      <w:r>
        <w:rPr>
          <w:rFonts w:cs="標楷體" w:ascii="標楷體" w:hAnsi="標楷體"/>
          <w:sz w:val="32"/>
          <w:szCs w:val="32"/>
        </w:rPr>
        <w:t>2</w:t>
      </w:r>
      <w:r>
        <w:rPr>
          <w:rFonts w:ascii="標楷體" w:hAnsi="標楷體" w:cs="標楷體"/>
          <w:sz w:val="32"/>
          <w:szCs w:val="32"/>
        </w:rPr>
        <w:t>項所稱之權責處理機關，並無受理再申訴人所提申訴案及為此部分申訴函復之權責。</w:t>
      </w:r>
      <w:r>
        <w:rPr>
          <w:rFonts w:ascii="標楷體" w:hAnsi="標楷體" w:cs="標楷體"/>
          <w:sz w:val="32"/>
          <w:szCs w:val="32"/>
        </w:rPr>
        <w:t>（</w:t>
      </w:r>
      <w:r>
        <w:rPr>
          <w:rFonts w:cs="標楷體" w:ascii="標楷體" w:hAnsi="標楷體"/>
          <w:sz w:val="32"/>
          <w:szCs w:val="32"/>
        </w:rPr>
        <w:t>104</w:t>
      </w:r>
      <w:r>
        <w:rPr>
          <w:rFonts w:ascii="標楷體" w:hAnsi="標楷體" w:cs="標楷體"/>
          <w:sz w:val="32"/>
          <w:szCs w:val="32"/>
        </w:rPr>
        <w:t>公申決字第</w:t>
      </w:r>
      <w:r>
        <w:rPr>
          <w:rFonts w:cs="標楷體" w:ascii="標楷體" w:hAnsi="標楷體"/>
          <w:sz w:val="32"/>
          <w:szCs w:val="32"/>
        </w:rPr>
        <w:t>0015</w:t>
      </w:r>
      <w:r>
        <w:rPr>
          <w:rFonts w:ascii="標楷體" w:hAnsi="標楷體" w:cs="標楷體"/>
          <w:sz w:val="32"/>
          <w:szCs w:val="32"/>
        </w:rPr>
        <w:t>號再申訴決定書）</w:t>
      </w:r>
    </w:p>
    <w:p>
      <w:pPr>
        <w:pStyle w:val="Normal"/>
        <w:overflowPunct w:val="false"/>
        <w:autoSpaceDE w:val="false"/>
        <w:spacing w:lineRule="exact" w:line="560" w:before="199" w:after="0"/>
        <w:ind w:left="961" w:hanging="961"/>
        <w:jc w:val="both"/>
        <w:rPr>
          <w:rFonts w:ascii="標楷體" w:hAnsi="標楷體" w:cs="標楷體"/>
          <w:b/>
          <w:b/>
          <w:sz w:val="32"/>
          <w:szCs w:val="32"/>
        </w:rPr>
      </w:pPr>
      <w:r>
        <w:rPr>
          <w:rFonts w:ascii="標楷體" w:hAnsi="標楷體" w:cs="標楷體"/>
          <w:b/>
          <w:sz w:val="32"/>
          <w:szCs w:val="32"/>
        </w:rPr>
        <w:t>二、關於考績（成）實體撤銷理由部分：</w:t>
      </w:r>
    </w:p>
    <w:p>
      <w:pPr>
        <w:pStyle w:val="Normal"/>
        <w:overflowPunct w:val="false"/>
        <w:autoSpaceDE w:val="false"/>
        <w:spacing w:lineRule="exact" w:line="560" w:before="199" w:after="0"/>
        <w:ind w:left="961" w:hanging="961"/>
        <w:jc w:val="both"/>
        <w:rPr>
          <w:rFonts w:ascii="標楷體" w:hAnsi="標楷體" w:cs="標楷體"/>
          <w:b/>
          <w:b/>
          <w:sz w:val="32"/>
          <w:szCs w:val="32"/>
        </w:rPr>
      </w:pPr>
      <w:r>
        <w:rPr>
          <w:rFonts w:ascii="標楷體" w:hAnsi="標楷體" w:cs="標楷體"/>
          <w:b/>
          <w:sz w:val="32"/>
          <w:szCs w:val="32"/>
        </w:rPr>
        <w:t>（一）服務機關對考</w:t>
      </w:r>
      <w:r>
        <w:rPr>
          <w:rFonts w:ascii="標楷體" w:hAnsi="標楷體" w:cs="標楷體"/>
          <w:b/>
          <w:sz w:val="32"/>
          <w:szCs w:val="32"/>
        </w:rPr>
        <w:t>評</w:t>
      </w:r>
      <w:r>
        <w:rPr>
          <w:rFonts w:ascii="標楷體" w:hAnsi="標楷體" w:cs="標楷體"/>
          <w:b/>
          <w:sz w:val="32"/>
          <w:szCs w:val="32"/>
        </w:rPr>
        <w:t>事實未經詳實調查或認定有誤︰</w:t>
      </w:r>
    </w:p>
    <w:p>
      <w:pPr>
        <w:pStyle w:val="Normal"/>
        <w:spacing w:lineRule="exact" w:line="560"/>
        <w:ind w:left="964" w:hanging="0"/>
        <w:jc w:val="both"/>
        <w:rPr>
          <w:rFonts w:ascii="標楷體" w:hAnsi="標楷體" w:cs="標楷體"/>
          <w:b/>
          <w:b/>
          <w:sz w:val="32"/>
          <w:szCs w:val="32"/>
        </w:rPr>
      </w:pPr>
      <w:r>
        <w:rPr>
          <w:rFonts w:ascii="標楷體" w:hAnsi="標楷體" w:cs="標楷體"/>
          <w:sz w:val="32"/>
          <w:szCs w:val="32"/>
        </w:rPr>
        <w:t>公</w:t>
      </w:r>
      <w:r>
        <w:rPr>
          <w:rFonts w:ascii="標楷體" w:hAnsi="標楷體" w:cs="標楷體"/>
          <w:sz w:val="32"/>
          <w:szCs w:val="32"/>
        </w:rPr>
        <w:t>務人員</w:t>
      </w:r>
      <w:r>
        <w:rPr>
          <w:rFonts w:ascii="標楷體" w:hAnsi="標楷體" w:cs="標楷體"/>
          <w:sz w:val="32"/>
          <w:szCs w:val="32"/>
        </w:rPr>
        <w:t>考</w:t>
      </w:r>
      <w:r>
        <w:rPr>
          <w:rFonts w:ascii="標楷體" w:hAnsi="標楷體" w:cs="標楷體"/>
          <w:sz w:val="32"/>
          <w:szCs w:val="32"/>
        </w:rPr>
        <w:t>績表</w:t>
      </w:r>
      <w:r>
        <w:rPr>
          <w:rFonts w:ascii="標楷體" w:hAnsi="標楷體" w:cs="標楷體"/>
          <w:sz w:val="32"/>
          <w:szCs w:val="32"/>
        </w:rPr>
        <w:t>之獎懲紀</w:t>
      </w:r>
      <w:r>
        <w:rPr>
          <w:rFonts w:ascii="標楷體" w:hAnsi="標楷體" w:cs="標楷體"/>
          <w:sz w:val="32"/>
          <w:szCs w:val="32"/>
        </w:rPr>
        <w:t>錄</w:t>
      </w:r>
      <w:r>
        <w:rPr>
          <w:rFonts w:ascii="標楷體" w:hAnsi="標楷體" w:cs="標楷體"/>
          <w:sz w:val="32"/>
          <w:szCs w:val="32"/>
        </w:rPr>
        <w:t>欄</w:t>
      </w:r>
      <w:r>
        <w:rPr>
          <w:rFonts w:ascii="標楷體" w:hAnsi="標楷體" w:cs="標楷體"/>
          <w:sz w:val="32"/>
          <w:szCs w:val="32"/>
        </w:rPr>
        <w:t>未</w:t>
      </w:r>
      <w:r>
        <w:rPr>
          <w:rFonts w:ascii="標楷體" w:hAnsi="標楷體" w:cs="標楷體"/>
          <w:sz w:val="32"/>
          <w:szCs w:val="32"/>
        </w:rPr>
        <w:t>詳</w:t>
      </w:r>
      <w:r>
        <w:rPr>
          <w:rFonts w:ascii="標楷體" w:hAnsi="標楷體" w:cs="標楷體"/>
          <w:sz w:val="32"/>
          <w:szCs w:val="32"/>
        </w:rPr>
        <w:t>實</w:t>
      </w:r>
      <w:r>
        <w:rPr>
          <w:rFonts w:ascii="標楷體" w:hAnsi="標楷體" w:cs="標楷體"/>
          <w:sz w:val="32"/>
          <w:szCs w:val="32"/>
        </w:rPr>
        <w:t>登</w:t>
      </w:r>
      <w:r>
        <w:rPr>
          <w:rFonts w:ascii="標楷體" w:hAnsi="標楷體" w:cs="標楷體"/>
          <w:sz w:val="32"/>
          <w:szCs w:val="32"/>
        </w:rPr>
        <w:t>載</w:t>
      </w:r>
      <w:r>
        <w:rPr>
          <w:rFonts w:ascii="標楷體" w:hAnsi="標楷體" w:cs="標楷體"/>
          <w:sz w:val="32"/>
          <w:szCs w:val="32"/>
        </w:rPr>
        <w:t>，違反考績法、同法施行細則及各機關辦理公務人員考績（成）作業要點之規定。（</w:t>
      </w:r>
      <w:r>
        <w:rPr>
          <w:rFonts w:cs="標楷體" w:ascii="標楷體" w:hAnsi="標楷體"/>
          <w:sz w:val="32"/>
          <w:szCs w:val="32"/>
        </w:rPr>
        <w:t>104</w:t>
      </w:r>
      <w:r>
        <w:rPr>
          <w:rFonts w:ascii="標楷體" w:hAnsi="標楷體" w:cs="標楷體"/>
          <w:sz w:val="32"/>
          <w:szCs w:val="32"/>
        </w:rPr>
        <w:t>公申決字第</w:t>
      </w:r>
      <w:r>
        <w:rPr>
          <w:rFonts w:cs="標楷體" w:ascii="標楷體" w:hAnsi="標楷體"/>
          <w:sz w:val="32"/>
          <w:szCs w:val="32"/>
        </w:rPr>
        <w:t>0064</w:t>
      </w:r>
      <w:r>
        <w:rPr>
          <w:rFonts w:ascii="標楷體" w:hAnsi="標楷體" w:cs="標楷體"/>
          <w:sz w:val="32"/>
          <w:szCs w:val="32"/>
        </w:rPr>
        <w:t>號、第</w:t>
      </w:r>
      <w:r>
        <w:rPr>
          <w:rFonts w:cs="標楷體" w:ascii="標楷體" w:hAnsi="標楷體"/>
          <w:sz w:val="32"/>
          <w:szCs w:val="32"/>
        </w:rPr>
        <w:t>0095</w:t>
      </w:r>
      <w:r>
        <w:rPr>
          <w:rFonts w:ascii="標楷體" w:hAnsi="標楷體" w:cs="標楷體"/>
          <w:sz w:val="32"/>
          <w:szCs w:val="32"/>
        </w:rPr>
        <w:t>號、第</w:t>
      </w:r>
      <w:r>
        <w:rPr>
          <w:rFonts w:cs="標楷體" w:ascii="標楷體" w:hAnsi="標楷體"/>
          <w:sz w:val="32"/>
          <w:szCs w:val="32"/>
        </w:rPr>
        <w:t>0106</w:t>
      </w:r>
      <w:r>
        <w:rPr>
          <w:rFonts w:ascii="標楷體" w:hAnsi="標楷體" w:cs="標楷體"/>
          <w:sz w:val="32"/>
          <w:szCs w:val="32"/>
        </w:rPr>
        <w:t>號、第</w:t>
      </w:r>
      <w:r>
        <w:rPr>
          <w:rFonts w:cs="標楷體" w:ascii="標楷體" w:hAnsi="標楷體"/>
          <w:sz w:val="32"/>
          <w:szCs w:val="32"/>
        </w:rPr>
        <w:t>0109</w:t>
      </w:r>
      <w:r>
        <w:rPr>
          <w:rFonts w:ascii="標楷體" w:hAnsi="標楷體" w:cs="標楷體"/>
          <w:sz w:val="32"/>
          <w:szCs w:val="32"/>
        </w:rPr>
        <w:t>號、第</w:t>
      </w:r>
      <w:r>
        <w:rPr>
          <w:rFonts w:cs="標楷體" w:ascii="標楷體" w:hAnsi="標楷體"/>
          <w:sz w:val="32"/>
          <w:szCs w:val="32"/>
        </w:rPr>
        <w:t>0145</w:t>
      </w:r>
      <w:r>
        <w:rPr>
          <w:rFonts w:ascii="標楷體" w:hAnsi="標楷體" w:cs="標楷體"/>
          <w:sz w:val="32"/>
          <w:szCs w:val="32"/>
        </w:rPr>
        <w:t>號、第</w:t>
      </w:r>
      <w:r>
        <w:rPr>
          <w:rFonts w:cs="標楷體" w:ascii="標楷體" w:hAnsi="標楷體"/>
          <w:sz w:val="32"/>
          <w:szCs w:val="32"/>
        </w:rPr>
        <w:t>0157</w:t>
      </w:r>
      <w:r>
        <w:rPr>
          <w:rFonts w:ascii="標楷體" w:hAnsi="標楷體" w:cs="標楷體"/>
          <w:sz w:val="32"/>
          <w:szCs w:val="32"/>
        </w:rPr>
        <w:t>號再申訴決定書）</w:t>
      </w:r>
    </w:p>
    <w:p>
      <w:pPr>
        <w:pStyle w:val="Normal"/>
        <w:overflowPunct w:val="false"/>
        <w:autoSpaceDE w:val="false"/>
        <w:spacing w:lineRule="exact" w:line="560" w:before="199" w:after="0"/>
        <w:ind w:left="961" w:hanging="961"/>
        <w:jc w:val="both"/>
        <w:rPr>
          <w:rFonts w:ascii="標楷體" w:hAnsi="標楷體" w:cs="標楷體"/>
          <w:b/>
          <w:b/>
          <w:sz w:val="32"/>
          <w:szCs w:val="32"/>
        </w:rPr>
      </w:pPr>
      <w:r>
        <w:rPr>
          <w:rFonts w:ascii="標楷體" w:hAnsi="標楷體" w:cs="標楷體"/>
          <w:b/>
          <w:sz w:val="32"/>
          <w:szCs w:val="32"/>
        </w:rPr>
        <w:t>（二）有</w:t>
      </w:r>
      <w:r>
        <w:rPr>
          <w:rFonts w:ascii="標楷體" w:hAnsi="標楷體" w:cs="標楷體"/>
          <w:b/>
          <w:sz w:val="32"/>
          <w:szCs w:val="32"/>
        </w:rPr>
        <w:t>與事件無關之</w:t>
      </w:r>
      <w:r>
        <w:rPr>
          <w:rFonts w:ascii="標楷體" w:hAnsi="標楷體" w:cs="標楷體"/>
          <w:b/>
          <w:sz w:val="32"/>
          <w:szCs w:val="32"/>
        </w:rPr>
        <w:t>考</w:t>
      </w:r>
      <w:r>
        <w:rPr>
          <w:rFonts w:ascii="標楷體" w:hAnsi="標楷體" w:cs="標楷體"/>
          <w:b/>
          <w:sz w:val="32"/>
          <w:szCs w:val="32"/>
        </w:rPr>
        <w:t>慮</w:t>
      </w:r>
      <w:r>
        <w:rPr>
          <w:rFonts w:ascii="標楷體" w:hAnsi="標楷體" w:cs="標楷體"/>
          <w:b/>
          <w:sz w:val="32"/>
          <w:szCs w:val="32"/>
        </w:rPr>
        <w:t>牽</w:t>
      </w:r>
      <w:r>
        <w:rPr>
          <w:rFonts w:ascii="標楷體" w:hAnsi="標楷體" w:cs="標楷體"/>
          <w:b/>
          <w:sz w:val="32"/>
          <w:szCs w:val="32"/>
        </w:rPr>
        <w:t>涉</w:t>
      </w:r>
      <w:r>
        <w:rPr>
          <w:rFonts w:ascii="標楷體" w:hAnsi="標楷體" w:cs="標楷體"/>
          <w:b/>
          <w:sz w:val="32"/>
          <w:szCs w:val="32"/>
        </w:rPr>
        <w:t>在</w:t>
      </w:r>
      <w:r>
        <w:rPr>
          <w:rFonts w:ascii="標楷體" w:hAnsi="標楷體" w:cs="標楷體"/>
          <w:b/>
          <w:sz w:val="32"/>
          <w:szCs w:val="32"/>
        </w:rPr>
        <w:t>內</w:t>
      </w:r>
      <w:r>
        <w:rPr>
          <w:rFonts w:ascii="標楷體" w:hAnsi="標楷體" w:cs="標楷體"/>
          <w:b/>
          <w:sz w:val="32"/>
          <w:szCs w:val="32"/>
        </w:rPr>
        <w:t>：</w:t>
      </w:r>
    </w:p>
    <w:p>
      <w:pPr>
        <w:pStyle w:val="Normal"/>
        <w:spacing w:lineRule="exact" w:line="560"/>
        <w:ind w:left="964" w:hanging="0"/>
        <w:jc w:val="both"/>
        <w:rPr>
          <w:rFonts w:ascii="標楷體" w:hAnsi="標楷體" w:cs="標楷體"/>
          <w:sz w:val="32"/>
          <w:szCs w:val="32"/>
        </w:rPr>
      </w:pPr>
      <w:r>
        <w:rPr>
          <w:rFonts w:ascii="標楷體" w:hAnsi="標楷體" w:cs="標楷體"/>
          <w:sz w:val="32"/>
          <w:szCs w:val="32"/>
        </w:rPr>
        <w:t>再申訴人</w:t>
      </w:r>
      <w:r>
        <w:rPr>
          <w:rFonts w:ascii="標楷體" w:hAnsi="標楷體" w:cs="標楷體"/>
          <w:sz w:val="32"/>
          <w:szCs w:val="32"/>
        </w:rPr>
        <w:t>前於</w:t>
      </w:r>
      <w:r>
        <w:rPr>
          <w:rFonts w:cs="標楷體" w:ascii="標楷體" w:hAnsi="標楷體"/>
          <w:sz w:val="32"/>
          <w:szCs w:val="32"/>
        </w:rPr>
        <w:t>102</w:t>
      </w:r>
      <w:r>
        <w:rPr>
          <w:rFonts w:ascii="標楷體" w:hAnsi="標楷體" w:cs="標楷體"/>
          <w:sz w:val="32"/>
          <w:szCs w:val="32"/>
        </w:rPr>
        <w:t>年考績年度內涉犯刑事案件，遭檢察官提起公訴，○○分局爰據以核布其</w:t>
      </w:r>
      <w:r>
        <w:rPr>
          <w:rFonts w:cs="標楷體" w:ascii="標楷體" w:hAnsi="標楷體"/>
          <w:sz w:val="32"/>
          <w:szCs w:val="32"/>
        </w:rPr>
        <w:t>102</w:t>
      </w:r>
      <w:r>
        <w:rPr>
          <w:rFonts w:ascii="標楷體" w:hAnsi="標楷體" w:cs="標楷體"/>
          <w:sz w:val="32"/>
          <w:szCs w:val="32"/>
        </w:rPr>
        <w:t>年年終考績考列丙等，前經本會審認再申訴人</w:t>
      </w:r>
      <w:r>
        <w:rPr>
          <w:rFonts w:cs="標楷體" w:ascii="標楷體" w:hAnsi="標楷體"/>
          <w:sz w:val="32"/>
          <w:szCs w:val="32"/>
        </w:rPr>
        <w:t>102</w:t>
      </w:r>
      <w:r>
        <w:rPr>
          <w:rFonts w:ascii="標楷體" w:hAnsi="標楷體" w:cs="標楷體"/>
          <w:sz w:val="32"/>
          <w:szCs w:val="32"/>
        </w:rPr>
        <w:t>年公務人員考績表平時考核獎懲欄之記載有誤，且再申訴人所涉刑案尚未判決確定，</w:t>
      </w:r>
      <w:r>
        <w:rPr>
          <w:rFonts w:ascii="標楷體" w:hAnsi="標楷體" w:cs="標楷體"/>
          <w:sz w:val="32"/>
          <w:szCs w:val="32"/>
        </w:rPr>
        <w:t>核與銓敘部</w:t>
      </w:r>
      <w:r>
        <w:rPr>
          <w:rFonts w:cs="標楷體" w:ascii="標楷體" w:hAnsi="標楷體"/>
          <w:sz w:val="32"/>
          <w:szCs w:val="32"/>
        </w:rPr>
        <w:t>102</w:t>
      </w:r>
      <w:r>
        <w:rPr>
          <w:rFonts w:ascii="標楷體" w:hAnsi="標楷體" w:cs="標楷體"/>
          <w:sz w:val="32"/>
          <w:szCs w:val="32"/>
        </w:rPr>
        <w:t>年</w:t>
      </w:r>
      <w:r>
        <w:rPr>
          <w:rFonts w:cs="標楷體" w:ascii="標楷體" w:hAnsi="標楷體"/>
          <w:sz w:val="32"/>
          <w:szCs w:val="32"/>
        </w:rPr>
        <w:t>1</w:t>
      </w:r>
      <w:r>
        <w:rPr>
          <w:rFonts w:ascii="標楷體" w:hAnsi="標楷體" w:cs="標楷體"/>
          <w:sz w:val="32"/>
          <w:szCs w:val="32"/>
        </w:rPr>
        <w:t>月</w:t>
      </w:r>
      <w:r>
        <w:rPr>
          <w:rFonts w:cs="標楷體" w:ascii="標楷體" w:hAnsi="標楷體"/>
          <w:sz w:val="32"/>
          <w:szCs w:val="32"/>
        </w:rPr>
        <w:t>3</w:t>
      </w:r>
      <w:r>
        <w:rPr>
          <w:rFonts w:ascii="標楷體" w:hAnsi="標楷體" w:cs="標楷體"/>
          <w:sz w:val="32"/>
          <w:szCs w:val="32"/>
        </w:rPr>
        <w:t>日部法二字第</w:t>
      </w:r>
      <w:r>
        <w:rPr>
          <w:rFonts w:cs="標楷體" w:ascii="標楷體" w:hAnsi="標楷體"/>
          <w:sz w:val="32"/>
          <w:szCs w:val="32"/>
        </w:rPr>
        <w:t>1023681986</w:t>
      </w:r>
      <w:r>
        <w:rPr>
          <w:rFonts w:ascii="標楷體" w:hAnsi="標楷體" w:cs="標楷體"/>
          <w:sz w:val="32"/>
          <w:szCs w:val="32"/>
        </w:rPr>
        <w:t>號函附之「受考人考績宜考列丙等條件一覽表」所列要件未合</w:t>
      </w:r>
      <w:r>
        <w:rPr>
          <w:rFonts w:ascii="標楷體" w:hAnsi="標楷體" w:cs="標楷體"/>
          <w:sz w:val="32"/>
          <w:szCs w:val="32"/>
        </w:rPr>
        <w:t>，以</w:t>
      </w:r>
      <w:r>
        <w:rPr>
          <w:rFonts w:cs="標楷體" w:ascii="標楷體" w:hAnsi="標楷體"/>
          <w:sz w:val="32"/>
          <w:szCs w:val="32"/>
        </w:rPr>
        <w:t>103</w:t>
      </w:r>
      <w:r>
        <w:rPr>
          <w:rFonts w:ascii="標楷體" w:hAnsi="標楷體" w:cs="標楷體"/>
          <w:sz w:val="32"/>
          <w:szCs w:val="32"/>
        </w:rPr>
        <w:t>公申決字第</w:t>
      </w:r>
      <w:r>
        <w:rPr>
          <w:rFonts w:cs="標楷體" w:ascii="標楷體" w:hAnsi="標楷體"/>
          <w:sz w:val="32"/>
          <w:szCs w:val="32"/>
        </w:rPr>
        <w:t>0191</w:t>
      </w:r>
      <w:r>
        <w:rPr>
          <w:rFonts w:ascii="標楷體" w:hAnsi="標楷體" w:cs="標楷體"/>
          <w:sz w:val="32"/>
          <w:szCs w:val="32"/>
        </w:rPr>
        <w:t>號再申訴決定書，將該局對再申訴人</w:t>
      </w:r>
      <w:r>
        <w:rPr>
          <w:rFonts w:cs="標楷體" w:ascii="標楷體" w:hAnsi="標楷體"/>
          <w:sz w:val="32"/>
          <w:szCs w:val="32"/>
        </w:rPr>
        <w:t>102</w:t>
      </w:r>
      <w:r>
        <w:rPr>
          <w:rFonts w:ascii="標楷體" w:hAnsi="標楷體" w:cs="標楷體"/>
          <w:sz w:val="32"/>
          <w:szCs w:val="32"/>
        </w:rPr>
        <w:t>年年終考績考列丙等之評定及申訴函復均撤銷，由服務機關另為適法之評定。經○○分局重行辦理再申訴人</w:t>
      </w:r>
      <w:r>
        <w:rPr>
          <w:rFonts w:cs="標楷體" w:ascii="標楷體" w:hAnsi="標楷體"/>
          <w:sz w:val="32"/>
          <w:szCs w:val="32"/>
        </w:rPr>
        <w:t>102</w:t>
      </w:r>
      <w:r>
        <w:rPr>
          <w:rFonts w:ascii="標楷體" w:hAnsi="標楷體" w:cs="標楷體"/>
          <w:sz w:val="32"/>
          <w:szCs w:val="32"/>
        </w:rPr>
        <w:t>年年終考績，仍核布其考列丙等。經查上開刑案業經臺灣高等法院於</w:t>
      </w:r>
      <w:r>
        <w:rPr>
          <w:rFonts w:cs="標楷體" w:ascii="標楷體" w:hAnsi="標楷體"/>
          <w:sz w:val="32"/>
          <w:szCs w:val="32"/>
        </w:rPr>
        <w:t>103</w:t>
      </w:r>
      <w:r>
        <w:rPr>
          <w:rFonts w:ascii="標楷體" w:hAnsi="標楷體" w:cs="標楷體"/>
          <w:sz w:val="32"/>
          <w:szCs w:val="32"/>
        </w:rPr>
        <w:t>年</w:t>
      </w:r>
      <w:r>
        <w:rPr>
          <w:rFonts w:cs="標楷體" w:ascii="標楷體" w:hAnsi="標楷體"/>
          <w:sz w:val="32"/>
          <w:szCs w:val="32"/>
        </w:rPr>
        <w:t>7</w:t>
      </w:r>
      <w:r>
        <w:rPr>
          <w:rFonts w:ascii="標楷體" w:hAnsi="標楷體" w:cs="標楷體"/>
          <w:sz w:val="32"/>
          <w:szCs w:val="32"/>
        </w:rPr>
        <w:t>月</w:t>
      </w:r>
      <w:r>
        <w:rPr>
          <w:rFonts w:cs="標楷體" w:ascii="標楷體" w:hAnsi="標楷體"/>
          <w:sz w:val="32"/>
          <w:szCs w:val="32"/>
        </w:rPr>
        <w:t>15</w:t>
      </w:r>
      <w:r>
        <w:rPr>
          <w:rFonts w:ascii="標楷體" w:hAnsi="標楷體" w:cs="標楷體"/>
          <w:sz w:val="32"/>
          <w:szCs w:val="32"/>
        </w:rPr>
        <w:t>日判決無罪確定在案</w:t>
      </w:r>
      <w:r>
        <w:rPr>
          <w:rFonts w:ascii="標楷體" w:hAnsi="標楷體" w:cs="標楷體"/>
          <w:sz w:val="32"/>
          <w:szCs w:val="32"/>
        </w:rPr>
        <w:t>，</w:t>
      </w:r>
      <w:r>
        <w:rPr>
          <w:rFonts w:ascii="標楷體" w:hAnsi="標楷體" w:cs="標楷體"/>
          <w:sz w:val="32"/>
          <w:szCs w:val="32"/>
        </w:rPr>
        <w:t>惟再申訴人公務人員考績表之備註及重大優劣事實欄仍載明其涉犯上開刑案之事蹟，且經考績委員會委員於會議中討論後紀錄有案，即難認未將之列入評核參考；</w:t>
      </w:r>
      <w:r>
        <w:rPr>
          <w:rFonts w:ascii="標楷體" w:hAnsi="標楷體" w:cs="標楷體"/>
          <w:sz w:val="32"/>
          <w:szCs w:val="32"/>
        </w:rPr>
        <w:t>又年終考績係考核當年</w:t>
      </w:r>
      <w:r>
        <w:rPr>
          <w:rFonts w:cs="標楷體" w:ascii="標楷體" w:hAnsi="標楷體"/>
          <w:sz w:val="32"/>
          <w:szCs w:val="32"/>
        </w:rPr>
        <w:t>1</w:t>
      </w:r>
      <w:r>
        <w:rPr>
          <w:rFonts w:ascii="標楷體" w:hAnsi="標楷體" w:cs="標楷體"/>
          <w:sz w:val="32"/>
          <w:szCs w:val="32"/>
        </w:rPr>
        <w:t>月至</w:t>
      </w:r>
      <w:r>
        <w:rPr>
          <w:rFonts w:cs="標楷體" w:ascii="標楷體" w:hAnsi="標楷體"/>
          <w:sz w:val="32"/>
          <w:szCs w:val="32"/>
        </w:rPr>
        <w:t>12</w:t>
      </w:r>
      <w:r>
        <w:rPr>
          <w:rFonts w:ascii="標楷體" w:hAnsi="標楷體" w:cs="標楷體"/>
          <w:sz w:val="32"/>
          <w:szCs w:val="32"/>
        </w:rPr>
        <w:t>月任職期間之成績，非僅以現職服務期間之成績為考核依據，依再申訴人</w:t>
      </w:r>
      <w:r>
        <w:rPr>
          <w:rFonts w:cs="標楷體" w:ascii="標楷體" w:hAnsi="標楷體"/>
          <w:sz w:val="32"/>
          <w:szCs w:val="32"/>
        </w:rPr>
        <w:t>102</w:t>
      </w:r>
      <w:r>
        <w:rPr>
          <w:rFonts w:ascii="標楷體" w:hAnsi="標楷體" w:cs="標楷體"/>
          <w:sz w:val="32"/>
          <w:szCs w:val="32"/>
        </w:rPr>
        <w:t>年公務人員考績表之獎懲紀錄，功過相抵後，仍有嘉獎</w:t>
      </w:r>
      <w:r>
        <w:rPr>
          <w:rFonts w:cs="標楷體" w:ascii="標楷體" w:hAnsi="標楷體"/>
          <w:sz w:val="32"/>
          <w:szCs w:val="32"/>
        </w:rPr>
        <w:t>27</w:t>
      </w:r>
      <w:r>
        <w:rPr>
          <w:rFonts w:ascii="標楷體" w:hAnsi="標楷體" w:cs="標楷體"/>
          <w:sz w:val="32"/>
          <w:szCs w:val="32"/>
        </w:rPr>
        <w:t>次</w:t>
      </w:r>
      <w:r>
        <w:rPr>
          <w:rFonts w:ascii="標楷體" w:hAnsi="標楷體" w:cs="標楷體"/>
          <w:sz w:val="32"/>
          <w:szCs w:val="32"/>
        </w:rPr>
        <w:t>；</w:t>
      </w:r>
      <w:r>
        <w:rPr>
          <w:rFonts w:ascii="標楷體" w:hAnsi="標楷體" w:cs="標楷體"/>
          <w:sz w:val="32"/>
          <w:szCs w:val="32"/>
        </w:rPr>
        <w:t>復依卷附資料，亦未見</w:t>
      </w:r>
      <w:r>
        <w:rPr>
          <w:rFonts w:ascii="標楷體" w:hAnsi="標楷體" w:cs="標楷體"/>
          <w:sz w:val="32"/>
          <w:szCs w:val="32"/>
        </w:rPr>
        <w:t>○○</w:t>
      </w:r>
      <w:r>
        <w:rPr>
          <w:rFonts w:ascii="標楷體" w:hAnsi="標楷體" w:cs="標楷體"/>
          <w:sz w:val="32"/>
          <w:szCs w:val="32"/>
        </w:rPr>
        <w:t>分局提出再申訴人具上開一覽表所列各款情形，或其他宜考列丙等以下之具體事證。據此，</w:t>
      </w:r>
      <w:r>
        <w:rPr>
          <w:rFonts w:ascii="標楷體" w:hAnsi="標楷體" w:cs="標楷體"/>
          <w:sz w:val="32"/>
          <w:szCs w:val="32"/>
        </w:rPr>
        <w:t>○○</w:t>
      </w:r>
      <w:r>
        <w:rPr>
          <w:rFonts w:ascii="標楷體" w:hAnsi="標楷體" w:cs="標楷體"/>
          <w:sz w:val="32"/>
          <w:szCs w:val="32"/>
        </w:rPr>
        <w:t>分局評定再申訴人</w:t>
      </w:r>
      <w:r>
        <w:rPr>
          <w:rFonts w:cs="標楷體" w:ascii="標楷體" w:hAnsi="標楷體"/>
          <w:sz w:val="32"/>
          <w:szCs w:val="32"/>
        </w:rPr>
        <w:t>102</w:t>
      </w:r>
      <w:r>
        <w:rPr>
          <w:rFonts w:ascii="標楷體" w:hAnsi="標楷體" w:cs="標楷體"/>
          <w:sz w:val="32"/>
          <w:szCs w:val="32"/>
        </w:rPr>
        <w:t>年年終考績</w:t>
      </w:r>
      <w:r>
        <w:rPr>
          <w:rFonts w:ascii="標楷體" w:hAnsi="標楷體" w:cs="標楷體"/>
          <w:sz w:val="32"/>
          <w:szCs w:val="32"/>
        </w:rPr>
        <w:t>考列丙等</w:t>
      </w:r>
      <w:r>
        <w:rPr>
          <w:rFonts w:ascii="標楷體" w:hAnsi="標楷體" w:cs="標楷體"/>
          <w:sz w:val="32"/>
          <w:szCs w:val="32"/>
        </w:rPr>
        <w:t>，核有與事件無關之考慮牽涉在內，尚非妥適。</w:t>
      </w:r>
      <w:r>
        <w:rPr>
          <w:rFonts w:ascii="標楷體" w:hAnsi="標楷體" w:cs="標楷體"/>
          <w:sz w:val="32"/>
          <w:szCs w:val="32"/>
        </w:rPr>
        <w:t>（</w:t>
      </w:r>
      <w:r>
        <w:rPr>
          <w:rFonts w:cs="Tahoma" w:ascii="標楷體" w:hAnsi="標楷體"/>
          <w:sz w:val="32"/>
          <w:szCs w:val="32"/>
        </w:rPr>
        <w:t>104</w:t>
      </w:r>
      <w:r>
        <w:rPr>
          <w:rFonts w:ascii="標楷體" w:hAnsi="標楷體" w:cs="Tahoma"/>
          <w:sz w:val="32"/>
          <w:szCs w:val="32"/>
        </w:rPr>
        <w:t>公申決字第</w:t>
      </w:r>
      <w:r>
        <w:rPr>
          <w:rFonts w:cs="Tahoma" w:ascii="標楷體" w:hAnsi="標楷體"/>
          <w:sz w:val="32"/>
          <w:szCs w:val="32"/>
        </w:rPr>
        <w:t>0054</w:t>
      </w:r>
      <w:r>
        <w:rPr>
          <w:rFonts w:ascii="標楷體" w:hAnsi="標楷體" w:cs="Tahoma"/>
          <w:sz w:val="32"/>
          <w:szCs w:val="32"/>
        </w:rPr>
        <w:t>號</w:t>
      </w:r>
      <w:r>
        <w:rPr>
          <w:rFonts w:ascii="標楷體" w:hAnsi="標楷體" w:cs="標楷體"/>
          <w:sz w:val="32"/>
          <w:szCs w:val="32"/>
        </w:rPr>
        <w:t>再申訴決定書）</w:t>
      </w:r>
    </w:p>
    <w:p>
      <w:pPr>
        <w:pStyle w:val="23"/>
        <w:kinsoku w:val="true"/>
        <w:spacing w:before="199" w:after="0"/>
        <w:ind w:hanging="0"/>
        <w:rPr>
          <w:b/>
          <w:b/>
          <w:sz w:val="32"/>
          <w:szCs w:val="32"/>
        </w:rPr>
      </w:pPr>
      <w:r>
        <w:rPr>
          <w:b/>
          <w:sz w:val="32"/>
          <w:szCs w:val="32"/>
        </w:rPr>
        <w:t>三、關於獎懲實體撤銷理由部分：</w:t>
      </w:r>
      <w:r>
        <w:rPr>
          <w:b/>
          <w:sz w:val="32"/>
          <w:szCs w:val="32"/>
        </w:rPr>
        <w:t xml:space="preserve"> </w:t>
      </w:r>
    </w:p>
    <w:p>
      <w:pPr>
        <w:pStyle w:val="23"/>
        <w:kinsoku w:val="true"/>
        <w:spacing w:before="80" w:after="0"/>
        <w:ind w:left="706" w:firstLine="10"/>
        <w:rPr>
          <w:rFonts w:cs="標楷體"/>
          <w:sz w:val="32"/>
          <w:szCs w:val="32"/>
        </w:rPr>
      </w:pPr>
      <w:r>
        <w:rPr>
          <w:rFonts w:cs="標楷體"/>
          <w:sz w:val="32"/>
          <w:szCs w:val="32"/>
        </w:rPr>
        <w:t>依考績法第</w:t>
      </w:r>
      <w:r>
        <w:rPr>
          <w:rFonts w:cs="標楷體"/>
          <w:sz w:val="32"/>
          <w:szCs w:val="32"/>
        </w:rPr>
        <w:t>14</w:t>
      </w:r>
      <w:r>
        <w:rPr>
          <w:rFonts w:cs="標楷體"/>
          <w:sz w:val="32"/>
          <w:szCs w:val="32"/>
        </w:rPr>
        <w:t>條、第</w:t>
      </w:r>
      <w:r>
        <w:rPr>
          <w:rFonts w:cs="標楷體"/>
          <w:sz w:val="32"/>
          <w:szCs w:val="32"/>
        </w:rPr>
        <w:t>15</w:t>
      </w:r>
      <w:r>
        <w:rPr>
          <w:rFonts w:cs="標楷體"/>
          <w:sz w:val="32"/>
          <w:szCs w:val="32"/>
        </w:rPr>
        <w:t>條及組織規程第</w:t>
      </w:r>
      <w:r>
        <w:rPr>
          <w:rFonts w:cs="標楷體"/>
          <w:sz w:val="32"/>
          <w:szCs w:val="32"/>
        </w:rPr>
        <w:t>3</w:t>
      </w:r>
      <w:r>
        <w:rPr>
          <w:rFonts w:cs="標楷體"/>
          <w:sz w:val="32"/>
          <w:szCs w:val="32"/>
        </w:rPr>
        <w:t>條規定，除長官僅有一級或因特殊情形報經上級機關核准不設置考績委員會外，各機關應設考績委員會，以核議機關職員及直屬機關首長之平時考核獎懲。是各機關辦理公務人員獎懲時，自應依考績法相關規定及各機關獎懲規定辦理，惟尚有下列瑕疵，而經</w:t>
      </w:r>
      <w:r>
        <w:rPr>
          <w:rFonts w:cs="標楷體"/>
          <w:sz w:val="32"/>
          <w:szCs w:val="32"/>
        </w:rPr>
        <w:t>本</w:t>
      </w:r>
      <w:r>
        <w:rPr>
          <w:rFonts w:cs="標楷體"/>
          <w:sz w:val="32"/>
          <w:szCs w:val="32"/>
        </w:rPr>
        <w:t>會</w:t>
      </w:r>
      <w:r>
        <w:rPr>
          <w:rFonts w:cs="標楷體"/>
          <w:sz w:val="32"/>
          <w:szCs w:val="32"/>
        </w:rPr>
        <w:t>決定</w:t>
      </w:r>
      <w:r>
        <w:rPr>
          <w:rFonts w:cs="標楷體"/>
          <w:sz w:val="32"/>
          <w:szCs w:val="32"/>
        </w:rPr>
        <w:t>撤銷者︰</w:t>
      </w:r>
    </w:p>
    <w:p>
      <w:pPr>
        <w:pStyle w:val="Normal"/>
        <w:numPr>
          <w:ilvl w:val="0"/>
          <w:numId w:val="4"/>
        </w:numPr>
        <w:spacing w:lineRule="exact" w:line="560"/>
        <w:ind w:left="964" w:hanging="1106"/>
        <w:jc w:val="both"/>
        <w:rPr>
          <w:rFonts w:ascii="標楷體" w:hAnsi="標楷體" w:cs="標楷體"/>
          <w:sz w:val="32"/>
          <w:szCs w:val="32"/>
        </w:rPr>
      </w:pPr>
      <w:r>
        <w:rPr>
          <w:rFonts w:ascii="標楷體" w:hAnsi="標楷體" w:cs="標楷體"/>
          <w:b/>
          <w:sz w:val="32"/>
          <w:szCs w:val="32"/>
        </w:rPr>
        <w:t>逾</w:t>
      </w:r>
      <w:r>
        <w:rPr>
          <w:rFonts w:cs="標楷體" w:ascii="標楷體" w:hAnsi="標楷體"/>
          <w:b/>
          <w:sz w:val="32"/>
          <w:szCs w:val="32"/>
        </w:rPr>
        <w:t>1</w:t>
      </w:r>
      <w:r>
        <w:rPr>
          <w:rFonts w:cs="標楷體" w:ascii="標楷體" w:hAnsi="標楷體"/>
          <w:b/>
          <w:sz w:val="32"/>
          <w:szCs w:val="32"/>
        </w:rPr>
        <w:t>0</w:t>
      </w:r>
      <w:r>
        <w:rPr>
          <w:rFonts w:ascii="標楷體" w:hAnsi="標楷體" w:cs="標楷體"/>
          <w:b/>
          <w:sz w:val="32"/>
          <w:szCs w:val="32"/>
        </w:rPr>
        <w:t>年行使懲處權時效：</w:t>
      </w:r>
    </w:p>
    <w:p>
      <w:pPr>
        <w:pStyle w:val="Normal"/>
        <w:spacing w:lineRule="exact" w:line="560"/>
        <w:ind w:left="964" w:hanging="0"/>
        <w:jc w:val="both"/>
        <w:rPr>
          <w:rFonts w:ascii="標楷體" w:hAnsi="標楷體" w:cs="標楷體"/>
          <w:sz w:val="32"/>
          <w:szCs w:val="32"/>
        </w:rPr>
      </w:pPr>
      <w:r>
        <w:rPr>
          <w:rFonts w:ascii="標楷體" w:hAnsi="標楷體" w:cs="標楷體"/>
          <w:sz w:val="32"/>
          <w:szCs w:val="32"/>
        </w:rPr>
        <w:t>服務機關於</w:t>
      </w:r>
      <w:r>
        <w:rPr>
          <w:rFonts w:cs="Tahoma" w:ascii="標楷體" w:hAnsi="標楷體"/>
          <w:sz w:val="32"/>
          <w:szCs w:val="32"/>
        </w:rPr>
        <w:t>103</w:t>
      </w:r>
      <w:r>
        <w:rPr>
          <w:rFonts w:ascii="標楷體" w:hAnsi="標楷體" w:cs="Tahoma"/>
          <w:sz w:val="32"/>
          <w:szCs w:val="32"/>
        </w:rPr>
        <w:t>年</w:t>
      </w:r>
      <w:r>
        <w:rPr>
          <w:rFonts w:cs="Tahoma" w:ascii="標楷體" w:hAnsi="標楷體"/>
          <w:sz w:val="32"/>
          <w:szCs w:val="32"/>
        </w:rPr>
        <w:t>9</w:t>
      </w:r>
      <w:r>
        <w:rPr>
          <w:rFonts w:ascii="標楷體" w:hAnsi="標楷體" w:cs="標楷體"/>
          <w:sz w:val="32"/>
          <w:szCs w:val="32"/>
        </w:rPr>
        <w:t>月</w:t>
      </w:r>
      <w:r>
        <w:rPr>
          <w:rFonts w:cs="標楷體" w:ascii="標楷體" w:hAnsi="標楷體"/>
          <w:sz w:val="32"/>
          <w:szCs w:val="32"/>
        </w:rPr>
        <w:t>30</w:t>
      </w:r>
      <w:r>
        <w:rPr>
          <w:rFonts w:ascii="標楷體" w:hAnsi="標楷體" w:cs="標楷體"/>
          <w:sz w:val="32"/>
          <w:szCs w:val="32"/>
        </w:rPr>
        <w:t>日始以系爭懲處，追究再申訴人於</w:t>
      </w:r>
      <w:r>
        <w:rPr>
          <w:rFonts w:cs="標楷體" w:ascii="標楷體" w:hAnsi="標楷體"/>
          <w:sz w:val="32"/>
          <w:szCs w:val="32"/>
        </w:rPr>
        <w:t>93</w:t>
      </w:r>
      <w:r>
        <w:rPr>
          <w:rFonts w:ascii="標楷體" w:hAnsi="標楷體" w:cs="標楷體"/>
          <w:sz w:val="32"/>
          <w:szCs w:val="32"/>
        </w:rPr>
        <w:t>年</w:t>
      </w:r>
      <w:r>
        <w:rPr>
          <w:rFonts w:cs="標楷體" w:ascii="標楷體" w:hAnsi="標楷體"/>
          <w:sz w:val="32"/>
          <w:szCs w:val="32"/>
        </w:rPr>
        <w:t>8</w:t>
      </w:r>
      <w:r>
        <w:rPr>
          <w:rFonts w:ascii="標楷體" w:hAnsi="標楷體" w:cs="標楷體"/>
          <w:sz w:val="32"/>
          <w:szCs w:val="32"/>
        </w:rPr>
        <w:t>月</w:t>
      </w:r>
      <w:r>
        <w:rPr>
          <w:rFonts w:cs="標楷體" w:ascii="標楷體" w:hAnsi="標楷體"/>
          <w:sz w:val="32"/>
          <w:szCs w:val="32"/>
        </w:rPr>
        <w:t>31</w:t>
      </w:r>
      <w:r>
        <w:rPr>
          <w:rFonts w:ascii="標楷體" w:hAnsi="標楷體" w:cs="標楷體"/>
          <w:sz w:val="32"/>
          <w:szCs w:val="32"/>
        </w:rPr>
        <w:t>日前</w:t>
      </w:r>
      <w:r>
        <w:rPr>
          <w:rFonts w:ascii="標楷體" w:hAnsi="標楷體" w:cs="標楷體"/>
          <w:sz w:val="32"/>
          <w:szCs w:val="32"/>
        </w:rPr>
        <w:t>之違失行為，已逾對公務人員行使懲處權之</w:t>
      </w:r>
      <w:r>
        <w:rPr>
          <w:rFonts w:cs="標楷體" w:ascii="標楷體" w:hAnsi="標楷體"/>
          <w:sz w:val="32"/>
          <w:szCs w:val="32"/>
        </w:rPr>
        <w:t>10</w:t>
      </w:r>
      <w:r>
        <w:rPr>
          <w:rFonts w:ascii="標楷體" w:hAnsi="標楷體" w:cs="標楷體"/>
          <w:sz w:val="32"/>
          <w:szCs w:val="32"/>
        </w:rPr>
        <w:t>年</w:t>
      </w:r>
      <w:r>
        <w:rPr>
          <w:rFonts w:ascii="標楷體" w:hAnsi="標楷體" w:cs="標楷體"/>
          <w:sz w:val="32"/>
          <w:szCs w:val="32"/>
        </w:rPr>
        <w:t>時效</w:t>
      </w:r>
      <w:r>
        <w:rPr>
          <w:rFonts w:ascii="標楷體" w:hAnsi="標楷體" w:cs="標楷體"/>
          <w:sz w:val="32"/>
          <w:szCs w:val="32"/>
        </w:rPr>
        <w:t>期間。</w:t>
      </w:r>
      <w:r>
        <w:rPr>
          <w:rFonts w:ascii="標楷體" w:hAnsi="標楷體" w:cs="標楷體"/>
          <w:sz w:val="32"/>
          <w:szCs w:val="32"/>
        </w:rPr>
        <w:t>（</w:t>
      </w:r>
      <w:r>
        <w:rPr>
          <w:rFonts w:cs="標楷體" w:ascii="標楷體" w:hAnsi="標楷體"/>
          <w:sz w:val="32"/>
          <w:szCs w:val="32"/>
        </w:rPr>
        <w:t>104</w:t>
      </w:r>
      <w:r>
        <w:rPr>
          <w:rFonts w:ascii="標楷體" w:hAnsi="標楷體" w:cs="標楷體"/>
          <w:sz w:val="32"/>
          <w:szCs w:val="32"/>
        </w:rPr>
        <w:t>公申決字第</w:t>
      </w:r>
      <w:r>
        <w:rPr>
          <w:rFonts w:cs="標楷體" w:ascii="標楷體" w:hAnsi="標楷體"/>
          <w:sz w:val="32"/>
          <w:szCs w:val="32"/>
        </w:rPr>
        <w:t>0069</w:t>
      </w:r>
      <w:r>
        <w:rPr>
          <w:rFonts w:ascii="標楷體" w:hAnsi="標楷體" w:cs="標楷體"/>
          <w:sz w:val="32"/>
          <w:szCs w:val="32"/>
        </w:rPr>
        <w:t>號、第</w:t>
      </w:r>
      <w:r>
        <w:rPr>
          <w:rFonts w:cs="標楷體" w:ascii="標楷體" w:hAnsi="標楷體"/>
          <w:sz w:val="32"/>
          <w:szCs w:val="32"/>
        </w:rPr>
        <w:t>0079</w:t>
      </w:r>
      <w:r>
        <w:rPr>
          <w:rFonts w:ascii="標楷體" w:hAnsi="標楷體" w:cs="標楷體"/>
          <w:sz w:val="32"/>
          <w:szCs w:val="32"/>
        </w:rPr>
        <w:t>號再申訴決定書）</w:t>
      </w:r>
    </w:p>
    <w:p>
      <w:pPr>
        <w:pStyle w:val="Normal"/>
        <w:numPr>
          <w:ilvl w:val="0"/>
          <w:numId w:val="4"/>
        </w:numPr>
        <w:spacing w:lineRule="exact" w:line="560" w:before="199" w:after="0"/>
        <w:ind w:left="964" w:hanging="1106"/>
        <w:jc w:val="both"/>
        <w:rPr>
          <w:rStyle w:val="Stext"/>
          <w:rFonts w:ascii="標楷體" w:hAnsi="標楷體" w:cs="標楷體"/>
          <w:b/>
          <w:b/>
          <w:sz w:val="32"/>
          <w:szCs w:val="32"/>
        </w:rPr>
      </w:pPr>
      <w:r>
        <w:rPr>
          <w:rStyle w:val="Stext"/>
          <w:rFonts w:ascii="標楷體" w:hAnsi="標楷體" w:cs="標楷體"/>
          <w:b/>
          <w:sz w:val="32"/>
          <w:szCs w:val="32"/>
        </w:rPr>
        <w:t>違反一行為不二罰原則︰</w:t>
      </w:r>
    </w:p>
    <w:p>
      <w:pPr>
        <w:pStyle w:val="Normal"/>
        <w:spacing w:lineRule="exact" w:line="560"/>
        <w:ind w:left="964" w:hanging="0"/>
        <w:jc w:val="both"/>
        <w:rPr>
          <w:rFonts w:ascii="標楷體" w:hAnsi="標楷體" w:cs="標楷體"/>
          <w:sz w:val="32"/>
          <w:szCs w:val="32"/>
        </w:rPr>
      </w:pPr>
      <w:r>
        <w:rPr>
          <w:rFonts w:ascii="標楷體" w:hAnsi="標楷體" w:cs="標楷體"/>
          <w:sz w:val="32"/>
          <w:szCs w:val="32"/>
        </w:rPr>
        <w:t>按「一行為不二罰」乃現代民主法治國家之基本原則，機關對於行為人基於相同動機或概括犯意之單一事件，應整體考量，合併審究其行政責任。查再申訴人於</w:t>
      </w:r>
      <w:r>
        <w:rPr>
          <w:rFonts w:cs="標楷體" w:ascii="標楷體" w:hAnsi="標楷體"/>
          <w:sz w:val="32"/>
          <w:szCs w:val="32"/>
        </w:rPr>
        <w:t>103</w:t>
      </w:r>
      <w:r>
        <w:rPr>
          <w:rFonts w:ascii="標楷體" w:hAnsi="標楷體" w:cs="標楷體"/>
          <w:sz w:val="32"/>
          <w:szCs w:val="32"/>
        </w:rPr>
        <w:t>年</w:t>
      </w:r>
      <w:r>
        <w:rPr>
          <w:rFonts w:cs="標楷體" w:ascii="標楷體" w:hAnsi="標楷體"/>
          <w:sz w:val="32"/>
          <w:szCs w:val="32"/>
        </w:rPr>
        <w:t>1</w:t>
      </w:r>
      <w:r>
        <w:rPr>
          <w:rFonts w:ascii="標楷體" w:hAnsi="標楷體" w:cs="標楷體"/>
          <w:sz w:val="32"/>
          <w:szCs w:val="32"/>
        </w:rPr>
        <w:t>月</w:t>
      </w:r>
      <w:r>
        <w:rPr>
          <w:rFonts w:cs="標楷體" w:ascii="標楷體" w:hAnsi="標楷體"/>
          <w:sz w:val="32"/>
          <w:szCs w:val="32"/>
        </w:rPr>
        <w:t>2</w:t>
      </w:r>
      <w:r>
        <w:rPr>
          <w:rFonts w:ascii="標楷體" w:hAnsi="標楷體" w:cs="標楷體"/>
          <w:sz w:val="32"/>
          <w:szCs w:val="32"/>
        </w:rPr>
        <w:t>日、同年月</w:t>
      </w:r>
      <w:r>
        <w:rPr>
          <w:rFonts w:cs="標楷體" w:ascii="標楷體" w:hAnsi="標楷體"/>
          <w:sz w:val="32"/>
          <w:szCs w:val="32"/>
        </w:rPr>
        <w:t>4</w:t>
      </w:r>
      <w:r>
        <w:rPr>
          <w:rFonts w:ascii="標楷體" w:hAnsi="標楷體" w:cs="標楷體"/>
          <w:sz w:val="32"/>
          <w:szCs w:val="32"/>
        </w:rPr>
        <w:t>日及同年月</w:t>
      </w:r>
      <w:r>
        <w:rPr>
          <w:rFonts w:cs="標楷體" w:ascii="標楷體" w:hAnsi="標楷體"/>
          <w:sz w:val="32"/>
          <w:szCs w:val="32"/>
        </w:rPr>
        <w:t>8</w:t>
      </w:r>
      <w:r>
        <w:rPr>
          <w:rFonts w:ascii="標楷體" w:hAnsi="標楷體" w:cs="標楷體"/>
          <w:sz w:val="32"/>
          <w:szCs w:val="32"/>
        </w:rPr>
        <w:t>日連續</w:t>
      </w:r>
      <w:r>
        <w:rPr>
          <w:rFonts w:cs="標楷體" w:ascii="標楷體" w:hAnsi="標楷體"/>
          <w:sz w:val="32"/>
          <w:szCs w:val="32"/>
        </w:rPr>
        <w:t>3</w:t>
      </w:r>
      <w:r>
        <w:rPr>
          <w:rFonts w:ascii="標楷體" w:hAnsi="標楷體" w:cs="標楷體"/>
          <w:sz w:val="32"/>
          <w:szCs w:val="32"/>
        </w:rPr>
        <w:t>日上班日值勤時，確有未依規定簽牌之情事，且有具體事證，惟其違失行為，皆因腳傷未癒，夜間行走疼痛加劇，並非故意，且提出醫院診斷證明書，以實其說。</w:t>
      </w:r>
      <w:r>
        <w:rPr>
          <w:rFonts w:ascii="標楷體" w:hAnsi="標楷體" w:cs="標楷體"/>
          <w:sz w:val="32"/>
          <w:szCs w:val="32"/>
        </w:rPr>
        <w:t>○○</w:t>
      </w:r>
      <w:r>
        <w:rPr>
          <w:rFonts w:ascii="標楷體" w:hAnsi="標楷體" w:cs="標楷體"/>
          <w:sz w:val="32"/>
          <w:szCs w:val="32"/>
        </w:rPr>
        <w:t>看守所表示，該所懲處額度加重之標準為，第</w:t>
      </w:r>
      <w:r>
        <w:rPr>
          <w:rFonts w:cs="標楷體" w:ascii="標楷體" w:hAnsi="標楷體"/>
          <w:sz w:val="32"/>
          <w:szCs w:val="32"/>
        </w:rPr>
        <w:t>1</w:t>
      </w:r>
      <w:r>
        <w:rPr>
          <w:rFonts w:ascii="標楷體" w:hAnsi="標楷體" w:cs="標楷體"/>
          <w:sz w:val="32"/>
          <w:szCs w:val="32"/>
        </w:rPr>
        <w:t>次違規者核予申誡一次，再次違規者加重懲處。據上，再申訴人於連續</w:t>
      </w:r>
      <w:r>
        <w:rPr>
          <w:rFonts w:cs="標楷體" w:ascii="標楷體" w:hAnsi="標楷體"/>
          <w:sz w:val="32"/>
          <w:szCs w:val="32"/>
        </w:rPr>
        <w:t>3</w:t>
      </w:r>
      <w:r>
        <w:rPr>
          <w:rFonts w:ascii="標楷體" w:hAnsi="標楷體" w:cs="標楷體"/>
          <w:sz w:val="32"/>
          <w:szCs w:val="32"/>
        </w:rPr>
        <w:t>日上班日所為相同類型之違失行為，且提出因腳傷而無法按時簽牌之事證，</w:t>
      </w:r>
      <w:r>
        <w:rPr>
          <w:rFonts w:ascii="標楷體" w:hAnsi="標楷體" w:cs="標楷體"/>
          <w:sz w:val="32"/>
          <w:szCs w:val="32"/>
        </w:rPr>
        <w:t>○○</w:t>
      </w:r>
      <w:r>
        <w:rPr>
          <w:rFonts w:ascii="標楷體" w:hAnsi="標楷體" w:cs="標楷體"/>
          <w:sz w:val="32"/>
          <w:szCs w:val="32"/>
        </w:rPr>
        <w:t>看守所分別核予申誡ㄧ次、申誡二次及申誡二次之懲處，是否就其動機與犯意為整體之考量，不無疑義，核有再行斟酌之必要。</w:t>
      </w:r>
      <w:r>
        <w:rPr>
          <w:rFonts w:ascii="標楷體" w:hAnsi="標楷體" w:cs="標楷體"/>
          <w:sz w:val="32"/>
          <w:szCs w:val="32"/>
        </w:rPr>
        <w:t>（</w:t>
      </w:r>
      <w:r>
        <w:rPr>
          <w:rFonts w:cs="標楷體" w:ascii="標楷體" w:hAnsi="標楷體"/>
          <w:sz w:val="32"/>
          <w:szCs w:val="32"/>
        </w:rPr>
        <w:t>104</w:t>
      </w:r>
      <w:r>
        <w:rPr>
          <w:rFonts w:ascii="標楷體" w:hAnsi="標楷體" w:cs="標楷體"/>
          <w:sz w:val="32"/>
          <w:szCs w:val="32"/>
        </w:rPr>
        <w:t>公申決字第</w:t>
      </w:r>
      <w:r>
        <w:rPr>
          <w:rFonts w:cs="標楷體" w:ascii="標楷體" w:hAnsi="標楷體"/>
          <w:sz w:val="32"/>
          <w:szCs w:val="32"/>
        </w:rPr>
        <w:t>0036</w:t>
      </w:r>
      <w:r>
        <w:rPr>
          <w:rFonts w:ascii="標楷體" w:hAnsi="標楷體" w:cs="標楷體"/>
          <w:sz w:val="32"/>
          <w:szCs w:val="32"/>
        </w:rPr>
        <w:t>號再申訴決定書）</w:t>
      </w:r>
    </w:p>
    <w:p>
      <w:pPr>
        <w:pStyle w:val="Normal"/>
        <w:numPr>
          <w:ilvl w:val="0"/>
          <w:numId w:val="4"/>
        </w:numPr>
        <w:spacing w:lineRule="exact" w:line="560" w:before="199" w:after="0"/>
        <w:ind w:left="964" w:hanging="1106"/>
        <w:jc w:val="both"/>
        <w:rPr/>
      </w:pPr>
      <w:r>
        <w:rPr>
          <w:rFonts w:ascii="標楷體" w:hAnsi="標楷體" w:cs="標楷體"/>
          <w:b/>
          <w:sz w:val="32"/>
          <w:szCs w:val="32"/>
        </w:rPr>
        <w:t>懲處</w:t>
      </w:r>
      <w:r>
        <w:rPr>
          <w:rFonts w:ascii="標楷體" w:hAnsi="標楷體" w:cs="標楷體"/>
          <w:b/>
          <w:sz w:val="32"/>
          <w:szCs w:val="32"/>
        </w:rPr>
        <w:t>事實未經</w:t>
      </w:r>
      <w:r>
        <w:rPr>
          <w:rFonts w:ascii="標楷體" w:hAnsi="標楷體" w:cs="標楷體"/>
          <w:b/>
          <w:sz w:val="32"/>
          <w:szCs w:val="32"/>
        </w:rPr>
        <w:t>詳</w:t>
      </w:r>
      <w:r>
        <w:rPr>
          <w:rFonts w:ascii="標楷體" w:hAnsi="標楷體" w:cs="標楷體"/>
          <w:b/>
          <w:sz w:val="32"/>
          <w:szCs w:val="32"/>
        </w:rPr>
        <w:t>實調查或認定有誤</w:t>
      </w:r>
      <w:r>
        <w:rPr>
          <w:rFonts w:ascii="標楷體" w:hAnsi="標楷體" w:cs="標楷體"/>
          <w:b/>
          <w:sz w:val="32"/>
          <w:szCs w:val="32"/>
        </w:rPr>
        <w:t>︰</w:t>
      </w:r>
    </w:p>
    <w:p>
      <w:pPr>
        <w:pStyle w:val="Normal"/>
        <w:overflowPunct w:val="false"/>
        <w:autoSpaceDE w:val="false"/>
        <w:spacing w:lineRule="exact" w:line="560"/>
        <w:ind w:left="1040" w:hanging="320"/>
        <w:jc w:val="both"/>
        <w:rPr>
          <w:rFonts w:ascii="標楷體" w:hAnsi="標楷體" w:cs="標楷體"/>
          <w:sz w:val="32"/>
          <w:szCs w:val="32"/>
        </w:rPr>
      </w:pPr>
      <w:r>
        <w:rPr>
          <w:rFonts w:cs="標楷體" w:ascii="標楷體" w:hAnsi="標楷體"/>
          <w:sz w:val="32"/>
          <w:szCs w:val="32"/>
        </w:rPr>
        <w:t>1.</w:t>
      </w:r>
      <w:r>
        <w:rPr>
          <w:rFonts w:ascii="標楷體" w:hAnsi="標楷體" w:cs="標楷體"/>
          <w:sz w:val="32"/>
          <w:szCs w:val="32"/>
        </w:rPr>
        <w:t>再申訴人是否確有行為不檢、違反相關法規所定注意義務或執行職務不遵守規章等違失情事，及該行為是否達影響機關聲譽，情節嚴重之程度，服務機關未詳加調查，即逕予懲處，核其認事用法，不無重行斟酌之餘地。（</w:t>
      </w:r>
      <w:r>
        <w:rPr>
          <w:rFonts w:cs="標楷體" w:ascii="標楷體" w:hAnsi="標楷體"/>
          <w:sz w:val="32"/>
          <w:szCs w:val="32"/>
        </w:rPr>
        <w:t>10</w:t>
      </w:r>
      <w:r>
        <w:rPr>
          <w:rFonts w:cs="標楷體" w:ascii="標楷體" w:hAnsi="標楷體"/>
          <w:sz w:val="32"/>
          <w:szCs w:val="32"/>
        </w:rPr>
        <w:t>4</w:t>
      </w:r>
      <w:r>
        <w:rPr>
          <w:rFonts w:ascii="標楷體" w:hAnsi="標楷體" w:cs="標楷體"/>
          <w:sz w:val="32"/>
          <w:szCs w:val="32"/>
        </w:rPr>
        <w:t>公申決字第</w:t>
      </w:r>
      <w:r>
        <w:rPr>
          <w:rFonts w:cs="標楷體" w:ascii="標楷體" w:hAnsi="標楷體"/>
          <w:sz w:val="32"/>
          <w:szCs w:val="32"/>
        </w:rPr>
        <w:t>0016</w:t>
      </w:r>
      <w:r>
        <w:rPr>
          <w:rFonts w:ascii="標楷體" w:hAnsi="標楷體" w:cs="標楷體"/>
          <w:sz w:val="32"/>
          <w:szCs w:val="32"/>
        </w:rPr>
        <w:t>號、第</w:t>
      </w:r>
      <w:r>
        <w:rPr>
          <w:rFonts w:cs="標楷體" w:ascii="標楷體" w:hAnsi="標楷體"/>
          <w:sz w:val="32"/>
          <w:szCs w:val="32"/>
        </w:rPr>
        <w:t>0017</w:t>
      </w:r>
      <w:r>
        <w:rPr>
          <w:rFonts w:ascii="標楷體" w:hAnsi="標楷體" w:cs="標楷體"/>
          <w:sz w:val="32"/>
          <w:szCs w:val="32"/>
        </w:rPr>
        <w:t>號</w:t>
      </w:r>
      <w:r>
        <w:rPr>
          <w:rFonts w:ascii="標楷體" w:hAnsi="標楷體" w:cs="標楷體"/>
          <w:sz w:val="32"/>
          <w:szCs w:val="32"/>
        </w:rPr>
        <w:t>、第</w:t>
      </w:r>
      <w:r>
        <w:rPr>
          <w:rFonts w:cs="標楷體" w:ascii="標楷體" w:hAnsi="標楷體"/>
          <w:sz w:val="32"/>
          <w:szCs w:val="32"/>
        </w:rPr>
        <w:t>0035</w:t>
      </w:r>
      <w:r>
        <w:rPr>
          <w:rFonts w:ascii="標楷體" w:hAnsi="標楷體" w:cs="標楷體"/>
          <w:sz w:val="32"/>
          <w:szCs w:val="32"/>
        </w:rPr>
        <w:t>號</w:t>
      </w:r>
      <w:r>
        <w:rPr>
          <w:rFonts w:ascii="標楷體" w:hAnsi="標楷體" w:cs="標楷體"/>
          <w:sz w:val="32"/>
          <w:szCs w:val="32"/>
        </w:rPr>
        <w:t>、第</w:t>
      </w:r>
      <w:r>
        <w:rPr>
          <w:rFonts w:cs="標楷體" w:ascii="標楷體" w:hAnsi="標楷體"/>
          <w:sz w:val="32"/>
          <w:szCs w:val="32"/>
        </w:rPr>
        <w:t>0043</w:t>
      </w:r>
      <w:r>
        <w:rPr>
          <w:rFonts w:ascii="標楷體" w:hAnsi="標楷體" w:cs="標楷體"/>
          <w:sz w:val="32"/>
          <w:szCs w:val="32"/>
        </w:rPr>
        <w:t>號</w:t>
      </w:r>
      <w:r>
        <w:rPr>
          <w:rFonts w:ascii="標楷體" w:hAnsi="標楷體" w:cs="標楷體"/>
          <w:sz w:val="32"/>
          <w:szCs w:val="32"/>
        </w:rPr>
        <w:t>、第</w:t>
      </w:r>
      <w:r>
        <w:rPr>
          <w:rFonts w:cs="標楷體" w:ascii="標楷體" w:hAnsi="標楷體"/>
          <w:sz w:val="32"/>
          <w:szCs w:val="32"/>
        </w:rPr>
        <w:t>0082</w:t>
      </w:r>
      <w:r>
        <w:rPr>
          <w:rFonts w:ascii="標楷體" w:hAnsi="標楷體" w:cs="標楷體"/>
          <w:sz w:val="32"/>
          <w:szCs w:val="32"/>
        </w:rPr>
        <w:t>號</w:t>
      </w:r>
      <w:r>
        <w:rPr>
          <w:rFonts w:ascii="標楷體" w:hAnsi="標楷體" w:cs="標楷體"/>
          <w:sz w:val="32"/>
          <w:szCs w:val="32"/>
        </w:rPr>
        <w:t>、第</w:t>
      </w:r>
      <w:r>
        <w:rPr>
          <w:rFonts w:cs="標楷體" w:ascii="標楷體" w:hAnsi="標楷體"/>
          <w:sz w:val="32"/>
          <w:szCs w:val="32"/>
        </w:rPr>
        <w:t>0113</w:t>
      </w:r>
      <w:r>
        <w:rPr>
          <w:rFonts w:ascii="標楷體" w:hAnsi="標楷體" w:cs="標楷體"/>
          <w:sz w:val="32"/>
          <w:szCs w:val="32"/>
        </w:rPr>
        <w:t>號、第</w:t>
      </w:r>
      <w:r>
        <w:rPr>
          <w:rFonts w:cs="標楷體" w:ascii="標楷體" w:hAnsi="標楷體"/>
          <w:sz w:val="32"/>
          <w:szCs w:val="32"/>
        </w:rPr>
        <w:t>0</w:t>
      </w:r>
      <w:r>
        <w:rPr>
          <w:rFonts w:cs="標楷體" w:ascii="標楷體" w:hAnsi="標楷體"/>
          <w:sz w:val="32"/>
          <w:szCs w:val="32"/>
        </w:rPr>
        <w:t>139</w:t>
      </w:r>
      <w:r>
        <w:rPr>
          <w:rFonts w:ascii="標楷體" w:hAnsi="標楷體" w:cs="標楷體"/>
          <w:sz w:val="32"/>
          <w:szCs w:val="32"/>
        </w:rPr>
        <w:t>號、第</w:t>
      </w:r>
      <w:r>
        <w:rPr>
          <w:rFonts w:cs="標楷體" w:ascii="標楷體" w:hAnsi="標楷體"/>
          <w:sz w:val="32"/>
          <w:szCs w:val="32"/>
        </w:rPr>
        <w:t>0</w:t>
      </w:r>
      <w:r>
        <w:rPr>
          <w:rFonts w:cs="標楷體" w:ascii="標楷體" w:hAnsi="標楷體"/>
          <w:sz w:val="32"/>
          <w:szCs w:val="32"/>
        </w:rPr>
        <w:t>161</w:t>
      </w:r>
      <w:r>
        <w:rPr>
          <w:rFonts w:ascii="標楷體" w:hAnsi="標楷體" w:cs="標楷體"/>
          <w:sz w:val="32"/>
          <w:szCs w:val="32"/>
        </w:rPr>
        <w:t>號再申訴決定書）</w:t>
      </w:r>
    </w:p>
    <w:p>
      <w:pPr>
        <w:pStyle w:val="Normal"/>
        <w:overflowPunct w:val="false"/>
        <w:autoSpaceDE w:val="false"/>
        <w:spacing w:lineRule="exact" w:line="560"/>
        <w:ind w:left="1040" w:hanging="320"/>
        <w:jc w:val="both"/>
        <w:rPr>
          <w:rFonts w:ascii="標楷體" w:hAnsi="標楷體" w:cs="標楷體"/>
          <w:sz w:val="32"/>
          <w:szCs w:val="32"/>
        </w:rPr>
      </w:pPr>
      <w:r>
        <w:rPr>
          <w:rFonts w:cs="標楷體" w:ascii="標楷體" w:hAnsi="標楷體"/>
          <w:sz w:val="32"/>
          <w:szCs w:val="32"/>
        </w:rPr>
        <w:t>2.</w:t>
      </w:r>
      <w:r>
        <w:rPr>
          <w:rFonts w:ascii="標楷體" w:hAnsi="標楷體" w:cs="標楷體"/>
          <w:sz w:val="32"/>
          <w:szCs w:val="32"/>
        </w:rPr>
        <w:t>服務機關未證明承辦人確有故意或疏失前，即逕審認其主管人員應負督導不周之責，</w:t>
      </w:r>
      <w:r>
        <w:rPr>
          <w:rFonts w:ascii="標楷體" w:hAnsi="標楷體" w:cs="標楷體"/>
          <w:sz w:val="32"/>
          <w:szCs w:val="32"/>
        </w:rPr>
        <w:t>核有再行斟酌之必要</w:t>
      </w:r>
      <w:r>
        <w:rPr>
          <w:rFonts w:ascii="標楷體" w:hAnsi="標楷體" w:cs="標楷體"/>
          <w:sz w:val="32"/>
          <w:szCs w:val="32"/>
        </w:rPr>
        <w:t>。（</w:t>
      </w:r>
      <w:r>
        <w:rPr>
          <w:rFonts w:cs="標楷體" w:ascii="標楷體" w:hAnsi="標楷體"/>
          <w:sz w:val="32"/>
          <w:szCs w:val="32"/>
        </w:rPr>
        <w:t>104</w:t>
      </w:r>
      <w:r>
        <w:rPr>
          <w:rFonts w:ascii="標楷體" w:hAnsi="標楷體" w:cs="標楷體"/>
          <w:sz w:val="32"/>
          <w:szCs w:val="32"/>
        </w:rPr>
        <w:t>公申決字第</w:t>
      </w:r>
      <w:r>
        <w:rPr>
          <w:rFonts w:cs="標楷體" w:ascii="標楷體" w:hAnsi="標楷體"/>
          <w:sz w:val="32"/>
          <w:szCs w:val="32"/>
        </w:rPr>
        <w:t>0133</w:t>
      </w:r>
      <w:r>
        <w:rPr>
          <w:rFonts w:ascii="標楷體" w:hAnsi="標楷體" w:cs="標楷體"/>
          <w:sz w:val="32"/>
          <w:szCs w:val="32"/>
        </w:rPr>
        <w:t>號再申訴決定書）</w:t>
      </w:r>
    </w:p>
    <w:p>
      <w:pPr>
        <w:pStyle w:val="Normal"/>
        <w:overflowPunct w:val="false"/>
        <w:autoSpaceDE w:val="false"/>
        <w:spacing w:lineRule="exact" w:line="560"/>
        <w:ind w:left="1040" w:hanging="320"/>
        <w:jc w:val="both"/>
        <w:rPr>
          <w:rFonts w:ascii="標楷體" w:hAnsi="標楷體" w:cs="標楷體"/>
          <w:sz w:val="32"/>
          <w:szCs w:val="32"/>
        </w:rPr>
      </w:pPr>
      <w:r>
        <w:rPr>
          <w:rFonts w:cs="標楷體" w:ascii="標楷體" w:hAnsi="標楷體"/>
          <w:sz w:val="32"/>
          <w:szCs w:val="32"/>
        </w:rPr>
        <w:t>3.</w:t>
      </w:r>
      <w:r>
        <w:rPr>
          <w:rFonts w:ascii="標楷體" w:hAnsi="標楷體" w:cs="標楷體"/>
          <w:sz w:val="32"/>
          <w:szCs w:val="32"/>
        </w:rPr>
        <w:t>依○○市政府警察局電話禮貌測試評分表所列之評分項目，與○○市政府電話禮貌測試紀錄表所列之測試內容項目及配分並不相同。又該局與○○市政府電話禮貌施測人員之組成，亦有所不同，是○○市政府之評分，自難直接依據該局抽測作業規定，作為懲處該局所屬人員之基礎事實；況再申訴人並無○○市政府電話禮貌考核要點第</w:t>
      </w:r>
      <w:r>
        <w:rPr>
          <w:rFonts w:cs="標楷體" w:ascii="標楷體" w:hAnsi="標楷體"/>
          <w:sz w:val="32"/>
          <w:szCs w:val="32"/>
        </w:rPr>
        <w:t>5</w:t>
      </w:r>
      <w:r>
        <w:rPr>
          <w:rFonts w:ascii="標楷體" w:hAnsi="標楷體" w:cs="標楷體"/>
          <w:sz w:val="32"/>
          <w:szCs w:val="32"/>
        </w:rPr>
        <w:t>點所定，措詞不當、語氣不遜、服務態度不佳等情事，自亦未該當上開要點之懲處要件。是○○市政府警察局逕以○○市政府對再申訴人實施電話禮貌測試之評分，作為認定其測驗考核，成績未達規定標準，予以申誡一次懲處之依據，其認事用法，即不無疑義。（</w:t>
      </w:r>
      <w:r>
        <w:rPr>
          <w:rFonts w:cs="標楷體" w:ascii="標楷體" w:hAnsi="標楷體"/>
          <w:sz w:val="32"/>
          <w:szCs w:val="32"/>
        </w:rPr>
        <w:t>104</w:t>
      </w:r>
      <w:r>
        <w:rPr>
          <w:rFonts w:ascii="標楷體" w:hAnsi="標楷體" w:cs="標楷體"/>
          <w:sz w:val="32"/>
          <w:szCs w:val="32"/>
        </w:rPr>
        <w:t>公申決字第</w:t>
      </w:r>
      <w:r>
        <w:rPr>
          <w:rFonts w:cs="標楷體" w:ascii="標楷體" w:hAnsi="標楷體"/>
          <w:sz w:val="32"/>
          <w:szCs w:val="32"/>
        </w:rPr>
        <w:t>0</w:t>
      </w:r>
      <w:r>
        <w:rPr>
          <w:rFonts w:cs="標楷體" w:ascii="標楷體" w:hAnsi="標楷體"/>
          <w:sz w:val="32"/>
          <w:szCs w:val="32"/>
        </w:rPr>
        <w:t>163</w:t>
      </w:r>
      <w:r>
        <w:rPr>
          <w:rFonts w:ascii="標楷體" w:hAnsi="標楷體" w:cs="標楷體"/>
          <w:sz w:val="32"/>
          <w:szCs w:val="32"/>
        </w:rPr>
        <w:t>號再申訴決定書）</w:t>
      </w:r>
    </w:p>
    <w:p>
      <w:pPr>
        <w:pStyle w:val="Normal"/>
        <w:numPr>
          <w:ilvl w:val="0"/>
          <w:numId w:val="4"/>
        </w:numPr>
        <w:spacing w:lineRule="exact" w:line="560" w:before="199" w:after="0"/>
        <w:ind w:left="964" w:hanging="1106"/>
        <w:jc w:val="both"/>
        <w:rPr/>
      </w:pPr>
      <w:r>
        <w:rPr>
          <w:rFonts w:ascii="標楷體" w:hAnsi="標楷體" w:cs="標楷體"/>
          <w:b/>
          <w:sz w:val="32"/>
          <w:szCs w:val="32"/>
        </w:rPr>
        <w:t>懲處事實與</w:t>
      </w:r>
      <w:r>
        <w:rPr>
          <w:rFonts w:ascii="標楷體" w:hAnsi="標楷體" w:cs="標楷體"/>
          <w:b/>
          <w:sz w:val="32"/>
          <w:szCs w:val="32"/>
        </w:rPr>
        <w:t>所依據法令規定之</w:t>
      </w:r>
      <w:r>
        <w:rPr>
          <w:rFonts w:ascii="標楷體" w:hAnsi="標楷體" w:cs="標楷體"/>
          <w:b/>
          <w:sz w:val="32"/>
          <w:szCs w:val="32"/>
        </w:rPr>
        <w:t>構成要件未合</w:t>
      </w:r>
      <w:r>
        <w:rPr>
          <w:rFonts w:ascii="標楷體" w:hAnsi="標楷體" w:cs="標楷體"/>
          <w:b/>
          <w:sz w:val="32"/>
          <w:szCs w:val="32"/>
        </w:rPr>
        <w:t>：</w:t>
      </w:r>
    </w:p>
    <w:p>
      <w:pPr>
        <w:pStyle w:val="Normal"/>
        <w:numPr>
          <w:ilvl w:val="0"/>
          <w:numId w:val="2"/>
        </w:numPr>
        <w:spacing w:lineRule="exact" w:line="560"/>
        <w:jc w:val="both"/>
        <w:rPr>
          <w:rFonts w:ascii="標楷體" w:hAnsi="標楷體" w:cs="標楷體"/>
          <w:sz w:val="32"/>
          <w:szCs w:val="32"/>
        </w:rPr>
      </w:pPr>
      <w:r>
        <w:rPr>
          <w:rFonts w:ascii="標楷體" w:hAnsi="標楷體" w:cs="標楷體"/>
          <w:sz w:val="32"/>
          <w:szCs w:val="32"/>
        </w:rPr>
        <w:t>○○</w:t>
      </w:r>
      <w:r>
        <w:rPr>
          <w:rFonts w:ascii="標楷體" w:hAnsi="標楷體" w:cs="標楷體"/>
          <w:sz w:val="32"/>
          <w:szCs w:val="32"/>
        </w:rPr>
        <w:t>區公所核予再申訴人申誡二次之懲處，係因其於</w:t>
      </w:r>
      <w:r>
        <w:rPr>
          <w:rFonts w:cs="標楷體" w:ascii="標楷體" w:hAnsi="標楷體"/>
          <w:sz w:val="32"/>
          <w:szCs w:val="32"/>
        </w:rPr>
        <w:t>103</w:t>
      </w:r>
      <w:r>
        <w:rPr>
          <w:rFonts w:ascii="標楷體" w:hAnsi="標楷體" w:cs="標楷體"/>
          <w:sz w:val="32"/>
          <w:szCs w:val="32"/>
        </w:rPr>
        <w:t>年</w:t>
      </w:r>
      <w:r>
        <w:rPr>
          <w:rFonts w:cs="標楷體" w:ascii="標楷體" w:hAnsi="標楷體"/>
          <w:sz w:val="32"/>
          <w:szCs w:val="32"/>
        </w:rPr>
        <w:t>6</w:t>
      </w:r>
      <w:r>
        <w:rPr>
          <w:rFonts w:ascii="標楷體" w:hAnsi="標楷體" w:cs="標楷體"/>
          <w:sz w:val="32"/>
          <w:szCs w:val="32"/>
        </w:rPr>
        <w:t>月份受理人民申請案件中，計有</w:t>
      </w:r>
      <w:r>
        <w:rPr>
          <w:rFonts w:cs="標楷體" w:ascii="標楷體" w:hAnsi="標楷體"/>
          <w:sz w:val="32"/>
          <w:szCs w:val="32"/>
        </w:rPr>
        <w:t>13</w:t>
      </w:r>
      <w:r>
        <w:rPr>
          <w:rFonts w:ascii="標楷體" w:hAnsi="標楷體" w:cs="標楷體"/>
          <w:sz w:val="32"/>
          <w:szCs w:val="32"/>
        </w:rPr>
        <w:t>件公文逾限未辦結。惟再申訴人主張該</w:t>
      </w:r>
      <w:r>
        <w:rPr>
          <w:rFonts w:cs="標楷體" w:ascii="標楷體" w:hAnsi="標楷體"/>
          <w:sz w:val="32"/>
          <w:szCs w:val="32"/>
        </w:rPr>
        <w:t>13</w:t>
      </w:r>
      <w:r>
        <w:rPr>
          <w:rFonts w:ascii="標楷體" w:hAnsi="標楷體" w:cs="標楷體"/>
          <w:sz w:val="32"/>
          <w:szCs w:val="32"/>
        </w:rPr>
        <w:t>件公文，皆為土地使用分區證明核發案件，此類案件因須請○○市政府都市發展局協助確認，而無法在</w:t>
      </w:r>
      <w:r>
        <w:rPr>
          <w:rFonts w:cs="標楷體" w:ascii="標楷體" w:hAnsi="標楷體"/>
          <w:sz w:val="32"/>
          <w:szCs w:val="32"/>
        </w:rPr>
        <w:t>3</w:t>
      </w:r>
      <w:r>
        <w:rPr>
          <w:rFonts w:ascii="標楷體" w:hAnsi="標楷體" w:cs="標楷體"/>
          <w:sz w:val="32"/>
          <w:szCs w:val="32"/>
        </w:rPr>
        <w:t>日期限內辦結。則再申訴人有無正當理由致有積壓事實，尚有疑義；且○○區公所就積壓情事之判斷標準，亦乏具體明確之說明，是再申訴人究竟有無積壓公文之事實，尚非無疑。又縱認該</w:t>
      </w:r>
      <w:r>
        <w:rPr>
          <w:rFonts w:cs="標楷體" w:ascii="標楷體" w:hAnsi="標楷體"/>
          <w:sz w:val="32"/>
          <w:szCs w:val="32"/>
        </w:rPr>
        <w:t>13</w:t>
      </w:r>
      <w:r>
        <w:rPr>
          <w:rFonts w:ascii="標楷體" w:hAnsi="標楷體" w:cs="標楷體"/>
          <w:sz w:val="32"/>
          <w:szCs w:val="32"/>
        </w:rPr>
        <w:t>件逾期公文有積壓情事，依○○市政府文書處理實施要點第</w:t>
      </w:r>
      <w:r>
        <w:rPr>
          <w:rFonts w:cs="標楷體" w:ascii="標楷體" w:hAnsi="標楷體"/>
          <w:sz w:val="32"/>
          <w:szCs w:val="32"/>
        </w:rPr>
        <w:t>158</w:t>
      </w:r>
      <w:r>
        <w:rPr>
          <w:rFonts w:ascii="標楷體" w:hAnsi="標楷體" w:cs="標楷體"/>
          <w:sz w:val="32"/>
          <w:szCs w:val="32"/>
        </w:rPr>
        <w:t>點規定，其逾期情形僅各該當口頭警告或書面警告，該公所亦未補充說明再申訴人有無違反其他規定而該當申誡懲處之額度，以及其如何該當申誡二次懲處之要件。是○○區公所是否已審酌事實發生之原因、動機及影響程度等因素而核予再申訴人申誡二次之懲處，即有疑義，均不無斟酌之餘地。（</w:t>
      </w:r>
      <w:r>
        <w:rPr>
          <w:rFonts w:cs="標楷體" w:ascii="標楷體" w:hAnsi="標楷體"/>
          <w:sz w:val="32"/>
          <w:szCs w:val="32"/>
        </w:rPr>
        <w:t>104</w:t>
      </w:r>
      <w:r>
        <w:rPr>
          <w:rFonts w:ascii="標楷體" w:hAnsi="標楷體" w:cs="標楷體"/>
          <w:sz w:val="32"/>
          <w:szCs w:val="32"/>
        </w:rPr>
        <w:t>公申決字第</w:t>
      </w:r>
      <w:r>
        <w:rPr>
          <w:rFonts w:cs="標楷體" w:ascii="標楷體" w:hAnsi="標楷體"/>
          <w:sz w:val="32"/>
          <w:szCs w:val="32"/>
        </w:rPr>
        <w:t>0102</w:t>
      </w:r>
      <w:r>
        <w:rPr>
          <w:rFonts w:ascii="標楷體" w:hAnsi="標楷體" w:cs="標楷體"/>
          <w:sz w:val="32"/>
          <w:szCs w:val="32"/>
        </w:rPr>
        <w:t>號再申訴決定書）</w:t>
      </w:r>
    </w:p>
    <w:p>
      <w:pPr>
        <w:pStyle w:val="Normal"/>
        <w:numPr>
          <w:ilvl w:val="0"/>
          <w:numId w:val="2"/>
        </w:numPr>
        <w:spacing w:lineRule="exact" w:line="560"/>
        <w:jc w:val="both"/>
        <w:rPr>
          <w:rFonts w:ascii="標楷體" w:hAnsi="標楷體" w:cs="標楷體"/>
          <w:sz w:val="32"/>
          <w:szCs w:val="32"/>
        </w:rPr>
      </w:pPr>
      <w:r>
        <w:rPr>
          <w:rFonts w:ascii="標楷體" w:hAnsi="標楷體" w:cs="標楷體"/>
          <w:sz w:val="32"/>
          <w:szCs w:val="32"/>
        </w:rPr>
        <w:t>再申訴人</w:t>
      </w:r>
      <w:r>
        <w:rPr>
          <w:rFonts w:ascii="標楷體" w:hAnsi="標楷體" w:cs="Tahoma"/>
          <w:sz w:val="32"/>
          <w:szCs w:val="32"/>
        </w:rPr>
        <w:t>提出</w:t>
      </w:r>
      <w:r>
        <w:rPr>
          <w:rFonts w:ascii="標楷體" w:hAnsi="標楷體" w:cs="標楷體"/>
          <w:sz w:val="32"/>
          <w:szCs w:val="32"/>
        </w:rPr>
        <w:t>告訴及聲請再議，並非全然無因，亦非出於虛構或所捏造之事實，自不能以偵查結果為不起訴或駁回再議，即認再申訴人有言行不檢之情事；或以再申訴人為一時之氣，控告行政長官，有違行政倫理，遽認其有損公務人員聲譽；或以再申訴人依司法途徑爭取其權益，即逕認外界人士以為機關內部不和諧，有主管告長官之醜聞，影響機關之形象。復查再申訴人提告○○區公所主任秘書之行為，是否業經該公所區長同意，以及其是否曾向區長等人應諾不聲請再議等情事，均有事實未明之處。退而言之，縱認再申訴人曾允諾區長等人不聲請再議，而有違公務員服務法第</w:t>
      </w:r>
      <w:r>
        <w:rPr>
          <w:rFonts w:cs="標楷體" w:ascii="標楷體" w:hAnsi="標楷體"/>
          <w:sz w:val="32"/>
          <w:szCs w:val="32"/>
        </w:rPr>
        <w:t>5</w:t>
      </w:r>
      <w:r>
        <w:rPr>
          <w:rFonts w:ascii="標楷體" w:hAnsi="標楷體" w:cs="標楷體"/>
          <w:sz w:val="32"/>
          <w:szCs w:val="32"/>
        </w:rPr>
        <w:t>條所定之誠實義務，然其合法訴訟權利不受他人之限制或拘束，既如前述，則其行為是否該當○○市政府獎懲標準表第</w:t>
      </w:r>
      <w:r>
        <w:rPr>
          <w:rFonts w:cs="標楷體" w:ascii="標楷體" w:hAnsi="標楷體"/>
          <w:sz w:val="32"/>
          <w:szCs w:val="32"/>
        </w:rPr>
        <w:t>6</w:t>
      </w:r>
      <w:r>
        <w:rPr>
          <w:rFonts w:ascii="標楷體" w:hAnsi="標楷體" w:cs="標楷體"/>
          <w:sz w:val="32"/>
          <w:szCs w:val="32"/>
        </w:rPr>
        <w:t>點第</w:t>
      </w:r>
      <w:r>
        <w:rPr>
          <w:rFonts w:cs="標楷體" w:ascii="標楷體" w:hAnsi="標楷體"/>
          <w:sz w:val="32"/>
          <w:szCs w:val="32"/>
        </w:rPr>
        <w:t>2</w:t>
      </w:r>
      <w:r>
        <w:rPr>
          <w:rFonts w:ascii="標楷體" w:hAnsi="標楷體" w:cs="標楷體"/>
          <w:sz w:val="32"/>
          <w:szCs w:val="32"/>
        </w:rPr>
        <w:t>款規定之「情節較重」要件，亦非無疑。（</w:t>
      </w:r>
      <w:r>
        <w:rPr>
          <w:rFonts w:cs="標楷體" w:ascii="標楷體" w:hAnsi="標楷體"/>
          <w:sz w:val="32"/>
          <w:szCs w:val="32"/>
        </w:rPr>
        <w:t>104</w:t>
      </w:r>
      <w:r>
        <w:rPr>
          <w:rFonts w:ascii="標楷體" w:hAnsi="標楷體" w:cs="標楷體"/>
          <w:sz w:val="32"/>
          <w:szCs w:val="32"/>
        </w:rPr>
        <w:t>公申決字第</w:t>
      </w:r>
      <w:r>
        <w:rPr>
          <w:rFonts w:cs="標楷體" w:ascii="標楷體" w:hAnsi="標楷體"/>
          <w:sz w:val="32"/>
          <w:szCs w:val="32"/>
        </w:rPr>
        <w:t>0169</w:t>
      </w:r>
      <w:r>
        <w:rPr>
          <w:rFonts w:ascii="標楷體" w:hAnsi="標楷體" w:cs="標楷體"/>
          <w:sz w:val="32"/>
          <w:szCs w:val="32"/>
        </w:rPr>
        <w:t>號再申訴決定書）</w:t>
      </w:r>
    </w:p>
    <w:p>
      <w:pPr>
        <w:pStyle w:val="Normal"/>
        <w:numPr>
          <w:ilvl w:val="0"/>
          <w:numId w:val="2"/>
        </w:numPr>
        <w:spacing w:lineRule="exact" w:line="560"/>
        <w:jc w:val="both"/>
        <w:rPr>
          <w:rFonts w:ascii="標楷體" w:hAnsi="標楷體" w:cs="標楷體"/>
          <w:sz w:val="32"/>
          <w:szCs w:val="32"/>
        </w:rPr>
      </w:pPr>
      <w:r>
        <w:rPr>
          <w:rFonts w:ascii="標楷體" w:hAnsi="標楷體" w:cs="Tahoma"/>
          <w:sz w:val="32"/>
          <w:szCs w:val="32"/>
        </w:rPr>
        <w:t>按</w:t>
      </w:r>
      <w:r>
        <w:rPr>
          <w:rFonts w:ascii="標楷體" w:hAnsi="標楷體" w:cs="標楷體"/>
          <w:sz w:val="32"/>
          <w:szCs w:val="32"/>
        </w:rPr>
        <w:t>公務人員</w:t>
      </w:r>
      <w:r>
        <w:rPr>
          <w:rFonts w:ascii="標楷體" w:hAnsi="標楷體" w:cs="Tahoma"/>
          <w:sz w:val="32"/>
          <w:szCs w:val="32"/>
        </w:rPr>
        <w:t>任用法第</w:t>
      </w:r>
      <w:r>
        <w:rPr>
          <w:rFonts w:cs="Tahoma" w:ascii="標楷體" w:hAnsi="標楷體"/>
          <w:sz w:val="32"/>
          <w:szCs w:val="32"/>
        </w:rPr>
        <w:t>22</w:t>
      </w:r>
      <w:r>
        <w:rPr>
          <w:rFonts w:ascii="標楷體" w:hAnsi="標楷體" w:cs="Tahoma"/>
          <w:sz w:val="32"/>
          <w:szCs w:val="32"/>
        </w:rPr>
        <w:t>條前段及其施行細則第</w:t>
      </w:r>
      <w:r>
        <w:rPr>
          <w:rFonts w:cs="Tahoma" w:ascii="標楷體" w:hAnsi="標楷體"/>
          <w:sz w:val="32"/>
          <w:szCs w:val="32"/>
        </w:rPr>
        <w:t>21</w:t>
      </w:r>
      <w:r>
        <w:rPr>
          <w:rFonts w:ascii="標楷體" w:hAnsi="標楷體" w:cs="Tahoma"/>
          <w:sz w:val="32"/>
          <w:szCs w:val="32"/>
        </w:rPr>
        <w:t>條規定，機關首長固得考量屬官之工作情形及機關業務之需要等因素，於合理及必要之範圍內，就其商調他機關為同意與否之表示，惟該法並未課予公務人員應事前報告，並取得服務機關同意後，始得參加他機關面試或商調之義務。縱服務機關課予所屬人員上開陳報義務，惟此項義務既與執行職務無關，且非屬公務員服務法所定之保持品位義務，縱有違反，亦僅得列為是否同意商調之考量因素，尚不得據以作為懲處之事由。</w:t>
      </w:r>
      <w:r>
        <w:rPr>
          <w:rFonts w:ascii="標楷體" w:hAnsi="標楷體" w:cs="標楷體"/>
          <w:sz w:val="32"/>
          <w:szCs w:val="32"/>
        </w:rPr>
        <w:t>據此，再申訴人未事先陳報主管長官，而參加</w:t>
      </w:r>
      <w:r>
        <w:rPr>
          <w:rFonts w:ascii="標楷體" w:hAnsi="標楷體" w:cs="標楷體"/>
          <w:sz w:val="32"/>
          <w:szCs w:val="32"/>
        </w:rPr>
        <w:t>他機關</w:t>
      </w:r>
      <w:r>
        <w:rPr>
          <w:rFonts w:ascii="標楷體" w:hAnsi="標楷體" w:cs="標楷體"/>
          <w:sz w:val="32"/>
          <w:szCs w:val="32"/>
        </w:rPr>
        <w:t>職缺之甄選並獲錄取，於</w:t>
      </w:r>
      <w:r>
        <w:rPr>
          <w:rFonts w:ascii="標楷體" w:hAnsi="標楷體" w:cs="標楷體"/>
          <w:sz w:val="32"/>
          <w:szCs w:val="32"/>
        </w:rPr>
        <w:t>他機關</w:t>
      </w:r>
      <w:r>
        <w:rPr>
          <w:rFonts w:ascii="標楷體" w:hAnsi="標楷體" w:cs="標楷體"/>
          <w:sz w:val="32"/>
          <w:szCs w:val="32"/>
        </w:rPr>
        <w:t>行文商調後，始以書面陳報主管長官；其未事前報告，既與執行職務無關，且未違反保持品位之義務，尚不得據以作為懲處之事由。</w:t>
      </w:r>
      <w:r>
        <w:rPr>
          <w:rFonts w:ascii="標楷體" w:hAnsi="標楷體" w:cs="標楷體"/>
          <w:sz w:val="32"/>
          <w:szCs w:val="32"/>
        </w:rPr>
        <w:t>（</w:t>
      </w:r>
      <w:r>
        <w:rPr>
          <w:rFonts w:cs="標楷體" w:ascii="標楷體" w:hAnsi="標楷體"/>
          <w:sz w:val="32"/>
          <w:szCs w:val="32"/>
        </w:rPr>
        <w:t>104</w:t>
      </w:r>
      <w:r>
        <w:rPr>
          <w:rFonts w:ascii="標楷體" w:hAnsi="標楷體" w:cs="標楷體"/>
          <w:sz w:val="32"/>
          <w:szCs w:val="32"/>
        </w:rPr>
        <w:t>公申決字第</w:t>
      </w:r>
      <w:r>
        <w:rPr>
          <w:rFonts w:cs="標楷體" w:ascii="標楷體" w:hAnsi="標楷體"/>
          <w:sz w:val="32"/>
          <w:szCs w:val="32"/>
        </w:rPr>
        <w:t>0058</w:t>
      </w:r>
      <w:r>
        <w:rPr>
          <w:rFonts w:ascii="標楷體" w:hAnsi="標楷體" w:cs="標楷體"/>
          <w:sz w:val="32"/>
          <w:szCs w:val="32"/>
        </w:rPr>
        <w:t>號再申訴決定書）</w:t>
      </w:r>
    </w:p>
    <w:p>
      <w:pPr>
        <w:pStyle w:val="Normal"/>
        <w:overflowPunct w:val="false"/>
        <w:autoSpaceDE w:val="false"/>
        <w:spacing w:lineRule="exact" w:line="560" w:before="199" w:after="0"/>
        <w:ind w:left="641" w:hanging="641"/>
        <w:jc w:val="both"/>
        <w:rPr>
          <w:rStyle w:val="Stext"/>
          <w:rFonts w:ascii="標楷體" w:hAnsi="標楷體" w:cs="標楷體"/>
          <w:sz w:val="32"/>
          <w:szCs w:val="32"/>
        </w:rPr>
      </w:pPr>
      <w:r>
        <w:rPr>
          <w:rStyle w:val="Stext"/>
          <w:rFonts w:ascii="標楷體" w:hAnsi="標楷體" w:cs="標楷體"/>
          <w:b/>
          <w:sz w:val="32"/>
          <w:szCs w:val="32"/>
        </w:rPr>
        <w:t>四</w:t>
      </w:r>
      <w:r>
        <w:rPr>
          <w:rStyle w:val="Stext"/>
          <w:rFonts w:ascii="標楷體" w:hAnsi="標楷體" w:cs="標楷體"/>
          <w:b/>
          <w:sz w:val="32"/>
          <w:szCs w:val="32"/>
        </w:rPr>
        <w:t>、</w:t>
      </w:r>
      <w:r>
        <w:rPr>
          <w:rStyle w:val="Stext"/>
          <w:rFonts w:ascii="標楷體" w:hAnsi="標楷體" w:cs="標楷體"/>
          <w:b/>
          <w:sz w:val="32"/>
          <w:szCs w:val="32"/>
        </w:rPr>
        <w:t>其他管理措施或工作條件之處置部分︰</w:t>
      </w:r>
    </w:p>
    <w:p>
      <w:pPr>
        <w:pStyle w:val="Normal"/>
        <w:spacing w:lineRule="exact" w:line="560"/>
        <w:ind w:left="992" w:hanging="992"/>
        <w:jc w:val="both"/>
        <w:rPr>
          <w:rFonts w:ascii="標楷體" w:hAnsi="標楷體" w:cs="標楷體"/>
          <w:sz w:val="32"/>
          <w:szCs w:val="32"/>
        </w:rPr>
      </w:pPr>
      <w:r>
        <w:rPr>
          <w:rFonts w:ascii="標楷體" w:hAnsi="標楷體" w:cs="標楷體"/>
          <w:sz w:val="32"/>
          <w:szCs w:val="32"/>
        </w:rPr>
        <w:t>（一）○○部指派</w:t>
      </w:r>
      <w:r>
        <w:rPr>
          <w:rFonts w:ascii="標楷體" w:hAnsi="標楷體" w:cs="Tahoma"/>
          <w:sz w:val="32"/>
          <w:szCs w:val="32"/>
        </w:rPr>
        <w:t>再申訴人全時辦理其服務單位之組織學習（含讀書會）及網頁規劃建置等業務，此</w:t>
      </w:r>
      <w:r>
        <w:rPr>
          <w:rFonts w:cs="Tahoma" w:ascii="標楷體" w:hAnsi="標楷體"/>
          <w:sz w:val="32"/>
          <w:szCs w:val="32"/>
        </w:rPr>
        <w:t>2</w:t>
      </w:r>
      <w:r>
        <w:rPr>
          <w:rFonts w:ascii="標楷體" w:hAnsi="標楷體" w:cs="Tahoma"/>
          <w:sz w:val="32"/>
          <w:szCs w:val="32"/>
        </w:rPr>
        <w:t>項業務僅占其職務說明書所列「其他會務（含資訊）」及「其他臨時交辦事項」之工作項目比例</w:t>
      </w:r>
      <w:r>
        <w:rPr>
          <w:rFonts w:cs="Tahoma" w:ascii="標楷體" w:hAnsi="標楷體"/>
          <w:sz w:val="32"/>
          <w:szCs w:val="32"/>
        </w:rPr>
        <w:t>35</w:t>
      </w:r>
      <w:r>
        <w:rPr>
          <w:rFonts w:ascii="標楷體" w:hAnsi="標楷體" w:cs="Tahoma"/>
          <w:sz w:val="32"/>
          <w:szCs w:val="32"/>
        </w:rPr>
        <w:t>％，與其職務說明書所列工作項目及比例不盡相符。復據○○部代表陳述意見時表示，再申訴人負責之組織學習業務，原係由具公共衛生專業背景擔任專員職務人員負責；網頁規劃建置部分，則係由具電子工程專業背景擔任助理員職務人員負責等語。則○○部將原由專員及助理員負責之業務，調整由再申訴人負責，與其所任簡任第十職等至第十一職等專門委員職務之職責程度，難稱相當，亦與其財稅行政職系之專長不符。</w:t>
      </w:r>
      <w:r>
        <w:rPr>
          <w:rFonts w:ascii="標楷體" w:hAnsi="標楷體" w:cs="標楷體"/>
          <w:sz w:val="32"/>
          <w:szCs w:val="32"/>
        </w:rPr>
        <w:t>（</w:t>
      </w:r>
      <w:r>
        <w:rPr>
          <w:rFonts w:cs="標楷體" w:ascii="標楷體" w:hAnsi="標楷體"/>
          <w:sz w:val="32"/>
          <w:szCs w:val="32"/>
        </w:rPr>
        <w:t>104</w:t>
      </w:r>
      <w:r>
        <w:rPr>
          <w:rFonts w:ascii="標楷體" w:hAnsi="標楷體" w:cs="標楷體"/>
          <w:sz w:val="32"/>
          <w:szCs w:val="32"/>
        </w:rPr>
        <w:t>公申決字第</w:t>
      </w:r>
      <w:r>
        <w:rPr>
          <w:rFonts w:cs="標楷體" w:ascii="標楷體" w:hAnsi="標楷體"/>
          <w:sz w:val="32"/>
          <w:szCs w:val="32"/>
        </w:rPr>
        <w:t>0104</w:t>
      </w:r>
      <w:r>
        <w:rPr>
          <w:rFonts w:ascii="標楷體" w:hAnsi="標楷體" w:cs="標楷體"/>
          <w:sz w:val="32"/>
          <w:szCs w:val="32"/>
        </w:rPr>
        <w:t>號再申訴決定書）</w:t>
      </w:r>
    </w:p>
    <w:p>
      <w:pPr>
        <w:pStyle w:val="Normal"/>
        <w:spacing w:lineRule="exact" w:line="560"/>
        <w:ind w:left="992" w:hanging="992"/>
        <w:jc w:val="both"/>
        <w:rPr>
          <w:rStyle w:val="Stext"/>
          <w:rFonts w:ascii="標楷體" w:hAnsi="標楷體" w:cs="標楷體"/>
          <w:sz w:val="32"/>
          <w:szCs w:val="32"/>
        </w:rPr>
      </w:pPr>
      <w:r>
        <w:rPr>
          <w:rFonts w:ascii="標楷體" w:hAnsi="標楷體" w:cs="標楷體"/>
          <w:sz w:val="32"/>
          <w:szCs w:val="32"/>
        </w:rPr>
        <w:t>（二）再</w:t>
      </w:r>
      <w:r>
        <w:rPr>
          <w:rFonts w:ascii="標楷體" w:hAnsi="標楷體" w:cs="Tahoma"/>
          <w:sz w:val="32"/>
          <w:szCs w:val="32"/>
        </w:rPr>
        <w:t>申訴</w:t>
      </w:r>
      <w:r>
        <w:rPr>
          <w:rFonts w:ascii="標楷體" w:hAnsi="標楷體" w:cs="標楷體"/>
          <w:sz w:val="32"/>
          <w:szCs w:val="32"/>
        </w:rPr>
        <w:t>人因辦理</w:t>
      </w:r>
      <w:r>
        <w:rPr>
          <w:rFonts w:cs="標楷體" w:ascii="標楷體" w:hAnsi="標楷體"/>
          <w:sz w:val="32"/>
          <w:szCs w:val="32"/>
        </w:rPr>
        <w:t>103</w:t>
      </w:r>
      <w:r>
        <w:rPr>
          <w:rFonts w:ascii="標楷體" w:hAnsi="標楷體" w:cs="標楷體"/>
          <w:sz w:val="32"/>
          <w:szCs w:val="32"/>
        </w:rPr>
        <w:t>年全國中等學校田徑錦標賽事宜，奉派於參加活動期間（含假日）以公假登記。再申訴人申請加班補休，經服務機關否准。按保障法第</w:t>
      </w:r>
      <w:r>
        <w:rPr>
          <w:rFonts w:cs="標楷體" w:ascii="標楷體" w:hAnsi="標楷體"/>
          <w:sz w:val="32"/>
          <w:szCs w:val="32"/>
        </w:rPr>
        <w:t>23</w:t>
      </w:r>
      <w:r>
        <w:rPr>
          <w:rFonts w:ascii="標楷體" w:hAnsi="標楷體" w:cs="標楷體"/>
          <w:sz w:val="32"/>
          <w:szCs w:val="32"/>
        </w:rPr>
        <w:t>條明定，公務人員經指派於上班時間以外執行職務者，服務機關應給予加班費、補休假、獎勵或其他相當之補償；至於究應給予何種補償，則應由服務機關依經費預算及業務實際狀況斟酌決定之。且田徑協會固按日發給再申訴人</w:t>
      </w:r>
      <w:r>
        <w:rPr>
          <w:rFonts w:cs="標楷體" w:ascii="標楷體" w:hAnsi="標楷體"/>
          <w:sz w:val="32"/>
          <w:szCs w:val="32"/>
        </w:rPr>
        <w:t>600</w:t>
      </w:r>
      <w:r>
        <w:rPr>
          <w:rFonts w:ascii="標楷體" w:hAnsi="標楷體" w:cs="標楷體"/>
          <w:sz w:val="32"/>
          <w:szCs w:val="32"/>
        </w:rPr>
        <w:t>元酬勞，惟與其原可支領之加班費金額難謂相當，服務機關縱以經費考量不給予其加班費，仍得提供其他相當之補償，尚不得逕以其已向田徑協會領取酬勞為由，否准其加班補償之申請。（</w:t>
      </w:r>
      <w:r>
        <w:rPr>
          <w:rFonts w:cs="標楷體" w:ascii="標楷體" w:hAnsi="標楷體"/>
          <w:sz w:val="32"/>
          <w:szCs w:val="32"/>
        </w:rPr>
        <w:t>104</w:t>
      </w:r>
      <w:r>
        <w:rPr>
          <w:rFonts w:ascii="標楷體" w:hAnsi="標楷體" w:cs="標楷體"/>
          <w:sz w:val="32"/>
          <w:szCs w:val="32"/>
        </w:rPr>
        <w:t>公申決字第</w:t>
      </w:r>
      <w:r>
        <w:rPr>
          <w:rFonts w:cs="標楷體" w:ascii="標楷體" w:hAnsi="標楷體"/>
          <w:sz w:val="32"/>
          <w:szCs w:val="32"/>
        </w:rPr>
        <w:t>0155</w:t>
      </w:r>
      <w:r>
        <w:rPr>
          <w:rFonts w:ascii="標楷體" w:hAnsi="標楷體" w:cs="標楷體"/>
          <w:sz w:val="32"/>
          <w:szCs w:val="32"/>
        </w:rPr>
        <w:t xml:space="preserve">號再申訴決定書） </w:t>
      </w:r>
    </w:p>
    <w:p>
      <w:pPr>
        <w:pStyle w:val="Normal"/>
        <w:overflowPunct w:val="false"/>
        <w:autoSpaceDE w:val="false"/>
        <w:spacing w:lineRule="exact" w:line="560" w:before="199" w:after="0"/>
        <w:ind w:left="573" w:hanging="573"/>
        <w:jc w:val="both"/>
        <w:rPr>
          <w:rFonts w:ascii="標楷體" w:hAnsi="標楷體" w:cs="標楷體"/>
          <w:b/>
          <w:b/>
          <w:sz w:val="32"/>
          <w:szCs w:val="32"/>
        </w:rPr>
      </w:pPr>
      <w:r>
        <w:rPr>
          <w:rFonts w:ascii="標楷體" w:hAnsi="標楷體" w:cs="標楷體"/>
          <w:b/>
          <w:sz w:val="32"/>
          <w:szCs w:val="32"/>
        </w:rPr>
        <w:t>五、機關作成行政處分時未查明事實、法規適用顯有錯誤、欠缺事務管轄權限、不符合法定程序等部分：</w:t>
      </w:r>
    </w:p>
    <w:p>
      <w:pPr>
        <w:pStyle w:val="Normal"/>
        <w:numPr>
          <w:ilvl w:val="0"/>
          <w:numId w:val="1"/>
        </w:numPr>
        <w:spacing w:lineRule="exact" w:line="560" w:before="199" w:after="0"/>
        <w:ind w:left="1389" w:hanging="1531"/>
        <w:jc w:val="both"/>
        <w:rPr>
          <w:rFonts w:ascii="標楷體" w:hAnsi="標楷體" w:cs="標楷體"/>
          <w:b/>
          <w:b/>
          <w:sz w:val="32"/>
          <w:szCs w:val="32"/>
        </w:rPr>
      </w:pPr>
      <w:r>
        <w:rPr>
          <w:rFonts w:ascii="標楷體" w:hAnsi="標楷體" w:cs="標楷體"/>
          <w:b/>
          <w:sz w:val="32"/>
          <w:szCs w:val="32"/>
        </w:rPr>
        <w:t>機關作成處分未經詳實調查或事實認定有誤：</w:t>
      </w:r>
    </w:p>
    <w:p>
      <w:pPr>
        <w:pStyle w:val="Normal"/>
        <w:overflowPunct w:val="false"/>
        <w:autoSpaceDE w:val="false"/>
        <w:spacing w:lineRule="exact" w:line="560"/>
        <w:ind w:left="1040" w:hanging="320"/>
        <w:jc w:val="both"/>
        <w:rPr>
          <w:rFonts w:ascii="標楷體" w:hAnsi="標楷體" w:cs="標楷體"/>
          <w:sz w:val="32"/>
          <w:szCs w:val="32"/>
        </w:rPr>
      </w:pPr>
      <w:r>
        <w:rPr>
          <w:rFonts w:cs="標楷體" w:ascii="標楷體" w:hAnsi="標楷體"/>
          <w:sz w:val="32"/>
          <w:szCs w:val="32"/>
        </w:rPr>
        <w:t>1</w:t>
      </w:r>
      <w:r>
        <w:rPr>
          <w:rFonts w:cs="標楷體" w:ascii="標楷體" w:hAnsi="標楷體"/>
          <w:sz w:val="32"/>
          <w:szCs w:val="32"/>
        </w:rPr>
        <w:t>.</w:t>
      </w:r>
      <w:r>
        <w:rPr>
          <w:rFonts w:ascii="標楷體" w:hAnsi="標楷體" w:cs="標楷體"/>
          <w:sz w:val="32"/>
          <w:szCs w:val="32"/>
        </w:rPr>
        <w:t>復審人因派駐○○代表處服務，與出租人訂定房屋租賃契約（</w:t>
      </w:r>
      <w:r>
        <w:rPr>
          <w:rFonts w:cs="標楷體" w:ascii="標楷體" w:hAnsi="標楷體"/>
          <w:sz w:val="32"/>
          <w:szCs w:val="32"/>
        </w:rPr>
        <w:t>102</w:t>
      </w:r>
      <w:r>
        <w:rPr>
          <w:rFonts w:ascii="標楷體" w:hAnsi="標楷體" w:cs="標楷體"/>
          <w:sz w:val="32"/>
          <w:szCs w:val="32"/>
        </w:rPr>
        <w:t>年</w:t>
      </w:r>
      <w:r>
        <w:rPr>
          <w:rFonts w:cs="標楷體" w:ascii="標楷體" w:hAnsi="標楷體"/>
          <w:sz w:val="32"/>
          <w:szCs w:val="32"/>
        </w:rPr>
        <w:t>7</w:t>
      </w:r>
      <w:r>
        <w:rPr>
          <w:rFonts w:ascii="標楷體" w:hAnsi="標楷體" w:cs="標楷體"/>
          <w:sz w:val="32"/>
          <w:szCs w:val="32"/>
        </w:rPr>
        <w:t>月</w:t>
      </w:r>
      <w:r>
        <w:rPr>
          <w:rFonts w:cs="標楷體" w:ascii="標楷體" w:hAnsi="標楷體"/>
          <w:sz w:val="32"/>
          <w:szCs w:val="32"/>
        </w:rPr>
        <w:t>24</w:t>
      </w:r>
      <w:r>
        <w:rPr>
          <w:rFonts w:ascii="標楷體" w:hAnsi="標楷體" w:cs="標楷體"/>
          <w:sz w:val="32"/>
          <w:szCs w:val="32"/>
        </w:rPr>
        <w:t>日至</w:t>
      </w:r>
      <w:r>
        <w:rPr>
          <w:rFonts w:cs="標楷體" w:ascii="標楷體" w:hAnsi="標楷體"/>
          <w:sz w:val="32"/>
          <w:szCs w:val="32"/>
        </w:rPr>
        <w:t>103</w:t>
      </w:r>
      <w:r>
        <w:rPr>
          <w:rFonts w:ascii="標楷體" w:hAnsi="標楷體" w:cs="標楷體"/>
          <w:sz w:val="32"/>
          <w:szCs w:val="32"/>
        </w:rPr>
        <w:t>年</w:t>
      </w:r>
      <w:r>
        <w:rPr>
          <w:rFonts w:cs="標楷體" w:ascii="標楷體" w:hAnsi="標楷體"/>
          <w:sz w:val="32"/>
          <w:szCs w:val="32"/>
        </w:rPr>
        <w:t>7</w:t>
      </w:r>
      <w:r>
        <w:rPr>
          <w:rFonts w:ascii="標楷體" w:hAnsi="標楷體" w:cs="標楷體"/>
          <w:sz w:val="32"/>
          <w:szCs w:val="32"/>
        </w:rPr>
        <w:t>月</w:t>
      </w:r>
      <w:r>
        <w:rPr>
          <w:rFonts w:cs="標楷體" w:ascii="標楷體" w:hAnsi="標楷體"/>
          <w:sz w:val="32"/>
          <w:szCs w:val="32"/>
        </w:rPr>
        <w:t>23</w:t>
      </w:r>
      <w:r>
        <w:rPr>
          <w:rFonts w:ascii="標楷體" w:hAnsi="標楷體" w:cs="標楷體"/>
          <w:sz w:val="32"/>
          <w:szCs w:val="32"/>
        </w:rPr>
        <w:t>日</w:t>
      </w:r>
      <w:r>
        <w:rPr>
          <w:rFonts w:ascii="標楷體" w:hAnsi="標楷體" w:cs="標楷體"/>
          <w:sz w:val="32"/>
          <w:szCs w:val="32"/>
        </w:rPr>
        <w:t>）</w:t>
      </w:r>
      <w:r>
        <w:rPr>
          <w:rFonts w:ascii="標楷體" w:hAnsi="標楷體" w:cs="標楷體"/>
          <w:sz w:val="32"/>
          <w:szCs w:val="32"/>
        </w:rPr>
        <w:t>，嗣因返國服務提前於</w:t>
      </w:r>
      <w:r>
        <w:rPr>
          <w:rFonts w:cs="標楷體" w:ascii="標楷體" w:hAnsi="標楷體"/>
          <w:sz w:val="32"/>
          <w:szCs w:val="32"/>
        </w:rPr>
        <w:t>103</w:t>
      </w:r>
      <w:r>
        <w:rPr>
          <w:rFonts w:ascii="標楷體" w:hAnsi="標楷體" w:cs="標楷體"/>
          <w:sz w:val="32"/>
          <w:szCs w:val="32"/>
        </w:rPr>
        <w:t>年</w:t>
      </w:r>
      <w:r>
        <w:rPr>
          <w:rFonts w:cs="標楷體" w:ascii="標楷體" w:hAnsi="標楷體"/>
          <w:sz w:val="32"/>
          <w:szCs w:val="32"/>
        </w:rPr>
        <w:t>1</w:t>
      </w:r>
      <w:r>
        <w:rPr>
          <w:rFonts w:ascii="標楷體" w:hAnsi="標楷體" w:cs="標楷體"/>
          <w:sz w:val="32"/>
          <w:szCs w:val="32"/>
        </w:rPr>
        <w:t>月</w:t>
      </w:r>
      <w:r>
        <w:rPr>
          <w:rFonts w:cs="標楷體" w:ascii="標楷體" w:hAnsi="標楷體"/>
          <w:sz w:val="32"/>
          <w:szCs w:val="32"/>
        </w:rPr>
        <w:t>28</w:t>
      </w:r>
      <w:r>
        <w:rPr>
          <w:rFonts w:ascii="標楷體" w:hAnsi="標楷體" w:cs="標楷體"/>
          <w:sz w:val="32"/>
          <w:szCs w:val="32"/>
        </w:rPr>
        <w:t>日解除租約，經出租人退還</w:t>
      </w:r>
      <w:r>
        <w:rPr>
          <w:rFonts w:cs="標楷體" w:ascii="標楷體" w:hAnsi="標楷體"/>
          <w:sz w:val="32"/>
          <w:szCs w:val="32"/>
        </w:rPr>
        <w:t>6</w:t>
      </w:r>
      <w:r>
        <w:rPr>
          <w:rFonts w:ascii="標楷體" w:hAnsi="標楷體" w:cs="標楷體"/>
          <w:sz w:val="32"/>
          <w:szCs w:val="32"/>
        </w:rPr>
        <w:t>個月房租美金（下同）</w:t>
      </w:r>
      <w:r>
        <w:rPr>
          <w:rFonts w:cs="標楷體" w:ascii="標楷體" w:hAnsi="標楷體"/>
          <w:sz w:val="32"/>
          <w:szCs w:val="32"/>
        </w:rPr>
        <w:t>1</w:t>
      </w:r>
      <w:r>
        <w:rPr>
          <w:rFonts w:ascii="標楷體" w:hAnsi="標楷體" w:cs="標楷體"/>
          <w:sz w:val="32"/>
          <w:szCs w:val="32"/>
        </w:rPr>
        <w:t>萬</w:t>
      </w:r>
      <w:r>
        <w:rPr>
          <w:rFonts w:cs="標楷體" w:ascii="標楷體" w:hAnsi="標楷體"/>
          <w:sz w:val="32"/>
          <w:szCs w:val="32"/>
        </w:rPr>
        <w:t>3,500</w:t>
      </w:r>
      <w:r>
        <w:rPr>
          <w:rFonts w:ascii="標楷體" w:hAnsi="標楷體" w:cs="標楷體"/>
          <w:sz w:val="32"/>
          <w:szCs w:val="32"/>
        </w:rPr>
        <w:t>元。復審人主張差額</w:t>
      </w:r>
      <w:r>
        <w:rPr>
          <w:rFonts w:cs="標楷體" w:ascii="標楷體" w:hAnsi="標楷體"/>
          <w:sz w:val="32"/>
          <w:szCs w:val="32"/>
        </w:rPr>
        <w:t>362.9</w:t>
      </w:r>
      <w:r>
        <w:rPr>
          <w:rFonts w:ascii="標楷體" w:hAnsi="標楷體" w:cs="標楷體"/>
          <w:sz w:val="32"/>
          <w:szCs w:val="32"/>
        </w:rPr>
        <w:t>元係出租人應歸墊其代為修繕之費用，爰僅繳回房租補助費</w:t>
      </w:r>
      <w:r>
        <w:rPr>
          <w:rFonts w:cs="標楷體" w:ascii="標楷體" w:hAnsi="標楷體"/>
          <w:sz w:val="32"/>
          <w:szCs w:val="32"/>
        </w:rPr>
        <w:t>1</w:t>
      </w:r>
      <w:r>
        <w:rPr>
          <w:rFonts w:ascii="標楷體" w:hAnsi="標楷體" w:cs="標楷體"/>
          <w:sz w:val="32"/>
          <w:szCs w:val="32"/>
        </w:rPr>
        <w:t>萬</w:t>
      </w:r>
      <w:r>
        <w:rPr>
          <w:rFonts w:cs="標楷體" w:ascii="標楷體" w:hAnsi="標楷體"/>
          <w:sz w:val="32"/>
          <w:szCs w:val="32"/>
        </w:rPr>
        <w:t>3137.1</w:t>
      </w:r>
      <w:r>
        <w:rPr>
          <w:rFonts w:ascii="標楷體" w:hAnsi="標楷體" w:cs="標楷體"/>
          <w:sz w:val="32"/>
          <w:szCs w:val="32"/>
        </w:rPr>
        <w:t>元。查復審人繳回之</w:t>
      </w:r>
      <w:r>
        <w:rPr>
          <w:rFonts w:ascii="標楷體" w:hAnsi="標楷體" w:cs="標楷體"/>
          <w:sz w:val="32"/>
          <w:szCs w:val="32"/>
        </w:rPr>
        <w:t>房租補助費</w:t>
      </w:r>
      <w:r>
        <w:rPr>
          <w:rFonts w:ascii="標楷體" w:hAnsi="標楷體" w:cs="標楷體"/>
          <w:sz w:val="32"/>
          <w:szCs w:val="32"/>
        </w:rPr>
        <w:t>與出租人實際退還之金額固有不符，惟經○○代表處訪查結果，</w:t>
      </w:r>
      <w:r>
        <w:rPr>
          <w:rFonts w:ascii="標楷體" w:hAnsi="標楷體" w:cs="標楷體"/>
          <w:sz w:val="32"/>
          <w:szCs w:val="32"/>
        </w:rPr>
        <w:t>出租人與復審人間，確有由復審人負責修繕房屋，事後再由出租人歸墊費用之合意。則復審人主張係承租該屋期間，先行墊付之修繕費用，其實情究竟為何</w:t>
      </w:r>
      <w:r>
        <w:rPr>
          <w:rFonts w:cs="標楷體" w:ascii="標楷體" w:hAnsi="標楷體"/>
          <w:sz w:val="32"/>
          <w:szCs w:val="32"/>
        </w:rPr>
        <w:t>?</w:t>
      </w:r>
      <w:r>
        <w:rPr>
          <w:rFonts w:ascii="標楷體" w:hAnsi="標楷體" w:cs="標楷體"/>
          <w:sz w:val="32"/>
          <w:szCs w:val="32"/>
        </w:rPr>
        <w:t>如確有修繕費用支出，其數額又為多少</w:t>
      </w:r>
      <w:r>
        <w:rPr>
          <w:rFonts w:cs="標楷體" w:ascii="標楷體" w:hAnsi="標楷體"/>
          <w:sz w:val="32"/>
          <w:szCs w:val="32"/>
        </w:rPr>
        <w:t>?</w:t>
      </w:r>
      <w:r>
        <w:rPr>
          <w:rFonts w:ascii="標楷體" w:hAnsi="標楷體" w:cs="標楷體"/>
          <w:sz w:val="32"/>
          <w:szCs w:val="32"/>
        </w:rPr>
        <w:t>是否等同該</w:t>
      </w:r>
      <w:r>
        <w:rPr>
          <w:rFonts w:cs="標楷體" w:ascii="標楷體" w:hAnsi="標楷體"/>
          <w:sz w:val="32"/>
          <w:szCs w:val="32"/>
        </w:rPr>
        <w:t>5</w:t>
      </w:r>
      <w:r>
        <w:rPr>
          <w:rFonts w:ascii="標楷體" w:hAnsi="標楷體" w:cs="標楷體"/>
          <w:sz w:val="32"/>
          <w:szCs w:val="32"/>
        </w:rPr>
        <w:t>日（</w:t>
      </w:r>
      <w:r>
        <w:rPr>
          <w:rFonts w:cs="標楷體" w:ascii="標楷體" w:hAnsi="標楷體"/>
          <w:sz w:val="32"/>
          <w:szCs w:val="32"/>
        </w:rPr>
        <w:t>103</w:t>
      </w:r>
      <w:r>
        <w:rPr>
          <w:rFonts w:ascii="標楷體" w:hAnsi="標楷體" w:cs="標楷體"/>
          <w:sz w:val="32"/>
          <w:szCs w:val="32"/>
        </w:rPr>
        <w:t>年</w:t>
      </w:r>
      <w:r>
        <w:rPr>
          <w:rFonts w:cs="標楷體" w:ascii="標楷體" w:hAnsi="標楷體"/>
          <w:sz w:val="32"/>
          <w:szCs w:val="32"/>
        </w:rPr>
        <w:t>1</w:t>
      </w:r>
      <w:r>
        <w:rPr>
          <w:rFonts w:ascii="標楷體" w:hAnsi="標楷體" w:cs="標楷體"/>
          <w:sz w:val="32"/>
          <w:szCs w:val="32"/>
        </w:rPr>
        <w:t>月</w:t>
      </w:r>
      <w:r>
        <w:rPr>
          <w:rFonts w:cs="標楷體" w:ascii="標楷體" w:hAnsi="標楷體"/>
          <w:sz w:val="32"/>
          <w:szCs w:val="32"/>
        </w:rPr>
        <w:t>24</w:t>
      </w:r>
      <w:r>
        <w:rPr>
          <w:rFonts w:ascii="標楷體" w:hAnsi="標楷體" w:cs="標楷體"/>
          <w:sz w:val="32"/>
          <w:szCs w:val="32"/>
        </w:rPr>
        <w:t>日至</w:t>
      </w:r>
      <w:r>
        <w:rPr>
          <w:rFonts w:cs="標楷體" w:ascii="標楷體" w:hAnsi="標楷體"/>
          <w:sz w:val="32"/>
          <w:szCs w:val="32"/>
        </w:rPr>
        <w:t>28</w:t>
      </w:r>
      <w:r>
        <w:rPr>
          <w:rFonts w:ascii="標楷體" w:hAnsi="標楷體" w:cs="標楷體"/>
          <w:sz w:val="32"/>
          <w:szCs w:val="32"/>
        </w:rPr>
        <w:t>日）之租金，顯尚有未明。</w:t>
      </w:r>
      <w:r>
        <w:rPr>
          <w:rFonts w:ascii="標楷體" w:hAnsi="標楷體" w:cs="標楷體"/>
          <w:sz w:val="32"/>
          <w:szCs w:val="32"/>
        </w:rPr>
        <w:t>（</w:t>
      </w:r>
      <w:r>
        <w:rPr>
          <w:rFonts w:cs="標楷體" w:ascii="標楷體" w:hAnsi="標楷體"/>
          <w:sz w:val="32"/>
          <w:szCs w:val="32"/>
        </w:rPr>
        <w:t>104</w:t>
      </w:r>
      <w:r>
        <w:rPr>
          <w:rFonts w:ascii="標楷體" w:hAnsi="標楷體" w:cs="標楷體"/>
          <w:sz w:val="32"/>
          <w:szCs w:val="32"/>
        </w:rPr>
        <w:t>公審決字第</w:t>
      </w:r>
      <w:r>
        <w:rPr>
          <w:rFonts w:cs="標楷體" w:ascii="標楷體" w:hAnsi="標楷體"/>
          <w:sz w:val="32"/>
          <w:szCs w:val="32"/>
        </w:rPr>
        <w:t>0</w:t>
      </w:r>
      <w:r>
        <w:rPr>
          <w:rFonts w:cs="標楷體" w:ascii="標楷體" w:hAnsi="標楷體"/>
          <w:sz w:val="32"/>
          <w:szCs w:val="32"/>
        </w:rPr>
        <w:t>020</w:t>
      </w:r>
      <w:r>
        <w:rPr>
          <w:rFonts w:ascii="標楷體" w:hAnsi="標楷體" w:cs="標楷體"/>
          <w:sz w:val="32"/>
          <w:szCs w:val="32"/>
        </w:rPr>
        <w:t>號復審決定書）</w:t>
      </w:r>
    </w:p>
    <w:p>
      <w:pPr>
        <w:pStyle w:val="Normal"/>
        <w:overflowPunct w:val="false"/>
        <w:autoSpaceDE w:val="false"/>
        <w:spacing w:lineRule="exact" w:line="560"/>
        <w:ind w:left="1020" w:hanging="480"/>
        <w:jc w:val="both"/>
        <w:rPr>
          <w:rFonts w:ascii="標楷體" w:hAnsi="標楷體" w:cs="標楷體"/>
          <w:sz w:val="32"/>
          <w:szCs w:val="32"/>
        </w:rPr>
      </w:pPr>
      <w:r>
        <w:rPr>
          <w:rFonts w:ascii="標楷體" w:hAnsi="標楷體" w:cs="標楷體"/>
          <w:sz w:val="32"/>
          <w:szCs w:val="32"/>
        </w:rPr>
        <w:t xml:space="preserve"> </w:t>
      </w:r>
      <w:r>
        <w:rPr>
          <w:rFonts w:cs="Tahoma" w:ascii="標楷體" w:hAnsi="標楷體"/>
          <w:sz w:val="32"/>
          <w:szCs w:val="32"/>
        </w:rPr>
        <w:t>2.</w:t>
      </w:r>
      <w:r>
        <w:rPr>
          <w:rFonts w:ascii="標楷體" w:hAnsi="標楷體" w:cs="Tahoma"/>
          <w:sz w:val="32"/>
          <w:szCs w:val="32"/>
        </w:rPr>
        <w:t>公務人員因機關組織編制修正，而由非主管職務核派主管職務，其實際到任主管職務係在銓敘審定生效日之後，仍應自實際到任主管職務之日起，支給主管職務加給；至於是否實際負領導責任，由服務機關依其所任職務之職掌事項及實際工作情形，覈實認定之。復審人自</w:t>
      </w:r>
      <w:r>
        <w:rPr>
          <w:rFonts w:cs="Tahoma" w:ascii="標楷體" w:hAnsi="標楷體"/>
          <w:sz w:val="32"/>
          <w:szCs w:val="32"/>
        </w:rPr>
        <w:t>98</w:t>
      </w:r>
      <w:r>
        <w:rPr>
          <w:rFonts w:ascii="標楷體" w:hAnsi="標楷體" w:cs="Tahoma"/>
          <w:sz w:val="32"/>
          <w:szCs w:val="32"/>
        </w:rPr>
        <w:t>年</w:t>
      </w:r>
      <w:r>
        <w:rPr>
          <w:rFonts w:cs="Tahoma" w:ascii="標楷體" w:hAnsi="標楷體"/>
          <w:sz w:val="32"/>
          <w:szCs w:val="32"/>
        </w:rPr>
        <w:t>2</w:t>
      </w:r>
      <w:r>
        <w:rPr>
          <w:rFonts w:ascii="標楷體" w:hAnsi="標楷體" w:cs="Tahoma"/>
          <w:sz w:val="32"/>
          <w:szCs w:val="32"/>
        </w:rPr>
        <w:t>月</w:t>
      </w:r>
      <w:r>
        <w:rPr>
          <w:rFonts w:cs="Tahoma" w:ascii="標楷體" w:hAnsi="標楷體"/>
          <w:sz w:val="32"/>
          <w:szCs w:val="32"/>
        </w:rPr>
        <w:t>19</w:t>
      </w:r>
      <w:r>
        <w:rPr>
          <w:rFonts w:ascii="標楷體" w:hAnsi="標楷體" w:cs="Tahoma"/>
          <w:sz w:val="32"/>
          <w:szCs w:val="32"/>
        </w:rPr>
        <w:t>日起，已有對屬員核稿及辦理平時考核之情事，服務機關逕認其自</w:t>
      </w:r>
      <w:r>
        <w:rPr>
          <w:rFonts w:cs="Tahoma" w:ascii="標楷體" w:hAnsi="標楷體"/>
          <w:sz w:val="32"/>
          <w:szCs w:val="32"/>
        </w:rPr>
        <w:t>98</w:t>
      </w:r>
      <w:r>
        <w:rPr>
          <w:rFonts w:ascii="標楷體" w:hAnsi="標楷體" w:cs="Tahoma"/>
          <w:sz w:val="32"/>
          <w:szCs w:val="32"/>
        </w:rPr>
        <w:t>年</w:t>
      </w:r>
      <w:r>
        <w:rPr>
          <w:rFonts w:cs="Tahoma" w:ascii="標楷體" w:hAnsi="標楷體"/>
          <w:sz w:val="32"/>
          <w:szCs w:val="32"/>
        </w:rPr>
        <w:t>2</w:t>
      </w:r>
      <w:r>
        <w:rPr>
          <w:rFonts w:ascii="標楷體" w:hAnsi="標楷體" w:cs="Tahoma"/>
          <w:sz w:val="32"/>
          <w:szCs w:val="32"/>
        </w:rPr>
        <w:t>月</w:t>
      </w:r>
      <w:r>
        <w:rPr>
          <w:rFonts w:cs="Tahoma" w:ascii="標楷體" w:hAnsi="標楷體"/>
          <w:sz w:val="32"/>
          <w:szCs w:val="32"/>
        </w:rPr>
        <w:t>19</w:t>
      </w:r>
      <w:r>
        <w:rPr>
          <w:rFonts w:ascii="標楷體" w:hAnsi="標楷體" w:cs="Tahoma"/>
          <w:sz w:val="32"/>
          <w:szCs w:val="32"/>
        </w:rPr>
        <w:t>日起至同年</w:t>
      </w:r>
      <w:r>
        <w:rPr>
          <w:rFonts w:cs="Tahoma" w:ascii="標楷體" w:hAnsi="標楷體"/>
          <w:sz w:val="32"/>
          <w:szCs w:val="32"/>
        </w:rPr>
        <w:t>10</w:t>
      </w:r>
      <w:r>
        <w:rPr>
          <w:rFonts w:ascii="標楷體" w:hAnsi="標楷體" w:cs="Tahoma"/>
          <w:sz w:val="32"/>
          <w:szCs w:val="32"/>
        </w:rPr>
        <w:t>月</w:t>
      </w:r>
      <w:r>
        <w:rPr>
          <w:rFonts w:cs="Tahoma" w:ascii="標楷體" w:hAnsi="標楷體"/>
          <w:sz w:val="32"/>
          <w:szCs w:val="32"/>
        </w:rPr>
        <w:t>29</w:t>
      </w:r>
      <w:r>
        <w:rPr>
          <w:rFonts w:ascii="標楷體" w:hAnsi="標楷體" w:cs="Tahoma"/>
          <w:sz w:val="32"/>
          <w:szCs w:val="32"/>
        </w:rPr>
        <w:t>日止，綜理該校人事室第一組業務，僅係工作指派，未實際負領導責任，而否准補發系爭期間之主管職務加給，是否妥適，核有再行斟酌之必要。</w:t>
      </w:r>
      <w:r>
        <w:rPr>
          <w:rFonts w:ascii="標楷體" w:hAnsi="標楷體" w:cs="標楷體"/>
          <w:sz w:val="32"/>
          <w:szCs w:val="32"/>
        </w:rPr>
        <w:t>（</w:t>
      </w:r>
      <w:r>
        <w:rPr>
          <w:rFonts w:cs="標楷體" w:ascii="標楷體" w:hAnsi="標楷體"/>
          <w:sz w:val="32"/>
          <w:szCs w:val="32"/>
        </w:rPr>
        <w:t>104</w:t>
      </w:r>
      <w:r>
        <w:rPr>
          <w:rFonts w:ascii="標楷體" w:hAnsi="標楷體" w:cs="標楷體"/>
          <w:sz w:val="32"/>
          <w:szCs w:val="32"/>
        </w:rPr>
        <w:t>公審決字第</w:t>
      </w:r>
      <w:r>
        <w:rPr>
          <w:rFonts w:cs="標楷體" w:ascii="標楷體" w:hAnsi="標楷體"/>
          <w:sz w:val="32"/>
          <w:szCs w:val="32"/>
        </w:rPr>
        <w:t>0024</w:t>
      </w:r>
      <w:r>
        <w:rPr>
          <w:rFonts w:ascii="標楷體" w:hAnsi="標楷體" w:cs="標楷體"/>
          <w:sz w:val="32"/>
          <w:szCs w:val="32"/>
        </w:rPr>
        <w:t xml:space="preserve">號復審決定書） </w:t>
      </w:r>
    </w:p>
    <w:p>
      <w:pPr>
        <w:pStyle w:val="Normal"/>
        <w:numPr>
          <w:ilvl w:val="0"/>
          <w:numId w:val="1"/>
        </w:numPr>
        <w:spacing w:lineRule="exact" w:line="560" w:before="199" w:after="0"/>
        <w:ind w:left="964" w:hanging="1106"/>
        <w:jc w:val="both"/>
        <w:rPr>
          <w:rFonts w:ascii="標楷體" w:hAnsi="標楷體" w:cs="標楷體"/>
          <w:b/>
          <w:b/>
          <w:sz w:val="32"/>
          <w:szCs w:val="32"/>
        </w:rPr>
      </w:pPr>
      <w:r>
        <w:rPr>
          <w:rFonts w:ascii="標楷體" w:hAnsi="標楷體" w:cs="標楷體"/>
          <w:b/>
          <w:sz w:val="32"/>
          <w:szCs w:val="32"/>
        </w:rPr>
        <w:t>行政處分之法規適用顯有錯誤、</w:t>
      </w:r>
      <w:r>
        <w:rPr>
          <w:rFonts w:ascii="標楷體" w:hAnsi="標楷體" w:cs="標楷體"/>
          <w:b/>
          <w:sz w:val="32"/>
          <w:szCs w:val="32"/>
        </w:rPr>
        <w:t>違反信賴保護原則</w:t>
      </w:r>
      <w:r>
        <w:rPr>
          <w:rFonts w:ascii="標楷體" w:hAnsi="標楷體" w:cs="標楷體"/>
          <w:b/>
          <w:sz w:val="32"/>
          <w:szCs w:val="32"/>
        </w:rPr>
        <w:t>︰</w:t>
      </w:r>
    </w:p>
    <w:p>
      <w:pPr>
        <w:pStyle w:val="Normal"/>
        <w:overflowPunct w:val="false"/>
        <w:autoSpaceDE w:val="false"/>
        <w:spacing w:lineRule="exact" w:line="560"/>
        <w:ind w:left="1020" w:hanging="480"/>
        <w:jc w:val="both"/>
        <w:rPr>
          <w:rFonts w:ascii="標楷體" w:hAnsi="標楷體" w:cs="標楷體"/>
          <w:sz w:val="32"/>
          <w:szCs w:val="32"/>
        </w:rPr>
      </w:pPr>
      <w:r>
        <w:rPr>
          <w:rFonts w:ascii="標楷體" w:hAnsi="標楷體" w:cs="標楷體"/>
          <w:sz w:val="32"/>
          <w:szCs w:val="32"/>
        </w:rPr>
        <w:t xml:space="preserve"> </w:t>
      </w:r>
      <w:r>
        <w:rPr>
          <w:rFonts w:cs="標楷體" w:ascii="標楷體" w:hAnsi="標楷體"/>
          <w:sz w:val="32"/>
          <w:szCs w:val="32"/>
        </w:rPr>
        <w:t>1.</w:t>
      </w:r>
      <w:r>
        <w:rPr>
          <w:rFonts w:ascii="標楷體" w:hAnsi="標楷體" w:cs="標楷體"/>
          <w:sz w:val="32"/>
          <w:szCs w:val="32"/>
        </w:rPr>
        <w:t>公法上不當得利返還請求權時效期間，應自各期款項核發之日起算，於法定期間經過後即消滅，自不得再行追繳。亦即機關撤銷違法行政處分之時點，已逾行政程序法第</w:t>
      </w:r>
      <w:r>
        <w:rPr>
          <w:rFonts w:cs="標楷體" w:ascii="標楷體" w:hAnsi="標楷體"/>
          <w:sz w:val="32"/>
          <w:szCs w:val="32"/>
        </w:rPr>
        <w:t>131</w:t>
      </w:r>
      <w:r>
        <w:rPr>
          <w:rFonts w:ascii="標楷體" w:hAnsi="標楷體" w:cs="標楷體"/>
          <w:sz w:val="32"/>
          <w:szCs w:val="32"/>
        </w:rPr>
        <w:t>條第</w:t>
      </w:r>
      <w:r>
        <w:rPr>
          <w:rFonts w:cs="標楷體" w:ascii="標楷體" w:hAnsi="標楷體"/>
          <w:sz w:val="32"/>
          <w:szCs w:val="32"/>
        </w:rPr>
        <w:t>1</w:t>
      </w:r>
      <w:r>
        <w:rPr>
          <w:rFonts w:ascii="標楷體" w:hAnsi="標楷體" w:cs="標楷體"/>
          <w:sz w:val="32"/>
          <w:szCs w:val="32"/>
        </w:rPr>
        <w:t>項所定</w:t>
      </w:r>
      <w:r>
        <w:rPr>
          <w:rFonts w:cs="標楷體" w:ascii="標楷體" w:hAnsi="標楷體"/>
          <w:sz w:val="32"/>
          <w:szCs w:val="32"/>
        </w:rPr>
        <w:t>5</w:t>
      </w:r>
      <w:r>
        <w:rPr>
          <w:rFonts w:ascii="標楷體" w:hAnsi="標楷體" w:cs="標楷體"/>
          <w:sz w:val="32"/>
          <w:szCs w:val="32"/>
        </w:rPr>
        <w:t>年之消滅時效期間，即不得再行撤銷；○○醫院怠於行使公法上不當得利返還請求權，該請求權已因時效完成而當然消滅，自不得再向復審人請求返還。（</w:t>
      </w:r>
      <w:r>
        <w:rPr>
          <w:rFonts w:cs="標楷體" w:ascii="標楷體" w:hAnsi="標楷體"/>
          <w:sz w:val="32"/>
          <w:szCs w:val="32"/>
        </w:rPr>
        <w:t>104</w:t>
      </w:r>
      <w:r>
        <w:rPr>
          <w:rFonts w:ascii="標楷體" w:hAnsi="標楷體" w:cs="標楷體"/>
          <w:sz w:val="32"/>
          <w:szCs w:val="32"/>
        </w:rPr>
        <w:t>公審決字第</w:t>
      </w:r>
      <w:r>
        <w:rPr>
          <w:rFonts w:cs="標楷體" w:ascii="標楷體" w:hAnsi="標楷體"/>
          <w:sz w:val="32"/>
          <w:szCs w:val="32"/>
        </w:rPr>
        <w:t>0</w:t>
      </w:r>
      <w:r>
        <w:rPr>
          <w:rFonts w:cs="標楷體" w:ascii="標楷體" w:hAnsi="標楷體"/>
          <w:sz w:val="32"/>
          <w:szCs w:val="32"/>
        </w:rPr>
        <w:t>011</w:t>
      </w:r>
      <w:r>
        <w:rPr>
          <w:rFonts w:ascii="標楷體" w:hAnsi="標楷體" w:cs="標楷體"/>
          <w:sz w:val="32"/>
          <w:szCs w:val="32"/>
        </w:rPr>
        <w:t>號、第</w:t>
      </w:r>
      <w:r>
        <w:rPr>
          <w:rFonts w:cs="標楷體" w:ascii="標楷體" w:hAnsi="標楷體"/>
          <w:sz w:val="32"/>
          <w:szCs w:val="32"/>
        </w:rPr>
        <w:t>0</w:t>
      </w:r>
      <w:r>
        <w:rPr>
          <w:rFonts w:cs="標楷體" w:ascii="標楷體" w:hAnsi="標楷體"/>
          <w:sz w:val="32"/>
          <w:szCs w:val="32"/>
        </w:rPr>
        <w:t>029</w:t>
      </w:r>
      <w:r>
        <w:rPr>
          <w:rFonts w:ascii="標楷體" w:hAnsi="標楷體" w:cs="標楷體"/>
          <w:sz w:val="32"/>
          <w:szCs w:val="32"/>
        </w:rPr>
        <w:t>號、第</w:t>
      </w:r>
      <w:r>
        <w:rPr>
          <w:rFonts w:cs="標楷體" w:ascii="標楷體" w:hAnsi="標楷體"/>
          <w:sz w:val="32"/>
          <w:szCs w:val="32"/>
        </w:rPr>
        <w:t>0</w:t>
      </w:r>
      <w:r>
        <w:rPr>
          <w:rFonts w:cs="標楷體" w:ascii="標楷體" w:hAnsi="標楷體"/>
          <w:sz w:val="32"/>
          <w:szCs w:val="32"/>
        </w:rPr>
        <w:t>132</w:t>
      </w:r>
      <w:r>
        <w:rPr>
          <w:rFonts w:ascii="標楷體" w:hAnsi="標楷體" w:cs="標楷體"/>
          <w:sz w:val="32"/>
          <w:szCs w:val="32"/>
        </w:rPr>
        <w:t>號復審決定書）</w:t>
      </w:r>
    </w:p>
    <w:p>
      <w:pPr>
        <w:pStyle w:val="Normal"/>
        <w:overflowPunct w:val="false"/>
        <w:autoSpaceDE w:val="false"/>
        <w:spacing w:lineRule="exact" w:line="560"/>
        <w:ind w:left="1020" w:hanging="480"/>
        <w:jc w:val="both"/>
        <w:rPr>
          <w:rFonts w:ascii="標楷體" w:hAnsi="標楷體" w:cs="標楷體"/>
          <w:sz w:val="32"/>
          <w:szCs w:val="32"/>
        </w:rPr>
      </w:pPr>
      <w:r>
        <w:rPr>
          <w:rFonts w:ascii="標楷體" w:hAnsi="標楷體" w:cs="標楷體"/>
          <w:sz w:val="32"/>
          <w:szCs w:val="32"/>
        </w:rPr>
        <w:t xml:space="preserve"> </w:t>
      </w:r>
      <w:r>
        <w:rPr>
          <w:rFonts w:cs="標楷體" w:ascii="標楷體" w:hAnsi="標楷體"/>
          <w:sz w:val="32"/>
          <w:szCs w:val="32"/>
        </w:rPr>
        <w:t>2.</w:t>
      </w:r>
      <w:r>
        <w:rPr>
          <w:rFonts w:ascii="標楷體" w:hAnsi="標楷體" w:cs="Tahoma"/>
          <w:sz w:val="32"/>
          <w:szCs w:val="32"/>
        </w:rPr>
        <w:t>現職人員經核派代理職務連續</w:t>
      </w:r>
      <w:r>
        <w:rPr>
          <w:rFonts w:cs="Tahoma" w:ascii="標楷體" w:hAnsi="標楷體"/>
          <w:sz w:val="32"/>
          <w:szCs w:val="32"/>
        </w:rPr>
        <w:t>10</w:t>
      </w:r>
      <w:r>
        <w:rPr>
          <w:rFonts w:ascii="標楷體" w:hAnsi="標楷體" w:cs="Tahoma"/>
          <w:sz w:val="32"/>
          <w:szCs w:val="32"/>
        </w:rPr>
        <w:t>個工作日以上，並具有所代理職務適用之加給表所列支給條件者，得按所代理職務之職等、加給表支領加給。復審人於系爭期間代理○○議會簡任第十職等至第十一職等資訊處理職系室主任，依該議會行政人員編制表，組、室主任固均為簡任第十職等至第十一職等，惟僅復審人曾任該議會資訊室資訊處理職系室主任，經銓敘審定合格實授，而具有各機關職務代理應行注意事項第</w:t>
      </w:r>
      <w:r>
        <w:rPr>
          <w:rFonts w:cs="Tahoma" w:ascii="標楷體" w:hAnsi="標楷體"/>
          <w:sz w:val="32"/>
          <w:szCs w:val="32"/>
        </w:rPr>
        <w:t>3</w:t>
      </w:r>
      <w:r>
        <w:rPr>
          <w:rFonts w:ascii="標楷體" w:hAnsi="標楷體" w:cs="Tahoma"/>
          <w:sz w:val="32"/>
          <w:szCs w:val="32"/>
        </w:rPr>
        <w:t>點第</w:t>
      </w:r>
      <w:r>
        <w:rPr>
          <w:rFonts w:cs="Tahoma" w:ascii="標楷體" w:hAnsi="標楷體"/>
          <w:sz w:val="32"/>
          <w:szCs w:val="32"/>
        </w:rPr>
        <w:t>1</w:t>
      </w:r>
      <w:r>
        <w:rPr>
          <w:rFonts w:ascii="標楷體" w:hAnsi="標楷體" w:cs="Tahoma"/>
          <w:sz w:val="32"/>
          <w:szCs w:val="32"/>
        </w:rPr>
        <w:t>項第</w:t>
      </w:r>
      <w:r>
        <w:rPr>
          <w:rFonts w:cs="Tahoma" w:ascii="標楷體" w:hAnsi="標楷體"/>
          <w:sz w:val="32"/>
          <w:szCs w:val="32"/>
        </w:rPr>
        <w:t>1</w:t>
      </w:r>
      <w:r>
        <w:rPr>
          <w:rFonts w:ascii="標楷體" w:hAnsi="標楷體" w:cs="Tahoma"/>
          <w:sz w:val="32"/>
          <w:szCs w:val="32"/>
        </w:rPr>
        <w:t>款末段所定被代理職務之任用資格。是○○議會核派復審人於系爭期間代理資訊室主任職務，於法並無不合。又復審人曾任所代理之職務，經銓敘審定有案，且於系爭期間已實際執行該職務，是否未具公務人員專業加給表（以下簡稱加給表）之支給條件，非無疑義。況系爭期間○○議會與被代理之資訊室主任屬同官等同層級人員之組、室主任</w:t>
      </w:r>
      <w:r>
        <w:rPr>
          <w:rFonts w:cs="Tahoma" w:ascii="標楷體" w:hAnsi="標楷體"/>
          <w:sz w:val="32"/>
          <w:szCs w:val="32"/>
        </w:rPr>
        <w:t>9</w:t>
      </w:r>
      <w:r>
        <w:rPr>
          <w:rFonts w:ascii="標楷體" w:hAnsi="標楷體" w:cs="Tahoma"/>
          <w:sz w:val="32"/>
          <w:szCs w:val="32"/>
        </w:rPr>
        <w:t>人中，僅復審人曾審定資訊處理職系有案，其餘人員並無此專長；而該議會資訊處理職系現職人員，又均不具代理該職務之資格條件。是若囿於代理該職務人員，其所任現職須歸資訊處理職系，始得按加給表發給專業加給，是否與公務人員加給給與辦法第</w:t>
      </w:r>
      <w:r>
        <w:rPr>
          <w:rFonts w:cs="Tahoma" w:ascii="標楷體" w:hAnsi="標楷體"/>
          <w:sz w:val="32"/>
          <w:szCs w:val="32"/>
        </w:rPr>
        <w:t>12</w:t>
      </w:r>
      <w:r>
        <w:rPr>
          <w:rFonts w:ascii="標楷體" w:hAnsi="標楷體" w:cs="Tahoma"/>
          <w:sz w:val="32"/>
          <w:szCs w:val="32"/>
        </w:rPr>
        <w:t>條第</w:t>
      </w:r>
      <w:r>
        <w:rPr>
          <w:rFonts w:cs="Tahoma" w:ascii="標楷體" w:hAnsi="標楷體"/>
          <w:sz w:val="32"/>
          <w:szCs w:val="32"/>
        </w:rPr>
        <w:t>3</w:t>
      </w:r>
      <w:r>
        <w:rPr>
          <w:rFonts w:ascii="標楷體" w:hAnsi="標楷體" w:cs="Tahoma"/>
          <w:sz w:val="32"/>
          <w:szCs w:val="32"/>
        </w:rPr>
        <w:t>項增訂意旨相符，亦非無疑。</w:t>
      </w:r>
      <w:r>
        <w:rPr>
          <w:rFonts w:ascii="標楷體" w:hAnsi="標楷體" w:cs="標楷體"/>
          <w:sz w:val="32"/>
          <w:szCs w:val="32"/>
        </w:rPr>
        <w:t>（</w:t>
      </w:r>
      <w:r>
        <w:rPr>
          <w:rFonts w:cs="標楷體" w:ascii="標楷體" w:hAnsi="標楷體"/>
          <w:sz w:val="32"/>
          <w:szCs w:val="32"/>
        </w:rPr>
        <w:t>104</w:t>
      </w:r>
      <w:r>
        <w:rPr>
          <w:rFonts w:ascii="標楷體" w:hAnsi="標楷體" w:cs="標楷體"/>
          <w:sz w:val="32"/>
          <w:szCs w:val="32"/>
        </w:rPr>
        <w:t>公審決字第</w:t>
      </w:r>
      <w:r>
        <w:rPr>
          <w:rFonts w:cs="標楷體" w:ascii="標楷體" w:hAnsi="標楷體"/>
          <w:sz w:val="32"/>
          <w:szCs w:val="32"/>
        </w:rPr>
        <w:t>0</w:t>
      </w:r>
      <w:r>
        <w:rPr>
          <w:rFonts w:cs="標楷體" w:ascii="標楷體" w:hAnsi="標楷體"/>
          <w:sz w:val="32"/>
          <w:szCs w:val="32"/>
        </w:rPr>
        <w:t>043</w:t>
      </w:r>
      <w:r>
        <w:rPr>
          <w:rFonts w:ascii="標楷體" w:hAnsi="標楷體" w:cs="標楷體"/>
          <w:sz w:val="32"/>
          <w:szCs w:val="32"/>
        </w:rPr>
        <w:t>號、第</w:t>
      </w:r>
      <w:r>
        <w:rPr>
          <w:rFonts w:cs="標楷體" w:ascii="標楷體" w:hAnsi="標楷體"/>
          <w:sz w:val="32"/>
          <w:szCs w:val="32"/>
        </w:rPr>
        <w:t>0</w:t>
      </w:r>
      <w:r>
        <w:rPr>
          <w:rFonts w:cs="標楷體" w:ascii="標楷體" w:hAnsi="標楷體"/>
          <w:sz w:val="32"/>
          <w:szCs w:val="32"/>
        </w:rPr>
        <w:t>111</w:t>
      </w:r>
      <w:r>
        <w:rPr>
          <w:rFonts w:ascii="標楷體" w:hAnsi="標楷體" w:cs="標楷體"/>
          <w:sz w:val="32"/>
          <w:szCs w:val="32"/>
        </w:rPr>
        <w:t>號復審決定書）</w:t>
      </w:r>
    </w:p>
    <w:p>
      <w:pPr>
        <w:pStyle w:val="Normal"/>
        <w:overflowPunct w:val="false"/>
        <w:autoSpaceDE w:val="false"/>
        <w:spacing w:lineRule="exact" w:line="560"/>
        <w:ind w:left="1020" w:hanging="480"/>
        <w:jc w:val="both"/>
        <w:rPr/>
      </w:pPr>
      <w:r>
        <w:rPr>
          <w:rFonts w:ascii="標楷體" w:hAnsi="標楷體" w:cs="標楷體"/>
          <w:sz w:val="32"/>
          <w:szCs w:val="32"/>
        </w:rPr>
        <w:t xml:space="preserve"> </w:t>
      </w:r>
      <w:r>
        <w:rPr>
          <w:rFonts w:cs="標楷體" w:ascii="標楷體" w:hAnsi="標楷體"/>
          <w:sz w:val="32"/>
          <w:szCs w:val="32"/>
        </w:rPr>
        <w:t>3.</w:t>
      </w:r>
      <w:r>
        <w:rPr>
          <w:rFonts w:ascii="標楷體" w:hAnsi="標楷體" w:cs="Tahoma"/>
          <w:sz w:val="32"/>
          <w:szCs w:val="32"/>
        </w:rPr>
        <w:t>按行政程序法第</w:t>
      </w:r>
      <w:r>
        <w:rPr>
          <w:rFonts w:cs="Tahoma" w:ascii="標楷體" w:hAnsi="標楷體"/>
          <w:sz w:val="32"/>
          <w:szCs w:val="32"/>
        </w:rPr>
        <w:t>8</w:t>
      </w:r>
      <w:r>
        <w:rPr>
          <w:rFonts w:ascii="標楷體" w:hAnsi="標楷體" w:cs="Tahoma"/>
          <w:sz w:val="32"/>
          <w:szCs w:val="32"/>
        </w:rPr>
        <w:t>條、第</w:t>
      </w:r>
      <w:r>
        <w:rPr>
          <w:rFonts w:cs="Tahoma" w:ascii="標楷體" w:hAnsi="標楷體"/>
          <w:sz w:val="32"/>
          <w:szCs w:val="32"/>
        </w:rPr>
        <w:t>123</w:t>
      </w:r>
      <w:r>
        <w:rPr>
          <w:rFonts w:ascii="標楷體" w:hAnsi="標楷體" w:cs="Tahoma"/>
          <w:sz w:val="32"/>
          <w:szCs w:val="32"/>
        </w:rPr>
        <w:t>條及第</w:t>
      </w:r>
      <w:r>
        <w:rPr>
          <w:rFonts w:cs="Tahoma" w:ascii="標楷體" w:hAnsi="標楷體"/>
          <w:sz w:val="32"/>
          <w:szCs w:val="32"/>
        </w:rPr>
        <w:t>125</w:t>
      </w:r>
      <w:r>
        <w:rPr>
          <w:rFonts w:ascii="標楷體" w:hAnsi="標楷體" w:cs="Tahoma"/>
          <w:sz w:val="32"/>
          <w:szCs w:val="32"/>
        </w:rPr>
        <w:t>條規定，若行政機關先為一適法之行政處分，於行政處分所依據之法規或事實事後發生變更時，基於公益之考量，雖得廢止之，惟僅得向後生效；於定較後之生效日時，並應保護人民正當合理之信賴。司法院釋字第</w:t>
      </w:r>
      <w:r>
        <w:rPr>
          <w:rFonts w:cs="Tahoma" w:ascii="標楷體" w:hAnsi="標楷體"/>
          <w:sz w:val="32"/>
          <w:szCs w:val="32"/>
        </w:rPr>
        <w:t>525</w:t>
      </w:r>
      <w:r>
        <w:rPr>
          <w:rFonts w:ascii="標楷體" w:hAnsi="標楷體" w:cs="Tahoma"/>
          <w:sz w:val="32"/>
          <w:szCs w:val="32"/>
        </w:rPr>
        <w:t>號解釋所闡明及行政程序法第</w:t>
      </w:r>
      <w:r>
        <w:rPr>
          <w:rFonts w:cs="Tahoma" w:ascii="標楷體" w:hAnsi="標楷體"/>
          <w:sz w:val="32"/>
          <w:szCs w:val="32"/>
        </w:rPr>
        <w:t>8</w:t>
      </w:r>
      <w:r>
        <w:rPr>
          <w:rFonts w:ascii="標楷體" w:hAnsi="標楷體" w:cs="Tahoma"/>
          <w:sz w:val="32"/>
          <w:szCs w:val="32"/>
        </w:rPr>
        <w:t>條所規定之信賴保護原則，於行政處分之廢止亦有適用餘地。○○縣政府對復審人初聘所核敘之薪級，自係依據聘約，比照公立學校教師暨助教職務等級表核敘其薪級，當屬於法有據。嗣其歷次續聘，均比照講師等級支薪，其後因組織規程及編制表修正，服務機關固得依該機關管理要點及行政程序法第</w:t>
      </w:r>
      <w:r>
        <w:rPr>
          <w:rFonts w:cs="Tahoma" w:ascii="標楷體" w:hAnsi="標楷體"/>
          <w:sz w:val="32"/>
          <w:szCs w:val="32"/>
        </w:rPr>
        <w:t>123</w:t>
      </w:r>
      <w:r>
        <w:rPr>
          <w:rFonts w:ascii="標楷體" w:hAnsi="標楷體" w:cs="Tahoma"/>
          <w:sz w:val="32"/>
          <w:szCs w:val="32"/>
        </w:rPr>
        <w:t>條第</w:t>
      </w:r>
      <w:r>
        <w:rPr>
          <w:rFonts w:cs="Tahoma" w:ascii="標楷體" w:hAnsi="標楷體"/>
          <w:sz w:val="32"/>
          <w:szCs w:val="32"/>
        </w:rPr>
        <w:t>4</w:t>
      </w:r>
      <w:r>
        <w:rPr>
          <w:rFonts w:ascii="標楷體" w:hAnsi="標楷體" w:cs="Tahoma"/>
          <w:sz w:val="32"/>
          <w:szCs w:val="32"/>
        </w:rPr>
        <w:t>款之規定，予以改聘換敘，惟仍應保障聘任人員正當合理之信賴。是○○縣政府廢止原核敘薪級處分向後生效之時日，自以</w:t>
      </w:r>
      <w:r>
        <w:rPr>
          <w:rFonts w:cs="Tahoma" w:ascii="標楷體" w:hAnsi="標楷體"/>
          <w:sz w:val="32"/>
          <w:szCs w:val="32"/>
        </w:rPr>
        <w:t>103</w:t>
      </w:r>
      <w:r>
        <w:rPr>
          <w:rFonts w:ascii="標楷體" w:hAnsi="標楷體" w:cs="Tahoma"/>
          <w:sz w:val="32"/>
          <w:szCs w:val="32"/>
        </w:rPr>
        <w:t>年</w:t>
      </w:r>
      <w:r>
        <w:rPr>
          <w:rFonts w:cs="Tahoma" w:ascii="標楷體" w:hAnsi="標楷體"/>
          <w:sz w:val="32"/>
          <w:szCs w:val="32"/>
        </w:rPr>
        <w:t>12</w:t>
      </w:r>
      <w:r>
        <w:rPr>
          <w:rFonts w:ascii="標楷體" w:hAnsi="標楷體" w:cs="Tahoma"/>
          <w:sz w:val="32"/>
          <w:szCs w:val="32"/>
        </w:rPr>
        <w:t>月</w:t>
      </w:r>
      <w:r>
        <w:rPr>
          <w:rFonts w:cs="Tahoma" w:ascii="標楷體" w:hAnsi="標楷體"/>
          <w:sz w:val="32"/>
          <w:szCs w:val="32"/>
        </w:rPr>
        <w:t>31</w:t>
      </w:r>
      <w:r>
        <w:rPr>
          <w:rFonts w:ascii="標楷體" w:hAnsi="標楷體" w:cs="Tahoma"/>
          <w:sz w:val="32"/>
          <w:szCs w:val="32"/>
        </w:rPr>
        <w:t>日，即原聘約期滿之日為宜。據上，○○縣政府逕將復審人由依講師資格改依中等學校教師資格核敘薪級，並溯自</w:t>
      </w:r>
      <w:r>
        <w:rPr>
          <w:rFonts w:cs="Tahoma" w:ascii="標楷體" w:hAnsi="標楷體"/>
          <w:sz w:val="32"/>
          <w:szCs w:val="32"/>
        </w:rPr>
        <w:t>102</w:t>
      </w:r>
      <w:r>
        <w:rPr>
          <w:rFonts w:ascii="標楷體" w:hAnsi="標楷體" w:cs="Tahoma"/>
          <w:sz w:val="32"/>
          <w:szCs w:val="32"/>
        </w:rPr>
        <w:t>年</w:t>
      </w:r>
      <w:r>
        <w:rPr>
          <w:rFonts w:cs="Tahoma" w:ascii="標楷體" w:hAnsi="標楷體"/>
          <w:sz w:val="32"/>
          <w:szCs w:val="32"/>
        </w:rPr>
        <w:t>12</w:t>
      </w:r>
      <w:r>
        <w:rPr>
          <w:rFonts w:ascii="標楷體" w:hAnsi="標楷體" w:cs="Tahoma"/>
          <w:sz w:val="32"/>
          <w:szCs w:val="32"/>
        </w:rPr>
        <w:t>月</w:t>
      </w:r>
      <w:r>
        <w:rPr>
          <w:rFonts w:cs="Tahoma" w:ascii="標楷體" w:hAnsi="標楷體"/>
          <w:sz w:val="32"/>
          <w:szCs w:val="32"/>
        </w:rPr>
        <w:t>26</w:t>
      </w:r>
      <w:r>
        <w:rPr>
          <w:rFonts w:ascii="標楷體" w:hAnsi="標楷體" w:cs="Tahoma"/>
          <w:sz w:val="32"/>
          <w:szCs w:val="32"/>
        </w:rPr>
        <w:t>日生效，即有再予斟酌之必要。</w:t>
      </w:r>
      <w:r>
        <w:rPr>
          <w:rFonts w:ascii="標楷體" w:hAnsi="標楷體" w:cs="標楷體"/>
          <w:sz w:val="32"/>
          <w:szCs w:val="32"/>
        </w:rPr>
        <w:t>（</w:t>
      </w:r>
      <w:r>
        <w:rPr>
          <w:rFonts w:cs="標楷體" w:ascii="標楷體" w:hAnsi="標楷體"/>
          <w:sz w:val="32"/>
          <w:szCs w:val="32"/>
        </w:rPr>
        <w:t>104</w:t>
      </w:r>
      <w:r>
        <w:rPr>
          <w:rFonts w:ascii="標楷體" w:hAnsi="標楷體" w:cs="標楷體"/>
          <w:sz w:val="32"/>
          <w:szCs w:val="32"/>
        </w:rPr>
        <w:t>公審決字第</w:t>
      </w:r>
      <w:r>
        <w:rPr>
          <w:rFonts w:cs="標楷體" w:ascii="標楷體" w:hAnsi="標楷體"/>
          <w:sz w:val="32"/>
          <w:szCs w:val="32"/>
        </w:rPr>
        <w:t>0</w:t>
      </w:r>
      <w:r>
        <w:rPr>
          <w:rFonts w:cs="標楷體" w:ascii="標楷體" w:hAnsi="標楷體"/>
          <w:sz w:val="32"/>
          <w:szCs w:val="32"/>
        </w:rPr>
        <w:t>044</w:t>
      </w:r>
      <w:r>
        <w:rPr>
          <w:rFonts w:ascii="標楷體" w:hAnsi="標楷體" w:cs="標楷體"/>
          <w:sz w:val="32"/>
          <w:szCs w:val="32"/>
        </w:rPr>
        <w:t>號、第</w:t>
      </w:r>
      <w:r>
        <w:rPr>
          <w:rFonts w:cs="標楷體" w:ascii="標楷體" w:hAnsi="標楷體"/>
          <w:sz w:val="32"/>
          <w:szCs w:val="32"/>
        </w:rPr>
        <w:t>0</w:t>
      </w:r>
      <w:r>
        <w:rPr>
          <w:rFonts w:cs="標楷體" w:ascii="標楷體" w:hAnsi="標楷體"/>
          <w:sz w:val="32"/>
          <w:szCs w:val="32"/>
        </w:rPr>
        <w:t>045</w:t>
      </w:r>
      <w:r>
        <w:rPr>
          <w:rFonts w:ascii="標楷體" w:hAnsi="標楷體" w:cs="標楷體"/>
          <w:sz w:val="32"/>
          <w:szCs w:val="32"/>
        </w:rPr>
        <w:t>號復審決定書）</w:t>
      </w:r>
    </w:p>
    <w:p>
      <w:pPr>
        <w:pStyle w:val="Normal"/>
        <w:numPr>
          <w:ilvl w:val="0"/>
          <w:numId w:val="1"/>
        </w:numPr>
        <w:spacing w:lineRule="exact" w:line="560" w:before="199" w:after="0"/>
        <w:ind w:left="964" w:hanging="1106"/>
        <w:jc w:val="both"/>
        <w:rPr>
          <w:rFonts w:ascii="標楷體" w:hAnsi="標楷體" w:cs="標楷體"/>
          <w:b/>
          <w:b/>
          <w:sz w:val="32"/>
          <w:szCs w:val="32"/>
        </w:rPr>
      </w:pPr>
      <w:r>
        <w:rPr>
          <w:rFonts w:ascii="標楷體" w:hAnsi="標楷體" w:cs="標楷體"/>
          <w:b/>
          <w:sz w:val="32"/>
          <w:szCs w:val="32"/>
        </w:rPr>
        <w:t>原處分機關欠缺處分權限︰</w:t>
      </w:r>
    </w:p>
    <w:p>
      <w:pPr>
        <w:pStyle w:val="Normal"/>
        <w:numPr>
          <w:ilvl w:val="0"/>
          <w:numId w:val="3"/>
        </w:numPr>
        <w:overflowPunct w:val="false"/>
        <w:autoSpaceDE w:val="false"/>
        <w:spacing w:lineRule="exact" w:line="560"/>
        <w:jc w:val="both"/>
        <w:rPr>
          <w:rFonts w:ascii="標楷體" w:hAnsi="標楷體" w:cs="標楷體"/>
          <w:sz w:val="32"/>
          <w:szCs w:val="32"/>
        </w:rPr>
      </w:pPr>
      <w:r>
        <w:rPr>
          <w:rFonts w:ascii="標楷體" w:hAnsi="標楷體" w:cs="標楷體"/>
          <w:sz w:val="32"/>
          <w:szCs w:val="32"/>
        </w:rPr>
        <w:t>按</w:t>
      </w:r>
      <w:r>
        <w:rPr>
          <w:rFonts w:ascii="標楷體" w:hAnsi="標楷體" w:cs="標楷體"/>
          <w:sz w:val="32"/>
          <w:szCs w:val="32"/>
        </w:rPr>
        <w:t>公務人員申請辦理自願退休，有權准駁之機關為銓敘部，服務機關對於公務人員自願退休案件之審查，縱認所附證件不足或錯誤，亦僅具通知補正之權責，仍應將審查意見彙送權責機關銓敘部為准駁，尚無從逕予否准</w:t>
      </w:r>
      <w:r>
        <w:rPr>
          <w:rFonts w:ascii="標楷體" w:hAnsi="標楷體" w:cs="標楷體"/>
          <w:sz w:val="32"/>
          <w:szCs w:val="32"/>
        </w:rPr>
        <w:t>其</w:t>
      </w:r>
      <w:r>
        <w:rPr>
          <w:rFonts w:ascii="標楷體" w:hAnsi="標楷體" w:cs="標楷體"/>
          <w:sz w:val="32"/>
          <w:szCs w:val="32"/>
        </w:rPr>
        <w:t>自願退休之申請。</w:t>
      </w:r>
      <w:r>
        <w:rPr>
          <w:rFonts w:ascii="標楷體" w:hAnsi="標楷體" w:cs="標楷體"/>
          <w:sz w:val="32"/>
          <w:szCs w:val="32"/>
        </w:rPr>
        <w:t>（</w:t>
      </w:r>
      <w:r>
        <w:rPr>
          <w:rFonts w:cs="標楷體" w:ascii="標楷體" w:hAnsi="標楷體"/>
          <w:sz w:val="32"/>
          <w:szCs w:val="32"/>
        </w:rPr>
        <w:t>104</w:t>
      </w:r>
      <w:r>
        <w:rPr>
          <w:rFonts w:ascii="標楷體" w:hAnsi="標楷體" w:cs="標楷體"/>
          <w:sz w:val="32"/>
          <w:szCs w:val="32"/>
        </w:rPr>
        <w:t>公審決字第</w:t>
      </w:r>
      <w:r>
        <w:rPr>
          <w:rFonts w:cs="標楷體" w:ascii="標楷體" w:hAnsi="標楷體"/>
          <w:sz w:val="32"/>
          <w:szCs w:val="32"/>
        </w:rPr>
        <w:t>0065</w:t>
      </w:r>
      <w:r>
        <w:rPr>
          <w:rFonts w:ascii="標楷體" w:hAnsi="標楷體" w:cs="標楷體"/>
          <w:sz w:val="32"/>
          <w:szCs w:val="32"/>
        </w:rPr>
        <w:t>號復審決定書）</w:t>
      </w:r>
    </w:p>
    <w:p>
      <w:pPr>
        <w:pStyle w:val="Normal"/>
        <w:numPr>
          <w:ilvl w:val="0"/>
          <w:numId w:val="3"/>
        </w:numPr>
        <w:overflowPunct w:val="false"/>
        <w:autoSpaceDE w:val="false"/>
        <w:spacing w:lineRule="exact" w:line="560"/>
        <w:jc w:val="both"/>
        <w:rPr>
          <w:rFonts w:ascii="標楷體" w:hAnsi="標楷體" w:cs="標楷體"/>
          <w:sz w:val="32"/>
          <w:szCs w:val="32"/>
        </w:rPr>
      </w:pPr>
      <w:r>
        <w:rPr>
          <w:rFonts w:ascii="標楷體" w:hAnsi="標楷體" w:cs="標楷體"/>
          <w:sz w:val="32"/>
          <w:szCs w:val="32"/>
        </w:rPr>
        <w:t>警察人員因公殘廢慰問金之核定，依警察</w:t>
      </w:r>
      <w:r>
        <w:rPr>
          <w:rFonts w:ascii="標楷體" w:hAnsi="標楷體" w:cs="標楷體"/>
          <w:sz w:val="32"/>
          <w:szCs w:val="32"/>
        </w:rPr>
        <w:t>人員因公傷殘死亡殉職</w:t>
      </w:r>
      <w:r>
        <w:rPr>
          <w:rFonts w:ascii="標楷體" w:hAnsi="標楷體" w:cs="標楷體"/>
          <w:sz w:val="32"/>
          <w:szCs w:val="32"/>
        </w:rPr>
        <w:t>慰問金發給辦法之規定，係以</w:t>
      </w:r>
      <w:r>
        <w:rPr>
          <w:rFonts w:ascii="標楷體" w:hAnsi="標楷體" w:cs="標楷體"/>
          <w:sz w:val="32"/>
          <w:szCs w:val="32"/>
        </w:rPr>
        <w:t>內政部</w:t>
      </w:r>
      <w:r>
        <w:rPr>
          <w:rFonts w:ascii="標楷體" w:hAnsi="標楷體" w:cs="標楷體"/>
          <w:sz w:val="32"/>
          <w:szCs w:val="32"/>
        </w:rPr>
        <w:t>警政署為有權准駁之法定權責機關。</w:t>
      </w:r>
      <w:r>
        <w:rPr>
          <w:rFonts w:ascii="標楷體" w:hAnsi="標楷體" w:cs="標楷體"/>
          <w:sz w:val="32"/>
          <w:szCs w:val="32"/>
        </w:rPr>
        <w:t>○○</w:t>
      </w:r>
      <w:r>
        <w:rPr>
          <w:rFonts w:ascii="標楷體" w:hAnsi="標楷體" w:cs="標楷體"/>
          <w:sz w:val="32"/>
          <w:szCs w:val="32"/>
        </w:rPr>
        <w:t>縣警察局於無法律依據及特別授權情形下，逕</w:t>
      </w:r>
      <w:r>
        <w:rPr>
          <w:rFonts w:ascii="標楷體" w:hAnsi="標楷體" w:cs="標楷體"/>
          <w:sz w:val="32"/>
          <w:szCs w:val="32"/>
        </w:rPr>
        <w:t>認</w:t>
      </w:r>
      <w:r>
        <w:rPr>
          <w:rFonts w:ascii="標楷體" w:hAnsi="標楷體" w:cs="標楷體"/>
          <w:sz w:val="32"/>
          <w:szCs w:val="32"/>
        </w:rPr>
        <w:t>復審人不符</w:t>
      </w:r>
      <w:r>
        <w:rPr>
          <w:rFonts w:ascii="標楷體" w:hAnsi="標楷體" w:cs="標楷體"/>
          <w:sz w:val="32"/>
          <w:szCs w:val="32"/>
        </w:rPr>
        <w:t>上開</w:t>
      </w:r>
      <w:r>
        <w:rPr>
          <w:rFonts w:ascii="標楷體" w:hAnsi="標楷體" w:cs="標楷體"/>
          <w:sz w:val="32"/>
          <w:szCs w:val="32"/>
        </w:rPr>
        <w:t>辦法之申請要件，不予轉報</w:t>
      </w:r>
      <w:r>
        <w:rPr>
          <w:rFonts w:ascii="標楷體" w:hAnsi="標楷體" w:cs="標楷體"/>
          <w:sz w:val="32"/>
          <w:szCs w:val="32"/>
        </w:rPr>
        <w:t>，</w:t>
      </w:r>
      <w:r>
        <w:rPr>
          <w:rFonts w:ascii="標楷體" w:hAnsi="標楷體" w:cs="標楷體"/>
          <w:sz w:val="32"/>
          <w:szCs w:val="32"/>
        </w:rPr>
        <w:t>自屬違法。</w:t>
      </w:r>
      <w:r>
        <w:rPr>
          <w:rFonts w:ascii="標楷體" w:hAnsi="標楷體" w:cs="標楷體"/>
          <w:sz w:val="32"/>
          <w:szCs w:val="32"/>
        </w:rPr>
        <w:t>（</w:t>
      </w:r>
      <w:r>
        <w:rPr>
          <w:rFonts w:cs="標楷體" w:ascii="標楷體" w:hAnsi="標楷體"/>
          <w:sz w:val="32"/>
          <w:szCs w:val="32"/>
        </w:rPr>
        <w:t>104</w:t>
      </w:r>
      <w:r>
        <w:rPr>
          <w:rFonts w:ascii="標楷體" w:hAnsi="標楷體" w:cs="標楷體"/>
          <w:sz w:val="32"/>
          <w:szCs w:val="32"/>
        </w:rPr>
        <w:t>公審決字第</w:t>
      </w:r>
      <w:r>
        <w:rPr>
          <w:rFonts w:cs="標楷體" w:ascii="標楷體" w:hAnsi="標楷體"/>
          <w:sz w:val="32"/>
          <w:szCs w:val="32"/>
        </w:rPr>
        <w:t>0112</w:t>
      </w:r>
      <w:r>
        <w:rPr>
          <w:rFonts w:ascii="標楷體" w:hAnsi="標楷體" w:cs="標楷體"/>
          <w:sz w:val="32"/>
          <w:szCs w:val="32"/>
        </w:rPr>
        <w:t>號復審決定書）</w:t>
      </w:r>
    </w:p>
    <w:p>
      <w:pPr>
        <w:pStyle w:val="Normal"/>
        <w:numPr>
          <w:ilvl w:val="0"/>
          <w:numId w:val="3"/>
        </w:numPr>
        <w:overflowPunct w:val="false"/>
        <w:autoSpaceDE w:val="false"/>
        <w:spacing w:lineRule="exact" w:line="560"/>
        <w:jc w:val="both"/>
        <w:rPr/>
      </w:pPr>
      <w:r>
        <w:rPr>
          <w:rFonts w:ascii="標楷體" w:hAnsi="標楷體" w:cs="標楷體"/>
          <w:sz w:val="32"/>
          <w:szCs w:val="32"/>
        </w:rPr>
        <w:t>依</w:t>
      </w:r>
      <w:r>
        <w:rPr>
          <w:rFonts w:ascii="標楷體" w:hAnsi="標楷體" w:cs="標楷體"/>
          <w:sz w:val="32"/>
          <w:szCs w:val="32"/>
        </w:rPr>
        <w:t>公務人員退休法</w:t>
      </w:r>
      <w:r>
        <w:rPr>
          <w:rFonts w:ascii="標楷體" w:hAnsi="標楷體" w:cs="標楷體"/>
          <w:sz w:val="32"/>
          <w:szCs w:val="32"/>
        </w:rPr>
        <w:t>施行細則第</w:t>
      </w:r>
      <w:r>
        <w:rPr>
          <w:rFonts w:cs="標楷體" w:ascii="標楷體" w:hAnsi="標楷體"/>
          <w:sz w:val="32"/>
          <w:szCs w:val="32"/>
        </w:rPr>
        <w:t>34</w:t>
      </w:r>
      <w:r>
        <w:rPr>
          <w:rFonts w:ascii="標楷體" w:hAnsi="標楷體" w:cs="標楷體"/>
          <w:sz w:val="32"/>
          <w:szCs w:val="32"/>
        </w:rPr>
        <w:t>條規定，對於公務人員遺族申請撫慰金案，○○公所應彙轉銓敘部審定，始為適法。○○公所逕予否准，而未轉送銓敘部審定，自屬違法，應予撤銷。（</w:t>
      </w:r>
      <w:r>
        <w:rPr>
          <w:rFonts w:cs="標楷體" w:ascii="標楷體" w:hAnsi="標楷體"/>
          <w:sz w:val="32"/>
          <w:szCs w:val="32"/>
        </w:rPr>
        <w:t>104</w:t>
      </w:r>
      <w:r>
        <w:rPr>
          <w:rFonts w:ascii="標楷體" w:hAnsi="標楷體" w:cs="標楷體"/>
          <w:sz w:val="32"/>
          <w:szCs w:val="32"/>
        </w:rPr>
        <w:t>公審決字第</w:t>
      </w:r>
      <w:r>
        <w:rPr>
          <w:rFonts w:cs="標楷體" w:ascii="標楷體" w:hAnsi="標楷體"/>
          <w:sz w:val="32"/>
          <w:szCs w:val="32"/>
        </w:rPr>
        <w:t>0153</w:t>
      </w:r>
      <w:r>
        <w:rPr>
          <w:rFonts w:ascii="標楷體" w:hAnsi="標楷體" w:cs="標楷體"/>
          <w:sz w:val="32"/>
          <w:szCs w:val="32"/>
        </w:rPr>
        <w:t>號復審決定書）</w:t>
      </w:r>
    </w:p>
    <w:p>
      <w:pPr>
        <w:pStyle w:val="Normal"/>
        <w:numPr>
          <w:ilvl w:val="0"/>
          <w:numId w:val="1"/>
        </w:numPr>
        <w:spacing w:lineRule="exact" w:line="560" w:before="199" w:after="0"/>
        <w:ind w:left="964" w:hanging="1106"/>
        <w:jc w:val="both"/>
        <w:rPr>
          <w:rFonts w:ascii="標楷體" w:hAnsi="標楷體" w:cs="標楷體"/>
          <w:b/>
          <w:b/>
          <w:sz w:val="32"/>
          <w:szCs w:val="32"/>
        </w:rPr>
      </w:pPr>
      <w:r>
        <w:rPr>
          <w:rFonts w:ascii="標楷體" w:hAnsi="標楷體" w:cs="標楷體"/>
          <w:b/>
          <w:sz w:val="32"/>
          <w:szCs w:val="32"/>
        </w:rPr>
        <w:t>其</w:t>
      </w:r>
      <w:r>
        <w:rPr>
          <w:rFonts w:ascii="標楷體" w:hAnsi="標楷體" w:cs="標楷體"/>
          <w:b/>
          <w:sz w:val="32"/>
          <w:szCs w:val="32"/>
        </w:rPr>
        <w:t>他︰</w:t>
      </w:r>
    </w:p>
    <w:p>
      <w:pPr>
        <w:pStyle w:val="Normal"/>
        <w:overflowPunct w:val="false"/>
        <w:autoSpaceDE w:val="false"/>
        <w:spacing w:lineRule="exact" w:line="560"/>
        <w:ind w:left="1040" w:hanging="320"/>
        <w:jc w:val="both"/>
        <w:rPr>
          <w:rFonts w:ascii="標楷體" w:hAnsi="標楷體" w:cs="標楷體"/>
          <w:sz w:val="32"/>
          <w:szCs w:val="32"/>
        </w:rPr>
      </w:pPr>
      <w:r>
        <w:rPr>
          <w:rFonts w:cs="標楷體" w:ascii="標楷體" w:hAnsi="標楷體"/>
          <w:sz w:val="32"/>
          <w:szCs w:val="32"/>
        </w:rPr>
        <w:t>1.○○</w:t>
      </w:r>
      <w:r>
        <w:rPr>
          <w:rFonts w:ascii="標楷體" w:hAnsi="標楷體" w:cs="標楷體"/>
          <w:sz w:val="32"/>
          <w:szCs w:val="32"/>
        </w:rPr>
        <w:t>郵局訂於</w:t>
      </w:r>
      <w:r>
        <w:rPr>
          <w:rFonts w:cs="標楷體" w:ascii="標楷體" w:hAnsi="標楷體"/>
          <w:sz w:val="32"/>
          <w:szCs w:val="32"/>
        </w:rPr>
        <w:t>104</w:t>
      </w:r>
      <w:r>
        <w:rPr>
          <w:rFonts w:ascii="標楷體" w:hAnsi="標楷體" w:cs="標楷體"/>
          <w:sz w:val="32"/>
          <w:szCs w:val="32"/>
        </w:rPr>
        <w:t>年</w:t>
      </w:r>
      <w:r>
        <w:rPr>
          <w:rFonts w:cs="標楷體" w:ascii="標楷體" w:hAnsi="標楷體"/>
          <w:sz w:val="32"/>
          <w:szCs w:val="32"/>
        </w:rPr>
        <w:t>1</w:t>
      </w:r>
      <w:r>
        <w:rPr>
          <w:rFonts w:ascii="標楷體" w:hAnsi="標楷體" w:cs="標楷體"/>
          <w:sz w:val="32"/>
          <w:szCs w:val="32"/>
        </w:rPr>
        <w:t>月</w:t>
      </w:r>
      <w:r>
        <w:rPr>
          <w:rFonts w:cs="標楷體" w:ascii="標楷體" w:hAnsi="標楷體"/>
          <w:sz w:val="32"/>
          <w:szCs w:val="32"/>
        </w:rPr>
        <w:t>26</w:t>
      </w:r>
      <w:r>
        <w:rPr>
          <w:rFonts w:ascii="標楷體" w:hAnsi="標楷體" w:cs="標楷體"/>
          <w:sz w:val="32"/>
          <w:szCs w:val="32"/>
        </w:rPr>
        <w:t>日上午</w:t>
      </w:r>
      <w:r>
        <w:rPr>
          <w:rFonts w:cs="標楷體" w:ascii="標楷體" w:hAnsi="標楷體"/>
          <w:sz w:val="32"/>
          <w:szCs w:val="32"/>
        </w:rPr>
        <w:t>9</w:t>
      </w:r>
      <w:r>
        <w:rPr>
          <w:rFonts w:ascii="標楷體" w:hAnsi="標楷體" w:cs="標楷體"/>
          <w:sz w:val="32"/>
          <w:szCs w:val="32"/>
        </w:rPr>
        <w:t>時召開</w:t>
      </w:r>
      <w:r>
        <w:rPr>
          <w:rFonts w:ascii="標楷體" w:hAnsi="標楷體" w:cs="標楷體"/>
          <w:sz w:val="32"/>
          <w:szCs w:val="32"/>
        </w:rPr>
        <w:t>該局</w:t>
      </w:r>
      <w:r>
        <w:rPr>
          <w:rFonts w:ascii="標楷體" w:hAnsi="標楷體" w:cs="標楷體"/>
          <w:sz w:val="32"/>
          <w:szCs w:val="32"/>
        </w:rPr>
        <w:t>考成委員會會議前，雖依交通事業人員考成條例第</w:t>
      </w:r>
      <w:r>
        <w:rPr>
          <w:rFonts w:cs="標楷體" w:ascii="標楷體" w:hAnsi="標楷體"/>
          <w:sz w:val="32"/>
          <w:szCs w:val="32"/>
        </w:rPr>
        <w:t>15</w:t>
      </w:r>
      <w:r>
        <w:rPr>
          <w:rFonts w:ascii="標楷體" w:hAnsi="標楷體" w:cs="標楷體"/>
          <w:sz w:val="32"/>
          <w:szCs w:val="32"/>
        </w:rPr>
        <w:t>條第</w:t>
      </w:r>
      <w:r>
        <w:rPr>
          <w:rFonts w:cs="標楷體" w:ascii="標楷體" w:hAnsi="標楷體"/>
          <w:sz w:val="32"/>
          <w:szCs w:val="32"/>
        </w:rPr>
        <w:t>2</w:t>
      </w:r>
      <w:r>
        <w:rPr>
          <w:rFonts w:ascii="標楷體" w:hAnsi="標楷體" w:cs="標楷體"/>
          <w:sz w:val="32"/>
          <w:szCs w:val="32"/>
        </w:rPr>
        <w:t>項規定，於同年月</w:t>
      </w:r>
      <w:r>
        <w:rPr>
          <w:rFonts w:cs="標楷體" w:ascii="標楷體" w:hAnsi="標楷體"/>
          <w:sz w:val="32"/>
          <w:szCs w:val="32"/>
        </w:rPr>
        <w:t>20</w:t>
      </w:r>
      <w:r>
        <w:rPr>
          <w:rFonts w:ascii="標楷體" w:hAnsi="標楷體" w:cs="標楷體"/>
          <w:sz w:val="32"/>
          <w:szCs w:val="32"/>
        </w:rPr>
        <w:t>日通知復審人列席該會議陳述意見，惟復審人於同年月</w:t>
      </w:r>
      <w:r>
        <w:rPr>
          <w:rFonts w:cs="標楷體" w:ascii="標楷體" w:hAnsi="標楷體"/>
          <w:sz w:val="32"/>
          <w:szCs w:val="32"/>
        </w:rPr>
        <w:t>23</w:t>
      </w:r>
      <w:r>
        <w:rPr>
          <w:rFonts w:ascii="標楷體" w:hAnsi="標楷體" w:cs="標楷體"/>
          <w:sz w:val="32"/>
          <w:szCs w:val="32"/>
        </w:rPr>
        <w:t>日因病住院後，依其身體、精神狀況，是否有充分時間得以有效準備陳述意見，及當日即使列席會議，能否有效防禦，均不無疑問；</w:t>
      </w:r>
      <w:r>
        <w:rPr>
          <w:rFonts w:ascii="標楷體" w:hAnsi="標楷體" w:cs="標楷體"/>
          <w:sz w:val="32"/>
          <w:szCs w:val="32"/>
        </w:rPr>
        <w:t>○○</w:t>
      </w:r>
      <w:r>
        <w:rPr>
          <w:rFonts w:ascii="標楷體" w:hAnsi="標楷體" w:cs="標楷體"/>
          <w:sz w:val="32"/>
          <w:szCs w:val="32"/>
        </w:rPr>
        <w:t>郵局既知復審人因病住院，卻仍依原訂時間召開考成委員會會議，並派員至醫院接送復審人列席，而未考量復審人身體、精神狀況另訂會議時間，亦即該局未預留適當之時間予復審人，使其就生活上或工作上另為安排或處置，或為陳述意見及申辯之準備，難謂已給予復審人合理之準備期間，致復審人未及準備並有效參與，其應踐行之正當法律程序，即有瑕疵。</w:t>
      </w:r>
      <w:r>
        <w:rPr>
          <w:rFonts w:ascii="標楷體" w:hAnsi="標楷體" w:cs="標楷體"/>
          <w:sz w:val="32"/>
          <w:szCs w:val="32"/>
        </w:rPr>
        <w:t>（</w:t>
      </w:r>
      <w:r>
        <w:rPr>
          <w:rFonts w:cs="標楷體" w:ascii="標楷體" w:hAnsi="標楷體"/>
          <w:sz w:val="32"/>
          <w:szCs w:val="32"/>
        </w:rPr>
        <w:t>10</w:t>
      </w:r>
      <w:r>
        <w:rPr>
          <w:rFonts w:cs="標楷體" w:ascii="標楷體" w:hAnsi="標楷體"/>
          <w:sz w:val="32"/>
          <w:szCs w:val="32"/>
        </w:rPr>
        <w:t>4</w:t>
      </w:r>
      <w:r>
        <w:rPr>
          <w:rFonts w:ascii="標楷體" w:hAnsi="標楷體" w:cs="標楷體"/>
          <w:sz w:val="32"/>
          <w:szCs w:val="32"/>
        </w:rPr>
        <w:t>公審決字第</w:t>
      </w:r>
      <w:r>
        <w:rPr>
          <w:rFonts w:cs="標楷體" w:ascii="標楷體" w:hAnsi="標楷體"/>
          <w:sz w:val="32"/>
          <w:szCs w:val="32"/>
        </w:rPr>
        <w:t>0086</w:t>
      </w:r>
      <w:r>
        <w:rPr>
          <w:rFonts w:ascii="標楷體" w:hAnsi="標楷體" w:cs="標楷體"/>
          <w:sz w:val="32"/>
          <w:szCs w:val="32"/>
        </w:rPr>
        <w:t>號復審決定書）</w:t>
      </w:r>
    </w:p>
    <w:p>
      <w:pPr>
        <w:pStyle w:val="Normal"/>
        <w:overflowPunct w:val="false"/>
        <w:autoSpaceDE w:val="false"/>
        <w:spacing w:lineRule="exact" w:line="560"/>
        <w:ind w:left="1040" w:hanging="320"/>
        <w:jc w:val="both"/>
        <w:rPr>
          <w:rFonts w:ascii="標楷體" w:hAnsi="標楷體" w:cs="標楷體"/>
          <w:sz w:val="32"/>
          <w:szCs w:val="32"/>
        </w:rPr>
      </w:pPr>
      <w:r>
        <w:rPr>
          <w:rFonts w:cs="標楷體" w:ascii="標楷體" w:hAnsi="標楷體"/>
          <w:sz w:val="32"/>
          <w:szCs w:val="32"/>
        </w:rPr>
        <w:t>2.○○</w:t>
      </w:r>
      <w:r>
        <w:rPr>
          <w:rFonts w:ascii="標楷體" w:hAnsi="標楷體" w:cs="標楷體"/>
          <w:sz w:val="32"/>
          <w:szCs w:val="32"/>
        </w:rPr>
        <w:t>部重行辦理</w:t>
      </w:r>
      <w:r>
        <w:rPr>
          <w:rFonts w:ascii="標楷體" w:hAnsi="標楷體" w:cs="標楷體"/>
          <w:sz w:val="32"/>
          <w:szCs w:val="32"/>
          <w:lang w:val="zh-TW" w:eastAsia="zh-TW"/>
        </w:rPr>
        <w:t>復審人</w:t>
      </w:r>
      <w:r>
        <w:rPr>
          <w:rFonts w:cs="標楷體" w:ascii="標楷體" w:hAnsi="標楷體"/>
          <w:sz w:val="32"/>
          <w:szCs w:val="32"/>
          <w:lang w:val="zh-TW" w:eastAsia="zh-TW"/>
        </w:rPr>
        <w:t>98</w:t>
      </w:r>
      <w:r>
        <w:rPr>
          <w:rFonts w:ascii="標楷體" w:hAnsi="標楷體" w:cs="標楷體"/>
          <w:sz w:val="32"/>
          <w:szCs w:val="32"/>
          <w:lang w:val="zh-TW" w:eastAsia="zh-TW"/>
        </w:rPr>
        <w:t>年及</w:t>
      </w:r>
      <w:r>
        <w:rPr>
          <w:rFonts w:cs="標楷體" w:ascii="標楷體" w:hAnsi="標楷體"/>
          <w:sz w:val="32"/>
          <w:szCs w:val="32"/>
          <w:lang w:val="zh-TW" w:eastAsia="zh-TW"/>
        </w:rPr>
        <w:t>99</w:t>
      </w:r>
      <w:r>
        <w:rPr>
          <w:rFonts w:ascii="標楷體" w:hAnsi="標楷體" w:cs="標楷體"/>
          <w:sz w:val="32"/>
          <w:szCs w:val="32"/>
          <w:lang w:val="zh-TW" w:eastAsia="zh-TW"/>
        </w:rPr>
        <w:t>年年終考績</w:t>
      </w:r>
      <w:r>
        <w:rPr>
          <w:rFonts w:ascii="標楷體" w:hAnsi="標楷體" w:cs="標楷體"/>
          <w:sz w:val="32"/>
          <w:szCs w:val="32"/>
          <w:lang w:val="zh-TW" w:eastAsia="zh-TW"/>
        </w:rPr>
        <w:t>案，因考績評擬程序不合法，業經本會決定撤銷原考績評定</w:t>
      </w:r>
      <w:r>
        <w:rPr>
          <w:rFonts w:ascii="標楷體" w:hAnsi="標楷體" w:cs="標楷體"/>
          <w:sz w:val="32"/>
          <w:szCs w:val="32"/>
          <w:lang w:val="zh-TW" w:eastAsia="zh-TW"/>
        </w:rPr>
        <w:t>及申訴函復，由服務機關另為適法之評定。是銓敘部原依據</w:t>
      </w:r>
      <w:r>
        <w:rPr>
          <w:rFonts w:ascii="標楷體" w:hAnsi="標楷體" w:cs="標楷體"/>
          <w:sz w:val="32"/>
          <w:szCs w:val="32"/>
        </w:rPr>
        <w:t>○○</w:t>
      </w:r>
      <w:r>
        <w:rPr>
          <w:rFonts w:ascii="標楷體" w:hAnsi="標楷體" w:cs="標楷體"/>
          <w:sz w:val="32"/>
          <w:szCs w:val="32"/>
          <w:lang w:val="zh-TW" w:eastAsia="zh-TW"/>
        </w:rPr>
        <w:t>部對復審人</w:t>
      </w:r>
      <w:r>
        <w:rPr>
          <w:rFonts w:cs="標楷體" w:ascii="標楷體" w:hAnsi="標楷體"/>
          <w:sz w:val="32"/>
          <w:szCs w:val="32"/>
          <w:lang w:val="zh-TW" w:eastAsia="zh-TW"/>
        </w:rPr>
        <w:t>98</w:t>
      </w:r>
      <w:r>
        <w:rPr>
          <w:rFonts w:ascii="標楷體" w:hAnsi="標楷體" w:cs="標楷體"/>
          <w:sz w:val="32"/>
          <w:szCs w:val="32"/>
          <w:lang w:val="zh-TW" w:eastAsia="zh-TW"/>
        </w:rPr>
        <w:t>年及</w:t>
      </w:r>
      <w:r>
        <w:rPr>
          <w:rFonts w:cs="標楷體" w:ascii="標楷體" w:hAnsi="標楷體"/>
          <w:sz w:val="32"/>
          <w:szCs w:val="32"/>
          <w:lang w:val="zh-TW" w:eastAsia="zh-TW"/>
        </w:rPr>
        <w:t>99</w:t>
      </w:r>
      <w:r>
        <w:rPr>
          <w:rFonts w:ascii="標楷體" w:hAnsi="標楷體" w:cs="標楷體"/>
          <w:sz w:val="32"/>
          <w:szCs w:val="32"/>
          <w:lang w:val="zh-TW" w:eastAsia="zh-TW"/>
        </w:rPr>
        <w:t>年年終考績重行評定考列丙等之結果所為之重行銓敘審定，失所附麗，而有重行審酌之必要。另</w:t>
      </w:r>
      <w:r>
        <w:rPr>
          <w:rFonts w:ascii="標楷體" w:hAnsi="標楷體" w:cs="標楷體"/>
          <w:sz w:val="32"/>
          <w:szCs w:val="32"/>
        </w:rPr>
        <w:t>○○</w:t>
      </w:r>
      <w:r>
        <w:rPr>
          <w:rFonts w:ascii="標楷體" w:hAnsi="標楷體" w:cs="標楷體"/>
          <w:sz w:val="32"/>
          <w:szCs w:val="32"/>
          <w:lang w:val="zh-TW" w:eastAsia="zh-TW"/>
        </w:rPr>
        <w:t>部依該</w:t>
      </w:r>
      <w:r>
        <w:rPr>
          <w:rFonts w:cs="標楷體" w:ascii="標楷體" w:hAnsi="標楷體"/>
          <w:sz w:val="32"/>
          <w:szCs w:val="32"/>
          <w:lang w:val="zh-TW" w:eastAsia="zh-TW"/>
        </w:rPr>
        <w:t>2</w:t>
      </w:r>
      <w:r>
        <w:rPr>
          <w:rFonts w:ascii="標楷體" w:hAnsi="標楷體" w:cs="標楷體"/>
          <w:sz w:val="32"/>
          <w:szCs w:val="32"/>
          <w:lang w:val="zh-TW" w:eastAsia="zh-TW"/>
        </w:rPr>
        <w:t>年重行評定年終考績考列丙等之結果，追繳已發給復審人之</w:t>
      </w:r>
      <w:r>
        <w:rPr>
          <w:rFonts w:cs="標楷體" w:ascii="標楷體" w:hAnsi="標楷體"/>
          <w:sz w:val="32"/>
          <w:szCs w:val="32"/>
          <w:lang w:val="zh-TW" w:eastAsia="zh-TW"/>
        </w:rPr>
        <w:t>98</w:t>
      </w:r>
      <w:r>
        <w:rPr>
          <w:rFonts w:ascii="標楷體" w:hAnsi="標楷體" w:cs="標楷體"/>
          <w:sz w:val="32"/>
          <w:szCs w:val="32"/>
          <w:lang w:val="zh-TW" w:eastAsia="zh-TW"/>
        </w:rPr>
        <w:t>年及</w:t>
      </w:r>
      <w:r>
        <w:rPr>
          <w:rFonts w:cs="標楷體" w:ascii="標楷體" w:hAnsi="標楷體"/>
          <w:sz w:val="32"/>
          <w:szCs w:val="32"/>
          <w:lang w:val="zh-TW" w:eastAsia="zh-TW"/>
        </w:rPr>
        <w:t>99</w:t>
      </w:r>
      <w:r>
        <w:rPr>
          <w:rFonts w:ascii="標楷體" w:hAnsi="標楷體" w:cs="標楷體"/>
          <w:sz w:val="32"/>
          <w:szCs w:val="32"/>
          <w:lang w:val="zh-TW" w:eastAsia="zh-TW"/>
        </w:rPr>
        <w:t>年考績獎金及年終工作獎金，亦失所附麗，亦有重行審酌之必要。</w:t>
      </w:r>
      <w:r>
        <w:rPr>
          <w:rFonts w:ascii="標楷體" w:hAnsi="標楷體" w:cs="標楷體"/>
          <w:sz w:val="32"/>
          <w:szCs w:val="32"/>
        </w:rPr>
        <w:t>（</w:t>
      </w:r>
      <w:r>
        <w:rPr>
          <w:rFonts w:cs="標楷體" w:ascii="標楷體" w:hAnsi="標楷體"/>
          <w:sz w:val="32"/>
          <w:szCs w:val="32"/>
        </w:rPr>
        <w:t>104</w:t>
      </w:r>
      <w:r>
        <w:rPr>
          <w:rFonts w:ascii="標楷體" w:hAnsi="標楷體" w:cs="標楷體"/>
          <w:sz w:val="32"/>
          <w:szCs w:val="32"/>
        </w:rPr>
        <w:t>公審決字第</w:t>
      </w:r>
      <w:r>
        <w:rPr>
          <w:rFonts w:cs="標楷體" w:ascii="標楷體" w:hAnsi="標楷體"/>
          <w:sz w:val="32"/>
          <w:szCs w:val="32"/>
        </w:rPr>
        <w:t>0</w:t>
      </w:r>
      <w:r>
        <w:rPr>
          <w:rFonts w:cs="標楷體" w:ascii="標楷體" w:hAnsi="標楷體"/>
          <w:sz w:val="32"/>
          <w:szCs w:val="32"/>
        </w:rPr>
        <w:t>094</w:t>
      </w:r>
      <w:r>
        <w:rPr>
          <w:rFonts w:ascii="標楷體" w:hAnsi="標楷體" w:cs="標楷體"/>
          <w:sz w:val="32"/>
          <w:szCs w:val="32"/>
        </w:rPr>
        <w:t>號復審決定書）</w:t>
      </w:r>
    </w:p>
    <w:p>
      <w:pPr>
        <w:pStyle w:val="Normal"/>
        <w:overflowPunct w:val="false"/>
        <w:autoSpaceDE w:val="false"/>
        <w:spacing w:lineRule="exact" w:line="560"/>
        <w:ind w:left="1040" w:hanging="320"/>
        <w:jc w:val="both"/>
        <w:rPr>
          <w:rFonts w:ascii="標楷體" w:hAnsi="標楷體" w:cs="標楷體"/>
          <w:sz w:val="32"/>
          <w:szCs w:val="32"/>
        </w:rPr>
      </w:pPr>
      <w:r>
        <w:rPr>
          <w:rFonts w:cs="標楷體" w:ascii="標楷體" w:hAnsi="標楷體"/>
          <w:sz w:val="32"/>
          <w:szCs w:val="32"/>
        </w:rPr>
        <w:t>3.○○</w:t>
      </w:r>
      <w:r>
        <w:rPr>
          <w:rFonts w:ascii="標楷體" w:hAnsi="標楷體" w:cs="標楷體"/>
          <w:sz w:val="32"/>
          <w:szCs w:val="32"/>
        </w:rPr>
        <w:t>市政府得對復審人行使溢領優惠存款利息之公法上請求權，依最高行政法院</w:t>
      </w:r>
      <w:r>
        <w:rPr>
          <w:rFonts w:cs="標楷體" w:ascii="標楷體" w:hAnsi="標楷體"/>
          <w:sz w:val="32"/>
          <w:szCs w:val="32"/>
        </w:rPr>
        <w:t>102</w:t>
      </w:r>
      <w:r>
        <w:rPr>
          <w:rFonts w:ascii="標楷體" w:hAnsi="標楷體" w:cs="標楷體"/>
          <w:sz w:val="32"/>
          <w:szCs w:val="32"/>
        </w:rPr>
        <w:t>年</w:t>
      </w:r>
      <w:r>
        <w:rPr>
          <w:rFonts w:cs="標楷體" w:ascii="標楷體" w:hAnsi="標楷體"/>
          <w:sz w:val="32"/>
          <w:szCs w:val="32"/>
        </w:rPr>
        <w:t>11</w:t>
      </w:r>
      <w:r>
        <w:rPr>
          <w:rFonts w:ascii="標楷體" w:hAnsi="標楷體" w:cs="標楷體"/>
          <w:sz w:val="32"/>
          <w:szCs w:val="32"/>
        </w:rPr>
        <w:t>月</w:t>
      </w:r>
      <w:r>
        <w:rPr>
          <w:rFonts w:cs="標楷體" w:ascii="標楷體" w:hAnsi="標楷體"/>
          <w:sz w:val="32"/>
          <w:szCs w:val="32"/>
        </w:rPr>
        <w:t>5</w:t>
      </w:r>
      <w:r>
        <w:rPr>
          <w:rFonts w:ascii="標楷體" w:hAnsi="標楷體" w:cs="標楷體"/>
          <w:sz w:val="32"/>
          <w:szCs w:val="32"/>
        </w:rPr>
        <w:t>日</w:t>
      </w:r>
      <w:r>
        <w:rPr>
          <w:rFonts w:cs="標楷體" w:ascii="標楷體" w:hAnsi="標楷體"/>
          <w:sz w:val="32"/>
          <w:szCs w:val="32"/>
        </w:rPr>
        <w:t>102</w:t>
      </w:r>
      <w:r>
        <w:rPr>
          <w:rFonts w:ascii="標楷體" w:hAnsi="標楷體" w:cs="標楷體"/>
          <w:sz w:val="32"/>
          <w:szCs w:val="32"/>
        </w:rPr>
        <w:t>年</w:t>
      </w:r>
      <w:r>
        <w:rPr>
          <w:rFonts w:cs="標楷體" w:ascii="標楷體" w:hAnsi="標楷體"/>
          <w:sz w:val="32"/>
          <w:szCs w:val="32"/>
        </w:rPr>
        <w:t>11</w:t>
      </w:r>
      <w:r>
        <w:rPr>
          <w:rFonts w:ascii="標楷體" w:hAnsi="標楷體" w:cs="標楷體"/>
          <w:sz w:val="32"/>
          <w:szCs w:val="32"/>
        </w:rPr>
        <w:t>月份第</w:t>
      </w:r>
      <w:r>
        <w:rPr>
          <w:rFonts w:cs="標楷體" w:ascii="標楷體" w:hAnsi="標楷體"/>
          <w:sz w:val="32"/>
          <w:szCs w:val="32"/>
        </w:rPr>
        <w:t>1</w:t>
      </w:r>
      <w:r>
        <w:rPr>
          <w:rFonts w:ascii="標楷體" w:hAnsi="標楷體" w:cs="標楷體"/>
          <w:sz w:val="32"/>
          <w:szCs w:val="32"/>
        </w:rPr>
        <w:t>次庭長法官聯席會議決議意旨，應自復審人再任公職之</w:t>
      </w:r>
      <w:r>
        <w:rPr>
          <w:rFonts w:cs="標楷體" w:ascii="標楷體" w:hAnsi="標楷體"/>
          <w:sz w:val="32"/>
          <w:szCs w:val="32"/>
        </w:rPr>
        <w:t>83</w:t>
      </w:r>
      <w:r>
        <w:rPr>
          <w:rFonts w:ascii="標楷體" w:hAnsi="標楷體" w:cs="標楷體"/>
          <w:sz w:val="32"/>
          <w:szCs w:val="32"/>
        </w:rPr>
        <w:t>年</w:t>
      </w:r>
      <w:r>
        <w:rPr>
          <w:rFonts w:cs="標楷體" w:ascii="標楷體" w:hAnsi="標楷體"/>
          <w:sz w:val="32"/>
          <w:szCs w:val="32"/>
        </w:rPr>
        <w:t>7</w:t>
      </w:r>
      <w:r>
        <w:rPr>
          <w:rFonts w:ascii="標楷體" w:hAnsi="標楷體" w:cs="標楷體"/>
          <w:sz w:val="32"/>
          <w:szCs w:val="32"/>
        </w:rPr>
        <w:t>月</w:t>
      </w:r>
      <w:r>
        <w:rPr>
          <w:rFonts w:cs="標楷體" w:ascii="標楷體" w:hAnsi="標楷體"/>
          <w:sz w:val="32"/>
          <w:szCs w:val="32"/>
        </w:rPr>
        <w:t>20</w:t>
      </w:r>
      <w:r>
        <w:rPr>
          <w:rFonts w:ascii="標楷體" w:hAnsi="標楷體" w:cs="標楷體"/>
          <w:sz w:val="32"/>
          <w:szCs w:val="32"/>
        </w:rPr>
        <w:t>日起算。</w:t>
      </w:r>
      <w:r>
        <w:rPr>
          <w:rFonts w:ascii="標楷體" w:hAnsi="標楷體" w:cs="標楷體"/>
          <w:sz w:val="32"/>
          <w:szCs w:val="32"/>
        </w:rPr>
        <w:t>惟該</w:t>
      </w:r>
      <w:r>
        <w:rPr>
          <w:rFonts w:ascii="標楷體" w:hAnsi="標楷體" w:cs="標楷體"/>
          <w:sz w:val="32"/>
          <w:szCs w:val="32"/>
        </w:rPr>
        <w:t>府遲至</w:t>
      </w:r>
      <w:r>
        <w:rPr>
          <w:rFonts w:cs="標楷體" w:ascii="標楷體" w:hAnsi="標楷體"/>
          <w:sz w:val="32"/>
          <w:szCs w:val="32"/>
        </w:rPr>
        <w:t>103</w:t>
      </w:r>
      <w:r>
        <w:rPr>
          <w:rFonts w:ascii="標楷體" w:hAnsi="標楷體" w:cs="標楷體"/>
          <w:sz w:val="32"/>
          <w:szCs w:val="32"/>
        </w:rPr>
        <w:t>年</w:t>
      </w:r>
      <w:r>
        <w:rPr>
          <w:rFonts w:cs="標楷體" w:ascii="標楷體" w:hAnsi="標楷體"/>
          <w:sz w:val="32"/>
          <w:szCs w:val="32"/>
        </w:rPr>
        <w:t>12</w:t>
      </w:r>
      <w:r>
        <w:rPr>
          <w:rFonts w:ascii="標楷體" w:hAnsi="標楷體" w:cs="標楷體"/>
          <w:sz w:val="32"/>
          <w:szCs w:val="32"/>
        </w:rPr>
        <w:t>月</w:t>
      </w:r>
      <w:r>
        <w:rPr>
          <w:rFonts w:cs="標楷體" w:ascii="標楷體" w:hAnsi="標楷體"/>
          <w:sz w:val="32"/>
          <w:szCs w:val="32"/>
        </w:rPr>
        <w:t>30</w:t>
      </w:r>
      <w:r>
        <w:rPr>
          <w:rFonts w:ascii="標楷體" w:hAnsi="標楷體" w:cs="標楷體"/>
          <w:sz w:val="32"/>
          <w:szCs w:val="32"/>
        </w:rPr>
        <w:t>日始向復審人追繳溢領之系爭期間優惠存款利息，關於自</w:t>
      </w:r>
      <w:r>
        <w:rPr>
          <w:rFonts w:cs="標楷體" w:ascii="標楷體" w:hAnsi="標楷體"/>
          <w:sz w:val="32"/>
          <w:szCs w:val="32"/>
        </w:rPr>
        <w:t>83</w:t>
      </w:r>
      <w:r>
        <w:rPr>
          <w:rFonts w:ascii="標楷體" w:hAnsi="標楷體" w:cs="標楷體"/>
          <w:sz w:val="32"/>
          <w:szCs w:val="32"/>
        </w:rPr>
        <w:t>年</w:t>
      </w:r>
      <w:r>
        <w:rPr>
          <w:rFonts w:cs="標楷體" w:ascii="標楷體" w:hAnsi="標楷體"/>
          <w:sz w:val="32"/>
          <w:szCs w:val="32"/>
        </w:rPr>
        <w:t>7</w:t>
      </w:r>
      <w:r>
        <w:rPr>
          <w:rFonts w:ascii="標楷體" w:hAnsi="標楷體" w:cs="標楷體"/>
          <w:sz w:val="32"/>
          <w:szCs w:val="32"/>
        </w:rPr>
        <w:t>月</w:t>
      </w:r>
      <w:r>
        <w:rPr>
          <w:rFonts w:cs="標楷體" w:ascii="標楷體" w:hAnsi="標楷體"/>
          <w:sz w:val="32"/>
          <w:szCs w:val="32"/>
        </w:rPr>
        <w:t>20</w:t>
      </w:r>
      <w:r>
        <w:rPr>
          <w:rFonts w:ascii="標楷體" w:hAnsi="標楷體" w:cs="標楷體"/>
          <w:sz w:val="32"/>
          <w:szCs w:val="32"/>
        </w:rPr>
        <w:t>日起至</w:t>
      </w:r>
      <w:r>
        <w:rPr>
          <w:rFonts w:cs="標楷體" w:ascii="標楷體" w:hAnsi="標楷體"/>
          <w:sz w:val="32"/>
          <w:szCs w:val="32"/>
        </w:rPr>
        <w:t>98</w:t>
      </w:r>
      <w:r>
        <w:rPr>
          <w:rFonts w:ascii="標楷體" w:hAnsi="標楷體" w:cs="標楷體"/>
          <w:sz w:val="32"/>
          <w:szCs w:val="32"/>
        </w:rPr>
        <w:t>年</w:t>
      </w:r>
      <w:r>
        <w:rPr>
          <w:rFonts w:cs="標楷體" w:ascii="標楷體" w:hAnsi="標楷體"/>
          <w:sz w:val="32"/>
          <w:szCs w:val="32"/>
        </w:rPr>
        <w:t>12</w:t>
      </w:r>
      <w:r>
        <w:rPr>
          <w:rFonts w:ascii="標楷體" w:hAnsi="標楷體" w:cs="標楷體"/>
          <w:sz w:val="32"/>
          <w:szCs w:val="32"/>
        </w:rPr>
        <w:t>月</w:t>
      </w:r>
      <w:r>
        <w:rPr>
          <w:rFonts w:cs="標楷體" w:ascii="標楷體" w:hAnsi="標楷體"/>
          <w:sz w:val="32"/>
          <w:szCs w:val="32"/>
        </w:rPr>
        <w:t>30</w:t>
      </w:r>
      <w:r>
        <w:rPr>
          <w:rFonts w:ascii="標楷體" w:hAnsi="標楷體" w:cs="標楷體"/>
          <w:sz w:val="32"/>
          <w:szCs w:val="32"/>
        </w:rPr>
        <w:t>日止溢領之優惠存款利息部分，顯已逾</w:t>
      </w:r>
      <w:r>
        <w:rPr>
          <w:rFonts w:cs="標楷體" w:ascii="標楷體" w:hAnsi="標楷體"/>
          <w:sz w:val="32"/>
          <w:szCs w:val="32"/>
        </w:rPr>
        <w:t>5</w:t>
      </w:r>
      <w:r>
        <w:rPr>
          <w:rFonts w:ascii="標楷體" w:hAnsi="標楷體" w:cs="標楷體"/>
          <w:sz w:val="32"/>
          <w:szCs w:val="32"/>
        </w:rPr>
        <w:t>年之消滅時效期間；該府怠於行使公法上不當得利返還請求權，該請求權已因時效完成而當然消滅，自不得再向復審人請求返還，系爭處分此部分之追繳核有違誤。至關於追繳自</w:t>
      </w:r>
      <w:r>
        <w:rPr>
          <w:rFonts w:cs="標楷體" w:ascii="標楷體" w:hAnsi="標楷體"/>
          <w:sz w:val="32"/>
          <w:szCs w:val="32"/>
        </w:rPr>
        <w:t>98</w:t>
      </w:r>
      <w:r>
        <w:rPr>
          <w:rFonts w:ascii="標楷體" w:hAnsi="標楷體" w:cs="標楷體"/>
          <w:sz w:val="32"/>
          <w:szCs w:val="32"/>
        </w:rPr>
        <w:t>年</w:t>
      </w:r>
      <w:r>
        <w:rPr>
          <w:rFonts w:cs="標楷體" w:ascii="標楷體" w:hAnsi="標楷體"/>
          <w:sz w:val="32"/>
          <w:szCs w:val="32"/>
        </w:rPr>
        <w:t>12</w:t>
      </w:r>
      <w:r>
        <w:rPr>
          <w:rFonts w:ascii="標楷體" w:hAnsi="標楷體" w:cs="標楷體"/>
          <w:sz w:val="32"/>
          <w:szCs w:val="32"/>
        </w:rPr>
        <w:t>月</w:t>
      </w:r>
      <w:r>
        <w:rPr>
          <w:rFonts w:cs="標楷體" w:ascii="標楷體" w:hAnsi="標楷體"/>
          <w:sz w:val="32"/>
          <w:szCs w:val="32"/>
        </w:rPr>
        <w:t>31</w:t>
      </w:r>
      <w:r>
        <w:rPr>
          <w:rFonts w:ascii="標楷體" w:hAnsi="標楷體" w:cs="標楷體"/>
          <w:sz w:val="32"/>
          <w:szCs w:val="32"/>
        </w:rPr>
        <w:t>日起至</w:t>
      </w:r>
      <w:r>
        <w:rPr>
          <w:rFonts w:cs="標楷體" w:ascii="標楷體" w:hAnsi="標楷體"/>
          <w:sz w:val="32"/>
          <w:szCs w:val="32"/>
        </w:rPr>
        <w:t>102</w:t>
      </w:r>
      <w:r>
        <w:rPr>
          <w:rFonts w:ascii="標楷體" w:hAnsi="標楷體" w:cs="標楷體"/>
          <w:sz w:val="32"/>
          <w:szCs w:val="32"/>
        </w:rPr>
        <w:t>年</w:t>
      </w:r>
      <w:r>
        <w:rPr>
          <w:rFonts w:cs="標楷體" w:ascii="標楷體" w:hAnsi="標楷體"/>
          <w:sz w:val="32"/>
          <w:szCs w:val="32"/>
        </w:rPr>
        <w:t>6</w:t>
      </w:r>
      <w:r>
        <w:rPr>
          <w:rFonts w:ascii="標楷體" w:hAnsi="標楷體" w:cs="標楷體"/>
          <w:sz w:val="32"/>
          <w:szCs w:val="32"/>
        </w:rPr>
        <w:t>月</w:t>
      </w:r>
      <w:r>
        <w:rPr>
          <w:rFonts w:cs="標楷體" w:ascii="標楷體" w:hAnsi="標楷體"/>
          <w:sz w:val="32"/>
          <w:szCs w:val="32"/>
        </w:rPr>
        <w:t>17</w:t>
      </w:r>
      <w:r>
        <w:rPr>
          <w:rFonts w:ascii="標楷體" w:hAnsi="標楷體" w:cs="標楷體"/>
          <w:sz w:val="32"/>
          <w:szCs w:val="32"/>
        </w:rPr>
        <w:t>日止之優惠存款利息部分，尚未逾</w:t>
      </w:r>
      <w:r>
        <w:rPr>
          <w:rFonts w:cs="標楷體" w:ascii="標楷體" w:hAnsi="標楷體"/>
          <w:sz w:val="32"/>
          <w:szCs w:val="32"/>
        </w:rPr>
        <w:t>5</w:t>
      </w:r>
      <w:r>
        <w:rPr>
          <w:rFonts w:ascii="標楷體" w:hAnsi="標楷體" w:cs="標楷體"/>
          <w:sz w:val="32"/>
          <w:szCs w:val="32"/>
        </w:rPr>
        <w:t>年之消滅時效，於法並無不合，應予維持。</w:t>
      </w:r>
      <w:r>
        <w:rPr>
          <w:rFonts w:ascii="標楷體" w:hAnsi="標楷體" w:cs="標楷體"/>
          <w:sz w:val="32"/>
          <w:szCs w:val="32"/>
        </w:rPr>
        <w:t>（</w:t>
      </w:r>
      <w:r>
        <w:rPr>
          <w:rFonts w:cs="標楷體" w:ascii="標楷體" w:hAnsi="標楷體"/>
          <w:sz w:val="32"/>
          <w:szCs w:val="32"/>
        </w:rPr>
        <w:t>104</w:t>
      </w:r>
      <w:r>
        <w:rPr>
          <w:rFonts w:ascii="標楷體" w:hAnsi="標楷體" w:cs="標楷體"/>
          <w:sz w:val="32"/>
          <w:szCs w:val="32"/>
        </w:rPr>
        <w:t>公審決字第</w:t>
      </w:r>
      <w:r>
        <w:rPr>
          <w:rFonts w:cs="標楷體" w:ascii="標楷體" w:hAnsi="標楷體"/>
          <w:sz w:val="32"/>
          <w:szCs w:val="32"/>
        </w:rPr>
        <w:t>0102</w:t>
      </w:r>
      <w:r>
        <w:rPr>
          <w:rFonts w:ascii="標楷體" w:hAnsi="標楷體" w:cs="標楷體"/>
          <w:sz w:val="32"/>
          <w:szCs w:val="32"/>
        </w:rPr>
        <w:t>號復審決定書）</w:t>
      </w:r>
    </w:p>
    <w:p>
      <w:pPr>
        <w:pStyle w:val="Normal"/>
        <w:overflowPunct w:val="false"/>
        <w:autoSpaceDE w:val="false"/>
        <w:spacing w:lineRule="exact" w:line="560"/>
        <w:ind w:left="1040" w:hanging="320"/>
        <w:jc w:val="both"/>
        <w:rPr>
          <w:rFonts w:ascii="標楷體" w:hAnsi="標楷體" w:cs="標楷體"/>
          <w:sz w:val="32"/>
          <w:szCs w:val="32"/>
        </w:rPr>
      </w:pPr>
      <w:r>
        <w:rPr>
          <w:rFonts w:cs="標楷體" w:ascii="標楷體" w:hAnsi="標楷體"/>
          <w:sz w:val="32"/>
          <w:szCs w:val="32"/>
        </w:rPr>
        <w:t>4.</w:t>
      </w:r>
      <w:r>
        <w:rPr>
          <w:rFonts w:ascii="標楷體" w:hAnsi="標楷體" w:cs="標楷體"/>
          <w:sz w:val="32"/>
          <w:szCs w:val="32"/>
        </w:rPr>
        <w:t>復審人以</w:t>
      </w:r>
      <w:r>
        <w:rPr>
          <w:rFonts w:cs="標楷體" w:ascii="標楷體" w:hAnsi="標楷體"/>
          <w:sz w:val="32"/>
          <w:szCs w:val="32"/>
        </w:rPr>
        <w:t>103</w:t>
      </w:r>
      <w:r>
        <w:rPr>
          <w:rFonts w:ascii="標楷體" w:hAnsi="標楷體" w:cs="標楷體"/>
          <w:sz w:val="32"/>
          <w:szCs w:val="32"/>
        </w:rPr>
        <w:t>年</w:t>
      </w:r>
      <w:r>
        <w:rPr>
          <w:rFonts w:cs="標楷體" w:ascii="標楷體" w:hAnsi="標楷體"/>
          <w:sz w:val="32"/>
          <w:szCs w:val="32"/>
        </w:rPr>
        <w:t>8</w:t>
      </w:r>
      <w:r>
        <w:rPr>
          <w:rFonts w:ascii="標楷體" w:hAnsi="標楷體" w:cs="標楷體"/>
          <w:sz w:val="32"/>
          <w:szCs w:val="32"/>
        </w:rPr>
        <w:t>月</w:t>
      </w:r>
      <w:r>
        <w:rPr>
          <w:rFonts w:cs="標楷體" w:ascii="標楷體" w:hAnsi="標楷體"/>
          <w:sz w:val="32"/>
          <w:szCs w:val="32"/>
        </w:rPr>
        <w:t>29</w:t>
      </w:r>
      <w:r>
        <w:rPr>
          <w:rFonts w:ascii="標楷體" w:hAnsi="標楷體" w:cs="標楷體"/>
          <w:sz w:val="32"/>
          <w:szCs w:val="32"/>
        </w:rPr>
        <w:t>日申請書，向</w:t>
      </w:r>
      <w:r>
        <w:rPr>
          <w:rFonts w:ascii="標楷體" w:hAnsi="標楷體" w:cs="標楷體"/>
          <w:sz w:val="32"/>
          <w:szCs w:val="32"/>
        </w:rPr>
        <w:t>○○</w:t>
      </w:r>
      <w:r>
        <w:rPr>
          <w:rFonts w:ascii="標楷體" w:hAnsi="標楷體" w:cs="標楷體"/>
          <w:sz w:val="32"/>
          <w:szCs w:val="32"/>
        </w:rPr>
        <w:t>醫院請求補發其自</w:t>
      </w:r>
      <w:r>
        <w:rPr>
          <w:rFonts w:cs="標楷體" w:ascii="標楷體" w:hAnsi="標楷體"/>
          <w:sz w:val="32"/>
          <w:szCs w:val="32"/>
        </w:rPr>
        <w:t>95</w:t>
      </w:r>
      <w:r>
        <w:rPr>
          <w:rFonts w:ascii="標楷體" w:hAnsi="標楷體" w:cs="標楷體"/>
          <w:sz w:val="32"/>
          <w:szCs w:val="32"/>
        </w:rPr>
        <w:t>年</w:t>
      </w:r>
      <w:r>
        <w:rPr>
          <w:rFonts w:cs="標楷體" w:ascii="標楷體" w:hAnsi="標楷體"/>
          <w:sz w:val="32"/>
          <w:szCs w:val="32"/>
        </w:rPr>
        <w:t>10</w:t>
      </w:r>
      <w:r>
        <w:rPr>
          <w:rFonts w:ascii="標楷體" w:hAnsi="標楷體" w:cs="標楷體"/>
          <w:sz w:val="32"/>
          <w:szCs w:val="32"/>
        </w:rPr>
        <w:t>月</w:t>
      </w:r>
      <w:r>
        <w:rPr>
          <w:rFonts w:cs="標楷體" w:ascii="標楷體" w:hAnsi="標楷體"/>
          <w:sz w:val="32"/>
          <w:szCs w:val="32"/>
        </w:rPr>
        <w:t>1</w:t>
      </w:r>
      <w:r>
        <w:rPr>
          <w:rFonts w:ascii="標楷體" w:hAnsi="標楷體" w:cs="標楷體"/>
          <w:sz w:val="32"/>
          <w:szCs w:val="32"/>
        </w:rPr>
        <w:t>日起至</w:t>
      </w:r>
      <w:r>
        <w:rPr>
          <w:rFonts w:cs="標楷體" w:ascii="標楷體" w:hAnsi="標楷體"/>
          <w:sz w:val="32"/>
          <w:szCs w:val="32"/>
        </w:rPr>
        <w:t>98</w:t>
      </w:r>
      <w:r>
        <w:rPr>
          <w:rFonts w:ascii="標楷體" w:hAnsi="標楷體" w:cs="標楷體"/>
          <w:sz w:val="32"/>
          <w:szCs w:val="32"/>
        </w:rPr>
        <w:t>年</w:t>
      </w:r>
      <w:r>
        <w:rPr>
          <w:rFonts w:cs="標楷體" w:ascii="標楷體" w:hAnsi="標楷體"/>
          <w:sz w:val="32"/>
          <w:szCs w:val="32"/>
        </w:rPr>
        <w:t>9</w:t>
      </w:r>
      <w:r>
        <w:rPr>
          <w:rFonts w:ascii="標楷體" w:hAnsi="標楷體" w:cs="標楷體"/>
          <w:sz w:val="32"/>
          <w:szCs w:val="32"/>
        </w:rPr>
        <w:t>月</w:t>
      </w:r>
      <w:r>
        <w:rPr>
          <w:rFonts w:cs="標楷體" w:ascii="標楷體" w:hAnsi="標楷體"/>
          <w:sz w:val="32"/>
          <w:szCs w:val="32"/>
        </w:rPr>
        <w:t>4</w:t>
      </w:r>
      <w:r>
        <w:rPr>
          <w:rFonts w:ascii="標楷體" w:hAnsi="標楷體" w:cs="標楷體"/>
          <w:sz w:val="32"/>
          <w:szCs w:val="32"/>
        </w:rPr>
        <w:t>日止，代理醫務行政室主任之主管職務加給。復審人既係依</w:t>
      </w:r>
      <w:r>
        <w:rPr>
          <w:rFonts w:ascii="標楷體" w:hAnsi="標楷體" w:cs="標楷體"/>
          <w:sz w:val="32"/>
          <w:szCs w:val="32"/>
        </w:rPr>
        <w:t>公務人員</w:t>
      </w:r>
      <w:r>
        <w:rPr>
          <w:rFonts w:ascii="標楷體" w:hAnsi="標楷體" w:cs="標楷體"/>
          <w:sz w:val="32"/>
          <w:szCs w:val="32"/>
        </w:rPr>
        <w:t>俸給法規提出申請，</w:t>
      </w:r>
      <w:r>
        <w:rPr>
          <w:rFonts w:ascii="標楷體" w:hAnsi="標楷體" w:cs="標楷體"/>
          <w:sz w:val="32"/>
          <w:szCs w:val="32"/>
        </w:rPr>
        <w:t>○○</w:t>
      </w:r>
      <w:r>
        <w:rPr>
          <w:rFonts w:ascii="標楷體" w:hAnsi="標楷體" w:cs="標楷體"/>
          <w:sz w:val="32"/>
          <w:szCs w:val="32"/>
        </w:rPr>
        <w:t>醫院自有作成准駁決定之義務。該院係於</w:t>
      </w:r>
      <w:r>
        <w:rPr>
          <w:rFonts w:cs="標楷體" w:ascii="標楷體" w:hAnsi="標楷體"/>
          <w:sz w:val="32"/>
          <w:szCs w:val="32"/>
        </w:rPr>
        <w:t>103</w:t>
      </w:r>
      <w:r>
        <w:rPr>
          <w:rFonts w:ascii="標楷體" w:hAnsi="標楷體" w:cs="標楷體"/>
          <w:sz w:val="32"/>
          <w:szCs w:val="32"/>
        </w:rPr>
        <w:t>年</w:t>
      </w:r>
      <w:r>
        <w:rPr>
          <w:rFonts w:cs="標楷體" w:ascii="標楷體" w:hAnsi="標楷體"/>
          <w:sz w:val="32"/>
          <w:szCs w:val="32"/>
        </w:rPr>
        <w:t>9</w:t>
      </w:r>
      <w:r>
        <w:rPr>
          <w:rFonts w:ascii="標楷體" w:hAnsi="標楷體" w:cs="標楷體"/>
          <w:sz w:val="32"/>
          <w:szCs w:val="32"/>
        </w:rPr>
        <w:t>月</w:t>
      </w:r>
      <w:r>
        <w:rPr>
          <w:rFonts w:cs="標楷體" w:ascii="標楷體" w:hAnsi="標楷體"/>
          <w:sz w:val="32"/>
          <w:szCs w:val="32"/>
        </w:rPr>
        <w:t>1</w:t>
      </w:r>
      <w:r>
        <w:rPr>
          <w:rFonts w:ascii="標楷體" w:hAnsi="標楷體" w:cs="標楷體"/>
          <w:sz w:val="32"/>
          <w:szCs w:val="32"/>
        </w:rPr>
        <w:t>日收受復審人上開申請書，依行政程序法第</w:t>
      </w:r>
      <w:r>
        <w:rPr>
          <w:rFonts w:cs="標楷體" w:ascii="標楷體" w:hAnsi="標楷體"/>
          <w:sz w:val="32"/>
          <w:szCs w:val="32"/>
        </w:rPr>
        <w:t>51</w:t>
      </w:r>
      <w:r>
        <w:rPr>
          <w:rFonts w:ascii="標楷體" w:hAnsi="標楷體" w:cs="標楷體"/>
          <w:sz w:val="32"/>
          <w:szCs w:val="32"/>
        </w:rPr>
        <w:t>條第</w:t>
      </w:r>
      <w:r>
        <w:rPr>
          <w:rFonts w:cs="標楷體" w:ascii="標楷體" w:hAnsi="標楷體"/>
          <w:sz w:val="32"/>
          <w:szCs w:val="32"/>
        </w:rPr>
        <w:t>2</w:t>
      </w:r>
      <w:r>
        <w:rPr>
          <w:rFonts w:ascii="標楷體" w:hAnsi="標楷體" w:cs="標楷體"/>
          <w:sz w:val="32"/>
          <w:szCs w:val="32"/>
        </w:rPr>
        <w:t>項規定，應自收受申請書之日起</w:t>
      </w:r>
      <w:r>
        <w:rPr>
          <w:rFonts w:cs="標楷體" w:ascii="標楷體" w:hAnsi="標楷體"/>
          <w:sz w:val="32"/>
          <w:szCs w:val="32"/>
        </w:rPr>
        <w:t>2</w:t>
      </w:r>
      <w:r>
        <w:rPr>
          <w:rFonts w:ascii="標楷體" w:hAnsi="標楷體" w:cs="標楷體"/>
          <w:sz w:val="32"/>
          <w:szCs w:val="32"/>
        </w:rPr>
        <w:t>個月內，即同年</w:t>
      </w:r>
      <w:r>
        <w:rPr>
          <w:rFonts w:cs="標楷體" w:ascii="標楷體" w:hAnsi="標楷體"/>
          <w:sz w:val="32"/>
          <w:szCs w:val="32"/>
        </w:rPr>
        <w:t>10</w:t>
      </w:r>
      <w:r>
        <w:rPr>
          <w:rFonts w:ascii="標楷體" w:hAnsi="標楷體" w:cs="標楷體"/>
          <w:sz w:val="32"/>
          <w:szCs w:val="32"/>
        </w:rPr>
        <w:t>月</w:t>
      </w:r>
      <w:r>
        <w:rPr>
          <w:rFonts w:cs="標楷體" w:ascii="標楷體" w:hAnsi="標楷體"/>
          <w:sz w:val="32"/>
          <w:szCs w:val="32"/>
        </w:rPr>
        <w:t>31</w:t>
      </w:r>
      <w:r>
        <w:rPr>
          <w:rFonts w:ascii="標楷體" w:hAnsi="標楷體" w:cs="標楷體"/>
          <w:sz w:val="32"/>
          <w:szCs w:val="32"/>
        </w:rPr>
        <w:t>日前，就復審人請求補發主管職務加給，為准駁之決定，並告知復審人。惟該院迄今未作為，核屬於法定期間內應作為而不作為，於法自有違誤。</w:t>
      </w:r>
      <w:r>
        <w:rPr>
          <w:rFonts w:ascii="標楷體" w:hAnsi="標楷體" w:cs="標楷體"/>
          <w:sz w:val="32"/>
          <w:szCs w:val="32"/>
        </w:rPr>
        <w:t>（</w:t>
      </w:r>
      <w:r>
        <w:rPr>
          <w:rFonts w:cs="標楷體" w:ascii="標楷體" w:hAnsi="標楷體"/>
          <w:sz w:val="32"/>
          <w:szCs w:val="32"/>
        </w:rPr>
        <w:t>104</w:t>
      </w:r>
      <w:r>
        <w:rPr>
          <w:rFonts w:ascii="標楷體" w:hAnsi="標楷體" w:cs="標楷體"/>
          <w:sz w:val="32"/>
          <w:szCs w:val="32"/>
        </w:rPr>
        <w:t>公審決字第</w:t>
      </w:r>
      <w:r>
        <w:rPr>
          <w:rFonts w:cs="標楷體" w:ascii="標楷體" w:hAnsi="標楷體"/>
          <w:sz w:val="32"/>
          <w:szCs w:val="32"/>
        </w:rPr>
        <w:t>0055</w:t>
      </w:r>
      <w:r>
        <w:rPr>
          <w:rFonts w:ascii="標楷體" w:hAnsi="標楷體" w:cs="標楷體"/>
          <w:sz w:val="32"/>
          <w:szCs w:val="32"/>
        </w:rPr>
        <w:t>號復審決定書）</w:t>
      </w:r>
    </w:p>
    <w:p>
      <w:pPr>
        <w:pStyle w:val="Normal"/>
        <w:overflowPunct w:val="false"/>
        <w:autoSpaceDE w:val="false"/>
        <w:spacing w:lineRule="exact" w:line="560" w:before="199" w:after="0"/>
        <w:jc w:val="both"/>
        <w:rPr>
          <w:rFonts w:ascii="標楷體" w:hAnsi="標楷體" w:cs="標楷體"/>
          <w:b/>
          <w:b/>
          <w:bCs/>
          <w:sz w:val="32"/>
          <w:szCs w:val="32"/>
        </w:rPr>
      </w:pPr>
      <w:r>
        <w:rPr>
          <w:rFonts w:ascii="標楷體" w:hAnsi="標楷體" w:cs="標楷體"/>
          <w:b/>
          <w:bCs/>
          <w:sz w:val="32"/>
          <w:szCs w:val="32"/>
        </w:rPr>
        <w:t>貳、機關為人事管理行為常見之作業疏失事項</w:t>
      </w:r>
    </w:p>
    <w:p>
      <w:pPr>
        <w:pStyle w:val="32"/>
        <w:kinsoku w:val="true"/>
        <w:ind w:left="0" w:firstLine="640"/>
        <w:rPr>
          <w:sz w:val="32"/>
          <w:szCs w:val="32"/>
        </w:rPr>
      </w:pPr>
      <w:r>
        <w:rPr>
          <w:sz w:val="32"/>
          <w:szCs w:val="32"/>
        </w:rPr>
        <w:t>保障業務係屬人事業務之一環，各類型保障事</w:t>
      </w:r>
      <w:r>
        <w:rPr>
          <w:sz w:val="32"/>
          <w:szCs w:val="32"/>
        </w:rPr>
        <w:t>件</w:t>
      </w:r>
      <w:r>
        <w:rPr>
          <w:sz w:val="32"/>
          <w:szCs w:val="32"/>
        </w:rPr>
        <w:t>所涉程序法令，並</w:t>
      </w:r>
      <w:r>
        <w:rPr>
          <w:sz w:val="32"/>
          <w:szCs w:val="32"/>
        </w:rPr>
        <w:t>不</w:t>
      </w:r>
      <w:r>
        <w:rPr>
          <w:sz w:val="32"/>
          <w:szCs w:val="32"/>
        </w:rPr>
        <w:t>相同。下列人事作業疏失事項，本會均曾函請各機關注意改進，惟仍有未盡理想之處，爰再請各機關配合改進︰</w:t>
      </w:r>
    </w:p>
    <w:p>
      <w:pPr>
        <w:pStyle w:val="32"/>
        <w:kinsoku w:val="true"/>
        <w:ind w:left="576" w:hanging="576"/>
        <w:rPr>
          <w:sz w:val="32"/>
          <w:szCs w:val="32"/>
        </w:rPr>
      </w:pPr>
      <w:r>
        <w:rPr>
          <w:sz w:val="32"/>
          <w:szCs w:val="32"/>
        </w:rPr>
        <w:t>一、按本會</w:t>
      </w:r>
      <w:r>
        <w:rPr>
          <w:sz w:val="32"/>
          <w:szCs w:val="32"/>
        </w:rPr>
        <w:t>92</w:t>
      </w:r>
      <w:r>
        <w:rPr>
          <w:sz w:val="32"/>
          <w:szCs w:val="32"/>
        </w:rPr>
        <w:t>年</w:t>
      </w:r>
      <w:r>
        <w:rPr>
          <w:sz w:val="32"/>
          <w:szCs w:val="32"/>
        </w:rPr>
        <w:t>5</w:t>
      </w:r>
      <w:r>
        <w:rPr>
          <w:sz w:val="32"/>
          <w:szCs w:val="32"/>
        </w:rPr>
        <w:t>月</w:t>
      </w:r>
      <w:r>
        <w:rPr>
          <w:sz w:val="32"/>
          <w:szCs w:val="32"/>
        </w:rPr>
        <w:t>15</w:t>
      </w:r>
      <w:r>
        <w:rPr>
          <w:sz w:val="32"/>
          <w:szCs w:val="32"/>
        </w:rPr>
        <w:t>日公保字第</w:t>
      </w:r>
      <w:r>
        <w:rPr>
          <w:sz w:val="32"/>
          <w:szCs w:val="32"/>
        </w:rPr>
        <w:t>0920003511</w:t>
      </w:r>
      <w:r>
        <w:rPr>
          <w:sz w:val="32"/>
          <w:szCs w:val="32"/>
        </w:rPr>
        <w:t>號函意旨，機關對所屬公務人員之行政處分、管理措施或有關工作條件之處置，或為申訴函復時，應告知不服之救濟方法、期間及受理救</w:t>
      </w:r>
      <w:r>
        <w:rPr>
          <w:sz w:val="32"/>
          <w:szCs w:val="32"/>
        </w:rPr>
        <w:t>濟</w:t>
      </w:r>
      <w:r>
        <w:rPr>
          <w:sz w:val="32"/>
          <w:szCs w:val="32"/>
        </w:rPr>
        <w:t>之管轄機關等，以確保公務人員請求救濟之權益。惟仍有部分機關疏未教示，或教示內容有誤，致當事人所</w:t>
      </w:r>
      <w:r>
        <w:rPr>
          <w:sz w:val="32"/>
          <w:szCs w:val="32"/>
        </w:rPr>
        <w:t>爭執之</w:t>
      </w:r>
      <w:r>
        <w:rPr>
          <w:sz w:val="32"/>
          <w:szCs w:val="32"/>
        </w:rPr>
        <w:t>法律關係，長時</w:t>
      </w:r>
      <w:r>
        <w:rPr>
          <w:sz w:val="32"/>
          <w:szCs w:val="32"/>
        </w:rPr>
        <w:t>間處</w:t>
      </w:r>
      <w:r>
        <w:rPr>
          <w:sz w:val="32"/>
          <w:szCs w:val="32"/>
        </w:rPr>
        <w:t>於不安定之狀態，並造成相關機關在後續處理上，耗</w:t>
      </w:r>
      <w:r>
        <w:rPr>
          <w:sz w:val="32"/>
          <w:szCs w:val="32"/>
        </w:rPr>
        <w:t>費</w:t>
      </w:r>
      <w:r>
        <w:rPr>
          <w:sz w:val="32"/>
          <w:szCs w:val="32"/>
        </w:rPr>
        <w:t>行政資</w:t>
      </w:r>
      <w:r>
        <w:rPr>
          <w:sz w:val="32"/>
          <w:szCs w:val="32"/>
        </w:rPr>
        <w:t>源</w:t>
      </w:r>
      <w:r>
        <w:rPr>
          <w:sz w:val="32"/>
          <w:szCs w:val="32"/>
        </w:rPr>
        <w:t>，爰請各機關確依有關法令及本會上開函釋辦理。例如：</w:t>
      </w:r>
    </w:p>
    <w:p>
      <w:pPr>
        <w:pStyle w:val="32"/>
        <w:kinsoku w:val="true"/>
        <w:ind w:left="956" w:hanging="960"/>
        <w:rPr>
          <w:sz w:val="32"/>
          <w:szCs w:val="32"/>
        </w:rPr>
      </w:pPr>
      <w:r>
        <w:rPr>
          <w:sz w:val="32"/>
          <w:szCs w:val="32"/>
        </w:rPr>
        <w:t>（</w:t>
      </w:r>
      <w:r>
        <w:rPr>
          <w:sz w:val="32"/>
          <w:szCs w:val="32"/>
        </w:rPr>
        <w:t>一）</w:t>
      </w:r>
      <w:r>
        <w:rPr>
          <w:sz w:val="32"/>
          <w:szCs w:val="32"/>
        </w:rPr>
        <w:t>公務人員於職場內、外性騷擾成立與否之法律依據，分別為性別工作平等法及性騷擾防治法。關</w:t>
      </w:r>
      <w:r>
        <w:rPr>
          <w:sz w:val="32"/>
          <w:szCs w:val="32"/>
        </w:rPr>
        <w:t>於</w:t>
      </w:r>
      <w:r>
        <w:rPr>
          <w:sz w:val="32"/>
          <w:szCs w:val="32"/>
        </w:rPr>
        <w:t>不服性</w:t>
      </w:r>
      <w:r>
        <w:rPr>
          <w:sz w:val="32"/>
          <w:szCs w:val="32"/>
        </w:rPr>
        <w:t>騷擾</w:t>
      </w:r>
      <w:r>
        <w:rPr>
          <w:sz w:val="32"/>
          <w:szCs w:val="32"/>
        </w:rPr>
        <w:t>成立（不成</w:t>
      </w:r>
      <w:r>
        <w:rPr>
          <w:sz w:val="32"/>
          <w:szCs w:val="32"/>
        </w:rPr>
        <w:t>立）</w:t>
      </w:r>
      <w:r>
        <w:rPr>
          <w:sz w:val="32"/>
          <w:szCs w:val="32"/>
        </w:rPr>
        <w:t>決議之救濟機關，應分別向本會提起復審或向上級機關提起訴願。</w:t>
      </w:r>
    </w:p>
    <w:p>
      <w:pPr>
        <w:pStyle w:val="32"/>
        <w:kinsoku w:val="true"/>
        <w:ind w:left="956" w:hanging="960"/>
        <w:rPr>
          <w:sz w:val="32"/>
          <w:szCs w:val="32"/>
        </w:rPr>
      </w:pPr>
      <w:r>
        <w:rPr>
          <w:sz w:val="32"/>
          <w:szCs w:val="32"/>
        </w:rPr>
        <w:t>（二）公務人員涉及校園性騷擾案件，經學校依性別平等教育法相關規定完成調查並予議處，且將處理結果以書面載明事實及理由通知當事人。上開書面通知即為「性騷擾成立與否之決定」，性別平等教育法第</w:t>
      </w:r>
      <w:r>
        <w:rPr>
          <w:sz w:val="32"/>
          <w:szCs w:val="32"/>
        </w:rPr>
        <w:t>34</w:t>
      </w:r>
      <w:r>
        <w:rPr>
          <w:sz w:val="32"/>
          <w:szCs w:val="32"/>
        </w:rPr>
        <w:t>條第</w:t>
      </w:r>
      <w:r>
        <w:rPr>
          <w:sz w:val="32"/>
          <w:szCs w:val="32"/>
        </w:rPr>
        <w:t>2</w:t>
      </w:r>
      <w:r>
        <w:rPr>
          <w:sz w:val="32"/>
          <w:szCs w:val="32"/>
        </w:rPr>
        <w:t>款所定人員，如對該決定不服，應先經申復程序，再依保障法規定，向本會提起復審救濟。又上開人員如因涉及校園性騷擾事件，經學校提經考績委員會審議後予以懲處，該懲處之性質係學校對公務人員所為之管理措施，公務人員如有不服，應於懲處令送達之次日起</w:t>
      </w:r>
      <w:r>
        <w:rPr>
          <w:sz w:val="32"/>
          <w:szCs w:val="32"/>
        </w:rPr>
        <w:t>30</w:t>
      </w:r>
      <w:r>
        <w:rPr>
          <w:sz w:val="32"/>
          <w:szCs w:val="32"/>
        </w:rPr>
        <w:t>日內，先依保障法規定向學校提起申訴，如不服學校之申訴函復，得於復函送達之次日起</w:t>
      </w:r>
      <w:r>
        <w:rPr>
          <w:sz w:val="32"/>
          <w:szCs w:val="32"/>
        </w:rPr>
        <w:t>30</w:t>
      </w:r>
      <w:r>
        <w:rPr>
          <w:sz w:val="32"/>
          <w:szCs w:val="32"/>
        </w:rPr>
        <w:t>日內，向本會提起再申訴。</w:t>
      </w:r>
    </w:p>
    <w:p>
      <w:pPr>
        <w:pStyle w:val="32"/>
        <w:kinsoku w:val="true"/>
        <w:ind w:left="956" w:hanging="960"/>
        <w:rPr>
          <w:sz w:val="32"/>
          <w:szCs w:val="32"/>
        </w:rPr>
      </w:pPr>
      <w:r>
        <w:rPr>
          <w:sz w:val="32"/>
          <w:szCs w:val="32"/>
        </w:rPr>
        <w:t>（三）法官法自</w:t>
      </w:r>
      <w:r>
        <w:rPr>
          <w:sz w:val="32"/>
          <w:szCs w:val="32"/>
        </w:rPr>
        <w:t>101</w:t>
      </w:r>
      <w:r>
        <w:rPr>
          <w:sz w:val="32"/>
          <w:szCs w:val="32"/>
        </w:rPr>
        <w:t>年</w:t>
      </w:r>
      <w:r>
        <w:rPr>
          <w:sz w:val="32"/>
          <w:szCs w:val="32"/>
        </w:rPr>
        <w:t>7</w:t>
      </w:r>
      <w:r>
        <w:rPr>
          <w:sz w:val="32"/>
          <w:szCs w:val="32"/>
        </w:rPr>
        <w:t>月</w:t>
      </w:r>
      <w:r>
        <w:rPr>
          <w:sz w:val="32"/>
          <w:szCs w:val="32"/>
        </w:rPr>
        <w:t>6</w:t>
      </w:r>
      <w:r>
        <w:rPr>
          <w:sz w:val="32"/>
          <w:szCs w:val="32"/>
        </w:rPr>
        <w:t>日施行，法官法第</w:t>
      </w:r>
      <w:r>
        <w:rPr>
          <w:sz w:val="32"/>
          <w:szCs w:val="32"/>
        </w:rPr>
        <w:t>20</w:t>
      </w:r>
      <w:r>
        <w:rPr>
          <w:sz w:val="32"/>
          <w:szCs w:val="32"/>
        </w:rPr>
        <w:t>條所定職務監督權人，對於被監督之法官所為之職務監督處分，如未影響法官獨立審判權限者，該職務監督處分之性質係職務監督權人對被監督法官所為之管理措施，被監督法官如有不服，應依保障法規定向職務監督權人所屬機關提起申訴，如不服申訴函復，再向本會提起再申訴。如被監督之法官認為該職</w:t>
      </w:r>
      <w:r>
        <w:rPr>
          <w:sz w:val="32"/>
          <w:szCs w:val="32"/>
        </w:rPr>
        <w:t>務監督</w:t>
      </w:r>
      <w:r>
        <w:rPr>
          <w:sz w:val="32"/>
          <w:szCs w:val="32"/>
        </w:rPr>
        <w:t>處分已影響審判獨立，則應依法官法第</w:t>
      </w:r>
      <w:r>
        <w:rPr>
          <w:sz w:val="32"/>
          <w:szCs w:val="32"/>
        </w:rPr>
        <w:t>53</w:t>
      </w:r>
      <w:r>
        <w:rPr>
          <w:sz w:val="32"/>
          <w:szCs w:val="32"/>
        </w:rPr>
        <w:t>條第</w:t>
      </w:r>
      <w:r>
        <w:rPr>
          <w:sz w:val="32"/>
          <w:szCs w:val="32"/>
        </w:rPr>
        <w:t>2</w:t>
      </w:r>
      <w:r>
        <w:rPr>
          <w:sz w:val="32"/>
          <w:szCs w:val="32"/>
        </w:rPr>
        <w:t>項及第</w:t>
      </w:r>
      <w:r>
        <w:rPr>
          <w:sz w:val="32"/>
          <w:szCs w:val="32"/>
        </w:rPr>
        <w:t>54</w:t>
      </w:r>
      <w:r>
        <w:rPr>
          <w:sz w:val="32"/>
          <w:szCs w:val="32"/>
        </w:rPr>
        <w:t>條第</w:t>
      </w:r>
      <w:r>
        <w:rPr>
          <w:sz w:val="32"/>
          <w:szCs w:val="32"/>
        </w:rPr>
        <w:t>3</w:t>
      </w:r>
      <w:r>
        <w:rPr>
          <w:sz w:val="32"/>
          <w:szCs w:val="32"/>
        </w:rPr>
        <w:t>項規定，依序向職務監督權人所屬機關提出異議，若不服異議決定，再向職務法庭起訴。職務監督權人所屬機關應於相關處分明確教示，以免受處分之法官誤用救濟程序。</w:t>
      </w:r>
    </w:p>
    <w:p>
      <w:pPr>
        <w:pStyle w:val="32"/>
        <w:kinsoku w:val="true"/>
        <w:snapToGrid w:val="false"/>
        <w:spacing w:before="80" w:after="0"/>
        <w:ind w:left="576" w:hanging="576"/>
        <w:rPr>
          <w:sz w:val="32"/>
          <w:szCs w:val="32"/>
        </w:rPr>
      </w:pPr>
      <w:r>
        <w:rPr>
          <w:sz w:val="32"/>
          <w:szCs w:val="32"/>
        </w:rPr>
        <w:t>二、</w:t>
      </w:r>
      <w:r>
        <w:rPr>
          <w:sz w:val="32"/>
          <w:szCs w:val="32"/>
          <w:lang w:val="zh-TW"/>
        </w:rPr>
        <w:t>本會</w:t>
      </w:r>
      <w:r>
        <w:rPr>
          <w:sz w:val="32"/>
          <w:szCs w:val="32"/>
          <w:lang w:val="zh-TW"/>
        </w:rPr>
        <w:t>103</w:t>
      </w:r>
      <w:r>
        <w:rPr>
          <w:sz w:val="32"/>
          <w:szCs w:val="32"/>
          <w:lang w:val="zh-TW"/>
        </w:rPr>
        <w:t>年</w:t>
      </w:r>
      <w:r>
        <w:rPr>
          <w:sz w:val="32"/>
          <w:szCs w:val="32"/>
          <w:lang w:val="zh-TW"/>
        </w:rPr>
        <w:t>4</w:t>
      </w:r>
      <w:r>
        <w:rPr>
          <w:sz w:val="32"/>
          <w:szCs w:val="32"/>
          <w:lang w:val="zh-TW"/>
        </w:rPr>
        <w:t>月</w:t>
      </w:r>
      <w:r>
        <w:rPr>
          <w:sz w:val="32"/>
          <w:szCs w:val="32"/>
          <w:lang w:val="zh-TW"/>
        </w:rPr>
        <w:t>1</w:t>
      </w:r>
      <w:r>
        <w:rPr>
          <w:sz w:val="32"/>
          <w:szCs w:val="32"/>
          <w:lang w:val="zh-TW"/>
        </w:rPr>
        <w:t>日</w:t>
      </w:r>
      <w:r>
        <w:rPr>
          <w:sz w:val="32"/>
          <w:szCs w:val="32"/>
          <w:lang w:val="zh-TW"/>
        </w:rPr>
        <w:t>103</w:t>
      </w:r>
      <w:r>
        <w:rPr>
          <w:sz w:val="32"/>
          <w:szCs w:val="32"/>
          <w:lang w:val="zh-TW"/>
        </w:rPr>
        <w:t>年第</w:t>
      </w:r>
      <w:r>
        <w:rPr>
          <w:sz w:val="32"/>
          <w:szCs w:val="32"/>
          <w:lang w:val="zh-TW"/>
        </w:rPr>
        <w:t>4</w:t>
      </w:r>
      <w:r>
        <w:rPr>
          <w:sz w:val="32"/>
          <w:szCs w:val="32"/>
          <w:lang w:val="zh-TW"/>
        </w:rPr>
        <w:t>次委員會議通過「追繳加給事件審查基準」，認為違法授予利益處分之受益人，如無信賴不值得保護之情形，為撤銷之機關為維護公益或為避免受益人發</w:t>
      </w:r>
      <w:r>
        <w:rPr>
          <w:sz w:val="32"/>
          <w:szCs w:val="32"/>
          <w:lang w:val="zh-TW"/>
        </w:rPr>
        <w:t>生</w:t>
      </w:r>
      <w:r>
        <w:rPr>
          <w:sz w:val="32"/>
          <w:szCs w:val="32"/>
          <w:lang w:val="zh-TW"/>
        </w:rPr>
        <w:t>財產上之損失，應依行政程序法第</w:t>
      </w:r>
      <w:r>
        <w:rPr>
          <w:sz w:val="32"/>
          <w:szCs w:val="32"/>
          <w:lang w:val="zh-TW"/>
        </w:rPr>
        <w:t>118</w:t>
      </w:r>
      <w:r>
        <w:rPr>
          <w:sz w:val="32"/>
          <w:szCs w:val="32"/>
          <w:lang w:val="zh-TW"/>
        </w:rPr>
        <w:t>條但書規定，考量是否另訂失效之日期；且為兼顧依法行政原則、法秩序之安定性及公務人員信賴利益之保護，所另訂溯及既往失效之日期，以不超過</w:t>
      </w:r>
      <w:r>
        <w:rPr>
          <w:sz w:val="32"/>
          <w:szCs w:val="32"/>
          <w:lang w:val="zh-TW"/>
        </w:rPr>
        <w:t>5</w:t>
      </w:r>
      <w:r>
        <w:rPr>
          <w:sz w:val="32"/>
          <w:szCs w:val="32"/>
          <w:lang w:val="zh-TW"/>
        </w:rPr>
        <w:t>年為宜。上開審查基準係本會審理保障事件之內部準則。</w:t>
      </w:r>
    </w:p>
    <w:p>
      <w:pPr>
        <w:pStyle w:val="32"/>
        <w:kinsoku w:val="true"/>
        <w:snapToGrid w:val="false"/>
        <w:spacing w:before="80" w:after="0"/>
        <w:ind w:left="634" w:hanging="634"/>
        <w:rPr>
          <w:sz w:val="32"/>
          <w:szCs w:val="32"/>
        </w:rPr>
      </w:pPr>
      <w:r>
        <w:rPr>
          <w:sz w:val="32"/>
          <w:szCs w:val="32"/>
        </w:rPr>
        <w:t>三、各機關對於所屬公務人員以簽陳</w:t>
      </w:r>
      <w:r>
        <w:rPr>
          <w:sz w:val="32"/>
          <w:szCs w:val="32"/>
        </w:rPr>
        <w:t>方式</w:t>
      </w:r>
      <w:r>
        <w:rPr>
          <w:sz w:val="32"/>
          <w:szCs w:val="32"/>
        </w:rPr>
        <w:t>陳請之事項，如有所准駁，並涉及法律上權利義務之變動者，應依行政程序法第</w:t>
      </w:r>
      <w:r>
        <w:rPr>
          <w:sz w:val="32"/>
          <w:szCs w:val="32"/>
        </w:rPr>
        <w:t>96</w:t>
      </w:r>
      <w:r>
        <w:rPr>
          <w:sz w:val="32"/>
          <w:szCs w:val="32"/>
        </w:rPr>
        <w:t>條規定作成書面行政處分，俾利公務人員據以提起救濟。前經本會</w:t>
      </w:r>
      <w:r>
        <w:rPr>
          <w:sz w:val="32"/>
          <w:szCs w:val="32"/>
        </w:rPr>
        <w:t>92</w:t>
      </w:r>
      <w:r>
        <w:rPr>
          <w:sz w:val="32"/>
          <w:szCs w:val="32"/>
        </w:rPr>
        <w:t>年</w:t>
      </w:r>
      <w:r>
        <w:rPr>
          <w:sz w:val="32"/>
          <w:szCs w:val="32"/>
        </w:rPr>
        <w:t>10</w:t>
      </w:r>
      <w:r>
        <w:rPr>
          <w:sz w:val="32"/>
          <w:szCs w:val="32"/>
        </w:rPr>
        <w:t>月</w:t>
      </w:r>
      <w:r>
        <w:rPr>
          <w:sz w:val="32"/>
          <w:szCs w:val="32"/>
        </w:rPr>
        <w:t>17</w:t>
      </w:r>
      <w:r>
        <w:rPr>
          <w:sz w:val="32"/>
          <w:szCs w:val="32"/>
        </w:rPr>
        <w:t>日公保字第</w:t>
      </w:r>
      <w:r>
        <w:rPr>
          <w:sz w:val="32"/>
          <w:szCs w:val="32"/>
        </w:rPr>
        <w:t>0920007465</w:t>
      </w:r>
      <w:r>
        <w:rPr>
          <w:sz w:val="32"/>
          <w:szCs w:val="32"/>
        </w:rPr>
        <w:t>號函及</w:t>
      </w:r>
      <w:r>
        <w:rPr>
          <w:sz w:val="32"/>
          <w:szCs w:val="32"/>
        </w:rPr>
        <w:t>101</w:t>
      </w:r>
      <w:r>
        <w:rPr>
          <w:sz w:val="32"/>
          <w:szCs w:val="32"/>
        </w:rPr>
        <w:t>年</w:t>
      </w:r>
      <w:r>
        <w:rPr>
          <w:sz w:val="32"/>
          <w:szCs w:val="32"/>
        </w:rPr>
        <w:t>6</w:t>
      </w:r>
      <w:r>
        <w:rPr>
          <w:sz w:val="32"/>
          <w:szCs w:val="32"/>
        </w:rPr>
        <w:t>月</w:t>
      </w:r>
      <w:r>
        <w:rPr>
          <w:sz w:val="32"/>
          <w:szCs w:val="32"/>
        </w:rPr>
        <w:t>8</w:t>
      </w:r>
      <w:r>
        <w:rPr>
          <w:sz w:val="32"/>
          <w:szCs w:val="32"/>
        </w:rPr>
        <w:t>日公保字第</w:t>
      </w:r>
      <w:r>
        <w:rPr>
          <w:sz w:val="32"/>
          <w:szCs w:val="32"/>
        </w:rPr>
        <w:t>1011009832</w:t>
      </w:r>
      <w:r>
        <w:rPr>
          <w:sz w:val="32"/>
          <w:szCs w:val="32"/>
        </w:rPr>
        <w:t>號函請各機關督</w:t>
      </w:r>
      <w:r>
        <w:rPr>
          <w:sz w:val="32"/>
          <w:szCs w:val="32"/>
        </w:rPr>
        <w:t>促所屬</w:t>
      </w:r>
      <w:r>
        <w:rPr>
          <w:sz w:val="32"/>
          <w:szCs w:val="32"/>
        </w:rPr>
        <w:t>人事人員知照辦理在案，仍請落實辦理。</w:t>
      </w:r>
    </w:p>
    <w:p>
      <w:pPr>
        <w:pStyle w:val="32"/>
        <w:kinsoku w:val="true"/>
        <w:spacing w:before="80" w:after="0"/>
        <w:ind w:left="640" w:hanging="640"/>
        <w:rPr>
          <w:sz w:val="32"/>
          <w:szCs w:val="32"/>
        </w:rPr>
      </w:pPr>
      <w:r>
        <w:rPr>
          <w:sz w:val="32"/>
          <w:szCs w:val="32"/>
        </w:rPr>
        <w:t>四、按保障法第</w:t>
      </w:r>
      <w:r>
        <w:rPr>
          <w:sz w:val="32"/>
          <w:szCs w:val="32"/>
        </w:rPr>
        <w:t>30</w:t>
      </w:r>
      <w:r>
        <w:rPr>
          <w:sz w:val="32"/>
          <w:szCs w:val="32"/>
        </w:rPr>
        <w:t>條至第</w:t>
      </w:r>
      <w:r>
        <w:rPr>
          <w:sz w:val="32"/>
          <w:szCs w:val="32"/>
        </w:rPr>
        <w:t>33</w:t>
      </w:r>
      <w:r>
        <w:rPr>
          <w:sz w:val="32"/>
          <w:szCs w:val="32"/>
        </w:rPr>
        <w:t>條、第</w:t>
      </w:r>
      <w:r>
        <w:rPr>
          <w:sz w:val="32"/>
          <w:szCs w:val="32"/>
        </w:rPr>
        <w:t>77</w:t>
      </w:r>
      <w:r>
        <w:rPr>
          <w:sz w:val="32"/>
          <w:szCs w:val="32"/>
        </w:rPr>
        <w:t>條、第</w:t>
      </w:r>
      <w:r>
        <w:rPr>
          <w:sz w:val="32"/>
          <w:szCs w:val="32"/>
        </w:rPr>
        <w:t>78</w:t>
      </w:r>
      <w:r>
        <w:rPr>
          <w:sz w:val="32"/>
          <w:szCs w:val="32"/>
        </w:rPr>
        <w:t>條，以及行政程序法第</w:t>
      </w:r>
      <w:r>
        <w:rPr>
          <w:sz w:val="32"/>
          <w:szCs w:val="32"/>
        </w:rPr>
        <w:t>67</w:t>
      </w:r>
      <w:r>
        <w:rPr>
          <w:sz w:val="32"/>
          <w:szCs w:val="32"/>
        </w:rPr>
        <w:t>條至第</w:t>
      </w:r>
      <w:r>
        <w:rPr>
          <w:sz w:val="32"/>
          <w:szCs w:val="32"/>
        </w:rPr>
        <w:t>91</w:t>
      </w:r>
      <w:r>
        <w:rPr>
          <w:sz w:val="32"/>
          <w:szCs w:val="32"/>
        </w:rPr>
        <w:t>條規定，對公務人員提起申訴、再申訴及復審之法定期間，以及行政機關文書之送達方式，已有明文。本會於審理保障事件個案時，迭因機關無法提出申訴復函或行政處分之送達證明資料，或於收受公務人員之申訴書、復審書時，未蓋機關收文戳章或附記日期，致無從判斷該公務人員提起救濟是否已逾法定期間。仍請依本會上開</w:t>
      </w:r>
      <w:r>
        <w:rPr>
          <w:sz w:val="32"/>
          <w:szCs w:val="32"/>
        </w:rPr>
        <w:t>101</w:t>
      </w:r>
      <w:r>
        <w:rPr>
          <w:sz w:val="32"/>
          <w:szCs w:val="32"/>
        </w:rPr>
        <w:t>年</w:t>
      </w:r>
      <w:r>
        <w:rPr>
          <w:sz w:val="32"/>
          <w:szCs w:val="32"/>
        </w:rPr>
        <w:t>6</w:t>
      </w:r>
      <w:r>
        <w:rPr>
          <w:sz w:val="32"/>
          <w:szCs w:val="32"/>
        </w:rPr>
        <w:t>月</w:t>
      </w:r>
      <w:r>
        <w:rPr>
          <w:sz w:val="32"/>
          <w:szCs w:val="32"/>
        </w:rPr>
        <w:t>8</w:t>
      </w:r>
      <w:r>
        <w:rPr>
          <w:sz w:val="32"/>
          <w:szCs w:val="32"/>
        </w:rPr>
        <w:t>日函督促所</w:t>
      </w:r>
      <w:r>
        <w:rPr>
          <w:sz w:val="32"/>
          <w:szCs w:val="32"/>
        </w:rPr>
        <w:t>屬</w:t>
      </w:r>
      <w:r>
        <w:rPr>
          <w:sz w:val="32"/>
          <w:szCs w:val="32"/>
        </w:rPr>
        <w:t>人事人員注意改進。</w:t>
      </w:r>
    </w:p>
    <w:p>
      <w:pPr>
        <w:pStyle w:val="32"/>
        <w:kinsoku w:val="true"/>
        <w:spacing w:before="80" w:after="0"/>
        <w:ind w:left="640" w:hanging="640"/>
        <w:rPr>
          <w:sz w:val="32"/>
          <w:szCs w:val="32"/>
        </w:rPr>
      </w:pPr>
      <w:r>
        <w:rPr>
          <w:sz w:val="32"/>
          <w:szCs w:val="32"/>
        </w:rPr>
        <w:t>五、服務機關辦</w:t>
      </w:r>
      <w:r>
        <w:rPr>
          <w:sz w:val="32"/>
          <w:szCs w:val="32"/>
        </w:rPr>
        <w:t>理</w:t>
      </w:r>
      <w:r>
        <w:rPr>
          <w:sz w:val="32"/>
          <w:szCs w:val="32"/>
        </w:rPr>
        <w:t>申訴事件，應於收受申訴書之次日起</w:t>
      </w:r>
      <w:r>
        <w:rPr>
          <w:sz w:val="32"/>
          <w:szCs w:val="32"/>
        </w:rPr>
        <w:t>30</w:t>
      </w:r>
      <w:r>
        <w:rPr>
          <w:sz w:val="32"/>
          <w:szCs w:val="32"/>
        </w:rPr>
        <w:t>日內為申訴函復，必要時得延長</w:t>
      </w:r>
      <w:r>
        <w:rPr>
          <w:sz w:val="32"/>
          <w:szCs w:val="32"/>
        </w:rPr>
        <w:t>20</w:t>
      </w:r>
      <w:r>
        <w:rPr>
          <w:sz w:val="32"/>
          <w:szCs w:val="32"/>
        </w:rPr>
        <w:t>日，並通知申訴人；逾期未為函復，申訴人得逕提再申訴，為保障法第</w:t>
      </w:r>
      <w:r>
        <w:rPr>
          <w:sz w:val="32"/>
          <w:szCs w:val="32"/>
        </w:rPr>
        <w:t>81</w:t>
      </w:r>
      <w:r>
        <w:rPr>
          <w:sz w:val="32"/>
          <w:szCs w:val="32"/>
        </w:rPr>
        <w:t>條第</w:t>
      </w:r>
      <w:r>
        <w:rPr>
          <w:sz w:val="32"/>
          <w:szCs w:val="32"/>
        </w:rPr>
        <w:t>1</w:t>
      </w:r>
      <w:r>
        <w:rPr>
          <w:sz w:val="32"/>
          <w:szCs w:val="32"/>
        </w:rPr>
        <w:t>項所明定。查部分服務機關偶有遲誤</w:t>
      </w:r>
      <w:r>
        <w:rPr>
          <w:sz w:val="32"/>
          <w:szCs w:val="32"/>
        </w:rPr>
        <w:t>30</w:t>
      </w:r>
      <w:r>
        <w:rPr>
          <w:sz w:val="32"/>
          <w:szCs w:val="32"/>
        </w:rPr>
        <w:t>日法定期間未為函復，亦未通知延長期間之情形，造成本會及當事人在</w:t>
      </w:r>
      <w:r>
        <w:rPr>
          <w:sz w:val="32"/>
          <w:szCs w:val="32"/>
        </w:rPr>
        <w:t>認定</w:t>
      </w:r>
      <w:r>
        <w:rPr>
          <w:sz w:val="32"/>
          <w:szCs w:val="32"/>
        </w:rPr>
        <w:t>提起再申訴救濟期間上發</w:t>
      </w:r>
      <w:r>
        <w:rPr>
          <w:sz w:val="32"/>
          <w:szCs w:val="32"/>
        </w:rPr>
        <w:t>生</w:t>
      </w:r>
      <w:r>
        <w:rPr>
          <w:sz w:val="32"/>
          <w:szCs w:val="32"/>
        </w:rPr>
        <w:t>困擾，且影響再申訴人攻擊防禦方法之提出，請各機關確實遵期為申訴函復。</w:t>
      </w:r>
    </w:p>
    <w:p>
      <w:pPr>
        <w:pStyle w:val="32"/>
        <w:kinsoku w:val="true"/>
        <w:spacing w:before="80" w:after="0"/>
        <w:ind w:left="640" w:hanging="640"/>
        <w:rPr>
          <w:sz w:val="32"/>
          <w:szCs w:val="32"/>
        </w:rPr>
      </w:pPr>
      <w:r>
        <w:rPr>
          <w:sz w:val="32"/>
          <w:szCs w:val="32"/>
        </w:rPr>
        <w:t>六、服務機關對申訴事件所為之函復，應於期限內針對申訴書或再申訴書所述內容，作詳細、具體之答復，解答公務人員疑惑，俾減少訟源；或對於本會查詢之再申訴事件，應將事實、理由及處理意見，並附有關資料回復本會，為保障法第</w:t>
      </w:r>
      <w:r>
        <w:rPr>
          <w:sz w:val="32"/>
          <w:szCs w:val="32"/>
        </w:rPr>
        <w:t>81</w:t>
      </w:r>
      <w:r>
        <w:rPr>
          <w:sz w:val="32"/>
          <w:szCs w:val="32"/>
        </w:rPr>
        <w:t>條第</w:t>
      </w:r>
      <w:r>
        <w:rPr>
          <w:sz w:val="32"/>
          <w:szCs w:val="32"/>
        </w:rPr>
        <w:t>1</w:t>
      </w:r>
      <w:r>
        <w:rPr>
          <w:sz w:val="32"/>
          <w:szCs w:val="32"/>
        </w:rPr>
        <w:t>項及第</w:t>
      </w:r>
      <w:r>
        <w:rPr>
          <w:sz w:val="32"/>
          <w:szCs w:val="32"/>
        </w:rPr>
        <w:t>82</w:t>
      </w:r>
      <w:r>
        <w:rPr>
          <w:sz w:val="32"/>
          <w:szCs w:val="32"/>
        </w:rPr>
        <w:t>條第</w:t>
      </w:r>
      <w:r>
        <w:rPr>
          <w:sz w:val="32"/>
          <w:szCs w:val="32"/>
        </w:rPr>
        <w:t>1</w:t>
      </w:r>
      <w:r>
        <w:rPr>
          <w:sz w:val="32"/>
          <w:szCs w:val="32"/>
        </w:rPr>
        <w:t>項所明定。惟仍有部分機關未詳備理由，僅以簡單文字為申訴函復，除未能保障申訴人知的權利外，亦無法使其信服，而續行提起再申訴。且於再申訴程序，機關如未將事實、理由、法律依據及證據資料等詳復本會，亦徒增審理及查證作業之困擾與時程。為使本會充分瞭解案情，作客觀、公正之審理，請各機關依上開規定配合辦理。</w:t>
      </w:r>
    </w:p>
    <w:p>
      <w:pPr>
        <w:pStyle w:val="32"/>
        <w:kinsoku w:val="true"/>
        <w:spacing w:before="80" w:after="0"/>
        <w:ind w:left="640" w:hanging="640"/>
        <w:rPr>
          <w:sz w:val="32"/>
          <w:szCs w:val="32"/>
        </w:rPr>
      </w:pPr>
      <w:r>
        <w:rPr>
          <w:sz w:val="32"/>
          <w:szCs w:val="32"/>
        </w:rPr>
        <w:t>七、</w:t>
      </w:r>
      <w:r>
        <w:rPr>
          <w:sz w:val="32"/>
          <w:szCs w:val="32"/>
        </w:rPr>
        <w:t>103</w:t>
      </w:r>
      <w:r>
        <w:rPr>
          <w:sz w:val="32"/>
          <w:szCs w:val="32"/>
        </w:rPr>
        <w:t>年迄今新增納入復審標的之範圍者，計有</w:t>
      </w:r>
      <w:r>
        <w:rPr>
          <w:sz w:val="32"/>
          <w:szCs w:val="32"/>
        </w:rPr>
        <w:t>4</w:t>
      </w:r>
      <w:r>
        <w:rPr>
          <w:sz w:val="32"/>
          <w:szCs w:val="32"/>
        </w:rPr>
        <w:t>類事件，請各機關適時宣導並配合辦理，分別為：（一）原屬訴願事件之警察人員報考警正班、警佐班教育訓練遭否准之遴選資格事件。（二）原屬再申訴事件之不同職組職系調任事件（例如：地政職組地政職系調任測量製圖職組測量製圖職系）。（三）公務人員因於職場有性騷擾行為，經服務機關命應自費進行心理諮商輔導之性別平等輔導事件。</w:t>
      </w:r>
      <w:r>
        <w:rPr>
          <w:sz w:val="32"/>
          <w:szCs w:val="32"/>
        </w:rPr>
        <w:t>(</w:t>
      </w:r>
      <w:r>
        <w:rPr>
          <w:sz w:val="32"/>
          <w:szCs w:val="32"/>
        </w:rPr>
        <w:t>四</w:t>
      </w:r>
      <w:r>
        <w:rPr>
          <w:sz w:val="32"/>
          <w:szCs w:val="32"/>
        </w:rPr>
        <w:t>)</w:t>
      </w:r>
      <w:r>
        <w:rPr>
          <w:sz w:val="32"/>
          <w:szCs w:val="32"/>
        </w:rPr>
        <w:t>原屬訴願事件之考試錄取人員，於占缺訓練期滿成績及格後，遭分發機關拒絕派任為正式公務人員之拒絕派任事件。</w:t>
      </w:r>
    </w:p>
    <w:p>
      <w:pPr>
        <w:pStyle w:val="32"/>
        <w:kinsoku w:val="true"/>
        <w:spacing w:before="398" w:after="0"/>
        <w:ind w:left="641" w:hanging="641"/>
        <w:rPr>
          <w:b/>
          <w:b/>
          <w:bCs/>
          <w:sz w:val="32"/>
          <w:szCs w:val="32"/>
        </w:rPr>
      </w:pPr>
      <w:r>
        <w:rPr>
          <w:b/>
          <w:bCs/>
          <w:sz w:val="32"/>
          <w:szCs w:val="32"/>
        </w:rPr>
        <w:t>參、建請各機關（構）秉持服務精神，協</w:t>
      </w:r>
      <w:r>
        <w:rPr>
          <w:b/>
          <w:bCs/>
          <w:sz w:val="32"/>
          <w:szCs w:val="32"/>
        </w:rPr>
        <w:t>助</w:t>
      </w:r>
      <w:r>
        <w:rPr>
          <w:b/>
          <w:bCs/>
          <w:sz w:val="32"/>
          <w:szCs w:val="32"/>
        </w:rPr>
        <w:t>所屬同仁瞭解公務人員保</w:t>
      </w:r>
      <w:r>
        <w:rPr>
          <w:b/>
          <w:bCs/>
          <w:sz w:val="32"/>
          <w:szCs w:val="32"/>
        </w:rPr>
        <w:t>障制度</w:t>
      </w:r>
      <w:r>
        <w:rPr>
          <w:b/>
          <w:bCs/>
          <w:sz w:val="32"/>
          <w:szCs w:val="32"/>
        </w:rPr>
        <w:t>，並</w:t>
      </w:r>
      <w:r>
        <w:rPr>
          <w:rFonts w:cs="標楷體"/>
          <w:b/>
          <w:kern w:val="0"/>
          <w:sz w:val="32"/>
          <w:szCs w:val="32"/>
          <w:lang w:val="zh-TW"/>
        </w:rPr>
        <w:t>儘可能給予當事人陳述意見之機會</w:t>
      </w:r>
    </w:p>
    <w:p>
      <w:pPr>
        <w:pStyle w:val="32"/>
        <w:kinsoku w:val="true"/>
        <w:spacing w:before="80" w:after="0"/>
        <w:ind w:left="640" w:hanging="640"/>
        <w:rPr>
          <w:sz w:val="32"/>
          <w:szCs w:val="32"/>
        </w:rPr>
      </w:pPr>
      <w:r>
        <w:rPr>
          <w:sz w:val="32"/>
          <w:szCs w:val="32"/>
        </w:rPr>
        <w:t>一、本會就人事法規或保障法規之</w:t>
      </w:r>
      <w:r>
        <w:rPr>
          <w:sz w:val="32"/>
          <w:szCs w:val="32"/>
        </w:rPr>
        <w:t>適用</w:t>
      </w:r>
      <w:r>
        <w:rPr>
          <w:sz w:val="32"/>
          <w:szCs w:val="32"/>
        </w:rPr>
        <w:t>疑義，每年均辦理保障業務宣導與輔導活動，以協助各人事機關（構）正確辦理保障業務。建請各機關</w:t>
      </w:r>
      <w:r>
        <w:rPr>
          <w:bCs/>
          <w:sz w:val="32"/>
          <w:szCs w:val="32"/>
        </w:rPr>
        <w:t>（構）</w:t>
      </w:r>
      <w:r>
        <w:rPr>
          <w:sz w:val="32"/>
          <w:szCs w:val="32"/>
        </w:rPr>
        <w:t>秉持服務精神，積極協助所屬同仁充分瞭解公務人員保障制度，以維護其自身權益，並請確實依法行政，俾減少訟源。</w:t>
      </w:r>
    </w:p>
    <w:p>
      <w:pPr>
        <w:pStyle w:val="32"/>
        <w:kinsoku w:val="true"/>
        <w:spacing w:before="80" w:after="0"/>
        <w:ind w:left="640" w:hanging="640"/>
        <w:rPr>
          <w:sz w:val="32"/>
          <w:szCs w:val="32"/>
        </w:rPr>
      </w:pPr>
      <w:r>
        <w:rPr>
          <w:sz w:val="32"/>
          <w:szCs w:val="32"/>
        </w:rPr>
        <w:t>二、</w:t>
      </w:r>
      <w:r>
        <w:rPr>
          <w:rFonts w:cs="標楷體"/>
          <w:kern w:val="0"/>
          <w:sz w:val="32"/>
          <w:szCs w:val="32"/>
          <w:lang w:val="zh-TW"/>
        </w:rPr>
        <w:t>本會審理保障事件，發現部分機關於行政調查階段或於召開考績委員會時，因未給予當事人陳述意見之機會，而有事證未明、認定事實錯誤或違反行政程序法規定之情事；且常見當事人主張機關於作成行政決定前，未給予陳述意見或申辯機會，侵害其權益，致增加訟源，甚至可能成為行政法院或本會撤銷原行政決定之事由。基於正當法律程序之要求，各機關踐行陳述意見程序，除可保障公務人員之程序權益外，且有助於釐清事實上及法律上之爭議，俾作成合法妥適之行政決定，減少爭訟之發生。本會業以</w:t>
      </w:r>
      <w:r>
        <w:rPr>
          <w:rFonts w:cs="標楷體"/>
          <w:kern w:val="0"/>
          <w:sz w:val="32"/>
          <w:szCs w:val="32"/>
          <w:lang w:val="zh-TW"/>
        </w:rPr>
        <w:t>104</w:t>
      </w:r>
      <w:r>
        <w:rPr>
          <w:rFonts w:cs="標楷體"/>
          <w:kern w:val="0"/>
          <w:sz w:val="32"/>
          <w:szCs w:val="32"/>
          <w:lang w:val="zh-TW"/>
        </w:rPr>
        <w:t>年</w:t>
      </w:r>
      <w:r>
        <w:rPr>
          <w:rFonts w:cs="標楷體"/>
          <w:kern w:val="0"/>
          <w:sz w:val="32"/>
          <w:szCs w:val="32"/>
          <w:lang w:val="zh-TW"/>
        </w:rPr>
        <w:t>7</w:t>
      </w:r>
      <w:r>
        <w:rPr>
          <w:rFonts w:cs="標楷體"/>
          <w:kern w:val="0"/>
          <w:sz w:val="32"/>
          <w:szCs w:val="32"/>
          <w:lang w:val="zh-TW"/>
        </w:rPr>
        <w:t>月</w:t>
      </w:r>
      <w:r>
        <w:rPr>
          <w:rFonts w:cs="標楷體"/>
          <w:kern w:val="0"/>
          <w:sz w:val="32"/>
          <w:szCs w:val="32"/>
          <w:lang w:val="zh-TW"/>
        </w:rPr>
        <w:t>20</w:t>
      </w:r>
      <w:r>
        <w:rPr>
          <w:rFonts w:cs="標楷體"/>
          <w:kern w:val="0"/>
          <w:sz w:val="32"/>
          <w:szCs w:val="32"/>
          <w:lang w:val="zh-TW"/>
        </w:rPr>
        <w:t>日公保字第</w:t>
      </w:r>
      <w:r>
        <w:rPr>
          <w:rFonts w:cs="標楷體"/>
          <w:kern w:val="0"/>
          <w:sz w:val="32"/>
          <w:szCs w:val="32"/>
          <w:lang w:val="zh-TW"/>
        </w:rPr>
        <w:t>1041060308</w:t>
      </w:r>
      <w:r>
        <w:rPr>
          <w:rFonts w:cs="標楷體"/>
          <w:kern w:val="0"/>
          <w:sz w:val="32"/>
          <w:szCs w:val="32"/>
          <w:lang w:val="zh-TW"/>
        </w:rPr>
        <w:t>號函，建請各機關於作成人事行政處分、管理措施（特別是懲處案件）或有關工作條件之處置前，依相關法規之規定，儘量給予當事人陳述意見之機會，並參酌最高行政法院</w:t>
      </w:r>
      <w:r>
        <w:rPr>
          <w:rFonts w:cs="標楷體"/>
          <w:kern w:val="0"/>
          <w:sz w:val="32"/>
          <w:szCs w:val="32"/>
          <w:lang w:val="zh-TW"/>
        </w:rPr>
        <w:t>90</w:t>
      </w:r>
      <w:r>
        <w:rPr>
          <w:rFonts w:cs="標楷體"/>
          <w:kern w:val="0"/>
          <w:sz w:val="32"/>
          <w:szCs w:val="32"/>
          <w:lang w:val="zh-TW"/>
        </w:rPr>
        <w:t>年</w:t>
      </w:r>
      <w:r>
        <w:rPr>
          <w:rFonts w:cs="標楷體"/>
          <w:kern w:val="0"/>
          <w:sz w:val="32"/>
          <w:szCs w:val="32"/>
          <w:lang w:val="zh-TW"/>
        </w:rPr>
        <w:t>8</w:t>
      </w:r>
      <w:r>
        <w:rPr>
          <w:rFonts w:cs="標楷體"/>
          <w:kern w:val="0"/>
          <w:sz w:val="32"/>
          <w:szCs w:val="32"/>
          <w:lang w:val="zh-TW"/>
        </w:rPr>
        <w:t>月</w:t>
      </w:r>
      <w:r>
        <w:rPr>
          <w:rFonts w:cs="標楷體"/>
          <w:kern w:val="0"/>
          <w:sz w:val="32"/>
          <w:szCs w:val="32"/>
          <w:lang w:val="zh-TW"/>
        </w:rPr>
        <w:t>3</w:t>
      </w:r>
      <w:r>
        <w:rPr>
          <w:rFonts w:cs="標楷體"/>
          <w:kern w:val="0"/>
          <w:sz w:val="32"/>
          <w:szCs w:val="32"/>
          <w:lang w:val="zh-TW"/>
        </w:rPr>
        <w:t>日</w:t>
      </w:r>
      <w:r>
        <w:rPr>
          <w:rFonts w:cs="標楷體"/>
          <w:kern w:val="0"/>
          <w:sz w:val="32"/>
          <w:szCs w:val="32"/>
          <w:lang w:val="zh-TW"/>
        </w:rPr>
        <w:t>90</w:t>
      </w:r>
      <w:r>
        <w:rPr>
          <w:rFonts w:cs="標楷體"/>
          <w:kern w:val="0"/>
          <w:sz w:val="32"/>
          <w:szCs w:val="32"/>
          <w:lang w:val="zh-TW"/>
        </w:rPr>
        <w:t>年度判字第</w:t>
      </w:r>
      <w:r>
        <w:rPr>
          <w:rFonts w:cs="標楷體"/>
          <w:kern w:val="0"/>
          <w:sz w:val="32"/>
          <w:szCs w:val="32"/>
          <w:lang w:val="zh-TW"/>
        </w:rPr>
        <w:t>1365</w:t>
      </w:r>
      <w:r>
        <w:rPr>
          <w:rFonts w:cs="標楷體"/>
          <w:kern w:val="0"/>
          <w:sz w:val="32"/>
          <w:szCs w:val="32"/>
          <w:lang w:val="zh-TW"/>
        </w:rPr>
        <w:t>號判決意旨及本會歷次函送中央及地方各主管機關之審理保障事件常見撤銷原因分析參考資料，應預留適當之準備期間。</w:t>
      </w:r>
    </w:p>
    <w:p>
      <w:pPr>
        <w:pStyle w:val="32"/>
        <w:kinsoku w:val="true"/>
        <w:spacing w:before="80" w:after="0"/>
        <w:ind w:left="640" w:hanging="640"/>
        <w:rPr>
          <w:sz w:val="32"/>
          <w:szCs w:val="32"/>
        </w:rPr>
      </w:pPr>
      <w:r>
        <w:rPr>
          <w:sz w:val="32"/>
          <w:szCs w:val="32"/>
        </w:rPr>
        <w:t>三、本會審理保障事件，就認定事實或適用法律有疑義時，均儘量給予公務人員及機關</w:t>
      </w:r>
      <w:r>
        <w:rPr>
          <w:bCs/>
          <w:sz w:val="32"/>
          <w:szCs w:val="32"/>
        </w:rPr>
        <w:t>（構）</w:t>
      </w:r>
      <w:r>
        <w:rPr>
          <w:sz w:val="32"/>
          <w:szCs w:val="32"/>
        </w:rPr>
        <w:t>陳述意見之機會，以擴大當事人程序參與。另為對當事人、有關人員、關係機關（構）提供高品質之服務，節省往返之時間及勞費，提升審議效率，本會已開辦保障事件視訊陳述意見服務措施，並於本會全球資訊網建置「保障事件視訊陳述意見使用處所查詢系統」（</w:t>
      </w:r>
      <w:r>
        <w:rPr>
          <w:sz w:val="32"/>
          <w:szCs w:val="32"/>
        </w:rPr>
        <w:t>http://www.csptc.gov.tw/googlemap/</w:t>
      </w:r>
      <w:r>
        <w:rPr>
          <w:sz w:val="32"/>
          <w:szCs w:val="32"/>
        </w:rPr>
        <w:t>），請多加利用並廣為宣導周</w:t>
      </w:r>
      <w:r>
        <w:rPr>
          <w:sz w:val="32"/>
          <w:szCs w:val="32"/>
        </w:rPr>
        <w:t>知</w:t>
      </w:r>
      <w:r>
        <w:rPr>
          <w:sz w:val="32"/>
          <w:szCs w:val="32"/>
        </w:rPr>
        <w:t>。</w:t>
      </w:r>
    </w:p>
    <w:p>
      <w:pPr>
        <w:pStyle w:val="32"/>
        <w:kinsoku w:val="true"/>
        <w:spacing w:before="80" w:after="0"/>
        <w:ind w:left="640" w:hanging="640"/>
        <w:rPr>
          <w:sz w:val="32"/>
          <w:szCs w:val="32"/>
        </w:rPr>
      </w:pPr>
      <w:r>
        <w:rPr>
          <w:sz w:val="32"/>
          <w:szCs w:val="32"/>
        </w:rPr>
      </w:r>
    </w:p>
    <w:sectPr>
      <w:footerReference w:type="default" r:id="rId2"/>
      <w:type w:val="nextPage"/>
      <w:pgSz w:w="11906" w:h="16838"/>
      <w:pgMar w:left="1418" w:right="1418" w:header="0" w:top="1134" w:footer="992" w:bottom="1134" w:gutter="0"/>
      <w:pgNumType w:fmt="decimal"/>
      <w:formProt w:val="false"/>
      <w:textDirection w:val="lrTb"/>
      <w:docGrid w:type="lines" w:linePitch="398" w:charSpace="429496668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標楷體">
    <w:charset w:val="88"/>
    <w:family w:val="script"/>
    <w:pitch w:val="default"/>
  </w:font>
  <w:font w:name="s?">
    <w:altName w:val="Times New Roman"/>
    <w:charset w:val="00"/>
    <w:family w:val="roman"/>
    <w:pitch w:val="default"/>
  </w:font>
  <w:font w:name="細明體">
    <w:altName w:val="MingLiU"/>
    <w:charset w:val="88"/>
    <w:family w:val="modern"/>
    <w:pitch w:val="default"/>
  </w:font>
  <w:font w:name="Courier New">
    <w:charset w:val="00"/>
    <w:family w:val="modern"/>
    <w:pitch w:val="default"/>
  </w:font>
  <w:font w:name="Cambria">
    <w:charset w:val="00"/>
    <w:family w:val="roman"/>
    <w:pitch w:val="variable"/>
  </w:font>
  <w:font w:name="Liberation Sans">
    <w:altName w:val="Arial"/>
    <w:charset w:val="88"/>
    <w:family w:val="swiss"/>
    <w:pitch w:val="variable"/>
  </w:font>
  <w:font w:name="Arial Unicode MS">
    <w:charset w:val="8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ind w:right="360" w:hanging="0"/>
      <w:rPr/>
    </w:pPr>
    <w:r>
      <w:rPr/>
    </w:r>
    <w:r>
      <mc:AlternateContent>
        <mc:Choice Requires="wps">
          <w:drawing>
            <wp:anchor behindDoc="0" distT="0" distB="0" distL="0" distR="0" simplePos="0" locked="0" layoutInCell="1" allowOverlap="1" relativeHeight="15">
              <wp:simplePos x="0" y="0"/>
              <wp:positionH relativeFrom="margin">
                <wp:align>center</wp:align>
              </wp:positionH>
              <wp:positionV relativeFrom="paragraph">
                <wp:posOffset>635</wp:posOffset>
              </wp:positionV>
              <wp:extent cx="127635" cy="140970"/>
              <wp:effectExtent l="0" t="0" r="0" b="0"/>
              <wp:wrapSquare wrapText="largest"/>
              <wp:docPr id="1" name="外框1"/>
              <a:graphic xmlns:a="http://schemas.openxmlformats.org/drawingml/2006/main">
                <a:graphicData uri="http://schemas.microsoft.com/office/word/2010/wordprocessingShape">
                  <wps:wsp>
                    <wps:cNvSpPr txBox="1"/>
                    <wps:spPr>
                      <a:xfrm>
                        <a:off x="0" y="0"/>
                        <a:ext cx="127635" cy="140970"/>
                      </a:xfrm>
                      <a:prstGeom prst="rect"/>
                      <a:solidFill>
                        <a:srgbClr val="FFFFFF">
                          <a:alpha val="0"/>
                        </a:srgbClr>
                      </a:solidFill>
                    </wps:spPr>
                    <wps:txbx>
                      <w:txbxContent>
                        <w:p>
                          <w:pPr>
                            <w:pStyle w:val="Style32"/>
                            <w:rPr>
                              <w:rStyle w:val="Style18"/>
                            </w:rPr>
                          </w:pPr>
                          <w:r>
                            <w:rPr>
                              <w:rStyle w:val="Style18"/>
                            </w:rPr>
                            <w:fldChar w:fldCharType="begin"/>
                          </w:r>
                          <w:r>
                            <w:rPr>
                              <w:rStyle w:val="Style18"/>
                            </w:rPr>
                            <w:instrText> PAGE </w:instrText>
                          </w:r>
                          <w:r>
                            <w:rPr>
                              <w:rStyle w:val="Style18"/>
                            </w:rPr>
                            <w:fldChar w:fldCharType="separate"/>
                          </w:r>
                          <w:r>
                            <w:rPr>
                              <w:rStyle w:val="Style18"/>
                            </w:rPr>
                            <w:t>14</w:t>
                          </w:r>
                          <w:r>
                            <w:rPr>
                              <w:rStyle w:val="Style18"/>
                            </w:rPr>
                            <w:fldChar w:fldCharType="end"/>
                          </w:r>
                        </w:p>
                      </w:txbxContent>
                    </wps:txbx>
                    <wps:bodyPr anchor="t" lIns="0" tIns="0" rIns="0" bIns="0">
                      <a:noAutofit/>
                    </wps:bodyPr>
                  </wps:wsp>
                </a:graphicData>
              </a:graphic>
            </wp:anchor>
          </w:drawing>
        </mc:Choice>
        <mc:Fallback>
          <w:pict>
            <v:rect fillcolor="#FFFFFF" style="position:absolute;rotation:0;width:10.05pt;height:11.1pt;mso-wrap-distance-left:0pt;mso-wrap-distance-right:0pt;mso-wrap-distance-top:0pt;mso-wrap-distance-bottom:0pt;margin-top:0.05pt;mso-position-vertical-relative:text;margin-left:221.75pt;mso-position-horizontal:center;mso-position-horizontal-relative:margin">
              <v:fill opacity="0f"/>
              <v:textbox inset="0in,0in,0in,0in">
                <w:txbxContent>
                  <w:p>
                    <w:pPr>
                      <w:pStyle w:val="Style32"/>
                      <w:rPr>
                        <w:rStyle w:val="Style18"/>
                      </w:rPr>
                    </w:pPr>
                    <w:r>
                      <w:rPr>
                        <w:rStyle w:val="Style18"/>
                      </w:rPr>
                      <w:fldChar w:fldCharType="begin"/>
                    </w:r>
                    <w:r>
                      <w:rPr>
                        <w:rStyle w:val="Style18"/>
                      </w:rPr>
                      <w:instrText> PAGE </w:instrText>
                    </w:r>
                    <w:r>
                      <w:rPr>
                        <w:rStyle w:val="Style18"/>
                      </w:rPr>
                      <w:fldChar w:fldCharType="separate"/>
                    </w:r>
                    <w:r>
                      <w:rPr>
                        <w:rStyle w:val="Style18"/>
                      </w:rPr>
                      <w:t>14</w:t>
                    </w:r>
                    <w:r>
                      <w:rPr>
                        <w:rStyle w:val="Style18"/>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taiwaneseCountingThousand"/>
      <w:lvlText w:val="（%1）"/>
      <w:lvlJc w:val="left"/>
      <w:pPr>
        <w:ind w:left="1363" w:hanging="1080"/>
      </w:pPr>
      <w:rPr>
        <w:sz w:val="32"/>
        <w:b/>
        <w:szCs w:val="32"/>
        <w:rFonts w:ascii="標楷體" w:hAnsi="標楷體" w:cs="標楷體"/>
        <w:color w:val="000000"/>
      </w:rPr>
    </w:lvl>
  </w:abstractNum>
  <w:abstractNum w:abstractNumId="2">
    <w:lvl w:ilvl="0">
      <w:start w:val="1"/>
      <w:numFmt w:val="decimal"/>
      <w:lvlText w:val="%1."/>
      <w:lvlJc w:val="left"/>
      <w:pPr>
        <w:ind w:left="1008" w:hanging="360"/>
      </w:pPr>
      <w:rPr>
        <w:sz w:val="32"/>
        <w:szCs w:val="32"/>
        <w:rFonts w:ascii="標楷體" w:hAnsi="標楷體" w:cs="標楷體"/>
      </w:rPr>
    </w:lvl>
  </w:abstractNum>
  <w:abstractNum w:abstractNumId="3">
    <w:lvl w:ilvl="0">
      <w:start w:val="1"/>
      <w:numFmt w:val="decimal"/>
      <w:lvlText w:val="%1."/>
      <w:lvlJc w:val="left"/>
      <w:pPr>
        <w:ind w:left="900" w:hanging="360"/>
      </w:pPr>
      <w:rPr>
        <w:sz w:val="32"/>
        <w:szCs w:val="32"/>
        <w:rFonts w:ascii="標楷體" w:hAnsi="標楷體" w:cs="標楷體"/>
      </w:rPr>
    </w:lvl>
  </w:abstractNum>
  <w:abstractNum w:abstractNumId="4">
    <w:lvl w:ilvl="0">
      <w:start w:val="1"/>
      <w:numFmt w:val="taiwaneseCountingThousand"/>
      <w:lvlText w:val="（%1）"/>
      <w:lvlJc w:val="left"/>
      <w:pPr>
        <w:ind w:left="1221" w:hanging="1080"/>
      </w:pPr>
      <w:rPr>
        <w:sz w:val="32"/>
        <w:b/>
        <w:szCs w:val="32"/>
        <w:rFonts w:ascii="標楷體" w:hAnsi="標楷體" w:cs="標楷體"/>
        <w:color w:val="000000"/>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0"/>
  <w:mirrorMargins/>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Lucida Sans"/>
        <w:sz w:val="24"/>
        <w:szCs w:val="24"/>
        <w:lang w:val="en-US" w:eastAsia="zh-TW" w:bidi="hi-IN"/>
      </w:rPr>
    </w:rPrDefault>
    <w:pPrDefault>
      <w:pPr/>
    </w:pPrDefault>
  </w:docDefaults>
  <w:style w:type="paragraph" w:styleId="Normal">
    <w:name w:val="Normal"/>
    <w:qFormat/>
    <w:pPr>
      <w:widowControl w:val="false"/>
      <w:bidi w:val="0"/>
    </w:pPr>
    <w:rPr>
      <w:rFonts w:ascii="Times New Roman" w:hAnsi="Times New Roman" w:eastAsia="標楷體" w:cs="Times New Roman"/>
      <w:color w:val="auto"/>
      <w:kern w:val="2"/>
      <w:sz w:val="36"/>
      <w:szCs w:val="24"/>
      <w:lang w:val="en-US" w:eastAsia="zh-TW" w:bidi="ar-SA"/>
    </w:rPr>
  </w:style>
  <w:style w:type="character" w:styleId="WW8Num1z0">
    <w:name w:val="WW8Num1z0"/>
    <w:qFormat/>
    <w:rPr>
      <w:color w:val="2E74B5"/>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cs="Times New Roman"/>
    </w:rPr>
  </w:style>
  <w:style w:type="character" w:styleId="WW8Num2z1">
    <w:name w:val="WW8Num2z1"/>
    <w:qFormat/>
    <w:rPr>
      <w:rFonts w:cs="Times New Roman"/>
    </w:rPr>
  </w:style>
  <w:style w:type="character" w:styleId="WW8Num3z0">
    <w:name w:val="WW8Num3z0"/>
    <w:qFormat/>
    <w:rPr>
      <w:rFonts w:ascii="標楷體" w:hAnsi="標楷體" w:cs="標楷體"/>
      <w:b/>
      <w:color w:val="000000"/>
      <w:sz w:val="32"/>
      <w:szCs w:val="32"/>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color w:val="2E74B5"/>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cs="Times New Roman"/>
    </w:rPr>
  </w:style>
  <w:style w:type="character" w:styleId="WW8Num5z1">
    <w:name w:val="WW8Num5z1"/>
    <w:qFormat/>
    <w:rPr>
      <w:rFonts w:cs="Times New Roman"/>
    </w:rPr>
  </w:style>
  <w:style w:type="character" w:styleId="WW8Num6z0">
    <w:name w:val="WW8Num6z0"/>
    <w:qFormat/>
    <w:rPr>
      <w:rFonts w:cs="Times New Roman"/>
      <w:sz w:val="36"/>
    </w:rPr>
  </w:style>
  <w:style w:type="character" w:styleId="WW8Num6z1">
    <w:name w:val="WW8Num6z1"/>
    <w:qFormat/>
    <w:rPr>
      <w:rFonts w:cs="Times New Roman"/>
    </w:rPr>
  </w:style>
  <w:style w:type="character" w:styleId="WW8Num7z0">
    <w:name w:val="WW8Num7z0"/>
    <w:qFormat/>
    <w:rPr>
      <w:rFonts w:ascii="標楷體" w:hAnsi="標楷體" w:eastAsia="標楷體" w:cs="Times New Roman"/>
      <w:color w:val="000000"/>
    </w:rPr>
  </w:style>
  <w:style w:type="character" w:styleId="WW8Num7z1">
    <w:name w:val="WW8Num7z1"/>
    <w:qFormat/>
    <w:rPr>
      <w:rFonts w:cs="Times New Roman"/>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cs="Times New Roman"/>
    </w:rPr>
  </w:style>
  <w:style w:type="character" w:styleId="WW8Num9z1">
    <w:name w:val="WW8Num9z1"/>
    <w:qFormat/>
    <w:rPr>
      <w:rFonts w:cs="Times New Roman"/>
    </w:rPr>
  </w:style>
  <w:style w:type="character" w:styleId="WW8Num10z0">
    <w:name w:val="WW8Num10z0"/>
    <w:qFormat/>
    <w:rPr>
      <w:rFonts w:cs="Times New Roman"/>
    </w:rPr>
  </w:style>
  <w:style w:type="character" w:styleId="WW8Num10z1">
    <w:name w:val="WW8Num10z1"/>
    <w:qFormat/>
    <w:rPr>
      <w:rFonts w:cs="Times New Roman"/>
    </w:rPr>
  </w:style>
  <w:style w:type="character" w:styleId="WW8Num11z0">
    <w:name w:val="WW8Num11z0"/>
    <w:qFormat/>
    <w:rPr>
      <w:rFonts w:cs="Times New Roman"/>
    </w:rPr>
  </w:style>
  <w:style w:type="character" w:styleId="WW8Num11z1">
    <w:name w:val="WW8Num11z1"/>
    <w:qFormat/>
    <w:rPr>
      <w:rFonts w:cs="Times New Roman"/>
    </w:rPr>
  </w:style>
  <w:style w:type="character" w:styleId="WW8Num12z0">
    <w:name w:val="WW8Num12z0"/>
    <w:qFormat/>
    <w:rPr>
      <w:rFonts w:cs="Times New Roman"/>
    </w:rPr>
  </w:style>
  <w:style w:type="character" w:styleId="WW8Num12z1">
    <w:name w:val="WW8Num12z1"/>
    <w:qFormat/>
    <w:rPr>
      <w:rFonts w:cs="Times New Roman"/>
    </w:rPr>
  </w:style>
  <w:style w:type="character" w:styleId="WW8Num13z0">
    <w:name w:val="WW8Num13z0"/>
    <w:qFormat/>
    <w:rPr>
      <w:rFonts w:cs="Times New Roman"/>
    </w:rPr>
  </w:style>
  <w:style w:type="character" w:styleId="WW8Num13z1">
    <w:name w:val="WW8Num13z1"/>
    <w:qFormat/>
    <w:rPr>
      <w:rFonts w:cs="Times New Roman"/>
    </w:rPr>
  </w:style>
  <w:style w:type="character" w:styleId="WW8Num14z0">
    <w:name w:val="WW8Num14z0"/>
    <w:qFormat/>
    <w:rPr>
      <w:color w:val="2E74B5"/>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cs="Times New Roman"/>
    </w:rPr>
  </w:style>
  <w:style w:type="character" w:styleId="WW8Num15z1">
    <w:name w:val="WW8Num15z1"/>
    <w:qFormat/>
    <w:rPr>
      <w:rFonts w:cs="Times New Roman"/>
    </w:rPr>
  </w:style>
  <w:style w:type="character" w:styleId="WW8Num16z0">
    <w:name w:val="WW8Num16z0"/>
    <w:qFormat/>
    <w:rPr>
      <w:color w:val="2E74B5"/>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cs="Times New Roman"/>
      <w:color w:val="000000"/>
      <w:lang w:val="en-US"/>
    </w:rPr>
  </w:style>
  <w:style w:type="character" w:styleId="WW8Num17z1">
    <w:name w:val="WW8Num17z1"/>
    <w:qFormat/>
    <w:rPr>
      <w:rFonts w:cs="標楷體"/>
    </w:rPr>
  </w:style>
  <w:style w:type="character" w:styleId="WW8Num17z2">
    <w:name w:val="WW8Num17z2"/>
    <w:qFormat/>
    <w:rPr>
      <w:rFonts w:cs="Times New Roman"/>
    </w:rPr>
  </w:style>
  <w:style w:type="character" w:styleId="WW8Num18z0">
    <w:name w:val="WW8Num18z0"/>
    <w:qFormat/>
    <w:rPr>
      <w:rFonts w:cs="Times New Roman"/>
    </w:rPr>
  </w:style>
  <w:style w:type="character" w:styleId="WW8Num18z1">
    <w:name w:val="WW8Num18z1"/>
    <w:qFormat/>
    <w:rPr>
      <w:rFonts w:cs="Times New Roman"/>
    </w:rPr>
  </w:style>
  <w:style w:type="character" w:styleId="WW8Num19z0">
    <w:name w:val="WW8Num19z0"/>
    <w:qFormat/>
    <w:rPr>
      <w:rFonts w:cs="Times New Roman"/>
    </w:rPr>
  </w:style>
  <w:style w:type="character" w:styleId="WW8Num19z1">
    <w:name w:val="WW8Num19z1"/>
    <w:qFormat/>
    <w:rPr>
      <w:rFonts w:cs="Times New Roman"/>
    </w:rPr>
  </w:style>
  <w:style w:type="character" w:styleId="WW8Num20z0">
    <w:name w:val="WW8Num20z0"/>
    <w:qFormat/>
    <w:rPr>
      <w:rFonts w:cs="Times New Roman"/>
    </w:rPr>
  </w:style>
  <w:style w:type="character" w:styleId="WW8Num20z1">
    <w:name w:val="WW8Num20z1"/>
    <w:qFormat/>
    <w:rPr>
      <w:rFonts w:cs="Times New Roman"/>
    </w:rPr>
  </w:style>
  <w:style w:type="character" w:styleId="WW8Num21z0">
    <w:name w:val="WW8Num21z0"/>
    <w:qFormat/>
    <w:rPr>
      <w:rFonts w:cs="Times New Roman"/>
    </w:rPr>
  </w:style>
  <w:style w:type="character" w:styleId="WW8Num21z1">
    <w:name w:val="WW8Num21z1"/>
    <w:qFormat/>
    <w:rPr>
      <w:rFonts w:cs="Times New Roman"/>
    </w:rPr>
  </w:style>
  <w:style w:type="character" w:styleId="WW8Num22z0">
    <w:name w:val="WW8Num22z0"/>
    <w:qFormat/>
    <w:rPr>
      <w:rFonts w:cs="Times New Roman"/>
    </w:rPr>
  </w:style>
  <w:style w:type="character" w:styleId="WW8Num22z1">
    <w:name w:val="WW8Num22z1"/>
    <w:qFormat/>
    <w:rPr>
      <w:rFonts w:cs="Times New Roman"/>
    </w:rPr>
  </w:style>
  <w:style w:type="character" w:styleId="WW8Num23z0">
    <w:name w:val="WW8Num23z0"/>
    <w:qFormat/>
    <w:rPr>
      <w:rFonts w:ascii="s?;Times New Roman" w:hAnsi="s?;Times New Roman" w:cs="Times New Roman"/>
    </w:rPr>
  </w:style>
  <w:style w:type="character" w:styleId="WW8Num23z1">
    <w:name w:val="WW8Num23z1"/>
    <w:qFormat/>
    <w:rPr>
      <w:rFonts w:cs="Times New Roman"/>
    </w:rPr>
  </w:style>
  <w:style w:type="character" w:styleId="WW8Num24z0">
    <w:name w:val="WW8Num24z0"/>
    <w:qFormat/>
    <w:rPr>
      <w:rFonts w:cs="Times New Roman"/>
      <w:color w:val="000000"/>
    </w:rPr>
  </w:style>
  <w:style w:type="character" w:styleId="WW8Num24z1">
    <w:name w:val="WW8Num24z1"/>
    <w:qFormat/>
    <w:rPr>
      <w:rFonts w:cs="Times New Roman"/>
    </w:rPr>
  </w:style>
  <w:style w:type="character" w:styleId="WW8Num25z0">
    <w:name w:val="WW8Num25z0"/>
    <w:qFormat/>
    <w:rPr>
      <w:rFonts w:cs="Times New Roman"/>
    </w:rPr>
  </w:style>
  <w:style w:type="character" w:styleId="WW8Num25z1">
    <w:name w:val="WW8Num25z1"/>
    <w:qFormat/>
    <w:rPr>
      <w:rFonts w:cs="Times New Roman"/>
    </w:rPr>
  </w:style>
  <w:style w:type="character" w:styleId="WW8Num26z0">
    <w:name w:val="WW8Num26z0"/>
    <w:qFormat/>
    <w:rPr>
      <w:rFonts w:cs="Times New Roman"/>
    </w:rPr>
  </w:style>
  <w:style w:type="character" w:styleId="WW8Num26z1">
    <w:name w:val="WW8Num26z1"/>
    <w:qFormat/>
    <w:rPr>
      <w:rFonts w:cs="Times New Roman"/>
    </w:rPr>
  </w:style>
  <w:style w:type="character" w:styleId="WW8Num27z0">
    <w:name w:val="WW8Num27z0"/>
    <w:qFormat/>
    <w:rPr>
      <w:rFonts w:cs="Times New Roman"/>
    </w:rPr>
  </w:style>
  <w:style w:type="character" w:styleId="WW8Num27z1">
    <w:name w:val="WW8Num27z1"/>
    <w:qFormat/>
    <w:rPr>
      <w:rFonts w:cs="Times New Roman"/>
    </w:rPr>
  </w:style>
  <w:style w:type="character" w:styleId="WW8Num28z0">
    <w:name w:val="WW8Num28z0"/>
    <w:qFormat/>
    <w:rPr>
      <w:rFonts w:cs="Times New Roman"/>
    </w:rPr>
  </w:style>
  <w:style w:type="character" w:styleId="WW8Num28z1">
    <w:name w:val="WW8Num28z1"/>
    <w:qFormat/>
    <w:rPr>
      <w:rFonts w:cs="Times New Roman"/>
    </w:rPr>
  </w:style>
  <w:style w:type="character" w:styleId="WW8Num29z0">
    <w:name w:val="WW8Num29z0"/>
    <w:qFormat/>
    <w:rPr>
      <w:rFonts w:ascii="標楷體" w:hAnsi="標楷體" w:cs="標楷體"/>
      <w:sz w:val="32"/>
      <w:szCs w:val="32"/>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cs="Times New Roman"/>
    </w:rPr>
  </w:style>
  <w:style w:type="character" w:styleId="WW8Num30z1">
    <w:name w:val="WW8Num30z1"/>
    <w:qFormat/>
    <w:rPr>
      <w:rFonts w:cs="Times New Roman"/>
    </w:rPr>
  </w:style>
  <w:style w:type="character" w:styleId="WW8Num31z0">
    <w:name w:val="WW8Num31z0"/>
    <w:qFormat/>
    <w:rPr>
      <w:rFonts w:cs="Times New Roman"/>
    </w:rPr>
  </w:style>
  <w:style w:type="character" w:styleId="WW8Num31z1">
    <w:name w:val="WW8Num31z1"/>
    <w:qFormat/>
    <w:rPr>
      <w:rFonts w:cs="Times New Roman"/>
    </w:rPr>
  </w:style>
  <w:style w:type="character" w:styleId="WW8Num32z0">
    <w:name w:val="WW8Num32z0"/>
    <w:qFormat/>
    <w:rPr>
      <w:rFonts w:cs="Times New Roman"/>
    </w:rPr>
  </w:style>
  <w:style w:type="character" w:styleId="WW8Num32z1">
    <w:name w:val="WW8Num32z1"/>
    <w:qFormat/>
    <w:rPr>
      <w:rFonts w:cs="Times New Roman"/>
    </w:rPr>
  </w:style>
  <w:style w:type="character" w:styleId="WW8Num33z0">
    <w:name w:val="WW8Num33z0"/>
    <w:qFormat/>
    <w:rPr>
      <w:rFonts w:cs="Times New Roman"/>
    </w:rPr>
  </w:style>
  <w:style w:type="character" w:styleId="WW8Num33z1">
    <w:name w:val="WW8Num33z1"/>
    <w:qFormat/>
    <w:rPr>
      <w:rFonts w:cs="Times New Roman"/>
    </w:rPr>
  </w:style>
  <w:style w:type="character" w:styleId="WW8Num34z0">
    <w:name w:val="WW8Num34z0"/>
    <w:qFormat/>
    <w:rPr>
      <w:rFonts w:ascii="標楷體" w:hAnsi="標楷體" w:cs="標楷體"/>
      <w:sz w:val="32"/>
      <w:szCs w:val="32"/>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rFonts w:cs="Times New Roman"/>
    </w:rPr>
  </w:style>
  <w:style w:type="character" w:styleId="WW8Num35z1">
    <w:name w:val="WW8Num35z1"/>
    <w:qFormat/>
    <w:rPr>
      <w:rFonts w:cs="Times New Roman"/>
    </w:rPr>
  </w:style>
  <w:style w:type="character" w:styleId="WW8Num36z0">
    <w:name w:val="WW8Num36z0"/>
    <w:qFormat/>
    <w:rPr>
      <w:rFonts w:ascii="標楷體" w:hAnsi="標楷體" w:eastAsia="標楷體" w:cs="Times New Roman"/>
    </w:rPr>
  </w:style>
  <w:style w:type="character" w:styleId="WW8Num36z1">
    <w:name w:val="WW8Num36z1"/>
    <w:qFormat/>
    <w:rPr>
      <w:rFonts w:cs="Times New Roman"/>
    </w:rPr>
  </w:style>
  <w:style w:type="character" w:styleId="WW8Num37z0">
    <w:name w:val="WW8Num37z0"/>
    <w:qFormat/>
    <w:rPr>
      <w:rFonts w:cs="Times New Roman"/>
    </w:rPr>
  </w:style>
  <w:style w:type="character" w:styleId="WW8Num37z1">
    <w:name w:val="WW8Num37z1"/>
    <w:qFormat/>
    <w:rPr>
      <w:rFonts w:cs="Times New Roman"/>
    </w:rPr>
  </w:style>
  <w:style w:type="character" w:styleId="WW8Num38z0">
    <w:name w:val="WW8Num38z0"/>
    <w:qFormat/>
    <w:rPr>
      <w:rFonts w:cs="Times New Roman"/>
    </w:rPr>
  </w:style>
  <w:style w:type="character" w:styleId="WW8Num38z1">
    <w:name w:val="WW8Num38z1"/>
    <w:qFormat/>
    <w:rPr>
      <w:rFonts w:cs="Times New Roman"/>
    </w:rPr>
  </w:style>
  <w:style w:type="character" w:styleId="WW8Num39z0">
    <w:name w:val="WW8Num39z0"/>
    <w:qFormat/>
    <w:rPr>
      <w:rFonts w:ascii="標楷體" w:hAnsi="標楷體" w:cs="標楷體"/>
      <w:b/>
      <w:color w:val="000000"/>
      <w:sz w:val="32"/>
      <w:szCs w:val="32"/>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rFonts w:cs="標楷體"/>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rFonts w:cs="Times New Roman"/>
    </w:rPr>
  </w:style>
  <w:style w:type="character" w:styleId="WW8Num41z1">
    <w:name w:val="WW8Num41z1"/>
    <w:qFormat/>
    <w:rPr>
      <w:rFonts w:cs="Times New Roman"/>
    </w:rPr>
  </w:style>
  <w:style w:type="character" w:styleId="WW8Num42z0">
    <w:name w:val="WW8Num42z0"/>
    <w:qFormat/>
    <w:rPr>
      <w:rFonts w:cs="Times New Roman"/>
    </w:rPr>
  </w:style>
  <w:style w:type="character" w:styleId="WW8Num42z1">
    <w:name w:val="WW8Num42z1"/>
    <w:qFormat/>
    <w:rPr>
      <w:rFonts w:cs="Times New Roman"/>
    </w:rPr>
  </w:style>
  <w:style w:type="character" w:styleId="WW8Num43z0">
    <w:name w:val="WW8Num43z0"/>
    <w:qFormat/>
    <w:rPr>
      <w:rFonts w:ascii="Times New Roman" w:hAnsi="Times New Roman" w:cs="Times New Roman"/>
    </w:rPr>
  </w:style>
  <w:style w:type="character" w:styleId="WW8Num43z1">
    <w:name w:val="WW8Num43z1"/>
    <w:qFormat/>
    <w:rPr>
      <w:rFonts w:cs="Times New Roman"/>
    </w:rPr>
  </w:style>
  <w:style w:type="character" w:styleId="WW8Num44z0">
    <w:name w:val="WW8Num44z0"/>
    <w:qFormat/>
    <w:rPr>
      <w:rFonts w:cs="標楷體"/>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rFonts w:cs="Times New Roman"/>
    </w:rPr>
  </w:style>
  <w:style w:type="character" w:styleId="WW8Num45z1">
    <w:name w:val="WW8Num45z1"/>
    <w:qFormat/>
    <w:rPr>
      <w:rFonts w:cs="Times New Roman"/>
    </w:rPr>
  </w:style>
  <w:style w:type="character" w:styleId="WW8Num46z0">
    <w:name w:val="WW8Num46z0"/>
    <w:qFormat/>
    <w:rPr>
      <w:rFonts w:cs="Times New Roman"/>
    </w:rPr>
  </w:style>
  <w:style w:type="character" w:styleId="WW8Num46z1">
    <w:name w:val="WW8Num46z1"/>
    <w:qFormat/>
    <w:rPr>
      <w:rFonts w:cs="Times New Roman"/>
    </w:rPr>
  </w:style>
  <w:style w:type="character" w:styleId="WW8Num47z0">
    <w:name w:val="WW8Num47z0"/>
    <w:qFormat/>
    <w:rPr>
      <w:rFonts w:cs="Times New Roman"/>
      <w:color w:val="000000"/>
    </w:rPr>
  </w:style>
  <w:style w:type="character" w:styleId="WW8Num47z1">
    <w:name w:val="WW8Num47z1"/>
    <w:qFormat/>
    <w:rPr>
      <w:rFonts w:cs="Times New Roman"/>
    </w:rPr>
  </w:style>
  <w:style w:type="character" w:styleId="Style14">
    <w:name w:val="預設段落字型"/>
    <w:qFormat/>
    <w:rPr/>
  </w:style>
  <w:style w:type="character" w:styleId="Style15">
    <w:name w:val="純文字 字元"/>
    <w:qFormat/>
    <w:rPr>
      <w:rFonts w:ascii="細明體;MingLiU" w:hAnsi="細明體;MingLiU" w:eastAsia="細明體;MingLiU" w:cs="Courier New"/>
      <w:kern w:val="2"/>
      <w:sz w:val="24"/>
      <w:szCs w:val="24"/>
    </w:rPr>
  </w:style>
  <w:style w:type="character" w:styleId="Style16">
    <w:name w:val="本文 字元"/>
    <w:qFormat/>
    <w:rPr>
      <w:rFonts w:eastAsia="標楷體"/>
      <w:kern w:val="2"/>
      <w:sz w:val="36"/>
      <w:szCs w:val="24"/>
    </w:rPr>
  </w:style>
  <w:style w:type="character" w:styleId="Style17">
    <w:name w:val="頁尾 字元"/>
    <w:qFormat/>
    <w:rPr>
      <w:rFonts w:eastAsia="標楷體"/>
      <w:kern w:val="2"/>
    </w:rPr>
  </w:style>
  <w:style w:type="character" w:styleId="Style18">
    <w:name w:val="頁碼"/>
    <w:rPr>
      <w:rFonts w:cs="Times New Roman"/>
    </w:rPr>
  </w:style>
  <w:style w:type="character" w:styleId="Style19">
    <w:name w:val="本文縮排 字元"/>
    <w:qFormat/>
    <w:rPr>
      <w:rFonts w:eastAsia="標楷體"/>
      <w:kern w:val="2"/>
      <w:sz w:val="36"/>
      <w:szCs w:val="24"/>
    </w:rPr>
  </w:style>
  <w:style w:type="character" w:styleId="HTML">
    <w:name w:val="HTML 預設格式 字元"/>
    <w:qFormat/>
    <w:rPr>
      <w:rFonts w:ascii="Courier New" w:hAnsi="Courier New" w:eastAsia="標楷體" w:cs="Courier New"/>
      <w:kern w:val="2"/>
    </w:rPr>
  </w:style>
  <w:style w:type="character" w:styleId="2">
    <w:name w:val="本文 2 字元"/>
    <w:qFormat/>
    <w:rPr>
      <w:rFonts w:eastAsia="標楷體"/>
      <w:kern w:val="2"/>
      <w:sz w:val="36"/>
      <w:szCs w:val="24"/>
    </w:rPr>
  </w:style>
  <w:style w:type="character" w:styleId="Style20">
    <w:name w:val="問候 字元"/>
    <w:qFormat/>
    <w:rPr>
      <w:rFonts w:eastAsia="標楷體"/>
      <w:kern w:val="2"/>
      <w:sz w:val="36"/>
      <w:szCs w:val="24"/>
    </w:rPr>
  </w:style>
  <w:style w:type="character" w:styleId="Style21">
    <w:name w:val="結語 字元"/>
    <w:qFormat/>
    <w:rPr>
      <w:rFonts w:eastAsia="標楷體"/>
      <w:kern w:val="2"/>
      <w:sz w:val="36"/>
      <w:szCs w:val="24"/>
    </w:rPr>
  </w:style>
  <w:style w:type="character" w:styleId="21">
    <w:name w:val="本文縮排 2 字元"/>
    <w:qFormat/>
    <w:rPr>
      <w:rFonts w:eastAsia="標楷體"/>
      <w:kern w:val="2"/>
      <w:sz w:val="36"/>
      <w:szCs w:val="24"/>
    </w:rPr>
  </w:style>
  <w:style w:type="character" w:styleId="3">
    <w:name w:val="本文縮排 3 字元"/>
    <w:qFormat/>
    <w:rPr>
      <w:rFonts w:eastAsia="標楷體"/>
      <w:kern w:val="2"/>
      <w:sz w:val="16"/>
      <w:szCs w:val="16"/>
    </w:rPr>
  </w:style>
  <w:style w:type="character" w:styleId="Style22">
    <w:name w:val="頁首 字元"/>
    <w:qFormat/>
    <w:rPr>
      <w:rFonts w:eastAsia="標楷體"/>
      <w:kern w:val="2"/>
    </w:rPr>
  </w:style>
  <w:style w:type="character" w:styleId="Stext1">
    <w:name w:val="stext1"/>
    <w:qFormat/>
    <w:rPr>
      <w:rFonts w:cs="Times New Roman"/>
      <w:spacing w:val="288"/>
      <w:sz w:val="19"/>
      <w:szCs w:val="19"/>
    </w:rPr>
  </w:style>
  <w:style w:type="character" w:styleId="Stext">
    <w:name w:val="stext"/>
    <w:qFormat/>
    <w:rPr>
      <w:rFonts w:cs="Times New Roman"/>
    </w:rPr>
  </w:style>
  <w:style w:type="character" w:styleId="31">
    <w:name w:val="本文 3 字元"/>
    <w:qFormat/>
    <w:rPr>
      <w:rFonts w:eastAsia="標楷體"/>
      <w:kern w:val="2"/>
      <w:sz w:val="16"/>
      <w:szCs w:val="16"/>
    </w:rPr>
  </w:style>
  <w:style w:type="character" w:styleId="Style23">
    <w:name w:val="網際網路連結"/>
    <w:rPr>
      <w:rFonts w:cs="Times New Roman"/>
      <w:color w:val="0000FF"/>
      <w:u w:val="single"/>
    </w:rPr>
  </w:style>
  <w:style w:type="character" w:styleId="Style24">
    <w:name w:val="註解方塊文字 字元"/>
    <w:qFormat/>
    <w:rPr>
      <w:rFonts w:ascii="Cambria" w:hAnsi="Cambria" w:eastAsia="新細明體;PMingLiU" w:cs="Times New Roman"/>
      <w:kern w:val="2"/>
      <w:sz w:val="18"/>
      <w:szCs w:val="18"/>
    </w:rPr>
  </w:style>
  <w:style w:type="paragraph" w:styleId="Style25">
    <w:name w:val="標題"/>
    <w:basedOn w:val="Normal"/>
    <w:next w:val="Style26"/>
    <w:qFormat/>
    <w:pPr>
      <w:keepNext w:val="true"/>
      <w:spacing w:before="240" w:after="120"/>
    </w:pPr>
    <w:rPr>
      <w:rFonts w:ascii="Liberation Sans" w:hAnsi="Liberation Sans" w:eastAsia="微軟正黑體" w:cs="Lucida Sans"/>
      <w:sz w:val="28"/>
      <w:szCs w:val="28"/>
    </w:rPr>
  </w:style>
  <w:style w:type="paragraph" w:styleId="Style26">
    <w:name w:val="Body Text"/>
    <w:basedOn w:val="Normal"/>
    <w:pPr>
      <w:kinsoku w:val="false"/>
      <w:overflowPunct w:val="false"/>
      <w:autoSpaceDE w:val="false"/>
      <w:spacing w:lineRule="exact" w:line="400"/>
      <w:jc w:val="both"/>
    </w:pPr>
    <w:rPr>
      <w:sz w:val="32"/>
    </w:rPr>
  </w:style>
  <w:style w:type="paragraph" w:styleId="Style27">
    <w:name w:val="List"/>
    <w:basedOn w:val="Style26"/>
    <w:pPr/>
    <w:rPr>
      <w:rFonts w:cs="Lucida Sans"/>
    </w:rPr>
  </w:style>
  <w:style w:type="paragraph" w:styleId="Style28">
    <w:name w:val="Caption"/>
    <w:basedOn w:val="Normal"/>
    <w:qFormat/>
    <w:pPr>
      <w:suppressLineNumbers/>
      <w:spacing w:before="120" w:after="120"/>
    </w:pPr>
    <w:rPr>
      <w:rFonts w:cs="Lucida Sans"/>
      <w:i/>
      <w:iCs/>
      <w:sz w:val="24"/>
      <w:szCs w:val="24"/>
    </w:rPr>
  </w:style>
  <w:style w:type="paragraph" w:styleId="Style29">
    <w:name w:val="索引"/>
    <w:basedOn w:val="Normal"/>
    <w:qFormat/>
    <w:pPr>
      <w:suppressLineNumbers/>
    </w:pPr>
    <w:rPr>
      <w:rFonts w:cs="Lucida Sans"/>
    </w:rPr>
  </w:style>
  <w:style w:type="paragraph" w:styleId="Style30">
    <w:name w:val="純文字"/>
    <w:basedOn w:val="Normal"/>
    <w:qFormat/>
    <w:pPr/>
    <w:rPr>
      <w:rFonts w:ascii="細明體;MingLiU" w:hAnsi="細明體;MingLiU" w:eastAsia="細明體;MingLiU" w:cs="Courier New"/>
    </w:rPr>
  </w:style>
  <w:style w:type="paragraph" w:styleId="Style31">
    <w:name w:val="頁首與頁尾"/>
    <w:basedOn w:val="Normal"/>
    <w:qFormat/>
    <w:pPr>
      <w:suppressLineNumbers/>
      <w:tabs>
        <w:tab w:val="clear" w:pos="480"/>
        <w:tab w:val="center" w:pos="4819" w:leader="none"/>
        <w:tab w:val="right" w:pos="9638" w:leader="none"/>
      </w:tabs>
    </w:pPr>
    <w:rPr/>
  </w:style>
  <w:style w:type="paragraph" w:styleId="Style32">
    <w:name w:val="Footer"/>
    <w:basedOn w:val="Normal"/>
    <w:pPr>
      <w:tabs>
        <w:tab w:val="clear" w:pos="480"/>
        <w:tab w:val="center" w:pos="4153" w:leader="none"/>
        <w:tab w:val="right" w:pos="8306" w:leader="none"/>
      </w:tabs>
      <w:snapToGrid w:val="false"/>
    </w:pPr>
    <w:rPr>
      <w:sz w:val="20"/>
      <w:szCs w:val="20"/>
    </w:rPr>
  </w:style>
  <w:style w:type="paragraph" w:styleId="Style33">
    <w:name w:val="Body Text Indent"/>
    <w:basedOn w:val="Normal"/>
    <w:pPr>
      <w:kinsoku w:val="false"/>
      <w:overflowPunct w:val="false"/>
      <w:autoSpaceDE w:val="false"/>
      <w:spacing w:lineRule="exact" w:line="520"/>
      <w:ind w:left="716" w:hanging="0"/>
      <w:jc w:val="both"/>
    </w:pPr>
    <w:rPr/>
  </w:style>
  <w:style w:type="paragraph" w:styleId="HTML1">
    <w:name w:val="HTML 預設格式"/>
    <w:basedOn w:val="Normal"/>
    <w:qFormat/>
    <w:pPr>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cs="Arial Unicode MS"/>
      <w:kern w:val="0"/>
      <w:sz w:val="20"/>
      <w:szCs w:val="20"/>
    </w:rPr>
  </w:style>
  <w:style w:type="paragraph" w:styleId="22">
    <w:name w:val="本文 2"/>
    <w:basedOn w:val="Normal"/>
    <w:qFormat/>
    <w:pPr>
      <w:kinsoku w:val="false"/>
      <w:overflowPunct w:val="false"/>
      <w:autoSpaceDE w:val="false"/>
      <w:spacing w:lineRule="exact" w:line="560"/>
      <w:jc w:val="both"/>
    </w:pPr>
    <w:rPr>
      <w:rFonts w:ascii="標楷體" w:hAnsi="標楷體" w:cs="標楷體"/>
    </w:rPr>
  </w:style>
  <w:style w:type="paragraph" w:styleId="Style34">
    <w:name w:val="問候"/>
    <w:basedOn w:val="Normal"/>
    <w:next w:val="Normal"/>
    <w:qFormat/>
    <w:pPr/>
    <w:rPr>
      <w:rFonts w:ascii="標楷體" w:hAnsi="標楷體" w:cs="標楷體"/>
    </w:rPr>
  </w:style>
  <w:style w:type="paragraph" w:styleId="Style35">
    <w:name w:val="結語"/>
    <w:basedOn w:val="Normal"/>
    <w:qFormat/>
    <w:pPr>
      <w:ind w:left="100" w:hanging="0"/>
    </w:pPr>
    <w:rPr>
      <w:rFonts w:ascii="標楷體" w:hAnsi="標楷體" w:cs="標楷體"/>
    </w:rPr>
  </w:style>
  <w:style w:type="paragraph" w:styleId="23">
    <w:name w:val="本文縮排 2"/>
    <w:basedOn w:val="Normal"/>
    <w:qFormat/>
    <w:pPr>
      <w:kinsoku w:val="false"/>
      <w:overflowPunct w:val="false"/>
      <w:autoSpaceDE w:val="false"/>
      <w:spacing w:lineRule="exact" w:line="560"/>
      <w:ind w:firstLine="714"/>
      <w:jc w:val="both"/>
    </w:pPr>
    <w:rPr>
      <w:rFonts w:ascii="標楷體" w:hAnsi="標楷體" w:cs="標楷體"/>
    </w:rPr>
  </w:style>
  <w:style w:type="paragraph" w:styleId="32">
    <w:name w:val="本文縮排 3"/>
    <w:basedOn w:val="Normal"/>
    <w:qFormat/>
    <w:pPr>
      <w:kinsoku w:val="false"/>
      <w:overflowPunct w:val="false"/>
      <w:autoSpaceDE w:val="false"/>
      <w:spacing w:lineRule="exact" w:line="560"/>
      <w:ind w:left="1071" w:hanging="1071"/>
      <w:jc w:val="both"/>
    </w:pPr>
    <w:rPr>
      <w:rFonts w:ascii="標楷體" w:hAnsi="標楷體" w:cs="標楷體"/>
    </w:rPr>
  </w:style>
  <w:style w:type="paragraph" w:styleId="Style36">
    <w:name w:val="Header"/>
    <w:basedOn w:val="Normal"/>
    <w:pPr>
      <w:tabs>
        <w:tab w:val="clear" w:pos="480"/>
        <w:tab w:val="center" w:pos="4153" w:leader="none"/>
        <w:tab w:val="right" w:pos="8306" w:leader="none"/>
      </w:tabs>
      <w:snapToGrid w:val="false"/>
    </w:pPr>
    <w:rPr>
      <w:sz w:val="20"/>
      <w:szCs w:val="20"/>
    </w:rPr>
  </w:style>
  <w:style w:type="paragraph" w:styleId="33">
    <w:name w:val="本文 3"/>
    <w:basedOn w:val="Normal"/>
    <w:qFormat/>
    <w:pPr>
      <w:overflowPunct w:val="false"/>
      <w:autoSpaceDE w:val="false"/>
      <w:spacing w:lineRule="exact" w:line="720"/>
      <w:jc w:val="center"/>
    </w:pPr>
    <w:rPr>
      <w:rFonts w:ascii="標楷體" w:hAnsi="標楷體" w:cs="標楷體"/>
      <w:b/>
      <w:bCs/>
      <w:sz w:val="48"/>
    </w:rPr>
  </w:style>
  <w:style w:type="paragraph" w:styleId="Style37">
    <w:name w:val="註解方塊文字"/>
    <w:basedOn w:val="Normal"/>
    <w:qFormat/>
    <w:pPr/>
    <w:rPr>
      <w:rFonts w:ascii="Cambria" w:hAnsi="Cambria" w:eastAsia="新細明體;PMingLiU" w:cs="Times New Roman"/>
      <w:sz w:val="18"/>
      <w:szCs w:val="18"/>
    </w:rPr>
  </w:style>
  <w:style w:type="paragraph" w:styleId="Style38">
    <w:name w:val="外框內容"/>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TotalTime>
  <Application>LibreOffice/6.3.2.2$Windows_X86_64 LibreOffice_project/98b30e735bda24bc04ab42594c85f7fd8be07b9c</Application>
  <Pages>14</Pages>
  <Words>11108</Words>
  <Characters>11758</Characters>
  <CharactersWithSpaces>11784</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2015-07-27T11:34:00Z</dcterms:created>
  <dc:creator>0001</dc:creator>
  <dc:description/>
  <cp:keywords/>
  <dc:language>zh-TW</dc:language>
  <cp:lastModifiedBy>許柏仁</cp:lastModifiedBy>
  <cp:lastPrinted>2015-07-22T16:19:00Z</cp:lastPrinted>
  <dcterms:modified xsi:type="dcterms:W3CDTF">2015-07-27T11:34:00Z</dcterms:modified>
  <cp:revision>2</cp:revision>
  <dc:subject/>
  <dc:title>各機關辦理申訴、復審案件業務參考資料</dc:title>
</cp:coreProperties>
</file>