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78" w:lineRule="exact" w:before="0"/>
        <w:ind w:left="2630" w:right="0" w:firstLine="0"/>
        <w:jc w:val="left"/>
        <w:rPr>
          <w:rFonts w:ascii="微軟正黑體" w:eastAsia="微軟正黑體" w:hint="eastAsia"/>
          <w:b/>
          <w:sz w:val="36"/>
        </w:rPr>
      </w:pPr>
      <w:r>
        <w:rPr>
          <w:rFonts w:ascii="微軟正黑體" w:eastAsia="微軟正黑體" w:hint="eastAsia"/>
          <w:b/>
          <w:sz w:val="36"/>
        </w:rPr>
        <w:t>公務人員保障暨培訓委員會</w:t>
      </w:r>
    </w:p>
    <w:p>
      <w:pPr>
        <w:spacing w:line="501" w:lineRule="exact" w:before="0"/>
        <w:ind w:left="3519" w:right="3537" w:firstLine="0"/>
        <w:jc w:val="center"/>
        <w:rPr>
          <w:rFonts w:ascii="微軟正黑體" w:eastAsia="微軟正黑體" w:hint="eastAsia"/>
          <w:b/>
          <w:sz w:val="36"/>
        </w:rPr>
      </w:pPr>
      <w:r>
        <w:rPr>
          <w:rFonts w:ascii="微軟正黑體" w:eastAsia="微軟正黑體" w:hint="eastAsia"/>
          <w:b/>
          <w:sz w:val="36"/>
        </w:rPr>
        <w:t>105年1月至6月</w:t>
      </w:r>
    </w:p>
    <w:p>
      <w:pPr>
        <w:spacing w:line="581" w:lineRule="exact" w:before="0"/>
        <w:ind w:left="1550" w:right="0" w:firstLine="0"/>
        <w:jc w:val="left"/>
        <w:rPr>
          <w:rFonts w:ascii="微軟正黑體" w:eastAsia="微軟正黑體" w:hint="eastAsia"/>
          <w:b/>
          <w:sz w:val="36"/>
        </w:rPr>
      </w:pPr>
      <w:r>
        <w:rPr>
          <w:rFonts w:ascii="微軟正黑體" w:eastAsia="微軟正黑體" w:hint="eastAsia"/>
          <w:b/>
          <w:sz w:val="36"/>
        </w:rPr>
        <w:t>審理保障事件常見撤銷原因分析參考資料</w:t>
      </w:r>
    </w:p>
    <w:p>
      <w:pPr>
        <w:pStyle w:val="BodyText"/>
        <w:spacing w:line="300" w:lineRule="auto" w:before="243"/>
        <w:ind w:left="258" w:right="224" w:firstLine="640"/>
        <w:rPr>
          <w:rFonts w:ascii="細明體_HKSCS" w:eastAsia="細明體_HKSCS" w:hint="eastAsia"/>
        </w:rPr>
      </w:pPr>
      <w:r>
        <w:rPr>
          <w:spacing w:val="3"/>
        </w:rPr>
        <w:t>按公務人員對於服務機關或人事主管機關所為之行政處分， 認為違法或顯然不當，致損害其權利或利益者，得提起復審；至</w:t>
      </w:r>
      <w:r>
        <w:rPr>
          <w:spacing w:val="16"/>
        </w:rPr>
        <w:t>於公務人員對於服務機關所為之管理措施或有關工作條件之處</w:t>
      </w:r>
      <w:r>
        <w:rPr>
          <w:spacing w:val="3"/>
        </w:rPr>
        <w:t>置，認為不當者，則得提起申訴、再申訴，分別為公務人員保障</w:t>
      </w:r>
      <w:r>
        <w:rPr>
          <w:spacing w:val="-13"/>
        </w:rPr>
        <w:t>法</w:t>
      </w:r>
      <w:r>
        <w:rPr/>
        <w:t>（以下簡稱保障法</w:t>
      </w:r>
      <w:r>
        <w:rPr>
          <w:spacing w:val="-13"/>
        </w:rPr>
        <w:t>）</w:t>
      </w:r>
      <w:r>
        <w:rPr>
          <w:spacing w:val="3"/>
        </w:rPr>
        <w:t>第</w:t>
      </w:r>
      <w:r>
        <w:rPr>
          <w:rFonts w:ascii="細明體_HKSCS" w:eastAsia="細明體_HKSCS" w:hint="eastAsia"/>
        </w:rPr>
        <w:t>25</w:t>
      </w:r>
      <w:r>
        <w:rPr>
          <w:spacing w:val="-5"/>
        </w:rPr>
        <w:t>條、第</w:t>
      </w:r>
      <w:r>
        <w:rPr>
          <w:rFonts w:ascii="細明體_HKSCS" w:eastAsia="細明體_HKSCS" w:hint="eastAsia"/>
        </w:rPr>
        <w:t>77</w:t>
      </w:r>
      <w:r>
        <w:rPr/>
        <w:t>條第</w:t>
      </w:r>
      <w:r>
        <w:rPr>
          <w:rFonts w:ascii="細明體_HKSCS" w:eastAsia="細明體_HKSCS" w:hint="eastAsia"/>
        </w:rPr>
        <w:t>1</w:t>
      </w:r>
      <w:r>
        <w:rPr>
          <w:spacing w:val="-3"/>
        </w:rPr>
        <w:t>項所明定。茲就</w:t>
      </w:r>
      <w:r>
        <w:rPr>
          <w:rFonts w:ascii="細明體_HKSCS" w:eastAsia="細明體_HKSCS" w:hint="eastAsia"/>
        </w:rPr>
        <w:t>105</w:t>
      </w:r>
      <w:r>
        <w:rPr/>
        <w:t>年</w:t>
      </w:r>
      <w:r>
        <w:rPr>
          <w:rFonts w:ascii="細明體_HKSCS" w:eastAsia="細明體_HKSCS" w:hint="eastAsia"/>
        </w:rPr>
        <w:t>1 </w:t>
      </w:r>
      <w:r>
        <w:rPr/>
        <w:t>月至</w:t>
      </w:r>
      <w:r>
        <w:rPr>
          <w:rFonts w:ascii="細明體_HKSCS" w:eastAsia="細明體_HKSCS" w:hint="eastAsia"/>
        </w:rPr>
        <w:t>6</w:t>
      </w:r>
      <w:r>
        <w:rPr>
          <w:spacing w:val="-1"/>
        </w:rPr>
        <w:t>月經本會審理決定撤銷之保障事件，歸納分析其撤銷原因， </w:t>
      </w:r>
      <w:r>
        <w:rPr>
          <w:spacing w:val="-11"/>
        </w:rPr>
        <w:t>並就機關為人事管理行為時，常發生之作業疏失綜整說明。〔相關</w:t>
      </w:r>
      <w:r>
        <w:rPr>
          <w:spacing w:val="-13"/>
        </w:rPr>
        <w:t>決定書可至本會網站保障事件決定書查詢系統</w:t>
      </w:r>
      <w:r>
        <w:rPr/>
        <w:t>（</w:t>
      </w:r>
      <w:r>
        <w:rPr>
          <w:rFonts w:ascii="細明體_HKSCS" w:eastAsia="細明體_HKSCS" w:hint="eastAsia"/>
        </w:rPr>
        <w:t>https://web13.c</w:t>
      </w:r>
    </w:p>
    <w:p>
      <w:pPr>
        <w:pStyle w:val="BodyText"/>
        <w:spacing w:before="6"/>
        <w:ind w:left="258"/>
        <w:jc w:val="left"/>
      </w:pPr>
      <w:r>
        <w:rPr>
          <w:rFonts w:ascii="細明體_HKSCS" w:eastAsia="細明體_HKSCS" w:hint="eastAsia"/>
        </w:rPr>
        <w:t>sptc.gov.tw/index.aspx</w:t>
      </w:r>
      <w:r>
        <w:rPr/>
        <w:t>）查詢。〕</w:t>
      </w:r>
    </w:p>
    <w:p>
      <w:pPr>
        <w:pStyle w:val="BodyText"/>
        <w:spacing w:before="13"/>
        <w:ind w:left="0"/>
        <w:jc w:val="left"/>
        <w:rPr>
          <w:sz w:val="28"/>
        </w:rPr>
      </w:pPr>
    </w:p>
    <w:p>
      <w:pPr>
        <w:pStyle w:val="Heading1"/>
      </w:pPr>
      <w:r>
        <w:rPr/>
        <w:t>壹、常見之撤銷原因摘要</w:t>
      </w:r>
    </w:p>
    <w:p>
      <w:pPr>
        <w:spacing w:before="53"/>
        <w:ind w:left="258" w:right="0" w:firstLine="0"/>
        <w:jc w:val="left"/>
        <w:rPr>
          <w:rFonts w:ascii="微軟正黑體" w:eastAsia="微軟正黑體" w:hint="eastAsia"/>
          <w:b/>
          <w:sz w:val="32"/>
        </w:rPr>
      </w:pPr>
      <w:r>
        <w:rPr>
          <w:rFonts w:ascii="微軟正黑體" w:eastAsia="微軟正黑體" w:hint="eastAsia"/>
          <w:b/>
          <w:sz w:val="32"/>
        </w:rPr>
        <w:t>一、關於考績或獎懲法定程序部分：</w:t>
      </w:r>
    </w:p>
    <w:p>
      <w:pPr>
        <w:spacing w:before="50"/>
        <w:ind w:left="258" w:right="0" w:firstLine="0"/>
        <w:jc w:val="left"/>
        <w:rPr>
          <w:rFonts w:ascii="微軟正黑體" w:eastAsia="微軟正黑體" w:hint="eastAsia"/>
          <w:b/>
          <w:sz w:val="32"/>
        </w:rPr>
      </w:pPr>
      <w:r>
        <w:rPr>
          <w:rFonts w:ascii="微軟正黑體" w:eastAsia="微軟正黑體" w:hint="eastAsia"/>
          <w:b/>
          <w:sz w:val="32"/>
        </w:rPr>
        <w:t>（一）非管理措施機關受理申訴並為函復：</w:t>
      </w:r>
    </w:p>
    <w:p>
      <w:pPr>
        <w:pStyle w:val="BodyText"/>
        <w:spacing w:line="300" w:lineRule="auto" w:before="79"/>
        <w:ind w:left="1300" w:right="272" w:hanging="51"/>
      </w:pPr>
      <w:r>
        <w:rPr/>
        <w:t>按保障法第</w:t>
      </w:r>
      <w:r>
        <w:rPr>
          <w:rFonts w:ascii="細明體_HKSCS" w:eastAsia="細明體_HKSCS" w:hint="eastAsia"/>
        </w:rPr>
        <w:t>77</w:t>
      </w:r>
      <w:r>
        <w:rPr/>
        <w:t>條第</w:t>
      </w:r>
      <w:r>
        <w:rPr>
          <w:rFonts w:ascii="細明體_HKSCS" w:eastAsia="細明體_HKSCS" w:hint="eastAsia"/>
        </w:rPr>
        <w:t>1</w:t>
      </w:r>
      <w:r>
        <w:rPr/>
        <w:t>項及第</w:t>
      </w:r>
      <w:r>
        <w:rPr>
          <w:rFonts w:ascii="細明體_HKSCS" w:eastAsia="細明體_HKSCS" w:hint="eastAsia"/>
        </w:rPr>
        <w:t>78</w:t>
      </w:r>
      <w:r>
        <w:rPr/>
        <w:t>條第</w:t>
      </w:r>
      <w:r>
        <w:rPr>
          <w:rFonts w:ascii="細明體_HKSCS" w:eastAsia="細明體_HKSCS" w:hint="eastAsia"/>
        </w:rPr>
        <w:t>1</w:t>
      </w:r>
      <w:r>
        <w:rPr/>
        <w:t>項第</w:t>
      </w:r>
      <w:r>
        <w:rPr>
          <w:rFonts w:ascii="細明體_HKSCS" w:eastAsia="細明體_HKSCS" w:hint="eastAsia"/>
        </w:rPr>
        <w:t>2</w:t>
      </w:r>
      <w:r>
        <w:rPr>
          <w:spacing w:val="-11"/>
        </w:rPr>
        <w:t>項規定，公務人員不服服務機關之管理措施，應向其服務機關提起申訴，並</w:t>
      </w:r>
      <w:r>
        <w:rPr>
          <w:spacing w:val="-12"/>
        </w:rPr>
        <w:t>由服務機關為申訴函復。再申訴人所不服之懲處令，既係</w:t>
      </w:r>
    </w:p>
    <w:p>
      <w:pPr>
        <w:pStyle w:val="ListParagraph"/>
        <w:numPr>
          <w:ilvl w:val="0"/>
          <w:numId w:val="1"/>
        </w:numPr>
        <w:tabs>
          <w:tab w:pos="1622" w:val="left" w:leader="none"/>
        </w:tabs>
        <w:spacing w:line="300" w:lineRule="auto" w:before="2" w:after="0"/>
        <w:ind w:left="1300" w:right="195" w:firstLine="0"/>
        <w:jc w:val="both"/>
        <w:rPr>
          <w:sz w:val="32"/>
        </w:rPr>
      </w:pPr>
      <w:r>
        <w:rPr>
          <w:spacing w:val="-9"/>
          <w:sz w:val="32"/>
        </w:rPr>
        <w:t>直轄市警察局交通警察大隊</w:t>
      </w:r>
      <w:r>
        <w:rPr>
          <w:sz w:val="32"/>
        </w:rPr>
        <w:t>（以下簡稱○市交大</w:t>
      </w:r>
      <w:r>
        <w:rPr>
          <w:spacing w:val="-93"/>
          <w:sz w:val="32"/>
        </w:rPr>
        <w:t>）</w:t>
      </w:r>
      <w:r>
        <w:rPr>
          <w:spacing w:val="-11"/>
          <w:sz w:val="32"/>
        </w:rPr>
        <w:t>所為， </w:t>
      </w:r>
      <w:r>
        <w:rPr>
          <w:sz w:val="32"/>
        </w:rPr>
        <w:t>依保障法第</w:t>
      </w:r>
      <w:r>
        <w:rPr>
          <w:rFonts w:ascii="細明體_HKSCS" w:hAnsi="細明體_HKSCS" w:eastAsia="細明體_HKSCS" w:hint="eastAsia"/>
          <w:sz w:val="32"/>
        </w:rPr>
        <w:t>78</w:t>
      </w:r>
      <w:r>
        <w:rPr>
          <w:sz w:val="32"/>
        </w:rPr>
        <w:t>條第</w:t>
      </w:r>
      <w:r>
        <w:rPr>
          <w:rFonts w:ascii="細明體_HKSCS" w:hAnsi="細明體_HKSCS" w:eastAsia="細明體_HKSCS" w:hint="eastAsia"/>
          <w:sz w:val="32"/>
        </w:rPr>
        <w:t>1</w:t>
      </w:r>
      <w:r>
        <w:rPr>
          <w:spacing w:val="-8"/>
          <w:sz w:val="32"/>
        </w:rPr>
        <w:t>項規定，自應向該○市交大提起申訴， 並由○市交大為申訴函復。本件○直轄市警察局○○分局</w:t>
      </w:r>
      <w:r>
        <w:rPr>
          <w:spacing w:val="-18"/>
          <w:sz w:val="32"/>
        </w:rPr>
        <w:t>逕為申訴函復，核與上開規定有違。</w:t>
      </w:r>
      <w:r>
        <w:rPr>
          <w:sz w:val="32"/>
        </w:rPr>
        <w:t>（</w:t>
      </w:r>
      <w:r>
        <w:rPr>
          <w:rFonts w:ascii="細明體_HKSCS" w:hAnsi="細明體_HKSCS" w:eastAsia="細明體_HKSCS" w:hint="eastAsia"/>
          <w:sz w:val="32"/>
        </w:rPr>
        <w:t>105</w:t>
      </w:r>
      <w:r>
        <w:rPr>
          <w:sz w:val="32"/>
        </w:rPr>
        <w:t>公申決字第</w:t>
      </w:r>
      <w:r>
        <w:rPr>
          <w:rFonts w:ascii="細明體_HKSCS" w:hAnsi="細明體_HKSCS" w:eastAsia="細明體_HKSCS" w:hint="eastAsia"/>
          <w:sz w:val="32"/>
        </w:rPr>
        <w:t>0045 </w:t>
      </w:r>
      <w:r>
        <w:rPr>
          <w:sz w:val="32"/>
        </w:rPr>
        <w:t>號）</w:t>
      </w:r>
    </w:p>
    <w:p>
      <w:pPr>
        <w:pStyle w:val="Heading1"/>
        <w:spacing w:before="98"/>
      </w:pPr>
      <w:r>
        <w:rPr/>
        <w:t>（二）考績評擬或獎懲核議程序不合法：</w:t>
      </w:r>
    </w:p>
    <w:p>
      <w:pPr>
        <w:spacing w:after="0"/>
        <w:sectPr>
          <w:footerReference w:type="default" r:id="rId5"/>
          <w:type w:val="continuous"/>
          <w:pgSz w:w="11910" w:h="16840"/>
          <w:pgMar w:footer="1017" w:top="1140" w:bottom="1200" w:left="1160" w:right="1140"/>
          <w:pgNumType w:start="1"/>
        </w:sectPr>
      </w:pPr>
    </w:p>
    <w:p>
      <w:pPr>
        <w:pStyle w:val="ListParagraph"/>
        <w:numPr>
          <w:ilvl w:val="0"/>
          <w:numId w:val="2"/>
        </w:numPr>
        <w:tabs>
          <w:tab w:pos="1325" w:val="left" w:leader="none"/>
        </w:tabs>
        <w:spacing w:line="300" w:lineRule="auto" w:before="23" w:after="0"/>
        <w:ind w:left="1324" w:right="272" w:hanging="322"/>
        <w:jc w:val="both"/>
        <w:rPr>
          <w:sz w:val="32"/>
        </w:rPr>
      </w:pPr>
      <w:r>
        <w:rPr>
          <w:sz w:val="32"/>
        </w:rPr>
        <w:t>參照行政程序法第</w:t>
      </w:r>
      <w:r>
        <w:rPr>
          <w:rFonts w:ascii="細明體_HKSCS" w:hAnsi="細明體_HKSCS" w:eastAsia="細明體_HKSCS" w:hint="eastAsia"/>
          <w:sz w:val="32"/>
        </w:rPr>
        <w:t>2</w:t>
      </w:r>
      <w:r>
        <w:rPr>
          <w:sz w:val="32"/>
        </w:rPr>
        <w:t>條第</w:t>
      </w:r>
      <w:r>
        <w:rPr>
          <w:rFonts w:ascii="細明體_HKSCS" w:hAnsi="細明體_HKSCS" w:eastAsia="細明體_HKSCS" w:hint="eastAsia"/>
          <w:sz w:val="32"/>
        </w:rPr>
        <w:t>2</w:t>
      </w:r>
      <w:r>
        <w:rPr>
          <w:sz w:val="32"/>
        </w:rPr>
        <w:t>項規定，所稱行政機關，係指代</w:t>
      </w:r>
      <w:r>
        <w:rPr>
          <w:spacing w:val="-1"/>
          <w:sz w:val="32"/>
        </w:rPr>
        <w:t>表國家、地方自治團體或其他行政主體表示意思，從事公共事務，具有單獨法定地位之組織。復依行政院所屬各級人事機構人員設置管理要點觀之，中央及地方機關人事人員之管理，屬一條鞭制度，人事機構固得對人事人員為管理措施，惟人事人員不服人事機構對其所為之管理措施， 提起申訴，仍應依保障法規定，由權責處理機關辦理。另</w:t>
      </w:r>
      <w:r>
        <w:rPr>
          <w:sz w:val="32"/>
        </w:rPr>
        <w:t>依○○縣政府組織自治條例第</w:t>
      </w:r>
      <w:r>
        <w:rPr>
          <w:rFonts w:ascii="細明體_HKSCS" w:hAnsi="細明體_HKSCS" w:eastAsia="細明體_HKSCS" w:hint="eastAsia"/>
          <w:sz w:val="32"/>
        </w:rPr>
        <w:t>7</w:t>
      </w:r>
      <w:r>
        <w:rPr>
          <w:sz w:val="32"/>
        </w:rPr>
        <w:t>條之</w:t>
      </w:r>
      <w:r>
        <w:rPr>
          <w:rFonts w:ascii="細明體_HKSCS" w:hAnsi="細明體_HKSCS" w:eastAsia="細明體_HKSCS" w:hint="eastAsia"/>
          <w:sz w:val="32"/>
        </w:rPr>
        <w:t>2</w:t>
      </w:r>
      <w:r>
        <w:rPr>
          <w:spacing w:val="-2"/>
          <w:sz w:val="32"/>
        </w:rPr>
        <w:t>規定，該縣政府雖設</w:t>
      </w:r>
      <w:r>
        <w:rPr>
          <w:spacing w:val="-9"/>
          <w:sz w:val="32"/>
        </w:rPr>
        <w:t>有人事處，惟並非同條例第</w:t>
      </w:r>
      <w:r>
        <w:rPr>
          <w:rFonts w:ascii="細明體_HKSCS" w:hAnsi="細明體_HKSCS" w:eastAsia="細明體_HKSCS" w:hint="eastAsia"/>
          <w:sz w:val="32"/>
        </w:rPr>
        <w:t>8</w:t>
      </w:r>
      <w:r>
        <w:rPr>
          <w:spacing w:val="-9"/>
          <w:sz w:val="32"/>
        </w:rPr>
        <w:t>條所定，屬該府所設之一級機</w:t>
      </w:r>
      <w:r>
        <w:rPr>
          <w:spacing w:val="-10"/>
          <w:sz w:val="32"/>
        </w:rPr>
        <w:t>關，亦查無該府人事處之組織規程。據此，○○縣政府人</w:t>
      </w:r>
      <w:r>
        <w:rPr>
          <w:spacing w:val="-1"/>
          <w:sz w:val="32"/>
        </w:rPr>
        <w:t>事處僅為該府之內部單位，非為機關，本件再申訴人不服</w:t>
      </w:r>
    </w:p>
    <w:p>
      <w:pPr>
        <w:pStyle w:val="BodyText"/>
        <w:spacing w:line="300" w:lineRule="auto" w:before="9"/>
        <w:ind w:left="1324" w:right="192"/>
      </w:pPr>
      <w:r>
        <w:rPr>
          <w:spacing w:val="-6"/>
        </w:rPr>
        <w:t>○○縣政府人事處考績</w:t>
      </w:r>
      <w:r>
        <w:rPr/>
        <w:t>（成</w:t>
      </w:r>
      <w:r>
        <w:rPr>
          <w:spacing w:val="-53"/>
        </w:rPr>
        <w:t>）</w:t>
      </w:r>
      <w:r>
        <w:rPr>
          <w:spacing w:val="-9"/>
        </w:rPr>
        <w:t>通知書，核布其</w:t>
      </w:r>
      <w:r>
        <w:rPr>
          <w:rFonts w:ascii="細明體_HKSCS" w:hAnsi="細明體_HKSCS" w:eastAsia="細明體_HKSCS" w:hint="eastAsia"/>
        </w:rPr>
        <w:t>104</w:t>
      </w:r>
      <w:r>
        <w:rPr/>
        <w:t>年年終考績考列乙等</w:t>
      </w:r>
      <w:r>
        <w:rPr>
          <w:rFonts w:ascii="細明體_HKSCS" w:hAnsi="細明體_HKSCS" w:eastAsia="細明體_HKSCS" w:hint="eastAsia"/>
        </w:rPr>
        <w:t>79</w:t>
      </w:r>
      <w:r>
        <w:rPr>
          <w:spacing w:val="-17"/>
        </w:rPr>
        <w:t>分，提起申訴，係由該府人事處為申訴函復， </w:t>
      </w:r>
      <w:r>
        <w:rPr/>
        <w:t>因該處並非保障法規定所稱之服務機關，其逕以該處名義</w:t>
      </w:r>
      <w:r>
        <w:rPr>
          <w:spacing w:val="-13"/>
        </w:rPr>
        <w:t>為申訴函復，經核於法未合。</w:t>
      </w:r>
      <w:r>
        <w:rPr/>
        <w:t>（</w:t>
      </w:r>
      <w:r>
        <w:rPr>
          <w:rFonts w:ascii="細明體_HKSCS" w:hAnsi="細明體_HKSCS" w:eastAsia="細明體_HKSCS" w:hint="eastAsia"/>
        </w:rPr>
        <w:t>105</w:t>
      </w:r>
      <w:r>
        <w:rPr/>
        <w:t>公申決字第</w:t>
      </w:r>
      <w:r>
        <w:rPr>
          <w:rFonts w:ascii="細明體_HKSCS" w:hAnsi="細明體_HKSCS" w:eastAsia="細明體_HKSCS" w:hint="eastAsia"/>
        </w:rPr>
        <w:t>0093</w:t>
      </w:r>
      <w:r>
        <w:rPr/>
        <w:t>號再申訴決定書）</w:t>
      </w:r>
    </w:p>
    <w:p>
      <w:pPr>
        <w:pStyle w:val="ListParagraph"/>
        <w:numPr>
          <w:ilvl w:val="0"/>
          <w:numId w:val="2"/>
        </w:numPr>
        <w:tabs>
          <w:tab w:pos="1325" w:val="left" w:leader="none"/>
        </w:tabs>
        <w:spacing w:line="300" w:lineRule="auto" w:before="4" w:after="0"/>
        <w:ind w:left="1324" w:right="272" w:hanging="322"/>
        <w:jc w:val="both"/>
        <w:rPr>
          <w:sz w:val="32"/>
        </w:rPr>
      </w:pPr>
      <w:r>
        <w:rPr>
          <w:sz w:val="32"/>
        </w:rPr>
        <w:t>按銓敘部</w:t>
      </w:r>
      <w:r>
        <w:rPr>
          <w:rFonts w:ascii="細明體_HKSCS" w:hAnsi="細明體_HKSCS" w:eastAsia="細明體_HKSCS" w:hint="eastAsia"/>
          <w:sz w:val="32"/>
        </w:rPr>
        <w:t>91</w:t>
      </w:r>
      <w:r>
        <w:rPr>
          <w:sz w:val="32"/>
        </w:rPr>
        <w:t>年</w:t>
      </w:r>
      <w:r>
        <w:rPr>
          <w:rFonts w:ascii="細明體_HKSCS" w:hAnsi="細明體_HKSCS" w:eastAsia="細明體_HKSCS" w:hint="eastAsia"/>
          <w:sz w:val="32"/>
        </w:rPr>
        <w:t>10</w:t>
      </w:r>
      <w:r>
        <w:rPr>
          <w:sz w:val="32"/>
        </w:rPr>
        <w:t>月</w:t>
      </w:r>
      <w:r>
        <w:rPr>
          <w:rFonts w:ascii="細明體_HKSCS" w:hAnsi="細明體_HKSCS" w:eastAsia="細明體_HKSCS" w:hint="eastAsia"/>
          <w:sz w:val="32"/>
        </w:rPr>
        <w:t>29</w:t>
      </w:r>
      <w:r>
        <w:rPr>
          <w:sz w:val="32"/>
        </w:rPr>
        <w:t>日部法二字第</w:t>
      </w:r>
      <w:r>
        <w:rPr>
          <w:rFonts w:ascii="細明體_HKSCS" w:hAnsi="細明體_HKSCS" w:eastAsia="細明體_HKSCS" w:hint="eastAsia"/>
          <w:sz w:val="32"/>
        </w:rPr>
        <w:t>0912187269</w:t>
      </w:r>
      <w:r>
        <w:rPr>
          <w:sz w:val="32"/>
        </w:rPr>
        <w:t>號書函釋意</w:t>
      </w:r>
      <w:r>
        <w:rPr>
          <w:spacing w:val="-1"/>
          <w:sz w:val="32"/>
        </w:rPr>
        <w:t>旨，年終考績應由本職機關相關主管人員以受考人之平時考核為基礎，評定成績。公務人員經借調或支援本機關其他單位辦事時，其考績應由其本職單位主管評擬，借調或支援單位主管評擬之意見，僅得作為本職單位主管評擬該</w:t>
      </w:r>
      <w:r>
        <w:rPr>
          <w:sz w:val="32"/>
        </w:rPr>
        <w:t>公務人員考績之參考。再申訴人係○○醫院師（三）</w:t>
      </w:r>
      <w:r>
        <w:rPr>
          <w:spacing w:val="-7"/>
          <w:sz w:val="32"/>
        </w:rPr>
        <w:t>級護</w:t>
      </w:r>
      <w:r>
        <w:rPr>
          <w:spacing w:val="-13"/>
          <w:sz w:val="32"/>
        </w:rPr>
        <w:t>理師兼護理長，經該院指派至○○護理之家工作。</w:t>
      </w:r>
      <w:r>
        <w:rPr>
          <w:rFonts w:ascii="細明體_HKSCS" w:hAnsi="細明體_HKSCS" w:eastAsia="細明體_HKSCS" w:hint="eastAsia"/>
          <w:sz w:val="32"/>
        </w:rPr>
        <w:t>104</w:t>
      </w:r>
      <w:r>
        <w:rPr>
          <w:spacing w:val="-5"/>
          <w:sz w:val="32"/>
        </w:rPr>
        <w:t>年年</w:t>
      </w:r>
      <w:r>
        <w:rPr>
          <w:spacing w:val="-1"/>
          <w:sz w:val="32"/>
        </w:rPr>
        <w:t>終考績評擬之程序，自應由其直屬主管，即護理科主任就考績表項目評擬後，依考績法規定辦理；○○護理之家主</w:t>
      </w:r>
    </w:p>
    <w:p>
      <w:pPr>
        <w:spacing w:after="0" w:line="300" w:lineRule="auto"/>
        <w:jc w:val="both"/>
        <w:rPr>
          <w:sz w:val="32"/>
        </w:rPr>
        <w:sectPr>
          <w:pgSz w:w="11910" w:h="16840"/>
          <w:pgMar w:header="0" w:footer="1017" w:top="1220" w:bottom="1200" w:left="1160" w:right="1140"/>
        </w:sectPr>
      </w:pPr>
    </w:p>
    <w:p>
      <w:pPr>
        <w:pStyle w:val="BodyText"/>
        <w:spacing w:line="300" w:lineRule="auto"/>
        <w:ind w:left="1324" w:right="269"/>
      </w:pPr>
      <w:r>
        <w:rPr/>
        <w:t>任之考評意見，僅得作為再申訴人本職單位主管評擬考績</w:t>
      </w:r>
      <w:r>
        <w:rPr>
          <w:spacing w:val="-17"/>
        </w:rPr>
        <w:t>之參考。復查再申訴人之</w:t>
      </w:r>
      <w:r>
        <w:rPr>
          <w:rFonts w:ascii="細明體_HKSCS" w:hAnsi="細明體_HKSCS" w:eastAsia="細明體_HKSCS" w:hint="eastAsia"/>
        </w:rPr>
        <w:t>104</w:t>
      </w:r>
      <w:r>
        <w:rPr/>
        <w:t>年度平時成績考核紀錄表直屬主管綜合考評及具體建議欄、公務人員考績表總評之直屬或上級長官評語欄、簽章欄，均無再申訴人單位主管填載</w:t>
      </w:r>
      <w:r>
        <w:rPr>
          <w:spacing w:val="-1"/>
        </w:rPr>
        <w:t>評語並簽章，而僅由○○護理之家主任為之。是○○醫院</w:t>
      </w:r>
      <w:r>
        <w:rPr/>
        <w:t>辦理再申訴人</w:t>
      </w:r>
      <w:r>
        <w:rPr>
          <w:rFonts w:ascii="細明體_HKSCS" w:hAnsi="細明體_HKSCS" w:eastAsia="細明體_HKSCS" w:hint="eastAsia"/>
        </w:rPr>
        <w:t>104</w:t>
      </w:r>
      <w:r>
        <w:rPr/>
        <w:t>年年終考績之程序，與考績法第</w:t>
      </w:r>
      <w:r>
        <w:rPr>
          <w:rFonts w:ascii="細明體_HKSCS" w:hAnsi="細明體_HKSCS" w:eastAsia="細明體_HKSCS" w:hint="eastAsia"/>
        </w:rPr>
        <w:t>14</w:t>
      </w:r>
      <w:r>
        <w:rPr/>
        <w:t>條第</w:t>
      </w:r>
      <w:r>
        <w:rPr>
          <w:rFonts w:ascii="細明體_HKSCS" w:hAnsi="細明體_HKSCS" w:eastAsia="細明體_HKSCS" w:hint="eastAsia"/>
          <w:spacing w:val="-11"/>
        </w:rPr>
        <w:t>1 </w:t>
      </w:r>
      <w:r>
        <w:rPr>
          <w:spacing w:val="14"/>
          <w:w w:val="95"/>
        </w:rPr>
        <w:t>項前段規定，及銓敘部上開</w:t>
      </w:r>
      <w:r>
        <w:rPr>
          <w:rFonts w:ascii="細明體_HKSCS" w:hAnsi="細明體_HKSCS" w:eastAsia="細明體_HKSCS" w:hint="eastAsia"/>
          <w:spacing w:val="7"/>
          <w:w w:val="95"/>
        </w:rPr>
        <w:t>91</w:t>
      </w:r>
      <w:r>
        <w:rPr>
          <w:spacing w:val="14"/>
          <w:w w:val="95"/>
        </w:rPr>
        <w:t>年</w:t>
      </w:r>
      <w:r>
        <w:rPr>
          <w:rFonts w:ascii="細明體_HKSCS" w:hAnsi="細明體_HKSCS" w:eastAsia="細明體_HKSCS" w:hint="eastAsia"/>
          <w:spacing w:val="7"/>
          <w:w w:val="95"/>
        </w:rPr>
        <w:t>10</w:t>
      </w:r>
      <w:r>
        <w:rPr>
          <w:spacing w:val="16"/>
          <w:w w:val="95"/>
        </w:rPr>
        <w:t>月</w:t>
      </w:r>
      <w:r>
        <w:rPr>
          <w:rFonts w:ascii="細明體_HKSCS" w:hAnsi="細明體_HKSCS" w:eastAsia="細明體_HKSCS" w:hint="eastAsia"/>
          <w:spacing w:val="7"/>
          <w:w w:val="95"/>
        </w:rPr>
        <w:t>29</w:t>
      </w:r>
      <w:r>
        <w:rPr>
          <w:spacing w:val="12"/>
          <w:w w:val="95"/>
        </w:rPr>
        <w:t>日書函釋意旨有 </w:t>
      </w:r>
      <w:r>
        <w:rPr>
          <w:spacing w:val="-3"/>
        </w:rPr>
        <w:t>違，核有法定程序之瑕疵。</w:t>
      </w:r>
      <w:r>
        <w:rPr/>
        <w:t>（</w:t>
      </w:r>
      <w:r>
        <w:rPr>
          <w:rFonts w:ascii="細明體_HKSCS" w:hAnsi="細明體_HKSCS" w:eastAsia="細明體_HKSCS" w:hint="eastAsia"/>
        </w:rPr>
        <w:t>105</w:t>
      </w:r>
      <w:r>
        <w:rPr/>
        <w:t>公申決字第</w:t>
      </w:r>
      <w:r>
        <w:rPr>
          <w:rFonts w:ascii="細明體_HKSCS" w:hAnsi="細明體_HKSCS" w:eastAsia="細明體_HKSCS" w:hint="eastAsia"/>
        </w:rPr>
        <w:t>0096</w:t>
      </w:r>
      <w:r>
        <w:rPr/>
        <w:t>號再申訴決定書）</w:t>
      </w:r>
    </w:p>
    <w:p>
      <w:pPr>
        <w:pStyle w:val="BodyText"/>
        <w:spacing w:line="300" w:lineRule="auto" w:before="7"/>
        <w:ind w:left="1324" w:right="267" w:hanging="322"/>
      </w:pPr>
      <w:r>
        <w:rPr>
          <w:rFonts w:ascii="細明體_HKSCS" w:hAnsi="細明體_HKSCS" w:eastAsia="細明體_HKSCS" w:hint="eastAsia"/>
          <w:spacing w:val="4"/>
        </w:rPr>
        <w:t>3.</w:t>
      </w:r>
      <w:r>
        <w:rPr>
          <w:spacing w:val="9"/>
        </w:rPr>
        <w:t>依銓敘部</w:t>
      </w:r>
      <w:r>
        <w:rPr>
          <w:rFonts w:ascii="細明體_HKSCS" w:hAnsi="細明體_HKSCS" w:eastAsia="細明體_HKSCS" w:hint="eastAsia"/>
        </w:rPr>
        <w:t>100</w:t>
      </w:r>
      <w:r>
        <w:rPr>
          <w:spacing w:val="9"/>
        </w:rPr>
        <w:t>年</w:t>
      </w:r>
      <w:r>
        <w:rPr>
          <w:rFonts w:ascii="細明體_HKSCS" w:hAnsi="細明體_HKSCS" w:eastAsia="細明體_HKSCS" w:hint="eastAsia"/>
          <w:spacing w:val="4"/>
        </w:rPr>
        <w:t>10</w:t>
      </w:r>
      <w:r>
        <w:rPr>
          <w:spacing w:val="9"/>
        </w:rPr>
        <w:t>月</w:t>
      </w:r>
      <w:r>
        <w:rPr>
          <w:rFonts w:ascii="細明體_HKSCS" w:hAnsi="細明體_HKSCS" w:eastAsia="細明體_HKSCS" w:hint="eastAsia"/>
          <w:spacing w:val="4"/>
        </w:rPr>
        <w:t>28</w:t>
      </w:r>
      <w:r>
        <w:rPr>
          <w:spacing w:val="7"/>
        </w:rPr>
        <w:t>日部法二字第</w:t>
      </w:r>
      <w:r>
        <w:rPr>
          <w:rFonts w:ascii="細明體_HKSCS" w:hAnsi="細明體_HKSCS" w:eastAsia="細明體_HKSCS" w:hint="eastAsia"/>
        </w:rPr>
        <w:t>1003503717</w:t>
      </w:r>
      <w:r>
        <w:rPr>
          <w:spacing w:val="9"/>
        </w:rPr>
        <w:t>號書函釋</w:t>
      </w:r>
      <w:r>
        <w:rPr/>
        <w:t>意旨，各機關單位主管及未隸屬於單位之技監、參事、參議、秘書等人員，應由機關首長以其平時成績考核紀錄為依據，按公務人員考績表所列工作、操行、學識、才能各</w:t>
      </w:r>
      <w:r>
        <w:rPr>
          <w:spacing w:val="13"/>
          <w:w w:val="95"/>
        </w:rPr>
        <w:t>項細目之考核內容，對該等人員之整體表現予以綜合評 </w:t>
      </w:r>
      <w:r>
        <w:rPr>
          <w:spacing w:val="13"/>
        </w:rPr>
        <w:t>擬。再申訴人係○市環保局技正，依其職務說明書三、所</w:t>
      </w:r>
      <w:r>
        <w:rPr>
          <w:spacing w:val="2"/>
        </w:rPr>
        <w:t>在單位欄之記載為「本局</w:t>
      </w:r>
      <w:r>
        <w:rPr>
          <w:spacing w:val="-21"/>
        </w:rPr>
        <w:t>」，顯未隸屬於該局任何單位，其</w:t>
      </w:r>
    </w:p>
    <w:p>
      <w:pPr>
        <w:pStyle w:val="BodyText"/>
        <w:spacing w:line="300" w:lineRule="auto" w:before="6"/>
        <w:ind w:left="1324" w:right="272"/>
      </w:pPr>
      <w:r>
        <w:rPr>
          <w:rFonts w:ascii="細明體_HKSCS" w:hAnsi="細明體_HKSCS" w:eastAsia="細明體_HKSCS" w:hint="eastAsia"/>
        </w:rPr>
        <w:t>104</w:t>
      </w:r>
      <w:r>
        <w:rPr>
          <w:spacing w:val="-12"/>
        </w:rPr>
        <w:t>年公務人員平時成績考核記錄表，係由該局○主任秘書</w:t>
      </w:r>
      <w:r>
        <w:rPr>
          <w:spacing w:val="-1"/>
        </w:rPr>
        <w:t>簽章；其公務人員考績表則由○專門委員予以評擬，核與</w:t>
      </w:r>
      <w:r>
        <w:rPr/>
        <w:t>考績法第</w:t>
      </w:r>
      <w:r>
        <w:rPr>
          <w:rFonts w:ascii="細明體_HKSCS" w:hAnsi="細明體_HKSCS" w:eastAsia="細明體_HKSCS" w:hint="eastAsia"/>
        </w:rPr>
        <w:t>14</w:t>
      </w:r>
      <w:r>
        <w:rPr/>
        <w:t>條第</w:t>
      </w:r>
      <w:r>
        <w:rPr>
          <w:rFonts w:ascii="細明體_HKSCS" w:hAnsi="細明體_HKSCS" w:eastAsia="細明體_HKSCS" w:hint="eastAsia"/>
        </w:rPr>
        <w:t>1</w:t>
      </w:r>
      <w:r>
        <w:rPr>
          <w:spacing w:val="-14"/>
        </w:rPr>
        <w:t>項前段規定，應由主管人員評擬之規定未</w:t>
      </w:r>
      <w:r>
        <w:rPr>
          <w:spacing w:val="-22"/>
        </w:rPr>
        <w:t>合，該局辦理考績業務核有法定程序之瑕疵。</w:t>
      </w:r>
      <w:r>
        <w:rPr/>
        <w:t>（</w:t>
      </w:r>
      <w:r>
        <w:rPr>
          <w:rFonts w:ascii="細明體_HKSCS" w:hAnsi="細明體_HKSCS" w:eastAsia="細明體_HKSCS" w:hint="eastAsia"/>
        </w:rPr>
        <w:t>105</w:t>
      </w:r>
      <w:r>
        <w:rPr>
          <w:spacing w:val="-5"/>
        </w:rPr>
        <w:t>公申決</w:t>
      </w:r>
      <w:r>
        <w:rPr/>
        <w:t>字第</w:t>
      </w:r>
      <w:r>
        <w:rPr>
          <w:rFonts w:ascii="細明體_HKSCS" w:hAnsi="細明體_HKSCS" w:eastAsia="細明體_HKSCS" w:hint="eastAsia"/>
        </w:rPr>
        <w:t>0103</w:t>
      </w:r>
      <w:r>
        <w:rPr/>
        <w:t>號）</w:t>
      </w:r>
    </w:p>
    <w:p>
      <w:pPr>
        <w:pStyle w:val="ListParagraph"/>
        <w:numPr>
          <w:ilvl w:val="0"/>
          <w:numId w:val="2"/>
        </w:numPr>
        <w:tabs>
          <w:tab w:pos="1337" w:val="left" w:leader="none"/>
        </w:tabs>
        <w:spacing w:line="300" w:lineRule="auto" w:before="2" w:after="0"/>
        <w:ind w:left="1324" w:right="262" w:hanging="322"/>
        <w:jc w:val="both"/>
        <w:rPr>
          <w:sz w:val="32"/>
        </w:rPr>
      </w:pPr>
      <w:r>
        <w:rPr>
          <w:spacing w:val="14"/>
          <w:w w:val="95"/>
          <w:sz w:val="32"/>
        </w:rPr>
        <w:t>查再申訴人原係○縣立高中會計室主任，為主辦主計人 </w:t>
      </w:r>
      <w:r>
        <w:rPr>
          <w:spacing w:val="-26"/>
          <w:sz w:val="32"/>
        </w:rPr>
        <w:t>員。其</w:t>
      </w:r>
      <w:r>
        <w:rPr>
          <w:rFonts w:ascii="細明體_HKSCS" w:hAnsi="細明體_HKSCS" w:eastAsia="細明體_HKSCS" w:hint="eastAsia"/>
          <w:sz w:val="32"/>
        </w:rPr>
        <w:t>104</w:t>
      </w:r>
      <w:r>
        <w:rPr>
          <w:spacing w:val="-8"/>
          <w:sz w:val="32"/>
        </w:rPr>
        <w:t>年年終考績之作業程序，係先由○縣立高中校長評擬為</w:t>
      </w:r>
      <w:r>
        <w:rPr>
          <w:rFonts w:ascii="細明體_HKSCS" w:hAnsi="細明體_HKSCS" w:eastAsia="細明體_HKSCS" w:hint="eastAsia"/>
          <w:spacing w:val="-8"/>
          <w:sz w:val="32"/>
        </w:rPr>
        <w:t>86</w:t>
      </w:r>
      <w:r>
        <w:rPr>
          <w:spacing w:val="-5"/>
          <w:sz w:val="32"/>
        </w:rPr>
        <w:t>分，再由○縣主計處會計決算科按該校校長評擬分數占</w:t>
      </w:r>
      <w:r>
        <w:rPr>
          <w:rFonts w:ascii="細明體_HKSCS" w:hAnsi="細明體_HKSCS" w:eastAsia="細明體_HKSCS" w:hint="eastAsia"/>
          <w:spacing w:val="-5"/>
          <w:sz w:val="32"/>
        </w:rPr>
        <w:t>10</w:t>
      </w:r>
      <w:r>
        <w:rPr>
          <w:rFonts w:ascii="細明體_HKSCS" w:hAnsi="細明體_HKSCS" w:eastAsia="細明體_HKSCS" w:hint="eastAsia"/>
          <w:spacing w:val="-3"/>
          <w:sz w:val="32"/>
        </w:rPr>
        <w:t> </w:t>
      </w:r>
      <w:r>
        <w:rPr>
          <w:sz w:val="32"/>
        </w:rPr>
        <w:t>％，及主計處考核再申訴人業務分數占</w:t>
      </w:r>
      <w:r>
        <w:rPr>
          <w:rFonts w:ascii="細明體_HKSCS" w:hAnsi="細明體_HKSCS" w:eastAsia="細明體_HKSCS" w:hint="eastAsia"/>
          <w:sz w:val="32"/>
        </w:rPr>
        <w:t>90</w:t>
      </w:r>
      <w:r>
        <w:rPr>
          <w:rFonts w:ascii="細明體_HKSCS" w:hAnsi="細明體_HKSCS" w:eastAsia="細明體_HKSCS" w:hint="eastAsia"/>
          <w:spacing w:val="1"/>
          <w:sz w:val="32"/>
        </w:rPr>
        <w:t> </w:t>
      </w:r>
      <w:r>
        <w:rPr>
          <w:sz w:val="32"/>
        </w:rPr>
        <w:t>％之</w:t>
      </w:r>
    </w:p>
    <w:p>
      <w:pPr>
        <w:spacing w:after="0" w:line="300" w:lineRule="auto"/>
        <w:jc w:val="both"/>
        <w:rPr>
          <w:sz w:val="32"/>
        </w:rPr>
        <w:sectPr>
          <w:pgSz w:w="11910" w:h="16840"/>
          <w:pgMar w:header="0" w:footer="1017" w:top="1220" w:bottom="1200" w:left="1160" w:right="1140"/>
        </w:sectPr>
      </w:pPr>
    </w:p>
    <w:p>
      <w:pPr>
        <w:pStyle w:val="BodyText"/>
        <w:spacing w:line="300" w:lineRule="auto"/>
        <w:ind w:left="1324" w:right="272"/>
      </w:pPr>
      <w:r>
        <w:rPr/>
        <w:t>方式，加權計算為</w:t>
      </w:r>
      <w:r>
        <w:rPr>
          <w:rFonts w:ascii="細明體_HKSCS" w:hAnsi="細明體_HKSCS" w:eastAsia="細明體_HKSCS" w:hint="eastAsia"/>
        </w:rPr>
        <w:t>79</w:t>
      </w:r>
      <w:r>
        <w:rPr>
          <w:spacing w:val="-1"/>
        </w:rPr>
        <w:t>分，並於簽奉處長核可，提該處考績</w:t>
      </w:r>
      <w:r>
        <w:rPr>
          <w:spacing w:val="-13"/>
        </w:rPr>
        <w:t>委員會會議初核。據上，再申訴人</w:t>
      </w:r>
      <w:r>
        <w:rPr>
          <w:rFonts w:ascii="細明體_HKSCS" w:hAnsi="細明體_HKSCS" w:eastAsia="細明體_HKSCS" w:hint="eastAsia"/>
        </w:rPr>
        <w:t>104</w:t>
      </w:r>
      <w:r>
        <w:rPr/>
        <w:t>年年終考績係由○縣</w:t>
      </w:r>
      <w:r>
        <w:rPr>
          <w:spacing w:val="-1"/>
        </w:rPr>
        <w:t>立高中校長初評，再經○縣主計處核算加權分數後，即提送該處考績委員會審議，此同意提會之表示，而未經該處</w:t>
      </w:r>
      <w:r>
        <w:rPr>
          <w:spacing w:val="-9"/>
        </w:rPr>
        <w:t>處長評擬之情事，核有法定程序之瑕疵。</w:t>
      </w:r>
      <w:r>
        <w:rPr/>
        <w:t>（</w:t>
      </w:r>
      <w:r>
        <w:rPr>
          <w:rFonts w:ascii="細明體_HKSCS" w:hAnsi="細明體_HKSCS" w:eastAsia="細明體_HKSCS" w:hint="eastAsia"/>
        </w:rPr>
        <w:t>105</w:t>
      </w:r>
      <w:r>
        <w:rPr>
          <w:spacing w:val="-3"/>
        </w:rPr>
        <w:t>公申決字第</w:t>
      </w:r>
    </w:p>
    <w:p>
      <w:pPr>
        <w:pStyle w:val="BodyText"/>
        <w:spacing w:before="4"/>
        <w:ind w:left="1324"/>
        <w:jc w:val="left"/>
      </w:pPr>
      <w:r>
        <w:rPr>
          <w:rFonts w:ascii="細明體_HKSCS" w:eastAsia="細明體_HKSCS" w:hint="eastAsia"/>
        </w:rPr>
        <w:t>0108</w:t>
      </w:r>
      <w:r>
        <w:rPr/>
        <w:t>號再申訴決定書）</w:t>
      </w:r>
    </w:p>
    <w:p>
      <w:pPr>
        <w:pStyle w:val="Heading1"/>
        <w:spacing w:before="206"/>
      </w:pPr>
      <w:r>
        <w:rPr/>
        <w:t>二、關於獎懲實體撤銷理由部分：</w:t>
      </w:r>
    </w:p>
    <w:p>
      <w:pPr>
        <w:pStyle w:val="BodyText"/>
        <w:spacing w:line="300" w:lineRule="auto" w:before="158"/>
        <w:ind w:left="964" w:right="198" w:firstLine="9"/>
      </w:pPr>
      <w:r>
        <w:rPr/>
        <w:t>依考績法第</w:t>
      </w:r>
      <w:r>
        <w:rPr>
          <w:rFonts w:ascii="細明體_HKSCS" w:eastAsia="細明體_HKSCS" w:hint="eastAsia"/>
        </w:rPr>
        <w:t>14</w:t>
      </w:r>
      <w:r>
        <w:rPr>
          <w:spacing w:val="-22"/>
        </w:rPr>
        <w:t>條、第</w:t>
      </w:r>
      <w:r>
        <w:rPr>
          <w:rFonts w:ascii="細明體_HKSCS" w:eastAsia="細明體_HKSCS" w:hint="eastAsia"/>
        </w:rPr>
        <w:t>15</w:t>
      </w:r>
      <w:r>
        <w:rPr/>
        <w:t>條及考績委員會組織規程第</w:t>
      </w:r>
      <w:r>
        <w:rPr>
          <w:rFonts w:ascii="細明體_HKSCS" w:eastAsia="細明體_HKSCS" w:hint="eastAsia"/>
        </w:rPr>
        <w:t>3</w:t>
      </w:r>
      <w:r>
        <w:rPr/>
        <w:t>條規定， 除長官僅有一級或因特殊情形報經上級機關核准不設置考績委員會外，各機關應設考績委員會，以核議機關職員及直屬機關首長之平時考核獎懲。是各機關辦理公務人員獎懲時， 自應依考績法相關規定及各機關獎懲規定辦理，惟尚有下列瑕疵，而經本會決定撤銷者︰</w:t>
      </w:r>
    </w:p>
    <w:p>
      <w:pPr>
        <w:pStyle w:val="Heading1"/>
        <w:spacing w:line="487" w:lineRule="exact"/>
        <w:ind w:left="116"/>
      </w:pPr>
      <w:r>
        <w:rPr/>
        <w:t>（一） 懲處應對違失行為整體考量：</w:t>
      </w:r>
    </w:p>
    <w:p>
      <w:pPr>
        <w:pStyle w:val="ListParagraph"/>
        <w:numPr>
          <w:ilvl w:val="0"/>
          <w:numId w:val="3"/>
        </w:numPr>
        <w:tabs>
          <w:tab w:pos="1260" w:val="left" w:leader="none"/>
        </w:tabs>
        <w:spacing w:line="300" w:lineRule="auto" w:before="77" w:after="0"/>
        <w:ind w:left="1259" w:right="269" w:hanging="360"/>
        <w:jc w:val="both"/>
        <w:rPr>
          <w:sz w:val="32"/>
        </w:rPr>
      </w:pPr>
      <w:r>
        <w:rPr>
          <w:spacing w:val="15"/>
          <w:sz w:val="32"/>
        </w:rPr>
        <w:t>○○港警總隊調查再申訴人遭檢舉與貨運業者過從甚密</w:t>
      </w:r>
      <w:r>
        <w:rPr>
          <w:sz w:val="32"/>
        </w:rPr>
        <w:t>案，原未發現再申訴人與○君有密切交往情事，且認定○ 君並非特定對象，故僅就其違反忠實報告義務部分，核予記過一次之懲處；嗣認定○君為治安顧慮人口，並以再申訴人與特定對象交往屬實，再核予申誡一次之懲處。○○ 港警總隊對於再申訴人上開違失行為，應審酌其行為之動機、目的、違反義務之程度、行為所生之損害或影響、行為後之態度等情狀，整體考量，合併審究其行政責任；該總隊分別核予申誡一次及記過一次之懲處，而未綜合上開</w:t>
      </w:r>
      <w:r>
        <w:rPr>
          <w:spacing w:val="-7"/>
          <w:sz w:val="32"/>
        </w:rPr>
        <w:t>情狀為整體考量，合併審究其行政責任，即有未洽。</w:t>
      </w:r>
      <w:r>
        <w:rPr>
          <w:sz w:val="32"/>
        </w:rPr>
        <w:t>（</w:t>
      </w:r>
      <w:r>
        <w:rPr>
          <w:rFonts w:ascii="細明體_HKSCS" w:hAnsi="細明體_HKSCS" w:eastAsia="細明體_HKSCS" w:hint="eastAsia"/>
          <w:sz w:val="32"/>
        </w:rPr>
        <w:t>105 </w:t>
      </w:r>
      <w:r>
        <w:rPr>
          <w:spacing w:val="-14"/>
          <w:sz w:val="32"/>
        </w:rPr>
        <w:t>公申決字第 </w:t>
      </w:r>
      <w:r>
        <w:rPr>
          <w:rFonts w:ascii="細明體_HKSCS" w:hAnsi="細明體_HKSCS" w:eastAsia="細明體_HKSCS" w:hint="eastAsia"/>
          <w:sz w:val="32"/>
        </w:rPr>
        <w:t>0056</w:t>
      </w:r>
      <w:r>
        <w:rPr>
          <w:rFonts w:ascii="細明體_HKSCS" w:hAnsi="細明體_HKSCS" w:eastAsia="細明體_HKSCS" w:hint="eastAsia"/>
          <w:spacing w:val="-82"/>
          <w:sz w:val="32"/>
        </w:rPr>
        <w:t> </w:t>
      </w:r>
      <w:r>
        <w:rPr>
          <w:sz w:val="32"/>
        </w:rPr>
        <w:t>號）</w:t>
      </w:r>
    </w:p>
    <w:p>
      <w:pPr>
        <w:spacing w:after="0" w:line="300" w:lineRule="auto"/>
        <w:jc w:val="both"/>
        <w:rPr>
          <w:sz w:val="32"/>
        </w:rPr>
        <w:sectPr>
          <w:pgSz w:w="11910" w:h="16840"/>
          <w:pgMar w:header="0" w:footer="1017" w:top="1220" w:bottom="1200" w:left="1160" w:right="1140"/>
        </w:sectPr>
      </w:pPr>
    </w:p>
    <w:p>
      <w:pPr>
        <w:pStyle w:val="ListParagraph"/>
        <w:numPr>
          <w:ilvl w:val="0"/>
          <w:numId w:val="3"/>
        </w:numPr>
        <w:tabs>
          <w:tab w:pos="1260" w:val="left" w:leader="none"/>
        </w:tabs>
        <w:spacing w:line="300" w:lineRule="auto" w:before="23" w:after="0"/>
        <w:ind w:left="1259" w:right="269" w:hanging="360"/>
        <w:jc w:val="both"/>
        <w:rPr>
          <w:sz w:val="32"/>
        </w:rPr>
      </w:pPr>
      <w:r>
        <w:rPr>
          <w:spacing w:val="15"/>
          <w:sz w:val="32"/>
        </w:rPr>
        <w:t>○○院對於再申訴人上開違失行為，應審酌其行為之動</w:t>
      </w:r>
      <w:r>
        <w:rPr>
          <w:sz w:val="32"/>
        </w:rPr>
        <w:t>機、目的、違反義務之程度、行為所生之損害或影響、行為後之態度等情狀為整體考量，合併審究其行政責任。據</w:t>
      </w:r>
      <w:r>
        <w:rPr>
          <w:spacing w:val="-4"/>
          <w:sz w:val="32"/>
        </w:rPr>
        <w:t>此，○○院對於再申訴人曠職 </w:t>
      </w:r>
      <w:r>
        <w:rPr>
          <w:rFonts w:ascii="細明體_HKSCS" w:hAnsi="細明體_HKSCS" w:eastAsia="細明體_HKSCS" w:hint="eastAsia"/>
          <w:sz w:val="32"/>
        </w:rPr>
        <w:t>2</w:t>
      </w:r>
      <w:r>
        <w:rPr>
          <w:rFonts w:ascii="細明體_HKSCS" w:hAnsi="細明體_HKSCS" w:eastAsia="細明體_HKSCS" w:hint="eastAsia"/>
          <w:spacing w:val="-49"/>
          <w:sz w:val="32"/>
        </w:rPr>
        <w:t> </w:t>
      </w:r>
      <w:r>
        <w:rPr>
          <w:sz w:val="32"/>
        </w:rPr>
        <w:t>日之違失行為，以及其於行為後為求掩飾曠職情事所為之虛偽陳述，分別核予申誡二次及記過一次之懲處，而未綜合上開情狀為整體考量， </w:t>
      </w:r>
      <w:r>
        <w:rPr>
          <w:spacing w:val="-10"/>
          <w:sz w:val="32"/>
        </w:rPr>
        <w:t>合併審究其行政責任，容有未洽。</w:t>
      </w:r>
      <w:r>
        <w:rPr>
          <w:sz w:val="32"/>
        </w:rPr>
        <w:t>（</w:t>
      </w:r>
      <w:r>
        <w:rPr>
          <w:rFonts w:ascii="細明體_HKSCS" w:hAnsi="細明體_HKSCS" w:eastAsia="細明體_HKSCS" w:hint="eastAsia"/>
          <w:sz w:val="32"/>
        </w:rPr>
        <w:t>105</w:t>
      </w:r>
      <w:r>
        <w:rPr>
          <w:rFonts w:ascii="細明體_HKSCS" w:hAnsi="細明體_HKSCS" w:eastAsia="細明體_HKSCS" w:hint="eastAsia"/>
          <w:spacing w:val="-1"/>
          <w:sz w:val="32"/>
        </w:rPr>
        <w:t> </w:t>
      </w:r>
      <w:r>
        <w:rPr>
          <w:spacing w:val="1"/>
          <w:sz w:val="32"/>
        </w:rPr>
        <w:t>公申決字第 </w:t>
      </w:r>
      <w:r>
        <w:rPr>
          <w:rFonts w:ascii="細明體_HKSCS" w:hAnsi="細明體_HKSCS" w:eastAsia="細明體_HKSCS" w:hint="eastAsia"/>
          <w:sz w:val="32"/>
        </w:rPr>
        <w:t>0058 </w:t>
      </w:r>
      <w:r>
        <w:rPr>
          <w:sz w:val="32"/>
        </w:rPr>
        <w:t>號再申訴決定書）</w:t>
      </w:r>
    </w:p>
    <w:p>
      <w:pPr>
        <w:pStyle w:val="Heading1"/>
        <w:spacing w:before="100"/>
        <w:ind w:left="116"/>
      </w:pPr>
      <w:r>
        <w:rPr/>
        <w:t>（二） 違反一行為不二罰原則︰</w:t>
      </w:r>
    </w:p>
    <w:p>
      <w:pPr>
        <w:pStyle w:val="BodyText"/>
        <w:spacing w:line="300" w:lineRule="auto" w:before="77"/>
        <w:ind w:left="1223" w:right="273"/>
      </w:pPr>
      <w:r>
        <w:rPr>
          <w:spacing w:val="3"/>
          <w:w w:val="95"/>
        </w:rPr>
        <w:t>按「一行為不二罰」乃現代民主法治國家之基本原則，機 關對於行為人基於相同動機或概括犯意之單一事件，應整 體考量，合併審究其行政責任。查○女士觀護資料地址是 </w:t>
      </w:r>
      <w:r>
        <w:rPr>
          <w:spacing w:val="-14"/>
        </w:rPr>
        <w:t>否係於 </w:t>
      </w:r>
      <w:r>
        <w:rPr>
          <w:rFonts w:ascii="細明體_HKSCS" w:hAnsi="細明體_HKSCS" w:eastAsia="細明體_HKSCS" w:hint="eastAsia"/>
        </w:rPr>
        <w:t>103</w:t>
      </w:r>
      <w:r>
        <w:rPr>
          <w:rFonts w:ascii="細明體_HKSCS" w:hAnsi="細明體_HKSCS" w:eastAsia="細明體_HKSCS" w:hint="eastAsia"/>
          <w:spacing w:val="-64"/>
        </w:rPr>
        <w:t> </w:t>
      </w:r>
      <w:r>
        <w:rPr>
          <w:spacing w:val="-31"/>
        </w:rPr>
        <w:t>年 </w:t>
      </w:r>
      <w:r>
        <w:rPr>
          <w:rFonts w:ascii="細明體_HKSCS" w:hAnsi="細明體_HKSCS" w:eastAsia="細明體_HKSCS" w:hint="eastAsia"/>
        </w:rPr>
        <w:t>11</w:t>
      </w:r>
      <w:r>
        <w:rPr>
          <w:rFonts w:ascii="細明體_HKSCS" w:hAnsi="細明體_HKSCS" w:eastAsia="細明體_HKSCS" w:hint="eastAsia"/>
          <w:spacing w:val="-65"/>
        </w:rPr>
        <w:t> </w:t>
      </w:r>
      <w:r>
        <w:rPr>
          <w:spacing w:val="-32"/>
        </w:rPr>
        <w:t>月 </w:t>
      </w:r>
      <w:r>
        <w:rPr>
          <w:rFonts w:ascii="細明體_HKSCS" w:hAnsi="細明體_HKSCS" w:eastAsia="細明體_HKSCS" w:hint="eastAsia"/>
        </w:rPr>
        <w:t>13</w:t>
      </w:r>
      <w:r>
        <w:rPr>
          <w:rFonts w:ascii="細明體_HKSCS" w:hAnsi="細明體_HKSCS" w:eastAsia="細明體_HKSCS" w:hint="eastAsia"/>
          <w:spacing w:val="-63"/>
        </w:rPr>
        <w:t> </w:t>
      </w:r>
      <w:r>
        <w:rPr/>
        <w:t>日變更，攸關再申訴人是否於○女</w:t>
      </w:r>
      <w:r>
        <w:rPr>
          <w:spacing w:val="3"/>
          <w:w w:val="95"/>
        </w:rPr>
        <w:t>士離婚前即有同居事實之認定，○○市警察局就此有利於 再申訴人之事實，未進一步向○○地方法院檢察署求證， 僅依觀護明細資料之記載及與○女士之訪談紀錄，訴諸經 驗法則與社會通念，逕自認定再申訴人於○女士離婚前， 有與其發生不正常感情交往及同居之情事，尚嫌速斷；如 </w:t>
      </w:r>
      <w:r>
        <w:rPr>
          <w:spacing w:val="-8"/>
        </w:rPr>
        <w:t>認定再申訴人於 </w:t>
      </w:r>
      <w:r>
        <w:rPr>
          <w:rFonts w:ascii="細明體_HKSCS" w:hAnsi="細明體_HKSCS" w:eastAsia="細明體_HKSCS" w:hint="eastAsia"/>
        </w:rPr>
        <w:t>103</w:t>
      </w:r>
      <w:r>
        <w:rPr>
          <w:rFonts w:ascii="細明體_HKSCS" w:hAnsi="細明體_HKSCS" w:eastAsia="細明體_HKSCS" w:hint="eastAsia"/>
          <w:spacing w:val="-82"/>
        </w:rPr>
        <w:t> </w:t>
      </w:r>
      <w:r>
        <w:rPr>
          <w:spacing w:val="-40"/>
        </w:rPr>
        <w:t>年 </w:t>
      </w:r>
      <w:r>
        <w:rPr>
          <w:rFonts w:ascii="細明體_HKSCS" w:hAnsi="細明體_HKSCS" w:eastAsia="細明體_HKSCS" w:hint="eastAsia"/>
        </w:rPr>
        <w:t>10</w:t>
      </w:r>
      <w:r>
        <w:rPr>
          <w:rFonts w:ascii="細明體_HKSCS" w:hAnsi="細明體_HKSCS" w:eastAsia="細明體_HKSCS" w:hint="eastAsia"/>
          <w:spacing w:val="-84"/>
        </w:rPr>
        <w:t> </w:t>
      </w:r>
      <w:r>
        <w:rPr>
          <w:spacing w:val="-8"/>
        </w:rPr>
        <w:t>月間，與當時尚未離婚之○女士</w:t>
      </w:r>
      <w:r>
        <w:rPr>
          <w:spacing w:val="3"/>
          <w:w w:val="95"/>
        </w:rPr>
        <w:t>發生不正常感情交往並有同居之事實，違反規定而予以懲 處，核有同居及接觸交往之對象相同，時間亦有所重疊之 情形，則兩件懲處之違失行為是否屬同一行為事實，而生 </w:t>
      </w:r>
      <w:r>
        <w:rPr>
          <w:spacing w:val="-13"/>
        </w:rPr>
        <w:t>一行為二罰之問題，亦應併予審酌。</w:t>
      </w:r>
      <w:r>
        <w:rPr/>
        <w:t>（</w:t>
      </w:r>
      <w:r>
        <w:rPr>
          <w:rFonts w:ascii="細明體_HKSCS" w:hAnsi="細明體_HKSCS" w:eastAsia="細明體_HKSCS" w:hint="eastAsia"/>
        </w:rPr>
        <w:t>105</w:t>
      </w:r>
      <w:r>
        <w:rPr>
          <w:rFonts w:ascii="細明體_HKSCS" w:hAnsi="細明體_HKSCS" w:eastAsia="細明體_HKSCS" w:hint="eastAsia"/>
          <w:spacing w:val="-84"/>
        </w:rPr>
        <w:t> </w:t>
      </w:r>
      <w:r>
        <w:rPr>
          <w:spacing w:val="-14"/>
        </w:rPr>
        <w:t>公申決字第 </w:t>
      </w:r>
      <w:r>
        <w:rPr>
          <w:rFonts w:ascii="細明體_HKSCS" w:hAnsi="細明體_HKSCS" w:eastAsia="細明體_HKSCS" w:hint="eastAsia"/>
          <w:spacing w:val="-4"/>
        </w:rPr>
        <w:t>0095 </w:t>
      </w:r>
      <w:r>
        <w:rPr/>
        <w:t>號再申訴決定書）</w:t>
      </w:r>
    </w:p>
    <w:p>
      <w:pPr>
        <w:pStyle w:val="Heading1"/>
        <w:spacing w:before="104"/>
        <w:ind w:left="116"/>
      </w:pPr>
      <w:r>
        <w:rPr/>
        <w:t>（三） 懲處事實未經詳實調查或認定有誤︰</w:t>
      </w:r>
    </w:p>
    <w:p>
      <w:pPr>
        <w:spacing w:after="0"/>
        <w:sectPr>
          <w:pgSz w:w="11910" w:h="16840"/>
          <w:pgMar w:header="0" w:footer="1017" w:top="1220" w:bottom="1200" w:left="1160" w:right="1140"/>
        </w:sectPr>
      </w:pPr>
    </w:p>
    <w:p>
      <w:pPr>
        <w:pStyle w:val="ListParagraph"/>
        <w:numPr>
          <w:ilvl w:val="0"/>
          <w:numId w:val="4"/>
        </w:numPr>
        <w:tabs>
          <w:tab w:pos="1301" w:val="left" w:leader="none"/>
        </w:tabs>
        <w:spacing w:line="300" w:lineRule="auto" w:before="23" w:after="0"/>
        <w:ind w:left="1298" w:right="272" w:hanging="320"/>
        <w:jc w:val="both"/>
        <w:rPr>
          <w:sz w:val="32"/>
        </w:rPr>
      </w:pPr>
      <w:r>
        <w:rPr>
          <w:sz w:val="32"/>
        </w:rPr>
        <w:t>轄內遭查獲職業大賭場工寮，經調閱警勤區轄境圖尚無法</w:t>
      </w:r>
      <w:r>
        <w:rPr>
          <w:spacing w:val="-1"/>
          <w:sz w:val="32"/>
        </w:rPr>
        <w:t>判定屬何勤區，且經○○分局相關主管會同○○里、鄰長</w:t>
      </w:r>
      <w:r>
        <w:rPr>
          <w:sz w:val="32"/>
        </w:rPr>
        <w:t>實地勘察時，亦未能確定究屬○○警勤區之轄境，則該地點確屬勤區轄境地界不明之處，再申訴人事前既乏資料清</w:t>
      </w:r>
      <w:r>
        <w:rPr>
          <w:spacing w:val="-1"/>
          <w:sz w:val="32"/>
        </w:rPr>
        <w:t>楚得知該地點屬其警勤區範圍，○○分局審認為其警勤區</w:t>
      </w:r>
      <w:r>
        <w:rPr>
          <w:sz w:val="32"/>
        </w:rPr>
        <w:t>之懲處過程，就案件事實及證據，未就當事人有利及不利</w:t>
      </w:r>
      <w:r>
        <w:rPr>
          <w:spacing w:val="-11"/>
          <w:sz w:val="32"/>
        </w:rPr>
        <w:t>情形，均予斟酌判斷，難謂妥適。</w:t>
      </w:r>
      <w:r>
        <w:rPr>
          <w:sz w:val="32"/>
        </w:rPr>
        <w:t>（</w:t>
      </w:r>
      <w:r>
        <w:rPr>
          <w:rFonts w:ascii="細明體_HKSCS" w:hAnsi="細明體_HKSCS" w:eastAsia="細明體_HKSCS" w:hint="eastAsia"/>
          <w:sz w:val="32"/>
        </w:rPr>
        <w:t>105</w:t>
      </w:r>
      <w:r>
        <w:rPr>
          <w:spacing w:val="1"/>
          <w:sz w:val="32"/>
        </w:rPr>
        <w:t>公申決字第</w:t>
      </w:r>
      <w:r>
        <w:rPr>
          <w:rFonts w:ascii="細明體_HKSCS" w:hAnsi="細明體_HKSCS" w:eastAsia="細明體_HKSCS" w:hint="eastAsia"/>
          <w:sz w:val="32"/>
        </w:rPr>
        <w:t>0013</w:t>
      </w:r>
      <w:r>
        <w:rPr>
          <w:sz w:val="32"/>
        </w:rPr>
        <w:t>號再申訴決定書）</w:t>
      </w:r>
    </w:p>
    <w:p>
      <w:pPr>
        <w:pStyle w:val="ListParagraph"/>
        <w:numPr>
          <w:ilvl w:val="0"/>
          <w:numId w:val="4"/>
        </w:numPr>
        <w:tabs>
          <w:tab w:pos="1301" w:val="left" w:leader="none"/>
        </w:tabs>
        <w:spacing w:line="300" w:lineRule="auto" w:before="7" w:after="0"/>
        <w:ind w:left="1298" w:right="272" w:hanging="320"/>
        <w:jc w:val="both"/>
        <w:rPr>
          <w:sz w:val="32"/>
        </w:rPr>
      </w:pPr>
      <w:r>
        <w:rPr>
          <w:sz w:val="32"/>
        </w:rPr>
        <w:t>○○運務段調查到同仁將旅客車票累積為自己或眷屬名下點數之違規行為，審認再申訴人於系爭涉案期間，係藉職務之便，將旅客購票金額累積為親友名下點數，惟無法提</w:t>
      </w:r>
      <w:r>
        <w:rPr>
          <w:spacing w:val="13"/>
          <w:w w:val="95"/>
          <w:sz w:val="32"/>
        </w:rPr>
        <w:t>出充分之事證，自難認該段考成委員會核議本件懲處案 </w:t>
      </w:r>
      <w:r>
        <w:rPr>
          <w:spacing w:val="13"/>
          <w:sz w:val="32"/>
        </w:rPr>
        <w:t>時，已就再申訴人之行為動機、手段、目的、涉案情節、違反義務之程度、行為所生之損害或影響、行為後之態度</w:t>
      </w:r>
      <w:r>
        <w:rPr>
          <w:spacing w:val="13"/>
          <w:w w:val="95"/>
          <w:sz w:val="32"/>
        </w:rPr>
        <w:t>等情狀有所審酌；且該段於未釐清相關涉案責任之情形 </w:t>
      </w:r>
      <w:r>
        <w:rPr>
          <w:spacing w:val="13"/>
          <w:sz w:val="32"/>
        </w:rPr>
        <w:t>下，即將再申訴人與其他涉案人員之違失行為等而視之， </w:t>
      </w:r>
      <w:r>
        <w:rPr>
          <w:sz w:val="32"/>
        </w:rPr>
        <w:t>皆核予相同之懲處，不無率斷；又再申訴人所違反之服務</w:t>
      </w:r>
      <w:r>
        <w:rPr>
          <w:spacing w:val="-8"/>
          <w:sz w:val="32"/>
        </w:rPr>
        <w:t>法規或業務規定究竟為何，均有究明之必要。</w:t>
      </w:r>
      <w:r>
        <w:rPr>
          <w:sz w:val="32"/>
        </w:rPr>
        <w:t>（</w:t>
      </w:r>
      <w:r>
        <w:rPr>
          <w:rFonts w:ascii="細明體_HKSCS" w:hAnsi="細明體_HKSCS" w:eastAsia="細明體_HKSCS" w:hint="eastAsia"/>
          <w:sz w:val="32"/>
        </w:rPr>
        <w:t>105</w:t>
      </w:r>
      <w:r>
        <w:rPr>
          <w:spacing w:val="-4"/>
          <w:sz w:val="32"/>
        </w:rPr>
        <w:t>公申決</w:t>
      </w:r>
      <w:r>
        <w:rPr>
          <w:spacing w:val="2"/>
          <w:sz w:val="32"/>
        </w:rPr>
        <w:t>字第</w:t>
      </w:r>
      <w:r>
        <w:rPr>
          <w:rFonts w:ascii="細明體_HKSCS" w:hAnsi="細明體_HKSCS" w:eastAsia="細明體_HKSCS" w:hint="eastAsia"/>
          <w:sz w:val="32"/>
        </w:rPr>
        <w:t>0072</w:t>
      </w:r>
      <w:r>
        <w:rPr>
          <w:spacing w:val="2"/>
          <w:sz w:val="32"/>
        </w:rPr>
        <w:t>號、第</w:t>
      </w:r>
      <w:r>
        <w:rPr>
          <w:rFonts w:ascii="細明體_HKSCS" w:hAnsi="細明體_HKSCS" w:eastAsia="細明體_HKSCS" w:hint="eastAsia"/>
          <w:sz w:val="32"/>
        </w:rPr>
        <w:t>0073</w:t>
      </w:r>
      <w:r>
        <w:rPr>
          <w:sz w:val="32"/>
        </w:rPr>
        <w:t>號、第</w:t>
      </w:r>
      <w:r>
        <w:rPr>
          <w:rFonts w:ascii="細明體_HKSCS" w:hAnsi="細明體_HKSCS" w:eastAsia="細明體_HKSCS" w:hint="eastAsia"/>
          <w:sz w:val="32"/>
        </w:rPr>
        <w:t>0074</w:t>
      </w:r>
      <w:r>
        <w:rPr>
          <w:spacing w:val="1"/>
          <w:sz w:val="32"/>
        </w:rPr>
        <w:t>號及第</w:t>
      </w:r>
      <w:r>
        <w:rPr>
          <w:rFonts w:ascii="細明體_HKSCS" w:hAnsi="細明體_HKSCS" w:eastAsia="細明體_HKSCS" w:hint="eastAsia"/>
          <w:sz w:val="32"/>
        </w:rPr>
        <w:t>0075</w:t>
      </w:r>
      <w:r>
        <w:rPr>
          <w:sz w:val="32"/>
        </w:rPr>
        <w:t>號再申訴決定書）</w:t>
      </w:r>
    </w:p>
    <w:p>
      <w:pPr>
        <w:pStyle w:val="ListParagraph"/>
        <w:numPr>
          <w:ilvl w:val="0"/>
          <w:numId w:val="4"/>
        </w:numPr>
        <w:tabs>
          <w:tab w:pos="1301" w:val="left" w:leader="none"/>
        </w:tabs>
        <w:spacing w:line="300" w:lineRule="auto" w:before="8" w:after="0"/>
        <w:ind w:left="1298" w:right="273" w:hanging="320"/>
        <w:jc w:val="both"/>
        <w:rPr>
          <w:sz w:val="32"/>
        </w:rPr>
      </w:pPr>
      <w:r>
        <w:rPr>
          <w:spacing w:val="-1"/>
          <w:sz w:val="32"/>
        </w:rPr>
        <w:t>○○警察局以再申訴人執行查賄作為不當，作為懲處基礎</w:t>
      </w:r>
      <w:r>
        <w:rPr>
          <w:spacing w:val="-12"/>
          <w:sz w:val="32"/>
        </w:rPr>
        <w:t>事實。該警局分析研判再申訴人與○村長</w:t>
      </w:r>
      <w:r>
        <w:rPr>
          <w:rFonts w:ascii="細明體_HKSCS" w:hAnsi="細明體_HKSCS" w:eastAsia="細明體_HKSCS" w:hint="eastAsia"/>
          <w:sz w:val="32"/>
        </w:rPr>
        <w:t>2</w:t>
      </w:r>
      <w:r>
        <w:rPr>
          <w:spacing w:val="-2"/>
          <w:sz w:val="32"/>
        </w:rPr>
        <w:t>人於○日晚間在</w:t>
      </w:r>
    </w:p>
    <w:p>
      <w:pPr>
        <w:pStyle w:val="BodyText"/>
        <w:spacing w:line="300" w:lineRule="auto" w:before="2"/>
        <w:ind w:left="1298" w:right="199"/>
      </w:pPr>
      <w:r>
        <w:rPr>
          <w:spacing w:val="-11"/>
        </w:rPr>
        <w:t>○○分駐所，以及案發前</w:t>
      </w:r>
      <w:r>
        <w:rPr>
          <w:rFonts w:ascii="細明體_HKSCS" w:hAnsi="細明體_HKSCS" w:eastAsia="細明體_HKSCS" w:hint="eastAsia"/>
          <w:spacing w:val="-50"/>
        </w:rPr>
        <w:t>1</w:t>
      </w:r>
      <w:r>
        <w:rPr>
          <w:spacing w:val="-46"/>
        </w:rPr>
        <w:t>、</w:t>
      </w:r>
      <w:r>
        <w:rPr>
          <w:rFonts w:ascii="細明體_HKSCS" w:hAnsi="細明體_HKSCS" w:eastAsia="細明體_HKSCS" w:hint="eastAsia"/>
        </w:rPr>
        <w:t>2</w:t>
      </w:r>
      <w:r>
        <w:rPr>
          <w:spacing w:val="-3"/>
        </w:rPr>
        <w:t>個月於巡守隊所發生之情事， </w:t>
      </w:r>
      <w:r>
        <w:rPr/>
        <w:t>係依據該村長所描述之事實經過，並未採納再申訴人上開職務報告內容，亦未說明不予採納之原因或理由；又對於</w:t>
      </w:r>
    </w:p>
    <w:p>
      <w:pPr>
        <w:spacing w:after="0" w:line="300" w:lineRule="auto"/>
        <w:sectPr>
          <w:pgSz w:w="11910" w:h="16840"/>
          <w:pgMar w:header="0" w:footer="1017" w:top="1220" w:bottom="1200" w:left="1160" w:right="1140"/>
        </w:sectPr>
      </w:pPr>
    </w:p>
    <w:p>
      <w:pPr>
        <w:pStyle w:val="BodyText"/>
        <w:spacing w:line="300" w:lineRule="auto"/>
        <w:ind w:left="1298" w:right="275"/>
      </w:pPr>
      <w:r>
        <w:rPr/>
        <w:t>事涉再申訴人與○村長</w:t>
      </w:r>
      <w:r>
        <w:rPr>
          <w:rFonts w:ascii="細明體_HKSCS" w:hAnsi="細明體_HKSCS" w:eastAsia="細明體_HKSCS" w:hint="eastAsia"/>
        </w:rPr>
        <w:t>2</w:t>
      </w:r>
      <w:r>
        <w:rPr>
          <w:spacing w:val="-12"/>
        </w:rPr>
        <w:t>人間之言談內容究係為何，是否得</w:t>
      </w:r>
      <w:r>
        <w:rPr/>
        <w:t>僅以該村長所描述之事實經過，而無其他具體事證即加以</w:t>
      </w:r>
      <w:r>
        <w:rPr>
          <w:spacing w:val="-20"/>
        </w:rPr>
        <w:t>認定，亦非無疑。</w:t>
      </w:r>
      <w:r>
        <w:rPr/>
        <w:t>（</w:t>
      </w:r>
      <w:r>
        <w:rPr>
          <w:rFonts w:ascii="細明體_HKSCS" w:hAnsi="細明體_HKSCS" w:eastAsia="細明體_HKSCS" w:hint="eastAsia"/>
        </w:rPr>
        <w:t>105</w:t>
      </w:r>
      <w:r>
        <w:rPr/>
        <w:t>公申決字第</w:t>
      </w:r>
      <w:r>
        <w:rPr>
          <w:rFonts w:ascii="細明體_HKSCS" w:hAnsi="細明體_HKSCS" w:eastAsia="細明體_HKSCS" w:hint="eastAsia"/>
        </w:rPr>
        <w:t>0104</w:t>
      </w:r>
      <w:r>
        <w:rPr/>
        <w:t>號再申訴決定書）</w:t>
      </w:r>
    </w:p>
    <w:p>
      <w:pPr>
        <w:pStyle w:val="Heading1"/>
        <w:spacing w:before="96"/>
        <w:ind w:left="116"/>
      </w:pPr>
      <w:r>
        <w:rPr/>
        <w:t>（四） 懲處事實與所依據法令規定之構成要件未合：</w:t>
      </w:r>
    </w:p>
    <w:p>
      <w:pPr>
        <w:pStyle w:val="ListParagraph"/>
        <w:numPr>
          <w:ilvl w:val="0"/>
          <w:numId w:val="5"/>
        </w:numPr>
        <w:tabs>
          <w:tab w:pos="1262" w:val="left" w:leader="none"/>
        </w:tabs>
        <w:spacing w:line="300" w:lineRule="auto" w:before="79" w:after="0"/>
        <w:ind w:left="1262" w:right="277" w:hanging="360"/>
        <w:jc w:val="both"/>
        <w:rPr>
          <w:sz w:val="32"/>
        </w:rPr>
      </w:pPr>
      <w:r>
        <w:rPr>
          <w:spacing w:val="-3"/>
          <w:sz w:val="32"/>
        </w:rPr>
        <w:t>○○環保局係以再申訴人未嚴格執行控管 </w:t>
      </w:r>
      <w:r>
        <w:rPr>
          <w:rFonts w:ascii="細明體_HKSCS" w:hAnsi="細明體_HKSCS" w:eastAsia="細明體_HKSCS" w:hint="eastAsia"/>
          <w:sz w:val="32"/>
        </w:rPr>
        <w:t>103</w:t>
      </w:r>
      <w:r>
        <w:rPr>
          <w:rFonts w:ascii="細明體_HKSCS" w:hAnsi="細明體_HKSCS" w:eastAsia="細明體_HKSCS" w:hint="eastAsia"/>
          <w:spacing w:val="-51"/>
          <w:sz w:val="32"/>
        </w:rPr>
        <w:t> </w:t>
      </w:r>
      <w:r>
        <w:rPr>
          <w:spacing w:val="-3"/>
          <w:sz w:val="32"/>
        </w:rPr>
        <w:t>年度○○焚</w:t>
      </w:r>
      <w:r>
        <w:rPr>
          <w:sz w:val="32"/>
        </w:rPr>
        <w:t>化廠各事業廢棄物清除業者進廠核定量，超收情形嚴重， </w:t>
      </w:r>
      <w:r>
        <w:rPr>
          <w:spacing w:val="-24"/>
          <w:sz w:val="32"/>
        </w:rPr>
        <w:t>致 </w:t>
      </w:r>
      <w:r>
        <w:rPr>
          <w:rFonts w:ascii="細明體_HKSCS" w:hAnsi="細明體_HKSCS" w:eastAsia="細明體_HKSCS" w:hint="eastAsia"/>
          <w:sz w:val="32"/>
        </w:rPr>
        <w:t>104</w:t>
      </w:r>
      <w:r>
        <w:rPr>
          <w:rFonts w:ascii="細明體_HKSCS" w:hAnsi="細明體_HKSCS" w:eastAsia="細明體_HKSCS" w:hint="eastAsia"/>
          <w:spacing w:val="-52"/>
          <w:sz w:val="32"/>
        </w:rPr>
        <w:t> </w:t>
      </w:r>
      <w:r>
        <w:rPr>
          <w:spacing w:val="-1"/>
          <w:sz w:val="32"/>
        </w:rPr>
        <w:t>年度垃圾處理危機事件發生。惟垃圾進廠量，均以</w:t>
      </w:r>
    </w:p>
    <w:p>
      <w:pPr>
        <w:pStyle w:val="BodyText"/>
        <w:spacing w:before="2"/>
        <w:ind w:left="1261"/>
        <w:jc w:val="left"/>
      </w:pPr>
      <w:r>
        <w:rPr>
          <w:rFonts w:ascii="細明體_HKSCS" w:eastAsia="細明體_HKSCS" w:hint="eastAsia"/>
        </w:rPr>
        <w:t>3</w:t>
      </w:r>
      <w:r>
        <w:rPr>
          <w:rFonts w:ascii="細明體_HKSCS" w:eastAsia="細明體_HKSCS" w:hint="eastAsia"/>
          <w:spacing w:val="-34"/>
        </w:rPr>
        <w:t> </w:t>
      </w:r>
      <w:r>
        <w:rPr>
          <w:spacing w:val="-2"/>
        </w:rPr>
        <w:t>座焚化廠總量計算，則該局僅以單 </w:t>
      </w:r>
      <w:r>
        <w:rPr>
          <w:rFonts w:ascii="細明體_HKSCS" w:eastAsia="細明體_HKSCS" w:hint="eastAsia"/>
        </w:rPr>
        <w:t>1</w:t>
      </w:r>
      <w:r>
        <w:rPr>
          <w:rFonts w:ascii="細明體_HKSCS" w:eastAsia="細明體_HKSCS" w:hint="eastAsia"/>
          <w:spacing w:val="-35"/>
        </w:rPr>
        <w:t> </w:t>
      </w:r>
      <w:r>
        <w:rPr/>
        <w:t>座焚化廠垃圾超量</w:t>
      </w:r>
    </w:p>
    <w:p>
      <w:pPr>
        <w:pStyle w:val="BodyText"/>
        <w:spacing w:before="112"/>
        <w:ind w:left="1261"/>
        <w:jc w:val="left"/>
      </w:pPr>
      <w:r>
        <w:rPr>
          <w:spacing w:val="-5"/>
        </w:rPr>
        <w:t>作為懲處事由，未考量 </w:t>
      </w:r>
      <w:r>
        <w:rPr>
          <w:rFonts w:ascii="細明體_HKSCS" w:eastAsia="細明體_HKSCS" w:hint="eastAsia"/>
        </w:rPr>
        <w:t>3</w:t>
      </w:r>
      <w:r>
        <w:rPr>
          <w:rFonts w:ascii="細明體_HKSCS" w:eastAsia="細明體_HKSCS" w:hint="eastAsia"/>
          <w:spacing w:val="-52"/>
        </w:rPr>
        <w:t> </w:t>
      </w:r>
      <w:r>
        <w:rPr/>
        <w:t>座焚化廠之垃圾進廠總量是否有</w:t>
      </w:r>
    </w:p>
    <w:p>
      <w:pPr>
        <w:pStyle w:val="BodyText"/>
        <w:spacing w:line="300" w:lineRule="auto" w:before="111"/>
        <w:ind w:left="1261" w:right="277"/>
      </w:pPr>
      <w:r>
        <w:rPr>
          <w:spacing w:val="-3"/>
        </w:rPr>
        <w:t>超量情形，是否妥當；另據政風室報告記載 </w:t>
      </w:r>
      <w:r>
        <w:rPr>
          <w:rFonts w:ascii="細明體_HKSCS" w:hAnsi="細明體_HKSCS" w:eastAsia="細明體_HKSCS" w:hint="eastAsia"/>
        </w:rPr>
        <w:t>104</w:t>
      </w:r>
      <w:r>
        <w:rPr>
          <w:rFonts w:ascii="細明體_HKSCS" w:hAnsi="細明體_HKSCS" w:eastAsia="細明體_HKSCS" w:hint="eastAsia"/>
          <w:spacing w:val="-51"/>
        </w:rPr>
        <w:t> </w:t>
      </w:r>
      <w:r>
        <w:rPr>
          <w:spacing w:val="-4"/>
        </w:rPr>
        <w:t>年垃圾處</w:t>
      </w:r>
      <w:r>
        <w:rPr/>
        <w:t>理危機事件發生原因，尚包括國家清潔週、農曆春節、臺灣燈節及焚化爐歲修停爐等原因，則該局如何認定因○○ </w:t>
      </w:r>
      <w:r>
        <w:rPr>
          <w:spacing w:val="-3"/>
        </w:rPr>
        <w:t>焚化廠超收一般事業廢棄物，即造成該市 </w:t>
      </w:r>
      <w:r>
        <w:rPr>
          <w:rFonts w:ascii="細明體_HKSCS" w:hAnsi="細明體_HKSCS" w:eastAsia="細明體_HKSCS" w:hint="eastAsia"/>
        </w:rPr>
        <w:t>104</w:t>
      </w:r>
      <w:r>
        <w:rPr>
          <w:rFonts w:ascii="細明體_HKSCS" w:hAnsi="細明體_HKSCS" w:eastAsia="細明體_HKSCS" w:hint="eastAsia"/>
          <w:spacing w:val="-52"/>
        </w:rPr>
        <w:t> </w:t>
      </w:r>
      <w:r>
        <w:rPr>
          <w:spacing w:val="-3"/>
        </w:rPr>
        <w:t>年垃圾處理</w:t>
      </w:r>
      <w:r>
        <w:rPr/>
        <w:t>危機事件發生，亦有待商榷。是再申訴人是否係依據長官指示辦理不減量進廠一般事業廢棄物，而致○○焚化廠超收垃圾情形嚴重，均有未明之處，核有再行斟酌之必要。</w:t>
      </w:r>
    </w:p>
    <w:p>
      <w:pPr>
        <w:pStyle w:val="BodyText"/>
        <w:spacing w:before="7"/>
        <w:ind w:left="1261"/>
        <w:jc w:val="left"/>
      </w:pPr>
      <w:r>
        <w:rPr/>
        <w:t>（</w:t>
      </w:r>
      <w:r>
        <w:rPr>
          <w:rFonts w:ascii="細明體_HKSCS" w:eastAsia="細明體_HKSCS" w:hint="eastAsia"/>
        </w:rPr>
        <w:t>105</w:t>
      </w:r>
      <w:r>
        <w:rPr>
          <w:rFonts w:ascii="細明體_HKSCS" w:eastAsia="細明體_HKSCS" w:hint="eastAsia"/>
          <w:spacing w:val="-83"/>
        </w:rPr>
        <w:t> </w:t>
      </w:r>
      <w:r>
        <w:rPr>
          <w:spacing w:val="-13"/>
        </w:rPr>
        <w:t>公申決字第 </w:t>
      </w:r>
      <w:r>
        <w:rPr>
          <w:rFonts w:ascii="細明體_HKSCS" w:eastAsia="細明體_HKSCS" w:hint="eastAsia"/>
        </w:rPr>
        <w:t>0057</w:t>
      </w:r>
      <w:r>
        <w:rPr>
          <w:rFonts w:ascii="細明體_HKSCS" w:eastAsia="細明體_HKSCS" w:hint="eastAsia"/>
          <w:spacing w:val="-82"/>
        </w:rPr>
        <w:t> </w:t>
      </w:r>
      <w:r>
        <w:rPr/>
        <w:t>號再申訴決定書）</w:t>
      </w:r>
    </w:p>
    <w:p>
      <w:pPr>
        <w:pStyle w:val="ListParagraph"/>
        <w:numPr>
          <w:ilvl w:val="0"/>
          <w:numId w:val="5"/>
        </w:numPr>
        <w:tabs>
          <w:tab w:pos="1262" w:val="left" w:leader="none"/>
        </w:tabs>
        <w:spacing w:line="300" w:lineRule="auto" w:before="111" w:after="0"/>
        <w:ind w:left="1262" w:right="275" w:hanging="360"/>
        <w:jc w:val="both"/>
        <w:rPr>
          <w:sz w:val="32"/>
        </w:rPr>
      </w:pPr>
      <w:r>
        <w:rPr>
          <w:sz w:val="32"/>
        </w:rPr>
        <w:t>○○航空站發生變壓器損壞事故，無法正常供電，○○港事務隊，實施人工查驗應變能力不足，致○國籍通緝犯 </w:t>
      </w:r>
      <w:r>
        <w:rPr>
          <w:rFonts w:ascii="細明體_HKSCS" w:hAnsi="細明體_HKSCS" w:eastAsia="細明體_HKSCS" w:hint="eastAsia"/>
          <w:sz w:val="32"/>
        </w:rPr>
        <w:t>T </w:t>
      </w:r>
      <w:r>
        <w:rPr>
          <w:sz w:val="32"/>
        </w:rPr>
        <w:t>君逃逸出境，嗣後亦未及時通報重大狀況，核有督導不周之疏失，核予再申訴人申誡一次之懲處。惟再申訴人任職</w:t>
      </w:r>
    </w:p>
    <w:p>
      <w:pPr>
        <w:pStyle w:val="BodyText"/>
        <w:spacing w:line="300" w:lineRule="auto" w:before="3"/>
        <w:ind w:left="1261" w:right="279"/>
      </w:pPr>
      <w:r>
        <w:rPr/>
        <w:t>○○港事務隊隊長期間，平日均循○○署內部控管制度， 按月率所屬人員，依查驗系統故障人工查驗作業程序進行演練，並陳報國境事務大隊，均經核備，未曾發生受該大隊糾正演練腳本不完備或演練不實之違失情形；迄至系爭</w:t>
      </w:r>
    </w:p>
    <w:p>
      <w:pPr>
        <w:spacing w:after="0" w:line="300" w:lineRule="auto"/>
        <w:sectPr>
          <w:pgSz w:w="11910" w:h="16840"/>
          <w:pgMar w:header="0" w:footer="1017" w:top="1220" w:bottom="1200" w:left="1160" w:right="1140"/>
        </w:sectPr>
      </w:pPr>
    </w:p>
    <w:p>
      <w:pPr>
        <w:pStyle w:val="BodyText"/>
        <w:spacing w:line="302" w:lineRule="auto"/>
        <w:ind w:left="1261" w:right="276"/>
      </w:pPr>
      <w:r>
        <w:rPr/>
        <w:t>通緝犯逃逸事故發生後，始由國境事務大隊促請各隊將停電事故納入模擬情境，落實於平日之應變演練。據上，○</w:t>
      </w:r>
    </w:p>
    <w:p>
      <w:pPr>
        <w:pStyle w:val="ListParagraph"/>
        <w:numPr>
          <w:ilvl w:val="1"/>
          <w:numId w:val="5"/>
        </w:numPr>
        <w:tabs>
          <w:tab w:pos="1586" w:val="left" w:leader="none"/>
        </w:tabs>
        <w:spacing w:line="300" w:lineRule="auto" w:before="0" w:after="0"/>
        <w:ind w:left="1262" w:right="283" w:firstLine="0"/>
        <w:jc w:val="both"/>
        <w:rPr>
          <w:sz w:val="32"/>
        </w:rPr>
      </w:pPr>
      <w:r>
        <w:rPr>
          <w:sz w:val="32"/>
        </w:rPr>
        <w:t>署僅因再申訴人之屬員於其輪休當日執行勤務應變能力不足，致生系爭通緝犯逃逸事件，即據以認定再申訴人平時未善盡督導考核與防範責任，難謂無倒果為因之嫌。是</w:t>
      </w:r>
    </w:p>
    <w:p>
      <w:pPr>
        <w:pStyle w:val="BodyText"/>
        <w:spacing w:line="300" w:lineRule="auto" w:before="0"/>
        <w:ind w:left="1261" w:right="276"/>
      </w:pPr>
      <w:r>
        <w:rPr/>
        <w:t>○○署以平時督導不周為由，核予再申訴人申誡一次之懲</w:t>
      </w:r>
      <w:r>
        <w:rPr>
          <w:spacing w:val="-14"/>
        </w:rPr>
        <w:t>處，核有再行斟酌之餘地。</w:t>
      </w:r>
      <w:r>
        <w:rPr/>
        <w:t>（</w:t>
      </w:r>
      <w:r>
        <w:rPr>
          <w:rFonts w:ascii="細明體_HKSCS" w:hAnsi="細明體_HKSCS" w:eastAsia="細明體_HKSCS" w:hint="eastAsia"/>
        </w:rPr>
        <w:t>105</w:t>
      </w:r>
      <w:r>
        <w:rPr>
          <w:rFonts w:ascii="細明體_HKSCS" w:hAnsi="細明體_HKSCS" w:eastAsia="細明體_HKSCS" w:hint="eastAsia"/>
          <w:spacing w:val="-35"/>
        </w:rPr>
        <w:t> </w:t>
      </w:r>
      <w:r>
        <w:rPr>
          <w:spacing w:val="-6"/>
        </w:rPr>
        <w:t>公申決字第 </w:t>
      </w:r>
      <w:r>
        <w:rPr>
          <w:rFonts w:ascii="細明體_HKSCS" w:hAnsi="細明體_HKSCS" w:eastAsia="細明體_HKSCS" w:hint="eastAsia"/>
        </w:rPr>
        <w:t>0122</w:t>
      </w:r>
      <w:r>
        <w:rPr>
          <w:rFonts w:ascii="細明體_HKSCS" w:hAnsi="細明體_HKSCS" w:eastAsia="細明體_HKSCS" w:hint="eastAsia"/>
          <w:spacing w:val="-33"/>
        </w:rPr>
        <w:t> </w:t>
      </w:r>
      <w:r>
        <w:rPr/>
        <w:t>號再申訴決定書）</w:t>
      </w:r>
    </w:p>
    <w:p>
      <w:pPr>
        <w:pStyle w:val="Heading1"/>
        <w:spacing w:line="485" w:lineRule="exact"/>
      </w:pPr>
      <w:r>
        <w:rPr/>
        <w:t>（五）敘獎所依據法令錯誤：</w:t>
      </w:r>
    </w:p>
    <w:p>
      <w:pPr>
        <w:pStyle w:val="BodyText"/>
        <w:spacing w:line="300" w:lineRule="auto" w:before="72"/>
        <w:ind w:left="1252" w:right="272"/>
      </w:pPr>
      <w:r>
        <w:rPr/>
        <w:t>按法令不溯及既往原則，再申訴人之敘獎案應適用其敘獎</w:t>
      </w:r>
      <w:r>
        <w:rPr>
          <w:spacing w:val="-13"/>
        </w:rPr>
        <w:t>事實發生當時之敘獎規定，即○○署 </w:t>
      </w:r>
      <w:r>
        <w:rPr>
          <w:rFonts w:ascii="細明體_HKSCS" w:hAnsi="細明體_HKSCS" w:eastAsia="細明體_HKSCS" w:hint="eastAsia"/>
        </w:rPr>
        <w:t>99</w:t>
      </w:r>
      <w:r>
        <w:rPr>
          <w:rFonts w:ascii="細明體_HKSCS" w:hAnsi="細明體_HKSCS" w:eastAsia="細明體_HKSCS" w:hint="eastAsia"/>
          <w:spacing w:val="-83"/>
        </w:rPr>
        <w:t> </w:t>
      </w:r>
      <w:r>
        <w:rPr>
          <w:spacing w:val="-40"/>
        </w:rPr>
        <w:t>年 </w:t>
      </w:r>
      <w:r>
        <w:rPr>
          <w:rFonts w:ascii="細明體_HKSCS" w:hAnsi="細明體_HKSCS" w:eastAsia="細明體_HKSCS" w:hint="eastAsia"/>
        </w:rPr>
        <w:t>12</w:t>
      </w:r>
      <w:r>
        <w:rPr>
          <w:rFonts w:ascii="細明體_HKSCS" w:hAnsi="細明體_HKSCS" w:eastAsia="細明體_HKSCS" w:hint="eastAsia"/>
          <w:spacing w:val="-81"/>
        </w:rPr>
        <w:t> </w:t>
      </w:r>
      <w:r>
        <w:rPr>
          <w:spacing w:val="-41"/>
        </w:rPr>
        <w:t>月 </w:t>
      </w:r>
      <w:r>
        <w:rPr>
          <w:rFonts w:ascii="細明體_HKSCS" w:hAnsi="細明體_HKSCS" w:eastAsia="細明體_HKSCS" w:hint="eastAsia"/>
        </w:rPr>
        <w:t>24</w:t>
      </w:r>
      <w:r>
        <w:rPr>
          <w:rFonts w:ascii="細明體_HKSCS" w:hAnsi="細明體_HKSCS" w:eastAsia="細明體_HKSCS" w:hint="eastAsia"/>
          <w:spacing w:val="-80"/>
        </w:rPr>
        <w:t> </w:t>
      </w:r>
      <w:r>
        <w:rPr>
          <w:spacing w:val="-5"/>
        </w:rPr>
        <w:t>日函訂</w:t>
      </w:r>
    </w:p>
    <w:p>
      <w:pPr>
        <w:pStyle w:val="BodyText"/>
        <w:spacing w:before="2"/>
        <w:ind w:left="1252"/>
        <w:jc w:val="left"/>
      </w:pPr>
      <w:r>
        <w:rPr>
          <w:spacing w:val="-11"/>
        </w:rPr>
        <w:t>定發布，自 </w:t>
      </w:r>
      <w:r>
        <w:rPr>
          <w:rFonts w:ascii="細明體_HKSCS" w:eastAsia="細明體_HKSCS" w:hint="eastAsia"/>
        </w:rPr>
        <w:t>100</w:t>
      </w:r>
      <w:r>
        <w:rPr>
          <w:rFonts w:ascii="細明體_HKSCS" w:eastAsia="細明體_HKSCS" w:hint="eastAsia"/>
          <w:spacing w:val="-70"/>
        </w:rPr>
        <w:t> </w:t>
      </w:r>
      <w:r>
        <w:rPr>
          <w:spacing w:val="-35"/>
        </w:rPr>
        <w:t>年 </w:t>
      </w:r>
      <w:r>
        <w:rPr>
          <w:rFonts w:ascii="細明體_HKSCS" w:eastAsia="細明體_HKSCS" w:hint="eastAsia"/>
        </w:rPr>
        <w:t>1</w:t>
      </w:r>
      <w:r>
        <w:rPr>
          <w:rFonts w:ascii="細明體_HKSCS" w:eastAsia="細明體_HKSCS" w:hint="eastAsia"/>
          <w:spacing w:val="-70"/>
        </w:rPr>
        <w:t> </w:t>
      </w:r>
      <w:r>
        <w:rPr>
          <w:spacing w:val="-33"/>
        </w:rPr>
        <w:t>月 </w:t>
      </w:r>
      <w:r>
        <w:rPr>
          <w:rFonts w:ascii="細明體_HKSCS" w:eastAsia="細明體_HKSCS" w:hint="eastAsia"/>
        </w:rPr>
        <w:t>1</w:t>
      </w:r>
      <w:r>
        <w:rPr>
          <w:rFonts w:ascii="細明體_HKSCS" w:eastAsia="細明體_HKSCS" w:hint="eastAsia"/>
          <w:spacing w:val="-69"/>
        </w:rPr>
        <w:t> </w:t>
      </w:r>
      <w:r>
        <w:rPr/>
        <w:t>日施行之各級警察機關偵辦電信</w:t>
      </w:r>
    </w:p>
    <w:p>
      <w:pPr>
        <w:pStyle w:val="BodyText"/>
        <w:spacing w:before="111"/>
        <w:ind w:left="1252"/>
        <w:jc w:val="left"/>
        <w:rPr>
          <w:rFonts w:ascii="細明體_HKSCS" w:hAnsi="細明體_HKSCS" w:eastAsia="細明體_HKSCS" w:hint="eastAsia"/>
        </w:rPr>
      </w:pPr>
      <w:r>
        <w:rPr>
          <w:spacing w:val="-14"/>
        </w:rPr>
        <w:t>網路詐欺集團案件獎懲核分規定。茲據○○總隊派員於 </w:t>
      </w:r>
      <w:r>
        <w:rPr>
          <w:rFonts w:ascii="細明體_HKSCS" w:hAnsi="細明體_HKSCS" w:eastAsia="細明體_HKSCS" w:hint="eastAsia"/>
        </w:rPr>
        <w:t>105</w:t>
      </w:r>
    </w:p>
    <w:p>
      <w:pPr>
        <w:pStyle w:val="BodyText"/>
        <w:spacing w:line="300" w:lineRule="auto" w:before="115"/>
        <w:ind w:left="1252" w:right="272"/>
      </w:pPr>
      <w:r>
        <w:rPr>
          <w:spacing w:val="-32"/>
        </w:rPr>
        <w:t>年 </w:t>
      </w:r>
      <w:r>
        <w:rPr>
          <w:rFonts w:ascii="細明體_HKSCS" w:hAnsi="細明體_HKSCS" w:eastAsia="細明體_HKSCS" w:hint="eastAsia"/>
        </w:rPr>
        <w:t>4</w:t>
      </w:r>
      <w:r>
        <w:rPr>
          <w:rFonts w:ascii="細明體_HKSCS" w:hAnsi="細明體_HKSCS" w:eastAsia="細明體_HKSCS" w:hint="eastAsia"/>
          <w:spacing w:val="-63"/>
        </w:rPr>
        <w:t> </w:t>
      </w:r>
      <w:r>
        <w:rPr>
          <w:spacing w:val="-31"/>
        </w:rPr>
        <w:t>月 </w:t>
      </w:r>
      <w:r>
        <w:rPr>
          <w:rFonts w:ascii="細明體_HKSCS" w:hAnsi="細明體_HKSCS" w:eastAsia="細明體_HKSCS" w:hint="eastAsia"/>
        </w:rPr>
        <w:t>7</w:t>
      </w:r>
      <w:r>
        <w:rPr>
          <w:rFonts w:ascii="細明體_HKSCS" w:hAnsi="細明體_HKSCS" w:eastAsia="細明體_HKSCS" w:hint="eastAsia"/>
          <w:spacing w:val="-63"/>
        </w:rPr>
        <w:t> </w:t>
      </w:r>
      <w:r>
        <w:rPr/>
        <w:t>日陳述意見時表示，因○○署要求○○局按○○ 部考績委員會會議決議，依新修正之核分規定，重新擬議</w:t>
      </w:r>
      <w:r>
        <w:rPr>
          <w:spacing w:val="-29"/>
        </w:rPr>
        <w:t>執行 </w:t>
      </w:r>
      <w:r>
        <w:rPr>
          <w:rFonts w:ascii="細明體_HKSCS" w:hAnsi="細明體_HKSCS" w:eastAsia="細明體_HKSCS" w:hint="eastAsia"/>
        </w:rPr>
        <w:t>0310</w:t>
      </w:r>
      <w:r>
        <w:rPr>
          <w:rFonts w:ascii="細明體_HKSCS" w:hAnsi="細明體_HKSCS" w:eastAsia="細明體_HKSCS" w:hint="eastAsia"/>
          <w:spacing w:val="-87"/>
        </w:rPr>
        <w:t> </w:t>
      </w:r>
      <w:r>
        <w:rPr>
          <w:spacing w:val="-6"/>
        </w:rPr>
        <w:t>專案一次記二大功專案考績之人數；○○署派員</w:t>
      </w:r>
      <w:r>
        <w:rPr/>
        <w:t>陳述意見時則表示，偵破刑事案件之敘獎案本應適用案件</w:t>
      </w:r>
      <w:r>
        <w:rPr>
          <w:spacing w:val="-18"/>
        </w:rPr>
        <w:t>偵破當時之敘獎規定；「</w:t>
      </w:r>
      <w:r>
        <w:rPr>
          <w:rFonts w:ascii="細明體_HKSCS" w:hAnsi="細明體_HKSCS" w:eastAsia="細明體_HKSCS" w:hint="eastAsia"/>
        </w:rPr>
        <w:t>0310</w:t>
      </w:r>
      <w:r>
        <w:rPr>
          <w:spacing w:val="-8"/>
        </w:rPr>
        <w:t>」專案之敘獎案較為特殊，適</w:t>
      </w:r>
      <w:r>
        <w:rPr/>
        <w:t>值○○部檢討警察人員一次記二大功人數過多之問題，爰暫緩辦理該敘獎案，待核分規定修正發布後，再予續辦。</w:t>
      </w:r>
      <w:r>
        <w:rPr>
          <w:spacing w:val="-9"/>
        </w:rPr>
        <w:t>據上，○○局依 </w:t>
      </w:r>
      <w:r>
        <w:rPr>
          <w:rFonts w:ascii="細明體_HKSCS" w:hAnsi="細明體_HKSCS" w:eastAsia="細明體_HKSCS" w:hint="eastAsia"/>
        </w:rPr>
        <w:t>102</w:t>
      </w:r>
      <w:r>
        <w:rPr>
          <w:rFonts w:ascii="細明體_HKSCS" w:hAnsi="細明體_HKSCS" w:eastAsia="細明體_HKSCS" w:hint="eastAsia"/>
          <w:spacing w:val="-69"/>
        </w:rPr>
        <w:t> </w:t>
      </w:r>
      <w:r>
        <w:rPr>
          <w:spacing w:val="-34"/>
        </w:rPr>
        <w:t>年 </w:t>
      </w:r>
      <w:r>
        <w:rPr>
          <w:rFonts w:ascii="細明體_HKSCS" w:hAnsi="細明體_HKSCS" w:eastAsia="細明體_HKSCS" w:hint="eastAsia"/>
        </w:rPr>
        <w:t>11</w:t>
      </w:r>
      <w:r>
        <w:rPr>
          <w:rFonts w:ascii="細明體_HKSCS" w:hAnsi="細明體_HKSCS" w:eastAsia="細明體_HKSCS" w:hint="eastAsia"/>
          <w:spacing w:val="-69"/>
        </w:rPr>
        <w:t> </w:t>
      </w:r>
      <w:r>
        <w:rPr>
          <w:spacing w:val="-34"/>
        </w:rPr>
        <w:t>月 </w:t>
      </w:r>
      <w:r>
        <w:rPr>
          <w:rFonts w:ascii="細明體_HKSCS" w:hAnsi="細明體_HKSCS" w:eastAsia="細明體_HKSCS" w:hint="eastAsia"/>
        </w:rPr>
        <w:t>20</w:t>
      </w:r>
      <w:r>
        <w:rPr>
          <w:rFonts w:ascii="細明體_HKSCS" w:hAnsi="細明體_HKSCS" w:eastAsia="細明體_HKSCS" w:hint="eastAsia"/>
          <w:spacing w:val="-69"/>
        </w:rPr>
        <w:t> </w:t>
      </w:r>
      <w:r>
        <w:rPr/>
        <w:t>日修正發布之核分規定， </w:t>
      </w:r>
      <w:r>
        <w:rPr>
          <w:spacing w:val="4"/>
        </w:rPr>
        <w:t>擬具「</w:t>
      </w:r>
      <w:r>
        <w:rPr>
          <w:rFonts w:ascii="細明體_HKSCS" w:hAnsi="細明體_HKSCS" w:eastAsia="細明體_HKSCS" w:hint="eastAsia"/>
        </w:rPr>
        <w:t>0310</w:t>
      </w:r>
      <w:r>
        <w:rPr/>
        <w:t>」專案獎勵名冊報送○○署，該署據以核定獎勵名冊，顯已違反法令不溯及既往原則；○○總隊再據以</w:t>
      </w:r>
      <w:r>
        <w:rPr>
          <w:spacing w:val="-12"/>
        </w:rPr>
        <w:t>核布系爭 </w:t>
      </w:r>
      <w:r>
        <w:rPr>
          <w:rFonts w:ascii="細明體_HKSCS" w:hAnsi="細明體_HKSCS" w:eastAsia="細明體_HKSCS" w:hint="eastAsia"/>
        </w:rPr>
        <w:t>104</w:t>
      </w:r>
      <w:r>
        <w:rPr>
          <w:rFonts w:ascii="細明體_HKSCS" w:hAnsi="細明體_HKSCS" w:eastAsia="細明體_HKSCS" w:hint="eastAsia"/>
          <w:spacing w:val="-60"/>
        </w:rPr>
        <w:t> </w:t>
      </w:r>
      <w:r>
        <w:rPr>
          <w:spacing w:val="-30"/>
        </w:rPr>
        <w:t>年 </w:t>
      </w:r>
      <w:r>
        <w:rPr>
          <w:rFonts w:ascii="細明體_HKSCS" w:hAnsi="細明體_HKSCS" w:eastAsia="細明體_HKSCS" w:hint="eastAsia"/>
        </w:rPr>
        <w:t>12</w:t>
      </w:r>
      <w:r>
        <w:rPr>
          <w:rFonts w:ascii="細明體_HKSCS" w:hAnsi="細明體_HKSCS" w:eastAsia="細明體_HKSCS" w:hint="eastAsia"/>
          <w:spacing w:val="-60"/>
        </w:rPr>
        <w:t> </w:t>
      </w:r>
      <w:r>
        <w:rPr>
          <w:spacing w:val="-30"/>
        </w:rPr>
        <w:t>月 </w:t>
      </w:r>
      <w:r>
        <w:rPr>
          <w:rFonts w:ascii="細明體_HKSCS" w:hAnsi="細明體_HKSCS" w:eastAsia="細明體_HKSCS" w:hint="eastAsia"/>
        </w:rPr>
        <w:t>1</w:t>
      </w:r>
      <w:r>
        <w:rPr>
          <w:rFonts w:ascii="細明體_HKSCS" w:hAnsi="細明體_HKSCS" w:eastAsia="細明體_HKSCS" w:hint="eastAsia"/>
          <w:spacing w:val="-58"/>
        </w:rPr>
        <w:t> </w:t>
      </w:r>
      <w:r>
        <w:rPr>
          <w:spacing w:val="-16"/>
        </w:rPr>
        <w:t>日令，於法即有未合。</w:t>
      </w:r>
      <w:r>
        <w:rPr/>
        <w:t>（</w:t>
      </w:r>
      <w:r>
        <w:rPr>
          <w:rFonts w:ascii="細明體_HKSCS" w:hAnsi="細明體_HKSCS" w:eastAsia="細明體_HKSCS" w:hint="eastAsia"/>
        </w:rPr>
        <w:t>105</w:t>
      </w:r>
      <w:r>
        <w:rPr>
          <w:rFonts w:ascii="細明體_HKSCS" w:hAnsi="細明體_HKSCS" w:eastAsia="細明體_HKSCS" w:hint="eastAsia"/>
          <w:spacing w:val="-57"/>
        </w:rPr>
        <w:t> </w:t>
      </w:r>
      <w:r>
        <w:rPr/>
        <w:t>公申</w:t>
      </w:r>
    </w:p>
    <w:p>
      <w:pPr>
        <w:pStyle w:val="BodyText"/>
        <w:spacing w:before="6"/>
        <w:ind w:left="1252"/>
      </w:pPr>
      <w:r>
        <w:rPr>
          <w:spacing w:val="-20"/>
        </w:rPr>
        <w:t>決字第 </w:t>
      </w:r>
      <w:r>
        <w:rPr>
          <w:rFonts w:ascii="細明體_HKSCS" w:eastAsia="細明體_HKSCS" w:hint="eastAsia"/>
        </w:rPr>
        <w:t>0070</w:t>
      </w:r>
      <w:r>
        <w:rPr>
          <w:rFonts w:ascii="細明體_HKSCS" w:eastAsia="細明體_HKSCS" w:hint="eastAsia"/>
          <w:spacing w:val="-79"/>
        </w:rPr>
        <w:t> </w:t>
      </w:r>
      <w:r>
        <w:rPr/>
        <w:t>號再申訴決定書）</w:t>
      </w:r>
    </w:p>
    <w:p>
      <w:pPr>
        <w:spacing w:after="0"/>
        <w:sectPr>
          <w:pgSz w:w="11910" w:h="16840"/>
          <w:pgMar w:header="0" w:footer="1017" w:top="1220" w:bottom="1200" w:left="1160" w:right="1140"/>
        </w:sectPr>
      </w:pPr>
    </w:p>
    <w:p>
      <w:pPr>
        <w:pStyle w:val="Heading1"/>
        <w:spacing w:line="508" w:lineRule="exact"/>
      </w:pPr>
      <w:r>
        <w:rPr/>
        <w:t>四、其他管理措施或工作條件之處置部分︰</w:t>
      </w:r>
    </w:p>
    <w:p>
      <w:pPr>
        <w:pStyle w:val="BodyText"/>
        <w:spacing w:line="300" w:lineRule="auto" w:before="76"/>
        <w:ind w:right="273" w:hanging="68"/>
      </w:pPr>
      <w:r>
        <w:rPr>
          <w:spacing w:val="-4"/>
        </w:rPr>
        <w:t>查再申訴人自 </w:t>
      </w:r>
      <w:r>
        <w:rPr>
          <w:rFonts w:ascii="細明體_HKSCS" w:hAnsi="細明體_HKSCS" w:eastAsia="細明體_HKSCS" w:hint="eastAsia"/>
        </w:rPr>
        <w:t>102</w:t>
      </w:r>
      <w:r>
        <w:rPr>
          <w:rFonts w:ascii="細明體_HKSCS" w:hAnsi="細明體_HKSCS" w:eastAsia="細明體_HKSCS" w:hint="eastAsia"/>
          <w:spacing w:val="-30"/>
        </w:rPr>
        <w:t> </w:t>
      </w:r>
      <w:r>
        <w:rPr/>
        <w:t>年任○○高中薦任幹事迄今，其所任職務</w:t>
      </w:r>
      <w:r>
        <w:rPr>
          <w:spacing w:val="1"/>
        </w:rPr>
        <w:t>之職務編號為 </w:t>
      </w:r>
      <w:r>
        <w:rPr>
          <w:rFonts w:ascii="細明體_HKSCS" w:hAnsi="細明體_HKSCS" w:eastAsia="細明體_HKSCS" w:hint="eastAsia"/>
        </w:rPr>
        <w:t>A15XXXX</w:t>
      </w:r>
      <w:r>
        <w:rPr/>
        <w:t>，職系為一般行政；其任現職並經銓敘部銓敘審定合格實授有案。次查該編號之幹事職缺係配置</w:t>
      </w:r>
      <w:r>
        <w:rPr>
          <w:spacing w:val="-8"/>
        </w:rPr>
        <w:t>於該校總務處，該職之職務說明書記載工作項目為</w:t>
      </w:r>
      <w:r>
        <w:rPr>
          <w:spacing w:val="-44"/>
        </w:rPr>
        <w:t>：「一、薪</w:t>
      </w:r>
      <w:r>
        <w:rPr>
          <w:spacing w:val="-11"/>
        </w:rPr>
        <w:t>資；補助；稅款扣繳之造冊及發放。</w:t>
      </w:r>
      <w:r>
        <w:rPr>
          <w:rFonts w:ascii="細明體_HKSCS" w:hAnsi="細明體_HKSCS" w:eastAsia="細明體_HKSCS" w:hint="eastAsia"/>
        </w:rPr>
        <w:t>(50%)</w:t>
      </w:r>
      <w:r>
        <w:rPr>
          <w:rFonts w:ascii="細明體_HKSCS" w:hAnsi="細明體_HKSCS" w:eastAsia="細明體_HKSCS" w:hint="eastAsia"/>
          <w:spacing w:val="12"/>
        </w:rPr>
        <w:t> </w:t>
      </w:r>
      <w:r>
        <w:rPr/>
        <w:t>二、現金出納之</w:t>
      </w:r>
      <w:r>
        <w:rPr>
          <w:spacing w:val="-5"/>
        </w:rPr>
        <w:t>保管與作業。</w:t>
      </w:r>
      <w:r>
        <w:rPr>
          <w:rFonts w:ascii="細明體_HKSCS" w:hAnsi="細明體_HKSCS" w:eastAsia="細明體_HKSCS" w:hint="eastAsia"/>
        </w:rPr>
        <w:t>(20</w:t>
      </w:r>
      <w:r>
        <w:rPr>
          <w:rFonts w:ascii="細明體_HKSCS" w:hAnsi="細明體_HKSCS" w:eastAsia="細明體_HKSCS" w:hint="eastAsia"/>
          <w:spacing w:val="-6"/>
        </w:rPr>
        <w:t>%) </w:t>
      </w:r>
      <w:r>
        <w:rPr>
          <w:spacing w:val="-7"/>
        </w:rPr>
        <w:t>……四、其他臨時交辦事項。</w:t>
      </w:r>
      <w:r>
        <w:rPr>
          <w:rFonts w:ascii="細明體_HKSCS" w:hAnsi="細明體_HKSCS" w:eastAsia="細明體_HKSCS" w:hint="eastAsia"/>
        </w:rPr>
        <w:t>(10%)</w:t>
      </w:r>
      <w:r>
        <w:rPr>
          <w:spacing w:val="-29"/>
        </w:rPr>
        <w:t>」依</w:t>
      </w:r>
    </w:p>
    <w:p>
      <w:pPr>
        <w:pStyle w:val="BodyText"/>
        <w:spacing w:before="4"/>
        <w:jc w:val="left"/>
      </w:pPr>
      <w:r>
        <w:rPr>
          <w:spacing w:val="-10"/>
        </w:rPr>
        <w:t>○○高中代表於 </w:t>
      </w:r>
      <w:r>
        <w:rPr>
          <w:rFonts w:ascii="細明體_HKSCS" w:hAnsi="細明體_HKSCS" w:eastAsia="細明體_HKSCS" w:hint="eastAsia"/>
        </w:rPr>
        <w:t>105</w:t>
      </w:r>
      <w:r>
        <w:rPr>
          <w:rFonts w:ascii="細明體_HKSCS" w:hAnsi="細明體_HKSCS" w:eastAsia="細明體_HKSCS" w:hint="eastAsia"/>
          <w:spacing w:val="-74"/>
        </w:rPr>
        <w:t> </w:t>
      </w:r>
      <w:r>
        <w:rPr>
          <w:spacing w:val="-36"/>
        </w:rPr>
        <w:t>年 </w:t>
      </w:r>
      <w:r>
        <w:rPr>
          <w:rFonts w:ascii="細明體_HKSCS" w:hAnsi="細明體_HKSCS" w:eastAsia="細明體_HKSCS" w:hint="eastAsia"/>
        </w:rPr>
        <w:t>5</w:t>
      </w:r>
      <w:r>
        <w:rPr>
          <w:rFonts w:ascii="細明體_HKSCS" w:hAnsi="細明體_HKSCS" w:eastAsia="細明體_HKSCS" w:hint="eastAsia"/>
          <w:spacing w:val="-74"/>
        </w:rPr>
        <w:t> </w:t>
      </w:r>
      <w:r>
        <w:rPr>
          <w:spacing w:val="-37"/>
        </w:rPr>
        <w:t>月 </w:t>
      </w:r>
      <w:r>
        <w:rPr>
          <w:rFonts w:ascii="細明體_HKSCS" w:hAnsi="細明體_HKSCS" w:eastAsia="細明體_HKSCS" w:hint="eastAsia"/>
        </w:rPr>
        <w:t>6</w:t>
      </w:r>
      <w:r>
        <w:rPr>
          <w:rFonts w:ascii="細明體_HKSCS" w:hAnsi="細明體_HKSCS" w:eastAsia="細明體_HKSCS" w:hint="eastAsia"/>
          <w:spacing w:val="-75"/>
        </w:rPr>
        <w:t> </w:t>
      </w:r>
      <w:r>
        <w:rPr/>
        <w:t>日陳述意見時表示，該校為學</w:t>
      </w:r>
    </w:p>
    <w:p>
      <w:pPr>
        <w:pStyle w:val="BodyText"/>
        <w:spacing w:before="113"/>
        <w:jc w:val="left"/>
      </w:pPr>
      <w:r>
        <w:rPr>
          <w:spacing w:val="-20"/>
        </w:rPr>
        <w:t>務處業務順利推動，於 </w:t>
      </w:r>
      <w:r>
        <w:rPr>
          <w:rFonts w:ascii="細明體_HKSCS" w:hAnsi="細明體_HKSCS" w:eastAsia="細明體_HKSCS" w:hint="eastAsia"/>
        </w:rPr>
        <w:t>98</w:t>
      </w:r>
      <w:r>
        <w:rPr>
          <w:rFonts w:ascii="細明體_HKSCS" w:hAnsi="細明體_HKSCS" w:eastAsia="細明體_HKSCS" w:hint="eastAsia"/>
          <w:spacing w:val="-84"/>
        </w:rPr>
        <w:t> </w:t>
      </w:r>
      <w:r>
        <w:rPr/>
        <w:t>年借調總務處幹事○員支援學務處</w:t>
      </w:r>
    </w:p>
    <w:p>
      <w:pPr>
        <w:pStyle w:val="BodyText"/>
        <w:spacing w:before="111"/>
        <w:jc w:val="left"/>
      </w:pPr>
      <w:r>
        <w:rPr>
          <w:spacing w:val="-11"/>
        </w:rPr>
        <w:t>工作，○員於 </w:t>
      </w:r>
      <w:r>
        <w:rPr>
          <w:rFonts w:ascii="細明體_HKSCS" w:hAnsi="細明體_HKSCS" w:eastAsia="細明體_HKSCS" w:hint="eastAsia"/>
        </w:rPr>
        <w:t>102</w:t>
      </w:r>
      <w:r>
        <w:rPr>
          <w:rFonts w:ascii="細明體_HKSCS" w:hAnsi="細明體_HKSCS" w:eastAsia="細明體_HKSCS" w:hint="eastAsia"/>
          <w:spacing w:val="-75"/>
        </w:rPr>
        <w:t> </w:t>
      </w:r>
      <w:r>
        <w:rPr>
          <w:spacing w:val="-37"/>
        </w:rPr>
        <w:t>年 </w:t>
      </w:r>
      <w:r>
        <w:rPr>
          <w:rFonts w:ascii="細明體_HKSCS" w:hAnsi="細明體_HKSCS" w:eastAsia="細明體_HKSCS" w:hint="eastAsia"/>
        </w:rPr>
        <w:t>9</w:t>
      </w:r>
      <w:r>
        <w:rPr>
          <w:rFonts w:ascii="細明體_HKSCS" w:hAnsi="細明體_HKSCS" w:eastAsia="細明體_HKSCS" w:hint="eastAsia"/>
          <w:spacing w:val="-75"/>
        </w:rPr>
        <w:t> </w:t>
      </w:r>
      <w:r>
        <w:rPr>
          <w:spacing w:val="-37"/>
        </w:rPr>
        <w:t>月 </w:t>
      </w:r>
      <w:r>
        <w:rPr>
          <w:rFonts w:ascii="細明體_HKSCS" w:hAnsi="細明體_HKSCS" w:eastAsia="細明體_HKSCS" w:hint="eastAsia"/>
        </w:rPr>
        <w:t>1</w:t>
      </w:r>
      <w:r>
        <w:rPr>
          <w:rFonts w:ascii="細明體_HKSCS" w:hAnsi="細明體_HKSCS" w:eastAsia="細明體_HKSCS" w:hint="eastAsia"/>
          <w:spacing w:val="-74"/>
        </w:rPr>
        <w:t> </w:t>
      </w:r>
      <w:r>
        <w:rPr/>
        <w:t>日退休後，就該幹事職缺辦理公</w:t>
      </w:r>
    </w:p>
    <w:p>
      <w:pPr>
        <w:pStyle w:val="BodyText"/>
        <w:spacing w:line="300" w:lineRule="auto" w:before="114"/>
        <w:ind w:right="203"/>
      </w:pPr>
      <w:r>
        <w:rPr>
          <w:spacing w:val="-16"/>
        </w:rPr>
        <w:t>開甄選，經錄取再申訴人。再申訴人於 </w:t>
      </w:r>
      <w:r>
        <w:rPr>
          <w:rFonts w:ascii="細明體_HKSCS" w:eastAsia="細明體_HKSCS" w:hint="eastAsia"/>
        </w:rPr>
        <w:t>102</w:t>
      </w:r>
      <w:r>
        <w:rPr>
          <w:rFonts w:ascii="細明體_HKSCS" w:eastAsia="細明體_HKSCS" w:hint="eastAsia"/>
          <w:spacing w:val="-83"/>
        </w:rPr>
        <w:t> </w:t>
      </w:r>
      <w:r>
        <w:rPr>
          <w:spacing w:val="-40"/>
        </w:rPr>
        <w:t>年 </w:t>
      </w:r>
      <w:r>
        <w:rPr>
          <w:rFonts w:ascii="細明體_HKSCS" w:eastAsia="細明體_HKSCS" w:hint="eastAsia"/>
        </w:rPr>
        <w:t>11</w:t>
      </w:r>
      <w:r>
        <w:rPr>
          <w:rFonts w:ascii="細明體_HKSCS" w:eastAsia="細明體_HKSCS" w:hint="eastAsia"/>
          <w:spacing w:val="-83"/>
        </w:rPr>
        <w:t> </w:t>
      </w:r>
      <w:r>
        <w:rPr/>
        <w:t>月至該校報到後，仍占總務處幹事職缺，並指派至學務處辦理該處生活</w:t>
      </w:r>
      <w:r>
        <w:rPr>
          <w:spacing w:val="-15"/>
        </w:rPr>
        <w:t>輔導組工作，主要工作項目為：「一、登錄學生出缺勤名單。</w:t>
      </w:r>
    </w:p>
    <w:p>
      <w:pPr>
        <w:pStyle w:val="BodyText"/>
        <w:spacing w:line="300" w:lineRule="auto" w:before="2"/>
        <w:ind w:right="204"/>
      </w:pPr>
      <w:r>
        <w:rPr>
          <w:rFonts w:ascii="細明體_HKSCS" w:hAnsi="細明體_HKSCS" w:eastAsia="細明體_HKSCS" w:hint="eastAsia"/>
        </w:rPr>
        <w:t>(30</w:t>
      </w:r>
      <w:r>
        <w:rPr>
          <w:rFonts w:ascii="細明體_HKSCS" w:hAnsi="細明體_HKSCS" w:eastAsia="細明體_HKSCS" w:hint="eastAsia"/>
          <w:spacing w:val="-2"/>
        </w:rPr>
        <w:t>%) </w:t>
      </w:r>
      <w:r>
        <w:rPr>
          <w:spacing w:val="-16"/>
        </w:rPr>
        <w:t>二、學生獎懲資料之登載統計。</w:t>
      </w:r>
      <w:r>
        <w:rPr>
          <w:rFonts w:ascii="細明體_HKSCS" w:hAnsi="細明體_HKSCS" w:eastAsia="細明體_HKSCS" w:hint="eastAsia"/>
        </w:rPr>
        <w:t>(30</w:t>
      </w:r>
      <w:r>
        <w:rPr>
          <w:rFonts w:ascii="細明體_HKSCS" w:hAnsi="細明體_HKSCS" w:eastAsia="細明體_HKSCS" w:hint="eastAsia"/>
          <w:spacing w:val="-2"/>
        </w:rPr>
        <w:t>%) </w:t>
      </w:r>
      <w:r>
        <w:rPr/>
        <w:t>……</w:t>
      </w:r>
      <w:r>
        <w:rPr>
          <w:rFonts w:ascii="細明體_HKSCS" w:hAnsi="細明體_HKSCS" w:eastAsia="細明體_HKSCS" w:hint="eastAsia"/>
        </w:rPr>
        <w:t>(10%)</w:t>
      </w:r>
      <w:r>
        <w:rPr>
          <w:rFonts w:ascii="細明體_HKSCS" w:hAnsi="細明體_HKSCS" w:eastAsia="細明體_HKSCS" w:hint="eastAsia"/>
          <w:spacing w:val="-5"/>
        </w:rPr>
        <w:t> </w:t>
      </w:r>
      <w:r>
        <w:rPr>
          <w:spacing w:val="-12"/>
        </w:rPr>
        <w:t>六、</w:t>
      </w:r>
      <w:r>
        <w:rPr>
          <w:spacing w:val="-7"/>
        </w:rPr>
        <w:t>公文及臨時交派事項。</w:t>
      </w:r>
      <w:r>
        <w:rPr>
          <w:rFonts w:ascii="細明體_HKSCS" w:hAnsi="細明體_HKSCS" w:eastAsia="細明體_HKSCS" w:hint="eastAsia"/>
        </w:rPr>
        <w:t>(10%)</w:t>
      </w:r>
      <w:r>
        <w:rPr>
          <w:spacing w:val="-24"/>
        </w:rPr>
        <w:t>」嗣該校於 </w:t>
      </w:r>
      <w:r>
        <w:rPr>
          <w:rFonts w:ascii="細明體_HKSCS" w:hAnsi="細明體_HKSCS" w:eastAsia="細明體_HKSCS" w:hint="eastAsia"/>
        </w:rPr>
        <w:t>104</w:t>
      </w:r>
      <w:r>
        <w:rPr>
          <w:rFonts w:ascii="細明體_HKSCS" w:hAnsi="細明體_HKSCS" w:eastAsia="細明體_HKSCS" w:hint="eastAsia"/>
          <w:spacing w:val="-84"/>
        </w:rPr>
        <w:t> </w:t>
      </w:r>
      <w:r>
        <w:rPr>
          <w:spacing w:val="-40"/>
        </w:rPr>
        <w:t>年 </w:t>
      </w:r>
      <w:r>
        <w:rPr>
          <w:rFonts w:ascii="細明體_HKSCS" w:hAnsi="細明體_HKSCS" w:eastAsia="細明體_HKSCS" w:hint="eastAsia"/>
        </w:rPr>
        <w:t>8</w:t>
      </w:r>
      <w:r>
        <w:rPr>
          <w:rFonts w:ascii="細明體_HKSCS" w:hAnsi="細明體_HKSCS" w:eastAsia="細明體_HKSCS" w:hint="eastAsia"/>
          <w:spacing w:val="-84"/>
        </w:rPr>
        <w:t> </w:t>
      </w:r>
      <w:r>
        <w:rPr>
          <w:spacing w:val="-40"/>
        </w:rPr>
        <w:t>月 </w:t>
      </w:r>
      <w:r>
        <w:rPr>
          <w:rFonts w:ascii="細明體_HKSCS" w:hAnsi="細明體_HKSCS" w:eastAsia="細明體_HKSCS" w:hint="eastAsia"/>
        </w:rPr>
        <w:t>1</w:t>
      </w:r>
      <w:r>
        <w:rPr>
          <w:rFonts w:ascii="細明體_HKSCS" w:hAnsi="細明體_HKSCS" w:eastAsia="細明體_HKSCS" w:hint="eastAsia"/>
          <w:spacing w:val="-81"/>
        </w:rPr>
        <w:t> </w:t>
      </w:r>
      <w:r>
        <w:rPr/>
        <w:t>日指派</w:t>
      </w:r>
      <w:r>
        <w:rPr>
          <w:spacing w:val="-5"/>
        </w:rPr>
        <w:t>其至學務處活動組工作，負責之工作內容為</w:t>
      </w:r>
      <w:r>
        <w:rPr>
          <w:spacing w:val="-29"/>
        </w:rPr>
        <w:t>：「一、協助新生</w:t>
      </w:r>
      <w:r>
        <w:rPr>
          <w:spacing w:val="-27"/>
        </w:rPr>
        <w:t>訓練、幹部訓練、公民訓練、校外教學及畢業典禮等活動。</w:t>
      </w:r>
    </w:p>
    <w:p>
      <w:pPr>
        <w:pStyle w:val="BodyText"/>
        <w:spacing w:before="2"/>
        <w:jc w:val="left"/>
      </w:pPr>
      <w:r>
        <w:rPr>
          <w:rFonts w:ascii="細明體_HKSCS" w:hAnsi="細明體_HKSCS" w:eastAsia="細明體_HKSCS" w:hint="eastAsia"/>
        </w:rPr>
        <w:t>(40</w:t>
      </w:r>
      <w:r>
        <w:rPr>
          <w:rFonts w:ascii="細明體_HKSCS" w:hAnsi="細明體_HKSCS" w:eastAsia="細明體_HKSCS" w:hint="eastAsia"/>
          <w:spacing w:val="1"/>
        </w:rPr>
        <w:t>%) </w:t>
      </w:r>
      <w:r>
        <w:rPr/>
        <w:t>二、協助各項學生活動及競賽</w:t>
      </w:r>
      <w:r>
        <w:rPr>
          <w:rFonts w:ascii="細明體_HKSCS" w:hAnsi="細明體_HKSCS" w:eastAsia="細明體_HKSCS" w:hint="eastAsia"/>
        </w:rPr>
        <w:t>(30%)</w:t>
      </w:r>
      <w:r>
        <w:rPr/>
        <w:t>。 ……五、公文</w:t>
      </w:r>
    </w:p>
    <w:p>
      <w:pPr>
        <w:pStyle w:val="BodyText"/>
        <w:spacing w:before="112"/>
        <w:jc w:val="left"/>
        <w:rPr>
          <w:rFonts w:ascii="細明體_HKSCS" w:hAnsi="細明體_HKSCS" w:eastAsia="細明體_HKSCS" w:hint="eastAsia"/>
        </w:rPr>
      </w:pPr>
      <w:r>
        <w:rPr>
          <w:spacing w:val="-9"/>
        </w:rPr>
        <w:t>及臨時交派事項。</w:t>
      </w:r>
      <w:r>
        <w:rPr>
          <w:rFonts w:ascii="細明體_HKSCS" w:hAnsi="細明體_HKSCS" w:eastAsia="細明體_HKSCS" w:hint="eastAsia"/>
        </w:rPr>
        <w:t>(10%)</w:t>
      </w:r>
      <w:r>
        <w:rPr>
          <w:spacing w:val="-28"/>
        </w:rPr>
        <w:t>」。據上，○○高中自再申訴人於 </w:t>
      </w:r>
      <w:r>
        <w:rPr>
          <w:rFonts w:ascii="細明體_HKSCS" w:hAnsi="細明體_HKSCS" w:eastAsia="細明體_HKSCS" w:hint="eastAsia"/>
        </w:rPr>
        <w:t>102</w:t>
      </w:r>
    </w:p>
    <w:p>
      <w:pPr>
        <w:pStyle w:val="BodyText"/>
        <w:spacing w:before="114"/>
        <w:jc w:val="left"/>
      </w:pPr>
      <w:r>
        <w:rPr>
          <w:spacing w:val="-40"/>
        </w:rPr>
        <w:t>年 </w:t>
      </w:r>
      <w:r>
        <w:rPr>
          <w:rFonts w:ascii="細明體_HKSCS" w:eastAsia="細明體_HKSCS" w:hint="eastAsia"/>
        </w:rPr>
        <w:t>11</w:t>
      </w:r>
      <w:r>
        <w:rPr>
          <w:rFonts w:ascii="細明體_HKSCS" w:eastAsia="細明體_HKSCS" w:hint="eastAsia"/>
          <w:spacing w:val="-80"/>
        </w:rPr>
        <w:t> </w:t>
      </w:r>
      <w:r>
        <w:rPr>
          <w:spacing w:val="-8"/>
        </w:rPr>
        <w:t>月至該校任職起，即指派其至學務處生活輔導組工作，</w:t>
      </w:r>
    </w:p>
    <w:p>
      <w:pPr>
        <w:pStyle w:val="BodyText"/>
        <w:spacing w:line="300" w:lineRule="auto" w:before="112"/>
        <w:ind w:right="273"/>
      </w:pPr>
      <w:r>
        <w:rPr>
          <w:rFonts w:ascii="細明體_HKSCS" w:eastAsia="細明體_HKSCS" w:hint="eastAsia"/>
        </w:rPr>
        <w:t>104</w:t>
      </w:r>
      <w:r>
        <w:rPr>
          <w:rFonts w:ascii="細明體_HKSCS" w:eastAsia="細明體_HKSCS" w:hint="eastAsia"/>
          <w:spacing w:val="-58"/>
        </w:rPr>
        <w:t> </w:t>
      </w:r>
      <w:r>
        <w:rPr>
          <w:spacing w:val="-28"/>
        </w:rPr>
        <w:t>年 </w:t>
      </w:r>
      <w:r>
        <w:rPr>
          <w:rFonts w:ascii="細明體_HKSCS" w:eastAsia="細明體_HKSCS" w:hint="eastAsia"/>
        </w:rPr>
        <w:t>8</w:t>
      </w:r>
      <w:r>
        <w:rPr>
          <w:rFonts w:ascii="細明體_HKSCS" w:eastAsia="細明體_HKSCS" w:hint="eastAsia"/>
          <w:spacing w:val="-57"/>
        </w:rPr>
        <w:t> </w:t>
      </w:r>
      <w:r>
        <w:rPr>
          <w:spacing w:val="-28"/>
        </w:rPr>
        <w:t>月 </w:t>
      </w:r>
      <w:r>
        <w:rPr>
          <w:rFonts w:ascii="細明體_HKSCS" w:eastAsia="細明體_HKSCS" w:hint="eastAsia"/>
        </w:rPr>
        <w:t>1</w:t>
      </w:r>
      <w:r>
        <w:rPr>
          <w:rFonts w:ascii="細明體_HKSCS" w:eastAsia="細明體_HKSCS" w:hint="eastAsia"/>
          <w:spacing w:val="-56"/>
        </w:rPr>
        <w:t> </w:t>
      </w:r>
      <w:r>
        <w:rPr/>
        <w:t>日改指派其至同單位活動組工作，此長期全時於該校學務處工作之指派，完全悖離再申訴人本職工作項目</w:t>
      </w:r>
      <w:r>
        <w:rPr>
          <w:spacing w:val="-8"/>
        </w:rPr>
        <w:t>範圍，亦難認屬「其他臨時交辦事項。</w:t>
      </w:r>
      <w:r>
        <w:rPr>
          <w:rFonts w:ascii="細明體_HKSCS" w:eastAsia="細明體_HKSCS" w:hint="eastAsia"/>
        </w:rPr>
        <w:t>(10%)</w:t>
      </w:r>
      <w:r>
        <w:rPr>
          <w:spacing w:val="-9"/>
        </w:rPr>
        <w:t>」之範疇。核有</w:t>
      </w:r>
      <w:r>
        <w:rPr>
          <w:spacing w:val="-15"/>
        </w:rPr>
        <w:t>違反公務人員任用法第 </w:t>
      </w:r>
      <w:r>
        <w:rPr>
          <w:rFonts w:ascii="細明體_HKSCS" w:eastAsia="細明體_HKSCS" w:hint="eastAsia"/>
        </w:rPr>
        <w:t>7</w:t>
      </w:r>
      <w:r>
        <w:rPr>
          <w:rFonts w:ascii="細明體_HKSCS" w:eastAsia="細明體_HKSCS" w:hint="eastAsia"/>
          <w:spacing w:val="-69"/>
        </w:rPr>
        <w:t> </w:t>
      </w:r>
      <w:r>
        <w:rPr>
          <w:spacing w:val="-24"/>
        </w:rPr>
        <w:t>條第 </w:t>
      </w:r>
      <w:r>
        <w:rPr>
          <w:rFonts w:ascii="細明體_HKSCS" w:eastAsia="細明體_HKSCS" w:hint="eastAsia"/>
        </w:rPr>
        <w:t>1</w:t>
      </w:r>
      <w:r>
        <w:rPr>
          <w:rFonts w:ascii="細明體_HKSCS" w:eastAsia="細明體_HKSCS" w:hint="eastAsia"/>
          <w:spacing w:val="-72"/>
        </w:rPr>
        <w:t> </w:t>
      </w:r>
      <w:r>
        <w:rPr>
          <w:spacing w:val="-1"/>
        </w:rPr>
        <w:t>項所定，應按職務說明書為</w:t>
      </w:r>
      <w:r>
        <w:rPr>
          <w:spacing w:val="-20"/>
        </w:rPr>
        <w:t>工作指派之規定。</w:t>
      </w:r>
      <w:r>
        <w:rPr/>
        <w:t>（</w:t>
      </w:r>
      <w:r>
        <w:rPr>
          <w:rFonts w:ascii="細明體_HKSCS" w:eastAsia="細明體_HKSCS" w:hint="eastAsia"/>
        </w:rPr>
        <w:t>105</w:t>
      </w:r>
      <w:r>
        <w:rPr>
          <w:rFonts w:ascii="細明體_HKSCS" w:eastAsia="細明體_HKSCS" w:hint="eastAsia"/>
          <w:spacing w:val="-82"/>
        </w:rPr>
        <w:t> </w:t>
      </w:r>
      <w:r>
        <w:rPr>
          <w:spacing w:val="-14"/>
        </w:rPr>
        <w:t>公申決字第 </w:t>
      </w:r>
      <w:r>
        <w:rPr>
          <w:rFonts w:ascii="細明體_HKSCS" w:eastAsia="細明體_HKSCS" w:hint="eastAsia"/>
        </w:rPr>
        <w:t>0092</w:t>
      </w:r>
      <w:r>
        <w:rPr>
          <w:rFonts w:ascii="細明體_HKSCS" w:eastAsia="細明體_HKSCS" w:hint="eastAsia"/>
          <w:spacing w:val="-84"/>
        </w:rPr>
        <w:t> </w:t>
      </w:r>
      <w:r>
        <w:rPr/>
        <w:t>號再申訴決定書）</w:t>
      </w:r>
    </w:p>
    <w:p>
      <w:pPr>
        <w:spacing w:after="0" w:line="300" w:lineRule="auto"/>
        <w:sectPr>
          <w:pgSz w:w="11910" w:h="16840"/>
          <w:pgMar w:header="0" w:footer="1017" w:top="1220" w:bottom="1200" w:left="1160" w:right="1140"/>
        </w:sectPr>
      </w:pPr>
    </w:p>
    <w:p>
      <w:pPr>
        <w:pStyle w:val="Heading1"/>
        <w:spacing w:line="494" w:lineRule="exact"/>
        <w:ind w:left="263"/>
      </w:pPr>
      <w:r>
        <w:rPr/>
        <w:t>五、機關作成行政處分時未查明事實、法規適用顯有錯誤、欠缺</w:t>
      </w:r>
    </w:p>
    <w:p>
      <w:pPr>
        <w:spacing w:line="574" w:lineRule="exact" w:before="0"/>
        <w:ind w:left="966" w:right="0" w:firstLine="0"/>
        <w:jc w:val="left"/>
        <w:rPr>
          <w:rFonts w:ascii="微軟正黑體" w:eastAsia="微軟正黑體" w:hint="eastAsia"/>
          <w:b/>
          <w:sz w:val="32"/>
        </w:rPr>
      </w:pPr>
      <w:r>
        <w:rPr>
          <w:rFonts w:ascii="微軟正黑體" w:eastAsia="微軟正黑體" w:hint="eastAsia"/>
          <w:b/>
          <w:sz w:val="32"/>
        </w:rPr>
        <w:t>事務管轄權限、不符合法定程序等部分：</w:t>
      </w:r>
    </w:p>
    <w:p>
      <w:pPr>
        <w:spacing w:before="170"/>
        <w:ind w:left="116" w:right="0" w:firstLine="0"/>
        <w:jc w:val="left"/>
        <w:rPr>
          <w:rFonts w:ascii="微軟正黑體" w:eastAsia="微軟正黑體" w:hint="eastAsia"/>
          <w:b/>
          <w:sz w:val="32"/>
        </w:rPr>
      </w:pPr>
      <w:r>
        <w:rPr>
          <w:rFonts w:ascii="微軟正黑體" w:eastAsia="微軟正黑體" w:hint="eastAsia"/>
          <w:b/>
          <w:sz w:val="32"/>
        </w:rPr>
        <w:t>（一） 機關作成處分未經詳實調查或事實認定有誤：</w:t>
      </w:r>
    </w:p>
    <w:p>
      <w:pPr>
        <w:pStyle w:val="ListParagraph"/>
        <w:numPr>
          <w:ilvl w:val="0"/>
          <w:numId w:val="6"/>
        </w:numPr>
        <w:tabs>
          <w:tab w:pos="1322" w:val="left" w:leader="none"/>
        </w:tabs>
        <w:spacing w:line="300" w:lineRule="auto" w:before="76" w:after="0"/>
        <w:ind w:left="1298" w:right="274" w:hanging="320"/>
        <w:jc w:val="left"/>
        <w:rPr>
          <w:sz w:val="32"/>
        </w:rPr>
      </w:pPr>
      <w:r>
        <w:rPr>
          <w:spacing w:val="22"/>
          <w:w w:val="95"/>
          <w:sz w:val="32"/>
        </w:rPr>
        <w:t>復審人於</w:t>
      </w:r>
      <w:r>
        <w:rPr>
          <w:rFonts w:ascii="細明體_HKSCS" w:hAnsi="細明體_HKSCS" w:eastAsia="細明體_HKSCS" w:hint="eastAsia"/>
          <w:spacing w:val="6"/>
          <w:w w:val="95"/>
          <w:sz w:val="32"/>
        </w:rPr>
        <w:t>104</w:t>
      </w:r>
      <w:r>
        <w:rPr>
          <w:spacing w:val="19"/>
          <w:w w:val="95"/>
          <w:sz w:val="32"/>
        </w:rPr>
        <w:t>年經○○院核予申誡二次及記過一次之懲 </w:t>
      </w:r>
      <w:r>
        <w:rPr>
          <w:spacing w:val="-1"/>
          <w:sz w:val="32"/>
        </w:rPr>
        <w:t>處，既經本會撤銷，責由該院另為適法之處理；則系爭○</w:t>
      </w:r>
    </w:p>
    <w:p>
      <w:pPr>
        <w:pStyle w:val="ListParagraph"/>
        <w:numPr>
          <w:ilvl w:val="1"/>
          <w:numId w:val="6"/>
        </w:numPr>
        <w:tabs>
          <w:tab w:pos="1620" w:val="left" w:leader="none"/>
        </w:tabs>
        <w:spacing w:line="300" w:lineRule="auto" w:before="2" w:after="0"/>
        <w:ind w:left="1298" w:right="272" w:firstLine="0"/>
        <w:jc w:val="both"/>
        <w:rPr>
          <w:sz w:val="32"/>
        </w:rPr>
      </w:pPr>
      <w:r>
        <w:rPr>
          <w:sz w:val="32"/>
        </w:rPr>
        <w:t>院</w:t>
      </w:r>
      <w:r>
        <w:rPr>
          <w:rFonts w:ascii="細明體_HKSCS" w:hAnsi="細明體_HKSCS" w:eastAsia="細明體_HKSCS" w:hint="eastAsia"/>
          <w:sz w:val="32"/>
        </w:rPr>
        <w:t>105</w:t>
      </w:r>
      <w:r>
        <w:rPr>
          <w:sz w:val="32"/>
        </w:rPr>
        <w:t>年</w:t>
      </w:r>
      <w:r>
        <w:rPr>
          <w:rFonts w:ascii="細明體_HKSCS" w:hAnsi="細明體_HKSCS" w:eastAsia="細明體_HKSCS" w:hint="eastAsia"/>
          <w:sz w:val="32"/>
        </w:rPr>
        <w:t>1</w:t>
      </w:r>
      <w:r>
        <w:rPr>
          <w:sz w:val="32"/>
        </w:rPr>
        <w:t>月</w:t>
      </w:r>
      <w:r>
        <w:rPr>
          <w:rFonts w:ascii="細明體_HKSCS" w:hAnsi="細明體_HKSCS" w:eastAsia="細明體_HKSCS" w:hint="eastAsia"/>
          <w:sz w:val="32"/>
        </w:rPr>
        <w:t>30</w:t>
      </w:r>
      <w:r>
        <w:rPr>
          <w:spacing w:val="-12"/>
          <w:sz w:val="32"/>
        </w:rPr>
        <w:t>日函，據以發給復審人三分之二數額之</w:t>
      </w:r>
      <w:r>
        <w:rPr>
          <w:rFonts w:ascii="細明體_HKSCS" w:hAnsi="細明體_HKSCS" w:eastAsia="細明體_HKSCS" w:hint="eastAsia"/>
          <w:spacing w:val="-3"/>
          <w:sz w:val="32"/>
        </w:rPr>
        <w:t>104 </w:t>
      </w:r>
      <w:r>
        <w:rPr>
          <w:sz w:val="32"/>
        </w:rPr>
        <w:t>年年終工作獎金，其基礎構成要件已有變更，其是否仍具</w:t>
      </w:r>
    </w:p>
    <w:p>
      <w:pPr>
        <w:pStyle w:val="BodyText"/>
        <w:spacing w:line="300" w:lineRule="auto" w:before="3"/>
        <w:ind w:left="1298" w:right="275"/>
      </w:pPr>
      <w:r>
        <w:rPr>
          <w:rFonts w:ascii="細明體_HKSCS" w:hAnsi="細明體_HKSCS" w:eastAsia="細明體_HKSCS" w:hint="eastAsia"/>
        </w:rPr>
        <w:t>104</w:t>
      </w:r>
      <w:r>
        <w:rPr/>
        <w:t>年年終獎金注意事項第</w:t>
      </w:r>
      <w:r>
        <w:rPr>
          <w:rFonts w:ascii="細明體_HKSCS" w:hAnsi="細明體_HKSCS" w:eastAsia="細明體_HKSCS" w:hint="eastAsia"/>
        </w:rPr>
        <w:t>7</w:t>
      </w:r>
      <w:r>
        <w:rPr/>
        <w:t>點第</w:t>
      </w:r>
      <w:r>
        <w:rPr>
          <w:rFonts w:ascii="細明體_HKSCS" w:hAnsi="細明體_HKSCS" w:eastAsia="細明體_HKSCS" w:hint="eastAsia"/>
        </w:rPr>
        <w:t>1</w:t>
      </w:r>
      <w:r>
        <w:rPr/>
        <w:t>項第</w:t>
      </w:r>
      <w:r>
        <w:rPr>
          <w:rFonts w:ascii="細明體_HKSCS" w:hAnsi="細明體_HKSCS" w:eastAsia="細明體_HKSCS" w:hint="eastAsia"/>
        </w:rPr>
        <w:t>4</w:t>
      </w:r>
      <w:r>
        <w:rPr/>
        <w:t>款所定，減發年終</w:t>
      </w:r>
      <w:r>
        <w:rPr>
          <w:spacing w:val="13"/>
          <w:w w:val="95"/>
        </w:rPr>
        <w:t>工作獎金之要件，自待○○院重行審酌相關事實後決定 </w:t>
      </w:r>
      <w:r>
        <w:rPr>
          <w:spacing w:val="-74"/>
        </w:rPr>
        <w:t>之。</w:t>
      </w:r>
      <w:r>
        <w:rPr/>
        <w:t>（</w:t>
      </w:r>
      <w:r>
        <w:rPr>
          <w:rFonts w:ascii="細明體_HKSCS" w:hAnsi="細明體_HKSCS" w:eastAsia="細明體_HKSCS" w:hint="eastAsia"/>
        </w:rPr>
        <w:t>105</w:t>
      </w:r>
      <w:r>
        <w:rPr/>
        <w:t>公審決字第</w:t>
      </w:r>
      <w:r>
        <w:rPr>
          <w:rFonts w:ascii="細明體_HKSCS" w:hAnsi="細明體_HKSCS" w:eastAsia="細明體_HKSCS" w:hint="eastAsia"/>
        </w:rPr>
        <w:t>0098</w:t>
      </w:r>
      <w:r>
        <w:rPr/>
        <w:t>號復審決定書）</w:t>
      </w:r>
    </w:p>
    <w:p>
      <w:pPr>
        <w:pStyle w:val="ListParagraph"/>
        <w:numPr>
          <w:ilvl w:val="0"/>
          <w:numId w:val="6"/>
        </w:numPr>
        <w:tabs>
          <w:tab w:pos="1282" w:val="left" w:leader="none"/>
        </w:tabs>
        <w:spacing w:line="240" w:lineRule="auto" w:before="2" w:after="0"/>
        <w:ind w:left="1281" w:right="0" w:hanging="322"/>
        <w:jc w:val="left"/>
        <w:rPr>
          <w:sz w:val="32"/>
        </w:rPr>
      </w:pPr>
      <w:r>
        <w:rPr>
          <w:sz w:val="32"/>
        </w:rPr>
        <w:t>○○市政府核布復審人免職處分之基礎事實，係以其</w:t>
      </w:r>
      <w:r>
        <w:rPr>
          <w:rFonts w:ascii="細明體_HKSCS" w:hAnsi="細明體_HKSCS" w:eastAsia="細明體_HKSCS" w:hint="eastAsia"/>
          <w:sz w:val="32"/>
        </w:rPr>
        <w:t>94</w:t>
      </w:r>
      <w:r>
        <w:rPr>
          <w:sz w:val="32"/>
        </w:rPr>
        <w:t>年</w:t>
      </w:r>
    </w:p>
    <w:p>
      <w:pPr>
        <w:pStyle w:val="BodyText"/>
        <w:spacing w:line="300" w:lineRule="auto" w:before="111"/>
        <w:ind w:left="1278" w:right="201"/>
      </w:pPr>
      <w:r>
        <w:rPr>
          <w:rFonts w:ascii="細明體_HKSCS" w:hAnsi="細明體_HKSCS" w:eastAsia="細明體_HKSCS" w:hint="eastAsia"/>
        </w:rPr>
        <w:t>11</w:t>
      </w:r>
      <w:r>
        <w:rPr/>
        <w:t>月</w:t>
      </w:r>
      <w:r>
        <w:rPr>
          <w:rFonts w:ascii="細明體_HKSCS" w:hAnsi="細明體_HKSCS" w:eastAsia="細明體_HKSCS" w:hint="eastAsia"/>
        </w:rPr>
        <w:t>6</w:t>
      </w:r>
      <w:r>
        <w:rPr>
          <w:spacing w:val="-7"/>
        </w:rPr>
        <w:t>日擔任○○分局警員期間，遭查獲施用第二級毒品， </w:t>
      </w:r>
      <w:r>
        <w:rPr/>
        <w:t>破壞紀律，情節重大，有確實證據。調查復審人</w:t>
      </w:r>
      <w:r>
        <w:rPr>
          <w:rFonts w:ascii="細明體_HKSCS" w:hAnsi="細明體_HKSCS" w:eastAsia="細明體_HKSCS" w:hint="eastAsia"/>
        </w:rPr>
        <w:t>94</w:t>
      </w:r>
      <w:r>
        <w:rPr/>
        <w:t>年間施用毒品之相關過程，亦應依公務員懲戒法第</w:t>
      </w:r>
      <w:r>
        <w:rPr>
          <w:rFonts w:ascii="細明體_HKSCS" w:hAnsi="細明體_HKSCS" w:eastAsia="細明體_HKSCS" w:hint="eastAsia"/>
        </w:rPr>
        <w:t>10</w:t>
      </w:r>
      <w:r>
        <w:rPr/>
        <w:t>條所定，審酌一切情狀，注意復審人行為之動機、目的、行為時所受之刺激、行為手段、生活狀況、品行、違反義務之程度、行為所生之損害或影響及行為後之態度等事項，為處分輕重之標準。茲以復審人於上開</w:t>
      </w:r>
      <w:r>
        <w:rPr>
          <w:rFonts w:ascii="細明體_HKSCS" w:hAnsi="細明體_HKSCS" w:eastAsia="細明體_HKSCS" w:hint="eastAsia"/>
        </w:rPr>
        <w:t>94</w:t>
      </w:r>
      <w:r>
        <w:rPr/>
        <w:t>年違失行為後，已重新應</w:t>
      </w:r>
    </w:p>
    <w:p>
      <w:pPr>
        <w:pStyle w:val="BodyText"/>
        <w:spacing w:before="4"/>
        <w:ind w:left="1278"/>
        <w:jc w:val="left"/>
      </w:pPr>
      <w:r>
        <w:rPr>
          <w:rFonts w:ascii="細明體_HKSCS" w:eastAsia="細明體_HKSCS" w:hint="eastAsia"/>
          <w:w w:val="95"/>
        </w:rPr>
        <w:t>100</w:t>
      </w:r>
      <w:r>
        <w:rPr>
          <w:spacing w:val="-6"/>
          <w:w w:val="95"/>
        </w:rPr>
        <w:t>年公務人員特種考試警察人員考試四等考試及格，則其</w:t>
      </w:r>
    </w:p>
    <w:p>
      <w:pPr>
        <w:pStyle w:val="BodyText"/>
        <w:spacing w:line="300" w:lineRule="auto" w:before="114"/>
        <w:ind w:left="1278" w:right="113"/>
      </w:pPr>
      <w:r>
        <w:rPr>
          <w:rFonts w:ascii="細明體_HKSCS" w:hAnsi="細明體_HKSCS" w:eastAsia="細明體_HKSCS" w:hint="eastAsia"/>
        </w:rPr>
        <w:t>94</w:t>
      </w:r>
      <w:r>
        <w:rPr>
          <w:spacing w:val="-9"/>
        </w:rPr>
        <w:t>年間施用毒品之行為，迄至</w:t>
      </w:r>
      <w:r>
        <w:rPr>
          <w:rFonts w:ascii="細明體_HKSCS" w:hAnsi="細明體_HKSCS" w:eastAsia="細明體_HKSCS" w:hint="eastAsia"/>
        </w:rPr>
        <w:t>104</w:t>
      </w:r>
      <w:r>
        <w:rPr/>
        <w:t>年是否仍該當破壞紀律情節重大之要件，依卷附資料，亦未見○○市政府提出相關</w:t>
      </w:r>
      <w:r>
        <w:rPr>
          <w:spacing w:val="-15"/>
        </w:rPr>
        <w:t>事證予以說明，予以免職處分，即有事實未予查明之瑕疵， </w:t>
      </w:r>
      <w:r>
        <w:rPr>
          <w:spacing w:val="-20"/>
        </w:rPr>
        <w:t>核有重行斟酌之必要</w:t>
      </w:r>
      <w:r>
        <w:rPr>
          <w:spacing w:val="-213"/>
        </w:rPr>
        <w:t>。</w:t>
      </w:r>
      <w:r>
        <w:rPr/>
        <w:t>（</w:t>
      </w:r>
      <w:r>
        <w:rPr>
          <w:rFonts w:ascii="細明體_HKSCS" w:hAnsi="細明體_HKSCS" w:eastAsia="細明體_HKSCS" w:hint="eastAsia"/>
        </w:rPr>
        <w:t>105</w:t>
      </w:r>
      <w:r>
        <w:rPr/>
        <w:t>公審決字第</w:t>
      </w:r>
      <w:r>
        <w:rPr>
          <w:rFonts w:ascii="細明體_HKSCS" w:hAnsi="細明體_HKSCS" w:eastAsia="細明體_HKSCS" w:hint="eastAsia"/>
        </w:rPr>
        <w:t>0096</w:t>
      </w:r>
      <w:r>
        <w:rPr/>
        <w:t>號復審決定書）</w:t>
      </w:r>
    </w:p>
    <w:p>
      <w:pPr>
        <w:pStyle w:val="Heading1"/>
        <w:spacing w:before="96"/>
        <w:ind w:left="116"/>
      </w:pPr>
      <w:r>
        <w:rPr/>
        <w:t>（二） 行政處分之法規適用顯有錯誤︰</w:t>
      </w:r>
    </w:p>
    <w:p>
      <w:pPr>
        <w:pStyle w:val="BodyText"/>
        <w:spacing w:before="77"/>
        <w:ind w:left="1278"/>
      </w:pPr>
      <w:r>
        <w:rPr/>
        <w:t>公務人員任用時兼具外國國籍者，如係發生於公務人員任</w:t>
      </w:r>
    </w:p>
    <w:p>
      <w:pPr>
        <w:spacing w:after="0"/>
        <w:sectPr>
          <w:pgSz w:w="11910" w:h="16840"/>
          <w:pgMar w:header="0" w:footer="1017" w:top="1220" w:bottom="1200" w:left="1160" w:right="1140"/>
        </w:sectPr>
      </w:pPr>
    </w:p>
    <w:p>
      <w:pPr>
        <w:pStyle w:val="BodyText"/>
        <w:spacing w:line="300" w:lineRule="auto"/>
        <w:ind w:left="1278" w:right="267"/>
      </w:pPr>
      <w:r>
        <w:rPr>
          <w:spacing w:val="2"/>
        </w:rPr>
        <w:t>用法</w:t>
      </w:r>
      <w:r>
        <w:rPr/>
        <w:t>（以下簡稱任用法）</w:t>
      </w:r>
      <w:r>
        <w:rPr>
          <w:rFonts w:ascii="細明體_HKSCS" w:hAnsi="細明體_HKSCS" w:eastAsia="細明體_HKSCS" w:hint="eastAsia"/>
        </w:rPr>
        <w:t>85</w:t>
      </w:r>
      <w:r>
        <w:rPr>
          <w:spacing w:val="4"/>
        </w:rPr>
        <w:t>年</w:t>
      </w:r>
      <w:r>
        <w:rPr>
          <w:rFonts w:ascii="細明體_HKSCS" w:hAnsi="細明體_HKSCS" w:eastAsia="細明體_HKSCS" w:hint="eastAsia"/>
        </w:rPr>
        <w:t>11</w:t>
      </w:r>
      <w:r>
        <w:rPr>
          <w:spacing w:val="4"/>
        </w:rPr>
        <w:t>月</w:t>
      </w:r>
      <w:r>
        <w:rPr>
          <w:rFonts w:ascii="細明體_HKSCS" w:hAnsi="細明體_HKSCS" w:eastAsia="細明體_HKSCS" w:hint="eastAsia"/>
        </w:rPr>
        <w:t>14</w:t>
      </w:r>
      <w:r>
        <w:rPr/>
        <w:t>日修正公布前，應依國籍法施行條例第</w:t>
      </w:r>
      <w:r>
        <w:rPr>
          <w:rFonts w:ascii="細明體_HKSCS" w:hAnsi="細明體_HKSCS" w:eastAsia="細明體_HKSCS" w:hint="eastAsia"/>
        </w:rPr>
        <w:t>10</w:t>
      </w:r>
      <w:r>
        <w:rPr/>
        <w:t>條規定及內政部</w:t>
      </w:r>
      <w:r>
        <w:rPr>
          <w:rFonts w:ascii="細明體_HKSCS" w:hAnsi="細明體_HKSCS" w:eastAsia="細明體_HKSCS" w:hint="eastAsia"/>
        </w:rPr>
        <w:t>84</w:t>
      </w:r>
      <w:r>
        <w:rPr/>
        <w:t>年</w:t>
      </w:r>
      <w:r>
        <w:rPr>
          <w:rFonts w:ascii="細明體_HKSCS" w:hAnsi="細明體_HKSCS" w:eastAsia="細明體_HKSCS" w:hint="eastAsia"/>
        </w:rPr>
        <w:t>10</w:t>
      </w:r>
      <w:r>
        <w:rPr/>
        <w:t>月</w:t>
      </w:r>
      <w:r>
        <w:rPr>
          <w:rFonts w:ascii="細明體_HKSCS" w:hAnsi="細明體_HKSCS" w:eastAsia="細明體_HKSCS" w:hint="eastAsia"/>
        </w:rPr>
        <w:t>9</w:t>
      </w:r>
      <w:r>
        <w:rPr>
          <w:spacing w:val="-56"/>
        </w:rPr>
        <w:t>日</w:t>
      </w:r>
      <w:r>
        <w:rPr>
          <w:spacing w:val="-13"/>
        </w:rPr>
        <w:t>（</w:t>
      </w:r>
      <w:r>
        <w:rPr>
          <w:rFonts w:ascii="細明體_HKSCS" w:hAnsi="細明體_HKSCS" w:eastAsia="細明體_HKSCS" w:hint="eastAsia"/>
          <w:spacing w:val="-13"/>
        </w:rPr>
        <w:t>84</w:t>
      </w:r>
      <w:r>
        <w:rPr>
          <w:spacing w:val="-13"/>
        </w:rPr>
        <w:t>）</w:t>
      </w:r>
      <w:r>
        <w:rPr>
          <w:spacing w:val="-53"/>
        </w:rPr>
        <w:t>台</w:t>
      </w:r>
      <w:r>
        <w:rPr/>
        <w:t>內戶字第</w:t>
      </w:r>
      <w:r>
        <w:rPr>
          <w:rFonts w:ascii="細明體_HKSCS" w:hAnsi="細明體_HKSCS" w:eastAsia="細明體_HKSCS" w:hint="eastAsia"/>
        </w:rPr>
        <w:t>8404184</w:t>
      </w:r>
      <w:r>
        <w:rPr>
          <w:spacing w:val="-7"/>
        </w:rPr>
        <w:t>號函釋略以經主管機關依職權撤銷者，該</w:t>
      </w:r>
      <w:r>
        <w:rPr>
          <w:spacing w:val="-2"/>
        </w:rPr>
        <w:t>職權撤銷僅向將來生效。復審人原任○○醫院護理師；</w:t>
      </w:r>
      <w:r>
        <w:rPr>
          <w:rFonts w:ascii="細明體_HKSCS" w:hAnsi="細明體_HKSCS" w:eastAsia="細明體_HKSCS" w:hint="eastAsia"/>
          <w:spacing w:val="2"/>
        </w:rPr>
        <w:t>82 </w:t>
      </w:r>
      <w:r>
        <w:rPr>
          <w:spacing w:val="9"/>
          <w:w w:val="95"/>
        </w:rPr>
        <w:t>年</w:t>
      </w:r>
      <w:r>
        <w:rPr>
          <w:rFonts w:ascii="細明體_HKSCS" w:hAnsi="細明體_HKSCS" w:eastAsia="細明體_HKSCS" w:hint="eastAsia"/>
          <w:spacing w:val="8"/>
          <w:w w:val="95"/>
        </w:rPr>
        <w:t>9</w:t>
      </w:r>
      <w:r>
        <w:rPr>
          <w:spacing w:val="12"/>
          <w:w w:val="95"/>
        </w:rPr>
        <w:t>月</w:t>
      </w:r>
      <w:r>
        <w:rPr>
          <w:rFonts w:ascii="細明體_HKSCS" w:hAnsi="細明體_HKSCS" w:eastAsia="細明體_HKSCS" w:hint="eastAsia"/>
          <w:spacing w:val="3"/>
          <w:w w:val="95"/>
        </w:rPr>
        <w:t>29</w:t>
      </w:r>
      <w:r>
        <w:rPr>
          <w:spacing w:val="8"/>
          <w:w w:val="95"/>
        </w:rPr>
        <w:t>日調任○○鄉衛生所公共衛生護士；</w:t>
      </w:r>
      <w:r>
        <w:rPr>
          <w:rFonts w:ascii="細明體_HKSCS" w:hAnsi="細明體_HKSCS" w:eastAsia="細明體_HKSCS" w:hint="eastAsia"/>
          <w:spacing w:val="6"/>
          <w:w w:val="95"/>
        </w:rPr>
        <w:t>83</w:t>
      </w:r>
      <w:r>
        <w:rPr>
          <w:spacing w:val="12"/>
          <w:w w:val="95"/>
        </w:rPr>
        <w:t>年</w:t>
      </w:r>
      <w:r>
        <w:rPr>
          <w:rFonts w:ascii="細明體_HKSCS" w:hAnsi="細明體_HKSCS" w:eastAsia="細明體_HKSCS" w:hint="eastAsia"/>
          <w:spacing w:val="3"/>
          <w:w w:val="95"/>
        </w:rPr>
        <w:t>11</w:t>
      </w:r>
      <w:r>
        <w:rPr>
          <w:spacing w:val="12"/>
          <w:w w:val="95"/>
        </w:rPr>
        <w:t>月</w:t>
      </w:r>
      <w:r>
        <w:rPr>
          <w:rFonts w:ascii="細明體_HKSCS" w:hAnsi="細明體_HKSCS" w:eastAsia="細明體_HKSCS" w:hint="eastAsia"/>
          <w:w w:val="95"/>
        </w:rPr>
        <w:t>21 </w:t>
      </w:r>
      <w:r>
        <w:rPr/>
        <w:t>日調任Ａ國民小學</w:t>
      </w:r>
      <w:r>
        <w:rPr>
          <w:spacing w:val="4"/>
        </w:rPr>
        <w:t>（</w:t>
      </w:r>
      <w:r>
        <w:rPr/>
        <w:t>以下簡稱Ａ國小）護士；</w:t>
      </w:r>
      <w:r>
        <w:rPr>
          <w:rFonts w:ascii="細明體_HKSCS" w:hAnsi="細明體_HKSCS" w:eastAsia="細明體_HKSCS" w:hint="eastAsia"/>
        </w:rPr>
        <w:t>93</w:t>
      </w:r>
      <w:r>
        <w:rPr>
          <w:spacing w:val="5"/>
        </w:rPr>
        <w:t>年</w:t>
      </w:r>
      <w:r>
        <w:rPr>
          <w:rFonts w:ascii="細明體_HKSCS" w:hAnsi="細明體_HKSCS" w:eastAsia="細明體_HKSCS" w:hint="eastAsia"/>
        </w:rPr>
        <w:t>8</w:t>
      </w:r>
      <w:r>
        <w:rPr/>
        <w:t>月</w:t>
      </w:r>
      <w:r>
        <w:rPr>
          <w:rFonts w:ascii="細明體_HKSCS" w:hAnsi="細明體_HKSCS" w:eastAsia="細明體_HKSCS" w:hint="eastAsia"/>
          <w:spacing w:val="3"/>
        </w:rPr>
        <w:t>1</w:t>
      </w:r>
      <w:r>
        <w:rPr/>
        <w:t>日調任Ｂ國民小學（以下簡稱Ｂ國小</w:t>
      </w:r>
      <w:r>
        <w:rPr>
          <w:spacing w:val="6"/>
        </w:rPr>
        <w:t>）</w:t>
      </w:r>
      <w:r>
        <w:rPr/>
        <w:t>護理師。○○縣政府依據法務部廉政署</w:t>
      </w:r>
      <w:r>
        <w:rPr>
          <w:rFonts w:ascii="細明體_HKSCS" w:hAnsi="細明體_HKSCS" w:eastAsia="細明體_HKSCS" w:hint="eastAsia"/>
        </w:rPr>
        <w:t>103</w:t>
      </w:r>
      <w:r>
        <w:rPr/>
        <w:t>年</w:t>
      </w:r>
      <w:r>
        <w:rPr>
          <w:rFonts w:ascii="細明體_HKSCS" w:hAnsi="細明體_HKSCS" w:eastAsia="細明體_HKSCS" w:hint="eastAsia"/>
        </w:rPr>
        <w:t>1</w:t>
      </w:r>
      <w:r>
        <w:rPr/>
        <w:t>月</w:t>
      </w:r>
      <w:r>
        <w:rPr>
          <w:rFonts w:ascii="細明體_HKSCS" w:hAnsi="細明體_HKSCS" w:eastAsia="細明體_HKSCS" w:hint="eastAsia"/>
        </w:rPr>
        <w:t>16</w:t>
      </w:r>
      <w:r>
        <w:rPr>
          <w:spacing w:val="-16"/>
        </w:rPr>
        <w:t>日書函，檢送民眾</w:t>
      </w:r>
      <w:r>
        <w:rPr>
          <w:rFonts w:ascii="細明體_HKSCS" w:hAnsi="細明體_HKSCS" w:eastAsia="細明體_HKSCS" w:hint="eastAsia"/>
        </w:rPr>
        <w:t>103</w:t>
      </w:r>
      <w:r>
        <w:rPr/>
        <w:t>年</w:t>
      </w:r>
      <w:r>
        <w:rPr>
          <w:rFonts w:ascii="細明體_HKSCS" w:hAnsi="細明體_HKSCS" w:eastAsia="細明體_HKSCS" w:hint="eastAsia"/>
        </w:rPr>
        <w:t>1</w:t>
      </w:r>
      <w:r>
        <w:rPr/>
        <w:t>月</w:t>
      </w:r>
      <w:r>
        <w:rPr>
          <w:rFonts w:ascii="細明體_HKSCS" w:hAnsi="細明體_HKSCS" w:eastAsia="細明體_HKSCS" w:hint="eastAsia"/>
        </w:rPr>
        <w:t>7 </w:t>
      </w:r>
      <w:r>
        <w:rPr/>
        <w:t>日檢舉電子郵件影本，知悉復審人於任用前即取得○國國</w:t>
      </w:r>
      <w:r>
        <w:rPr>
          <w:spacing w:val="2"/>
        </w:rPr>
        <w:t>籍，乃以</w:t>
      </w:r>
      <w:r>
        <w:rPr>
          <w:rFonts w:ascii="細明體_HKSCS" w:hAnsi="細明體_HKSCS" w:eastAsia="細明體_HKSCS" w:hint="eastAsia"/>
        </w:rPr>
        <w:t>104</w:t>
      </w:r>
      <w:r>
        <w:rPr/>
        <w:t>年</w:t>
      </w:r>
      <w:r>
        <w:rPr>
          <w:rFonts w:ascii="細明體_HKSCS" w:hAnsi="細明體_HKSCS" w:eastAsia="細明體_HKSCS" w:hint="eastAsia"/>
        </w:rPr>
        <w:t>9</w:t>
      </w:r>
      <w:r>
        <w:rPr>
          <w:spacing w:val="4"/>
        </w:rPr>
        <w:t>月</w:t>
      </w:r>
      <w:r>
        <w:rPr>
          <w:rFonts w:ascii="細明體_HKSCS" w:hAnsi="細明體_HKSCS" w:eastAsia="細明體_HKSCS" w:hint="eastAsia"/>
        </w:rPr>
        <w:t>19</w:t>
      </w:r>
      <w:r>
        <w:rPr/>
        <w:t>日令，撤銷其為○○衛生所公共衛生</w:t>
      </w:r>
      <w:r>
        <w:rPr>
          <w:spacing w:val="9"/>
        </w:rPr>
        <w:t>護士之任用，溯自</w:t>
      </w:r>
      <w:r>
        <w:rPr>
          <w:rFonts w:ascii="細明體_HKSCS" w:hAnsi="細明體_HKSCS" w:eastAsia="細明體_HKSCS" w:hint="eastAsia"/>
          <w:spacing w:val="3"/>
        </w:rPr>
        <w:t>82</w:t>
      </w:r>
      <w:r>
        <w:rPr>
          <w:spacing w:val="9"/>
        </w:rPr>
        <w:t>年</w:t>
      </w:r>
      <w:r>
        <w:rPr>
          <w:rFonts w:ascii="細明體_HKSCS" w:hAnsi="細明體_HKSCS" w:eastAsia="細明體_HKSCS" w:hint="eastAsia"/>
          <w:spacing w:val="8"/>
        </w:rPr>
        <w:t>9</w:t>
      </w:r>
      <w:r>
        <w:rPr>
          <w:spacing w:val="12"/>
        </w:rPr>
        <w:t>月</w:t>
      </w:r>
      <w:r>
        <w:rPr>
          <w:rFonts w:ascii="細明體_HKSCS" w:hAnsi="細明體_HKSCS" w:eastAsia="細明體_HKSCS" w:hint="eastAsia"/>
          <w:spacing w:val="3"/>
        </w:rPr>
        <w:t>29</w:t>
      </w:r>
      <w:r>
        <w:rPr>
          <w:spacing w:val="9"/>
        </w:rPr>
        <w:t>日生效；以系爭</w:t>
      </w:r>
      <w:r>
        <w:rPr>
          <w:rFonts w:ascii="細明體_HKSCS" w:hAnsi="細明體_HKSCS" w:eastAsia="細明體_HKSCS" w:hint="eastAsia"/>
        </w:rPr>
        <w:t>104</w:t>
      </w:r>
      <w:r>
        <w:rPr>
          <w:spacing w:val="12"/>
        </w:rPr>
        <w:t>年</w:t>
      </w:r>
      <w:r>
        <w:rPr>
          <w:rFonts w:ascii="細明體_HKSCS" w:hAnsi="細明體_HKSCS" w:eastAsia="細明體_HKSCS" w:hint="eastAsia"/>
          <w:spacing w:val="8"/>
        </w:rPr>
        <w:t>9</w:t>
      </w:r>
      <w:r>
        <w:rPr>
          <w:spacing w:val="9"/>
        </w:rPr>
        <w:t>月</w:t>
      </w:r>
      <w:r>
        <w:rPr>
          <w:rFonts w:ascii="細明體_HKSCS" w:hAnsi="細明體_HKSCS" w:eastAsia="細明體_HKSCS" w:hint="eastAsia"/>
        </w:rPr>
        <w:t>19 </w:t>
      </w:r>
      <w:r>
        <w:rPr/>
        <w:t>日令，撤銷其為Ａ國小護士之任用，溯自</w:t>
      </w:r>
      <w:r>
        <w:rPr>
          <w:rFonts w:ascii="細明體_HKSCS" w:hAnsi="細明體_HKSCS" w:eastAsia="細明體_HKSCS" w:hint="eastAsia"/>
        </w:rPr>
        <w:t>83</w:t>
      </w:r>
      <w:r>
        <w:rPr>
          <w:spacing w:val="4"/>
        </w:rPr>
        <w:t>年</w:t>
      </w:r>
      <w:r>
        <w:rPr>
          <w:rFonts w:ascii="細明體_HKSCS" w:hAnsi="細明體_HKSCS" w:eastAsia="細明體_HKSCS" w:hint="eastAsia"/>
        </w:rPr>
        <w:t>11</w:t>
      </w:r>
      <w:r>
        <w:rPr>
          <w:spacing w:val="5"/>
        </w:rPr>
        <w:t>月</w:t>
      </w:r>
      <w:r>
        <w:rPr>
          <w:rFonts w:ascii="細明體_HKSCS" w:hAnsi="細明體_HKSCS" w:eastAsia="細明體_HKSCS" w:hint="eastAsia"/>
        </w:rPr>
        <w:t>21</w:t>
      </w:r>
      <w:r>
        <w:rPr/>
        <w:t>日生</w:t>
      </w:r>
      <w:r>
        <w:rPr>
          <w:spacing w:val="3"/>
        </w:rPr>
        <w:t>效；以</w:t>
      </w:r>
      <w:r>
        <w:rPr>
          <w:rFonts w:ascii="細明體_HKSCS" w:hAnsi="細明體_HKSCS" w:eastAsia="細明體_HKSCS" w:hint="eastAsia"/>
        </w:rPr>
        <w:t>104</w:t>
      </w:r>
      <w:r>
        <w:rPr>
          <w:spacing w:val="3"/>
        </w:rPr>
        <w:t>年</w:t>
      </w:r>
      <w:r>
        <w:rPr>
          <w:rFonts w:ascii="細明體_HKSCS" w:hAnsi="細明體_HKSCS" w:eastAsia="細明體_HKSCS" w:hint="eastAsia"/>
          <w:spacing w:val="3"/>
        </w:rPr>
        <w:t>9</w:t>
      </w:r>
      <w:r>
        <w:rPr/>
        <w:t>月</w:t>
      </w:r>
      <w:r>
        <w:rPr>
          <w:rFonts w:ascii="細明體_HKSCS" w:hAnsi="細明體_HKSCS" w:eastAsia="細明體_HKSCS" w:hint="eastAsia"/>
        </w:rPr>
        <w:t>19</w:t>
      </w:r>
      <w:r>
        <w:rPr>
          <w:spacing w:val="1"/>
        </w:rPr>
        <w:t>日府人任字第</w:t>
      </w:r>
      <w:r>
        <w:rPr>
          <w:rFonts w:ascii="細明體_HKSCS" w:hAnsi="細明體_HKSCS" w:eastAsia="細明體_HKSCS" w:hint="eastAsia"/>
        </w:rPr>
        <w:t>1040173980</w:t>
      </w:r>
      <w:r>
        <w:rPr/>
        <w:t>號令，撤銷其為Ｂ國小護理師之任用，溯自</w:t>
      </w:r>
      <w:r>
        <w:rPr>
          <w:rFonts w:ascii="細明體_HKSCS" w:hAnsi="細明體_HKSCS" w:eastAsia="細明體_HKSCS" w:hint="eastAsia"/>
        </w:rPr>
        <w:t>93</w:t>
      </w:r>
      <w:r>
        <w:rPr>
          <w:spacing w:val="4"/>
        </w:rPr>
        <w:t>年</w:t>
      </w:r>
      <w:r>
        <w:rPr>
          <w:rFonts w:ascii="細明體_HKSCS" w:hAnsi="細明體_HKSCS" w:eastAsia="細明體_HKSCS" w:hint="eastAsia"/>
        </w:rPr>
        <w:t>8</w:t>
      </w:r>
      <w:r>
        <w:rPr/>
        <w:t>月</w:t>
      </w:r>
      <w:r>
        <w:rPr>
          <w:rFonts w:ascii="細明體_HKSCS" w:hAnsi="細明體_HKSCS" w:eastAsia="細明體_HKSCS" w:hint="eastAsia"/>
          <w:spacing w:val="3"/>
        </w:rPr>
        <w:t>1</w:t>
      </w:r>
      <w:r>
        <w:rPr/>
        <w:t>日生效。惟查復審</w:t>
      </w:r>
      <w:r>
        <w:rPr>
          <w:spacing w:val="2"/>
        </w:rPr>
        <w:t>人自</w:t>
      </w:r>
      <w:r>
        <w:rPr>
          <w:rFonts w:ascii="細明體_HKSCS" w:hAnsi="細明體_HKSCS" w:eastAsia="細明體_HKSCS" w:hint="eastAsia"/>
        </w:rPr>
        <w:t>82</w:t>
      </w:r>
      <w:r>
        <w:rPr/>
        <w:t>年</w:t>
      </w:r>
      <w:r>
        <w:rPr>
          <w:rFonts w:ascii="細明體_HKSCS" w:hAnsi="細明體_HKSCS" w:eastAsia="細明體_HKSCS" w:hint="eastAsia"/>
        </w:rPr>
        <w:t>9</w:t>
      </w:r>
      <w:r>
        <w:rPr>
          <w:spacing w:val="5"/>
        </w:rPr>
        <w:t>月</w:t>
      </w:r>
      <w:r>
        <w:rPr>
          <w:rFonts w:ascii="細明體_HKSCS" w:hAnsi="細明體_HKSCS" w:eastAsia="細明體_HKSCS" w:hint="eastAsia"/>
        </w:rPr>
        <w:t>29</w:t>
      </w:r>
      <w:r>
        <w:rPr>
          <w:spacing w:val="1"/>
        </w:rPr>
        <w:t>日起至</w:t>
      </w:r>
      <w:r>
        <w:rPr>
          <w:rFonts w:ascii="細明體_HKSCS" w:hAnsi="細明體_HKSCS" w:eastAsia="細明體_HKSCS" w:hint="eastAsia"/>
        </w:rPr>
        <w:t>93</w:t>
      </w:r>
      <w:r>
        <w:rPr/>
        <w:t>年</w:t>
      </w:r>
      <w:r>
        <w:rPr>
          <w:rFonts w:ascii="細明體_HKSCS" w:hAnsi="細明體_HKSCS" w:eastAsia="細明體_HKSCS" w:hint="eastAsia"/>
        </w:rPr>
        <w:t>7</w:t>
      </w:r>
      <w:r>
        <w:rPr>
          <w:spacing w:val="4"/>
        </w:rPr>
        <w:t>月</w:t>
      </w:r>
      <w:r>
        <w:rPr>
          <w:rFonts w:ascii="細明體_HKSCS" w:hAnsi="細明體_HKSCS" w:eastAsia="細明體_HKSCS" w:hint="eastAsia"/>
        </w:rPr>
        <w:t>31</w:t>
      </w:r>
      <w:r>
        <w:rPr/>
        <w:t>日止，分別擔任○○衛生所公共衛生護士及Ａ國小護士；其中擔任○○衛生所公共衛生護士期間，係發生於</w:t>
      </w:r>
      <w:r>
        <w:rPr>
          <w:rFonts w:ascii="細明體_HKSCS" w:hAnsi="細明體_HKSCS" w:eastAsia="細明體_HKSCS" w:hint="eastAsia"/>
        </w:rPr>
        <w:t>85</w:t>
      </w:r>
      <w:r>
        <w:rPr>
          <w:spacing w:val="4"/>
        </w:rPr>
        <w:t>年</w:t>
      </w:r>
      <w:r>
        <w:rPr>
          <w:rFonts w:ascii="細明體_HKSCS" w:hAnsi="細明體_HKSCS" w:eastAsia="細明體_HKSCS" w:hint="eastAsia"/>
        </w:rPr>
        <w:t>11</w:t>
      </w:r>
      <w:r>
        <w:rPr>
          <w:spacing w:val="4"/>
        </w:rPr>
        <w:t>月</w:t>
      </w:r>
      <w:r>
        <w:rPr>
          <w:rFonts w:ascii="細明體_HKSCS" w:hAnsi="細明體_HKSCS" w:eastAsia="細明體_HKSCS" w:hint="eastAsia"/>
        </w:rPr>
        <w:t>14</w:t>
      </w:r>
      <w:r>
        <w:rPr/>
        <w:t>日任用法修正前；擔任Ａ國小護士期間，則係橫跨任用法修法前後。依前揭規定及說明，發生於任用法修正生效前之任用部分，依法律</w:t>
      </w:r>
      <w:r>
        <w:rPr>
          <w:spacing w:val="9"/>
          <w:w w:val="95"/>
        </w:rPr>
        <w:t>不溯及既往原則，自不得溯及生效。據此，○○縣府</w:t>
      </w:r>
      <w:r>
        <w:rPr>
          <w:rFonts w:ascii="細明體_HKSCS" w:hAnsi="細明體_HKSCS" w:eastAsia="細明體_HKSCS" w:hint="eastAsia"/>
          <w:w w:val="95"/>
        </w:rPr>
        <w:t>104 </w:t>
      </w:r>
      <w:r>
        <w:rPr>
          <w:spacing w:val="4"/>
        </w:rPr>
        <w:t>年</w:t>
      </w:r>
      <w:r>
        <w:rPr>
          <w:rFonts w:ascii="細明體_HKSCS" w:hAnsi="細明體_HKSCS" w:eastAsia="細明體_HKSCS" w:hint="eastAsia"/>
        </w:rPr>
        <w:t>9</w:t>
      </w:r>
      <w:r>
        <w:rPr>
          <w:spacing w:val="4"/>
        </w:rPr>
        <w:t>月</w:t>
      </w:r>
      <w:r>
        <w:rPr>
          <w:rFonts w:ascii="細明體_HKSCS" w:hAnsi="細明體_HKSCS" w:eastAsia="細明體_HKSCS" w:hint="eastAsia"/>
        </w:rPr>
        <w:t>19</w:t>
      </w:r>
      <w:r>
        <w:rPr>
          <w:spacing w:val="1"/>
        </w:rPr>
        <w:t>日號令，溯自</w:t>
      </w:r>
      <w:r>
        <w:rPr>
          <w:rFonts w:ascii="細明體_HKSCS" w:hAnsi="細明體_HKSCS" w:eastAsia="細明體_HKSCS" w:hint="eastAsia"/>
        </w:rPr>
        <w:t>82</w:t>
      </w:r>
      <w:r>
        <w:rPr/>
        <w:t>年</w:t>
      </w:r>
      <w:r>
        <w:rPr>
          <w:rFonts w:ascii="細明體_HKSCS" w:hAnsi="細明體_HKSCS" w:eastAsia="細明體_HKSCS" w:hint="eastAsia"/>
        </w:rPr>
        <w:t>9</w:t>
      </w:r>
      <w:r>
        <w:rPr>
          <w:spacing w:val="4"/>
        </w:rPr>
        <w:t>月</w:t>
      </w:r>
      <w:r>
        <w:rPr>
          <w:rFonts w:ascii="細明體_HKSCS" w:hAnsi="細明體_HKSCS" w:eastAsia="細明體_HKSCS" w:hint="eastAsia"/>
        </w:rPr>
        <w:t>29</w:t>
      </w:r>
      <w:r>
        <w:rPr/>
        <w:t>日起撤銷任用復審人為○</w:t>
      </w:r>
    </w:p>
    <w:p>
      <w:pPr>
        <w:pStyle w:val="ListParagraph"/>
        <w:numPr>
          <w:ilvl w:val="1"/>
          <w:numId w:val="6"/>
        </w:numPr>
        <w:tabs>
          <w:tab w:pos="1601" w:val="left" w:leader="none"/>
        </w:tabs>
        <w:spacing w:line="240" w:lineRule="auto" w:before="15" w:after="0"/>
        <w:ind w:left="1252" w:right="0" w:firstLine="26"/>
        <w:jc w:val="left"/>
        <w:rPr>
          <w:sz w:val="32"/>
        </w:rPr>
      </w:pPr>
      <w:r>
        <w:rPr>
          <w:sz w:val="32"/>
        </w:rPr>
        <w:t>鄉衛生所公共衛生護士，經核於法尚有未符；</w:t>
      </w:r>
      <w:r>
        <w:rPr>
          <w:rFonts w:ascii="細明體_HKSCS" w:hAnsi="細明體_HKSCS" w:eastAsia="細明體_HKSCS" w:hint="eastAsia"/>
          <w:spacing w:val="2"/>
          <w:sz w:val="32"/>
        </w:rPr>
        <w:t>104</w:t>
      </w:r>
      <w:r>
        <w:rPr>
          <w:spacing w:val="4"/>
          <w:sz w:val="32"/>
        </w:rPr>
        <w:t>年</w:t>
      </w:r>
      <w:r>
        <w:rPr>
          <w:rFonts w:ascii="細明體_HKSCS" w:hAnsi="細明體_HKSCS" w:eastAsia="細明體_HKSCS" w:hint="eastAsia"/>
          <w:sz w:val="32"/>
        </w:rPr>
        <w:t>9</w:t>
      </w:r>
      <w:r>
        <w:rPr>
          <w:sz w:val="32"/>
        </w:rPr>
        <w:t>月</w:t>
      </w:r>
    </w:p>
    <w:p>
      <w:pPr>
        <w:pStyle w:val="BodyText"/>
        <w:spacing w:line="300" w:lineRule="auto" w:before="114"/>
        <w:ind w:left="1278" w:right="269"/>
      </w:pPr>
      <w:r>
        <w:rPr>
          <w:rFonts w:ascii="細明體_HKSCS" w:eastAsia="細明體_HKSCS" w:hint="eastAsia"/>
        </w:rPr>
        <w:t>19</w:t>
      </w:r>
      <w:r>
        <w:rPr>
          <w:spacing w:val="1"/>
        </w:rPr>
        <w:t>日號令，溯自</w:t>
      </w:r>
      <w:r>
        <w:rPr>
          <w:rFonts w:ascii="細明體_HKSCS" w:eastAsia="細明體_HKSCS" w:hint="eastAsia"/>
        </w:rPr>
        <w:t>83</w:t>
      </w:r>
      <w:r>
        <w:rPr/>
        <w:t>年</w:t>
      </w:r>
      <w:r>
        <w:rPr>
          <w:rFonts w:ascii="細明體_HKSCS" w:eastAsia="細明體_HKSCS" w:hint="eastAsia"/>
        </w:rPr>
        <w:t>11</w:t>
      </w:r>
      <w:r>
        <w:rPr>
          <w:spacing w:val="4"/>
        </w:rPr>
        <w:t>月</w:t>
      </w:r>
      <w:r>
        <w:rPr>
          <w:rFonts w:ascii="細明體_HKSCS" w:eastAsia="細明體_HKSCS" w:hint="eastAsia"/>
        </w:rPr>
        <w:t>21</w:t>
      </w:r>
      <w:r>
        <w:rPr/>
        <w:t>日起撤銷任用復審人為Ａ國小</w:t>
      </w:r>
      <w:r>
        <w:rPr>
          <w:spacing w:val="-11"/>
        </w:rPr>
        <w:t>護士，亦有未妥，應予重新審酌。</w:t>
      </w:r>
      <w:r>
        <w:rPr/>
        <w:t>（</w:t>
      </w:r>
      <w:r>
        <w:rPr>
          <w:rFonts w:ascii="細明體_HKSCS" w:eastAsia="細明體_HKSCS" w:hint="eastAsia"/>
        </w:rPr>
        <w:t>105</w:t>
      </w:r>
      <w:r>
        <w:rPr>
          <w:spacing w:val="1"/>
        </w:rPr>
        <w:t>公審決字第</w:t>
      </w:r>
      <w:r>
        <w:rPr>
          <w:rFonts w:ascii="細明體_HKSCS" w:eastAsia="細明體_HKSCS" w:hint="eastAsia"/>
        </w:rPr>
        <w:t>0015</w:t>
      </w:r>
      <w:r>
        <w:rPr/>
        <w:t>號復審決定書）</w:t>
      </w:r>
    </w:p>
    <w:p>
      <w:pPr>
        <w:spacing w:after="0" w:line="300" w:lineRule="auto"/>
        <w:sectPr>
          <w:pgSz w:w="11910" w:h="16840"/>
          <w:pgMar w:header="0" w:footer="1017" w:top="1220" w:bottom="1200" w:left="1160" w:right="1140"/>
        </w:sectPr>
      </w:pPr>
    </w:p>
    <w:p>
      <w:pPr>
        <w:pStyle w:val="Heading1"/>
        <w:spacing w:line="508" w:lineRule="exact"/>
        <w:ind w:left="116"/>
      </w:pPr>
      <w:r>
        <w:rPr/>
        <w:t>（三） 原處分機關欠缺處分權限︰</w:t>
      </w:r>
    </w:p>
    <w:p>
      <w:pPr>
        <w:pStyle w:val="BodyText"/>
        <w:spacing w:line="300" w:lineRule="auto" w:before="76"/>
        <w:ind w:left="1252" w:right="272"/>
      </w:pPr>
      <w:r>
        <w:rPr/>
        <w:t>查○○公所原為臺北縣劃分之鄉</w:t>
      </w:r>
      <w:r>
        <w:rPr>
          <w:spacing w:val="4"/>
        </w:rPr>
        <w:t>（</w:t>
      </w:r>
      <w:r>
        <w:rPr>
          <w:spacing w:val="5"/>
        </w:rPr>
        <w:t>鎮、市</w:t>
      </w:r>
      <w:r>
        <w:rPr>
          <w:spacing w:val="4"/>
        </w:rPr>
        <w:t>）</w:t>
      </w:r>
      <w:r>
        <w:rPr/>
        <w:t>級機關，因臺</w:t>
      </w:r>
      <w:r>
        <w:rPr>
          <w:spacing w:val="4"/>
        </w:rPr>
        <w:t>北縣於</w:t>
      </w:r>
      <w:r>
        <w:rPr>
          <w:rFonts w:ascii="細明體_HKSCS" w:hAnsi="細明體_HKSCS" w:eastAsia="細明體_HKSCS" w:hint="eastAsia"/>
        </w:rPr>
        <w:t>99</w:t>
      </w:r>
      <w:r>
        <w:rPr>
          <w:spacing w:val="5"/>
        </w:rPr>
        <w:t>年</w:t>
      </w:r>
      <w:r>
        <w:rPr>
          <w:rFonts w:ascii="細明體_HKSCS" w:hAnsi="細明體_HKSCS" w:eastAsia="細明體_HKSCS" w:hint="eastAsia"/>
        </w:rPr>
        <w:t>12</w:t>
      </w:r>
      <w:r>
        <w:rPr/>
        <w:t>月</w:t>
      </w:r>
      <w:r>
        <w:rPr>
          <w:rFonts w:ascii="細明體_HKSCS" w:hAnsi="細明體_HKSCS" w:eastAsia="細明體_HKSCS" w:hint="eastAsia"/>
        </w:rPr>
        <w:t>25</w:t>
      </w:r>
      <w:r>
        <w:rPr/>
        <w:t>日改制為新北市，該鄉公所隨同改制為</w:t>
      </w:r>
      <w:r>
        <w:rPr>
          <w:spacing w:val="15"/>
          <w:w w:val="95"/>
        </w:rPr>
        <w:t>新北市政府所屬之區公所，屬於直轄市級機關之退休人 </w:t>
      </w:r>
      <w:r>
        <w:rPr/>
        <w:t>員，於舊制任職年資應領之退休金，應由直轄市庫支出， 並以直轄市政府為支給機關。本件復審人於</w:t>
      </w:r>
      <w:r>
        <w:rPr>
          <w:rFonts w:ascii="細明體_HKSCS" w:hAnsi="細明體_HKSCS" w:eastAsia="細明體_HKSCS" w:hint="eastAsia"/>
        </w:rPr>
        <w:t>94</w:t>
      </w:r>
      <w:r>
        <w:rPr/>
        <w:t>年退休時之最後服務機關為○○公所，其舊制年資退休金之支給機關為該公所，該公所配合新北市政府改制後，已改為直轄市政府所屬機關，其退休金後續之辦理，即應由直轄市政府承接。是本件追繳復審人退休金之權責屬新北市政府，○</w:t>
      </w:r>
    </w:p>
    <w:p>
      <w:pPr>
        <w:pStyle w:val="ListParagraph"/>
        <w:numPr>
          <w:ilvl w:val="1"/>
          <w:numId w:val="6"/>
        </w:numPr>
        <w:tabs>
          <w:tab w:pos="1574" w:val="left" w:leader="none"/>
        </w:tabs>
        <w:spacing w:line="300" w:lineRule="auto" w:before="7" w:after="0"/>
        <w:ind w:left="1252" w:right="272" w:firstLine="0"/>
        <w:jc w:val="both"/>
        <w:rPr>
          <w:sz w:val="32"/>
        </w:rPr>
      </w:pPr>
      <w:r>
        <w:rPr>
          <w:spacing w:val="-4"/>
          <w:w w:val="95"/>
          <w:sz w:val="32"/>
        </w:rPr>
        <w:t>公所在欠缺管轄權限下，逕以</w:t>
      </w:r>
      <w:r>
        <w:rPr>
          <w:rFonts w:ascii="細明體_HKSCS" w:hAnsi="細明體_HKSCS" w:eastAsia="細明體_HKSCS" w:hint="eastAsia"/>
          <w:w w:val="95"/>
          <w:sz w:val="32"/>
        </w:rPr>
        <w:t>104</w:t>
      </w:r>
      <w:r>
        <w:rPr>
          <w:w w:val="95"/>
          <w:sz w:val="32"/>
        </w:rPr>
        <w:t>年</w:t>
      </w:r>
      <w:r>
        <w:rPr>
          <w:rFonts w:ascii="細明體_HKSCS" w:hAnsi="細明體_HKSCS" w:eastAsia="細明體_HKSCS" w:hint="eastAsia"/>
          <w:w w:val="95"/>
          <w:sz w:val="32"/>
        </w:rPr>
        <w:t>10</w:t>
      </w:r>
      <w:r>
        <w:rPr>
          <w:w w:val="95"/>
          <w:sz w:val="32"/>
        </w:rPr>
        <w:t>月</w:t>
      </w:r>
      <w:r>
        <w:rPr>
          <w:rFonts w:ascii="細明體_HKSCS" w:hAnsi="細明體_HKSCS" w:eastAsia="細明體_HKSCS" w:hint="eastAsia"/>
          <w:w w:val="95"/>
          <w:sz w:val="32"/>
        </w:rPr>
        <w:t>30</w:t>
      </w:r>
      <w:r>
        <w:rPr>
          <w:spacing w:val="-8"/>
          <w:w w:val="95"/>
          <w:sz w:val="32"/>
        </w:rPr>
        <w:t>日函，向復審 </w:t>
      </w:r>
      <w:r>
        <w:rPr>
          <w:spacing w:val="-17"/>
          <w:sz w:val="32"/>
        </w:rPr>
        <w:t>人追繳所溢領之退休金等，即有違誤</w:t>
      </w:r>
      <w:r>
        <w:rPr>
          <w:spacing w:val="-217"/>
          <w:sz w:val="32"/>
        </w:rPr>
        <w:t>。</w:t>
      </w:r>
      <w:r>
        <w:rPr>
          <w:sz w:val="32"/>
        </w:rPr>
        <w:t>（</w:t>
      </w:r>
      <w:r>
        <w:rPr>
          <w:rFonts w:ascii="細明體_HKSCS" w:hAnsi="細明體_HKSCS" w:eastAsia="細明體_HKSCS" w:hint="eastAsia"/>
          <w:sz w:val="32"/>
        </w:rPr>
        <w:t>105</w:t>
      </w:r>
      <w:r>
        <w:rPr>
          <w:sz w:val="32"/>
        </w:rPr>
        <w:t>公審決字第</w:t>
      </w:r>
      <w:r>
        <w:rPr>
          <w:rFonts w:ascii="細明體_HKSCS" w:hAnsi="細明體_HKSCS" w:eastAsia="細明體_HKSCS" w:hint="eastAsia"/>
          <w:spacing w:val="-4"/>
          <w:sz w:val="32"/>
        </w:rPr>
        <w:t>0014 </w:t>
      </w:r>
      <w:r>
        <w:rPr>
          <w:sz w:val="32"/>
        </w:rPr>
        <w:t>號復審決定書）</w:t>
      </w:r>
    </w:p>
    <w:p>
      <w:pPr>
        <w:pStyle w:val="Heading1"/>
        <w:spacing w:before="95"/>
        <w:ind w:left="116"/>
      </w:pPr>
      <w:r>
        <w:rPr/>
        <w:t>（四） 其他︰</w:t>
      </w:r>
    </w:p>
    <w:p>
      <w:pPr>
        <w:pStyle w:val="ListParagraph"/>
        <w:numPr>
          <w:ilvl w:val="0"/>
          <w:numId w:val="7"/>
        </w:numPr>
        <w:tabs>
          <w:tab w:pos="1301" w:val="left" w:leader="none"/>
        </w:tabs>
        <w:spacing w:line="300" w:lineRule="auto" w:before="77" w:after="0"/>
        <w:ind w:left="1298" w:right="265" w:hanging="320"/>
        <w:jc w:val="both"/>
        <w:rPr>
          <w:sz w:val="32"/>
        </w:rPr>
      </w:pPr>
      <w:r>
        <w:rPr>
          <w:w w:val="95"/>
          <w:sz w:val="32"/>
        </w:rPr>
        <w:t>按臺中高等行政法院</w:t>
      </w:r>
      <w:r>
        <w:rPr>
          <w:rFonts w:ascii="細明體_HKSCS" w:hAnsi="細明體_HKSCS" w:eastAsia="細明體_HKSCS" w:hint="eastAsia"/>
          <w:w w:val="95"/>
          <w:sz w:val="32"/>
        </w:rPr>
        <w:t>104</w:t>
      </w:r>
      <w:r>
        <w:rPr>
          <w:w w:val="95"/>
          <w:sz w:val="32"/>
        </w:rPr>
        <w:t>年度簡上字第</w:t>
      </w:r>
      <w:r>
        <w:rPr>
          <w:rFonts w:ascii="細明體_HKSCS" w:hAnsi="細明體_HKSCS" w:eastAsia="細明體_HKSCS" w:hint="eastAsia"/>
          <w:w w:val="95"/>
          <w:sz w:val="32"/>
        </w:rPr>
        <w:t>43</w:t>
      </w:r>
      <w:r>
        <w:rPr>
          <w:spacing w:val="-17"/>
          <w:w w:val="95"/>
          <w:sz w:val="32"/>
        </w:rPr>
        <w:t>號判決，業參照最 </w:t>
      </w:r>
      <w:r>
        <w:rPr>
          <w:spacing w:val="9"/>
          <w:sz w:val="32"/>
        </w:rPr>
        <w:t>高行政法院</w:t>
      </w:r>
      <w:r>
        <w:rPr>
          <w:rFonts w:ascii="細明體_HKSCS" w:hAnsi="細明體_HKSCS" w:eastAsia="細明體_HKSCS" w:hint="eastAsia"/>
          <w:spacing w:val="2"/>
          <w:sz w:val="32"/>
        </w:rPr>
        <w:t>100</w:t>
      </w:r>
      <w:r>
        <w:rPr>
          <w:spacing w:val="9"/>
          <w:sz w:val="32"/>
        </w:rPr>
        <w:t>年</w:t>
      </w:r>
      <w:r>
        <w:rPr>
          <w:rFonts w:ascii="細明體_HKSCS" w:hAnsi="細明體_HKSCS" w:eastAsia="細明體_HKSCS" w:hint="eastAsia"/>
          <w:spacing w:val="8"/>
          <w:sz w:val="32"/>
        </w:rPr>
        <w:t>6</w:t>
      </w:r>
      <w:r>
        <w:rPr>
          <w:spacing w:val="12"/>
          <w:sz w:val="32"/>
        </w:rPr>
        <w:t>月</w:t>
      </w:r>
      <w:r>
        <w:rPr>
          <w:rFonts w:ascii="細明體_HKSCS" w:hAnsi="細明體_HKSCS" w:eastAsia="細明體_HKSCS" w:hint="eastAsia"/>
          <w:spacing w:val="3"/>
          <w:sz w:val="32"/>
        </w:rPr>
        <w:t>16</w:t>
      </w:r>
      <w:r>
        <w:rPr>
          <w:spacing w:val="12"/>
          <w:sz w:val="32"/>
        </w:rPr>
        <w:t>日</w:t>
      </w:r>
      <w:r>
        <w:rPr>
          <w:rFonts w:ascii="細明體_HKSCS" w:hAnsi="細明體_HKSCS" w:eastAsia="細明體_HKSCS" w:hint="eastAsia"/>
          <w:spacing w:val="2"/>
          <w:sz w:val="32"/>
        </w:rPr>
        <w:t>100</w:t>
      </w:r>
      <w:r>
        <w:rPr>
          <w:spacing w:val="9"/>
          <w:sz w:val="32"/>
        </w:rPr>
        <w:t>年度判字第</w:t>
      </w:r>
      <w:r>
        <w:rPr>
          <w:rFonts w:ascii="細明體_HKSCS" w:hAnsi="細明體_HKSCS" w:eastAsia="細明體_HKSCS" w:hint="eastAsia"/>
          <w:sz w:val="32"/>
        </w:rPr>
        <w:t>1019</w:t>
      </w:r>
      <w:r>
        <w:rPr>
          <w:spacing w:val="9"/>
          <w:sz w:val="32"/>
        </w:rPr>
        <w:t>號判決見解</w:t>
      </w:r>
      <w:r>
        <w:rPr>
          <w:sz w:val="32"/>
        </w:rPr>
        <w:t>及</w:t>
      </w:r>
      <w:r>
        <w:rPr>
          <w:rFonts w:ascii="細明體_HKSCS" w:hAnsi="細明體_HKSCS" w:eastAsia="細明體_HKSCS" w:hint="eastAsia"/>
          <w:sz w:val="32"/>
        </w:rPr>
        <w:t>101</w:t>
      </w:r>
      <w:r>
        <w:rPr>
          <w:spacing w:val="-8"/>
          <w:sz w:val="32"/>
        </w:rPr>
        <w:t>年度高等行政法院法律座談會研討結果，審認公務人</w:t>
      </w:r>
      <w:r>
        <w:rPr>
          <w:spacing w:val="-7"/>
          <w:sz w:val="32"/>
        </w:rPr>
        <w:t>員專業加給表</w:t>
      </w:r>
      <w:r>
        <w:rPr>
          <w:sz w:val="32"/>
        </w:rPr>
        <w:t>（五）自</w:t>
      </w:r>
      <w:r>
        <w:rPr>
          <w:rFonts w:ascii="細明體_HKSCS" w:hAnsi="細明體_HKSCS" w:eastAsia="細明體_HKSCS" w:hint="eastAsia"/>
          <w:sz w:val="32"/>
        </w:rPr>
        <w:t>102</w:t>
      </w:r>
      <w:r>
        <w:rPr>
          <w:sz w:val="32"/>
        </w:rPr>
        <w:t>年</w:t>
      </w:r>
      <w:r>
        <w:rPr>
          <w:rFonts w:ascii="細明體_HKSCS" w:hAnsi="細明體_HKSCS" w:eastAsia="細明體_HKSCS" w:hint="eastAsia"/>
          <w:sz w:val="32"/>
        </w:rPr>
        <w:t>8</w:t>
      </w:r>
      <w:r>
        <w:rPr>
          <w:sz w:val="32"/>
        </w:rPr>
        <w:t>月</w:t>
      </w:r>
      <w:r>
        <w:rPr>
          <w:rFonts w:ascii="細明體_HKSCS" w:hAnsi="細明體_HKSCS" w:eastAsia="細明體_HKSCS" w:hint="eastAsia"/>
          <w:sz w:val="32"/>
        </w:rPr>
        <w:t>1</w:t>
      </w:r>
      <w:r>
        <w:rPr>
          <w:sz w:val="32"/>
        </w:rPr>
        <w:t>日修正發布後，業將第</w:t>
      </w:r>
      <w:r>
        <w:rPr>
          <w:rFonts w:ascii="細明體_HKSCS" w:hAnsi="細明體_HKSCS" w:eastAsia="細明體_HKSCS" w:hint="eastAsia"/>
          <w:sz w:val="32"/>
        </w:rPr>
        <w:t>4 </w:t>
      </w:r>
      <w:r>
        <w:rPr>
          <w:sz w:val="32"/>
        </w:rPr>
        <w:t>點第</w:t>
      </w:r>
      <w:r>
        <w:rPr>
          <w:rFonts w:ascii="細明體_HKSCS" w:hAnsi="細明體_HKSCS" w:eastAsia="細明體_HKSCS" w:hint="eastAsia"/>
          <w:sz w:val="32"/>
        </w:rPr>
        <w:t>1</w:t>
      </w:r>
      <w:r>
        <w:rPr>
          <w:spacing w:val="-11"/>
          <w:sz w:val="32"/>
        </w:rPr>
        <w:t>款適用對象放寬，○○署</w:t>
      </w:r>
      <w:r>
        <w:rPr>
          <w:sz w:val="32"/>
        </w:rPr>
        <w:t>（以下簡稱○○署</w:t>
      </w:r>
      <w:r>
        <w:rPr>
          <w:spacing w:val="-41"/>
          <w:sz w:val="32"/>
        </w:rPr>
        <w:t>）</w:t>
      </w:r>
      <w:r>
        <w:rPr>
          <w:sz w:val="32"/>
        </w:rPr>
        <w:t>行政組第一科於</w:t>
      </w:r>
      <w:r>
        <w:rPr>
          <w:rFonts w:ascii="細明體_HKSCS" w:hAnsi="細明體_HKSCS" w:eastAsia="細明體_HKSCS" w:hint="eastAsia"/>
          <w:sz w:val="32"/>
        </w:rPr>
        <w:t>102</w:t>
      </w:r>
      <w:r>
        <w:rPr>
          <w:sz w:val="32"/>
        </w:rPr>
        <w:t>年</w:t>
      </w:r>
      <w:r>
        <w:rPr>
          <w:rFonts w:ascii="細明體_HKSCS" w:hAnsi="細明體_HKSCS" w:eastAsia="細明體_HKSCS" w:hint="eastAsia"/>
          <w:sz w:val="32"/>
        </w:rPr>
        <w:t>8</w:t>
      </w:r>
      <w:r>
        <w:rPr>
          <w:sz w:val="32"/>
        </w:rPr>
        <w:t>月</w:t>
      </w:r>
      <w:r>
        <w:rPr>
          <w:rFonts w:ascii="細明體_HKSCS" w:hAnsi="細明體_HKSCS" w:eastAsia="細明體_HKSCS" w:hint="eastAsia"/>
          <w:sz w:val="32"/>
        </w:rPr>
        <w:t>1</w:t>
      </w:r>
      <w:r>
        <w:rPr>
          <w:sz w:val="32"/>
        </w:rPr>
        <w:t>日以後，已可認係該加給表（五）</w:t>
      </w:r>
      <w:r>
        <w:rPr>
          <w:spacing w:val="3"/>
          <w:sz w:val="32"/>
        </w:rPr>
        <w:t>第</w:t>
      </w:r>
      <w:r>
        <w:rPr>
          <w:rFonts w:ascii="細明體_HKSCS" w:hAnsi="細明體_HKSCS" w:eastAsia="細明體_HKSCS" w:hint="eastAsia"/>
          <w:sz w:val="32"/>
        </w:rPr>
        <w:t>4 </w:t>
      </w:r>
      <w:r>
        <w:rPr>
          <w:sz w:val="32"/>
        </w:rPr>
        <w:t>點第</w:t>
      </w:r>
      <w:r>
        <w:rPr>
          <w:rFonts w:ascii="細明體_HKSCS" w:hAnsi="細明體_HKSCS" w:eastAsia="細明體_HKSCS" w:hint="eastAsia"/>
          <w:sz w:val="32"/>
        </w:rPr>
        <w:t>1</w:t>
      </w:r>
      <w:r>
        <w:rPr>
          <w:spacing w:val="-12"/>
          <w:sz w:val="32"/>
        </w:rPr>
        <w:t>款所定之法制專責單位，其法制人員可適用該款規定</w:t>
      </w:r>
      <w:r>
        <w:rPr>
          <w:spacing w:val="-11"/>
          <w:sz w:val="32"/>
        </w:rPr>
        <w:t>支領法制加給。且查復審人於</w:t>
      </w:r>
      <w:r>
        <w:rPr>
          <w:rFonts w:ascii="細明體_HKSCS" w:hAnsi="細明體_HKSCS" w:eastAsia="細明體_HKSCS" w:hint="eastAsia"/>
          <w:sz w:val="32"/>
        </w:rPr>
        <w:t>102</w:t>
      </w:r>
      <w:r>
        <w:rPr>
          <w:sz w:val="32"/>
        </w:rPr>
        <w:t>年</w:t>
      </w:r>
      <w:r>
        <w:rPr>
          <w:rFonts w:ascii="細明體_HKSCS" w:hAnsi="細明體_HKSCS" w:eastAsia="細明體_HKSCS" w:hint="eastAsia"/>
          <w:sz w:val="32"/>
        </w:rPr>
        <w:t>2</w:t>
      </w:r>
      <w:r>
        <w:rPr>
          <w:spacing w:val="4"/>
          <w:sz w:val="32"/>
        </w:rPr>
        <w:t>月</w:t>
      </w:r>
      <w:r>
        <w:rPr>
          <w:rFonts w:ascii="細明體_HKSCS" w:hAnsi="細明體_HKSCS" w:eastAsia="細明體_HKSCS" w:hint="eastAsia"/>
          <w:sz w:val="32"/>
        </w:rPr>
        <w:t>20</w:t>
      </w:r>
      <w:r>
        <w:rPr>
          <w:sz w:val="32"/>
        </w:rPr>
        <w:t>日至</w:t>
      </w:r>
      <w:r>
        <w:rPr>
          <w:rFonts w:ascii="細明體_HKSCS" w:hAnsi="細明體_HKSCS" w:eastAsia="細明體_HKSCS" w:hint="eastAsia"/>
          <w:sz w:val="32"/>
        </w:rPr>
        <w:t>104</w:t>
      </w:r>
      <w:r>
        <w:rPr>
          <w:sz w:val="32"/>
        </w:rPr>
        <w:t>年</w:t>
      </w:r>
      <w:r>
        <w:rPr>
          <w:rFonts w:ascii="細明體_HKSCS" w:hAnsi="細明體_HKSCS" w:eastAsia="細明體_HKSCS" w:hint="eastAsia"/>
          <w:sz w:val="32"/>
        </w:rPr>
        <w:t>4</w:t>
      </w:r>
      <w:r>
        <w:rPr>
          <w:spacing w:val="4"/>
          <w:sz w:val="32"/>
        </w:rPr>
        <w:t>月</w:t>
      </w:r>
      <w:r>
        <w:rPr>
          <w:rFonts w:ascii="細明體_HKSCS" w:hAnsi="細明體_HKSCS" w:eastAsia="細明體_HKSCS" w:hint="eastAsia"/>
          <w:sz w:val="32"/>
        </w:rPr>
        <w:t>14 </w:t>
      </w:r>
      <w:r>
        <w:rPr>
          <w:sz w:val="32"/>
        </w:rPr>
        <w:t>日調陞○○署○○行政組第一科法制職系科長，其身分及職務內容均無更異，其請求標的所適用之法規亦未修正， 行政法院所為撤銷原決定及原處分之判決，顯係指摘○○</w:t>
      </w:r>
    </w:p>
    <w:p>
      <w:pPr>
        <w:spacing w:after="0" w:line="300" w:lineRule="auto"/>
        <w:jc w:val="both"/>
        <w:rPr>
          <w:sz w:val="32"/>
        </w:rPr>
        <w:sectPr>
          <w:pgSz w:w="11910" w:h="16840"/>
          <w:pgMar w:header="0" w:footer="1017" w:top="1220" w:bottom="1200" w:left="1160" w:right="1140"/>
        </w:sectPr>
      </w:pPr>
    </w:p>
    <w:p>
      <w:pPr>
        <w:pStyle w:val="BodyText"/>
        <w:spacing w:line="300" w:lineRule="auto"/>
        <w:ind w:left="1298" w:right="272"/>
      </w:pPr>
      <w:r>
        <w:rPr>
          <w:spacing w:val="-1"/>
        </w:rPr>
        <w:t>署適用法律之見解有違誤，該署既未能提出足以推翻行政</w:t>
      </w:r>
      <w:r>
        <w:rPr/>
        <w:t>法院判決見解之新資料，即應受該判決之拘束，不應再就</w:t>
      </w:r>
      <w:r>
        <w:rPr>
          <w:spacing w:val="-1"/>
        </w:rPr>
        <w:t>相同請求事由，而為不同之處理。是復審人向○○署請求</w:t>
      </w:r>
      <w:r>
        <w:rPr>
          <w:spacing w:val="9"/>
          <w:w w:val="95"/>
        </w:rPr>
        <w:t>補發</w:t>
      </w:r>
      <w:r>
        <w:rPr>
          <w:rFonts w:ascii="細明體_HKSCS" w:hAnsi="細明體_HKSCS" w:eastAsia="細明體_HKSCS" w:hint="eastAsia"/>
          <w:spacing w:val="4"/>
          <w:w w:val="95"/>
        </w:rPr>
        <w:t>98</w:t>
      </w:r>
      <w:r>
        <w:rPr>
          <w:spacing w:val="9"/>
          <w:w w:val="95"/>
        </w:rPr>
        <w:t>年</w:t>
      </w:r>
      <w:r>
        <w:rPr>
          <w:rFonts w:ascii="細明體_HKSCS" w:hAnsi="細明體_HKSCS" w:eastAsia="細明體_HKSCS" w:hint="eastAsia"/>
          <w:spacing w:val="6"/>
          <w:w w:val="95"/>
        </w:rPr>
        <w:t>4</w:t>
      </w:r>
      <w:r>
        <w:rPr>
          <w:spacing w:val="10"/>
          <w:w w:val="95"/>
        </w:rPr>
        <w:t>月</w:t>
      </w:r>
      <w:r>
        <w:rPr>
          <w:rFonts w:ascii="細明體_HKSCS" w:hAnsi="細明體_HKSCS" w:eastAsia="細明體_HKSCS" w:hint="eastAsia"/>
          <w:spacing w:val="8"/>
          <w:w w:val="95"/>
        </w:rPr>
        <w:t>1</w:t>
      </w:r>
      <w:r>
        <w:rPr>
          <w:spacing w:val="8"/>
          <w:w w:val="95"/>
        </w:rPr>
        <w:t>日至</w:t>
      </w:r>
      <w:r>
        <w:rPr>
          <w:rFonts w:ascii="細明體_HKSCS" w:hAnsi="細明體_HKSCS" w:eastAsia="細明體_HKSCS" w:hint="eastAsia"/>
          <w:spacing w:val="3"/>
          <w:w w:val="95"/>
        </w:rPr>
        <w:t>100</w:t>
      </w:r>
      <w:r>
        <w:rPr>
          <w:spacing w:val="7"/>
          <w:w w:val="95"/>
        </w:rPr>
        <w:t>年</w:t>
      </w:r>
      <w:r>
        <w:rPr>
          <w:rFonts w:ascii="細明體_HKSCS" w:hAnsi="細明體_HKSCS" w:eastAsia="細明體_HKSCS" w:hint="eastAsia"/>
          <w:spacing w:val="4"/>
          <w:w w:val="95"/>
        </w:rPr>
        <w:t>10</w:t>
      </w:r>
      <w:r>
        <w:rPr>
          <w:spacing w:val="9"/>
          <w:w w:val="95"/>
        </w:rPr>
        <w:t>月</w:t>
      </w:r>
      <w:r>
        <w:rPr>
          <w:rFonts w:ascii="細明體_HKSCS" w:hAnsi="細明體_HKSCS" w:eastAsia="細明體_HKSCS" w:hint="eastAsia"/>
          <w:spacing w:val="3"/>
          <w:w w:val="95"/>
        </w:rPr>
        <w:t>31</w:t>
      </w:r>
      <w:r>
        <w:rPr>
          <w:spacing w:val="8"/>
          <w:w w:val="95"/>
        </w:rPr>
        <w:t>日，及</w:t>
      </w:r>
      <w:r>
        <w:rPr>
          <w:rFonts w:ascii="細明體_HKSCS" w:hAnsi="細明體_HKSCS" w:eastAsia="細明體_HKSCS" w:hint="eastAsia"/>
          <w:spacing w:val="2"/>
          <w:w w:val="95"/>
        </w:rPr>
        <w:t>102</w:t>
      </w:r>
      <w:r>
        <w:rPr>
          <w:spacing w:val="9"/>
          <w:w w:val="95"/>
        </w:rPr>
        <w:t>年</w:t>
      </w:r>
      <w:r>
        <w:rPr>
          <w:rFonts w:ascii="細明體_HKSCS" w:hAnsi="細明體_HKSCS" w:eastAsia="細明體_HKSCS" w:hint="eastAsia"/>
          <w:spacing w:val="8"/>
          <w:w w:val="95"/>
        </w:rPr>
        <w:t>3</w:t>
      </w:r>
      <w:r>
        <w:rPr>
          <w:spacing w:val="9"/>
          <w:w w:val="95"/>
        </w:rPr>
        <w:t>月</w:t>
      </w:r>
      <w:r>
        <w:rPr>
          <w:rFonts w:ascii="細明體_HKSCS" w:hAnsi="細明體_HKSCS" w:eastAsia="細明體_HKSCS" w:hint="eastAsia"/>
          <w:spacing w:val="6"/>
          <w:w w:val="95"/>
        </w:rPr>
        <w:t>1</w:t>
      </w:r>
      <w:r>
        <w:rPr>
          <w:spacing w:val="9"/>
          <w:w w:val="95"/>
        </w:rPr>
        <w:t>日至</w:t>
      </w:r>
      <w:r>
        <w:rPr>
          <w:rFonts w:ascii="細明體_HKSCS" w:hAnsi="細明體_HKSCS" w:eastAsia="細明體_HKSCS" w:hint="eastAsia"/>
          <w:w w:val="95"/>
        </w:rPr>
        <w:t>104 </w:t>
      </w:r>
      <w:r>
        <w:rPr/>
        <w:t>年</w:t>
      </w:r>
      <w:r>
        <w:rPr>
          <w:rFonts w:ascii="細明體_HKSCS" w:hAnsi="細明體_HKSCS" w:eastAsia="細明體_HKSCS" w:hint="eastAsia"/>
        </w:rPr>
        <w:t>4</w:t>
      </w:r>
      <w:r>
        <w:rPr/>
        <w:t>月</w:t>
      </w:r>
      <w:r>
        <w:rPr>
          <w:rFonts w:ascii="細明體_HKSCS" w:hAnsi="細明體_HKSCS" w:eastAsia="細明體_HKSCS" w:hint="eastAsia"/>
        </w:rPr>
        <w:t>14</w:t>
      </w:r>
      <w:r>
        <w:rPr>
          <w:spacing w:val="-9"/>
        </w:rPr>
        <w:t>日加給表</w:t>
      </w:r>
      <w:r>
        <w:rPr/>
        <w:t>（五</w:t>
      </w:r>
      <w:r>
        <w:rPr>
          <w:spacing w:val="-34"/>
        </w:rPr>
        <w:t>）</w:t>
      </w:r>
      <w:r>
        <w:rPr>
          <w:spacing w:val="-9"/>
        </w:rPr>
        <w:t>與加給表</w:t>
      </w:r>
      <w:r>
        <w:rPr/>
        <w:t>（一</w:t>
      </w:r>
      <w:r>
        <w:rPr>
          <w:spacing w:val="-34"/>
        </w:rPr>
        <w:t>）</w:t>
      </w:r>
      <w:r>
        <w:rPr/>
        <w:t>之專業加給差額總</w:t>
      </w:r>
      <w:r>
        <w:rPr>
          <w:spacing w:val="8"/>
          <w:w w:val="95"/>
        </w:rPr>
        <w:t>額○元，扣除該署於</w:t>
      </w:r>
      <w:r>
        <w:rPr>
          <w:rFonts w:ascii="細明體_HKSCS" w:hAnsi="細明體_HKSCS" w:eastAsia="細明體_HKSCS" w:hint="eastAsia"/>
          <w:spacing w:val="3"/>
          <w:w w:val="95"/>
        </w:rPr>
        <w:t>104</w:t>
      </w:r>
      <w:r>
        <w:rPr>
          <w:spacing w:val="7"/>
          <w:w w:val="95"/>
        </w:rPr>
        <w:t>年</w:t>
      </w:r>
      <w:r>
        <w:rPr>
          <w:rFonts w:ascii="細明體_HKSCS" w:hAnsi="細明體_HKSCS" w:eastAsia="細明體_HKSCS" w:hint="eastAsia"/>
          <w:spacing w:val="4"/>
          <w:w w:val="95"/>
        </w:rPr>
        <w:t>11</w:t>
      </w:r>
      <w:r>
        <w:rPr>
          <w:spacing w:val="10"/>
          <w:w w:val="95"/>
        </w:rPr>
        <w:t>月</w:t>
      </w:r>
      <w:r>
        <w:rPr>
          <w:rFonts w:ascii="細明體_HKSCS" w:hAnsi="細明體_HKSCS" w:eastAsia="細明體_HKSCS" w:hint="eastAsia"/>
          <w:spacing w:val="3"/>
          <w:w w:val="95"/>
        </w:rPr>
        <w:t>18</w:t>
      </w:r>
      <w:r>
        <w:rPr>
          <w:spacing w:val="7"/>
          <w:w w:val="95"/>
        </w:rPr>
        <w:t>日補發○元，應補發○ </w:t>
      </w:r>
      <w:r>
        <w:rPr>
          <w:spacing w:val="-17"/>
        </w:rPr>
        <w:t>元。據上，○○署</w:t>
      </w:r>
      <w:r>
        <w:rPr>
          <w:rFonts w:ascii="細明體_HKSCS" w:hAnsi="細明體_HKSCS" w:eastAsia="細明體_HKSCS" w:hint="eastAsia"/>
        </w:rPr>
        <w:t>104</w:t>
      </w:r>
      <w:r>
        <w:rPr/>
        <w:t>年</w:t>
      </w:r>
      <w:r>
        <w:rPr>
          <w:rFonts w:ascii="細明體_HKSCS" w:hAnsi="細明體_HKSCS" w:eastAsia="細明體_HKSCS" w:hint="eastAsia"/>
        </w:rPr>
        <w:t>3</w:t>
      </w:r>
      <w:r>
        <w:rPr/>
        <w:t>月</w:t>
      </w:r>
      <w:r>
        <w:rPr>
          <w:rFonts w:ascii="細明體_HKSCS" w:hAnsi="細明體_HKSCS" w:eastAsia="細明體_HKSCS" w:hint="eastAsia"/>
        </w:rPr>
        <w:t>8</w:t>
      </w:r>
      <w:r>
        <w:rPr/>
        <w:t>日函否准復審人請求補發上開</w:t>
      </w:r>
      <w:r>
        <w:rPr>
          <w:spacing w:val="-8"/>
        </w:rPr>
        <w:t>期間專業加給差額之申請，尚有再行斟酌之餘地。</w:t>
      </w:r>
      <w:r>
        <w:rPr/>
        <w:t>（</w:t>
      </w:r>
      <w:r>
        <w:rPr>
          <w:rFonts w:ascii="細明體_HKSCS" w:hAnsi="細明體_HKSCS" w:eastAsia="細明體_HKSCS" w:hint="eastAsia"/>
        </w:rPr>
        <w:t>105</w:t>
      </w:r>
      <w:r>
        <w:rPr/>
        <w:t>公審決字第</w:t>
      </w:r>
      <w:r>
        <w:rPr>
          <w:rFonts w:ascii="細明體_HKSCS" w:hAnsi="細明體_HKSCS" w:eastAsia="細明體_HKSCS" w:hint="eastAsia"/>
        </w:rPr>
        <w:t>0166</w:t>
      </w:r>
      <w:r>
        <w:rPr/>
        <w:t>號復審決定書）</w:t>
      </w:r>
    </w:p>
    <w:p>
      <w:pPr>
        <w:pStyle w:val="ListParagraph"/>
        <w:numPr>
          <w:ilvl w:val="0"/>
          <w:numId w:val="7"/>
        </w:numPr>
        <w:tabs>
          <w:tab w:pos="1322" w:val="left" w:leader="none"/>
        </w:tabs>
        <w:spacing w:line="300" w:lineRule="auto" w:before="7" w:after="0"/>
        <w:ind w:left="1298" w:right="258" w:hanging="320"/>
        <w:jc w:val="both"/>
        <w:rPr>
          <w:sz w:val="32"/>
        </w:rPr>
      </w:pPr>
      <w:r>
        <w:rPr>
          <w:spacing w:val="21"/>
          <w:sz w:val="32"/>
        </w:rPr>
        <w:t>○○鎮公所係考量復審人自</w:t>
      </w:r>
      <w:r>
        <w:rPr>
          <w:rFonts w:ascii="細明體_HKSCS" w:hAnsi="細明體_HKSCS" w:eastAsia="細明體_HKSCS" w:hint="eastAsia"/>
          <w:spacing w:val="7"/>
          <w:sz w:val="32"/>
        </w:rPr>
        <w:t>102</w:t>
      </w:r>
      <w:r>
        <w:rPr>
          <w:spacing w:val="24"/>
          <w:sz w:val="32"/>
        </w:rPr>
        <w:t>年</w:t>
      </w:r>
      <w:r>
        <w:rPr>
          <w:rFonts w:ascii="細明體_HKSCS" w:hAnsi="細明體_HKSCS" w:eastAsia="細明體_HKSCS" w:hint="eastAsia"/>
          <w:spacing w:val="11"/>
          <w:sz w:val="32"/>
        </w:rPr>
        <w:t>11</w:t>
      </w:r>
      <w:r>
        <w:rPr>
          <w:spacing w:val="18"/>
          <w:sz w:val="32"/>
        </w:rPr>
        <w:t>月起始承接發包工</w:t>
      </w:r>
      <w:r>
        <w:rPr>
          <w:spacing w:val="-12"/>
          <w:sz w:val="32"/>
        </w:rPr>
        <w:t>程，且該年度內未完成工程；及其</w:t>
      </w:r>
      <w:r>
        <w:rPr>
          <w:rFonts w:ascii="細明體_HKSCS" w:hAnsi="細明體_HKSCS" w:eastAsia="細明體_HKSCS" w:hint="eastAsia"/>
          <w:sz w:val="32"/>
        </w:rPr>
        <w:t>103</w:t>
      </w:r>
      <w:r>
        <w:rPr>
          <w:sz w:val="32"/>
        </w:rPr>
        <w:t>年辦理工程業務多所延宕，補助經費未於期限內完成而遭撤銷，衡酌其個人貢獻度及工作績效，不發給其</w:t>
      </w:r>
      <w:r>
        <w:rPr>
          <w:rFonts w:ascii="細明體_HKSCS" w:hAnsi="細明體_HKSCS" w:eastAsia="細明體_HKSCS" w:hint="eastAsia"/>
          <w:sz w:val="32"/>
        </w:rPr>
        <w:t>102</w:t>
      </w:r>
      <w:r>
        <w:rPr>
          <w:spacing w:val="2"/>
          <w:sz w:val="32"/>
        </w:rPr>
        <w:t>年及</w:t>
      </w:r>
      <w:r>
        <w:rPr>
          <w:rFonts w:ascii="細明體_HKSCS" w:hAnsi="細明體_HKSCS" w:eastAsia="細明體_HKSCS" w:hint="eastAsia"/>
          <w:sz w:val="32"/>
        </w:rPr>
        <w:t>103</w:t>
      </w:r>
      <w:r>
        <w:rPr>
          <w:sz w:val="32"/>
        </w:rPr>
        <w:t>年固定給與工程獎金及績效工程獎金。惟對於工程獎金之核發，區分依職等職務訂定級點折合率計算表計算之固定給與工程獎金、按</w:t>
      </w:r>
      <w:r>
        <w:rPr>
          <w:spacing w:val="13"/>
          <w:sz w:val="32"/>
        </w:rPr>
        <w:t>績效評核結果發給之績效工程獎金，及其核發對象與要</w:t>
      </w:r>
      <w:r>
        <w:rPr>
          <w:spacing w:val="12"/>
          <w:sz w:val="32"/>
        </w:rPr>
        <w:t>件，已有明文。○○鎮公所並未提出復審人</w:t>
      </w:r>
      <w:r>
        <w:rPr>
          <w:rFonts w:ascii="細明體_HKSCS" w:hAnsi="細明體_HKSCS" w:eastAsia="細明體_HKSCS" w:hint="eastAsia"/>
          <w:sz w:val="32"/>
        </w:rPr>
        <w:t>102</w:t>
      </w:r>
      <w:r>
        <w:rPr>
          <w:spacing w:val="2"/>
          <w:sz w:val="32"/>
        </w:rPr>
        <w:t>年及</w:t>
      </w:r>
      <w:r>
        <w:rPr>
          <w:rFonts w:ascii="細明體_HKSCS" w:hAnsi="細明體_HKSCS" w:eastAsia="細明體_HKSCS" w:hint="eastAsia"/>
          <w:sz w:val="32"/>
        </w:rPr>
        <w:t>103</w:t>
      </w:r>
      <w:r>
        <w:rPr>
          <w:sz w:val="32"/>
        </w:rPr>
        <w:t>年辦理工程資料，臚列其辦理工程件數、辦理工程期間、完成工程之時點等資訊，則其</w:t>
      </w:r>
      <w:r>
        <w:rPr>
          <w:rFonts w:ascii="細明體_HKSCS" w:hAnsi="細明體_HKSCS" w:eastAsia="細明體_HKSCS" w:hint="eastAsia"/>
          <w:sz w:val="32"/>
        </w:rPr>
        <w:t>102</w:t>
      </w:r>
      <w:r>
        <w:rPr>
          <w:spacing w:val="2"/>
          <w:sz w:val="32"/>
        </w:rPr>
        <w:t>年、</w:t>
      </w:r>
      <w:r>
        <w:rPr>
          <w:rFonts w:ascii="細明體_HKSCS" w:hAnsi="細明體_HKSCS" w:eastAsia="細明體_HKSCS" w:hint="eastAsia"/>
          <w:sz w:val="32"/>
        </w:rPr>
        <w:t>103</w:t>
      </w:r>
      <w:r>
        <w:rPr>
          <w:sz w:val="32"/>
        </w:rPr>
        <w:t>年辦理工程是否確有延誤或績效不佳之事實，即難確認，該公所不發給復審</w:t>
      </w:r>
      <w:r>
        <w:rPr>
          <w:spacing w:val="19"/>
          <w:sz w:val="32"/>
        </w:rPr>
        <w:t>人</w:t>
      </w:r>
      <w:r>
        <w:rPr>
          <w:rFonts w:ascii="細明體_HKSCS" w:hAnsi="細明體_HKSCS" w:eastAsia="細明體_HKSCS" w:hint="eastAsia"/>
          <w:spacing w:val="4"/>
          <w:sz w:val="32"/>
        </w:rPr>
        <w:t>102</w:t>
      </w:r>
      <w:r>
        <w:rPr>
          <w:spacing w:val="16"/>
          <w:sz w:val="32"/>
        </w:rPr>
        <w:t>年及</w:t>
      </w:r>
      <w:r>
        <w:rPr>
          <w:rFonts w:ascii="細明體_HKSCS" w:hAnsi="細明體_HKSCS" w:eastAsia="細明體_HKSCS" w:hint="eastAsia"/>
          <w:spacing w:val="4"/>
          <w:sz w:val="32"/>
        </w:rPr>
        <w:t>103</w:t>
      </w:r>
      <w:r>
        <w:rPr>
          <w:spacing w:val="16"/>
          <w:sz w:val="32"/>
        </w:rPr>
        <w:t>年固定給與之工程獎金，其判斷基礎與標</w:t>
      </w:r>
      <w:r>
        <w:rPr>
          <w:spacing w:val="-11"/>
          <w:sz w:val="32"/>
        </w:rPr>
        <w:t>準，尚有未明；另辦理</w:t>
      </w:r>
      <w:r>
        <w:rPr>
          <w:rFonts w:ascii="細明體_HKSCS" w:hAnsi="細明體_HKSCS" w:eastAsia="細明體_HKSCS" w:hint="eastAsia"/>
          <w:sz w:val="32"/>
        </w:rPr>
        <w:t>102</w:t>
      </w:r>
      <w:r>
        <w:rPr>
          <w:spacing w:val="-5"/>
          <w:sz w:val="32"/>
        </w:rPr>
        <w:t>年工程獎金核發作業，僅以該公所建設課</w:t>
      </w:r>
      <w:r>
        <w:rPr>
          <w:rFonts w:ascii="細明體_HKSCS" w:hAnsi="細明體_HKSCS" w:eastAsia="細明體_HKSCS" w:hint="eastAsia"/>
          <w:spacing w:val="-5"/>
          <w:sz w:val="32"/>
        </w:rPr>
        <w:t>103</w:t>
      </w:r>
      <w:r>
        <w:rPr>
          <w:spacing w:val="-5"/>
          <w:sz w:val="32"/>
        </w:rPr>
        <w:t>年</w:t>
      </w:r>
      <w:r>
        <w:rPr>
          <w:rFonts w:ascii="細明體_HKSCS" w:hAnsi="細明體_HKSCS" w:eastAsia="細明體_HKSCS" w:hint="eastAsia"/>
          <w:spacing w:val="-5"/>
          <w:sz w:val="32"/>
        </w:rPr>
        <w:t>2</w:t>
      </w:r>
      <w:r>
        <w:rPr>
          <w:spacing w:val="-5"/>
          <w:sz w:val="32"/>
        </w:rPr>
        <w:t>月</w:t>
      </w:r>
      <w:r>
        <w:rPr>
          <w:rFonts w:ascii="細明體_HKSCS" w:hAnsi="細明體_HKSCS" w:eastAsia="細明體_HKSCS" w:hint="eastAsia"/>
          <w:spacing w:val="-5"/>
          <w:sz w:val="32"/>
        </w:rPr>
        <w:t>7</w:t>
      </w:r>
      <w:r>
        <w:rPr>
          <w:spacing w:val="-13"/>
          <w:sz w:val="32"/>
        </w:rPr>
        <w:t>日簽擬，該年不核發績效工程獎金，而</w:t>
      </w:r>
      <w:r>
        <w:rPr>
          <w:spacing w:val="-12"/>
          <w:sz w:val="32"/>
        </w:rPr>
        <w:t>未提經該公所之績效評估會議評核</w:t>
      </w:r>
      <w:r>
        <w:rPr>
          <w:rFonts w:ascii="細明體_HKSCS" w:hAnsi="細明體_HKSCS" w:eastAsia="細明體_HKSCS" w:hint="eastAsia"/>
          <w:sz w:val="32"/>
        </w:rPr>
        <w:t>102</w:t>
      </w:r>
      <w:r>
        <w:rPr>
          <w:spacing w:val="-16"/>
          <w:sz w:val="32"/>
        </w:rPr>
        <w:t>年績效不佳，核與相</w:t>
      </w:r>
      <w:r>
        <w:rPr>
          <w:spacing w:val="-17"/>
          <w:sz w:val="32"/>
        </w:rPr>
        <w:t>關規定及函釋不符；及該公所雖於辦理</w:t>
      </w:r>
      <w:r>
        <w:rPr>
          <w:rFonts w:ascii="細明體_HKSCS" w:hAnsi="細明體_HKSCS" w:eastAsia="細明體_HKSCS" w:hint="eastAsia"/>
          <w:sz w:val="32"/>
        </w:rPr>
        <w:t>103</w:t>
      </w:r>
      <w:r>
        <w:rPr>
          <w:sz w:val="32"/>
        </w:rPr>
        <w:t>年績效工程獎金</w:t>
      </w:r>
    </w:p>
    <w:p>
      <w:pPr>
        <w:spacing w:after="0" w:line="300" w:lineRule="auto"/>
        <w:jc w:val="both"/>
        <w:rPr>
          <w:sz w:val="32"/>
        </w:rPr>
        <w:sectPr>
          <w:pgSz w:w="11910" w:h="16840"/>
          <w:pgMar w:header="0" w:footer="1017" w:top="1220" w:bottom="1200" w:left="1160" w:right="1140"/>
        </w:sectPr>
      </w:pPr>
    </w:p>
    <w:p>
      <w:pPr>
        <w:pStyle w:val="BodyText"/>
        <w:spacing w:line="300" w:lineRule="auto"/>
        <w:ind w:left="1298" w:right="272"/>
      </w:pPr>
      <w:r>
        <w:rPr>
          <w:spacing w:val="8"/>
          <w:w w:val="95"/>
        </w:rPr>
        <w:t>時，提報該公所</w:t>
      </w:r>
      <w:r>
        <w:rPr>
          <w:rFonts w:ascii="細明體_HKSCS" w:eastAsia="細明體_HKSCS" w:hint="eastAsia"/>
          <w:spacing w:val="3"/>
          <w:w w:val="95"/>
        </w:rPr>
        <w:t>103</w:t>
      </w:r>
      <w:r>
        <w:rPr>
          <w:spacing w:val="6"/>
          <w:w w:val="95"/>
        </w:rPr>
        <w:t>年工程績效評估會議評核單位績效良 </w:t>
      </w:r>
      <w:r>
        <w:rPr>
          <w:spacing w:val="-1"/>
        </w:rPr>
        <w:t>好，惟並未就個人績效部分為討論並作成決議。則該公所</w:t>
      </w:r>
      <w:r>
        <w:rPr/>
        <w:t>辦理</w:t>
      </w:r>
      <w:r>
        <w:rPr>
          <w:rFonts w:ascii="細明體_HKSCS" w:eastAsia="細明體_HKSCS" w:hint="eastAsia"/>
        </w:rPr>
        <w:t>102</w:t>
      </w:r>
      <w:r>
        <w:rPr>
          <w:spacing w:val="2"/>
        </w:rPr>
        <w:t>年及</w:t>
      </w:r>
      <w:r>
        <w:rPr>
          <w:rFonts w:ascii="細明體_HKSCS" w:eastAsia="細明體_HKSCS" w:hint="eastAsia"/>
        </w:rPr>
        <w:t>103</w:t>
      </w:r>
      <w:r>
        <w:rPr/>
        <w:t>年績效工程獎金之核發，核有法定程序之</w:t>
      </w:r>
      <w:r>
        <w:rPr>
          <w:spacing w:val="-12"/>
        </w:rPr>
        <w:t>瑕疵，亦有重行斟酌之必要。</w:t>
      </w:r>
      <w:r>
        <w:rPr/>
        <w:t>（</w:t>
      </w:r>
      <w:r>
        <w:rPr>
          <w:rFonts w:ascii="細明體_HKSCS" w:eastAsia="細明體_HKSCS" w:hint="eastAsia"/>
        </w:rPr>
        <w:t>105</w:t>
      </w:r>
      <w:r>
        <w:rPr/>
        <w:t>公審決字第</w:t>
      </w:r>
      <w:r>
        <w:rPr>
          <w:rFonts w:ascii="細明體_HKSCS" w:eastAsia="細明體_HKSCS" w:hint="eastAsia"/>
        </w:rPr>
        <w:t>0137</w:t>
      </w:r>
      <w:r>
        <w:rPr/>
        <w:t>號復審決定書）</w:t>
      </w:r>
    </w:p>
    <w:p>
      <w:pPr>
        <w:pStyle w:val="Heading1"/>
        <w:spacing w:before="98"/>
      </w:pPr>
      <w:r>
        <w:rPr/>
        <w:t>貳、保障業務上常見之作業疏失事項</w:t>
      </w:r>
    </w:p>
    <w:p>
      <w:pPr>
        <w:pStyle w:val="BodyText"/>
        <w:spacing w:line="300" w:lineRule="auto" w:before="275"/>
        <w:ind w:left="961" w:right="277" w:hanging="63"/>
      </w:pPr>
      <w:r>
        <w:rPr>
          <w:spacing w:val="3"/>
          <w:w w:val="95"/>
        </w:rPr>
        <w:t>保障業務係屬人事業務之一環，各類型保障事件所涉程序法 </w:t>
      </w:r>
      <w:r>
        <w:rPr/>
        <w:t>令，並不相同。下列人事作業疏失事項，本會均曾函請各機</w:t>
      </w:r>
      <w:r>
        <w:rPr>
          <w:spacing w:val="-18"/>
          <w:w w:val="95"/>
        </w:rPr>
        <w:t>關注意改進，惟仍有未盡理想之處，爰再請各機關配合改進︰</w:t>
      </w:r>
    </w:p>
    <w:p>
      <w:pPr>
        <w:pStyle w:val="BodyText"/>
        <w:spacing w:line="300" w:lineRule="auto" w:before="202"/>
        <w:ind w:left="825" w:right="200" w:hanging="562"/>
      </w:pPr>
      <w:r>
        <w:rPr>
          <w:spacing w:val="-6"/>
        </w:rPr>
        <w:t>一、按本會</w:t>
      </w:r>
      <w:r>
        <w:rPr>
          <w:rFonts w:ascii="細明體_HKSCS" w:eastAsia="細明體_HKSCS" w:hint="eastAsia"/>
        </w:rPr>
        <w:t>92</w:t>
      </w:r>
      <w:r>
        <w:rPr/>
        <w:t>年</w:t>
      </w:r>
      <w:r>
        <w:rPr>
          <w:rFonts w:ascii="細明體_HKSCS" w:eastAsia="細明體_HKSCS" w:hint="eastAsia"/>
        </w:rPr>
        <w:t>5</w:t>
      </w:r>
      <w:r>
        <w:rPr>
          <w:spacing w:val="3"/>
        </w:rPr>
        <w:t>月</w:t>
      </w:r>
      <w:r>
        <w:rPr>
          <w:rFonts w:ascii="細明體_HKSCS" w:eastAsia="細明體_HKSCS" w:hint="eastAsia"/>
        </w:rPr>
        <w:t>15</w:t>
      </w:r>
      <w:r>
        <w:rPr/>
        <w:t>日公保字第</w:t>
      </w:r>
      <w:r>
        <w:rPr>
          <w:rFonts w:ascii="細明體_HKSCS" w:eastAsia="細明體_HKSCS" w:hint="eastAsia"/>
        </w:rPr>
        <w:t>0920003511</w:t>
      </w:r>
      <w:r>
        <w:rPr>
          <w:spacing w:val="-5"/>
        </w:rPr>
        <w:t>號函意旨，機關對所</w:t>
      </w:r>
      <w:r>
        <w:rPr>
          <w:spacing w:val="-13"/>
        </w:rPr>
        <w:t>屬公務人員之行政處分、管理措施或有關工作條件之處置，或</w:t>
      </w:r>
      <w:r>
        <w:rPr>
          <w:spacing w:val="-16"/>
        </w:rPr>
        <w:t>為申訴函復時，應告知不服之救濟方法、期間及受理救濟之管</w:t>
      </w:r>
      <w:r>
        <w:rPr>
          <w:spacing w:val="-15"/>
        </w:rPr>
        <w:t>轄機關等，以確保公務人員請求救濟之權益。惟仍有部分機關</w:t>
      </w:r>
      <w:r>
        <w:rPr>
          <w:spacing w:val="-14"/>
        </w:rPr>
        <w:t>疏未教示，或教示內容有誤，致當事人所爭執之法律關係，長</w:t>
      </w:r>
      <w:r>
        <w:rPr>
          <w:spacing w:val="-16"/>
        </w:rPr>
        <w:t>時間處於不安定狀態，並造成相關機關在後續處理上，耗費行</w:t>
      </w:r>
      <w:r>
        <w:rPr>
          <w:spacing w:val="-23"/>
          <w:w w:val="95"/>
        </w:rPr>
        <w:t>政資源，爰請各機關確依有關法令及本會上開函釋辦理。例如：</w:t>
      </w:r>
    </w:p>
    <w:p>
      <w:pPr>
        <w:pStyle w:val="BodyText"/>
        <w:spacing w:line="300" w:lineRule="auto" w:before="206"/>
        <w:ind w:left="1250" w:right="276" w:hanging="992"/>
      </w:pPr>
      <w:r>
        <w:rPr>
          <w:spacing w:val="4"/>
          <w:w w:val="95"/>
        </w:rPr>
        <w:t>（一）</w:t>
      </w:r>
      <w:r>
        <w:rPr>
          <w:spacing w:val="3"/>
          <w:w w:val="95"/>
        </w:rPr>
        <w:t>公務人員於職場內、外性騷擾成立與否之法律依據，分別 </w:t>
      </w:r>
      <w:r>
        <w:rPr>
          <w:w w:val="95"/>
        </w:rPr>
        <w:t>為性別工作平等法及性騷擾防治法。關於不服性騷擾成立</w:t>
      </w:r>
    </w:p>
    <w:p>
      <w:pPr>
        <w:pStyle w:val="BodyText"/>
        <w:spacing w:line="300" w:lineRule="auto" w:before="0"/>
        <w:ind w:left="1250" w:right="282"/>
      </w:pPr>
      <w:r>
        <w:rPr/>
        <w:t>（不成立、不受理）決定之救濟機關，應分別向本會提起復審或向上級機關提起訴願。</w:t>
      </w:r>
    </w:p>
    <w:p>
      <w:pPr>
        <w:pStyle w:val="BodyText"/>
        <w:spacing w:line="300" w:lineRule="auto" w:before="201"/>
        <w:ind w:left="1247" w:right="276" w:hanging="989"/>
      </w:pPr>
      <w:r>
        <w:rPr>
          <w:spacing w:val="4"/>
          <w:w w:val="95"/>
        </w:rPr>
        <w:t>（二）</w:t>
      </w:r>
      <w:r>
        <w:rPr>
          <w:spacing w:val="3"/>
          <w:w w:val="95"/>
        </w:rPr>
        <w:t>公務人員涉及校園性騷擾案件，經學校依性別平等教育法 </w:t>
      </w:r>
      <w:r>
        <w:rPr/>
        <w:t>相關規定完成調查並予議處，且將處理結果以書面載明事</w:t>
      </w:r>
      <w:r>
        <w:rPr>
          <w:w w:val="95"/>
        </w:rPr>
        <w:t>實及理由通知當事人。上開書面通知即為「性騷擾成立與</w:t>
      </w:r>
    </w:p>
    <w:p>
      <w:pPr>
        <w:pStyle w:val="BodyText"/>
        <w:spacing w:before="2"/>
        <w:ind w:left="1247"/>
      </w:pPr>
      <w:r>
        <w:rPr>
          <w:spacing w:val="-10"/>
          <w:w w:val="95"/>
        </w:rPr>
        <w:t>否之決定」，性別平等教育法第</w:t>
      </w:r>
      <w:r>
        <w:rPr>
          <w:rFonts w:ascii="細明體_HKSCS" w:eastAsia="細明體_HKSCS" w:hint="eastAsia"/>
          <w:w w:val="95"/>
        </w:rPr>
        <w:t>34</w:t>
      </w:r>
      <w:r>
        <w:rPr>
          <w:spacing w:val="4"/>
          <w:w w:val="95"/>
        </w:rPr>
        <w:t>條第</w:t>
      </w:r>
      <w:r>
        <w:rPr>
          <w:rFonts w:ascii="細明體_HKSCS" w:eastAsia="細明體_HKSCS" w:hint="eastAsia"/>
          <w:spacing w:val="3"/>
          <w:w w:val="95"/>
        </w:rPr>
        <w:t>2</w:t>
      </w:r>
      <w:r>
        <w:rPr>
          <w:w w:val="95"/>
        </w:rPr>
        <w:t>款所定人員，如對</w:t>
      </w:r>
    </w:p>
    <w:p>
      <w:pPr>
        <w:spacing w:after="0"/>
        <w:sectPr>
          <w:pgSz w:w="11910" w:h="16840"/>
          <w:pgMar w:header="0" w:footer="1017" w:top="1220" w:bottom="1200" w:left="1160" w:right="1140"/>
        </w:sectPr>
      </w:pPr>
    </w:p>
    <w:p>
      <w:pPr>
        <w:pStyle w:val="BodyText"/>
        <w:spacing w:line="300" w:lineRule="auto"/>
        <w:ind w:left="1247" w:right="272"/>
      </w:pPr>
      <w:r>
        <w:rPr/>
        <w:t>該決定不服，應先經申復程序，再依保障法規定，向本會提起復審救濟。又上開人員如因涉及校園性騷擾事件，經學校提經考績委員會審議後予以懲處，該懲處之性質係學校對公務人員所為之管理措施，公務人員如有不服，應於懲處令送達之次日起</w:t>
      </w:r>
      <w:r>
        <w:rPr>
          <w:rFonts w:ascii="細明體_HKSCS" w:eastAsia="細明體_HKSCS" w:hint="eastAsia"/>
        </w:rPr>
        <w:t>30</w:t>
      </w:r>
      <w:r>
        <w:rPr/>
        <w:t>日內，先依保障法規定向學校提起申訴，如不服學校之申訴函復，得於復函送達之次日起</w:t>
      </w:r>
      <w:r>
        <w:rPr>
          <w:rFonts w:ascii="細明體_HKSCS" w:eastAsia="細明體_HKSCS" w:hint="eastAsia"/>
        </w:rPr>
        <w:t>30 </w:t>
      </w:r>
      <w:r>
        <w:rPr/>
        <w:t>日內，向本會提起再申訴。</w:t>
      </w:r>
    </w:p>
    <w:p>
      <w:pPr>
        <w:pStyle w:val="BodyText"/>
        <w:spacing w:line="300" w:lineRule="auto" w:before="206"/>
        <w:ind w:left="1247" w:right="273" w:hanging="989"/>
      </w:pPr>
      <w:r>
        <w:rPr/>
        <w:t>（三</w:t>
      </w:r>
      <w:r>
        <w:rPr>
          <w:spacing w:val="-24"/>
        </w:rPr>
        <w:t>）</w:t>
      </w:r>
      <w:r>
        <w:rPr/>
        <w:t>法官法自</w:t>
      </w:r>
      <w:r>
        <w:rPr>
          <w:rFonts w:ascii="細明體_HKSCS" w:eastAsia="細明體_HKSCS" w:hint="eastAsia"/>
        </w:rPr>
        <w:t>101</w:t>
      </w:r>
      <w:r>
        <w:rPr/>
        <w:t>年</w:t>
      </w:r>
      <w:r>
        <w:rPr>
          <w:rFonts w:ascii="細明體_HKSCS" w:eastAsia="細明體_HKSCS" w:hint="eastAsia"/>
        </w:rPr>
        <w:t>7</w:t>
      </w:r>
      <w:r>
        <w:rPr/>
        <w:t>月</w:t>
      </w:r>
      <w:r>
        <w:rPr>
          <w:rFonts w:ascii="細明體_HKSCS" w:eastAsia="細明體_HKSCS" w:hint="eastAsia"/>
        </w:rPr>
        <w:t>6</w:t>
      </w:r>
      <w:r>
        <w:rPr>
          <w:spacing w:val="-4"/>
        </w:rPr>
        <w:t>日施行，法官法第</w:t>
      </w:r>
      <w:r>
        <w:rPr>
          <w:rFonts w:ascii="細明體_HKSCS" w:eastAsia="細明體_HKSCS" w:hint="eastAsia"/>
        </w:rPr>
        <w:t>20</w:t>
      </w:r>
      <w:r>
        <w:rPr/>
        <w:t>條所定職務監督權人，對於被監督之法官所為之職務監督處分，如未影響法官獨立審判權限者，該職務監督處分之性質係職務監督權人對被監督法官所為之管理措施，被監督法官如有不服， 應依保障法規定向職務監督權人所屬機關提起申訴，如不服申訴函復，得於復函送達之次日起</w:t>
      </w:r>
      <w:r>
        <w:rPr>
          <w:rFonts w:ascii="細明體_HKSCS" w:eastAsia="細明體_HKSCS" w:hint="eastAsia"/>
        </w:rPr>
        <w:t>30</w:t>
      </w:r>
      <w:r>
        <w:rPr/>
        <w:t>日內，向本會提起再申訴。如被監督之法官認為該職務監督處分已影響審判</w:t>
      </w:r>
      <w:r>
        <w:rPr>
          <w:spacing w:val="2"/>
        </w:rPr>
        <w:t>獨立，則應依法官法第</w:t>
      </w:r>
      <w:r>
        <w:rPr>
          <w:rFonts w:ascii="細明體_HKSCS" w:eastAsia="細明體_HKSCS" w:hint="eastAsia"/>
        </w:rPr>
        <w:t>53</w:t>
      </w:r>
      <w:r>
        <w:rPr>
          <w:spacing w:val="4"/>
        </w:rPr>
        <w:t>條第</w:t>
      </w:r>
      <w:r>
        <w:rPr>
          <w:rFonts w:ascii="細明體_HKSCS" w:eastAsia="細明體_HKSCS" w:hint="eastAsia"/>
          <w:spacing w:val="4"/>
        </w:rPr>
        <w:t>2</w:t>
      </w:r>
      <w:r>
        <w:rPr>
          <w:spacing w:val="3"/>
        </w:rPr>
        <w:t>項及第</w:t>
      </w:r>
      <w:r>
        <w:rPr>
          <w:rFonts w:ascii="細明體_HKSCS" w:eastAsia="細明體_HKSCS" w:hint="eastAsia"/>
        </w:rPr>
        <w:t>54</w:t>
      </w:r>
      <w:r>
        <w:rPr>
          <w:spacing w:val="2"/>
        </w:rPr>
        <w:t>條第</w:t>
      </w:r>
      <w:r>
        <w:rPr>
          <w:rFonts w:ascii="細明體_HKSCS" w:eastAsia="細明體_HKSCS" w:hint="eastAsia"/>
          <w:spacing w:val="3"/>
        </w:rPr>
        <w:t>3</w:t>
      </w:r>
      <w:r>
        <w:rPr>
          <w:spacing w:val="1"/>
        </w:rPr>
        <w:t>項規定，依</w:t>
      </w:r>
      <w:r>
        <w:rPr/>
        <w:t>序向職務監督權人所屬機關提出異議，若不服異議決定， 再向職務法庭起訴。職務監督權人所屬機關應於相關處分明確教示，以免受處分之法官誤用救濟程序。</w:t>
      </w:r>
    </w:p>
    <w:p>
      <w:pPr>
        <w:pStyle w:val="BodyText"/>
        <w:spacing w:line="300" w:lineRule="auto" w:before="205"/>
        <w:ind w:left="961" w:right="269" w:hanging="704"/>
      </w:pPr>
      <w:r>
        <w:rPr/>
        <w:t>二、各機關對於所屬公務人員以簽陳方式陳請之事項，如有所准駁，並涉及法律上權利義務之變動者，應依行政程序法第</w:t>
      </w:r>
      <w:r>
        <w:rPr>
          <w:rFonts w:ascii="細明體_HKSCS" w:eastAsia="細明體_HKSCS" w:hint="eastAsia"/>
        </w:rPr>
        <w:t>96 </w:t>
      </w:r>
      <w:r>
        <w:rPr/>
        <w:t>條規定作成書面行政處分，俾利公務人員據以提起救濟。前經本會</w:t>
      </w:r>
      <w:r>
        <w:rPr>
          <w:rFonts w:ascii="細明體_HKSCS" w:eastAsia="細明體_HKSCS" w:hint="eastAsia"/>
        </w:rPr>
        <w:t>92</w:t>
      </w:r>
      <w:r>
        <w:rPr/>
        <w:t>年</w:t>
      </w:r>
      <w:r>
        <w:rPr>
          <w:rFonts w:ascii="細明體_HKSCS" w:eastAsia="細明體_HKSCS" w:hint="eastAsia"/>
        </w:rPr>
        <w:t>10</w:t>
      </w:r>
      <w:r>
        <w:rPr/>
        <w:t>月</w:t>
      </w:r>
      <w:r>
        <w:rPr>
          <w:rFonts w:ascii="細明體_HKSCS" w:eastAsia="細明體_HKSCS" w:hint="eastAsia"/>
        </w:rPr>
        <w:t>17</w:t>
      </w:r>
      <w:r>
        <w:rPr/>
        <w:t>日公保字第</w:t>
      </w:r>
      <w:r>
        <w:rPr>
          <w:rFonts w:ascii="細明體_HKSCS" w:eastAsia="細明體_HKSCS" w:hint="eastAsia"/>
        </w:rPr>
        <w:t>0920007465</w:t>
      </w:r>
      <w:r>
        <w:rPr/>
        <w:t>號函及</w:t>
      </w:r>
      <w:r>
        <w:rPr>
          <w:rFonts w:ascii="細明體_HKSCS" w:eastAsia="細明體_HKSCS" w:hint="eastAsia"/>
        </w:rPr>
        <w:t>101</w:t>
      </w:r>
      <w:r>
        <w:rPr/>
        <w:t>年</w:t>
      </w:r>
      <w:r>
        <w:rPr>
          <w:rFonts w:ascii="細明體_HKSCS" w:eastAsia="細明體_HKSCS" w:hint="eastAsia"/>
        </w:rPr>
        <w:t>6</w:t>
      </w:r>
      <w:r>
        <w:rPr/>
        <w:t>月</w:t>
      </w:r>
      <w:r>
        <w:rPr>
          <w:rFonts w:ascii="細明體_HKSCS" w:eastAsia="細明體_HKSCS" w:hint="eastAsia"/>
        </w:rPr>
        <w:t>8 </w:t>
      </w:r>
      <w:r>
        <w:rPr/>
        <w:t>日公保字第</w:t>
      </w:r>
      <w:r>
        <w:rPr>
          <w:rFonts w:ascii="細明體_HKSCS" w:eastAsia="細明體_HKSCS" w:hint="eastAsia"/>
        </w:rPr>
        <w:t>1011009832</w:t>
      </w:r>
      <w:r>
        <w:rPr/>
        <w:t>號函請各機關督促所屬人事人員知照辦理在案，仍請落實辦理。</w:t>
      </w:r>
    </w:p>
    <w:p>
      <w:pPr>
        <w:spacing w:after="0" w:line="300" w:lineRule="auto"/>
        <w:sectPr>
          <w:pgSz w:w="11910" w:h="16840"/>
          <w:pgMar w:header="0" w:footer="1017" w:top="1220" w:bottom="1200" w:left="1160" w:right="1140"/>
        </w:sectPr>
      </w:pPr>
    </w:p>
    <w:p>
      <w:pPr>
        <w:pStyle w:val="BodyText"/>
        <w:spacing w:line="300" w:lineRule="auto" w:before="25"/>
        <w:ind w:right="267" w:hanging="704"/>
      </w:pPr>
      <w:r>
        <w:rPr>
          <w:spacing w:val="4"/>
        </w:rPr>
        <w:t>三、按保障法第</w:t>
      </w:r>
      <w:r>
        <w:rPr>
          <w:rFonts w:ascii="細明體_HKSCS" w:eastAsia="細明體_HKSCS" w:hint="eastAsia"/>
        </w:rPr>
        <w:t>30</w:t>
      </w:r>
      <w:r>
        <w:rPr>
          <w:spacing w:val="5"/>
        </w:rPr>
        <w:t>條至第</w:t>
      </w:r>
      <w:r>
        <w:rPr>
          <w:rFonts w:ascii="細明體_HKSCS" w:eastAsia="細明體_HKSCS" w:hint="eastAsia"/>
        </w:rPr>
        <w:t>33</w:t>
      </w:r>
      <w:r>
        <w:rPr>
          <w:spacing w:val="4"/>
        </w:rPr>
        <w:t>條、第</w:t>
      </w:r>
      <w:r>
        <w:rPr>
          <w:rFonts w:ascii="細明體_HKSCS" w:eastAsia="細明體_HKSCS" w:hint="eastAsia"/>
        </w:rPr>
        <w:t>77</w:t>
      </w:r>
      <w:r>
        <w:rPr>
          <w:spacing w:val="5"/>
        </w:rPr>
        <w:t>條、第</w:t>
      </w:r>
      <w:r>
        <w:rPr>
          <w:rFonts w:ascii="細明體_HKSCS" w:eastAsia="細明體_HKSCS" w:hint="eastAsia"/>
        </w:rPr>
        <w:t>78</w:t>
      </w:r>
      <w:r>
        <w:rPr>
          <w:spacing w:val="4"/>
        </w:rPr>
        <w:t>條，以及行政程序</w:t>
      </w:r>
      <w:r>
        <w:rPr>
          <w:spacing w:val="2"/>
        </w:rPr>
        <w:t>法第</w:t>
      </w:r>
      <w:r>
        <w:rPr>
          <w:rFonts w:ascii="細明體_HKSCS" w:eastAsia="細明體_HKSCS" w:hint="eastAsia"/>
        </w:rPr>
        <w:t>67</w:t>
      </w:r>
      <w:r>
        <w:rPr>
          <w:spacing w:val="1"/>
        </w:rPr>
        <w:t>條至第</w:t>
      </w:r>
      <w:r>
        <w:rPr>
          <w:rFonts w:ascii="細明體_HKSCS" w:eastAsia="細明體_HKSCS" w:hint="eastAsia"/>
        </w:rPr>
        <w:t>91</w:t>
      </w:r>
      <w:r>
        <w:rPr/>
        <w:t>條規定，對公務人員提起申訴、再申訴及復審之法定期間，以及行政機關文書之送達方式，已有明文。本會於審理保障事件個案時，迭因機關無法提出申訴復函或行政處分之送達證明資料，或於收受公務人員之申訴書、復審書時，未蓋機關收文戳章或附記日期，致無從判斷該公務</w:t>
      </w:r>
      <w:r>
        <w:rPr>
          <w:spacing w:val="-9"/>
        </w:rPr>
        <w:t>人員提起救濟是否已逾法定期間。仍請依本會上開</w:t>
      </w:r>
      <w:r>
        <w:rPr>
          <w:rFonts w:ascii="細明體_HKSCS" w:eastAsia="細明體_HKSCS" w:hint="eastAsia"/>
        </w:rPr>
        <w:t>101</w:t>
      </w:r>
      <w:r>
        <w:rPr/>
        <w:t>年</w:t>
      </w:r>
      <w:r>
        <w:rPr>
          <w:rFonts w:ascii="細明體_HKSCS" w:eastAsia="細明體_HKSCS" w:hint="eastAsia"/>
        </w:rPr>
        <w:t>6</w:t>
      </w:r>
      <w:r>
        <w:rPr/>
        <w:t>月</w:t>
      </w:r>
      <w:r>
        <w:rPr>
          <w:rFonts w:ascii="細明體_HKSCS" w:eastAsia="細明體_HKSCS" w:hint="eastAsia"/>
        </w:rPr>
        <w:t>8 </w:t>
      </w:r>
      <w:r>
        <w:rPr/>
        <w:t>日函督促所屬人事人員注意改進。</w:t>
      </w:r>
    </w:p>
    <w:p>
      <w:pPr>
        <w:pStyle w:val="BodyText"/>
        <w:spacing w:line="300" w:lineRule="auto" w:before="204"/>
        <w:ind w:right="274" w:hanging="708"/>
      </w:pPr>
      <w:r>
        <w:rPr>
          <w:spacing w:val="4"/>
          <w:w w:val="95"/>
        </w:rPr>
        <w:t>四、服務機關辦理申訴事件，應於收受申訴書之次日起</w:t>
      </w:r>
      <w:r>
        <w:rPr>
          <w:rFonts w:ascii="細明體_HKSCS" w:eastAsia="細明體_HKSCS" w:hint="eastAsia"/>
          <w:w w:val="95"/>
        </w:rPr>
        <w:t>30</w:t>
      </w:r>
      <w:r>
        <w:rPr>
          <w:spacing w:val="3"/>
          <w:w w:val="95"/>
        </w:rPr>
        <w:t>日內為 </w:t>
      </w:r>
      <w:r>
        <w:rPr>
          <w:spacing w:val="3"/>
        </w:rPr>
        <w:t>申訴函復，必要時得延長</w:t>
      </w:r>
      <w:r>
        <w:rPr>
          <w:rFonts w:ascii="細明體_HKSCS" w:eastAsia="細明體_HKSCS" w:hint="eastAsia"/>
        </w:rPr>
        <w:t>20</w:t>
      </w:r>
      <w:r>
        <w:rPr/>
        <w:t>日，並通知申訴人；逾期未為函</w:t>
      </w:r>
      <w:r>
        <w:rPr>
          <w:spacing w:val="-12"/>
        </w:rPr>
        <w:t>復，申訴人得逕向本會提再申訴，為保障法第</w:t>
      </w:r>
      <w:r>
        <w:rPr>
          <w:rFonts w:ascii="細明體_HKSCS" w:eastAsia="細明體_HKSCS" w:hint="eastAsia"/>
        </w:rPr>
        <w:t>81</w:t>
      </w:r>
      <w:r>
        <w:rPr/>
        <w:t>條第</w:t>
      </w:r>
      <w:r>
        <w:rPr>
          <w:rFonts w:ascii="細明體_HKSCS" w:eastAsia="細明體_HKSCS" w:hint="eastAsia"/>
        </w:rPr>
        <w:t>1</w:t>
      </w:r>
      <w:r>
        <w:rPr>
          <w:spacing w:val="-4"/>
        </w:rPr>
        <w:t>項所明</w:t>
      </w:r>
      <w:r>
        <w:rPr/>
        <w:t>定。查部分服務機關偶有遲誤</w:t>
      </w:r>
      <w:r>
        <w:rPr>
          <w:rFonts w:ascii="細明體_HKSCS" w:eastAsia="細明體_HKSCS" w:hint="eastAsia"/>
        </w:rPr>
        <w:t>30</w:t>
      </w:r>
      <w:r>
        <w:rPr/>
        <w:t>日法定期間未為函復，亦未通知延長期間之情形，造成本會及當事人在認定提起再申訴</w:t>
      </w:r>
      <w:r>
        <w:rPr>
          <w:spacing w:val="13"/>
          <w:w w:val="95"/>
        </w:rPr>
        <w:t>救濟期間上發生困擾，且影響再申訴人攻擊防禦方法之提 </w:t>
      </w:r>
      <w:r>
        <w:rPr>
          <w:spacing w:val="13"/>
        </w:rPr>
        <w:t>出，請各機關確實遵期為申訴函復。</w:t>
      </w:r>
    </w:p>
    <w:p>
      <w:pPr>
        <w:pStyle w:val="BodyText"/>
        <w:spacing w:line="300" w:lineRule="auto" w:before="203"/>
        <w:ind w:right="200" w:hanging="704"/>
      </w:pPr>
      <w:r>
        <w:rPr>
          <w:spacing w:val="4"/>
        </w:rPr>
        <w:t>五、服務機關對申訴事件所為之函復，應於期限內針對申訴書或</w:t>
      </w:r>
      <w:r>
        <w:rPr/>
        <w:t>再申訴書所述內容，作詳細、具體之答復，解答公務人員疑</w:t>
      </w:r>
      <w:r>
        <w:rPr>
          <w:spacing w:val="-16"/>
        </w:rPr>
        <w:t>惑，俾減少訟源；或對於本會查詢之再申訴事件，應將事實、</w:t>
      </w:r>
      <w:r>
        <w:rPr/>
        <w:t>理由及處理意見，並附有關資料回復本會，為保障法第</w:t>
      </w:r>
      <w:r>
        <w:rPr>
          <w:rFonts w:ascii="細明體_HKSCS" w:eastAsia="細明體_HKSCS" w:hint="eastAsia"/>
        </w:rPr>
        <w:t>81</w:t>
      </w:r>
      <w:r>
        <w:rPr/>
        <w:t>條第</w:t>
      </w:r>
      <w:r>
        <w:rPr>
          <w:rFonts w:ascii="細明體_HKSCS" w:eastAsia="細明體_HKSCS" w:hint="eastAsia"/>
        </w:rPr>
        <w:t>1</w:t>
      </w:r>
      <w:r>
        <w:rPr>
          <w:spacing w:val="1"/>
        </w:rPr>
        <w:t>項及第</w:t>
      </w:r>
      <w:r>
        <w:rPr>
          <w:rFonts w:ascii="細明體_HKSCS" w:eastAsia="細明體_HKSCS" w:hint="eastAsia"/>
        </w:rPr>
        <w:t>82</w:t>
      </w:r>
      <w:r>
        <w:rPr>
          <w:spacing w:val="1"/>
        </w:rPr>
        <w:t>條第</w:t>
      </w:r>
      <w:r>
        <w:rPr>
          <w:rFonts w:ascii="細明體_HKSCS" w:eastAsia="細明體_HKSCS" w:hint="eastAsia"/>
        </w:rPr>
        <w:t>1</w:t>
      </w:r>
      <w:r>
        <w:rPr/>
        <w:t>項所明定。惟仍有部分機關未詳備理由， 僅以簡單文字為申訴函復，除未能保障申訴人知的權利外， 亦無法使其信服，進而續行提起再申訴。且於再申訴程序， 機關如未將事實、理由、法律依據及證據資料等詳復本會， 亦徒增審理及查證作業之困難與耗費時間。為使本會充分瞭解案情，作客觀、公正之審理，請各機關依上開規定配合辦</w:t>
      </w:r>
    </w:p>
    <w:p>
      <w:pPr>
        <w:spacing w:after="0" w:line="300" w:lineRule="auto"/>
        <w:sectPr>
          <w:pgSz w:w="11910" w:h="16840"/>
          <w:pgMar w:header="0" w:footer="1017" w:top="1220" w:bottom="1200" w:left="1160" w:right="1140"/>
        </w:sectPr>
      </w:pPr>
    </w:p>
    <w:p>
      <w:pPr>
        <w:pStyle w:val="BodyText"/>
        <w:jc w:val="left"/>
      </w:pPr>
      <w:r>
        <w:rPr/>
        <w:t>理。</w:t>
      </w:r>
    </w:p>
    <w:p>
      <w:pPr>
        <w:pStyle w:val="BodyText"/>
        <w:spacing w:before="6"/>
        <w:ind w:left="0"/>
        <w:jc w:val="left"/>
        <w:rPr>
          <w:sz w:val="22"/>
        </w:rPr>
      </w:pPr>
    </w:p>
    <w:p>
      <w:pPr>
        <w:pStyle w:val="BodyText"/>
        <w:spacing w:line="300" w:lineRule="auto" w:before="0"/>
        <w:ind w:left="961" w:right="272" w:hanging="704"/>
      </w:pPr>
      <w:r>
        <w:rPr>
          <w:spacing w:val="3"/>
          <w:w w:val="95"/>
        </w:rPr>
        <w:t>六、本會審理保障事件，發現部分機關於行政調查階段或於召開 </w:t>
      </w:r>
      <w:r>
        <w:rPr/>
        <w:t>考績委員會時，因未給予當事人陳述意見之機會，而有事證未明、認定事實錯誤或違反行政程序法規定之情事；且常有當事人主張機關於作成行政決定前，未給予陳述意見或申辯機會，侵害其權益，致增加訟源，甚至可能成為行政法院或本會撤銷原行政決定之事由。基於正當法律程序之要求，各機關踐行陳述意見程序，除可保障公務人員之程序權益外， 且有助於釐清事實上及法律上之爭議，俾作成合法妥適之行政決定，減少爭訟之發生。本會業以</w:t>
      </w:r>
      <w:r>
        <w:rPr>
          <w:rFonts w:ascii="細明體_HKSCS" w:eastAsia="細明體_HKSCS" w:hint="eastAsia"/>
        </w:rPr>
        <w:t>104</w:t>
      </w:r>
      <w:r>
        <w:rPr>
          <w:spacing w:val="4"/>
        </w:rPr>
        <w:t>年</w:t>
      </w:r>
      <w:r>
        <w:rPr>
          <w:rFonts w:ascii="細明體_HKSCS" w:eastAsia="細明體_HKSCS" w:hint="eastAsia"/>
        </w:rPr>
        <w:t>7</w:t>
      </w:r>
      <w:r>
        <w:rPr/>
        <w:t>月</w:t>
      </w:r>
      <w:r>
        <w:rPr>
          <w:rFonts w:ascii="細明體_HKSCS" w:eastAsia="細明體_HKSCS" w:hint="eastAsia"/>
        </w:rPr>
        <w:t>20</w:t>
      </w:r>
      <w:r>
        <w:rPr/>
        <w:t>日公保字第</w:t>
      </w:r>
    </w:p>
    <w:p>
      <w:pPr>
        <w:pStyle w:val="BodyText"/>
        <w:spacing w:line="300" w:lineRule="auto" w:before="6"/>
        <w:ind w:left="961" w:right="278"/>
      </w:pPr>
      <w:r>
        <w:rPr>
          <w:rFonts w:ascii="細明體_HKSCS" w:eastAsia="細明體_HKSCS" w:hint="eastAsia"/>
        </w:rPr>
        <w:t>1041060308</w:t>
      </w:r>
      <w:r>
        <w:rPr/>
        <w:t>號函，建請各機關於作成人事行政處分、管理措施（特別是懲處事件）或有關工作條件之處置前，依相關規定，儘量給予當事人陳述意見之機會，並應預留適當之準備期間。</w:t>
      </w:r>
    </w:p>
    <w:p>
      <w:pPr>
        <w:pStyle w:val="Heading1"/>
        <w:spacing w:line="309" w:lineRule="auto" w:before="96"/>
        <w:ind w:right="4543"/>
      </w:pPr>
      <w:r>
        <w:rPr/>
        <w:t>叁、保障法規及保障實務異動情形一、修正公布保障法第76條</w:t>
      </w:r>
    </w:p>
    <w:p>
      <w:pPr>
        <w:pStyle w:val="BodyText"/>
        <w:spacing w:line="300" w:lineRule="auto" w:before="106"/>
        <w:ind w:right="198" w:hanging="68"/>
      </w:pPr>
      <w:r>
        <w:rPr>
          <w:rFonts w:ascii="細明體_HKSCS" w:eastAsia="細明體_HKSCS" w:hint="eastAsia"/>
        </w:rPr>
        <w:t>104</w:t>
      </w:r>
      <w:r>
        <w:rPr>
          <w:spacing w:val="4"/>
        </w:rPr>
        <w:t>年</w:t>
      </w:r>
      <w:r>
        <w:rPr>
          <w:rFonts w:ascii="細明體_HKSCS" w:eastAsia="細明體_HKSCS" w:hint="eastAsia"/>
        </w:rPr>
        <w:t>12</w:t>
      </w:r>
      <w:r>
        <w:rPr>
          <w:spacing w:val="7"/>
        </w:rPr>
        <w:t>月</w:t>
      </w:r>
      <w:r>
        <w:rPr>
          <w:rFonts w:ascii="細明體_HKSCS" w:eastAsia="細明體_HKSCS" w:hint="eastAsia"/>
        </w:rPr>
        <w:t>23</w:t>
      </w:r>
      <w:r>
        <w:rPr>
          <w:spacing w:val="4"/>
        </w:rPr>
        <w:t>日修正公布保障法第</w:t>
      </w:r>
      <w:r>
        <w:rPr>
          <w:rFonts w:ascii="細明體_HKSCS" w:eastAsia="細明體_HKSCS" w:hint="eastAsia"/>
        </w:rPr>
        <w:t>76</w:t>
      </w:r>
      <w:r>
        <w:rPr>
          <w:spacing w:val="4"/>
        </w:rPr>
        <w:t>條條文，第</w:t>
      </w:r>
      <w:r>
        <w:rPr>
          <w:rFonts w:ascii="細明體_HKSCS" w:eastAsia="細明體_HKSCS" w:hint="eastAsia"/>
          <w:spacing w:val="3"/>
        </w:rPr>
        <w:t>1</w:t>
      </w:r>
      <w:r>
        <w:rPr>
          <w:spacing w:val="3"/>
        </w:rPr>
        <w:t>項之「郵政</w:t>
      </w:r>
      <w:r>
        <w:rPr>
          <w:spacing w:val="-11"/>
        </w:rPr>
        <w:t>機關」修正為「郵政機構」，第</w:t>
      </w:r>
      <w:r>
        <w:rPr>
          <w:rFonts w:ascii="細明體_HKSCS" w:eastAsia="細明體_HKSCS" w:hint="eastAsia"/>
        </w:rPr>
        <w:t>2</w:t>
      </w:r>
      <w:r>
        <w:rPr/>
        <w:t>項刪除「或該管警察機關」</w:t>
      </w:r>
      <w:r>
        <w:rPr>
          <w:spacing w:val="-6"/>
        </w:rPr>
        <w:t>等文字，第</w:t>
      </w:r>
      <w:r>
        <w:rPr>
          <w:rFonts w:ascii="細明體_HKSCS" w:eastAsia="細明體_HKSCS" w:hint="eastAsia"/>
        </w:rPr>
        <w:t>3</w:t>
      </w:r>
      <w:r>
        <w:rPr>
          <w:spacing w:val="-4"/>
        </w:rPr>
        <w:t>項未修正。第</w:t>
      </w:r>
      <w:r>
        <w:rPr>
          <w:rFonts w:ascii="細明體_HKSCS" w:eastAsia="細明體_HKSCS" w:hint="eastAsia"/>
        </w:rPr>
        <w:t>1</w:t>
      </w:r>
      <w:r>
        <w:rPr>
          <w:spacing w:val="-14"/>
        </w:rPr>
        <w:t>項規定：「復審事件文書之送達， </w:t>
      </w:r>
      <w:r>
        <w:rPr>
          <w:spacing w:val="-13"/>
        </w:rPr>
        <w:t>應註明復審人或其代表人、代理人之住居所、事務所，交付郵務機構以復審事件文書郵務送達證書發送。」第</w:t>
      </w:r>
      <w:r>
        <w:rPr>
          <w:rFonts w:ascii="細明體_HKSCS" w:eastAsia="細明體_HKSCS" w:hint="eastAsia"/>
        </w:rPr>
        <w:t>2</w:t>
      </w:r>
      <w:r>
        <w:rPr>
          <w:spacing w:val="-2"/>
        </w:rPr>
        <w:t>項規定：</w:t>
      </w:r>
    </w:p>
    <w:p>
      <w:pPr>
        <w:pStyle w:val="BodyText"/>
        <w:spacing w:line="300" w:lineRule="auto" w:before="3"/>
        <w:ind w:right="276"/>
      </w:pPr>
      <w:r>
        <w:rPr/>
        <w:t>「復審事件文書不能為前項之送達時，得由保訓會派員或囑託原處分機關、公務人員服務機關送達，並由執行送達人作成送達證書。」第</w:t>
      </w:r>
      <w:r>
        <w:rPr>
          <w:rFonts w:ascii="細明體_HKSCS" w:eastAsia="細明體_HKSCS" w:hint="eastAsia"/>
        </w:rPr>
        <w:t>3</w:t>
      </w:r>
      <w:r>
        <w:rPr>
          <w:spacing w:val="-14"/>
        </w:rPr>
        <w:t>項規定：「復審事件文書之送達，除前二</w:t>
      </w:r>
    </w:p>
    <w:p>
      <w:pPr>
        <w:spacing w:after="0" w:line="300" w:lineRule="auto"/>
        <w:sectPr>
          <w:pgSz w:w="11910" w:h="16840"/>
          <w:pgMar w:header="0" w:footer="1017" w:top="1220" w:bottom="1200" w:left="1160" w:right="1140"/>
        </w:sectPr>
      </w:pPr>
    </w:p>
    <w:p>
      <w:pPr>
        <w:pStyle w:val="BodyText"/>
        <w:spacing w:line="302" w:lineRule="auto"/>
        <w:ind w:right="276"/>
        <w:jc w:val="left"/>
      </w:pPr>
      <w:r>
        <w:rPr/>
        <w:t>項規定外，準用行政訴訟法第六十七條至第六十九條、第七十一條至第八十三條之規定。」。</w:t>
      </w:r>
    </w:p>
    <w:p>
      <w:pPr>
        <w:pStyle w:val="Heading1"/>
        <w:spacing w:before="87"/>
      </w:pPr>
      <w:r>
        <w:rPr/>
        <w:t>二、擴大復審標的之情形</w:t>
      </w:r>
    </w:p>
    <w:p>
      <w:pPr>
        <w:pStyle w:val="BodyText"/>
        <w:spacing w:line="300" w:lineRule="auto" w:before="276"/>
        <w:ind w:right="269" w:hanging="63"/>
        <w:jc w:val="left"/>
      </w:pPr>
      <w:r>
        <w:rPr>
          <w:rFonts w:ascii="細明體_HKSCS" w:eastAsia="細明體_HKSCS" w:hint="eastAsia"/>
        </w:rPr>
        <w:t>103</w:t>
      </w:r>
      <w:r>
        <w:rPr/>
        <w:t>年迄今，新增納入復審標的範圍之事件類型，計有</w:t>
      </w:r>
      <w:r>
        <w:rPr>
          <w:rFonts w:ascii="細明體_HKSCS" w:eastAsia="細明體_HKSCS" w:hint="eastAsia"/>
        </w:rPr>
        <w:t>4</w:t>
      </w:r>
      <w:r>
        <w:rPr/>
        <w:t>類事件，分別為：</w:t>
      </w:r>
    </w:p>
    <w:p>
      <w:pPr>
        <w:pStyle w:val="BodyText"/>
        <w:spacing w:line="300" w:lineRule="auto" w:before="201"/>
        <w:ind w:left="1250" w:right="276" w:hanging="992"/>
        <w:jc w:val="left"/>
      </w:pPr>
      <w:r>
        <w:rPr>
          <w:spacing w:val="4"/>
          <w:w w:val="95"/>
        </w:rPr>
        <w:t>（一）</w:t>
      </w:r>
      <w:r>
        <w:rPr>
          <w:spacing w:val="3"/>
          <w:w w:val="95"/>
        </w:rPr>
        <w:t>原屬訴願事件之警察人員報考警正班、警佐班教育訓練遭 </w:t>
      </w:r>
      <w:r>
        <w:rPr>
          <w:spacing w:val="3"/>
        </w:rPr>
        <w:t>否准之遴選資格事件。</w:t>
      </w:r>
    </w:p>
    <w:p>
      <w:pPr>
        <w:pStyle w:val="BodyText"/>
        <w:spacing w:line="300" w:lineRule="auto" w:before="202"/>
        <w:ind w:left="1250" w:right="275" w:hanging="992"/>
        <w:jc w:val="left"/>
      </w:pPr>
      <w:r>
        <w:rPr>
          <w:spacing w:val="4"/>
          <w:w w:val="95"/>
        </w:rPr>
        <w:t>（二）</w:t>
      </w:r>
      <w:r>
        <w:rPr>
          <w:spacing w:val="3"/>
          <w:w w:val="95"/>
        </w:rPr>
        <w:t>公務人員因於職場有性騷擾行為，經服務機關命應自費進 </w:t>
      </w:r>
      <w:r>
        <w:rPr>
          <w:spacing w:val="3"/>
        </w:rPr>
        <w:t>行心理諮商輔導之性別平等輔導事件。</w:t>
      </w:r>
    </w:p>
    <w:p>
      <w:pPr>
        <w:pStyle w:val="BodyText"/>
        <w:spacing w:line="300" w:lineRule="auto" w:before="199"/>
        <w:ind w:left="1247" w:right="197" w:hanging="989"/>
        <w:jc w:val="left"/>
      </w:pPr>
      <w:r>
        <w:rPr>
          <w:spacing w:val="4"/>
        </w:rPr>
        <w:t>（三）</w:t>
      </w:r>
      <w:r>
        <w:rPr>
          <w:spacing w:val="3"/>
        </w:rPr>
        <w:t>原屬訴願事件之考試錄取人員，於占缺訓練期滿成績及格</w:t>
      </w:r>
      <w:r>
        <w:rPr>
          <w:spacing w:val="-14"/>
        </w:rPr>
        <w:t>後，遭分發機關拒絕派任為正式公務人員之拒絕派任事件。</w:t>
      </w:r>
    </w:p>
    <w:p>
      <w:pPr>
        <w:pStyle w:val="BodyText"/>
        <w:spacing w:line="300" w:lineRule="auto" w:before="201"/>
        <w:ind w:left="1250" w:right="275" w:hanging="992"/>
      </w:pPr>
      <w:r>
        <w:rPr>
          <w:spacing w:val="4"/>
          <w:w w:val="95"/>
        </w:rPr>
        <w:t>（四）公務人員考績（成）丙等事件，自</w:t>
      </w:r>
      <w:r>
        <w:rPr>
          <w:rFonts w:ascii="細明體_HKSCS" w:eastAsia="細明體_HKSCS" w:hint="eastAsia"/>
          <w:w w:val="95"/>
        </w:rPr>
        <w:t>104</w:t>
      </w:r>
      <w:r>
        <w:rPr>
          <w:spacing w:val="7"/>
          <w:w w:val="95"/>
        </w:rPr>
        <w:t>年</w:t>
      </w:r>
      <w:r>
        <w:rPr>
          <w:rFonts w:ascii="細明體_HKSCS" w:eastAsia="細明體_HKSCS" w:hint="eastAsia"/>
          <w:w w:val="95"/>
        </w:rPr>
        <w:t>10</w:t>
      </w:r>
      <w:r>
        <w:rPr>
          <w:spacing w:val="4"/>
          <w:w w:val="95"/>
        </w:rPr>
        <w:t>月</w:t>
      </w:r>
      <w:r>
        <w:rPr>
          <w:rFonts w:ascii="細明體_HKSCS" w:eastAsia="細明體_HKSCS" w:hint="eastAsia"/>
          <w:spacing w:val="3"/>
          <w:w w:val="95"/>
        </w:rPr>
        <w:t>7</w:t>
      </w:r>
      <w:r>
        <w:rPr>
          <w:spacing w:val="3"/>
          <w:w w:val="95"/>
        </w:rPr>
        <w:t>日起改依復  </w:t>
      </w:r>
      <w:r>
        <w:rPr>
          <w:spacing w:val="-8"/>
          <w:w w:val="95"/>
        </w:rPr>
        <w:t>審程序處理，本會業以</w:t>
      </w:r>
      <w:r>
        <w:rPr>
          <w:rFonts w:ascii="細明體_HKSCS" w:eastAsia="細明體_HKSCS" w:hint="eastAsia"/>
          <w:w w:val="95"/>
        </w:rPr>
        <w:t>104</w:t>
      </w:r>
      <w:r>
        <w:rPr>
          <w:w w:val="95"/>
        </w:rPr>
        <w:t>年</w:t>
      </w:r>
      <w:r>
        <w:rPr>
          <w:rFonts w:ascii="細明體_HKSCS" w:eastAsia="細明體_HKSCS" w:hint="eastAsia"/>
          <w:w w:val="95"/>
        </w:rPr>
        <w:t>10</w:t>
      </w:r>
      <w:r>
        <w:rPr>
          <w:w w:val="95"/>
        </w:rPr>
        <w:t>月</w:t>
      </w:r>
      <w:r>
        <w:rPr>
          <w:rFonts w:ascii="細明體_HKSCS" w:eastAsia="細明體_HKSCS" w:hint="eastAsia"/>
          <w:w w:val="95"/>
        </w:rPr>
        <w:t>28</w:t>
      </w:r>
      <w:r>
        <w:rPr>
          <w:w w:val="95"/>
        </w:rPr>
        <w:t>日公保字第</w:t>
      </w:r>
      <w:r>
        <w:rPr>
          <w:rFonts w:ascii="細明體_HKSCS" w:eastAsia="細明體_HKSCS" w:hint="eastAsia"/>
          <w:w w:val="95"/>
        </w:rPr>
        <w:t>1041060456 </w:t>
      </w:r>
      <w:r>
        <w:rPr/>
        <w:t>號函知各機關在案。另檢察官職務評定為未達良好事件， </w:t>
      </w:r>
      <w:r>
        <w:rPr>
          <w:spacing w:val="2"/>
        </w:rPr>
        <w:t>比照公務人員考績</w:t>
      </w:r>
      <w:r>
        <w:rPr>
          <w:spacing w:val="4"/>
        </w:rPr>
        <w:t>（成</w:t>
      </w:r>
      <w:r>
        <w:rPr/>
        <w:t>）丙等事件，自同日起改依復審程序處理。</w:t>
      </w:r>
    </w:p>
    <w:p>
      <w:pPr>
        <w:pStyle w:val="Heading1"/>
        <w:spacing w:before="95"/>
      </w:pPr>
      <w:r>
        <w:rPr/>
        <w:t>肆、保障法規重要函釋</w:t>
      </w:r>
    </w:p>
    <w:p>
      <w:pPr>
        <w:pStyle w:val="BodyText"/>
        <w:spacing w:line="300" w:lineRule="auto" w:before="278"/>
        <w:ind w:left="961" w:right="276" w:hanging="63"/>
        <w:jc w:val="left"/>
      </w:pPr>
      <w:r>
        <w:rPr>
          <w:spacing w:val="12"/>
          <w:w w:val="95"/>
        </w:rPr>
        <w:t>本會於</w:t>
      </w:r>
      <w:r>
        <w:rPr>
          <w:rFonts w:ascii="細明體_HKSCS" w:eastAsia="細明體_HKSCS" w:hint="eastAsia"/>
          <w:spacing w:val="3"/>
          <w:w w:val="95"/>
        </w:rPr>
        <w:t>104</w:t>
      </w:r>
      <w:r>
        <w:rPr>
          <w:spacing w:val="10"/>
          <w:w w:val="95"/>
        </w:rPr>
        <w:t>年發布下列與公務人員一般健康檢查實施要點相 </w:t>
      </w:r>
      <w:r>
        <w:rPr/>
        <w:t>關之重要函釋，均已公布於本會網站。</w:t>
      </w:r>
    </w:p>
    <w:p>
      <w:pPr>
        <w:pStyle w:val="BodyText"/>
        <w:spacing w:line="300" w:lineRule="auto" w:before="200"/>
        <w:ind w:left="1250" w:right="274" w:hanging="992"/>
        <w:jc w:val="left"/>
      </w:pPr>
      <w:r>
        <w:rPr/>
        <w:t>（一）本會</w:t>
      </w:r>
      <w:r>
        <w:rPr>
          <w:rFonts w:ascii="細明體_HKSCS" w:eastAsia="細明體_HKSCS" w:hint="eastAsia"/>
        </w:rPr>
        <w:t>104</w:t>
      </w:r>
      <w:r>
        <w:rPr/>
        <w:t>年</w:t>
      </w:r>
      <w:r>
        <w:rPr>
          <w:rFonts w:ascii="細明體_HKSCS" w:eastAsia="細明體_HKSCS" w:hint="eastAsia"/>
        </w:rPr>
        <w:t>5</w:t>
      </w:r>
      <w:r>
        <w:rPr/>
        <w:t>月</w:t>
      </w:r>
      <w:r>
        <w:rPr>
          <w:rFonts w:ascii="細明體_HKSCS" w:eastAsia="細明體_HKSCS" w:hint="eastAsia"/>
        </w:rPr>
        <w:t>14</w:t>
      </w:r>
      <w:r>
        <w:rPr/>
        <w:t>日公保字第</w:t>
      </w:r>
      <w:r>
        <w:rPr>
          <w:rFonts w:ascii="細明體_HKSCS" w:eastAsia="細明體_HKSCS" w:hint="eastAsia"/>
        </w:rPr>
        <w:t>1040007043</w:t>
      </w:r>
      <w:r>
        <w:rPr/>
        <w:t>號及</w:t>
      </w:r>
      <w:r>
        <w:rPr>
          <w:rFonts w:ascii="細明體_HKSCS" w:eastAsia="細明體_HKSCS" w:hint="eastAsia"/>
        </w:rPr>
        <w:t>104</w:t>
      </w:r>
      <w:r>
        <w:rPr/>
        <w:t>年</w:t>
      </w:r>
      <w:r>
        <w:rPr>
          <w:rFonts w:ascii="細明體_HKSCS" w:eastAsia="細明體_HKSCS" w:hint="eastAsia"/>
        </w:rPr>
        <w:t>8</w:t>
      </w:r>
      <w:r>
        <w:rPr/>
        <w:t>月</w:t>
      </w:r>
      <w:r>
        <w:rPr>
          <w:rFonts w:ascii="細明體_HKSCS" w:eastAsia="細明體_HKSCS" w:hint="eastAsia"/>
        </w:rPr>
        <w:t>19</w:t>
      </w:r>
      <w:r>
        <w:rPr/>
        <w:t>日公保字第</w:t>
      </w:r>
      <w:r>
        <w:rPr>
          <w:rFonts w:ascii="細明體_HKSCS" w:eastAsia="細明體_HKSCS" w:hint="eastAsia"/>
        </w:rPr>
        <w:t>1041060352</w:t>
      </w:r>
      <w:r>
        <w:rPr/>
        <w:t>號函釋</w:t>
      </w:r>
    </w:p>
    <w:p>
      <w:pPr>
        <w:pStyle w:val="Heading1"/>
        <w:spacing w:before="95"/>
        <w:ind w:left="1060"/>
        <w:rPr>
          <w:rFonts w:ascii="標楷體" w:eastAsia="標楷體" w:hint="eastAsia"/>
          <w:b w:val="0"/>
        </w:rPr>
      </w:pPr>
      <w:r>
        <w:rPr>
          <w:rFonts w:ascii="標楷體" w:eastAsia="標楷體" w:hint="eastAsia"/>
          <w:b w:val="0"/>
        </w:rPr>
        <w:t>【</w:t>
      </w:r>
      <w:r>
        <w:rPr/>
        <w:t>關於公務人員一般健康檢查之醫療機構範圍</w:t>
      </w:r>
      <w:r>
        <w:rPr>
          <w:rFonts w:ascii="標楷體" w:eastAsia="標楷體" w:hint="eastAsia"/>
          <w:b w:val="0"/>
        </w:rPr>
        <w:t>】</w:t>
      </w:r>
    </w:p>
    <w:p>
      <w:pPr>
        <w:spacing w:after="0"/>
        <w:rPr>
          <w:rFonts w:ascii="標楷體" w:eastAsia="標楷體" w:hint="eastAsia"/>
        </w:rPr>
        <w:sectPr>
          <w:pgSz w:w="11910" w:h="16840"/>
          <w:pgMar w:header="0" w:footer="1017" w:top="1220" w:bottom="1200" w:left="1160" w:right="1140"/>
        </w:sectPr>
      </w:pPr>
    </w:p>
    <w:p>
      <w:pPr>
        <w:pStyle w:val="BodyText"/>
        <w:spacing w:line="300" w:lineRule="auto" w:before="25"/>
        <w:ind w:left="1106" w:right="281" w:hanging="63"/>
      </w:pPr>
      <w:r>
        <w:rPr>
          <w:spacing w:val="7"/>
          <w:w w:val="95"/>
        </w:rPr>
        <w:t>自</w:t>
      </w:r>
      <w:r>
        <w:rPr>
          <w:rFonts w:ascii="細明體_HKSCS" w:eastAsia="細明體_HKSCS" w:hint="eastAsia"/>
          <w:w w:val="95"/>
        </w:rPr>
        <w:t>105</w:t>
      </w:r>
      <w:r>
        <w:rPr>
          <w:spacing w:val="4"/>
          <w:w w:val="95"/>
        </w:rPr>
        <w:t>年</w:t>
      </w:r>
      <w:r>
        <w:rPr>
          <w:rFonts w:ascii="細明體_HKSCS" w:eastAsia="細明體_HKSCS" w:hint="eastAsia"/>
          <w:spacing w:val="6"/>
          <w:w w:val="95"/>
        </w:rPr>
        <w:t>1</w:t>
      </w:r>
      <w:r>
        <w:rPr>
          <w:spacing w:val="7"/>
          <w:w w:val="95"/>
        </w:rPr>
        <w:t>月</w:t>
      </w:r>
      <w:r>
        <w:rPr>
          <w:rFonts w:ascii="細明體_HKSCS" w:eastAsia="細明體_HKSCS" w:hint="eastAsia"/>
          <w:spacing w:val="3"/>
          <w:w w:val="95"/>
        </w:rPr>
        <w:t>1</w:t>
      </w:r>
      <w:r>
        <w:rPr>
          <w:spacing w:val="3"/>
          <w:w w:val="95"/>
        </w:rPr>
        <w:t>日起，公務人員應於下列醫療機構實施一般健</w:t>
      </w:r>
      <w:r>
        <w:rPr>
          <w:spacing w:val="4"/>
          <w:w w:val="99"/>
        </w:rPr>
        <w:t>康</w:t>
      </w:r>
      <w:r>
        <w:rPr>
          <w:spacing w:val="3"/>
          <w:w w:val="99"/>
        </w:rPr>
        <w:t>檢查</w:t>
      </w:r>
      <w:r>
        <w:rPr>
          <w:spacing w:val="2"/>
          <w:w w:val="99"/>
        </w:rPr>
        <w:t>（以下簡稱一般健檢</w:t>
      </w:r>
      <w:r>
        <w:rPr>
          <w:spacing w:val="-159"/>
          <w:w w:val="99"/>
        </w:rPr>
        <w:t>）</w:t>
      </w:r>
      <w:r>
        <w:rPr>
          <w:spacing w:val="1"/>
          <w:w w:val="99"/>
        </w:rPr>
        <w:t>，如前往限定範圍以外之醫療</w:t>
      </w:r>
      <w:r>
        <w:rPr/>
        <w:t>機構實施者，不予補助經費：</w:t>
      </w:r>
    </w:p>
    <w:p>
      <w:pPr>
        <w:pStyle w:val="ListParagraph"/>
        <w:numPr>
          <w:ilvl w:val="0"/>
          <w:numId w:val="8"/>
        </w:numPr>
        <w:tabs>
          <w:tab w:pos="1700" w:val="left" w:leader="none"/>
        </w:tabs>
        <w:spacing w:line="240" w:lineRule="auto" w:before="199" w:after="0"/>
        <w:ind w:left="1699" w:right="0" w:hanging="800"/>
        <w:jc w:val="left"/>
        <w:rPr>
          <w:sz w:val="32"/>
        </w:rPr>
      </w:pPr>
      <w:r>
        <w:rPr>
          <w:sz w:val="32"/>
        </w:rPr>
        <w:t>衛生主管機關評鑑合格之醫療機構。</w:t>
      </w:r>
    </w:p>
    <w:p>
      <w:pPr>
        <w:pStyle w:val="BodyText"/>
        <w:spacing w:before="6"/>
        <w:ind w:left="0"/>
        <w:jc w:val="left"/>
        <w:rPr>
          <w:sz w:val="22"/>
        </w:rPr>
      </w:pPr>
    </w:p>
    <w:p>
      <w:pPr>
        <w:pStyle w:val="ListParagraph"/>
        <w:numPr>
          <w:ilvl w:val="0"/>
          <w:numId w:val="8"/>
        </w:numPr>
        <w:tabs>
          <w:tab w:pos="1733" w:val="left" w:leader="none"/>
        </w:tabs>
        <w:spacing w:line="300" w:lineRule="auto" w:before="0" w:after="0"/>
        <w:ind w:left="1814" w:right="281" w:hanging="915"/>
        <w:jc w:val="left"/>
        <w:rPr>
          <w:sz w:val="32"/>
        </w:rPr>
      </w:pPr>
      <w:r>
        <w:rPr>
          <w:spacing w:val="8"/>
          <w:w w:val="95"/>
          <w:sz w:val="32"/>
        </w:rPr>
        <w:t>經財團法人醫院評鑑暨品質策進會健康品質認證之診 </w:t>
      </w:r>
      <w:r>
        <w:rPr>
          <w:spacing w:val="8"/>
          <w:sz w:val="32"/>
        </w:rPr>
        <w:t>所。</w:t>
      </w:r>
    </w:p>
    <w:p>
      <w:pPr>
        <w:pStyle w:val="ListParagraph"/>
        <w:numPr>
          <w:ilvl w:val="0"/>
          <w:numId w:val="8"/>
        </w:numPr>
        <w:tabs>
          <w:tab w:pos="1733" w:val="left" w:leader="none"/>
        </w:tabs>
        <w:spacing w:line="302" w:lineRule="auto" w:before="199" w:after="0"/>
        <w:ind w:left="1814" w:right="276" w:hanging="915"/>
        <w:jc w:val="left"/>
        <w:rPr>
          <w:sz w:val="32"/>
        </w:rPr>
      </w:pPr>
      <w:r>
        <w:rPr>
          <w:spacing w:val="8"/>
          <w:w w:val="95"/>
          <w:sz w:val="32"/>
        </w:rPr>
        <w:t>經勞動部認可辦理勞工一般體格與健康檢查之醫療機 </w:t>
      </w:r>
      <w:r>
        <w:rPr>
          <w:spacing w:val="8"/>
          <w:sz w:val="32"/>
        </w:rPr>
        <w:t>構。</w:t>
      </w:r>
    </w:p>
    <w:p>
      <w:pPr>
        <w:pStyle w:val="BodyText"/>
        <w:spacing w:before="193"/>
        <w:ind w:left="1058"/>
        <w:jc w:val="left"/>
      </w:pPr>
      <w:r>
        <w:rPr/>
        <w:t>上 開 醫 療 醫 構 之 名 單 ， 可 至 本 會 網 站</w:t>
      </w:r>
    </w:p>
    <w:p>
      <w:pPr>
        <w:pStyle w:val="BodyText"/>
        <w:spacing w:line="300" w:lineRule="auto" w:before="111"/>
        <w:ind w:left="1106" w:right="274"/>
      </w:pPr>
      <w:r>
        <w:rPr>
          <w:w w:val="95"/>
        </w:rPr>
        <w:t>（</w:t>
      </w:r>
      <w:hyperlink r:id="rId6">
        <w:r>
          <w:rPr>
            <w:rFonts w:ascii="細明體_HKSCS" w:eastAsia="細明體_HKSCS" w:hint="eastAsia"/>
            <w:w w:val="95"/>
          </w:rPr>
          <w:t>http://www.csptc.gov.tw/</w:t>
        </w:r>
        <w:r>
          <w:rPr>
            <w:spacing w:val="5"/>
            <w:w w:val="95"/>
          </w:rPr>
          <w:t>保障業務</w:t>
        </w:r>
        <w:r>
          <w:rPr>
            <w:rFonts w:ascii="細明體_HKSCS" w:eastAsia="細明體_HKSCS" w:hint="eastAsia"/>
            <w:spacing w:val="3"/>
            <w:w w:val="95"/>
          </w:rPr>
          <w:t>/</w:t>
        </w:r>
        <w:r>
          <w:rPr>
            <w:spacing w:val="3"/>
            <w:w w:val="95"/>
          </w:rPr>
          <w:t>辦理公務人員一般 </w:t>
        </w:r>
      </w:hyperlink>
      <w:r>
        <w:rPr>
          <w:spacing w:val="3"/>
        </w:rPr>
        <w:t>健康檢查醫療機構</w:t>
      </w:r>
      <w:r>
        <w:rPr>
          <w:spacing w:val="-46"/>
        </w:rPr>
        <w:t>）</w:t>
      </w:r>
      <w:r>
        <w:rPr>
          <w:spacing w:val="-8"/>
        </w:rPr>
        <w:t>查詢，並請務必確認各該醫療機構是否</w:t>
      </w:r>
      <w:r>
        <w:rPr/>
        <w:t>尚在評鑑（認證）合格或認可之有效期限內。</w:t>
      </w:r>
    </w:p>
    <w:p>
      <w:pPr>
        <w:pStyle w:val="BodyText"/>
        <w:spacing w:before="202"/>
        <w:ind w:left="258"/>
        <w:jc w:val="left"/>
      </w:pPr>
      <w:r>
        <w:rPr/>
        <w:t>（二）本會</w:t>
      </w:r>
      <w:r>
        <w:rPr>
          <w:rFonts w:ascii="細明體_HKSCS" w:eastAsia="細明體_HKSCS" w:hint="eastAsia"/>
        </w:rPr>
        <w:t>104</w:t>
      </w:r>
      <w:r>
        <w:rPr/>
        <w:t>年</w:t>
      </w:r>
      <w:r>
        <w:rPr>
          <w:rFonts w:ascii="細明體_HKSCS" w:eastAsia="細明體_HKSCS" w:hint="eastAsia"/>
        </w:rPr>
        <w:t>3</w:t>
      </w:r>
      <w:r>
        <w:rPr/>
        <w:t>月</w:t>
      </w:r>
      <w:r>
        <w:rPr>
          <w:rFonts w:ascii="細明體_HKSCS" w:eastAsia="細明體_HKSCS" w:hint="eastAsia"/>
        </w:rPr>
        <w:t>4</w:t>
      </w:r>
      <w:r>
        <w:rPr/>
        <w:t>日公保字第</w:t>
      </w:r>
      <w:r>
        <w:rPr>
          <w:rFonts w:ascii="細明體_HKSCS" w:eastAsia="細明體_HKSCS" w:hint="eastAsia"/>
        </w:rPr>
        <w:t>1040001795</w:t>
      </w:r>
      <w:r>
        <w:rPr/>
        <w:t>號函釋</w:t>
      </w:r>
    </w:p>
    <w:p>
      <w:pPr>
        <w:pStyle w:val="Heading1"/>
        <w:spacing w:line="228" w:lineRule="auto" w:before="227"/>
        <w:ind w:left="1250" w:right="154" w:hanging="142"/>
        <w:rPr>
          <w:rFonts w:ascii="標楷體" w:eastAsia="標楷體" w:hint="eastAsia"/>
          <w:b w:val="0"/>
        </w:rPr>
      </w:pPr>
      <w:r>
        <w:rPr>
          <w:rFonts w:ascii="標楷體" w:eastAsia="標楷體" w:hint="eastAsia"/>
          <w:b w:val="0"/>
        </w:rPr>
        <w:t>【</w:t>
      </w:r>
      <w:r>
        <w:rPr/>
        <w:t>關於鄉（鎮、市）首長一般健檢之實施次數及補助金額， 得否比照縣（市）政府一級機關首長辦理</w:t>
      </w:r>
      <w:r>
        <w:rPr>
          <w:rFonts w:ascii="標楷體" w:eastAsia="標楷體" w:hint="eastAsia"/>
          <w:b w:val="0"/>
        </w:rPr>
        <w:t>】</w:t>
      </w:r>
    </w:p>
    <w:p>
      <w:pPr>
        <w:pStyle w:val="ListParagraph"/>
        <w:numPr>
          <w:ilvl w:val="0"/>
          <w:numId w:val="9"/>
        </w:numPr>
        <w:tabs>
          <w:tab w:pos="1221" w:val="left" w:leader="none"/>
        </w:tabs>
        <w:spacing w:line="240" w:lineRule="auto" w:before="286" w:after="0"/>
        <w:ind w:left="1221" w:right="0" w:hanging="322"/>
        <w:jc w:val="left"/>
        <w:rPr>
          <w:sz w:val="32"/>
        </w:rPr>
      </w:pPr>
      <w:r>
        <w:rPr>
          <w:sz w:val="32"/>
        </w:rPr>
        <w:t>實施次數</w:t>
      </w:r>
    </w:p>
    <w:p>
      <w:pPr>
        <w:pStyle w:val="BodyText"/>
        <w:spacing w:before="3"/>
        <w:ind w:left="0"/>
        <w:jc w:val="left"/>
        <w:rPr>
          <w:sz w:val="22"/>
        </w:rPr>
      </w:pPr>
    </w:p>
    <w:p>
      <w:pPr>
        <w:pStyle w:val="BodyText"/>
        <w:spacing w:line="300" w:lineRule="auto" w:before="0"/>
        <w:ind w:left="1250" w:right="269" w:hanging="32"/>
      </w:pPr>
      <w:r>
        <w:rPr>
          <w:spacing w:val="7"/>
          <w:w w:val="95"/>
        </w:rPr>
        <w:t>鄉</w:t>
      </w:r>
      <w:r>
        <w:rPr>
          <w:spacing w:val="4"/>
          <w:w w:val="95"/>
        </w:rPr>
        <w:t>（</w:t>
      </w:r>
      <w:r>
        <w:rPr>
          <w:spacing w:val="5"/>
          <w:w w:val="95"/>
        </w:rPr>
        <w:t>鎮、市</w:t>
      </w:r>
      <w:r>
        <w:rPr>
          <w:spacing w:val="4"/>
          <w:w w:val="95"/>
        </w:rPr>
        <w:t>）首長係屬公務人員安全及衛生防護辦法第</w:t>
      </w:r>
      <w:r>
        <w:rPr>
          <w:rFonts w:ascii="細明體_HKSCS" w:eastAsia="細明體_HKSCS" w:hint="eastAsia"/>
          <w:w w:val="95"/>
        </w:rPr>
        <w:t>32 </w:t>
      </w:r>
      <w:r>
        <w:rPr/>
        <w:t>條第</w:t>
      </w:r>
      <w:r>
        <w:rPr>
          <w:rFonts w:ascii="細明體_HKSCS" w:eastAsia="細明體_HKSCS" w:hint="eastAsia"/>
        </w:rPr>
        <w:t>1</w:t>
      </w:r>
      <w:r>
        <w:rPr/>
        <w:t>項第</w:t>
      </w:r>
      <w:r>
        <w:rPr>
          <w:rFonts w:ascii="細明體_HKSCS" w:eastAsia="細明體_HKSCS" w:hint="eastAsia"/>
        </w:rPr>
        <w:t>2</w:t>
      </w:r>
      <w:r>
        <w:rPr>
          <w:spacing w:val="-17"/>
        </w:rPr>
        <w:t>款所稱「民選公職人員」，得比照健檢要點規定</w:t>
      </w:r>
      <w:r>
        <w:rPr/>
        <w:t>辦理一般健檢，其實施次數，宜參照直轄市、縣</w:t>
      </w:r>
      <w:r>
        <w:rPr>
          <w:spacing w:val="4"/>
        </w:rPr>
        <w:t>（市</w:t>
      </w:r>
      <w:r>
        <w:rPr/>
        <w:t>）各區區長辦理；惟各機關現行規定如優於健檢要點之規定， 仍得依現行規定辦理。</w:t>
      </w:r>
    </w:p>
    <w:p>
      <w:pPr>
        <w:pStyle w:val="ListParagraph"/>
        <w:numPr>
          <w:ilvl w:val="0"/>
          <w:numId w:val="9"/>
        </w:numPr>
        <w:tabs>
          <w:tab w:pos="1221" w:val="left" w:leader="none"/>
        </w:tabs>
        <w:spacing w:line="240" w:lineRule="auto" w:before="204" w:after="0"/>
        <w:ind w:left="1221" w:right="0" w:hanging="322"/>
        <w:jc w:val="left"/>
        <w:rPr>
          <w:sz w:val="32"/>
        </w:rPr>
      </w:pPr>
      <w:r>
        <w:rPr>
          <w:sz w:val="32"/>
        </w:rPr>
        <w:t>補助金額</w:t>
      </w:r>
    </w:p>
    <w:p>
      <w:pPr>
        <w:spacing w:after="0" w:line="240" w:lineRule="auto"/>
        <w:jc w:val="left"/>
        <w:rPr>
          <w:sz w:val="32"/>
        </w:rPr>
        <w:sectPr>
          <w:pgSz w:w="11910" w:h="16840"/>
          <w:pgMar w:header="0" w:footer="1017" w:top="1220" w:bottom="1200" w:left="1160" w:right="1140"/>
        </w:sectPr>
      </w:pPr>
    </w:p>
    <w:p>
      <w:pPr>
        <w:pStyle w:val="BodyText"/>
        <w:spacing w:line="300" w:lineRule="auto" w:before="25"/>
        <w:ind w:left="1250" w:right="118" w:hanging="63"/>
        <w:jc w:val="left"/>
      </w:pPr>
      <w:r>
        <w:rPr>
          <w:spacing w:val="-3"/>
        </w:rPr>
        <w:t>健檢要點並未明文規範一般健檢之補助金額，鄉</w:t>
      </w:r>
      <w:r>
        <w:rPr/>
        <w:t>（</w:t>
      </w:r>
      <w:r>
        <w:rPr>
          <w:spacing w:val="-2"/>
        </w:rPr>
        <w:t>鎮、市</w:t>
      </w:r>
      <w:r>
        <w:rPr>
          <w:spacing w:val="-14"/>
        </w:rPr>
        <w:t>） </w:t>
      </w:r>
      <w:r>
        <w:rPr/>
        <w:t>首長得參照上級縣市政府單行規章或行政院人事行政總處</w:t>
      </w:r>
      <w:r>
        <w:rPr>
          <w:spacing w:val="4"/>
        </w:rPr>
        <w:t>於</w:t>
      </w:r>
      <w:r>
        <w:rPr>
          <w:rFonts w:ascii="細明體_HKSCS" w:eastAsia="細明體_HKSCS" w:hint="eastAsia"/>
        </w:rPr>
        <w:t>104</w:t>
      </w:r>
      <w:r>
        <w:rPr>
          <w:spacing w:val="4"/>
        </w:rPr>
        <w:t>年</w:t>
      </w:r>
      <w:r>
        <w:rPr>
          <w:rFonts w:ascii="細明體_HKSCS" w:eastAsia="細明體_HKSCS" w:hint="eastAsia"/>
        </w:rPr>
        <w:t>1</w:t>
      </w:r>
      <w:r>
        <w:rPr>
          <w:spacing w:val="5"/>
        </w:rPr>
        <w:t>月</w:t>
      </w:r>
      <w:r>
        <w:rPr>
          <w:rFonts w:ascii="細明體_HKSCS" w:eastAsia="細明體_HKSCS" w:hint="eastAsia"/>
        </w:rPr>
        <w:t>28</w:t>
      </w:r>
      <w:r>
        <w:rPr/>
        <w:t>日頒訂之「中央機關</w:t>
      </w:r>
      <w:r>
        <w:rPr>
          <w:rFonts w:ascii="細明體_HKSCS" w:eastAsia="細明體_HKSCS" w:hint="eastAsia"/>
          <w:spacing w:val="3"/>
        </w:rPr>
        <w:t>(</w:t>
      </w:r>
      <w:r>
        <w:rPr>
          <w:spacing w:val="4"/>
        </w:rPr>
        <w:t>構</w:t>
      </w:r>
      <w:r>
        <w:rPr>
          <w:rFonts w:ascii="細明體_HKSCS" w:eastAsia="細明體_HKSCS" w:hint="eastAsia"/>
          <w:spacing w:val="3"/>
        </w:rPr>
        <w:t>)</w:t>
      </w:r>
      <w:r>
        <w:rPr/>
        <w:t>員工一般健康檢查</w:t>
      </w:r>
      <w:r>
        <w:rPr>
          <w:spacing w:val="-31"/>
        </w:rPr>
        <w:t>補助基準表」</w:t>
      </w:r>
      <w:r>
        <w:rPr/>
        <w:t>（以下簡稱補助基準表</w:t>
      </w:r>
      <w:r>
        <w:rPr>
          <w:spacing w:val="-22"/>
        </w:rPr>
        <w:t>）</w:t>
      </w:r>
      <w:r>
        <w:rPr>
          <w:spacing w:val="-7"/>
        </w:rPr>
        <w:t>備註一、規定，自行規劃辦理。</w:t>
      </w:r>
    </w:p>
    <w:p>
      <w:pPr>
        <w:pStyle w:val="BodyText"/>
        <w:spacing w:before="201"/>
        <w:ind w:left="258"/>
        <w:jc w:val="left"/>
      </w:pPr>
      <w:r>
        <w:rPr/>
        <w:t>（三）本會</w:t>
      </w:r>
      <w:r>
        <w:rPr>
          <w:rFonts w:ascii="細明體_HKSCS" w:eastAsia="細明體_HKSCS" w:hint="eastAsia"/>
        </w:rPr>
        <w:t>104</w:t>
      </w:r>
      <w:r>
        <w:rPr/>
        <w:t>年</w:t>
      </w:r>
      <w:r>
        <w:rPr>
          <w:rFonts w:ascii="細明體_HKSCS" w:eastAsia="細明體_HKSCS" w:hint="eastAsia"/>
        </w:rPr>
        <w:t>12</w:t>
      </w:r>
      <w:r>
        <w:rPr/>
        <w:t>月</w:t>
      </w:r>
      <w:r>
        <w:rPr>
          <w:rFonts w:ascii="細明體_HKSCS" w:eastAsia="細明體_HKSCS" w:hint="eastAsia"/>
        </w:rPr>
        <w:t>16</w:t>
      </w:r>
      <w:r>
        <w:rPr/>
        <w:t>日公保字第</w:t>
      </w:r>
      <w:r>
        <w:rPr>
          <w:rFonts w:ascii="細明體_HKSCS" w:eastAsia="細明體_HKSCS" w:hint="eastAsia"/>
        </w:rPr>
        <w:t>1040016848</w:t>
      </w:r>
      <w:r>
        <w:rPr/>
        <w:t>號函釋</w:t>
      </w:r>
    </w:p>
    <w:p>
      <w:pPr>
        <w:pStyle w:val="Heading1"/>
        <w:spacing w:line="228" w:lineRule="auto" w:before="227"/>
        <w:ind w:left="1250" w:right="267"/>
        <w:jc w:val="both"/>
        <w:rPr>
          <w:rFonts w:ascii="標楷體" w:eastAsia="標楷體" w:hint="eastAsia"/>
          <w:b w:val="0"/>
        </w:rPr>
      </w:pPr>
      <w:r>
        <w:rPr>
          <w:rFonts w:ascii="標楷體" w:eastAsia="標楷體" w:hint="eastAsia"/>
          <w:b w:val="0"/>
        </w:rPr>
        <w:t>【</w:t>
      </w:r>
      <w:r>
        <w:rPr/>
        <w:t>關於中央二級機關司長於年度內調任非主管人員，並代理主任秘書職務，得否因公務繁忙，於同年度內保留司長之一般健檢受檢資格，並補助司長等級之健康檢查費用</w:t>
      </w:r>
      <w:r>
        <w:rPr>
          <w:rFonts w:ascii="標楷體" w:eastAsia="標楷體" w:hint="eastAsia"/>
          <w:b w:val="0"/>
        </w:rPr>
        <w:t>】</w:t>
      </w:r>
    </w:p>
    <w:p>
      <w:pPr>
        <w:pStyle w:val="BodyText"/>
        <w:spacing w:line="300" w:lineRule="auto" w:before="287"/>
        <w:ind w:left="1250" w:right="270" w:hanging="32"/>
      </w:pPr>
      <w:r>
        <w:rPr>
          <w:spacing w:val="3"/>
          <w:w w:val="95"/>
        </w:rPr>
        <w:t>中央二級機關以上簡任第十二職等以上非主管人員，依法 </w:t>
      </w:r>
      <w:r>
        <w:rPr/>
        <w:t>令兼任簡任第十二職等主管人員，始屬健檢要點第</w:t>
      </w:r>
      <w:r>
        <w:rPr>
          <w:rFonts w:ascii="細明體_HKSCS" w:eastAsia="細明體_HKSCS" w:hint="eastAsia"/>
          <w:spacing w:val="3"/>
        </w:rPr>
        <w:t>3</w:t>
      </w:r>
      <w:r>
        <w:rPr>
          <w:spacing w:val="2"/>
        </w:rPr>
        <w:t>點第</w:t>
      </w:r>
      <w:r>
        <w:rPr>
          <w:rFonts w:ascii="細明體_HKSCS" w:eastAsia="細明體_HKSCS" w:hint="eastAsia"/>
        </w:rPr>
        <w:t>1 </w:t>
      </w:r>
      <w:r>
        <w:rPr>
          <w:spacing w:val="4"/>
        </w:rPr>
        <w:t>項第</w:t>
      </w:r>
      <w:r>
        <w:rPr>
          <w:rFonts w:ascii="細明體_HKSCS" w:eastAsia="細明體_HKSCS" w:hint="eastAsia"/>
          <w:spacing w:val="3"/>
        </w:rPr>
        <w:t>1</w:t>
      </w:r>
      <w:r>
        <w:rPr/>
        <w:t>款所定主管人員，得適用該要點第</w:t>
      </w:r>
      <w:r>
        <w:rPr>
          <w:rFonts w:ascii="細明體_HKSCS" w:eastAsia="細明體_HKSCS" w:hint="eastAsia"/>
        </w:rPr>
        <w:t>4</w:t>
      </w:r>
      <w:r>
        <w:rPr>
          <w:spacing w:val="4"/>
        </w:rPr>
        <w:t>點第</w:t>
      </w:r>
      <w:r>
        <w:rPr>
          <w:rFonts w:ascii="細明體_HKSCS" w:eastAsia="細明體_HKSCS" w:hint="eastAsia"/>
        </w:rPr>
        <w:t>2</w:t>
      </w:r>
      <w:r>
        <w:rPr>
          <w:spacing w:val="2"/>
        </w:rPr>
        <w:t>項第</w:t>
      </w:r>
      <w:r>
        <w:rPr>
          <w:rFonts w:ascii="細明體_HKSCS" w:eastAsia="細明體_HKSCS" w:hint="eastAsia"/>
          <w:spacing w:val="3"/>
        </w:rPr>
        <w:t>1</w:t>
      </w:r>
      <w:r>
        <w:rPr/>
        <w:t>款， 及補助基準表所定第一類人員補助對象三、之規定。代理簡任第十二職等主管人員職務之情形，即無從適用上開規定，亦不生得於同年度內保留主管人員受檢資格及補助該等級之健康檢查費用問題。</w:t>
      </w:r>
    </w:p>
    <w:p>
      <w:pPr>
        <w:pStyle w:val="Heading1"/>
        <w:spacing w:before="100"/>
      </w:pPr>
      <w:r>
        <w:rPr/>
        <w:t>伍、其他建請配合辦理事項</w:t>
      </w:r>
    </w:p>
    <w:p>
      <w:pPr>
        <w:pStyle w:val="BodyText"/>
        <w:spacing w:line="300" w:lineRule="auto" w:before="276"/>
        <w:ind w:left="961" w:right="275" w:hanging="704"/>
      </w:pPr>
      <w:r>
        <w:rPr>
          <w:w w:val="95"/>
        </w:rPr>
        <w:t>一、本會就人事法規或保障法規之適用疑義，每年均辦理保障業 </w:t>
      </w:r>
      <w:r>
        <w:rPr/>
        <w:t>務宣導與輔導活動，以協助各人事機關（構）正確辦理保障業務。建請各機關（構）秉持服務精神，積極協助所屬同仁充分瞭解公務人員保障制度，以維護其自身權益，並請確實依法行政，俾減少訟源。</w:t>
      </w:r>
    </w:p>
    <w:p>
      <w:pPr>
        <w:pStyle w:val="BodyText"/>
        <w:spacing w:before="201"/>
        <w:ind w:left="258"/>
        <w:jc w:val="left"/>
      </w:pPr>
      <w:r>
        <w:rPr/>
        <w:t>二、本會</w:t>
      </w:r>
      <w:r>
        <w:rPr>
          <w:rFonts w:ascii="Times New Roman" w:eastAsia="Times New Roman"/>
        </w:rPr>
        <w:t>104</w:t>
      </w:r>
      <w:r>
        <w:rPr/>
        <w:t>年</w:t>
      </w:r>
      <w:r>
        <w:rPr>
          <w:rFonts w:ascii="Times New Roman" w:eastAsia="Times New Roman"/>
        </w:rPr>
        <w:t>11</w:t>
      </w:r>
      <w:r>
        <w:rPr/>
        <w:t>月</w:t>
      </w:r>
      <w:r>
        <w:rPr>
          <w:rFonts w:ascii="Times New Roman" w:eastAsia="Times New Roman"/>
        </w:rPr>
        <w:t>11</w:t>
      </w:r>
      <w:r>
        <w:rPr/>
        <w:t>日公保字第</w:t>
      </w:r>
      <w:r>
        <w:rPr>
          <w:rFonts w:ascii="Times New Roman" w:eastAsia="Times New Roman"/>
        </w:rPr>
        <w:t>10400088701</w:t>
      </w:r>
      <w:r>
        <w:rPr/>
        <w:t>號函，建請銓敘部</w:t>
      </w:r>
    </w:p>
    <w:p>
      <w:pPr>
        <w:spacing w:after="0"/>
        <w:jc w:val="left"/>
        <w:sectPr>
          <w:pgSz w:w="11910" w:h="16840"/>
          <w:pgMar w:header="0" w:footer="1017" w:top="1220" w:bottom="1200" w:left="1160" w:right="1140"/>
        </w:sectPr>
      </w:pPr>
    </w:p>
    <w:p>
      <w:pPr>
        <w:pStyle w:val="BodyText"/>
        <w:spacing w:line="300" w:lineRule="auto"/>
        <w:ind w:left="961" w:right="276"/>
      </w:pPr>
      <w:r>
        <w:rPr/>
        <w:t>轉知各主管機關人事人員，對於法規變更部分，本於人事專業及服務精神，宜提供公務人員（含退休人員）攸關其權益</w:t>
      </w:r>
      <w:r>
        <w:rPr>
          <w:spacing w:val="32"/>
        </w:rPr>
        <w:t>之重要資訊。 該部業以 </w:t>
      </w:r>
      <w:r>
        <w:rPr>
          <w:rFonts w:ascii="Times New Roman" w:eastAsia="Times New Roman"/>
        </w:rPr>
        <w:t>104 </w:t>
      </w:r>
      <w:r>
        <w:rPr>
          <w:spacing w:val="-43"/>
        </w:rPr>
        <w:t>年 </w:t>
      </w:r>
      <w:r>
        <w:rPr>
          <w:rFonts w:ascii="Times New Roman" w:eastAsia="Times New Roman"/>
        </w:rPr>
        <w:t>12 </w:t>
      </w:r>
      <w:r>
        <w:rPr>
          <w:spacing w:val="-43"/>
        </w:rPr>
        <w:t>月 </w:t>
      </w:r>
      <w:r>
        <w:rPr>
          <w:rFonts w:ascii="Times New Roman" w:eastAsia="Times New Roman"/>
        </w:rPr>
        <w:t>23 </w:t>
      </w:r>
      <w:r>
        <w:rPr>
          <w:spacing w:val="61"/>
        </w:rPr>
        <w:t>日部退四字第</w:t>
      </w:r>
    </w:p>
    <w:p>
      <w:pPr>
        <w:pStyle w:val="BodyText"/>
        <w:spacing w:line="300" w:lineRule="auto" w:before="2"/>
        <w:ind w:left="961" w:right="279"/>
      </w:pPr>
      <w:r>
        <w:rPr>
          <w:rFonts w:ascii="Times New Roman" w:eastAsia="Times New Roman"/>
          <w:w w:val="95"/>
        </w:rPr>
        <w:t>10440389741</w:t>
      </w:r>
      <w:r>
        <w:rPr>
          <w:spacing w:val="-6"/>
          <w:w w:val="95"/>
        </w:rPr>
        <w:t>號書函知中央暨地方各主管機人事機構在案，請 </w:t>
      </w:r>
      <w:r>
        <w:rPr>
          <w:spacing w:val="-6"/>
        </w:rPr>
        <w:t>各機關配合辦理。</w:t>
      </w:r>
    </w:p>
    <w:p>
      <w:pPr>
        <w:pStyle w:val="BodyText"/>
        <w:spacing w:line="300" w:lineRule="auto" w:before="201"/>
        <w:ind w:left="961" w:right="124" w:hanging="704"/>
      </w:pPr>
      <w:r>
        <w:rPr/>
        <w:t>三、本會審理保障事件，就認定事實或適用法律有疑義時，均儘量給予公務人員及機關（構）陳述意見之機會，以擴大當事人程序參與。另為對當事人、有關人員、關係機關（構）提供高品質之服務，節省往返之時間及勞費，提升審議效率， 本會已開辦保障事件視訊陳述意見服務措施，並於本會全球</w:t>
      </w:r>
      <w:r>
        <w:rPr>
          <w:w w:val="95"/>
        </w:rPr>
        <w:t>資訊網建置「保障事件視訊陳述意見使用處所查詢系統」</w:t>
      </w:r>
    </w:p>
    <w:p>
      <w:pPr>
        <w:pStyle w:val="BodyText"/>
        <w:spacing w:line="300" w:lineRule="auto" w:before="5"/>
        <w:ind w:left="961" w:right="277"/>
      </w:pPr>
      <w:r>
        <w:rPr>
          <w:spacing w:val="2"/>
          <w:w w:val="99"/>
        </w:rPr>
        <w:t>（</w:t>
      </w:r>
      <w:hyperlink r:id="rId7">
        <w:r>
          <w:rPr>
            <w:rFonts w:ascii="Times New Roman" w:eastAsia="Times New Roman"/>
            <w:w w:val="99"/>
          </w:rPr>
          <w:t>http</w:t>
        </w:r>
        <w:r>
          <w:rPr>
            <w:rFonts w:ascii="Times New Roman" w:eastAsia="Times New Roman"/>
            <w:w w:val="99"/>
          </w:rPr>
          <w:t>://ww</w:t>
        </w:r>
        <w:r>
          <w:rPr>
            <w:rFonts w:ascii="Times New Roman" w:eastAsia="Times New Roman"/>
            <w:spacing w:val="-22"/>
            <w:w w:val="99"/>
          </w:rPr>
          <w:t>w</w:t>
        </w:r>
        <w:r>
          <w:rPr>
            <w:rFonts w:ascii="Times New Roman" w:eastAsia="Times New Roman"/>
            <w:w w:val="99"/>
          </w:rPr>
          <w:t>.csp</w:t>
        </w:r>
        <w:r>
          <w:rPr>
            <w:rFonts w:ascii="Times New Roman" w:eastAsia="Times New Roman"/>
            <w:w w:val="99"/>
          </w:rPr>
          <w:t>tc.g</w:t>
        </w:r>
        <w:r>
          <w:rPr>
            <w:rFonts w:ascii="Times New Roman" w:eastAsia="Times New Roman"/>
            <w:spacing w:val="1"/>
            <w:w w:val="99"/>
          </w:rPr>
          <w:t>o</w:t>
        </w:r>
        <w:r>
          <w:rPr>
            <w:rFonts w:ascii="Times New Roman" w:eastAsia="Times New Roman"/>
            <w:spacing w:val="-21"/>
            <w:w w:val="99"/>
          </w:rPr>
          <w:t>v</w:t>
        </w:r>
        <w:r>
          <w:rPr>
            <w:rFonts w:ascii="Times New Roman" w:eastAsia="Times New Roman"/>
            <w:w w:val="99"/>
          </w:rPr>
          <w:t>.tw/g</w:t>
        </w:r>
        <w:r>
          <w:rPr>
            <w:rFonts w:ascii="Times New Roman" w:eastAsia="Times New Roman"/>
            <w:spacing w:val="1"/>
            <w:w w:val="99"/>
          </w:rPr>
          <w:t>o</w:t>
        </w:r>
        <w:r>
          <w:rPr>
            <w:rFonts w:ascii="Times New Roman" w:eastAsia="Times New Roman"/>
            <w:w w:val="99"/>
          </w:rPr>
          <w:t>ogl</w:t>
        </w:r>
        <w:r>
          <w:rPr>
            <w:rFonts w:ascii="Times New Roman" w:eastAsia="Times New Roman"/>
            <w:spacing w:val="1"/>
            <w:w w:val="99"/>
          </w:rPr>
          <w:t>e</w:t>
        </w:r>
        <w:r>
          <w:rPr>
            <w:rFonts w:ascii="Times New Roman" w:eastAsia="Times New Roman"/>
            <w:spacing w:val="-7"/>
            <w:w w:val="99"/>
          </w:rPr>
          <w:t>m</w:t>
        </w:r>
        <w:r>
          <w:rPr>
            <w:rFonts w:ascii="Times New Roman" w:eastAsia="Times New Roman"/>
            <w:spacing w:val="1"/>
            <w:w w:val="99"/>
          </w:rPr>
          <w:t>a</w:t>
        </w:r>
        <w:r>
          <w:rPr>
            <w:rFonts w:ascii="Times New Roman" w:eastAsia="Times New Roman"/>
            <w:w w:val="99"/>
          </w:rPr>
          <w:t>p</w:t>
        </w:r>
        <w:r>
          <w:rPr>
            <w:rFonts w:ascii="Times New Roman" w:eastAsia="Times New Roman"/>
            <w:spacing w:val="4"/>
            <w:w w:val="99"/>
          </w:rPr>
          <w:t>/</w:t>
        </w:r>
      </w:hyperlink>
      <w:r>
        <w:rPr>
          <w:spacing w:val="-173"/>
          <w:w w:val="99"/>
        </w:rPr>
        <w:t>）</w:t>
      </w:r>
      <w:r>
        <w:rPr>
          <w:spacing w:val="-4"/>
          <w:w w:val="99"/>
        </w:rPr>
        <w:t>，請多加利用並廣為宣</w:t>
      </w:r>
      <w:r>
        <w:rPr>
          <w:spacing w:val="-4"/>
        </w:rPr>
        <w:t>導周知。</w:t>
      </w:r>
    </w:p>
    <w:sectPr>
      <w:pgSz w:w="11910" w:h="16840"/>
      <w:pgMar w:header="0" w:footer="1017" w:top="1220" w:bottom="120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標楷體">
    <w:altName w:val="標楷體"/>
    <w:charset w:val="88"/>
    <w:family w:val="script"/>
    <w:pitch w:val="fixed"/>
  </w:font>
  <w:font w:name="細明體_HKSCS">
    <w:altName w:val="細明體_HKSCS"/>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290.730011pt;margin-top:780.060486pt;width:14.1pt;height:13.05pt;mso-position-horizontal-relative:page;mso-position-vertical-relative:page;z-index:-664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221"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2058" w:hanging="322"/>
      </w:pPr>
      <w:rPr>
        <w:rFonts w:hint="default"/>
        <w:lang w:val="zh-tw" w:eastAsia="zh-tw" w:bidi="zh-tw"/>
      </w:rPr>
    </w:lvl>
    <w:lvl w:ilvl="2">
      <w:start w:val="0"/>
      <w:numFmt w:val="bullet"/>
      <w:lvlText w:val="•"/>
      <w:lvlJc w:val="left"/>
      <w:pPr>
        <w:ind w:left="2897" w:hanging="322"/>
      </w:pPr>
      <w:rPr>
        <w:rFonts w:hint="default"/>
        <w:lang w:val="zh-tw" w:eastAsia="zh-tw" w:bidi="zh-tw"/>
      </w:rPr>
    </w:lvl>
    <w:lvl w:ilvl="3">
      <w:start w:val="0"/>
      <w:numFmt w:val="bullet"/>
      <w:lvlText w:val="•"/>
      <w:lvlJc w:val="left"/>
      <w:pPr>
        <w:ind w:left="3735" w:hanging="322"/>
      </w:pPr>
      <w:rPr>
        <w:rFonts w:hint="default"/>
        <w:lang w:val="zh-tw" w:eastAsia="zh-tw" w:bidi="zh-tw"/>
      </w:rPr>
    </w:lvl>
    <w:lvl w:ilvl="4">
      <w:start w:val="0"/>
      <w:numFmt w:val="bullet"/>
      <w:lvlText w:val="•"/>
      <w:lvlJc w:val="left"/>
      <w:pPr>
        <w:ind w:left="4574" w:hanging="322"/>
      </w:pPr>
      <w:rPr>
        <w:rFonts w:hint="default"/>
        <w:lang w:val="zh-tw" w:eastAsia="zh-tw" w:bidi="zh-tw"/>
      </w:rPr>
    </w:lvl>
    <w:lvl w:ilvl="5">
      <w:start w:val="0"/>
      <w:numFmt w:val="bullet"/>
      <w:lvlText w:val="•"/>
      <w:lvlJc w:val="left"/>
      <w:pPr>
        <w:ind w:left="5413" w:hanging="322"/>
      </w:pPr>
      <w:rPr>
        <w:rFonts w:hint="default"/>
        <w:lang w:val="zh-tw" w:eastAsia="zh-tw" w:bidi="zh-tw"/>
      </w:rPr>
    </w:lvl>
    <w:lvl w:ilvl="6">
      <w:start w:val="0"/>
      <w:numFmt w:val="bullet"/>
      <w:lvlText w:val="•"/>
      <w:lvlJc w:val="left"/>
      <w:pPr>
        <w:ind w:left="6251" w:hanging="322"/>
      </w:pPr>
      <w:rPr>
        <w:rFonts w:hint="default"/>
        <w:lang w:val="zh-tw" w:eastAsia="zh-tw" w:bidi="zh-tw"/>
      </w:rPr>
    </w:lvl>
    <w:lvl w:ilvl="7">
      <w:start w:val="0"/>
      <w:numFmt w:val="bullet"/>
      <w:lvlText w:val="•"/>
      <w:lvlJc w:val="left"/>
      <w:pPr>
        <w:ind w:left="7090" w:hanging="322"/>
      </w:pPr>
      <w:rPr>
        <w:rFonts w:hint="default"/>
        <w:lang w:val="zh-tw" w:eastAsia="zh-tw" w:bidi="zh-tw"/>
      </w:rPr>
    </w:lvl>
    <w:lvl w:ilvl="8">
      <w:start w:val="0"/>
      <w:numFmt w:val="bullet"/>
      <w:lvlText w:val="•"/>
      <w:lvlJc w:val="left"/>
      <w:pPr>
        <w:ind w:left="7929" w:hanging="322"/>
      </w:pPr>
      <w:rPr>
        <w:rFonts w:hint="default"/>
        <w:lang w:val="zh-tw" w:eastAsia="zh-tw" w:bidi="zh-tw"/>
      </w:rPr>
    </w:lvl>
  </w:abstractNum>
  <w:abstractNum w:abstractNumId="7">
    <w:multiLevelType w:val="hybridMultilevel"/>
    <w:lvl w:ilvl="0">
      <w:start w:val="1"/>
      <w:numFmt w:val="decimal"/>
      <w:lvlText w:val="（%1）"/>
      <w:lvlJc w:val="left"/>
      <w:pPr>
        <w:ind w:left="1699" w:hanging="801"/>
        <w:jc w:val="left"/>
      </w:pPr>
      <w:rPr>
        <w:rFonts w:hint="default" w:ascii="標楷體" w:hAnsi="標楷體" w:eastAsia="標楷體" w:cs="標楷體"/>
        <w:spacing w:val="-2"/>
        <w:w w:val="99"/>
        <w:sz w:val="30"/>
        <w:szCs w:val="30"/>
        <w:lang w:val="zh-tw" w:eastAsia="zh-tw" w:bidi="zh-tw"/>
      </w:rPr>
    </w:lvl>
    <w:lvl w:ilvl="1">
      <w:start w:val="0"/>
      <w:numFmt w:val="bullet"/>
      <w:lvlText w:val="•"/>
      <w:lvlJc w:val="left"/>
      <w:pPr>
        <w:ind w:left="2490" w:hanging="801"/>
      </w:pPr>
      <w:rPr>
        <w:rFonts w:hint="default"/>
        <w:lang w:val="zh-tw" w:eastAsia="zh-tw" w:bidi="zh-tw"/>
      </w:rPr>
    </w:lvl>
    <w:lvl w:ilvl="2">
      <w:start w:val="0"/>
      <w:numFmt w:val="bullet"/>
      <w:lvlText w:val="•"/>
      <w:lvlJc w:val="left"/>
      <w:pPr>
        <w:ind w:left="3281" w:hanging="801"/>
      </w:pPr>
      <w:rPr>
        <w:rFonts w:hint="default"/>
        <w:lang w:val="zh-tw" w:eastAsia="zh-tw" w:bidi="zh-tw"/>
      </w:rPr>
    </w:lvl>
    <w:lvl w:ilvl="3">
      <w:start w:val="0"/>
      <w:numFmt w:val="bullet"/>
      <w:lvlText w:val="•"/>
      <w:lvlJc w:val="left"/>
      <w:pPr>
        <w:ind w:left="4071" w:hanging="801"/>
      </w:pPr>
      <w:rPr>
        <w:rFonts w:hint="default"/>
        <w:lang w:val="zh-tw" w:eastAsia="zh-tw" w:bidi="zh-tw"/>
      </w:rPr>
    </w:lvl>
    <w:lvl w:ilvl="4">
      <w:start w:val="0"/>
      <w:numFmt w:val="bullet"/>
      <w:lvlText w:val="•"/>
      <w:lvlJc w:val="left"/>
      <w:pPr>
        <w:ind w:left="4862" w:hanging="801"/>
      </w:pPr>
      <w:rPr>
        <w:rFonts w:hint="default"/>
        <w:lang w:val="zh-tw" w:eastAsia="zh-tw" w:bidi="zh-tw"/>
      </w:rPr>
    </w:lvl>
    <w:lvl w:ilvl="5">
      <w:start w:val="0"/>
      <w:numFmt w:val="bullet"/>
      <w:lvlText w:val="•"/>
      <w:lvlJc w:val="left"/>
      <w:pPr>
        <w:ind w:left="5653" w:hanging="801"/>
      </w:pPr>
      <w:rPr>
        <w:rFonts w:hint="default"/>
        <w:lang w:val="zh-tw" w:eastAsia="zh-tw" w:bidi="zh-tw"/>
      </w:rPr>
    </w:lvl>
    <w:lvl w:ilvl="6">
      <w:start w:val="0"/>
      <w:numFmt w:val="bullet"/>
      <w:lvlText w:val="•"/>
      <w:lvlJc w:val="left"/>
      <w:pPr>
        <w:ind w:left="6443" w:hanging="801"/>
      </w:pPr>
      <w:rPr>
        <w:rFonts w:hint="default"/>
        <w:lang w:val="zh-tw" w:eastAsia="zh-tw" w:bidi="zh-tw"/>
      </w:rPr>
    </w:lvl>
    <w:lvl w:ilvl="7">
      <w:start w:val="0"/>
      <w:numFmt w:val="bullet"/>
      <w:lvlText w:val="•"/>
      <w:lvlJc w:val="left"/>
      <w:pPr>
        <w:ind w:left="7234" w:hanging="801"/>
      </w:pPr>
      <w:rPr>
        <w:rFonts w:hint="default"/>
        <w:lang w:val="zh-tw" w:eastAsia="zh-tw" w:bidi="zh-tw"/>
      </w:rPr>
    </w:lvl>
    <w:lvl w:ilvl="8">
      <w:start w:val="0"/>
      <w:numFmt w:val="bullet"/>
      <w:lvlText w:val="•"/>
      <w:lvlJc w:val="left"/>
      <w:pPr>
        <w:ind w:left="8025" w:hanging="801"/>
      </w:pPr>
      <w:rPr>
        <w:rFonts w:hint="default"/>
        <w:lang w:val="zh-tw" w:eastAsia="zh-tw" w:bidi="zh-tw"/>
      </w:rPr>
    </w:lvl>
  </w:abstractNum>
  <w:abstractNum w:abstractNumId="6">
    <w:multiLevelType w:val="hybridMultilevel"/>
    <w:lvl w:ilvl="0">
      <w:start w:val="1"/>
      <w:numFmt w:val="decimal"/>
      <w:lvlText w:val="%1."/>
      <w:lvlJc w:val="left"/>
      <w:pPr>
        <w:ind w:left="1298" w:hanging="322"/>
        <w:jc w:val="left"/>
      </w:pPr>
      <w:rPr>
        <w:rFonts w:hint="default" w:ascii="細明體_HKSCS" w:hAnsi="細明體_HKSCS" w:eastAsia="細明體_HKSCS" w:cs="細明體_HKSCS"/>
        <w:spacing w:val="1"/>
        <w:w w:val="99"/>
        <w:sz w:val="30"/>
        <w:szCs w:val="30"/>
        <w:lang w:val="zh-tw" w:eastAsia="zh-tw" w:bidi="zh-tw"/>
      </w:rPr>
    </w:lvl>
    <w:lvl w:ilvl="1">
      <w:start w:val="0"/>
      <w:numFmt w:val="bullet"/>
      <w:lvlText w:val="•"/>
      <w:lvlJc w:val="left"/>
      <w:pPr>
        <w:ind w:left="2130" w:hanging="322"/>
      </w:pPr>
      <w:rPr>
        <w:rFonts w:hint="default"/>
        <w:lang w:val="zh-tw" w:eastAsia="zh-tw" w:bidi="zh-tw"/>
      </w:rPr>
    </w:lvl>
    <w:lvl w:ilvl="2">
      <w:start w:val="0"/>
      <w:numFmt w:val="bullet"/>
      <w:lvlText w:val="•"/>
      <w:lvlJc w:val="left"/>
      <w:pPr>
        <w:ind w:left="2961" w:hanging="322"/>
      </w:pPr>
      <w:rPr>
        <w:rFonts w:hint="default"/>
        <w:lang w:val="zh-tw" w:eastAsia="zh-tw" w:bidi="zh-tw"/>
      </w:rPr>
    </w:lvl>
    <w:lvl w:ilvl="3">
      <w:start w:val="0"/>
      <w:numFmt w:val="bullet"/>
      <w:lvlText w:val="•"/>
      <w:lvlJc w:val="left"/>
      <w:pPr>
        <w:ind w:left="3791" w:hanging="322"/>
      </w:pPr>
      <w:rPr>
        <w:rFonts w:hint="default"/>
        <w:lang w:val="zh-tw" w:eastAsia="zh-tw" w:bidi="zh-tw"/>
      </w:rPr>
    </w:lvl>
    <w:lvl w:ilvl="4">
      <w:start w:val="0"/>
      <w:numFmt w:val="bullet"/>
      <w:lvlText w:val="•"/>
      <w:lvlJc w:val="left"/>
      <w:pPr>
        <w:ind w:left="4622" w:hanging="322"/>
      </w:pPr>
      <w:rPr>
        <w:rFonts w:hint="default"/>
        <w:lang w:val="zh-tw" w:eastAsia="zh-tw" w:bidi="zh-tw"/>
      </w:rPr>
    </w:lvl>
    <w:lvl w:ilvl="5">
      <w:start w:val="0"/>
      <w:numFmt w:val="bullet"/>
      <w:lvlText w:val="•"/>
      <w:lvlJc w:val="left"/>
      <w:pPr>
        <w:ind w:left="5453" w:hanging="322"/>
      </w:pPr>
      <w:rPr>
        <w:rFonts w:hint="default"/>
        <w:lang w:val="zh-tw" w:eastAsia="zh-tw" w:bidi="zh-tw"/>
      </w:rPr>
    </w:lvl>
    <w:lvl w:ilvl="6">
      <w:start w:val="0"/>
      <w:numFmt w:val="bullet"/>
      <w:lvlText w:val="•"/>
      <w:lvlJc w:val="left"/>
      <w:pPr>
        <w:ind w:left="6283" w:hanging="322"/>
      </w:pPr>
      <w:rPr>
        <w:rFonts w:hint="default"/>
        <w:lang w:val="zh-tw" w:eastAsia="zh-tw" w:bidi="zh-tw"/>
      </w:rPr>
    </w:lvl>
    <w:lvl w:ilvl="7">
      <w:start w:val="0"/>
      <w:numFmt w:val="bullet"/>
      <w:lvlText w:val="•"/>
      <w:lvlJc w:val="left"/>
      <w:pPr>
        <w:ind w:left="7114" w:hanging="322"/>
      </w:pPr>
      <w:rPr>
        <w:rFonts w:hint="default"/>
        <w:lang w:val="zh-tw" w:eastAsia="zh-tw" w:bidi="zh-tw"/>
      </w:rPr>
    </w:lvl>
    <w:lvl w:ilvl="8">
      <w:start w:val="0"/>
      <w:numFmt w:val="bullet"/>
      <w:lvlText w:val="•"/>
      <w:lvlJc w:val="left"/>
      <w:pPr>
        <w:ind w:left="7945" w:hanging="322"/>
      </w:pPr>
      <w:rPr>
        <w:rFonts w:hint="default"/>
        <w:lang w:val="zh-tw" w:eastAsia="zh-tw" w:bidi="zh-tw"/>
      </w:rPr>
    </w:lvl>
  </w:abstractNum>
  <w:abstractNum w:abstractNumId="5">
    <w:multiLevelType w:val="hybridMultilevel"/>
    <w:lvl w:ilvl="0">
      <w:start w:val="1"/>
      <w:numFmt w:val="decimal"/>
      <w:lvlText w:val="%1."/>
      <w:lvlJc w:val="left"/>
      <w:pPr>
        <w:ind w:left="1298" w:hanging="344"/>
        <w:jc w:val="left"/>
      </w:pPr>
      <w:rPr>
        <w:rFonts w:hint="default" w:ascii="細明體_HKSCS" w:hAnsi="細明體_HKSCS" w:eastAsia="細明體_HKSCS" w:cs="細明體_HKSCS"/>
        <w:spacing w:val="1"/>
        <w:w w:val="99"/>
        <w:sz w:val="32"/>
        <w:szCs w:val="32"/>
        <w:lang w:val="zh-tw" w:eastAsia="zh-tw" w:bidi="zh-tw"/>
      </w:rPr>
    </w:lvl>
    <w:lvl w:ilvl="1">
      <w:start w:val="0"/>
      <w:numFmt w:val="bullet"/>
      <w:lvlText w:val="○"/>
      <w:lvlJc w:val="left"/>
      <w:pPr>
        <w:ind w:left="1298" w:hanging="322"/>
      </w:pPr>
      <w:rPr>
        <w:rFonts w:hint="default" w:ascii="標楷體" w:hAnsi="標楷體" w:eastAsia="標楷體" w:cs="標楷體"/>
        <w:spacing w:val="2"/>
        <w:w w:val="99"/>
        <w:sz w:val="30"/>
        <w:szCs w:val="30"/>
        <w:lang w:val="zh-tw" w:eastAsia="zh-tw" w:bidi="zh-tw"/>
      </w:rPr>
    </w:lvl>
    <w:lvl w:ilvl="2">
      <w:start w:val="0"/>
      <w:numFmt w:val="bullet"/>
      <w:lvlText w:val="•"/>
      <w:lvlJc w:val="left"/>
      <w:pPr>
        <w:ind w:left="2222" w:hanging="322"/>
      </w:pPr>
      <w:rPr>
        <w:rFonts w:hint="default"/>
        <w:lang w:val="zh-tw" w:eastAsia="zh-tw" w:bidi="zh-tw"/>
      </w:rPr>
    </w:lvl>
    <w:lvl w:ilvl="3">
      <w:start w:val="0"/>
      <w:numFmt w:val="bullet"/>
      <w:lvlText w:val="•"/>
      <w:lvlJc w:val="left"/>
      <w:pPr>
        <w:ind w:left="3145" w:hanging="322"/>
      </w:pPr>
      <w:rPr>
        <w:rFonts w:hint="default"/>
        <w:lang w:val="zh-tw" w:eastAsia="zh-tw" w:bidi="zh-tw"/>
      </w:rPr>
    </w:lvl>
    <w:lvl w:ilvl="4">
      <w:start w:val="0"/>
      <w:numFmt w:val="bullet"/>
      <w:lvlText w:val="•"/>
      <w:lvlJc w:val="left"/>
      <w:pPr>
        <w:ind w:left="4068" w:hanging="322"/>
      </w:pPr>
      <w:rPr>
        <w:rFonts w:hint="default"/>
        <w:lang w:val="zh-tw" w:eastAsia="zh-tw" w:bidi="zh-tw"/>
      </w:rPr>
    </w:lvl>
    <w:lvl w:ilvl="5">
      <w:start w:val="0"/>
      <w:numFmt w:val="bullet"/>
      <w:lvlText w:val="•"/>
      <w:lvlJc w:val="left"/>
      <w:pPr>
        <w:ind w:left="4991" w:hanging="322"/>
      </w:pPr>
      <w:rPr>
        <w:rFonts w:hint="default"/>
        <w:lang w:val="zh-tw" w:eastAsia="zh-tw" w:bidi="zh-tw"/>
      </w:rPr>
    </w:lvl>
    <w:lvl w:ilvl="6">
      <w:start w:val="0"/>
      <w:numFmt w:val="bullet"/>
      <w:lvlText w:val="•"/>
      <w:lvlJc w:val="left"/>
      <w:pPr>
        <w:ind w:left="5914" w:hanging="322"/>
      </w:pPr>
      <w:rPr>
        <w:rFonts w:hint="default"/>
        <w:lang w:val="zh-tw" w:eastAsia="zh-tw" w:bidi="zh-tw"/>
      </w:rPr>
    </w:lvl>
    <w:lvl w:ilvl="7">
      <w:start w:val="0"/>
      <w:numFmt w:val="bullet"/>
      <w:lvlText w:val="•"/>
      <w:lvlJc w:val="left"/>
      <w:pPr>
        <w:ind w:left="6837" w:hanging="322"/>
      </w:pPr>
      <w:rPr>
        <w:rFonts w:hint="default"/>
        <w:lang w:val="zh-tw" w:eastAsia="zh-tw" w:bidi="zh-tw"/>
      </w:rPr>
    </w:lvl>
    <w:lvl w:ilvl="8">
      <w:start w:val="0"/>
      <w:numFmt w:val="bullet"/>
      <w:lvlText w:val="•"/>
      <w:lvlJc w:val="left"/>
      <w:pPr>
        <w:ind w:left="7760" w:hanging="322"/>
      </w:pPr>
      <w:rPr>
        <w:rFonts w:hint="default"/>
        <w:lang w:val="zh-tw" w:eastAsia="zh-tw" w:bidi="zh-tw"/>
      </w:rPr>
    </w:lvl>
  </w:abstractNum>
  <w:abstractNum w:abstractNumId="4">
    <w:multiLevelType w:val="hybridMultilevel"/>
    <w:lvl w:ilvl="0">
      <w:start w:val="1"/>
      <w:numFmt w:val="decimal"/>
      <w:lvlText w:val="%1."/>
      <w:lvlJc w:val="left"/>
      <w:pPr>
        <w:ind w:left="1262"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1262" w:hanging="324"/>
      </w:pPr>
      <w:rPr>
        <w:rFonts w:hint="default" w:ascii="標楷體" w:hAnsi="標楷體" w:eastAsia="標楷體" w:cs="標楷體"/>
        <w:spacing w:val="4"/>
        <w:w w:val="99"/>
        <w:sz w:val="30"/>
        <w:szCs w:val="30"/>
        <w:lang w:val="zh-tw" w:eastAsia="zh-tw" w:bidi="zh-tw"/>
      </w:rPr>
    </w:lvl>
    <w:lvl w:ilvl="2">
      <w:start w:val="0"/>
      <w:numFmt w:val="bullet"/>
      <w:lvlText w:val="•"/>
      <w:lvlJc w:val="left"/>
      <w:pPr>
        <w:ind w:left="2454" w:hanging="324"/>
      </w:pPr>
      <w:rPr>
        <w:rFonts w:hint="default"/>
        <w:lang w:val="zh-tw" w:eastAsia="zh-tw" w:bidi="zh-tw"/>
      </w:rPr>
    </w:lvl>
    <w:lvl w:ilvl="3">
      <w:start w:val="0"/>
      <w:numFmt w:val="bullet"/>
      <w:lvlText w:val="•"/>
      <w:lvlJc w:val="left"/>
      <w:pPr>
        <w:ind w:left="3348" w:hanging="324"/>
      </w:pPr>
      <w:rPr>
        <w:rFonts w:hint="default"/>
        <w:lang w:val="zh-tw" w:eastAsia="zh-tw" w:bidi="zh-tw"/>
      </w:rPr>
    </w:lvl>
    <w:lvl w:ilvl="4">
      <w:start w:val="0"/>
      <w:numFmt w:val="bullet"/>
      <w:lvlText w:val="•"/>
      <w:lvlJc w:val="left"/>
      <w:pPr>
        <w:ind w:left="4242" w:hanging="324"/>
      </w:pPr>
      <w:rPr>
        <w:rFonts w:hint="default"/>
        <w:lang w:val="zh-tw" w:eastAsia="zh-tw" w:bidi="zh-tw"/>
      </w:rPr>
    </w:lvl>
    <w:lvl w:ilvl="5">
      <w:start w:val="0"/>
      <w:numFmt w:val="bullet"/>
      <w:lvlText w:val="•"/>
      <w:lvlJc w:val="left"/>
      <w:pPr>
        <w:ind w:left="5136" w:hanging="324"/>
      </w:pPr>
      <w:rPr>
        <w:rFonts w:hint="default"/>
        <w:lang w:val="zh-tw" w:eastAsia="zh-tw" w:bidi="zh-tw"/>
      </w:rPr>
    </w:lvl>
    <w:lvl w:ilvl="6">
      <w:start w:val="0"/>
      <w:numFmt w:val="bullet"/>
      <w:lvlText w:val="•"/>
      <w:lvlJc w:val="left"/>
      <w:pPr>
        <w:ind w:left="6030" w:hanging="324"/>
      </w:pPr>
      <w:rPr>
        <w:rFonts w:hint="default"/>
        <w:lang w:val="zh-tw" w:eastAsia="zh-tw" w:bidi="zh-tw"/>
      </w:rPr>
    </w:lvl>
    <w:lvl w:ilvl="7">
      <w:start w:val="0"/>
      <w:numFmt w:val="bullet"/>
      <w:lvlText w:val="•"/>
      <w:lvlJc w:val="left"/>
      <w:pPr>
        <w:ind w:left="6924" w:hanging="324"/>
      </w:pPr>
      <w:rPr>
        <w:rFonts w:hint="default"/>
        <w:lang w:val="zh-tw" w:eastAsia="zh-tw" w:bidi="zh-tw"/>
      </w:rPr>
    </w:lvl>
    <w:lvl w:ilvl="8">
      <w:start w:val="0"/>
      <w:numFmt w:val="bullet"/>
      <w:lvlText w:val="•"/>
      <w:lvlJc w:val="left"/>
      <w:pPr>
        <w:ind w:left="7818" w:hanging="324"/>
      </w:pPr>
      <w:rPr>
        <w:rFonts w:hint="default"/>
        <w:lang w:val="zh-tw" w:eastAsia="zh-tw" w:bidi="zh-tw"/>
      </w:rPr>
    </w:lvl>
  </w:abstractNum>
  <w:abstractNum w:abstractNumId="3">
    <w:multiLevelType w:val="hybridMultilevel"/>
    <w:lvl w:ilvl="0">
      <w:start w:val="1"/>
      <w:numFmt w:val="decimal"/>
      <w:lvlText w:val="%1."/>
      <w:lvlJc w:val="left"/>
      <w:pPr>
        <w:ind w:left="1298" w:hanging="322"/>
        <w:jc w:val="left"/>
      </w:pPr>
      <w:rPr>
        <w:rFonts w:hint="default" w:ascii="細明體_HKSCS" w:hAnsi="細明體_HKSCS" w:eastAsia="細明體_HKSCS" w:cs="細明體_HKSCS"/>
        <w:spacing w:val="1"/>
        <w:w w:val="99"/>
        <w:sz w:val="30"/>
        <w:szCs w:val="30"/>
        <w:lang w:val="zh-tw" w:eastAsia="zh-tw" w:bidi="zh-tw"/>
      </w:rPr>
    </w:lvl>
    <w:lvl w:ilvl="1">
      <w:start w:val="0"/>
      <w:numFmt w:val="bullet"/>
      <w:lvlText w:val="•"/>
      <w:lvlJc w:val="left"/>
      <w:pPr>
        <w:ind w:left="2130" w:hanging="322"/>
      </w:pPr>
      <w:rPr>
        <w:rFonts w:hint="default"/>
        <w:lang w:val="zh-tw" w:eastAsia="zh-tw" w:bidi="zh-tw"/>
      </w:rPr>
    </w:lvl>
    <w:lvl w:ilvl="2">
      <w:start w:val="0"/>
      <w:numFmt w:val="bullet"/>
      <w:lvlText w:val="•"/>
      <w:lvlJc w:val="left"/>
      <w:pPr>
        <w:ind w:left="2961" w:hanging="322"/>
      </w:pPr>
      <w:rPr>
        <w:rFonts w:hint="default"/>
        <w:lang w:val="zh-tw" w:eastAsia="zh-tw" w:bidi="zh-tw"/>
      </w:rPr>
    </w:lvl>
    <w:lvl w:ilvl="3">
      <w:start w:val="0"/>
      <w:numFmt w:val="bullet"/>
      <w:lvlText w:val="•"/>
      <w:lvlJc w:val="left"/>
      <w:pPr>
        <w:ind w:left="3791" w:hanging="322"/>
      </w:pPr>
      <w:rPr>
        <w:rFonts w:hint="default"/>
        <w:lang w:val="zh-tw" w:eastAsia="zh-tw" w:bidi="zh-tw"/>
      </w:rPr>
    </w:lvl>
    <w:lvl w:ilvl="4">
      <w:start w:val="0"/>
      <w:numFmt w:val="bullet"/>
      <w:lvlText w:val="•"/>
      <w:lvlJc w:val="left"/>
      <w:pPr>
        <w:ind w:left="4622" w:hanging="322"/>
      </w:pPr>
      <w:rPr>
        <w:rFonts w:hint="default"/>
        <w:lang w:val="zh-tw" w:eastAsia="zh-tw" w:bidi="zh-tw"/>
      </w:rPr>
    </w:lvl>
    <w:lvl w:ilvl="5">
      <w:start w:val="0"/>
      <w:numFmt w:val="bullet"/>
      <w:lvlText w:val="•"/>
      <w:lvlJc w:val="left"/>
      <w:pPr>
        <w:ind w:left="5453" w:hanging="322"/>
      </w:pPr>
      <w:rPr>
        <w:rFonts w:hint="default"/>
        <w:lang w:val="zh-tw" w:eastAsia="zh-tw" w:bidi="zh-tw"/>
      </w:rPr>
    </w:lvl>
    <w:lvl w:ilvl="6">
      <w:start w:val="0"/>
      <w:numFmt w:val="bullet"/>
      <w:lvlText w:val="•"/>
      <w:lvlJc w:val="left"/>
      <w:pPr>
        <w:ind w:left="6283" w:hanging="322"/>
      </w:pPr>
      <w:rPr>
        <w:rFonts w:hint="default"/>
        <w:lang w:val="zh-tw" w:eastAsia="zh-tw" w:bidi="zh-tw"/>
      </w:rPr>
    </w:lvl>
    <w:lvl w:ilvl="7">
      <w:start w:val="0"/>
      <w:numFmt w:val="bullet"/>
      <w:lvlText w:val="•"/>
      <w:lvlJc w:val="left"/>
      <w:pPr>
        <w:ind w:left="7114" w:hanging="322"/>
      </w:pPr>
      <w:rPr>
        <w:rFonts w:hint="default"/>
        <w:lang w:val="zh-tw" w:eastAsia="zh-tw" w:bidi="zh-tw"/>
      </w:rPr>
    </w:lvl>
    <w:lvl w:ilvl="8">
      <w:start w:val="0"/>
      <w:numFmt w:val="bullet"/>
      <w:lvlText w:val="•"/>
      <w:lvlJc w:val="left"/>
      <w:pPr>
        <w:ind w:left="7945" w:hanging="322"/>
      </w:pPr>
      <w:rPr>
        <w:rFonts w:hint="default"/>
        <w:lang w:val="zh-tw" w:eastAsia="zh-tw" w:bidi="zh-tw"/>
      </w:rPr>
    </w:lvl>
  </w:abstractNum>
  <w:abstractNum w:abstractNumId="2">
    <w:multiLevelType w:val="hybridMultilevel"/>
    <w:lvl w:ilvl="0">
      <w:start w:val="1"/>
      <w:numFmt w:val="decimal"/>
      <w:lvlText w:val="%1."/>
      <w:lvlJc w:val="left"/>
      <w:pPr>
        <w:ind w:left="1259" w:hanging="360"/>
        <w:jc w:val="left"/>
      </w:pPr>
      <w:rPr>
        <w:rFonts w:hint="default" w:ascii="細明體_HKSCS" w:hAnsi="細明體_HKSCS" w:eastAsia="細明體_HKSCS" w:cs="細明體_HKSCS"/>
        <w:spacing w:val="0"/>
        <w:w w:val="99"/>
        <w:sz w:val="32"/>
        <w:szCs w:val="32"/>
        <w:lang w:val="zh-tw" w:eastAsia="zh-tw" w:bidi="zh-tw"/>
      </w:rPr>
    </w:lvl>
    <w:lvl w:ilvl="1">
      <w:start w:val="0"/>
      <w:numFmt w:val="bullet"/>
      <w:lvlText w:val="•"/>
      <w:lvlJc w:val="left"/>
      <w:pPr>
        <w:ind w:left="2094" w:hanging="360"/>
      </w:pPr>
      <w:rPr>
        <w:rFonts w:hint="default"/>
        <w:lang w:val="zh-tw" w:eastAsia="zh-tw" w:bidi="zh-tw"/>
      </w:rPr>
    </w:lvl>
    <w:lvl w:ilvl="2">
      <w:start w:val="0"/>
      <w:numFmt w:val="bullet"/>
      <w:lvlText w:val="•"/>
      <w:lvlJc w:val="left"/>
      <w:pPr>
        <w:ind w:left="2929" w:hanging="360"/>
      </w:pPr>
      <w:rPr>
        <w:rFonts w:hint="default"/>
        <w:lang w:val="zh-tw" w:eastAsia="zh-tw" w:bidi="zh-tw"/>
      </w:rPr>
    </w:lvl>
    <w:lvl w:ilvl="3">
      <w:start w:val="0"/>
      <w:numFmt w:val="bullet"/>
      <w:lvlText w:val="•"/>
      <w:lvlJc w:val="left"/>
      <w:pPr>
        <w:ind w:left="3763" w:hanging="360"/>
      </w:pPr>
      <w:rPr>
        <w:rFonts w:hint="default"/>
        <w:lang w:val="zh-tw" w:eastAsia="zh-tw" w:bidi="zh-tw"/>
      </w:rPr>
    </w:lvl>
    <w:lvl w:ilvl="4">
      <w:start w:val="0"/>
      <w:numFmt w:val="bullet"/>
      <w:lvlText w:val="•"/>
      <w:lvlJc w:val="left"/>
      <w:pPr>
        <w:ind w:left="4598" w:hanging="360"/>
      </w:pPr>
      <w:rPr>
        <w:rFonts w:hint="default"/>
        <w:lang w:val="zh-tw" w:eastAsia="zh-tw" w:bidi="zh-tw"/>
      </w:rPr>
    </w:lvl>
    <w:lvl w:ilvl="5">
      <w:start w:val="0"/>
      <w:numFmt w:val="bullet"/>
      <w:lvlText w:val="•"/>
      <w:lvlJc w:val="left"/>
      <w:pPr>
        <w:ind w:left="5433" w:hanging="360"/>
      </w:pPr>
      <w:rPr>
        <w:rFonts w:hint="default"/>
        <w:lang w:val="zh-tw" w:eastAsia="zh-tw" w:bidi="zh-tw"/>
      </w:rPr>
    </w:lvl>
    <w:lvl w:ilvl="6">
      <w:start w:val="0"/>
      <w:numFmt w:val="bullet"/>
      <w:lvlText w:val="•"/>
      <w:lvlJc w:val="left"/>
      <w:pPr>
        <w:ind w:left="6267" w:hanging="360"/>
      </w:pPr>
      <w:rPr>
        <w:rFonts w:hint="default"/>
        <w:lang w:val="zh-tw" w:eastAsia="zh-tw" w:bidi="zh-tw"/>
      </w:rPr>
    </w:lvl>
    <w:lvl w:ilvl="7">
      <w:start w:val="0"/>
      <w:numFmt w:val="bullet"/>
      <w:lvlText w:val="•"/>
      <w:lvlJc w:val="left"/>
      <w:pPr>
        <w:ind w:left="7102" w:hanging="360"/>
      </w:pPr>
      <w:rPr>
        <w:rFonts w:hint="default"/>
        <w:lang w:val="zh-tw" w:eastAsia="zh-tw" w:bidi="zh-tw"/>
      </w:rPr>
    </w:lvl>
    <w:lvl w:ilvl="8">
      <w:start w:val="0"/>
      <w:numFmt w:val="bullet"/>
      <w:lvlText w:val="•"/>
      <w:lvlJc w:val="left"/>
      <w:pPr>
        <w:ind w:left="7937" w:hanging="360"/>
      </w:pPr>
      <w:rPr>
        <w:rFonts w:hint="default"/>
        <w:lang w:val="zh-tw" w:eastAsia="zh-tw" w:bidi="zh-tw"/>
      </w:rPr>
    </w:lvl>
  </w:abstractNum>
  <w:abstractNum w:abstractNumId="1">
    <w:multiLevelType w:val="hybridMultilevel"/>
    <w:lvl w:ilvl="0">
      <w:start w:val="1"/>
      <w:numFmt w:val="decimal"/>
      <w:lvlText w:val="%1."/>
      <w:lvlJc w:val="left"/>
      <w:pPr>
        <w:ind w:left="1324" w:hanging="322"/>
        <w:jc w:val="left"/>
      </w:pPr>
      <w:rPr>
        <w:rFonts w:hint="default" w:ascii="細明體_HKSCS" w:hAnsi="細明體_HKSCS" w:eastAsia="細明體_HKSCS" w:cs="細明體_HKSCS"/>
        <w:spacing w:val="1"/>
        <w:w w:val="99"/>
        <w:sz w:val="30"/>
        <w:szCs w:val="30"/>
        <w:lang w:val="zh-tw" w:eastAsia="zh-tw" w:bidi="zh-tw"/>
      </w:rPr>
    </w:lvl>
    <w:lvl w:ilvl="1">
      <w:start w:val="0"/>
      <w:numFmt w:val="bullet"/>
      <w:lvlText w:val="•"/>
      <w:lvlJc w:val="left"/>
      <w:pPr>
        <w:ind w:left="2148" w:hanging="322"/>
      </w:pPr>
      <w:rPr>
        <w:rFonts w:hint="default"/>
        <w:lang w:val="zh-tw" w:eastAsia="zh-tw" w:bidi="zh-tw"/>
      </w:rPr>
    </w:lvl>
    <w:lvl w:ilvl="2">
      <w:start w:val="0"/>
      <w:numFmt w:val="bullet"/>
      <w:lvlText w:val="•"/>
      <w:lvlJc w:val="left"/>
      <w:pPr>
        <w:ind w:left="2977" w:hanging="322"/>
      </w:pPr>
      <w:rPr>
        <w:rFonts w:hint="default"/>
        <w:lang w:val="zh-tw" w:eastAsia="zh-tw" w:bidi="zh-tw"/>
      </w:rPr>
    </w:lvl>
    <w:lvl w:ilvl="3">
      <w:start w:val="0"/>
      <w:numFmt w:val="bullet"/>
      <w:lvlText w:val="•"/>
      <w:lvlJc w:val="left"/>
      <w:pPr>
        <w:ind w:left="3805" w:hanging="322"/>
      </w:pPr>
      <w:rPr>
        <w:rFonts w:hint="default"/>
        <w:lang w:val="zh-tw" w:eastAsia="zh-tw" w:bidi="zh-tw"/>
      </w:rPr>
    </w:lvl>
    <w:lvl w:ilvl="4">
      <w:start w:val="0"/>
      <w:numFmt w:val="bullet"/>
      <w:lvlText w:val="•"/>
      <w:lvlJc w:val="left"/>
      <w:pPr>
        <w:ind w:left="4634" w:hanging="322"/>
      </w:pPr>
      <w:rPr>
        <w:rFonts w:hint="default"/>
        <w:lang w:val="zh-tw" w:eastAsia="zh-tw" w:bidi="zh-tw"/>
      </w:rPr>
    </w:lvl>
    <w:lvl w:ilvl="5">
      <w:start w:val="0"/>
      <w:numFmt w:val="bullet"/>
      <w:lvlText w:val="•"/>
      <w:lvlJc w:val="left"/>
      <w:pPr>
        <w:ind w:left="5463" w:hanging="322"/>
      </w:pPr>
      <w:rPr>
        <w:rFonts w:hint="default"/>
        <w:lang w:val="zh-tw" w:eastAsia="zh-tw" w:bidi="zh-tw"/>
      </w:rPr>
    </w:lvl>
    <w:lvl w:ilvl="6">
      <w:start w:val="0"/>
      <w:numFmt w:val="bullet"/>
      <w:lvlText w:val="•"/>
      <w:lvlJc w:val="left"/>
      <w:pPr>
        <w:ind w:left="6291" w:hanging="322"/>
      </w:pPr>
      <w:rPr>
        <w:rFonts w:hint="default"/>
        <w:lang w:val="zh-tw" w:eastAsia="zh-tw" w:bidi="zh-tw"/>
      </w:rPr>
    </w:lvl>
    <w:lvl w:ilvl="7">
      <w:start w:val="0"/>
      <w:numFmt w:val="bullet"/>
      <w:lvlText w:val="•"/>
      <w:lvlJc w:val="left"/>
      <w:pPr>
        <w:ind w:left="7120" w:hanging="322"/>
      </w:pPr>
      <w:rPr>
        <w:rFonts w:hint="default"/>
        <w:lang w:val="zh-tw" w:eastAsia="zh-tw" w:bidi="zh-tw"/>
      </w:rPr>
    </w:lvl>
    <w:lvl w:ilvl="8">
      <w:start w:val="0"/>
      <w:numFmt w:val="bullet"/>
      <w:lvlText w:val="•"/>
      <w:lvlJc w:val="left"/>
      <w:pPr>
        <w:ind w:left="7949" w:hanging="322"/>
      </w:pPr>
      <w:rPr>
        <w:rFonts w:hint="default"/>
        <w:lang w:val="zh-tw" w:eastAsia="zh-tw" w:bidi="zh-tw"/>
      </w:rPr>
    </w:lvl>
  </w:abstractNum>
  <w:abstractNum w:abstractNumId="0">
    <w:multiLevelType w:val="hybridMultilevel"/>
    <w:lvl w:ilvl="0">
      <w:start w:val="0"/>
      <w:numFmt w:val="bullet"/>
      <w:lvlText w:val="○"/>
      <w:lvlJc w:val="left"/>
      <w:pPr>
        <w:ind w:left="1300" w:hanging="322"/>
      </w:pPr>
      <w:rPr>
        <w:rFonts w:hint="default" w:ascii="標楷體" w:hAnsi="標楷體" w:eastAsia="標楷體" w:cs="標楷體"/>
        <w:spacing w:val="2"/>
        <w:w w:val="99"/>
        <w:sz w:val="30"/>
        <w:szCs w:val="30"/>
        <w:lang w:val="zh-tw" w:eastAsia="zh-tw" w:bidi="zh-tw"/>
      </w:rPr>
    </w:lvl>
    <w:lvl w:ilvl="1">
      <w:start w:val="0"/>
      <w:numFmt w:val="bullet"/>
      <w:lvlText w:val="•"/>
      <w:lvlJc w:val="left"/>
      <w:pPr>
        <w:ind w:left="2130" w:hanging="322"/>
      </w:pPr>
      <w:rPr>
        <w:rFonts w:hint="default"/>
        <w:lang w:val="zh-tw" w:eastAsia="zh-tw" w:bidi="zh-tw"/>
      </w:rPr>
    </w:lvl>
    <w:lvl w:ilvl="2">
      <w:start w:val="0"/>
      <w:numFmt w:val="bullet"/>
      <w:lvlText w:val="•"/>
      <w:lvlJc w:val="left"/>
      <w:pPr>
        <w:ind w:left="2961" w:hanging="322"/>
      </w:pPr>
      <w:rPr>
        <w:rFonts w:hint="default"/>
        <w:lang w:val="zh-tw" w:eastAsia="zh-tw" w:bidi="zh-tw"/>
      </w:rPr>
    </w:lvl>
    <w:lvl w:ilvl="3">
      <w:start w:val="0"/>
      <w:numFmt w:val="bullet"/>
      <w:lvlText w:val="•"/>
      <w:lvlJc w:val="left"/>
      <w:pPr>
        <w:ind w:left="3791" w:hanging="322"/>
      </w:pPr>
      <w:rPr>
        <w:rFonts w:hint="default"/>
        <w:lang w:val="zh-tw" w:eastAsia="zh-tw" w:bidi="zh-tw"/>
      </w:rPr>
    </w:lvl>
    <w:lvl w:ilvl="4">
      <w:start w:val="0"/>
      <w:numFmt w:val="bullet"/>
      <w:lvlText w:val="•"/>
      <w:lvlJc w:val="left"/>
      <w:pPr>
        <w:ind w:left="4622" w:hanging="322"/>
      </w:pPr>
      <w:rPr>
        <w:rFonts w:hint="default"/>
        <w:lang w:val="zh-tw" w:eastAsia="zh-tw" w:bidi="zh-tw"/>
      </w:rPr>
    </w:lvl>
    <w:lvl w:ilvl="5">
      <w:start w:val="0"/>
      <w:numFmt w:val="bullet"/>
      <w:lvlText w:val="•"/>
      <w:lvlJc w:val="left"/>
      <w:pPr>
        <w:ind w:left="5453" w:hanging="322"/>
      </w:pPr>
      <w:rPr>
        <w:rFonts w:hint="default"/>
        <w:lang w:val="zh-tw" w:eastAsia="zh-tw" w:bidi="zh-tw"/>
      </w:rPr>
    </w:lvl>
    <w:lvl w:ilvl="6">
      <w:start w:val="0"/>
      <w:numFmt w:val="bullet"/>
      <w:lvlText w:val="•"/>
      <w:lvlJc w:val="left"/>
      <w:pPr>
        <w:ind w:left="6283" w:hanging="322"/>
      </w:pPr>
      <w:rPr>
        <w:rFonts w:hint="default"/>
        <w:lang w:val="zh-tw" w:eastAsia="zh-tw" w:bidi="zh-tw"/>
      </w:rPr>
    </w:lvl>
    <w:lvl w:ilvl="7">
      <w:start w:val="0"/>
      <w:numFmt w:val="bullet"/>
      <w:lvlText w:val="•"/>
      <w:lvlJc w:val="left"/>
      <w:pPr>
        <w:ind w:left="7114" w:hanging="322"/>
      </w:pPr>
      <w:rPr>
        <w:rFonts w:hint="default"/>
        <w:lang w:val="zh-tw" w:eastAsia="zh-tw" w:bidi="zh-tw"/>
      </w:rPr>
    </w:lvl>
    <w:lvl w:ilvl="8">
      <w:start w:val="0"/>
      <w:numFmt w:val="bullet"/>
      <w:lvlText w:val="•"/>
      <w:lvlJc w:val="left"/>
      <w:pPr>
        <w:ind w:left="7945" w:hanging="322"/>
      </w:pPr>
      <w:rPr>
        <w:rFonts w:hint="default"/>
        <w:lang w:val="zh-tw" w:eastAsia="zh-tw" w:bidi="zh-tw"/>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spacing w:before="23"/>
      <w:ind w:left="966"/>
      <w:jc w:val="both"/>
    </w:pPr>
    <w:rPr>
      <w:rFonts w:ascii="標楷體" w:hAnsi="標楷體" w:eastAsia="標楷體" w:cs="標楷體"/>
      <w:sz w:val="32"/>
      <w:szCs w:val="32"/>
      <w:lang w:val="zh-tw" w:eastAsia="zh-tw" w:bidi="zh-tw"/>
    </w:rPr>
  </w:style>
  <w:style w:styleId="Heading1" w:type="paragraph">
    <w:name w:val="Heading 1"/>
    <w:basedOn w:val="Normal"/>
    <w:uiPriority w:val="1"/>
    <w:qFormat/>
    <w:pPr>
      <w:ind w:left="258"/>
      <w:outlineLvl w:val="1"/>
    </w:pPr>
    <w:rPr>
      <w:rFonts w:ascii="微軟正黑體" w:hAnsi="微軟正黑體" w:eastAsia="微軟正黑體" w:cs="微軟正黑體"/>
      <w:b/>
      <w:bCs/>
      <w:sz w:val="32"/>
      <w:szCs w:val="32"/>
      <w:lang w:val="zh-tw" w:eastAsia="zh-tw" w:bidi="zh-tw"/>
    </w:rPr>
  </w:style>
  <w:style w:styleId="ListParagraph" w:type="paragraph">
    <w:name w:val="List Paragraph"/>
    <w:basedOn w:val="Normal"/>
    <w:uiPriority w:val="1"/>
    <w:qFormat/>
    <w:pPr>
      <w:spacing w:before="2"/>
      <w:ind w:left="1298" w:right="272" w:hanging="322"/>
      <w:jc w:val="both"/>
    </w:pPr>
    <w:rPr>
      <w:rFonts w:ascii="標楷體" w:hAnsi="標楷體" w:eastAsia="標楷體" w:cs="標楷體"/>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E4%BF%9D%E9%9A%9C%E6%A5%AD%E5%8B%99/%E8%BE%A6%E7%90%86%E5%85%AC%E5%8B%99%E4%BA%BA%E5%93%A1%E4%B8%80%E8%88%AC" TargetMode="External"/><Relationship Id="rId7" Type="http://schemas.openxmlformats.org/officeDocument/2006/relationships/hyperlink" Target="http://www.csptc.gov.tw/googlema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dc:title>各機關辦理申訴、復審案件業務參考資料</dc:title>
  <dcterms:created xsi:type="dcterms:W3CDTF">2021-09-22T13:36:56Z</dcterms:created>
  <dcterms:modified xsi:type="dcterms:W3CDTF">2021-09-22T13:36:56Z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2021-09-22T00:00:00Z</vt:filetime>
  </property>
</Properties>
</file>