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78" w:lineRule="exact" w:before="0"/>
        <w:ind w:left="2490" w:right="0" w:firstLine="0"/>
        <w:jc w:val="left"/>
        <w:rPr>
          <w:rFonts w:ascii="微軟正黑體" w:eastAsia="微軟正黑體" w:hint="eastAsia"/>
          <w:b/>
          <w:sz w:val="36"/>
        </w:rPr>
      </w:pPr>
      <w:r>
        <w:rPr>
          <w:rFonts w:ascii="微軟正黑體" w:eastAsia="微軟正黑體" w:hint="eastAsia"/>
          <w:b/>
          <w:sz w:val="36"/>
        </w:rPr>
        <w:t>公務人員保障暨培訓委員會</w:t>
      </w:r>
    </w:p>
    <w:p>
      <w:pPr>
        <w:spacing w:line="501" w:lineRule="exact" w:before="0"/>
        <w:ind w:left="3274" w:right="3429" w:firstLine="0"/>
        <w:jc w:val="center"/>
        <w:rPr>
          <w:rFonts w:ascii="微軟正黑體" w:eastAsia="微軟正黑體" w:hint="eastAsia"/>
          <w:b/>
          <w:sz w:val="36"/>
        </w:rPr>
      </w:pPr>
      <w:r>
        <w:rPr>
          <w:rFonts w:ascii="微軟正黑體" w:eastAsia="微軟正黑體" w:hint="eastAsia"/>
          <w:b/>
          <w:sz w:val="36"/>
        </w:rPr>
        <w:t>105年7月至12月</w:t>
      </w:r>
    </w:p>
    <w:p>
      <w:pPr>
        <w:spacing w:line="581" w:lineRule="exact" w:before="0"/>
        <w:ind w:left="1410" w:right="0" w:firstLine="0"/>
        <w:jc w:val="left"/>
        <w:rPr>
          <w:rFonts w:ascii="微軟正黑體" w:eastAsia="微軟正黑體" w:hint="eastAsia"/>
          <w:b/>
          <w:sz w:val="36"/>
        </w:rPr>
      </w:pPr>
      <w:r>
        <w:rPr>
          <w:rFonts w:ascii="微軟正黑體" w:eastAsia="微軟正黑體" w:hint="eastAsia"/>
          <w:b/>
          <w:sz w:val="36"/>
        </w:rPr>
        <w:t>審理保障事件常見撤銷原因分析參考資料</w:t>
      </w:r>
    </w:p>
    <w:p>
      <w:pPr>
        <w:pStyle w:val="BodyText"/>
        <w:spacing w:line="268" w:lineRule="auto" w:before="195"/>
        <w:ind w:left="118" w:right="255" w:firstLine="640"/>
      </w:pPr>
      <w:r>
        <w:rPr>
          <w:spacing w:val="3"/>
        </w:rPr>
        <w:t>按公務人員對於服務機關或人事主管機關所為之行政處分， 認為違法或顯然不當，致損害其權利或利益者，得提起復審；至</w:t>
      </w:r>
      <w:r>
        <w:rPr>
          <w:spacing w:val="16"/>
          <w:w w:val="95"/>
        </w:rPr>
        <w:t>於公務人員對於服務機關所為之管理措施或有關工作條件之處 </w:t>
      </w:r>
      <w:r>
        <w:rPr>
          <w:spacing w:val="3"/>
        </w:rPr>
        <w:t>置，認為不當者，則得提起申訴、再申訴，分別為公務人員保障</w:t>
      </w:r>
      <w:r>
        <w:rPr>
          <w:spacing w:val="4"/>
          <w:w w:val="95"/>
        </w:rPr>
        <w:t>法（以下簡稱保障法）</w:t>
      </w:r>
      <w:r>
        <w:rPr>
          <w:spacing w:val="7"/>
          <w:w w:val="95"/>
        </w:rPr>
        <w:t>第</w:t>
      </w:r>
      <w:r>
        <w:rPr>
          <w:rFonts w:ascii="細明體_HKSCS" w:eastAsia="細明體_HKSCS" w:hint="eastAsia"/>
          <w:w w:val="95"/>
        </w:rPr>
        <w:t>25</w:t>
      </w:r>
      <w:r>
        <w:rPr>
          <w:spacing w:val="5"/>
          <w:w w:val="95"/>
        </w:rPr>
        <w:t>條、第</w:t>
      </w:r>
      <w:r>
        <w:rPr>
          <w:rFonts w:ascii="細明體_HKSCS" w:eastAsia="細明體_HKSCS" w:hint="eastAsia"/>
          <w:w w:val="95"/>
        </w:rPr>
        <w:t>77</w:t>
      </w:r>
      <w:r>
        <w:rPr>
          <w:spacing w:val="5"/>
          <w:w w:val="95"/>
        </w:rPr>
        <w:t>條第</w:t>
      </w:r>
      <w:r>
        <w:rPr>
          <w:rFonts w:ascii="細明體_HKSCS" w:eastAsia="細明體_HKSCS" w:hint="eastAsia"/>
          <w:spacing w:val="3"/>
          <w:w w:val="95"/>
        </w:rPr>
        <w:t>1</w:t>
      </w:r>
      <w:r>
        <w:rPr>
          <w:spacing w:val="4"/>
          <w:w w:val="95"/>
        </w:rPr>
        <w:t>項所明定。茲就</w:t>
      </w:r>
      <w:r>
        <w:rPr>
          <w:rFonts w:ascii="細明體_HKSCS" w:eastAsia="細明體_HKSCS" w:hint="eastAsia"/>
          <w:w w:val="95"/>
        </w:rPr>
        <w:t>105</w:t>
      </w:r>
      <w:r>
        <w:rPr>
          <w:w w:val="95"/>
        </w:rPr>
        <w:t>年</w:t>
      </w:r>
    </w:p>
    <w:p>
      <w:pPr>
        <w:pStyle w:val="BodyText"/>
        <w:spacing w:line="268" w:lineRule="auto"/>
        <w:ind w:left="118" w:right="262"/>
        <w:jc w:val="left"/>
      </w:pPr>
      <w:r>
        <w:rPr>
          <w:rFonts w:ascii="細明體_HKSCS" w:eastAsia="細明體_HKSCS" w:hint="eastAsia"/>
          <w:spacing w:val="10"/>
          <w:w w:val="95"/>
        </w:rPr>
        <w:t>7</w:t>
      </w:r>
      <w:r>
        <w:rPr>
          <w:spacing w:val="11"/>
          <w:w w:val="95"/>
        </w:rPr>
        <w:t>月至</w:t>
      </w:r>
      <w:r>
        <w:rPr>
          <w:rFonts w:ascii="細明體_HKSCS" w:eastAsia="細明體_HKSCS" w:hint="eastAsia"/>
          <w:spacing w:val="4"/>
          <w:w w:val="95"/>
        </w:rPr>
        <w:t>12</w:t>
      </w:r>
      <w:r>
        <w:rPr>
          <w:spacing w:val="9"/>
          <w:w w:val="95"/>
        </w:rPr>
        <w:t>月經本會審理決定撤銷之保障事件，歸納分析其撤銷原 </w:t>
      </w:r>
      <w:r>
        <w:rPr>
          <w:spacing w:val="3"/>
          <w:w w:val="95"/>
        </w:rPr>
        <w:t>因，並就機關為人事管理行為時，常發生之作業疏失綜整說明。</w:t>
      </w:r>
    </w:p>
    <w:p>
      <w:pPr>
        <w:pStyle w:val="BodyText"/>
        <w:spacing w:line="446" w:lineRule="exact"/>
        <w:ind w:left="118"/>
        <w:jc w:val="left"/>
      </w:pPr>
      <w:r>
        <w:rPr>
          <w:spacing w:val="48"/>
        </w:rPr>
        <w:t>〔 相關決定書可至本會網站保障事 件決定書查詢系統</w:t>
      </w:r>
    </w:p>
    <w:p>
      <w:pPr>
        <w:pStyle w:val="BodyText"/>
        <w:spacing w:before="47"/>
        <w:ind w:left="118"/>
        <w:jc w:val="left"/>
      </w:pPr>
      <w:r>
        <w:rPr/>
        <w:t>（</w:t>
      </w:r>
      <w:r>
        <w:rPr>
          <w:rFonts w:ascii="細明體_HKSCS" w:eastAsia="細明體_HKSCS" w:hint="eastAsia"/>
        </w:rPr>
        <w:t>https://web13.csptc.gov.tw/index.aspx</w:t>
      </w:r>
      <w:r>
        <w:rPr/>
        <w:t>）查詢。〕</w:t>
      </w:r>
    </w:p>
    <w:p>
      <w:pPr>
        <w:pStyle w:val="BodyText"/>
        <w:ind w:left="0"/>
        <w:jc w:val="left"/>
      </w:pPr>
    </w:p>
    <w:p>
      <w:pPr>
        <w:pStyle w:val="BodyText"/>
        <w:spacing w:before="10"/>
        <w:ind w:left="0"/>
        <w:jc w:val="left"/>
        <w:rPr>
          <w:sz w:val="24"/>
        </w:rPr>
      </w:pPr>
    </w:p>
    <w:p>
      <w:pPr>
        <w:spacing w:before="0"/>
        <w:ind w:left="118" w:right="0" w:firstLine="0"/>
        <w:jc w:val="left"/>
        <w:rPr>
          <w:rFonts w:ascii="微軟正黑體" w:eastAsia="微軟正黑體" w:hint="eastAsia"/>
          <w:b/>
          <w:sz w:val="36"/>
        </w:rPr>
      </w:pPr>
      <w:r>
        <w:rPr>
          <w:rFonts w:ascii="微軟正黑體" w:eastAsia="微軟正黑體" w:hint="eastAsia"/>
          <w:b/>
          <w:sz w:val="36"/>
        </w:rPr>
        <w:t>壹、常見撤銷原因摘要</w:t>
      </w:r>
    </w:p>
    <w:p>
      <w:pPr>
        <w:pStyle w:val="Heading1"/>
        <w:spacing w:line="569" w:lineRule="exact"/>
      </w:pPr>
      <w:r>
        <w:rPr/>
        <w:t>一、 關於考績或獎懲法定程序部分︰</w:t>
      </w:r>
    </w:p>
    <w:p>
      <w:pPr>
        <w:spacing w:line="569" w:lineRule="exact" w:before="0"/>
        <w:ind w:left="118" w:right="0" w:firstLine="0"/>
        <w:jc w:val="left"/>
        <w:rPr>
          <w:rFonts w:ascii="微軟正黑體" w:eastAsia="微軟正黑體" w:hint="eastAsia"/>
          <w:b/>
          <w:sz w:val="32"/>
        </w:rPr>
      </w:pPr>
      <w:r>
        <w:rPr>
          <w:rFonts w:ascii="微軟正黑體" w:eastAsia="微軟正黑體" w:hint="eastAsia"/>
          <w:b/>
          <w:sz w:val="32"/>
        </w:rPr>
        <w:t>（一） 考績委員會組成不合法︰</w:t>
      </w:r>
    </w:p>
    <w:p>
      <w:pPr>
        <w:pStyle w:val="ListParagraph"/>
        <w:numPr>
          <w:ilvl w:val="0"/>
          <w:numId w:val="1"/>
        </w:numPr>
        <w:tabs>
          <w:tab w:pos="1293" w:val="left" w:leader="none"/>
        </w:tabs>
        <w:spacing w:line="268" w:lineRule="auto" w:before="67" w:after="0"/>
        <w:ind w:left="1330" w:right="275" w:hanging="360"/>
        <w:jc w:val="left"/>
        <w:rPr>
          <w:sz w:val="32"/>
        </w:rPr>
      </w:pPr>
      <w:r>
        <w:rPr>
          <w:spacing w:val="9"/>
          <w:w w:val="95"/>
          <w:sz w:val="32"/>
        </w:rPr>
        <w:t>按依公務人員考績法（以下簡稱考績法</w:t>
      </w:r>
      <w:r>
        <w:rPr>
          <w:spacing w:val="11"/>
          <w:w w:val="95"/>
          <w:sz w:val="32"/>
        </w:rPr>
        <w:t>）</w:t>
      </w:r>
      <w:r>
        <w:rPr>
          <w:spacing w:val="15"/>
          <w:w w:val="95"/>
          <w:sz w:val="32"/>
        </w:rPr>
        <w:t>第</w:t>
      </w:r>
      <w:r>
        <w:rPr>
          <w:rFonts w:ascii="細明體_HKSCS" w:eastAsia="細明體_HKSCS" w:hint="eastAsia"/>
          <w:spacing w:val="4"/>
          <w:w w:val="95"/>
          <w:sz w:val="32"/>
        </w:rPr>
        <w:t>15</w:t>
      </w:r>
      <w:r>
        <w:rPr>
          <w:spacing w:val="6"/>
          <w:w w:val="95"/>
          <w:sz w:val="32"/>
        </w:rPr>
        <w:t>條授權訂 </w:t>
      </w:r>
      <w:r>
        <w:rPr>
          <w:spacing w:val="8"/>
          <w:w w:val="95"/>
          <w:sz w:val="32"/>
        </w:rPr>
        <w:t>定，於</w:t>
      </w:r>
      <w:r>
        <w:rPr>
          <w:rFonts w:ascii="細明體_HKSCS" w:eastAsia="細明體_HKSCS" w:hint="eastAsia"/>
          <w:spacing w:val="3"/>
          <w:w w:val="95"/>
          <w:sz w:val="32"/>
        </w:rPr>
        <w:t>104</w:t>
      </w:r>
      <w:r>
        <w:rPr>
          <w:spacing w:val="9"/>
          <w:w w:val="95"/>
          <w:sz w:val="32"/>
        </w:rPr>
        <w:t>年</w:t>
      </w:r>
      <w:r>
        <w:rPr>
          <w:rFonts w:ascii="細明體_HKSCS" w:eastAsia="細明體_HKSCS" w:hint="eastAsia"/>
          <w:spacing w:val="6"/>
          <w:w w:val="95"/>
          <w:sz w:val="32"/>
        </w:rPr>
        <w:t>9</w:t>
      </w:r>
      <w:r>
        <w:rPr>
          <w:spacing w:val="9"/>
          <w:w w:val="95"/>
          <w:sz w:val="32"/>
        </w:rPr>
        <w:t>月</w:t>
      </w:r>
      <w:r>
        <w:rPr>
          <w:rFonts w:ascii="細明體_HKSCS" w:eastAsia="細明體_HKSCS" w:hint="eastAsia"/>
          <w:spacing w:val="3"/>
          <w:w w:val="95"/>
          <w:sz w:val="32"/>
        </w:rPr>
        <w:t>21</w:t>
      </w:r>
      <w:r>
        <w:rPr>
          <w:spacing w:val="6"/>
          <w:w w:val="95"/>
          <w:sz w:val="32"/>
        </w:rPr>
        <w:t>日修正發布前之考績委員會組織規程</w:t>
      </w:r>
    </w:p>
    <w:p>
      <w:pPr>
        <w:pStyle w:val="BodyText"/>
        <w:spacing w:line="268" w:lineRule="auto"/>
        <w:ind w:right="272"/>
      </w:pPr>
      <w:r>
        <w:rPr/>
        <w:t>（以下簡稱組織規程）</w:t>
      </w:r>
      <w:r>
        <w:rPr>
          <w:spacing w:val="4"/>
        </w:rPr>
        <w:t>第</w:t>
      </w:r>
      <w:r>
        <w:rPr>
          <w:rFonts w:ascii="細明體_HKSCS" w:hAnsi="細明體_HKSCS" w:eastAsia="細明體_HKSCS" w:hint="eastAsia"/>
        </w:rPr>
        <w:t>2</w:t>
      </w:r>
      <w:r>
        <w:rPr/>
        <w:t>條第</w:t>
      </w:r>
      <w:r>
        <w:rPr>
          <w:rFonts w:ascii="細明體_HKSCS" w:hAnsi="細明體_HKSCS" w:eastAsia="細明體_HKSCS" w:hint="eastAsia"/>
        </w:rPr>
        <w:t>2</w:t>
      </w:r>
      <w:r>
        <w:rPr>
          <w:spacing w:val="-17"/>
        </w:rPr>
        <w:t>項規定：「考績委員會置</w:t>
      </w:r>
      <w:r>
        <w:rPr>
          <w:spacing w:val="6"/>
          <w:w w:val="95"/>
        </w:rPr>
        <w:t>委員五人至二十三人，除本機關人事主管人員為當然委 員及第六項所規定之票選人員外，餘由機關首長就本機 </w:t>
      </w:r>
      <w:r>
        <w:rPr>
          <w:spacing w:val="21"/>
          <w:w w:val="95"/>
        </w:rPr>
        <w:t>關人員中指定之……。」第</w:t>
      </w:r>
      <w:r>
        <w:rPr>
          <w:rFonts w:ascii="細明體_HKSCS" w:hAnsi="細明體_HKSCS" w:eastAsia="細明體_HKSCS" w:hint="eastAsia"/>
          <w:spacing w:val="20"/>
          <w:w w:val="95"/>
        </w:rPr>
        <w:t>4</w:t>
      </w:r>
      <w:r>
        <w:rPr>
          <w:spacing w:val="2"/>
          <w:w w:val="95"/>
        </w:rPr>
        <w:t>項前段規定：「第二項委 </w:t>
      </w:r>
      <w:r>
        <w:rPr>
          <w:spacing w:val="6"/>
          <w:w w:val="95"/>
        </w:rPr>
        <w:t>員，每滿四人應有二人由本機關受考人票選產生之。」 </w:t>
      </w:r>
      <w:r>
        <w:rPr>
          <w:spacing w:val="9"/>
          <w:w w:val="95"/>
        </w:rPr>
        <w:t>第</w:t>
      </w:r>
      <w:r>
        <w:rPr>
          <w:rFonts w:ascii="細明體_HKSCS" w:hAnsi="細明體_HKSCS" w:eastAsia="細明體_HKSCS" w:hint="eastAsia"/>
          <w:spacing w:val="8"/>
          <w:w w:val="95"/>
        </w:rPr>
        <w:t>5</w:t>
      </w:r>
      <w:r>
        <w:rPr>
          <w:spacing w:val="-6"/>
          <w:w w:val="95"/>
        </w:rPr>
        <w:t>項規定：「前項票選委員之選舉，採普通、平等、直 </w:t>
      </w:r>
      <w:r>
        <w:rPr>
          <w:spacing w:val="6"/>
          <w:w w:val="95"/>
        </w:rPr>
        <w:t>接及無記名投票法行之……。」是各機關受考人均應以 普通、平等、直接及無記名投票方式，行使其考績委員 </w:t>
      </w:r>
      <w:r>
        <w:rPr>
          <w:spacing w:val="6"/>
        </w:rPr>
        <w:t>會票選委員之選舉權（被選舉權及投票權</w:t>
      </w:r>
      <w:r>
        <w:rPr>
          <w:spacing w:val="-159"/>
        </w:rPr>
        <w:t>）</w:t>
      </w:r>
      <w:r>
        <w:rPr>
          <w:spacing w:val="-2"/>
        </w:rPr>
        <w:t>。次按銓敘部</w:t>
      </w:r>
    </w:p>
    <w:p>
      <w:pPr>
        <w:spacing w:after="0" w:line="268" w:lineRule="auto"/>
        <w:sectPr>
          <w:footerReference w:type="default" r:id="rId5"/>
          <w:type w:val="continuous"/>
          <w:pgSz w:w="11910" w:h="16840"/>
          <w:pgMar w:footer="1017" w:top="1140" w:bottom="1200" w:left="1300" w:right="1140"/>
          <w:pgNumType w:start="1"/>
        </w:sectPr>
      </w:pPr>
    </w:p>
    <w:p>
      <w:pPr>
        <w:pStyle w:val="BodyText"/>
        <w:spacing w:line="268" w:lineRule="auto" w:before="15"/>
        <w:ind w:right="270"/>
      </w:pPr>
      <w:r>
        <w:rPr>
          <w:rFonts w:ascii="細明體_HKSCS" w:eastAsia="細明體_HKSCS" w:hint="eastAsia"/>
        </w:rPr>
        <w:t>102</w:t>
      </w:r>
      <w:r>
        <w:rPr/>
        <w:t>年</w:t>
      </w:r>
      <w:r>
        <w:rPr>
          <w:rFonts w:ascii="細明體_HKSCS" w:eastAsia="細明體_HKSCS" w:hint="eastAsia"/>
        </w:rPr>
        <w:t>11</w:t>
      </w:r>
      <w:r>
        <w:rPr/>
        <w:t>月</w:t>
      </w:r>
      <w:r>
        <w:rPr>
          <w:rFonts w:ascii="細明體_HKSCS" w:eastAsia="細明體_HKSCS" w:hint="eastAsia"/>
        </w:rPr>
        <w:t>25</w:t>
      </w:r>
      <w:r>
        <w:rPr/>
        <w:t>日部法二字第</w:t>
      </w:r>
      <w:r>
        <w:rPr>
          <w:rFonts w:ascii="細明體_HKSCS" w:eastAsia="細明體_HKSCS" w:hint="eastAsia"/>
        </w:rPr>
        <w:t>1023783246</w:t>
      </w:r>
      <w:r>
        <w:rPr/>
        <w:t>號函釋規定，為達</w:t>
      </w:r>
      <w:r>
        <w:rPr>
          <w:spacing w:val="6"/>
          <w:w w:val="95"/>
        </w:rPr>
        <w:t>成甄審及考績委員會委員任一性別比例不得低於三分之 一之政策目標，各機關宜先選舉票選委員，續就票選委 員之當選人及當然委員之性別比例加以計算後，再由機 </w:t>
      </w:r>
      <w:r>
        <w:rPr>
          <w:spacing w:val="7"/>
          <w:w w:val="95"/>
        </w:rPr>
        <w:t>關首長視該計算結果，圈選指定委員。如機關於</w:t>
      </w:r>
      <w:r>
        <w:rPr>
          <w:rFonts w:ascii="細明體_HKSCS" w:eastAsia="細明體_HKSCS" w:hint="eastAsia"/>
          <w:spacing w:val="2"/>
          <w:w w:val="95"/>
        </w:rPr>
        <w:t>104</w:t>
      </w:r>
      <w:r>
        <w:rPr>
          <w:spacing w:val="9"/>
          <w:w w:val="95"/>
        </w:rPr>
        <w:t>年</w:t>
      </w:r>
      <w:r>
        <w:rPr>
          <w:rFonts w:ascii="細明體_HKSCS" w:eastAsia="細明體_HKSCS" w:hint="eastAsia"/>
          <w:w w:val="95"/>
        </w:rPr>
        <w:t>9 </w:t>
      </w:r>
      <w:r>
        <w:rPr>
          <w:spacing w:val="9"/>
          <w:w w:val="95"/>
        </w:rPr>
        <w:t>月</w:t>
      </w:r>
      <w:r>
        <w:rPr>
          <w:rFonts w:ascii="細明體_HKSCS" w:eastAsia="細明體_HKSCS" w:hint="eastAsia"/>
          <w:spacing w:val="4"/>
          <w:w w:val="95"/>
        </w:rPr>
        <w:t>21</w:t>
      </w:r>
      <w:r>
        <w:rPr>
          <w:spacing w:val="7"/>
          <w:w w:val="95"/>
        </w:rPr>
        <w:t>日前辦理考績委員會</w:t>
      </w:r>
      <w:r>
        <w:rPr>
          <w:spacing w:val="9"/>
          <w:w w:val="95"/>
        </w:rPr>
        <w:t>（</w:t>
      </w:r>
      <w:r>
        <w:rPr>
          <w:spacing w:val="7"/>
          <w:w w:val="95"/>
        </w:rPr>
        <w:t>以下簡稱考績會）</w:t>
      </w:r>
      <w:r>
        <w:rPr>
          <w:spacing w:val="6"/>
          <w:w w:val="95"/>
        </w:rPr>
        <w:t>之票選委 員選舉，在票選委員得票數相同時，即以性別比例加以 考量，直接由特定性別之票選委員當選，以達成考績會 任一性別委員不得低於三分之一之要求，或逕以男性及 </w:t>
      </w:r>
      <w:r>
        <w:rPr>
          <w:spacing w:val="5"/>
        </w:rPr>
        <w:t>女性得票數前</w:t>
      </w:r>
      <w:r>
        <w:rPr>
          <w:rFonts w:ascii="細明體_HKSCS" w:eastAsia="細明體_HKSCS" w:hint="eastAsia"/>
        </w:rPr>
        <w:t>2</w:t>
      </w:r>
      <w:r>
        <w:rPr/>
        <w:t>名為當選委員，亦即以性別對票選委員之</w:t>
      </w:r>
      <w:r>
        <w:rPr>
          <w:spacing w:val="6"/>
          <w:w w:val="95"/>
        </w:rPr>
        <w:t>當選資格予以限制，均難謂合於上開組織規程規定之意 </w:t>
      </w:r>
      <w:r>
        <w:rPr>
          <w:spacing w:val="-78"/>
        </w:rPr>
        <w:t>旨。</w:t>
      </w:r>
      <w:r>
        <w:rPr/>
        <w:t>（</w:t>
      </w:r>
      <w:r>
        <w:rPr>
          <w:rFonts w:ascii="細明體_HKSCS" w:eastAsia="細明體_HKSCS" w:hint="eastAsia"/>
        </w:rPr>
        <w:t>105</w:t>
      </w:r>
      <w:r>
        <w:rPr/>
        <w:t>公申決字第</w:t>
      </w:r>
      <w:r>
        <w:rPr>
          <w:rFonts w:ascii="細明體_HKSCS" w:eastAsia="細明體_HKSCS" w:hint="eastAsia"/>
        </w:rPr>
        <w:t>0139</w:t>
      </w:r>
      <w:r>
        <w:rPr/>
        <w:t>號、第</w:t>
      </w:r>
      <w:r>
        <w:rPr>
          <w:rFonts w:ascii="細明體_HKSCS" w:eastAsia="細明體_HKSCS" w:hint="eastAsia"/>
        </w:rPr>
        <w:t>0146</w:t>
      </w:r>
      <w:r>
        <w:rPr/>
        <w:t>號再申訴決定書）</w:t>
      </w:r>
    </w:p>
    <w:p>
      <w:pPr>
        <w:pStyle w:val="ListParagraph"/>
        <w:numPr>
          <w:ilvl w:val="0"/>
          <w:numId w:val="1"/>
        </w:numPr>
        <w:tabs>
          <w:tab w:pos="1293" w:val="left" w:leader="none"/>
        </w:tabs>
        <w:spacing w:line="268" w:lineRule="auto" w:before="186" w:after="0"/>
        <w:ind w:left="1330" w:right="274" w:hanging="360"/>
        <w:jc w:val="both"/>
        <w:rPr>
          <w:sz w:val="32"/>
        </w:rPr>
      </w:pPr>
      <w:r>
        <w:rPr>
          <w:spacing w:val="1"/>
          <w:sz w:val="32"/>
        </w:rPr>
        <w:t>組織規程第</w:t>
      </w:r>
      <w:r>
        <w:rPr>
          <w:rFonts w:ascii="細明體_HKSCS" w:hAnsi="細明體_HKSCS" w:eastAsia="細明體_HKSCS" w:hint="eastAsia"/>
          <w:spacing w:val="3"/>
          <w:sz w:val="32"/>
        </w:rPr>
        <w:t>2</w:t>
      </w:r>
      <w:r>
        <w:rPr>
          <w:sz w:val="32"/>
        </w:rPr>
        <w:t>條規定，考績會之委員每滿</w:t>
      </w:r>
      <w:r>
        <w:rPr>
          <w:rFonts w:ascii="細明體_HKSCS" w:hAnsi="細明體_HKSCS" w:eastAsia="細明體_HKSCS" w:hint="eastAsia"/>
          <w:sz w:val="32"/>
        </w:rPr>
        <w:t>4</w:t>
      </w:r>
      <w:r>
        <w:rPr>
          <w:spacing w:val="2"/>
          <w:sz w:val="32"/>
        </w:rPr>
        <w:t>人應有</w:t>
      </w:r>
      <w:r>
        <w:rPr>
          <w:rFonts w:ascii="細明體_HKSCS" w:hAnsi="細明體_HKSCS" w:eastAsia="細明體_HKSCS" w:hint="eastAsia"/>
          <w:sz w:val="32"/>
        </w:rPr>
        <w:t>2</w:t>
      </w:r>
      <w:r>
        <w:rPr>
          <w:spacing w:val="1"/>
          <w:sz w:val="32"/>
        </w:rPr>
        <w:t>人由本</w:t>
      </w:r>
      <w:r>
        <w:rPr>
          <w:spacing w:val="6"/>
          <w:w w:val="95"/>
          <w:sz w:val="32"/>
        </w:rPr>
        <w:t>機關受考人票選產生，且當然委員應由人事主管人員或 兼任人事主管人員擔任。國軍退除役官兵輔導委員會○</w:t>
      </w:r>
    </w:p>
    <w:p>
      <w:pPr>
        <w:pStyle w:val="ListParagraph"/>
        <w:numPr>
          <w:ilvl w:val="1"/>
          <w:numId w:val="1"/>
        </w:numPr>
        <w:tabs>
          <w:tab w:pos="1660" w:val="left" w:leader="none"/>
        </w:tabs>
        <w:spacing w:line="268" w:lineRule="auto" w:before="0" w:after="0"/>
        <w:ind w:left="1330" w:right="262" w:firstLine="0"/>
        <w:jc w:val="both"/>
        <w:rPr>
          <w:sz w:val="32"/>
        </w:rPr>
      </w:pPr>
      <w:r>
        <w:rPr>
          <w:spacing w:val="6"/>
          <w:w w:val="95"/>
          <w:sz w:val="32"/>
        </w:rPr>
        <w:t>農場，並未設置人事主管人員或兼任人事主管人員， </w:t>
      </w:r>
      <w:r>
        <w:rPr>
          <w:sz w:val="32"/>
        </w:rPr>
        <w:t>惟該場</w:t>
      </w:r>
      <w:r>
        <w:rPr>
          <w:rFonts w:ascii="細明體_HKSCS" w:hAnsi="細明體_HKSCS" w:eastAsia="細明體_HKSCS" w:hint="eastAsia"/>
          <w:sz w:val="32"/>
        </w:rPr>
        <w:t>105</w:t>
      </w:r>
      <w:r>
        <w:rPr>
          <w:sz w:val="32"/>
        </w:rPr>
        <w:t>年度職（僱）員考績會卻由兼辦人事業務之組</w:t>
      </w:r>
      <w:r>
        <w:rPr>
          <w:spacing w:val="-3"/>
          <w:w w:val="95"/>
          <w:sz w:val="32"/>
        </w:rPr>
        <w:t>員擔任當然委員，核與上開規定未合。</w:t>
      </w:r>
      <w:r>
        <w:rPr>
          <w:spacing w:val="5"/>
          <w:w w:val="95"/>
          <w:sz w:val="32"/>
        </w:rPr>
        <w:t>（</w:t>
      </w:r>
      <w:r>
        <w:rPr>
          <w:rFonts w:ascii="細明體_HKSCS" w:hAnsi="細明體_HKSCS" w:eastAsia="細明體_HKSCS" w:hint="eastAsia"/>
          <w:spacing w:val="5"/>
          <w:w w:val="95"/>
          <w:sz w:val="32"/>
        </w:rPr>
        <w:t>105</w:t>
      </w:r>
      <w:r>
        <w:rPr>
          <w:spacing w:val="5"/>
          <w:w w:val="95"/>
          <w:sz w:val="32"/>
        </w:rPr>
        <w:t>公申決字第</w:t>
      </w:r>
    </w:p>
    <w:p>
      <w:pPr>
        <w:pStyle w:val="BodyText"/>
        <w:spacing w:line="444" w:lineRule="exact"/>
        <w:jc w:val="left"/>
      </w:pPr>
      <w:r>
        <w:rPr>
          <w:rFonts w:ascii="細明體_HKSCS" w:eastAsia="細明體_HKSCS" w:hint="eastAsia"/>
        </w:rPr>
        <w:t>0218</w:t>
      </w:r>
      <w:r>
        <w:rPr/>
        <w:t>號再申訴決定書）</w:t>
      </w:r>
    </w:p>
    <w:p>
      <w:pPr>
        <w:pStyle w:val="ListParagraph"/>
        <w:numPr>
          <w:ilvl w:val="0"/>
          <w:numId w:val="1"/>
        </w:numPr>
        <w:tabs>
          <w:tab w:pos="1293" w:val="left" w:leader="none"/>
        </w:tabs>
        <w:spacing w:line="268" w:lineRule="auto" w:before="249" w:after="0"/>
        <w:ind w:left="1330" w:right="271" w:hanging="360"/>
        <w:jc w:val="both"/>
        <w:rPr>
          <w:sz w:val="32"/>
        </w:rPr>
      </w:pPr>
      <w:r>
        <w:rPr>
          <w:spacing w:val="9"/>
          <w:w w:val="95"/>
          <w:sz w:val="32"/>
        </w:rPr>
        <w:t>○○高級農工職業學校</w:t>
      </w:r>
      <w:r>
        <w:rPr>
          <w:rFonts w:ascii="細明體_HKSCS" w:hAnsi="細明體_HKSCS" w:eastAsia="細明體_HKSCS" w:hint="eastAsia"/>
          <w:spacing w:val="2"/>
          <w:w w:val="95"/>
          <w:sz w:val="32"/>
        </w:rPr>
        <w:t>104</w:t>
      </w:r>
      <w:r>
        <w:rPr>
          <w:spacing w:val="9"/>
          <w:w w:val="95"/>
          <w:sz w:val="32"/>
        </w:rPr>
        <w:t>年考績會置委員</w:t>
      </w:r>
      <w:r>
        <w:rPr>
          <w:rFonts w:ascii="細明體_HKSCS" w:hAnsi="細明體_HKSCS" w:eastAsia="細明體_HKSCS" w:hint="eastAsia"/>
          <w:spacing w:val="10"/>
          <w:w w:val="95"/>
          <w:sz w:val="32"/>
        </w:rPr>
        <w:t>9</w:t>
      </w:r>
      <w:r>
        <w:rPr>
          <w:spacing w:val="7"/>
          <w:w w:val="95"/>
          <w:sz w:val="32"/>
        </w:rPr>
        <w:t>人，其中票 </w:t>
      </w:r>
      <w:r>
        <w:rPr>
          <w:spacing w:val="7"/>
          <w:sz w:val="32"/>
        </w:rPr>
        <w:t>選委員</w:t>
      </w:r>
      <w:r>
        <w:rPr>
          <w:rFonts w:ascii="細明體_HKSCS" w:hAnsi="細明體_HKSCS" w:eastAsia="細明體_HKSCS" w:hint="eastAsia"/>
          <w:spacing w:val="7"/>
          <w:sz w:val="32"/>
        </w:rPr>
        <w:t>4</w:t>
      </w:r>
      <w:r>
        <w:rPr>
          <w:spacing w:val="6"/>
          <w:sz w:val="32"/>
        </w:rPr>
        <w:t>人。該校於</w:t>
      </w:r>
      <w:r>
        <w:rPr>
          <w:rFonts w:ascii="細明體_HKSCS" w:hAnsi="細明體_HKSCS" w:eastAsia="細明體_HKSCS" w:hint="eastAsia"/>
          <w:sz w:val="32"/>
        </w:rPr>
        <w:t>104</w:t>
      </w:r>
      <w:r>
        <w:rPr>
          <w:sz w:val="32"/>
        </w:rPr>
        <w:t>年</w:t>
      </w:r>
      <w:r>
        <w:rPr>
          <w:rFonts w:ascii="細明體_HKSCS" w:hAnsi="細明體_HKSCS" w:eastAsia="細明體_HKSCS" w:hint="eastAsia"/>
          <w:sz w:val="32"/>
        </w:rPr>
        <w:t>8</w:t>
      </w:r>
      <w:r>
        <w:rPr>
          <w:sz w:val="32"/>
        </w:rPr>
        <w:t>月</w:t>
      </w:r>
      <w:r>
        <w:rPr>
          <w:rFonts w:ascii="細明體_HKSCS" w:hAnsi="細明體_HKSCS" w:eastAsia="細明體_HKSCS" w:hint="eastAsia"/>
          <w:sz w:val="32"/>
        </w:rPr>
        <w:t>28</w:t>
      </w:r>
      <w:r>
        <w:rPr>
          <w:sz w:val="32"/>
        </w:rPr>
        <w:t>日進行票選作業，嗣為符</w:t>
      </w:r>
      <w:r>
        <w:rPr>
          <w:spacing w:val="7"/>
          <w:w w:val="95"/>
          <w:sz w:val="32"/>
        </w:rPr>
        <w:t>性別平等教育法第</w:t>
      </w:r>
      <w:r>
        <w:rPr>
          <w:rFonts w:ascii="細明體_HKSCS" w:hAnsi="細明體_HKSCS" w:eastAsia="細明體_HKSCS" w:hint="eastAsia"/>
          <w:spacing w:val="4"/>
          <w:w w:val="95"/>
          <w:sz w:val="32"/>
        </w:rPr>
        <w:t>16</w:t>
      </w:r>
      <w:r>
        <w:rPr>
          <w:spacing w:val="6"/>
          <w:w w:val="95"/>
          <w:sz w:val="32"/>
        </w:rPr>
        <w:t>條，學校之考績會之組成，任一性 </w:t>
      </w:r>
      <w:r>
        <w:rPr>
          <w:spacing w:val="5"/>
          <w:sz w:val="32"/>
        </w:rPr>
        <w:t>別委員應占委員總數</w:t>
      </w:r>
      <w:r>
        <w:rPr>
          <w:rFonts w:ascii="細明體_HKSCS" w:hAnsi="細明體_HKSCS" w:eastAsia="細明體_HKSCS" w:hint="eastAsia"/>
          <w:sz w:val="32"/>
        </w:rPr>
        <w:t>1/3</w:t>
      </w:r>
      <w:r>
        <w:rPr>
          <w:sz w:val="32"/>
        </w:rPr>
        <w:t>以上之規定，爰將選舉結果得票</w:t>
      </w:r>
      <w:r>
        <w:rPr>
          <w:spacing w:val="7"/>
          <w:w w:val="95"/>
          <w:sz w:val="32"/>
        </w:rPr>
        <w:t>數最高之前</w:t>
      </w:r>
      <w:r>
        <w:rPr>
          <w:rFonts w:ascii="細明體_HKSCS" w:hAnsi="細明體_HKSCS" w:eastAsia="細明體_HKSCS" w:hint="eastAsia"/>
          <w:spacing w:val="8"/>
          <w:w w:val="95"/>
          <w:sz w:val="32"/>
        </w:rPr>
        <w:t>7</w:t>
      </w:r>
      <w:r>
        <w:rPr>
          <w:spacing w:val="7"/>
          <w:w w:val="95"/>
          <w:sz w:val="32"/>
        </w:rPr>
        <w:t>名，依性別分成</w:t>
      </w:r>
      <w:r>
        <w:rPr>
          <w:rFonts w:ascii="細明體_HKSCS" w:hAnsi="細明體_HKSCS" w:eastAsia="細明體_HKSCS" w:hint="eastAsia"/>
          <w:spacing w:val="6"/>
          <w:w w:val="95"/>
          <w:sz w:val="32"/>
        </w:rPr>
        <w:t>2</w:t>
      </w:r>
      <w:r>
        <w:rPr>
          <w:spacing w:val="7"/>
          <w:w w:val="95"/>
          <w:sz w:val="32"/>
        </w:rPr>
        <w:t>組，男性</w:t>
      </w:r>
      <w:r>
        <w:rPr>
          <w:rFonts w:ascii="細明體_HKSCS" w:hAnsi="細明體_HKSCS" w:eastAsia="細明體_HKSCS" w:hint="eastAsia"/>
          <w:spacing w:val="6"/>
          <w:w w:val="95"/>
          <w:sz w:val="32"/>
        </w:rPr>
        <w:t>4</w:t>
      </w:r>
      <w:r>
        <w:rPr>
          <w:spacing w:val="7"/>
          <w:w w:val="95"/>
          <w:sz w:val="32"/>
        </w:rPr>
        <w:t>人抽籤選出</w:t>
      </w:r>
      <w:r>
        <w:rPr>
          <w:rFonts w:ascii="細明體_HKSCS" w:hAnsi="細明體_HKSCS" w:eastAsia="細明體_HKSCS" w:hint="eastAsia"/>
          <w:spacing w:val="6"/>
          <w:w w:val="95"/>
          <w:sz w:val="32"/>
        </w:rPr>
        <w:t>2</w:t>
      </w:r>
      <w:r>
        <w:rPr>
          <w:spacing w:val="-12"/>
          <w:w w:val="95"/>
          <w:sz w:val="32"/>
        </w:rPr>
        <w:t>人 </w:t>
      </w:r>
      <w:r>
        <w:rPr>
          <w:sz w:val="32"/>
        </w:rPr>
        <w:t>為票選委員，女性</w:t>
      </w:r>
      <w:r>
        <w:rPr>
          <w:rFonts w:ascii="細明體_HKSCS" w:hAnsi="細明體_HKSCS" w:eastAsia="細明體_HKSCS" w:hint="eastAsia"/>
          <w:sz w:val="32"/>
        </w:rPr>
        <w:t>3</w:t>
      </w:r>
      <w:r>
        <w:rPr>
          <w:sz w:val="32"/>
        </w:rPr>
        <w:t>人抽籤選出</w:t>
      </w:r>
      <w:r>
        <w:rPr>
          <w:rFonts w:ascii="細明體_HKSCS" w:hAnsi="細明體_HKSCS" w:eastAsia="細明體_HKSCS" w:hint="eastAsia"/>
          <w:sz w:val="32"/>
        </w:rPr>
        <w:t>2</w:t>
      </w:r>
      <w:r>
        <w:rPr>
          <w:sz w:val="32"/>
        </w:rPr>
        <w:t>人，致得票數最高前</w:t>
      </w:r>
      <w:r>
        <w:rPr>
          <w:rFonts w:ascii="細明體_HKSCS" w:hAnsi="細明體_HKSCS" w:eastAsia="細明體_HKSCS" w:hint="eastAsia"/>
          <w:sz w:val="32"/>
        </w:rPr>
        <w:t>7</w:t>
      </w:r>
      <w:r>
        <w:rPr>
          <w:sz w:val="32"/>
        </w:rPr>
        <w:t>人中男性</w:t>
      </w:r>
      <w:r>
        <w:rPr>
          <w:rFonts w:ascii="細明體_HKSCS" w:hAnsi="細明體_HKSCS" w:eastAsia="細明體_HKSCS" w:hint="eastAsia"/>
          <w:sz w:val="32"/>
        </w:rPr>
        <w:t>4</w:t>
      </w:r>
      <w:r>
        <w:rPr>
          <w:sz w:val="32"/>
        </w:rPr>
        <w:t>人每人當選機率為</w:t>
      </w:r>
      <w:r>
        <w:rPr>
          <w:rFonts w:ascii="細明體_HKSCS" w:hAnsi="細明體_HKSCS" w:eastAsia="細明體_HKSCS" w:hint="eastAsia"/>
          <w:sz w:val="32"/>
        </w:rPr>
        <w:t>2/4</w:t>
      </w:r>
      <w:r>
        <w:rPr>
          <w:sz w:val="32"/>
        </w:rPr>
        <w:t>，女性</w:t>
      </w:r>
      <w:r>
        <w:rPr>
          <w:rFonts w:ascii="細明體_HKSCS" w:hAnsi="細明體_HKSCS" w:eastAsia="細明體_HKSCS" w:hint="eastAsia"/>
          <w:sz w:val="32"/>
        </w:rPr>
        <w:t>3</w:t>
      </w:r>
      <w:r>
        <w:rPr>
          <w:sz w:val="32"/>
        </w:rPr>
        <w:t>人每人當選機率為</w:t>
      </w:r>
      <w:r>
        <w:rPr>
          <w:rFonts w:ascii="細明體_HKSCS" w:hAnsi="細明體_HKSCS" w:eastAsia="細明體_HKSCS" w:hint="eastAsia"/>
          <w:sz w:val="32"/>
        </w:rPr>
        <w:t>2/3</w:t>
      </w:r>
      <w:r>
        <w:rPr>
          <w:sz w:val="32"/>
        </w:rPr>
        <w:t>，與不分組逕行抽籤每人當選機率</w:t>
      </w:r>
      <w:r>
        <w:rPr>
          <w:rFonts w:ascii="細明體_HKSCS" w:hAnsi="細明體_HKSCS" w:eastAsia="細明體_HKSCS" w:hint="eastAsia"/>
          <w:sz w:val="32"/>
        </w:rPr>
        <w:t>4/7</w:t>
      </w:r>
      <w:r>
        <w:rPr>
          <w:sz w:val="32"/>
        </w:rPr>
        <w:t>不同，核與</w:t>
      </w:r>
      <w:r>
        <w:rPr>
          <w:rFonts w:ascii="細明體_HKSCS" w:hAnsi="細明體_HKSCS" w:eastAsia="細明體_HKSCS" w:hint="eastAsia"/>
          <w:sz w:val="32"/>
        </w:rPr>
        <w:t>104 </w:t>
      </w:r>
      <w:r>
        <w:rPr>
          <w:spacing w:val="16"/>
          <w:w w:val="95"/>
          <w:sz w:val="32"/>
        </w:rPr>
        <w:t>年</w:t>
      </w:r>
      <w:r>
        <w:rPr>
          <w:rFonts w:ascii="細明體_HKSCS" w:hAnsi="細明體_HKSCS" w:eastAsia="細明體_HKSCS" w:hint="eastAsia"/>
          <w:spacing w:val="13"/>
          <w:w w:val="95"/>
          <w:sz w:val="32"/>
        </w:rPr>
        <w:t>9</w:t>
      </w:r>
      <w:r>
        <w:rPr>
          <w:spacing w:val="16"/>
          <w:w w:val="95"/>
          <w:sz w:val="32"/>
        </w:rPr>
        <w:t>月</w:t>
      </w:r>
      <w:r>
        <w:rPr>
          <w:rFonts w:ascii="細明體_HKSCS" w:hAnsi="細明體_HKSCS" w:eastAsia="細明體_HKSCS" w:hint="eastAsia"/>
          <w:spacing w:val="5"/>
          <w:w w:val="95"/>
          <w:sz w:val="32"/>
        </w:rPr>
        <w:t>21</w:t>
      </w:r>
      <w:r>
        <w:rPr>
          <w:spacing w:val="14"/>
          <w:w w:val="95"/>
          <w:sz w:val="32"/>
        </w:rPr>
        <w:t>日修正發布前組織規程第</w:t>
      </w:r>
      <w:r>
        <w:rPr>
          <w:rFonts w:ascii="細明體_HKSCS" w:hAnsi="細明體_HKSCS" w:eastAsia="細明體_HKSCS" w:hint="eastAsia"/>
          <w:spacing w:val="13"/>
          <w:w w:val="95"/>
          <w:sz w:val="32"/>
        </w:rPr>
        <w:t>2</w:t>
      </w:r>
      <w:r>
        <w:rPr>
          <w:spacing w:val="15"/>
          <w:w w:val="95"/>
          <w:sz w:val="32"/>
        </w:rPr>
        <w:t>條第</w:t>
      </w:r>
      <w:r>
        <w:rPr>
          <w:rFonts w:ascii="細明體_HKSCS" w:hAnsi="細明體_HKSCS" w:eastAsia="細明體_HKSCS" w:hint="eastAsia"/>
          <w:spacing w:val="13"/>
          <w:w w:val="95"/>
          <w:sz w:val="32"/>
        </w:rPr>
        <w:t>5</w:t>
      </w:r>
      <w:r>
        <w:rPr>
          <w:spacing w:val="11"/>
          <w:w w:val="95"/>
          <w:sz w:val="32"/>
        </w:rPr>
        <w:t>項前段之「平</w:t>
      </w:r>
    </w:p>
    <w:p>
      <w:pPr>
        <w:spacing w:after="0" w:line="268" w:lineRule="auto"/>
        <w:jc w:val="both"/>
        <w:rPr>
          <w:sz w:val="32"/>
        </w:rPr>
        <w:sectPr>
          <w:pgSz w:w="11910" w:h="16840"/>
          <w:pgMar w:header="0" w:footer="1017" w:top="1180" w:bottom="1200" w:left="1300" w:right="1140"/>
        </w:sectPr>
      </w:pPr>
    </w:p>
    <w:p>
      <w:pPr>
        <w:pStyle w:val="BodyText"/>
        <w:spacing w:before="15"/>
        <w:jc w:val="left"/>
      </w:pPr>
      <w:r>
        <w:rPr/>
        <w:t>等」規定有違。（</w:t>
      </w:r>
      <w:r>
        <w:rPr>
          <w:rFonts w:ascii="細明體_HKSCS" w:eastAsia="細明體_HKSCS" w:hint="eastAsia"/>
        </w:rPr>
        <w:t>105</w:t>
      </w:r>
      <w:r>
        <w:rPr/>
        <w:t>公申決字第</w:t>
      </w:r>
      <w:r>
        <w:rPr>
          <w:rFonts w:ascii="細明體_HKSCS" w:eastAsia="細明體_HKSCS" w:hint="eastAsia"/>
        </w:rPr>
        <w:t>0257</w:t>
      </w:r>
      <w:r>
        <w:rPr/>
        <w:t>號再申訴決定書）</w:t>
      </w:r>
    </w:p>
    <w:p>
      <w:pPr>
        <w:pStyle w:val="ListParagraph"/>
        <w:numPr>
          <w:ilvl w:val="0"/>
          <w:numId w:val="1"/>
        </w:numPr>
        <w:tabs>
          <w:tab w:pos="1293" w:val="left" w:leader="none"/>
        </w:tabs>
        <w:spacing w:line="268" w:lineRule="auto" w:before="254" w:after="0"/>
        <w:ind w:left="1330" w:right="260" w:hanging="360"/>
        <w:jc w:val="both"/>
        <w:rPr>
          <w:sz w:val="32"/>
        </w:rPr>
      </w:pPr>
      <w:r>
        <w:rPr>
          <w:spacing w:val="12"/>
          <w:w w:val="95"/>
          <w:sz w:val="32"/>
        </w:rPr>
        <w:t>依</w:t>
      </w:r>
      <w:r>
        <w:rPr>
          <w:rFonts w:ascii="細明體_HKSCS" w:hAnsi="細明體_HKSCS" w:eastAsia="細明體_HKSCS" w:hint="eastAsia"/>
          <w:spacing w:val="2"/>
          <w:w w:val="95"/>
          <w:sz w:val="32"/>
        </w:rPr>
        <w:t>104</w:t>
      </w:r>
      <w:r>
        <w:rPr>
          <w:spacing w:val="12"/>
          <w:w w:val="95"/>
          <w:sz w:val="32"/>
        </w:rPr>
        <w:t>年</w:t>
      </w:r>
      <w:r>
        <w:rPr>
          <w:rFonts w:ascii="細明體_HKSCS" w:hAnsi="細明體_HKSCS" w:eastAsia="細明體_HKSCS" w:hint="eastAsia"/>
          <w:spacing w:val="8"/>
          <w:w w:val="95"/>
          <w:sz w:val="32"/>
        </w:rPr>
        <w:t>9</w:t>
      </w:r>
      <w:r>
        <w:rPr>
          <w:spacing w:val="10"/>
          <w:w w:val="95"/>
          <w:sz w:val="32"/>
        </w:rPr>
        <w:t>月</w:t>
      </w:r>
      <w:r>
        <w:rPr>
          <w:rFonts w:ascii="細明體_HKSCS" w:hAnsi="細明體_HKSCS" w:eastAsia="細明體_HKSCS" w:hint="eastAsia"/>
          <w:spacing w:val="4"/>
          <w:w w:val="95"/>
          <w:sz w:val="32"/>
        </w:rPr>
        <w:t>21</w:t>
      </w:r>
      <w:r>
        <w:rPr>
          <w:spacing w:val="9"/>
          <w:w w:val="95"/>
          <w:sz w:val="32"/>
        </w:rPr>
        <w:t>日修正發布之組織規程第</w:t>
      </w:r>
      <w:r>
        <w:rPr>
          <w:rFonts w:ascii="細明體_HKSCS" w:hAnsi="細明體_HKSCS" w:eastAsia="細明體_HKSCS" w:hint="eastAsia"/>
          <w:spacing w:val="8"/>
          <w:w w:val="95"/>
          <w:sz w:val="32"/>
        </w:rPr>
        <w:t>2</w:t>
      </w:r>
      <w:r>
        <w:rPr>
          <w:spacing w:val="10"/>
          <w:w w:val="95"/>
          <w:sz w:val="32"/>
        </w:rPr>
        <w:t>條第</w:t>
      </w:r>
      <w:r>
        <w:rPr>
          <w:rFonts w:ascii="細明體_HKSCS" w:hAnsi="細明體_HKSCS" w:eastAsia="細明體_HKSCS" w:hint="eastAsia"/>
          <w:spacing w:val="8"/>
          <w:w w:val="95"/>
          <w:sz w:val="32"/>
        </w:rPr>
        <w:t>3</w:t>
      </w:r>
      <w:r>
        <w:rPr>
          <w:spacing w:val="6"/>
          <w:w w:val="95"/>
          <w:sz w:val="32"/>
        </w:rPr>
        <w:t>項規定， </w:t>
      </w:r>
      <w:r>
        <w:rPr>
          <w:spacing w:val="6"/>
          <w:sz w:val="32"/>
        </w:rPr>
        <w:t>考績會組成時，委員任一性別比例不得低於三分之一。但受考人任一性別比例未達三分之一，委員任一性別人數以委員總人數乘以該性別受考人占機關受考人比例計</w:t>
      </w:r>
      <w:r>
        <w:rPr>
          <w:spacing w:val="7"/>
          <w:w w:val="95"/>
          <w:sz w:val="32"/>
        </w:rPr>
        <w:t>算，計算結果均予以進整。○○農場</w:t>
      </w:r>
      <w:r>
        <w:rPr>
          <w:rFonts w:ascii="細明體_HKSCS" w:hAnsi="細明體_HKSCS" w:eastAsia="細明體_HKSCS" w:hint="eastAsia"/>
          <w:spacing w:val="2"/>
          <w:w w:val="95"/>
          <w:sz w:val="32"/>
        </w:rPr>
        <w:t>105</w:t>
      </w:r>
      <w:r>
        <w:rPr>
          <w:spacing w:val="7"/>
          <w:w w:val="95"/>
          <w:sz w:val="32"/>
        </w:rPr>
        <w:t>年計有受考人</w:t>
      </w:r>
      <w:r>
        <w:rPr>
          <w:rFonts w:ascii="細明體_HKSCS" w:hAnsi="細明體_HKSCS" w:eastAsia="細明體_HKSCS" w:hint="eastAsia"/>
          <w:w w:val="95"/>
          <w:sz w:val="32"/>
        </w:rPr>
        <w:t>6 </w:t>
      </w:r>
      <w:r>
        <w:rPr>
          <w:spacing w:val="14"/>
          <w:w w:val="95"/>
          <w:sz w:val="32"/>
        </w:rPr>
        <w:t>人，依上開規定考績委員應有女性委員</w:t>
      </w:r>
      <w:r>
        <w:rPr>
          <w:rFonts w:ascii="細明體_HKSCS" w:hAnsi="細明體_HKSCS" w:eastAsia="細明體_HKSCS" w:hint="eastAsia"/>
          <w:spacing w:val="15"/>
          <w:w w:val="95"/>
          <w:sz w:val="32"/>
        </w:rPr>
        <w:t>1</w:t>
      </w:r>
      <w:r>
        <w:rPr>
          <w:spacing w:val="14"/>
          <w:w w:val="95"/>
          <w:sz w:val="32"/>
        </w:rPr>
        <w:t>人。該場係於</w:t>
      </w:r>
    </w:p>
    <w:p>
      <w:pPr>
        <w:pStyle w:val="BodyText"/>
        <w:spacing w:line="268" w:lineRule="auto"/>
        <w:ind w:right="269"/>
      </w:pPr>
      <w:r>
        <w:rPr>
          <w:rFonts w:ascii="細明體_HKSCS" w:eastAsia="細明體_HKSCS" w:hint="eastAsia"/>
        </w:rPr>
        <w:t>104</w:t>
      </w:r>
      <w:r>
        <w:rPr/>
        <w:t>年</w:t>
      </w:r>
      <w:r>
        <w:rPr>
          <w:rFonts w:ascii="細明體_HKSCS" w:eastAsia="細明體_HKSCS" w:hint="eastAsia"/>
        </w:rPr>
        <w:t>11</w:t>
      </w:r>
      <w:r>
        <w:rPr>
          <w:spacing w:val="3"/>
        </w:rPr>
        <w:t>月</w:t>
      </w:r>
      <w:r>
        <w:rPr>
          <w:rFonts w:ascii="細明體_HKSCS" w:eastAsia="細明體_HKSCS" w:hint="eastAsia"/>
        </w:rPr>
        <w:t>7</w:t>
      </w:r>
      <w:r>
        <w:rPr/>
        <w:t>日簽辦</w:t>
      </w:r>
      <w:r>
        <w:rPr>
          <w:rFonts w:ascii="細明體_HKSCS" w:eastAsia="細明體_HKSCS" w:hint="eastAsia"/>
        </w:rPr>
        <w:t>105</w:t>
      </w:r>
      <w:r>
        <w:rPr/>
        <w:t>年考績委員組成，既先由機關首長圈選指定男性及女性委員各</w:t>
      </w:r>
      <w:r>
        <w:rPr>
          <w:rFonts w:ascii="細明體_HKSCS" w:eastAsia="細明體_HKSCS" w:hint="eastAsia"/>
        </w:rPr>
        <w:t>1</w:t>
      </w:r>
      <w:r>
        <w:rPr/>
        <w:t>人，即不得再以性別對票選</w:t>
      </w:r>
      <w:r>
        <w:rPr>
          <w:spacing w:val="6"/>
          <w:w w:val="95"/>
        </w:rPr>
        <w:t>委員之當選資格予以限制。該場再以符合性別比例之規 定為由，由得票數最低之女性獲選為票選委員，於法未 </w:t>
      </w:r>
      <w:r>
        <w:rPr>
          <w:spacing w:val="-78"/>
        </w:rPr>
        <w:t>合。</w:t>
      </w:r>
      <w:r>
        <w:rPr/>
        <w:t>（</w:t>
      </w:r>
      <w:r>
        <w:rPr>
          <w:rFonts w:ascii="細明體_HKSCS" w:eastAsia="細明體_HKSCS" w:hint="eastAsia"/>
        </w:rPr>
        <w:t>105</w:t>
      </w:r>
      <w:r>
        <w:rPr/>
        <w:t>公申決字第</w:t>
      </w:r>
      <w:r>
        <w:rPr>
          <w:rFonts w:ascii="細明體_HKSCS" w:eastAsia="細明體_HKSCS" w:hint="eastAsia"/>
        </w:rPr>
        <w:t>0306</w:t>
      </w:r>
      <w:r>
        <w:rPr/>
        <w:t>號再申訴決定書）</w:t>
      </w:r>
    </w:p>
    <w:p>
      <w:pPr>
        <w:pStyle w:val="Heading1"/>
        <w:spacing w:before="79"/>
      </w:pPr>
      <w:r>
        <w:rPr/>
        <w:t>（二） 考績評擬或獎懲核議程序不合法︰</w:t>
      </w:r>
    </w:p>
    <w:p>
      <w:pPr>
        <w:pStyle w:val="ListParagraph"/>
        <w:numPr>
          <w:ilvl w:val="0"/>
          <w:numId w:val="2"/>
        </w:numPr>
        <w:tabs>
          <w:tab w:pos="1293" w:val="left" w:leader="none"/>
        </w:tabs>
        <w:spacing w:line="268" w:lineRule="auto" w:before="67" w:after="0"/>
        <w:ind w:left="1330" w:right="262" w:hanging="360"/>
        <w:jc w:val="both"/>
        <w:rPr>
          <w:sz w:val="32"/>
        </w:rPr>
      </w:pPr>
      <w:r>
        <w:rPr>
          <w:spacing w:val="2"/>
          <w:sz w:val="32"/>
        </w:rPr>
        <w:t>依考績法第</w:t>
      </w:r>
      <w:r>
        <w:rPr>
          <w:rFonts w:ascii="細明體_HKSCS" w:eastAsia="細明體_HKSCS" w:hint="eastAsia"/>
          <w:spacing w:val="3"/>
          <w:sz w:val="32"/>
        </w:rPr>
        <w:t>5</w:t>
      </w:r>
      <w:r>
        <w:rPr>
          <w:sz w:val="32"/>
        </w:rPr>
        <w:t>條第</w:t>
      </w:r>
      <w:r>
        <w:rPr>
          <w:rFonts w:ascii="細明體_HKSCS" w:eastAsia="細明體_HKSCS" w:hint="eastAsia"/>
          <w:spacing w:val="3"/>
          <w:sz w:val="32"/>
        </w:rPr>
        <w:t>1</w:t>
      </w:r>
      <w:r>
        <w:rPr>
          <w:spacing w:val="1"/>
          <w:sz w:val="32"/>
        </w:rPr>
        <w:t>項及第</w:t>
      </w:r>
      <w:r>
        <w:rPr>
          <w:rFonts w:ascii="細明體_HKSCS" w:eastAsia="細明體_HKSCS" w:hint="eastAsia"/>
          <w:sz w:val="32"/>
        </w:rPr>
        <w:t>14</w:t>
      </w:r>
      <w:r>
        <w:rPr>
          <w:spacing w:val="2"/>
          <w:sz w:val="32"/>
        </w:rPr>
        <w:t>條第</w:t>
      </w:r>
      <w:r>
        <w:rPr>
          <w:rFonts w:ascii="細明體_HKSCS" w:eastAsia="細明體_HKSCS" w:hint="eastAsia"/>
          <w:sz w:val="32"/>
        </w:rPr>
        <w:t>1</w:t>
      </w:r>
      <w:r>
        <w:rPr>
          <w:sz w:val="32"/>
        </w:rPr>
        <w:t>項前段規定，公務人員</w:t>
      </w:r>
      <w:r>
        <w:rPr>
          <w:spacing w:val="7"/>
          <w:w w:val="95"/>
          <w:sz w:val="32"/>
        </w:rPr>
        <w:t>之考績，應由本職單位之主管就公務人員考績表</w:t>
      </w:r>
      <w:r>
        <w:rPr>
          <w:spacing w:val="9"/>
          <w:w w:val="95"/>
          <w:sz w:val="32"/>
        </w:rPr>
        <w:t>（</w:t>
      </w:r>
      <w:r>
        <w:rPr>
          <w:spacing w:val="4"/>
          <w:w w:val="95"/>
          <w:sz w:val="32"/>
        </w:rPr>
        <w:t>以下 </w:t>
      </w:r>
      <w:r>
        <w:rPr>
          <w:spacing w:val="8"/>
          <w:w w:val="95"/>
          <w:sz w:val="32"/>
        </w:rPr>
        <w:t>簡稱考績表</w:t>
      </w:r>
      <w:r>
        <w:rPr>
          <w:spacing w:val="7"/>
          <w:w w:val="95"/>
          <w:sz w:val="32"/>
        </w:rPr>
        <w:t>）項目評擬；次依銓敘部</w:t>
      </w:r>
      <w:r>
        <w:rPr>
          <w:rFonts w:ascii="細明體_HKSCS" w:eastAsia="細明體_HKSCS" w:hint="eastAsia"/>
          <w:spacing w:val="3"/>
          <w:w w:val="95"/>
          <w:sz w:val="32"/>
        </w:rPr>
        <w:t>91</w:t>
      </w:r>
      <w:r>
        <w:rPr>
          <w:spacing w:val="9"/>
          <w:w w:val="95"/>
          <w:sz w:val="32"/>
        </w:rPr>
        <w:t>年</w:t>
      </w:r>
      <w:r>
        <w:rPr>
          <w:rFonts w:ascii="細明體_HKSCS" w:eastAsia="細明體_HKSCS" w:hint="eastAsia"/>
          <w:spacing w:val="4"/>
          <w:w w:val="95"/>
          <w:sz w:val="32"/>
        </w:rPr>
        <w:t>10</w:t>
      </w:r>
      <w:r>
        <w:rPr>
          <w:spacing w:val="7"/>
          <w:w w:val="95"/>
          <w:sz w:val="32"/>
        </w:rPr>
        <w:t>月</w:t>
      </w:r>
      <w:r>
        <w:rPr>
          <w:rFonts w:ascii="細明體_HKSCS" w:eastAsia="細明體_HKSCS" w:hint="eastAsia"/>
          <w:spacing w:val="3"/>
          <w:w w:val="95"/>
          <w:sz w:val="32"/>
        </w:rPr>
        <w:t>29</w:t>
      </w:r>
      <w:r>
        <w:rPr>
          <w:spacing w:val="9"/>
          <w:w w:val="95"/>
          <w:sz w:val="32"/>
        </w:rPr>
        <w:t>日部法 </w:t>
      </w:r>
      <w:r>
        <w:rPr>
          <w:spacing w:val="10"/>
          <w:sz w:val="32"/>
        </w:rPr>
        <w:t>二字第</w:t>
      </w:r>
      <w:r>
        <w:rPr>
          <w:rFonts w:ascii="細明體_HKSCS" w:eastAsia="細明體_HKSCS" w:hint="eastAsia"/>
          <w:sz w:val="32"/>
        </w:rPr>
        <w:t>0912187269</w:t>
      </w:r>
      <w:r>
        <w:rPr>
          <w:spacing w:val="8"/>
          <w:sz w:val="32"/>
        </w:rPr>
        <w:t>號書函釋示意旨，奉派支援他單位人</w:t>
      </w:r>
      <w:r>
        <w:rPr>
          <w:spacing w:val="20"/>
          <w:sz w:val="32"/>
        </w:rPr>
        <w:t>員之平時考核，固得由被支援單位辦理，惟其年終考</w:t>
      </w:r>
      <w:r>
        <w:rPr>
          <w:spacing w:val="6"/>
          <w:w w:val="95"/>
          <w:sz w:val="32"/>
        </w:rPr>
        <w:t>績，仍應由其本職單位之主管參考被支援單位之考評意 見，予以評擬分數，如由被支援單位主管逕予評擬，於 </w:t>
      </w:r>
      <w:r>
        <w:rPr>
          <w:spacing w:val="-18"/>
          <w:sz w:val="32"/>
        </w:rPr>
        <w:t>法即有未合。</w:t>
      </w:r>
      <w:r>
        <w:rPr>
          <w:spacing w:val="3"/>
          <w:sz w:val="32"/>
        </w:rPr>
        <w:t>（</w:t>
      </w:r>
      <w:r>
        <w:rPr>
          <w:rFonts w:ascii="細明體_HKSCS" w:eastAsia="細明體_HKSCS" w:hint="eastAsia"/>
          <w:spacing w:val="3"/>
          <w:sz w:val="32"/>
        </w:rPr>
        <w:t>105</w:t>
      </w:r>
      <w:r>
        <w:rPr>
          <w:spacing w:val="9"/>
          <w:sz w:val="32"/>
        </w:rPr>
        <w:t>公申決字第</w:t>
      </w:r>
      <w:r>
        <w:rPr>
          <w:rFonts w:ascii="細明體_HKSCS" w:eastAsia="細明體_HKSCS" w:hint="eastAsia"/>
          <w:sz w:val="32"/>
        </w:rPr>
        <w:t>0174</w:t>
      </w:r>
      <w:r>
        <w:rPr>
          <w:spacing w:val="10"/>
          <w:sz w:val="32"/>
        </w:rPr>
        <w:t>號、第</w:t>
      </w:r>
      <w:r>
        <w:rPr>
          <w:rFonts w:ascii="細明體_HKSCS" w:eastAsia="細明體_HKSCS" w:hint="eastAsia"/>
          <w:sz w:val="32"/>
        </w:rPr>
        <w:t>0182</w:t>
      </w:r>
      <w:r>
        <w:rPr>
          <w:spacing w:val="9"/>
          <w:sz w:val="32"/>
        </w:rPr>
        <w:t>號再申訴</w:t>
      </w:r>
      <w:r>
        <w:rPr>
          <w:sz w:val="32"/>
        </w:rPr>
        <w:t>決定書）</w:t>
      </w:r>
    </w:p>
    <w:p>
      <w:pPr>
        <w:pStyle w:val="ListParagraph"/>
        <w:numPr>
          <w:ilvl w:val="0"/>
          <w:numId w:val="2"/>
        </w:numPr>
        <w:tabs>
          <w:tab w:pos="1293" w:val="left" w:leader="none"/>
        </w:tabs>
        <w:spacing w:line="268" w:lineRule="auto" w:before="189" w:after="0"/>
        <w:ind w:left="1330" w:right="272" w:hanging="360"/>
        <w:jc w:val="both"/>
        <w:rPr>
          <w:sz w:val="32"/>
        </w:rPr>
      </w:pPr>
      <w:r>
        <w:rPr>
          <w:sz w:val="32"/>
        </w:rPr>
        <w:t>再申訴人係○○縣立○○高級中學人事室主任，其</w:t>
      </w:r>
      <w:r>
        <w:rPr>
          <w:rFonts w:ascii="細明體_HKSCS" w:hAnsi="細明體_HKSCS" w:eastAsia="細明體_HKSCS" w:hint="eastAsia"/>
          <w:sz w:val="32"/>
        </w:rPr>
        <w:t>104</w:t>
      </w:r>
      <w:r>
        <w:rPr>
          <w:sz w:val="32"/>
        </w:rPr>
        <w:t>年</w:t>
      </w:r>
      <w:r>
        <w:rPr>
          <w:spacing w:val="6"/>
          <w:w w:val="95"/>
          <w:sz w:val="32"/>
        </w:rPr>
        <w:t>年終考績之辦理程序，應由其直屬上級人事機構主管， 即○○縣政府人事處處長，以其平時成績考核紀錄為依 </w:t>
      </w:r>
      <w:r>
        <w:rPr>
          <w:spacing w:val="5"/>
          <w:sz w:val="32"/>
        </w:rPr>
        <w:t>據予以綜合評擬；惟其</w:t>
      </w:r>
      <w:r>
        <w:rPr>
          <w:rFonts w:ascii="細明體_HKSCS" w:hAnsi="細明體_HKSCS" w:eastAsia="細明體_HKSCS" w:hint="eastAsia"/>
          <w:sz w:val="32"/>
        </w:rPr>
        <w:t>104</w:t>
      </w:r>
      <w:r>
        <w:rPr>
          <w:sz w:val="32"/>
        </w:rPr>
        <w:t>年考績表，卻由該校校長評擬</w:t>
      </w:r>
      <w:r>
        <w:rPr>
          <w:spacing w:val="6"/>
          <w:w w:val="95"/>
          <w:sz w:val="32"/>
        </w:rPr>
        <w:t>後，即遞送考績會初核，首長覆核，核有法定程序之瑕</w:t>
      </w:r>
    </w:p>
    <w:p>
      <w:pPr>
        <w:spacing w:after="0" w:line="268" w:lineRule="auto"/>
        <w:jc w:val="both"/>
        <w:rPr>
          <w:sz w:val="32"/>
        </w:rPr>
        <w:sectPr>
          <w:pgSz w:w="11910" w:h="16840"/>
          <w:pgMar w:header="0" w:footer="1017" w:top="1180" w:bottom="1200" w:left="1300" w:right="1140"/>
        </w:sectPr>
      </w:pPr>
    </w:p>
    <w:p>
      <w:pPr>
        <w:pStyle w:val="BodyText"/>
        <w:spacing w:before="15"/>
        <w:jc w:val="left"/>
      </w:pPr>
      <w:r>
        <w:rPr>
          <w:spacing w:val="-81"/>
        </w:rPr>
        <w:t>疵。</w:t>
      </w:r>
      <w:r>
        <w:rPr/>
        <w:t>（</w:t>
      </w:r>
      <w:r>
        <w:rPr>
          <w:rFonts w:ascii="細明體_HKSCS" w:eastAsia="細明體_HKSCS" w:hint="eastAsia"/>
        </w:rPr>
        <w:t>105</w:t>
      </w:r>
      <w:r>
        <w:rPr/>
        <w:t>公申決字第</w:t>
      </w:r>
      <w:r>
        <w:rPr>
          <w:rFonts w:ascii="細明體_HKSCS" w:eastAsia="細明體_HKSCS" w:hint="eastAsia"/>
        </w:rPr>
        <w:t>0177</w:t>
      </w:r>
      <w:r>
        <w:rPr/>
        <w:t>號再申訴決定書）</w:t>
      </w:r>
    </w:p>
    <w:p>
      <w:pPr>
        <w:pStyle w:val="ListParagraph"/>
        <w:numPr>
          <w:ilvl w:val="0"/>
          <w:numId w:val="2"/>
        </w:numPr>
        <w:tabs>
          <w:tab w:pos="1293" w:val="left" w:leader="none"/>
        </w:tabs>
        <w:spacing w:line="268" w:lineRule="auto" w:before="254" w:after="0"/>
        <w:ind w:left="1330" w:right="269" w:hanging="360"/>
        <w:jc w:val="both"/>
        <w:rPr>
          <w:sz w:val="32"/>
        </w:rPr>
      </w:pPr>
      <w:r>
        <w:rPr>
          <w:spacing w:val="22"/>
          <w:w w:val="95"/>
          <w:sz w:val="32"/>
        </w:rPr>
        <w:t>○○縣政府為所屬國民小學公務人員考績案之核定機 </w:t>
      </w:r>
      <w:r>
        <w:rPr>
          <w:spacing w:val="6"/>
          <w:w w:val="95"/>
          <w:sz w:val="32"/>
        </w:rPr>
        <w:t>關，雖得就考列甲等人數及比率為彈性分配，惟該府主 要係以各該學校近年來未獲甲等比率為增列甲等名額之 基準，並未將受考人個別工作、操行、學識、才能各項 </w:t>
      </w:r>
      <w:r>
        <w:rPr>
          <w:spacing w:val="7"/>
          <w:w w:val="95"/>
          <w:sz w:val="32"/>
        </w:rPr>
        <w:t>表現列入考量，核與考績法第</w:t>
      </w:r>
      <w:r>
        <w:rPr>
          <w:rFonts w:ascii="細明體_HKSCS" w:hAnsi="細明體_HKSCS" w:eastAsia="細明體_HKSCS" w:hint="eastAsia"/>
          <w:spacing w:val="6"/>
          <w:w w:val="95"/>
          <w:sz w:val="32"/>
        </w:rPr>
        <w:t>3</w:t>
      </w:r>
      <w:r>
        <w:rPr>
          <w:spacing w:val="8"/>
          <w:w w:val="95"/>
          <w:sz w:val="32"/>
        </w:rPr>
        <w:t>條及第</w:t>
      </w:r>
      <w:r>
        <w:rPr>
          <w:rFonts w:ascii="細明體_HKSCS" w:hAnsi="細明體_HKSCS" w:eastAsia="細明體_HKSCS" w:hint="eastAsia"/>
          <w:spacing w:val="8"/>
          <w:w w:val="95"/>
          <w:sz w:val="32"/>
        </w:rPr>
        <w:t>5</w:t>
      </w:r>
      <w:r>
        <w:rPr>
          <w:spacing w:val="6"/>
          <w:w w:val="95"/>
          <w:sz w:val="32"/>
        </w:rPr>
        <w:t>條規定，年終考 </w:t>
      </w:r>
      <w:r>
        <w:rPr>
          <w:spacing w:val="5"/>
          <w:sz w:val="32"/>
        </w:rPr>
        <w:t>績應以平時考核為依據，考核公務人員當年</w:t>
      </w:r>
      <w:r>
        <w:rPr>
          <w:rFonts w:ascii="細明體_HKSCS" w:hAnsi="細明體_HKSCS" w:eastAsia="細明體_HKSCS" w:hint="eastAsia"/>
          <w:sz w:val="32"/>
        </w:rPr>
        <w:t>1</w:t>
      </w:r>
      <w:r>
        <w:rPr>
          <w:sz w:val="32"/>
        </w:rPr>
        <w:t>至</w:t>
      </w:r>
      <w:r>
        <w:rPr>
          <w:rFonts w:ascii="細明體_HKSCS" w:hAnsi="細明體_HKSCS" w:eastAsia="細明體_HKSCS" w:hint="eastAsia"/>
          <w:sz w:val="32"/>
        </w:rPr>
        <w:t>12</w:t>
      </w:r>
      <w:r>
        <w:rPr>
          <w:sz w:val="32"/>
        </w:rPr>
        <w:t>月任職</w:t>
      </w:r>
      <w:r>
        <w:rPr>
          <w:spacing w:val="-1"/>
          <w:sz w:val="32"/>
        </w:rPr>
        <w:t>期間工作、操行、學識、才能之成績，難謂相符。</w:t>
      </w:r>
      <w:r>
        <w:rPr>
          <w:sz w:val="32"/>
        </w:rPr>
        <w:t>（</w:t>
      </w:r>
      <w:r>
        <w:rPr>
          <w:rFonts w:ascii="細明體_HKSCS" w:hAnsi="細明體_HKSCS" w:eastAsia="細明體_HKSCS" w:hint="eastAsia"/>
          <w:sz w:val="32"/>
        </w:rPr>
        <w:t>105 </w:t>
      </w:r>
      <w:r>
        <w:rPr>
          <w:sz w:val="32"/>
        </w:rPr>
        <w:t>公申決字第</w:t>
      </w:r>
      <w:r>
        <w:rPr>
          <w:rFonts w:ascii="細明體_HKSCS" w:hAnsi="細明體_HKSCS" w:eastAsia="細明體_HKSCS" w:hint="eastAsia"/>
          <w:sz w:val="32"/>
        </w:rPr>
        <w:t>0215</w:t>
      </w:r>
      <w:r>
        <w:rPr>
          <w:sz w:val="32"/>
        </w:rPr>
        <w:t>號再申訴決定書）</w:t>
      </w:r>
    </w:p>
    <w:p>
      <w:pPr>
        <w:pStyle w:val="ListParagraph"/>
        <w:numPr>
          <w:ilvl w:val="0"/>
          <w:numId w:val="2"/>
        </w:numPr>
        <w:tabs>
          <w:tab w:pos="1293" w:val="left" w:leader="none"/>
        </w:tabs>
        <w:spacing w:line="268" w:lineRule="auto" w:before="188" w:after="0"/>
        <w:ind w:left="1330" w:right="273" w:hanging="360"/>
        <w:jc w:val="both"/>
        <w:rPr>
          <w:sz w:val="32"/>
        </w:rPr>
      </w:pPr>
      <w:r>
        <w:rPr>
          <w:sz w:val="32"/>
        </w:rPr>
        <w:t>依考績法施行細則第</w:t>
      </w:r>
      <w:r>
        <w:rPr>
          <w:rFonts w:ascii="細明體_HKSCS" w:hAnsi="細明體_HKSCS" w:eastAsia="細明體_HKSCS" w:hint="eastAsia"/>
          <w:spacing w:val="3"/>
          <w:sz w:val="32"/>
        </w:rPr>
        <w:t>2</w:t>
      </w:r>
      <w:r>
        <w:rPr>
          <w:spacing w:val="2"/>
          <w:sz w:val="32"/>
        </w:rPr>
        <w:t>條第</w:t>
      </w:r>
      <w:r>
        <w:rPr>
          <w:rFonts w:ascii="細明體_HKSCS" w:hAnsi="細明體_HKSCS" w:eastAsia="細明體_HKSCS" w:hint="eastAsia"/>
          <w:sz w:val="32"/>
        </w:rPr>
        <w:t>2</w:t>
      </w:r>
      <w:r>
        <w:rPr>
          <w:sz w:val="32"/>
        </w:rPr>
        <w:t>項規定，公務人員除於</w:t>
      </w:r>
      <w:r>
        <w:rPr>
          <w:rFonts w:ascii="細明體_HKSCS" w:hAnsi="細明體_HKSCS" w:eastAsia="細明體_HKSCS" w:hint="eastAsia"/>
          <w:sz w:val="32"/>
        </w:rPr>
        <w:t>12</w:t>
      </w:r>
      <w:r>
        <w:rPr>
          <w:spacing w:val="4"/>
          <w:sz w:val="32"/>
        </w:rPr>
        <w:t>月</w:t>
      </w:r>
      <w:r>
        <w:rPr>
          <w:rFonts w:ascii="細明體_HKSCS" w:hAnsi="細明體_HKSCS" w:eastAsia="細明體_HKSCS" w:hint="eastAsia"/>
          <w:sz w:val="32"/>
        </w:rPr>
        <w:t>2 </w:t>
      </w:r>
      <w:r>
        <w:rPr>
          <w:spacing w:val="6"/>
          <w:w w:val="95"/>
          <w:sz w:val="32"/>
        </w:rPr>
        <w:t>日以後調任他機關，仍由原任職機關以原職務辦理考績 外，應以年終任職之職務辦理考績。再申訴人原係內政 </w:t>
      </w:r>
      <w:r>
        <w:rPr>
          <w:spacing w:val="8"/>
          <w:w w:val="95"/>
          <w:sz w:val="32"/>
        </w:rPr>
        <w:t>部警政署</w:t>
      </w:r>
      <w:r>
        <w:rPr>
          <w:spacing w:val="9"/>
          <w:w w:val="95"/>
          <w:sz w:val="32"/>
        </w:rPr>
        <w:t>（</w:t>
      </w:r>
      <w:r>
        <w:rPr>
          <w:spacing w:val="7"/>
          <w:w w:val="95"/>
          <w:sz w:val="32"/>
        </w:rPr>
        <w:t>以下簡稱警政署）</w:t>
      </w:r>
      <w:r>
        <w:rPr>
          <w:spacing w:val="6"/>
          <w:w w:val="95"/>
          <w:sz w:val="32"/>
        </w:rPr>
        <w:t>保安警察第○總隊第一大 </w:t>
      </w:r>
      <w:r>
        <w:rPr>
          <w:spacing w:val="15"/>
          <w:w w:val="95"/>
          <w:sz w:val="32"/>
        </w:rPr>
        <w:t>隊小隊長，於</w:t>
      </w:r>
      <w:r>
        <w:rPr>
          <w:rFonts w:ascii="細明體_HKSCS" w:hAnsi="細明體_HKSCS" w:eastAsia="細明體_HKSCS" w:hint="eastAsia"/>
          <w:spacing w:val="4"/>
          <w:w w:val="95"/>
          <w:sz w:val="32"/>
        </w:rPr>
        <w:t>104</w:t>
      </w:r>
      <w:r>
        <w:rPr>
          <w:spacing w:val="16"/>
          <w:w w:val="95"/>
          <w:sz w:val="32"/>
        </w:rPr>
        <w:t>年</w:t>
      </w:r>
      <w:r>
        <w:rPr>
          <w:rFonts w:ascii="細明體_HKSCS" w:hAnsi="細明體_HKSCS" w:eastAsia="細明體_HKSCS" w:hint="eastAsia"/>
          <w:spacing w:val="8"/>
          <w:w w:val="95"/>
          <w:sz w:val="32"/>
        </w:rPr>
        <w:t>12</w:t>
      </w:r>
      <w:r>
        <w:rPr>
          <w:spacing w:val="16"/>
          <w:w w:val="95"/>
          <w:sz w:val="32"/>
        </w:rPr>
        <w:t>月</w:t>
      </w:r>
      <w:r>
        <w:rPr>
          <w:rFonts w:ascii="細明體_HKSCS" w:hAnsi="細明體_HKSCS" w:eastAsia="細明體_HKSCS" w:hint="eastAsia"/>
          <w:spacing w:val="8"/>
          <w:w w:val="95"/>
          <w:sz w:val="32"/>
        </w:rPr>
        <w:t>14</w:t>
      </w:r>
      <w:r>
        <w:rPr>
          <w:spacing w:val="12"/>
          <w:w w:val="95"/>
          <w:sz w:val="32"/>
        </w:rPr>
        <w:t>日調任該總隊第二大隊小隊 </w:t>
      </w:r>
      <w:r>
        <w:rPr>
          <w:spacing w:val="6"/>
          <w:w w:val="95"/>
          <w:sz w:val="32"/>
        </w:rPr>
        <w:t>長，屬機關內部單位間之調動，並無上開考績法施行細 </w:t>
      </w:r>
      <w:r>
        <w:rPr>
          <w:spacing w:val="6"/>
          <w:sz w:val="32"/>
        </w:rPr>
        <w:t>則第</w:t>
      </w:r>
      <w:r>
        <w:rPr>
          <w:rFonts w:ascii="細明體_HKSCS" w:hAnsi="細明體_HKSCS" w:eastAsia="細明體_HKSCS" w:hint="eastAsia"/>
          <w:spacing w:val="6"/>
          <w:sz w:val="32"/>
        </w:rPr>
        <w:t>2</w:t>
      </w:r>
      <w:r>
        <w:rPr>
          <w:spacing w:val="4"/>
          <w:sz w:val="32"/>
        </w:rPr>
        <w:t>條第</w:t>
      </w:r>
      <w:r>
        <w:rPr>
          <w:rFonts w:ascii="細明體_HKSCS" w:hAnsi="細明體_HKSCS" w:eastAsia="細明體_HKSCS" w:hint="eastAsia"/>
          <w:sz w:val="32"/>
        </w:rPr>
        <w:t>2</w:t>
      </w:r>
      <w:r>
        <w:rPr>
          <w:sz w:val="32"/>
        </w:rPr>
        <w:t>項規定之適用，其</w:t>
      </w:r>
      <w:r>
        <w:rPr>
          <w:rFonts w:ascii="細明體_HKSCS" w:hAnsi="細明體_HKSCS" w:eastAsia="細明體_HKSCS" w:hint="eastAsia"/>
          <w:sz w:val="32"/>
        </w:rPr>
        <w:t>104</w:t>
      </w:r>
      <w:r>
        <w:rPr>
          <w:sz w:val="32"/>
        </w:rPr>
        <w:t>年年終考績應由年終所</w:t>
      </w:r>
      <w:r>
        <w:rPr>
          <w:spacing w:val="6"/>
          <w:w w:val="95"/>
          <w:sz w:val="32"/>
        </w:rPr>
        <w:t>任職務之主管人員，即第二大隊大隊長進行評擬，始為 </w:t>
      </w:r>
      <w:r>
        <w:rPr>
          <w:spacing w:val="-49"/>
          <w:sz w:val="32"/>
        </w:rPr>
        <w:t>適法。</w:t>
      </w:r>
      <w:r>
        <w:rPr>
          <w:sz w:val="32"/>
        </w:rPr>
        <w:t>（</w:t>
      </w:r>
      <w:r>
        <w:rPr>
          <w:rFonts w:ascii="細明體_HKSCS" w:hAnsi="細明體_HKSCS" w:eastAsia="細明體_HKSCS" w:hint="eastAsia"/>
          <w:sz w:val="32"/>
        </w:rPr>
        <w:t>105</w:t>
      </w:r>
      <w:r>
        <w:rPr>
          <w:sz w:val="32"/>
        </w:rPr>
        <w:t>公申決字第</w:t>
      </w:r>
      <w:r>
        <w:rPr>
          <w:rFonts w:ascii="細明體_HKSCS" w:hAnsi="細明體_HKSCS" w:eastAsia="細明體_HKSCS" w:hint="eastAsia"/>
          <w:sz w:val="32"/>
        </w:rPr>
        <w:t>0236</w:t>
      </w:r>
      <w:r>
        <w:rPr>
          <w:sz w:val="32"/>
        </w:rPr>
        <w:t>號再申訴決定書）</w:t>
      </w:r>
    </w:p>
    <w:p>
      <w:pPr>
        <w:pStyle w:val="Heading1"/>
        <w:spacing w:before="83"/>
      </w:pPr>
      <w:r>
        <w:rPr/>
        <w:t>二、 關於考績（成）實體撤銷理由部分︰</w:t>
      </w:r>
    </w:p>
    <w:p>
      <w:pPr>
        <w:spacing w:before="34"/>
        <w:ind w:left="838" w:right="0" w:firstLine="0"/>
        <w:jc w:val="left"/>
        <w:rPr>
          <w:rFonts w:ascii="微軟正黑體" w:eastAsia="微軟正黑體" w:hint="eastAsia"/>
          <w:b/>
          <w:sz w:val="32"/>
        </w:rPr>
      </w:pPr>
      <w:r>
        <w:rPr>
          <w:rFonts w:ascii="微軟正黑體" w:eastAsia="微軟正黑體" w:hint="eastAsia"/>
          <w:b/>
          <w:sz w:val="32"/>
        </w:rPr>
        <w:t>服務機關對考評事實未經詳實調查或認定有誤︰</w:t>
      </w:r>
    </w:p>
    <w:p>
      <w:pPr>
        <w:pStyle w:val="BodyText"/>
        <w:spacing w:line="268" w:lineRule="auto" w:before="136"/>
        <w:ind w:left="838" w:right="269"/>
        <w:rPr>
          <w:rFonts w:ascii="細明體_HKSCS" w:eastAsia="細明體_HKSCS" w:hint="eastAsia"/>
        </w:rPr>
      </w:pPr>
      <w:r>
        <w:rPr>
          <w:spacing w:val="8"/>
          <w:w w:val="95"/>
        </w:rPr>
        <w:t>考績法第</w:t>
      </w:r>
      <w:r>
        <w:rPr>
          <w:rFonts w:ascii="細明體_HKSCS" w:eastAsia="細明體_HKSCS" w:hint="eastAsia"/>
          <w:spacing w:val="3"/>
          <w:w w:val="95"/>
        </w:rPr>
        <w:t>13</w:t>
      </w:r>
      <w:r>
        <w:rPr>
          <w:spacing w:val="7"/>
          <w:w w:val="95"/>
        </w:rPr>
        <w:t>條前段、同法施行細則第</w:t>
      </w:r>
      <w:r>
        <w:rPr>
          <w:rFonts w:ascii="細明體_HKSCS" w:eastAsia="細明體_HKSCS" w:hint="eastAsia"/>
          <w:spacing w:val="3"/>
          <w:w w:val="95"/>
        </w:rPr>
        <w:t>16</w:t>
      </w:r>
      <w:r>
        <w:rPr>
          <w:spacing w:val="8"/>
          <w:w w:val="95"/>
        </w:rPr>
        <w:t>條第</w:t>
      </w:r>
      <w:r>
        <w:rPr>
          <w:rFonts w:ascii="細明體_HKSCS" w:eastAsia="細明體_HKSCS" w:hint="eastAsia"/>
          <w:spacing w:val="8"/>
          <w:w w:val="95"/>
        </w:rPr>
        <w:t>1</w:t>
      </w:r>
      <w:r>
        <w:rPr>
          <w:spacing w:val="5"/>
          <w:w w:val="95"/>
        </w:rPr>
        <w:t>項及各機關辦 </w:t>
      </w:r>
      <w:r>
        <w:rPr>
          <w:spacing w:val="5"/>
        </w:rPr>
        <w:t>理公務人員考績（成）作業要點第</w:t>
      </w:r>
      <w:r>
        <w:rPr>
          <w:rFonts w:ascii="細明體_HKSCS" w:eastAsia="細明體_HKSCS" w:hint="eastAsia"/>
        </w:rPr>
        <w:t>5</w:t>
      </w:r>
      <w:r>
        <w:rPr/>
        <w:t>點第</w:t>
      </w:r>
      <w:r>
        <w:rPr>
          <w:rFonts w:ascii="細明體_HKSCS" w:eastAsia="細明體_HKSCS" w:hint="eastAsia"/>
        </w:rPr>
        <w:t>2</w:t>
      </w:r>
      <w:r>
        <w:rPr/>
        <w:t>項等規定，受考人考績年度內之平時考核獎懲次數，應詳實填列於考績表內， </w:t>
      </w:r>
      <w:r>
        <w:rPr>
          <w:spacing w:val="13"/>
          <w:w w:val="95"/>
        </w:rPr>
        <w:t>不得遺漏或登載錯誤，以作為主管人員就考績表項目評擬 </w:t>
      </w:r>
      <w:r>
        <w:rPr>
          <w:spacing w:val="2"/>
        </w:rPr>
        <w:t>時，併入年終考績增減分數之依據。是機關辦理公務人員年</w:t>
      </w:r>
      <w:r>
        <w:rPr/>
        <w:t>終考績案，如有漏計其考績年度內獎勵次數之情事，即屬考</w:t>
      </w:r>
      <w:r>
        <w:rPr>
          <w:spacing w:val="-23"/>
        </w:rPr>
        <w:t>評事實有錯誤。</w:t>
      </w:r>
      <w:r>
        <w:rPr/>
        <w:t>（</w:t>
      </w:r>
      <w:r>
        <w:rPr>
          <w:rFonts w:ascii="細明體_HKSCS" w:eastAsia="細明體_HKSCS" w:hint="eastAsia"/>
        </w:rPr>
        <w:t>105</w:t>
      </w:r>
      <w:r>
        <w:rPr/>
        <w:t>公申決字第</w:t>
      </w:r>
      <w:r>
        <w:rPr>
          <w:rFonts w:ascii="細明體_HKSCS" w:eastAsia="細明體_HKSCS" w:hint="eastAsia"/>
        </w:rPr>
        <w:t>0128</w:t>
      </w:r>
      <w:r>
        <w:rPr/>
        <w:t>號、第</w:t>
      </w:r>
      <w:r>
        <w:rPr>
          <w:rFonts w:ascii="細明體_HKSCS" w:eastAsia="細明體_HKSCS" w:hint="eastAsia"/>
        </w:rPr>
        <w:t>0188</w:t>
      </w:r>
      <w:r>
        <w:rPr>
          <w:spacing w:val="1"/>
        </w:rPr>
        <w:t>號、第</w:t>
      </w:r>
      <w:r>
        <w:rPr>
          <w:rFonts w:ascii="細明體_HKSCS" w:eastAsia="細明體_HKSCS" w:hint="eastAsia"/>
        </w:rPr>
        <w:t>0189</w:t>
      </w:r>
    </w:p>
    <w:p>
      <w:pPr>
        <w:spacing w:after="0" w:line="268" w:lineRule="auto"/>
        <w:rPr>
          <w:rFonts w:ascii="細明體_HKSCS" w:eastAsia="細明體_HKSCS" w:hint="eastAsia"/>
        </w:rPr>
        <w:sectPr>
          <w:pgSz w:w="11910" w:h="16840"/>
          <w:pgMar w:header="0" w:footer="1017" w:top="1180" w:bottom="1200" w:left="1300" w:right="1140"/>
        </w:sectPr>
      </w:pPr>
    </w:p>
    <w:p>
      <w:pPr>
        <w:spacing w:line="276" w:lineRule="auto" w:before="15"/>
        <w:ind w:left="118" w:right="4461" w:firstLine="719"/>
        <w:jc w:val="left"/>
        <w:rPr>
          <w:rFonts w:ascii="微軟正黑體" w:eastAsia="微軟正黑體" w:hint="eastAsia"/>
          <w:b/>
          <w:sz w:val="32"/>
        </w:rPr>
      </w:pPr>
      <w:r>
        <w:rPr>
          <w:sz w:val="32"/>
        </w:rPr>
        <w:t>號、第</w:t>
      </w:r>
      <w:r>
        <w:rPr>
          <w:rFonts w:ascii="細明體_HKSCS" w:eastAsia="細明體_HKSCS" w:hint="eastAsia"/>
          <w:sz w:val="32"/>
        </w:rPr>
        <w:t>0301</w:t>
      </w:r>
      <w:r>
        <w:rPr>
          <w:sz w:val="32"/>
        </w:rPr>
        <w:t>號再申訴決定書） </w:t>
      </w:r>
      <w:r>
        <w:rPr>
          <w:rFonts w:ascii="微軟正黑體" w:eastAsia="微軟正黑體" w:hint="eastAsia"/>
          <w:b/>
          <w:sz w:val="32"/>
        </w:rPr>
        <w:t>三、 關於懲處實體撤銷理由部分︰</w:t>
      </w:r>
    </w:p>
    <w:p>
      <w:pPr>
        <w:pStyle w:val="BodyText"/>
        <w:spacing w:line="428" w:lineRule="exact"/>
        <w:ind w:left="834"/>
        <w:jc w:val="left"/>
      </w:pPr>
      <w:r>
        <w:rPr/>
        <w:t>依考績法第</w:t>
      </w:r>
      <w:r>
        <w:rPr>
          <w:rFonts w:ascii="細明體_HKSCS" w:eastAsia="細明體_HKSCS" w:hint="eastAsia"/>
        </w:rPr>
        <w:t>14</w:t>
      </w:r>
      <w:r>
        <w:rPr/>
        <w:t>條、第</w:t>
      </w:r>
      <w:r>
        <w:rPr>
          <w:rFonts w:ascii="細明體_HKSCS" w:eastAsia="細明體_HKSCS" w:hint="eastAsia"/>
        </w:rPr>
        <w:t>15</w:t>
      </w:r>
      <w:r>
        <w:rPr/>
        <w:t>條及組織規程第</w:t>
      </w:r>
      <w:r>
        <w:rPr>
          <w:rFonts w:ascii="細明體_HKSCS" w:eastAsia="細明體_HKSCS" w:hint="eastAsia"/>
        </w:rPr>
        <w:t>3</w:t>
      </w:r>
      <w:r>
        <w:rPr/>
        <w:t>條規定，除長官僅</w:t>
      </w:r>
    </w:p>
    <w:p>
      <w:pPr>
        <w:pStyle w:val="BodyText"/>
        <w:spacing w:line="268" w:lineRule="auto" w:before="52"/>
        <w:ind w:left="824" w:right="272"/>
      </w:pPr>
      <w:r>
        <w:rPr/>
        <w:t>有一級或因特殊情形報經上級機關核准不設置考績會外，各機關應設考績會，以核議機關職員及直屬機關首長之平時考核懲處。是各機關辦理公務人員懲處時，自應依考績法相關規定及各機關懲處規定辦理，惟尚有下列瑕疵，而經本會決定撤銷者︰</w:t>
      </w:r>
    </w:p>
    <w:p>
      <w:pPr>
        <w:pStyle w:val="Heading1"/>
        <w:spacing w:before="9"/>
      </w:pPr>
      <w:r>
        <w:rPr/>
        <w:t>（一） 書面告誡已逾10年時效：</w:t>
      </w:r>
    </w:p>
    <w:p>
      <w:pPr>
        <w:pStyle w:val="BodyText"/>
        <w:spacing w:line="268" w:lineRule="auto" w:before="67"/>
        <w:ind w:left="1138" w:right="283"/>
      </w:pPr>
      <w:r>
        <w:rPr>
          <w:spacing w:val="-1"/>
        </w:rPr>
        <w:t>機關長官基於監督權之行使，對於公務人員所為之書面告誡，固非考績法上所明定平時考核之懲處態樣，惟仍屬對公務人員所為具考核性質之管理措施。參酌司法院釋字第</w:t>
      </w:r>
    </w:p>
    <w:p>
      <w:pPr>
        <w:pStyle w:val="BodyText"/>
        <w:spacing w:line="268" w:lineRule="auto"/>
        <w:ind w:left="1138" w:right="274"/>
      </w:pPr>
      <w:r>
        <w:rPr>
          <w:rFonts w:ascii="細明體_HKSCS" w:hAnsi="細明體_HKSCS" w:eastAsia="細明體_HKSCS" w:hint="eastAsia"/>
        </w:rPr>
        <w:t>583</w:t>
      </w:r>
      <w:r>
        <w:rPr>
          <w:rFonts w:ascii="細明體_HKSCS" w:hAnsi="細明體_HKSCS" w:eastAsia="細明體_HKSCS" w:hint="eastAsia"/>
          <w:spacing w:val="14"/>
        </w:rPr>
        <w:t> </w:t>
      </w:r>
      <w:r>
        <w:rPr/>
        <w:t>號解釋意旨，應類推適用公務員懲戒法以懲戒權行使</w:t>
      </w:r>
      <w:r>
        <w:rPr>
          <w:spacing w:val="-14"/>
        </w:rPr>
        <w:t>期間為 </w:t>
      </w:r>
      <w:r>
        <w:rPr>
          <w:rFonts w:ascii="細明體_HKSCS" w:hAnsi="細明體_HKSCS" w:eastAsia="細明體_HKSCS" w:hint="eastAsia"/>
        </w:rPr>
        <w:t>10</w:t>
      </w:r>
      <w:r>
        <w:rPr>
          <w:rFonts w:ascii="細明體_HKSCS" w:hAnsi="細明體_HKSCS" w:eastAsia="細明體_HKSCS" w:hint="eastAsia"/>
          <w:spacing w:val="-57"/>
        </w:rPr>
        <w:t> </w:t>
      </w:r>
      <w:r>
        <w:rPr>
          <w:spacing w:val="-5"/>
        </w:rPr>
        <w:t>年之規定。○○市政府於 </w:t>
      </w:r>
      <w:r>
        <w:rPr>
          <w:rFonts w:ascii="細明體_HKSCS" w:hAnsi="細明體_HKSCS" w:eastAsia="細明體_HKSCS" w:hint="eastAsia"/>
        </w:rPr>
        <w:t>105</w:t>
      </w:r>
      <w:r>
        <w:rPr>
          <w:rFonts w:ascii="細明體_HKSCS" w:hAnsi="細明體_HKSCS" w:eastAsia="細明體_HKSCS" w:hint="eastAsia"/>
          <w:spacing w:val="-57"/>
        </w:rPr>
        <w:t> </w:t>
      </w:r>
      <w:r>
        <w:rPr>
          <w:spacing w:val="-26"/>
        </w:rPr>
        <w:t>年 </w:t>
      </w:r>
      <w:r>
        <w:rPr>
          <w:rFonts w:ascii="細明體_HKSCS" w:hAnsi="細明體_HKSCS" w:eastAsia="細明體_HKSCS" w:hint="eastAsia"/>
        </w:rPr>
        <w:t>3</w:t>
      </w:r>
      <w:r>
        <w:rPr>
          <w:rFonts w:ascii="細明體_HKSCS" w:hAnsi="細明體_HKSCS" w:eastAsia="細明體_HKSCS" w:hint="eastAsia"/>
          <w:spacing w:val="-55"/>
        </w:rPr>
        <w:t> </w:t>
      </w:r>
      <w:r>
        <w:rPr>
          <w:spacing w:val="-26"/>
        </w:rPr>
        <w:t>月 </w:t>
      </w:r>
      <w:r>
        <w:rPr>
          <w:rFonts w:ascii="細明體_HKSCS" w:hAnsi="細明體_HKSCS" w:eastAsia="細明體_HKSCS" w:hint="eastAsia"/>
        </w:rPr>
        <w:t>9</w:t>
      </w:r>
      <w:r>
        <w:rPr>
          <w:rFonts w:ascii="細明體_HKSCS" w:hAnsi="細明體_HKSCS" w:eastAsia="細明體_HKSCS" w:hint="eastAsia"/>
          <w:spacing w:val="-56"/>
        </w:rPr>
        <w:t> </w:t>
      </w:r>
      <w:r>
        <w:rPr>
          <w:spacing w:val="-5"/>
        </w:rPr>
        <w:t>日始以系爭書面告誡，追究再申訴人於 </w:t>
      </w:r>
      <w:r>
        <w:rPr>
          <w:rFonts w:ascii="細明體_HKSCS" w:hAnsi="細明體_HKSCS" w:eastAsia="細明體_HKSCS" w:hint="eastAsia"/>
        </w:rPr>
        <w:t>81</w:t>
      </w:r>
      <w:r>
        <w:rPr>
          <w:rFonts w:ascii="細明體_HKSCS" w:hAnsi="細明體_HKSCS" w:eastAsia="細明體_HKSCS" w:hint="eastAsia"/>
          <w:spacing w:val="-69"/>
        </w:rPr>
        <w:t> </w:t>
      </w:r>
      <w:r>
        <w:rPr>
          <w:spacing w:val="-23"/>
        </w:rPr>
        <w:t>年至 </w:t>
      </w:r>
      <w:r>
        <w:rPr>
          <w:rFonts w:ascii="細明體_HKSCS" w:hAnsi="細明體_HKSCS" w:eastAsia="細明體_HKSCS" w:hint="eastAsia"/>
        </w:rPr>
        <w:t>84</w:t>
      </w:r>
      <w:r>
        <w:rPr>
          <w:rFonts w:ascii="細明體_HKSCS" w:hAnsi="細明體_HKSCS" w:eastAsia="細明體_HKSCS" w:hint="eastAsia"/>
          <w:spacing w:val="-71"/>
        </w:rPr>
        <w:t> </w:t>
      </w:r>
      <w:r>
        <w:rPr>
          <w:spacing w:val="-2"/>
        </w:rPr>
        <w:t>年間之違失行</w:t>
      </w:r>
      <w:r>
        <w:rPr>
          <w:spacing w:val="6"/>
        </w:rPr>
        <w:t>為，已逾 </w:t>
      </w:r>
      <w:r>
        <w:rPr>
          <w:rFonts w:ascii="細明體_HKSCS" w:hAnsi="細明體_HKSCS" w:eastAsia="細明體_HKSCS" w:hint="eastAsia"/>
        </w:rPr>
        <w:t>10</w:t>
      </w:r>
      <w:r>
        <w:rPr>
          <w:rFonts w:ascii="細明體_HKSCS" w:hAnsi="細明體_HKSCS" w:eastAsia="細明體_HKSCS" w:hint="eastAsia"/>
          <w:spacing w:val="3"/>
        </w:rPr>
        <w:t> </w:t>
      </w:r>
      <w:r>
        <w:rPr>
          <w:spacing w:val="-6"/>
        </w:rPr>
        <w:t>年期間，於法即有未合。</w:t>
      </w:r>
      <w:r>
        <w:rPr>
          <w:spacing w:val="2"/>
        </w:rPr>
        <w:t>（</w:t>
      </w:r>
      <w:r>
        <w:rPr>
          <w:rFonts w:ascii="細明體_HKSCS" w:hAnsi="細明體_HKSCS" w:eastAsia="細明體_HKSCS" w:hint="eastAsia"/>
          <w:spacing w:val="2"/>
        </w:rPr>
        <w:t>105</w:t>
      </w:r>
      <w:r>
        <w:rPr>
          <w:rFonts w:ascii="細明體_HKSCS" w:hAnsi="細明體_HKSCS" w:eastAsia="細明體_HKSCS" w:hint="eastAsia"/>
          <w:spacing w:val="3"/>
        </w:rPr>
        <w:t> </w:t>
      </w:r>
      <w:r>
        <w:rPr>
          <w:spacing w:val="7"/>
        </w:rPr>
        <w:t>公申決字第</w:t>
      </w:r>
    </w:p>
    <w:p>
      <w:pPr>
        <w:pStyle w:val="BodyText"/>
        <w:spacing w:line="442" w:lineRule="exact"/>
        <w:ind w:left="1138"/>
        <w:jc w:val="left"/>
      </w:pPr>
      <w:r>
        <w:rPr>
          <w:rFonts w:ascii="細明體_HKSCS" w:eastAsia="細明體_HKSCS" w:hint="eastAsia"/>
        </w:rPr>
        <w:t>0169</w:t>
      </w:r>
      <w:r>
        <w:rPr>
          <w:rFonts w:ascii="細明體_HKSCS" w:eastAsia="細明體_HKSCS" w:hint="eastAsia"/>
          <w:spacing w:val="-82"/>
        </w:rPr>
        <w:t> </w:t>
      </w:r>
      <w:r>
        <w:rPr/>
        <w:t>號再申訴決定書）</w:t>
      </w:r>
    </w:p>
    <w:p>
      <w:pPr>
        <w:pStyle w:val="Heading1"/>
        <w:spacing w:before="144"/>
      </w:pPr>
      <w:r>
        <w:rPr/>
        <w:t>（二） 懲處違反一行為不二罰原則︰</w:t>
      </w:r>
    </w:p>
    <w:p>
      <w:pPr>
        <w:pStyle w:val="ListParagraph"/>
        <w:numPr>
          <w:ilvl w:val="0"/>
          <w:numId w:val="3"/>
        </w:numPr>
        <w:tabs>
          <w:tab w:pos="1293" w:val="left" w:leader="none"/>
        </w:tabs>
        <w:spacing w:line="268" w:lineRule="auto" w:before="67" w:after="0"/>
        <w:ind w:left="1330" w:right="270" w:hanging="360"/>
        <w:jc w:val="both"/>
        <w:rPr>
          <w:sz w:val="32"/>
        </w:rPr>
      </w:pPr>
      <w:r>
        <w:rPr>
          <w:spacing w:val="8"/>
          <w:w w:val="95"/>
          <w:sz w:val="32"/>
        </w:rPr>
        <w:t>按「一行為不二罰」乃現代民主法治國家之基本原則， </w:t>
      </w:r>
      <w:r>
        <w:rPr>
          <w:spacing w:val="6"/>
          <w:w w:val="95"/>
          <w:sz w:val="32"/>
        </w:rPr>
        <w:t>機關對於行為人基於相同動機或概括犯意之單一事件， 應整體考量，合併審究其行政責任。服務機關於發布懲 處令前，如已知悉再申訴人另有類型相同之違失行為， </w:t>
      </w:r>
      <w:r>
        <w:rPr>
          <w:spacing w:val="5"/>
          <w:sz w:val="32"/>
        </w:rPr>
        <w:t>自應就再申訴人基於相同動機，且出於概括犯意之上開</w:t>
      </w:r>
      <w:r>
        <w:rPr>
          <w:rFonts w:ascii="細明體_HKSCS" w:eastAsia="細明體_HKSCS" w:hint="eastAsia"/>
          <w:spacing w:val="-12"/>
          <w:sz w:val="32"/>
        </w:rPr>
        <w:t>2 </w:t>
      </w:r>
      <w:r>
        <w:rPr>
          <w:spacing w:val="6"/>
          <w:w w:val="95"/>
          <w:sz w:val="32"/>
        </w:rPr>
        <w:t>次行為為整體考量，合併審究其行政責任；如就類型相 </w:t>
      </w:r>
      <w:r>
        <w:rPr>
          <w:spacing w:val="5"/>
          <w:sz w:val="32"/>
        </w:rPr>
        <w:t>同之違失行為，先後核予</w:t>
      </w:r>
      <w:r>
        <w:rPr>
          <w:rFonts w:ascii="細明體_HKSCS" w:eastAsia="細明體_HKSCS" w:hint="eastAsia"/>
          <w:sz w:val="32"/>
        </w:rPr>
        <w:t>2</w:t>
      </w:r>
      <w:r>
        <w:rPr>
          <w:sz w:val="32"/>
        </w:rPr>
        <w:t>次懲處，即與一事不二罰之原</w:t>
      </w:r>
      <w:r>
        <w:rPr>
          <w:spacing w:val="-40"/>
          <w:sz w:val="32"/>
        </w:rPr>
        <w:t>則有違。</w:t>
      </w:r>
      <w:r>
        <w:rPr>
          <w:sz w:val="32"/>
        </w:rPr>
        <w:t>（</w:t>
      </w:r>
      <w:r>
        <w:rPr>
          <w:rFonts w:ascii="細明體_HKSCS" w:eastAsia="細明體_HKSCS" w:hint="eastAsia"/>
          <w:sz w:val="32"/>
        </w:rPr>
        <w:t>105</w:t>
      </w:r>
      <w:r>
        <w:rPr>
          <w:sz w:val="32"/>
        </w:rPr>
        <w:t>公申決字第</w:t>
      </w:r>
      <w:r>
        <w:rPr>
          <w:rFonts w:ascii="細明體_HKSCS" w:eastAsia="細明體_HKSCS" w:hint="eastAsia"/>
          <w:sz w:val="32"/>
        </w:rPr>
        <w:t>0193</w:t>
      </w:r>
      <w:r>
        <w:rPr>
          <w:sz w:val="32"/>
        </w:rPr>
        <w:t>號再申訴決定書）</w:t>
      </w:r>
    </w:p>
    <w:p>
      <w:pPr>
        <w:pStyle w:val="ListParagraph"/>
        <w:numPr>
          <w:ilvl w:val="0"/>
          <w:numId w:val="3"/>
        </w:numPr>
        <w:tabs>
          <w:tab w:pos="1293" w:val="left" w:leader="none"/>
        </w:tabs>
        <w:spacing w:line="240" w:lineRule="auto" w:before="189" w:after="0"/>
        <w:ind w:left="1292" w:right="0" w:hanging="322"/>
        <w:jc w:val="left"/>
        <w:rPr>
          <w:sz w:val="32"/>
        </w:rPr>
      </w:pPr>
      <w:r>
        <w:rPr>
          <w:spacing w:val="9"/>
          <w:w w:val="95"/>
          <w:sz w:val="32"/>
        </w:rPr>
        <w:t>○○縣政府警察局以再申訴人</w:t>
      </w:r>
      <w:r>
        <w:rPr>
          <w:rFonts w:ascii="細明體_HKSCS" w:hAnsi="細明體_HKSCS" w:eastAsia="細明體_HKSCS" w:hint="eastAsia"/>
          <w:w w:val="95"/>
          <w:sz w:val="32"/>
        </w:rPr>
        <w:t>105</w:t>
      </w:r>
      <w:r>
        <w:rPr>
          <w:spacing w:val="12"/>
          <w:w w:val="95"/>
          <w:sz w:val="32"/>
        </w:rPr>
        <w:t>年</w:t>
      </w:r>
      <w:r>
        <w:rPr>
          <w:rFonts w:ascii="細明體_HKSCS" w:hAnsi="細明體_HKSCS" w:eastAsia="細明體_HKSCS" w:hint="eastAsia"/>
          <w:spacing w:val="8"/>
          <w:w w:val="95"/>
          <w:sz w:val="32"/>
        </w:rPr>
        <w:t>4</w:t>
      </w:r>
      <w:r>
        <w:rPr>
          <w:spacing w:val="12"/>
          <w:w w:val="95"/>
          <w:sz w:val="32"/>
        </w:rPr>
        <w:t>月</w:t>
      </w:r>
      <w:r>
        <w:rPr>
          <w:rFonts w:ascii="細明體_HKSCS" w:hAnsi="細明體_HKSCS" w:eastAsia="細明體_HKSCS" w:hint="eastAsia"/>
          <w:spacing w:val="4"/>
          <w:w w:val="95"/>
          <w:sz w:val="32"/>
        </w:rPr>
        <w:t>13</w:t>
      </w:r>
      <w:r>
        <w:rPr>
          <w:spacing w:val="7"/>
          <w:w w:val="95"/>
          <w:sz w:val="32"/>
        </w:rPr>
        <w:t>日不假外出達</w:t>
      </w:r>
    </w:p>
    <w:p>
      <w:pPr>
        <w:spacing w:after="0" w:line="240" w:lineRule="auto"/>
        <w:jc w:val="left"/>
        <w:rPr>
          <w:sz w:val="32"/>
        </w:rPr>
        <w:sectPr>
          <w:pgSz w:w="11910" w:h="16840"/>
          <w:pgMar w:header="0" w:footer="1017" w:top="1180" w:bottom="1200" w:left="1300" w:right="1140"/>
        </w:sectPr>
      </w:pPr>
    </w:p>
    <w:p>
      <w:pPr>
        <w:pStyle w:val="BodyText"/>
        <w:spacing w:before="15"/>
        <w:jc w:val="left"/>
      </w:pPr>
      <w:r>
        <w:rPr>
          <w:rFonts w:ascii="細明體_HKSCS" w:eastAsia="細明體_HKSCS" w:hint="eastAsia"/>
        </w:rPr>
        <w:t>38</w:t>
      </w:r>
      <w:r>
        <w:rPr/>
        <w:t>分鐘，核予其申誡一次之懲處。另審酌再申訴人</w:t>
      </w:r>
      <w:r>
        <w:rPr>
          <w:rFonts w:ascii="細明體_HKSCS" w:eastAsia="細明體_HKSCS" w:hint="eastAsia"/>
        </w:rPr>
        <w:t>105</w:t>
      </w:r>
      <w:r>
        <w:rPr/>
        <w:t>年</w:t>
      </w:r>
    </w:p>
    <w:p>
      <w:pPr>
        <w:pStyle w:val="BodyText"/>
        <w:spacing w:line="268" w:lineRule="auto" w:before="54"/>
        <w:ind w:right="272"/>
      </w:pPr>
      <w:r>
        <w:rPr>
          <w:rFonts w:ascii="細明體_HKSCS" w:eastAsia="細明體_HKSCS" w:hint="eastAsia"/>
        </w:rPr>
        <w:t>1</w:t>
      </w:r>
      <w:r>
        <w:rPr/>
        <w:t>月至</w:t>
      </w:r>
      <w:r>
        <w:rPr>
          <w:rFonts w:ascii="細明體_HKSCS" w:eastAsia="細明體_HKSCS" w:hint="eastAsia"/>
        </w:rPr>
        <w:t>4</w:t>
      </w:r>
      <w:r>
        <w:rPr>
          <w:spacing w:val="1"/>
        </w:rPr>
        <w:t>月以</w:t>
      </w:r>
      <w:r>
        <w:rPr>
          <w:rFonts w:ascii="細明體_HKSCS" w:eastAsia="細明體_HKSCS" w:hint="eastAsia"/>
        </w:rPr>
        <w:t>3</w:t>
      </w:r>
      <w:r>
        <w:rPr/>
        <w:t>個電郵帳號，不當檢舉交通違規案件，及拒</w:t>
      </w:r>
      <w:r>
        <w:rPr>
          <w:spacing w:val="6"/>
          <w:w w:val="95"/>
        </w:rPr>
        <w:t>絕接受調查，再分別各核予其申誡一次之懲處，惟各該 </w:t>
      </w:r>
      <w:r>
        <w:rPr>
          <w:spacing w:val="8"/>
          <w:w w:val="95"/>
        </w:rPr>
        <w:t>懲處事實與其</w:t>
      </w:r>
      <w:r>
        <w:rPr>
          <w:rFonts w:ascii="細明體_HKSCS" w:eastAsia="細明體_HKSCS" w:hint="eastAsia"/>
          <w:spacing w:val="2"/>
          <w:w w:val="95"/>
        </w:rPr>
        <w:t>105</w:t>
      </w:r>
      <w:r>
        <w:rPr>
          <w:spacing w:val="9"/>
          <w:w w:val="95"/>
        </w:rPr>
        <w:t>年</w:t>
      </w:r>
      <w:r>
        <w:rPr>
          <w:rFonts w:ascii="細明體_HKSCS" w:eastAsia="細明體_HKSCS" w:hint="eastAsia"/>
          <w:spacing w:val="8"/>
          <w:w w:val="95"/>
        </w:rPr>
        <w:t>4</w:t>
      </w:r>
      <w:r>
        <w:rPr>
          <w:spacing w:val="9"/>
          <w:w w:val="95"/>
        </w:rPr>
        <w:t>月</w:t>
      </w:r>
      <w:r>
        <w:rPr>
          <w:rFonts w:ascii="細明體_HKSCS" w:eastAsia="細明體_HKSCS" w:hint="eastAsia"/>
          <w:spacing w:val="3"/>
          <w:w w:val="95"/>
        </w:rPr>
        <w:t>13</w:t>
      </w:r>
      <w:r>
        <w:rPr>
          <w:spacing w:val="6"/>
          <w:w w:val="95"/>
        </w:rPr>
        <w:t>日不假外出相同部分，核屬同 一事件之不同階段，互有重疊之處，自應就其整體違失 </w:t>
      </w:r>
      <w:r>
        <w:rPr>
          <w:spacing w:val="5"/>
        </w:rPr>
        <w:t>合併考量其行政責任</w:t>
      </w:r>
      <w:r>
        <w:rPr/>
        <w:t>（</w:t>
      </w:r>
      <w:r>
        <w:rPr>
          <w:rFonts w:ascii="細明體_HKSCS" w:eastAsia="細明體_HKSCS" w:hint="eastAsia"/>
        </w:rPr>
        <w:t>105</w:t>
      </w:r>
      <w:r>
        <w:rPr/>
        <w:t>公申決字第</w:t>
      </w:r>
      <w:r>
        <w:rPr>
          <w:rFonts w:ascii="細明體_HKSCS" w:eastAsia="細明體_HKSCS" w:hint="eastAsia"/>
        </w:rPr>
        <w:t>0327</w:t>
      </w:r>
      <w:r>
        <w:rPr/>
        <w:t>號再申訴決定書）</w:t>
      </w:r>
    </w:p>
    <w:p>
      <w:pPr>
        <w:pStyle w:val="Heading1"/>
        <w:spacing w:before="87"/>
      </w:pPr>
      <w:r>
        <w:rPr/>
        <w:t>（三） 懲處事實未經詳實調查或認定有誤︰</w:t>
      </w:r>
    </w:p>
    <w:p>
      <w:pPr>
        <w:pStyle w:val="BodyText"/>
        <w:spacing w:line="268" w:lineRule="auto" w:before="137"/>
        <w:ind w:left="1138" w:right="261"/>
        <w:rPr>
          <w:rFonts w:ascii="細明體_HKSCS" w:eastAsia="細明體_HKSCS" w:hint="eastAsia"/>
        </w:rPr>
      </w:pPr>
      <w:r>
        <w:rPr>
          <w:spacing w:val="16"/>
          <w:w w:val="95"/>
        </w:rPr>
        <w:t>再申訴人是否確有辱罵長官、涉足不妥當場所、行為失 </w:t>
      </w:r>
      <w:r>
        <w:rPr/>
        <w:t>檢、違反相關法規所定注意義務或執行職務不遵守規章等違失情事，及該行為是否達影響機關聲譽，情節嚴重之程度，服務機關未詳加調查，即逕予懲處，核其認事用法， </w:t>
      </w:r>
      <w:r>
        <w:rPr>
          <w:spacing w:val="-16"/>
        </w:rPr>
        <w:t>不無重行斟酌之餘地。</w:t>
      </w:r>
      <w:r>
        <w:rPr/>
        <w:t>（</w:t>
      </w:r>
      <w:r>
        <w:rPr>
          <w:rFonts w:ascii="細明體_HKSCS" w:eastAsia="細明體_HKSCS" w:hint="eastAsia"/>
        </w:rPr>
        <w:t>105</w:t>
      </w:r>
      <w:r>
        <w:rPr>
          <w:rFonts w:ascii="細明體_HKSCS" w:eastAsia="細明體_HKSCS" w:hint="eastAsia"/>
          <w:spacing w:val="-71"/>
        </w:rPr>
        <w:t> </w:t>
      </w:r>
      <w:r>
        <w:rPr>
          <w:spacing w:val="-12"/>
        </w:rPr>
        <w:t>公申決字第 </w:t>
      </w:r>
      <w:r>
        <w:rPr>
          <w:rFonts w:ascii="細明體_HKSCS" w:eastAsia="細明體_HKSCS" w:hint="eastAsia"/>
        </w:rPr>
        <w:t>0147</w:t>
      </w:r>
      <w:r>
        <w:rPr>
          <w:rFonts w:ascii="細明體_HKSCS" w:eastAsia="細明體_HKSCS" w:hint="eastAsia"/>
          <w:spacing w:val="-71"/>
        </w:rPr>
        <w:t> </w:t>
      </w:r>
      <w:r>
        <w:rPr>
          <w:spacing w:val="-17"/>
        </w:rPr>
        <w:t>號、第 </w:t>
      </w:r>
      <w:r>
        <w:rPr>
          <w:rFonts w:ascii="細明體_HKSCS" w:eastAsia="細明體_HKSCS" w:hint="eastAsia"/>
        </w:rPr>
        <w:t>0185</w:t>
      </w:r>
    </w:p>
    <w:p>
      <w:pPr>
        <w:spacing w:line="316" w:lineRule="auto" w:before="0"/>
        <w:ind w:left="118" w:right="484" w:firstLine="1019"/>
        <w:jc w:val="left"/>
        <w:rPr>
          <w:rFonts w:ascii="微軟正黑體" w:eastAsia="微軟正黑體" w:hint="eastAsia"/>
          <w:b/>
          <w:sz w:val="32"/>
        </w:rPr>
      </w:pPr>
      <w:r>
        <w:rPr>
          <w:spacing w:val="-21"/>
          <w:sz w:val="32"/>
        </w:rPr>
        <w:t>號、第 </w:t>
      </w:r>
      <w:r>
        <w:rPr>
          <w:rFonts w:ascii="細明體_HKSCS" w:eastAsia="細明體_HKSCS" w:hint="eastAsia"/>
          <w:sz w:val="32"/>
        </w:rPr>
        <w:t>0231</w:t>
      </w:r>
      <w:r>
        <w:rPr>
          <w:rFonts w:ascii="細明體_HKSCS" w:eastAsia="細明體_HKSCS" w:hint="eastAsia"/>
          <w:spacing w:val="-81"/>
          <w:sz w:val="32"/>
        </w:rPr>
        <w:t> </w:t>
      </w:r>
      <w:r>
        <w:rPr>
          <w:spacing w:val="-21"/>
          <w:sz w:val="32"/>
        </w:rPr>
        <w:t>號、第 </w:t>
      </w:r>
      <w:r>
        <w:rPr>
          <w:rFonts w:ascii="細明體_HKSCS" w:eastAsia="細明體_HKSCS" w:hint="eastAsia"/>
          <w:sz w:val="32"/>
        </w:rPr>
        <w:t>0258</w:t>
      </w:r>
      <w:r>
        <w:rPr>
          <w:rFonts w:ascii="細明體_HKSCS" w:eastAsia="細明體_HKSCS" w:hint="eastAsia"/>
          <w:spacing w:val="-84"/>
          <w:sz w:val="32"/>
        </w:rPr>
        <w:t> </w:t>
      </w:r>
      <w:r>
        <w:rPr>
          <w:spacing w:val="-20"/>
          <w:sz w:val="32"/>
        </w:rPr>
        <w:t>號、第 </w:t>
      </w:r>
      <w:r>
        <w:rPr>
          <w:rFonts w:ascii="細明體_HKSCS" w:eastAsia="細明體_HKSCS" w:hint="eastAsia"/>
          <w:sz w:val="32"/>
        </w:rPr>
        <w:t>0303</w:t>
      </w:r>
      <w:r>
        <w:rPr>
          <w:rFonts w:ascii="細明體_HKSCS" w:eastAsia="細明體_HKSCS" w:hint="eastAsia"/>
          <w:spacing w:val="-81"/>
          <w:sz w:val="32"/>
        </w:rPr>
        <w:t> </w:t>
      </w:r>
      <w:r>
        <w:rPr>
          <w:sz w:val="32"/>
        </w:rPr>
        <w:t>號再申訴決定書） </w:t>
      </w:r>
      <w:r>
        <w:rPr>
          <w:rFonts w:ascii="微軟正黑體" w:eastAsia="微軟正黑體" w:hint="eastAsia"/>
          <w:b/>
          <w:spacing w:val="-1"/>
          <w:sz w:val="32"/>
        </w:rPr>
        <w:t>四、 其他再申訴事件實體撤銷理由部分︰</w:t>
      </w:r>
    </w:p>
    <w:p>
      <w:pPr>
        <w:pStyle w:val="BodyText"/>
        <w:spacing w:line="398" w:lineRule="exact"/>
        <w:ind w:left="838"/>
        <w:jc w:val="left"/>
      </w:pPr>
      <w:r>
        <w:rPr/>
        <w:t>按警政署刑事警察局（以下簡稱刑事局）候用偵查員甄試作</w:t>
      </w:r>
    </w:p>
    <w:p>
      <w:pPr>
        <w:pStyle w:val="BodyText"/>
        <w:spacing w:line="268" w:lineRule="auto" w:before="49"/>
        <w:ind w:left="838" w:right="273"/>
      </w:pPr>
      <w:r>
        <w:rPr>
          <w:spacing w:val="8"/>
          <w:w w:val="95"/>
        </w:rPr>
        <w:t>業規定第</w:t>
      </w:r>
      <w:r>
        <w:rPr>
          <w:rFonts w:ascii="細明體_HKSCS" w:eastAsia="細明體_HKSCS" w:hint="eastAsia"/>
          <w:spacing w:val="6"/>
          <w:w w:val="95"/>
        </w:rPr>
        <w:t>2</w:t>
      </w:r>
      <w:r>
        <w:rPr>
          <w:spacing w:val="6"/>
          <w:w w:val="95"/>
        </w:rPr>
        <w:t>點規定，報名參加該局第八序列候用偵查員甄試 </w:t>
      </w:r>
      <w:r>
        <w:rPr>
          <w:spacing w:val="6"/>
        </w:rPr>
        <w:t>者，最近</w:t>
      </w:r>
      <w:r>
        <w:rPr>
          <w:rFonts w:ascii="細明體_HKSCS" w:eastAsia="細明體_HKSCS" w:hint="eastAsia"/>
          <w:spacing w:val="6"/>
        </w:rPr>
        <w:t>1</w:t>
      </w:r>
      <w:r>
        <w:rPr>
          <w:spacing w:val="5"/>
        </w:rPr>
        <w:t>年考績應列甲等以上且最近</w:t>
      </w:r>
      <w:r>
        <w:rPr>
          <w:rFonts w:ascii="細明體_HKSCS" w:eastAsia="細明體_HKSCS" w:hint="eastAsia"/>
        </w:rPr>
        <w:t>1</w:t>
      </w:r>
      <w:r>
        <w:rPr/>
        <w:t>年常年訓練成績應符合刑事警察人員規定。次按警政署</w:t>
      </w:r>
      <w:r>
        <w:rPr>
          <w:rFonts w:ascii="細明體_HKSCS" w:eastAsia="細明體_HKSCS" w:hint="eastAsia"/>
        </w:rPr>
        <w:t>105</w:t>
      </w:r>
      <w:r>
        <w:rPr/>
        <w:t>年</w:t>
      </w:r>
      <w:r>
        <w:rPr>
          <w:rFonts w:ascii="細明體_HKSCS" w:eastAsia="細明體_HKSCS" w:hint="eastAsia"/>
        </w:rPr>
        <w:t>9</w:t>
      </w:r>
      <w:r>
        <w:rPr>
          <w:spacing w:val="4"/>
        </w:rPr>
        <w:t>月</w:t>
      </w:r>
      <w:r>
        <w:rPr>
          <w:rFonts w:ascii="細明體_HKSCS" w:eastAsia="細明體_HKSCS" w:hint="eastAsia"/>
        </w:rPr>
        <w:t>26</w:t>
      </w:r>
      <w:r>
        <w:rPr/>
        <w:t>日警署人字第</w:t>
      </w:r>
    </w:p>
    <w:p>
      <w:pPr>
        <w:pStyle w:val="BodyText"/>
        <w:spacing w:line="268" w:lineRule="auto"/>
        <w:ind w:left="838" w:right="267"/>
      </w:pPr>
      <w:r>
        <w:rPr>
          <w:rFonts w:ascii="細明體_HKSCS" w:hAnsi="細明體_HKSCS" w:eastAsia="細明體_HKSCS" w:hint="eastAsia"/>
        </w:rPr>
        <w:t>1050145827</w:t>
      </w:r>
      <w:r>
        <w:rPr/>
        <w:t>號函規定，參加候用偵查員甄試人員，如因留職</w:t>
      </w:r>
      <w:r>
        <w:rPr>
          <w:spacing w:val="7"/>
          <w:w w:val="95"/>
        </w:rPr>
        <w:t>停薪致最近半年或</w:t>
      </w:r>
      <w:r>
        <w:rPr>
          <w:rFonts w:ascii="細明體_HKSCS" w:hAnsi="細明體_HKSCS" w:eastAsia="細明體_HKSCS" w:hint="eastAsia"/>
          <w:spacing w:val="8"/>
          <w:w w:val="95"/>
        </w:rPr>
        <w:t>1</w:t>
      </w:r>
      <w:r>
        <w:rPr>
          <w:spacing w:val="6"/>
          <w:w w:val="95"/>
        </w:rPr>
        <w:t>年無常訓成績者，得扣除免除常年訓練 </w:t>
      </w:r>
      <w:r>
        <w:rPr>
          <w:spacing w:val="5"/>
        </w:rPr>
        <w:t>期間，溯前合併採計最近</w:t>
      </w:r>
      <w:r>
        <w:rPr>
          <w:rFonts w:ascii="細明體_HKSCS" w:hAnsi="細明體_HKSCS" w:eastAsia="細明體_HKSCS" w:hint="eastAsia"/>
        </w:rPr>
        <w:t>1</w:t>
      </w:r>
      <w:r>
        <w:rPr/>
        <w:t>年之常年訓練成績；又所稱最近</w:t>
      </w:r>
      <w:r>
        <w:rPr>
          <w:rFonts w:ascii="細明體_HKSCS" w:hAnsi="細明體_HKSCS" w:eastAsia="細明體_HKSCS" w:hint="eastAsia"/>
        </w:rPr>
        <w:t>1 </w:t>
      </w:r>
      <w:r>
        <w:rPr>
          <w:spacing w:val="7"/>
          <w:w w:val="95"/>
        </w:rPr>
        <w:t>年考績包含另予考績。復按司法院釋字第</w:t>
      </w:r>
      <w:r>
        <w:rPr>
          <w:rFonts w:ascii="細明體_HKSCS" w:hAnsi="細明體_HKSCS" w:eastAsia="細明體_HKSCS" w:hint="eastAsia"/>
          <w:spacing w:val="3"/>
          <w:w w:val="95"/>
        </w:rPr>
        <w:t>287</w:t>
      </w:r>
      <w:r>
        <w:rPr>
          <w:spacing w:val="5"/>
          <w:w w:val="95"/>
        </w:rPr>
        <w:t>號解釋解釋文 </w:t>
      </w:r>
      <w:r>
        <w:rPr/>
        <w:t>意旨，行政主管機關就行政法規所為之釋示，係闡明法規之原意，應自法規生效之日起有其適用。則○○市政府警察局以再申訴人</w:t>
      </w:r>
      <w:r>
        <w:rPr>
          <w:rFonts w:ascii="細明體_HKSCS" w:hAnsi="細明體_HKSCS" w:eastAsia="細明體_HKSCS" w:hint="eastAsia"/>
        </w:rPr>
        <w:t>104</w:t>
      </w:r>
      <w:r>
        <w:rPr/>
        <w:t>年之考績係另予考績及</w:t>
      </w:r>
      <w:r>
        <w:rPr>
          <w:rFonts w:ascii="細明體_HKSCS" w:hAnsi="細明體_HKSCS" w:eastAsia="細明體_HKSCS" w:hint="eastAsia"/>
        </w:rPr>
        <w:t>104</w:t>
      </w:r>
      <w:r>
        <w:rPr/>
        <w:t>年下半年因育嬰留</w:t>
      </w:r>
      <w:r>
        <w:rPr>
          <w:spacing w:val="7"/>
          <w:w w:val="95"/>
        </w:rPr>
        <w:t>職停薪無常年訓練成績為由，審認其不符參加刑事局</w:t>
      </w:r>
      <w:r>
        <w:rPr>
          <w:rFonts w:ascii="細明體_HKSCS" w:hAnsi="細明體_HKSCS" w:eastAsia="細明體_HKSCS" w:hint="eastAsia"/>
          <w:spacing w:val="2"/>
          <w:w w:val="95"/>
        </w:rPr>
        <w:t>105</w:t>
      </w:r>
      <w:r>
        <w:rPr>
          <w:w w:val="95"/>
        </w:rPr>
        <w:t>年</w:t>
      </w:r>
    </w:p>
    <w:p>
      <w:pPr>
        <w:spacing w:after="0" w:line="268" w:lineRule="auto"/>
        <w:sectPr>
          <w:pgSz w:w="11910" w:h="16840"/>
          <w:pgMar w:header="0" w:footer="1017" w:top="1180" w:bottom="1200" w:left="1300" w:right="1140"/>
        </w:sectPr>
      </w:pPr>
    </w:p>
    <w:p>
      <w:pPr>
        <w:pStyle w:val="BodyText"/>
        <w:spacing w:before="15"/>
        <w:ind w:left="838"/>
        <w:jc w:val="left"/>
      </w:pPr>
      <w:r>
        <w:rPr/>
        <w:t>度第</w:t>
      </w:r>
      <w:r>
        <w:rPr>
          <w:rFonts w:ascii="細明體_HKSCS" w:eastAsia="細明體_HKSCS" w:hint="eastAsia"/>
        </w:rPr>
        <w:t>1</w:t>
      </w:r>
      <w:r>
        <w:rPr/>
        <w:t>次第八序列候用偵查員甄試資格條件，於法未合。</w:t>
      </w:r>
    </w:p>
    <w:p>
      <w:pPr>
        <w:spacing w:line="276" w:lineRule="auto" w:before="54"/>
        <w:ind w:left="118" w:right="2860" w:firstLine="719"/>
        <w:jc w:val="left"/>
        <w:rPr>
          <w:rFonts w:ascii="微軟正黑體" w:eastAsia="微軟正黑體" w:hint="eastAsia"/>
          <w:b/>
          <w:sz w:val="32"/>
        </w:rPr>
      </w:pPr>
      <w:r>
        <w:rPr>
          <w:sz w:val="32"/>
        </w:rPr>
        <w:t>（</w:t>
      </w:r>
      <w:r>
        <w:rPr>
          <w:rFonts w:ascii="細明體_HKSCS" w:eastAsia="細明體_HKSCS" w:hint="eastAsia"/>
          <w:sz w:val="32"/>
        </w:rPr>
        <w:t>105</w:t>
      </w:r>
      <w:r>
        <w:rPr>
          <w:sz w:val="32"/>
        </w:rPr>
        <w:t>公申決字第</w:t>
      </w:r>
      <w:r>
        <w:rPr>
          <w:rFonts w:ascii="細明體_HKSCS" w:eastAsia="細明體_HKSCS" w:hint="eastAsia"/>
          <w:sz w:val="32"/>
        </w:rPr>
        <w:t>0297</w:t>
      </w:r>
      <w:r>
        <w:rPr>
          <w:sz w:val="32"/>
        </w:rPr>
        <w:t>號再申訴決定書） </w:t>
      </w:r>
      <w:r>
        <w:rPr>
          <w:rFonts w:ascii="微軟正黑體" w:eastAsia="微軟正黑體" w:hint="eastAsia"/>
          <w:b/>
          <w:sz w:val="32"/>
        </w:rPr>
        <w:t>五、 關於考績（成）復審事件撤銷理由部分︰</w:t>
      </w:r>
    </w:p>
    <w:p>
      <w:pPr>
        <w:pStyle w:val="BodyText"/>
        <w:spacing w:line="268" w:lineRule="auto" w:before="47"/>
        <w:ind w:left="1138" w:right="260" w:hanging="1020"/>
        <w:rPr>
          <w:rFonts w:ascii="細明體_HKSCS" w:hAnsi="細明體_HKSCS" w:eastAsia="細明體_HKSCS" w:hint="eastAsia"/>
        </w:rPr>
      </w:pPr>
      <w:r>
        <w:rPr/>
        <w:t>（一）</w:t>
      </w:r>
      <w:r>
        <w:rPr>
          <w:spacing w:val="-14"/>
        </w:rPr>
        <w:t> ○○警察局○○分局以復審人於 </w:t>
      </w:r>
      <w:r>
        <w:rPr>
          <w:rFonts w:ascii="細明體_HKSCS" w:hAnsi="細明體_HKSCS" w:eastAsia="細明體_HKSCS" w:hint="eastAsia"/>
        </w:rPr>
        <w:t>104</w:t>
      </w:r>
      <w:r>
        <w:rPr>
          <w:rFonts w:ascii="細明體_HKSCS" w:hAnsi="細明體_HKSCS" w:eastAsia="細明體_HKSCS" w:hint="eastAsia"/>
          <w:spacing w:val="-58"/>
        </w:rPr>
        <w:t> </w:t>
      </w:r>
      <w:r>
        <w:rPr/>
        <w:t>年間，因參與職業性</w:t>
      </w:r>
      <w:r>
        <w:rPr>
          <w:spacing w:val="16"/>
          <w:w w:val="95"/>
        </w:rPr>
        <w:t>麻將賭場賭博財物，經○○警察局核予其記一大過之懲 </w:t>
      </w:r>
      <w:r>
        <w:rPr>
          <w:spacing w:val="-5"/>
        </w:rPr>
        <w:t>處，乃依銓敘部 </w:t>
      </w:r>
      <w:r>
        <w:rPr>
          <w:rFonts w:ascii="細明體_HKSCS" w:hAnsi="細明體_HKSCS" w:eastAsia="細明體_HKSCS" w:hint="eastAsia"/>
        </w:rPr>
        <w:t>102</w:t>
      </w:r>
      <w:r>
        <w:rPr>
          <w:rFonts w:ascii="細明體_HKSCS" w:hAnsi="細明體_HKSCS" w:eastAsia="細明體_HKSCS" w:hint="eastAsia"/>
          <w:spacing w:val="-41"/>
        </w:rPr>
        <w:t> </w:t>
      </w:r>
      <w:r>
        <w:rPr>
          <w:spacing w:val="-20"/>
        </w:rPr>
        <w:t>年 </w:t>
      </w:r>
      <w:r>
        <w:rPr>
          <w:rFonts w:ascii="細明體_HKSCS" w:hAnsi="細明體_HKSCS" w:eastAsia="細明體_HKSCS" w:hint="eastAsia"/>
        </w:rPr>
        <w:t>1</w:t>
      </w:r>
      <w:r>
        <w:rPr>
          <w:rFonts w:ascii="細明體_HKSCS" w:hAnsi="細明體_HKSCS" w:eastAsia="細明體_HKSCS" w:hint="eastAsia"/>
          <w:spacing w:val="-41"/>
        </w:rPr>
        <w:t> </w:t>
      </w:r>
      <w:r>
        <w:rPr>
          <w:spacing w:val="-20"/>
        </w:rPr>
        <w:t>月 </w:t>
      </w:r>
      <w:r>
        <w:rPr>
          <w:rFonts w:ascii="細明體_HKSCS" w:hAnsi="細明體_HKSCS" w:eastAsia="細明體_HKSCS" w:hint="eastAsia"/>
        </w:rPr>
        <w:t>3</w:t>
      </w:r>
      <w:r>
        <w:rPr>
          <w:rFonts w:ascii="細明體_HKSCS" w:hAnsi="細明體_HKSCS" w:eastAsia="細明體_HKSCS" w:hint="eastAsia"/>
          <w:spacing w:val="-42"/>
        </w:rPr>
        <w:t> </w:t>
      </w:r>
      <w:r>
        <w:rPr>
          <w:spacing w:val="-6"/>
        </w:rPr>
        <w:t>日部法二字第 </w:t>
      </w:r>
      <w:r>
        <w:rPr>
          <w:rFonts w:ascii="細明體_HKSCS" w:hAnsi="細明體_HKSCS" w:eastAsia="細明體_HKSCS" w:hint="eastAsia"/>
        </w:rPr>
        <w:t>1023681986 </w:t>
      </w:r>
      <w:r>
        <w:rPr>
          <w:spacing w:val="14"/>
        </w:rPr>
        <w:t>號函附之受考人考績宜考列丙等條件一覽表第 </w:t>
      </w:r>
      <w:r>
        <w:rPr>
          <w:rFonts w:ascii="細明體_HKSCS" w:hAnsi="細明體_HKSCS" w:eastAsia="細明體_HKSCS" w:hint="eastAsia"/>
        </w:rPr>
        <w:t>17</w:t>
      </w:r>
      <w:r>
        <w:rPr>
          <w:rFonts w:ascii="細明體_HKSCS" w:hAnsi="細明體_HKSCS" w:eastAsia="細明體_HKSCS" w:hint="eastAsia"/>
          <w:spacing w:val="9"/>
        </w:rPr>
        <w:t> </w:t>
      </w:r>
      <w:r>
        <w:rPr>
          <w:spacing w:val="16"/>
        </w:rPr>
        <w:t>款規</w:t>
      </w:r>
      <w:r>
        <w:rPr>
          <w:spacing w:val="-6"/>
        </w:rPr>
        <w:t>定，將其 </w:t>
      </w:r>
      <w:r>
        <w:rPr>
          <w:rFonts w:ascii="細明體_HKSCS" w:hAnsi="細明體_HKSCS" w:eastAsia="細明體_HKSCS" w:hint="eastAsia"/>
        </w:rPr>
        <w:t>104</w:t>
      </w:r>
      <w:r>
        <w:rPr>
          <w:rFonts w:ascii="細明體_HKSCS" w:hAnsi="細明體_HKSCS" w:eastAsia="細明體_HKSCS" w:hint="eastAsia"/>
          <w:spacing w:val="-30"/>
        </w:rPr>
        <w:t> </w:t>
      </w:r>
      <w:r>
        <w:rPr>
          <w:spacing w:val="-3"/>
        </w:rPr>
        <w:t>年年終考績評定為丙等 </w:t>
      </w:r>
      <w:r>
        <w:rPr>
          <w:rFonts w:ascii="細明體_HKSCS" w:hAnsi="細明體_HKSCS" w:eastAsia="細明體_HKSCS" w:hint="eastAsia"/>
        </w:rPr>
        <w:t>69</w:t>
      </w:r>
      <w:r>
        <w:rPr>
          <w:rFonts w:ascii="細明體_HKSCS" w:hAnsi="細明體_HKSCS" w:eastAsia="細明體_HKSCS" w:hint="eastAsia"/>
          <w:spacing w:val="-28"/>
        </w:rPr>
        <w:t> </w:t>
      </w:r>
      <w:r>
        <w:rPr/>
        <w:t>分；惟上開一覽表僅具指導性質，縱然符合該表所定情事，不必然應考列</w:t>
      </w:r>
      <w:r>
        <w:rPr>
          <w:spacing w:val="-5"/>
        </w:rPr>
        <w:t>為丙等。且復審人 </w:t>
      </w:r>
      <w:r>
        <w:rPr>
          <w:rFonts w:ascii="細明體_HKSCS" w:hAnsi="細明體_HKSCS" w:eastAsia="細明體_HKSCS" w:hint="eastAsia"/>
        </w:rPr>
        <w:t>104</w:t>
      </w:r>
      <w:r>
        <w:rPr>
          <w:rFonts w:ascii="細明體_HKSCS" w:hAnsi="細明體_HKSCS" w:eastAsia="細明體_HKSCS" w:hint="eastAsia"/>
          <w:spacing w:val="-40"/>
        </w:rPr>
        <w:t> </w:t>
      </w:r>
      <w:r>
        <w:rPr>
          <w:spacing w:val="-10"/>
        </w:rPr>
        <w:t>年嘉獎 </w:t>
      </w:r>
      <w:r>
        <w:rPr>
          <w:rFonts w:ascii="細明體_HKSCS" w:hAnsi="細明體_HKSCS" w:eastAsia="細明體_HKSCS" w:hint="eastAsia"/>
        </w:rPr>
        <w:t>81</w:t>
      </w:r>
      <w:r>
        <w:rPr>
          <w:rFonts w:ascii="細明體_HKSCS" w:hAnsi="細明體_HKSCS" w:eastAsia="細明體_HKSCS" w:hint="eastAsia"/>
          <w:spacing w:val="-40"/>
        </w:rPr>
        <w:t> </w:t>
      </w:r>
      <w:r>
        <w:rPr>
          <w:spacing w:val="-8"/>
        </w:rPr>
        <w:t>次、記功 </w:t>
      </w:r>
      <w:r>
        <w:rPr>
          <w:rFonts w:ascii="細明體_HKSCS" w:hAnsi="細明體_HKSCS" w:eastAsia="細明體_HKSCS" w:hint="eastAsia"/>
        </w:rPr>
        <w:t>6</w:t>
      </w:r>
      <w:r>
        <w:rPr>
          <w:rFonts w:ascii="細明體_HKSCS" w:hAnsi="細明體_HKSCS" w:eastAsia="細明體_HKSCS" w:hint="eastAsia"/>
          <w:spacing w:val="-40"/>
        </w:rPr>
        <w:t> </w:t>
      </w:r>
      <w:r>
        <w:rPr>
          <w:spacing w:val="-8"/>
        </w:rPr>
        <w:t>次、申誡 </w:t>
      </w:r>
      <w:r>
        <w:rPr>
          <w:rFonts w:ascii="細明體_HKSCS" w:hAnsi="細明體_HKSCS" w:eastAsia="細明體_HKSCS" w:hint="eastAsia"/>
        </w:rPr>
        <w:t>2</w:t>
      </w:r>
    </w:p>
    <w:p>
      <w:pPr>
        <w:pStyle w:val="BodyText"/>
        <w:spacing w:line="441" w:lineRule="exact"/>
        <w:ind w:left="1138"/>
        <w:jc w:val="left"/>
      </w:pPr>
      <w:r>
        <w:rPr>
          <w:spacing w:val="-10"/>
        </w:rPr>
        <w:t>次、記大過 </w:t>
      </w:r>
      <w:r>
        <w:rPr>
          <w:rFonts w:ascii="細明體_HKSCS" w:eastAsia="細明體_HKSCS" w:hint="eastAsia"/>
        </w:rPr>
        <w:t>1</w:t>
      </w:r>
      <w:r>
        <w:rPr>
          <w:rFonts w:ascii="細明體_HKSCS" w:eastAsia="細明體_HKSCS" w:hint="eastAsia"/>
          <w:spacing w:val="-58"/>
        </w:rPr>
        <w:t> </w:t>
      </w:r>
      <w:r>
        <w:rPr/>
        <w:t>次，其獎懲依警察人員人事條例及考績法等</w:t>
      </w:r>
    </w:p>
    <w:p>
      <w:pPr>
        <w:pStyle w:val="BodyText"/>
        <w:spacing w:line="268" w:lineRule="auto" w:before="52"/>
        <w:ind w:left="1138" w:right="274"/>
      </w:pPr>
      <w:r>
        <w:rPr/>
        <w:t>規定互相抵銷後，仍有嘉獎 </w:t>
      </w:r>
      <w:r>
        <w:rPr>
          <w:rFonts w:ascii="細明體_HKSCS" w:hAnsi="細明體_HKSCS" w:eastAsia="細明體_HKSCS" w:hint="eastAsia"/>
        </w:rPr>
        <w:t>88</w:t>
      </w:r>
      <w:r>
        <w:rPr>
          <w:rFonts w:ascii="細明體_HKSCS" w:hAnsi="細明體_HKSCS" w:eastAsia="細明體_HKSCS" w:hint="eastAsia"/>
          <w:spacing w:val="8"/>
        </w:rPr>
        <w:t> </w:t>
      </w:r>
      <w:r>
        <w:rPr/>
        <w:t>次，已無完整記一大過之懲處，即無考績不得考列乙等以上之情形。○○分局據以</w:t>
      </w:r>
      <w:r>
        <w:rPr>
          <w:spacing w:val="-5"/>
        </w:rPr>
        <w:t>評定復審人 </w:t>
      </w:r>
      <w:r>
        <w:rPr>
          <w:rFonts w:ascii="細明體_HKSCS" w:hAnsi="細明體_HKSCS" w:eastAsia="細明體_HKSCS" w:hint="eastAsia"/>
        </w:rPr>
        <w:t>104</w:t>
      </w:r>
      <w:r>
        <w:rPr>
          <w:rFonts w:ascii="細明體_HKSCS" w:hAnsi="細明體_HKSCS" w:eastAsia="細明體_HKSCS" w:hint="eastAsia"/>
          <w:spacing w:val="-31"/>
        </w:rPr>
        <w:t> </w:t>
      </w:r>
      <w:r>
        <w:rPr>
          <w:spacing w:val="-3"/>
        </w:rPr>
        <w:t>年年終考績考列丙等 </w:t>
      </w:r>
      <w:r>
        <w:rPr>
          <w:rFonts w:ascii="細明體_HKSCS" w:hAnsi="細明體_HKSCS" w:eastAsia="細明體_HKSCS" w:hint="eastAsia"/>
        </w:rPr>
        <w:t>69</w:t>
      </w:r>
      <w:r>
        <w:rPr>
          <w:rFonts w:ascii="細明體_HKSCS" w:hAnsi="細明體_HKSCS" w:eastAsia="細明體_HKSCS" w:hint="eastAsia"/>
          <w:spacing w:val="-28"/>
        </w:rPr>
        <w:t> </w:t>
      </w:r>
      <w:r>
        <w:rPr/>
        <w:t>分，核有違誤。</w:t>
      </w:r>
    </w:p>
    <w:p>
      <w:pPr>
        <w:pStyle w:val="BodyText"/>
        <w:spacing w:line="444" w:lineRule="exact"/>
        <w:ind w:left="1138"/>
        <w:jc w:val="left"/>
      </w:pPr>
      <w:r>
        <w:rPr/>
        <w:t>（</w:t>
      </w:r>
      <w:r>
        <w:rPr>
          <w:rFonts w:ascii="細明體_HKSCS" w:eastAsia="細明體_HKSCS" w:hint="eastAsia"/>
        </w:rPr>
        <w:t>105</w:t>
      </w:r>
      <w:r>
        <w:rPr>
          <w:rFonts w:ascii="細明體_HKSCS" w:eastAsia="細明體_HKSCS" w:hint="eastAsia"/>
          <w:spacing w:val="-82"/>
        </w:rPr>
        <w:t> </w:t>
      </w:r>
      <w:r>
        <w:rPr>
          <w:spacing w:val="-14"/>
        </w:rPr>
        <w:t>公審決字第 </w:t>
      </w:r>
      <w:r>
        <w:rPr>
          <w:rFonts w:ascii="細明體_HKSCS" w:eastAsia="細明體_HKSCS" w:hint="eastAsia"/>
        </w:rPr>
        <w:t>0177</w:t>
      </w:r>
      <w:r>
        <w:rPr>
          <w:rFonts w:ascii="細明體_HKSCS" w:eastAsia="細明體_HKSCS" w:hint="eastAsia"/>
          <w:spacing w:val="-82"/>
        </w:rPr>
        <w:t> </w:t>
      </w:r>
      <w:r>
        <w:rPr/>
        <w:t>號復審決定書）</w:t>
      </w:r>
    </w:p>
    <w:p>
      <w:pPr>
        <w:pStyle w:val="BodyText"/>
        <w:spacing w:line="268" w:lineRule="auto" w:before="251"/>
        <w:ind w:left="1138" w:right="276" w:hanging="1020"/>
      </w:pPr>
      <w:r>
        <w:rPr/>
        <w:t>（二）</w:t>
      </w:r>
      <w:r>
        <w:rPr>
          <w:spacing w:val="-14"/>
        </w:rPr>
        <w:t> ○○警察局○○大隊辦理復審人 </w:t>
      </w:r>
      <w:r>
        <w:rPr>
          <w:rFonts w:ascii="細明體_HKSCS" w:hAnsi="細明體_HKSCS" w:eastAsia="細明體_HKSCS" w:hint="eastAsia"/>
        </w:rPr>
        <w:t>104</w:t>
      </w:r>
      <w:r>
        <w:rPr>
          <w:rFonts w:ascii="細明體_HKSCS" w:hAnsi="細明體_HKSCS" w:eastAsia="細明體_HKSCS" w:hint="eastAsia"/>
          <w:spacing w:val="-58"/>
        </w:rPr>
        <w:t> </w:t>
      </w:r>
      <w:r>
        <w:rPr>
          <w:spacing w:val="-2"/>
        </w:rPr>
        <w:t>年年終考績時，該隊</w:t>
      </w:r>
      <w:r>
        <w:rPr/>
        <w:t>大隊長於考績會復議前，已具體指示復審人之考績等次及</w:t>
      </w:r>
      <w:r>
        <w:rPr>
          <w:spacing w:val="1"/>
        </w:rPr>
        <w:t>分數為丙等 </w:t>
      </w:r>
      <w:r>
        <w:rPr>
          <w:rFonts w:ascii="細明體_HKSCS" w:hAnsi="細明體_HKSCS" w:eastAsia="細明體_HKSCS" w:hint="eastAsia"/>
        </w:rPr>
        <w:t>69</w:t>
      </w:r>
      <w:r>
        <w:rPr>
          <w:rFonts w:ascii="細明體_HKSCS" w:hAnsi="細明體_HKSCS" w:eastAsia="細明體_HKSCS" w:hint="eastAsia"/>
          <w:spacing w:val="6"/>
        </w:rPr>
        <w:t> </w:t>
      </w:r>
      <w:r>
        <w:rPr/>
        <w:t>分，核有法定程序之瑕疵。另卷附提列清</w:t>
      </w:r>
    </w:p>
    <w:p>
      <w:pPr>
        <w:pStyle w:val="BodyText"/>
        <w:spacing w:line="444" w:lineRule="exact"/>
        <w:ind w:left="1138"/>
        <w:jc w:val="left"/>
        <w:rPr>
          <w:rFonts w:ascii="細明體_HKSCS" w:eastAsia="細明體_HKSCS" w:hint="eastAsia"/>
        </w:rPr>
      </w:pPr>
      <w:r>
        <w:rPr>
          <w:spacing w:val="8"/>
        </w:rPr>
        <w:t>冊記載復審人之獎懲紀錄為嘉獎 </w:t>
      </w:r>
      <w:r>
        <w:rPr>
          <w:rFonts w:ascii="細明體_HKSCS" w:eastAsia="細明體_HKSCS" w:hint="eastAsia"/>
        </w:rPr>
        <w:t>10</w:t>
      </w:r>
      <w:r>
        <w:rPr>
          <w:rFonts w:ascii="細明體_HKSCS" w:eastAsia="細明體_HKSCS" w:hint="eastAsia"/>
          <w:spacing w:val="3"/>
        </w:rPr>
        <w:t> </w:t>
      </w:r>
      <w:r>
        <w:rPr>
          <w:spacing w:val="6"/>
        </w:rPr>
        <w:t>次，事病假合計 </w:t>
      </w:r>
      <w:r>
        <w:rPr>
          <w:rFonts w:ascii="細明體_HKSCS" w:eastAsia="細明體_HKSCS" w:hint="eastAsia"/>
        </w:rPr>
        <w:t>22</w:t>
      </w:r>
    </w:p>
    <w:p>
      <w:pPr>
        <w:pStyle w:val="BodyText"/>
        <w:spacing w:before="55"/>
        <w:ind w:left="1138"/>
        <w:jc w:val="left"/>
      </w:pPr>
      <w:r>
        <w:rPr>
          <w:spacing w:val="-2"/>
        </w:rPr>
        <w:t>日，與其考績表記載獎懲紀錄為嘉獎 </w:t>
      </w:r>
      <w:r>
        <w:rPr>
          <w:rFonts w:ascii="細明體_HKSCS" w:eastAsia="細明體_HKSCS" w:hint="eastAsia"/>
        </w:rPr>
        <w:t>11</w:t>
      </w:r>
      <w:r>
        <w:rPr>
          <w:rFonts w:ascii="細明體_HKSCS" w:eastAsia="細明體_HKSCS" w:hint="eastAsia"/>
          <w:spacing w:val="-29"/>
        </w:rPr>
        <w:t> </w:t>
      </w:r>
      <w:r>
        <w:rPr>
          <w:spacing w:val="-6"/>
        </w:rPr>
        <w:t>次、事假 </w:t>
      </w:r>
      <w:r>
        <w:rPr>
          <w:rFonts w:ascii="細明體_HKSCS" w:eastAsia="細明體_HKSCS" w:hint="eastAsia"/>
        </w:rPr>
        <w:t>1</w:t>
      </w:r>
      <w:r>
        <w:rPr>
          <w:rFonts w:ascii="細明體_HKSCS" w:eastAsia="細明體_HKSCS" w:hint="eastAsia"/>
          <w:spacing w:val="-29"/>
        </w:rPr>
        <w:t> </w:t>
      </w:r>
      <w:r>
        <w:rPr/>
        <w:t>日、</w:t>
      </w:r>
    </w:p>
    <w:p>
      <w:pPr>
        <w:pStyle w:val="BodyText"/>
        <w:spacing w:line="268" w:lineRule="auto" w:before="51"/>
        <w:ind w:left="1138" w:right="274"/>
      </w:pPr>
      <w:r>
        <w:rPr>
          <w:spacing w:val="3"/>
        </w:rPr>
        <w:t>病假 </w:t>
      </w:r>
      <w:r>
        <w:rPr>
          <w:rFonts w:ascii="細明體_HKSCS" w:eastAsia="細明體_HKSCS" w:hint="eastAsia"/>
        </w:rPr>
        <w:t>28 </w:t>
      </w:r>
      <w:r>
        <w:rPr/>
        <w:t>日，有所差異，則該大隊據以對其考績考評之差假及獎懲紀錄為何，亦有事實不明之疑義。</w:t>
      </w:r>
      <w:r>
        <w:rPr>
          <w:spacing w:val="3"/>
        </w:rPr>
        <w:t>（</w:t>
      </w:r>
      <w:r>
        <w:rPr>
          <w:rFonts w:ascii="細明體_HKSCS" w:eastAsia="細明體_HKSCS" w:hint="eastAsia"/>
          <w:spacing w:val="3"/>
        </w:rPr>
        <w:t>105 </w:t>
      </w:r>
      <w:r>
        <w:rPr>
          <w:spacing w:val="6"/>
        </w:rPr>
        <w:t>公審決</w:t>
      </w:r>
      <w:r>
        <w:rPr>
          <w:spacing w:val="-23"/>
        </w:rPr>
        <w:t>字第 </w:t>
      </w:r>
      <w:r>
        <w:rPr>
          <w:rFonts w:ascii="細明體_HKSCS" w:eastAsia="細明體_HKSCS" w:hint="eastAsia"/>
        </w:rPr>
        <w:t>0246</w:t>
      </w:r>
      <w:r>
        <w:rPr>
          <w:rFonts w:ascii="細明體_HKSCS" w:eastAsia="細明體_HKSCS" w:hint="eastAsia"/>
          <w:spacing w:val="-82"/>
        </w:rPr>
        <w:t> </w:t>
      </w:r>
      <w:r>
        <w:rPr>
          <w:spacing w:val="-20"/>
        </w:rPr>
        <w:t>號、第 </w:t>
      </w:r>
      <w:r>
        <w:rPr>
          <w:rFonts w:ascii="細明體_HKSCS" w:eastAsia="細明體_HKSCS" w:hint="eastAsia"/>
        </w:rPr>
        <w:t>0309</w:t>
      </w:r>
      <w:r>
        <w:rPr>
          <w:rFonts w:ascii="細明體_HKSCS" w:eastAsia="細明體_HKSCS" w:hint="eastAsia"/>
          <w:spacing w:val="-82"/>
        </w:rPr>
        <w:t> </w:t>
      </w:r>
      <w:r>
        <w:rPr/>
        <w:t>號復審決定書）</w:t>
      </w:r>
    </w:p>
    <w:p>
      <w:pPr>
        <w:pStyle w:val="BodyText"/>
        <w:spacing w:line="268" w:lineRule="auto" w:before="196"/>
        <w:ind w:left="1138" w:right="264" w:hanging="1020"/>
        <w:rPr>
          <w:rFonts w:ascii="細明體_HKSCS" w:hAnsi="細明體_HKSCS" w:eastAsia="細明體_HKSCS" w:hint="eastAsia"/>
        </w:rPr>
      </w:pPr>
      <w:r>
        <w:rPr/>
        <w:t>（三）</w:t>
      </w:r>
      <w:r>
        <w:rPr>
          <w:spacing w:val="-2"/>
        </w:rPr>
        <w:t> 復審人係○○部○○署○○關秘書室主任，其 </w:t>
      </w:r>
      <w:r>
        <w:rPr>
          <w:rFonts w:ascii="細明體_HKSCS" w:hAnsi="細明體_HKSCS" w:eastAsia="細明體_HKSCS" w:hint="eastAsia"/>
        </w:rPr>
        <w:t>103</w:t>
      </w:r>
      <w:r>
        <w:rPr>
          <w:rFonts w:ascii="細明體_HKSCS" w:hAnsi="細明體_HKSCS" w:eastAsia="細明體_HKSCS" w:hint="eastAsia"/>
          <w:spacing w:val="2"/>
        </w:rPr>
        <w:t> </w:t>
      </w:r>
      <w:r>
        <w:rPr>
          <w:spacing w:val="9"/>
        </w:rPr>
        <w:t>年考</w:t>
      </w:r>
      <w:r>
        <w:rPr/>
        <w:t>績表之「直屬或上級長官」欄，本應由前關務長評擬，始</w:t>
      </w:r>
      <w:r>
        <w:rPr>
          <w:spacing w:val="-7"/>
        </w:rPr>
        <w:t>符合考績法第 </w:t>
      </w:r>
      <w:r>
        <w:rPr>
          <w:rFonts w:ascii="細明體_HKSCS" w:hAnsi="細明體_HKSCS" w:eastAsia="細明體_HKSCS" w:hint="eastAsia"/>
        </w:rPr>
        <w:t>14</w:t>
      </w:r>
      <w:r>
        <w:rPr>
          <w:rFonts w:ascii="細明體_HKSCS" w:hAnsi="細明體_HKSCS" w:eastAsia="細明體_HKSCS" w:hint="eastAsia"/>
          <w:spacing w:val="-46"/>
        </w:rPr>
        <w:t> </w:t>
      </w:r>
      <w:r>
        <w:rPr>
          <w:spacing w:val="-15"/>
        </w:rPr>
        <w:t>條第 </w:t>
      </w:r>
      <w:r>
        <w:rPr>
          <w:rFonts w:ascii="細明體_HKSCS" w:hAnsi="細明體_HKSCS" w:eastAsia="細明體_HKSCS" w:hint="eastAsia"/>
        </w:rPr>
        <w:t>1</w:t>
      </w:r>
      <w:r>
        <w:rPr>
          <w:rFonts w:ascii="細明體_HKSCS" w:hAnsi="細明體_HKSCS" w:eastAsia="細明體_HKSCS" w:hint="eastAsia"/>
          <w:spacing w:val="-47"/>
        </w:rPr>
        <w:t> </w:t>
      </w:r>
      <w:r>
        <w:rPr>
          <w:spacing w:val="-4"/>
        </w:rPr>
        <w:t>項前段之規定意旨。惟其 </w:t>
      </w:r>
      <w:r>
        <w:rPr>
          <w:rFonts w:ascii="細明體_HKSCS" w:hAnsi="細明體_HKSCS" w:eastAsia="細明體_HKSCS" w:hint="eastAsia"/>
        </w:rPr>
        <w:t>103</w:t>
      </w:r>
      <w:r>
        <w:rPr>
          <w:rFonts w:ascii="細明體_HKSCS" w:hAnsi="細明體_HKSCS" w:eastAsia="細明體_HKSCS" w:hint="eastAsia"/>
          <w:spacing w:val="-48"/>
        </w:rPr>
        <w:t> </w:t>
      </w:r>
      <w:r>
        <w:rPr/>
        <w:t>年</w:t>
      </w:r>
      <w:r>
        <w:rPr>
          <w:spacing w:val="8"/>
        </w:rPr>
        <w:t>考績表係由該關前副關務長評擬，於法即有未洽。</w:t>
      </w:r>
      <w:r>
        <w:rPr>
          <w:spacing w:val="4"/>
        </w:rPr>
        <w:t>（</w:t>
      </w:r>
      <w:r>
        <w:rPr>
          <w:rFonts w:ascii="細明體_HKSCS" w:hAnsi="細明體_HKSCS" w:eastAsia="細明體_HKSCS" w:hint="eastAsia"/>
          <w:spacing w:val="4"/>
        </w:rPr>
        <w:t>105</w:t>
      </w:r>
    </w:p>
    <w:p>
      <w:pPr>
        <w:spacing w:after="0" w:line="268" w:lineRule="auto"/>
        <w:rPr>
          <w:rFonts w:ascii="細明體_HKSCS" w:hAnsi="細明體_HKSCS" w:eastAsia="細明體_HKSCS" w:hint="eastAsia"/>
        </w:rPr>
        <w:sectPr>
          <w:pgSz w:w="11910" w:h="16840"/>
          <w:pgMar w:header="0" w:footer="1017" w:top="1180" w:bottom="1200" w:left="1300" w:right="1140"/>
        </w:sectPr>
      </w:pPr>
    </w:p>
    <w:p>
      <w:pPr>
        <w:pStyle w:val="BodyText"/>
        <w:spacing w:before="15"/>
        <w:ind w:left="1138"/>
      </w:pPr>
      <w:r>
        <w:rPr>
          <w:spacing w:val="-14"/>
        </w:rPr>
        <w:t>公審決字第 </w:t>
      </w:r>
      <w:r>
        <w:rPr>
          <w:rFonts w:ascii="細明體_HKSCS" w:eastAsia="細明體_HKSCS" w:hint="eastAsia"/>
        </w:rPr>
        <w:t>0301</w:t>
      </w:r>
      <w:r>
        <w:rPr>
          <w:rFonts w:ascii="細明體_HKSCS" w:eastAsia="細明體_HKSCS" w:hint="eastAsia"/>
          <w:spacing w:val="-82"/>
        </w:rPr>
        <w:t> </w:t>
      </w:r>
      <w:r>
        <w:rPr/>
        <w:t>號復審決定書）</w:t>
      </w:r>
    </w:p>
    <w:p>
      <w:pPr>
        <w:pStyle w:val="BodyText"/>
        <w:spacing w:before="254"/>
        <w:ind w:left="118"/>
        <w:jc w:val="left"/>
      </w:pPr>
      <w:r>
        <w:rPr/>
        <w:t>（四）</w:t>
      </w:r>
      <w:r>
        <w:rPr>
          <w:spacing w:val="-15"/>
        </w:rPr>
        <w:t> ○○警察局○○○○大隊依銓敘部 </w:t>
      </w:r>
      <w:r>
        <w:rPr>
          <w:rFonts w:ascii="細明體_HKSCS" w:hAnsi="細明體_HKSCS" w:eastAsia="細明體_HKSCS" w:hint="eastAsia"/>
        </w:rPr>
        <w:t>102</w:t>
      </w:r>
      <w:r>
        <w:rPr>
          <w:rFonts w:ascii="細明體_HKSCS" w:hAnsi="細明體_HKSCS" w:eastAsia="細明體_HKSCS" w:hint="eastAsia"/>
          <w:spacing w:val="-75"/>
        </w:rPr>
        <w:t> </w:t>
      </w:r>
      <w:r>
        <w:rPr>
          <w:spacing w:val="-37"/>
        </w:rPr>
        <w:t>年 </w:t>
      </w:r>
      <w:r>
        <w:rPr>
          <w:rFonts w:ascii="細明體_HKSCS" w:hAnsi="細明體_HKSCS" w:eastAsia="細明體_HKSCS" w:hint="eastAsia"/>
        </w:rPr>
        <w:t>1</w:t>
      </w:r>
      <w:r>
        <w:rPr>
          <w:rFonts w:ascii="細明體_HKSCS" w:hAnsi="細明體_HKSCS" w:eastAsia="細明體_HKSCS" w:hint="eastAsia"/>
          <w:spacing w:val="-74"/>
        </w:rPr>
        <w:t> </w:t>
      </w:r>
      <w:r>
        <w:rPr>
          <w:spacing w:val="-36"/>
        </w:rPr>
        <w:t>月 </w:t>
      </w:r>
      <w:r>
        <w:rPr>
          <w:rFonts w:ascii="細明體_HKSCS" w:hAnsi="細明體_HKSCS" w:eastAsia="細明體_HKSCS" w:hint="eastAsia"/>
        </w:rPr>
        <w:t>3</w:t>
      </w:r>
      <w:r>
        <w:rPr>
          <w:rFonts w:ascii="細明體_HKSCS" w:hAnsi="細明體_HKSCS" w:eastAsia="細明體_HKSCS" w:hint="eastAsia"/>
          <w:spacing w:val="-75"/>
        </w:rPr>
        <w:t> </w:t>
      </w:r>
      <w:r>
        <w:rPr/>
        <w:t>日部法二</w:t>
      </w:r>
    </w:p>
    <w:p>
      <w:pPr>
        <w:pStyle w:val="BodyText"/>
        <w:spacing w:before="51"/>
        <w:ind w:left="1138"/>
      </w:pPr>
      <w:r>
        <w:rPr>
          <w:spacing w:val="1"/>
        </w:rPr>
        <w:t>字第 </w:t>
      </w:r>
      <w:r>
        <w:rPr>
          <w:rFonts w:ascii="細明體_HKSCS" w:eastAsia="細明體_HKSCS" w:hint="eastAsia"/>
        </w:rPr>
        <w:t>1023681986</w:t>
      </w:r>
      <w:r>
        <w:rPr>
          <w:rFonts w:ascii="細明體_HKSCS" w:eastAsia="細明體_HKSCS" w:hint="eastAsia"/>
          <w:spacing w:val="2"/>
        </w:rPr>
        <w:t> </w:t>
      </w:r>
      <w:r>
        <w:rPr/>
        <w:t>號函附之受考人考績宜考列丙等條件一</w:t>
      </w:r>
    </w:p>
    <w:p>
      <w:pPr>
        <w:pStyle w:val="BodyText"/>
        <w:spacing w:before="52"/>
        <w:ind w:left="1138"/>
      </w:pPr>
      <w:r>
        <w:rPr>
          <w:spacing w:val="-19"/>
        </w:rPr>
        <w:t>覽表第 </w:t>
      </w:r>
      <w:r>
        <w:rPr>
          <w:rFonts w:ascii="細明體_HKSCS" w:eastAsia="細明體_HKSCS" w:hint="eastAsia"/>
        </w:rPr>
        <w:t>3</w:t>
      </w:r>
      <w:r>
        <w:rPr>
          <w:rFonts w:ascii="細明體_HKSCS" w:eastAsia="細明體_HKSCS" w:hint="eastAsia"/>
          <w:spacing w:val="-71"/>
        </w:rPr>
        <w:t> </w:t>
      </w:r>
      <w:r>
        <w:rPr>
          <w:spacing w:val="-8"/>
        </w:rPr>
        <w:t>款規定，曠職繼續達 </w:t>
      </w:r>
      <w:r>
        <w:rPr>
          <w:rFonts w:ascii="細明體_HKSCS" w:eastAsia="細明體_HKSCS" w:hint="eastAsia"/>
        </w:rPr>
        <w:t>2</w:t>
      </w:r>
      <w:r>
        <w:rPr>
          <w:rFonts w:ascii="細明體_HKSCS" w:eastAsia="細明體_HKSCS" w:hint="eastAsia"/>
          <w:spacing w:val="-74"/>
        </w:rPr>
        <w:t> </w:t>
      </w:r>
      <w:r>
        <w:rPr>
          <w:spacing w:val="-12"/>
        </w:rPr>
        <w:t>日以上未達 </w:t>
      </w:r>
      <w:r>
        <w:rPr>
          <w:rFonts w:ascii="細明體_HKSCS" w:eastAsia="細明體_HKSCS" w:hint="eastAsia"/>
        </w:rPr>
        <w:t>4</w:t>
      </w:r>
      <w:r>
        <w:rPr>
          <w:rFonts w:ascii="細明體_HKSCS" w:eastAsia="細明體_HKSCS" w:hint="eastAsia"/>
          <w:spacing w:val="-74"/>
        </w:rPr>
        <w:t> </w:t>
      </w:r>
      <w:r>
        <w:rPr/>
        <w:t>日之事由，</w:t>
      </w:r>
    </w:p>
    <w:p>
      <w:pPr>
        <w:pStyle w:val="BodyText"/>
        <w:spacing w:before="54"/>
        <w:ind w:left="1138"/>
      </w:pPr>
      <w:r>
        <w:rPr>
          <w:spacing w:val="7"/>
        </w:rPr>
        <w:t>評定復審人 </w:t>
      </w:r>
      <w:r>
        <w:rPr>
          <w:rFonts w:ascii="細明體_HKSCS" w:eastAsia="細明體_HKSCS" w:hint="eastAsia"/>
        </w:rPr>
        <w:t>104</w:t>
      </w:r>
      <w:r>
        <w:rPr>
          <w:rFonts w:ascii="細明體_HKSCS" w:eastAsia="細明體_HKSCS" w:hint="eastAsia"/>
          <w:spacing w:val="6"/>
        </w:rPr>
        <w:t> </w:t>
      </w:r>
      <w:r>
        <w:rPr>
          <w:spacing w:val="7"/>
        </w:rPr>
        <w:t>年年終考績為丙等 </w:t>
      </w:r>
      <w:r>
        <w:rPr>
          <w:rFonts w:ascii="細明體_HKSCS" w:eastAsia="細明體_HKSCS" w:hint="eastAsia"/>
        </w:rPr>
        <w:t>69</w:t>
      </w:r>
      <w:r>
        <w:rPr>
          <w:rFonts w:ascii="細明體_HKSCS" w:eastAsia="細明體_HKSCS" w:hint="eastAsia"/>
          <w:spacing w:val="4"/>
        </w:rPr>
        <w:t> </w:t>
      </w:r>
      <w:r>
        <w:rPr>
          <w:spacing w:val="7"/>
        </w:rPr>
        <w:t>分，惟查復審人</w:t>
      </w:r>
    </w:p>
    <w:p>
      <w:pPr>
        <w:pStyle w:val="BodyText"/>
        <w:spacing w:before="52"/>
        <w:ind w:left="1138"/>
      </w:pPr>
      <w:r>
        <w:rPr>
          <w:rFonts w:ascii="細明體_HKSCS" w:eastAsia="細明體_HKSCS" w:hint="eastAsia"/>
        </w:rPr>
        <w:t>104</w:t>
      </w:r>
      <w:r>
        <w:rPr>
          <w:rFonts w:ascii="細明體_HKSCS" w:eastAsia="細明體_HKSCS" w:hint="eastAsia"/>
          <w:spacing w:val="-67"/>
        </w:rPr>
        <w:t> </w:t>
      </w:r>
      <w:r>
        <w:rPr>
          <w:spacing w:val="-7"/>
        </w:rPr>
        <w:t>年度曠職時數，應為 </w:t>
      </w:r>
      <w:r>
        <w:rPr>
          <w:rFonts w:ascii="細明體_HKSCS" w:eastAsia="細明體_HKSCS" w:hint="eastAsia"/>
        </w:rPr>
        <w:t>104</w:t>
      </w:r>
      <w:r>
        <w:rPr>
          <w:rFonts w:ascii="細明體_HKSCS" w:eastAsia="細明體_HKSCS" w:hint="eastAsia"/>
          <w:spacing w:val="-67"/>
        </w:rPr>
        <w:t> </w:t>
      </w:r>
      <w:r>
        <w:rPr>
          <w:spacing w:val="-33"/>
        </w:rPr>
        <w:t>年 </w:t>
      </w:r>
      <w:r>
        <w:rPr>
          <w:rFonts w:ascii="細明體_HKSCS" w:eastAsia="細明體_HKSCS" w:hint="eastAsia"/>
        </w:rPr>
        <w:t>4</w:t>
      </w:r>
      <w:r>
        <w:rPr>
          <w:rFonts w:ascii="細明體_HKSCS" w:eastAsia="細明體_HKSCS" w:hint="eastAsia"/>
          <w:spacing w:val="-67"/>
        </w:rPr>
        <w:t> </w:t>
      </w:r>
      <w:r>
        <w:rPr>
          <w:spacing w:val="-32"/>
        </w:rPr>
        <w:t>月 </w:t>
      </w:r>
      <w:r>
        <w:rPr>
          <w:rFonts w:ascii="細明體_HKSCS" w:eastAsia="細明體_HKSCS" w:hint="eastAsia"/>
        </w:rPr>
        <w:t>6</w:t>
      </w:r>
      <w:r>
        <w:rPr>
          <w:rFonts w:ascii="細明體_HKSCS" w:eastAsia="細明體_HKSCS" w:hint="eastAsia"/>
          <w:spacing w:val="-67"/>
        </w:rPr>
        <w:t> </w:t>
      </w:r>
      <w:r>
        <w:rPr>
          <w:spacing w:val="-16"/>
        </w:rPr>
        <w:t>日曠職 </w:t>
      </w:r>
      <w:r>
        <w:rPr>
          <w:rFonts w:ascii="細明體_HKSCS" w:eastAsia="細明體_HKSCS" w:hint="eastAsia"/>
        </w:rPr>
        <w:t>1</w:t>
      </w:r>
      <w:r>
        <w:rPr>
          <w:rFonts w:ascii="細明體_HKSCS" w:eastAsia="細明體_HKSCS" w:hint="eastAsia"/>
          <w:spacing w:val="-68"/>
        </w:rPr>
        <w:t> </w:t>
      </w:r>
      <w:r>
        <w:rPr/>
        <w:t>日及同年</w:t>
      </w:r>
    </w:p>
    <w:p>
      <w:pPr>
        <w:pStyle w:val="BodyText"/>
        <w:spacing w:before="51"/>
        <w:ind w:left="1138"/>
      </w:pPr>
      <w:r>
        <w:rPr>
          <w:rFonts w:ascii="細明體_HKSCS" w:eastAsia="細明體_HKSCS" w:hint="eastAsia"/>
        </w:rPr>
        <w:t>5</w:t>
      </w:r>
      <w:r>
        <w:rPr>
          <w:rFonts w:ascii="細明體_HKSCS" w:eastAsia="細明體_HKSCS" w:hint="eastAsia"/>
          <w:spacing w:val="-51"/>
        </w:rPr>
        <w:t> </w:t>
      </w:r>
      <w:r>
        <w:rPr>
          <w:spacing w:val="-23"/>
        </w:rPr>
        <w:t>月 </w:t>
      </w:r>
      <w:r>
        <w:rPr>
          <w:rFonts w:ascii="細明體_HKSCS" w:eastAsia="細明體_HKSCS" w:hint="eastAsia"/>
        </w:rPr>
        <w:t>15</w:t>
      </w:r>
      <w:r>
        <w:rPr>
          <w:rFonts w:ascii="細明體_HKSCS" w:eastAsia="細明體_HKSCS" w:hint="eastAsia"/>
          <w:spacing w:val="-50"/>
        </w:rPr>
        <w:t> </w:t>
      </w:r>
      <w:r>
        <w:rPr>
          <w:spacing w:val="-12"/>
        </w:rPr>
        <w:t>日曠職 </w:t>
      </w:r>
      <w:r>
        <w:rPr>
          <w:rFonts w:ascii="細明體_HKSCS" w:eastAsia="細明體_HKSCS" w:hint="eastAsia"/>
        </w:rPr>
        <w:t>1</w:t>
      </w:r>
      <w:r>
        <w:rPr>
          <w:rFonts w:ascii="細明體_HKSCS" w:eastAsia="細明體_HKSCS" w:hint="eastAsia"/>
          <w:spacing w:val="-47"/>
        </w:rPr>
        <w:t> </w:t>
      </w:r>
      <w:r>
        <w:rPr>
          <w:spacing w:val="-9"/>
        </w:rPr>
        <w:t>小時，合計 </w:t>
      </w:r>
      <w:r>
        <w:rPr>
          <w:rFonts w:ascii="細明體_HKSCS" w:eastAsia="細明體_HKSCS" w:hint="eastAsia"/>
        </w:rPr>
        <w:t>1</w:t>
      </w:r>
      <w:r>
        <w:rPr>
          <w:rFonts w:ascii="細明體_HKSCS" w:eastAsia="細明體_HKSCS" w:hint="eastAsia"/>
          <w:spacing w:val="-49"/>
        </w:rPr>
        <w:t> </w:t>
      </w:r>
      <w:r>
        <w:rPr>
          <w:spacing w:val="-25"/>
        </w:rPr>
        <w:t>日 </w:t>
      </w:r>
      <w:r>
        <w:rPr>
          <w:rFonts w:ascii="細明體_HKSCS" w:eastAsia="細明體_HKSCS" w:hint="eastAsia"/>
        </w:rPr>
        <w:t>1</w:t>
      </w:r>
      <w:r>
        <w:rPr>
          <w:rFonts w:ascii="細明體_HKSCS" w:eastAsia="細明體_HKSCS" w:hint="eastAsia"/>
          <w:spacing w:val="-47"/>
        </w:rPr>
        <w:t> </w:t>
      </w:r>
      <w:r>
        <w:rPr/>
        <w:t>小時，核與上開一覽</w:t>
      </w:r>
    </w:p>
    <w:p>
      <w:pPr>
        <w:pStyle w:val="BodyText"/>
        <w:spacing w:line="268" w:lineRule="auto" w:before="55"/>
        <w:ind w:left="1138" w:right="275"/>
      </w:pPr>
      <w:r>
        <w:rPr>
          <w:spacing w:val="-23"/>
        </w:rPr>
        <w:t>表第 </w:t>
      </w:r>
      <w:r>
        <w:rPr>
          <w:rFonts w:ascii="細明體_HKSCS" w:eastAsia="細明體_HKSCS" w:hint="eastAsia"/>
        </w:rPr>
        <w:t>3</w:t>
      </w:r>
      <w:r>
        <w:rPr>
          <w:rFonts w:ascii="細明體_HKSCS" w:eastAsia="細明體_HKSCS" w:hint="eastAsia"/>
          <w:spacing w:val="-69"/>
        </w:rPr>
        <w:t> </w:t>
      </w:r>
      <w:r>
        <w:rPr>
          <w:spacing w:val="-4"/>
        </w:rPr>
        <w:t>款所定條件未合，該大隊評定復審人 </w:t>
      </w:r>
      <w:r>
        <w:rPr>
          <w:rFonts w:ascii="細明體_HKSCS" w:eastAsia="細明體_HKSCS" w:hint="eastAsia"/>
        </w:rPr>
        <w:t>104</w:t>
      </w:r>
      <w:r>
        <w:rPr>
          <w:rFonts w:ascii="細明體_HKSCS" w:eastAsia="細明體_HKSCS" w:hint="eastAsia"/>
          <w:spacing w:val="-71"/>
        </w:rPr>
        <w:t> </w:t>
      </w:r>
      <w:r>
        <w:rPr>
          <w:spacing w:val="-4"/>
        </w:rPr>
        <w:t>年年終考</w:t>
      </w:r>
      <w:r>
        <w:rPr>
          <w:spacing w:val="8"/>
        </w:rPr>
        <w:t>績，核有違法或不當之處，自有重新審酌之必要。</w:t>
      </w:r>
      <w:r>
        <w:rPr>
          <w:spacing w:val="4"/>
        </w:rPr>
        <w:t>（</w:t>
      </w:r>
      <w:r>
        <w:rPr>
          <w:rFonts w:ascii="細明體_HKSCS" w:eastAsia="細明體_HKSCS" w:hint="eastAsia"/>
          <w:spacing w:val="4"/>
        </w:rPr>
        <w:t>105 </w:t>
      </w:r>
      <w:r>
        <w:rPr>
          <w:spacing w:val="-14"/>
        </w:rPr>
        <w:t>公審決字第 </w:t>
      </w:r>
      <w:r>
        <w:rPr>
          <w:rFonts w:ascii="細明體_HKSCS" w:eastAsia="細明體_HKSCS" w:hint="eastAsia"/>
        </w:rPr>
        <w:t>0302</w:t>
      </w:r>
      <w:r>
        <w:rPr>
          <w:rFonts w:ascii="細明體_HKSCS" w:eastAsia="細明體_HKSCS" w:hint="eastAsia"/>
          <w:spacing w:val="-82"/>
        </w:rPr>
        <w:t> </w:t>
      </w:r>
      <w:r>
        <w:rPr/>
        <w:t>號復審決定書）</w:t>
      </w:r>
    </w:p>
    <w:p>
      <w:pPr>
        <w:pStyle w:val="BodyText"/>
        <w:spacing w:before="196"/>
        <w:ind w:left="118"/>
        <w:jc w:val="left"/>
      </w:pPr>
      <w:r>
        <w:rPr/>
        <w:t>（五）</w:t>
      </w:r>
      <w:r>
        <w:rPr>
          <w:spacing w:val="-22"/>
        </w:rPr>
        <w:t> 依組織規程第 </w:t>
      </w:r>
      <w:r>
        <w:rPr>
          <w:rFonts w:ascii="細明體_HKSCS" w:eastAsia="細明體_HKSCS" w:hint="eastAsia"/>
        </w:rPr>
        <w:t>4</w:t>
      </w:r>
      <w:r>
        <w:rPr>
          <w:rFonts w:ascii="細明體_HKSCS" w:eastAsia="細明體_HKSCS" w:hint="eastAsia"/>
          <w:spacing w:val="-62"/>
        </w:rPr>
        <w:t> </w:t>
      </w:r>
      <w:r>
        <w:rPr>
          <w:spacing w:val="-21"/>
        </w:rPr>
        <w:t>條第 </w:t>
      </w:r>
      <w:r>
        <w:rPr>
          <w:rFonts w:ascii="細明體_HKSCS" w:eastAsia="細明體_HKSCS" w:hint="eastAsia"/>
        </w:rPr>
        <w:t>1</w:t>
      </w:r>
      <w:r>
        <w:rPr>
          <w:rFonts w:ascii="細明體_HKSCS" w:eastAsia="細明體_HKSCS" w:hint="eastAsia"/>
          <w:spacing w:val="-59"/>
        </w:rPr>
        <w:t> </w:t>
      </w:r>
      <w:r>
        <w:rPr>
          <w:spacing w:val="-8"/>
        </w:rPr>
        <w:t>項規定及銓敘部 </w:t>
      </w:r>
      <w:r>
        <w:rPr>
          <w:rFonts w:ascii="細明體_HKSCS" w:eastAsia="細明體_HKSCS" w:hint="eastAsia"/>
        </w:rPr>
        <w:t>96</w:t>
      </w:r>
      <w:r>
        <w:rPr>
          <w:rFonts w:ascii="細明體_HKSCS" w:eastAsia="細明體_HKSCS" w:hint="eastAsia"/>
          <w:spacing w:val="-59"/>
        </w:rPr>
        <w:t> </w:t>
      </w:r>
      <w:r>
        <w:rPr>
          <w:spacing w:val="-29"/>
        </w:rPr>
        <w:t>年 </w:t>
      </w:r>
      <w:r>
        <w:rPr>
          <w:rFonts w:ascii="細明體_HKSCS" w:eastAsia="細明體_HKSCS" w:hint="eastAsia"/>
        </w:rPr>
        <w:t>10</w:t>
      </w:r>
      <w:r>
        <w:rPr>
          <w:rFonts w:ascii="細明體_HKSCS" w:eastAsia="細明體_HKSCS" w:hint="eastAsia"/>
          <w:spacing w:val="-62"/>
        </w:rPr>
        <w:t> </w:t>
      </w:r>
      <w:r>
        <w:rPr>
          <w:spacing w:val="-29"/>
        </w:rPr>
        <w:t>月 </w:t>
      </w:r>
      <w:r>
        <w:rPr>
          <w:rFonts w:ascii="細明體_HKSCS" w:eastAsia="細明體_HKSCS" w:hint="eastAsia"/>
        </w:rPr>
        <w:t>29</w:t>
      </w:r>
      <w:r>
        <w:rPr>
          <w:rFonts w:ascii="細明體_HKSCS" w:eastAsia="細明體_HKSCS" w:hint="eastAsia"/>
          <w:spacing w:val="-62"/>
        </w:rPr>
        <w:t> </w:t>
      </w:r>
      <w:r>
        <w:rPr/>
        <w:t>日</w:t>
      </w:r>
    </w:p>
    <w:p>
      <w:pPr>
        <w:pStyle w:val="BodyText"/>
        <w:spacing w:line="268" w:lineRule="auto" w:before="51"/>
        <w:ind w:left="1138" w:right="261"/>
      </w:pPr>
      <w:r>
        <w:rPr/>
        <w:t>部法二字第 </w:t>
      </w:r>
      <w:r>
        <w:rPr>
          <w:rFonts w:ascii="細明體_HKSCS" w:hAnsi="細明體_HKSCS" w:eastAsia="細明體_HKSCS" w:hint="eastAsia"/>
        </w:rPr>
        <w:t>0962867818</w:t>
      </w:r>
      <w:r>
        <w:rPr>
          <w:rFonts w:ascii="細明體_HKSCS" w:hAnsi="細明體_HKSCS" w:eastAsia="細明體_HKSCS" w:hint="eastAsia"/>
          <w:spacing w:val="1"/>
        </w:rPr>
        <w:t> </w:t>
      </w:r>
      <w:r>
        <w:rPr/>
        <w:t>號書函意旨，考績會開會時，須出席委員半數以上同意，始得決議，可否意見均未達半數時，由主席加入可否意見之一方，使議案達出席委員半數</w:t>
      </w:r>
      <w:r>
        <w:rPr>
          <w:spacing w:val="16"/>
          <w:w w:val="95"/>
        </w:rPr>
        <w:t>以上同意而成立。查基隆市○○局考績會於辦理復審人</w:t>
      </w:r>
    </w:p>
    <w:p>
      <w:pPr>
        <w:pStyle w:val="BodyText"/>
        <w:spacing w:line="268" w:lineRule="auto"/>
        <w:ind w:left="1138" w:right="275"/>
      </w:pPr>
      <w:r>
        <w:rPr>
          <w:rFonts w:ascii="細明體_HKSCS" w:eastAsia="細明體_HKSCS" w:hint="eastAsia"/>
        </w:rPr>
        <w:t>104 </w:t>
      </w:r>
      <w:r>
        <w:rPr/>
        <w:t>年年終考績初核時，出席之考績委員 </w:t>
      </w:r>
      <w:r>
        <w:rPr>
          <w:rFonts w:ascii="細明體_HKSCS" w:eastAsia="細明體_HKSCS" w:hint="eastAsia"/>
        </w:rPr>
        <w:t>13 </w:t>
      </w:r>
      <w:r>
        <w:rPr/>
        <w:t>人，投票結</w:t>
      </w:r>
      <w:r>
        <w:rPr>
          <w:spacing w:val="-8"/>
        </w:rPr>
        <w:t>果贊成考列丙等者 </w:t>
      </w:r>
      <w:r>
        <w:rPr>
          <w:rFonts w:ascii="細明體_HKSCS" w:eastAsia="細明體_HKSCS" w:hint="eastAsia"/>
        </w:rPr>
        <w:t>5</w:t>
      </w:r>
      <w:r>
        <w:rPr>
          <w:rFonts w:ascii="細明體_HKSCS" w:eastAsia="細明體_HKSCS" w:hint="eastAsia"/>
          <w:spacing w:val="-69"/>
        </w:rPr>
        <w:t> </w:t>
      </w:r>
      <w:r>
        <w:rPr>
          <w:spacing w:val="-7"/>
        </w:rPr>
        <w:t>票，贊成考列丁等者 </w:t>
      </w:r>
      <w:r>
        <w:rPr>
          <w:rFonts w:ascii="細明體_HKSCS" w:eastAsia="細明體_HKSCS" w:hint="eastAsia"/>
        </w:rPr>
        <w:t>6</w:t>
      </w:r>
      <w:r>
        <w:rPr>
          <w:rFonts w:ascii="細明體_HKSCS" w:eastAsia="細明體_HKSCS" w:hint="eastAsia"/>
          <w:spacing w:val="-71"/>
        </w:rPr>
        <w:t> </w:t>
      </w:r>
      <w:r>
        <w:rPr>
          <w:spacing w:val="-3"/>
        </w:rPr>
        <w:t>票，任一方均</w:t>
      </w:r>
      <w:r>
        <w:rPr/>
        <w:t>未達出席委員半數以上之同意，主席亦未加入贊成丁等一方，以達與會委員半數以上同意予以考列丁等，從而該局</w:t>
      </w:r>
      <w:r>
        <w:rPr>
          <w:spacing w:val="-6"/>
        </w:rPr>
        <w:t>考績會會議決議復審人 </w:t>
      </w:r>
      <w:r>
        <w:rPr>
          <w:rFonts w:ascii="細明體_HKSCS" w:eastAsia="細明體_HKSCS" w:hint="eastAsia"/>
        </w:rPr>
        <w:t>104</w:t>
      </w:r>
      <w:r>
        <w:rPr>
          <w:rFonts w:ascii="細明體_HKSCS" w:eastAsia="細明體_HKSCS" w:hint="eastAsia"/>
          <w:spacing w:val="-60"/>
        </w:rPr>
        <w:t> </w:t>
      </w:r>
      <w:r>
        <w:rPr/>
        <w:t>年年終考績考列丁等，核有法</w:t>
      </w:r>
      <w:r>
        <w:rPr>
          <w:spacing w:val="-5"/>
        </w:rPr>
        <w:t>定程序之瑕疵。又復審人 </w:t>
      </w:r>
      <w:r>
        <w:rPr>
          <w:rFonts w:ascii="細明體_HKSCS" w:eastAsia="細明體_HKSCS" w:hint="eastAsia"/>
        </w:rPr>
        <w:t>104</w:t>
      </w:r>
      <w:r>
        <w:rPr>
          <w:rFonts w:ascii="細明體_HKSCS" w:eastAsia="細明體_HKSCS" w:hint="eastAsia"/>
          <w:spacing w:val="-59"/>
        </w:rPr>
        <w:t> </w:t>
      </w:r>
      <w:r>
        <w:rPr/>
        <w:t>年年終考績考列丁等免職之評定，既應予撤銷，基隆市政府據以核布復審人免職；並於免職未確定前，先行停職之處分，自失所附麗，亦有重行審酌之必要。又復審人法定免職情事既已不存在，基隆</w:t>
      </w:r>
      <w:r>
        <w:rPr>
          <w:spacing w:val="-7"/>
        </w:rPr>
        <w:t>市政府所為否准其復職處分，即有重行審酌之必要。</w:t>
      </w:r>
      <w:r>
        <w:rPr/>
        <w:t>（</w:t>
      </w:r>
      <w:r>
        <w:rPr>
          <w:rFonts w:ascii="細明體_HKSCS" w:eastAsia="細明體_HKSCS" w:hint="eastAsia"/>
        </w:rPr>
        <w:t>105 </w:t>
      </w:r>
      <w:r>
        <w:rPr>
          <w:spacing w:val="-14"/>
        </w:rPr>
        <w:t>公審決字第 </w:t>
      </w:r>
      <w:r>
        <w:rPr>
          <w:rFonts w:ascii="細明體_HKSCS" w:eastAsia="細明體_HKSCS" w:hint="eastAsia"/>
        </w:rPr>
        <w:t>0314</w:t>
      </w:r>
      <w:r>
        <w:rPr>
          <w:rFonts w:ascii="細明體_HKSCS" w:eastAsia="細明體_HKSCS" w:hint="eastAsia"/>
          <w:spacing w:val="-82"/>
        </w:rPr>
        <w:t> </w:t>
      </w:r>
      <w:r>
        <w:rPr>
          <w:spacing w:val="-20"/>
        </w:rPr>
        <w:t>號、第 </w:t>
      </w:r>
      <w:r>
        <w:rPr>
          <w:rFonts w:ascii="細明體_HKSCS" w:eastAsia="細明體_HKSCS" w:hint="eastAsia"/>
        </w:rPr>
        <w:t>0366</w:t>
      </w:r>
      <w:r>
        <w:rPr>
          <w:rFonts w:ascii="細明體_HKSCS" w:eastAsia="細明體_HKSCS" w:hint="eastAsia"/>
          <w:spacing w:val="-81"/>
        </w:rPr>
        <w:t> </w:t>
      </w:r>
      <w:r>
        <w:rPr/>
        <w:t>號復審決定書）</w:t>
      </w:r>
    </w:p>
    <w:p>
      <w:pPr>
        <w:pStyle w:val="BodyText"/>
        <w:spacing w:before="183"/>
        <w:ind w:left="118"/>
        <w:jc w:val="left"/>
      </w:pPr>
      <w:r>
        <w:rPr/>
        <w:t>（六）</w:t>
      </w:r>
      <w:r>
        <w:rPr>
          <w:spacing w:val="-30"/>
        </w:rPr>
        <w:t> 依銓敘部 </w:t>
      </w:r>
      <w:r>
        <w:rPr>
          <w:rFonts w:ascii="細明體_HKSCS" w:eastAsia="細明體_HKSCS" w:hint="eastAsia"/>
        </w:rPr>
        <w:t>92</w:t>
      </w:r>
      <w:r>
        <w:rPr>
          <w:rFonts w:ascii="細明體_HKSCS" w:eastAsia="細明體_HKSCS" w:hint="eastAsia"/>
          <w:spacing w:val="-74"/>
        </w:rPr>
        <w:t> </w:t>
      </w:r>
      <w:r>
        <w:rPr>
          <w:spacing w:val="-38"/>
        </w:rPr>
        <w:t>年 </w:t>
      </w:r>
      <w:r>
        <w:rPr>
          <w:rFonts w:ascii="細明體_HKSCS" w:eastAsia="細明體_HKSCS" w:hint="eastAsia"/>
        </w:rPr>
        <w:t>12</w:t>
      </w:r>
      <w:r>
        <w:rPr>
          <w:rFonts w:ascii="細明體_HKSCS" w:eastAsia="細明體_HKSCS" w:hint="eastAsia"/>
          <w:spacing w:val="-74"/>
        </w:rPr>
        <w:t> </w:t>
      </w:r>
      <w:r>
        <w:rPr>
          <w:spacing w:val="-38"/>
        </w:rPr>
        <w:t>月 </w:t>
      </w:r>
      <w:r>
        <w:rPr>
          <w:rFonts w:ascii="細明體_HKSCS" w:eastAsia="細明體_HKSCS" w:hint="eastAsia"/>
        </w:rPr>
        <w:t>11</w:t>
      </w:r>
      <w:r>
        <w:rPr>
          <w:rFonts w:ascii="細明體_HKSCS" w:eastAsia="細明體_HKSCS" w:hint="eastAsia"/>
          <w:spacing w:val="-76"/>
        </w:rPr>
        <w:t> </w:t>
      </w:r>
      <w:r>
        <w:rPr>
          <w:spacing w:val="-11"/>
        </w:rPr>
        <w:t>日部法二字第 </w:t>
      </w:r>
      <w:r>
        <w:rPr>
          <w:rFonts w:ascii="細明體_HKSCS" w:eastAsia="細明體_HKSCS" w:hint="eastAsia"/>
        </w:rPr>
        <w:t>0922292289</w:t>
      </w:r>
      <w:r>
        <w:rPr>
          <w:rFonts w:ascii="細明體_HKSCS" w:eastAsia="細明體_HKSCS" w:hint="eastAsia"/>
          <w:spacing w:val="-75"/>
        </w:rPr>
        <w:t> </w:t>
      </w:r>
      <w:r>
        <w:rPr/>
        <w:t>號書函</w:t>
      </w:r>
    </w:p>
    <w:p>
      <w:pPr>
        <w:spacing w:after="0"/>
        <w:jc w:val="left"/>
        <w:sectPr>
          <w:pgSz w:w="11910" w:h="16840"/>
          <w:pgMar w:header="0" w:footer="1017" w:top="1180" w:bottom="1200" w:left="1300" w:right="1140"/>
        </w:sectPr>
      </w:pPr>
    </w:p>
    <w:p>
      <w:pPr>
        <w:pStyle w:val="BodyText"/>
        <w:spacing w:line="268" w:lineRule="auto" w:before="15"/>
        <w:ind w:left="1138" w:right="274"/>
      </w:pPr>
      <w:r>
        <w:rPr>
          <w:spacing w:val="-2"/>
        </w:rPr>
        <w:t>規定，及該部代表 </w:t>
      </w:r>
      <w:r>
        <w:rPr>
          <w:rFonts w:ascii="細明體_HKSCS" w:eastAsia="細明體_HKSCS" w:hint="eastAsia"/>
        </w:rPr>
        <w:t>105</w:t>
      </w:r>
      <w:r>
        <w:rPr>
          <w:rFonts w:ascii="細明體_HKSCS" w:eastAsia="細明體_HKSCS" w:hint="eastAsia"/>
          <w:spacing w:val="-18"/>
        </w:rPr>
        <w:t> </w:t>
      </w:r>
      <w:r>
        <w:rPr>
          <w:spacing w:val="-10"/>
        </w:rPr>
        <w:t>年 </w:t>
      </w:r>
      <w:r>
        <w:rPr>
          <w:rFonts w:ascii="細明體_HKSCS" w:eastAsia="細明體_HKSCS" w:hint="eastAsia"/>
        </w:rPr>
        <w:t>10</w:t>
      </w:r>
      <w:r>
        <w:rPr>
          <w:rFonts w:ascii="細明體_HKSCS" w:eastAsia="細明體_HKSCS" w:hint="eastAsia"/>
          <w:spacing w:val="-22"/>
        </w:rPr>
        <w:t> </w:t>
      </w:r>
      <w:r>
        <w:rPr>
          <w:spacing w:val="-9"/>
        </w:rPr>
        <w:t>月 </w:t>
      </w:r>
      <w:r>
        <w:rPr>
          <w:rFonts w:ascii="細明體_HKSCS" w:eastAsia="細明體_HKSCS" w:hint="eastAsia"/>
        </w:rPr>
        <w:t>24</w:t>
      </w:r>
      <w:r>
        <w:rPr>
          <w:rFonts w:ascii="細明體_HKSCS" w:eastAsia="細明體_HKSCS" w:hint="eastAsia"/>
          <w:spacing w:val="-21"/>
        </w:rPr>
        <w:t> </w:t>
      </w:r>
      <w:r>
        <w:rPr/>
        <w:t>日到會陳述意見時表示，年終（另予）考績係考核公務人員於考績年度內任職期間之成績，從而公務人員平時成績紀錄及平時考核獎懲功過相抵銷之計算，應採計至任職期間之末日為止。查復</w:t>
      </w:r>
      <w:r>
        <w:rPr>
          <w:spacing w:val="-19"/>
        </w:rPr>
        <w:t>審人自 </w:t>
      </w:r>
      <w:r>
        <w:rPr>
          <w:rFonts w:ascii="細明體_HKSCS" w:eastAsia="細明體_HKSCS" w:hint="eastAsia"/>
        </w:rPr>
        <w:t>103</w:t>
      </w:r>
      <w:r>
        <w:rPr>
          <w:rFonts w:ascii="細明體_HKSCS" w:eastAsia="細明體_HKSCS" w:hint="eastAsia"/>
          <w:spacing w:val="-76"/>
        </w:rPr>
        <w:t> </w:t>
      </w:r>
      <w:r>
        <w:rPr>
          <w:spacing w:val="-38"/>
        </w:rPr>
        <w:t>年 </w:t>
      </w:r>
      <w:r>
        <w:rPr>
          <w:rFonts w:ascii="細明體_HKSCS" w:eastAsia="細明體_HKSCS" w:hint="eastAsia"/>
        </w:rPr>
        <w:t>9</w:t>
      </w:r>
      <w:r>
        <w:rPr>
          <w:rFonts w:ascii="細明體_HKSCS" w:eastAsia="細明體_HKSCS" w:hint="eastAsia"/>
          <w:spacing w:val="-79"/>
        </w:rPr>
        <w:t> </w:t>
      </w:r>
      <w:r>
        <w:rPr>
          <w:spacing w:val="-38"/>
        </w:rPr>
        <w:t>月 </w:t>
      </w:r>
      <w:r>
        <w:rPr>
          <w:rFonts w:ascii="細明體_HKSCS" w:eastAsia="細明體_HKSCS" w:hint="eastAsia"/>
        </w:rPr>
        <w:t>1</w:t>
      </w:r>
      <w:r>
        <w:rPr>
          <w:rFonts w:ascii="細明體_HKSCS" w:eastAsia="細明體_HKSCS" w:hint="eastAsia"/>
          <w:spacing w:val="-76"/>
        </w:rPr>
        <w:t> </w:t>
      </w:r>
      <w:r>
        <w:rPr>
          <w:spacing w:val="-7"/>
        </w:rPr>
        <w:t>日起奉准育嬰留職停薪至 </w:t>
      </w:r>
      <w:r>
        <w:rPr>
          <w:rFonts w:ascii="細明體_HKSCS" w:eastAsia="細明體_HKSCS" w:hint="eastAsia"/>
        </w:rPr>
        <w:t>104</w:t>
      </w:r>
      <w:r>
        <w:rPr>
          <w:rFonts w:ascii="細明體_HKSCS" w:eastAsia="細明體_HKSCS" w:hint="eastAsia"/>
          <w:spacing w:val="-75"/>
        </w:rPr>
        <w:t> </w:t>
      </w:r>
      <w:r>
        <w:rPr>
          <w:spacing w:val="-38"/>
        </w:rPr>
        <w:t>年 </w:t>
      </w:r>
      <w:r>
        <w:rPr>
          <w:rFonts w:ascii="細明體_HKSCS" w:eastAsia="細明體_HKSCS" w:hint="eastAsia"/>
        </w:rPr>
        <w:t>7</w:t>
      </w:r>
      <w:r>
        <w:rPr>
          <w:rFonts w:ascii="細明體_HKSCS" w:eastAsia="細明體_HKSCS" w:hint="eastAsia"/>
          <w:spacing w:val="-76"/>
        </w:rPr>
        <w:t> </w:t>
      </w:r>
      <w:r>
        <w:rPr/>
        <w:t>月</w:t>
      </w:r>
    </w:p>
    <w:p>
      <w:pPr>
        <w:pStyle w:val="BodyText"/>
        <w:spacing w:line="268" w:lineRule="auto"/>
        <w:ind w:left="1138" w:right="273"/>
      </w:pPr>
      <w:r>
        <w:rPr>
          <w:rFonts w:ascii="細明體_HKSCS" w:hAnsi="細明體_HKSCS" w:eastAsia="細明體_HKSCS" w:hint="eastAsia"/>
        </w:rPr>
        <w:t>30</w:t>
      </w:r>
      <w:r>
        <w:rPr>
          <w:rFonts w:ascii="細明體_HKSCS" w:hAnsi="細明體_HKSCS" w:eastAsia="細明體_HKSCS" w:hint="eastAsia"/>
          <w:spacing w:val="3"/>
        </w:rPr>
        <w:t> </w:t>
      </w:r>
      <w:r>
        <w:rPr>
          <w:spacing w:val="1"/>
        </w:rPr>
        <w:t>日止。其 </w:t>
      </w:r>
      <w:r>
        <w:rPr>
          <w:rFonts w:ascii="細明體_HKSCS" w:hAnsi="細明體_HKSCS" w:eastAsia="細明體_HKSCS" w:hint="eastAsia"/>
        </w:rPr>
        <w:t>103</w:t>
      </w:r>
      <w:r>
        <w:rPr>
          <w:rFonts w:ascii="細明體_HKSCS" w:hAnsi="細明體_HKSCS" w:eastAsia="細明體_HKSCS" w:hint="eastAsia"/>
          <w:spacing w:val="5"/>
        </w:rPr>
        <w:t> </w:t>
      </w:r>
      <w:r>
        <w:rPr/>
        <w:t>年考績表平時考核獎懲欄記載，嘉獎 </w:t>
      </w:r>
      <w:r>
        <w:rPr>
          <w:rFonts w:ascii="細明體_HKSCS" w:hAnsi="細明體_HKSCS" w:eastAsia="細明體_HKSCS" w:hint="eastAsia"/>
        </w:rPr>
        <w:t>1 </w:t>
      </w:r>
      <w:r>
        <w:rPr>
          <w:spacing w:val="-9"/>
        </w:rPr>
        <w:t>次、申誡 </w:t>
      </w:r>
      <w:r>
        <w:rPr>
          <w:rFonts w:ascii="細明體_HKSCS" w:hAnsi="細明體_HKSCS" w:eastAsia="細明體_HKSCS" w:hint="eastAsia"/>
        </w:rPr>
        <w:t>4</w:t>
      </w:r>
      <w:r>
        <w:rPr>
          <w:rFonts w:ascii="細明體_HKSCS" w:hAnsi="細明體_HKSCS" w:eastAsia="細明體_HKSCS" w:hint="eastAsia"/>
          <w:spacing w:val="-47"/>
        </w:rPr>
        <w:t> </w:t>
      </w:r>
      <w:r>
        <w:rPr>
          <w:spacing w:val="-10"/>
        </w:rPr>
        <w:t>次及記過 </w:t>
      </w:r>
      <w:r>
        <w:rPr>
          <w:rFonts w:ascii="細明體_HKSCS" w:hAnsi="細明體_HKSCS" w:eastAsia="細明體_HKSCS" w:hint="eastAsia"/>
        </w:rPr>
        <w:t>1</w:t>
      </w:r>
      <w:r>
        <w:rPr>
          <w:rFonts w:ascii="細明體_HKSCS" w:hAnsi="細明體_HKSCS" w:eastAsia="細明體_HKSCS" w:hint="eastAsia"/>
          <w:spacing w:val="-47"/>
        </w:rPr>
        <w:t> </w:t>
      </w:r>
      <w:r>
        <w:rPr/>
        <w:t>次；惟其受考期間（按：</w:t>
      </w:r>
      <w:r>
        <w:rPr>
          <w:rFonts w:ascii="細明體_HKSCS" w:hAnsi="細明體_HKSCS" w:eastAsia="細明體_HKSCS" w:hint="eastAsia"/>
        </w:rPr>
        <w:t>103</w:t>
      </w:r>
      <w:r>
        <w:rPr>
          <w:rFonts w:ascii="細明體_HKSCS" w:hAnsi="細明體_HKSCS" w:eastAsia="細明體_HKSCS" w:hint="eastAsia"/>
          <w:spacing w:val="-48"/>
        </w:rPr>
        <w:t> </w:t>
      </w:r>
      <w:r>
        <w:rPr>
          <w:spacing w:val="-22"/>
        </w:rPr>
        <w:t>年 </w:t>
      </w:r>
      <w:r>
        <w:rPr>
          <w:rFonts w:ascii="細明體_HKSCS" w:hAnsi="細明體_HKSCS" w:eastAsia="細明體_HKSCS" w:hint="eastAsia"/>
        </w:rPr>
        <w:t>1 </w:t>
      </w:r>
      <w:r>
        <w:rPr>
          <w:w w:val="99"/>
        </w:rPr>
        <w:t>月</w:t>
      </w:r>
      <w:r>
        <w:rPr>
          <w:spacing w:val="-74"/>
        </w:rPr>
        <w:t> </w:t>
      </w:r>
      <w:r>
        <w:rPr>
          <w:rFonts w:ascii="細明體_HKSCS" w:hAnsi="細明體_HKSCS" w:eastAsia="細明體_HKSCS" w:hint="eastAsia"/>
          <w:w w:val="99"/>
        </w:rPr>
        <w:t>1</w:t>
      </w:r>
      <w:r>
        <w:rPr>
          <w:rFonts w:ascii="細明體_HKSCS" w:hAnsi="細明體_HKSCS" w:eastAsia="細明體_HKSCS" w:hint="eastAsia"/>
          <w:spacing w:val="-75"/>
        </w:rPr>
        <w:t> </w:t>
      </w:r>
      <w:r>
        <w:rPr>
          <w:w w:val="99"/>
        </w:rPr>
        <w:t>日至同年</w:t>
      </w:r>
      <w:r>
        <w:rPr>
          <w:spacing w:val="-73"/>
        </w:rPr>
        <w:t> </w:t>
      </w:r>
      <w:r>
        <w:rPr>
          <w:rFonts w:ascii="細明體_HKSCS" w:hAnsi="細明體_HKSCS" w:eastAsia="細明體_HKSCS" w:hint="eastAsia"/>
          <w:w w:val="99"/>
        </w:rPr>
        <w:t>8</w:t>
      </w:r>
      <w:r>
        <w:rPr>
          <w:rFonts w:ascii="細明體_HKSCS" w:hAnsi="細明體_HKSCS" w:eastAsia="細明體_HKSCS" w:hint="eastAsia"/>
          <w:spacing w:val="-78"/>
        </w:rPr>
        <w:t> </w:t>
      </w:r>
      <w:r>
        <w:rPr>
          <w:w w:val="99"/>
        </w:rPr>
        <w:t>月</w:t>
      </w:r>
      <w:r>
        <w:rPr>
          <w:spacing w:val="-74"/>
        </w:rPr>
        <w:t> </w:t>
      </w:r>
      <w:r>
        <w:rPr>
          <w:rFonts w:ascii="細明體_HKSCS" w:hAnsi="細明體_HKSCS" w:eastAsia="細明體_HKSCS" w:hint="eastAsia"/>
          <w:spacing w:val="1"/>
          <w:w w:val="99"/>
        </w:rPr>
        <w:t>3</w:t>
      </w:r>
      <w:r>
        <w:rPr>
          <w:rFonts w:ascii="細明體_HKSCS" w:hAnsi="細明體_HKSCS" w:eastAsia="細明體_HKSCS" w:hint="eastAsia"/>
          <w:w w:val="99"/>
        </w:rPr>
        <w:t>1</w:t>
      </w:r>
      <w:r>
        <w:rPr>
          <w:rFonts w:ascii="細明體_HKSCS" w:hAnsi="細明體_HKSCS" w:eastAsia="細明體_HKSCS" w:hint="eastAsia"/>
          <w:spacing w:val="-75"/>
        </w:rPr>
        <w:t> </w:t>
      </w:r>
      <w:r>
        <w:rPr>
          <w:w w:val="99"/>
        </w:rPr>
        <w:t>日</w:t>
      </w:r>
      <w:r>
        <w:rPr>
          <w:spacing w:val="-159"/>
          <w:w w:val="99"/>
        </w:rPr>
        <w:t>）</w:t>
      </w:r>
      <w:r>
        <w:rPr>
          <w:w w:val="99"/>
        </w:rPr>
        <w:t>，僅受申誡</w:t>
      </w:r>
      <w:r>
        <w:rPr>
          <w:spacing w:val="-74"/>
        </w:rPr>
        <w:t> </w:t>
      </w:r>
      <w:r>
        <w:rPr>
          <w:rFonts w:ascii="細明體_HKSCS" w:hAnsi="細明體_HKSCS" w:eastAsia="細明體_HKSCS" w:hint="eastAsia"/>
          <w:w w:val="99"/>
        </w:rPr>
        <w:t>2</w:t>
      </w:r>
      <w:r>
        <w:rPr>
          <w:rFonts w:ascii="細明體_HKSCS" w:hAnsi="細明體_HKSCS" w:eastAsia="細明體_HKSCS" w:hint="eastAsia"/>
          <w:spacing w:val="-78"/>
        </w:rPr>
        <w:t> </w:t>
      </w:r>
      <w:r>
        <w:rPr>
          <w:w w:val="99"/>
        </w:rPr>
        <w:t>次及記過</w:t>
      </w:r>
      <w:r>
        <w:rPr>
          <w:spacing w:val="-76"/>
        </w:rPr>
        <w:t> </w:t>
      </w:r>
      <w:r>
        <w:rPr>
          <w:rFonts w:ascii="細明體_HKSCS" w:hAnsi="細明體_HKSCS" w:eastAsia="細明體_HKSCS" w:hint="eastAsia"/>
          <w:w w:val="99"/>
        </w:rPr>
        <w:t>1</w:t>
      </w:r>
      <w:r>
        <w:rPr>
          <w:rFonts w:ascii="細明體_HKSCS" w:hAnsi="細明體_HKSCS" w:eastAsia="細明體_HKSCS" w:hint="eastAsia"/>
          <w:spacing w:val="-75"/>
        </w:rPr>
        <w:t> </w:t>
      </w:r>
      <w:r>
        <w:rPr>
          <w:w w:val="99"/>
        </w:rPr>
        <w:t>次之懲</w:t>
      </w:r>
      <w:r>
        <w:rPr>
          <w:spacing w:val="-5"/>
        </w:rPr>
        <w:t>處。是○○榮民服務處辦理復審人 </w:t>
      </w:r>
      <w:r>
        <w:rPr>
          <w:rFonts w:ascii="細明體_HKSCS" w:hAnsi="細明體_HKSCS" w:eastAsia="細明體_HKSCS" w:hint="eastAsia"/>
        </w:rPr>
        <w:t>103</w:t>
      </w:r>
      <w:r>
        <w:rPr>
          <w:rFonts w:ascii="細明體_HKSCS" w:hAnsi="細明體_HKSCS" w:eastAsia="細明體_HKSCS" w:hint="eastAsia"/>
          <w:spacing w:val="-75"/>
        </w:rPr>
        <w:t> </w:t>
      </w:r>
      <w:r>
        <w:rPr>
          <w:spacing w:val="-37"/>
        </w:rPr>
        <w:t>年 </w:t>
      </w:r>
      <w:r>
        <w:rPr>
          <w:rFonts w:ascii="細明體_HKSCS" w:hAnsi="細明體_HKSCS" w:eastAsia="細明體_HKSCS" w:hint="eastAsia"/>
        </w:rPr>
        <w:t>1</w:t>
      </w:r>
      <w:r>
        <w:rPr>
          <w:rFonts w:ascii="細明體_HKSCS" w:hAnsi="細明體_HKSCS" w:eastAsia="細明體_HKSCS" w:hint="eastAsia"/>
          <w:spacing w:val="-72"/>
        </w:rPr>
        <w:t> </w:t>
      </w:r>
      <w:r>
        <w:rPr>
          <w:spacing w:val="-25"/>
        </w:rPr>
        <w:t>月至 </w:t>
      </w:r>
      <w:r>
        <w:rPr>
          <w:rFonts w:ascii="細明體_HKSCS" w:hAnsi="細明體_HKSCS" w:eastAsia="細明體_HKSCS" w:hint="eastAsia"/>
        </w:rPr>
        <w:t>8</w:t>
      </w:r>
      <w:r>
        <w:rPr>
          <w:rFonts w:ascii="細明體_HKSCS" w:hAnsi="細明體_HKSCS" w:eastAsia="細明體_HKSCS" w:hint="eastAsia"/>
          <w:spacing w:val="-72"/>
        </w:rPr>
        <w:t> </w:t>
      </w:r>
      <w:r>
        <w:rPr/>
        <w:t>月任職期間之另予考績，將復審人留職停薪期間所核布之獎懲， </w:t>
      </w:r>
      <w:r>
        <w:rPr>
          <w:spacing w:val="-7"/>
        </w:rPr>
        <w:t>登載於其考績表，於法未合，核有重行斟酌之必要。</w:t>
      </w:r>
      <w:r>
        <w:rPr/>
        <w:t>（</w:t>
      </w:r>
      <w:r>
        <w:rPr>
          <w:rFonts w:ascii="細明體_HKSCS" w:hAnsi="細明體_HKSCS" w:eastAsia="細明體_HKSCS" w:hint="eastAsia"/>
        </w:rPr>
        <w:t>105 </w:t>
      </w:r>
      <w:r>
        <w:rPr>
          <w:spacing w:val="-14"/>
        </w:rPr>
        <w:t>公審決字第 </w:t>
      </w:r>
      <w:r>
        <w:rPr>
          <w:rFonts w:ascii="細明體_HKSCS" w:hAnsi="細明體_HKSCS" w:eastAsia="細明體_HKSCS" w:hint="eastAsia"/>
        </w:rPr>
        <w:t>0353</w:t>
      </w:r>
      <w:r>
        <w:rPr>
          <w:rFonts w:ascii="細明體_HKSCS" w:hAnsi="細明體_HKSCS" w:eastAsia="細明體_HKSCS" w:hint="eastAsia"/>
          <w:spacing w:val="-82"/>
        </w:rPr>
        <w:t> </w:t>
      </w:r>
      <w:r>
        <w:rPr/>
        <w:t>號復審決定書）</w:t>
      </w:r>
    </w:p>
    <w:p>
      <w:pPr>
        <w:pStyle w:val="Heading1"/>
        <w:spacing w:before="80"/>
      </w:pPr>
      <w:r>
        <w:rPr/>
        <w:t>六、 關於其他復審事件之實體撤銷理由部分︰</w:t>
      </w:r>
    </w:p>
    <w:p>
      <w:pPr>
        <w:spacing w:before="112"/>
        <w:ind w:left="118" w:right="0" w:firstLine="0"/>
        <w:jc w:val="left"/>
        <w:rPr>
          <w:rFonts w:ascii="微軟正黑體" w:eastAsia="微軟正黑體" w:hint="eastAsia"/>
          <w:b/>
          <w:sz w:val="32"/>
        </w:rPr>
      </w:pPr>
      <w:r>
        <w:rPr>
          <w:rFonts w:ascii="微軟正黑體" w:eastAsia="微軟正黑體" w:hint="eastAsia"/>
          <w:b/>
          <w:sz w:val="32"/>
        </w:rPr>
        <w:t>（一） 機關作成處分未經詳實調查或事實認定有誤︰</w:t>
      </w:r>
    </w:p>
    <w:p>
      <w:pPr>
        <w:pStyle w:val="ListParagraph"/>
        <w:numPr>
          <w:ilvl w:val="0"/>
          <w:numId w:val="4"/>
        </w:numPr>
        <w:tabs>
          <w:tab w:pos="1331" w:val="left" w:leader="none"/>
        </w:tabs>
        <w:spacing w:line="268" w:lineRule="auto" w:before="216" w:after="0"/>
        <w:ind w:left="1330" w:right="272" w:hanging="360"/>
        <w:jc w:val="both"/>
        <w:rPr>
          <w:sz w:val="32"/>
        </w:rPr>
      </w:pPr>
      <w:r>
        <w:rPr>
          <w:sz w:val="32"/>
        </w:rPr>
        <w:t>公務人員退休法（以下簡稱退休法）</w:t>
      </w:r>
      <w:r>
        <w:rPr>
          <w:spacing w:val="5"/>
          <w:sz w:val="32"/>
        </w:rPr>
        <w:t>第</w:t>
      </w:r>
      <w:r>
        <w:rPr>
          <w:rFonts w:ascii="細明體_HKSCS" w:eastAsia="細明體_HKSCS" w:hint="eastAsia"/>
          <w:sz w:val="32"/>
        </w:rPr>
        <w:t>31</w:t>
      </w:r>
      <w:r>
        <w:rPr>
          <w:sz w:val="32"/>
        </w:rPr>
        <w:t>條第</w:t>
      </w:r>
      <w:r>
        <w:rPr>
          <w:rFonts w:ascii="細明體_HKSCS" w:eastAsia="細明體_HKSCS" w:hint="eastAsia"/>
          <w:sz w:val="32"/>
        </w:rPr>
        <w:t>3</w:t>
      </w:r>
      <w:r>
        <w:rPr>
          <w:spacing w:val="-3"/>
          <w:sz w:val="32"/>
        </w:rPr>
        <w:t>項規定， </w:t>
      </w:r>
      <w:r>
        <w:rPr>
          <w:spacing w:val="6"/>
          <w:w w:val="95"/>
          <w:sz w:val="32"/>
        </w:rPr>
        <w:t>公務人員所具納編前保育員年資，不再計算退休給付， 並未明定該公務人員經採計退休之其他年資，亦不得計 </w:t>
      </w:r>
      <w:r>
        <w:rPr>
          <w:spacing w:val="6"/>
          <w:sz w:val="32"/>
        </w:rPr>
        <w:t>算退休給付（包含補償金</w:t>
      </w:r>
      <w:r>
        <w:rPr>
          <w:spacing w:val="-159"/>
          <w:sz w:val="32"/>
        </w:rPr>
        <w:t>）</w:t>
      </w:r>
      <w:r>
        <w:rPr>
          <w:sz w:val="32"/>
        </w:rPr>
        <w:t>。銓敘部未考量復審人自</w:t>
      </w:r>
      <w:r>
        <w:rPr>
          <w:rFonts w:ascii="細明體_HKSCS" w:eastAsia="細明體_HKSCS" w:hint="eastAsia"/>
          <w:sz w:val="32"/>
        </w:rPr>
        <w:t>71</w:t>
      </w:r>
      <w:r>
        <w:rPr>
          <w:spacing w:val="-12"/>
          <w:sz w:val="32"/>
        </w:rPr>
        <w:t>年</w:t>
      </w:r>
    </w:p>
    <w:p>
      <w:pPr>
        <w:pStyle w:val="BodyText"/>
        <w:spacing w:line="268" w:lineRule="auto"/>
        <w:ind w:right="273"/>
      </w:pPr>
      <w:r>
        <w:rPr>
          <w:rFonts w:ascii="細明體_HKSCS" w:eastAsia="細明體_HKSCS" w:hint="eastAsia"/>
        </w:rPr>
        <w:t>7</w:t>
      </w:r>
      <w:r>
        <w:rPr/>
        <w:t>月</w:t>
      </w:r>
      <w:r>
        <w:rPr>
          <w:rFonts w:ascii="細明體_HKSCS" w:eastAsia="細明體_HKSCS" w:hint="eastAsia"/>
        </w:rPr>
        <w:t>1</w:t>
      </w:r>
      <w:r>
        <w:rPr/>
        <w:t>日至</w:t>
      </w:r>
      <w:r>
        <w:rPr>
          <w:rFonts w:ascii="細明體_HKSCS" w:eastAsia="細明體_HKSCS" w:hint="eastAsia"/>
        </w:rPr>
        <w:t>83</w:t>
      </w:r>
      <w:r>
        <w:rPr/>
        <w:t>年</w:t>
      </w:r>
      <w:r>
        <w:rPr>
          <w:rFonts w:ascii="細明體_HKSCS" w:eastAsia="細明體_HKSCS" w:hint="eastAsia"/>
        </w:rPr>
        <w:t>8</w:t>
      </w:r>
      <w:r>
        <w:rPr/>
        <w:t>月</w:t>
      </w:r>
      <w:r>
        <w:rPr>
          <w:rFonts w:ascii="細明體_HKSCS" w:eastAsia="細明體_HKSCS" w:hint="eastAsia"/>
        </w:rPr>
        <w:t>10</w:t>
      </w:r>
      <w:r>
        <w:rPr/>
        <w:t>日止之約僱保育員年資，除納編前保</w:t>
      </w:r>
      <w:r>
        <w:rPr>
          <w:spacing w:val="6"/>
          <w:w w:val="95"/>
        </w:rPr>
        <w:t>育員年資外，尚有業經該部採計並核定退休給付之改依 </w:t>
      </w:r>
      <w:r>
        <w:rPr>
          <w:spacing w:val="7"/>
          <w:w w:val="95"/>
        </w:rPr>
        <w:t>原雇員管理規則進用保育員（</w:t>
      </w:r>
      <w:r>
        <w:rPr>
          <w:spacing w:val="8"/>
          <w:w w:val="95"/>
        </w:rPr>
        <w:t>雇員</w:t>
      </w:r>
      <w:r>
        <w:rPr>
          <w:spacing w:val="9"/>
          <w:w w:val="95"/>
        </w:rPr>
        <w:t>）</w:t>
      </w:r>
      <w:r>
        <w:rPr>
          <w:spacing w:val="11"/>
          <w:w w:val="95"/>
        </w:rPr>
        <w:t>年資</w:t>
      </w:r>
      <w:r>
        <w:rPr>
          <w:rFonts w:ascii="細明體_HKSCS" w:eastAsia="細明體_HKSCS" w:hint="eastAsia"/>
          <w:spacing w:val="4"/>
          <w:w w:val="95"/>
        </w:rPr>
        <w:t>11</w:t>
      </w:r>
      <w:r>
        <w:rPr>
          <w:spacing w:val="3"/>
          <w:w w:val="95"/>
        </w:rPr>
        <w:t>個月，依法 </w:t>
      </w:r>
      <w:r>
        <w:rPr>
          <w:spacing w:val="6"/>
          <w:w w:val="95"/>
        </w:rPr>
        <w:t>應予以補償，而否准復審人發給補償金之申請，於法自 </w:t>
      </w:r>
      <w:r>
        <w:rPr>
          <w:spacing w:val="-36"/>
        </w:rPr>
        <w:t>有未合。</w:t>
      </w:r>
      <w:r>
        <w:rPr/>
        <w:t>（</w:t>
      </w:r>
      <w:r>
        <w:rPr>
          <w:rFonts w:ascii="細明體_HKSCS" w:eastAsia="細明體_HKSCS" w:hint="eastAsia"/>
        </w:rPr>
        <w:t>105</w:t>
      </w:r>
      <w:r>
        <w:rPr/>
        <w:t>公審決字第</w:t>
      </w:r>
      <w:r>
        <w:rPr>
          <w:rFonts w:ascii="細明體_HKSCS" w:eastAsia="細明體_HKSCS" w:hint="eastAsia"/>
        </w:rPr>
        <w:t>0174</w:t>
      </w:r>
      <w:r>
        <w:rPr/>
        <w:t>號復審決定書）</w:t>
      </w:r>
    </w:p>
    <w:p>
      <w:pPr>
        <w:pStyle w:val="ListParagraph"/>
        <w:numPr>
          <w:ilvl w:val="0"/>
          <w:numId w:val="4"/>
        </w:numPr>
        <w:tabs>
          <w:tab w:pos="1331" w:val="left" w:leader="none"/>
        </w:tabs>
        <w:spacing w:line="268" w:lineRule="auto" w:before="189" w:after="0"/>
        <w:ind w:left="1330" w:right="272" w:hanging="360"/>
        <w:jc w:val="both"/>
        <w:rPr>
          <w:sz w:val="32"/>
        </w:rPr>
      </w:pPr>
      <w:r>
        <w:rPr>
          <w:sz w:val="32"/>
        </w:rPr>
        <w:t>依全國軍公教員工待遇支給要點第</w:t>
      </w:r>
      <w:r>
        <w:rPr>
          <w:rFonts w:ascii="細明體_HKSCS" w:eastAsia="細明體_HKSCS" w:hint="eastAsia"/>
          <w:sz w:val="32"/>
        </w:rPr>
        <w:t>4</w:t>
      </w:r>
      <w:r>
        <w:rPr>
          <w:sz w:val="32"/>
        </w:rPr>
        <w:t>點規定及</w:t>
      </w:r>
      <w:r>
        <w:rPr>
          <w:rFonts w:ascii="細明體_HKSCS" w:eastAsia="細明體_HKSCS" w:hint="eastAsia"/>
          <w:sz w:val="32"/>
        </w:rPr>
        <w:t>103</w:t>
      </w:r>
      <w:r>
        <w:rPr>
          <w:sz w:val="32"/>
        </w:rPr>
        <w:t>年</w:t>
      </w:r>
      <w:r>
        <w:rPr>
          <w:rFonts w:ascii="細明體_HKSCS" w:eastAsia="細明體_HKSCS" w:hint="eastAsia"/>
          <w:sz w:val="32"/>
        </w:rPr>
        <w:t>5</w:t>
      </w:r>
      <w:r>
        <w:rPr>
          <w:sz w:val="32"/>
        </w:rPr>
        <w:t>月</w:t>
      </w:r>
      <w:r>
        <w:rPr>
          <w:rFonts w:ascii="細明體_HKSCS" w:eastAsia="細明體_HKSCS" w:hint="eastAsia"/>
          <w:sz w:val="32"/>
        </w:rPr>
        <w:t>29 </w:t>
      </w:r>
      <w:r>
        <w:rPr>
          <w:spacing w:val="6"/>
          <w:w w:val="95"/>
          <w:sz w:val="32"/>
        </w:rPr>
        <w:t>日修正發布之該要點附表八規定，公務人員申請生育補 助費，其配偶為各種社會保險之被保險人時，應優先適 用各該社會保險之規定申請生育給付，如請領之金額較</w:t>
      </w:r>
    </w:p>
    <w:p>
      <w:pPr>
        <w:spacing w:after="0" w:line="268" w:lineRule="auto"/>
        <w:jc w:val="both"/>
        <w:rPr>
          <w:sz w:val="32"/>
        </w:rPr>
        <w:sectPr>
          <w:pgSz w:w="11910" w:h="16840"/>
          <w:pgMar w:header="0" w:footer="1017" w:top="1180" w:bottom="1200" w:left="1300" w:right="1140"/>
        </w:sectPr>
      </w:pPr>
    </w:p>
    <w:p>
      <w:pPr>
        <w:pStyle w:val="BodyText"/>
        <w:spacing w:line="268" w:lineRule="auto" w:before="15"/>
        <w:ind w:right="262"/>
      </w:pPr>
      <w:r>
        <w:rPr>
          <w:spacing w:val="6"/>
          <w:w w:val="95"/>
        </w:rPr>
        <w:t>補助基準為低時，得檢附證明文件請領二者間之差額。 </w:t>
      </w:r>
      <w:r>
        <w:rPr>
          <w:spacing w:val="6"/>
        </w:rPr>
        <w:t>查復審人之配偶現時並未參加國民年金保險，○○區公</w:t>
      </w:r>
      <w:r>
        <w:rPr>
          <w:spacing w:val="6"/>
          <w:w w:val="95"/>
        </w:rPr>
        <w:t>所未查明復審人之配偶有無參加其他社會保險，並確認 其得具領相關社會保險生育給付之情形下，逕向復審人 追繳已請領之生育補助費，已有未洽；又○○區公所縱 認復審人之配偶屬應參加國民年金保險之對象，於其未 繳納保險費參加該保險，並為該保險之被保險人時，得 否逕以其已為國民金保險被保險人，並受領該保險之生 育給付，而計算並要求復審人返還所受領生育補助費與 </w:t>
      </w:r>
      <w:r>
        <w:rPr>
          <w:spacing w:val="-2"/>
          <w:w w:val="95"/>
        </w:rPr>
        <w:t>國民年金保險生育給付之差額，亦不無疑義。</w:t>
      </w:r>
      <w:r>
        <w:rPr>
          <w:spacing w:val="5"/>
          <w:w w:val="95"/>
        </w:rPr>
        <w:t>（</w:t>
      </w:r>
      <w:r>
        <w:rPr>
          <w:rFonts w:ascii="細明體_HKSCS" w:hAnsi="細明體_HKSCS" w:eastAsia="細明體_HKSCS" w:hint="eastAsia"/>
          <w:spacing w:val="5"/>
          <w:w w:val="95"/>
        </w:rPr>
        <w:t>105</w:t>
      </w:r>
      <w:r>
        <w:rPr>
          <w:spacing w:val="9"/>
          <w:w w:val="95"/>
        </w:rPr>
        <w:t>公審 </w:t>
      </w:r>
      <w:r>
        <w:rPr/>
        <w:t>決字第</w:t>
      </w:r>
      <w:r>
        <w:rPr>
          <w:rFonts w:ascii="細明體_HKSCS" w:hAnsi="細明體_HKSCS" w:eastAsia="細明體_HKSCS" w:hint="eastAsia"/>
        </w:rPr>
        <w:t>0199</w:t>
      </w:r>
      <w:r>
        <w:rPr/>
        <w:t>號復審決定書）</w:t>
      </w:r>
    </w:p>
    <w:p>
      <w:pPr>
        <w:pStyle w:val="ListParagraph"/>
        <w:numPr>
          <w:ilvl w:val="0"/>
          <w:numId w:val="4"/>
        </w:numPr>
        <w:tabs>
          <w:tab w:pos="1331" w:val="left" w:leader="none"/>
        </w:tabs>
        <w:spacing w:line="268" w:lineRule="auto" w:before="188" w:after="0"/>
        <w:ind w:left="1330" w:right="272" w:hanging="360"/>
        <w:jc w:val="both"/>
        <w:rPr>
          <w:sz w:val="32"/>
        </w:rPr>
      </w:pPr>
      <w:r>
        <w:rPr>
          <w:sz w:val="32"/>
        </w:rPr>
        <w:t>依考績法第</w:t>
      </w:r>
      <w:r>
        <w:rPr>
          <w:rFonts w:ascii="細明體_HKSCS" w:hAnsi="細明體_HKSCS" w:eastAsia="細明體_HKSCS" w:hint="eastAsia"/>
          <w:sz w:val="32"/>
        </w:rPr>
        <w:t>12</w:t>
      </w:r>
      <w:r>
        <w:rPr>
          <w:sz w:val="32"/>
        </w:rPr>
        <w:t>條第</w:t>
      </w:r>
      <w:r>
        <w:rPr>
          <w:rFonts w:ascii="細明體_HKSCS" w:hAnsi="細明體_HKSCS" w:eastAsia="細明體_HKSCS" w:hint="eastAsia"/>
          <w:sz w:val="32"/>
        </w:rPr>
        <w:t>1</w:t>
      </w:r>
      <w:r>
        <w:rPr>
          <w:sz w:val="32"/>
        </w:rPr>
        <w:t>項規定，公務人員須有脅迫、公然侮</w:t>
      </w:r>
      <w:r>
        <w:rPr>
          <w:spacing w:val="6"/>
          <w:w w:val="95"/>
          <w:sz w:val="32"/>
        </w:rPr>
        <w:t>辱或誣告長官，情節重大，有確實證據者，始該當一次 記二大過免職之要件。國立○○○○院以復審人侵害該 院前副院長名譽權經民事法院判決確定在案為由，核布 </w:t>
      </w:r>
      <w:r>
        <w:rPr>
          <w:spacing w:val="6"/>
          <w:sz w:val="32"/>
        </w:rPr>
        <w:t>其一次記二大過免職。惟上開判決審認，復審人</w:t>
      </w:r>
      <w:r>
        <w:rPr>
          <w:rFonts w:ascii="細明體_HKSCS" w:hAnsi="細明體_HKSCS" w:eastAsia="細明體_HKSCS" w:hint="eastAsia"/>
          <w:sz w:val="32"/>
        </w:rPr>
        <w:t>2</w:t>
      </w:r>
      <w:r>
        <w:rPr>
          <w:spacing w:val="-4"/>
          <w:sz w:val="32"/>
        </w:rPr>
        <w:t>次於該</w:t>
      </w:r>
      <w:r>
        <w:rPr>
          <w:spacing w:val="15"/>
          <w:w w:val="95"/>
          <w:sz w:val="32"/>
        </w:rPr>
        <w:t>院內，</w:t>
      </w:r>
      <w:r>
        <w:rPr>
          <w:rFonts w:ascii="細明體_HKSCS" w:hAnsi="細明體_HKSCS" w:eastAsia="細明體_HKSCS" w:hint="eastAsia"/>
          <w:spacing w:val="16"/>
          <w:w w:val="95"/>
          <w:sz w:val="32"/>
        </w:rPr>
        <w:t>1</w:t>
      </w:r>
      <w:r>
        <w:rPr>
          <w:spacing w:val="13"/>
          <w:w w:val="95"/>
          <w:sz w:val="32"/>
        </w:rPr>
        <w:t>次於立法委員辦公室，以口頭方式散佈不當言 </w:t>
      </w:r>
      <w:r>
        <w:rPr>
          <w:spacing w:val="6"/>
          <w:w w:val="95"/>
          <w:sz w:val="32"/>
        </w:rPr>
        <w:t>論，聽聞相關言論者，僅限於當時在場人士而已，是否 該當「公然」之要件，已有疑義。且該院亦未提出復審 </w:t>
      </w:r>
      <w:r>
        <w:rPr>
          <w:spacing w:val="20"/>
          <w:sz w:val="32"/>
        </w:rPr>
        <w:t>人如何該當公然侮辱，及是否已達情節重大之確實事</w:t>
      </w:r>
      <w:r>
        <w:rPr>
          <w:spacing w:val="-3"/>
          <w:w w:val="95"/>
          <w:sz w:val="32"/>
        </w:rPr>
        <w:t>證，爰尚有查明相關證據資料之必要。</w:t>
      </w:r>
      <w:r>
        <w:rPr>
          <w:spacing w:val="5"/>
          <w:w w:val="95"/>
          <w:sz w:val="32"/>
        </w:rPr>
        <w:t>（</w:t>
      </w:r>
      <w:r>
        <w:rPr>
          <w:rFonts w:ascii="細明體_HKSCS" w:hAnsi="細明體_HKSCS" w:eastAsia="細明體_HKSCS" w:hint="eastAsia"/>
          <w:spacing w:val="5"/>
          <w:w w:val="95"/>
          <w:sz w:val="32"/>
        </w:rPr>
        <w:t>105</w:t>
      </w:r>
      <w:r>
        <w:rPr>
          <w:spacing w:val="5"/>
          <w:w w:val="95"/>
          <w:sz w:val="32"/>
        </w:rPr>
        <w:t>公審決字第</w:t>
      </w:r>
    </w:p>
    <w:p>
      <w:pPr>
        <w:pStyle w:val="BodyText"/>
        <w:spacing w:line="435" w:lineRule="exact"/>
        <w:jc w:val="left"/>
      </w:pPr>
      <w:r>
        <w:rPr>
          <w:rFonts w:ascii="細明體_HKSCS" w:eastAsia="細明體_HKSCS" w:hint="eastAsia"/>
        </w:rPr>
        <w:t>0203</w:t>
      </w:r>
      <w:r>
        <w:rPr/>
        <w:t>號復審決定書）</w:t>
      </w:r>
    </w:p>
    <w:p>
      <w:pPr>
        <w:pStyle w:val="ListParagraph"/>
        <w:numPr>
          <w:ilvl w:val="0"/>
          <w:numId w:val="4"/>
        </w:numPr>
        <w:tabs>
          <w:tab w:pos="1331" w:val="left" w:leader="none"/>
        </w:tabs>
        <w:spacing w:line="268" w:lineRule="auto" w:before="253" w:after="0"/>
        <w:ind w:left="1330" w:right="264" w:hanging="360"/>
        <w:jc w:val="both"/>
        <w:rPr>
          <w:sz w:val="32"/>
        </w:rPr>
      </w:pPr>
      <w:r>
        <w:rPr>
          <w:sz w:val="32"/>
        </w:rPr>
        <w:t>依檢察官職務評定辦法第</w:t>
      </w:r>
      <w:r>
        <w:rPr>
          <w:rFonts w:ascii="細明體_HKSCS" w:hAnsi="細明體_HKSCS" w:eastAsia="細明體_HKSCS" w:hint="eastAsia"/>
          <w:sz w:val="32"/>
        </w:rPr>
        <w:t>7</w:t>
      </w:r>
      <w:r>
        <w:rPr>
          <w:sz w:val="32"/>
        </w:rPr>
        <w:t>條第</w:t>
      </w:r>
      <w:r>
        <w:rPr>
          <w:rFonts w:ascii="細明體_HKSCS" w:hAnsi="細明體_HKSCS" w:eastAsia="細明體_HKSCS" w:hint="eastAsia"/>
          <w:sz w:val="32"/>
        </w:rPr>
        <w:t>3</w:t>
      </w:r>
      <w:r>
        <w:rPr>
          <w:sz w:val="32"/>
        </w:rPr>
        <w:t>項第</w:t>
      </w:r>
      <w:r>
        <w:rPr>
          <w:rFonts w:ascii="細明體_HKSCS" w:hAnsi="細明體_HKSCS" w:eastAsia="細明體_HKSCS" w:hint="eastAsia"/>
          <w:sz w:val="32"/>
        </w:rPr>
        <w:t>4</w:t>
      </w:r>
      <w:r>
        <w:rPr>
          <w:sz w:val="32"/>
        </w:rPr>
        <w:t>款規定，年度終了</w:t>
      </w:r>
      <w:r>
        <w:rPr>
          <w:spacing w:val="7"/>
          <w:w w:val="95"/>
          <w:sz w:val="32"/>
        </w:rPr>
        <w:t>時，未結案件數超過個人平均數</w:t>
      </w:r>
      <w:r>
        <w:rPr>
          <w:rFonts w:ascii="細明體_HKSCS" w:hAnsi="細明體_HKSCS" w:eastAsia="細明體_HKSCS" w:hint="eastAsia"/>
          <w:spacing w:val="3"/>
          <w:w w:val="95"/>
          <w:sz w:val="32"/>
        </w:rPr>
        <w:t>20</w:t>
      </w:r>
      <w:r>
        <w:rPr>
          <w:spacing w:val="6"/>
          <w:w w:val="95"/>
          <w:sz w:val="32"/>
        </w:rPr>
        <w:t>件及全署平均數之百 </w:t>
      </w:r>
      <w:r>
        <w:rPr>
          <w:spacing w:val="9"/>
          <w:w w:val="95"/>
          <w:sz w:val="32"/>
        </w:rPr>
        <w:t>分之</w:t>
      </w:r>
      <w:r>
        <w:rPr>
          <w:rFonts w:ascii="細明體_HKSCS" w:hAnsi="細明體_HKSCS" w:eastAsia="細明體_HKSCS" w:hint="eastAsia"/>
          <w:spacing w:val="5"/>
          <w:w w:val="95"/>
          <w:sz w:val="32"/>
        </w:rPr>
        <w:t>30</w:t>
      </w:r>
      <w:r>
        <w:rPr>
          <w:spacing w:val="6"/>
          <w:w w:val="95"/>
          <w:sz w:val="32"/>
        </w:rPr>
        <w:t>，得評定為未達良好。查復審人未結案件數逾系 爭結案標準，係因臺灣○○地方法院○○檢察署將毒偵 </w:t>
      </w:r>
      <w:r>
        <w:rPr>
          <w:spacing w:val="5"/>
          <w:sz w:val="32"/>
        </w:rPr>
        <w:t>案件分配予復審人等</w:t>
      </w:r>
      <w:r>
        <w:rPr>
          <w:rFonts w:ascii="細明體_HKSCS" w:hAnsi="細明體_HKSCS" w:eastAsia="細明體_HKSCS" w:hint="eastAsia"/>
          <w:sz w:val="32"/>
        </w:rPr>
        <w:t>2</w:t>
      </w:r>
      <w:r>
        <w:rPr>
          <w:sz w:val="32"/>
        </w:rPr>
        <w:t>人專責辦理所致；是類案件之案情</w:t>
      </w:r>
      <w:r>
        <w:rPr>
          <w:spacing w:val="7"/>
          <w:w w:val="95"/>
          <w:sz w:val="32"/>
        </w:rPr>
        <w:t>雖較為單純，惟依標準作業流程及該署</w:t>
      </w:r>
      <w:r>
        <w:rPr>
          <w:rFonts w:ascii="細明體_HKSCS" w:hAnsi="細明體_HKSCS" w:eastAsia="細明體_HKSCS" w:hint="eastAsia"/>
          <w:spacing w:val="2"/>
          <w:w w:val="95"/>
          <w:sz w:val="32"/>
        </w:rPr>
        <w:t>102</w:t>
      </w:r>
      <w:r>
        <w:rPr>
          <w:spacing w:val="9"/>
          <w:w w:val="95"/>
          <w:sz w:val="32"/>
        </w:rPr>
        <w:t>年至</w:t>
      </w:r>
      <w:r>
        <w:rPr>
          <w:rFonts w:ascii="細明體_HKSCS" w:hAnsi="細明體_HKSCS" w:eastAsia="細明體_HKSCS" w:hint="eastAsia"/>
          <w:w w:val="95"/>
          <w:sz w:val="32"/>
        </w:rPr>
        <w:t>104</w:t>
      </w:r>
      <w:r>
        <w:rPr>
          <w:spacing w:val="9"/>
          <w:w w:val="95"/>
          <w:sz w:val="32"/>
        </w:rPr>
        <w:t>年毒</w:t>
      </w:r>
    </w:p>
    <w:p>
      <w:pPr>
        <w:spacing w:after="0" w:line="268" w:lineRule="auto"/>
        <w:jc w:val="both"/>
        <w:rPr>
          <w:sz w:val="32"/>
        </w:rPr>
        <w:sectPr>
          <w:pgSz w:w="11910" w:h="16840"/>
          <w:pgMar w:header="0" w:footer="1017" w:top="1180" w:bottom="1200" w:left="1300" w:right="1140"/>
        </w:sectPr>
      </w:pPr>
    </w:p>
    <w:p>
      <w:pPr>
        <w:pStyle w:val="BodyText"/>
        <w:spacing w:line="268" w:lineRule="auto" w:before="15"/>
        <w:ind w:right="262"/>
      </w:pPr>
      <w:r>
        <w:rPr/>
        <w:t>偵案件平均辦理日數觀之，收案後至少須辦理</w:t>
      </w:r>
      <w:r>
        <w:rPr>
          <w:rFonts w:ascii="細明體_HKSCS" w:hAnsi="細明體_HKSCS" w:eastAsia="細明體_HKSCS" w:hint="eastAsia"/>
        </w:rPr>
        <w:t>2</w:t>
      </w:r>
      <w:r>
        <w:rPr/>
        <w:t>個多月始</w:t>
      </w:r>
      <w:r>
        <w:rPr>
          <w:spacing w:val="7"/>
          <w:w w:val="95"/>
        </w:rPr>
        <w:t>能結案，復審人</w:t>
      </w:r>
      <w:r>
        <w:rPr>
          <w:rFonts w:ascii="細明體_HKSCS" w:hAnsi="細明體_HKSCS" w:eastAsia="細明體_HKSCS" w:hint="eastAsia"/>
          <w:spacing w:val="2"/>
          <w:w w:val="95"/>
        </w:rPr>
        <w:t>104</w:t>
      </w:r>
      <w:r>
        <w:rPr>
          <w:spacing w:val="9"/>
          <w:w w:val="95"/>
        </w:rPr>
        <w:t>年</w:t>
      </w:r>
      <w:r>
        <w:rPr>
          <w:rFonts w:ascii="細明體_HKSCS" w:hAnsi="細明體_HKSCS" w:eastAsia="細明體_HKSCS" w:hint="eastAsia"/>
          <w:spacing w:val="3"/>
          <w:w w:val="95"/>
        </w:rPr>
        <w:t>11</w:t>
      </w:r>
      <w:r>
        <w:rPr>
          <w:spacing w:val="9"/>
          <w:w w:val="95"/>
        </w:rPr>
        <w:t>月及</w:t>
      </w:r>
      <w:r>
        <w:rPr>
          <w:rFonts w:ascii="細明體_HKSCS" w:hAnsi="細明體_HKSCS" w:eastAsia="細明體_HKSCS" w:hint="eastAsia"/>
          <w:spacing w:val="3"/>
          <w:w w:val="95"/>
        </w:rPr>
        <w:t>12</w:t>
      </w:r>
      <w:r>
        <w:rPr>
          <w:spacing w:val="7"/>
          <w:w w:val="95"/>
        </w:rPr>
        <w:t>月新收案件合計即高達</w:t>
      </w:r>
      <w:r>
        <w:rPr>
          <w:rFonts w:ascii="細明體_HKSCS" w:hAnsi="細明體_HKSCS" w:eastAsia="細明體_HKSCS" w:hint="eastAsia"/>
          <w:w w:val="95"/>
        </w:rPr>
        <w:t>4 </w:t>
      </w:r>
      <w:r>
        <w:rPr>
          <w:spacing w:val="15"/>
        </w:rPr>
        <w:t>百多件，要求其</w:t>
      </w:r>
      <w:r>
        <w:rPr>
          <w:rFonts w:ascii="細明體_HKSCS" w:hAnsi="細明體_HKSCS" w:eastAsia="細明體_HKSCS" w:hint="eastAsia"/>
          <w:spacing w:val="5"/>
        </w:rPr>
        <w:t>104</w:t>
      </w:r>
      <w:r>
        <w:rPr>
          <w:spacing w:val="13"/>
        </w:rPr>
        <w:t>年底之未結案件數低於系爭結案標</w:t>
      </w:r>
      <w:r>
        <w:rPr>
          <w:spacing w:val="7"/>
          <w:w w:val="95"/>
        </w:rPr>
        <w:t>準，客觀上難以達成。又法務部代表</w:t>
      </w:r>
      <w:r>
        <w:rPr>
          <w:rFonts w:ascii="細明體_HKSCS" w:hAnsi="細明體_HKSCS" w:eastAsia="細明體_HKSCS" w:hint="eastAsia"/>
          <w:spacing w:val="2"/>
          <w:w w:val="95"/>
        </w:rPr>
        <w:t>105</w:t>
      </w:r>
      <w:r>
        <w:rPr>
          <w:spacing w:val="9"/>
          <w:w w:val="95"/>
        </w:rPr>
        <w:t>年</w:t>
      </w:r>
      <w:r>
        <w:rPr>
          <w:rFonts w:ascii="細明體_HKSCS" w:hAnsi="細明體_HKSCS" w:eastAsia="細明體_HKSCS" w:hint="eastAsia"/>
          <w:spacing w:val="8"/>
          <w:w w:val="95"/>
        </w:rPr>
        <w:t>7</w:t>
      </w:r>
      <w:r>
        <w:rPr>
          <w:spacing w:val="7"/>
          <w:w w:val="95"/>
        </w:rPr>
        <w:t>月</w:t>
      </w:r>
      <w:r>
        <w:rPr>
          <w:rFonts w:ascii="細明體_HKSCS" w:hAnsi="細明體_HKSCS" w:eastAsia="細明體_HKSCS" w:hint="eastAsia"/>
          <w:spacing w:val="3"/>
          <w:w w:val="95"/>
        </w:rPr>
        <w:t>25</w:t>
      </w:r>
      <w:r>
        <w:rPr>
          <w:spacing w:val="9"/>
          <w:w w:val="95"/>
        </w:rPr>
        <w:t>日到會 </w:t>
      </w:r>
      <w:r>
        <w:rPr>
          <w:spacing w:val="7"/>
          <w:w w:val="95"/>
        </w:rPr>
        <w:t>陳述意見時，亦未能具體說明是否已考量法官法第</w:t>
      </w:r>
      <w:r>
        <w:rPr>
          <w:rFonts w:ascii="細明體_HKSCS" w:hAnsi="細明體_HKSCS" w:eastAsia="細明體_HKSCS" w:hint="eastAsia"/>
          <w:spacing w:val="4"/>
          <w:w w:val="95"/>
        </w:rPr>
        <w:t>91</w:t>
      </w:r>
      <w:r>
        <w:rPr>
          <w:w w:val="95"/>
        </w:rPr>
        <w:t>條 </w:t>
      </w:r>
      <w:r>
        <w:rPr>
          <w:spacing w:val="16"/>
        </w:rPr>
        <w:t>第</w:t>
      </w:r>
      <w:r>
        <w:rPr>
          <w:rFonts w:ascii="細明體_HKSCS" w:hAnsi="細明體_HKSCS" w:eastAsia="細明體_HKSCS" w:hint="eastAsia"/>
          <w:spacing w:val="15"/>
        </w:rPr>
        <w:t>2</w:t>
      </w:r>
      <w:r>
        <w:rPr>
          <w:spacing w:val="13"/>
        </w:rPr>
        <w:t>項規定，授權各級法院及其分院檢察署之檢察官會</w:t>
      </w:r>
      <w:r>
        <w:rPr>
          <w:spacing w:val="6"/>
          <w:w w:val="95"/>
        </w:rPr>
        <w:t>議，議決檢察官事務分配之特殊情形，以及復審人客觀 上顯然無法符合系爭結案標準，且其辦案成績高於全署 平均辦案成績等情事。是臺灣○○地方法院○○檢察署 </w:t>
      </w:r>
      <w:r>
        <w:rPr>
          <w:spacing w:val="16"/>
        </w:rPr>
        <w:t>將復審人</w:t>
      </w:r>
      <w:r>
        <w:rPr>
          <w:rFonts w:ascii="細明體_HKSCS" w:hAnsi="細明體_HKSCS" w:eastAsia="細明體_HKSCS" w:hint="eastAsia"/>
          <w:spacing w:val="4"/>
        </w:rPr>
        <w:t>104</w:t>
      </w:r>
      <w:r>
        <w:rPr>
          <w:spacing w:val="13"/>
        </w:rPr>
        <w:t>年年終職務評定為未達良好，難稱妥適。</w:t>
      </w:r>
    </w:p>
    <w:p>
      <w:pPr>
        <w:pStyle w:val="BodyText"/>
        <w:spacing w:line="438" w:lineRule="exact"/>
        <w:jc w:val="left"/>
      </w:pPr>
      <w:r>
        <w:rPr/>
        <w:t>（</w:t>
      </w:r>
      <w:r>
        <w:rPr>
          <w:rFonts w:ascii="細明體_HKSCS" w:eastAsia="細明體_HKSCS" w:hint="eastAsia"/>
        </w:rPr>
        <w:t>105</w:t>
      </w:r>
      <w:r>
        <w:rPr/>
        <w:t>公審決字第</w:t>
      </w:r>
      <w:r>
        <w:rPr>
          <w:rFonts w:ascii="細明體_HKSCS" w:eastAsia="細明體_HKSCS" w:hint="eastAsia"/>
        </w:rPr>
        <w:t>0213</w:t>
      </w:r>
      <w:r>
        <w:rPr/>
        <w:t>號、第</w:t>
      </w:r>
      <w:r>
        <w:rPr>
          <w:rFonts w:ascii="細明體_HKSCS" w:eastAsia="細明體_HKSCS" w:hint="eastAsia"/>
        </w:rPr>
        <w:t>0214</w:t>
      </w:r>
      <w:r>
        <w:rPr/>
        <w:t>號復審決定書）</w:t>
      </w:r>
    </w:p>
    <w:p>
      <w:pPr>
        <w:pStyle w:val="ListParagraph"/>
        <w:numPr>
          <w:ilvl w:val="0"/>
          <w:numId w:val="4"/>
        </w:numPr>
        <w:tabs>
          <w:tab w:pos="1331" w:val="left" w:leader="none"/>
        </w:tabs>
        <w:spacing w:line="268" w:lineRule="auto" w:before="251" w:after="0"/>
        <w:ind w:left="1330" w:right="274" w:hanging="360"/>
        <w:jc w:val="both"/>
        <w:rPr>
          <w:sz w:val="32"/>
        </w:rPr>
      </w:pPr>
      <w:r>
        <w:rPr>
          <w:spacing w:val="6"/>
          <w:w w:val="95"/>
          <w:sz w:val="32"/>
        </w:rPr>
        <w:t>公務人員申請辭職，係基於自由意志，則該申請即屬公 務人員於公法上之意思表示。有關公法上意思表示，諸 </w:t>
      </w:r>
      <w:r>
        <w:rPr>
          <w:spacing w:val="20"/>
          <w:w w:val="95"/>
          <w:sz w:val="32"/>
        </w:rPr>
        <w:t>如意思表示之解釋、拘束效力等問題，並無一般性規 </w:t>
      </w:r>
      <w:r>
        <w:rPr>
          <w:spacing w:val="6"/>
          <w:w w:val="95"/>
          <w:sz w:val="32"/>
        </w:rPr>
        <w:t>定，在性質類似範圍內，自得類推適用民法之規定。依 </w:t>
      </w:r>
      <w:r>
        <w:rPr>
          <w:spacing w:val="-9"/>
          <w:sz w:val="32"/>
        </w:rPr>
        <w:t>民法第 </w:t>
      </w:r>
      <w:r>
        <w:rPr>
          <w:rFonts w:ascii="細明體_HKSCS" w:hAnsi="細明體_HKSCS" w:eastAsia="細明體_HKSCS" w:hint="eastAsia"/>
          <w:sz w:val="32"/>
        </w:rPr>
        <w:t>88</w:t>
      </w:r>
      <w:r>
        <w:rPr>
          <w:rFonts w:ascii="細明體_HKSCS" w:hAnsi="細明體_HKSCS" w:eastAsia="細明體_HKSCS" w:hint="eastAsia"/>
          <w:spacing w:val="-53"/>
          <w:sz w:val="32"/>
        </w:rPr>
        <w:t> </w:t>
      </w:r>
      <w:r>
        <w:rPr>
          <w:spacing w:val="-18"/>
          <w:sz w:val="32"/>
        </w:rPr>
        <w:t>條第 </w:t>
      </w:r>
      <w:r>
        <w:rPr>
          <w:rFonts w:ascii="細明體_HKSCS" w:hAnsi="細明體_HKSCS" w:eastAsia="細明體_HKSCS" w:hint="eastAsia"/>
          <w:sz w:val="32"/>
        </w:rPr>
        <w:t>1</w:t>
      </w:r>
      <w:r>
        <w:rPr>
          <w:rFonts w:ascii="細明體_HKSCS" w:hAnsi="細明體_HKSCS" w:eastAsia="細明體_HKSCS" w:hint="eastAsia"/>
          <w:spacing w:val="-51"/>
          <w:sz w:val="32"/>
        </w:rPr>
        <w:t> </w:t>
      </w:r>
      <w:r>
        <w:rPr>
          <w:spacing w:val="-13"/>
          <w:sz w:val="32"/>
        </w:rPr>
        <w:t>項、第 </w:t>
      </w:r>
      <w:r>
        <w:rPr>
          <w:rFonts w:ascii="細明體_HKSCS" w:hAnsi="細明體_HKSCS" w:eastAsia="細明體_HKSCS" w:hint="eastAsia"/>
          <w:sz w:val="32"/>
        </w:rPr>
        <w:t>92</w:t>
      </w:r>
      <w:r>
        <w:rPr>
          <w:rFonts w:ascii="細明體_HKSCS" w:hAnsi="細明體_HKSCS" w:eastAsia="細明體_HKSCS" w:hint="eastAsia"/>
          <w:spacing w:val="-51"/>
          <w:sz w:val="32"/>
        </w:rPr>
        <w:t> </w:t>
      </w:r>
      <w:r>
        <w:rPr>
          <w:sz w:val="32"/>
        </w:rPr>
        <w:t>條規定，公務人員所為辭職</w:t>
      </w:r>
      <w:r>
        <w:rPr>
          <w:spacing w:val="6"/>
          <w:w w:val="95"/>
          <w:sz w:val="32"/>
        </w:rPr>
        <w:t>之意思表示，如有非基於自由意志所為，或表意內容錯 誤、因被詐欺或被脅迫等情事，尚非不得請求撤銷。查 </w:t>
      </w:r>
      <w:r>
        <w:rPr>
          <w:sz w:val="32"/>
        </w:rPr>
        <w:t>復審人原係國立○○大學技士，於 </w:t>
      </w:r>
      <w:r>
        <w:rPr>
          <w:rFonts w:ascii="細明體_HKSCS" w:hAnsi="細明體_HKSCS" w:eastAsia="細明體_HKSCS" w:hint="eastAsia"/>
          <w:sz w:val="32"/>
        </w:rPr>
        <w:t>105</w:t>
      </w:r>
      <w:r>
        <w:rPr>
          <w:rFonts w:ascii="細明體_HKSCS" w:hAnsi="細明體_HKSCS" w:eastAsia="細明體_HKSCS" w:hint="eastAsia"/>
          <w:spacing w:val="-79"/>
          <w:sz w:val="32"/>
        </w:rPr>
        <w:t> </w:t>
      </w:r>
      <w:r>
        <w:rPr>
          <w:spacing w:val="-39"/>
          <w:sz w:val="32"/>
        </w:rPr>
        <w:t>年 </w:t>
      </w:r>
      <w:r>
        <w:rPr>
          <w:rFonts w:ascii="細明體_HKSCS" w:hAnsi="細明體_HKSCS" w:eastAsia="細明體_HKSCS" w:hint="eastAsia"/>
          <w:sz w:val="32"/>
        </w:rPr>
        <w:t>3</w:t>
      </w:r>
      <w:r>
        <w:rPr>
          <w:rFonts w:ascii="細明體_HKSCS" w:hAnsi="細明體_HKSCS" w:eastAsia="細明體_HKSCS" w:hint="eastAsia"/>
          <w:spacing w:val="-80"/>
          <w:sz w:val="32"/>
        </w:rPr>
        <w:t> </w:t>
      </w:r>
      <w:r>
        <w:rPr>
          <w:spacing w:val="-38"/>
          <w:sz w:val="32"/>
        </w:rPr>
        <w:t>月 </w:t>
      </w:r>
      <w:r>
        <w:rPr>
          <w:rFonts w:ascii="細明體_HKSCS" w:hAnsi="細明體_HKSCS" w:eastAsia="細明體_HKSCS" w:hint="eastAsia"/>
          <w:sz w:val="32"/>
        </w:rPr>
        <w:t>10</w:t>
      </w:r>
      <w:r>
        <w:rPr>
          <w:rFonts w:ascii="細明體_HKSCS" w:hAnsi="細明體_HKSCS" w:eastAsia="細明體_HKSCS" w:hint="eastAsia"/>
          <w:spacing w:val="-79"/>
          <w:sz w:val="32"/>
        </w:rPr>
        <w:t> </w:t>
      </w:r>
      <w:r>
        <w:rPr>
          <w:sz w:val="32"/>
        </w:rPr>
        <w:t>日個人</w:t>
      </w:r>
      <w:r>
        <w:rPr>
          <w:spacing w:val="-3"/>
          <w:sz w:val="32"/>
        </w:rPr>
        <w:t>職涯規劃為由簽請於同年 </w:t>
      </w:r>
      <w:r>
        <w:rPr>
          <w:rFonts w:ascii="細明體_HKSCS" w:hAnsi="細明體_HKSCS" w:eastAsia="細明體_HKSCS" w:hint="eastAsia"/>
          <w:sz w:val="32"/>
        </w:rPr>
        <w:t>4</w:t>
      </w:r>
      <w:r>
        <w:rPr>
          <w:rFonts w:ascii="細明體_HKSCS" w:hAnsi="細明體_HKSCS" w:eastAsia="細明體_HKSCS" w:hint="eastAsia"/>
          <w:spacing w:val="-38"/>
          <w:sz w:val="32"/>
        </w:rPr>
        <w:t> </w:t>
      </w:r>
      <w:r>
        <w:rPr>
          <w:spacing w:val="-18"/>
          <w:sz w:val="32"/>
        </w:rPr>
        <w:t>月 </w:t>
      </w:r>
      <w:r>
        <w:rPr>
          <w:rFonts w:ascii="細明體_HKSCS" w:hAnsi="細明體_HKSCS" w:eastAsia="細明體_HKSCS" w:hint="eastAsia"/>
          <w:sz w:val="32"/>
        </w:rPr>
        <w:t>8</w:t>
      </w:r>
      <w:r>
        <w:rPr>
          <w:rFonts w:ascii="細明體_HKSCS" w:hAnsi="細明體_HKSCS" w:eastAsia="細明體_HKSCS" w:hint="eastAsia"/>
          <w:spacing w:val="-38"/>
          <w:sz w:val="32"/>
        </w:rPr>
        <w:t> </w:t>
      </w:r>
      <w:r>
        <w:rPr>
          <w:spacing w:val="-2"/>
          <w:sz w:val="32"/>
        </w:rPr>
        <w:t>日辭職獲准。惟其辭職</w:t>
      </w:r>
      <w:r>
        <w:rPr>
          <w:spacing w:val="6"/>
          <w:w w:val="95"/>
          <w:sz w:val="32"/>
        </w:rPr>
        <w:t>之申請，是否因原有工作非其專長，或無法負荷原有工 作，所為非自由意志所為之意思表示，尚有疑義，爰將 </w:t>
      </w:r>
      <w:r>
        <w:rPr>
          <w:spacing w:val="-27"/>
          <w:sz w:val="32"/>
        </w:rPr>
        <w:t>原處分撤銷。</w:t>
      </w:r>
      <w:r>
        <w:rPr>
          <w:sz w:val="32"/>
        </w:rPr>
        <w:t>（</w:t>
      </w:r>
      <w:r>
        <w:rPr>
          <w:rFonts w:ascii="細明體_HKSCS" w:hAnsi="細明體_HKSCS" w:eastAsia="細明體_HKSCS" w:hint="eastAsia"/>
          <w:sz w:val="32"/>
        </w:rPr>
        <w:t>105</w:t>
      </w:r>
      <w:r>
        <w:rPr>
          <w:rFonts w:ascii="細明體_HKSCS" w:hAnsi="細明體_HKSCS" w:eastAsia="細明體_HKSCS" w:hint="eastAsia"/>
          <w:spacing w:val="-82"/>
          <w:sz w:val="32"/>
        </w:rPr>
        <w:t> </w:t>
      </w:r>
      <w:r>
        <w:rPr>
          <w:spacing w:val="-14"/>
          <w:sz w:val="32"/>
        </w:rPr>
        <w:t>公審決字第 </w:t>
      </w:r>
      <w:r>
        <w:rPr>
          <w:rFonts w:ascii="細明體_HKSCS" w:hAnsi="細明體_HKSCS" w:eastAsia="細明體_HKSCS" w:hint="eastAsia"/>
          <w:sz w:val="32"/>
        </w:rPr>
        <w:t>0371</w:t>
      </w:r>
      <w:r>
        <w:rPr>
          <w:rFonts w:ascii="細明體_HKSCS" w:hAnsi="細明體_HKSCS" w:eastAsia="細明體_HKSCS" w:hint="eastAsia"/>
          <w:spacing w:val="-81"/>
          <w:sz w:val="32"/>
        </w:rPr>
        <w:t> </w:t>
      </w:r>
      <w:r>
        <w:rPr>
          <w:sz w:val="32"/>
        </w:rPr>
        <w:t>號復審決定書）</w:t>
      </w:r>
    </w:p>
    <w:p>
      <w:pPr>
        <w:pStyle w:val="ListParagraph"/>
        <w:numPr>
          <w:ilvl w:val="0"/>
          <w:numId w:val="4"/>
        </w:numPr>
        <w:tabs>
          <w:tab w:pos="1331" w:val="left" w:leader="none"/>
        </w:tabs>
        <w:spacing w:line="434" w:lineRule="exact" w:before="0" w:after="0"/>
        <w:ind w:left="1330" w:right="0" w:hanging="360"/>
        <w:jc w:val="left"/>
        <w:rPr>
          <w:sz w:val="32"/>
        </w:rPr>
      </w:pPr>
      <w:r>
        <w:rPr>
          <w:spacing w:val="14"/>
          <w:sz w:val="32"/>
        </w:rPr>
        <w:t>按公務人員任用法（以下簡稱任用法</w:t>
      </w:r>
      <w:r>
        <w:rPr>
          <w:spacing w:val="16"/>
          <w:sz w:val="32"/>
        </w:rPr>
        <w:t>）</w:t>
      </w:r>
      <w:r>
        <w:rPr>
          <w:spacing w:val="22"/>
          <w:sz w:val="32"/>
        </w:rPr>
        <w:t>第</w:t>
      </w:r>
      <w:r>
        <w:rPr>
          <w:rFonts w:ascii="細明體_HKSCS" w:eastAsia="細明體_HKSCS" w:hint="eastAsia"/>
          <w:spacing w:val="6"/>
          <w:sz w:val="32"/>
        </w:rPr>
        <w:t>20</w:t>
      </w:r>
      <w:r>
        <w:rPr>
          <w:spacing w:val="14"/>
          <w:sz w:val="32"/>
        </w:rPr>
        <w:t>條第</w:t>
      </w:r>
      <w:r>
        <w:rPr>
          <w:rFonts w:ascii="細明體_HKSCS" w:eastAsia="細明體_HKSCS" w:hint="eastAsia"/>
          <w:spacing w:val="15"/>
          <w:sz w:val="32"/>
        </w:rPr>
        <w:t>2</w:t>
      </w:r>
      <w:r>
        <w:rPr>
          <w:spacing w:val="16"/>
          <w:sz w:val="32"/>
        </w:rPr>
        <w:t>項規</w:t>
      </w:r>
    </w:p>
    <w:p>
      <w:pPr>
        <w:pStyle w:val="BodyText"/>
        <w:spacing w:line="268" w:lineRule="auto" w:before="51"/>
        <w:ind w:right="276"/>
      </w:pPr>
      <w:r>
        <w:rPr>
          <w:spacing w:val="-14"/>
        </w:rPr>
        <w:t>定：「試用人員於試用期間有下列情事之一，應為試用成</w:t>
      </w:r>
      <w:r>
        <w:rPr>
          <w:spacing w:val="6"/>
          <w:w w:val="95"/>
        </w:rPr>
        <w:t>績不及格：一、有公務人員考績法相關法規所定年終考 績得考列丁等情形之一者。二、有公務人員考績法相關 法規所定一次記一大過以上情形之一者。三、平時考核</w:t>
      </w:r>
    </w:p>
    <w:p>
      <w:pPr>
        <w:spacing w:after="0" w:line="268" w:lineRule="auto"/>
        <w:sectPr>
          <w:pgSz w:w="11910" w:h="16840"/>
          <w:pgMar w:header="0" w:footer="1017" w:top="1180" w:bottom="1200" w:left="1300" w:right="1140"/>
        </w:sectPr>
      </w:pPr>
    </w:p>
    <w:p>
      <w:pPr>
        <w:pStyle w:val="BodyText"/>
        <w:spacing w:line="268" w:lineRule="auto" w:before="15"/>
        <w:ind w:right="272"/>
      </w:pPr>
      <w:r>
        <w:rPr>
          <w:spacing w:val="6"/>
          <w:w w:val="95"/>
        </w:rPr>
        <w:t>獎懲互相抵銷後，累積達一大過以上者。四、曠職繼續 </w:t>
      </w:r>
      <w:r>
        <w:rPr>
          <w:spacing w:val="5"/>
        </w:rPr>
        <w:t>達二日或累積達三日者。」同條第</w:t>
      </w:r>
      <w:r>
        <w:rPr>
          <w:rFonts w:ascii="細明體_HKSCS" w:hAnsi="細明體_HKSCS" w:eastAsia="細明體_HKSCS" w:hint="eastAsia"/>
        </w:rPr>
        <w:t>4</w:t>
      </w:r>
      <w:r>
        <w:rPr>
          <w:spacing w:val="-2"/>
        </w:rPr>
        <w:t>項後段規定並賦予試</w:t>
      </w:r>
      <w:r>
        <w:rPr>
          <w:spacing w:val="6"/>
          <w:w w:val="95"/>
        </w:rPr>
        <w:t>用成績不及格人員得向考績會陳述意見並申辯之權利， 為保障此權利之行使，自應賦予合理之準備期間。查復 </w:t>
      </w:r>
      <w:r>
        <w:rPr>
          <w:spacing w:val="7"/>
          <w:w w:val="95"/>
        </w:rPr>
        <w:t>審人係○○公所技士，該公所於</w:t>
      </w:r>
      <w:r>
        <w:rPr>
          <w:rFonts w:ascii="細明體_HKSCS" w:hAnsi="細明體_HKSCS" w:eastAsia="細明體_HKSCS" w:hint="eastAsia"/>
          <w:spacing w:val="2"/>
          <w:w w:val="95"/>
        </w:rPr>
        <w:t>105</w:t>
      </w:r>
      <w:r>
        <w:rPr>
          <w:spacing w:val="9"/>
          <w:w w:val="95"/>
        </w:rPr>
        <w:t>年</w:t>
      </w:r>
      <w:r>
        <w:rPr>
          <w:rFonts w:ascii="細明體_HKSCS" w:hAnsi="細明體_HKSCS" w:eastAsia="細明體_HKSCS" w:hint="eastAsia"/>
          <w:spacing w:val="8"/>
          <w:w w:val="95"/>
        </w:rPr>
        <w:t>8</w:t>
      </w:r>
      <w:r>
        <w:rPr>
          <w:spacing w:val="7"/>
          <w:w w:val="95"/>
        </w:rPr>
        <w:t>月</w:t>
      </w:r>
      <w:r>
        <w:rPr>
          <w:rFonts w:ascii="細明體_HKSCS" w:hAnsi="細明體_HKSCS" w:eastAsia="細明體_HKSCS" w:hint="eastAsia"/>
          <w:spacing w:val="4"/>
          <w:w w:val="95"/>
        </w:rPr>
        <w:t>30</w:t>
      </w:r>
      <w:r>
        <w:rPr>
          <w:spacing w:val="5"/>
          <w:w w:val="95"/>
        </w:rPr>
        <w:t>日下午始通 </w:t>
      </w:r>
      <w:r>
        <w:rPr>
          <w:spacing w:val="4"/>
        </w:rPr>
        <w:t>知復審人於翌日上午</w:t>
      </w:r>
      <w:r>
        <w:rPr>
          <w:rFonts w:ascii="細明體_HKSCS" w:hAnsi="細明體_HKSCS" w:eastAsia="細明體_HKSCS" w:hint="eastAsia"/>
        </w:rPr>
        <w:t>9</w:t>
      </w:r>
      <w:r>
        <w:rPr/>
        <w:t>時</w:t>
      </w:r>
      <w:r>
        <w:rPr>
          <w:rFonts w:ascii="細明體_HKSCS" w:hAnsi="細明體_HKSCS" w:eastAsia="細明體_HKSCS" w:hint="eastAsia"/>
        </w:rPr>
        <w:t>30</w:t>
      </w:r>
      <w:r>
        <w:rPr/>
        <w:t>分開會；復審人為考績委員， </w:t>
      </w:r>
      <w:r>
        <w:rPr>
          <w:spacing w:val="6"/>
          <w:w w:val="95"/>
        </w:rPr>
        <w:t>並不知該公所係為其個人試用成績不及格而召開會議， 亦不知試用成績不及格之理由為何，導致其無充足時間 準備陳述意見之資料。又復審人於試用期間，僅受記過 </w:t>
      </w:r>
      <w:r>
        <w:rPr>
          <w:spacing w:val="5"/>
        </w:rPr>
        <w:t>一次之懲處，未達任用法第</w:t>
      </w:r>
      <w:r>
        <w:rPr>
          <w:rFonts w:ascii="細明體_HKSCS" w:hAnsi="細明體_HKSCS" w:eastAsia="細明體_HKSCS" w:hint="eastAsia"/>
        </w:rPr>
        <w:t>20</w:t>
      </w:r>
      <w:r>
        <w:rPr/>
        <w:t>條第</w:t>
      </w:r>
      <w:r>
        <w:rPr>
          <w:rFonts w:ascii="細明體_HKSCS" w:hAnsi="細明體_HKSCS" w:eastAsia="細明體_HKSCS" w:hint="eastAsia"/>
        </w:rPr>
        <w:t>2</w:t>
      </w:r>
      <w:r>
        <w:rPr>
          <w:spacing w:val="-2"/>
        </w:rPr>
        <w:t>項應為試用成績不及</w:t>
      </w:r>
      <w:r>
        <w:rPr/>
        <w:t>格之情形，且○○公所代表</w:t>
      </w:r>
      <w:r>
        <w:rPr>
          <w:rFonts w:ascii="細明體_HKSCS" w:hAnsi="細明體_HKSCS" w:eastAsia="細明體_HKSCS" w:hint="eastAsia"/>
        </w:rPr>
        <w:t>105</w:t>
      </w:r>
      <w:r>
        <w:rPr/>
        <w:t>年</w:t>
      </w:r>
      <w:r>
        <w:rPr>
          <w:rFonts w:ascii="細明體_HKSCS" w:hAnsi="細明體_HKSCS" w:eastAsia="細明體_HKSCS" w:hint="eastAsia"/>
        </w:rPr>
        <w:t>11</w:t>
      </w:r>
      <w:r>
        <w:rPr/>
        <w:t>月</w:t>
      </w:r>
      <w:r>
        <w:rPr>
          <w:rFonts w:ascii="細明體_HKSCS" w:hAnsi="細明體_HKSCS" w:eastAsia="細明體_HKSCS" w:hint="eastAsia"/>
        </w:rPr>
        <w:t>28</w:t>
      </w:r>
      <w:r>
        <w:rPr>
          <w:spacing w:val="-2"/>
        </w:rPr>
        <w:t>日到會陳述意見</w:t>
      </w:r>
      <w:r>
        <w:rPr>
          <w:spacing w:val="7"/>
          <w:w w:val="95"/>
        </w:rPr>
        <w:t>時亦表示，復審人於</w:t>
      </w:r>
      <w:r>
        <w:rPr>
          <w:rFonts w:ascii="細明體_HKSCS" w:hAnsi="細明體_HKSCS" w:eastAsia="細明體_HKSCS" w:hint="eastAsia"/>
          <w:spacing w:val="2"/>
          <w:w w:val="95"/>
        </w:rPr>
        <w:t>105</w:t>
      </w:r>
      <w:r>
        <w:rPr>
          <w:spacing w:val="9"/>
          <w:w w:val="95"/>
        </w:rPr>
        <w:t>年</w:t>
      </w:r>
      <w:r>
        <w:rPr>
          <w:rFonts w:ascii="細明體_HKSCS" w:hAnsi="細明體_HKSCS" w:eastAsia="細明體_HKSCS" w:hint="eastAsia"/>
          <w:spacing w:val="8"/>
          <w:w w:val="95"/>
        </w:rPr>
        <w:t>8</w:t>
      </w:r>
      <w:r>
        <w:rPr>
          <w:spacing w:val="6"/>
          <w:w w:val="95"/>
        </w:rPr>
        <w:t>月工作態度稍有改善。是復 審人工作態度是否有改善之可能？其試用期間之表現是 </w:t>
      </w:r>
      <w:r>
        <w:rPr>
          <w:spacing w:val="7"/>
          <w:w w:val="95"/>
        </w:rPr>
        <w:t>否符合任用法第</w:t>
      </w:r>
      <w:r>
        <w:rPr>
          <w:rFonts w:ascii="細明體_HKSCS" w:hAnsi="細明體_HKSCS" w:eastAsia="細明體_HKSCS" w:hint="eastAsia"/>
          <w:spacing w:val="3"/>
          <w:w w:val="95"/>
        </w:rPr>
        <w:t>20</w:t>
      </w:r>
      <w:r>
        <w:rPr>
          <w:spacing w:val="8"/>
          <w:w w:val="95"/>
        </w:rPr>
        <w:t>條第</w:t>
      </w:r>
      <w:r>
        <w:rPr>
          <w:rFonts w:ascii="細明體_HKSCS" w:hAnsi="細明體_HKSCS" w:eastAsia="細明體_HKSCS" w:hint="eastAsia"/>
          <w:spacing w:val="8"/>
          <w:w w:val="95"/>
        </w:rPr>
        <w:t>2</w:t>
      </w:r>
      <w:r>
        <w:rPr>
          <w:spacing w:val="9"/>
          <w:w w:val="95"/>
        </w:rPr>
        <w:t>項</w:t>
      </w:r>
      <w:r>
        <w:rPr>
          <w:rFonts w:ascii="細明體_HKSCS" w:hAnsi="細明體_HKSCS" w:eastAsia="細明體_HKSCS" w:hint="eastAsia"/>
          <w:spacing w:val="6"/>
          <w:w w:val="95"/>
        </w:rPr>
        <w:t>4</w:t>
      </w:r>
      <w:r>
        <w:rPr>
          <w:spacing w:val="6"/>
          <w:w w:val="95"/>
        </w:rPr>
        <w:t>款規定以外，有足堪認定不 </w:t>
      </w:r>
      <w:r>
        <w:rPr>
          <w:spacing w:val="-1"/>
          <w:w w:val="95"/>
        </w:rPr>
        <w:t>適任公務人員之情形？亦核有重新斟酌之必要。</w:t>
      </w:r>
      <w:r>
        <w:rPr>
          <w:spacing w:val="6"/>
          <w:w w:val="95"/>
        </w:rPr>
        <w:t>（</w:t>
      </w:r>
      <w:r>
        <w:rPr>
          <w:rFonts w:ascii="細明體_HKSCS" w:hAnsi="細明體_HKSCS" w:eastAsia="細明體_HKSCS" w:hint="eastAsia"/>
          <w:spacing w:val="6"/>
          <w:w w:val="95"/>
        </w:rPr>
        <w:t>105</w:t>
      </w:r>
      <w:r>
        <w:rPr>
          <w:spacing w:val="-12"/>
          <w:w w:val="95"/>
        </w:rPr>
        <w:t>公 </w:t>
      </w:r>
      <w:r>
        <w:rPr/>
        <w:t>審決字第</w:t>
      </w:r>
      <w:r>
        <w:rPr>
          <w:rFonts w:ascii="細明體_HKSCS" w:hAnsi="細明體_HKSCS" w:eastAsia="細明體_HKSCS" w:hint="eastAsia"/>
        </w:rPr>
        <w:t>0377</w:t>
      </w:r>
      <w:r>
        <w:rPr/>
        <w:t>號復審決定書）</w:t>
      </w:r>
    </w:p>
    <w:p>
      <w:pPr>
        <w:pStyle w:val="Heading1"/>
        <w:spacing w:before="77"/>
      </w:pPr>
      <w:r>
        <w:rPr/>
        <w:t>（二） 行政處分之法規適用顯有錯誤︰</w:t>
      </w:r>
    </w:p>
    <w:p>
      <w:pPr>
        <w:pStyle w:val="ListParagraph"/>
        <w:numPr>
          <w:ilvl w:val="0"/>
          <w:numId w:val="5"/>
        </w:numPr>
        <w:tabs>
          <w:tab w:pos="1331" w:val="left" w:leader="none"/>
        </w:tabs>
        <w:spacing w:line="240" w:lineRule="auto" w:before="216" w:after="0"/>
        <w:ind w:left="1330" w:right="0" w:hanging="360"/>
        <w:jc w:val="left"/>
        <w:rPr>
          <w:sz w:val="32"/>
        </w:rPr>
      </w:pPr>
      <w:r>
        <w:rPr>
          <w:spacing w:val="7"/>
          <w:sz w:val="32"/>
        </w:rPr>
        <w:t>復審人之年休假日數應為</w:t>
      </w:r>
      <w:r>
        <w:rPr>
          <w:rFonts w:ascii="細明體_HKSCS" w:hAnsi="細明體_HKSCS" w:eastAsia="細明體_HKSCS" w:hint="eastAsia"/>
          <w:spacing w:val="4"/>
          <w:sz w:val="32"/>
        </w:rPr>
        <w:t>28</w:t>
      </w:r>
      <w:r>
        <w:rPr>
          <w:spacing w:val="6"/>
          <w:sz w:val="32"/>
        </w:rPr>
        <w:t>日，○○縣立○○國民中學</w:t>
      </w:r>
    </w:p>
    <w:p>
      <w:pPr>
        <w:pStyle w:val="BodyText"/>
        <w:spacing w:line="268" w:lineRule="auto" w:before="52"/>
        <w:ind w:right="263"/>
      </w:pPr>
      <w:r>
        <w:rPr/>
        <w:t>（以下簡稱○○國中）實際僅核予其</w:t>
      </w:r>
      <w:r>
        <w:rPr>
          <w:rFonts w:ascii="細明體_HKSCS" w:hAnsi="細明體_HKSCS" w:eastAsia="細明體_HKSCS" w:hint="eastAsia"/>
        </w:rPr>
        <w:t>21</w:t>
      </w:r>
      <w:r>
        <w:rPr/>
        <w:t>日，嗣補發其</w:t>
      </w:r>
      <w:r>
        <w:rPr>
          <w:rFonts w:ascii="細明體_HKSCS" w:hAnsi="細明體_HKSCS" w:eastAsia="細明體_HKSCS" w:hint="eastAsia"/>
        </w:rPr>
        <w:t>101 </w:t>
      </w:r>
      <w:r>
        <w:rPr/>
        <w:t>年休假補助費新臺幣（下同）</w:t>
      </w:r>
      <w:r>
        <w:rPr>
          <w:rFonts w:ascii="細明體_HKSCS" w:hAnsi="細明體_HKSCS" w:eastAsia="細明體_HKSCS" w:hint="eastAsia"/>
        </w:rPr>
        <w:t>4,200</w:t>
      </w:r>
      <w:r>
        <w:rPr/>
        <w:t>元，惟休假補助之核發以有休假事實為前提，該</w:t>
      </w:r>
      <w:r>
        <w:rPr>
          <w:rFonts w:ascii="細明體_HKSCS" w:hAnsi="細明體_HKSCS" w:eastAsia="細明體_HKSCS" w:hint="eastAsia"/>
        </w:rPr>
        <w:t>7</w:t>
      </w:r>
      <w:r>
        <w:rPr/>
        <w:t>日既無休假事實，則○○國中補發復審人休假補助費</w:t>
      </w:r>
      <w:r>
        <w:rPr>
          <w:rFonts w:ascii="細明體_HKSCS" w:hAnsi="細明體_HKSCS" w:eastAsia="細明體_HKSCS" w:hint="eastAsia"/>
        </w:rPr>
        <w:t>4,200</w:t>
      </w:r>
      <w:r>
        <w:rPr/>
        <w:t>元部分，於法即有違誤。又該校少核給休假</w:t>
      </w:r>
      <w:r>
        <w:rPr>
          <w:rFonts w:ascii="細明體_HKSCS" w:hAnsi="細明體_HKSCS" w:eastAsia="細明體_HKSCS" w:hint="eastAsia"/>
        </w:rPr>
        <w:t>7</w:t>
      </w:r>
      <w:r>
        <w:rPr/>
        <w:t>日，係屬非可歸責於復審人之特殊個案，是否得寬認自其知悉之日起，保留至第</w:t>
      </w:r>
      <w:r>
        <w:rPr>
          <w:rFonts w:ascii="細明體_HKSCS" w:hAnsi="細明體_HKSCS" w:eastAsia="細明體_HKSCS" w:hint="eastAsia"/>
        </w:rPr>
        <w:t>3</w:t>
      </w:r>
      <w:r>
        <w:rPr/>
        <w:t>年實施，亦</w:t>
      </w:r>
      <w:r>
        <w:rPr>
          <w:spacing w:val="6"/>
          <w:w w:val="95"/>
        </w:rPr>
        <w:t>未見○○國中就此補救之可能方案為考量，核亦有重行 </w:t>
      </w:r>
      <w:r>
        <w:rPr>
          <w:spacing w:val="-23"/>
        </w:rPr>
        <w:t>審酌之處。</w:t>
      </w:r>
      <w:r>
        <w:rPr>
          <w:spacing w:val="4"/>
        </w:rPr>
        <w:t>（</w:t>
      </w:r>
      <w:r>
        <w:rPr>
          <w:rFonts w:ascii="細明體_HKSCS" w:hAnsi="細明體_HKSCS" w:eastAsia="細明體_HKSCS" w:hint="eastAsia"/>
          <w:spacing w:val="4"/>
        </w:rPr>
        <w:t>105</w:t>
      </w:r>
      <w:r>
        <w:rPr>
          <w:spacing w:val="9"/>
        </w:rPr>
        <w:t>公審決字第</w:t>
      </w:r>
      <w:r>
        <w:rPr>
          <w:rFonts w:ascii="細明體_HKSCS" w:hAnsi="細明體_HKSCS" w:eastAsia="細明體_HKSCS" w:hint="eastAsia"/>
        </w:rPr>
        <w:t>0183</w:t>
      </w:r>
      <w:r>
        <w:rPr>
          <w:spacing w:val="9"/>
        </w:rPr>
        <w:t>號、第</w:t>
      </w:r>
      <w:r>
        <w:rPr>
          <w:rFonts w:ascii="細明體_HKSCS" w:hAnsi="細明體_HKSCS" w:eastAsia="細明體_HKSCS" w:hint="eastAsia"/>
        </w:rPr>
        <w:t>0184</w:t>
      </w:r>
      <w:r>
        <w:rPr>
          <w:spacing w:val="9"/>
        </w:rPr>
        <w:t>號復審決定</w:t>
      </w:r>
      <w:r>
        <w:rPr/>
        <w:t>書）</w:t>
      </w:r>
    </w:p>
    <w:p>
      <w:pPr>
        <w:spacing w:after="0" w:line="268" w:lineRule="auto"/>
        <w:sectPr>
          <w:pgSz w:w="11910" w:h="16840"/>
          <w:pgMar w:header="0" w:footer="1017" w:top="1180" w:bottom="1200" w:left="1300" w:right="1140"/>
        </w:sectPr>
      </w:pPr>
    </w:p>
    <w:p>
      <w:pPr>
        <w:pStyle w:val="ListParagraph"/>
        <w:numPr>
          <w:ilvl w:val="0"/>
          <w:numId w:val="5"/>
        </w:numPr>
        <w:tabs>
          <w:tab w:pos="1331" w:val="left" w:leader="none"/>
        </w:tabs>
        <w:spacing w:line="240" w:lineRule="auto" w:before="15" w:after="0"/>
        <w:ind w:left="1330" w:right="0" w:hanging="360"/>
        <w:jc w:val="left"/>
        <w:rPr>
          <w:sz w:val="32"/>
        </w:rPr>
      </w:pPr>
      <w:r>
        <w:rPr>
          <w:sz w:val="32"/>
        </w:rPr>
        <w:t>按行政程序法第</w:t>
      </w:r>
      <w:r>
        <w:rPr>
          <w:rFonts w:ascii="細明體_HKSCS" w:eastAsia="細明體_HKSCS" w:hint="eastAsia"/>
          <w:sz w:val="32"/>
        </w:rPr>
        <w:t>131</w:t>
      </w:r>
      <w:r>
        <w:rPr>
          <w:sz w:val="32"/>
        </w:rPr>
        <w:t>條規定及最高行政法院</w:t>
      </w:r>
      <w:r>
        <w:rPr>
          <w:rFonts w:ascii="細明體_HKSCS" w:eastAsia="細明體_HKSCS" w:hint="eastAsia"/>
          <w:sz w:val="32"/>
        </w:rPr>
        <w:t>102</w:t>
      </w:r>
      <w:r>
        <w:rPr>
          <w:sz w:val="32"/>
        </w:rPr>
        <w:t>年</w:t>
      </w:r>
      <w:r>
        <w:rPr>
          <w:rFonts w:ascii="細明體_HKSCS" w:eastAsia="細明體_HKSCS" w:hint="eastAsia"/>
          <w:sz w:val="32"/>
        </w:rPr>
        <w:t>11</w:t>
      </w:r>
      <w:r>
        <w:rPr>
          <w:sz w:val="32"/>
        </w:rPr>
        <w:t>月</w:t>
      </w:r>
      <w:r>
        <w:rPr>
          <w:rFonts w:ascii="細明體_HKSCS" w:eastAsia="細明體_HKSCS" w:hint="eastAsia"/>
          <w:sz w:val="32"/>
        </w:rPr>
        <w:t>5</w:t>
      </w:r>
      <w:r>
        <w:rPr>
          <w:sz w:val="32"/>
        </w:rPr>
        <w:t>日</w:t>
      </w:r>
    </w:p>
    <w:p>
      <w:pPr>
        <w:pStyle w:val="BodyText"/>
        <w:spacing w:line="268" w:lineRule="auto" w:before="54"/>
        <w:ind w:right="263"/>
      </w:pPr>
      <w:r>
        <w:rPr>
          <w:rFonts w:ascii="細明體_HKSCS" w:hAnsi="細明體_HKSCS" w:eastAsia="細明體_HKSCS" w:hint="eastAsia"/>
          <w:spacing w:val="3"/>
          <w:w w:val="95"/>
        </w:rPr>
        <w:t>102</w:t>
      </w:r>
      <w:r>
        <w:rPr>
          <w:spacing w:val="9"/>
          <w:w w:val="95"/>
        </w:rPr>
        <w:t>年</w:t>
      </w:r>
      <w:r>
        <w:rPr>
          <w:rFonts w:ascii="細明體_HKSCS" w:hAnsi="細明體_HKSCS" w:eastAsia="細明體_HKSCS" w:hint="eastAsia"/>
          <w:spacing w:val="3"/>
          <w:w w:val="95"/>
        </w:rPr>
        <w:t>11</w:t>
      </w:r>
      <w:r>
        <w:rPr>
          <w:spacing w:val="8"/>
          <w:w w:val="95"/>
        </w:rPr>
        <w:t>月份第</w:t>
      </w:r>
      <w:r>
        <w:rPr>
          <w:rFonts w:ascii="細明體_HKSCS" w:hAnsi="細明體_HKSCS" w:eastAsia="細明體_HKSCS" w:hint="eastAsia"/>
          <w:spacing w:val="6"/>
          <w:w w:val="95"/>
        </w:rPr>
        <w:t>1</w:t>
      </w:r>
      <w:r>
        <w:rPr>
          <w:spacing w:val="6"/>
          <w:w w:val="95"/>
        </w:rPr>
        <w:t>次庭長法官聯席會議決議，公法上之請 求權，於請求權人為行政機關時，除法律另有規定外， </w:t>
      </w:r>
      <w:r>
        <w:rPr>
          <w:spacing w:val="6"/>
        </w:rPr>
        <w:t>因</w:t>
      </w:r>
      <w:r>
        <w:rPr>
          <w:rFonts w:ascii="細明體_HKSCS" w:hAnsi="細明體_HKSCS" w:eastAsia="細明體_HKSCS" w:hint="eastAsia"/>
          <w:spacing w:val="6"/>
        </w:rPr>
        <w:t>5</w:t>
      </w:r>
      <w:r>
        <w:rPr>
          <w:spacing w:val="6"/>
        </w:rPr>
        <w:t>年間不行使而消滅，並自可合理期待機關得為追繳時</w:t>
      </w:r>
      <w:r>
        <w:rPr/>
        <w:t>起算其消滅時效期間。○○○公所依銓敘部</w:t>
      </w:r>
      <w:r>
        <w:rPr>
          <w:rFonts w:ascii="細明體_HKSCS" w:hAnsi="細明體_HKSCS" w:eastAsia="細明體_HKSCS" w:hint="eastAsia"/>
        </w:rPr>
        <w:t>94</w:t>
      </w:r>
      <w:r>
        <w:rPr>
          <w:spacing w:val="3"/>
        </w:rPr>
        <w:t>年</w:t>
      </w:r>
      <w:r>
        <w:rPr>
          <w:rFonts w:ascii="細明體_HKSCS" w:hAnsi="細明體_HKSCS" w:eastAsia="細明體_HKSCS" w:hint="eastAsia"/>
        </w:rPr>
        <w:t>3</w:t>
      </w:r>
      <w:r>
        <w:rPr/>
        <w:t>月</w:t>
      </w:r>
      <w:r>
        <w:rPr>
          <w:rFonts w:ascii="細明體_HKSCS" w:hAnsi="細明體_HKSCS" w:eastAsia="細明體_HKSCS" w:hint="eastAsia"/>
        </w:rPr>
        <w:t>17</w:t>
      </w:r>
      <w:r>
        <w:rPr/>
        <w:t>日</w:t>
      </w:r>
      <w:r>
        <w:rPr>
          <w:spacing w:val="9"/>
        </w:rPr>
        <w:t>部退四字第</w:t>
      </w:r>
      <w:r>
        <w:rPr>
          <w:rFonts w:ascii="細明體_HKSCS" w:hAnsi="細明體_HKSCS" w:eastAsia="細明體_HKSCS" w:hint="eastAsia"/>
        </w:rPr>
        <w:t>0942481673</w:t>
      </w:r>
      <w:r>
        <w:rPr>
          <w:spacing w:val="8"/>
        </w:rPr>
        <w:t>號函，核發給復審人一次退休金</w:t>
      </w:r>
      <w:r>
        <w:rPr>
          <w:spacing w:val="8"/>
          <w:w w:val="95"/>
        </w:rPr>
        <w:t>等退休給與，計</w:t>
      </w:r>
      <w:r>
        <w:rPr>
          <w:rFonts w:ascii="細明體_HKSCS" w:hAnsi="細明體_HKSCS" w:eastAsia="細明體_HKSCS" w:hint="eastAsia"/>
          <w:spacing w:val="4"/>
          <w:w w:val="95"/>
        </w:rPr>
        <w:t>49</w:t>
      </w:r>
      <w:r>
        <w:rPr>
          <w:spacing w:val="9"/>
          <w:w w:val="95"/>
        </w:rPr>
        <w:t>萬</w:t>
      </w:r>
      <w:r>
        <w:rPr>
          <w:rFonts w:ascii="細明體_HKSCS" w:hAnsi="細明體_HKSCS" w:eastAsia="細明體_HKSCS" w:hint="eastAsia"/>
          <w:spacing w:val="3"/>
          <w:w w:val="95"/>
        </w:rPr>
        <w:t>809</w:t>
      </w:r>
      <w:r>
        <w:rPr>
          <w:spacing w:val="7"/>
          <w:w w:val="95"/>
        </w:rPr>
        <w:t>元，嗣於</w:t>
      </w:r>
      <w:r>
        <w:rPr>
          <w:rFonts w:ascii="細明體_HKSCS" w:hAnsi="細明體_HKSCS" w:eastAsia="細明體_HKSCS" w:hint="eastAsia"/>
          <w:spacing w:val="3"/>
          <w:w w:val="95"/>
        </w:rPr>
        <w:t>104</w:t>
      </w:r>
      <w:r>
        <w:rPr>
          <w:spacing w:val="9"/>
          <w:w w:val="95"/>
        </w:rPr>
        <w:t>年</w:t>
      </w:r>
      <w:r>
        <w:rPr>
          <w:rFonts w:ascii="細明體_HKSCS" w:hAnsi="細明體_HKSCS" w:eastAsia="細明體_HKSCS" w:hint="eastAsia"/>
          <w:spacing w:val="3"/>
          <w:w w:val="95"/>
        </w:rPr>
        <w:t>10</w:t>
      </w:r>
      <w:r>
        <w:rPr>
          <w:spacing w:val="9"/>
          <w:w w:val="95"/>
        </w:rPr>
        <w:t>月</w:t>
      </w:r>
      <w:r>
        <w:rPr>
          <w:rFonts w:ascii="細明體_HKSCS" w:hAnsi="細明體_HKSCS" w:eastAsia="細明體_HKSCS" w:hint="eastAsia"/>
          <w:spacing w:val="3"/>
          <w:w w:val="95"/>
        </w:rPr>
        <w:t>30</w:t>
      </w:r>
      <w:r>
        <w:rPr>
          <w:spacing w:val="9"/>
          <w:w w:val="95"/>
        </w:rPr>
        <w:t>日審認上 </w:t>
      </w:r>
      <w:r>
        <w:rPr/>
        <w:t>開金額係計算錯誤，致溢發合計</w:t>
      </w:r>
      <w:r>
        <w:rPr>
          <w:rFonts w:ascii="細明體_HKSCS" w:hAnsi="細明體_HKSCS" w:eastAsia="細明體_HKSCS" w:hint="eastAsia"/>
        </w:rPr>
        <w:t>23</w:t>
      </w:r>
      <w:r>
        <w:rPr/>
        <w:t>萬</w:t>
      </w:r>
      <w:r>
        <w:rPr>
          <w:rFonts w:ascii="細明體_HKSCS" w:hAnsi="細明體_HKSCS" w:eastAsia="細明體_HKSCS" w:hint="eastAsia"/>
        </w:rPr>
        <w:t>8,893</w:t>
      </w:r>
      <w:r>
        <w:rPr/>
        <w:t>元，因○○○ </w:t>
      </w:r>
      <w:r>
        <w:rPr>
          <w:spacing w:val="7"/>
          <w:w w:val="95"/>
        </w:rPr>
        <w:t>公所作為執行支給公務人員退撫新制實施前（</w:t>
      </w:r>
      <w:r>
        <w:rPr>
          <w:spacing w:val="6"/>
          <w:w w:val="95"/>
        </w:rPr>
        <w:t>以下稱舊 </w:t>
      </w:r>
      <w:r>
        <w:rPr>
          <w:spacing w:val="9"/>
          <w:w w:val="95"/>
        </w:rPr>
        <w:t>制）</w:t>
      </w:r>
      <w:r>
        <w:rPr>
          <w:spacing w:val="6"/>
          <w:w w:val="95"/>
        </w:rPr>
        <w:t>年資退休給與業務之機關，得合理期待於溢發退休 給與時，即為不當得利返還之請求。是○○○公所於上 開各付款日，已取得請求復審人返還公法上不當得利之 </w:t>
      </w:r>
      <w:r>
        <w:rPr>
          <w:spacing w:val="7"/>
          <w:w w:val="95"/>
        </w:rPr>
        <w:t>請求權。惟該公所遲至</w:t>
      </w:r>
      <w:r>
        <w:rPr>
          <w:rFonts w:ascii="細明體_HKSCS" w:hAnsi="細明體_HKSCS" w:eastAsia="細明體_HKSCS" w:hint="eastAsia"/>
          <w:spacing w:val="3"/>
          <w:w w:val="95"/>
        </w:rPr>
        <w:t>105</w:t>
      </w:r>
      <w:r>
        <w:rPr>
          <w:spacing w:val="10"/>
          <w:w w:val="95"/>
        </w:rPr>
        <w:t>年</w:t>
      </w:r>
      <w:r>
        <w:rPr>
          <w:rFonts w:ascii="細明體_HKSCS" w:hAnsi="細明體_HKSCS" w:eastAsia="細明體_HKSCS" w:hint="eastAsia"/>
          <w:spacing w:val="6"/>
          <w:w w:val="95"/>
        </w:rPr>
        <w:t>3</w:t>
      </w:r>
      <w:r>
        <w:rPr>
          <w:spacing w:val="9"/>
          <w:w w:val="95"/>
        </w:rPr>
        <w:t>月</w:t>
      </w:r>
      <w:r>
        <w:rPr>
          <w:rFonts w:ascii="細明體_HKSCS" w:hAnsi="細明體_HKSCS" w:eastAsia="細明體_HKSCS" w:hint="eastAsia"/>
          <w:spacing w:val="3"/>
          <w:w w:val="95"/>
        </w:rPr>
        <w:t>14</w:t>
      </w:r>
      <w:r>
        <w:rPr>
          <w:spacing w:val="6"/>
          <w:w w:val="95"/>
        </w:rPr>
        <w:t>日始函請新北市政府 </w:t>
      </w:r>
      <w:r>
        <w:rPr>
          <w:spacing w:val="5"/>
        </w:rPr>
        <w:t>辦理追繳，請求權業已罹於</w:t>
      </w:r>
      <w:r>
        <w:rPr>
          <w:rFonts w:ascii="細明體_HKSCS" w:hAnsi="細明體_HKSCS" w:eastAsia="細明體_HKSCS" w:hint="eastAsia"/>
        </w:rPr>
        <w:t>5</w:t>
      </w:r>
      <w:r>
        <w:rPr/>
        <w:t>年時效而消滅，自不得再向</w:t>
      </w:r>
      <w:r>
        <w:rPr>
          <w:spacing w:val="-5"/>
        </w:rPr>
        <w:t>復審人請求返還該筆不當得利。</w:t>
      </w:r>
      <w:r>
        <w:rPr>
          <w:spacing w:val="4"/>
        </w:rPr>
        <w:t>（</w:t>
      </w:r>
      <w:r>
        <w:rPr>
          <w:rFonts w:ascii="細明體_HKSCS" w:hAnsi="細明體_HKSCS" w:eastAsia="細明體_HKSCS" w:hint="eastAsia"/>
          <w:spacing w:val="4"/>
        </w:rPr>
        <w:t>105</w:t>
      </w:r>
      <w:r>
        <w:rPr>
          <w:spacing w:val="8"/>
        </w:rPr>
        <w:t>公審決字第</w:t>
      </w:r>
      <w:r>
        <w:rPr>
          <w:rFonts w:ascii="細明體_HKSCS" w:hAnsi="細明體_HKSCS" w:eastAsia="細明體_HKSCS" w:hint="eastAsia"/>
          <w:spacing w:val="2"/>
        </w:rPr>
        <w:t>0193</w:t>
      </w:r>
      <w:r>
        <w:rPr/>
        <w:t>號復審決定書）</w:t>
      </w:r>
    </w:p>
    <w:p>
      <w:pPr>
        <w:pStyle w:val="ListParagraph"/>
        <w:numPr>
          <w:ilvl w:val="0"/>
          <w:numId w:val="5"/>
        </w:numPr>
        <w:tabs>
          <w:tab w:pos="1331" w:val="left" w:leader="none"/>
        </w:tabs>
        <w:spacing w:line="268" w:lineRule="auto" w:before="183" w:after="0"/>
        <w:ind w:left="1330" w:right="270" w:hanging="360"/>
        <w:jc w:val="both"/>
        <w:rPr>
          <w:sz w:val="32"/>
        </w:rPr>
      </w:pPr>
      <w:r>
        <w:rPr>
          <w:sz w:val="32"/>
        </w:rPr>
        <w:t>依公務人員俸給法第 </w:t>
      </w:r>
      <w:r>
        <w:rPr>
          <w:rFonts w:ascii="細明體_HKSCS" w:hAnsi="細明體_HKSCS" w:eastAsia="細明體_HKSCS" w:hint="eastAsia"/>
          <w:sz w:val="32"/>
        </w:rPr>
        <w:t>5</w:t>
      </w:r>
      <w:r>
        <w:rPr>
          <w:rFonts w:ascii="細明體_HKSCS" w:hAnsi="細明體_HKSCS" w:eastAsia="細明體_HKSCS" w:hint="eastAsia"/>
          <w:spacing w:val="2"/>
          <w:sz w:val="32"/>
        </w:rPr>
        <w:t> </w:t>
      </w:r>
      <w:r>
        <w:rPr>
          <w:sz w:val="32"/>
        </w:rPr>
        <w:t>條、公務人員加給給與辦法第 </w:t>
      </w:r>
      <w:r>
        <w:rPr>
          <w:rFonts w:ascii="細明體_HKSCS" w:hAnsi="細明體_HKSCS" w:eastAsia="細明體_HKSCS" w:hint="eastAsia"/>
          <w:spacing w:val="-11"/>
          <w:sz w:val="32"/>
        </w:rPr>
        <w:t>3 </w:t>
      </w:r>
      <w:r>
        <w:rPr>
          <w:spacing w:val="1"/>
          <w:sz w:val="32"/>
        </w:rPr>
        <w:t>條及第 </w:t>
      </w:r>
      <w:r>
        <w:rPr>
          <w:rFonts w:ascii="細明體_HKSCS" w:hAnsi="細明體_HKSCS" w:eastAsia="細明體_HKSCS" w:hint="eastAsia"/>
          <w:sz w:val="32"/>
        </w:rPr>
        <w:t>9</w:t>
      </w:r>
      <w:r>
        <w:rPr>
          <w:rFonts w:ascii="細明體_HKSCS" w:hAnsi="細明體_HKSCS" w:eastAsia="細明體_HKSCS" w:hint="eastAsia"/>
          <w:spacing w:val="7"/>
          <w:sz w:val="32"/>
        </w:rPr>
        <w:t> </w:t>
      </w:r>
      <w:r>
        <w:rPr>
          <w:sz w:val="32"/>
        </w:rPr>
        <w:t>條規定，公務人員須擔任機關組織法規所定之</w:t>
      </w:r>
      <w:r>
        <w:rPr>
          <w:spacing w:val="6"/>
          <w:w w:val="95"/>
          <w:sz w:val="32"/>
        </w:rPr>
        <w:t>主管職務，並實際負領導責任者，始得支領主管職務加 </w:t>
      </w:r>
      <w:r>
        <w:rPr>
          <w:sz w:val="32"/>
        </w:rPr>
        <w:t>給。查復審人自 </w:t>
      </w:r>
      <w:r>
        <w:rPr>
          <w:rFonts w:ascii="細明體_HKSCS" w:hAnsi="細明體_HKSCS" w:eastAsia="細明體_HKSCS" w:hint="eastAsia"/>
          <w:sz w:val="32"/>
        </w:rPr>
        <w:t>100 </w:t>
      </w:r>
      <w:r>
        <w:rPr>
          <w:spacing w:val="2"/>
          <w:sz w:val="32"/>
        </w:rPr>
        <w:t>年 </w:t>
      </w:r>
      <w:r>
        <w:rPr>
          <w:rFonts w:ascii="細明體_HKSCS" w:hAnsi="細明體_HKSCS" w:eastAsia="細明體_HKSCS" w:hint="eastAsia"/>
          <w:sz w:val="32"/>
        </w:rPr>
        <w:t>8</w:t>
      </w:r>
      <w:r>
        <w:rPr>
          <w:rFonts w:ascii="細明體_HKSCS" w:hAnsi="細明體_HKSCS" w:eastAsia="細明體_HKSCS" w:hint="eastAsia"/>
          <w:spacing w:val="3"/>
          <w:sz w:val="32"/>
        </w:rPr>
        <w:t> </w:t>
      </w:r>
      <w:r>
        <w:rPr>
          <w:spacing w:val="1"/>
          <w:sz w:val="32"/>
        </w:rPr>
        <w:t>月 </w:t>
      </w:r>
      <w:r>
        <w:rPr>
          <w:rFonts w:ascii="細明體_HKSCS" w:hAnsi="細明體_HKSCS" w:eastAsia="細明體_HKSCS" w:hint="eastAsia"/>
          <w:sz w:val="32"/>
        </w:rPr>
        <w:t>9 </w:t>
      </w:r>
      <w:r>
        <w:rPr>
          <w:sz w:val="32"/>
        </w:rPr>
        <w:t>日任○○市政府消保官</w:t>
      </w:r>
      <w:r>
        <w:rPr>
          <w:spacing w:val="6"/>
          <w:w w:val="95"/>
          <w:sz w:val="32"/>
        </w:rPr>
        <w:t>起，該府即按月發給復審人主管職務加給，惟該府於初 設消保官職務時，即曾以該職務得否支領主管職務加給 存有疑義，向前行政院人事行政局中部辦公室請釋，經 </w:t>
      </w:r>
      <w:r>
        <w:rPr>
          <w:spacing w:val="-17"/>
          <w:sz w:val="32"/>
        </w:rPr>
        <w:t>該室 </w:t>
      </w:r>
      <w:r>
        <w:rPr>
          <w:rFonts w:ascii="細明體_HKSCS" w:hAnsi="細明體_HKSCS" w:eastAsia="細明體_HKSCS" w:hint="eastAsia"/>
          <w:sz w:val="32"/>
        </w:rPr>
        <w:t>89</w:t>
      </w:r>
      <w:r>
        <w:rPr>
          <w:rFonts w:ascii="細明體_HKSCS" w:hAnsi="細明體_HKSCS" w:eastAsia="細明體_HKSCS" w:hint="eastAsia"/>
          <w:spacing w:val="-65"/>
          <w:sz w:val="32"/>
        </w:rPr>
        <w:t> </w:t>
      </w:r>
      <w:r>
        <w:rPr>
          <w:spacing w:val="-32"/>
          <w:sz w:val="32"/>
        </w:rPr>
        <w:t>年 </w:t>
      </w:r>
      <w:r>
        <w:rPr>
          <w:rFonts w:ascii="細明體_HKSCS" w:hAnsi="細明體_HKSCS" w:eastAsia="細明體_HKSCS" w:hint="eastAsia"/>
          <w:sz w:val="32"/>
        </w:rPr>
        <w:t>10</w:t>
      </w:r>
      <w:r>
        <w:rPr>
          <w:rFonts w:ascii="細明體_HKSCS" w:hAnsi="細明體_HKSCS" w:eastAsia="細明體_HKSCS" w:hint="eastAsia"/>
          <w:spacing w:val="-65"/>
          <w:sz w:val="32"/>
        </w:rPr>
        <w:t> </w:t>
      </w:r>
      <w:r>
        <w:rPr>
          <w:spacing w:val="-32"/>
          <w:sz w:val="32"/>
        </w:rPr>
        <w:t>月 </w:t>
      </w:r>
      <w:r>
        <w:rPr>
          <w:rFonts w:ascii="細明體_HKSCS" w:hAnsi="細明體_HKSCS" w:eastAsia="細明體_HKSCS" w:hint="eastAsia"/>
          <w:sz w:val="32"/>
        </w:rPr>
        <w:t>16</w:t>
      </w:r>
      <w:r>
        <w:rPr>
          <w:rFonts w:ascii="細明體_HKSCS" w:hAnsi="細明體_HKSCS" w:eastAsia="細明體_HKSCS" w:hint="eastAsia"/>
          <w:spacing w:val="-65"/>
          <w:sz w:val="32"/>
        </w:rPr>
        <w:t> </w:t>
      </w:r>
      <w:r>
        <w:rPr>
          <w:spacing w:val="-31"/>
          <w:sz w:val="32"/>
        </w:rPr>
        <w:t>日 </w:t>
      </w:r>
      <w:r>
        <w:rPr>
          <w:rFonts w:ascii="細明體_HKSCS" w:hAnsi="細明體_HKSCS" w:eastAsia="細明體_HKSCS" w:hint="eastAsia"/>
          <w:sz w:val="32"/>
        </w:rPr>
        <w:t>89</w:t>
      </w:r>
      <w:r>
        <w:rPr>
          <w:rFonts w:ascii="細明體_HKSCS" w:hAnsi="細明體_HKSCS" w:eastAsia="細明體_HKSCS" w:hint="eastAsia"/>
          <w:spacing w:val="-63"/>
          <w:sz w:val="32"/>
        </w:rPr>
        <w:t> </w:t>
      </w:r>
      <w:r>
        <w:rPr>
          <w:spacing w:val="-13"/>
          <w:sz w:val="32"/>
        </w:rPr>
        <w:t>室中字第 </w:t>
      </w:r>
      <w:r>
        <w:rPr>
          <w:rFonts w:ascii="細明體_HKSCS" w:hAnsi="細明體_HKSCS" w:eastAsia="細明體_HKSCS" w:hint="eastAsia"/>
          <w:sz w:val="32"/>
        </w:rPr>
        <w:t>18368</w:t>
      </w:r>
      <w:r>
        <w:rPr>
          <w:rFonts w:ascii="細明體_HKSCS" w:hAnsi="細明體_HKSCS" w:eastAsia="細明體_HKSCS" w:hint="eastAsia"/>
          <w:spacing w:val="-61"/>
          <w:sz w:val="32"/>
        </w:rPr>
        <w:t> </w:t>
      </w:r>
      <w:r>
        <w:rPr>
          <w:sz w:val="32"/>
        </w:rPr>
        <w:t>號函釋以，該</w:t>
      </w:r>
      <w:r>
        <w:rPr>
          <w:spacing w:val="6"/>
          <w:w w:val="95"/>
          <w:sz w:val="32"/>
        </w:rPr>
        <w:t>府消保官因非屬主管職務，不合支領主管職務加給之規 </w:t>
      </w:r>
      <w:r>
        <w:rPr>
          <w:spacing w:val="-3"/>
          <w:sz w:val="32"/>
        </w:rPr>
        <w:t>定。是該府獲悉前揭 </w:t>
      </w:r>
      <w:r>
        <w:rPr>
          <w:rFonts w:ascii="細明體_HKSCS" w:hAnsi="細明體_HKSCS" w:eastAsia="細明體_HKSCS" w:hint="eastAsia"/>
          <w:sz w:val="32"/>
        </w:rPr>
        <w:t>89</w:t>
      </w:r>
      <w:r>
        <w:rPr>
          <w:rFonts w:ascii="細明體_HKSCS" w:hAnsi="細明體_HKSCS" w:eastAsia="細明體_HKSCS" w:hint="eastAsia"/>
          <w:spacing w:val="-80"/>
          <w:sz w:val="32"/>
        </w:rPr>
        <w:t> </w:t>
      </w:r>
      <w:r>
        <w:rPr>
          <w:spacing w:val="-38"/>
          <w:sz w:val="32"/>
        </w:rPr>
        <w:t>年 </w:t>
      </w:r>
      <w:r>
        <w:rPr>
          <w:rFonts w:ascii="細明體_HKSCS" w:hAnsi="細明體_HKSCS" w:eastAsia="細明體_HKSCS" w:hint="eastAsia"/>
          <w:sz w:val="32"/>
        </w:rPr>
        <w:t>10</w:t>
      </w:r>
      <w:r>
        <w:rPr>
          <w:rFonts w:ascii="細明體_HKSCS" w:hAnsi="細明體_HKSCS" w:eastAsia="細明體_HKSCS" w:hint="eastAsia"/>
          <w:spacing w:val="-79"/>
          <w:sz w:val="32"/>
        </w:rPr>
        <w:t> </w:t>
      </w:r>
      <w:r>
        <w:rPr>
          <w:spacing w:val="-39"/>
          <w:sz w:val="32"/>
        </w:rPr>
        <w:t>月 </w:t>
      </w:r>
      <w:r>
        <w:rPr>
          <w:rFonts w:ascii="細明體_HKSCS" w:hAnsi="細明體_HKSCS" w:eastAsia="細明體_HKSCS" w:hint="eastAsia"/>
          <w:sz w:val="32"/>
        </w:rPr>
        <w:t>16</w:t>
      </w:r>
      <w:r>
        <w:rPr>
          <w:rFonts w:ascii="細明體_HKSCS" w:hAnsi="細明體_HKSCS" w:eastAsia="細明體_HKSCS" w:hint="eastAsia"/>
          <w:spacing w:val="-80"/>
          <w:sz w:val="32"/>
        </w:rPr>
        <w:t> </w:t>
      </w:r>
      <w:r>
        <w:rPr>
          <w:sz w:val="32"/>
        </w:rPr>
        <w:t>日函時，已知消保官</w:t>
      </w:r>
      <w:r>
        <w:rPr>
          <w:spacing w:val="6"/>
          <w:w w:val="95"/>
          <w:sz w:val="32"/>
        </w:rPr>
        <w:t>非組織法規規定之主管職務，不得支領主管職務加給。 </w:t>
      </w:r>
      <w:r>
        <w:rPr>
          <w:spacing w:val="-11"/>
          <w:sz w:val="32"/>
        </w:rPr>
        <w:t>該府遲自 </w:t>
      </w:r>
      <w:r>
        <w:rPr>
          <w:rFonts w:ascii="細明體_HKSCS" w:hAnsi="細明體_HKSCS" w:eastAsia="細明體_HKSCS" w:hint="eastAsia"/>
          <w:sz w:val="32"/>
        </w:rPr>
        <w:t>105</w:t>
      </w:r>
      <w:r>
        <w:rPr>
          <w:rFonts w:ascii="細明體_HKSCS" w:hAnsi="細明體_HKSCS" w:eastAsia="細明體_HKSCS" w:hint="eastAsia"/>
          <w:spacing w:val="-79"/>
          <w:sz w:val="32"/>
        </w:rPr>
        <w:t> </w:t>
      </w:r>
      <w:r>
        <w:rPr>
          <w:spacing w:val="-39"/>
          <w:sz w:val="32"/>
        </w:rPr>
        <w:t>年 </w:t>
      </w:r>
      <w:r>
        <w:rPr>
          <w:rFonts w:ascii="細明體_HKSCS" w:hAnsi="細明體_HKSCS" w:eastAsia="細明體_HKSCS" w:hint="eastAsia"/>
          <w:sz w:val="32"/>
        </w:rPr>
        <w:t>8</w:t>
      </w:r>
      <w:r>
        <w:rPr>
          <w:rFonts w:ascii="細明體_HKSCS" w:hAnsi="細明體_HKSCS" w:eastAsia="細明體_HKSCS" w:hint="eastAsia"/>
          <w:spacing w:val="-80"/>
          <w:sz w:val="32"/>
        </w:rPr>
        <w:t> </w:t>
      </w:r>
      <w:r>
        <w:rPr>
          <w:spacing w:val="-38"/>
          <w:sz w:val="32"/>
        </w:rPr>
        <w:t>月 </w:t>
      </w:r>
      <w:r>
        <w:rPr>
          <w:rFonts w:ascii="細明體_HKSCS" w:hAnsi="細明體_HKSCS" w:eastAsia="細明體_HKSCS" w:hint="eastAsia"/>
          <w:sz w:val="32"/>
        </w:rPr>
        <w:t>31</w:t>
      </w:r>
      <w:r>
        <w:rPr>
          <w:rFonts w:ascii="細明體_HKSCS" w:hAnsi="細明體_HKSCS" w:eastAsia="細明體_HKSCS" w:hint="eastAsia"/>
          <w:spacing w:val="-78"/>
          <w:sz w:val="32"/>
        </w:rPr>
        <w:t> </w:t>
      </w:r>
      <w:r>
        <w:rPr>
          <w:sz w:val="32"/>
        </w:rPr>
        <w:t>日始撤銷違法核發主管職務加給</w:t>
      </w:r>
    </w:p>
    <w:p>
      <w:pPr>
        <w:spacing w:after="0" w:line="268" w:lineRule="auto"/>
        <w:jc w:val="both"/>
        <w:rPr>
          <w:sz w:val="32"/>
        </w:rPr>
        <w:sectPr>
          <w:pgSz w:w="11910" w:h="16840"/>
          <w:pgMar w:header="0" w:footer="1017" w:top="1180" w:bottom="1200" w:left="1300" w:right="1140"/>
        </w:sectPr>
      </w:pPr>
    </w:p>
    <w:p>
      <w:pPr>
        <w:pStyle w:val="BodyText"/>
        <w:spacing w:before="15"/>
        <w:jc w:val="left"/>
        <w:rPr>
          <w:rFonts w:ascii="細明體_HKSCS" w:eastAsia="細明體_HKSCS" w:hint="eastAsia"/>
        </w:rPr>
      </w:pPr>
      <w:r>
        <w:rPr>
          <w:spacing w:val="-2"/>
        </w:rPr>
        <w:t>之處分及追繳所領金額，則有關復審人自 </w:t>
      </w:r>
      <w:r>
        <w:rPr>
          <w:rFonts w:ascii="細明體_HKSCS" w:eastAsia="細明體_HKSCS" w:hint="eastAsia"/>
        </w:rPr>
        <w:t>100</w:t>
      </w:r>
      <w:r>
        <w:rPr>
          <w:rFonts w:ascii="細明體_HKSCS" w:eastAsia="細明體_HKSCS" w:hint="eastAsia"/>
          <w:spacing w:val="-30"/>
        </w:rPr>
        <w:t> </w:t>
      </w:r>
      <w:r>
        <w:rPr>
          <w:spacing w:val="-14"/>
        </w:rPr>
        <w:t>年 </w:t>
      </w:r>
      <w:r>
        <w:rPr>
          <w:rFonts w:ascii="細明體_HKSCS" w:eastAsia="細明體_HKSCS" w:hint="eastAsia"/>
        </w:rPr>
        <w:t>8</w:t>
      </w:r>
      <w:r>
        <w:rPr>
          <w:rFonts w:ascii="細明體_HKSCS" w:eastAsia="細明體_HKSCS" w:hint="eastAsia"/>
          <w:spacing w:val="-31"/>
        </w:rPr>
        <w:t> </w:t>
      </w:r>
      <w:r>
        <w:rPr>
          <w:spacing w:val="-14"/>
        </w:rPr>
        <w:t>月 </w:t>
      </w:r>
      <w:r>
        <w:rPr>
          <w:rFonts w:ascii="細明體_HKSCS" w:eastAsia="細明體_HKSCS" w:hint="eastAsia"/>
        </w:rPr>
        <w:t>9</w:t>
      </w:r>
    </w:p>
    <w:p>
      <w:pPr>
        <w:pStyle w:val="BodyText"/>
        <w:spacing w:before="54"/>
        <w:jc w:val="left"/>
      </w:pPr>
      <w:r>
        <w:rPr>
          <w:spacing w:val="-20"/>
        </w:rPr>
        <w:t>日起至 </w:t>
      </w:r>
      <w:r>
        <w:rPr>
          <w:rFonts w:ascii="細明體_HKSCS" w:eastAsia="細明體_HKSCS" w:hint="eastAsia"/>
        </w:rPr>
        <w:t>103</w:t>
      </w:r>
      <w:r>
        <w:rPr>
          <w:rFonts w:ascii="細明體_HKSCS" w:eastAsia="細明體_HKSCS" w:hint="eastAsia"/>
          <w:spacing w:val="-79"/>
        </w:rPr>
        <w:t> </w:t>
      </w:r>
      <w:r>
        <w:rPr>
          <w:spacing w:val="-38"/>
        </w:rPr>
        <w:t>年 </w:t>
      </w:r>
      <w:r>
        <w:rPr>
          <w:rFonts w:ascii="細明體_HKSCS" w:eastAsia="細明體_HKSCS" w:hint="eastAsia"/>
        </w:rPr>
        <w:t>8</w:t>
      </w:r>
      <w:r>
        <w:rPr>
          <w:rFonts w:ascii="細明體_HKSCS" w:eastAsia="細明體_HKSCS" w:hint="eastAsia"/>
          <w:spacing w:val="-79"/>
        </w:rPr>
        <w:t> </w:t>
      </w:r>
      <w:r>
        <w:rPr>
          <w:spacing w:val="-38"/>
        </w:rPr>
        <w:t>月 </w:t>
      </w:r>
      <w:r>
        <w:rPr>
          <w:rFonts w:ascii="細明體_HKSCS" w:eastAsia="細明體_HKSCS" w:hint="eastAsia"/>
        </w:rPr>
        <w:t>31</w:t>
      </w:r>
      <w:r>
        <w:rPr>
          <w:rFonts w:ascii="細明體_HKSCS" w:eastAsia="細明體_HKSCS" w:hint="eastAsia"/>
          <w:spacing w:val="-80"/>
        </w:rPr>
        <w:t> </w:t>
      </w:r>
      <w:r>
        <w:rPr/>
        <w:t>日止溢領之主管職務加給部分，均</w:t>
      </w:r>
    </w:p>
    <w:p>
      <w:pPr>
        <w:pStyle w:val="BodyText"/>
        <w:spacing w:line="268" w:lineRule="auto" w:before="52"/>
        <w:ind w:right="274"/>
      </w:pPr>
      <w:r>
        <w:rPr/>
        <w:t>已逾行政程序法第 </w:t>
      </w:r>
      <w:r>
        <w:rPr>
          <w:rFonts w:ascii="細明體_HKSCS" w:eastAsia="細明體_HKSCS" w:hint="eastAsia"/>
        </w:rPr>
        <w:t>121 </w:t>
      </w:r>
      <w:r>
        <w:rPr>
          <w:spacing w:val="-1"/>
        </w:rPr>
        <w:t>條所定，自知有撤銷原因時起得</w:t>
      </w:r>
      <w:r>
        <w:rPr>
          <w:spacing w:val="11"/>
        </w:rPr>
        <w:t>行使撤銷權之 </w:t>
      </w:r>
      <w:r>
        <w:rPr>
          <w:rFonts w:ascii="細明體_HKSCS" w:eastAsia="細明體_HKSCS" w:hint="eastAsia"/>
        </w:rPr>
        <w:t>2 </w:t>
      </w:r>
      <w:r>
        <w:rPr>
          <w:spacing w:val="13"/>
        </w:rPr>
        <w:t>年期間，該府就此部分之追繳於法有</w:t>
      </w:r>
      <w:r>
        <w:rPr>
          <w:spacing w:val="-12"/>
        </w:rPr>
        <w:t>違，應予撤銷。</w:t>
      </w:r>
      <w:r>
        <w:rPr/>
        <w:t>（</w:t>
      </w:r>
      <w:r>
        <w:rPr>
          <w:rFonts w:ascii="細明體_HKSCS" w:eastAsia="細明體_HKSCS" w:hint="eastAsia"/>
        </w:rPr>
        <w:t>105</w:t>
      </w:r>
      <w:r>
        <w:rPr>
          <w:rFonts w:ascii="細明體_HKSCS" w:eastAsia="細明體_HKSCS" w:hint="eastAsia"/>
          <w:spacing w:val="-82"/>
        </w:rPr>
        <w:t> </w:t>
      </w:r>
      <w:r>
        <w:rPr>
          <w:spacing w:val="-14"/>
        </w:rPr>
        <w:t>公審決字第 </w:t>
      </w:r>
      <w:r>
        <w:rPr>
          <w:rFonts w:ascii="細明體_HKSCS" w:eastAsia="細明體_HKSCS" w:hint="eastAsia"/>
        </w:rPr>
        <w:t>0365</w:t>
      </w:r>
      <w:r>
        <w:rPr>
          <w:rFonts w:ascii="細明體_HKSCS" w:eastAsia="細明體_HKSCS" w:hint="eastAsia"/>
          <w:spacing w:val="-81"/>
        </w:rPr>
        <w:t> </w:t>
      </w:r>
      <w:r>
        <w:rPr/>
        <w:t>號復審決定書）</w:t>
      </w:r>
    </w:p>
    <w:p>
      <w:pPr>
        <w:pStyle w:val="ListParagraph"/>
        <w:numPr>
          <w:ilvl w:val="0"/>
          <w:numId w:val="5"/>
        </w:numPr>
        <w:tabs>
          <w:tab w:pos="1331" w:val="left" w:leader="none"/>
        </w:tabs>
        <w:spacing w:line="268" w:lineRule="auto" w:before="0" w:after="0"/>
        <w:ind w:left="1330" w:right="257" w:hanging="360"/>
        <w:jc w:val="both"/>
        <w:rPr>
          <w:sz w:val="32"/>
        </w:rPr>
      </w:pPr>
      <w:r>
        <w:rPr>
          <w:sz w:val="32"/>
        </w:rPr>
        <w:t>依公務人員陞遷法第</w:t>
      </w:r>
      <w:r>
        <w:rPr>
          <w:rFonts w:ascii="細明體_HKSCS" w:hAnsi="細明體_HKSCS" w:eastAsia="細明體_HKSCS" w:hint="eastAsia"/>
          <w:sz w:val="32"/>
        </w:rPr>
        <w:t>9</w:t>
      </w:r>
      <w:r>
        <w:rPr>
          <w:sz w:val="32"/>
        </w:rPr>
        <w:t>條第</w:t>
      </w:r>
      <w:r>
        <w:rPr>
          <w:rFonts w:ascii="細明體_HKSCS" w:hAnsi="細明體_HKSCS" w:eastAsia="細明體_HKSCS" w:hint="eastAsia"/>
          <w:sz w:val="32"/>
        </w:rPr>
        <w:t>1</w:t>
      </w:r>
      <w:r>
        <w:rPr>
          <w:sz w:val="32"/>
        </w:rPr>
        <w:t>項及同法施行細則第</w:t>
      </w:r>
      <w:r>
        <w:rPr>
          <w:rFonts w:ascii="細明體_HKSCS" w:hAnsi="細明體_HKSCS" w:eastAsia="細明體_HKSCS" w:hint="eastAsia"/>
          <w:sz w:val="32"/>
        </w:rPr>
        <w:t>10</w:t>
      </w:r>
      <w:r>
        <w:rPr>
          <w:sz w:val="32"/>
        </w:rPr>
        <w:t>條第</w:t>
      </w:r>
      <w:r>
        <w:rPr>
          <w:rFonts w:ascii="細明體_HKSCS" w:hAnsi="細明體_HKSCS" w:eastAsia="細明體_HKSCS" w:hint="eastAsia"/>
          <w:sz w:val="32"/>
        </w:rPr>
        <w:t>1 </w:t>
      </w:r>
      <w:r>
        <w:rPr>
          <w:spacing w:val="15"/>
          <w:w w:val="95"/>
          <w:sz w:val="32"/>
        </w:rPr>
        <w:t>項第</w:t>
      </w:r>
      <w:r>
        <w:rPr>
          <w:rFonts w:ascii="細明體_HKSCS" w:hAnsi="細明體_HKSCS" w:eastAsia="細明體_HKSCS" w:hint="eastAsia"/>
          <w:spacing w:val="13"/>
          <w:w w:val="95"/>
          <w:sz w:val="32"/>
        </w:rPr>
        <w:t>2</w:t>
      </w:r>
      <w:r>
        <w:rPr>
          <w:spacing w:val="14"/>
          <w:w w:val="95"/>
          <w:sz w:val="32"/>
        </w:rPr>
        <w:t>款規定，陞遷</w:t>
      </w:r>
      <w:r>
        <w:rPr>
          <w:rFonts w:ascii="細明體_HKSCS" w:hAnsi="細明體_HKSCS" w:eastAsia="細明體_HKSCS" w:hint="eastAsia"/>
          <w:spacing w:val="13"/>
          <w:w w:val="95"/>
          <w:sz w:val="32"/>
        </w:rPr>
        <w:t>2</w:t>
      </w:r>
      <w:r>
        <w:rPr>
          <w:spacing w:val="14"/>
          <w:w w:val="95"/>
          <w:sz w:val="32"/>
        </w:rPr>
        <w:t>人以上，應就陞遷人數之</w:t>
      </w:r>
      <w:r>
        <w:rPr>
          <w:rFonts w:ascii="細明體_HKSCS" w:hAnsi="細明體_HKSCS" w:eastAsia="細明體_HKSCS" w:hint="eastAsia"/>
          <w:spacing w:val="16"/>
          <w:w w:val="95"/>
          <w:sz w:val="32"/>
        </w:rPr>
        <w:t>2</w:t>
      </w:r>
      <w:r>
        <w:rPr>
          <w:spacing w:val="14"/>
          <w:w w:val="95"/>
          <w:sz w:val="32"/>
        </w:rPr>
        <w:t>倍範圍 </w:t>
      </w:r>
      <w:r>
        <w:rPr>
          <w:spacing w:val="6"/>
          <w:sz w:val="32"/>
        </w:rPr>
        <w:t>內，報請機關首長圈定陞補。查復審人參加○○部政風人員職缺外補案之公開甄選，該部○○署於提交甄審委</w:t>
      </w:r>
      <w:r>
        <w:rPr>
          <w:spacing w:val="9"/>
          <w:sz w:val="32"/>
        </w:rPr>
        <w:t>員會</w:t>
      </w:r>
      <w:r>
        <w:rPr>
          <w:spacing w:val="7"/>
          <w:sz w:val="32"/>
        </w:rPr>
        <w:t>（以下簡稱甄審會</w:t>
      </w:r>
      <w:r>
        <w:rPr>
          <w:spacing w:val="9"/>
          <w:sz w:val="32"/>
        </w:rPr>
        <w:t>）</w:t>
      </w:r>
      <w:r>
        <w:rPr>
          <w:spacing w:val="6"/>
          <w:sz w:val="32"/>
        </w:rPr>
        <w:t>審議前，即逕自刪減依筆試及</w:t>
      </w:r>
      <w:r>
        <w:rPr>
          <w:spacing w:val="8"/>
          <w:sz w:val="32"/>
        </w:rPr>
        <w:t>面試錄取之</w:t>
      </w:r>
      <w:r>
        <w:rPr>
          <w:rFonts w:ascii="細明體_HKSCS" w:hAnsi="細明體_HKSCS" w:eastAsia="細明體_HKSCS" w:hint="eastAsia"/>
          <w:spacing w:val="3"/>
          <w:sz w:val="32"/>
        </w:rPr>
        <w:t>44</w:t>
      </w:r>
      <w:r>
        <w:rPr>
          <w:spacing w:val="7"/>
          <w:sz w:val="32"/>
        </w:rPr>
        <w:t>人，於程序上僅提報</w:t>
      </w:r>
      <w:r>
        <w:rPr>
          <w:rFonts w:ascii="細明體_HKSCS" w:hAnsi="細明體_HKSCS" w:eastAsia="細明體_HKSCS" w:hint="eastAsia"/>
          <w:spacing w:val="4"/>
          <w:sz w:val="32"/>
        </w:rPr>
        <w:t>22</w:t>
      </w:r>
      <w:r>
        <w:rPr>
          <w:spacing w:val="6"/>
          <w:sz w:val="32"/>
        </w:rPr>
        <w:t>名錄取人員予甄審</w:t>
      </w:r>
      <w:r>
        <w:rPr>
          <w:spacing w:val="7"/>
          <w:sz w:val="32"/>
        </w:rPr>
        <w:t>會審查，致該部部長僅得就該</w:t>
      </w:r>
      <w:r>
        <w:rPr>
          <w:rFonts w:ascii="細明體_HKSCS" w:hAnsi="細明體_HKSCS" w:eastAsia="細明體_HKSCS" w:hint="eastAsia"/>
          <w:spacing w:val="3"/>
          <w:sz w:val="32"/>
        </w:rPr>
        <w:t>22</w:t>
      </w:r>
      <w:r>
        <w:rPr>
          <w:spacing w:val="6"/>
          <w:sz w:val="32"/>
        </w:rPr>
        <w:t>名錄取人員予以圈定， 於法已有未合。又○○署公開甄選徵才公告，僅規定應徵人員不得受有刑事、懲戒及平時考核申誡以上處分， 嗣卻以復審人經該署肅貪部門於</w:t>
      </w:r>
      <w:r>
        <w:rPr>
          <w:rFonts w:ascii="細明體_HKSCS" w:hAnsi="細明體_HKSCS" w:eastAsia="細明體_HKSCS" w:hint="eastAsia"/>
          <w:spacing w:val="6"/>
          <w:sz w:val="32"/>
        </w:rPr>
        <w:t>103</w:t>
      </w:r>
      <w:r>
        <w:rPr>
          <w:spacing w:val="6"/>
          <w:sz w:val="32"/>
        </w:rPr>
        <w:t>年立案偵辦，而建議該部部長不予錄取；及於未經甄審會審議及部長圈定錄取人員前，即公告通知通過筆試及面試之復審人至該署選填職缺，致其產生業經錄取之信賴，其甄選程序是否</w:t>
      </w:r>
      <w:r>
        <w:rPr>
          <w:spacing w:val="-9"/>
          <w:sz w:val="32"/>
        </w:rPr>
        <w:t>妥適，亦均不無疑義。</w:t>
      </w:r>
      <w:r>
        <w:rPr>
          <w:spacing w:val="5"/>
          <w:sz w:val="32"/>
        </w:rPr>
        <w:t>（</w:t>
      </w:r>
      <w:r>
        <w:rPr>
          <w:rFonts w:ascii="細明體_HKSCS" w:hAnsi="細明體_HKSCS" w:eastAsia="細明體_HKSCS" w:hint="eastAsia"/>
          <w:spacing w:val="5"/>
          <w:sz w:val="32"/>
        </w:rPr>
        <w:t>105</w:t>
      </w:r>
      <w:r>
        <w:rPr>
          <w:spacing w:val="8"/>
          <w:sz w:val="32"/>
        </w:rPr>
        <w:t>公審決字第</w:t>
      </w:r>
      <w:r>
        <w:rPr>
          <w:rFonts w:ascii="細明體_HKSCS" w:hAnsi="細明體_HKSCS" w:eastAsia="細明體_HKSCS" w:hint="eastAsia"/>
          <w:sz w:val="32"/>
        </w:rPr>
        <w:t>0204</w:t>
      </w:r>
      <w:r>
        <w:rPr>
          <w:spacing w:val="6"/>
          <w:sz w:val="32"/>
        </w:rPr>
        <w:t>號復審決定書）</w:t>
      </w:r>
    </w:p>
    <w:p>
      <w:pPr>
        <w:pStyle w:val="ListParagraph"/>
        <w:numPr>
          <w:ilvl w:val="0"/>
          <w:numId w:val="5"/>
        </w:numPr>
        <w:tabs>
          <w:tab w:pos="1331" w:val="left" w:leader="none"/>
        </w:tabs>
        <w:spacing w:line="268" w:lineRule="auto" w:before="179" w:after="0"/>
        <w:ind w:left="1330" w:right="271" w:hanging="360"/>
        <w:jc w:val="both"/>
        <w:rPr>
          <w:sz w:val="32"/>
        </w:rPr>
      </w:pPr>
      <w:r>
        <w:rPr>
          <w:sz w:val="32"/>
        </w:rPr>
        <w:t>依警政署督考行程編排原則第</w:t>
      </w:r>
      <w:r>
        <w:rPr>
          <w:rFonts w:ascii="細明體_HKSCS" w:eastAsia="細明體_HKSCS" w:hint="eastAsia"/>
          <w:sz w:val="32"/>
        </w:rPr>
        <w:t>2</w:t>
      </w:r>
      <w:r>
        <w:rPr>
          <w:sz w:val="32"/>
        </w:rPr>
        <w:t>點第</w:t>
      </w:r>
      <w:r>
        <w:rPr>
          <w:rFonts w:ascii="細明體_HKSCS" w:eastAsia="細明體_HKSCS" w:hint="eastAsia"/>
          <w:sz w:val="32"/>
        </w:rPr>
        <w:t>1</w:t>
      </w:r>
      <w:r>
        <w:rPr>
          <w:sz w:val="32"/>
        </w:rPr>
        <w:t>款規定，及該署</w:t>
      </w:r>
      <w:r>
        <w:rPr>
          <w:rFonts w:ascii="細明體_HKSCS" w:eastAsia="細明體_HKSCS" w:hint="eastAsia"/>
          <w:sz w:val="32"/>
        </w:rPr>
        <w:t>103 </w:t>
      </w:r>
      <w:r>
        <w:rPr>
          <w:sz w:val="32"/>
        </w:rPr>
        <w:t>年</w:t>
      </w:r>
      <w:r>
        <w:rPr>
          <w:rFonts w:ascii="細明體_HKSCS" w:eastAsia="細明體_HKSCS" w:hint="eastAsia"/>
          <w:sz w:val="32"/>
        </w:rPr>
        <w:t>7</w:t>
      </w:r>
      <w:r>
        <w:rPr>
          <w:sz w:val="32"/>
        </w:rPr>
        <w:t>月</w:t>
      </w:r>
      <w:r>
        <w:rPr>
          <w:rFonts w:ascii="細明體_HKSCS" w:eastAsia="細明體_HKSCS" w:hint="eastAsia"/>
          <w:sz w:val="32"/>
        </w:rPr>
        <w:t>30</w:t>
      </w:r>
      <w:r>
        <w:rPr>
          <w:sz w:val="32"/>
        </w:rPr>
        <w:t>日警署人字第</w:t>
      </w:r>
      <w:r>
        <w:rPr>
          <w:rFonts w:ascii="細明體_HKSCS" w:eastAsia="細明體_HKSCS" w:hint="eastAsia"/>
          <w:sz w:val="32"/>
        </w:rPr>
        <w:t>1030124963</w:t>
      </w:r>
      <w:r>
        <w:rPr>
          <w:sz w:val="32"/>
        </w:rPr>
        <w:t>號書函意旨，至宜蘭縣</w:t>
      </w:r>
      <w:r>
        <w:rPr>
          <w:spacing w:val="6"/>
          <w:w w:val="95"/>
          <w:sz w:val="32"/>
        </w:rPr>
        <w:t>出差，須當日往返，不得報支住宿費。惟查內政部警政 </w:t>
      </w:r>
      <w:r>
        <w:rPr>
          <w:spacing w:val="5"/>
          <w:sz w:val="32"/>
        </w:rPr>
        <w:t>署國內出差旅費報支補充規定第</w:t>
      </w:r>
      <w:r>
        <w:rPr>
          <w:rFonts w:ascii="細明體_HKSCS" w:eastAsia="細明體_HKSCS" w:hint="eastAsia"/>
          <w:sz w:val="32"/>
        </w:rPr>
        <w:t>2</w:t>
      </w:r>
      <w:r>
        <w:rPr>
          <w:sz w:val="32"/>
        </w:rPr>
        <w:t>點規定，出差地點距離</w:t>
      </w:r>
      <w:r>
        <w:rPr>
          <w:spacing w:val="9"/>
          <w:w w:val="95"/>
          <w:sz w:val="32"/>
        </w:rPr>
        <w:t>該署</w:t>
      </w:r>
      <w:r>
        <w:rPr>
          <w:rFonts w:ascii="細明體_HKSCS" w:eastAsia="細明體_HKSCS" w:hint="eastAsia"/>
          <w:spacing w:val="3"/>
          <w:w w:val="95"/>
          <w:sz w:val="32"/>
        </w:rPr>
        <w:t>60</w:t>
      </w:r>
      <w:r>
        <w:rPr>
          <w:spacing w:val="6"/>
          <w:w w:val="95"/>
          <w:sz w:val="32"/>
        </w:rPr>
        <w:t>公里以上，且有在出差地區住宿事實者，得檢據 核實列報住宿費，而臺北市至宜蘭縣部分地區距離已超 </w:t>
      </w:r>
      <w:r>
        <w:rPr>
          <w:spacing w:val="9"/>
          <w:w w:val="95"/>
          <w:sz w:val="32"/>
        </w:rPr>
        <w:t>過</w:t>
      </w:r>
      <w:r>
        <w:rPr>
          <w:rFonts w:ascii="細明體_HKSCS" w:eastAsia="細明體_HKSCS" w:hint="eastAsia"/>
          <w:spacing w:val="4"/>
          <w:w w:val="95"/>
          <w:sz w:val="32"/>
        </w:rPr>
        <w:t>60</w:t>
      </w:r>
      <w:r>
        <w:rPr>
          <w:spacing w:val="6"/>
          <w:w w:val="95"/>
          <w:sz w:val="32"/>
        </w:rPr>
        <w:t>公里，二者似有矛盾。該署自應於個案中視具體情 節之差異，合理決定。又上開原則所定應當日往返之地</w:t>
      </w:r>
    </w:p>
    <w:p>
      <w:pPr>
        <w:spacing w:after="0" w:line="268" w:lineRule="auto"/>
        <w:jc w:val="both"/>
        <w:rPr>
          <w:sz w:val="32"/>
        </w:rPr>
        <w:sectPr>
          <w:pgSz w:w="11910" w:h="16840"/>
          <w:pgMar w:header="0" w:footer="1017" w:top="1180" w:bottom="1200" w:left="1300" w:right="1140"/>
        </w:sectPr>
      </w:pPr>
    </w:p>
    <w:p>
      <w:pPr>
        <w:pStyle w:val="BodyText"/>
        <w:spacing w:line="268" w:lineRule="auto" w:before="15"/>
        <w:ind w:right="269"/>
      </w:pPr>
      <w:r>
        <w:rPr>
          <w:spacing w:val="6"/>
          <w:w w:val="95"/>
        </w:rPr>
        <w:t>區，是否限於當日於該單一地區有行程之情形；如係連 續期日或於其他地區尚有行程者，是否仍有該條款之適 </w:t>
      </w:r>
      <w:r>
        <w:rPr>
          <w:spacing w:val="21"/>
          <w:w w:val="95"/>
        </w:rPr>
        <w:t>用，亦不無疑義。復審人</w:t>
      </w:r>
      <w:r>
        <w:rPr>
          <w:rFonts w:ascii="細明體_HKSCS" w:eastAsia="細明體_HKSCS" w:hint="eastAsia"/>
          <w:spacing w:val="7"/>
          <w:w w:val="95"/>
        </w:rPr>
        <w:t>105</w:t>
      </w:r>
      <w:r>
        <w:rPr>
          <w:spacing w:val="24"/>
          <w:w w:val="95"/>
        </w:rPr>
        <w:t>年</w:t>
      </w:r>
      <w:r>
        <w:rPr>
          <w:rFonts w:ascii="細明體_HKSCS" w:eastAsia="細明體_HKSCS" w:hint="eastAsia"/>
          <w:spacing w:val="20"/>
          <w:w w:val="95"/>
        </w:rPr>
        <w:t>2</w:t>
      </w:r>
      <w:r>
        <w:rPr>
          <w:spacing w:val="24"/>
          <w:w w:val="95"/>
        </w:rPr>
        <w:t>月</w:t>
      </w:r>
      <w:r>
        <w:rPr>
          <w:rFonts w:ascii="細明體_HKSCS" w:eastAsia="細明體_HKSCS" w:hint="eastAsia"/>
          <w:spacing w:val="20"/>
          <w:w w:val="95"/>
        </w:rPr>
        <w:t>3</w:t>
      </w:r>
      <w:r>
        <w:rPr>
          <w:spacing w:val="24"/>
          <w:w w:val="95"/>
        </w:rPr>
        <w:t>日至</w:t>
      </w:r>
      <w:r>
        <w:rPr>
          <w:rFonts w:ascii="細明體_HKSCS" w:eastAsia="細明體_HKSCS" w:hint="eastAsia"/>
          <w:spacing w:val="20"/>
          <w:w w:val="95"/>
        </w:rPr>
        <w:t>5</w:t>
      </w:r>
      <w:r>
        <w:rPr>
          <w:spacing w:val="16"/>
          <w:w w:val="95"/>
        </w:rPr>
        <w:t>日前往宜蘭 </w:t>
      </w:r>
      <w:r>
        <w:rPr>
          <w:spacing w:val="6"/>
          <w:w w:val="95"/>
        </w:rPr>
        <w:t>縣、花蓮縣及臺東縣之督考行程，警政署未考量交通之 順路性及出差人員之勞力、時間、費用等經濟效益，而 </w:t>
      </w:r>
      <w:r>
        <w:rPr>
          <w:spacing w:val="-1"/>
        </w:rPr>
        <w:t>未核給復審人於宜蘭縣之住宿費，尚有可議之處。</w:t>
      </w:r>
      <w:r>
        <w:rPr/>
        <w:t>（</w:t>
      </w:r>
      <w:r>
        <w:rPr>
          <w:rFonts w:ascii="細明體_HKSCS" w:eastAsia="細明體_HKSCS" w:hint="eastAsia"/>
        </w:rPr>
        <w:t>105 </w:t>
      </w:r>
      <w:r>
        <w:rPr/>
        <w:t>公審決字第</w:t>
      </w:r>
      <w:r>
        <w:rPr>
          <w:rFonts w:ascii="細明體_HKSCS" w:eastAsia="細明體_HKSCS" w:hint="eastAsia"/>
        </w:rPr>
        <w:t>0247</w:t>
      </w:r>
      <w:r>
        <w:rPr/>
        <w:t>號復審決定書）</w:t>
      </w:r>
    </w:p>
    <w:p>
      <w:pPr>
        <w:pStyle w:val="ListParagraph"/>
        <w:numPr>
          <w:ilvl w:val="0"/>
          <w:numId w:val="5"/>
        </w:numPr>
        <w:tabs>
          <w:tab w:pos="1331" w:val="left" w:leader="none"/>
        </w:tabs>
        <w:spacing w:line="268" w:lineRule="auto" w:before="193" w:after="0"/>
        <w:ind w:left="1330" w:right="262" w:hanging="360"/>
        <w:jc w:val="both"/>
        <w:rPr>
          <w:sz w:val="32"/>
        </w:rPr>
      </w:pPr>
      <w:r>
        <w:rPr>
          <w:sz w:val="32"/>
        </w:rPr>
        <w:t>按臺灣高等法院檢察署（以下簡稱高檢署</w:t>
      </w:r>
      <w:r>
        <w:rPr>
          <w:spacing w:val="2"/>
          <w:sz w:val="32"/>
        </w:rPr>
        <w:t>）</w:t>
      </w:r>
      <w:r>
        <w:rPr>
          <w:rFonts w:ascii="細明體_HKSCS" w:hAnsi="細明體_HKSCS" w:eastAsia="細明體_HKSCS" w:hint="eastAsia"/>
          <w:spacing w:val="2"/>
          <w:sz w:val="32"/>
        </w:rPr>
        <w:t>98</w:t>
      </w:r>
      <w:r>
        <w:rPr>
          <w:spacing w:val="3"/>
          <w:sz w:val="32"/>
        </w:rPr>
        <w:t>年</w:t>
      </w:r>
      <w:r>
        <w:rPr>
          <w:rFonts w:ascii="細明體_HKSCS" w:hAnsi="細明體_HKSCS" w:eastAsia="細明體_HKSCS" w:hint="eastAsia"/>
          <w:sz w:val="32"/>
        </w:rPr>
        <w:t>2</w:t>
      </w:r>
      <w:r>
        <w:rPr>
          <w:sz w:val="32"/>
        </w:rPr>
        <w:t>月</w:t>
      </w:r>
      <w:r>
        <w:rPr>
          <w:rFonts w:ascii="細明體_HKSCS" w:hAnsi="細明體_HKSCS" w:eastAsia="細明體_HKSCS" w:hint="eastAsia"/>
          <w:sz w:val="32"/>
        </w:rPr>
        <w:t>18</w:t>
      </w:r>
      <w:r>
        <w:rPr>
          <w:sz w:val="32"/>
        </w:rPr>
        <w:t>日</w:t>
      </w:r>
      <w:r>
        <w:rPr>
          <w:spacing w:val="6"/>
          <w:w w:val="95"/>
          <w:sz w:val="32"/>
        </w:rPr>
        <w:t>之獎懲要點規定，該署對於所屬各檢察機關執行逮捕通 </w:t>
      </w:r>
      <w:r>
        <w:rPr>
          <w:spacing w:val="5"/>
          <w:sz w:val="32"/>
        </w:rPr>
        <w:t>緝犯績優法警，每人每半年捕獲通緝犯</w:t>
      </w:r>
      <w:r>
        <w:rPr>
          <w:rFonts w:ascii="細明體_HKSCS" w:hAnsi="細明體_HKSCS" w:eastAsia="細明體_HKSCS" w:hint="eastAsia"/>
          <w:sz w:val="32"/>
        </w:rPr>
        <w:t>5</w:t>
      </w:r>
      <w:r>
        <w:rPr>
          <w:sz w:val="32"/>
        </w:rPr>
        <w:t>人以上者，酌予</w:t>
      </w:r>
      <w:r>
        <w:rPr>
          <w:spacing w:val="9"/>
          <w:sz w:val="32"/>
        </w:rPr>
        <w:t>核發</w:t>
      </w:r>
      <w:r>
        <w:rPr>
          <w:rFonts w:ascii="細明體_HKSCS" w:hAnsi="細明體_HKSCS" w:eastAsia="細明體_HKSCS" w:hint="eastAsia"/>
          <w:spacing w:val="6"/>
          <w:sz w:val="32"/>
        </w:rPr>
        <w:t>1</w:t>
      </w:r>
      <w:r>
        <w:rPr>
          <w:spacing w:val="7"/>
          <w:sz w:val="32"/>
        </w:rPr>
        <w:t>萬元以上</w:t>
      </w:r>
      <w:r>
        <w:rPr>
          <w:rFonts w:ascii="細明體_HKSCS" w:hAnsi="細明體_HKSCS" w:eastAsia="細明體_HKSCS" w:hint="eastAsia"/>
          <w:spacing w:val="6"/>
          <w:sz w:val="32"/>
        </w:rPr>
        <w:t>8</w:t>
      </w:r>
      <w:r>
        <w:rPr>
          <w:spacing w:val="7"/>
          <w:sz w:val="32"/>
        </w:rPr>
        <w:t>萬元以下之獎品。法務部</w:t>
      </w:r>
      <w:r>
        <w:rPr>
          <w:rFonts w:ascii="細明體_HKSCS" w:hAnsi="細明體_HKSCS" w:eastAsia="細明體_HKSCS" w:hint="eastAsia"/>
          <w:spacing w:val="2"/>
          <w:sz w:val="32"/>
        </w:rPr>
        <w:t>105</w:t>
      </w:r>
      <w:r>
        <w:rPr>
          <w:spacing w:val="9"/>
          <w:sz w:val="32"/>
        </w:rPr>
        <w:t>年</w:t>
      </w:r>
      <w:r>
        <w:rPr>
          <w:rFonts w:ascii="細明體_HKSCS" w:hAnsi="細明體_HKSCS" w:eastAsia="細明體_HKSCS" w:hint="eastAsia"/>
          <w:spacing w:val="6"/>
          <w:sz w:val="32"/>
        </w:rPr>
        <w:t>4</w:t>
      </w:r>
      <w:r>
        <w:rPr>
          <w:spacing w:val="9"/>
          <w:sz w:val="32"/>
        </w:rPr>
        <w:t>月</w:t>
      </w:r>
      <w:r>
        <w:rPr>
          <w:rFonts w:ascii="細明體_HKSCS" w:hAnsi="細明體_HKSCS" w:eastAsia="細明體_HKSCS" w:hint="eastAsia"/>
          <w:spacing w:val="3"/>
          <w:sz w:val="32"/>
        </w:rPr>
        <w:t>21</w:t>
      </w:r>
      <w:r>
        <w:rPr>
          <w:sz w:val="32"/>
        </w:rPr>
        <w:t>日</w:t>
      </w:r>
      <w:r>
        <w:rPr>
          <w:spacing w:val="6"/>
          <w:w w:val="95"/>
          <w:sz w:val="32"/>
        </w:rPr>
        <w:t>訂定之新獎懲要點則規定，各級法院檢察署法警執行逮 </w:t>
      </w:r>
      <w:r>
        <w:rPr>
          <w:spacing w:val="7"/>
          <w:w w:val="95"/>
          <w:sz w:val="32"/>
        </w:rPr>
        <w:t>捕通緝犯而績效優良者，得按每人每</w:t>
      </w:r>
      <w:r>
        <w:rPr>
          <w:rFonts w:ascii="細明體_HKSCS" w:hAnsi="細明體_HKSCS" w:eastAsia="細明體_HKSCS" w:hint="eastAsia"/>
          <w:spacing w:val="6"/>
          <w:w w:val="95"/>
          <w:sz w:val="32"/>
        </w:rPr>
        <w:t>6</w:t>
      </w:r>
      <w:r>
        <w:rPr>
          <w:spacing w:val="7"/>
          <w:w w:val="95"/>
          <w:sz w:val="32"/>
        </w:rPr>
        <w:t>個月，逮捕</w:t>
      </w:r>
      <w:r>
        <w:rPr>
          <w:rFonts w:ascii="細明體_HKSCS" w:hAnsi="細明體_HKSCS" w:eastAsia="細明體_HKSCS" w:hint="eastAsia"/>
          <w:spacing w:val="8"/>
          <w:w w:val="95"/>
          <w:sz w:val="32"/>
        </w:rPr>
        <w:t>5</w:t>
      </w:r>
      <w:r>
        <w:rPr>
          <w:spacing w:val="7"/>
          <w:w w:val="95"/>
          <w:sz w:val="32"/>
        </w:rPr>
        <w:t>人以 </w:t>
      </w:r>
      <w:r>
        <w:rPr>
          <w:spacing w:val="9"/>
          <w:sz w:val="32"/>
        </w:rPr>
        <w:t>上者，按其成績計算名次，酌予核發</w:t>
      </w:r>
      <w:r>
        <w:rPr>
          <w:rFonts w:ascii="細明體_HKSCS" w:hAnsi="細明體_HKSCS" w:eastAsia="細明體_HKSCS" w:hint="eastAsia"/>
          <w:sz w:val="32"/>
        </w:rPr>
        <w:t>3,000</w:t>
      </w:r>
      <w:r>
        <w:rPr>
          <w:spacing w:val="9"/>
          <w:sz w:val="32"/>
        </w:rPr>
        <w:t>元以上</w:t>
      </w:r>
      <w:r>
        <w:rPr>
          <w:rFonts w:ascii="細明體_HKSCS" w:hAnsi="細明體_HKSCS" w:eastAsia="細明體_HKSCS" w:hint="eastAsia"/>
          <w:sz w:val="32"/>
        </w:rPr>
        <w:t>5,000 </w:t>
      </w:r>
      <w:r>
        <w:rPr>
          <w:spacing w:val="7"/>
          <w:w w:val="95"/>
          <w:sz w:val="32"/>
        </w:rPr>
        <w:t>元以下之獎品。次按法務部代表</w:t>
      </w:r>
      <w:r>
        <w:rPr>
          <w:rFonts w:ascii="細明體_HKSCS" w:hAnsi="細明體_HKSCS" w:eastAsia="細明體_HKSCS" w:hint="eastAsia"/>
          <w:spacing w:val="2"/>
          <w:w w:val="95"/>
          <w:sz w:val="32"/>
        </w:rPr>
        <w:t>105</w:t>
      </w:r>
      <w:r>
        <w:rPr>
          <w:spacing w:val="9"/>
          <w:w w:val="95"/>
          <w:sz w:val="32"/>
        </w:rPr>
        <w:t>年</w:t>
      </w:r>
      <w:r>
        <w:rPr>
          <w:rFonts w:ascii="細明體_HKSCS" w:hAnsi="細明體_HKSCS" w:eastAsia="細明體_HKSCS" w:hint="eastAsia"/>
          <w:spacing w:val="3"/>
          <w:w w:val="95"/>
          <w:sz w:val="32"/>
        </w:rPr>
        <w:t>11</w:t>
      </w:r>
      <w:r>
        <w:rPr>
          <w:spacing w:val="9"/>
          <w:w w:val="95"/>
          <w:sz w:val="32"/>
        </w:rPr>
        <w:t>月</w:t>
      </w:r>
      <w:r>
        <w:rPr>
          <w:rFonts w:ascii="細明體_HKSCS" w:hAnsi="細明體_HKSCS" w:eastAsia="細明體_HKSCS" w:hint="eastAsia"/>
          <w:spacing w:val="8"/>
          <w:w w:val="95"/>
          <w:sz w:val="32"/>
        </w:rPr>
        <w:t>7</w:t>
      </w:r>
      <w:r>
        <w:rPr>
          <w:spacing w:val="7"/>
          <w:w w:val="95"/>
          <w:sz w:val="32"/>
        </w:rPr>
        <w:t>日到會陳述 </w:t>
      </w:r>
      <w:r>
        <w:rPr>
          <w:spacing w:val="22"/>
          <w:sz w:val="32"/>
        </w:rPr>
        <w:t>意見時表示略以，該部</w:t>
      </w:r>
      <w:r>
        <w:rPr>
          <w:rFonts w:ascii="細明體_HKSCS" w:hAnsi="細明體_HKSCS" w:eastAsia="細明體_HKSCS" w:hint="eastAsia"/>
          <w:spacing w:val="8"/>
          <w:sz w:val="32"/>
        </w:rPr>
        <w:t>105</w:t>
      </w:r>
      <w:r>
        <w:rPr>
          <w:spacing w:val="24"/>
          <w:sz w:val="32"/>
        </w:rPr>
        <w:t>年</w:t>
      </w:r>
      <w:r>
        <w:rPr>
          <w:rFonts w:ascii="細明體_HKSCS" w:hAnsi="細明體_HKSCS" w:eastAsia="細明體_HKSCS" w:hint="eastAsia"/>
          <w:spacing w:val="22"/>
          <w:sz w:val="32"/>
        </w:rPr>
        <w:t>4</w:t>
      </w:r>
      <w:r>
        <w:rPr>
          <w:spacing w:val="21"/>
          <w:sz w:val="32"/>
        </w:rPr>
        <w:t>月</w:t>
      </w:r>
      <w:r>
        <w:rPr>
          <w:rFonts w:ascii="細明體_HKSCS" w:hAnsi="細明體_HKSCS" w:eastAsia="細明體_HKSCS" w:hint="eastAsia"/>
          <w:spacing w:val="11"/>
          <w:sz w:val="32"/>
        </w:rPr>
        <w:t>21</w:t>
      </w:r>
      <w:r>
        <w:rPr>
          <w:spacing w:val="18"/>
          <w:sz w:val="32"/>
        </w:rPr>
        <w:t>日函頒之新獎勵要</w:t>
      </w:r>
      <w:r>
        <w:rPr>
          <w:spacing w:val="6"/>
          <w:w w:val="95"/>
          <w:sz w:val="32"/>
        </w:rPr>
        <w:t>點，因無溯及適用之特別規定，自不適用於新獎勵要點 生效前已終結之案件。查復審人係臺灣○○地方法院檢 </w:t>
      </w:r>
      <w:r>
        <w:rPr>
          <w:spacing w:val="6"/>
          <w:sz w:val="32"/>
        </w:rPr>
        <w:t>察署（以下簡稱○○地檢署）</w:t>
      </w:r>
      <w:r>
        <w:rPr>
          <w:spacing w:val="5"/>
          <w:sz w:val="32"/>
        </w:rPr>
        <w:t>法警，其於</w:t>
      </w:r>
      <w:r>
        <w:rPr>
          <w:rFonts w:ascii="細明體_HKSCS" w:hAnsi="細明體_HKSCS" w:eastAsia="細明體_HKSCS" w:hint="eastAsia"/>
          <w:sz w:val="32"/>
        </w:rPr>
        <w:t>104</w:t>
      </w:r>
      <w:r>
        <w:rPr>
          <w:sz w:val="32"/>
        </w:rPr>
        <w:t>年下半年度</w:t>
      </w:r>
      <w:r>
        <w:rPr>
          <w:spacing w:val="7"/>
          <w:w w:val="95"/>
          <w:sz w:val="32"/>
        </w:rPr>
        <w:t>逮捕通緝犯</w:t>
      </w:r>
      <w:r>
        <w:rPr>
          <w:rFonts w:ascii="細明體_HKSCS" w:hAnsi="細明體_HKSCS" w:eastAsia="細明體_HKSCS" w:hint="eastAsia"/>
          <w:spacing w:val="6"/>
          <w:w w:val="95"/>
          <w:sz w:val="32"/>
        </w:rPr>
        <w:t>7</w:t>
      </w:r>
      <w:r>
        <w:rPr>
          <w:spacing w:val="7"/>
          <w:w w:val="95"/>
          <w:sz w:val="32"/>
        </w:rPr>
        <w:t>名，該署於</w:t>
      </w:r>
      <w:r>
        <w:rPr>
          <w:rFonts w:ascii="細明體_HKSCS" w:hAnsi="細明體_HKSCS" w:eastAsia="細明體_HKSCS" w:hint="eastAsia"/>
          <w:spacing w:val="2"/>
          <w:w w:val="95"/>
          <w:sz w:val="32"/>
        </w:rPr>
        <w:t>105</w:t>
      </w:r>
      <w:r>
        <w:rPr>
          <w:spacing w:val="10"/>
          <w:w w:val="95"/>
          <w:sz w:val="32"/>
        </w:rPr>
        <w:t>年</w:t>
      </w:r>
      <w:r>
        <w:rPr>
          <w:rFonts w:ascii="細明體_HKSCS" w:hAnsi="細明體_HKSCS" w:eastAsia="細明體_HKSCS" w:hint="eastAsia"/>
          <w:spacing w:val="6"/>
          <w:w w:val="95"/>
          <w:sz w:val="32"/>
        </w:rPr>
        <w:t>1</w:t>
      </w:r>
      <w:r>
        <w:rPr>
          <w:spacing w:val="9"/>
          <w:w w:val="95"/>
          <w:sz w:val="32"/>
        </w:rPr>
        <w:t>月</w:t>
      </w:r>
      <w:r>
        <w:rPr>
          <w:rFonts w:ascii="細明體_HKSCS" w:hAnsi="細明體_HKSCS" w:eastAsia="細明體_HKSCS" w:hint="eastAsia"/>
          <w:spacing w:val="8"/>
          <w:w w:val="95"/>
          <w:sz w:val="32"/>
        </w:rPr>
        <w:t>5</w:t>
      </w:r>
      <w:r>
        <w:rPr>
          <w:spacing w:val="6"/>
          <w:w w:val="95"/>
          <w:sz w:val="32"/>
        </w:rPr>
        <w:t>日函報予高檢署辦理 </w:t>
      </w:r>
      <w:r>
        <w:rPr>
          <w:spacing w:val="5"/>
          <w:sz w:val="32"/>
        </w:rPr>
        <w:t>獎勵，經高檢署決議依新獎懲要點核予復審人</w:t>
      </w:r>
      <w:r>
        <w:rPr>
          <w:rFonts w:ascii="細明體_HKSCS" w:hAnsi="細明體_HKSCS" w:eastAsia="細明體_HKSCS" w:hint="eastAsia"/>
          <w:sz w:val="32"/>
        </w:rPr>
        <w:t>5,000</w:t>
      </w:r>
      <w:r>
        <w:rPr>
          <w:sz w:val="32"/>
        </w:rPr>
        <w:t>元之</w:t>
      </w:r>
      <w:r>
        <w:rPr>
          <w:spacing w:val="6"/>
          <w:w w:val="95"/>
          <w:sz w:val="32"/>
        </w:rPr>
        <w:t>獎品。惟○○地檢署於新獎勵要點施行前，已依舊獎勵 要點相關規定報請高檢署敘獎，則舊獎懲要點所規範之 事實於新獎勵要點施行前已屬終結，並非跨越新、舊法 規施行時期，自無新獎懲要點之適用。高檢署依新獎懲 </w:t>
      </w:r>
      <w:r>
        <w:rPr>
          <w:spacing w:val="5"/>
          <w:sz w:val="32"/>
        </w:rPr>
        <w:t>要點核予復審人</w:t>
      </w:r>
      <w:r>
        <w:rPr>
          <w:rFonts w:ascii="細明體_HKSCS" w:hAnsi="細明體_HKSCS" w:eastAsia="細明體_HKSCS" w:hint="eastAsia"/>
          <w:sz w:val="32"/>
        </w:rPr>
        <w:t>5,000</w:t>
      </w:r>
      <w:r>
        <w:rPr>
          <w:spacing w:val="-14"/>
          <w:sz w:val="32"/>
        </w:rPr>
        <w:t>元之獎品，於法即有未合。</w:t>
      </w:r>
      <w:r>
        <w:rPr>
          <w:sz w:val="32"/>
        </w:rPr>
        <w:t>（</w:t>
      </w:r>
      <w:r>
        <w:rPr>
          <w:rFonts w:ascii="細明體_HKSCS" w:hAnsi="細明體_HKSCS" w:eastAsia="細明體_HKSCS" w:hint="eastAsia"/>
          <w:sz w:val="32"/>
        </w:rPr>
        <w:t>105</w:t>
      </w:r>
      <w:r>
        <w:rPr>
          <w:sz w:val="32"/>
        </w:rPr>
        <w:t>公審決字第</w:t>
      </w:r>
      <w:r>
        <w:rPr>
          <w:rFonts w:ascii="細明體_HKSCS" w:hAnsi="細明體_HKSCS" w:eastAsia="細明體_HKSCS" w:hint="eastAsia"/>
          <w:sz w:val="32"/>
        </w:rPr>
        <w:t>0370</w:t>
      </w:r>
      <w:r>
        <w:rPr>
          <w:sz w:val="32"/>
        </w:rPr>
        <w:t>號復審決定書）</w:t>
      </w:r>
    </w:p>
    <w:p>
      <w:pPr>
        <w:pStyle w:val="Heading1"/>
        <w:spacing w:before="69"/>
      </w:pPr>
      <w:r>
        <w:rPr/>
        <w:t>（三） 原處分機關欠缺事務權限︰</w:t>
      </w:r>
    </w:p>
    <w:p>
      <w:pPr>
        <w:spacing w:after="0"/>
        <w:sectPr>
          <w:pgSz w:w="11910" w:h="16840"/>
          <w:pgMar w:header="0" w:footer="1017" w:top="1180" w:bottom="1200" w:left="1300" w:right="1140"/>
        </w:sectPr>
      </w:pPr>
    </w:p>
    <w:p>
      <w:pPr>
        <w:pStyle w:val="ListParagraph"/>
        <w:numPr>
          <w:ilvl w:val="0"/>
          <w:numId w:val="6"/>
        </w:numPr>
        <w:tabs>
          <w:tab w:pos="1331" w:val="left" w:leader="none"/>
        </w:tabs>
        <w:spacing w:line="268" w:lineRule="auto" w:before="15" w:after="0"/>
        <w:ind w:left="1330" w:right="262" w:hanging="360"/>
        <w:jc w:val="both"/>
        <w:rPr>
          <w:sz w:val="32"/>
        </w:rPr>
      </w:pPr>
      <w:r>
        <w:rPr>
          <w:spacing w:val="7"/>
          <w:w w:val="95"/>
          <w:sz w:val="32"/>
        </w:rPr>
        <w:t>依警察人員人事條例第</w:t>
      </w:r>
      <w:r>
        <w:rPr>
          <w:rFonts w:ascii="細明體_HKSCS" w:hAnsi="細明體_HKSCS" w:eastAsia="細明體_HKSCS" w:hint="eastAsia"/>
          <w:spacing w:val="3"/>
          <w:w w:val="95"/>
          <w:sz w:val="32"/>
        </w:rPr>
        <w:t>30</w:t>
      </w:r>
      <w:r>
        <w:rPr>
          <w:spacing w:val="8"/>
          <w:w w:val="95"/>
          <w:sz w:val="32"/>
        </w:rPr>
        <w:t>條第</w:t>
      </w:r>
      <w:r>
        <w:rPr>
          <w:rFonts w:ascii="細明體_HKSCS" w:hAnsi="細明體_HKSCS" w:eastAsia="細明體_HKSCS" w:hint="eastAsia"/>
          <w:spacing w:val="6"/>
          <w:w w:val="95"/>
          <w:sz w:val="32"/>
        </w:rPr>
        <w:t>1</w:t>
      </w:r>
      <w:r>
        <w:rPr>
          <w:spacing w:val="8"/>
          <w:w w:val="95"/>
          <w:sz w:val="32"/>
        </w:rPr>
        <w:t>項、第</w:t>
      </w:r>
      <w:r>
        <w:rPr>
          <w:rFonts w:ascii="細明體_HKSCS" w:hAnsi="細明體_HKSCS" w:eastAsia="細明體_HKSCS" w:hint="eastAsia"/>
          <w:spacing w:val="8"/>
          <w:w w:val="95"/>
          <w:sz w:val="32"/>
        </w:rPr>
        <w:t>4</w:t>
      </w:r>
      <w:r>
        <w:rPr>
          <w:spacing w:val="6"/>
          <w:w w:val="95"/>
          <w:sz w:val="32"/>
        </w:rPr>
        <w:t>項及同條例施行 </w:t>
      </w:r>
      <w:r>
        <w:rPr>
          <w:spacing w:val="6"/>
          <w:sz w:val="32"/>
        </w:rPr>
        <w:t>細則第</w:t>
      </w:r>
      <w:r>
        <w:rPr>
          <w:rFonts w:ascii="細明體_HKSCS" w:hAnsi="細明體_HKSCS" w:eastAsia="細明體_HKSCS" w:hint="eastAsia"/>
          <w:spacing w:val="6"/>
          <w:sz w:val="32"/>
        </w:rPr>
        <w:t>14</w:t>
      </w:r>
      <w:r>
        <w:rPr>
          <w:spacing w:val="4"/>
          <w:sz w:val="32"/>
        </w:rPr>
        <w:t>條第</w:t>
      </w:r>
      <w:r>
        <w:rPr>
          <w:rFonts w:ascii="細明體_HKSCS" w:hAnsi="細明體_HKSCS" w:eastAsia="細明體_HKSCS" w:hint="eastAsia"/>
          <w:sz w:val="32"/>
        </w:rPr>
        <w:t>2</w:t>
      </w:r>
      <w:r>
        <w:rPr>
          <w:sz w:val="32"/>
        </w:rPr>
        <w:t>項規定，消防機關列警察官等之停職人員</w:t>
      </w:r>
      <w:r>
        <w:rPr>
          <w:spacing w:val="6"/>
          <w:w w:val="95"/>
          <w:sz w:val="32"/>
        </w:rPr>
        <w:t>申請復職，應由遴任機關或所授權之機關、學校核定。 復審人經○○市政府核派○○市政府消防局警佐三階至 警佐一階隊員，可認○○市政府為其經遴任現職之權責 機關。○○市政府消防局於未經○○市政府授權，欠缺 復職之同意權限下，逕否准復審人復職之申請，於法尚 </w:t>
      </w:r>
      <w:r>
        <w:rPr>
          <w:spacing w:val="5"/>
          <w:w w:val="95"/>
          <w:sz w:val="32"/>
        </w:rPr>
        <w:t>有未合，應予撤銷；該局應將復審人之申請，移由○○ </w:t>
      </w:r>
      <w:r>
        <w:rPr>
          <w:spacing w:val="-20"/>
          <w:sz w:val="32"/>
        </w:rPr>
        <w:t>市政府依法辦理。</w:t>
      </w:r>
      <w:r>
        <w:rPr>
          <w:sz w:val="32"/>
        </w:rPr>
        <w:t>（</w:t>
      </w:r>
      <w:r>
        <w:rPr>
          <w:rFonts w:ascii="細明體_HKSCS" w:hAnsi="細明體_HKSCS" w:eastAsia="細明體_HKSCS" w:hint="eastAsia"/>
          <w:sz w:val="32"/>
        </w:rPr>
        <w:t>105</w:t>
      </w:r>
      <w:r>
        <w:rPr>
          <w:sz w:val="32"/>
        </w:rPr>
        <w:t>公審決字第</w:t>
      </w:r>
      <w:r>
        <w:rPr>
          <w:rFonts w:ascii="細明體_HKSCS" w:hAnsi="細明體_HKSCS" w:eastAsia="細明體_HKSCS" w:hint="eastAsia"/>
          <w:sz w:val="32"/>
        </w:rPr>
        <w:t>0175</w:t>
      </w:r>
      <w:r>
        <w:rPr>
          <w:rFonts w:ascii="細明體_HKSCS" w:hAnsi="細明體_HKSCS" w:eastAsia="細明體_HKSCS" w:hint="eastAsia"/>
          <w:spacing w:val="-9"/>
          <w:sz w:val="32"/>
        </w:rPr>
        <w:t> </w:t>
      </w:r>
      <w:r>
        <w:rPr>
          <w:sz w:val="32"/>
        </w:rPr>
        <w:t>號復審決定書）</w:t>
      </w:r>
    </w:p>
    <w:p>
      <w:pPr>
        <w:pStyle w:val="ListParagraph"/>
        <w:numPr>
          <w:ilvl w:val="0"/>
          <w:numId w:val="6"/>
        </w:numPr>
        <w:tabs>
          <w:tab w:pos="1331" w:val="left" w:leader="none"/>
        </w:tabs>
        <w:spacing w:line="268" w:lineRule="auto" w:before="189" w:after="0"/>
        <w:ind w:left="1330" w:right="262" w:hanging="360"/>
        <w:jc w:val="both"/>
        <w:rPr>
          <w:sz w:val="32"/>
        </w:rPr>
      </w:pPr>
      <w:r>
        <w:rPr>
          <w:spacing w:val="7"/>
          <w:sz w:val="32"/>
        </w:rPr>
        <w:t>依交通部臺灣鐵路管理局（</w:t>
      </w:r>
      <w:r>
        <w:rPr>
          <w:spacing w:val="8"/>
          <w:sz w:val="32"/>
        </w:rPr>
        <w:t>以下簡稱臺鐵</w:t>
      </w:r>
      <w:r>
        <w:rPr>
          <w:spacing w:val="3"/>
          <w:sz w:val="32"/>
        </w:rPr>
        <w:t>）</w:t>
      </w:r>
      <w:r>
        <w:rPr>
          <w:rFonts w:ascii="細明體_HKSCS" w:hAnsi="細明體_HKSCS" w:eastAsia="細明體_HKSCS" w:hint="eastAsia"/>
          <w:spacing w:val="3"/>
          <w:sz w:val="32"/>
        </w:rPr>
        <w:t>104</w:t>
      </w:r>
      <w:r>
        <w:rPr>
          <w:rFonts w:ascii="細明體_HKSCS" w:hAnsi="細明體_HKSCS" w:eastAsia="細明體_HKSCS" w:hint="eastAsia"/>
          <w:spacing w:val="-8"/>
          <w:sz w:val="32"/>
        </w:rPr>
        <w:t> </w:t>
      </w:r>
      <w:r>
        <w:rPr>
          <w:spacing w:val="9"/>
          <w:sz w:val="32"/>
        </w:rPr>
        <w:t>年度法</w:t>
      </w:r>
      <w:r>
        <w:rPr>
          <w:spacing w:val="6"/>
          <w:w w:val="95"/>
          <w:sz w:val="32"/>
        </w:rPr>
        <w:t>定預算內容，所屬人員訓練費用係由該局所編列員工訓 練費用支應。是臺鐵所屬人員訓練費用之追繳，或溢繳 款項之返還，權責均屬該局。本件臺鐵○○機務段並無 臺鐵之授權，於欠缺管轄權限下，逕向復審人追繳訓練 </w:t>
      </w:r>
      <w:r>
        <w:rPr>
          <w:spacing w:val="-22"/>
          <w:sz w:val="32"/>
        </w:rPr>
        <w:t>費用 </w:t>
      </w:r>
      <w:r>
        <w:rPr>
          <w:rFonts w:ascii="細明體_HKSCS" w:hAnsi="細明體_HKSCS" w:eastAsia="細明體_HKSCS" w:hint="eastAsia"/>
          <w:sz w:val="32"/>
        </w:rPr>
        <w:t>10</w:t>
      </w:r>
      <w:r>
        <w:rPr>
          <w:rFonts w:ascii="細明體_HKSCS" w:hAnsi="細明體_HKSCS" w:eastAsia="細明體_HKSCS" w:hint="eastAsia"/>
          <w:spacing w:val="-81"/>
          <w:sz w:val="32"/>
        </w:rPr>
        <w:t> </w:t>
      </w:r>
      <w:r>
        <w:rPr>
          <w:spacing w:val="-38"/>
          <w:sz w:val="32"/>
        </w:rPr>
        <w:t>萬 </w:t>
      </w:r>
      <w:r>
        <w:rPr>
          <w:rFonts w:ascii="細明體_HKSCS" w:hAnsi="細明體_HKSCS" w:eastAsia="細明體_HKSCS" w:hint="eastAsia"/>
          <w:sz w:val="32"/>
        </w:rPr>
        <w:t>8,341</w:t>
      </w:r>
      <w:r>
        <w:rPr>
          <w:rFonts w:ascii="細明體_HKSCS" w:hAnsi="細明體_HKSCS" w:eastAsia="細明體_HKSCS" w:hint="eastAsia"/>
          <w:spacing w:val="-80"/>
          <w:sz w:val="32"/>
        </w:rPr>
        <w:t> </w:t>
      </w:r>
      <w:r>
        <w:rPr>
          <w:spacing w:val="-5"/>
          <w:sz w:val="32"/>
        </w:rPr>
        <w:t>元，及否准返還復審人所繳該費用 </w:t>
      </w:r>
      <w:r>
        <w:rPr>
          <w:rFonts w:ascii="細明體_HKSCS" w:hAnsi="細明體_HKSCS" w:eastAsia="細明體_HKSCS" w:hint="eastAsia"/>
          <w:sz w:val="32"/>
        </w:rPr>
        <w:t>8</w:t>
      </w:r>
      <w:r>
        <w:rPr>
          <w:rFonts w:ascii="細明體_HKSCS" w:hAnsi="細明體_HKSCS" w:eastAsia="細明體_HKSCS" w:hint="eastAsia"/>
          <w:spacing w:val="-78"/>
          <w:sz w:val="32"/>
        </w:rPr>
        <w:t> </w:t>
      </w:r>
      <w:r>
        <w:rPr>
          <w:sz w:val="32"/>
        </w:rPr>
        <w:t>萬</w:t>
      </w:r>
    </w:p>
    <w:p>
      <w:pPr>
        <w:pStyle w:val="BodyText"/>
        <w:spacing w:line="268" w:lineRule="auto"/>
        <w:ind w:right="273"/>
        <w:jc w:val="left"/>
      </w:pPr>
      <w:r>
        <w:rPr>
          <w:rFonts w:ascii="細明體_HKSCS" w:eastAsia="細明體_HKSCS" w:hint="eastAsia"/>
        </w:rPr>
        <w:t>3,088 </w:t>
      </w:r>
      <w:r>
        <w:rPr/>
        <w:t>元部分，於法均有未合。（</w:t>
      </w:r>
      <w:r>
        <w:rPr>
          <w:rFonts w:ascii="細明體_HKSCS" w:eastAsia="細明體_HKSCS" w:hint="eastAsia"/>
        </w:rPr>
        <w:t>105 </w:t>
      </w:r>
      <w:r>
        <w:rPr/>
        <w:t>公審決字第 </w:t>
      </w:r>
      <w:r>
        <w:rPr>
          <w:rFonts w:ascii="細明體_HKSCS" w:eastAsia="細明體_HKSCS" w:hint="eastAsia"/>
        </w:rPr>
        <w:t>0198 </w:t>
      </w:r>
      <w:r>
        <w:rPr/>
        <w:t>號復審決定書）</w:t>
      </w:r>
    </w:p>
    <w:p>
      <w:pPr>
        <w:pStyle w:val="BodyText"/>
        <w:spacing w:line="268" w:lineRule="auto"/>
        <w:ind w:right="272" w:hanging="360"/>
      </w:pPr>
      <w:r>
        <w:rPr>
          <w:rFonts w:ascii="細明體_HKSCS" w:eastAsia="細明體_HKSCS" w:hint="eastAsia"/>
        </w:rPr>
        <w:t>3</w:t>
      </w:r>
      <w:r>
        <w:rPr>
          <w:rFonts w:ascii="細明體_HKSCS" w:eastAsia="細明體_HKSCS" w:hint="eastAsia"/>
          <w:spacing w:val="-61"/>
        </w:rPr>
        <w:t>. </w:t>
      </w:r>
      <w:r>
        <w:rPr>
          <w:rFonts w:ascii="細明體_HKSCS" w:eastAsia="細明體_HKSCS" w:hint="eastAsia"/>
        </w:rPr>
        <w:t>105</w:t>
      </w:r>
      <w:r>
        <w:rPr>
          <w:rFonts w:ascii="細明體_HKSCS" w:eastAsia="細明體_HKSCS" w:hint="eastAsia"/>
          <w:spacing w:val="-15"/>
        </w:rPr>
        <w:t> </w:t>
      </w:r>
      <w:r>
        <w:rPr>
          <w:spacing w:val="-9"/>
        </w:rPr>
        <w:t>年 </w:t>
      </w:r>
      <w:r>
        <w:rPr>
          <w:rFonts w:ascii="細明體_HKSCS" w:eastAsia="細明體_HKSCS" w:hint="eastAsia"/>
        </w:rPr>
        <w:t>5</w:t>
      </w:r>
      <w:r>
        <w:rPr>
          <w:rFonts w:ascii="細明體_HKSCS" w:eastAsia="細明體_HKSCS" w:hint="eastAsia"/>
          <w:spacing w:val="-15"/>
        </w:rPr>
        <w:t> </w:t>
      </w:r>
      <w:r>
        <w:rPr>
          <w:spacing w:val="-8"/>
        </w:rPr>
        <w:t>月 </w:t>
      </w:r>
      <w:r>
        <w:rPr>
          <w:rFonts w:ascii="細明體_HKSCS" w:eastAsia="細明體_HKSCS" w:hint="eastAsia"/>
        </w:rPr>
        <w:t>13</w:t>
      </w:r>
      <w:r>
        <w:rPr>
          <w:rFonts w:ascii="細明體_HKSCS" w:eastAsia="細明體_HKSCS" w:hint="eastAsia"/>
          <w:spacing w:val="-18"/>
        </w:rPr>
        <w:t> </w:t>
      </w:r>
      <w:r>
        <w:rPr>
          <w:spacing w:val="-2"/>
        </w:rPr>
        <w:t>日修正施行之退休法第 </w:t>
      </w:r>
      <w:r>
        <w:rPr>
          <w:rFonts w:ascii="細明體_HKSCS" w:eastAsia="細明體_HKSCS" w:hint="eastAsia"/>
        </w:rPr>
        <w:t>23</w:t>
      </w:r>
      <w:r>
        <w:rPr>
          <w:rFonts w:ascii="細明體_HKSCS" w:eastAsia="細明體_HKSCS" w:hint="eastAsia"/>
          <w:spacing w:val="-19"/>
        </w:rPr>
        <w:t> </w:t>
      </w:r>
      <w:r>
        <w:rPr>
          <w:spacing w:val="-6"/>
        </w:rPr>
        <w:t>條第 </w:t>
      </w:r>
      <w:r>
        <w:rPr>
          <w:rFonts w:ascii="細明體_HKSCS" w:eastAsia="細明體_HKSCS" w:hint="eastAsia"/>
        </w:rPr>
        <w:t>1</w:t>
      </w:r>
      <w:r>
        <w:rPr>
          <w:rFonts w:ascii="細明體_HKSCS" w:eastAsia="細明體_HKSCS" w:hint="eastAsia"/>
          <w:spacing w:val="-16"/>
        </w:rPr>
        <w:t> </w:t>
      </w:r>
      <w:r>
        <w:rPr/>
        <w:t>項規</w:t>
      </w:r>
      <w:r>
        <w:rPr>
          <w:spacing w:val="6"/>
          <w:w w:val="95"/>
        </w:rPr>
        <w:t>定，擇領或兼領月退休金之人員，犯貪污治罪條例或刑 法瀆職罪章之罪，經判刑確定而入監服刑期間或褫奪公 權而尚未復權者，停止領受月退休金之權利，至原因消 滅時恢復。復審人因涉犯貪污治罪條例等案件，於入監 </w:t>
      </w:r>
      <w:r>
        <w:rPr>
          <w:spacing w:val="3"/>
        </w:rPr>
        <w:t>服刑期間，仍繼續支領 </w:t>
      </w:r>
      <w:r>
        <w:rPr>
          <w:rFonts w:ascii="細明體_HKSCS" w:eastAsia="細明體_HKSCS" w:hint="eastAsia"/>
        </w:rPr>
        <w:t>105</w:t>
      </w:r>
      <w:r>
        <w:rPr>
          <w:rFonts w:ascii="細明體_HKSCS" w:eastAsia="細明體_HKSCS" w:hint="eastAsia"/>
          <w:spacing w:val="-30"/>
        </w:rPr>
        <w:t> </w:t>
      </w:r>
      <w:r>
        <w:rPr/>
        <w:t>年度上半年（</w:t>
      </w:r>
      <w:r>
        <w:rPr>
          <w:rFonts w:ascii="細明體_HKSCS" w:eastAsia="細明體_HKSCS" w:hint="eastAsia"/>
        </w:rPr>
        <w:t>1</w:t>
      </w:r>
      <w:r>
        <w:rPr>
          <w:rFonts w:ascii="細明體_HKSCS" w:eastAsia="細明體_HKSCS" w:hint="eastAsia"/>
          <w:spacing w:val="-31"/>
        </w:rPr>
        <w:t> </w:t>
      </w:r>
      <w:r>
        <w:rPr>
          <w:spacing w:val="-10"/>
        </w:rPr>
        <w:t>月至 </w:t>
      </w:r>
      <w:r>
        <w:rPr>
          <w:rFonts w:ascii="細明體_HKSCS" w:eastAsia="細明體_HKSCS" w:hint="eastAsia"/>
        </w:rPr>
        <w:t>6</w:t>
      </w:r>
      <w:r>
        <w:rPr>
          <w:rFonts w:ascii="細明體_HKSCS" w:eastAsia="細明體_HKSCS" w:hint="eastAsia"/>
          <w:spacing w:val="-28"/>
        </w:rPr>
        <w:t> </w:t>
      </w:r>
      <w:r>
        <w:rPr/>
        <w:t>月</w:t>
      </w:r>
      <w:r>
        <w:rPr>
          <w:spacing w:val="-12"/>
        </w:rPr>
        <w:t>） </w:t>
      </w:r>
      <w:r>
        <w:rPr>
          <w:spacing w:val="20"/>
        </w:rPr>
        <w:t>退休金，於法固有未合。惟退休人員如有溢領月退休</w:t>
      </w:r>
      <w:r>
        <w:rPr>
          <w:spacing w:val="6"/>
          <w:w w:val="95"/>
        </w:rPr>
        <w:t>金，應由支給機關追繳；而舊制年資月退休金係由各級 </w:t>
      </w:r>
      <w:r>
        <w:rPr>
          <w:spacing w:val="20"/>
        </w:rPr>
        <w:t>政府編列預算支給，其最後服務機關為中央及所屬機</w:t>
      </w:r>
      <w:r>
        <w:rPr>
          <w:spacing w:val="6"/>
          <w:w w:val="95"/>
        </w:rPr>
        <w:t>關、學校者，由支給機關銓敘部追繳；最後服務機關為 </w:t>
      </w:r>
      <w:r>
        <w:rPr>
          <w:spacing w:val="23"/>
        </w:rPr>
        <w:t>縣（市）</w:t>
      </w:r>
      <w:r>
        <w:rPr>
          <w:spacing w:val="21"/>
        </w:rPr>
        <w:t>政府及所屬機關、學校者，由縣</w:t>
      </w:r>
      <w:r>
        <w:rPr>
          <w:spacing w:val="23"/>
        </w:rPr>
        <w:t>（市</w:t>
      </w:r>
      <w:r>
        <w:rPr>
          <w:spacing w:val="21"/>
        </w:rPr>
        <w:t>）</w:t>
      </w:r>
      <w:r>
        <w:rPr>
          <w:spacing w:val="10"/>
        </w:rPr>
        <w:t>庫支</w:t>
      </w:r>
    </w:p>
    <w:p>
      <w:pPr>
        <w:spacing w:after="0" w:line="268" w:lineRule="auto"/>
        <w:sectPr>
          <w:pgSz w:w="11910" w:h="16840"/>
          <w:pgMar w:header="0" w:footer="1017" w:top="1180" w:bottom="1200" w:left="1300" w:right="1140"/>
        </w:sectPr>
      </w:pPr>
    </w:p>
    <w:p>
      <w:pPr>
        <w:pStyle w:val="BodyText"/>
        <w:spacing w:line="268" w:lineRule="auto" w:before="15"/>
        <w:ind w:right="275"/>
      </w:pPr>
      <w:r>
        <w:rPr>
          <w:spacing w:val="8"/>
          <w:w w:val="95"/>
        </w:rPr>
        <w:t>出，以縣</w:t>
      </w:r>
      <w:r>
        <w:rPr>
          <w:spacing w:val="9"/>
          <w:w w:val="95"/>
        </w:rPr>
        <w:t>（</w:t>
      </w:r>
      <w:r>
        <w:rPr>
          <w:spacing w:val="7"/>
          <w:w w:val="95"/>
        </w:rPr>
        <w:t>市）</w:t>
      </w:r>
      <w:r>
        <w:rPr>
          <w:spacing w:val="6"/>
          <w:w w:val="95"/>
        </w:rPr>
        <w:t>政府為支給機關並為追繳。茲以復審人 最後服務機關分別為臺灣○○法院及○○市警察局，其 月退休金之支給機關應為銓敘部及○○市政府。服務機 關欠缺權限，逕向復審人追繳所溢領之月退休金，即有 </w:t>
      </w:r>
      <w:r>
        <w:rPr>
          <w:spacing w:val="-49"/>
        </w:rPr>
        <w:t>違誤。</w:t>
      </w:r>
      <w:r>
        <w:rPr/>
        <w:t>（</w:t>
      </w:r>
      <w:r>
        <w:rPr>
          <w:rFonts w:ascii="細明體_HKSCS" w:hAnsi="細明體_HKSCS" w:eastAsia="細明體_HKSCS" w:hint="eastAsia"/>
        </w:rPr>
        <w:t>105</w:t>
      </w:r>
      <w:r>
        <w:rPr>
          <w:rFonts w:ascii="細明體_HKSCS" w:hAnsi="細明體_HKSCS" w:eastAsia="細明體_HKSCS" w:hint="eastAsia"/>
          <w:spacing w:val="1"/>
        </w:rPr>
        <w:t> </w:t>
      </w:r>
      <w:r>
        <w:rPr/>
        <w:t>公審決字第 </w:t>
      </w:r>
      <w:r>
        <w:rPr>
          <w:rFonts w:ascii="細明體_HKSCS" w:hAnsi="細明體_HKSCS" w:eastAsia="細明體_HKSCS" w:hint="eastAsia"/>
        </w:rPr>
        <w:t>0268 </w:t>
      </w:r>
      <w:r>
        <w:rPr/>
        <w:t>號、第 </w:t>
      </w:r>
      <w:r>
        <w:rPr>
          <w:rFonts w:ascii="細明體_HKSCS" w:hAnsi="細明體_HKSCS" w:eastAsia="細明體_HKSCS" w:hint="eastAsia"/>
        </w:rPr>
        <w:t>0334</w:t>
      </w:r>
      <w:r>
        <w:rPr>
          <w:rFonts w:ascii="細明體_HKSCS" w:hAnsi="細明體_HKSCS" w:eastAsia="細明體_HKSCS" w:hint="eastAsia"/>
          <w:spacing w:val="2"/>
        </w:rPr>
        <w:t> </w:t>
      </w:r>
      <w:r>
        <w:rPr/>
        <w:t>號復審決定書）</w:t>
      </w:r>
    </w:p>
    <w:p>
      <w:pPr>
        <w:pStyle w:val="Heading1"/>
        <w:spacing w:before="87"/>
      </w:pPr>
      <w:r>
        <w:rPr/>
        <w:t>貳、保障業務上常見之作業疏失事項</w:t>
      </w:r>
    </w:p>
    <w:p>
      <w:pPr>
        <w:pStyle w:val="BodyText"/>
        <w:spacing w:line="268" w:lineRule="auto" w:before="218"/>
        <w:ind w:left="1479" w:right="279"/>
      </w:pPr>
      <w:r>
        <w:rPr/>
        <w:t>保障業務係屬人事業務之一環，各類型保障事件所涉程序法令，並不相同。下列人事作業疏失事項，本會均曾函請各機關注意改進，惟仍有未盡理想之處，爰再請各機關配合改進︰</w:t>
      </w:r>
    </w:p>
    <w:p>
      <w:pPr>
        <w:pStyle w:val="BodyText"/>
        <w:spacing w:line="268" w:lineRule="auto" w:before="194"/>
        <w:ind w:left="939" w:right="267" w:hanging="641"/>
      </w:pPr>
      <w:r>
        <w:rPr>
          <w:spacing w:val="1"/>
        </w:rPr>
        <w:t>一、依保障法第</w:t>
      </w:r>
      <w:r>
        <w:rPr>
          <w:rFonts w:ascii="細明體_HKSCS" w:eastAsia="細明體_HKSCS" w:hint="eastAsia"/>
        </w:rPr>
        <w:t>22</w:t>
      </w:r>
      <w:r>
        <w:rPr>
          <w:spacing w:val="4"/>
        </w:rPr>
        <w:t>條第</w:t>
      </w:r>
      <w:r>
        <w:rPr>
          <w:rFonts w:ascii="細明體_HKSCS" w:eastAsia="細明體_HKSCS" w:hint="eastAsia"/>
          <w:spacing w:val="3"/>
        </w:rPr>
        <w:t>2</w:t>
      </w:r>
      <w:r>
        <w:rPr>
          <w:spacing w:val="1"/>
        </w:rPr>
        <w:t>項規定及同法授權訂定之公務人員因公</w:t>
      </w:r>
      <w:r>
        <w:rPr>
          <w:spacing w:val="4"/>
        </w:rPr>
        <w:t>涉訟輔助辦法第</w:t>
      </w:r>
      <w:r>
        <w:rPr>
          <w:rFonts w:ascii="細明體_HKSCS" w:eastAsia="細明體_HKSCS" w:hint="eastAsia"/>
        </w:rPr>
        <w:t>17</w:t>
      </w:r>
      <w:r>
        <w:rPr>
          <w:spacing w:val="4"/>
        </w:rPr>
        <w:t>條第</w:t>
      </w:r>
      <w:r>
        <w:rPr>
          <w:rFonts w:ascii="細明體_HKSCS" w:eastAsia="細明體_HKSCS" w:hint="eastAsia"/>
          <w:spacing w:val="3"/>
        </w:rPr>
        <w:t>2</w:t>
      </w:r>
      <w:r>
        <w:rPr>
          <w:spacing w:val="1"/>
        </w:rPr>
        <w:t>項規定，公務人員因公涉訟，應以</w:t>
      </w:r>
      <w:r>
        <w:rPr>
          <w:spacing w:val="8"/>
        </w:rPr>
        <w:t>依法執行職務涉訟為前題，如非依法執行即不得給予涉訟輔助，迭經本會歷釋在案。又如其涉訟係因公務人員之故</w:t>
      </w:r>
      <w:r>
        <w:rPr>
          <w:spacing w:val="1"/>
          <w:w w:val="95"/>
        </w:rPr>
        <w:t>意或重大過失所致者，其訴訟案件獲檢察官為同條第</w:t>
      </w:r>
      <w:r>
        <w:rPr>
          <w:rFonts w:ascii="細明體_HKSCS" w:eastAsia="細明體_HKSCS" w:hint="eastAsia"/>
          <w:spacing w:val="3"/>
          <w:w w:val="95"/>
        </w:rPr>
        <w:t>1</w:t>
      </w:r>
      <w:r>
        <w:rPr>
          <w:spacing w:val="4"/>
          <w:w w:val="95"/>
        </w:rPr>
        <w:t>項以 </w:t>
      </w:r>
      <w:r>
        <w:rPr>
          <w:spacing w:val="8"/>
        </w:rPr>
        <w:t>外之不起訴處分、法院裁判或公務員懲戒委員會懲戒議決確定後，服務機關應以書面限期命該公務人員繳還涉訟輔助費用，請各機關確實依上開規定辦理。</w:t>
      </w:r>
    </w:p>
    <w:p>
      <w:pPr>
        <w:pStyle w:val="BodyText"/>
        <w:spacing w:line="268" w:lineRule="auto" w:before="191"/>
        <w:ind w:left="939" w:right="274" w:hanging="641"/>
      </w:pPr>
      <w:r>
        <w:rPr>
          <w:spacing w:val="6"/>
        </w:rPr>
        <w:t>二、本會</w:t>
      </w:r>
      <w:r>
        <w:rPr>
          <w:rFonts w:ascii="細明體_HKSCS" w:eastAsia="細明體_HKSCS" w:hint="eastAsia"/>
          <w:spacing w:val="3"/>
        </w:rPr>
        <w:t>105</w:t>
      </w:r>
      <w:r>
        <w:rPr>
          <w:spacing w:val="14"/>
        </w:rPr>
        <w:t>年</w:t>
      </w:r>
      <w:r>
        <w:rPr>
          <w:rFonts w:ascii="細明體_HKSCS" w:eastAsia="細明體_HKSCS" w:hint="eastAsia"/>
          <w:spacing w:val="10"/>
        </w:rPr>
        <w:t>8</w:t>
      </w:r>
      <w:r>
        <w:rPr>
          <w:spacing w:val="15"/>
        </w:rPr>
        <w:t>月</w:t>
      </w:r>
      <w:r>
        <w:rPr>
          <w:rFonts w:ascii="細明體_HKSCS" w:eastAsia="細明體_HKSCS" w:hint="eastAsia"/>
          <w:spacing w:val="5"/>
        </w:rPr>
        <w:t>30</w:t>
      </w:r>
      <w:r>
        <w:rPr>
          <w:spacing w:val="12"/>
        </w:rPr>
        <w:t>日公地保字第</w:t>
      </w:r>
      <w:r>
        <w:rPr>
          <w:rFonts w:ascii="細明體_HKSCS" w:eastAsia="細明體_HKSCS" w:hint="eastAsia"/>
        </w:rPr>
        <w:t>1051160234</w:t>
      </w:r>
      <w:r>
        <w:rPr>
          <w:spacing w:val="9"/>
        </w:rPr>
        <w:t>號函及同年月日</w:t>
      </w:r>
      <w:r>
        <w:rPr>
          <w:spacing w:val="12"/>
        </w:rPr>
        <w:t>公地保字第</w:t>
      </w:r>
      <w:r>
        <w:rPr>
          <w:rFonts w:ascii="細明體_HKSCS" w:eastAsia="細明體_HKSCS" w:hint="eastAsia"/>
        </w:rPr>
        <w:t>1051160235</w:t>
      </w:r>
      <w:r>
        <w:rPr>
          <w:spacing w:val="10"/>
        </w:rPr>
        <w:t>號函，分別建請銓敘部轉知各主管</w:t>
      </w:r>
      <w:r>
        <w:rPr>
          <w:spacing w:val="8"/>
          <w:w w:val="95"/>
        </w:rPr>
        <w:t>機關人事人員，對於所屬公務人員考績，如於事後知悉考 績評定有違誤情事，允宜依規定重行檢討，以符考績覈實 考評意旨，並應避免重複考評，及建請銓敘部參考法官職 </w:t>
      </w:r>
      <w:r>
        <w:rPr>
          <w:spacing w:val="9"/>
          <w:w w:val="95"/>
        </w:rPr>
        <w:t>務評定辦法第</w:t>
      </w:r>
      <w:r>
        <w:rPr>
          <w:rFonts w:ascii="細明體_HKSCS" w:eastAsia="細明體_HKSCS" w:hint="eastAsia"/>
          <w:spacing w:val="8"/>
          <w:w w:val="95"/>
        </w:rPr>
        <w:t>7</w:t>
      </w:r>
      <w:r>
        <w:rPr>
          <w:spacing w:val="12"/>
          <w:w w:val="95"/>
        </w:rPr>
        <w:t>條第</w:t>
      </w:r>
      <w:r>
        <w:rPr>
          <w:rFonts w:ascii="細明體_HKSCS" w:eastAsia="細明體_HKSCS" w:hint="eastAsia"/>
          <w:spacing w:val="8"/>
          <w:w w:val="95"/>
        </w:rPr>
        <w:t>6</w:t>
      </w:r>
      <w:r>
        <w:rPr>
          <w:spacing w:val="8"/>
          <w:w w:val="95"/>
        </w:rPr>
        <w:t>項規定，於考績法規明定，受考人違 失行為與懲處令生效日期非屬同一年度時，如已於行為年 度採為考績評定基礎，即不應於懲處年度併計考績減分，</w:t>
      </w:r>
    </w:p>
    <w:p>
      <w:pPr>
        <w:spacing w:after="0" w:line="268" w:lineRule="auto"/>
        <w:sectPr>
          <w:pgSz w:w="11910" w:h="16840"/>
          <w:pgMar w:header="0" w:footer="1017" w:top="1180" w:bottom="1200" w:left="1300" w:right="1140"/>
        </w:sectPr>
      </w:pPr>
    </w:p>
    <w:p>
      <w:pPr>
        <w:pStyle w:val="BodyText"/>
        <w:spacing w:line="268" w:lineRule="auto" w:before="15"/>
        <w:ind w:left="939" w:right="272"/>
      </w:pPr>
      <w:r>
        <w:rPr>
          <w:spacing w:val="9"/>
          <w:w w:val="95"/>
        </w:rPr>
        <w:t>以避免發生重複考評之情事。該部業以</w:t>
      </w:r>
      <w:r>
        <w:rPr>
          <w:rFonts w:ascii="細明體_HKSCS" w:eastAsia="細明體_HKSCS" w:hint="eastAsia"/>
          <w:spacing w:val="3"/>
          <w:w w:val="95"/>
        </w:rPr>
        <w:t>105</w:t>
      </w:r>
      <w:r>
        <w:rPr>
          <w:spacing w:val="12"/>
          <w:w w:val="95"/>
        </w:rPr>
        <w:t>年</w:t>
      </w:r>
      <w:r>
        <w:rPr>
          <w:rFonts w:ascii="細明體_HKSCS" w:eastAsia="細明體_HKSCS" w:hint="eastAsia"/>
          <w:spacing w:val="10"/>
          <w:w w:val="95"/>
        </w:rPr>
        <w:t>9</w:t>
      </w:r>
      <w:r>
        <w:rPr>
          <w:spacing w:val="9"/>
          <w:w w:val="95"/>
        </w:rPr>
        <w:t>月</w:t>
      </w:r>
      <w:r>
        <w:rPr>
          <w:rFonts w:ascii="細明體_HKSCS" w:eastAsia="細明體_HKSCS" w:hint="eastAsia"/>
          <w:spacing w:val="6"/>
          <w:w w:val="95"/>
        </w:rPr>
        <w:t>23</w:t>
      </w:r>
      <w:r>
        <w:rPr>
          <w:spacing w:val="6"/>
          <w:w w:val="95"/>
        </w:rPr>
        <w:t>日部法 </w:t>
      </w:r>
      <w:r>
        <w:rPr>
          <w:spacing w:val="13"/>
        </w:rPr>
        <w:t>二字第</w:t>
      </w:r>
      <w:r>
        <w:rPr>
          <w:rFonts w:ascii="細明體_HKSCS" w:eastAsia="細明體_HKSCS" w:hint="eastAsia"/>
        </w:rPr>
        <w:t>1054140096</w:t>
      </w:r>
      <w:r>
        <w:rPr>
          <w:spacing w:val="10"/>
        </w:rPr>
        <w:t>號函知中央暨地方各主管機關在案，請各機關配合辦理。</w:t>
      </w:r>
    </w:p>
    <w:p>
      <w:pPr>
        <w:pStyle w:val="BodyText"/>
        <w:spacing w:line="268" w:lineRule="auto" w:before="196"/>
        <w:ind w:left="939" w:right="273" w:hanging="641"/>
      </w:pPr>
      <w:r>
        <w:rPr>
          <w:spacing w:val="1"/>
        </w:rPr>
        <w:t>三、法官法自</w:t>
      </w:r>
      <w:r>
        <w:rPr>
          <w:rFonts w:ascii="細明體_HKSCS" w:eastAsia="細明體_HKSCS" w:hint="eastAsia"/>
        </w:rPr>
        <w:t>101</w:t>
      </w:r>
      <w:r>
        <w:rPr>
          <w:spacing w:val="4"/>
        </w:rPr>
        <w:t>年</w:t>
      </w:r>
      <w:r>
        <w:rPr>
          <w:rFonts w:ascii="細明體_HKSCS" w:eastAsia="細明體_HKSCS" w:hint="eastAsia"/>
          <w:spacing w:val="3"/>
        </w:rPr>
        <w:t>7</w:t>
      </w:r>
      <w:r>
        <w:rPr>
          <w:spacing w:val="4"/>
        </w:rPr>
        <w:t>月</w:t>
      </w:r>
      <w:r>
        <w:rPr>
          <w:rFonts w:ascii="細明體_HKSCS" w:eastAsia="細明體_HKSCS" w:hint="eastAsia"/>
          <w:spacing w:val="3"/>
        </w:rPr>
        <w:t>6</w:t>
      </w:r>
      <w:r>
        <w:rPr>
          <w:spacing w:val="3"/>
        </w:rPr>
        <w:t>日施行，法官法第</w:t>
      </w:r>
      <w:r>
        <w:rPr>
          <w:rFonts w:ascii="細明體_HKSCS" w:eastAsia="細明體_HKSCS" w:hint="eastAsia"/>
        </w:rPr>
        <w:t>20</w:t>
      </w:r>
      <w:r>
        <w:rPr>
          <w:spacing w:val="2"/>
        </w:rPr>
        <w:t>條所定職務監督權</w:t>
      </w:r>
      <w:r>
        <w:rPr>
          <w:spacing w:val="8"/>
          <w:w w:val="95"/>
        </w:rPr>
        <w:t>人，對於被監督之法官所為之職務監督處分，如未影響法 官獨立審判權限者，該職務監督處分之性質係職務監督權 人對被監督法官所為之管理措施，被監督法官如有不服， 應依保障法規定向職務監督權人所屬機關提起申訴，如不 </w:t>
      </w:r>
      <w:r>
        <w:rPr>
          <w:spacing w:val="9"/>
          <w:w w:val="95"/>
        </w:rPr>
        <w:t>服申訴函復，得於復函送達之次日起</w:t>
      </w:r>
      <w:r>
        <w:rPr>
          <w:rFonts w:ascii="細明體_HKSCS" w:eastAsia="細明體_HKSCS" w:hint="eastAsia"/>
          <w:spacing w:val="5"/>
          <w:w w:val="95"/>
        </w:rPr>
        <w:t>30</w:t>
      </w:r>
      <w:r>
        <w:rPr>
          <w:spacing w:val="7"/>
          <w:w w:val="95"/>
        </w:rPr>
        <w:t>日內，向本會提起 </w:t>
      </w:r>
      <w:r>
        <w:rPr>
          <w:spacing w:val="8"/>
          <w:w w:val="95"/>
        </w:rPr>
        <w:t>再申訴。如被監督之法官認為該職務監督處分已影響審判 </w:t>
      </w:r>
      <w:r>
        <w:rPr>
          <w:spacing w:val="9"/>
          <w:w w:val="95"/>
        </w:rPr>
        <w:t>獨立，則應依法官法第</w:t>
      </w:r>
      <w:r>
        <w:rPr>
          <w:rFonts w:ascii="細明體_HKSCS" w:eastAsia="細明體_HKSCS" w:hint="eastAsia"/>
          <w:spacing w:val="5"/>
          <w:w w:val="95"/>
        </w:rPr>
        <w:t>53</w:t>
      </w:r>
      <w:r>
        <w:rPr>
          <w:spacing w:val="10"/>
          <w:w w:val="95"/>
        </w:rPr>
        <w:t>條第</w:t>
      </w:r>
      <w:r>
        <w:rPr>
          <w:rFonts w:ascii="細明體_HKSCS" w:eastAsia="細明體_HKSCS" w:hint="eastAsia"/>
          <w:spacing w:val="8"/>
          <w:w w:val="95"/>
        </w:rPr>
        <w:t>2</w:t>
      </w:r>
      <w:r>
        <w:rPr>
          <w:spacing w:val="11"/>
          <w:w w:val="95"/>
        </w:rPr>
        <w:t>項及第</w:t>
      </w:r>
      <w:r>
        <w:rPr>
          <w:rFonts w:ascii="細明體_HKSCS" w:eastAsia="細明體_HKSCS" w:hint="eastAsia"/>
          <w:spacing w:val="5"/>
          <w:w w:val="95"/>
        </w:rPr>
        <w:t>54</w:t>
      </w:r>
      <w:r>
        <w:rPr>
          <w:spacing w:val="10"/>
          <w:w w:val="95"/>
        </w:rPr>
        <w:t>條第</w:t>
      </w:r>
      <w:r>
        <w:rPr>
          <w:rFonts w:ascii="細明體_HKSCS" w:eastAsia="細明體_HKSCS" w:hint="eastAsia"/>
          <w:spacing w:val="8"/>
          <w:w w:val="95"/>
        </w:rPr>
        <w:t>3</w:t>
      </w:r>
      <w:r>
        <w:rPr>
          <w:spacing w:val="7"/>
          <w:w w:val="95"/>
        </w:rPr>
        <w:t>項規定，依 </w:t>
      </w:r>
      <w:r>
        <w:rPr>
          <w:spacing w:val="8"/>
          <w:w w:val="95"/>
        </w:rPr>
        <w:t>序向職務監督權人所屬機關提出異議，若不服異議決定， 再向職務法庭起訴。職務監督權人所屬機關應於相關處分 </w:t>
      </w:r>
      <w:r>
        <w:rPr>
          <w:spacing w:val="8"/>
        </w:rPr>
        <w:t>明確教示，以免受處分之法官誤用救濟程序。</w:t>
      </w:r>
    </w:p>
    <w:p>
      <w:pPr>
        <w:pStyle w:val="BodyText"/>
        <w:spacing w:line="268" w:lineRule="auto" w:before="187"/>
        <w:ind w:left="939" w:right="262" w:hanging="641"/>
      </w:pPr>
      <w:r>
        <w:rPr>
          <w:spacing w:val="5"/>
        </w:rPr>
        <w:t>四、各機關對於所屬公務人員以簽陳方式陳請之事項，如有所</w:t>
      </w:r>
      <w:r>
        <w:rPr>
          <w:spacing w:val="8"/>
        </w:rPr>
        <w:t>准駁，並涉及法律上權利義務之變動者，應依行政程序法</w:t>
      </w:r>
      <w:r>
        <w:rPr>
          <w:spacing w:val="12"/>
          <w:w w:val="95"/>
        </w:rPr>
        <w:t>第</w:t>
      </w:r>
      <w:r>
        <w:rPr>
          <w:rFonts w:ascii="細明體_HKSCS" w:eastAsia="細明體_HKSCS" w:hint="eastAsia"/>
          <w:spacing w:val="5"/>
          <w:w w:val="95"/>
        </w:rPr>
        <w:t>96</w:t>
      </w:r>
      <w:r>
        <w:rPr>
          <w:spacing w:val="9"/>
          <w:w w:val="95"/>
        </w:rPr>
        <w:t>條規定作成書面行政處分，俾利公務人員據以提起救 </w:t>
      </w:r>
      <w:r>
        <w:rPr>
          <w:spacing w:val="5"/>
        </w:rPr>
        <w:t>濟。前經</w:t>
      </w:r>
      <w:r>
        <w:rPr>
          <w:rFonts w:ascii="細明體_HKSCS" w:eastAsia="細明體_HKSCS" w:hint="eastAsia"/>
        </w:rPr>
        <w:t>101</w:t>
      </w:r>
      <w:r>
        <w:rPr>
          <w:spacing w:val="7"/>
        </w:rPr>
        <w:t>年</w:t>
      </w:r>
      <w:r>
        <w:rPr>
          <w:rFonts w:ascii="細明體_HKSCS" w:eastAsia="細明體_HKSCS" w:hint="eastAsia"/>
          <w:spacing w:val="3"/>
        </w:rPr>
        <w:t>6</w:t>
      </w:r>
      <w:r>
        <w:rPr>
          <w:spacing w:val="7"/>
        </w:rPr>
        <w:t>月</w:t>
      </w:r>
      <w:r>
        <w:rPr>
          <w:rFonts w:ascii="細明體_HKSCS" w:eastAsia="細明體_HKSCS" w:hint="eastAsia"/>
          <w:spacing w:val="3"/>
        </w:rPr>
        <w:t>8</w:t>
      </w:r>
      <w:r>
        <w:rPr>
          <w:spacing w:val="4"/>
        </w:rPr>
        <w:t>日公保字第</w:t>
      </w:r>
      <w:r>
        <w:rPr>
          <w:rFonts w:ascii="細明體_HKSCS" w:eastAsia="細明體_HKSCS" w:hint="eastAsia"/>
        </w:rPr>
        <w:t>1011009832</w:t>
      </w:r>
      <w:r>
        <w:rPr>
          <w:spacing w:val="3"/>
        </w:rPr>
        <w:t>號函請各機關督促所屬人事人員知照辦理在案，仍請落實辦理。</w:t>
      </w:r>
    </w:p>
    <w:p>
      <w:pPr>
        <w:pStyle w:val="BodyText"/>
        <w:spacing w:line="268" w:lineRule="auto" w:before="195"/>
        <w:ind w:left="939" w:right="262" w:hanging="641"/>
      </w:pPr>
      <w:r>
        <w:rPr>
          <w:spacing w:val="6"/>
          <w:w w:val="95"/>
        </w:rPr>
        <w:t>五、服務機關辦理申訴事件，應於收受申訴書之次日起</w:t>
      </w:r>
      <w:r>
        <w:rPr>
          <w:rFonts w:ascii="細明體_HKSCS" w:eastAsia="細明體_HKSCS" w:hint="eastAsia"/>
          <w:spacing w:val="5"/>
          <w:w w:val="95"/>
        </w:rPr>
        <w:t>30</w:t>
      </w:r>
      <w:r>
        <w:rPr>
          <w:spacing w:val="9"/>
          <w:w w:val="95"/>
        </w:rPr>
        <w:t>日內 </w:t>
      </w:r>
      <w:r>
        <w:rPr>
          <w:spacing w:val="9"/>
        </w:rPr>
        <w:t>為申訴函復，必要時得延長</w:t>
      </w:r>
      <w:r>
        <w:rPr>
          <w:rFonts w:ascii="細明體_HKSCS" w:eastAsia="細明體_HKSCS" w:hint="eastAsia"/>
          <w:spacing w:val="5"/>
        </w:rPr>
        <w:t>20</w:t>
      </w:r>
      <w:r>
        <w:rPr>
          <w:spacing w:val="8"/>
        </w:rPr>
        <w:t>日，並通知申訴人；逾期未</w:t>
      </w:r>
      <w:r>
        <w:rPr>
          <w:spacing w:val="1"/>
        </w:rPr>
        <w:t>為函復，申訴人得逕向本會提再申訴，為保障法第</w:t>
      </w:r>
      <w:r>
        <w:rPr>
          <w:rFonts w:ascii="細明體_HKSCS" w:eastAsia="細明體_HKSCS" w:hint="eastAsia"/>
        </w:rPr>
        <w:t>81</w:t>
      </w:r>
      <w:r>
        <w:rPr>
          <w:spacing w:val="4"/>
        </w:rPr>
        <w:t>條第</w:t>
      </w:r>
      <w:r>
        <w:rPr>
          <w:rFonts w:ascii="細明體_HKSCS" w:eastAsia="細明體_HKSCS" w:hint="eastAsia"/>
        </w:rPr>
        <w:t>1 </w:t>
      </w:r>
      <w:r>
        <w:rPr>
          <w:spacing w:val="9"/>
        </w:rPr>
        <w:t>項所明定。查部分服務機關偶有遲誤</w:t>
      </w:r>
      <w:r>
        <w:rPr>
          <w:rFonts w:ascii="細明體_HKSCS" w:eastAsia="細明體_HKSCS" w:hint="eastAsia"/>
          <w:spacing w:val="5"/>
        </w:rPr>
        <w:t>30</w:t>
      </w:r>
      <w:r>
        <w:rPr>
          <w:spacing w:val="7"/>
        </w:rPr>
        <w:t>日法定期間未為函</w:t>
      </w:r>
      <w:r>
        <w:rPr>
          <w:spacing w:val="8"/>
        </w:rPr>
        <w:t>復，亦未通知延長期間之情形，造成本會及當事人在認定提起再申訴救濟期間上發生困擾，且影響再申訴人攻擊防禦方法之提出，請各機關確實遵期為申訴函復。</w:t>
      </w:r>
    </w:p>
    <w:p>
      <w:pPr>
        <w:pStyle w:val="BodyText"/>
        <w:spacing w:before="190"/>
        <w:ind w:left="298"/>
        <w:jc w:val="left"/>
      </w:pPr>
      <w:r>
        <w:rPr/>
        <w:t>六、服務機關對申訴事件所為之函復，應於期限內針對申訴書</w:t>
      </w:r>
    </w:p>
    <w:p>
      <w:pPr>
        <w:spacing w:after="0"/>
        <w:jc w:val="left"/>
        <w:sectPr>
          <w:pgSz w:w="11910" w:h="16840"/>
          <w:pgMar w:header="0" w:footer="1017" w:top="1180" w:bottom="1200" w:left="1300" w:right="1140"/>
        </w:sectPr>
      </w:pPr>
    </w:p>
    <w:p>
      <w:pPr>
        <w:pStyle w:val="BodyText"/>
        <w:spacing w:line="268" w:lineRule="auto" w:before="15"/>
        <w:ind w:left="939" w:right="275"/>
      </w:pPr>
      <w:r>
        <w:rPr>
          <w:spacing w:val="8"/>
          <w:w w:val="95"/>
        </w:rPr>
        <w:t>或再申訴書所述內容，作詳細、具體之答復，解答公務人 員疑惑，俾減少訟源；或對於本會查詢之再申訴事件，應 將事實、理由及處理意見，並附有關資料回復本會，為保 </w:t>
      </w:r>
      <w:r>
        <w:rPr>
          <w:spacing w:val="10"/>
          <w:w w:val="95"/>
        </w:rPr>
        <w:t>障法第</w:t>
      </w:r>
      <w:r>
        <w:rPr>
          <w:rFonts w:ascii="細明體_HKSCS" w:eastAsia="細明體_HKSCS" w:hint="eastAsia"/>
          <w:spacing w:val="5"/>
          <w:w w:val="95"/>
        </w:rPr>
        <w:t>81</w:t>
      </w:r>
      <w:r>
        <w:rPr>
          <w:spacing w:val="10"/>
          <w:w w:val="95"/>
        </w:rPr>
        <w:t>條第</w:t>
      </w:r>
      <w:r>
        <w:rPr>
          <w:rFonts w:ascii="細明體_HKSCS" w:eastAsia="細明體_HKSCS" w:hint="eastAsia"/>
          <w:spacing w:val="8"/>
          <w:w w:val="95"/>
        </w:rPr>
        <w:t>1</w:t>
      </w:r>
      <w:r>
        <w:rPr>
          <w:spacing w:val="11"/>
          <w:w w:val="95"/>
        </w:rPr>
        <w:t>項及第</w:t>
      </w:r>
      <w:r>
        <w:rPr>
          <w:rFonts w:ascii="細明體_HKSCS" w:eastAsia="細明體_HKSCS" w:hint="eastAsia"/>
          <w:spacing w:val="5"/>
          <w:w w:val="95"/>
        </w:rPr>
        <w:t>82</w:t>
      </w:r>
      <w:r>
        <w:rPr>
          <w:spacing w:val="10"/>
          <w:w w:val="95"/>
        </w:rPr>
        <w:t>條第</w:t>
      </w:r>
      <w:r>
        <w:rPr>
          <w:rFonts w:ascii="細明體_HKSCS" w:eastAsia="細明體_HKSCS" w:hint="eastAsia"/>
          <w:spacing w:val="8"/>
          <w:w w:val="95"/>
        </w:rPr>
        <w:t>1</w:t>
      </w:r>
      <w:r>
        <w:rPr>
          <w:spacing w:val="8"/>
          <w:w w:val="95"/>
        </w:rPr>
        <w:t>項所明定。惟仍有部分機關 未詳備理由，僅以簡單文字為申訴函復，除未能保障申訴 人知的權利外，亦無法使其信服，進而續行提起再申訴。 且於再申訴程序，機關如未將事實、理由、法律依據及證 據資料等詳復本會，亦徒增審理及查證作業之困難與耗費 時間。為使本會充分瞭解案情，作客觀、公正之審理，請 </w:t>
      </w:r>
      <w:r>
        <w:rPr>
          <w:spacing w:val="8"/>
        </w:rPr>
        <w:t>各機關依上開規定配合辦理。</w:t>
      </w:r>
    </w:p>
    <w:p>
      <w:pPr>
        <w:pStyle w:val="BodyText"/>
        <w:spacing w:line="268" w:lineRule="auto" w:before="190"/>
        <w:ind w:left="939" w:right="270" w:hanging="641"/>
      </w:pPr>
      <w:r>
        <w:rPr>
          <w:w w:val="95"/>
        </w:rPr>
        <w:t>七、本會審理保障事件，發現部分機關於行政調查階段或於召 </w:t>
      </w:r>
      <w:r>
        <w:rPr/>
        <w:t>開考績會時，因未給予當事人陳述意見之機會，而有事證未明、認定事實錯誤或違反行政程序法規定之情事；且常有當事人主張機關於作成行政決定前，未給予陳述意見或申辯機會，侵害其權益，致增加訟源，甚至可能成為行政法院或本會撤銷原行政決定之事由。基於正當法律程序之要求，各機關踐行陳述意見程序，除可保障公務人員之程序權益外，且有助於釐清事實上及法律上之爭議，俾作成</w:t>
      </w:r>
      <w:r>
        <w:rPr>
          <w:w w:val="95"/>
        </w:rPr>
        <w:t>合法妥適之行政決定，減少爭訟之發生。本會業以</w:t>
      </w:r>
      <w:r>
        <w:rPr>
          <w:rFonts w:ascii="細明體_HKSCS" w:eastAsia="細明體_HKSCS" w:hint="eastAsia"/>
          <w:w w:val="95"/>
        </w:rPr>
        <w:t>104</w:t>
      </w:r>
      <w:r>
        <w:rPr>
          <w:w w:val="95"/>
        </w:rPr>
        <w:t>年</w:t>
      </w:r>
      <w:r>
        <w:rPr>
          <w:rFonts w:ascii="細明體_HKSCS" w:eastAsia="細明體_HKSCS" w:hint="eastAsia"/>
          <w:w w:val="95"/>
        </w:rPr>
        <w:t>7 </w:t>
      </w:r>
      <w:r>
        <w:rPr/>
        <w:t>月</w:t>
      </w:r>
      <w:r>
        <w:rPr>
          <w:rFonts w:ascii="細明體_HKSCS" w:eastAsia="細明體_HKSCS" w:hint="eastAsia"/>
        </w:rPr>
        <w:t>20</w:t>
      </w:r>
      <w:r>
        <w:rPr/>
        <w:t>日公保字第</w:t>
      </w:r>
      <w:r>
        <w:rPr>
          <w:rFonts w:ascii="細明體_HKSCS" w:eastAsia="細明體_HKSCS" w:hint="eastAsia"/>
        </w:rPr>
        <w:t>1041060308</w:t>
      </w:r>
      <w:r>
        <w:rPr/>
        <w:t>號函，建請各機關於作成人事</w:t>
      </w:r>
      <w:r>
        <w:rPr>
          <w:w w:val="95"/>
        </w:rPr>
        <w:t>行政處分、管理措施（特別是懲處事件）或有關工作條件 之處置前，依相關規定，儘量給予當事人陳述意見之機 </w:t>
      </w:r>
      <w:r>
        <w:rPr/>
        <w:t>會，並應預留適當之準備期間。</w:t>
      </w:r>
    </w:p>
    <w:p>
      <w:pPr>
        <w:pStyle w:val="Heading1"/>
        <w:spacing w:line="285" w:lineRule="auto" w:before="78"/>
        <w:ind w:right="4543"/>
      </w:pPr>
      <w:r>
        <w:rPr/>
        <w:t>叁、保障法規及保障實務異動情形一、修正公布保障法第76條</w:t>
      </w:r>
    </w:p>
    <w:p>
      <w:pPr>
        <w:pStyle w:val="BodyText"/>
        <w:spacing w:before="104"/>
        <w:ind w:left="759"/>
        <w:jc w:val="left"/>
      </w:pPr>
      <w:r>
        <w:rPr>
          <w:rFonts w:ascii="細明體_HKSCS" w:eastAsia="細明體_HKSCS" w:hint="eastAsia"/>
          <w:w w:val="95"/>
        </w:rPr>
        <w:t>104</w:t>
      </w:r>
      <w:r>
        <w:rPr>
          <w:spacing w:val="4"/>
          <w:w w:val="95"/>
        </w:rPr>
        <w:t>年</w:t>
      </w:r>
      <w:r>
        <w:rPr>
          <w:rFonts w:ascii="細明體_HKSCS" w:eastAsia="細明體_HKSCS" w:hint="eastAsia"/>
          <w:w w:val="95"/>
        </w:rPr>
        <w:t>12</w:t>
      </w:r>
      <w:r>
        <w:rPr>
          <w:spacing w:val="7"/>
          <w:w w:val="95"/>
        </w:rPr>
        <w:t>月</w:t>
      </w:r>
      <w:r>
        <w:rPr>
          <w:rFonts w:ascii="細明體_HKSCS" w:eastAsia="細明體_HKSCS" w:hint="eastAsia"/>
          <w:w w:val="95"/>
        </w:rPr>
        <w:t>23</w:t>
      </w:r>
      <w:r>
        <w:rPr>
          <w:spacing w:val="4"/>
          <w:w w:val="95"/>
        </w:rPr>
        <w:t>日修正公布保障法第</w:t>
      </w:r>
      <w:r>
        <w:rPr>
          <w:rFonts w:ascii="細明體_HKSCS" w:eastAsia="細明體_HKSCS" w:hint="eastAsia"/>
          <w:w w:val="95"/>
        </w:rPr>
        <w:t>76</w:t>
      </w:r>
      <w:r>
        <w:rPr>
          <w:spacing w:val="4"/>
          <w:w w:val="95"/>
        </w:rPr>
        <w:t>條條文，原條文第</w:t>
      </w:r>
      <w:r>
        <w:rPr>
          <w:rFonts w:ascii="細明體_HKSCS" w:eastAsia="細明體_HKSCS" w:hint="eastAsia"/>
          <w:spacing w:val="3"/>
          <w:w w:val="95"/>
        </w:rPr>
        <w:t>1</w:t>
      </w:r>
      <w:r>
        <w:rPr>
          <w:spacing w:val="7"/>
          <w:w w:val="95"/>
        </w:rPr>
        <w:t>項之</w:t>
      </w:r>
    </w:p>
    <w:p>
      <w:pPr>
        <w:pStyle w:val="BodyText"/>
        <w:spacing w:before="52"/>
        <w:ind w:left="826"/>
        <w:jc w:val="left"/>
      </w:pPr>
      <w:r>
        <w:rPr>
          <w:spacing w:val="-11"/>
        </w:rPr>
        <w:t>「郵政機關」修正為「郵政機構」、第</w:t>
      </w:r>
      <w:r>
        <w:rPr>
          <w:rFonts w:ascii="細明體_HKSCS" w:eastAsia="細明體_HKSCS" w:hint="eastAsia"/>
        </w:rPr>
        <w:t>2</w:t>
      </w:r>
      <w:r>
        <w:rPr/>
        <w:t>項刪除「或該管警察</w:t>
      </w:r>
    </w:p>
    <w:p>
      <w:pPr>
        <w:spacing w:after="0"/>
        <w:jc w:val="left"/>
        <w:sectPr>
          <w:pgSz w:w="11910" w:h="16840"/>
          <w:pgMar w:header="0" w:footer="1017" w:top="1180" w:bottom="1200" w:left="1300" w:right="1140"/>
        </w:sectPr>
      </w:pPr>
    </w:p>
    <w:p>
      <w:pPr>
        <w:pStyle w:val="BodyText"/>
        <w:spacing w:line="268" w:lineRule="auto" w:before="15"/>
        <w:ind w:left="826" w:right="274"/>
      </w:pPr>
      <w:r>
        <w:rPr/>
        <w:t>機關」等文字。修正後第</w:t>
      </w:r>
      <w:r>
        <w:rPr>
          <w:rFonts w:ascii="細明體_HKSCS" w:eastAsia="細明體_HKSCS" w:hint="eastAsia"/>
        </w:rPr>
        <w:t>76</w:t>
      </w:r>
      <w:r>
        <w:rPr>
          <w:spacing w:val="2"/>
        </w:rPr>
        <w:t>條第</w:t>
      </w:r>
      <w:r>
        <w:rPr>
          <w:rFonts w:ascii="細明體_HKSCS" w:eastAsia="細明體_HKSCS" w:hint="eastAsia"/>
        </w:rPr>
        <w:t>1</w:t>
      </w:r>
      <w:r>
        <w:rPr>
          <w:spacing w:val="-16"/>
        </w:rPr>
        <w:t>項規定：「復審事件文書之</w:t>
      </w:r>
      <w:r>
        <w:rPr>
          <w:spacing w:val="13"/>
          <w:w w:val="95"/>
        </w:rPr>
        <w:t>送達，應註明復審人或其代表人、代理人之住居所、事務 </w:t>
      </w:r>
      <w:r>
        <w:rPr>
          <w:spacing w:val="11"/>
        </w:rPr>
        <w:t>所，交付郵務機構以復審事件文書郵務送達證書發送。」第</w:t>
      </w:r>
    </w:p>
    <w:p>
      <w:pPr>
        <w:pStyle w:val="BodyText"/>
        <w:spacing w:line="268" w:lineRule="auto"/>
        <w:ind w:left="826" w:right="276"/>
      </w:pPr>
      <w:r>
        <w:rPr>
          <w:rFonts w:ascii="細明體_HKSCS" w:eastAsia="細明體_HKSCS" w:hint="eastAsia"/>
        </w:rPr>
        <w:t>2</w:t>
      </w:r>
      <w:r>
        <w:rPr>
          <w:spacing w:val="-14"/>
        </w:rPr>
        <w:t>項規定：「復審事件文書不能為前項之送達時，得由保訓會派員或囑託原處分機關、公務人員服務機關送達，並由執行</w:t>
      </w:r>
      <w:r>
        <w:rPr>
          <w:spacing w:val="14"/>
          <w:w w:val="95"/>
        </w:rPr>
        <w:t>送達人作成送達證書。」第</w:t>
      </w:r>
      <w:r>
        <w:rPr>
          <w:rFonts w:ascii="細明體_HKSCS" w:eastAsia="細明體_HKSCS" w:hint="eastAsia"/>
          <w:spacing w:val="13"/>
          <w:w w:val="95"/>
        </w:rPr>
        <w:t>3</w:t>
      </w:r>
      <w:r>
        <w:rPr>
          <w:spacing w:val="-3"/>
          <w:w w:val="95"/>
        </w:rPr>
        <w:t>項規定：「復審事件文書之送 </w:t>
      </w:r>
      <w:r>
        <w:rPr/>
        <w:t>達，除前二項規定外，準用行政訴訟法第六十七條至第六十</w:t>
      </w:r>
      <w:r>
        <w:rPr>
          <w:spacing w:val="-9"/>
        </w:rPr>
        <w:t>九條、第七十一條至第八十三條之規定。」。</w:t>
      </w:r>
    </w:p>
    <w:p>
      <w:pPr>
        <w:pStyle w:val="Heading1"/>
        <w:spacing w:before="86"/>
      </w:pPr>
      <w:r>
        <w:rPr/>
        <w:t>二、擴大復審標的之情形</w:t>
      </w:r>
    </w:p>
    <w:p>
      <w:pPr>
        <w:pStyle w:val="BodyText"/>
        <w:spacing w:line="268" w:lineRule="auto" w:before="215"/>
        <w:ind w:left="826" w:right="273" w:hanging="63"/>
      </w:pPr>
      <w:r>
        <w:rPr>
          <w:rFonts w:ascii="細明體_HKSCS" w:eastAsia="細明體_HKSCS" w:hint="eastAsia"/>
          <w:spacing w:val="6"/>
          <w:w w:val="95"/>
        </w:rPr>
        <w:t>103</w:t>
      </w:r>
      <w:r>
        <w:rPr>
          <w:spacing w:val="16"/>
          <w:w w:val="95"/>
        </w:rPr>
        <w:t>年迄今，本會擴大復審標的範圍之事件類型，計新增</w:t>
      </w:r>
      <w:r>
        <w:rPr>
          <w:rFonts w:ascii="細明體_HKSCS" w:eastAsia="細明體_HKSCS" w:hint="eastAsia"/>
          <w:w w:val="95"/>
        </w:rPr>
        <w:t>4 </w:t>
      </w:r>
      <w:r>
        <w:rPr/>
        <w:t>類，分別為：</w:t>
      </w:r>
    </w:p>
    <w:p>
      <w:pPr>
        <w:pStyle w:val="BodyText"/>
        <w:spacing w:line="268" w:lineRule="auto" w:before="198"/>
        <w:ind w:left="1110" w:right="276" w:hanging="992"/>
      </w:pPr>
      <w:r>
        <w:rPr>
          <w:spacing w:val="4"/>
          <w:w w:val="95"/>
        </w:rPr>
        <w:t>（一）</w:t>
      </w:r>
      <w:r>
        <w:rPr>
          <w:spacing w:val="3"/>
          <w:w w:val="95"/>
        </w:rPr>
        <w:t>原屬訴願事件之警察人員報考警正班、警佐班教育訓練遭 </w:t>
      </w:r>
      <w:r>
        <w:rPr>
          <w:spacing w:val="3"/>
        </w:rPr>
        <w:t>否准之遴選資格事件。</w:t>
      </w:r>
    </w:p>
    <w:p>
      <w:pPr>
        <w:pStyle w:val="BodyText"/>
        <w:spacing w:line="268" w:lineRule="auto" w:before="197"/>
        <w:ind w:left="1110" w:right="276" w:hanging="992"/>
      </w:pPr>
      <w:r>
        <w:rPr>
          <w:spacing w:val="4"/>
          <w:w w:val="95"/>
        </w:rPr>
        <w:t>（二）</w:t>
      </w:r>
      <w:r>
        <w:rPr>
          <w:spacing w:val="3"/>
          <w:w w:val="95"/>
        </w:rPr>
        <w:t>公務人員因於職場有性騷擾行為，經服務機關命應自費進 </w:t>
      </w:r>
      <w:r>
        <w:rPr>
          <w:spacing w:val="3"/>
        </w:rPr>
        <w:t>行心理諮商輔導之性別平等輔導事件。</w:t>
      </w:r>
    </w:p>
    <w:p>
      <w:pPr>
        <w:pStyle w:val="BodyText"/>
        <w:spacing w:line="268" w:lineRule="auto" w:before="196"/>
        <w:ind w:left="1107" w:right="255" w:hanging="989"/>
      </w:pPr>
      <w:r>
        <w:rPr>
          <w:spacing w:val="16"/>
          <w:w w:val="95"/>
        </w:rPr>
        <w:t>（</w:t>
      </w:r>
      <w:r>
        <w:rPr>
          <w:spacing w:val="18"/>
          <w:w w:val="95"/>
        </w:rPr>
        <w:t>三</w:t>
      </w:r>
      <w:r>
        <w:rPr>
          <w:spacing w:val="16"/>
          <w:w w:val="95"/>
        </w:rPr>
        <w:t>）原屬訴願事件之考試錄取人員於占缺訓練期滿成績及格 </w:t>
      </w:r>
      <w:r>
        <w:rPr>
          <w:spacing w:val="15"/>
        </w:rPr>
        <w:t>後，遭分發機關拒絕派任為正式公務人員之拒絕派任事件。</w:t>
      </w:r>
    </w:p>
    <w:p>
      <w:pPr>
        <w:pStyle w:val="BodyText"/>
        <w:spacing w:line="268" w:lineRule="auto" w:before="196"/>
        <w:ind w:left="1110" w:right="273" w:hanging="992"/>
      </w:pPr>
      <w:r>
        <w:rPr>
          <w:spacing w:val="4"/>
          <w:w w:val="95"/>
        </w:rPr>
        <w:t>（四）公務人員考績（成）丙等事件，自</w:t>
      </w:r>
      <w:r>
        <w:rPr>
          <w:rFonts w:ascii="細明體_HKSCS" w:eastAsia="細明體_HKSCS" w:hint="eastAsia"/>
          <w:w w:val="95"/>
        </w:rPr>
        <w:t>104</w:t>
      </w:r>
      <w:r>
        <w:rPr>
          <w:spacing w:val="7"/>
          <w:w w:val="95"/>
        </w:rPr>
        <w:t>年</w:t>
      </w:r>
      <w:r>
        <w:rPr>
          <w:rFonts w:ascii="細明體_HKSCS" w:eastAsia="細明體_HKSCS" w:hint="eastAsia"/>
          <w:w w:val="95"/>
        </w:rPr>
        <w:t>10</w:t>
      </w:r>
      <w:r>
        <w:rPr>
          <w:spacing w:val="4"/>
          <w:w w:val="95"/>
        </w:rPr>
        <w:t>月</w:t>
      </w:r>
      <w:r>
        <w:rPr>
          <w:rFonts w:ascii="細明體_HKSCS" w:eastAsia="細明體_HKSCS" w:hint="eastAsia"/>
          <w:spacing w:val="3"/>
          <w:w w:val="95"/>
        </w:rPr>
        <w:t>7</w:t>
      </w:r>
      <w:r>
        <w:rPr>
          <w:spacing w:val="3"/>
          <w:w w:val="95"/>
        </w:rPr>
        <w:t>日起改依復 </w:t>
      </w:r>
      <w:r>
        <w:rPr>
          <w:spacing w:val="-38"/>
        </w:rPr>
        <w:t>審 程 序 處理 ， 本 會 業 以 </w:t>
      </w:r>
      <w:r>
        <w:rPr>
          <w:rFonts w:ascii="細明體_HKSCS" w:eastAsia="細明體_HKSCS" w:hint="eastAsia"/>
        </w:rPr>
        <w:t>104</w:t>
      </w:r>
      <w:r>
        <w:rPr>
          <w:rFonts w:ascii="細明體_HKSCS" w:eastAsia="細明體_HKSCS" w:hint="eastAsia"/>
          <w:spacing w:val="-83"/>
        </w:rPr>
        <w:t> </w:t>
      </w:r>
      <w:r>
        <w:rPr>
          <w:spacing w:val="-40"/>
        </w:rPr>
        <w:t>年 </w:t>
      </w:r>
      <w:r>
        <w:rPr>
          <w:rFonts w:ascii="細明體_HKSCS" w:eastAsia="細明體_HKSCS" w:hint="eastAsia"/>
        </w:rPr>
        <w:t>10</w:t>
      </w:r>
      <w:r>
        <w:rPr>
          <w:rFonts w:ascii="細明體_HKSCS" w:eastAsia="細明體_HKSCS" w:hint="eastAsia"/>
          <w:spacing w:val="-81"/>
        </w:rPr>
        <w:t> </w:t>
      </w:r>
      <w:r>
        <w:rPr>
          <w:spacing w:val="-40"/>
        </w:rPr>
        <w:t>月 </w:t>
      </w:r>
      <w:r>
        <w:rPr>
          <w:rFonts w:ascii="細明體_HKSCS" w:eastAsia="細明體_HKSCS" w:hint="eastAsia"/>
        </w:rPr>
        <w:t>28</w:t>
      </w:r>
      <w:r>
        <w:rPr>
          <w:rFonts w:ascii="細明體_HKSCS" w:eastAsia="細明體_HKSCS" w:hint="eastAsia"/>
          <w:spacing w:val="-83"/>
        </w:rPr>
        <w:t> </w:t>
      </w:r>
      <w:r>
        <w:rPr>
          <w:spacing w:val="-22"/>
        </w:rPr>
        <w:t>日 公保 字 第</w:t>
      </w:r>
    </w:p>
    <w:p>
      <w:pPr>
        <w:pStyle w:val="BodyText"/>
        <w:spacing w:line="268" w:lineRule="auto"/>
        <w:ind w:left="1110" w:right="270"/>
      </w:pPr>
      <w:r>
        <w:rPr>
          <w:rFonts w:ascii="細明體_HKSCS" w:eastAsia="細明體_HKSCS" w:hint="eastAsia"/>
          <w:w w:val="95"/>
        </w:rPr>
        <w:t>1041060456</w:t>
      </w:r>
      <w:r>
        <w:rPr>
          <w:spacing w:val="4"/>
          <w:w w:val="95"/>
        </w:rPr>
        <w:t>號函知各機關在案。另檢察官職務評定為未達 </w:t>
      </w:r>
      <w:r>
        <w:rPr>
          <w:spacing w:val="1"/>
        </w:rPr>
        <w:t>良好事件，比照公務人員考績</w:t>
      </w:r>
      <w:r>
        <w:rPr/>
        <w:t>（</w:t>
      </w:r>
      <w:r>
        <w:rPr>
          <w:spacing w:val="4"/>
        </w:rPr>
        <w:t>成）</w:t>
      </w:r>
      <w:r>
        <w:rPr/>
        <w:t>丙等事件，自同日起改依復審程序處理。</w:t>
      </w:r>
    </w:p>
    <w:p>
      <w:pPr>
        <w:pStyle w:val="Heading1"/>
      </w:pPr>
      <w:r>
        <w:rPr/>
        <w:t>肆、保障法規重要函釋</w:t>
      </w:r>
    </w:p>
    <w:p>
      <w:pPr>
        <w:pStyle w:val="BodyText"/>
        <w:spacing w:before="215"/>
        <w:ind w:left="759"/>
      </w:pPr>
      <w:r>
        <w:rPr/>
        <w:t>本會於</w:t>
      </w:r>
      <w:r>
        <w:rPr>
          <w:rFonts w:ascii="細明體_HKSCS" w:eastAsia="細明體_HKSCS" w:hint="eastAsia"/>
        </w:rPr>
        <w:t>104</w:t>
      </w:r>
      <w:r>
        <w:rPr/>
        <w:t>年發布下列與公務人員一般健康檢查實施要點相</w:t>
      </w:r>
    </w:p>
    <w:p>
      <w:pPr>
        <w:spacing w:after="0"/>
        <w:sectPr>
          <w:pgSz w:w="11910" w:h="16840"/>
          <w:pgMar w:header="0" w:footer="1017" w:top="1180" w:bottom="1200" w:left="1300" w:right="1140"/>
        </w:sectPr>
      </w:pPr>
    </w:p>
    <w:p>
      <w:pPr>
        <w:pStyle w:val="BodyText"/>
        <w:spacing w:before="15"/>
        <w:ind w:left="821"/>
        <w:jc w:val="left"/>
      </w:pPr>
      <w:r>
        <w:rPr/>
        <w:t>關之重要函釋，均已公布於本會網站︰</w:t>
      </w:r>
    </w:p>
    <w:p>
      <w:pPr>
        <w:pStyle w:val="BodyText"/>
        <w:spacing w:line="268" w:lineRule="auto" w:before="254"/>
        <w:ind w:left="1110" w:right="269" w:hanging="992"/>
        <w:jc w:val="left"/>
      </w:pPr>
      <w:r>
        <w:rPr/>
        <w:t>（一）</w:t>
      </w:r>
      <w:r>
        <w:rPr>
          <w:rFonts w:ascii="細明體_HKSCS" w:eastAsia="細明體_HKSCS" w:hint="eastAsia"/>
        </w:rPr>
        <w:t>104</w:t>
      </w:r>
      <w:r>
        <w:rPr/>
        <w:t>年</w:t>
      </w:r>
      <w:r>
        <w:rPr>
          <w:rFonts w:ascii="細明體_HKSCS" w:eastAsia="細明體_HKSCS" w:hint="eastAsia"/>
        </w:rPr>
        <w:t>5</w:t>
      </w:r>
      <w:r>
        <w:rPr/>
        <w:t>月</w:t>
      </w:r>
      <w:r>
        <w:rPr>
          <w:rFonts w:ascii="細明體_HKSCS" w:eastAsia="細明體_HKSCS" w:hint="eastAsia"/>
        </w:rPr>
        <w:t>14</w:t>
      </w:r>
      <w:r>
        <w:rPr/>
        <w:t>日公保字第</w:t>
      </w:r>
      <w:r>
        <w:rPr>
          <w:rFonts w:ascii="細明體_HKSCS" w:eastAsia="細明體_HKSCS" w:hint="eastAsia"/>
        </w:rPr>
        <w:t>1040007043</w:t>
      </w:r>
      <w:r>
        <w:rPr/>
        <w:t>號及</w:t>
      </w:r>
      <w:r>
        <w:rPr>
          <w:rFonts w:ascii="細明體_HKSCS" w:eastAsia="細明體_HKSCS" w:hint="eastAsia"/>
        </w:rPr>
        <w:t>104</w:t>
      </w:r>
      <w:r>
        <w:rPr/>
        <w:t>年</w:t>
      </w:r>
      <w:r>
        <w:rPr>
          <w:rFonts w:ascii="細明體_HKSCS" w:eastAsia="細明體_HKSCS" w:hint="eastAsia"/>
        </w:rPr>
        <w:t>8</w:t>
      </w:r>
      <w:r>
        <w:rPr/>
        <w:t>月</w:t>
      </w:r>
      <w:r>
        <w:rPr>
          <w:rFonts w:ascii="細明體_HKSCS" w:eastAsia="細明體_HKSCS" w:hint="eastAsia"/>
        </w:rPr>
        <w:t>19</w:t>
      </w:r>
      <w:r>
        <w:rPr/>
        <w:t>日公保字第</w:t>
      </w:r>
      <w:r>
        <w:rPr>
          <w:rFonts w:ascii="細明體_HKSCS" w:eastAsia="細明體_HKSCS" w:hint="eastAsia"/>
        </w:rPr>
        <w:t>1041060352</w:t>
      </w:r>
      <w:r>
        <w:rPr/>
        <w:t>號函釋</w:t>
      </w:r>
    </w:p>
    <w:p>
      <w:pPr>
        <w:pStyle w:val="Heading1"/>
        <w:ind w:left="968"/>
        <w:rPr>
          <w:rFonts w:ascii="標楷體" w:eastAsia="標楷體" w:hint="eastAsia"/>
          <w:b w:val="0"/>
        </w:rPr>
      </w:pPr>
      <w:r>
        <w:rPr>
          <w:rFonts w:ascii="標楷體" w:eastAsia="標楷體" w:hint="eastAsia"/>
          <w:b w:val="0"/>
        </w:rPr>
        <w:t>【</w:t>
      </w:r>
      <w:r>
        <w:rPr/>
        <w:t>關於公務人員一般健康檢查之醫療機構範圍</w:t>
      </w:r>
      <w:r>
        <w:rPr>
          <w:rFonts w:ascii="標楷體" w:eastAsia="標楷體" w:hint="eastAsia"/>
          <w:b w:val="0"/>
        </w:rPr>
        <w:t>】</w:t>
      </w:r>
    </w:p>
    <w:p>
      <w:pPr>
        <w:pStyle w:val="BodyText"/>
        <w:spacing w:line="268" w:lineRule="auto" w:before="218"/>
        <w:ind w:left="1110" w:right="277"/>
      </w:pPr>
      <w:r>
        <w:rPr>
          <w:spacing w:val="12"/>
          <w:w w:val="95"/>
        </w:rPr>
        <w:t>自</w:t>
      </w:r>
      <w:r>
        <w:rPr>
          <w:rFonts w:ascii="細明體_HKSCS" w:eastAsia="細明體_HKSCS" w:hint="eastAsia"/>
          <w:spacing w:val="3"/>
          <w:w w:val="95"/>
        </w:rPr>
        <w:t>105</w:t>
      </w:r>
      <w:r>
        <w:rPr>
          <w:spacing w:val="12"/>
          <w:w w:val="95"/>
        </w:rPr>
        <w:t>年</w:t>
      </w:r>
      <w:r>
        <w:rPr>
          <w:rFonts w:ascii="細明體_HKSCS" w:eastAsia="細明體_HKSCS" w:hint="eastAsia"/>
          <w:spacing w:val="10"/>
          <w:w w:val="95"/>
        </w:rPr>
        <w:t>1</w:t>
      </w:r>
      <w:r>
        <w:rPr>
          <w:spacing w:val="10"/>
          <w:w w:val="95"/>
        </w:rPr>
        <w:t>月</w:t>
      </w:r>
      <w:r>
        <w:rPr>
          <w:rFonts w:ascii="細明體_HKSCS" w:eastAsia="細明體_HKSCS" w:hint="eastAsia"/>
          <w:spacing w:val="10"/>
          <w:w w:val="95"/>
        </w:rPr>
        <w:t>1</w:t>
      </w:r>
      <w:r>
        <w:rPr>
          <w:spacing w:val="8"/>
          <w:w w:val="95"/>
        </w:rPr>
        <w:t>日起，公務人員應於下列醫療機構實施一般</w:t>
      </w:r>
      <w:r>
        <w:rPr>
          <w:w w:val="99"/>
        </w:rPr>
        <w:t>健</w:t>
      </w:r>
      <w:r>
        <w:rPr>
          <w:spacing w:val="8"/>
        </w:rPr>
        <w:t> </w:t>
      </w:r>
      <w:r>
        <w:rPr>
          <w:spacing w:val="3"/>
          <w:w w:val="99"/>
        </w:rPr>
        <w:t>康檢查</w:t>
      </w:r>
      <w:r>
        <w:rPr>
          <w:spacing w:val="4"/>
          <w:w w:val="99"/>
        </w:rPr>
        <w:t>（</w:t>
      </w:r>
      <w:r>
        <w:rPr>
          <w:spacing w:val="2"/>
          <w:w w:val="99"/>
        </w:rPr>
        <w:t>以下簡稱一般健檢</w:t>
      </w:r>
      <w:r>
        <w:rPr>
          <w:spacing w:val="-154"/>
          <w:w w:val="99"/>
        </w:rPr>
        <w:t>）</w:t>
      </w:r>
      <w:r>
        <w:rPr>
          <w:spacing w:val="1"/>
          <w:w w:val="99"/>
        </w:rPr>
        <w:t>，如前往限定範圍以外之</w:t>
      </w:r>
      <w:r>
        <w:rPr/>
        <w:t>醫療機構實施者，不予補助經費：</w:t>
      </w:r>
    </w:p>
    <w:p>
      <w:pPr>
        <w:pStyle w:val="ListParagraph"/>
        <w:numPr>
          <w:ilvl w:val="0"/>
          <w:numId w:val="7"/>
        </w:numPr>
        <w:tabs>
          <w:tab w:pos="1326" w:val="left" w:leader="none"/>
        </w:tabs>
        <w:spacing w:line="444" w:lineRule="exact" w:before="0" w:after="0"/>
        <w:ind w:left="1326" w:right="0" w:hanging="356"/>
        <w:jc w:val="left"/>
        <w:rPr>
          <w:sz w:val="32"/>
        </w:rPr>
      </w:pPr>
      <w:r>
        <w:rPr>
          <w:sz w:val="32"/>
        </w:rPr>
        <w:t>衛生主管機關評鑑合格之醫療機構。</w:t>
      </w:r>
    </w:p>
    <w:p>
      <w:pPr>
        <w:pStyle w:val="ListParagraph"/>
        <w:numPr>
          <w:ilvl w:val="0"/>
          <w:numId w:val="7"/>
        </w:numPr>
        <w:tabs>
          <w:tab w:pos="1326" w:val="left" w:leader="none"/>
        </w:tabs>
        <w:spacing w:line="268" w:lineRule="auto" w:before="52" w:after="0"/>
        <w:ind w:left="1326" w:right="283" w:hanging="356"/>
        <w:jc w:val="left"/>
        <w:rPr>
          <w:sz w:val="32"/>
        </w:rPr>
      </w:pPr>
      <w:r>
        <w:rPr>
          <w:spacing w:val="20"/>
          <w:w w:val="95"/>
          <w:sz w:val="32"/>
        </w:rPr>
        <w:t>經財團法人醫院評鑑暨品質策進會健康品質認證之診 </w:t>
      </w:r>
      <w:r>
        <w:rPr>
          <w:spacing w:val="20"/>
          <w:sz w:val="32"/>
        </w:rPr>
        <w:t>所。</w:t>
      </w:r>
    </w:p>
    <w:p>
      <w:pPr>
        <w:pStyle w:val="ListParagraph"/>
        <w:numPr>
          <w:ilvl w:val="0"/>
          <w:numId w:val="7"/>
        </w:numPr>
        <w:tabs>
          <w:tab w:pos="1326" w:val="left" w:leader="none"/>
        </w:tabs>
        <w:spacing w:line="268" w:lineRule="auto" w:before="0" w:after="0"/>
        <w:ind w:left="1326" w:right="283" w:hanging="356"/>
        <w:jc w:val="left"/>
        <w:rPr>
          <w:sz w:val="32"/>
        </w:rPr>
      </w:pPr>
      <w:r>
        <w:rPr>
          <w:spacing w:val="20"/>
          <w:w w:val="95"/>
          <w:sz w:val="32"/>
        </w:rPr>
        <w:t>經勞動部認可辦理勞工一般體格與健康檢查之醫療機 </w:t>
      </w:r>
      <w:r>
        <w:rPr>
          <w:spacing w:val="20"/>
          <w:sz w:val="32"/>
        </w:rPr>
        <w:t>構。</w:t>
      </w:r>
    </w:p>
    <w:p>
      <w:pPr>
        <w:pStyle w:val="BodyText"/>
        <w:spacing w:line="444" w:lineRule="exact"/>
        <w:ind w:left="1198"/>
        <w:jc w:val="left"/>
      </w:pPr>
      <w:r>
        <w:rPr/>
        <w:t>上 開 醫 療 醫 構 之 名 單 ， 可 至 本 會 網 站</w:t>
      </w:r>
    </w:p>
    <w:p>
      <w:pPr>
        <w:pStyle w:val="BodyText"/>
        <w:spacing w:line="268" w:lineRule="auto" w:before="53"/>
        <w:ind w:left="1230" w:right="276"/>
      </w:pPr>
      <w:r>
        <w:rPr/>
        <w:t>（</w:t>
      </w:r>
      <w:hyperlink r:id="rId6">
        <w:r>
          <w:rPr>
            <w:rFonts w:ascii="細明體_HKSCS" w:eastAsia="細明體_HKSCS" w:hint="eastAsia"/>
          </w:rPr>
          <w:t>http://www.csptc.gov.tw/</w:t>
        </w:r>
        <w:r>
          <w:rPr>
            <w:spacing w:val="9"/>
          </w:rPr>
          <w:t>保障業務</w:t>
        </w:r>
        <w:r>
          <w:rPr>
            <w:rFonts w:ascii="細明體_HKSCS" w:eastAsia="細明體_HKSCS" w:hint="eastAsia"/>
            <w:spacing w:val="8"/>
          </w:rPr>
          <w:t>/</w:t>
        </w:r>
        <w:r>
          <w:rPr>
            <w:spacing w:val="7"/>
          </w:rPr>
          <w:t>辦理公務人員一</w:t>
        </w:r>
      </w:hyperlink>
      <w:r>
        <w:rPr>
          <w:spacing w:val="11"/>
          <w:w w:val="95"/>
        </w:rPr>
        <w:t>般健康檢查醫療機構</w:t>
      </w:r>
      <w:r>
        <w:rPr>
          <w:spacing w:val="14"/>
          <w:w w:val="95"/>
        </w:rPr>
        <w:t>）</w:t>
      </w:r>
      <w:r>
        <w:rPr>
          <w:spacing w:val="10"/>
          <w:w w:val="95"/>
        </w:rPr>
        <w:t>查詢，並請務必確認各該醫療機 </w:t>
      </w:r>
      <w:r>
        <w:rPr>
          <w:spacing w:val="10"/>
        </w:rPr>
        <w:t>構是否尚在評鑑（認證）合格或認可之有效期限內。</w:t>
      </w:r>
    </w:p>
    <w:p>
      <w:pPr>
        <w:pStyle w:val="BodyText"/>
        <w:spacing w:before="196"/>
        <w:ind w:left="118"/>
        <w:jc w:val="left"/>
      </w:pPr>
      <w:r>
        <w:rPr/>
        <w:t>（二）</w:t>
      </w:r>
      <w:r>
        <w:rPr>
          <w:rFonts w:ascii="細明體_HKSCS" w:eastAsia="細明體_HKSCS" w:hint="eastAsia"/>
        </w:rPr>
        <w:t>104</w:t>
      </w:r>
      <w:r>
        <w:rPr/>
        <w:t>年</w:t>
      </w:r>
      <w:r>
        <w:rPr>
          <w:rFonts w:ascii="細明體_HKSCS" w:eastAsia="細明體_HKSCS" w:hint="eastAsia"/>
        </w:rPr>
        <w:t>3</w:t>
      </w:r>
      <w:r>
        <w:rPr/>
        <w:t>月</w:t>
      </w:r>
      <w:r>
        <w:rPr>
          <w:rFonts w:ascii="細明體_HKSCS" w:eastAsia="細明體_HKSCS" w:hint="eastAsia"/>
        </w:rPr>
        <w:t>4</w:t>
      </w:r>
      <w:r>
        <w:rPr/>
        <w:t>日公保字第</w:t>
      </w:r>
      <w:r>
        <w:rPr>
          <w:rFonts w:ascii="細明體_HKSCS" w:eastAsia="細明體_HKSCS" w:hint="eastAsia"/>
        </w:rPr>
        <w:t>1040001795</w:t>
      </w:r>
      <w:r>
        <w:rPr/>
        <w:t>號函釋</w:t>
      </w:r>
    </w:p>
    <w:p>
      <w:pPr>
        <w:pStyle w:val="Heading1"/>
        <w:spacing w:line="204" w:lineRule="auto" w:before="209"/>
        <w:ind w:left="1110" w:right="281" w:hanging="142"/>
        <w:rPr>
          <w:rFonts w:ascii="標楷體" w:eastAsia="標楷體" w:hint="eastAsia"/>
          <w:b w:val="0"/>
        </w:rPr>
      </w:pPr>
      <w:r>
        <w:rPr>
          <w:rFonts w:ascii="標楷體" w:eastAsia="標楷體" w:hint="eastAsia"/>
          <w:b w:val="0"/>
          <w:spacing w:val="24"/>
          <w:w w:val="95"/>
        </w:rPr>
        <w:t>【</w:t>
      </w:r>
      <w:r>
        <w:rPr>
          <w:spacing w:val="24"/>
          <w:w w:val="95"/>
        </w:rPr>
        <w:t>關於鄉</w:t>
      </w:r>
      <w:r>
        <w:rPr>
          <w:spacing w:val="23"/>
          <w:w w:val="95"/>
        </w:rPr>
        <w:t>（鎮、市）</w:t>
      </w:r>
      <w:r>
        <w:rPr>
          <w:spacing w:val="21"/>
          <w:w w:val="95"/>
        </w:rPr>
        <w:t>首長一般健檢之實施次數及補助金 </w:t>
      </w:r>
      <w:r>
        <w:rPr>
          <w:spacing w:val="21"/>
        </w:rPr>
        <w:t>額，得否比照縣（市）</w:t>
      </w:r>
      <w:r>
        <w:rPr>
          <w:spacing w:val="19"/>
        </w:rPr>
        <w:t>政府一級機關首長辦理</w:t>
      </w:r>
      <w:r>
        <w:rPr>
          <w:rFonts w:ascii="標楷體" w:eastAsia="標楷體" w:hint="eastAsia"/>
          <w:b w:val="0"/>
        </w:rPr>
        <w:t>】</w:t>
      </w:r>
    </w:p>
    <w:p>
      <w:pPr>
        <w:pStyle w:val="ListParagraph"/>
        <w:numPr>
          <w:ilvl w:val="0"/>
          <w:numId w:val="8"/>
        </w:numPr>
        <w:tabs>
          <w:tab w:pos="1331" w:val="left" w:leader="none"/>
        </w:tabs>
        <w:spacing w:line="240" w:lineRule="auto" w:before="40" w:after="0"/>
        <w:ind w:left="1330" w:right="0" w:hanging="360"/>
        <w:jc w:val="left"/>
        <w:rPr>
          <w:sz w:val="32"/>
        </w:rPr>
      </w:pPr>
      <w:r>
        <w:rPr>
          <w:sz w:val="32"/>
        </w:rPr>
        <w:t>實施次數</w:t>
      </w:r>
    </w:p>
    <w:p>
      <w:pPr>
        <w:pStyle w:val="BodyText"/>
        <w:spacing w:line="268" w:lineRule="auto" w:before="253"/>
        <w:ind w:left="1110" w:right="269" w:hanging="32"/>
      </w:pPr>
      <w:r>
        <w:rPr>
          <w:spacing w:val="7"/>
          <w:w w:val="95"/>
        </w:rPr>
        <w:t>鄉</w:t>
      </w:r>
      <w:r>
        <w:rPr>
          <w:spacing w:val="4"/>
          <w:w w:val="95"/>
        </w:rPr>
        <w:t>（</w:t>
      </w:r>
      <w:r>
        <w:rPr>
          <w:spacing w:val="5"/>
          <w:w w:val="95"/>
        </w:rPr>
        <w:t>鎮、市</w:t>
      </w:r>
      <w:r>
        <w:rPr>
          <w:spacing w:val="4"/>
          <w:w w:val="95"/>
        </w:rPr>
        <w:t>）首長係屬公務人員安全及衛生防護辦法第</w:t>
      </w:r>
      <w:r>
        <w:rPr>
          <w:rFonts w:ascii="細明體_HKSCS" w:eastAsia="細明體_HKSCS" w:hint="eastAsia"/>
          <w:w w:val="95"/>
        </w:rPr>
        <w:t>32 </w:t>
      </w:r>
      <w:r>
        <w:rPr>
          <w:spacing w:val="10"/>
          <w:w w:val="95"/>
        </w:rPr>
        <w:t>條第</w:t>
      </w:r>
      <w:r>
        <w:rPr>
          <w:rFonts w:ascii="細明體_HKSCS" w:eastAsia="細明體_HKSCS" w:hint="eastAsia"/>
          <w:spacing w:val="10"/>
          <w:w w:val="95"/>
        </w:rPr>
        <w:t>1</w:t>
      </w:r>
      <w:r>
        <w:rPr>
          <w:spacing w:val="10"/>
          <w:w w:val="95"/>
        </w:rPr>
        <w:t>項第</w:t>
      </w:r>
      <w:r>
        <w:rPr>
          <w:rFonts w:ascii="細明體_HKSCS" w:eastAsia="細明體_HKSCS" w:hint="eastAsia"/>
          <w:spacing w:val="9"/>
          <w:w w:val="95"/>
        </w:rPr>
        <w:t>2</w:t>
      </w:r>
      <w:r>
        <w:rPr>
          <w:spacing w:val="-3"/>
          <w:w w:val="95"/>
        </w:rPr>
        <w:t>款所稱「民選公職人員」，得比照公務人員一 </w:t>
      </w:r>
      <w:r>
        <w:rPr/>
        <w:t>般健康檢查實施要點規定辦理一般健檢，其實施次數，宜</w:t>
      </w:r>
      <w:r>
        <w:rPr>
          <w:spacing w:val="2"/>
        </w:rPr>
        <w:t>參照直轄市、縣</w:t>
      </w:r>
      <w:r>
        <w:rPr>
          <w:spacing w:val="4"/>
        </w:rPr>
        <w:t>（市）</w:t>
      </w:r>
      <w:r>
        <w:rPr/>
        <w:t>各區區長辦理；惟各機關現行規定如優於健檢要點之規定，仍得依現行規定辦理。</w:t>
      </w:r>
    </w:p>
    <w:p>
      <w:pPr>
        <w:pStyle w:val="ListParagraph"/>
        <w:numPr>
          <w:ilvl w:val="0"/>
          <w:numId w:val="8"/>
        </w:numPr>
        <w:tabs>
          <w:tab w:pos="1331" w:val="left" w:leader="none"/>
        </w:tabs>
        <w:spacing w:line="440" w:lineRule="exact" w:before="0" w:after="0"/>
        <w:ind w:left="1330" w:right="0" w:hanging="360"/>
        <w:jc w:val="left"/>
        <w:rPr>
          <w:sz w:val="32"/>
        </w:rPr>
      </w:pPr>
      <w:r>
        <w:rPr>
          <w:sz w:val="32"/>
        </w:rPr>
        <w:t>補助金額</w:t>
      </w:r>
    </w:p>
    <w:p>
      <w:pPr>
        <w:spacing w:after="0" w:line="440" w:lineRule="exact"/>
        <w:jc w:val="left"/>
        <w:rPr>
          <w:sz w:val="32"/>
        </w:rPr>
        <w:sectPr>
          <w:pgSz w:w="11910" w:h="16840"/>
          <w:pgMar w:header="0" w:footer="1017" w:top="1180" w:bottom="1200" w:left="1300" w:right="1140"/>
        </w:sectPr>
      </w:pPr>
    </w:p>
    <w:p>
      <w:pPr>
        <w:pStyle w:val="BodyText"/>
        <w:spacing w:line="268" w:lineRule="auto" w:before="15"/>
        <w:ind w:left="1110" w:right="274" w:hanging="63"/>
      </w:pPr>
      <w:r>
        <w:rPr>
          <w:spacing w:val="18"/>
          <w:w w:val="95"/>
        </w:rPr>
        <w:t>健檢要點並未明文規範一般健檢之補助金額，鄉</w:t>
      </w:r>
      <w:r>
        <w:rPr>
          <w:spacing w:val="21"/>
          <w:w w:val="95"/>
        </w:rPr>
        <w:t>（</w:t>
      </w:r>
      <w:r>
        <w:rPr>
          <w:spacing w:val="13"/>
          <w:w w:val="95"/>
        </w:rPr>
        <w:t>鎮、 </w:t>
      </w:r>
      <w:r>
        <w:rPr>
          <w:spacing w:val="4"/>
        </w:rPr>
        <w:t>市）</w:t>
      </w:r>
      <w:r>
        <w:rPr/>
        <w:t>首長得參照上級縣市政府單行規章或行政院人事行政</w:t>
      </w:r>
      <w:r>
        <w:rPr>
          <w:spacing w:val="4"/>
        </w:rPr>
        <w:t>總處於</w:t>
      </w:r>
      <w:r>
        <w:rPr>
          <w:rFonts w:ascii="細明體_HKSCS" w:eastAsia="細明體_HKSCS" w:hint="eastAsia"/>
        </w:rPr>
        <w:t>104</w:t>
      </w:r>
      <w:r>
        <w:rPr>
          <w:spacing w:val="5"/>
        </w:rPr>
        <w:t>年</w:t>
      </w:r>
      <w:r>
        <w:rPr>
          <w:rFonts w:ascii="細明體_HKSCS" w:eastAsia="細明體_HKSCS" w:hint="eastAsia"/>
          <w:spacing w:val="3"/>
        </w:rPr>
        <w:t>1</w:t>
      </w:r>
      <w:r>
        <w:rPr/>
        <w:t>月</w:t>
      </w:r>
      <w:r>
        <w:rPr>
          <w:rFonts w:ascii="細明體_HKSCS" w:eastAsia="細明體_HKSCS" w:hint="eastAsia"/>
        </w:rPr>
        <w:t>28</w:t>
      </w:r>
      <w:r>
        <w:rPr>
          <w:spacing w:val="1"/>
        </w:rPr>
        <w:t>日頒訂之「中央機關</w:t>
      </w:r>
      <w:r>
        <w:rPr>
          <w:rFonts w:ascii="細明體_HKSCS" w:eastAsia="細明體_HKSCS" w:hint="eastAsia"/>
          <w:spacing w:val="3"/>
        </w:rPr>
        <w:t>(</w:t>
      </w:r>
      <w:r>
        <w:rPr>
          <w:spacing w:val="4"/>
        </w:rPr>
        <w:t>構</w:t>
      </w:r>
      <w:r>
        <w:rPr>
          <w:rFonts w:ascii="細明體_HKSCS" w:eastAsia="細明體_HKSCS" w:hint="eastAsia"/>
          <w:spacing w:val="3"/>
        </w:rPr>
        <w:t>)</w:t>
      </w:r>
      <w:r>
        <w:rPr/>
        <w:t>員工一般健康</w:t>
      </w:r>
      <w:r>
        <w:rPr>
          <w:spacing w:val="3"/>
          <w:w w:val="95"/>
        </w:rPr>
        <w:t>檢查補助基準表」</w:t>
      </w:r>
      <w:r>
        <w:rPr>
          <w:spacing w:val="26"/>
          <w:w w:val="95"/>
        </w:rPr>
        <w:t>（</w:t>
      </w:r>
      <w:r>
        <w:rPr>
          <w:spacing w:val="23"/>
          <w:w w:val="95"/>
        </w:rPr>
        <w:t>以下簡稱補助基準表</w:t>
      </w:r>
      <w:r>
        <w:rPr>
          <w:spacing w:val="26"/>
          <w:w w:val="95"/>
        </w:rPr>
        <w:t>）</w:t>
      </w:r>
      <w:r>
        <w:rPr>
          <w:spacing w:val="18"/>
          <w:w w:val="95"/>
        </w:rPr>
        <w:t>備註一、規 </w:t>
      </w:r>
      <w:r>
        <w:rPr>
          <w:spacing w:val="18"/>
        </w:rPr>
        <w:t>定，自行規劃辦理。</w:t>
      </w:r>
    </w:p>
    <w:p>
      <w:pPr>
        <w:pStyle w:val="BodyText"/>
        <w:spacing w:before="194"/>
        <w:ind w:left="118"/>
        <w:jc w:val="left"/>
      </w:pPr>
      <w:r>
        <w:rPr/>
        <w:t>（三）</w:t>
      </w:r>
      <w:r>
        <w:rPr>
          <w:rFonts w:ascii="細明體_HKSCS" w:eastAsia="細明體_HKSCS" w:hint="eastAsia"/>
        </w:rPr>
        <w:t>104</w:t>
      </w:r>
      <w:r>
        <w:rPr/>
        <w:t>年</w:t>
      </w:r>
      <w:r>
        <w:rPr>
          <w:rFonts w:ascii="細明體_HKSCS" w:eastAsia="細明體_HKSCS" w:hint="eastAsia"/>
        </w:rPr>
        <w:t>12</w:t>
      </w:r>
      <w:r>
        <w:rPr/>
        <w:t>月</w:t>
      </w:r>
      <w:r>
        <w:rPr>
          <w:rFonts w:ascii="細明體_HKSCS" w:eastAsia="細明體_HKSCS" w:hint="eastAsia"/>
        </w:rPr>
        <w:t>16</w:t>
      </w:r>
      <w:r>
        <w:rPr/>
        <w:t>日公保字第</w:t>
      </w:r>
      <w:r>
        <w:rPr>
          <w:rFonts w:ascii="細明體_HKSCS" w:eastAsia="細明體_HKSCS" w:hint="eastAsia"/>
        </w:rPr>
        <w:t>1040016848</w:t>
      </w:r>
      <w:r>
        <w:rPr/>
        <w:t>號函釋</w:t>
      </w:r>
    </w:p>
    <w:p>
      <w:pPr>
        <w:pStyle w:val="Heading1"/>
        <w:spacing w:line="204" w:lineRule="auto" w:before="209"/>
        <w:ind w:left="1110" w:right="280"/>
        <w:jc w:val="both"/>
        <w:rPr>
          <w:rFonts w:ascii="標楷體" w:eastAsia="標楷體" w:hint="eastAsia"/>
          <w:b w:val="0"/>
        </w:rPr>
      </w:pPr>
      <w:r>
        <w:rPr>
          <w:rFonts w:ascii="標楷體" w:eastAsia="標楷體" w:hint="eastAsia"/>
          <w:b w:val="0"/>
        </w:rPr>
        <w:t>【</w:t>
      </w:r>
      <w:r>
        <w:rPr/>
        <w:t>關於中央二級機關司長於年度內調任非主管人員，並代理主任秘書職務，得否因公務繁忙，於同年度內保留司長之一般健檢受檢資格，並補助司長等級之健康檢查費用</w:t>
      </w:r>
      <w:r>
        <w:rPr>
          <w:rFonts w:ascii="標楷體" w:eastAsia="標楷體" w:hint="eastAsia"/>
          <w:b w:val="0"/>
        </w:rPr>
        <w:t>】</w:t>
      </w:r>
    </w:p>
    <w:p>
      <w:pPr>
        <w:pStyle w:val="BodyText"/>
        <w:spacing w:line="268" w:lineRule="auto" w:before="241"/>
        <w:ind w:left="1110" w:right="274"/>
      </w:pPr>
      <w:r>
        <w:rPr/>
        <w:t>中央二級機關以上簡任第十二職等以上非主管人員，依法令兼任簡任第十二職等主管人員，始屬公務人員一般健康</w:t>
      </w:r>
      <w:r>
        <w:rPr>
          <w:spacing w:val="9"/>
          <w:w w:val="95"/>
        </w:rPr>
        <w:t>檢查實施要點第</w:t>
      </w:r>
      <w:r>
        <w:rPr>
          <w:rFonts w:ascii="細明體_HKSCS" w:eastAsia="細明體_HKSCS" w:hint="eastAsia"/>
          <w:spacing w:val="10"/>
          <w:w w:val="95"/>
        </w:rPr>
        <w:t>3</w:t>
      </w:r>
      <w:r>
        <w:rPr>
          <w:spacing w:val="10"/>
          <w:w w:val="95"/>
        </w:rPr>
        <w:t>點第</w:t>
      </w:r>
      <w:r>
        <w:rPr>
          <w:rFonts w:ascii="細明體_HKSCS" w:eastAsia="細明體_HKSCS" w:hint="eastAsia"/>
          <w:spacing w:val="8"/>
          <w:w w:val="95"/>
        </w:rPr>
        <w:t>1</w:t>
      </w:r>
      <w:r>
        <w:rPr>
          <w:spacing w:val="10"/>
          <w:w w:val="95"/>
        </w:rPr>
        <w:t>項第</w:t>
      </w:r>
      <w:r>
        <w:rPr>
          <w:rFonts w:ascii="細明體_HKSCS" w:eastAsia="細明體_HKSCS" w:hint="eastAsia"/>
          <w:spacing w:val="10"/>
          <w:w w:val="95"/>
        </w:rPr>
        <w:t>1</w:t>
      </w:r>
      <w:r>
        <w:rPr>
          <w:spacing w:val="8"/>
          <w:w w:val="95"/>
        </w:rPr>
        <w:t>款所定主管人員，得適用該 </w:t>
      </w:r>
      <w:r>
        <w:rPr>
          <w:spacing w:val="10"/>
          <w:w w:val="95"/>
        </w:rPr>
        <w:t>要點第</w:t>
      </w:r>
      <w:r>
        <w:rPr>
          <w:rFonts w:ascii="細明體_HKSCS" w:eastAsia="細明體_HKSCS" w:hint="eastAsia"/>
          <w:spacing w:val="8"/>
          <w:w w:val="95"/>
        </w:rPr>
        <w:t>4</w:t>
      </w:r>
      <w:r>
        <w:rPr>
          <w:spacing w:val="10"/>
          <w:w w:val="95"/>
        </w:rPr>
        <w:t>點第</w:t>
      </w:r>
      <w:r>
        <w:rPr>
          <w:rFonts w:ascii="細明體_HKSCS" w:eastAsia="細明體_HKSCS" w:hint="eastAsia"/>
          <w:spacing w:val="8"/>
          <w:w w:val="95"/>
        </w:rPr>
        <w:t>2</w:t>
      </w:r>
      <w:r>
        <w:rPr>
          <w:spacing w:val="10"/>
          <w:w w:val="95"/>
        </w:rPr>
        <w:t>項第</w:t>
      </w:r>
      <w:r>
        <w:rPr>
          <w:rFonts w:ascii="細明體_HKSCS" w:eastAsia="細明體_HKSCS" w:hint="eastAsia"/>
          <w:spacing w:val="8"/>
          <w:w w:val="95"/>
        </w:rPr>
        <w:t>1</w:t>
      </w:r>
      <w:r>
        <w:rPr>
          <w:spacing w:val="8"/>
          <w:w w:val="95"/>
        </w:rPr>
        <w:t>款，及補助基準表所定第一類人員補 </w:t>
      </w:r>
      <w:r>
        <w:rPr/>
        <w:t>助對象三、之規定。代理簡任第十二職等主管人員職務之情形，即無從適用上開規定，亦不生得於同年度內保留主管人員受檢資格及補助該等級之健康檢查費用問題。</w:t>
      </w:r>
    </w:p>
    <w:p>
      <w:pPr>
        <w:pStyle w:val="BodyText"/>
        <w:spacing w:before="193"/>
        <w:ind w:left="118"/>
        <w:jc w:val="left"/>
      </w:pPr>
      <w:r>
        <w:rPr/>
        <w:t>（四）</w:t>
      </w:r>
      <w:r>
        <w:rPr>
          <w:rFonts w:ascii="細明體_HKSCS" w:eastAsia="細明體_HKSCS" w:hint="eastAsia"/>
        </w:rPr>
        <w:t>105</w:t>
      </w:r>
      <w:r>
        <w:rPr/>
        <w:t>年</w:t>
      </w:r>
      <w:r>
        <w:rPr>
          <w:rFonts w:ascii="細明體_HKSCS" w:eastAsia="細明體_HKSCS" w:hint="eastAsia"/>
        </w:rPr>
        <w:t>7</w:t>
      </w:r>
      <w:r>
        <w:rPr/>
        <w:t>月</w:t>
      </w:r>
      <w:r>
        <w:rPr>
          <w:rFonts w:ascii="細明體_HKSCS" w:eastAsia="細明體_HKSCS" w:hint="eastAsia"/>
        </w:rPr>
        <w:t>21</w:t>
      </w:r>
      <w:r>
        <w:rPr/>
        <w:t>日公地保字第</w:t>
      </w:r>
      <w:r>
        <w:rPr>
          <w:rFonts w:ascii="細明體_HKSCS" w:eastAsia="細明體_HKSCS" w:hint="eastAsia"/>
        </w:rPr>
        <w:t>1050010097</w:t>
      </w:r>
      <w:r>
        <w:rPr/>
        <w:t>號函釋</w:t>
      </w:r>
    </w:p>
    <w:p>
      <w:pPr>
        <w:pStyle w:val="BodyText"/>
        <w:spacing w:line="268" w:lineRule="auto" w:before="251"/>
        <w:ind w:left="1110" w:right="280"/>
      </w:pPr>
      <w:r>
        <w:rPr/>
        <w:t>【公務人員經服務機關移送偵辦，嗣經起訴判決無罪確定後，當事人申請因公涉訟輔助，服務機關得否准予輔助】</w:t>
      </w:r>
    </w:p>
    <w:p>
      <w:pPr>
        <w:pStyle w:val="BodyText"/>
        <w:spacing w:before="195"/>
        <w:ind w:left="1110"/>
      </w:pPr>
      <w:r>
        <w:rPr>
          <w:spacing w:val="1"/>
          <w:w w:val="95"/>
        </w:rPr>
        <w:t>公務人員因公涉訟輔助辦法</w:t>
      </w:r>
      <w:r>
        <w:rPr>
          <w:spacing w:val="4"/>
          <w:w w:val="95"/>
        </w:rPr>
        <w:t>（</w:t>
      </w:r>
      <w:r>
        <w:rPr>
          <w:w w:val="95"/>
        </w:rPr>
        <w:t>以下簡稱涉訟輔助辦法</w:t>
      </w:r>
      <w:r>
        <w:rPr>
          <w:spacing w:val="4"/>
          <w:w w:val="95"/>
        </w:rPr>
        <w:t>）</w:t>
      </w:r>
      <w:r>
        <w:rPr>
          <w:w w:val="95"/>
        </w:rPr>
        <w:t>第</w:t>
      </w:r>
    </w:p>
    <w:p>
      <w:pPr>
        <w:pStyle w:val="BodyText"/>
        <w:spacing w:line="268" w:lineRule="auto" w:before="54"/>
        <w:ind w:left="1110" w:right="277"/>
      </w:pPr>
      <w:r>
        <w:rPr>
          <w:rFonts w:ascii="細明體_HKSCS" w:eastAsia="細明體_HKSCS" w:hint="eastAsia"/>
          <w:spacing w:val="3"/>
        </w:rPr>
        <w:t>3</w:t>
      </w:r>
      <w:r>
        <w:rPr>
          <w:spacing w:val="-11"/>
        </w:rPr>
        <w:t>條規定：「本法第二十二條第一項所定依法執行職務，應</w:t>
      </w:r>
      <w:r>
        <w:rPr/>
        <w:t>由服務機關就該公務人員之職務權限範圍，認定是否依法</w:t>
      </w:r>
      <w:r>
        <w:rPr>
          <w:w w:val="95"/>
        </w:rPr>
        <w:t>令規定，執行其職務。」所稱「依法執行職務」，係指合 </w:t>
      </w:r>
      <w:r>
        <w:rPr>
          <w:spacing w:val="4"/>
        </w:rPr>
        <w:t>法（令）</w:t>
      </w:r>
      <w:r>
        <w:rPr/>
        <w:t>執行職務而言，包括依法律、法規或其他合法有效命令等，據以執行其職務者均屬之。至公務人員是否依</w:t>
      </w:r>
      <w:r>
        <w:rPr>
          <w:w w:val="95"/>
        </w:rPr>
        <w:t>法職行職務，應由服務機關本於權責認定，與檢察官起訴</w:t>
      </w:r>
    </w:p>
    <w:p>
      <w:pPr>
        <w:spacing w:after="0" w:line="268" w:lineRule="auto"/>
        <w:sectPr>
          <w:pgSz w:w="11910" w:h="16840"/>
          <w:pgMar w:header="0" w:footer="1017" w:top="1180" w:bottom="1200" w:left="1300" w:right="1140"/>
        </w:sectPr>
      </w:pPr>
    </w:p>
    <w:p>
      <w:pPr>
        <w:pStyle w:val="BodyText"/>
        <w:spacing w:before="15"/>
        <w:ind w:left="1110"/>
        <w:jc w:val="left"/>
      </w:pPr>
      <w:r>
        <w:rPr/>
        <w:t>理由或法院之判決結果無必然關係。參酌涉訟輔助辦法第</w:t>
      </w:r>
    </w:p>
    <w:p>
      <w:pPr>
        <w:pStyle w:val="BodyText"/>
        <w:spacing w:line="268" w:lineRule="auto" w:before="54"/>
        <w:ind w:left="1110" w:right="278"/>
      </w:pPr>
      <w:r>
        <w:rPr>
          <w:rFonts w:ascii="細明體_HKSCS" w:eastAsia="細明體_HKSCS" w:hint="eastAsia"/>
        </w:rPr>
        <w:t>15</w:t>
      </w:r>
      <w:r>
        <w:rPr/>
        <w:t>條，有關公務人員經服務機關認定非依法執行職務而未</w:t>
      </w:r>
      <w:r>
        <w:rPr>
          <w:spacing w:val="15"/>
          <w:w w:val="95"/>
        </w:rPr>
        <w:t>予涉訟輔助後，該訴訟案件經判決確定認無民、刑事責 </w:t>
      </w:r>
      <w:r>
        <w:rPr/>
        <w:t>任，該公務人員得檢證向服務機關重行提出申請，服務機關亦應本於權責，依具體事證及相關法令，認定其是否合法令執行職務而涉訟。</w:t>
      </w:r>
    </w:p>
    <w:p>
      <w:pPr>
        <w:pStyle w:val="BodyText"/>
        <w:spacing w:before="192"/>
        <w:ind w:left="118"/>
        <w:jc w:val="left"/>
      </w:pPr>
      <w:r>
        <w:rPr/>
        <w:t>（五）</w:t>
      </w:r>
      <w:r>
        <w:rPr>
          <w:rFonts w:ascii="細明體_HKSCS" w:eastAsia="細明體_HKSCS" w:hint="eastAsia"/>
        </w:rPr>
        <w:t>105</w:t>
      </w:r>
      <w:r>
        <w:rPr/>
        <w:t>年</w:t>
      </w:r>
      <w:r>
        <w:rPr>
          <w:rFonts w:ascii="細明體_HKSCS" w:eastAsia="細明體_HKSCS" w:hint="eastAsia"/>
        </w:rPr>
        <w:t>9</w:t>
      </w:r>
      <w:r>
        <w:rPr/>
        <w:t>月</w:t>
      </w:r>
      <w:r>
        <w:rPr>
          <w:rFonts w:ascii="細明體_HKSCS" w:eastAsia="細明體_HKSCS" w:hint="eastAsia"/>
        </w:rPr>
        <w:t>1</w:t>
      </w:r>
      <w:r>
        <w:rPr/>
        <w:t>日公地保字第</w:t>
      </w:r>
      <w:r>
        <w:rPr>
          <w:rFonts w:ascii="細明體_HKSCS" w:eastAsia="細明體_HKSCS" w:hint="eastAsia"/>
        </w:rPr>
        <w:t>10500104281</w:t>
      </w:r>
      <w:r>
        <w:rPr/>
        <w:t>號函釋</w:t>
      </w:r>
    </w:p>
    <w:p>
      <w:pPr>
        <w:pStyle w:val="BodyText"/>
        <w:spacing w:line="268" w:lineRule="auto" w:before="253"/>
        <w:ind w:left="1110" w:right="280"/>
      </w:pPr>
      <w:r>
        <w:rPr/>
        <w:t>【因公涉訟輔助事項，請確依公務人員因公涉訟輔助辦法相關規定辦理】</w:t>
      </w:r>
    </w:p>
    <w:p>
      <w:pPr>
        <w:pStyle w:val="BodyText"/>
        <w:spacing w:line="268" w:lineRule="auto" w:before="196"/>
        <w:ind w:left="1110" w:right="270"/>
      </w:pPr>
      <w:r>
        <w:rPr>
          <w:spacing w:val="3"/>
        </w:rPr>
        <w:t>涉訟輔助辦法第</w:t>
      </w:r>
      <w:r>
        <w:rPr>
          <w:rFonts w:ascii="細明體_HKSCS" w:eastAsia="細明體_HKSCS" w:hint="eastAsia"/>
        </w:rPr>
        <w:t>17</w:t>
      </w:r>
      <w:r>
        <w:rPr>
          <w:spacing w:val="4"/>
        </w:rPr>
        <w:t>條第</w:t>
      </w:r>
      <w:r>
        <w:rPr>
          <w:rFonts w:ascii="細明體_HKSCS" w:eastAsia="細明體_HKSCS" w:hint="eastAsia"/>
          <w:spacing w:val="3"/>
        </w:rPr>
        <w:t>1</w:t>
      </w:r>
      <w:r>
        <w:rPr>
          <w:spacing w:val="-11"/>
        </w:rPr>
        <w:t>項規定：「給予涉訟輔助之公務人</w:t>
      </w:r>
      <w:r>
        <w:rPr/>
        <w:t>員，於訴訟案件依刑事訴訟法第二百五十三條予以不起訴處分或依第二百五十三條之一予以緩起訴處分確定後，涉</w:t>
      </w:r>
      <w:r>
        <w:rPr>
          <w:spacing w:val="9"/>
          <w:w w:val="95"/>
        </w:rPr>
        <w:t>訟輔助機關應以書面限期命其繳還涉訟輔助費用。」第</w:t>
      </w:r>
      <w:r>
        <w:rPr>
          <w:rFonts w:ascii="細明體_HKSCS" w:eastAsia="細明體_HKSCS" w:hint="eastAsia"/>
          <w:w w:val="95"/>
        </w:rPr>
        <w:t>2 </w:t>
      </w:r>
      <w:r>
        <w:rPr>
          <w:spacing w:val="-4"/>
          <w:w w:val="95"/>
        </w:rPr>
        <w:t>項規定：「前項情形以外，給予涉訟輔助之公務人員，其 </w:t>
      </w:r>
      <w:r>
        <w:rPr/>
        <w:t>訴訟案件於其他不起訴處分、裁判或懲戒議決確定後，涉訟輔助機關認定其有故意或重大過失者，應以書面限期命其繳還涉訟輔助費用。」對於公務人員因公涉訟輔助及追繳輔助費用之要件，已有明文。公務人員如涉刑案業經法院判決有罪，或經主管長官移付懲戒，服務機關均不宜再認係依法執行職務，而給予涉訟輔助。至服務機關於訴訟結果確定前，已核予公務人員涉訟輔助者，於訴訟結果確定後，如該公務人員受刑事判決有罪或具有涉訟輔助辦法</w:t>
      </w:r>
      <w:r>
        <w:rPr>
          <w:spacing w:val="12"/>
          <w:w w:val="95"/>
        </w:rPr>
        <w:t>第</w:t>
      </w:r>
      <w:r>
        <w:rPr>
          <w:rFonts w:ascii="細明體_HKSCS" w:eastAsia="細明體_HKSCS" w:hint="eastAsia"/>
          <w:spacing w:val="5"/>
          <w:w w:val="95"/>
        </w:rPr>
        <w:t>17</w:t>
      </w:r>
      <w:r>
        <w:rPr>
          <w:spacing w:val="10"/>
          <w:w w:val="95"/>
        </w:rPr>
        <w:t>條第</w:t>
      </w:r>
      <w:r>
        <w:rPr>
          <w:rFonts w:ascii="細明體_HKSCS" w:eastAsia="細明體_HKSCS" w:hint="eastAsia"/>
          <w:spacing w:val="8"/>
          <w:w w:val="95"/>
        </w:rPr>
        <w:t>1</w:t>
      </w:r>
      <w:r>
        <w:rPr>
          <w:spacing w:val="8"/>
          <w:w w:val="95"/>
        </w:rPr>
        <w:t>項規定之情事，其服務機關應即以書面限期命 </w:t>
      </w:r>
      <w:r>
        <w:rPr>
          <w:spacing w:val="9"/>
          <w:w w:val="95"/>
        </w:rPr>
        <w:t>其繳還涉訟輔助費用；如該公務人員受該辦法</w:t>
      </w:r>
      <w:r>
        <w:rPr>
          <w:rFonts w:ascii="細明體_HKSCS" w:eastAsia="細明體_HKSCS" w:hint="eastAsia"/>
          <w:spacing w:val="4"/>
          <w:w w:val="95"/>
        </w:rPr>
        <w:t>17</w:t>
      </w:r>
      <w:r>
        <w:rPr>
          <w:spacing w:val="11"/>
          <w:w w:val="95"/>
        </w:rPr>
        <w:t>條第</w:t>
      </w:r>
      <w:r>
        <w:rPr>
          <w:rFonts w:ascii="細明體_HKSCS" w:eastAsia="細明體_HKSCS" w:hint="eastAsia"/>
          <w:spacing w:val="8"/>
          <w:w w:val="95"/>
        </w:rPr>
        <w:t>1</w:t>
      </w:r>
      <w:r>
        <w:rPr>
          <w:w w:val="95"/>
        </w:rPr>
        <w:t>項 </w:t>
      </w:r>
      <w:r>
        <w:rPr/>
        <w:t>以外之其他不起訴處分、裁判無罪及移付懲戒後免議或不受理判決者，經服務機關認定其有故意或重大過失者，亦應以書面限期命其繳還涉訟輔助費用，以符法制。</w:t>
      </w:r>
    </w:p>
    <w:p>
      <w:pPr>
        <w:spacing w:after="0" w:line="268" w:lineRule="auto"/>
        <w:sectPr>
          <w:pgSz w:w="11910" w:h="16840"/>
          <w:pgMar w:header="0" w:footer="1017" w:top="1180" w:bottom="1200" w:left="1300" w:right="1140"/>
        </w:sectPr>
      </w:pPr>
    </w:p>
    <w:p>
      <w:pPr>
        <w:pStyle w:val="Heading1"/>
        <w:spacing w:line="500" w:lineRule="exact" w:before="0"/>
      </w:pPr>
      <w:r>
        <w:rPr/>
        <w:t>伍、其他建請配合辦理事項</w:t>
      </w:r>
    </w:p>
    <w:p>
      <w:pPr>
        <w:pStyle w:val="BodyText"/>
        <w:spacing w:line="268" w:lineRule="auto" w:before="216"/>
        <w:ind w:left="759" w:right="269" w:hanging="641"/>
      </w:pPr>
      <w:r>
        <w:rPr>
          <w:spacing w:val="5"/>
        </w:rPr>
        <w:t>一、</w:t>
      </w:r>
      <w:r>
        <w:rPr>
          <w:rFonts w:ascii="Times New Roman" w:eastAsia="Times New Roman"/>
        </w:rPr>
        <w:t>104</w:t>
      </w:r>
      <w:r>
        <w:rPr>
          <w:spacing w:val="7"/>
        </w:rPr>
        <w:t>年</w:t>
      </w:r>
      <w:r>
        <w:rPr>
          <w:rFonts w:ascii="Times New Roman" w:eastAsia="Times New Roman"/>
        </w:rPr>
        <w:t>12</w:t>
      </w:r>
      <w:r>
        <w:rPr>
          <w:spacing w:val="7"/>
        </w:rPr>
        <w:t>月</w:t>
      </w:r>
      <w:r>
        <w:rPr>
          <w:rFonts w:ascii="Times New Roman" w:eastAsia="Times New Roman"/>
        </w:rPr>
        <w:t>30</w:t>
      </w:r>
      <w:r>
        <w:rPr>
          <w:spacing w:val="4"/>
        </w:rPr>
        <w:t>日修正公布之行政程序法第</w:t>
      </w:r>
      <w:r>
        <w:rPr>
          <w:rFonts w:ascii="Times New Roman" w:eastAsia="Times New Roman"/>
        </w:rPr>
        <w:t>127</w:t>
      </w:r>
      <w:r>
        <w:rPr>
          <w:spacing w:val="3"/>
        </w:rPr>
        <w:t>條規定略以，授</w:t>
      </w:r>
      <w:r>
        <w:rPr>
          <w:spacing w:val="3"/>
          <w:w w:val="95"/>
        </w:rPr>
        <w:t>予利益之行政處分，經撤銷而有溯及既往失效之情形時，受 益人應返還因該處分所受領之給付，行政機關應以書面行政 處分確認返還範圍，並限期命受益人返還不當得利，惟於該 </w:t>
      </w:r>
      <w:r>
        <w:rPr>
          <w:spacing w:val="4"/>
          <w:w w:val="95"/>
        </w:rPr>
        <w:t>行政處分未確定前，不得移送行政執行。故當事人因不服機 </w:t>
      </w:r>
      <w:r>
        <w:rPr>
          <w:spacing w:val="3"/>
          <w:w w:val="95"/>
        </w:rPr>
        <w:t>關所為追繳處分，所提起之復審事件，已無申請停止執行之 </w:t>
      </w:r>
      <w:r>
        <w:rPr>
          <w:spacing w:val="3"/>
        </w:rPr>
        <w:t>必要，請轉知同仁知悉。</w:t>
      </w:r>
    </w:p>
    <w:p>
      <w:pPr>
        <w:pStyle w:val="BodyText"/>
        <w:spacing w:line="268" w:lineRule="auto" w:before="190"/>
        <w:ind w:left="759" w:right="276" w:hanging="641"/>
      </w:pPr>
      <w:r>
        <w:rPr>
          <w:spacing w:val="3"/>
          <w:w w:val="95"/>
        </w:rPr>
        <w:t>二、本會就人事法規或保障法規之適用疑義，每年均辦理保障業 </w:t>
      </w:r>
      <w:r>
        <w:rPr>
          <w:spacing w:val="4"/>
          <w:w w:val="95"/>
        </w:rPr>
        <w:t>務宣導與輔導活動，以協助各人事機關（構）</w:t>
      </w:r>
      <w:r>
        <w:rPr>
          <w:spacing w:val="3"/>
          <w:w w:val="95"/>
        </w:rPr>
        <w:t>正確辦理保障 </w:t>
      </w:r>
      <w:r>
        <w:rPr>
          <w:spacing w:val="4"/>
          <w:w w:val="95"/>
        </w:rPr>
        <w:t>業務。建請各機關</w:t>
      </w:r>
      <w:r>
        <w:rPr>
          <w:spacing w:val="7"/>
          <w:w w:val="95"/>
        </w:rPr>
        <w:t>（</w:t>
      </w:r>
      <w:r>
        <w:rPr>
          <w:spacing w:val="8"/>
          <w:w w:val="95"/>
        </w:rPr>
        <w:t>構</w:t>
      </w:r>
      <w:r>
        <w:rPr>
          <w:spacing w:val="4"/>
          <w:w w:val="95"/>
        </w:rPr>
        <w:t>）</w:t>
      </w:r>
      <w:r>
        <w:rPr>
          <w:spacing w:val="3"/>
          <w:w w:val="95"/>
        </w:rPr>
        <w:t>秉持服務精神，積極協助所屬同仁 充分瞭解公務人員保障制度，以維護其自身權益，並請確實 </w:t>
      </w:r>
      <w:r>
        <w:rPr>
          <w:spacing w:val="3"/>
        </w:rPr>
        <w:t>依法行政，俾減少訟源。</w:t>
      </w:r>
    </w:p>
    <w:p>
      <w:pPr>
        <w:pStyle w:val="BodyText"/>
        <w:spacing w:line="268" w:lineRule="auto" w:before="194"/>
        <w:ind w:left="759" w:right="246" w:hanging="641"/>
      </w:pPr>
      <w:r>
        <w:rPr>
          <w:spacing w:val="3"/>
        </w:rPr>
        <w:t>三、各機關因所屬公務人員發生違法失職行為，撤銷其晉敘核派</w:t>
      </w:r>
      <w:r>
        <w:rPr>
          <w:spacing w:val="5"/>
        </w:rPr>
        <w:t>案之</w:t>
      </w:r>
      <w:r>
        <w:rPr>
          <w:rFonts w:ascii="Times New Roman" w:eastAsia="Times New Roman"/>
          <w:spacing w:val="3"/>
        </w:rPr>
        <w:t>2</w:t>
      </w:r>
      <w:r>
        <w:rPr>
          <w:spacing w:val="4"/>
        </w:rPr>
        <w:t>年除斥期間於何時起算一案，經本會</w:t>
      </w:r>
      <w:r>
        <w:rPr>
          <w:rFonts w:ascii="Times New Roman" w:eastAsia="Times New Roman"/>
        </w:rPr>
        <w:t>105</w:t>
      </w:r>
      <w:r>
        <w:rPr>
          <w:spacing w:val="4"/>
        </w:rPr>
        <w:t>年</w:t>
      </w:r>
      <w:r>
        <w:rPr>
          <w:rFonts w:ascii="Times New Roman" w:eastAsia="Times New Roman"/>
        </w:rPr>
        <w:t>12</w:t>
      </w:r>
      <w:r>
        <w:rPr>
          <w:spacing w:val="7"/>
        </w:rPr>
        <w:t>月</w:t>
      </w:r>
      <w:r>
        <w:rPr>
          <w:rFonts w:ascii="Times New Roman" w:eastAsia="Times New Roman"/>
        </w:rPr>
        <w:t>12</w:t>
      </w:r>
      <w:r>
        <w:rPr>
          <w:spacing w:val="4"/>
        </w:rPr>
        <w:t>日公</w:t>
      </w:r>
      <w:r>
        <w:rPr>
          <w:spacing w:val="6"/>
        </w:rPr>
        <w:t>保字第</w:t>
      </w:r>
      <w:r>
        <w:rPr>
          <w:rFonts w:ascii="Times New Roman" w:eastAsia="Times New Roman"/>
        </w:rPr>
        <w:t>1051060545</w:t>
      </w:r>
      <w:r>
        <w:rPr>
          <w:spacing w:val="3"/>
        </w:rPr>
        <w:t>號，函檢送行政法院相關判決及行政訴訟</w:t>
      </w:r>
      <w:r>
        <w:rPr>
          <w:spacing w:val="23"/>
        </w:rPr>
        <w:t>判決檢討意見書影本各</w:t>
      </w:r>
      <w:r>
        <w:rPr>
          <w:rFonts w:ascii="Times New Roman" w:eastAsia="Times New Roman"/>
          <w:spacing w:val="22"/>
        </w:rPr>
        <w:t>1</w:t>
      </w:r>
      <w:r>
        <w:rPr>
          <w:spacing w:val="21"/>
        </w:rPr>
        <w:t>份予行政院人事行政總處及銓敘</w:t>
      </w:r>
      <w:r>
        <w:rPr>
          <w:spacing w:val="26"/>
          <w:w w:val="95"/>
        </w:rPr>
        <w:t>部。並經行政院人事行政總處</w:t>
      </w:r>
      <w:r>
        <w:rPr>
          <w:rFonts w:ascii="Times New Roman" w:eastAsia="Times New Roman"/>
          <w:spacing w:val="7"/>
          <w:w w:val="95"/>
        </w:rPr>
        <w:t>105</w:t>
      </w:r>
      <w:r>
        <w:rPr>
          <w:spacing w:val="28"/>
          <w:w w:val="95"/>
        </w:rPr>
        <w:t>年</w:t>
      </w:r>
      <w:r>
        <w:rPr>
          <w:rFonts w:ascii="Times New Roman" w:eastAsia="Times New Roman"/>
          <w:spacing w:val="11"/>
          <w:w w:val="95"/>
        </w:rPr>
        <w:t>12</w:t>
      </w:r>
      <w:r>
        <w:rPr>
          <w:spacing w:val="28"/>
          <w:w w:val="95"/>
        </w:rPr>
        <w:t>月</w:t>
      </w:r>
      <w:r>
        <w:rPr>
          <w:rFonts w:ascii="Times New Roman" w:eastAsia="Times New Roman"/>
          <w:spacing w:val="12"/>
          <w:w w:val="95"/>
        </w:rPr>
        <w:t>20</w:t>
      </w:r>
      <w:r>
        <w:rPr>
          <w:spacing w:val="26"/>
          <w:w w:val="95"/>
        </w:rPr>
        <w:t>日總處培字第</w:t>
      </w:r>
    </w:p>
    <w:p>
      <w:pPr>
        <w:pStyle w:val="BodyText"/>
        <w:spacing w:line="440" w:lineRule="exact"/>
        <w:ind w:left="759"/>
        <w:jc w:val="left"/>
      </w:pPr>
      <w:r>
        <w:rPr>
          <w:rFonts w:ascii="Times New Roman" w:eastAsia="Times New Roman"/>
          <w:w w:val="95"/>
        </w:rPr>
        <w:t>1050061820</w:t>
      </w:r>
      <w:r>
        <w:rPr>
          <w:spacing w:val="4"/>
          <w:w w:val="95"/>
        </w:rPr>
        <w:t>號函轉知中央與地方各機關，及銓敘部</w:t>
      </w:r>
      <w:r>
        <w:rPr>
          <w:rFonts w:ascii="Times New Roman" w:eastAsia="Times New Roman"/>
          <w:spacing w:val="2"/>
          <w:w w:val="95"/>
        </w:rPr>
        <w:t>106</w:t>
      </w:r>
      <w:r>
        <w:rPr>
          <w:spacing w:val="7"/>
          <w:w w:val="95"/>
        </w:rPr>
        <w:t>年</w:t>
      </w:r>
      <w:r>
        <w:rPr>
          <w:rFonts w:ascii="Times New Roman" w:eastAsia="Times New Roman"/>
          <w:spacing w:val="3"/>
          <w:w w:val="95"/>
        </w:rPr>
        <w:t>1</w:t>
      </w:r>
      <w:r>
        <w:rPr>
          <w:w w:val="95"/>
        </w:rPr>
        <w:t>月</w:t>
      </w:r>
    </w:p>
    <w:p>
      <w:pPr>
        <w:pStyle w:val="BodyText"/>
        <w:spacing w:line="268" w:lineRule="auto" w:before="54"/>
        <w:ind w:left="759" w:right="269"/>
      </w:pPr>
      <w:r>
        <w:rPr>
          <w:rFonts w:ascii="Times New Roman" w:eastAsia="Times New Roman"/>
          <w:spacing w:val="3"/>
        </w:rPr>
        <w:t>10</w:t>
      </w:r>
      <w:r>
        <w:rPr>
          <w:spacing w:val="4"/>
        </w:rPr>
        <w:t>日部管一字第</w:t>
      </w:r>
      <w:r>
        <w:rPr>
          <w:rFonts w:ascii="Times New Roman" w:eastAsia="Times New Roman"/>
        </w:rPr>
        <w:t>1064182920</w:t>
      </w:r>
      <w:r>
        <w:rPr>
          <w:spacing w:val="4"/>
        </w:rPr>
        <w:t>號函，轉知總統府人事處等</w:t>
      </w:r>
      <w:r>
        <w:rPr>
          <w:rFonts w:ascii="Times New Roman" w:eastAsia="Times New Roman"/>
        </w:rPr>
        <w:t>17</w:t>
      </w:r>
      <w:r>
        <w:rPr/>
        <w:t>個</w:t>
      </w:r>
      <w:r>
        <w:rPr>
          <w:spacing w:val="3"/>
          <w:w w:val="95"/>
        </w:rPr>
        <w:t>人事機構略以，撤銷原違法授益行政處分時，宜注意撤銷權 </w:t>
      </w:r>
      <w:r>
        <w:rPr>
          <w:spacing w:val="4"/>
          <w:w w:val="95"/>
        </w:rPr>
        <w:t>之行使期間儘速處理，避免逾期，俾落實依法行政；及銓敘 </w:t>
      </w:r>
      <w:r>
        <w:rPr>
          <w:spacing w:val="3"/>
          <w:w w:val="95"/>
        </w:rPr>
        <w:t>部業將各人事機構是否於法定期間行使行政處分撤銷權，列 </w:t>
      </w:r>
      <w:r>
        <w:rPr>
          <w:spacing w:val="3"/>
        </w:rPr>
        <w:t>入平時考核。爰請督促所屬人事同仁切實依規定辦理。</w:t>
      </w:r>
    </w:p>
    <w:p>
      <w:pPr>
        <w:pStyle w:val="BodyText"/>
        <w:spacing w:line="268" w:lineRule="auto" w:before="193"/>
        <w:ind w:left="759" w:right="276" w:hanging="641"/>
      </w:pPr>
      <w:r>
        <w:rPr>
          <w:w w:val="95"/>
        </w:rPr>
        <w:t>四、本會審理保障事件，就認定事實或適用法律有疑義時，均儘 量給予公務人員及機關（構）陳述意見之機會，以擴大當事 人程序參與。另為對當事人、有關人員、關係機關（構）提</w:t>
      </w:r>
    </w:p>
    <w:p>
      <w:pPr>
        <w:spacing w:after="0" w:line="268" w:lineRule="auto"/>
        <w:sectPr>
          <w:pgSz w:w="11910" w:h="16840"/>
          <w:pgMar w:header="0" w:footer="1017" w:top="1180" w:bottom="1200" w:left="1300" w:right="1140"/>
        </w:sectPr>
      </w:pPr>
    </w:p>
    <w:p>
      <w:pPr>
        <w:pStyle w:val="BodyText"/>
        <w:spacing w:line="268" w:lineRule="auto" w:before="15"/>
        <w:ind w:left="759" w:right="116"/>
      </w:pPr>
      <w:r>
        <w:rPr/>
        <w:t>供高品質之服務，節省往返之時間及勞費，提升審議效率， 本會已開辦保障事件視訊陳述意見服務措施，並於本會全球</w:t>
      </w:r>
      <w:r>
        <w:rPr>
          <w:w w:val="95"/>
        </w:rPr>
        <w:t>資訊網建置「保障事件視訊陳述意見使用處所查詢系統」</w:t>
      </w:r>
    </w:p>
    <w:p>
      <w:pPr>
        <w:pStyle w:val="BodyText"/>
        <w:spacing w:line="268" w:lineRule="auto"/>
        <w:ind w:left="759" w:right="274"/>
        <w:jc w:val="left"/>
      </w:pPr>
      <w:r>
        <w:rPr>
          <w:spacing w:val="4"/>
          <w:w w:val="99"/>
        </w:rPr>
        <w:t>（</w:t>
      </w:r>
      <w:hyperlink r:id="rId7">
        <w:r>
          <w:rPr>
            <w:rFonts w:ascii="Times New Roman" w:eastAsia="Times New Roman"/>
            <w:w w:val="99"/>
          </w:rPr>
          <w:t>http</w:t>
        </w:r>
        <w:r>
          <w:rPr>
            <w:rFonts w:ascii="Times New Roman" w:eastAsia="Times New Roman"/>
            <w:w w:val="99"/>
          </w:rPr>
          <w:t>://ww</w:t>
        </w:r>
        <w:r>
          <w:rPr>
            <w:rFonts w:ascii="Times New Roman" w:eastAsia="Times New Roman"/>
            <w:spacing w:val="-22"/>
            <w:w w:val="99"/>
          </w:rPr>
          <w:t>w</w:t>
        </w:r>
        <w:r>
          <w:rPr>
            <w:rFonts w:ascii="Times New Roman" w:eastAsia="Times New Roman"/>
            <w:w w:val="99"/>
          </w:rPr>
          <w:t>.csp</w:t>
        </w:r>
        <w:r>
          <w:rPr>
            <w:rFonts w:ascii="Times New Roman" w:eastAsia="Times New Roman"/>
            <w:spacing w:val="2"/>
            <w:w w:val="99"/>
          </w:rPr>
          <w:t>t</w:t>
        </w:r>
        <w:r>
          <w:rPr>
            <w:rFonts w:ascii="Times New Roman" w:eastAsia="Times New Roman"/>
            <w:w w:val="99"/>
          </w:rPr>
          <w:t>c.g</w:t>
        </w:r>
        <w:r>
          <w:rPr>
            <w:rFonts w:ascii="Times New Roman" w:eastAsia="Times New Roman"/>
            <w:spacing w:val="1"/>
            <w:w w:val="99"/>
          </w:rPr>
          <w:t>o</w:t>
        </w:r>
        <w:r>
          <w:rPr>
            <w:rFonts w:ascii="Times New Roman" w:eastAsia="Times New Roman"/>
            <w:spacing w:val="-21"/>
            <w:w w:val="99"/>
          </w:rPr>
          <w:t>v</w:t>
        </w:r>
        <w:r>
          <w:rPr>
            <w:rFonts w:ascii="Times New Roman" w:eastAsia="Times New Roman"/>
            <w:w w:val="99"/>
          </w:rPr>
          <w:t>.tw/g</w:t>
        </w:r>
        <w:r>
          <w:rPr>
            <w:rFonts w:ascii="Times New Roman" w:eastAsia="Times New Roman"/>
            <w:spacing w:val="1"/>
            <w:w w:val="99"/>
          </w:rPr>
          <w:t>o</w:t>
        </w:r>
        <w:r>
          <w:rPr>
            <w:rFonts w:ascii="Times New Roman" w:eastAsia="Times New Roman"/>
            <w:w w:val="99"/>
          </w:rPr>
          <w:t>ogl</w:t>
        </w:r>
        <w:r>
          <w:rPr>
            <w:rFonts w:ascii="Times New Roman" w:eastAsia="Times New Roman"/>
            <w:spacing w:val="1"/>
            <w:w w:val="99"/>
          </w:rPr>
          <w:t>e</w:t>
        </w:r>
        <w:r>
          <w:rPr>
            <w:rFonts w:ascii="Times New Roman" w:eastAsia="Times New Roman"/>
            <w:spacing w:val="-7"/>
            <w:w w:val="99"/>
          </w:rPr>
          <w:t>m</w:t>
        </w:r>
        <w:r>
          <w:rPr>
            <w:rFonts w:ascii="Times New Roman" w:eastAsia="Times New Roman"/>
            <w:spacing w:val="1"/>
            <w:w w:val="99"/>
          </w:rPr>
          <w:t>a</w:t>
        </w:r>
        <w:r>
          <w:rPr>
            <w:rFonts w:ascii="Times New Roman" w:eastAsia="Times New Roman"/>
            <w:w w:val="99"/>
          </w:rPr>
          <w:t>p</w:t>
        </w:r>
        <w:r>
          <w:rPr>
            <w:rFonts w:ascii="Times New Roman" w:eastAsia="Times New Roman"/>
            <w:spacing w:val="7"/>
            <w:w w:val="99"/>
          </w:rPr>
          <w:t>/</w:t>
        </w:r>
      </w:hyperlink>
      <w:r>
        <w:rPr>
          <w:spacing w:val="-154"/>
          <w:w w:val="99"/>
        </w:rPr>
        <w:t>）</w:t>
      </w:r>
      <w:r>
        <w:rPr>
          <w:spacing w:val="1"/>
          <w:w w:val="99"/>
        </w:rPr>
        <w:t>，請多加利用並廣為宣</w:t>
      </w:r>
      <w:r>
        <w:rPr>
          <w:spacing w:val="1"/>
        </w:rPr>
        <w:t>導周知。</w:t>
      </w:r>
    </w:p>
    <w:sectPr>
      <w:pgSz w:w="11910" w:h="16840"/>
      <w:pgMar w:header="0" w:footer="1017" w:top="1180" w:bottom="1200" w:left="1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軟正黑體">
    <w:altName w:val="微軟正黑體"/>
    <w:charset w:val="88"/>
    <w:family w:val="swiss"/>
    <w:pitch w:val="variable"/>
  </w:font>
  <w:font w:name="標楷體">
    <w:altName w:val="標楷體"/>
    <w:charset w:val="88"/>
    <w:family w:val="script"/>
    <w:pitch w:val="fixed"/>
  </w:font>
  <w:font w:name="細明體_HKSCS">
    <w:altName w:val="細明體_HKSCS"/>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90.730011pt;margin-top:780.060486pt;width:14.1pt;height:13.05pt;mso-position-horizontal-relative:page;mso-position-vertical-relative:page;z-index:-748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330" w:hanging="360"/>
        <w:jc w:val="left"/>
      </w:pPr>
      <w:rPr>
        <w:rFonts w:hint="default" w:ascii="細明體_HKSCS" w:hAnsi="細明體_HKSCS" w:eastAsia="細明體_HKSCS" w:cs="細明體_HKSCS"/>
        <w:spacing w:val="0"/>
        <w:w w:val="99"/>
        <w:sz w:val="32"/>
        <w:szCs w:val="32"/>
        <w:lang w:val="zh-tw" w:eastAsia="zh-tw" w:bidi="zh-tw"/>
      </w:rPr>
    </w:lvl>
    <w:lvl w:ilvl="1">
      <w:start w:val="0"/>
      <w:numFmt w:val="bullet"/>
      <w:lvlText w:val="•"/>
      <w:lvlJc w:val="left"/>
      <w:pPr>
        <w:ind w:left="2152" w:hanging="360"/>
      </w:pPr>
      <w:rPr>
        <w:rFonts w:hint="default"/>
        <w:lang w:val="zh-tw" w:eastAsia="zh-tw" w:bidi="zh-tw"/>
      </w:rPr>
    </w:lvl>
    <w:lvl w:ilvl="2">
      <w:start w:val="0"/>
      <w:numFmt w:val="bullet"/>
      <w:lvlText w:val="•"/>
      <w:lvlJc w:val="left"/>
      <w:pPr>
        <w:ind w:left="2965" w:hanging="360"/>
      </w:pPr>
      <w:rPr>
        <w:rFonts w:hint="default"/>
        <w:lang w:val="zh-tw" w:eastAsia="zh-tw" w:bidi="zh-tw"/>
      </w:rPr>
    </w:lvl>
    <w:lvl w:ilvl="3">
      <w:start w:val="0"/>
      <w:numFmt w:val="bullet"/>
      <w:lvlText w:val="•"/>
      <w:lvlJc w:val="left"/>
      <w:pPr>
        <w:ind w:left="3777" w:hanging="360"/>
      </w:pPr>
      <w:rPr>
        <w:rFonts w:hint="default"/>
        <w:lang w:val="zh-tw" w:eastAsia="zh-tw" w:bidi="zh-tw"/>
      </w:rPr>
    </w:lvl>
    <w:lvl w:ilvl="4">
      <w:start w:val="0"/>
      <w:numFmt w:val="bullet"/>
      <w:lvlText w:val="•"/>
      <w:lvlJc w:val="left"/>
      <w:pPr>
        <w:ind w:left="4590" w:hanging="360"/>
      </w:pPr>
      <w:rPr>
        <w:rFonts w:hint="default"/>
        <w:lang w:val="zh-tw" w:eastAsia="zh-tw" w:bidi="zh-tw"/>
      </w:rPr>
    </w:lvl>
    <w:lvl w:ilvl="5">
      <w:start w:val="0"/>
      <w:numFmt w:val="bullet"/>
      <w:lvlText w:val="•"/>
      <w:lvlJc w:val="left"/>
      <w:pPr>
        <w:ind w:left="5403" w:hanging="360"/>
      </w:pPr>
      <w:rPr>
        <w:rFonts w:hint="default"/>
        <w:lang w:val="zh-tw" w:eastAsia="zh-tw" w:bidi="zh-tw"/>
      </w:rPr>
    </w:lvl>
    <w:lvl w:ilvl="6">
      <w:start w:val="0"/>
      <w:numFmt w:val="bullet"/>
      <w:lvlText w:val="•"/>
      <w:lvlJc w:val="left"/>
      <w:pPr>
        <w:ind w:left="6215" w:hanging="360"/>
      </w:pPr>
      <w:rPr>
        <w:rFonts w:hint="default"/>
        <w:lang w:val="zh-tw" w:eastAsia="zh-tw" w:bidi="zh-tw"/>
      </w:rPr>
    </w:lvl>
    <w:lvl w:ilvl="7">
      <w:start w:val="0"/>
      <w:numFmt w:val="bullet"/>
      <w:lvlText w:val="•"/>
      <w:lvlJc w:val="left"/>
      <w:pPr>
        <w:ind w:left="7028" w:hanging="360"/>
      </w:pPr>
      <w:rPr>
        <w:rFonts w:hint="default"/>
        <w:lang w:val="zh-tw" w:eastAsia="zh-tw" w:bidi="zh-tw"/>
      </w:rPr>
    </w:lvl>
    <w:lvl w:ilvl="8">
      <w:start w:val="0"/>
      <w:numFmt w:val="bullet"/>
      <w:lvlText w:val="•"/>
      <w:lvlJc w:val="left"/>
      <w:pPr>
        <w:ind w:left="7841" w:hanging="360"/>
      </w:pPr>
      <w:rPr>
        <w:rFonts w:hint="default"/>
        <w:lang w:val="zh-tw" w:eastAsia="zh-tw" w:bidi="zh-tw"/>
      </w:rPr>
    </w:lvl>
  </w:abstractNum>
  <w:abstractNum w:abstractNumId="6">
    <w:multiLevelType w:val="hybridMultilevel"/>
    <w:lvl w:ilvl="0">
      <w:start w:val="1"/>
      <w:numFmt w:val="decimal"/>
      <w:lvlText w:val="%1."/>
      <w:lvlJc w:val="left"/>
      <w:pPr>
        <w:ind w:left="1326" w:hanging="356"/>
        <w:jc w:val="left"/>
      </w:pPr>
      <w:rPr>
        <w:rFonts w:hint="default" w:ascii="細明體_HKSCS" w:hAnsi="細明體_HKSCS" w:eastAsia="細明體_HKSCS" w:cs="細明體_HKSCS"/>
        <w:spacing w:val="0"/>
        <w:w w:val="99"/>
        <w:sz w:val="32"/>
        <w:szCs w:val="32"/>
        <w:lang w:val="zh-tw" w:eastAsia="zh-tw" w:bidi="zh-tw"/>
      </w:rPr>
    </w:lvl>
    <w:lvl w:ilvl="1">
      <w:start w:val="0"/>
      <w:numFmt w:val="bullet"/>
      <w:lvlText w:val="•"/>
      <w:lvlJc w:val="left"/>
      <w:pPr>
        <w:ind w:left="2134" w:hanging="356"/>
      </w:pPr>
      <w:rPr>
        <w:rFonts w:hint="default"/>
        <w:lang w:val="zh-tw" w:eastAsia="zh-tw" w:bidi="zh-tw"/>
      </w:rPr>
    </w:lvl>
    <w:lvl w:ilvl="2">
      <w:start w:val="0"/>
      <w:numFmt w:val="bullet"/>
      <w:lvlText w:val="•"/>
      <w:lvlJc w:val="left"/>
      <w:pPr>
        <w:ind w:left="2949" w:hanging="356"/>
      </w:pPr>
      <w:rPr>
        <w:rFonts w:hint="default"/>
        <w:lang w:val="zh-tw" w:eastAsia="zh-tw" w:bidi="zh-tw"/>
      </w:rPr>
    </w:lvl>
    <w:lvl w:ilvl="3">
      <w:start w:val="0"/>
      <w:numFmt w:val="bullet"/>
      <w:lvlText w:val="•"/>
      <w:lvlJc w:val="left"/>
      <w:pPr>
        <w:ind w:left="3763" w:hanging="356"/>
      </w:pPr>
      <w:rPr>
        <w:rFonts w:hint="default"/>
        <w:lang w:val="zh-tw" w:eastAsia="zh-tw" w:bidi="zh-tw"/>
      </w:rPr>
    </w:lvl>
    <w:lvl w:ilvl="4">
      <w:start w:val="0"/>
      <w:numFmt w:val="bullet"/>
      <w:lvlText w:val="•"/>
      <w:lvlJc w:val="left"/>
      <w:pPr>
        <w:ind w:left="4578" w:hanging="356"/>
      </w:pPr>
      <w:rPr>
        <w:rFonts w:hint="default"/>
        <w:lang w:val="zh-tw" w:eastAsia="zh-tw" w:bidi="zh-tw"/>
      </w:rPr>
    </w:lvl>
    <w:lvl w:ilvl="5">
      <w:start w:val="0"/>
      <w:numFmt w:val="bullet"/>
      <w:lvlText w:val="•"/>
      <w:lvlJc w:val="left"/>
      <w:pPr>
        <w:ind w:left="5393" w:hanging="356"/>
      </w:pPr>
      <w:rPr>
        <w:rFonts w:hint="default"/>
        <w:lang w:val="zh-tw" w:eastAsia="zh-tw" w:bidi="zh-tw"/>
      </w:rPr>
    </w:lvl>
    <w:lvl w:ilvl="6">
      <w:start w:val="0"/>
      <w:numFmt w:val="bullet"/>
      <w:lvlText w:val="•"/>
      <w:lvlJc w:val="left"/>
      <w:pPr>
        <w:ind w:left="6207" w:hanging="356"/>
      </w:pPr>
      <w:rPr>
        <w:rFonts w:hint="default"/>
        <w:lang w:val="zh-tw" w:eastAsia="zh-tw" w:bidi="zh-tw"/>
      </w:rPr>
    </w:lvl>
    <w:lvl w:ilvl="7">
      <w:start w:val="0"/>
      <w:numFmt w:val="bullet"/>
      <w:lvlText w:val="•"/>
      <w:lvlJc w:val="left"/>
      <w:pPr>
        <w:ind w:left="7022" w:hanging="356"/>
      </w:pPr>
      <w:rPr>
        <w:rFonts w:hint="default"/>
        <w:lang w:val="zh-tw" w:eastAsia="zh-tw" w:bidi="zh-tw"/>
      </w:rPr>
    </w:lvl>
    <w:lvl w:ilvl="8">
      <w:start w:val="0"/>
      <w:numFmt w:val="bullet"/>
      <w:lvlText w:val="•"/>
      <w:lvlJc w:val="left"/>
      <w:pPr>
        <w:ind w:left="7837" w:hanging="356"/>
      </w:pPr>
      <w:rPr>
        <w:rFonts w:hint="default"/>
        <w:lang w:val="zh-tw" w:eastAsia="zh-tw" w:bidi="zh-tw"/>
      </w:rPr>
    </w:lvl>
  </w:abstractNum>
  <w:abstractNum w:abstractNumId="5">
    <w:multiLevelType w:val="hybridMultilevel"/>
    <w:lvl w:ilvl="0">
      <w:start w:val="1"/>
      <w:numFmt w:val="decimal"/>
      <w:lvlText w:val="%1."/>
      <w:lvlJc w:val="left"/>
      <w:pPr>
        <w:ind w:left="1330" w:hanging="360"/>
        <w:jc w:val="left"/>
      </w:pPr>
      <w:rPr>
        <w:rFonts w:hint="default" w:ascii="細明體_HKSCS" w:hAnsi="細明體_HKSCS" w:eastAsia="細明體_HKSCS" w:cs="細明體_HKSCS"/>
        <w:spacing w:val="0"/>
        <w:w w:val="99"/>
        <w:sz w:val="32"/>
        <w:szCs w:val="32"/>
        <w:lang w:val="zh-tw" w:eastAsia="zh-tw" w:bidi="zh-tw"/>
      </w:rPr>
    </w:lvl>
    <w:lvl w:ilvl="1">
      <w:start w:val="0"/>
      <w:numFmt w:val="bullet"/>
      <w:lvlText w:val="•"/>
      <w:lvlJc w:val="left"/>
      <w:pPr>
        <w:ind w:left="2152" w:hanging="360"/>
      </w:pPr>
      <w:rPr>
        <w:rFonts w:hint="default"/>
        <w:lang w:val="zh-tw" w:eastAsia="zh-tw" w:bidi="zh-tw"/>
      </w:rPr>
    </w:lvl>
    <w:lvl w:ilvl="2">
      <w:start w:val="0"/>
      <w:numFmt w:val="bullet"/>
      <w:lvlText w:val="•"/>
      <w:lvlJc w:val="left"/>
      <w:pPr>
        <w:ind w:left="2965" w:hanging="360"/>
      </w:pPr>
      <w:rPr>
        <w:rFonts w:hint="default"/>
        <w:lang w:val="zh-tw" w:eastAsia="zh-tw" w:bidi="zh-tw"/>
      </w:rPr>
    </w:lvl>
    <w:lvl w:ilvl="3">
      <w:start w:val="0"/>
      <w:numFmt w:val="bullet"/>
      <w:lvlText w:val="•"/>
      <w:lvlJc w:val="left"/>
      <w:pPr>
        <w:ind w:left="3777" w:hanging="360"/>
      </w:pPr>
      <w:rPr>
        <w:rFonts w:hint="default"/>
        <w:lang w:val="zh-tw" w:eastAsia="zh-tw" w:bidi="zh-tw"/>
      </w:rPr>
    </w:lvl>
    <w:lvl w:ilvl="4">
      <w:start w:val="0"/>
      <w:numFmt w:val="bullet"/>
      <w:lvlText w:val="•"/>
      <w:lvlJc w:val="left"/>
      <w:pPr>
        <w:ind w:left="4590" w:hanging="360"/>
      </w:pPr>
      <w:rPr>
        <w:rFonts w:hint="default"/>
        <w:lang w:val="zh-tw" w:eastAsia="zh-tw" w:bidi="zh-tw"/>
      </w:rPr>
    </w:lvl>
    <w:lvl w:ilvl="5">
      <w:start w:val="0"/>
      <w:numFmt w:val="bullet"/>
      <w:lvlText w:val="•"/>
      <w:lvlJc w:val="left"/>
      <w:pPr>
        <w:ind w:left="5403" w:hanging="360"/>
      </w:pPr>
      <w:rPr>
        <w:rFonts w:hint="default"/>
        <w:lang w:val="zh-tw" w:eastAsia="zh-tw" w:bidi="zh-tw"/>
      </w:rPr>
    </w:lvl>
    <w:lvl w:ilvl="6">
      <w:start w:val="0"/>
      <w:numFmt w:val="bullet"/>
      <w:lvlText w:val="•"/>
      <w:lvlJc w:val="left"/>
      <w:pPr>
        <w:ind w:left="6215" w:hanging="360"/>
      </w:pPr>
      <w:rPr>
        <w:rFonts w:hint="default"/>
        <w:lang w:val="zh-tw" w:eastAsia="zh-tw" w:bidi="zh-tw"/>
      </w:rPr>
    </w:lvl>
    <w:lvl w:ilvl="7">
      <w:start w:val="0"/>
      <w:numFmt w:val="bullet"/>
      <w:lvlText w:val="•"/>
      <w:lvlJc w:val="left"/>
      <w:pPr>
        <w:ind w:left="7028" w:hanging="360"/>
      </w:pPr>
      <w:rPr>
        <w:rFonts w:hint="default"/>
        <w:lang w:val="zh-tw" w:eastAsia="zh-tw" w:bidi="zh-tw"/>
      </w:rPr>
    </w:lvl>
    <w:lvl w:ilvl="8">
      <w:start w:val="0"/>
      <w:numFmt w:val="bullet"/>
      <w:lvlText w:val="•"/>
      <w:lvlJc w:val="left"/>
      <w:pPr>
        <w:ind w:left="7841" w:hanging="360"/>
      </w:pPr>
      <w:rPr>
        <w:rFonts w:hint="default"/>
        <w:lang w:val="zh-tw" w:eastAsia="zh-tw" w:bidi="zh-tw"/>
      </w:rPr>
    </w:lvl>
  </w:abstractNum>
  <w:abstractNum w:abstractNumId="4">
    <w:multiLevelType w:val="hybridMultilevel"/>
    <w:lvl w:ilvl="0">
      <w:start w:val="1"/>
      <w:numFmt w:val="decimal"/>
      <w:lvlText w:val="%1."/>
      <w:lvlJc w:val="left"/>
      <w:pPr>
        <w:ind w:left="1330" w:hanging="360"/>
        <w:jc w:val="left"/>
      </w:pPr>
      <w:rPr>
        <w:rFonts w:hint="default" w:ascii="細明體_HKSCS" w:hAnsi="細明體_HKSCS" w:eastAsia="細明體_HKSCS" w:cs="細明體_HKSCS"/>
        <w:spacing w:val="0"/>
        <w:w w:val="99"/>
        <w:sz w:val="32"/>
        <w:szCs w:val="32"/>
        <w:lang w:val="zh-tw" w:eastAsia="zh-tw" w:bidi="zh-tw"/>
      </w:rPr>
    </w:lvl>
    <w:lvl w:ilvl="1">
      <w:start w:val="0"/>
      <w:numFmt w:val="bullet"/>
      <w:lvlText w:val="•"/>
      <w:lvlJc w:val="left"/>
      <w:pPr>
        <w:ind w:left="2152" w:hanging="360"/>
      </w:pPr>
      <w:rPr>
        <w:rFonts w:hint="default"/>
        <w:lang w:val="zh-tw" w:eastAsia="zh-tw" w:bidi="zh-tw"/>
      </w:rPr>
    </w:lvl>
    <w:lvl w:ilvl="2">
      <w:start w:val="0"/>
      <w:numFmt w:val="bullet"/>
      <w:lvlText w:val="•"/>
      <w:lvlJc w:val="left"/>
      <w:pPr>
        <w:ind w:left="2965" w:hanging="360"/>
      </w:pPr>
      <w:rPr>
        <w:rFonts w:hint="default"/>
        <w:lang w:val="zh-tw" w:eastAsia="zh-tw" w:bidi="zh-tw"/>
      </w:rPr>
    </w:lvl>
    <w:lvl w:ilvl="3">
      <w:start w:val="0"/>
      <w:numFmt w:val="bullet"/>
      <w:lvlText w:val="•"/>
      <w:lvlJc w:val="left"/>
      <w:pPr>
        <w:ind w:left="3777" w:hanging="360"/>
      </w:pPr>
      <w:rPr>
        <w:rFonts w:hint="default"/>
        <w:lang w:val="zh-tw" w:eastAsia="zh-tw" w:bidi="zh-tw"/>
      </w:rPr>
    </w:lvl>
    <w:lvl w:ilvl="4">
      <w:start w:val="0"/>
      <w:numFmt w:val="bullet"/>
      <w:lvlText w:val="•"/>
      <w:lvlJc w:val="left"/>
      <w:pPr>
        <w:ind w:left="4590" w:hanging="360"/>
      </w:pPr>
      <w:rPr>
        <w:rFonts w:hint="default"/>
        <w:lang w:val="zh-tw" w:eastAsia="zh-tw" w:bidi="zh-tw"/>
      </w:rPr>
    </w:lvl>
    <w:lvl w:ilvl="5">
      <w:start w:val="0"/>
      <w:numFmt w:val="bullet"/>
      <w:lvlText w:val="•"/>
      <w:lvlJc w:val="left"/>
      <w:pPr>
        <w:ind w:left="5403" w:hanging="360"/>
      </w:pPr>
      <w:rPr>
        <w:rFonts w:hint="default"/>
        <w:lang w:val="zh-tw" w:eastAsia="zh-tw" w:bidi="zh-tw"/>
      </w:rPr>
    </w:lvl>
    <w:lvl w:ilvl="6">
      <w:start w:val="0"/>
      <w:numFmt w:val="bullet"/>
      <w:lvlText w:val="•"/>
      <w:lvlJc w:val="left"/>
      <w:pPr>
        <w:ind w:left="6215" w:hanging="360"/>
      </w:pPr>
      <w:rPr>
        <w:rFonts w:hint="default"/>
        <w:lang w:val="zh-tw" w:eastAsia="zh-tw" w:bidi="zh-tw"/>
      </w:rPr>
    </w:lvl>
    <w:lvl w:ilvl="7">
      <w:start w:val="0"/>
      <w:numFmt w:val="bullet"/>
      <w:lvlText w:val="•"/>
      <w:lvlJc w:val="left"/>
      <w:pPr>
        <w:ind w:left="7028" w:hanging="360"/>
      </w:pPr>
      <w:rPr>
        <w:rFonts w:hint="default"/>
        <w:lang w:val="zh-tw" w:eastAsia="zh-tw" w:bidi="zh-tw"/>
      </w:rPr>
    </w:lvl>
    <w:lvl w:ilvl="8">
      <w:start w:val="0"/>
      <w:numFmt w:val="bullet"/>
      <w:lvlText w:val="•"/>
      <w:lvlJc w:val="left"/>
      <w:pPr>
        <w:ind w:left="7841" w:hanging="360"/>
      </w:pPr>
      <w:rPr>
        <w:rFonts w:hint="default"/>
        <w:lang w:val="zh-tw" w:eastAsia="zh-tw" w:bidi="zh-tw"/>
      </w:rPr>
    </w:lvl>
  </w:abstractNum>
  <w:abstractNum w:abstractNumId="3">
    <w:multiLevelType w:val="hybridMultilevel"/>
    <w:lvl w:ilvl="0">
      <w:start w:val="1"/>
      <w:numFmt w:val="decimal"/>
      <w:lvlText w:val="%1."/>
      <w:lvlJc w:val="left"/>
      <w:pPr>
        <w:ind w:left="1330" w:hanging="360"/>
        <w:jc w:val="left"/>
      </w:pPr>
      <w:rPr>
        <w:rFonts w:hint="default" w:ascii="細明體_HKSCS" w:hAnsi="細明體_HKSCS" w:eastAsia="細明體_HKSCS" w:cs="細明體_HKSCS"/>
        <w:spacing w:val="0"/>
        <w:w w:val="99"/>
        <w:sz w:val="32"/>
        <w:szCs w:val="32"/>
        <w:lang w:val="zh-tw" w:eastAsia="zh-tw" w:bidi="zh-tw"/>
      </w:rPr>
    </w:lvl>
    <w:lvl w:ilvl="1">
      <w:start w:val="0"/>
      <w:numFmt w:val="bullet"/>
      <w:lvlText w:val="•"/>
      <w:lvlJc w:val="left"/>
      <w:pPr>
        <w:ind w:left="2152" w:hanging="360"/>
      </w:pPr>
      <w:rPr>
        <w:rFonts w:hint="default"/>
        <w:lang w:val="zh-tw" w:eastAsia="zh-tw" w:bidi="zh-tw"/>
      </w:rPr>
    </w:lvl>
    <w:lvl w:ilvl="2">
      <w:start w:val="0"/>
      <w:numFmt w:val="bullet"/>
      <w:lvlText w:val="•"/>
      <w:lvlJc w:val="left"/>
      <w:pPr>
        <w:ind w:left="2965" w:hanging="360"/>
      </w:pPr>
      <w:rPr>
        <w:rFonts w:hint="default"/>
        <w:lang w:val="zh-tw" w:eastAsia="zh-tw" w:bidi="zh-tw"/>
      </w:rPr>
    </w:lvl>
    <w:lvl w:ilvl="3">
      <w:start w:val="0"/>
      <w:numFmt w:val="bullet"/>
      <w:lvlText w:val="•"/>
      <w:lvlJc w:val="left"/>
      <w:pPr>
        <w:ind w:left="3777" w:hanging="360"/>
      </w:pPr>
      <w:rPr>
        <w:rFonts w:hint="default"/>
        <w:lang w:val="zh-tw" w:eastAsia="zh-tw" w:bidi="zh-tw"/>
      </w:rPr>
    </w:lvl>
    <w:lvl w:ilvl="4">
      <w:start w:val="0"/>
      <w:numFmt w:val="bullet"/>
      <w:lvlText w:val="•"/>
      <w:lvlJc w:val="left"/>
      <w:pPr>
        <w:ind w:left="4590" w:hanging="360"/>
      </w:pPr>
      <w:rPr>
        <w:rFonts w:hint="default"/>
        <w:lang w:val="zh-tw" w:eastAsia="zh-tw" w:bidi="zh-tw"/>
      </w:rPr>
    </w:lvl>
    <w:lvl w:ilvl="5">
      <w:start w:val="0"/>
      <w:numFmt w:val="bullet"/>
      <w:lvlText w:val="•"/>
      <w:lvlJc w:val="left"/>
      <w:pPr>
        <w:ind w:left="5403" w:hanging="360"/>
      </w:pPr>
      <w:rPr>
        <w:rFonts w:hint="default"/>
        <w:lang w:val="zh-tw" w:eastAsia="zh-tw" w:bidi="zh-tw"/>
      </w:rPr>
    </w:lvl>
    <w:lvl w:ilvl="6">
      <w:start w:val="0"/>
      <w:numFmt w:val="bullet"/>
      <w:lvlText w:val="•"/>
      <w:lvlJc w:val="left"/>
      <w:pPr>
        <w:ind w:left="6215" w:hanging="360"/>
      </w:pPr>
      <w:rPr>
        <w:rFonts w:hint="default"/>
        <w:lang w:val="zh-tw" w:eastAsia="zh-tw" w:bidi="zh-tw"/>
      </w:rPr>
    </w:lvl>
    <w:lvl w:ilvl="7">
      <w:start w:val="0"/>
      <w:numFmt w:val="bullet"/>
      <w:lvlText w:val="•"/>
      <w:lvlJc w:val="left"/>
      <w:pPr>
        <w:ind w:left="7028" w:hanging="360"/>
      </w:pPr>
      <w:rPr>
        <w:rFonts w:hint="default"/>
        <w:lang w:val="zh-tw" w:eastAsia="zh-tw" w:bidi="zh-tw"/>
      </w:rPr>
    </w:lvl>
    <w:lvl w:ilvl="8">
      <w:start w:val="0"/>
      <w:numFmt w:val="bullet"/>
      <w:lvlText w:val="•"/>
      <w:lvlJc w:val="left"/>
      <w:pPr>
        <w:ind w:left="7841" w:hanging="360"/>
      </w:pPr>
      <w:rPr>
        <w:rFonts w:hint="default"/>
        <w:lang w:val="zh-tw" w:eastAsia="zh-tw" w:bidi="zh-tw"/>
      </w:rPr>
    </w:lvl>
  </w:abstractNum>
  <w:abstractNum w:abstractNumId="2">
    <w:multiLevelType w:val="hybridMultilevel"/>
    <w:lvl w:ilvl="0">
      <w:start w:val="1"/>
      <w:numFmt w:val="decimal"/>
      <w:lvlText w:val="%1."/>
      <w:lvlJc w:val="left"/>
      <w:pPr>
        <w:ind w:left="1330" w:hanging="322"/>
        <w:jc w:val="left"/>
      </w:pPr>
      <w:rPr>
        <w:rFonts w:hint="default" w:ascii="細明體_HKSCS" w:hAnsi="細明體_HKSCS" w:eastAsia="細明體_HKSCS" w:cs="細明體_HKSCS"/>
        <w:spacing w:val="-2"/>
        <w:w w:val="99"/>
        <w:sz w:val="30"/>
        <w:szCs w:val="30"/>
        <w:lang w:val="zh-tw" w:eastAsia="zh-tw" w:bidi="zh-tw"/>
      </w:rPr>
    </w:lvl>
    <w:lvl w:ilvl="1">
      <w:start w:val="0"/>
      <w:numFmt w:val="bullet"/>
      <w:lvlText w:val="•"/>
      <w:lvlJc w:val="left"/>
      <w:pPr>
        <w:ind w:left="2152" w:hanging="322"/>
      </w:pPr>
      <w:rPr>
        <w:rFonts w:hint="default"/>
        <w:lang w:val="zh-tw" w:eastAsia="zh-tw" w:bidi="zh-tw"/>
      </w:rPr>
    </w:lvl>
    <w:lvl w:ilvl="2">
      <w:start w:val="0"/>
      <w:numFmt w:val="bullet"/>
      <w:lvlText w:val="•"/>
      <w:lvlJc w:val="left"/>
      <w:pPr>
        <w:ind w:left="2965" w:hanging="322"/>
      </w:pPr>
      <w:rPr>
        <w:rFonts w:hint="default"/>
        <w:lang w:val="zh-tw" w:eastAsia="zh-tw" w:bidi="zh-tw"/>
      </w:rPr>
    </w:lvl>
    <w:lvl w:ilvl="3">
      <w:start w:val="0"/>
      <w:numFmt w:val="bullet"/>
      <w:lvlText w:val="•"/>
      <w:lvlJc w:val="left"/>
      <w:pPr>
        <w:ind w:left="3777" w:hanging="322"/>
      </w:pPr>
      <w:rPr>
        <w:rFonts w:hint="default"/>
        <w:lang w:val="zh-tw" w:eastAsia="zh-tw" w:bidi="zh-tw"/>
      </w:rPr>
    </w:lvl>
    <w:lvl w:ilvl="4">
      <w:start w:val="0"/>
      <w:numFmt w:val="bullet"/>
      <w:lvlText w:val="•"/>
      <w:lvlJc w:val="left"/>
      <w:pPr>
        <w:ind w:left="4590" w:hanging="322"/>
      </w:pPr>
      <w:rPr>
        <w:rFonts w:hint="default"/>
        <w:lang w:val="zh-tw" w:eastAsia="zh-tw" w:bidi="zh-tw"/>
      </w:rPr>
    </w:lvl>
    <w:lvl w:ilvl="5">
      <w:start w:val="0"/>
      <w:numFmt w:val="bullet"/>
      <w:lvlText w:val="•"/>
      <w:lvlJc w:val="left"/>
      <w:pPr>
        <w:ind w:left="5403" w:hanging="322"/>
      </w:pPr>
      <w:rPr>
        <w:rFonts w:hint="default"/>
        <w:lang w:val="zh-tw" w:eastAsia="zh-tw" w:bidi="zh-tw"/>
      </w:rPr>
    </w:lvl>
    <w:lvl w:ilvl="6">
      <w:start w:val="0"/>
      <w:numFmt w:val="bullet"/>
      <w:lvlText w:val="•"/>
      <w:lvlJc w:val="left"/>
      <w:pPr>
        <w:ind w:left="6215" w:hanging="322"/>
      </w:pPr>
      <w:rPr>
        <w:rFonts w:hint="default"/>
        <w:lang w:val="zh-tw" w:eastAsia="zh-tw" w:bidi="zh-tw"/>
      </w:rPr>
    </w:lvl>
    <w:lvl w:ilvl="7">
      <w:start w:val="0"/>
      <w:numFmt w:val="bullet"/>
      <w:lvlText w:val="•"/>
      <w:lvlJc w:val="left"/>
      <w:pPr>
        <w:ind w:left="7028" w:hanging="322"/>
      </w:pPr>
      <w:rPr>
        <w:rFonts w:hint="default"/>
        <w:lang w:val="zh-tw" w:eastAsia="zh-tw" w:bidi="zh-tw"/>
      </w:rPr>
    </w:lvl>
    <w:lvl w:ilvl="8">
      <w:start w:val="0"/>
      <w:numFmt w:val="bullet"/>
      <w:lvlText w:val="•"/>
      <w:lvlJc w:val="left"/>
      <w:pPr>
        <w:ind w:left="7841" w:hanging="322"/>
      </w:pPr>
      <w:rPr>
        <w:rFonts w:hint="default"/>
        <w:lang w:val="zh-tw" w:eastAsia="zh-tw" w:bidi="zh-tw"/>
      </w:rPr>
    </w:lvl>
  </w:abstractNum>
  <w:abstractNum w:abstractNumId="1">
    <w:multiLevelType w:val="hybridMultilevel"/>
    <w:lvl w:ilvl="0">
      <w:start w:val="1"/>
      <w:numFmt w:val="decimal"/>
      <w:lvlText w:val="%1."/>
      <w:lvlJc w:val="left"/>
      <w:pPr>
        <w:ind w:left="1330" w:hanging="322"/>
        <w:jc w:val="left"/>
      </w:pPr>
      <w:rPr>
        <w:rFonts w:hint="default" w:ascii="細明體_HKSCS" w:hAnsi="細明體_HKSCS" w:eastAsia="細明體_HKSCS" w:cs="細明體_HKSCS"/>
        <w:spacing w:val="-2"/>
        <w:w w:val="99"/>
        <w:sz w:val="30"/>
        <w:szCs w:val="30"/>
        <w:lang w:val="zh-tw" w:eastAsia="zh-tw" w:bidi="zh-tw"/>
      </w:rPr>
    </w:lvl>
    <w:lvl w:ilvl="1">
      <w:start w:val="0"/>
      <w:numFmt w:val="bullet"/>
      <w:lvlText w:val="•"/>
      <w:lvlJc w:val="left"/>
      <w:pPr>
        <w:ind w:left="1340" w:hanging="322"/>
      </w:pPr>
      <w:rPr>
        <w:rFonts w:hint="default"/>
        <w:lang w:val="zh-tw" w:eastAsia="zh-tw" w:bidi="zh-tw"/>
      </w:rPr>
    </w:lvl>
    <w:lvl w:ilvl="2">
      <w:start w:val="0"/>
      <w:numFmt w:val="bullet"/>
      <w:lvlText w:val="•"/>
      <w:lvlJc w:val="left"/>
      <w:pPr>
        <w:ind w:left="2242" w:hanging="322"/>
      </w:pPr>
      <w:rPr>
        <w:rFonts w:hint="default"/>
        <w:lang w:val="zh-tw" w:eastAsia="zh-tw" w:bidi="zh-tw"/>
      </w:rPr>
    </w:lvl>
    <w:lvl w:ilvl="3">
      <w:start w:val="0"/>
      <w:numFmt w:val="bullet"/>
      <w:lvlText w:val="•"/>
      <w:lvlJc w:val="left"/>
      <w:pPr>
        <w:ind w:left="3145" w:hanging="322"/>
      </w:pPr>
      <w:rPr>
        <w:rFonts w:hint="default"/>
        <w:lang w:val="zh-tw" w:eastAsia="zh-tw" w:bidi="zh-tw"/>
      </w:rPr>
    </w:lvl>
    <w:lvl w:ilvl="4">
      <w:start w:val="0"/>
      <w:numFmt w:val="bullet"/>
      <w:lvlText w:val="•"/>
      <w:lvlJc w:val="left"/>
      <w:pPr>
        <w:ind w:left="4048" w:hanging="322"/>
      </w:pPr>
      <w:rPr>
        <w:rFonts w:hint="default"/>
        <w:lang w:val="zh-tw" w:eastAsia="zh-tw" w:bidi="zh-tw"/>
      </w:rPr>
    </w:lvl>
    <w:lvl w:ilvl="5">
      <w:start w:val="0"/>
      <w:numFmt w:val="bullet"/>
      <w:lvlText w:val="•"/>
      <w:lvlJc w:val="left"/>
      <w:pPr>
        <w:ind w:left="4951" w:hanging="322"/>
      </w:pPr>
      <w:rPr>
        <w:rFonts w:hint="default"/>
        <w:lang w:val="zh-tw" w:eastAsia="zh-tw" w:bidi="zh-tw"/>
      </w:rPr>
    </w:lvl>
    <w:lvl w:ilvl="6">
      <w:start w:val="0"/>
      <w:numFmt w:val="bullet"/>
      <w:lvlText w:val="•"/>
      <w:lvlJc w:val="left"/>
      <w:pPr>
        <w:ind w:left="5854" w:hanging="322"/>
      </w:pPr>
      <w:rPr>
        <w:rFonts w:hint="default"/>
        <w:lang w:val="zh-tw" w:eastAsia="zh-tw" w:bidi="zh-tw"/>
      </w:rPr>
    </w:lvl>
    <w:lvl w:ilvl="7">
      <w:start w:val="0"/>
      <w:numFmt w:val="bullet"/>
      <w:lvlText w:val="•"/>
      <w:lvlJc w:val="left"/>
      <w:pPr>
        <w:ind w:left="6757" w:hanging="322"/>
      </w:pPr>
      <w:rPr>
        <w:rFonts w:hint="default"/>
        <w:lang w:val="zh-tw" w:eastAsia="zh-tw" w:bidi="zh-tw"/>
      </w:rPr>
    </w:lvl>
    <w:lvl w:ilvl="8">
      <w:start w:val="0"/>
      <w:numFmt w:val="bullet"/>
      <w:lvlText w:val="•"/>
      <w:lvlJc w:val="left"/>
      <w:pPr>
        <w:ind w:left="7660" w:hanging="322"/>
      </w:pPr>
      <w:rPr>
        <w:rFonts w:hint="default"/>
        <w:lang w:val="zh-tw" w:eastAsia="zh-tw" w:bidi="zh-tw"/>
      </w:rPr>
    </w:lvl>
  </w:abstractNum>
  <w:abstractNum w:abstractNumId="0">
    <w:multiLevelType w:val="hybridMultilevel"/>
    <w:lvl w:ilvl="0">
      <w:start w:val="1"/>
      <w:numFmt w:val="decimal"/>
      <w:lvlText w:val="%1."/>
      <w:lvlJc w:val="left"/>
      <w:pPr>
        <w:ind w:left="1330" w:hanging="322"/>
        <w:jc w:val="left"/>
      </w:pPr>
      <w:rPr>
        <w:rFonts w:hint="default" w:ascii="細明體_HKSCS" w:hAnsi="細明體_HKSCS" w:eastAsia="細明體_HKSCS" w:cs="細明體_HKSCS"/>
        <w:spacing w:val="-2"/>
        <w:w w:val="99"/>
        <w:sz w:val="30"/>
        <w:szCs w:val="30"/>
        <w:lang w:val="zh-tw" w:eastAsia="zh-tw" w:bidi="zh-tw"/>
      </w:rPr>
    </w:lvl>
    <w:lvl w:ilvl="1">
      <w:start w:val="0"/>
      <w:numFmt w:val="bullet"/>
      <w:lvlText w:val="○"/>
      <w:lvlJc w:val="left"/>
      <w:pPr>
        <w:ind w:left="1330" w:hanging="329"/>
      </w:pPr>
      <w:rPr>
        <w:rFonts w:hint="default" w:ascii="標楷體" w:hAnsi="標楷體" w:eastAsia="標楷體" w:cs="標楷體"/>
        <w:spacing w:val="9"/>
        <w:w w:val="99"/>
        <w:sz w:val="30"/>
        <w:szCs w:val="30"/>
        <w:lang w:val="zh-tw" w:eastAsia="zh-tw" w:bidi="zh-tw"/>
      </w:rPr>
    </w:lvl>
    <w:lvl w:ilvl="2">
      <w:start w:val="0"/>
      <w:numFmt w:val="bullet"/>
      <w:lvlText w:val="•"/>
      <w:lvlJc w:val="left"/>
      <w:pPr>
        <w:ind w:left="2965" w:hanging="329"/>
      </w:pPr>
      <w:rPr>
        <w:rFonts w:hint="default"/>
        <w:lang w:val="zh-tw" w:eastAsia="zh-tw" w:bidi="zh-tw"/>
      </w:rPr>
    </w:lvl>
    <w:lvl w:ilvl="3">
      <w:start w:val="0"/>
      <w:numFmt w:val="bullet"/>
      <w:lvlText w:val="•"/>
      <w:lvlJc w:val="left"/>
      <w:pPr>
        <w:ind w:left="3777" w:hanging="329"/>
      </w:pPr>
      <w:rPr>
        <w:rFonts w:hint="default"/>
        <w:lang w:val="zh-tw" w:eastAsia="zh-tw" w:bidi="zh-tw"/>
      </w:rPr>
    </w:lvl>
    <w:lvl w:ilvl="4">
      <w:start w:val="0"/>
      <w:numFmt w:val="bullet"/>
      <w:lvlText w:val="•"/>
      <w:lvlJc w:val="left"/>
      <w:pPr>
        <w:ind w:left="4590" w:hanging="329"/>
      </w:pPr>
      <w:rPr>
        <w:rFonts w:hint="default"/>
        <w:lang w:val="zh-tw" w:eastAsia="zh-tw" w:bidi="zh-tw"/>
      </w:rPr>
    </w:lvl>
    <w:lvl w:ilvl="5">
      <w:start w:val="0"/>
      <w:numFmt w:val="bullet"/>
      <w:lvlText w:val="•"/>
      <w:lvlJc w:val="left"/>
      <w:pPr>
        <w:ind w:left="5403" w:hanging="329"/>
      </w:pPr>
      <w:rPr>
        <w:rFonts w:hint="default"/>
        <w:lang w:val="zh-tw" w:eastAsia="zh-tw" w:bidi="zh-tw"/>
      </w:rPr>
    </w:lvl>
    <w:lvl w:ilvl="6">
      <w:start w:val="0"/>
      <w:numFmt w:val="bullet"/>
      <w:lvlText w:val="•"/>
      <w:lvlJc w:val="left"/>
      <w:pPr>
        <w:ind w:left="6215" w:hanging="329"/>
      </w:pPr>
      <w:rPr>
        <w:rFonts w:hint="default"/>
        <w:lang w:val="zh-tw" w:eastAsia="zh-tw" w:bidi="zh-tw"/>
      </w:rPr>
    </w:lvl>
    <w:lvl w:ilvl="7">
      <w:start w:val="0"/>
      <w:numFmt w:val="bullet"/>
      <w:lvlText w:val="•"/>
      <w:lvlJc w:val="left"/>
      <w:pPr>
        <w:ind w:left="7028" w:hanging="329"/>
      </w:pPr>
      <w:rPr>
        <w:rFonts w:hint="default"/>
        <w:lang w:val="zh-tw" w:eastAsia="zh-tw" w:bidi="zh-tw"/>
      </w:rPr>
    </w:lvl>
    <w:lvl w:ilvl="8">
      <w:start w:val="0"/>
      <w:numFmt w:val="bullet"/>
      <w:lvlText w:val="•"/>
      <w:lvlJc w:val="left"/>
      <w:pPr>
        <w:ind w:left="7841" w:hanging="329"/>
      </w:pPr>
      <w:rPr>
        <w:rFonts w:hint="default"/>
        <w:lang w:val="zh-tw" w:eastAsia="zh-tw" w:bidi="zh-tw"/>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zh-tw" w:eastAsia="zh-tw" w:bidi="zh-tw"/>
    </w:rPr>
  </w:style>
  <w:style w:styleId="BodyText" w:type="paragraph">
    <w:name w:val="Body Text"/>
    <w:basedOn w:val="Normal"/>
    <w:uiPriority w:val="1"/>
    <w:qFormat/>
    <w:pPr>
      <w:ind w:left="1330"/>
      <w:jc w:val="both"/>
    </w:pPr>
    <w:rPr>
      <w:rFonts w:ascii="標楷體" w:hAnsi="標楷體" w:eastAsia="標楷體" w:cs="標楷體"/>
      <w:sz w:val="32"/>
      <w:szCs w:val="32"/>
      <w:lang w:val="zh-tw" w:eastAsia="zh-tw" w:bidi="zh-tw"/>
    </w:rPr>
  </w:style>
  <w:style w:styleId="Heading1" w:type="paragraph">
    <w:name w:val="Heading 1"/>
    <w:basedOn w:val="Normal"/>
    <w:uiPriority w:val="1"/>
    <w:qFormat/>
    <w:pPr>
      <w:spacing w:before="89"/>
      <w:ind w:left="118"/>
      <w:outlineLvl w:val="1"/>
    </w:pPr>
    <w:rPr>
      <w:rFonts w:ascii="微軟正黑體" w:hAnsi="微軟正黑體" w:eastAsia="微軟正黑體" w:cs="微軟正黑體"/>
      <w:b/>
      <w:bCs/>
      <w:sz w:val="32"/>
      <w:szCs w:val="32"/>
      <w:lang w:val="zh-tw" w:eastAsia="zh-tw" w:bidi="zh-tw"/>
    </w:rPr>
  </w:style>
  <w:style w:styleId="ListParagraph" w:type="paragraph">
    <w:name w:val="List Paragraph"/>
    <w:basedOn w:val="Normal"/>
    <w:uiPriority w:val="1"/>
    <w:qFormat/>
    <w:pPr>
      <w:ind w:left="1330" w:hanging="360"/>
      <w:jc w:val="both"/>
    </w:pPr>
    <w:rPr>
      <w:rFonts w:ascii="標楷體" w:hAnsi="標楷體" w:eastAsia="標楷體" w:cs="標楷體"/>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sptc.gov.tw/%E4%BF%9D%E9%9A%9C%E6%A5%AD%E5%8B%99/%E8%BE%A6%E7%90%86%E5%85%AC%E5%8B%99%E4%BA%BA%E5%93%A1%E4%B8%80" TargetMode="External"/><Relationship Id="rId7" Type="http://schemas.openxmlformats.org/officeDocument/2006/relationships/hyperlink" Target="http://www.csptc.gov.tw/googlema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dc:title>各機關辦理申訴、復審案件業務參考資料</dc:title>
  <dcterms:created xsi:type="dcterms:W3CDTF">2021-09-22T13:36:03Z</dcterms:created>
  <dcterms:modified xsi:type="dcterms:W3CDTF">2021-09-22T13:36:03Z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2013</vt:lpwstr>
  </property>
  <property fmtid="{D5CDD505-2E9C-101B-9397-08002B2CF9AE}" pid="4" name="LastSaved">
    <vt:filetime>2021-09-22T00:00:00Z</vt:filetime>
  </property>
</Properties>
</file>