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
        <w:spacing w:lineRule="exact" w:line="800"/>
        <w:jc w:val="distribute"/>
        <w:rPr>
          <w:szCs w:val="48"/>
        </w:rPr>
      </w:pPr>
      <w:r>
        <w:rPr>
          <w:szCs w:val="48"/>
        </w:rPr>
        <w:t>公務人員保障暨培訓委員會</w:t>
      </w:r>
      <w:r>
        <w:rPr>
          <w:szCs w:val="48"/>
        </w:rPr>
        <w:t>102</w:t>
      </w:r>
      <w:r>
        <w:rPr>
          <w:szCs w:val="48"/>
        </w:rPr>
        <w:t>年</w:t>
      </w:r>
      <w:r>
        <w:rPr>
          <w:szCs w:val="48"/>
        </w:rPr>
        <w:t>1</w:t>
      </w:r>
      <w:r>
        <w:rPr>
          <w:szCs w:val="48"/>
        </w:rPr>
        <w:t>月至</w:t>
      </w:r>
      <w:r>
        <w:rPr>
          <w:szCs w:val="48"/>
        </w:rPr>
        <w:t>6</w:t>
      </w:r>
      <w:r>
        <w:rPr>
          <w:szCs w:val="48"/>
        </w:rPr>
        <w:t>月</w:t>
      </w:r>
    </w:p>
    <w:p>
      <w:pPr>
        <w:pStyle w:val="BodyText3"/>
        <w:spacing w:lineRule="exact" w:line="800"/>
        <w:jc w:val="distribute"/>
        <w:rPr>
          <w:szCs w:val="48"/>
        </w:rPr>
      </w:pPr>
      <w:r>
        <w:rPr>
          <w:szCs w:val="48"/>
        </w:rPr>
        <w:t>審理保障事件常見撤銷原因分析參考資料</w:t>
      </w:r>
    </w:p>
    <w:p>
      <w:pPr>
        <w:pStyle w:val="BodyTextIndent2"/>
        <w:kinsoku w:val="true"/>
        <w:ind w:firstLine="720"/>
        <w:rPr>
          <w:szCs w:val="36"/>
        </w:rPr>
      </w:pPr>
      <w:r>
        <w:rPr>
          <w:szCs w:val="36"/>
        </w:rPr>
        <w:t>按公務人員對於服務機關或人事主管機關所為之行政處分，認為違法或顯然不當，致損害其權利或利益者，得提起復審；至於公務人員對於服務機關所提供之工作條件及所為之管理措施認為不當者，則得提起申訴、再申訴，分別為公務人員保障法（以下簡稱保障法）第</w:t>
      </w:r>
      <w:r>
        <w:rPr>
          <w:szCs w:val="36"/>
        </w:rPr>
        <w:t>25</w:t>
      </w:r>
      <w:r>
        <w:rPr>
          <w:szCs w:val="36"/>
        </w:rPr>
        <w:t>條、第</w:t>
      </w:r>
      <w:r>
        <w:rPr>
          <w:szCs w:val="36"/>
        </w:rPr>
        <w:t>77</w:t>
      </w:r>
      <w:r>
        <w:rPr>
          <w:szCs w:val="36"/>
        </w:rPr>
        <w:t>條第</w:t>
      </w:r>
      <w:r>
        <w:rPr>
          <w:szCs w:val="36"/>
        </w:rPr>
        <w:t>1</w:t>
      </w:r>
      <w:r>
        <w:rPr>
          <w:szCs w:val="36"/>
        </w:rPr>
        <w:t>項所明定。茲就</w:t>
      </w:r>
      <w:r>
        <w:rPr>
          <w:szCs w:val="36"/>
        </w:rPr>
        <w:t>102</w:t>
      </w:r>
      <w:r>
        <w:rPr>
          <w:szCs w:val="36"/>
        </w:rPr>
        <w:t>年</w:t>
      </w:r>
      <w:r>
        <w:rPr>
          <w:szCs w:val="36"/>
        </w:rPr>
        <w:t>1</w:t>
      </w:r>
      <w:r>
        <w:rPr>
          <w:szCs w:val="36"/>
        </w:rPr>
        <w:t>月至</w:t>
      </w:r>
      <w:r>
        <w:rPr>
          <w:szCs w:val="36"/>
        </w:rPr>
        <w:t>6</w:t>
      </w:r>
      <w:r>
        <w:rPr>
          <w:szCs w:val="36"/>
        </w:rPr>
        <w:t>月經本會審理決定撤銷之保障事件，予以歸納分析撤銷原因，並就機關為人事管理行為時，仍常發生之作業疏失綜合說明。相關決定書可至本會網站保障事件決定書查詢系統（</w:t>
      </w:r>
      <w:r>
        <w:rPr>
          <w:szCs w:val="36"/>
        </w:rPr>
        <w:t>https://web13.csptc.gov.tw/index.aspx</w:t>
      </w:r>
      <w:r>
        <w:rPr>
          <w:szCs w:val="36"/>
        </w:rPr>
        <w:t>）查</w:t>
      </w:r>
      <w:r>
        <w:rPr/>
        <w:t>詢。</w:t>
      </w:r>
    </w:p>
    <w:p>
      <w:pPr>
        <w:pStyle w:val="Normal"/>
        <w:overflowPunct w:val="false"/>
        <w:autoSpaceDE w:val="false"/>
        <w:spacing w:lineRule="exact" w:line="560"/>
        <w:jc w:val="both"/>
        <w:rPr>
          <w:rFonts w:ascii="標楷體" w:hAnsi="標楷體"/>
          <w:szCs w:val="36"/>
        </w:rPr>
      </w:pPr>
      <w:r>
        <w:rPr>
          <w:rFonts w:ascii="標楷體" w:hAnsi="標楷體" w:cs="標楷體"/>
          <w:b/>
          <w:bCs/>
          <w:szCs w:val="36"/>
        </w:rPr>
        <w:t>壹、常見之撤銷原因摘要</w:t>
      </w:r>
    </w:p>
    <w:p>
      <w:pPr>
        <w:pStyle w:val="Normal"/>
        <w:overflowPunct w:val="false"/>
        <w:autoSpaceDE w:val="false"/>
        <w:spacing w:lineRule="exact" w:line="560" w:before="80" w:after="0"/>
        <w:jc w:val="both"/>
        <w:rPr>
          <w:rFonts w:ascii="標楷體" w:hAnsi="標楷體"/>
          <w:szCs w:val="36"/>
        </w:rPr>
      </w:pPr>
      <w:r>
        <w:rPr>
          <w:rFonts w:ascii="標楷體" w:hAnsi="標楷體" w:cs="標楷體"/>
          <w:szCs w:val="36"/>
        </w:rPr>
        <w:t>一、有關辦理獎懲業務部分：</w:t>
      </w:r>
    </w:p>
    <w:p>
      <w:pPr>
        <w:pStyle w:val="Normal"/>
        <w:overflowPunct w:val="false"/>
        <w:autoSpaceDE w:val="false"/>
        <w:spacing w:lineRule="exact" w:line="560"/>
        <w:ind w:left="720" w:hanging="0"/>
        <w:jc w:val="both"/>
        <w:rPr>
          <w:rFonts w:ascii="標楷體" w:hAnsi="標楷體"/>
          <w:szCs w:val="36"/>
        </w:rPr>
      </w:pPr>
      <w:r>
        <w:rPr>
          <w:rFonts w:ascii="標楷體" w:hAnsi="標楷體" w:cs="標楷體"/>
          <w:szCs w:val="36"/>
        </w:rPr>
        <w:t>依公務人員考績法第</w:t>
      </w:r>
      <w:r>
        <w:rPr>
          <w:rFonts w:cs="標楷體" w:ascii="標楷體" w:hAnsi="標楷體"/>
          <w:szCs w:val="36"/>
        </w:rPr>
        <w:t>14</w:t>
      </w:r>
      <w:r>
        <w:rPr>
          <w:rFonts w:ascii="標楷體" w:hAnsi="標楷體" w:cs="標楷體"/>
          <w:szCs w:val="36"/>
        </w:rPr>
        <w:t>條、第</w:t>
      </w:r>
      <w:r>
        <w:rPr>
          <w:rFonts w:cs="標楷體" w:ascii="標楷體" w:hAnsi="標楷體"/>
          <w:szCs w:val="36"/>
        </w:rPr>
        <w:t>15</w:t>
      </w:r>
      <w:r>
        <w:rPr>
          <w:rFonts w:ascii="標楷體" w:hAnsi="標楷體" w:cs="標楷體"/>
          <w:szCs w:val="36"/>
        </w:rPr>
        <w:t>條及考績委員會組織規程第</w:t>
      </w:r>
      <w:r>
        <w:rPr>
          <w:rFonts w:cs="標楷體" w:ascii="標楷體" w:hAnsi="標楷體"/>
          <w:szCs w:val="36"/>
        </w:rPr>
        <w:t>3</w:t>
      </w:r>
      <w:r>
        <w:rPr>
          <w:rFonts w:ascii="標楷體" w:hAnsi="標楷體" w:cs="標楷體"/>
          <w:szCs w:val="36"/>
        </w:rPr>
        <w:t>條規定，除長官僅有一級或因特殊情形報經上級機關核准不設置考績委員會外，各機關應設考績委員會，以初核或核議機關職員及直屬機關首長平時考核之獎懲。是各機關辦理公務人員獎懲時，自應依上開公務人員考績法相關規定及各機關有關獎懲之規定辦理之，惟經發現有下列瑕疵而予以撤銷者，分述如下：</w:t>
      </w:r>
    </w:p>
    <w:p>
      <w:pPr>
        <w:pStyle w:val="Normal"/>
        <w:numPr>
          <w:ilvl w:val="0"/>
          <w:numId w:val="2"/>
        </w:numPr>
        <w:overflowPunct w:val="false"/>
        <w:autoSpaceDE w:val="false"/>
        <w:spacing w:lineRule="exact" w:line="560"/>
        <w:jc w:val="both"/>
        <w:rPr>
          <w:rFonts w:ascii="標楷體" w:hAnsi="標楷體"/>
          <w:szCs w:val="36"/>
        </w:rPr>
      </w:pPr>
      <w:r>
        <w:rPr>
          <w:rFonts w:ascii="標楷體" w:hAnsi="標楷體" w:cs="標楷體"/>
          <w:szCs w:val="36"/>
        </w:rPr>
        <w:t>考績委員會之組織不合法。例如：１</w:t>
      </w:r>
      <w:r>
        <w:rPr>
          <w:rFonts w:ascii="標楷體" w:hAnsi="標楷體"/>
          <w:szCs w:val="36"/>
        </w:rPr>
        <w:t>.</w:t>
      </w:r>
      <w:r>
        <w:rPr>
          <w:rFonts w:ascii="標楷體" w:hAnsi="標楷體" w:cs="標楷體"/>
          <w:szCs w:val="36"/>
        </w:rPr>
        <w:t>考績委員會指定委員由其職務代理人或委請他人代表出席，有違銓敘部</w:t>
      </w:r>
      <w:r>
        <w:rPr>
          <w:rFonts w:cs="標楷體" w:ascii="標楷體" w:hAnsi="標楷體"/>
          <w:szCs w:val="36"/>
        </w:rPr>
        <w:t>87</w:t>
      </w:r>
      <w:r>
        <w:rPr>
          <w:rFonts w:ascii="標楷體" w:hAnsi="標楷體" w:cs="標楷體"/>
          <w:szCs w:val="36"/>
        </w:rPr>
        <w:t>年</w:t>
      </w:r>
      <w:r>
        <w:rPr>
          <w:rFonts w:cs="標楷體" w:ascii="標楷體" w:hAnsi="標楷體"/>
          <w:szCs w:val="36"/>
        </w:rPr>
        <w:t>11</w:t>
      </w:r>
      <w:r>
        <w:rPr>
          <w:rFonts w:ascii="標楷體" w:hAnsi="標楷體" w:cs="標楷體"/>
          <w:szCs w:val="36"/>
        </w:rPr>
        <w:t>月</w:t>
      </w:r>
      <w:r>
        <w:rPr>
          <w:rFonts w:cs="標楷體" w:ascii="標楷體" w:hAnsi="標楷體"/>
          <w:szCs w:val="36"/>
        </w:rPr>
        <w:t>2</w:t>
      </w:r>
      <w:r>
        <w:rPr>
          <w:rFonts w:ascii="標楷體" w:hAnsi="標楷體" w:cs="標楷體"/>
          <w:szCs w:val="36"/>
        </w:rPr>
        <w:t>日</w:t>
      </w:r>
      <w:r>
        <w:rPr>
          <w:rFonts w:cs="標楷體" w:ascii="標楷體" w:hAnsi="標楷體"/>
          <w:szCs w:val="36"/>
        </w:rPr>
        <w:t>87</w:t>
      </w:r>
      <w:r>
        <w:rPr>
          <w:rFonts w:ascii="標楷體" w:hAnsi="標楷體" w:cs="標楷體"/>
          <w:szCs w:val="36"/>
        </w:rPr>
        <w:t>臺法二字第</w:t>
      </w:r>
      <w:r>
        <w:rPr>
          <w:rFonts w:cs="標楷體" w:ascii="標楷體" w:hAnsi="標楷體"/>
          <w:szCs w:val="36"/>
        </w:rPr>
        <w:t>1690557</w:t>
      </w:r>
      <w:r>
        <w:rPr>
          <w:rFonts w:ascii="標楷體" w:hAnsi="標楷體" w:cs="標楷體"/>
          <w:szCs w:val="36"/>
        </w:rPr>
        <w:t>號函釋意旨，考績委員會組織於法未合。２</w:t>
      </w:r>
      <w:r>
        <w:rPr>
          <w:rFonts w:ascii="標楷體" w:hAnsi="標楷體"/>
          <w:szCs w:val="36"/>
        </w:rPr>
        <w:t>.</w:t>
      </w:r>
      <w:r>
        <w:rPr>
          <w:rFonts w:ascii="標楷體" w:hAnsi="標楷體" w:cs="標楷體"/>
          <w:szCs w:val="36"/>
        </w:rPr>
        <w:t>各機關於公告、處理票選委員參選作業時，如對於票選委員之參選資格訂定限制條件者，即有違考績委員會組織規程第</w:t>
      </w:r>
      <w:r>
        <w:rPr>
          <w:rFonts w:cs="標楷體" w:ascii="標楷體" w:hAnsi="標楷體"/>
          <w:szCs w:val="36"/>
        </w:rPr>
        <w:t>2</w:t>
      </w:r>
      <w:r>
        <w:rPr>
          <w:rFonts w:ascii="標楷體" w:hAnsi="標楷體" w:cs="標楷體"/>
          <w:szCs w:val="36"/>
        </w:rPr>
        <w:t>條規定意旨，依該限制所票選出之委員，其所組成之考績委員會於法即有未合。詳如本會</w:t>
      </w:r>
      <w:r>
        <w:rPr>
          <w:rFonts w:cs="標楷體" w:ascii="標楷體" w:hAnsi="標楷體"/>
          <w:szCs w:val="36"/>
        </w:rPr>
        <w:t>102</w:t>
      </w:r>
      <w:r>
        <w:rPr>
          <w:rFonts w:ascii="標楷體" w:hAnsi="標楷體" w:cs="標楷體"/>
          <w:szCs w:val="36"/>
        </w:rPr>
        <w:t>公申決字第</w:t>
      </w:r>
      <w:r>
        <w:rPr>
          <w:rFonts w:ascii="標楷體" w:hAnsi="標楷體"/>
          <w:szCs w:val="36"/>
        </w:rPr>
        <w:t>0</w:t>
      </w:r>
      <w:r>
        <w:rPr>
          <w:rFonts w:cs="標楷體" w:ascii="標楷體" w:hAnsi="標楷體"/>
          <w:szCs w:val="36"/>
        </w:rPr>
        <w:t>069</w:t>
      </w:r>
      <w:r>
        <w:rPr>
          <w:rFonts w:ascii="標楷體" w:hAnsi="標楷體" w:cs="標楷體"/>
          <w:szCs w:val="36"/>
        </w:rPr>
        <w:t>號、第</w:t>
      </w:r>
      <w:r>
        <w:rPr>
          <w:rFonts w:cs="標楷體" w:ascii="標楷體" w:hAnsi="標楷體"/>
          <w:szCs w:val="36"/>
        </w:rPr>
        <w:t>0140</w:t>
      </w:r>
      <w:r>
        <w:rPr>
          <w:rFonts w:ascii="標楷體" w:hAnsi="標楷體" w:cs="標楷體"/>
          <w:szCs w:val="36"/>
        </w:rPr>
        <w:t>號及第</w:t>
      </w:r>
      <w:r>
        <w:rPr>
          <w:rFonts w:cs="標楷體" w:ascii="標楷體" w:hAnsi="標楷體"/>
          <w:szCs w:val="36"/>
        </w:rPr>
        <w:t>0142</w:t>
      </w:r>
      <w:r>
        <w:rPr>
          <w:rFonts w:ascii="標楷體" w:hAnsi="標楷體" w:cs="標楷體"/>
          <w:szCs w:val="36"/>
        </w:rPr>
        <w:t>號再申訴決定書。</w:t>
      </w:r>
    </w:p>
    <w:p>
      <w:pPr>
        <w:pStyle w:val="Normal"/>
        <w:numPr>
          <w:ilvl w:val="0"/>
          <w:numId w:val="2"/>
        </w:numPr>
        <w:overflowPunct w:val="false"/>
        <w:autoSpaceDE w:val="false"/>
        <w:spacing w:lineRule="exact" w:line="560"/>
        <w:jc w:val="both"/>
        <w:rPr>
          <w:rFonts w:ascii="標楷體" w:hAnsi="標楷體"/>
          <w:szCs w:val="36"/>
        </w:rPr>
      </w:pPr>
      <w:r>
        <w:rPr>
          <w:rFonts w:ascii="標楷體" w:hAnsi="標楷體" w:cs="標楷體"/>
          <w:szCs w:val="36"/>
        </w:rPr>
        <w:t>懲處事實與所依據法令規定之構成要件不合。詳如本會</w:t>
      </w:r>
      <w:r>
        <w:rPr>
          <w:rFonts w:cs="標楷體" w:ascii="標楷體" w:hAnsi="標楷體"/>
          <w:szCs w:val="36"/>
        </w:rPr>
        <w:t>102</w:t>
      </w:r>
      <w:r>
        <w:rPr>
          <w:rFonts w:ascii="標楷體" w:hAnsi="標楷體" w:cs="標楷體"/>
          <w:szCs w:val="36"/>
        </w:rPr>
        <w:t>公申決字第</w:t>
      </w:r>
      <w:r>
        <w:rPr>
          <w:rFonts w:ascii="標楷體" w:hAnsi="標楷體"/>
          <w:szCs w:val="36"/>
        </w:rPr>
        <w:t>00</w:t>
      </w:r>
      <w:r>
        <w:rPr>
          <w:rFonts w:cs="標楷體" w:ascii="標楷體" w:hAnsi="標楷體"/>
          <w:szCs w:val="36"/>
        </w:rPr>
        <w:t>48</w:t>
      </w:r>
      <w:r>
        <w:rPr>
          <w:rFonts w:ascii="標楷體" w:hAnsi="標楷體" w:cs="標楷體"/>
          <w:szCs w:val="36"/>
        </w:rPr>
        <w:t>號、第</w:t>
      </w:r>
      <w:r>
        <w:rPr>
          <w:rFonts w:cs="標楷體" w:ascii="標楷體" w:hAnsi="標楷體"/>
          <w:szCs w:val="36"/>
        </w:rPr>
        <w:t>0060</w:t>
      </w:r>
      <w:r>
        <w:rPr>
          <w:rFonts w:ascii="標楷體" w:hAnsi="標楷體" w:cs="標楷體"/>
          <w:szCs w:val="36"/>
        </w:rPr>
        <w:t>號、第</w:t>
      </w:r>
      <w:r>
        <w:rPr>
          <w:rFonts w:ascii="標楷體" w:hAnsi="標楷體"/>
          <w:szCs w:val="36"/>
        </w:rPr>
        <w:t>0</w:t>
      </w:r>
      <w:r>
        <w:rPr>
          <w:rFonts w:cs="標楷體" w:ascii="標楷體" w:hAnsi="標楷體"/>
          <w:szCs w:val="36"/>
        </w:rPr>
        <w:t>061</w:t>
      </w:r>
      <w:r>
        <w:rPr>
          <w:rFonts w:ascii="標楷體" w:hAnsi="標楷體" w:cs="標楷體"/>
          <w:szCs w:val="36"/>
        </w:rPr>
        <w:t>號及第</w:t>
      </w:r>
      <w:r>
        <w:rPr>
          <w:rFonts w:ascii="標楷體" w:hAnsi="標楷體"/>
          <w:szCs w:val="36"/>
        </w:rPr>
        <w:t>0</w:t>
      </w:r>
      <w:r>
        <w:rPr>
          <w:rFonts w:cs="標楷體" w:ascii="標楷體" w:hAnsi="標楷體"/>
          <w:szCs w:val="36"/>
        </w:rPr>
        <w:t>114</w:t>
      </w:r>
      <w:r>
        <w:rPr>
          <w:rFonts w:ascii="標楷體" w:hAnsi="標楷體" w:cs="標楷體"/>
          <w:szCs w:val="36"/>
        </w:rPr>
        <w:t>號再申訴決定書。</w:t>
      </w:r>
    </w:p>
    <w:p>
      <w:pPr>
        <w:pStyle w:val="Normal"/>
        <w:numPr>
          <w:ilvl w:val="0"/>
          <w:numId w:val="2"/>
        </w:numPr>
        <w:overflowPunct w:val="false"/>
        <w:autoSpaceDE w:val="false"/>
        <w:spacing w:lineRule="exact" w:line="560"/>
        <w:jc w:val="both"/>
        <w:rPr>
          <w:rFonts w:ascii="標楷體" w:hAnsi="標楷體"/>
          <w:color w:val="FF0000"/>
          <w:szCs w:val="36"/>
        </w:rPr>
      </w:pPr>
      <w:r>
        <w:rPr>
          <w:rFonts w:ascii="標楷體" w:hAnsi="標楷體" w:cs="標楷體"/>
          <w:szCs w:val="36"/>
        </w:rPr>
        <w:t>懲處事實未經詳實調查或認定有誤。例如：原懲處機關固認再申訴人就其屬員或考核對象涉犯貪瀆等案件，應負考核監督責任，惟上開人員所受懲處業經改核在案，再申訴人受系爭懲處之基礎事實既已變更，原懲處即有未洽。詳如本會</w:t>
      </w:r>
      <w:r>
        <w:rPr>
          <w:rFonts w:cs="標楷體" w:ascii="標楷體" w:hAnsi="標楷體"/>
          <w:szCs w:val="36"/>
        </w:rPr>
        <w:t>102</w:t>
      </w:r>
      <w:r>
        <w:rPr>
          <w:rFonts w:ascii="標楷體" w:hAnsi="標楷體" w:cs="標楷體"/>
          <w:szCs w:val="36"/>
        </w:rPr>
        <w:t>公申決字第</w:t>
      </w:r>
      <w:r>
        <w:rPr>
          <w:rFonts w:ascii="標楷體" w:hAnsi="標楷體"/>
          <w:szCs w:val="36"/>
        </w:rPr>
        <w:t>0</w:t>
      </w:r>
      <w:r>
        <w:rPr>
          <w:rFonts w:cs="標楷體" w:ascii="標楷體" w:hAnsi="標楷體"/>
          <w:szCs w:val="36"/>
        </w:rPr>
        <w:t>022</w:t>
      </w:r>
      <w:r>
        <w:rPr>
          <w:rFonts w:ascii="標楷體" w:hAnsi="標楷體" w:cs="標楷體"/>
          <w:szCs w:val="36"/>
        </w:rPr>
        <w:t>號、第</w:t>
      </w:r>
      <w:r>
        <w:rPr>
          <w:rFonts w:cs="標楷體" w:ascii="標楷體" w:hAnsi="標楷體"/>
          <w:szCs w:val="36"/>
        </w:rPr>
        <w:t>0023</w:t>
      </w:r>
      <w:r>
        <w:rPr>
          <w:rFonts w:ascii="標楷體" w:hAnsi="標楷體" w:cs="標楷體"/>
          <w:szCs w:val="36"/>
        </w:rPr>
        <w:t>號、第</w:t>
      </w:r>
      <w:r>
        <w:rPr>
          <w:rFonts w:cs="標楷體" w:ascii="標楷體" w:hAnsi="標楷體"/>
          <w:szCs w:val="36"/>
        </w:rPr>
        <w:t>0055</w:t>
      </w:r>
      <w:r>
        <w:rPr>
          <w:rFonts w:ascii="標楷體" w:hAnsi="標楷體" w:cs="標楷體"/>
          <w:szCs w:val="36"/>
        </w:rPr>
        <w:t>號、第</w:t>
      </w:r>
      <w:r>
        <w:rPr>
          <w:rFonts w:cs="標楷體" w:ascii="標楷體" w:hAnsi="標楷體"/>
          <w:szCs w:val="36"/>
        </w:rPr>
        <w:t>0060</w:t>
      </w:r>
      <w:r>
        <w:rPr>
          <w:rFonts w:ascii="標楷體" w:hAnsi="標楷體" w:cs="標楷體"/>
          <w:szCs w:val="36"/>
        </w:rPr>
        <w:t>號、第</w:t>
      </w:r>
      <w:r>
        <w:rPr>
          <w:rFonts w:cs="標楷體" w:ascii="標楷體" w:hAnsi="標楷體"/>
          <w:szCs w:val="36"/>
        </w:rPr>
        <w:t>0061</w:t>
      </w:r>
      <w:r>
        <w:rPr>
          <w:rFonts w:ascii="標楷體" w:hAnsi="標楷體" w:cs="標楷體"/>
          <w:szCs w:val="36"/>
        </w:rPr>
        <w:t>號及第</w:t>
      </w:r>
      <w:r>
        <w:rPr>
          <w:rFonts w:cs="標楷體" w:ascii="標楷體" w:hAnsi="標楷體"/>
          <w:szCs w:val="36"/>
        </w:rPr>
        <w:t>0114</w:t>
      </w:r>
      <w:r>
        <w:rPr>
          <w:rFonts w:ascii="標楷體" w:hAnsi="標楷體" w:cs="標楷體"/>
          <w:szCs w:val="36"/>
        </w:rPr>
        <w:t>號再申訴決定書。</w:t>
      </w:r>
    </w:p>
    <w:p>
      <w:pPr>
        <w:pStyle w:val="Normal"/>
        <w:numPr>
          <w:ilvl w:val="0"/>
          <w:numId w:val="2"/>
        </w:numPr>
        <w:overflowPunct w:val="false"/>
        <w:autoSpaceDE w:val="false"/>
        <w:spacing w:lineRule="exact" w:line="560"/>
        <w:jc w:val="both"/>
        <w:rPr>
          <w:rFonts w:ascii="標楷體" w:hAnsi="標楷體"/>
          <w:szCs w:val="36"/>
        </w:rPr>
      </w:pPr>
      <w:r>
        <w:rPr>
          <w:rFonts w:ascii="標楷體" w:hAnsi="標楷體" w:cs="標楷體"/>
          <w:szCs w:val="36"/>
        </w:rPr>
        <w:t>適用法規顯有錯誤。例如：１</w:t>
      </w:r>
      <w:r>
        <w:rPr>
          <w:rFonts w:ascii="標楷體" w:hAnsi="標楷體"/>
          <w:szCs w:val="36"/>
        </w:rPr>
        <w:t>.</w:t>
      </w:r>
      <w:r>
        <w:rPr>
          <w:rFonts w:ascii="標楷體" w:hAnsi="標楷體" w:cs="標楷體"/>
          <w:szCs w:val="36"/>
        </w:rPr>
        <w:t>機關辦理公務人員平時考核之懲處，如受考人行為後獎懲相關規定有變更者，原則上應以機關辦理懲處時之規定為處罰依據，惟如受考人行為時之獎懲相關規定較有利於受考人，即應適用有利於受考人之規定。２</w:t>
      </w:r>
      <w:r>
        <w:rPr>
          <w:rFonts w:ascii="標楷體" w:hAnsi="標楷體"/>
          <w:szCs w:val="36"/>
        </w:rPr>
        <w:t>.</w:t>
      </w:r>
      <w:r>
        <w:rPr>
          <w:rFonts w:ascii="標楷體" w:hAnsi="標楷體" w:cs="標楷體"/>
          <w:szCs w:val="36"/>
        </w:rPr>
        <w:t>服務機關逕依公務人員考績法施行細則第</w:t>
      </w:r>
      <w:r>
        <w:rPr>
          <w:rFonts w:cs="標楷體" w:ascii="標楷體" w:hAnsi="標楷體"/>
          <w:szCs w:val="36"/>
        </w:rPr>
        <w:t>13</w:t>
      </w:r>
      <w:r>
        <w:rPr>
          <w:rFonts w:ascii="標楷體" w:hAnsi="標楷體" w:cs="標楷體"/>
          <w:szCs w:val="36"/>
        </w:rPr>
        <w:t>條第</w:t>
      </w:r>
      <w:r>
        <w:rPr>
          <w:rFonts w:cs="標楷體" w:ascii="標楷體" w:hAnsi="標楷體"/>
          <w:szCs w:val="36"/>
        </w:rPr>
        <w:t>1</w:t>
      </w:r>
      <w:r>
        <w:rPr>
          <w:rFonts w:ascii="標楷體" w:hAnsi="標楷體" w:cs="標楷體"/>
          <w:szCs w:val="36"/>
        </w:rPr>
        <w:t>項第</w:t>
      </w:r>
      <w:r>
        <w:rPr>
          <w:rFonts w:cs="標楷體" w:ascii="標楷體" w:hAnsi="標楷體"/>
          <w:szCs w:val="36"/>
        </w:rPr>
        <w:t>2</w:t>
      </w:r>
      <w:r>
        <w:rPr>
          <w:rFonts w:ascii="標楷體" w:hAnsi="標楷體" w:cs="標楷體"/>
          <w:szCs w:val="36"/>
        </w:rPr>
        <w:t>款第</w:t>
      </w:r>
      <w:r>
        <w:rPr>
          <w:rFonts w:cs="標楷體" w:ascii="標楷體" w:hAnsi="標楷體"/>
          <w:szCs w:val="36"/>
        </w:rPr>
        <w:t>5</w:t>
      </w:r>
      <w:r>
        <w:rPr>
          <w:rFonts w:ascii="標楷體" w:hAnsi="標楷體" w:cs="標楷體"/>
          <w:szCs w:val="36"/>
        </w:rPr>
        <w:t>目有關記一大過懲處之規定，核予再申訴人記過一次懲處，於法未合。詳如本會</w:t>
      </w:r>
      <w:r>
        <w:rPr>
          <w:rFonts w:cs="標楷體" w:ascii="標楷體" w:hAnsi="標楷體"/>
          <w:szCs w:val="36"/>
        </w:rPr>
        <w:t>102</w:t>
      </w:r>
      <w:r>
        <w:rPr>
          <w:rFonts w:ascii="標楷體" w:hAnsi="標楷體" w:cs="標楷體"/>
          <w:szCs w:val="36"/>
        </w:rPr>
        <w:t>公申決字第</w:t>
      </w:r>
      <w:r>
        <w:rPr>
          <w:rFonts w:cs="標楷體" w:ascii="標楷體" w:hAnsi="標楷體"/>
          <w:szCs w:val="36"/>
        </w:rPr>
        <w:t>0017</w:t>
      </w:r>
      <w:r>
        <w:rPr>
          <w:rFonts w:ascii="標楷體" w:hAnsi="標楷體" w:cs="標楷體"/>
          <w:szCs w:val="36"/>
        </w:rPr>
        <w:t>號、第</w:t>
      </w:r>
      <w:r>
        <w:rPr>
          <w:rFonts w:cs="標楷體" w:ascii="標楷體" w:hAnsi="標楷體"/>
          <w:szCs w:val="36"/>
        </w:rPr>
        <w:t>0037</w:t>
      </w:r>
      <w:r>
        <w:rPr>
          <w:rFonts w:ascii="標楷體" w:hAnsi="標楷體" w:cs="標楷體"/>
          <w:szCs w:val="36"/>
        </w:rPr>
        <w:t>號、第</w:t>
      </w:r>
      <w:r>
        <w:rPr>
          <w:rFonts w:ascii="標楷體" w:hAnsi="標楷體"/>
          <w:szCs w:val="36"/>
        </w:rPr>
        <w:t>0</w:t>
      </w:r>
      <w:r>
        <w:rPr>
          <w:rFonts w:cs="標楷體" w:ascii="標楷體" w:hAnsi="標楷體"/>
          <w:szCs w:val="36"/>
        </w:rPr>
        <w:t xml:space="preserve">069 </w:t>
      </w:r>
      <w:r>
        <w:rPr>
          <w:rFonts w:ascii="標楷體" w:hAnsi="標楷體" w:cs="標楷體"/>
          <w:szCs w:val="36"/>
        </w:rPr>
        <w:t>號及第</w:t>
      </w:r>
      <w:r>
        <w:rPr>
          <w:rFonts w:cs="標楷體" w:ascii="標楷體" w:hAnsi="標楷體"/>
          <w:szCs w:val="36"/>
        </w:rPr>
        <w:t>0095</w:t>
      </w:r>
      <w:r>
        <w:rPr>
          <w:rFonts w:ascii="標楷體" w:hAnsi="標楷體" w:cs="標楷體"/>
          <w:szCs w:val="36"/>
        </w:rPr>
        <w:t>號再申訴決定書。</w:t>
      </w:r>
    </w:p>
    <w:p>
      <w:pPr>
        <w:pStyle w:val="Normal"/>
        <w:numPr>
          <w:ilvl w:val="0"/>
          <w:numId w:val="2"/>
        </w:numPr>
        <w:overflowPunct w:val="false"/>
        <w:autoSpaceDE w:val="false"/>
        <w:spacing w:lineRule="exact" w:line="560"/>
        <w:jc w:val="both"/>
        <w:rPr>
          <w:rFonts w:ascii="標楷體" w:hAnsi="標楷體"/>
          <w:szCs w:val="36"/>
        </w:rPr>
      </w:pPr>
      <w:r>
        <w:rPr>
          <w:rFonts w:ascii="標楷體" w:hAnsi="標楷體" w:cs="標楷體"/>
          <w:szCs w:val="36"/>
        </w:rPr>
        <w:t>原懲處機關就同一違失事實，分別核予懲處，有違一事不二罰原則之要求。詳如本會</w:t>
      </w:r>
      <w:r>
        <w:rPr>
          <w:rFonts w:cs="標楷體" w:ascii="標楷體" w:hAnsi="標楷體"/>
          <w:szCs w:val="36"/>
        </w:rPr>
        <w:t>102</w:t>
      </w:r>
      <w:r>
        <w:rPr>
          <w:rFonts w:ascii="標楷體" w:hAnsi="標楷體" w:cs="標楷體"/>
          <w:szCs w:val="36"/>
        </w:rPr>
        <w:t>公申決字第</w:t>
      </w:r>
      <w:r>
        <w:rPr>
          <w:rFonts w:cs="標楷體" w:ascii="標楷體" w:hAnsi="標楷體"/>
          <w:szCs w:val="36"/>
        </w:rPr>
        <w:t>0104</w:t>
      </w:r>
      <w:r>
        <w:rPr>
          <w:rFonts w:ascii="標楷體" w:hAnsi="標楷體" w:cs="標楷體"/>
          <w:szCs w:val="36"/>
        </w:rPr>
        <w:t>號再申訴決定書。</w:t>
      </w:r>
    </w:p>
    <w:p>
      <w:pPr>
        <w:pStyle w:val="BodyTextIndent2"/>
        <w:kinsoku w:val="true"/>
        <w:spacing w:before="80" w:after="0"/>
        <w:ind w:hanging="0"/>
        <w:rPr>
          <w:szCs w:val="36"/>
        </w:rPr>
      </w:pPr>
      <w:r>
        <w:rPr>
          <w:szCs w:val="36"/>
        </w:rPr>
        <w:t>二、</w:t>
      </w:r>
      <w:r>
        <w:rPr>
          <w:rStyle w:val="Stext"/>
          <w:szCs w:val="36"/>
        </w:rPr>
        <w:t>有關辦理</w:t>
      </w:r>
      <w:r>
        <w:rPr>
          <w:szCs w:val="36"/>
        </w:rPr>
        <w:t>考績（成）業務部分：</w:t>
      </w:r>
    </w:p>
    <w:p>
      <w:pPr>
        <w:pStyle w:val="Normal"/>
        <w:overflowPunct w:val="false"/>
        <w:autoSpaceDE w:val="false"/>
        <w:spacing w:lineRule="exact" w:line="560"/>
        <w:ind w:left="1080" w:hanging="1080"/>
        <w:jc w:val="both"/>
        <w:rPr>
          <w:rFonts w:ascii="標楷體" w:hAnsi="標楷體"/>
          <w:szCs w:val="36"/>
        </w:rPr>
      </w:pPr>
      <w:r>
        <w:rPr>
          <w:rFonts w:ascii="標楷體" w:hAnsi="標楷體" w:cs="標楷體"/>
          <w:szCs w:val="36"/>
        </w:rPr>
        <w:t>（一）辦理考績不符合法定程序。例如：１</w:t>
      </w:r>
      <w:r>
        <w:rPr>
          <w:rFonts w:ascii="標楷體" w:hAnsi="標楷體"/>
          <w:szCs w:val="36"/>
        </w:rPr>
        <w:t>.</w:t>
      </w:r>
      <w:r>
        <w:rPr>
          <w:rFonts w:eastAsia="細明體;MingLiU" w:cs="Tahoma" w:ascii="細明體;MingLiU" w:hAnsi="細明體;MingLiU"/>
          <w:color w:val="000000"/>
          <w:sz w:val="18"/>
          <w:szCs w:val="18"/>
        </w:rPr>
        <w:t xml:space="preserve"> </w:t>
      </w:r>
      <w:r>
        <w:rPr>
          <w:rFonts w:ascii="標楷體" w:hAnsi="標楷體" w:cs="標楷體"/>
          <w:szCs w:val="36"/>
        </w:rPr>
        <w:t>機關首長覆核公務人員考績，不同意考績委員會初核結果，未先交考績委員會復議，即具體指述受考人考績之等次或分數。詳如本會</w:t>
      </w:r>
      <w:r>
        <w:rPr>
          <w:rFonts w:cs="標楷體" w:ascii="標楷體" w:hAnsi="標楷體"/>
          <w:szCs w:val="36"/>
        </w:rPr>
        <w:t>102</w:t>
      </w:r>
      <w:r>
        <w:rPr>
          <w:rFonts w:ascii="標楷體" w:hAnsi="標楷體" w:cs="標楷體"/>
          <w:szCs w:val="36"/>
        </w:rPr>
        <w:t>公申決字第</w:t>
      </w:r>
      <w:r>
        <w:rPr>
          <w:rFonts w:cs="標楷體" w:ascii="標楷體" w:hAnsi="標楷體"/>
          <w:szCs w:val="36"/>
        </w:rPr>
        <w:t>0035</w:t>
      </w:r>
      <w:r>
        <w:rPr>
          <w:rFonts w:ascii="標楷體" w:hAnsi="標楷體" w:cs="標楷體"/>
          <w:szCs w:val="36"/>
        </w:rPr>
        <w:t>號再申訴決定書。２</w:t>
      </w:r>
      <w:r>
        <w:rPr>
          <w:rFonts w:ascii="標楷體" w:hAnsi="標楷體"/>
          <w:szCs w:val="36"/>
        </w:rPr>
        <w:t>.</w:t>
      </w:r>
      <w:r>
        <w:rPr>
          <w:rFonts w:ascii="標楷體" w:hAnsi="標楷體" w:cs="標楷體"/>
          <w:szCs w:val="36"/>
        </w:rPr>
        <w:t>一級單位主管人員之年終考績，並非由機關首長依公務人員考績表所定項目評擬，而係由具幕僚長職務屬性之公務人員評擬。詳如本會</w:t>
      </w:r>
      <w:r>
        <w:rPr>
          <w:rFonts w:cs="標楷體" w:ascii="標楷體" w:hAnsi="標楷體"/>
          <w:szCs w:val="36"/>
        </w:rPr>
        <w:t>102</w:t>
      </w:r>
      <w:r>
        <w:rPr>
          <w:rFonts w:ascii="標楷體" w:hAnsi="標楷體" w:cs="標楷體"/>
          <w:szCs w:val="36"/>
        </w:rPr>
        <w:t>公申決字第</w:t>
      </w:r>
      <w:r>
        <w:rPr>
          <w:rFonts w:cs="標楷體" w:ascii="標楷體" w:hAnsi="標楷體"/>
          <w:szCs w:val="36"/>
        </w:rPr>
        <w:t>0148</w:t>
      </w:r>
      <w:r>
        <w:rPr>
          <w:rFonts w:ascii="標楷體" w:hAnsi="標楷體" w:cs="標楷體"/>
          <w:szCs w:val="36"/>
        </w:rPr>
        <w:t>號再申訴決定書。</w:t>
      </w:r>
    </w:p>
    <w:p>
      <w:pPr>
        <w:pStyle w:val="Normal"/>
        <w:overflowPunct w:val="false"/>
        <w:autoSpaceDE w:val="false"/>
        <w:spacing w:lineRule="exact" w:line="560"/>
        <w:ind w:left="1080" w:hanging="1080"/>
        <w:jc w:val="both"/>
        <w:rPr>
          <w:rStyle w:val="Stext"/>
          <w:rFonts w:ascii="標楷體" w:hAnsi="標楷體"/>
          <w:szCs w:val="36"/>
        </w:rPr>
      </w:pPr>
      <w:r>
        <w:rPr>
          <w:rFonts w:ascii="標楷體" w:hAnsi="標楷體" w:cs="標楷體"/>
          <w:szCs w:val="36"/>
        </w:rPr>
        <w:t>（二）考績委員會之組織不合法。例如：合署辦公之兩機關，如分別具備機關要件，且無報經上級機關核准不設置考績委員會者，即應分別設置考績委員會，如共同組成考績委員會，其票選委員並由兩機關共同票選產生，核與考績法規定應由本機關人員及本機關受考人組成考績委員會之意旨未合。</w:t>
      </w:r>
      <w:r>
        <w:rPr/>
        <w:t>詳如</w:t>
      </w:r>
      <w:r>
        <w:rPr>
          <w:rStyle w:val="Stext"/>
          <w:rFonts w:ascii="標楷體" w:hAnsi="標楷體" w:cs="標楷體"/>
          <w:szCs w:val="36"/>
        </w:rPr>
        <w:t>本會</w:t>
      </w:r>
      <w:r>
        <w:rPr>
          <w:rStyle w:val="Stext"/>
          <w:rFonts w:cs="標楷體" w:ascii="標楷體" w:hAnsi="標楷體"/>
          <w:szCs w:val="36"/>
        </w:rPr>
        <w:t>102</w:t>
      </w:r>
      <w:r>
        <w:rPr>
          <w:rStyle w:val="Stext"/>
          <w:rFonts w:ascii="標楷體" w:hAnsi="標楷體" w:cs="標楷體"/>
          <w:szCs w:val="36"/>
        </w:rPr>
        <w:t>公申決字第</w:t>
      </w:r>
      <w:r>
        <w:rPr>
          <w:rStyle w:val="Stext"/>
          <w:rFonts w:ascii="標楷體" w:hAnsi="標楷體"/>
          <w:szCs w:val="36"/>
        </w:rPr>
        <w:t>0</w:t>
      </w:r>
      <w:r>
        <w:rPr>
          <w:rStyle w:val="Stext"/>
          <w:rFonts w:cs="標楷體" w:ascii="標楷體" w:hAnsi="標楷體"/>
          <w:szCs w:val="36"/>
        </w:rPr>
        <w:t>102</w:t>
      </w:r>
      <w:r>
        <w:rPr>
          <w:rStyle w:val="Stext"/>
          <w:rFonts w:ascii="標楷體" w:hAnsi="標楷體" w:cs="標楷體"/>
          <w:szCs w:val="36"/>
        </w:rPr>
        <w:t>號</w:t>
      </w:r>
      <w:r>
        <w:rPr>
          <w:rFonts w:ascii="標楷體" w:hAnsi="標楷體" w:cs="Arial Unicode MS"/>
          <w:szCs w:val="36"/>
        </w:rPr>
        <w:t>再申訴決定書</w:t>
      </w:r>
      <w:r>
        <w:rPr>
          <w:rStyle w:val="Stext"/>
          <w:rFonts w:ascii="標楷體" w:hAnsi="標楷體" w:cs="標楷體"/>
          <w:szCs w:val="36"/>
        </w:rPr>
        <w:t>。</w:t>
      </w:r>
    </w:p>
    <w:p>
      <w:pPr>
        <w:pStyle w:val="Normal"/>
        <w:overflowPunct w:val="false"/>
        <w:autoSpaceDE w:val="false"/>
        <w:spacing w:lineRule="exact" w:line="560"/>
        <w:ind w:left="1080" w:hanging="1080"/>
        <w:jc w:val="both"/>
        <w:rPr/>
      </w:pPr>
      <w:r>
        <w:rPr>
          <w:rStyle w:val="Stext"/>
          <w:rFonts w:ascii="標楷體" w:hAnsi="標楷體" w:cs="標楷體"/>
          <w:szCs w:val="36"/>
        </w:rPr>
        <w:t>（三）</w:t>
      </w:r>
      <w:r>
        <w:rPr>
          <w:rFonts w:ascii="標楷體" w:hAnsi="標楷體" w:cs="標楷體"/>
          <w:szCs w:val="36"/>
        </w:rPr>
        <w:t>中央及地方機關統計人員之管理，固屬一條鞭制度，惟該等人員不服考績評定而提起救濟時，仍應依保障法規定辦理。是各機關之內部單位，無權受理公務人員所提起之申訴案，亦不能為申訴函復。詳如本會</w:t>
      </w:r>
      <w:r>
        <w:rPr>
          <w:rFonts w:cs="標楷體" w:ascii="標楷體" w:hAnsi="標楷體"/>
          <w:szCs w:val="36"/>
        </w:rPr>
        <w:t>102</w:t>
      </w:r>
      <w:r>
        <w:rPr>
          <w:rFonts w:ascii="標楷體" w:hAnsi="標楷體" w:cs="標楷體"/>
          <w:szCs w:val="36"/>
        </w:rPr>
        <w:t>公申決字第</w:t>
      </w:r>
      <w:r>
        <w:rPr>
          <w:rFonts w:cs="標楷體" w:ascii="標楷體" w:hAnsi="標楷體"/>
          <w:szCs w:val="36"/>
        </w:rPr>
        <w:t>0040</w:t>
      </w:r>
      <w:r>
        <w:rPr>
          <w:rFonts w:ascii="標楷體" w:hAnsi="標楷體" w:cs="標楷體"/>
          <w:szCs w:val="36"/>
        </w:rPr>
        <w:t>號再申訴決定書。</w:t>
      </w:r>
    </w:p>
    <w:p>
      <w:pPr>
        <w:pStyle w:val="Normal"/>
        <w:overflowPunct w:val="false"/>
        <w:autoSpaceDE w:val="false"/>
        <w:spacing w:lineRule="exact" w:line="560"/>
        <w:ind w:left="1080" w:hanging="1080"/>
        <w:jc w:val="both"/>
        <w:rPr>
          <w:rStyle w:val="Stext"/>
          <w:rFonts w:ascii="標楷體" w:hAnsi="標楷體"/>
          <w:szCs w:val="36"/>
        </w:rPr>
      </w:pPr>
      <w:r>
        <w:rPr>
          <w:rStyle w:val="Stext"/>
          <w:rFonts w:ascii="標楷體" w:hAnsi="標楷體" w:cs="標楷體"/>
          <w:szCs w:val="36"/>
        </w:rPr>
        <w:t>（四）再申訴人之單位主管及考績委員會委員，前經再申訴人舉發涉犯刑事案件，並經法院判決有罪在案。上開人員於辦理再申訴人年終考績之評擬與初核時，已知悉再申訴人為檢舉人，依一般社會通念，難以期待彼等對再申訴人能作公平客觀之考核，恐有與事件無關之考慮牽涉在內，致有偏頗之虞，難謂符合公正之程序。</w:t>
      </w:r>
      <w:r>
        <w:rPr>
          <w:rFonts w:ascii="標楷體" w:hAnsi="標楷體" w:cs="標楷體"/>
          <w:szCs w:val="36"/>
        </w:rPr>
        <w:t>（本件再申訴決定書不對外公開。）</w:t>
      </w:r>
    </w:p>
    <w:p>
      <w:pPr>
        <w:pStyle w:val="Normal"/>
        <w:overflowPunct w:val="false"/>
        <w:autoSpaceDE w:val="false"/>
        <w:spacing w:lineRule="exact" w:line="560" w:before="80" w:after="0"/>
        <w:ind w:left="720" w:hanging="720"/>
        <w:jc w:val="both"/>
        <w:rPr>
          <w:rFonts w:ascii="標楷體" w:hAnsi="標楷體"/>
          <w:szCs w:val="36"/>
        </w:rPr>
      </w:pPr>
      <w:r>
        <w:rPr>
          <w:rFonts w:ascii="標楷體" w:hAnsi="標楷體" w:cs="標楷體"/>
          <w:szCs w:val="36"/>
        </w:rPr>
        <w:t>三、有關機關作成行政處分未查明具體事實、法規適用顯有錯誤、欠缺事務管轄權限、不符合法定程序部分：</w:t>
      </w:r>
    </w:p>
    <w:p>
      <w:pPr>
        <w:pStyle w:val="Normal"/>
        <w:numPr>
          <w:ilvl w:val="0"/>
          <w:numId w:val="1"/>
        </w:numPr>
        <w:overflowPunct w:val="false"/>
        <w:autoSpaceDE w:val="false"/>
        <w:spacing w:lineRule="exact" w:line="560"/>
        <w:jc w:val="both"/>
        <w:rPr>
          <w:rFonts w:ascii="標楷體" w:hAnsi="標楷體"/>
          <w:szCs w:val="36"/>
        </w:rPr>
      </w:pPr>
      <w:r>
        <w:rPr/>
        <w:t>機關作成處分</w:t>
      </w:r>
      <w:r>
        <w:rPr>
          <w:rFonts w:ascii="標楷體" w:hAnsi="標楷體" w:cs="標楷體"/>
          <w:szCs w:val="36"/>
        </w:rPr>
        <w:t>未經詳實調查或事實認定有誤。詳如本會</w:t>
      </w:r>
      <w:r>
        <w:rPr>
          <w:rFonts w:cs="標楷體" w:ascii="標楷體" w:hAnsi="標楷體"/>
          <w:szCs w:val="36"/>
        </w:rPr>
        <w:t>102</w:t>
      </w:r>
      <w:r>
        <w:rPr>
          <w:rFonts w:ascii="標楷體" w:hAnsi="標楷體" w:cs="標楷體"/>
          <w:szCs w:val="36"/>
        </w:rPr>
        <w:t>公審決字第</w:t>
      </w:r>
      <w:r>
        <w:rPr>
          <w:rFonts w:ascii="標楷體" w:hAnsi="標楷體"/>
          <w:szCs w:val="36"/>
        </w:rPr>
        <w:t>0</w:t>
      </w:r>
      <w:r>
        <w:rPr>
          <w:rFonts w:cs="標楷體" w:ascii="標楷體" w:hAnsi="標楷體"/>
          <w:szCs w:val="36"/>
        </w:rPr>
        <w:t>007</w:t>
      </w:r>
      <w:r>
        <w:rPr>
          <w:rFonts w:ascii="標楷體" w:hAnsi="標楷體" w:cs="標楷體"/>
          <w:szCs w:val="36"/>
        </w:rPr>
        <w:t>號、第</w:t>
      </w:r>
      <w:r>
        <w:rPr>
          <w:rFonts w:ascii="標楷體" w:hAnsi="標楷體"/>
          <w:szCs w:val="36"/>
        </w:rPr>
        <w:t>0</w:t>
      </w:r>
      <w:r>
        <w:rPr>
          <w:rFonts w:cs="標楷體" w:ascii="標楷體" w:hAnsi="標楷體"/>
          <w:szCs w:val="36"/>
        </w:rPr>
        <w:t>116</w:t>
      </w:r>
      <w:r>
        <w:rPr>
          <w:rFonts w:ascii="標楷體" w:hAnsi="標楷體" w:cs="標楷體"/>
          <w:szCs w:val="36"/>
        </w:rPr>
        <w:t>號及第</w:t>
      </w:r>
      <w:r>
        <w:rPr>
          <w:rFonts w:cs="標楷體" w:ascii="標楷體" w:hAnsi="標楷體"/>
          <w:szCs w:val="36"/>
        </w:rPr>
        <w:t>0152</w:t>
      </w:r>
      <w:r>
        <w:rPr>
          <w:rFonts w:ascii="標楷體" w:hAnsi="標楷體" w:cs="標楷體"/>
          <w:szCs w:val="36"/>
        </w:rPr>
        <w:t>號復審決定書。</w:t>
      </w:r>
    </w:p>
    <w:p>
      <w:pPr>
        <w:pStyle w:val="Normal"/>
        <w:numPr>
          <w:ilvl w:val="0"/>
          <w:numId w:val="1"/>
        </w:numPr>
        <w:overflowPunct w:val="false"/>
        <w:autoSpaceDE w:val="false"/>
        <w:spacing w:lineRule="exact" w:line="560"/>
        <w:jc w:val="both"/>
        <w:rPr>
          <w:rFonts w:ascii="標楷體" w:hAnsi="標楷體"/>
          <w:szCs w:val="36"/>
        </w:rPr>
      </w:pPr>
      <w:r>
        <w:rPr>
          <w:rFonts w:ascii="標楷體" w:hAnsi="標楷體" w:cs="標楷體"/>
          <w:szCs w:val="36"/>
        </w:rPr>
        <w:t>行政處分之法規適用顯有錯誤。例如：１</w:t>
      </w:r>
      <w:r>
        <w:rPr>
          <w:rFonts w:ascii="標楷體" w:hAnsi="標楷體"/>
          <w:szCs w:val="36"/>
        </w:rPr>
        <w:t>.</w:t>
      </w:r>
      <w:r>
        <w:rPr>
          <w:rFonts w:ascii="標楷體" w:hAnsi="標楷體" w:cs="標楷體"/>
          <w:szCs w:val="36"/>
        </w:rPr>
        <w:t>原處分機關因法規變更，重行核定復審人得續辦公保養老給付優惠存款之金額，應自處分作成之日或自原處分機關所指定較後之日起，始失其效力，且不應影響尚未屆滿契約期限之優惠存款金額。２</w:t>
      </w:r>
      <w:r>
        <w:rPr>
          <w:rFonts w:ascii="標楷體" w:hAnsi="標楷體"/>
          <w:szCs w:val="36"/>
        </w:rPr>
        <w:t>.</w:t>
      </w:r>
      <w:r>
        <w:rPr>
          <w:rFonts w:ascii="標楷體" w:hAnsi="標楷體" w:cs="標楷體"/>
          <w:szCs w:val="36"/>
        </w:rPr>
        <w:t>公法上不當得利返還請求權時效，應自各期款項核發之日起算，於法定期間經過後即消滅，自不得再行追繳。詳如本會</w:t>
      </w:r>
      <w:r>
        <w:rPr>
          <w:rFonts w:cs="標楷體" w:ascii="標楷體" w:hAnsi="標楷體"/>
          <w:szCs w:val="36"/>
        </w:rPr>
        <w:t>102</w:t>
      </w:r>
      <w:r>
        <w:rPr>
          <w:rFonts w:ascii="標楷體" w:hAnsi="標楷體" w:cs="標楷體"/>
          <w:szCs w:val="36"/>
        </w:rPr>
        <w:t>公審決字第</w:t>
      </w:r>
      <w:r>
        <w:rPr>
          <w:rFonts w:ascii="標楷體" w:hAnsi="標楷體"/>
          <w:szCs w:val="36"/>
        </w:rPr>
        <w:t>0</w:t>
      </w:r>
      <w:r>
        <w:rPr>
          <w:rFonts w:cs="標楷體" w:ascii="標楷體" w:hAnsi="標楷體"/>
          <w:szCs w:val="36"/>
        </w:rPr>
        <w:t>010</w:t>
      </w:r>
      <w:r>
        <w:rPr>
          <w:rFonts w:ascii="標楷體" w:hAnsi="標楷體" w:cs="標楷體"/>
          <w:szCs w:val="36"/>
        </w:rPr>
        <w:t>號、第</w:t>
      </w:r>
      <w:r>
        <w:rPr>
          <w:rFonts w:cs="標楷體" w:ascii="標楷體" w:hAnsi="標楷體"/>
          <w:szCs w:val="36"/>
        </w:rPr>
        <w:t>0020</w:t>
      </w:r>
      <w:r>
        <w:rPr>
          <w:rFonts w:ascii="標楷體" w:hAnsi="標楷體" w:cs="標楷體"/>
          <w:szCs w:val="36"/>
        </w:rPr>
        <w:t>號、第</w:t>
      </w:r>
      <w:r>
        <w:rPr>
          <w:rFonts w:ascii="標楷體" w:hAnsi="標楷體"/>
          <w:szCs w:val="36"/>
        </w:rPr>
        <w:t>0</w:t>
      </w:r>
      <w:r>
        <w:rPr>
          <w:rFonts w:cs="標楷體" w:ascii="標楷體" w:hAnsi="標楷體"/>
          <w:szCs w:val="36"/>
        </w:rPr>
        <w:t>051</w:t>
      </w:r>
      <w:r>
        <w:rPr>
          <w:rFonts w:ascii="標楷體" w:hAnsi="標楷體" w:cs="標楷體"/>
          <w:szCs w:val="36"/>
        </w:rPr>
        <w:t>號、第</w:t>
      </w:r>
      <w:r>
        <w:rPr>
          <w:rFonts w:cs="標楷體" w:ascii="標楷體" w:hAnsi="標楷體"/>
          <w:szCs w:val="36"/>
        </w:rPr>
        <w:t>0052</w:t>
      </w:r>
      <w:r>
        <w:rPr>
          <w:rFonts w:ascii="標楷體" w:hAnsi="標楷體" w:cs="標楷體"/>
          <w:szCs w:val="36"/>
        </w:rPr>
        <w:t>號、第</w:t>
      </w:r>
      <w:r>
        <w:rPr>
          <w:rFonts w:cs="標楷體" w:ascii="標楷體" w:hAnsi="標楷體"/>
          <w:szCs w:val="36"/>
        </w:rPr>
        <w:t>0053</w:t>
      </w:r>
      <w:r>
        <w:rPr>
          <w:rFonts w:ascii="標楷體" w:hAnsi="標楷體" w:cs="標楷體"/>
          <w:szCs w:val="36"/>
        </w:rPr>
        <w:t>號、第</w:t>
      </w:r>
      <w:r>
        <w:rPr>
          <w:rFonts w:ascii="標楷體" w:hAnsi="標楷體"/>
          <w:szCs w:val="36"/>
        </w:rPr>
        <w:t>00</w:t>
      </w:r>
      <w:r>
        <w:rPr>
          <w:rFonts w:cs="標楷體" w:ascii="標楷體" w:hAnsi="標楷體"/>
          <w:szCs w:val="36"/>
        </w:rPr>
        <w:t>54</w:t>
      </w:r>
      <w:r>
        <w:rPr>
          <w:rFonts w:ascii="標楷體" w:hAnsi="標楷體" w:cs="標楷體"/>
          <w:szCs w:val="36"/>
        </w:rPr>
        <w:t>號、第</w:t>
      </w:r>
      <w:r>
        <w:rPr>
          <w:rFonts w:cs="標楷體" w:ascii="標楷體" w:hAnsi="標楷體"/>
          <w:szCs w:val="36"/>
        </w:rPr>
        <w:t>0055</w:t>
      </w:r>
      <w:r>
        <w:rPr>
          <w:rFonts w:ascii="標楷體" w:hAnsi="標楷體" w:cs="標楷體"/>
          <w:szCs w:val="36"/>
        </w:rPr>
        <w:t>號、第</w:t>
      </w:r>
      <w:r>
        <w:rPr>
          <w:rFonts w:cs="標楷體" w:ascii="標楷體" w:hAnsi="標楷體"/>
          <w:szCs w:val="36"/>
        </w:rPr>
        <w:t>0093</w:t>
      </w:r>
      <w:r>
        <w:rPr>
          <w:rFonts w:ascii="標楷體" w:hAnsi="標楷體" w:cs="標楷體"/>
          <w:szCs w:val="36"/>
        </w:rPr>
        <w:t>號、第</w:t>
      </w:r>
      <w:r>
        <w:rPr>
          <w:rFonts w:cs="標楷體" w:ascii="標楷體" w:hAnsi="標楷體"/>
          <w:szCs w:val="36"/>
        </w:rPr>
        <w:t>0107</w:t>
      </w:r>
      <w:r>
        <w:rPr>
          <w:rFonts w:ascii="標楷體" w:hAnsi="標楷體" w:cs="標楷體"/>
          <w:szCs w:val="36"/>
        </w:rPr>
        <w:t>號及第</w:t>
      </w:r>
      <w:r>
        <w:rPr>
          <w:rFonts w:cs="標楷體" w:ascii="標楷體" w:hAnsi="標楷體"/>
          <w:szCs w:val="36"/>
        </w:rPr>
        <w:t>0135</w:t>
      </w:r>
      <w:r>
        <w:rPr>
          <w:rFonts w:ascii="標楷體" w:hAnsi="標楷體" w:cs="標楷體"/>
          <w:szCs w:val="36"/>
        </w:rPr>
        <w:t>號復審決定書。</w:t>
      </w:r>
    </w:p>
    <w:p>
      <w:pPr>
        <w:pStyle w:val="Normal"/>
        <w:numPr>
          <w:ilvl w:val="0"/>
          <w:numId w:val="1"/>
        </w:numPr>
        <w:overflowPunct w:val="false"/>
        <w:autoSpaceDE w:val="false"/>
        <w:spacing w:lineRule="exact" w:line="560"/>
        <w:jc w:val="both"/>
        <w:rPr>
          <w:rFonts w:ascii="標楷體" w:hAnsi="標楷體"/>
          <w:color w:val="FF0000"/>
          <w:szCs w:val="36"/>
        </w:rPr>
      </w:pPr>
      <w:r>
        <w:rPr>
          <w:rFonts w:ascii="標楷體" w:hAnsi="標楷體" w:cs="標楷體"/>
          <w:szCs w:val="36"/>
        </w:rPr>
        <w:t>原處分機關作成行政處分欠缺事務管轄權限。例如：公務人員於</w:t>
      </w:r>
      <w:r>
        <w:rPr>
          <w:rFonts w:cs="標楷體" w:ascii="標楷體" w:hAnsi="標楷體"/>
          <w:szCs w:val="36"/>
        </w:rPr>
        <w:t>100</w:t>
      </w:r>
      <w:r>
        <w:rPr>
          <w:rFonts w:ascii="標楷體" w:hAnsi="標楷體" w:cs="標楷體"/>
          <w:szCs w:val="36"/>
        </w:rPr>
        <w:t>年</w:t>
      </w:r>
      <w:r>
        <w:rPr>
          <w:rFonts w:cs="標楷體" w:ascii="標楷體" w:hAnsi="標楷體"/>
          <w:szCs w:val="36"/>
        </w:rPr>
        <w:t>1</w:t>
      </w:r>
      <w:r>
        <w:rPr>
          <w:rFonts w:ascii="標楷體" w:hAnsi="標楷體" w:cs="標楷體"/>
          <w:szCs w:val="36"/>
        </w:rPr>
        <w:t>月</w:t>
      </w:r>
      <w:r>
        <w:rPr>
          <w:rFonts w:cs="標楷體" w:ascii="標楷體" w:hAnsi="標楷體"/>
          <w:szCs w:val="36"/>
        </w:rPr>
        <w:t>1</w:t>
      </w:r>
      <w:r>
        <w:rPr>
          <w:rFonts w:ascii="標楷體" w:hAnsi="標楷體" w:cs="標楷體"/>
          <w:szCs w:val="36"/>
        </w:rPr>
        <w:t>日以後自願退休之申請，有權准駁之權責機關為銓敘部，服務機關就上開申請案之審查，除因公務人員所附證件不足或有錯誤應通知補正外，仍應彙送銓敘部審定，如服務機關逕予否准，於法未合。</w:t>
      </w:r>
      <w:r>
        <w:rPr/>
        <w:t>詳</w:t>
      </w:r>
      <w:r>
        <w:rPr>
          <w:rFonts w:ascii="標楷體" w:hAnsi="標楷體" w:cs="標楷體"/>
          <w:szCs w:val="36"/>
        </w:rPr>
        <w:t>如本會</w:t>
      </w:r>
      <w:r>
        <w:rPr>
          <w:rFonts w:cs="標楷體" w:ascii="標楷體" w:hAnsi="標楷體"/>
          <w:szCs w:val="36"/>
        </w:rPr>
        <w:t>102</w:t>
      </w:r>
      <w:r>
        <w:rPr>
          <w:rFonts w:ascii="標楷體" w:hAnsi="標楷體" w:cs="標楷體"/>
          <w:szCs w:val="36"/>
        </w:rPr>
        <w:t>公審決字第</w:t>
      </w:r>
      <w:r>
        <w:rPr>
          <w:rFonts w:cs="標楷體" w:ascii="標楷體" w:hAnsi="標楷體"/>
          <w:szCs w:val="36"/>
        </w:rPr>
        <w:t>0020</w:t>
      </w:r>
      <w:r>
        <w:rPr>
          <w:rFonts w:ascii="標楷體" w:hAnsi="標楷體" w:cs="標楷體"/>
          <w:szCs w:val="36"/>
        </w:rPr>
        <w:t>號及第</w:t>
      </w:r>
      <w:r>
        <w:rPr>
          <w:rFonts w:ascii="標楷體" w:hAnsi="標楷體"/>
          <w:szCs w:val="36"/>
        </w:rPr>
        <w:t>0</w:t>
      </w:r>
      <w:r>
        <w:rPr>
          <w:rFonts w:cs="標楷體" w:ascii="標楷體" w:hAnsi="標楷體"/>
          <w:szCs w:val="36"/>
        </w:rPr>
        <w:t>044</w:t>
      </w:r>
      <w:r>
        <w:rPr>
          <w:rFonts w:ascii="標楷體" w:hAnsi="標楷體" w:cs="標楷體"/>
          <w:szCs w:val="36"/>
        </w:rPr>
        <w:t>號復審決定書。</w:t>
      </w:r>
    </w:p>
    <w:p>
      <w:pPr>
        <w:pStyle w:val="Normal"/>
        <w:numPr>
          <w:ilvl w:val="0"/>
          <w:numId w:val="1"/>
        </w:numPr>
        <w:overflowPunct w:val="false"/>
        <w:autoSpaceDE w:val="false"/>
        <w:spacing w:lineRule="exact" w:line="560"/>
        <w:jc w:val="both"/>
        <w:rPr>
          <w:rFonts w:ascii="標楷體" w:hAnsi="標楷體"/>
          <w:szCs w:val="36"/>
        </w:rPr>
      </w:pPr>
      <w:r>
        <w:rPr>
          <w:rFonts w:ascii="標楷體" w:hAnsi="標楷體" w:cs="標楷體"/>
          <w:szCs w:val="36"/>
        </w:rPr>
        <w:t>作成處分不符合法定程序。例如：服務機關於作成免職處分前，仍應踐行正當法律程序。參酌最高行政法院</w:t>
      </w:r>
      <w:r>
        <w:rPr>
          <w:rFonts w:cs="標楷體" w:ascii="標楷體" w:hAnsi="標楷體"/>
          <w:szCs w:val="36"/>
        </w:rPr>
        <w:t>90</w:t>
      </w:r>
      <w:r>
        <w:rPr>
          <w:rFonts w:ascii="標楷體" w:hAnsi="標楷體" w:cs="標楷體"/>
          <w:szCs w:val="36"/>
        </w:rPr>
        <w:t>年</w:t>
      </w:r>
      <w:r>
        <w:rPr>
          <w:rFonts w:cs="標楷體" w:ascii="標楷體" w:hAnsi="標楷體"/>
          <w:szCs w:val="36"/>
        </w:rPr>
        <w:t>8</w:t>
      </w:r>
      <w:r>
        <w:rPr>
          <w:rFonts w:ascii="標楷體" w:hAnsi="標楷體" w:cs="標楷體"/>
          <w:szCs w:val="36"/>
        </w:rPr>
        <w:t>月</w:t>
      </w:r>
      <w:r>
        <w:rPr>
          <w:rFonts w:cs="標楷體" w:ascii="標楷體" w:hAnsi="標楷體"/>
          <w:szCs w:val="36"/>
        </w:rPr>
        <w:t>3</w:t>
      </w:r>
      <w:r>
        <w:rPr>
          <w:rFonts w:ascii="標楷體" w:hAnsi="標楷體" w:cs="標楷體"/>
          <w:szCs w:val="36"/>
        </w:rPr>
        <w:t>日</w:t>
      </w:r>
      <w:r>
        <w:rPr>
          <w:rFonts w:cs="標楷體" w:ascii="標楷體" w:hAnsi="標楷體"/>
          <w:szCs w:val="36"/>
        </w:rPr>
        <w:t>90</w:t>
      </w:r>
      <w:r>
        <w:rPr>
          <w:rFonts w:ascii="標楷體" w:hAnsi="標楷體" w:cs="標楷體"/>
          <w:szCs w:val="36"/>
        </w:rPr>
        <w:t>年度判字第</w:t>
      </w:r>
      <w:r>
        <w:rPr>
          <w:rFonts w:cs="標楷體" w:ascii="標楷體" w:hAnsi="標楷體"/>
          <w:szCs w:val="36"/>
        </w:rPr>
        <w:t>1365</w:t>
      </w:r>
      <w:r>
        <w:rPr>
          <w:rFonts w:ascii="標楷體" w:hAnsi="標楷體" w:cs="標楷體"/>
          <w:szCs w:val="36"/>
        </w:rPr>
        <w:t>號判決意旨，給予申辯機會即在踐行正當法律程序，惟若使當事人未及準備，踐行正當法律程序即不無瑕疵。茲準備期間究以幾日為當，法無明文，惟依社會通念除考量復審人住居所至會議地點之交通路程外，亦應考量預留其於生活上或工作上另為安排或處置及準備列席之適當時間。服務機關於考成委員會開會前一日始作成開會通知單，以電話通知復審人列席陳述意見，並於開會前始送達復審人，難謂已給予復審人合理之準備期間，致復審人未及準備並有效參與。核其應踐行之正當法律程序，亦難謂無瑕疵。詳如本會</w:t>
      </w:r>
      <w:r>
        <w:rPr>
          <w:rFonts w:cs="標楷體" w:ascii="標楷體" w:hAnsi="標楷體"/>
          <w:szCs w:val="36"/>
        </w:rPr>
        <w:t>102</w:t>
      </w:r>
      <w:r>
        <w:rPr>
          <w:rFonts w:ascii="標楷體" w:hAnsi="標楷體" w:cs="標楷體"/>
          <w:szCs w:val="36"/>
        </w:rPr>
        <w:t>公審決字第</w:t>
      </w:r>
      <w:r>
        <w:rPr>
          <w:rFonts w:ascii="標楷體" w:hAnsi="標楷體"/>
          <w:szCs w:val="36"/>
        </w:rPr>
        <w:t>0</w:t>
      </w:r>
      <w:r>
        <w:rPr>
          <w:rFonts w:cs="標楷體" w:ascii="標楷體" w:hAnsi="標楷體"/>
          <w:szCs w:val="36"/>
        </w:rPr>
        <w:t>104</w:t>
      </w:r>
      <w:r>
        <w:rPr>
          <w:rFonts w:ascii="標楷體" w:hAnsi="標楷體" w:cs="標楷體"/>
          <w:szCs w:val="36"/>
        </w:rPr>
        <w:t>號復審決定書。</w:t>
      </w:r>
    </w:p>
    <w:p>
      <w:pPr>
        <w:pStyle w:val="Normal"/>
        <w:numPr>
          <w:ilvl w:val="0"/>
          <w:numId w:val="1"/>
        </w:numPr>
        <w:overflowPunct w:val="false"/>
        <w:autoSpaceDE w:val="false"/>
        <w:spacing w:lineRule="exact" w:line="560"/>
        <w:jc w:val="both"/>
        <w:rPr>
          <w:rFonts w:ascii="標楷體" w:hAnsi="標楷體"/>
          <w:szCs w:val="36"/>
        </w:rPr>
      </w:pPr>
      <w:r>
        <w:rPr>
          <w:rFonts w:ascii="標楷體" w:hAnsi="標楷體" w:cs="標楷體"/>
          <w:szCs w:val="36"/>
        </w:rPr>
        <w:t>機關對於復審人依行政程序法第</w:t>
      </w:r>
      <w:r>
        <w:rPr>
          <w:rFonts w:cs="標楷體" w:ascii="標楷體" w:hAnsi="標楷體"/>
          <w:szCs w:val="36"/>
        </w:rPr>
        <w:t>128</w:t>
      </w:r>
      <w:r>
        <w:rPr>
          <w:rFonts w:ascii="標楷體" w:hAnsi="標楷體" w:cs="標楷體"/>
          <w:szCs w:val="36"/>
        </w:rPr>
        <w:t>條規定，請求行政程序重開，惟服務機關僅將相關疑義函請法規主管機關解釋，並將該解釋函轉知復審人，未就復審人申請案為准否之表示，且已逾</w:t>
      </w:r>
      <w:r>
        <w:rPr>
          <w:rFonts w:cs="標楷體" w:ascii="標楷體" w:hAnsi="標楷體"/>
          <w:szCs w:val="36"/>
        </w:rPr>
        <w:t>2</w:t>
      </w:r>
      <w:r>
        <w:rPr>
          <w:rFonts w:ascii="標楷體" w:hAnsi="標楷體" w:cs="標楷體"/>
          <w:szCs w:val="36"/>
        </w:rPr>
        <w:t>個月之處理期間，於法有違。詳如本會</w:t>
      </w:r>
      <w:r>
        <w:rPr>
          <w:rFonts w:cs="標楷體" w:ascii="標楷體" w:hAnsi="標楷體"/>
          <w:szCs w:val="36"/>
        </w:rPr>
        <w:t>102</w:t>
      </w:r>
      <w:r>
        <w:rPr>
          <w:rFonts w:ascii="標楷體" w:hAnsi="標楷體" w:cs="標楷體"/>
          <w:szCs w:val="36"/>
        </w:rPr>
        <w:t>公審決字第</w:t>
      </w:r>
      <w:r>
        <w:rPr>
          <w:rFonts w:cs="標楷體" w:ascii="標楷體" w:hAnsi="標楷體"/>
          <w:szCs w:val="36"/>
        </w:rPr>
        <w:t>0089</w:t>
      </w:r>
      <w:r>
        <w:rPr>
          <w:rFonts w:ascii="標楷體" w:hAnsi="標楷體" w:cs="標楷體"/>
          <w:szCs w:val="36"/>
        </w:rPr>
        <w:t>號復審決定書。</w:t>
      </w:r>
    </w:p>
    <w:p>
      <w:pPr>
        <w:pStyle w:val="Normal"/>
        <w:overflowPunct w:val="false"/>
        <w:autoSpaceDE w:val="false"/>
        <w:spacing w:lineRule="exact" w:line="560"/>
        <w:ind w:left="721" w:hanging="721"/>
        <w:jc w:val="both"/>
        <w:rPr>
          <w:rFonts w:ascii="標楷體" w:hAnsi="標楷體"/>
          <w:b/>
          <w:b/>
          <w:bCs/>
          <w:szCs w:val="36"/>
        </w:rPr>
      </w:pPr>
      <w:r>
        <w:rPr>
          <w:rFonts w:ascii="標楷體" w:hAnsi="標楷體" w:cs="標楷體"/>
          <w:b/>
          <w:bCs/>
          <w:szCs w:val="36"/>
        </w:rPr>
        <w:t>貳、機關為人事管理行為常發生之作業疏失事項</w:t>
      </w:r>
    </w:p>
    <w:p>
      <w:pPr>
        <w:pStyle w:val="BodyTextIndent3"/>
        <w:kinsoku w:val="true"/>
        <w:ind w:left="0" w:firstLine="720"/>
        <w:rPr>
          <w:szCs w:val="36"/>
        </w:rPr>
      </w:pPr>
      <w:r>
        <w:rPr>
          <w:szCs w:val="36"/>
        </w:rPr>
        <w:t>保障業務係屬人事業務之一環，各類型保障業務所涉程序法令之要求未盡相同，下列人事作業疏失事項，本會均曾函請各機關注意改進，惟發現仍有未盡理想之處，爰再請各機關配合改進：</w:t>
      </w:r>
    </w:p>
    <w:p>
      <w:pPr>
        <w:pStyle w:val="BodyTextIndent3"/>
        <w:kinsoku w:val="true"/>
        <w:ind w:left="648" w:hanging="648"/>
        <w:rPr>
          <w:szCs w:val="36"/>
        </w:rPr>
      </w:pPr>
      <w:r>
        <w:rPr>
          <w:szCs w:val="36"/>
        </w:rPr>
        <w:t>一、按本會</w:t>
      </w:r>
      <w:r>
        <w:rPr>
          <w:szCs w:val="36"/>
        </w:rPr>
        <w:t>92</w:t>
      </w:r>
      <w:r>
        <w:rPr>
          <w:szCs w:val="36"/>
        </w:rPr>
        <w:t>年</w:t>
      </w:r>
      <w:r>
        <w:rPr>
          <w:szCs w:val="36"/>
        </w:rPr>
        <w:t>5</w:t>
      </w:r>
      <w:r>
        <w:rPr>
          <w:szCs w:val="36"/>
        </w:rPr>
        <w:t>月</w:t>
      </w:r>
      <w:r>
        <w:rPr>
          <w:szCs w:val="36"/>
        </w:rPr>
        <w:t>15</w:t>
      </w:r>
      <w:r>
        <w:rPr>
          <w:szCs w:val="36"/>
        </w:rPr>
        <w:t>日公保字第</w:t>
      </w:r>
      <w:r>
        <w:rPr>
          <w:szCs w:val="36"/>
        </w:rPr>
        <w:t>0920003511</w:t>
      </w:r>
      <w:r>
        <w:rPr>
          <w:szCs w:val="36"/>
        </w:rPr>
        <w:t>號函意旨，機關對所屬公務人員之行政處分、管理措施或有關工作條件之處置或為申訴函復時，應告知不服之救濟方法、期間及受理聲明不服之管轄機關等，以確保公務人員請求救濟之權益，惟仍有部分機關疏未教示，或教示內容有誤，致當事人系爭法律關係長期陷於不安定狀態，並易造成相關機關後續處理上之行政耗損，爰請各機關確依有關法令及本會上開函釋辦理。例如：</w:t>
      </w:r>
    </w:p>
    <w:p>
      <w:pPr>
        <w:pStyle w:val="BodyTextIndent3"/>
        <w:kinsoku w:val="true"/>
        <w:ind w:left="1080" w:hanging="1080"/>
        <w:rPr>
          <w:szCs w:val="36"/>
        </w:rPr>
      </w:pPr>
      <w:r>
        <w:rPr>
          <w:szCs w:val="36"/>
        </w:rPr>
        <w:t>（一）性騷擾行為之懲處事件，公務人員於職場內、外性騷擾事件成立與否之法律依據，分別為性別工作平等法及性騷擾防治法所定，至不服成立與否決議之救濟機關，則應分別向本會提起復審或向上級機關提起訴願。</w:t>
      </w:r>
    </w:p>
    <w:p>
      <w:pPr>
        <w:pStyle w:val="BodyTextIndent3"/>
        <w:kinsoku w:val="true"/>
        <w:ind w:left="1080" w:hanging="1080"/>
        <w:rPr>
          <w:szCs w:val="36"/>
        </w:rPr>
      </w:pPr>
      <w:r>
        <w:rPr>
          <w:szCs w:val="36"/>
        </w:rPr>
        <w:t>（二）公務人員涉及校園性騷擾案件，經學校依性別平等教育法相關規定完成調查並依調查結果議處，並將處理結果以書面載明事實及理由通知當事人者，上開書面通知即為「性騷擾成立與否之決定」，性別平等教育法第</w:t>
      </w:r>
      <w:r>
        <w:rPr>
          <w:szCs w:val="36"/>
        </w:rPr>
        <w:t>34</w:t>
      </w:r>
      <w:r>
        <w:rPr>
          <w:szCs w:val="36"/>
        </w:rPr>
        <w:t>條第</w:t>
      </w:r>
      <w:r>
        <w:rPr>
          <w:szCs w:val="36"/>
        </w:rPr>
        <w:t>2</w:t>
      </w:r>
      <w:r>
        <w:rPr>
          <w:szCs w:val="36"/>
        </w:rPr>
        <w:t>款所定人員如對該決定有所不服，應先經申復程序，再依保障法規定向本會提起復審，以為救濟。又上開人員如因涉及校園性騷擾事件，經學校提經考績委員會審議後予以懲處，該懲處之性質係學校對公務人員所為之管理措施，公務人員如有不服，仍應於懲處令送達之次日起</w:t>
      </w:r>
      <w:r>
        <w:rPr>
          <w:szCs w:val="36"/>
        </w:rPr>
        <w:t>30</w:t>
      </w:r>
      <w:r>
        <w:rPr>
          <w:szCs w:val="36"/>
        </w:rPr>
        <w:t>日內先依保障法規定向學校提起申訴，如不服學校申訴函復者，得於復函送達之次日起</w:t>
      </w:r>
      <w:r>
        <w:rPr>
          <w:szCs w:val="36"/>
        </w:rPr>
        <w:t>30</w:t>
      </w:r>
      <w:r>
        <w:rPr>
          <w:szCs w:val="36"/>
        </w:rPr>
        <w:t>日內向本會提起再申訴。</w:t>
      </w:r>
    </w:p>
    <w:p>
      <w:pPr>
        <w:pStyle w:val="BodyTextIndent3"/>
        <w:kinsoku w:val="true"/>
        <w:ind w:left="1080" w:hanging="1080"/>
        <w:rPr>
          <w:szCs w:val="36"/>
        </w:rPr>
      </w:pPr>
      <w:r>
        <w:rPr>
          <w:szCs w:val="36"/>
        </w:rPr>
        <w:t>（三）法官法自</w:t>
      </w:r>
      <w:r>
        <w:rPr>
          <w:szCs w:val="36"/>
        </w:rPr>
        <w:t>101</w:t>
      </w:r>
      <w:r>
        <w:rPr>
          <w:szCs w:val="36"/>
        </w:rPr>
        <w:t>年</w:t>
      </w:r>
      <w:r>
        <w:rPr>
          <w:szCs w:val="36"/>
        </w:rPr>
        <w:t>7</w:t>
      </w:r>
      <w:r>
        <w:rPr>
          <w:szCs w:val="36"/>
        </w:rPr>
        <w:t>月</w:t>
      </w:r>
      <w:r>
        <w:rPr>
          <w:szCs w:val="36"/>
        </w:rPr>
        <w:t>6</w:t>
      </w:r>
      <w:r>
        <w:rPr>
          <w:szCs w:val="36"/>
        </w:rPr>
        <w:t>日施行，法官法第</w:t>
      </w:r>
      <w:r>
        <w:rPr>
          <w:szCs w:val="36"/>
        </w:rPr>
        <w:t>20</w:t>
      </w:r>
      <w:r>
        <w:rPr>
          <w:szCs w:val="36"/>
        </w:rPr>
        <w:t>條所定職務監督權人，對於被監督之法官所為之職務監督處分，如未影響法官獨立審判權限者，該職務監督處分之性質係職務監督權人所屬機關對被監督法官所為之管理措施，被監督法官如有不服，應依保障法規定向職務監督權人所屬機關提起申訴，如不服申訴復函，再向本會提起再申訴。如被監督之法官認為上開處分已影響審判獨立，自應依法官法第</w:t>
      </w:r>
      <w:r>
        <w:rPr>
          <w:szCs w:val="36"/>
        </w:rPr>
        <w:t>53</w:t>
      </w:r>
      <w:r>
        <w:rPr>
          <w:szCs w:val="36"/>
        </w:rPr>
        <w:t>條第</w:t>
      </w:r>
      <w:r>
        <w:rPr>
          <w:szCs w:val="36"/>
        </w:rPr>
        <w:t>2</w:t>
      </w:r>
      <w:r>
        <w:rPr>
          <w:szCs w:val="36"/>
        </w:rPr>
        <w:t>項及第</w:t>
      </w:r>
      <w:r>
        <w:rPr>
          <w:szCs w:val="36"/>
        </w:rPr>
        <w:t>54</w:t>
      </w:r>
      <w:r>
        <w:rPr>
          <w:szCs w:val="36"/>
        </w:rPr>
        <w:t>條第</w:t>
      </w:r>
      <w:r>
        <w:rPr>
          <w:szCs w:val="36"/>
        </w:rPr>
        <w:t>3</w:t>
      </w:r>
      <w:r>
        <w:rPr>
          <w:szCs w:val="36"/>
        </w:rPr>
        <w:t>項規定，依程序向職務監督權人所屬機關提出異議，若不服異議決定，則遞向職務法庭起訴。職務監督權人所屬機關應於相關處分明確教示，以免受處分之法官誤用救濟程序。</w:t>
      </w:r>
    </w:p>
    <w:p>
      <w:pPr>
        <w:pStyle w:val="BodyTextIndent3"/>
        <w:kinsoku w:val="true"/>
        <w:snapToGrid w:val="false"/>
        <w:spacing w:before="80" w:after="0"/>
        <w:ind w:left="648" w:hanging="648"/>
        <w:rPr>
          <w:szCs w:val="36"/>
        </w:rPr>
      </w:pPr>
      <w:r>
        <w:rPr>
          <w:szCs w:val="36"/>
        </w:rPr>
        <w:t>二、各機關對於所屬公務人員以簽呈陳請事項，如有所准駁並涉及法律上權利義務之變動者，應依行政程序法第</w:t>
      </w:r>
      <w:r>
        <w:rPr>
          <w:szCs w:val="36"/>
        </w:rPr>
        <w:t>96</w:t>
      </w:r>
      <w:r>
        <w:rPr>
          <w:szCs w:val="36"/>
        </w:rPr>
        <w:t>條規定作成書面行政處分，俾利公務人員據以提起救濟。前經本會以</w:t>
      </w:r>
      <w:r>
        <w:rPr>
          <w:szCs w:val="36"/>
        </w:rPr>
        <w:t>92</w:t>
      </w:r>
      <w:r>
        <w:rPr>
          <w:szCs w:val="36"/>
        </w:rPr>
        <w:t>年</w:t>
      </w:r>
      <w:r>
        <w:rPr>
          <w:szCs w:val="36"/>
        </w:rPr>
        <w:t>10</w:t>
      </w:r>
      <w:r>
        <w:rPr>
          <w:szCs w:val="36"/>
        </w:rPr>
        <w:t>月</w:t>
      </w:r>
      <w:r>
        <w:rPr>
          <w:szCs w:val="36"/>
        </w:rPr>
        <w:t>17</w:t>
      </w:r>
      <w:r>
        <w:rPr>
          <w:szCs w:val="36"/>
        </w:rPr>
        <w:t>日公保字第</w:t>
      </w:r>
      <w:r>
        <w:rPr>
          <w:szCs w:val="36"/>
        </w:rPr>
        <w:t>0920007465</w:t>
      </w:r>
      <w:r>
        <w:rPr>
          <w:szCs w:val="36"/>
        </w:rPr>
        <w:t>號函請督促各機關人事人員知照辦理在案。惟邇來發現仍有機關人事人員並未依該函所示意旨辦理，爰再以</w:t>
      </w:r>
      <w:r>
        <w:rPr>
          <w:szCs w:val="36"/>
        </w:rPr>
        <w:t>101</w:t>
      </w:r>
      <w:r>
        <w:rPr>
          <w:szCs w:val="36"/>
        </w:rPr>
        <w:t>年</w:t>
      </w:r>
      <w:r>
        <w:rPr>
          <w:szCs w:val="36"/>
        </w:rPr>
        <w:t>6</w:t>
      </w:r>
      <w:r>
        <w:rPr>
          <w:szCs w:val="36"/>
        </w:rPr>
        <w:t>月</w:t>
      </w:r>
      <w:r>
        <w:rPr>
          <w:szCs w:val="36"/>
        </w:rPr>
        <w:t>8</w:t>
      </w:r>
      <w:r>
        <w:rPr>
          <w:szCs w:val="36"/>
        </w:rPr>
        <w:t>日公保字第</w:t>
      </w:r>
      <w:r>
        <w:rPr>
          <w:szCs w:val="36"/>
        </w:rPr>
        <w:t>1011009832</w:t>
      </w:r>
      <w:r>
        <w:rPr>
          <w:szCs w:val="36"/>
        </w:rPr>
        <w:t>號函請督促各機關人事人員落實辦理。</w:t>
      </w:r>
    </w:p>
    <w:p>
      <w:pPr>
        <w:pStyle w:val="BodyTextIndent3"/>
        <w:kinsoku w:val="true"/>
        <w:spacing w:before="80" w:after="0"/>
        <w:ind w:left="720" w:hanging="720"/>
        <w:rPr>
          <w:szCs w:val="36"/>
        </w:rPr>
      </w:pPr>
      <w:r>
        <w:rPr>
          <w:szCs w:val="36"/>
        </w:rPr>
        <w:t>三、按保障法第</w:t>
      </w:r>
      <w:r>
        <w:rPr>
          <w:szCs w:val="36"/>
        </w:rPr>
        <w:t>30</w:t>
      </w:r>
      <w:r>
        <w:rPr>
          <w:szCs w:val="36"/>
        </w:rPr>
        <w:t>條至第</w:t>
      </w:r>
      <w:r>
        <w:rPr>
          <w:szCs w:val="36"/>
        </w:rPr>
        <w:t>33</w:t>
      </w:r>
      <w:r>
        <w:rPr>
          <w:szCs w:val="36"/>
        </w:rPr>
        <w:t>條與第</w:t>
      </w:r>
      <w:r>
        <w:rPr>
          <w:szCs w:val="36"/>
        </w:rPr>
        <w:t>77</w:t>
      </w:r>
      <w:r>
        <w:rPr>
          <w:szCs w:val="36"/>
        </w:rPr>
        <w:t>條、第</w:t>
      </w:r>
      <w:r>
        <w:rPr>
          <w:szCs w:val="36"/>
        </w:rPr>
        <w:t>78</w:t>
      </w:r>
      <w:r>
        <w:rPr>
          <w:szCs w:val="36"/>
        </w:rPr>
        <w:t>條，以及行政程序法第</w:t>
      </w:r>
      <w:r>
        <w:rPr>
          <w:szCs w:val="36"/>
        </w:rPr>
        <w:t>67</w:t>
      </w:r>
      <w:r>
        <w:rPr>
          <w:szCs w:val="36"/>
        </w:rPr>
        <w:t>條至第</w:t>
      </w:r>
      <w:r>
        <w:rPr>
          <w:szCs w:val="36"/>
        </w:rPr>
        <w:t>91</w:t>
      </w:r>
      <w:r>
        <w:rPr>
          <w:szCs w:val="36"/>
        </w:rPr>
        <w:t>條規定，對公務人員提起申訴、再申訴及復審之期間，以及行政機關文書送達方式，已有明文規範。查本會於審理保障事件個案時，迭因機關無法提出所為申訴復函或行政處分之送達證明資料，或於收受公務人員之申訴書、復審書時，未蓋機關收文戳章或附記日期，致無從判斷該公務人員提起救濟是否已逾法定期間，滋生爭議，本會爰以上開</w:t>
      </w:r>
      <w:r>
        <w:rPr>
          <w:szCs w:val="36"/>
        </w:rPr>
        <w:t>101</w:t>
      </w:r>
      <w:r>
        <w:rPr>
          <w:szCs w:val="36"/>
        </w:rPr>
        <w:t>年</w:t>
      </w:r>
      <w:r>
        <w:rPr>
          <w:szCs w:val="36"/>
        </w:rPr>
        <w:t>6</w:t>
      </w:r>
      <w:r>
        <w:rPr>
          <w:szCs w:val="36"/>
        </w:rPr>
        <w:t>月</w:t>
      </w:r>
      <w:r>
        <w:rPr>
          <w:szCs w:val="36"/>
        </w:rPr>
        <w:t>8</w:t>
      </w:r>
      <w:r>
        <w:rPr>
          <w:szCs w:val="36"/>
        </w:rPr>
        <w:t>日函請督促各機關人事人員注意改進。</w:t>
      </w:r>
    </w:p>
    <w:p>
      <w:pPr>
        <w:pStyle w:val="BodyTextIndent3"/>
        <w:kinsoku w:val="true"/>
        <w:spacing w:before="80" w:after="0"/>
        <w:ind w:left="720" w:hanging="720"/>
        <w:rPr>
          <w:szCs w:val="36"/>
        </w:rPr>
      </w:pPr>
      <w:r>
        <w:rPr>
          <w:szCs w:val="36"/>
        </w:rPr>
        <w:t>四、服務機關對申訴事件，應於收受申訴書之次日起</w:t>
      </w:r>
      <w:r>
        <w:rPr>
          <w:szCs w:val="36"/>
        </w:rPr>
        <w:t>30</w:t>
      </w:r>
      <w:r>
        <w:rPr>
          <w:szCs w:val="36"/>
        </w:rPr>
        <w:t>日內為申訴函復，必要時得延長</w:t>
      </w:r>
      <w:r>
        <w:rPr>
          <w:szCs w:val="36"/>
        </w:rPr>
        <w:t>20</w:t>
      </w:r>
      <w:r>
        <w:rPr>
          <w:szCs w:val="36"/>
        </w:rPr>
        <w:t>日，並通知申訴人；逾期未為函復，申訴人得逕提再申訴，為保障法第</w:t>
      </w:r>
      <w:r>
        <w:rPr>
          <w:szCs w:val="36"/>
        </w:rPr>
        <w:t>81</w:t>
      </w:r>
      <w:r>
        <w:rPr>
          <w:szCs w:val="36"/>
        </w:rPr>
        <w:t>條第</w:t>
      </w:r>
      <w:r>
        <w:rPr>
          <w:szCs w:val="36"/>
        </w:rPr>
        <w:t>1</w:t>
      </w:r>
      <w:r>
        <w:rPr>
          <w:szCs w:val="36"/>
        </w:rPr>
        <w:t>項所明定。經查，部分服務機關偶有遲誤</w:t>
      </w:r>
      <w:r>
        <w:rPr>
          <w:szCs w:val="36"/>
        </w:rPr>
        <w:t>30</w:t>
      </w:r>
      <w:r>
        <w:rPr>
          <w:szCs w:val="36"/>
        </w:rPr>
        <w:t>日法定期間未為函復，亦未為延長通知之情形，造成本會及當事人就提起再申訴救濟期間認定上之困難，且影響再申訴人攻擊防禦方法之提出，爰請各機關確實遵期為申訴函復。</w:t>
      </w:r>
    </w:p>
    <w:p>
      <w:pPr>
        <w:pStyle w:val="BodyTextIndent3"/>
        <w:kinsoku w:val="true"/>
        <w:spacing w:before="80" w:after="0"/>
        <w:ind w:left="720" w:hanging="720"/>
        <w:rPr>
          <w:szCs w:val="36"/>
        </w:rPr>
      </w:pPr>
      <w:r>
        <w:rPr>
          <w:szCs w:val="36"/>
        </w:rPr>
        <w:t>五、服務機關對申訴事件所為之函復，應於期限內針對申訴書或再申訴書所述內容，作詳細、具體之答復，以疏解公務人員疑惑，俾減少訟源；或對於本會查詢之再申訴事件，應將事實、理由及處理意見，並附有關資料回復本會，為保障法第</w:t>
      </w:r>
      <w:r>
        <w:rPr>
          <w:szCs w:val="36"/>
        </w:rPr>
        <w:t>81</w:t>
      </w:r>
      <w:r>
        <w:rPr>
          <w:szCs w:val="36"/>
        </w:rPr>
        <w:t>條第</w:t>
      </w:r>
      <w:r>
        <w:rPr>
          <w:szCs w:val="36"/>
        </w:rPr>
        <w:t>1</w:t>
      </w:r>
      <w:r>
        <w:rPr>
          <w:szCs w:val="36"/>
        </w:rPr>
        <w:t>項及第</w:t>
      </w:r>
      <w:r>
        <w:rPr>
          <w:szCs w:val="36"/>
        </w:rPr>
        <w:t>82</w:t>
      </w:r>
      <w:r>
        <w:rPr>
          <w:szCs w:val="36"/>
        </w:rPr>
        <w:t>條第</w:t>
      </w:r>
      <w:r>
        <w:rPr>
          <w:szCs w:val="36"/>
        </w:rPr>
        <w:t>1</w:t>
      </w:r>
      <w:r>
        <w:rPr>
          <w:szCs w:val="36"/>
        </w:rPr>
        <w:t>項所明定。惟仍有部分機關未詳備理由，僅以簡單文字為申訴函復，除未能保障申訴人知的權利外，並增加申訴人向本會提起再申訴之機率及訟源；且再申訴程序中如未將事實、理由、法律依據及證據資料等詳復本會，亦徒增審理查證作業之困擾與時程。為使本會能充分瞭解案情，俾作詳實、客觀、公正之審理決定，爰請各機關依上開規定配合辦理。</w:t>
      </w:r>
    </w:p>
    <w:p>
      <w:pPr>
        <w:pStyle w:val="BodyTextIndent3"/>
        <w:kinsoku w:val="true"/>
        <w:ind w:left="721" w:hanging="721"/>
        <w:rPr>
          <w:b/>
          <w:b/>
          <w:bCs/>
          <w:szCs w:val="36"/>
        </w:rPr>
      </w:pPr>
      <w:r>
        <w:rPr>
          <w:b/>
          <w:bCs/>
          <w:szCs w:val="36"/>
        </w:rPr>
        <w:t>參、建請各機關（構）秉持服務精神，照顧所屬同仁</w:t>
      </w:r>
    </w:p>
    <w:p>
      <w:pPr>
        <w:pStyle w:val="BodyTextIndent3"/>
        <w:kinsoku w:val="true"/>
        <w:spacing w:before="80" w:after="0"/>
        <w:ind w:left="720" w:hanging="720"/>
        <w:rPr>
          <w:szCs w:val="36"/>
        </w:rPr>
      </w:pPr>
      <w:r>
        <w:rPr>
          <w:szCs w:val="36"/>
        </w:rPr>
        <w:t>一、本會就人事法規或公務人員保障法規疑義，每年均辦理保障業務宣導與輔導活動，以協助各人事機關（構）正確辦理保障業務。建請各機關</w:t>
      </w:r>
      <w:r>
        <w:rPr>
          <w:bCs/>
          <w:szCs w:val="36"/>
        </w:rPr>
        <w:t>（構）</w:t>
      </w:r>
      <w:r>
        <w:rPr>
          <w:szCs w:val="36"/>
        </w:rPr>
        <w:t>秉持服務精神，積極協助所屬同仁充分瞭解保障制度，以維護自身權益，並請確實貫徹依法行政，俾減少訟源。</w:t>
      </w:r>
    </w:p>
    <w:p>
      <w:pPr>
        <w:pStyle w:val="BodyTextIndent3"/>
        <w:kinsoku w:val="true"/>
        <w:spacing w:before="80" w:after="0"/>
        <w:ind w:left="720" w:hanging="720"/>
        <w:rPr/>
      </w:pPr>
      <w:r>
        <w:rPr>
          <w:szCs w:val="36"/>
        </w:rPr>
        <w:t>二、本會於審理保障事件，就認定事實或適用法律有疑義時，均儘量予公務人員及機關</w:t>
      </w:r>
      <w:r>
        <w:rPr>
          <w:bCs/>
          <w:szCs w:val="36"/>
        </w:rPr>
        <w:t>（構）</w:t>
      </w:r>
      <w:r>
        <w:rPr>
          <w:szCs w:val="36"/>
        </w:rPr>
        <w:t>派員陳述意見之機會，以擴大當事人程序參與。另為提供當事人、有關人員、關係機關（構）更高品質之服務，並節省往返之時間及勞費，進而提升審議效率，本會已開辦保障事件視訊陳述意見服務措施，並彙整完竣已建置視訊系統之相關機關資料，於本會全球資訊網新增「保障事件視訊陳述意見使用處所查詢系統」功能（</w:t>
      </w:r>
      <w:r>
        <w:rPr>
          <w:szCs w:val="36"/>
        </w:rPr>
        <w:t>http://www.csptc.gov.tw/googlemap/</w:t>
      </w:r>
      <w:r>
        <w:rPr>
          <w:szCs w:val="36"/>
        </w:rPr>
        <w:t>），敬請機關（構）、學校充分運用並廣為宣導，以維公務人員權益。</w:t>
      </w:r>
    </w:p>
    <w:sectPr>
      <w:footerReference w:type="default" r:id="rId2"/>
      <w:type w:val="nextPage"/>
      <w:pgSz w:w="11906" w:h="16838"/>
      <w:pgMar w:left="1418" w:right="1418" w:header="0" w:top="1134" w:footer="992" w:bottom="1134" w:gutter="0"/>
      <w:pgNumType w:fmt="decimal"/>
      <w:formProt w:val="false"/>
      <w:textDirection w:val="lrTb"/>
      <w:docGrid w:type="lines" w:linePitch="398" w:charSpace="42949666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標楷體">
    <w:charset w:val="88"/>
    <w:family w:val="script"/>
    <w:pitch w:val="default"/>
  </w:font>
  <w:font w:name="s?">
    <w:altName w:val="Times New Roman"/>
    <w:charset w:val="00"/>
    <w:family w:val="roman"/>
    <w:pitch w:val="default"/>
  </w:font>
  <w:font w:name="細明體">
    <w:altName w:val="MingLiU"/>
    <w:charset w:val="88"/>
    <w:family w:val="modern"/>
    <w:pitch w:val="default"/>
  </w:font>
  <w:font w:name="Courier New">
    <w:charset w:val="00"/>
    <w:family w:val="modern"/>
    <w:pitch w:val="default"/>
  </w:font>
  <w:font w:name="Liberation Sans">
    <w:altName w:val="Arial"/>
    <w:charset w:val="88"/>
    <w:family w:val="swiss"/>
    <w:pitch w:val="variable"/>
  </w:font>
  <w:font w:name="Arial Unicode MS">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64135" cy="140970"/>
              <wp:effectExtent l="0" t="0" r="0" b="0"/>
              <wp:wrapSquare wrapText="largest"/>
              <wp:docPr id="1" name="外框1"/>
              <a:graphic xmlns:a="http://schemas.openxmlformats.org/drawingml/2006/main">
                <a:graphicData uri="http://schemas.microsoft.com/office/word/2010/wordprocessingShape">
                  <wps:wsp>
                    <wps:cNvSpPr txBox="1"/>
                    <wps:spPr>
                      <a:xfrm>
                        <a:off x="0" y="0"/>
                        <a:ext cx="64135" cy="140970"/>
                      </a:xfrm>
                      <a:prstGeom prst="rect"/>
                      <a:solidFill>
                        <a:srgbClr val="FFFFFF">
                          <a:alpha val="0"/>
                        </a:srgbClr>
                      </a:solidFill>
                    </wps:spPr>
                    <wps:txbx>
                      <w:txbxContent>
                        <w:p>
                          <w:pPr>
                            <w:pStyle w:val="Style22"/>
                            <w:rPr>
                              <w:rStyle w:val="Style14"/>
                            </w:rPr>
                          </w:pPr>
                          <w:r>
                            <w:rPr>
                              <w:rStyle w:val="Style14"/>
                            </w:rPr>
                            <w:fldChar w:fldCharType="begin"/>
                          </w:r>
                          <w:r>
                            <w:rPr>
                              <w:rStyle w:val="Style14"/>
                            </w:rPr>
                            <w:instrText> PAGE </w:instrText>
                          </w:r>
                          <w:r>
                            <w:rPr>
                              <w:rStyle w:val="Style14"/>
                            </w:rPr>
                            <w:fldChar w:fldCharType="separate"/>
                          </w:r>
                          <w:r>
                            <w:rPr>
                              <w:rStyle w:val="Style14"/>
                            </w:rPr>
                            <w:t>7</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5.05pt;height:11.1pt;mso-wrap-distance-left:0pt;mso-wrap-distance-right:0pt;mso-wrap-distance-top:0pt;mso-wrap-distance-bottom:0pt;margin-top:0.05pt;mso-position-vertical-relative:text;margin-left:224.25pt;mso-position-horizontal:center;mso-position-horizontal-relative:margin">
              <v:fill opacity="0f"/>
              <v:textbox inset="0in,0in,0in,0in">
                <w:txbxContent>
                  <w:p>
                    <w:pPr>
                      <w:pStyle w:val="Style22"/>
                      <w:rPr>
                        <w:rStyle w:val="Style14"/>
                      </w:rPr>
                    </w:pPr>
                    <w:r>
                      <w:rPr>
                        <w:rStyle w:val="Style14"/>
                      </w:rPr>
                      <w:fldChar w:fldCharType="begin"/>
                    </w:r>
                    <w:r>
                      <w:rPr>
                        <w:rStyle w:val="Style14"/>
                      </w:rPr>
                      <w:instrText> PAGE </w:instrText>
                    </w:r>
                    <w:r>
                      <w:rPr>
                        <w:rStyle w:val="Style14"/>
                      </w:rPr>
                      <w:fldChar w:fldCharType="separate"/>
                    </w:r>
                    <w:r>
                      <w:rPr>
                        <w:rStyle w:val="Style14"/>
                      </w:rPr>
                      <w:t>7</w:t>
                    </w:r>
                    <w:r>
                      <w:rPr>
                        <w:rStyle w:val="Style14"/>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tabs>
          <w:tab w:val="num" w:pos="1080"/>
        </w:tabs>
        <w:ind w:left="1080" w:hanging="1080"/>
      </w:pPr>
      <w:rPr>
        <w:szCs w:val="36"/>
        <w:rFonts w:ascii="標楷體" w:hAnsi="標楷體" w:cs="Times New Roman"/>
        <w:color w:val="000000"/>
      </w:rPr>
    </w:lvl>
  </w:abstractNum>
  <w:abstractNum w:abstractNumId="2">
    <w:lvl w:ilvl="0">
      <w:start w:val="1"/>
      <w:numFmt w:val="taiwaneseCountingThousand"/>
      <w:lvlText w:val="（%1）"/>
      <w:lvlJc w:val="left"/>
      <w:pPr>
        <w:tabs>
          <w:tab w:val="num" w:pos="1080"/>
        </w:tabs>
        <w:ind w:left="1080" w:hanging="1080"/>
      </w:pPr>
      <w:rPr>
        <w:szCs w:val="36"/>
        <w:rFonts w:ascii="標楷體" w:hAnsi="標楷體" w:cs="Times New Roman"/>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pPrDefault>
  </w:docDefaults>
  <w:style w:type="paragraph" w:styleId="Normal">
    <w:name w:val="Normal"/>
    <w:qFormat/>
    <w:pPr>
      <w:widowControl w:val="false"/>
      <w:bidi w:val="0"/>
    </w:pPr>
    <w:rPr>
      <w:rFonts w:ascii="Times New Roman" w:hAnsi="Times New Roman" w:eastAsia="標楷體" w:cs="Times New Roman"/>
      <w:color w:val="auto"/>
      <w:kern w:val="2"/>
      <w:sz w:val="36"/>
      <w:szCs w:val="24"/>
      <w:lang w:val="en-US" w:eastAsia="zh-TW" w:bidi="ar-SA"/>
    </w:rPr>
  </w:style>
  <w:style w:type="character" w:styleId="WW8Num1z0">
    <w:name w:val="WW8Num1z0"/>
    <w:qFormat/>
    <w:rPr>
      <w:rFonts w:cs="Times New Roman"/>
    </w:rPr>
  </w:style>
  <w:style w:type="character" w:styleId="WW8Num1z1">
    <w:name w:val="WW8Num1z1"/>
    <w:qFormat/>
    <w:rPr>
      <w:rFonts w:cs="Times New Roman"/>
    </w:rPr>
  </w:style>
  <w:style w:type="character" w:styleId="WW8Num2z0">
    <w:name w:val="WW8Num2z0"/>
    <w:qFormat/>
    <w:rPr>
      <w:rFonts w:cs="Times New Roman"/>
    </w:rPr>
  </w:style>
  <w:style w:type="character" w:styleId="WW8Num2z1">
    <w:name w:val="WW8Num2z1"/>
    <w:qFormat/>
    <w:rPr>
      <w:rFonts w:cs="Times New Roman"/>
    </w:rPr>
  </w:style>
  <w:style w:type="character" w:styleId="WW8Num3z0">
    <w:name w:val="WW8Num3z0"/>
    <w:qFormat/>
    <w:rPr>
      <w:rFonts w:cs="Times New Roman"/>
      <w:sz w:val="36"/>
    </w:rPr>
  </w:style>
  <w:style w:type="character" w:styleId="WW8Num3z1">
    <w:name w:val="WW8Num3z1"/>
    <w:qFormat/>
    <w:rPr>
      <w:rFonts w:cs="Times New Roman"/>
    </w:rPr>
  </w:style>
  <w:style w:type="character" w:styleId="WW8Num4z0">
    <w:name w:val="WW8Num4z0"/>
    <w:qFormat/>
    <w:rPr>
      <w:rFonts w:ascii="標楷體" w:hAnsi="標楷體" w:eastAsia="標楷體" w:cs="Times New Roman"/>
      <w:color w:val="000000"/>
    </w:rPr>
  </w:style>
  <w:style w:type="character" w:styleId="WW8Num4z1">
    <w:name w:val="WW8Num4z1"/>
    <w:qFormat/>
    <w:rPr>
      <w:rFonts w:cs="Times New Roman"/>
    </w:rPr>
  </w:style>
  <w:style w:type="character" w:styleId="WW8Num5z0">
    <w:name w:val="WW8Num5z0"/>
    <w:qFormat/>
    <w:rPr>
      <w:rFonts w:cs="Times New Roman"/>
    </w:rPr>
  </w:style>
  <w:style w:type="character" w:styleId="WW8Num5z1">
    <w:name w:val="WW8Num5z1"/>
    <w:qFormat/>
    <w:rPr>
      <w:rFonts w:cs="Times New Roman"/>
    </w:rPr>
  </w:style>
  <w:style w:type="character" w:styleId="WW8Num6z0">
    <w:name w:val="WW8Num6z0"/>
    <w:qFormat/>
    <w:rPr>
      <w:rFonts w:cs="Times New Roman"/>
    </w:rPr>
  </w:style>
  <w:style w:type="character" w:styleId="WW8Num6z1">
    <w:name w:val="WW8Num6z1"/>
    <w:qFormat/>
    <w:rPr>
      <w:rFonts w:cs="Times New Roman"/>
    </w:rPr>
  </w:style>
  <w:style w:type="character" w:styleId="WW8Num7z0">
    <w:name w:val="WW8Num7z0"/>
    <w:qFormat/>
    <w:rPr>
      <w:rFonts w:cs="Times New Roman"/>
    </w:rPr>
  </w:style>
  <w:style w:type="character" w:styleId="WW8Num7z1">
    <w:name w:val="WW8Num7z1"/>
    <w:qFormat/>
    <w:rPr>
      <w:rFonts w:cs="Times New Roman"/>
    </w:rPr>
  </w:style>
  <w:style w:type="character" w:styleId="WW8Num8z0">
    <w:name w:val="WW8Num8z0"/>
    <w:qFormat/>
    <w:rPr>
      <w:rFonts w:cs="Times New Roman"/>
    </w:rPr>
  </w:style>
  <w:style w:type="character" w:styleId="WW8Num8z1">
    <w:name w:val="WW8Num8z1"/>
    <w:qFormat/>
    <w:rPr>
      <w:rFonts w:cs="Times New Roman"/>
    </w:rPr>
  </w:style>
  <w:style w:type="character" w:styleId="WW8Num9z0">
    <w:name w:val="WW8Num9z0"/>
    <w:qFormat/>
    <w:rPr>
      <w:rFonts w:cs="Times New Roman"/>
    </w:rPr>
  </w:style>
  <w:style w:type="character" w:styleId="WW8Num9z1">
    <w:name w:val="WW8Num9z1"/>
    <w:qFormat/>
    <w:rPr>
      <w:rFonts w:cs="Times New Roman"/>
    </w:rPr>
  </w:style>
  <w:style w:type="character" w:styleId="WW8Num10z0">
    <w:name w:val="WW8Num10z0"/>
    <w:qFormat/>
    <w:rPr>
      <w:rFonts w:cs="Times New Roman"/>
    </w:rPr>
  </w:style>
  <w:style w:type="character" w:styleId="WW8Num10z1">
    <w:name w:val="WW8Num10z1"/>
    <w:qFormat/>
    <w:rPr>
      <w:rFonts w:cs="Times New Roman"/>
    </w:rPr>
  </w:style>
  <w:style w:type="character" w:styleId="WW8Num11z0">
    <w:name w:val="WW8Num11z0"/>
    <w:qFormat/>
    <w:rPr>
      <w:rFonts w:ascii="標楷體" w:hAnsi="標楷體" w:cs="Times New Roman"/>
      <w:color w:val="000000"/>
      <w:szCs w:val="36"/>
    </w:rPr>
  </w:style>
  <w:style w:type="character" w:styleId="WW8Num11z1">
    <w:name w:val="WW8Num11z1"/>
    <w:qFormat/>
    <w:rPr>
      <w:rFonts w:cs="Times New Roman"/>
    </w:rPr>
  </w:style>
  <w:style w:type="character" w:styleId="WW8Num12z0">
    <w:name w:val="WW8Num12z0"/>
    <w:qFormat/>
    <w:rPr>
      <w:rFonts w:cs="Times New Roman"/>
    </w:rPr>
  </w:style>
  <w:style w:type="character" w:styleId="WW8Num12z1">
    <w:name w:val="WW8Num12z1"/>
    <w:qFormat/>
    <w:rPr>
      <w:rFonts w:cs="Times New Roman"/>
    </w:rPr>
  </w:style>
  <w:style w:type="character" w:styleId="WW8Num13z0">
    <w:name w:val="WW8Num13z0"/>
    <w:qFormat/>
    <w:rPr>
      <w:rFonts w:cs="Times New Roman"/>
    </w:rPr>
  </w:style>
  <w:style w:type="character" w:styleId="WW8Num13z1">
    <w:name w:val="WW8Num13z1"/>
    <w:qFormat/>
    <w:rPr>
      <w:rFonts w:cs="Times New Roman"/>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rFonts w:cs="Times New Roman"/>
    </w:rPr>
  </w:style>
  <w:style w:type="character" w:styleId="WW8Num15z1">
    <w:name w:val="WW8Num15z1"/>
    <w:qFormat/>
    <w:rPr>
      <w:rFonts w:cs="Times New Roman"/>
    </w:rPr>
  </w:style>
  <w:style w:type="character" w:styleId="WW8Num16z0">
    <w:name w:val="WW8Num16z0"/>
    <w:qFormat/>
    <w:rPr>
      <w:rFonts w:cs="Times New Roman"/>
    </w:rPr>
  </w:style>
  <w:style w:type="character" w:styleId="WW8Num16z1">
    <w:name w:val="WW8Num16z1"/>
    <w:qFormat/>
    <w:rPr>
      <w:rFonts w:cs="Times New Roman"/>
    </w:rPr>
  </w:style>
  <w:style w:type="character" w:styleId="WW8Num17z0">
    <w:name w:val="WW8Num17z0"/>
    <w:qFormat/>
    <w:rPr>
      <w:rFonts w:ascii="s?;Times New Roman" w:hAnsi="s?;Times New Roman" w:cs="Times New Roman"/>
    </w:rPr>
  </w:style>
  <w:style w:type="character" w:styleId="WW8Num17z1">
    <w:name w:val="WW8Num17z1"/>
    <w:qFormat/>
    <w:rPr>
      <w:rFonts w:cs="Times New Roman"/>
    </w:rPr>
  </w:style>
  <w:style w:type="character" w:styleId="WW8Num18z0">
    <w:name w:val="WW8Num18z0"/>
    <w:qFormat/>
    <w:rPr>
      <w:rFonts w:cs="Times New Roman"/>
      <w:color w:val="000000"/>
    </w:rPr>
  </w:style>
  <w:style w:type="character" w:styleId="WW8Num18z1">
    <w:name w:val="WW8Num18z1"/>
    <w:qFormat/>
    <w:rPr>
      <w:rFonts w:cs="Times New Roman"/>
    </w:rPr>
  </w:style>
  <w:style w:type="character" w:styleId="WW8Num19z0">
    <w:name w:val="WW8Num19z0"/>
    <w:qFormat/>
    <w:rPr>
      <w:rFonts w:cs="Times New Roman"/>
    </w:rPr>
  </w:style>
  <w:style w:type="character" w:styleId="WW8Num19z1">
    <w:name w:val="WW8Num19z1"/>
    <w:qFormat/>
    <w:rPr>
      <w:rFonts w:cs="Times New Roman"/>
    </w:rPr>
  </w:style>
  <w:style w:type="character" w:styleId="WW8Num20z0">
    <w:name w:val="WW8Num20z0"/>
    <w:qFormat/>
    <w:rPr>
      <w:rFonts w:cs="Times New Roman"/>
    </w:rPr>
  </w:style>
  <w:style w:type="character" w:styleId="WW8Num20z1">
    <w:name w:val="WW8Num20z1"/>
    <w:qFormat/>
    <w:rPr>
      <w:rFonts w:cs="Times New Roman"/>
    </w:rPr>
  </w:style>
  <w:style w:type="character" w:styleId="WW8Num21z0">
    <w:name w:val="WW8Num21z0"/>
    <w:qFormat/>
    <w:rPr>
      <w:rFonts w:cs="Times New Roman"/>
    </w:rPr>
  </w:style>
  <w:style w:type="character" w:styleId="WW8Num21z1">
    <w:name w:val="WW8Num21z1"/>
    <w:qFormat/>
    <w:rPr>
      <w:rFonts w:cs="Times New Roman"/>
    </w:rPr>
  </w:style>
  <w:style w:type="character" w:styleId="WW8Num22z0">
    <w:name w:val="WW8Num22z0"/>
    <w:qFormat/>
    <w:rPr>
      <w:rFonts w:cs="Times New Roman"/>
    </w:rPr>
  </w:style>
  <w:style w:type="character" w:styleId="WW8Num22z1">
    <w:name w:val="WW8Num22z1"/>
    <w:qFormat/>
    <w:rPr>
      <w:rFonts w:cs="Times New Roman"/>
    </w:rPr>
  </w:style>
  <w:style w:type="character" w:styleId="WW8Num23z0">
    <w:name w:val="WW8Num23z0"/>
    <w:qFormat/>
    <w:rPr>
      <w:rFonts w:cs="Times New Roman"/>
    </w:rPr>
  </w:style>
  <w:style w:type="character" w:styleId="WW8Num23z1">
    <w:name w:val="WW8Num23z1"/>
    <w:qFormat/>
    <w:rPr>
      <w:rFonts w:cs="Times New Roman"/>
    </w:rPr>
  </w:style>
  <w:style w:type="character" w:styleId="WW8Num24z0">
    <w:name w:val="WW8Num24z0"/>
    <w:qFormat/>
    <w:rPr>
      <w:rFonts w:cs="Times New Roman"/>
    </w:rPr>
  </w:style>
  <w:style w:type="character" w:styleId="WW8Num24z1">
    <w:name w:val="WW8Num24z1"/>
    <w:qFormat/>
    <w:rPr>
      <w:rFonts w:cs="Times New Roman"/>
    </w:rPr>
  </w:style>
  <w:style w:type="character" w:styleId="WW8Num25z0">
    <w:name w:val="WW8Num25z0"/>
    <w:qFormat/>
    <w:rPr>
      <w:rFonts w:cs="Times New Roman"/>
    </w:rPr>
  </w:style>
  <w:style w:type="character" w:styleId="WW8Num25z1">
    <w:name w:val="WW8Num25z1"/>
    <w:qFormat/>
    <w:rPr>
      <w:rFonts w:cs="Times New Roman"/>
    </w:rPr>
  </w:style>
  <w:style w:type="character" w:styleId="WW8Num26z0">
    <w:name w:val="WW8Num26z0"/>
    <w:qFormat/>
    <w:rPr>
      <w:rFonts w:cs="Times New Roman"/>
    </w:rPr>
  </w:style>
  <w:style w:type="character" w:styleId="WW8Num26z1">
    <w:name w:val="WW8Num26z1"/>
    <w:qFormat/>
    <w:rPr>
      <w:rFonts w:cs="Times New Roman"/>
    </w:rPr>
  </w:style>
  <w:style w:type="character" w:styleId="WW8Num27z0">
    <w:name w:val="WW8Num27z0"/>
    <w:qFormat/>
    <w:rPr>
      <w:rFonts w:cs="Times New Roman"/>
    </w:rPr>
  </w:style>
  <w:style w:type="character" w:styleId="WW8Num27z1">
    <w:name w:val="WW8Num27z1"/>
    <w:qFormat/>
    <w:rPr>
      <w:rFonts w:cs="Times New Roman"/>
    </w:rPr>
  </w:style>
  <w:style w:type="character" w:styleId="WW8Num28z0">
    <w:name w:val="WW8Num28z0"/>
    <w:qFormat/>
    <w:rPr>
      <w:rFonts w:ascii="標楷體" w:hAnsi="標楷體" w:eastAsia="標楷體" w:cs="Times New Roman"/>
    </w:rPr>
  </w:style>
  <w:style w:type="character" w:styleId="WW8Num28z1">
    <w:name w:val="WW8Num28z1"/>
    <w:qFormat/>
    <w:rPr>
      <w:rFonts w:cs="Times New Roman"/>
    </w:rPr>
  </w:style>
  <w:style w:type="character" w:styleId="WW8Num29z0">
    <w:name w:val="WW8Num29z0"/>
    <w:qFormat/>
    <w:rPr>
      <w:rFonts w:cs="Times New Roman"/>
    </w:rPr>
  </w:style>
  <w:style w:type="character" w:styleId="WW8Num29z1">
    <w:name w:val="WW8Num29z1"/>
    <w:qFormat/>
    <w:rPr>
      <w:rFonts w:cs="Times New Roman"/>
    </w:rPr>
  </w:style>
  <w:style w:type="character" w:styleId="WW8Num30z0">
    <w:name w:val="WW8Num30z0"/>
    <w:qFormat/>
    <w:rPr>
      <w:rFonts w:cs="Times New Roman"/>
    </w:rPr>
  </w:style>
  <w:style w:type="character" w:styleId="WW8Num30z1">
    <w:name w:val="WW8Num30z1"/>
    <w:qFormat/>
    <w:rPr>
      <w:rFonts w:cs="Times New Roman"/>
    </w:rPr>
  </w:style>
  <w:style w:type="character" w:styleId="WW8Num31z0">
    <w:name w:val="WW8Num31z0"/>
    <w:qFormat/>
    <w:rPr>
      <w:rFonts w:cs="Times New Roman"/>
    </w:rPr>
  </w:style>
  <w:style w:type="character" w:styleId="WW8Num31z1">
    <w:name w:val="WW8Num31z1"/>
    <w:qFormat/>
    <w:rPr>
      <w:rFonts w:cs="Times New Roman"/>
    </w:rPr>
  </w:style>
  <w:style w:type="character" w:styleId="WW8Num32z0">
    <w:name w:val="WW8Num32z0"/>
    <w:qFormat/>
    <w:rPr>
      <w:rFonts w:cs="Times New Roman"/>
    </w:rPr>
  </w:style>
  <w:style w:type="character" w:styleId="WW8Num32z1">
    <w:name w:val="WW8Num32z1"/>
    <w:qFormat/>
    <w:rPr>
      <w:rFonts w:cs="Times New Roman"/>
    </w:rPr>
  </w:style>
  <w:style w:type="character" w:styleId="WW8Num33z0">
    <w:name w:val="WW8Num33z0"/>
    <w:qFormat/>
    <w:rPr>
      <w:rFonts w:ascii="Times New Roman" w:hAnsi="Times New Roman" w:cs="Times New Roman"/>
    </w:rPr>
  </w:style>
  <w:style w:type="character" w:styleId="WW8Num33z1">
    <w:name w:val="WW8Num33z1"/>
    <w:qFormat/>
    <w:rPr>
      <w:rFonts w:cs="Times New Roman"/>
    </w:rPr>
  </w:style>
  <w:style w:type="character" w:styleId="WW8Num34z0">
    <w:name w:val="WW8Num34z0"/>
    <w:qFormat/>
    <w:rPr>
      <w:rFonts w:cs="Times New Roman"/>
    </w:rPr>
  </w:style>
  <w:style w:type="character" w:styleId="WW8Num34z1">
    <w:name w:val="WW8Num34z1"/>
    <w:qFormat/>
    <w:rPr>
      <w:rFonts w:cs="Times New Roman"/>
    </w:rPr>
  </w:style>
  <w:style w:type="character" w:styleId="WW8Num35z0">
    <w:name w:val="WW8Num35z0"/>
    <w:qFormat/>
    <w:rPr>
      <w:rFonts w:cs="Times New Roman"/>
    </w:rPr>
  </w:style>
  <w:style w:type="character" w:styleId="WW8Num35z1">
    <w:name w:val="WW8Num35z1"/>
    <w:qFormat/>
    <w:rPr>
      <w:rFonts w:cs="Times New Roman"/>
    </w:rPr>
  </w:style>
  <w:style w:type="character" w:styleId="WW8Num36z0">
    <w:name w:val="WW8Num36z0"/>
    <w:qFormat/>
    <w:rPr>
      <w:rFonts w:ascii="標楷體" w:hAnsi="標楷體" w:cs="Times New Roman"/>
      <w:color w:val="000000"/>
      <w:szCs w:val="36"/>
    </w:rPr>
  </w:style>
  <w:style w:type="character" w:styleId="WW8Num36z1">
    <w:name w:val="WW8Num36z1"/>
    <w:qFormat/>
    <w:rPr>
      <w:rFonts w:cs="Times New Roman"/>
    </w:rPr>
  </w:style>
  <w:style w:type="character" w:styleId="DefaultParagraphFont">
    <w:name w:val="Default Paragraph Font"/>
    <w:qFormat/>
    <w:rPr/>
  </w:style>
  <w:style w:type="character" w:styleId="PlainTextChar">
    <w:name w:val="Plain Text Char"/>
    <w:basedOn w:val="DefaultParagraphFont"/>
    <w:qFormat/>
    <w:rPr>
      <w:rFonts w:ascii="細明體;MingLiU" w:hAnsi="細明體;MingLiU" w:eastAsia="細明體;MingLiU" w:cs="Courier New"/>
      <w:kern w:val="2"/>
      <w:sz w:val="24"/>
      <w:szCs w:val="24"/>
    </w:rPr>
  </w:style>
  <w:style w:type="character" w:styleId="BodyTextChar">
    <w:name w:val="Body Text Char"/>
    <w:basedOn w:val="DefaultParagraphFont"/>
    <w:qFormat/>
    <w:rPr>
      <w:rFonts w:eastAsia="標楷體"/>
      <w:kern w:val="2"/>
      <w:sz w:val="36"/>
      <w:szCs w:val="24"/>
    </w:rPr>
  </w:style>
  <w:style w:type="character" w:styleId="FooterChar">
    <w:name w:val="Footer Char"/>
    <w:basedOn w:val="DefaultParagraphFont"/>
    <w:qFormat/>
    <w:rPr>
      <w:rFonts w:eastAsia="標楷體"/>
      <w:kern w:val="2"/>
    </w:rPr>
  </w:style>
  <w:style w:type="character" w:styleId="Style14">
    <w:name w:val="頁碼"/>
    <w:basedOn w:val="DefaultParagraphFont"/>
    <w:rPr>
      <w:rFonts w:cs="Times New Roman"/>
    </w:rPr>
  </w:style>
  <w:style w:type="character" w:styleId="BodyTextIndentChar">
    <w:name w:val="Body Text Indent Char"/>
    <w:basedOn w:val="DefaultParagraphFont"/>
    <w:qFormat/>
    <w:rPr>
      <w:rFonts w:eastAsia="標楷體"/>
      <w:kern w:val="2"/>
      <w:sz w:val="36"/>
      <w:szCs w:val="24"/>
    </w:rPr>
  </w:style>
  <w:style w:type="character" w:styleId="HTMLPreformattedChar">
    <w:name w:val="HTML Preformatted Char"/>
    <w:basedOn w:val="DefaultParagraphFont"/>
    <w:qFormat/>
    <w:rPr>
      <w:rFonts w:ascii="Courier New" w:hAnsi="Courier New" w:eastAsia="標楷體" w:cs="Courier New"/>
      <w:kern w:val="2"/>
    </w:rPr>
  </w:style>
  <w:style w:type="character" w:styleId="BodyText2Char">
    <w:name w:val="Body Text 2 Char"/>
    <w:basedOn w:val="DefaultParagraphFont"/>
    <w:qFormat/>
    <w:rPr>
      <w:rFonts w:eastAsia="標楷體"/>
      <w:kern w:val="2"/>
      <w:sz w:val="36"/>
      <w:szCs w:val="24"/>
    </w:rPr>
  </w:style>
  <w:style w:type="character" w:styleId="SalutationChar">
    <w:name w:val="Salutation Char"/>
    <w:basedOn w:val="DefaultParagraphFont"/>
    <w:qFormat/>
    <w:rPr>
      <w:rFonts w:eastAsia="標楷體"/>
      <w:kern w:val="2"/>
      <w:sz w:val="36"/>
      <w:szCs w:val="24"/>
    </w:rPr>
  </w:style>
  <w:style w:type="character" w:styleId="ClosingChar">
    <w:name w:val="Closing Char"/>
    <w:basedOn w:val="DefaultParagraphFont"/>
    <w:qFormat/>
    <w:rPr>
      <w:rFonts w:eastAsia="標楷體"/>
      <w:kern w:val="2"/>
      <w:sz w:val="36"/>
      <w:szCs w:val="24"/>
    </w:rPr>
  </w:style>
  <w:style w:type="character" w:styleId="BodyTextIndent2Char">
    <w:name w:val="Body Text Indent 2 Char"/>
    <w:basedOn w:val="DefaultParagraphFont"/>
    <w:qFormat/>
    <w:rPr>
      <w:rFonts w:eastAsia="標楷體"/>
      <w:kern w:val="2"/>
      <w:sz w:val="36"/>
      <w:szCs w:val="24"/>
    </w:rPr>
  </w:style>
  <w:style w:type="character" w:styleId="BodyTextIndent3Char">
    <w:name w:val="Body Text Indent 3 Char"/>
    <w:basedOn w:val="DefaultParagraphFont"/>
    <w:qFormat/>
    <w:rPr>
      <w:rFonts w:eastAsia="標楷體"/>
      <w:kern w:val="2"/>
      <w:sz w:val="16"/>
      <w:szCs w:val="16"/>
    </w:rPr>
  </w:style>
  <w:style w:type="character" w:styleId="HeaderChar">
    <w:name w:val="Header Char"/>
    <w:basedOn w:val="DefaultParagraphFont"/>
    <w:qFormat/>
    <w:rPr>
      <w:rFonts w:eastAsia="標楷體"/>
      <w:kern w:val="2"/>
    </w:rPr>
  </w:style>
  <w:style w:type="character" w:styleId="Stext1">
    <w:name w:val="stext1"/>
    <w:basedOn w:val="DefaultParagraphFont"/>
    <w:qFormat/>
    <w:rPr>
      <w:rFonts w:cs="Times New Roman"/>
      <w:spacing w:val="288"/>
      <w:sz w:val="19"/>
      <w:szCs w:val="19"/>
    </w:rPr>
  </w:style>
  <w:style w:type="character" w:styleId="Stext">
    <w:name w:val="stext"/>
    <w:basedOn w:val="DefaultParagraphFont"/>
    <w:qFormat/>
    <w:rPr>
      <w:rFonts w:cs="Times New Roman"/>
    </w:rPr>
  </w:style>
  <w:style w:type="character" w:styleId="BodyText3Char">
    <w:name w:val="Body Text 3 Char"/>
    <w:basedOn w:val="DefaultParagraphFont"/>
    <w:qFormat/>
    <w:rPr>
      <w:rFonts w:eastAsia="標楷體"/>
      <w:kern w:val="2"/>
      <w:sz w:val="16"/>
      <w:szCs w:val="16"/>
    </w:rPr>
  </w:style>
  <w:style w:type="character" w:styleId="Style15">
    <w:name w:val="網際網路連結"/>
    <w:basedOn w:val="DefaultParagraphFont"/>
    <w:rPr>
      <w:rFonts w:cs="Times New Roman"/>
      <w:color w:val="0000FF"/>
      <w:u w:val="single"/>
    </w:rPr>
  </w:style>
  <w:style w:type="paragraph" w:styleId="Style16">
    <w:name w:val="標題"/>
    <w:basedOn w:val="Normal"/>
    <w:next w:val="Style17"/>
    <w:qFormat/>
    <w:pPr>
      <w:keepNext w:val="true"/>
      <w:spacing w:before="240" w:after="120"/>
    </w:pPr>
    <w:rPr>
      <w:rFonts w:ascii="Liberation Sans" w:hAnsi="Liberation Sans" w:eastAsia="微軟正黑體" w:cs="Lucida Sans"/>
      <w:sz w:val="28"/>
      <w:szCs w:val="28"/>
    </w:rPr>
  </w:style>
  <w:style w:type="paragraph" w:styleId="Style17">
    <w:name w:val="Body Text"/>
    <w:basedOn w:val="Normal"/>
    <w:pPr>
      <w:kinsoku w:val="false"/>
      <w:overflowPunct w:val="false"/>
      <w:autoSpaceDE w:val="false"/>
      <w:spacing w:lineRule="exact" w:line="400"/>
      <w:jc w:val="both"/>
    </w:pPr>
    <w:rPr>
      <w:sz w:val="32"/>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rPr>
  </w:style>
  <w:style w:type="paragraph" w:styleId="PlainText">
    <w:name w:val="Plain Text"/>
    <w:basedOn w:val="Normal"/>
    <w:qFormat/>
    <w:pPr/>
    <w:rPr>
      <w:rFonts w:ascii="細明體;MingLiU" w:hAnsi="細明體;MingLiU" w:eastAsia="細明體;MingLiU" w:cs="Courier New"/>
    </w:rPr>
  </w:style>
  <w:style w:type="paragraph" w:styleId="Style21">
    <w:name w:val="頁首與頁尾"/>
    <w:basedOn w:val="Normal"/>
    <w:qFormat/>
    <w:pPr>
      <w:suppressLineNumbers/>
      <w:tabs>
        <w:tab w:val="clear" w:pos="480"/>
        <w:tab w:val="center" w:pos="4819" w:leader="none"/>
        <w:tab w:val="right" w:pos="9638" w:leader="none"/>
      </w:tabs>
    </w:pPr>
    <w:rPr/>
  </w:style>
  <w:style w:type="paragraph" w:styleId="Style22">
    <w:name w:val="Footer"/>
    <w:basedOn w:val="Normal"/>
    <w:pPr>
      <w:tabs>
        <w:tab w:val="clear" w:pos="480"/>
        <w:tab w:val="center" w:pos="4153" w:leader="none"/>
        <w:tab w:val="right" w:pos="8306" w:leader="none"/>
      </w:tabs>
      <w:snapToGrid w:val="false"/>
    </w:pPr>
    <w:rPr>
      <w:sz w:val="20"/>
      <w:szCs w:val="20"/>
    </w:rPr>
  </w:style>
  <w:style w:type="paragraph" w:styleId="Style23">
    <w:name w:val="Body Text Indent"/>
    <w:basedOn w:val="Normal"/>
    <w:pPr>
      <w:kinsoku w:val="false"/>
      <w:overflowPunct w:val="false"/>
      <w:autoSpaceDE w:val="false"/>
      <w:spacing w:lineRule="exact" w:line="520"/>
      <w:ind w:left="716" w:hanging="0"/>
      <w:jc w:val="both"/>
    </w:pPr>
    <w:rPr/>
  </w:style>
  <w:style w:type="paragraph" w:styleId="HTMLPreformatted">
    <w:name w:val="HTML Preformatted"/>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kern w:val="0"/>
      <w:sz w:val="20"/>
      <w:szCs w:val="20"/>
    </w:rPr>
  </w:style>
  <w:style w:type="paragraph" w:styleId="BodyText2">
    <w:name w:val="Body Text 2"/>
    <w:basedOn w:val="Normal"/>
    <w:qFormat/>
    <w:pPr>
      <w:kinsoku w:val="false"/>
      <w:overflowPunct w:val="false"/>
      <w:autoSpaceDE w:val="false"/>
      <w:spacing w:lineRule="exact" w:line="560"/>
      <w:jc w:val="both"/>
    </w:pPr>
    <w:rPr>
      <w:rFonts w:ascii="標楷體" w:hAnsi="標楷體" w:cs="標楷體"/>
    </w:rPr>
  </w:style>
  <w:style w:type="paragraph" w:styleId="Salutation">
    <w:name w:val="Salutation"/>
    <w:basedOn w:val="Normal"/>
    <w:next w:val="Normal"/>
    <w:qFormat/>
    <w:pPr/>
    <w:rPr>
      <w:rFonts w:ascii="標楷體" w:hAnsi="標楷體" w:cs="標楷體"/>
    </w:rPr>
  </w:style>
  <w:style w:type="paragraph" w:styleId="Closing">
    <w:name w:val="Closing"/>
    <w:basedOn w:val="Normal"/>
    <w:qFormat/>
    <w:pPr>
      <w:ind w:left="100" w:hanging="0"/>
    </w:pPr>
    <w:rPr>
      <w:rFonts w:ascii="標楷體" w:hAnsi="標楷體" w:cs="標楷體"/>
    </w:rPr>
  </w:style>
  <w:style w:type="paragraph" w:styleId="BodyTextIndent2">
    <w:name w:val="Body Text Indent 2"/>
    <w:basedOn w:val="Normal"/>
    <w:qFormat/>
    <w:pPr>
      <w:kinsoku w:val="false"/>
      <w:overflowPunct w:val="false"/>
      <w:autoSpaceDE w:val="false"/>
      <w:spacing w:lineRule="exact" w:line="560"/>
      <w:ind w:firstLine="714"/>
      <w:jc w:val="both"/>
    </w:pPr>
    <w:rPr>
      <w:rFonts w:ascii="標楷體" w:hAnsi="標楷體" w:cs="標楷體"/>
    </w:rPr>
  </w:style>
  <w:style w:type="paragraph" w:styleId="BodyTextIndent3">
    <w:name w:val="Body Text Indent 3"/>
    <w:basedOn w:val="Normal"/>
    <w:qFormat/>
    <w:pPr>
      <w:kinsoku w:val="false"/>
      <w:overflowPunct w:val="false"/>
      <w:autoSpaceDE w:val="false"/>
      <w:spacing w:lineRule="exact" w:line="560"/>
      <w:ind w:left="1071" w:hanging="1071"/>
      <w:jc w:val="both"/>
    </w:pPr>
    <w:rPr>
      <w:rFonts w:ascii="標楷體" w:hAnsi="標楷體" w:cs="標楷體"/>
    </w:rPr>
  </w:style>
  <w:style w:type="paragraph" w:styleId="Style24">
    <w:name w:val="Header"/>
    <w:basedOn w:val="Normal"/>
    <w:pPr>
      <w:tabs>
        <w:tab w:val="clear" w:pos="480"/>
        <w:tab w:val="center" w:pos="4153" w:leader="none"/>
        <w:tab w:val="right" w:pos="8306" w:leader="none"/>
      </w:tabs>
      <w:snapToGrid w:val="false"/>
    </w:pPr>
    <w:rPr>
      <w:sz w:val="20"/>
      <w:szCs w:val="20"/>
    </w:rPr>
  </w:style>
  <w:style w:type="paragraph" w:styleId="BodyText3">
    <w:name w:val="Body Text 3"/>
    <w:basedOn w:val="Normal"/>
    <w:qFormat/>
    <w:pPr>
      <w:overflowPunct w:val="false"/>
      <w:autoSpaceDE w:val="false"/>
      <w:spacing w:lineRule="exact" w:line="720"/>
      <w:jc w:val="center"/>
    </w:pPr>
    <w:rPr>
      <w:rFonts w:ascii="標楷體" w:hAnsi="標楷體" w:cs="標楷體"/>
      <w:b/>
      <w:bCs/>
      <w:sz w:val="48"/>
    </w:rPr>
  </w:style>
  <w:style w:type="paragraph" w:styleId="Style25">
    <w:name w:val="外框內容"/>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Normal_Wordconv.dotm_x0000__x0000__x0000_</Template>
  <TotalTime>1</TotalTime>
  <Application>LibreOffice/6.3.2.2$Windows_X86_64 LibreOffice_project/98b30e735bda24bc04ab42594c85f7fd8be07b9c</Application>
  <Pages>7</Pages>
  <Words>4668</Words>
  <Characters>4966</Characters>
  <CharactersWithSpaces>4968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2013-07-17T15:11:00Z</dcterms:created>
  <dc:creator>0001</dc:creator>
  <dc:description/>
  <cp:keywords/>
  <dc:language>zh-TW</dc:language>
  <cp:lastModifiedBy>Valued Acer Customer</cp:lastModifiedBy>
  <cp:lastPrinted>2013-01-17T15:40:00Z</cp:lastPrinted>
  <dcterms:modified xsi:type="dcterms:W3CDTF">2013-07-17T15:12:00Z</dcterms:modified>
  <cp:revision>3</cp:revision>
  <dc:subject/>
  <dc:title>各機關辦理申訴、復審案件業務參考資料</dc:title>
</cp:coreProperties>
</file>