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4" w:rsidRDefault="00FB7782">
      <w:pPr>
        <w:pStyle w:val="1"/>
        <w:spacing w:before="41" w:line="374" w:lineRule="auto"/>
        <w:ind w:left="227" w:right="3511"/>
        <w:jc w:val="both"/>
      </w:pPr>
      <w:r>
        <w:rPr>
          <w:spacing w:val="17"/>
          <w:w w:val="95"/>
        </w:rPr>
        <w:t>本會</w:t>
      </w:r>
      <w:r>
        <w:rPr>
          <w:spacing w:val="17"/>
          <w:w w:val="95"/>
        </w:rPr>
        <w:t xml:space="preserve"> </w:t>
      </w:r>
      <w:r>
        <w:rPr>
          <w:rFonts w:ascii="Times New Roman" w:eastAsia="Times New Roman"/>
          <w:w w:val="95"/>
        </w:rPr>
        <w:t>108</w:t>
      </w:r>
      <w:r>
        <w:rPr>
          <w:rFonts w:ascii="Times New Roman" w:eastAsia="Times New Roman"/>
          <w:spacing w:val="46"/>
          <w:w w:val="95"/>
        </w:rPr>
        <w:t xml:space="preserve"> </w:t>
      </w:r>
      <w:r>
        <w:rPr>
          <w:w w:val="95"/>
        </w:rPr>
        <w:t>年審理保障事件撤銷決定情形分析</w:t>
      </w:r>
      <w:r>
        <w:t>壹、前言</w:t>
      </w:r>
    </w:p>
    <w:p w:rsidR="009D7784" w:rsidRDefault="00FB7782">
      <w:pPr>
        <w:pStyle w:val="a3"/>
        <w:spacing w:line="278" w:lineRule="auto"/>
        <w:ind w:left="227" w:right="183" w:firstLine="641"/>
        <w:jc w:val="both"/>
      </w:pPr>
      <w:r>
        <w:rPr>
          <w:w w:val="95"/>
        </w:rPr>
        <w:t>依公務人員保障法（以下簡稱保障法）規定，公務人員對於服</w:t>
      </w:r>
      <w:r>
        <w:rPr>
          <w:w w:val="95"/>
        </w:rPr>
        <w:t>務機關或人事主管機關所為之行政處分，認為違法或顯然不當，致</w:t>
      </w:r>
      <w:r>
        <w:rPr>
          <w:w w:val="95"/>
        </w:rPr>
        <w:t>損害其權利或利益者，得提起復審；對於服務機關所為之管理措施</w:t>
      </w:r>
      <w:r>
        <w:rPr>
          <w:w w:val="95"/>
        </w:rPr>
        <w:t>或有關工作條件之處置認為不當，致影響其權益者，得提起申訴、</w:t>
      </w:r>
      <w:r>
        <w:rPr>
          <w:w w:val="95"/>
        </w:rPr>
        <w:t>再申訴。其中復審及再申訴事件（以下稱保障事件）係由本會受理</w:t>
      </w:r>
      <w:r>
        <w:rPr>
          <w:w w:val="95"/>
        </w:rPr>
        <w:t>審議。又所提起之復審或再申訴有理由者，本會應於復審人或再申</w:t>
      </w:r>
      <w:r>
        <w:rPr>
          <w:w w:val="95"/>
        </w:rPr>
        <w:t>訴人表示不服之範圍內，以決定撤銷原行政處分或管理措施之全部</w:t>
      </w:r>
      <w:r>
        <w:rPr>
          <w:w w:val="95"/>
        </w:rPr>
        <w:t>或一部，並得視事件之情節，發回原處分機關另為適法之處分，或</w:t>
      </w:r>
      <w:r>
        <w:rPr>
          <w:spacing w:val="8"/>
          <w:w w:val="95"/>
        </w:rPr>
        <w:t>由服務機關另為適法之處理。茲就</w:t>
      </w:r>
      <w:r>
        <w:rPr>
          <w:rFonts w:ascii="Times New Roman" w:eastAsia="Times New Roman"/>
          <w:w w:val="95"/>
        </w:rPr>
        <w:t>108</w:t>
      </w:r>
      <w:r>
        <w:rPr>
          <w:spacing w:val="9"/>
          <w:w w:val="95"/>
        </w:rPr>
        <w:t>年年改退撫給與事件以外，</w:t>
      </w:r>
      <w:r>
        <w:t>經本會審理決定撤銷之保障事件，歸納分析其撤銷原因。</w:t>
      </w:r>
    </w:p>
    <w:p w:rsidR="009D7784" w:rsidRDefault="00FB7782">
      <w:pPr>
        <w:pStyle w:val="1"/>
        <w:spacing w:before="189" w:line="376" w:lineRule="auto"/>
        <w:ind w:right="5511" w:hanging="361"/>
        <w:jc w:val="both"/>
      </w:pPr>
      <w:r>
        <w:t>貳、</w:t>
      </w:r>
      <w:r>
        <w:rPr>
          <w:rFonts w:ascii="Times New Roman" w:eastAsia="Times New Roman"/>
        </w:rPr>
        <w:t>108</w:t>
      </w:r>
      <w:r>
        <w:rPr>
          <w:rFonts w:ascii="Times New Roman" w:eastAsia="Times New Roman"/>
          <w:spacing w:val="-13"/>
        </w:rPr>
        <w:t xml:space="preserve"> </w:t>
      </w:r>
      <w:r>
        <w:t>年保障事件撤銷情形一、件數及撤銷比率</w:t>
      </w:r>
    </w:p>
    <w:p w:rsidR="009D7784" w:rsidRDefault="00FB7782">
      <w:pPr>
        <w:pStyle w:val="a3"/>
        <w:spacing w:line="278" w:lineRule="auto"/>
        <w:ind w:left="708" w:right="169" w:firstLine="640"/>
        <w:jc w:val="both"/>
      </w:pPr>
      <w:r>
        <w:rPr>
          <w:rFonts w:ascii="Times New Roman" w:eastAsia="Times New Roman"/>
          <w:w w:val="95"/>
        </w:rPr>
        <w:t>108</w:t>
      </w:r>
      <w:r>
        <w:rPr>
          <w:spacing w:val="11"/>
          <w:w w:val="95"/>
        </w:rPr>
        <w:t>年經本會審理決定之保障事件</w:t>
      </w:r>
      <w:r>
        <w:rPr>
          <w:rFonts w:ascii="Times New Roman" w:eastAsia="Times New Roman"/>
          <w:w w:val="95"/>
        </w:rPr>
        <w:t>933</w:t>
      </w:r>
      <w:r>
        <w:rPr>
          <w:spacing w:val="11"/>
          <w:w w:val="95"/>
        </w:rPr>
        <w:t>件，經決定撤銷者</w:t>
      </w:r>
      <w:r>
        <w:rPr>
          <w:rFonts w:ascii="Times New Roman" w:eastAsia="Times New Roman"/>
          <w:w w:val="95"/>
        </w:rPr>
        <w:t>64</w:t>
      </w:r>
      <w:r>
        <w:rPr>
          <w:spacing w:val="12"/>
        </w:rPr>
        <w:t>件（</w:t>
      </w:r>
      <w:r>
        <w:rPr>
          <w:spacing w:val="11"/>
        </w:rPr>
        <w:t>含</w:t>
      </w:r>
      <w:r>
        <w:rPr>
          <w:rFonts w:ascii="Times New Roman" w:eastAsia="Times New Roman"/>
          <w:spacing w:val="10"/>
        </w:rPr>
        <w:t>1</w:t>
      </w:r>
      <w:r>
        <w:rPr>
          <w:spacing w:val="9"/>
        </w:rPr>
        <w:t>件命應作為</w:t>
      </w:r>
      <w:r>
        <w:rPr>
          <w:spacing w:val="11"/>
        </w:rPr>
        <w:t>）</w:t>
      </w:r>
      <w:r>
        <w:rPr>
          <w:spacing w:val="7"/>
        </w:rPr>
        <w:t>，撤銷率</w:t>
      </w:r>
      <w:r>
        <w:rPr>
          <w:rFonts w:ascii="Times New Roman" w:eastAsia="Times New Roman"/>
        </w:rPr>
        <w:t>6.86%</w:t>
      </w:r>
      <w:r>
        <w:rPr>
          <w:spacing w:val="6"/>
        </w:rPr>
        <w:t>；其中復審</w:t>
      </w:r>
      <w:r>
        <w:rPr>
          <w:spacing w:val="11"/>
        </w:rPr>
        <w:t>（</w:t>
      </w:r>
      <w:r>
        <w:rPr>
          <w:spacing w:val="8"/>
        </w:rPr>
        <w:t>含再審議</w:t>
      </w:r>
      <w:r>
        <w:t>）</w:t>
      </w:r>
      <w:r>
        <w:rPr>
          <w:spacing w:val="12"/>
        </w:rPr>
        <w:t>事件</w:t>
      </w:r>
      <w:r>
        <w:rPr>
          <w:rFonts w:ascii="Times New Roman" w:eastAsia="Times New Roman"/>
        </w:rPr>
        <w:t>499</w:t>
      </w:r>
      <w:r>
        <w:rPr>
          <w:spacing w:val="12"/>
        </w:rPr>
        <w:t>件，經決定撤銷者</w:t>
      </w:r>
      <w:r>
        <w:rPr>
          <w:rFonts w:ascii="Times New Roman" w:eastAsia="Times New Roman"/>
        </w:rPr>
        <w:t>21</w:t>
      </w:r>
      <w:r>
        <w:rPr>
          <w:spacing w:val="11"/>
        </w:rPr>
        <w:t>件；再申訴（含再審議）</w:t>
      </w:r>
      <w:r>
        <w:rPr>
          <w:spacing w:val="14"/>
        </w:rPr>
        <w:t>事件</w:t>
      </w:r>
      <w:r>
        <w:rPr>
          <w:rFonts w:ascii="Times New Roman" w:eastAsia="Times New Roman"/>
        </w:rPr>
        <w:t>434</w:t>
      </w:r>
      <w:r>
        <w:rPr>
          <w:rFonts w:ascii="Times New Roman" w:eastAsia="Times New Roman"/>
          <w:spacing w:val="-78"/>
        </w:rPr>
        <w:t xml:space="preserve"> </w:t>
      </w:r>
      <w:r>
        <w:rPr>
          <w:spacing w:val="10"/>
          <w:w w:val="95"/>
        </w:rPr>
        <w:t>件，經決定撤銷者</w:t>
      </w:r>
      <w:r>
        <w:rPr>
          <w:rFonts w:ascii="Times New Roman" w:eastAsia="Times New Roman"/>
          <w:w w:val="95"/>
        </w:rPr>
        <w:t>43</w:t>
      </w:r>
      <w:r>
        <w:rPr>
          <w:spacing w:val="12"/>
          <w:w w:val="95"/>
        </w:rPr>
        <w:t>件（含</w:t>
      </w:r>
      <w:r>
        <w:rPr>
          <w:spacing w:val="10"/>
          <w:w w:val="95"/>
        </w:rPr>
        <w:t>1</w:t>
      </w:r>
      <w:r>
        <w:rPr>
          <w:spacing w:val="8"/>
          <w:w w:val="95"/>
        </w:rPr>
        <w:t>件命應作為、</w:t>
      </w:r>
      <w:r>
        <w:rPr>
          <w:spacing w:val="10"/>
          <w:w w:val="95"/>
        </w:rPr>
        <w:t>3</w:t>
      </w:r>
      <w:r>
        <w:rPr>
          <w:spacing w:val="9"/>
          <w:w w:val="95"/>
        </w:rPr>
        <w:t>件程序撤銷</w:t>
      </w:r>
      <w:r>
        <w:rPr>
          <w:spacing w:val="12"/>
          <w:w w:val="95"/>
        </w:rPr>
        <w:t>）。相</w:t>
      </w:r>
      <w:r>
        <w:t>較</w:t>
      </w:r>
      <w:r>
        <w:rPr>
          <w:rFonts w:ascii="Times New Roman" w:eastAsia="Times New Roman"/>
        </w:rPr>
        <w:t>107</w:t>
      </w:r>
      <w:r>
        <w:t>年撤銷件數</w:t>
      </w:r>
      <w:r>
        <w:rPr>
          <w:rFonts w:ascii="Times New Roman" w:eastAsia="Times New Roman"/>
        </w:rPr>
        <w:t>69</w:t>
      </w:r>
      <w:r>
        <w:t>件，計減少</w:t>
      </w:r>
      <w:r>
        <w:rPr>
          <w:rFonts w:ascii="Times New Roman" w:eastAsia="Times New Roman"/>
        </w:rPr>
        <w:t>5</w:t>
      </w:r>
      <w:r>
        <w:t>件（如表一）。</w:t>
      </w:r>
    </w:p>
    <w:p w:rsidR="009D7784" w:rsidRDefault="009D7784">
      <w:pPr>
        <w:spacing w:line="278" w:lineRule="auto"/>
        <w:jc w:val="both"/>
        <w:sectPr w:rsidR="009D7784">
          <w:footerReference w:type="default" r:id="rId6"/>
          <w:type w:val="continuous"/>
          <w:pgSz w:w="11910" w:h="16840"/>
          <w:pgMar w:top="1480" w:right="1060" w:bottom="1160" w:left="1020" w:header="720" w:footer="980" w:gutter="0"/>
          <w:pgNumType w:start="1"/>
          <w:cols w:space="720"/>
        </w:sectPr>
      </w:pPr>
    </w:p>
    <w:p w:rsidR="009D7784" w:rsidRDefault="00FB7782">
      <w:pPr>
        <w:pStyle w:val="a3"/>
        <w:spacing w:before="17"/>
        <w:ind w:left="3428"/>
      </w:pPr>
      <w:r>
        <w:rPr>
          <w:w w:val="95"/>
        </w:rPr>
        <w:lastRenderedPageBreak/>
        <w:t>表一</w:t>
      </w:r>
      <w:r>
        <w:rPr>
          <w:rFonts w:ascii="新細明體" w:eastAsia="新細明體" w:hint="eastAsia"/>
          <w:w w:val="95"/>
        </w:rPr>
        <w:t>：</w:t>
      </w:r>
      <w:r>
        <w:rPr>
          <w:w w:val="95"/>
        </w:rPr>
        <w:t>撤銷比率分析比較表</w:t>
      </w:r>
    </w:p>
    <w:p w:rsidR="009D7784" w:rsidRDefault="00FB7782">
      <w:pPr>
        <w:pStyle w:val="a3"/>
        <w:spacing w:before="2"/>
        <w:rPr>
          <w:sz w:val="31"/>
        </w:rPr>
      </w:pPr>
      <w:r>
        <w:br w:type="column"/>
      </w:r>
    </w:p>
    <w:p w:rsidR="009D7784" w:rsidRDefault="00FB7782">
      <w:pPr>
        <w:spacing w:before="1"/>
        <w:ind w:left="1135"/>
        <w:rPr>
          <w:sz w:val="24"/>
        </w:rPr>
      </w:pPr>
      <w:r>
        <w:pict>
          <v:group id="_x0000_s1037" style="position:absolute;left:0;text-align:left;margin-left:58.8pt;margin-top:16.5pt;width:136.6pt;height:52.8pt;z-index:-16092160;mso-position-horizontal-relative:page" coordorigin="1176,330" coordsize="2732,1056">
            <v:rect id="_x0000_s1039" style="position:absolute;left:1180;top:334;width:2727;height:1047" fillcolor="#e7e6e6" stroked="f"/>
            <v:line id="_x0000_s1038" style="position:absolute" from="1181,335" to="3900,1381" strokeweight=".48pt"/>
            <w10:wrap anchorx="page"/>
          </v:group>
        </w:pict>
      </w:r>
      <w:r>
        <w:rPr>
          <w:sz w:val="24"/>
        </w:rPr>
        <w:t>單位：件</w:t>
      </w:r>
    </w:p>
    <w:p w:rsidR="009D7784" w:rsidRDefault="009D7784">
      <w:pPr>
        <w:rPr>
          <w:sz w:val="24"/>
        </w:rPr>
        <w:sectPr w:rsidR="009D7784">
          <w:pgSz w:w="11910" w:h="16840"/>
          <w:pgMar w:top="1300" w:right="1060" w:bottom="1160" w:left="1020" w:header="0" w:footer="980" w:gutter="0"/>
          <w:cols w:num="2" w:space="720" w:equalWidth="0">
            <w:col w:w="7268" w:space="40"/>
            <w:col w:w="2522"/>
          </w:cols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23"/>
        <w:gridCol w:w="3409"/>
        <w:gridCol w:w="3409"/>
      </w:tblGrid>
      <w:tr w:rsidR="009D7784">
        <w:trPr>
          <w:trHeight w:val="1045"/>
        </w:trPr>
        <w:tc>
          <w:tcPr>
            <w:tcW w:w="2739" w:type="dxa"/>
            <w:gridSpan w:val="2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53" w:line="409" w:lineRule="exact"/>
              <w:ind w:left="1708"/>
              <w:rPr>
                <w:sz w:val="32"/>
              </w:rPr>
            </w:pPr>
            <w:r>
              <w:rPr>
                <w:w w:val="95"/>
                <w:sz w:val="32"/>
              </w:rPr>
              <w:t>年度</w:t>
            </w:r>
          </w:p>
          <w:p w:rsidR="009D7784" w:rsidRDefault="00FB7782">
            <w:pPr>
              <w:pStyle w:val="TableParagraph"/>
              <w:spacing w:line="409" w:lineRule="exact"/>
              <w:ind w:left="336"/>
              <w:rPr>
                <w:sz w:val="32"/>
              </w:rPr>
            </w:pPr>
            <w:r>
              <w:rPr>
                <w:w w:val="95"/>
                <w:sz w:val="32"/>
              </w:rPr>
              <w:t>項目</w:t>
            </w:r>
          </w:p>
        </w:tc>
        <w:tc>
          <w:tcPr>
            <w:tcW w:w="34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:rsidR="009D7784" w:rsidRDefault="00FB7782">
            <w:pPr>
              <w:pStyle w:val="TableParagraph"/>
              <w:spacing w:before="184"/>
              <w:ind w:left="1270" w:right="1268"/>
              <w:jc w:val="center"/>
              <w:rPr>
                <w:sz w:val="32"/>
              </w:rPr>
            </w:pPr>
            <w:r>
              <w:rPr>
                <w:sz w:val="32"/>
              </w:rPr>
              <w:t>107</w:t>
            </w:r>
            <w:r>
              <w:rPr>
                <w:sz w:val="32"/>
              </w:rPr>
              <w:t>年</w:t>
            </w:r>
          </w:p>
        </w:tc>
        <w:tc>
          <w:tcPr>
            <w:tcW w:w="3409" w:type="dxa"/>
            <w:tcBorders>
              <w:left w:val="single" w:sz="12" w:space="0" w:color="000000"/>
            </w:tcBorders>
            <w:shd w:val="clear" w:color="auto" w:fill="E7E6E6"/>
          </w:tcPr>
          <w:p w:rsidR="009D7784" w:rsidRDefault="00FB7782">
            <w:pPr>
              <w:pStyle w:val="TableParagraph"/>
              <w:spacing w:before="184"/>
              <w:ind w:left="1179" w:right="1187"/>
              <w:jc w:val="center"/>
              <w:rPr>
                <w:sz w:val="32"/>
              </w:rPr>
            </w:pPr>
            <w:r>
              <w:rPr>
                <w:sz w:val="32"/>
              </w:rPr>
              <w:t>108</w:t>
            </w:r>
            <w:r>
              <w:rPr>
                <w:sz w:val="32"/>
              </w:rPr>
              <w:t>年</w:t>
            </w:r>
          </w:p>
        </w:tc>
      </w:tr>
      <w:tr w:rsidR="009D7784">
        <w:trPr>
          <w:trHeight w:val="630"/>
        </w:trPr>
        <w:tc>
          <w:tcPr>
            <w:tcW w:w="2739" w:type="dxa"/>
            <w:gridSpan w:val="2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81"/>
              <w:ind w:left="727"/>
              <w:rPr>
                <w:sz w:val="32"/>
              </w:rPr>
            </w:pPr>
            <w:r>
              <w:rPr>
                <w:sz w:val="32"/>
              </w:rPr>
              <w:t>決定件數</w:t>
            </w:r>
          </w:p>
        </w:tc>
        <w:tc>
          <w:tcPr>
            <w:tcW w:w="3409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81"/>
              <w:ind w:left="1270" w:right="1263"/>
              <w:jc w:val="center"/>
              <w:rPr>
                <w:sz w:val="32"/>
              </w:rPr>
            </w:pPr>
            <w:r>
              <w:rPr>
                <w:sz w:val="32"/>
              </w:rPr>
              <w:t>697</w:t>
            </w:r>
          </w:p>
        </w:tc>
        <w:tc>
          <w:tcPr>
            <w:tcW w:w="3409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81"/>
              <w:ind w:left="1185" w:right="1187"/>
              <w:jc w:val="center"/>
              <w:rPr>
                <w:sz w:val="32"/>
              </w:rPr>
            </w:pPr>
            <w:r>
              <w:rPr>
                <w:sz w:val="32"/>
              </w:rPr>
              <w:t>933</w:t>
            </w:r>
          </w:p>
        </w:tc>
      </w:tr>
      <w:tr w:rsidR="009D7784">
        <w:trPr>
          <w:trHeight w:val="618"/>
        </w:trPr>
        <w:tc>
          <w:tcPr>
            <w:tcW w:w="2739" w:type="dxa"/>
            <w:gridSpan w:val="2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727"/>
              <w:rPr>
                <w:sz w:val="32"/>
              </w:rPr>
            </w:pPr>
            <w:r>
              <w:rPr>
                <w:sz w:val="32"/>
              </w:rPr>
              <w:t>撤銷件數</w:t>
            </w:r>
          </w:p>
        </w:tc>
        <w:tc>
          <w:tcPr>
            <w:tcW w:w="3409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1270" w:right="1266"/>
              <w:jc w:val="center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3409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1183" w:right="1187"/>
              <w:jc w:val="center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</w:tr>
      <w:tr w:rsidR="009D7784">
        <w:trPr>
          <w:trHeight w:val="618"/>
        </w:trPr>
        <w:tc>
          <w:tcPr>
            <w:tcW w:w="2739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727"/>
              <w:rPr>
                <w:sz w:val="32"/>
              </w:rPr>
            </w:pPr>
            <w:r>
              <w:rPr>
                <w:sz w:val="32"/>
              </w:rPr>
              <w:t>總撤銷率</w:t>
            </w:r>
          </w:p>
        </w:tc>
        <w:tc>
          <w:tcPr>
            <w:tcW w:w="3409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1270" w:right="1267"/>
              <w:jc w:val="center"/>
              <w:rPr>
                <w:sz w:val="32"/>
              </w:rPr>
            </w:pPr>
            <w:r>
              <w:rPr>
                <w:sz w:val="32"/>
              </w:rPr>
              <w:t>9.90%</w:t>
            </w:r>
          </w:p>
        </w:tc>
        <w:tc>
          <w:tcPr>
            <w:tcW w:w="3409" w:type="dxa"/>
            <w:tcBorders>
              <w:left w:val="single" w:sz="12" w:space="0" w:color="000000"/>
              <w:bottom w:val="single" w:sz="18" w:space="0" w:color="000000"/>
            </w:tcBorders>
          </w:tcPr>
          <w:p w:rsidR="009D7784" w:rsidRDefault="00FB7782">
            <w:pPr>
              <w:pStyle w:val="TableParagraph"/>
              <w:spacing w:before="73"/>
              <w:ind w:left="1182" w:right="1187"/>
              <w:jc w:val="center"/>
              <w:rPr>
                <w:sz w:val="32"/>
              </w:rPr>
            </w:pPr>
            <w:r>
              <w:rPr>
                <w:sz w:val="32"/>
              </w:rPr>
              <w:t>6.86%</w:t>
            </w:r>
          </w:p>
        </w:tc>
      </w:tr>
      <w:tr w:rsidR="009D7784">
        <w:trPr>
          <w:trHeight w:val="716"/>
        </w:trPr>
        <w:tc>
          <w:tcPr>
            <w:tcW w:w="716" w:type="dxa"/>
            <w:vMerge w:val="restart"/>
            <w:tcBorders>
              <w:top w:val="single" w:sz="18" w:space="0" w:color="000000"/>
              <w:bottom w:val="double" w:sz="1" w:space="0" w:color="000000"/>
            </w:tcBorders>
          </w:tcPr>
          <w:p w:rsidR="009D7784" w:rsidRDefault="009D7784">
            <w:pPr>
              <w:pStyle w:val="TableParagraph"/>
              <w:rPr>
                <w:sz w:val="23"/>
              </w:rPr>
            </w:pPr>
          </w:p>
          <w:p w:rsidR="009D7784" w:rsidRDefault="00FB7782">
            <w:pPr>
              <w:pStyle w:val="TableParagraph"/>
              <w:spacing w:line="213" w:lineRule="auto"/>
              <w:ind w:left="197" w:right="187"/>
              <w:jc w:val="both"/>
              <w:rPr>
                <w:sz w:val="32"/>
              </w:rPr>
            </w:pPr>
            <w:r>
              <w:rPr>
                <w:sz w:val="32"/>
              </w:rPr>
              <w:t>復審事件</w:t>
            </w:r>
          </w:p>
        </w:tc>
        <w:tc>
          <w:tcPr>
            <w:tcW w:w="2023" w:type="dxa"/>
            <w:tcBorders>
              <w:top w:val="single" w:sz="18" w:space="0" w:color="000000"/>
            </w:tcBorders>
          </w:tcPr>
          <w:p w:rsidR="009D7784" w:rsidRDefault="00FB7782">
            <w:pPr>
              <w:pStyle w:val="TableParagraph"/>
              <w:spacing w:before="130"/>
              <w:ind w:left="105"/>
              <w:rPr>
                <w:sz w:val="32"/>
              </w:rPr>
            </w:pPr>
            <w:r>
              <w:rPr>
                <w:sz w:val="32"/>
              </w:rPr>
              <w:t>決定件數</w:t>
            </w:r>
          </w:p>
        </w:tc>
        <w:tc>
          <w:tcPr>
            <w:tcW w:w="3409" w:type="dxa"/>
            <w:tcBorders>
              <w:top w:val="single" w:sz="18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28"/>
              <w:ind w:left="1201" w:right="1184"/>
              <w:jc w:val="center"/>
              <w:rPr>
                <w:sz w:val="32"/>
              </w:rPr>
            </w:pPr>
            <w:r>
              <w:rPr>
                <w:sz w:val="32"/>
              </w:rPr>
              <w:t>395</w:t>
            </w:r>
          </w:p>
        </w:tc>
        <w:tc>
          <w:tcPr>
            <w:tcW w:w="3409" w:type="dxa"/>
            <w:tcBorders>
              <w:top w:val="single" w:sz="18" w:space="0" w:color="000000"/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28"/>
              <w:ind w:left="1185" w:right="1187"/>
              <w:jc w:val="center"/>
              <w:rPr>
                <w:sz w:val="32"/>
              </w:rPr>
            </w:pPr>
            <w:r>
              <w:rPr>
                <w:sz w:val="32"/>
              </w:rPr>
              <w:t>499</w:t>
            </w:r>
          </w:p>
        </w:tc>
      </w:tr>
      <w:tr w:rsidR="009D7784">
        <w:trPr>
          <w:trHeight w:val="706"/>
        </w:trPr>
        <w:tc>
          <w:tcPr>
            <w:tcW w:w="716" w:type="dxa"/>
            <w:vMerge/>
            <w:tcBorders>
              <w:top w:val="nil"/>
              <w:bottom w:val="double" w:sz="1" w:space="0" w:color="000000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9D7784" w:rsidRDefault="00FB7782">
            <w:pPr>
              <w:pStyle w:val="TableParagraph"/>
              <w:spacing w:before="119"/>
              <w:ind w:left="105"/>
              <w:rPr>
                <w:sz w:val="32"/>
              </w:rPr>
            </w:pPr>
            <w:r>
              <w:rPr>
                <w:sz w:val="32"/>
              </w:rPr>
              <w:t>撤銷件數</w:t>
            </w:r>
          </w:p>
        </w:tc>
        <w:tc>
          <w:tcPr>
            <w:tcW w:w="34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19"/>
              <w:ind w:left="1201" w:right="1187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3409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19"/>
              <w:ind w:left="1183" w:right="1187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9D7784">
        <w:trPr>
          <w:trHeight w:val="713"/>
        </w:trPr>
        <w:tc>
          <w:tcPr>
            <w:tcW w:w="716" w:type="dxa"/>
            <w:vMerge/>
            <w:tcBorders>
              <w:top w:val="nil"/>
              <w:bottom w:val="double" w:sz="1" w:space="0" w:color="000000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tcBorders>
              <w:bottom w:val="double" w:sz="1" w:space="0" w:color="000000"/>
            </w:tcBorders>
          </w:tcPr>
          <w:p w:rsidR="009D7784" w:rsidRDefault="00FB7782">
            <w:pPr>
              <w:pStyle w:val="TableParagraph"/>
              <w:spacing w:before="119"/>
              <w:ind w:left="105"/>
              <w:rPr>
                <w:sz w:val="32"/>
              </w:rPr>
            </w:pPr>
            <w:r>
              <w:rPr>
                <w:sz w:val="32"/>
              </w:rPr>
              <w:t>撤銷率</w:t>
            </w:r>
          </w:p>
        </w:tc>
        <w:tc>
          <w:tcPr>
            <w:tcW w:w="3409" w:type="dxa"/>
            <w:tcBorders>
              <w:bottom w:val="double" w:sz="1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16"/>
              <w:ind w:left="1199" w:right="1187"/>
              <w:jc w:val="center"/>
              <w:rPr>
                <w:sz w:val="32"/>
              </w:rPr>
            </w:pPr>
            <w:r>
              <w:rPr>
                <w:sz w:val="32"/>
              </w:rPr>
              <w:t>7.09%</w:t>
            </w:r>
          </w:p>
        </w:tc>
        <w:tc>
          <w:tcPr>
            <w:tcW w:w="3409" w:type="dxa"/>
            <w:tcBorders>
              <w:left w:val="single" w:sz="12" w:space="0" w:color="000000"/>
              <w:bottom w:val="double" w:sz="1" w:space="0" w:color="000000"/>
            </w:tcBorders>
          </w:tcPr>
          <w:p w:rsidR="009D7784" w:rsidRDefault="00FB7782">
            <w:pPr>
              <w:pStyle w:val="TableParagraph"/>
              <w:spacing w:before="116"/>
              <w:ind w:left="1181" w:right="1187"/>
              <w:jc w:val="center"/>
              <w:rPr>
                <w:sz w:val="32"/>
              </w:rPr>
            </w:pPr>
            <w:r>
              <w:rPr>
                <w:sz w:val="32"/>
              </w:rPr>
              <w:t>4.21%</w:t>
            </w:r>
          </w:p>
        </w:tc>
      </w:tr>
      <w:tr w:rsidR="009D7784">
        <w:trPr>
          <w:trHeight w:val="726"/>
        </w:trPr>
        <w:tc>
          <w:tcPr>
            <w:tcW w:w="716" w:type="dxa"/>
            <w:vMerge w:val="restart"/>
            <w:tcBorders>
              <w:top w:val="double" w:sz="1" w:space="0" w:color="000000"/>
            </w:tcBorders>
          </w:tcPr>
          <w:p w:rsidR="009D7784" w:rsidRDefault="00FB7782">
            <w:pPr>
              <w:pStyle w:val="TableParagraph"/>
              <w:spacing w:before="204" w:line="213" w:lineRule="auto"/>
              <w:ind w:left="197" w:right="187"/>
              <w:jc w:val="both"/>
              <w:rPr>
                <w:sz w:val="32"/>
              </w:rPr>
            </w:pPr>
            <w:r>
              <w:rPr>
                <w:sz w:val="32"/>
              </w:rPr>
              <w:t>再申訴事件</w:t>
            </w:r>
          </w:p>
        </w:tc>
        <w:tc>
          <w:tcPr>
            <w:tcW w:w="2023" w:type="dxa"/>
            <w:tcBorders>
              <w:top w:val="double" w:sz="1" w:space="0" w:color="000000"/>
            </w:tcBorders>
          </w:tcPr>
          <w:p w:rsidR="009D7784" w:rsidRDefault="00FB7782">
            <w:pPr>
              <w:pStyle w:val="TableParagraph"/>
              <w:spacing w:before="131"/>
              <w:ind w:left="105"/>
              <w:rPr>
                <w:sz w:val="32"/>
              </w:rPr>
            </w:pPr>
            <w:r>
              <w:rPr>
                <w:sz w:val="32"/>
              </w:rPr>
              <w:t>決定件數</w:t>
            </w:r>
          </w:p>
        </w:tc>
        <w:tc>
          <w:tcPr>
            <w:tcW w:w="3409" w:type="dxa"/>
            <w:tcBorders>
              <w:top w:val="double" w:sz="1" w:space="0" w:color="000000"/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28"/>
              <w:ind w:left="1201" w:right="1184"/>
              <w:jc w:val="center"/>
              <w:rPr>
                <w:sz w:val="32"/>
              </w:rPr>
            </w:pPr>
            <w:r>
              <w:rPr>
                <w:sz w:val="32"/>
              </w:rPr>
              <w:t>302</w:t>
            </w:r>
          </w:p>
        </w:tc>
        <w:tc>
          <w:tcPr>
            <w:tcW w:w="3409" w:type="dxa"/>
            <w:tcBorders>
              <w:top w:val="double" w:sz="1" w:space="0" w:color="000000"/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28"/>
              <w:ind w:left="1185" w:right="1187"/>
              <w:jc w:val="center"/>
              <w:rPr>
                <w:sz w:val="32"/>
              </w:rPr>
            </w:pPr>
            <w:r>
              <w:rPr>
                <w:sz w:val="32"/>
              </w:rPr>
              <w:t>434</w:t>
            </w:r>
          </w:p>
        </w:tc>
      </w:tr>
      <w:tr w:rsidR="009D7784">
        <w:trPr>
          <w:trHeight w:val="726"/>
        </w:trPr>
        <w:tc>
          <w:tcPr>
            <w:tcW w:w="71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9D7784" w:rsidRDefault="00FB7782">
            <w:pPr>
              <w:pStyle w:val="TableParagraph"/>
              <w:spacing w:before="131"/>
              <w:ind w:left="105"/>
              <w:rPr>
                <w:sz w:val="32"/>
              </w:rPr>
            </w:pPr>
            <w:r>
              <w:rPr>
                <w:sz w:val="32"/>
              </w:rPr>
              <w:t>撤銷件數</w:t>
            </w:r>
          </w:p>
        </w:tc>
        <w:tc>
          <w:tcPr>
            <w:tcW w:w="34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29"/>
              <w:ind w:left="1201" w:right="1187"/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3409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29"/>
              <w:ind w:left="1182" w:right="1187"/>
              <w:jc w:val="center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</w:tr>
      <w:tr w:rsidR="009D7784">
        <w:trPr>
          <w:trHeight w:val="888"/>
        </w:trPr>
        <w:tc>
          <w:tcPr>
            <w:tcW w:w="71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9D7784" w:rsidRDefault="00FB7782">
            <w:pPr>
              <w:pStyle w:val="TableParagraph"/>
              <w:spacing w:before="210"/>
              <w:ind w:left="105"/>
              <w:rPr>
                <w:sz w:val="32"/>
              </w:rPr>
            </w:pPr>
            <w:r>
              <w:rPr>
                <w:sz w:val="32"/>
              </w:rPr>
              <w:t>撤銷率</w:t>
            </w:r>
          </w:p>
        </w:tc>
        <w:tc>
          <w:tcPr>
            <w:tcW w:w="34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208"/>
              <w:ind w:left="1201" w:right="1187"/>
              <w:jc w:val="center"/>
              <w:rPr>
                <w:sz w:val="32"/>
              </w:rPr>
            </w:pPr>
            <w:r>
              <w:rPr>
                <w:sz w:val="32"/>
              </w:rPr>
              <w:t>13.58%</w:t>
            </w:r>
          </w:p>
        </w:tc>
        <w:tc>
          <w:tcPr>
            <w:tcW w:w="3409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08"/>
              <w:ind w:left="1181" w:right="1187"/>
              <w:jc w:val="center"/>
              <w:rPr>
                <w:sz w:val="32"/>
              </w:rPr>
            </w:pPr>
            <w:r>
              <w:rPr>
                <w:sz w:val="32"/>
              </w:rPr>
              <w:t>9.91%</w:t>
            </w:r>
          </w:p>
        </w:tc>
      </w:tr>
    </w:tbl>
    <w:p w:rsidR="009D7784" w:rsidRDefault="009D7784">
      <w:pPr>
        <w:pStyle w:val="a3"/>
        <w:rPr>
          <w:sz w:val="20"/>
        </w:rPr>
      </w:pPr>
    </w:p>
    <w:p w:rsidR="009D7784" w:rsidRDefault="009D7784">
      <w:pPr>
        <w:pStyle w:val="a3"/>
        <w:rPr>
          <w:sz w:val="20"/>
        </w:rPr>
      </w:pPr>
    </w:p>
    <w:p w:rsidR="009D7784" w:rsidRDefault="009D7784">
      <w:pPr>
        <w:pStyle w:val="a3"/>
        <w:rPr>
          <w:sz w:val="13"/>
        </w:rPr>
      </w:pPr>
    </w:p>
    <w:p w:rsidR="009D7784" w:rsidRDefault="00FB7782">
      <w:pPr>
        <w:pStyle w:val="1"/>
      </w:pPr>
      <w:r>
        <w:t>二、依撤銷機關別區分</w:t>
      </w:r>
    </w:p>
    <w:p w:rsidR="009D7784" w:rsidRDefault="00FB7782">
      <w:pPr>
        <w:pStyle w:val="a3"/>
        <w:spacing w:before="253" w:line="278" w:lineRule="auto"/>
        <w:ind w:left="708" w:right="181" w:firstLine="640"/>
        <w:jc w:val="both"/>
      </w:pPr>
      <w:r>
        <w:rPr>
          <w:spacing w:val="11"/>
          <w:w w:val="95"/>
        </w:rPr>
        <w:t>中央機關經決定撤銷者計</w:t>
      </w:r>
      <w:r>
        <w:rPr>
          <w:rFonts w:ascii="Times New Roman" w:eastAsia="Times New Roman"/>
          <w:w w:val="95"/>
        </w:rPr>
        <w:t>21</w:t>
      </w:r>
      <w:r>
        <w:rPr>
          <w:spacing w:val="10"/>
          <w:w w:val="95"/>
        </w:rPr>
        <w:t>件，其中以臺灣彰化地方檢察</w:t>
      </w:r>
      <w:r>
        <w:rPr>
          <w:spacing w:val="1"/>
          <w:w w:val="95"/>
        </w:rPr>
        <w:t xml:space="preserve"> </w:t>
      </w:r>
      <w:r>
        <w:rPr>
          <w:w w:val="95"/>
        </w:rPr>
        <w:t>署</w:t>
      </w:r>
      <w:r>
        <w:rPr>
          <w:rFonts w:ascii="Times New Roman" w:eastAsia="Times New Roman"/>
          <w:w w:val="95"/>
        </w:rPr>
        <w:t>8</w:t>
      </w:r>
      <w:r>
        <w:rPr>
          <w:w w:val="95"/>
        </w:rPr>
        <w:t>件為最多，其次為國軍退除役官兵輔導委員會桃園市榮民服</w:t>
      </w:r>
      <w:r>
        <w:t>務處</w:t>
      </w:r>
      <w:r>
        <w:rPr>
          <w:rFonts w:ascii="Times New Roman" w:eastAsia="Times New Roman"/>
        </w:rPr>
        <w:t>3</w:t>
      </w:r>
      <w:r>
        <w:t>件，餘各機關均為</w:t>
      </w:r>
      <w:r>
        <w:rPr>
          <w:rFonts w:ascii="Times New Roman" w:eastAsia="Times New Roman"/>
        </w:rPr>
        <w:t>1</w:t>
      </w:r>
      <w:r>
        <w:t>件。</w:t>
      </w:r>
    </w:p>
    <w:p w:rsidR="009D7784" w:rsidRDefault="00FB7782">
      <w:pPr>
        <w:pStyle w:val="a3"/>
        <w:spacing w:before="3" w:line="278" w:lineRule="auto"/>
        <w:ind w:left="708" w:right="173" w:firstLine="640"/>
        <w:jc w:val="both"/>
      </w:pPr>
      <w:r>
        <w:rPr>
          <w:w w:val="95"/>
        </w:rPr>
        <w:t>地方機關經決定撤銷者計</w:t>
      </w:r>
      <w:r>
        <w:rPr>
          <w:rFonts w:ascii="Times New Roman" w:eastAsia="Times New Roman"/>
          <w:w w:val="95"/>
        </w:rPr>
        <w:t>43</w:t>
      </w:r>
      <w:r>
        <w:rPr>
          <w:w w:val="95"/>
        </w:rPr>
        <w:t>件（含命作為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件），以苗栗縣</w:t>
      </w:r>
      <w:r>
        <w:rPr>
          <w:w w:val="95"/>
        </w:rPr>
        <w:t>苗栗市公所、新北市政府警察局三重分局均為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件為最多，其次</w:t>
      </w:r>
      <w:r>
        <w:rPr>
          <w:spacing w:val="11"/>
          <w:w w:val="95"/>
        </w:rPr>
        <w:t>為新北市政府警察局交通警察大隊、臺中市政府消防局、臺北</w:t>
      </w:r>
      <w:r>
        <w:rPr>
          <w:spacing w:val="8"/>
        </w:rPr>
        <w:t>市政府警察局北投分局、臺東縣政府均為</w:t>
      </w:r>
      <w:r>
        <w:rPr>
          <w:rFonts w:ascii="Times New Roman" w:eastAsia="Times New Roman"/>
          <w:spacing w:val="10"/>
        </w:rPr>
        <w:t>2</w:t>
      </w:r>
      <w:r>
        <w:rPr>
          <w:spacing w:val="8"/>
        </w:rPr>
        <w:t>件，其他機關均為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78"/>
        </w:rPr>
        <w:t xml:space="preserve"> </w:t>
      </w:r>
      <w:r>
        <w:t>件。</w:t>
      </w:r>
    </w:p>
    <w:p w:rsidR="009D7784" w:rsidRDefault="009D7784">
      <w:pPr>
        <w:spacing w:line="278" w:lineRule="auto"/>
        <w:jc w:val="both"/>
        <w:sectPr w:rsidR="009D7784">
          <w:type w:val="continuous"/>
          <w:pgSz w:w="11910" w:h="16840"/>
          <w:pgMar w:top="1480" w:right="1060" w:bottom="1160" w:left="1020" w:header="720" w:footer="720" w:gutter="0"/>
          <w:cols w:space="720"/>
        </w:sectPr>
      </w:pPr>
    </w:p>
    <w:p w:rsidR="009D7784" w:rsidRDefault="00FB7782">
      <w:pPr>
        <w:pStyle w:val="a3"/>
        <w:spacing w:before="37" w:line="278" w:lineRule="auto"/>
        <w:ind w:left="708" w:right="176" w:firstLine="640"/>
        <w:jc w:val="both"/>
      </w:pPr>
      <w:r>
        <w:rPr>
          <w:w w:val="95"/>
        </w:rPr>
        <w:lastRenderedPageBreak/>
        <w:t>108</w:t>
      </w:r>
      <w:r>
        <w:rPr>
          <w:spacing w:val="12"/>
          <w:w w:val="95"/>
        </w:rPr>
        <w:t>年相較</w:t>
      </w:r>
      <w:r>
        <w:rPr>
          <w:rFonts w:ascii="Times New Roman" w:eastAsia="Times New Roman"/>
          <w:w w:val="95"/>
        </w:rPr>
        <w:t>107</w:t>
      </w:r>
      <w:r>
        <w:rPr>
          <w:spacing w:val="11"/>
          <w:w w:val="95"/>
        </w:rPr>
        <w:t>年，中央機關經決定撤銷件數由</w:t>
      </w:r>
      <w:r>
        <w:rPr>
          <w:rFonts w:ascii="Times New Roman" w:eastAsia="Times New Roman"/>
          <w:w w:val="95"/>
        </w:rPr>
        <w:t>31</w:t>
      </w:r>
      <w:r>
        <w:rPr>
          <w:spacing w:val="14"/>
          <w:w w:val="95"/>
        </w:rPr>
        <w:t>件（</w:t>
      </w:r>
      <w:r>
        <w:rPr>
          <w:spacing w:val="5"/>
          <w:w w:val="95"/>
        </w:rPr>
        <w:t>含命</w:t>
      </w:r>
      <w:r>
        <w:rPr>
          <w:w w:val="95"/>
        </w:rPr>
        <w:t>作為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件）減少為</w:t>
      </w:r>
      <w:r>
        <w:rPr>
          <w:rFonts w:ascii="Times New Roman" w:eastAsia="Times New Roman"/>
          <w:w w:val="95"/>
        </w:rPr>
        <w:t>21</w:t>
      </w:r>
      <w:r>
        <w:rPr>
          <w:w w:val="95"/>
        </w:rPr>
        <w:t>件，計減少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件；地方機關經決定撤銷件數</w:t>
      </w:r>
      <w:r>
        <w:t>由</w:t>
      </w:r>
      <w:r>
        <w:rPr>
          <w:rFonts w:ascii="Times New Roman" w:eastAsia="Times New Roman"/>
        </w:rPr>
        <w:t>38</w:t>
      </w:r>
      <w:r>
        <w:t>件增加為</w:t>
      </w:r>
      <w:r>
        <w:rPr>
          <w:rFonts w:ascii="Times New Roman" w:eastAsia="Times New Roman"/>
        </w:rPr>
        <w:t>43</w:t>
      </w:r>
      <w:r>
        <w:t>件，計增加</w:t>
      </w:r>
      <w:r>
        <w:rPr>
          <w:rFonts w:ascii="Times New Roman" w:eastAsia="Times New Roman"/>
        </w:rPr>
        <w:t>5</w:t>
      </w:r>
      <w:r>
        <w:t>件（如表二</w:t>
      </w:r>
      <w:r>
        <w:rPr>
          <w:spacing w:val="-161"/>
        </w:rPr>
        <w:t>）</w:t>
      </w:r>
      <w:r>
        <w:t>。</w:t>
      </w:r>
    </w:p>
    <w:p w:rsidR="009D7784" w:rsidRDefault="009D7784">
      <w:pPr>
        <w:pStyle w:val="a3"/>
        <w:rPr>
          <w:sz w:val="20"/>
        </w:rPr>
      </w:pPr>
    </w:p>
    <w:p w:rsidR="009D7784" w:rsidRDefault="009D7784">
      <w:pPr>
        <w:pStyle w:val="a3"/>
        <w:spacing w:before="11"/>
        <w:rPr>
          <w:sz w:val="14"/>
        </w:rPr>
      </w:pPr>
    </w:p>
    <w:p w:rsidR="009D7784" w:rsidRDefault="009D7784">
      <w:pPr>
        <w:rPr>
          <w:sz w:val="14"/>
        </w:rPr>
        <w:sectPr w:rsidR="009D7784">
          <w:pgSz w:w="11910" w:h="16840"/>
          <w:pgMar w:top="128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35"/>
        <w:ind w:left="3735"/>
      </w:pPr>
      <w:r>
        <w:rPr>
          <w:spacing w:val="-1"/>
        </w:rPr>
        <w:t>表二：事件機關別比較表</w:t>
      </w:r>
    </w:p>
    <w:p w:rsidR="009D7784" w:rsidRDefault="00FB7782">
      <w:pPr>
        <w:pStyle w:val="a3"/>
        <w:spacing w:before="8"/>
      </w:pPr>
      <w:r>
        <w:br w:type="column"/>
      </w:r>
    </w:p>
    <w:p w:rsidR="009D7784" w:rsidRDefault="00FB7782">
      <w:pPr>
        <w:spacing w:before="1"/>
        <w:ind w:left="1066"/>
        <w:rPr>
          <w:sz w:val="24"/>
        </w:rPr>
      </w:pPr>
      <w:r>
        <w:pict>
          <v:line id="_x0000_s1036" style="position:absolute;left:0;text-align:left;z-index:-16091648;mso-position-horizontal-relative:page" from="57.25pt,16.75pt" to="214.6pt,68.7pt" strokeweight=".48pt">
            <w10:wrap anchorx="page"/>
          </v:line>
        </w:pict>
      </w:r>
      <w:r>
        <w:rPr>
          <w:sz w:val="24"/>
        </w:rPr>
        <w:t>單位：件</w:t>
      </w:r>
    </w:p>
    <w:p w:rsidR="009D7784" w:rsidRDefault="009D7784">
      <w:pPr>
        <w:rPr>
          <w:sz w:val="24"/>
        </w:rPr>
        <w:sectPr w:rsidR="009D7784">
          <w:type w:val="continuous"/>
          <w:pgSz w:w="11910" w:h="16840"/>
          <w:pgMar w:top="1480" w:right="1060" w:bottom="1160" w:left="1020" w:header="720" w:footer="720" w:gutter="0"/>
          <w:cols w:num="2" w:space="720" w:equalWidth="0">
            <w:col w:w="7255" w:space="40"/>
            <w:col w:w="2535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3156"/>
        <w:gridCol w:w="3156"/>
      </w:tblGrid>
      <w:tr w:rsidR="009D7784">
        <w:trPr>
          <w:trHeight w:val="1038"/>
        </w:trPr>
        <w:tc>
          <w:tcPr>
            <w:tcW w:w="3157" w:type="dxa"/>
          </w:tcPr>
          <w:p w:rsidR="009D7784" w:rsidRDefault="00FB7782">
            <w:pPr>
              <w:pStyle w:val="TableParagraph"/>
              <w:spacing w:before="76"/>
              <w:ind w:left="1706"/>
              <w:rPr>
                <w:sz w:val="32"/>
              </w:rPr>
            </w:pPr>
            <w:r>
              <w:rPr>
                <w:w w:val="95"/>
                <w:sz w:val="32"/>
              </w:rPr>
              <w:t>年度</w:t>
            </w:r>
          </w:p>
          <w:p w:rsidR="009D7784" w:rsidRDefault="00FB7782">
            <w:pPr>
              <w:pStyle w:val="TableParagraph"/>
              <w:spacing w:before="73" w:line="422" w:lineRule="exact"/>
              <w:ind w:left="107"/>
              <w:rPr>
                <w:sz w:val="32"/>
              </w:rPr>
            </w:pPr>
            <w:r>
              <w:rPr>
                <w:sz w:val="32"/>
              </w:rPr>
              <w:t>機關別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76"/>
              <w:ind w:left="1157" w:right="1148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107</w:t>
            </w:r>
            <w:r>
              <w:rPr>
                <w:sz w:val="32"/>
              </w:rPr>
              <w:t>年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76"/>
              <w:ind w:left="1157" w:right="1147"/>
              <w:jc w:val="center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108</w:t>
            </w:r>
            <w:r>
              <w:rPr>
                <w:sz w:val="32"/>
              </w:rPr>
              <w:t>年</w:t>
            </w:r>
          </w:p>
        </w:tc>
      </w:tr>
      <w:tr w:rsidR="009D7784">
        <w:trPr>
          <w:trHeight w:val="520"/>
        </w:trPr>
        <w:tc>
          <w:tcPr>
            <w:tcW w:w="3157" w:type="dxa"/>
          </w:tcPr>
          <w:p w:rsidR="009D7784" w:rsidRDefault="00FB7782">
            <w:pPr>
              <w:pStyle w:val="TableParagraph"/>
              <w:spacing w:before="78" w:line="422" w:lineRule="exact"/>
              <w:ind w:left="107"/>
              <w:rPr>
                <w:sz w:val="32"/>
              </w:rPr>
            </w:pPr>
            <w:r>
              <w:rPr>
                <w:sz w:val="32"/>
              </w:rPr>
              <w:t>中央機關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4" w:line="367" w:lineRule="exact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31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4" w:line="367" w:lineRule="exact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21</w:t>
            </w:r>
          </w:p>
        </w:tc>
      </w:tr>
      <w:tr w:rsidR="009D7784">
        <w:trPr>
          <w:trHeight w:val="520"/>
        </w:trPr>
        <w:tc>
          <w:tcPr>
            <w:tcW w:w="3157" w:type="dxa"/>
          </w:tcPr>
          <w:p w:rsidR="009D7784" w:rsidRDefault="00FB7782">
            <w:pPr>
              <w:pStyle w:val="TableParagraph"/>
              <w:spacing w:before="76" w:line="424" w:lineRule="exact"/>
              <w:ind w:left="107"/>
              <w:rPr>
                <w:sz w:val="32"/>
              </w:rPr>
            </w:pPr>
            <w:r>
              <w:rPr>
                <w:sz w:val="32"/>
              </w:rPr>
              <w:t>地方機關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1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38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1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</w:t>
            </w:r>
          </w:p>
        </w:tc>
      </w:tr>
      <w:tr w:rsidR="009D7784">
        <w:trPr>
          <w:trHeight w:val="520"/>
        </w:trPr>
        <w:tc>
          <w:tcPr>
            <w:tcW w:w="3157" w:type="dxa"/>
          </w:tcPr>
          <w:p w:rsidR="009D7784" w:rsidRDefault="00FB7782">
            <w:pPr>
              <w:pStyle w:val="TableParagraph"/>
              <w:spacing w:before="76" w:line="424" w:lineRule="exact"/>
              <w:ind w:left="107"/>
              <w:rPr>
                <w:sz w:val="32"/>
              </w:rPr>
            </w:pPr>
            <w:r>
              <w:rPr>
                <w:w w:val="95"/>
                <w:sz w:val="32"/>
              </w:rPr>
              <w:t>合計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1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69</w:t>
            </w:r>
          </w:p>
        </w:tc>
        <w:tc>
          <w:tcPr>
            <w:tcW w:w="3156" w:type="dxa"/>
          </w:tcPr>
          <w:p w:rsidR="009D7784" w:rsidRDefault="00FB7782">
            <w:pPr>
              <w:pStyle w:val="TableParagraph"/>
              <w:spacing w:before="131"/>
              <w:ind w:left="1157" w:right="114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64</w:t>
            </w:r>
          </w:p>
        </w:tc>
      </w:tr>
    </w:tbl>
    <w:p w:rsidR="009D7784" w:rsidRDefault="009D7784">
      <w:pPr>
        <w:pStyle w:val="a3"/>
        <w:rPr>
          <w:sz w:val="20"/>
        </w:rPr>
      </w:pPr>
    </w:p>
    <w:p w:rsidR="009D7784" w:rsidRDefault="009D7784">
      <w:pPr>
        <w:pStyle w:val="a3"/>
        <w:rPr>
          <w:sz w:val="20"/>
        </w:rPr>
      </w:pPr>
    </w:p>
    <w:p w:rsidR="009D7784" w:rsidRDefault="009D7784">
      <w:pPr>
        <w:pStyle w:val="a3"/>
        <w:rPr>
          <w:sz w:val="13"/>
        </w:rPr>
      </w:pPr>
    </w:p>
    <w:p w:rsidR="009D7784" w:rsidRDefault="00FB7782">
      <w:pPr>
        <w:pStyle w:val="1"/>
      </w:pPr>
      <w:r>
        <w:t>三、事件類型</w:t>
      </w:r>
    </w:p>
    <w:p w:rsidR="009D7784" w:rsidRDefault="00FB7782" w:rsidP="004B5BB5">
      <w:pPr>
        <w:pStyle w:val="a3"/>
        <w:spacing w:before="251" w:line="278" w:lineRule="auto"/>
        <w:ind w:left="708" w:right="172" w:firstLine="640"/>
        <w:jc w:val="both"/>
      </w:pPr>
      <w:r>
        <w:rPr>
          <w:w w:val="95"/>
        </w:rPr>
        <w:t>108</w:t>
      </w:r>
      <w:r>
        <w:rPr>
          <w:w w:val="95"/>
        </w:rPr>
        <w:t>年經本會決定撤銷之保障事件</w:t>
      </w:r>
      <w:r>
        <w:rPr>
          <w:w w:val="95"/>
        </w:rPr>
        <w:t>64</w:t>
      </w:r>
      <w:r>
        <w:rPr>
          <w:w w:val="95"/>
        </w:rPr>
        <w:t>件。依事件類型區分以</w:t>
      </w:r>
      <w:r>
        <w:rPr>
          <w:spacing w:val="12"/>
          <w:w w:val="95"/>
        </w:rPr>
        <w:t>懲處事件</w:t>
      </w:r>
      <w:r>
        <w:rPr>
          <w:w w:val="95"/>
        </w:rPr>
        <w:t>27</w:t>
      </w:r>
      <w:r>
        <w:rPr>
          <w:spacing w:val="12"/>
          <w:w w:val="95"/>
        </w:rPr>
        <w:t>件最多，其次為考績事件</w:t>
      </w:r>
      <w:r>
        <w:rPr>
          <w:w w:val="95"/>
        </w:rPr>
        <w:t>12</w:t>
      </w:r>
      <w:r>
        <w:rPr>
          <w:spacing w:val="10"/>
          <w:w w:val="95"/>
        </w:rPr>
        <w:t>件、公法上財產請求權</w:t>
      </w:r>
      <w:r>
        <w:rPr>
          <w:w w:val="95"/>
        </w:rPr>
        <w:t>事件</w:t>
      </w:r>
      <w:r>
        <w:rPr>
          <w:w w:val="95"/>
        </w:rPr>
        <w:t>10</w:t>
      </w:r>
      <w:r>
        <w:rPr>
          <w:w w:val="95"/>
        </w:rPr>
        <w:t>件、涉及重大影響公務人員權利事件</w:t>
      </w:r>
      <w:r>
        <w:rPr>
          <w:w w:val="95"/>
        </w:rPr>
        <w:t>9</w:t>
      </w:r>
      <w:r>
        <w:rPr>
          <w:w w:val="95"/>
        </w:rPr>
        <w:t>件（含考績丙等事</w:t>
      </w:r>
      <w:r>
        <w:rPr>
          <w:w w:val="95"/>
        </w:rPr>
        <w:t>件</w:t>
      </w:r>
      <w:r>
        <w:rPr>
          <w:w w:val="95"/>
        </w:rPr>
        <w:t>5</w:t>
      </w:r>
      <w:r>
        <w:rPr>
          <w:w w:val="95"/>
        </w:rPr>
        <w:t>件、性別工作平等事件</w:t>
      </w:r>
      <w:r>
        <w:rPr>
          <w:w w:val="95"/>
        </w:rPr>
        <w:t>4</w:t>
      </w:r>
      <w:r>
        <w:rPr>
          <w:w w:val="95"/>
        </w:rPr>
        <w:t>件）。</w:t>
      </w:r>
      <w:r>
        <w:rPr>
          <w:w w:val="95"/>
        </w:rPr>
        <w:t>107</w:t>
      </w:r>
      <w:r>
        <w:rPr>
          <w:w w:val="95"/>
        </w:rPr>
        <w:t>年經本會決定撤銷</w:t>
      </w:r>
      <w:r>
        <w:rPr>
          <w:w w:val="95"/>
        </w:rPr>
        <w:t>69</w:t>
      </w:r>
      <w:r>
        <w:rPr>
          <w:w w:val="95"/>
        </w:rPr>
        <w:t>件，</w:t>
      </w:r>
      <w:r>
        <w:rPr>
          <w:spacing w:val="11"/>
          <w:w w:val="95"/>
        </w:rPr>
        <w:t>同樣以懲處事件</w:t>
      </w:r>
      <w:r>
        <w:rPr>
          <w:w w:val="95"/>
        </w:rPr>
        <w:t>29</w:t>
      </w:r>
      <w:r>
        <w:rPr>
          <w:spacing w:val="12"/>
          <w:w w:val="95"/>
        </w:rPr>
        <w:t>件最多，其次為公法上財產請求權事件</w:t>
      </w:r>
      <w:r>
        <w:rPr>
          <w:w w:val="95"/>
        </w:rPr>
        <w:t>22</w:t>
      </w:r>
      <w:r>
        <w:rPr>
          <w:w w:val="95"/>
        </w:rPr>
        <w:t>件</w:t>
      </w:r>
      <w:r>
        <w:rPr>
          <w:w w:val="95"/>
        </w:rPr>
        <w:t>、考績事件</w:t>
      </w:r>
      <w:r>
        <w:rPr>
          <w:w w:val="95"/>
        </w:rPr>
        <w:t>11</w:t>
      </w:r>
      <w:r>
        <w:rPr>
          <w:w w:val="95"/>
        </w:rPr>
        <w:t>件、涉及重大影響公務人員權利事件</w:t>
      </w:r>
      <w:r>
        <w:rPr>
          <w:w w:val="95"/>
        </w:rPr>
        <w:t>6</w:t>
      </w:r>
      <w:r>
        <w:rPr>
          <w:w w:val="95"/>
        </w:rPr>
        <w:t>件（含考績</w:t>
      </w:r>
      <w:r>
        <w:rPr>
          <w:w w:val="95"/>
        </w:rPr>
        <w:t>丙等事件</w:t>
      </w:r>
      <w:r>
        <w:rPr>
          <w:w w:val="95"/>
        </w:rPr>
        <w:t>3</w:t>
      </w:r>
      <w:r>
        <w:rPr>
          <w:w w:val="95"/>
        </w:rPr>
        <w:t>件，升等事件、性別工作平等事件、休假年資事件各</w:t>
      </w:r>
      <w:bookmarkStart w:id="0" w:name="_GoBack"/>
      <w:bookmarkEnd w:id="0"/>
      <w:r>
        <w:rPr>
          <w:spacing w:val="1"/>
          <w:w w:val="99"/>
        </w:rPr>
        <w:t>1</w:t>
      </w:r>
      <w:r>
        <w:rPr>
          <w:spacing w:val="2"/>
          <w:w w:val="99"/>
        </w:rPr>
        <w:t>件</w:t>
      </w:r>
      <w:r>
        <w:rPr>
          <w:spacing w:val="-161"/>
          <w:w w:val="99"/>
        </w:rPr>
        <w:t>）</w:t>
      </w:r>
      <w:r>
        <w:rPr>
          <w:w w:val="99"/>
        </w:rPr>
        <w:t>（如表三）。</w:t>
      </w:r>
    </w:p>
    <w:p w:rsidR="009D7784" w:rsidRDefault="009D7784">
      <w:pPr>
        <w:spacing w:line="278" w:lineRule="auto"/>
        <w:jc w:val="both"/>
        <w:sectPr w:rsidR="009D7784">
          <w:type w:val="continuous"/>
          <w:pgSz w:w="11910" w:h="16840"/>
          <w:pgMar w:top="1480" w:right="1060" w:bottom="1160" w:left="1020" w:header="720" w:footer="720" w:gutter="0"/>
          <w:cols w:space="720"/>
        </w:sectPr>
      </w:pPr>
    </w:p>
    <w:p w:rsidR="009D7784" w:rsidRDefault="00FB7782">
      <w:pPr>
        <w:pStyle w:val="a3"/>
        <w:spacing w:before="17"/>
        <w:ind w:left="3574"/>
      </w:pPr>
      <w:r>
        <w:rPr>
          <w:spacing w:val="-1"/>
        </w:rPr>
        <w:lastRenderedPageBreak/>
        <w:t>表三：事件類型分析比較表</w:t>
      </w:r>
    </w:p>
    <w:p w:rsidR="009D7784" w:rsidRDefault="00FB7782">
      <w:pPr>
        <w:pStyle w:val="a3"/>
        <w:spacing w:before="2"/>
        <w:rPr>
          <w:sz w:val="31"/>
        </w:rPr>
      </w:pPr>
      <w:r>
        <w:br w:type="column"/>
      </w:r>
    </w:p>
    <w:p w:rsidR="009D7784" w:rsidRDefault="00FB7782">
      <w:pPr>
        <w:spacing w:before="1"/>
        <w:ind w:left="907"/>
        <w:rPr>
          <w:sz w:val="24"/>
        </w:rPr>
      </w:pPr>
      <w:r>
        <w:pict>
          <v:group id="_x0000_s1033" style="position:absolute;left:0;text-align:left;margin-left:65.15pt;margin-top:16.5pt;width:237.55pt;height:49.1pt;z-index:-16090624;mso-position-horizontal-relative:page" coordorigin="1303,330" coordsize="4751,982">
            <v:rect id="_x0000_s1035" style="position:absolute;left:1308;top:334;width:4746;height:972" fillcolor="#e7e6e6" stroked="f"/>
            <v:line id="_x0000_s1034" style="position:absolute" from="1308,335" to="6044,1307" strokeweight=".48pt"/>
            <w10:wrap anchorx="page"/>
          </v:group>
        </w:pict>
      </w:r>
      <w:r>
        <w:rPr>
          <w:sz w:val="24"/>
        </w:rPr>
        <w:t>單位：件</w:t>
      </w:r>
    </w:p>
    <w:p w:rsidR="009D7784" w:rsidRDefault="009D7784">
      <w:pPr>
        <w:rPr>
          <w:sz w:val="24"/>
        </w:rPr>
        <w:sectPr w:rsidR="009D7784">
          <w:pgSz w:w="11910" w:h="16840"/>
          <w:pgMar w:top="1300" w:right="1060" w:bottom="1160" w:left="1020" w:header="0" w:footer="980" w:gutter="0"/>
          <w:cols w:num="2" w:space="720" w:equalWidth="0">
            <w:col w:w="7415" w:space="40"/>
            <w:col w:w="2375"/>
          </w:cols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66"/>
        <w:gridCol w:w="686"/>
        <w:gridCol w:w="1693"/>
        <w:gridCol w:w="2274"/>
        <w:gridCol w:w="2274"/>
      </w:tblGrid>
      <w:tr w:rsidR="009D7784">
        <w:trPr>
          <w:trHeight w:val="971"/>
        </w:trPr>
        <w:tc>
          <w:tcPr>
            <w:tcW w:w="2378" w:type="dxa"/>
            <w:gridSpan w:val="2"/>
            <w:tcBorders>
              <w:right w:val="nil"/>
            </w:tcBorders>
          </w:tcPr>
          <w:p w:rsidR="009D7784" w:rsidRDefault="009D7784">
            <w:pPr>
              <w:pStyle w:val="TableParagraph"/>
              <w:spacing w:before="5"/>
              <w:rPr>
                <w:sz w:val="35"/>
              </w:rPr>
            </w:pPr>
          </w:p>
          <w:p w:rsidR="009D7784" w:rsidRDefault="00FB7782">
            <w:pPr>
              <w:pStyle w:val="TableParagraph"/>
              <w:spacing w:before="1"/>
              <w:ind w:left="158"/>
              <w:rPr>
                <w:sz w:val="28"/>
              </w:rPr>
            </w:pPr>
            <w:r>
              <w:rPr>
                <w:sz w:val="28"/>
              </w:rPr>
              <w:t>撤銷事件類型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9D7784" w:rsidRDefault="009D77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  <w:tcBorders>
              <w:left w:val="nil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6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年度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:rsidR="009D7784" w:rsidRDefault="009D7784">
            <w:pPr>
              <w:pStyle w:val="TableParagraph"/>
              <w:spacing w:before="5"/>
            </w:pPr>
          </w:p>
          <w:p w:rsidR="009D7784" w:rsidRDefault="00FB7782">
            <w:pPr>
              <w:pStyle w:val="TableParagraph"/>
              <w:ind w:left="753" w:right="750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  <w:r>
              <w:rPr>
                <w:sz w:val="28"/>
              </w:rPr>
              <w:t>年</w:t>
            </w:r>
          </w:p>
        </w:tc>
        <w:tc>
          <w:tcPr>
            <w:tcW w:w="2274" w:type="dxa"/>
            <w:tcBorders>
              <w:left w:val="single" w:sz="12" w:space="0" w:color="000000"/>
            </w:tcBorders>
            <w:shd w:val="clear" w:color="auto" w:fill="E7E6E6"/>
          </w:tcPr>
          <w:p w:rsidR="009D7784" w:rsidRDefault="009D7784">
            <w:pPr>
              <w:pStyle w:val="TableParagraph"/>
              <w:spacing w:before="5"/>
            </w:pPr>
          </w:p>
          <w:p w:rsidR="009D7784" w:rsidRDefault="00FB7782">
            <w:pPr>
              <w:pStyle w:val="TableParagraph"/>
              <w:ind w:left="754" w:right="76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  <w:r>
              <w:rPr>
                <w:sz w:val="28"/>
              </w:rPr>
              <w:t>年</w:t>
            </w:r>
          </w:p>
        </w:tc>
      </w:tr>
      <w:tr w:rsidR="009D7784">
        <w:trPr>
          <w:trHeight w:val="945"/>
        </w:trPr>
        <w:tc>
          <w:tcPr>
            <w:tcW w:w="512" w:type="dxa"/>
            <w:vMerge w:val="restart"/>
          </w:tcPr>
          <w:p w:rsidR="009D7784" w:rsidRDefault="009D7784">
            <w:pPr>
              <w:pStyle w:val="TableParagraph"/>
              <w:rPr>
                <w:sz w:val="28"/>
              </w:rPr>
            </w:pPr>
          </w:p>
          <w:p w:rsidR="009D7784" w:rsidRDefault="009D7784">
            <w:pPr>
              <w:pStyle w:val="TableParagraph"/>
              <w:spacing w:before="12"/>
              <w:rPr>
                <w:sz w:val="18"/>
              </w:rPr>
            </w:pPr>
          </w:p>
          <w:p w:rsidR="009D7784" w:rsidRDefault="00FB7782">
            <w:pPr>
              <w:pStyle w:val="TableParagraph"/>
              <w:spacing w:line="244" w:lineRule="auto"/>
              <w:ind w:left="108" w:right="110"/>
              <w:jc w:val="both"/>
              <w:rPr>
                <w:sz w:val="28"/>
              </w:rPr>
            </w:pPr>
            <w:r>
              <w:rPr>
                <w:sz w:val="28"/>
              </w:rPr>
              <w:t>復審事件</w:t>
            </w: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7"/>
              <w:rPr>
                <w:sz w:val="21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渉及改變公務人員身分關係事件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－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68"/>
              <w:ind w:left="754" w:right="757"/>
              <w:jc w:val="center"/>
              <w:rPr>
                <w:sz w:val="14"/>
              </w:rPr>
            </w:pPr>
            <w:r>
              <w:rPr>
                <w:position w:val="-13"/>
                <w:sz w:val="28"/>
              </w:rPr>
              <w:t>2</w:t>
            </w:r>
            <w:r>
              <w:rPr>
                <w:sz w:val="14"/>
              </w:rPr>
              <w:t>1</w:t>
            </w:r>
          </w:p>
        </w:tc>
      </w:tr>
      <w:tr w:rsidR="009D7784">
        <w:trPr>
          <w:trHeight w:val="947"/>
        </w:trPr>
        <w:tc>
          <w:tcPr>
            <w:tcW w:w="512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7"/>
              <w:rPr>
                <w:sz w:val="21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涉及公法上財產請求權事件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3"/>
              <w:rPr>
                <w:sz w:val="19"/>
              </w:rPr>
            </w:pPr>
          </w:p>
          <w:p w:rsidR="009D7784" w:rsidRDefault="00FB7782">
            <w:pPr>
              <w:pStyle w:val="TableParagraph"/>
              <w:spacing w:before="1"/>
              <w:ind w:left="753" w:right="74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69"/>
              <w:ind w:left="754" w:right="760"/>
              <w:jc w:val="center"/>
              <w:rPr>
                <w:sz w:val="14"/>
              </w:rPr>
            </w:pPr>
            <w:r>
              <w:rPr>
                <w:sz w:val="28"/>
              </w:rPr>
              <w:t>10</w:t>
            </w:r>
            <w:r>
              <w:rPr>
                <w:position w:val="14"/>
                <w:sz w:val="14"/>
              </w:rPr>
              <w:t>2</w:t>
            </w:r>
          </w:p>
        </w:tc>
      </w:tr>
      <w:tr w:rsidR="009D7784">
        <w:trPr>
          <w:trHeight w:val="945"/>
        </w:trPr>
        <w:tc>
          <w:tcPr>
            <w:tcW w:w="512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7"/>
              <w:rPr>
                <w:sz w:val="21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涉及重大影響公務人員權利事件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68"/>
              <w:ind w:left="754" w:right="757"/>
              <w:jc w:val="center"/>
              <w:rPr>
                <w:sz w:val="14"/>
              </w:rPr>
            </w:pPr>
            <w:r>
              <w:rPr>
                <w:position w:val="-13"/>
                <w:sz w:val="28"/>
              </w:rPr>
              <w:t>9</w:t>
            </w:r>
            <w:r>
              <w:rPr>
                <w:sz w:val="14"/>
              </w:rPr>
              <w:t>3</w:t>
            </w:r>
          </w:p>
        </w:tc>
      </w:tr>
      <w:tr w:rsidR="009D7784">
        <w:trPr>
          <w:trHeight w:val="758"/>
        </w:trPr>
        <w:tc>
          <w:tcPr>
            <w:tcW w:w="512" w:type="dxa"/>
            <w:vMerge w:val="restart"/>
          </w:tcPr>
          <w:p w:rsidR="009D7784" w:rsidRDefault="009D7784">
            <w:pPr>
              <w:pStyle w:val="TableParagraph"/>
              <w:spacing w:before="12"/>
              <w:rPr>
                <w:sz w:val="39"/>
              </w:rPr>
            </w:pPr>
          </w:p>
          <w:p w:rsidR="009D7784" w:rsidRDefault="00FB7782">
            <w:pPr>
              <w:pStyle w:val="TableParagraph"/>
              <w:spacing w:line="244" w:lineRule="auto"/>
              <w:ind w:left="108" w:right="110"/>
              <w:jc w:val="both"/>
              <w:rPr>
                <w:sz w:val="28"/>
              </w:rPr>
            </w:pPr>
            <w:r>
              <w:rPr>
                <w:sz w:val="28"/>
              </w:rPr>
              <w:t>再申訴事件</w:t>
            </w: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懲處事件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753" w:right="74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754" w:right="75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D7784">
        <w:trPr>
          <w:trHeight w:val="755"/>
        </w:trPr>
        <w:tc>
          <w:tcPr>
            <w:tcW w:w="512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考績事件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753" w:right="74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67"/>
              <w:ind w:left="754" w:right="760"/>
              <w:jc w:val="center"/>
              <w:rPr>
                <w:sz w:val="14"/>
              </w:rPr>
            </w:pPr>
            <w:r>
              <w:rPr>
                <w:sz w:val="28"/>
              </w:rPr>
              <w:t>12</w:t>
            </w:r>
            <w:r>
              <w:rPr>
                <w:position w:val="14"/>
                <w:sz w:val="14"/>
              </w:rPr>
              <w:t>4</w:t>
            </w:r>
          </w:p>
        </w:tc>
      </w:tr>
      <w:tr w:rsidR="009D7784">
        <w:trPr>
          <w:trHeight w:val="758"/>
        </w:trPr>
        <w:tc>
          <w:tcPr>
            <w:tcW w:w="512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調任事件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7784">
        <w:trPr>
          <w:trHeight w:val="755"/>
        </w:trPr>
        <w:tc>
          <w:tcPr>
            <w:tcW w:w="512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gridSpan w:val="3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其他事件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268"/>
              <w:ind w:left="754" w:right="757"/>
              <w:jc w:val="center"/>
              <w:rPr>
                <w:sz w:val="14"/>
              </w:rPr>
            </w:pPr>
            <w:r>
              <w:rPr>
                <w:position w:val="-13"/>
                <w:sz w:val="28"/>
              </w:rPr>
              <w:t>3</w:t>
            </w:r>
            <w:r>
              <w:rPr>
                <w:sz w:val="14"/>
              </w:rPr>
              <w:t>5</w:t>
            </w:r>
          </w:p>
        </w:tc>
      </w:tr>
      <w:tr w:rsidR="009D7784">
        <w:trPr>
          <w:trHeight w:val="844"/>
        </w:trPr>
        <w:tc>
          <w:tcPr>
            <w:tcW w:w="512" w:type="dxa"/>
            <w:tcBorders>
              <w:right w:val="nil"/>
            </w:tcBorders>
          </w:tcPr>
          <w:p w:rsidR="009D7784" w:rsidRDefault="009D77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9D7784" w:rsidRDefault="009D7784">
            <w:pPr>
              <w:pStyle w:val="TableParagraph"/>
              <w:spacing w:before="4"/>
              <w:rPr>
                <w:sz w:val="19"/>
              </w:rPr>
            </w:pPr>
          </w:p>
          <w:p w:rsidR="009D7784" w:rsidRDefault="00FB7782">
            <w:pPr>
              <w:pStyle w:val="TableParagraph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合</w:t>
            </w:r>
          </w:p>
        </w:tc>
        <w:tc>
          <w:tcPr>
            <w:tcW w:w="2379" w:type="dxa"/>
            <w:gridSpan w:val="2"/>
            <w:tcBorders>
              <w:left w:val="nil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4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計</w:t>
            </w:r>
          </w:p>
        </w:tc>
        <w:tc>
          <w:tcPr>
            <w:tcW w:w="2274" w:type="dxa"/>
            <w:tcBorders>
              <w:left w:val="single" w:sz="12" w:space="0" w:color="000000"/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4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753" w:right="74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74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4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754" w:right="75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9D7784" w:rsidRDefault="009D7784">
      <w:pPr>
        <w:pStyle w:val="a3"/>
        <w:rPr>
          <w:sz w:val="13"/>
        </w:rPr>
      </w:pPr>
    </w:p>
    <w:p w:rsidR="009D7784" w:rsidRDefault="00FB7782">
      <w:pPr>
        <w:pStyle w:val="1"/>
      </w:pPr>
      <w:r>
        <w:t>四、撤銷原因分析比較</w:t>
      </w:r>
    </w:p>
    <w:p w:rsidR="009D7784" w:rsidRDefault="00FB7782">
      <w:pPr>
        <w:pStyle w:val="a3"/>
        <w:spacing w:before="251" w:line="278" w:lineRule="auto"/>
        <w:ind w:left="1570" w:right="181" w:hanging="977"/>
      </w:pPr>
      <w:r>
        <w:rPr>
          <w:w w:val="95"/>
        </w:rPr>
        <w:t>（一）</w:t>
      </w:r>
      <w:r>
        <w:rPr>
          <w:rFonts w:ascii="Times New Roman" w:eastAsia="Times New Roman"/>
          <w:w w:val="95"/>
        </w:rPr>
        <w:t>108</w:t>
      </w:r>
      <w:r>
        <w:rPr>
          <w:rFonts w:ascii="Times New Roman" w:eastAsia="Times New Roman"/>
          <w:spacing w:val="67"/>
          <w:w w:val="95"/>
        </w:rPr>
        <w:t xml:space="preserve"> </w:t>
      </w:r>
      <w:r>
        <w:rPr>
          <w:spacing w:val="4"/>
          <w:w w:val="95"/>
        </w:rPr>
        <w:t>年經本會審議決定撤銷之保障事件</w:t>
      </w:r>
      <w:r>
        <w:rPr>
          <w:spacing w:val="4"/>
          <w:w w:val="95"/>
        </w:rPr>
        <w:t xml:space="preserve"> </w:t>
      </w:r>
      <w:r>
        <w:rPr>
          <w:rFonts w:ascii="Times New Roman" w:eastAsia="Times New Roman"/>
          <w:w w:val="95"/>
        </w:rPr>
        <w:t>64</w:t>
      </w:r>
      <w:r>
        <w:rPr>
          <w:rFonts w:ascii="Times New Roman" w:eastAsia="Times New Roman"/>
          <w:spacing w:val="61"/>
          <w:w w:val="95"/>
        </w:rPr>
        <w:t xml:space="preserve"> </w:t>
      </w:r>
      <w:r>
        <w:rPr>
          <w:w w:val="95"/>
        </w:rPr>
        <w:t>件，就撤銷原因</w:t>
      </w:r>
      <w:r>
        <w:rPr>
          <w:spacing w:val="1"/>
        </w:rPr>
        <w:t>分析，以事實未經詳實調查或認定有誤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26</w:t>
      </w:r>
      <w:r>
        <w:rPr>
          <w:rFonts w:ascii="Times New Roman" w:eastAsia="Times New Roman"/>
          <w:spacing w:val="108"/>
        </w:rPr>
        <w:t xml:space="preserve"> </w:t>
      </w:r>
      <w:r>
        <w:t>件最多，其次</w:t>
      </w:r>
    </w:p>
    <w:p w:rsidR="009D7784" w:rsidRDefault="00FB7782">
      <w:pPr>
        <w:pStyle w:val="a3"/>
        <w:spacing w:before="3"/>
        <w:ind w:left="1570"/>
      </w:pPr>
      <w:r>
        <w:rPr>
          <w:spacing w:val="2"/>
        </w:rPr>
        <w:t>是辦理考績程序不合法</w:t>
      </w:r>
      <w:r>
        <w:rPr>
          <w:spacing w:val="2"/>
        </w:rPr>
        <w:t xml:space="preserve"> </w:t>
      </w:r>
      <w:r>
        <w:rPr>
          <w:rFonts w:ascii="Times New Roman" w:eastAsia="Times New Roman"/>
        </w:rPr>
        <w:t>18</w:t>
      </w:r>
      <w:r>
        <w:rPr>
          <w:rFonts w:ascii="Times New Roman" w:eastAsia="Times New Roman"/>
          <w:spacing w:val="107"/>
        </w:rPr>
        <w:t xml:space="preserve"> </w:t>
      </w:r>
      <w:r>
        <w:t>件、違反一行為不二罰或未整</w:t>
      </w:r>
    </w:p>
    <w:p w:rsidR="009D7784" w:rsidRDefault="00FB7782">
      <w:pPr>
        <w:pStyle w:val="a3"/>
        <w:spacing w:before="71"/>
        <w:ind w:left="1570"/>
      </w:pPr>
      <w:r>
        <w:rPr>
          <w:w w:val="95"/>
        </w:rPr>
        <w:t>體考量違失行為</w:t>
      </w:r>
      <w:r>
        <w:rPr>
          <w:spacing w:val="150"/>
        </w:rPr>
        <w:t xml:space="preserve"> </w:t>
      </w:r>
      <w:r>
        <w:rPr>
          <w:w w:val="95"/>
        </w:rPr>
        <w:t>6</w:t>
      </w:r>
      <w:r>
        <w:rPr>
          <w:spacing w:val="150"/>
        </w:rPr>
        <w:t xml:space="preserve"> </w:t>
      </w:r>
      <w:r>
        <w:rPr>
          <w:w w:val="95"/>
        </w:rPr>
        <w:t>件，懲處事實與所依據法令規定之構成</w:t>
      </w:r>
    </w:p>
    <w:p w:rsidR="009D7784" w:rsidRDefault="00FB7782">
      <w:pPr>
        <w:pStyle w:val="a3"/>
        <w:spacing w:before="73"/>
        <w:ind w:left="1570"/>
      </w:pPr>
      <w:r>
        <w:rPr>
          <w:spacing w:val="8"/>
          <w:w w:val="95"/>
        </w:rPr>
        <w:t>要件未合</w:t>
      </w:r>
      <w:r>
        <w:rPr>
          <w:spacing w:val="8"/>
          <w:w w:val="95"/>
        </w:rPr>
        <w:t xml:space="preserve"> </w:t>
      </w:r>
      <w:r>
        <w:rPr>
          <w:w w:val="95"/>
        </w:rPr>
        <w:t>4</w:t>
      </w:r>
      <w:r>
        <w:rPr>
          <w:spacing w:val="12"/>
          <w:w w:val="95"/>
        </w:rPr>
        <w:t xml:space="preserve"> </w:t>
      </w:r>
      <w:r>
        <w:rPr>
          <w:spacing w:val="12"/>
          <w:w w:val="95"/>
        </w:rPr>
        <w:t>件。相較</w:t>
      </w:r>
      <w:r>
        <w:rPr>
          <w:spacing w:val="12"/>
          <w:w w:val="95"/>
        </w:rPr>
        <w:t xml:space="preserve"> </w:t>
      </w:r>
      <w:r>
        <w:rPr>
          <w:rFonts w:ascii="Times New Roman" w:eastAsia="Times New Roman"/>
          <w:w w:val="95"/>
        </w:rPr>
        <w:t>107</w:t>
      </w:r>
      <w:r>
        <w:rPr>
          <w:rFonts w:ascii="Times New Roman" w:eastAsia="Times New Roman"/>
          <w:spacing w:val="112"/>
        </w:rPr>
        <w:t xml:space="preserve"> </w:t>
      </w:r>
      <w:r>
        <w:rPr>
          <w:w w:val="95"/>
        </w:rPr>
        <w:t>年，事實未經詳實調查或認定有</w:t>
      </w:r>
    </w:p>
    <w:p w:rsidR="009D7784" w:rsidRDefault="00FB7782">
      <w:pPr>
        <w:pStyle w:val="a3"/>
        <w:spacing w:before="74"/>
        <w:ind w:left="1570"/>
      </w:pPr>
      <w:r>
        <w:rPr>
          <w:spacing w:val="8"/>
        </w:rPr>
        <w:t>誤之件數增加</w:t>
      </w:r>
      <w:r>
        <w:rPr>
          <w:spacing w:val="8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4"/>
        </w:rPr>
        <w:t>件，辦理考績程序不合法之件數減少</w:t>
      </w:r>
      <w:r>
        <w:rPr>
          <w:spacing w:val="4"/>
        </w:rPr>
        <w:t xml:space="preserve"> </w:t>
      </w:r>
      <w:r>
        <w:t>6</w:t>
      </w:r>
    </w:p>
    <w:p w:rsidR="009D7784" w:rsidRDefault="00FB7782">
      <w:pPr>
        <w:pStyle w:val="a3"/>
        <w:spacing w:before="12"/>
        <w:rPr>
          <w:sz w:val="20"/>
        </w:rPr>
      </w:pPr>
      <w:r>
        <w:pict>
          <v:rect id="_x0000_s1032" style="position:absolute;margin-left:62.4pt;margin-top:16.5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D7784" w:rsidRDefault="00FB7782">
      <w:pPr>
        <w:spacing w:before="71" w:line="271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渉及改變公務人員身分關係事件，包含升等事件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rFonts w:ascii="新細明體" w:eastAsia="新細明體" w:hint="eastAsia"/>
          <w:spacing w:val="-1"/>
          <w:sz w:val="20"/>
        </w:rPr>
        <w:t>件、學術倫理事件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rFonts w:ascii="新細明體" w:eastAsia="新細明體" w:hint="eastAsia"/>
          <w:spacing w:val="-1"/>
          <w:sz w:val="20"/>
        </w:rPr>
        <w:t>件，計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2 </w:t>
      </w:r>
      <w:r>
        <w:rPr>
          <w:rFonts w:ascii="新細明體" w:eastAsia="新細明體" w:hint="eastAsia"/>
          <w:sz w:val="20"/>
        </w:rPr>
        <w:t>件。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2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涉及公法上財產請求權事件，包含加班費事件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8 </w:t>
      </w:r>
      <w:r>
        <w:rPr>
          <w:rFonts w:ascii="新細明體" w:eastAsia="新細明體" w:hint="eastAsia"/>
          <w:spacing w:val="-1"/>
          <w:sz w:val="20"/>
        </w:rPr>
        <w:t>件、退休金事件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rFonts w:ascii="新細明體" w:eastAsia="新細明體" w:hint="eastAsia"/>
          <w:spacing w:val="-1"/>
          <w:sz w:val="20"/>
        </w:rPr>
        <w:t>件、追繳加給事件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rFonts w:ascii="新細明體" w:eastAsia="新細明體" w:hint="eastAsia"/>
          <w:spacing w:val="-1"/>
          <w:sz w:val="20"/>
        </w:rPr>
        <w:t>件，計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 </w:t>
      </w:r>
      <w:r>
        <w:rPr>
          <w:rFonts w:ascii="新細明體" w:eastAsia="新細明體" w:hint="eastAsia"/>
          <w:sz w:val="20"/>
        </w:rPr>
        <w:t>件。</w:t>
      </w:r>
    </w:p>
    <w:p w:rsidR="009D7784" w:rsidRDefault="00FB7782">
      <w:pPr>
        <w:spacing w:line="25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3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涉及重大影響公務人員權利事件，包含考績丙等事件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5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件、性別工作平等事件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4 </w:t>
      </w:r>
      <w:r>
        <w:rPr>
          <w:rFonts w:ascii="新細明體" w:eastAsia="新細明體" w:hint="eastAsia"/>
          <w:spacing w:val="-1"/>
          <w:sz w:val="20"/>
        </w:rPr>
        <w:t>件，計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9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件。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4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含程序撤銷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rFonts w:ascii="新細明體" w:eastAsia="新細明體" w:hint="eastAsia"/>
          <w:sz w:val="20"/>
        </w:rPr>
        <w:t>件。</w:t>
      </w:r>
    </w:p>
    <w:p w:rsidR="009D7784" w:rsidRDefault="00FB7782">
      <w:pPr>
        <w:spacing w:line="271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5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其他事件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3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件均為行政管理事件，其中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件為程序撤銷，僅單撤申訴函復。</w:t>
      </w:r>
    </w:p>
    <w:p w:rsidR="009D7784" w:rsidRDefault="009D7784">
      <w:pPr>
        <w:spacing w:line="271" w:lineRule="exact"/>
        <w:rPr>
          <w:rFonts w:ascii="新細明體" w:eastAsia="新細明體" w:hint="eastAsia"/>
          <w:sz w:val="20"/>
        </w:rPr>
        <w:sectPr w:rsidR="009D7784">
          <w:type w:val="continuous"/>
          <w:pgSz w:w="11910" w:h="16840"/>
          <w:pgMar w:top="1480" w:right="1060" w:bottom="1160" w:left="1020" w:header="720" w:footer="72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1570" w:right="182"/>
        <w:jc w:val="both"/>
      </w:pPr>
      <w:r>
        <w:rPr>
          <w:w w:val="95"/>
        </w:rPr>
        <w:lastRenderedPageBreak/>
        <w:t>件，懲處事實與所依據法令規定之構成要件未合之件數增</w:t>
      </w:r>
      <w:r>
        <w:rPr>
          <w:spacing w:val="23"/>
          <w:w w:val="95"/>
        </w:rPr>
        <w:t xml:space="preserve"> </w:t>
      </w:r>
      <w:r>
        <w:rPr>
          <w:spacing w:val="15"/>
          <w:w w:val="95"/>
        </w:rPr>
        <w:t>加</w:t>
      </w:r>
      <w:r>
        <w:rPr>
          <w:spacing w:val="15"/>
          <w:w w:val="95"/>
        </w:rPr>
        <w:t xml:space="preserve"> </w:t>
      </w:r>
      <w:r>
        <w:rPr>
          <w:w w:val="95"/>
        </w:rPr>
        <w:t>4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件，違反追繳金錢給付時效或期間規定減少</w:t>
      </w:r>
      <w:r>
        <w:rPr>
          <w:spacing w:val="1"/>
          <w:w w:val="95"/>
        </w:rPr>
        <w:t xml:space="preserve"> </w:t>
      </w:r>
      <w:r>
        <w:rPr>
          <w:w w:val="95"/>
        </w:rPr>
        <w:t>5</w:t>
      </w:r>
      <w:r>
        <w:rPr>
          <w:spacing w:val="7"/>
          <w:w w:val="95"/>
        </w:rPr>
        <w:t xml:space="preserve"> </w:t>
      </w:r>
      <w:r>
        <w:rPr>
          <w:spacing w:val="7"/>
          <w:w w:val="95"/>
        </w:rPr>
        <w:t>件。是</w:t>
      </w:r>
      <w:r>
        <w:rPr>
          <w:w w:val="95"/>
        </w:rPr>
        <w:t>事實未經詳實調查或認定有誤，及懲處事實與所依據法令</w:t>
      </w:r>
      <w:r>
        <w:rPr>
          <w:spacing w:val="23"/>
          <w:w w:val="95"/>
        </w:rPr>
        <w:t xml:space="preserve"> </w:t>
      </w:r>
      <w:r>
        <w:rPr>
          <w:w w:val="95"/>
        </w:rPr>
        <w:t>規定之構成要件未合之件數，均較為增加；至違反懲處權</w:t>
      </w:r>
      <w:r>
        <w:rPr>
          <w:spacing w:val="5"/>
          <w:w w:val="95"/>
        </w:rPr>
        <w:t xml:space="preserve"> </w:t>
      </w:r>
      <w:r>
        <w:rPr>
          <w:spacing w:val="16"/>
          <w:w w:val="95"/>
        </w:rPr>
        <w:t>時效、涉及違反其他時效規定</w:t>
      </w:r>
      <w:r>
        <w:rPr>
          <w:rFonts w:ascii="新細明體" w:eastAsia="新細明體" w:hint="eastAsia"/>
          <w:spacing w:val="14"/>
          <w:w w:val="95"/>
        </w:rPr>
        <w:t>（</w:t>
      </w:r>
      <w:r>
        <w:rPr>
          <w:spacing w:val="16"/>
          <w:w w:val="95"/>
        </w:rPr>
        <w:t>除斥期間、追繳期間</w:t>
      </w:r>
      <w:r>
        <w:rPr>
          <w:w w:val="95"/>
        </w:rPr>
        <w:t>）</w:t>
      </w:r>
      <w:r>
        <w:rPr>
          <w:spacing w:val="1"/>
          <w:w w:val="95"/>
        </w:rPr>
        <w:t xml:space="preserve"> </w:t>
      </w:r>
      <w:r>
        <w:t>者，則均較為減少（如表四</w:t>
      </w:r>
      <w:r>
        <w:rPr>
          <w:spacing w:val="-159"/>
        </w:rPr>
        <w:t>）</w:t>
      </w:r>
      <w:r>
        <w:t>。</w:t>
      </w:r>
    </w:p>
    <w:p w:rsidR="009D7784" w:rsidRDefault="009D7784">
      <w:pPr>
        <w:pStyle w:val="a3"/>
        <w:spacing w:before="8"/>
        <w:rPr>
          <w:sz w:val="27"/>
        </w:rPr>
      </w:pPr>
    </w:p>
    <w:p w:rsidR="009D7784" w:rsidRDefault="009D7784">
      <w:pPr>
        <w:rPr>
          <w:sz w:val="27"/>
        </w:rPr>
        <w:sectPr w:rsidR="009D7784">
          <w:pgSz w:w="11910" w:h="16840"/>
          <w:pgMar w:top="130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36"/>
        <w:ind w:left="3428"/>
      </w:pPr>
      <w:r>
        <w:rPr>
          <w:w w:val="95"/>
        </w:rPr>
        <w:t>表四</w:t>
      </w:r>
      <w:r>
        <w:rPr>
          <w:rFonts w:ascii="新細明體" w:eastAsia="新細明體" w:hint="eastAsia"/>
          <w:w w:val="95"/>
        </w:rPr>
        <w:t>：</w:t>
      </w:r>
      <w:r>
        <w:rPr>
          <w:w w:val="95"/>
        </w:rPr>
        <w:t>撤銷原因分析比較表</w:t>
      </w:r>
    </w:p>
    <w:p w:rsidR="009D7784" w:rsidRDefault="00FB7782">
      <w:pPr>
        <w:pStyle w:val="a3"/>
        <w:spacing w:before="9"/>
      </w:pPr>
      <w:r>
        <w:br w:type="column"/>
      </w:r>
    </w:p>
    <w:p w:rsidR="009D7784" w:rsidRDefault="00FB7782">
      <w:pPr>
        <w:ind w:left="1053"/>
        <w:rPr>
          <w:sz w:val="24"/>
        </w:rPr>
      </w:pPr>
      <w:r>
        <w:pict>
          <v:group id="_x0000_s1029" style="position:absolute;left:0;text-align:left;margin-left:57pt;margin-top:16.45pt;width:240.2pt;height:42.75pt;z-index:-16090112;mso-position-horizontal-relative:page" coordorigin="1140,329" coordsize="4804,855">
            <v:rect id="_x0000_s1031" style="position:absolute;left:1144;top:333;width:4792;height:846" fillcolor="#e7e6e6" stroked="f"/>
            <v:line id="_x0000_s1030" style="position:absolute" from="1145,334" to="5939,1179" strokeweight=".48pt"/>
            <w10:wrap anchorx="page"/>
          </v:group>
        </w:pict>
      </w:r>
      <w:r>
        <w:rPr>
          <w:sz w:val="24"/>
        </w:rPr>
        <w:t>單位：件</w:t>
      </w:r>
    </w:p>
    <w:p w:rsidR="009D7784" w:rsidRDefault="009D7784">
      <w:pPr>
        <w:rPr>
          <w:sz w:val="24"/>
        </w:rPr>
        <w:sectPr w:rsidR="009D7784">
          <w:type w:val="continuous"/>
          <w:pgSz w:w="11910" w:h="16840"/>
          <w:pgMar w:top="1480" w:right="1060" w:bottom="1160" w:left="1020" w:header="720" w:footer="720" w:gutter="0"/>
          <w:cols w:num="2" w:space="720" w:equalWidth="0">
            <w:col w:w="7268" w:space="40"/>
            <w:col w:w="2522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03"/>
        <w:gridCol w:w="503"/>
        <w:gridCol w:w="1897"/>
        <w:gridCol w:w="2209"/>
        <w:gridCol w:w="2420"/>
      </w:tblGrid>
      <w:tr w:rsidR="009D7784">
        <w:trPr>
          <w:trHeight w:val="845"/>
        </w:trPr>
        <w:tc>
          <w:tcPr>
            <w:tcW w:w="2399" w:type="dxa"/>
            <w:gridSpan w:val="2"/>
            <w:tcBorders>
              <w:right w:val="nil"/>
            </w:tcBorders>
          </w:tcPr>
          <w:p w:rsidR="009D7784" w:rsidRDefault="009D7784">
            <w:pPr>
              <w:pStyle w:val="TableParagraph"/>
              <w:spacing w:before="8"/>
              <w:rPr>
                <w:sz w:val="23"/>
              </w:rPr>
            </w:pPr>
          </w:p>
          <w:p w:rsidR="009D7784" w:rsidRDefault="00FB7782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撤銷原因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:rsidR="009D7784" w:rsidRDefault="009D77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7" w:type="dxa"/>
            <w:tcBorders>
              <w:left w:val="nil"/>
            </w:tcBorders>
          </w:tcPr>
          <w:p w:rsidR="009D7784" w:rsidRDefault="00FB7782">
            <w:pPr>
              <w:pStyle w:val="TableParagraph"/>
              <w:spacing w:line="313" w:lineRule="exact"/>
              <w:ind w:left="91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  <w:shd w:val="clear" w:color="auto" w:fill="E7E6E6"/>
          </w:tcPr>
          <w:p w:rsidR="009D7784" w:rsidRDefault="009D7784">
            <w:pPr>
              <w:pStyle w:val="TableParagraph"/>
              <w:spacing w:before="5"/>
              <w:rPr>
                <w:sz w:val="17"/>
              </w:rPr>
            </w:pPr>
          </w:p>
          <w:p w:rsidR="009D7784" w:rsidRDefault="00FB7782">
            <w:pPr>
              <w:pStyle w:val="TableParagraph"/>
              <w:ind w:left="786" w:right="76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  <w:r>
              <w:rPr>
                <w:sz w:val="24"/>
              </w:rPr>
              <w:t>年</w:t>
            </w:r>
          </w:p>
        </w:tc>
        <w:tc>
          <w:tcPr>
            <w:tcW w:w="2420" w:type="dxa"/>
            <w:tcBorders>
              <w:left w:val="single" w:sz="12" w:space="0" w:color="000000"/>
            </w:tcBorders>
            <w:shd w:val="clear" w:color="auto" w:fill="E7E6E6"/>
          </w:tcPr>
          <w:p w:rsidR="009D7784" w:rsidRDefault="009D7784">
            <w:pPr>
              <w:pStyle w:val="TableParagraph"/>
              <w:spacing w:before="5"/>
              <w:rPr>
                <w:sz w:val="17"/>
              </w:rPr>
            </w:pPr>
          </w:p>
          <w:p w:rsidR="009D7784" w:rsidRDefault="00FB7782">
            <w:pPr>
              <w:pStyle w:val="TableParagraph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z w:val="24"/>
              </w:rPr>
              <w:t>年</w:t>
            </w:r>
          </w:p>
        </w:tc>
      </w:tr>
      <w:tr w:rsidR="009D7784">
        <w:trPr>
          <w:trHeight w:val="561"/>
        </w:trPr>
        <w:tc>
          <w:tcPr>
            <w:tcW w:w="4799" w:type="dxa"/>
            <w:gridSpan w:val="4"/>
          </w:tcPr>
          <w:p w:rsidR="009D7784" w:rsidRDefault="00FB7782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申訴函復機關錯誤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2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784">
        <w:trPr>
          <w:trHeight w:val="635"/>
        </w:trPr>
        <w:tc>
          <w:tcPr>
            <w:tcW w:w="4799" w:type="dxa"/>
            <w:gridSpan w:val="4"/>
          </w:tcPr>
          <w:p w:rsidR="009D7784" w:rsidRDefault="00FB778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辦理考績程序不合法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73"/>
              <w:ind w:left="786" w:right="7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73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D7784">
        <w:trPr>
          <w:trHeight w:val="544"/>
        </w:trPr>
        <w:tc>
          <w:tcPr>
            <w:tcW w:w="696" w:type="dxa"/>
            <w:vMerge w:val="restart"/>
          </w:tcPr>
          <w:p w:rsidR="009D7784" w:rsidRDefault="009D7784">
            <w:pPr>
              <w:pStyle w:val="TableParagraph"/>
              <w:spacing w:before="1"/>
              <w:rPr>
                <w:sz w:val="32"/>
              </w:rPr>
            </w:pPr>
          </w:p>
          <w:p w:rsidR="009D7784" w:rsidRDefault="00FB7782">
            <w:pPr>
              <w:pStyle w:val="TableParagraph"/>
              <w:spacing w:line="228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適用法律違誤</w:t>
            </w: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欠缺處分權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784">
        <w:trPr>
          <w:trHeight w:val="546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逾懲處權時效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2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784">
        <w:trPr>
          <w:trHeight w:val="866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18" w:line="329" w:lineRule="exact"/>
              <w:ind w:left="108"/>
              <w:rPr>
                <w:sz w:val="24"/>
              </w:rPr>
            </w:pPr>
            <w:r>
              <w:rPr>
                <w:sz w:val="24"/>
              </w:rPr>
              <w:t>違反時效規定（除斥期間、追繳期間</w:t>
            </w:r>
          </w:p>
          <w:p w:rsidR="009D7784" w:rsidRDefault="00FB7782">
            <w:pPr>
              <w:pStyle w:val="TableParagraph"/>
              <w:spacing w:line="329" w:lineRule="exact"/>
              <w:ind w:left="108"/>
              <w:rPr>
                <w:sz w:val="24"/>
              </w:rPr>
            </w:pPr>
            <w:r>
              <w:rPr>
                <w:spacing w:val="-121"/>
                <w:sz w:val="24"/>
              </w:rPr>
              <w:t>）</w:t>
            </w:r>
            <w:r>
              <w:rPr>
                <w:sz w:val="24"/>
              </w:rPr>
              <w:t>、逾期限未作為（命應作為）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784">
        <w:trPr>
          <w:trHeight w:val="865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27" w:line="23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違反一行為不二罰或未整體考量違失行為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7784">
        <w:trPr>
          <w:trHeight w:val="623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適用法規顯有違誤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784">
        <w:trPr>
          <w:trHeight w:val="865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27" w:line="23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未就有利不利事證一併考量或有與事件無關之考量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7784">
        <w:trPr>
          <w:trHeight w:val="616"/>
        </w:trPr>
        <w:tc>
          <w:tcPr>
            <w:tcW w:w="696" w:type="dxa"/>
            <w:vMerge w:val="restart"/>
          </w:tcPr>
          <w:p w:rsidR="009D7784" w:rsidRDefault="00FB7782">
            <w:pPr>
              <w:pStyle w:val="TableParagraph"/>
              <w:spacing w:before="130" w:line="228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認定事實錯誤</w:t>
            </w: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54"/>
              <w:ind w:left="108"/>
              <w:rPr>
                <w:sz w:val="24"/>
              </w:rPr>
            </w:pPr>
            <w:r>
              <w:rPr>
                <w:sz w:val="24"/>
              </w:rPr>
              <w:t>事實未經詳實調查或認定有誤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54"/>
              <w:ind w:left="786" w:right="7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54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D7784">
        <w:trPr>
          <w:trHeight w:val="866"/>
        </w:trPr>
        <w:tc>
          <w:tcPr>
            <w:tcW w:w="696" w:type="dxa"/>
            <w:vMerge/>
            <w:tcBorders>
              <w:top w:val="nil"/>
            </w:tcBorders>
          </w:tcPr>
          <w:p w:rsidR="009D7784" w:rsidRDefault="009D7784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gridSpan w:val="3"/>
          </w:tcPr>
          <w:p w:rsidR="009D7784" w:rsidRDefault="00FB7782">
            <w:pPr>
              <w:pStyle w:val="TableParagraph"/>
              <w:spacing w:before="130" w:line="22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懲處事實與所依據法令規定之構成要件未合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9D7784">
            <w:pPr>
              <w:pStyle w:val="TableParagraph"/>
              <w:spacing w:before="13"/>
              <w:rPr>
                <w:sz w:val="19"/>
              </w:rPr>
            </w:pPr>
          </w:p>
          <w:p w:rsidR="009D7784" w:rsidRDefault="00FB778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7784">
        <w:trPr>
          <w:trHeight w:val="546"/>
        </w:trPr>
        <w:tc>
          <w:tcPr>
            <w:tcW w:w="696" w:type="dxa"/>
            <w:tcBorders>
              <w:right w:val="nil"/>
            </w:tcBorders>
          </w:tcPr>
          <w:p w:rsidR="009D7784" w:rsidRDefault="009D77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9D7784" w:rsidRDefault="00FB7782">
            <w:pPr>
              <w:pStyle w:val="TableParagraph"/>
              <w:spacing w:before="118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2400" w:type="dxa"/>
            <w:gridSpan w:val="2"/>
            <w:tcBorders>
              <w:left w:val="nil"/>
            </w:tcBorders>
          </w:tcPr>
          <w:p w:rsidR="009D7784" w:rsidRDefault="00FB7782">
            <w:pPr>
              <w:pStyle w:val="TableParagraph"/>
              <w:spacing w:before="118"/>
              <w:ind w:left="186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 w:rsidR="009D7784" w:rsidRDefault="00FB7782">
            <w:pPr>
              <w:pStyle w:val="TableParagraph"/>
              <w:spacing w:before="118"/>
              <w:ind w:left="786" w:right="76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20" w:type="dxa"/>
            <w:tcBorders>
              <w:left w:val="single" w:sz="12" w:space="0" w:color="000000"/>
            </w:tcBorders>
          </w:tcPr>
          <w:p w:rsidR="009D7784" w:rsidRDefault="00FB7782">
            <w:pPr>
              <w:pStyle w:val="TableParagraph"/>
              <w:spacing w:before="118"/>
              <w:ind w:left="885" w:right="87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9D7784" w:rsidRDefault="009D7784">
      <w:pPr>
        <w:jc w:val="center"/>
        <w:rPr>
          <w:sz w:val="24"/>
        </w:rPr>
        <w:sectPr w:rsidR="009D7784">
          <w:type w:val="continuous"/>
          <w:pgSz w:w="11910" w:h="16840"/>
          <w:pgMar w:top="1480" w:right="1060" w:bottom="1160" w:left="1020" w:header="720" w:footer="72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1188" w:right="179" w:hanging="961"/>
        <w:jc w:val="both"/>
      </w:pPr>
      <w:r>
        <w:rPr>
          <w:w w:val="95"/>
        </w:rPr>
        <w:lastRenderedPageBreak/>
        <w:t>（二）茲就就前揭未經詳實調查或事實認定有誤、辦理考績程序不</w:t>
      </w:r>
      <w:r>
        <w:rPr>
          <w:spacing w:val="145"/>
        </w:rPr>
        <w:t xml:space="preserve"> </w:t>
      </w:r>
      <w:r>
        <w:rPr>
          <w:w w:val="95"/>
        </w:rPr>
        <w:t>合法、違反一行為不二罰或未整體考量，及懲處事實與所依</w:t>
      </w:r>
      <w:r>
        <w:rPr>
          <w:spacing w:val="88"/>
          <w:w w:val="95"/>
        </w:rPr>
        <w:t xml:space="preserve"> </w:t>
      </w:r>
      <w:r>
        <w:t>據法令規定之構成要件未合等撤銷原因之案例，說明如下︰</w:t>
      </w:r>
    </w:p>
    <w:p w:rsidR="009D7784" w:rsidRDefault="00FB7782">
      <w:pPr>
        <w:pStyle w:val="a3"/>
        <w:spacing w:before="183"/>
        <w:ind w:left="718"/>
      </w:pPr>
      <w:r>
        <w:rPr>
          <w:rFonts w:ascii="Times New Roman" w:eastAsia="Times New Roman"/>
        </w:rPr>
        <w:t>1</w:t>
      </w:r>
      <w:r>
        <w:t>、事實未經詳實調查、認定有誤</w:t>
      </w:r>
    </w:p>
    <w:p w:rsidR="009D7784" w:rsidRDefault="00FB7782">
      <w:pPr>
        <w:pStyle w:val="a3"/>
        <w:spacing w:before="251" w:line="278" w:lineRule="auto"/>
        <w:ind w:left="1246" w:right="183" w:firstLine="477"/>
        <w:jc w:val="both"/>
      </w:pPr>
      <w:r>
        <w:rPr>
          <w:w w:val="95"/>
        </w:rPr>
        <w:t>多為服務機關對於所屬人員之違失行為，未詳加調查，</w:t>
      </w:r>
      <w:r>
        <w:rPr>
          <w:spacing w:val="6"/>
          <w:w w:val="95"/>
        </w:rPr>
        <w:t xml:space="preserve"> </w:t>
      </w:r>
      <w:r>
        <w:rPr>
          <w:spacing w:val="11"/>
          <w:w w:val="95"/>
        </w:rPr>
        <w:t>或認定事實有誤，即逕予懲處者</w:t>
      </w:r>
      <w:r>
        <w:rPr>
          <w:rFonts w:ascii="Times New Roman" w:eastAsia="Times New Roman"/>
          <w:spacing w:val="12"/>
          <w:w w:val="95"/>
          <w:vertAlign w:val="superscript"/>
        </w:rPr>
        <w:t>6</w:t>
      </w:r>
      <w:r>
        <w:rPr>
          <w:spacing w:val="10"/>
          <w:w w:val="95"/>
        </w:rPr>
        <w:t>；或對公務人員於值班期</w:t>
      </w:r>
      <w:r>
        <w:rPr>
          <w:spacing w:val="1"/>
          <w:w w:val="95"/>
        </w:rPr>
        <w:t xml:space="preserve"> </w:t>
      </w:r>
      <w:r>
        <w:rPr>
          <w:w w:val="95"/>
        </w:rPr>
        <w:t>間如有處理本職業務之事實，是否不得認為加班，服務機關</w:t>
      </w:r>
      <w:r>
        <w:rPr>
          <w:spacing w:val="42"/>
          <w:w w:val="95"/>
        </w:rPr>
        <w:t xml:space="preserve"> </w:t>
      </w:r>
      <w:r>
        <w:rPr>
          <w:w w:val="95"/>
        </w:rPr>
        <w:t>未依當事人之申請善盡職權調查責任，審視工作性質、內容</w:t>
      </w:r>
      <w:r>
        <w:rPr>
          <w:spacing w:val="42"/>
          <w:w w:val="95"/>
        </w:rPr>
        <w:t xml:space="preserve"> </w:t>
      </w:r>
      <w:r>
        <w:rPr>
          <w:w w:val="95"/>
        </w:rPr>
        <w:t>及起迄期間，俾究明加班時數多寡，而依相關法令給予加班</w:t>
      </w:r>
      <w:r>
        <w:rPr>
          <w:spacing w:val="42"/>
          <w:w w:val="95"/>
        </w:rPr>
        <w:t xml:space="preserve"> </w:t>
      </w:r>
      <w:r>
        <w:rPr>
          <w:w w:val="95"/>
        </w:rPr>
        <w:t>費、補休假、獎勵或其他相當之補償，即遽為否准加班補償</w:t>
      </w:r>
      <w:r>
        <w:rPr>
          <w:spacing w:val="16"/>
          <w:w w:val="95"/>
        </w:rPr>
        <w:t xml:space="preserve"> </w:t>
      </w:r>
      <w:r>
        <w:t>之申請</w:t>
      </w:r>
      <w:r>
        <w:rPr>
          <w:rFonts w:ascii="Times New Roman" w:eastAsia="Times New Roman"/>
          <w:vertAlign w:val="superscript"/>
        </w:rPr>
        <w:t>7</w:t>
      </w:r>
      <w:r>
        <w:t>等。</w:t>
      </w:r>
    </w:p>
    <w:p w:rsidR="009D7784" w:rsidRDefault="00FB7782">
      <w:pPr>
        <w:pStyle w:val="a3"/>
        <w:spacing w:before="188"/>
        <w:ind w:left="708"/>
      </w:pPr>
      <w:r>
        <w:rPr>
          <w:rFonts w:ascii="Times New Roman" w:eastAsia="Times New Roman"/>
        </w:rPr>
        <w:t>2</w:t>
      </w:r>
      <w:r>
        <w:t>、辦理考績程序不合法</w:t>
      </w:r>
    </w:p>
    <w:p w:rsidR="009D7784" w:rsidRDefault="00FB7782">
      <w:pPr>
        <w:pStyle w:val="a3"/>
        <w:spacing w:before="253" w:line="278" w:lineRule="auto"/>
        <w:ind w:left="1243" w:right="153" w:firstLine="674"/>
        <w:jc w:val="both"/>
      </w:pPr>
      <w:r>
        <w:t>各機關辦理公務人員年終考績及平時考核獎懲時，應依公務人員考績法、同法施行細則及考績委員會組織規程等規定辦理，部分機關因未依上開規定辦理，致有程序瑕疵，如</w:t>
      </w:r>
      <w:r>
        <w:rPr>
          <w:spacing w:val="11"/>
        </w:rPr>
        <w:t>支援他單位者之考績評擬，非由原單位主管為之</w:t>
      </w:r>
      <w:r>
        <w:rPr>
          <w:rFonts w:ascii="Times New Roman" w:eastAsia="Times New Roman"/>
          <w:spacing w:val="12"/>
          <w:vertAlign w:val="superscript"/>
        </w:rPr>
        <w:t>8</w:t>
      </w:r>
      <w:r>
        <w:rPr>
          <w:spacing w:val="9"/>
        </w:rPr>
        <w:t>；由代理</w:t>
      </w:r>
      <w:r>
        <w:rPr>
          <w:spacing w:val="26"/>
          <w:w w:val="95"/>
        </w:rPr>
        <w:t>之人事主管擔任考績委員會之當然委員</w:t>
      </w:r>
      <w:r>
        <w:rPr>
          <w:rFonts w:ascii="Times New Roman" w:eastAsia="Times New Roman"/>
          <w:spacing w:val="26"/>
          <w:w w:val="95"/>
          <w:vertAlign w:val="superscript"/>
        </w:rPr>
        <w:t>9</w:t>
      </w:r>
      <w:r>
        <w:rPr>
          <w:spacing w:val="26"/>
          <w:w w:val="95"/>
        </w:rPr>
        <w:t>；主席參與考績</w:t>
      </w:r>
    </w:p>
    <w:p w:rsidR="009D7784" w:rsidRDefault="00FB7782">
      <w:pPr>
        <w:pStyle w:val="a3"/>
        <w:spacing w:before="4" w:line="278" w:lineRule="auto"/>
        <w:ind w:left="1243" w:right="181"/>
        <w:jc w:val="both"/>
      </w:pPr>
      <w:r>
        <w:rPr>
          <w:w w:val="95"/>
        </w:rPr>
        <w:t>（成）委員會表決</w:t>
      </w:r>
      <w:r>
        <w:rPr>
          <w:rFonts w:ascii="Times New Roman" w:eastAsia="Times New Roman"/>
          <w:w w:val="95"/>
          <w:vertAlign w:val="superscript"/>
        </w:rPr>
        <w:t>10</w:t>
      </w:r>
      <w:r>
        <w:rPr>
          <w:w w:val="95"/>
        </w:rPr>
        <w:t>；考績委員會之組成不符合考績委員會</w:t>
      </w:r>
      <w:r>
        <w:rPr>
          <w:spacing w:val="140"/>
          <w:w w:val="95"/>
        </w:rPr>
        <w:t xml:space="preserve"> </w:t>
      </w:r>
      <w:r>
        <w:rPr>
          <w:spacing w:val="4"/>
          <w:w w:val="95"/>
        </w:rPr>
        <w:t>組織規程第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spacing w:val="14"/>
          <w:w w:val="95"/>
        </w:rPr>
        <w:t>條第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4"/>
          <w:w w:val="95"/>
        </w:rPr>
        <w:t xml:space="preserve"> </w:t>
      </w:r>
      <w:r>
        <w:rPr>
          <w:spacing w:val="4"/>
          <w:w w:val="95"/>
        </w:rPr>
        <w:t>項所定最低人數</w:t>
      </w:r>
      <w:r>
        <w:rPr>
          <w:spacing w:val="4"/>
          <w:w w:val="95"/>
        </w:rPr>
        <w:t xml:space="preserve"> </w:t>
      </w:r>
      <w:r>
        <w:rPr>
          <w:w w:val="95"/>
        </w:rPr>
        <w:t>5</w:t>
      </w:r>
      <w:r>
        <w:rPr>
          <w:spacing w:val="4"/>
          <w:w w:val="95"/>
        </w:rPr>
        <w:t xml:space="preserve"> </w:t>
      </w:r>
      <w:r>
        <w:rPr>
          <w:spacing w:val="4"/>
          <w:w w:val="95"/>
        </w:rPr>
        <w:t>人之規定</w:t>
      </w:r>
      <w:r>
        <w:rPr>
          <w:w w:val="95"/>
          <w:position w:val="16"/>
          <w:sz w:val="16"/>
        </w:rPr>
        <w:t>11</w:t>
      </w:r>
      <w:r>
        <w:rPr>
          <w:w w:val="95"/>
        </w:rPr>
        <w:t>；依考績</w:t>
      </w:r>
    </w:p>
    <w:p w:rsidR="009D7784" w:rsidRDefault="00FB7782">
      <w:pPr>
        <w:pStyle w:val="a3"/>
        <w:spacing w:before="1" w:line="278" w:lineRule="auto"/>
        <w:ind w:left="1243" w:right="185"/>
        <w:jc w:val="both"/>
      </w:pPr>
      <w:r>
        <w:rPr>
          <w:spacing w:val="4"/>
          <w:w w:val="95"/>
        </w:rPr>
        <w:t>委員會組織規程第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18"/>
          <w:w w:val="95"/>
        </w:rPr>
        <w:t xml:space="preserve"> </w:t>
      </w:r>
      <w:r>
        <w:rPr>
          <w:spacing w:val="18"/>
          <w:w w:val="95"/>
        </w:rPr>
        <w:t>條第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3 </w:t>
      </w:r>
      <w:r>
        <w:rPr>
          <w:w w:val="95"/>
        </w:rPr>
        <w:t>項規定，考績委員會組成時，委員任一性別比例不得低於三分之一，服務機關卻逕以「限制</w:t>
      </w:r>
      <w:r>
        <w:rPr>
          <w:spacing w:val="32"/>
          <w:w w:val="95"/>
        </w:rPr>
        <w:t xml:space="preserve"> </w:t>
      </w:r>
      <w:r>
        <w:rPr>
          <w:spacing w:val="-9"/>
          <w:w w:val="95"/>
        </w:rPr>
        <w:t>按票選方式產生之人員擔任考績委員」，而未以圈選指定委</w:t>
      </w:r>
    </w:p>
    <w:p w:rsidR="009D7784" w:rsidRDefault="00FB7782">
      <w:pPr>
        <w:pStyle w:val="a3"/>
        <w:spacing w:before="2"/>
        <w:rPr>
          <w:sz w:val="14"/>
        </w:rPr>
      </w:pPr>
      <w:r>
        <w:pict>
          <v:rect id="_x0000_s1028" style="position:absolute;margin-left:62.4pt;margin-top:11.9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D7784" w:rsidRDefault="00FB7782">
      <w:pPr>
        <w:spacing w:before="71" w:line="26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6</w:t>
      </w:r>
      <w:r>
        <w:rPr>
          <w:rFonts w:ascii="Times New Roman" w:eastAsia="Times New Roman"/>
          <w:spacing w:val="47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000045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000073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 xml:space="preserve">000074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000093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 xml:space="preserve">000095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7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公審決字第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000375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號至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000382</w:t>
      </w:r>
      <w:r>
        <w:rPr>
          <w:rFonts w:ascii="Times New Roman" w:eastAsia="Times New Roman"/>
          <w:spacing w:val="2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8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公審決字第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00183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000091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5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9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000335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10</w:t>
      </w:r>
      <w:r>
        <w:rPr>
          <w:rFonts w:ascii="Times New Roman" w:eastAsia="Times New Roman"/>
          <w:spacing w:val="47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000186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 xml:space="preserve">000348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000349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71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11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000157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9D7784">
      <w:pPr>
        <w:spacing w:line="271" w:lineRule="exact"/>
        <w:rPr>
          <w:rFonts w:ascii="新細明體" w:eastAsia="新細明體" w:hint="eastAsia"/>
          <w:sz w:val="20"/>
        </w:rPr>
        <w:sectPr w:rsidR="009D7784">
          <w:pgSz w:w="11910" w:h="16840"/>
          <w:pgMar w:top="148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1243" w:right="152"/>
        <w:jc w:val="both"/>
      </w:pPr>
      <w:r>
        <w:lastRenderedPageBreak/>
        <w:t>員之方式，以符合任一性別比例不得低於三分之一規定之情形</w:t>
      </w:r>
      <w:r>
        <w:rPr>
          <w:position w:val="16"/>
          <w:sz w:val="16"/>
        </w:rPr>
        <w:t>12</w:t>
      </w:r>
      <w:r>
        <w:t>；考績委員之票選未開放由各單位同仁自行參選</w:t>
      </w:r>
      <w:r>
        <w:rPr>
          <w:rFonts w:ascii="Times New Roman" w:eastAsia="Times New Roman"/>
          <w:vertAlign w:val="superscript"/>
        </w:rPr>
        <w:t>13</w:t>
      </w:r>
      <w:r>
        <w:t>；年終考績應以平時考核為依據，借調機關應辦理借調人員之平時考核，並於年終或借調期滿時，送本職機關作為獎懲及考績之依據，本職機關漏未審酌受考人於考績年度各項表現，所</w:t>
      </w:r>
      <w:r>
        <w:rPr>
          <w:spacing w:val="21"/>
        </w:rPr>
        <w:t>為之考績評定即有瑕疵</w:t>
      </w:r>
      <w:r>
        <w:rPr>
          <w:rFonts w:ascii="Times New Roman" w:eastAsia="Times New Roman"/>
          <w:spacing w:val="15"/>
          <w:vertAlign w:val="superscript"/>
        </w:rPr>
        <w:t>14</w:t>
      </w:r>
      <w:r>
        <w:rPr>
          <w:spacing w:val="17"/>
        </w:rPr>
        <w:t>；年終考績經服務機關長官考核</w:t>
      </w:r>
      <w:r>
        <w:rPr>
          <w:spacing w:val="23"/>
          <w:w w:val="95"/>
        </w:rPr>
        <w:t>後，新增之獎勵未列入該年度考績評定分數之依據</w:t>
      </w:r>
      <w:r>
        <w:rPr>
          <w:w w:val="95"/>
          <w:position w:val="14"/>
          <w:sz w:val="14"/>
        </w:rPr>
        <w:t>15</w:t>
      </w:r>
      <w:r>
        <w:rPr>
          <w:spacing w:val="42"/>
          <w:w w:val="95"/>
          <w:position w:val="14"/>
          <w:sz w:val="14"/>
        </w:rPr>
        <w:t xml:space="preserve"> </w:t>
      </w:r>
      <w:r>
        <w:rPr>
          <w:spacing w:val="26"/>
          <w:w w:val="95"/>
        </w:rPr>
        <w:t>等情</w:t>
      </w:r>
      <w:r>
        <w:t>形。</w:t>
      </w:r>
    </w:p>
    <w:p w:rsidR="009D7784" w:rsidRDefault="00FB7782">
      <w:pPr>
        <w:pStyle w:val="a3"/>
        <w:spacing w:before="188"/>
        <w:ind w:left="708"/>
      </w:pPr>
      <w:r>
        <w:rPr>
          <w:rFonts w:ascii="Times New Roman" w:eastAsia="Times New Roman"/>
        </w:rPr>
        <w:t>3</w:t>
      </w:r>
      <w:r>
        <w:t>、違反一事不二罰規定，或未整體考量違失情形</w:t>
      </w:r>
    </w:p>
    <w:p w:rsidR="009D7784" w:rsidRDefault="00FB7782">
      <w:pPr>
        <w:pStyle w:val="a3"/>
        <w:spacing w:before="253" w:line="278" w:lineRule="auto"/>
        <w:ind w:left="1243" w:right="183" w:firstLine="674"/>
        <w:jc w:val="both"/>
      </w:pPr>
      <w:r>
        <w:rPr>
          <w:w w:val="95"/>
        </w:rPr>
        <w:t>服務機關於發布系爭懲處令前，既已知悉再申訴人先前</w:t>
      </w:r>
      <w:r>
        <w:rPr>
          <w:spacing w:val="1"/>
          <w:w w:val="95"/>
        </w:rPr>
        <w:t xml:space="preserve"> </w:t>
      </w:r>
      <w:r>
        <w:rPr>
          <w:w w:val="95"/>
        </w:rPr>
        <w:t>已有相同類型之違反勤務規定行為，則該機關自應就再申訴</w:t>
      </w:r>
      <w:r>
        <w:rPr>
          <w:spacing w:val="29"/>
          <w:w w:val="95"/>
        </w:rPr>
        <w:t xml:space="preserve"> </w:t>
      </w:r>
      <w:r>
        <w:rPr>
          <w:spacing w:val="15"/>
          <w:w w:val="95"/>
        </w:rPr>
        <w:t>人上開類型相同之違失情事整體評價，合併審究其行政責</w:t>
      </w:r>
      <w:r>
        <w:rPr>
          <w:spacing w:val="1"/>
          <w:w w:val="95"/>
        </w:rPr>
        <w:t xml:space="preserve"> </w:t>
      </w:r>
      <w:r>
        <w:rPr>
          <w:w w:val="95"/>
        </w:rPr>
        <w:t>任；機關卻對於懲處前之違失行為，未就相同類型之督導責</w:t>
      </w:r>
      <w:r>
        <w:rPr>
          <w:spacing w:val="45"/>
          <w:w w:val="95"/>
        </w:rPr>
        <w:t xml:space="preserve"> </w:t>
      </w:r>
      <w:r>
        <w:rPr>
          <w:w w:val="95"/>
        </w:rPr>
        <w:t>任為整體考量，以合併審究其行政責任，認事用法難謂妥適</w:t>
      </w:r>
    </w:p>
    <w:p w:rsidR="009D7784" w:rsidRDefault="00FB7782">
      <w:pPr>
        <w:spacing w:before="55" w:line="127" w:lineRule="auto"/>
        <w:ind w:left="1243"/>
        <w:rPr>
          <w:sz w:val="32"/>
        </w:rPr>
      </w:pPr>
      <w:r>
        <w:rPr>
          <w:rFonts w:ascii="Times New Roman" w:eastAsia="Times New Roman"/>
          <w:sz w:val="21"/>
        </w:rPr>
        <w:t>16</w:t>
      </w:r>
      <w:r>
        <w:rPr>
          <w:position w:val="-14"/>
          <w:sz w:val="32"/>
        </w:rPr>
        <w:t>。</w:t>
      </w:r>
    </w:p>
    <w:p w:rsidR="009D7784" w:rsidRDefault="009D7784">
      <w:pPr>
        <w:pStyle w:val="a3"/>
        <w:spacing w:before="4"/>
        <w:rPr>
          <w:sz w:val="27"/>
        </w:rPr>
      </w:pPr>
    </w:p>
    <w:p w:rsidR="009D7784" w:rsidRDefault="00FB7782">
      <w:pPr>
        <w:pStyle w:val="a3"/>
        <w:spacing w:before="1"/>
        <w:ind w:left="708"/>
      </w:pPr>
      <w:r>
        <w:rPr>
          <w:rFonts w:ascii="Times New Roman" w:eastAsia="Times New Roman"/>
        </w:rPr>
        <w:t>4</w:t>
      </w:r>
      <w:r>
        <w:t>、懲處事實與所依據法令規定之構成要件未合</w:t>
      </w:r>
    </w:p>
    <w:p w:rsidR="009D7784" w:rsidRDefault="00FB7782">
      <w:pPr>
        <w:pStyle w:val="a3"/>
        <w:spacing w:before="251" w:line="278" w:lineRule="auto"/>
        <w:ind w:left="1243" w:right="180" w:firstLine="674"/>
        <w:jc w:val="both"/>
      </w:pPr>
      <w:r>
        <w:rPr>
          <w:w w:val="95"/>
        </w:rPr>
        <w:t>懲處令漏未記載懲處之法令依據，致無法判定當事人是</w:t>
      </w:r>
      <w:r>
        <w:rPr>
          <w:spacing w:val="1"/>
          <w:w w:val="95"/>
        </w:rPr>
        <w:t xml:space="preserve"> </w:t>
      </w:r>
      <w:r>
        <w:rPr>
          <w:spacing w:val="8"/>
          <w:w w:val="95"/>
        </w:rPr>
        <w:t>否該當系爭懲處，例如：懲處令僅記載</w:t>
      </w:r>
      <w:r>
        <w:rPr>
          <w:spacing w:val="8"/>
          <w:w w:val="95"/>
        </w:rPr>
        <w:t xml:space="preserve"> </w:t>
      </w:r>
      <w:r>
        <w:rPr>
          <w:rFonts w:ascii="Verdana" w:eastAsia="Verdana"/>
          <w:w w:val="95"/>
        </w:rPr>
        <w:t>OO</w:t>
      </w:r>
      <w:r>
        <w:rPr>
          <w:rFonts w:ascii="Verdana" w:eastAsia="Verdana"/>
          <w:spacing w:val="78"/>
          <w:w w:val="95"/>
        </w:rPr>
        <w:t xml:space="preserve"> </w:t>
      </w:r>
      <w:r>
        <w:rPr>
          <w:w w:val="95"/>
        </w:rPr>
        <w:t>市文書作業要點</w:t>
      </w:r>
      <w:r>
        <w:rPr>
          <w:rFonts w:ascii="Times New Roman" w:eastAsia="Times New Roman"/>
          <w:vertAlign w:val="superscript"/>
        </w:rPr>
        <w:t>17</w:t>
      </w:r>
      <w:r>
        <w:t>、</w:t>
      </w:r>
      <w:r>
        <w:rPr>
          <w:rFonts w:ascii="Verdana" w:eastAsia="Verdana"/>
        </w:rPr>
        <w:t>OO</w:t>
      </w:r>
      <w:r>
        <w:rPr>
          <w:rFonts w:ascii="Verdana" w:eastAsia="Verdana"/>
          <w:spacing w:val="6"/>
        </w:rPr>
        <w:t xml:space="preserve"> </w:t>
      </w:r>
      <w:r>
        <w:t>市獎懲處理要點</w:t>
      </w:r>
      <w:r>
        <w:rPr>
          <w:rFonts w:ascii="Times New Roman" w:eastAsia="Times New Roman"/>
          <w:vertAlign w:val="superscript"/>
        </w:rPr>
        <w:t>18</w:t>
      </w:r>
      <w:r>
        <w:t>、</w:t>
      </w:r>
      <w:r>
        <w:rPr>
          <w:rFonts w:ascii="Verdana" w:eastAsia="Verdana"/>
        </w:rPr>
        <w:t>OO</w:t>
      </w:r>
      <w:r>
        <w:rPr>
          <w:rFonts w:ascii="Verdana" w:eastAsia="Verdana"/>
          <w:spacing w:val="6"/>
        </w:rPr>
        <w:t xml:space="preserve"> </w:t>
      </w:r>
      <w:r>
        <w:t>部及所屬機關人員獎懲要點</w:t>
      </w:r>
      <w:r>
        <w:rPr>
          <w:w w:val="95"/>
        </w:rPr>
        <w:t>等規範，上開規範均僅係機關所屬人員辦理相關業務之規範</w:t>
      </w:r>
      <w:r>
        <w:rPr>
          <w:spacing w:val="32"/>
          <w:w w:val="95"/>
        </w:rPr>
        <w:t xml:space="preserve"> </w:t>
      </w:r>
      <w:r>
        <w:rPr>
          <w:spacing w:val="15"/>
          <w:w w:val="95"/>
        </w:rPr>
        <w:t>或獎懲案件辦理之基準，而非屬對於公務人員為獎懲之依</w:t>
      </w:r>
    </w:p>
    <w:p w:rsidR="009D7784" w:rsidRDefault="00FB7782">
      <w:pPr>
        <w:pStyle w:val="a3"/>
        <w:spacing w:before="11"/>
        <w:rPr>
          <w:sz w:val="26"/>
        </w:rPr>
      </w:pPr>
      <w:r>
        <w:pict>
          <v:rect id="_x0000_s1027" style="position:absolute;margin-left:62.4pt;margin-top:20.7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D7784" w:rsidRDefault="00FB7782">
      <w:pPr>
        <w:spacing w:before="71" w:line="26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12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000158 </w:t>
      </w:r>
      <w:r>
        <w:rPr>
          <w:rFonts w:ascii="新細明體" w:eastAsia="新細明體" w:hint="eastAsia"/>
          <w:spacing w:val="-1"/>
          <w:sz w:val="20"/>
        </w:rPr>
        <w:t>號至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000159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13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000335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14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000185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15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公審決字第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000466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</w:t>
      </w:r>
    </w:p>
    <w:p w:rsidR="009D7784" w:rsidRDefault="00FB7782">
      <w:pPr>
        <w:spacing w:before="5" w:line="223" w:lineRule="auto"/>
        <w:ind w:left="511" w:right="217" w:hanging="284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16</w:t>
      </w:r>
      <w:r>
        <w:rPr>
          <w:rFonts w:ascii="Times New Roman" w:eastAsia="Times New Roman"/>
          <w:spacing w:val="47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000379 </w:t>
      </w:r>
      <w:r>
        <w:rPr>
          <w:rFonts w:ascii="新細明體" w:eastAsia="新細明體" w:hint="eastAsia"/>
          <w:sz w:val="20"/>
        </w:rPr>
        <w:t>號（</w:t>
      </w:r>
      <w:r>
        <w:rPr>
          <w:rFonts w:ascii="Times New Roman" w:eastAsia="Times New Roman"/>
          <w:sz w:val="20"/>
        </w:rPr>
        <w:t xml:space="preserve">3 </w:t>
      </w:r>
      <w:r>
        <w:rPr>
          <w:rFonts w:ascii="新細明體" w:eastAsia="新細明體" w:hint="eastAsia"/>
          <w:sz w:val="20"/>
        </w:rPr>
        <w:t>件合併審議）、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000136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號（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件合併審議）、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z w:val="20"/>
        </w:rPr>
        <w:t>公申決字</w:t>
      </w:r>
      <w:r>
        <w:rPr>
          <w:rFonts w:ascii="新細明體" w:eastAsia="新細明體" w:hint="eastAsia"/>
          <w:spacing w:val="-2"/>
          <w:sz w:val="20"/>
        </w:rPr>
        <w:t>第</w:t>
      </w:r>
      <w:r>
        <w:rPr>
          <w:rFonts w:ascii="新細明體" w:eastAsia="新細明體" w:hint="eastAsia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>000160</w:t>
      </w:r>
      <w:r>
        <w:rPr>
          <w:rFonts w:ascii="Times New Roman" w:eastAsia="Times New Roman"/>
          <w:spacing w:val="2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55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17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000251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</w:t>
      </w:r>
    </w:p>
    <w:p w:rsidR="009D7784" w:rsidRDefault="00FB7782">
      <w:pPr>
        <w:spacing w:line="271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18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000047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9D7784">
      <w:pPr>
        <w:spacing w:line="271" w:lineRule="exact"/>
        <w:rPr>
          <w:rFonts w:ascii="新細明體" w:eastAsia="新細明體" w:hint="eastAsia"/>
          <w:sz w:val="20"/>
        </w:rPr>
        <w:sectPr w:rsidR="009D7784">
          <w:pgSz w:w="11910" w:h="16840"/>
          <w:pgMar w:top="130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1243" w:right="183"/>
        <w:jc w:val="both"/>
      </w:pPr>
      <w:r>
        <w:rPr>
          <w:w w:val="95"/>
        </w:rPr>
        <w:lastRenderedPageBreak/>
        <w:t>據，如懲處令僅引述上開規範而漏未載明懲處之法令依據，</w:t>
      </w:r>
      <w:r>
        <w:rPr>
          <w:spacing w:val="45"/>
          <w:w w:val="95"/>
        </w:rPr>
        <w:t xml:space="preserve"> </w:t>
      </w:r>
      <w:r>
        <w:rPr>
          <w:w w:val="95"/>
        </w:rPr>
        <w:t>即無從判斷構成要件是否該當；或機關審認再申訴人於電話</w:t>
      </w:r>
      <w:r>
        <w:rPr>
          <w:spacing w:val="45"/>
          <w:w w:val="95"/>
        </w:rPr>
        <w:t xml:space="preserve"> </w:t>
      </w:r>
      <w:r>
        <w:rPr>
          <w:w w:val="95"/>
        </w:rPr>
        <w:t>應答品質考核時，未注意再申訴人同時期之其他電話測試係</w:t>
      </w:r>
      <w:r>
        <w:rPr>
          <w:spacing w:val="29"/>
          <w:w w:val="95"/>
        </w:rPr>
        <w:t xml:space="preserve"> </w:t>
      </w:r>
      <w:r>
        <w:rPr>
          <w:spacing w:val="15"/>
          <w:w w:val="95"/>
        </w:rPr>
        <w:t>獲得該機關最高分之情形，如何認定影響機關評核情形嚴</w:t>
      </w:r>
      <w:r>
        <w:rPr>
          <w:spacing w:val="1"/>
          <w:w w:val="95"/>
        </w:rPr>
        <w:t xml:space="preserve"> </w:t>
      </w:r>
      <w:r>
        <w:t>重，構成要件顯有未合</w:t>
      </w:r>
      <w:r>
        <w:rPr>
          <w:position w:val="16"/>
          <w:sz w:val="16"/>
        </w:rPr>
        <w:t>19</w:t>
      </w:r>
      <w:r>
        <w:rPr>
          <w:spacing w:val="-1"/>
        </w:rPr>
        <w:t>等</w:t>
      </w:r>
      <w:r>
        <w:rPr>
          <w:spacing w:val="-1"/>
        </w:rPr>
        <w:t xml:space="preserve"> </w:t>
      </w:r>
      <w:r>
        <w:rPr>
          <w:spacing w:val="-1"/>
        </w:rPr>
        <w:t>。</w:t>
      </w:r>
    </w:p>
    <w:p w:rsidR="009D7784" w:rsidRDefault="009D7784">
      <w:pPr>
        <w:pStyle w:val="a3"/>
        <w:rPr>
          <w:sz w:val="34"/>
        </w:rPr>
      </w:pPr>
    </w:p>
    <w:p w:rsidR="009D7784" w:rsidRDefault="009D7784">
      <w:pPr>
        <w:pStyle w:val="a3"/>
        <w:spacing w:before="4"/>
        <w:rPr>
          <w:sz w:val="29"/>
        </w:rPr>
      </w:pPr>
    </w:p>
    <w:p w:rsidR="009D7784" w:rsidRDefault="00FB7782">
      <w:pPr>
        <w:pStyle w:val="1"/>
        <w:spacing w:before="0"/>
        <w:ind w:left="227"/>
      </w:pPr>
      <w:r>
        <w:t>參、撤銷事件之回復情形</w:t>
      </w:r>
    </w:p>
    <w:p w:rsidR="009D7784" w:rsidRDefault="00FB7782">
      <w:pPr>
        <w:pStyle w:val="a3"/>
        <w:spacing w:before="252" w:line="278" w:lineRule="auto"/>
        <w:ind w:left="886" w:right="181" w:firstLine="640"/>
        <w:jc w:val="both"/>
        <w:rPr>
          <w:rFonts w:ascii="Times New Roman" w:eastAsia="Times New Roman"/>
        </w:rPr>
      </w:pPr>
      <w:r>
        <w:rPr>
          <w:w w:val="95"/>
        </w:rPr>
        <w:t>保障法為貫徹保障事件決定確定後之效力，賦予本會追蹤</w:t>
      </w:r>
      <w:r>
        <w:rPr>
          <w:spacing w:val="41"/>
          <w:w w:val="95"/>
        </w:rPr>
        <w:t xml:space="preserve"> </w:t>
      </w:r>
      <w:r>
        <w:rPr>
          <w:spacing w:val="6"/>
        </w:rPr>
        <w:t>權，以確保公務人員權利救濟之立法意旨，爰於保障法第</w:t>
      </w:r>
      <w:r>
        <w:rPr>
          <w:spacing w:val="6"/>
        </w:rPr>
        <w:t xml:space="preserve"> </w:t>
      </w:r>
      <w:r>
        <w:rPr>
          <w:rFonts w:ascii="Times New Roman" w:eastAsia="Times New Roman"/>
        </w:rPr>
        <w:t>91</w:t>
      </w:r>
    </w:p>
    <w:p w:rsidR="009D7784" w:rsidRDefault="00FB7782">
      <w:pPr>
        <w:pStyle w:val="a3"/>
        <w:spacing w:before="3" w:line="278" w:lineRule="auto"/>
        <w:ind w:left="886" w:right="180"/>
        <w:jc w:val="both"/>
      </w:pPr>
      <w:r>
        <w:rPr>
          <w:spacing w:val="19"/>
          <w:w w:val="95"/>
        </w:rPr>
        <w:t>條第</w:t>
      </w:r>
      <w:r>
        <w:rPr>
          <w:spacing w:val="19"/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52"/>
          <w:w w:val="95"/>
        </w:rPr>
        <w:t xml:space="preserve"> </w:t>
      </w:r>
      <w:r>
        <w:rPr>
          <w:spacing w:val="14"/>
          <w:w w:val="95"/>
        </w:rPr>
        <w:t>項至第</w:t>
      </w:r>
      <w:r>
        <w:rPr>
          <w:spacing w:val="14"/>
          <w:w w:val="95"/>
        </w:rPr>
        <w:t xml:space="preserve">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54"/>
          <w:w w:val="95"/>
        </w:rPr>
        <w:t xml:space="preserve"> </w:t>
      </w:r>
      <w:r>
        <w:rPr>
          <w:w w:val="95"/>
        </w:rPr>
        <w:t>項設有機關應將處理情形回復之規定。本會如為撤銷之決定時，則原行政處分及管理措施，即因被撤銷而不</w:t>
      </w:r>
      <w:r>
        <w:rPr>
          <w:spacing w:val="91"/>
          <w:w w:val="95"/>
        </w:rPr>
        <w:t xml:space="preserve"> </w:t>
      </w:r>
      <w:r>
        <w:rPr>
          <w:w w:val="95"/>
        </w:rPr>
        <w:t>復存在，各該管機關自應依決定意旨及依法定程序重為處理。</w:t>
      </w:r>
      <w:r>
        <w:rPr>
          <w:spacing w:val="101"/>
          <w:w w:val="95"/>
        </w:rPr>
        <w:t xml:space="preserve"> </w:t>
      </w:r>
      <w:r>
        <w:rPr>
          <w:spacing w:val="5"/>
          <w:w w:val="95"/>
        </w:rPr>
        <w:t>經查</w:t>
      </w:r>
      <w:r>
        <w:rPr>
          <w:spacing w:val="5"/>
          <w:w w:val="95"/>
        </w:rPr>
        <w:t xml:space="preserve"> </w:t>
      </w:r>
      <w:r>
        <w:rPr>
          <w:rFonts w:ascii="Times New Roman" w:eastAsia="Times New Roman"/>
          <w:w w:val="95"/>
        </w:rPr>
        <w:t>108</w:t>
      </w:r>
      <w:r>
        <w:rPr>
          <w:rFonts w:ascii="Times New Roman" w:eastAsia="Times New Roman"/>
          <w:spacing w:val="83"/>
        </w:rPr>
        <w:t xml:space="preserve"> </w:t>
      </w:r>
      <w:r>
        <w:rPr>
          <w:spacing w:val="1"/>
          <w:w w:val="95"/>
        </w:rPr>
        <w:t>年本會審議決定撤銷之保障事件</w:t>
      </w:r>
      <w:r>
        <w:rPr>
          <w:spacing w:val="1"/>
          <w:w w:val="95"/>
        </w:rPr>
        <w:t xml:space="preserve"> </w:t>
      </w:r>
      <w:r>
        <w:rPr>
          <w:rFonts w:ascii="Times New Roman" w:eastAsia="Times New Roman"/>
          <w:w w:val="95"/>
        </w:rPr>
        <w:t>64</w:t>
      </w:r>
      <w:r>
        <w:rPr>
          <w:rFonts w:ascii="Times New Roman" w:eastAsia="Times New Roman"/>
          <w:spacing w:val="84"/>
        </w:rPr>
        <w:t xml:space="preserve"> </w:t>
      </w:r>
      <w:r>
        <w:rPr>
          <w:w w:val="95"/>
        </w:rPr>
        <w:t>件（</w:t>
      </w:r>
      <w:r>
        <w:rPr>
          <w:spacing w:val="3"/>
          <w:w w:val="95"/>
        </w:rPr>
        <w:t>含命應作為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</w:p>
    <w:p w:rsidR="009D7784" w:rsidRDefault="00FB7782">
      <w:pPr>
        <w:pStyle w:val="a3"/>
        <w:spacing w:before="2"/>
        <w:ind w:left="886"/>
        <w:jc w:val="both"/>
      </w:pPr>
      <w:r>
        <w:rPr>
          <w:spacing w:val="-1"/>
          <w:w w:val="99"/>
        </w:rPr>
        <w:t>件</w:t>
      </w:r>
      <w:r>
        <w:rPr>
          <w:spacing w:val="1"/>
          <w:position w:val="16"/>
          <w:sz w:val="16"/>
        </w:rPr>
        <w:t>20</w:t>
      </w:r>
      <w:r>
        <w:rPr>
          <w:spacing w:val="-159"/>
          <w:w w:val="99"/>
        </w:rPr>
        <w:t>）</w:t>
      </w:r>
      <w:r>
        <w:rPr>
          <w:w w:val="99"/>
        </w:rPr>
        <w:t>，其中除程序撤銷申訴函復而無須辦理撤銷執行回復</w:t>
      </w:r>
      <w:r>
        <w:rPr>
          <w:spacing w:val="-20"/>
        </w:rPr>
        <w:t xml:space="preserve"> </w:t>
      </w:r>
      <w:r>
        <w:rPr>
          <w:w w:val="99"/>
        </w:rPr>
        <w:t>3</w:t>
      </w:r>
      <w:r>
        <w:rPr>
          <w:spacing w:val="-25"/>
        </w:rPr>
        <w:t xml:space="preserve"> </w:t>
      </w:r>
      <w:r>
        <w:rPr>
          <w:w w:val="99"/>
        </w:rPr>
        <w:t>件</w:t>
      </w:r>
    </w:p>
    <w:p w:rsidR="009D7784" w:rsidRDefault="00FB7782">
      <w:pPr>
        <w:pStyle w:val="a3"/>
        <w:spacing w:before="74" w:line="278" w:lineRule="auto"/>
        <w:ind w:left="886" w:right="179"/>
        <w:jc w:val="both"/>
      </w:pPr>
      <w:r>
        <w:rPr>
          <w:w w:val="95"/>
          <w:position w:val="16"/>
          <w:sz w:val="16"/>
        </w:rPr>
        <w:t>21</w:t>
      </w:r>
      <w:r>
        <w:rPr>
          <w:w w:val="95"/>
        </w:rPr>
        <w:t>，另</w:t>
      </w:r>
      <w:r>
        <w:rPr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139"/>
        </w:rPr>
        <w:t xml:space="preserve"> </w:t>
      </w:r>
      <w:r>
        <w:rPr>
          <w:w w:val="95"/>
        </w:rPr>
        <w:t>件經原處分機關來函申請展延回復期限外</w:t>
      </w:r>
      <w:r>
        <w:rPr>
          <w:rFonts w:ascii="Times New Roman" w:eastAsia="Times New Roman"/>
          <w:w w:val="95"/>
          <w:vertAlign w:val="superscript"/>
        </w:rPr>
        <w:t>22</w:t>
      </w:r>
      <w:r>
        <w:rPr>
          <w:w w:val="95"/>
        </w:rPr>
        <w:t>，其餘案件之原處分機關或服務機關均已依限回復本會，均符合本會決定</w:t>
      </w:r>
      <w:r>
        <w:rPr>
          <w:spacing w:val="102"/>
          <w:w w:val="95"/>
        </w:rPr>
        <w:t xml:space="preserve"> </w:t>
      </w:r>
      <w:r>
        <w:rPr>
          <w:w w:val="95"/>
        </w:rPr>
        <w:t>意旨，且有利於當事人，已充分發揮本會保障公務人員權益之</w:t>
      </w:r>
      <w:r>
        <w:rPr>
          <w:spacing w:val="86"/>
          <w:w w:val="95"/>
        </w:rPr>
        <w:t xml:space="preserve"> </w:t>
      </w:r>
      <w:r>
        <w:t>功能。</w:t>
      </w:r>
    </w:p>
    <w:p w:rsidR="009D7784" w:rsidRDefault="009D7784">
      <w:pPr>
        <w:pStyle w:val="a3"/>
      </w:pPr>
    </w:p>
    <w:p w:rsidR="009D7784" w:rsidRDefault="009D7784">
      <w:pPr>
        <w:pStyle w:val="a3"/>
        <w:spacing w:before="1"/>
        <w:rPr>
          <w:sz w:val="31"/>
        </w:rPr>
      </w:pPr>
    </w:p>
    <w:p w:rsidR="009D7784" w:rsidRDefault="00FB7782">
      <w:pPr>
        <w:pStyle w:val="1"/>
        <w:spacing w:before="1"/>
        <w:ind w:left="227"/>
      </w:pPr>
      <w:r>
        <w:t>肆、未來精進策略</w:t>
      </w:r>
    </w:p>
    <w:p w:rsidR="009D7784" w:rsidRDefault="00FB7782">
      <w:pPr>
        <w:pStyle w:val="a3"/>
        <w:spacing w:before="253" w:line="280" w:lineRule="auto"/>
        <w:ind w:left="708" w:right="184" w:firstLine="640"/>
      </w:pPr>
      <w:r>
        <w:rPr>
          <w:w w:val="95"/>
        </w:rPr>
        <w:t>本會</w:t>
      </w:r>
      <w:r>
        <w:rPr>
          <w:w w:val="95"/>
        </w:rPr>
        <w:t>108</w:t>
      </w:r>
      <w:r>
        <w:rPr>
          <w:w w:val="95"/>
        </w:rPr>
        <w:t>年審議決定撤銷之保障事件中，以事實未經詳實調</w:t>
      </w:r>
      <w:r>
        <w:rPr>
          <w:spacing w:val="69"/>
          <w:w w:val="95"/>
        </w:rPr>
        <w:t xml:space="preserve"> </w:t>
      </w:r>
      <w:r>
        <w:rPr>
          <w:spacing w:val="10"/>
          <w:w w:val="95"/>
        </w:rPr>
        <w:t>查或認定有誤最多，其次為辦理考績程序不合法，再其次為違</w:t>
      </w:r>
    </w:p>
    <w:p w:rsidR="009D7784" w:rsidRDefault="009D7784">
      <w:pPr>
        <w:pStyle w:val="a3"/>
        <w:rPr>
          <w:sz w:val="20"/>
        </w:rPr>
      </w:pPr>
    </w:p>
    <w:p w:rsidR="009D7784" w:rsidRDefault="00FB7782">
      <w:pPr>
        <w:pStyle w:val="a3"/>
        <w:spacing w:before="10"/>
        <w:rPr>
          <w:sz w:val="17"/>
        </w:rPr>
      </w:pPr>
      <w:r>
        <w:pict>
          <v:rect id="_x0000_s1026" style="position:absolute;margin-left:62.4pt;margin-top:14.4pt;width:144.0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D7784" w:rsidRDefault="00FB7782">
      <w:pPr>
        <w:spacing w:before="71" w:line="26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19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000019</w:t>
      </w:r>
      <w:r>
        <w:rPr>
          <w:rFonts w:ascii="Times New Roman" w:eastAsia="Times New Roman"/>
          <w:spacing w:val="2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</w:t>
      </w:r>
    </w:p>
    <w:p w:rsidR="009D7784" w:rsidRDefault="00FB7782">
      <w:pPr>
        <w:spacing w:line="259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20</w:t>
      </w:r>
      <w:r>
        <w:rPr>
          <w:rFonts w:ascii="Times New Roman" w:eastAsia="Times New Roman"/>
          <w:spacing w:val="49"/>
          <w:sz w:val="20"/>
        </w:rPr>
        <w:t xml:space="preserve"> </w:t>
      </w:r>
      <w:r>
        <w:rPr>
          <w:rFonts w:ascii="Times New Roman" w:eastAsia="Times New Roman"/>
          <w:sz w:val="20"/>
        </w:rPr>
        <w:t>108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000092 </w:t>
      </w:r>
      <w:r>
        <w:rPr>
          <w:rFonts w:ascii="新細明體" w:eastAsia="新細明體" w:hint="eastAsia"/>
          <w:sz w:val="20"/>
        </w:rPr>
        <w:t>號。</w:t>
      </w:r>
    </w:p>
    <w:p w:rsidR="009D7784" w:rsidRDefault="00FB7782">
      <w:pPr>
        <w:spacing w:line="260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21</w:t>
      </w:r>
      <w:r>
        <w:rPr>
          <w:rFonts w:ascii="Times New Roman" w:eastAsia="Times New Roman"/>
          <w:spacing w:val="47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108 </w:t>
      </w:r>
      <w:r>
        <w:rPr>
          <w:rFonts w:ascii="新細明體" w:eastAsia="新細明體" w:hint="eastAsia"/>
          <w:spacing w:val="-1"/>
          <w:sz w:val="20"/>
        </w:rPr>
        <w:t>公申決字第</w:t>
      </w:r>
      <w:r>
        <w:rPr>
          <w:rFonts w:ascii="新細明體" w:eastAsia="新細明體" w:hint="eastAsia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000046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000285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號、</w:t>
      </w:r>
      <w:r>
        <w:rPr>
          <w:rFonts w:ascii="Times New Roman" w:eastAsia="Times New Roman"/>
          <w:sz w:val="20"/>
        </w:rPr>
        <w:t>000378</w:t>
      </w:r>
      <w:r>
        <w:rPr>
          <w:rFonts w:ascii="Times New Roman" w:eastAsia="Times New Roman"/>
          <w:spacing w:val="1"/>
          <w:sz w:val="20"/>
        </w:rPr>
        <w:t xml:space="preserve"> </w:t>
      </w:r>
      <w:r>
        <w:rPr>
          <w:rFonts w:ascii="新細明體" w:eastAsia="新細明體" w:hint="eastAsia"/>
          <w:sz w:val="20"/>
        </w:rPr>
        <w:t>號等。</w:t>
      </w:r>
    </w:p>
    <w:p w:rsidR="009D7784" w:rsidRDefault="00FB7782">
      <w:pPr>
        <w:spacing w:line="271" w:lineRule="exact"/>
        <w:ind w:left="227"/>
        <w:rPr>
          <w:rFonts w:ascii="新細明體" w:eastAsia="新細明體" w:hint="eastAsia"/>
          <w:sz w:val="20"/>
        </w:rPr>
      </w:pPr>
      <w:r>
        <w:rPr>
          <w:rFonts w:ascii="Times New Roman" w:eastAsia="Times New Roman"/>
          <w:sz w:val="20"/>
          <w:vertAlign w:val="superscript"/>
        </w:rPr>
        <w:t>22</w:t>
      </w:r>
      <w:r>
        <w:rPr>
          <w:rFonts w:ascii="Times New Roman" w:eastAsia="Times New Roman"/>
          <w:spacing w:val="48"/>
          <w:sz w:val="20"/>
        </w:rPr>
        <w:t xml:space="preserve"> </w:t>
      </w:r>
      <w:r>
        <w:rPr>
          <w:rFonts w:ascii="新細明體" w:eastAsia="新細明體" w:hint="eastAsia"/>
          <w:spacing w:val="-2"/>
          <w:sz w:val="20"/>
        </w:rPr>
        <w:t>該</w:t>
      </w:r>
      <w:r>
        <w:rPr>
          <w:rFonts w:ascii="新細明體" w:eastAsia="新細明體" w:hint="eastAsia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2 </w:t>
      </w:r>
      <w:r>
        <w:rPr>
          <w:rFonts w:ascii="新細明體" w:eastAsia="新細明體" w:hint="eastAsia"/>
          <w:sz w:val="20"/>
        </w:rPr>
        <w:t>件均為考績事件，經原處分機關業重新評擬並函報銓敘部在案，惟尚待銓敘部銓敘審定。</w:t>
      </w:r>
    </w:p>
    <w:p w:rsidR="009D7784" w:rsidRDefault="009D7784">
      <w:pPr>
        <w:spacing w:line="271" w:lineRule="exact"/>
        <w:rPr>
          <w:rFonts w:ascii="新細明體" w:eastAsia="新細明體" w:hint="eastAsia"/>
          <w:sz w:val="20"/>
        </w:rPr>
        <w:sectPr w:rsidR="009D7784">
          <w:pgSz w:w="11910" w:h="16840"/>
          <w:pgMar w:top="130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708" w:right="172"/>
        <w:jc w:val="both"/>
      </w:pPr>
      <w:r>
        <w:rPr>
          <w:spacing w:val="10"/>
          <w:w w:val="95"/>
        </w:rPr>
        <w:lastRenderedPageBreak/>
        <w:t>反一事不二罰規定或未整體考量。顯見承辦人員或機關辦理人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事作業時，或因對於人事法令不夠熟稔，導致程序錯誤；或就</w:t>
      </w:r>
      <w:r>
        <w:rPr>
          <w:spacing w:val="1"/>
          <w:w w:val="95"/>
        </w:rPr>
        <w:t xml:space="preserve"> </w:t>
      </w:r>
      <w:r>
        <w:rPr>
          <w:spacing w:val="11"/>
          <w:w w:val="95"/>
        </w:rPr>
        <w:t>事實未經詳查，導致認定有誤；或未整體考量案情，導致重複</w:t>
      </w:r>
      <w:r>
        <w:rPr>
          <w:spacing w:val="1"/>
          <w:w w:val="95"/>
        </w:rPr>
        <w:t xml:space="preserve"> </w:t>
      </w:r>
      <w:r>
        <w:t>評價或過度評價違失情節。基此，未來將採行以下精進策略：</w:t>
      </w:r>
    </w:p>
    <w:p w:rsidR="009D7784" w:rsidRDefault="00FB7782">
      <w:pPr>
        <w:pStyle w:val="1"/>
        <w:spacing w:before="183"/>
      </w:pPr>
      <w:r>
        <w:t>一、持續對保障對象辦理保障法制宣導，以提升</w:t>
      </w:r>
      <w:r>
        <w:t>自身權益認識</w:t>
      </w:r>
    </w:p>
    <w:p w:rsidR="009D7784" w:rsidRDefault="00FB7782">
      <w:pPr>
        <w:pStyle w:val="a3"/>
        <w:spacing w:before="253" w:line="278" w:lineRule="auto"/>
        <w:ind w:left="708" w:right="174" w:firstLine="640"/>
        <w:jc w:val="both"/>
      </w:pPr>
      <w:r>
        <w:rPr>
          <w:w w:val="95"/>
        </w:rPr>
        <w:t>因應司法院釋字第</w:t>
      </w:r>
      <w:r>
        <w:rPr>
          <w:w w:val="95"/>
        </w:rPr>
        <w:t>785</w:t>
      </w:r>
      <w:r>
        <w:rPr>
          <w:w w:val="95"/>
        </w:rPr>
        <w:t>號解釋，公務人員權利受侵害即得提</w:t>
      </w:r>
      <w:r>
        <w:rPr>
          <w:spacing w:val="89"/>
          <w:w w:val="95"/>
        </w:rPr>
        <w:t xml:space="preserve"> </w:t>
      </w:r>
      <w:r>
        <w:rPr>
          <w:spacing w:val="11"/>
          <w:w w:val="95"/>
        </w:rPr>
        <w:t>起司法救濟，未來可提起行政訴訟之人事行政行為，數量及類</w:t>
      </w:r>
      <w:r>
        <w:rPr>
          <w:spacing w:val="1"/>
          <w:w w:val="95"/>
        </w:rPr>
        <w:t xml:space="preserve"> </w:t>
      </w:r>
      <w:r>
        <w:rPr>
          <w:spacing w:val="11"/>
          <w:w w:val="95"/>
        </w:rPr>
        <w:t>型均有擴大趨勢，且除傳統之撤銷訴訟外，亦可提起給付訴訟</w:t>
      </w:r>
    </w:p>
    <w:p w:rsidR="009D7784" w:rsidRDefault="00FB7782">
      <w:pPr>
        <w:pStyle w:val="a3"/>
        <w:spacing w:before="3" w:line="278" w:lineRule="auto"/>
        <w:ind w:left="708" w:right="172"/>
      </w:pPr>
      <w:r>
        <w:rPr>
          <w:spacing w:val="10"/>
          <w:w w:val="95"/>
        </w:rPr>
        <w:t>。爰此，本會將持續針對保障對象辦理保障法制宣導，以提升</w:t>
      </w:r>
      <w:r>
        <w:rPr>
          <w:spacing w:val="1"/>
          <w:w w:val="95"/>
        </w:rPr>
        <w:t xml:space="preserve"> </w:t>
      </w:r>
      <w:r>
        <w:t>保障對象對於自身權益之認識。</w:t>
      </w:r>
    </w:p>
    <w:p w:rsidR="009D7784" w:rsidRDefault="00FB7782">
      <w:pPr>
        <w:pStyle w:val="1"/>
        <w:spacing w:before="181"/>
      </w:pPr>
      <w:r>
        <w:t>二、結合相關人事主管機關人事法制宣導，以充實人事法制知能</w:t>
      </w:r>
    </w:p>
    <w:p w:rsidR="009D7784" w:rsidRDefault="00FB7782">
      <w:pPr>
        <w:pStyle w:val="a3"/>
        <w:spacing w:before="254" w:line="278" w:lineRule="auto"/>
        <w:ind w:left="708" w:right="172" w:firstLine="640"/>
        <w:jc w:val="both"/>
      </w:pPr>
      <w:r>
        <w:rPr>
          <w:spacing w:val="10"/>
          <w:w w:val="95"/>
        </w:rPr>
        <w:t>人事人員辦理相關業務時所需具備之職能，除瞭解相關函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釋、人事法令或法律之一般原理原則，針對保障事件提出機關</w:t>
      </w:r>
      <w:r>
        <w:rPr>
          <w:spacing w:val="1"/>
          <w:w w:val="95"/>
        </w:rPr>
        <w:t xml:space="preserve"> </w:t>
      </w:r>
      <w:r>
        <w:rPr>
          <w:spacing w:val="12"/>
          <w:w w:val="95"/>
        </w:rPr>
        <w:t>之答辯（復）</w:t>
      </w:r>
      <w:r>
        <w:rPr>
          <w:spacing w:val="11"/>
          <w:w w:val="95"/>
        </w:rPr>
        <w:t>外，對法院提出答辯書狀、出庭之應訴技能等需</w:t>
      </w:r>
      <w:r>
        <w:rPr>
          <w:spacing w:val="1"/>
          <w:w w:val="95"/>
        </w:rPr>
        <w:t xml:space="preserve"> </w:t>
      </w:r>
      <w:r>
        <w:rPr>
          <w:spacing w:val="11"/>
          <w:w w:val="95"/>
        </w:rPr>
        <w:t>求，亦隨之日增。本會除對中央機關及地方機關人事人員實施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輔導活動外；並安排於行政院人事行政總處、銓敘部就所屬人</w:t>
      </w:r>
      <w:r>
        <w:rPr>
          <w:spacing w:val="1"/>
          <w:w w:val="95"/>
        </w:rPr>
        <w:t xml:space="preserve"> </w:t>
      </w:r>
      <w:r>
        <w:rPr>
          <w:spacing w:val="11"/>
          <w:w w:val="95"/>
        </w:rPr>
        <w:t>事人員舉辦之訓練課程時，適時宣導相關人事法制，以充實機</w:t>
      </w:r>
      <w:r>
        <w:rPr>
          <w:spacing w:val="1"/>
          <w:w w:val="95"/>
        </w:rPr>
        <w:t xml:space="preserve"> </w:t>
      </w:r>
      <w:r>
        <w:t>關人員人事法制知能，俾減少人事作業錯誤之發生。</w:t>
      </w:r>
    </w:p>
    <w:p w:rsidR="009D7784" w:rsidRDefault="00FB7782">
      <w:pPr>
        <w:pStyle w:val="1"/>
        <w:spacing w:before="187" w:line="278" w:lineRule="auto"/>
        <w:ind w:left="1229" w:right="184" w:hanging="641"/>
      </w:pPr>
      <w:r>
        <w:rPr>
          <w:w w:val="95"/>
        </w:rPr>
        <w:t>三、對於常見之錯誤類型，編撰案例彙編教材，提供文官學院及</w:t>
      </w:r>
      <w:r>
        <w:rPr>
          <w:spacing w:val="66"/>
          <w:w w:val="95"/>
        </w:rPr>
        <w:t xml:space="preserve"> </w:t>
      </w:r>
      <w:r>
        <w:t>各機關使用，加強宣導廣度</w:t>
      </w:r>
    </w:p>
    <w:p w:rsidR="009D7784" w:rsidRDefault="00FB7782">
      <w:pPr>
        <w:pStyle w:val="a3"/>
        <w:spacing w:before="181"/>
        <w:ind w:left="1349"/>
      </w:pPr>
      <w:r>
        <w:rPr>
          <w:spacing w:val="10"/>
        </w:rPr>
        <w:t>彙整前一年度經本會撤銷案例，依案件類型撰寫案例分析</w:t>
      </w:r>
    </w:p>
    <w:p w:rsidR="009D7784" w:rsidRDefault="00FB7782">
      <w:pPr>
        <w:pStyle w:val="a3"/>
        <w:spacing w:before="74" w:line="278" w:lineRule="auto"/>
        <w:ind w:left="708" w:right="172"/>
      </w:pPr>
      <w:r>
        <w:rPr>
          <w:spacing w:val="10"/>
          <w:w w:val="95"/>
        </w:rPr>
        <w:t>，置於本會網站供各界參考運用外，並提供文官學院辦理各項</w:t>
      </w:r>
      <w:r>
        <w:rPr>
          <w:spacing w:val="1"/>
          <w:w w:val="95"/>
        </w:rPr>
        <w:t xml:space="preserve"> </w:t>
      </w:r>
      <w:r>
        <w:t>訓練班次時作為教材，以提升宣導之廣度。</w:t>
      </w:r>
    </w:p>
    <w:p w:rsidR="009D7784" w:rsidRDefault="00FB7782">
      <w:pPr>
        <w:pStyle w:val="1"/>
        <w:spacing w:before="181"/>
      </w:pPr>
      <w:r>
        <w:t>四、針對撤銷件數較多之機關，進行專案訪視加強宣導深度</w:t>
      </w:r>
    </w:p>
    <w:p w:rsidR="009D7784" w:rsidRDefault="009D7784">
      <w:pPr>
        <w:sectPr w:rsidR="009D7784">
          <w:pgSz w:w="11910" w:h="16840"/>
          <w:pgMar w:top="1300" w:right="1060" w:bottom="1160" w:left="1020" w:header="0" w:footer="980" w:gutter="0"/>
          <w:cols w:space="720"/>
        </w:sectPr>
      </w:pPr>
    </w:p>
    <w:p w:rsidR="009D7784" w:rsidRDefault="00FB7782">
      <w:pPr>
        <w:pStyle w:val="a3"/>
        <w:spacing w:before="17" w:line="278" w:lineRule="auto"/>
        <w:ind w:left="708" w:right="173" w:firstLine="640"/>
        <w:jc w:val="both"/>
      </w:pPr>
      <w:r>
        <w:rPr>
          <w:spacing w:val="10"/>
          <w:w w:val="95"/>
        </w:rPr>
        <w:lastRenderedPageBreak/>
        <w:t>針對經本會撤銷案件數較多之機關，安排訪視作業，並實</w:t>
      </w:r>
      <w:r>
        <w:rPr>
          <w:spacing w:val="1"/>
          <w:w w:val="95"/>
        </w:rPr>
        <w:t xml:space="preserve"> </w:t>
      </w:r>
      <w:r>
        <w:rPr>
          <w:spacing w:val="11"/>
          <w:w w:val="95"/>
        </w:rPr>
        <w:t>施專案輔導，以協助其了解相關人事法令及作業流程，避免錯</w:t>
      </w:r>
      <w:r>
        <w:rPr>
          <w:spacing w:val="1"/>
          <w:w w:val="95"/>
        </w:rPr>
        <w:t xml:space="preserve"> </w:t>
      </w:r>
      <w:r>
        <w:t>誤之再發生。</w:t>
      </w:r>
    </w:p>
    <w:p w:rsidR="009D7784" w:rsidRDefault="00FB7782">
      <w:pPr>
        <w:pStyle w:val="1"/>
        <w:spacing w:before="183"/>
      </w:pPr>
      <w:r>
        <w:t>五、透過個案附帶決議，促使法令趨於完備、符合實務需求</w:t>
      </w:r>
    </w:p>
    <w:p w:rsidR="009D7784" w:rsidRDefault="00FB7782">
      <w:pPr>
        <w:pStyle w:val="a3"/>
        <w:spacing w:before="251" w:line="278" w:lineRule="auto"/>
        <w:ind w:left="708" w:right="164" w:firstLine="640"/>
        <w:jc w:val="both"/>
      </w:pPr>
      <w:r>
        <w:rPr>
          <w:spacing w:val="11"/>
          <w:w w:val="95"/>
        </w:rPr>
        <w:t>審理保障事件，如發現法令尚有疑義或須改進之處，本會</w:t>
      </w:r>
      <w:r>
        <w:rPr>
          <w:spacing w:val="15"/>
          <w:w w:val="95"/>
        </w:rPr>
        <w:t xml:space="preserve"> </w:t>
      </w:r>
      <w:r>
        <w:rPr>
          <w:spacing w:val="12"/>
          <w:w w:val="95"/>
        </w:rPr>
        <w:t>議將視個案需求作成附帶決議，促使法規主管機關適時檢討相</w:t>
      </w:r>
      <w:r>
        <w:rPr>
          <w:spacing w:val="13"/>
          <w:w w:val="95"/>
        </w:rPr>
        <w:t xml:space="preserve"> </w:t>
      </w:r>
      <w:r>
        <w:rPr>
          <w:spacing w:val="12"/>
          <w:w w:val="95"/>
        </w:rPr>
        <w:t>關法令、函釋，進而完備相關法令之修正，並符合機關實務運</w:t>
      </w:r>
      <w:r>
        <w:rPr>
          <w:spacing w:val="13"/>
          <w:w w:val="95"/>
        </w:rPr>
        <w:t xml:space="preserve"> </w:t>
      </w:r>
      <w:r>
        <w:t>作之需求。</w:t>
      </w:r>
    </w:p>
    <w:p w:rsidR="009D7784" w:rsidRDefault="009D7784">
      <w:pPr>
        <w:pStyle w:val="a3"/>
      </w:pPr>
    </w:p>
    <w:p w:rsidR="009D7784" w:rsidRDefault="00FB7782">
      <w:pPr>
        <w:pStyle w:val="1"/>
        <w:spacing w:before="259"/>
        <w:ind w:left="227"/>
      </w:pPr>
      <w:r>
        <w:t>伍、結語</w:t>
      </w:r>
    </w:p>
    <w:p w:rsidR="009D7784" w:rsidRDefault="00FB7782">
      <w:pPr>
        <w:pStyle w:val="a3"/>
        <w:spacing w:before="251" w:line="278" w:lineRule="auto"/>
        <w:ind w:left="1068" w:right="179" w:firstLine="672"/>
        <w:jc w:val="both"/>
      </w:pPr>
      <w:r>
        <w:rPr>
          <w:w w:val="95"/>
        </w:rPr>
        <w:t>本會歷來均致力健全保障法制，提升保障事件審議品質</w:t>
      </w:r>
      <w:r>
        <w:rPr>
          <w:spacing w:val="61"/>
          <w:w w:val="95"/>
        </w:rPr>
        <w:t xml:space="preserve"> </w:t>
      </w:r>
      <w:r>
        <w:rPr>
          <w:w w:val="95"/>
        </w:rPr>
        <w:t>及擴大復審救濟範圍。可採行之具體作為，包括：辦理保障</w:t>
      </w:r>
      <w:r>
        <w:rPr>
          <w:spacing w:val="23"/>
          <w:w w:val="95"/>
        </w:rPr>
        <w:t xml:space="preserve"> </w:t>
      </w:r>
      <w:r>
        <w:rPr>
          <w:w w:val="95"/>
        </w:rPr>
        <w:t>法制宣</w:t>
      </w:r>
      <w:r>
        <w:rPr>
          <w:w w:val="95"/>
        </w:rPr>
        <w:t>導及輔導活動、研修各類保障事件審查基準等。未來</w:t>
      </w:r>
      <w:r>
        <w:rPr>
          <w:spacing w:val="34"/>
          <w:w w:val="95"/>
        </w:rPr>
        <w:t xml:space="preserve"> </w:t>
      </w:r>
      <w:r>
        <w:rPr>
          <w:w w:val="95"/>
        </w:rPr>
        <w:t>本會將持續加強公務人員保障法制及業務之宣導，定期就保</w:t>
      </w:r>
      <w:r>
        <w:rPr>
          <w:spacing w:val="17"/>
          <w:w w:val="95"/>
        </w:rPr>
        <w:t xml:space="preserve"> </w:t>
      </w:r>
      <w:r>
        <w:rPr>
          <w:spacing w:val="22"/>
        </w:rPr>
        <w:t>障事件常見之撤銷原因，進行類型化分析，函送各機關參</w:t>
      </w:r>
      <w:r>
        <w:rPr>
          <w:w w:val="95"/>
        </w:rPr>
        <w:t>考；適時輔導人事人員正確處理保障業務，促使各機關依法</w:t>
      </w:r>
      <w:r>
        <w:rPr>
          <w:spacing w:val="43"/>
          <w:w w:val="95"/>
        </w:rPr>
        <w:t xml:space="preserve"> </w:t>
      </w:r>
      <w:r>
        <w:t>行政，減少行政疏失，以達成保障業務優質化之目標。</w:t>
      </w:r>
    </w:p>
    <w:sectPr w:rsidR="009D7784">
      <w:pgSz w:w="11910" w:h="16840"/>
      <w:pgMar w:top="1300" w:right="1060" w:bottom="1160" w:left="10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82" w:rsidRDefault="00FB7782">
      <w:r>
        <w:separator/>
      </w:r>
    </w:p>
  </w:endnote>
  <w:endnote w:type="continuationSeparator" w:id="0">
    <w:p w:rsidR="00FB7782" w:rsidRDefault="00F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84" w:rsidRDefault="00FB77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81.95pt;width:18.25pt;height:16.8pt;z-index:-251658752;mso-position-horizontal-relative:page;mso-position-vertical-relative:page" filled="f" stroked="f">
          <v:textbox inset="0,0,0,0">
            <w:txbxContent>
              <w:p w:rsidR="009D7784" w:rsidRDefault="00FB7782">
                <w:pPr>
                  <w:spacing w:line="336" w:lineRule="exact"/>
                  <w:ind w:left="60"/>
                  <w:rPr>
                    <w:rFonts w:ascii="Arial Unicode MS"/>
                  </w:rPr>
                </w:pPr>
                <w:r>
                  <w:fldChar w:fldCharType="begin"/>
                </w:r>
                <w:r>
                  <w:rPr>
                    <w:rFonts w:ascii="Arial Unicode MS"/>
                  </w:rPr>
                  <w:instrText xml:space="preserve"> PAGE </w:instrText>
                </w:r>
                <w:r>
                  <w:fldChar w:fldCharType="separate"/>
                </w:r>
                <w:r w:rsidR="004B5BB5">
                  <w:rPr>
                    <w:rFonts w:ascii="Arial Unicode MS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82" w:rsidRDefault="00FB7782">
      <w:r>
        <w:separator/>
      </w:r>
    </w:p>
  </w:footnote>
  <w:footnote w:type="continuationSeparator" w:id="0">
    <w:p w:rsidR="00FB7782" w:rsidRDefault="00FB7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D7784"/>
    <w:rsid w:val="004B5BB5"/>
    <w:rsid w:val="009D7784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FD1DDE-FD67-4953-87C1-2DCC657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36"/>
      <w:ind w:left="58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考試院第10屆第  次會議</dc:title>
  <dc:creator>0001</dc:creator>
  <cp:lastModifiedBy>卓卿雲</cp:lastModifiedBy>
  <cp:revision>2</cp:revision>
  <dcterms:created xsi:type="dcterms:W3CDTF">2021-09-22T11:10:00Z</dcterms:created>
  <dcterms:modified xsi:type="dcterms:W3CDTF">2021-09-22T11:12:00Z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