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5"/>
        <w:ind w:left="2510" w:right="2510"/>
        <w:jc w:val="center"/>
      </w:pPr>
      <w:r>
        <w:rPr>
          <w:spacing w:val="-1"/>
        </w:rPr>
        <w:t>公務人員保障暨培訓委員會</w:t>
      </w:r>
      <w:r>
        <w:rPr/>
        <w:t>108年1月至6月</w:t>
      </w:r>
    </w:p>
    <w:p>
      <w:pPr>
        <w:spacing w:line="498" w:lineRule="exact" w:before="0"/>
        <w:ind w:left="1574" w:right="1574" w:firstLine="0"/>
        <w:jc w:val="center"/>
        <w:rPr>
          <w:b/>
          <w:sz w:val="36"/>
        </w:rPr>
      </w:pPr>
      <w:r>
        <w:rPr>
          <w:b/>
          <w:w w:val="95"/>
          <w:sz w:val="36"/>
        </w:rPr>
        <w:t>審理保障事件常見撤銷原因分析參考資料</w:t>
      </w:r>
    </w:p>
    <w:p>
      <w:pPr>
        <w:pStyle w:val="BodyText"/>
        <w:spacing w:line="268" w:lineRule="auto" w:before="235"/>
        <w:ind w:left="138" w:right="115" w:firstLine="640"/>
      </w:pPr>
      <w:r>
        <w:rPr/>
        <w:t>按公務人員對於服務機關或人事主管機關所為之行政處分，</w:t>
      </w:r>
      <w:r>
        <w:rPr>
          <w:spacing w:val="-158"/>
        </w:rPr>
        <w:t> </w:t>
      </w:r>
      <w:r>
        <w:rPr/>
        <w:t>認為違法或顯然不當，致損害其權利或利益者，得提起復審；對</w:t>
      </w:r>
      <w:r>
        <w:rPr>
          <w:spacing w:val="16"/>
          <w:w w:val="95"/>
        </w:rPr>
        <w:t>於服務機關所為之管理措施或有關工作條件之處置，認為不當</w:t>
      </w:r>
      <w:r>
        <w:rPr>
          <w:spacing w:val="17"/>
          <w:w w:val="95"/>
        </w:rPr>
        <w:t> </w:t>
      </w:r>
      <w:r>
        <w:rPr/>
        <w:t>者，則得提起申訴、再申訴，分別為公務人員保障法（以下簡稱保障法）第25條、第77條第1項所明定。茲就108年1月至6月經本會審理決定撤銷之保障事件，歸納分析其撤銷原因，並就機關為</w:t>
      </w:r>
      <w:r>
        <w:rPr>
          <w:spacing w:val="-7"/>
        </w:rPr>
        <w:t>人事行政行為時，常發生之作業疏失綜整說明。〔相關決定書可</w:t>
      </w:r>
      <w:r>
        <w:rPr>
          <w:spacing w:val="43"/>
        </w:rPr>
        <w:t>至 本 會 網 站 保 障 事 件 決 定 書 查 詢 系 統</w:t>
      </w:r>
    </w:p>
    <w:p>
      <w:pPr>
        <w:pStyle w:val="BodyText"/>
        <w:spacing w:line="439" w:lineRule="exact" w:before="0"/>
        <w:ind w:left="138" w:right="0"/>
        <w:jc w:val="left"/>
      </w:pPr>
      <w:r>
        <w:rPr/>
        <w:t>（https://web13.csptc.gov.tw/index.aspx）查詢。〕</w:t>
      </w:r>
    </w:p>
    <w:p>
      <w:pPr>
        <w:pStyle w:val="BodyText"/>
        <w:spacing w:before="0"/>
        <w:ind w:left="0" w:right="0"/>
        <w:jc w:val="left"/>
      </w:pPr>
    </w:p>
    <w:p>
      <w:pPr>
        <w:pStyle w:val="BodyText"/>
        <w:spacing w:before="2"/>
        <w:ind w:left="0" w:right="0"/>
        <w:jc w:val="left"/>
        <w:rPr>
          <w:sz w:val="33"/>
        </w:rPr>
      </w:pPr>
    </w:p>
    <w:p>
      <w:pPr>
        <w:pStyle w:val="Heading1"/>
        <w:spacing w:before="1"/>
      </w:pPr>
      <w:r>
        <w:rPr>
          <w:w w:val="95"/>
        </w:rPr>
        <w:t>壹、常見撤銷原因摘要</w:t>
      </w:r>
    </w:p>
    <w:p>
      <w:pPr>
        <w:pStyle w:val="Heading2"/>
        <w:spacing w:line="295" w:lineRule="auto" w:before="235"/>
        <w:ind w:left="854" w:right="5354" w:hanging="716"/>
      </w:pPr>
      <w:r>
        <w:rPr/>
        <w:t>一、關於考績法定程序部分考績評擬程序不合法</w:t>
      </w:r>
    </w:p>
    <w:p>
      <w:pPr>
        <w:pStyle w:val="BodyText"/>
        <w:spacing w:line="268" w:lineRule="auto" w:before="68"/>
        <w:ind w:left="844" w:right="124" w:firstLine="9"/>
      </w:pPr>
      <w:r>
        <w:rPr/>
        <w:t>按銓敘部91年10月29日部法二字第0912187269號書函釋，一</w:t>
      </w:r>
      <w:r>
        <w:rPr>
          <w:w w:val="95"/>
        </w:rPr>
        <w:t>般人員因機關內部人力調整工作指派，其職務並未異動，考</w:t>
      </w:r>
      <w:r>
        <w:rPr>
          <w:spacing w:val="7"/>
          <w:w w:val="95"/>
        </w:rPr>
        <w:t> </w:t>
      </w:r>
      <w:r>
        <w:rPr>
          <w:spacing w:val="13"/>
          <w:w w:val="95"/>
        </w:rPr>
        <w:t>績案件評擬之程序，應由本職單位主管人員就考評項目評</w:t>
      </w:r>
      <w:r>
        <w:rPr>
          <w:spacing w:val="1"/>
          <w:w w:val="95"/>
        </w:rPr>
        <w:t> </w:t>
      </w:r>
      <w:r>
        <w:rPr>
          <w:w w:val="95"/>
        </w:rPr>
        <w:t>擬。另為符合綜覈名實、信賞必罰之旨，奉派所支援之單位</w:t>
      </w:r>
      <w:r>
        <w:rPr>
          <w:spacing w:val="23"/>
          <w:w w:val="95"/>
        </w:rPr>
        <w:t> </w:t>
      </w:r>
      <w:r>
        <w:rPr>
          <w:w w:val="95"/>
        </w:rPr>
        <w:t>主管評擬之意見，得作為本職單位主管考評之參考。卷查再</w:t>
      </w:r>
      <w:r>
        <w:rPr>
          <w:spacing w:val="23"/>
          <w:w w:val="95"/>
        </w:rPr>
        <w:t> </w:t>
      </w:r>
      <w:r>
        <w:rPr>
          <w:w w:val="95"/>
        </w:rPr>
        <w:t>申訴人係○○公所民政課里幹事，自105年起經指派於該公</w:t>
      </w:r>
      <w:r>
        <w:rPr>
          <w:spacing w:val="141"/>
          <w:w w:val="95"/>
        </w:rPr>
        <w:t> </w:t>
      </w:r>
      <w:r>
        <w:rPr>
          <w:w w:val="95"/>
        </w:rPr>
        <w:t>所農業課服務，其本職單位仍為民政課。是其107</w:t>
      </w:r>
      <w:r>
        <w:rPr>
          <w:spacing w:val="2"/>
          <w:w w:val="95"/>
        </w:rPr>
        <w:t>年年終考</w:t>
      </w:r>
      <w:r>
        <w:rPr>
          <w:spacing w:val="152"/>
          <w:w w:val="95"/>
        </w:rPr>
        <w:t> </w:t>
      </w:r>
      <w:r>
        <w:rPr>
          <w:spacing w:val="-8"/>
          <w:w w:val="95"/>
        </w:rPr>
        <w:t>績由農業課課長綜合評擬，核有法定程序之瑕疵。</w:t>
      </w:r>
      <w:r>
        <w:rPr>
          <w:w w:val="95"/>
        </w:rPr>
        <w:t>（108公申</w:t>
      </w:r>
      <w:r>
        <w:rPr>
          <w:spacing w:val="14"/>
          <w:w w:val="95"/>
        </w:rPr>
        <w:t> </w:t>
      </w:r>
      <w:r>
        <w:rPr/>
        <w:t>決字第000091號）</w:t>
      </w:r>
    </w:p>
    <w:p>
      <w:pPr>
        <w:pStyle w:val="Heading2"/>
        <w:spacing w:before="110"/>
      </w:pPr>
      <w:r>
        <w:rPr/>
        <w:t>二、關於考績（成）實體撤銷理由部分</w:t>
      </w:r>
    </w:p>
    <w:p>
      <w:pPr>
        <w:spacing w:after="0"/>
        <w:sectPr>
          <w:footerReference w:type="default" r:id="rId5"/>
          <w:type w:val="continuous"/>
          <w:pgSz w:w="11910" w:h="16840"/>
          <w:pgMar w:footer="825" w:top="1140" w:bottom="1020" w:left="1280" w:right="1280"/>
          <w:pgNumType w:start="1"/>
        </w:sectPr>
      </w:pPr>
    </w:p>
    <w:p>
      <w:pPr>
        <w:spacing w:before="15"/>
        <w:ind w:left="854" w:right="0" w:firstLine="0"/>
        <w:jc w:val="left"/>
        <w:rPr>
          <w:b/>
          <w:sz w:val="32"/>
        </w:rPr>
      </w:pPr>
      <w:r>
        <w:rPr>
          <w:b/>
          <w:sz w:val="32"/>
        </w:rPr>
        <w:t>服務機關對考評事實未經詳實調查或認定有誤</w:t>
      </w:r>
    </w:p>
    <w:p>
      <w:pPr>
        <w:pStyle w:val="BodyText"/>
        <w:spacing w:line="268" w:lineRule="auto" w:before="174"/>
        <w:ind w:left="844" w:right="130" w:firstLine="9"/>
      </w:pPr>
      <w:r>
        <w:rPr>
          <w:w w:val="95"/>
        </w:rPr>
        <w:t>按公務人員考績法（以下簡稱考績法）施行細則第2條第2項</w:t>
      </w:r>
      <w:r>
        <w:rPr>
          <w:spacing w:val="8"/>
          <w:w w:val="95"/>
        </w:rPr>
        <w:t> </w:t>
      </w:r>
      <w:r>
        <w:rPr>
          <w:spacing w:val="-14"/>
          <w:w w:val="95"/>
        </w:rPr>
        <w:t>規定：「……除十二月二日以後由其他機關調任現職者，由</w:t>
      </w:r>
      <w:r>
        <w:rPr>
          <w:spacing w:val="161"/>
        </w:rPr>
        <w:t> </w:t>
      </w:r>
      <w:r>
        <w:rPr>
          <w:w w:val="95"/>
        </w:rPr>
        <w:t>原任職機關以原職務辦理考績外，於年終最後任職機關參加</w:t>
      </w:r>
      <w:r>
        <w:rPr>
          <w:spacing w:val="17"/>
          <w:w w:val="95"/>
        </w:rPr>
        <w:t> </w:t>
      </w:r>
      <w:r>
        <w:rPr>
          <w:w w:val="95"/>
        </w:rPr>
        <w:t>考績時，應由考績機關向受考人原任職機關，調取平時考核</w:t>
      </w:r>
      <w:r>
        <w:rPr>
          <w:spacing w:val="17"/>
          <w:w w:val="95"/>
        </w:rPr>
        <w:t> </w:t>
      </w:r>
      <w:r>
        <w:rPr>
          <w:w w:val="95"/>
        </w:rPr>
        <w:t>紀錄及其他相關資料，評定成績。」再申訴人於105年10月</w:t>
      </w:r>
      <w:r>
        <w:rPr>
          <w:spacing w:val="147"/>
        </w:rPr>
        <w:t> </w:t>
      </w:r>
      <w:r>
        <w:rPr>
          <w:w w:val="95"/>
        </w:rPr>
        <w:t>24日由○○市政府警察局交通警察大隊調任該局捷運警察隊</w:t>
      </w:r>
    </w:p>
    <w:p>
      <w:pPr>
        <w:pStyle w:val="BodyText"/>
        <w:spacing w:line="268" w:lineRule="auto" w:before="0"/>
        <w:ind w:left="844" w:right="125"/>
      </w:pPr>
      <w:r>
        <w:rPr>
          <w:w w:val="95"/>
        </w:rPr>
        <w:t>（以下簡稱捷警隊）警員。本件捷警隊考績委員會（以下簡</w:t>
      </w:r>
      <w:r>
        <w:rPr>
          <w:spacing w:val="6"/>
          <w:w w:val="95"/>
        </w:rPr>
        <w:t> </w:t>
      </w:r>
      <w:r>
        <w:rPr>
          <w:spacing w:val="15"/>
          <w:w w:val="95"/>
        </w:rPr>
        <w:t>稱考績會</w:t>
      </w:r>
      <w:r>
        <w:rPr>
          <w:spacing w:val="17"/>
          <w:w w:val="95"/>
        </w:rPr>
        <w:t>）</w:t>
      </w:r>
      <w:r>
        <w:rPr>
          <w:spacing w:val="13"/>
          <w:w w:val="95"/>
        </w:rPr>
        <w:t>會議紀錄略以，再申訴人第一層主管表示，其</w:t>
      </w:r>
      <w:r>
        <w:rPr>
          <w:w w:val="95"/>
        </w:rPr>
        <w:t>105年係對再申訴人僅1個月餘觀察之狀況下而評議，再申訴</w:t>
      </w:r>
      <w:r>
        <w:rPr>
          <w:spacing w:val="22"/>
          <w:w w:val="95"/>
        </w:rPr>
        <w:t> </w:t>
      </w:r>
      <w:r>
        <w:rPr>
          <w:w w:val="95"/>
        </w:rPr>
        <w:t>人工作考核情形普通。復依捷警隊代表於本會保障事件審查</w:t>
      </w:r>
      <w:r>
        <w:rPr>
          <w:spacing w:val="22"/>
          <w:w w:val="95"/>
        </w:rPr>
        <w:t> </w:t>
      </w:r>
      <w:r>
        <w:rPr>
          <w:w w:val="95"/>
        </w:rPr>
        <w:t>會會議陳述意見時表示，再申訴人當年嘉獎83次，於分隊排</w:t>
      </w:r>
      <w:r>
        <w:rPr>
          <w:spacing w:val="22"/>
          <w:w w:val="95"/>
        </w:rPr>
        <w:t> </w:t>
      </w:r>
      <w:r>
        <w:rPr>
          <w:w w:val="95"/>
        </w:rPr>
        <w:t>名應為第一名或第二名，再申訴人至機關報到1個月後即辦</w:t>
      </w:r>
      <w:r>
        <w:rPr>
          <w:spacing w:val="150"/>
        </w:rPr>
        <w:t> </w:t>
      </w:r>
      <w:r>
        <w:rPr>
          <w:w w:val="95"/>
        </w:rPr>
        <w:t>理考績等語。則捷警隊辦理再申訴人105年年終考績是否僅</w:t>
      </w:r>
      <w:r>
        <w:rPr>
          <w:spacing w:val="146"/>
          <w:w w:val="95"/>
        </w:rPr>
        <w:t> </w:t>
      </w:r>
      <w:r>
        <w:rPr/>
        <w:t>著重其105</w:t>
      </w:r>
      <w:r>
        <w:rPr>
          <w:spacing w:val="12"/>
        </w:rPr>
        <w:t>年</w:t>
      </w:r>
      <w:r>
        <w:rPr/>
        <w:t>10</w:t>
      </w:r>
      <w:r>
        <w:rPr>
          <w:spacing w:val="12"/>
        </w:rPr>
        <w:t>月</w:t>
      </w:r>
      <w:r>
        <w:rPr/>
        <w:t>24日任職該隊後之工作表現，未確實審酌再申訴人105年1月至10月任職於○○市政府警察局交通警察</w:t>
      </w:r>
      <w:r>
        <w:rPr>
          <w:spacing w:val="16"/>
        </w:rPr>
        <w:t>大隊期間之工作表現，尚非無疑。</w:t>
      </w:r>
      <w:r>
        <w:rPr/>
        <w:t>(108</w:t>
      </w:r>
      <w:r>
        <w:rPr>
          <w:spacing w:val="16"/>
        </w:rPr>
        <w:t>公申決字第</w:t>
      </w:r>
      <w:r>
        <w:rPr/>
        <w:t>000073</w:t>
      </w:r>
      <w:r>
        <w:rPr>
          <w:spacing w:val="-158"/>
        </w:rPr>
        <w:t> </w:t>
      </w:r>
      <w:r>
        <w:rPr/>
        <w:t>號)</w:t>
      </w:r>
    </w:p>
    <w:p>
      <w:pPr>
        <w:pStyle w:val="Heading2"/>
        <w:spacing w:before="99"/>
      </w:pPr>
      <w:r>
        <w:rPr/>
        <w:t>三、關於懲處實體撤銷理由部分</w:t>
      </w:r>
    </w:p>
    <w:p>
      <w:pPr>
        <w:pStyle w:val="BodyText"/>
        <w:spacing w:line="268" w:lineRule="auto" w:before="105"/>
        <w:ind w:left="844" w:firstLine="9"/>
      </w:pPr>
      <w:r>
        <w:rPr>
          <w:w w:val="95"/>
        </w:rPr>
        <w:t>各機關辦理公務人員懲處時，應依考績法第14條、第15條及</w:t>
      </w:r>
      <w:r>
        <w:rPr>
          <w:spacing w:val="6"/>
          <w:w w:val="95"/>
        </w:rPr>
        <w:t> </w:t>
      </w:r>
      <w:r>
        <w:rPr>
          <w:spacing w:val="1"/>
          <w:w w:val="95"/>
        </w:rPr>
        <w:t>考績委員會組織規程</w:t>
      </w:r>
      <w:r>
        <w:rPr>
          <w:w w:val="95"/>
        </w:rPr>
        <w:t>（以下簡稱組織規程）第3條相關規定</w:t>
      </w:r>
      <w:r>
        <w:rPr>
          <w:spacing w:val="148"/>
        </w:rPr>
        <w:t> </w:t>
      </w:r>
      <w:r>
        <w:rPr>
          <w:w w:val="95"/>
        </w:rPr>
        <w:t>及各機關懲處規定辦理，惟尚有下列瑕疵，而經本會決定撤</w:t>
      </w:r>
      <w:r>
        <w:rPr>
          <w:spacing w:val="1"/>
          <w:w w:val="95"/>
        </w:rPr>
        <w:t> </w:t>
      </w:r>
      <w:r>
        <w:rPr/>
        <w:t>銷者︰</w:t>
      </w:r>
    </w:p>
    <w:p>
      <w:pPr>
        <w:pStyle w:val="Heading2"/>
        <w:spacing w:before="115"/>
        <w:jc w:val="both"/>
      </w:pPr>
      <w:r>
        <w:rPr>
          <w:w w:val="95"/>
        </w:rPr>
        <w:t>（一）</w:t>
      </w:r>
      <w:r>
        <w:rPr>
          <w:spacing w:val="-13"/>
          <w:w w:val="95"/>
        </w:rPr>
        <w:t> 適用法規顯有錯誤</w:t>
      </w:r>
    </w:p>
    <w:p>
      <w:pPr>
        <w:pStyle w:val="ListParagraph"/>
        <w:numPr>
          <w:ilvl w:val="0"/>
          <w:numId w:val="1"/>
        </w:numPr>
        <w:tabs>
          <w:tab w:pos="1313" w:val="left" w:leader="none"/>
        </w:tabs>
        <w:spacing w:line="268" w:lineRule="auto" w:before="172" w:after="0"/>
        <w:ind w:left="1302" w:right="134" w:hanging="312"/>
        <w:jc w:val="both"/>
        <w:rPr>
          <w:sz w:val="32"/>
        </w:rPr>
      </w:pPr>
      <w:r>
        <w:rPr>
          <w:w w:val="95"/>
          <w:sz w:val="32"/>
        </w:rPr>
        <w:t>○○市政府○○局依○○市政府及所屬各機關學校公務</w:t>
      </w:r>
      <w:r>
        <w:rPr>
          <w:spacing w:val="1"/>
          <w:w w:val="95"/>
          <w:sz w:val="32"/>
        </w:rPr>
        <w:t> </w:t>
      </w:r>
      <w:r>
        <w:rPr>
          <w:spacing w:val="22"/>
          <w:w w:val="95"/>
          <w:sz w:val="32"/>
        </w:rPr>
        <w:t>人員獎懲案件處理要點，核予再申訴人申誡一次之懲</w:t>
      </w:r>
      <w:r>
        <w:rPr>
          <w:spacing w:val="1"/>
          <w:w w:val="95"/>
          <w:sz w:val="32"/>
        </w:rPr>
        <w:t> </w:t>
      </w:r>
      <w:r>
        <w:rPr>
          <w:w w:val="95"/>
          <w:sz w:val="32"/>
        </w:rPr>
        <w:t>處。惟查該要點係規範○○市政府及所屬各機關學校辦</w:t>
      </w:r>
    </w:p>
    <w:p>
      <w:pPr>
        <w:spacing w:after="0" w:line="268" w:lineRule="auto"/>
        <w:jc w:val="both"/>
        <w:rPr>
          <w:sz w:val="32"/>
        </w:rPr>
        <w:sectPr>
          <w:pgSz w:w="11910" w:h="16840"/>
          <w:pgMar w:header="0" w:footer="825" w:top="1180" w:bottom="1020" w:left="1280" w:right="1280"/>
        </w:sectPr>
      </w:pPr>
    </w:p>
    <w:p>
      <w:pPr>
        <w:pStyle w:val="BodyText"/>
        <w:spacing w:line="268" w:lineRule="auto"/>
        <w:ind w:right="135"/>
      </w:pPr>
      <w:r>
        <w:rPr>
          <w:w w:val="95"/>
        </w:rPr>
        <w:t>理獎懲案件之處理原則、權責劃分、作業注意事項及準</w:t>
      </w:r>
      <w:r>
        <w:rPr>
          <w:spacing w:val="37"/>
          <w:w w:val="95"/>
        </w:rPr>
        <w:t> </w:t>
      </w:r>
      <w:r>
        <w:rPr>
          <w:w w:val="95"/>
        </w:rPr>
        <w:t>用對象等，尚非對於公務人員為獎懲之依據。系爭懲處</w:t>
      </w:r>
      <w:r>
        <w:rPr>
          <w:spacing w:val="34"/>
          <w:w w:val="95"/>
        </w:rPr>
        <w:t> </w:t>
      </w:r>
      <w:r>
        <w:rPr>
          <w:w w:val="95"/>
        </w:rPr>
        <w:t>令未依該府所訂○○市政府及所屬機關學校公務人員平</w:t>
      </w:r>
      <w:r>
        <w:rPr>
          <w:spacing w:val="17"/>
          <w:w w:val="95"/>
        </w:rPr>
        <w:t> </w:t>
      </w:r>
      <w:r>
        <w:rPr>
          <w:w w:val="95"/>
        </w:rPr>
        <w:t>時獎懲標準表相關懲處規定辦理，亦未載明懲處標準及</w:t>
      </w:r>
      <w:r>
        <w:rPr>
          <w:spacing w:val="18"/>
          <w:w w:val="95"/>
        </w:rPr>
        <w:t> </w:t>
      </w:r>
      <w:r>
        <w:rPr>
          <w:w w:val="95"/>
        </w:rPr>
        <w:t>要件，致無法判斷再申訴人是否該當系爭懲處，且申訴</w:t>
      </w:r>
      <w:r>
        <w:rPr>
          <w:spacing w:val="41"/>
          <w:w w:val="95"/>
        </w:rPr>
        <w:t> </w:t>
      </w:r>
      <w:r>
        <w:rPr>
          <w:w w:val="95"/>
        </w:rPr>
        <w:t>函復仍未釐清，已影響再申訴人攻擊防禦權利之行使。</w:t>
      </w:r>
      <w:r>
        <w:rPr/>
        <w:t>(108公申決字第000047號)</w:t>
      </w:r>
    </w:p>
    <w:p>
      <w:pPr>
        <w:pStyle w:val="ListParagraph"/>
        <w:numPr>
          <w:ilvl w:val="0"/>
          <w:numId w:val="1"/>
        </w:numPr>
        <w:tabs>
          <w:tab w:pos="1313" w:val="left" w:leader="none"/>
        </w:tabs>
        <w:spacing w:line="268" w:lineRule="auto" w:before="113" w:after="0"/>
        <w:ind w:left="1302" w:right="120" w:hanging="312"/>
        <w:jc w:val="both"/>
        <w:rPr>
          <w:sz w:val="32"/>
        </w:rPr>
      </w:pPr>
      <w:r>
        <w:rPr>
          <w:sz w:val="32"/>
        </w:rPr>
        <w:t>按○○部訂有○○部及所屬機關人員獎懲要點，為所屬</w:t>
      </w:r>
      <w:r>
        <w:rPr>
          <w:spacing w:val="5"/>
          <w:w w:val="95"/>
          <w:sz w:val="32"/>
        </w:rPr>
        <w:t>人員獎懲案件辦理之基準。系爭○○部○○醫院懲處令</w:t>
      </w:r>
      <w:r>
        <w:rPr>
          <w:spacing w:val="13"/>
          <w:w w:val="95"/>
          <w:sz w:val="32"/>
        </w:rPr>
        <w:t> </w:t>
      </w:r>
      <w:r>
        <w:rPr>
          <w:spacing w:val="16"/>
          <w:sz w:val="32"/>
        </w:rPr>
        <w:t>所載法令依據為公務員服務法（以下簡稱服務法</w:t>
      </w:r>
      <w:r>
        <w:rPr>
          <w:spacing w:val="21"/>
          <w:sz w:val="32"/>
        </w:rPr>
        <w:t>）</w:t>
      </w:r>
      <w:r>
        <w:rPr>
          <w:spacing w:val="16"/>
          <w:sz w:val="32"/>
        </w:rPr>
        <w:t>第</w:t>
      </w:r>
      <w:r>
        <w:rPr>
          <w:sz w:val="32"/>
        </w:rPr>
        <w:t>2</w:t>
      </w:r>
      <w:r>
        <w:rPr>
          <w:spacing w:val="-158"/>
          <w:sz w:val="32"/>
        </w:rPr>
        <w:t> </w:t>
      </w:r>
      <w:r>
        <w:rPr>
          <w:sz w:val="32"/>
        </w:rPr>
        <w:t>條，未適用上開懲處規定，僅說明再申訴人有違反服務法第2條所定服務義務之行為，未舉列懲處標準及要件，</w:t>
      </w:r>
      <w:r>
        <w:rPr>
          <w:spacing w:val="-158"/>
          <w:sz w:val="32"/>
        </w:rPr>
        <w:t> </w:t>
      </w:r>
      <w:r>
        <w:rPr>
          <w:sz w:val="32"/>
        </w:rPr>
        <w:t>致無法判斷再申訴人是否該當系爭懲處，亦使再申訴人</w:t>
      </w:r>
      <w:r>
        <w:rPr>
          <w:w w:val="95"/>
          <w:sz w:val="32"/>
        </w:rPr>
        <w:t>無從採取適當之攻擊防禦方法，以維其權益。機關所為</w:t>
      </w:r>
      <w:r>
        <w:rPr>
          <w:spacing w:val="15"/>
          <w:w w:val="95"/>
          <w:sz w:val="32"/>
        </w:rPr>
        <w:t> </w:t>
      </w:r>
      <w:r>
        <w:rPr>
          <w:sz w:val="32"/>
        </w:rPr>
        <w:t>申訴函復，亦未詳備理由，僅敘明經該院考績會決議維持原懲處，使再申訴人無從知悉受懲處之理由事證及標準並為答辯，該院所為申訴函復亦難謂符合保障法第81</w:t>
      </w:r>
      <w:r>
        <w:rPr>
          <w:spacing w:val="-158"/>
          <w:sz w:val="32"/>
        </w:rPr>
        <w:t> </w:t>
      </w:r>
      <w:r>
        <w:rPr>
          <w:sz w:val="32"/>
        </w:rPr>
        <w:t>條第1項，服務機關對申訴事件，應就請求事項詳備理由函復之規定。(108公申決字第000007號)</w:t>
      </w:r>
    </w:p>
    <w:p>
      <w:pPr>
        <w:pStyle w:val="Heading2"/>
        <w:spacing w:before="107"/>
        <w:jc w:val="both"/>
      </w:pPr>
      <w:r>
        <w:rPr>
          <w:w w:val="95"/>
        </w:rPr>
        <w:t>（二）</w:t>
      </w:r>
      <w:r>
        <w:rPr>
          <w:spacing w:val="-10"/>
          <w:w w:val="95"/>
        </w:rPr>
        <w:t> 懲處事實未經詳實調查或認定有誤</w:t>
      </w:r>
    </w:p>
    <w:p>
      <w:pPr>
        <w:pStyle w:val="ListParagraph"/>
        <w:numPr>
          <w:ilvl w:val="0"/>
          <w:numId w:val="2"/>
        </w:numPr>
        <w:tabs>
          <w:tab w:pos="1313" w:val="left" w:leader="none"/>
        </w:tabs>
        <w:spacing w:line="268" w:lineRule="auto" w:before="172" w:after="0"/>
        <w:ind w:left="1302" w:right="122" w:hanging="312"/>
        <w:jc w:val="both"/>
        <w:rPr>
          <w:sz w:val="32"/>
        </w:rPr>
      </w:pPr>
      <w:r>
        <w:rPr>
          <w:spacing w:val="1"/>
          <w:w w:val="95"/>
          <w:sz w:val="32"/>
        </w:rPr>
        <w:t>按端正警察風紀實施規定第</w:t>
      </w:r>
      <w:r>
        <w:rPr>
          <w:w w:val="95"/>
          <w:sz w:val="32"/>
        </w:rPr>
        <w:t>3</w:t>
      </w:r>
      <w:r>
        <w:rPr>
          <w:spacing w:val="6"/>
          <w:w w:val="95"/>
          <w:sz w:val="32"/>
        </w:rPr>
        <w:t>點第</w:t>
      </w:r>
      <w:r>
        <w:rPr>
          <w:w w:val="95"/>
          <w:sz w:val="32"/>
        </w:rPr>
        <w:t>3項規定及警察人員與</w:t>
      </w:r>
      <w:r>
        <w:rPr>
          <w:spacing w:val="96"/>
          <w:w w:val="95"/>
          <w:sz w:val="32"/>
        </w:rPr>
        <w:t> </w:t>
      </w:r>
      <w:r>
        <w:rPr>
          <w:spacing w:val="1"/>
          <w:w w:val="95"/>
          <w:sz w:val="32"/>
        </w:rPr>
        <w:t>人發生不正常感情交往處理要點第</w:t>
      </w:r>
      <w:r>
        <w:rPr>
          <w:w w:val="95"/>
          <w:sz w:val="32"/>
        </w:rPr>
        <w:t>2</w:t>
      </w:r>
      <w:r>
        <w:rPr>
          <w:spacing w:val="6"/>
          <w:w w:val="95"/>
          <w:sz w:val="32"/>
        </w:rPr>
        <w:t>點第</w:t>
      </w:r>
      <w:r>
        <w:rPr>
          <w:w w:val="95"/>
          <w:sz w:val="32"/>
        </w:rPr>
        <w:t>1</w:t>
      </w:r>
      <w:r>
        <w:rPr>
          <w:spacing w:val="4"/>
          <w:w w:val="95"/>
          <w:sz w:val="32"/>
        </w:rPr>
        <w:t>項規定，已婚</w:t>
      </w:r>
      <w:r>
        <w:rPr>
          <w:spacing w:val="27"/>
          <w:w w:val="95"/>
          <w:sz w:val="32"/>
        </w:rPr>
        <w:t> </w:t>
      </w:r>
      <w:r>
        <w:rPr>
          <w:spacing w:val="22"/>
          <w:sz w:val="32"/>
        </w:rPr>
        <w:t>警察人員如與他人發生不正常感情交往，並有性交關</w:t>
      </w:r>
      <w:r>
        <w:rPr>
          <w:sz w:val="32"/>
        </w:rPr>
        <w:t>係，致違反品操紀律，影響警譽，情節嚴重，始該當記</w:t>
      </w:r>
      <w:r>
        <w:rPr>
          <w:w w:val="95"/>
          <w:sz w:val="32"/>
        </w:rPr>
        <w:t>過二次懲處之要件。再申訴人為已婚警察人員。其交往</w:t>
      </w:r>
      <w:r>
        <w:rPr>
          <w:spacing w:val="3"/>
          <w:w w:val="95"/>
          <w:sz w:val="32"/>
        </w:rPr>
        <w:t> </w:t>
      </w:r>
      <w:r>
        <w:rPr>
          <w:spacing w:val="4"/>
          <w:sz w:val="32"/>
        </w:rPr>
        <w:t>對象李○○女士</w:t>
      </w:r>
      <w:r>
        <w:rPr>
          <w:spacing w:val="11"/>
          <w:sz w:val="32"/>
        </w:rPr>
        <w:t>（</w:t>
      </w:r>
      <w:r>
        <w:rPr>
          <w:spacing w:val="3"/>
          <w:sz w:val="32"/>
        </w:rPr>
        <w:t>以下稱李女士</w:t>
      </w:r>
      <w:r>
        <w:rPr>
          <w:spacing w:val="16"/>
          <w:sz w:val="32"/>
        </w:rPr>
        <w:t>）</w:t>
      </w:r>
      <w:r>
        <w:rPr>
          <w:spacing w:val="2"/>
          <w:sz w:val="32"/>
        </w:rPr>
        <w:t>於接受調查時坦承與</w:t>
      </w:r>
      <w:r>
        <w:rPr>
          <w:sz w:val="32"/>
        </w:rPr>
        <w:t>再申訴人發生性交關係。惟依○○地方檢察署檢察官不起訴處分書所載，李女士辯稱未與再申訴人發生性交關</w:t>
      </w:r>
    </w:p>
    <w:p>
      <w:pPr>
        <w:spacing w:after="0" w:line="268" w:lineRule="auto"/>
        <w:jc w:val="both"/>
        <w:rPr>
          <w:sz w:val="32"/>
        </w:rPr>
        <w:sectPr>
          <w:pgSz w:w="11910" w:h="16840"/>
          <w:pgMar w:header="0" w:footer="825" w:top="1180" w:bottom="1020" w:left="1280" w:right="1280"/>
        </w:sectPr>
      </w:pPr>
    </w:p>
    <w:p>
      <w:pPr>
        <w:pStyle w:val="BodyText"/>
        <w:spacing w:line="268" w:lineRule="auto"/>
        <w:ind w:right="131"/>
      </w:pPr>
      <w:r>
        <w:rPr>
          <w:spacing w:val="6"/>
          <w:w w:val="95"/>
        </w:rPr>
        <w:t>係，又查無再申訴人前於</w:t>
      </w:r>
      <w:r>
        <w:rPr>
          <w:w w:val="95"/>
        </w:rPr>
        <w:t>103</w:t>
      </w:r>
      <w:r>
        <w:rPr>
          <w:spacing w:val="6"/>
          <w:w w:val="95"/>
        </w:rPr>
        <w:t>年至</w:t>
      </w:r>
      <w:r>
        <w:rPr>
          <w:w w:val="95"/>
        </w:rPr>
        <w:t>106</w:t>
      </w:r>
      <w:r>
        <w:rPr>
          <w:spacing w:val="3"/>
          <w:w w:val="95"/>
        </w:rPr>
        <w:t>年間與李女士發生</w:t>
      </w:r>
      <w:r>
        <w:rPr>
          <w:spacing w:val="1"/>
          <w:w w:val="95"/>
        </w:rPr>
        <w:t> </w:t>
      </w:r>
      <w:r>
        <w:rPr/>
        <w:t>不當感情交往期間，發生性交關係之其他具體事證。據上，再申訴人是否於上開期間與李女士發生性交關係，</w:t>
      </w:r>
      <w:r>
        <w:rPr>
          <w:spacing w:val="-158"/>
        </w:rPr>
        <w:t> </w:t>
      </w:r>
      <w:r>
        <w:rPr>
          <w:w w:val="95"/>
        </w:rPr>
        <w:t>尚有未明，服務機關核予再申訴人記過二次之懲處，尚</w:t>
      </w:r>
      <w:r>
        <w:rPr>
          <w:spacing w:val="19"/>
          <w:w w:val="95"/>
        </w:rPr>
        <w:t> </w:t>
      </w:r>
      <w:r>
        <w:rPr>
          <w:spacing w:val="3"/>
        </w:rPr>
        <w:t>嫌率斷，核有再行查明之必要。 </w:t>
      </w:r>
      <w:r>
        <w:rPr/>
        <w:t>(108公申決字第000095</w:t>
      </w:r>
      <w:r>
        <w:rPr>
          <w:spacing w:val="-157"/>
        </w:rPr>
        <w:t> </w:t>
      </w:r>
      <w:r>
        <w:rPr/>
        <w:t>號)</w:t>
      </w:r>
    </w:p>
    <w:p>
      <w:pPr>
        <w:pStyle w:val="ListParagraph"/>
        <w:numPr>
          <w:ilvl w:val="0"/>
          <w:numId w:val="2"/>
        </w:numPr>
        <w:tabs>
          <w:tab w:pos="1313" w:val="left" w:leader="none"/>
        </w:tabs>
        <w:spacing w:line="240" w:lineRule="auto" w:before="113" w:after="0"/>
        <w:ind w:left="1312" w:right="0" w:hanging="323"/>
        <w:jc w:val="left"/>
        <w:rPr>
          <w:sz w:val="32"/>
        </w:rPr>
      </w:pPr>
      <w:r>
        <w:rPr>
          <w:sz w:val="32"/>
        </w:rPr>
        <w:t>再申訴人於106年12月13日下午至同年月22日計連續請假</w:t>
      </w:r>
    </w:p>
    <w:p>
      <w:pPr>
        <w:pStyle w:val="BodyText"/>
        <w:spacing w:line="268" w:lineRule="auto" w:before="54"/>
      </w:pPr>
      <w:r>
        <w:rPr>
          <w:w w:val="95"/>
        </w:rPr>
        <w:t>7.5日，請假事由多因身體不適前往就醫，其除於請假前</w:t>
      </w:r>
      <w:r>
        <w:rPr>
          <w:spacing w:val="13"/>
          <w:w w:val="95"/>
        </w:rPr>
        <w:t> </w:t>
      </w:r>
      <w:r>
        <w:rPr>
          <w:w w:val="95"/>
        </w:rPr>
        <w:t>收文且已逾限辦日期公文計有7件外，其餘公文屬請假前</w:t>
      </w:r>
      <w:r>
        <w:rPr>
          <w:spacing w:val="2"/>
          <w:w w:val="95"/>
        </w:rPr>
        <w:t> </w:t>
      </w:r>
      <w:r>
        <w:rPr>
          <w:w w:val="95"/>
        </w:rPr>
        <w:t>已收文，於請假期間逾限辦日期者，再申訴人是否有辦</w:t>
      </w:r>
      <w:r>
        <w:rPr>
          <w:spacing w:val="44"/>
          <w:w w:val="95"/>
        </w:rPr>
        <w:t> </w:t>
      </w:r>
      <w:r>
        <w:rPr>
          <w:w w:val="95"/>
        </w:rPr>
        <w:t>理可能，或得交代職務代理人辦理；屬請假期間始分文</w:t>
      </w:r>
      <w:r>
        <w:rPr>
          <w:spacing w:val="44"/>
          <w:w w:val="95"/>
        </w:rPr>
        <w:t> </w:t>
      </w:r>
      <w:r>
        <w:rPr>
          <w:w w:val="95"/>
        </w:rPr>
        <w:t>予再申訴人，並於請假期間逾限辦日期者，得否歸咎於</w:t>
      </w:r>
      <w:r>
        <w:rPr>
          <w:spacing w:val="44"/>
          <w:w w:val="95"/>
        </w:rPr>
        <w:t> </w:t>
      </w:r>
      <w:r>
        <w:rPr>
          <w:w w:val="95"/>
        </w:rPr>
        <w:t>再申訴人；屬請假期間始分文予再申訴人，並於銷假上</w:t>
      </w:r>
      <w:r>
        <w:rPr>
          <w:spacing w:val="44"/>
          <w:w w:val="95"/>
        </w:rPr>
        <w:t> </w:t>
      </w:r>
      <w:r>
        <w:rPr>
          <w:w w:val="95"/>
        </w:rPr>
        <w:t>班後逾限辦日期者，再申訴人是否有足夠時間清理累積</w:t>
      </w:r>
      <w:r>
        <w:rPr>
          <w:spacing w:val="44"/>
          <w:w w:val="95"/>
        </w:rPr>
        <w:t> </w:t>
      </w:r>
      <w:r>
        <w:rPr>
          <w:w w:val="95"/>
        </w:rPr>
        <w:t>公文，均待查明斟酌。是以，再申訴人於系爭期間逾期</w:t>
      </w:r>
      <w:r>
        <w:rPr>
          <w:spacing w:val="1"/>
          <w:w w:val="95"/>
        </w:rPr>
        <w:t> </w:t>
      </w:r>
      <w:r>
        <w:rPr>
          <w:w w:val="95"/>
        </w:rPr>
        <w:t>202件公文，得否全部歸責再申訴人，尚非無疑。服務機</w:t>
      </w:r>
      <w:r>
        <w:rPr>
          <w:spacing w:val="1"/>
          <w:w w:val="95"/>
        </w:rPr>
        <w:t> </w:t>
      </w:r>
      <w:r>
        <w:rPr>
          <w:w w:val="95"/>
        </w:rPr>
        <w:t>關未考量再申訴人請假期間辦理公文之可能性，僅以系</w:t>
      </w:r>
      <w:r>
        <w:rPr>
          <w:spacing w:val="43"/>
          <w:w w:val="95"/>
        </w:rPr>
        <w:t> </w:t>
      </w:r>
      <w:r>
        <w:rPr>
          <w:w w:val="95"/>
        </w:rPr>
        <w:t>爭期間公文連續逾期作為懲處事由，自嫌率斷，核應查</w:t>
      </w:r>
      <w:r>
        <w:rPr>
          <w:spacing w:val="29"/>
          <w:w w:val="95"/>
        </w:rPr>
        <w:t> </w:t>
      </w:r>
      <w:r>
        <w:rPr>
          <w:w w:val="95"/>
        </w:rPr>
        <w:t>明可歸責於再申訴人逾期公文之數量及原因後，另為適</w:t>
      </w:r>
      <w:r>
        <w:rPr>
          <w:spacing w:val="39"/>
          <w:w w:val="95"/>
        </w:rPr>
        <w:t> </w:t>
      </w:r>
      <w:r>
        <w:rPr/>
        <w:t>法之處理。(108公申決字第000093號)</w:t>
      </w:r>
    </w:p>
    <w:p>
      <w:pPr>
        <w:pStyle w:val="ListParagraph"/>
        <w:numPr>
          <w:ilvl w:val="0"/>
          <w:numId w:val="2"/>
        </w:numPr>
        <w:tabs>
          <w:tab w:pos="1313" w:val="left" w:leader="none"/>
        </w:tabs>
        <w:spacing w:line="268" w:lineRule="auto" w:before="105" w:after="0"/>
        <w:ind w:left="1302" w:right="134" w:hanging="312"/>
        <w:jc w:val="both"/>
        <w:rPr>
          <w:sz w:val="32"/>
        </w:rPr>
      </w:pPr>
      <w:r>
        <w:rPr>
          <w:w w:val="95"/>
          <w:sz w:val="32"/>
        </w:rPr>
        <w:t>○○公所政風室以該公所建設課人員將工程公文交由承</w:t>
      </w:r>
      <w:r>
        <w:rPr>
          <w:spacing w:val="43"/>
          <w:w w:val="95"/>
          <w:sz w:val="32"/>
        </w:rPr>
        <w:t> </w:t>
      </w:r>
      <w:r>
        <w:rPr>
          <w:w w:val="95"/>
          <w:sz w:val="32"/>
        </w:rPr>
        <w:t>包廠商持會相關單位，涉有違反文書處理相關規定之情</w:t>
      </w:r>
      <w:r>
        <w:rPr>
          <w:spacing w:val="42"/>
          <w:w w:val="95"/>
          <w:sz w:val="32"/>
        </w:rPr>
        <w:t> </w:t>
      </w:r>
      <w:r>
        <w:rPr>
          <w:spacing w:val="7"/>
          <w:w w:val="95"/>
          <w:sz w:val="32"/>
        </w:rPr>
        <w:t>事，以</w:t>
      </w:r>
      <w:r>
        <w:rPr>
          <w:w w:val="95"/>
          <w:sz w:val="32"/>
        </w:rPr>
        <w:t>107</w:t>
      </w:r>
      <w:r>
        <w:rPr>
          <w:spacing w:val="12"/>
          <w:w w:val="95"/>
          <w:sz w:val="32"/>
        </w:rPr>
        <w:t>年</w:t>
      </w:r>
      <w:r>
        <w:rPr>
          <w:w w:val="95"/>
          <w:sz w:val="32"/>
        </w:rPr>
        <w:t>1月19日簽會建設課，該課○課長於同年月</w:t>
      </w:r>
      <w:r>
        <w:rPr>
          <w:spacing w:val="49"/>
          <w:w w:val="95"/>
          <w:sz w:val="32"/>
        </w:rPr>
        <w:t> </w:t>
      </w:r>
      <w:r>
        <w:rPr>
          <w:w w:val="95"/>
          <w:sz w:val="32"/>
        </w:rPr>
        <w:t>25</w:t>
      </w:r>
      <w:r>
        <w:rPr>
          <w:spacing w:val="12"/>
          <w:w w:val="95"/>
          <w:sz w:val="32"/>
        </w:rPr>
        <w:t>日</w:t>
      </w:r>
      <w:r>
        <w:rPr>
          <w:w w:val="95"/>
          <w:sz w:val="32"/>
        </w:rPr>
        <w:t>18時許收會後，並未循例簽註意見指派受會人員，</w:t>
      </w:r>
      <w:r>
        <w:rPr>
          <w:spacing w:val="50"/>
          <w:w w:val="95"/>
          <w:sz w:val="32"/>
        </w:rPr>
        <w:t> </w:t>
      </w:r>
      <w:r>
        <w:rPr>
          <w:w w:val="95"/>
          <w:sz w:val="32"/>
        </w:rPr>
        <w:t>該會簽公文亦無相關傳遞紀錄，則○課長於收會該會簽</w:t>
      </w:r>
      <w:r>
        <w:rPr>
          <w:spacing w:val="37"/>
          <w:w w:val="95"/>
          <w:sz w:val="32"/>
        </w:rPr>
        <w:t> </w:t>
      </w:r>
      <w:r>
        <w:rPr>
          <w:w w:val="95"/>
          <w:sz w:val="32"/>
        </w:rPr>
        <w:t>公文後，後續是否確有指示該公文由再申訴人收會？再</w:t>
      </w:r>
      <w:r>
        <w:rPr>
          <w:spacing w:val="42"/>
          <w:w w:val="95"/>
          <w:sz w:val="32"/>
        </w:rPr>
        <w:t> </w:t>
      </w:r>
      <w:r>
        <w:rPr>
          <w:spacing w:val="3"/>
          <w:w w:val="95"/>
          <w:sz w:val="32"/>
        </w:rPr>
        <w:t>申訴人是否確於</w:t>
      </w:r>
      <w:r>
        <w:rPr>
          <w:w w:val="95"/>
          <w:sz w:val="32"/>
        </w:rPr>
        <w:t>107</w:t>
      </w:r>
      <w:r>
        <w:rPr>
          <w:spacing w:val="12"/>
          <w:w w:val="95"/>
          <w:sz w:val="32"/>
        </w:rPr>
        <w:t>年</w:t>
      </w:r>
      <w:r>
        <w:rPr>
          <w:w w:val="95"/>
          <w:sz w:val="32"/>
        </w:rPr>
        <w:t>1</w:t>
      </w:r>
      <w:r>
        <w:rPr>
          <w:spacing w:val="12"/>
          <w:w w:val="95"/>
          <w:sz w:val="32"/>
        </w:rPr>
        <w:t>月</w:t>
      </w:r>
      <w:r>
        <w:rPr>
          <w:w w:val="95"/>
          <w:sz w:val="32"/>
        </w:rPr>
        <w:t>29</w:t>
      </w:r>
      <w:r>
        <w:rPr>
          <w:spacing w:val="4"/>
          <w:w w:val="95"/>
          <w:sz w:val="32"/>
        </w:rPr>
        <w:t>日至同年</w:t>
      </w:r>
      <w:r>
        <w:rPr>
          <w:w w:val="95"/>
          <w:sz w:val="32"/>
        </w:rPr>
        <w:t>2</w:t>
      </w:r>
      <w:r>
        <w:rPr>
          <w:spacing w:val="12"/>
          <w:w w:val="95"/>
          <w:sz w:val="32"/>
        </w:rPr>
        <w:t>月</w:t>
      </w:r>
      <w:r>
        <w:rPr>
          <w:w w:val="95"/>
          <w:sz w:val="32"/>
        </w:rPr>
        <w:t>2</w:t>
      </w:r>
      <w:r>
        <w:rPr>
          <w:spacing w:val="3"/>
          <w:w w:val="95"/>
          <w:sz w:val="32"/>
        </w:rPr>
        <w:t>日間受會該會</w:t>
      </w:r>
      <w:r>
        <w:rPr>
          <w:spacing w:val="40"/>
          <w:w w:val="95"/>
          <w:sz w:val="32"/>
        </w:rPr>
        <w:t> </w:t>
      </w:r>
      <w:r>
        <w:rPr>
          <w:w w:val="95"/>
          <w:sz w:val="32"/>
        </w:rPr>
        <w:t>簽公文？且會辦已逾時效，亦未有查催之相關資料，何</w:t>
      </w:r>
    </w:p>
    <w:p>
      <w:pPr>
        <w:spacing w:after="0" w:line="268" w:lineRule="auto"/>
        <w:jc w:val="both"/>
        <w:rPr>
          <w:sz w:val="32"/>
        </w:rPr>
        <w:sectPr>
          <w:pgSz w:w="11910" w:h="16840"/>
          <w:pgMar w:header="0" w:footer="825" w:top="1180" w:bottom="1020" w:left="1280" w:right="1280"/>
        </w:sectPr>
      </w:pPr>
    </w:p>
    <w:p>
      <w:pPr>
        <w:pStyle w:val="BodyText"/>
        <w:spacing w:line="268" w:lineRule="auto"/>
      </w:pPr>
      <w:r>
        <w:rPr>
          <w:w w:val="95"/>
        </w:rPr>
        <w:t>以認定再申訴人會辦公文無故逾期？均有未明。另依再</w:t>
      </w:r>
      <w:r>
        <w:rPr>
          <w:spacing w:val="19"/>
          <w:w w:val="95"/>
        </w:rPr>
        <w:t> </w:t>
      </w:r>
      <w:r>
        <w:rPr>
          <w:w w:val="95"/>
        </w:rPr>
        <w:t>申訴人簽註之意見，並未指明○課長於收受該會簽公文</w:t>
      </w:r>
      <w:r>
        <w:rPr>
          <w:spacing w:val="31"/>
          <w:w w:val="95"/>
        </w:rPr>
        <w:t> </w:t>
      </w:r>
      <w:r>
        <w:rPr>
          <w:w w:val="95"/>
        </w:rPr>
        <w:t>後有積壓公文之情事，且依卷附資料，亦未見該公所提</w:t>
      </w:r>
      <w:r>
        <w:rPr>
          <w:spacing w:val="29"/>
          <w:w w:val="95"/>
        </w:rPr>
        <w:t> </w:t>
      </w:r>
      <w:r>
        <w:rPr>
          <w:spacing w:val="22"/>
          <w:w w:val="95"/>
        </w:rPr>
        <w:t>出再申訴人指控○課長持有逾期公文之具體事證。是</w:t>
      </w:r>
    </w:p>
    <w:p>
      <w:pPr>
        <w:pStyle w:val="BodyText"/>
        <w:spacing w:line="268" w:lineRule="auto" w:before="0"/>
        <w:ind w:right="131"/>
      </w:pPr>
      <w:r>
        <w:rPr>
          <w:w w:val="95"/>
        </w:rPr>
        <w:t>○○公所核予再申訴人申誡二次及申誡一次之懲處，尚</w:t>
      </w:r>
      <w:r>
        <w:rPr>
          <w:spacing w:val="1"/>
          <w:w w:val="95"/>
        </w:rPr>
        <w:t> </w:t>
      </w:r>
      <w:r>
        <w:rPr>
          <w:spacing w:val="-3"/>
        </w:rPr>
        <w:t>嫌率斷，核有重新查明之必要。</w:t>
      </w:r>
      <w:r>
        <w:rPr/>
        <w:t>（108</w:t>
      </w:r>
      <w:r>
        <w:rPr>
          <w:spacing w:val="11"/>
        </w:rPr>
        <w:t>公申決字第</w:t>
      </w:r>
      <w:r>
        <w:rPr/>
        <w:t>000074</w:t>
      </w:r>
      <w:r>
        <w:rPr>
          <w:spacing w:val="-158"/>
        </w:rPr>
        <w:t> </w:t>
      </w:r>
      <w:r>
        <w:rPr/>
        <w:t>號）</w:t>
      </w:r>
    </w:p>
    <w:p>
      <w:pPr>
        <w:pStyle w:val="ListParagraph"/>
        <w:numPr>
          <w:ilvl w:val="0"/>
          <w:numId w:val="2"/>
        </w:numPr>
        <w:tabs>
          <w:tab w:pos="1339" w:val="left" w:leader="none"/>
        </w:tabs>
        <w:spacing w:line="268" w:lineRule="auto" w:before="113" w:after="0"/>
        <w:ind w:left="1329" w:right="120" w:hanging="320"/>
        <w:jc w:val="both"/>
        <w:rPr>
          <w:sz w:val="32"/>
        </w:rPr>
      </w:pPr>
      <w:r>
        <w:rPr>
          <w:sz w:val="32"/>
        </w:rPr>
        <w:t>按○○市政府及所屬各機關學校公務人員平時獎懲案件處理要點第5點規定，所屬公務人員如言行失檢，而有損</w:t>
      </w:r>
      <w:r>
        <w:rPr>
          <w:w w:val="95"/>
          <w:sz w:val="32"/>
        </w:rPr>
        <w:t>害機關聲譽，情節嚴重之情事，仍須查明具體事證，始</w:t>
      </w:r>
      <w:r>
        <w:rPr>
          <w:spacing w:val="134"/>
          <w:w w:val="95"/>
          <w:sz w:val="32"/>
        </w:rPr>
        <w:t> </w:t>
      </w:r>
      <w:r>
        <w:rPr>
          <w:sz w:val="32"/>
        </w:rPr>
        <w:t>得予以懲處。再申訴人係於機關同意下，獲聘為該市青</w:t>
      </w:r>
      <w:r>
        <w:rPr>
          <w:w w:val="95"/>
          <w:sz w:val="32"/>
        </w:rPr>
        <w:t>年議會青年代表，其以該代表之身分於會議上就○○市</w:t>
      </w:r>
      <w:r>
        <w:rPr>
          <w:spacing w:val="73"/>
          <w:w w:val="95"/>
          <w:sz w:val="32"/>
        </w:rPr>
        <w:t> </w:t>
      </w:r>
      <w:r>
        <w:rPr>
          <w:w w:val="95"/>
          <w:sz w:val="32"/>
        </w:rPr>
        <w:t>政府消防局曾涉犯貪污治罪條例人員擔任考績會成員是</w:t>
      </w:r>
      <w:r>
        <w:rPr>
          <w:spacing w:val="124"/>
          <w:w w:val="95"/>
          <w:sz w:val="32"/>
        </w:rPr>
        <w:t> </w:t>
      </w:r>
      <w:r>
        <w:rPr>
          <w:sz w:val="32"/>
        </w:rPr>
        <w:t>否妥適一事，向該局提出詢問，經○○局核予記過二次</w:t>
      </w:r>
      <w:r>
        <w:rPr>
          <w:w w:val="95"/>
          <w:sz w:val="32"/>
        </w:rPr>
        <w:t>之懲處，惟其所詢事項，是否屬「對於可受公評之事，</w:t>
      </w:r>
      <w:r>
        <w:rPr>
          <w:spacing w:val="108"/>
          <w:w w:val="95"/>
          <w:sz w:val="32"/>
        </w:rPr>
        <w:t> </w:t>
      </w:r>
      <w:r>
        <w:rPr>
          <w:spacing w:val="1"/>
          <w:sz w:val="32"/>
        </w:rPr>
        <w:t>而為適當之評論」，非無探究之餘地。況再申訴人之行</w:t>
      </w:r>
      <w:r>
        <w:rPr>
          <w:spacing w:val="22"/>
          <w:sz w:val="32"/>
        </w:rPr>
        <w:t>為，究如何該當言行失檢？如何對機關聲譽有不利影</w:t>
      </w:r>
      <w:r>
        <w:rPr>
          <w:w w:val="95"/>
          <w:sz w:val="32"/>
        </w:rPr>
        <w:t>響，而達情節嚴重之程度？亦均尚待查明，是○○局遽</w:t>
      </w:r>
      <w:r>
        <w:rPr>
          <w:spacing w:val="50"/>
          <w:w w:val="95"/>
          <w:sz w:val="32"/>
        </w:rPr>
        <w:t> </w:t>
      </w:r>
      <w:r>
        <w:rPr>
          <w:spacing w:val="22"/>
          <w:sz w:val="32"/>
        </w:rPr>
        <w:t>認再申訴人未循該局內部管道反映且未依法院判決結</w:t>
      </w:r>
      <w:r>
        <w:rPr>
          <w:w w:val="95"/>
          <w:sz w:val="32"/>
        </w:rPr>
        <w:t>果，即於青年會議指控該局考績委員有貪污情事，言行</w:t>
      </w:r>
      <w:r>
        <w:rPr>
          <w:spacing w:val="130"/>
          <w:w w:val="95"/>
          <w:sz w:val="32"/>
        </w:rPr>
        <w:t> </w:t>
      </w:r>
      <w:r>
        <w:rPr>
          <w:spacing w:val="-9"/>
          <w:w w:val="95"/>
          <w:sz w:val="32"/>
        </w:rPr>
        <w:t>失檢，予以懲處，亦嫌率斷，核屬未洽。</w:t>
      </w:r>
      <w:r>
        <w:rPr>
          <w:w w:val="95"/>
          <w:sz w:val="32"/>
        </w:rPr>
        <w:t>（108公申決字</w:t>
      </w:r>
      <w:r>
        <w:rPr>
          <w:spacing w:val="133"/>
          <w:w w:val="95"/>
          <w:sz w:val="32"/>
        </w:rPr>
        <w:t> </w:t>
      </w:r>
      <w:r>
        <w:rPr>
          <w:sz w:val="32"/>
        </w:rPr>
        <w:t>第000045號）</w:t>
      </w:r>
    </w:p>
    <w:p>
      <w:pPr>
        <w:pStyle w:val="Heading2"/>
        <w:spacing w:before="34"/>
        <w:jc w:val="both"/>
      </w:pPr>
      <w:r>
        <w:rPr>
          <w:w w:val="95"/>
        </w:rPr>
        <w:t>（三）</w:t>
      </w:r>
      <w:r>
        <w:rPr>
          <w:spacing w:val="-9"/>
          <w:w w:val="95"/>
        </w:rPr>
        <w:t> 懲處事實與所依據法令規定之構成要件未合</w:t>
      </w:r>
    </w:p>
    <w:p>
      <w:pPr>
        <w:pStyle w:val="BodyText"/>
        <w:spacing w:line="268" w:lineRule="auto" w:before="103"/>
        <w:ind w:left="1146"/>
      </w:pPr>
      <w:r>
        <w:rPr>
          <w:w w:val="95"/>
        </w:rPr>
        <w:t>按○○市政府及所屬各機關學校公務人員平時獎懲標準表</w:t>
      </w:r>
      <w:r>
        <w:rPr>
          <w:spacing w:val="17"/>
          <w:w w:val="95"/>
        </w:rPr>
        <w:t> </w:t>
      </w:r>
      <w:r>
        <w:rPr>
          <w:w w:val="95"/>
        </w:rPr>
        <w:t>第4點，及○○市政府電話應答品質考核實施計畫第2點之</w:t>
      </w:r>
      <w:r>
        <w:rPr>
          <w:spacing w:val="17"/>
          <w:w w:val="95"/>
        </w:rPr>
        <w:t> </w:t>
      </w:r>
      <w:r>
        <w:rPr>
          <w:w w:val="95"/>
        </w:rPr>
        <w:t>規定，○○市政府所屬機關人員接受電話應答品質考核之</w:t>
      </w:r>
      <w:r>
        <w:rPr>
          <w:spacing w:val="17"/>
          <w:w w:val="95"/>
        </w:rPr>
        <w:t> </w:t>
      </w:r>
      <w:r>
        <w:rPr>
          <w:w w:val="95"/>
        </w:rPr>
        <w:t>測試項目及配分結果，如有因執行職務疏失或違反規定，</w:t>
      </w:r>
      <w:r>
        <w:rPr>
          <w:spacing w:val="1"/>
          <w:w w:val="95"/>
        </w:rPr>
        <w:t> </w:t>
      </w:r>
      <w:r>
        <w:rPr>
          <w:spacing w:val="15"/>
        </w:rPr>
        <w:t>致生不良後果，情節較重者，始該當記過一次懲處之要</w:t>
      </w:r>
    </w:p>
    <w:p>
      <w:pPr>
        <w:spacing w:after="0" w:line="268" w:lineRule="auto"/>
        <w:sectPr>
          <w:pgSz w:w="11910" w:h="16840"/>
          <w:pgMar w:header="0" w:footer="825" w:top="1180" w:bottom="1020" w:left="1280" w:right="1280"/>
        </w:sectPr>
      </w:pPr>
    </w:p>
    <w:p>
      <w:pPr>
        <w:pStyle w:val="BodyText"/>
        <w:spacing w:line="268" w:lineRule="auto"/>
        <w:ind w:left="1146"/>
      </w:pPr>
      <w:r>
        <w:rPr>
          <w:w w:val="95"/>
        </w:rPr>
        <w:t>件。○○區公所審認再申訴人於○○市政府107年2月實施</w:t>
      </w:r>
      <w:r>
        <w:rPr>
          <w:spacing w:val="7"/>
          <w:w w:val="95"/>
        </w:rPr>
        <w:t> </w:t>
      </w:r>
      <w:r>
        <w:rPr>
          <w:w w:val="95"/>
        </w:rPr>
        <w:t>電話應答品質考核時，提供錯誤訊息，測試成績為市府改</w:t>
      </w:r>
      <w:r>
        <w:rPr>
          <w:spacing w:val="17"/>
          <w:w w:val="95"/>
        </w:rPr>
        <w:t> </w:t>
      </w:r>
      <w:r>
        <w:rPr>
          <w:w w:val="95"/>
        </w:rPr>
        <w:t>制以來最低分。惟查上述107年2月電話應答品質考核，○</w:t>
      </w:r>
    </w:p>
    <w:p>
      <w:pPr>
        <w:pStyle w:val="BodyText"/>
        <w:spacing w:line="268" w:lineRule="auto" w:before="0"/>
        <w:ind w:left="1146"/>
      </w:pPr>
      <w:r>
        <w:rPr>
          <w:spacing w:val="1"/>
          <w:w w:val="95"/>
        </w:rPr>
        <w:t>○區公所共受有</w:t>
      </w:r>
      <w:r>
        <w:rPr>
          <w:w w:val="95"/>
        </w:rPr>
        <w:t>6</w:t>
      </w:r>
      <w:r>
        <w:rPr>
          <w:spacing w:val="1"/>
          <w:w w:val="95"/>
        </w:rPr>
        <w:t>通電話測試，再申訴人占</w:t>
      </w:r>
      <w:r>
        <w:rPr>
          <w:w w:val="95"/>
        </w:rPr>
        <w:t>2</w:t>
      </w:r>
      <w:r>
        <w:rPr>
          <w:spacing w:val="2"/>
          <w:w w:val="95"/>
        </w:rPr>
        <w:t>通，其中</w:t>
      </w:r>
      <w:r>
        <w:rPr>
          <w:spacing w:val="10"/>
          <w:w w:val="95"/>
        </w:rPr>
        <w:t>1</w:t>
      </w:r>
      <w:r>
        <w:rPr>
          <w:w w:val="95"/>
        </w:rPr>
        <w:t>通</w:t>
      </w:r>
      <w:r>
        <w:rPr>
          <w:spacing w:val="113"/>
          <w:w w:val="95"/>
        </w:rPr>
        <w:t> </w:t>
      </w:r>
      <w:r>
        <w:rPr>
          <w:w w:val="95"/>
        </w:rPr>
        <w:t>測試即本件懲處所涉，因提供錯誤訊息且未主動提供承辦</w:t>
      </w:r>
      <w:r>
        <w:rPr>
          <w:spacing w:val="6"/>
          <w:w w:val="95"/>
        </w:rPr>
        <w:t> </w:t>
      </w:r>
      <w:r>
        <w:rPr>
          <w:spacing w:val="1"/>
          <w:w w:val="95"/>
        </w:rPr>
        <w:t>人聯絡方式，僅得</w:t>
      </w:r>
      <w:r>
        <w:rPr>
          <w:w w:val="95"/>
        </w:rPr>
        <w:t>55</w:t>
      </w:r>
      <w:r>
        <w:rPr>
          <w:spacing w:val="3"/>
          <w:w w:val="95"/>
        </w:rPr>
        <w:t>分，然另</w:t>
      </w:r>
      <w:r>
        <w:rPr>
          <w:w w:val="95"/>
        </w:rPr>
        <w:t>1</w:t>
      </w:r>
      <w:r>
        <w:rPr>
          <w:spacing w:val="2"/>
          <w:w w:val="95"/>
        </w:rPr>
        <w:t>通測試，再申訴人獲得</w:t>
      </w:r>
      <w:r>
        <w:rPr>
          <w:w w:val="95"/>
        </w:rPr>
        <w:t>94</w:t>
      </w:r>
      <w:r>
        <w:rPr>
          <w:spacing w:val="98"/>
          <w:w w:val="95"/>
        </w:rPr>
        <w:t> </w:t>
      </w:r>
      <w:r>
        <w:rPr>
          <w:w w:val="95"/>
        </w:rPr>
        <w:t>分。本件再申訴人回答錯誤而僅得55分，固不免其責，惟</w:t>
      </w:r>
      <w:r>
        <w:rPr>
          <w:spacing w:val="17"/>
          <w:w w:val="95"/>
        </w:rPr>
        <w:t> </w:t>
      </w:r>
      <w:r>
        <w:rPr>
          <w:w w:val="95"/>
        </w:rPr>
        <w:t>其另1通測試獲得94分，為○○區公所該月6通電話測試中</w:t>
      </w:r>
      <w:r>
        <w:rPr>
          <w:spacing w:val="17"/>
          <w:w w:val="95"/>
        </w:rPr>
        <w:t> </w:t>
      </w:r>
      <w:r>
        <w:rPr>
          <w:w w:val="95"/>
        </w:rPr>
        <w:t>最高分，亦使該所電話應答績效評核平均分數提升，則再</w:t>
      </w:r>
      <w:r>
        <w:rPr>
          <w:spacing w:val="17"/>
          <w:w w:val="95"/>
        </w:rPr>
        <w:t> </w:t>
      </w:r>
      <w:r>
        <w:rPr>
          <w:w w:val="95"/>
        </w:rPr>
        <w:t>申訴人如何因執行職務疏失，致生不良後果，達情節較重</w:t>
      </w:r>
      <w:r>
        <w:rPr>
          <w:spacing w:val="17"/>
          <w:w w:val="95"/>
        </w:rPr>
        <w:t> </w:t>
      </w:r>
      <w:r>
        <w:rPr>
          <w:w w:val="95"/>
        </w:rPr>
        <w:t>之程度，而該當記過懲處之要件，不無疑義。(108公申決</w:t>
      </w:r>
      <w:r>
        <w:rPr>
          <w:spacing w:val="1"/>
          <w:w w:val="95"/>
        </w:rPr>
        <w:t> </w:t>
      </w:r>
      <w:r>
        <w:rPr/>
        <w:t>字第000019號)</w:t>
      </w:r>
    </w:p>
    <w:p>
      <w:pPr>
        <w:pStyle w:val="Heading2"/>
        <w:spacing w:before="279"/>
      </w:pPr>
      <w:r>
        <w:rPr/>
        <w:t>四、關於復審事件法定程序部分</w:t>
      </w:r>
    </w:p>
    <w:p>
      <w:pPr>
        <w:pStyle w:val="BodyText"/>
        <w:spacing w:line="268" w:lineRule="auto" w:before="256"/>
        <w:ind w:left="1098" w:right="127" w:hanging="960"/>
      </w:pPr>
      <w:r>
        <w:rPr>
          <w:w w:val="95"/>
        </w:rPr>
        <w:t>（一）按○○高級中學性騷擾防治措施、申訴及懲戒辦法相關規</w:t>
      </w:r>
      <w:r>
        <w:rPr>
          <w:spacing w:val="118"/>
          <w:w w:val="95"/>
        </w:rPr>
        <w:t> </w:t>
      </w:r>
      <w:r>
        <w:rPr>
          <w:w w:val="95"/>
        </w:rPr>
        <w:t>定，有關性別工作平等法之申復，申訴處理委員會應另召</w:t>
      </w:r>
      <w:r>
        <w:rPr>
          <w:spacing w:val="70"/>
          <w:w w:val="95"/>
        </w:rPr>
        <w:t> </w:t>
      </w:r>
      <w:r>
        <w:rPr>
          <w:w w:val="95"/>
        </w:rPr>
        <w:t>開會議作成附理由之決議，始符法定程序。查復審人對服</w:t>
      </w:r>
      <w:r>
        <w:rPr>
          <w:spacing w:val="57"/>
          <w:w w:val="95"/>
        </w:rPr>
        <w:t> </w:t>
      </w:r>
      <w:r>
        <w:rPr>
          <w:w w:val="95"/>
        </w:rPr>
        <w:t>務學校申訴委員會性騷擾成立之決定提起申復，該校僅組</w:t>
      </w:r>
      <w:r>
        <w:rPr>
          <w:spacing w:val="41"/>
          <w:w w:val="95"/>
        </w:rPr>
        <w:t> </w:t>
      </w:r>
      <w:r>
        <w:rPr>
          <w:spacing w:val="17"/>
          <w:w w:val="95"/>
        </w:rPr>
        <w:t>成調查小組召開申復審議小組會議，於同年月日作成決</w:t>
      </w:r>
      <w:r>
        <w:rPr>
          <w:spacing w:val="1"/>
          <w:w w:val="95"/>
        </w:rPr>
        <w:t> </w:t>
      </w:r>
      <w:r>
        <w:rPr>
          <w:w w:val="95"/>
        </w:rPr>
        <w:t>定，該校據以核復復審人申復無理由之決定後，始提同年</w:t>
      </w:r>
      <w:r>
        <w:rPr>
          <w:spacing w:val="59"/>
          <w:w w:val="95"/>
        </w:rPr>
        <w:t> </w:t>
      </w:r>
      <w:r>
        <w:rPr>
          <w:spacing w:val="12"/>
          <w:w w:val="95"/>
        </w:rPr>
        <w:t>月○日</w:t>
      </w:r>
      <w:r>
        <w:rPr>
          <w:w w:val="95"/>
        </w:rPr>
        <w:t>107</w:t>
      </w:r>
      <w:r>
        <w:rPr>
          <w:spacing w:val="10"/>
          <w:w w:val="95"/>
        </w:rPr>
        <w:t>學年度性騷擾申訴處理委員會會議報告，亦未</w:t>
      </w:r>
      <w:r>
        <w:rPr>
          <w:spacing w:val="1"/>
          <w:w w:val="95"/>
        </w:rPr>
        <w:t> </w:t>
      </w:r>
      <w:r>
        <w:rPr>
          <w:w w:val="95"/>
        </w:rPr>
        <w:t>見作成決議，其辦理程序與上開規定即有未合，核有法定</w:t>
      </w:r>
      <w:r>
        <w:rPr>
          <w:spacing w:val="35"/>
          <w:w w:val="95"/>
        </w:rPr>
        <w:t> </w:t>
      </w:r>
      <w:r>
        <w:rPr>
          <w:spacing w:val="15"/>
          <w:w w:val="95"/>
        </w:rPr>
        <w:t>程序之瑕疵， 而有重行斟酌之必要。</w:t>
      </w:r>
      <w:r>
        <w:rPr>
          <w:w w:val="95"/>
        </w:rPr>
        <w:t>（</w:t>
      </w:r>
      <w:r>
        <w:rPr>
          <w:spacing w:val="-17"/>
          <w:w w:val="95"/>
        </w:rPr>
        <w:t> </w:t>
      </w:r>
      <w:r>
        <w:rPr>
          <w:w w:val="95"/>
        </w:rPr>
        <w:t>108</w:t>
      </w:r>
      <w:r>
        <w:rPr>
          <w:spacing w:val="16"/>
          <w:w w:val="95"/>
        </w:rPr>
        <w:t> 公審決字第</w:t>
      </w:r>
      <w:r>
        <w:rPr/>
        <w:t>000130號）</w:t>
      </w:r>
    </w:p>
    <w:p>
      <w:pPr>
        <w:pStyle w:val="BodyText"/>
        <w:spacing w:line="268" w:lineRule="auto" w:before="187"/>
        <w:ind w:left="1098" w:right="129" w:hanging="960"/>
      </w:pPr>
      <w:r>
        <w:rPr>
          <w:w w:val="95"/>
        </w:rPr>
        <w:t>（二）</w:t>
      </w:r>
      <w:r>
        <w:rPr>
          <w:spacing w:val="218"/>
        </w:rPr>
        <w:t> </w:t>
      </w:r>
      <w:r>
        <w:rPr>
          <w:w w:val="95"/>
        </w:rPr>
        <w:t>按○○縣警察局性騷擾防治申訴案件調查小組設置及作業</w:t>
      </w:r>
      <w:r>
        <w:rPr>
          <w:spacing w:val="12"/>
          <w:w w:val="95"/>
        </w:rPr>
        <w:t>要點第</w:t>
      </w:r>
      <w:r>
        <w:rPr>
          <w:spacing w:val="10"/>
          <w:w w:val="95"/>
        </w:rPr>
        <w:t>7</w:t>
      </w:r>
      <w:r>
        <w:rPr>
          <w:spacing w:val="7"/>
          <w:w w:val="95"/>
        </w:rPr>
        <w:t>點規定，受理申訴案件，召集人應於</w:t>
      </w:r>
      <w:r>
        <w:rPr>
          <w:w w:val="95"/>
        </w:rPr>
        <w:t>7</w:t>
      </w:r>
      <w:r>
        <w:rPr>
          <w:spacing w:val="12"/>
          <w:w w:val="95"/>
        </w:rPr>
        <w:t>日內指派</w:t>
      </w:r>
      <w:r>
        <w:rPr>
          <w:w w:val="95"/>
        </w:rPr>
        <w:t>3</w:t>
      </w:r>
      <w:r>
        <w:rPr>
          <w:spacing w:val="1"/>
          <w:w w:val="95"/>
        </w:rPr>
        <w:t> </w:t>
      </w:r>
      <w:r>
        <w:rPr>
          <w:w w:val="95"/>
        </w:rPr>
        <w:t>人以上之委員組成專案小組進行調查，調查結束後，應作</w:t>
      </w:r>
      <w:r>
        <w:rPr>
          <w:spacing w:val="68"/>
          <w:w w:val="95"/>
        </w:rPr>
        <w:t> </w:t>
      </w:r>
      <w:r>
        <w:rPr>
          <w:w w:val="95"/>
        </w:rPr>
        <w:t>成調查報告，提請該局性騷擾防治申訴案件調查小組（以</w:t>
      </w:r>
    </w:p>
    <w:p>
      <w:pPr>
        <w:spacing w:after="0" w:line="268" w:lineRule="auto"/>
        <w:sectPr>
          <w:pgSz w:w="11910" w:h="16840"/>
          <w:pgMar w:header="0" w:footer="825" w:top="1180" w:bottom="1020" w:left="1280" w:right="1280"/>
        </w:sectPr>
      </w:pPr>
    </w:p>
    <w:p>
      <w:pPr>
        <w:pStyle w:val="BodyText"/>
        <w:spacing w:line="268" w:lineRule="auto"/>
        <w:ind w:left="1098" w:right="131"/>
      </w:pPr>
      <w:r>
        <w:rPr>
          <w:w w:val="95"/>
        </w:rPr>
        <w:t>下簡稱申調小組）會議審議。經查該局受理本件性騷擾事</w:t>
      </w:r>
      <w:r>
        <w:rPr>
          <w:spacing w:val="54"/>
          <w:w w:val="95"/>
        </w:rPr>
        <w:t> </w:t>
      </w:r>
      <w:r>
        <w:rPr>
          <w:spacing w:val="12"/>
          <w:w w:val="95"/>
        </w:rPr>
        <w:t>件後，並未先行指派</w:t>
      </w:r>
      <w:r>
        <w:rPr>
          <w:spacing w:val="10"/>
          <w:w w:val="95"/>
        </w:rPr>
        <w:t>3人以上之委員組成專案小組進行調</w:t>
      </w:r>
      <w:r>
        <w:rPr>
          <w:spacing w:val="1"/>
          <w:w w:val="95"/>
        </w:rPr>
        <w:t> </w:t>
      </w:r>
      <w:r>
        <w:rPr>
          <w:spacing w:val="11"/>
          <w:w w:val="95"/>
        </w:rPr>
        <w:t>查以作成調查報告，而逕行召開申調小組會議，其中</w:t>
      </w:r>
      <w:r>
        <w:rPr>
          <w:w w:val="95"/>
        </w:rPr>
        <w:t>106</w:t>
      </w:r>
      <w:r>
        <w:rPr>
          <w:spacing w:val="1"/>
          <w:w w:val="95"/>
        </w:rPr>
        <w:t> </w:t>
      </w:r>
      <w:r>
        <w:rPr>
          <w:w w:val="95"/>
        </w:rPr>
        <w:t>年12月11日第1次申調小組會議及107年3月22日第2次申調</w:t>
      </w:r>
      <w:r>
        <w:rPr>
          <w:spacing w:val="66"/>
          <w:w w:val="95"/>
        </w:rPr>
        <w:t> </w:t>
      </w:r>
      <w:r>
        <w:rPr>
          <w:w w:val="95"/>
        </w:rPr>
        <w:t>小組會議，決議均認案情有待釐清及需調查補正之處，該</w:t>
      </w:r>
      <w:r>
        <w:rPr>
          <w:spacing w:val="66"/>
          <w:w w:val="95"/>
        </w:rPr>
        <w:t> </w:t>
      </w:r>
      <w:r>
        <w:rPr>
          <w:w w:val="95"/>
        </w:rPr>
        <w:t>局亦逕請原調查單位即○○分局再予調查，是其調查程序</w:t>
      </w:r>
      <w:r>
        <w:rPr>
          <w:spacing w:val="66"/>
          <w:w w:val="95"/>
        </w:rPr>
        <w:t> </w:t>
      </w:r>
      <w:r>
        <w:rPr>
          <w:w w:val="95"/>
        </w:rPr>
        <w:t>違反上開要點所定程序，核有法定程序之瑕疵。又本件復</w:t>
      </w:r>
      <w:r>
        <w:rPr>
          <w:spacing w:val="66"/>
          <w:w w:val="95"/>
        </w:rPr>
        <w:t> </w:t>
      </w:r>
      <w:r>
        <w:rPr>
          <w:w w:val="95"/>
        </w:rPr>
        <w:t>審人所涉性騷擾事件之發生時間、地點，及證明其與性騷</w:t>
      </w:r>
      <w:r>
        <w:rPr>
          <w:spacing w:val="66"/>
          <w:w w:val="95"/>
        </w:rPr>
        <w:t> </w:t>
      </w:r>
      <w:r>
        <w:rPr>
          <w:w w:val="95"/>
        </w:rPr>
        <w:t>擾對象有工作交集之事證，亦有待釐清，允宜由原處分機</w:t>
      </w:r>
      <w:r>
        <w:rPr>
          <w:spacing w:val="50"/>
          <w:w w:val="95"/>
        </w:rPr>
        <w:t> </w:t>
      </w:r>
      <w:r>
        <w:rPr>
          <w:spacing w:val="-15"/>
        </w:rPr>
        <w:t>關重新查明後再行審究。</w:t>
      </w:r>
      <w:r>
        <w:rPr/>
        <w:t>（108公審決字第00058號）</w:t>
      </w:r>
    </w:p>
    <w:p>
      <w:pPr>
        <w:pStyle w:val="Heading2"/>
        <w:spacing w:before="283"/>
      </w:pPr>
      <w:r>
        <w:rPr/>
        <w:t>五、關於原處分機關對事實未經詳實調查，或認定有誤部分</w:t>
      </w:r>
    </w:p>
    <w:p>
      <w:pPr>
        <w:pStyle w:val="BodyText"/>
        <w:spacing w:before="254"/>
        <w:ind w:left="854" w:right="0"/>
        <w:jc w:val="left"/>
      </w:pPr>
      <w:r>
        <w:rPr>
          <w:w w:val="95"/>
        </w:rPr>
        <w:t>復審人於懷孕期間，以其直屬主管107A004S01未依機關首長</w:t>
      </w:r>
    </w:p>
    <w:p>
      <w:pPr>
        <w:pStyle w:val="BodyText"/>
        <w:spacing w:line="268" w:lineRule="auto" w:before="54"/>
        <w:ind w:left="844" w:right="129"/>
      </w:pPr>
      <w:r>
        <w:rPr>
          <w:w w:val="95"/>
        </w:rPr>
        <w:t>○檢察長批示調整其勤務，涉有性別歧視；且於明知復審人</w:t>
      </w:r>
      <w:r>
        <w:rPr>
          <w:spacing w:val="2"/>
          <w:w w:val="95"/>
        </w:rPr>
        <w:t> </w:t>
      </w:r>
      <w:r>
        <w:rPr/>
        <w:t>因另一性騷擾申訴案件對同事107A004S02心生畏懼，卻仍多次排定復審人107A004S02同班值勤，對復審人造成具敵意性</w:t>
      </w:r>
      <w:r>
        <w:rPr>
          <w:w w:val="95"/>
        </w:rPr>
        <w:t>及冒犯性之工作環境，提起性騷擾申訴案，經服務機關申調</w:t>
      </w:r>
      <w:r>
        <w:rPr>
          <w:spacing w:val="18"/>
          <w:w w:val="95"/>
        </w:rPr>
        <w:t> </w:t>
      </w:r>
      <w:r>
        <w:rPr>
          <w:w w:val="95"/>
        </w:rPr>
        <w:t>小組審認復審人於知悉該報告經首長批示核可後，未再主動</w:t>
      </w:r>
      <w:r>
        <w:rPr>
          <w:spacing w:val="2"/>
          <w:w w:val="95"/>
        </w:rPr>
        <w:t> </w:t>
      </w:r>
      <w:r>
        <w:rPr/>
        <w:t>反映並積極要求107A004S01調整其勤務，尚難認107A004S01</w:t>
      </w:r>
      <w:r>
        <w:rPr>
          <w:spacing w:val="-158"/>
        </w:rPr>
        <w:t> </w:t>
      </w:r>
      <w:r>
        <w:rPr>
          <w:spacing w:val="13"/>
          <w:w w:val="95"/>
        </w:rPr>
        <w:t>主觀上具性別歧視之意而故意不予調整復審人之勤務。且</w:t>
      </w:r>
      <w:r>
        <w:rPr/>
        <w:t>107A004S01並非刻意將復審人與107A004S02安排同時段於同一地點值班，尚難認107A004S01有何對復審人造成敵意性或</w:t>
      </w:r>
      <w:r>
        <w:rPr>
          <w:w w:val="95"/>
        </w:rPr>
        <w:t>冒犯性工作環境之故意及行為，決議上開2件申訴性騷擾事</w:t>
      </w:r>
      <w:r>
        <w:rPr>
          <w:spacing w:val="141"/>
          <w:w w:val="95"/>
        </w:rPr>
        <w:t> </w:t>
      </w:r>
      <w:r>
        <w:rPr/>
        <w:t>件皆不成立。惟107A004S01既知悉復審人已懷孕，於復審人</w:t>
      </w:r>
      <w:r>
        <w:rPr>
          <w:w w:val="95"/>
        </w:rPr>
        <w:t>以書面表達職務調整之訴求並獲首長核可後，即有義務為復</w:t>
      </w:r>
      <w:r>
        <w:rPr>
          <w:spacing w:val="2"/>
          <w:w w:val="95"/>
        </w:rPr>
        <w:t> </w:t>
      </w:r>
      <w:r>
        <w:rPr/>
        <w:t>審人調整已發布或未發布之值班班表，107A004S01竟未依檢</w:t>
      </w:r>
      <w:r>
        <w:rPr>
          <w:w w:val="95"/>
        </w:rPr>
        <w:t>察長批示，主動調整復審人勤務，是否輕忽女性因懷孕之生</w:t>
      </w:r>
      <w:r>
        <w:rPr>
          <w:spacing w:val="18"/>
          <w:w w:val="95"/>
        </w:rPr>
        <w:t> </w:t>
      </w:r>
      <w:r>
        <w:rPr>
          <w:w w:val="95"/>
        </w:rPr>
        <w:t>理特質而來之勤務調整需求，而不無性別間接歧視之虞，已</w:t>
      </w:r>
    </w:p>
    <w:p>
      <w:pPr>
        <w:spacing w:after="0" w:line="268" w:lineRule="auto"/>
        <w:sectPr>
          <w:pgSz w:w="11910" w:h="16840"/>
          <w:pgMar w:header="0" w:footer="825" w:top="1180" w:bottom="1020" w:left="1280" w:right="1280"/>
        </w:sectPr>
      </w:pPr>
    </w:p>
    <w:p>
      <w:pPr>
        <w:pStyle w:val="BodyText"/>
        <w:spacing w:line="268" w:lineRule="auto"/>
        <w:ind w:left="844" w:right="113"/>
      </w:pPr>
      <w:r>
        <w:rPr/>
        <w:t>非無疑。又107A004S01明知復審人與107A004S02屬另一性騷擾申訴案之對造，卻未採取適當之預防措施，仍於預排106</w:t>
      </w:r>
      <w:r>
        <w:rPr>
          <w:spacing w:val="1"/>
        </w:rPr>
        <w:t> </w:t>
      </w:r>
      <w:r>
        <w:rPr/>
        <w:t>年10月、11月班表時，一再將復審人與107A004S02安排同班</w:t>
      </w:r>
      <w:r>
        <w:rPr>
          <w:spacing w:val="5"/>
          <w:w w:val="95"/>
        </w:rPr>
        <w:t>值勤； 及 </w:t>
      </w:r>
      <w:r>
        <w:rPr>
          <w:w w:val="95"/>
        </w:rPr>
        <w:t>106</w:t>
      </w:r>
      <w:r>
        <w:rPr>
          <w:spacing w:val="-31"/>
          <w:w w:val="95"/>
        </w:rPr>
        <w:t> 年 </w:t>
      </w:r>
      <w:r>
        <w:rPr>
          <w:w w:val="95"/>
        </w:rPr>
        <w:t>9</w:t>
      </w:r>
      <w:r>
        <w:rPr>
          <w:spacing w:val="-30"/>
          <w:w w:val="95"/>
        </w:rPr>
        <w:t> 月 </w:t>
      </w:r>
      <w:r>
        <w:rPr>
          <w:w w:val="95"/>
        </w:rPr>
        <w:t>28</w:t>
      </w:r>
      <w:r>
        <w:rPr>
          <w:spacing w:val="48"/>
          <w:w w:val="95"/>
        </w:rPr>
        <w:t> 日亦因疏忽而一度將復審人與</w:t>
      </w:r>
      <w:r>
        <w:rPr/>
        <w:t>107A004S02安排在緊鄰之空間值勤，致復審人有情緒不穩、意圖輕生等情。107A004S01上開行為，顯有未對復審人提供良善工作環境，致影響復審人之工作表現，足認屬性別工作平等法第12條第1項第1款之性騷擾。況性騷擾行為之成立與</w:t>
      </w:r>
      <w:r>
        <w:rPr>
          <w:w w:val="95"/>
        </w:rPr>
        <w:t>否，尚不以行為人有「故意」為前提；是服務機關申調小組</w:t>
      </w:r>
      <w:r>
        <w:rPr>
          <w:spacing w:val="15"/>
          <w:w w:val="95"/>
        </w:rPr>
        <w:t> </w:t>
      </w:r>
      <w:r>
        <w:rPr>
          <w:spacing w:val="19"/>
          <w:w w:val="95"/>
        </w:rPr>
        <w:t>未審酌上開情事，逕認</w:t>
      </w:r>
      <w:r>
        <w:rPr>
          <w:w w:val="95"/>
        </w:rPr>
        <w:t>107A004S01</w:t>
      </w:r>
      <w:r>
        <w:rPr>
          <w:spacing w:val="19"/>
          <w:w w:val="95"/>
        </w:rPr>
        <w:t>並無故意之性別歧視行</w:t>
      </w:r>
      <w:r>
        <w:rPr>
          <w:spacing w:val="20"/>
          <w:w w:val="95"/>
        </w:rPr>
        <w:t> </w:t>
      </w:r>
      <w:r>
        <w:rPr/>
        <w:t>為，而為性騷擾均不成立之決議；服務機關據以對復審人作成所申訴之2件性騷擾均不成立之決定，即有重行斟酌之必</w:t>
      </w:r>
      <w:r>
        <w:rPr>
          <w:spacing w:val="-81"/>
        </w:rPr>
        <w:t>要。</w:t>
      </w:r>
      <w:r>
        <w:rPr/>
        <w:t>（108公審決字第000131號）</w:t>
      </w:r>
    </w:p>
    <w:p>
      <w:pPr>
        <w:pStyle w:val="Heading1"/>
        <w:spacing w:before="67"/>
      </w:pPr>
      <w:r>
        <w:rPr>
          <w:w w:val="95"/>
        </w:rPr>
        <w:t>貳、保障業務上常見之作業疏失事項</w:t>
      </w:r>
    </w:p>
    <w:p>
      <w:pPr>
        <w:pStyle w:val="BodyText"/>
        <w:spacing w:line="268" w:lineRule="auto" w:before="235"/>
        <w:ind w:left="866" w:right="124" w:hanging="8"/>
      </w:pPr>
      <w:r>
        <w:rPr>
          <w:w w:val="95"/>
        </w:rPr>
        <w:t>保障業務係屬人事行政業務之一環，各類型保障事件所涉程</w:t>
      </w:r>
      <w:r>
        <w:rPr>
          <w:spacing w:val="9"/>
          <w:w w:val="95"/>
        </w:rPr>
        <w:t> </w:t>
      </w:r>
      <w:r>
        <w:rPr>
          <w:w w:val="95"/>
        </w:rPr>
        <w:t>序法令，並不相同。本會為協助各機關辦理保障業務，曾於</w:t>
      </w:r>
      <w:r>
        <w:rPr>
          <w:spacing w:val="1"/>
          <w:w w:val="95"/>
        </w:rPr>
        <w:t> </w:t>
      </w:r>
      <w:r>
        <w:rPr>
          <w:w w:val="95"/>
        </w:rPr>
        <w:t>106年10</w:t>
      </w:r>
      <w:r>
        <w:rPr>
          <w:spacing w:val="-11"/>
          <w:w w:val="95"/>
        </w:rPr>
        <w:t>月編印「公務人員保障業務手冊」，將本會審理之保</w:t>
      </w:r>
      <w:r>
        <w:rPr>
          <w:spacing w:val="3"/>
          <w:w w:val="95"/>
        </w:rPr>
        <w:t> </w:t>
      </w:r>
      <w:r>
        <w:rPr>
          <w:w w:val="95"/>
        </w:rPr>
        <w:t>障事件予以類型化、案例化，作深入淺出之介紹，並以106</w:t>
      </w:r>
      <w:r>
        <w:rPr>
          <w:spacing w:val="126"/>
          <w:w w:val="95"/>
        </w:rPr>
        <w:t> </w:t>
      </w:r>
      <w:r>
        <w:rPr>
          <w:spacing w:val="12"/>
          <w:w w:val="95"/>
        </w:rPr>
        <w:t>年</w:t>
      </w:r>
      <w:r>
        <w:rPr>
          <w:w w:val="95"/>
        </w:rPr>
        <w:t>11月2</w:t>
      </w:r>
      <w:r>
        <w:rPr>
          <w:spacing w:val="2"/>
          <w:w w:val="95"/>
        </w:rPr>
        <w:t>日公保字第</w:t>
      </w:r>
      <w:r>
        <w:rPr>
          <w:w w:val="95"/>
        </w:rPr>
        <w:t>1061060412號函，檢送該手冊予各機關</w:t>
      </w:r>
      <w:r>
        <w:rPr>
          <w:spacing w:val="93"/>
          <w:w w:val="95"/>
        </w:rPr>
        <w:t> </w:t>
      </w:r>
      <w:r>
        <w:rPr/>
        <w:t>參考辦理。惟仍有未盡理想之處，爰再請各機關配合改進︰</w:t>
      </w:r>
    </w:p>
    <w:p>
      <w:pPr>
        <w:pStyle w:val="BodyText"/>
        <w:spacing w:line="268" w:lineRule="auto" w:before="192"/>
        <w:ind w:left="755" w:right="143" w:hanging="639"/>
      </w:pPr>
      <w:r>
        <w:rPr>
          <w:spacing w:val="12"/>
          <w:w w:val="95"/>
        </w:rPr>
        <w:t>一、考績會組成不合法－非本職單位主管或直屬長官所為之評</w:t>
      </w:r>
      <w:r>
        <w:rPr>
          <w:spacing w:val="1"/>
          <w:w w:val="95"/>
        </w:rPr>
        <w:t> </w:t>
      </w:r>
      <w:r>
        <w:rPr/>
        <w:t>擬：</w:t>
      </w:r>
    </w:p>
    <w:p>
      <w:pPr>
        <w:pStyle w:val="BodyText"/>
        <w:spacing w:line="268" w:lineRule="auto" w:before="198"/>
        <w:ind w:left="755"/>
      </w:pPr>
      <w:r>
        <w:rPr>
          <w:w w:val="95"/>
        </w:rPr>
        <w:t>本會於公務人員保障業務手冊貳、保障事件案例及解析二、</w:t>
      </w:r>
      <w:r>
        <w:rPr>
          <w:spacing w:val="104"/>
          <w:w w:val="95"/>
        </w:rPr>
        <w:t> </w:t>
      </w:r>
      <w:r>
        <w:rPr>
          <w:w w:val="95"/>
        </w:rPr>
        <w:t>常見爭議事件類型（一）考績事件，已列舉案例介紹，公務</w:t>
      </w:r>
      <w:r>
        <w:rPr>
          <w:spacing w:val="104"/>
          <w:w w:val="95"/>
        </w:rPr>
        <w:t> </w:t>
      </w:r>
      <w:r>
        <w:rPr>
          <w:w w:val="95"/>
        </w:rPr>
        <w:t>人員之考績，應由其本職單位主管評擬，奉派支援單位之主</w:t>
      </w:r>
      <w:r>
        <w:rPr>
          <w:spacing w:val="104"/>
          <w:w w:val="95"/>
        </w:rPr>
        <w:t> </w:t>
      </w:r>
      <w:r>
        <w:rPr>
          <w:w w:val="95"/>
        </w:rPr>
        <w:t>管所評擬之意見，僅得作為本職單位主管評擬該公務人員考</w:t>
      </w:r>
      <w:r>
        <w:rPr>
          <w:spacing w:val="104"/>
          <w:w w:val="95"/>
        </w:rPr>
        <w:t> </w:t>
      </w:r>
      <w:r>
        <w:rPr>
          <w:w w:val="95"/>
        </w:rPr>
        <w:t>績之參考依據。惟本會審理保障事件，仍發現有部分機關辦</w:t>
      </w:r>
    </w:p>
    <w:p>
      <w:pPr>
        <w:spacing w:after="0" w:line="268" w:lineRule="auto"/>
        <w:sectPr>
          <w:pgSz w:w="11910" w:h="16840"/>
          <w:pgMar w:header="0" w:footer="825" w:top="1180" w:bottom="1020" w:left="1280" w:right="1280"/>
        </w:sectPr>
      </w:pPr>
    </w:p>
    <w:p>
      <w:pPr>
        <w:pStyle w:val="BodyText"/>
        <w:spacing w:line="268" w:lineRule="auto"/>
        <w:ind w:left="755" w:right="133"/>
      </w:pPr>
      <w:r>
        <w:rPr>
          <w:w w:val="95"/>
        </w:rPr>
        <w:t>理所屬公務人員年終考績案時，由支援之單位主管就受考人</w:t>
      </w:r>
      <w:r>
        <w:rPr>
          <w:spacing w:val="103"/>
          <w:w w:val="95"/>
        </w:rPr>
        <w:t> </w:t>
      </w:r>
      <w:r>
        <w:rPr>
          <w:w w:val="95"/>
        </w:rPr>
        <w:t>之考評項目為評擬，顯不符合綜覈名實、信賞必罰之旨，核</w:t>
      </w:r>
      <w:r>
        <w:rPr>
          <w:spacing w:val="87"/>
          <w:w w:val="95"/>
        </w:rPr>
        <w:t> </w:t>
      </w:r>
      <w:r>
        <w:rPr/>
        <w:t>與考績法第14條第1項規定有違。</w:t>
      </w:r>
    </w:p>
    <w:p>
      <w:pPr>
        <w:pStyle w:val="BodyText"/>
        <w:spacing w:before="196"/>
        <w:ind w:left="138" w:right="0"/>
        <w:jc w:val="left"/>
      </w:pPr>
      <w:r>
        <w:rPr/>
        <w:t>二、違反一行為不二罰原則：</w:t>
      </w:r>
    </w:p>
    <w:p>
      <w:pPr>
        <w:pStyle w:val="BodyText"/>
        <w:spacing w:line="268" w:lineRule="auto" w:before="253"/>
        <w:ind w:left="755"/>
      </w:pPr>
      <w:r>
        <w:rPr>
          <w:w w:val="95"/>
        </w:rPr>
        <w:t>本會於公務人員保障業務手冊貳、保障事件案例及解析二、</w:t>
      </w:r>
      <w:r>
        <w:rPr>
          <w:spacing w:val="104"/>
          <w:w w:val="95"/>
        </w:rPr>
        <w:t> </w:t>
      </w:r>
      <w:r>
        <w:rPr>
          <w:w w:val="95"/>
        </w:rPr>
        <w:t>常見爭議事件類型（一</w:t>
      </w:r>
      <w:r>
        <w:rPr>
          <w:spacing w:val="10"/>
          <w:w w:val="95"/>
        </w:rPr>
        <w:t>）</w:t>
      </w:r>
      <w:r>
        <w:rPr>
          <w:w w:val="95"/>
        </w:rPr>
        <w:t>懲處事件，已列舉案例介紹。公務</w:t>
      </w:r>
      <w:r>
        <w:rPr>
          <w:spacing w:val="84"/>
          <w:w w:val="95"/>
        </w:rPr>
        <w:t> </w:t>
      </w:r>
      <w:r>
        <w:rPr>
          <w:w w:val="95"/>
        </w:rPr>
        <w:t>人員之違失行為如係基於相同動機，且屬概括犯意之單一事</w:t>
      </w:r>
      <w:r>
        <w:rPr>
          <w:spacing w:val="104"/>
          <w:w w:val="95"/>
        </w:rPr>
        <w:t> </w:t>
      </w:r>
      <w:r>
        <w:rPr>
          <w:w w:val="95"/>
        </w:rPr>
        <w:t>件，即不得分別論處。惟本會審理保障事件時，仍發現有機</w:t>
      </w:r>
      <w:r>
        <w:rPr>
          <w:spacing w:val="93"/>
          <w:w w:val="95"/>
        </w:rPr>
        <w:t> </w:t>
      </w:r>
      <w:r>
        <w:rPr>
          <w:spacing w:val="11"/>
          <w:w w:val="95"/>
        </w:rPr>
        <w:t>關對於所屬公務人員同時延宕基於同一採購案所收2</w:t>
      </w:r>
      <w:r>
        <w:rPr>
          <w:spacing w:val="8"/>
          <w:w w:val="95"/>
        </w:rPr>
        <w:t>件公文</w:t>
      </w:r>
      <w:r>
        <w:rPr>
          <w:spacing w:val="1"/>
          <w:w w:val="95"/>
        </w:rPr>
        <w:t> </w:t>
      </w:r>
      <w:r>
        <w:rPr>
          <w:w w:val="95"/>
        </w:rPr>
        <w:t>之違失行為，分別核予申誡一次及申誡二次之懲處。爰請各</w:t>
      </w:r>
      <w:r>
        <w:rPr>
          <w:spacing w:val="94"/>
          <w:w w:val="95"/>
        </w:rPr>
        <w:t> </w:t>
      </w:r>
      <w:r>
        <w:rPr>
          <w:w w:val="95"/>
        </w:rPr>
        <w:t>機關辦理類此懲處事件，仍應視個案情形予整體考量，合併</w:t>
      </w:r>
      <w:r>
        <w:rPr>
          <w:spacing w:val="88"/>
          <w:w w:val="95"/>
        </w:rPr>
        <w:t> </w:t>
      </w:r>
      <w:r>
        <w:rPr/>
        <w:t>追究其行政責任。</w:t>
      </w:r>
    </w:p>
    <w:p>
      <w:pPr>
        <w:pStyle w:val="Heading1"/>
        <w:spacing w:before="149"/>
      </w:pPr>
      <w:r>
        <w:rPr>
          <w:w w:val="95"/>
        </w:rPr>
        <w:t>叁、保障法規重要函釋</w:t>
      </w:r>
    </w:p>
    <w:p>
      <w:pPr>
        <w:pStyle w:val="Heading2"/>
        <w:spacing w:before="235"/>
      </w:pPr>
      <w:r>
        <w:rPr/>
        <w:t>一、本會107年3月2日公保字第1071160029號函釋</w:t>
      </w:r>
    </w:p>
    <w:p>
      <w:pPr>
        <w:spacing w:line="268" w:lineRule="auto" w:before="253"/>
        <w:ind w:left="998" w:right="136" w:hanging="320"/>
        <w:jc w:val="left"/>
        <w:rPr>
          <w:sz w:val="32"/>
        </w:rPr>
      </w:pPr>
      <w:r>
        <w:rPr>
          <w:w w:val="95"/>
          <w:sz w:val="32"/>
        </w:rPr>
        <w:t>【</w:t>
      </w:r>
      <w:r>
        <w:rPr>
          <w:b/>
          <w:w w:val="95"/>
          <w:sz w:val="32"/>
        </w:rPr>
        <w:t>主管人員不服調任同官等、官階(職等)及同一陞遷序列之</w:t>
      </w:r>
      <w:r>
        <w:rPr>
          <w:b/>
          <w:spacing w:val="140"/>
          <w:w w:val="95"/>
          <w:sz w:val="32"/>
        </w:rPr>
        <w:t> </w:t>
      </w:r>
      <w:r>
        <w:rPr>
          <w:b/>
          <w:sz w:val="32"/>
        </w:rPr>
        <w:t>非主管職務之救濟程序疑義</w:t>
      </w:r>
      <w:r>
        <w:rPr>
          <w:sz w:val="32"/>
        </w:rPr>
        <w:t>】</w:t>
      </w:r>
    </w:p>
    <w:p>
      <w:pPr>
        <w:pStyle w:val="BodyText"/>
        <w:spacing w:line="268" w:lineRule="auto" w:before="196"/>
        <w:ind w:left="1031" w:right="135"/>
      </w:pPr>
      <w:r>
        <w:rPr>
          <w:w w:val="95"/>
        </w:rPr>
        <w:t>茲因最高行政法院104年8月25日104年8月份第2次庭長法官</w:t>
      </w:r>
      <w:r>
        <w:rPr>
          <w:spacing w:val="1"/>
          <w:w w:val="95"/>
        </w:rPr>
        <w:t> </w:t>
      </w:r>
      <w:r>
        <w:rPr>
          <w:w w:val="95"/>
        </w:rPr>
        <w:t>聯席會議（一）</w:t>
      </w:r>
      <w:r>
        <w:rPr>
          <w:spacing w:val="-14"/>
          <w:w w:val="95"/>
        </w:rPr>
        <w:t>之決議：「……主管加給係……因所任『職</w:t>
      </w:r>
      <w:r>
        <w:rPr>
          <w:spacing w:val="1"/>
          <w:w w:val="95"/>
        </w:rPr>
        <w:t> </w:t>
      </w:r>
      <w:r>
        <w:rPr>
          <w:w w:val="95"/>
        </w:rPr>
        <w:t>務』性質，而另加之給與，並非本於公務人員身分依法應</w:t>
      </w:r>
      <w:r>
        <w:rPr>
          <w:spacing w:val="129"/>
          <w:w w:val="95"/>
        </w:rPr>
        <w:t> </w:t>
      </w:r>
      <w:r>
        <w:rPr>
          <w:w w:val="95"/>
        </w:rPr>
        <w:t>獲得之俸給，故應認該職務調任，未損及既有之公務員身</w:t>
      </w:r>
      <w:r>
        <w:rPr>
          <w:spacing w:val="129"/>
          <w:w w:val="95"/>
        </w:rPr>
        <w:t> </w:t>
      </w:r>
      <w:r>
        <w:rPr>
          <w:w w:val="95"/>
        </w:rPr>
        <w:t>分、官等、職等及俸給等權益，不得提起行政訴訟請求救</w:t>
      </w:r>
      <w:r>
        <w:rPr>
          <w:spacing w:val="129"/>
          <w:w w:val="95"/>
        </w:rPr>
        <w:t> </w:t>
      </w:r>
      <w:r>
        <w:rPr>
          <w:w w:val="95"/>
        </w:rPr>
        <w:t>濟。」且臺北及高雄高等行政法院迄今已有多件裁判均援</w:t>
      </w:r>
      <w:r>
        <w:rPr>
          <w:spacing w:val="129"/>
          <w:w w:val="95"/>
        </w:rPr>
        <w:t> </w:t>
      </w:r>
      <w:r>
        <w:rPr>
          <w:w w:val="95"/>
        </w:rPr>
        <w:t>用該決議意旨。本會為維護公務人員實質有效之行政救濟</w:t>
      </w:r>
      <w:r>
        <w:rPr>
          <w:spacing w:val="129"/>
          <w:w w:val="95"/>
        </w:rPr>
        <w:t> </w:t>
      </w:r>
      <w:r>
        <w:rPr>
          <w:w w:val="95"/>
        </w:rPr>
        <w:t>權利及程序經濟，有關主管人員不服調任同官等、官階(職</w:t>
      </w:r>
      <w:r>
        <w:rPr>
          <w:spacing w:val="1"/>
          <w:w w:val="95"/>
        </w:rPr>
        <w:t> </w:t>
      </w:r>
      <w:r>
        <w:rPr>
          <w:spacing w:val="13"/>
          <w:w w:val="95"/>
        </w:rPr>
        <w:t>等)及同一陞遷序列之非主管職務之救濟程序，提經本會</w:t>
      </w:r>
      <w:r>
        <w:rPr>
          <w:w w:val="95"/>
        </w:rPr>
        <w:t>107年2月27日107年第2次委員會議討論並作成決議，不再</w:t>
      </w:r>
    </w:p>
    <w:p>
      <w:pPr>
        <w:spacing w:after="0" w:line="268" w:lineRule="auto"/>
        <w:sectPr>
          <w:pgSz w:w="11910" w:h="16840"/>
          <w:pgMar w:header="0" w:footer="825" w:top="1180" w:bottom="1020" w:left="1280" w:right="1280"/>
        </w:sectPr>
      </w:pPr>
    </w:p>
    <w:p>
      <w:pPr>
        <w:pStyle w:val="BodyText"/>
        <w:spacing w:line="268" w:lineRule="auto"/>
        <w:ind w:left="1031" w:right="138"/>
      </w:pPr>
      <w:r>
        <w:rPr>
          <w:w w:val="95"/>
        </w:rPr>
        <w:t>援用本會歷辦之復審程序，自即日起改依申訴、再申訴程</w:t>
      </w:r>
      <w:r>
        <w:rPr>
          <w:spacing w:val="126"/>
          <w:w w:val="95"/>
        </w:rPr>
        <w:t> </w:t>
      </w:r>
      <w:r>
        <w:rPr>
          <w:w w:val="95"/>
        </w:rPr>
        <w:t>序處理；各機關(構)於發布旨揭職務調任派令時，請注意</w:t>
      </w:r>
      <w:r>
        <w:rPr>
          <w:spacing w:val="126"/>
          <w:w w:val="95"/>
        </w:rPr>
        <w:t> </w:t>
      </w:r>
      <w:r>
        <w:rPr>
          <w:w w:val="95"/>
        </w:rPr>
        <w:t>該令之救濟方式教示內容，亦應一併修正，請各機關配合</w:t>
      </w:r>
      <w:r>
        <w:rPr>
          <w:spacing w:val="110"/>
          <w:w w:val="95"/>
        </w:rPr>
        <w:t> </w:t>
      </w:r>
      <w:r>
        <w:rPr/>
        <w:t>辦理。</w:t>
      </w:r>
    </w:p>
    <w:p>
      <w:pPr>
        <w:pStyle w:val="Heading2"/>
        <w:spacing w:before="196"/>
      </w:pPr>
      <w:r>
        <w:rPr/>
        <w:t>二、本會107年5月30日公保字第1070003466號函釋</w:t>
      </w:r>
    </w:p>
    <w:p>
      <w:pPr>
        <w:spacing w:line="268" w:lineRule="auto" w:before="251"/>
        <w:ind w:left="1132" w:right="140" w:hanging="351"/>
        <w:jc w:val="both"/>
        <w:rPr>
          <w:sz w:val="32"/>
        </w:rPr>
      </w:pPr>
      <w:r>
        <w:rPr>
          <w:w w:val="95"/>
          <w:sz w:val="32"/>
        </w:rPr>
        <w:t>【</w:t>
      </w:r>
      <w:r>
        <w:rPr>
          <w:b/>
          <w:w w:val="95"/>
          <w:sz w:val="32"/>
        </w:rPr>
        <w:t>機關首長於機關內涉及性騷擾行為之申訴案件，以由具指</w:t>
      </w:r>
      <w:r>
        <w:rPr>
          <w:b/>
          <w:spacing w:val="61"/>
          <w:w w:val="95"/>
          <w:sz w:val="32"/>
        </w:rPr>
        <w:t> </w:t>
      </w:r>
      <w:r>
        <w:rPr>
          <w:b/>
          <w:w w:val="95"/>
          <w:sz w:val="32"/>
        </w:rPr>
        <w:t>揮監督權限上級機關組成之申訴處理委員會進行調查及評</w:t>
      </w:r>
      <w:r>
        <w:rPr>
          <w:b/>
          <w:spacing w:val="1"/>
          <w:w w:val="95"/>
          <w:sz w:val="32"/>
        </w:rPr>
        <w:t> </w:t>
      </w:r>
      <w:r>
        <w:rPr>
          <w:b/>
          <w:sz w:val="32"/>
        </w:rPr>
        <w:t>議決定為宜</w:t>
      </w:r>
      <w:r>
        <w:rPr>
          <w:sz w:val="32"/>
        </w:rPr>
        <w:t>】</w:t>
      </w:r>
    </w:p>
    <w:p>
      <w:pPr>
        <w:pStyle w:val="BodyText"/>
        <w:spacing w:line="268" w:lineRule="auto" w:before="196"/>
        <w:ind w:left="1132" w:right="124"/>
      </w:pPr>
      <w:r>
        <w:rPr>
          <w:spacing w:val="3"/>
        </w:rPr>
        <w:t>茲依性別工作平等法第</w:t>
      </w:r>
      <w:r>
        <w:rPr>
          <w:spacing w:val="10"/>
        </w:rPr>
        <w:t>2</w:t>
      </w:r>
      <w:r>
        <w:rPr>
          <w:spacing w:val="6"/>
        </w:rPr>
        <w:t>條第</w:t>
      </w:r>
      <w:r>
        <w:rPr/>
        <w:t>2</w:t>
      </w:r>
      <w:r>
        <w:rPr>
          <w:spacing w:val="4"/>
        </w:rPr>
        <w:t>項及第</w:t>
      </w:r>
      <w:r>
        <w:rPr/>
        <w:t>3項規定意旨，公務</w:t>
      </w:r>
      <w:r>
        <w:rPr>
          <w:w w:val="95"/>
        </w:rPr>
        <w:t>人員所涉性騷擾事件之申訴、救濟及處理程序，依公務人</w:t>
      </w:r>
      <w:r>
        <w:rPr>
          <w:spacing w:val="18"/>
          <w:w w:val="95"/>
        </w:rPr>
        <w:t> </w:t>
      </w:r>
      <w:r>
        <w:rPr>
          <w:spacing w:val="1"/>
          <w:w w:val="95"/>
        </w:rPr>
        <w:t>員人事法令之規定。次依服務法第</w:t>
      </w:r>
      <w:r>
        <w:rPr>
          <w:w w:val="95"/>
        </w:rPr>
        <w:t>17</w:t>
      </w:r>
      <w:r>
        <w:rPr>
          <w:spacing w:val="5"/>
          <w:w w:val="95"/>
        </w:rPr>
        <w:t>條、考績法第</w:t>
      </w:r>
      <w:r>
        <w:rPr>
          <w:spacing w:val="10"/>
          <w:w w:val="95"/>
        </w:rPr>
        <w:t>9</w:t>
      </w:r>
      <w:r>
        <w:rPr>
          <w:w w:val="95"/>
        </w:rPr>
        <w:t>條及</w:t>
      </w:r>
      <w:r>
        <w:rPr>
          <w:spacing w:val="36"/>
          <w:w w:val="95"/>
        </w:rPr>
        <w:t> </w:t>
      </w:r>
      <w:r>
        <w:rPr>
          <w:spacing w:val="6"/>
        </w:rPr>
        <w:t>組織規程第</w:t>
      </w:r>
      <w:r>
        <w:rPr/>
        <w:t>3</w:t>
      </w:r>
      <w:r>
        <w:rPr>
          <w:spacing w:val="2"/>
        </w:rPr>
        <w:t>條規定，公部門之機關</w:t>
      </w:r>
      <w:r>
        <w:rPr>
          <w:spacing w:val="11"/>
        </w:rPr>
        <w:t>（</w:t>
      </w:r>
      <w:r>
        <w:rPr/>
        <w:t>構</w:t>
      </w:r>
      <w:r>
        <w:rPr>
          <w:spacing w:val="11"/>
        </w:rPr>
        <w:t>）</w:t>
      </w:r>
      <w:r>
        <w:rPr>
          <w:spacing w:val="2"/>
        </w:rPr>
        <w:t>學校對其直屬</w:t>
      </w:r>
      <w:r>
        <w:rPr/>
        <w:t>機關首長具有指揮監督權限，此與私部門多係個別、獨立</w:t>
      </w:r>
      <w:r>
        <w:rPr>
          <w:spacing w:val="15"/>
        </w:rPr>
        <w:t>之一般公司行號之情形，尚屬有間。是基於行政機關對</w:t>
      </w:r>
      <w:r>
        <w:rPr/>
        <w:t>人、對事之指揮監督體系，機關首長於機關內涉及性騷擾行為之申訴案件，以由具指揮監督權限上級機關組成之申訴處理委員會進行調查及評議決定為宜。</w:t>
      </w:r>
    </w:p>
    <w:p>
      <w:pPr>
        <w:pStyle w:val="Heading2"/>
        <w:spacing w:before="189"/>
      </w:pPr>
      <w:r>
        <w:rPr/>
        <w:t>三、本會107年11月15日公地保字第1070146870號函釋</w:t>
      </w:r>
    </w:p>
    <w:p>
      <w:pPr>
        <w:spacing w:line="268" w:lineRule="auto" w:before="251"/>
        <w:ind w:left="1134" w:right="138" w:hanging="336"/>
        <w:jc w:val="both"/>
        <w:rPr>
          <w:sz w:val="32"/>
        </w:rPr>
      </w:pPr>
      <w:r>
        <w:rPr>
          <w:w w:val="95"/>
          <w:sz w:val="32"/>
        </w:rPr>
        <w:t>【</w:t>
      </w:r>
      <w:r>
        <w:rPr>
          <w:b/>
          <w:w w:val="95"/>
          <w:sz w:val="32"/>
        </w:rPr>
        <w:t>公務人員依法執行職務涉及刑事訴訟，於訴訟程序終結前</w:t>
      </w:r>
      <w:r>
        <w:rPr>
          <w:b/>
          <w:spacing w:val="46"/>
          <w:w w:val="95"/>
          <w:sz w:val="32"/>
        </w:rPr>
        <w:t> </w:t>
      </w:r>
      <w:r>
        <w:rPr>
          <w:b/>
          <w:w w:val="95"/>
          <w:sz w:val="32"/>
        </w:rPr>
        <w:t>死亡，死亡前已延聘律師者，其遺族得準用因公涉訟輔助</w:t>
      </w:r>
      <w:r>
        <w:rPr>
          <w:b/>
          <w:spacing w:val="1"/>
          <w:w w:val="95"/>
          <w:sz w:val="32"/>
        </w:rPr>
        <w:t> </w:t>
      </w:r>
      <w:r>
        <w:rPr>
          <w:b/>
          <w:sz w:val="32"/>
        </w:rPr>
        <w:t>辦法之規定申請涉訟輔助費用</w:t>
      </w:r>
      <w:r>
        <w:rPr>
          <w:sz w:val="32"/>
        </w:rPr>
        <w:t>】</w:t>
      </w:r>
    </w:p>
    <w:p>
      <w:pPr>
        <w:pStyle w:val="BodyText"/>
        <w:spacing w:line="268" w:lineRule="auto" w:before="196"/>
        <w:ind w:left="1158" w:right="125"/>
      </w:pPr>
      <w:r>
        <w:rPr>
          <w:w w:val="95"/>
        </w:rPr>
        <w:t>按保障法第22條第1</w:t>
      </w:r>
      <w:r>
        <w:rPr>
          <w:spacing w:val="-14"/>
          <w:w w:val="95"/>
        </w:rPr>
        <w:t>項規定：「公務人員依法執行職務涉訟</w:t>
      </w:r>
      <w:r>
        <w:rPr>
          <w:spacing w:val="17"/>
          <w:w w:val="95"/>
        </w:rPr>
        <w:t> </w:t>
      </w:r>
      <w:r>
        <w:rPr>
          <w:w w:val="95"/>
        </w:rPr>
        <w:t>時，服務機關應輔助其延聘律師為其辯護及提供法律上之</w:t>
      </w:r>
      <w:r>
        <w:rPr>
          <w:spacing w:val="12"/>
          <w:w w:val="95"/>
        </w:rPr>
        <w:t> </w:t>
      </w:r>
      <w:r>
        <w:rPr>
          <w:w w:val="95"/>
        </w:rPr>
        <w:t>協助。」第2</w:t>
      </w:r>
      <w:r>
        <w:rPr>
          <w:spacing w:val="-14"/>
          <w:w w:val="95"/>
        </w:rPr>
        <w:t>項規定：「前項情形，其涉訟係因公務人員之</w:t>
      </w:r>
      <w:r>
        <w:rPr>
          <w:spacing w:val="17"/>
          <w:w w:val="95"/>
        </w:rPr>
        <w:t> </w:t>
      </w:r>
      <w:r>
        <w:rPr>
          <w:w w:val="95"/>
        </w:rPr>
        <w:t>故意或重大過失所致者，應不予輔助……。」次按同條第</w:t>
      </w:r>
      <w:r>
        <w:rPr>
          <w:spacing w:val="156"/>
        </w:rPr>
        <w:t> </w:t>
      </w:r>
      <w:r>
        <w:rPr>
          <w:w w:val="95"/>
        </w:rPr>
        <w:t>3項授權訂定之公務人員因公涉訟輔助辦法（以下簡稱涉</w:t>
      </w:r>
    </w:p>
    <w:p>
      <w:pPr>
        <w:spacing w:after="0" w:line="268" w:lineRule="auto"/>
        <w:sectPr>
          <w:pgSz w:w="11910" w:h="16840"/>
          <w:pgMar w:header="0" w:footer="825" w:top="1180" w:bottom="1020" w:left="1280" w:right="1280"/>
        </w:sectPr>
      </w:pPr>
    </w:p>
    <w:p>
      <w:pPr>
        <w:pStyle w:val="BodyText"/>
        <w:spacing w:line="268" w:lineRule="auto"/>
        <w:ind w:left="1158" w:right="109"/>
      </w:pPr>
      <w:r>
        <w:rPr/>
        <w:t>訟輔助辦法）第3</w:t>
      </w:r>
      <w:r>
        <w:rPr>
          <w:spacing w:val="-14"/>
        </w:rPr>
        <w:t>條規定：「本法第二十二條第一項所定依</w:t>
      </w:r>
      <w:r>
        <w:rPr>
          <w:spacing w:val="16"/>
        </w:rPr>
        <w:t>法執行職務，應由服務機關就該公務人員之職務權限範</w:t>
      </w:r>
      <w:r>
        <w:rPr/>
        <w:t>圍，認定是否依法令規定，執行其職務。」是公務人員申</w:t>
      </w:r>
      <w:r>
        <w:rPr>
          <w:spacing w:val="-9"/>
        </w:rPr>
        <w:t>請涉訟輔助，係以其「依法執行職務」，且無故意或重大</w:t>
      </w:r>
      <w:r>
        <w:rPr>
          <w:spacing w:val="14"/>
          <w:w w:val="95"/>
        </w:rPr>
        <w:t>過失之情事為前提。所稱「依法執行職務」，係指合法</w:t>
      </w:r>
    </w:p>
    <w:p>
      <w:pPr>
        <w:pStyle w:val="BodyText"/>
        <w:spacing w:line="268" w:lineRule="auto" w:before="0"/>
        <w:ind w:left="1158" w:right="133"/>
      </w:pPr>
      <w:r>
        <w:rPr>
          <w:w w:val="95"/>
        </w:rPr>
        <w:t>（令）執行職務而言，包括依法律、法規或其他合法有效</w:t>
      </w:r>
      <w:r>
        <w:rPr>
          <w:spacing w:val="4"/>
          <w:w w:val="95"/>
        </w:rPr>
        <w:t> </w:t>
      </w:r>
      <w:r>
        <w:rPr>
          <w:w w:val="95"/>
        </w:rPr>
        <w:t>命令等，據以執行其職務者均屬之。至公務人員是否依法</w:t>
      </w:r>
      <w:r>
        <w:rPr>
          <w:spacing w:val="4"/>
          <w:w w:val="95"/>
        </w:rPr>
        <w:t> </w:t>
      </w:r>
      <w:r>
        <w:rPr>
          <w:w w:val="95"/>
        </w:rPr>
        <w:t>執行職務，應由服務機關本於權責認定。次按106年12月</w:t>
      </w:r>
      <w:r>
        <w:rPr>
          <w:spacing w:val="104"/>
          <w:w w:val="95"/>
        </w:rPr>
        <w:t> </w:t>
      </w:r>
      <w:r>
        <w:rPr>
          <w:w w:val="95"/>
        </w:rPr>
        <w:t>15日修正生效之涉訟輔助辦法第18條第2</w:t>
      </w:r>
      <w:r>
        <w:rPr>
          <w:spacing w:val="-21"/>
          <w:w w:val="95"/>
        </w:rPr>
        <w:t>項規定：「公務人</w:t>
      </w:r>
      <w:r>
        <w:rPr>
          <w:spacing w:val="9"/>
          <w:w w:val="95"/>
        </w:rPr>
        <w:t> </w:t>
      </w:r>
      <w:r>
        <w:rPr>
          <w:w w:val="95"/>
        </w:rPr>
        <w:t>員依法執行職務涉及刑事訴訟，於訴訟程序終結前死亡，</w:t>
      </w:r>
      <w:r>
        <w:rPr>
          <w:spacing w:val="4"/>
          <w:w w:val="95"/>
        </w:rPr>
        <w:t> </w:t>
      </w:r>
      <w:r>
        <w:rPr>
          <w:w w:val="95"/>
        </w:rPr>
        <w:t>死亡前已延聘律師者，其遺族得準用本辦法之規定申請涉</w:t>
      </w:r>
      <w:r>
        <w:rPr>
          <w:spacing w:val="4"/>
          <w:w w:val="95"/>
        </w:rPr>
        <w:t> </w:t>
      </w:r>
      <w:r>
        <w:rPr>
          <w:w w:val="95"/>
        </w:rPr>
        <w:t>訟輔助費用。」增訂公務人員之遺族於符合上開規定，得</w:t>
      </w:r>
      <w:r>
        <w:rPr>
          <w:spacing w:val="4"/>
          <w:w w:val="95"/>
        </w:rPr>
        <w:t> </w:t>
      </w:r>
      <w:r>
        <w:rPr>
          <w:w w:val="95"/>
        </w:rPr>
        <w:t>為涉訟輔助費用之申請；該項規定係屬新增，對於修正生</w:t>
      </w:r>
      <w:r>
        <w:rPr>
          <w:spacing w:val="4"/>
          <w:w w:val="95"/>
        </w:rPr>
        <w:t> </w:t>
      </w:r>
      <w:r>
        <w:rPr>
          <w:w w:val="95"/>
        </w:rPr>
        <w:t>效前，涉訟公務人員已死亡且訴訟程序已終結者，即無從</w:t>
      </w:r>
      <w:r>
        <w:rPr>
          <w:spacing w:val="1"/>
          <w:w w:val="95"/>
        </w:rPr>
        <w:t> </w:t>
      </w:r>
      <w:r>
        <w:rPr/>
        <w:t>適用。</w:t>
      </w:r>
    </w:p>
    <w:p>
      <w:pPr>
        <w:pStyle w:val="Heading2"/>
        <w:spacing w:before="182"/>
      </w:pPr>
      <w:r>
        <w:rPr/>
        <w:t>四、本會107年12月18日公保字第1070151000號函</w:t>
      </w:r>
    </w:p>
    <w:p>
      <w:pPr>
        <w:spacing w:line="268" w:lineRule="auto" w:before="254"/>
        <w:ind w:left="1178" w:right="137" w:hanging="320"/>
        <w:jc w:val="left"/>
        <w:rPr>
          <w:b/>
          <w:sz w:val="32"/>
        </w:rPr>
      </w:pPr>
      <w:r>
        <w:rPr>
          <w:b/>
          <w:w w:val="95"/>
          <w:sz w:val="32"/>
        </w:rPr>
        <w:t>【副局長代理局長期間，得否依補助局長健康檢查之規定補</w:t>
      </w:r>
      <w:r>
        <w:rPr>
          <w:b/>
          <w:spacing w:val="1"/>
          <w:w w:val="95"/>
          <w:sz w:val="32"/>
        </w:rPr>
        <w:t> </w:t>
      </w:r>
      <w:r>
        <w:rPr>
          <w:b/>
          <w:sz w:val="32"/>
        </w:rPr>
        <w:t>助費用】</w:t>
      </w:r>
    </w:p>
    <w:p>
      <w:pPr>
        <w:pStyle w:val="BodyText"/>
        <w:spacing w:line="268" w:lineRule="auto" w:before="195"/>
        <w:ind w:left="1158" w:right="109"/>
      </w:pPr>
      <w:r>
        <w:rPr/>
        <w:t>按公務人員一般健康檢查實施要點第3點第1項規定︰「一般健康檢查適用對象為本辦法第二條規定之人員，並依職務及年齡，區分如下︰（一）……直轄市、縣（市）一級</w:t>
      </w:r>
      <w:r>
        <w:rPr>
          <w:spacing w:val="13"/>
          <w:w w:val="95"/>
        </w:rPr>
        <w:t>機關首長或一級單位主管以上人員。</w:t>
      </w:r>
      <w:r>
        <w:rPr>
          <w:spacing w:val="24"/>
          <w:w w:val="95"/>
        </w:rPr>
        <w:t>（二）</w:t>
      </w:r>
      <w:r>
        <w:rPr>
          <w:spacing w:val="19"/>
          <w:w w:val="95"/>
        </w:rPr>
        <w:t>直轄市、縣</w:t>
      </w:r>
    </w:p>
    <w:p>
      <w:pPr>
        <w:pStyle w:val="BodyText"/>
        <w:spacing w:line="268" w:lineRule="auto" w:before="0"/>
        <w:ind w:left="1158" w:right="129"/>
      </w:pPr>
      <w:r>
        <w:rPr>
          <w:w w:val="95"/>
        </w:rPr>
        <w:t>（市）一級機關副首長或一級單位副主管……。」第</w:t>
      </w:r>
      <w:r>
        <w:rPr>
          <w:spacing w:val="10"/>
          <w:w w:val="95"/>
        </w:rPr>
        <w:t>4</w:t>
      </w:r>
      <w:r>
        <w:rPr>
          <w:w w:val="95"/>
        </w:rPr>
        <w:t>點</w:t>
      </w:r>
      <w:r>
        <w:rPr>
          <w:spacing w:val="107"/>
          <w:w w:val="95"/>
        </w:rPr>
        <w:t> </w:t>
      </w:r>
      <w:r>
        <w:rPr>
          <w:spacing w:val="16"/>
        </w:rPr>
        <w:t>第</w:t>
      </w:r>
      <w:r>
        <w:rPr>
          <w:spacing w:val="15"/>
        </w:rPr>
        <w:t>2</w:t>
      </w:r>
      <w:r>
        <w:rPr>
          <w:spacing w:val="1"/>
        </w:rPr>
        <w:t>項規定：「一般健康檢查之實施次數，依下列規定：</w:t>
      </w:r>
      <w:r>
        <w:rPr>
          <w:spacing w:val="-158"/>
        </w:rPr>
        <w:t> </w:t>
      </w:r>
      <w:r>
        <w:rPr>
          <w:w w:val="95"/>
        </w:rPr>
        <w:t>(一)前點第一項第一款人員：每年實施一次。(二)前點第</w:t>
      </w:r>
      <w:r>
        <w:rPr>
          <w:spacing w:val="8"/>
          <w:w w:val="95"/>
        </w:rPr>
        <w:t> </w:t>
      </w:r>
      <w:r>
        <w:rPr>
          <w:w w:val="95"/>
        </w:rPr>
        <w:t>一項第二款及第三款人員：每二年實施一次。……」次按</w:t>
      </w:r>
      <w:r>
        <w:rPr>
          <w:spacing w:val="1"/>
          <w:w w:val="95"/>
        </w:rPr>
        <w:t> </w:t>
      </w:r>
      <w:r>
        <w:rPr>
          <w:spacing w:val="6"/>
          <w:w w:val="95"/>
        </w:rPr>
        <w:t>前行政院人事行政局</w:t>
      </w:r>
      <w:r>
        <w:rPr>
          <w:w w:val="95"/>
        </w:rPr>
        <w:t>97</w:t>
      </w:r>
      <w:r>
        <w:rPr>
          <w:spacing w:val="12"/>
          <w:w w:val="95"/>
        </w:rPr>
        <w:t>年</w:t>
      </w:r>
      <w:r>
        <w:rPr>
          <w:spacing w:val="10"/>
          <w:w w:val="95"/>
        </w:rPr>
        <w:t>1</w:t>
      </w:r>
      <w:r>
        <w:rPr>
          <w:w w:val="95"/>
        </w:rPr>
        <w:t>月18</w:t>
      </w:r>
      <w:r>
        <w:rPr>
          <w:spacing w:val="9"/>
          <w:w w:val="95"/>
        </w:rPr>
        <w:t>日局給字第</w:t>
      </w:r>
      <w:r>
        <w:rPr>
          <w:w w:val="95"/>
        </w:rPr>
        <w:t>0970001740號</w:t>
      </w:r>
    </w:p>
    <w:p>
      <w:pPr>
        <w:spacing w:after="0" w:line="268" w:lineRule="auto"/>
        <w:sectPr>
          <w:pgSz w:w="11910" w:h="16840"/>
          <w:pgMar w:header="0" w:footer="825" w:top="1180" w:bottom="1020" w:left="1280" w:right="1280"/>
        </w:sectPr>
      </w:pPr>
    </w:p>
    <w:p>
      <w:pPr>
        <w:pStyle w:val="BodyText"/>
        <w:spacing w:line="268" w:lineRule="auto"/>
        <w:ind w:left="1158" w:right="123"/>
      </w:pPr>
      <w:r>
        <w:rPr>
          <w:w w:val="95"/>
        </w:rPr>
        <w:t>書函略以，代理主管人員與主管人員仍屬有別，代理主管</w:t>
      </w:r>
      <w:r>
        <w:rPr>
          <w:spacing w:val="14"/>
          <w:w w:val="95"/>
        </w:rPr>
        <w:t> </w:t>
      </w:r>
      <w:r>
        <w:rPr>
          <w:w w:val="95"/>
        </w:rPr>
        <w:t>人員於代理主管職務期間，尚不合參加主管人員住院健康</w:t>
      </w:r>
      <w:r>
        <w:rPr>
          <w:spacing w:val="14"/>
          <w:w w:val="95"/>
        </w:rPr>
        <w:t> </w:t>
      </w:r>
      <w:r>
        <w:rPr>
          <w:w w:val="95"/>
        </w:rPr>
        <w:t>檢查。據此，縣（市）一級機關副首長於代理首長期間，</w:t>
      </w:r>
      <w:r>
        <w:rPr>
          <w:spacing w:val="14"/>
          <w:w w:val="95"/>
        </w:rPr>
        <w:t> </w:t>
      </w:r>
      <w:r>
        <w:rPr>
          <w:spacing w:val="1"/>
          <w:w w:val="95"/>
        </w:rPr>
        <w:t>尚無從適用上開實施要點第</w:t>
      </w:r>
      <w:r>
        <w:rPr>
          <w:w w:val="95"/>
        </w:rPr>
        <w:t>4</w:t>
      </w:r>
      <w:r>
        <w:rPr>
          <w:spacing w:val="5"/>
          <w:w w:val="95"/>
        </w:rPr>
        <w:t>點第</w:t>
      </w:r>
      <w:r>
        <w:rPr>
          <w:w w:val="95"/>
        </w:rPr>
        <w:t>2項第1款規定每年實施</w:t>
      </w:r>
      <w:r>
        <w:rPr>
          <w:spacing w:val="127"/>
          <w:w w:val="95"/>
        </w:rPr>
        <w:t> </w:t>
      </w:r>
      <w:r>
        <w:rPr/>
        <w:t>一般健康檢查並予經費補助。</w:t>
      </w:r>
    </w:p>
    <w:p>
      <w:pPr>
        <w:pStyle w:val="Heading2"/>
        <w:spacing w:before="194"/>
      </w:pPr>
      <w:r>
        <w:rPr/>
        <w:t>五、本會108年2月13日保障信箱回復</w:t>
      </w:r>
    </w:p>
    <w:p>
      <w:pPr>
        <w:spacing w:before="251"/>
        <w:ind w:left="779" w:right="0" w:firstLine="0"/>
        <w:jc w:val="left"/>
        <w:rPr>
          <w:b/>
          <w:sz w:val="32"/>
        </w:rPr>
      </w:pPr>
      <w:r>
        <w:rPr>
          <w:b/>
          <w:sz w:val="32"/>
        </w:rPr>
        <w:t>【有關公務人員健康檢查實施次數，每2年實施1次疑義】</w:t>
      </w:r>
    </w:p>
    <w:p>
      <w:pPr>
        <w:pStyle w:val="BodyText"/>
        <w:spacing w:line="268" w:lineRule="auto" w:before="253"/>
        <w:ind w:left="1146" w:right="127"/>
      </w:pPr>
      <w:r>
        <w:rPr>
          <w:w w:val="95"/>
        </w:rPr>
        <w:t>按公務人員一般健康檢查實施要點第3點第1項規定︰「一</w:t>
      </w:r>
      <w:r>
        <w:rPr>
          <w:spacing w:val="22"/>
          <w:w w:val="95"/>
        </w:rPr>
        <w:t> </w:t>
      </w:r>
      <w:r>
        <w:rPr>
          <w:w w:val="95"/>
        </w:rPr>
        <w:t>般健康檢查適用對象為本辦法第二條規定之人員，並依職</w:t>
      </w:r>
      <w:r>
        <w:rPr>
          <w:spacing w:val="22"/>
          <w:w w:val="95"/>
        </w:rPr>
        <w:t> </w:t>
      </w:r>
      <w:r>
        <w:rPr>
          <w:w w:val="95"/>
        </w:rPr>
        <w:t>務及年齡，區分如下︰……（三）前二款以外，適用本辦</w:t>
      </w:r>
      <w:r>
        <w:rPr>
          <w:spacing w:val="22"/>
          <w:w w:val="95"/>
        </w:rPr>
        <w:t> </w:t>
      </w:r>
      <w:r>
        <w:rPr>
          <w:spacing w:val="1"/>
          <w:w w:val="95"/>
        </w:rPr>
        <w:t>法之四十歲以上人員。……」第</w:t>
      </w:r>
      <w:r>
        <w:rPr>
          <w:spacing w:val="10"/>
          <w:w w:val="95"/>
        </w:rPr>
        <w:t>2</w:t>
      </w:r>
      <w:r>
        <w:rPr>
          <w:w w:val="95"/>
        </w:rPr>
        <w:t>項規定︰「前項第三款</w:t>
      </w:r>
      <w:r>
        <w:rPr>
          <w:spacing w:val="106"/>
          <w:w w:val="95"/>
        </w:rPr>
        <w:t> </w:t>
      </w:r>
      <w:r>
        <w:rPr>
          <w:w w:val="95"/>
        </w:rPr>
        <w:t>之四十歲以上人員，指前一年度十二月三十一日止滿四十</w:t>
      </w:r>
      <w:r>
        <w:rPr>
          <w:spacing w:val="1"/>
          <w:w w:val="95"/>
        </w:rPr>
        <w:t> </w:t>
      </w:r>
      <w:r>
        <w:rPr>
          <w:spacing w:val="24"/>
        </w:rPr>
        <w:t>歲者。」第</w:t>
      </w:r>
      <w:r>
        <w:rPr>
          <w:spacing w:val="22"/>
        </w:rPr>
        <w:t>4點第2</w:t>
      </w:r>
      <w:r>
        <w:rPr>
          <w:spacing w:val="18"/>
        </w:rPr>
        <w:t>項規定︰「 一般健康檢查之實施次</w:t>
      </w:r>
      <w:r>
        <w:rPr>
          <w:w w:val="95"/>
        </w:rPr>
        <w:t>數，依下列規定︰……（二）前點第一項第二款及第三款</w:t>
      </w:r>
      <w:r>
        <w:rPr>
          <w:spacing w:val="22"/>
          <w:w w:val="95"/>
        </w:rPr>
        <w:t> </w:t>
      </w:r>
      <w:r>
        <w:rPr>
          <w:w w:val="95"/>
        </w:rPr>
        <w:t>人員︰每二年實施一次。……」所稱每2年實施1次，係指</w:t>
      </w:r>
      <w:r>
        <w:rPr>
          <w:spacing w:val="22"/>
          <w:w w:val="95"/>
        </w:rPr>
        <w:t> </w:t>
      </w:r>
      <w:r>
        <w:rPr>
          <w:spacing w:val="1"/>
          <w:w w:val="95"/>
        </w:rPr>
        <w:t>上開適用對象滿</w:t>
      </w:r>
      <w:r>
        <w:rPr>
          <w:w w:val="95"/>
        </w:rPr>
        <w:t>40</w:t>
      </w:r>
      <w:r>
        <w:rPr>
          <w:spacing w:val="1"/>
          <w:w w:val="95"/>
        </w:rPr>
        <w:t>歲者於該次健康檢查後，須間隔</w:t>
      </w:r>
      <w:r>
        <w:rPr>
          <w:w w:val="95"/>
        </w:rPr>
        <w:t>2年，</w:t>
      </w:r>
      <w:r>
        <w:rPr>
          <w:spacing w:val="112"/>
          <w:w w:val="95"/>
        </w:rPr>
        <w:t> </w:t>
      </w:r>
      <w:r>
        <w:rPr>
          <w:w w:val="95"/>
        </w:rPr>
        <w:t>始可再實施健康檢查。即依來函所詢，上開人員於106年6</w:t>
      </w:r>
      <w:r>
        <w:rPr>
          <w:spacing w:val="11"/>
          <w:w w:val="95"/>
        </w:rPr>
        <w:t> </w:t>
      </w:r>
      <w:r>
        <w:rPr>
          <w:w w:val="95"/>
        </w:rPr>
        <w:t>月1日實施一般健康檢查後，下次檢查時間應於108年6月1</w:t>
      </w:r>
      <w:r>
        <w:rPr>
          <w:spacing w:val="6"/>
          <w:w w:val="95"/>
        </w:rPr>
        <w:t> </w:t>
      </w:r>
      <w:r>
        <w:rPr/>
        <w:t>日以後。</w:t>
      </w:r>
    </w:p>
    <w:p>
      <w:pPr>
        <w:pStyle w:val="Heading2"/>
        <w:spacing w:before="186"/>
      </w:pPr>
      <w:r>
        <w:rPr/>
        <w:t>六、本會108年3月25日公地保字第1080002739號函釋</w:t>
      </w:r>
    </w:p>
    <w:p>
      <w:pPr>
        <w:spacing w:line="268" w:lineRule="auto" w:before="251"/>
        <w:ind w:left="1242" w:right="139" w:hanging="348"/>
        <w:jc w:val="left"/>
        <w:rPr>
          <w:b/>
          <w:sz w:val="32"/>
        </w:rPr>
      </w:pPr>
      <w:r>
        <w:rPr>
          <w:b/>
          <w:spacing w:val="10"/>
          <w:w w:val="95"/>
          <w:sz w:val="32"/>
        </w:rPr>
        <w:t>【關於直轄市山地原住民區區民代表會主席申請因公涉訟</w:t>
      </w:r>
      <w:r>
        <w:rPr>
          <w:b/>
          <w:spacing w:val="1"/>
          <w:w w:val="95"/>
          <w:sz w:val="32"/>
        </w:rPr>
        <w:t> </w:t>
      </w:r>
      <w:r>
        <w:rPr>
          <w:b/>
          <w:sz w:val="32"/>
        </w:rPr>
        <w:t>輔助之認定權責機關疑義一案】</w:t>
      </w:r>
    </w:p>
    <w:p>
      <w:pPr>
        <w:pStyle w:val="BodyText"/>
        <w:spacing w:line="268" w:lineRule="auto" w:before="196"/>
        <w:ind w:left="1214" w:right="136"/>
        <w:jc w:val="left"/>
      </w:pPr>
      <w:r>
        <w:rPr>
          <w:spacing w:val="14"/>
          <w:w w:val="95"/>
        </w:rPr>
        <w:t>有關直轄市山地原住民區民代表會，依地方制度法第</w:t>
      </w:r>
      <w:r>
        <w:rPr>
          <w:w w:val="95"/>
        </w:rPr>
        <w:t>83</w:t>
      </w:r>
      <w:r>
        <w:rPr>
          <w:spacing w:val="1"/>
          <w:w w:val="95"/>
        </w:rPr>
        <w:t> </w:t>
      </w:r>
      <w:r>
        <w:rPr>
          <w:spacing w:val="14"/>
          <w:w w:val="95"/>
        </w:rPr>
        <w:t>條之</w:t>
      </w:r>
      <w:r>
        <w:rPr>
          <w:spacing w:val="13"/>
          <w:w w:val="95"/>
        </w:rPr>
        <w:t>2</w:t>
      </w:r>
      <w:r>
        <w:rPr>
          <w:spacing w:val="14"/>
          <w:w w:val="95"/>
        </w:rPr>
        <w:t>第</w:t>
      </w:r>
      <w:r>
        <w:rPr>
          <w:spacing w:val="13"/>
          <w:w w:val="95"/>
        </w:rPr>
        <w:t>2</w:t>
      </w:r>
      <w:r>
        <w:rPr>
          <w:spacing w:val="10"/>
          <w:w w:val="95"/>
        </w:rPr>
        <w:t>項規定，其與直轄市之關係，準用關於縣與鄉</w:t>
      </w:r>
    </w:p>
    <w:p>
      <w:pPr>
        <w:pStyle w:val="BodyText"/>
        <w:spacing w:line="268" w:lineRule="auto" w:before="0"/>
        <w:ind w:left="1214" w:right="125"/>
        <w:jc w:val="left"/>
      </w:pPr>
      <w:r>
        <w:rPr>
          <w:spacing w:val="14"/>
          <w:w w:val="95"/>
        </w:rPr>
        <w:t>（鎮、市）關係之規定，是該代表會主席執行職務涉訟</w:t>
      </w:r>
      <w:r>
        <w:rPr>
          <w:spacing w:val="15"/>
          <w:w w:val="95"/>
        </w:rPr>
        <w:t> </w:t>
      </w:r>
      <w:r>
        <w:rPr>
          <w:w w:val="95"/>
        </w:rPr>
        <w:t>之輔助事項，應參照涉訟輔助辦法第20條第4項之規範意</w:t>
      </w:r>
    </w:p>
    <w:p>
      <w:pPr>
        <w:spacing w:after="0" w:line="268" w:lineRule="auto"/>
        <w:jc w:val="left"/>
        <w:sectPr>
          <w:pgSz w:w="11910" w:h="16840"/>
          <w:pgMar w:header="0" w:footer="825" w:top="1180" w:bottom="1020" w:left="1280" w:right="1280"/>
        </w:sectPr>
      </w:pPr>
    </w:p>
    <w:p>
      <w:pPr>
        <w:pStyle w:val="BodyText"/>
        <w:spacing w:line="268" w:lineRule="auto"/>
        <w:ind w:left="1214" w:right="130"/>
        <w:jc w:val="left"/>
      </w:pPr>
      <w:r>
        <w:rPr>
          <w:spacing w:val="1"/>
          <w:w w:val="95"/>
        </w:rPr>
        <w:t>旨，適用同辦法第</w:t>
      </w:r>
      <w:r>
        <w:rPr>
          <w:w w:val="95"/>
        </w:rPr>
        <w:t>10條及第11條第2項規定，由具有監督</w:t>
      </w:r>
      <w:r>
        <w:rPr>
          <w:spacing w:val="77"/>
          <w:w w:val="95"/>
        </w:rPr>
        <w:t> </w:t>
      </w:r>
      <w:r>
        <w:rPr/>
        <w:t>權限之直轄市政府決定之。</w:t>
      </w:r>
    </w:p>
    <w:p>
      <w:pPr>
        <w:pStyle w:val="Heading2"/>
        <w:spacing w:line="268" w:lineRule="auto" w:before="198"/>
        <w:ind w:left="796" w:right="134" w:hanging="658"/>
      </w:pPr>
      <w:r>
        <w:rPr>
          <w:spacing w:val="12"/>
          <w:w w:val="95"/>
        </w:rPr>
        <w:t>七、本會</w:t>
      </w:r>
      <w:r>
        <w:rPr>
          <w:w w:val="95"/>
        </w:rPr>
        <w:t>108</w:t>
      </w:r>
      <w:r>
        <w:rPr>
          <w:spacing w:val="12"/>
          <w:w w:val="95"/>
        </w:rPr>
        <w:t>年</w:t>
      </w:r>
      <w:r>
        <w:rPr>
          <w:spacing w:val="10"/>
          <w:w w:val="95"/>
        </w:rPr>
        <w:t>5</w:t>
      </w:r>
      <w:r>
        <w:rPr>
          <w:spacing w:val="15"/>
          <w:w w:val="95"/>
        </w:rPr>
        <w:t>月</w:t>
      </w:r>
      <w:r>
        <w:rPr>
          <w:spacing w:val="10"/>
          <w:w w:val="95"/>
        </w:rPr>
        <w:t>3</w:t>
      </w:r>
      <w:r>
        <w:rPr>
          <w:spacing w:val="12"/>
          <w:w w:val="95"/>
        </w:rPr>
        <w:t>日公保字第</w:t>
      </w:r>
      <w:r>
        <w:rPr>
          <w:w w:val="95"/>
        </w:rPr>
        <w:t>1081060156</w:t>
      </w:r>
      <w:r>
        <w:rPr>
          <w:spacing w:val="12"/>
          <w:w w:val="95"/>
        </w:rPr>
        <w:t>號函及</w:t>
      </w:r>
      <w:r>
        <w:rPr>
          <w:w w:val="95"/>
        </w:rPr>
        <w:t>108</w:t>
      </w:r>
      <w:r>
        <w:rPr>
          <w:spacing w:val="14"/>
          <w:w w:val="95"/>
        </w:rPr>
        <w:t>年</w:t>
      </w:r>
      <w:r>
        <w:rPr>
          <w:spacing w:val="11"/>
          <w:w w:val="95"/>
        </w:rPr>
        <w:t>7</w:t>
      </w:r>
      <w:r>
        <w:rPr>
          <w:spacing w:val="14"/>
          <w:w w:val="95"/>
        </w:rPr>
        <w:t>月</w:t>
      </w:r>
      <w:r>
        <w:rPr>
          <w:w w:val="95"/>
        </w:rPr>
        <w:t>29日</w:t>
      </w:r>
      <w:r>
        <w:rPr>
          <w:spacing w:val="2"/>
          <w:w w:val="95"/>
        </w:rPr>
        <w:t> </w:t>
      </w:r>
      <w:r>
        <w:rPr/>
        <w:t>公保字第1081060259號函</w:t>
      </w:r>
    </w:p>
    <w:p>
      <w:pPr>
        <w:spacing w:line="268" w:lineRule="auto" w:before="198"/>
        <w:ind w:left="1216" w:right="120" w:hanging="334"/>
        <w:jc w:val="left"/>
        <w:rPr>
          <w:b/>
          <w:sz w:val="32"/>
        </w:rPr>
      </w:pPr>
      <w:r>
        <w:rPr>
          <w:b/>
          <w:spacing w:val="14"/>
          <w:w w:val="95"/>
          <w:sz w:val="32"/>
        </w:rPr>
        <w:t>【本會建置上線之公務人員保障事件線上申辦平臺，敬請</w:t>
      </w:r>
      <w:r>
        <w:rPr>
          <w:b/>
          <w:spacing w:val="15"/>
          <w:w w:val="95"/>
          <w:sz w:val="32"/>
        </w:rPr>
        <w:t> </w:t>
      </w:r>
      <w:r>
        <w:rPr>
          <w:b/>
          <w:sz w:val="32"/>
        </w:rPr>
        <w:t>各機關（構）配合使用，並轉知所屬踴躍利用】</w:t>
      </w:r>
    </w:p>
    <w:p>
      <w:pPr>
        <w:pStyle w:val="BodyText"/>
        <w:spacing w:line="268" w:lineRule="auto" w:before="195"/>
        <w:ind w:left="1218" w:right="118"/>
      </w:pPr>
      <w:r>
        <w:rPr>
          <w:spacing w:val="14"/>
          <w:w w:val="95"/>
        </w:rPr>
        <w:t>本會建置旨揭線上申辦平臺，以因應電子化服務趨勢，</w:t>
      </w:r>
      <w:r>
        <w:rPr>
          <w:spacing w:val="15"/>
          <w:w w:val="95"/>
        </w:rPr>
        <w:t> </w:t>
      </w:r>
      <w:r>
        <w:rPr>
          <w:spacing w:val="14"/>
          <w:w w:val="95"/>
        </w:rPr>
        <w:t>並於本會全球資訊網右側設置「公務人員保障事件線上</w:t>
      </w:r>
      <w:r>
        <w:rPr>
          <w:spacing w:val="15"/>
          <w:w w:val="95"/>
        </w:rPr>
        <w:t> </w:t>
      </w:r>
      <w:r>
        <w:rPr>
          <w:spacing w:val="10"/>
          <w:w w:val="99"/>
        </w:rPr>
        <w:t>申辦平臺」專區</w:t>
      </w:r>
      <w:r>
        <w:rPr>
          <w:spacing w:val="11"/>
          <w:w w:val="99"/>
        </w:rPr>
        <w:t>（</w:t>
      </w:r>
      <w:r>
        <w:rPr>
          <w:spacing w:val="12"/>
          <w:w w:val="99"/>
        </w:rPr>
        <w:t>網址：</w:t>
      </w:r>
      <w:r>
        <w:rPr>
          <w:w w:val="99"/>
        </w:rPr>
        <w:t>h</w:t>
      </w:r>
      <w:r>
        <w:rPr>
          <w:spacing w:val="-2"/>
          <w:w w:val="99"/>
        </w:rPr>
        <w:t>t</w:t>
      </w:r>
      <w:r>
        <w:rPr>
          <w:w w:val="99"/>
        </w:rPr>
        <w:t>tp</w:t>
      </w:r>
      <w:r>
        <w:rPr>
          <w:spacing w:val="-2"/>
          <w:w w:val="99"/>
        </w:rPr>
        <w:t>/</w:t>
      </w:r>
      <w:r>
        <w:rPr>
          <w:w w:val="99"/>
        </w:rPr>
        <w:t>/</w:t>
      </w:r>
      <w:hyperlink r:id="rId6">
        <w:r>
          <w:rPr>
            <w:spacing w:val="-2"/>
            <w:w w:val="99"/>
          </w:rPr>
          <w:t>w</w:t>
        </w:r>
        <w:r>
          <w:rPr>
            <w:w w:val="99"/>
          </w:rPr>
          <w:t>ww.</w:t>
        </w:r>
        <w:r>
          <w:rPr>
            <w:spacing w:val="-2"/>
            <w:w w:val="99"/>
          </w:rPr>
          <w:t>c</w:t>
        </w:r>
        <w:r>
          <w:rPr>
            <w:w w:val="99"/>
          </w:rPr>
          <w:t>sp</w:t>
        </w:r>
        <w:r>
          <w:rPr>
            <w:spacing w:val="-2"/>
            <w:w w:val="99"/>
          </w:rPr>
          <w:t>t</w:t>
        </w:r>
        <w:r>
          <w:rPr>
            <w:w w:val="99"/>
          </w:rPr>
          <w:t>c.</w:t>
        </w:r>
        <w:r>
          <w:rPr>
            <w:spacing w:val="-2"/>
            <w:w w:val="99"/>
          </w:rPr>
          <w:t>g</w:t>
        </w:r>
        <w:r>
          <w:rPr>
            <w:w w:val="99"/>
          </w:rPr>
          <w:t>ov</w:t>
        </w:r>
        <w:r>
          <w:rPr>
            <w:spacing w:val="-2"/>
            <w:w w:val="99"/>
          </w:rPr>
          <w:t>.</w:t>
        </w:r>
        <w:r>
          <w:rPr>
            <w:w w:val="99"/>
          </w:rPr>
          <w:t>t</w:t>
        </w:r>
        <w:r>
          <w:rPr>
            <w:spacing w:val="15"/>
            <w:w w:val="99"/>
          </w:rPr>
          <w:t>w</w:t>
        </w:r>
      </w:hyperlink>
      <w:r>
        <w:rPr>
          <w:spacing w:val="-147"/>
          <w:w w:val="99"/>
        </w:rPr>
        <w:t>）</w:t>
      </w:r>
      <w:r>
        <w:rPr>
          <w:spacing w:val="4"/>
          <w:w w:val="99"/>
        </w:rPr>
        <w:t>。新</w:t>
      </w:r>
      <w:r>
        <w:rPr>
          <w:spacing w:val="10"/>
        </w:rPr>
        <w:t>增機關端功能如下：(一)提供機關母帳號加開及分案予</w:t>
      </w:r>
      <w:r>
        <w:rPr>
          <w:spacing w:val="10"/>
          <w:w w:val="95"/>
        </w:rPr>
        <w:t>多層子帳號功能，以利各機關內部業務分工。(二)提供</w:t>
      </w:r>
      <w:r>
        <w:rPr>
          <w:spacing w:val="15"/>
          <w:w w:val="95"/>
        </w:rPr>
        <w:t> </w:t>
      </w:r>
      <w:r>
        <w:rPr>
          <w:spacing w:val="14"/>
          <w:w w:val="95"/>
        </w:rPr>
        <w:t>機關母帳號審查子帳號之功能，確保機關層轉上傳資料</w:t>
      </w:r>
      <w:r>
        <w:rPr>
          <w:spacing w:val="15"/>
          <w:w w:val="95"/>
        </w:rPr>
        <w:t> </w:t>
      </w:r>
      <w:r>
        <w:rPr>
          <w:spacing w:val="9"/>
        </w:rPr>
        <w:t>之正確性及落實權責之劃分。(三)相關案件查詢功能。</w:t>
      </w:r>
      <w:r>
        <w:rPr>
          <w:spacing w:val="14"/>
          <w:w w:val="95"/>
        </w:rPr>
        <w:t>另為使保障法之保障對象或保障事件應答辯（復）之機</w:t>
      </w:r>
      <w:r>
        <w:rPr>
          <w:spacing w:val="15"/>
          <w:w w:val="95"/>
        </w:rPr>
        <w:t> </w:t>
      </w:r>
      <w:r>
        <w:rPr>
          <w:spacing w:val="7"/>
          <w:w w:val="99"/>
        </w:rPr>
        <w:t>關（構</w:t>
      </w:r>
      <w:r>
        <w:rPr>
          <w:spacing w:val="-154"/>
          <w:w w:val="99"/>
        </w:rPr>
        <w:t>）</w:t>
      </w:r>
      <w:r>
        <w:rPr>
          <w:spacing w:val="7"/>
          <w:w w:val="99"/>
        </w:rPr>
        <w:t>，瞭解旨揭線上平臺架構及操作內容，本會特製</w:t>
      </w:r>
      <w:r>
        <w:rPr>
          <w:spacing w:val="14"/>
          <w:w w:val="95"/>
        </w:rPr>
        <w:t>作該平臺簡要說明及操作手冊，請貴機關（構）於辦理</w:t>
      </w:r>
      <w:r>
        <w:rPr>
          <w:spacing w:val="15"/>
          <w:w w:val="95"/>
        </w:rPr>
        <w:t> </w:t>
      </w:r>
      <w:r>
        <w:rPr>
          <w:spacing w:val="14"/>
          <w:w w:val="95"/>
        </w:rPr>
        <w:t>公務人員保障案件時，配合使用該平臺上傳答辯（復）</w:t>
      </w:r>
      <w:r>
        <w:rPr>
          <w:spacing w:val="15"/>
          <w:w w:val="95"/>
        </w:rPr>
        <w:t> </w:t>
      </w:r>
      <w:r>
        <w:rPr>
          <w:spacing w:val="14"/>
          <w:w w:val="95"/>
        </w:rPr>
        <w:t>資料，並轉知所屬踴躍利用該平臺進行保障事件救濟程</w:t>
      </w:r>
      <w:r>
        <w:rPr>
          <w:spacing w:val="15"/>
          <w:w w:val="95"/>
        </w:rPr>
        <w:t> </w:t>
      </w:r>
      <w:r>
        <w:rPr>
          <w:spacing w:val="14"/>
          <w:w w:val="95"/>
        </w:rPr>
        <w:t>序。又貴機關（構）於規劃辦理相關人事講習或訓練活</w:t>
      </w:r>
      <w:r>
        <w:rPr>
          <w:spacing w:val="15"/>
          <w:w w:val="95"/>
        </w:rPr>
        <w:t> </w:t>
      </w:r>
      <w:r>
        <w:rPr>
          <w:spacing w:val="14"/>
          <w:w w:val="95"/>
        </w:rPr>
        <w:t>動時，建請納入旨揭線上平臺操作宣導課程。旨揭平臺</w:t>
      </w:r>
      <w:r>
        <w:rPr>
          <w:spacing w:val="15"/>
          <w:w w:val="95"/>
        </w:rPr>
        <w:t> </w:t>
      </w:r>
      <w:r>
        <w:rPr>
          <w:spacing w:val="14"/>
          <w:w w:val="95"/>
        </w:rPr>
        <w:t>簡要說明及操作手冊（當事人與機關部分）隨時更新於</w:t>
      </w:r>
      <w:r>
        <w:rPr>
          <w:spacing w:val="15"/>
          <w:w w:val="95"/>
        </w:rPr>
        <w:t> </w:t>
      </w:r>
      <w:r>
        <w:rPr/>
        <w:t>上開平臺專區，供各界下載。</w:t>
      </w:r>
    </w:p>
    <w:p>
      <w:pPr>
        <w:pStyle w:val="BodyText"/>
        <w:spacing w:line="268" w:lineRule="auto" w:before="183"/>
        <w:ind w:left="1218" w:right="117"/>
      </w:pPr>
      <w:r>
        <w:rPr>
          <w:spacing w:val="14"/>
          <w:w w:val="95"/>
        </w:rPr>
        <w:t>另為使保障事件當事人迅速掌握旨揭平臺之操作方式，</w:t>
      </w:r>
      <w:r>
        <w:rPr>
          <w:spacing w:val="15"/>
          <w:w w:val="95"/>
        </w:rPr>
        <w:t> </w:t>
      </w:r>
      <w:r>
        <w:rPr>
          <w:spacing w:val="14"/>
          <w:w w:val="95"/>
        </w:rPr>
        <w:t>除原上傳供參之系統操作手冊及操作步驟簡報外，本會</w:t>
      </w:r>
      <w:r>
        <w:rPr>
          <w:spacing w:val="15"/>
          <w:w w:val="95"/>
        </w:rPr>
        <w:t> </w:t>
      </w:r>
      <w:r>
        <w:rPr>
          <w:spacing w:val="14"/>
          <w:w w:val="95"/>
        </w:rPr>
        <w:t>新增當事人端動態操作教學影片，以實際操作之動態影</w:t>
      </w:r>
      <w:r>
        <w:rPr>
          <w:spacing w:val="15"/>
          <w:w w:val="95"/>
        </w:rPr>
        <w:t> </w:t>
      </w:r>
      <w:r>
        <w:rPr>
          <w:spacing w:val="14"/>
          <w:w w:val="95"/>
        </w:rPr>
        <w:t>片方式，使當事人更具臨場感之操作示範，提高使用平</w:t>
      </w:r>
      <w:r>
        <w:rPr>
          <w:spacing w:val="15"/>
          <w:w w:val="95"/>
        </w:rPr>
        <w:t> </w:t>
      </w:r>
      <w:r>
        <w:rPr>
          <w:spacing w:val="14"/>
          <w:w w:val="95"/>
        </w:rPr>
        <w:t>臺之意願及正確性，請貴機關（構）對所屬公務人員加</w:t>
      </w:r>
    </w:p>
    <w:p>
      <w:pPr>
        <w:spacing w:after="0" w:line="268" w:lineRule="auto"/>
        <w:sectPr>
          <w:pgSz w:w="11910" w:h="16840"/>
          <w:pgMar w:header="0" w:footer="825" w:top="1180" w:bottom="1020" w:left="1280" w:right="1280"/>
        </w:sectPr>
      </w:pPr>
    </w:p>
    <w:p>
      <w:pPr>
        <w:pStyle w:val="BodyText"/>
        <w:spacing w:line="268" w:lineRule="auto"/>
        <w:ind w:left="1218" w:right="119"/>
      </w:pPr>
      <w:r>
        <w:rPr>
          <w:spacing w:val="14"/>
          <w:w w:val="95"/>
        </w:rPr>
        <w:t>強宣導下載參用。又為提高旨揭平臺使用率，建請各機</w:t>
      </w:r>
      <w:r>
        <w:rPr>
          <w:spacing w:val="15"/>
          <w:w w:val="95"/>
        </w:rPr>
        <w:t> </w:t>
      </w:r>
      <w:r>
        <w:rPr>
          <w:spacing w:val="14"/>
          <w:w w:val="95"/>
        </w:rPr>
        <w:t>關（構）為行政處分或申訴函復時，於說明內加註「請</w:t>
      </w:r>
      <w:r>
        <w:rPr>
          <w:spacing w:val="15"/>
          <w:w w:val="95"/>
        </w:rPr>
        <w:t> </w:t>
      </w:r>
      <w:r>
        <w:rPr>
          <w:spacing w:val="45"/>
          <w:w w:val="95"/>
        </w:rPr>
        <w:t>多加利用公務人員保障事件線上申辦平臺</w:t>
      </w:r>
      <w:r>
        <w:rPr>
          <w:w w:val="95"/>
        </w:rPr>
        <w:t>（</w:t>
      </w:r>
      <w:r>
        <w:rPr>
          <w:spacing w:val="41"/>
          <w:w w:val="95"/>
        </w:rPr>
        <w:t> 網址：</w:t>
      </w:r>
      <w:r>
        <w:rPr>
          <w:spacing w:val="1"/>
          <w:w w:val="95"/>
        </w:rPr>
        <w:t> </w:t>
      </w:r>
      <w:r>
        <w:rPr>
          <w:w w:val="95"/>
        </w:rPr>
        <w:t>http//</w:t>
      </w:r>
      <w:hyperlink r:id="rId6">
        <w:r>
          <w:rPr>
            <w:w w:val="95"/>
          </w:rPr>
          <w:t>www.csptc.gov.tw</w:t>
        </w:r>
        <w:r>
          <w:rPr>
            <w:spacing w:val="22"/>
            <w:w w:val="95"/>
          </w:rPr>
          <w:t> </w:t>
        </w:r>
      </w:hyperlink>
      <w:r>
        <w:rPr>
          <w:w w:val="95"/>
        </w:rPr>
        <w:t>）</w:t>
      </w:r>
      <w:r>
        <w:rPr>
          <w:spacing w:val="41"/>
          <w:w w:val="95"/>
        </w:rPr>
        <w:t> 申辦保障事件相關救濟程</w:t>
      </w:r>
      <w:r>
        <w:rPr>
          <w:spacing w:val="14"/>
          <w:w w:val="95"/>
        </w:rPr>
        <w:t>序。」之文字，加強宣導旨揭平臺所提供之救濟管道，</w:t>
      </w:r>
      <w:r>
        <w:rPr>
          <w:spacing w:val="15"/>
          <w:w w:val="95"/>
        </w:rPr>
        <w:t> </w:t>
      </w:r>
      <w:r>
        <w:rPr>
          <w:spacing w:val="23"/>
          <w:w w:val="95"/>
        </w:rPr>
        <w:t>俾達提升行政服務品質及效能， 及節能減碳之政策目</w:t>
      </w:r>
      <w:r>
        <w:rPr/>
        <w:t>標。</w:t>
      </w:r>
    </w:p>
    <w:p>
      <w:pPr>
        <w:pStyle w:val="Heading2"/>
        <w:spacing w:before="193"/>
      </w:pPr>
      <w:r>
        <w:rPr/>
        <w:t>八、本會108年5月28日公地保字第1080006288號函釋</w:t>
      </w:r>
    </w:p>
    <w:p>
      <w:pPr>
        <w:spacing w:line="268" w:lineRule="auto" w:before="251"/>
        <w:ind w:left="1187" w:right="133" w:hanging="334"/>
        <w:jc w:val="both"/>
        <w:rPr>
          <w:b/>
          <w:sz w:val="32"/>
        </w:rPr>
      </w:pPr>
      <w:r>
        <w:rPr>
          <w:b/>
          <w:w w:val="95"/>
          <w:sz w:val="32"/>
        </w:rPr>
        <w:t>【關於公營事業機構依法令從事於公務之人員執行職務途中</w:t>
      </w:r>
      <w:r>
        <w:rPr>
          <w:b/>
          <w:spacing w:val="1"/>
          <w:w w:val="95"/>
          <w:sz w:val="32"/>
        </w:rPr>
        <w:t> </w:t>
      </w:r>
      <w:r>
        <w:rPr>
          <w:b/>
          <w:w w:val="95"/>
          <w:sz w:val="32"/>
        </w:rPr>
        <w:t>車禍死亡，遺族或依法律得提起或承受訴訟之人與肇事者</w:t>
      </w:r>
      <w:r>
        <w:rPr>
          <w:b/>
          <w:spacing w:val="1"/>
          <w:w w:val="95"/>
          <w:sz w:val="32"/>
        </w:rPr>
        <w:t> </w:t>
      </w:r>
      <w:r>
        <w:rPr>
          <w:b/>
          <w:sz w:val="32"/>
        </w:rPr>
        <w:t>間之訴訟，得否申請涉訟輔助疑義一案】</w:t>
      </w:r>
    </w:p>
    <w:p>
      <w:pPr>
        <w:pStyle w:val="BodyText"/>
        <w:spacing w:line="268" w:lineRule="auto" w:before="196"/>
        <w:ind w:left="1187" w:right="133" w:hanging="17"/>
      </w:pPr>
      <w:r>
        <w:rPr>
          <w:w w:val="95"/>
        </w:rPr>
        <w:t>公營事業機構依法令從事於公務之人員，須有依法執行職</w:t>
      </w:r>
      <w:r>
        <w:rPr>
          <w:spacing w:val="1"/>
          <w:w w:val="95"/>
        </w:rPr>
        <w:t> </w:t>
      </w:r>
      <w:r>
        <w:rPr>
          <w:w w:val="95"/>
        </w:rPr>
        <w:t>務涉及民事或刑事訴訟之事實，且於該訴訟程序終結前死</w:t>
      </w:r>
      <w:r>
        <w:rPr>
          <w:spacing w:val="1"/>
          <w:w w:val="95"/>
        </w:rPr>
        <w:t> </w:t>
      </w:r>
      <w:r>
        <w:rPr>
          <w:w w:val="95"/>
        </w:rPr>
        <w:t>亡，其遺族或依法律得提起或承受訴訟之人，方得比照涉</w:t>
      </w:r>
      <w:r>
        <w:rPr>
          <w:spacing w:val="1"/>
          <w:w w:val="95"/>
        </w:rPr>
        <w:t> </w:t>
      </w:r>
      <w:r>
        <w:rPr>
          <w:w w:val="95"/>
        </w:rPr>
        <w:t>訟輔助辦法第18條及第19條規定申請涉訟輔助費用。若公</w:t>
      </w:r>
      <w:r>
        <w:rPr>
          <w:spacing w:val="1"/>
          <w:w w:val="95"/>
        </w:rPr>
        <w:t> </w:t>
      </w:r>
      <w:r>
        <w:rPr>
          <w:w w:val="95"/>
        </w:rPr>
        <w:t>務人員於涉訟前已死亡，即與涉訟輔助之法定要件未符，</w:t>
      </w:r>
      <w:r>
        <w:rPr>
          <w:spacing w:val="1"/>
          <w:w w:val="95"/>
        </w:rPr>
        <w:t> </w:t>
      </w:r>
      <w:r>
        <w:rPr>
          <w:w w:val="95"/>
        </w:rPr>
        <w:t>其遺族或依法律得提起或承受訴訟之人自不得申請涉訟輔</w:t>
      </w:r>
      <w:r>
        <w:rPr>
          <w:spacing w:val="1"/>
          <w:w w:val="95"/>
        </w:rPr>
        <w:t> </w:t>
      </w:r>
      <w:r>
        <w:rPr/>
        <w:t>助費用。</w:t>
      </w:r>
    </w:p>
    <w:p>
      <w:pPr>
        <w:pStyle w:val="Heading2"/>
        <w:spacing w:before="190"/>
      </w:pPr>
      <w:r>
        <w:rPr/>
        <w:t>九、本會108年6月28日公地保字第1080007158號函釋</w:t>
      </w:r>
    </w:p>
    <w:p>
      <w:pPr>
        <w:spacing w:line="268" w:lineRule="auto" w:before="251"/>
        <w:ind w:left="1118" w:right="138" w:hanging="317"/>
        <w:jc w:val="both"/>
        <w:rPr>
          <w:b/>
          <w:sz w:val="32"/>
        </w:rPr>
      </w:pPr>
      <w:r>
        <w:rPr>
          <w:b/>
          <w:w w:val="95"/>
          <w:sz w:val="32"/>
        </w:rPr>
        <w:t>【關於政府機關依法令從事於公務之人員，前比照涉訟輔助</w:t>
      </w:r>
      <w:r>
        <w:rPr>
          <w:b/>
          <w:spacing w:val="43"/>
          <w:w w:val="95"/>
          <w:sz w:val="32"/>
        </w:rPr>
        <w:t> </w:t>
      </w:r>
      <w:r>
        <w:rPr>
          <w:b/>
          <w:w w:val="95"/>
          <w:sz w:val="32"/>
        </w:rPr>
        <w:t>辦法核給因公涉訟輔助費用，嗣該機關改制為公司，後續</w:t>
      </w:r>
      <w:r>
        <w:rPr>
          <w:b/>
          <w:spacing w:val="14"/>
          <w:w w:val="95"/>
          <w:sz w:val="32"/>
        </w:rPr>
        <w:t> </w:t>
      </w:r>
      <w:r>
        <w:rPr>
          <w:b/>
          <w:sz w:val="32"/>
        </w:rPr>
        <w:t>應由何機關辦理因公涉訟輔助費用追繳疑義一案】</w:t>
      </w:r>
    </w:p>
    <w:p>
      <w:pPr>
        <w:pStyle w:val="BodyText"/>
        <w:spacing w:line="268" w:lineRule="auto" w:before="196"/>
        <w:ind w:left="1158" w:right="125" w:firstLine="12"/>
      </w:pPr>
      <w:r>
        <w:rPr>
          <w:w w:val="95"/>
        </w:rPr>
        <w:t>政府機關依法令從事於公務之人員，依法執行職務涉訟，</w:t>
      </w:r>
      <w:r>
        <w:rPr>
          <w:spacing w:val="1"/>
          <w:w w:val="95"/>
        </w:rPr>
        <w:t> </w:t>
      </w:r>
      <w:r>
        <w:rPr>
          <w:w w:val="95"/>
        </w:rPr>
        <w:t>經甲機關依涉訟輔助辦法第19條第3款規定，比照該辦法</w:t>
      </w:r>
      <w:r>
        <w:rPr>
          <w:spacing w:val="152"/>
          <w:w w:val="95"/>
        </w:rPr>
        <w:t> </w:t>
      </w:r>
      <w:r>
        <w:rPr>
          <w:w w:val="95"/>
        </w:rPr>
        <w:t>核給因公涉訟輔助費用，是時支給涉訟輔助費用經費來源</w:t>
      </w:r>
      <w:r>
        <w:rPr>
          <w:spacing w:val="12"/>
          <w:w w:val="95"/>
        </w:rPr>
        <w:t> </w:t>
      </w:r>
      <w:r>
        <w:rPr>
          <w:w w:val="95"/>
        </w:rPr>
        <w:t>係由甲機關之上級乙機關管理之作業基金；嗣其涉訟案件</w:t>
      </w:r>
    </w:p>
    <w:p>
      <w:pPr>
        <w:spacing w:after="0" w:line="268" w:lineRule="auto"/>
        <w:sectPr>
          <w:pgSz w:w="11910" w:h="16840"/>
          <w:pgMar w:header="0" w:footer="825" w:top="1180" w:bottom="1020" w:left="1280" w:right="1280"/>
        </w:sectPr>
      </w:pPr>
    </w:p>
    <w:p>
      <w:pPr>
        <w:pStyle w:val="BodyText"/>
        <w:spacing w:line="268" w:lineRule="auto"/>
        <w:ind w:left="1158" w:right="134"/>
      </w:pPr>
      <w:r>
        <w:rPr>
          <w:w w:val="95"/>
        </w:rPr>
        <w:t>經判決有罪確定，甲機關業已改制為丙公司，而該人員並</w:t>
      </w:r>
      <w:r>
        <w:rPr>
          <w:spacing w:val="3"/>
          <w:w w:val="95"/>
        </w:rPr>
        <w:t> </w:t>
      </w:r>
      <w:r>
        <w:rPr>
          <w:w w:val="95"/>
        </w:rPr>
        <w:t>未移撥至丙公司，則該人員涉訟輔助費用之追繳，宜由甲</w:t>
      </w:r>
      <w:r>
        <w:rPr>
          <w:spacing w:val="3"/>
          <w:w w:val="95"/>
        </w:rPr>
        <w:t> </w:t>
      </w:r>
      <w:r>
        <w:rPr>
          <w:w w:val="95"/>
        </w:rPr>
        <w:t>機關之上級乙機關比照涉訟輔助辦法第11條第1項、第3項</w:t>
      </w:r>
      <w:r>
        <w:rPr>
          <w:spacing w:val="1"/>
          <w:w w:val="95"/>
        </w:rPr>
        <w:t> </w:t>
      </w:r>
      <w:r>
        <w:rPr/>
        <w:t>及第16條第1項之相關規定辦理。</w:t>
      </w:r>
    </w:p>
    <w:p>
      <w:pPr>
        <w:pStyle w:val="Heading1"/>
        <w:spacing w:before="156"/>
      </w:pPr>
      <w:r>
        <w:rPr>
          <w:w w:val="95"/>
        </w:rPr>
        <w:t>肆、其他建請各機關（構）配合辦理事項</w:t>
      </w:r>
    </w:p>
    <w:p>
      <w:pPr>
        <w:pStyle w:val="BodyText"/>
        <w:spacing w:line="268" w:lineRule="auto" w:before="235"/>
        <w:ind w:left="779" w:right="136" w:hanging="641"/>
      </w:pPr>
      <w:r>
        <w:rPr>
          <w:w w:val="95"/>
        </w:rPr>
        <w:t>一、本會就人事法規或保障法規之適用疑義，每年均辦理保障業</w:t>
      </w:r>
      <w:r>
        <w:rPr>
          <w:spacing w:val="109"/>
          <w:w w:val="95"/>
        </w:rPr>
        <w:t> </w:t>
      </w:r>
      <w:r>
        <w:rPr>
          <w:w w:val="95"/>
        </w:rPr>
        <w:t>務宣導與輔導活動，以協助各人事機關（構）正確辦理保障</w:t>
      </w:r>
      <w:r>
        <w:rPr>
          <w:spacing w:val="76"/>
          <w:w w:val="95"/>
        </w:rPr>
        <w:t> </w:t>
      </w:r>
      <w:r>
        <w:rPr>
          <w:w w:val="95"/>
        </w:rPr>
        <w:t>業務。建請各機關（構）秉持服務精神，積極協助所屬同仁</w:t>
      </w:r>
      <w:r>
        <w:rPr>
          <w:spacing w:val="76"/>
          <w:w w:val="95"/>
        </w:rPr>
        <w:t> </w:t>
      </w:r>
      <w:r>
        <w:rPr>
          <w:w w:val="95"/>
        </w:rPr>
        <w:t>充分瞭解公務人員保障制度，以維護其自身權益，並請確實</w:t>
      </w:r>
      <w:r>
        <w:rPr>
          <w:spacing w:val="60"/>
          <w:w w:val="95"/>
        </w:rPr>
        <w:t> </w:t>
      </w:r>
      <w:r>
        <w:rPr/>
        <w:t>依法行政，俾減少訟源。</w:t>
      </w:r>
    </w:p>
    <w:p>
      <w:pPr>
        <w:pStyle w:val="BodyText"/>
        <w:spacing w:line="268" w:lineRule="auto" w:before="195"/>
        <w:ind w:left="779" w:right="136" w:hanging="641"/>
      </w:pPr>
      <w:r>
        <w:rPr>
          <w:w w:val="95"/>
        </w:rPr>
        <w:t>二、本會審理保障事件，就認定事實或適用法律有疑義時，均儘</w:t>
      </w:r>
      <w:r>
        <w:rPr>
          <w:spacing w:val="109"/>
          <w:w w:val="95"/>
        </w:rPr>
        <w:t> </w:t>
      </w:r>
      <w:r>
        <w:rPr>
          <w:w w:val="95"/>
        </w:rPr>
        <w:t>量給予公務人員及機關（構）派員陳述意見之機會，以擴大</w:t>
      </w:r>
      <w:r>
        <w:rPr>
          <w:spacing w:val="58"/>
          <w:w w:val="95"/>
        </w:rPr>
        <w:t> </w:t>
      </w:r>
      <w:r>
        <w:rPr>
          <w:spacing w:val="15"/>
          <w:w w:val="95"/>
        </w:rPr>
        <w:t>當事人程序參與。另為提供當事人、有關人員、關係機關</w:t>
      </w:r>
    </w:p>
    <w:p>
      <w:pPr>
        <w:pStyle w:val="BodyText"/>
        <w:spacing w:line="268" w:lineRule="auto" w:before="0"/>
        <w:ind w:left="779" w:right="129"/>
      </w:pPr>
      <w:r>
        <w:rPr>
          <w:w w:val="95"/>
        </w:rPr>
        <w:t>（構）更高服務品質，節省往返之時間及勞費，進而提升審</w:t>
      </w:r>
      <w:r>
        <w:rPr>
          <w:spacing w:val="83"/>
          <w:w w:val="95"/>
        </w:rPr>
        <w:t> </w:t>
      </w:r>
      <w:r>
        <w:rPr>
          <w:w w:val="95"/>
        </w:rPr>
        <w:t>議效率，本會已開辦保障事件視訊陳述意見服務措施，並於</w:t>
      </w:r>
      <w:r>
        <w:rPr>
          <w:spacing w:val="83"/>
          <w:w w:val="95"/>
        </w:rPr>
        <w:t> </w:t>
      </w:r>
      <w:r>
        <w:rPr>
          <w:w w:val="95"/>
        </w:rPr>
        <w:t>本會全球資訊網建置「保障事件視訊陳述意見使用處所查詢</w:t>
      </w:r>
      <w:r>
        <w:rPr>
          <w:spacing w:val="56"/>
          <w:w w:val="95"/>
        </w:rPr>
        <w:t> </w:t>
      </w:r>
      <w:r>
        <w:rPr>
          <w:spacing w:val="-43"/>
          <w:w w:val="99"/>
        </w:rPr>
        <w:t>系統」</w:t>
      </w:r>
      <w:r>
        <w:rPr>
          <w:spacing w:val="14"/>
          <w:w w:val="99"/>
        </w:rPr>
        <w:t>（</w:t>
      </w:r>
      <w:hyperlink r:id="rId7">
        <w:r>
          <w:rPr>
            <w:spacing w:val="-2"/>
            <w:w w:val="99"/>
          </w:rPr>
          <w:t>h</w:t>
        </w:r>
        <w:r>
          <w:rPr>
            <w:w w:val="99"/>
          </w:rPr>
          <w:t>tt</w:t>
        </w:r>
        <w:r>
          <w:rPr>
            <w:spacing w:val="-2"/>
            <w:w w:val="99"/>
          </w:rPr>
          <w:t>p</w:t>
        </w:r>
        <w:r>
          <w:rPr>
            <w:w w:val="99"/>
          </w:rPr>
          <w:t>:/</w:t>
        </w:r>
        <w:r>
          <w:rPr>
            <w:spacing w:val="-2"/>
            <w:w w:val="99"/>
          </w:rPr>
          <w:t>/w</w:t>
        </w:r>
        <w:r>
          <w:rPr>
            <w:w w:val="99"/>
          </w:rPr>
          <w:t>ww.</w:t>
        </w:r>
        <w:r>
          <w:rPr>
            <w:spacing w:val="-2"/>
            <w:w w:val="99"/>
          </w:rPr>
          <w:t>c</w:t>
        </w:r>
        <w:r>
          <w:rPr>
            <w:w w:val="99"/>
          </w:rPr>
          <w:t>sp</w:t>
        </w:r>
        <w:r>
          <w:rPr>
            <w:spacing w:val="-2"/>
            <w:w w:val="99"/>
          </w:rPr>
          <w:t>t</w:t>
        </w:r>
        <w:r>
          <w:rPr>
            <w:w w:val="99"/>
          </w:rPr>
          <w:t>c.</w:t>
        </w:r>
        <w:r>
          <w:rPr>
            <w:spacing w:val="-2"/>
            <w:w w:val="99"/>
          </w:rPr>
          <w:t>g</w:t>
        </w:r>
        <w:r>
          <w:rPr>
            <w:w w:val="99"/>
          </w:rPr>
          <w:t>ov</w:t>
        </w:r>
        <w:r>
          <w:rPr>
            <w:spacing w:val="-2"/>
            <w:w w:val="99"/>
          </w:rPr>
          <w:t>.</w:t>
        </w:r>
        <w:r>
          <w:rPr>
            <w:w w:val="99"/>
          </w:rPr>
          <w:t>t</w:t>
        </w:r>
        <w:r>
          <w:rPr>
            <w:spacing w:val="-2"/>
            <w:w w:val="99"/>
          </w:rPr>
          <w:t>w</w:t>
        </w:r>
        <w:r>
          <w:rPr>
            <w:w w:val="99"/>
          </w:rPr>
          <w:t>/go</w:t>
        </w:r>
        <w:r>
          <w:rPr>
            <w:spacing w:val="-2"/>
            <w:w w:val="99"/>
          </w:rPr>
          <w:t>o</w:t>
        </w:r>
        <w:r>
          <w:rPr>
            <w:w w:val="99"/>
          </w:rPr>
          <w:t>gl</w:t>
        </w:r>
        <w:r>
          <w:rPr>
            <w:spacing w:val="-2"/>
            <w:w w:val="99"/>
          </w:rPr>
          <w:t>e</w:t>
        </w:r>
        <w:r>
          <w:rPr>
            <w:w w:val="99"/>
          </w:rPr>
          <w:t>ma</w:t>
        </w:r>
        <w:r>
          <w:rPr>
            <w:spacing w:val="-2"/>
            <w:w w:val="99"/>
          </w:rPr>
          <w:t>p</w:t>
        </w:r>
        <w:r>
          <w:rPr>
            <w:spacing w:val="17"/>
            <w:w w:val="99"/>
          </w:rPr>
          <w:t>/</w:t>
        </w:r>
      </w:hyperlink>
      <w:r>
        <w:rPr>
          <w:spacing w:val="-149"/>
          <w:w w:val="99"/>
        </w:rPr>
        <w:t>）</w:t>
      </w:r>
      <w:r>
        <w:rPr>
          <w:spacing w:val="8"/>
          <w:w w:val="99"/>
        </w:rPr>
        <w:t>，請多加利</w:t>
      </w:r>
      <w:r>
        <w:rPr/>
        <w:t>用並廣為宣導周知。</w:t>
      </w:r>
    </w:p>
    <w:p>
      <w:pPr>
        <w:pStyle w:val="BodyText"/>
        <w:spacing w:line="268" w:lineRule="auto" w:before="188"/>
        <w:ind w:left="779" w:right="129" w:hanging="641"/>
      </w:pPr>
      <w:r>
        <w:rPr>
          <w:spacing w:val="15"/>
          <w:w w:val="95"/>
        </w:rPr>
        <w:t>三、本會為因應電子化服務之趨勢，建置保障事件線上申辦平</w:t>
      </w:r>
      <w:r>
        <w:rPr>
          <w:spacing w:val="1"/>
          <w:w w:val="95"/>
        </w:rPr>
        <w:t> </w:t>
      </w:r>
      <w:r>
        <w:rPr>
          <w:w w:val="95"/>
        </w:rPr>
        <w:t>臺，於本會全球資訊網右側設置「公務人員保障事件線上申</w:t>
      </w:r>
      <w:r>
        <w:rPr>
          <w:spacing w:val="83"/>
          <w:w w:val="95"/>
        </w:rPr>
        <w:t> </w:t>
      </w:r>
      <w:r>
        <w:rPr>
          <w:w w:val="95"/>
        </w:rPr>
        <w:t>辦平臺」專區，期減少保障事件當事人及機關（構）郵寄或</w:t>
      </w:r>
      <w:r>
        <w:rPr>
          <w:spacing w:val="83"/>
          <w:w w:val="95"/>
        </w:rPr>
        <w:t> </w:t>
      </w:r>
      <w:r>
        <w:rPr>
          <w:w w:val="95"/>
        </w:rPr>
        <w:t>親送保障事件書類之時間、費用及人力成本，並使當事人或</w:t>
      </w:r>
      <w:r>
        <w:rPr>
          <w:spacing w:val="83"/>
          <w:w w:val="95"/>
        </w:rPr>
        <w:t> </w:t>
      </w:r>
      <w:r>
        <w:rPr>
          <w:w w:val="95"/>
        </w:rPr>
        <w:t>機關（構）得即時接收有關保障事件程序之重要通知事項，</w:t>
      </w:r>
      <w:r>
        <w:rPr>
          <w:spacing w:val="83"/>
          <w:w w:val="95"/>
        </w:rPr>
        <w:t> </w:t>
      </w:r>
      <w:r>
        <w:rPr>
          <w:w w:val="95"/>
        </w:rPr>
        <w:t>以提升行政服務品質及效能，並達到節能減碳之目標。登錄</w:t>
      </w:r>
      <w:r>
        <w:rPr>
          <w:spacing w:val="54"/>
          <w:w w:val="95"/>
        </w:rPr>
        <w:t> </w:t>
      </w:r>
      <w:r>
        <w:rPr/>
        <w:t>網址（</w:t>
      </w:r>
      <w:hyperlink r:id="rId6">
        <w:r>
          <w:rPr/>
          <w:t>http://www.csptc.gov.tw/</w:t>
        </w:r>
      </w:hyperlink>
      <w:r>
        <w:rPr/>
        <w:t>）可下載平台操作手冊。</w:t>
      </w:r>
    </w:p>
    <w:sectPr>
      <w:pgSz w:w="11910" w:h="16840"/>
      <w:pgMar w:header="0" w:footer="825" w:top="1180" w:bottom="102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294.649994pt;margin-top:789.660522pt;width:16.1pt;height:13.05pt;mso-position-horizontal-relative:page;mso-position-vertical-relative:page;z-index:-1580953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02" w:hanging="322"/>
        <w:jc w:val="left"/>
      </w:pPr>
      <w:rPr>
        <w:rFonts w:hint="default" w:ascii="標楷體" w:hAnsi="標楷體" w:eastAsia="標楷體" w:cs="標楷體"/>
        <w:spacing w:val="-2"/>
        <w:w w:val="99"/>
        <w:sz w:val="30"/>
        <w:szCs w:val="30"/>
        <w:lang w:val="en-US" w:eastAsia="zh-tw" w:bidi="ar-SA"/>
      </w:rPr>
    </w:lvl>
    <w:lvl w:ilvl="1">
      <w:start w:val="0"/>
      <w:numFmt w:val="bullet"/>
      <w:lvlText w:val="•"/>
      <w:lvlJc w:val="left"/>
      <w:pPr>
        <w:ind w:left="2104" w:hanging="322"/>
      </w:pPr>
      <w:rPr>
        <w:rFonts w:hint="default"/>
        <w:lang w:val="en-US" w:eastAsia="zh-tw" w:bidi="ar-SA"/>
      </w:rPr>
    </w:lvl>
    <w:lvl w:ilvl="2">
      <w:start w:val="0"/>
      <w:numFmt w:val="bullet"/>
      <w:lvlText w:val="•"/>
      <w:lvlJc w:val="left"/>
      <w:pPr>
        <w:ind w:left="2909" w:hanging="322"/>
      </w:pPr>
      <w:rPr>
        <w:rFonts w:hint="default"/>
        <w:lang w:val="en-US" w:eastAsia="zh-tw" w:bidi="ar-SA"/>
      </w:rPr>
    </w:lvl>
    <w:lvl w:ilvl="3">
      <w:start w:val="0"/>
      <w:numFmt w:val="bullet"/>
      <w:lvlText w:val="•"/>
      <w:lvlJc w:val="left"/>
      <w:pPr>
        <w:ind w:left="3713" w:hanging="322"/>
      </w:pPr>
      <w:rPr>
        <w:rFonts w:hint="default"/>
        <w:lang w:val="en-US" w:eastAsia="zh-tw" w:bidi="ar-SA"/>
      </w:rPr>
    </w:lvl>
    <w:lvl w:ilvl="4">
      <w:start w:val="0"/>
      <w:numFmt w:val="bullet"/>
      <w:lvlText w:val="•"/>
      <w:lvlJc w:val="left"/>
      <w:pPr>
        <w:ind w:left="4518" w:hanging="322"/>
      </w:pPr>
      <w:rPr>
        <w:rFonts w:hint="default"/>
        <w:lang w:val="en-US" w:eastAsia="zh-tw" w:bidi="ar-SA"/>
      </w:rPr>
    </w:lvl>
    <w:lvl w:ilvl="5">
      <w:start w:val="0"/>
      <w:numFmt w:val="bullet"/>
      <w:lvlText w:val="•"/>
      <w:lvlJc w:val="left"/>
      <w:pPr>
        <w:ind w:left="5323" w:hanging="322"/>
      </w:pPr>
      <w:rPr>
        <w:rFonts w:hint="default"/>
        <w:lang w:val="en-US" w:eastAsia="zh-tw" w:bidi="ar-SA"/>
      </w:rPr>
    </w:lvl>
    <w:lvl w:ilvl="6">
      <w:start w:val="0"/>
      <w:numFmt w:val="bullet"/>
      <w:lvlText w:val="•"/>
      <w:lvlJc w:val="left"/>
      <w:pPr>
        <w:ind w:left="6127" w:hanging="322"/>
      </w:pPr>
      <w:rPr>
        <w:rFonts w:hint="default"/>
        <w:lang w:val="en-US" w:eastAsia="zh-tw" w:bidi="ar-SA"/>
      </w:rPr>
    </w:lvl>
    <w:lvl w:ilvl="7">
      <w:start w:val="0"/>
      <w:numFmt w:val="bullet"/>
      <w:lvlText w:val="•"/>
      <w:lvlJc w:val="left"/>
      <w:pPr>
        <w:ind w:left="6932" w:hanging="322"/>
      </w:pPr>
      <w:rPr>
        <w:rFonts w:hint="default"/>
        <w:lang w:val="en-US" w:eastAsia="zh-tw" w:bidi="ar-SA"/>
      </w:rPr>
    </w:lvl>
    <w:lvl w:ilvl="8">
      <w:start w:val="0"/>
      <w:numFmt w:val="bullet"/>
      <w:lvlText w:val="•"/>
      <w:lvlJc w:val="left"/>
      <w:pPr>
        <w:ind w:left="7737" w:hanging="322"/>
      </w:pPr>
      <w:rPr>
        <w:rFonts w:hint="default"/>
        <w:lang w:val="en-US" w:eastAsia="zh-tw" w:bidi="ar-SA"/>
      </w:rPr>
    </w:lvl>
  </w:abstractNum>
  <w:abstractNum w:abstractNumId="0">
    <w:multiLevelType w:val="hybridMultilevel"/>
    <w:lvl w:ilvl="0">
      <w:start w:val="1"/>
      <w:numFmt w:val="decimal"/>
      <w:lvlText w:val="%1."/>
      <w:lvlJc w:val="left"/>
      <w:pPr>
        <w:ind w:left="1302" w:hanging="322"/>
        <w:jc w:val="left"/>
      </w:pPr>
      <w:rPr>
        <w:rFonts w:hint="default" w:ascii="標楷體" w:hAnsi="標楷體" w:eastAsia="標楷體" w:cs="標楷體"/>
        <w:spacing w:val="-2"/>
        <w:w w:val="99"/>
        <w:sz w:val="30"/>
        <w:szCs w:val="30"/>
        <w:lang w:val="en-US" w:eastAsia="zh-tw" w:bidi="ar-SA"/>
      </w:rPr>
    </w:lvl>
    <w:lvl w:ilvl="1">
      <w:start w:val="0"/>
      <w:numFmt w:val="bullet"/>
      <w:lvlText w:val="•"/>
      <w:lvlJc w:val="left"/>
      <w:pPr>
        <w:ind w:left="2104" w:hanging="322"/>
      </w:pPr>
      <w:rPr>
        <w:rFonts w:hint="default"/>
        <w:lang w:val="en-US" w:eastAsia="zh-tw" w:bidi="ar-SA"/>
      </w:rPr>
    </w:lvl>
    <w:lvl w:ilvl="2">
      <w:start w:val="0"/>
      <w:numFmt w:val="bullet"/>
      <w:lvlText w:val="•"/>
      <w:lvlJc w:val="left"/>
      <w:pPr>
        <w:ind w:left="2909" w:hanging="322"/>
      </w:pPr>
      <w:rPr>
        <w:rFonts w:hint="default"/>
        <w:lang w:val="en-US" w:eastAsia="zh-tw" w:bidi="ar-SA"/>
      </w:rPr>
    </w:lvl>
    <w:lvl w:ilvl="3">
      <w:start w:val="0"/>
      <w:numFmt w:val="bullet"/>
      <w:lvlText w:val="•"/>
      <w:lvlJc w:val="left"/>
      <w:pPr>
        <w:ind w:left="3713" w:hanging="322"/>
      </w:pPr>
      <w:rPr>
        <w:rFonts w:hint="default"/>
        <w:lang w:val="en-US" w:eastAsia="zh-tw" w:bidi="ar-SA"/>
      </w:rPr>
    </w:lvl>
    <w:lvl w:ilvl="4">
      <w:start w:val="0"/>
      <w:numFmt w:val="bullet"/>
      <w:lvlText w:val="•"/>
      <w:lvlJc w:val="left"/>
      <w:pPr>
        <w:ind w:left="4518" w:hanging="322"/>
      </w:pPr>
      <w:rPr>
        <w:rFonts w:hint="default"/>
        <w:lang w:val="en-US" w:eastAsia="zh-tw" w:bidi="ar-SA"/>
      </w:rPr>
    </w:lvl>
    <w:lvl w:ilvl="5">
      <w:start w:val="0"/>
      <w:numFmt w:val="bullet"/>
      <w:lvlText w:val="•"/>
      <w:lvlJc w:val="left"/>
      <w:pPr>
        <w:ind w:left="5323" w:hanging="322"/>
      </w:pPr>
      <w:rPr>
        <w:rFonts w:hint="default"/>
        <w:lang w:val="en-US" w:eastAsia="zh-tw" w:bidi="ar-SA"/>
      </w:rPr>
    </w:lvl>
    <w:lvl w:ilvl="6">
      <w:start w:val="0"/>
      <w:numFmt w:val="bullet"/>
      <w:lvlText w:val="•"/>
      <w:lvlJc w:val="left"/>
      <w:pPr>
        <w:ind w:left="6127" w:hanging="322"/>
      </w:pPr>
      <w:rPr>
        <w:rFonts w:hint="default"/>
        <w:lang w:val="en-US" w:eastAsia="zh-tw" w:bidi="ar-SA"/>
      </w:rPr>
    </w:lvl>
    <w:lvl w:ilvl="7">
      <w:start w:val="0"/>
      <w:numFmt w:val="bullet"/>
      <w:lvlText w:val="•"/>
      <w:lvlJc w:val="left"/>
      <w:pPr>
        <w:ind w:left="6932" w:hanging="322"/>
      </w:pPr>
      <w:rPr>
        <w:rFonts w:hint="default"/>
        <w:lang w:val="en-US" w:eastAsia="zh-tw" w:bidi="ar-SA"/>
      </w:rPr>
    </w:lvl>
    <w:lvl w:ilvl="8">
      <w:start w:val="0"/>
      <w:numFmt w:val="bullet"/>
      <w:lvlText w:val="•"/>
      <w:lvlJc w:val="left"/>
      <w:pPr>
        <w:ind w:left="7737" w:hanging="322"/>
      </w:pPr>
      <w:rPr>
        <w:rFonts w:hint="default"/>
        <w:lang w:val="en-US" w:eastAsia="zh-tw"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spacing w:before="15"/>
      <w:ind w:left="1302" w:right="132"/>
      <w:jc w:val="both"/>
    </w:pPr>
    <w:rPr>
      <w:rFonts w:ascii="標楷體" w:hAnsi="標楷體" w:eastAsia="標楷體" w:cs="標楷體"/>
      <w:sz w:val="32"/>
      <w:szCs w:val="32"/>
      <w:lang w:val="en-US" w:eastAsia="zh-tw" w:bidi="ar-SA"/>
    </w:rPr>
  </w:style>
  <w:style w:styleId="Heading1" w:type="paragraph">
    <w:name w:val="Heading 1"/>
    <w:basedOn w:val="Normal"/>
    <w:uiPriority w:val="1"/>
    <w:qFormat/>
    <w:pPr>
      <w:ind w:left="138"/>
      <w:outlineLvl w:val="1"/>
    </w:pPr>
    <w:rPr>
      <w:rFonts w:ascii="標楷體" w:hAnsi="標楷體" w:eastAsia="標楷體" w:cs="標楷體"/>
      <w:b/>
      <w:bCs/>
      <w:sz w:val="36"/>
      <w:szCs w:val="36"/>
      <w:lang w:val="en-US" w:eastAsia="zh-tw" w:bidi="ar-SA"/>
    </w:rPr>
  </w:style>
  <w:style w:styleId="Heading2" w:type="paragraph">
    <w:name w:val="Heading 2"/>
    <w:basedOn w:val="Normal"/>
    <w:uiPriority w:val="1"/>
    <w:qFormat/>
    <w:pPr>
      <w:spacing w:before="251"/>
      <w:ind w:left="138"/>
      <w:outlineLvl w:val="2"/>
    </w:pPr>
    <w:rPr>
      <w:rFonts w:ascii="標楷體" w:hAnsi="標楷體" w:eastAsia="標楷體" w:cs="標楷體"/>
      <w:b/>
      <w:bCs/>
      <w:sz w:val="32"/>
      <w:szCs w:val="32"/>
      <w:lang w:val="en-US" w:eastAsia="zh-tw" w:bidi="ar-SA"/>
    </w:rPr>
  </w:style>
  <w:style w:styleId="ListParagraph" w:type="paragraph">
    <w:name w:val="List Paragraph"/>
    <w:basedOn w:val="Normal"/>
    <w:uiPriority w:val="1"/>
    <w:qFormat/>
    <w:pPr>
      <w:spacing w:before="113"/>
      <w:ind w:left="1302" w:right="120" w:hanging="312"/>
      <w:jc w:val="both"/>
    </w:pPr>
    <w:rPr>
      <w:rFonts w:ascii="標楷體" w:hAnsi="標楷體" w:eastAsia="標楷體" w:cs="標楷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ptc.gov.tw/" TargetMode="External"/><Relationship Id="rId7" Type="http://schemas.openxmlformats.org/officeDocument/2006/relationships/hyperlink" Target="http://www.csptc.gov.tw/googlema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dc:title>各機關辦理申訴、復審案件業務參考資料</dc:title>
  <dcterms:created xsi:type="dcterms:W3CDTF">2021-09-22T11:13:55Z</dcterms:created>
  <dcterms:modified xsi:type="dcterms:W3CDTF">2021-09-22T11:13:55Z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2013</vt:lpwstr>
  </property>
  <property fmtid="{D5CDD505-2E9C-101B-9397-08002B2CF9AE}" pid="4" name="LastSaved">
    <vt:filetime>2021-09-22T00:00:00Z</vt:filetime>
  </property>
</Properties>
</file>