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2824BC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A341A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B0032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暨普通考試水利工程</w:t>
      </w:r>
      <w:r w:rsidR="00A341A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及港灣工程</w:t>
      </w:r>
      <w:r w:rsidR="00B0032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集中實務訓練計畫</w:t>
      </w:r>
    </w:p>
    <w:p w:rsidR="002824BC" w:rsidRPr="00D15876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D15876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D15876" w:rsidRPr="00726F0C">
        <w:rPr>
          <w:rFonts w:ascii="標楷體" w:eastAsia="標楷體" w:hAnsi="標楷體" w:cs="Times New Roman" w:hint="eastAsia"/>
          <w:szCs w:val="24"/>
        </w:rPr>
        <w:t>1</w:t>
      </w:r>
      <w:r w:rsidR="00D15876" w:rsidRPr="00726F0C">
        <w:rPr>
          <w:rFonts w:ascii="標楷體" w:eastAsia="標楷體" w:hAnsi="標楷體" w:cs="Times New Roman"/>
          <w:szCs w:val="24"/>
        </w:rPr>
        <w:t>08</w:t>
      </w:r>
      <w:r w:rsidR="00311F1E" w:rsidRPr="00726F0C">
        <w:rPr>
          <w:rFonts w:ascii="標楷體" w:eastAsia="標楷體" w:hAnsi="標楷體" w:cs="Times New Roman" w:hint="eastAsia"/>
          <w:szCs w:val="24"/>
        </w:rPr>
        <w:t>年</w:t>
      </w:r>
      <w:r w:rsidR="00D15876" w:rsidRPr="00726F0C">
        <w:rPr>
          <w:rFonts w:ascii="標楷體" w:eastAsia="標楷體" w:hAnsi="標楷體" w:cs="新細明體" w:hint="eastAsia"/>
          <w:szCs w:val="24"/>
        </w:rPr>
        <w:t>9</w:t>
      </w:r>
      <w:r w:rsidR="004E282D" w:rsidRPr="00726F0C">
        <w:rPr>
          <w:rFonts w:ascii="標楷體" w:eastAsia="標楷體" w:hAnsi="標楷體" w:cs="Times New Roman" w:hint="eastAsia"/>
          <w:szCs w:val="24"/>
        </w:rPr>
        <w:t>月</w:t>
      </w:r>
      <w:r w:rsidR="00526560" w:rsidRPr="00726F0C">
        <w:rPr>
          <w:rFonts w:ascii="標楷體" w:eastAsia="標楷體" w:hAnsi="標楷體" w:cs="新細明體" w:hint="eastAsia"/>
          <w:szCs w:val="24"/>
        </w:rPr>
        <w:t>1</w:t>
      </w:r>
      <w:r w:rsidR="00526560" w:rsidRPr="00726F0C">
        <w:rPr>
          <w:rFonts w:ascii="標楷體" w:eastAsia="標楷體" w:hAnsi="標楷體" w:cs="新細明體"/>
          <w:szCs w:val="24"/>
        </w:rPr>
        <w:t>7</w:t>
      </w:r>
      <w:r w:rsidR="00311F1E" w:rsidRPr="00D15876">
        <w:rPr>
          <w:rFonts w:ascii="標楷體" w:eastAsia="標楷體" w:hAnsi="標楷體" w:cs="Times New Roman" w:hint="eastAsia"/>
          <w:color w:val="000000"/>
          <w:szCs w:val="24"/>
        </w:rPr>
        <w:t>日保訓會公訓字第</w:t>
      </w:r>
      <w:r w:rsidR="00D15876" w:rsidRPr="00726F0C">
        <w:rPr>
          <w:rFonts w:ascii="標楷體" w:eastAsia="標楷體" w:hAnsi="標楷體" w:cs="新細明體" w:hint="eastAsia"/>
          <w:szCs w:val="24"/>
        </w:rPr>
        <w:t>1080010131</w:t>
      </w:r>
      <w:r w:rsidRPr="00D15876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A341A2" w:rsidRDefault="002824BC" w:rsidP="00D15876">
      <w:pPr>
        <w:spacing w:line="500" w:lineRule="exact"/>
        <w:ind w:left="595" w:hanging="595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壹、為期</w:t>
      </w:r>
      <w:r w:rsidR="009E78BC" w:rsidRPr="00A341A2">
        <w:rPr>
          <w:rFonts w:ascii="標楷體" w:eastAsia="標楷體" w:hAnsi="標楷體" w:cs="Times New Roman" w:hint="eastAsia"/>
          <w:sz w:val="30"/>
          <w:szCs w:val="30"/>
        </w:rPr>
        <w:t>10</w:t>
      </w:r>
      <w:r w:rsidR="00A341A2" w:rsidRPr="00A341A2">
        <w:rPr>
          <w:rFonts w:ascii="標楷體" w:eastAsia="標楷體" w:hAnsi="標楷體" w:cs="Times New Roman" w:hint="eastAsia"/>
          <w:sz w:val="30"/>
          <w:szCs w:val="30"/>
        </w:rPr>
        <w:t>8</w:t>
      </w:r>
      <w:r w:rsidRPr="00A341A2">
        <w:rPr>
          <w:rFonts w:ascii="標楷體" w:eastAsia="標楷體" w:hAnsi="標楷體" w:cs="Times New Roman" w:hint="eastAsia"/>
          <w:sz w:val="30"/>
          <w:szCs w:val="30"/>
        </w:rPr>
        <w:t>年公務人員高等</w:t>
      </w:r>
      <w:r w:rsidR="00992305" w:rsidRPr="00A341A2">
        <w:rPr>
          <w:rFonts w:ascii="標楷體" w:eastAsia="標楷體" w:hAnsi="標楷體" w:cs="Times New Roman" w:hint="eastAsia"/>
          <w:sz w:val="30"/>
          <w:szCs w:val="30"/>
        </w:rPr>
        <w:t>考試三級考試</w:t>
      </w:r>
      <w:r w:rsidRPr="00A341A2">
        <w:rPr>
          <w:rFonts w:ascii="標楷體" w:eastAsia="標楷體" w:hAnsi="標楷體" w:cs="Times New Roman" w:hint="eastAsia"/>
          <w:sz w:val="30"/>
          <w:szCs w:val="30"/>
        </w:rPr>
        <w:t>暨普通考試</w:t>
      </w:r>
      <w:r w:rsidR="00D15876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以下簡稱本考試</w:t>
      </w:r>
      <w:r w:rsidR="00D15876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="00B00325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水利工程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及港灣工程</w:t>
      </w:r>
      <w:r w:rsidR="00B00325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類科錄取人員於實務訓練期間充實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專業法令與實務，強化並提升渠等專業服務素質，特訂定本計畫。</w:t>
      </w:r>
    </w:p>
    <w:p w:rsidR="002824BC" w:rsidRPr="00A341A2" w:rsidRDefault="002824BC" w:rsidP="00A341A2">
      <w:pPr>
        <w:spacing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貳、研習對象</w:t>
      </w:r>
    </w:p>
    <w:p w:rsidR="002824BC" w:rsidRPr="00A341A2" w:rsidRDefault="002824BC" w:rsidP="003F3365">
      <w:pPr>
        <w:spacing w:line="500" w:lineRule="exact"/>
        <w:ind w:left="618" w:hanging="23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本考試</w:t>
      </w:r>
      <w:r w:rsidR="00B00325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水利工程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及港灣工程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類科正額錄取，經分配現缺人員。另經分配正額預估缺及增額錄取人員，依其分配報到實務訓練時程及人數，由</w:t>
      </w:r>
      <w:r w:rsidR="00CB5031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經濟部</w:t>
      </w:r>
      <w:r w:rsidR="00192253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="00CB5031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水利署</w:t>
      </w:r>
      <w:r w:rsidR="00192253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視錄取人員報到情形、檔期及經費狀況，衡酌是否開班調訓。</w:t>
      </w:r>
    </w:p>
    <w:p w:rsidR="002824BC" w:rsidRPr="00A341A2" w:rsidRDefault="002824BC" w:rsidP="00A341A2">
      <w:pPr>
        <w:spacing w:before="50" w:line="500" w:lineRule="exact"/>
        <w:ind w:left="2400" w:hangingChars="800" w:hanging="24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叁、辦理機關</w:t>
      </w:r>
    </w:p>
    <w:p w:rsidR="002824BC" w:rsidRPr="00A341A2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由公務人員保障暨培訓委員會（以下簡稱保訓會）協調委託</w:t>
      </w:r>
      <w:r w:rsidR="00CB5031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經濟部</w:t>
      </w:r>
      <w:r w:rsidR="00192253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="00CB5031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水利署</w:t>
      </w:r>
      <w:r w:rsidR="00192253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辦理。</w:t>
      </w:r>
    </w:p>
    <w:p w:rsidR="002824BC" w:rsidRPr="00A341A2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肆、研習地點</w:t>
      </w:r>
    </w:p>
    <w:p w:rsidR="002824BC" w:rsidRPr="00A341A2" w:rsidRDefault="00CB5031" w:rsidP="00192253">
      <w:pPr>
        <w:spacing w:before="50" w:line="500" w:lineRule="exact"/>
        <w:ind w:leftChars="236" w:left="566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經濟部</w:t>
      </w:r>
      <w:r w:rsidR="00E362A4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專業人員研究中心(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地址：新竹市</w:t>
      </w:r>
      <w:r w:rsidR="00A6405F" w:rsidRPr="00726F0C">
        <w:rPr>
          <w:rFonts w:ascii="標楷體" w:eastAsia="標楷體" w:hAnsi="標楷體" w:cs="Times New Roman" w:hint="eastAsia"/>
          <w:sz w:val="30"/>
          <w:szCs w:val="30"/>
        </w:rPr>
        <w:t>東區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光復路2段3號</w:t>
      </w:r>
      <w:r w:rsidR="00E362A4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。</w:t>
      </w:r>
    </w:p>
    <w:p w:rsidR="002824BC" w:rsidRPr="00A341A2" w:rsidRDefault="002824BC" w:rsidP="00A341A2">
      <w:pPr>
        <w:spacing w:afterLines="50" w:after="180"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伍、研習課程及時數配當</w:t>
      </w:r>
    </w:p>
    <w:tbl>
      <w:tblPr>
        <w:tblW w:w="918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4091"/>
        <w:gridCol w:w="1134"/>
        <w:gridCol w:w="1154"/>
        <w:gridCol w:w="9"/>
      </w:tblGrid>
      <w:tr w:rsidR="002824BC" w:rsidRPr="00A341A2" w:rsidTr="00192253">
        <w:trPr>
          <w:cantSplit/>
          <w:trHeight w:val="724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研習主題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2824BC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課程名稱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A341A2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時數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A341A2" w:rsidRDefault="002824BC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合計</w:t>
            </w:r>
          </w:p>
        </w:tc>
      </w:tr>
      <w:tr w:rsidR="002824BC" w:rsidRPr="00A341A2" w:rsidTr="00192253">
        <w:trPr>
          <w:cantSplit/>
          <w:trHeight w:val="707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水利業務與分工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24BC" w:rsidRPr="00A341A2" w:rsidRDefault="00C64558" w:rsidP="00192253">
            <w:pPr>
              <w:spacing w:line="500" w:lineRule="exact"/>
              <w:ind w:left="1008" w:right="100" w:hangingChars="336" w:hanging="1008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水利施政藍圖與業務簡介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A341A2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24BC" w:rsidRPr="00A341A2" w:rsidRDefault="00C64558" w:rsidP="00A341A2">
            <w:pPr>
              <w:spacing w:line="500" w:lineRule="exact"/>
              <w:ind w:leftChars="100" w:left="1248" w:rightChars="100" w:right="240" w:hangingChars="336" w:hanging="1008"/>
              <w:jc w:val="center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7</w:t>
            </w:r>
          </w:p>
        </w:tc>
      </w:tr>
      <w:tr w:rsidR="00C64558" w:rsidRPr="00A341A2" w:rsidTr="00192253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A341A2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A341A2" w:rsidRDefault="00855A96" w:rsidP="00192253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氣候變遷對水環境之衝擊與</w:t>
            </w:r>
            <w:r w:rsidR="00C64558"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水利相關法規簡介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58" w:rsidRPr="00A341A2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4558" w:rsidRPr="00A341A2" w:rsidRDefault="00C64558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2824BC" w:rsidRPr="00A341A2" w:rsidTr="00192253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C64558" w:rsidP="00A341A2">
            <w:pPr>
              <w:spacing w:line="500" w:lineRule="exact"/>
              <w:ind w:left="1008" w:right="100" w:hangingChars="336" w:hanging="1008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地方水利業務簡介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A341A2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4BC" w:rsidRPr="00A341A2" w:rsidRDefault="002824BC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2824BC" w:rsidRPr="00A341A2" w:rsidTr="00192253">
        <w:trPr>
          <w:cantSplit/>
          <w:trHeight w:val="694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水資源管理與保育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C64558" w:rsidP="00192253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水資源經營管理實務(含枯旱調度)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BC" w:rsidRPr="00A341A2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4BC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center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5</w:t>
            </w:r>
          </w:p>
        </w:tc>
      </w:tr>
      <w:tr w:rsidR="002824BC" w:rsidRPr="00A341A2" w:rsidTr="00192253">
        <w:trPr>
          <w:cantSplit/>
          <w:trHeight w:val="700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2824B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C6455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自來水</w:t>
            </w:r>
            <w:r w:rsidR="00920BFB"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及溫泉保育法規與實務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A341A2" w:rsidRDefault="00920BF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4BC" w:rsidRPr="00A341A2" w:rsidRDefault="002824BC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C64558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A341A2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防洪排水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C64558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河川、區域排水及海岸之治理與環境營造實務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:rsidR="00C64558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5</w:t>
            </w:r>
          </w:p>
        </w:tc>
      </w:tr>
      <w:tr w:rsidR="00C64558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A341A2" w:rsidRDefault="00C64558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C64558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河川、排水及海岸相關法規及管理實務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C64558" w:rsidRPr="00A341A2" w:rsidRDefault="00C64558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920BFB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共通專業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水文業務簡介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6</w:t>
            </w:r>
          </w:p>
        </w:tc>
      </w:tr>
      <w:tr w:rsidR="00920BFB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A341A2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水旱災防救業務簡介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920BFB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A341A2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工務實務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</w:p>
        </w:tc>
      </w:tr>
      <w:tr w:rsidR="00920BFB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現地學習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工程參訪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8</w:t>
            </w:r>
          </w:p>
        </w:tc>
      </w:tr>
      <w:tr w:rsidR="00920BFB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學習評量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A341A2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綜合測驗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920BFB" w:rsidRPr="00A341A2" w:rsidRDefault="00920BFB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1</w:t>
            </w:r>
          </w:p>
        </w:tc>
      </w:tr>
      <w:tr w:rsidR="00AD27A2" w:rsidRPr="00A341A2" w:rsidTr="00192253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27A2" w:rsidRPr="00A341A2" w:rsidRDefault="00E63ADF" w:rsidP="00AD27A2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 w:themeColor="text1"/>
                <w:sz w:val="30"/>
                <w:szCs w:val="30"/>
              </w:rPr>
              <w:t>開結訓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AD27A2" w:rsidRPr="00A341A2" w:rsidRDefault="00AD27A2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 w:themeColor="text1"/>
                <w:sz w:val="30"/>
                <w:szCs w:val="30"/>
              </w:rPr>
              <w:t>開、結訓(不採計課程時數)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AD27A2" w:rsidRPr="00A341A2" w:rsidRDefault="00AD27A2" w:rsidP="00A341A2">
            <w:pPr>
              <w:spacing w:line="500" w:lineRule="exact"/>
              <w:ind w:leftChars="100" w:left="1248" w:rightChars="100" w:right="240" w:hangingChars="336" w:hanging="1008"/>
              <w:jc w:val="distribute"/>
              <w:rPr>
                <w:rFonts w:ascii="標楷體" w:eastAsia="標楷體" w:hAnsi="標楷體" w:cs="Times New Roman"/>
                <w:color w:val="000000" w:themeColor="text1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 w:themeColor="text1"/>
                <w:sz w:val="30"/>
                <w:szCs w:val="30"/>
              </w:rPr>
              <w:t>5-10分鐘</w:t>
            </w:r>
          </w:p>
        </w:tc>
      </w:tr>
      <w:tr w:rsidR="002824BC" w:rsidRPr="00A341A2" w:rsidTr="00192253">
        <w:trPr>
          <w:gridAfter w:val="1"/>
          <w:wAfter w:w="9" w:type="dxa"/>
          <w:cantSplit/>
          <w:trHeight w:val="683"/>
        </w:trPr>
        <w:tc>
          <w:tcPr>
            <w:tcW w:w="688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A341A2" w:rsidRDefault="002824BC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合              計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A341A2" w:rsidRDefault="00920BFB" w:rsidP="00920BFB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0"/>
                <w:szCs w:val="30"/>
              </w:rPr>
            </w:pPr>
            <w:r w:rsidRPr="00A341A2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32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【備註】本表研習主題、課程名稱及時數配當為暫訂內容，將視實需酌予調整。</w:t>
      </w:r>
    </w:p>
    <w:p w:rsidR="002824BC" w:rsidRPr="00A341A2" w:rsidRDefault="002824BC" w:rsidP="00A341A2">
      <w:pPr>
        <w:spacing w:beforeLines="50" w:before="180"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陸、實施期程及方式</w:t>
      </w:r>
    </w:p>
    <w:p w:rsidR="002824BC" w:rsidRPr="00A341A2" w:rsidRDefault="002824BC" w:rsidP="00192253">
      <w:pPr>
        <w:spacing w:before="50" w:line="500" w:lineRule="exact"/>
        <w:ind w:left="952" w:hanging="595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一、本研習於</w:t>
      </w:r>
      <w:r w:rsidR="00992305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本考試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水利工程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及港灣工程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類科正額錄取分配現缺之錄取人員於至各實務訓練機關報到後，擇期於實務訓練4個月期間內調訓</w:t>
      </w:r>
      <w:r w:rsidR="00E362A4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(預計10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9</w:t>
      </w:r>
      <w:r w:rsidR="00E362A4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年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2</w:t>
      </w:r>
      <w:r w:rsidR="00E362A4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月份辦理)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。</w:t>
      </w:r>
    </w:p>
    <w:p w:rsidR="002824BC" w:rsidRPr="00A341A2" w:rsidRDefault="00E362A4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二、採密集研習方式辦理，提供膳食及住宿。</w:t>
      </w:r>
    </w:p>
    <w:p w:rsidR="002824BC" w:rsidRPr="00A341A2" w:rsidRDefault="002824BC" w:rsidP="00192253">
      <w:pPr>
        <w:spacing w:before="50" w:line="500" w:lineRule="exact"/>
        <w:ind w:left="952" w:hanging="595"/>
        <w:jc w:val="both"/>
        <w:rPr>
          <w:rFonts w:ascii="Calibri" w:eastAsia="標楷體" w:hAnsi="Calibri" w:cs="標楷體"/>
          <w:color w:val="000000"/>
          <w:sz w:val="30"/>
          <w:szCs w:val="30"/>
        </w:rPr>
      </w:pPr>
      <w:r w:rsidRPr="00A341A2">
        <w:rPr>
          <w:rFonts w:ascii="Calibri" w:eastAsia="標楷體" w:hAnsi="Calibri" w:cs="標楷體" w:hint="eastAsia"/>
          <w:color w:val="000000"/>
          <w:sz w:val="30"/>
          <w:szCs w:val="30"/>
        </w:rPr>
        <w:t>三、參加集中實務訓練之受訓人員，其訓練期間之學習情形及成績評量結果，由</w:t>
      </w:r>
      <w:r w:rsidR="00B57521" w:rsidRPr="00A341A2">
        <w:rPr>
          <w:rFonts w:ascii="Calibri" w:eastAsia="標楷體" w:hAnsi="Calibri" w:cs="標楷體" w:hint="eastAsia"/>
          <w:color w:val="000000" w:themeColor="text1"/>
          <w:sz w:val="30"/>
          <w:szCs w:val="30"/>
        </w:rPr>
        <w:t>經濟部</w:t>
      </w:r>
      <w:r w:rsidR="00440B5D" w:rsidRPr="00440B5D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(</w:t>
      </w:r>
      <w:r w:rsidR="00B57521" w:rsidRPr="00440B5D">
        <w:rPr>
          <w:rFonts w:ascii="標楷體" w:eastAsia="標楷體" w:hAnsi="標楷體" w:cs="標楷體" w:hint="eastAsia"/>
          <w:color w:val="000000" w:themeColor="text1"/>
          <w:sz w:val="30"/>
          <w:szCs w:val="30"/>
        </w:rPr>
        <w:t>水利署</w:t>
      </w:r>
      <w:r w:rsidR="00440B5D" w:rsidRPr="00440B5D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>)</w:t>
      </w:r>
      <w:r w:rsidR="00517006" w:rsidRPr="00A341A2">
        <w:rPr>
          <w:rFonts w:ascii="Calibri" w:eastAsia="標楷體" w:hAnsi="Calibri" w:cs="標楷體" w:hint="eastAsia"/>
          <w:sz w:val="30"/>
          <w:szCs w:val="30"/>
        </w:rPr>
        <w:t>送</w:t>
      </w:r>
      <w:r w:rsidR="000423B0" w:rsidRPr="00A341A2">
        <w:rPr>
          <w:rFonts w:ascii="Calibri" w:eastAsia="標楷體" w:hAnsi="Calibri" w:cs="標楷體" w:hint="eastAsia"/>
          <w:sz w:val="30"/>
          <w:szCs w:val="30"/>
        </w:rPr>
        <w:t>交</w:t>
      </w:r>
      <w:r w:rsidRPr="00A341A2">
        <w:rPr>
          <w:rFonts w:ascii="Calibri" w:eastAsia="標楷體" w:hAnsi="Calibri" w:cs="標楷體" w:hint="eastAsia"/>
          <w:color w:val="000000"/>
          <w:sz w:val="30"/>
          <w:szCs w:val="30"/>
        </w:rPr>
        <w:t>實務訓練機關</w:t>
      </w:r>
      <w:r w:rsidR="00440B5D" w:rsidRPr="00440B5D">
        <w:rPr>
          <w:rFonts w:ascii="標楷體" w:eastAsia="標楷體" w:hAnsi="標楷體" w:cs="標楷體" w:hint="eastAsia"/>
          <w:color w:val="000000"/>
          <w:sz w:val="30"/>
          <w:szCs w:val="30"/>
        </w:rPr>
        <w:t>(構)</w:t>
      </w:r>
      <w:r w:rsidRPr="00A341A2">
        <w:rPr>
          <w:rFonts w:ascii="Calibri" w:eastAsia="標楷體" w:hAnsi="Calibri" w:cs="標楷體" w:hint="eastAsia"/>
          <w:color w:val="000000"/>
          <w:sz w:val="30"/>
          <w:szCs w:val="30"/>
        </w:rPr>
        <w:t>學校，作為實務訓練成績考核之參據。</w:t>
      </w:r>
    </w:p>
    <w:p w:rsidR="00A341A2" w:rsidRPr="00A341A2" w:rsidRDefault="00B57521" w:rsidP="00A341A2">
      <w:pPr>
        <w:spacing w:before="50" w:line="500" w:lineRule="exact"/>
        <w:ind w:leftChars="150" w:left="96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>四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、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於訓練期程中，安排5至10分鐘之開</w:t>
      </w:r>
      <w:r w:rsidR="00A341A2" w:rsidRPr="00A341A2">
        <w:rPr>
          <w:rFonts w:ascii="新細明體" w:eastAsia="新細明體" w:hAnsi="新細明體" w:cs="Times New Roman" w:hint="eastAsia"/>
          <w:color w:val="000000"/>
          <w:sz w:val="30"/>
          <w:szCs w:val="30"/>
        </w:rPr>
        <w:t>、</w:t>
      </w:r>
      <w:r w:rsidR="00A341A2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結訓儀式。</w:t>
      </w:r>
    </w:p>
    <w:p w:rsidR="002824BC" w:rsidRPr="00A341A2" w:rsidRDefault="00A341A2" w:rsidP="00A341A2">
      <w:pPr>
        <w:spacing w:before="50" w:line="500" w:lineRule="exact"/>
        <w:ind w:leftChars="150" w:left="96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五</w:t>
      </w:r>
      <w:r w:rsidRPr="00A341A2">
        <w:rPr>
          <w:rFonts w:ascii="新細明體" w:eastAsia="新細明體" w:hAnsi="新細明體" w:cs="Times New Roman" w:hint="eastAsia"/>
          <w:color w:val="000000"/>
          <w:sz w:val="30"/>
          <w:szCs w:val="30"/>
        </w:rPr>
        <w:t>、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辦理訓後意見調查</w:t>
      </w:r>
      <w:r w:rsidR="00440B5D">
        <w:rPr>
          <w:rFonts w:ascii="標楷體" w:eastAsia="標楷體" w:hAnsi="標楷體" w:cs="Times New Roman" w:hint="eastAsia"/>
          <w:color w:val="000000"/>
          <w:sz w:val="30"/>
          <w:szCs w:val="30"/>
        </w:rPr>
        <w:t>(如附件)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，並於結訓後</w:t>
      </w:r>
      <w:r w:rsidR="002824BC" w:rsidRPr="00A341A2">
        <w:rPr>
          <w:rFonts w:ascii="標楷體" w:eastAsia="標楷體" w:hAnsi="標楷體" w:cs="Times New Roman" w:hint="eastAsia"/>
          <w:sz w:val="30"/>
          <w:szCs w:val="30"/>
        </w:rPr>
        <w:t>1</w:t>
      </w:r>
      <w:r w:rsidR="009E78BC" w:rsidRPr="00A341A2">
        <w:rPr>
          <w:rFonts w:ascii="標楷體" w:eastAsia="標楷體" w:hAnsi="標楷體" w:cs="Times New Roman" w:hint="eastAsia"/>
          <w:sz w:val="30"/>
          <w:szCs w:val="30"/>
        </w:rPr>
        <w:t>週</w:t>
      </w:r>
      <w:r w:rsidR="002824BC" w:rsidRPr="00A341A2">
        <w:rPr>
          <w:rFonts w:ascii="標楷體" w:eastAsia="標楷體" w:hAnsi="標楷體" w:cs="Times New Roman" w:hint="eastAsia"/>
          <w:sz w:val="30"/>
          <w:szCs w:val="30"/>
        </w:rPr>
        <w:t>內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將調查結果</w:t>
      </w:r>
      <w:r w:rsidR="000423B0" w:rsidRPr="00A341A2">
        <w:rPr>
          <w:rFonts w:ascii="標楷體" w:eastAsia="標楷體" w:hAnsi="標楷體" w:cs="Times New Roman" w:hint="eastAsia"/>
          <w:sz w:val="30"/>
          <w:szCs w:val="30"/>
        </w:rPr>
        <w:t>郵寄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保</w:t>
      </w:r>
      <w:r w:rsidR="002824BC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lastRenderedPageBreak/>
        <w:t>訓會，以利瞭解學員反應。</w:t>
      </w:r>
    </w:p>
    <w:p w:rsidR="002824BC" w:rsidRPr="00A341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柒、訓練經費</w:t>
      </w:r>
    </w:p>
    <w:p w:rsidR="002824BC" w:rsidRPr="00A341A2" w:rsidRDefault="002824BC" w:rsidP="00A341A2">
      <w:pPr>
        <w:spacing w:before="50"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   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所需經費，</w:t>
      </w:r>
      <w:r w:rsidR="007E1C98" w:rsidRPr="00726F0C">
        <w:rPr>
          <w:rFonts w:ascii="標楷體" w:eastAsia="標楷體" w:hAnsi="標楷體" w:cs="Times New Roman" w:hint="eastAsia"/>
          <w:sz w:val="30"/>
          <w:szCs w:val="30"/>
        </w:rPr>
        <w:t>由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經濟部</w:t>
      </w:r>
      <w:r w:rsidR="00440B5D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水利署</w:t>
      </w:r>
      <w:r w:rsidR="00440B5D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向受訓人員之實務訓練機關收取費用。</w:t>
      </w:r>
    </w:p>
    <w:p w:rsidR="002824BC" w:rsidRPr="00A341A2" w:rsidRDefault="002824BC" w:rsidP="00A341A2">
      <w:pPr>
        <w:spacing w:before="50"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捌、獎勵建議</w:t>
      </w:r>
      <w:bookmarkStart w:id="0" w:name="_GoBack"/>
      <w:bookmarkEnd w:id="0"/>
    </w:p>
    <w:p w:rsidR="002824BC" w:rsidRPr="00A341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辦理集中實務訓練之人員，除未依規定辦理績效不佳者外，得</w:t>
      </w:r>
      <w:r w:rsidR="001B0DE2" w:rsidRPr="00A341A2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>酌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予敘獎。</w:t>
      </w:r>
    </w:p>
    <w:p w:rsidR="002824BC" w:rsidRPr="002824BC" w:rsidRDefault="002824BC" w:rsidP="00A341A2">
      <w:pPr>
        <w:spacing w:before="50" w:after="50" w:line="500" w:lineRule="exact"/>
        <w:ind w:left="600" w:hangingChars="200" w:hanging="600"/>
        <w:jc w:val="both"/>
        <w:rPr>
          <w:rFonts w:ascii="標楷體" w:eastAsia="標楷體" w:hAnsi="標楷體" w:cs="Times New Roman"/>
          <w:color w:val="000000"/>
          <w:sz w:val="32"/>
        </w:rPr>
      </w:pP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玖、本計畫由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經濟部</w:t>
      </w:r>
      <w:r w:rsidR="00440B5D">
        <w:rPr>
          <w:rFonts w:ascii="標楷體" w:eastAsia="標楷體" w:hAnsi="標楷體" w:cs="Times New Roman" w:hint="eastAsia"/>
          <w:color w:val="000000"/>
          <w:sz w:val="30"/>
          <w:szCs w:val="30"/>
        </w:rPr>
        <w:t>(</w:t>
      </w:r>
      <w:r w:rsidR="00677EC0"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水利署</w:t>
      </w:r>
      <w:r w:rsidR="00440B5D">
        <w:rPr>
          <w:rFonts w:ascii="標楷體" w:eastAsia="標楷體" w:hAnsi="標楷體" w:cs="Times New Roman" w:hint="eastAsia"/>
          <w:color w:val="000000"/>
          <w:sz w:val="30"/>
          <w:szCs w:val="30"/>
        </w:rPr>
        <w:t>)</w:t>
      </w:r>
      <w:r w:rsidRPr="00A341A2">
        <w:rPr>
          <w:rFonts w:ascii="標楷體" w:eastAsia="標楷體" w:hAnsi="標楷體" w:cs="Times New Roman" w:hint="eastAsia"/>
          <w:color w:val="000000"/>
          <w:sz w:val="30"/>
          <w:szCs w:val="30"/>
        </w:rPr>
        <w:t>函送保訓會核定後實施，並得依實際需要修正之。</w:t>
      </w:r>
    </w:p>
    <w:p w:rsidR="00345124" w:rsidRDefault="00345124" w:rsidP="00345124">
      <w:pPr>
        <w:widowControl/>
      </w:pPr>
      <w:r>
        <w:br w:type="page"/>
      </w:r>
    </w:p>
    <w:p w:rsidR="00345124" w:rsidRPr="002824BC" w:rsidRDefault="00345124" w:rsidP="00345124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546F" wp14:editId="15BE27BA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Pr="00A236AF" w:rsidRDefault="00345124" w:rsidP="003451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546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345124" w:rsidRPr="00A236AF" w:rsidRDefault="00345124" w:rsidP="003451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A341A2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345124" w:rsidRPr="002824BC" w:rsidRDefault="00345124" w:rsidP="00345124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水利工程</w:t>
      </w:r>
      <w:r w:rsidR="007E1C98">
        <w:rPr>
          <w:rFonts w:ascii="標楷體" w:eastAsia="標楷體" w:hAnsi="標楷體" w:cs="Times New Roman" w:hint="eastAsia"/>
          <w:sz w:val="32"/>
          <w:szCs w:val="32"/>
        </w:rPr>
        <w:t>及港灣工程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345124" w:rsidRPr="002824BC" w:rsidTr="00010CF8">
        <w:trPr>
          <w:trHeight w:val="2485"/>
        </w:trPr>
        <w:tc>
          <w:tcPr>
            <w:tcW w:w="9540" w:type="dxa"/>
          </w:tcPr>
          <w:p w:rsidR="00345124" w:rsidRPr="002824BC" w:rsidRDefault="00345124" w:rsidP="00010CF8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345124" w:rsidRPr="002824BC" w:rsidRDefault="00345124" w:rsidP="007E1C9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A341A2"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345124" w:rsidRPr="002824BC" w:rsidRDefault="00345124" w:rsidP="007E1C9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A341A2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345124" w:rsidRPr="002824BC" w:rsidRDefault="00345124" w:rsidP="00010CF8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345124" w:rsidTr="00010CF8">
        <w:trPr>
          <w:trHeight w:val="1472"/>
        </w:trPr>
        <w:tc>
          <w:tcPr>
            <w:tcW w:w="7162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9547" w:type="dxa"/>
            <w:gridSpan w:val="6"/>
            <w:vAlign w:val="center"/>
          </w:tcPr>
          <w:p w:rsidR="00345124" w:rsidRPr="002252B1" w:rsidRDefault="00345124" w:rsidP="00010CF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345124" w:rsidRPr="002824BC" w:rsidRDefault="00345124" w:rsidP="0034512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345124" w:rsidRPr="002824BC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345124" w:rsidRPr="002824BC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345124" w:rsidRPr="00345124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6D8B9" wp14:editId="10B4F5FF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Default="00345124" w:rsidP="0034512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D8B9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345124" w:rsidRDefault="00345124" w:rsidP="0034512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345124" w:rsidRPr="00345124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1F" w:rsidRDefault="00854E1F" w:rsidP="008E096D">
      <w:r>
        <w:separator/>
      </w:r>
    </w:p>
  </w:endnote>
  <w:endnote w:type="continuationSeparator" w:id="0">
    <w:p w:rsidR="00854E1F" w:rsidRDefault="00854E1F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1F" w:rsidRDefault="00854E1F" w:rsidP="008E096D">
      <w:r>
        <w:separator/>
      </w:r>
    </w:p>
  </w:footnote>
  <w:footnote w:type="continuationSeparator" w:id="0">
    <w:p w:rsidR="00854E1F" w:rsidRDefault="00854E1F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7BCF"/>
    <w:rsid w:val="000423B0"/>
    <w:rsid w:val="0005340F"/>
    <w:rsid w:val="000B0394"/>
    <w:rsid w:val="00186EDC"/>
    <w:rsid w:val="00192253"/>
    <w:rsid w:val="00193CE9"/>
    <w:rsid w:val="001B0DE2"/>
    <w:rsid w:val="001E1BB3"/>
    <w:rsid w:val="002079B9"/>
    <w:rsid w:val="00220233"/>
    <w:rsid w:val="002252B1"/>
    <w:rsid w:val="00257FBE"/>
    <w:rsid w:val="002824BC"/>
    <w:rsid w:val="002834D5"/>
    <w:rsid w:val="002C69F3"/>
    <w:rsid w:val="002D3C1F"/>
    <w:rsid w:val="002E054F"/>
    <w:rsid w:val="00311F1E"/>
    <w:rsid w:val="00345124"/>
    <w:rsid w:val="003531D4"/>
    <w:rsid w:val="00354A44"/>
    <w:rsid w:val="003614DB"/>
    <w:rsid w:val="003D23DA"/>
    <w:rsid w:val="003F3365"/>
    <w:rsid w:val="00440B5D"/>
    <w:rsid w:val="004A4F4E"/>
    <w:rsid w:val="004E282D"/>
    <w:rsid w:val="00517006"/>
    <w:rsid w:val="00526560"/>
    <w:rsid w:val="00536AE4"/>
    <w:rsid w:val="005619B4"/>
    <w:rsid w:val="00566254"/>
    <w:rsid w:val="0058372D"/>
    <w:rsid w:val="005E654D"/>
    <w:rsid w:val="00641AA6"/>
    <w:rsid w:val="00677EC0"/>
    <w:rsid w:val="00694FB5"/>
    <w:rsid w:val="006C426F"/>
    <w:rsid w:val="006D0CC2"/>
    <w:rsid w:val="006E465E"/>
    <w:rsid w:val="00726F0C"/>
    <w:rsid w:val="007875A9"/>
    <w:rsid w:val="007B1A8F"/>
    <w:rsid w:val="007C251A"/>
    <w:rsid w:val="007C7116"/>
    <w:rsid w:val="007D7589"/>
    <w:rsid w:val="007E1C98"/>
    <w:rsid w:val="00805619"/>
    <w:rsid w:val="00806B70"/>
    <w:rsid w:val="0080720C"/>
    <w:rsid w:val="00854E1F"/>
    <w:rsid w:val="00855A96"/>
    <w:rsid w:val="008B139B"/>
    <w:rsid w:val="008E096D"/>
    <w:rsid w:val="008E32C0"/>
    <w:rsid w:val="00920BFB"/>
    <w:rsid w:val="00992305"/>
    <w:rsid w:val="009B2B37"/>
    <w:rsid w:val="009D3734"/>
    <w:rsid w:val="009E78BC"/>
    <w:rsid w:val="009F468F"/>
    <w:rsid w:val="00A156EF"/>
    <w:rsid w:val="00A2517D"/>
    <w:rsid w:val="00A341A2"/>
    <w:rsid w:val="00A6405F"/>
    <w:rsid w:val="00AC0403"/>
    <w:rsid w:val="00AD27A2"/>
    <w:rsid w:val="00B00325"/>
    <w:rsid w:val="00B57521"/>
    <w:rsid w:val="00B63B33"/>
    <w:rsid w:val="00BB15B1"/>
    <w:rsid w:val="00C64558"/>
    <w:rsid w:val="00C746C1"/>
    <w:rsid w:val="00C805DC"/>
    <w:rsid w:val="00C94AEF"/>
    <w:rsid w:val="00CB5031"/>
    <w:rsid w:val="00D15876"/>
    <w:rsid w:val="00D83C16"/>
    <w:rsid w:val="00D87523"/>
    <w:rsid w:val="00E12497"/>
    <w:rsid w:val="00E31253"/>
    <w:rsid w:val="00E362A4"/>
    <w:rsid w:val="00E44F65"/>
    <w:rsid w:val="00E63ADF"/>
    <w:rsid w:val="00E76ADB"/>
    <w:rsid w:val="00EE079F"/>
    <w:rsid w:val="00EF14BF"/>
    <w:rsid w:val="00F533A9"/>
    <w:rsid w:val="00F55905"/>
    <w:rsid w:val="00FA2D99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D1B03-E8C9-4100-9081-347E9E4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8D26-D673-4CEC-A439-4562F64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Company>WRA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3</cp:revision>
  <cp:lastPrinted>2019-09-17T05:49:00Z</cp:lastPrinted>
  <dcterms:created xsi:type="dcterms:W3CDTF">2019-09-17T05:49:00Z</dcterms:created>
  <dcterms:modified xsi:type="dcterms:W3CDTF">2019-09-17T05:50:00Z</dcterms:modified>
</cp:coreProperties>
</file>