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8D" w:rsidRDefault="00EF3B0A" w:rsidP="00F53A84">
      <w:pPr>
        <w:pStyle w:val="Standard"/>
        <w:spacing w:line="480" w:lineRule="exact"/>
        <w:jc w:val="center"/>
        <w:rPr>
          <w:b/>
          <w:bCs/>
          <w:sz w:val="40"/>
          <w:szCs w:val="40"/>
        </w:rPr>
      </w:pPr>
      <w:r>
        <w:rPr>
          <w:b/>
          <w:bCs/>
          <w:sz w:val="40"/>
          <w:szCs w:val="40"/>
        </w:rPr>
        <w:t>公務人員特種考試移民行政人員考試錄取人員專業訓練體技及體能訓練成績考核規定</w:t>
      </w:r>
    </w:p>
    <w:p w:rsidR="00E6438D" w:rsidRDefault="00EF3B0A">
      <w:pPr>
        <w:pStyle w:val="Standard"/>
        <w:widowControl/>
        <w:spacing w:line="400" w:lineRule="exact"/>
        <w:jc w:val="right"/>
        <w:rPr>
          <w:kern w:val="0"/>
          <w:szCs w:val="28"/>
        </w:rPr>
      </w:pPr>
      <w:r>
        <w:rPr>
          <w:kern w:val="0"/>
          <w:szCs w:val="28"/>
        </w:rPr>
        <w:t>民國</w:t>
      </w:r>
      <w:r>
        <w:rPr>
          <w:color w:val="000000"/>
          <w:kern w:val="0"/>
          <w:szCs w:val="28"/>
        </w:rPr>
        <w:t>111</w:t>
      </w:r>
      <w:r>
        <w:rPr>
          <w:kern w:val="0"/>
          <w:szCs w:val="28"/>
        </w:rPr>
        <w:t>年</w:t>
      </w:r>
      <w:r w:rsidR="003073B3">
        <w:rPr>
          <w:color w:val="000000"/>
          <w:kern w:val="0"/>
          <w:szCs w:val="28"/>
        </w:rPr>
        <w:t>12</w:t>
      </w:r>
      <w:r>
        <w:rPr>
          <w:color w:val="000000"/>
          <w:kern w:val="0"/>
          <w:szCs w:val="28"/>
        </w:rPr>
        <w:t>月</w:t>
      </w:r>
      <w:r w:rsidR="00874C2F">
        <w:rPr>
          <w:color w:val="000000"/>
          <w:kern w:val="0"/>
          <w:szCs w:val="28"/>
        </w:rPr>
        <w:t>21</w:t>
      </w:r>
      <w:r>
        <w:rPr>
          <w:kern w:val="0"/>
          <w:szCs w:val="28"/>
        </w:rPr>
        <w:t>日</w:t>
      </w:r>
    </w:p>
    <w:p w:rsidR="00E6438D" w:rsidRDefault="00EF3B0A">
      <w:pPr>
        <w:pStyle w:val="Standard"/>
        <w:snapToGrid w:val="0"/>
        <w:jc w:val="right"/>
      </w:pPr>
      <w:r>
        <w:rPr>
          <w:kern w:val="0"/>
          <w:szCs w:val="28"/>
        </w:rPr>
        <w:t>保訓會</w:t>
      </w:r>
      <w:proofErr w:type="gramStart"/>
      <w:r>
        <w:rPr>
          <w:kern w:val="0"/>
          <w:szCs w:val="28"/>
        </w:rPr>
        <w:t>公訓字第</w:t>
      </w:r>
      <w:r w:rsidR="00756029">
        <w:rPr>
          <w:kern w:val="0"/>
          <w:szCs w:val="28"/>
        </w:rPr>
        <w:t>11100</w:t>
      </w:r>
      <w:r w:rsidR="00756029" w:rsidRPr="009C0195">
        <w:rPr>
          <w:kern w:val="0"/>
          <w:szCs w:val="28"/>
        </w:rPr>
        <w:t>14494</w:t>
      </w:r>
      <w:r>
        <w:rPr>
          <w:kern w:val="0"/>
          <w:szCs w:val="28"/>
        </w:rPr>
        <w:t>號</w:t>
      </w:r>
      <w:proofErr w:type="gramEnd"/>
      <w:r>
        <w:rPr>
          <w:kern w:val="0"/>
          <w:szCs w:val="28"/>
        </w:rPr>
        <w:t>函核定</w:t>
      </w:r>
    </w:p>
    <w:p w:rsidR="00E6438D" w:rsidRPr="00756029" w:rsidRDefault="00EF3B0A" w:rsidP="003073B3">
      <w:pPr>
        <w:pStyle w:val="Standard"/>
        <w:numPr>
          <w:ilvl w:val="0"/>
          <w:numId w:val="18"/>
        </w:numPr>
        <w:spacing w:line="480" w:lineRule="exact"/>
        <w:jc w:val="both"/>
        <w:rPr>
          <w:szCs w:val="28"/>
        </w:rPr>
      </w:pPr>
      <w:r>
        <w:rPr>
          <w:szCs w:val="28"/>
        </w:rPr>
        <w:t>為規範公務人員特種考試移民行政人員考試錄取人員專業訓練</w:t>
      </w:r>
      <w:r w:rsidRPr="00756029">
        <w:rPr>
          <w:szCs w:val="28"/>
        </w:rPr>
        <w:t>體技及體能訓練</w:t>
      </w:r>
      <w:r w:rsidR="001430F5" w:rsidRPr="00756029">
        <w:rPr>
          <w:szCs w:val="28"/>
        </w:rPr>
        <w:t>成績</w:t>
      </w:r>
      <w:r w:rsidRPr="00756029">
        <w:rPr>
          <w:szCs w:val="28"/>
        </w:rPr>
        <w:t>考核事宜，特訂定本規定。</w:t>
      </w:r>
    </w:p>
    <w:p w:rsidR="00E75F0D" w:rsidRPr="00756029" w:rsidRDefault="00E75F0D" w:rsidP="003073B3">
      <w:pPr>
        <w:pStyle w:val="Standard"/>
        <w:numPr>
          <w:ilvl w:val="0"/>
          <w:numId w:val="2"/>
        </w:numPr>
        <w:spacing w:line="480" w:lineRule="exact"/>
        <w:jc w:val="both"/>
      </w:pPr>
      <w:r w:rsidRPr="00756029">
        <w:rPr>
          <w:rFonts w:hint="eastAsia"/>
        </w:rPr>
        <w:t>受訓人員體技及體能訓練成績</w:t>
      </w:r>
      <w:r w:rsidR="00AE0E11" w:rsidRPr="006E10EE">
        <w:rPr>
          <w:rFonts w:hint="eastAsia"/>
        </w:rPr>
        <w:t>以</w:t>
      </w:r>
      <w:r w:rsidRPr="00756029">
        <w:rPr>
          <w:rFonts w:hint="eastAsia"/>
        </w:rPr>
        <w:t>一百分為滿分，六十分為及格，未滿六十分為不及格，不及格者依規定由內政部函送公務人員保障暨培訓委員會(以下簡稱保訓會)廢止受訓資格。</w:t>
      </w:r>
    </w:p>
    <w:p w:rsidR="00E6438D" w:rsidRPr="00756029" w:rsidRDefault="00EF3B0A" w:rsidP="003073B3">
      <w:pPr>
        <w:pStyle w:val="Standard"/>
        <w:numPr>
          <w:ilvl w:val="0"/>
          <w:numId w:val="2"/>
        </w:numPr>
        <w:spacing w:line="480" w:lineRule="exact"/>
        <w:jc w:val="both"/>
      </w:pPr>
      <w:r w:rsidRPr="00756029">
        <w:rPr>
          <w:szCs w:val="28"/>
        </w:rPr>
        <w:t>體技及體能訓練由任課教官評定成績，</w:t>
      </w:r>
      <w:r w:rsidR="00A35D62" w:rsidRPr="00756029">
        <w:rPr>
          <w:szCs w:val="28"/>
        </w:rPr>
        <w:t>其計算至</w:t>
      </w:r>
      <w:r w:rsidR="00E75F0D" w:rsidRPr="00756029">
        <w:rPr>
          <w:rFonts w:hint="eastAsia"/>
          <w:szCs w:val="28"/>
        </w:rPr>
        <w:t>小數</w:t>
      </w:r>
      <w:r w:rsidR="00A35D62" w:rsidRPr="00756029">
        <w:rPr>
          <w:rFonts w:hint="eastAsia"/>
          <w:szCs w:val="28"/>
        </w:rPr>
        <w:t>點</w:t>
      </w:r>
      <w:r w:rsidR="00E75F0D" w:rsidRPr="00756029">
        <w:rPr>
          <w:rFonts w:hint="eastAsia"/>
          <w:szCs w:val="28"/>
        </w:rPr>
        <w:t>第二位，</w:t>
      </w:r>
      <w:r w:rsidR="00A35D62" w:rsidRPr="00756029">
        <w:rPr>
          <w:rFonts w:hint="eastAsia"/>
          <w:szCs w:val="28"/>
        </w:rPr>
        <w:t>小數點第三位</w:t>
      </w:r>
      <w:proofErr w:type="gramStart"/>
      <w:r w:rsidR="00A35D62" w:rsidRPr="00756029">
        <w:rPr>
          <w:rFonts w:hint="eastAsia"/>
          <w:szCs w:val="28"/>
        </w:rPr>
        <w:t>採</w:t>
      </w:r>
      <w:proofErr w:type="gramEnd"/>
      <w:r w:rsidR="00E75F0D" w:rsidRPr="00756029">
        <w:rPr>
          <w:rFonts w:hint="eastAsia"/>
          <w:szCs w:val="28"/>
        </w:rPr>
        <w:t>四捨五入</w:t>
      </w:r>
      <w:r w:rsidR="00A35D62" w:rsidRPr="00756029">
        <w:rPr>
          <w:rFonts w:hint="eastAsia"/>
          <w:szCs w:val="28"/>
        </w:rPr>
        <w:t>方式計算</w:t>
      </w:r>
      <w:r w:rsidR="00E75F0D" w:rsidRPr="00756029">
        <w:rPr>
          <w:rFonts w:hint="eastAsia"/>
          <w:szCs w:val="28"/>
        </w:rPr>
        <w:t>。</w:t>
      </w:r>
      <w:r w:rsidRPr="00756029">
        <w:rPr>
          <w:szCs w:val="28"/>
        </w:rPr>
        <w:t>測驗項目及成績比例分配如下：</w:t>
      </w:r>
    </w:p>
    <w:p w:rsidR="00E6438D" w:rsidRDefault="00EF3B0A" w:rsidP="003073B3">
      <w:pPr>
        <w:pStyle w:val="a5"/>
        <w:numPr>
          <w:ilvl w:val="0"/>
          <w:numId w:val="19"/>
        </w:numPr>
        <w:spacing w:line="480" w:lineRule="exact"/>
        <w:jc w:val="both"/>
        <w:rPr>
          <w:szCs w:val="28"/>
        </w:rPr>
      </w:pPr>
      <w:r>
        <w:rPr>
          <w:szCs w:val="28"/>
        </w:rPr>
        <w:t>縮短專業訓練</w:t>
      </w:r>
      <w:r w:rsidR="00756029">
        <w:rPr>
          <w:szCs w:val="28"/>
        </w:rPr>
        <w:t>：</w:t>
      </w:r>
    </w:p>
    <w:p w:rsidR="00E6438D" w:rsidRPr="00756029" w:rsidRDefault="00EF3B0A" w:rsidP="003073B3">
      <w:pPr>
        <w:pStyle w:val="a5"/>
        <w:spacing w:line="480" w:lineRule="exact"/>
        <w:ind w:left="1587"/>
        <w:jc w:val="both"/>
      </w:pPr>
      <w:r w:rsidRPr="00756029">
        <w:rPr>
          <w:szCs w:val="28"/>
        </w:rPr>
        <w:t>1、</w:t>
      </w:r>
      <w:r w:rsidRPr="00756029">
        <w:t>綜合逮捕術</w:t>
      </w:r>
      <w:r w:rsidR="00641F4B" w:rsidRPr="00756029">
        <w:rPr>
          <w:szCs w:val="28"/>
        </w:rPr>
        <w:t>：占</w:t>
      </w:r>
      <w:r w:rsidRPr="00756029">
        <w:t>百分之五十。</w:t>
      </w:r>
    </w:p>
    <w:p w:rsidR="00E6438D" w:rsidRPr="00756029" w:rsidRDefault="00EF3B0A" w:rsidP="003073B3">
      <w:pPr>
        <w:pStyle w:val="a5"/>
        <w:spacing w:line="480" w:lineRule="exact"/>
        <w:ind w:left="1587"/>
        <w:jc w:val="both"/>
      </w:pPr>
      <w:r w:rsidRPr="00756029">
        <w:t>2、</w:t>
      </w:r>
      <w:r w:rsidRPr="00756029">
        <w:rPr>
          <w:szCs w:val="28"/>
        </w:rPr>
        <w:t>射擊</w:t>
      </w:r>
      <w:r w:rsidR="00641F4B" w:rsidRPr="00756029">
        <w:rPr>
          <w:szCs w:val="28"/>
        </w:rPr>
        <w:t>：占</w:t>
      </w:r>
      <w:r w:rsidRPr="00756029">
        <w:rPr>
          <w:szCs w:val="28"/>
        </w:rPr>
        <w:t>百分之五十。</w:t>
      </w:r>
    </w:p>
    <w:p w:rsidR="00E6438D" w:rsidRPr="00756029" w:rsidRDefault="00EF3B0A" w:rsidP="003073B3">
      <w:pPr>
        <w:pStyle w:val="a5"/>
        <w:numPr>
          <w:ilvl w:val="0"/>
          <w:numId w:val="6"/>
        </w:numPr>
        <w:spacing w:line="480" w:lineRule="exact"/>
        <w:jc w:val="both"/>
        <w:rPr>
          <w:szCs w:val="28"/>
        </w:rPr>
      </w:pPr>
      <w:r w:rsidRPr="00756029">
        <w:rPr>
          <w:szCs w:val="28"/>
        </w:rPr>
        <w:t>二、三、四等</w:t>
      </w:r>
      <w:r w:rsidR="00756029" w:rsidRPr="00756029">
        <w:rPr>
          <w:szCs w:val="28"/>
        </w:rPr>
        <w:t>：</w:t>
      </w:r>
    </w:p>
    <w:p w:rsidR="00E6438D" w:rsidRPr="00756029" w:rsidRDefault="00EF3B0A" w:rsidP="003073B3">
      <w:pPr>
        <w:pStyle w:val="a5"/>
        <w:spacing w:line="480" w:lineRule="exact"/>
        <w:ind w:left="1587"/>
        <w:jc w:val="both"/>
        <w:rPr>
          <w:szCs w:val="28"/>
        </w:rPr>
      </w:pPr>
      <w:r w:rsidRPr="00756029">
        <w:rPr>
          <w:szCs w:val="28"/>
        </w:rPr>
        <w:t>1、綜合逮捕術</w:t>
      </w:r>
      <w:r w:rsidR="00641F4B" w:rsidRPr="00756029">
        <w:rPr>
          <w:szCs w:val="28"/>
        </w:rPr>
        <w:t>：占</w:t>
      </w:r>
      <w:r w:rsidRPr="00756029">
        <w:rPr>
          <w:szCs w:val="28"/>
        </w:rPr>
        <w:t>百分之二十五。</w:t>
      </w:r>
    </w:p>
    <w:p w:rsidR="00E6438D" w:rsidRPr="00756029" w:rsidRDefault="00EF3B0A" w:rsidP="003073B3">
      <w:pPr>
        <w:pStyle w:val="a5"/>
        <w:spacing w:line="480" w:lineRule="exact"/>
        <w:ind w:left="1587"/>
        <w:jc w:val="both"/>
        <w:rPr>
          <w:szCs w:val="28"/>
        </w:rPr>
      </w:pPr>
      <w:r w:rsidRPr="00756029">
        <w:rPr>
          <w:szCs w:val="28"/>
        </w:rPr>
        <w:t>2、射擊</w:t>
      </w:r>
      <w:r w:rsidR="00641F4B" w:rsidRPr="00756029">
        <w:rPr>
          <w:szCs w:val="28"/>
        </w:rPr>
        <w:t>：占</w:t>
      </w:r>
      <w:r w:rsidRPr="00756029">
        <w:rPr>
          <w:szCs w:val="28"/>
        </w:rPr>
        <w:t>百分之二十五。</w:t>
      </w:r>
    </w:p>
    <w:p w:rsidR="00E6438D" w:rsidRPr="00756029" w:rsidRDefault="00EF3B0A" w:rsidP="003073B3">
      <w:pPr>
        <w:pStyle w:val="a5"/>
        <w:spacing w:line="480" w:lineRule="exact"/>
        <w:ind w:left="1587"/>
        <w:jc w:val="both"/>
        <w:rPr>
          <w:szCs w:val="28"/>
        </w:rPr>
      </w:pPr>
      <w:r w:rsidRPr="00756029">
        <w:rPr>
          <w:szCs w:val="28"/>
        </w:rPr>
        <w:t>3、三千公尺跑步</w:t>
      </w:r>
      <w:r w:rsidR="00641F4B" w:rsidRPr="00756029">
        <w:rPr>
          <w:szCs w:val="28"/>
        </w:rPr>
        <w:t>：占</w:t>
      </w:r>
      <w:r w:rsidRPr="00756029">
        <w:rPr>
          <w:szCs w:val="28"/>
        </w:rPr>
        <w:t>百分之二十五。</w:t>
      </w:r>
    </w:p>
    <w:p w:rsidR="00E6438D" w:rsidRPr="00756029" w:rsidRDefault="00EF3B0A" w:rsidP="003073B3">
      <w:pPr>
        <w:pStyle w:val="a5"/>
        <w:spacing w:line="480" w:lineRule="exact"/>
        <w:ind w:left="1587"/>
        <w:jc w:val="both"/>
        <w:rPr>
          <w:szCs w:val="28"/>
        </w:rPr>
      </w:pPr>
      <w:r w:rsidRPr="00756029">
        <w:rPr>
          <w:szCs w:val="28"/>
        </w:rPr>
        <w:t>4、四乘二十五公尺折返跑</w:t>
      </w:r>
      <w:r w:rsidR="00641F4B" w:rsidRPr="00756029">
        <w:rPr>
          <w:szCs w:val="28"/>
        </w:rPr>
        <w:t>：占</w:t>
      </w:r>
      <w:r w:rsidRPr="00756029">
        <w:rPr>
          <w:szCs w:val="28"/>
        </w:rPr>
        <w:t>百分之二十五。</w:t>
      </w:r>
    </w:p>
    <w:p w:rsidR="00E6438D" w:rsidRDefault="00EF3B0A" w:rsidP="003073B3">
      <w:pPr>
        <w:pStyle w:val="Standard"/>
        <w:numPr>
          <w:ilvl w:val="0"/>
          <w:numId w:val="2"/>
        </w:numPr>
        <w:spacing w:line="480" w:lineRule="exact"/>
        <w:jc w:val="both"/>
        <w:rPr>
          <w:szCs w:val="28"/>
        </w:rPr>
      </w:pPr>
      <w:r>
        <w:rPr>
          <w:szCs w:val="28"/>
        </w:rPr>
        <w:t>各測驗項目成績考核方式如下：</w:t>
      </w:r>
    </w:p>
    <w:p w:rsidR="00E6438D" w:rsidRDefault="00EF3B0A" w:rsidP="003073B3">
      <w:pPr>
        <w:pStyle w:val="Standard"/>
        <w:numPr>
          <w:ilvl w:val="0"/>
          <w:numId w:val="20"/>
        </w:numPr>
        <w:spacing w:line="480" w:lineRule="exact"/>
        <w:jc w:val="both"/>
        <w:rPr>
          <w:szCs w:val="28"/>
        </w:rPr>
      </w:pPr>
      <w:r>
        <w:rPr>
          <w:szCs w:val="28"/>
        </w:rPr>
        <w:t>綜合逮捕術：</w:t>
      </w:r>
    </w:p>
    <w:p w:rsidR="00E6438D" w:rsidRDefault="00EF3B0A" w:rsidP="003073B3">
      <w:pPr>
        <w:pStyle w:val="Standard"/>
        <w:spacing w:line="480" w:lineRule="exact"/>
        <w:ind w:left="1587"/>
        <w:jc w:val="both"/>
        <w:rPr>
          <w:szCs w:val="28"/>
        </w:rPr>
      </w:pPr>
      <w:r>
        <w:rPr>
          <w:szCs w:val="28"/>
        </w:rPr>
        <w:t>1、學習精神</w:t>
      </w:r>
      <w:r>
        <w:rPr>
          <w:color w:val="000000"/>
          <w:szCs w:val="28"/>
        </w:rPr>
        <w:t>(含出席狀況及上課態度)</w:t>
      </w:r>
      <w:r>
        <w:rPr>
          <w:szCs w:val="28"/>
        </w:rPr>
        <w:t>：占百分之三十。</w:t>
      </w:r>
    </w:p>
    <w:p w:rsidR="00E6438D" w:rsidRDefault="00EF3B0A" w:rsidP="003073B3">
      <w:pPr>
        <w:pStyle w:val="Standard"/>
        <w:spacing w:line="480" w:lineRule="exact"/>
        <w:ind w:left="1984" w:hanging="397"/>
        <w:jc w:val="both"/>
        <w:rPr>
          <w:szCs w:val="28"/>
        </w:rPr>
      </w:pPr>
      <w:r>
        <w:rPr>
          <w:szCs w:val="28"/>
        </w:rPr>
        <w:t>2、測驗：綜合逮捕術應用技巧測驗（含盤查搜身加</w:t>
      </w:r>
      <w:proofErr w:type="gramStart"/>
      <w:r>
        <w:rPr>
          <w:szCs w:val="28"/>
        </w:rPr>
        <w:t>銬</w:t>
      </w:r>
      <w:proofErr w:type="gramEnd"/>
      <w:r>
        <w:rPr>
          <w:szCs w:val="28"/>
        </w:rPr>
        <w:t>要領），占百分之七十。</w:t>
      </w:r>
    </w:p>
    <w:p w:rsidR="00E6438D" w:rsidRDefault="00EF3B0A" w:rsidP="003073B3">
      <w:pPr>
        <w:pStyle w:val="Standard"/>
        <w:numPr>
          <w:ilvl w:val="0"/>
          <w:numId w:val="15"/>
        </w:numPr>
        <w:spacing w:line="480" w:lineRule="exact"/>
        <w:jc w:val="both"/>
      </w:pPr>
      <w:r>
        <w:rPr>
          <w:szCs w:val="28"/>
        </w:rPr>
        <w:t>射擊：</w:t>
      </w:r>
      <w:r>
        <w:rPr>
          <w:color w:val="000000"/>
          <w:szCs w:val="28"/>
        </w:rPr>
        <w:t>近迫射擊（持槍靶）射擊距離十五公尺，子彈數十發，限時三十秒，占百分之百</w:t>
      </w:r>
      <w:r>
        <w:rPr>
          <w:szCs w:val="28"/>
        </w:rPr>
        <w:t>。</w:t>
      </w:r>
    </w:p>
    <w:p w:rsidR="00E6438D" w:rsidRDefault="00EF3B0A" w:rsidP="003073B3">
      <w:pPr>
        <w:pStyle w:val="Standard"/>
        <w:numPr>
          <w:ilvl w:val="0"/>
          <w:numId w:val="15"/>
        </w:numPr>
        <w:spacing w:line="480" w:lineRule="exact"/>
        <w:jc w:val="both"/>
        <w:rPr>
          <w:szCs w:val="28"/>
        </w:rPr>
      </w:pPr>
      <w:r>
        <w:rPr>
          <w:szCs w:val="28"/>
        </w:rPr>
        <w:t>三千公尺跑步：參照三千公尺跑步測驗成績配分標準表(如附表</w:t>
      </w:r>
      <w:proofErr w:type="gramStart"/>
      <w:r>
        <w:rPr>
          <w:szCs w:val="28"/>
        </w:rPr>
        <w:t>一</w:t>
      </w:r>
      <w:proofErr w:type="gramEnd"/>
      <w:r>
        <w:rPr>
          <w:szCs w:val="28"/>
        </w:rPr>
        <w:t>)。</w:t>
      </w:r>
    </w:p>
    <w:p w:rsidR="00E6438D" w:rsidRDefault="00EF3B0A" w:rsidP="003073B3">
      <w:pPr>
        <w:pStyle w:val="Standard"/>
        <w:numPr>
          <w:ilvl w:val="0"/>
          <w:numId w:val="15"/>
        </w:numPr>
        <w:spacing w:line="480" w:lineRule="exact"/>
        <w:jc w:val="both"/>
        <w:rPr>
          <w:szCs w:val="28"/>
        </w:rPr>
      </w:pPr>
      <w:r>
        <w:rPr>
          <w:szCs w:val="28"/>
        </w:rPr>
        <w:lastRenderedPageBreak/>
        <w:t>四乘二十五公尺折返跑：參照四乘二十五公尺折返跑測驗成績配分標準表(如附表二)。</w:t>
      </w:r>
    </w:p>
    <w:p w:rsidR="00E6438D" w:rsidRDefault="00EF3B0A" w:rsidP="003073B3">
      <w:pPr>
        <w:pStyle w:val="Standard"/>
        <w:numPr>
          <w:ilvl w:val="0"/>
          <w:numId w:val="2"/>
        </w:numPr>
        <w:spacing w:line="480" w:lineRule="exact"/>
        <w:jc w:val="both"/>
        <w:rPr>
          <w:szCs w:val="28"/>
        </w:rPr>
      </w:pPr>
      <w:r>
        <w:rPr>
          <w:szCs w:val="28"/>
        </w:rPr>
        <w:t>測驗未達及格標準者，擇日辦理補考，補考以一次為限，補考成績及格者，以六十分計算。</w:t>
      </w:r>
    </w:p>
    <w:p w:rsidR="00E6438D" w:rsidRDefault="00EF3B0A" w:rsidP="003073B3">
      <w:pPr>
        <w:pStyle w:val="Standard"/>
        <w:numPr>
          <w:ilvl w:val="0"/>
          <w:numId w:val="2"/>
        </w:numPr>
        <w:spacing w:line="480" w:lineRule="exact"/>
        <w:jc w:val="both"/>
      </w:pPr>
      <w:r>
        <w:rPr>
          <w:szCs w:val="28"/>
        </w:rPr>
        <w:t>因傷、病致無法參加指定日期之體技及</w:t>
      </w:r>
      <w:r>
        <w:rPr>
          <w:szCs w:val="40"/>
        </w:rPr>
        <w:t>體能</w:t>
      </w:r>
      <w:r>
        <w:rPr>
          <w:szCs w:val="28"/>
        </w:rPr>
        <w:t>測驗者，需於測驗前出具公立醫院相關證明文件另行安排測驗，並應於結訓前完成改期測驗，改期測驗未達及格標準者，得辦理補考，補考以一次為限，補考成績及格者，以六十分計算。</w:t>
      </w:r>
    </w:p>
    <w:p w:rsidR="00E6438D" w:rsidRDefault="00EF3B0A" w:rsidP="003073B3">
      <w:pPr>
        <w:pStyle w:val="Standard"/>
        <w:numPr>
          <w:ilvl w:val="0"/>
          <w:numId w:val="2"/>
        </w:numPr>
        <w:spacing w:line="480" w:lineRule="exact"/>
        <w:jc w:val="both"/>
        <w:rPr>
          <w:color w:val="000000"/>
          <w:szCs w:val="28"/>
        </w:rPr>
      </w:pPr>
      <w:r>
        <w:rPr>
          <w:color w:val="000000"/>
          <w:szCs w:val="28"/>
        </w:rPr>
        <w:t>各體技及體能測驗項目及成績考核方式，因天然災害、</w:t>
      </w:r>
      <w:proofErr w:type="gramStart"/>
      <w:r>
        <w:rPr>
          <w:color w:val="000000"/>
          <w:szCs w:val="28"/>
        </w:rPr>
        <w:t>癘疫</w:t>
      </w:r>
      <w:proofErr w:type="gramEnd"/>
      <w:r>
        <w:rPr>
          <w:color w:val="000000"/>
          <w:szCs w:val="28"/>
        </w:rPr>
        <w:t>、突發事件、訓練安全考量或其他重大不可抗力情事，致無法依第</w:t>
      </w:r>
      <w:r w:rsidR="006E0A70" w:rsidRPr="003073B3">
        <w:rPr>
          <w:color w:val="000000"/>
          <w:szCs w:val="28"/>
        </w:rPr>
        <w:t>三</w:t>
      </w:r>
      <w:r>
        <w:rPr>
          <w:color w:val="000000"/>
          <w:szCs w:val="28"/>
        </w:rPr>
        <w:t>點及第</w:t>
      </w:r>
      <w:r w:rsidR="006E0A70" w:rsidRPr="003073B3">
        <w:rPr>
          <w:color w:val="000000"/>
          <w:szCs w:val="28"/>
        </w:rPr>
        <w:t>四</w:t>
      </w:r>
      <w:r>
        <w:rPr>
          <w:color w:val="000000"/>
          <w:szCs w:val="28"/>
        </w:rPr>
        <w:t>點規定辦理時，經簽奉</w:t>
      </w:r>
      <w:r w:rsidR="00CA6114" w:rsidRPr="006E10EE">
        <w:rPr>
          <w:rFonts w:hint="eastAsia"/>
          <w:color w:val="000000"/>
          <w:szCs w:val="28"/>
        </w:rPr>
        <w:t>內政部移民署</w:t>
      </w:r>
      <w:r>
        <w:rPr>
          <w:color w:val="000000"/>
          <w:szCs w:val="28"/>
        </w:rPr>
        <w:t>署長核定，得</w:t>
      </w:r>
      <w:proofErr w:type="gramStart"/>
      <w:r>
        <w:rPr>
          <w:color w:val="000000"/>
          <w:szCs w:val="28"/>
        </w:rPr>
        <w:t>採</w:t>
      </w:r>
      <w:proofErr w:type="gramEnd"/>
      <w:r>
        <w:rPr>
          <w:color w:val="000000"/>
          <w:szCs w:val="28"/>
        </w:rPr>
        <w:t>書面報告或其他多元測驗方式替代，並應於測驗前公布測驗方式、及格標準與評分標準，以及通知受測人員。</w:t>
      </w:r>
    </w:p>
    <w:p w:rsidR="00E6438D" w:rsidRPr="006E0A70" w:rsidRDefault="00EF3B0A" w:rsidP="003073B3">
      <w:pPr>
        <w:pStyle w:val="Standard"/>
        <w:numPr>
          <w:ilvl w:val="0"/>
          <w:numId w:val="2"/>
        </w:numPr>
        <w:spacing w:line="480" w:lineRule="exact"/>
        <w:jc w:val="both"/>
        <w:rPr>
          <w:color w:val="000000"/>
          <w:szCs w:val="28"/>
        </w:rPr>
      </w:pPr>
      <w:r w:rsidRPr="006E0A70">
        <w:rPr>
          <w:color w:val="000000"/>
          <w:szCs w:val="28"/>
        </w:rPr>
        <w:t>本規</w:t>
      </w:r>
      <w:bookmarkStart w:id="0" w:name="_GoBack"/>
      <w:r w:rsidRPr="006E0A70">
        <w:rPr>
          <w:color w:val="000000"/>
          <w:szCs w:val="28"/>
        </w:rPr>
        <w:t>定</w:t>
      </w:r>
      <w:r w:rsidR="00CA6114" w:rsidRPr="006E10EE">
        <w:rPr>
          <w:rFonts w:hint="eastAsia"/>
          <w:color w:val="000000"/>
          <w:szCs w:val="28"/>
        </w:rPr>
        <w:t>由內政部</w:t>
      </w:r>
      <w:proofErr w:type="gramStart"/>
      <w:r w:rsidRPr="006E0A70">
        <w:rPr>
          <w:color w:val="000000"/>
          <w:szCs w:val="28"/>
        </w:rPr>
        <w:t>函報保訓</w:t>
      </w:r>
      <w:proofErr w:type="gramEnd"/>
      <w:r w:rsidRPr="006E0A70">
        <w:rPr>
          <w:color w:val="000000"/>
          <w:szCs w:val="28"/>
        </w:rPr>
        <w:t>會</w:t>
      </w:r>
      <w:bookmarkEnd w:id="0"/>
      <w:r w:rsidRPr="006E0A70">
        <w:rPr>
          <w:color w:val="000000"/>
          <w:szCs w:val="28"/>
        </w:rPr>
        <w:t>核定後實施</w:t>
      </w:r>
      <w:r w:rsidRPr="006E0A70">
        <w:rPr>
          <w:szCs w:val="28"/>
        </w:rPr>
        <w:t>，修正時亦同。</w:t>
      </w:r>
    </w:p>
    <w:p w:rsidR="00E6438D" w:rsidRDefault="00E6438D">
      <w:pPr>
        <w:pStyle w:val="Standard"/>
        <w:widowControl/>
      </w:pPr>
    </w:p>
    <w:p w:rsidR="007E2B4F" w:rsidRDefault="00EF3B0A">
      <w:pPr>
        <w:rPr>
          <w:rFonts w:ascii="標楷體" w:eastAsia="標楷體" w:hAnsi="標楷體" w:cs="Times New Roman"/>
          <w:vanish/>
          <w:sz w:val="28"/>
          <w:szCs w:val="24"/>
        </w:rPr>
      </w:pPr>
      <w:r>
        <w:br w:type="page"/>
      </w:r>
    </w:p>
    <w:tbl>
      <w:tblPr>
        <w:tblpPr w:leftFromText="180" w:rightFromText="180" w:tblpXSpec="center" w:tblpY="660"/>
        <w:tblW w:w="10632" w:type="dxa"/>
        <w:tblLayout w:type="fixed"/>
        <w:tblCellMar>
          <w:left w:w="10" w:type="dxa"/>
          <w:right w:w="10" w:type="dxa"/>
        </w:tblCellMar>
        <w:tblLook w:val="0000" w:firstRow="0" w:lastRow="0" w:firstColumn="0" w:lastColumn="0" w:noHBand="0" w:noVBand="0"/>
      </w:tblPr>
      <w:tblGrid>
        <w:gridCol w:w="1759"/>
        <w:gridCol w:w="1784"/>
        <w:gridCol w:w="1743"/>
        <w:gridCol w:w="1802"/>
        <w:gridCol w:w="1842"/>
        <w:gridCol w:w="1702"/>
      </w:tblGrid>
      <w:tr w:rsidR="00E6438D" w:rsidTr="0052543B">
        <w:trPr>
          <w:trHeight w:val="841"/>
        </w:trPr>
        <w:tc>
          <w:tcPr>
            <w:tcW w:w="10632"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Pr="001430F5" w:rsidRDefault="00EF3B0A" w:rsidP="0052543B">
            <w:pPr>
              <w:pStyle w:val="Standard"/>
              <w:jc w:val="center"/>
              <w:rPr>
                <w:strike/>
              </w:rPr>
            </w:pPr>
            <w:r>
              <w:rPr>
                <w:b/>
                <w:sz w:val="40"/>
                <w:szCs w:val="40"/>
              </w:rPr>
              <w:t>3</w:t>
            </w:r>
            <w:r>
              <w:rPr>
                <w:b/>
                <w:color w:val="000000"/>
                <w:sz w:val="40"/>
                <w:szCs w:val="40"/>
              </w:rPr>
              <w:t>,</w:t>
            </w:r>
            <w:r>
              <w:rPr>
                <w:b/>
                <w:sz w:val="40"/>
                <w:szCs w:val="40"/>
              </w:rPr>
              <w:t>000公尺跑步測驗成績配分標準表</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成績</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男</w:t>
            </w:r>
          </w:p>
          <w:p w:rsidR="00E6438D" w:rsidRDefault="00EF3B0A" w:rsidP="0052543B">
            <w:pPr>
              <w:pStyle w:val="Standard"/>
              <w:spacing w:line="460" w:lineRule="exact"/>
              <w:jc w:val="center"/>
              <w:rPr>
                <w:sz w:val="27"/>
                <w:szCs w:val="27"/>
              </w:rPr>
            </w:pPr>
            <w:r>
              <w:rPr>
                <w:sz w:val="27"/>
                <w:szCs w:val="27"/>
              </w:rPr>
              <w:t>(分秒)</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女</w:t>
            </w:r>
          </w:p>
          <w:p w:rsidR="00E6438D" w:rsidRDefault="00EF3B0A" w:rsidP="0052543B">
            <w:pPr>
              <w:pStyle w:val="Standard"/>
              <w:spacing w:line="460" w:lineRule="exact"/>
              <w:jc w:val="center"/>
              <w:rPr>
                <w:sz w:val="27"/>
                <w:szCs w:val="27"/>
              </w:rPr>
            </w:pPr>
            <w:r>
              <w:rPr>
                <w:sz w:val="27"/>
                <w:szCs w:val="27"/>
              </w:rPr>
              <w:t>(分秒)</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成績</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男</w:t>
            </w:r>
          </w:p>
          <w:p w:rsidR="00E6438D" w:rsidRDefault="00EF3B0A" w:rsidP="0052543B">
            <w:pPr>
              <w:pStyle w:val="Standard"/>
              <w:spacing w:line="460" w:lineRule="exact"/>
              <w:jc w:val="center"/>
              <w:rPr>
                <w:sz w:val="27"/>
                <w:szCs w:val="27"/>
              </w:rPr>
            </w:pPr>
            <w:r>
              <w:rPr>
                <w:sz w:val="27"/>
                <w:szCs w:val="27"/>
              </w:rPr>
              <w:t>(分秒)</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女</w:t>
            </w:r>
          </w:p>
          <w:p w:rsidR="00E6438D" w:rsidRDefault="00EF3B0A" w:rsidP="0052543B">
            <w:pPr>
              <w:pStyle w:val="Standard"/>
              <w:spacing w:line="460" w:lineRule="exact"/>
              <w:jc w:val="center"/>
              <w:rPr>
                <w:sz w:val="27"/>
                <w:szCs w:val="27"/>
              </w:rPr>
            </w:pPr>
            <w:r>
              <w:rPr>
                <w:sz w:val="27"/>
                <w:szCs w:val="27"/>
              </w:rPr>
              <w:t>(分秒)</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100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11：40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14：55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16：55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11：50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15：00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17：00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12：00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15：05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17：05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12：10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15：10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17：10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12：20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15：15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17：15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12：30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15：20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17：20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12：40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15：25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17：25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12：50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15：30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17：30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15：35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17：35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15：40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17：40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15：45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17：45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15：50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17：50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15：55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17：55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13：50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15：50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16：00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18：00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16：05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18：05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16：10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18：10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16：15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18：15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16：20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18：20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16：25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18：25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14：45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16：45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16：30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18：30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14：50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16：31以上</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18：31以上</w:t>
            </w:r>
          </w:p>
        </w:tc>
      </w:tr>
    </w:tbl>
    <w:p w:rsidR="00E6438D" w:rsidRDefault="00F91E3B">
      <w:pPr>
        <w:pStyle w:val="Standard"/>
      </w:pPr>
      <w:r>
        <w:rPr>
          <w:noProof/>
        </w:rPr>
        <mc:AlternateContent>
          <mc:Choice Requires="wps">
            <w:drawing>
              <wp:anchor distT="0" distB="0" distL="114300" distR="114300" simplePos="0" relativeHeight="251658240" behindDoc="1" locked="0" layoutInCell="1" allowOverlap="1">
                <wp:simplePos x="0" y="0"/>
                <wp:positionH relativeFrom="leftMargin">
                  <wp:align>right</wp:align>
                </wp:positionH>
                <wp:positionV relativeFrom="margin">
                  <wp:align>top</wp:align>
                </wp:positionV>
                <wp:extent cx="820440" cy="326520"/>
                <wp:effectExtent l="0" t="0" r="5715" b="0"/>
                <wp:wrapNone/>
                <wp:docPr id="1" name="框架1"/>
                <wp:cNvGraphicFramePr/>
                <a:graphic xmlns:a="http://schemas.openxmlformats.org/drawingml/2006/main">
                  <a:graphicData uri="http://schemas.microsoft.com/office/word/2010/wordprocessingShape">
                    <wps:wsp>
                      <wps:cNvSpPr txBox="1"/>
                      <wps:spPr>
                        <a:xfrm>
                          <a:off x="0" y="0"/>
                          <a:ext cx="820440" cy="326520"/>
                        </a:xfrm>
                        <a:prstGeom prst="rect">
                          <a:avLst/>
                        </a:prstGeom>
                        <a:solidFill>
                          <a:srgbClr val="FFFFFF"/>
                        </a:solidFill>
                        <a:ln>
                          <a:noFill/>
                          <a:prstDash/>
                        </a:ln>
                      </wps:spPr>
                      <wps:txbx>
                        <w:txbxContent>
                          <w:p w:rsidR="00E6438D" w:rsidRDefault="00EF3B0A">
                            <w:pPr>
                              <w:pStyle w:val="Framecontents"/>
                              <w:ind w:firstLine="140"/>
                              <w:rPr>
                                <w:color w:val="000000"/>
                                <w:szCs w:val="28"/>
                              </w:rPr>
                            </w:pPr>
                            <w:r>
                              <w:rPr>
                                <w:color w:val="000000"/>
                                <w:szCs w:val="28"/>
                              </w:rPr>
                              <w:t>附表</w:t>
                            </w:r>
                            <w:proofErr w:type="gramStart"/>
                            <w:r>
                              <w:rPr>
                                <w:color w:val="000000"/>
                                <w:szCs w:val="28"/>
                              </w:rPr>
                              <w:t>一</w:t>
                            </w:r>
                            <w:proofErr w:type="gramEnd"/>
                          </w:p>
                          <w:p w:rsidR="00E6438D" w:rsidRDefault="00E6438D">
                            <w:pPr>
                              <w:pStyle w:val="Framecontents"/>
                            </w:pP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3.4pt;margin-top:0;width:64.6pt;height:25.7pt;z-index:-251658240;visibility:visible;mso-wrap-style:none;mso-wrap-distance-left:9pt;mso-wrap-distance-top:0;mso-wrap-distance-right:9pt;mso-wrap-distance-bottom:0;mso-position-horizontal:right;mso-position-horizontal-relative:lef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" stroked="f">
                <v:textbox inset="0,0,0,0">
                  <w:txbxContent>
                    <w:p w:rsidR="00E6438D" w:rsidRDefault="00EF3B0A">
                      <w:pPr>
                        <w:pStyle w:val="Framecontents"/>
                        <w:ind w:firstLine="140"/>
                        <w:rPr>
                          <w:color w:val="000000"/>
                          <w:szCs w:val="28"/>
                        </w:rPr>
                      </w:pPr>
                      <w:r>
                        <w:rPr>
                          <w:color w:val="000000"/>
                          <w:szCs w:val="28"/>
                        </w:rPr>
                        <w:t>附表</w:t>
                      </w:r>
                      <w:proofErr w:type="gramStart"/>
                      <w:r>
                        <w:rPr>
                          <w:color w:val="000000"/>
                          <w:szCs w:val="28"/>
                        </w:rPr>
                        <w:t>一</w:t>
                      </w:r>
                      <w:proofErr w:type="gramEnd"/>
                    </w:p>
                    <w:p w:rsidR="00E6438D" w:rsidRDefault="00E6438D">
                      <w:pPr>
                        <w:pStyle w:val="Framecontents"/>
                      </w:pPr>
                    </w:p>
                  </w:txbxContent>
                </v:textbox>
                <w10:wrap anchorx="margin" anchory="margin"/>
              </v:shape>
            </w:pict>
          </mc:Fallback>
        </mc:AlternateContent>
      </w:r>
    </w:p>
    <w:p w:rsidR="00E6438D" w:rsidRDefault="00E6438D">
      <w:pPr>
        <w:pStyle w:val="Standard"/>
      </w:pPr>
    </w:p>
    <w:tbl>
      <w:tblPr>
        <w:tblW w:w="10632" w:type="dxa"/>
        <w:tblInd w:w="-1252" w:type="dxa"/>
        <w:tblLayout w:type="fixed"/>
        <w:tblCellMar>
          <w:left w:w="10" w:type="dxa"/>
          <w:right w:w="10" w:type="dxa"/>
        </w:tblCellMar>
        <w:tblLook w:val="0000" w:firstRow="0" w:lastRow="0" w:firstColumn="0" w:lastColumn="0" w:noHBand="0" w:noVBand="0"/>
      </w:tblPr>
      <w:tblGrid>
        <w:gridCol w:w="1759"/>
        <w:gridCol w:w="1784"/>
        <w:gridCol w:w="1743"/>
        <w:gridCol w:w="1802"/>
        <w:gridCol w:w="1842"/>
        <w:gridCol w:w="1702"/>
      </w:tblGrid>
      <w:tr w:rsidR="00E6438D" w:rsidTr="0052543B">
        <w:trPr>
          <w:trHeight w:val="841"/>
        </w:trPr>
        <w:tc>
          <w:tcPr>
            <w:tcW w:w="10632"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Pr="001430F5" w:rsidRDefault="00F91E3B" w:rsidP="0052543B">
            <w:pPr>
              <w:pStyle w:val="Standard"/>
              <w:jc w:val="center"/>
              <w:rPr>
                <w:strike/>
              </w:rPr>
            </w:pPr>
            <w:r>
              <w:rPr>
                <w:noProof/>
              </w:rPr>
              <w:lastRenderedPageBreak/>
              <mc:AlternateContent>
                <mc:Choice Requires="wps">
                  <w:drawing>
                    <wp:anchor distT="0" distB="0" distL="114300" distR="114300" simplePos="0" relativeHeight="251659264" behindDoc="1" locked="0" layoutInCell="1" allowOverlap="1">
                      <wp:simplePos x="0" y="0"/>
                      <wp:positionH relativeFrom="leftMargin">
                        <wp:posOffset>254635</wp:posOffset>
                      </wp:positionH>
                      <wp:positionV relativeFrom="page">
                        <wp:posOffset>-335280</wp:posOffset>
                      </wp:positionV>
                      <wp:extent cx="827405" cy="323215"/>
                      <wp:effectExtent l="0" t="0" r="0" b="635"/>
                      <wp:wrapNone/>
                      <wp:docPr id="2" name="1"/>
                      <wp:cNvGraphicFramePr/>
                      <a:graphic xmlns:a="http://schemas.openxmlformats.org/drawingml/2006/main">
                        <a:graphicData uri="http://schemas.microsoft.com/office/word/2010/wordprocessingShape">
                          <wps:wsp>
                            <wps:cNvSpPr txBox="1"/>
                            <wps:spPr>
                              <a:xfrm>
                                <a:off x="0" y="0"/>
                                <a:ext cx="827405" cy="323215"/>
                              </a:xfrm>
                              <a:prstGeom prst="rect">
                                <a:avLst/>
                              </a:prstGeom>
                              <a:solidFill>
                                <a:srgbClr val="FFFFFF"/>
                              </a:solidFill>
                              <a:ln>
                                <a:noFill/>
                                <a:prstDash/>
                              </a:ln>
                            </wps:spPr>
                            <wps:txbx>
                              <w:txbxContent>
                                <w:p w:rsidR="00E6438D" w:rsidRDefault="00EF3B0A">
                                  <w:pPr>
                                    <w:pStyle w:val="Framecontents"/>
                                    <w:rPr>
                                      <w:color w:val="000000"/>
                                      <w:szCs w:val="28"/>
                                    </w:rPr>
                                  </w:pPr>
                                  <w:r>
                                    <w:rPr>
                                      <w:color w:val="000000"/>
                                      <w:szCs w:val="28"/>
                                    </w:rPr>
                                    <w:t>附表二</w:t>
                                  </w:r>
                                </w:p>
                              </w:txbxContent>
                            </wps:txbx>
                            <wps:bodyPr vert="horz" wrap="none" lIns="0" tIns="0" rIns="0" bIns="0" compatLnSpc="0">
                              <a:noAutofit/>
                            </wps:bodyPr>
                          </wps:wsp>
                        </a:graphicData>
                      </a:graphic>
                    </wp:anchor>
                  </w:drawing>
                </mc:Choice>
                <mc:Fallback>
                  <w:pict>
                    <v:shape id="1" o:spid="_x0000_s1027" type="#_x0000_t202" style="position:absolute;left:0;text-align:left;margin-left:20.05pt;margin-top:-26.4pt;width:65.15pt;height:25.45pt;z-index:-251657216;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" stroked="f">
                      <v:textbox inset="0,0,0,0">
                        <w:txbxContent>
                          <w:p w:rsidR="00E6438D" w:rsidRDefault="00EF3B0A">
                            <w:pPr>
                              <w:pStyle w:val="Framecontents"/>
                              <w:rPr>
                                <w:color w:val="000000"/>
                                <w:szCs w:val="28"/>
                              </w:rPr>
                            </w:pPr>
                            <w:r>
                              <w:rPr>
                                <w:color w:val="000000"/>
                                <w:szCs w:val="28"/>
                              </w:rPr>
                              <w:t>附表二</w:t>
                            </w:r>
                          </w:p>
                        </w:txbxContent>
                      </v:textbox>
                      <w10:wrap anchorx="margin" anchory="page"/>
                    </v:shape>
                  </w:pict>
                </mc:Fallback>
              </mc:AlternateContent>
            </w:r>
            <w:r w:rsidR="00EF3B0A">
              <w:rPr>
                <w:b/>
                <w:sz w:val="40"/>
                <w:szCs w:val="40"/>
              </w:rPr>
              <w:t>4乘25公尺折返跑測驗成績配分標準表</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成績</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男(秒)</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女(秒)</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成績</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pPr>
            <w:r>
              <w:rPr>
                <w:sz w:val="27"/>
                <w:szCs w:val="27"/>
              </w:rPr>
              <w:t>男(秒)</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spacing w:line="460" w:lineRule="exact"/>
              <w:jc w:val="center"/>
              <w:rPr>
                <w:sz w:val="27"/>
                <w:szCs w:val="27"/>
              </w:rPr>
            </w:pPr>
            <w:r>
              <w:rPr>
                <w:sz w:val="27"/>
                <w:szCs w:val="27"/>
              </w:rPr>
              <w:t>女(秒)</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100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20”55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22”05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20”60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20”60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22”10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20”70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20”65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22”15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20”80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20”70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22”20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20”90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20”75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22”25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20”80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22”30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19”60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20”85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22”35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19”70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20”90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22”40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19”80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20”95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22”45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19”90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70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21”00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22”50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90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21”15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22”65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20”05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21”55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21”30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22”80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21”60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21”45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22”95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20”15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21”65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21”60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23”10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21”70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21”75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23”25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20”25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21”75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21”90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23”40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21”80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22”05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23”55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20”35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21”85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22”20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23”70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21”90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22”35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23”85</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20”45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21”95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60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22”50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24”00</w:t>
            </w:r>
          </w:p>
        </w:tc>
      </w:tr>
      <w:tr w:rsidR="00E6438D"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80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20”50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22</w:t>
            </w:r>
            <w:proofErr w:type="gramStart"/>
            <w:r>
              <w:rPr>
                <w:sz w:val="27"/>
                <w:szCs w:val="27"/>
              </w:rPr>
              <w:t>”</w:t>
            </w:r>
            <w:proofErr w:type="gramEnd"/>
            <w:r>
              <w:rPr>
                <w:sz w:val="27"/>
                <w:szCs w:val="27"/>
              </w:rPr>
              <w:t>51以上</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6438D" w:rsidRDefault="00EF3B0A" w:rsidP="0052543B">
            <w:pPr>
              <w:pStyle w:val="Standard"/>
              <w:jc w:val="center"/>
              <w:rPr>
                <w:sz w:val="27"/>
                <w:szCs w:val="27"/>
              </w:rPr>
            </w:pPr>
            <w:r>
              <w:rPr>
                <w:sz w:val="27"/>
                <w:szCs w:val="27"/>
              </w:rPr>
              <w:t>24</w:t>
            </w:r>
            <w:proofErr w:type="gramStart"/>
            <w:r>
              <w:rPr>
                <w:sz w:val="27"/>
                <w:szCs w:val="27"/>
              </w:rPr>
              <w:t>”</w:t>
            </w:r>
            <w:proofErr w:type="gramEnd"/>
            <w:r>
              <w:rPr>
                <w:sz w:val="27"/>
                <w:szCs w:val="27"/>
              </w:rPr>
              <w:t>01以上</w:t>
            </w:r>
          </w:p>
        </w:tc>
      </w:tr>
    </w:tbl>
    <w:p w:rsidR="00E6438D" w:rsidRDefault="00E6438D">
      <w:pPr>
        <w:pStyle w:val="Standard"/>
      </w:pPr>
    </w:p>
    <w:sectPr w:rsidR="00E6438D">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4F" w:rsidRDefault="00EF3B0A">
      <w:r>
        <w:separator/>
      </w:r>
    </w:p>
  </w:endnote>
  <w:endnote w:type="continuationSeparator" w:id="0">
    <w:p w:rsidR="007E2B4F" w:rsidRDefault="00EF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16" w:rsidRDefault="00EF3B0A">
    <w:pPr>
      <w:pStyle w:val="a7"/>
      <w:jc w:val="center"/>
    </w:pPr>
    <w:r>
      <w:fldChar w:fldCharType="begin"/>
    </w:r>
    <w:r>
      <w:instrText xml:space="preserve"> PAGE </w:instrText>
    </w:r>
    <w:r>
      <w:fldChar w:fldCharType="separate"/>
    </w:r>
    <w:r w:rsidR="006E10EE">
      <w:rPr>
        <w:noProof/>
      </w:rPr>
      <w:t>4</w:t>
    </w:r>
    <w:r>
      <w:fldChar w:fldCharType="end"/>
    </w:r>
  </w:p>
  <w:p w:rsidR="000E4216" w:rsidRDefault="006E10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4F" w:rsidRDefault="00EF3B0A">
      <w:r>
        <w:rPr>
          <w:color w:val="000000"/>
        </w:rPr>
        <w:separator/>
      </w:r>
    </w:p>
  </w:footnote>
  <w:footnote w:type="continuationSeparator" w:id="0">
    <w:p w:rsidR="007E2B4F" w:rsidRDefault="00EF3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D73"/>
    <w:multiLevelType w:val="multilevel"/>
    <w:tmpl w:val="08A29F88"/>
    <w:styleLink w:val="WWNum16"/>
    <w:lvl w:ilvl="0">
      <w:start w:val="1"/>
      <w:numFmt w:val="decimal"/>
      <w:lvlText w:val="%1."/>
      <w:lvlJc w:val="left"/>
      <w:pPr>
        <w:ind w:left="1848" w:hanging="420"/>
      </w:pPr>
      <w:rPr>
        <w:rFonts w:ascii="標楷體" w:hAnsi="標楷體"/>
        <w:color w:val="000000"/>
        <w:sz w:val="28"/>
      </w:rPr>
    </w:lvl>
    <w:lvl w:ilvl="1">
      <w:start w:val="1"/>
      <w:numFmt w:val="ideographTraditional"/>
      <w:lvlText w:val="%2、"/>
      <w:lvlJc w:val="left"/>
      <w:pPr>
        <w:ind w:left="2388" w:hanging="480"/>
      </w:pPr>
    </w:lvl>
    <w:lvl w:ilvl="2">
      <w:start w:val="1"/>
      <w:numFmt w:val="lowerRoman"/>
      <w:lvlText w:val="%3."/>
      <w:lvlJc w:val="right"/>
      <w:pPr>
        <w:ind w:left="2868" w:hanging="480"/>
      </w:pPr>
    </w:lvl>
    <w:lvl w:ilvl="3">
      <w:start w:val="1"/>
      <w:numFmt w:val="decimal"/>
      <w:lvlText w:val="%4."/>
      <w:lvlJc w:val="left"/>
      <w:pPr>
        <w:ind w:left="3348" w:hanging="480"/>
      </w:pPr>
    </w:lvl>
    <w:lvl w:ilvl="4">
      <w:start w:val="1"/>
      <w:numFmt w:val="ideographTraditional"/>
      <w:lvlText w:val="%5、"/>
      <w:lvlJc w:val="left"/>
      <w:pPr>
        <w:ind w:left="3828" w:hanging="480"/>
      </w:pPr>
    </w:lvl>
    <w:lvl w:ilvl="5">
      <w:start w:val="1"/>
      <w:numFmt w:val="lowerRoman"/>
      <w:lvlText w:val="%6."/>
      <w:lvlJc w:val="right"/>
      <w:pPr>
        <w:ind w:left="4308" w:hanging="480"/>
      </w:pPr>
    </w:lvl>
    <w:lvl w:ilvl="6">
      <w:start w:val="1"/>
      <w:numFmt w:val="decimal"/>
      <w:lvlText w:val="%7."/>
      <w:lvlJc w:val="left"/>
      <w:pPr>
        <w:ind w:left="4788" w:hanging="480"/>
      </w:pPr>
    </w:lvl>
    <w:lvl w:ilvl="7">
      <w:start w:val="1"/>
      <w:numFmt w:val="ideographTraditional"/>
      <w:lvlText w:val="%8、"/>
      <w:lvlJc w:val="left"/>
      <w:pPr>
        <w:ind w:left="5268" w:hanging="480"/>
      </w:pPr>
    </w:lvl>
    <w:lvl w:ilvl="8">
      <w:start w:val="1"/>
      <w:numFmt w:val="lowerRoman"/>
      <w:lvlText w:val="%9."/>
      <w:lvlJc w:val="right"/>
      <w:pPr>
        <w:ind w:left="5748" w:hanging="480"/>
      </w:pPr>
    </w:lvl>
  </w:abstractNum>
  <w:abstractNum w:abstractNumId="1" w15:restartNumberingAfterBreak="0">
    <w:nsid w:val="07587906"/>
    <w:multiLevelType w:val="multilevel"/>
    <w:tmpl w:val="5D7AA1AC"/>
    <w:styleLink w:val="WWNum12"/>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 w15:restartNumberingAfterBreak="0">
    <w:nsid w:val="08DE6C7D"/>
    <w:multiLevelType w:val="multilevel"/>
    <w:tmpl w:val="70E0D5DA"/>
    <w:styleLink w:val="WWNum4"/>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3" w15:restartNumberingAfterBreak="0">
    <w:nsid w:val="243F2CAF"/>
    <w:multiLevelType w:val="multilevel"/>
    <w:tmpl w:val="EAF66E3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C8C1F79"/>
    <w:multiLevelType w:val="multilevel"/>
    <w:tmpl w:val="1B3C3086"/>
    <w:styleLink w:val="WWNum11"/>
    <w:lvl w:ilvl="0">
      <w:start w:val="1"/>
      <w:numFmt w:val="decimal"/>
      <w:lvlText w:val="%1."/>
      <w:lvlJc w:val="left"/>
      <w:pPr>
        <w:ind w:left="2775" w:hanging="480"/>
      </w:pPr>
    </w:lvl>
    <w:lvl w:ilvl="1">
      <w:start w:val="1"/>
      <w:numFmt w:val="ideographTraditional"/>
      <w:lvlText w:val="%2、"/>
      <w:lvlJc w:val="left"/>
      <w:pPr>
        <w:ind w:left="3255" w:hanging="480"/>
      </w:pPr>
    </w:lvl>
    <w:lvl w:ilvl="2">
      <w:start w:val="1"/>
      <w:numFmt w:val="lowerRoman"/>
      <w:lvlText w:val="%3."/>
      <w:lvlJc w:val="right"/>
      <w:pPr>
        <w:ind w:left="3735" w:hanging="480"/>
      </w:pPr>
    </w:lvl>
    <w:lvl w:ilvl="3">
      <w:start w:val="1"/>
      <w:numFmt w:val="decimal"/>
      <w:lvlText w:val="%4."/>
      <w:lvlJc w:val="left"/>
      <w:pPr>
        <w:ind w:left="4215" w:hanging="480"/>
      </w:pPr>
    </w:lvl>
    <w:lvl w:ilvl="4">
      <w:start w:val="1"/>
      <w:numFmt w:val="ideographTraditional"/>
      <w:lvlText w:val="%5、"/>
      <w:lvlJc w:val="left"/>
      <w:pPr>
        <w:ind w:left="4695" w:hanging="480"/>
      </w:pPr>
    </w:lvl>
    <w:lvl w:ilvl="5">
      <w:start w:val="1"/>
      <w:numFmt w:val="lowerRoman"/>
      <w:lvlText w:val="%6."/>
      <w:lvlJc w:val="right"/>
      <w:pPr>
        <w:ind w:left="5175" w:hanging="480"/>
      </w:pPr>
    </w:lvl>
    <w:lvl w:ilvl="6">
      <w:start w:val="1"/>
      <w:numFmt w:val="decimal"/>
      <w:lvlText w:val="%7."/>
      <w:lvlJc w:val="left"/>
      <w:pPr>
        <w:ind w:left="5655" w:hanging="480"/>
      </w:pPr>
    </w:lvl>
    <w:lvl w:ilvl="7">
      <w:start w:val="1"/>
      <w:numFmt w:val="ideographTraditional"/>
      <w:lvlText w:val="%8、"/>
      <w:lvlJc w:val="left"/>
      <w:pPr>
        <w:ind w:left="6135" w:hanging="480"/>
      </w:pPr>
    </w:lvl>
    <w:lvl w:ilvl="8">
      <w:start w:val="1"/>
      <w:numFmt w:val="lowerRoman"/>
      <w:lvlText w:val="%9."/>
      <w:lvlJc w:val="right"/>
      <w:pPr>
        <w:ind w:left="6615" w:hanging="480"/>
      </w:pPr>
    </w:lvl>
  </w:abstractNum>
  <w:abstractNum w:abstractNumId="5" w15:restartNumberingAfterBreak="0">
    <w:nsid w:val="2DEC6909"/>
    <w:multiLevelType w:val="multilevel"/>
    <w:tmpl w:val="883A8D92"/>
    <w:styleLink w:val="WWNum9"/>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6" w15:restartNumberingAfterBreak="0">
    <w:nsid w:val="36800167"/>
    <w:multiLevelType w:val="multilevel"/>
    <w:tmpl w:val="D2549528"/>
    <w:styleLink w:val="WWNum14"/>
    <w:lvl w:ilvl="0">
      <w:start w:val="1"/>
      <w:numFmt w:val="japaneseCounting"/>
      <w:lvlText w:val="(%1)"/>
      <w:lvlJc w:val="left"/>
      <w:pPr>
        <w:ind w:left="1428" w:hanging="720"/>
      </w:pPr>
      <w:rPr>
        <w:rFonts w:ascii="標楷體" w:hAnsi="標楷體"/>
        <w:color w:val="00000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7" w15:restartNumberingAfterBreak="0">
    <w:nsid w:val="3CAA0C57"/>
    <w:multiLevelType w:val="multilevel"/>
    <w:tmpl w:val="0C1E4AC2"/>
    <w:styleLink w:val="WWNum6"/>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8" w15:restartNumberingAfterBreak="0">
    <w:nsid w:val="41C15681"/>
    <w:multiLevelType w:val="multilevel"/>
    <w:tmpl w:val="CA326AEA"/>
    <w:styleLink w:val="WWNum2"/>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9" w15:restartNumberingAfterBreak="0">
    <w:nsid w:val="45B27680"/>
    <w:multiLevelType w:val="multilevel"/>
    <w:tmpl w:val="C14E8632"/>
    <w:styleLink w:val="WWNum7"/>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0" w15:restartNumberingAfterBreak="0">
    <w:nsid w:val="46F72790"/>
    <w:multiLevelType w:val="multilevel"/>
    <w:tmpl w:val="0BDEC4D2"/>
    <w:styleLink w:val="WWNum10"/>
    <w:lvl w:ilvl="0">
      <w:start w:val="1"/>
      <w:numFmt w:val="decimal"/>
      <w:lvlText w:val="%1、"/>
      <w:lvlJc w:val="left"/>
      <w:pPr>
        <w:ind w:left="2295" w:hanging="480"/>
      </w:pPr>
    </w:lvl>
    <w:lvl w:ilvl="1">
      <w:start w:val="1"/>
      <w:numFmt w:val="ideographTraditional"/>
      <w:lvlText w:val="%2、"/>
      <w:lvlJc w:val="left"/>
      <w:pPr>
        <w:ind w:left="2775" w:hanging="480"/>
      </w:pPr>
    </w:lvl>
    <w:lvl w:ilvl="2">
      <w:start w:val="1"/>
      <w:numFmt w:val="lowerRoman"/>
      <w:lvlText w:val="%3."/>
      <w:lvlJc w:val="right"/>
      <w:pPr>
        <w:ind w:left="3255" w:hanging="480"/>
      </w:pPr>
    </w:lvl>
    <w:lvl w:ilvl="3">
      <w:start w:val="1"/>
      <w:numFmt w:val="decimal"/>
      <w:lvlText w:val="%4."/>
      <w:lvlJc w:val="left"/>
      <w:pPr>
        <w:ind w:left="3735" w:hanging="480"/>
      </w:pPr>
    </w:lvl>
    <w:lvl w:ilvl="4">
      <w:start w:val="1"/>
      <w:numFmt w:val="ideographTraditional"/>
      <w:lvlText w:val="%5、"/>
      <w:lvlJc w:val="left"/>
      <w:pPr>
        <w:ind w:left="4215" w:hanging="480"/>
      </w:pPr>
    </w:lvl>
    <w:lvl w:ilvl="5">
      <w:start w:val="1"/>
      <w:numFmt w:val="lowerRoman"/>
      <w:lvlText w:val="%6."/>
      <w:lvlJc w:val="right"/>
      <w:pPr>
        <w:ind w:left="4695" w:hanging="480"/>
      </w:pPr>
    </w:lvl>
    <w:lvl w:ilvl="6">
      <w:start w:val="1"/>
      <w:numFmt w:val="decimal"/>
      <w:lvlText w:val="%7."/>
      <w:lvlJc w:val="left"/>
      <w:pPr>
        <w:ind w:left="5175" w:hanging="480"/>
      </w:pPr>
    </w:lvl>
    <w:lvl w:ilvl="7">
      <w:start w:val="1"/>
      <w:numFmt w:val="ideographTraditional"/>
      <w:lvlText w:val="%8、"/>
      <w:lvlJc w:val="left"/>
      <w:pPr>
        <w:ind w:left="5655" w:hanging="480"/>
      </w:pPr>
    </w:lvl>
    <w:lvl w:ilvl="8">
      <w:start w:val="1"/>
      <w:numFmt w:val="lowerRoman"/>
      <w:lvlText w:val="%9."/>
      <w:lvlJc w:val="right"/>
      <w:pPr>
        <w:ind w:left="6135" w:hanging="480"/>
      </w:pPr>
    </w:lvl>
  </w:abstractNum>
  <w:abstractNum w:abstractNumId="11" w15:restartNumberingAfterBreak="0">
    <w:nsid w:val="47147DEF"/>
    <w:multiLevelType w:val="multilevel"/>
    <w:tmpl w:val="1BF274DA"/>
    <w:styleLink w:val="WWNum8"/>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2" w15:restartNumberingAfterBreak="0">
    <w:nsid w:val="53720C89"/>
    <w:multiLevelType w:val="multilevel"/>
    <w:tmpl w:val="08FC1078"/>
    <w:styleLink w:val="WWNum15"/>
    <w:lvl w:ilvl="0">
      <w:start w:val="1"/>
      <w:numFmt w:val="decimal"/>
      <w:lvlText w:val="%1."/>
      <w:lvlJc w:val="left"/>
      <w:pPr>
        <w:ind w:left="1860" w:hanging="420"/>
      </w:pPr>
      <w:rPr>
        <w:rFonts w:ascii="標楷體" w:hAnsi="標楷體"/>
        <w:color w:val="000000"/>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3" w15:restartNumberingAfterBreak="0">
    <w:nsid w:val="580040BA"/>
    <w:multiLevelType w:val="multilevel"/>
    <w:tmpl w:val="CB9464A4"/>
    <w:styleLink w:val="WWNum13"/>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3D35A7F"/>
    <w:multiLevelType w:val="multilevel"/>
    <w:tmpl w:val="EB1E98E8"/>
    <w:styleLink w:val="WWNum5"/>
    <w:lvl w:ilvl="0">
      <w:start w:val="1"/>
      <w:numFmt w:val="japaneseCounting"/>
      <w:lvlText w:val="（%1）"/>
      <w:lvlJc w:val="left"/>
      <w:pPr>
        <w:ind w:left="1576" w:hanging="856"/>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726F588B"/>
    <w:multiLevelType w:val="multilevel"/>
    <w:tmpl w:val="C9BE3804"/>
    <w:styleLink w:val="WWNum1"/>
    <w:lvl w:ilvl="0">
      <w:start w:val="1"/>
      <w:numFmt w:val="japaneseCounting"/>
      <w:lvlText w:val="%1、"/>
      <w:lvlJc w:val="left"/>
      <w:pPr>
        <w:ind w:left="720" w:hanging="720"/>
      </w:pPr>
      <w:rPr>
        <w:rFonts w:ascii="標楷體" w:hAnsi="標楷體"/>
        <w:strike w:val="0"/>
        <w:dstrike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A862B8C"/>
    <w:multiLevelType w:val="multilevel"/>
    <w:tmpl w:val="8EEEDFE6"/>
    <w:styleLink w:val="WWNum3"/>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num w:numId="1">
    <w:abstractNumId w:val="3"/>
  </w:num>
  <w:num w:numId="2">
    <w:abstractNumId w:val="15"/>
    <w:lvlOverride w:ilvl="0">
      <w:lvl w:ilvl="0">
        <w:start w:val="1"/>
        <w:numFmt w:val="japaneseCounting"/>
        <w:lvlText w:val="%1、"/>
        <w:lvlJc w:val="left"/>
        <w:pPr>
          <w:ind w:left="720" w:hanging="720"/>
        </w:pPr>
        <w:rPr>
          <w:rFonts w:ascii="標楷體" w:hAnsi="標楷體"/>
          <w:strike w:val="0"/>
          <w:dstrike w:val="0"/>
          <w:color w:val="auto"/>
          <w:sz w:val="28"/>
          <w:shd w:val="clear" w:color="auto" w:fill="auto"/>
          <w:lang w:val="en-US"/>
        </w:rPr>
      </w:lvl>
    </w:lvlOverride>
  </w:num>
  <w:num w:numId="3">
    <w:abstractNumId w:val="8"/>
  </w:num>
  <w:num w:numId="4">
    <w:abstractNumId w:val="16"/>
  </w:num>
  <w:num w:numId="5">
    <w:abstractNumId w:val="2"/>
  </w:num>
  <w:num w:numId="6">
    <w:abstractNumId w:val="14"/>
  </w:num>
  <w:num w:numId="7">
    <w:abstractNumId w:val="7"/>
  </w:num>
  <w:num w:numId="8">
    <w:abstractNumId w:val="9"/>
  </w:num>
  <w:num w:numId="9">
    <w:abstractNumId w:val="11"/>
  </w:num>
  <w:num w:numId="10">
    <w:abstractNumId w:val="5"/>
  </w:num>
  <w:num w:numId="11">
    <w:abstractNumId w:val="10"/>
  </w:num>
  <w:num w:numId="12">
    <w:abstractNumId w:val="4"/>
  </w:num>
  <w:num w:numId="13">
    <w:abstractNumId w:val="1"/>
  </w:num>
  <w:num w:numId="14">
    <w:abstractNumId w:val="13"/>
  </w:num>
  <w:num w:numId="15">
    <w:abstractNumId w:val="6"/>
  </w:num>
  <w:num w:numId="16">
    <w:abstractNumId w:val="12"/>
  </w:num>
  <w:num w:numId="17">
    <w:abstractNumId w:val="0"/>
  </w:num>
  <w:num w:numId="18">
    <w:abstractNumId w:val="15"/>
    <w:lvlOverride w:ilvl="0">
      <w:startOverride w:val="1"/>
    </w:lvlOverride>
  </w:num>
  <w:num w:numId="19">
    <w:abstractNumId w:val="14"/>
    <w:lvlOverride w:ilvl="0">
      <w:startOverride w:val="1"/>
    </w:lvlOverride>
  </w:num>
  <w:num w:numId="20">
    <w:abstractNumId w:val="6"/>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8D"/>
    <w:rsid w:val="001170D7"/>
    <w:rsid w:val="001430F5"/>
    <w:rsid w:val="003073B3"/>
    <w:rsid w:val="0052543B"/>
    <w:rsid w:val="006269B2"/>
    <w:rsid w:val="00641F4B"/>
    <w:rsid w:val="006E0A70"/>
    <w:rsid w:val="006E10EE"/>
    <w:rsid w:val="00756029"/>
    <w:rsid w:val="007E2B4F"/>
    <w:rsid w:val="00874C2F"/>
    <w:rsid w:val="00A35D62"/>
    <w:rsid w:val="00AE0E11"/>
    <w:rsid w:val="00C03F58"/>
    <w:rsid w:val="00CA6114"/>
    <w:rsid w:val="00DD6E79"/>
    <w:rsid w:val="00E6438D"/>
    <w:rsid w:val="00E75F0D"/>
    <w:rsid w:val="00EF3B0A"/>
    <w:rsid w:val="00F53A84"/>
    <w:rsid w:val="00F91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B5F161C-58F9-4921-B7F8-CAF44880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新細明體" w:hAnsi="Calibri Light" w:cs="Tahoma"/>
      <w:sz w:val="18"/>
      <w:szCs w:val="18"/>
    </w:rPr>
  </w:style>
  <w:style w:type="paragraph" w:customStyle="1" w:styleId="10">
    <w:name w:val="1"/>
    <w:basedOn w:val="Standard"/>
    <w:pPr>
      <w:widowControl/>
      <w:spacing w:after="160" w:line="240" w:lineRule="exact"/>
    </w:pPr>
    <w:rPr>
      <w:rFonts w:ascii="Tahoma" w:eastAsia="Tahoma" w:hAnsi="Tahoma" w:cs="Tahoma"/>
      <w:kern w:val="0"/>
      <w:sz w:val="20"/>
      <w:szCs w:val="20"/>
      <w:lang w:eastAsia="en-US"/>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trike w:val="0"/>
      <w:dstrike w:val="0"/>
      <w:sz w:val="28"/>
      <w:lang w:val="en-US"/>
    </w:rPr>
  </w:style>
  <w:style w:type="character" w:customStyle="1" w:styleId="ListLabel2">
    <w:name w:val="ListLabel 2"/>
    <w:rPr>
      <w:rFonts w:ascii="標楷體" w:eastAsia="標楷體" w:hAnsi="標楷體" w:cs="標楷體"/>
      <w:color w:val="000000"/>
      <w:sz w:val="28"/>
    </w:rPr>
  </w:style>
  <w:style w:type="character" w:customStyle="1" w:styleId="ListLabel3">
    <w:name w:val="ListLabel 3"/>
    <w:rPr>
      <w:rFonts w:ascii="標楷體" w:eastAsia="標楷體" w:hAnsi="標楷體" w:cs="標楷體"/>
      <w:color w:val="000000"/>
      <w:sz w:val="28"/>
    </w:rPr>
  </w:style>
  <w:style w:type="character" w:customStyle="1" w:styleId="ListLabel4">
    <w:name w:val="ListLabel 4"/>
    <w:rPr>
      <w:rFonts w:ascii="標楷體" w:eastAsia="標楷體" w:hAnsi="標楷體" w:cs="標楷體"/>
      <w:color w:val="000000"/>
      <w:sz w:val="2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1"/>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3</cp:revision>
  <cp:lastPrinted>2022-12-21T06:49:00Z</cp:lastPrinted>
  <dcterms:created xsi:type="dcterms:W3CDTF">2022-12-21T06:50:00Z</dcterms:created>
  <dcterms:modified xsi:type="dcterms:W3CDTF">2022-12-21T06:50:00Z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