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CE5" w:rsidRDefault="00B8400D" w:rsidP="001E7CE5">
      <w:pPr>
        <w:jc w:val="center"/>
        <w:rPr>
          <w:rFonts w:ascii="標楷體" w:eastAsia="標楷體" w:hAnsi="標楷體"/>
          <w:b/>
          <w:color w:val="000000"/>
          <w:sz w:val="32"/>
          <w:szCs w:val="32"/>
        </w:rPr>
      </w:pPr>
      <w:r>
        <w:rPr>
          <w:rFonts w:ascii="標楷體" w:eastAsia="標楷體" w:hAnsi="標楷體"/>
          <w:b/>
          <w:color w:val="000000"/>
          <w:sz w:val="32"/>
          <w:szCs w:val="32"/>
        </w:rPr>
        <w:t>公務人員特種考試海岸巡防人員考試錄取人員專業訓練</w:t>
      </w:r>
    </w:p>
    <w:p w:rsidR="008F4DA5" w:rsidRDefault="00B8400D" w:rsidP="001E7CE5">
      <w:pPr>
        <w:jc w:val="center"/>
        <w:rPr>
          <w:rFonts w:ascii="標楷體" w:eastAsia="標楷體" w:hAnsi="標楷體"/>
          <w:b/>
          <w:color w:val="000000"/>
          <w:sz w:val="32"/>
          <w:szCs w:val="32"/>
        </w:rPr>
      </w:pPr>
      <w:r>
        <w:rPr>
          <w:rFonts w:ascii="標楷體" w:eastAsia="標楷體" w:hAnsi="標楷體"/>
          <w:b/>
          <w:color w:val="000000"/>
          <w:sz w:val="32"/>
          <w:szCs w:val="32"/>
        </w:rPr>
        <w:t>成績考核要點</w:t>
      </w:r>
    </w:p>
    <w:p w:rsidR="008F4DA5" w:rsidRDefault="00B8400D" w:rsidP="000D0D18">
      <w:pPr>
        <w:overflowPunct w:val="0"/>
        <w:snapToGrid w:val="0"/>
        <w:spacing w:beforeLines="50" w:before="325" w:line="360" w:lineRule="exact"/>
        <w:ind w:right="136"/>
        <w:jc w:val="right"/>
      </w:pPr>
      <w:r>
        <w:rPr>
          <w:rFonts w:ascii="標楷體" w:eastAsia="標楷體" w:hAnsi="標楷體"/>
          <w:kern w:val="0"/>
        </w:rPr>
        <w:t>中華民國</w:t>
      </w:r>
      <w:r w:rsidR="000D0D18">
        <w:rPr>
          <w:rFonts w:ascii="標楷體" w:eastAsia="標楷體" w:hAnsi="標楷體" w:hint="eastAsia"/>
          <w:kern w:val="0"/>
        </w:rPr>
        <w:t>111</w:t>
      </w:r>
      <w:r>
        <w:rPr>
          <w:rFonts w:ascii="標楷體" w:eastAsia="標楷體" w:hAnsi="標楷體"/>
          <w:kern w:val="0"/>
        </w:rPr>
        <w:t>年</w:t>
      </w:r>
      <w:r w:rsidR="000D0D18">
        <w:rPr>
          <w:rFonts w:ascii="標楷體" w:eastAsia="標楷體" w:hAnsi="標楷體" w:hint="eastAsia"/>
          <w:kern w:val="0"/>
        </w:rPr>
        <w:t>12</w:t>
      </w:r>
      <w:r>
        <w:rPr>
          <w:rFonts w:ascii="標楷體" w:eastAsia="標楷體" w:hAnsi="標楷體"/>
          <w:kern w:val="0"/>
        </w:rPr>
        <w:t>月</w:t>
      </w:r>
      <w:r w:rsidR="00FE7469">
        <w:rPr>
          <w:rFonts w:ascii="標楷體" w:eastAsia="標楷體" w:hAnsi="標楷體" w:hint="eastAsia"/>
          <w:kern w:val="0"/>
        </w:rPr>
        <w:t>16</w:t>
      </w:r>
      <w:r>
        <w:rPr>
          <w:rFonts w:ascii="標楷體" w:eastAsia="標楷體" w:hAnsi="標楷體"/>
          <w:kern w:val="0"/>
        </w:rPr>
        <w:t>日</w:t>
      </w:r>
    </w:p>
    <w:p w:rsidR="008F4DA5" w:rsidRDefault="00B8400D" w:rsidP="000D0D18">
      <w:pPr>
        <w:spacing w:line="360" w:lineRule="exact"/>
        <w:ind w:left="480" w:right="136" w:hanging="480"/>
        <w:jc w:val="right"/>
      </w:pPr>
      <w:r>
        <w:rPr>
          <w:rFonts w:ascii="標楷體" w:eastAsia="標楷體" w:hAnsi="標楷體"/>
        </w:rPr>
        <w:t>保訓會公訓字第</w:t>
      </w:r>
      <w:r w:rsidR="008525AE">
        <w:rPr>
          <w:rFonts w:ascii="標楷體" w:eastAsia="標楷體" w:hAnsi="標楷體" w:hint="eastAsia"/>
        </w:rPr>
        <w:t>1110</w:t>
      </w:r>
      <w:bookmarkStart w:id="0" w:name="_GoBack"/>
      <w:bookmarkEnd w:id="0"/>
      <w:r w:rsidR="008525AE">
        <w:rPr>
          <w:rFonts w:ascii="標楷體" w:eastAsia="標楷體" w:hAnsi="標楷體" w:hint="eastAsia"/>
        </w:rPr>
        <w:t>013899</w:t>
      </w:r>
      <w:r>
        <w:rPr>
          <w:rFonts w:ascii="標楷體" w:eastAsia="標楷體" w:hAnsi="標楷體"/>
        </w:rPr>
        <w:t>號函核定</w:t>
      </w:r>
    </w:p>
    <w:p w:rsidR="008F4DA5" w:rsidRDefault="00B8400D" w:rsidP="00D60407">
      <w:pPr>
        <w:pStyle w:val="ab"/>
        <w:widowControl/>
        <w:numPr>
          <w:ilvl w:val="0"/>
          <w:numId w:val="2"/>
        </w:numPr>
        <w:spacing w:before="36" w:after="36" w:line="460" w:lineRule="exact"/>
        <w:ind w:left="658" w:hanging="658"/>
        <w:jc w:val="both"/>
        <w:rPr>
          <w:rFonts w:ascii="標楷體" w:eastAsia="標楷體" w:hAnsi="標楷體"/>
          <w:color w:val="000000"/>
          <w:sz w:val="28"/>
          <w:szCs w:val="28"/>
        </w:rPr>
      </w:pPr>
      <w:r>
        <w:rPr>
          <w:rFonts w:ascii="標楷體" w:eastAsia="標楷體" w:hAnsi="標楷體"/>
          <w:color w:val="000000"/>
          <w:sz w:val="28"/>
          <w:szCs w:val="28"/>
        </w:rPr>
        <w:t>為規範公務人員特種考試海岸巡防人員考試錄取人員專業訓練期間成績考核事宜，以客觀、公正、公平之方式考核訓練成績，特訂定本要點。</w:t>
      </w:r>
    </w:p>
    <w:p w:rsidR="008F4DA5" w:rsidRDefault="00B8400D" w:rsidP="00D60407">
      <w:pPr>
        <w:pStyle w:val="ab"/>
        <w:widowControl/>
        <w:numPr>
          <w:ilvl w:val="0"/>
          <w:numId w:val="2"/>
        </w:numPr>
        <w:spacing w:before="36" w:after="36" w:line="460" w:lineRule="exact"/>
        <w:ind w:left="658" w:hanging="658"/>
        <w:jc w:val="both"/>
      </w:pPr>
      <w:r>
        <w:rPr>
          <w:rFonts w:ascii="標楷體" w:eastAsia="標楷體" w:hAnsi="標楷體"/>
          <w:color w:val="000000"/>
          <w:kern w:val="0"/>
          <w:sz w:val="28"/>
          <w:szCs w:val="28"/>
        </w:rPr>
        <w:t>本專業訓練</w:t>
      </w:r>
      <w:r w:rsidRPr="00957144">
        <w:rPr>
          <w:rFonts w:ascii="標楷體" w:eastAsia="標楷體" w:hAnsi="標楷體"/>
          <w:color w:val="000000"/>
          <w:kern w:val="0"/>
          <w:sz w:val="28"/>
          <w:szCs w:val="28"/>
        </w:rPr>
        <w:t>由</w:t>
      </w:r>
      <w:r w:rsidR="006D5068" w:rsidRPr="00957144">
        <w:rPr>
          <w:rFonts w:ascii="標楷體" w:eastAsia="標楷體" w:hAnsi="標楷體"/>
          <w:color w:val="000000"/>
          <w:kern w:val="0"/>
          <w:sz w:val="28"/>
          <w:szCs w:val="28"/>
        </w:rPr>
        <w:t>海洋委員會</w:t>
      </w:r>
      <w:r w:rsidR="00265850">
        <w:rPr>
          <w:rFonts w:ascii="標楷體" w:eastAsia="標楷體" w:hAnsi="標楷體"/>
          <w:color w:val="000000"/>
          <w:kern w:val="0"/>
          <w:sz w:val="28"/>
          <w:szCs w:val="28"/>
        </w:rPr>
        <w:t>（</w:t>
      </w:r>
      <w:r w:rsidR="006D5068" w:rsidRPr="00957144">
        <w:rPr>
          <w:rFonts w:ascii="標楷體" w:eastAsia="標楷體" w:hAnsi="標楷體"/>
          <w:color w:val="000000"/>
          <w:kern w:val="0"/>
          <w:sz w:val="28"/>
          <w:szCs w:val="28"/>
        </w:rPr>
        <w:t>以下簡稱</w:t>
      </w:r>
      <w:r>
        <w:rPr>
          <w:rFonts w:ascii="標楷體" w:eastAsia="標楷體" w:hAnsi="標楷體"/>
          <w:color w:val="000000"/>
          <w:kern w:val="0"/>
          <w:sz w:val="28"/>
          <w:szCs w:val="28"/>
        </w:rPr>
        <w:t>海委會</w:t>
      </w:r>
      <w:r w:rsidR="00265850">
        <w:rPr>
          <w:rFonts w:ascii="標楷體" w:eastAsia="標楷體" w:hAnsi="標楷體"/>
          <w:color w:val="000000"/>
          <w:kern w:val="0"/>
          <w:sz w:val="28"/>
          <w:szCs w:val="28"/>
        </w:rPr>
        <w:t>）</w:t>
      </w:r>
      <w:r>
        <w:rPr>
          <w:rFonts w:ascii="標楷體" w:eastAsia="標楷體" w:hAnsi="標楷體"/>
          <w:color w:val="000000"/>
          <w:kern w:val="0"/>
          <w:sz w:val="28"/>
          <w:szCs w:val="28"/>
        </w:rPr>
        <w:t>海巡署教育</w:t>
      </w:r>
      <w:proofErr w:type="gramStart"/>
      <w:r>
        <w:rPr>
          <w:rFonts w:ascii="標楷體" w:eastAsia="標楷體" w:hAnsi="標楷體"/>
          <w:color w:val="000000"/>
          <w:kern w:val="0"/>
          <w:sz w:val="28"/>
          <w:szCs w:val="28"/>
        </w:rPr>
        <w:t>訓練測考中心</w:t>
      </w:r>
      <w:proofErr w:type="gramEnd"/>
      <w:r w:rsidR="00265850">
        <w:rPr>
          <w:rFonts w:ascii="標楷體" w:eastAsia="標楷體" w:hAnsi="標楷體"/>
          <w:kern w:val="0"/>
          <w:sz w:val="28"/>
          <w:szCs w:val="28"/>
        </w:rPr>
        <w:t>（</w:t>
      </w:r>
      <w:r>
        <w:rPr>
          <w:rFonts w:ascii="標楷體" w:eastAsia="標楷體" w:hAnsi="標楷體"/>
          <w:kern w:val="0"/>
          <w:sz w:val="28"/>
          <w:szCs w:val="28"/>
        </w:rPr>
        <w:t>以下簡稱教測中心</w:t>
      </w:r>
      <w:r w:rsidR="00265850">
        <w:rPr>
          <w:rFonts w:ascii="標楷體" w:eastAsia="標楷體" w:hAnsi="標楷體"/>
          <w:kern w:val="0"/>
          <w:sz w:val="28"/>
          <w:szCs w:val="28"/>
        </w:rPr>
        <w:t>）</w:t>
      </w:r>
      <w:r>
        <w:rPr>
          <w:rFonts w:ascii="標楷體" w:eastAsia="標楷體" w:hAnsi="標楷體"/>
          <w:kern w:val="0"/>
          <w:sz w:val="28"/>
          <w:szCs w:val="28"/>
        </w:rPr>
        <w:t>執行</w:t>
      </w:r>
      <w:r>
        <w:rPr>
          <w:rFonts w:ascii="標楷體" w:eastAsia="標楷體" w:hAnsi="標楷體"/>
          <w:color w:val="000000"/>
          <w:sz w:val="28"/>
          <w:szCs w:val="28"/>
        </w:rPr>
        <w:t>，各項</w:t>
      </w:r>
      <w:r w:rsidR="00265850">
        <w:rPr>
          <w:rFonts w:ascii="標楷體" w:eastAsia="標楷體" w:hAnsi="標楷體"/>
          <w:color w:val="000000"/>
          <w:sz w:val="28"/>
          <w:szCs w:val="28"/>
        </w:rPr>
        <w:t>（</w:t>
      </w:r>
      <w:r>
        <w:rPr>
          <w:rFonts w:ascii="標楷體" w:eastAsia="標楷體" w:hAnsi="標楷體"/>
          <w:color w:val="000000"/>
          <w:sz w:val="28"/>
          <w:szCs w:val="28"/>
        </w:rPr>
        <w:t>科</w:t>
      </w:r>
      <w:r w:rsidR="00265850">
        <w:rPr>
          <w:rFonts w:ascii="標楷體" w:eastAsia="標楷體" w:hAnsi="標楷體"/>
          <w:color w:val="000000"/>
          <w:sz w:val="28"/>
          <w:szCs w:val="28"/>
        </w:rPr>
        <w:t>）</w:t>
      </w:r>
      <w:r>
        <w:rPr>
          <w:rFonts w:ascii="標楷體" w:eastAsia="標楷體" w:hAnsi="標楷體"/>
          <w:color w:val="000000"/>
          <w:sz w:val="28"/>
          <w:szCs w:val="28"/>
        </w:rPr>
        <w:t>目成績標準以一百分為滿分，六十分為及格，未滿六十分為不及格，其小數計到第二位，以下四捨五入。</w:t>
      </w:r>
    </w:p>
    <w:p w:rsidR="008F4DA5" w:rsidRDefault="00B8400D" w:rsidP="00D60407">
      <w:pPr>
        <w:pStyle w:val="ab"/>
        <w:widowControl/>
        <w:numPr>
          <w:ilvl w:val="0"/>
          <w:numId w:val="2"/>
        </w:numPr>
        <w:spacing w:before="36" w:after="36" w:line="460" w:lineRule="exact"/>
        <w:ind w:left="658" w:hanging="658"/>
        <w:jc w:val="both"/>
      </w:pPr>
      <w:r>
        <w:rPr>
          <w:rFonts w:ascii="標楷體" w:eastAsia="標楷體" w:hAnsi="標楷體"/>
          <w:color w:val="000000"/>
          <w:kern w:val="0"/>
          <w:sz w:val="28"/>
          <w:szCs w:val="28"/>
        </w:rPr>
        <w:t>專業訓練</w:t>
      </w:r>
      <w:r>
        <w:rPr>
          <w:rFonts w:ascii="標楷體" w:eastAsia="標楷體" w:hAnsi="標楷體"/>
          <w:color w:val="000000"/>
          <w:sz w:val="28"/>
          <w:szCs w:val="28"/>
        </w:rPr>
        <w:t>成績考核項目及百分比</w:t>
      </w:r>
    </w:p>
    <w:p w:rsidR="008F4DA5" w:rsidRDefault="00B8400D" w:rsidP="00D60407">
      <w:pPr>
        <w:pStyle w:val="ab"/>
        <w:widowControl/>
        <w:numPr>
          <w:ilvl w:val="0"/>
          <w:numId w:val="3"/>
        </w:numPr>
        <w:spacing w:before="36" w:after="36" w:line="460" w:lineRule="exact"/>
        <w:ind w:left="709" w:hanging="567"/>
        <w:jc w:val="both"/>
        <w:rPr>
          <w:rFonts w:ascii="標楷體" w:eastAsia="標楷體" w:hAnsi="標楷體"/>
          <w:color w:val="000000"/>
          <w:sz w:val="28"/>
          <w:szCs w:val="28"/>
        </w:rPr>
      </w:pPr>
      <w:r>
        <w:rPr>
          <w:rFonts w:ascii="標楷體" w:eastAsia="標楷體" w:hAnsi="標楷體"/>
          <w:color w:val="000000"/>
          <w:sz w:val="28"/>
          <w:szCs w:val="28"/>
        </w:rPr>
        <w:t>學科成績占總成績百分之五十。</w:t>
      </w:r>
    </w:p>
    <w:p w:rsidR="008F4DA5" w:rsidRDefault="00B8400D" w:rsidP="00D60407">
      <w:pPr>
        <w:pStyle w:val="ab"/>
        <w:widowControl/>
        <w:numPr>
          <w:ilvl w:val="0"/>
          <w:numId w:val="3"/>
        </w:numPr>
        <w:spacing w:before="36" w:after="36" w:line="460" w:lineRule="exact"/>
        <w:ind w:left="709" w:hanging="567"/>
        <w:jc w:val="both"/>
        <w:rPr>
          <w:rFonts w:ascii="標楷體" w:eastAsia="標楷體" w:hAnsi="標楷體"/>
          <w:color w:val="000000"/>
          <w:sz w:val="28"/>
          <w:szCs w:val="28"/>
        </w:rPr>
      </w:pPr>
      <w:r>
        <w:rPr>
          <w:rFonts w:ascii="標楷體" w:eastAsia="標楷體" w:hAnsi="標楷體"/>
          <w:color w:val="000000"/>
          <w:sz w:val="28"/>
          <w:szCs w:val="28"/>
        </w:rPr>
        <w:t>體技成績占總成績百分之二十。</w:t>
      </w:r>
    </w:p>
    <w:p w:rsidR="008F4DA5" w:rsidRDefault="00B8400D" w:rsidP="00D60407">
      <w:pPr>
        <w:pStyle w:val="ab"/>
        <w:widowControl/>
        <w:numPr>
          <w:ilvl w:val="0"/>
          <w:numId w:val="3"/>
        </w:numPr>
        <w:spacing w:before="36" w:after="36" w:line="460" w:lineRule="exact"/>
        <w:ind w:left="709" w:hanging="567"/>
        <w:jc w:val="both"/>
        <w:rPr>
          <w:rFonts w:ascii="標楷體" w:eastAsia="標楷體" w:hAnsi="標楷體"/>
          <w:color w:val="000000"/>
          <w:sz w:val="28"/>
          <w:szCs w:val="28"/>
        </w:rPr>
      </w:pPr>
      <w:r>
        <w:rPr>
          <w:rFonts w:ascii="標楷體" w:eastAsia="標楷體" w:hAnsi="標楷體"/>
          <w:color w:val="000000"/>
          <w:sz w:val="28"/>
          <w:szCs w:val="28"/>
        </w:rPr>
        <w:t>操行成績占總成績百分之三十。</w:t>
      </w:r>
    </w:p>
    <w:p w:rsidR="008F4DA5" w:rsidRDefault="00B8400D" w:rsidP="00D60407">
      <w:pPr>
        <w:pStyle w:val="ab"/>
        <w:widowControl/>
        <w:numPr>
          <w:ilvl w:val="0"/>
          <w:numId w:val="2"/>
        </w:numPr>
        <w:spacing w:before="36" w:after="36" w:line="460" w:lineRule="exact"/>
        <w:ind w:left="672" w:hanging="672"/>
        <w:jc w:val="both"/>
      </w:pPr>
      <w:r>
        <w:rPr>
          <w:rFonts w:ascii="標楷體" w:eastAsia="標楷體" w:hAnsi="標楷體"/>
          <w:color w:val="000000"/>
          <w:sz w:val="28"/>
          <w:szCs w:val="28"/>
        </w:rPr>
        <w:t>學科</w:t>
      </w:r>
      <w:r>
        <w:rPr>
          <w:rFonts w:ascii="標楷體" w:eastAsia="標楷體" w:hAnsi="標楷體"/>
          <w:kern w:val="0"/>
          <w:sz w:val="28"/>
          <w:szCs w:val="28"/>
        </w:rPr>
        <w:t>各科目</w:t>
      </w:r>
      <w:r>
        <w:rPr>
          <w:rFonts w:ascii="標楷體" w:eastAsia="標楷體" w:hAnsi="標楷體"/>
          <w:color w:val="000000"/>
          <w:sz w:val="28"/>
          <w:szCs w:val="28"/>
        </w:rPr>
        <w:t>成績按百分法計算，</w:t>
      </w:r>
      <w:r>
        <w:rPr>
          <w:rFonts w:ascii="標楷體" w:eastAsia="標楷體" w:hAnsi="標楷體"/>
          <w:kern w:val="0"/>
          <w:sz w:val="28"/>
          <w:szCs w:val="28"/>
        </w:rPr>
        <w:t>包括期中考試成績及</w:t>
      </w:r>
      <w:r>
        <w:rPr>
          <w:rFonts w:ascii="標楷體" w:eastAsia="標楷體" w:hAnsi="標楷體"/>
          <w:color w:val="000000"/>
          <w:kern w:val="0"/>
          <w:sz w:val="28"/>
          <w:szCs w:val="28"/>
        </w:rPr>
        <w:t>期末</w:t>
      </w:r>
      <w:r>
        <w:rPr>
          <w:rFonts w:ascii="標楷體" w:eastAsia="標楷體" w:hAnsi="標楷體"/>
          <w:kern w:val="0"/>
          <w:sz w:val="28"/>
          <w:szCs w:val="28"/>
        </w:rPr>
        <w:t>考試</w:t>
      </w:r>
      <w:r>
        <w:rPr>
          <w:rFonts w:ascii="標楷體" w:eastAsia="標楷體" w:hAnsi="標楷體"/>
          <w:color w:val="000000"/>
          <w:kern w:val="0"/>
          <w:sz w:val="28"/>
          <w:szCs w:val="28"/>
        </w:rPr>
        <w:t>成績，</w:t>
      </w:r>
      <w:r>
        <w:rPr>
          <w:rFonts w:ascii="標楷體" w:eastAsia="標楷體" w:hAnsi="標楷體"/>
          <w:color w:val="000000"/>
          <w:sz w:val="28"/>
          <w:szCs w:val="28"/>
        </w:rPr>
        <w:t>考核方式如下：</w:t>
      </w:r>
    </w:p>
    <w:p w:rsidR="008F4DA5" w:rsidRDefault="00B8400D" w:rsidP="00D60407">
      <w:pPr>
        <w:pStyle w:val="ab"/>
        <w:widowControl/>
        <w:numPr>
          <w:ilvl w:val="0"/>
          <w:numId w:val="4"/>
        </w:numPr>
        <w:spacing w:before="36" w:after="36" w:line="460" w:lineRule="exact"/>
        <w:ind w:left="709" w:hanging="567"/>
        <w:jc w:val="both"/>
      </w:pPr>
      <w:r>
        <w:rPr>
          <w:rFonts w:ascii="標楷體" w:eastAsia="標楷體" w:hAnsi="標楷體"/>
          <w:color w:val="000000"/>
          <w:kern w:val="0"/>
          <w:sz w:val="28"/>
          <w:szCs w:val="28"/>
        </w:rPr>
        <w:t>期中考</w:t>
      </w:r>
      <w:r>
        <w:rPr>
          <w:rFonts w:ascii="標楷體" w:eastAsia="標楷體" w:hAnsi="標楷體"/>
          <w:color w:val="000000"/>
          <w:sz w:val="28"/>
          <w:szCs w:val="28"/>
        </w:rPr>
        <w:t>試：</w:t>
      </w:r>
      <w:proofErr w:type="gramStart"/>
      <w:r w:rsidR="002A3C5C" w:rsidRPr="004604F5">
        <w:rPr>
          <w:rFonts w:ascii="標楷體" w:eastAsia="標楷體" w:hAnsi="標楷體"/>
          <w:color w:val="000000"/>
          <w:sz w:val="28"/>
          <w:szCs w:val="28"/>
        </w:rPr>
        <w:t>訓</w:t>
      </w:r>
      <w:proofErr w:type="gramEnd"/>
      <w:r w:rsidR="002A3C5C" w:rsidRPr="004604F5">
        <w:rPr>
          <w:rFonts w:ascii="標楷體" w:eastAsia="標楷體" w:hAnsi="標楷體"/>
          <w:color w:val="000000"/>
          <w:sz w:val="28"/>
          <w:szCs w:val="28"/>
        </w:rPr>
        <w:t>期</w:t>
      </w:r>
      <w:r>
        <w:rPr>
          <w:rFonts w:ascii="標楷體" w:eastAsia="標楷體" w:hAnsi="標楷體"/>
          <w:color w:val="000000"/>
          <w:sz w:val="28"/>
          <w:szCs w:val="28"/>
        </w:rPr>
        <w:t>中依規定時間及課程表規定授課地點時段舉行，占</w:t>
      </w:r>
      <w:r w:rsidR="002A3C5C" w:rsidRPr="004604F5">
        <w:rPr>
          <w:rFonts w:ascii="標楷體" w:eastAsia="標楷體" w:hAnsi="標楷體"/>
          <w:color w:val="000000"/>
          <w:sz w:val="28"/>
          <w:szCs w:val="28"/>
        </w:rPr>
        <w:t>學科</w:t>
      </w:r>
      <w:r>
        <w:rPr>
          <w:rFonts w:ascii="標楷體" w:eastAsia="標楷體" w:hAnsi="標楷體"/>
          <w:color w:val="000000"/>
          <w:sz w:val="28"/>
          <w:szCs w:val="28"/>
        </w:rPr>
        <w:t>成績百分之五十。</w:t>
      </w:r>
    </w:p>
    <w:p w:rsidR="008F4DA5" w:rsidRDefault="00B8400D" w:rsidP="00D60407">
      <w:pPr>
        <w:pStyle w:val="ab"/>
        <w:widowControl/>
        <w:numPr>
          <w:ilvl w:val="0"/>
          <w:numId w:val="4"/>
        </w:numPr>
        <w:spacing w:before="36" w:after="36" w:line="460" w:lineRule="exact"/>
        <w:ind w:left="709" w:hanging="567"/>
        <w:jc w:val="both"/>
      </w:pPr>
      <w:r>
        <w:rPr>
          <w:rFonts w:ascii="標楷體" w:eastAsia="標楷體" w:hAnsi="標楷體"/>
          <w:color w:val="000000"/>
          <w:sz w:val="28"/>
          <w:szCs w:val="28"/>
        </w:rPr>
        <w:t>期末考試</w:t>
      </w:r>
      <w:r>
        <w:rPr>
          <w:rFonts w:ascii="標楷體" w:eastAsia="標楷體" w:hAnsi="標楷體"/>
          <w:color w:val="000000"/>
          <w:kern w:val="0"/>
          <w:sz w:val="28"/>
          <w:szCs w:val="28"/>
        </w:rPr>
        <w:t>：</w:t>
      </w:r>
      <w:r w:rsidR="002A3C5C" w:rsidRPr="004604F5">
        <w:rPr>
          <w:rFonts w:ascii="標楷體" w:eastAsia="標楷體" w:hAnsi="標楷體"/>
          <w:kern w:val="0"/>
          <w:sz w:val="28"/>
          <w:szCs w:val="28"/>
        </w:rPr>
        <w:t>訓期</w:t>
      </w:r>
      <w:r>
        <w:rPr>
          <w:rFonts w:ascii="標楷體" w:eastAsia="標楷體" w:hAnsi="標楷體"/>
          <w:kern w:val="0"/>
          <w:sz w:val="28"/>
          <w:szCs w:val="28"/>
        </w:rPr>
        <w:t>終了前依規定時間及課程表規定授課地點時段舉行，占</w:t>
      </w:r>
      <w:r w:rsidR="002A3C5C" w:rsidRPr="004604F5">
        <w:rPr>
          <w:rFonts w:ascii="標楷體" w:eastAsia="標楷體" w:hAnsi="標楷體"/>
          <w:kern w:val="0"/>
          <w:sz w:val="28"/>
          <w:szCs w:val="28"/>
        </w:rPr>
        <w:t>學科</w:t>
      </w:r>
      <w:r>
        <w:rPr>
          <w:rFonts w:ascii="標楷體" w:eastAsia="標楷體" w:hAnsi="標楷體"/>
          <w:kern w:val="0"/>
          <w:sz w:val="28"/>
          <w:szCs w:val="28"/>
        </w:rPr>
        <w:t>成績</w:t>
      </w:r>
      <w:r w:rsidRPr="004604F5">
        <w:rPr>
          <w:rFonts w:ascii="標楷體" w:eastAsia="標楷體" w:hAnsi="標楷體"/>
          <w:kern w:val="0"/>
          <w:sz w:val="28"/>
          <w:szCs w:val="28"/>
        </w:rPr>
        <w:t>百分之五</w:t>
      </w:r>
      <w:r>
        <w:rPr>
          <w:rFonts w:ascii="標楷體" w:eastAsia="標楷體" w:hAnsi="標楷體"/>
          <w:color w:val="000000"/>
          <w:sz w:val="28"/>
          <w:szCs w:val="28"/>
        </w:rPr>
        <w:t>十</w:t>
      </w:r>
      <w:r>
        <w:rPr>
          <w:rFonts w:ascii="標楷體" w:eastAsia="標楷體" w:hAnsi="標楷體"/>
          <w:color w:val="000000"/>
          <w:kern w:val="0"/>
          <w:sz w:val="28"/>
          <w:szCs w:val="28"/>
        </w:rPr>
        <w:t>。</w:t>
      </w:r>
    </w:p>
    <w:p w:rsidR="008F4DA5" w:rsidRDefault="00B8400D" w:rsidP="00D60407">
      <w:pPr>
        <w:pStyle w:val="ab"/>
        <w:widowControl/>
        <w:numPr>
          <w:ilvl w:val="0"/>
          <w:numId w:val="4"/>
        </w:numPr>
        <w:spacing w:before="36" w:after="36" w:line="460" w:lineRule="exact"/>
        <w:ind w:left="709" w:hanging="567"/>
        <w:jc w:val="both"/>
        <w:rPr>
          <w:rFonts w:ascii="標楷體" w:eastAsia="標楷體" w:hAnsi="標楷體"/>
          <w:color w:val="000000"/>
          <w:sz w:val="28"/>
          <w:szCs w:val="28"/>
        </w:rPr>
      </w:pPr>
      <w:r>
        <w:rPr>
          <w:rFonts w:ascii="標楷體" w:eastAsia="標楷體" w:hAnsi="標楷體"/>
          <w:color w:val="000000"/>
          <w:sz w:val="28"/>
          <w:szCs w:val="28"/>
        </w:rPr>
        <w:t>學科測驗成績包含法律課程及專業</w:t>
      </w:r>
      <w:r w:rsidR="00265850">
        <w:rPr>
          <w:rFonts w:ascii="標楷體" w:eastAsia="標楷體" w:hAnsi="標楷體"/>
          <w:color w:val="000000"/>
          <w:sz w:val="28"/>
          <w:szCs w:val="28"/>
        </w:rPr>
        <w:t>（</w:t>
      </w:r>
      <w:r>
        <w:rPr>
          <w:rFonts w:ascii="標楷體" w:eastAsia="標楷體" w:hAnsi="標楷體"/>
          <w:color w:val="000000"/>
          <w:sz w:val="28"/>
          <w:szCs w:val="28"/>
        </w:rPr>
        <w:t>含通識</w:t>
      </w:r>
      <w:r w:rsidR="00265850">
        <w:rPr>
          <w:rFonts w:ascii="標楷體" w:eastAsia="標楷體" w:hAnsi="標楷體"/>
          <w:color w:val="000000"/>
          <w:sz w:val="28"/>
          <w:szCs w:val="28"/>
        </w:rPr>
        <w:t>）</w:t>
      </w:r>
      <w:r>
        <w:rPr>
          <w:rFonts w:ascii="標楷體" w:eastAsia="標楷體" w:hAnsi="標楷體"/>
          <w:color w:val="000000"/>
          <w:sz w:val="28"/>
          <w:szCs w:val="28"/>
        </w:rPr>
        <w:t>課程兩部分，各占期中、期末測驗成績百分之五十。</w:t>
      </w:r>
    </w:p>
    <w:p w:rsidR="008F4DA5" w:rsidRDefault="00B8400D" w:rsidP="00D60407">
      <w:pPr>
        <w:pStyle w:val="ab"/>
        <w:widowControl/>
        <w:numPr>
          <w:ilvl w:val="0"/>
          <w:numId w:val="4"/>
        </w:numPr>
        <w:spacing w:before="36" w:after="36" w:line="460" w:lineRule="exact"/>
        <w:ind w:left="709" w:hanging="567"/>
        <w:jc w:val="both"/>
        <w:rPr>
          <w:rFonts w:ascii="標楷體" w:eastAsia="標楷體" w:hAnsi="標楷體"/>
          <w:color w:val="000000"/>
          <w:sz w:val="28"/>
          <w:szCs w:val="28"/>
        </w:rPr>
      </w:pPr>
      <w:r>
        <w:rPr>
          <w:rFonts w:ascii="標楷體" w:eastAsia="標楷體" w:hAnsi="標楷體"/>
          <w:color w:val="000000"/>
          <w:sz w:val="28"/>
          <w:szCs w:val="28"/>
        </w:rPr>
        <w:t>學科期中或期末測驗成績不及格者，得補考一次</w:t>
      </w:r>
      <w:r w:rsidR="00265850">
        <w:rPr>
          <w:rFonts w:ascii="標楷體" w:eastAsia="標楷體" w:hAnsi="標楷體"/>
          <w:color w:val="000000"/>
          <w:sz w:val="28"/>
          <w:szCs w:val="28"/>
        </w:rPr>
        <w:t>（</w:t>
      </w:r>
      <w:r>
        <w:rPr>
          <w:rFonts w:ascii="標楷體" w:eastAsia="標楷體" w:hAnsi="標楷體"/>
          <w:color w:val="000000"/>
          <w:sz w:val="28"/>
          <w:szCs w:val="28"/>
        </w:rPr>
        <w:t>本要點第十點第二款及第十一點者除外</w:t>
      </w:r>
      <w:r w:rsidR="00265850">
        <w:rPr>
          <w:rFonts w:ascii="標楷體" w:eastAsia="標楷體" w:hAnsi="標楷體"/>
          <w:color w:val="000000"/>
          <w:sz w:val="28"/>
          <w:szCs w:val="28"/>
        </w:rPr>
        <w:t>）</w:t>
      </w:r>
      <w:r>
        <w:rPr>
          <w:rFonts w:ascii="標楷體" w:eastAsia="標楷體" w:hAnsi="標楷體"/>
          <w:color w:val="000000"/>
          <w:sz w:val="28"/>
          <w:szCs w:val="28"/>
        </w:rPr>
        <w:t>，惟補考後該測驗成績若高於六十分仍以六十分計。補考時間依訓練機關公布補考時間施測；未依公布時間受測者，該項測驗科目補考成績以零分計。</w:t>
      </w:r>
    </w:p>
    <w:p w:rsidR="008F4DA5" w:rsidRDefault="00B8400D" w:rsidP="00D60407">
      <w:pPr>
        <w:pStyle w:val="ab"/>
        <w:widowControl/>
        <w:numPr>
          <w:ilvl w:val="0"/>
          <w:numId w:val="2"/>
        </w:numPr>
        <w:spacing w:before="36" w:after="36" w:line="460" w:lineRule="exact"/>
        <w:ind w:left="672" w:hanging="672"/>
        <w:jc w:val="both"/>
      </w:pPr>
      <w:r>
        <w:rPr>
          <w:rFonts w:ascii="標楷體" w:eastAsia="標楷體" w:hAnsi="標楷體"/>
          <w:color w:val="000000"/>
          <w:sz w:val="28"/>
          <w:szCs w:val="28"/>
        </w:rPr>
        <w:t>操行成績考核依「公務人員特種考試海岸巡防人員考試錄取人員專業訓練操行成績考核要點」辦理。</w:t>
      </w:r>
    </w:p>
    <w:p w:rsidR="008F4DA5" w:rsidRDefault="00B8400D" w:rsidP="00D60407">
      <w:pPr>
        <w:pStyle w:val="ab"/>
        <w:widowControl/>
        <w:numPr>
          <w:ilvl w:val="0"/>
          <w:numId w:val="2"/>
        </w:numPr>
        <w:spacing w:before="36" w:after="36" w:line="460" w:lineRule="exact"/>
        <w:ind w:left="672" w:hanging="672"/>
        <w:jc w:val="both"/>
        <w:rPr>
          <w:rFonts w:ascii="標楷體" w:eastAsia="標楷體" w:hAnsi="標楷體"/>
          <w:color w:val="000000"/>
          <w:sz w:val="28"/>
          <w:szCs w:val="28"/>
        </w:rPr>
      </w:pPr>
      <w:r>
        <w:rPr>
          <w:rFonts w:ascii="標楷體" w:eastAsia="標楷體" w:hAnsi="標楷體"/>
          <w:color w:val="000000"/>
          <w:sz w:val="28"/>
          <w:szCs w:val="28"/>
        </w:rPr>
        <w:lastRenderedPageBreak/>
        <w:t>體技成績考核依「公務人員特種考試海岸巡防人員考試錄取人員專業訓練體技成績考核要點」辦理。</w:t>
      </w:r>
    </w:p>
    <w:p w:rsidR="008F4DA5" w:rsidRDefault="00B8400D" w:rsidP="00D60407">
      <w:pPr>
        <w:pStyle w:val="ab"/>
        <w:widowControl/>
        <w:numPr>
          <w:ilvl w:val="0"/>
          <w:numId w:val="2"/>
        </w:numPr>
        <w:spacing w:before="36" w:after="36" w:line="460" w:lineRule="exact"/>
        <w:ind w:left="672" w:hanging="672"/>
        <w:jc w:val="both"/>
        <w:rPr>
          <w:rFonts w:ascii="標楷體" w:eastAsia="標楷體" w:hAnsi="標楷體"/>
          <w:color w:val="000000"/>
          <w:sz w:val="28"/>
          <w:szCs w:val="28"/>
        </w:rPr>
      </w:pPr>
      <w:r>
        <w:rPr>
          <w:rFonts w:ascii="標楷體" w:eastAsia="標楷體" w:hAnsi="標楷體"/>
          <w:color w:val="000000"/>
          <w:sz w:val="28"/>
          <w:szCs w:val="28"/>
        </w:rPr>
        <w:t>學科、體技</w:t>
      </w:r>
      <w:r w:rsidR="005E667F" w:rsidRPr="004604F5">
        <w:rPr>
          <w:rFonts w:ascii="標楷體" w:eastAsia="標楷體" w:hAnsi="標楷體"/>
          <w:color w:val="000000"/>
          <w:sz w:val="28"/>
          <w:szCs w:val="28"/>
        </w:rPr>
        <w:t>、</w:t>
      </w:r>
      <w:r>
        <w:rPr>
          <w:rFonts w:ascii="標楷體" w:eastAsia="標楷體" w:hAnsi="標楷體"/>
          <w:color w:val="000000"/>
          <w:sz w:val="28"/>
          <w:szCs w:val="28"/>
        </w:rPr>
        <w:t>操行</w:t>
      </w:r>
      <w:r w:rsidR="005E667F" w:rsidRPr="004604F5">
        <w:rPr>
          <w:rFonts w:ascii="標楷體" w:eastAsia="標楷體" w:hAnsi="標楷體"/>
          <w:color w:val="000000"/>
          <w:sz w:val="28"/>
          <w:szCs w:val="28"/>
        </w:rPr>
        <w:t>或體技之游泳測驗</w:t>
      </w:r>
      <w:r>
        <w:rPr>
          <w:rFonts w:ascii="標楷體" w:eastAsia="標楷體" w:hAnsi="標楷體"/>
          <w:color w:val="000000"/>
          <w:sz w:val="28"/>
          <w:szCs w:val="28"/>
        </w:rPr>
        <w:t>成績任</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項目經評定不及格者，依規定</w:t>
      </w:r>
      <w:proofErr w:type="gramStart"/>
      <w:r>
        <w:rPr>
          <w:rFonts w:ascii="標楷體" w:eastAsia="標楷體" w:hAnsi="標楷體"/>
          <w:color w:val="000000"/>
          <w:sz w:val="28"/>
          <w:szCs w:val="28"/>
        </w:rPr>
        <w:t>報請海委會</w:t>
      </w:r>
      <w:proofErr w:type="gramEnd"/>
      <w:r>
        <w:rPr>
          <w:rFonts w:ascii="標楷體" w:eastAsia="標楷體" w:hAnsi="標楷體"/>
          <w:color w:val="000000"/>
          <w:sz w:val="28"/>
          <w:szCs w:val="28"/>
        </w:rPr>
        <w:t>海巡署轉</w:t>
      </w:r>
      <w:proofErr w:type="gramStart"/>
      <w:r>
        <w:rPr>
          <w:rFonts w:ascii="標楷體" w:eastAsia="標楷體" w:hAnsi="標楷體"/>
          <w:color w:val="000000"/>
          <w:sz w:val="28"/>
          <w:szCs w:val="28"/>
        </w:rPr>
        <w:t>陳海委會</w:t>
      </w:r>
      <w:proofErr w:type="gramEnd"/>
      <w:r>
        <w:rPr>
          <w:rFonts w:ascii="標楷體" w:eastAsia="標楷體" w:hAnsi="標楷體"/>
          <w:color w:val="000000"/>
          <w:sz w:val="28"/>
          <w:szCs w:val="28"/>
        </w:rPr>
        <w:t>函送公務人員保障暨培訓委員會</w:t>
      </w:r>
      <w:r w:rsidR="00265850">
        <w:rPr>
          <w:rFonts w:ascii="標楷體" w:eastAsia="標楷體" w:hAnsi="標楷體"/>
          <w:color w:val="000000"/>
          <w:sz w:val="28"/>
          <w:szCs w:val="28"/>
        </w:rPr>
        <w:t>（</w:t>
      </w:r>
      <w:r>
        <w:rPr>
          <w:rFonts w:ascii="標楷體" w:eastAsia="標楷體" w:hAnsi="標楷體"/>
          <w:color w:val="000000"/>
          <w:sz w:val="28"/>
          <w:szCs w:val="28"/>
        </w:rPr>
        <w:t>以下簡稱保訓會</w:t>
      </w:r>
      <w:r w:rsidR="00265850">
        <w:rPr>
          <w:rFonts w:ascii="標楷體" w:eastAsia="標楷體" w:hAnsi="標楷體"/>
          <w:color w:val="000000"/>
          <w:sz w:val="28"/>
          <w:szCs w:val="28"/>
        </w:rPr>
        <w:t>）</w:t>
      </w:r>
      <w:r>
        <w:rPr>
          <w:rFonts w:ascii="標楷體" w:eastAsia="標楷體" w:hAnsi="標楷體"/>
          <w:color w:val="000000"/>
          <w:sz w:val="28"/>
          <w:szCs w:val="28"/>
        </w:rPr>
        <w:t>廢止受訓資格。保訓會核定成績前，學員仍留訓練機關（構）學校訓練。保訓會得派員前往訓練機關（構）學校調閱相關文件與訪談相關人員，前述訓練機關（構）學校及受訪談人員應予必要之協助。</w:t>
      </w:r>
    </w:p>
    <w:p w:rsidR="008F4DA5" w:rsidRDefault="00B8400D" w:rsidP="00D60407">
      <w:pPr>
        <w:pStyle w:val="ab"/>
        <w:widowControl/>
        <w:numPr>
          <w:ilvl w:val="0"/>
          <w:numId w:val="2"/>
        </w:numPr>
        <w:spacing w:before="36" w:after="36" w:line="460" w:lineRule="exact"/>
        <w:ind w:left="672" w:hanging="672"/>
        <w:jc w:val="both"/>
        <w:rPr>
          <w:rFonts w:ascii="標楷體" w:eastAsia="標楷體" w:hAnsi="標楷體"/>
          <w:color w:val="000000"/>
          <w:sz w:val="28"/>
          <w:szCs w:val="28"/>
        </w:rPr>
      </w:pPr>
      <w:r>
        <w:rPr>
          <w:rFonts w:ascii="標楷體" w:eastAsia="標楷體" w:hAnsi="標楷體"/>
          <w:color w:val="000000"/>
          <w:sz w:val="28"/>
          <w:szCs w:val="28"/>
        </w:rPr>
        <w:t>各科試卷，經授課老師評分後不得更改，但屬授課教師之疏失者，應提出書面</w:t>
      </w:r>
      <w:proofErr w:type="gramStart"/>
      <w:r>
        <w:rPr>
          <w:rFonts w:ascii="標楷體" w:eastAsia="標楷體" w:hAnsi="標楷體"/>
          <w:color w:val="000000"/>
          <w:sz w:val="28"/>
          <w:szCs w:val="28"/>
        </w:rPr>
        <w:t>送交教測中心</w:t>
      </w:r>
      <w:proofErr w:type="gramEnd"/>
      <w:r>
        <w:rPr>
          <w:rFonts w:ascii="標楷體" w:eastAsia="標楷體" w:hAnsi="標楷體"/>
          <w:color w:val="000000"/>
          <w:sz w:val="28"/>
          <w:szCs w:val="28"/>
        </w:rPr>
        <w:t>處理。</w:t>
      </w:r>
    </w:p>
    <w:p w:rsidR="008F4DA5" w:rsidRDefault="00B8400D" w:rsidP="00D60407">
      <w:pPr>
        <w:pStyle w:val="ab"/>
        <w:widowControl/>
        <w:numPr>
          <w:ilvl w:val="0"/>
          <w:numId w:val="2"/>
        </w:numPr>
        <w:spacing w:before="36" w:after="36" w:line="460" w:lineRule="exact"/>
        <w:ind w:left="672" w:hanging="672"/>
        <w:jc w:val="both"/>
        <w:rPr>
          <w:rFonts w:ascii="標楷體" w:eastAsia="標楷體" w:hAnsi="標楷體"/>
          <w:color w:val="000000"/>
          <w:sz w:val="28"/>
          <w:szCs w:val="28"/>
        </w:rPr>
      </w:pPr>
      <w:r>
        <w:rPr>
          <w:rFonts w:ascii="標楷體" w:eastAsia="標楷體" w:hAnsi="標楷體"/>
          <w:color w:val="000000"/>
          <w:sz w:val="28"/>
          <w:szCs w:val="28"/>
        </w:rPr>
        <w:t>訓練期間辦理成績考核相關人員，於其本人、配偶、前配偶、三親等內之血親、姻親參加訓練之評量時，應自行迴避。</w:t>
      </w:r>
    </w:p>
    <w:p w:rsidR="008F4DA5" w:rsidRDefault="00B8400D" w:rsidP="00D60407">
      <w:pPr>
        <w:pStyle w:val="ab"/>
        <w:widowControl/>
        <w:numPr>
          <w:ilvl w:val="0"/>
          <w:numId w:val="2"/>
        </w:numPr>
        <w:spacing w:before="36" w:after="36" w:line="460" w:lineRule="exact"/>
        <w:ind w:left="672" w:hanging="672"/>
        <w:jc w:val="both"/>
      </w:pPr>
      <w:r>
        <w:rPr>
          <w:rFonts w:ascii="標楷體" w:eastAsia="標楷體" w:hAnsi="標楷體"/>
          <w:color w:val="000000"/>
          <w:sz w:val="28"/>
          <w:szCs w:val="28"/>
        </w:rPr>
        <w:t>學科</w:t>
      </w:r>
      <w:r>
        <w:rPr>
          <w:rFonts w:ascii="標楷體" w:eastAsia="標楷體" w:hAnsi="標楷體"/>
          <w:sz w:val="28"/>
          <w:szCs w:val="28"/>
        </w:rPr>
        <w:t>改期測驗</w:t>
      </w:r>
      <w:r>
        <w:rPr>
          <w:rFonts w:ascii="標楷體" w:eastAsia="標楷體" w:hAnsi="標楷體"/>
          <w:color w:val="000000"/>
          <w:sz w:val="28"/>
          <w:szCs w:val="28"/>
        </w:rPr>
        <w:t>規定</w:t>
      </w:r>
    </w:p>
    <w:p w:rsidR="008F4DA5" w:rsidRDefault="00B8400D" w:rsidP="00D60407">
      <w:pPr>
        <w:pStyle w:val="ab"/>
        <w:widowControl/>
        <w:numPr>
          <w:ilvl w:val="0"/>
          <w:numId w:val="5"/>
        </w:numPr>
        <w:spacing w:before="36" w:after="36" w:line="460" w:lineRule="exact"/>
        <w:ind w:left="709" w:hanging="567"/>
        <w:jc w:val="both"/>
      </w:pPr>
      <w:r>
        <w:rPr>
          <w:rFonts w:ascii="標楷體" w:eastAsia="標楷體" w:hAnsi="標楷體"/>
          <w:sz w:val="28"/>
          <w:szCs w:val="28"/>
        </w:rPr>
        <w:t>因公</w:t>
      </w:r>
      <w:r>
        <w:rPr>
          <w:rFonts w:ascii="標楷體" w:eastAsia="標楷體" w:hAnsi="標楷體"/>
          <w:color w:val="000000"/>
          <w:sz w:val="28"/>
          <w:szCs w:val="28"/>
        </w:rPr>
        <w:t>、病、傷、</w:t>
      </w:r>
      <w:proofErr w:type="gramStart"/>
      <w:r>
        <w:rPr>
          <w:rFonts w:ascii="標楷體" w:eastAsia="標楷體" w:hAnsi="標楷體"/>
          <w:color w:val="000000"/>
          <w:sz w:val="28"/>
          <w:szCs w:val="28"/>
        </w:rPr>
        <w:t>喪或事假</w:t>
      </w:r>
      <w:proofErr w:type="gramEnd"/>
      <w:r>
        <w:rPr>
          <w:rFonts w:ascii="標楷體" w:eastAsia="標楷體" w:hAnsi="標楷體"/>
          <w:color w:val="000000"/>
          <w:sz w:val="28"/>
          <w:szCs w:val="28"/>
        </w:rPr>
        <w:t>，無法參加期中、期末測驗，得檢具證明申請改期測驗，</w:t>
      </w:r>
      <w:proofErr w:type="gramStart"/>
      <w:r>
        <w:rPr>
          <w:rFonts w:ascii="標楷體" w:eastAsia="標楷體" w:hAnsi="標楷體"/>
          <w:color w:val="000000"/>
          <w:sz w:val="28"/>
          <w:szCs w:val="28"/>
        </w:rPr>
        <w:t>經教測</w:t>
      </w:r>
      <w:proofErr w:type="gramEnd"/>
      <w:r>
        <w:rPr>
          <w:rFonts w:ascii="標楷體" w:eastAsia="標楷體" w:hAnsi="標楷體"/>
          <w:color w:val="000000"/>
          <w:sz w:val="28"/>
          <w:szCs w:val="28"/>
        </w:rPr>
        <w:t>中心秘書以上人員核准者，得予改期測驗一次，於結訓前另行安排改期測驗，其成績以實得分數計算之。</w:t>
      </w:r>
    </w:p>
    <w:p w:rsidR="008F4DA5" w:rsidRDefault="00B8400D" w:rsidP="00D60407">
      <w:pPr>
        <w:pStyle w:val="ab"/>
        <w:widowControl/>
        <w:numPr>
          <w:ilvl w:val="0"/>
          <w:numId w:val="5"/>
        </w:numPr>
        <w:spacing w:before="36" w:after="36" w:line="460" w:lineRule="exact"/>
        <w:ind w:left="709" w:hanging="567"/>
        <w:jc w:val="both"/>
      </w:pPr>
      <w:r>
        <w:rPr>
          <w:rFonts w:ascii="標楷體" w:eastAsia="標楷體" w:hAnsi="標楷體"/>
          <w:color w:val="000000"/>
          <w:sz w:val="28"/>
          <w:szCs w:val="28"/>
        </w:rPr>
        <w:t>前款</w:t>
      </w:r>
      <w:r>
        <w:rPr>
          <w:rFonts w:ascii="標楷體" w:eastAsia="標楷體" w:hAnsi="標楷體"/>
          <w:sz w:val="28"/>
          <w:szCs w:val="28"/>
        </w:rPr>
        <w:t>人員結訓前仍無法受測者，該項成績以零分計算。</w:t>
      </w:r>
    </w:p>
    <w:p w:rsidR="008F4DA5" w:rsidRDefault="00B8400D" w:rsidP="00D60407">
      <w:pPr>
        <w:pStyle w:val="ab"/>
        <w:widowControl/>
        <w:numPr>
          <w:ilvl w:val="0"/>
          <w:numId w:val="2"/>
        </w:numPr>
        <w:spacing w:before="36" w:after="36" w:line="460" w:lineRule="exact"/>
        <w:ind w:left="851" w:hanging="851"/>
        <w:jc w:val="both"/>
      </w:pPr>
      <w:r>
        <w:rPr>
          <w:rFonts w:ascii="標楷體" w:eastAsia="標楷體" w:hAnsi="標楷體"/>
          <w:sz w:val="28"/>
          <w:szCs w:val="28"/>
        </w:rPr>
        <w:t>曠考者</w:t>
      </w:r>
      <w:r>
        <w:rPr>
          <w:rFonts w:ascii="標楷體" w:eastAsia="標楷體" w:hAnsi="標楷體"/>
          <w:color w:val="000000"/>
          <w:sz w:val="28"/>
          <w:szCs w:val="28"/>
        </w:rPr>
        <w:t>，曠考科目以零分計算。</w:t>
      </w:r>
    </w:p>
    <w:p w:rsidR="008F4DA5" w:rsidRDefault="00B8400D" w:rsidP="00D60407">
      <w:pPr>
        <w:pStyle w:val="ab"/>
        <w:widowControl/>
        <w:numPr>
          <w:ilvl w:val="0"/>
          <w:numId w:val="2"/>
        </w:numPr>
        <w:spacing w:before="36" w:after="36" w:line="460" w:lineRule="exact"/>
        <w:ind w:left="851" w:hanging="851"/>
        <w:jc w:val="both"/>
      </w:pPr>
      <w:r>
        <w:rPr>
          <w:rFonts w:ascii="標楷體" w:eastAsia="標楷體" w:hAnsi="標楷體"/>
          <w:color w:val="000000"/>
          <w:sz w:val="28"/>
          <w:szCs w:val="28"/>
        </w:rPr>
        <w:t>學科</w:t>
      </w:r>
      <w:r>
        <w:rPr>
          <w:rFonts w:ascii="標楷體" w:eastAsia="標楷體" w:hAnsi="標楷體"/>
          <w:sz w:val="28"/>
          <w:szCs w:val="28"/>
        </w:rPr>
        <w:t>各種</w:t>
      </w:r>
      <w:r>
        <w:rPr>
          <w:rFonts w:ascii="標楷體" w:eastAsia="標楷體" w:hAnsi="標楷體"/>
          <w:color w:val="000000"/>
          <w:sz w:val="28"/>
          <w:szCs w:val="28"/>
        </w:rPr>
        <w:t>考試試卷保存一年，成績單保存三年。</w:t>
      </w:r>
    </w:p>
    <w:p w:rsidR="008F4DA5" w:rsidRDefault="00B8400D" w:rsidP="00D60407">
      <w:pPr>
        <w:pStyle w:val="ab"/>
        <w:widowControl/>
        <w:numPr>
          <w:ilvl w:val="0"/>
          <w:numId w:val="2"/>
        </w:numPr>
        <w:spacing w:before="36" w:after="36" w:line="460" w:lineRule="exact"/>
        <w:ind w:left="851" w:hanging="851"/>
        <w:jc w:val="both"/>
      </w:pPr>
      <w:r>
        <w:rPr>
          <w:rFonts w:ascii="標楷體" w:eastAsia="標楷體" w:hAnsi="標楷體" w:cs="新細明體"/>
          <w:color w:val="000000"/>
          <w:sz w:val="28"/>
          <w:szCs w:val="28"/>
        </w:rPr>
        <w:t>本要點</w:t>
      </w:r>
      <w:proofErr w:type="gramStart"/>
      <w:r>
        <w:rPr>
          <w:rFonts w:ascii="標楷體" w:eastAsia="標楷體" w:hAnsi="標楷體"/>
          <w:bCs/>
          <w:color w:val="000000"/>
          <w:sz w:val="28"/>
          <w:szCs w:val="28"/>
        </w:rPr>
        <w:t>由海委會</w:t>
      </w:r>
      <w:proofErr w:type="gramEnd"/>
      <w:r>
        <w:rPr>
          <w:rFonts w:ascii="標楷體" w:eastAsia="標楷體" w:hAnsi="標楷體"/>
          <w:bCs/>
          <w:color w:val="000000"/>
          <w:sz w:val="28"/>
          <w:szCs w:val="28"/>
        </w:rPr>
        <w:t>函送保訓會核定後實施，修正時亦同。</w:t>
      </w:r>
    </w:p>
    <w:p w:rsidR="008F4DA5" w:rsidRDefault="008F4DA5" w:rsidP="00D60407">
      <w:pPr>
        <w:spacing w:before="10" w:after="10" w:line="460" w:lineRule="exact"/>
        <w:jc w:val="both"/>
        <w:rPr>
          <w:rFonts w:ascii="標楷體" w:eastAsia="標楷體" w:hAnsi="標楷體"/>
          <w:color w:val="000000"/>
          <w:sz w:val="28"/>
          <w:szCs w:val="28"/>
        </w:rPr>
      </w:pPr>
    </w:p>
    <w:sectPr w:rsidR="008F4DA5">
      <w:footerReference w:type="default" r:id="rId7"/>
      <w:pgSz w:w="11906" w:h="16838"/>
      <w:pgMar w:top="1418" w:right="1134" w:bottom="1134" w:left="1134" w:header="851" w:footer="992" w:gutter="0"/>
      <w:pgNumType w:start="1"/>
      <w:cols w:space="720"/>
      <w:docGrid w:type="lines" w:linePitch="6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FA7" w:rsidRDefault="00B8400D">
      <w:r>
        <w:separator/>
      </w:r>
    </w:p>
  </w:endnote>
  <w:endnote w:type="continuationSeparator" w:id="0">
    <w:p w:rsidR="00675FA7" w:rsidRDefault="00B84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333542"/>
      <w:docPartObj>
        <w:docPartGallery w:val="Page Numbers (Bottom of Page)"/>
        <w:docPartUnique/>
      </w:docPartObj>
    </w:sdtPr>
    <w:sdtEndPr/>
    <w:sdtContent>
      <w:p w:rsidR="00052F98" w:rsidRDefault="00052F98">
        <w:pPr>
          <w:pStyle w:val="a4"/>
          <w:jc w:val="center"/>
        </w:pPr>
        <w:r>
          <w:fldChar w:fldCharType="begin"/>
        </w:r>
        <w:r>
          <w:instrText>PAGE   \* MERGEFORMAT</w:instrText>
        </w:r>
        <w:r>
          <w:fldChar w:fldCharType="separate"/>
        </w:r>
        <w:r w:rsidR="00FE7469" w:rsidRPr="00FE7469">
          <w:rPr>
            <w:noProof/>
            <w:lang w:val="zh-TW"/>
          </w:rPr>
          <w:t>1</w:t>
        </w:r>
        <w:r>
          <w:fldChar w:fldCharType="end"/>
        </w:r>
      </w:p>
    </w:sdtContent>
  </w:sdt>
  <w:p w:rsidR="00870237" w:rsidRDefault="00FE7469">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FA7" w:rsidRDefault="00B8400D">
      <w:r>
        <w:rPr>
          <w:color w:val="000000"/>
        </w:rPr>
        <w:separator/>
      </w:r>
    </w:p>
  </w:footnote>
  <w:footnote w:type="continuationSeparator" w:id="0">
    <w:p w:rsidR="00675FA7" w:rsidRDefault="00B840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F60"/>
    <w:multiLevelType w:val="multilevel"/>
    <w:tmpl w:val="CBD2DDF2"/>
    <w:lvl w:ilvl="0">
      <w:start w:val="1"/>
      <w:numFmt w:val="taiwaneseCountingThousand"/>
      <w:lvlText w:val="(%1)"/>
      <w:lvlJc w:val="left"/>
      <w:pPr>
        <w:ind w:left="1222" w:hanging="1080"/>
      </w:pPr>
      <w:rPr>
        <w:strike w:val="0"/>
        <w:dstrike w:val="0"/>
        <w:color w:val="auto"/>
      </w:rPr>
    </w:lvl>
    <w:lvl w:ilvl="1">
      <w:start w:val="1"/>
      <w:numFmt w:val="ideographTraditional"/>
      <w:lvlText w:val="%2、"/>
      <w:lvlJc w:val="left"/>
      <w:pPr>
        <w:ind w:left="1280" w:hanging="480"/>
      </w:pPr>
    </w:lvl>
    <w:lvl w:ilvl="2">
      <w:start w:val="1"/>
      <w:numFmt w:val="lowerRoman"/>
      <w:lvlText w:val="%3."/>
      <w:lvlJc w:val="right"/>
      <w:pPr>
        <w:ind w:left="1760" w:hanging="480"/>
      </w:pPr>
    </w:lvl>
    <w:lvl w:ilvl="3">
      <w:start w:val="1"/>
      <w:numFmt w:val="decimal"/>
      <w:lvlText w:val="%4."/>
      <w:lvlJc w:val="left"/>
      <w:pPr>
        <w:ind w:left="2240" w:hanging="480"/>
      </w:pPr>
    </w:lvl>
    <w:lvl w:ilvl="4">
      <w:start w:val="1"/>
      <w:numFmt w:val="ideographTraditional"/>
      <w:lvlText w:val="%5、"/>
      <w:lvlJc w:val="left"/>
      <w:pPr>
        <w:ind w:left="2720" w:hanging="480"/>
      </w:pPr>
    </w:lvl>
    <w:lvl w:ilvl="5">
      <w:start w:val="1"/>
      <w:numFmt w:val="lowerRoman"/>
      <w:lvlText w:val="%6."/>
      <w:lvlJc w:val="right"/>
      <w:pPr>
        <w:ind w:left="3200" w:hanging="480"/>
      </w:pPr>
    </w:lvl>
    <w:lvl w:ilvl="6">
      <w:start w:val="1"/>
      <w:numFmt w:val="decimal"/>
      <w:lvlText w:val="%7."/>
      <w:lvlJc w:val="left"/>
      <w:pPr>
        <w:ind w:left="3680" w:hanging="480"/>
      </w:pPr>
    </w:lvl>
    <w:lvl w:ilvl="7">
      <w:start w:val="1"/>
      <w:numFmt w:val="ideographTraditional"/>
      <w:lvlText w:val="%8、"/>
      <w:lvlJc w:val="left"/>
      <w:pPr>
        <w:ind w:left="4160" w:hanging="480"/>
      </w:pPr>
    </w:lvl>
    <w:lvl w:ilvl="8">
      <w:start w:val="1"/>
      <w:numFmt w:val="lowerRoman"/>
      <w:lvlText w:val="%9."/>
      <w:lvlJc w:val="right"/>
      <w:pPr>
        <w:ind w:left="4640" w:hanging="480"/>
      </w:pPr>
    </w:lvl>
  </w:abstractNum>
  <w:abstractNum w:abstractNumId="1" w15:restartNumberingAfterBreak="0">
    <w:nsid w:val="01827785"/>
    <w:multiLevelType w:val="multilevel"/>
    <w:tmpl w:val="F10E25D8"/>
    <w:styleLink w:val="LFO1"/>
    <w:lvl w:ilvl="0">
      <w:start w:val="1"/>
      <w:numFmt w:val="taiwaneseCountingThousand"/>
      <w:pStyle w:val="a"/>
      <w:lvlText w:val="(%1)"/>
      <w:lvlJc w:val="left"/>
      <w:pPr>
        <w:ind w:left="1246" w:hanging="60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EF43011"/>
    <w:multiLevelType w:val="multilevel"/>
    <w:tmpl w:val="5080B2C8"/>
    <w:lvl w:ilvl="0">
      <w:start w:val="1"/>
      <w:numFmt w:val="taiwaneseCountingThousand"/>
      <w:lvlText w:val="%1、"/>
      <w:lvlJc w:val="left"/>
      <w:pPr>
        <w:ind w:left="2280" w:hanging="720"/>
      </w:pPr>
      <w:rPr>
        <w:rFonts w:ascii="標楷體" w:eastAsia="標楷體" w:hAnsi="標楷體"/>
        <w:sz w:val="28"/>
        <w:szCs w:val="28"/>
        <w:lang w:val="en-US"/>
      </w:rPr>
    </w:lvl>
    <w:lvl w:ilvl="1">
      <w:start w:val="1"/>
      <w:numFmt w:val="taiwaneseCountingThousand"/>
      <w:lvlText w:val="(%2)"/>
      <w:lvlJc w:val="left"/>
      <w:pPr>
        <w:ind w:left="2182" w:hanging="480"/>
      </w:pPr>
      <w:rPr>
        <w:rFonts w:ascii="標楷體" w:eastAsia="標楷體" w:hAnsi="標楷體"/>
        <w:color w:val="auto"/>
        <w:sz w:val="28"/>
        <w:szCs w:val="28"/>
        <w:shd w:val="clear" w:color="auto" w:fill="auto"/>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5E2C04D4"/>
    <w:multiLevelType w:val="multilevel"/>
    <w:tmpl w:val="D3C848A2"/>
    <w:lvl w:ilvl="0">
      <w:start w:val="1"/>
      <w:numFmt w:val="taiwaneseCountingThousand"/>
      <w:lvlText w:val="(%1)"/>
      <w:lvlJc w:val="left"/>
      <w:pPr>
        <w:ind w:left="1222" w:hanging="1080"/>
      </w:pPr>
      <w:rPr>
        <w:rFonts w:ascii="標楷體" w:eastAsia="標楷體" w:hAnsi="標楷體"/>
        <w:strike w:val="0"/>
        <w:dstrike w:val="0"/>
        <w:color w:val="auto"/>
      </w:rPr>
    </w:lvl>
    <w:lvl w:ilvl="1">
      <w:start w:val="1"/>
      <w:numFmt w:val="ideographTraditional"/>
      <w:lvlText w:val="%2、"/>
      <w:lvlJc w:val="left"/>
      <w:pPr>
        <w:ind w:left="1280" w:hanging="480"/>
      </w:pPr>
    </w:lvl>
    <w:lvl w:ilvl="2">
      <w:start w:val="1"/>
      <w:numFmt w:val="lowerRoman"/>
      <w:lvlText w:val="%3."/>
      <w:lvlJc w:val="right"/>
      <w:pPr>
        <w:ind w:left="1760" w:hanging="480"/>
      </w:pPr>
    </w:lvl>
    <w:lvl w:ilvl="3">
      <w:start w:val="1"/>
      <w:numFmt w:val="decimal"/>
      <w:lvlText w:val="%4."/>
      <w:lvlJc w:val="left"/>
      <w:pPr>
        <w:ind w:left="2240" w:hanging="480"/>
      </w:pPr>
    </w:lvl>
    <w:lvl w:ilvl="4">
      <w:start w:val="1"/>
      <w:numFmt w:val="ideographTraditional"/>
      <w:lvlText w:val="%5、"/>
      <w:lvlJc w:val="left"/>
      <w:pPr>
        <w:ind w:left="2720" w:hanging="480"/>
      </w:pPr>
    </w:lvl>
    <w:lvl w:ilvl="5">
      <w:start w:val="1"/>
      <w:numFmt w:val="lowerRoman"/>
      <w:lvlText w:val="%6."/>
      <w:lvlJc w:val="right"/>
      <w:pPr>
        <w:ind w:left="3200" w:hanging="480"/>
      </w:pPr>
    </w:lvl>
    <w:lvl w:ilvl="6">
      <w:start w:val="1"/>
      <w:numFmt w:val="decimal"/>
      <w:lvlText w:val="%7."/>
      <w:lvlJc w:val="left"/>
      <w:pPr>
        <w:ind w:left="3680" w:hanging="480"/>
      </w:pPr>
    </w:lvl>
    <w:lvl w:ilvl="7">
      <w:start w:val="1"/>
      <w:numFmt w:val="ideographTraditional"/>
      <w:lvlText w:val="%8、"/>
      <w:lvlJc w:val="left"/>
      <w:pPr>
        <w:ind w:left="4160" w:hanging="480"/>
      </w:pPr>
    </w:lvl>
    <w:lvl w:ilvl="8">
      <w:start w:val="1"/>
      <w:numFmt w:val="lowerRoman"/>
      <w:lvlText w:val="%9."/>
      <w:lvlJc w:val="right"/>
      <w:pPr>
        <w:ind w:left="4640" w:hanging="480"/>
      </w:pPr>
    </w:lvl>
  </w:abstractNum>
  <w:abstractNum w:abstractNumId="4" w15:restartNumberingAfterBreak="0">
    <w:nsid w:val="6E7F5B1A"/>
    <w:multiLevelType w:val="multilevel"/>
    <w:tmpl w:val="C178A9D0"/>
    <w:lvl w:ilvl="0">
      <w:start w:val="1"/>
      <w:numFmt w:val="taiwaneseCountingThousand"/>
      <w:lvlText w:val="(%1)"/>
      <w:lvlJc w:val="left"/>
      <w:pPr>
        <w:ind w:left="1222" w:hanging="1080"/>
      </w:pPr>
      <w:rPr>
        <w:rFonts w:ascii="標楷體" w:eastAsia="標楷體" w:hAnsi="標楷體"/>
        <w:strike w:val="0"/>
        <w:dstrike w:val="0"/>
        <w:color w:val="auto"/>
        <w:sz w:val="28"/>
        <w:szCs w:val="28"/>
      </w:rPr>
    </w:lvl>
    <w:lvl w:ilvl="1">
      <w:start w:val="1"/>
      <w:numFmt w:val="ideographTraditional"/>
      <w:lvlText w:val="%2、"/>
      <w:lvlJc w:val="left"/>
      <w:pPr>
        <w:ind w:left="1280" w:hanging="480"/>
      </w:pPr>
    </w:lvl>
    <w:lvl w:ilvl="2">
      <w:start w:val="1"/>
      <w:numFmt w:val="lowerRoman"/>
      <w:lvlText w:val="%3."/>
      <w:lvlJc w:val="right"/>
      <w:pPr>
        <w:ind w:left="1760" w:hanging="480"/>
      </w:pPr>
    </w:lvl>
    <w:lvl w:ilvl="3">
      <w:start w:val="1"/>
      <w:numFmt w:val="decimal"/>
      <w:lvlText w:val="%4."/>
      <w:lvlJc w:val="left"/>
      <w:pPr>
        <w:ind w:left="2240" w:hanging="480"/>
      </w:pPr>
    </w:lvl>
    <w:lvl w:ilvl="4">
      <w:start w:val="1"/>
      <w:numFmt w:val="ideographTraditional"/>
      <w:lvlText w:val="%5、"/>
      <w:lvlJc w:val="left"/>
      <w:pPr>
        <w:ind w:left="2720" w:hanging="480"/>
      </w:pPr>
    </w:lvl>
    <w:lvl w:ilvl="5">
      <w:start w:val="1"/>
      <w:numFmt w:val="lowerRoman"/>
      <w:lvlText w:val="%6."/>
      <w:lvlJc w:val="right"/>
      <w:pPr>
        <w:ind w:left="3200" w:hanging="480"/>
      </w:pPr>
    </w:lvl>
    <w:lvl w:ilvl="6">
      <w:start w:val="1"/>
      <w:numFmt w:val="decimal"/>
      <w:lvlText w:val="%7."/>
      <w:lvlJc w:val="left"/>
      <w:pPr>
        <w:ind w:left="3680" w:hanging="480"/>
      </w:pPr>
    </w:lvl>
    <w:lvl w:ilvl="7">
      <w:start w:val="1"/>
      <w:numFmt w:val="ideographTraditional"/>
      <w:lvlText w:val="%8、"/>
      <w:lvlJc w:val="left"/>
      <w:pPr>
        <w:ind w:left="4160" w:hanging="480"/>
      </w:pPr>
    </w:lvl>
    <w:lvl w:ilvl="8">
      <w:start w:val="1"/>
      <w:numFmt w:val="lowerRoman"/>
      <w:lvlText w:val="%9."/>
      <w:lvlJc w:val="right"/>
      <w:pPr>
        <w:ind w:left="4640" w:hanging="4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DA5"/>
    <w:rsid w:val="00052F98"/>
    <w:rsid w:val="000D0D18"/>
    <w:rsid w:val="001E7CE5"/>
    <w:rsid w:val="002577A8"/>
    <w:rsid w:val="00265850"/>
    <w:rsid w:val="002A3C5C"/>
    <w:rsid w:val="004604F5"/>
    <w:rsid w:val="005E667F"/>
    <w:rsid w:val="00675FA7"/>
    <w:rsid w:val="006D5068"/>
    <w:rsid w:val="008525AE"/>
    <w:rsid w:val="00873AD4"/>
    <w:rsid w:val="008F4DA5"/>
    <w:rsid w:val="00957144"/>
    <w:rsid w:val="00B8400D"/>
    <w:rsid w:val="00D60407"/>
    <w:rsid w:val="00E93C31"/>
    <w:rsid w:val="00FE74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9D04FF0-4443-4FEC-AA3D-7DB991A30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suppressAutoHyphens/>
    </w:pPr>
    <w:rPr>
      <w:kern w:val="3"/>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一)"/>
    <w:basedOn w:val="a0"/>
    <w:pPr>
      <w:numPr>
        <w:numId w:val="1"/>
      </w:numPr>
      <w:spacing w:after="120"/>
      <w:jc w:val="both"/>
    </w:pPr>
    <w:rPr>
      <w:rFonts w:eastAsia="標楷體"/>
      <w:sz w:val="36"/>
      <w:szCs w:val="20"/>
    </w:rPr>
  </w:style>
  <w:style w:type="paragraph" w:styleId="a4">
    <w:name w:val="footer"/>
    <w:basedOn w:val="a0"/>
    <w:link w:val="a5"/>
    <w:uiPriority w:val="99"/>
    <w:pPr>
      <w:tabs>
        <w:tab w:val="center" w:pos="4153"/>
        <w:tab w:val="right" w:pos="8306"/>
      </w:tabs>
      <w:snapToGrid w:val="0"/>
    </w:pPr>
    <w:rPr>
      <w:sz w:val="20"/>
      <w:szCs w:val="20"/>
    </w:rPr>
  </w:style>
  <w:style w:type="character" w:styleId="a6">
    <w:name w:val="page number"/>
    <w:basedOn w:val="a1"/>
  </w:style>
  <w:style w:type="paragraph" w:styleId="a7">
    <w:name w:val="Body Text Indent"/>
    <w:basedOn w:val="a0"/>
    <w:pPr>
      <w:spacing w:line="0" w:lineRule="atLeast"/>
      <w:ind w:firstLine="9180"/>
    </w:pPr>
    <w:rPr>
      <w:rFonts w:ascii="標楷體" w:eastAsia="標楷體" w:hAnsi="標楷體"/>
      <w:bCs/>
      <w:sz w:val="20"/>
      <w:szCs w:val="30"/>
    </w:rPr>
  </w:style>
  <w:style w:type="paragraph" w:styleId="2">
    <w:name w:val="Body Text Indent 2"/>
    <w:basedOn w:val="a0"/>
    <w:pPr>
      <w:widowControl/>
      <w:spacing w:before="36" w:after="36" w:line="460" w:lineRule="exact"/>
      <w:ind w:left="1438" w:hanging="1037"/>
      <w:jc w:val="both"/>
    </w:pPr>
    <w:rPr>
      <w:rFonts w:ascii="標楷體" w:eastAsia="標楷體" w:hAnsi="標楷體"/>
      <w:sz w:val="36"/>
    </w:rPr>
  </w:style>
  <w:style w:type="paragraph" w:styleId="a8">
    <w:name w:val="header"/>
    <w:basedOn w:val="a0"/>
    <w:pPr>
      <w:tabs>
        <w:tab w:val="center" w:pos="4153"/>
        <w:tab w:val="right" w:pos="8306"/>
      </w:tabs>
      <w:snapToGrid w:val="0"/>
    </w:pPr>
    <w:rPr>
      <w:sz w:val="20"/>
      <w:szCs w:val="20"/>
    </w:rPr>
  </w:style>
  <w:style w:type="paragraph" w:styleId="a9">
    <w:name w:val="Balloon Text"/>
    <w:basedOn w:val="a0"/>
    <w:rPr>
      <w:rFonts w:ascii="Cambria" w:hAnsi="Cambria"/>
      <w:sz w:val="18"/>
      <w:szCs w:val="18"/>
    </w:rPr>
  </w:style>
  <w:style w:type="character" w:customStyle="1" w:styleId="aa">
    <w:name w:val="註解方塊文字 字元"/>
    <w:rPr>
      <w:rFonts w:ascii="Cambria" w:eastAsia="新細明體" w:hAnsi="Cambria" w:cs="Times New Roman"/>
      <w:kern w:val="3"/>
      <w:sz w:val="18"/>
      <w:szCs w:val="18"/>
    </w:rPr>
  </w:style>
  <w:style w:type="paragraph" w:styleId="ab">
    <w:name w:val="List Paragraph"/>
    <w:basedOn w:val="a0"/>
    <w:pPr>
      <w:ind w:left="480"/>
    </w:pPr>
  </w:style>
  <w:style w:type="numbering" w:customStyle="1" w:styleId="LFO1">
    <w:name w:val="LFO1"/>
    <w:basedOn w:val="a3"/>
    <w:pPr>
      <w:numPr>
        <w:numId w:val="1"/>
      </w:numPr>
    </w:pPr>
  </w:style>
  <w:style w:type="character" w:customStyle="1" w:styleId="a5">
    <w:name w:val="頁尾 字元"/>
    <w:basedOn w:val="a1"/>
    <w:link w:val="a4"/>
    <w:uiPriority w:val="99"/>
    <w:rsid w:val="00052F98"/>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162</Words>
  <Characters>925</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九十三年公務人員特種考試海岸巡防人員考試海巡行政類科錄取人員教育訓練成績考核規定</dc:title>
  <dc:creator>朱宜忠</dc:creator>
  <cp:lastModifiedBy>陳龍智</cp:lastModifiedBy>
  <cp:revision>25</cp:revision>
  <cp:lastPrinted>2020-06-08T10:22:00Z</cp:lastPrinted>
  <dcterms:created xsi:type="dcterms:W3CDTF">2022-11-22T01:57:00Z</dcterms:created>
  <dcterms:modified xsi:type="dcterms:W3CDTF">2022-12-16T05:35:00Z</dcterms:modified>
</cp:coreProperties>
</file>