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8A97" w14:textId="05E6BB94" w:rsidR="00385438" w:rsidRPr="00060569" w:rsidRDefault="0084423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6056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CDED1" wp14:editId="75ECB105">
                <wp:simplePos x="0" y="0"/>
                <wp:positionH relativeFrom="column">
                  <wp:posOffset>5000625</wp:posOffset>
                </wp:positionH>
                <wp:positionV relativeFrom="paragraph">
                  <wp:posOffset>-571500</wp:posOffset>
                </wp:positionV>
                <wp:extent cx="828675" cy="50101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9C14" w14:textId="77777777" w:rsidR="004B50AE" w:rsidRPr="00D56FA1" w:rsidRDefault="0067147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6FA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ACDE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45pt;width:65.2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" stroked="f">
                <v:textbox>
                  <w:txbxContent>
                    <w:p w14:paraId="26529C14" w14:textId="77777777" w:rsidR="004B50AE" w:rsidRPr="00D56FA1" w:rsidRDefault="0067147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D56FA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060569">
        <w:rPr>
          <w:rFonts w:ascii="標楷體" w:eastAsia="標楷體" w:hAnsi="標楷體"/>
          <w:b/>
          <w:sz w:val="32"/>
          <w:szCs w:val="32"/>
        </w:rPr>
        <w:t>1</w:t>
      </w:r>
      <w:r w:rsidR="00612E8E" w:rsidRPr="00060569">
        <w:rPr>
          <w:rFonts w:ascii="標楷體" w:eastAsia="標楷體" w:hAnsi="標楷體"/>
          <w:b/>
          <w:sz w:val="32"/>
          <w:szCs w:val="32"/>
        </w:rPr>
        <w:t>10</w:t>
      </w:r>
      <w:r w:rsidR="00E13891" w:rsidRPr="00060569">
        <w:rPr>
          <w:rFonts w:ascii="標楷體" w:eastAsia="標楷體" w:hAnsi="標楷體"/>
          <w:b/>
          <w:sz w:val="32"/>
          <w:szCs w:val="32"/>
        </w:rPr>
        <w:t>年</w:t>
      </w:r>
      <w:r w:rsidR="00622CEF" w:rsidRPr="00060569">
        <w:rPr>
          <w:rFonts w:ascii="標楷體" w:eastAsia="標楷體" w:hAnsi="標楷體" w:hint="eastAsia"/>
          <w:b/>
          <w:sz w:val="32"/>
          <w:szCs w:val="32"/>
        </w:rPr>
        <w:t>公</w:t>
      </w:r>
      <w:r w:rsidR="00622CEF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務人員特種考試</w:t>
      </w:r>
      <w:r w:rsidR="008647E8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司法人員考試</w:t>
      </w:r>
      <w:r w:rsidR="00421E7A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四等考試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法院書記官</w:t>
      </w:r>
      <w:r w:rsidR="008647E8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類科錄取人員</w:t>
      </w:r>
      <w:r w:rsidR="00E13891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專業</w:t>
      </w:r>
      <w:r w:rsidR="00E13891" w:rsidRPr="00060569">
        <w:rPr>
          <w:rFonts w:ascii="標楷體" w:eastAsia="標楷體" w:hAnsi="標楷體"/>
          <w:b/>
          <w:color w:val="000000"/>
          <w:sz w:val="32"/>
          <w:szCs w:val="32"/>
        </w:rPr>
        <w:t>訓練</w:t>
      </w:r>
      <w:r w:rsidR="00385438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課程</w:t>
      </w:r>
      <w:proofErr w:type="gramStart"/>
      <w:r w:rsidR="00FA3164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配當</w:t>
      </w:r>
      <w:r w:rsidR="00385438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  <w:proofErr w:type="gramEnd"/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分配至法務部所屬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行政執行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機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關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人員</w:t>
      </w:r>
      <w:r w:rsidR="00BC1D8D" w:rsidRPr="00060569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14:paraId="2F0BA370" w14:textId="77777777" w:rsidR="00182ED0" w:rsidRPr="00060569" w:rsidRDefault="00182ED0" w:rsidP="00182ED0">
      <w:pPr>
        <w:spacing w:line="380" w:lineRule="exact"/>
        <w:ind w:rightChars="-15" w:right="-36"/>
        <w:jc w:val="right"/>
        <w:rPr>
          <w:rFonts w:ascii="標楷體" w:eastAsia="標楷體" w:hAnsi="標楷體"/>
          <w:color w:val="000000"/>
          <w:sz w:val="22"/>
        </w:rPr>
      </w:pPr>
    </w:p>
    <w:p w14:paraId="6C89DEB2" w14:textId="6D4B9175" w:rsidR="00385438" w:rsidRPr="00060569" w:rsidRDefault="0038543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60569">
        <w:rPr>
          <w:rFonts w:ascii="標楷體" w:eastAsia="標楷體" w:hAnsi="標楷體" w:hint="eastAsia"/>
          <w:color w:val="000000"/>
          <w:sz w:val="28"/>
          <w:szCs w:val="28"/>
        </w:rPr>
        <w:t>總時數：</w:t>
      </w:r>
      <w:r w:rsidR="00882059" w:rsidRPr="009E5AED">
        <w:rPr>
          <w:rFonts w:ascii="標楷體" w:eastAsia="標楷體" w:hAnsi="標楷體" w:hint="eastAsia"/>
          <w:bCs/>
          <w:sz w:val="28"/>
          <w:szCs w:val="28"/>
        </w:rPr>
        <w:t>8</w:t>
      </w:r>
      <w:r w:rsidR="00CB55F5" w:rsidRPr="009E5AED">
        <w:rPr>
          <w:rFonts w:ascii="標楷體" w:eastAsia="標楷體" w:hAnsi="標楷體"/>
          <w:bCs/>
          <w:sz w:val="28"/>
          <w:szCs w:val="28"/>
        </w:rPr>
        <w:t>4</w:t>
      </w:r>
      <w:r w:rsidRPr="00060569">
        <w:rPr>
          <w:rFonts w:ascii="標楷體" w:eastAsia="標楷體" w:hAnsi="標楷體" w:hint="eastAsia"/>
          <w:sz w:val="28"/>
          <w:szCs w:val="28"/>
        </w:rPr>
        <w:t>小時</w:t>
      </w:r>
    </w:p>
    <w:p w14:paraId="003138CC" w14:textId="77777777" w:rsidR="00960C33" w:rsidRPr="00060569" w:rsidRDefault="00385438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60569">
        <w:rPr>
          <w:rFonts w:ascii="標楷體" w:eastAsia="標楷體" w:hAnsi="標楷體" w:hint="eastAsia"/>
          <w:sz w:val="28"/>
          <w:szCs w:val="28"/>
        </w:rPr>
        <w:t>一、一般課程：合計</w:t>
      </w:r>
      <w:r w:rsidR="00882059" w:rsidRPr="00060569">
        <w:rPr>
          <w:rFonts w:ascii="標楷體" w:eastAsia="標楷體" w:hAnsi="標楷體" w:hint="eastAsia"/>
          <w:sz w:val="28"/>
          <w:szCs w:val="28"/>
        </w:rPr>
        <w:t>14</w:t>
      </w:r>
      <w:r w:rsidRPr="00060569">
        <w:rPr>
          <w:rFonts w:ascii="標楷體" w:eastAsia="標楷體" w:hAnsi="標楷體" w:hint="eastAsia"/>
          <w:color w:val="000000"/>
          <w:sz w:val="28"/>
          <w:szCs w:val="28"/>
        </w:rPr>
        <w:t>小時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780"/>
      </w:tblGrid>
      <w:tr w:rsidR="00660CD8" w:rsidRPr="00060569" w14:paraId="45320377" w14:textId="77777777" w:rsidTr="00660CD8">
        <w:trPr>
          <w:trHeight w:val="905"/>
          <w:tblHeader/>
          <w:jc w:val="center"/>
        </w:trPr>
        <w:tc>
          <w:tcPr>
            <w:tcW w:w="988" w:type="dxa"/>
            <w:vAlign w:val="center"/>
          </w:tcPr>
          <w:p w14:paraId="7B5C8D66" w14:textId="77777777" w:rsidR="00660CD8" w:rsidRPr="00060569" w:rsidRDefault="00660CD8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4252" w:type="dxa"/>
            <w:vAlign w:val="center"/>
          </w:tcPr>
          <w:p w14:paraId="28A9711A" w14:textId="77777777" w:rsidR="00660CD8" w:rsidRPr="00060569" w:rsidRDefault="00660CD8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276" w:type="dxa"/>
            <w:vAlign w:val="center"/>
          </w:tcPr>
          <w:p w14:paraId="0764BBA7" w14:textId="77777777" w:rsidR="00660CD8" w:rsidRPr="00060569" w:rsidRDefault="00660CD8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1780" w:type="dxa"/>
            <w:vAlign w:val="center"/>
          </w:tcPr>
          <w:p w14:paraId="3E7FBAE7" w14:textId="21BB8A03" w:rsidR="00660CD8" w:rsidRPr="00060569" w:rsidRDefault="00BC1D8D" w:rsidP="00660CD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E33638" w:rsidRPr="00060569" w14:paraId="4E278177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2ABBB403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DF5B160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行政執行倫理與目標(含公務倫理)</w:t>
            </w:r>
          </w:p>
        </w:tc>
        <w:tc>
          <w:tcPr>
            <w:tcW w:w="1276" w:type="dxa"/>
            <w:vAlign w:val="center"/>
          </w:tcPr>
          <w:p w14:paraId="55A2AB5B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5C94A915" w14:textId="686403E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59C33CE4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5C9E8F37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49E91AC7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案卷及文書管理</w:t>
            </w:r>
          </w:p>
        </w:tc>
        <w:tc>
          <w:tcPr>
            <w:tcW w:w="1276" w:type="dxa"/>
            <w:vAlign w:val="center"/>
          </w:tcPr>
          <w:p w14:paraId="0EB5306B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580F3077" w14:textId="5FF6ADA0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0108F570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3203D3BE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57DEDC7D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資訊安全</w:t>
            </w:r>
          </w:p>
        </w:tc>
        <w:tc>
          <w:tcPr>
            <w:tcW w:w="1276" w:type="dxa"/>
            <w:vAlign w:val="center"/>
          </w:tcPr>
          <w:p w14:paraId="1BBD97A8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536FBF41" w14:textId="156FC4DE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33638" w:rsidRPr="00060569" w14:paraId="0EC2C8F0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4FBC6E7A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0AE71F48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</w:rPr>
              <w:t>績效管理與便民服務</w:t>
            </w:r>
          </w:p>
        </w:tc>
        <w:tc>
          <w:tcPr>
            <w:tcW w:w="1276" w:type="dxa"/>
            <w:vAlign w:val="center"/>
          </w:tcPr>
          <w:p w14:paraId="5FA7CDBE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438CE1E4" w14:textId="7BE04825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09DC2E3E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61A3623F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53FCFA87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</w:rPr>
              <w:t>壓力調適與情緒管理</w:t>
            </w:r>
          </w:p>
        </w:tc>
        <w:tc>
          <w:tcPr>
            <w:tcW w:w="1276" w:type="dxa"/>
            <w:vAlign w:val="center"/>
          </w:tcPr>
          <w:p w14:paraId="2B23FF9C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1F11D319" w14:textId="663CA8ED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5D56C491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5EE6B0ED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531E5AF9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</w:rPr>
              <w:t>行政中立</w:t>
            </w:r>
          </w:p>
        </w:tc>
        <w:tc>
          <w:tcPr>
            <w:tcW w:w="1276" w:type="dxa"/>
            <w:vAlign w:val="center"/>
          </w:tcPr>
          <w:p w14:paraId="4E94EB5B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4215E749" w14:textId="4029851B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7D70792E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64BFE1D7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3047D5EA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</w:rPr>
              <w:t>性別主流化</w:t>
            </w:r>
          </w:p>
        </w:tc>
        <w:tc>
          <w:tcPr>
            <w:tcW w:w="1276" w:type="dxa"/>
            <w:vAlign w:val="center"/>
          </w:tcPr>
          <w:p w14:paraId="4EE63F8F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72212AB6" w14:textId="13E44410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059EBD65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5EE5DDA8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14:paraId="3375714A" w14:textId="77777777" w:rsidR="00E33638" w:rsidRPr="00060569" w:rsidRDefault="00893084" w:rsidP="00E336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60569">
              <w:rPr>
                <w:rFonts w:ascii="標楷體" w:eastAsia="標楷體" w:hAnsi="標楷體" w:hint="eastAsia"/>
              </w:rPr>
              <w:t>人權觀念與多元文化</w:t>
            </w:r>
          </w:p>
        </w:tc>
        <w:tc>
          <w:tcPr>
            <w:tcW w:w="1276" w:type="dxa"/>
            <w:vAlign w:val="center"/>
          </w:tcPr>
          <w:p w14:paraId="3B87F601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14:paraId="69F56132" w14:textId="3713D8D4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E33638" w:rsidRPr="00060569" w14:paraId="7D958180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35D47354" w14:textId="77777777" w:rsidR="00E33638" w:rsidRPr="00060569" w:rsidRDefault="001353DD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14:paraId="32593ABA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</w:rPr>
              <w:t>公文處理</w:t>
            </w:r>
          </w:p>
        </w:tc>
        <w:tc>
          <w:tcPr>
            <w:tcW w:w="1276" w:type="dxa"/>
            <w:vAlign w:val="center"/>
          </w:tcPr>
          <w:p w14:paraId="242EC9EA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3204CF67" w14:textId="0F720DA4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3638" w:rsidRPr="00060569" w14:paraId="591C0B64" w14:textId="77777777" w:rsidTr="00F40780">
        <w:trPr>
          <w:trHeight w:val="907"/>
          <w:jc w:val="center"/>
        </w:trPr>
        <w:tc>
          <w:tcPr>
            <w:tcW w:w="988" w:type="dxa"/>
            <w:vAlign w:val="center"/>
          </w:tcPr>
          <w:p w14:paraId="6B95F898" w14:textId="77777777" w:rsidR="00E33638" w:rsidRPr="00060569" w:rsidRDefault="001353DD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14:paraId="736ECB0A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</w:rPr>
              <w:t>人事法規(含訓練法規介紹)</w:t>
            </w:r>
          </w:p>
        </w:tc>
        <w:tc>
          <w:tcPr>
            <w:tcW w:w="1276" w:type="dxa"/>
            <w:vAlign w:val="center"/>
          </w:tcPr>
          <w:p w14:paraId="7C702728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14:paraId="759B125A" w14:textId="25821124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EDEF8B" w14:textId="688A4F90" w:rsidR="00385438" w:rsidRPr="00060569" w:rsidRDefault="00857C2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060569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85438" w:rsidRPr="0006056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二、法律</w:t>
      </w:r>
      <w:r w:rsidR="002951A0" w:rsidRPr="00060569">
        <w:rPr>
          <w:rFonts w:ascii="標楷體" w:eastAsia="標楷體" w:hAnsi="標楷體" w:hint="eastAsia"/>
          <w:color w:val="000000"/>
          <w:sz w:val="28"/>
          <w:szCs w:val="28"/>
        </w:rPr>
        <w:t>及專業</w:t>
      </w:r>
      <w:r w:rsidR="00385438" w:rsidRPr="00060569">
        <w:rPr>
          <w:rFonts w:ascii="標楷體" w:eastAsia="標楷體" w:hAnsi="標楷體" w:hint="eastAsia"/>
          <w:color w:val="000000"/>
          <w:sz w:val="28"/>
          <w:szCs w:val="28"/>
        </w:rPr>
        <w:t>課程：合</w:t>
      </w:r>
      <w:r w:rsidR="00385438" w:rsidRPr="00060569">
        <w:rPr>
          <w:rFonts w:ascii="標楷體" w:eastAsia="標楷體" w:hAnsi="標楷體" w:hint="eastAsia"/>
          <w:sz w:val="28"/>
          <w:szCs w:val="28"/>
        </w:rPr>
        <w:t>計</w:t>
      </w:r>
      <w:r w:rsidR="00726B87" w:rsidRPr="005D09BC">
        <w:rPr>
          <w:rFonts w:ascii="標楷體" w:eastAsia="標楷體" w:hAnsi="標楷體"/>
          <w:bCs/>
          <w:sz w:val="28"/>
          <w:szCs w:val="28"/>
        </w:rPr>
        <w:t>6</w:t>
      </w:r>
      <w:r w:rsidR="00CB55F5" w:rsidRPr="005D09BC">
        <w:rPr>
          <w:rFonts w:ascii="標楷體" w:eastAsia="標楷體" w:hAnsi="標楷體"/>
          <w:bCs/>
          <w:sz w:val="28"/>
          <w:szCs w:val="28"/>
        </w:rPr>
        <w:t>2</w:t>
      </w:r>
      <w:r w:rsidR="00385438" w:rsidRPr="00060569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7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4247"/>
        <w:gridCol w:w="1273"/>
        <w:gridCol w:w="1428"/>
      </w:tblGrid>
      <w:tr w:rsidR="00654FD1" w:rsidRPr="00060569" w14:paraId="12324AC6" w14:textId="77777777" w:rsidTr="00F40780">
        <w:trPr>
          <w:trHeight w:val="907"/>
          <w:tblHeader/>
          <w:jc w:val="center"/>
        </w:trPr>
        <w:tc>
          <w:tcPr>
            <w:tcW w:w="1003" w:type="dxa"/>
            <w:vAlign w:val="center"/>
          </w:tcPr>
          <w:p w14:paraId="7A0B76C4" w14:textId="77777777" w:rsidR="00E33638" w:rsidRPr="00060569" w:rsidRDefault="00E33638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4247" w:type="dxa"/>
            <w:vAlign w:val="center"/>
          </w:tcPr>
          <w:p w14:paraId="24D84427" w14:textId="77777777" w:rsidR="00E33638" w:rsidRPr="00060569" w:rsidRDefault="00E33638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273" w:type="dxa"/>
            <w:vAlign w:val="center"/>
          </w:tcPr>
          <w:p w14:paraId="17BB44E4" w14:textId="77777777" w:rsidR="00E33638" w:rsidRPr="00060569" w:rsidRDefault="00E33638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1428" w:type="dxa"/>
            <w:vAlign w:val="center"/>
          </w:tcPr>
          <w:p w14:paraId="064EA590" w14:textId="1CD7A13E" w:rsidR="00E33638" w:rsidRPr="00060569" w:rsidRDefault="00BC1D8D" w:rsidP="003B5F0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654FD1" w:rsidRPr="00060569" w14:paraId="5AB9998F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2E6B5005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14:paraId="65E98B3C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行政執行法</w:t>
            </w:r>
          </w:p>
        </w:tc>
        <w:tc>
          <w:tcPr>
            <w:tcW w:w="1273" w:type="dxa"/>
            <w:vAlign w:val="center"/>
          </w:tcPr>
          <w:p w14:paraId="4B8F5836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14:paraId="5537DA2B" w14:textId="137BCAFA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5D3AA508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1D44D90B" w14:textId="77777777" w:rsidR="00E33638" w:rsidRPr="005D09BC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D09B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14:paraId="75474985" w14:textId="77777777" w:rsidR="00E33638" w:rsidRPr="005D09BC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D09BC">
              <w:rPr>
                <w:rFonts w:ascii="標楷體" w:eastAsia="標楷體" w:hAnsi="標楷體" w:hint="eastAsia"/>
                <w:color w:val="000000"/>
              </w:rPr>
              <w:t>強制執行法</w:t>
            </w:r>
          </w:p>
        </w:tc>
        <w:tc>
          <w:tcPr>
            <w:tcW w:w="1273" w:type="dxa"/>
            <w:vAlign w:val="center"/>
          </w:tcPr>
          <w:p w14:paraId="4ADC5AF1" w14:textId="2A64E086" w:rsidR="00E33638" w:rsidRPr="005D09BC" w:rsidRDefault="00654FD1" w:rsidP="00E3363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D09BC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14:paraId="0299B17C" w14:textId="0F2683E8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224BEF5A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7F95D036" w14:textId="7BADF702" w:rsidR="00654FD1" w:rsidRPr="005D09BC" w:rsidRDefault="00654FD1" w:rsidP="00E3363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D09B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14:paraId="3161995C" w14:textId="24F8B3C2" w:rsidR="00654FD1" w:rsidRPr="005D09BC" w:rsidRDefault="00654FD1" w:rsidP="00E33638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D09BC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辦理小額案件執行不動產檢視原則</w:t>
            </w:r>
          </w:p>
        </w:tc>
        <w:tc>
          <w:tcPr>
            <w:tcW w:w="1273" w:type="dxa"/>
            <w:vAlign w:val="center"/>
          </w:tcPr>
          <w:p w14:paraId="08452E13" w14:textId="43FC9A0E" w:rsidR="00654FD1" w:rsidRPr="005D09BC" w:rsidRDefault="00654FD1" w:rsidP="00E33638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D09BC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61054599" w14:textId="539F1FC4" w:rsidR="00654FD1" w:rsidRPr="00060569" w:rsidRDefault="00654FD1" w:rsidP="00E3363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  <w:lang w:eastAsia="zh-HK"/>
              </w:rPr>
            </w:pPr>
          </w:p>
        </w:tc>
      </w:tr>
      <w:tr w:rsidR="00654FD1" w:rsidRPr="00060569" w14:paraId="58AF11F1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2DDA0C96" w14:textId="5964847E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247" w:type="dxa"/>
            <w:vAlign w:val="center"/>
          </w:tcPr>
          <w:p w14:paraId="21219775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聲明異議流程之處理</w:t>
            </w:r>
          </w:p>
        </w:tc>
        <w:tc>
          <w:tcPr>
            <w:tcW w:w="1273" w:type="dxa"/>
            <w:vAlign w:val="center"/>
          </w:tcPr>
          <w:p w14:paraId="20BC297D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6D906CE9" w14:textId="1A927CCB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31155D01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4F502896" w14:textId="0E22FC52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4247" w:type="dxa"/>
            <w:vAlign w:val="center"/>
          </w:tcPr>
          <w:p w14:paraId="5131DAC2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調查義務人或負責人之行蹤</w:t>
            </w:r>
          </w:p>
        </w:tc>
        <w:tc>
          <w:tcPr>
            <w:tcW w:w="1273" w:type="dxa"/>
            <w:vAlign w:val="center"/>
          </w:tcPr>
          <w:p w14:paraId="00A21D45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66499CE8" w14:textId="00CA4261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6B5CEB95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1B9DC3CF" w14:textId="1B6AA82A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247" w:type="dxa"/>
            <w:vAlign w:val="center"/>
          </w:tcPr>
          <w:p w14:paraId="0E6DAAE1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行政程序法</w:t>
            </w:r>
          </w:p>
        </w:tc>
        <w:tc>
          <w:tcPr>
            <w:tcW w:w="1273" w:type="dxa"/>
            <w:vAlign w:val="center"/>
          </w:tcPr>
          <w:p w14:paraId="20412294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7DD83B03" w14:textId="6A61336A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6DFDD826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66C698F4" w14:textId="641277B8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4247" w:type="dxa"/>
            <w:vAlign w:val="center"/>
          </w:tcPr>
          <w:p w14:paraId="6BE6C325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行政執行署及各分署相關法</w:t>
            </w:r>
            <w:r w:rsidRPr="00060569">
              <w:rPr>
                <w:rFonts w:ascii="標楷體" w:eastAsia="標楷體" w:hAnsi="標楷體" w:hint="eastAsia"/>
              </w:rPr>
              <w:t>規</w:t>
            </w:r>
            <w:r w:rsidRPr="00060569">
              <w:rPr>
                <w:rFonts w:ascii="標楷體" w:eastAsia="標楷體" w:hAnsi="標楷體" w:hint="eastAsia"/>
                <w:lang w:eastAsia="zh-HK"/>
              </w:rPr>
              <w:t>及實務運作</w:t>
            </w:r>
          </w:p>
        </w:tc>
        <w:tc>
          <w:tcPr>
            <w:tcW w:w="1273" w:type="dxa"/>
            <w:vAlign w:val="center"/>
          </w:tcPr>
          <w:p w14:paraId="0ED961F9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449046ED" w14:textId="2DFE61D8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3C9EEC25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3E5A12C8" w14:textId="799CCF30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4247" w:type="dxa"/>
            <w:vAlign w:val="center"/>
          </w:tcPr>
          <w:p w14:paraId="208F4891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租稅法實務</w:t>
            </w:r>
          </w:p>
        </w:tc>
        <w:tc>
          <w:tcPr>
            <w:tcW w:w="1273" w:type="dxa"/>
            <w:vAlign w:val="center"/>
          </w:tcPr>
          <w:p w14:paraId="33DFA836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2644E8AD" w14:textId="12FC75D6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16DF5213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37D6233B" w14:textId="2017D755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4247" w:type="dxa"/>
            <w:vAlign w:val="center"/>
          </w:tcPr>
          <w:p w14:paraId="2D125578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國家賠償法與行政罰法</w:t>
            </w:r>
          </w:p>
        </w:tc>
        <w:tc>
          <w:tcPr>
            <w:tcW w:w="1273" w:type="dxa"/>
            <w:vAlign w:val="center"/>
          </w:tcPr>
          <w:p w14:paraId="33659790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5B744747" w14:textId="7A414876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25DA1932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105C703B" w14:textId="6FF20DA6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247" w:type="dxa"/>
            <w:vAlign w:val="center"/>
          </w:tcPr>
          <w:p w14:paraId="454A4C4B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陳情與執行態度</w:t>
            </w:r>
          </w:p>
        </w:tc>
        <w:tc>
          <w:tcPr>
            <w:tcW w:w="1273" w:type="dxa"/>
            <w:vAlign w:val="center"/>
          </w:tcPr>
          <w:p w14:paraId="4E5DB050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7B41C972" w14:textId="3585E023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699FAA0E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3B055387" w14:textId="626EC5E8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4247" w:type="dxa"/>
            <w:vAlign w:val="center"/>
          </w:tcPr>
          <w:p w14:paraId="56623D01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proofErr w:type="gramStart"/>
            <w:r w:rsidRPr="00060569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060569">
              <w:rPr>
                <w:rFonts w:ascii="標楷體" w:eastAsia="標楷體" w:hAnsi="標楷體" w:hint="eastAsia"/>
                <w:color w:val="000000"/>
              </w:rPr>
              <w:t>拍賣</w:t>
            </w:r>
          </w:p>
        </w:tc>
        <w:tc>
          <w:tcPr>
            <w:tcW w:w="1273" w:type="dxa"/>
            <w:vAlign w:val="center"/>
          </w:tcPr>
          <w:p w14:paraId="11CB3CD6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14:paraId="3CE99FAE" w14:textId="6BF46F8F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415C9486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2D4BBEBE" w14:textId="1A1014DB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4247" w:type="dxa"/>
            <w:vAlign w:val="center"/>
          </w:tcPr>
          <w:p w14:paraId="4DE148D4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proofErr w:type="gramStart"/>
            <w:r w:rsidRPr="00060569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060569">
              <w:rPr>
                <w:rFonts w:ascii="標楷體" w:eastAsia="標楷體" w:hAnsi="標楷體"/>
                <w:color w:val="000000"/>
              </w:rPr>
              <w:t>拘提、</w:t>
            </w:r>
            <w:r w:rsidRPr="00060569">
              <w:rPr>
                <w:rFonts w:ascii="標楷體" w:eastAsia="標楷體" w:hAnsi="標楷體" w:hint="eastAsia"/>
                <w:color w:val="000000"/>
              </w:rPr>
              <w:t>留置、</w:t>
            </w:r>
            <w:proofErr w:type="gramStart"/>
            <w:r w:rsidRPr="00060569">
              <w:rPr>
                <w:rFonts w:ascii="標楷體" w:eastAsia="標楷體" w:hAnsi="標楷體"/>
                <w:color w:val="000000"/>
              </w:rPr>
              <w:t>管收之</w:t>
            </w:r>
            <w:proofErr w:type="gramEnd"/>
            <w:r w:rsidRPr="00060569">
              <w:rPr>
                <w:rFonts w:ascii="標楷體" w:eastAsia="標楷體" w:hAnsi="標楷體"/>
                <w:color w:val="000000"/>
              </w:rPr>
              <w:t>執行</w:t>
            </w:r>
          </w:p>
        </w:tc>
        <w:tc>
          <w:tcPr>
            <w:tcW w:w="1273" w:type="dxa"/>
            <w:vAlign w:val="center"/>
          </w:tcPr>
          <w:p w14:paraId="56B3C3A2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4964F6CB" w14:textId="1B68C0C8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55EDE68C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17BABD29" w14:textId="00797043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4247" w:type="dxa"/>
            <w:vAlign w:val="center"/>
          </w:tcPr>
          <w:p w14:paraId="71F7979F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32"/>
              </w:rPr>
              <w:t>行政執行實務解說及演練</w:t>
            </w:r>
            <w:proofErr w:type="gramStart"/>
            <w:r w:rsidRPr="00060569">
              <w:rPr>
                <w:rFonts w:ascii="標楷體" w:eastAsia="標楷體" w:hAnsi="標楷體"/>
                <w:color w:val="000000"/>
                <w:szCs w:val="32"/>
              </w:rPr>
              <w:t>—</w:t>
            </w:r>
            <w:proofErr w:type="gramEnd"/>
            <w:r w:rsidRPr="00060569">
              <w:rPr>
                <w:rFonts w:ascii="標楷體" w:eastAsia="標楷體" w:hAnsi="標楷體" w:hint="eastAsia"/>
                <w:color w:val="000000"/>
                <w:szCs w:val="32"/>
              </w:rPr>
              <w:t>行政執行案件移送、立案審查、送達等相關規定及實務案例介紹</w:t>
            </w:r>
          </w:p>
        </w:tc>
        <w:tc>
          <w:tcPr>
            <w:tcW w:w="1273" w:type="dxa"/>
            <w:vAlign w:val="center"/>
          </w:tcPr>
          <w:p w14:paraId="4280A4C6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14:paraId="5C3E1D10" w14:textId="1CB867A4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29BDA348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22B26CBE" w14:textId="67A2D253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4247" w:type="dxa"/>
            <w:vAlign w:val="center"/>
          </w:tcPr>
          <w:p w14:paraId="32026D5F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筆錄及分配表之製作</w:t>
            </w:r>
          </w:p>
        </w:tc>
        <w:tc>
          <w:tcPr>
            <w:tcW w:w="1273" w:type="dxa"/>
            <w:vAlign w:val="center"/>
          </w:tcPr>
          <w:p w14:paraId="222A9FC5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583FFC44" w14:textId="29C560DF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5C173FAC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6B2DCE2E" w14:textId="7804D2D4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4247" w:type="dxa"/>
            <w:vAlign w:val="center"/>
          </w:tcPr>
          <w:p w14:paraId="574BB06C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義務人資金流向追查實務</w:t>
            </w:r>
          </w:p>
        </w:tc>
        <w:tc>
          <w:tcPr>
            <w:tcW w:w="1273" w:type="dxa"/>
            <w:vAlign w:val="center"/>
          </w:tcPr>
          <w:p w14:paraId="0DBC06DD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016007C8" w14:textId="142217D1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000B2A24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02F29649" w14:textId="163C022F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54FD1" w:rsidRPr="00060569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4247" w:type="dxa"/>
            <w:vAlign w:val="center"/>
          </w:tcPr>
          <w:p w14:paraId="2F7C2392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詢問技巧</w:t>
            </w:r>
          </w:p>
        </w:tc>
        <w:tc>
          <w:tcPr>
            <w:tcW w:w="1273" w:type="dxa"/>
            <w:vAlign w:val="center"/>
          </w:tcPr>
          <w:p w14:paraId="486D6298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276C47CC" w14:textId="7AF8675E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3A02DF12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475C5010" w14:textId="4DE87D24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 w:colFirst="1" w:colLast="2"/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4247" w:type="dxa"/>
            <w:vAlign w:val="center"/>
          </w:tcPr>
          <w:p w14:paraId="3B785D5E" w14:textId="77777777" w:rsidR="00654FD1" w:rsidRPr="002A343E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A343E">
              <w:rPr>
                <w:rFonts w:ascii="標楷體" w:eastAsia="標楷體" w:hAnsi="標楷體" w:hint="eastAsia"/>
                <w:color w:val="000000"/>
              </w:rPr>
              <w:t>案件管理系統之操作</w:t>
            </w:r>
          </w:p>
        </w:tc>
        <w:tc>
          <w:tcPr>
            <w:tcW w:w="1273" w:type="dxa"/>
            <w:vAlign w:val="center"/>
          </w:tcPr>
          <w:p w14:paraId="13A2A150" w14:textId="2B7AD41A" w:rsidR="00654FD1" w:rsidRPr="002A343E" w:rsidRDefault="00CB55F5" w:rsidP="00654FD1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A343E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14:paraId="61133C73" w14:textId="26A27510" w:rsidR="00654FD1" w:rsidRPr="00060569" w:rsidRDefault="00654FD1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654FD1" w:rsidRPr="00060569" w14:paraId="0985F976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1B348078" w14:textId="390B71B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4247" w:type="dxa"/>
            <w:vAlign w:val="center"/>
          </w:tcPr>
          <w:p w14:paraId="483147A5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行政執行實務</w:t>
            </w:r>
            <w:proofErr w:type="gramStart"/>
            <w:r w:rsidRPr="00060569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060569">
              <w:rPr>
                <w:rFonts w:ascii="標楷體" w:eastAsia="標楷體" w:hAnsi="標楷體" w:hint="eastAsia"/>
                <w:color w:val="000000"/>
              </w:rPr>
              <w:t>書記官作業</w:t>
            </w:r>
          </w:p>
        </w:tc>
        <w:tc>
          <w:tcPr>
            <w:tcW w:w="1273" w:type="dxa"/>
            <w:vAlign w:val="center"/>
          </w:tcPr>
          <w:p w14:paraId="25966CCB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16D87826" w14:textId="4171C0A7" w:rsidR="00654FD1" w:rsidRPr="00060569" w:rsidRDefault="00654FD1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7385D036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73BFEB6C" w14:textId="7ED7BED6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4247" w:type="dxa"/>
            <w:vAlign w:val="center"/>
          </w:tcPr>
          <w:p w14:paraId="24B779FC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行政執行實務</w:t>
            </w:r>
            <w:proofErr w:type="gramStart"/>
            <w:r w:rsidRPr="00060569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060569">
              <w:rPr>
                <w:rFonts w:ascii="標楷體" w:eastAsia="標楷體" w:hAnsi="標楷體" w:hint="eastAsia"/>
                <w:color w:val="000000"/>
              </w:rPr>
              <w:t>執行員作業</w:t>
            </w:r>
          </w:p>
        </w:tc>
        <w:tc>
          <w:tcPr>
            <w:tcW w:w="1273" w:type="dxa"/>
            <w:vAlign w:val="center"/>
          </w:tcPr>
          <w:p w14:paraId="2DCF73D1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0A9AE668" w14:textId="43F89857" w:rsidR="00654FD1" w:rsidRPr="00060569" w:rsidRDefault="00654FD1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03EE8DF2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6F919CCD" w14:textId="4BA3B1F4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4247" w:type="dxa"/>
            <w:vAlign w:val="center"/>
          </w:tcPr>
          <w:p w14:paraId="403967F9" w14:textId="77777777" w:rsidR="00654FD1" w:rsidRPr="00060569" w:rsidRDefault="00654FD1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協助弱勢義務人處理流程</w:t>
            </w:r>
          </w:p>
        </w:tc>
        <w:tc>
          <w:tcPr>
            <w:tcW w:w="1273" w:type="dxa"/>
            <w:vAlign w:val="center"/>
          </w:tcPr>
          <w:p w14:paraId="75568CE7" w14:textId="77777777" w:rsidR="00654FD1" w:rsidRPr="00060569" w:rsidRDefault="00654FD1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146864C5" w14:textId="32F91AFF" w:rsidR="00654FD1" w:rsidRPr="00060569" w:rsidRDefault="00654FD1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54FD1" w:rsidRPr="00060569" w14:paraId="2C5428F5" w14:textId="77777777" w:rsidTr="00F40780">
        <w:trPr>
          <w:trHeight w:val="907"/>
          <w:jc w:val="center"/>
        </w:trPr>
        <w:tc>
          <w:tcPr>
            <w:tcW w:w="1003" w:type="dxa"/>
            <w:vAlign w:val="center"/>
          </w:tcPr>
          <w:p w14:paraId="71C82F1D" w14:textId="1F690B31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54FD1" w:rsidRPr="00060569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14:paraId="27C46033" w14:textId="77777777" w:rsidR="00E33638" w:rsidRPr="00060569" w:rsidRDefault="00E33638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60569">
              <w:rPr>
                <w:rFonts w:ascii="標楷體" w:eastAsia="標楷體" w:hAnsi="標楷體" w:hint="eastAsia"/>
              </w:rPr>
              <w:t>提</w:t>
            </w:r>
            <w:r w:rsidRPr="00060569">
              <w:rPr>
                <w:rFonts w:ascii="標楷體" w:eastAsia="標楷體" w:hAnsi="標楷體" w:hint="eastAsia"/>
                <w:lang w:eastAsia="zh-HK"/>
              </w:rPr>
              <w:t>升</w:t>
            </w:r>
            <w:r w:rsidRPr="00060569">
              <w:rPr>
                <w:rFonts w:ascii="標楷體" w:eastAsia="標楷體" w:hAnsi="標楷體" w:hint="eastAsia"/>
              </w:rPr>
              <w:t>政府服務品質</w:t>
            </w:r>
            <w:proofErr w:type="gramStart"/>
            <w:r w:rsidRPr="00060569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060569">
              <w:rPr>
                <w:rFonts w:ascii="標楷體" w:eastAsia="標楷體" w:hAnsi="標楷體" w:hint="eastAsia"/>
              </w:rPr>
              <w:t>加強為民服務工作</w:t>
            </w:r>
          </w:p>
        </w:tc>
        <w:tc>
          <w:tcPr>
            <w:tcW w:w="1273" w:type="dxa"/>
            <w:vAlign w:val="center"/>
          </w:tcPr>
          <w:p w14:paraId="33AB5753" w14:textId="77777777" w:rsidR="00E33638" w:rsidRPr="00060569" w:rsidRDefault="00E33638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14:paraId="4F41D9FA" w14:textId="198D76DD" w:rsidR="00E33638" w:rsidRPr="00060569" w:rsidRDefault="00E33638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3B41061" w14:textId="77777777" w:rsidR="00385438" w:rsidRPr="00060569" w:rsidRDefault="002951A0" w:rsidP="002951A0">
      <w:pPr>
        <w:widowControl/>
        <w:rPr>
          <w:rFonts w:ascii="標楷體" w:eastAsia="標楷體" w:hAnsi="標楷體"/>
          <w:sz w:val="28"/>
          <w:szCs w:val="28"/>
        </w:rPr>
      </w:pPr>
      <w:r w:rsidRPr="00060569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06056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="00385438" w:rsidRPr="00060569">
        <w:rPr>
          <w:rFonts w:ascii="標楷體" w:eastAsia="標楷體" w:hAnsi="標楷體" w:hint="eastAsia"/>
          <w:color w:val="000000"/>
          <w:sz w:val="28"/>
          <w:szCs w:val="28"/>
        </w:rPr>
        <w:t>、其他：合計</w:t>
      </w:r>
      <w:r w:rsidR="00871195" w:rsidRPr="00060569">
        <w:rPr>
          <w:rFonts w:ascii="標楷體" w:eastAsia="標楷體" w:hAnsi="標楷體" w:hint="eastAsia"/>
          <w:sz w:val="28"/>
          <w:szCs w:val="28"/>
        </w:rPr>
        <w:t>8</w:t>
      </w:r>
      <w:r w:rsidR="00385438" w:rsidRPr="00060569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4448"/>
        <w:gridCol w:w="1471"/>
        <w:gridCol w:w="1439"/>
      </w:tblGrid>
      <w:tr w:rsidR="00871195" w:rsidRPr="00060569" w14:paraId="4304EC6B" w14:textId="77777777" w:rsidTr="00F40780">
        <w:trPr>
          <w:trHeight w:val="907"/>
          <w:tblHeader/>
          <w:jc w:val="center"/>
        </w:trPr>
        <w:tc>
          <w:tcPr>
            <w:tcW w:w="938" w:type="dxa"/>
            <w:vAlign w:val="center"/>
          </w:tcPr>
          <w:p w14:paraId="1DE516C2" w14:textId="77777777" w:rsidR="00871195" w:rsidRPr="00060569" w:rsidRDefault="00871195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4448" w:type="dxa"/>
            <w:vAlign w:val="center"/>
          </w:tcPr>
          <w:p w14:paraId="78A6C8D2" w14:textId="77777777" w:rsidR="00871195" w:rsidRPr="00060569" w:rsidRDefault="00871195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1471" w:type="dxa"/>
            <w:vAlign w:val="center"/>
          </w:tcPr>
          <w:p w14:paraId="317310E8" w14:textId="77777777" w:rsidR="00871195" w:rsidRPr="00060569" w:rsidRDefault="00871195" w:rsidP="007F5F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439" w:type="dxa"/>
            <w:vAlign w:val="center"/>
          </w:tcPr>
          <w:p w14:paraId="265C6E6C" w14:textId="775E79FD" w:rsidR="00871195" w:rsidRPr="00060569" w:rsidRDefault="00BC1D8D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871195" w:rsidRPr="00060569" w14:paraId="5AC0FA0A" w14:textId="77777777" w:rsidTr="00F40780">
        <w:trPr>
          <w:trHeight w:val="907"/>
          <w:jc w:val="center"/>
        </w:trPr>
        <w:tc>
          <w:tcPr>
            <w:tcW w:w="938" w:type="dxa"/>
            <w:vAlign w:val="center"/>
          </w:tcPr>
          <w:p w14:paraId="2EEE8DC7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448" w:type="dxa"/>
            <w:vAlign w:val="center"/>
          </w:tcPr>
          <w:p w14:paraId="10C1DB05" w14:textId="77777777" w:rsidR="00871195" w:rsidRPr="00060569" w:rsidRDefault="00871195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報到須知及環境介紹</w:t>
            </w:r>
          </w:p>
        </w:tc>
        <w:tc>
          <w:tcPr>
            <w:tcW w:w="1471" w:type="dxa"/>
            <w:vAlign w:val="center"/>
          </w:tcPr>
          <w:p w14:paraId="77FC0C7B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14:paraId="1B77B755" w14:textId="2CD97B67" w:rsidR="00871195" w:rsidRPr="00060569" w:rsidRDefault="00871195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1195" w:rsidRPr="00060569" w14:paraId="0FF1E5EB" w14:textId="77777777" w:rsidTr="00F40780">
        <w:trPr>
          <w:trHeight w:val="907"/>
          <w:jc w:val="center"/>
        </w:trPr>
        <w:tc>
          <w:tcPr>
            <w:tcW w:w="938" w:type="dxa"/>
            <w:vAlign w:val="center"/>
          </w:tcPr>
          <w:p w14:paraId="38453A62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448" w:type="dxa"/>
            <w:vAlign w:val="center"/>
          </w:tcPr>
          <w:p w14:paraId="52DD98E4" w14:textId="77777777" w:rsidR="00871195" w:rsidRPr="00060569" w:rsidRDefault="00871195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</w:rPr>
              <w:t>測驗－行政執行法及強制執行法</w:t>
            </w:r>
          </w:p>
        </w:tc>
        <w:tc>
          <w:tcPr>
            <w:tcW w:w="1471" w:type="dxa"/>
            <w:vAlign w:val="center"/>
          </w:tcPr>
          <w:p w14:paraId="1A3F541F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1.5</w:t>
            </w:r>
          </w:p>
        </w:tc>
        <w:tc>
          <w:tcPr>
            <w:tcW w:w="1439" w:type="dxa"/>
            <w:vAlign w:val="center"/>
          </w:tcPr>
          <w:p w14:paraId="0A8AF551" w14:textId="2E5FECCB" w:rsidR="00871195" w:rsidRPr="00060569" w:rsidRDefault="00871195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1195" w:rsidRPr="00060569" w14:paraId="0383595E" w14:textId="77777777" w:rsidTr="00F40780">
        <w:trPr>
          <w:trHeight w:val="907"/>
          <w:jc w:val="center"/>
        </w:trPr>
        <w:tc>
          <w:tcPr>
            <w:tcW w:w="938" w:type="dxa"/>
            <w:vAlign w:val="center"/>
          </w:tcPr>
          <w:p w14:paraId="4E0E1268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448" w:type="dxa"/>
            <w:vAlign w:val="center"/>
          </w:tcPr>
          <w:p w14:paraId="0CE4F5CD" w14:textId="77777777" w:rsidR="00871195" w:rsidRPr="00060569" w:rsidRDefault="00871195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測驗－</w:t>
            </w:r>
            <w:r w:rsidRPr="00060569">
              <w:rPr>
                <w:rFonts w:ascii="標楷體" w:eastAsia="標楷體" w:hAnsi="標楷體" w:hint="eastAsia"/>
                <w:color w:val="000000"/>
              </w:rPr>
              <w:t>行政執行實務解說及演練</w:t>
            </w:r>
            <w:r w:rsidRPr="00060569">
              <w:rPr>
                <w:rFonts w:ascii="標楷體" w:eastAsia="標楷體" w:hAnsi="標楷體" w:hint="eastAsia"/>
                <w:color w:val="000000"/>
                <w:sz w:val="22"/>
              </w:rPr>
              <w:t>（拍賣、立案審查及送達）</w:t>
            </w:r>
          </w:p>
        </w:tc>
        <w:tc>
          <w:tcPr>
            <w:tcW w:w="1471" w:type="dxa"/>
            <w:vAlign w:val="center"/>
          </w:tcPr>
          <w:p w14:paraId="46B68107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1.5</w:t>
            </w:r>
          </w:p>
        </w:tc>
        <w:tc>
          <w:tcPr>
            <w:tcW w:w="1439" w:type="dxa"/>
            <w:vAlign w:val="center"/>
          </w:tcPr>
          <w:p w14:paraId="6280D54A" w14:textId="310C0170" w:rsidR="00871195" w:rsidRPr="00060569" w:rsidRDefault="00871195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1195" w:rsidRPr="00060569" w14:paraId="6B6F21BB" w14:textId="77777777" w:rsidTr="00F40780">
        <w:trPr>
          <w:trHeight w:val="907"/>
          <w:jc w:val="center"/>
        </w:trPr>
        <w:tc>
          <w:tcPr>
            <w:tcW w:w="938" w:type="dxa"/>
            <w:vAlign w:val="center"/>
          </w:tcPr>
          <w:p w14:paraId="61082AB0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448" w:type="dxa"/>
            <w:vAlign w:val="center"/>
          </w:tcPr>
          <w:p w14:paraId="115A7CFB" w14:textId="77777777" w:rsidR="00871195" w:rsidRPr="00060569" w:rsidRDefault="00871195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60569">
              <w:rPr>
                <w:rFonts w:ascii="標楷體" w:eastAsia="標楷體" w:hAnsi="標楷體" w:hint="eastAsia"/>
                <w:color w:val="000000"/>
                <w:szCs w:val="24"/>
              </w:rPr>
              <w:t>體育活動</w:t>
            </w:r>
          </w:p>
        </w:tc>
        <w:tc>
          <w:tcPr>
            <w:tcW w:w="1471" w:type="dxa"/>
            <w:vAlign w:val="center"/>
          </w:tcPr>
          <w:p w14:paraId="577950E5" w14:textId="77777777" w:rsidR="00871195" w:rsidRPr="00060569" w:rsidRDefault="00871195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056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14:paraId="6421455E" w14:textId="349FE96C" w:rsidR="00871195" w:rsidRPr="00060569" w:rsidRDefault="00871195" w:rsidP="00F4078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6DE312" w14:textId="1D1B371C" w:rsidR="00385438" w:rsidRPr="00060569" w:rsidRDefault="00551684" w:rsidP="00AD36DD">
      <w:pPr>
        <w:spacing w:line="480" w:lineRule="exact"/>
        <w:ind w:left="742" w:rightChars="-102" w:right="-245" w:hangingChars="309" w:hanging="742"/>
        <w:rPr>
          <w:b/>
          <w:szCs w:val="24"/>
        </w:rPr>
      </w:pPr>
      <w:proofErr w:type="gramStart"/>
      <w:r w:rsidRPr="00060569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060569">
        <w:rPr>
          <w:rFonts w:ascii="標楷體" w:eastAsia="標楷體" w:hAnsi="標楷體" w:hint="eastAsia"/>
          <w:b/>
          <w:szCs w:val="24"/>
        </w:rPr>
        <w:t>：表列課程因故</w:t>
      </w:r>
      <w:proofErr w:type="gramStart"/>
      <w:r w:rsidRPr="00060569">
        <w:rPr>
          <w:rFonts w:ascii="標楷體" w:eastAsia="標楷體" w:hAnsi="標楷體" w:hint="eastAsia"/>
          <w:b/>
          <w:szCs w:val="24"/>
        </w:rPr>
        <w:t>如需異動</w:t>
      </w:r>
      <w:proofErr w:type="gramEnd"/>
      <w:r w:rsidRPr="00060569">
        <w:rPr>
          <w:rFonts w:ascii="標楷體" w:eastAsia="標楷體" w:hAnsi="標楷體" w:hint="eastAsia"/>
          <w:b/>
          <w:szCs w:val="24"/>
        </w:rPr>
        <w:t>或調整時，授權由法務部行政執行署調整之</w:t>
      </w:r>
      <w:r w:rsidR="00CB55F5" w:rsidRPr="00060569">
        <w:rPr>
          <w:rFonts w:ascii="標楷體" w:eastAsia="標楷體" w:hAnsi="標楷體" w:hint="eastAsia"/>
          <w:b/>
          <w:szCs w:val="24"/>
        </w:rPr>
        <w:t>。</w:t>
      </w:r>
    </w:p>
    <w:sectPr w:rsidR="00385438" w:rsidRPr="000605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D688" w14:textId="77777777" w:rsidR="009D2905" w:rsidRDefault="009D2905">
      <w:r>
        <w:separator/>
      </w:r>
    </w:p>
  </w:endnote>
  <w:endnote w:type="continuationSeparator" w:id="0">
    <w:p w14:paraId="55B8EC7E" w14:textId="77777777" w:rsidR="009D2905" w:rsidRDefault="009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C28C" w14:textId="53DC86AD" w:rsidR="00B1054F" w:rsidRDefault="00B105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343E" w:rsidRPr="002A343E">
      <w:rPr>
        <w:noProof/>
        <w:lang w:val="zh-TW"/>
      </w:rPr>
      <w:t>4</w:t>
    </w:r>
    <w:r>
      <w:fldChar w:fldCharType="end"/>
    </w:r>
  </w:p>
  <w:p w14:paraId="5BF8567D" w14:textId="77777777" w:rsidR="00B1054F" w:rsidRDefault="00B10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DE0B" w14:textId="77777777" w:rsidR="009D2905" w:rsidRDefault="009D2905">
      <w:r>
        <w:separator/>
      </w:r>
    </w:p>
  </w:footnote>
  <w:footnote w:type="continuationSeparator" w:id="0">
    <w:p w14:paraId="272659CC" w14:textId="77777777" w:rsidR="009D2905" w:rsidRDefault="009D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BF4"/>
    <w:multiLevelType w:val="hybridMultilevel"/>
    <w:tmpl w:val="62C21544"/>
    <w:lvl w:ilvl="0" w:tplc="34E238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E2DD0"/>
    <w:multiLevelType w:val="hybridMultilevel"/>
    <w:tmpl w:val="7B32B612"/>
    <w:lvl w:ilvl="0" w:tplc="E9F027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1"/>
    <w:rsid w:val="000032EB"/>
    <w:rsid w:val="0002328D"/>
    <w:rsid w:val="0002747F"/>
    <w:rsid w:val="00055F82"/>
    <w:rsid w:val="00056F57"/>
    <w:rsid w:val="00060569"/>
    <w:rsid w:val="000653B0"/>
    <w:rsid w:val="0006768E"/>
    <w:rsid w:val="00081917"/>
    <w:rsid w:val="00091A2C"/>
    <w:rsid w:val="0009248F"/>
    <w:rsid w:val="000A106E"/>
    <w:rsid w:val="000B57E9"/>
    <w:rsid w:val="000B7C2C"/>
    <w:rsid w:val="000C5593"/>
    <w:rsid w:val="000D6F04"/>
    <w:rsid w:val="0010480E"/>
    <w:rsid w:val="00124E23"/>
    <w:rsid w:val="001353DD"/>
    <w:rsid w:val="00153A64"/>
    <w:rsid w:val="00155D63"/>
    <w:rsid w:val="0017020D"/>
    <w:rsid w:val="001738C3"/>
    <w:rsid w:val="00180F8B"/>
    <w:rsid w:val="00181480"/>
    <w:rsid w:val="00182ED0"/>
    <w:rsid w:val="001837FD"/>
    <w:rsid w:val="001B39E9"/>
    <w:rsid w:val="001C3FBA"/>
    <w:rsid w:val="001D541B"/>
    <w:rsid w:val="001E1396"/>
    <w:rsid w:val="001E2C54"/>
    <w:rsid w:val="001F09FA"/>
    <w:rsid w:val="001F7E1D"/>
    <w:rsid w:val="00202335"/>
    <w:rsid w:val="002107BB"/>
    <w:rsid w:val="00271120"/>
    <w:rsid w:val="002951A0"/>
    <w:rsid w:val="002A2E3D"/>
    <w:rsid w:val="002A343E"/>
    <w:rsid w:val="002A41CE"/>
    <w:rsid w:val="002B7DAD"/>
    <w:rsid w:val="002C6730"/>
    <w:rsid w:val="002D2FDB"/>
    <w:rsid w:val="002E1121"/>
    <w:rsid w:val="002F1201"/>
    <w:rsid w:val="002F14E5"/>
    <w:rsid w:val="002F2E9C"/>
    <w:rsid w:val="00302C40"/>
    <w:rsid w:val="00322CD3"/>
    <w:rsid w:val="0032481C"/>
    <w:rsid w:val="0032656C"/>
    <w:rsid w:val="003443D1"/>
    <w:rsid w:val="00352F00"/>
    <w:rsid w:val="003605CE"/>
    <w:rsid w:val="00375891"/>
    <w:rsid w:val="00385438"/>
    <w:rsid w:val="00392212"/>
    <w:rsid w:val="003B13CD"/>
    <w:rsid w:val="003B5F03"/>
    <w:rsid w:val="004140E5"/>
    <w:rsid w:val="004217E2"/>
    <w:rsid w:val="00421E7A"/>
    <w:rsid w:val="00434EA4"/>
    <w:rsid w:val="00436EB1"/>
    <w:rsid w:val="00441EC6"/>
    <w:rsid w:val="00446494"/>
    <w:rsid w:val="00451DAD"/>
    <w:rsid w:val="0047498D"/>
    <w:rsid w:val="00474CB6"/>
    <w:rsid w:val="004A74F6"/>
    <w:rsid w:val="004A7671"/>
    <w:rsid w:val="004B50AE"/>
    <w:rsid w:val="004D0261"/>
    <w:rsid w:val="004E29EC"/>
    <w:rsid w:val="00504824"/>
    <w:rsid w:val="00504F65"/>
    <w:rsid w:val="005478B3"/>
    <w:rsid w:val="00551684"/>
    <w:rsid w:val="00565360"/>
    <w:rsid w:val="0057633F"/>
    <w:rsid w:val="005858FA"/>
    <w:rsid w:val="005A5E3F"/>
    <w:rsid w:val="005B0CA5"/>
    <w:rsid w:val="005D09BC"/>
    <w:rsid w:val="005E08EF"/>
    <w:rsid w:val="00601810"/>
    <w:rsid w:val="00612E8E"/>
    <w:rsid w:val="0061677F"/>
    <w:rsid w:val="00617619"/>
    <w:rsid w:val="00622B65"/>
    <w:rsid w:val="00622CEF"/>
    <w:rsid w:val="00654FD1"/>
    <w:rsid w:val="00660CD8"/>
    <w:rsid w:val="0067147E"/>
    <w:rsid w:val="0067701A"/>
    <w:rsid w:val="006A2F41"/>
    <w:rsid w:val="006C3C25"/>
    <w:rsid w:val="006C5E62"/>
    <w:rsid w:val="006D4059"/>
    <w:rsid w:val="006E5888"/>
    <w:rsid w:val="006F1AB0"/>
    <w:rsid w:val="00715A9F"/>
    <w:rsid w:val="00724FFB"/>
    <w:rsid w:val="00726546"/>
    <w:rsid w:val="00726B87"/>
    <w:rsid w:val="007332E6"/>
    <w:rsid w:val="007408D1"/>
    <w:rsid w:val="007525B8"/>
    <w:rsid w:val="00767FEA"/>
    <w:rsid w:val="007752FC"/>
    <w:rsid w:val="00791525"/>
    <w:rsid w:val="007B408F"/>
    <w:rsid w:val="007D0C11"/>
    <w:rsid w:val="007D1A13"/>
    <w:rsid w:val="007D79C1"/>
    <w:rsid w:val="007F1779"/>
    <w:rsid w:val="007F3FF4"/>
    <w:rsid w:val="007F5FCA"/>
    <w:rsid w:val="007F702E"/>
    <w:rsid w:val="00820612"/>
    <w:rsid w:val="00831E01"/>
    <w:rsid w:val="00844238"/>
    <w:rsid w:val="00845F80"/>
    <w:rsid w:val="00846A31"/>
    <w:rsid w:val="00854FAD"/>
    <w:rsid w:val="00857C2D"/>
    <w:rsid w:val="008647E8"/>
    <w:rsid w:val="00871195"/>
    <w:rsid w:val="00882059"/>
    <w:rsid w:val="00892A38"/>
    <w:rsid w:val="00893084"/>
    <w:rsid w:val="008A257E"/>
    <w:rsid w:val="008D2340"/>
    <w:rsid w:val="008D37D6"/>
    <w:rsid w:val="008D702A"/>
    <w:rsid w:val="009207BA"/>
    <w:rsid w:val="009411D3"/>
    <w:rsid w:val="00954E00"/>
    <w:rsid w:val="009568F2"/>
    <w:rsid w:val="00960C33"/>
    <w:rsid w:val="0096457E"/>
    <w:rsid w:val="00970EC3"/>
    <w:rsid w:val="00972266"/>
    <w:rsid w:val="009812FF"/>
    <w:rsid w:val="009826D0"/>
    <w:rsid w:val="009C133D"/>
    <w:rsid w:val="009D2905"/>
    <w:rsid w:val="009E5AED"/>
    <w:rsid w:val="009F5F00"/>
    <w:rsid w:val="00A06709"/>
    <w:rsid w:val="00A22A5B"/>
    <w:rsid w:val="00A2381A"/>
    <w:rsid w:val="00A6221F"/>
    <w:rsid w:val="00A84690"/>
    <w:rsid w:val="00A93ADE"/>
    <w:rsid w:val="00AA5353"/>
    <w:rsid w:val="00AB568F"/>
    <w:rsid w:val="00AC6AE8"/>
    <w:rsid w:val="00AC75D8"/>
    <w:rsid w:val="00AD2F89"/>
    <w:rsid w:val="00AD36DD"/>
    <w:rsid w:val="00AD404C"/>
    <w:rsid w:val="00AD444C"/>
    <w:rsid w:val="00AE01D5"/>
    <w:rsid w:val="00B1054F"/>
    <w:rsid w:val="00B15E8C"/>
    <w:rsid w:val="00B27565"/>
    <w:rsid w:val="00B40730"/>
    <w:rsid w:val="00B56BDE"/>
    <w:rsid w:val="00B8313B"/>
    <w:rsid w:val="00B9137E"/>
    <w:rsid w:val="00B95734"/>
    <w:rsid w:val="00B96B2B"/>
    <w:rsid w:val="00B97C98"/>
    <w:rsid w:val="00B97CC0"/>
    <w:rsid w:val="00BA5E11"/>
    <w:rsid w:val="00BC1D8D"/>
    <w:rsid w:val="00BC5721"/>
    <w:rsid w:val="00BE4348"/>
    <w:rsid w:val="00BE5D62"/>
    <w:rsid w:val="00BE6A8E"/>
    <w:rsid w:val="00BE6EA4"/>
    <w:rsid w:val="00BF7014"/>
    <w:rsid w:val="00C33FE0"/>
    <w:rsid w:val="00C556DD"/>
    <w:rsid w:val="00C67400"/>
    <w:rsid w:val="00C74557"/>
    <w:rsid w:val="00C77577"/>
    <w:rsid w:val="00CA503A"/>
    <w:rsid w:val="00CA5BB1"/>
    <w:rsid w:val="00CA6765"/>
    <w:rsid w:val="00CB55F5"/>
    <w:rsid w:val="00CB6E5D"/>
    <w:rsid w:val="00CC4E4E"/>
    <w:rsid w:val="00CD1FE9"/>
    <w:rsid w:val="00CE4CD8"/>
    <w:rsid w:val="00CE5011"/>
    <w:rsid w:val="00D12F18"/>
    <w:rsid w:val="00D26E9E"/>
    <w:rsid w:val="00D56FA1"/>
    <w:rsid w:val="00D64CDC"/>
    <w:rsid w:val="00D719C9"/>
    <w:rsid w:val="00D92C66"/>
    <w:rsid w:val="00DA02E9"/>
    <w:rsid w:val="00DB59E8"/>
    <w:rsid w:val="00DC4C85"/>
    <w:rsid w:val="00DD59CA"/>
    <w:rsid w:val="00DE4CE4"/>
    <w:rsid w:val="00DF3616"/>
    <w:rsid w:val="00E011A4"/>
    <w:rsid w:val="00E0337F"/>
    <w:rsid w:val="00E13669"/>
    <w:rsid w:val="00E13891"/>
    <w:rsid w:val="00E33638"/>
    <w:rsid w:val="00E43D8E"/>
    <w:rsid w:val="00E536EE"/>
    <w:rsid w:val="00E66151"/>
    <w:rsid w:val="00E71C29"/>
    <w:rsid w:val="00E85F39"/>
    <w:rsid w:val="00E96445"/>
    <w:rsid w:val="00EB0E0E"/>
    <w:rsid w:val="00EC63AE"/>
    <w:rsid w:val="00EC68A3"/>
    <w:rsid w:val="00EC7E19"/>
    <w:rsid w:val="00ED790D"/>
    <w:rsid w:val="00F16639"/>
    <w:rsid w:val="00F17A1C"/>
    <w:rsid w:val="00F40780"/>
    <w:rsid w:val="00F43DEF"/>
    <w:rsid w:val="00F6609E"/>
    <w:rsid w:val="00F97B01"/>
    <w:rsid w:val="00FA3164"/>
    <w:rsid w:val="00FA5677"/>
    <w:rsid w:val="00FA6477"/>
    <w:rsid w:val="00FB4E78"/>
    <w:rsid w:val="00FC1428"/>
    <w:rsid w:val="00FD3521"/>
    <w:rsid w:val="00FD6CE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ADF40"/>
  <w15:chartTrackingRefBased/>
  <w15:docId w15:val="{2E813B24-9D08-4786-A5E9-4482E0F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Balloon Text"/>
    <w:basedOn w:val="a"/>
    <w:semiHidden/>
    <w:rsid w:val="00565360"/>
    <w:rPr>
      <w:rFonts w:ascii="Arial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 w:hAnsi="Times New Roman"/>
      <w:snapToGrid w:val="0"/>
      <w:kern w:val="0"/>
      <w:sz w:val="32"/>
      <w:szCs w:val="20"/>
    </w:rPr>
  </w:style>
  <w:style w:type="character" w:customStyle="1" w:styleId="aa">
    <w:name w:val="日期 字元"/>
    <w:semiHidden/>
    <w:rPr>
      <w:rFonts w:ascii="標楷體" w:eastAsia="標楷體" w:hAnsi="Times New Roman"/>
      <w:snapToGrid w:val="0"/>
      <w:sz w:val="32"/>
    </w:rPr>
  </w:style>
  <w:style w:type="character" w:customStyle="1" w:styleId="dialogtext1">
    <w:name w:val="dialog_text1"/>
    <w:rPr>
      <w:rFonts w:ascii="sөũ" w:hAnsi="sөũ" w:hint="default"/>
      <w:color w:val="000000"/>
      <w:sz w:val="24"/>
      <w:szCs w:val="24"/>
    </w:rPr>
  </w:style>
  <w:style w:type="paragraph" w:styleId="ab">
    <w:name w:val="Revision"/>
    <w:hidden/>
    <w:uiPriority w:val="99"/>
    <w:semiHidden/>
    <w:rsid w:val="00E43D8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DE66-40C4-46D9-A97A-A25867B4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</Words>
  <Characters>715</Characters>
  <Application>Microsoft Office Word</Application>
  <DocSecurity>0</DocSecurity>
  <Lines>5</Lines>
  <Paragraphs>1</Paragraphs>
  <ScaleCrop>false</ScaleCrop>
  <Company>MOJ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行政執行官訓練班第11期課程總表</dc:title>
  <dc:subject/>
  <dc:creator>ericchung</dc:creator>
  <cp:keywords/>
  <cp:lastModifiedBy>user</cp:lastModifiedBy>
  <cp:revision>14</cp:revision>
  <cp:lastPrinted>2020-11-25T05:46:00Z</cp:lastPrinted>
  <dcterms:created xsi:type="dcterms:W3CDTF">2021-03-23T01:12:00Z</dcterms:created>
  <dcterms:modified xsi:type="dcterms:W3CDTF">2021-04-20T06:47:00Z</dcterms:modified>
</cp:coreProperties>
</file>