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7"/>
        <w:gridCol w:w="1393"/>
        <w:gridCol w:w="1393"/>
        <w:gridCol w:w="1518"/>
      </w:tblGrid>
      <w:tr>
        <w:trPr>
          <w:trHeight w:val="292" w:hRule="atLeast"/>
        </w:trPr>
        <w:tc>
          <w:tcPr>
            <w:tcW w:w="8491" w:type="dxa"/>
            <w:gridSpan w:val="4"/>
          </w:tcPr>
          <w:p>
            <w:pPr>
              <w:pStyle w:val="TableParagraph"/>
              <w:ind w:left="1233" w:right="1198"/>
              <w:jc w:val="center"/>
              <w:rPr>
                <w:sz w:val="24"/>
              </w:rPr>
            </w:pPr>
            <w:r>
              <w:rPr>
                <w:sz w:val="24"/>
              </w:rPr>
              <w:t>公務人員保障暨培訓委員會辦理國家賠償處理情形統計表</w:t>
            </w: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104年度</w:t>
            </w:r>
          </w:p>
        </w:tc>
        <w:tc>
          <w:tcPr>
            <w:tcW w:w="1393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105年度</w:t>
            </w:r>
          </w:p>
        </w:tc>
        <w:tc>
          <w:tcPr>
            <w:tcW w:w="151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106年度</w:t>
            </w: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舊收案件件數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新收案件件數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已結案件件數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未結案件件數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賠償總金額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協議成立賠償件數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協議成立賠償金額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訴訟件數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判決確定賠償件數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判決確定賠償金額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依第2條賠償件數</w:t>
            </w:r>
          </w:p>
        </w:tc>
        <w:tc>
          <w:tcPr>
            <w:tcW w:w="1393" w:type="dxa"/>
          </w:tcPr>
          <w:p>
            <w:pPr>
              <w:pStyle w:val="TableParagraph"/>
              <w:spacing w:line="27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依第3條賠償件數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行使求償權總件數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獲償總件數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獲償總金額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行政懲處（戒）件數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87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行政懲處（戒）人數</w:t>
            </w:r>
          </w:p>
        </w:tc>
        <w:tc>
          <w:tcPr>
            <w:tcW w:w="1393" w:type="dxa"/>
          </w:tcPr>
          <w:p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</w:tcPr>
          <w:p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0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新細明體" w:hAnsi="新細明體" w:eastAsia="新細明體" w:cs="新細明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林珊如</dc:creator>
  <dcterms:created xsi:type="dcterms:W3CDTF">2021-10-12T10:25:27Z</dcterms:created>
  <dcterms:modified xsi:type="dcterms:W3CDTF">2021-10-12T10:25:27Z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2021-10-12T00:00:00Z</vt:filetime>
  </property>
</Properties>
</file>