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F2" w:rsidRDefault="000E21F2">
      <w:pPr>
        <w:pStyle w:val="a3"/>
        <w:rPr>
          <w:rFonts w:ascii="Times New Roman"/>
          <w:sz w:val="20"/>
        </w:rPr>
      </w:pPr>
    </w:p>
    <w:p w:rsidR="000E21F2" w:rsidRDefault="000E21F2">
      <w:pPr>
        <w:pStyle w:val="a3"/>
        <w:rPr>
          <w:rFonts w:ascii="Times New Roman"/>
          <w:sz w:val="20"/>
        </w:rPr>
      </w:pPr>
    </w:p>
    <w:p w:rsidR="000E21F2" w:rsidRDefault="000E21F2">
      <w:pPr>
        <w:pStyle w:val="a3"/>
        <w:rPr>
          <w:rFonts w:ascii="Times New Roman"/>
          <w:sz w:val="20"/>
        </w:rPr>
      </w:pPr>
    </w:p>
    <w:p w:rsidR="000E21F2" w:rsidRDefault="000E21F2">
      <w:pPr>
        <w:pStyle w:val="a3"/>
        <w:rPr>
          <w:rFonts w:ascii="Times New Roman"/>
          <w:sz w:val="20"/>
        </w:rPr>
      </w:pPr>
    </w:p>
    <w:p w:rsidR="000E21F2" w:rsidRDefault="000E21F2">
      <w:pPr>
        <w:pStyle w:val="a3"/>
        <w:rPr>
          <w:rFonts w:ascii="Times New Roman"/>
          <w:sz w:val="20"/>
        </w:rPr>
      </w:pPr>
    </w:p>
    <w:p w:rsidR="000E21F2" w:rsidRDefault="000E21F2">
      <w:pPr>
        <w:pStyle w:val="a3"/>
        <w:rPr>
          <w:rFonts w:ascii="Times New Roman"/>
          <w:sz w:val="20"/>
        </w:rPr>
      </w:pPr>
    </w:p>
    <w:p w:rsidR="000E21F2" w:rsidRDefault="000E21F2">
      <w:pPr>
        <w:pStyle w:val="a3"/>
        <w:rPr>
          <w:rFonts w:ascii="Times New Roman"/>
          <w:sz w:val="20"/>
        </w:rPr>
      </w:pPr>
    </w:p>
    <w:p w:rsidR="000E21F2" w:rsidRDefault="000E21F2">
      <w:pPr>
        <w:pStyle w:val="a3"/>
        <w:rPr>
          <w:rFonts w:ascii="Times New Roman"/>
          <w:sz w:val="20"/>
        </w:rPr>
      </w:pPr>
    </w:p>
    <w:p w:rsidR="000E21F2" w:rsidRDefault="000E21F2">
      <w:pPr>
        <w:pStyle w:val="a3"/>
        <w:spacing w:before="10"/>
        <w:rPr>
          <w:rFonts w:ascii="Times New Roman"/>
          <w:sz w:val="25"/>
        </w:rPr>
      </w:pPr>
    </w:p>
    <w:p w:rsidR="000E21F2" w:rsidRDefault="008A48C0">
      <w:pPr>
        <w:spacing w:before="52"/>
        <w:ind w:left="1098" w:right="1227"/>
        <w:jc w:val="center"/>
        <w:rPr>
          <w:sz w:val="35"/>
        </w:rPr>
      </w:pPr>
      <w:r>
        <w:rPr>
          <w:color w:val="010101"/>
          <w:w w:val="110"/>
          <w:sz w:val="35"/>
        </w:rPr>
        <w:t>公務人員保障暨培訓委員會</w:t>
      </w:r>
    </w:p>
    <w:p w:rsidR="000E21F2" w:rsidRDefault="000E21F2">
      <w:pPr>
        <w:pStyle w:val="a3"/>
        <w:rPr>
          <w:sz w:val="34"/>
        </w:rPr>
      </w:pPr>
    </w:p>
    <w:p w:rsidR="000E21F2" w:rsidRDefault="000E21F2">
      <w:pPr>
        <w:pStyle w:val="a3"/>
        <w:rPr>
          <w:sz w:val="34"/>
        </w:rPr>
      </w:pPr>
    </w:p>
    <w:p w:rsidR="000E21F2" w:rsidRDefault="000E21F2">
      <w:pPr>
        <w:pStyle w:val="a3"/>
        <w:rPr>
          <w:sz w:val="34"/>
        </w:rPr>
      </w:pPr>
    </w:p>
    <w:p w:rsidR="000E21F2" w:rsidRDefault="000E21F2">
      <w:pPr>
        <w:pStyle w:val="a3"/>
        <w:rPr>
          <w:sz w:val="34"/>
        </w:rPr>
      </w:pPr>
    </w:p>
    <w:p w:rsidR="000E21F2" w:rsidRDefault="000E21F2">
      <w:pPr>
        <w:pStyle w:val="a3"/>
        <w:rPr>
          <w:sz w:val="34"/>
        </w:rPr>
      </w:pPr>
    </w:p>
    <w:p w:rsidR="000E21F2" w:rsidRDefault="008A48C0">
      <w:pPr>
        <w:spacing w:before="277"/>
        <w:ind w:left="1148" w:right="1227"/>
        <w:jc w:val="center"/>
        <w:rPr>
          <w:sz w:val="36"/>
        </w:rPr>
      </w:pPr>
      <w:r>
        <w:rPr>
          <w:rFonts w:ascii="Times New Roman" w:eastAsia="Times New Roman"/>
          <w:color w:val="010101"/>
          <w:sz w:val="44"/>
        </w:rPr>
        <w:t>100</w:t>
      </w:r>
      <w:r>
        <w:rPr>
          <w:rFonts w:ascii="Times New Roman" w:eastAsia="Times New Roman"/>
          <w:color w:val="010101"/>
          <w:spacing w:val="-46"/>
          <w:sz w:val="44"/>
        </w:rPr>
        <w:t xml:space="preserve"> </w:t>
      </w:r>
      <w:r>
        <w:rPr>
          <w:color w:val="010101"/>
          <w:spacing w:val="18"/>
          <w:sz w:val="36"/>
        </w:rPr>
        <w:t>年度行政訴訟檢討意見類型化分析</w:t>
      </w:r>
    </w:p>
    <w:p w:rsidR="000E21F2" w:rsidRDefault="008A48C0">
      <w:pPr>
        <w:pStyle w:val="a4"/>
      </w:pPr>
      <w:r>
        <w:rPr>
          <w:color w:val="010101"/>
          <w:spacing w:val="1"/>
        </w:rPr>
        <w:t>－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1"/>
        </w:rPr>
        <w:t>行政程序法第</w:t>
      </w:r>
      <w:r>
        <w:rPr>
          <w:rFonts w:ascii="Times New Roman" w:eastAsia="Times New Roman"/>
          <w:color w:val="010101"/>
          <w:sz w:val="44"/>
        </w:rPr>
        <w:t>121</w:t>
      </w:r>
      <w:r>
        <w:rPr>
          <w:color w:val="010101"/>
          <w:spacing w:val="26"/>
        </w:rPr>
        <w:t>條除斥</w:t>
      </w:r>
      <w:proofErr w:type="gramStart"/>
      <w:r>
        <w:rPr>
          <w:color w:val="010101"/>
          <w:spacing w:val="26"/>
        </w:rPr>
        <w:t>期間超算點</w:t>
      </w:r>
      <w:proofErr w:type="gramEnd"/>
      <w:r>
        <w:rPr>
          <w:color w:val="010101"/>
          <w:spacing w:val="26"/>
        </w:rPr>
        <w:t>之探討</w:t>
      </w: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rPr>
          <w:sz w:val="48"/>
        </w:rPr>
      </w:pPr>
    </w:p>
    <w:p w:rsidR="000E21F2" w:rsidRDefault="000E21F2">
      <w:pPr>
        <w:pStyle w:val="a3"/>
        <w:spacing w:before="5"/>
        <w:rPr>
          <w:sz w:val="49"/>
        </w:rPr>
      </w:pPr>
    </w:p>
    <w:p w:rsidR="000E21F2" w:rsidRDefault="008A48C0">
      <w:pPr>
        <w:ind w:left="527" w:right="623"/>
        <w:jc w:val="center"/>
        <w:rPr>
          <w:sz w:val="36"/>
        </w:rPr>
      </w:pPr>
      <w:r>
        <w:rPr>
          <w:color w:val="010101"/>
          <w:spacing w:val="41"/>
          <w:w w:val="90"/>
          <w:sz w:val="37"/>
        </w:rPr>
        <w:t>中華民國</w:t>
      </w:r>
      <w:r>
        <w:rPr>
          <w:rFonts w:ascii="Times New Roman" w:eastAsia="Times New Roman"/>
          <w:color w:val="010101"/>
          <w:w w:val="90"/>
          <w:sz w:val="44"/>
        </w:rPr>
        <w:t>100</w:t>
      </w:r>
      <w:r>
        <w:rPr>
          <w:rFonts w:ascii="Times New Roman" w:eastAsia="Times New Roman"/>
          <w:color w:val="010101"/>
          <w:spacing w:val="-31"/>
          <w:w w:val="90"/>
          <w:sz w:val="44"/>
        </w:rPr>
        <w:t xml:space="preserve"> </w:t>
      </w:r>
      <w:r>
        <w:rPr>
          <w:color w:val="010101"/>
          <w:w w:val="90"/>
          <w:sz w:val="35"/>
        </w:rPr>
        <w:t>年</w:t>
      </w:r>
      <w:r>
        <w:rPr>
          <w:rFonts w:ascii="Times New Roman" w:eastAsia="Times New Roman"/>
          <w:color w:val="010101"/>
          <w:spacing w:val="16"/>
          <w:w w:val="90"/>
          <w:sz w:val="44"/>
        </w:rPr>
        <w:t>12</w:t>
      </w:r>
      <w:r>
        <w:rPr>
          <w:color w:val="010101"/>
          <w:w w:val="90"/>
          <w:sz w:val="36"/>
        </w:rPr>
        <w:t>月</w:t>
      </w:r>
    </w:p>
    <w:p w:rsidR="000E21F2" w:rsidRDefault="000E21F2">
      <w:pPr>
        <w:jc w:val="center"/>
        <w:rPr>
          <w:sz w:val="36"/>
        </w:rPr>
        <w:sectPr w:rsidR="000E21F2">
          <w:footerReference w:type="default" r:id="rId7"/>
          <w:type w:val="continuous"/>
          <w:pgSz w:w="11910" w:h="16840"/>
          <w:pgMar w:top="1580" w:right="1420" w:bottom="1200" w:left="1680" w:header="720" w:footer="1017" w:gutter="0"/>
          <w:pgNumType w:start="1"/>
          <w:cols w:space="720"/>
        </w:sectPr>
      </w:pPr>
    </w:p>
    <w:p w:rsidR="000E21F2" w:rsidRDefault="008A48C0" w:rsidP="001526D3">
      <w:pPr>
        <w:pStyle w:val="a3"/>
        <w:spacing w:before="76" w:line="331" w:lineRule="auto"/>
        <w:ind w:left="140" w:right="109" w:firstLine="704"/>
        <w:jc w:val="both"/>
      </w:pPr>
      <w:r>
        <w:rPr>
          <w:spacing w:val="36"/>
          <w:w w:val="95"/>
        </w:rPr>
        <w:lastRenderedPageBreak/>
        <w:t>按行政程序法</w:t>
      </w:r>
      <w:r>
        <w:rPr>
          <w:w w:val="95"/>
        </w:rPr>
        <w:t>（</w:t>
      </w:r>
      <w:r>
        <w:rPr>
          <w:spacing w:val="23"/>
          <w:w w:val="95"/>
        </w:rPr>
        <w:t>以下簡稱</w:t>
      </w:r>
      <w:r>
        <w:rPr>
          <w:spacing w:val="23"/>
          <w:w w:val="95"/>
        </w:rPr>
        <w:t xml:space="preserve"> </w:t>
      </w:r>
      <w:r>
        <w:rPr>
          <w:spacing w:val="23"/>
          <w:w w:val="95"/>
        </w:rPr>
        <w:t>程序法</w:t>
      </w:r>
      <w:r>
        <w:rPr>
          <w:w w:val="95"/>
        </w:rPr>
        <w:t>）</w:t>
      </w:r>
      <w:r>
        <w:rPr>
          <w:spacing w:val="27"/>
          <w:w w:val="95"/>
        </w:rPr>
        <w:t>第</w:t>
      </w:r>
      <w:r>
        <w:rPr>
          <w:rFonts w:ascii="Times New Roman" w:eastAsia="Times New Roman"/>
          <w:w w:val="95"/>
          <w:sz w:val="34"/>
        </w:rPr>
        <w:t>121</w:t>
      </w:r>
      <w:r>
        <w:rPr>
          <w:spacing w:val="8"/>
          <w:w w:val="95"/>
        </w:rPr>
        <w:t>條所定</w:t>
      </w:r>
      <w:r>
        <w:rPr>
          <w:spacing w:val="8"/>
          <w:w w:val="95"/>
        </w:rPr>
        <w:t xml:space="preserve"> </w:t>
      </w:r>
      <w:r>
        <w:rPr>
          <w:spacing w:val="8"/>
          <w:w w:val="95"/>
        </w:rPr>
        <w:t>，</w:t>
      </w:r>
      <w:r>
        <w:rPr>
          <w:spacing w:val="8"/>
          <w:w w:val="95"/>
        </w:rPr>
        <w:t>有關</w:t>
      </w:r>
      <w:r>
        <w:rPr>
          <w:w w:val="105"/>
        </w:rPr>
        <w:t>違法行政處分撤銷後，除斥</w:t>
      </w:r>
      <w:proofErr w:type="gramStart"/>
      <w:r>
        <w:rPr>
          <w:w w:val="105"/>
        </w:rPr>
        <w:t>期間超算點</w:t>
      </w:r>
      <w:proofErr w:type="gramEnd"/>
      <w:r>
        <w:rPr>
          <w:w w:val="105"/>
        </w:rPr>
        <w:t>之法律適用重大疑義，</w:t>
      </w:r>
      <w:r>
        <w:rPr>
          <w:w w:val="105"/>
        </w:rPr>
        <w:t>因行政法院與本會見解不同，且已形成共識，實值深入研究，</w:t>
      </w:r>
      <w:proofErr w:type="gramStart"/>
      <w:r>
        <w:rPr>
          <w:w w:val="105"/>
        </w:rPr>
        <w:t>爰</w:t>
      </w:r>
      <w:proofErr w:type="gramEnd"/>
      <w:r>
        <w:rPr>
          <w:w w:val="105"/>
        </w:rPr>
        <w:t>據以提出分析報告如次：</w:t>
      </w:r>
    </w:p>
    <w:p w:rsidR="000E21F2" w:rsidRDefault="008A48C0" w:rsidP="001526D3">
      <w:pPr>
        <w:pStyle w:val="a3"/>
        <w:overflowPunct w:val="0"/>
        <w:spacing w:before="11"/>
        <w:ind w:left="145"/>
        <w:jc w:val="both"/>
      </w:pPr>
      <w:r>
        <w:rPr>
          <w:w w:val="115"/>
        </w:rPr>
        <w:t>一、本會實務相關見解</w:t>
      </w:r>
    </w:p>
    <w:p w:rsidR="000E21F2" w:rsidRDefault="008A48C0" w:rsidP="001526D3">
      <w:pPr>
        <w:pStyle w:val="a3"/>
        <w:overflowPunct w:val="0"/>
        <w:spacing w:before="136" w:line="316" w:lineRule="auto"/>
        <w:ind w:left="848" w:firstLine="7"/>
        <w:jc w:val="both"/>
      </w:pPr>
      <w:r>
        <w:t>本會歷來審議保障事件，對於「知有撤銷原因」之認定</w:t>
      </w:r>
      <w:r>
        <w:t>標準，係指行政機關「明知及確實知曉對處分相對人有</w:t>
      </w:r>
      <w:r>
        <w:t>撤銷違法處分之原因」</w:t>
      </w:r>
      <w:r>
        <w:t>而言</w:t>
      </w:r>
      <w:r>
        <w:t>。是</w:t>
      </w:r>
      <w:proofErr w:type="gramStart"/>
      <w:r>
        <w:t>以</w:t>
      </w:r>
      <w:proofErr w:type="gramEnd"/>
      <w:r>
        <w:rPr>
          <w:spacing w:val="40"/>
          <w:w w:val="90"/>
        </w:rPr>
        <w:t>，認</w:t>
      </w:r>
      <w:r>
        <w:rPr>
          <w:spacing w:val="15"/>
        </w:rPr>
        <w:t>定程序法第</w:t>
      </w:r>
      <w:r>
        <w:rPr>
          <w:rFonts w:ascii="Times New Roman" w:eastAsia="Times New Roman"/>
          <w:sz w:val="34"/>
        </w:rPr>
        <w:t>121</w:t>
      </w:r>
      <w:r>
        <w:rPr>
          <w:spacing w:val="26"/>
          <w:w w:val="95"/>
        </w:rPr>
        <w:t>條</w:t>
      </w:r>
      <w:r>
        <w:rPr>
          <w:rFonts w:ascii="Times New Roman" w:eastAsia="Times New Roman"/>
          <w:w w:val="95"/>
          <w:sz w:val="35"/>
        </w:rPr>
        <w:t>2</w:t>
      </w:r>
      <w:r>
        <w:rPr>
          <w:spacing w:val="17"/>
          <w:w w:val="95"/>
        </w:rPr>
        <w:t>年除斥期間</w:t>
      </w:r>
      <w:proofErr w:type="gramStart"/>
      <w:r>
        <w:rPr>
          <w:spacing w:val="17"/>
          <w:w w:val="95"/>
        </w:rPr>
        <w:t>之超算點</w:t>
      </w:r>
      <w:proofErr w:type="gramEnd"/>
      <w:r>
        <w:rPr>
          <w:spacing w:val="26"/>
          <w:w w:val="90"/>
        </w:rPr>
        <w:t>，係</w:t>
      </w:r>
      <w:r>
        <w:rPr>
          <w:spacing w:val="26"/>
          <w:w w:val="90"/>
        </w:rPr>
        <w:t>以</w:t>
      </w:r>
      <w:r>
        <w:rPr>
          <w:spacing w:val="10"/>
          <w:w w:val="95"/>
        </w:rPr>
        <w:t>相關機關查證</w:t>
      </w:r>
      <w:r>
        <w:rPr>
          <w:spacing w:val="10"/>
          <w:w w:val="95"/>
        </w:rPr>
        <w:t xml:space="preserve"> </w:t>
      </w:r>
      <w:r>
        <w:rPr>
          <w:spacing w:val="10"/>
          <w:w w:val="95"/>
        </w:rPr>
        <w:t>或函釋知</w:t>
      </w:r>
      <w:r>
        <w:t>悉違法</w:t>
      </w:r>
      <w:proofErr w:type="gramStart"/>
      <w:r>
        <w:t>時超算</w:t>
      </w:r>
      <w:proofErr w:type="gramEnd"/>
      <w:r>
        <w:t>。</w:t>
      </w:r>
    </w:p>
    <w:p w:rsidR="000E21F2" w:rsidRDefault="008A48C0" w:rsidP="001526D3">
      <w:pPr>
        <w:pStyle w:val="a3"/>
        <w:overflowPunct w:val="0"/>
        <w:spacing w:before="28"/>
        <w:ind w:left="136"/>
        <w:jc w:val="both"/>
      </w:pPr>
      <w:r>
        <w:rPr>
          <w:w w:val="115"/>
        </w:rPr>
        <w:t>二、司法實務相關見解</w:t>
      </w:r>
    </w:p>
    <w:p w:rsidR="000E21F2" w:rsidRDefault="008A48C0" w:rsidP="001526D3">
      <w:pPr>
        <w:pStyle w:val="a3"/>
        <w:overflowPunct w:val="0"/>
        <w:spacing w:before="141" w:line="333" w:lineRule="auto"/>
        <w:ind w:left="859" w:hanging="15"/>
        <w:jc w:val="both"/>
      </w:pPr>
      <w:r>
        <w:rPr>
          <w:w w:val="110"/>
        </w:rPr>
        <w:t>按現行司法實務，對於「知有撤銷原因」係指「知有構成撤銷理由之事實」，至於法規解釋及適用上之瑕疵並</w:t>
      </w:r>
      <w:r>
        <w:rPr>
          <w:w w:val="115"/>
        </w:rPr>
        <w:t>非此處所謂之事實，</w:t>
      </w:r>
      <w:proofErr w:type="gramStart"/>
      <w:r>
        <w:rPr>
          <w:w w:val="115"/>
        </w:rPr>
        <w:t>茲析述</w:t>
      </w:r>
      <w:proofErr w:type="gramEnd"/>
      <w:r>
        <w:rPr>
          <w:w w:val="115"/>
        </w:rPr>
        <w:t>其理由如下：</w:t>
      </w:r>
    </w:p>
    <w:p w:rsidR="000E21F2" w:rsidRDefault="008A48C0" w:rsidP="001526D3">
      <w:pPr>
        <w:pStyle w:val="a3"/>
        <w:overflowPunct w:val="0"/>
        <w:spacing w:before="12"/>
        <w:ind w:left="256"/>
        <w:jc w:val="both"/>
      </w:pPr>
      <w:r>
        <w:rPr>
          <w:w w:val="110"/>
        </w:rPr>
        <w:t>（一）就體系解釋而言：</w:t>
      </w:r>
    </w:p>
    <w:p w:rsidR="000E21F2" w:rsidRDefault="008A48C0" w:rsidP="001526D3">
      <w:pPr>
        <w:pStyle w:val="a3"/>
        <w:overflowPunct w:val="0"/>
        <w:spacing w:before="137" w:line="316" w:lineRule="auto"/>
        <w:ind w:left="1213" w:hanging="8"/>
        <w:jc w:val="both"/>
      </w:pPr>
      <w:r>
        <w:rPr>
          <w:w w:val="105"/>
        </w:rPr>
        <w:t>除斥期間之設，即在使法律關係儘早</w:t>
      </w:r>
      <w:proofErr w:type="gramStart"/>
      <w:r>
        <w:rPr>
          <w:w w:val="105"/>
        </w:rPr>
        <w:t>璀</w:t>
      </w:r>
      <w:proofErr w:type="gramEnd"/>
      <w:r>
        <w:rPr>
          <w:w w:val="105"/>
        </w:rPr>
        <w:t>定，</w:t>
      </w:r>
      <w:proofErr w:type="gramStart"/>
      <w:r>
        <w:rPr>
          <w:w w:val="105"/>
        </w:rPr>
        <w:t>惟查程序</w:t>
      </w:r>
      <w:proofErr w:type="gramEnd"/>
      <w:r>
        <w:rPr>
          <w:spacing w:val="6"/>
        </w:rPr>
        <w:t>法第</w:t>
      </w:r>
      <w:r>
        <w:rPr>
          <w:rFonts w:ascii="Times New Roman" w:eastAsia="Times New Roman"/>
          <w:sz w:val="34"/>
        </w:rPr>
        <w:t>121</w:t>
      </w:r>
      <w:r>
        <w:rPr>
          <w:spacing w:val="-13"/>
        </w:rPr>
        <w:t>條</w:t>
      </w:r>
      <w:r>
        <w:rPr>
          <w:spacing w:val="-13"/>
        </w:rPr>
        <w:t>第</w:t>
      </w:r>
      <w:r>
        <w:rPr>
          <w:rFonts w:ascii="Times New Roman" w:eastAsia="Times New Roman"/>
          <w:sz w:val="34"/>
        </w:rPr>
        <w:t>l</w:t>
      </w:r>
      <w:r>
        <w:rPr>
          <w:spacing w:val="67"/>
        </w:rPr>
        <w:t>項</w:t>
      </w:r>
      <w:r>
        <w:rPr>
          <w:w w:val="95"/>
        </w:rPr>
        <w:t>，</w:t>
      </w:r>
      <w:r>
        <w:rPr>
          <w:spacing w:val="19"/>
        </w:rPr>
        <w:t>有關行政機關依職權撤銷違法行</w:t>
      </w:r>
      <w:r>
        <w:rPr>
          <w:w w:val="105"/>
        </w:rPr>
        <w:t>政處分之除斥期間並無上限規定。是</w:t>
      </w:r>
      <w:proofErr w:type="gramStart"/>
      <w:r>
        <w:rPr>
          <w:w w:val="105"/>
        </w:rPr>
        <w:t>以</w:t>
      </w:r>
      <w:proofErr w:type="gramEnd"/>
      <w:r>
        <w:rPr>
          <w:w w:val="105"/>
        </w:rPr>
        <w:t>，該條項所定</w:t>
      </w:r>
      <w:r>
        <w:rPr>
          <w:w w:val="105"/>
        </w:rPr>
        <w:t>「知有撤銷原因時」，毋庸行政機關主</w:t>
      </w:r>
      <w:proofErr w:type="gramStart"/>
      <w:r>
        <w:rPr>
          <w:w w:val="105"/>
        </w:rPr>
        <w:t>覬</w:t>
      </w:r>
      <w:proofErr w:type="gramEnd"/>
      <w:r>
        <w:rPr>
          <w:w w:val="105"/>
        </w:rPr>
        <w:t>上有「不</w:t>
      </w:r>
      <w:proofErr w:type="gramStart"/>
      <w:r>
        <w:rPr>
          <w:w w:val="105"/>
        </w:rPr>
        <w:t>疑</w:t>
      </w:r>
      <w:proofErr w:type="gramEnd"/>
      <w:r>
        <w:rPr>
          <w:w w:val="105"/>
        </w:rPr>
        <w:t>之確信」，只要客觀」上行政機關之資訊已足供認知有撤銷原因存在，縱其於主觀上仍有疑義，甚且陸續發</w:t>
      </w:r>
      <w:r>
        <w:rPr>
          <w:spacing w:val="20"/>
        </w:rPr>
        <w:t>函</w:t>
      </w:r>
      <w:proofErr w:type="gramStart"/>
      <w:r>
        <w:rPr>
          <w:spacing w:val="20"/>
        </w:rPr>
        <w:t>詢</w:t>
      </w:r>
      <w:proofErr w:type="gramEnd"/>
      <w:r>
        <w:rPr>
          <w:spacing w:val="20"/>
        </w:rPr>
        <w:t>間其他主管機</w:t>
      </w:r>
      <w:r>
        <w:rPr>
          <w:spacing w:val="20"/>
        </w:rPr>
        <w:t>關等</w:t>
      </w:r>
      <w:r>
        <w:rPr>
          <w:w w:val="90"/>
        </w:rPr>
        <w:t>，</w:t>
      </w:r>
      <w:r>
        <w:rPr>
          <w:spacing w:val="16"/>
        </w:rPr>
        <w:t>亦不應影響</w:t>
      </w:r>
      <w:r>
        <w:rPr>
          <w:rFonts w:ascii="Times New Roman" w:eastAsia="Times New Roman"/>
          <w:w w:val="90"/>
          <w:sz w:val="35"/>
        </w:rPr>
        <w:t>2</w:t>
      </w:r>
      <w:r>
        <w:rPr>
          <w:spacing w:val="20"/>
        </w:rPr>
        <w:t>年除斥期間</w:t>
      </w:r>
      <w:proofErr w:type="gramStart"/>
      <w:r>
        <w:rPr>
          <w:spacing w:val="20"/>
        </w:rPr>
        <w:t>之</w:t>
      </w:r>
      <w:r>
        <w:rPr>
          <w:w w:val="105"/>
        </w:rPr>
        <w:t>超算</w:t>
      </w:r>
      <w:proofErr w:type="gramEnd"/>
      <w:r>
        <w:rPr>
          <w:w w:val="105"/>
        </w:rPr>
        <w:t>，以兼顧法安定性及當事人權益。</w:t>
      </w:r>
    </w:p>
    <w:p w:rsidR="000E21F2" w:rsidRDefault="008A48C0" w:rsidP="001526D3">
      <w:pPr>
        <w:pStyle w:val="a3"/>
        <w:overflowPunct w:val="0"/>
        <w:spacing w:before="20"/>
        <w:ind w:left="256"/>
        <w:jc w:val="both"/>
      </w:pPr>
      <w:r>
        <w:rPr>
          <w:w w:val="110"/>
        </w:rPr>
        <w:t>（二）就德國立法例而言：</w:t>
      </w:r>
    </w:p>
    <w:p w:rsidR="000E21F2" w:rsidRDefault="008A48C0" w:rsidP="001526D3">
      <w:pPr>
        <w:pStyle w:val="a3"/>
        <w:overflowPunct w:val="0"/>
        <w:spacing w:before="103" w:line="321" w:lineRule="auto"/>
        <w:ind w:left="1206" w:firstLine="14"/>
        <w:jc w:val="both"/>
        <w:rPr>
          <w:rFonts w:eastAsiaTheme="minorEastAsia"/>
          <w:w w:val="105"/>
        </w:rPr>
      </w:pPr>
      <w:r>
        <w:rPr>
          <w:spacing w:val="17"/>
        </w:rPr>
        <w:t>參酌程序法第</w:t>
      </w:r>
      <w:r>
        <w:rPr>
          <w:rFonts w:ascii="Times New Roman" w:eastAsia="Times New Roman"/>
          <w:sz w:val="34"/>
        </w:rPr>
        <w:t>121</w:t>
      </w:r>
      <w:r>
        <w:rPr>
          <w:spacing w:val="-11"/>
        </w:rPr>
        <w:t>條</w:t>
      </w:r>
      <w:r>
        <w:rPr>
          <w:spacing w:val="-11"/>
        </w:rPr>
        <w:t>第</w:t>
      </w:r>
      <w:r>
        <w:rPr>
          <w:rFonts w:ascii="Times New Roman" w:eastAsia="Times New Roman"/>
          <w:sz w:val="34"/>
        </w:rPr>
        <w:t>l</w:t>
      </w:r>
      <w:r>
        <w:rPr>
          <w:spacing w:val="7"/>
        </w:rPr>
        <w:t>項規定之立法例</w:t>
      </w:r>
      <w:r>
        <w:rPr>
          <w:spacing w:val="7"/>
        </w:rPr>
        <w:t xml:space="preserve"> </w:t>
      </w:r>
      <w:r>
        <w:rPr>
          <w:spacing w:val="7"/>
        </w:rPr>
        <w:t>，</w:t>
      </w:r>
      <w:proofErr w:type="gramStart"/>
      <w:r>
        <w:rPr>
          <w:spacing w:val="7"/>
        </w:rPr>
        <w:t>所繼受</w:t>
      </w:r>
      <w:proofErr w:type="gramEnd"/>
      <w:r>
        <w:rPr>
          <w:spacing w:val="7"/>
        </w:rPr>
        <w:t>之</w:t>
      </w:r>
      <w:r>
        <w:rPr>
          <w:spacing w:val="23"/>
        </w:rPr>
        <w:t>德國聯邦行政程序法第</w:t>
      </w:r>
      <w:r>
        <w:rPr>
          <w:rFonts w:ascii="Arial" w:eastAsia="Arial"/>
          <w:sz w:val="32"/>
        </w:rPr>
        <w:t>48</w:t>
      </w:r>
      <w:r>
        <w:rPr>
          <w:spacing w:val="-3"/>
        </w:rPr>
        <w:t>條</w:t>
      </w:r>
      <w:r>
        <w:rPr>
          <w:spacing w:val="-3"/>
        </w:rPr>
        <w:t>第</w:t>
      </w:r>
      <w:r>
        <w:rPr>
          <w:rFonts w:ascii="Arial" w:eastAsia="Arial"/>
          <w:sz w:val="32"/>
        </w:rPr>
        <w:t>4</w:t>
      </w:r>
      <w:r>
        <w:rPr>
          <w:spacing w:val="15"/>
        </w:rPr>
        <w:t>項規定：</w:t>
      </w:r>
      <w:r>
        <w:rPr>
          <w:spacing w:val="-251"/>
        </w:rPr>
        <w:t>「</w:t>
      </w:r>
      <w:r>
        <w:rPr>
          <w:spacing w:val="20"/>
        </w:rPr>
        <w:t>行政機關</w:t>
      </w:r>
      <w:r>
        <w:rPr>
          <w:w w:val="105"/>
        </w:rPr>
        <w:t>於知悉可以</w:t>
      </w:r>
      <w:proofErr w:type="gramStart"/>
      <w:r>
        <w:rPr>
          <w:w w:val="105"/>
        </w:rPr>
        <w:t>正當化其撤銷</w:t>
      </w:r>
      <w:proofErr w:type="gramEnd"/>
      <w:r>
        <w:rPr>
          <w:w w:val="105"/>
        </w:rPr>
        <w:t>違法行政處分之『事實』時，</w:t>
      </w:r>
      <w:r w:rsidR="001526D3">
        <w:rPr>
          <w:w w:val="105"/>
          <w:sz w:val="29"/>
        </w:rPr>
        <w:t>僅得自知悉時超</w:t>
      </w:r>
      <w:proofErr w:type="gramStart"/>
      <w:r w:rsidR="001526D3">
        <w:rPr>
          <w:w w:val="105"/>
          <w:sz w:val="29"/>
        </w:rPr>
        <w:t>一</w:t>
      </w:r>
      <w:proofErr w:type="gramEnd"/>
      <w:r w:rsidR="001526D3">
        <w:rPr>
          <w:w w:val="105"/>
          <w:sz w:val="29"/>
        </w:rPr>
        <w:t>年內撤銷之」。如果行政機關因為檔案不足或資料未充分調查而造成無法知悉者，對於其</w:t>
      </w:r>
      <w:proofErr w:type="gramStart"/>
      <w:r w:rsidR="001526D3">
        <w:rPr>
          <w:w w:val="105"/>
          <w:sz w:val="29"/>
        </w:rPr>
        <w:t>自身引超的</w:t>
      </w:r>
      <w:proofErr w:type="gramEnd"/>
      <w:r w:rsidR="001526D3">
        <w:rPr>
          <w:w w:val="105"/>
          <w:sz w:val="29"/>
        </w:rPr>
        <w:t>不知，應屬</w:t>
      </w:r>
      <w:r w:rsidR="001526D3">
        <w:rPr>
          <w:w w:val="105"/>
          <w:sz w:val="29"/>
        </w:rPr>
        <w:lastRenderedPageBreak/>
        <w:t>可歸責於己</w:t>
      </w:r>
      <w:proofErr w:type="gramStart"/>
      <w:r w:rsidR="001526D3">
        <w:rPr>
          <w:w w:val="105"/>
          <w:sz w:val="29"/>
        </w:rPr>
        <w:t>之</w:t>
      </w:r>
      <w:proofErr w:type="gramEnd"/>
      <w:r w:rsidR="001526D3">
        <w:rPr>
          <w:w w:val="105"/>
          <w:sz w:val="29"/>
        </w:rPr>
        <w:t>事由。類此，應知而未知的情形，即可</w:t>
      </w:r>
      <w:proofErr w:type="gramStart"/>
      <w:r w:rsidR="001526D3">
        <w:rPr>
          <w:w w:val="105"/>
          <w:sz w:val="29"/>
        </w:rPr>
        <w:t>採</w:t>
      </w:r>
      <w:proofErr w:type="gramEnd"/>
      <w:r w:rsidR="001526D3">
        <w:rPr>
          <w:w w:val="105"/>
          <w:sz w:val="29"/>
        </w:rPr>
        <w:t>認為行政機關於作成處分</w:t>
      </w:r>
      <w:r w:rsidR="001526D3">
        <w:rPr>
          <w:w w:val="110"/>
          <w:sz w:val="29"/>
        </w:rPr>
        <w:t>時已「知有撤銷原因」。</w:t>
      </w:r>
    </w:p>
    <w:p w:rsidR="000E21F2" w:rsidRPr="001526D3" w:rsidRDefault="008A48C0" w:rsidP="001526D3">
      <w:pPr>
        <w:pStyle w:val="a5"/>
        <w:numPr>
          <w:ilvl w:val="0"/>
          <w:numId w:val="2"/>
        </w:numPr>
        <w:overflowPunct w:val="0"/>
        <w:spacing w:line="367" w:lineRule="exact"/>
        <w:jc w:val="both"/>
        <w:rPr>
          <w:sz w:val="29"/>
        </w:rPr>
      </w:pPr>
      <w:r w:rsidRPr="001526D3">
        <w:rPr>
          <w:w w:val="110"/>
          <w:sz w:val="29"/>
        </w:rPr>
        <w:t>就行政機關有依法行政義務而言：</w:t>
      </w:r>
    </w:p>
    <w:p w:rsidR="001526D3" w:rsidRDefault="001526D3" w:rsidP="001526D3">
      <w:pPr>
        <w:overflowPunct w:val="0"/>
        <w:spacing w:before="106" w:line="312" w:lineRule="auto"/>
        <w:ind w:left="1255" w:hanging="308"/>
        <w:jc w:val="both"/>
        <w:rPr>
          <w:rFonts w:eastAsiaTheme="minorEastAsia"/>
          <w:w w:val="105"/>
          <w:sz w:val="29"/>
        </w:rPr>
      </w:pPr>
      <w:r>
        <w:rPr>
          <w:rFonts w:ascii="Times New Roman" w:eastAsia="Times New Roman"/>
          <w:w w:val="95"/>
          <w:sz w:val="34"/>
        </w:rPr>
        <w:t>1.</w:t>
      </w:r>
      <w:r w:rsidR="008A48C0">
        <w:rPr>
          <w:spacing w:val="-11"/>
          <w:w w:val="95"/>
          <w:sz w:val="29"/>
        </w:rPr>
        <w:t>按最高行</w:t>
      </w:r>
      <w:r w:rsidR="008A48C0">
        <w:rPr>
          <w:spacing w:val="-11"/>
          <w:w w:val="95"/>
          <w:sz w:val="29"/>
        </w:rPr>
        <w:t>政</w:t>
      </w:r>
      <w:r w:rsidR="008A48C0">
        <w:rPr>
          <w:spacing w:val="-11"/>
          <w:w w:val="95"/>
          <w:sz w:val="29"/>
        </w:rPr>
        <w:t>法院</w:t>
      </w:r>
      <w:r w:rsidR="008A48C0">
        <w:rPr>
          <w:rFonts w:ascii="Times New Roman" w:eastAsia="Times New Roman"/>
          <w:w w:val="95"/>
          <w:sz w:val="34"/>
        </w:rPr>
        <w:t>97</w:t>
      </w:r>
      <w:r w:rsidR="008A48C0">
        <w:rPr>
          <w:spacing w:val="26"/>
          <w:w w:val="95"/>
          <w:sz w:val="29"/>
        </w:rPr>
        <w:t>年度判字第</w:t>
      </w:r>
      <w:r w:rsidR="008A48C0">
        <w:rPr>
          <w:rFonts w:ascii="Times New Roman" w:eastAsia="Times New Roman"/>
          <w:w w:val="95"/>
          <w:sz w:val="34"/>
        </w:rPr>
        <w:t>1057</w:t>
      </w:r>
      <w:r w:rsidR="008A48C0">
        <w:rPr>
          <w:spacing w:val="11"/>
          <w:w w:val="95"/>
          <w:sz w:val="29"/>
        </w:rPr>
        <w:t>號判決略</w:t>
      </w:r>
      <w:proofErr w:type="gramStart"/>
      <w:r w:rsidR="008A48C0">
        <w:rPr>
          <w:spacing w:val="11"/>
          <w:w w:val="95"/>
          <w:sz w:val="29"/>
        </w:rPr>
        <w:t>以</w:t>
      </w:r>
      <w:proofErr w:type="gramEnd"/>
      <w:r w:rsidR="008A48C0">
        <w:rPr>
          <w:spacing w:val="11"/>
          <w:w w:val="95"/>
          <w:sz w:val="29"/>
        </w:rPr>
        <w:t>，</w:t>
      </w:r>
      <w:r w:rsidR="008A48C0">
        <w:rPr>
          <w:w w:val="105"/>
          <w:sz w:val="29"/>
        </w:rPr>
        <w:t>行政機關有依法行政之義務，公務員並經相關考試</w:t>
      </w:r>
      <w:r w:rsidR="008A48C0">
        <w:rPr>
          <w:spacing w:val="-1"/>
          <w:w w:val="95"/>
          <w:sz w:val="29"/>
        </w:rPr>
        <w:t>及訓練始予任</w:t>
      </w:r>
      <w:r w:rsidR="008A48C0">
        <w:rPr>
          <w:spacing w:val="-1"/>
          <w:w w:val="95"/>
          <w:sz w:val="29"/>
        </w:rPr>
        <w:t>用</w:t>
      </w:r>
      <w:r w:rsidR="008A48C0">
        <w:rPr>
          <w:spacing w:val="-1"/>
          <w:w w:val="95"/>
          <w:sz w:val="29"/>
        </w:rPr>
        <w:t xml:space="preserve"> </w:t>
      </w:r>
      <w:r w:rsidR="008A48C0">
        <w:rPr>
          <w:spacing w:val="-1"/>
          <w:w w:val="95"/>
          <w:sz w:val="29"/>
        </w:rPr>
        <w:t>，</w:t>
      </w:r>
      <w:r w:rsidR="008A48C0">
        <w:rPr>
          <w:spacing w:val="-1"/>
          <w:w w:val="95"/>
          <w:sz w:val="29"/>
        </w:rPr>
        <w:t>自</w:t>
      </w:r>
      <w:r>
        <w:rPr>
          <w:spacing w:val="-1"/>
          <w:w w:val="95"/>
          <w:sz w:val="29"/>
        </w:rPr>
        <w:t>無</w:t>
      </w:r>
      <w:r w:rsidR="008A48C0">
        <w:rPr>
          <w:spacing w:val="-1"/>
          <w:w w:val="95"/>
          <w:sz w:val="29"/>
        </w:rPr>
        <w:t>法就公務人員</w:t>
      </w:r>
      <w:r w:rsidR="008A48C0">
        <w:rPr>
          <w:spacing w:val="-1"/>
          <w:w w:val="95"/>
          <w:sz w:val="29"/>
        </w:rPr>
        <w:t>退休法第</w:t>
      </w:r>
      <w:r w:rsidR="008A48C0">
        <w:rPr>
          <w:rFonts w:ascii="Times New Roman" w:eastAsia="Times New Roman"/>
          <w:w w:val="95"/>
          <w:sz w:val="34"/>
        </w:rPr>
        <w:t>16</w:t>
      </w:r>
      <w:r w:rsidR="008A48C0">
        <w:rPr>
          <w:w w:val="95"/>
          <w:sz w:val="29"/>
        </w:rPr>
        <w:t>條</w:t>
      </w:r>
      <w:r w:rsidR="008A48C0">
        <w:rPr>
          <w:spacing w:val="-21"/>
          <w:sz w:val="29"/>
        </w:rPr>
        <w:t>之</w:t>
      </w:r>
      <w:r w:rsidR="008A48C0">
        <w:rPr>
          <w:rFonts w:ascii="Times New Roman" w:eastAsia="Times New Roman"/>
          <w:sz w:val="33"/>
        </w:rPr>
        <w:t>l</w:t>
      </w:r>
      <w:r w:rsidR="008A48C0">
        <w:rPr>
          <w:spacing w:val="-2"/>
          <w:sz w:val="29"/>
        </w:rPr>
        <w:t>及其施行</w:t>
      </w:r>
      <w:r w:rsidR="008A48C0">
        <w:rPr>
          <w:spacing w:val="-2"/>
          <w:sz w:val="29"/>
        </w:rPr>
        <w:t>細則第</w:t>
      </w:r>
      <w:r w:rsidR="008A48C0">
        <w:rPr>
          <w:rFonts w:ascii="Times New Roman" w:eastAsia="Times New Roman"/>
          <w:sz w:val="33"/>
        </w:rPr>
        <w:t>13</w:t>
      </w:r>
      <w:r w:rsidR="008A48C0">
        <w:rPr>
          <w:spacing w:val="-1"/>
          <w:sz w:val="29"/>
        </w:rPr>
        <w:t>條之規定</w:t>
      </w:r>
      <w:proofErr w:type="gramStart"/>
      <w:r w:rsidR="008A48C0">
        <w:rPr>
          <w:spacing w:val="-1"/>
          <w:sz w:val="29"/>
        </w:rPr>
        <w:t>諉</w:t>
      </w:r>
      <w:proofErr w:type="gramEnd"/>
      <w:r w:rsidR="008A48C0">
        <w:rPr>
          <w:spacing w:val="-1"/>
          <w:sz w:val="29"/>
        </w:rPr>
        <w:t>為不知</w:t>
      </w:r>
      <w:r w:rsidR="008A48C0">
        <w:rPr>
          <w:spacing w:val="-1"/>
          <w:sz w:val="29"/>
        </w:rPr>
        <w:t>。而各</w:t>
      </w:r>
      <w:r>
        <w:rPr>
          <w:spacing w:val="-1"/>
          <w:sz w:val="29"/>
        </w:rPr>
        <w:t>當</w:t>
      </w:r>
      <w:r w:rsidR="008A48C0">
        <w:rPr>
          <w:w w:val="105"/>
          <w:sz w:val="29"/>
        </w:rPr>
        <w:t>事人於提出退休申請時，於退休事實表中業已就歷</w:t>
      </w:r>
      <w:r w:rsidR="008A48C0">
        <w:rPr>
          <w:spacing w:val="7"/>
          <w:sz w:val="29"/>
        </w:rPr>
        <w:t>任職務詳為記載</w:t>
      </w:r>
      <w:r w:rsidR="008A48C0">
        <w:rPr>
          <w:spacing w:val="7"/>
          <w:sz w:val="29"/>
        </w:rPr>
        <w:t>。且程序法第</w:t>
      </w:r>
      <w:r w:rsidR="008A48C0">
        <w:rPr>
          <w:rFonts w:ascii="Times New Roman" w:eastAsia="Times New Roman"/>
          <w:sz w:val="34"/>
        </w:rPr>
        <w:t>121</w:t>
      </w:r>
      <w:r w:rsidR="008A48C0">
        <w:rPr>
          <w:spacing w:val="33"/>
          <w:sz w:val="29"/>
        </w:rPr>
        <w:t>條第</w:t>
      </w:r>
      <w:r w:rsidR="008A48C0">
        <w:rPr>
          <w:rFonts w:ascii="Times New Roman" w:eastAsia="Times New Roman"/>
          <w:sz w:val="34"/>
        </w:rPr>
        <w:t>l</w:t>
      </w:r>
      <w:r w:rsidR="008A48C0">
        <w:rPr>
          <w:spacing w:val="15"/>
          <w:sz w:val="29"/>
        </w:rPr>
        <w:t>項所稱之</w:t>
      </w:r>
      <w:r w:rsidR="008A48C0">
        <w:rPr>
          <w:w w:val="105"/>
          <w:sz w:val="29"/>
        </w:rPr>
        <w:t>「知有撤銷原因時」，應自原處分機關作成原核定</w:t>
      </w:r>
      <w:proofErr w:type="gramStart"/>
      <w:r w:rsidR="008A48C0">
        <w:rPr>
          <w:w w:val="105"/>
          <w:sz w:val="29"/>
        </w:rPr>
        <w:t>之時超算</w:t>
      </w:r>
      <w:proofErr w:type="gramEnd"/>
      <w:r w:rsidR="008A48C0">
        <w:rPr>
          <w:w w:val="105"/>
          <w:sz w:val="29"/>
        </w:rPr>
        <w:t>。</w:t>
      </w:r>
    </w:p>
    <w:p w:rsidR="000E21F2" w:rsidRPr="001526D3" w:rsidRDefault="001526D3" w:rsidP="001526D3">
      <w:pPr>
        <w:overflowPunct w:val="0"/>
        <w:spacing w:before="106" w:line="312" w:lineRule="auto"/>
        <w:ind w:left="1255" w:hanging="308"/>
        <w:jc w:val="both"/>
        <w:rPr>
          <w:sz w:val="29"/>
        </w:rPr>
      </w:pPr>
      <w:r>
        <w:rPr>
          <w:rFonts w:eastAsiaTheme="minorEastAsia" w:hint="eastAsia"/>
          <w:spacing w:val="5"/>
          <w:w w:val="95"/>
          <w:sz w:val="29"/>
        </w:rPr>
        <w:t>2.</w:t>
      </w:r>
      <w:r w:rsidR="008A48C0" w:rsidRPr="001526D3">
        <w:rPr>
          <w:spacing w:val="5"/>
          <w:w w:val="95"/>
          <w:sz w:val="29"/>
        </w:rPr>
        <w:t>次按</w:t>
      </w:r>
      <w:proofErr w:type="gramStart"/>
      <w:r w:rsidR="008A48C0" w:rsidRPr="001526D3">
        <w:rPr>
          <w:spacing w:val="5"/>
          <w:w w:val="95"/>
          <w:sz w:val="29"/>
        </w:rPr>
        <w:t>臺</w:t>
      </w:r>
      <w:proofErr w:type="gramEnd"/>
      <w:r w:rsidR="008A48C0" w:rsidRPr="001526D3">
        <w:rPr>
          <w:spacing w:val="5"/>
          <w:w w:val="95"/>
          <w:sz w:val="29"/>
        </w:rPr>
        <w:t>北</w:t>
      </w:r>
      <w:r w:rsidR="008A48C0" w:rsidRPr="001526D3">
        <w:rPr>
          <w:spacing w:val="5"/>
          <w:w w:val="95"/>
          <w:sz w:val="29"/>
        </w:rPr>
        <w:t>高等行</w:t>
      </w:r>
      <w:r w:rsidR="008A48C0" w:rsidRPr="001526D3">
        <w:rPr>
          <w:spacing w:val="5"/>
          <w:w w:val="95"/>
          <w:sz w:val="29"/>
        </w:rPr>
        <w:t>政法院</w:t>
      </w:r>
      <w:r w:rsidR="008A48C0" w:rsidRPr="001526D3">
        <w:rPr>
          <w:rFonts w:ascii="Times New Roman" w:eastAsia="Times New Roman"/>
          <w:w w:val="95"/>
          <w:sz w:val="34"/>
        </w:rPr>
        <w:t>97</w:t>
      </w:r>
      <w:r w:rsidR="008A48C0" w:rsidRPr="001526D3">
        <w:rPr>
          <w:spacing w:val="21"/>
          <w:w w:val="95"/>
          <w:sz w:val="29"/>
        </w:rPr>
        <w:t>年度訴更一字第</w:t>
      </w:r>
      <w:r w:rsidR="008A48C0" w:rsidRPr="001526D3">
        <w:rPr>
          <w:rFonts w:ascii="Times New Roman" w:eastAsia="Times New Roman"/>
          <w:w w:val="95"/>
          <w:sz w:val="34"/>
        </w:rPr>
        <w:t>199</w:t>
      </w:r>
      <w:r w:rsidR="008A48C0" w:rsidRPr="001526D3">
        <w:rPr>
          <w:spacing w:val="5"/>
          <w:w w:val="95"/>
          <w:sz w:val="29"/>
        </w:rPr>
        <w:t>號及</w:t>
      </w:r>
      <w:r w:rsidR="008A48C0" w:rsidRPr="001526D3">
        <w:rPr>
          <w:rFonts w:ascii="Times New Roman" w:eastAsia="Times New Roman"/>
          <w:w w:val="90"/>
          <w:sz w:val="34"/>
        </w:rPr>
        <w:t>99</w:t>
      </w:r>
      <w:r w:rsidR="008A48C0" w:rsidRPr="001526D3">
        <w:rPr>
          <w:spacing w:val="19"/>
          <w:w w:val="90"/>
          <w:sz w:val="29"/>
        </w:rPr>
        <w:t>年度簡字</w:t>
      </w:r>
      <w:r w:rsidR="008A48C0" w:rsidRPr="001526D3">
        <w:rPr>
          <w:spacing w:val="19"/>
          <w:w w:val="90"/>
          <w:sz w:val="29"/>
        </w:rPr>
        <w:t>第</w:t>
      </w:r>
      <w:r w:rsidR="008A48C0" w:rsidRPr="001526D3">
        <w:rPr>
          <w:rFonts w:ascii="Times New Roman" w:eastAsia="Times New Roman"/>
          <w:w w:val="90"/>
          <w:sz w:val="34"/>
        </w:rPr>
        <w:t>721</w:t>
      </w:r>
      <w:r w:rsidR="008A48C0" w:rsidRPr="001526D3">
        <w:rPr>
          <w:spacing w:val="16"/>
          <w:w w:val="90"/>
          <w:sz w:val="29"/>
        </w:rPr>
        <w:t>號判決略</w:t>
      </w:r>
      <w:proofErr w:type="gramStart"/>
      <w:r w:rsidR="008A48C0" w:rsidRPr="001526D3">
        <w:rPr>
          <w:spacing w:val="16"/>
          <w:w w:val="90"/>
          <w:sz w:val="29"/>
        </w:rPr>
        <w:t>以</w:t>
      </w:r>
      <w:proofErr w:type="gramEnd"/>
      <w:r w:rsidR="008A48C0" w:rsidRPr="001526D3">
        <w:rPr>
          <w:spacing w:val="-18"/>
          <w:w w:val="85"/>
          <w:sz w:val="29"/>
        </w:rPr>
        <w:t>，</w:t>
      </w:r>
      <w:r w:rsidR="008A48C0" w:rsidRPr="001526D3">
        <w:rPr>
          <w:spacing w:val="23"/>
          <w:w w:val="90"/>
          <w:sz w:val="29"/>
        </w:rPr>
        <w:t>程序法第</w:t>
      </w:r>
      <w:r w:rsidR="008A48C0" w:rsidRPr="001526D3">
        <w:rPr>
          <w:rFonts w:ascii="Times New Roman" w:eastAsia="Times New Roman"/>
          <w:w w:val="90"/>
          <w:sz w:val="34"/>
        </w:rPr>
        <w:t>121</w:t>
      </w:r>
      <w:r w:rsidR="008A48C0" w:rsidRPr="001526D3">
        <w:rPr>
          <w:spacing w:val="21"/>
          <w:w w:val="90"/>
          <w:sz w:val="29"/>
        </w:rPr>
        <w:t>條第</w:t>
      </w:r>
      <w:r w:rsidR="008A48C0" w:rsidRPr="001526D3">
        <w:rPr>
          <w:rFonts w:ascii="Times New Roman" w:eastAsia="Times New Roman"/>
          <w:sz w:val="34"/>
        </w:rPr>
        <w:t>l</w:t>
      </w:r>
      <w:r w:rsidR="008A48C0" w:rsidRPr="001526D3">
        <w:rPr>
          <w:spacing w:val="20"/>
          <w:sz w:val="29"/>
        </w:rPr>
        <w:t>項規定之「知有撤銷原因」</w:t>
      </w:r>
      <w:r w:rsidR="008A48C0" w:rsidRPr="001526D3">
        <w:rPr>
          <w:spacing w:val="-34"/>
          <w:w w:val="85"/>
          <w:sz w:val="29"/>
        </w:rPr>
        <w:t>，</w:t>
      </w:r>
      <w:r w:rsidR="008A48C0" w:rsidRPr="001526D3">
        <w:rPr>
          <w:spacing w:val="-11"/>
          <w:sz w:val="29"/>
        </w:rPr>
        <w:t>係指「</w:t>
      </w:r>
      <w:r w:rsidR="008A48C0" w:rsidRPr="001526D3">
        <w:rPr>
          <w:spacing w:val="-11"/>
          <w:sz w:val="29"/>
        </w:rPr>
        <w:t>知有構</w:t>
      </w:r>
      <w:r w:rsidR="008A48C0" w:rsidRPr="001526D3">
        <w:rPr>
          <w:spacing w:val="-11"/>
          <w:sz w:val="29"/>
        </w:rPr>
        <w:t>成撤銷</w:t>
      </w:r>
      <w:r w:rsidR="008A48C0" w:rsidRPr="001526D3">
        <w:rPr>
          <w:sz w:val="29"/>
        </w:rPr>
        <w:t>理由之事實」，至於法規解釋及適用上之瑕疵，則非</w:t>
      </w:r>
      <w:r w:rsidR="008A48C0" w:rsidRPr="001526D3">
        <w:rPr>
          <w:sz w:val="29"/>
        </w:rPr>
        <w:t>此處所謂之事實，因行政機關有依法行政之義務，</w:t>
      </w:r>
      <w:r w:rsidR="008A48C0" w:rsidRPr="001526D3">
        <w:rPr>
          <w:sz w:val="29"/>
        </w:rPr>
        <w:t>公務人員並經相關考試及訓練始予任用，本質上不</w:t>
      </w:r>
      <w:r w:rsidR="008A48C0" w:rsidRPr="001526D3">
        <w:rPr>
          <w:sz w:val="29"/>
        </w:rPr>
        <w:t>能就法規解釋及適用上瑕疵</w:t>
      </w:r>
      <w:proofErr w:type="gramStart"/>
      <w:r w:rsidR="008A48C0" w:rsidRPr="001526D3">
        <w:rPr>
          <w:sz w:val="29"/>
        </w:rPr>
        <w:t>諉</w:t>
      </w:r>
      <w:proofErr w:type="gramEnd"/>
      <w:r w:rsidR="008A48C0" w:rsidRPr="001526D3">
        <w:rPr>
          <w:sz w:val="29"/>
        </w:rPr>
        <w:t>為不知。</w:t>
      </w:r>
    </w:p>
    <w:p w:rsidR="000E21F2" w:rsidRPr="001526D3" w:rsidRDefault="008A48C0" w:rsidP="001526D3">
      <w:pPr>
        <w:pStyle w:val="a5"/>
        <w:numPr>
          <w:ilvl w:val="0"/>
          <w:numId w:val="1"/>
        </w:numPr>
        <w:tabs>
          <w:tab w:val="left" w:pos="1382"/>
        </w:tabs>
        <w:overflowPunct w:val="0"/>
        <w:spacing w:line="316" w:lineRule="auto"/>
        <w:ind w:left="1262" w:hanging="332"/>
        <w:jc w:val="both"/>
        <w:rPr>
          <w:spacing w:val="1"/>
          <w:sz w:val="29"/>
        </w:rPr>
      </w:pPr>
      <w:proofErr w:type="gramStart"/>
      <w:r>
        <w:rPr>
          <w:spacing w:val="-12"/>
          <w:w w:val="95"/>
          <w:sz w:val="29"/>
        </w:rPr>
        <w:t>復</w:t>
      </w:r>
      <w:r>
        <w:rPr>
          <w:spacing w:val="-12"/>
          <w:w w:val="95"/>
          <w:sz w:val="29"/>
        </w:rPr>
        <w:t>按最高</w:t>
      </w:r>
      <w:proofErr w:type="gramEnd"/>
      <w:r>
        <w:rPr>
          <w:spacing w:val="-12"/>
          <w:w w:val="95"/>
          <w:sz w:val="29"/>
        </w:rPr>
        <w:t>行</w:t>
      </w:r>
      <w:r>
        <w:rPr>
          <w:spacing w:val="-12"/>
          <w:w w:val="95"/>
          <w:sz w:val="29"/>
        </w:rPr>
        <w:t>政法院</w:t>
      </w:r>
      <w:proofErr w:type="gramStart"/>
      <w:r>
        <w:rPr>
          <w:rFonts w:ascii="Times New Roman" w:eastAsia="Times New Roman"/>
          <w:w w:val="95"/>
          <w:sz w:val="34"/>
        </w:rPr>
        <w:t>100</w:t>
      </w:r>
      <w:proofErr w:type="gramEnd"/>
      <w:r>
        <w:rPr>
          <w:spacing w:val="19"/>
          <w:w w:val="95"/>
          <w:sz w:val="29"/>
        </w:rPr>
        <w:t>年度判字第</w:t>
      </w:r>
      <w:r>
        <w:rPr>
          <w:rFonts w:ascii="Times New Roman" w:eastAsia="Times New Roman"/>
          <w:w w:val="95"/>
          <w:sz w:val="34"/>
        </w:rPr>
        <w:t>2052</w:t>
      </w:r>
      <w:r>
        <w:rPr>
          <w:spacing w:val="19"/>
          <w:w w:val="95"/>
          <w:sz w:val="29"/>
        </w:rPr>
        <w:t>號判決略</w:t>
      </w:r>
      <w:proofErr w:type="gramStart"/>
      <w:r>
        <w:rPr>
          <w:spacing w:val="19"/>
          <w:w w:val="95"/>
          <w:sz w:val="29"/>
        </w:rPr>
        <w:t>以</w:t>
      </w:r>
      <w:proofErr w:type="gramEnd"/>
      <w:r>
        <w:rPr>
          <w:w w:val="90"/>
          <w:sz w:val="29"/>
        </w:rPr>
        <w:t>，</w:t>
      </w:r>
      <w:r>
        <w:rPr>
          <w:spacing w:val="-128"/>
          <w:w w:val="90"/>
          <w:sz w:val="29"/>
        </w:rPr>
        <w:t xml:space="preserve"> </w:t>
      </w:r>
      <w:r>
        <w:rPr>
          <w:spacing w:val="28"/>
          <w:w w:val="95"/>
          <w:sz w:val="29"/>
        </w:rPr>
        <w:t>程序法第</w:t>
      </w:r>
      <w:r>
        <w:rPr>
          <w:rFonts w:ascii="Times New Roman" w:eastAsia="Times New Roman"/>
          <w:w w:val="95"/>
          <w:sz w:val="34"/>
        </w:rPr>
        <w:t>121</w:t>
      </w:r>
      <w:r>
        <w:rPr>
          <w:spacing w:val="44"/>
          <w:w w:val="95"/>
          <w:sz w:val="29"/>
        </w:rPr>
        <w:t>條第</w:t>
      </w:r>
      <w:r>
        <w:rPr>
          <w:rFonts w:ascii="Times New Roman" w:eastAsia="Times New Roman"/>
          <w:w w:val="95"/>
          <w:sz w:val="34"/>
        </w:rPr>
        <w:t>l</w:t>
      </w:r>
      <w:r>
        <w:rPr>
          <w:spacing w:val="15"/>
          <w:w w:val="95"/>
          <w:sz w:val="29"/>
        </w:rPr>
        <w:t>項規定</w:t>
      </w:r>
      <w:r>
        <w:rPr>
          <w:spacing w:val="-30"/>
          <w:w w:val="90"/>
          <w:sz w:val="29"/>
        </w:rPr>
        <w:t>，</w:t>
      </w:r>
      <w:r>
        <w:rPr>
          <w:spacing w:val="18"/>
          <w:w w:val="95"/>
          <w:sz w:val="29"/>
        </w:rPr>
        <w:t>係指原處分機關或其</w:t>
      </w:r>
      <w:r>
        <w:rPr>
          <w:sz w:val="29"/>
        </w:rPr>
        <w:t>上</w:t>
      </w:r>
      <w:r>
        <w:rPr>
          <w:spacing w:val="1"/>
          <w:sz w:val="29"/>
        </w:rPr>
        <w:t>級機關知有撤銷原因時</w:t>
      </w:r>
      <w:proofErr w:type="gramStart"/>
      <w:r>
        <w:rPr>
          <w:spacing w:val="1"/>
          <w:sz w:val="29"/>
        </w:rPr>
        <w:t>超算除斥期間，</w:t>
      </w:r>
      <w:proofErr w:type="gramEnd"/>
      <w:r>
        <w:rPr>
          <w:spacing w:val="1"/>
          <w:sz w:val="29"/>
        </w:rPr>
        <w:t>而非以作</w:t>
      </w:r>
      <w:r>
        <w:rPr>
          <w:spacing w:val="1"/>
          <w:sz w:val="29"/>
        </w:rPr>
        <w:t>成處分之公務人員知悉</w:t>
      </w:r>
      <w:proofErr w:type="gramStart"/>
      <w:r>
        <w:rPr>
          <w:spacing w:val="1"/>
          <w:sz w:val="29"/>
        </w:rPr>
        <w:t>時超算</w:t>
      </w:r>
      <w:proofErr w:type="gramEnd"/>
      <w:r>
        <w:rPr>
          <w:spacing w:val="1"/>
          <w:sz w:val="29"/>
        </w:rPr>
        <w:t>，蓋行政處分之撤銷</w:t>
      </w:r>
      <w:r>
        <w:rPr>
          <w:spacing w:val="1"/>
          <w:sz w:val="29"/>
        </w:rPr>
        <w:t>係對違法處分為之，如以實際行為之公務員涉有過</w:t>
      </w:r>
      <w:r>
        <w:rPr>
          <w:spacing w:val="1"/>
          <w:sz w:val="29"/>
        </w:rPr>
        <w:t>失</w:t>
      </w:r>
      <w:proofErr w:type="gramStart"/>
      <w:r>
        <w:rPr>
          <w:sz w:val="29"/>
        </w:rPr>
        <w:t>時超算</w:t>
      </w:r>
      <w:proofErr w:type="gramEnd"/>
      <w:r>
        <w:rPr>
          <w:sz w:val="29"/>
        </w:rPr>
        <w:t>，則所有撤銷違法行政處分</w:t>
      </w:r>
      <w:r w:rsidRPr="001526D3">
        <w:rPr>
          <w:spacing w:val="1"/>
          <w:sz w:val="29"/>
        </w:rPr>
        <w:t>之除斥</w:t>
      </w:r>
      <w:proofErr w:type="gramStart"/>
      <w:r w:rsidRPr="001526D3">
        <w:rPr>
          <w:spacing w:val="1"/>
          <w:sz w:val="29"/>
        </w:rPr>
        <w:t>期間均</w:t>
      </w:r>
      <w:r w:rsidRPr="001526D3">
        <w:rPr>
          <w:spacing w:val="1"/>
          <w:sz w:val="29"/>
        </w:rPr>
        <w:t>應以</w:t>
      </w:r>
      <w:proofErr w:type="gramEnd"/>
      <w:r w:rsidRPr="001526D3">
        <w:rPr>
          <w:spacing w:val="1"/>
          <w:sz w:val="29"/>
        </w:rPr>
        <w:t>行政處分完成</w:t>
      </w:r>
      <w:proofErr w:type="gramStart"/>
      <w:r w:rsidRPr="001526D3">
        <w:rPr>
          <w:spacing w:val="1"/>
          <w:sz w:val="29"/>
        </w:rPr>
        <w:t>時超算</w:t>
      </w:r>
      <w:proofErr w:type="gramEnd"/>
      <w:r w:rsidRPr="001526D3">
        <w:rPr>
          <w:spacing w:val="1"/>
          <w:sz w:val="29"/>
        </w:rPr>
        <w:t>，顯與上述法條規定意旨</w:t>
      </w:r>
      <w:r w:rsidRPr="001526D3">
        <w:rPr>
          <w:spacing w:val="1"/>
          <w:sz w:val="29"/>
        </w:rPr>
        <w:t>不符。至原處分機關就其何</w:t>
      </w:r>
      <w:r w:rsidRPr="001526D3">
        <w:rPr>
          <w:spacing w:val="1"/>
          <w:sz w:val="29"/>
        </w:rPr>
        <w:t>時知悉撤</w:t>
      </w:r>
      <w:r w:rsidRPr="001526D3">
        <w:rPr>
          <w:spacing w:val="1"/>
          <w:sz w:val="29"/>
        </w:rPr>
        <w:t>銷原因</w:t>
      </w:r>
      <w:r w:rsidRPr="001526D3">
        <w:rPr>
          <w:spacing w:val="1"/>
          <w:sz w:val="29"/>
        </w:rPr>
        <w:t>，</w:t>
      </w:r>
      <w:r w:rsidRPr="001526D3">
        <w:rPr>
          <w:spacing w:val="1"/>
          <w:sz w:val="29"/>
        </w:rPr>
        <w:t>且於</w:t>
      </w:r>
      <w:r w:rsidRPr="001526D3">
        <w:rPr>
          <w:spacing w:val="1"/>
          <w:sz w:val="29"/>
        </w:rPr>
        <w:t>2</w:t>
      </w:r>
      <w:r w:rsidRPr="001526D3">
        <w:rPr>
          <w:spacing w:val="1"/>
          <w:sz w:val="29"/>
        </w:rPr>
        <w:t>年</w:t>
      </w:r>
      <w:r w:rsidRPr="001526D3">
        <w:rPr>
          <w:spacing w:val="1"/>
          <w:sz w:val="29"/>
        </w:rPr>
        <w:t>內行使權利之事實，應負證明責任。</w:t>
      </w:r>
    </w:p>
    <w:p w:rsidR="000E21F2" w:rsidRDefault="008A48C0" w:rsidP="001526D3">
      <w:pPr>
        <w:pStyle w:val="a3"/>
        <w:overflowPunct w:val="0"/>
        <w:spacing w:before="25"/>
        <w:ind w:left="256"/>
        <w:jc w:val="both"/>
      </w:pPr>
      <w:r>
        <w:rPr>
          <w:w w:val="110"/>
        </w:rPr>
        <w:t>（</w:t>
      </w:r>
      <w:r>
        <w:rPr>
          <w:w w:val="110"/>
        </w:rPr>
        <w:t>四）就違法行政處分認定時點而言：</w:t>
      </w:r>
    </w:p>
    <w:p w:rsidR="000E21F2" w:rsidRDefault="008A48C0" w:rsidP="001526D3">
      <w:pPr>
        <w:pStyle w:val="a3"/>
        <w:overflowPunct w:val="0"/>
        <w:spacing w:before="108" w:line="324" w:lineRule="auto"/>
        <w:ind w:left="1206" w:firstLine="17"/>
        <w:jc w:val="both"/>
      </w:pPr>
      <w:r>
        <w:rPr>
          <w:w w:val="95"/>
        </w:rPr>
        <w:t>最高行</w:t>
      </w:r>
      <w:r>
        <w:rPr>
          <w:w w:val="95"/>
        </w:rPr>
        <w:t>政</w:t>
      </w:r>
      <w:r>
        <w:rPr>
          <w:w w:val="95"/>
        </w:rPr>
        <w:t>法院</w:t>
      </w:r>
      <w:proofErr w:type="gramStart"/>
      <w:r>
        <w:rPr>
          <w:rFonts w:ascii="Times New Roman" w:eastAsia="Times New Roman"/>
          <w:w w:val="95"/>
          <w:sz w:val="34"/>
        </w:rPr>
        <w:t>100</w:t>
      </w:r>
      <w:proofErr w:type="gramEnd"/>
      <w:r>
        <w:rPr>
          <w:spacing w:val="26"/>
          <w:w w:val="95"/>
        </w:rPr>
        <w:t>年度判字第</w:t>
      </w:r>
      <w:r>
        <w:rPr>
          <w:rFonts w:ascii="Times New Roman" w:eastAsia="Times New Roman"/>
          <w:w w:val="95"/>
          <w:sz w:val="34"/>
        </w:rPr>
        <w:t>504</w:t>
      </w:r>
      <w:r>
        <w:rPr>
          <w:spacing w:val="11"/>
          <w:w w:val="95"/>
        </w:rPr>
        <w:t>號判決略</w:t>
      </w:r>
      <w:proofErr w:type="gramStart"/>
      <w:r>
        <w:rPr>
          <w:spacing w:val="11"/>
          <w:w w:val="95"/>
        </w:rPr>
        <w:t>以</w:t>
      </w:r>
      <w:proofErr w:type="gramEnd"/>
      <w:r>
        <w:rPr>
          <w:w w:val="90"/>
        </w:rPr>
        <w:t>，</w:t>
      </w:r>
      <w:r>
        <w:rPr>
          <w:spacing w:val="8"/>
          <w:w w:val="95"/>
        </w:rPr>
        <w:t>程序</w:t>
      </w:r>
      <w:r>
        <w:rPr>
          <w:spacing w:val="13"/>
          <w:w w:val="95"/>
        </w:rPr>
        <w:t>法第</w:t>
      </w:r>
      <w:r>
        <w:rPr>
          <w:rFonts w:ascii="Times New Roman" w:eastAsia="Times New Roman"/>
          <w:w w:val="95"/>
          <w:sz w:val="34"/>
        </w:rPr>
        <w:t>117</w:t>
      </w:r>
      <w:r>
        <w:rPr>
          <w:spacing w:val="-11"/>
          <w:w w:val="95"/>
        </w:rPr>
        <w:t>條</w:t>
      </w:r>
      <w:r>
        <w:rPr>
          <w:spacing w:val="-11"/>
          <w:w w:val="95"/>
        </w:rPr>
        <w:t xml:space="preserve"> </w:t>
      </w:r>
      <w:r>
        <w:rPr>
          <w:spacing w:val="-11"/>
          <w:w w:val="95"/>
        </w:rPr>
        <w:t>之</w:t>
      </w:r>
      <w:r>
        <w:rPr>
          <w:spacing w:val="-11"/>
          <w:w w:val="95"/>
        </w:rPr>
        <w:t>行</w:t>
      </w:r>
      <w:r>
        <w:rPr>
          <w:spacing w:val="-11"/>
          <w:w w:val="95"/>
        </w:rPr>
        <w:t>政</w:t>
      </w:r>
      <w:r>
        <w:rPr>
          <w:spacing w:val="-11"/>
          <w:w w:val="95"/>
        </w:rPr>
        <w:t>處分之撤銷權</w:t>
      </w:r>
      <w:r>
        <w:rPr>
          <w:spacing w:val="25"/>
          <w:w w:val="90"/>
        </w:rPr>
        <w:t>，係</w:t>
      </w:r>
      <w:r>
        <w:rPr>
          <w:spacing w:val="25"/>
          <w:w w:val="90"/>
        </w:rPr>
        <w:t>針</w:t>
      </w:r>
      <w:r>
        <w:rPr>
          <w:spacing w:val="14"/>
          <w:w w:val="95"/>
        </w:rPr>
        <w:t>對違法之行政</w:t>
      </w:r>
      <w:r>
        <w:rPr>
          <w:w w:val="105"/>
        </w:rPr>
        <w:t>處分而為規定，所指行政處分之違法，或係於該處分</w:t>
      </w:r>
      <w:r>
        <w:rPr>
          <w:w w:val="105"/>
        </w:rPr>
        <w:t>作成時已發生，或係於大</w:t>
      </w:r>
      <w:r>
        <w:rPr>
          <w:w w:val="105"/>
        </w:rPr>
        <w:lastRenderedPageBreak/>
        <w:t>法官宣告所適用之規定違反</w:t>
      </w:r>
      <w:r>
        <w:rPr>
          <w:w w:val="105"/>
        </w:rPr>
        <w:t>上級規範時發生，不一而足，然該行政處分之違法如</w:t>
      </w:r>
      <w:r>
        <w:rPr>
          <w:w w:val="110"/>
        </w:rPr>
        <w:t>係於作成時適用法規</w:t>
      </w:r>
      <w:proofErr w:type="gramStart"/>
      <w:r>
        <w:rPr>
          <w:w w:val="110"/>
        </w:rPr>
        <w:t>不</w:t>
      </w:r>
      <w:proofErr w:type="gramEnd"/>
      <w:r>
        <w:rPr>
          <w:w w:val="110"/>
        </w:rPr>
        <w:t>當即已發生，且該所適用之法規並無嗣後經大法官宣告違法或法規修正之情形者，</w:t>
      </w:r>
      <w:r>
        <w:rPr>
          <w:w w:val="110"/>
        </w:rPr>
        <w:t>因原適用之法規既無變動情形，則原處分機關有無處於知悉適用法規不</w:t>
      </w:r>
      <w:proofErr w:type="gramStart"/>
      <w:r>
        <w:rPr>
          <w:w w:val="110"/>
        </w:rPr>
        <w:t>噹</w:t>
      </w:r>
      <w:proofErr w:type="gramEnd"/>
      <w:r>
        <w:rPr>
          <w:w w:val="110"/>
        </w:rPr>
        <w:t>之原因事實之違法狀態，客觀上自以該行政處分作成時之客觀狀態為據，尚非以其機關主觀認知之適用法規不當之時點為知悉與否</w:t>
      </w:r>
      <w:proofErr w:type="gramStart"/>
      <w:r>
        <w:rPr>
          <w:w w:val="110"/>
        </w:rPr>
        <w:t>之超</w:t>
      </w:r>
      <w:r>
        <w:rPr>
          <w:w w:val="110"/>
        </w:rPr>
        <w:t>算</w:t>
      </w:r>
      <w:proofErr w:type="gramEnd"/>
      <w:r>
        <w:rPr>
          <w:w w:val="110"/>
        </w:rPr>
        <w:t>。</w:t>
      </w:r>
    </w:p>
    <w:p w:rsidR="000E21F2" w:rsidRDefault="008A48C0" w:rsidP="001526D3">
      <w:pPr>
        <w:overflowPunct w:val="0"/>
        <w:spacing w:line="331" w:lineRule="exact"/>
        <w:ind w:left="136"/>
        <w:jc w:val="both"/>
        <w:rPr>
          <w:sz w:val="26"/>
        </w:rPr>
      </w:pPr>
      <w:r>
        <w:rPr>
          <w:w w:val="125"/>
          <w:sz w:val="26"/>
        </w:rPr>
        <w:t>三丶結語</w:t>
      </w:r>
    </w:p>
    <w:p w:rsidR="000E21F2" w:rsidRDefault="008A48C0" w:rsidP="001526D3">
      <w:pPr>
        <w:pStyle w:val="a3"/>
        <w:overflowPunct w:val="0"/>
        <w:spacing w:before="156" w:line="331" w:lineRule="auto"/>
        <w:ind w:left="842" w:firstLine="2"/>
        <w:jc w:val="both"/>
      </w:pPr>
      <w:r>
        <w:rPr>
          <w:w w:val="105"/>
        </w:rPr>
        <w:t>按</w:t>
      </w:r>
      <w:proofErr w:type="gramStart"/>
      <w:r>
        <w:rPr>
          <w:w w:val="105"/>
        </w:rPr>
        <w:t>經索整分析</w:t>
      </w:r>
      <w:proofErr w:type="gramEnd"/>
      <w:r>
        <w:rPr>
          <w:w w:val="105"/>
        </w:rPr>
        <w:t>上開行政法院相關見解，對於程序法第</w:t>
      </w:r>
      <w:r>
        <w:rPr>
          <w:rFonts w:ascii="Times New Roman" w:eastAsia="Times New Roman"/>
          <w:w w:val="90"/>
          <w:sz w:val="34"/>
        </w:rPr>
        <w:t>121</w:t>
      </w:r>
      <w:r>
        <w:rPr>
          <w:spacing w:val="11"/>
          <w:w w:val="90"/>
        </w:rPr>
        <w:t>條</w:t>
      </w:r>
      <w:r>
        <w:rPr>
          <w:spacing w:val="11"/>
          <w:w w:val="90"/>
        </w:rPr>
        <w:t>第</w:t>
      </w:r>
      <w:r>
        <w:rPr>
          <w:rFonts w:ascii="Times New Roman" w:eastAsia="Times New Roman"/>
          <w:w w:val="90"/>
          <w:sz w:val="34"/>
        </w:rPr>
        <w:t>l</w:t>
      </w:r>
      <w:r>
        <w:rPr>
          <w:spacing w:val="17"/>
          <w:w w:val="90"/>
        </w:rPr>
        <w:t>項所定「知有撤銷原因」之認</w:t>
      </w:r>
      <w:r>
        <w:rPr>
          <w:spacing w:val="17"/>
          <w:w w:val="90"/>
        </w:rPr>
        <w:t>定標準</w:t>
      </w:r>
      <w:r>
        <w:rPr>
          <w:spacing w:val="17"/>
          <w:w w:val="90"/>
        </w:rPr>
        <w:t xml:space="preserve"> </w:t>
      </w:r>
      <w:r>
        <w:rPr>
          <w:spacing w:val="17"/>
          <w:w w:val="90"/>
        </w:rPr>
        <w:t>，基</w:t>
      </w:r>
      <w:r>
        <w:rPr>
          <w:w w:val="90"/>
        </w:rPr>
        <w:t>於</w:t>
      </w:r>
      <w:r>
        <w:rPr>
          <w:w w:val="105"/>
        </w:rPr>
        <w:t>體系解釋、參酌德國立法例、行政機關有依法行政義務</w:t>
      </w:r>
      <w:r>
        <w:rPr>
          <w:w w:val="105"/>
        </w:rPr>
        <w:t>及</w:t>
      </w:r>
      <w:r>
        <w:rPr>
          <w:w w:val="105"/>
        </w:rPr>
        <w:t>違法行政處分認定時點等觀點，及為避免行政處分相</w:t>
      </w:r>
      <w:r>
        <w:rPr>
          <w:w w:val="105"/>
        </w:rPr>
        <w:t>對人之法律地位長期處於不安狀況，對於「知有撤銷原</w:t>
      </w:r>
      <w:r>
        <w:rPr>
          <w:w w:val="105"/>
        </w:rPr>
        <w:t>因」係指「知有構成撤銷理由之事實」，至於法規解釋</w:t>
      </w:r>
      <w:r>
        <w:rPr>
          <w:w w:val="105"/>
        </w:rPr>
        <w:t>及適用上之瑕疵並非此處所謂之事實，已趨近於一致見</w:t>
      </w:r>
      <w:r>
        <w:rPr>
          <w:w w:val="105"/>
        </w:rPr>
        <w:t>解</w:t>
      </w:r>
      <w:r>
        <w:rPr>
          <w:w w:val="105"/>
        </w:rPr>
        <w:t>。上開見解可供本會、中央及地方各主管機關人事機</w:t>
      </w:r>
      <w:bookmarkStart w:id="0" w:name="_GoBack"/>
      <w:bookmarkEnd w:id="0"/>
      <w:r>
        <w:rPr>
          <w:w w:val="105"/>
        </w:rPr>
        <w:t>構辦理相關人事行政事件之參考。</w:t>
      </w:r>
    </w:p>
    <w:sectPr w:rsidR="000E21F2">
      <w:pgSz w:w="11910" w:h="16840"/>
      <w:pgMar w:top="1460" w:right="1420" w:bottom="1200" w:left="16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C0" w:rsidRDefault="008A48C0">
      <w:r>
        <w:separator/>
      </w:r>
    </w:p>
  </w:endnote>
  <w:endnote w:type="continuationSeparator" w:id="0">
    <w:p w:rsidR="008A48C0" w:rsidRDefault="008A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F2" w:rsidRDefault="008A48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0.1pt;width:11pt;height:13.05pt;z-index:-251658752;mso-position-horizontal-relative:page;mso-position-vertical-relative:page" filled="f" stroked="f">
          <v:textbox inset="0,0,0,0">
            <w:txbxContent>
              <w:p w:rsidR="000E21F2" w:rsidRDefault="008A48C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26D3">
                  <w:rPr>
                    <w:rFonts w:ascii="Times New Roman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C0" w:rsidRDefault="008A48C0">
      <w:r>
        <w:separator/>
      </w:r>
    </w:p>
  </w:footnote>
  <w:footnote w:type="continuationSeparator" w:id="0">
    <w:p w:rsidR="008A48C0" w:rsidRDefault="008A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532D2"/>
    <w:multiLevelType w:val="hybridMultilevel"/>
    <w:tmpl w:val="673CC764"/>
    <w:lvl w:ilvl="0" w:tplc="9462D768">
      <w:start w:val="12"/>
      <w:numFmt w:val="lowerLetter"/>
      <w:lvlText w:val="（%1）"/>
      <w:lvlJc w:val="left"/>
      <w:pPr>
        <w:ind w:left="1335" w:hanging="1080"/>
      </w:pPr>
      <w:rPr>
        <w:rFonts w:ascii="Times New Roman" w:eastAsia="Times New Roman" w:hint="default"/>
        <w:w w:val="95"/>
        <w:sz w:val="34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 w15:restartNumberingAfterBreak="0">
    <w:nsid w:val="505D53E2"/>
    <w:multiLevelType w:val="hybridMultilevel"/>
    <w:tmpl w:val="9B407CBA"/>
    <w:lvl w:ilvl="0" w:tplc="8BCA5842">
      <w:start w:val="2"/>
      <w:numFmt w:val="decimal"/>
      <w:lvlText w:val="%1."/>
      <w:lvlJc w:val="left"/>
      <w:pPr>
        <w:ind w:left="1266" w:hanging="330"/>
        <w:jc w:val="left"/>
      </w:pPr>
      <w:rPr>
        <w:rFonts w:ascii="Times New Roman" w:eastAsia="Times New Roman" w:hAnsi="Times New Roman" w:cs="Times New Roman" w:hint="default"/>
        <w:w w:val="82"/>
        <w:sz w:val="34"/>
        <w:szCs w:val="34"/>
        <w:lang w:val="en-US" w:eastAsia="zh-TW" w:bidi="ar-SA"/>
      </w:rPr>
    </w:lvl>
    <w:lvl w:ilvl="1" w:tplc="767E37A2">
      <w:numFmt w:val="bullet"/>
      <w:lvlText w:val="•"/>
      <w:lvlJc w:val="left"/>
      <w:pPr>
        <w:ind w:left="2014" w:hanging="330"/>
      </w:pPr>
      <w:rPr>
        <w:rFonts w:hint="default"/>
        <w:lang w:val="en-US" w:eastAsia="zh-TW" w:bidi="ar-SA"/>
      </w:rPr>
    </w:lvl>
    <w:lvl w:ilvl="2" w:tplc="AB069274">
      <w:numFmt w:val="bullet"/>
      <w:lvlText w:val="•"/>
      <w:lvlJc w:val="left"/>
      <w:pPr>
        <w:ind w:left="2769" w:hanging="330"/>
      </w:pPr>
      <w:rPr>
        <w:rFonts w:hint="default"/>
        <w:lang w:val="en-US" w:eastAsia="zh-TW" w:bidi="ar-SA"/>
      </w:rPr>
    </w:lvl>
    <w:lvl w:ilvl="3" w:tplc="078AACDC">
      <w:numFmt w:val="bullet"/>
      <w:lvlText w:val="•"/>
      <w:lvlJc w:val="left"/>
      <w:pPr>
        <w:ind w:left="3523" w:hanging="330"/>
      </w:pPr>
      <w:rPr>
        <w:rFonts w:hint="default"/>
        <w:lang w:val="en-US" w:eastAsia="zh-TW" w:bidi="ar-SA"/>
      </w:rPr>
    </w:lvl>
    <w:lvl w:ilvl="4" w:tplc="07B63F28">
      <w:numFmt w:val="bullet"/>
      <w:lvlText w:val="•"/>
      <w:lvlJc w:val="left"/>
      <w:pPr>
        <w:ind w:left="4278" w:hanging="330"/>
      </w:pPr>
      <w:rPr>
        <w:rFonts w:hint="default"/>
        <w:lang w:val="en-US" w:eastAsia="zh-TW" w:bidi="ar-SA"/>
      </w:rPr>
    </w:lvl>
    <w:lvl w:ilvl="5" w:tplc="751E835A">
      <w:numFmt w:val="bullet"/>
      <w:lvlText w:val="•"/>
      <w:lvlJc w:val="left"/>
      <w:pPr>
        <w:ind w:left="5033" w:hanging="330"/>
      </w:pPr>
      <w:rPr>
        <w:rFonts w:hint="default"/>
        <w:lang w:val="en-US" w:eastAsia="zh-TW" w:bidi="ar-SA"/>
      </w:rPr>
    </w:lvl>
    <w:lvl w:ilvl="6" w:tplc="B2563AC0">
      <w:numFmt w:val="bullet"/>
      <w:lvlText w:val="•"/>
      <w:lvlJc w:val="left"/>
      <w:pPr>
        <w:ind w:left="5787" w:hanging="330"/>
      </w:pPr>
      <w:rPr>
        <w:rFonts w:hint="default"/>
        <w:lang w:val="en-US" w:eastAsia="zh-TW" w:bidi="ar-SA"/>
      </w:rPr>
    </w:lvl>
    <w:lvl w:ilvl="7" w:tplc="519EA4F6">
      <w:numFmt w:val="bullet"/>
      <w:lvlText w:val="•"/>
      <w:lvlJc w:val="left"/>
      <w:pPr>
        <w:ind w:left="6542" w:hanging="330"/>
      </w:pPr>
      <w:rPr>
        <w:rFonts w:hint="default"/>
        <w:lang w:val="en-US" w:eastAsia="zh-TW" w:bidi="ar-SA"/>
      </w:rPr>
    </w:lvl>
    <w:lvl w:ilvl="8" w:tplc="DB96B8CE">
      <w:numFmt w:val="bullet"/>
      <w:lvlText w:val="•"/>
      <w:lvlJc w:val="left"/>
      <w:pPr>
        <w:ind w:left="7297" w:hanging="33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E21F2"/>
    <w:rsid w:val="000E21F2"/>
    <w:rsid w:val="001526D3"/>
    <w:rsid w:val="00663716"/>
    <w:rsid w:val="008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0BAAC9-ED20-4987-ADCD-CEB033A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8"/>
      <w:ind w:left="527" w:right="62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262" w:hanging="3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100年度行政法院裁判類型化分析</dc:title>
  <dc:creator>user</dc:creator>
  <cp:lastModifiedBy>user-name</cp:lastModifiedBy>
  <cp:revision>2</cp:revision>
  <dcterms:created xsi:type="dcterms:W3CDTF">2021-09-17T06:48:00Z</dcterms:created>
  <dcterms:modified xsi:type="dcterms:W3CDTF">2021-09-17T07:08:00Z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2021-09-17T00:00:00Z</vt:filetime>
  </property>
</Properties>
</file>