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772" w:lineRule="exact"/>
      </w:pPr>
      <w:r>
        <w:rPr>
          <w:w w:val="95"/>
        </w:rPr>
        <w:t>「強化公務人員保障事件</w:t>
      </w:r>
    </w:p>
    <w:p>
      <w:pPr>
        <w:pStyle w:val="Title"/>
        <w:spacing w:line="331" w:lineRule="auto" w:before="297"/>
        <w:ind w:left="3432" w:right="2468"/>
      </w:pPr>
      <w:r>
        <w:rPr>
          <w:spacing w:val="-1"/>
        </w:rPr>
        <w:t>救濟程序」</w:t>
      </w:r>
      <w:r>
        <w:rPr/>
        <w:t>之研究</w:t>
      </w:r>
    </w:p>
    <w:p>
      <w:pPr>
        <w:pStyle w:val="BodyText"/>
        <w:rPr>
          <w:rFonts w:ascii="標楷體"/>
          <w:b/>
          <w:sz w:val="56"/>
        </w:rPr>
      </w:pPr>
    </w:p>
    <w:p>
      <w:pPr>
        <w:pStyle w:val="BodyText"/>
        <w:rPr>
          <w:rFonts w:ascii="標楷體"/>
          <w:b/>
          <w:sz w:val="56"/>
        </w:rPr>
      </w:pPr>
    </w:p>
    <w:p>
      <w:pPr>
        <w:pStyle w:val="BodyText"/>
        <w:rPr>
          <w:rFonts w:ascii="標楷體"/>
          <w:b/>
          <w:sz w:val="56"/>
        </w:rPr>
      </w:pPr>
    </w:p>
    <w:p>
      <w:pPr>
        <w:pStyle w:val="BodyText"/>
        <w:rPr>
          <w:rFonts w:ascii="標楷體"/>
          <w:b/>
          <w:sz w:val="56"/>
        </w:rPr>
      </w:pPr>
    </w:p>
    <w:p>
      <w:pPr>
        <w:pStyle w:val="BodyText"/>
        <w:spacing w:before="9"/>
        <w:rPr>
          <w:rFonts w:ascii="標楷體"/>
          <w:b/>
          <w:sz w:val="38"/>
        </w:rPr>
      </w:pPr>
    </w:p>
    <w:p>
      <w:pPr>
        <w:spacing w:line="256" w:lineRule="auto" w:before="0"/>
        <w:ind w:left="2470" w:right="2626" w:firstLine="0"/>
        <w:jc w:val="center"/>
        <w:rPr>
          <w:rFonts w:ascii="標楷體" w:eastAsia="標楷體" w:hint="eastAsia"/>
          <w:b/>
          <w:sz w:val="40"/>
        </w:rPr>
      </w:pPr>
      <w:r>
        <w:rPr>
          <w:rFonts w:ascii="標楷體" w:eastAsia="標楷體" w:hint="eastAsia"/>
          <w:b/>
          <w:sz w:val="40"/>
        </w:rPr>
        <w:t>計畫主持人：林三欽研究員：黃義偉</w:t>
      </w:r>
    </w:p>
    <w:p>
      <w:pPr>
        <w:spacing w:before="3"/>
        <w:ind w:left="771" w:right="925" w:firstLine="0"/>
        <w:jc w:val="center"/>
        <w:rPr>
          <w:rFonts w:ascii="標楷體" w:eastAsia="標楷體" w:hint="eastAsia"/>
          <w:b/>
          <w:sz w:val="40"/>
        </w:rPr>
      </w:pPr>
      <w:r>
        <w:rPr>
          <w:rFonts w:ascii="標楷體" w:eastAsia="標楷體" w:hint="eastAsia"/>
          <w:b/>
          <w:w w:val="95"/>
          <w:sz w:val="40"/>
        </w:rPr>
        <w:t>研究助理：黃楚婷、張蓓歆</w:t>
      </w:r>
    </w:p>
    <w:p>
      <w:pPr>
        <w:pStyle w:val="BodyText"/>
        <w:spacing w:before="4"/>
        <w:rPr>
          <w:rFonts w:ascii="標楷體"/>
          <w:b/>
          <w:sz w:val="34"/>
        </w:rPr>
      </w:pPr>
    </w:p>
    <w:p>
      <w:pPr>
        <w:spacing w:line="1560" w:lineRule="atLeast" w:before="1"/>
        <w:ind w:left="868" w:right="1026" w:firstLine="0"/>
        <w:jc w:val="center"/>
        <w:rPr>
          <w:rFonts w:ascii="標楷體" w:eastAsia="標楷體" w:hint="eastAsia"/>
          <w:b/>
          <w:sz w:val="40"/>
        </w:rPr>
      </w:pPr>
      <w:r>
        <w:rPr>
          <w:rFonts w:ascii="標楷體" w:eastAsia="標楷體" w:hint="eastAsia"/>
          <w:b/>
          <w:spacing w:val="10"/>
          <w:sz w:val="40"/>
        </w:rPr>
        <w:t>公務人員保障暨培訓委員會 委託研究</w:t>
      </w:r>
      <w:r>
        <w:rPr>
          <w:rFonts w:ascii="標楷體" w:eastAsia="標楷體" w:hint="eastAsia"/>
          <w:b/>
          <w:spacing w:val="-17"/>
          <w:w w:val="95"/>
          <w:sz w:val="40"/>
        </w:rPr>
        <w:t>中華民國 </w:t>
      </w:r>
      <w:r>
        <w:rPr>
          <w:rFonts w:ascii="Times New Roman" w:eastAsia="Times New Roman"/>
          <w:b/>
          <w:w w:val="95"/>
          <w:sz w:val="40"/>
        </w:rPr>
        <w:t>100</w:t>
      </w:r>
      <w:r>
        <w:rPr>
          <w:rFonts w:ascii="Times New Roman" w:eastAsia="Times New Roman"/>
          <w:b/>
          <w:spacing w:val="8"/>
          <w:w w:val="95"/>
          <w:sz w:val="40"/>
        </w:rPr>
        <w:t> </w:t>
      </w:r>
      <w:r>
        <w:rPr>
          <w:rFonts w:ascii="標楷體" w:eastAsia="標楷體" w:hint="eastAsia"/>
          <w:b/>
          <w:spacing w:val="-42"/>
          <w:w w:val="95"/>
          <w:sz w:val="40"/>
        </w:rPr>
        <w:t>年 </w:t>
      </w:r>
      <w:r>
        <w:rPr>
          <w:rFonts w:ascii="Times New Roman" w:eastAsia="Times New Roman"/>
          <w:b/>
          <w:w w:val="95"/>
          <w:sz w:val="40"/>
        </w:rPr>
        <w:t>10</w:t>
      </w:r>
      <w:r>
        <w:rPr>
          <w:rFonts w:ascii="Times New Roman" w:eastAsia="Times New Roman"/>
          <w:b/>
          <w:spacing w:val="8"/>
          <w:w w:val="95"/>
          <w:sz w:val="40"/>
        </w:rPr>
        <w:t> </w:t>
      </w:r>
      <w:r>
        <w:rPr>
          <w:rFonts w:ascii="標楷體" w:eastAsia="標楷體" w:hint="eastAsia"/>
          <w:b/>
          <w:w w:val="95"/>
          <w:sz w:val="40"/>
        </w:rPr>
        <w:t>月</w:t>
      </w:r>
    </w:p>
    <w:p>
      <w:pPr>
        <w:spacing w:after="0" w:line="1560" w:lineRule="atLeast"/>
        <w:jc w:val="center"/>
        <w:rPr>
          <w:rFonts w:ascii="標楷體" w:eastAsia="標楷體" w:hint="eastAsia"/>
          <w:sz w:val="40"/>
        </w:rPr>
        <w:sectPr>
          <w:footerReference w:type="default" r:id="rId5"/>
          <w:type w:val="continuous"/>
          <w:pgSz w:w="11910" w:h="16840"/>
          <w:pgMar w:footer="1019" w:top="1600" w:bottom="1200" w:left="1680" w:right="1520"/>
          <w:pgNumType w:start="1"/>
        </w:sectPr>
      </w:pPr>
    </w:p>
    <w:p>
      <w:pPr>
        <w:pStyle w:val="Heading1"/>
        <w:spacing w:before="17"/>
        <w:ind w:left="769" w:right="925"/>
        <w:jc w:val="center"/>
        <w:rPr>
          <w:rFonts w:ascii="標楷體" w:eastAsia="標楷體" w:hint="eastAsia"/>
        </w:rPr>
      </w:pPr>
      <w:r>
        <w:rPr>
          <w:rFonts w:ascii="標楷體" w:eastAsia="標楷體" w:hint="eastAsia"/>
        </w:rPr>
        <w:t>簡 目</w:t>
      </w:r>
    </w:p>
    <w:p>
      <w:pPr>
        <w:pStyle w:val="BodyText"/>
        <w:tabs>
          <w:tab w:pos="8175" w:val="left" w:leader="dot"/>
        </w:tabs>
        <w:spacing w:before="507"/>
        <w:ind w:right="151"/>
        <w:jc w:val="center"/>
        <w:rPr>
          <w:rFonts w:ascii="Times New Roman" w:eastAsia="Times New Roman"/>
        </w:rPr>
      </w:pPr>
      <w:r>
        <w:rPr/>
        <w:t>摘要</w:t>
      </w:r>
      <w:r>
        <w:rPr>
          <w:rFonts w:ascii="Times New Roman" w:eastAsia="Times New Roman"/>
        </w:rPr>
        <w:tab/>
      </w:r>
      <w:r>
        <w:rPr>
          <w:rFonts w:ascii="Times New Roman" w:eastAsia="Times New Roman"/>
          <w:spacing w:val="15"/>
        </w:rPr>
        <w:t>6</w:t>
      </w:r>
    </w:p>
    <w:p>
      <w:pPr>
        <w:pStyle w:val="BodyText"/>
        <w:tabs>
          <w:tab w:pos="8295" w:val="left" w:leader="dot"/>
        </w:tabs>
        <w:spacing w:before="25"/>
        <w:ind w:left="120"/>
        <w:rPr>
          <w:rFonts w:ascii="Times New Roman" w:eastAsia="Times New Roman"/>
        </w:rPr>
      </w:pPr>
      <w:r>
        <w:rPr/>
        <w:t>關鍵字</w:t>
      </w:r>
      <w:r>
        <w:rPr>
          <w:rFonts w:ascii="Times New Roman" w:eastAsia="Times New Roman"/>
        </w:rPr>
        <w:tab/>
        <w:t>6</w:t>
      </w:r>
    </w:p>
    <w:p>
      <w:pPr>
        <w:pStyle w:val="BodyText"/>
        <w:tabs>
          <w:tab w:pos="8295" w:val="left" w:leader="dot"/>
        </w:tabs>
        <w:spacing w:before="24"/>
        <w:ind w:left="120"/>
        <w:rPr>
          <w:rFonts w:ascii="Times New Roman" w:eastAsia="Times New Roman"/>
        </w:rPr>
      </w:pPr>
      <w:r>
        <w:rPr/>
        <w:t>第一章</w:t>
      </w:r>
      <w:r>
        <w:rPr>
          <w:spacing w:val="57"/>
        </w:rPr>
        <w:t> </w:t>
      </w:r>
      <w:r>
        <w:rPr/>
        <w:t>緒論</w:t>
      </w:r>
      <w:r>
        <w:rPr>
          <w:rFonts w:ascii="Times New Roman" w:eastAsia="Times New Roman"/>
        </w:rPr>
        <w:tab/>
        <w:t>7</w:t>
      </w:r>
    </w:p>
    <w:p>
      <w:pPr>
        <w:pStyle w:val="BodyText"/>
        <w:tabs>
          <w:tab w:pos="1559" w:val="left" w:leader="none"/>
          <w:tab w:pos="8295" w:val="left" w:leader="dot"/>
        </w:tabs>
        <w:spacing w:before="24"/>
        <w:ind w:left="600"/>
        <w:rPr>
          <w:rFonts w:ascii="Times New Roman" w:eastAsia="Times New Roman"/>
        </w:rPr>
      </w:pPr>
      <w:r>
        <w:rPr/>
        <w:t>第一節</w:t>
        <w:tab/>
        <w:t>研究計畫動機與目的</w:t>
      </w:r>
      <w:r>
        <w:rPr>
          <w:rFonts w:ascii="Times New Roman" w:eastAsia="Times New Roman"/>
        </w:rPr>
        <w:tab/>
        <w:t>7</w:t>
      </w:r>
    </w:p>
    <w:p>
      <w:pPr>
        <w:pStyle w:val="BodyText"/>
        <w:tabs>
          <w:tab w:pos="1559" w:val="left" w:leader="none"/>
          <w:tab w:pos="8295" w:val="left" w:leader="dot"/>
        </w:tabs>
        <w:spacing w:before="25"/>
        <w:ind w:left="600"/>
        <w:rPr>
          <w:rFonts w:ascii="Times New Roman" w:eastAsia="Times New Roman"/>
        </w:rPr>
      </w:pPr>
      <w:r>
        <w:rPr/>
        <w:t>第二節</w:t>
        <w:tab/>
        <w:t>研究範圍</w:t>
      </w:r>
      <w:r>
        <w:rPr>
          <w:rFonts w:ascii="Times New Roman" w:eastAsia="Times New Roman"/>
        </w:rPr>
        <w:tab/>
        <w:t>8</w:t>
      </w:r>
    </w:p>
    <w:p>
      <w:pPr>
        <w:pStyle w:val="BodyText"/>
        <w:tabs>
          <w:tab w:pos="1559" w:val="left" w:leader="none"/>
          <w:tab w:pos="8175" w:val="left" w:leader="dot"/>
        </w:tabs>
        <w:spacing w:before="24"/>
        <w:ind w:left="600"/>
        <w:rPr>
          <w:rFonts w:ascii="Times New Roman" w:eastAsia="Times New Roman"/>
        </w:rPr>
      </w:pPr>
      <w:r>
        <w:rPr/>
        <w:t>第三節</w:t>
        <w:tab/>
        <w:t>研究方法與研究限制</w:t>
      </w:r>
      <w:r>
        <w:rPr>
          <w:rFonts w:ascii="Times New Roman" w:eastAsia="Times New Roman"/>
        </w:rPr>
        <w:tab/>
        <w:t>10</w:t>
      </w:r>
    </w:p>
    <w:p>
      <w:pPr>
        <w:pStyle w:val="BodyText"/>
        <w:tabs>
          <w:tab w:pos="1079" w:val="left" w:leader="none"/>
          <w:tab w:pos="8183" w:val="left" w:leader="dot"/>
        </w:tabs>
        <w:spacing w:before="24"/>
        <w:ind w:left="120"/>
        <w:rPr>
          <w:rFonts w:ascii="Times New Roman" w:eastAsia="Times New Roman"/>
        </w:rPr>
      </w:pPr>
      <w:r>
        <w:rPr/>
        <w:t>第二章</w:t>
        <w:tab/>
        <w:t>再申訴決定確定後進行再審議制度之可行性</w:t>
      </w:r>
      <w:r>
        <w:rPr>
          <w:rFonts w:ascii="Times New Roman" w:eastAsia="Times New Roman"/>
        </w:rPr>
        <w:tab/>
        <w:t>11</w:t>
      </w:r>
    </w:p>
    <w:p>
      <w:pPr>
        <w:pStyle w:val="BodyText"/>
        <w:tabs>
          <w:tab w:pos="1559" w:val="left" w:leader="none"/>
          <w:tab w:pos="8175" w:val="left" w:leader="dot"/>
        </w:tabs>
        <w:spacing w:before="25"/>
        <w:ind w:left="600"/>
        <w:rPr>
          <w:rFonts w:ascii="Times New Roman" w:eastAsia="Times New Roman"/>
        </w:rPr>
      </w:pPr>
      <w:r>
        <w:rPr/>
        <w:t>第一節</w:t>
        <w:tab/>
        <w:t>再申訴事件之內涵與審理程序之分析</w:t>
      </w:r>
      <w:r>
        <w:rPr>
          <w:rFonts w:ascii="Times New Roman" w:eastAsia="Times New Roman"/>
        </w:rPr>
        <w:tab/>
        <w:t>12</w:t>
      </w:r>
    </w:p>
    <w:p>
      <w:pPr>
        <w:pStyle w:val="BodyText"/>
        <w:tabs>
          <w:tab w:pos="1559" w:val="left" w:leader="none"/>
          <w:tab w:pos="8175" w:val="left" w:leader="dot"/>
        </w:tabs>
        <w:spacing w:before="24"/>
        <w:ind w:left="600"/>
        <w:rPr>
          <w:rFonts w:ascii="Times New Roman" w:eastAsia="Times New Roman"/>
        </w:rPr>
      </w:pPr>
      <w:r>
        <w:rPr/>
        <w:t>第二節</w:t>
        <w:tab/>
        <w:t>再申訴決定確定後進行再審議程序之妥當性</w:t>
      </w:r>
      <w:r>
        <w:rPr>
          <w:rFonts w:ascii="Times New Roman" w:eastAsia="Times New Roman"/>
        </w:rPr>
        <w:tab/>
        <w:t>24</w:t>
      </w:r>
    </w:p>
    <w:p>
      <w:pPr>
        <w:pStyle w:val="BodyText"/>
        <w:tabs>
          <w:tab w:pos="1559" w:val="left" w:leader="none"/>
          <w:tab w:pos="8175" w:val="left" w:leader="dot"/>
        </w:tabs>
        <w:spacing w:before="25"/>
        <w:ind w:left="600"/>
        <w:rPr>
          <w:rFonts w:ascii="Times New Roman" w:eastAsia="Times New Roman"/>
        </w:rPr>
      </w:pPr>
      <w:r>
        <w:rPr/>
        <w:t>第三節</w:t>
        <w:tab/>
        <w:t>小結</w:t>
      </w:r>
      <w:r>
        <w:rPr>
          <w:rFonts w:ascii="Times New Roman" w:eastAsia="Times New Roman"/>
        </w:rPr>
        <w:tab/>
        <w:t>28</w:t>
      </w:r>
    </w:p>
    <w:p>
      <w:pPr>
        <w:pStyle w:val="BodyText"/>
        <w:tabs>
          <w:tab w:pos="8175" w:val="left" w:leader="dot"/>
        </w:tabs>
        <w:spacing w:before="24"/>
        <w:ind w:left="120"/>
        <w:rPr>
          <w:rFonts w:ascii="Times New Roman" w:eastAsia="Times New Roman"/>
        </w:rPr>
      </w:pPr>
      <w:r>
        <w:rPr/>
        <w:t>第三章</w:t>
      </w:r>
      <w:r>
        <w:rPr>
          <w:spacing w:val="57"/>
        </w:rPr>
        <w:t> </w:t>
      </w:r>
      <w:r>
        <w:rPr/>
        <w:t>調處制度擴大適用於復審事件之可行性</w:t>
      </w:r>
      <w:r>
        <w:rPr>
          <w:rFonts w:ascii="Times New Roman" w:eastAsia="Times New Roman"/>
        </w:rPr>
        <w:tab/>
        <w:t>30</w:t>
      </w:r>
    </w:p>
    <w:p>
      <w:pPr>
        <w:pStyle w:val="BodyText"/>
        <w:tabs>
          <w:tab w:pos="1559" w:val="left" w:leader="none"/>
          <w:tab w:pos="8175" w:val="left" w:leader="dot"/>
        </w:tabs>
        <w:spacing w:before="24"/>
        <w:ind w:left="600"/>
        <w:rPr>
          <w:rFonts w:ascii="Times New Roman" w:eastAsia="Times New Roman"/>
        </w:rPr>
      </w:pPr>
      <w:r>
        <w:rPr/>
        <w:t>第一節</w:t>
        <w:tab/>
        <w:t>調處制度之外國立法例</w:t>
      </w:r>
      <w:r>
        <w:rPr>
          <w:rFonts w:ascii="Times New Roman" w:eastAsia="Times New Roman"/>
        </w:rPr>
        <w:tab/>
        <w:t>30</w:t>
      </w:r>
    </w:p>
    <w:p>
      <w:pPr>
        <w:pStyle w:val="BodyText"/>
        <w:tabs>
          <w:tab w:pos="8175" w:val="left" w:leader="dot"/>
        </w:tabs>
        <w:spacing w:before="25"/>
        <w:ind w:left="600"/>
        <w:rPr>
          <w:rFonts w:ascii="Times New Roman" w:eastAsia="Times New Roman"/>
        </w:rPr>
      </w:pPr>
      <w:r>
        <w:rPr/>
        <w:t>第二節</w:t>
      </w:r>
      <w:r>
        <w:rPr>
          <w:spacing w:val="57"/>
        </w:rPr>
        <w:t> </w:t>
      </w:r>
      <w:r>
        <w:rPr/>
        <w:t>我國保障法中調處制度之分析</w:t>
      </w:r>
      <w:r>
        <w:rPr>
          <w:rFonts w:ascii="Times New Roman" w:eastAsia="Times New Roman"/>
        </w:rPr>
        <w:tab/>
        <w:t>34</w:t>
      </w:r>
    </w:p>
    <w:p>
      <w:pPr>
        <w:pStyle w:val="BodyText"/>
        <w:tabs>
          <w:tab w:pos="8175" w:val="left" w:leader="dot"/>
        </w:tabs>
        <w:spacing w:before="24"/>
        <w:ind w:left="600"/>
        <w:rPr>
          <w:rFonts w:ascii="Times New Roman" w:eastAsia="Times New Roman"/>
        </w:rPr>
      </w:pPr>
      <w:r>
        <w:rPr/>
        <w:t>第三節</w:t>
      </w:r>
      <w:r>
        <w:rPr>
          <w:spacing w:val="57"/>
        </w:rPr>
        <w:t> </w:t>
      </w:r>
      <w:r>
        <w:rPr/>
        <w:t>調處制度作為復審程序爭議解決管道之妥當性</w:t>
      </w:r>
      <w:r>
        <w:rPr>
          <w:rFonts w:ascii="Times New Roman" w:eastAsia="Times New Roman"/>
        </w:rPr>
        <w:tab/>
        <w:t>44</w:t>
      </w:r>
    </w:p>
    <w:p>
      <w:pPr>
        <w:pStyle w:val="BodyText"/>
        <w:tabs>
          <w:tab w:pos="1559" w:val="left" w:leader="none"/>
          <w:tab w:pos="8175" w:val="left" w:leader="dot"/>
        </w:tabs>
        <w:spacing w:before="24"/>
        <w:ind w:left="600"/>
        <w:rPr>
          <w:rFonts w:ascii="Times New Roman" w:eastAsia="Times New Roman"/>
        </w:rPr>
      </w:pPr>
      <w:r>
        <w:rPr/>
        <w:t>第四節</w:t>
        <w:tab/>
        <w:t>小結</w:t>
      </w:r>
      <w:r>
        <w:rPr>
          <w:rFonts w:ascii="Times New Roman" w:eastAsia="Times New Roman"/>
        </w:rPr>
        <w:tab/>
        <w:t>47</w:t>
      </w:r>
    </w:p>
    <w:p>
      <w:pPr>
        <w:pStyle w:val="BodyText"/>
        <w:tabs>
          <w:tab w:pos="8175" w:val="left" w:leader="dot"/>
        </w:tabs>
        <w:spacing w:before="25"/>
        <w:ind w:left="120"/>
        <w:rPr>
          <w:rFonts w:ascii="Times New Roman" w:eastAsia="Times New Roman"/>
        </w:rPr>
      </w:pPr>
      <w:r>
        <w:rPr/>
        <w:t>第四章</w:t>
      </w:r>
      <w:r>
        <w:rPr>
          <w:spacing w:val="57"/>
        </w:rPr>
        <w:t> </w:t>
      </w:r>
      <w:r>
        <w:rPr/>
        <w:t>停止執行適用於公務人員再申訴事件之可行性</w:t>
      </w:r>
      <w:r>
        <w:rPr>
          <w:rFonts w:ascii="Times New Roman" w:eastAsia="Times New Roman"/>
        </w:rPr>
        <w:tab/>
        <w:t>48</w:t>
      </w:r>
    </w:p>
    <w:p>
      <w:pPr>
        <w:pStyle w:val="BodyText"/>
        <w:tabs>
          <w:tab w:pos="8175" w:val="left" w:leader="dot"/>
        </w:tabs>
        <w:spacing w:before="24"/>
        <w:ind w:left="600"/>
        <w:rPr>
          <w:rFonts w:ascii="Times New Roman" w:eastAsia="Times New Roman"/>
        </w:rPr>
      </w:pPr>
      <w:r>
        <w:rPr/>
        <w:t>第一節</w:t>
      </w:r>
      <w:r>
        <w:rPr>
          <w:spacing w:val="57"/>
        </w:rPr>
        <w:t> </w:t>
      </w:r>
      <w:r>
        <w:rPr/>
        <w:t>停止執行之概述</w:t>
      </w:r>
      <w:r>
        <w:rPr>
          <w:rFonts w:ascii="Times New Roman" w:eastAsia="Times New Roman"/>
        </w:rPr>
        <w:tab/>
        <w:t>48</w:t>
      </w:r>
    </w:p>
    <w:p>
      <w:pPr>
        <w:pStyle w:val="BodyText"/>
        <w:tabs>
          <w:tab w:pos="8175" w:val="left" w:leader="dot"/>
        </w:tabs>
        <w:spacing w:before="25"/>
        <w:ind w:left="600"/>
        <w:rPr>
          <w:rFonts w:ascii="Times New Roman" w:eastAsia="Times New Roman"/>
        </w:rPr>
      </w:pPr>
      <w:r>
        <w:rPr/>
        <w:t>第二節</w:t>
      </w:r>
      <w:r>
        <w:rPr>
          <w:spacing w:val="57"/>
        </w:rPr>
        <w:t> </w:t>
      </w:r>
      <w:r>
        <w:rPr/>
        <w:t>停止執行適用於再申訴事件之妥當性</w:t>
      </w:r>
      <w:r>
        <w:rPr>
          <w:rFonts w:ascii="Times New Roman" w:eastAsia="Times New Roman"/>
        </w:rPr>
        <w:tab/>
        <w:t>53</w:t>
      </w:r>
    </w:p>
    <w:p>
      <w:pPr>
        <w:pStyle w:val="BodyText"/>
        <w:tabs>
          <w:tab w:pos="8175" w:val="left" w:leader="dot"/>
        </w:tabs>
        <w:spacing w:before="24"/>
        <w:ind w:left="600"/>
        <w:rPr>
          <w:rFonts w:ascii="Times New Roman" w:eastAsia="Times New Roman"/>
        </w:rPr>
      </w:pPr>
      <w:r>
        <w:rPr/>
        <w:t>第三節</w:t>
      </w:r>
      <w:r>
        <w:rPr>
          <w:spacing w:val="57"/>
        </w:rPr>
        <w:t> </w:t>
      </w:r>
      <w:r>
        <w:rPr/>
        <w:t>保障法上完整之暫時權利保護</w:t>
      </w:r>
      <w:r>
        <w:rPr>
          <w:rFonts w:ascii="Times New Roman" w:eastAsia="Times New Roman"/>
        </w:rPr>
        <w:tab/>
        <w:t>57</w:t>
      </w:r>
    </w:p>
    <w:p>
      <w:pPr>
        <w:pStyle w:val="BodyText"/>
        <w:tabs>
          <w:tab w:pos="8175" w:val="left" w:leader="dot"/>
        </w:tabs>
        <w:spacing w:before="24"/>
        <w:ind w:left="600"/>
        <w:rPr>
          <w:rFonts w:ascii="Times New Roman" w:eastAsia="Times New Roman"/>
        </w:rPr>
      </w:pPr>
      <w:r>
        <w:rPr/>
        <w:t>第四節</w:t>
      </w:r>
      <w:r>
        <w:rPr>
          <w:spacing w:val="57"/>
        </w:rPr>
        <w:t> </w:t>
      </w:r>
      <w:r>
        <w:rPr/>
        <w:t>小結</w:t>
      </w:r>
      <w:r>
        <w:rPr>
          <w:rFonts w:ascii="Times New Roman" w:eastAsia="Times New Roman"/>
        </w:rPr>
        <w:tab/>
        <w:t>59</w:t>
      </w:r>
    </w:p>
    <w:p>
      <w:pPr>
        <w:pStyle w:val="BodyText"/>
        <w:tabs>
          <w:tab w:pos="1079" w:val="left" w:leader="none"/>
          <w:tab w:pos="8175" w:val="left" w:leader="dot"/>
        </w:tabs>
        <w:spacing w:before="25"/>
        <w:ind w:left="120"/>
        <w:rPr>
          <w:rFonts w:ascii="Times New Roman" w:eastAsia="Times New Roman"/>
        </w:rPr>
      </w:pPr>
      <w:r>
        <w:rPr/>
        <w:t>第五章</w:t>
        <w:tab/>
        <w:t>結論與修法建議</w:t>
      </w:r>
      <w:r>
        <w:rPr>
          <w:rFonts w:ascii="Times New Roman" w:eastAsia="Times New Roman"/>
        </w:rPr>
        <w:tab/>
        <w:t>61</w:t>
      </w:r>
    </w:p>
    <w:p>
      <w:pPr>
        <w:pStyle w:val="BodyText"/>
        <w:tabs>
          <w:tab w:pos="1559" w:val="left" w:leader="none"/>
          <w:tab w:pos="8175" w:val="left" w:leader="dot"/>
        </w:tabs>
        <w:spacing w:before="24"/>
        <w:ind w:left="600"/>
        <w:rPr>
          <w:rFonts w:ascii="Times New Roman" w:eastAsia="Times New Roman"/>
        </w:rPr>
      </w:pPr>
      <w:r>
        <w:rPr/>
        <w:t>第一節</w:t>
        <w:tab/>
        <w:t>結論</w:t>
      </w:r>
      <w:r>
        <w:rPr>
          <w:rFonts w:ascii="Times New Roman" w:eastAsia="Times New Roman"/>
        </w:rPr>
        <w:tab/>
        <w:t>61</w:t>
      </w:r>
    </w:p>
    <w:p>
      <w:pPr>
        <w:pStyle w:val="BodyText"/>
        <w:tabs>
          <w:tab w:pos="1559" w:val="left" w:leader="none"/>
          <w:tab w:pos="8175" w:val="left" w:leader="dot"/>
        </w:tabs>
        <w:spacing w:before="24"/>
        <w:ind w:left="600"/>
        <w:rPr>
          <w:rFonts w:ascii="Times New Roman" w:eastAsia="Times New Roman"/>
        </w:rPr>
      </w:pPr>
      <w:r>
        <w:rPr/>
        <w:t>第二節</w:t>
        <w:tab/>
        <w:t>修法建議</w:t>
      </w:r>
      <w:r>
        <w:rPr>
          <w:rFonts w:ascii="Times New Roman" w:eastAsia="Times New Roman"/>
        </w:rPr>
        <w:tab/>
        <w:t>62</w:t>
      </w:r>
    </w:p>
    <w:p>
      <w:pPr>
        <w:pStyle w:val="BodyText"/>
        <w:tabs>
          <w:tab w:pos="8175" w:val="left" w:leader="dot"/>
        </w:tabs>
        <w:spacing w:before="25"/>
        <w:ind w:left="120"/>
        <w:rPr>
          <w:rFonts w:ascii="Times New Roman" w:eastAsia="Times New Roman"/>
        </w:rPr>
      </w:pPr>
      <w:r>
        <w:rPr/>
        <w:t>附錄一：專家座談會議紀錄及回應意見</w:t>
      </w:r>
      <w:r>
        <w:rPr>
          <w:rFonts w:ascii="Times New Roman" w:eastAsia="Times New Roman"/>
        </w:rPr>
        <w:tab/>
        <w:t>69</w:t>
      </w:r>
    </w:p>
    <w:p>
      <w:pPr>
        <w:pStyle w:val="BodyText"/>
        <w:tabs>
          <w:tab w:pos="8175" w:val="left" w:leader="dot"/>
        </w:tabs>
        <w:spacing w:before="24"/>
        <w:ind w:left="600"/>
        <w:rPr>
          <w:rFonts w:ascii="Times New Roman" w:eastAsia="Times New Roman"/>
        </w:rPr>
      </w:pPr>
      <w:r>
        <w:rPr/>
        <w:t>一、專家學者座談會意見彙整</w:t>
      </w:r>
      <w:r>
        <w:rPr>
          <w:rFonts w:ascii="Times New Roman" w:eastAsia="Times New Roman"/>
        </w:rPr>
        <w:tab/>
        <w:t>69</w:t>
      </w:r>
    </w:p>
    <w:p>
      <w:pPr>
        <w:pStyle w:val="BodyText"/>
        <w:tabs>
          <w:tab w:pos="8175" w:val="left" w:leader="dot"/>
        </w:tabs>
        <w:spacing w:before="25"/>
        <w:ind w:left="600"/>
        <w:rPr>
          <w:rFonts w:ascii="Times New Roman" w:eastAsia="Times New Roman"/>
        </w:rPr>
      </w:pPr>
      <w:r>
        <w:rPr/>
        <w:t>二、對於專家學者座談會意見之回應</w:t>
      </w:r>
      <w:r>
        <w:rPr>
          <w:rFonts w:ascii="Times New Roman" w:eastAsia="Times New Roman"/>
        </w:rPr>
        <w:tab/>
        <w:t>78</w:t>
      </w:r>
    </w:p>
    <w:p>
      <w:pPr>
        <w:pStyle w:val="BodyText"/>
        <w:tabs>
          <w:tab w:pos="8175" w:val="left" w:leader="dot"/>
        </w:tabs>
        <w:spacing w:before="24"/>
        <w:ind w:left="120"/>
        <w:rPr>
          <w:rFonts w:ascii="Times New Roman" w:eastAsia="Times New Roman"/>
        </w:rPr>
      </w:pPr>
      <w:r>
        <w:rPr/>
        <w:t>附錄二：期中報告審查意見及回應意見</w:t>
      </w:r>
      <w:r>
        <w:rPr>
          <w:rFonts w:ascii="Times New Roman" w:eastAsia="Times New Roman"/>
        </w:rPr>
        <w:tab/>
        <w:t>81</w:t>
      </w:r>
    </w:p>
    <w:p>
      <w:pPr>
        <w:pStyle w:val="BodyText"/>
        <w:tabs>
          <w:tab w:pos="8175" w:val="left" w:leader="dot"/>
        </w:tabs>
        <w:spacing w:before="24"/>
        <w:ind w:left="120"/>
        <w:rPr>
          <w:rFonts w:ascii="Times New Roman" w:eastAsia="Times New Roman"/>
        </w:rPr>
      </w:pPr>
      <w:r>
        <w:rPr/>
        <w:t>附錄三：期末報告審查意見及回應意見</w:t>
      </w:r>
      <w:r>
        <w:rPr>
          <w:rFonts w:ascii="Times New Roman" w:eastAsia="Times New Roman"/>
        </w:rPr>
        <w:tab/>
        <w:t>87</w:t>
      </w:r>
    </w:p>
    <w:p>
      <w:pPr>
        <w:pStyle w:val="BodyText"/>
        <w:tabs>
          <w:tab w:pos="8175" w:val="left" w:leader="dot"/>
        </w:tabs>
        <w:spacing w:before="25"/>
        <w:ind w:left="120"/>
        <w:rPr>
          <w:rFonts w:ascii="Times New Roman" w:eastAsia="Times New Roman"/>
        </w:rPr>
      </w:pPr>
      <w:r>
        <w:rPr/>
        <w:t>參考文獻</w:t>
      </w:r>
      <w:r>
        <w:rPr>
          <w:rFonts w:ascii="Times New Roman" w:eastAsia="Times New Roman"/>
        </w:rPr>
        <w:tab/>
        <w:t>93</w:t>
      </w:r>
    </w:p>
    <w:p>
      <w:pPr>
        <w:spacing w:after="0"/>
        <w:rPr>
          <w:rFonts w:ascii="Times New Roman" w:eastAsia="Times New Roman"/>
        </w:rPr>
        <w:sectPr>
          <w:pgSz w:w="11910" w:h="16840"/>
          <w:pgMar w:header="0" w:footer="1019" w:top="1560" w:bottom="1200" w:left="1680" w:right="1520"/>
        </w:sectPr>
      </w:pPr>
    </w:p>
    <w:p>
      <w:pPr>
        <w:tabs>
          <w:tab w:pos="800" w:val="left" w:leader="none"/>
        </w:tabs>
        <w:spacing w:before="17"/>
        <w:ind w:left="0" w:right="155" w:firstLine="0"/>
        <w:jc w:val="center"/>
        <w:rPr>
          <w:rFonts w:ascii="標楷體" w:eastAsia="標楷體" w:hint="eastAsia"/>
          <w:b/>
          <w:sz w:val="32"/>
        </w:rPr>
      </w:pPr>
      <w:r>
        <w:rPr>
          <w:rFonts w:ascii="標楷體" w:eastAsia="標楷體" w:hint="eastAsia"/>
          <w:b/>
          <w:sz w:val="32"/>
        </w:rPr>
        <w:t>詳</w:t>
        <w:tab/>
        <w:t>目</w:t>
      </w:r>
    </w:p>
    <w:p>
      <w:pPr>
        <w:pStyle w:val="BodyText"/>
        <w:spacing w:before="4"/>
        <w:rPr>
          <w:rFonts w:ascii="標楷體"/>
          <w:b/>
          <w:sz w:val="36"/>
        </w:rPr>
      </w:pPr>
    </w:p>
    <w:p>
      <w:pPr>
        <w:pStyle w:val="BodyText"/>
        <w:tabs>
          <w:tab w:pos="8175" w:val="left" w:leader="dot"/>
        </w:tabs>
        <w:ind w:right="151"/>
        <w:jc w:val="center"/>
        <w:rPr>
          <w:rFonts w:ascii="Times New Roman" w:eastAsia="Times New Roman"/>
        </w:rPr>
      </w:pPr>
      <w:r>
        <w:rPr/>
        <w:t>摘要</w:t>
      </w:r>
      <w:r>
        <w:rPr>
          <w:rFonts w:ascii="Times New Roman" w:eastAsia="Times New Roman"/>
        </w:rPr>
        <w:tab/>
      </w:r>
      <w:r>
        <w:rPr>
          <w:rFonts w:ascii="Times New Roman" w:eastAsia="Times New Roman"/>
          <w:spacing w:val="15"/>
        </w:rPr>
        <w:t>6</w:t>
      </w:r>
    </w:p>
    <w:p>
      <w:pPr>
        <w:pStyle w:val="BodyText"/>
        <w:tabs>
          <w:tab w:pos="8295" w:val="left" w:leader="dot"/>
        </w:tabs>
        <w:spacing w:before="24"/>
        <w:ind w:left="120"/>
        <w:rPr>
          <w:rFonts w:ascii="Times New Roman" w:eastAsia="Times New Roman"/>
        </w:rPr>
      </w:pPr>
      <w:r>
        <w:rPr/>
        <w:t>關鍵字</w:t>
      </w:r>
      <w:r>
        <w:rPr>
          <w:rFonts w:ascii="Times New Roman" w:eastAsia="Times New Roman"/>
        </w:rPr>
        <w:tab/>
        <w:t>6</w:t>
      </w:r>
    </w:p>
    <w:p>
      <w:pPr>
        <w:pStyle w:val="BodyText"/>
        <w:tabs>
          <w:tab w:pos="8295" w:val="left" w:leader="dot"/>
        </w:tabs>
        <w:spacing w:before="25"/>
        <w:ind w:left="120"/>
        <w:rPr>
          <w:rFonts w:ascii="Times New Roman" w:eastAsia="Times New Roman"/>
        </w:rPr>
      </w:pPr>
      <w:r>
        <w:rPr/>
        <w:t>第一章</w:t>
      </w:r>
      <w:r>
        <w:rPr>
          <w:spacing w:val="57"/>
        </w:rPr>
        <w:t> </w:t>
      </w:r>
      <w:r>
        <w:rPr/>
        <w:t>緒論</w:t>
      </w:r>
      <w:r>
        <w:rPr>
          <w:rFonts w:ascii="Times New Roman" w:eastAsia="Times New Roman"/>
        </w:rPr>
        <w:tab/>
        <w:t>7</w:t>
      </w:r>
    </w:p>
    <w:p>
      <w:pPr>
        <w:pStyle w:val="BodyText"/>
        <w:tabs>
          <w:tab w:pos="1559" w:val="left" w:leader="none"/>
          <w:tab w:pos="8295" w:val="left" w:leader="dot"/>
        </w:tabs>
        <w:spacing w:before="24"/>
        <w:ind w:left="600"/>
        <w:rPr>
          <w:rFonts w:ascii="Times New Roman" w:eastAsia="Times New Roman"/>
        </w:rPr>
      </w:pPr>
      <w:r>
        <w:rPr/>
        <w:t>第一節</w:t>
        <w:tab/>
        <w:t>研究計畫動機與目的</w:t>
      </w:r>
      <w:r>
        <w:rPr>
          <w:rFonts w:ascii="Times New Roman" w:eastAsia="Times New Roman"/>
        </w:rPr>
        <w:tab/>
        <w:t>7</w:t>
      </w:r>
    </w:p>
    <w:p>
      <w:pPr>
        <w:pStyle w:val="BodyText"/>
        <w:tabs>
          <w:tab w:pos="1559" w:val="left" w:leader="none"/>
          <w:tab w:pos="8295" w:val="left" w:leader="dot"/>
        </w:tabs>
        <w:spacing w:before="24"/>
        <w:ind w:left="600"/>
        <w:rPr>
          <w:rFonts w:ascii="Times New Roman" w:eastAsia="Times New Roman"/>
        </w:rPr>
      </w:pPr>
      <w:r>
        <w:rPr/>
        <w:t>第二節</w:t>
        <w:tab/>
        <w:t>研究範圍</w:t>
      </w:r>
      <w:r>
        <w:rPr>
          <w:rFonts w:ascii="Times New Roman" w:eastAsia="Times New Roman"/>
        </w:rPr>
        <w:tab/>
        <w:t>8</w:t>
      </w:r>
    </w:p>
    <w:p>
      <w:pPr>
        <w:pStyle w:val="BodyText"/>
        <w:tabs>
          <w:tab w:pos="8295" w:val="left" w:leader="dot"/>
        </w:tabs>
        <w:spacing w:before="25"/>
        <w:ind w:left="1080"/>
        <w:rPr>
          <w:rFonts w:ascii="Times New Roman" w:eastAsia="Times New Roman"/>
        </w:rPr>
      </w:pPr>
      <w:r>
        <w:rPr/>
        <w:t>一、再申訴決定確定後創設再審議制度之可行性</w:t>
      </w:r>
      <w:r>
        <w:rPr>
          <w:rFonts w:ascii="Times New Roman" w:eastAsia="Times New Roman"/>
        </w:rPr>
        <w:tab/>
        <w:t>8</w:t>
      </w:r>
    </w:p>
    <w:p>
      <w:pPr>
        <w:pStyle w:val="BodyText"/>
        <w:tabs>
          <w:tab w:pos="8295" w:val="left" w:leader="dot"/>
        </w:tabs>
        <w:spacing w:before="24"/>
        <w:ind w:left="1080"/>
        <w:rPr>
          <w:rFonts w:ascii="Times New Roman" w:eastAsia="Times New Roman"/>
        </w:rPr>
      </w:pPr>
      <w:r>
        <w:rPr/>
        <w:t>二、調處制度擴大適用於復審事件之可行性</w:t>
      </w:r>
      <w:r>
        <w:rPr>
          <w:rFonts w:ascii="Times New Roman" w:eastAsia="Times New Roman"/>
        </w:rPr>
        <w:tab/>
        <w:t>8</w:t>
      </w:r>
    </w:p>
    <w:p>
      <w:pPr>
        <w:pStyle w:val="BodyText"/>
        <w:tabs>
          <w:tab w:pos="8295" w:val="left" w:leader="dot"/>
        </w:tabs>
        <w:spacing w:before="24"/>
        <w:ind w:left="1080"/>
        <w:rPr>
          <w:rFonts w:ascii="Times New Roman" w:eastAsia="Times New Roman"/>
        </w:rPr>
      </w:pPr>
      <w:r>
        <w:rPr/>
        <w:t>三、停止執行制度適用於再申訴事件之可行性</w:t>
      </w:r>
      <w:r>
        <w:rPr>
          <w:rFonts w:ascii="Times New Roman" w:eastAsia="Times New Roman"/>
        </w:rPr>
        <w:tab/>
        <w:t>9</w:t>
      </w:r>
    </w:p>
    <w:p>
      <w:pPr>
        <w:pStyle w:val="BodyText"/>
        <w:tabs>
          <w:tab w:pos="1559" w:val="left" w:leader="none"/>
          <w:tab w:pos="8175" w:val="left" w:leader="dot"/>
        </w:tabs>
        <w:spacing w:before="25"/>
        <w:ind w:left="600"/>
        <w:rPr>
          <w:rFonts w:ascii="Times New Roman" w:eastAsia="Times New Roman"/>
        </w:rPr>
      </w:pPr>
      <w:r>
        <w:rPr/>
        <w:t>第三節</w:t>
        <w:tab/>
        <w:t>研究方法與研究限制</w:t>
      </w:r>
      <w:r>
        <w:rPr>
          <w:rFonts w:ascii="Times New Roman" w:eastAsia="Times New Roman"/>
        </w:rPr>
        <w:tab/>
        <w:t>10</w:t>
      </w:r>
    </w:p>
    <w:p>
      <w:pPr>
        <w:pStyle w:val="BodyText"/>
        <w:tabs>
          <w:tab w:pos="8175" w:val="left" w:leader="dot"/>
        </w:tabs>
        <w:spacing w:before="24"/>
        <w:ind w:left="1080"/>
        <w:rPr>
          <w:rFonts w:ascii="Times New Roman" w:eastAsia="Times New Roman"/>
        </w:rPr>
      </w:pPr>
      <w:r>
        <w:rPr/>
        <w:t>一、研究方法</w:t>
      </w:r>
      <w:r>
        <w:rPr>
          <w:rFonts w:ascii="Times New Roman" w:eastAsia="Times New Roman"/>
        </w:rPr>
        <w:tab/>
        <w:t>10</w:t>
      </w:r>
    </w:p>
    <w:p>
      <w:pPr>
        <w:pStyle w:val="BodyText"/>
        <w:tabs>
          <w:tab w:pos="8175" w:val="left" w:leader="dot"/>
        </w:tabs>
        <w:spacing w:before="25"/>
        <w:ind w:left="1560"/>
        <w:rPr>
          <w:rFonts w:ascii="Times New Roman" w:eastAsia="Times New Roman"/>
        </w:rPr>
      </w:pPr>
      <w:r>
        <w:rPr/>
        <w:t>（一）文獻歸納法與分析法</w:t>
      </w:r>
      <w:r>
        <w:rPr>
          <w:rFonts w:ascii="Times New Roman" w:eastAsia="Times New Roman"/>
        </w:rPr>
        <w:tab/>
        <w:t>10</w:t>
      </w:r>
    </w:p>
    <w:p>
      <w:pPr>
        <w:pStyle w:val="BodyText"/>
        <w:tabs>
          <w:tab w:pos="8175" w:val="left" w:leader="dot"/>
        </w:tabs>
        <w:spacing w:before="24"/>
        <w:ind w:left="1560"/>
        <w:rPr>
          <w:rFonts w:ascii="Times New Roman" w:eastAsia="Times New Roman"/>
        </w:rPr>
      </w:pPr>
      <w:r>
        <w:rPr/>
        <w:t>（二）專家座談研究法</w:t>
      </w:r>
      <w:r>
        <w:rPr>
          <w:rFonts w:ascii="Times New Roman" w:eastAsia="Times New Roman"/>
        </w:rPr>
        <w:tab/>
        <w:t>10</w:t>
      </w:r>
    </w:p>
    <w:p>
      <w:pPr>
        <w:pStyle w:val="BodyText"/>
        <w:tabs>
          <w:tab w:pos="8175" w:val="left" w:leader="dot"/>
        </w:tabs>
        <w:spacing w:before="24"/>
        <w:ind w:left="1080"/>
        <w:rPr>
          <w:rFonts w:ascii="Times New Roman" w:eastAsia="Times New Roman"/>
        </w:rPr>
      </w:pPr>
      <w:r>
        <w:rPr/>
        <w:t>二、研究限制</w:t>
      </w:r>
      <w:r>
        <w:rPr>
          <w:rFonts w:ascii="Times New Roman" w:eastAsia="Times New Roman"/>
        </w:rPr>
        <w:tab/>
        <w:t>10</w:t>
      </w:r>
    </w:p>
    <w:p>
      <w:pPr>
        <w:pStyle w:val="BodyText"/>
        <w:tabs>
          <w:tab w:pos="1079" w:val="left" w:leader="none"/>
          <w:tab w:pos="8183" w:val="left" w:leader="dot"/>
        </w:tabs>
        <w:spacing w:before="25"/>
        <w:ind w:left="120"/>
        <w:rPr>
          <w:rFonts w:ascii="Times New Roman" w:eastAsia="Times New Roman"/>
        </w:rPr>
      </w:pPr>
      <w:r>
        <w:rPr/>
        <w:t>第二章</w:t>
        <w:tab/>
        <w:t>再申訴決定確定後進行再審議制度之可行性</w:t>
      </w:r>
      <w:r>
        <w:rPr>
          <w:rFonts w:ascii="Times New Roman" w:eastAsia="Times New Roman"/>
        </w:rPr>
        <w:tab/>
        <w:t>11</w:t>
      </w:r>
    </w:p>
    <w:p>
      <w:pPr>
        <w:pStyle w:val="BodyText"/>
        <w:tabs>
          <w:tab w:pos="1559" w:val="left" w:leader="none"/>
          <w:tab w:pos="8175" w:val="left" w:leader="dot"/>
        </w:tabs>
        <w:spacing w:before="24"/>
        <w:ind w:left="600"/>
        <w:rPr>
          <w:rFonts w:ascii="Times New Roman" w:eastAsia="Times New Roman"/>
        </w:rPr>
      </w:pPr>
      <w:r>
        <w:rPr/>
        <w:t>第一節</w:t>
        <w:tab/>
        <w:t>再申訴事件之內涵與審理程序之分析</w:t>
      </w:r>
      <w:r>
        <w:rPr>
          <w:rFonts w:ascii="Times New Roman" w:eastAsia="Times New Roman"/>
        </w:rPr>
        <w:tab/>
        <w:t>12</w:t>
      </w:r>
    </w:p>
    <w:p>
      <w:pPr>
        <w:pStyle w:val="BodyText"/>
        <w:tabs>
          <w:tab w:pos="8175" w:val="left" w:leader="dot"/>
        </w:tabs>
        <w:spacing w:before="24"/>
        <w:ind w:left="1080"/>
        <w:rPr>
          <w:rFonts w:ascii="Times New Roman" w:eastAsia="Times New Roman"/>
        </w:rPr>
      </w:pPr>
      <w:r>
        <w:rPr/>
        <w:t>一、再申訴事件之範圍及類型</w:t>
      </w:r>
      <w:r>
        <w:rPr>
          <w:rFonts w:ascii="Times New Roman" w:eastAsia="Times New Roman"/>
        </w:rPr>
        <w:tab/>
        <w:t>12</w:t>
      </w:r>
    </w:p>
    <w:p>
      <w:pPr>
        <w:pStyle w:val="BodyText"/>
        <w:tabs>
          <w:tab w:pos="8175" w:val="left" w:leader="dot"/>
        </w:tabs>
        <w:spacing w:before="25"/>
        <w:ind w:left="1080"/>
        <w:rPr>
          <w:rFonts w:ascii="Times New Roman" w:eastAsia="Times New Roman"/>
        </w:rPr>
      </w:pPr>
      <w:r>
        <w:rPr/>
        <w:t>二、復審事件與再申訴事件區分標準之檢討</w:t>
      </w:r>
      <w:r>
        <w:rPr>
          <w:rFonts w:ascii="Times New Roman" w:eastAsia="Times New Roman"/>
        </w:rPr>
        <w:tab/>
        <w:t>15</w:t>
      </w:r>
    </w:p>
    <w:p>
      <w:pPr>
        <w:pStyle w:val="BodyText"/>
        <w:tabs>
          <w:tab w:pos="8175" w:val="left" w:leader="dot"/>
        </w:tabs>
        <w:spacing w:before="24"/>
        <w:ind w:left="1080"/>
        <w:rPr>
          <w:rFonts w:ascii="Times New Roman" w:eastAsia="Times New Roman"/>
        </w:rPr>
      </w:pPr>
      <w:r>
        <w:rPr/>
        <w:t>三、再申訴事件審理程序之分析</w:t>
      </w:r>
      <w:r>
        <w:rPr>
          <w:rFonts w:ascii="Times New Roman" w:eastAsia="Times New Roman"/>
        </w:rPr>
        <w:tab/>
        <w:t>21</w:t>
      </w:r>
    </w:p>
    <w:p>
      <w:pPr>
        <w:pStyle w:val="BodyText"/>
        <w:tabs>
          <w:tab w:pos="1559" w:val="left" w:leader="none"/>
          <w:tab w:pos="8175" w:val="left" w:leader="dot"/>
        </w:tabs>
        <w:spacing w:before="25"/>
        <w:ind w:left="600"/>
        <w:rPr>
          <w:rFonts w:ascii="Times New Roman" w:eastAsia="Times New Roman"/>
        </w:rPr>
      </w:pPr>
      <w:r>
        <w:rPr/>
        <w:t>第二節</w:t>
        <w:tab/>
        <w:t>再申訴決定確定後進行再審議程序之妥當性</w:t>
      </w:r>
      <w:r>
        <w:rPr>
          <w:rFonts w:ascii="Times New Roman" w:eastAsia="Times New Roman"/>
        </w:rPr>
        <w:tab/>
        <w:t>24</w:t>
      </w:r>
    </w:p>
    <w:p>
      <w:pPr>
        <w:pStyle w:val="BodyText"/>
        <w:tabs>
          <w:tab w:pos="8175" w:val="left" w:leader="dot"/>
        </w:tabs>
        <w:spacing w:before="24"/>
        <w:ind w:left="1080"/>
        <w:rPr>
          <w:rFonts w:ascii="Times New Roman" w:eastAsia="Times New Roman"/>
        </w:rPr>
      </w:pPr>
      <w:r>
        <w:rPr/>
        <w:t>一、再審議制度之屬性及功能</w:t>
      </w:r>
      <w:r>
        <w:rPr>
          <w:rFonts w:ascii="Times New Roman" w:eastAsia="Times New Roman"/>
        </w:rPr>
        <w:tab/>
        <w:t>24</w:t>
      </w:r>
    </w:p>
    <w:p>
      <w:pPr>
        <w:pStyle w:val="BodyText"/>
        <w:tabs>
          <w:tab w:pos="8175" w:val="left" w:leader="dot"/>
        </w:tabs>
        <w:spacing w:before="24"/>
        <w:ind w:left="1080"/>
        <w:rPr>
          <w:rFonts w:ascii="Times New Roman" w:eastAsia="Times New Roman"/>
        </w:rPr>
      </w:pPr>
      <w:r>
        <w:rPr/>
        <w:t>二、再審議程序作為再申訴事件補救管道</w:t>
      </w:r>
      <w:r>
        <w:rPr>
          <w:rFonts w:ascii="Times New Roman" w:eastAsia="Times New Roman"/>
        </w:rPr>
        <w:tab/>
        <w:t>24</w:t>
      </w:r>
    </w:p>
    <w:p>
      <w:pPr>
        <w:pStyle w:val="BodyText"/>
        <w:tabs>
          <w:tab w:pos="8175" w:val="left" w:leader="dot"/>
        </w:tabs>
        <w:spacing w:before="25"/>
        <w:ind w:left="1560"/>
        <w:rPr>
          <w:rFonts w:ascii="Times New Roman" w:eastAsia="Times New Roman"/>
        </w:rPr>
      </w:pPr>
      <w:r>
        <w:rPr/>
        <w:t>（一）適用再審議程序之優點</w:t>
      </w:r>
      <w:r>
        <w:rPr>
          <w:rFonts w:ascii="Times New Roman" w:eastAsia="Times New Roman"/>
        </w:rPr>
        <w:tab/>
        <w:t>25</w:t>
      </w:r>
    </w:p>
    <w:p>
      <w:pPr>
        <w:pStyle w:val="ListParagraph"/>
        <w:numPr>
          <w:ilvl w:val="0"/>
          <w:numId w:val="1"/>
        </w:numPr>
        <w:tabs>
          <w:tab w:pos="2340" w:val="left" w:leader="none"/>
          <w:tab w:pos="8175" w:val="left" w:leader="dot"/>
        </w:tabs>
        <w:spacing w:line="240" w:lineRule="auto" w:before="24" w:after="0"/>
        <w:ind w:left="2340" w:right="0" w:hanging="300"/>
        <w:jc w:val="left"/>
        <w:rPr>
          <w:rFonts w:ascii="Times New Roman" w:eastAsia="Times New Roman"/>
          <w:sz w:val="24"/>
        </w:rPr>
      </w:pPr>
      <w:r>
        <w:rPr>
          <w:sz w:val="24"/>
        </w:rPr>
        <w:t>再申訴者權益之維護</w:t>
      </w:r>
      <w:r>
        <w:rPr>
          <w:rFonts w:ascii="Times New Roman" w:eastAsia="Times New Roman"/>
          <w:sz w:val="24"/>
        </w:rPr>
        <w:tab/>
        <w:t>25</w:t>
      </w:r>
    </w:p>
    <w:p>
      <w:pPr>
        <w:pStyle w:val="ListParagraph"/>
        <w:numPr>
          <w:ilvl w:val="0"/>
          <w:numId w:val="1"/>
        </w:numPr>
        <w:tabs>
          <w:tab w:pos="2340" w:val="left" w:leader="none"/>
          <w:tab w:pos="8175" w:val="left" w:leader="dot"/>
        </w:tabs>
        <w:spacing w:line="240" w:lineRule="auto" w:before="24" w:after="0"/>
        <w:ind w:left="2340" w:right="0" w:hanging="300"/>
        <w:jc w:val="left"/>
        <w:rPr>
          <w:rFonts w:ascii="Times New Roman" w:eastAsia="Times New Roman"/>
          <w:sz w:val="24"/>
        </w:rPr>
      </w:pPr>
      <w:r>
        <w:rPr>
          <w:sz w:val="24"/>
        </w:rPr>
        <w:t>依法行政原則之要求</w:t>
      </w:r>
      <w:r>
        <w:rPr>
          <w:rFonts w:ascii="Times New Roman" w:eastAsia="Times New Roman"/>
          <w:sz w:val="24"/>
        </w:rPr>
        <w:tab/>
        <w:t>25</w:t>
      </w:r>
    </w:p>
    <w:p>
      <w:pPr>
        <w:pStyle w:val="ListParagraph"/>
        <w:numPr>
          <w:ilvl w:val="0"/>
          <w:numId w:val="1"/>
        </w:numPr>
        <w:tabs>
          <w:tab w:pos="2340" w:val="left" w:leader="none"/>
          <w:tab w:pos="8175" w:val="left" w:leader="dot"/>
        </w:tabs>
        <w:spacing w:line="240" w:lineRule="auto" w:before="25" w:after="0"/>
        <w:ind w:left="2340" w:right="0" w:hanging="300"/>
        <w:jc w:val="left"/>
        <w:rPr>
          <w:rFonts w:ascii="Times New Roman" w:eastAsia="Times New Roman"/>
          <w:sz w:val="24"/>
        </w:rPr>
      </w:pPr>
      <w:r>
        <w:rPr>
          <w:sz w:val="24"/>
        </w:rPr>
        <w:t>公務人員救濟體系之一貫性</w:t>
      </w:r>
      <w:r>
        <w:rPr>
          <w:rFonts w:ascii="Times New Roman" w:eastAsia="Times New Roman"/>
          <w:sz w:val="24"/>
        </w:rPr>
        <w:tab/>
        <w:t>25</w:t>
      </w:r>
    </w:p>
    <w:p>
      <w:pPr>
        <w:pStyle w:val="BodyText"/>
        <w:tabs>
          <w:tab w:pos="8175" w:val="left" w:leader="dot"/>
        </w:tabs>
        <w:spacing w:before="24"/>
        <w:ind w:left="1560"/>
        <w:rPr>
          <w:rFonts w:ascii="Times New Roman" w:eastAsia="Times New Roman"/>
        </w:rPr>
      </w:pPr>
      <w:r>
        <w:rPr/>
        <w:t>（二）適用再審議制度之可能招致之質疑</w:t>
      </w:r>
      <w:r>
        <w:rPr>
          <w:rFonts w:ascii="Times New Roman" w:eastAsia="Times New Roman"/>
        </w:rPr>
        <w:tab/>
        <w:t>26</w:t>
      </w:r>
    </w:p>
    <w:p>
      <w:pPr>
        <w:pStyle w:val="ListParagraph"/>
        <w:numPr>
          <w:ilvl w:val="0"/>
          <w:numId w:val="2"/>
        </w:numPr>
        <w:tabs>
          <w:tab w:pos="2340" w:val="left" w:leader="none"/>
          <w:tab w:pos="8175" w:val="left" w:leader="dot"/>
        </w:tabs>
        <w:spacing w:line="240" w:lineRule="auto" w:before="25" w:after="0"/>
        <w:ind w:left="2340" w:right="0" w:hanging="300"/>
        <w:jc w:val="left"/>
        <w:rPr>
          <w:rFonts w:ascii="Times New Roman" w:eastAsia="Times New Roman"/>
          <w:sz w:val="24"/>
        </w:rPr>
      </w:pPr>
      <w:r>
        <w:rPr>
          <w:sz w:val="24"/>
        </w:rPr>
        <w:t>救濟程序的不經濟性</w:t>
      </w:r>
      <w:r>
        <w:rPr>
          <w:rFonts w:ascii="Times New Roman" w:eastAsia="Times New Roman"/>
          <w:sz w:val="24"/>
        </w:rPr>
        <w:tab/>
        <w:t>26</w:t>
      </w:r>
    </w:p>
    <w:p>
      <w:pPr>
        <w:pStyle w:val="ListParagraph"/>
        <w:numPr>
          <w:ilvl w:val="0"/>
          <w:numId w:val="2"/>
        </w:numPr>
        <w:tabs>
          <w:tab w:pos="2340" w:val="left" w:leader="none"/>
          <w:tab w:pos="8175" w:val="left" w:leader="dot"/>
        </w:tabs>
        <w:spacing w:line="240" w:lineRule="auto" w:before="24" w:after="0"/>
        <w:ind w:left="2340" w:right="0" w:hanging="300"/>
        <w:jc w:val="left"/>
        <w:rPr>
          <w:rFonts w:ascii="Times New Roman" w:eastAsia="Times New Roman"/>
          <w:sz w:val="24"/>
        </w:rPr>
      </w:pPr>
      <w:r>
        <w:rPr>
          <w:sz w:val="24"/>
        </w:rPr>
        <w:t>再審議制度係立法形成自由</w:t>
      </w:r>
      <w:r>
        <w:rPr>
          <w:rFonts w:ascii="Times New Roman" w:eastAsia="Times New Roman"/>
          <w:sz w:val="24"/>
        </w:rPr>
        <w:tab/>
        <w:t>27</w:t>
      </w:r>
    </w:p>
    <w:p>
      <w:pPr>
        <w:pStyle w:val="BodyText"/>
        <w:tabs>
          <w:tab w:pos="8175" w:val="left" w:leader="dot"/>
        </w:tabs>
        <w:spacing w:before="24"/>
        <w:ind w:left="1560"/>
        <w:rPr>
          <w:rFonts w:ascii="Times New Roman" w:eastAsia="Times New Roman"/>
        </w:rPr>
      </w:pPr>
      <w:r>
        <w:rPr/>
        <w:t>（三）本文見解</w:t>
      </w:r>
      <w:r>
        <w:rPr>
          <w:rFonts w:ascii="Times New Roman" w:eastAsia="Times New Roman"/>
        </w:rPr>
        <w:tab/>
        <w:t>27</w:t>
      </w:r>
    </w:p>
    <w:p>
      <w:pPr>
        <w:pStyle w:val="BodyText"/>
        <w:tabs>
          <w:tab w:pos="1559" w:val="left" w:leader="none"/>
          <w:tab w:pos="8175" w:val="left" w:leader="dot"/>
        </w:tabs>
        <w:spacing w:before="25"/>
        <w:ind w:left="600"/>
        <w:rPr>
          <w:rFonts w:ascii="Times New Roman" w:eastAsia="Times New Roman"/>
        </w:rPr>
      </w:pPr>
      <w:r>
        <w:rPr/>
        <w:t>第三節</w:t>
        <w:tab/>
        <w:t>小結</w:t>
      </w:r>
      <w:r>
        <w:rPr>
          <w:rFonts w:ascii="Times New Roman" w:eastAsia="Times New Roman"/>
        </w:rPr>
        <w:tab/>
        <w:t>28</w:t>
      </w:r>
    </w:p>
    <w:p>
      <w:pPr>
        <w:pStyle w:val="BodyText"/>
        <w:tabs>
          <w:tab w:pos="8175" w:val="left" w:leader="dot"/>
        </w:tabs>
        <w:spacing w:before="24"/>
        <w:ind w:left="120"/>
        <w:rPr>
          <w:rFonts w:ascii="Times New Roman" w:eastAsia="Times New Roman"/>
        </w:rPr>
      </w:pPr>
      <w:r>
        <w:rPr/>
        <w:t>第三章</w:t>
      </w:r>
      <w:r>
        <w:rPr>
          <w:spacing w:val="57"/>
        </w:rPr>
        <w:t> </w:t>
      </w:r>
      <w:r>
        <w:rPr/>
        <w:t>調處制度擴大適用於復審事件之可行性</w:t>
      </w:r>
      <w:r>
        <w:rPr>
          <w:rFonts w:ascii="Times New Roman" w:eastAsia="Times New Roman"/>
        </w:rPr>
        <w:tab/>
        <w:t>30</w:t>
      </w:r>
    </w:p>
    <w:p>
      <w:pPr>
        <w:pStyle w:val="BodyText"/>
        <w:tabs>
          <w:tab w:pos="1559" w:val="left" w:leader="none"/>
          <w:tab w:pos="8175" w:val="left" w:leader="dot"/>
        </w:tabs>
        <w:spacing w:before="24"/>
        <w:ind w:left="600"/>
        <w:rPr>
          <w:rFonts w:ascii="Times New Roman" w:eastAsia="Times New Roman"/>
        </w:rPr>
      </w:pPr>
      <w:r>
        <w:rPr/>
        <w:t>第一節</w:t>
        <w:tab/>
        <w:t>調處制度之外國立法例</w:t>
      </w:r>
      <w:r>
        <w:rPr>
          <w:rFonts w:ascii="Times New Roman" w:eastAsia="Times New Roman"/>
        </w:rPr>
        <w:tab/>
        <w:t>30</w:t>
      </w:r>
    </w:p>
    <w:p>
      <w:pPr>
        <w:pStyle w:val="BodyText"/>
        <w:tabs>
          <w:tab w:pos="8175" w:val="left" w:leader="dot"/>
        </w:tabs>
        <w:spacing w:before="25"/>
        <w:ind w:left="1080"/>
        <w:rPr>
          <w:rFonts w:ascii="Times New Roman" w:eastAsia="Times New Roman"/>
        </w:rPr>
      </w:pPr>
      <w:r>
        <w:rPr/>
        <w:t>一、日本之調處制度</w:t>
      </w:r>
      <w:r>
        <w:rPr>
          <w:rFonts w:ascii="Times New Roman" w:eastAsia="Times New Roman"/>
        </w:rPr>
        <w:tab/>
        <w:t>30</w:t>
      </w:r>
    </w:p>
    <w:p>
      <w:pPr>
        <w:pStyle w:val="BodyText"/>
        <w:tabs>
          <w:tab w:pos="8175" w:val="left" w:leader="dot"/>
        </w:tabs>
        <w:spacing w:before="24"/>
        <w:ind w:left="1080"/>
        <w:rPr>
          <w:rFonts w:ascii="Times New Roman" w:eastAsia="Times New Roman"/>
        </w:rPr>
      </w:pPr>
      <w:r>
        <w:rPr/>
        <w:t>二、加拿大之調處制度</w:t>
      </w:r>
      <w:r>
        <w:rPr>
          <w:rFonts w:ascii="Times New Roman" w:eastAsia="Times New Roman"/>
        </w:rPr>
        <w:tab/>
        <w:t>31</w:t>
      </w:r>
    </w:p>
    <w:p>
      <w:pPr>
        <w:pStyle w:val="BodyText"/>
        <w:tabs>
          <w:tab w:pos="8175" w:val="left" w:leader="dot"/>
        </w:tabs>
        <w:spacing w:before="25"/>
        <w:ind w:left="1080"/>
        <w:rPr>
          <w:rFonts w:ascii="Times New Roman" w:eastAsia="Times New Roman"/>
        </w:rPr>
      </w:pPr>
      <w:r>
        <w:rPr/>
        <w:t>三、澳大利亞之調處制度</w:t>
      </w:r>
      <w:r>
        <w:rPr>
          <w:rFonts w:ascii="Times New Roman" w:eastAsia="Times New Roman"/>
        </w:rPr>
        <w:tab/>
        <w:t>32</w:t>
      </w:r>
    </w:p>
    <w:p>
      <w:pPr>
        <w:spacing w:after="0"/>
        <w:rPr>
          <w:rFonts w:ascii="Times New Roman" w:eastAsia="Times New Roman"/>
        </w:rPr>
        <w:sectPr>
          <w:pgSz w:w="11910" w:h="16840"/>
          <w:pgMar w:header="0" w:footer="1019" w:top="1560" w:bottom="1200" w:left="1680" w:right="1520"/>
        </w:sectPr>
      </w:pPr>
    </w:p>
    <w:sdt>
      <w:sdtPr>
        <w:docPartObj>
          <w:docPartGallery w:val="Table of Contents"/>
          <w:docPartUnique/>
        </w:docPartObj>
      </w:sdtPr>
      <w:sdtEndPr/>
      <w:sdtContent>
        <w:p>
          <w:pPr>
            <w:pStyle w:val="TOC2"/>
            <w:tabs>
              <w:tab w:pos="8415" w:val="right" w:leader="dot"/>
            </w:tabs>
            <w:spacing w:before="52"/>
            <w:rPr>
              <w:rFonts w:ascii="Times New Roman" w:eastAsia="Times New Roman"/>
            </w:rPr>
          </w:pPr>
          <w:hyperlink w:history="true" w:anchor="_TOC_250038">
            <w:r>
              <w:rPr/>
              <w:t>第二節</w:t>
            </w:r>
            <w:r>
              <w:rPr>
                <w:spacing w:val="57"/>
              </w:rPr>
              <w:t> </w:t>
            </w:r>
            <w:r>
              <w:rPr/>
              <w:t>我國保障法中調處制度之分析</w:t>
            </w:r>
            <w:r>
              <w:rPr>
                <w:rFonts w:ascii="Times New Roman" w:eastAsia="Times New Roman"/>
              </w:rPr>
              <w:tab/>
              <w:t>34</w:t>
            </w:r>
          </w:hyperlink>
        </w:p>
        <w:p>
          <w:pPr>
            <w:pStyle w:val="TOC3"/>
            <w:tabs>
              <w:tab w:pos="8415" w:val="right" w:leader="dot"/>
            </w:tabs>
            <w:rPr>
              <w:rFonts w:ascii="Times New Roman" w:eastAsia="Times New Roman"/>
            </w:rPr>
          </w:pPr>
          <w:hyperlink w:history="true" w:anchor="_TOC_250037">
            <w:r>
              <w:rPr/>
              <w:t>一、調處制度之內涵</w:t>
            </w:r>
            <w:r>
              <w:rPr>
                <w:rFonts w:ascii="Times New Roman" w:eastAsia="Times New Roman"/>
              </w:rPr>
              <w:tab/>
              <w:t>34</w:t>
            </w:r>
          </w:hyperlink>
        </w:p>
        <w:p>
          <w:pPr>
            <w:pStyle w:val="TOC4"/>
            <w:tabs>
              <w:tab w:pos="8415" w:val="right" w:leader="dot"/>
            </w:tabs>
            <w:rPr>
              <w:rFonts w:ascii="Times New Roman" w:eastAsia="Times New Roman"/>
            </w:rPr>
          </w:pPr>
          <w:hyperlink w:history="true" w:anchor="_TOC_250036">
            <w:r>
              <w:rPr/>
              <w:t>（一）調處制度之功能及其運作方式</w:t>
            </w:r>
            <w:r>
              <w:rPr>
                <w:rFonts w:ascii="Times New Roman" w:eastAsia="Times New Roman"/>
              </w:rPr>
              <w:tab/>
              <w:t>34</w:t>
            </w:r>
          </w:hyperlink>
        </w:p>
        <w:p>
          <w:pPr>
            <w:pStyle w:val="TOC4"/>
            <w:tabs>
              <w:tab w:pos="8415" w:val="right" w:leader="dot"/>
            </w:tabs>
            <w:spacing w:before="25"/>
            <w:rPr>
              <w:rFonts w:ascii="Times New Roman" w:eastAsia="Times New Roman"/>
            </w:rPr>
          </w:pPr>
          <w:hyperlink w:history="true" w:anchor="_TOC_250035">
            <w:r>
              <w:rPr/>
              <w:t>（二）現行調處制度之運作模式</w:t>
            </w:r>
            <w:r>
              <w:rPr>
                <w:rFonts w:ascii="Times New Roman" w:eastAsia="Times New Roman"/>
              </w:rPr>
              <w:tab/>
              <w:t>35</w:t>
            </w:r>
          </w:hyperlink>
        </w:p>
        <w:p>
          <w:pPr>
            <w:pStyle w:val="TOC5"/>
            <w:numPr>
              <w:ilvl w:val="0"/>
              <w:numId w:val="3"/>
            </w:numPr>
            <w:tabs>
              <w:tab w:pos="2340" w:val="left" w:leader="none"/>
              <w:tab w:pos="8415" w:val="right" w:leader="dot"/>
            </w:tabs>
            <w:spacing w:line="240" w:lineRule="auto" w:before="24" w:after="0"/>
            <w:ind w:left="2340" w:right="0" w:hanging="300"/>
            <w:jc w:val="left"/>
            <w:rPr>
              <w:rFonts w:ascii="Times New Roman" w:eastAsia="Times New Roman"/>
            </w:rPr>
          </w:pPr>
          <w:r>
            <w:rPr/>
            <w:t>調處程序之發動</w:t>
          </w:r>
          <w:r>
            <w:rPr>
              <w:rFonts w:ascii="Times New Roman" w:eastAsia="Times New Roman"/>
            </w:rPr>
            <w:tab/>
            <w:t>35</w:t>
          </w:r>
        </w:p>
        <w:p>
          <w:pPr>
            <w:pStyle w:val="TOC5"/>
            <w:numPr>
              <w:ilvl w:val="0"/>
              <w:numId w:val="3"/>
            </w:numPr>
            <w:tabs>
              <w:tab w:pos="2340" w:val="left" w:leader="none"/>
              <w:tab w:pos="8415" w:val="right" w:leader="dot"/>
            </w:tabs>
            <w:spacing w:line="240" w:lineRule="auto" w:before="25" w:after="0"/>
            <w:ind w:left="2340" w:right="0" w:hanging="300"/>
            <w:jc w:val="left"/>
            <w:rPr>
              <w:rFonts w:ascii="Times New Roman" w:eastAsia="Times New Roman"/>
            </w:rPr>
          </w:pPr>
          <w:r>
            <w:rPr/>
            <w:t>調處程序之審理</w:t>
          </w:r>
          <w:r>
            <w:rPr>
              <w:rFonts w:ascii="Times New Roman" w:eastAsia="Times New Roman"/>
            </w:rPr>
            <w:tab/>
            <w:t>36</w:t>
          </w:r>
        </w:p>
        <w:p>
          <w:pPr>
            <w:pStyle w:val="TOC4"/>
            <w:tabs>
              <w:tab w:pos="8415" w:val="right" w:leader="dot"/>
            </w:tabs>
            <w:rPr>
              <w:rFonts w:ascii="Times New Roman" w:eastAsia="Times New Roman"/>
            </w:rPr>
          </w:pPr>
          <w:hyperlink w:history="true" w:anchor="_TOC_250034">
            <w:r>
              <w:rPr/>
              <w:t>（三）調處制度之運作實況</w:t>
            </w:r>
            <w:r>
              <w:rPr>
                <w:rFonts w:ascii="Times New Roman" w:eastAsia="Times New Roman"/>
              </w:rPr>
              <w:tab/>
              <w:t>36</w:t>
            </w:r>
          </w:hyperlink>
        </w:p>
        <w:p>
          <w:pPr>
            <w:pStyle w:val="TOC3"/>
            <w:tabs>
              <w:tab w:pos="8415" w:val="right" w:leader="dot"/>
            </w:tabs>
            <w:rPr>
              <w:rFonts w:ascii="Times New Roman" w:eastAsia="Times New Roman"/>
            </w:rPr>
          </w:pPr>
          <w:hyperlink w:history="true" w:anchor="_TOC_250033">
            <w:r>
              <w:rPr/>
              <w:t>二、調處與行政法上和解制度之比較</w:t>
            </w:r>
            <w:r>
              <w:rPr>
                <w:rFonts w:ascii="Times New Roman" w:eastAsia="Times New Roman"/>
              </w:rPr>
              <w:tab/>
              <w:t>37</w:t>
            </w:r>
          </w:hyperlink>
        </w:p>
        <w:p>
          <w:pPr>
            <w:pStyle w:val="TOC4"/>
            <w:tabs>
              <w:tab w:pos="8415" w:val="right" w:leader="dot"/>
            </w:tabs>
            <w:spacing w:before="25"/>
            <w:rPr>
              <w:rFonts w:ascii="Times New Roman" w:eastAsia="Times New Roman"/>
            </w:rPr>
          </w:pPr>
          <w:hyperlink w:history="true" w:anchor="_TOC_250032">
            <w:r>
              <w:rPr/>
              <w:t>（一）再申訴事件調處成立之法律性質及其容許性要件</w:t>
            </w:r>
            <w:r>
              <w:rPr>
                <w:rFonts w:ascii="Times New Roman" w:eastAsia="Times New Roman"/>
              </w:rPr>
              <w:tab/>
              <w:t>37</w:t>
            </w:r>
          </w:hyperlink>
        </w:p>
        <w:p>
          <w:pPr>
            <w:pStyle w:val="TOC5"/>
            <w:numPr>
              <w:ilvl w:val="0"/>
              <w:numId w:val="4"/>
            </w:numPr>
            <w:tabs>
              <w:tab w:pos="2340" w:val="left" w:leader="none"/>
              <w:tab w:pos="8415" w:val="right" w:leader="dot"/>
            </w:tabs>
            <w:spacing w:line="240" w:lineRule="auto" w:before="24" w:after="0"/>
            <w:ind w:left="2340" w:right="0" w:hanging="300"/>
            <w:jc w:val="left"/>
            <w:rPr>
              <w:rFonts w:ascii="Times New Roman" w:eastAsia="Times New Roman"/>
            </w:rPr>
          </w:pPr>
          <w:r>
            <w:rPr/>
            <w:t>再申訴事件中調處成立之法律性質</w:t>
          </w:r>
          <w:r>
            <w:rPr>
              <w:rFonts w:ascii="Times New Roman" w:eastAsia="Times New Roman"/>
            </w:rPr>
            <w:tab/>
            <w:t>37</w:t>
          </w:r>
        </w:p>
        <w:p>
          <w:pPr>
            <w:pStyle w:val="TOC5"/>
            <w:numPr>
              <w:ilvl w:val="0"/>
              <w:numId w:val="4"/>
            </w:numPr>
            <w:tabs>
              <w:tab w:pos="2340" w:val="left" w:leader="none"/>
              <w:tab w:pos="8415" w:val="right" w:leader="dot"/>
            </w:tabs>
            <w:spacing w:line="240" w:lineRule="auto" w:before="24" w:after="0"/>
            <w:ind w:left="2340" w:right="0" w:hanging="300"/>
            <w:jc w:val="left"/>
            <w:rPr>
              <w:rFonts w:ascii="Times New Roman" w:eastAsia="Times New Roman"/>
            </w:rPr>
          </w:pPr>
          <w:r>
            <w:rPr/>
            <w:t>再申訴事件調處成立之合法性要件</w:t>
          </w:r>
          <w:r>
            <w:rPr>
              <w:rFonts w:ascii="Times New Roman" w:eastAsia="Times New Roman"/>
            </w:rPr>
            <w:tab/>
            <w:t>38</w:t>
          </w:r>
        </w:p>
        <w:p>
          <w:pPr>
            <w:pStyle w:val="TOC4"/>
            <w:tabs>
              <w:tab w:pos="8415" w:val="right" w:leader="dot"/>
            </w:tabs>
            <w:spacing w:before="25"/>
            <w:rPr>
              <w:rFonts w:ascii="Times New Roman" w:eastAsia="Times New Roman"/>
            </w:rPr>
          </w:pPr>
          <w:hyperlink w:history="true" w:anchor="_TOC_250031">
            <w:r>
              <w:rPr/>
              <w:t>（二）行政法上和解之性質及其合法性要件</w:t>
            </w:r>
            <w:r>
              <w:rPr>
                <w:rFonts w:ascii="Times New Roman" w:eastAsia="Times New Roman"/>
              </w:rPr>
              <w:tab/>
              <w:t>39</w:t>
            </w:r>
          </w:hyperlink>
        </w:p>
        <w:p>
          <w:pPr>
            <w:pStyle w:val="TOC5"/>
            <w:numPr>
              <w:ilvl w:val="0"/>
              <w:numId w:val="5"/>
            </w:numPr>
            <w:tabs>
              <w:tab w:pos="2340" w:val="left" w:leader="none"/>
              <w:tab w:pos="8415" w:val="right" w:leader="dot"/>
            </w:tabs>
            <w:spacing w:line="240" w:lineRule="auto" w:before="24" w:after="0"/>
            <w:ind w:left="2340" w:right="0" w:hanging="300"/>
            <w:jc w:val="left"/>
            <w:rPr>
              <w:rFonts w:ascii="Times New Roman" w:eastAsia="Times New Roman"/>
            </w:rPr>
          </w:pPr>
          <w:r>
            <w:rPr/>
            <w:t>行政程序法第</w:t>
          </w:r>
          <w:r>
            <w:rPr>
              <w:spacing w:val="-3"/>
            </w:rPr>
            <w:t> </w:t>
          </w:r>
          <w:r>
            <w:rPr>
              <w:rFonts w:ascii="Times New Roman" w:eastAsia="Times New Roman"/>
            </w:rPr>
            <w:t>136 </w:t>
          </w:r>
          <w:r>
            <w:rPr/>
            <w:t>條和解契約之性質及其合法性要件</w:t>
          </w:r>
          <w:r>
            <w:rPr>
              <w:rFonts w:ascii="Times New Roman" w:eastAsia="Times New Roman"/>
            </w:rPr>
            <w:tab/>
            <w:t>39</w:t>
          </w:r>
        </w:p>
        <w:p>
          <w:pPr>
            <w:pStyle w:val="TOC5"/>
            <w:numPr>
              <w:ilvl w:val="0"/>
              <w:numId w:val="5"/>
            </w:numPr>
            <w:tabs>
              <w:tab w:pos="2340" w:val="left" w:leader="none"/>
              <w:tab w:pos="8415" w:val="right" w:leader="dot"/>
            </w:tabs>
            <w:spacing w:line="240" w:lineRule="auto" w:before="25" w:after="0"/>
            <w:ind w:left="2340" w:right="0" w:hanging="300"/>
            <w:jc w:val="left"/>
            <w:rPr>
              <w:rFonts w:ascii="Times New Roman" w:eastAsia="Times New Roman"/>
            </w:rPr>
          </w:pPr>
          <w:r>
            <w:rPr/>
            <w:t>行政訴訟法上第</w:t>
          </w:r>
          <w:r>
            <w:rPr>
              <w:spacing w:val="-3"/>
            </w:rPr>
            <w:t> </w:t>
          </w:r>
          <w:r>
            <w:rPr>
              <w:rFonts w:ascii="Times New Roman" w:eastAsia="Times New Roman"/>
            </w:rPr>
            <w:t>219 </w:t>
          </w:r>
          <w:r>
            <w:rPr/>
            <w:t>條和解制度之性質及其容許性</w:t>
          </w:r>
          <w:r>
            <w:rPr>
              <w:rFonts w:ascii="Times New Roman" w:eastAsia="Times New Roman"/>
            </w:rPr>
            <w:tab/>
            <w:t>41</w:t>
          </w:r>
        </w:p>
        <w:p>
          <w:pPr>
            <w:pStyle w:val="TOC2"/>
            <w:tabs>
              <w:tab w:pos="8415" w:val="right" w:leader="dot"/>
            </w:tabs>
            <w:rPr>
              <w:rFonts w:ascii="Times New Roman" w:eastAsia="Times New Roman"/>
            </w:rPr>
          </w:pPr>
          <w:hyperlink w:history="true" w:anchor="_TOC_250030">
            <w:r>
              <w:rPr/>
              <w:t>第三節</w:t>
            </w:r>
            <w:r>
              <w:rPr>
                <w:spacing w:val="57"/>
              </w:rPr>
              <w:t> </w:t>
            </w:r>
            <w:r>
              <w:rPr/>
              <w:t>調處制度作為復審程序爭議解決管道之妥當性</w:t>
            </w:r>
            <w:r>
              <w:rPr>
                <w:rFonts w:ascii="Times New Roman" w:eastAsia="Times New Roman"/>
              </w:rPr>
              <w:tab/>
              <w:t>44</w:t>
            </w:r>
          </w:hyperlink>
        </w:p>
        <w:p>
          <w:pPr>
            <w:pStyle w:val="TOC3"/>
            <w:tabs>
              <w:tab w:pos="8415" w:val="right" w:leader="dot"/>
            </w:tabs>
            <w:rPr>
              <w:rFonts w:ascii="Times New Roman" w:eastAsia="Times New Roman"/>
            </w:rPr>
          </w:pPr>
          <w:hyperlink w:history="true" w:anchor="_TOC_250029">
            <w:r>
              <w:rPr/>
              <w:t>一、保障法上調處成立與行政程序法及行政訴訟法上和解之異同</w:t>
            </w:r>
            <w:r>
              <w:rPr>
                <w:rFonts w:ascii="Times New Roman" w:eastAsia="Times New Roman"/>
              </w:rPr>
              <w:tab/>
              <w:t>44</w:t>
            </w:r>
          </w:hyperlink>
        </w:p>
        <w:p>
          <w:pPr>
            <w:pStyle w:val="TOC3"/>
            <w:tabs>
              <w:tab w:pos="8415" w:val="right" w:leader="dot"/>
            </w:tabs>
            <w:spacing w:before="25"/>
            <w:rPr>
              <w:rFonts w:ascii="Times New Roman" w:eastAsia="Times New Roman"/>
            </w:rPr>
          </w:pPr>
          <w:r>
            <w:rPr/>
            <w:t>二、針對復審事件進行調處程序之容許性及其範圍</w:t>
          </w:r>
          <w:r>
            <w:rPr>
              <w:rFonts w:ascii="Times New Roman" w:eastAsia="Times New Roman"/>
            </w:rPr>
            <w:tab/>
            <w:t>45</w:t>
          </w:r>
        </w:p>
        <w:p>
          <w:pPr>
            <w:pStyle w:val="TOC4"/>
            <w:tabs>
              <w:tab w:pos="8415" w:val="right" w:leader="dot"/>
            </w:tabs>
            <w:rPr>
              <w:rFonts w:ascii="Times New Roman" w:eastAsia="Times New Roman"/>
            </w:rPr>
          </w:pPr>
          <w:hyperlink w:history="true" w:anchor="_TOC_250028">
            <w:r>
              <w:rPr/>
              <w:t>（一）針對復審事件進行調處程序之容許性</w:t>
            </w:r>
            <w:r>
              <w:rPr>
                <w:rFonts w:ascii="Times New Roman" w:eastAsia="Times New Roman"/>
              </w:rPr>
              <w:tab/>
              <w:t>45</w:t>
            </w:r>
          </w:hyperlink>
        </w:p>
        <w:p>
          <w:pPr>
            <w:pStyle w:val="TOC4"/>
            <w:tabs>
              <w:tab w:pos="8415" w:val="right" w:leader="dot"/>
            </w:tabs>
            <w:rPr>
              <w:rFonts w:ascii="Times New Roman" w:eastAsia="Times New Roman"/>
            </w:rPr>
          </w:pPr>
          <w:hyperlink w:history="true" w:anchor="_TOC_250027">
            <w:r>
              <w:rPr/>
              <w:t>（二）針對復審事件調處成立之範圍</w:t>
            </w:r>
            <w:r>
              <w:rPr>
                <w:rFonts w:ascii="Times New Roman" w:eastAsia="Times New Roman"/>
              </w:rPr>
              <w:tab/>
              <w:t>46</w:t>
            </w:r>
          </w:hyperlink>
        </w:p>
        <w:p>
          <w:pPr>
            <w:pStyle w:val="TOC2"/>
            <w:tabs>
              <w:tab w:pos="1559" w:val="left" w:leader="none"/>
              <w:tab w:pos="8415" w:val="right" w:leader="dot"/>
            </w:tabs>
            <w:spacing w:before="25"/>
            <w:rPr>
              <w:rFonts w:ascii="Times New Roman" w:eastAsia="Times New Roman"/>
            </w:rPr>
          </w:pPr>
          <w:hyperlink w:history="true" w:anchor="_TOC_250026">
            <w:r>
              <w:rPr/>
              <w:t>第四節</w:t>
              <w:tab/>
              <w:t>小結</w:t>
            </w:r>
            <w:r>
              <w:rPr>
                <w:rFonts w:ascii="Times New Roman" w:eastAsia="Times New Roman"/>
              </w:rPr>
              <w:tab/>
              <w:t>47</w:t>
            </w:r>
          </w:hyperlink>
        </w:p>
        <w:p>
          <w:pPr>
            <w:pStyle w:val="TOC1"/>
            <w:tabs>
              <w:tab w:pos="8415" w:val="right" w:leader="dot"/>
            </w:tabs>
            <w:rPr>
              <w:rFonts w:ascii="Times New Roman" w:eastAsia="Times New Roman"/>
            </w:rPr>
          </w:pPr>
          <w:hyperlink w:history="true" w:anchor="_TOC_250025">
            <w:r>
              <w:rPr/>
              <w:t>第四章</w:t>
            </w:r>
            <w:r>
              <w:rPr>
                <w:spacing w:val="57"/>
              </w:rPr>
              <w:t> </w:t>
            </w:r>
            <w:r>
              <w:rPr/>
              <w:t>停止執行適用於公務人員再申訴事件之可行性</w:t>
            </w:r>
            <w:r>
              <w:rPr>
                <w:rFonts w:ascii="Times New Roman" w:eastAsia="Times New Roman"/>
              </w:rPr>
              <w:tab/>
              <w:t>48</w:t>
            </w:r>
          </w:hyperlink>
        </w:p>
        <w:p>
          <w:pPr>
            <w:pStyle w:val="TOC2"/>
            <w:tabs>
              <w:tab w:pos="8415" w:val="right" w:leader="dot"/>
            </w:tabs>
            <w:spacing w:before="25"/>
            <w:rPr>
              <w:rFonts w:ascii="Times New Roman" w:eastAsia="Times New Roman"/>
            </w:rPr>
          </w:pPr>
          <w:hyperlink w:history="true" w:anchor="_TOC_250024">
            <w:r>
              <w:rPr/>
              <w:t>第一節</w:t>
            </w:r>
            <w:r>
              <w:rPr>
                <w:spacing w:val="57"/>
              </w:rPr>
              <w:t> </w:t>
            </w:r>
            <w:r>
              <w:rPr/>
              <w:t>停止執行之概述</w:t>
            </w:r>
            <w:r>
              <w:rPr>
                <w:rFonts w:ascii="Times New Roman" w:eastAsia="Times New Roman"/>
              </w:rPr>
              <w:tab/>
              <w:t>48</w:t>
            </w:r>
          </w:hyperlink>
        </w:p>
        <w:p>
          <w:pPr>
            <w:pStyle w:val="TOC3"/>
            <w:tabs>
              <w:tab w:pos="8415" w:val="right" w:leader="dot"/>
            </w:tabs>
            <w:rPr>
              <w:rFonts w:ascii="Times New Roman" w:eastAsia="Times New Roman"/>
            </w:rPr>
          </w:pPr>
          <w:hyperlink w:history="true" w:anchor="_TOC_250023">
            <w:r>
              <w:rPr/>
              <w:t>一、實定法之規範</w:t>
            </w:r>
            <w:r>
              <w:rPr>
                <w:rFonts w:ascii="Times New Roman" w:eastAsia="Times New Roman"/>
              </w:rPr>
              <w:tab/>
              <w:t>48</w:t>
            </w:r>
          </w:hyperlink>
        </w:p>
        <w:p>
          <w:pPr>
            <w:pStyle w:val="TOC3"/>
            <w:tabs>
              <w:tab w:pos="8415" w:val="right" w:leader="dot"/>
            </w:tabs>
            <w:rPr>
              <w:rFonts w:ascii="Times New Roman" w:eastAsia="Times New Roman"/>
            </w:rPr>
          </w:pPr>
          <w:hyperlink w:history="true" w:anchor="_TOC_250022">
            <w:r>
              <w:rPr/>
              <w:t>二、規範功能與目的</w:t>
            </w:r>
            <w:r>
              <w:rPr>
                <w:rFonts w:ascii="Times New Roman" w:eastAsia="Times New Roman"/>
              </w:rPr>
              <w:tab/>
              <w:t>50</w:t>
            </w:r>
          </w:hyperlink>
        </w:p>
        <w:p>
          <w:pPr>
            <w:pStyle w:val="TOC3"/>
            <w:tabs>
              <w:tab w:pos="8415" w:val="right" w:leader="dot"/>
            </w:tabs>
            <w:spacing w:before="25"/>
            <w:rPr>
              <w:rFonts w:ascii="Times New Roman" w:eastAsia="Times New Roman"/>
            </w:rPr>
          </w:pPr>
          <w:hyperlink w:history="true" w:anchor="_TOC_250021">
            <w:r>
              <w:rPr/>
              <w:t>三、公務人員保障法制中暫時權利保護體系之困境</w:t>
            </w:r>
            <w:r>
              <w:rPr>
                <w:rFonts w:ascii="Times New Roman" w:eastAsia="Times New Roman"/>
              </w:rPr>
              <w:tab/>
              <w:t>51</w:t>
            </w:r>
          </w:hyperlink>
        </w:p>
        <w:p>
          <w:pPr>
            <w:pStyle w:val="TOC2"/>
            <w:tabs>
              <w:tab w:pos="8415" w:val="right" w:leader="dot"/>
            </w:tabs>
            <w:rPr>
              <w:rFonts w:ascii="Times New Roman" w:eastAsia="Times New Roman"/>
            </w:rPr>
          </w:pPr>
          <w:hyperlink w:history="true" w:anchor="_TOC_250020">
            <w:r>
              <w:rPr/>
              <w:t>第二節</w:t>
            </w:r>
            <w:r>
              <w:rPr>
                <w:spacing w:val="57"/>
              </w:rPr>
              <w:t> </w:t>
            </w:r>
            <w:r>
              <w:rPr/>
              <w:t>停止執行適用於再申訴事件之妥當性</w:t>
            </w:r>
            <w:r>
              <w:rPr>
                <w:rFonts w:ascii="Times New Roman" w:eastAsia="Times New Roman"/>
              </w:rPr>
              <w:tab/>
              <w:t>53</w:t>
            </w:r>
          </w:hyperlink>
        </w:p>
        <w:p>
          <w:pPr>
            <w:pStyle w:val="TOC3"/>
            <w:tabs>
              <w:tab w:pos="8415" w:val="right" w:leader="dot"/>
            </w:tabs>
            <w:rPr>
              <w:rFonts w:ascii="Times New Roman" w:eastAsia="Times New Roman"/>
            </w:rPr>
          </w:pPr>
          <w:hyperlink w:history="true" w:anchor="_TOC_250019">
            <w:r>
              <w:rPr/>
              <w:t>一、執行概念之探討</w:t>
            </w:r>
            <w:r>
              <w:rPr>
                <w:rFonts w:ascii="Times New Roman" w:eastAsia="Times New Roman"/>
              </w:rPr>
              <w:tab/>
              <w:t>53</w:t>
            </w:r>
          </w:hyperlink>
        </w:p>
        <w:p>
          <w:pPr>
            <w:pStyle w:val="TOC3"/>
            <w:tabs>
              <w:tab w:pos="8415" w:val="right" w:leader="dot"/>
            </w:tabs>
            <w:spacing w:before="25"/>
            <w:rPr>
              <w:rFonts w:ascii="Times New Roman" w:eastAsia="Times New Roman"/>
            </w:rPr>
          </w:pPr>
          <w:hyperlink w:history="true" w:anchor="_TOC_250018">
            <w:r>
              <w:rPr/>
              <w:t>二、停止執行之標的是否侷限於行政處分</w:t>
            </w:r>
            <w:r>
              <w:rPr>
                <w:rFonts w:ascii="Times New Roman" w:eastAsia="Times New Roman"/>
              </w:rPr>
              <w:tab/>
              <w:t>55</w:t>
            </w:r>
          </w:hyperlink>
        </w:p>
        <w:p>
          <w:pPr>
            <w:pStyle w:val="TOC2"/>
            <w:tabs>
              <w:tab w:pos="8415" w:val="right" w:leader="dot"/>
            </w:tabs>
            <w:rPr>
              <w:rFonts w:ascii="Times New Roman" w:eastAsia="Times New Roman"/>
            </w:rPr>
          </w:pPr>
          <w:hyperlink w:history="true" w:anchor="_TOC_250017">
            <w:r>
              <w:rPr/>
              <w:t>第三節</w:t>
            </w:r>
            <w:r>
              <w:rPr>
                <w:spacing w:val="57"/>
              </w:rPr>
              <w:t> </w:t>
            </w:r>
            <w:r>
              <w:rPr/>
              <w:t>保障法上完整之暫時權利保護</w:t>
            </w:r>
            <w:r>
              <w:rPr>
                <w:rFonts w:ascii="Times New Roman" w:eastAsia="Times New Roman"/>
              </w:rPr>
              <w:tab/>
              <w:t>57</w:t>
            </w:r>
          </w:hyperlink>
        </w:p>
        <w:p>
          <w:pPr>
            <w:pStyle w:val="TOC3"/>
            <w:tabs>
              <w:tab w:pos="8415" w:val="right" w:leader="dot"/>
            </w:tabs>
            <w:spacing w:before="25"/>
            <w:rPr>
              <w:rFonts w:ascii="Times New Roman" w:eastAsia="Times New Roman"/>
            </w:rPr>
          </w:pPr>
          <w:hyperlink w:history="true" w:anchor="_TOC_250016">
            <w:r>
              <w:rPr/>
              <w:t>一、一般行政爭訟法制中的暫時權利保障制度</w:t>
            </w:r>
            <w:r>
              <w:rPr>
                <w:rFonts w:ascii="Times New Roman" w:eastAsia="Times New Roman"/>
              </w:rPr>
              <w:tab/>
              <w:t>57</w:t>
            </w:r>
          </w:hyperlink>
        </w:p>
        <w:p>
          <w:pPr>
            <w:pStyle w:val="TOC3"/>
            <w:tabs>
              <w:tab w:pos="8415" w:val="right" w:leader="dot"/>
            </w:tabs>
            <w:rPr>
              <w:rFonts w:ascii="Times New Roman" w:eastAsia="Times New Roman"/>
            </w:rPr>
          </w:pPr>
          <w:hyperlink w:history="true" w:anchor="_TOC_250015">
            <w:r>
              <w:rPr/>
              <w:t>二、停止執行與假處分在制度上之關係</w:t>
            </w:r>
            <w:r>
              <w:rPr>
                <w:rFonts w:ascii="Times New Roman" w:eastAsia="Times New Roman"/>
              </w:rPr>
              <w:tab/>
              <w:t>57</w:t>
            </w:r>
          </w:hyperlink>
        </w:p>
        <w:p>
          <w:pPr>
            <w:pStyle w:val="TOC3"/>
            <w:tabs>
              <w:tab w:pos="8415" w:val="right" w:leader="dot"/>
            </w:tabs>
            <w:rPr>
              <w:rFonts w:ascii="Times New Roman" w:eastAsia="Times New Roman"/>
            </w:rPr>
          </w:pPr>
          <w:hyperlink w:history="true" w:anchor="_TOC_250014">
            <w:r>
              <w:rPr/>
              <w:t>三、請求事件在保障程序中之暫時權利保護</w:t>
            </w:r>
            <w:r>
              <w:rPr>
                <w:rFonts w:ascii="Times New Roman" w:eastAsia="Times New Roman"/>
              </w:rPr>
              <w:tab/>
              <w:t>58</w:t>
            </w:r>
          </w:hyperlink>
        </w:p>
        <w:p>
          <w:pPr>
            <w:pStyle w:val="TOC3"/>
            <w:tabs>
              <w:tab w:pos="8415" w:val="right" w:leader="dot"/>
            </w:tabs>
            <w:spacing w:before="25"/>
            <w:rPr>
              <w:rFonts w:ascii="Times New Roman" w:eastAsia="Times New Roman"/>
            </w:rPr>
          </w:pPr>
          <w:hyperlink w:history="true" w:anchor="_TOC_250013">
            <w:r>
              <w:rPr/>
              <w:t>四、立法上之建議</w:t>
            </w:r>
            <w:r>
              <w:rPr>
                <w:rFonts w:ascii="Times New Roman" w:eastAsia="Times New Roman"/>
              </w:rPr>
              <w:tab/>
              <w:t>59</w:t>
            </w:r>
          </w:hyperlink>
        </w:p>
        <w:p>
          <w:pPr>
            <w:pStyle w:val="TOC2"/>
            <w:tabs>
              <w:tab w:pos="8415" w:val="right" w:leader="dot"/>
            </w:tabs>
            <w:rPr>
              <w:rFonts w:ascii="Times New Roman" w:eastAsia="Times New Roman"/>
            </w:rPr>
          </w:pPr>
          <w:hyperlink w:history="true" w:anchor="_TOC_250012">
            <w:r>
              <w:rPr/>
              <w:t>第四節</w:t>
            </w:r>
            <w:r>
              <w:rPr>
                <w:spacing w:val="57"/>
              </w:rPr>
              <w:t> </w:t>
            </w:r>
            <w:r>
              <w:rPr/>
              <w:t>小結</w:t>
            </w:r>
            <w:r>
              <w:rPr>
                <w:rFonts w:ascii="Times New Roman" w:eastAsia="Times New Roman"/>
              </w:rPr>
              <w:tab/>
              <w:t>59</w:t>
            </w:r>
          </w:hyperlink>
        </w:p>
        <w:p>
          <w:pPr>
            <w:pStyle w:val="TOC1"/>
            <w:tabs>
              <w:tab w:pos="1079" w:val="left" w:leader="none"/>
              <w:tab w:pos="8415" w:val="right" w:leader="dot"/>
            </w:tabs>
            <w:rPr>
              <w:rFonts w:ascii="Times New Roman" w:eastAsia="Times New Roman"/>
            </w:rPr>
          </w:pPr>
          <w:hyperlink w:history="true" w:anchor="_TOC_250011">
            <w:r>
              <w:rPr/>
              <w:t>第五章</w:t>
              <w:tab/>
              <w:t>結論與修法建議</w:t>
            </w:r>
            <w:r>
              <w:rPr>
                <w:rFonts w:ascii="Times New Roman" w:eastAsia="Times New Roman"/>
              </w:rPr>
              <w:tab/>
              <w:t>61</w:t>
            </w:r>
          </w:hyperlink>
        </w:p>
        <w:p>
          <w:pPr>
            <w:pStyle w:val="TOC2"/>
            <w:tabs>
              <w:tab w:pos="1559" w:val="left" w:leader="none"/>
              <w:tab w:pos="8415" w:val="right" w:leader="dot"/>
            </w:tabs>
            <w:spacing w:before="25"/>
            <w:rPr>
              <w:rFonts w:ascii="Times New Roman" w:eastAsia="Times New Roman"/>
            </w:rPr>
          </w:pPr>
          <w:hyperlink w:history="true" w:anchor="_TOC_250010">
            <w:r>
              <w:rPr/>
              <w:t>第一節</w:t>
              <w:tab/>
              <w:t>結論</w:t>
            </w:r>
            <w:r>
              <w:rPr>
                <w:rFonts w:ascii="Times New Roman" w:eastAsia="Times New Roman"/>
              </w:rPr>
              <w:tab/>
              <w:t>61</w:t>
            </w:r>
          </w:hyperlink>
        </w:p>
        <w:p>
          <w:pPr>
            <w:pStyle w:val="TOC2"/>
            <w:tabs>
              <w:tab w:pos="1559" w:val="left" w:leader="none"/>
              <w:tab w:pos="8415" w:val="right" w:leader="dot"/>
            </w:tabs>
            <w:rPr>
              <w:rFonts w:ascii="Times New Roman" w:eastAsia="Times New Roman"/>
            </w:rPr>
          </w:pPr>
          <w:hyperlink w:history="true" w:anchor="_TOC_250009">
            <w:r>
              <w:rPr/>
              <w:t>第二節</w:t>
              <w:tab/>
              <w:t>修法建議</w:t>
            </w:r>
            <w:r>
              <w:rPr>
                <w:rFonts w:ascii="Times New Roman" w:eastAsia="Times New Roman"/>
              </w:rPr>
              <w:tab/>
              <w:t>62</w:t>
            </w:r>
          </w:hyperlink>
        </w:p>
        <w:p>
          <w:pPr>
            <w:pStyle w:val="TOC3"/>
            <w:tabs>
              <w:tab w:pos="8415" w:val="right" w:leader="dot"/>
            </w:tabs>
            <w:spacing w:before="25" w:after="20"/>
            <w:rPr>
              <w:rFonts w:ascii="Times New Roman" w:eastAsia="Times New Roman"/>
            </w:rPr>
          </w:pPr>
          <w:hyperlink w:history="true" w:anchor="_TOC_250008">
            <w:r>
              <w:rPr/>
              <w:t>一、再申訴決定確定後進行再審議制度之修法建議</w:t>
            </w:r>
            <w:r>
              <w:rPr>
                <w:rFonts w:ascii="Times New Roman" w:eastAsia="Times New Roman"/>
              </w:rPr>
              <w:tab/>
              <w:t>62</w:t>
            </w:r>
          </w:hyperlink>
        </w:p>
        <w:p>
          <w:pPr>
            <w:pStyle w:val="TOC3"/>
            <w:tabs>
              <w:tab w:pos="8415" w:val="right" w:leader="dot"/>
            </w:tabs>
            <w:spacing w:before="52"/>
            <w:rPr>
              <w:rFonts w:ascii="Times New Roman" w:eastAsia="Times New Roman"/>
            </w:rPr>
          </w:pPr>
          <w:hyperlink w:history="true" w:anchor="_TOC_250007">
            <w:r>
              <w:rPr/>
              <w:t>二、復審事件適用調處制度之修法建議</w:t>
            </w:r>
            <w:r>
              <w:rPr>
                <w:rFonts w:ascii="Times New Roman" w:eastAsia="Times New Roman"/>
              </w:rPr>
              <w:tab/>
              <w:t>64</w:t>
            </w:r>
          </w:hyperlink>
        </w:p>
        <w:p>
          <w:pPr>
            <w:pStyle w:val="TOC3"/>
            <w:tabs>
              <w:tab w:pos="8415" w:val="right" w:leader="dot"/>
            </w:tabs>
            <w:rPr>
              <w:rFonts w:ascii="Times New Roman" w:eastAsia="Times New Roman"/>
            </w:rPr>
          </w:pPr>
          <w:hyperlink w:history="true" w:anchor="_TOC_250006">
            <w:r>
              <w:rPr/>
              <w:t>三、停止執行之修法建議</w:t>
            </w:r>
            <w:r>
              <w:rPr>
                <w:rFonts w:ascii="Times New Roman" w:eastAsia="Times New Roman"/>
              </w:rPr>
              <w:tab/>
              <w:t>66</w:t>
            </w:r>
          </w:hyperlink>
        </w:p>
        <w:p>
          <w:pPr>
            <w:pStyle w:val="TOC1"/>
            <w:tabs>
              <w:tab w:pos="8415" w:val="right" w:leader="dot"/>
            </w:tabs>
            <w:rPr>
              <w:rFonts w:ascii="Times New Roman" w:eastAsia="Times New Roman"/>
            </w:rPr>
          </w:pPr>
          <w:hyperlink w:history="true" w:anchor="_TOC_250005">
            <w:r>
              <w:rPr/>
              <w:t>附錄一：專家座談會議紀錄及回應意見</w:t>
            </w:r>
            <w:r>
              <w:rPr>
                <w:rFonts w:ascii="Times New Roman" w:eastAsia="Times New Roman"/>
              </w:rPr>
              <w:tab/>
              <w:t>69</w:t>
            </w:r>
          </w:hyperlink>
        </w:p>
        <w:p>
          <w:pPr>
            <w:pStyle w:val="TOC2"/>
            <w:tabs>
              <w:tab w:pos="8415" w:val="right" w:leader="dot"/>
            </w:tabs>
            <w:spacing w:before="25"/>
            <w:rPr>
              <w:rFonts w:ascii="Times New Roman" w:eastAsia="Times New Roman"/>
            </w:rPr>
          </w:pPr>
          <w:hyperlink w:history="true" w:anchor="_TOC_250004">
            <w:r>
              <w:rPr/>
              <w:t>一、專家學者座談會意見彙整</w:t>
            </w:r>
            <w:r>
              <w:rPr>
                <w:rFonts w:ascii="Times New Roman" w:eastAsia="Times New Roman"/>
              </w:rPr>
              <w:tab/>
              <w:t>69</w:t>
            </w:r>
          </w:hyperlink>
        </w:p>
        <w:p>
          <w:pPr>
            <w:pStyle w:val="TOC2"/>
            <w:tabs>
              <w:tab w:pos="8415" w:val="right" w:leader="dot"/>
            </w:tabs>
            <w:rPr>
              <w:rFonts w:ascii="Times New Roman" w:eastAsia="Times New Roman"/>
            </w:rPr>
          </w:pPr>
          <w:hyperlink w:history="true" w:anchor="_TOC_250003">
            <w:r>
              <w:rPr/>
              <w:t>二、對於專家學者座談會意見之回應</w:t>
            </w:r>
            <w:r>
              <w:rPr>
                <w:rFonts w:ascii="Times New Roman" w:eastAsia="Times New Roman"/>
              </w:rPr>
              <w:tab/>
              <w:t>78</w:t>
            </w:r>
          </w:hyperlink>
        </w:p>
        <w:p>
          <w:pPr>
            <w:pStyle w:val="TOC1"/>
            <w:tabs>
              <w:tab w:pos="8415" w:val="right" w:leader="dot"/>
            </w:tabs>
            <w:spacing w:before="25"/>
            <w:rPr>
              <w:rFonts w:ascii="Times New Roman" w:eastAsia="Times New Roman"/>
            </w:rPr>
          </w:pPr>
          <w:hyperlink w:history="true" w:anchor="_TOC_250002">
            <w:r>
              <w:rPr/>
              <w:t>附錄二：期中報告審查意見及回應意見</w:t>
            </w:r>
            <w:r>
              <w:rPr>
                <w:rFonts w:ascii="Times New Roman" w:eastAsia="Times New Roman"/>
              </w:rPr>
              <w:tab/>
              <w:t>81</w:t>
            </w:r>
          </w:hyperlink>
        </w:p>
        <w:p>
          <w:pPr>
            <w:pStyle w:val="TOC1"/>
            <w:tabs>
              <w:tab w:pos="8415" w:val="right" w:leader="dot"/>
            </w:tabs>
            <w:rPr>
              <w:rFonts w:ascii="Times New Roman" w:eastAsia="Times New Roman"/>
            </w:rPr>
          </w:pPr>
          <w:hyperlink w:history="true" w:anchor="_TOC_250001">
            <w:r>
              <w:rPr/>
              <w:t>附錄三：期末報告審查意見及回應意見</w:t>
            </w:r>
            <w:r>
              <w:rPr>
                <w:rFonts w:ascii="Times New Roman" w:eastAsia="Times New Roman"/>
              </w:rPr>
              <w:tab/>
              <w:t>87</w:t>
            </w:r>
          </w:hyperlink>
        </w:p>
        <w:p>
          <w:pPr>
            <w:pStyle w:val="TOC1"/>
            <w:tabs>
              <w:tab w:pos="8415" w:val="right" w:leader="dot"/>
            </w:tabs>
            <w:rPr>
              <w:rFonts w:ascii="Times New Roman" w:eastAsia="Times New Roman"/>
            </w:rPr>
          </w:pPr>
          <w:hyperlink w:history="true" w:anchor="_TOC_250000">
            <w:r>
              <w:rPr/>
              <w:t>參考文獻</w:t>
            </w:r>
            <w:r>
              <w:rPr>
                <w:rFonts w:ascii="Times New Roman" w:eastAsia="Times New Roman"/>
              </w:rPr>
              <w:tab/>
              <w:t>93</w:t>
            </w:r>
          </w:hyperlink>
        </w:p>
      </w:sdtContent>
    </w:sdt>
    <w:p>
      <w:pPr>
        <w:spacing w:after="0"/>
        <w:rPr>
          <w:rFonts w:ascii="Times New Roman" w:eastAsia="Times New Roman"/>
        </w:rPr>
        <w:sectPr>
          <w:pgSz w:w="11910" w:h="16840"/>
          <w:pgMar w:header="0" w:footer="1019" w:top="1400" w:bottom="1712" w:left="1680" w:right="1520"/>
        </w:sectPr>
      </w:pPr>
    </w:p>
    <w:p>
      <w:pPr>
        <w:pStyle w:val="BodyText"/>
        <w:rPr>
          <w:rFonts w:ascii="Times New Roman"/>
          <w:sz w:val="32"/>
        </w:rPr>
      </w:pPr>
    </w:p>
    <w:p>
      <w:pPr>
        <w:pStyle w:val="BodyText"/>
        <w:spacing w:before="7"/>
        <w:rPr>
          <w:rFonts w:ascii="Times New Roman"/>
          <w:sz w:val="28"/>
        </w:rPr>
      </w:pPr>
    </w:p>
    <w:p>
      <w:pPr>
        <w:pStyle w:val="Heading1"/>
        <w:spacing w:before="0"/>
        <w:ind w:left="120"/>
      </w:pPr>
      <w:r>
        <w:rPr/>
        <w:t>摘要</w:t>
      </w:r>
    </w:p>
    <w:p>
      <w:pPr>
        <w:pStyle w:val="BodyText"/>
        <w:spacing w:before="2"/>
        <w:rPr>
          <w:b/>
          <w:sz w:val="38"/>
        </w:rPr>
      </w:pPr>
    </w:p>
    <w:p>
      <w:pPr>
        <w:pStyle w:val="BodyText"/>
        <w:spacing w:line="295" w:lineRule="auto"/>
        <w:ind w:left="119" w:right="216" w:firstLine="480"/>
        <w:jc w:val="both"/>
      </w:pPr>
      <w:r>
        <w:rPr>
          <w:spacing w:val="-1"/>
        </w:rPr>
        <w:t>在維持目前二元化救濟制度之前提下，並兼顧公務人員權利救濟之實效性，</w:t>
      </w:r>
      <w:r>
        <w:rPr>
          <w:spacing w:val="-60"/>
        </w:rPr>
        <w:t> </w:t>
      </w:r>
      <w:r>
        <w:rPr>
          <w:spacing w:val="-2"/>
        </w:rPr>
        <w:t>宜站在強化公務人員保障程序之出發點，使公務人員針對有瑕疵但已經確定之再</w:t>
      </w:r>
      <w:r>
        <w:rPr/>
        <w:t>申訴事件，亦得提起再審議以尋求救濟。</w:t>
      </w:r>
    </w:p>
    <w:p>
      <w:pPr>
        <w:pStyle w:val="BodyText"/>
        <w:spacing w:before="12"/>
        <w:rPr>
          <w:sz w:val="29"/>
        </w:rPr>
      </w:pPr>
    </w:p>
    <w:p>
      <w:pPr>
        <w:pStyle w:val="BodyText"/>
        <w:spacing w:line="295" w:lineRule="auto"/>
        <w:ind w:left="120" w:right="277" w:firstLine="480"/>
        <w:jc w:val="both"/>
      </w:pPr>
      <w:r>
        <w:rPr>
          <w:spacing w:val="-3"/>
        </w:rPr>
        <w:t>復審程序以及未來可能產生的行政訴訟，其所耗費的時間、精力等成本均非常可觀，更須慮及往後公務人員在服務機關內繼續服務之影響，因此，透過保障法之調處制度，不僅可以解決公務人員與服務機關間之紛爭，亦有助於舒緩兩者</w:t>
      </w:r>
      <w:r>
        <w:rPr/>
        <w:t>間緊張之對立關係，並兼顧公務人員權益之保障。</w:t>
      </w:r>
    </w:p>
    <w:p>
      <w:pPr>
        <w:pStyle w:val="BodyText"/>
        <w:spacing w:before="13"/>
        <w:rPr>
          <w:sz w:val="29"/>
        </w:rPr>
      </w:pPr>
    </w:p>
    <w:p>
      <w:pPr>
        <w:pStyle w:val="BodyText"/>
        <w:spacing w:line="295" w:lineRule="auto"/>
        <w:ind w:left="120" w:right="182" w:firstLine="480"/>
      </w:pPr>
      <w:r>
        <w:rPr>
          <w:spacing w:val="-1"/>
        </w:rPr>
        <w:t>現行保障法僅針對「撤銷型事件」定有停止執行原措施或處置之規定，並不足夠。從完善的暫時權利保護而觀，未來應針對「給付型事件」增訂「假處分」</w:t>
      </w:r>
      <w:r>
        <w:rPr/>
        <w:t>之規定，以符合各種案型暫時權利保護的需求。</w:t>
      </w:r>
    </w:p>
    <w:p>
      <w:pPr>
        <w:pStyle w:val="BodyText"/>
      </w:pPr>
    </w:p>
    <w:p>
      <w:pPr>
        <w:pStyle w:val="BodyText"/>
        <w:spacing w:before="11"/>
        <w:rPr>
          <w:sz w:val="34"/>
        </w:rPr>
      </w:pPr>
    </w:p>
    <w:p>
      <w:pPr>
        <w:pStyle w:val="Heading1"/>
        <w:spacing w:before="1"/>
        <w:ind w:left="120"/>
      </w:pPr>
      <w:r>
        <w:rPr/>
        <w:t>關鍵字</w:t>
      </w:r>
    </w:p>
    <w:p>
      <w:pPr>
        <w:pStyle w:val="BodyText"/>
        <w:spacing w:before="3"/>
        <w:rPr>
          <w:b/>
          <w:sz w:val="36"/>
        </w:rPr>
      </w:pPr>
    </w:p>
    <w:p>
      <w:pPr>
        <w:pStyle w:val="BodyText"/>
        <w:spacing w:before="1"/>
        <w:ind w:left="120"/>
      </w:pPr>
      <w:r>
        <w:rPr/>
        <w:t>再申訴、再審議、復審、調處、停止執行、假處分、暫時權利保護</w:t>
      </w:r>
    </w:p>
    <w:p>
      <w:pPr>
        <w:spacing w:after="0"/>
        <w:sectPr>
          <w:pgSz w:w="11910" w:h="16840"/>
          <w:pgMar w:header="0" w:footer="1019" w:top="1600" w:bottom="1200" w:left="1680" w:right="1520"/>
        </w:sectPr>
      </w:pPr>
    </w:p>
    <w:p>
      <w:pPr>
        <w:pStyle w:val="BodyText"/>
        <w:rPr>
          <w:sz w:val="20"/>
        </w:rPr>
      </w:pPr>
    </w:p>
    <w:p>
      <w:pPr>
        <w:pStyle w:val="BodyText"/>
        <w:rPr>
          <w:sz w:val="20"/>
        </w:rPr>
      </w:pPr>
    </w:p>
    <w:p>
      <w:pPr>
        <w:pStyle w:val="BodyText"/>
        <w:rPr>
          <w:sz w:val="20"/>
        </w:rPr>
      </w:pPr>
    </w:p>
    <w:p>
      <w:pPr>
        <w:pStyle w:val="BodyText"/>
        <w:spacing w:before="13"/>
        <w:rPr>
          <w:sz w:val="12"/>
        </w:rPr>
      </w:pPr>
    </w:p>
    <w:p>
      <w:pPr>
        <w:pStyle w:val="Heading1"/>
        <w:ind w:left="120"/>
      </w:pPr>
      <w:r>
        <w:rPr>
          <w:spacing w:val="11"/>
        </w:rPr>
        <w:t>第一章 緒論</w:t>
      </w:r>
    </w:p>
    <w:p>
      <w:pPr>
        <w:pStyle w:val="BodyText"/>
        <w:rPr>
          <w:b/>
          <w:sz w:val="32"/>
        </w:rPr>
      </w:pPr>
    </w:p>
    <w:p>
      <w:pPr>
        <w:pStyle w:val="BodyText"/>
        <w:spacing w:before="1"/>
        <w:rPr>
          <w:b/>
          <w:sz w:val="28"/>
        </w:rPr>
      </w:pPr>
    </w:p>
    <w:p>
      <w:pPr>
        <w:pStyle w:val="Heading2"/>
        <w:tabs>
          <w:tab w:pos="1240" w:val="left" w:leader="none"/>
        </w:tabs>
        <w:ind w:left="120"/>
      </w:pPr>
      <w:r>
        <w:rPr/>
        <w:t>第一節</w:t>
        <w:tab/>
      </w:r>
      <w:r>
        <w:rPr>
          <w:w w:val="95"/>
        </w:rPr>
        <w:t>研究計畫動機與目的</w:t>
      </w:r>
    </w:p>
    <w:p>
      <w:pPr>
        <w:pStyle w:val="BodyText"/>
        <w:spacing w:before="4"/>
        <w:rPr>
          <w:b/>
          <w:sz w:val="27"/>
        </w:rPr>
      </w:pPr>
    </w:p>
    <w:p>
      <w:pPr>
        <w:pStyle w:val="BodyText"/>
        <w:spacing w:line="295" w:lineRule="auto" w:before="1"/>
        <w:ind w:left="120" w:right="277" w:firstLine="480"/>
        <w:jc w:val="both"/>
        <w:rPr>
          <w:rFonts w:ascii="Times New Roman" w:eastAsia="Times New Roman"/>
        </w:rPr>
      </w:pPr>
      <w:r>
        <w:rPr>
          <w:spacing w:val="-3"/>
        </w:rPr>
        <w:t>早年公務人員之身分地位受「特別權力關係」理論之影響，將公務人員視為國家機關的內部成員，大幅限制其提起爭訟之權利。隨著我國大法官先後做成釋</w:t>
      </w:r>
      <w:r>
        <w:rPr>
          <w:spacing w:val="3"/>
        </w:rPr>
        <w:t>字第 </w:t>
      </w:r>
      <w:r>
        <w:rPr>
          <w:rFonts w:ascii="Times New Roman" w:eastAsia="Times New Roman"/>
        </w:rPr>
        <w:t>187</w:t>
      </w:r>
      <w:r>
        <w:rPr>
          <w:rFonts w:ascii="Times New Roman" w:eastAsia="Times New Roman"/>
          <w:spacing w:val="14"/>
        </w:rPr>
        <w:t> </w:t>
      </w:r>
      <w:r>
        <w:rPr>
          <w:spacing w:val="3"/>
        </w:rPr>
        <w:t>號、第 </w:t>
      </w:r>
      <w:r>
        <w:rPr>
          <w:rFonts w:ascii="Times New Roman" w:eastAsia="Times New Roman"/>
        </w:rPr>
        <w:t>201</w:t>
      </w:r>
      <w:r>
        <w:rPr>
          <w:rFonts w:ascii="Times New Roman" w:eastAsia="Times New Roman"/>
          <w:spacing w:val="14"/>
        </w:rPr>
        <w:t> </w:t>
      </w:r>
      <w:r>
        <w:rPr>
          <w:spacing w:val="3"/>
        </w:rPr>
        <w:t>號、第 </w:t>
      </w:r>
      <w:r>
        <w:rPr>
          <w:rFonts w:ascii="Times New Roman" w:eastAsia="Times New Roman"/>
        </w:rPr>
        <w:t>243</w:t>
      </w:r>
      <w:r>
        <w:rPr>
          <w:rFonts w:ascii="Times New Roman" w:eastAsia="Times New Roman"/>
          <w:spacing w:val="14"/>
        </w:rPr>
        <w:t> </w:t>
      </w:r>
      <w:r>
        <w:rPr>
          <w:spacing w:val="3"/>
        </w:rPr>
        <w:t>號、第 </w:t>
      </w:r>
      <w:r>
        <w:rPr>
          <w:rFonts w:ascii="Times New Roman" w:eastAsia="Times New Roman"/>
        </w:rPr>
        <w:t>266</w:t>
      </w:r>
      <w:r>
        <w:rPr>
          <w:rFonts w:ascii="Times New Roman" w:eastAsia="Times New Roman"/>
          <w:spacing w:val="14"/>
        </w:rPr>
        <w:t> </w:t>
      </w:r>
      <w:r>
        <w:rPr>
          <w:spacing w:val="3"/>
        </w:rPr>
        <w:t>號、第 </w:t>
      </w:r>
      <w:r>
        <w:rPr>
          <w:rFonts w:ascii="Times New Roman" w:eastAsia="Times New Roman"/>
        </w:rPr>
        <w:t>298</w:t>
      </w:r>
      <w:r>
        <w:rPr>
          <w:rFonts w:ascii="Times New Roman" w:eastAsia="Times New Roman"/>
          <w:spacing w:val="14"/>
        </w:rPr>
        <w:t> </w:t>
      </w:r>
      <w:r>
        <w:rPr>
          <w:spacing w:val="3"/>
        </w:rPr>
        <w:t>號、第 </w:t>
      </w:r>
      <w:r>
        <w:rPr>
          <w:rFonts w:ascii="Times New Roman" w:eastAsia="Times New Roman"/>
        </w:rPr>
        <w:t>312</w:t>
      </w:r>
      <w:r>
        <w:rPr>
          <w:rFonts w:ascii="Times New Roman" w:eastAsia="Times New Roman"/>
          <w:spacing w:val="14"/>
        </w:rPr>
        <w:t> </w:t>
      </w:r>
      <w:r>
        <w:rPr>
          <w:spacing w:val="3"/>
        </w:rPr>
        <w:t>號、第 </w:t>
      </w:r>
      <w:r>
        <w:rPr>
          <w:rFonts w:ascii="Times New Roman" w:eastAsia="Times New Roman"/>
        </w:rPr>
        <w:t>323</w:t>
      </w:r>
    </w:p>
    <w:p>
      <w:pPr>
        <w:pStyle w:val="BodyText"/>
        <w:spacing w:before="3"/>
        <w:ind w:left="119"/>
        <w:rPr>
          <w:rFonts w:ascii="Times New Roman" w:eastAsia="Times New Roman"/>
        </w:rPr>
      </w:pPr>
      <w:r>
        <w:rPr>
          <w:spacing w:val="-2"/>
        </w:rPr>
        <w:t>號、第 </w:t>
      </w:r>
      <w:r>
        <w:rPr>
          <w:rFonts w:ascii="Times New Roman" w:eastAsia="Times New Roman"/>
        </w:rPr>
        <w:t>338</w:t>
      </w:r>
      <w:r>
        <w:rPr>
          <w:rFonts w:ascii="Times New Roman" w:eastAsia="Times New Roman"/>
          <w:spacing w:val="-3"/>
        </w:rPr>
        <w:t> </w:t>
      </w:r>
      <w:r>
        <w:rPr>
          <w:spacing w:val="-2"/>
        </w:rPr>
        <w:t>號、第 </w:t>
      </w:r>
      <w:r>
        <w:rPr>
          <w:rFonts w:ascii="Times New Roman" w:eastAsia="Times New Roman"/>
        </w:rPr>
        <w:t>395</w:t>
      </w:r>
      <w:r>
        <w:rPr>
          <w:rFonts w:ascii="Times New Roman" w:eastAsia="Times New Roman"/>
          <w:spacing w:val="-3"/>
        </w:rPr>
        <w:t> </w:t>
      </w:r>
      <w:r>
        <w:rPr>
          <w:spacing w:val="-2"/>
        </w:rPr>
        <w:t>號、第 </w:t>
      </w:r>
      <w:r>
        <w:rPr>
          <w:rFonts w:ascii="Times New Roman" w:eastAsia="Times New Roman"/>
        </w:rPr>
        <w:t>396</w:t>
      </w:r>
      <w:r>
        <w:rPr>
          <w:rFonts w:ascii="Times New Roman" w:eastAsia="Times New Roman"/>
          <w:spacing w:val="-3"/>
        </w:rPr>
        <w:t> </w:t>
      </w:r>
      <w:r>
        <w:rPr>
          <w:spacing w:val="-2"/>
        </w:rPr>
        <w:t>號、第 </w:t>
      </w:r>
      <w:r>
        <w:rPr>
          <w:rFonts w:ascii="Times New Roman" w:eastAsia="Times New Roman"/>
        </w:rPr>
        <w:t>430</w:t>
      </w:r>
      <w:r>
        <w:rPr>
          <w:rFonts w:ascii="Times New Roman" w:eastAsia="Times New Roman"/>
          <w:spacing w:val="-3"/>
        </w:rPr>
        <w:t> </w:t>
      </w:r>
      <w:r>
        <w:rPr>
          <w:spacing w:val="-2"/>
        </w:rPr>
        <w:t>號、第 </w:t>
      </w:r>
      <w:r>
        <w:rPr>
          <w:rFonts w:ascii="Times New Roman" w:eastAsia="Times New Roman"/>
        </w:rPr>
        <w:t>455</w:t>
      </w:r>
      <w:r>
        <w:rPr>
          <w:rFonts w:ascii="Times New Roman" w:eastAsia="Times New Roman"/>
          <w:spacing w:val="-3"/>
        </w:rPr>
        <w:t> </w:t>
      </w:r>
      <w:r>
        <w:rPr>
          <w:spacing w:val="-2"/>
        </w:rPr>
        <w:t>號、第 </w:t>
      </w:r>
      <w:r>
        <w:rPr>
          <w:rFonts w:ascii="Times New Roman" w:eastAsia="Times New Roman"/>
        </w:rPr>
        <w:t>483</w:t>
      </w:r>
      <w:r>
        <w:rPr>
          <w:rFonts w:ascii="Times New Roman" w:eastAsia="Times New Roman"/>
          <w:spacing w:val="-3"/>
        </w:rPr>
        <w:t> </w:t>
      </w:r>
      <w:r>
        <w:rPr>
          <w:spacing w:val="-2"/>
        </w:rPr>
        <w:t>號、第 </w:t>
      </w:r>
      <w:r>
        <w:rPr>
          <w:rFonts w:ascii="Times New Roman" w:eastAsia="Times New Roman"/>
        </w:rPr>
        <w:t>491</w:t>
      </w:r>
    </w:p>
    <w:p>
      <w:pPr>
        <w:pStyle w:val="BodyText"/>
        <w:spacing w:line="295" w:lineRule="auto" w:before="78"/>
        <w:ind w:left="119" w:right="190"/>
        <w:jc w:val="both"/>
      </w:pPr>
      <w:r>
        <w:rPr>
          <w:spacing w:val="-2"/>
        </w:rPr>
        <w:t>號、第 </w:t>
      </w:r>
      <w:r>
        <w:rPr>
          <w:rFonts w:ascii="Times New Roman" w:eastAsia="Times New Roman"/>
        </w:rPr>
        <w:t>575</w:t>
      </w:r>
      <w:r>
        <w:rPr>
          <w:rFonts w:ascii="Times New Roman" w:eastAsia="Times New Roman"/>
          <w:spacing w:val="-4"/>
        </w:rPr>
        <w:t> </w:t>
      </w:r>
      <w:r>
        <w:rPr>
          <w:spacing w:val="-2"/>
        </w:rPr>
        <w:t>號、第 </w:t>
      </w:r>
      <w:r>
        <w:rPr>
          <w:rFonts w:ascii="Times New Roman" w:eastAsia="Times New Roman"/>
        </w:rPr>
        <w:t>605</w:t>
      </w:r>
      <w:r>
        <w:rPr>
          <w:rFonts w:ascii="Times New Roman" w:eastAsia="Times New Roman"/>
          <w:spacing w:val="-4"/>
        </w:rPr>
        <w:t> </w:t>
      </w:r>
      <w:r>
        <w:rPr>
          <w:spacing w:val="-2"/>
        </w:rPr>
        <w:t>號以及第 </w:t>
      </w:r>
      <w:r>
        <w:rPr>
          <w:rFonts w:ascii="Times New Roman" w:eastAsia="Times New Roman"/>
        </w:rPr>
        <w:t>611</w:t>
      </w:r>
      <w:r>
        <w:rPr>
          <w:rFonts w:ascii="Times New Roman" w:eastAsia="Times New Roman"/>
          <w:spacing w:val="-4"/>
        </w:rPr>
        <w:t> </w:t>
      </w:r>
      <w:r>
        <w:rPr/>
        <w:t>號等多則解釋，逐步突破「特別權力關係」</w:t>
      </w:r>
      <w:r>
        <w:rPr>
          <w:spacing w:val="-1"/>
        </w:rPr>
        <w:t>之桎梏，提升公務人員之權利地位，並確保其於受侵害時享有有效之救濟管道。</w:t>
      </w:r>
    </w:p>
    <w:p>
      <w:pPr>
        <w:pStyle w:val="BodyText"/>
        <w:spacing w:before="11"/>
        <w:rPr>
          <w:sz w:val="29"/>
        </w:rPr>
      </w:pPr>
    </w:p>
    <w:p>
      <w:pPr>
        <w:pStyle w:val="BodyText"/>
        <w:ind w:right="277"/>
        <w:jc w:val="right"/>
      </w:pPr>
      <w:r>
        <w:rPr/>
        <w:t>為保障公務人員之權利，我國於民國（以下同）</w:t>
      </w:r>
      <w:r>
        <w:rPr>
          <w:rFonts w:ascii="Times New Roman" w:eastAsia="Times New Roman"/>
        </w:rPr>
        <w:t>85</w:t>
      </w:r>
      <w:r>
        <w:rPr>
          <w:rFonts w:ascii="Times New Roman" w:eastAsia="Times New Roman"/>
          <w:spacing w:val="16"/>
        </w:rPr>
        <w:t> </w:t>
      </w:r>
      <w:r>
        <w:rPr>
          <w:spacing w:val="7"/>
        </w:rPr>
        <w:t>年 </w:t>
      </w:r>
      <w:r>
        <w:rPr>
          <w:rFonts w:ascii="Times New Roman" w:eastAsia="Times New Roman"/>
        </w:rPr>
        <w:t>10</w:t>
      </w:r>
      <w:r>
        <w:rPr>
          <w:rFonts w:ascii="Times New Roman" w:eastAsia="Times New Roman"/>
          <w:spacing w:val="16"/>
        </w:rPr>
        <w:t> </w:t>
      </w:r>
      <w:r>
        <w:rPr>
          <w:spacing w:val="7"/>
        </w:rPr>
        <w:t>月 </w:t>
      </w:r>
      <w:r>
        <w:rPr>
          <w:rFonts w:ascii="Times New Roman" w:eastAsia="Times New Roman"/>
        </w:rPr>
        <w:t>16</w:t>
      </w:r>
      <w:r>
        <w:rPr>
          <w:rFonts w:ascii="Times New Roman" w:eastAsia="Times New Roman"/>
          <w:spacing w:val="17"/>
        </w:rPr>
        <w:t> </w:t>
      </w:r>
      <w:r>
        <w:rPr/>
        <w:t>日制定公布</w:t>
      </w:r>
    </w:p>
    <w:p>
      <w:pPr>
        <w:pStyle w:val="BodyText"/>
        <w:spacing w:before="79"/>
        <w:ind w:right="277"/>
        <w:jc w:val="right"/>
      </w:pPr>
      <w:r>
        <w:rPr>
          <w:spacing w:val="-5"/>
        </w:rPr>
        <w:t>公務人員保障法</w:t>
      </w:r>
      <w:r>
        <w:rPr/>
        <w:t>（</w:t>
      </w:r>
      <w:r>
        <w:rPr>
          <w:spacing w:val="-19"/>
        </w:rPr>
        <w:t>以下簡稱「保障法」</w:t>
      </w:r>
      <w:r>
        <w:rPr>
          <w:spacing w:val="-136"/>
        </w:rPr>
        <w:t>）</w:t>
      </w:r>
      <w:r>
        <w:rPr>
          <w:spacing w:val="-6"/>
        </w:rPr>
        <w:t>，並於 </w:t>
      </w:r>
      <w:r>
        <w:rPr>
          <w:rFonts w:ascii="Times New Roman" w:eastAsia="Times New Roman"/>
        </w:rPr>
        <w:t>92 </w:t>
      </w:r>
      <w:r>
        <w:rPr>
          <w:spacing w:val="-2"/>
        </w:rPr>
        <w:t>年 </w:t>
      </w:r>
      <w:r>
        <w:rPr>
          <w:rFonts w:ascii="Times New Roman" w:eastAsia="Times New Roman"/>
        </w:rPr>
        <w:t>5 </w:t>
      </w:r>
      <w:r>
        <w:rPr>
          <w:spacing w:val="-2"/>
        </w:rPr>
        <w:t>月 </w:t>
      </w:r>
      <w:r>
        <w:rPr>
          <w:rFonts w:ascii="Times New Roman" w:eastAsia="Times New Roman"/>
        </w:rPr>
        <w:t>28 </w:t>
      </w:r>
      <w:r>
        <w:rPr/>
        <w:t>日大幅翻修成現今之</w:t>
      </w:r>
    </w:p>
    <w:p>
      <w:pPr>
        <w:pStyle w:val="BodyText"/>
        <w:spacing w:line="295" w:lineRule="auto" w:before="78"/>
        <w:ind w:left="119" w:right="277"/>
        <w:jc w:val="both"/>
      </w:pPr>
      <w:r>
        <w:rPr>
          <w:spacing w:val="-5"/>
        </w:rPr>
        <w:t>規模，全文共計 </w:t>
      </w:r>
      <w:r>
        <w:rPr>
          <w:rFonts w:ascii="Times New Roman" w:eastAsia="Times New Roman"/>
          <w:spacing w:val="-3"/>
        </w:rPr>
        <w:t>104</w:t>
      </w:r>
      <w:r>
        <w:rPr>
          <w:rFonts w:ascii="Times New Roman" w:eastAsia="Times New Roman"/>
          <w:spacing w:val="-9"/>
        </w:rPr>
        <w:t> </w:t>
      </w:r>
      <w:r>
        <w:rPr>
          <w:spacing w:val="-3"/>
        </w:rPr>
        <w:t>條。保障法依事件之屬性建構了「申訴、再申訴」以及「復審」等二套救濟管道，此二類救濟程序之內涵有相當大的不同。其中最大的不同在於前者之決定不得作為行政訴訟之救濟標的；後者則可。在這些差異點中，經</w:t>
      </w:r>
      <w:r>
        <w:rPr/>
        <w:t>多年實務運作之觀察，有若干值得探討之問題，例如：</w:t>
      </w:r>
    </w:p>
    <w:p>
      <w:pPr>
        <w:pStyle w:val="BodyText"/>
        <w:spacing w:before="13"/>
        <w:rPr>
          <w:sz w:val="29"/>
        </w:rPr>
      </w:pPr>
    </w:p>
    <w:p>
      <w:pPr>
        <w:pStyle w:val="ListParagraph"/>
        <w:numPr>
          <w:ilvl w:val="0"/>
          <w:numId w:val="6"/>
        </w:numPr>
        <w:tabs>
          <w:tab w:pos="420" w:val="left" w:leader="none"/>
        </w:tabs>
        <w:spacing w:line="295" w:lineRule="auto" w:before="0" w:after="0"/>
        <w:ind w:left="119" w:right="274" w:firstLine="0"/>
        <w:jc w:val="both"/>
        <w:rPr>
          <w:sz w:val="24"/>
        </w:rPr>
      </w:pPr>
      <w:r>
        <w:rPr>
          <w:spacing w:val="-1"/>
          <w:sz w:val="24"/>
        </w:rPr>
        <w:t>當復審決定有重大瑕疵時，當事人得於復審決定確定後提起「再審議</w:t>
      </w:r>
      <w:r>
        <w:rPr>
          <w:spacing w:val="-32"/>
          <w:sz w:val="24"/>
        </w:rPr>
        <w:t>」，作為</w:t>
      </w:r>
      <w:r>
        <w:rPr>
          <w:spacing w:val="-3"/>
          <w:sz w:val="24"/>
        </w:rPr>
        <w:t>非常的補救管道；但再申訴決定既不得作為行政訴訟之標的，當事人亦不得對之</w:t>
      </w:r>
      <w:r>
        <w:rPr>
          <w:spacing w:val="-11"/>
          <w:sz w:val="24"/>
        </w:rPr>
        <w:t>申請「再審議」。若再申訴決定確有「適用法規顯有錯誤」或「重要事證漏未審</w:t>
      </w:r>
      <w:r>
        <w:rPr>
          <w:spacing w:val="-3"/>
          <w:sz w:val="24"/>
        </w:rPr>
        <w:t>酌」等情形，將因而欠缺補救之道。因此吾人應考量「應否」及「如何」在此情</w:t>
      </w:r>
      <w:r>
        <w:rPr>
          <w:sz w:val="24"/>
        </w:rPr>
        <w:t>形給予當事人補救管道。</w:t>
      </w:r>
    </w:p>
    <w:p>
      <w:pPr>
        <w:pStyle w:val="BodyText"/>
        <w:rPr>
          <w:sz w:val="30"/>
        </w:rPr>
      </w:pPr>
    </w:p>
    <w:p>
      <w:pPr>
        <w:pStyle w:val="ListParagraph"/>
        <w:numPr>
          <w:ilvl w:val="0"/>
          <w:numId w:val="6"/>
        </w:numPr>
        <w:tabs>
          <w:tab w:pos="423" w:val="left" w:leader="none"/>
        </w:tabs>
        <w:spacing w:line="295" w:lineRule="auto" w:before="1" w:after="0"/>
        <w:ind w:left="119" w:right="217" w:firstLine="0"/>
        <w:jc w:val="left"/>
        <w:rPr>
          <w:sz w:val="24"/>
        </w:rPr>
      </w:pPr>
      <w:r>
        <w:rPr>
          <w:sz w:val="24"/>
        </w:rPr>
        <w:t>保障法為迅速、和緩地化解爭議，於再申訴程序中納入「調處」制度；復審</w:t>
      </w:r>
      <w:r>
        <w:rPr>
          <w:spacing w:val="-19"/>
          <w:sz w:val="24"/>
        </w:rPr>
        <w:t>程序則無此規定。由於「調處」之本質近似於「和解」，在一般行政爭訟事件中，</w:t>
      </w:r>
    </w:p>
    <w:p>
      <w:pPr>
        <w:pStyle w:val="BodyText"/>
        <w:spacing w:line="295" w:lineRule="auto" w:before="2"/>
        <w:ind w:left="119" w:right="217"/>
      </w:pPr>
      <w:r>
        <w:rPr>
          <w:spacing w:val="-1"/>
        </w:rPr>
        <w:t>「和解」屬於廣被接受之終止爭議手段，因此在公務人員保障程序中亦應思考，</w:t>
      </w:r>
      <w:r>
        <w:rPr>
          <w:spacing w:val="-60"/>
        </w:rPr>
        <w:t> </w:t>
      </w:r>
      <w:r>
        <w:rPr/>
        <w:t>是否進一步擴大「調處」制度之適用範圍，使之及於復審程序。</w:t>
      </w:r>
    </w:p>
    <w:p>
      <w:pPr>
        <w:pStyle w:val="BodyText"/>
        <w:spacing w:before="11"/>
        <w:rPr>
          <w:sz w:val="29"/>
        </w:rPr>
      </w:pPr>
    </w:p>
    <w:p>
      <w:pPr>
        <w:pStyle w:val="ListParagraph"/>
        <w:numPr>
          <w:ilvl w:val="0"/>
          <w:numId w:val="6"/>
        </w:numPr>
        <w:tabs>
          <w:tab w:pos="423" w:val="left" w:leader="none"/>
        </w:tabs>
        <w:spacing w:line="240" w:lineRule="auto" w:before="0" w:after="0"/>
        <w:ind w:left="422" w:right="0" w:hanging="304"/>
        <w:jc w:val="left"/>
        <w:rPr>
          <w:sz w:val="24"/>
        </w:rPr>
      </w:pPr>
      <w:r>
        <w:rPr>
          <w:sz w:val="24"/>
        </w:rPr>
        <w:t>最後，雖然「申訴、再申訴」與「復審」程序所適用之救濟標的不同，但保</w:t>
      </w:r>
    </w:p>
    <w:p>
      <w:pPr>
        <w:spacing w:after="0" w:line="240" w:lineRule="auto"/>
        <w:jc w:val="left"/>
        <w:rPr>
          <w:sz w:val="24"/>
        </w:rPr>
        <w:sectPr>
          <w:pgSz w:w="11910" w:h="16840"/>
          <w:pgMar w:header="0" w:footer="1019" w:top="1600" w:bottom="1200" w:left="1680" w:right="1520"/>
        </w:sectPr>
      </w:pPr>
    </w:p>
    <w:p>
      <w:pPr>
        <w:pStyle w:val="BodyText"/>
        <w:spacing w:line="295" w:lineRule="auto" w:before="58"/>
        <w:ind w:left="120" w:right="217"/>
        <w:jc w:val="both"/>
      </w:pPr>
      <w:r>
        <w:rPr>
          <w:spacing w:val="-1"/>
        </w:rPr>
        <w:t>障法第 </w:t>
      </w:r>
      <w:r>
        <w:rPr>
          <w:rFonts w:ascii="Times New Roman" w:eastAsia="Times New Roman"/>
        </w:rPr>
        <w:t>89 </w:t>
      </w:r>
      <w:r>
        <w:rPr>
          <w:spacing w:val="-1"/>
        </w:rPr>
        <w:t>條第 </w:t>
      </w:r>
      <w:r>
        <w:rPr>
          <w:rFonts w:ascii="Times New Roman" w:eastAsia="Times New Roman"/>
        </w:rPr>
        <w:t>2 </w:t>
      </w:r>
      <w:r>
        <w:rPr>
          <w:spacing w:val="-12"/>
        </w:rPr>
        <w:t>項卻使其得以一體適用「停止執行」制度。換言之，使保訓會、</w:t>
      </w:r>
      <w:r>
        <w:rPr>
          <w:spacing w:val="-2"/>
        </w:rPr>
        <w:t>原處分機關或服務機關得依職權或依申請，將「</w:t>
      </w:r>
      <w:r>
        <w:rPr>
          <w:rFonts w:ascii="標楷體" w:eastAsia="標楷體" w:hint="eastAsia"/>
          <w:spacing w:val="-1"/>
        </w:rPr>
        <w:t>就原行政處分、管理措施或有關</w:t>
      </w:r>
      <w:r>
        <w:rPr>
          <w:rFonts w:ascii="標楷體" w:eastAsia="標楷體" w:hint="eastAsia"/>
        </w:rPr>
        <w:t>工作條件之處置全部或一部，停止執行</w:t>
      </w:r>
      <w:r>
        <w:rPr>
          <w:spacing w:val="-12"/>
        </w:rPr>
        <w:t>」。但所謂「停止執行」一般而言係指停</w:t>
      </w:r>
      <w:r>
        <w:rPr>
          <w:spacing w:val="-18"/>
        </w:rPr>
        <w:t>止行政處分之「執行力」、「存續力」等法律效力；對於「</w:t>
      </w:r>
      <w:r>
        <w:rPr>
          <w:rFonts w:ascii="標楷體" w:eastAsia="標楷體" w:hint="eastAsia"/>
          <w:spacing w:val="-1"/>
        </w:rPr>
        <w:t>管理措施或有關工作條</w:t>
      </w:r>
      <w:r>
        <w:rPr>
          <w:rFonts w:ascii="標楷體" w:eastAsia="標楷體" w:hint="eastAsia"/>
          <w:spacing w:val="-2"/>
        </w:rPr>
        <w:t>件之處置</w:t>
      </w:r>
      <w:r>
        <w:rPr>
          <w:spacing w:val="-2"/>
        </w:rPr>
        <w:t>」等申訴、再申訴事件之程序標的而言，是否有適用停止執行之適當性</w:t>
      </w:r>
      <w:r>
        <w:rPr/>
        <w:t>與必要性？值得吾人關注。</w:t>
      </w:r>
    </w:p>
    <w:p>
      <w:pPr>
        <w:pStyle w:val="BodyText"/>
        <w:spacing w:before="1"/>
        <w:rPr>
          <w:sz w:val="30"/>
        </w:rPr>
      </w:pPr>
    </w:p>
    <w:p>
      <w:pPr>
        <w:pStyle w:val="BodyText"/>
        <w:spacing w:line="295" w:lineRule="auto" w:before="1"/>
        <w:ind w:left="120" w:right="277" w:firstLine="480"/>
        <w:jc w:val="both"/>
      </w:pPr>
      <w:r>
        <w:rPr>
          <w:spacing w:val="-3"/>
        </w:rPr>
        <w:t>為使公務人員權益保障事件之救濟程序更加完備，本文擬以前述三項議題為標的，提出本項研究計畫。期望藉由本研究計畫所提出之研究建議，使公務人員</w:t>
      </w:r>
      <w:r>
        <w:rPr/>
        <w:t>保障法所建構的權利救濟程序能更為強化與提升。</w:t>
      </w:r>
    </w:p>
    <w:p>
      <w:pPr>
        <w:pStyle w:val="BodyText"/>
        <w:spacing w:before="2"/>
        <w:rPr>
          <w:sz w:val="22"/>
        </w:rPr>
      </w:pPr>
    </w:p>
    <w:p>
      <w:pPr>
        <w:pStyle w:val="Heading2"/>
        <w:tabs>
          <w:tab w:pos="1240" w:val="left" w:leader="none"/>
        </w:tabs>
        <w:ind w:left="120"/>
      </w:pPr>
      <w:r>
        <w:rPr/>
        <w:t>第二節</w:t>
        <w:tab/>
      </w:r>
      <w:r>
        <w:rPr>
          <w:w w:val="95"/>
        </w:rPr>
        <w:t>研究範圍</w:t>
      </w:r>
    </w:p>
    <w:p>
      <w:pPr>
        <w:pStyle w:val="BodyText"/>
        <w:spacing w:before="4"/>
        <w:rPr>
          <w:b/>
          <w:sz w:val="27"/>
        </w:rPr>
      </w:pPr>
    </w:p>
    <w:p>
      <w:pPr>
        <w:spacing w:line="535" w:lineRule="auto" w:before="0"/>
        <w:ind w:left="120" w:right="902" w:firstLine="480"/>
        <w:jc w:val="left"/>
        <w:rPr>
          <w:b/>
          <w:sz w:val="24"/>
        </w:rPr>
      </w:pPr>
      <w:r>
        <w:rPr>
          <w:spacing w:val="-1"/>
          <w:sz w:val="24"/>
        </w:rPr>
        <w:t>針對上述三項議題，本研究計畫所擬進行之研究事項具體說明如下：</w:t>
      </w:r>
      <w:r>
        <w:rPr>
          <w:spacing w:val="-60"/>
          <w:sz w:val="24"/>
        </w:rPr>
        <w:t> </w:t>
      </w:r>
      <w:r>
        <w:rPr>
          <w:b/>
          <w:sz w:val="24"/>
        </w:rPr>
        <w:t>一、再申訴決定確定後創設再審議制度之可行性</w:t>
      </w:r>
    </w:p>
    <w:p>
      <w:pPr>
        <w:pStyle w:val="BodyText"/>
        <w:spacing w:line="295" w:lineRule="auto"/>
        <w:ind w:left="119" w:right="217" w:firstLine="480"/>
        <w:jc w:val="both"/>
      </w:pPr>
      <w:r>
        <w:rPr>
          <w:spacing w:val="-2"/>
        </w:rPr>
        <w:t>如前所述，為免再申訴決定存有重大瑕疵時陷於無從補救之境地，吾人應審</w:t>
      </w:r>
      <w:r>
        <w:rPr>
          <w:spacing w:val="-19"/>
        </w:rPr>
        <w:t>慎思考，是否應針對再申訴決定創設類似「再審議」制度之補救管道？對此議題，</w:t>
      </w:r>
      <w:r>
        <w:rPr>
          <w:spacing w:val="-60"/>
        </w:rPr>
        <w:t> </w:t>
      </w:r>
      <w:r>
        <w:rPr>
          <w:spacing w:val="-2"/>
        </w:rPr>
        <w:t>本研究計畫認為，首先應先釐清「再申訴」事件之性質與類型，並就目前實務上所認定之考績、懲處、敘獎、差假、訓練進修、工作指派、陞遷、調任</w:t>
      </w:r>
      <w:r>
        <w:rPr>
          <w:spacing w:val="-1"/>
        </w:rPr>
        <w:t>（職）等</w:t>
      </w:r>
      <w:r>
        <w:rPr>
          <w:spacing w:val="-2"/>
        </w:rPr>
        <w:t>再申訴事件種類之實質情節，予以詳細瞭解。其次，並針對再申訴決定可能的瑕</w:t>
      </w:r>
      <w:r>
        <w:rPr>
          <w:spacing w:val="-1"/>
        </w:rPr>
        <w:t>疵態樣</w:t>
      </w:r>
      <w:r>
        <w:rPr/>
        <w:t>（例如「決定機關之組織不合法</w:t>
      </w:r>
      <w:r>
        <w:rPr>
          <w:spacing w:val="-32"/>
        </w:rPr>
        <w:t>」、「適用法規顯有錯誤」、「重要事證漏未</w:t>
      </w:r>
      <w:r>
        <w:rPr>
          <w:spacing w:val="-2"/>
        </w:rPr>
        <w:t>審酌」或「</w:t>
      </w:r>
      <w:r>
        <w:rPr>
          <w:rFonts w:ascii="細明體" w:eastAsia="細明體" w:hint="eastAsia"/>
          <w:spacing w:val="-2"/>
        </w:rPr>
        <w:t>發見未經斟酌之證物或得使用該證物」等</w:t>
      </w:r>
      <w:r>
        <w:rPr>
          <w:spacing w:val="-1"/>
        </w:rPr>
        <w:t>）加以分析。接著吾人應思</w:t>
      </w:r>
      <w:r>
        <w:rPr/>
        <w:t>考，當再申訴決定存在此類瑕疵時，是否有給予補救管道之必要性？如確有必</w:t>
      </w:r>
      <w:r>
        <w:rPr>
          <w:spacing w:val="-3"/>
        </w:rPr>
        <w:t>要，則應為如何之管道？保障法第 </w:t>
      </w:r>
      <w:r>
        <w:rPr>
          <w:rFonts w:ascii="Times New Roman" w:eastAsia="Times New Roman"/>
          <w:spacing w:val="-1"/>
        </w:rPr>
        <w:t>94</w:t>
      </w:r>
      <w:r>
        <w:rPr>
          <w:rFonts w:ascii="Times New Roman" w:eastAsia="Times New Roman"/>
          <w:spacing w:val="-11"/>
        </w:rPr>
        <w:t> </w:t>
      </w:r>
      <w:r>
        <w:rPr>
          <w:spacing w:val="-14"/>
        </w:rPr>
        <w:t>條以下所規範之「再審議」程序是否合宜？</w:t>
      </w:r>
      <w:r>
        <w:rPr>
          <w:spacing w:val="-60"/>
        </w:rPr>
        <w:t> </w:t>
      </w:r>
      <w:r>
        <w:rPr>
          <w:spacing w:val="-2"/>
        </w:rPr>
        <w:t>本研究計畫認為，處理此一問題時，亦應分析「再審議」程序之屬性，並瞭解其</w:t>
      </w:r>
      <w:r>
        <w:rPr/>
        <w:t>運作之現況。</w:t>
      </w:r>
    </w:p>
    <w:p>
      <w:pPr>
        <w:pStyle w:val="BodyText"/>
        <w:spacing w:before="8"/>
      </w:pPr>
    </w:p>
    <w:p>
      <w:pPr>
        <w:pStyle w:val="Heading3"/>
        <w:ind w:left="119"/>
        <w:rPr>
          <w:rFonts w:ascii="新細明體" w:eastAsia="新細明體" w:hint="eastAsia"/>
        </w:rPr>
      </w:pPr>
      <w:r>
        <w:rPr>
          <w:rFonts w:ascii="新細明體" w:eastAsia="新細明體" w:hint="eastAsia"/>
          <w:w w:val="95"/>
        </w:rPr>
        <w:t>二、調處制度擴大適用於復審事件之可行性</w:t>
      </w:r>
    </w:p>
    <w:p>
      <w:pPr>
        <w:pStyle w:val="BodyText"/>
        <w:spacing w:before="6"/>
        <w:rPr>
          <w:b/>
          <w:sz w:val="29"/>
        </w:rPr>
      </w:pPr>
    </w:p>
    <w:p>
      <w:pPr>
        <w:pStyle w:val="BodyText"/>
        <w:spacing w:line="295" w:lineRule="auto"/>
        <w:ind w:left="119" w:right="273" w:firstLine="480"/>
        <w:jc w:val="both"/>
      </w:pPr>
      <w:r>
        <w:rPr>
          <w:spacing w:val="-11"/>
        </w:rPr>
        <w:t>若當事人提起「復審」，保訓會是否僅得以實體或程序之決定來終結此一事</w:t>
      </w:r>
      <w:r>
        <w:rPr/>
        <w:t>件？有無可能比照「再申訴」事件，以保障法第 </w:t>
      </w:r>
      <w:r>
        <w:rPr>
          <w:rFonts w:ascii="Times New Roman" w:eastAsia="Times New Roman"/>
        </w:rPr>
        <w:t>85</w:t>
      </w:r>
      <w:r>
        <w:rPr>
          <w:rFonts w:ascii="Times New Roman" w:eastAsia="Times New Roman"/>
          <w:spacing w:val="7"/>
        </w:rPr>
        <w:t> </w:t>
      </w:r>
      <w:r>
        <w:rPr/>
        <w:t>條所規定之「調處」或其他</w:t>
      </w:r>
    </w:p>
    <w:p>
      <w:pPr>
        <w:pStyle w:val="BodyText"/>
        <w:spacing w:line="295" w:lineRule="auto" w:before="2"/>
        <w:ind w:left="120" w:right="275"/>
        <w:jc w:val="both"/>
      </w:pPr>
      <w:r>
        <w:rPr/>
        <w:t>類似之制度謀求化解爭執？特別是當行政訴訟法第 </w:t>
      </w:r>
      <w:r>
        <w:rPr>
          <w:rFonts w:ascii="Times New Roman" w:eastAsia="Times New Roman"/>
        </w:rPr>
        <w:t>219</w:t>
      </w:r>
      <w:r>
        <w:rPr>
          <w:rFonts w:ascii="Times New Roman" w:eastAsia="Times New Roman"/>
          <w:spacing w:val="5"/>
        </w:rPr>
        <w:t> </w:t>
      </w:r>
      <w:r>
        <w:rPr/>
        <w:t>條以下之規定已明文容</w:t>
      </w:r>
      <w:r>
        <w:rPr>
          <w:spacing w:val="-7"/>
        </w:rPr>
        <w:t>許於訴訟程序中進行和解以終結訴訟程序，復審程序是否亦應納入類似之「訴訟</w:t>
      </w:r>
    </w:p>
    <w:p>
      <w:pPr>
        <w:spacing w:after="0" w:line="295" w:lineRule="auto"/>
        <w:jc w:val="both"/>
        <w:sectPr>
          <w:pgSz w:w="11910" w:h="16840"/>
          <w:pgMar w:header="0" w:footer="1019" w:top="1420" w:bottom="1200" w:left="1680" w:right="1520"/>
        </w:sectPr>
      </w:pPr>
    </w:p>
    <w:p>
      <w:pPr>
        <w:pStyle w:val="BodyText"/>
        <w:spacing w:line="295" w:lineRule="auto" w:before="38"/>
        <w:ind w:left="120" w:right="217"/>
        <w:jc w:val="both"/>
      </w:pPr>
      <w:r>
        <w:rPr>
          <w:spacing w:val="-2"/>
        </w:rPr>
        <w:t>外紛爭解決」模式。就此議題，首先應思考者為「訴訟外紛爭解決」模式適用於復審事件之適當性，調處、和解等訴訟外紛爭解決模式最大特色在於，其並未徹底審究本案系爭標的行政行為之適法性與適當性；而逕自在雙方當事人之同意的基礎上，謀求化解爭議之方案。若此種模式在復審程序確有其可行性，則下一個層次的問題便是，究竟是使復審與再申訴同樣地適用調處制度？或另創新制度。</w:t>
      </w:r>
    </w:p>
    <w:p>
      <w:pPr>
        <w:pStyle w:val="BodyText"/>
        <w:spacing w:before="4"/>
      </w:pPr>
    </w:p>
    <w:p>
      <w:pPr>
        <w:pStyle w:val="Heading3"/>
        <w:ind w:left="119"/>
        <w:rPr>
          <w:rFonts w:ascii="新細明體" w:eastAsia="新細明體" w:hint="eastAsia"/>
        </w:rPr>
      </w:pPr>
      <w:r>
        <w:rPr>
          <w:rFonts w:ascii="新細明體" w:eastAsia="新細明體" w:hint="eastAsia"/>
          <w:w w:val="95"/>
        </w:rPr>
        <w:t>三、停止執行制度適用於再申訴事件之可行性</w:t>
      </w:r>
    </w:p>
    <w:p>
      <w:pPr>
        <w:pStyle w:val="BodyText"/>
        <w:spacing w:before="5"/>
        <w:rPr>
          <w:b/>
          <w:sz w:val="29"/>
        </w:rPr>
      </w:pPr>
    </w:p>
    <w:p>
      <w:pPr>
        <w:pStyle w:val="BodyText"/>
        <w:spacing w:line="295" w:lineRule="auto"/>
        <w:ind w:left="120" w:right="250" w:firstLine="480"/>
        <w:jc w:val="both"/>
      </w:pPr>
      <w:r>
        <w:rPr/>
        <w:t>如前所述，保障法第 </w:t>
      </w:r>
      <w:r>
        <w:rPr>
          <w:rFonts w:ascii="Times New Roman" w:hAnsi="Times New Roman" w:eastAsia="Times New Roman"/>
        </w:rPr>
        <w:t>89</w:t>
      </w:r>
      <w:r>
        <w:rPr>
          <w:rFonts w:ascii="Times New Roman" w:hAnsi="Times New Roman" w:eastAsia="Times New Roman"/>
          <w:spacing w:val="6"/>
        </w:rPr>
        <w:t> </w:t>
      </w:r>
      <w:r>
        <w:rPr>
          <w:spacing w:val="1"/>
        </w:rPr>
        <w:t>條第 </w:t>
      </w:r>
      <w:r>
        <w:rPr>
          <w:rFonts w:ascii="Times New Roman" w:hAnsi="Times New Roman" w:eastAsia="Times New Roman"/>
        </w:rPr>
        <w:t>2</w:t>
      </w:r>
      <w:r>
        <w:rPr>
          <w:rFonts w:ascii="Times New Roman" w:hAnsi="Times New Roman" w:eastAsia="Times New Roman"/>
          <w:spacing w:val="6"/>
        </w:rPr>
        <w:t> </w:t>
      </w:r>
      <w:r>
        <w:rPr/>
        <w:t>項賦予保障程序當事人──不論其為申訴、</w:t>
      </w:r>
      <w:r>
        <w:rPr>
          <w:spacing w:val="-3"/>
        </w:rPr>
        <w:t>再申訴或復審事件──享有「停止執行」制度之保障。此一規定較之於訴願法第</w:t>
      </w:r>
      <w:r>
        <w:rPr>
          <w:rFonts w:ascii="Times New Roman" w:hAnsi="Times New Roman" w:eastAsia="Times New Roman"/>
        </w:rPr>
        <w:t>93</w:t>
      </w:r>
      <w:r>
        <w:rPr>
          <w:rFonts w:ascii="Times New Roman" w:hAnsi="Times New Roman" w:eastAsia="Times New Roman"/>
          <w:spacing w:val="-8"/>
        </w:rPr>
        <w:t> </w:t>
      </w:r>
      <w:r>
        <w:rPr>
          <w:spacing w:val="-2"/>
        </w:rPr>
        <w:t>條與行政訴訟法第 </w:t>
      </w:r>
      <w:r>
        <w:rPr>
          <w:rFonts w:ascii="Times New Roman" w:hAnsi="Times New Roman" w:eastAsia="Times New Roman"/>
        </w:rPr>
        <w:t>116</w:t>
      </w:r>
      <w:r>
        <w:rPr>
          <w:rFonts w:ascii="Times New Roman" w:hAnsi="Times New Roman" w:eastAsia="Times New Roman"/>
          <w:spacing w:val="-7"/>
        </w:rPr>
        <w:t> </w:t>
      </w:r>
      <w:r>
        <w:rPr>
          <w:spacing w:val="-11"/>
        </w:rPr>
        <w:t>條所規範之「停止執行」，擁有更為廣泛的適用範圍。</w:t>
      </w:r>
    </w:p>
    <w:p>
      <w:pPr>
        <w:pStyle w:val="BodyText"/>
        <w:spacing w:line="295" w:lineRule="auto" w:before="4"/>
        <w:ind w:left="120" w:right="276"/>
        <w:jc w:val="both"/>
      </w:pPr>
      <w:r>
        <w:rPr>
          <w:spacing w:val="-1"/>
        </w:rPr>
        <w:t>換言之，保障法第 </w:t>
      </w:r>
      <w:r>
        <w:rPr>
          <w:rFonts w:ascii="Times New Roman" w:eastAsia="Times New Roman"/>
        </w:rPr>
        <w:t>89</w:t>
      </w:r>
      <w:r>
        <w:rPr>
          <w:rFonts w:ascii="Times New Roman" w:eastAsia="Times New Roman"/>
          <w:spacing w:val="4"/>
        </w:rPr>
        <w:t> </w:t>
      </w:r>
      <w:r>
        <w:rPr>
          <w:spacing w:val="-1"/>
        </w:rPr>
        <w:t>條第 </w:t>
      </w:r>
      <w:r>
        <w:rPr>
          <w:rFonts w:ascii="Times New Roman" w:eastAsia="Times New Roman"/>
        </w:rPr>
        <w:t>2</w:t>
      </w:r>
      <w:r>
        <w:rPr>
          <w:rFonts w:ascii="Times New Roman" w:eastAsia="Times New Roman"/>
          <w:spacing w:val="3"/>
        </w:rPr>
        <w:t> </w:t>
      </w:r>
      <w:r>
        <w:rPr/>
        <w:t>項所規範之停止執行與訴願法、行政訴訟法所規範之停止執行，其適用之標的並不相同。</w:t>
      </w:r>
    </w:p>
    <w:p>
      <w:pPr>
        <w:pStyle w:val="BodyText"/>
        <w:spacing w:before="10"/>
        <w:rPr>
          <w:sz w:val="29"/>
        </w:rPr>
      </w:pPr>
    </w:p>
    <w:p>
      <w:pPr>
        <w:pStyle w:val="BodyText"/>
        <w:spacing w:line="295" w:lineRule="auto" w:before="1"/>
        <w:ind w:left="120" w:right="269" w:firstLine="480"/>
        <w:jc w:val="both"/>
      </w:pPr>
      <w:r>
        <w:rPr>
          <w:spacing w:val="-3"/>
        </w:rPr>
        <w:t>面對此一規範的歧異，吾人得提出幾項問題。首先，究竟「停止執行」制度的本質為何？停止執行的標的是否應侷限於「行政處分」？以申訴、再申訴事件</w:t>
      </w:r>
      <w:r>
        <w:rPr/>
        <w:t>而言，個案中並不存在行政處分，在法理上是否仍有停止執行制度之適用？其</w:t>
      </w:r>
      <w:r>
        <w:rPr>
          <w:spacing w:val="-3"/>
        </w:rPr>
        <w:t>次，延續前述分歧的「停止執行」概念，在制度運作上是否將使人民產生以下疑義：為何保障法賦予申訴或再申訴案件之當事人「停止執行」的程序保障，當事</w:t>
      </w:r>
      <w:r>
        <w:rPr/>
        <w:t>人針對同一案件卻無法依據行政訴訟法聲請為停止執行之裁定？</w:t>
      </w:r>
    </w:p>
    <w:p>
      <w:pPr>
        <w:pStyle w:val="BodyText"/>
        <w:spacing w:before="1"/>
        <w:rPr>
          <w:sz w:val="30"/>
        </w:rPr>
      </w:pPr>
    </w:p>
    <w:p>
      <w:pPr>
        <w:pStyle w:val="BodyText"/>
        <w:spacing w:line="295" w:lineRule="auto"/>
        <w:ind w:left="120" w:right="277" w:firstLine="480"/>
        <w:jc w:val="both"/>
      </w:pPr>
      <w:r>
        <w:rPr>
          <w:spacing w:val="-20"/>
        </w:rPr>
        <w:t>為解決上述疑義，本研究計畫將思考，吾人是否應致力於維護一個統一的「停</w:t>
      </w:r>
      <w:r>
        <w:rPr>
          <w:spacing w:val="-1"/>
        </w:rPr>
        <w:t>止執行」概念？換言之，未來是否應修法將保障法第 </w:t>
      </w:r>
      <w:r>
        <w:rPr>
          <w:rFonts w:ascii="Times New Roman" w:eastAsia="Times New Roman"/>
        </w:rPr>
        <w:t>89</w:t>
      </w:r>
      <w:r>
        <w:rPr>
          <w:rFonts w:ascii="Times New Roman" w:eastAsia="Times New Roman"/>
          <w:spacing w:val="3"/>
        </w:rPr>
        <w:t> </w:t>
      </w:r>
      <w:r>
        <w:rPr>
          <w:spacing w:val="-1"/>
        </w:rPr>
        <w:t>條第 </w:t>
      </w:r>
      <w:r>
        <w:rPr>
          <w:rFonts w:ascii="Times New Roman" w:eastAsia="Times New Roman"/>
        </w:rPr>
        <w:t>2</w:t>
      </w:r>
      <w:r>
        <w:rPr>
          <w:rFonts w:ascii="Times New Roman" w:eastAsia="Times New Roman"/>
          <w:spacing w:val="3"/>
        </w:rPr>
        <w:t> </w:t>
      </w:r>
      <w:r>
        <w:rPr/>
        <w:t>項之停止執行侷</w:t>
      </w:r>
      <w:r>
        <w:rPr>
          <w:spacing w:val="-3"/>
        </w:rPr>
        <w:t>限於復審事件？或者應基於提供保障事件當事人有效權利救濟的觀點，繼續將申訴、再申訴事件納入停止執行制度的適用範圍？或甚至於保障法中納入其他型態</w:t>
      </w:r>
      <w:r>
        <w:rPr/>
        <w:t>的暫時性權利保護機制？</w:t>
      </w:r>
    </w:p>
    <w:p>
      <w:pPr>
        <w:spacing w:after="0" w:line="295" w:lineRule="auto"/>
        <w:jc w:val="both"/>
        <w:sectPr>
          <w:pgSz w:w="11910" w:h="16840"/>
          <w:pgMar w:header="0" w:footer="1019" w:top="1440" w:bottom="1200" w:left="1680" w:right="1520"/>
        </w:sectPr>
      </w:pPr>
    </w:p>
    <w:p>
      <w:pPr>
        <w:pStyle w:val="BodyText"/>
        <w:spacing w:before="1"/>
        <w:rPr>
          <w:sz w:val="10"/>
        </w:rPr>
      </w:pPr>
    </w:p>
    <w:p>
      <w:pPr>
        <w:pStyle w:val="Heading2"/>
        <w:tabs>
          <w:tab w:pos="1240" w:val="left" w:leader="none"/>
        </w:tabs>
        <w:spacing w:before="44"/>
        <w:ind w:left="120"/>
      </w:pPr>
      <w:r>
        <w:rPr/>
        <w:t>第三節</w:t>
        <w:tab/>
      </w:r>
      <w:r>
        <w:rPr>
          <w:w w:val="95"/>
        </w:rPr>
        <w:t>研究方法與研究限制</w:t>
      </w:r>
    </w:p>
    <w:p>
      <w:pPr>
        <w:pStyle w:val="BodyText"/>
        <w:rPr>
          <w:b/>
          <w:sz w:val="28"/>
        </w:rPr>
      </w:pPr>
    </w:p>
    <w:p>
      <w:pPr>
        <w:pStyle w:val="BodyText"/>
        <w:spacing w:before="2"/>
        <w:rPr>
          <w:b/>
          <w:sz w:val="23"/>
        </w:rPr>
      </w:pPr>
    </w:p>
    <w:p>
      <w:pPr>
        <w:pStyle w:val="Heading3"/>
        <w:ind w:left="120"/>
        <w:rPr>
          <w:rFonts w:ascii="新細明體" w:eastAsia="新細明體" w:hint="eastAsia"/>
        </w:rPr>
      </w:pPr>
      <w:r>
        <w:rPr>
          <w:rFonts w:ascii="新細明體" w:eastAsia="新細明體" w:hint="eastAsia"/>
          <w:w w:val="95"/>
        </w:rPr>
        <w:t>一、研究方法</w:t>
      </w:r>
    </w:p>
    <w:p>
      <w:pPr>
        <w:pStyle w:val="BodyText"/>
        <w:rPr>
          <w:b/>
        </w:rPr>
      </w:pPr>
    </w:p>
    <w:p>
      <w:pPr>
        <w:pStyle w:val="BodyText"/>
        <w:spacing w:before="3"/>
        <w:rPr>
          <w:b/>
          <w:sz w:val="29"/>
        </w:rPr>
      </w:pPr>
    </w:p>
    <w:p>
      <w:pPr>
        <w:spacing w:before="0"/>
        <w:ind w:left="120" w:right="0" w:firstLine="0"/>
        <w:jc w:val="left"/>
        <w:rPr>
          <w:rFonts w:ascii="標楷體" w:eastAsia="標楷體" w:hint="eastAsia"/>
          <w:b/>
          <w:sz w:val="24"/>
        </w:rPr>
      </w:pPr>
      <w:r>
        <w:rPr>
          <w:rFonts w:ascii="標楷體" w:eastAsia="標楷體" w:hint="eastAsia"/>
          <w:b/>
          <w:sz w:val="24"/>
        </w:rPr>
        <w:t>（一）文獻歸納法與分析法</w:t>
      </w:r>
    </w:p>
    <w:p>
      <w:pPr>
        <w:pStyle w:val="BodyText"/>
        <w:spacing w:before="5"/>
        <w:rPr>
          <w:rFonts w:ascii="標楷體"/>
          <w:b/>
          <w:sz w:val="29"/>
        </w:rPr>
      </w:pPr>
    </w:p>
    <w:p>
      <w:pPr>
        <w:pStyle w:val="BodyText"/>
        <w:spacing w:line="295" w:lineRule="auto" w:before="1"/>
        <w:ind w:left="120" w:right="215" w:firstLine="480"/>
        <w:jc w:val="both"/>
      </w:pPr>
      <w:r>
        <w:rPr>
          <w:spacing w:val="-2"/>
        </w:rPr>
        <w:t>文獻之蒐集、整理及分析乃法學研究所必要且最為基礎之課題，因此，本研</w:t>
      </w:r>
      <w:r>
        <w:rPr>
          <w:spacing w:val="-1"/>
        </w:rPr>
        <w:t>究計畫預計蒐集國內外與研究議題相關連之文獻，如教科書、專書、研究報告、</w:t>
      </w:r>
      <w:r>
        <w:rPr>
          <w:spacing w:val="-2"/>
        </w:rPr>
        <w:t>期刊論文及相關實務見解，以供本研究之使用。此外，研究團隊也將致力於實務案例的蒐集與分析，從中瞭解實務問題之所在，並藉此提出有助於實務運作之建</w:t>
      </w:r>
      <w:r>
        <w:rPr/>
        <w:t>議。</w:t>
      </w:r>
    </w:p>
    <w:p>
      <w:pPr>
        <w:pStyle w:val="BodyText"/>
        <w:spacing w:before="3"/>
      </w:pPr>
    </w:p>
    <w:p>
      <w:pPr>
        <w:pStyle w:val="Heading3"/>
        <w:ind w:left="120"/>
      </w:pPr>
      <w:r>
        <w:rPr/>
        <w:t>（二）專家座談研究法</w:t>
      </w:r>
    </w:p>
    <w:p>
      <w:pPr>
        <w:pStyle w:val="BodyText"/>
        <w:spacing w:before="5"/>
        <w:rPr>
          <w:rFonts w:ascii="標楷體"/>
          <w:b/>
          <w:sz w:val="29"/>
        </w:rPr>
      </w:pPr>
    </w:p>
    <w:p>
      <w:pPr>
        <w:pStyle w:val="BodyText"/>
        <w:spacing w:line="295" w:lineRule="auto" w:before="1"/>
        <w:ind w:left="120" w:right="277" w:firstLine="480"/>
        <w:jc w:val="both"/>
      </w:pPr>
      <w:r>
        <w:rPr>
          <w:spacing w:val="-3"/>
        </w:rPr>
        <w:t>本研究計畫預計舉辦一場學者專家座談會，邀請公法學者、行政法院法官及具有公務人員救濟保障實務經驗之專家，就本研究計畫議題進行理論面與實務面</w:t>
      </w:r>
      <w:r>
        <w:rPr/>
        <w:t>之綜合意見討論與交換，並聽取建言，以強化研究成果之理論基礎及可行性。</w:t>
      </w:r>
    </w:p>
    <w:p>
      <w:pPr>
        <w:pStyle w:val="BodyText"/>
        <w:spacing w:before="1"/>
      </w:pPr>
    </w:p>
    <w:p>
      <w:pPr>
        <w:pStyle w:val="Heading3"/>
        <w:ind w:left="120"/>
        <w:rPr>
          <w:rFonts w:ascii="新細明體" w:eastAsia="新細明體" w:hint="eastAsia"/>
        </w:rPr>
      </w:pPr>
      <w:r>
        <w:rPr>
          <w:rFonts w:ascii="新細明體" w:eastAsia="新細明體" w:hint="eastAsia"/>
          <w:w w:val="95"/>
        </w:rPr>
        <w:t>二、研究限制</w:t>
      </w:r>
    </w:p>
    <w:p>
      <w:pPr>
        <w:pStyle w:val="BodyText"/>
        <w:spacing w:before="5"/>
        <w:rPr>
          <w:b/>
          <w:sz w:val="29"/>
        </w:rPr>
      </w:pPr>
    </w:p>
    <w:p>
      <w:pPr>
        <w:pStyle w:val="BodyText"/>
        <w:spacing w:line="295" w:lineRule="auto"/>
        <w:ind w:left="120" w:right="277" w:firstLine="480"/>
        <w:jc w:val="both"/>
      </w:pPr>
      <w:r>
        <w:rPr>
          <w:spacing w:val="-3"/>
        </w:rPr>
        <w:t>本研究計畫擬參考外國公務人員保障之立法資料作為比較、參考之對象，惟坊間針對公務人員保障之專書取得不易，甚或付之闕漏，因此，僅能從現行外國法規之觀察，或閱讀保訓會委託之研究計畫成果，始能為有體系之瞭解。雖保訓會所委託之外國公務人員保障制度研究案距今均有十年以上，本文仍會對照外國公務人員保障之最新法規與本研究計畫所涉及之議題是否有所變動，以作為參考</w:t>
      </w:r>
      <w:r>
        <w:rPr/>
        <w:t>之依據。</w:t>
      </w:r>
    </w:p>
    <w:p>
      <w:pPr>
        <w:spacing w:after="0" w:line="295" w:lineRule="auto"/>
        <w:jc w:val="both"/>
        <w:sectPr>
          <w:pgSz w:w="11910" w:h="16840"/>
          <w:pgMar w:header="0" w:footer="1019" w:top="1600" w:bottom="1200" w:left="1680" w:right="1520"/>
        </w:sectPr>
      </w:pPr>
    </w:p>
    <w:p>
      <w:pPr>
        <w:pStyle w:val="BodyText"/>
        <w:spacing w:before="6"/>
        <w:rPr>
          <w:sz w:val="21"/>
        </w:rPr>
      </w:pPr>
    </w:p>
    <w:p>
      <w:pPr>
        <w:pStyle w:val="Heading1"/>
        <w:tabs>
          <w:tab w:pos="1400" w:val="left" w:leader="none"/>
        </w:tabs>
        <w:ind w:left="120"/>
      </w:pPr>
      <w:r>
        <w:rPr/>
        <w:t>第二章</w:t>
        <w:tab/>
        <w:t>再申訴決定確定後進行再審議制度之可行性</w:t>
      </w:r>
    </w:p>
    <w:p>
      <w:pPr>
        <w:pStyle w:val="BodyText"/>
        <w:spacing w:before="2"/>
        <w:rPr>
          <w:b/>
          <w:sz w:val="38"/>
        </w:rPr>
      </w:pPr>
    </w:p>
    <w:p>
      <w:pPr>
        <w:pStyle w:val="BodyText"/>
        <w:spacing w:line="295" w:lineRule="auto" w:before="1"/>
        <w:ind w:left="120" w:right="272" w:firstLine="480"/>
        <w:jc w:val="both"/>
      </w:pPr>
      <w:r>
        <w:rPr>
          <w:spacing w:val="-3"/>
        </w:rPr>
        <w:t>公務人員保障法所提供的保障包括實體保障，以及此等實體權益受到侵害時</w:t>
      </w:r>
      <w:r>
        <w:rPr/>
        <w:t>尋求救濟之程序保障</w:t>
      </w:r>
      <w:r>
        <w:rPr>
          <w:rFonts w:ascii="Times New Roman" w:eastAsia="Times New Roman"/>
          <w:vertAlign w:val="superscript"/>
        </w:rPr>
        <w:t>1</w:t>
      </w:r>
      <w:r>
        <w:rPr>
          <w:vertAlign w:val="baseline"/>
        </w:rPr>
        <w:t>。所謂實體保障，包括公務人員身分、官職等級、俸給、工作條件、管理措施等有關權益的保障</w:t>
      </w:r>
      <w:r>
        <w:rPr>
          <w:rFonts w:ascii="Times New Roman" w:eastAsia="Times New Roman"/>
          <w:vertAlign w:val="superscript"/>
        </w:rPr>
        <w:t>2</w:t>
      </w:r>
      <w:r>
        <w:rPr>
          <w:vertAlign w:val="baseline"/>
        </w:rPr>
        <w:t>。當此等實體保障遭受侵害時，必須有</w:t>
      </w:r>
      <w:r>
        <w:rPr>
          <w:spacing w:val="-3"/>
          <w:vertAlign w:val="baseline"/>
        </w:rPr>
        <w:t>一套爭訟制度以資救濟，此即所謂程序保障。公務人員保障法之救濟制度可概分</w:t>
      </w:r>
      <w:r>
        <w:rPr>
          <w:vertAlign w:val="baseline"/>
        </w:rPr>
        <w:t>為「復審」以及「申訴、再申訴」兩種</w:t>
      </w:r>
      <w:r>
        <w:rPr>
          <w:rFonts w:ascii="Times New Roman" w:eastAsia="Times New Roman"/>
          <w:vertAlign w:val="superscript"/>
        </w:rPr>
        <w:t>3</w:t>
      </w:r>
      <w:r>
        <w:rPr>
          <w:vertAlign w:val="baseline"/>
        </w:rPr>
        <w:t>。所謂復審，係指公務人員對於服務機</w:t>
      </w:r>
      <w:r>
        <w:rPr>
          <w:spacing w:val="-3"/>
          <w:vertAlign w:val="baseline"/>
        </w:rPr>
        <w:t>關或人事主管機關所為之行政處分，倘認為違法或顯然不當，或</w:t>
      </w:r>
      <w:r>
        <w:rPr>
          <w:rFonts w:ascii="細明體" w:eastAsia="細明體" w:hint="eastAsia"/>
          <w:spacing w:val="-2"/>
          <w:vertAlign w:val="baseline"/>
        </w:rPr>
        <w:t>對其依法申請之</w:t>
      </w:r>
      <w:r>
        <w:rPr>
          <w:rFonts w:ascii="細明體" w:eastAsia="細明體" w:hint="eastAsia"/>
          <w:spacing w:val="-3"/>
          <w:vertAlign w:val="baseline"/>
        </w:rPr>
        <w:t>案件，於法定期間內應作為而不作為，</w:t>
      </w:r>
      <w:r>
        <w:rPr>
          <w:spacing w:val="-3"/>
          <w:vertAlign w:val="baseline"/>
        </w:rPr>
        <w:t>致損害其權利或利益者，向「公務人員保</w:t>
      </w:r>
      <w:r>
        <w:rPr>
          <w:spacing w:val="-2"/>
          <w:vertAlign w:val="baseline"/>
        </w:rPr>
        <w:t>障暨培訓委員會</w:t>
      </w:r>
      <w:r>
        <w:rPr>
          <w:spacing w:val="-144"/>
          <w:vertAlign w:val="baseline"/>
        </w:rPr>
        <w:t>」</w:t>
      </w:r>
      <w:r>
        <w:rPr>
          <w:spacing w:val="-2"/>
          <w:vertAlign w:val="baseline"/>
        </w:rPr>
        <w:t>（</w:t>
      </w:r>
      <w:r>
        <w:rPr>
          <w:spacing w:val="-16"/>
          <w:vertAlign w:val="baseline"/>
        </w:rPr>
        <w:t>以下簡稱「保訓會」</w:t>
      </w:r>
      <w:r>
        <w:rPr>
          <w:spacing w:val="-2"/>
          <w:vertAlign w:val="baseline"/>
        </w:rPr>
        <w:t>）所提起之救濟程序。</w:t>
      </w:r>
      <w:r>
        <w:rPr>
          <w:rFonts w:ascii="細明體" w:eastAsia="細明體" w:hint="eastAsia"/>
          <w:spacing w:val="-2"/>
          <w:vertAlign w:val="baseline"/>
        </w:rPr>
        <w:t>公務人員之遺族亦</w:t>
      </w:r>
      <w:r>
        <w:rPr>
          <w:rFonts w:ascii="細明體" w:eastAsia="細明體" w:hint="eastAsia"/>
          <w:spacing w:val="-4"/>
          <w:vertAlign w:val="baseline"/>
        </w:rPr>
        <w:t>得基於該公務人員身分所生之公法上財產請求權提起復審</w:t>
      </w:r>
      <w:r>
        <w:rPr>
          <w:vertAlign w:val="baseline"/>
        </w:rPr>
        <w:t>（保障法第</w:t>
      </w:r>
      <w:r>
        <w:rPr>
          <w:rFonts w:ascii="Times New Roman" w:eastAsia="Times New Roman"/>
          <w:vertAlign w:val="baseline"/>
        </w:rPr>
        <w:t>25</w:t>
      </w:r>
      <w:r>
        <w:rPr>
          <w:vertAlign w:val="baseline"/>
        </w:rPr>
        <w:t>條及第</w:t>
      </w:r>
      <w:r>
        <w:rPr>
          <w:rFonts w:ascii="Times New Roman" w:eastAsia="Times New Roman"/>
          <w:vertAlign w:val="baseline"/>
        </w:rPr>
        <w:t>26</w:t>
      </w:r>
      <w:r>
        <w:rPr>
          <w:rFonts w:ascii="Times New Roman" w:eastAsia="Times New Roman"/>
          <w:spacing w:val="-58"/>
          <w:vertAlign w:val="baseline"/>
        </w:rPr>
        <w:t> </w:t>
      </w:r>
      <w:r>
        <w:rPr>
          <w:vertAlign w:val="baseline"/>
        </w:rPr>
        <w:t>條參照</w:t>
      </w:r>
      <w:r>
        <w:rPr>
          <w:spacing w:val="-120"/>
          <w:vertAlign w:val="baseline"/>
        </w:rPr>
        <w:t>）</w:t>
      </w:r>
      <w:r>
        <w:rPr>
          <w:vertAlign w:val="baseline"/>
        </w:rPr>
        <w:t>。復審程序大致與訴願法之規定相仿，對於復審決定如有不服，得依法向該管高等行政法院提起行政訴訟</w:t>
      </w:r>
      <w:r>
        <w:rPr>
          <w:rFonts w:ascii="Times New Roman" w:eastAsia="Times New Roman"/>
          <w:vertAlign w:val="superscript"/>
        </w:rPr>
        <w:t>4</w:t>
      </w:r>
      <w:r>
        <w:rPr>
          <w:vertAlign w:val="baseline"/>
        </w:rPr>
        <w:t>。</w:t>
      </w:r>
    </w:p>
    <w:p>
      <w:pPr>
        <w:pStyle w:val="BodyText"/>
        <w:spacing w:before="7"/>
        <w:rPr>
          <w:sz w:val="30"/>
        </w:rPr>
      </w:pPr>
    </w:p>
    <w:p>
      <w:pPr>
        <w:pStyle w:val="BodyText"/>
        <w:spacing w:line="295" w:lineRule="auto"/>
        <w:ind w:left="120" w:right="217" w:firstLine="480"/>
        <w:jc w:val="both"/>
      </w:pPr>
      <w:r>
        <w:rPr>
          <w:spacing w:val="-2"/>
        </w:rPr>
        <w:t>至於申訴、再申訴之制度，依據保障法第</w:t>
      </w:r>
      <w:r>
        <w:rPr>
          <w:rFonts w:ascii="Times New Roman" w:eastAsia="Times New Roman"/>
          <w:spacing w:val="-1"/>
        </w:rPr>
        <w:t>77</w:t>
      </w:r>
      <w:r>
        <w:rPr>
          <w:spacing w:val="-1"/>
        </w:rPr>
        <w:t>條及第</w:t>
      </w:r>
      <w:r>
        <w:rPr>
          <w:rFonts w:ascii="Times New Roman" w:eastAsia="Times New Roman"/>
          <w:spacing w:val="-1"/>
        </w:rPr>
        <w:t>78</w:t>
      </w:r>
      <w:r>
        <w:rPr>
          <w:spacing w:val="-1"/>
        </w:rPr>
        <w:t>條之規定，則指公務人</w:t>
      </w:r>
      <w:r>
        <w:rPr>
          <w:spacing w:val="-2"/>
        </w:rPr>
        <w:t>員對於服務機關所為之管理措施或有關工作條件之處置認為不當，致影響其權益</w:t>
      </w:r>
      <w:r>
        <w:rPr>
          <w:spacing w:val="-19"/>
        </w:rPr>
        <w:t>者，得向該機關提出申訴。對申訴之函復若仍有不服，則可向保訓會提起再申訴，</w:t>
      </w:r>
      <w:r>
        <w:rPr>
          <w:spacing w:val="-60"/>
        </w:rPr>
        <w:t> </w:t>
      </w:r>
      <w:r>
        <w:rPr>
          <w:spacing w:val="-2"/>
        </w:rPr>
        <w:t>此一再申訴決定即為最終之決定。換言之，當事人縱使事後發現再申訴決定有認事用法上之瑕疵，亦無從尋求救濟，此似將導致公務人員之程序保障有所不足。本章即探討是否使再申訴決定得以準用「再審議」規定或其他類似制度，使具有</w:t>
      </w:r>
      <w:r>
        <w:rPr/>
        <w:t>瑕疵之確定再申訴決定得有更正之機會。</w:t>
      </w:r>
    </w:p>
    <w:p>
      <w:pPr>
        <w:pStyle w:val="BodyText"/>
        <w:rPr>
          <w:sz w:val="20"/>
        </w:rPr>
      </w:pPr>
    </w:p>
    <w:p>
      <w:pPr>
        <w:pStyle w:val="BodyText"/>
        <w:rPr>
          <w:sz w:val="20"/>
        </w:rPr>
      </w:pPr>
    </w:p>
    <w:p>
      <w:pPr>
        <w:pStyle w:val="BodyText"/>
        <w:rPr>
          <w:sz w:val="20"/>
        </w:rPr>
      </w:pPr>
    </w:p>
    <w:p>
      <w:pPr>
        <w:pStyle w:val="BodyText"/>
        <w:spacing w:before="5"/>
        <w:rPr>
          <w:sz w:val="23"/>
        </w:rPr>
      </w:pPr>
      <w:r>
        <w:rPr/>
        <w:pict>
          <v:rect style="position:absolute;margin-left:90pt;margin-top:18.294540pt;width:144pt;height:.59999pt;mso-position-horizontal-relative:page;mso-position-vertical-relative:paragraph;z-index:-15728640;mso-wrap-distance-left:0;mso-wrap-distance-right:0" filled="true" fillcolor="#000000" stroked="false">
            <v:fill type="solid"/>
            <w10:wrap type="topAndBottom"/>
          </v:rect>
        </w:pict>
      </w:r>
    </w:p>
    <w:p>
      <w:pPr>
        <w:pStyle w:val="BodyText"/>
        <w:spacing w:before="11"/>
        <w:rPr>
          <w:sz w:val="5"/>
        </w:rPr>
      </w:pPr>
    </w:p>
    <w:p>
      <w:pPr>
        <w:spacing w:line="223" w:lineRule="auto" w:before="121"/>
        <w:ind w:left="120" w:right="222" w:firstLine="0"/>
        <w:jc w:val="left"/>
        <w:rPr>
          <w:sz w:val="22"/>
        </w:rPr>
      </w:pPr>
      <w:r>
        <w:rPr>
          <w:rFonts w:ascii="Times New Roman" w:eastAsia="Times New Roman"/>
          <w:spacing w:val="-3"/>
          <w:sz w:val="22"/>
          <w:vertAlign w:val="superscript"/>
        </w:rPr>
        <w:t>1</w:t>
      </w:r>
      <w:r>
        <w:rPr>
          <w:rFonts w:ascii="Times New Roman" w:eastAsia="Times New Roman"/>
          <w:spacing w:val="34"/>
          <w:sz w:val="22"/>
          <w:vertAlign w:val="baseline"/>
        </w:rPr>
        <w:t> </w:t>
      </w:r>
      <w:r>
        <w:rPr>
          <w:spacing w:val="-3"/>
          <w:sz w:val="22"/>
          <w:vertAlign w:val="baseline"/>
        </w:rPr>
        <w:t>參閱林明鏘、蔡茂寅</w:t>
      </w:r>
      <w:r>
        <w:rPr>
          <w:spacing w:val="-27"/>
          <w:sz w:val="22"/>
          <w:vertAlign w:val="baseline"/>
        </w:rPr>
        <w:t>，〈公務員法〉，收錄於翁岳生編，《行政法</w:t>
      </w:r>
      <w:r>
        <w:rPr>
          <w:spacing w:val="-3"/>
          <w:sz w:val="22"/>
          <w:vertAlign w:val="baseline"/>
        </w:rPr>
        <w:t>（上</w:t>
      </w:r>
      <w:r>
        <w:rPr>
          <w:spacing w:val="-109"/>
          <w:sz w:val="22"/>
          <w:vertAlign w:val="baseline"/>
        </w:rPr>
        <w:t>）</w:t>
      </w:r>
      <w:r>
        <w:rPr>
          <w:spacing w:val="-67"/>
          <w:sz w:val="22"/>
          <w:vertAlign w:val="baseline"/>
        </w:rPr>
        <w:t>》，</w:t>
      </w:r>
      <w:r>
        <w:rPr>
          <w:rFonts w:ascii="Times New Roman" w:eastAsia="Times New Roman"/>
          <w:spacing w:val="-3"/>
          <w:sz w:val="22"/>
          <w:vertAlign w:val="baseline"/>
        </w:rPr>
        <w:t>2006</w:t>
      </w:r>
      <w:r>
        <w:rPr>
          <w:rFonts w:ascii="Times New Roman" w:eastAsia="Times New Roman"/>
          <w:spacing w:val="-9"/>
          <w:sz w:val="22"/>
          <w:vertAlign w:val="baseline"/>
        </w:rPr>
        <w:t> </w:t>
      </w:r>
      <w:r>
        <w:rPr>
          <w:spacing w:val="-7"/>
          <w:sz w:val="22"/>
          <w:vertAlign w:val="baseline"/>
        </w:rPr>
        <w:t>年 </w:t>
      </w:r>
      <w:r>
        <w:rPr>
          <w:rFonts w:ascii="Times New Roman" w:eastAsia="Times New Roman"/>
          <w:spacing w:val="-2"/>
          <w:sz w:val="22"/>
          <w:vertAlign w:val="baseline"/>
        </w:rPr>
        <w:t>10</w:t>
      </w:r>
      <w:r>
        <w:rPr>
          <w:rFonts w:ascii="Times New Roman" w:eastAsia="Times New Roman"/>
          <w:spacing w:val="-9"/>
          <w:sz w:val="22"/>
          <w:vertAlign w:val="baseline"/>
        </w:rPr>
        <w:t> </w:t>
      </w:r>
      <w:r>
        <w:rPr>
          <w:spacing w:val="-2"/>
          <w:sz w:val="22"/>
          <w:vertAlign w:val="baseline"/>
        </w:rPr>
        <w:t>月，</w:t>
      </w:r>
      <w:r>
        <w:rPr>
          <w:spacing w:val="-54"/>
          <w:sz w:val="22"/>
          <w:vertAlign w:val="baseline"/>
        </w:rPr>
        <w:t> </w:t>
      </w:r>
      <w:r>
        <w:rPr>
          <w:spacing w:val="-2"/>
          <w:sz w:val="22"/>
          <w:vertAlign w:val="baseline"/>
        </w:rPr>
        <w:t>頁 </w:t>
      </w:r>
      <w:r>
        <w:rPr>
          <w:rFonts w:ascii="Times New Roman" w:eastAsia="Times New Roman"/>
          <w:sz w:val="22"/>
          <w:vertAlign w:val="baseline"/>
        </w:rPr>
        <w:t>334</w:t>
      </w:r>
      <w:r>
        <w:rPr>
          <w:sz w:val="22"/>
          <w:vertAlign w:val="baseline"/>
        </w:rPr>
        <w:t>。</w:t>
      </w:r>
    </w:p>
    <w:p>
      <w:pPr>
        <w:spacing w:line="223" w:lineRule="auto" w:before="120"/>
        <w:ind w:left="119" w:right="274" w:firstLine="0"/>
        <w:jc w:val="left"/>
        <w:rPr>
          <w:sz w:val="22"/>
        </w:rPr>
      </w:pPr>
      <w:r>
        <w:rPr>
          <w:rFonts w:ascii="Times New Roman" w:eastAsia="Times New Roman"/>
          <w:sz w:val="22"/>
          <w:vertAlign w:val="superscript"/>
        </w:rPr>
        <w:t>2</w:t>
      </w:r>
      <w:r>
        <w:rPr>
          <w:rFonts w:ascii="Times New Roman" w:eastAsia="Times New Roman"/>
          <w:spacing w:val="51"/>
          <w:sz w:val="22"/>
          <w:vertAlign w:val="baseline"/>
        </w:rPr>
        <w:t> </w:t>
      </w:r>
      <w:r>
        <w:rPr>
          <w:spacing w:val="4"/>
          <w:sz w:val="22"/>
          <w:vertAlign w:val="baseline"/>
        </w:rPr>
        <w:t>公務人員保障法第 </w:t>
      </w:r>
      <w:r>
        <w:rPr>
          <w:rFonts w:ascii="Times New Roman" w:eastAsia="Times New Roman"/>
          <w:sz w:val="22"/>
          <w:vertAlign w:val="baseline"/>
        </w:rPr>
        <w:t>2</w:t>
      </w:r>
      <w:r>
        <w:rPr>
          <w:rFonts w:ascii="Times New Roman" w:eastAsia="Times New Roman"/>
          <w:spacing w:val="44"/>
          <w:sz w:val="22"/>
          <w:vertAlign w:val="baseline"/>
        </w:rPr>
        <w:t> </w:t>
      </w:r>
      <w:r>
        <w:rPr>
          <w:spacing w:val="-38"/>
          <w:sz w:val="22"/>
          <w:vertAlign w:val="baseline"/>
        </w:rPr>
        <w:t>條：「</w:t>
      </w:r>
      <w:r>
        <w:rPr>
          <w:rFonts w:ascii="標楷體" w:eastAsia="標楷體" w:hint="eastAsia"/>
          <w:sz w:val="22"/>
          <w:vertAlign w:val="baseline"/>
        </w:rPr>
        <w:t>公務人員身分、官職等級、俸給、工作條件、管理措施等有關權益之保障，適用本法之規定</w:t>
      </w:r>
      <w:r>
        <w:rPr>
          <w:sz w:val="22"/>
          <w:vertAlign w:val="baseline"/>
        </w:rPr>
        <w:t>。」</w:t>
      </w:r>
    </w:p>
    <w:p>
      <w:pPr>
        <w:spacing w:line="223" w:lineRule="auto" w:before="120"/>
        <w:ind w:left="120" w:right="274" w:firstLine="0"/>
        <w:jc w:val="left"/>
        <w:rPr>
          <w:sz w:val="22"/>
        </w:rPr>
      </w:pPr>
      <w:r>
        <w:rPr>
          <w:rFonts w:ascii="Times New Roman" w:eastAsia="Times New Roman"/>
          <w:sz w:val="22"/>
          <w:vertAlign w:val="superscript"/>
        </w:rPr>
        <w:t>3</w:t>
      </w:r>
      <w:r>
        <w:rPr>
          <w:rFonts w:ascii="Times New Roman" w:eastAsia="Times New Roman"/>
          <w:spacing w:val="52"/>
          <w:sz w:val="22"/>
          <w:vertAlign w:val="baseline"/>
        </w:rPr>
        <w:t> </w:t>
      </w:r>
      <w:r>
        <w:rPr>
          <w:spacing w:val="2"/>
          <w:sz w:val="22"/>
          <w:vertAlign w:val="baseline"/>
        </w:rPr>
        <w:t>公務人員保障法第 </w:t>
      </w:r>
      <w:r>
        <w:rPr>
          <w:rFonts w:ascii="Times New Roman" w:eastAsia="Times New Roman"/>
          <w:sz w:val="22"/>
          <w:vertAlign w:val="baseline"/>
        </w:rPr>
        <w:t>4</w:t>
      </w:r>
      <w:r>
        <w:rPr>
          <w:rFonts w:ascii="Times New Roman" w:eastAsia="Times New Roman"/>
          <w:spacing w:val="21"/>
          <w:sz w:val="22"/>
          <w:vertAlign w:val="baseline"/>
        </w:rPr>
        <w:t> </w:t>
      </w:r>
      <w:r>
        <w:rPr>
          <w:spacing w:val="6"/>
          <w:sz w:val="22"/>
          <w:vertAlign w:val="baseline"/>
        </w:rPr>
        <w:t>條第 </w:t>
      </w:r>
      <w:r>
        <w:rPr>
          <w:rFonts w:ascii="Times New Roman" w:eastAsia="Times New Roman"/>
          <w:sz w:val="22"/>
          <w:vertAlign w:val="baseline"/>
        </w:rPr>
        <w:t>1</w:t>
      </w:r>
      <w:r>
        <w:rPr>
          <w:rFonts w:ascii="Times New Roman" w:eastAsia="Times New Roman"/>
          <w:spacing w:val="22"/>
          <w:sz w:val="22"/>
          <w:vertAlign w:val="baseline"/>
        </w:rPr>
        <w:t> </w:t>
      </w:r>
      <w:r>
        <w:rPr>
          <w:spacing w:val="-38"/>
          <w:sz w:val="22"/>
          <w:vertAlign w:val="baseline"/>
        </w:rPr>
        <w:t>項：「</w:t>
      </w:r>
      <w:r>
        <w:rPr>
          <w:rFonts w:ascii="標楷體" w:eastAsia="標楷體" w:hint="eastAsia"/>
          <w:sz w:val="22"/>
          <w:vertAlign w:val="baseline"/>
        </w:rPr>
        <w:t>公務人員權益之救濟，依本法所定復審、申訴、再申訴之程序行之</w:t>
      </w:r>
      <w:r>
        <w:rPr>
          <w:sz w:val="22"/>
          <w:vertAlign w:val="baseline"/>
        </w:rPr>
        <w:t>。」</w:t>
      </w:r>
    </w:p>
    <w:p>
      <w:pPr>
        <w:spacing w:line="223" w:lineRule="auto" w:before="0"/>
        <w:ind w:left="119" w:right="221" w:firstLine="0"/>
        <w:jc w:val="left"/>
        <w:rPr>
          <w:sz w:val="24"/>
        </w:rPr>
      </w:pPr>
      <w:r>
        <w:rPr>
          <w:rFonts w:ascii="Times New Roman" w:eastAsia="Times New Roman"/>
          <w:sz w:val="24"/>
          <w:vertAlign w:val="superscript"/>
        </w:rPr>
        <w:t>4</w:t>
      </w:r>
      <w:r>
        <w:rPr>
          <w:rFonts w:ascii="Times New Roman" w:eastAsia="Times New Roman"/>
          <w:spacing w:val="59"/>
          <w:sz w:val="24"/>
          <w:vertAlign w:val="baseline"/>
        </w:rPr>
        <w:t> </w:t>
      </w:r>
      <w:r>
        <w:rPr>
          <w:spacing w:val="-1"/>
          <w:sz w:val="24"/>
          <w:vertAlign w:val="baseline"/>
        </w:rPr>
        <w:t>公務人員保障法第 </w:t>
      </w:r>
      <w:r>
        <w:rPr>
          <w:rFonts w:ascii="Times New Roman" w:eastAsia="Times New Roman"/>
          <w:sz w:val="24"/>
          <w:vertAlign w:val="baseline"/>
        </w:rPr>
        <w:t>72 </w:t>
      </w:r>
      <w:r>
        <w:rPr>
          <w:spacing w:val="-1"/>
          <w:sz w:val="24"/>
          <w:vertAlign w:val="baseline"/>
        </w:rPr>
        <w:t>條第 </w:t>
      </w:r>
      <w:r>
        <w:rPr>
          <w:rFonts w:ascii="Times New Roman" w:eastAsia="Times New Roman"/>
          <w:sz w:val="24"/>
          <w:vertAlign w:val="baseline"/>
        </w:rPr>
        <w:t>1 </w:t>
      </w:r>
      <w:r>
        <w:rPr>
          <w:spacing w:val="-40"/>
          <w:sz w:val="24"/>
          <w:vertAlign w:val="baseline"/>
        </w:rPr>
        <w:t>項：「</w:t>
      </w:r>
      <w:r>
        <w:rPr>
          <w:rFonts w:ascii="標楷體" w:eastAsia="標楷體" w:hint="eastAsia"/>
          <w:sz w:val="22"/>
          <w:vertAlign w:val="baseline"/>
        </w:rPr>
        <w:t>保訓會復審決定依法得聲明不服者，復審決定</w:t>
      </w:r>
      <w:r>
        <w:rPr>
          <w:rFonts w:ascii="標楷體" w:eastAsia="標楷體" w:hint="eastAsia"/>
          <w:spacing w:val="-1"/>
          <w:sz w:val="22"/>
          <w:vertAlign w:val="baseline"/>
        </w:rPr>
        <w:t>書應附記如不服決定，得於決定書送達之次日起二個月內，依法向該管司法機關請求救</w:t>
      </w:r>
      <w:r>
        <w:rPr>
          <w:rFonts w:ascii="標楷體" w:eastAsia="標楷體" w:hint="eastAsia"/>
          <w:spacing w:val="-2"/>
          <w:sz w:val="22"/>
          <w:vertAlign w:val="baseline"/>
        </w:rPr>
        <w:t>濟。</w:t>
      </w:r>
      <w:r>
        <w:rPr>
          <w:spacing w:val="-16"/>
          <w:sz w:val="24"/>
          <w:vertAlign w:val="baseline"/>
        </w:rPr>
        <w:t>」及同法第 </w:t>
      </w:r>
      <w:r>
        <w:rPr>
          <w:rFonts w:ascii="Times New Roman" w:eastAsia="Times New Roman"/>
          <w:spacing w:val="-2"/>
          <w:sz w:val="24"/>
          <w:vertAlign w:val="baseline"/>
        </w:rPr>
        <w:t>60</w:t>
      </w:r>
      <w:r>
        <w:rPr>
          <w:rFonts w:ascii="Times New Roman" w:eastAsia="Times New Roman"/>
          <w:spacing w:val="-10"/>
          <w:sz w:val="24"/>
          <w:vertAlign w:val="baseline"/>
        </w:rPr>
        <w:t> </w:t>
      </w:r>
      <w:r>
        <w:rPr>
          <w:spacing w:val="-53"/>
          <w:sz w:val="24"/>
          <w:vertAlign w:val="baseline"/>
        </w:rPr>
        <w:t>條：「</w:t>
      </w:r>
      <w:r>
        <w:rPr>
          <w:rFonts w:ascii="標楷體" w:eastAsia="標楷體" w:hint="eastAsia"/>
          <w:spacing w:val="-2"/>
          <w:sz w:val="22"/>
          <w:vertAlign w:val="baseline"/>
        </w:rPr>
        <w:t>復審人對保訓會於復審程序進行中所為之程序上處置不服者，</w:t>
      </w:r>
      <w:r>
        <w:rPr>
          <w:rFonts w:ascii="標楷體" w:eastAsia="標楷體" w:hint="eastAsia"/>
          <w:spacing w:val="-107"/>
          <w:sz w:val="22"/>
          <w:vertAlign w:val="baseline"/>
        </w:rPr>
        <w:t> </w:t>
      </w:r>
      <w:r>
        <w:rPr>
          <w:rFonts w:ascii="標楷體" w:eastAsia="標楷體" w:hint="eastAsia"/>
          <w:sz w:val="22"/>
          <w:vertAlign w:val="baseline"/>
        </w:rPr>
        <w:t>應併同復審決定提起行政訴訟。</w:t>
      </w:r>
      <w:r>
        <w:rPr>
          <w:spacing w:val="-61"/>
          <w:sz w:val="24"/>
          <w:vertAlign w:val="baseline"/>
        </w:rPr>
        <w:t>」。</w:t>
      </w:r>
    </w:p>
    <w:p>
      <w:pPr>
        <w:spacing w:after="0" w:line="223" w:lineRule="auto"/>
        <w:jc w:val="left"/>
        <w:rPr>
          <w:sz w:val="24"/>
        </w:rPr>
        <w:sectPr>
          <w:pgSz w:w="11910" w:h="16840"/>
          <w:pgMar w:header="0" w:footer="1019" w:top="1600" w:bottom="1200" w:left="1680" w:right="1520"/>
        </w:sectPr>
      </w:pPr>
    </w:p>
    <w:p>
      <w:pPr>
        <w:pStyle w:val="BodyText"/>
        <w:spacing w:before="1"/>
        <w:rPr>
          <w:sz w:val="10"/>
        </w:rPr>
      </w:pPr>
    </w:p>
    <w:p>
      <w:pPr>
        <w:pStyle w:val="Heading2"/>
        <w:tabs>
          <w:tab w:pos="1240" w:val="left" w:leader="none"/>
        </w:tabs>
        <w:spacing w:before="44"/>
        <w:ind w:left="120"/>
      </w:pPr>
      <w:r>
        <w:rPr/>
        <w:t>第一節</w:t>
        <w:tab/>
      </w:r>
      <w:r>
        <w:rPr>
          <w:w w:val="95"/>
        </w:rPr>
        <w:t>再申訴事件之內涵與審理程序之分析</w:t>
      </w:r>
    </w:p>
    <w:p>
      <w:pPr>
        <w:pStyle w:val="BodyText"/>
        <w:rPr>
          <w:b/>
          <w:sz w:val="28"/>
        </w:rPr>
      </w:pPr>
    </w:p>
    <w:p>
      <w:pPr>
        <w:pStyle w:val="BodyText"/>
        <w:spacing w:before="2"/>
        <w:rPr>
          <w:b/>
          <w:sz w:val="23"/>
        </w:rPr>
      </w:pPr>
    </w:p>
    <w:p>
      <w:pPr>
        <w:pStyle w:val="Heading3"/>
        <w:ind w:left="120"/>
        <w:rPr>
          <w:rFonts w:ascii="新細明體" w:eastAsia="新細明體" w:hint="eastAsia"/>
        </w:rPr>
      </w:pPr>
      <w:r>
        <w:rPr>
          <w:rFonts w:ascii="新細明體" w:eastAsia="新細明體" w:hint="eastAsia"/>
          <w:w w:val="95"/>
        </w:rPr>
        <w:t>一、再申訴事件之範圍及類型</w:t>
      </w:r>
    </w:p>
    <w:p>
      <w:pPr>
        <w:pStyle w:val="BodyText"/>
        <w:spacing w:before="5"/>
        <w:rPr>
          <w:b/>
          <w:sz w:val="29"/>
        </w:rPr>
      </w:pPr>
    </w:p>
    <w:p>
      <w:pPr>
        <w:pStyle w:val="BodyText"/>
        <w:spacing w:line="295" w:lineRule="auto"/>
        <w:ind w:left="120" w:right="277" w:firstLine="480"/>
        <w:jc w:val="both"/>
      </w:pPr>
      <w:r>
        <w:rPr>
          <w:spacing w:val="-1"/>
        </w:rPr>
        <w:t>再申訴事件之範圍，依據公務人員保障法第 </w:t>
      </w:r>
      <w:r>
        <w:rPr>
          <w:rFonts w:ascii="Times New Roman" w:eastAsia="Times New Roman"/>
        </w:rPr>
        <w:t>77</w:t>
      </w:r>
      <w:r>
        <w:rPr>
          <w:rFonts w:ascii="Times New Roman" w:eastAsia="Times New Roman"/>
          <w:spacing w:val="2"/>
        </w:rPr>
        <w:t> </w:t>
      </w:r>
      <w:r>
        <w:rPr/>
        <w:t>條第 </w:t>
      </w:r>
      <w:r>
        <w:rPr>
          <w:rFonts w:ascii="Times New Roman" w:eastAsia="Times New Roman"/>
        </w:rPr>
        <w:t>1</w:t>
      </w:r>
      <w:r>
        <w:rPr>
          <w:rFonts w:ascii="Times New Roman" w:eastAsia="Times New Roman"/>
          <w:spacing w:val="3"/>
        </w:rPr>
        <w:t> </w:t>
      </w:r>
      <w:r>
        <w:rPr/>
        <w:t>項的規定，限於服務</w:t>
      </w:r>
      <w:r>
        <w:rPr>
          <w:spacing w:val="-20"/>
        </w:rPr>
        <w:t>機關所為之「管理措施」或「工作條件之處置」，然而何謂「管理措施」以及「工</w:t>
      </w:r>
      <w:r>
        <w:rPr>
          <w:spacing w:val="-3"/>
        </w:rPr>
        <w:t>作條件之處置」？保障法條文本身並未進一步加以定義，因此本文以下將嘗試從</w:t>
      </w:r>
      <w:r>
        <w:rPr/>
        <w:t>保訓會之相關函釋及實務案例，歸納「再申訴」事件之案例類型及其範圍。</w:t>
      </w:r>
    </w:p>
    <w:p>
      <w:pPr>
        <w:pStyle w:val="BodyText"/>
        <w:spacing w:before="13"/>
        <w:rPr>
          <w:sz w:val="29"/>
        </w:rPr>
      </w:pPr>
    </w:p>
    <w:p>
      <w:pPr>
        <w:pStyle w:val="BodyText"/>
        <w:spacing w:line="295" w:lineRule="auto"/>
        <w:ind w:left="119" w:right="157" w:firstLine="480"/>
      </w:pPr>
      <w:r>
        <w:rPr>
          <w:rFonts w:ascii="Times New Roman" w:eastAsia="Times New Roman"/>
        </w:rPr>
        <w:t>92</w:t>
      </w:r>
      <w:r>
        <w:rPr>
          <w:rFonts w:ascii="Times New Roman" w:eastAsia="Times New Roman"/>
          <w:spacing w:val="28"/>
        </w:rPr>
        <w:t> </w:t>
      </w:r>
      <w:r>
        <w:rPr/>
        <w:t>年修正前之保障法（舊法）</w:t>
      </w:r>
      <w:r>
        <w:rPr>
          <w:spacing w:val="13"/>
        </w:rPr>
        <w:t>第 </w:t>
      </w:r>
      <w:r>
        <w:rPr>
          <w:rFonts w:ascii="Times New Roman" w:eastAsia="Times New Roman"/>
        </w:rPr>
        <w:t>23</w:t>
      </w:r>
      <w:r>
        <w:rPr>
          <w:rFonts w:ascii="Times New Roman" w:eastAsia="Times New Roman"/>
          <w:spacing w:val="28"/>
        </w:rPr>
        <w:t> </w:t>
      </w:r>
      <w:r>
        <w:rPr>
          <w:spacing w:val="-24"/>
        </w:rPr>
        <w:t>條規定：「</w:t>
      </w:r>
      <w:r>
        <w:rPr>
          <w:rFonts w:ascii="標楷體" w:eastAsia="標楷體" w:hint="eastAsia"/>
        </w:rPr>
        <w:t>公務人員對於服務機關所提</w:t>
      </w:r>
      <w:r>
        <w:rPr>
          <w:rFonts w:ascii="標楷體" w:eastAsia="標楷體" w:hint="eastAsia"/>
          <w:spacing w:val="-1"/>
        </w:rPr>
        <w:t>供之工作條件及所為之管理認為不當者，得依本法提出申訴、再申訴。</w:t>
      </w:r>
      <w:r>
        <w:rPr/>
        <w:t>」依保訓</w:t>
      </w:r>
      <w:r>
        <w:rPr>
          <w:spacing w:val="-2"/>
        </w:rPr>
        <w:t>會 </w:t>
      </w:r>
      <w:r>
        <w:rPr>
          <w:rFonts w:ascii="Times New Roman" w:eastAsia="Times New Roman"/>
        </w:rPr>
        <w:t>86 </w:t>
      </w:r>
      <w:r>
        <w:rPr>
          <w:spacing w:val="-1"/>
        </w:rPr>
        <w:t>年公申決字第 </w:t>
      </w:r>
      <w:r>
        <w:rPr>
          <w:rFonts w:ascii="Times New Roman" w:eastAsia="Times New Roman"/>
        </w:rPr>
        <w:t>00</w:t>
      </w:r>
      <w:r>
        <w:rPr>
          <w:rFonts w:ascii="Times New Roman" w:eastAsia="Times New Roman"/>
          <w:spacing w:val="-9"/>
        </w:rPr>
        <w:t>1</w:t>
      </w:r>
      <w:r>
        <w:rPr>
          <w:rFonts w:ascii="Times New Roman" w:eastAsia="Times New Roman"/>
        </w:rPr>
        <w:t>1 </w:t>
      </w:r>
      <w:r>
        <w:rPr/>
        <w:t>號再申訴決定認為保障法上所稱之工作條件係指</w:t>
      </w:r>
      <w:r>
        <w:rPr>
          <w:rFonts w:ascii="Times New Roman" w:eastAsia="Times New Roman"/>
          <w:spacing w:val="-26"/>
          <w:w w:val="99"/>
          <w:vertAlign w:val="superscript"/>
        </w:rPr>
        <w:t>5</w:t>
      </w:r>
      <w:r>
        <w:rPr>
          <w:spacing w:val="-146"/>
          <w:vertAlign w:val="baseline"/>
        </w:rPr>
        <w:t>：</w:t>
      </w:r>
      <w:r>
        <w:rPr>
          <w:spacing w:val="-3"/>
          <w:vertAlign w:val="baseline"/>
        </w:rPr>
        <w:t>（</w:t>
      </w:r>
      <w:r>
        <w:rPr>
          <w:rFonts w:ascii="Times New Roman" w:eastAsia="Times New Roman"/>
          <w:spacing w:val="-3"/>
          <w:vertAlign w:val="baseline"/>
        </w:rPr>
        <w:t>1</w:t>
      </w:r>
      <w:r>
        <w:rPr>
          <w:spacing w:val="-3"/>
          <w:vertAlign w:val="baseline"/>
        </w:rPr>
        <w:t>）</w:t>
      </w:r>
      <w:r>
        <w:rPr>
          <w:spacing w:val="-1"/>
          <w:vertAlign w:val="baseline"/>
        </w:rPr>
        <w:t>提供必要之機具設備及良好工作環境</w:t>
      </w:r>
      <w:r>
        <w:rPr>
          <w:spacing w:val="-132"/>
          <w:vertAlign w:val="baseline"/>
        </w:rPr>
        <w:t>；</w:t>
      </w:r>
      <w:r>
        <w:rPr>
          <w:vertAlign w:val="baseline"/>
        </w:rPr>
        <w:t>（</w:t>
      </w:r>
      <w:r>
        <w:rPr>
          <w:rFonts w:ascii="Times New Roman" w:eastAsia="Times New Roman"/>
          <w:vertAlign w:val="baseline"/>
        </w:rPr>
        <w:t>2</w:t>
      </w:r>
      <w:r>
        <w:rPr>
          <w:spacing w:val="-24"/>
          <w:vertAlign w:val="baseline"/>
        </w:rPr>
        <w:t>）</w:t>
      </w:r>
      <w:r>
        <w:rPr>
          <w:spacing w:val="-15"/>
          <w:vertAlign w:val="baseline"/>
        </w:rPr>
        <w:t>保障執行職務之安全；</w:t>
      </w:r>
      <w:r>
        <w:rPr>
          <w:vertAlign w:val="baseline"/>
        </w:rPr>
        <w:t>（</w:t>
      </w:r>
      <w:r>
        <w:rPr>
          <w:rFonts w:ascii="Times New Roman" w:eastAsia="Times New Roman"/>
          <w:vertAlign w:val="baseline"/>
        </w:rPr>
        <w:t>3</w:t>
      </w:r>
      <w:r>
        <w:rPr>
          <w:spacing w:val="-24"/>
          <w:vertAlign w:val="baseline"/>
        </w:rPr>
        <w:t>）</w:t>
      </w:r>
      <w:r>
        <w:rPr>
          <w:vertAlign w:val="baseline"/>
        </w:rPr>
        <w:t>禁止指派</w:t>
      </w:r>
      <w:r>
        <w:rPr>
          <w:spacing w:val="-24"/>
          <w:vertAlign w:val="baseline"/>
        </w:rPr>
        <w:t>違法之工作；</w:t>
      </w:r>
      <w:r>
        <w:rPr>
          <w:vertAlign w:val="baseline"/>
        </w:rPr>
        <w:t>（</w:t>
      </w:r>
      <w:r>
        <w:rPr>
          <w:rFonts w:ascii="Times New Roman" w:eastAsia="Times New Roman"/>
          <w:vertAlign w:val="baseline"/>
        </w:rPr>
        <w:t>4</w:t>
      </w:r>
      <w:r>
        <w:rPr>
          <w:spacing w:val="-20"/>
          <w:vertAlign w:val="baseline"/>
        </w:rPr>
        <w:t>）</w:t>
      </w:r>
      <w:r>
        <w:rPr>
          <w:spacing w:val="-11"/>
          <w:vertAlign w:val="baseline"/>
        </w:rPr>
        <w:t>協助依法執行職務之訴訟事件；</w:t>
      </w:r>
      <w:r>
        <w:rPr>
          <w:vertAlign w:val="baseline"/>
        </w:rPr>
        <w:t>（</w:t>
      </w:r>
      <w:r>
        <w:rPr>
          <w:rFonts w:ascii="Times New Roman" w:eastAsia="Times New Roman"/>
          <w:vertAlign w:val="baseline"/>
        </w:rPr>
        <w:t>5</w:t>
      </w:r>
      <w:r>
        <w:rPr>
          <w:spacing w:val="-20"/>
          <w:vertAlign w:val="baseline"/>
        </w:rPr>
        <w:t>）</w:t>
      </w:r>
      <w:r>
        <w:rPr>
          <w:spacing w:val="-3"/>
          <w:vertAlign w:val="baseline"/>
        </w:rPr>
        <w:t>加班後之相當補償。針對</w:t>
      </w:r>
      <w:r>
        <w:rPr>
          <w:spacing w:val="-1"/>
          <w:vertAlign w:val="baseline"/>
        </w:rPr>
        <w:t>前述「工作條件」的歸類，有學者認為應有再斟酌之必要，蓋依據勞動法通說的</w:t>
      </w:r>
      <w:r>
        <w:rPr>
          <w:vertAlign w:val="baseline"/>
        </w:rPr>
        <w:t>見解，工作條件係以工作薪資（工資</w:t>
      </w:r>
      <w:r>
        <w:rPr>
          <w:spacing w:val="-128"/>
          <w:vertAlign w:val="baseline"/>
        </w:rPr>
        <w:t>）</w:t>
      </w:r>
      <w:r>
        <w:rPr>
          <w:vertAlign w:val="baseline"/>
        </w:rPr>
        <w:t>、工作時間（工時</w:t>
      </w:r>
      <w:r>
        <w:rPr>
          <w:spacing w:val="-128"/>
          <w:vertAlign w:val="baseline"/>
        </w:rPr>
        <w:t>）</w:t>
      </w:r>
      <w:r>
        <w:rPr>
          <w:vertAlign w:val="baseline"/>
        </w:rPr>
        <w:t>、工作地點（工地）及休假等為主要內容</w:t>
      </w:r>
      <w:r>
        <w:rPr>
          <w:rFonts w:ascii="Times New Roman" w:eastAsia="Times New Roman"/>
          <w:vertAlign w:val="superscript"/>
        </w:rPr>
        <w:t>6</w:t>
      </w:r>
      <w:r>
        <w:rPr>
          <w:spacing w:val="1"/>
          <w:vertAlign w:val="baseline"/>
        </w:rPr>
        <w:t>。循此見解，前述保訓會 </w:t>
      </w:r>
      <w:r>
        <w:rPr>
          <w:rFonts w:ascii="Times New Roman" w:eastAsia="Times New Roman"/>
          <w:vertAlign w:val="baseline"/>
        </w:rPr>
        <w:t>86</w:t>
      </w:r>
      <w:r>
        <w:rPr>
          <w:rFonts w:ascii="Times New Roman" w:eastAsia="Times New Roman"/>
          <w:spacing w:val="17"/>
          <w:vertAlign w:val="baseline"/>
        </w:rPr>
        <w:t> </w:t>
      </w:r>
      <w:r>
        <w:rPr>
          <w:spacing w:val="2"/>
          <w:vertAlign w:val="baseline"/>
        </w:rPr>
        <w:t>年公申決字第 </w:t>
      </w:r>
      <w:r>
        <w:rPr>
          <w:rFonts w:ascii="Times New Roman" w:eastAsia="Times New Roman"/>
          <w:vertAlign w:val="baseline"/>
        </w:rPr>
        <w:t>0011</w:t>
      </w:r>
      <w:r>
        <w:rPr>
          <w:rFonts w:ascii="Times New Roman" w:eastAsia="Times New Roman"/>
          <w:spacing w:val="16"/>
          <w:vertAlign w:val="baseline"/>
        </w:rPr>
        <w:t> </w:t>
      </w:r>
      <w:r>
        <w:rPr>
          <w:vertAlign w:val="baseline"/>
        </w:rPr>
        <w:t>號再申訴決</w:t>
      </w:r>
      <w:r>
        <w:rPr>
          <w:spacing w:val="-7"/>
          <w:vertAlign w:val="baseline"/>
        </w:rPr>
        <w:t>定中，關於「協助依法執行職務之訴訟事件」</w:t>
      </w:r>
      <w:r>
        <w:rPr>
          <w:vertAlign w:val="baseline"/>
        </w:rPr>
        <w:t>（即涉訟輔助）此一類型，與工作</w:t>
      </w:r>
      <w:r>
        <w:rPr>
          <w:spacing w:val="-1"/>
          <w:vertAlign w:val="baseline"/>
        </w:rPr>
        <w:t>條件並無相關，應屬對公務人員因執行職務引發糾紛之實體保障規定；至於「提</w:t>
      </w:r>
      <w:r>
        <w:rPr>
          <w:vertAlign w:val="baseline"/>
        </w:rPr>
        <w:t>供必要之機具設備及良好工作環境</w:t>
      </w:r>
      <w:r>
        <w:rPr>
          <w:spacing w:val="-32"/>
          <w:vertAlign w:val="baseline"/>
        </w:rPr>
        <w:t>」、「保障執行職務之安全」、「禁止指派違法之</w:t>
      </w:r>
      <w:r>
        <w:rPr>
          <w:spacing w:val="-1"/>
          <w:vertAlign w:val="baseline"/>
        </w:rPr>
        <w:t>工作」及「加班後之相當補償」嚴格來說並不涉及工作條件，而應屬類似於「管</w:t>
      </w:r>
      <w:r>
        <w:rPr>
          <w:spacing w:val="-28"/>
          <w:vertAlign w:val="baseline"/>
        </w:rPr>
        <w:t>理措施」之「勤務內容」。而在舊法下所謂「管理」，依據實務上的歸類包括：</w:t>
      </w:r>
      <w:r>
        <w:rPr>
          <w:spacing w:val="-5"/>
          <w:vertAlign w:val="baseline"/>
        </w:rPr>
        <w:t>（</w:t>
      </w:r>
      <w:r>
        <w:rPr>
          <w:rFonts w:ascii="Times New Roman" w:eastAsia="Times New Roman"/>
          <w:spacing w:val="-4"/>
          <w:vertAlign w:val="baseline"/>
        </w:rPr>
        <w:t>1</w:t>
      </w:r>
      <w:r>
        <w:rPr>
          <w:spacing w:val="-5"/>
          <w:vertAlign w:val="baseline"/>
        </w:rPr>
        <w:t>）</w:t>
      </w:r>
      <w:r>
        <w:rPr>
          <w:spacing w:val="-18"/>
          <w:vertAlign w:val="baseline"/>
        </w:rPr>
        <w:t>休假旅遊補助、</w:t>
      </w:r>
      <w:r>
        <w:rPr>
          <w:vertAlign w:val="baseline"/>
        </w:rPr>
        <w:t>（</w:t>
      </w:r>
      <w:r>
        <w:rPr>
          <w:rFonts w:ascii="Times New Roman" w:eastAsia="Times New Roman"/>
          <w:vertAlign w:val="baseline"/>
        </w:rPr>
        <w:t>2</w:t>
      </w:r>
      <w:r>
        <w:rPr>
          <w:vertAlign w:val="baseline"/>
        </w:rPr>
        <w:t>）</w:t>
      </w:r>
      <w:r>
        <w:rPr>
          <w:spacing w:val="-26"/>
          <w:vertAlign w:val="baseline"/>
        </w:rPr>
        <w:t>陞遷考評、</w:t>
      </w:r>
      <w:r>
        <w:rPr>
          <w:vertAlign w:val="baseline"/>
        </w:rPr>
        <w:t>（</w:t>
      </w:r>
      <w:r>
        <w:rPr>
          <w:rFonts w:ascii="Times New Roman" w:eastAsia="Times New Roman"/>
          <w:vertAlign w:val="baseline"/>
        </w:rPr>
        <w:t>3</w:t>
      </w:r>
      <w:r>
        <w:rPr>
          <w:vertAlign w:val="baseline"/>
        </w:rPr>
        <w:t>）</w:t>
      </w:r>
      <w:r>
        <w:rPr>
          <w:spacing w:val="-18"/>
          <w:vertAlign w:val="baseline"/>
        </w:rPr>
        <w:t>考績乙、丙等、</w:t>
      </w:r>
      <w:r>
        <w:rPr>
          <w:vertAlign w:val="baseline"/>
        </w:rPr>
        <w:t>（</w:t>
      </w:r>
      <w:r>
        <w:rPr>
          <w:rFonts w:ascii="Times New Roman" w:eastAsia="Times New Roman"/>
          <w:vertAlign w:val="baseline"/>
        </w:rPr>
        <w:t>4</w:t>
      </w:r>
      <w:r>
        <w:rPr>
          <w:vertAlign w:val="baseline"/>
        </w:rPr>
        <w:t>）</w:t>
      </w:r>
      <w:r>
        <w:rPr>
          <w:spacing w:val="-26"/>
          <w:vertAlign w:val="baseline"/>
        </w:rPr>
        <w:t>請假事件、</w:t>
      </w:r>
      <w:r>
        <w:rPr>
          <w:vertAlign w:val="baseline"/>
        </w:rPr>
        <w:t>（</w:t>
      </w:r>
      <w:r>
        <w:rPr>
          <w:rFonts w:ascii="Times New Roman" w:eastAsia="Times New Roman"/>
          <w:vertAlign w:val="baseline"/>
        </w:rPr>
        <w:t>5</w:t>
      </w:r>
      <w:r>
        <w:rPr>
          <w:vertAlign w:val="baseline"/>
        </w:rPr>
        <w:t>）先予試</w:t>
      </w:r>
      <w:r>
        <w:rPr>
          <w:spacing w:val="-25"/>
          <w:vertAlign w:val="baseline"/>
        </w:rPr>
        <w:t>用之審定、</w:t>
      </w:r>
      <w:r>
        <w:rPr>
          <w:vertAlign w:val="baseline"/>
        </w:rPr>
        <w:t>（</w:t>
      </w:r>
      <w:r>
        <w:rPr>
          <w:rFonts w:ascii="Times New Roman" w:eastAsia="Times New Roman"/>
          <w:vertAlign w:val="baseline"/>
        </w:rPr>
        <w:t>6</w:t>
      </w:r>
      <w:r>
        <w:rPr>
          <w:vertAlign w:val="baseline"/>
        </w:rPr>
        <w:t>）</w:t>
      </w:r>
      <w:r>
        <w:rPr>
          <w:spacing w:val="-24"/>
          <w:vertAlign w:val="baseline"/>
        </w:rPr>
        <w:t>申誡事件、</w:t>
      </w:r>
      <w:r>
        <w:rPr>
          <w:vertAlign w:val="baseline"/>
        </w:rPr>
        <w:t>（</w:t>
      </w:r>
      <w:r>
        <w:rPr>
          <w:rFonts w:ascii="Times New Roman" w:eastAsia="Times New Roman"/>
          <w:vertAlign w:val="baseline"/>
        </w:rPr>
        <w:t>7</w:t>
      </w:r>
      <w:r>
        <w:rPr>
          <w:vertAlign w:val="baseline"/>
        </w:rPr>
        <w:t>）</w:t>
      </w:r>
      <w:r>
        <w:rPr>
          <w:spacing w:val="-24"/>
          <w:vertAlign w:val="baseline"/>
        </w:rPr>
        <w:t>記過事件、</w:t>
      </w:r>
      <w:r>
        <w:rPr>
          <w:vertAlign w:val="baseline"/>
        </w:rPr>
        <w:t>（</w:t>
      </w:r>
      <w:r>
        <w:rPr>
          <w:rFonts w:ascii="Times New Roman" w:eastAsia="Times New Roman"/>
          <w:vertAlign w:val="baseline"/>
        </w:rPr>
        <w:t>8</w:t>
      </w:r>
      <w:r>
        <w:rPr>
          <w:vertAlign w:val="baseline"/>
        </w:rPr>
        <w:t>）工作職務調動或調整及（</w:t>
      </w:r>
      <w:r>
        <w:rPr>
          <w:rFonts w:ascii="Times New Roman" w:eastAsia="Times New Roman"/>
          <w:vertAlign w:val="baseline"/>
        </w:rPr>
        <w:t>9</w:t>
      </w:r>
      <w:r>
        <w:rPr>
          <w:vertAlign w:val="baseline"/>
        </w:rPr>
        <w:t>）回</w:t>
      </w:r>
      <w:r>
        <w:rPr>
          <w:spacing w:val="-7"/>
          <w:vertAlign w:val="baseline"/>
        </w:rPr>
        <w:t>任事件。無論是「工作條件」或「管理措施」，保訓會在其函釋中也特別指出：</w:t>
      </w:r>
      <w:r>
        <w:rPr>
          <w:spacing w:val="1"/>
          <w:vertAlign w:val="baseline"/>
        </w:rPr>
        <w:t> </w:t>
      </w:r>
      <w:r>
        <w:rPr>
          <w:spacing w:val="-1"/>
          <w:vertAlign w:val="baseline"/>
        </w:rPr>
        <w:t>保障法上所稱之工作條件及管理措施，係以有具體事實內容者為要件，若僅針對</w:t>
      </w:r>
      <w:r>
        <w:rPr>
          <w:vertAlign w:val="baseline"/>
        </w:rPr>
        <w:t>抽象法規規定表示不服，則不得提起申訴、再申訴</w:t>
      </w:r>
      <w:r>
        <w:rPr>
          <w:rFonts w:ascii="Times New Roman" w:eastAsia="Times New Roman"/>
          <w:vertAlign w:val="superscript"/>
        </w:rPr>
        <w:t>7</w:t>
      </w:r>
      <w:r>
        <w:rPr>
          <w:vertAlign w:val="baseline"/>
        </w:rPr>
        <w:t>。</w:t>
      </w:r>
    </w:p>
    <w:p>
      <w:pPr>
        <w:pStyle w:val="BodyText"/>
        <w:rPr>
          <w:sz w:val="20"/>
        </w:rPr>
      </w:pPr>
    </w:p>
    <w:p>
      <w:pPr>
        <w:pStyle w:val="BodyText"/>
        <w:spacing w:before="11"/>
        <w:rPr>
          <w:sz w:val="22"/>
        </w:rPr>
      </w:pPr>
      <w:r>
        <w:rPr/>
        <w:pict>
          <v:rect style="position:absolute;margin-left:90pt;margin-top:17.898584pt;width:144pt;height:.600010pt;mso-position-horizontal-relative:page;mso-position-vertical-relative:paragraph;z-index:-15728128;mso-wrap-distance-left:0;mso-wrap-distance-right:0" filled="true" fillcolor="#000000" stroked="false">
            <v:fill type="solid"/>
            <w10:wrap type="topAndBottom"/>
          </v:rect>
        </w:pict>
      </w:r>
    </w:p>
    <w:p>
      <w:pPr>
        <w:pStyle w:val="BodyText"/>
        <w:spacing w:before="11"/>
        <w:rPr>
          <w:sz w:val="5"/>
        </w:rPr>
      </w:pPr>
    </w:p>
    <w:p>
      <w:pPr>
        <w:spacing w:before="105"/>
        <w:ind w:left="120" w:right="0" w:firstLine="0"/>
        <w:jc w:val="left"/>
        <w:rPr>
          <w:rFonts w:ascii="標楷體" w:eastAsia="標楷體" w:hint="eastAsia"/>
          <w:sz w:val="22"/>
        </w:rPr>
      </w:pPr>
      <w:r>
        <w:rPr>
          <w:rFonts w:ascii="Times New Roman" w:eastAsia="Times New Roman"/>
          <w:sz w:val="22"/>
          <w:vertAlign w:val="superscript"/>
        </w:rPr>
        <w:t>5</w:t>
      </w:r>
      <w:r>
        <w:rPr>
          <w:rFonts w:ascii="Times New Roman" w:eastAsia="Times New Roman"/>
          <w:spacing w:val="54"/>
          <w:sz w:val="22"/>
          <w:vertAlign w:val="baseline"/>
        </w:rPr>
        <w:t> </w:t>
      </w:r>
      <w:r>
        <w:rPr>
          <w:spacing w:val="-1"/>
          <w:sz w:val="22"/>
          <w:vertAlign w:val="baseline"/>
        </w:rPr>
        <w:t>詳參考試院公報第 </w:t>
      </w:r>
      <w:r>
        <w:rPr>
          <w:rFonts w:ascii="Times New Roman" w:eastAsia="Times New Roman"/>
          <w:sz w:val="22"/>
          <w:vertAlign w:val="baseline"/>
        </w:rPr>
        <w:t>17</w:t>
      </w:r>
      <w:r>
        <w:rPr>
          <w:rFonts w:ascii="Times New Roman" w:eastAsia="Times New Roman"/>
          <w:spacing w:val="-1"/>
          <w:sz w:val="22"/>
          <w:vertAlign w:val="baseline"/>
        </w:rPr>
        <w:t> </w:t>
      </w:r>
      <w:r>
        <w:rPr>
          <w:spacing w:val="-1"/>
          <w:sz w:val="22"/>
          <w:vertAlign w:val="baseline"/>
        </w:rPr>
        <w:t>卷第 </w:t>
      </w:r>
      <w:r>
        <w:rPr>
          <w:rFonts w:ascii="Times New Roman" w:eastAsia="Times New Roman"/>
          <w:sz w:val="22"/>
          <w:vertAlign w:val="baseline"/>
        </w:rPr>
        <w:t>1 </w:t>
      </w:r>
      <w:r>
        <w:rPr>
          <w:sz w:val="22"/>
          <w:vertAlign w:val="baseline"/>
        </w:rPr>
        <w:t>期</w:t>
      </w:r>
      <w:r>
        <w:rPr>
          <w:rFonts w:ascii="標楷體" w:eastAsia="標楷體" w:hint="eastAsia"/>
          <w:sz w:val="22"/>
          <w:vertAlign w:val="baseline"/>
        </w:rPr>
        <w:t>，</w:t>
      </w:r>
      <w:r>
        <w:rPr>
          <w:rFonts w:ascii="Times New Roman" w:eastAsia="Times New Roman"/>
          <w:sz w:val="22"/>
          <w:vertAlign w:val="baseline"/>
        </w:rPr>
        <w:t>1997</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7 </w:t>
      </w:r>
      <w:r>
        <w:rPr>
          <w:spacing w:val="-1"/>
          <w:sz w:val="22"/>
          <w:vertAlign w:val="baseline"/>
        </w:rPr>
        <w:t>月，頁 </w:t>
      </w:r>
      <w:r>
        <w:rPr>
          <w:rFonts w:ascii="Times New Roman" w:eastAsia="Times New Roman"/>
          <w:sz w:val="22"/>
          <w:vertAlign w:val="baseline"/>
        </w:rPr>
        <w:t>121 </w:t>
      </w:r>
      <w:r>
        <w:rPr>
          <w:sz w:val="22"/>
          <w:vertAlign w:val="baseline"/>
        </w:rPr>
        <w:t>以下</w:t>
      </w:r>
      <w:r>
        <w:rPr>
          <w:rFonts w:ascii="標楷體" w:eastAsia="標楷體" w:hint="eastAsia"/>
          <w:sz w:val="22"/>
          <w:vertAlign w:val="baseline"/>
        </w:rPr>
        <w:t>。</w:t>
      </w:r>
    </w:p>
    <w:p>
      <w:pPr>
        <w:spacing w:line="297" w:lineRule="exact" w:before="98"/>
        <w:ind w:left="120" w:right="0" w:firstLine="0"/>
        <w:jc w:val="left"/>
        <w:rPr>
          <w:sz w:val="22"/>
        </w:rPr>
      </w:pPr>
      <w:r>
        <w:rPr>
          <w:rFonts w:ascii="Times New Roman" w:eastAsia="Times New Roman"/>
          <w:sz w:val="22"/>
          <w:vertAlign w:val="superscript"/>
        </w:rPr>
        <w:t>6</w:t>
      </w:r>
      <w:r>
        <w:rPr>
          <w:rFonts w:ascii="Times New Roman" w:eastAsia="Times New Roman"/>
          <w:spacing w:val="1"/>
          <w:sz w:val="22"/>
          <w:vertAlign w:val="baseline"/>
        </w:rPr>
        <w:t> </w:t>
      </w:r>
      <w:r>
        <w:rPr>
          <w:spacing w:val="-9"/>
          <w:sz w:val="22"/>
          <w:vertAlign w:val="baseline"/>
        </w:rPr>
        <w:t>關於勞動法中對於「工作條件」之內涵，詳參黃程貫，《勞動法》</w:t>
      </w:r>
      <w:r>
        <w:rPr>
          <w:rFonts w:ascii="標楷體" w:eastAsia="標楷體" w:hint="eastAsia"/>
          <w:sz w:val="22"/>
          <w:vertAlign w:val="baseline"/>
        </w:rPr>
        <w:t>，</w:t>
      </w:r>
      <w:r>
        <w:rPr>
          <w:rFonts w:ascii="Times New Roman" w:eastAsia="Times New Roman"/>
          <w:sz w:val="22"/>
          <w:vertAlign w:val="baseline"/>
        </w:rPr>
        <w:t>1996</w:t>
      </w:r>
      <w:r>
        <w:rPr>
          <w:rFonts w:ascii="Times New Roman" w:eastAsia="Times New Roman"/>
          <w:spacing w:val="50"/>
          <w:sz w:val="22"/>
          <w:vertAlign w:val="baseline"/>
        </w:rPr>
        <w:t> </w:t>
      </w:r>
      <w:r>
        <w:rPr>
          <w:spacing w:val="23"/>
          <w:sz w:val="22"/>
          <w:vertAlign w:val="baseline"/>
        </w:rPr>
        <w:t>年 </w:t>
      </w:r>
      <w:r>
        <w:rPr>
          <w:rFonts w:ascii="Times New Roman" w:eastAsia="Times New Roman"/>
          <w:sz w:val="22"/>
          <w:vertAlign w:val="baseline"/>
        </w:rPr>
        <w:t>8</w:t>
      </w:r>
      <w:r>
        <w:rPr>
          <w:rFonts w:ascii="Times New Roman" w:eastAsia="Times New Roman"/>
          <w:spacing w:val="50"/>
          <w:sz w:val="22"/>
          <w:vertAlign w:val="baseline"/>
        </w:rPr>
        <w:t> </w:t>
      </w:r>
      <w:r>
        <w:rPr>
          <w:sz w:val="22"/>
          <w:vertAlign w:val="baseline"/>
        </w:rPr>
        <w:t>月，頁</w:t>
      </w:r>
    </w:p>
    <w:p>
      <w:pPr>
        <w:spacing w:line="297" w:lineRule="exact" w:before="0"/>
        <w:ind w:left="120" w:right="0" w:firstLine="0"/>
        <w:jc w:val="left"/>
        <w:rPr>
          <w:sz w:val="22"/>
        </w:rPr>
      </w:pPr>
      <w:r>
        <w:rPr>
          <w:rFonts w:ascii="Times New Roman" w:eastAsia="Times New Roman"/>
          <w:sz w:val="22"/>
        </w:rPr>
        <w:t>343</w:t>
      </w:r>
      <w:r>
        <w:rPr>
          <w:rFonts w:ascii="Times New Roman" w:eastAsia="Times New Roman"/>
          <w:spacing w:val="-1"/>
          <w:sz w:val="22"/>
        </w:rPr>
        <w:t> </w:t>
      </w:r>
      <w:r>
        <w:rPr>
          <w:sz w:val="22"/>
        </w:rPr>
        <w:t>以下。</w:t>
      </w:r>
    </w:p>
    <w:p>
      <w:pPr>
        <w:spacing w:before="98"/>
        <w:ind w:left="120" w:right="0" w:firstLine="0"/>
        <w:jc w:val="left"/>
        <w:rPr>
          <w:sz w:val="22"/>
        </w:rPr>
      </w:pPr>
      <w:r>
        <w:rPr>
          <w:rFonts w:ascii="Times New Roman" w:eastAsia="Times New Roman"/>
          <w:sz w:val="22"/>
          <w:vertAlign w:val="superscript"/>
        </w:rPr>
        <w:t>7</w:t>
      </w:r>
      <w:r>
        <w:rPr>
          <w:rFonts w:ascii="Times New Roman" w:eastAsia="Times New Roman"/>
          <w:spacing w:val="54"/>
          <w:sz w:val="22"/>
          <w:vertAlign w:val="baseline"/>
        </w:rPr>
        <w:t> </w:t>
      </w:r>
      <w:r>
        <w:rPr>
          <w:spacing w:val="-1"/>
          <w:sz w:val="22"/>
          <w:vertAlign w:val="baseline"/>
        </w:rPr>
        <w:t>詳參保訓會 </w:t>
      </w:r>
      <w:r>
        <w:rPr>
          <w:rFonts w:ascii="Times New Roman" w:eastAsia="Times New Roman"/>
          <w:sz w:val="22"/>
          <w:vertAlign w:val="baseline"/>
        </w:rPr>
        <w:t>86 </w:t>
      </w:r>
      <w:r>
        <w:rPr>
          <w:spacing w:val="-1"/>
          <w:sz w:val="22"/>
          <w:vertAlign w:val="baseline"/>
        </w:rPr>
        <w:t>年度公保字第 </w:t>
      </w:r>
      <w:r>
        <w:rPr>
          <w:rFonts w:ascii="Times New Roman" w:eastAsia="Times New Roman"/>
          <w:sz w:val="22"/>
          <w:vertAlign w:val="baseline"/>
        </w:rPr>
        <w:t>062333</w:t>
      </w:r>
      <w:r>
        <w:rPr>
          <w:rFonts w:ascii="Times New Roman" w:eastAsia="Times New Roman"/>
          <w:spacing w:val="-1"/>
          <w:sz w:val="22"/>
          <w:vertAlign w:val="baseline"/>
        </w:rPr>
        <w:t> </w:t>
      </w:r>
      <w:r>
        <w:rPr>
          <w:sz w:val="22"/>
          <w:vertAlign w:val="baseline"/>
        </w:rPr>
        <w:t>號函。</w:t>
      </w:r>
    </w:p>
    <w:p>
      <w:pPr>
        <w:spacing w:after="0"/>
        <w:jc w:val="left"/>
        <w:rPr>
          <w:sz w:val="22"/>
        </w:rPr>
        <w:sectPr>
          <w:pgSz w:w="11910" w:h="16840"/>
          <w:pgMar w:header="0" w:footer="1019" w:top="1600" w:bottom="1200" w:left="1680" w:right="1520"/>
        </w:sectPr>
      </w:pPr>
    </w:p>
    <w:p>
      <w:pPr>
        <w:pStyle w:val="BodyText"/>
        <w:spacing w:line="295" w:lineRule="auto" w:before="58"/>
        <w:ind w:left="120" w:right="232" w:firstLine="480"/>
        <w:jc w:val="both"/>
      </w:pPr>
      <w:r>
        <w:rPr>
          <w:rFonts w:ascii="Times New Roman" w:eastAsia="Times New Roman"/>
          <w:spacing w:val="-2"/>
        </w:rPr>
        <w:t>92</w:t>
      </w:r>
      <w:r>
        <w:rPr>
          <w:rFonts w:ascii="Times New Roman" w:eastAsia="Times New Roman"/>
          <w:spacing w:val="-11"/>
        </w:rPr>
        <w:t> </w:t>
      </w:r>
      <w:r>
        <w:rPr>
          <w:spacing w:val="-3"/>
        </w:rPr>
        <w:t>年保障法修正後，將原先舊法中第 </w:t>
      </w:r>
      <w:r>
        <w:rPr>
          <w:rFonts w:ascii="Times New Roman" w:eastAsia="Times New Roman"/>
          <w:spacing w:val="-2"/>
        </w:rPr>
        <w:t>23</w:t>
      </w:r>
      <w:r>
        <w:rPr>
          <w:rFonts w:ascii="Times New Roman" w:eastAsia="Times New Roman"/>
          <w:spacing w:val="-10"/>
        </w:rPr>
        <w:t> </w:t>
      </w:r>
      <w:r>
        <w:rPr>
          <w:spacing w:val="-3"/>
        </w:rPr>
        <w:t>條有關申訴之規定移列至第 </w:t>
      </w:r>
      <w:r>
        <w:rPr>
          <w:rFonts w:ascii="Times New Roman" w:eastAsia="Times New Roman"/>
          <w:spacing w:val="-2"/>
        </w:rPr>
        <w:t>77</w:t>
      </w:r>
      <w:r>
        <w:rPr>
          <w:rFonts w:ascii="Times New Roman" w:eastAsia="Times New Roman"/>
          <w:spacing w:val="-10"/>
        </w:rPr>
        <w:t> </w:t>
      </w:r>
      <w:r>
        <w:rPr>
          <w:spacing w:val="-2"/>
        </w:rPr>
        <w:t>條，</w:t>
      </w:r>
      <w:r>
        <w:rPr>
          <w:spacing w:val="-60"/>
        </w:rPr>
        <w:t> </w:t>
      </w:r>
      <w:r>
        <w:rPr/>
        <w:t>條文之用語略調整修正為「</w:t>
      </w:r>
      <w:r>
        <w:rPr>
          <w:rFonts w:ascii="標楷體" w:eastAsia="標楷體" w:hint="eastAsia"/>
        </w:rPr>
        <w:t>服務機關所為之管理措施或有關工作條件之處置</w:t>
      </w:r>
      <w:r>
        <w:rPr/>
        <w:t>」</w:t>
      </w:r>
    </w:p>
    <w:p>
      <w:pPr>
        <w:pStyle w:val="BodyText"/>
        <w:spacing w:line="295" w:lineRule="auto" w:before="2"/>
        <w:ind w:left="120" w:right="272"/>
        <w:jc w:val="both"/>
      </w:pPr>
      <w:r>
        <w:rPr/>
        <w:t>，查保訓會針對「管理措施」一詞所為之解釋</w:t>
      </w:r>
      <w:r>
        <w:rPr>
          <w:rFonts w:ascii="Times New Roman" w:eastAsia="Times New Roman"/>
          <w:vertAlign w:val="superscript"/>
        </w:rPr>
        <w:t>8</w:t>
      </w:r>
      <w:r>
        <w:rPr>
          <w:vertAlign w:val="baseline"/>
        </w:rPr>
        <w:t>，其係指機關未達行政目的所為之作為或不作為（不含屬復審範圍之事項</w:t>
      </w:r>
      <w:r>
        <w:rPr>
          <w:spacing w:val="-121"/>
          <w:vertAlign w:val="baseline"/>
        </w:rPr>
        <w:t>）</w:t>
      </w:r>
      <w:r>
        <w:rPr>
          <w:vertAlign w:val="baseline"/>
        </w:rPr>
        <w:t>，包括機關內部生效之表意行為或事</w:t>
      </w:r>
      <w:r>
        <w:rPr>
          <w:spacing w:val="-3"/>
          <w:vertAlign w:val="baseline"/>
        </w:rPr>
        <w:t>實行為等，均屬管理措施範圍，例如機關長官或主管所為之工作指派、不改變公務人員身分之記一大過、記過、申誡懲處、考績評定或機關長官所發之職務命令</w:t>
      </w:r>
      <w:r>
        <w:rPr>
          <w:spacing w:val="-8"/>
          <w:vertAlign w:val="baseline"/>
        </w:rPr>
        <w:t>等均屬之；至於「工作條件之處置」，保訓會之解釋為，例如服務機關是否提供</w:t>
      </w:r>
      <w:r>
        <w:rPr>
          <w:spacing w:val="-3"/>
          <w:vertAlign w:val="baseline"/>
        </w:rPr>
        <w:t>執行職務必要之機具設備、良好之工作環境、安全及衛生完善措施之提供等均屬之。附帶一提者，保訓會認為服務機關之行政規則，因其係依權限或職權為規範機關內之秩序及運作，所為一般、抽象之規定，尚非具體之管理措施，故依法不</w:t>
      </w:r>
      <w:r>
        <w:rPr>
          <w:vertAlign w:val="baseline"/>
        </w:rPr>
        <w:t>得據以提起救濟。</w:t>
      </w:r>
    </w:p>
    <w:p>
      <w:pPr>
        <w:pStyle w:val="BodyText"/>
        <w:spacing w:before="5"/>
        <w:rPr>
          <w:sz w:val="30"/>
        </w:rPr>
      </w:pPr>
    </w:p>
    <w:p>
      <w:pPr>
        <w:pStyle w:val="BodyText"/>
        <w:spacing w:line="295" w:lineRule="auto" w:before="1"/>
        <w:ind w:left="120" w:right="260" w:firstLine="480"/>
        <w:jc w:val="both"/>
      </w:pPr>
      <w:r>
        <w:rPr>
          <w:spacing w:val="-3"/>
        </w:rPr>
        <w:t>因公務人員之職務內容變化萬千，即便保訓會已針對「管理措施」及「工作條件」為前開解釋，卻仍難認保訓會已對其為清楚之定義，且保訓會亦僅能透過</w:t>
      </w:r>
      <w:r>
        <w:rPr>
          <w:spacing w:val="-18"/>
        </w:rPr>
        <w:t>負面排除之方式，認凡公務人員之服務機關或人事主管機關所為之行為，非屬「復</w:t>
      </w:r>
      <w:r>
        <w:rPr>
          <w:spacing w:val="-3"/>
        </w:rPr>
        <w:t>審事件」之範圍者，始得列入申訴、再申訴事件之範圍，換句話說，先排除復審事件之類型後，再行判斷是否歸類為再申訴事件，因此，為進一步瞭解申訴、再申訴事件之內容，吾人僅能透過保訓會目前實務上處理方式所為之分類，方能達其目的。依據目前保訓會受理之案件分類，再申訴事件之類型，可略分為考績事</w:t>
      </w:r>
      <w:r>
        <w:rPr/>
        <w:t>件</w:t>
      </w:r>
      <w:r>
        <w:rPr>
          <w:rFonts w:ascii="Times New Roman" w:eastAsia="Times New Roman"/>
          <w:vertAlign w:val="superscript"/>
        </w:rPr>
        <w:t>9</w:t>
      </w:r>
      <w:r>
        <w:rPr>
          <w:vertAlign w:val="baseline"/>
        </w:rPr>
        <w:t>、懲處事件</w:t>
      </w:r>
      <w:r>
        <w:rPr>
          <w:rFonts w:ascii="Times New Roman" w:eastAsia="Times New Roman"/>
          <w:vertAlign w:val="superscript"/>
        </w:rPr>
        <w:t>10</w:t>
      </w:r>
      <w:r>
        <w:rPr>
          <w:vertAlign w:val="baseline"/>
        </w:rPr>
        <w:t>、不予續聘事件</w:t>
      </w:r>
      <w:r>
        <w:rPr>
          <w:rFonts w:ascii="Times New Roman" w:eastAsia="Times New Roman"/>
          <w:vertAlign w:val="superscript"/>
        </w:rPr>
        <w:t>11</w:t>
      </w:r>
      <w:r>
        <w:rPr>
          <w:vertAlign w:val="baseline"/>
        </w:rPr>
        <w:t>、解聘事件</w:t>
      </w:r>
      <w:r>
        <w:rPr>
          <w:rFonts w:ascii="Times New Roman" w:eastAsia="Times New Roman"/>
          <w:vertAlign w:val="superscript"/>
        </w:rPr>
        <w:t>12</w:t>
      </w:r>
      <w:r>
        <w:rPr>
          <w:vertAlign w:val="baseline"/>
        </w:rPr>
        <w:t>、工作指派事件</w:t>
      </w:r>
      <w:r>
        <w:rPr>
          <w:rFonts w:ascii="Times New Roman" w:eastAsia="Times New Roman"/>
          <w:vertAlign w:val="superscript"/>
        </w:rPr>
        <w:t>13</w:t>
      </w:r>
      <w:r>
        <w:rPr>
          <w:vertAlign w:val="baseline"/>
        </w:rPr>
        <w:t>、敘獎事件</w:t>
      </w:r>
      <w:r>
        <w:rPr>
          <w:rFonts w:ascii="Times New Roman" w:eastAsia="Times New Roman"/>
          <w:vertAlign w:val="superscript"/>
        </w:rPr>
        <w:t>14</w:t>
      </w:r>
      <w:r>
        <w:rPr>
          <w:vertAlign w:val="baseline"/>
        </w:rPr>
        <w:t>、調任事件</w:t>
      </w:r>
      <w:r>
        <w:rPr>
          <w:rFonts w:ascii="Times New Roman" w:eastAsia="Times New Roman"/>
          <w:vertAlign w:val="superscript"/>
        </w:rPr>
        <w:t>15</w:t>
      </w:r>
      <w:r>
        <w:rPr>
          <w:vertAlign w:val="baseline"/>
        </w:rPr>
        <w:t>、差假事件</w:t>
      </w:r>
      <w:r>
        <w:rPr>
          <w:rFonts w:ascii="Times New Roman" w:eastAsia="Times New Roman"/>
          <w:vertAlign w:val="superscript"/>
        </w:rPr>
        <w:t>16</w:t>
      </w:r>
      <w:r>
        <w:rPr>
          <w:vertAlign w:val="baseline"/>
        </w:rPr>
        <w:t>、行政管理事件</w:t>
      </w:r>
      <w:r>
        <w:rPr>
          <w:rFonts w:ascii="Times New Roman" w:eastAsia="Times New Roman"/>
          <w:vertAlign w:val="superscript"/>
        </w:rPr>
        <w:t>17</w:t>
      </w:r>
      <w:r>
        <w:rPr>
          <w:vertAlign w:val="baseline"/>
        </w:rPr>
        <w:t>、曠職事件</w:t>
      </w:r>
      <w:r>
        <w:rPr>
          <w:rFonts w:ascii="Times New Roman" w:eastAsia="Times New Roman"/>
          <w:vertAlign w:val="superscript"/>
        </w:rPr>
        <w:t>18</w:t>
      </w:r>
      <w:r>
        <w:rPr>
          <w:vertAlign w:val="baseline"/>
        </w:rPr>
        <w:t>、資績計分事件</w:t>
      </w:r>
      <w:r>
        <w:rPr>
          <w:rFonts w:ascii="Times New Roman" w:eastAsia="Times New Roman"/>
          <w:vertAlign w:val="superscript"/>
        </w:rPr>
        <w:t>19</w:t>
      </w:r>
      <w:r>
        <w:rPr>
          <w:vertAlign w:val="baseline"/>
        </w:rPr>
        <w:t>、特別</w:t>
      </w:r>
    </w:p>
    <w:p>
      <w:pPr>
        <w:pStyle w:val="BodyText"/>
        <w:spacing w:before="3"/>
        <w:rPr>
          <w:sz w:val="23"/>
        </w:rPr>
      </w:pPr>
      <w:r>
        <w:rPr/>
        <w:pict>
          <v:rect style="position:absolute;margin-left:90pt;margin-top:18.224678pt;width:144pt;height:.600010pt;mso-position-horizontal-relative:page;mso-position-vertical-relative:paragraph;z-index:-15727616;mso-wrap-distance-left:0;mso-wrap-distance-right:0" filled="true" fillcolor="#000000" stroked="false">
            <v:fill type="solid"/>
            <w10:wrap type="topAndBottom"/>
          </v:rect>
        </w:pict>
      </w:r>
    </w:p>
    <w:p>
      <w:pPr>
        <w:pStyle w:val="BodyText"/>
        <w:spacing w:before="11"/>
        <w:rPr>
          <w:sz w:val="5"/>
        </w:rPr>
      </w:pPr>
    </w:p>
    <w:p>
      <w:pPr>
        <w:spacing w:line="297" w:lineRule="exact" w:before="105"/>
        <w:ind w:left="120" w:right="0" w:firstLine="0"/>
        <w:jc w:val="left"/>
        <w:rPr>
          <w:sz w:val="22"/>
        </w:rPr>
      </w:pPr>
      <w:r>
        <w:rPr>
          <w:rFonts w:ascii="Times New Roman" w:eastAsia="Times New Roman"/>
          <w:sz w:val="22"/>
          <w:vertAlign w:val="superscript"/>
        </w:rPr>
        <w:t>8</w:t>
      </w:r>
      <w:r>
        <w:rPr>
          <w:rFonts w:ascii="Times New Roman" w:eastAsia="Times New Roman"/>
          <w:spacing w:val="52"/>
          <w:sz w:val="22"/>
          <w:vertAlign w:val="baseline"/>
        </w:rPr>
        <w:t> </w:t>
      </w:r>
      <w:r>
        <w:rPr>
          <w:spacing w:val="-17"/>
          <w:sz w:val="22"/>
          <w:vertAlign w:val="baseline"/>
        </w:rPr>
        <w:t>參閱，《公務人員保障法百問》，公務人員保障暨培訓委員會編印，</w:t>
      </w:r>
      <w:r>
        <w:rPr>
          <w:rFonts w:ascii="Times New Roman" w:eastAsia="Times New Roman"/>
          <w:sz w:val="22"/>
          <w:vertAlign w:val="baseline"/>
        </w:rPr>
        <w:t>2011</w:t>
      </w:r>
      <w:r>
        <w:rPr>
          <w:rFonts w:ascii="Times New Roman" w:eastAsia="Times New Roman"/>
          <w:spacing w:val="50"/>
          <w:sz w:val="22"/>
          <w:vertAlign w:val="baseline"/>
        </w:rPr>
        <w:t> </w:t>
      </w:r>
      <w:r>
        <w:rPr>
          <w:spacing w:val="23"/>
          <w:sz w:val="22"/>
          <w:vertAlign w:val="baseline"/>
        </w:rPr>
        <w:t>年 </w:t>
      </w:r>
      <w:r>
        <w:rPr>
          <w:rFonts w:ascii="Times New Roman" w:eastAsia="Times New Roman"/>
          <w:sz w:val="22"/>
          <w:vertAlign w:val="baseline"/>
        </w:rPr>
        <w:t>7</w:t>
      </w:r>
      <w:r>
        <w:rPr>
          <w:rFonts w:ascii="Times New Roman" w:eastAsia="Times New Roman"/>
          <w:spacing w:val="49"/>
          <w:sz w:val="22"/>
          <w:vertAlign w:val="baseline"/>
        </w:rPr>
        <w:t> </w:t>
      </w:r>
      <w:r>
        <w:rPr>
          <w:sz w:val="22"/>
          <w:vertAlign w:val="baseline"/>
        </w:rPr>
        <w:t>月，頁</w:t>
      </w:r>
    </w:p>
    <w:p>
      <w:pPr>
        <w:spacing w:line="297" w:lineRule="exact" w:before="0"/>
        <w:ind w:left="120" w:right="0" w:firstLine="0"/>
        <w:jc w:val="left"/>
        <w:rPr>
          <w:sz w:val="22"/>
        </w:rPr>
      </w:pPr>
      <w:r>
        <w:rPr>
          <w:rFonts w:ascii="Times New Roman" w:eastAsia="Times New Roman"/>
          <w:sz w:val="22"/>
        </w:rPr>
        <w:t>36-37</w:t>
      </w:r>
      <w:r>
        <w:rPr>
          <w:sz w:val="22"/>
        </w:rPr>
        <w:t>。</w:t>
      </w:r>
    </w:p>
    <w:p>
      <w:pPr>
        <w:spacing w:before="100"/>
        <w:ind w:left="120" w:right="0" w:firstLine="0"/>
        <w:jc w:val="left"/>
        <w:rPr>
          <w:sz w:val="22"/>
        </w:rPr>
      </w:pPr>
      <w:r>
        <w:rPr>
          <w:rFonts w:ascii="Times New Roman" w:eastAsia="Times New Roman"/>
          <w:sz w:val="22"/>
          <w:vertAlign w:val="superscript"/>
        </w:rPr>
        <w:t>9</w:t>
      </w:r>
      <w:r>
        <w:rPr>
          <w:rFonts w:ascii="Times New Roman" w:eastAsia="Times New Roman"/>
          <w:spacing w:val="54"/>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0073</w:t>
      </w:r>
      <w:r>
        <w:rPr>
          <w:rFonts w:ascii="Times New Roman" w:eastAsia="Times New Roman"/>
          <w:spacing w:val="-1"/>
          <w:sz w:val="22"/>
          <w:vertAlign w:val="baseline"/>
        </w:rPr>
        <w:t> </w:t>
      </w:r>
      <w:r>
        <w:rPr>
          <w:sz w:val="22"/>
          <w:vertAlign w:val="baseline"/>
        </w:rPr>
        <w:t>號。</w:t>
      </w:r>
    </w:p>
    <w:p>
      <w:pPr>
        <w:spacing w:before="97"/>
        <w:ind w:left="120" w:right="0" w:firstLine="0"/>
        <w:jc w:val="left"/>
        <w:rPr>
          <w:sz w:val="22"/>
        </w:rPr>
      </w:pPr>
      <w:r>
        <w:rPr>
          <w:rFonts w:ascii="Times New Roman" w:eastAsia="Times New Roman"/>
          <w:sz w:val="22"/>
          <w:vertAlign w:val="superscript"/>
        </w:rPr>
        <w:t>10</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2"/>
          <w:sz w:val="22"/>
          <w:vertAlign w:val="baseline"/>
        </w:rPr>
        <w:t> </w:t>
      </w:r>
      <w:r>
        <w:rPr>
          <w:spacing w:val="-1"/>
          <w:sz w:val="22"/>
          <w:vertAlign w:val="baseline"/>
        </w:rPr>
        <w:t>公申決字第 </w:t>
      </w:r>
      <w:r>
        <w:rPr>
          <w:rFonts w:ascii="Times New Roman" w:eastAsia="Times New Roman"/>
          <w:sz w:val="22"/>
          <w:vertAlign w:val="baseline"/>
        </w:rPr>
        <w:t>0075</w:t>
      </w:r>
      <w:r>
        <w:rPr>
          <w:rFonts w:ascii="Times New Roman" w:eastAsia="Times New Roman"/>
          <w:spacing w:val="-1"/>
          <w:sz w:val="22"/>
          <w:vertAlign w:val="baseline"/>
        </w:rPr>
        <w:t> </w:t>
      </w:r>
      <w:r>
        <w:rPr>
          <w:sz w:val="22"/>
          <w:vertAlign w:val="baseline"/>
        </w:rPr>
        <w:t>號。</w:t>
      </w:r>
    </w:p>
    <w:p>
      <w:pPr>
        <w:spacing w:before="100"/>
        <w:ind w:left="120" w:right="0" w:firstLine="0"/>
        <w:jc w:val="left"/>
        <w:rPr>
          <w:sz w:val="22"/>
        </w:rPr>
      </w:pPr>
      <w:r>
        <w:rPr>
          <w:rFonts w:ascii="Times New Roman" w:eastAsia="Times New Roman"/>
          <w:sz w:val="22"/>
          <w:vertAlign w:val="superscript"/>
        </w:rPr>
        <w:t>11</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2"/>
          <w:sz w:val="22"/>
          <w:vertAlign w:val="baseline"/>
        </w:rPr>
        <w:t> </w:t>
      </w:r>
      <w:r>
        <w:rPr>
          <w:spacing w:val="-1"/>
          <w:sz w:val="22"/>
          <w:vertAlign w:val="baseline"/>
        </w:rPr>
        <w:t>公申決字第 </w:t>
      </w:r>
      <w:r>
        <w:rPr>
          <w:rFonts w:ascii="Times New Roman" w:eastAsia="Times New Roman"/>
          <w:sz w:val="22"/>
          <w:vertAlign w:val="baseline"/>
        </w:rPr>
        <w:t>0072</w:t>
      </w:r>
      <w:r>
        <w:rPr>
          <w:rFonts w:ascii="Times New Roman" w:eastAsia="Times New Roman"/>
          <w:spacing w:val="-1"/>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12</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2"/>
          <w:sz w:val="22"/>
          <w:vertAlign w:val="baseline"/>
        </w:rPr>
        <w:t> </w:t>
      </w:r>
      <w:r>
        <w:rPr>
          <w:spacing w:val="-1"/>
          <w:sz w:val="22"/>
          <w:vertAlign w:val="baseline"/>
        </w:rPr>
        <w:t>公申決字第 </w:t>
      </w:r>
      <w:r>
        <w:rPr>
          <w:rFonts w:ascii="Times New Roman" w:eastAsia="Times New Roman"/>
          <w:sz w:val="22"/>
          <w:vertAlign w:val="baseline"/>
        </w:rPr>
        <w:t>0052</w:t>
      </w:r>
      <w:r>
        <w:rPr>
          <w:rFonts w:ascii="Times New Roman" w:eastAsia="Times New Roman"/>
          <w:spacing w:val="-1"/>
          <w:sz w:val="22"/>
          <w:vertAlign w:val="baseline"/>
        </w:rPr>
        <w:t> </w:t>
      </w:r>
      <w:r>
        <w:rPr>
          <w:sz w:val="22"/>
          <w:vertAlign w:val="baseline"/>
        </w:rPr>
        <w:t>號。</w:t>
      </w:r>
    </w:p>
    <w:p>
      <w:pPr>
        <w:spacing w:before="99"/>
        <w:ind w:left="120" w:right="0" w:firstLine="0"/>
        <w:jc w:val="left"/>
        <w:rPr>
          <w:sz w:val="22"/>
        </w:rPr>
      </w:pPr>
      <w:r>
        <w:rPr>
          <w:rFonts w:ascii="Times New Roman" w:eastAsia="Times New Roman"/>
          <w:sz w:val="22"/>
          <w:vertAlign w:val="superscript"/>
        </w:rPr>
        <w:t>13</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2"/>
          <w:sz w:val="22"/>
          <w:vertAlign w:val="baseline"/>
        </w:rPr>
        <w:t> </w:t>
      </w:r>
      <w:r>
        <w:rPr>
          <w:spacing w:val="-1"/>
          <w:sz w:val="22"/>
          <w:vertAlign w:val="baseline"/>
        </w:rPr>
        <w:t>公申決字第 </w:t>
      </w:r>
      <w:r>
        <w:rPr>
          <w:rFonts w:ascii="Times New Roman" w:eastAsia="Times New Roman"/>
          <w:sz w:val="22"/>
          <w:vertAlign w:val="baseline"/>
        </w:rPr>
        <w:t>0049</w:t>
      </w:r>
      <w:r>
        <w:rPr>
          <w:rFonts w:ascii="Times New Roman" w:eastAsia="Times New Roman"/>
          <w:spacing w:val="-1"/>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14</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100</w:t>
      </w:r>
      <w:r>
        <w:rPr>
          <w:rFonts w:ascii="Times New Roman" w:eastAsia="Times New Roman"/>
          <w:spacing w:val="-2"/>
          <w:sz w:val="22"/>
          <w:vertAlign w:val="baseline"/>
        </w:rPr>
        <w:t> </w:t>
      </w:r>
      <w:r>
        <w:rPr>
          <w:spacing w:val="-1"/>
          <w:sz w:val="22"/>
          <w:vertAlign w:val="baseline"/>
        </w:rPr>
        <w:t>公申決字第 </w:t>
      </w:r>
      <w:r>
        <w:rPr>
          <w:rFonts w:ascii="Times New Roman" w:eastAsia="Times New Roman"/>
          <w:sz w:val="22"/>
          <w:vertAlign w:val="baseline"/>
        </w:rPr>
        <w:t>0039</w:t>
      </w:r>
      <w:r>
        <w:rPr>
          <w:rFonts w:ascii="Times New Roman" w:eastAsia="Times New Roman"/>
          <w:spacing w:val="-1"/>
          <w:sz w:val="22"/>
          <w:vertAlign w:val="baseline"/>
        </w:rPr>
        <w:t> </w:t>
      </w:r>
      <w:r>
        <w:rPr>
          <w:sz w:val="22"/>
          <w:vertAlign w:val="baseline"/>
        </w:rPr>
        <w:t>號。</w:t>
      </w:r>
    </w:p>
    <w:p>
      <w:pPr>
        <w:spacing w:before="99"/>
        <w:ind w:left="120" w:right="0" w:firstLine="0"/>
        <w:jc w:val="left"/>
        <w:rPr>
          <w:sz w:val="22"/>
        </w:rPr>
      </w:pPr>
      <w:r>
        <w:rPr>
          <w:rFonts w:ascii="Times New Roman" w:eastAsia="Times New Roman"/>
          <w:sz w:val="22"/>
          <w:vertAlign w:val="superscript"/>
        </w:rPr>
        <w:t>15</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0493</w:t>
      </w:r>
      <w:r>
        <w:rPr>
          <w:rFonts w:ascii="Times New Roman" w:eastAsia="Times New Roman"/>
          <w:spacing w:val="-1"/>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16</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0361</w:t>
      </w:r>
      <w:r>
        <w:rPr>
          <w:rFonts w:ascii="Times New Roman" w:eastAsia="Times New Roman"/>
          <w:spacing w:val="-1"/>
          <w:sz w:val="22"/>
          <w:vertAlign w:val="baseline"/>
        </w:rPr>
        <w:t> </w:t>
      </w:r>
      <w:r>
        <w:rPr>
          <w:sz w:val="22"/>
          <w:vertAlign w:val="baseline"/>
        </w:rPr>
        <w:t>號。</w:t>
      </w:r>
    </w:p>
    <w:p>
      <w:pPr>
        <w:spacing w:before="99"/>
        <w:ind w:left="120" w:right="0" w:firstLine="0"/>
        <w:jc w:val="left"/>
        <w:rPr>
          <w:sz w:val="22"/>
        </w:rPr>
      </w:pPr>
      <w:r>
        <w:rPr>
          <w:rFonts w:ascii="Times New Roman" w:eastAsia="Times New Roman"/>
          <w:sz w:val="22"/>
          <w:vertAlign w:val="superscript"/>
        </w:rPr>
        <w:t>17</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0466</w:t>
      </w:r>
      <w:r>
        <w:rPr>
          <w:rFonts w:ascii="Times New Roman" w:eastAsia="Times New Roman"/>
          <w:spacing w:val="-1"/>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18</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0464</w:t>
      </w:r>
      <w:r>
        <w:rPr>
          <w:rFonts w:ascii="Times New Roman" w:eastAsia="Times New Roman"/>
          <w:spacing w:val="-1"/>
          <w:sz w:val="22"/>
          <w:vertAlign w:val="baseline"/>
        </w:rPr>
        <w:t> </w:t>
      </w:r>
      <w:r>
        <w:rPr>
          <w:sz w:val="22"/>
          <w:vertAlign w:val="baseline"/>
        </w:rPr>
        <w:t>號。</w:t>
      </w:r>
    </w:p>
    <w:p>
      <w:pPr>
        <w:spacing w:after="0"/>
        <w:jc w:val="left"/>
        <w:rPr>
          <w:sz w:val="22"/>
        </w:rPr>
        <w:sectPr>
          <w:pgSz w:w="11910" w:h="16840"/>
          <w:pgMar w:header="0" w:footer="1019" w:top="1420" w:bottom="1200" w:left="1680" w:right="1520"/>
        </w:sectPr>
      </w:pPr>
    </w:p>
    <w:p>
      <w:pPr>
        <w:pStyle w:val="BodyText"/>
        <w:spacing w:before="98"/>
        <w:ind w:left="120"/>
      </w:pPr>
      <w:r>
        <w:rPr>
          <w:spacing w:val="-1"/>
        </w:rPr>
        <w:t>訓練班事件</w:t>
      </w:r>
      <w:r>
        <w:rPr>
          <w:rFonts w:ascii="Times New Roman" w:eastAsia="Times New Roman"/>
          <w:spacing w:val="-1"/>
          <w:vertAlign w:val="superscript"/>
        </w:rPr>
        <w:t>20</w:t>
      </w:r>
      <w:r>
        <w:rPr>
          <w:spacing w:val="-1"/>
          <w:vertAlign w:val="baseline"/>
        </w:rPr>
        <w:t>、進修事件</w:t>
      </w:r>
      <w:r>
        <w:rPr>
          <w:rFonts w:ascii="Times New Roman" w:eastAsia="Times New Roman"/>
          <w:spacing w:val="-1"/>
          <w:vertAlign w:val="superscript"/>
        </w:rPr>
        <w:t>21</w:t>
      </w:r>
      <w:r>
        <w:rPr>
          <w:spacing w:val="-1"/>
          <w:vertAlign w:val="baseline"/>
        </w:rPr>
        <w:t>、遴訓資格事件</w:t>
      </w:r>
      <w:r>
        <w:rPr>
          <w:rFonts w:ascii="Times New Roman" w:eastAsia="Times New Roman"/>
          <w:spacing w:val="-1"/>
          <w:vertAlign w:val="superscript"/>
        </w:rPr>
        <w:t>22</w:t>
      </w:r>
      <w:r>
        <w:rPr>
          <w:spacing w:val="-1"/>
          <w:vertAlign w:val="baseline"/>
        </w:rPr>
        <w:t>、研習需求登記事件</w:t>
      </w:r>
      <w:r>
        <w:rPr>
          <w:rFonts w:ascii="Times New Roman" w:eastAsia="Times New Roman"/>
          <w:vertAlign w:val="superscript"/>
        </w:rPr>
        <w:t>23</w:t>
      </w:r>
      <w:r>
        <w:rPr>
          <w:vertAlign w:val="baseline"/>
        </w:rPr>
        <w:t>、及值班事件</w:t>
      </w:r>
    </w:p>
    <w:p>
      <w:pPr>
        <w:pStyle w:val="BodyText"/>
        <w:spacing w:before="78"/>
        <w:ind w:left="120"/>
      </w:pPr>
      <w:r>
        <w:rPr>
          <w:rFonts w:ascii="Times New Roman" w:eastAsia="Times New Roman"/>
          <w:vertAlign w:val="superscript"/>
        </w:rPr>
        <w:t>24</w:t>
      </w:r>
      <w:r>
        <w:rPr>
          <w:vertAlign w:val="baseline"/>
        </w:rPr>
        <w:t>等類型。</w:t>
      </w:r>
    </w:p>
    <w:p>
      <w:pPr>
        <w:pStyle w:val="BodyText"/>
        <w:spacing w:before="3"/>
        <w:rPr>
          <w:sz w:val="35"/>
        </w:rPr>
      </w:pPr>
    </w:p>
    <w:p>
      <w:pPr>
        <w:pStyle w:val="BodyText"/>
        <w:ind w:left="600"/>
        <w:jc w:val="both"/>
      </w:pPr>
      <w:r>
        <w:rPr>
          <w:spacing w:val="2"/>
        </w:rPr>
        <w:t>自 </w:t>
      </w:r>
      <w:r>
        <w:rPr>
          <w:rFonts w:ascii="Times New Roman" w:eastAsia="Times New Roman"/>
        </w:rPr>
        <w:t>90</w:t>
      </w:r>
      <w:r>
        <w:rPr>
          <w:rFonts w:ascii="Times New Roman" w:eastAsia="Times New Roman"/>
          <w:spacing w:val="7"/>
        </w:rPr>
        <w:t> </w:t>
      </w:r>
      <w:r>
        <w:rPr>
          <w:spacing w:val="2"/>
        </w:rPr>
        <w:t>至 </w:t>
      </w:r>
      <w:r>
        <w:rPr>
          <w:rFonts w:ascii="Times New Roman" w:eastAsia="Times New Roman"/>
        </w:rPr>
        <w:t>99</w:t>
      </w:r>
      <w:r>
        <w:rPr>
          <w:rFonts w:ascii="Times New Roman" w:eastAsia="Times New Roman"/>
          <w:spacing w:val="7"/>
        </w:rPr>
        <w:t> </w:t>
      </w:r>
      <w:r>
        <w:rPr/>
        <w:t>年底止，保訓會所受理之保障事件共計 </w:t>
      </w:r>
      <w:r>
        <w:rPr>
          <w:rFonts w:ascii="Times New Roman" w:eastAsia="Times New Roman"/>
        </w:rPr>
        <w:t>9,158</w:t>
      </w:r>
      <w:r>
        <w:rPr>
          <w:rFonts w:ascii="Times New Roman" w:eastAsia="Times New Roman"/>
          <w:spacing w:val="7"/>
        </w:rPr>
        <w:t> </w:t>
      </w:r>
      <w:r>
        <w:rPr/>
        <w:t>件</w:t>
      </w:r>
      <w:r>
        <w:rPr>
          <w:rFonts w:ascii="Times New Roman" w:eastAsia="Times New Roman"/>
          <w:vertAlign w:val="superscript"/>
        </w:rPr>
        <w:t>25</w:t>
      </w:r>
      <w:r>
        <w:rPr>
          <w:vertAlign w:val="baseline"/>
        </w:rPr>
        <w:t>，其中復審事</w:t>
      </w:r>
    </w:p>
    <w:p>
      <w:pPr>
        <w:pStyle w:val="BodyText"/>
        <w:spacing w:line="295" w:lineRule="auto" w:before="79"/>
        <w:ind w:left="120" w:right="214"/>
        <w:jc w:val="both"/>
      </w:pPr>
      <w:r>
        <w:rPr/>
        <w:t>件（</w:t>
      </w:r>
      <w:r>
        <w:rPr>
          <w:spacing w:val="-2"/>
        </w:rPr>
        <w:t>自 </w:t>
      </w:r>
      <w:r>
        <w:rPr>
          <w:rFonts w:ascii="Times New Roman" w:eastAsia="Times New Roman"/>
        </w:rPr>
        <w:t>92 </w:t>
      </w:r>
      <w:r>
        <w:rPr/>
        <w:t>年起開始受理）</w:t>
      </w:r>
      <w:r>
        <w:rPr>
          <w:spacing w:val="-1"/>
        </w:rPr>
        <w:t>計 </w:t>
      </w:r>
      <w:r>
        <w:rPr>
          <w:rFonts w:ascii="Times New Roman" w:eastAsia="Times New Roman"/>
        </w:rPr>
        <w:t>4,098</w:t>
      </w:r>
      <w:r>
        <w:rPr>
          <w:rFonts w:ascii="Times New Roman" w:eastAsia="Times New Roman"/>
          <w:spacing w:val="1"/>
        </w:rPr>
        <w:t> </w:t>
      </w:r>
      <w:r>
        <w:rPr>
          <w:spacing w:val="-1"/>
        </w:rPr>
        <w:t>件，占總件數 </w:t>
      </w:r>
      <w:r>
        <w:rPr>
          <w:rFonts w:ascii="Times New Roman" w:eastAsia="Times New Roman"/>
        </w:rPr>
        <w:t>44.8%</w:t>
      </w:r>
      <w:r>
        <w:rPr/>
        <w:t>；再審議事件（</w:t>
      </w:r>
      <w:r>
        <w:rPr>
          <w:spacing w:val="-1"/>
        </w:rPr>
        <w:t>自 </w:t>
      </w:r>
      <w:r>
        <w:rPr>
          <w:rFonts w:ascii="Times New Roman" w:eastAsia="Times New Roman"/>
        </w:rPr>
        <w:t>91 </w:t>
      </w:r>
      <w:r>
        <w:rPr/>
        <w:t>年</w:t>
      </w:r>
      <w:r>
        <w:rPr>
          <w:spacing w:val="-3"/>
        </w:rPr>
        <w:t>起開始受理</w:t>
      </w:r>
      <w:r>
        <w:rPr>
          <w:spacing w:val="-111"/>
        </w:rPr>
        <w:t>）</w:t>
      </w:r>
      <w:r>
        <w:rPr>
          <w:spacing w:val="-5"/>
        </w:rPr>
        <w:t>累計受理 </w:t>
      </w:r>
      <w:r>
        <w:rPr>
          <w:rFonts w:ascii="Times New Roman" w:eastAsia="Times New Roman"/>
          <w:spacing w:val="-3"/>
        </w:rPr>
        <w:t>131</w:t>
      </w:r>
      <w:r>
        <w:rPr>
          <w:rFonts w:ascii="Times New Roman" w:eastAsia="Times New Roman"/>
          <w:spacing w:val="-9"/>
        </w:rPr>
        <w:t> </w:t>
      </w:r>
      <w:r>
        <w:rPr>
          <w:spacing w:val="-33"/>
        </w:rPr>
        <w:t>件，占 </w:t>
      </w:r>
      <w:r>
        <w:rPr>
          <w:rFonts w:ascii="Times New Roman" w:eastAsia="Times New Roman"/>
          <w:spacing w:val="-3"/>
        </w:rPr>
        <w:t>1.4%</w:t>
      </w:r>
      <w:r>
        <w:rPr>
          <w:spacing w:val="-4"/>
        </w:rPr>
        <w:t>；再申訴事件累計受理 </w:t>
      </w:r>
      <w:r>
        <w:rPr>
          <w:rFonts w:ascii="Times New Roman" w:eastAsia="Times New Roman"/>
          <w:spacing w:val="-3"/>
        </w:rPr>
        <w:t>4,344</w:t>
      </w:r>
      <w:r>
        <w:rPr>
          <w:rFonts w:ascii="Times New Roman" w:eastAsia="Times New Roman"/>
          <w:spacing w:val="-9"/>
        </w:rPr>
        <w:t> </w:t>
      </w:r>
      <w:r>
        <w:rPr>
          <w:spacing w:val="-29"/>
        </w:rPr>
        <w:t>件，占 </w:t>
      </w:r>
      <w:r>
        <w:rPr>
          <w:rFonts w:ascii="Times New Roman" w:eastAsia="Times New Roman"/>
          <w:spacing w:val="-2"/>
        </w:rPr>
        <w:t>47.4%</w:t>
      </w:r>
      <w:r>
        <w:rPr>
          <w:spacing w:val="-2"/>
        </w:rPr>
        <w:t>，</w:t>
      </w:r>
      <w:r>
        <w:rPr>
          <w:spacing w:val="-59"/>
        </w:rPr>
        <w:t> </w:t>
      </w:r>
      <w:r>
        <w:rPr>
          <w:spacing w:val="-1"/>
        </w:rPr>
        <w:t>在扣除再申訴程序不合法而駁回之案件後，再申訴事件審議決定共計 </w:t>
      </w:r>
      <w:r>
        <w:rPr>
          <w:rFonts w:ascii="Times New Roman" w:eastAsia="Times New Roman"/>
        </w:rPr>
        <w:t>3,900 </w:t>
      </w:r>
      <w:r>
        <w:rPr/>
        <w:t>件，</w:t>
      </w:r>
      <w:r>
        <w:rPr>
          <w:spacing w:val="-60"/>
        </w:rPr>
        <w:t> </w:t>
      </w:r>
      <w:r>
        <w:rPr>
          <w:spacing w:val="-1"/>
        </w:rPr>
        <w:t>其中考績事件 </w:t>
      </w:r>
      <w:r>
        <w:rPr>
          <w:rFonts w:ascii="Times New Roman" w:eastAsia="Times New Roman"/>
        </w:rPr>
        <w:t>1,467 </w:t>
      </w:r>
      <w:r>
        <w:rPr>
          <w:spacing w:val="-17"/>
        </w:rPr>
        <w:t>件，占 </w:t>
      </w:r>
      <w:r>
        <w:rPr>
          <w:rFonts w:ascii="Times New Roman" w:eastAsia="Times New Roman"/>
          <w:spacing w:val="-11"/>
        </w:rPr>
        <w:t>37.6%</w:t>
      </w:r>
      <w:r>
        <w:rPr>
          <w:spacing w:val="-3"/>
        </w:rPr>
        <w:t>；懲處事件 </w:t>
      </w:r>
      <w:r>
        <w:rPr>
          <w:rFonts w:ascii="Times New Roman" w:eastAsia="Times New Roman"/>
        </w:rPr>
        <w:t>1,794 </w:t>
      </w:r>
      <w:r>
        <w:rPr>
          <w:spacing w:val="-17"/>
        </w:rPr>
        <w:t>件，占 </w:t>
      </w:r>
      <w:r>
        <w:rPr>
          <w:rFonts w:ascii="Times New Roman" w:eastAsia="Times New Roman"/>
          <w:spacing w:val="-16"/>
        </w:rPr>
        <w:t>46%</w:t>
      </w:r>
      <w:r>
        <w:rPr>
          <w:spacing w:val="-4"/>
        </w:rPr>
        <w:t>；敘獎事件 </w:t>
      </w:r>
      <w:r>
        <w:rPr>
          <w:rFonts w:ascii="Times New Roman" w:eastAsia="Times New Roman"/>
        </w:rPr>
        <w:t>82 </w:t>
      </w:r>
      <w:r>
        <w:rPr>
          <w:spacing w:val="-3"/>
        </w:rPr>
        <w:t>件，</w:t>
      </w:r>
      <w:r>
        <w:rPr>
          <w:spacing w:val="-60"/>
        </w:rPr>
        <w:t> </w:t>
      </w:r>
      <w:r>
        <w:rPr>
          <w:spacing w:val="1"/>
        </w:rPr>
        <w:t>占 </w:t>
      </w:r>
      <w:r>
        <w:rPr>
          <w:rFonts w:ascii="Times New Roman" w:eastAsia="Times New Roman"/>
        </w:rPr>
        <w:t>2.1%</w:t>
      </w:r>
      <w:r>
        <w:rPr/>
        <w:t>；調任 </w:t>
      </w:r>
      <w:r>
        <w:rPr>
          <w:rFonts w:ascii="Times New Roman" w:eastAsia="Times New Roman"/>
        </w:rPr>
        <w:t>137</w:t>
      </w:r>
      <w:r>
        <w:rPr>
          <w:rFonts w:ascii="Times New Roman" w:eastAsia="Times New Roman"/>
          <w:spacing w:val="6"/>
        </w:rPr>
        <w:t> </w:t>
      </w:r>
      <w:r>
        <w:rPr/>
        <w:t>件，占 </w:t>
      </w:r>
      <w:r>
        <w:rPr>
          <w:rFonts w:ascii="Times New Roman" w:eastAsia="Times New Roman"/>
        </w:rPr>
        <w:t>3.5%</w:t>
      </w:r>
      <w:r>
        <w:rPr/>
        <w:t>；差假 </w:t>
      </w:r>
      <w:r>
        <w:rPr>
          <w:rFonts w:ascii="Times New Roman" w:eastAsia="Times New Roman"/>
        </w:rPr>
        <w:t>83</w:t>
      </w:r>
      <w:r>
        <w:rPr>
          <w:rFonts w:ascii="Times New Roman" w:eastAsia="Times New Roman"/>
          <w:spacing w:val="5"/>
        </w:rPr>
        <w:t> </w:t>
      </w:r>
      <w:r>
        <w:rPr/>
        <w:t>件，占 </w:t>
      </w:r>
      <w:r>
        <w:rPr>
          <w:rFonts w:ascii="Times New Roman" w:eastAsia="Times New Roman"/>
        </w:rPr>
        <w:t>2.1%</w:t>
      </w:r>
      <w:r>
        <w:rPr/>
        <w:t>；陞遷 </w:t>
      </w:r>
      <w:r>
        <w:rPr>
          <w:rFonts w:ascii="Times New Roman" w:eastAsia="Times New Roman"/>
        </w:rPr>
        <w:t>34</w:t>
      </w:r>
      <w:r>
        <w:rPr>
          <w:rFonts w:ascii="Times New Roman" w:eastAsia="Times New Roman"/>
          <w:spacing w:val="6"/>
        </w:rPr>
        <w:t> </w:t>
      </w:r>
      <w:r>
        <w:rPr/>
        <w:t>件，占 </w:t>
      </w:r>
      <w:r>
        <w:rPr>
          <w:rFonts w:ascii="Times New Roman" w:eastAsia="Times New Roman"/>
        </w:rPr>
        <w:t>0.9%</w:t>
      </w:r>
      <w:r>
        <w:rPr/>
        <w:t>；</w:t>
      </w:r>
      <w:r>
        <w:rPr>
          <w:spacing w:val="1"/>
        </w:rPr>
        <w:t> </w:t>
      </w:r>
      <w:r>
        <w:rPr>
          <w:spacing w:val="-1"/>
        </w:rPr>
        <w:t>工作指派 </w:t>
      </w:r>
      <w:r>
        <w:rPr>
          <w:rFonts w:ascii="Times New Roman" w:eastAsia="Times New Roman"/>
        </w:rPr>
        <w:t>69 </w:t>
      </w:r>
      <w:r>
        <w:rPr>
          <w:spacing w:val="-1"/>
        </w:rPr>
        <w:t>件，占 </w:t>
      </w:r>
      <w:r>
        <w:rPr>
          <w:rFonts w:ascii="Times New Roman" w:eastAsia="Times New Roman"/>
        </w:rPr>
        <w:t>1.8%</w:t>
      </w:r>
      <w:r>
        <w:rPr>
          <w:spacing w:val="-1"/>
        </w:rPr>
        <w:t>；訓練進修 </w:t>
      </w:r>
      <w:r>
        <w:rPr>
          <w:rFonts w:ascii="Times New Roman" w:eastAsia="Times New Roman"/>
        </w:rPr>
        <w:t>16 </w:t>
      </w:r>
      <w:r>
        <w:rPr>
          <w:spacing w:val="-1"/>
        </w:rPr>
        <w:t>件，占 </w:t>
      </w:r>
      <w:r>
        <w:rPr>
          <w:rFonts w:ascii="Times New Roman" w:eastAsia="Times New Roman"/>
        </w:rPr>
        <w:t>0.4%</w:t>
      </w:r>
      <w:r>
        <w:rPr>
          <w:spacing w:val="-1"/>
        </w:rPr>
        <w:t>；其他 </w:t>
      </w:r>
      <w:r>
        <w:rPr>
          <w:rFonts w:ascii="Times New Roman" w:eastAsia="Times New Roman"/>
        </w:rPr>
        <w:t>218 </w:t>
      </w:r>
      <w:r>
        <w:rPr>
          <w:spacing w:val="-1"/>
        </w:rPr>
        <w:t>件，占 </w:t>
      </w:r>
      <w:r>
        <w:rPr>
          <w:rFonts w:ascii="Times New Roman" w:eastAsia="Times New Roman"/>
        </w:rPr>
        <w:t>5.6%</w:t>
      </w:r>
      <w:r>
        <w:rPr/>
        <w:t>。</w:t>
      </w:r>
    </w:p>
    <w:p>
      <w:pPr>
        <w:pStyle w:val="BodyText"/>
        <w:spacing w:before="1"/>
        <w:rPr>
          <w:sz w:val="30"/>
        </w:rPr>
      </w:pPr>
    </w:p>
    <w:p>
      <w:pPr>
        <w:pStyle w:val="BodyText"/>
        <w:spacing w:line="295" w:lineRule="auto"/>
        <w:ind w:left="120" w:right="270" w:firstLine="489"/>
      </w:pPr>
      <w:r>
        <w:rPr/>
        <w:t>前述各種案件之類型在個案中所爭執之客體，一般認為性質上並非行政處分。蓋依據保障法第 </w:t>
      </w:r>
      <w:r>
        <w:rPr>
          <w:rFonts w:ascii="Times New Roman" w:eastAsia="Times New Roman"/>
        </w:rPr>
        <w:t>25</w:t>
      </w:r>
      <w:r>
        <w:rPr>
          <w:rFonts w:ascii="Times New Roman" w:eastAsia="Times New Roman"/>
          <w:spacing w:val="6"/>
        </w:rPr>
        <w:t> </w:t>
      </w:r>
      <w:r>
        <w:rPr>
          <w:spacing w:val="1"/>
        </w:rPr>
        <w:t>條第 </w:t>
      </w:r>
      <w:r>
        <w:rPr>
          <w:rFonts w:ascii="Times New Roman" w:eastAsia="Times New Roman"/>
        </w:rPr>
        <w:t>1</w:t>
      </w:r>
      <w:r>
        <w:rPr>
          <w:rFonts w:ascii="Times New Roman" w:eastAsia="Times New Roman"/>
          <w:spacing w:val="6"/>
        </w:rPr>
        <w:t> </w:t>
      </w:r>
      <w:r>
        <w:rPr/>
        <w:t>項規定，復審事件之範圍限於服務機關或人事主</w:t>
      </w:r>
    </w:p>
    <w:p>
      <w:pPr>
        <w:pStyle w:val="BodyText"/>
        <w:spacing w:before="3"/>
        <w:ind w:left="120"/>
      </w:pPr>
      <w:r>
        <w:rPr>
          <w:spacing w:val="-14"/>
        </w:rPr>
        <w:t>管機關所為之「行政處分」，因此，保障法第 </w:t>
      </w:r>
      <w:r>
        <w:rPr>
          <w:rFonts w:ascii="Times New Roman" w:eastAsia="Times New Roman"/>
          <w:spacing w:val="-2"/>
        </w:rPr>
        <w:t>77</w:t>
      </w:r>
      <w:r>
        <w:rPr>
          <w:rFonts w:ascii="Times New Roman" w:eastAsia="Times New Roman"/>
          <w:spacing w:val="-10"/>
        </w:rPr>
        <w:t> </w:t>
      </w:r>
      <w:r>
        <w:rPr>
          <w:spacing w:val="-2"/>
        </w:rPr>
        <w:t>條所稱之「管理措施」與「工作</w:t>
      </w:r>
    </w:p>
    <w:p>
      <w:pPr>
        <w:pStyle w:val="BodyText"/>
        <w:spacing w:before="78"/>
        <w:ind w:left="120"/>
      </w:pPr>
      <w:r>
        <w:rPr/>
        <w:t>條件」的處置，相對於保障法第 </w:t>
      </w:r>
      <w:r>
        <w:rPr>
          <w:rFonts w:ascii="Times New Roman" w:eastAsia="Times New Roman"/>
        </w:rPr>
        <w:t>25</w:t>
      </w:r>
      <w:r>
        <w:rPr>
          <w:rFonts w:ascii="Times New Roman" w:eastAsia="Times New Roman"/>
          <w:spacing w:val="13"/>
        </w:rPr>
        <w:t> </w:t>
      </w:r>
      <w:r>
        <w:rPr/>
        <w:t>條之規定，應限於「非行政處分性質」之事</w:t>
      </w:r>
    </w:p>
    <w:p>
      <w:pPr>
        <w:pStyle w:val="BodyText"/>
        <w:spacing w:before="78"/>
        <w:ind w:left="120"/>
      </w:pPr>
      <w:r>
        <w:rPr/>
        <w:t>項</w:t>
      </w:r>
      <w:r>
        <w:rPr>
          <w:rFonts w:ascii="Times New Roman" w:eastAsia="Times New Roman"/>
          <w:vertAlign w:val="superscript"/>
        </w:rPr>
        <w:t>26</w:t>
      </w:r>
      <w:r>
        <w:rPr>
          <w:spacing w:val="-1"/>
          <w:vertAlign w:val="baseline"/>
        </w:rPr>
        <w:t>。然而，究竟保障法第 </w:t>
      </w:r>
      <w:r>
        <w:rPr>
          <w:rFonts w:ascii="Times New Roman" w:eastAsia="Times New Roman"/>
          <w:vertAlign w:val="baseline"/>
        </w:rPr>
        <w:t>25</w:t>
      </w:r>
      <w:r>
        <w:rPr>
          <w:rFonts w:ascii="Times New Roman" w:eastAsia="Times New Roman"/>
          <w:spacing w:val="-5"/>
          <w:vertAlign w:val="baseline"/>
        </w:rPr>
        <w:t> </w:t>
      </w:r>
      <w:r>
        <w:rPr>
          <w:spacing w:val="-1"/>
          <w:vertAlign w:val="baseline"/>
        </w:rPr>
        <w:t>條所指之「行政處分」與行政程序法第 </w:t>
      </w:r>
      <w:r>
        <w:rPr>
          <w:rFonts w:ascii="Times New Roman" w:eastAsia="Times New Roman"/>
          <w:vertAlign w:val="baseline"/>
        </w:rPr>
        <w:t>92</w:t>
      </w:r>
      <w:r>
        <w:rPr>
          <w:rFonts w:ascii="Times New Roman" w:eastAsia="Times New Roman"/>
          <w:spacing w:val="-5"/>
          <w:vertAlign w:val="baseline"/>
        </w:rPr>
        <w:t> </w:t>
      </w:r>
      <w:r>
        <w:rPr>
          <w:vertAlign w:val="baseline"/>
        </w:rPr>
        <w:t>條及訴</w:t>
      </w:r>
    </w:p>
    <w:p>
      <w:pPr>
        <w:pStyle w:val="BodyText"/>
        <w:spacing w:line="295" w:lineRule="auto" w:before="79"/>
        <w:ind w:left="120" w:right="277"/>
        <w:jc w:val="both"/>
      </w:pPr>
      <w:r>
        <w:rPr>
          <w:spacing w:val="-3"/>
        </w:rPr>
        <w:t>願法第 </w:t>
      </w:r>
      <w:r>
        <w:rPr>
          <w:rFonts w:ascii="Times New Roman" w:eastAsia="Times New Roman"/>
        </w:rPr>
        <w:t>2</w:t>
      </w:r>
      <w:r>
        <w:rPr>
          <w:rFonts w:ascii="Times New Roman" w:eastAsia="Times New Roman"/>
          <w:spacing w:val="-7"/>
        </w:rPr>
        <w:t> </w:t>
      </w:r>
      <w:r>
        <w:rPr>
          <w:spacing w:val="-4"/>
        </w:rPr>
        <w:t>條所指之行政處分判斷上是否相同？此問題同時也會連帶影響到「非行</w:t>
      </w:r>
      <w:r>
        <w:rPr/>
        <w:t>政處分」範圍之界定，本文將深入檢討此一問題。</w:t>
      </w:r>
    </w:p>
    <w:p>
      <w:pPr>
        <w:pStyle w:val="BodyText"/>
        <w:rPr>
          <w:sz w:val="20"/>
        </w:rPr>
      </w:pPr>
    </w:p>
    <w:p>
      <w:pPr>
        <w:pStyle w:val="BodyText"/>
        <w:spacing w:before="12"/>
        <w:rPr>
          <w:sz w:val="22"/>
        </w:rPr>
      </w:pPr>
      <w:r>
        <w:rPr/>
        <w:pict>
          <v:rect style="position:absolute;margin-left:90pt;margin-top:17.939522pt;width:415.32pt;height:.600010pt;mso-position-horizontal-relative:page;mso-position-vertical-relative:paragraph;z-index:-15727104;mso-wrap-distance-left:0;mso-wrap-distance-right:0" filled="true" fillcolor="#000000" stroked="false">
            <v:fill type="solid"/>
            <w10:wrap type="topAndBottom"/>
          </v:rect>
        </w:pict>
      </w:r>
    </w:p>
    <w:p>
      <w:pPr>
        <w:pStyle w:val="BodyText"/>
        <w:spacing w:before="11"/>
        <w:rPr>
          <w:sz w:val="5"/>
        </w:rPr>
      </w:pPr>
    </w:p>
    <w:p>
      <w:pPr>
        <w:spacing w:before="105"/>
        <w:ind w:left="120" w:right="0" w:firstLine="0"/>
        <w:jc w:val="left"/>
        <w:rPr>
          <w:sz w:val="22"/>
        </w:rPr>
      </w:pPr>
      <w:r>
        <w:rPr>
          <w:rFonts w:ascii="Times New Roman" w:eastAsia="Times New Roman"/>
          <w:sz w:val="22"/>
          <w:vertAlign w:val="superscript"/>
        </w:rPr>
        <w:t>19</w:t>
      </w:r>
      <w:r>
        <w:rPr>
          <w:rFonts w:ascii="Times New Roman" w:eastAsia="Times New Roman"/>
          <w:spacing w:val="50"/>
          <w:sz w:val="22"/>
          <w:vertAlign w:val="baseline"/>
        </w:rPr>
        <w:t> </w:t>
      </w:r>
      <w:r>
        <w:rPr>
          <w:sz w:val="22"/>
          <w:vertAlign w:val="baseline"/>
        </w:rPr>
        <w:t>例如：</w:t>
      </w:r>
      <w:r>
        <w:rPr>
          <w:rFonts w:ascii="Times New Roman" w:eastAsia="Times New Roman"/>
          <w:sz w:val="22"/>
          <w:vertAlign w:val="baseline"/>
        </w:rPr>
        <w:t>98</w:t>
      </w:r>
      <w:r>
        <w:rPr>
          <w:rFonts w:ascii="Times New Roman" w:eastAsia="Times New Roman"/>
          <w:spacing w:val="-3"/>
          <w:sz w:val="22"/>
          <w:vertAlign w:val="baseline"/>
        </w:rPr>
        <w:t> </w:t>
      </w:r>
      <w:r>
        <w:rPr>
          <w:spacing w:val="-1"/>
          <w:sz w:val="22"/>
          <w:vertAlign w:val="baseline"/>
        </w:rPr>
        <w:t>公申決字第 </w:t>
      </w:r>
      <w:r>
        <w:rPr>
          <w:rFonts w:ascii="Times New Roman" w:eastAsia="Times New Roman"/>
          <w:sz w:val="22"/>
          <w:vertAlign w:val="baseline"/>
        </w:rPr>
        <w:t>0011</w:t>
      </w:r>
      <w:r>
        <w:rPr>
          <w:rFonts w:ascii="Times New Roman" w:eastAsia="Times New Roman"/>
          <w:spacing w:val="-3"/>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20</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0338</w:t>
      </w:r>
      <w:r>
        <w:rPr>
          <w:rFonts w:ascii="Times New Roman" w:eastAsia="Times New Roman"/>
          <w:spacing w:val="-1"/>
          <w:sz w:val="22"/>
          <w:vertAlign w:val="baseline"/>
        </w:rPr>
        <w:t> </w:t>
      </w:r>
      <w:r>
        <w:rPr>
          <w:sz w:val="22"/>
          <w:vertAlign w:val="baseline"/>
        </w:rPr>
        <w:t>號。</w:t>
      </w:r>
    </w:p>
    <w:p>
      <w:pPr>
        <w:spacing w:before="99"/>
        <w:ind w:left="120" w:right="0" w:firstLine="0"/>
        <w:jc w:val="left"/>
        <w:rPr>
          <w:sz w:val="22"/>
        </w:rPr>
      </w:pPr>
      <w:r>
        <w:rPr>
          <w:rFonts w:ascii="Times New Roman" w:eastAsia="Times New Roman"/>
          <w:sz w:val="22"/>
          <w:vertAlign w:val="superscript"/>
        </w:rPr>
        <w:t>21</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96</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0489</w:t>
      </w:r>
      <w:r>
        <w:rPr>
          <w:rFonts w:ascii="Times New Roman" w:eastAsia="Times New Roman"/>
          <w:spacing w:val="-1"/>
          <w:sz w:val="22"/>
          <w:vertAlign w:val="baseline"/>
        </w:rPr>
        <w:t> </w:t>
      </w:r>
      <w:r>
        <w:rPr>
          <w:sz w:val="22"/>
          <w:vertAlign w:val="baseline"/>
        </w:rPr>
        <w:t>號。</w:t>
      </w:r>
    </w:p>
    <w:p>
      <w:pPr>
        <w:spacing w:before="98"/>
        <w:ind w:left="120" w:right="0" w:firstLine="0"/>
        <w:jc w:val="left"/>
        <w:rPr>
          <w:sz w:val="22"/>
        </w:rPr>
      </w:pPr>
      <w:r>
        <w:rPr>
          <w:rFonts w:ascii="Times New Roman" w:eastAsia="Times New Roman"/>
          <w:sz w:val="22"/>
          <w:vertAlign w:val="superscript"/>
        </w:rPr>
        <w:t>22</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95</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0288</w:t>
      </w:r>
      <w:r>
        <w:rPr>
          <w:rFonts w:ascii="Times New Roman" w:eastAsia="Times New Roman"/>
          <w:spacing w:val="-1"/>
          <w:sz w:val="22"/>
          <w:vertAlign w:val="baseline"/>
        </w:rPr>
        <w:t> </w:t>
      </w:r>
      <w:r>
        <w:rPr>
          <w:sz w:val="22"/>
          <w:vertAlign w:val="baseline"/>
        </w:rPr>
        <w:t>號。</w:t>
      </w:r>
    </w:p>
    <w:p>
      <w:pPr>
        <w:spacing w:before="100"/>
        <w:ind w:left="120" w:right="0" w:firstLine="0"/>
        <w:jc w:val="left"/>
        <w:rPr>
          <w:sz w:val="22"/>
        </w:rPr>
      </w:pPr>
      <w:r>
        <w:rPr>
          <w:rFonts w:ascii="Times New Roman" w:eastAsia="Times New Roman"/>
          <w:sz w:val="22"/>
          <w:vertAlign w:val="superscript"/>
        </w:rPr>
        <w:t>23</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94</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0023</w:t>
      </w:r>
      <w:r>
        <w:rPr>
          <w:rFonts w:ascii="Times New Roman" w:eastAsia="Times New Roman"/>
          <w:spacing w:val="-1"/>
          <w:sz w:val="22"/>
          <w:vertAlign w:val="baseline"/>
        </w:rPr>
        <w:t> </w:t>
      </w:r>
      <w:r>
        <w:rPr>
          <w:sz w:val="22"/>
          <w:vertAlign w:val="baseline"/>
        </w:rPr>
        <w:t>號。</w:t>
      </w:r>
    </w:p>
    <w:p>
      <w:pPr>
        <w:spacing w:before="97"/>
        <w:ind w:left="120" w:right="0" w:firstLine="0"/>
        <w:jc w:val="left"/>
        <w:rPr>
          <w:sz w:val="22"/>
        </w:rPr>
      </w:pPr>
      <w:r>
        <w:rPr>
          <w:rFonts w:ascii="Times New Roman" w:eastAsia="Times New Roman"/>
          <w:sz w:val="22"/>
          <w:vertAlign w:val="superscript"/>
        </w:rPr>
        <w:t>24</w:t>
      </w:r>
      <w:r>
        <w:rPr>
          <w:rFonts w:ascii="Times New Roman" w:eastAsia="Times New Roman"/>
          <w:spacing w:val="52"/>
          <w:sz w:val="22"/>
          <w:vertAlign w:val="baseline"/>
        </w:rPr>
        <w:t> </w:t>
      </w:r>
      <w:r>
        <w:rPr>
          <w:sz w:val="22"/>
          <w:vertAlign w:val="baseline"/>
        </w:rPr>
        <w:t>例如：</w:t>
      </w:r>
      <w:r>
        <w:rPr>
          <w:rFonts w:ascii="Times New Roman" w:eastAsia="Times New Roman"/>
          <w:sz w:val="22"/>
          <w:vertAlign w:val="baseline"/>
        </w:rPr>
        <w:t>99</w:t>
      </w:r>
      <w:r>
        <w:rPr>
          <w:rFonts w:ascii="Times New Roman" w:eastAsia="Times New Roman"/>
          <w:spacing w:val="-1"/>
          <w:sz w:val="22"/>
          <w:vertAlign w:val="baseline"/>
        </w:rPr>
        <w:t> </w:t>
      </w:r>
      <w:r>
        <w:rPr>
          <w:spacing w:val="-1"/>
          <w:sz w:val="22"/>
          <w:vertAlign w:val="baseline"/>
        </w:rPr>
        <w:t>公申決字第 </w:t>
      </w:r>
      <w:r>
        <w:rPr>
          <w:rFonts w:ascii="Times New Roman" w:eastAsia="Times New Roman"/>
          <w:sz w:val="22"/>
          <w:vertAlign w:val="baseline"/>
        </w:rPr>
        <w:t>0427</w:t>
      </w:r>
      <w:r>
        <w:rPr>
          <w:rFonts w:ascii="Times New Roman" w:eastAsia="Times New Roman"/>
          <w:spacing w:val="-1"/>
          <w:sz w:val="22"/>
          <w:vertAlign w:val="baseline"/>
        </w:rPr>
        <w:t> </w:t>
      </w:r>
      <w:r>
        <w:rPr>
          <w:sz w:val="22"/>
          <w:vertAlign w:val="baseline"/>
        </w:rPr>
        <w:t>號。</w:t>
      </w:r>
    </w:p>
    <w:p>
      <w:pPr>
        <w:spacing w:before="17"/>
        <w:ind w:left="120" w:right="0" w:firstLine="0"/>
        <w:jc w:val="left"/>
        <w:rPr>
          <w:sz w:val="22"/>
        </w:rPr>
      </w:pPr>
      <w:r>
        <w:rPr>
          <w:rFonts w:ascii="Times New Roman" w:eastAsia="Times New Roman"/>
          <w:sz w:val="22"/>
          <w:vertAlign w:val="superscript"/>
        </w:rPr>
        <w:t>25</w:t>
      </w:r>
      <w:r>
        <w:rPr>
          <w:rFonts w:ascii="Times New Roman" w:eastAsia="Times New Roman"/>
          <w:spacing w:val="54"/>
          <w:sz w:val="22"/>
          <w:vertAlign w:val="baseline"/>
        </w:rPr>
        <w:t> </w:t>
      </w:r>
      <w:r>
        <w:rPr>
          <w:sz w:val="22"/>
          <w:vertAlign w:val="baseline"/>
        </w:rPr>
        <w:t>資料來源：公務員保障暨培訓委員會，</w:t>
      </w:r>
    </w:p>
    <w:p>
      <w:pPr>
        <w:spacing w:before="78"/>
        <w:ind w:left="120" w:right="0" w:firstLine="0"/>
        <w:jc w:val="left"/>
        <w:rPr>
          <w:rFonts w:ascii="Times New Roman"/>
          <w:sz w:val="22"/>
        </w:rPr>
      </w:pPr>
      <w:hyperlink r:id="rId6">
        <w:r>
          <w:rPr>
            <w:rFonts w:ascii="Times New Roman"/>
            <w:sz w:val="22"/>
            <w:u w:val="single"/>
          </w:rPr>
          <w:t>http://www.csptc.gov.tw/FileUpload/854-5645/Documents/%E5%85%AC%E5%8B%99%E4</w:t>
        </w:r>
      </w:hyperlink>
    </w:p>
    <w:p>
      <w:pPr>
        <w:spacing w:before="107"/>
        <w:ind w:left="120" w:right="0" w:firstLine="0"/>
        <w:jc w:val="left"/>
        <w:rPr>
          <w:rFonts w:ascii="Times New Roman"/>
          <w:sz w:val="22"/>
        </w:rPr>
      </w:pPr>
      <w:r>
        <w:rPr>
          <w:rFonts w:ascii="Times New Roman"/>
          <w:sz w:val="22"/>
          <w:u w:val="single"/>
        </w:rPr>
        <w:t>%BA%BA%E5%93%A1%E4%BF%9D%E9%9A%9C-%E6%8F%90%E8%A6%81%E5%8</w:t>
      </w:r>
    </w:p>
    <w:p>
      <w:pPr>
        <w:spacing w:before="81"/>
        <w:ind w:left="120" w:right="0" w:firstLine="0"/>
        <w:jc w:val="left"/>
        <w:rPr>
          <w:sz w:val="22"/>
        </w:rPr>
      </w:pPr>
      <w:r>
        <w:rPr>
          <w:rFonts w:ascii="Times New Roman" w:eastAsia="Times New Roman"/>
          <w:sz w:val="22"/>
          <w:u w:val="single"/>
        </w:rPr>
        <w:t>8%86%E6%9E%90.pdf</w:t>
      </w:r>
      <w:r>
        <w:rPr>
          <w:rFonts w:ascii="Times New Roman" w:eastAsia="Times New Roman"/>
          <w:spacing w:val="49"/>
          <w:sz w:val="22"/>
        </w:rPr>
        <w:t> </w:t>
      </w:r>
      <w:r>
        <w:rPr>
          <w:sz w:val="22"/>
        </w:rPr>
        <w:t>，最後瀏覽日期：</w:t>
      </w:r>
      <w:r>
        <w:rPr>
          <w:rFonts w:ascii="Times New Roman" w:eastAsia="Times New Roman"/>
          <w:sz w:val="22"/>
        </w:rPr>
        <w:t>2011</w:t>
      </w:r>
      <w:r>
        <w:rPr>
          <w:rFonts w:ascii="Times New Roman" w:eastAsia="Times New Roman"/>
          <w:spacing w:val="-2"/>
          <w:sz w:val="22"/>
        </w:rPr>
        <w:t> </w:t>
      </w:r>
      <w:r>
        <w:rPr>
          <w:spacing w:val="-2"/>
          <w:sz w:val="22"/>
        </w:rPr>
        <w:t>年 </w:t>
      </w:r>
      <w:r>
        <w:rPr>
          <w:rFonts w:ascii="Times New Roman" w:eastAsia="Times New Roman"/>
          <w:sz w:val="22"/>
        </w:rPr>
        <w:t>9</w:t>
      </w:r>
      <w:r>
        <w:rPr>
          <w:rFonts w:ascii="Times New Roman" w:eastAsia="Times New Roman"/>
          <w:spacing w:val="-1"/>
          <w:sz w:val="22"/>
        </w:rPr>
        <w:t> </w:t>
      </w:r>
      <w:r>
        <w:rPr>
          <w:spacing w:val="-2"/>
          <w:sz w:val="22"/>
        </w:rPr>
        <w:t>月 </w:t>
      </w:r>
      <w:r>
        <w:rPr>
          <w:rFonts w:ascii="Times New Roman" w:eastAsia="Times New Roman"/>
          <w:sz w:val="22"/>
        </w:rPr>
        <w:t>4</w:t>
      </w:r>
      <w:r>
        <w:rPr>
          <w:rFonts w:ascii="Times New Roman" w:eastAsia="Times New Roman"/>
          <w:spacing w:val="-2"/>
          <w:sz w:val="22"/>
        </w:rPr>
        <w:t> </w:t>
      </w:r>
      <w:r>
        <w:rPr>
          <w:sz w:val="22"/>
        </w:rPr>
        <w:t>日。</w:t>
      </w:r>
    </w:p>
    <w:p>
      <w:pPr>
        <w:spacing w:line="223" w:lineRule="auto" w:before="151"/>
        <w:ind w:left="120" w:right="221" w:hanging="1"/>
        <w:jc w:val="both"/>
        <w:rPr>
          <w:sz w:val="22"/>
        </w:rPr>
      </w:pPr>
      <w:r>
        <w:rPr>
          <w:rFonts w:ascii="Times New Roman" w:hAnsi="Times New Roman" w:eastAsia="Times New Roman"/>
          <w:sz w:val="22"/>
          <w:vertAlign w:val="superscript"/>
        </w:rPr>
        <w:t>26</w:t>
      </w:r>
      <w:r>
        <w:rPr>
          <w:rFonts w:ascii="Times New Roman" w:hAnsi="Times New Roman" w:eastAsia="Times New Roman"/>
          <w:spacing w:val="45"/>
          <w:sz w:val="22"/>
          <w:vertAlign w:val="baseline"/>
        </w:rPr>
        <w:t> </w:t>
      </w:r>
      <w:r>
        <w:rPr>
          <w:spacing w:val="-19"/>
          <w:sz w:val="22"/>
          <w:vertAlign w:val="baseline"/>
        </w:rPr>
        <w:t>陳敏，《行政法總論》，第六版，</w:t>
      </w:r>
      <w:r>
        <w:rPr>
          <w:rFonts w:ascii="Times New Roman" w:hAnsi="Times New Roman" w:eastAsia="Times New Roman"/>
          <w:sz w:val="22"/>
          <w:vertAlign w:val="baseline"/>
        </w:rPr>
        <w:t>98</w:t>
      </w:r>
      <w:r>
        <w:rPr>
          <w:rFonts w:ascii="Times New Roman" w:hAnsi="Times New Roman" w:eastAsia="Times New Roman"/>
          <w:spacing w:val="-5"/>
          <w:sz w:val="22"/>
          <w:vertAlign w:val="baseline"/>
        </w:rPr>
        <w:t> </w:t>
      </w:r>
      <w:r>
        <w:rPr>
          <w:spacing w:val="-3"/>
          <w:sz w:val="22"/>
          <w:vertAlign w:val="baseline"/>
        </w:rPr>
        <w:t>年 </w:t>
      </w:r>
      <w:r>
        <w:rPr>
          <w:rFonts w:ascii="Times New Roman" w:hAnsi="Times New Roman" w:eastAsia="Times New Roman"/>
          <w:sz w:val="22"/>
          <w:vertAlign w:val="baseline"/>
        </w:rPr>
        <w:t>9</w:t>
      </w:r>
      <w:r>
        <w:rPr>
          <w:rFonts w:ascii="Times New Roman" w:hAnsi="Times New Roman" w:eastAsia="Times New Roman"/>
          <w:spacing w:val="-5"/>
          <w:sz w:val="22"/>
          <w:vertAlign w:val="baseline"/>
        </w:rPr>
        <w:t> </w:t>
      </w:r>
      <w:r>
        <w:rPr>
          <w:spacing w:val="-2"/>
          <w:sz w:val="22"/>
          <w:vertAlign w:val="baseline"/>
        </w:rPr>
        <w:t>月，頁 </w:t>
      </w:r>
      <w:r>
        <w:rPr>
          <w:rFonts w:ascii="Times New Roman" w:hAnsi="Times New Roman" w:eastAsia="Times New Roman"/>
          <w:sz w:val="22"/>
          <w:vertAlign w:val="baseline"/>
        </w:rPr>
        <w:t>1119-1120</w:t>
      </w:r>
      <w:r>
        <w:rPr>
          <w:sz w:val="22"/>
          <w:vertAlign w:val="baseline"/>
        </w:rPr>
        <w:t>；學者吳庚亦進一步認為，</w:t>
      </w:r>
      <w:r>
        <w:rPr>
          <w:spacing w:val="-55"/>
          <w:sz w:val="22"/>
          <w:vertAlign w:val="baseline"/>
        </w:rPr>
        <w:t> </w:t>
      </w:r>
      <w:r>
        <w:rPr>
          <w:spacing w:val="-1"/>
          <w:sz w:val="22"/>
          <w:vertAlign w:val="baseline"/>
        </w:rPr>
        <w:t>保障法所稱之「工作條件」與「管理措施」在解釋上宜認為係</w:t>
      </w:r>
      <w:r>
        <w:rPr>
          <w:b/>
          <w:sz w:val="22"/>
          <w:vertAlign w:val="baseline"/>
        </w:rPr>
        <w:t>行政處分以外</w:t>
      </w:r>
      <w:r>
        <w:rPr>
          <w:sz w:val="22"/>
          <w:vertAlign w:val="baseline"/>
        </w:rPr>
        <w:t>對機關內部</w:t>
      </w:r>
      <w:r>
        <w:rPr>
          <w:spacing w:val="3"/>
          <w:w w:val="99"/>
          <w:sz w:val="22"/>
          <w:vertAlign w:val="baseline"/>
        </w:rPr>
        <w:t>生效之表意行為或事實行為，包括職務命令</w:t>
      </w:r>
      <w:r>
        <w:rPr>
          <w:spacing w:val="4"/>
          <w:w w:val="99"/>
          <w:sz w:val="22"/>
          <w:vertAlign w:val="baseline"/>
        </w:rPr>
        <w:t>（</w:t>
      </w:r>
      <w:r>
        <w:rPr>
          <w:rFonts w:ascii="Times New Roman" w:hAnsi="Times New Roman" w:eastAsia="Times New Roman"/>
          <w:spacing w:val="-18"/>
          <w:w w:val="99"/>
          <w:sz w:val="22"/>
          <w:vertAlign w:val="baseline"/>
        </w:rPr>
        <w:t>W</w:t>
      </w:r>
      <w:r>
        <w:rPr>
          <w:rFonts w:ascii="Times New Roman" w:hAnsi="Times New Roman" w:eastAsia="Times New Roman"/>
          <w:spacing w:val="-1"/>
          <w:w w:val="99"/>
          <w:sz w:val="22"/>
          <w:vertAlign w:val="baseline"/>
        </w:rPr>
        <w:t>e</w:t>
      </w:r>
      <w:r>
        <w:rPr>
          <w:rFonts w:ascii="Times New Roman" w:hAnsi="Times New Roman" w:eastAsia="Times New Roman"/>
          <w:w w:val="99"/>
          <w:sz w:val="22"/>
          <w:vertAlign w:val="baseline"/>
        </w:rPr>
        <w:t>isun</w:t>
      </w:r>
      <w:r>
        <w:rPr>
          <w:rFonts w:ascii="Times New Roman" w:hAnsi="Times New Roman" w:eastAsia="Times New Roman"/>
          <w:spacing w:val="3"/>
          <w:w w:val="99"/>
          <w:sz w:val="22"/>
          <w:vertAlign w:val="baseline"/>
        </w:rPr>
        <w:t>g</w:t>
      </w:r>
      <w:r>
        <w:rPr>
          <w:spacing w:val="-107"/>
          <w:w w:val="99"/>
          <w:sz w:val="22"/>
          <w:vertAlign w:val="baseline"/>
        </w:rPr>
        <w:t>）</w:t>
      </w:r>
      <w:r>
        <w:rPr>
          <w:spacing w:val="3"/>
          <w:w w:val="99"/>
          <w:sz w:val="22"/>
          <w:vertAlign w:val="baseline"/>
        </w:rPr>
        <w:t>、內部措施（</w:t>
      </w:r>
      <w:r>
        <w:rPr>
          <w:rFonts w:ascii="Times New Roman" w:hAnsi="Times New Roman" w:eastAsia="Times New Roman"/>
          <w:spacing w:val="1"/>
          <w:w w:val="99"/>
          <w:sz w:val="22"/>
          <w:vertAlign w:val="baseline"/>
        </w:rPr>
        <w:t>v</w:t>
      </w:r>
      <w:r>
        <w:rPr>
          <w:rFonts w:ascii="Times New Roman" w:hAnsi="Times New Roman" w:eastAsia="Times New Roman"/>
          <w:spacing w:val="-1"/>
          <w:w w:val="99"/>
          <w:sz w:val="22"/>
          <w:vertAlign w:val="baseline"/>
        </w:rPr>
        <w:t>e</w:t>
      </w:r>
      <w:r>
        <w:rPr>
          <w:rFonts w:ascii="Times New Roman" w:hAnsi="Times New Roman" w:eastAsia="Times New Roman"/>
          <w:w w:val="99"/>
          <w:sz w:val="22"/>
          <w:vertAlign w:val="baseline"/>
        </w:rPr>
        <w:t>rwaltungsinte</w:t>
      </w:r>
      <w:r>
        <w:rPr>
          <w:rFonts w:ascii="Times New Roman" w:hAnsi="Times New Roman" w:eastAsia="Times New Roman"/>
          <w:spacing w:val="1"/>
          <w:w w:val="99"/>
          <w:sz w:val="22"/>
          <w:vertAlign w:val="baseline"/>
        </w:rPr>
        <w:t>n</w:t>
      </w:r>
      <w:r>
        <w:rPr>
          <w:rFonts w:ascii="Times New Roman" w:hAnsi="Times New Roman" w:eastAsia="Times New Roman"/>
          <w:w w:val="99"/>
          <w:sz w:val="22"/>
          <w:vertAlign w:val="baseline"/>
        </w:rPr>
        <w:t>e Maßnahme</w:t>
      </w:r>
      <w:r>
        <w:rPr>
          <w:rFonts w:ascii="Times New Roman" w:hAnsi="Times New Roman" w:eastAsia="Times New Roman"/>
          <w:spacing w:val="1"/>
          <w:w w:val="99"/>
          <w:sz w:val="22"/>
          <w:vertAlign w:val="baseline"/>
        </w:rPr>
        <w:t>n</w:t>
      </w:r>
      <w:r>
        <w:rPr>
          <w:spacing w:val="-125"/>
          <w:w w:val="99"/>
          <w:sz w:val="22"/>
          <w:vertAlign w:val="baseline"/>
        </w:rPr>
        <w:t>）</w:t>
      </w:r>
      <w:r>
        <w:rPr>
          <w:spacing w:val="-11"/>
          <w:w w:val="99"/>
          <w:sz w:val="22"/>
          <w:vertAlign w:val="baseline"/>
        </w:rPr>
        <w:t>、紀律守則</w:t>
      </w:r>
      <w:r>
        <w:rPr>
          <w:w w:val="99"/>
          <w:sz w:val="22"/>
          <w:vertAlign w:val="baseline"/>
        </w:rPr>
        <w:t>（</w:t>
      </w:r>
      <w:r>
        <w:rPr>
          <w:rFonts w:ascii="Times New Roman" w:hAnsi="Times New Roman" w:eastAsia="Times New Roman"/>
          <w:w w:val="99"/>
          <w:sz w:val="22"/>
          <w:vertAlign w:val="baseline"/>
        </w:rPr>
        <w:t>innerdienstliche</w:t>
      </w:r>
      <w:r>
        <w:rPr>
          <w:rFonts w:ascii="Times New Roman" w:hAnsi="Times New Roman" w:eastAsia="Times New Roman"/>
          <w:spacing w:val="-12"/>
          <w:sz w:val="22"/>
          <w:vertAlign w:val="baseline"/>
        </w:rPr>
        <w:t> </w:t>
      </w:r>
      <w:r>
        <w:rPr>
          <w:rFonts w:ascii="Times New Roman" w:hAnsi="Times New Roman" w:eastAsia="Times New Roman"/>
          <w:w w:val="99"/>
          <w:sz w:val="22"/>
          <w:vertAlign w:val="baseline"/>
        </w:rPr>
        <w:t>Anordnu</w:t>
      </w:r>
      <w:r>
        <w:rPr>
          <w:rFonts w:ascii="Times New Roman" w:hAnsi="Times New Roman" w:eastAsia="Times New Roman"/>
          <w:spacing w:val="1"/>
          <w:w w:val="99"/>
          <w:sz w:val="22"/>
          <w:vertAlign w:val="baseline"/>
        </w:rPr>
        <w:t>n</w:t>
      </w:r>
      <w:r>
        <w:rPr>
          <w:rFonts w:ascii="Times New Roman" w:hAnsi="Times New Roman" w:eastAsia="Times New Roman"/>
          <w:w w:val="99"/>
          <w:sz w:val="22"/>
          <w:vertAlign w:val="baseline"/>
        </w:rPr>
        <w:t>g</w:t>
      </w:r>
      <w:r>
        <w:rPr>
          <w:spacing w:val="-32"/>
          <w:w w:val="99"/>
          <w:sz w:val="22"/>
          <w:vertAlign w:val="baseline"/>
        </w:rPr>
        <w:t>）</w:t>
      </w:r>
      <w:r>
        <w:rPr>
          <w:spacing w:val="-7"/>
          <w:w w:val="99"/>
          <w:sz w:val="22"/>
          <w:vertAlign w:val="baseline"/>
        </w:rPr>
        <w:t>等，不問其內容是否具體、個別、</w:t>
      </w:r>
      <w:r>
        <w:rPr>
          <w:spacing w:val="-4"/>
          <w:sz w:val="22"/>
          <w:vertAlign w:val="baseline"/>
        </w:rPr>
        <w:t>或抽象及普遍性，亦不論以書面下達或口頭宣示，皆應包括在內。詳參吳庚，《行政法</w:t>
      </w:r>
      <w:r>
        <w:rPr>
          <w:spacing w:val="-12"/>
          <w:sz w:val="22"/>
          <w:vertAlign w:val="baseline"/>
        </w:rPr>
        <w:t>之理論與實用》，第 </w:t>
      </w:r>
      <w:r>
        <w:rPr>
          <w:rFonts w:ascii="Times New Roman" w:hAnsi="Times New Roman" w:eastAsia="Times New Roman"/>
          <w:sz w:val="22"/>
          <w:vertAlign w:val="baseline"/>
        </w:rPr>
        <w:t>11</w:t>
      </w:r>
      <w:r>
        <w:rPr>
          <w:rFonts w:ascii="Times New Roman" w:hAnsi="Times New Roman" w:eastAsia="Times New Roman"/>
          <w:spacing w:val="1"/>
          <w:sz w:val="22"/>
          <w:vertAlign w:val="baseline"/>
        </w:rPr>
        <w:t> </w:t>
      </w:r>
      <w:r>
        <w:rPr>
          <w:sz w:val="22"/>
          <w:vertAlign w:val="baseline"/>
        </w:rPr>
        <w:t>版，</w:t>
      </w:r>
      <w:r>
        <w:rPr>
          <w:rFonts w:ascii="Times New Roman" w:hAnsi="Times New Roman" w:eastAsia="Times New Roman"/>
          <w:sz w:val="22"/>
          <w:vertAlign w:val="baseline"/>
        </w:rPr>
        <w:t>2010 </w:t>
      </w:r>
      <w:r>
        <w:rPr>
          <w:spacing w:val="-3"/>
          <w:sz w:val="22"/>
          <w:vertAlign w:val="baseline"/>
        </w:rPr>
        <w:t>年 </w:t>
      </w:r>
      <w:r>
        <w:rPr>
          <w:rFonts w:ascii="Times New Roman" w:hAnsi="Times New Roman" w:eastAsia="Times New Roman"/>
          <w:sz w:val="22"/>
          <w:vertAlign w:val="baseline"/>
        </w:rPr>
        <w:t>10 </w:t>
      </w:r>
      <w:r>
        <w:rPr>
          <w:spacing w:val="-1"/>
          <w:sz w:val="22"/>
          <w:vertAlign w:val="baseline"/>
        </w:rPr>
        <w:t>月，頁 </w:t>
      </w:r>
      <w:r>
        <w:rPr>
          <w:rFonts w:ascii="Times New Roman" w:hAnsi="Times New Roman" w:eastAsia="Times New Roman"/>
          <w:sz w:val="22"/>
          <w:vertAlign w:val="baseline"/>
        </w:rPr>
        <w:t>252-253</w:t>
      </w:r>
      <w:r>
        <w:rPr>
          <w:sz w:val="22"/>
          <w:vertAlign w:val="baseline"/>
        </w:rPr>
        <w:t>。</w:t>
      </w:r>
    </w:p>
    <w:p>
      <w:pPr>
        <w:spacing w:after="0" w:line="223" w:lineRule="auto"/>
        <w:jc w:val="both"/>
        <w:rPr>
          <w:sz w:val="22"/>
        </w:rPr>
        <w:sectPr>
          <w:pgSz w:w="11910" w:h="16840"/>
          <w:pgMar w:header="0" w:footer="1019" w:top="1380" w:bottom="1200" w:left="1680" w:right="1520"/>
        </w:sectPr>
      </w:pPr>
    </w:p>
    <w:p>
      <w:pPr>
        <w:pStyle w:val="BodyText"/>
        <w:tabs>
          <w:tab w:pos="980" w:val="left" w:leader="none"/>
        </w:tabs>
        <w:spacing w:before="58" w:after="55"/>
        <w:ind w:left="120"/>
      </w:pPr>
      <w:r>
        <w:rPr/>
        <w:t>表</w:t>
      </w:r>
      <w:r>
        <w:rPr>
          <w:spacing w:val="-3"/>
        </w:rPr>
        <w:t> </w:t>
      </w:r>
      <w:r>
        <w:rPr>
          <w:rFonts w:ascii="Times New Roman" w:eastAsia="Times New Roman"/>
        </w:rPr>
        <w:t>2-1</w:t>
        <w:tab/>
      </w:r>
      <w:r>
        <w:rPr/>
        <w:t>復審及申訴、再申訴說明比較表</w:t>
      </w:r>
    </w:p>
    <w:tbl>
      <w:tblPr>
        <w:tblW w:w="0" w:type="auto"/>
        <w:jc w:val="left"/>
        <w:tblInd w:w="537"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top w:w="0" w:type="dxa"/>
          <w:left w:w="0" w:type="dxa"/>
          <w:bottom w:w="0" w:type="dxa"/>
          <w:right w:w="0" w:type="dxa"/>
        </w:tblCellMar>
        <w:tblLook w:val="01E0"/>
      </w:tblPr>
      <w:tblGrid>
        <w:gridCol w:w="1046"/>
        <w:gridCol w:w="2834"/>
        <w:gridCol w:w="2551"/>
        <w:gridCol w:w="1610"/>
      </w:tblGrid>
      <w:tr>
        <w:trPr>
          <w:trHeight w:val="434" w:hRule="atLeast"/>
        </w:trPr>
        <w:tc>
          <w:tcPr>
            <w:tcW w:w="1046" w:type="dxa"/>
            <w:tcBorders>
              <w:bottom w:val="single" w:sz="4" w:space="0" w:color="000000"/>
              <w:right w:val="single" w:sz="4" w:space="0" w:color="000000"/>
            </w:tcBorders>
          </w:tcPr>
          <w:p>
            <w:pPr>
              <w:pStyle w:val="TableParagraph"/>
              <w:spacing w:before="39"/>
              <w:ind w:left="92"/>
              <w:rPr>
                <w:sz w:val="24"/>
              </w:rPr>
            </w:pPr>
            <w:r>
              <w:rPr>
                <w:sz w:val="24"/>
              </w:rPr>
              <w:t>項目</w:t>
            </w:r>
          </w:p>
        </w:tc>
        <w:tc>
          <w:tcPr>
            <w:tcW w:w="2834" w:type="dxa"/>
            <w:tcBorders>
              <w:left w:val="single" w:sz="4" w:space="0" w:color="000000"/>
              <w:bottom w:val="single" w:sz="4" w:space="0" w:color="000000"/>
              <w:right w:val="single" w:sz="4" w:space="0" w:color="000000"/>
            </w:tcBorders>
          </w:tcPr>
          <w:p>
            <w:pPr>
              <w:pStyle w:val="TableParagraph"/>
              <w:spacing w:before="39"/>
              <w:ind w:left="133"/>
              <w:rPr>
                <w:sz w:val="24"/>
              </w:rPr>
            </w:pPr>
            <w:r>
              <w:rPr>
                <w:sz w:val="24"/>
              </w:rPr>
              <w:t>標的</w:t>
            </w:r>
          </w:p>
        </w:tc>
        <w:tc>
          <w:tcPr>
            <w:tcW w:w="2551" w:type="dxa"/>
            <w:tcBorders>
              <w:left w:val="single" w:sz="4" w:space="0" w:color="000000"/>
              <w:bottom w:val="single" w:sz="4" w:space="0" w:color="000000"/>
              <w:right w:val="single" w:sz="4" w:space="0" w:color="000000"/>
            </w:tcBorders>
          </w:tcPr>
          <w:p>
            <w:pPr>
              <w:pStyle w:val="TableParagraph"/>
              <w:spacing w:before="39"/>
              <w:ind w:left="133"/>
              <w:rPr>
                <w:sz w:val="24"/>
              </w:rPr>
            </w:pPr>
            <w:r>
              <w:rPr>
                <w:sz w:val="24"/>
              </w:rPr>
              <w:t>審理機關</w:t>
            </w:r>
          </w:p>
        </w:tc>
        <w:tc>
          <w:tcPr>
            <w:tcW w:w="1610" w:type="dxa"/>
            <w:tcBorders>
              <w:left w:val="single" w:sz="4" w:space="0" w:color="000000"/>
              <w:bottom w:val="single" w:sz="4" w:space="0" w:color="000000"/>
            </w:tcBorders>
          </w:tcPr>
          <w:p>
            <w:pPr>
              <w:pStyle w:val="TableParagraph"/>
              <w:spacing w:before="39"/>
              <w:ind w:left="133"/>
              <w:rPr>
                <w:sz w:val="24"/>
              </w:rPr>
            </w:pPr>
            <w:r>
              <w:rPr>
                <w:sz w:val="24"/>
              </w:rPr>
              <w:t>後續救濟</w:t>
            </w:r>
          </w:p>
        </w:tc>
      </w:tr>
      <w:tr>
        <w:trPr>
          <w:trHeight w:val="827" w:hRule="atLeast"/>
        </w:trPr>
        <w:tc>
          <w:tcPr>
            <w:tcW w:w="1046" w:type="dxa"/>
            <w:tcBorders>
              <w:top w:val="single" w:sz="4" w:space="0" w:color="000000"/>
              <w:bottom w:val="single" w:sz="4" w:space="0" w:color="000000"/>
              <w:right w:val="single" w:sz="4" w:space="0" w:color="000000"/>
            </w:tcBorders>
          </w:tcPr>
          <w:p>
            <w:pPr>
              <w:pStyle w:val="TableParagraph"/>
              <w:ind w:left="93"/>
              <w:rPr>
                <w:sz w:val="24"/>
              </w:rPr>
            </w:pPr>
            <w:r>
              <w:rPr>
                <w:sz w:val="24"/>
              </w:rPr>
              <w:t>復審</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ind w:left="133"/>
              <w:rPr>
                <w:sz w:val="24"/>
              </w:rPr>
            </w:pPr>
            <w:r>
              <w:rPr>
                <w:sz w:val="24"/>
              </w:rPr>
              <w:t>行政處分</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ind w:left="133"/>
              <w:rPr>
                <w:sz w:val="24"/>
              </w:rPr>
            </w:pPr>
            <w:r>
              <w:rPr>
                <w:sz w:val="24"/>
              </w:rPr>
              <w:t>保訓會</w:t>
            </w:r>
          </w:p>
        </w:tc>
        <w:tc>
          <w:tcPr>
            <w:tcW w:w="1610" w:type="dxa"/>
            <w:tcBorders>
              <w:top w:val="single" w:sz="4" w:space="0" w:color="000000"/>
              <w:left w:val="single" w:sz="4" w:space="0" w:color="000000"/>
              <w:bottom w:val="single" w:sz="4" w:space="0" w:color="000000"/>
            </w:tcBorders>
          </w:tcPr>
          <w:p>
            <w:pPr>
              <w:pStyle w:val="TableParagraph"/>
              <w:ind w:left="133"/>
              <w:rPr>
                <w:sz w:val="24"/>
              </w:rPr>
            </w:pPr>
            <w:r>
              <w:rPr>
                <w:sz w:val="24"/>
              </w:rPr>
              <w:t>行政訴訟、</w:t>
            </w:r>
          </w:p>
          <w:p>
            <w:pPr>
              <w:pStyle w:val="TableParagraph"/>
              <w:spacing w:before="78"/>
              <w:ind w:left="133"/>
              <w:rPr>
                <w:sz w:val="24"/>
              </w:rPr>
            </w:pPr>
            <w:r>
              <w:rPr>
                <w:sz w:val="24"/>
              </w:rPr>
              <w:t>再審議</w:t>
            </w:r>
          </w:p>
        </w:tc>
      </w:tr>
      <w:tr>
        <w:trPr>
          <w:trHeight w:val="1667" w:hRule="atLeast"/>
        </w:trPr>
        <w:tc>
          <w:tcPr>
            <w:tcW w:w="1046" w:type="dxa"/>
            <w:tcBorders>
              <w:top w:val="single" w:sz="4" w:space="0" w:color="000000"/>
              <w:right w:val="single" w:sz="4" w:space="0" w:color="000000"/>
            </w:tcBorders>
          </w:tcPr>
          <w:p>
            <w:pPr>
              <w:pStyle w:val="TableParagraph"/>
              <w:ind w:left="93"/>
              <w:rPr>
                <w:sz w:val="24"/>
              </w:rPr>
            </w:pPr>
            <w:r>
              <w:rPr>
                <w:sz w:val="24"/>
              </w:rPr>
              <w:t>申訴</w:t>
            </w:r>
          </w:p>
          <w:p>
            <w:pPr>
              <w:pStyle w:val="TableParagraph"/>
              <w:spacing w:before="12"/>
              <w:ind w:left="0"/>
              <w:rPr>
                <w:sz w:val="35"/>
              </w:rPr>
            </w:pPr>
          </w:p>
          <w:p>
            <w:pPr>
              <w:pStyle w:val="TableParagraph"/>
              <w:spacing w:before="0"/>
              <w:ind w:left="93"/>
              <w:rPr>
                <w:sz w:val="24"/>
              </w:rPr>
            </w:pPr>
            <w:r>
              <w:rPr>
                <w:sz w:val="24"/>
              </w:rPr>
              <w:t>再申訴</w:t>
            </w:r>
          </w:p>
        </w:tc>
        <w:tc>
          <w:tcPr>
            <w:tcW w:w="2834" w:type="dxa"/>
            <w:tcBorders>
              <w:top w:val="single" w:sz="4" w:space="0" w:color="000000"/>
              <w:left w:val="single" w:sz="4" w:space="0" w:color="000000"/>
              <w:right w:val="single" w:sz="4" w:space="0" w:color="000000"/>
            </w:tcBorders>
          </w:tcPr>
          <w:p>
            <w:pPr>
              <w:pStyle w:val="TableParagraph"/>
              <w:spacing w:line="295" w:lineRule="auto"/>
              <w:ind w:left="133" w:right="46"/>
              <w:rPr>
                <w:sz w:val="24"/>
              </w:rPr>
            </w:pPr>
            <w:r>
              <w:rPr>
                <w:spacing w:val="21"/>
                <w:sz w:val="24"/>
              </w:rPr>
              <w:t>管理措施及工作條件之</w:t>
            </w:r>
            <w:r>
              <w:rPr>
                <w:sz w:val="24"/>
              </w:rPr>
              <w:t>處置</w:t>
            </w:r>
          </w:p>
          <w:p>
            <w:pPr>
              <w:pStyle w:val="TableParagraph"/>
              <w:spacing w:line="20" w:lineRule="exact" w:before="0"/>
              <w:ind w:left="1" w:right="-202"/>
              <w:rPr>
                <w:sz w:val="2"/>
              </w:rPr>
            </w:pPr>
            <w:r>
              <w:rPr>
                <w:sz w:val="2"/>
              </w:rPr>
              <w:drawing>
                <wp:inline distT="0" distB="0" distL="0" distR="0">
                  <wp:extent cx="1888673" cy="171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888673" cy="1714"/>
                          </a:xfrm>
                          <a:prstGeom prst="rect">
                            <a:avLst/>
                          </a:prstGeom>
                        </pic:spPr>
                      </pic:pic>
                    </a:graphicData>
                  </a:graphic>
                </wp:inline>
              </w:drawing>
            </w:r>
            <w:r>
              <w:rPr>
                <w:sz w:val="2"/>
              </w:rPr>
            </w:r>
          </w:p>
          <w:p>
            <w:pPr>
              <w:pStyle w:val="TableParagraph"/>
              <w:spacing w:before="0"/>
              <w:ind w:left="133"/>
              <w:rPr>
                <w:sz w:val="24"/>
              </w:rPr>
            </w:pPr>
            <w:r>
              <w:rPr>
                <w:spacing w:val="-2"/>
                <w:sz w:val="24"/>
              </w:rPr>
              <w:t>管理措施、工作條件之處</w:t>
            </w:r>
          </w:p>
          <w:p>
            <w:pPr>
              <w:pStyle w:val="TableParagraph"/>
              <w:spacing w:before="70"/>
              <w:ind w:left="133"/>
              <w:rPr>
                <w:sz w:val="24"/>
              </w:rPr>
            </w:pPr>
            <w:r>
              <w:rPr>
                <w:sz w:val="24"/>
              </w:rPr>
              <w:t>置、及申訴之函復</w:t>
            </w:r>
          </w:p>
        </w:tc>
        <w:tc>
          <w:tcPr>
            <w:tcW w:w="2551" w:type="dxa"/>
            <w:tcBorders>
              <w:top w:val="single" w:sz="4" w:space="0" w:color="000000"/>
              <w:left w:val="single" w:sz="4" w:space="0" w:color="000000"/>
              <w:right w:val="single" w:sz="4" w:space="0" w:color="000000"/>
            </w:tcBorders>
          </w:tcPr>
          <w:p>
            <w:pPr>
              <w:pStyle w:val="TableParagraph"/>
              <w:ind w:left="133"/>
              <w:rPr>
                <w:sz w:val="24"/>
              </w:rPr>
            </w:pPr>
            <w:r>
              <w:rPr>
                <w:sz w:val="24"/>
              </w:rPr>
              <w:t>服務機關</w:t>
            </w:r>
          </w:p>
          <w:p>
            <w:pPr>
              <w:pStyle w:val="TableParagraph"/>
              <w:spacing w:before="12"/>
              <w:ind w:left="0"/>
              <w:rPr>
                <w:sz w:val="35"/>
              </w:rPr>
            </w:pPr>
          </w:p>
          <w:p>
            <w:pPr>
              <w:pStyle w:val="TableParagraph"/>
              <w:spacing w:before="0"/>
              <w:ind w:left="133"/>
              <w:rPr>
                <w:sz w:val="24"/>
              </w:rPr>
            </w:pPr>
            <w:r>
              <w:rPr>
                <w:sz w:val="24"/>
              </w:rPr>
              <w:t>保訓會</w:t>
            </w:r>
          </w:p>
        </w:tc>
        <w:tc>
          <w:tcPr>
            <w:tcW w:w="1610" w:type="dxa"/>
            <w:tcBorders>
              <w:top w:val="single" w:sz="4" w:space="0" w:color="000000"/>
              <w:left w:val="single" w:sz="4" w:space="0" w:color="000000"/>
            </w:tcBorders>
          </w:tcPr>
          <w:p>
            <w:pPr>
              <w:pStyle w:val="TableParagraph"/>
              <w:ind w:left="133"/>
              <w:rPr>
                <w:sz w:val="24"/>
              </w:rPr>
            </w:pPr>
            <w:r>
              <w:rPr>
                <w:sz w:val="24"/>
              </w:rPr>
              <w:t>再申訴</w:t>
            </w:r>
          </w:p>
          <w:p>
            <w:pPr>
              <w:pStyle w:val="TableParagraph"/>
              <w:spacing w:before="0"/>
              <w:ind w:left="0"/>
              <w:rPr>
                <w:sz w:val="20"/>
              </w:rPr>
            </w:pPr>
          </w:p>
          <w:p>
            <w:pPr>
              <w:pStyle w:val="TableParagraph"/>
              <w:spacing w:before="6"/>
              <w:ind w:left="0"/>
              <w:rPr>
                <w:sz w:val="12"/>
              </w:rPr>
            </w:pPr>
          </w:p>
          <w:p>
            <w:pPr>
              <w:pStyle w:val="TableParagraph"/>
              <w:spacing w:line="20" w:lineRule="exact" w:before="0"/>
              <w:ind w:left="21" w:right="-44"/>
              <w:rPr>
                <w:sz w:val="2"/>
              </w:rPr>
            </w:pPr>
            <w:r>
              <w:rPr>
                <w:sz w:val="2"/>
              </w:rPr>
              <w:drawing>
                <wp:inline distT="0" distB="0" distL="0" distR="0">
                  <wp:extent cx="977137" cy="60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977137" cy="6096"/>
                          </a:xfrm>
                          <a:prstGeom prst="rect">
                            <a:avLst/>
                          </a:prstGeom>
                        </pic:spPr>
                      </pic:pic>
                    </a:graphicData>
                  </a:graphic>
                </wp:inline>
              </w:drawing>
            </w:r>
            <w:r>
              <w:rPr>
                <w:sz w:val="2"/>
              </w:rPr>
            </w:r>
          </w:p>
          <w:p>
            <w:pPr>
              <w:pStyle w:val="TableParagraph"/>
              <w:spacing w:before="28"/>
              <w:ind w:left="133"/>
              <w:rPr>
                <w:sz w:val="24"/>
              </w:rPr>
            </w:pPr>
            <w:r>
              <w:rPr>
                <w:sz w:val="24"/>
              </w:rPr>
              <w:t>無</w:t>
            </w:r>
          </w:p>
        </w:tc>
      </w:tr>
    </w:tbl>
    <w:p>
      <w:pPr>
        <w:pStyle w:val="BodyText"/>
        <w:spacing w:before="9"/>
        <w:rPr>
          <w:sz w:val="29"/>
        </w:rPr>
      </w:pPr>
    </w:p>
    <w:p>
      <w:pPr>
        <w:pStyle w:val="BodyText"/>
        <w:spacing w:before="52"/>
        <w:ind w:left="5040"/>
      </w:pPr>
      <w:r>
        <w:rPr/>
        <w:drawing>
          <wp:anchor distT="0" distB="0" distL="0" distR="0" allowOverlap="1" layoutInCell="1" locked="0" behindDoc="0" simplePos="0" relativeHeight="15731200">
            <wp:simplePos x="0" y="0"/>
            <wp:positionH relativeFrom="page">
              <wp:posOffset>1351025</wp:posOffset>
            </wp:positionH>
            <wp:positionV relativeFrom="paragraph">
              <wp:posOffset>-844037</wp:posOffset>
            </wp:positionV>
            <wp:extent cx="690372" cy="609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90372" cy="6096"/>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3828288</wp:posOffset>
            </wp:positionH>
            <wp:positionV relativeFrom="paragraph">
              <wp:posOffset>-862325</wp:posOffset>
            </wp:positionV>
            <wp:extent cx="1652015" cy="42672"/>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652015" cy="42672"/>
                    </a:xfrm>
                    <a:prstGeom prst="rect">
                      <a:avLst/>
                    </a:prstGeom>
                  </pic:spPr>
                </pic:pic>
              </a:graphicData>
            </a:graphic>
          </wp:anchor>
        </w:drawing>
      </w:r>
      <w:r>
        <w:rPr/>
        <w:t>（資料來源：作者自行整理）</w:t>
      </w:r>
    </w:p>
    <w:p>
      <w:pPr>
        <w:pStyle w:val="BodyText"/>
        <w:spacing w:before="10"/>
        <w:rPr>
          <w:sz w:val="25"/>
        </w:rPr>
      </w:pPr>
    </w:p>
    <w:p>
      <w:pPr>
        <w:pStyle w:val="Heading3"/>
        <w:spacing w:before="52"/>
        <w:ind w:left="120"/>
        <w:rPr>
          <w:rFonts w:ascii="新細明體" w:eastAsia="新細明體" w:hint="eastAsia"/>
        </w:rPr>
      </w:pPr>
      <w:r>
        <w:rPr>
          <w:rFonts w:ascii="新細明體" w:eastAsia="新細明體" w:hint="eastAsia"/>
          <w:w w:val="95"/>
        </w:rPr>
        <w:t>二、復審事件與再申訴事件區分標準之檢討</w:t>
      </w:r>
    </w:p>
    <w:p>
      <w:pPr>
        <w:pStyle w:val="BodyText"/>
        <w:spacing w:before="5"/>
        <w:rPr>
          <w:b/>
          <w:sz w:val="29"/>
        </w:rPr>
      </w:pPr>
    </w:p>
    <w:p>
      <w:pPr>
        <w:pStyle w:val="BodyText"/>
        <w:spacing w:line="295" w:lineRule="auto" w:before="1"/>
        <w:ind w:left="120" w:right="269" w:firstLine="439"/>
        <w:jc w:val="both"/>
      </w:pPr>
      <w:r>
        <w:rPr>
          <w:spacing w:val="3"/>
        </w:rPr>
        <w:t>如前所述，保障法第 </w:t>
      </w:r>
      <w:r>
        <w:rPr>
          <w:rFonts w:ascii="Times New Roman" w:eastAsia="Times New Roman"/>
        </w:rPr>
        <w:t>25</w:t>
      </w:r>
      <w:r>
        <w:rPr>
          <w:rFonts w:ascii="Times New Roman" w:eastAsia="Times New Roman"/>
          <w:spacing w:val="32"/>
        </w:rPr>
        <w:t> </w:t>
      </w:r>
      <w:r>
        <w:rPr/>
        <w:t>條僅說明復審之標的為行政處分，並未進一步對於</w:t>
      </w:r>
      <w:r>
        <w:rPr>
          <w:spacing w:val="-4"/>
        </w:rPr>
        <w:t>保障法上所稱之行政處分加以定義。也因此，何謂保障法上之「行政處分」，其</w:t>
      </w:r>
      <w:r>
        <w:rPr/>
        <w:t>是否作同於行政程序法第 </w:t>
      </w:r>
      <w:r>
        <w:rPr>
          <w:rFonts w:ascii="Times New Roman" w:eastAsia="Times New Roman"/>
        </w:rPr>
        <w:t>92</w:t>
      </w:r>
      <w:r>
        <w:rPr>
          <w:rFonts w:ascii="Times New Roman" w:eastAsia="Times New Roman"/>
          <w:spacing w:val="6"/>
        </w:rPr>
        <w:t> </w:t>
      </w:r>
      <w:r>
        <w:rPr>
          <w:spacing w:val="1"/>
        </w:rPr>
        <w:t>條第 </w:t>
      </w:r>
      <w:r>
        <w:rPr>
          <w:rFonts w:ascii="Times New Roman" w:eastAsia="Times New Roman"/>
        </w:rPr>
        <w:t>1</w:t>
      </w:r>
      <w:r>
        <w:rPr>
          <w:rFonts w:ascii="Times New Roman" w:eastAsia="Times New Roman"/>
          <w:spacing w:val="6"/>
        </w:rPr>
        <w:t> </w:t>
      </w:r>
      <w:r>
        <w:rPr/>
        <w:t>項之一般性理解，又或應作特別之定義，不</w:t>
      </w:r>
      <w:r>
        <w:rPr>
          <w:spacing w:val="-6"/>
        </w:rPr>
        <w:t>無疑義。本文認為，探究何為保障法上之「行政處分」，實須建立在保障法對於</w:t>
      </w:r>
      <w:r>
        <w:rPr>
          <w:spacing w:val="-3"/>
        </w:rPr>
        <w:t>公務人員救濟的設計下理解。換言之，保障法對於「公務人員之於國家」的態度</w:t>
      </w:r>
      <w:r>
        <w:rPr/>
        <w:t>將影響保障法對於公務人員救濟制度的設計，也同時會牽動影響對於保障法第</w:t>
      </w:r>
      <w:r>
        <w:rPr>
          <w:rFonts w:ascii="Times New Roman" w:eastAsia="Times New Roman"/>
        </w:rPr>
        <w:t>25 </w:t>
      </w:r>
      <w:r>
        <w:rPr>
          <w:spacing w:val="-1"/>
        </w:rPr>
        <w:t>條及第 </w:t>
      </w:r>
      <w:r>
        <w:rPr>
          <w:rFonts w:ascii="Times New Roman" w:eastAsia="Times New Roman"/>
        </w:rPr>
        <w:t>77 </w:t>
      </w:r>
      <w:r>
        <w:rPr/>
        <w:t>條救濟客體的理解。</w:t>
      </w:r>
    </w:p>
    <w:p>
      <w:pPr>
        <w:pStyle w:val="BodyText"/>
        <w:spacing w:before="2"/>
        <w:rPr>
          <w:sz w:val="30"/>
        </w:rPr>
      </w:pPr>
    </w:p>
    <w:p>
      <w:pPr>
        <w:pStyle w:val="BodyText"/>
        <w:spacing w:line="295" w:lineRule="auto"/>
        <w:ind w:left="120" w:right="217" w:firstLine="480"/>
        <w:jc w:val="both"/>
      </w:pPr>
      <w:r>
        <w:rPr>
          <w:spacing w:val="-2"/>
        </w:rPr>
        <w:t>一般而言，公務人員與國家之關係，始終立基於「特別權力關係」下被理解</w:t>
      </w:r>
      <w:r>
        <w:rPr>
          <w:rFonts w:ascii="Times New Roman" w:eastAsia="Times New Roman"/>
          <w:vertAlign w:val="superscript"/>
        </w:rPr>
        <w:t>27</w:t>
      </w:r>
      <w:r>
        <w:rPr>
          <w:vertAlign w:val="baseline"/>
        </w:rPr>
        <w:t>，也因此連帶影響到後續國家對於公務人員行為性質之判斷。依據德國 </w:t>
      </w:r>
      <w:r>
        <w:rPr>
          <w:rFonts w:ascii="Times New Roman" w:eastAsia="Times New Roman"/>
          <w:vertAlign w:val="baseline"/>
        </w:rPr>
        <w:t>Carl</w:t>
      </w:r>
      <w:r>
        <w:rPr>
          <w:rFonts w:ascii="Times New Roman" w:eastAsia="Times New Roman"/>
          <w:spacing w:val="1"/>
          <w:vertAlign w:val="baseline"/>
        </w:rPr>
        <w:t> </w:t>
      </w:r>
      <w:r>
        <w:rPr>
          <w:rFonts w:ascii="Times New Roman" w:eastAsia="Times New Roman"/>
          <w:vertAlign w:val="baseline"/>
        </w:rPr>
        <w:t>Hermann</w:t>
      </w:r>
      <w:r>
        <w:rPr>
          <w:rFonts w:ascii="Times New Roman" w:eastAsia="Times New Roman"/>
          <w:spacing w:val="-10"/>
          <w:vertAlign w:val="baseline"/>
        </w:rPr>
        <w:t> </w:t>
      </w:r>
      <w:r>
        <w:rPr>
          <w:rFonts w:ascii="Times New Roman" w:eastAsia="Times New Roman"/>
          <w:vertAlign w:val="baseline"/>
        </w:rPr>
        <w:t>Ule</w:t>
      </w:r>
      <w:r>
        <w:rPr>
          <w:rFonts w:ascii="Times New Roman" w:eastAsia="Times New Roman"/>
          <w:spacing w:val="-10"/>
          <w:vertAlign w:val="baseline"/>
        </w:rPr>
        <w:t> </w:t>
      </w:r>
      <w:r>
        <w:rPr>
          <w:vertAlign w:val="baseline"/>
        </w:rPr>
        <w:t>教授之見解，在特別權力關係內，可以區分為「基礎關係」及「經</w:t>
      </w:r>
      <w:r>
        <w:rPr>
          <w:spacing w:val="-19"/>
          <w:vertAlign w:val="baseline"/>
        </w:rPr>
        <w:t>營關係」。有關特別權力關係之發生、變更、消滅等事項為「基礎關係」之事項，</w:t>
      </w:r>
      <w:r>
        <w:rPr>
          <w:spacing w:val="-60"/>
          <w:vertAlign w:val="baseline"/>
        </w:rPr>
        <w:t> </w:t>
      </w:r>
      <w:r>
        <w:rPr>
          <w:spacing w:val="-2"/>
          <w:vertAlign w:val="baseline"/>
        </w:rPr>
        <w:t>而在特別權力關係當中，行政為達成特別權力關係之目的，所為之其他措施，則</w:t>
      </w:r>
      <w:r>
        <w:rPr>
          <w:vertAlign w:val="baseline"/>
        </w:rPr>
        <w:t>為「經營關係」之事項</w:t>
      </w:r>
      <w:r>
        <w:rPr>
          <w:rFonts w:ascii="Times New Roman" w:eastAsia="Times New Roman"/>
          <w:vertAlign w:val="superscript"/>
        </w:rPr>
        <w:t>28</w:t>
      </w:r>
      <w:r>
        <w:rPr>
          <w:vertAlign w:val="baseline"/>
        </w:rPr>
        <w:t>。基於此種基礎關係與經營關係二分理論，德國學說及</w:t>
      </w:r>
      <w:r>
        <w:rPr>
          <w:spacing w:val="-2"/>
          <w:vertAlign w:val="baseline"/>
        </w:rPr>
        <w:t>司法實務認為，對影響相對人權益較大之基礎關係，應適用法律保留原則，且應賦予當事人權利救濟管道，以保障相對人之基本權利；然而對於影響相對人權益</w:t>
      </w:r>
    </w:p>
    <w:p>
      <w:pPr>
        <w:pStyle w:val="BodyText"/>
        <w:spacing w:before="6"/>
        <w:rPr>
          <w:sz w:val="22"/>
        </w:rPr>
      </w:pPr>
      <w:r>
        <w:rPr/>
        <w:pict>
          <v:rect style="position:absolute;margin-left:90pt;margin-top:17.661709pt;width:144pt;height:.600010pt;mso-position-horizontal-relative:page;mso-position-vertical-relative:paragraph;z-index:-15726592;mso-wrap-distance-left:0;mso-wrap-distance-right:0" filled="true" fillcolor="#000000" stroked="false">
            <v:fill type="solid"/>
            <w10:wrap type="topAndBottom"/>
          </v:rect>
        </w:pict>
      </w:r>
    </w:p>
    <w:p>
      <w:pPr>
        <w:pStyle w:val="BodyText"/>
        <w:spacing w:before="11"/>
        <w:rPr>
          <w:sz w:val="5"/>
        </w:rPr>
      </w:pPr>
    </w:p>
    <w:p>
      <w:pPr>
        <w:spacing w:before="105"/>
        <w:ind w:left="120" w:right="0" w:firstLine="0"/>
        <w:jc w:val="both"/>
        <w:rPr>
          <w:sz w:val="22"/>
        </w:rPr>
      </w:pPr>
      <w:r>
        <w:rPr>
          <w:rFonts w:ascii="Times New Roman" w:eastAsia="Times New Roman"/>
          <w:sz w:val="22"/>
          <w:vertAlign w:val="superscript"/>
        </w:rPr>
        <w:t>27</w:t>
      </w:r>
      <w:r>
        <w:rPr>
          <w:rFonts w:ascii="Times New Roman" w:eastAsia="Times New Roman"/>
          <w:spacing w:val="54"/>
          <w:sz w:val="22"/>
          <w:vertAlign w:val="baseline"/>
        </w:rPr>
        <w:t> </w:t>
      </w:r>
      <w:r>
        <w:rPr>
          <w:sz w:val="22"/>
          <w:vertAlign w:val="baseline"/>
        </w:rPr>
        <w:t>陳敏教授認為特別權力關係之用語應揚棄，改以特別法律關係稱之。</w:t>
      </w:r>
    </w:p>
    <w:p>
      <w:pPr>
        <w:spacing w:line="223" w:lineRule="auto" w:before="114"/>
        <w:ind w:left="120" w:right="274" w:firstLine="0"/>
        <w:jc w:val="both"/>
        <w:rPr>
          <w:sz w:val="22"/>
        </w:rPr>
      </w:pPr>
      <w:r>
        <w:rPr>
          <w:rFonts w:ascii="Times New Roman" w:eastAsia="Times New Roman"/>
          <w:spacing w:val="-2"/>
          <w:sz w:val="22"/>
          <w:vertAlign w:val="superscript"/>
        </w:rPr>
        <w:t>28</w:t>
      </w:r>
      <w:r>
        <w:rPr>
          <w:rFonts w:ascii="Times New Roman" w:eastAsia="Times New Roman"/>
          <w:spacing w:val="16"/>
          <w:sz w:val="22"/>
          <w:vertAlign w:val="baseline"/>
        </w:rPr>
        <w:t> </w:t>
      </w:r>
      <w:r>
        <w:rPr>
          <w:spacing w:val="-2"/>
          <w:sz w:val="22"/>
          <w:vertAlign w:val="baseline"/>
        </w:rPr>
        <w:t>一般而言，基礎關係事項例如，公務員之任命、免職、退休等是；經營關係事項則例</w:t>
      </w:r>
      <w:r>
        <w:rPr>
          <w:spacing w:val="-9"/>
          <w:sz w:val="22"/>
          <w:vertAlign w:val="baseline"/>
        </w:rPr>
        <w:t>如，長官對屬官之勤務指示、考績等為之。詳參陳敏，《行政法總論》，第六版，</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225-226</w:t>
      </w:r>
      <w:r>
        <w:rPr>
          <w:sz w:val="22"/>
          <w:vertAlign w:val="baseline"/>
        </w:rPr>
        <w:t>。</w:t>
      </w:r>
    </w:p>
    <w:p>
      <w:pPr>
        <w:spacing w:after="0" w:line="223" w:lineRule="auto"/>
        <w:jc w:val="both"/>
        <w:rPr>
          <w:sz w:val="22"/>
        </w:rPr>
        <w:sectPr>
          <w:pgSz w:w="11910" w:h="16840"/>
          <w:pgMar w:header="0" w:footer="1019" w:top="1420" w:bottom="1200" w:left="1680" w:right="1520"/>
        </w:sectPr>
      </w:pPr>
    </w:p>
    <w:p>
      <w:pPr>
        <w:pStyle w:val="BodyText"/>
        <w:spacing w:line="295" w:lineRule="auto" w:before="38"/>
        <w:ind w:left="120" w:right="214"/>
        <w:jc w:val="both"/>
      </w:pPr>
      <w:r>
        <w:rPr>
          <w:spacing w:val="-2"/>
        </w:rPr>
        <w:t>較小之經營關係，為達到維持行政內部秩序及行政目的所採取之措施，無需法律</w:t>
      </w:r>
      <w:r>
        <w:rPr>
          <w:spacing w:val="-8"/>
        </w:rPr>
        <w:t>規定之依據，當事人對之亦不得提起行政救濟</w:t>
      </w:r>
      <w:r>
        <w:rPr>
          <w:rFonts w:ascii="Times New Roman" w:eastAsia="Times New Roman"/>
          <w:spacing w:val="-15"/>
          <w:vertAlign w:val="superscript"/>
        </w:rPr>
        <w:t>29</w:t>
      </w:r>
      <w:r>
        <w:rPr>
          <w:spacing w:val="-14"/>
          <w:vertAlign w:val="baseline"/>
        </w:rPr>
        <w:t>。換言之，在 </w:t>
      </w:r>
      <w:r>
        <w:rPr>
          <w:rFonts w:ascii="Times New Roman" w:eastAsia="Times New Roman"/>
          <w:spacing w:val="-1"/>
          <w:vertAlign w:val="baseline"/>
        </w:rPr>
        <w:t>Ule</w:t>
      </w:r>
      <w:r>
        <w:rPr>
          <w:rFonts w:ascii="Times New Roman" w:eastAsia="Times New Roman"/>
          <w:vertAlign w:val="baseline"/>
        </w:rPr>
        <w:t> </w:t>
      </w:r>
      <w:r>
        <w:rPr>
          <w:spacing w:val="-2"/>
          <w:vertAlign w:val="baseline"/>
        </w:rPr>
        <w:t>的二分理論下，</w:t>
      </w:r>
      <w:r>
        <w:rPr>
          <w:spacing w:val="-60"/>
          <w:vertAlign w:val="baseline"/>
        </w:rPr>
        <w:t> </w:t>
      </w:r>
      <w:r>
        <w:rPr>
          <w:spacing w:val="-2"/>
          <w:vertAlign w:val="baseline"/>
        </w:rPr>
        <w:t>保障的賦予（或謂保障的程度</w:t>
      </w:r>
      <w:r>
        <w:rPr>
          <w:spacing w:val="-1"/>
          <w:vertAlign w:val="baseline"/>
        </w:rPr>
        <w:t>）受到基礎與經營關係的重要影響，倘對於公務人</w:t>
      </w:r>
      <w:r>
        <w:rPr>
          <w:spacing w:val="-2"/>
          <w:vertAlign w:val="baseline"/>
        </w:rPr>
        <w:t>員之影響為基礎關係事項時，即肯認其應受到救濟保護始符合「有權利，斯有救濟」的要求；倘若受影響之事項僅為經營關係事項，則認為其對於公務人員之利</w:t>
      </w:r>
      <w:r>
        <w:rPr>
          <w:vertAlign w:val="baseline"/>
        </w:rPr>
        <w:t>益影響較小，公務人員在此並無權利受到侵害，進而無須給予其救濟保護。</w:t>
      </w:r>
    </w:p>
    <w:p>
      <w:pPr>
        <w:pStyle w:val="BodyText"/>
        <w:spacing w:before="1"/>
        <w:rPr>
          <w:sz w:val="30"/>
        </w:rPr>
      </w:pPr>
    </w:p>
    <w:p>
      <w:pPr>
        <w:pStyle w:val="BodyText"/>
        <w:spacing w:before="1"/>
        <w:ind w:left="600"/>
      </w:pPr>
      <w:r>
        <w:rPr/>
        <w:t>除前述從基礎關係、經營關係的說法外，另也有做以下區分者：</w:t>
      </w:r>
    </w:p>
    <w:p>
      <w:pPr>
        <w:pStyle w:val="ListParagraph"/>
        <w:numPr>
          <w:ilvl w:val="0"/>
          <w:numId w:val="7"/>
        </w:numPr>
        <w:tabs>
          <w:tab w:pos="724" w:val="left" w:leader="none"/>
        </w:tabs>
        <w:spacing w:line="295" w:lineRule="auto" w:before="78" w:after="0"/>
        <w:ind w:left="120" w:right="274" w:firstLine="0"/>
        <w:jc w:val="left"/>
        <w:rPr>
          <w:sz w:val="24"/>
        </w:rPr>
      </w:pPr>
      <w:r>
        <w:rPr>
          <w:sz w:val="24"/>
        </w:rPr>
        <w:t>行政內部職務指令關係：當公務人員處於國家內部（行政內部）之地位而面對來自上級之職務指令時，此時該指令並非行政處分；</w:t>
      </w:r>
    </w:p>
    <w:p>
      <w:pPr>
        <w:pStyle w:val="ListParagraph"/>
        <w:numPr>
          <w:ilvl w:val="0"/>
          <w:numId w:val="7"/>
        </w:numPr>
        <w:tabs>
          <w:tab w:pos="724" w:val="left" w:leader="none"/>
        </w:tabs>
        <w:spacing w:line="295" w:lineRule="auto" w:before="2" w:after="0"/>
        <w:ind w:left="120" w:right="274" w:firstLine="0"/>
        <w:jc w:val="both"/>
        <w:rPr>
          <w:sz w:val="24"/>
        </w:rPr>
      </w:pPr>
      <w:r>
        <w:rPr>
          <w:sz w:val="24"/>
        </w:rPr>
        <w:t>當來自上級行政機關之決定係針對公務人員作為「獨立法律人格者」之地</w:t>
      </w:r>
      <w:r>
        <w:rPr>
          <w:spacing w:val="-3"/>
          <w:sz w:val="24"/>
        </w:rPr>
        <w:t>位，此時公務人員並非以其行政內部職務執行者的角色收受該決定，則該決定即</w:t>
      </w:r>
      <w:r>
        <w:rPr>
          <w:sz w:val="24"/>
        </w:rPr>
        <w:t>可能為行政處分</w:t>
      </w:r>
      <w:r>
        <w:rPr>
          <w:rFonts w:ascii="Times New Roman" w:eastAsia="Times New Roman"/>
          <w:sz w:val="24"/>
          <w:vertAlign w:val="superscript"/>
        </w:rPr>
        <w:t>30</w:t>
      </w:r>
      <w:r>
        <w:rPr>
          <w:spacing w:val="-1"/>
          <w:sz w:val="24"/>
          <w:vertAlign w:val="baseline"/>
        </w:rPr>
        <w:t>。德國聯邦憲法法院 </w:t>
      </w:r>
      <w:r>
        <w:rPr>
          <w:rFonts w:ascii="Times New Roman" w:eastAsia="Times New Roman"/>
          <w:sz w:val="24"/>
          <w:vertAlign w:val="baseline"/>
        </w:rPr>
        <w:t>1980</w:t>
      </w:r>
      <w:r>
        <w:rPr>
          <w:rFonts w:ascii="Times New Roman" w:eastAsia="Times New Roman"/>
          <w:spacing w:val="-4"/>
          <w:sz w:val="24"/>
          <w:vertAlign w:val="baseline"/>
        </w:rPr>
        <w:t> </w:t>
      </w:r>
      <w:r>
        <w:rPr>
          <w:spacing w:val="-4"/>
          <w:sz w:val="24"/>
          <w:vertAlign w:val="baseline"/>
        </w:rPr>
        <w:t>年 </w:t>
      </w:r>
      <w:r>
        <w:rPr>
          <w:rFonts w:ascii="Times New Roman" w:eastAsia="Times New Roman"/>
          <w:sz w:val="24"/>
          <w:vertAlign w:val="baseline"/>
        </w:rPr>
        <w:t>5</w:t>
      </w:r>
      <w:r>
        <w:rPr>
          <w:rFonts w:ascii="Times New Roman" w:eastAsia="Times New Roman"/>
          <w:spacing w:val="-5"/>
          <w:sz w:val="24"/>
          <w:vertAlign w:val="baseline"/>
        </w:rPr>
        <w:t> </w:t>
      </w:r>
      <w:r>
        <w:rPr>
          <w:spacing w:val="-4"/>
          <w:sz w:val="24"/>
          <w:vertAlign w:val="baseline"/>
        </w:rPr>
        <w:t>月 </w:t>
      </w:r>
      <w:r>
        <w:rPr>
          <w:rFonts w:ascii="Times New Roman" w:eastAsia="Times New Roman"/>
          <w:sz w:val="24"/>
          <w:vertAlign w:val="baseline"/>
        </w:rPr>
        <w:t>22</w:t>
      </w:r>
      <w:r>
        <w:rPr>
          <w:rFonts w:ascii="Times New Roman" w:eastAsia="Times New Roman"/>
          <w:spacing w:val="-4"/>
          <w:sz w:val="24"/>
          <w:vertAlign w:val="baseline"/>
        </w:rPr>
        <w:t> </w:t>
      </w:r>
      <w:r>
        <w:rPr>
          <w:sz w:val="24"/>
          <w:vertAlign w:val="baseline"/>
        </w:rPr>
        <w:t>日之判決，即認為公務人</w:t>
      </w:r>
      <w:r>
        <w:rPr>
          <w:spacing w:val="-3"/>
          <w:sz w:val="24"/>
          <w:vertAlign w:val="baseline"/>
        </w:rPr>
        <w:t>員之調職，並非行政對外所為之決定，因此並非行政處分，不論公務人員之個人權利是否受有侵害，皆不得對該決定提起撤銷訴訟，惟其個人權利受侵害者，得</w:t>
      </w:r>
      <w:r>
        <w:rPr>
          <w:spacing w:val="-1"/>
          <w:sz w:val="24"/>
          <w:vertAlign w:val="baseline"/>
        </w:rPr>
        <w:t>提起一般給付訴訟</w:t>
      </w:r>
      <w:r>
        <w:rPr>
          <w:rFonts w:ascii="Times New Roman" w:eastAsia="Times New Roman"/>
          <w:spacing w:val="-1"/>
          <w:sz w:val="24"/>
          <w:vertAlign w:val="superscript"/>
        </w:rPr>
        <w:t>31</w:t>
      </w:r>
      <w:r>
        <w:rPr>
          <w:spacing w:val="-1"/>
          <w:sz w:val="24"/>
          <w:vertAlign w:val="baseline"/>
        </w:rPr>
        <w:t>。此一判決雖未引用基礎關係及經營關係理論，但也可從中</w:t>
      </w:r>
      <w:r>
        <w:rPr>
          <w:spacing w:val="-3"/>
          <w:sz w:val="24"/>
          <w:vertAlign w:val="baseline"/>
        </w:rPr>
        <w:t>發現針對公務人員之於國家的關係，原則上認為公務人員屬於國家內部，蓋該判決認為調職處分並非行政處分之原因，係因該調職處分並不具對外性；且公務人</w:t>
      </w:r>
      <w:r>
        <w:rPr>
          <w:sz w:val="24"/>
          <w:vertAlign w:val="baseline"/>
        </w:rPr>
        <w:t>員並無權主張擔任特定職務。</w:t>
      </w:r>
    </w:p>
    <w:p>
      <w:pPr>
        <w:pStyle w:val="BodyText"/>
        <w:spacing w:before="5"/>
        <w:rPr>
          <w:sz w:val="30"/>
        </w:rPr>
      </w:pPr>
    </w:p>
    <w:p>
      <w:pPr>
        <w:pStyle w:val="BodyText"/>
        <w:spacing w:line="295" w:lineRule="auto"/>
        <w:ind w:left="120" w:right="216" w:firstLine="489"/>
        <w:jc w:val="both"/>
      </w:pPr>
      <w:r>
        <w:rPr/>
        <w:t>無論從學說或是前述德國聯邦憲法法院的判決觀察，公務人員與國家之關</w:t>
      </w:r>
      <w:r>
        <w:rPr>
          <w:spacing w:val="-2"/>
        </w:rPr>
        <w:t>係，以及公務人員在國家之內所可能主張的權利，皆異於一般獨立於國家外部的人民。而公務人員因其身分受國家所作之處分，也與一般行政處分之判定有所不</w:t>
      </w:r>
      <w:r>
        <w:rPr>
          <w:spacing w:val="-4"/>
        </w:rPr>
        <w:t>同，其重點似非在行政程序法第 </w:t>
      </w:r>
      <w:r>
        <w:rPr>
          <w:rFonts w:ascii="Times New Roman" w:eastAsia="Times New Roman"/>
          <w:spacing w:val="-3"/>
        </w:rPr>
        <w:t>92</w:t>
      </w:r>
      <w:r>
        <w:rPr>
          <w:rFonts w:ascii="Times New Roman" w:eastAsia="Times New Roman"/>
          <w:spacing w:val="-9"/>
        </w:rPr>
        <w:t> </w:t>
      </w:r>
      <w:r>
        <w:rPr>
          <w:spacing w:val="-8"/>
        </w:rPr>
        <w:t>條所規定之行政處分要件</w:t>
      </w:r>
      <w:r>
        <w:rPr>
          <w:spacing w:val="-2"/>
        </w:rPr>
        <w:t>（行為、行政機關、公權力、單方性、個別性與法效性等</w:t>
      </w:r>
      <w:r>
        <w:rPr>
          <w:spacing w:val="-1"/>
        </w:rPr>
        <w:t>）的判定，而係在於該公務人員與國家間的</w:t>
      </w:r>
      <w:r>
        <w:rPr/>
        <w:t>特殊關係。</w:t>
      </w:r>
    </w:p>
    <w:p>
      <w:pPr>
        <w:pStyle w:val="BodyText"/>
        <w:spacing w:before="2"/>
        <w:rPr>
          <w:sz w:val="30"/>
        </w:rPr>
      </w:pPr>
    </w:p>
    <w:p>
      <w:pPr>
        <w:pStyle w:val="BodyText"/>
        <w:spacing w:line="295" w:lineRule="auto"/>
        <w:ind w:left="120" w:right="275" w:firstLine="480"/>
      </w:pPr>
      <w:r>
        <w:rPr>
          <w:spacing w:val="-3"/>
        </w:rPr>
        <w:t>在我國學說與實務方面，公務人員與國家之關係，過去亦被視為特別權力關係，並無權利救濟之管道。然而此種特別權力關係理論，隨著時間經過不斷受到</w:t>
      </w:r>
    </w:p>
    <w:p>
      <w:pPr>
        <w:pStyle w:val="BodyText"/>
        <w:rPr>
          <w:sz w:val="20"/>
        </w:rPr>
      </w:pPr>
    </w:p>
    <w:p>
      <w:pPr>
        <w:pStyle w:val="BodyText"/>
        <w:spacing w:before="8"/>
        <w:rPr>
          <w:sz w:val="19"/>
        </w:rPr>
      </w:pPr>
    </w:p>
    <w:p>
      <w:pPr>
        <w:spacing w:before="1"/>
        <w:ind w:left="120" w:right="0" w:firstLine="0"/>
        <w:jc w:val="left"/>
        <w:rPr>
          <w:sz w:val="22"/>
        </w:rPr>
      </w:pPr>
      <w:r>
        <w:rPr>
          <w:rFonts w:ascii="Times New Roman" w:eastAsia="Times New Roman"/>
          <w:sz w:val="22"/>
          <w:vertAlign w:val="superscript"/>
        </w:rPr>
        <w:t>29</w:t>
      </w:r>
      <w:r>
        <w:rPr>
          <w:rFonts w:ascii="Times New Roman" w:eastAsia="Times New Roman"/>
          <w:spacing w:val="54"/>
          <w:sz w:val="22"/>
          <w:vertAlign w:val="baseline"/>
        </w:rPr>
        <w:t> </w:t>
      </w:r>
      <w:r>
        <w:rPr>
          <w:spacing w:val="-19"/>
          <w:sz w:val="22"/>
          <w:vertAlign w:val="baseline"/>
        </w:rPr>
        <w:t>陳敏，《行政法總論》，第六版，</w:t>
      </w:r>
      <w:r>
        <w:rPr>
          <w:rFonts w:ascii="Times New Roman" w:eastAsia="Times New Roman"/>
          <w:sz w:val="22"/>
          <w:vertAlign w:val="baseline"/>
        </w:rPr>
        <w:t>2009</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226</w:t>
      </w:r>
      <w:r>
        <w:rPr>
          <w:sz w:val="22"/>
          <w:vertAlign w:val="baseline"/>
        </w:rPr>
        <w:t>。</w:t>
      </w:r>
    </w:p>
    <w:p>
      <w:pPr>
        <w:spacing w:line="228" w:lineRule="auto" w:before="110"/>
        <w:ind w:left="120" w:right="0" w:hanging="1"/>
        <w:jc w:val="left"/>
        <w:rPr>
          <w:rFonts w:ascii="Times New Roman" w:hAnsi="Times New Roman" w:eastAsia="Times New Roman"/>
          <w:sz w:val="22"/>
        </w:rPr>
      </w:pPr>
      <w:r>
        <w:rPr>
          <w:rFonts w:ascii="Times New Roman" w:hAnsi="Times New Roman" w:eastAsia="Times New Roman"/>
          <w:spacing w:val="-1"/>
          <w:sz w:val="22"/>
          <w:vertAlign w:val="superscript"/>
        </w:rPr>
        <w:t>30</w:t>
      </w:r>
      <w:r>
        <w:rPr>
          <w:rFonts w:ascii="Times New Roman" w:hAnsi="Times New Roman" w:eastAsia="Times New Roman"/>
          <w:spacing w:val="28"/>
          <w:sz w:val="22"/>
          <w:vertAlign w:val="baseline"/>
        </w:rPr>
        <w:t> </w:t>
      </w:r>
      <w:r>
        <w:rPr>
          <w:rFonts w:ascii="Times New Roman" w:hAnsi="Times New Roman" w:eastAsia="Times New Roman"/>
          <w:spacing w:val="-1"/>
          <w:sz w:val="22"/>
          <w:vertAlign w:val="baseline"/>
        </w:rPr>
        <w:t>Vgl.</w:t>
      </w:r>
      <w:r>
        <w:rPr>
          <w:rFonts w:ascii="Times New Roman" w:hAnsi="Times New Roman" w:eastAsia="Times New Roman"/>
          <w:spacing w:val="27"/>
          <w:sz w:val="22"/>
          <w:vertAlign w:val="baseline"/>
        </w:rPr>
        <w:t> </w:t>
      </w:r>
      <w:r>
        <w:rPr>
          <w:rFonts w:ascii="Times New Roman" w:hAnsi="Times New Roman" w:eastAsia="Times New Roman"/>
          <w:spacing w:val="-1"/>
          <w:sz w:val="22"/>
          <w:vertAlign w:val="baseline"/>
        </w:rPr>
        <w:t>Maurer,</w:t>
      </w:r>
      <w:r>
        <w:rPr>
          <w:rFonts w:ascii="Times New Roman" w:hAnsi="Times New Roman" w:eastAsia="Times New Roman"/>
          <w:spacing w:val="27"/>
          <w:sz w:val="22"/>
          <w:vertAlign w:val="baseline"/>
        </w:rPr>
        <w:t> </w:t>
      </w:r>
      <w:r>
        <w:rPr>
          <w:rFonts w:ascii="Times New Roman" w:hAnsi="Times New Roman" w:eastAsia="Times New Roman"/>
          <w:spacing w:val="-1"/>
          <w:sz w:val="22"/>
          <w:vertAlign w:val="baseline"/>
        </w:rPr>
        <w:t>Allgemeines</w:t>
      </w:r>
      <w:r>
        <w:rPr>
          <w:rFonts w:ascii="Times New Roman" w:hAnsi="Times New Roman" w:eastAsia="Times New Roman"/>
          <w:spacing w:val="27"/>
          <w:sz w:val="22"/>
          <w:vertAlign w:val="baseline"/>
        </w:rPr>
        <w:t> </w:t>
      </w:r>
      <w:r>
        <w:rPr>
          <w:rFonts w:ascii="Times New Roman" w:hAnsi="Times New Roman" w:eastAsia="Times New Roman"/>
          <w:spacing w:val="-1"/>
          <w:sz w:val="22"/>
          <w:vertAlign w:val="baseline"/>
        </w:rPr>
        <w:t>Verwaltungsrecht,</w:t>
      </w:r>
      <w:r>
        <w:rPr>
          <w:rFonts w:ascii="Times New Roman" w:hAnsi="Times New Roman" w:eastAsia="Times New Roman"/>
          <w:spacing w:val="27"/>
          <w:sz w:val="22"/>
          <w:vertAlign w:val="baseline"/>
        </w:rPr>
        <w:t> </w:t>
      </w:r>
      <w:r>
        <w:rPr>
          <w:rFonts w:ascii="Times New Roman" w:hAnsi="Times New Roman" w:eastAsia="Times New Roman"/>
          <w:spacing w:val="-1"/>
          <w:sz w:val="22"/>
          <w:vertAlign w:val="baseline"/>
        </w:rPr>
        <w:t>16.</w:t>
      </w:r>
      <w:r>
        <w:rPr>
          <w:rFonts w:ascii="Times New Roman" w:hAnsi="Times New Roman" w:eastAsia="Times New Roman"/>
          <w:spacing w:val="26"/>
          <w:sz w:val="22"/>
          <w:vertAlign w:val="baseline"/>
        </w:rPr>
        <w:t> </w:t>
      </w:r>
      <w:r>
        <w:rPr>
          <w:rFonts w:ascii="Times New Roman" w:hAnsi="Times New Roman" w:eastAsia="Times New Roman"/>
          <w:spacing w:val="-1"/>
          <w:sz w:val="22"/>
          <w:vertAlign w:val="baseline"/>
        </w:rPr>
        <w:t>Aufl.</w:t>
      </w:r>
      <w:r>
        <w:rPr>
          <w:rFonts w:ascii="Times New Roman" w:hAnsi="Times New Roman" w:eastAsia="Times New Roman"/>
          <w:spacing w:val="27"/>
          <w:sz w:val="22"/>
          <w:vertAlign w:val="baseline"/>
        </w:rPr>
        <w:t> </w:t>
      </w:r>
      <w:r>
        <w:rPr>
          <w:rFonts w:ascii="Times New Roman" w:hAnsi="Times New Roman" w:eastAsia="Times New Roman"/>
          <w:sz w:val="22"/>
          <w:vertAlign w:val="baseline"/>
        </w:rPr>
        <w:t>§</w:t>
      </w:r>
      <w:r>
        <w:rPr>
          <w:rFonts w:ascii="Times New Roman" w:hAnsi="Times New Roman" w:eastAsia="Times New Roman"/>
          <w:spacing w:val="25"/>
          <w:sz w:val="22"/>
          <w:vertAlign w:val="baseline"/>
        </w:rPr>
        <w:t> </w:t>
      </w:r>
      <w:r>
        <w:rPr>
          <w:rFonts w:ascii="Times New Roman" w:hAnsi="Times New Roman" w:eastAsia="Times New Roman"/>
          <w:sz w:val="22"/>
          <w:vertAlign w:val="baseline"/>
        </w:rPr>
        <w:t>9</w:t>
      </w:r>
      <w:r>
        <w:rPr>
          <w:rFonts w:ascii="Times New Roman" w:hAnsi="Times New Roman" w:eastAsia="Times New Roman"/>
          <w:spacing w:val="25"/>
          <w:sz w:val="22"/>
          <w:vertAlign w:val="baseline"/>
        </w:rPr>
        <w:t> </w:t>
      </w:r>
      <w:r>
        <w:rPr>
          <w:rFonts w:ascii="Times New Roman" w:hAnsi="Times New Roman" w:eastAsia="Times New Roman"/>
          <w:sz w:val="22"/>
          <w:vertAlign w:val="baseline"/>
        </w:rPr>
        <w:t>Rn.</w:t>
      </w:r>
      <w:r>
        <w:rPr>
          <w:rFonts w:ascii="Times New Roman" w:hAnsi="Times New Roman" w:eastAsia="Times New Roman"/>
          <w:spacing w:val="26"/>
          <w:sz w:val="22"/>
          <w:vertAlign w:val="baseline"/>
        </w:rPr>
        <w:t> </w:t>
      </w:r>
      <w:r>
        <w:rPr>
          <w:rFonts w:ascii="Times New Roman" w:hAnsi="Times New Roman" w:eastAsia="Times New Roman"/>
          <w:sz w:val="22"/>
          <w:vertAlign w:val="baseline"/>
        </w:rPr>
        <w:t>28</w:t>
      </w:r>
      <w:r>
        <w:rPr>
          <w:rFonts w:ascii="Times New Roman" w:hAnsi="Times New Roman" w:eastAsia="Times New Roman"/>
          <w:spacing w:val="-29"/>
          <w:sz w:val="22"/>
          <w:vertAlign w:val="baseline"/>
        </w:rPr>
        <w:t> </w:t>
      </w:r>
      <w:r>
        <w:rPr>
          <w:sz w:val="22"/>
          <w:vertAlign w:val="baseline"/>
        </w:rPr>
        <w:t>；</w:t>
      </w:r>
      <w:r>
        <w:rPr>
          <w:spacing w:val="47"/>
          <w:sz w:val="22"/>
          <w:vertAlign w:val="baseline"/>
        </w:rPr>
        <w:t> </w:t>
      </w:r>
      <w:r>
        <w:rPr>
          <w:rFonts w:ascii="Times New Roman" w:hAnsi="Times New Roman" w:eastAsia="Times New Roman"/>
          <w:sz w:val="22"/>
          <w:vertAlign w:val="baseline"/>
        </w:rPr>
        <w:t>Erichsen</w:t>
      </w:r>
      <w:r>
        <w:rPr>
          <w:rFonts w:ascii="Times New Roman" w:hAnsi="Times New Roman" w:eastAsia="Times New Roman"/>
          <w:spacing w:val="26"/>
          <w:sz w:val="22"/>
          <w:vertAlign w:val="baseline"/>
        </w:rPr>
        <w:t> </w:t>
      </w:r>
      <w:r>
        <w:rPr>
          <w:rFonts w:ascii="Times New Roman" w:hAnsi="Times New Roman" w:eastAsia="Times New Roman"/>
          <w:sz w:val="22"/>
          <w:vertAlign w:val="baseline"/>
        </w:rPr>
        <w:t>in:</w:t>
      </w:r>
      <w:r>
        <w:rPr>
          <w:rFonts w:ascii="Times New Roman" w:hAnsi="Times New Roman" w:eastAsia="Times New Roman"/>
          <w:spacing w:val="-52"/>
          <w:sz w:val="22"/>
          <w:vertAlign w:val="baseline"/>
        </w:rPr>
        <w:t> </w:t>
      </w:r>
      <w:r>
        <w:rPr>
          <w:rFonts w:ascii="Times New Roman" w:hAnsi="Times New Roman" w:eastAsia="Times New Roman"/>
          <w:sz w:val="22"/>
          <w:vertAlign w:val="baseline"/>
        </w:rPr>
        <w:t>Erichsen/Ehlers,</w:t>
      </w:r>
      <w:r>
        <w:rPr>
          <w:rFonts w:ascii="Times New Roman" w:hAnsi="Times New Roman" w:eastAsia="Times New Roman"/>
          <w:spacing w:val="-13"/>
          <w:sz w:val="22"/>
          <w:vertAlign w:val="baseline"/>
        </w:rPr>
        <w:t> </w:t>
      </w:r>
      <w:r>
        <w:rPr>
          <w:rFonts w:ascii="Times New Roman" w:hAnsi="Times New Roman" w:eastAsia="Times New Roman"/>
          <w:sz w:val="22"/>
          <w:vertAlign w:val="baseline"/>
        </w:rPr>
        <w:t>Allgemeines</w:t>
      </w:r>
      <w:r>
        <w:rPr>
          <w:rFonts w:ascii="Times New Roman" w:hAnsi="Times New Roman" w:eastAsia="Times New Roman"/>
          <w:spacing w:val="-5"/>
          <w:sz w:val="22"/>
          <w:vertAlign w:val="baseline"/>
        </w:rPr>
        <w:t> </w:t>
      </w:r>
      <w:r>
        <w:rPr>
          <w:rFonts w:ascii="Times New Roman" w:hAnsi="Times New Roman" w:eastAsia="Times New Roman"/>
          <w:sz w:val="22"/>
          <w:vertAlign w:val="baseline"/>
        </w:rPr>
        <w:t>Verwaltungsrecht,</w:t>
      </w:r>
      <w:r>
        <w:rPr>
          <w:rFonts w:ascii="Times New Roman" w:hAnsi="Times New Roman" w:eastAsia="Times New Roman"/>
          <w:spacing w:val="-1"/>
          <w:sz w:val="22"/>
          <w:vertAlign w:val="baseline"/>
        </w:rPr>
        <w:t> </w:t>
      </w:r>
      <w:r>
        <w:rPr>
          <w:rFonts w:ascii="Times New Roman" w:hAnsi="Times New Roman" w:eastAsia="Times New Roman"/>
          <w:sz w:val="22"/>
          <w:vertAlign w:val="baseline"/>
        </w:rPr>
        <w:t>12.</w:t>
      </w:r>
      <w:r>
        <w:rPr>
          <w:rFonts w:ascii="Times New Roman" w:hAnsi="Times New Roman" w:eastAsia="Times New Roman"/>
          <w:spacing w:val="-13"/>
          <w:sz w:val="22"/>
          <w:vertAlign w:val="baseline"/>
        </w:rPr>
        <w:t> </w:t>
      </w:r>
      <w:r>
        <w:rPr>
          <w:rFonts w:ascii="Times New Roman" w:hAnsi="Times New Roman" w:eastAsia="Times New Roman"/>
          <w:sz w:val="22"/>
          <w:vertAlign w:val="baseline"/>
        </w:rPr>
        <w:t>Aufl.</w:t>
      </w:r>
      <w:r>
        <w:rPr>
          <w:rFonts w:ascii="Times New Roman" w:hAnsi="Times New Roman" w:eastAsia="Times New Roman"/>
          <w:spacing w:val="-1"/>
          <w:sz w:val="22"/>
          <w:vertAlign w:val="baseline"/>
        </w:rPr>
        <w:t> </w:t>
      </w:r>
      <w:r>
        <w:rPr>
          <w:rFonts w:ascii="Times New Roman" w:hAnsi="Times New Roman" w:eastAsia="Times New Roman"/>
          <w:sz w:val="22"/>
          <w:vertAlign w:val="baseline"/>
        </w:rPr>
        <w:t>§</w:t>
      </w:r>
      <w:r>
        <w:rPr>
          <w:rFonts w:ascii="Times New Roman" w:hAnsi="Times New Roman" w:eastAsia="Times New Roman"/>
          <w:spacing w:val="-1"/>
          <w:sz w:val="22"/>
          <w:vertAlign w:val="baseline"/>
        </w:rPr>
        <w:t> </w:t>
      </w:r>
      <w:r>
        <w:rPr>
          <w:rFonts w:ascii="Times New Roman" w:hAnsi="Times New Roman" w:eastAsia="Times New Roman"/>
          <w:sz w:val="22"/>
          <w:vertAlign w:val="baseline"/>
        </w:rPr>
        <w:t>12</w:t>
      </w:r>
      <w:r>
        <w:rPr>
          <w:rFonts w:ascii="Times New Roman" w:hAnsi="Times New Roman" w:eastAsia="Times New Roman"/>
          <w:spacing w:val="-2"/>
          <w:sz w:val="22"/>
          <w:vertAlign w:val="baseline"/>
        </w:rPr>
        <w:t> </w:t>
      </w:r>
      <w:r>
        <w:rPr>
          <w:rFonts w:ascii="Times New Roman" w:hAnsi="Times New Roman" w:eastAsia="Times New Roman"/>
          <w:sz w:val="22"/>
          <w:vertAlign w:val="baseline"/>
        </w:rPr>
        <w:t>Rn. 41.</w:t>
      </w:r>
    </w:p>
    <w:p>
      <w:pPr>
        <w:spacing w:before="115"/>
        <w:ind w:left="120" w:right="0" w:firstLine="0"/>
        <w:jc w:val="left"/>
        <w:rPr>
          <w:sz w:val="22"/>
        </w:rPr>
      </w:pPr>
      <w:r>
        <w:rPr>
          <w:rFonts w:ascii="Times New Roman" w:eastAsia="Times New Roman"/>
          <w:sz w:val="22"/>
          <w:vertAlign w:val="superscript"/>
        </w:rPr>
        <w:t>31</w:t>
      </w:r>
      <w:r>
        <w:rPr>
          <w:rFonts w:ascii="Times New Roman" w:eastAsia="Times New Roman"/>
          <w:spacing w:val="54"/>
          <w:sz w:val="22"/>
          <w:vertAlign w:val="baseline"/>
        </w:rPr>
        <w:t> </w:t>
      </w:r>
      <w:r>
        <w:rPr>
          <w:spacing w:val="-19"/>
          <w:sz w:val="22"/>
          <w:vertAlign w:val="baseline"/>
        </w:rPr>
        <w:t>陳敏，《行政法總論》，第六版，</w:t>
      </w:r>
      <w:r>
        <w:rPr>
          <w:rFonts w:ascii="Times New Roman" w:eastAsia="Times New Roman"/>
          <w:sz w:val="22"/>
          <w:vertAlign w:val="baseline"/>
        </w:rPr>
        <w:t>2009</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226</w:t>
      </w:r>
      <w:r>
        <w:rPr>
          <w:sz w:val="22"/>
          <w:vertAlign w:val="baseline"/>
        </w:rPr>
        <w:t>。</w:t>
      </w:r>
    </w:p>
    <w:p>
      <w:pPr>
        <w:spacing w:after="0"/>
        <w:jc w:val="left"/>
        <w:rPr>
          <w:sz w:val="22"/>
        </w:rPr>
        <w:sectPr>
          <w:footerReference w:type="default" r:id="rId11"/>
          <w:pgSz w:w="11910" w:h="16840"/>
          <w:pgMar w:footer="1191" w:header="0" w:top="1440" w:bottom="1380" w:left="1680" w:right="1520"/>
        </w:sectPr>
      </w:pPr>
    </w:p>
    <w:p>
      <w:pPr>
        <w:pStyle w:val="BodyText"/>
        <w:spacing w:line="295" w:lineRule="auto" w:before="38"/>
        <w:ind w:left="120" w:right="277"/>
        <w:jc w:val="both"/>
      </w:pPr>
      <w:r>
        <w:rPr>
          <w:spacing w:val="-3"/>
        </w:rPr>
        <w:t>挑戰。從司法院歷來有關公務人員關係所為之解釋觀之，倘涉及公務人員財產權相關之處分，從釋字第 </w:t>
      </w:r>
      <w:r>
        <w:rPr>
          <w:rFonts w:ascii="Times New Roman" w:eastAsia="Times New Roman"/>
          <w:spacing w:val="-1"/>
        </w:rPr>
        <w:t>187</w:t>
      </w:r>
      <w:r>
        <w:rPr>
          <w:rFonts w:ascii="Times New Roman" w:eastAsia="Times New Roman"/>
          <w:spacing w:val="-12"/>
        </w:rPr>
        <w:t> </w:t>
      </w:r>
      <w:r>
        <w:rPr>
          <w:spacing w:val="-3"/>
        </w:rPr>
        <w:t>號解釋、釋字第 </w:t>
      </w:r>
      <w:r>
        <w:rPr>
          <w:rFonts w:ascii="Times New Roman" w:eastAsia="Times New Roman"/>
          <w:spacing w:val="-1"/>
        </w:rPr>
        <w:t>201</w:t>
      </w:r>
      <w:r>
        <w:rPr>
          <w:rFonts w:ascii="Times New Roman" w:eastAsia="Times New Roman"/>
          <w:spacing w:val="-12"/>
        </w:rPr>
        <w:t> </w:t>
      </w:r>
      <w:r>
        <w:rPr>
          <w:spacing w:val="-3"/>
        </w:rPr>
        <w:t>號解釋以及釋字第 </w:t>
      </w:r>
      <w:r>
        <w:rPr>
          <w:rFonts w:ascii="Times New Roman" w:eastAsia="Times New Roman"/>
          <w:spacing w:val="-1"/>
        </w:rPr>
        <w:t>266</w:t>
      </w:r>
      <w:r>
        <w:rPr>
          <w:rFonts w:ascii="Times New Roman" w:eastAsia="Times New Roman"/>
          <w:spacing w:val="-12"/>
        </w:rPr>
        <w:t> </w:t>
      </w:r>
      <w:r>
        <w:rPr>
          <w:spacing w:val="-1"/>
        </w:rPr>
        <w:t>號解釋以</w:t>
      </w:r>
      <w:r>
        <w:rPr>
          <w:spacing w:val="-3"/>
        </w:rPr>
        <w:t>降，大法官分別針對退休金及考績獎金肯定公務人員得對此類處分提起救濟，在</w:t>
      </w:r>
      <w:r>
        <w:rPr/>
        <w:t>釋字第 </w:t>
      </w:r>
      <w:r>
        <w:rPr>
          <w:rFonts w:ascii="Times New Roman" w:eastAsia="Times New Roman"/>
        </w:rPr>
        <w:t>312</w:t>
      </w:r>
      <w:r>
        <w:rPr>
          <w:rFonts w:ascii="Times New Roman" w:eastAsia="Times New Roman"/>
          <w:spacing w:val="5"/>
        </w:rPr>
        <w:t> </w:t>
      </w:r>
      <w:r>
        <w:rPr>
          <w:spacing w:val="-6"/>
        </w:rPr>
        <w:t>號解釋後，大法官更在解釋理由書內明文指出，「</w:t>
      </w:r>
      <w:r>
        <w:rPr>
          <w:rFonts w:ascii="標楷體" w:eastAsia="標楷體" w:hint="eastAsia"/>
        </w:rPr>
        <w:t>公務人員之財產權</w:t>
      </w:r>
      <w:r>
        <w:rPr>
          <w:rFonts w:ascii="標楷體" w:eastAsia="標楷體" w:hint="eastAsia"/>
          <w:spacing w:val="-3"/>
        </w:rPr>
        <w:t>之保障，不應因其被任命為公務人員，與國家發生公法上之忠勤服務關係而受影響</w:t>
      </w:r>
      <w:r>
        <w:rPr>
          <w:spacing w:val="-3"/>
        </w:rPr>
        <w:t>。」換句話說，公務人員以公務人員之身分，因公法上財產權之事，受有處分而遭受損害時，皆可透過訴願、行政訴訟提起救濟，與一般人民無異。另在涉及</w:t>
      </w:r>
      <w:r>
        <w:rPr>
          <w:spacing w:val="1"/>
        </w:rPr>
        <w:t>公務人員身分之情形，歸納釋字第 </w:t>
      </w:r>
      <w:r>
        <w:rPr>
          <w:rFonts w:ascii="Times New Roman" w:eastAsia="Times New Roman"/>
        </w:rPr>
        <w:t>243</w:t>
      </w:r>
      <w:r>
        <w:rPr>
          <w:rFonts w:ascii="Times New Roman" w:eastAsia="Times New Roman"/>
          <w:spacing w:val="32"/>
        </w:rPr>
        <w:t> </w:t>
      </w:r>
      <w:r>
        <w:rPr>
          <w:spacing w:val="3"/>
        </w:rPr>
        <w:t>號解釋、釋字第 </w:t>
      </w:r>
      <w:r>
        <w:rPr>
          <w:rFonts w:ascii="Times New Roman" w:eastAsia="Times New Roman"/>
        </w:rPr>
        <w:t>298</w:t>
      </w:r>
      <w:r>
        <w:rPr>
          <w:rFonts w:ascii="Times New Roman" w:eastAsia="Times New Roman"/>
          <w:spacing w:val="32"/>
        </w:rPr>
        <w:t> </w:t>
      </w:r>
      <w:r>
        <w:rPr/>
        <w:t>號解釋以及釋字第</w:t>
      </w:r>
    </w:p>
    <w:p>
      <w:pPr>
        <w:spacing w:line="295" w:lineRule="auto" w:before="10"/>
        <w:ind w:left="120" w:right="277" w:firstLine="0"/>
        <w:jc w:val="both"/>
        <w:rPr>
          <w:sz w:val="24"/>
        </w:rPr>
      </w:pPr>
      <w:r>
        <w:rPr>
          <w:rFonts w:ascii="Times New Roman" w:eastAsia="Times New Roman"/>
          <w:spacing w:val="-1"/>
          <w:sz w:val="24"/>
        </w:rPr>
        <w:t>491</w:t>
      </w:r>
      <w:r>
        <w:rPr>
          <w:rFonts w:ascii="Times New Roman" w:eastAsia="Times New Roman"/>
          <w:spacing w:val="-14"/>
          <w:sz w:val="24"/>
        </w:rPr>
        <w:t> </w:t>
      </w:r>
      <w:r>
        <w:rPr>
          <w:spacing w:val="-1"/>
          <w:sz w:val="24"/>
        </w:rPr>
        <w:t>號解釋之意旨，認為國家對公務人員所作之處分，只有在「</w:t>
      </w:r>
      <w:r>
        <w:rPr>
          <w:rFonts w:ascii="標楷體" w:eastAsia="標楷體" w:hint="eastAsia"/>
          <w:b/>
          <w:spacing w:val="-1"/>
          <w:sz w:val="24"/>
        </w:rPr>
        <w:t>足以改變公務員</w:t>
      </w:r>
      <w:r>
        <w:rPr>
          <w:rFonts w:ascii="標楷體" w:eastAsia="標楷體" w:hint="eastAsia"/>
          <w:b/>
          <w:spacing w:val="-3"/>
          <w:sz w:val="24"/>
        </w:rPr>
        <w:t>身分</w:t>
      </w:r>
      <w:r>
        <w:rPr>
          <w:spacing w:val="-3"/>
          <w:sz w:val="24"/>
        </w:rPr>
        <w:t>」以及「</w:t>
      </w:r>
      <w:r>
        <w:rPr>
          <w:rFonts w:ascii="標楷體" w:eastAsia="標楷體" w:hint="eastAsia"/>
          <w:b/>
          <w:spacing w:val="-3"/>
          <w:sz w:val="24"/>
        </w:rPr>
        <w:t>對於公務員有重大影響</w:t>
      </w:r>
      <w:r>
        <w:rPr>
          <w:spacing w:val="-3"/>
          <w:sz w:val="24"/>
        </w:rPr>
        <w:t>」時，始得例外許可公務人員針對該影響公</w:t>
      </w:r>
      <w:r>
        <w:rPr>
          <w:sz w:val="24"/>
        </w:rPr>
        <w:t>務人員身分關係之處分提起救濟。</w:t>
      </w:r>
    </w:p>
    <w:p>
      <w:pPr>
        <w:pStyle w:val="BodyText"/>
        <w:spacing w:before="11"/>
        <w:rPr>
          <w:sz w:val="29"/>
        </w:rPr>
      </w:pPr>
    </w:p>
    <w:p>
      <w:pPr>
        <w:pStyle w:val="BodyText"/>
        <w:spacing w:line="295" w:lineRule="auto" w:before="1"/>
        <w:ind w:left="120" w:right="277" w:firstLine="480"/>
        <w:jc w:val="both"/>
      </w:pPr>
      <w:r>
        <w:rPr>
          <w:spacing w:val="-3"/>
        </w:rPr>
        <w:t>從司法院大法官對公務人員關係所為之解釋，其認應開放救濟管道似可區分為：影響公務人員身分、影響基於公務人員身分所生公法上財產請求權、影響服公職之重大權利三類。此一「三分法」之標準與提起復審，係以足以改變身分關係或公務人員權利有重大影響之事件並對外發生效力之行政處分，或基於公務人員身分所生之公法上財產請求權遭受侵害等作為復審標的相互呼應。大法官透過解釋逐漸放寬公務人員關係中不得提起行政爭訟之限制，除了傳統基礎、經營關係之區分，對「公務人員有重大影響」亦為「重要性理論」之展現，至於公務人員之公法上財產請求權之所以能獲得訴訟救濟，本文認為似因其對於「特別權力</w:t>
      </w:r>
      <w:r>
        <w:rPr>
          <w:spacing w:val="-10"/>
        </w:rPr>
        <w:t>關係」之影響「較不重要」，因而釋字第 </w:t>
      </w:r>
      <w:r>
        <w:rPr>
          <w:rFonts w:ascii="Times New Roman" w:eastAsia="Times New Roman"/>
        </w:rPr>
        <w:t>312</w:t>
      </w:r>
      <w:r>
        <w:rPr>
          <w:rFonts w:ascii="Times New Roman" w:eastAsia="Times New Roman"/>
          <w:spacing w:val="5"/>
        </w:rPr>
        <w:t> </w:t>
      </w:r>
      <w:r>
        <w:rPr/>
        <w:t>號解釋理由書中始指出「</w:t>
      </w:r>
      <w:r>
        <w:rPr>
          <w:rFonts w:ascii="標楷體" w:eastAsia="標楷體" w:hint="eastAsia"/>
        </w:rPr>
        <w:t>公務人員</w:t>
      </w:r>
      <w:r>
        <w:rPr>
          <w:rFonts w:ascii="標楷體" w:eastAsia="標楷體" w:hint="eastAsia"/>
          <w:spacing w:val="-3"/>
        </w:rPr>
        <w:t>之財產權之保障，不應因其被任命為公務人員，與國家發生公法上之忠勤服務關</w:t>
      </w:r>
      <w:r>
        <w:rPr>
          <w:rFonts w:ascii="標楷體" w:eastAsia="標楷體" w:hint="eastAsia"/>
        </w:rPr>
        <w:t>係而受影響</w:t>
      </w:r>
      <w:r>
        <w:rPr/>
        <w:t>。」</w:t>
      </w:r>
    </w:p>
    <w:p>
      <w:pPr>
        <w:pStyle w:val="BodyText"/>
        <w:spacing w:before="7"/>
        <w:rPr>
          <w:sz w:val="30"/>
        </w:rPr>
      </w:pPr>
    </w:p>
    <w:p>
      <w:pPr>
        <w:pStyle w:val="BodyText"/>
        <w:spacing w:line="295" w:lineRule="auto"/>
        <w:ind w:left="120" w:right="277" w:firstLine="480"/>
        <w:jc w:val="both"/>
      </w:pPr>
      <w:r>
        <w:rPr>
          <w:spacing w:val="-3"/>
        </w:rPr>
        <w:t>「特別權力關係」之「維護」或「揚棄」始終是個難題，從前述三種開放救濟之類型而觀，相對微小之財產權侵害尚得以循復審程序並提起行政訴訟，其他權利卻仍須回歸「是否影響重大」判斷，此舉似有輕重失衡之虞。承前所述，本文認為造成此種輕重失衡之原因，係由於過去難以突破之特別權力關係所致，基此，在「特別權力關係」漸漸鬆動之今日，如何降低門檻，使更多案件得透過行</w:t>
      </w:r>
      <w:r>
        <w:rPr/>
        <w:t>政訴訟程序以尋求救濟，即成為重要之課題。</w:t>
      </w:r>
    </w:p>
    <w:p>
      <w:pPr>
        <w:pStyle w:val="BodyText"/>
        <w:spacing w:before="1"/>
        <w:rPr>
          <w:sz w:val="30"/>
        </w:rPr>
      </w:pPr>
    </w:p>
    <w:p>
      <w:pPr>
        <w:pStyle w:val="BodyText"/>
        <w:spacing w:before="1"/>
        <w:ind w:left="600"/>
      </w:pPr>
      <w:r>
        <w:rPr>
          <w:spacing w:val="-4"/>
        </w:rPr>
        <w:t>在釋字第 </w:t>
      </w:r>
      <w:r>
        <w:rPr>
          <w:rFonts w:ascii="Times New Roman" w:eastAsia="Times New Roman"/>
          <w:spacing w:val="-1"/>
        </w:rPr>
        <w:t>491</w:t>
      </w:r>
      <w:r>
        <w:rPr>
          <w:rFonts w:ascii="Times New Roman" w:eastAsia="Times New Roman"/>
          <w:spacing w:val="-11"/>
        </w:rPr>
        <w:t> </w:t>
      </w:r>
      <w:r>
        <w:rPr>
          <w:spacing w:val="-1"/>
        </w:rPr>
        <w:t>號解釋中，大法官針對公務員記二大過免職之構成要件指出：</w:t>
      </w:r>
    </w:p>
    <w:p>
      <w:pPr>
        <w:pStyle w:val="BodyText"/>
        <w:spacing w:before="78"/>
        <w:ind w:left="120"/>
        <w:rPr>
          <w:rFonts w:ascii="標楷體" w:eastAsia="標楷體" w:hint="eastAsia"/>
        </w:rPr>
      </w:pPr>
      <w:r>
        <w:rPr/>
        <w:t>「</w:t>
      </w:r>
      <w:r>
        <w:rPr>
          <w:rFonts w:ascii="標楷體" w:eastAsia="標楷體" w:hint="eastAsia"/>
        </w:rPr>
        <w:t>中央或地方機關依公務人員考績法或相關法規之規定對公務人員所為免職之</w:t>
      </w:r>
    </w:p>
    <w:p>
      <w:pPr>
        <w:spacing w:after="0"/>
        <w:rPr>
          <w:rFonts w:ascii="標楷體" w:eastAsia="標楷體" w:hint="eastAsia"/>
        </w:rPr>
        <w:sectPr>
          <w:footerReference w:type="default" r:id="rId12"/>
          <w:pgSz w:w="11910" w:h="16840"/>
          <w:pgMar w:footer="1019" w:header="0" w:top="1440" w:bottom="1200" w:left="1680" w:right="1520"/>
          <w:pgNumType w:start="17"/>
        </w:sectPr>
      </w:pPr>
    </w:p>
    <w:p>
      <w:pPr>
        <w:pStyle w:val="BodyText"/>
        <w:spacing w:line="295" w:lineRule="auto" w:before="38"/>
        <w:ind w:left="120" w:right="274"/>
        <w:jc w:val="both"/>
      </w:pPr>
      <w:r>
        <w:rPr>
          <w:rFonts w:ascii="標楷體" w:eastAsia="標楷體" w:hint="eastAsia"/>
          <w:spacing w:val="-3"/>
        </w:rPr>
        <w:t>懲戒處分，為限制人民服公職之權利，實質上屬於懲戒處分，其構成要件應由法</w:t>
      </w:r>
      <w:r>
        <w:rPr>
          <w:rFonts w:ascii="標楷體" w:eastAsia="標楷體" w:hint="eastAsia"/>
          <w:spacing w:val="-6"/>
        </w:rPr>
        <w:t>律定之，方符憲法第 </w:t>
      </w:r>
      <w:r>
        <w:rPr>
          <w:rFonts w:ascii="Times New Roman" w:eastAsia="Times New Roman"/>
          <w:spacing w:val="-1"/>
        </w:rPr>
        <w:t>23</w:t>
      </w:r>
      <w:r>
        <w:rPr>
          <w:rFonts w:ascii="Times New Roman" w:eastAsia="Times New Roman"/>
          <w:spacing w:val="13"/>
        </w:rPr>
        <w:t> </w:t>
      </w:r>
      <w:r>
        <w:rPr>
          <w:rFonts w:ascii="標楷體" w:eastAsia="標楷體" w:hint="eastAsia"/>
          <w:spacing w:val="-1"/>
        </w:rPr>
        <w:t>條之意旨。</w:t>
      </w:r>
      <w:r>
        <w:rPr/>
        <w:t>」關於此段論述中，大法官所謂「記二大過</w:t>
      </w:r>
      <w:r>
        <w:rPr>
          <w:spacing w:val="-3"/>
        </w:rPr>
        <w:t>免職之懲處處分實質上為懲戒處分」一語，語意為何，似有未明，關於懲處處分與懲戒處分之關係亦有難以理解之處。然而，從是否應適用法律保留以及其後應否給予公務人員救濟之角度觀察，大法官之論述，似乎將懲戒處分之定位類同於</w:t>
      </w:r>
      <w:r>
        <w:rPr>
          <w:spacing w:val="-7"/>
        </w:rPr>
        <w:t>一般對於行政機關外人民所作之「行政處分」，許可公務人員對該懲戒處分提起</w:t>
      </w:r>
      <w:r>
        <w:rPr>
          <w:spacing w:val="-3"/>
        </w:rPr>
        <w:t>救濟，並且針對影響公務人員服公職權利之事，要求法律保留原則之適用；而在懲處處分時，倘其並未改變公務人員之身分或對其有重大影響時，則認為不影響公務人員服公職之權利，無須許其救濟保障，此時該等懲處處分之地位則與一般之「行政處分」有相當大之差異。換言之，前述大法官對公務人員公法勤務關係之解釋中，雖並未直接對於公務人員究竟於如何之情形，得以公務人員之身分受</w:t>
      </w:r>
    </w:p>
    <w:p>
      <w:pPr>
        <w:pStyle w:val="BodyText"/>
        <w:spacing w:line="295" w:lineRule="auto" w:before="13"/>
        <w:ind w:left="120" w:right="274"/>
        <w:jc w:val="both"/>
      </w:pPr>
      <w:r>
        <w:rPr>
          <w:spacing w:val="-3"/>
        </w:rPr>
        <w:t>「行政處分」作直接之論述，然仍可約略得出，大法官認為，公務人員突破過去</w:t>
      </w:r>
      <w:r>
        <w:rPr>
          <w:spacing w:val="-5"/>
        </w:rPr>
        <w:t>特別權力關係理論，而得以公務人員身分受「行政處分」，並對其提起救濟之範</w:t>
      </w:r>
      <w:r>
        <w:rPr>
          <w:spacing w:val="-3"/>
        </w:rPr>
        <w:t>圍，一為對於公務人員公法上財產權受損之時，另一則為處分直接影響公務人員</w:t>
      </w:r>
      <w:r>
        <w:rPr/>
        <w:t>服公職權利（改變身分或有重大影響）時。</w:t>
      </w:r>
    </w:p>
    <w:p>
      <w:pPr>
        <w:pStyle w:val="BodyText"/>
        <w:spacing w:before="13"/>
        <w:rPr>
          <w:sz w:val="29"/>
        </w:rPr>
      </w:pPr>
    </w:p>
    <w:p>
      <w:pPr>
        <w:pStyle w:val="BodyText"/>
        <w:spacing w:line="295" w:lineRule="auto"/>
        <w:ind w:left="120" w:right="274" w:firstLine="480"/>
        <w:jc w:val="both"/>
      </w:pPr>
      <w:r>
        <w:rPr>
          <w:spacing w:val="-3"/>
        </w:rPr>
        <w:t>本文認為，從大法官歷來針對身分關係所作之解釋，並非大法官有意建立公</w:t>
      </w:r>
      <w:r>
        <w:rPr>
          <w:spacing w:val="-7"/>
        </w:rPr>
        <w:t>務人員救濟體系中之不同內涵之「行政處分」，而是受到解釋當時僅有一種救濟</w:t>
      </w:r>
      <w:r>
        <w:rPr>
          <w:spacing w:val="-4"/>
        </w:rPr>
        <w:t>類型之影響。由於舊制度下之行政訴訟法</w:t>
      </w:r>
      <w:r>
        <w:rPr/>
        <w:t>（</w:t>
      </w:r>
      <w:r>
        <w:rPr>
          <w:rFonts w:ascii="Times New Roman" w:eastAsia="Times New Roman"/>
        </w:rPr>
        <w:t>87 </w:t>
      </w:r>
      <w:r>
        <w:rPr>
          <w:spacing w:val="-2"/>
        </w:rPr>
        <w:t>年 </w:t>
      </w:r>
      <w:r>
        <w:rPr>
          <w:rFonts w:ascii="Times New Roman" w:eastAsia="Times New Roman"/>
        </w:rPr>
        <w:t>7 </w:t>
      </w:r>
      <w:r>
        <w:rPr>
          <w:spacing w:val="-2"/>
        </w:rPr>
        <w:t>月 </w:t>
      </w:r>
      <w:r>
        <w:rPr>
          <w:rFonts w:ascii="Times New Roman" w:eastAsia="Times New Roman"/>
        </w:rPr>
        <w:t>1 </w:t>
      </w:r>
      <w:r>
        <w:rPr/>
        <w:t>日之前</w:t>
      </w:r>
      <w:r>
        <w:rPr>
          <w:spacing w:val="-126"/>
        </w:rPr>
        <w:t>）</w:t>
      </w:r>
      <w:r>
        <w:rPr>
          <w:spacing w:val="-4"/>
        </w:rPr>
        <w:t>，行政訴訟之提</w:t>
      </w:r>
      <w:r>
        <w:rPr>
          <w:spacing w:val="-3"/>
        </w:rPr>
        <w:t>起以「行政處分」之存在為前提，因此，倘欲突破提起行政爭訟之限制，則必然須肯認行政處分之存在；在新行政訴訟制度實施後，即便非行政處分亦得依法提起行政訴訟，此一改變似提供一個契機，使吾人必須重新檢視得以進入行政訴訟</w:t>
      </w:r>
      <w:r>
        <w:rPr/>
        <w:t>以獲救濟之案件類型。</w:t>
      </w:r>
    </w:p>
    <w:p>
      <w:pPr>
        <w:pStyle w:val="BodyText"/>
        <w:spacing w:before="3"/>
        <w:rPr>
          <w:sz w:val="30"/>
        </w:rPr>
      </w:pPr>
    </w:p>
    <w:p>
      <w:pPr>
        <w:pStyle w:val="BodyText"/>
        <w:spacing w:line="295" w:lineRule="auto"/>
        <w:ind w:left="120" w:right="217" w:firstLine="480"/>
        <w:jc w:val="both"/>
      </w:pPr>
      <w:r>
        <w:rPr>
          <w:spacing w:val="-2"/>
        </w:rPr>
        <w:t>延續著前述司法院大法官解釋對於傳統特別權力關係之突破，立法院於民國</w:t>
      </w:r>
      <w:r>
        <w:rPr>
          <w:rFonts w:ascii="Times New Roman" w:eastAsia="Times New Roman"/>
        </w:rPr>
        <w:t>85</w:t>
      </w:r>
      <w:r>
        <w:rPr>
          <w:rFonts w:ascii="Times New Roman" w:eastAsia="Times New Roman"/>
          <w:spacing w:val="-3"/>
        </w:rPr>
        <w:t> </w:t>
      </w:r>
      <w:r>
        <w:rPr>
          <w:spacing w:val="-3"/>
        </w:rPr>
        <w:t>年 </w:t>
      </w:r>
      <w:r>
        <w:rPr>
          <w:rFonts w:ascii="Times New Roman" w:eastAsia="Times New Roman"/>
        </w:rPr>
        <w:t>10</w:t>
      </w:r>
      <w:r>
        <w:rPr>
          <w:rFonts w:ascii="Times New Roman" w:eastAsia="Times New Roman"/>
          <w:spacing w:val="-2"/>
        </w:rPr>
        <w:t> </w:t>
      </w:r>
      <w:r>
        <w:rPr>
          <w:spacing w:val="-3"/>
        </w:rPr>
        <w:t>月 </w:t>
      </w:r>
      <w:r>
        <w:rPr>
          <w:rFonts w:ascii="Times New Roman" w:eastAsia="Times New Roman"/>
        </w:rPr>
        <w:t>16</w:t>
      </w:r>
      <w:r>
        <w:rPr>
          <w:rFonts w:ascii="Times New Roman" w:eastAsia="Times New Roman"/>
          <w:spacing w:val="-2"/>
        </w:rPr>
        <w:t> </w:t>
      </w:r>
      <w:r>
        <w:rPr/>
        <w:t>號公布施行之「公務人員保障法</w:t>
      </w:r>
      <w:r>
        <w:rPr>
          <w:spacing w:val="-24"/>
        </w:rPr>
        <w:t>」，當中第 </w:t>
      </w:r>
      <w:r>
        <w:rPr>
          <w:rFonts w:ascii="Times New Roman" w:eastAsia="Times New Roman"/>
        </w:rPr>
        <w:t>18</w:t>
      </w:r>
      <w:r>
        <w:rPr>
          <w:rFonts w:ascii="Times New Roman" w:eastAsia="Times New Roman"/>
          <w:spacing w:val="-2"/>
        </w:rPr>
        <w:t> </w:t>
      </w:r>
      <w:r>
        <w:rPr>
          <w:spacing w:val="-2"/>
        </w:rPr>
        <w:t>條及第 </w:t>
      </w:r>
      <w:r>
        <w:rPr>
          <w:rFonts w:ascii="Times New Roman" w:eastAsia="Times New Roman"/>
        </w:rPr>
        <w:t>19</w:t>
      </w:r>
      <w:r>
        <w:rPr>
          <w:rFonts w:ascii="Times New Roman" w:eastAsia="Times New Roman"/>
          <w:spacing w:val="-2"/>
        </w:rPr>
        <w:t> </w:t>
      </w:r>
      <w:r>
        <w:rPr/>
        <w:t>條即明文規定，公務人員對其服務機關或人事主管機關所為之行政處分，認為違法或不</w:t>
      </w:r>
      <w:r>
        <w:rPr>
          <w:spacing w:val="-2"/>
        </w:rPr>
        <w:t>當，致損害其權利或利益者，得提起復審，對於復審決定不服者，得向考試院所</w:t>
      </w:r>
      <w:r>
        <w:rPr/>
        <w:t>設之「公務人員保障暨培訓委員會」提起再復審</w:t>
      </w:r>
      <w:r>
        <w:rPr>
          <w:rFonts w:ascii="Times New Roman" w:eastAsia="Times New Roman"/>
          <w:vertAlign w:val="superscript"/>
        </w:rPr>
        <w:t>32</w:t>
      </w:r>
      <w:r>
        <w:rPr>
          <w:vertAlign w:val="baseline"/>
        </w:rPr>
        <w:t>。倘仍不服再復審之決定，同法第 </w:t>
      </w:r>
      <w:r>
        <w:rPr>
          <w:rFonts w:ascii="Times New Roman" w:eastAsia="Times New Roman"/>
          <w:vertAlign w:val="baseline"/>
        </w:rPr>
        <w:t>21</w:t>
      </w:r>
      <w:r>
        <w:rPr>
          <w:rFonts w:ascii="Times New Roman" w:eastAsia="Times New Roman"/>
          <w:spacing w:val="6"/>
          <w:vertAlign w:val="baseline"/>
        </w:rPr>
        <w:t> </w:t>
      </w:r>
      <w:r>
        <w:rPr>
          <w:spacing w:val="1"/>
          <w:vertAlign w:val="baseline"/>
        </w:rPr>
        <w:t>條第 </w:t>
      </w:r>
      <w:r>
        <w:rPr>
          <w:rFonts w:ascii="Times New Roman" w:eastAsia="Times New Roman"/>
          <w:vertAlign w:val="baseline"/>
        </w:rPr>
        <w:t>1</w:t>
      </w:r>
      <w:r>
        <w:rPr>
          <w:rFonts w:ascii="Times New Roman" w:eastAsia="Times New Roman"/>
          <w:spacing w:val="6"/>
          <w:vertAlign w:val="baseline"/>
        </w:rPr>
        <w:t> </w:t>
      </w:r>
      <w:r>
        <w:rPr>
          <w:vertAlign w:val="baseline"/>
        </w:rPr>
        <w:t>項並明文規定，得依法向司法機關請求救濟。換言之，保障法對</w:t>
      </w:r>
      <w:r>
        <w:rPr>
          <w:spacing w:val="-13"/>
          <w:vertAlign w:val="baseline"/>
        </w:rPr>
        <w:t>於復審制度的制定，可謂為公務人員權利救濟管道</w:t>
      </w:r>
      <w:r>
        <w:rPr>
          <w:vertAlign w:val="baseline"/>
        </w:rPr>
        <w:t>（許可進入行政訴訟</w:t>
      </w:r>
      <w:r>
        <w:rPr>
          <w:spacing w:val="-84"/>
          <w:vertAlign w:val="baseline"/>
        </w:rPr>
        <w:t>）</w:t>
      </w:r>
      <w:r>
        <w:rPr>
          <w:spacing w:val="-11"/>
          <w:vertAlign w:val="baseline"/>
        </w:rPr>
        <w:t>的開啟，</w:t>
      </w:r>
      <w:r>
        <w:rPr>
          <w:spacing w:val="-60"/>
          <w:vertAlign w:val="baseline"/>
        </w:rPr>
        <w:t> </w:t>
      </w:r>
      <w:r>
        <w:rPr>
          <w:spacing w:val="-2"/>
          <w:vertAlign w:val="baseline"/>
        </w:rPr>
        <w:t>同時也回應了大法官對於特別權力關係的突破。然而，究竟公務人員因其身分所</w:t>
      </w:r>
    </w:p>
    <w:p>
      <w:pPr>
        <w:pStyle w:val="BodyText"/>
        <w:spacing w:before="6"/>
        <w:rPr>
          <w:sz w:val="8"/>
        </w:rPr>
      </w:pPr>
      <w:r>
        <w:rPr/>
        <w:pict>
          <v:rect style="position:absolute;margin-left:90pt;margin-top:7.867989pt;width:144pt;height:.599980pt;mso-position-horizontal-relative:page;mso-position-vertical-relative:paragraph;z-index:-15725056;mso-wrap-distance-left:0;mso-wrap-distance-right:0" filled="true" fillcolor="#000000" stroked="false">
            <v:fill type="solid"/>
            <w10:wrap type="topAndBottom"/>
          </v:rect>
        </w:pict>
      </w:r>
    </w:p>
    <w:p>
      <w:pPr>
        <w:pStyle w:val="BodyText"/>
        <w:spacing w:before="11"/>
        <w:rPr>
          <w:sz w:val="5"/>
        </w:rPr>
      </w:pPr>
    </w:p>
    <w:p>
      <w:pPr>
        <w:spacing w:before="105"/>
        <w:ind w:left="120" w:right="0" w:firstLine="0"/>
        <w:jc w:val="left"/>
        <w:rPr>
          <w:sz w:val="22"/>
        </w:rPr>
      </w:pPr>
      <w:r>
        <w:rPr>
          <w:rFonts w:ascii="Times New Roman" w:eastAsia="Times New Roman"/>
          <w:sz w:val="22"/>
          <w:vertAlign w:val="superscript"/>
        </w:rPr>
        <w:t>32</w:t>
      </w:r>
      <w:r>
        <w:rPr>
          <w:rFonts w:ascii="Times New Roman" w:eastAsia="Times New Roman"/>
          <w:spacing w:val="53"/>
          <w:sz w:val="22"/>
          <w:vertAlign w:val="baseline"/>
        </w:rPr>
        <w:t> </w:t>
      </w:r>
      <w:r>
        <w:rPr>
          <w:spacing w:val="-1"/>
          <w:sz w:val="22"/>
          <w:vertAlign w:val="baseline"/>
        </w:rPr>
        <w:t>再復審程序之規定已於 </w:t>
      </w:r>
      <w:r>
        <w:rPr>
          <w:rFonts w:ascii="Times New Roman" w:eastAsia="Times New Roman"/>
          <w:sz w:val="22"/>
          <w:vertAlign w:val="baseline"/>
        </w:rPr>
        <w:t>92</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5</w:t>
      </w:r>
      <w:r>
        <w:rPr>
          <w:rFonts w:ascii="Times New Roman" w:eastAsia="Times New Roman"/>
          <w:spacing w:val="-1"/>
          <w:sz w:val="22"/>
          <w:vertAlign w:val="baseline"/>
        </w:rPr>
        <w:t> </w:t>
      </w:r>
      <w:r>
        <w:rPr>
          <w:spacing w:val="-1"/>
          <w:sz w:val="22"/>
          <w:vertAlign w:val="baseline"/>
        </w:rPr>
        <w:t>月 </w:t>
      </w:r>
      <w:r>
        <w:rPr>
          <w:rFonts w:ascii="Times New Roman" w:eastAsia="Times New Roman"/>
          <w:sz w:val="22"/>
          <w:vertAlign w:val="baseline"/>
        </w:rPr>
        <w:t>28</w:t>
      </w:r>
      <w:r>
        <w:rPr>
          <w:rFonts w:ascii="Times New Roman" w:eastAsia="Times New Roman"/>
          <w:spacing w:val="-1"/>
          <w:sz w:val="22"/>
          <w:vertAlign w:val="baseline"/>
        </w:rPr>
        <w:t> </w:t>
      </w:r>
      <w:r>
        <w:rPr>
          <w:sz w:val="22"/>
          <w:vertAlign w:val="baseline"/>
        </w:rPr>
        <w:t>日修正公布之公務人員保障法遭廢除。</w:t>
      </w:r>
    </w:p>
    <w:p>
      <w:pPr>
        <w:spacing w:after="0"/>
        <w:jc w:val="left"/>
        <w:rPr>
          <w:sz w:val="22"/>
        </w:rPr>
        <w:sectPr>
          <w:pgSz w:w="11910" w:h="16840"/>
          <w:pgMar w:header="0" w:footer="1019" w:top="1440" w:bottom="1200" w:left="1680" w:right="1520"/>
        </w:sectPr>
      </w:pPr>
    </w:p>
    <w:p>
      <w:pPr>
        <w:pStyle w:val="BodyText"/>
        <w:spacing w:line="295" w:lineRule="auto" w:before="38"/>
        <w:ind w:left="119" w:right="261"/>
        <w:jc w:val="both"/>
      </w:pPr>
      <w:r>
        <w:rPr>
          <w:spacing w:val="-3"/>
        </w:rPr>
        <w:t>受的處分是否等同於一般人民所受之處分，仍有待釐清。關於此點，公務人員保</w:t>
      </w:r>
      <w:r>
        <w:rPr>
          <w:spacing w:val="2"/>
        </w:rPr>
        <w:t>障法於 </w:t>
      </w:r>
      <w:r>
        <w:rPr>
          <w:rFonts w:ascii="Times New Roman" w:eastAsia="Times New Roman"/>
        </w:rPr>
        <w:t>92</w:t>
      </w:r>
      <w:r>
        <w:rPr>
          <w:rFonts w:ascii="Times New Roman" w:eastAsia="Times New Roman"/>
          <w:spacing w:val="13"/>
        </w:rPr>
        <w:t> </w:t>
      </w:r>
      <w:r>
        <w:rPr/>
        <w:t>年的修正案說明中即清楚指出，公務人員保障法所定公務人員權益救</w:t>
      </w:r>
      <w:r>
        <w:rPr>
          <w:spacing w:val="-3"/>
        </w:rPr>
        <w:t>濟制度，雖亦屬行政救濟制度重要之一環，然該法所定之復審、再復審程序亦準用訴願法之規定，惟公務人員受國家機關之處分，其性質與人民所受之行政處分</w:t>
      </w:r>
      <w:r>
        <w:rPr/>
        <w:t>並非全然相同</w:t>
      </w:r>
      <w:r>
        <w:rPr>
          <w:rFonts w:ascii="Times New Roman" w:eastAsia="Times New Roman"/>
          <w:vertAlign w:val="superscript"/>
        </w:rPr>
        <w:t>33</w:t>
      </w:r>
      <w:r>
        <w:rPr>
          <w:vertAlign w:val="baseline"/>
        </w:rPr>
        <w:t>；然而，即便如此，該立法說明並未進一步指明其間不同之處。</w:t>
      </w:r>
    </w:p>
    <w:p>
      <w:pPr>
        <w:pStyle w:val="BodyText"/>
        <w:rPr>
          <w:sz w:val="30"/>
        </w:rPr>
      </w:pPr>
    </w:p>
    <w:p>
      <w:pPr>
        <w:pStyle w:val="BodyText"/>
        <w:spacing w:line="295" w:lineRule="auto"/>
        <w:ind w:left="120" w:right="277" w:firstLine="480"/>
        <w:jc w:val="both"/>
      </w:pPr>
      <w:r>
        <w:rPr/>
        <w:t>由前開論述可見，既然保障法第 </w:t>
      </w:r>
      <w:r>
        <w:rPr>
          <w:rFonts w:ascii="Times New Roman" w:eastAsia="Times New Roman"/>
        </w:rPr>
        <w:t>25</w:t>
      </w:r>
      <w:r>
        <w:rPr>
          <w:rFonts w:ascii="Times New Roman" w:eastAsia="Times New Roman"/>
          <w:spacing w:val="5"/>
        </w:rPr>
        <w:t> </w:t>
      </w:r>
      <w:r>
        <w:rPr/>
        <w:t>條所稱的「行政處分」範圍上仍有不清</w:t>
      </w:r>
      <w:r>
        <w:rPr>
          <w:spacing w:val="-3"/>
        </w:rPr>
        <w:t>楚之處，相對的「非行政處分」之的申訴、再申訴事項，其範圍自然也無法清楚被界定。也因此，針對此種從條文觀察而進一步認為「復審事件為行政處分，而</w:t>
      </w:r>
      <w:r>
        <w:rPr/>
        <w:t>申訴再申訴事件為非行政處分」的說法，本文認為實際上存有許多問題。</w:t>
      </w:r>
    </w:p>
    <w:p>
      <w:pPr>
        <w:pStyle w:val="BodyText"/>
        <w:spacing w:before="13"/>
        <w:rPr>
          <w:sz w:val="29"/>
        </w:rPr>
      </w:pPr>
    </w:p>
    <w:p>
      <w:pPr>
        <w:pStyle w:val="BodyText"/>
        <w:spacing w:line="295" w:lineRule="auto" w:before="1"/>
        <w:ind w:left="119" w:right="215" w:firstLine="480"/>
        <w:jc w:val="both"/>
      </w:pPr>
      <w:r>
        <w:rPr>
          <w:spacing w:val="-1"/>
        </w:rPr>
        <w:t>首先，正如前述，針對保障法上行政處分之範圍如何並無相當一致之看法，</w:t>
      </w:r>
      <w:r>
        <w:rPr>
          <w:spacing w:val="-60"/>
        </w:rPr>
        <w:t> </w:t>
      </w:r>
      <w:r>
        <w:rPr/>
        <w:t>有認為其應與行政處分的一般概念作相同理解</w:t>
      </w:r>
      <w:r>
        <w:rPr>
          <w:rFonts w:ascii="Times New Roman" w:eastAsia="Times New Roman"/>
          <w:vertAlign w:val="superscript"/>
        </w:rPr>
        <w:t>34</w:t>
      </w:r>
      <w:r>
        <w:rPr>
          <w:vertAlign w:val="baseline"/>
        </w:rPr>
        <w:t>，也有認為應依照司法院釋字第</w:t>
      </w:r>
      <w:r>
        <w:rPr>
          <w:rFonts w:ascii="Times New Roman" w:eastAsia="Times New Roman"/>
          <w:vertAlign w:val="baseline"/>
        </w:rPr>
        <w:t>298 </w:t>
      </w:r>
      <w:r>
        <w:rPr>
          <w:spacing w:val="-13"/>
          <w:vertAlign w:val="baseline"/>
        </w:rPr>
        <w:t>號解釋，以重要性理論作為判定標準，適當限縮保障法上所稱之行政處分</w:t>
      </w:r>
      <w:r>
        <w:rPr>
          <w:rFonts w:ascii="Times New Roman" w:eastAsia="Times New Roman"/>
          <w:spacing w:val="-6"/>
          <w:vertAlign w:val="superscript"/>
        </w:rPr>
        <w:t>35</w:t>
      </w:r>
      <w:r>
        <w:rPr>
          <w:spacing w:val="-6"/>
          <w:vertAlign w:val="baseline"/>
        </w:rPr>
        <w:t>；</w:t>
      </w:r>
      <w:r>
        <w:rPr>
          <w:spacing w:val="-60"/>
          <w:vertAlign w:val="baseline"/>
        </w:rPr>
        <w:t> </w:t>
      </w:r>
      <w:r>
        <w:rPr>
          <w:spacing w:val="-6"/>
          <w:vertAlign w:val="baseline"/>
        </w:rPr>
        <w:t>而「非屬行政處分」之「管理」以及「工作條件」，目前保訓會之處理方式，係</w:t>
      </w:r>
      <w:r>
        <w:rPr>
          <w:spacing w:val="-2"/>
          <w:vertAlign w:val="baseline"/>
        </w:rPr>
        <w:t>將非屬於復審案件之救濟剩餘事項劃入申訴、再申訴之範圍，此等處分即屬於管理及工作條件之措施。此種分類實際上將隨著對於「保障法上之行政處分」之認</w:t>
      </w:r>
      <w:r>
        <w:rPr>
          <w:vertAlign w:val="baseline"/>
        </w:rPr>
        <w:t>定不同而異其結果，而形成一種「浮動」的分類。</w:t>
      </w:r>
    </w:p>
    <w:p>
      <w:pPr>
        <w:pStyle w:val="BodyText"/>
        <w:spacing w:before="11"/>
        <w:rPr>
          <w:sz w:val="16"/>
        </w:rPr>
      </w:pPr>
      <w:r>
        <w:rPr/>
        <w:pict>
          <v:rect style="position:absolute;margin-left:90pt;margin-top:13.731113pt;width:144pt;height:.599980pt;mso-position-horizontal-relative:page;mso-position-vertical-relative:paragraph;z-index:-15724544;mso-wrap-distance-left:0;mso-wrap-distance-right:0" filled="true" fillcolor="#000000" stroked="false">
            <v:fill type="solid"/>
            <w10:wrap type="topAndBottom"/>
          </v:rect>
        </w:pict>
      </w:r>
    </w:p>
    <w:p>
      <w:pPr>
        <w:pStyle w:val="BodyText"/>
        <w:spacing w:before="11"/>
        <w:rPr>
          <w:sz w:val="5"/>
        </w:rPr>
      </w:pPr>
    </w:p>
    <w:p>
      <w:pPr>
        <w:spacing w:line="223" w:lineRule="auto" w:before="121"/>
        <w:ind w:left="119" w:right="166" w:firstLine="0"/>
        <w:jc w:val="both"/>
        <w:rPr>
          <w:sz w:val="22"/>
        </w:rPr>
      </w:pPr>
      <w:r>
        <w:rPr>
          <w:rFonts w:ascii="Times New Roman" w:hAnsi="Times New Roman" w:eastAsia="Times New Roman"/>
          <w:sz w:val="22"/>
          <w:vertAlign w:val="superscript"/>
        </w:rPr>
        <w:t>33</w:t>
      </w:r>
      <w:r>
        <w:rPr>
          <w:rFonts w:ascii="Times New Roman" w:hAnsi="Times New Roman" w:eastAsia="Times New Roman"/>
          <w:spacing w:val="54"/>
          <w:sz w:val="22"/>
          <w:vertAlign w:val="baseline"/>
        </w:rPr>
        <w:t> </w:t>
      </w:r>
      <w:r>
        <w:rPr>
          <w:sz w:val="22"/>
          <w:vertAlign w:val="baseline"/>
        </w:rPr>
        <w:t>公務人員保障法修正案總說明（</w:t>
      </w:r>
      <w:r>
        <w:rPr>
          <w:rFonts w:ascii="Times New Roman" w:hAnsi="Times New Roman" w:eastAsia="Times New Roman"/>
          <w:sz w:val="22"/>
          <w:vertAlign w:val="baseline"/>
        </w:rPr>
        <w:t>92</w:t>
      </w:r>
      <w:r>
        <w:rPr>
          <w:rFonts w:ascii="Times New Roman" w:hAnsi="Times New Roman" w:eastAsia="Times New Roman"/>
          <w:spacing w:val="16"/>
          <w:sz w:val="22"/>
          <w:vertAlign w:val="baseline"/>
        </w:rPr>
        <w:t> </w:t>
      </w:r>
      <w:r>
        <w:rPr>
          <w:spacing w:val="6"/>
          <w:sz w:val="22"/>
          <w:vertAlign w:val="baseline"/>
        </w:rPr>
        <w:t>年 </w:t>
      </w:r>
      <w:r>
        <w:rPr>
          <w:rFonts w:ascii="Times New Roman" w:hAnsi="Times New Roman" w:eastAsia="Times New Roman"/>
          <w:sz w:val="22"/>
          <w:vertAlign w:val="baseline"/>
        </w:rPr>
        <w:t>5</w:t>
      </w:r>
      <w:r>
        <w:rPr>
          <w:rFonts w:ascii="Times New Roman" w:hAnsi="Times New Roman" w:eastAsia="Times New Roman"/>
          <w:spacing w:val="16"/>
          <w:sz w:val="22"/>
          <w:vertAlign w:val="baseline"/>
        </w:rPr>
        <w:t> </w:t>
      </w:r>
      <w:r>
        <w:rPr>
          <w:spacing w:val="6"/>
          <w:sz w:val="22"/>
          <w:vertAlign w:val="baseline"/>
        </w:rPr>
        <w:t>月 </w:t>
      </w:r>
      <w:r>
        <w:rPr>
          <w:rFonts w:ascii="Times New Roman" w:hAnsi="Times New Roman" w:eastAsia="Times New Roman"/>
          <w:sz w:val="22"/>
          <w:vertAlign w:val="baseline"/>
        </w:rPr>
        <w:t>28</w:t>
      </w:r>
      <w:r>
        <w:rPr>
          <w:rFonts w:ascii="Times New Roman" w:hAnsi="Times New Roman" w:eastAsia="Times New Roman"/>
          <w:spacing w:val="16"/>
          <w:sz w:val="22"/>
          <w:vertAlign w:val="baseline"/>
        </w:rPr>
        <w:t> </w:t>
      </w:r>
      <w:r>
        <w:rPr>
          <w:sz w:val="22"/>
          <w:vertAlign w:val="baseline"/>
        </w:rPr>
        <w:t>日）</w:t>
      </w:r>
      <w:r>
        <w:rPr>
          <w:spacing w:val="-23"/>
          <w:sz w:val="22"/>
          <w:vertAlign w:val="baseline"/>
        </w:rPr>
        <w:t>之節錄：「</w:t>
      </w:r>
      <w:r>
        <w:rPr>
          <w:rFonts w:ascii="Times New Roman" w:hAnsi="Times New Roman" w:eastAsia="Times New Roman"/>
          <w:sz w:val="22"/>
          <w:vertAlign w:val="baseline"/>
        </w:rPr>
        <w:t>…</w:t>
      </w:r>
      <w:r>
        <w:rPr>
          <w:rFonts w:ascii="標楷體" w:hAnsi="標楷體" w:eastAsia="標楷體" w:hint="eastAsia"/>
          <w:sz w:val="22"/>
          <w:vertAlign w:val="baseline"/>
        </w:rPr>
        <w:t>再者，公務人員保障法所定公務人員權益救濟制度，亦屬行政救濟制度重要之一環。然該法所定之復審、再復審程序係準用訴願法之規定，但因公務人員受國家機關之處分，究與人民所受之行政處分，其性質並非全然相同，故於適用上，難免滋生疑義，且該法所創之申訴、再申訴制度，其規定之內容，亦甚為簡略，如申訴期間、再申訴之審理程序，均付之闕如，致於實務運作上，時生適用上之困擾，實不足以應付日漸繁複之保障事件，亟需加以全面檢討修正。此外，公務人員亦迭有反應，希能建構完整、自有之公務人員救濟體系。復以八十七年十月二十八日修正公布之訴願法及行政訴訟法，對救濟制度已作大幅度之變革，訴願法修正刪除再訴願程序，行政訴訟法亦改採二級二審制，則公務人員保障法所定復審、再復審程序宜否再準用訴願法之規定，實值探討。因此，為縝密公務人員保障法之救濟程序，加強審議功能，以使該法之相關審理程序規定更合時宜、更為周延，爰參酌新修正之訴願法、行政訴訟法、行政執行法及新制定之行政程序法與公務員懲戒法修正草案等之規定，加以修正；且有關救濟程序之法規，如上揭訴願法、行政訴訟法，</w:t>
      </w:r>
      <w:r>
        <w:rPr>
          <w:rFonts w:ascii="標楷體" w:hAnsi="標楷體" w:eastAsia="標楷體" w:hint="eastAsia"/>
          <w:spacing w:val="-108"/>
          <w:sz w:val="22"/>
          <w:vertAlign w:val="baseline"/>
        </w:rPr>
        <w:t> </w:t>
      </w:r>
      <w:r>
        <w:rPr>
          <w:rFonts w:ascii="標楷體" w:hAnsi="標楷體" w:eastAsia="標楷體" w:hint="eastAsia"/>
          <w:sz w:val="22"/>
          <w:vertAlign w:val="baseline"/>
        </w:rPr>
        <w:t>均係於法律中詳定其相關審理程序，並無授權以施行細則訂定者，公務人員保障法自亦以詳為規定其相關審理程序規定為宜，如此，方能建構公務人員保障法特有之救濟制</w:t>
      </w:r>
      <w:r>
        <w:rPr>
          <w:rFonts w:ascii="標楷體" w:hAnsi="標楷體" w:eastAsia="標楷體" w:hint="eastAsia"/>
          <w:spacing w:val="1"/>
          <w:sz w:val="22"/>
          <w:vertAlign w:val="baseline"/>
        </w:rPr>
        <w:t> </w:t>
      </w:r>
      <w:r>
        <w:rPr>
          <w:rFonts w:ascii="標楷體" w:hAnsi="標楷體" w:eastAsia="標楷體" w:hint="eastAsia"/>
          <w:w w:val="95"/>
          <w:sz w:val="22"/>
          <w:vertAlign w:val="baseline"/>
        </w:rPr>
        <w:t>度，確保公務人員權益，以激勵公務人員勇於任事，並使機關之公務得以順利推展</w:t>
      </w:r>
      <w:r>
        <w:rPr>
          <w:w w:val="95"/>
          <w:sz w:val="22"/>
          <w:vertAlign w:val="baseline"/>
        </w:rPr>
        <w:t>。</w:t>
      </w:r>
      <w:r>
        <w:rPr>
          <w:rFonts w:ascii="Times New Roman" w:hAnsi="Times New Roman" w:eastAsia="Times New Roman"/>
          <w:w w:val="95"/>
          <w:sz w:val="22"/>
          <w:vertAlign w:val="baseline"/>
        </w:rPr>
        <w:t>…</w:t>
      </w:r>
      <w:r>
        <w:rPr>
          <w:w w:val="95"/>
          <w:sz w:val="22"/>
          <w:vertAlign w:val="baseline"/>
        </w:rPr>
        <w:t>」</w:t>
      </w:r>
    </w:p>
    <w:p>
      <w:pPr>
        <w:spacing w:line="223" w:lineRule="auto" w:before="121"/>
        <w:ind w:left="120" w:right="275" w:hanging="1"/>
        <w:jc w:val="left"/>
        <w:rPr>
          <w:sz w:val="22"/>
        </w:rPr>
      </w:pPr>
      <w:r>
        <w:rPr>
          <w:rFonts w:ascii="Times New Roman" w:eastAsia="Times New Roman"/>
          <w:sz w:val="22"/>
          <w:vertAlign w:val="superscript"/>
        </w:rPr>
        <w:t>34</w:t>
      </w:r>
      <w:r>
        <w:rPr>
          <w:rFonts w:ascii="Times New Roman" w:eastAsia="Times New Roman"/>
          <w:spacing w:val="37"/>
          <w:sz w:val="22"/>
          <w:vertAlign w:val="baseline"/>
        </w:rPr>
        <w:t> </w:t>
      </w:r>
      <w:r>
        <w:rPr>
          <w:spacing w:val="-19"/>
          <w:sz w:val="22"/>
          <w:vertAlign w:val="baseline"/>
        </w:rPr>
        <w:t>陳敏，《行政法總論》，第六版，</w:t>
      </w:r>
      <w:r>
        <w:rPr>
          <w:rFonts w:ascii="Times New Roman" w:eastAsia="Times New Roman"/>
          <w:sz w:val="22"/>
          <w:vertAlign w:val="baseline"/>
        </w:rPr>
        <w:t>2009</w:t>
      </w:r>
      <w:r>
        <w:rPr>
          <w:rFonts w:ascii="Times New Roman" w:eastAsia="Times New Roman"/>
          <w:spacing w:val="-9"/>
          <w:sz w:val="22"/>
          <w:vertAlign w:val="baseline"/>
        </w:rPr>
        <w:t> </w:t>
      </w:r>
      <w:r>
        <w:rPr>
          <w:spacing w:val="-6"/>
          <w:sz w:val="22"/>
          <w:vertAlign w:val="baseline"/>
        </w:rPr>
        <w:t>年 </w:t>
      </w:r>
      <w:r>
        <w:rPr>
          <w:rFonts w:ascii="Times New Roman" w:eastAsia="Times New Roman"/>
          <w:sz w:val="22"/>
          <w:vertAlign w:val="baseline"/>
        </w:rPr>
        <w:t>9</w:t>
      </w:r>
      <w:r>
        <w:rPr>
          <w:rFonts w:ascii="Times New Roman" w:eastAsia="Times New Roman"/>
          <w:spacing w:val="-9"/>
          <w:sz w:val="22"/>
          <w:vertAlign w:val="baseline"/>
        </w:rPr>
        <w:t> </w:t>
      </w:r>
      <w:r>
        <w:rPr>
          <w:spacing w:val="-3"/>
          <w:sz w:val="22"/>
          <w:vertAlign w:val="baseline"/>
        </w:rPr>
        <w:t>月，頁 </w:t>
      </w:r>
      <w:r>
        <w:rPr>
          <w:rFonts w:ascii="Times New Roman" w:eastAsia="Times New Roman"/>
          <w:sz w:val="22"/>
          <w:vertAlign w:val="baseline"/>
        </w:rPr>
        <w:t>1119-1120</w:t>
      </w:r>
      <w:r>
        <w:rPr>
          <w:sz w:val="22"/>
          <w:vertAlign w:val="baseline"/>
        </w:rPr>
        <w:t>。其認為，公務人員保障</w:t>
      </w:r>
      <w:r>
        <w:rPr>
          <w:spacing w:val="-1"/>
          <w:sz w:val="22"/>
          <w:vertAlign w:val="baseline"/>
        </w:rPr>
        <w:t>法既未對於該法 </w:t>
      </w:r>
      <w:r>
        <w:rPr>
          <w:rFonts w:ascii="Times New Roman" w:eastAsia="Times New Roman"/>
          <w:sz w:val="22"/>
          <w:vertAlign w:val="baseline"/>
        </w:rPr>
        <w:t>25 </w:t>
      </w:r>
      <w:r>
        <w:rPr>
          <w:sz w:val="22"/>
          <w:vertAlign w:val="baseline"/>
        </w:rPr>
        <w:t>條所稱之行政處分另設定義，自應作一般之理解。</w:t>
      </w:r>
    </w:p>
    <w:p>
      <w:pPr>
        <w:spacing w:line="297" w:lineRule="exact" w:before="105"/>
        <w:ind w:left="120" w:right="0" w:firstLine="0"/>
        <w:jc w:val="left"/>
        <w:rPr>
          <w:sz w:val="22"/>
        </w:rPr>
      </w:pPr>
      <w:r>
        <w:rPr>
          <w:rFonts w:ascii="Times New Roman" w:eastAsia="Times New Roman"/>
          <w:w w:val="100"/>
          <w:sz w:val="22"/>
          <w:vertAlign w:val="superscript"/>
        </w:rPr>
        <w:t>35</w:t>
      </w:r>
      <w:r>
        <w:rPr>
          <w:rFonts w:ascii="Times New Roman" w:eastAsia="Times New Roman"/>
          <w:sz w:val="22"/>
          <w:vertAlign w:val="baseline"/>
        </w:rPr>
        <w:t>  </w:t>
      </w:r>
      <w:r>
        <w:rPr>
          <w:spacing w:val="-13"/>
          <w:w w:val="99"/>
          <w:sz w:val="22"/>
          <w:vertAlign w:val="baseline"/>
        </w:rPr>
        <w:t>蔡震榮，〈公務人員保障法相關問題之探討</w:t>
      </w:r>
      <w:r>
        <w:rPr>
          <w:spacing w:val="-18"/>
          <w:w w:val="99"/>
          <w:sz w:val="22"/>
          <w:vertAlign w:val="baseline"/>
        </w:rPr>
        <w:t>〉，收於訴願相關法令專題研究</w:t>
      </w:r>
      <w:r>
        <w:rPr>
          <w:w w:val="99"/>
          <w:sz w:val="22"/>
          <w:vertAlign w:val="baseline"/>
        </w:rPr>
        <w:t>（第</w:t>
      </w:r>
      <w:r>
        <w:rPr>
          <w:spacing w:val="-2"/>
          <w:sz w:val="22"/>
          <w:vertAlign w:val="baseline"/>
        </w:rPr>
        <w:t> </w:t>
      </w:r>
      <w:r>
        <w:rPr>
          <w:rFonts w:ascii="Times New Roman" w:eastAsia="Times New Roman"/>
          <w:w w:val="99"/>
          <w:sz w:val="22"/>
          <w:vertAlign w:val="baseline"/>
        </w:rPr>
        <w:t>6</w:t>
      </w:r>
      <w:r>
        <w:rPr>
          <w:rFonts w:ascii="Times New Roman" w:eastAsia="Times New Roman"/>
          <w:spacing w:val="2"/>
          <w:sz w:val="22"/>
          <w:vertAlign w:val="baseline"/>
        </w:rPr>
        <w:t> </w:t>
      </w:r>
      <w:r>
        <w:rPr>
          <w:spacing w:val="1"/>
          <w:w w:val="99"/>
          <w:sz w:val="22"/>
          <w:vertAlign w:val="baseline"/>
        </w:rPr>
        <w:t>輯</w:t>
      </w:r>
      <w:r>
        <w:rPr>
          <w:spacing w:val="-110"/>
          <w:w w:val="99"/>
          <w:sz w:val="22"/>
          <w:vertAlign w:val="baseline"/>
        </w:rPr>
        <w:t>）</w:t>
      </w:r>
      <w:r>
        <w:rPr>
          <w:w w:val="99"/>
          <w:sz w:val="22"/>
          <w:vertAlign w:val="baseline"/>
        </w:rPr>
        <w:t>，</w:t>
      </w:r>
    </w:p>
    <w:p>
      <w:pPr>
        <w:spacing w:line="297" w:lineRule="exact" w:before="0"/>
        <w:ind w:left="120" w:right="0" w:firstLine="0"/>
        <w:jc w:val="left"/>
        <w:rPr>
          <w:sz w:val="22"/>
        </w:rPr>
      </w:pPr>
      <w:r>
        <w:rPr>
          <w:spacing w:val="-9"/>
          <w:sz w:val="22"/>
        </w:rPr>
        <w:t>《公務人員保障法專題研究》，</w:t>
      </w:r>
      <w:r>
        <w:rPr>
          <w:rFonts w:ascii="Times New Roman" w:eastAsia="Times New Roman"/>
          <w:sz w:val="22"/>
        </w:rPr>
        <w:t>1998</w:t>
      </w:r>
      <w:r>
        <w:rPr>
          <w:rFonts w:ascii="Times New Roman" w:eastAsia="Times New Roman"/>
          <w:spacing w:val="-2"/>
          <w:sz w:val="22"/>
        </w:rPr>
        <w:t> </w:t>
      </w:r>
      <w:r>
        <w:rPr>
          <w:spacing w:val="-2"/>
          <w:sz w:val="22"/>
        </w:rPr>
        <w:t>年 </w:t>
      </w:r>
      <w:r>
        <w:rPr>
          <w:rFonts w:ascii="Times New Roman" w:eastAsia="Times New Roman"/>
          <w:sz w:val="22"/>
        </w:rPr>
        <w:t>6</w:t>
      </w:r>
      <w:r>
        <w:rPr>
          <w:rFonts w:ascii="Times New Roman" w:eastAsia="Times New Roman"/>
          <w:spacing w:val="-2"/>
          <w:sz w:val="22"/>
        </w:rPr>
        <w:t> </w:t>
      </w:r>
      <w:r>
        <w:rPr>
          <w:spacing w:val="-1"/>
          <w:sz w:val="22"/>
        </w:rPr>
        <w:t>月，頁 </w:t>
      </w:r>
      <w:r>
        <w:rPr>
          <w:rFonts w:ascii="Times New Roman" w:eastAsia="Times New Roman"/>
          <w:sz w:val="22"/>
        </w:rPr>
        <w:t>41-42</w:t>
      </w:r>
      <w:r>
        <w:rPr>
          <w:sz w:val="22"/>
        </w:rPr>
        <w:t>。</w:t>
      </w:r>
    </w:p>
    <w:p>
      <w:pPr>
        <w:spacing w:after="0" w:line="297" w:lineRule="exact"/>
        <w:jc w:val="left"/>
        <w:rPr>
          <w:sz w:val="22"/>
        </w:rPr>
        <w:sectPr>
          <w:pgSz w:w="11910" w:h="16840"/>
          <w:pgMar w:header="0" w:footer="1019" w:top="1440" w:bottom="1200" w:left="1680" w:right="1520"/>
        </w:sectPr>
      </w:pPr>
    </w:p>
    <w:p>
      <w:pPr>
        <w:pStyle w:val="BodyText"/>
        <w:spacing w:before="2"/>
        <w:rPr>
          <w:sz w:val="17"/>
        </w:rPr>
      </w:pPr>
    </w:p>
    <w:p>
      <w:pPr>
        <w:pStyle w:val="BodyText"/>
        <w:spacing w:line="295" w:lineRule="auto" w:before="52"/>
        <w:ind w:left="120" w:right="217" w:firstLine="480"/>
        <w:jc w:val="both"/>
      </w:pPr>
      <w:r>
        <w:rPr>
          <w:spacing w:val="-2"/>
        </w:rPr>
        <w:t>其二，縱使依循大法官之看法，以重要性理論劃分復審事件與申訴、再申訴事件，也很難直接認為申訴、再申訴事件當中之措施即非影響公務人員權利義務</w:t>
      </w:r>
      <w:r>
        <w:rPr>
          <w:spacing w:val="-5"/>
        </w:rPr>
        <w:t>之行政處分。正因國家與公務人員間處在一種「公法上職務關係」，因職務之執</w:t>
      </w:r>
      <w:r>
        <w:rPr>
          <w:spacing w:val="-2"/>
        </w:rPr>
        <w:t>行，長官基於監督的角色，擁有各種處分權，諸如記過、調職、停職、免職、考績處分等等，究竟何者已發生法律上權利義務變動的處分？何者則非屬法律上權利義務的變動，實在難以劃分。倘逕以復審與申訴、再申訴途徑之不同，劃分標的為行政處分與否，反而容易造成誤會，蓋何以有關公法上財產請求權之處分皆</w:t>
      </w:r>
      <w:r>
        <w:rPr>
          <w:spacing w:val="-17"/>
        </w:rPr>
        <w:t>屬於「行政處分」，而有關公務人員之考績評定，縱使可能影響其考績獎金額度，</w:t>
      </w:r>
      <w:r>
        <w:rPr>
          <w:spacing w:val="-60"/>
        </w:rPr>
        <w:t> </w:t>
      </w:r>
      <w:r>
        <w:rPr/>
        <w:t>卻仍屬於申訴、再申訴事件之「非行政處分」？</w:t>
      </w:r>
    </w:p>
    <w:p>
      <w:pPr>
        <w:pStyle w:val="BodyText"/>
        <w:spacing w:before="5"/>
        <w:rPr>
          <w:sz w:val="30"/>
        </w:rPr>
      </w:pPr>
    </w:p>
    <w:p>
      <w:pPr>
        <w:pStyle w:val="BodyText"/>
        <w:spacing w:line="295" w:lineRule="auto"/>
        <w:ind w:left="120" w:right="182" w:firstLine="480"/>
        <w:jc w:val="both"/>
      </w:pPr>
      <w:r>
        <w:rPr>
          <w:spacing w:val="-1"/>
        </w:rPr>
        <w:t>依大法官之見解，重點並非在於是否為行政處分，而係在於處分內容是否對公務人員權益產生重大影響，也因此保障法當中之規定，雖係以行政處分作為提起復審之依據，然而在實務（保訓會）的處理上，仍是以大法官歷年的解釋作為標準，以請領退休金、免職、考績獎金請求權、請領福利互助金、擬任官等以及審定俸級等，是足以改變公務人員身分關係或對於公務人員權利有重大影響之處分，才屬於復審之標的；至於有關記過處分、考績評定（例如列乙等或丙等</w:t>
      </w:r>
      <w:r>
        <w:rPr/>
        <w:t>）或上級機關所發布之職務命令，保訓會在處理上，則認為這些屬於內部的管理措</w:t>
      </w:r>
      <w:r>
        <w:rPr>
          <w:spacing w:val="1"/>
        </w:rPr>
        <w:t> </w:t>
      </w:r>
      <w:r>
        <w:rPr/>
        <w:t>施，應依申訴及再申訴之管道救濟</w:t>
      </w:r>
      <w:r>
        <w:rPr>
          <w:rFonts w:ascii="Times New Roman" w:eastAsia="Times New Roman"/>
          <w:vertAlign w:val="superscript"/>
        </w:rPr>
        <w:t>36</w:t>
      </w:r>
      <w:r>
        <w:rPr>
          <w:vertAlign w:val="baseline"/>
        </w:rPr>
        <w:t>。正因為這種實務上存在的現實狀況，縱使有些學者認為，保障法上行政處分之概念應與一般所稱之行政處分作相同之理</w:t>
      </w:r>
      <w:r>
        <w:rPr>
          <w:spacing w:val="1"/>
          <w:vertAlign w:val="baseline"/>
        </w:rPr>
        <w:t> </w:t>
      </w:r>
      <w:r>
        <w:rPr>
          <w:spacing w:val="-1"/>
          <w:vertAlign w:val="baseline"/>
        </w:rPr>
        <w:t>解，皆係指「行政機關就特定具體之事件所為發生公法上效果之單方行政行為」</w:t>
      </w:r>
    </w:p>
    <w:p>
      <w:pPr>
        <w:pStyle w:val="BodyText"/>
        <w:spacing w:before="12"/>
        <w:ind w:left="120"/>
      </w:pPr>
      <w:r>
        <w:rPr>
          <w:rFonts w:ascii="Times New Roman" w:eastAsia="Times New Roman"/>
          <w:spacing w:val="-1"/>
          <w:vertAlign w:val="superscript"/>
        </w:rPr>
        <w:t>37</w:t>
      </w:r>
      <w:r>
        <w:rPr>
          <w:spacing w:val="-1"/>
          <w:vertAlign w:val="baseline"/>
        </w:rPr>
        <w:t>；然而，仍有認為保障法中所指之行政處分，因為保障程序與一般訴願程序存</w:t>
      </w:r>
    </w:p>
    <w:p>
      <w:pPr>
        <w:pStyle w:val="BodyText"/>
        <w:spacing w:before="79"/>
        <w:ind w:left="120"/>
      </w:pPr>
      <w:r>
        <w:rPr>
          <w:spacing w:val="-3"/>
        </w:rPr>
        <w:t>有本質上的差異，也因此保障法上之行政處分應作不同之理解，而為一種特別的</w:t>
      </w:r>
    </w:p>
    <w:p>
      <w:pPr>
        <w:pStyle w:val="BodyText"/>
        <w:spacing w:before="78"/>
        <w:ind w:left="120"/>
      </w:pPr>
      <w:r>
        <w:rPr>
          <w:w w:val="95"/>
        </w:rPr>
        <w:t>「人事行政處分」</w:t>
      </w:r>
      <w:r>
        <w:rPr>
          <w:rFonts w:ascii="Times New Roman" w:eastAsia="Times New Roman"/>
          <w:w w:val="95"/>
          <w:vertAlign w:val="superscript"/>
        </w:rPr>
        <w:t>38</w:t>
      </w:r>
      <w:r>
        <w:rPr>
          <w:w w:val="95"/>
          <w:vertAlign w:val="baseline"/>
        </w:rPr>
        <w:t>。</w:t>
      </w:r>
    </w:p>
    <w:p>
      <w:pPr>
        <w:pStyle w:val="BodyText"/>
        <w:spacing w:before="3"/>
        <w:rPr>
          <w:sz w:val="35"/>
        </w:rPr>
      </w:pPr>
    </w:p>
    <w:p>
      <w:pPr>
        <w:pStyle w:val="BodyText"/>
        <w:ind w:left="600"/>
      </w:pPr>
      <w:r>
        <w:rPr/>
        <w:t>研究團隊認為，保障法中既未特別針對該法第 </w:t>
      </w:r>
      <w:r>
        <w:rPr>
          <w:rFonts w:ascii="Times New Roman" w:eastAsia="Times New Roman"/>
        </w:rPr>
        <w:t>25</w:t>
      </w:r>
      <w:r>
        <w:rPr>
          <w:rFonts w:ascii="Times New Roman" w:eastAsia="Times New Roman"/>
          <w:spacing w:val="13"/>
        </w:rPr>
        <w:t> </w:t>
      </w:r>
      <w:r>
        <w:rPr/>
        <w:t>條所稱之行政處分作單獨</w:t>
      </w:r>
    </w:p>
    <w:p>
      <w:pPr>
        <w:pStyle w:val="BodyText"/>
        <w:spacing w:line="295" w:lineRule="auto" w:before="78"/>
        <w:ind w:left="120" w:right="277"/>
      </w:pPr>
      <w:r>
        <w:rPr/>
        <w:pict>
          <v:rect style="position:absolute;margin-left:90pt;margin-top:51.960285pt;width:144pt;height:.600010pt;mso-position-horizontal-relative:page;mso-position-vertical-relative:paragraph;z-index:-15724032;mso-wrap-distance-left:0;mso-wrap-distance-right:0" filled="true" fillcolor="#000000" stroked="false">
            <v:fill type="solid"/>
            <w10:wrap type="topAndBottom"/>
          </v:rect>
        </w:pict>
      </w:r>
      <w:r>
        <w:rPr>
          <w:spacing w:val="-1"/>
        </w:rPr>
        <w:t>之定義，在解釋上即應回歸行政程序法第 </w:t>
      </w:r>
      <w:r>
        <w:rPr>
          <w:rFonts w:ascii="Times New Roman" w:eastAsia="Times New Roman"/>
        </w:rPr>
        <w:t>92</w:t>
      </w:r>
      <w:r>
        <w:rPr>
          <w:rFonts w:ascii="Times New Roman" w:eastAsia="Times New Roman"/>
          <w:spacing w:val="3"/>
        </w:rPr>
        <w:t> </w:t>
      </w:r>
      <w:r>
        <w:rPr>
          <w:spacing w:val="-1"/>
        </w:rPr>
        <w:t>條第 </w:t>
      </w:r>
      <w:r>
        <w:rPr>
          <w:rFonts w:ascii="Times New Roman" w:eastAsia="Times New Roman"/>
        </w:rPr>
        <w:t>1</w:t>
      </w:r>
      <w:r>
        <w:rPr>
          <w:rFonts w:ascii="Times New Roman" w:eastAsia="Times New Roman"/>
          <w:spacing w:val="3"/>
        </w:rPr>
        <w:t> </w:t>
      </w:r>
      <w:r>
        <w:rPr/>
        <w:t>項之規定判斷。蓋即便認為</w:t>
      </w:r>
      <w:r>
        <w:rPr>
          <w:spacing w:val="-7"/>
        </w:rPr>
        <w:t>目前公務人員二元救濟體系仍有存在之必要，其救濟之分水嶺未來仍有界線挪移</w:t>
      </w:r>
    </w:p>
    <w:p>
      <w:pPr>
        <w:pStyle w:val="BodyText"/>
        <w:spacing w:before="11"/>
        <w:rPr>
          <w:sz w:val="5"/>
        </w:rPr>
      </w:pPr>
    </w:p>
    <w:p>
      <w:pPr>
        <w:spacing w:line="223" w:lineRule="auto" w:before="121"/>
        <w:ind w:left="120" w:right="351" w:firstLine="0"/>
        <w:jc w:val="left"/>
        <w:rPr>
          <w:sz w:val="22"/>
        </w:rPr>
      </w:pPr>
      <w:r>
        <w:rPr>
          <w:rFonts w:ascii="Times New Roman" w:eastAsia="Times New Roman"/>
          <w:sz w:val="22"/>
          <w:vertAlign w:val="superscript"/>
        </w:rPr>
        <w:t>36</w:t>
      </w:r>
      <w:r>
        <w:rPr>
          <w:rFonts w:ascii="Times New Roman" w:eastAsia="Times New Roman"/>
          <w:spacing w:val="54"/>
          <w:sz w:val="22"/>
          <w:vertAlign w:val="baseline"/>
        </w:rPr>
        <w:t> </w:t>
      </w:r>
      <w:r>
        <w:rPr>
          <w:sz w:val="22"/>
          <w:vertAlign w:val="baseline"/>
        </w:rPr>
        <w:t>資料來源：公務人員保障暨培訓委員會，</w:t>
      </w:r>
      <w:r>
        <w:rPr>
          <w:spacing w:val="1"/>
          <w:sz w:val="22"/>
          <w:vertAlign w:val="baseline"/>
        </w:rPr>
        <w:t> </w:t>
      </w:r>
      <w:hyperlink r:id="rId13">
        <w:r>
          <w:rPr>
            <w:rFonts w:ascii="Times New Roman" w:eastAsia="Times New Roman"/>
            <w:spacing w:val="-1"/>
            <w:sz w:val="22"/>
            <w:u w:val="single"/>
            <w:vertAlign w:val="baseline"/>
          </w:rPr>
          <w:t>http://www.csptc.gov.tw/pages/detail.aspx?Node=511&amp;Page=2478&amp;Index=1</w:t>
        </w:r>
      </w:hyperlink>
      <w:r>
        <w:rPr>
          <w:rFonts w:ascii="Times New Roman" w:eastAsia="Times New Roman"/>
          <w:spacing w:val="14"/>
          <w:sz w:val="22"/>
          <w:vertAlign w:val="baseline"/>
        </w:rPr>
        <w:t> </w:t>
      </w:r>
      <w:r>
        <w:rPr>
          <w:sz w:val="22"/>
          <w:vertAlign w:val="baseline"/>
        </w:rPr>
        <w:t>（最後瀏覽日</w:t>
      </w:r>
      <w:r>
        <w:rPr>
          <w:rFonts w:ascii="Times New Roman" w:eastAsia="Times New Roman"/>
          <w:sz w:val="22"/>
          <w:vertAlign w:val="baseline"/>
        </w:rPr>
        <w:t>2011</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 </w:t>
      </w:r>
      <w:r>
        <w:rPr>
          <w:spacing w:val="-2"/>
          <w:sz w:val="22"/>
          <w:vertAlign w:val="baseline"/>
        </w:rPr>
        <w:t>月 </w:t>
      </w:r>
      <w:r>
        <w:rPr>
          <w:rFonts w:ascii="Times New Roman" w:eastAsia="Times New Roman"/>
          <w:sz w:val="22"/>
          <w:vertAlign w:val="baseline"/>
        </w:rPr>
        <w:t>4 </w:t>
      </w:r>
      <w:r>
        <w:rPr>
          <w:sz w:val="22"/>
          <w:vertAlign w:val="baseline"/>
        </w:rPr>
        <w:t>日）</w:t>
      </w:r>
    </w:p>
    <w:p>
      <w:pPr>
        <w:spacing w:before="104"/>
        <w:ind w:left="120" w:right="0" w:firstLine="0"/>
        <w:jc w:val="left"/>
        <w:rPr>
          <w:sz w:val="22"/>
        </w:rPr>
      </w:pPr>
      <w:r>
        <w:rPr>
          <w:rFonts w:ascii="Times New Roman" w:eastAsia="Times New Roman"/>
          <w:sz w:val="22"/>
          <w:vertAlign w:val="superscript"/>
        </w:rPr>
        <w:t>37</w:t>
      </w:r>
      <w:r>
        <w:rPr>
          <w:rFonts w:ascii="Times New Roman" w:eastAsia="Times New Roman"/>
          <w:spacing w:val="48"/>
          <w:sz w:val="22"/>
          <w:vertAlign w:val="baseline"/>
        </w:rPr>
        <w:t> </w:t>
      </w:r>
      <w:r>
        <w:rPr>
          <w:spacing w:val="-19"/>
          <w:sz w:val="22"/>
          <w:vertAlign w:val="baseline"/>
        </w:rPr>
        <w:t>陳敏，《行政法總論》，第六版，</w:t>
      </w:r>
      <w:r>
        <w:rPr>
          <w:rFonts w:ascii="Times New Roman" w:eastAsia="Times New Roman"/>
          <w:sz w:val="22"/>
          <w:vertAlign w:val="baseline"/>
        </w:rPr>
        <w:t>2009</w:t>
      </w:r>
      <w:r>
        <w:rPr>
          <w:rFonts w:ascii="Times New Roman" w:eastAsia="Times New Roman"/>
          <w:spacing w:val="-3"/>
          <w:sz w:val="22"/>
          <w:vertAlign w:val="baseline"/>
        </w:rPr>
        <w:t> </w:t>
      </w:r>
      <w:r>
        <w:rPr>
          <w:spacing w:val="-3"/>
          <w:sz w:val="22"/>
          <w:vertAlign w:val="baseline"/>
        </w:rPr>
        <w:t>年 </w:t>
      </w:r>
      <w:r>
        <w:rPr>
          <w:rFonts w:ascii="Times New Roman" w:eastAsia="Times New Roman"/>
          <w:sz w:val="22"/>
          <w:vertAlign w:val="baseline"/>
        </w:rPr>
        <w:t>9</w:t>
      </w:r>
      <w:r>
        <w:rPr>
          <w:rFonts w:ascii="Times New Roman" w:eastAsia="Times New Roman"/>
          <w:spacing w:val="-3"/>
          <w:sz w:val="22"/>
          <w:vertAlign w:val="baseline"/>
        </w:rPr>
        <w:t> </w:t>
      </w:r>
      <w:r>
        <w:rPr>
          <w:spacing w:val="-2"/>
          <w:sz w:val="22"/>
          <w:vertAlign w:val="baseline"/>
        </w:rPr>
        <w:t>月，頁 </w:t>
      </w:r>
      <w:r>
        <w:rPr>
          <w:rFonts w:ascii="Times New Roman" w:eastAsia="Times New Roman"/>
          <w:sz w:val="22"/>
          <w:vertAlign w:val="baseline"/>
        </w:rPr>
        <w:t>1119-1120</w:t>
      </w:r>
      <w:r>
        <w:rPr>
          <w:sz w:val="22"/>
          <w:vertAlign w:val="baseline"/>
        </w:rPr>
        <w:t>。</w:t>
      </w:r>
    </w:p>
    <w:p>
      <w:pPr>
        <w:spacing w:line="297" w:lineRule="exact" w:before="99"/>
        <w:ind w:left="120" w:right="0" w:firstLine="0"/>
        <w:jc w:val="left"/>
        <w:rPr>
          <w:rFonts w:ascii="Times New Roman" w:eastAsia="Times New Roman"/>
          <w:sz w:val="22"/>
        </w:rPr>
      </w:pPr>
      <w:r>
        <w:rPr>
          <w:rFonts w:ascii="Times New Roman" w:eastAsia="Times New Roman"/>
          <w:sz w:val="22"/>
          <w:vertAlign w:val="superscript"/>
        </w:rPr>
        <w:t>38</w:t>
      </w:r>
      <w:r>
        <w:rPr>
          <w:rFonts w:ascii="Times New Roman" w:eastAsia="Times New Roman"/>
          <w:spacing w:val="53"/>
          <w:sz w:val="22"/>
          <w:vertAlign w:val="baseline"/>
        </w:rPr>
        <w:t> </w:t>
      </w:r>
      <w:r>
        <w:rPr>
          <w:spacing w:val="-26"/>
          <w:sz w:val="22"/>
          <w:vertAlign w:val="baseline"/>
        </w:rPr>
        <w:t>林明鏘，〈公務人員復審與訴願程序之比較研究〉，《輔仁法學》，第 </w:t>
      </w:r>
      <w:r>
        <w:rPr>
          <w:rFonts w:ascii="Times New Roman" w:eastAsia="Times New Roman"/>
          <w:sz w:val="22"/>
          <w:vertAlign w:val="baseline"/>
        </w:rPr>
        <w:t>18</w:t>
      </w:r>
      <w:r>
        <w:rPr>
          <w:rFonts w:ascii="Times New Roman" w:eastAsia="Times New Roman"/>
          <w:spacing w:val="-1"/>
          <w:sz w:val="22"/>
          <w:vertAlign w:val="baseline"/>
        </w:rPr>
        <w:t> </w:t>
      </w:r>
      <w:r>
        <w:rPr>
          <w:sz w:val="22"/>
          <w:vertAlign w:val="baseline"/>
        </w:rPr>
        <w:t>期，</w:t>
      </w:r>
      <w:r>
        <w:rPr>
          <w:rFonts w:ascii="Times New Roman" w:eastAsia="Times New Roman"/>
          <w:sz w:val="22"/>
          <w:vertAlign w:val="baseline"/>
        </w:rPr>
        <w:t>1999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6</w:t>
      </w:r>
    </w:p>
    <w:p>
      <w:pPr>
        <w:spacing w:line="297" w:lineRule="exact" w:before="0"/>
        <w:ind w:left="119" w:right="0" w:firstLine="0"/>
        <w:jc w:val="left"/>
        <w:rPr>
          <w:sz w:val="22"/>
        </w:rPr>
      </w:pPr>
      <w:r>
        <w:rPr>
          <w:spacing w:val="-4"/>
          <w:sz w:val="22"/>
        </w:rPr>
        <w:t>月，頁 </w:t>
      </w:r>
      <w:r>
        <w:rPr>
          <w:rFonts w:ascii="Times New Roman" w:eastAsia="Times New Roman"/>
          <w:sz w:val="22"/>
        </w:rPr>
        <w:t>11-12</w:t>
      </w:r>
      <w:r>
        <w:rPr>
          <w:sz w:val="22"/>
        </w:rPr>
        <w:t>。此一用語為該篇作者自創，純係就區別方便而使用。</w:t>
      </w:r>
    </w:p>
    <w:p>
      <w:pPr>
        <w:spacing w:after="0" w:line="297" w:lineRule="exact"/>
        <w:jc w:val="left"/>
        <w:rPr>
          <w:sz w:val="22"/>
        </w:rPr>
        <w:sectPr>
          <w:pgSz w:w="11910" w:h="16840"/>
          <w:pgMar w:header="0" w:footer="1019" w:top="1600" w:bottom="1200" w:left="1680" w:right="1520"/>
        </w:sectPr>
      </w:pPr>
    </w:p>
    <w:p>
      <w:pPr>
        <w:pStyle w:val="BodyText"/>
        <w:spacing w:before="58"/>
        <w:ind w:left="120"/>
        <w:jc w:val="both"/>
        <w:rPr>
          <w:rFonts w:ascii="Times New Roman" w:eastAsia="Times New Roman"/>
        </w:rPr>
      </w:pPr>
      <w:r>
        <w:rPr/>
        <w:t>（擴張外部法律關係、緊縮內部法律關係）</w:t>
      </w:r>
      <w:r>
        <w:rPr>
          <w:spacing w:val="3"/>
        </w:rPr>
        <w:t>之必要與需求，倘逕因保障法第 </w:t>
      </w:r>
      <w:r>
        <w:rPr>
          <w:rFonts w:ascii="Times New Roman" w:eastAsia="Times New Roman"/>
        </w:rPr>
        <w:t>25</w:t>
      </w:r>
    </w:p>
    <w:p>
      <w:pPr>
        <w:pStyle w:val="BodyText"/>
        <w:spacing w:line="295" w:lineRule="auto" w:before="78"/>
        <w:ind w:left="120" w:right="215"/>
        <w:jc w:val="both"/>
      </w:pPr>
      <w:r>
        <w:rPr>
          <w:spacing w:val="-1"/>
        </w:rPr>
        <w:t>條之規定作與行政程序法第 </w:t>
      </w:r>
      <w:r>
        <w:rPr>
          <w:rFonts w:ascii="Times New Roman" w:eastAsia="Times New Roman"/>
        </w:rPr>
        <w:t>92 </w:t>
      </w:r>
      <w:r>
        <w:rPr>
          <w:spacing w:val="-14"/>
        </w:rPr>
        <w:t>條不同之認定，不免疊床架屋，徒增困擾，因此，</w:t>
      </w:r>
      <w:r>
        <w:rPr>
          <w:spacing w:val="-60"/>
        </w:rPr>
        <w:t> </w:t>
      </w:r>
      <w:r>
        <w:rPr>
          <w:spacing w:val="-2"/>
        </w:rPr>
        <w:t>既然二元救濟之重點在於區分「相對重要」與「相對不重要」之影響而異其救濟管道，則重點不在於該行政決定是否為行政處分，因此在判斷上應統一回歸行政程序法上行政處分定義，而非以該事件適用保障法上何種救濟管道反向推論其是</w:t>
      </w:r>
      <w:r>
        <w:rPr>
          <w:spacing w:val="-10"/>
        </w:rPr>
        <w:t>否為行政處分。研究團隊認為，依行政程序法第 </w:t>
      </w:r>
      <w:r>
        <w:rPr>
          <w:rFonts w:ascii="Times New Roman" w:eastAsia="Times New Roman"/>
        </w:rPr>
        <w:t>92</w:t>
      </w:r>
      <w:r>
        <w:rPr>
          <w:rFonts w:ascii="Times New Roman" w:eastAsia="Times New Roman"/>
          <w:spacing w:val="1"/>
        </w:rPr>
        <w:t> </w:t>
      </w:r>
      <w:r>
        <w:rPr>
          <w:spacing w:val="-10"/>
        </w:rPr>
        <w:t>條有關「行政處分」之定義，</w:t>
      </w:r>
      <w:r>
        <w:rPr>
          <w:spacing w:val="-60"/>
        </w:rPr>
        <w:t> </w:t>
      </w:r>
      <w:r>
        <w:rPr>
          <w:spacing w:val="-2"/>
        </w:rPr>
        <w:t>現行申訴、再申訴事件亦可能以行政處分為程序標的，蓋因申訴、再申訴事件中許多人事處分，例如考績、記大過等在學理上皆具有行政處分之屬性，即便保障法實務運作上將其列為申訴、再申訴之案件進而無法進入司法救濟，此為現行保障法所作之立法政策決定；並不影響其行政處分之屬性。並且，統一保障法與行政程序法對於行政處分之認定，解釋上亦較為合理，其理由係因目前公務人員之</w:t>
      </w:r>
      <w:r>
        <w:rPr/>
        <w:t>救濟體系未來若有「界線挪移」之需求時，不因此當然影響行政處分之判斷。</w:t>
      </w:r>
    </w:p>
    <w:p>
      <w:pPr>
        <w:pStyle w:val="BodyText"/>
        <w:spacing w:before="11"/>
      </w:pPr>
    </w:p>
    <w:p>
      <w:pPr>
        <w:pStyle w:val="Heading3"/>
        <w:ind w:left="120"/>
        <w:rPr>
          <w:rFonts w:ascii="新細明體" w:eastAsia="新細明體" w:hint="eastAsia"/>
        </w:rPr>
      </w:pPr>
      <w:r>
        <w:rPr>
          <w:rFonts w:ascii="新細明體" w:eastAsia="新細明體" w:hint="eastAsia"/>
          <w:w w:val="95"/>
        </w:rPr>
        <w:t>三、再申訴事件審理程序之分析</w:t>
      </w:r>
    </w:p>
    <w:p>
      <w:pPr>
        <w:pStyle w:val="BodyText"/>
        <w:spacing w:before="5"/>
        <w:rPr>
          <w:b/>
          <w:sz w:val="29"/>
        </w:rPr>
      </w:pPr>
    </w:p>
    <w:p>
      <w:pPr>
        <w:pStyle w:val="BodyText"/>
        <w:spacing w:line="295" w:lineRule="auto" w:before="1"/>
        <w:ind w:left="120" w:right="274" w:firstLine="480"/>
        <w:jc w:val="both"/>
        <w:rPr>
          <w:rFonts w:ascii="Times New Roman" w:eastAsia="Times New Roman"/>
        </w:rPr>
      </w:pPr>
      <w:r>
        <w:rPr>
          <w:spacing w:val="-3"/>
        </w:rPr>
        <w:t>再申訴事件之審理程序，依保障法第 </w:t>
      </w:r>
      <w:r>
        <w:rPr>
          <w:rFonts w:ascii="Times New Roman" w:eastAsia="Times New Roman"/>
          <w:spacing w:val="-2"/>
        </w:rPr>
        <w:t>77</w:t>
      </w:r>
      <w:r>
        <w:rPr>
          <w:rFonts w:ascii="Times New Roman" w:eastAsia="Times New Roman"/>
          <w:spacing w:val="-10"/>
        </w:rPr>
        <w:t> </w:t>
      </w:r>
      <w:r>
        <w:rPr>
          <w:spacing w:val="-5"/>
        </w:rPr>
        <w:t>條至第 </w:t>
      </w:r>
      <w:r>
        <w:rPr>
          <w:rFonts w:ascii="Times New Roman" w:eastAsia="Times New Roman"/>
          <w:spacing w:val="-2"/>
        </w:rPr>
        <w:t>84</w:t>
      </w:r>
      <w:r>
        <w:rPr>
          <w:rFonts w:ascii="Times New Roman" w:eastAsia="Times New Roman"/>
          <w:spacing w:val="-10"/>
        </w:rPr>
        <w:t> </w:t>
      </w:r>
      <w:r>
        <w:rPr>
          <w:spacing w:val="-2"/>
        </w:rPr>
        <w:t>條規定，公務人員於收到</w:t>
      </w:r>
      <w:r>
        <w:rPr>
          <w:spacing w:val="-3"/>
        </w:rPr>
        <w:t>服務機關所為之管理措施或有關工作條件之處置之次日起三十日內，得向服務機關提起申訴，不服服務機關函復者，得於復函送達之次日起三十日內，向保訓會提起再申訴，值得一提者，倘若公務人員離職後始接獲原服務機關之管理措施或</w:t>
      </w:r>
      <w:r>
        <w:rPr>
          <w:spacing w:val="-1"/>
        </w:rPr>
        <w:t>處置者，如認影響其權益，可否提起申訴、再申訴？依保訓會之解釋</w:t>
      </w:r>
      <w:r>
        <w:rPr>
          <w:rFonts w:ascii="Times New Roman" w:eastAsia="Times New Roman"/>
          <w:vertAlign w:val="superscript"/>
        </w:rPr>
        <w:t>39</w:t>
      </w:r>
      <w:r>
        <w:rPr>
          <w:vertAlign w:val="baseline"/>
        </w:rPr>
        <w:t>，於其離</w:t>
      </w:r>
      <w:r>
        <w:rPr>
          <w:spacing w:val="1"/>
          <w:vertAlign w:val="baseline"/>
        </w:rPr>
        <w:t>職後始接獲原服務機關之管理措施或處置者，如認影響其權益，依保障法第 </w:t>
      </w:r>
      <w:r>
        <w:rPr>
          <w:rFonts w:ascii="Times New Roman" w:eastAsia="Times New Roman"/>
          <w:vertAlign w:val="baseline"/>
        </w:rPr>
        <w:t>77</w:t>
      </w:r>
    </w:p>
    <w:p>
      <w:pPr>
        <w:pStyle w:val="BodyText"/>
        <w:spacing w:line="295" w:lineRule="auto" w:before="7"/>
        <w:ind w:left="120" w:right="277"/>
        <w:jc w:val="both"/>
      </w:pPr>
      <w:r>
        <w:rPr>
          <w:spacing w:val="-7"/>
        </w:rPr>
        <w:t>條第 </w:t>
      </w:r>
      <w:r>
        <w:rPr>
          <w:rFonts w:ascii="Times New Roman" w:eastAsia="Times New Roman"/>
          <w:spacing w:val="-3"/>
        </w:rPr>
        <w:t>3</w:t>
      </w:r>
      <w:r>
        <w:rPr>
          <w:rFonts w:ascii="Times New Roman" w:eastAsia="Times New Roman"/>
          <w:spacing w:val="-9"/>
        </w:rPr>
        <w:t> </w:t>
      </w:r>
      <w:r>
        <w:rPr>
          <w:spacing w:val="-3"/>
        </w:rPr>
        <w:t>項規定，仍得依保障法規定提起申訴、再申訴；至於再申訴事件之審理流程，可參見圖 </w:t>
      </w:r>
      <w:r>
        <w:rPr>
          <w:rFonts w:ascii="Times New Roman" w:eastAsia="Times New Roman"/>
          <w:spacing w:val="-1"/>
        </w:rPr>
        <w:t>2-1</w:t>
      </w:r>
      <w:r>
        <w:rPr>
          <w:rFonts w:ascii="Times New Roman" w:eastAsia="Times New Roman"/>
          <w:spacing w:val="-1"/>
          <w:vertAlign w:val="superscript"/>
        </w:rPr>
        <w:t>40</w:t>
      </w:r>
      <w:r>
        <w:rPr>
          <w:spacing w:val="-2"/>
          <w:vertAlign w:val="baseline"/>
        </w:rPr>
        <w:t>。就審理方式而言，依保障法第 </w:t>
      </w:r>
      <w:r>
        <w:rPr>
          <w:rFonts w:ascii="Times New Roman" w:eastAsia="Times New Roman"/>
          <w:vertAlign w:val="baseline"/>
        </w:rPr>
        <w:t>84</w:t>
      </w:r>
      <w:r>
        <w:rPr>
          <w:rFonts w:ascii="Times New Roman" w:eastAsia="Times New Roman"/>
          <w:spacing w:val="-12"/>
          <w:vertAlign w:val="baseline"/>
        </w:rPr>
        <w:t> </w:t>
      </w:r>
      <w:r>
        <w:rPr>
          <w:vertAlign w:val="baseline"/>
        </w:rPr>
        <w:t>條規定，有許多審理程序</w:t>
      </w:r>
      <w:r>
        <w:rPr>
          <w:spacing w:val="-3"/>
          <w:vertAlign w:val="baseline"/>
        </w:rPr>
        <w:t>均準用復審事件之審理程序，其中有關準用第 </w:t>
      </w:r>
      <w:r>
        <w:rPr>
          <w:rFonts w:ascii="Times New Roman" w:eastAsia="Times New Roman"/>
          <w:spacing w:val="-2"/>
          <w:vertAlign w:val="baseline"/>
        </w:rPr>
        <w:t>50</w:t>
      </w:r>
      <w:r>
        <w:rPr>
          <w:rFonts w:ascii="Times New Roman" w:eastAsia="Times New Roman"/>
          <w:spacing w:val="-10"/>
          <w:vertAlign w:val="baseline"/>
        </w:rPr>
        <w:t> </w:t>
      </w:r>
      <w:r>
        <w:rPr>
          <w:spacing w:val="-5"/>
          <w:vertAlign w:val="baseline"/>
        </w:rPr>
        <w:t>條、第 </w:t>
      </w:r>
      <w:r>
        <w:rPr>
          <w:rFonts w:ascii="Times New Roman" w:eastAsia="Times New Roman"/>
          <w:spacing w:val="-2"/>
          <w:vertAlign w:val="baseline"/>
        </w:rPr>
        <w:t>52</w:t>
      </w:r>
      <w:r>
        <w:rPr>
          <w:rFonts w:ascii="Times New Roman" w:eastAsia="Times New Roman"/>
          <w:spacing w:val="-10"/>
          <w:vertAlign w:val="baseline"/>
        </w:rPr>
        <w:t> </w:t>
      </w:r>
      <w:r>
        <w:rPr>
          <w:spacing w:val="-2"/>
          <w:vertAlign w:val="baseline"/>
        </w:rPr>
        <w:t>條規定部分，使再申</w:t>
      </w:r>
      <w:r>
        <w:rPr>
          <w:spacing w:val="-3"/>
          <w:vertAlign w:val="baseline"/>
        </w:rPr>
        <w:t>訴事件原則上僅以書面審查決定之，例外於必要時或再申訴人請求陳述意見而有正當理由者，得通知再申訴人或有關人員到達指定處所陳述意見並接受詢問，或</w:t>
      </w:r>
      <w:r>
        <w:rPr>
          <w:vertAlign w:val="baseline"/>
        </w:rPr>
        <w:t>進行言詞辯論。</w:t>
      </w:r>
    </w:p>
    <w:p>
      <w:pPr>
        <w:pStyle w:val="BodyText"/>
        <w:rPr>
          <w:sz w:val="20"/>
        </w:rPr>
      </w:pPr>
    </w:p>
    <w:p>
      <w:pPr>
        <w:pStyle w:val="BodyText"/>
        <w:rPr>
          <w:sz w:val="20"/>
        </w:rPr>
      </w:pPr>
    </w:p>
    <w:p>
      <w:pPr>
        <w:pStyle w:val="BodyText"/>
        <w:rPr>
          <w:sz w:val="20"/>
        </w:rPr>
      </w:pPr>
    </w:p>
    <w:p>
      <w:pPr>
        <w:pStyle w:val="BodyText"/>
        <w:spacing w:before="9"/>
        <w:rPr>
          <w:sz w:val="10"/>
        </w:rPr>
      </w:pPr>
      <w:r>
        <w:rPr/>
        <w:pict>
          <v:rect style="position:absolute;margin-left:90pt;margin-top:9.404229pt;width:144pt;height:.59999pt;mso-position-horizontal-relative:page;mso-position-vertical-relative:paragraph;z-index:-15723520;mso-wrap-distance-left:0;mso-wrap-distance-right:0" filled="true" fillcolor="#000000" stroked="false">
            <v:fill type="solid"/>
            <w10:wrap type="topAndBottom"/>
          </v:rect>
        </w:pict>
      </w:r>
    </w:p>
    <w:p>
      <w:pPr>
        <w:pStyle w:val="BodyText"/>
        <w:spacing w:before="11"/>
        <w:rPr>
          <w:sz w:val="5"/>
        </w:rPr>
      </w:pPr>
    </w:p>
    <w:p>
      <w:pPr>
        <w:spacing w:before="105"/>
        <w:ind w:left="120" w:right="0" w:firstLine="0"/>
        <w:jc w:val="left"/>
        <w:rPr>
          <w:sz w:val="22"/>
        </w:rPr>
      </w:pPr>
      <w:r>
        <w:rPr>
          <w:rFonts w:ascii="Times New Roman" w:eastAsia="Times New Roman"/>
          <w:spacing w:val="-2"/>
          <w:sz w:val="22"/>
          <w:vertAlign w:val="superscript"/>
        </w:rPr>
        <w:t>39</w:t>
      </w:r>
      <w:r>
        <w:rPr>
          <w:rFonts w:ascii="Times New Roman" w:eastAsia="Times New Roman"/>
          <w:spacing w:val="32"/>
          <w:sz w:val="22"/>
          <w:vertAlign w:val="baseline"/>
        </w:rPr>
        <w:t> </w:t>
      </w:r>
      <w:r>
        <w:rPr>
          <w:spacing w:val="-10"/>
          <w:sz w:val="22"/>
          <w:vertAlign w:val="baseline"/>
        </w:rPr>
        <w:t>參閱《公務人員保障法百問</w:t>
      </w:r>
      <w:r>
        <w:rPr>
          <w:spacing w:val="-14"/>
          <w:sz w:val="22"/>
          <w:vertAlign w:val="baseline"/>
        </w:rPr>
        <w:t>》，公務人員保障暨培訓委員會編印，</w:t>
      </w:r>
      <w:r>
        <w:rPr>
          <w:rFonts w:ascii="Times New Roman" w:eastAsia="Times New Roman"/>
          <w:spacing w:val="-1"/>
          <w:sz w:val="22"/>
          <w:vertAlign w:val="baseline"/>
        </w:rPr>
        <w:t>2011</w:t>
      </w:r>
      <w:r>
        <w:rPr>
          <w:rFonts w:ascii="Times New Roman" w:eastAsia="Times New Roman"/>
          <w:spacing w:val="-12"/>
          <w:sz w:val="22"/>
          <w:vertAlign w:val="baseline"/>
        </w:rPr>
        <w:t> </w:t>
      </w:r>
      <w:r>
        <w:rPr>
          <w:spacing w:val="-7"/>
          <w:sz w:val="22"/>
          <w:vertAlign w:val="baseline"/>
        </w:rPr>
        <w:t>年 </w:t>
      </w:r>
      <w:r>
        <w:rPr>
          <w:rFonts w:ascii="Times New Roman" w:eastAsia="Times New Roman"/>
          <w:spacing w:val="-1"/>
          <w:sz w:val="22"/>
          <w:vertAlign w:val="baseline"/>
        </w:rPr>
        <w:t>7</w:t>
      </w:r>
      <w:r>
        <w:rPr>
          <w:rFonts w:ascii="Times New Roman" w:eastAsia="Times New Roman"/>
          <w:spacing w:val="-11"/>
          <w:sz w:val="22"/>
          <w:vertAlign w:val="baseline"/>
        </w:rPr>
        <w:t> </w:t>
      </w:r>
      <w:r>
        <w:rPr>
          <w:spacing w:val="-5"/>
          <w:sz w:val="22"/>
          <w:vertAlign w:val="baseline"/>
        </w:rPr>
        <w:t>月，頁 </w:t>
      </w:r>
      <w:r>
        <w:rPr>
          <w:rFonts w:ascii="Times New Roman" w:eastAsia="Times New Roman"/>
          <w:spacing w:val="-1"/>
          <w:sz w:val="22"/>
          <w:vertAlign w:val="baseline"/>
        </w:rPr>
        <w:t>40</w:t>
      </w:r>
      <w:r>
        <w:rPr>
          <w:spacing w:val="-1"/>
          <w:sz w:val="22"/>
          <w:vertAlign w:val="baseline"/>
        </w:rPr>
        <w:t>。</w:t>
      </w:r>
    </w:p>
    <w:p>
      <w:pPr>
        <w:pStyle w:val="BodyText"/>
        <w:spacing w:before="1"/>
        <w:rPr>
          <w:sz w:val="21"/>
        </w:rPr>
      </w:pPr>
    </w:p>
    <w:p>
      <w:pPr>
        <w:spacing w:line="280" w:lineRule="auto" w:before="0"/>
        <w:ind w:left="120" w:right="344" w:firstLine="0"/>
        <w:jc w:val="left"/>
        <w:rPr>
          <w:sz w:val="22"/>
        </w:rPr>
      </w:pPr>
      <w:r>
        <w:rPr>
          <w:rFonts w:ascii="Times New Roman" w:eastAsia="Times New Roman"/>
          <w:sz w:val="22"/>
          <w:vertAlign w:val="superscript"/>
        </w:rPr>
        <w:t>40</w:t>
      </w:r>
      <w:r>
        <w:rPr>
          <w:rFonts w:ascii="Times New Roman" w:eastAsia="Times New Roman"/>
          <w:spacing w:val="54"/>
          <w:sz w:val="22"/>
          <w:vertAlign w:val="baseline"/>
        </w:rPr>
        <w:t> </w:t>
      </w:r>
      <w:r>
        <w:rPr>
          <w:sz w:val="22"/>
          <w:vertAlign w:val="baseline"/>
        </w:rPr>
        <w:t>資料來源：公務人員保障暨培訓委員會，</w:t>
      </w:r>
      <w:r>
        <w:rPr>
          <w:spacing w:val="1"/>
          <w:sz w:val="22"/>
          <w:vertAlign w:val="baseline"/>
        </w:rPr>
        <w:t> </w:t>
      </w:r>
      <w:hyperlink r:id="rId14">
        <w:r>
          <w:rPr>
            <w:rFonts w:ascii="Times New Roman" w:eastAsia="Times New Roman"/>
            <w:sz w:val="22"/>
            <w:u w:val="single"/>
            <w:vertAlign w:val="baseline"/>
          </w:rPr>
          <w:t>http://www.csptc.gov.tw/pages/detail.aspx?Node=503&amp;Page=2483&amp;Index=1</w:t>
        </w:r>
      </w:hyperlink>
      <w:r>
        <w:rPr>
          <w:rFonts w:ascii="Times New Roman" w:eastAsia="Times New Roman"/>
          <w:spacing w:val="17"/>
          <w:sz w:val="22"/>
          <w:vertAlign w:val="baseline"/>
        </w:rPr>
        <w:t> </w:t>
      </w:r>
      <w:r>
        <w:rPr>
          <w:sz w:val="22"/>
          <w:vertAlign w:val="baseline"/>
        </w:rPr>
        <w:t>，最後瀏覽日期，</w:t>
      </w:r>
      <w:r>
        <w:rPr>
          <w:rFonts w:ascii="Times New Roman" w:eastAsia="Times New Roman"/>
          <w:sz w:val="22"/>
          <w:vertAlign w:val="baseline"/>
        </w:rPr>
        <w:t>2011</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 </w:t>
      </w:r>
      <w:r>
        <w:rPr>
          <w:spacing w:val="-1"/>
          <w:sz w:val="22"/>
          <w:vertAlign w:val="baseline"/>
        </w:rPr>
        <w:t>月 </w:t>
      </w:r>
      <w:r>
        <w:rPr>
          <w:rFonts w:ascii="Times New Roman" w:eastAsia="Times New Roman"/>
          <w:sz w:val="22"/>
          <w:vertAlign w:val="baseline"/>
        </w:rPr>
        <w:t>4 </w:t>
      </w:r>
      <w:r>
        <w:rPr>
          <w:sz w:val="22"/>
          <w:vertAlign w:val="baseline"/>
        </w:rPr>
        <w:t>日。</w:t>
      </w:r>
    </w:p>
    <w:p>
      <w:pPr>
        <w:spacing w:after="0" w:line="280" w:lineRule="auto"/>
        <w:jc w:val="left"/>
        <w:rPr>
          <w:sz w:val="22"/>
        </w:rPr>
        <w:sectPr>
          <w:pgSz w:w="11910" w:h="16840"/>
          <w:pgMar w:header="0" w:footer="1019" w:top="1420" w:bottom="1200" w:left="1680" w:right="1520"/>
        </w:sectPr>
      </w:pPr>
    </w:p>
    <w:p>
      <w:pPr>
        <w:pStyle w:val="BodyText"/>
        <w:spacing w:line="295" w:lineRule="auto" w:before="98"/>
        <w:ind w:left="119" w:right="217" w:firstLine="480"/>
        <w:jc w:val="both"/>
      </w:pPr>
      <w:r>
        <w:rPr/>
        <w:t>實務上，自民國 </w:t>
      </w:r>
      <w:r>
        <w:rPr>
          <w:rFonts w:ascii="Times New Roman" w:hAnsi="Times New Roman" w:eastAsia="Times New Roman"/>
        </w:rPr>
        <w:t>90</w:t>
      </w:r>
      <w:r>
        <w:rPr>
          <w:rFonts w:ascii="Times New Roman" w:hAnsi="Times New Roman" w:eastAsia="Times New Roman"/>
          <w:spacing w:val="7"/>
        </w:rPr>
        <w:t> </w:t>
      </w:r>
      <w:r>
        <w:rPr>
          <w:spacing w:val="1"/>
        </w:rPr>
        <w:t>年至 </w:t>
      </w:r>
      <w:r>
        <w:rPr>
          <w:rFonts w:ascii="Times New Roman" w:hAnsi="Times New Roman" w:eastAsia="Times New Roman"/>
        </w:rPr>
        <w:t>99</w:t>
      </w:r>
      <w:r>
        <w:rPr>
          <w:rFonts w:ascii="Times New Roman" w:hAnsi="Times New Roman" w:eastAsia="Times New Roman"/>
          <w:spacing w:val="8"/>
        </w:rPr>
        <w:t> </w:t>
      </w:r>
      <w:r>
        <w:rPr/>
        <w:t>年為止</w:t>
      </w:r>
      <w:r>
        <w:rPr>
          <w:rFonts w:ascii="Times New Roman" w:hAnsi="Times New Roman" w:eastAsia="Times New Roman"/>
          <w:vertAlign w:val="superscript"/>
        </w:rPr>
        <w:t>41</w:t>
      </w:r>
      <w:r>
        <w:rPr>
          <w:vertAlign w:val="baseline"/>
        </w:rPr>
        <w:t>，再申訴事件審議決定共計 </w:t>
      </w:r>
      <w:r>
        <w:rPr>
          <w:rFonts w:ascii="Times New Roman" w:hAnsi="Times New Roman" w:eastAsia="Times New Roman"/>
          <w:vertAlign w:val="baseline"/>
        </w:rPr>
        <w:t>3,900</w:t>
      </w:r>
      <w:r>
        <w:rPr>
          <w:rFonts w:ascii="Times New Roman" w:hAnsi="Times New Roman" w:eastAsia="Times New Roman"/>
          <w:spacing w:val="8"/>
          <w:vertAlign w:val="baseline"/>
        </w:rPr>
        <w:t> </w:t>
      </w:r>
      <w:r>
        <w:rPr>
          <w:vertAlign w:val="baseline"/>
        </w:rPr>
        <w:t>件，</w:t>
      </w:r>
      <w:r>
        <w:rPr>
          <w:spacing w:val="1"/>
          <w:vertAlign w:val="baseline"/>
        </w:rPr>
        <w:t> </w:t>
      </w:r>
      <w:r>
        <w:rPr>
          <w:spacing w:val="-4"/>
          <w:vertAlign w:val="baseline"/>
        </w:rPr>
        <w:t>其中兼採到會陳述意見者有 </w:t>
      </w:r>
      <w:r>
        <w:rPr>
          <w:rFonts w:ascii="Times New Roman" w:hAnsi="Times New Roman" w:eastAsia="Times New Roman"/>
          <w:spacing w:val="-2"/>
          <w:vertAlign w:val="baseline"/>
        </w:rPr>
        <w:t>389</w:t>
      </w:r>
      <w:r>
        <w:rPr>
          <w:rFonts w:ascii="Times New Roman" w:hAnsi="Times New Roman" w:eastAsia="Times New Roman"/>
          <w:spacing w:val="-11"/>
          <w:vertAlign w:val="baseline"/>
        </w:rPr>
        <w:t> </w:t>
      </w:r>
      <w:r>
        <w:rPr>
          <w:spacing w:val="-5"/>
          <w:vertAlign w:val="baseline"/>
        </w:rPr>
        <w:t>件，占 </w:t>
      </w:r>
      <w:r>
        <w:rPr>
          <w:rFonts w:ascii="Times New Roman" w:hAnsi="Times New Roman" w:eastAsia="Times New Roman"/>
          <w:spacing w:val="-2"/>
          <w:vertAlign w:val="baseline"/>
        </w:rPr>
        <w:t>10%</w:t>
      </w:r>
      <w:r>
        <w:rPr>
          <w:spacing w:val="-4"/>
          <w:vertAlign w:val="baseline"/>
        </w:rPr>
        <w:t>；兼採言詞辯論者有 </w:t>
      </w:r>
      <w:r>
        <w:rPr>
          <w:rFonts w:ascii="Times New Roman" w:hAnsi="Times New Roman" w:eastAsia="Times New Roman"/>
          <w:spacing w:val="-2"/>
          <w:vertAlign w:val="baseline"/>
        </w:rPr>
        <w:t>3</w:t>
      </w:r>
      <w:r>
        <w:rPr>
          <w:rFonts w:ascii="Times New Roman" w:hAnsi="Times New Roman" w:eastAsia="Times New Roman"/>
          <w:spacing w:val="-10"/>
          <w:vertAlign w:val="baseline"/>
        </w:rPr>
        <w:t> </w:t>
      </w:r>
      <w:r>
        <w:rPr>
          <w:spacing w:val="-2"/>
          <w:vertAlign w:val="baseline"/>
        </w:rPr>
        <w:t>件，占 </w:t>
      </w:r>
      <w:r>
        <w:rPr>
          <w:rFonts w:ascii="Times New Roman" w:hAnsi="Times New Roman" w:eastAsia="Times New Roman"/>
          <w:spacing w:val="-2"/>
          <w:vertAlign w:val="baseline"/>
        </w:rPr>
        <w:t>0.1%</w:t>
      </w:r>
      <w:r>
        <w:rPr>
          <w:spacing w:val="-2"/>
          <w:vertAlign w:val="baseline"/>
        </w:rPr>
        <w:t>；</w:t>
      </w:r>
      <w:r>
        <w:rPr>
          <w:spacing w:val="-59"/>
          <w:vertAlign w:val="baseline"/>
        </w:rPr>
        <w:t> </w:t>
      </w:r>
      <w:r>
        <w:rPr>
          <w:vertAlign w:val="baseline"/>
        </w:rPr>
        <w:t>兼採派員查證者有 </w:t>
      </w:r>
      <w:r>
        <w:rPr>
          <w:rFonts w:ascii="Times New Roman" w:hAnsi="Times New Roman" w:eastAsia="Times New Roman"/>
          <w:vertAlign w:val="baseline"/>
        </w:rPr>
        <w:t>20</w:t>
      </w:r>
      <w:r>
        <w:rPr>
          <w:rFonts w:ascii="Times New Roman" w:hAnsi="Times New Roman" w:eastAsia="Times New Roman"/>
          <w:spacing w:val="10"/>
          <w:vertAlign w:val="baseline"/>
        </w:rPr>
        <w:t> </w:t>
      </w:r>
      <w:r>
        <w:rPr>
          <w:spacing w:val="2"/>
          <w:vertAlign w:val="baseline"/>
        </w:rPr>
        <w:t>件，占 </w:t>
      </w:r>
      <w:r>
        <w:rPr>
          <w:rFonts w:ascii="Times New Roman" w:hAnsi="Times New Roman" w:eastAsia="Times New Roman"/>
          <w:vertAlign w:val="baseline"/>
        </w:rPr>
        <w:t>0.5%</w:t>
      </w:r>
      <w:r>
        <w:rPr>
          <w:spacing w:val="2"/>
          <w:vertAlign w:val="baseline"/>
        </w:rPr>
        <w:t>；其餘 </w:t>
      </w:r>
      <w:r>
        <w:rPr>
          <w:rFonts w:ascii="Times New Roman" w:hAnsi="Times New Roman" w:eastAsia="Times New Roman"/>
          <w:vertAlign w:val="baseline"/>
        </w:rPr>
        <w:t>3,520</w:t>
      </w:r>
      <w:r>
        <w:rPr>
          <w:rFonts w:ascii="Times New Roman" w:hAnsi="Times New Roman" w:eastAsia="Times New Roman"/>
          <w:spacing w:val="10"/>
          <w:vertAlign w:val="baseline"/>
        </w:rPr>
        <w:t> </w:t>
      </w:r>
      <w:r>
        <w:rPr>
          <w:vertAlign w:val="baseline"/>
        </w:rPr>
        <w:t>件單純以書面審理，占 </w:t>
      </w:r>
      <w:r>
        <w:rPr>
          <w:rFonts w:ascii="Times New Roman" w:hAnsi="Times New Roman" w:eastAsia="Times New Roman"/>
          <w:vertAlign w:val="baseline"/>
        </w:rPr>
        <w:t>90%</w:t>
      </w:r>
      <w:r>
        <w:rPr>
          <w:rFonts w:ascii="Times New Roman" w:hAnsi="Times New Roman" w:eastAsia="Times New Roman"/>
          <w:vertAlign w:val="superscript"/>
        </w:rPr>
        <w:t>42</w:t>
      </w:r>
      <w:r>
        <w:rPr>
          <w:vertAlign w:val="baseline"/>
        </w:rPr>
        <w:t>。</w:t>
      </w:r>
      <w:r>
        <w:rPr>
          <w:spacing w:val="-2"/>
          <w:vertAlign w:val="baseline"/>
        </w:rPr>
        <w:t>由上述資料足見再申訴事件之審理程序中，再申訴人就審理程序之參與程度，大多僅能透過一紙再申訴書傳達意見，至於「陳述意見」或「言詞辯論」等審理方式僅能偶一為之。除此之外，再申訴事件之審理程序與復審事件之審理程序存有許多的差異，此一差異究竟有無必要？是否合理？即有探究之必要。在以下的討論中將僅針對本研究計畫所設定之主題──「再審議」得否適用於「再申訴」決</w:t>
      </w:r>
      <w:r>
        <w:rPr>
          <w:vertAlign w:val="baseline"/>
        </w:rPr>
        <w:t>定，加以論述。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line="301" w:lineRule="exact" w:before="105"/>
        <w:ind w:left="120" w:right="0" w:firstLine="0"/>
        <w:jc w:val="left"/>
        <w:rPr>
          <w:sz w:val="22"/>
        </w:rPr>
      </w:pPr>
      <w:r>
        <w:rPr>
          <w:rFonts w:ascii="Times New Roman" w:eastAsia="Times New Roman"/>
          <w:sz w:val="22"/>
          <w:vertAlign w:val="superscript"/>
        </w:rPr>
        <w:t>41</w:t>
      </w:r>
      <w:r>
        <w:rPr>
          <w:rFonts w:ascii="Times New Roman" w:eastAsia="Times New Roman"/>
          <w:spacing w:val="54"/>
          <w:sz w:val="22"/>
          <w:vertAlign w:val="baseline"/>
        </w:rPr>
        <w:t> </w:t>
      </w:r>
      <w:r>
        <w:rPr>
          <w:sz w:val="22"/>
          <w:vertAlign w:val="baseline"/>
        </w:rPr>
        <w:t>資料來源：公務人員保障暨培訓委員會，</w:t>
      </w:r>
    </w:p>
    <w:p>
      <w:pPr>
        <w:spacing w:line="246" w:lineRule="exact" w:before="0"/>
        <w:ind w:left="120" w:right="0" w:firstLine="0"/>
        <w:jc w:val="left"/>
        <w:rPr>
          <w:rFonts w:ascii="Times New Roman"/>
          <w:sz w:val="22"/>
        </w:rPr>
      </w:pPr>
      <w:hyperlink r:id="rId6">
        <w:r>
          <w:rPr>
            <w:rFonts w:ascii="Times New Roman"/>
            <w:sz w:val="22"/>
            <w:u w:val="single"/>
          </w:rPr>
          <w:t>http://www.csptc.gov.tw/FileUpload/854-5645/Documents/%E5%85%AC%E5%8B%99%E4</w:t>
        </w:r>
      </w:hyperlink>
    </w:p>
    <w:p>
      <w:pPr>
        <w:spacing w:line="249" w:lineRule="exact" w:before="0"/>
        <w:ind w:left="120" w:right="0" w:firstLine="0"/>
        <w:jc w:val="left"/>
        <w:rPr>
          <w:rFonts w:ascii="Times New Roman"/>
          <w:sz w:val="22"/>
        </w:rPr>
      </w:pPr>
      <w:r>
        <w:rPr>
          <w:rFonts w:ascii="Times New Roman"/>
          <w:sz w:val="22"/>
          <w:u w:val="single"/>
        </w:rPr>
        <w:t>%BA%BA%E5%93%A1%E4%BF%9D%E9%9A%9C-%E6%8F%90%E8%A6%81%E5%8</w:t>
      </w:r>
    </w:p>
    <w:p>
      <w:pPr>
        <w:spacing w:line="294" w:lineRule="exact" w:before="0"/>
        <w:ind w:left="120" w:right="0" w:firstLine="0"/>
        <w:jc w:val="left"/>
        <w:rPr>
          <w:sz w:val="22"/>
        </w:rPr>
      </w:pPr>
      <w:r>
        <w:rPr>
          <w:rFonts w:ascii="Times New Roman" w:eastAsia="Times New Roman"/>
          <w:sz w:val="22"/>
          <w:u w:val="single"/>
        </w:rPr>
        <w:t>8%86%E6%9E%90.pdf</w:t>
      </w:r>
      <w:r>
        <w:rPr>
          <w:rFonts w:ascii="Times New Roman" w:eastAsia="Times New Roman"/>
          <w:spacing w:val="50"/>
          <w:sz w:val="22"/>
        </w:rPr>
        <w:t> </w:t>
      </w:r>
      <w:r>
        <w:rPr>
          <w:spacing w:val="6"/>
          <w:sz w:val="22"/>
        </w:rPr>
        <w:t>，最後瀏覽日期 </w:t>
      </w:r>
      <w:r>
        <w:rPr>
          <w:rFonts w:ascii="Times New Roman" w:eastAsia="Times New Roman"/>
          <w:sz w:val="22"/>
        </w:rPr>
        <w:t>2011</w:t>
      </w:r>
      <w:r>
        <w:rPr>
          <w:rFonts w:ascii="Times New Roman" w:eastAsia="Times New Roman"/>
          <w:spacing w:val="-2"/>
          <w:sz w:val="22"/>
        </w:rPr>
        <w:t> </w:t>
      </w:r>
      <w:r>
        <w:rPr>
          <w:spacing w:val="-2"/>
          <w:sz w:val="22"/>
        </w:rPr>
        <w:t>年 </w:t>
      </w:r>
      <w:r>
        <w:rPr>
          <w:rFonts w:ascii="Times New Roman" w:eastAsia="Times New Roman"/>
          <w:sz w:val="22"/>
        </w:rPr>
        <w:t>9</w:t>
      </w:r>
      <w:r>
        <w:rPr>
          <w:rFonts w:ascii="Times New Roman" w:eastAsia="Times New Roman"/>
          <w:spacing w:val="-1"/>
          <w:sz w:val="22"/>
        </w:rPr>
        <w:t> </w:t>
      </w:r>
      <w:r>
        <w:rPr>
          <w:spacing w:val="-2"/>
          <w:sz w:val="22"/>
        </w:rPr>
        <w:t>月 </w:t>
      </w:r>
      <w:r>
        <w:rPr>
          <w:rFonts w:ascii="Times New Roman" w:eastAsia="Times New Roman"/>
          <w:sz w:val="22"/>
        </w:rPr>
        <w:t>4</w:t>
      </w:r>
      <w:r>
        <w:rPr>
          <w:rFonts w:ascii="Times New Roman" w:eastAsia="Times New Roman"/>
          <w:spacing w:val="-1"/>
          <w:sz w:val="22"/>
        </w:rPr>
        <w:t> </w:t>
      </w:r>
      <w:r>
        <w:rPr>
          <w:sz w:val="22"/>
        </w:rPr>
        <w:t>日。</w:t>
      </w:r>
    </w:p>
    <w:p>
      <w:pPr>
        <w:spacing w:line="223" w:lineRule="auto" w:before="5"/>
        <w:ind w:left="120" w:right="275" w:firstLine="0"/>
        <w:jc w:val="left"/>
        <w:rPr>
          <w:sz w:val="22"/>
        </w:rPr>
      </w:pPr>
      <w:r>
        <w:rPr>
          <w:rFonts w:ascii="Times New Roman" w:eastAsia="Times New Roman"/>
          <w:spacing w:val="-2"/>
          <w:sz w:val="22"/>
          <w:vertAlign w:val="superscript"/>
        </w:rPr>
        <w:t>42</w:t>
      </w:r>
      <w:r>
        <w:rPr>
          <w:rFonts w:ascii="Times New Roman" w:eastAsia="Times New Roman"/>
          <w:spacing w:val="17"/>
          <w:sz w:val="22"/>
          <w:vertAlign w:val="baseline"/>
        </w:rPr>
        <w:t> </w:t>
      </w:r>
      <w:r>
        <w:rPr>
          <w:spacing w:val="-2"/>
          <w:sz w:val="22"/>
          <w:vertAlign w:val="baseline"/>
        </w:rPr>
        <w:t>再申訴事件就書面審查之，必要時得通知有關人員到會陳述意見、言詞辯論或派員查</w:t>
      </w:r>
      <w:r>
        <w:rPr>
          <w:sz w:val="22"/>
          <w:vertAlign w:val="baseline"/>
        </w:rPr>
        <w:t>證、或兼採之，故係數之和大於合計。</w:t>
      </w:r>
    </w:p>
    <w:p>
      <w:pPr>
        <w:spacing w:after="0" w:line="223" w:lineRule="auto"/>
        <w:jc w:val="left"/>
        <w:rPr>
          <w:sz w:val="22"/>
        </w:rPr>
        <w:sectPr>
          <w:footerReference w:type="default" r:id="rId15"/>
          <w:pgSz w:w="11910" w:h="16840"/>
          <w:pgMar w:footer="1195" w:header="0" w:top="1380" w:bottom="1380" w:left="1680" w:right="1520"/>
        </w:sectPr>
      </w:pPr>
    </w:p>
    <w:p>
      <w:pPr>
        <w:pStyle w:val="BodyText"/>
        <w:rPr>
          <w:sz w:val="20"/>
        </w:rPr>
      </w:pPr>
      <w:r>
        <w:rPr/>
        <w:pict>
          <v:shape style="position:absolute;margin-left:415.910492pt;margin-top:534.43103pt;width:10.1pt;height:11.1pt;mso-position-horizontal-relative:page;mso-position-vertical-relative:page;z-index:-16993280" type="#_x0000_t202" filled="false" stroked="false">
            <v:textbox inset="0,0,0,0">
              <w:txbxContent>
                <w:p>
                  <w:pPr>
                    <w:spacing w:line="222" w:lineRule="exact" w:before="0"/>
                    <w:ind w:left="0" w:right="0" w:firstLine="0"/>
                    <w:jc w:val="left"/>
                    <w:rPr>
                      <w:rFonts w:ascii="Times New Roman"/>
                      <w:sz w:val="20"/>
                    </w:rPr>
                  </w:pPr>
                  <w:r>
                    <w:rPr>
                      <w:rFonts w:ascii="Times New Roman"/>
                      <w:sz w:val="20"/>
                    </w:rPr>
                    <w:t>23</w:t>
                  </w:r>
                </w:p>
              </w:txbxContent>
            </v:textbox>
            <w10:wrap type="none"/>
          </v:shape>
        </w:pict>
      </w:r>
      <w:r>
        <w:rPr/>
        <w:pict>
          <v:group style="position:absolute;margin-left:412.010986pt;margin-top:254.339996pt;width:155.2pt;height:30pt;mso-position-horizontal-relative:page;mso-position-vertical-relative:page;z-index:-16992256" coordorigin="8240,5087" coordsize="3104,600">
            <v:rect style="position:absolute;left:9116;top:5116;width:1620;height:540" filled="false" stroked="true" strokeweight="3pt" strokecolor="#000000">
              <v:stroke dashstyle="solid"/>
            </v:rect>
            <v:shape style="position:absolute;left:8240;top:5283;width:3104;height:215" coordorigin="8240,5284" coordsize="3104,215" path="m9072,5438l8952,5378,8952,5431,8972,5431,8247,5436,8243,5437,8240,5443,8243,5448,8247,5450,8952,5446,8952,5498,8979,5485,9072,5438xm11343,5342l11223,5284,11224,5335,10800,5340,10794,5341,10793,5347,10795,5352,10800,5354,11224,5351,11225,5404,11251,5390,11343,5342xe" filled="true" fillcolor="#000000" stroked="false">
              <v:path arrowok="t"/>
              <v:fill type="solid"/>
            </v:shape>
            <v:shape style="position:absolute;left:9290;top:5261;width:300;height:280" type="#_x0000_t202" filled="false" stroked="false">
              <v:textbox inset="0,0,0,0">
                <w:txbxContent>
                  <w:p>
                    <w:pPr>
                      <w:spacing w:line="280" w:lineRule="exact" w:before="0"/>
                      <w:ind w:left="0" w:right="0" w:firstLine="0"/>
                      <w:jc w:val="left"/>
                      <w:rPr>
                        <w:rFonts w:ascii="標楷體" w:eastAsia="標楷體" w:hint="eastAsia"/>
                        <w:sz w:val="28"/>
                      </w:rPr>
                    </w:pPr>
                    <w:r>
                      <w:rPr>
                        <w:rFonts w:ascii="標楷體" w:eastAsia="標楷體" w:hint="eastAsia"/>
                        <w:w w:val="99"/>
                        <w:sz w:val="28"/>
                      </w:rPr>
                      <w:t>受</w:t>
                    </w:r>
                  </w:p>
                </w:txbxContent>
              </v:textbox>
              <w10:wrap type="none"/>
            </v:shape>
            <v:shape style="position:absolute;left:10270;top:5261;width:300;height:280" type="#_x0000_t202" filled="false" stroked="false">
              <v:textbox inset="0,0,0,0">
                <w:txbxContent>
                  <w:p>
                    <w:pPr>
                      <w:spacing w:line="280" w:lineRule="exact" w:before="0"/>
                      <w:ind w:left="0" w:right="0" w:firstLine="0"/>
                      <w:jc w:val="left"/>
                      <w:rPr>
                        <w:rFonts w:ascii="標楷體" w:eastAsia="標楷體" w:hint="eastAsia"/>
                        <w:sz w:val="28"/>
                      </w:rPr>
                    </w:pPr>
                    <w:r>
                      <w:rPr>
                        <w:rFonts w:ascii="標楷體" w:eastAsia="標楷體" w:hint="eastAsia"/>
                        <w:w w:val="99"/>
                        <w:sz w:val="28"/>
                      </w:rPr>
                      <w:t>理</w:t>
                    </w:r>
                  </w:p>
                </w:txbxContent>
              </v:textbox>
              <w10:wrap type="none"/>
            </v:shape>
            <w10:wrap type="none"/>
          </v:group>
        </w:pict>
      </w:r>
      <w:r>
        <w:rPr/>
        <w:pict>
          <v:group style="position:absolute;margin-left:331.490997pt;margin-top:439.019989pt;width:227.85pt;height:129.9pt;mso-position-horizontal-relative:page;mso-position-vertical-relative:page;z-index:15737856" coordorigin="6630,8780" coordsize="4557,2598">
            <v:rect style="position:absolute;left:6659;top:10440;width:2568;height:910" filled="true" fillcolor="#ffffff" stroked="false">
              <v:fill type="solid"/>
            </v:rect>
            <v:shape style="position:absolute;left:7779;top:9691;width:120;height:728" coordorigin="7779,9691" coordsize="120,728" path="m7848,10411l7848,10306,7845,10301,7839,10298,7835,10301,7832,10306,7832,10411,7835,10416,7839,10418,7845,10416,7848,10411xm7848,10246l7845,10241,7839,10238,7835,10241,7832,10246,7835,10252,7839,10254,7845,10252,7848,10246xm7848,10186l7845,10181,7839,10178,7835,10181,7832,10186,7835,10192,7839,10194,7845,10192,7848,10186xm7848,10126l7848,10021,7845,10015,7839,10014,7835,10015,7832,10021,7832,10126,7835,10132,7839,10134,7845,10132,7848,10126xm7848,9961l7845,9955,7839,9954,7835,9955,7832,9961,7835,9966,7839,9968,7845,9966,7848,9961xm7848,9901l7845,9895,7839,9894,7835,9895,7832,9901,7835,9906,7839,9908,7845,9906,7848,9901xm7899,9811l7839,9691,7779,9811,7832,9811,7832,9791,7835,9786,7839,9784,7845,9786,7848,9791,7848,9811,7899,9811xm7848,9811l7848,9791,7845,9786,7839,9784,7835,9786,7832,9791,7832,9811,7848,9811xm7848,9841l7848,9811,7832,9811,7832,9841,7835,9846,7839,9848,7845,9846,7848,9841xe" filled="true" fillcolor="#000000" stroked="false">
              <v:path arrowok="t"/>
              <v:fill type="solid"/>
            </v:shape>
            <v:shape style="position:absolute;left:6659;top:10440;width:2568;height:909" type="#_x0000_t202" filled="false" stroked="true" strokeweight="3pt" strokecolor="#000000">
              <v:textbox inset="0,0,0,0">
                <w:txbxContent>
                  <w:p>
                    <w:pPr>
                      <w:spacing w:line="256" w:lineRule="auto" w:before="84"/>
                      <w:ind w:left="143" w:right="202" w:firstLine="0"/>
                      <w:jc w:val="left"/>
                      <w:rPr>
                        <w:rFonts w:ascii="標楷體" w:eastAsia="標楷體" w:hint="eastAsia"/>
                        <w:sz w:val="24"/>
                      </w:rPr>
                    </w:pPr>
                    <w:r>
                      <w:rPr>
                        <w:rFonts w:ascii="標楷體" w:eastAsia="標楷體" w:hint="eastAsia"/>
                        <w:spacing w:val="-1"/>
                        <w:sz w:val="24"/>
                      </w:rPr>
                      <w:t>陳述意見、言詞辯論</w:t>
                    </w:r>
                    <w:r>
                      <w:rPr>
                        <w:rFonts w:ascii="標楷體" w:eastAsia="標楷體" w:hint="eastAsia"/>
                        <w:sz w:val="24"/>
                      </w:rPr>
                      <w:t>或派員查證</w:t>
                    </w:r>
                  </w:p>
                </w:txbxContent>
              </v:textbox>
              <v:stroke dashstyle="solid"/>
              <w10:wrap type="none"/>
            </v:shape>
            <v:shape style="position:absolute;left:9176;top:8846;width:1980;height:900" type="#_x0000_t202" filled="false" stroked="true" strokeweight="3pt" strokecolor="#000000">
              <v:textbox inset="0,0,0,0">
                <w:txbxContent>
                  <w:p>
                    <w:pPr>
                      <w:spacing w:line="256" w:lineRule="auto" w:before="84"/>
                      <w:ind w:left="143" w:right="334" w:firstLine="0"/>
                      <w:jc w:val="left"/>
                      <w:rPr>
                        <w:rFonts w:ascii="標楷體" w:eastAsia="標楷體" w:hint="eastAsia"/>
                        <w:sz w:val="24"/>
                      </w:rPr>
                    </w:pPr>
                    <w:r>
                      <w:rPr>
                        <w:rFonts w:ascii="標楷體" w:eastAsia="標楷體" w:hint="eastAsia"/>
                        <w:spacing w:val="-1"/>
                        <w:sz w:val="24"/>
                      </w:rPr>
                      <w:t>決定書及執行情形刊登公報</w:t>
                    </w:r>
                  </w:p>
                </w:txbxContent>
              </v:textbox>
              <v:stroke dashstyle="solid"/>
              <w10:wrap type="none"/>
            </v:shape>
            <v:shape style="position:absolute;left:6951;top:8810;width:1620;height:900" type="#_x0000_t202" filled="false" stroked="true" strokeweight="3.0pt" strokecolor="#000000">
              <v:textbox inset="0,0,0,0">
                <w:txbxContent>
                  <w:p>
                    <w:pPr>
                      <w:spacing w:line="223" w:lineRule="auto" w:before="78"/>
                      <w:ind w:left="143" w:right="294" w:firstLine="0"/>
                      <w:jc w:val="left"/>
                      <w:rPr>
                        <w:rFonts w:ascii="標楷體" w:eastAsia="標楷體" w:hint="eastAsia"/>
                        <w:sz w:val="28"/>
                      </w:rPr>
                    </w:pPr>
                    <w:r>
                      <w:rPr>
                        <w:rFonts w:ascii="標楷體" w:eastAsia="標楷體" w:hint="eastAsia"/>
                        <w:spacing w:val="-1"/>
                        <w:sz w:val="28"/>
                      </w:rPr>
                      <w:t>委員會議審議決定</w:t>
                    </w:r>
                  </w:p>
                </w:txbxContent>
              </v:textbox>
              <v:stroke dashstyle="solid"/>
              <w10:wrap type="none"/>
            </v:shape>
            <w10:wrap type="none"/>
          </v:group>
        </w:pict>
      </w:r>
      <w:r>
        <w:rPr/>
        <w:pict>
          <v:group style="position:absolute;margin-left:196.490997pt;margin-top:322.5pt;width:147pt;height:164.8pt;mso-position-horizontal-relative:page;mso-position-vertical-relative:page;z-index:15738368" coordorigin="3930,6450" coordsize="2940,3296">
            <v:rect style="position:absolute;left:3959;top:7020;width:981;height:540" filled="false" stroked="true" strokeweight="3pt" strokecolor="#000000">
              <v:stroke dashstyle="solid"/>
            </v:rect>
            <v:line style="position:absolute" from="4956,7302" to="5316,7302" stroked="true" strokeweight=".75pt" strokecolor="#000000">
              <v:stroke dashstyle="solid"/>
            </v:line>
            <v:line style="position:absolute" from="5312,6758" to="5312,7838" stroked="true" strokeweight=".75pt" strokecolor="#000000">
              <v:stroke dashstyle="solid"/>
            </v:line>
            <v:shape style="position:absolute;left:5300;top:6710;width:368;height:120" type="#_x0000_t75" stroked="false">
              <v:imagedata r:id="rId17" o:title=""/>
            </v:shape>
            <v:shape style="position:absolute;left:5339;top:7785;width:369;height:120" type="#_x0000_t75" stroked="false">
              <v:imagedata r:id="rId18" o:title=""/>
            </v:shape>
            <v:shape style="position:absolute;left:4627;top:7509;width:120;height:1682" coordorigin="4627,7510" coordsize="120,1682" path="m4688,9078l4686,9073,4680,9071,4675,9073,4673,9078,4673,9182,4675,9188,4680,9191,4685,9188,4687,9184,4688,9078xm4688,9018l4686,9013,4681,9011,4675,9013,4673,9018,4675,9023,4681,9025,4686,9023,4688,9018xm4688,8958l4686,8953,4681,8951,4675,8953,4674,8958,4675,8963,4681,8965,4686,8963,4688,8958xm4689,8794l4687,8788,4682,8785,4676,8788,4674,8792,4674,8898,4676,8903,4681,8905,4687,8903,4688,8898,4689,8794xm4689,8732l4687,8728,4682,8725,4676,8728,4675,8732,4676,8738,4682,8741,4687,8738,4689,8732xm4689,8672l4687,8668,4682,8665,4677,8668,4675,8672,4677,8678,4682,8681,4687,8678,4689,8672xm4691,8612l4691,8508,4688,8503,4683,8501,4677,8502,4675,8508,4675,8612,4677,8618,4682,8621,4688,8618,4691,8612xm4691,8448l4688,8442,4683,8441,4677,8442,4676,8448,4677,8453,4683,8455,4688,8453,4691,8448xm4691,8388l4689,8382,4683,8381,4679,8382,4676,8388,4679,8393,4683,8395,4689,8393,4691,8388xm4692,8328l4692,8222,4689,8218,4685,8215,4679,8218,4677,8222,4676,8328,4679,8333,4683,8335,4689,8333,4692,8328xm4692,8162l4691,8158,4685,8155,4680,8158,4677,8162,4680,8168,4685,8171,4691,8168,4692,8162xm4693,8102l4691,8098,4685,8095,4680,8098,4677,8102,4680,8108,4685,8111,4691,8108,4693,8102xm4693,8042l4693,7938,4691,7932,4686,7931,4681,7932,4679,7938,4677,8042,4680,8048,4686,8051,4691,8048,4693,8042xm4693,7878l4692,7872,4686,7871,4681,7872,4679,7878,4681,7883,4686,7885,4692,7883,4693,7878xm4694,7818l4692,7812,4686,7811,4681,7812,4679,7818,4681,7823,4686,7825,4692,7823,4694,7818xm4694,7758l4694,7652,4693,7648,4687,7645,4682,7648,4680,7652,4679,7758,4681,7763,4687,7765,4692,7763,4694,7758xm4747,7631l4688,7510,4627,7630,4747,7631xe" filled="true" fillcolor="#000000" stroked="false">
              <v:path arrowok="t"/>
              <v:fill type="solid"/>
            </v:shape>
            <v:shape style="position:absolute;left:3959;top:7020;width:981;height:540" type="#_x0000_t202" filled="false" stroked="true" strokeweight="3pt" strokecolor="#000000">
              <v:textbox inset="0,0,0,0">
                <w:txbxContent>
                  <w:p>
                    <w:pPr>
                      <w:spacing w:before="84"/>
                      <w:ind w:left="143" w:right="0" w:firstLine="0"/>
                      <w:jc w:val="left"/>
                      <w:rPr>
                        <w:rFonts w:ascii="標楷體" w:eastAsia="標楷體" w:hint="eastAsia"/>
                        <w:sz w:val="24"/>
                      </w:rPr>
                    </w:pPr>
                    <w:r>
                      <w:rPr>
                        <w:rFonts w:ascii="標楷體" w:eastAsia="標楷體" w:hint="eastAsia"/>
                        <w:sz w:val="24"/>
                      </w:rPr>
                      <w:t>調處</w:t>
                    </w:r>
                  </w:p>
                </w:txbxContent>
              </v:textbox>
              <v:stroke dashstyle="solid"/>
              <w10:wrap type="none"/>
            </v:shape>
            <v:shape style="position:absolute;left:4355;top:9175;width:1800;height:540" type="#_x0000_t202" filled="false" stroked="true" strokeweight="3.0pt" strokecolor="#000000">
              <v:textbox inset="0,0,0,0">
                <w:txbxContent>
                  <w:p>
                    <w:pPr>
                      <w:spacing w:before="58"/>
                      <w:ind w:left="143" w:right="0" w:firstLine="0"/>
                      <w:jc w:val="left"/>
                      <w:rPr>
                        <w:rFonts w:ascii="標楷體" w:eastAsia="標楷體" w:hint="eastAsia"/>
                        <w:sz w:val="28"/>
                      </w:rPr>
                    </w:pPr>
                    <w:r>
                      <w:rPr>
                        <w:rFonts w:ascii="標楷體" w:eastAsia="標楷體" w:hint="eastAsia"/>
                        <w:w w:val="95"/>
                        <w:sz w:val="28"/>
                      </w:rPr>
                      <w:t>審查會審查</w:t>
                    </w:r>
                  </w:p>
                </w:txbxContent>
              </v:textbox>
              <v:stroke dashstyle="solid"/>
              <w10:wrap type="none"/>
            </v:shape>
            <v:shape style="position:absolute;left:5759;top:7560;width:1080;height:540" type="#_x0000_t202" filled="false" stroked="true" strokeweight="3pt" strokecolor="#000000">
              <v:textbox inset="0,0,0,0">
                <w:txbxContent>
                  <w:p>
                    <w:pPr>
                      <w:spacing w:before="84"/>
                      <w:ind w:left="143" w:right="0" w:firstLine="0"/>
                      <w:jc w:val="left"/>
                      <w:rPr>
                        <w:rFonts w:ascii="標楷體" w:eastAsia="標楷體" w:hint="eastAsia"/>
                        <w:sz w:val="24"/>
                      </w:rPr>
                    </w:pPr>
                    <w:r>
                      <w:rPr>
                        <w:rFonts w:ascii="標楷體" w:eastAsia="標楷體" w:hint="eastAsia"/>
                        <w:sz w:val="24"/>
                      </w:rPr>
                      <w:t>不成立</w:t>
                    </w:r>
                  </w:p>
                </w:txbxContent>
              </v:textbox>
              <v:stroke dashstyle="solid"/>
              <w10:wrap type="none"/>
            </v:shape>
            <v:shape style="position:absolute;left:5759;top:6480;width:1080;height:540" type="#_x0000_t202" filled="false" stroked="true" strokeweight="3pt" strokecolor="#000000">
              <v:textbox inset="0,0,0,0">
                <w:txbxContent>
                  <w:p>
                    <w:pPr>
                      <w:spacing w:before="84"/>
                      <w:ind w:left="143" w:right="0" w:firstLine="0"/>
                      <w:jc w:val="left"/>
                      <w:rPr>
                        <w:rFonts w:ascii="標楷體" w:eastAsia="標楷體" w:hint="eastAsia"/>
                        <w:sz w:val="24"/>
                      </w:rPr>
                    </w:pPr>
                    <w:r>
                      <w:rPr>
                        <w:rFonts w:ascii="標楷體" w:eastAsia="標楷體" w:hint="eastAsia"/>
                        <w:sz w:val="24"/>
                      </w:rPr>
                      <w:t>成立</w:t>
                    </w:r>
                  </w:p>
                </w:txbxContent>
              </v:textbox>
              <v:stroke dashstyle="solid"/>
              <w10:wrap type="none"/>
            </v:shape>
            <w10:wrap type="none"/>
          </v:group>
        </w:pict>
      </w:r>
      <w:r>
        <w:rPr/>
        <w:pict>
          <v:shape style="position:absolute;margin-left:131.990997pt;margin-top:305.640015pt;width:6pt;height:135.4pt;mso-position-horizontal-relative:page;mso-position-vertical-relative:page;z-index:15738880" coordorigin="2640,6113" coordsize="120,2708" path="m2760,8700l2640,8700,2693,8806,2693,8720,2695,8725,2700,8728,2705,8725,2707,8720,2707,8806,2760,8700xm2707,8700l2707,6120,2705,6115,2700,6113,2695,6115,2693,6120,2693,8700,2707,8700xm2707,8806l2707,8720,2705,8725,2700,8728,2695,8725,2693,8720,2693,8806,2700,8820,2707,8806xe" filled="true" fillcolor="#000000" stroked="false">
            <v:path arrowok="t"/>
            <v:fill type="solid"/>
            <w10:wrap type="none"/>
          </v:shape>
        </w:pict>
      </w:r>
      <w:r>
        <w:rPr/>
        <w:pict>
          <v:shape style="position:absolute;margin-left:188.630997pt;margin-top:465pt;width:27.4pt;height:6pt;mso-position-horizontal-relative:page;mso-position-vertical-relative:page;z-index:15739392" coordorigin="3773,9300" coordsize="548,120" path="m4227,9360l4225,9355,4220,9353,3780,9353,3775,9355,3773,9360,3775,9365,3780,9367,4220,9367,4225,9365,4227,9360xm4320,9360l4200,9300,4200,9353,4220,9353,4225,9355,4227,9360,4227,9406,4320,9360xm4227,9406l4227,9360,4225,9365,4220,9367,4200,9367,4200,9420,4227,9406xe" filled="true" fillcolor="#000000" stroked="false">
            <v:path arrowok="t"/>
            <v:fill type="solid"/>
            <w10:wrap type="none"/>
          </v:shape>
        </w:pict>
      </w:r>
      <w:r>
        <w:rPr/>
        <w:pict>
          <v:shape style="position:absolute;margin-left:310.431pt;margin-top:464.339996pt;width:36.4pt;height:6pt;mso-position-horizontal-relative:page;mso-position-vertical-relative:page;z-index:15739904" coordorigin="6209,9287" coordsize="728,120" path="m6843,9347l6841,9342,6836,9340,6216,9340,6211,9342,6209,9347,6211,9353,6216,9354,6836,9354,6841,9353,6843,9347xm6936,9347l6816,9287,6816,9340,6836,9340,6841,9342,6843,9347,6843,9393,6936,9347xm6843,9393l6843,9347,6841,9353,6836,9354,6816,9354,6816,9407,6843,9393xe" filled="true" fillcolor="#000000" stroked="false">
            <v:path arrowok="t"/>
            <v:fill type="solid"/>
            <w10:wrap type="none"/>
          </v:shape>
        </w:pict>
      </w:r>
      <w:r>
        <w:rPr/>
        <w:pict>
          <v:shape style="position:absolute;margin-left:429.830994pt;margin-top:465.119995pt;width:27.4pt;height:6pt;mso-position-horizontal-relative:page;mso-position-vertical-relative:page;z-index:15740416" coordorigin="8597,9302" coordsize="548,120" path="m9051,9362l9049,9358,9044,9355,8604,9355,8599,9358,8597,9362,8599,9368,8604,9371,9044,9371,9049,9368,9051,9362xm9144,9362l9024,9302,9024,9355,9044,9355,9049,9358,9051,9362,9051,9409,9144,9362xm9051,9409l9051,9362,9049,9368,9044,9371,9024,9371,9024,9422,9051,9409xe" filled="true" fillcolor="#000000" stroked="false">
            <v:path arrowok="t"/>
            <v:fill type="solid"/>
            <w10:wrap type="none"/>
          </v:shape>
        </w:pict>
      </w:r>
      <w:r>
        <w:rPr/>
        <w:pict>
          <v:shape style="position:absolute;margin-left:557.630005pt;margin-top:465pt;width:45.4pt;height:6pt;mso-position-horizontal-relative:page;mso-position-vertical-relative:page;z-index:15740928" coordorigin="11153,9300" coordsize="908,120" path="m11967,9360l11965,9355,11960,9353,11160,9353,11155,9355,11153,9360,11155,9365,11160,9367,11960,9367,11965,9365,11967,9360xm12060,9360l11940,9300,11940,9353,11960,9353,11965,9355,11967,9360,11967,9406,12060,9360xm11967,9406l11967,9360,11965,9365,11960,9367,11940,9367,11940,9420,11967,9406xe" filled="true" fillcolor="#000000" stroked="false">
            <v:path arrowok="t"/>
            <v:fill type="solid"/>
            <w10:wrap type="none"/>
          </v:shape>
        </w:pict>
      </w:r>
      <w:r>
        <w:rPr/>
        <w:pict>
          <v:shape style="position:absolute;margin-left:257.990997pt;margin-top:486pt;width:6pt;height:36.4pt;mso-position-horizontal-relative:page;mso-position-vertical-relative:page;z-index:15741440" coordorigin="5160,9720" coordsize="120,728" path="m5227,10440l5227,10334,5225,10330,5220,10327,5215,10330,5213,10334,5213,10440,5215,10445,5220,10447,5225,10445,5227,10440xm5227,10275l5224,10268,5215,10270,5213,10274,5215,10280,5224,10282,5227,10275xm5227,10215l5224,10208,5215,10210,5213,10214,5215,10220,5224,10222,5227,10215xm5227,10154l5227,10050,5225,10045,5220,10043,5215,10045,5213,10050,5213,10154,5215,10160,5220,10163,5225,10160,5227,10154xm5226,9990l5224,9984,5215,9985,5213,9990,5215,9995,5224,9996,5226,9990xm5227,9930l5225,9924,5220,9923,5215,9924,5213,9930,5215,9935,5220,9937,5225,9935,5227,9930xm5280,9840l5220,9720,5160,9840,5213,9840,5213,9820,5215,9815,5220,9812,5225,9815,5227,9820,5227,9840,5280,9840xm5227,9840l5227,9820,5225,9815,5220,9812,5215,9815,5213,9820,5213,9840,5227,9840xm5227,9870l5227,9840,5213,9840,5213,9870,5215,9875,5220,9877,5225,9875,5227,9870xe" filled="true" fillcolor="#000000" stroked="false">
            <v:path arrowok="t"/>
            <v:fill type="solid"/>
            <w10:wrap type="none"/>
          </v:shape>
        </w:pict>
      </w:r>
      <w:r>
        <w:rPr/>
        <w:pict>
          <v:shape style="position:absolute;margin-left:293.990997pt;margin-top:404.640015pt;width:6pt;height:54.4pt;mso-position-horizontal-relative:page;mso-position-vertical-relative:page;z-index:15741952" coordorigin="5880,8093" coordsize="120,1088" path="m5947,8204l5947,8100,5945,8095,5940,8093,5935,8095,5933,8100,5933,8204,5935,8210,5940,8213,5945,8210,5947,8204xm5947,8266l5947,8264,5945,8260,5940,8257,5935,8260,5933,8264,5933,8266,5935,8270,5940,8273,5945,8270,5947,8266xm5947,8326l5945,8320,5936,8318,5933,8325,5936,8332,5945,8330,5947,8326xm5947,8490l5947,8386,5945,8380,5940,8377,5935,8380,5933,8386,5933,8490,5935,8495,5940,8497,5945,8495,5947,8490xm5947,8550l5945,8545,5936,8544,5933,8550,5936,8556,5945,8555,5947,8550xm5947,8610l5945,8605,5936,8604,5933,8610,5936,8616,5945,8615,5947,8610xm5947,8776l5947,8670,5945,8665,5940,8663,5935,8665,5933,8670,5933,8776,5935,8780,5940,8783,5945,8780,5947,8776xm5947,8836l5945,8830,5936,8828,5933,8835,5936,8842,5945,8840,5947,8836xm5947,8896l5945,8890,5936,8888,5933,8895,5936,8902,5945,8900,5947,8896xm6000,9060l5947,9060,5945,9066,5940,9067,5935,9066,5933,9060,5880,9060,5940,9180,6000,9060xm5947,9060l5947,8956,5945,8950,5940,8947,5935,8950,5933,8956,5933,9060,5947,9060xm5947,9060l5933,9060,5935,9066,5940,9067,5945,9066,5947,9060xe" filled="true" fillcolor="#000000" stroked="false">
            <v:path arrowok="t"/>
            <v:fill type="solid"/>
            <w10:wrap type="none"/>
          </v:shape>
        </w:pict>
      </w:r>
      <w:r>
        <w:rPr/>
        <w:pict>
          <v:group style="position:absolute;margin-left:389.270996pt;margin-top:322.019989pt;width:297.25pt;height:157.35pt;mso-position-horizontal-relative:page;mso-position-vertical-relative:page;z-index:15742464" coordorigin="7785,6440" coordsize="5945,3147">
            <v:line style="position:absolute" from="9360,6660" to="12780,6660" stroked="true" strokeweight=".75pt" strokecolor="#000000">
              <v:stroke dashstyle="solid"/>
            </v:line>
            <v:shape style="position:absolute;left:12719;top:6652;width:120;height:2348" coordorigin="12720,6653" coordsize="120,2348" path="m12840,8880l12720,8880,12773,8986,12773,8900,12775,8905,12780,8908,12785,8905,12787,8900,12787,8986,12840,8880xm12787,8880l12787,6660,12785,6655,12780,6653,12775,6655,12773,6660,12773,8880,12787,8880xm12787,8986l12787,8900,12785,8905,12780,8908,12775,8905,12773,8900,12773,8986,12780,9000,12787,8986xe" filled="true" fillcolor="#000000" stroked="false">
              <v:path arrowok="t"/>
              <v:fill type="solid"/>
            </v:shape>
            <v:shape style="position:absolute;left:7815;top:6470;width:1577;height:540" type="#_x0000_t202" filled="false" stroked="true" strokeweight="3pt" strokecolor="#000000">
              <v:textbox inset="0,0,0,0">
                <w:txbxContent>
                  <w:p>
                    <w:pPr>
                      <w:spacing w:before="59"/>
                      <w:ind w:left="143" w:right="0" w:firstLine="0"/>
                      <w:jc w:val="left"/>
                      <w:rPr>
                        <w:rFonts w:ascii="標楷體" w:eastAsia="標楷體" w:hint="eastAsia"/>
                        <w:sz w:val="24"/>
                      </w:rPr>
                    </w:pPr>
                    <w:r>
                      <w:rPr>
                        <w:rFonts w:ascii="標楷體" w:eastAsia="標楷體" w:hint="eastAsia"/>
                        <w:sz w:val="24"/>
                      </w:rPr>
                      <w:t>製作調處書</w:t>
                    </w:r>
                  </w:p>
                </w:txbxContent>
              </v:textbox>
              <v:stroke dashstyle="solid"/>
              <w10:wrap type="none"/>
            </v:shape>
            <v:shape style="position:absolute;left:12080;top:9016;width:1620;height:540" type="#_x0000_t202" filled="false" stroked="true" strokeweight="3pt" strokecolor="#000000">
              <v:textbox inset="0,0,0,0">
                <w:txbxContent>
                  <w:p>
                    <w:pPr>
                      <w:spacing w:before="58"/>
                      <w:ind w:left="144" w:right="0" w:firstLine="0"/>
                      <w:jc w:val="left"/>
                      <w:rPr>
                        <w:rFonts w:ascii="標楷體" w:eastAsia="標楷體" w:hint="eastAsia"/>
                        <w:sz w:val="28"/>
                      </w:rPr>
                    </w:pPr>
                    <w:r>
                      <w:rPr>
                        <w:rFonts w:ascii="標楷體" w:eastAsia="標楷體" w:hint="eastAsia"/>
                        <w:w w:val="95"/>
                        <w:sz w:val="28"/>
                      </w:rPr>
                      <w:t>追蹤列管</w:t>
                    </w:r>
                  </w:p>
                </w:txbxContent>
              </v:textbox>
              <v:stroke dashstyle="solid"/>
              <w10:wrap type="none"/>
            </v:shape>
            <w10:wrap type="none"/>
          </v:group>
        </w:pict>
      </w:r>
    </w:p>
    <w:p>
      <w:pPr>
        <w:pStyle w:val="BodyText"/>
        <w:rPr>
          <w:sz w:val="20"/>
        </w:rPr>
      </w:pPr>
    </w:p>
    <w:p>
      <w:pPr>
        <w:tabs>
          <w:tab w:pos="1552" w:val="left" w:leader="none"/>
        </w:tabs>
        <w:spacing w:before="217"/>
        <w:ind w:left="119" w:right="0" w:firstLine="0"/>
        <w:jc w:val="left"/>
        <w:rPr>
          <w:sz w:val="20"/>
        </w:rPr>
      </w:pPr>
      <w:r>
        <w:rPr/>
        <w:pict>
          <v:group style="position:absolute;margin-left:88.490997pt;margin-top:14.410003pt;width:625.65pt;height:175.25pt;mso-position-horizontal-relative:page;mso-position-vertical-relative:paragraph;z-index:-16992768" coordorigin="1770,288" coordsize="12513,3505">
            <v:shape style="position:absolute;left:1799;top:1755;width:2613;height:1980" coordorigin="1800,1756" coordsize="2613,1980" path="m1800,1936l1800,3556,2882,3556,2882,1936,1800,1936xm3420,1756l3420,3736,4412,3736,4412,1756,3420,1756xe" filled="false" stroked="true" strokeweight="3pt" strokecolor="#000000">
              <v:path arrowok="t"/>
              <v:stroke dashstyle="solid"/>
            </v:shape>
            <v:shape style="position:absolute;left:2872;top:2598;width:503;height:120" coordorigin="2873,2598" coordsize="503,120" path="m3256,2651l2880,2649,2875,2651,2873,2656,2875,2661,2880,2663,3256,2665,3256,2651xm3283,2704l3283,2658,3281,2663,3276,2665,3256,2665,3255,2718,3283,2704xm3283,2658l3281,2653,3276,2651,3256,2651,3256,2665,3276,2665,3281,2663,3283,2658xm3375,2658l3257,2598,3256,2651,3276,2651,3281,2653,3283,2658,3283,2704,3375,2658xe" filled="true" fillcolor="#000000" stroked="false">
              <v:path arrowok="t"/>
              <v:fill type="solid"/>
            </v:shape>
            <v:rect style="position:absolute;left:5039;top:1755;width:720;height:1800" filled="false" stroked="true" strokeweight="3pt" strokecolor="#000000">
              <v:stroke dashstyle="solid"/>
            </v:rect>
            <v:shape style="position:absolute;left:4312;top:2598;width:728;height:120" coordorigin="4313,2598" coordsize="728,120" path="m4947,2658l4945,2653,4940,2651,4320,2649,4315,2651,4313,2656,4315,2661,4320,2663,4940,2665,4945,2664,4947,2658xm5040,2658l4920,2598,4920,2651,4940,2651,4945,2653,4947,2658,4947,2704,5040,2658xm4947,2704l4947,2658,4945,2664,4940,2665,4920,2665,4920,2718,4947,2704xe" filled="true" fillcolor="#000000" stroked="false">
              <v:path arrowok="t"/>
              <v:fill type="solid"/>
            </v:shape>
            <v:rect style="position:absolute;left:6479;top:1755;width:940;height:1620" filled="false" stroked="true" strokeweight="3pt" strokecolor="#000000">
              <v:stroke dashstyle="solid"/>
            </v:rect>
            <v:shape style="position:absolute;left:5752;top:2598;width:743;height:120" coordorigin="5753,2598" coordsize="743,120" path="m6376,2651l5760,2649,5755,2651,5753,2656,5755,2661,5760,2663,6376,2665,6376,2651xm6403,2704l6403,2658,6401,2664,6396,2665,6376,2665,6375,2718,6403,2704xm6403,2658l6401,2653,6396,2651,6376,2651,6376,2665,6396,2665,6401,2664,6403,2658xm6495,2658l6377,2598,6376,2651,6396,2651,6401,2653,6403,2658,6403,2704,6495,2658xe" filled="true" fillcolor="#000000" stroked="false">
              <v:path arrowok="t"/>
              <v:fill type="solid"/>
            </v:shape>
            <v:rect style="position:absolute;left:9068;top:1291;width:1800;height:540" filled="false" stroked="true" strokeweight="3pt" strokecolor="#000000">
              <v:stroke dashstyle="solid"/>
            </v:rect>
            <v:line style="position:absolute" from="8232,1549" to="8240,3785" stroked="true" strokeweight=".75pt" strokecolor="#000000">
              <v:stroke dashstyle="solid"/>
            </v:line>
            <v:shape style="position:absolute;left:8243;top:1490;width:801;height:1250" coordorigin="8244,1491" coordsize="801,1250" path="m9008,1549l8887,1491,8888,1544,8264,1547,8258,1549,8256,1555,8258,1560,8264,1563,8888,1558,8888,1611,8916,1597,9008,1549xm9044,2681l8924,2620,8924,2673,8252,2670,8246,2673,8244,2677,8246,2683,8252,2686,8924,2688,8923,2740,8952,2726,9044,2681xe" filled="true" fillcolor="#000000" stroked="false">
              <v:path arrowok="t"/>
              <v:fill type="solid"/>
            </v:shape>
            <v:line style="position:absolute" from="10899,2569" to="13959,2569" stroked="true" strokeweight=".75pt" strokecolor="#000000">
              <v:stroke dashstyle="solid"/>
            </v:line>
            <v:shape style="position:absolute;left:11960;top:2589;width:2060;height:729" coordorigin="11960,2590" coordsize="2060,729" path="m12027,3109l12025,3103,12020,3101,12014,3103,12012,3109,12014,3114,12020,3117,12025,3114,12027,3109xm12027,3049l12025,3043,12020,3041,12014,3043,12012,3049,12014,3054,12020,3057,12025,3054,12027,3049xm12027,2884l12025,2879,12020,2877,12014,2879,12012,2884,12012,2989,12014,2994,12020,2997,12025,2994,12027,2989,12027,2884xm12027,2824l12025,2819,12020,2817,12014,2819,12012,2824,12014,2829,12020,2831,12025,2829,12027,2824xm12027,2764l12025,2759,12020,2757,12014,2759,12012,2764,12014,2769,12020,2771,12025,2769,12027,2764xm12027,2598l12025,2593,12020,2591,12014,2593,12012,2598,12012,2704,12014,2709,12020,2711,12025,2709,12027,2704,12027,2598xm12080,3198l12027,3198,12027,3169,12025,3163,12020,3161,12014,3163,12012,3169,12012,3198,11960,3198,12012,3301,12020,3318,12027,3304,12080,3198xm14019,3198l13968,3198,13968,2598,13965,2592,13959,2590,13955,2592,13952,2598,13952,3198,13899,3198,13952,3304,13959,3318,13968,3301,14019,3198xe" filled="true" fillcolor="#000000" stroked="false">
              <v:path arrowok="t"/>
              <v:fill type="solid"/>
            </v:shape>
            <v:line style="position:absolute" from="7380,2656" to="8208,2658" stroked="true" strokeweight=".75pt" strokecolor="#000000">
              <v:stroke dashstyle="solid"/>
            </v:line>
            <v:line style="position:absolute" from="10800,1576" to="11160,1576" stroked="true" strokeweight=".75pt" strokecolor="#000000">
              <v:stroke dashstyle="solid"/>
            </v:line>
            <v:line style="position:absolute" from="11160,676" to="11160,1936" stroked="true" strokeweight=".75pt" strokecolor="#000000">
              <v:stroke dashstyle="solid"/>
            </v:line>
            <v:shape style="position:absolute;left:11152;top:1875;width:368;height:120" type="#_x0000_t75" stroked="false">
              <v:imagedata r:id="rId19" o:title=""/>
            </v:shape>
            <v:shape style="position:absolute;left:11152;top:615;width:368;height:120" type="#_x0000_t75" stroked="false">
              <v:imagedata r:id="rId19" o:title=""/>
            </v:shape>
            <v:shape style="position:absolute;left:1973;top:2080;width:582;height:1373" type="#_x0000_t202" filled="false" stroked="false">
              <v:textbox inset="0,0,0,0">
                <w:txbxContent>
                  <w:p>
                    <w:pPr>
                      <w:spacing w:line="322" w:lineRule="exact" w:before="0"/>
                      <w:ind w:left="0" w:right="0" w:firstLine="0"/>
                      <w:jc w:val="left"/>
                      <w:rPr>
                        <w:rFonts w:ascii="標楷體" w:eastAsia="標楷體" w:hint="eastAsia"/>
                        <w:sz w:val="28"/>
                      </w:rPr>
                    </w:pPr>
                    <w:r>
                      <w:rPr>
                        <w:rFonts w:ascii="標楷體" w:eastAsia="標楷體" w:hint="eastAsia"/>
                        <w:w w:val="95"/>
                        <w:sz w:val="28"/>
                      </w:rPr>
                      <w:t>服管</w:t>
                    </w:r>
                  </w:p>
                  <w:p>
                    <w:pPr>
                      <w:spacing w:line="223" w:lineRule="auto" w:before="6"/>
                      <w:ind w:left="0" w:right="18" w:firstLine="0"/>
                      <w:jc w:val="left"/>
                      <w:rPr>
                        <w:rFonts w:ascii="標楷體" w:eastAsia="標楷體" w:hint="eastAsia"/>
                        <w:sz w:val="28"/>
                      </w:rPr>
                    </w:pPr>
                    <w:r>
                      <w:rPr>
                        <w:rFonts w:ascii="標楷體" w:eastAsia="標楷體" w:hint="eastAsia"/>
                        <w:spacing w:val="-2"/>
                        <w:sz w:val="28"/>
                      </w:rPr>
                      <w:t>務理</w:t>
                    </w:r>
                    <w:r>
                      <w:rPr>
                        <w:rFonts w:ascii="標楷體" w:eastAsia="標楷體" w:hint="eastAsia"/>
                        <w:w w:val="95"/>
                        <w:sz w:val="28"/>
                      </w:rPr>
                      <w:t>機措</w:t>
                    </w:r>
                  </w:p>
                  <w:p>
                    <w:pPr>
                      <w:spacing w:line="316" w:lineRule="exact" w:before="0"/>
                      <w:ind w:left="0" w:right="0" w:firstLine="0"/>
                      <w:jc w:val="left"/>
                      <w:rPr>
                        <w:rFonts w:ascii="標楷體" w:eastAsia="標楷體" w:hint="eastAsia"/>
                        <w:sz w:val="28"/>
                      </w:rPr>
                    </w:pPr>
                    <w:r>
                      <w:rPr>
                        <w:rFonts w:ascii="標楷體" w:eastAsia="標楷體" w:hint="eastAsia"/>
                        <w:w w:val="95"/>
                        <w:sz w:val="28"/>
                      </w:rPr>
                      <w:t>關施</w:t>
                    </w:r>
                  </w:p>
                </w:txbxContent>
              </v:textbox>
              <w10:wrap type="none"/>
            </v:shape>
            <v:shape style="position:absolute;left:3593;top:1900;width:582;height:1737" type="#_x0000_t202" filled="false" stroked="false">
              <v:textbox inset="0,0,0,0">
                <w:txbxContent>
                  <w:p>
                    <w:pPr>
                      <w:spacing w:line="322" w:lineRule="exact" w:before="0"/>
                      <w:ind w:left="0" w:right="0" w:firstLine="0"/>
                      <w:jc w:val="left"/>
                      <w:rPr>
                        <w:rFonts w:ascii="標楷體" w:eastAsia="標楷體" w:hint="eastAsia"/>
                        <w:sz w:val="28"/>
                      </w:rPr>
                    </w:pPr>
                    <w:r>
                      <w:rPr>
                        <w:rFonts w:ascii="標楷體" w:eastAsia="標楷體" w:hint="eastAsia"/>
                        <w:w w:val="95"/>
                        <w:sz w:val="28"/>
                      </w:rPr>
                      <w:t>向提</w:t>
                    </w:r>
                  </w:p>
                  <w:p>
                    <w:pPr>
                      <w:spacing w:line="223" w:lineRule="auto" w:before="6"/>
                      <w:ind w:left="0" w:right="18" w:firstLine="0"/>
                      <w:jc w:val="both"/>
                      <w:rPr>
                        <w:rFonts w:ascii="標楷體" w:eastAsia="標楷體" w:hint="eastAsia"/>
                        <w:sz w:val="28"/>
                      </w:rPr>
                    </w:pPr>
                    <w:r>
                      <w:rPr>
                        <w:rFonts w:ascii="標楷體" w:eastAsia="標楷體" w:hint="eastAsia"/>
                        <w:spacing w:val="-2"/>
                        <w:sz w:val="28"/>
                      </w:rPr>
                      <w:t>服起務申</w:t>
                    </w:r>
                    <w:r>
                      <w:rPr>
                        <w:rFonts w:ascii="標楷體" w:eastAsia="標楷體" w:hint="eastAsia"/>
                        <w:w w:val="95"/>
                        <w:sz w:val="28"/>
                      </w:rPr>
                      <w:t>機訴</w:t>
                    </w:r>
                  </w:p>
                  <w:p>
                    <w:pPr>
                      <w:spacing w:line="316" w:lineRule="exact" w:before="0"/>
                      <w:ind w:left="0" w:right="0" w:firstLine="0"/>
                      <w:jc w:val="left"/>
                      <w:rPr>
                        <w:rFonts w:ascii="標楷體" w:eastAsia="標楷體" w:hint="eastAsia"/>
                        <w:sz w:val="28"/>
                      </w:rPr>
                    </w:pPr>
                    <w:r>
                      <w:rPr>
                        <w:rFonts w:ascii="標楷體" w:eastAsia="標楷體" w:hint="eastAsia"/>
                        <w:w w:val="99"/>
                        <w:sz w:val="28"/>
                      </w:rPr>
                      <w:t>關</w:t>
                    </w:r>
                  </w:p>
                </w:txbxContent>
              </v:textbox>
              <w10:wrap type="none"/>
            </v:shape>
            <v:shape style="position:absolute;left:5213;top:1900;width:300;height:1372" type="#_x0000_t202" filled="false" stroked="false">
              <v:textbox inset="0,0,0,0">
                <w:txbxContent>
                  <w:p>
                    <w:pPr>
                      <w:spacing w:line="322" w:lineRule="exact" w:before="0"/>
                      <w:ind w:left="0" w:right="0" w:firstLine="0"/>
                      <w:jc w:val="left"/>
                      <w:rPr>
                        <w:rFonts w:ascii="標楷體" w:eastAsia="標楷體" w:hint="eastAsia"/>
                        <w:sz w:val="28"/>
                      </w:rPr>
                    </w:pPr>
                    <w:r>
                      <w:rPr>
                        <w:rFonts w:ascii="標楷體" w:eastAsia="標楷體" w:hint="eastAsia"/>
                        <w:w w:val="99"/>
                        <w:sz w:val="28"/>
                      </w:rPr>
                      <w:t>申</w:t>
                    </w:r>
                  </w:p>
                  <w:p>
                    <w:pPr>
                      <w:spacing w:line="223" w:lineRule="auto" w:before="6"/>
                      <w:ind w:left="0" w:right="18" w:firstLine="0"/>
                      <w:jc w:val="left"/>
                      <w:rPr>
                        <w:rFonts w:ascii="標楷體" w:eastAsia="標楷體" w:hint="eastAsia"/>
                        <w:sz w:val="28"/>
                      </w:rPr>
                    </w:pPr>
                    <w:r>
                      <w:rPr>
                        <w:rFonts w:ascii="標楷體" w:eastAsia="標楷體" w:hint="eastAsia"/>
                        <w:sz w:val="28"/>
                      </w:rPr>
                      <w:t>訴函</w:t>
                    </w:r>
                  </w:p>
                  <w:p>
                    <w:pPr>
                      <w:spacing w:line="315" w:lineRule="exact" w:before="0"/>
                      <w:ind w:left="0" w:right="0" w:firstLine="0"/>
                      <w:jc w:val="left"/>
                      <w:rPr>
                        <w:rFonts w:ascii="標楷體" w:eastAsia="標楷體" w:hint="eastAsia"/>
                        <w:sz w:val="28"/>
                      </w:rPr>
                    </w:pPr>
                    <w:r>
                      <w:rPr>
                        <w:rFonts w:ascii="標楷體" w:eastAsia="標楷體" w:hint="eastAsia"/>
                        <w:w w:val="99"/>
                        <w:sz w:val="28"/>
                      </w:rPr>
                      <w:t>復</w:t>
                    </w:r>
                  </w:p>
                </w:txbxContent>
              </v:textbox>
              <w10:wrap type="none"/>
            </v:shape>
            <v:shape style="position:absolute;left:6653;top:1900;width:582;height:1373" type="#_x0000_t202" filled="false" stroked="false">
              <v:textbox inset="0,0,0,0">
                <w:txbxContent>
                  <w:p>
                    <w:pPr>
                      <w:spacing w:line="322" w:lineRule="exact" w:before="0"/>
                      <w:ind w:left="0" w:right="0" w:firstLine="0"/>
                      <w:jc w:val="left"/>
                      <w:rPr>
                        <w:rFonts w:ascii="標楷體" w:eastAsia="標楷體" w:hint="eastAsia"/>
                        <w:sz w:val="28"/>
                      </w:rPr>
                    </w:pPr>
                    <w:r>
                      <w:rPr>
                        <w:rFonts w:ascii="標楷體" w:eastAsia="標楷體" w:hint="eastAsia"/>
                        <w:w w:val="95"/>
                        <w:sz w:val="28"/>
                      </w:rPr>
                      <w:t>向起</w:t>
                    </w:r>
                  </w:p>
                  <w:p>
                    <w:pPr>
                      <w:spacing w:line="223" w:lineRule="auto" w:before="6"/>
                      <w:ind w:left="0" w:right="18" w:firstLine="0"/>
                      <w:jc w:val="left"/>
                      <w:rPr>
                        <w:rFonts w:ascii="標楷體" w:eastAsia="標楷體" w:hint="eastAsia"/>
                        <w:sz w:val="28"/>
                      </w:rPr>
                    </w:pPr>
                    <w:r>
                      <w:rPr>
                        <w:rFonts w:ascii="標楷體" w:eastAsia="標楷體" w:hint="eastAsia"/>
                        <w:spacing w:val="-2"/>
                        <w:sz w:val="28"/>
                      </w:rPr>
                      <w:t>本再</w:t>
                    </w:r>
                    <w:r>
                      <w:rPr>
                        <w:rFonts w:ascii="標楷體" w:eastAsia="標楷體" w:hint="eastAsia"/>
                        <w:w w:val="95"/>
                        <w:sz w:val="28"/>
                      </w:rPr>
                      <w:t>會申</w:t>
                    </w:r>
                  </w:p>
                  <w:p>
                    <w:pPr>
                      <w:spacing w:line="316" w:lineRule="exact" w:before="0"/>
                      <w:ind w:left="0" w:right="0" w:firstLine="0"/>
                      <w:jc w:val="left"/>
                      <w:rPr>
                        <w:rFonts w:ascii="標楷體" w:eastAsia="標楷體" w:hint="eastAsia"/>
                        <w:sz w:val="28"/>
                      </w:rPr>
                    </w:pPr>
                    <w:r>
                      <w:rPr>
                        <w:rFonts w:ascii="標楷體" w:eastAsia="標楷體" w:hint="eastAsia"/>
                        <w:w w:val="95"/>
                        <w:sz w:val="28"/>
                      </w:rPr>
                      <w:t>提訴</w:t>
                    </w:r>
                  </w:p>
                </w:txbxContent>
              </v:textbox>
              <w10:wrap type="none"/>
            </v:shape>
            <v:shape style="position:absolute;left:9083;top:2376;width:1800;height:540" type="#_x0000_t202" filled="false" stroked="true" strokeweight="3pt" strokecolor="#000000">
              <v:textbox inset="0,0,0,0">
                <w:txbxContent>
                  <w:p>
                    <w:pPr>
                      <w:spacing w:before="58"/>
                      <w:ind w:left="143" w:right="0" w:firstLine="0"/>
                      <w:jc w:val="left"/>
                      <w:rPr>
                        <w:rFonts w:ascii="標楷體" w:eastAsia="標楷體" w:hint="eastAsia"/>
                        <w:sz w:val="28"/>
                      </w:rPr>
                    </w:pPr>
                    <w:r>
                      <w:rPr>
                        <w:rFonts w:ascii="標楷體" w:eastAsia="標楷體" w:hint="eastAsia"/>
                        <w:w w:val="95"/>
                        <w:sz w:val="28"/>
                      </w:rPr>
                      <w:t>程序不合法</w:t>
                    </w:r>
                  </w:p>
                </w:txbxContent>
              </v:textbox>
              <v:stroke dashstyle="solid"/>
              <w10:wrap type="none"/>
            </v:shape>
            <v:shape style="position:absolute;left:9068;top:1291;width:1800;height:540" type="#_x0000_t202" filled="false" stroked="true" strokeweight="3pt" strokecolor="#000000">
              <v:textbox inset="0,0,0,0">
                <w:txbxContent>
                  <w:p>
                    <w:pPr>
                      <w:spacing w:before="58"/>
                      <w:ind w:left="143" w:right="0" w:firstLine="0"/>
                      <w:jc w:val="left"/>
                      <w:rPr>
                        <w:rFonts w:ascii="標楷體" w:eastAsia="標楷體" w:hint="eastAsia"/>
                        <w:sz w:val="28"/>
                      </w:rPr>
                    </w:pPr>
                    <w:r>
                      <w:rPr>
                        <w:rFonts w:ascii="標楷體" w:eastAsia="標楷體" w:hint="eastAsia"/>
                        <w:w w:val="95"/>
                        <w:sz w:val="28"/>
                      </w:rPr>
                      <w:t>非本會職掌</w:t>
                    </w:r>
                  </w:p>
                </w:txbxContent>
              </v:textbox>
              <v:stroke dashstyle="solid"/>
              <w10:wrap type="none"/>
            </v:shape>
            <v:shape style="position:absolute;left:11552;top:1439;width:2700;height:900" type="#_x0000_t202" filled="false" stroked="true" strokeweight="3pt" strokecolor="#000000">
              <v:textbox inset="0,0,0,0">
                <w:txbxContent>
                  <w:p>
                    <w:pPr>
                      <w:spacing w:line="223" w:lineRule="auto" w:before="78"/>
                      <w:ind w:left="144" w:right="254" w:firstLine="0"/>
                      <w:jc w:val="left"/>
                      <w:rPr>
                        <w:rFonts w:ascii="標楷體" w:eastAsia="標楷體" w:hint="eastAsia"/>
                        <w:sz w:val="28"/>
                      </w:rPr>
                    </w:pPr>
                    <w:r>
                      <w:rPr>
                        <w:rFonts w:ascii="標楷體" w:eastAsia="標楷體" w:hint="eastAsia"/>
                        <w:spacing w:val="-1"/>
                        <w:sz w:val="28"/>
                      </w:rPr>
                      <w:t>函移有關機關辦理</w:t>
                    </w:r>
                    <w:r>
                      <w:rPr>
                        <w:rFonts w:ascii="標楷體" w:eastAsia="標楷體" w:hint="eastAsia"/>
                        <w:sz w:val="28"/>
                      </w:rPr>
                      <w:t>並副知再申訴人</w:t>
                    </w:r>
                  </w:p>
                </w:txbxContent>
              </v:textbox>
              <v:stroke dashstyle="solid"/>
              <w10:wrap type="none"/>
            </v:shape>
            <v:shape style="position:absolute;left:11552;top:318;width:1077;height:632" type="#_x0000_t202" filled="false" stroked="true" strokeweight="3pt" strokecolor="#000000">
              <v:textbox inset="0,0,0,0">
                <w:txbxContent>
                  <w:p>
                    <w:pPr>
                      <w:spacing w:before="58"/>
                      <w:ind w:left="144" w:right="0" w:firstLine="0"/>
                      <w:jc w:val="left"/>
                      <w:rPr>
                        <w:rFonts w:ascii="標楷體" w:eastAsia="標楷體" w:hint="eastAsia"/>
                        <w:sz w:val="28"/>
                      </w:rPr>
                    </w:pPr>
                    <w:r>
                      <w:rPr>
                        <w:rFonts w:ascii="標楷體" w:eastAsia="標楷體" w:hint="eastAsia"/>
                        <w:w w:val="95"/>
                        <w:sz w:val="28"/>
                      </w:rPr>
                      <w:t>函復</w:t>
                    </w:r>
                  </w:p>
                </w:txbxContent>
              </v:textbox>
              <v:stroke dashstyle="solid"/>
              <w10:wrap type="none"/>
            </v:shape>
            <w10:wrap type="none"/>
          </v:group>
        </w:pict>
      </w:r>
      <w:r>
        <w:rPr>
          <w:sz w:val="40"/>
        </w:rPr>
        <w:t>圖</w:t>
      </w:r>
      <w:r>
        <w:rPr>
          <w:spacing w:val="-6"/>
          <w:sz w:val="40"/>
        </w:rPr>
        <w:t> </w:t>
      </w:r>
      <w:r>
        <w:rPr>
          <w:rFonts w:ascii="Times New Roman" w:eastAsia="Times New Roman"/>
          <w:sz w:val="40"/>
        </w:rPr>
        <w:t>2-1</w:t>
        <w:tab/>
      </w:r>
      <w:r>
        <w:rPr>
          <w:sz w:val="40"/>
        </w:rPr>
        <w:t>再申訴事件處理流程圖</w:t>
      </w:r>
      <w:r>
        <w:rPr>
          <w:sz w:val="20"/>
        </w:rPr>
        <w:t>（資料來源：公務人員保障暨培訓會）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tbl>
      <w:tblPr>
        <w:tblW w:w="0" w:type="auto"/>
        <w:jc w:val="left"/>
        <w:tblInd w:w="13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8640"/>
        <w:gridCol w:w="1440"/>
        <w:gridCol w:w="596"/>
        <w:gridCol w:w="636"/>
        <w:gridCol w:w="1164"/>
      </w:tblGrid>
      <w:tr>
        <w:trPr>
          <w:trHeight w:val="839" w:hRule="atLeast"/>
        </w:trPr>
        <w:tc>
          <w:tcPr>
            <w:tcW w:w="8640" w:type="dxa"/>
            <w:tcBorders>
              <w:top w:val="nil"/>
              <w:left w:val="nil"/>
              <w:bottom w:val="nil"/>
            </w:tcBorders>
          </w:tcPr>
          <w:p>
            <w:pPr>
              <w:pStyle w:val="TableParagraph"/>
              <w:spacing w:before="0"/>
              <w:ind w:left="0"/>
              <w:rPr>
                <w:rFonts w:ascii="Times New Roman"/>
                <w:sz w:val="26"/>
              </w:rPr>
            </w:pPr>
          </w:p>
        </w:tc>
        <w:tc>
          <w:tcPr>
            <w:tcW w:w="1440" w:type="dxa"/>
          </w:tcPr>
          <w:p>
            <w:pPr>
              <w:pStyle w:val="TableParagraph"/>
              <w:spacing w:line="364" w:lineRule="exact" w:before="72"/>
              <w:ind w:left="151" w:right="385"/>
              <w:rPr>
                <w:rFonts w:ascii="標楷體" w:eastAsia="標楷體" w:hint="eastAsia"/>
                <w:sz w:val="28"/>
              </w:rPr>
            </w:pPr>
            <w:r>
              <w:rPr>
                <w:rFonts w:ascii="標楷體" w:eastAsia="標楷體" w:hint="eastAsia"/>
                <w:spacing w:val="-1"/>
                <w:sz w:val="28"/>
              </w:rPr>
              <w:t>服務機關答復</w:t>
            </w:r>
          </w:p>
        </w:tc>
        <w:tc>
          <w:tcPr>
            <w:tcW w:w="596" w:type="dxa"/>
            <w:tcBorders>
              <w:top w:val="nil"/>
              <w:bottom w:val="nil"/>
            </w:tcBorders>
          </w:tcPr>
          <w:p>
            <w:pPr>
              <w:pStyle w:val="TableParagraph"/>
              <w:spacing w:before="2"/>
              <w:ind w:left="0"/>
              <w:rPr>
                <w:sz w:val="24"/>
              </w:rPr>
            </w:pPr>
          </w:p>
          <w:p>
            <w:pPr>
              <w:pStyle w:val="TableParagraph"/>
              <w:spacing w:line="120" w:lineRule="exact" w:before="0"/>
              <w:ind w:left="1" w:right="-72"/>
              <w:rPr>
                <w:sz w:val="12"/>
              </w:rPr>
            </w:pPr>
            <w:r>
              <w:rPr>
                <w:position w:val="-1"/>
                <w:sz w:val="12"/>
              </w:rPr>
              <w:pict>
                <v:group style="width:27.45pt;height:6pt;mso-position-horizontal-relative:char;mso-position-vertical-relative:line" coordorigin="0,0" coordsize="549,120">
                  <v:shape style="position:absolute;left:0;top:0;width:549;height:120" coordorigin="0,0" coordsize="549,120" path="m456,60l454,54,448,53,8,53,2,54,0,60,2,65,8,67,448,67,454,65,456,60xm548,60l428,0,428,53,448,53,454,54,456,60,456,106,548,60xm456,106l456,60,454,65,448,67,428,67,428,120,456,106xe" filled="true" fillcolor="#000000" stroked="false">
                    <v:path arrowok="t"/>
                    <v:fill type="solid"/>
                  </v:shape>
                </v:group>
              </w:pict>
            </w:r>
            <w:r>
              <w:rPr>
                <w:position w:val="-1"/>
                <w:sz w:val="12"/>
              </w:rPr>
            </w:r>
          </w:p>
        </w:tc>
        <w:tc>
          <w:tcPr>
            <w:tcW w:w="1800" w:type="dxa"/>
            <w:gridSpan w:val="2"/>
          </w:tcPr>
          <w:p>
            <w:pPr>
              <w:pStyle w:val="TableParagraph"/>
              <w:spacing w:line="256" w:lineRule="auto" w:before="59"/>
              <w:ind w:left="151" w:right="386"/>
              <w:rPr>
                <w:rFonts w:ascii="標楷體" w:eastAsia="標楷體" w:hint="eastAsia"/>
                <w:sz w:val="24"/>
              </w:rPr>
            </w:pPr>
            <w:r>
              <w:rPr>
                <w:rFonts w:ascii="標楷體" w:eastAsia="標楷體" w:hint="eastAsia"/>
                <w:spacing w:val="-1"/>
                <w:sz w:val="24"/>
              </w:rPr>
              <w:t>保障處擬具</w:t>
            </w:r>
            <w:r>
              <w:rPr>
                <w:rFonts w:ascii="標楷體" w:eastAsia="標楷體" w:hint="eastAsia"/>
                <w:sz w:val="24"/>
              </w:rPr>
              <w:t>處理意見</w:t>
            </w:r>
          </w:p>
        </w:tc>
      </w:tr>
      <w:tr>
        <w:trPr>
          <w:trHeight w:val="164" w:hRule="atLeast"/>
        </w:trPr>
        <w:tc>
          <w:tcPr>
            <w:tcW w:w="11312" w:type="dxa"/>
            <w:gridSpan w:val="4"/>
            <w:tcBorders>
              <w:top w:val="nil"/>
              <w:left w:val="nil"/>
              <w:bottom w:val="single" w:sz="8" w:space="0" w:color="000000"/>
              <w:right w:val="single" w:sz="6" w:space="0" w:color="000000"/>
            </w:tcBorders>
          </w:tcPr>
          <w:p>
            <w:pPr>
              <w:pStyle w:val="TableParagraph"/>
              <w:spacing w:before="0"/>
              <w:ind w:left="0"/>
              <w:rPr>
                <w:rFonts w:ascii="Times New Roman"/>
                <w:sz w:val="10"/>
              </w:rPr>
            </w:pPr>
          </w:p>
        </w:tc>
        <w:tc>
          <w:tcPr>
            <w:tcW w:w="1164" w:type="dxa"/>
            <w:tcBorders>
              <w:left w:val="single" w:sz="6" w:space="0" w:color="000000"/>
              <w:bottom w:val="nil"/>
              <w:right w:val="nil"/>
            </w:tcBorders>
          </w:tcPr>
          <w:p>
            <w:pPr>
              <w:pStyle w:val="TableParagraph"/>
              <w:spacing w:before="0"/>
              <w:ind w:left="0"/>
              <w:rPr>
                <w:rFonts w:ascii="Times New Roman"/>
                <w:sz w:val="10"/>
              </w:rPr>
            </w:pPr>
          </w:p>
        </w:tc>
      </w:tr>
    </w:tbl>
    <w:p>
      <w:pPr>
        <w:pStyle w:val="BodyText"/>
        <w:rPr>
          <w:sz w:val="20"/>
        </w:rPr>
      </w:pPr>
    </w:p>
    <w:p>
      <w:pPr>
        <w:pStyle w:val="BodyText"/>
        <w:spacing w:before="8"/>
        <w:rPr>
          <w:sz w:val="18"/>
        </w:rPr>
      </w:pPr>
      <w:r>
        <w:rPr/>
        <w:pict>
          <v:shape style="position:absolute;margin-left:344.031006pt;margin-top:14.980625pt;width:44.8pt;height:6pt;mso-position-horizontal-relative:page;mso-position-vertical-relative:paragraph;z-index:-15722496;mso-wrap-distance-left:0;mso-wrap-distance-right:0" coordorigin="6881,300" coordsize="896,120" path="m7683,360l7681,354,7676,352,6888,356,6883,358,6881,364,6883,369,6888,372,7676,367,7681,364,7683,360xm7776,358l7656,300,7656,353,7676,352,7681,354,7683,360,7683,406,7776,358xm7683,406l7683,360,7681,364,7676,367,7656,367,7656,420,7683,406xe" filled="true" fillcolor="#000000" stroked="false">
            <v:path arrowok="t"/>
            <v:fill type="solid"/>
            <w10:wrap type="topAndBottom"/>
          </v:shape>
        </w:pict>
      </w:r>
      <w:r>
        <w:rPr/>
        <w:pict>
          <v:shape style="position:absolute;margin-left:98.990997pt;margin-top:121.960625pt;width:87.8pt;height:45pt;mso-position-horizontal-relative:page;mso-position-vertical-relative:paragraph;z-index:-15721984;mso-wrap-distance-left:0;mso-wrap-distance-right:0" type="#_x0000_t202" filled="false" stroked="true" strokeweight="3pt" strokecolor="#000000">
            <v:textbox inset="0,0,0,0">
              <w:txbxContent>
                <w:p>
                  <w:pPr>
                    <w:spacing w:line="223" w:lineRule="auto" w:before="78"/>
                    <w:ind w:left="143" w:right="150" w:firstLine="0"/>
                    <w:jc w:val="left"/>
                    <w:rPr>
                      <w:rFonts w:ascii="標楷體" w:eastAsia="標楷體" w:hint="eastAsia"/>
                      <w:sz w:val="28"/>
                    </w:rPr>
                  </w:pPr>
                  <w:r>
                    <w:rPr>
                      <w:rFonts w:ascii="標楷體" w:eastAsia="標楷體" w:hint="eastAsia"/>
                      <w:spacing w:val="-1"/>
                      <w:sz w:val="28"/>
                    </w:rPr>
                    <w:t>分案送請專任委員初審</w:t>
                  </w:r>
                </w:p>
              </w:txbxContent>
            </v:textbox>
            <v:stroke dashstyle="solid"/>
            <w10:wrap type="topAndBottom"/>
          </v:shape>
        </w:pict>
      </w:r>
    </w:p>
    <w:p>
      <w:pPr>
        <w:pStyle w:val="BodyText"/>
        <w:rPr>
          <w:sz w:val="20"/>
        </w:rPr>
      </w:pPr>
    </w:p>
    <w:p>
      <w:pPr>
        <w:pStyle w:val="BodyText"/>
        <w:spacing w:before="6"/>
        <w:rPr>
          <w:sz w:val="20"/>
        </w:rPr>
      </w:pPr>
      <w:r>
        <w:rPr/>
        <w:pict>
          <v:shape style="position:absolute;margin-left:224.990997pt;margin-top:17.745625pt;width:81pt;height:42.7pt;mso-position-horizontal-relative:page;mso-position-vertical-relative:paragraph;z-index:-15721472;mso-wrap-distance-left:0;mso-wrap-distance-right:0" type="#_x0000_t202" filled="false" stroked="true" strokeweight="3pt" strokecolor="#000000">
            <v:textbox inset="0,0,0,0">
              <w:txbxContent>
                <w:p>
                  <w:pPr>
                    <w:pStyle w:val="BodyText"/>
                    <w:spacing w:line="256" w:lineRule="auto" w:before="79"/>
                    <w:ind w:left="143" w:right="214"/>
                    <w:rPr>
                      <w:rFonts w:ascii="標楷體" w:eastAsia="標楷體" w:hint="eastAsia"/>
                    </w:rPr>
                  </w:pPr>
                  <w:r>
                    <w:rPr>
                      <w:rFonts w:ascii="標楷體" w:eastAsia="標楷體" w:hint="eastAsia"/>
                      <w:spacing w:val="-1"/>
                    </w:rPr>
                    <w:t>陳述意見或</w:t>
                  </w:r>
                  <w:r>
                    <w:rPr>
                      <w:rFonts w:ascii="標楷體" w:eastAsia="標楷體" w:hint="eastAsia"/>
                    </w:rPr>
                    <w:t>言詞辯論</w:t>
                  </w:r>
                </w:p>
              </w:txbxContent>
            </v:textbox>
            <v:stroke dashstyle="solid"/>
            <w10:wrap type="topAndBottom"/>
          </v:shape>
        </w:pict>
      </w:r>
    </w:p>
    <w:p>
      <w:pPr>
        <w:spacing w:after="0"/>
        <w:rPr>
          <w:sz w:val="20"/>
        </w:rPr>
        <w:sectPr>
          <w:footerReference w:type="default" r:id="rId16"/>
          <w:pgSz w:w="16840" w:h="11910" w:orient="landscape"/>
          <w:pgMar w:footer="0" w:header="0" w:top="1100" w:bottom="280" w:left="1320" w:right="1500"/>
        </w:sectPr>
      </w:pPr>
    </w:p>
    <w:p>
      <w:pPr>
        <w:pStyle w:val="BodyText"/>
        <w:spacing w:before="1"/>
        <w:rPr>
          <w:sz w:val="10"/>
        </w:rPr>
      </w:pPr>
    </w:p>
    <w:p>
      <w:pPr>
        <w:pStyle w:val="Heading2"/>
        <w:spacing w:before="44"/>
        <w:jc w:val="both"/>
      </w:pPr>
      <w:r>
        <w:rPr/>
        <w:t>第二節   再申訴決定確定後進行再審議程序之妥當性</w:t>
      </w:r>
    </w:p>
    <w:p>
      <w:pPr>
        <w:pStyle w:val="BodyText"/>
        <w:rPr>
          <w:b/>
          <w:sz w:val="28"/>
        </w:rPr>
      </w:pPr>
    </w:p>
    <w:p>
      <w:pPr>
        <w:pStyle w:val="BodyText"/>
        <w:spacing w:before="2"/>
        <w:rPr>
          <w:b/>
          <w:sz w:val="23"/>
        </w:rPr>
      </w:pPr>
    </w:p>
    <w:p>
      <w:pPr>
        <w:pStyle w:val="Heading3"/>
        <w:ind w:left="1140"/>
        <w:rPr>
          <w:rFonts w:ascii="新細明體" w:eastAsia="新細明體" w:hint="eastAsia"/>
        </w:rPr>
      </w:pPr>
      <w:r>
        <w:rPr>
          <w:rFonts w:ascii="新細明體" w:eastAsia="新細明體" w:hint="eastAsia"/>
          <w:w w:val="95"/>
        </w:rPr>
        <w:t>一、再審議制度之屬性及功能</w:t>
      </w:r>
    </w:p>
    <w:p>
      <w:pPr>
        <w:pStyle w:val="BodyText"/>
        <w:spacing w:before="5"/>
        <w:rPr>
          <w:b/>
          <w:sz w:val="29"/>
        </w:rPr>
      </w:pPr>
    </w:p>
    <w:p>
      <w:pPr>
        <w:pStyle w:val="BodyText"/>
        <w:ind w:right="917"/>
        <w:jc w:val="right"/>
      </w:pPr>
      <w:r>
        <w:rPr>
          <w:spacing w:val="-5"/>
        </w:rPr>
        <w:t>保障法於 </w:t>
      </w:r>
      <w:r>
        <w:rPr>
          <w:rFonts w:ascii="Times New Roman" w:eastAsia="Times New Roman"/>
          <w:spacing w:val="-2"/>
        </w:rPr>
        <w:t>92</w:t>
      </w:r>
      <w:r>
        <w:rPr>
          <w:rFonts w:ascii="Times New Roman" w:eastAsia="Times New Roman"/>
          <w:spacing w:val="-10"/>
        </w:rPr>
        <w:t> </w:t>
      </w:r>
      <w:r>
        <w:rPr>
          <w:spacing w:val="-3"/>
        </w:rPr>
        <w:t>年修正時增訂第七章再審議制度，於第 </w:t>
      </w:r>
      <w:r>
        <w:rPr>
          <w:rFonts w:ascii="Times New Roman" w:eastAsia="Times New Roman"/>
          <w:spacing w:val="-1"/>
        </w:rPr>
        <w:t>94</w:t>
      </w:r>
      <w:r>
        <w:rPr>
          <w:rFonts w:ascii="Times New Roman" w:eastAsia="Times New Roman"/>
          <w:spacing w:val="-10"/>
        </w:rPr>
        <w:t> </w:t>
      </w:r>
      <w:r>
        <w:rPr>
          <w:spacing w:val="-1"/>
        </w:rPr>
        <w:t>條以下規定申請再審</w:t>
      </w:r>
    </w:p>
    <w:p>
      <w:pPr>
        <w:pStyle w:val="BodyText"/>
        <w:spacing w:before="79"/>
        <w:ind w:right="917"/>
        <w:jc w:val="right"/>
      </w:pPr>
      <w:r>
        <w:rPr/>
        <w:t>議之要件與再審議事件之審理程序，依第 </w:t>
      </w:r>
      <w:r>
        <w:rPr>
          <w:rFonts w:ascii="Times New Roman" w:eastAsia="Times New Roman"/>
        </w:rPr>
        <w:t>94</w:t>
      </w:r>
      <w:r>
        <w:rPr>
          <w:rFonts w:ascii="Times New Roman" w:eastAsia="Times New Roman"/>
          <w:spacing w:val="13"/>
        </w:rPr>
        <w:t> </w:t>
      </w:r>
      <w:r>
        <w:rPr/>
        <w:t>條之立法說明指出，再審議制度係</w:t>
      </w:r>
    </w:p>
    <w:p>
      <w:pPr>
        <w:pStyle w:val="BodyText"/>
        <w:spacing w:line="295" w:lineRule="auto" w:before="78"/>
        <w:ind w:left="900" w:right="857"/>
        <w:jc w:val="both"/>
      </w:pPr>
      <w:r>
        <w:rPr>
          <w:spacing w:val="-3"/>
        </w:rPr>
        <w:t>參照行政訴訟法第 </w:t>
      </w:r>
      <w:r>
        <w:rPr>
          <w:rFonts w:ascii="Times New Roman" w:eastAsia="Times New Roman"/>
        </w:rPr>
        <w:t>273</w:t>
      </w:r>
      <w:r>
        <w:rPr>
          <w:rFonts w:ascii="Times New Roman" w:eastAsia="Times New Roman"/>
          <w:spacing w:val="-13"/>
        </w:rPr>
        <w:t> </w:t>
      </w:r>
      <w:r>
        <w:rPr>
          <w:spacing w:val="-3"/>
        </w:rPr>
        <w:t>條、訴願法第 </w:t>
      </w:r>
      <w:r>
        <w:rPr>
          <w:rFonts w:ascii="Times New Roman" w:eastAsia="Times New Roman"/>
        </w:rPr>
        <w:t>97</w:t>
      </w:r>
      <w:r>
        <w:rPr>
          <w:rFonts w:ascii="Times New Roman" w:eastAsia="Times New Roman"/>
          <w:spacing w:val="-13"/>
        </w:rPr>
        <w:t> </w:t>
      </w:r>
      <w:r>
        <w:rPr>
          <w:spacing w:val="-2"/>
        </w:rPr>
        <w:t>條再審規定及公務員懲戒法第 </w:t>
      </w:r>
      <w:r>
        <w:rPr>
          <w:rFonts w:ascii="Times New Roman" w:eastAsia="Times New Roman"/>
        </w:rPr>
        <w:t>33</w:t>
      </w:r>
      <w:r>
        <w:rPr>
          <w:rFonts w:ascii="Times New Roman" w:eastAsia="Times New Roman"/>
          <w:spacing w:val="-13"/>
        </w:rPr>
        <w:t> </w:t>
      </w:r>
      <w:r>
        <w:rPr/>
        <w:t>條再審</w:t>
      </w:r>
      <w:r>
        <w:rPr>
          <w:spacing w:val="-2"/>
        </w:rPr>
        <w:t>議規定，而於保障法增列再審議程序，使復審決定確定後，發現有再審議之事由者，允由原處分機關或復審人申請再審議，以資救濟，但該事件如係經司法機關裁判而確定者，如發現有再審事由，則屬應向該管司法機關提再審救濟之範疇，</w:t>
      </w:r>
      <w:r>
        <w:rPr>
          <w:spacing w:val="-60"/>
        </w:rPr>
        <w:t> </w:t>
      </w:r>
      <w:r>
        <w:rPr>
          <w:spacing w:val="-2"/>
        </w:rPr>
        <w:t>尚不得依本法提起再審議。因此，復審事件經保訓會審議決定後，除復審人已依</w:t>
      </w:r>
      <w:r>
        <w:rPr/>
        <w:t>法向司法機關請求救濟者外，符合一定要件之情況下</w:t>
      </w:r>
      <w:r>
        <w:rPr>
          <w:rFonts w:ascii="Times New Roman" w:eastAsia="Times New Roman"/>
          <w:vertAlign w:val="superscript"/>
        </w:rPr>
        <w:t>43</w:t>
      </w:r>
      <w:r>
        <w:rPr>
          <w:vertAlign w:val="baseline"/>
        </w:rPr>
        <w:t>，原處分機關或復審人得</w:t>
      </w:r>
      <w:r>
        <w:rPr>
          <w:spacing w:val="-3"/>
          <w:vertAlign w:val="baseline"/>
        </w:rPr>
        <w:t>向保訓會申請再審議。其次，再審議之審理程序依保障法第 </w:t>
      </w:r>
      <w:r>
        <w:rPr>
          <w:rFonts w:ascii="Times New Roman" w:eastAsia="Times New Roman"/>
          <w:spacing w:val="-1"/>
          <w:vertAlign w:val="baseline"/>
        </w:rPr>
        <w:t>101</w:t>
      </w:r>
      <w:r>
        <w:rPr>
          <w:rFonts w:ascii="Times New Roman" w:eastAsia="Times New Roman"/>
          <w:spacing w:val="-11"/>
          <w:vertAlign w:val="baseline"/>
        </w:rPr>
        <w:t> </w:t>
      </w:r>
      <w:r>
        <w:rPr>
          <w:spacing w:val="-1"/>
          <w:vertAlign w:val="baseline"/>
        </w:rPr>
        <w:t>條規定係準用第</w:t>
      </w:r>
      <w:r>
        <w:rPr>
          <w:vertAlign w:val="baseline"/>
        </w:rPr>
        <w:t>三章復審程序，</w:t>
      </w:r>
      <w:r>
        <w:rPr>
          <w:rFonts w:ascii="Times New Roman" w:eastAsia="Times New Roman"/>
          <w:vertAlign w:val="superscript"/>
        </w:rPr>
        <w:t>44</w:t>
      </w:r>
      <w:r>
        <w:rPr>
          <w:spacing w:val="-6"/>
          <w:vertAlign w:val="baseline"/>
        </w:rPr>
        <w:t>故性質上應屬重新開啟復審程序之「覆審制」，亦即透過重新</w:t>
      </w:r>
      <w:r>
        <w:rPr>
          <w:vertAlign w:val="baseline"/>
        </w:rPr>
        <w:t>審理以更正先前所為有瑕疵之復審決定。</w:t>
      </w:r>
    </w:p>
    <w:p>
      <w:pPr>
        <w:pStyle w:val="BodyText"/>
        <w:spacing w:before="8"/>
      </w:pPr>
    </w:p>
    <w:p>
      <w:pPr>
        <w:pStyle w:val="Heading3"/>
        <w:spacing w:before="1"/>
        <w:ind w:left="1140"/>
        <w:rPr>
          <w:rFonts w:ascii="新細明體" w:eastAsia="新細明體" w:hint="eastAsia"/>
        </w:rPr>
      </w:pPr>
      <w:r>
        <w:rPr>
          <w:rFonts w:ascii="新細明體" w:eastAsia="新細明體" w:hint="eastAsia"/>
          <w:w w:val="95"/>
        </w:rPr>
        <w:t>二、再審議程序作為再申訴事件補救管道</w:t>
      </w:r>
    </w:p>
    <w:p>
      <w:pPr>
        <w:pStyle w:val="BodyText"/>
        <w:spacing w:before="5"/>
        <w:rPr>
          <w:b/>
          <w:sz w:val="29"/>
        </w:rPr>
      </w:pPr>
    </w:p>
    <w:p>
      <w:pPr>
        <w:pStyle w:val="BodyText"/>
        <w:ind w:right="917"/>
        <w:jc w:val="right"/>
      </w:pPr>
      <w:r>
        <w:rPr>
          <w:spacing w:val="-3"/>
        </w:rPr>
        <w:t>針對再申訴事件得否進行再審議程序，學界尚未見有專論探討，從比較法之</w:t>
      </w:r>
    </w:p>
    <w:p>
      <w:pPr>
        <w:pStyle w:val="BodyText"/>
        <w:rPr>
          <w:sz w:val="20"/>
        </w:rPr>
      </w:pPr>
    </w:p>
    <w:p>
      <w:pPr>
        <w:pStyle w:val="BodyText"/>
        <w:spacing w:before="6"/>
        <w:rPr>
          <w:sz w:val="14"/>
        </w:rPr>
      </w:pPr>
      <w:r>
        <w:rPr/>
        <w:pict>
          <v:rect style="position:absolute;margin-left:90pt;margin-top:12.084521pt;width:144pt;height:.600010pt;mso-position-horizontal-relative:page;mso-position-vertical-relative:paragraph;z-index:-15714304;mso-wrap-distance-left:0;mso-wrap-distance-right:0" filled="true" fillcolor="#000000" stroked="false">
            <v:fill type="solid"/>
            <w10:wrap type="topAndBottom"/>
          </v:rect>
        </w:pict>
      </w:r>
    </w:p>
    <w:p>
      <w:pPr>
        <w:spacing w:line="223" w:lineRule="auto" w:before="82"/>
        <w:ind w:left="899" w:right="913" w:firstLine="0"/>
        <w:jc w:val="both"/>
        <w:rPr>
          <w:rFonts w:ascii="標楷體" w:eastAsia="標楷體" w:hint="eastAsia"/>
          <w:sz w:val="22"/>
        </w:rPr>
      </w:pPr>
      <w:r>
        <w:rPr>
          <w:rFonts w:ascii="Times New Roman" w:eastAsia="Times New Roman"/>
          <w:sz w:val="22"/>
          <w:vertAlign w:val="superscript"/>
        </w:rPr>
        <w:t>43</w:t>
      </w:r>
      <w:r>
        <w:rPr>
          <w:rFonts w:ascii="Times New Roman" w:eastAsia="Times New Roman"/>
          <w:spacing w:val="33"/>
          <w:sz w:val="22"/>
          <w:vertAlign w:val="baseline"/>
        </w:rPr>
        <w:t> </w:t>
      </w:r>
      <w:r>
        <w:rPr>
          <w:spacing w:val="-3"/>
          <w:sz w:val="22"/>
          <w:vertAlign w:val="baseline"/>
        </w:rPr>
        <w:t>保障法第 </w:t>
      </w:r>
      <w:r>
        <w:rPr>
          <w:rFonts w:ascii="Times New Roman" w:eastAsia="Times New Roman"/>
          <w:sz w:val="22"/>
          <w:vertAlign w:val="baseline"/>
        </w:rPr>
        <w:t>94</w:t>
      </w:r>
      <w:r>
        <w:rPr>
          <w:rFonts w:ascii="Times New Roman" w:eastAsia="Times New Roman"/>
          <w:spacing w:val="-11"/>
          <w:sz w:val="22"/>
          <w:vertAlign w:val="baseline"/>
        </w:rPr>
        <w:t> </w:t>
      </w:r>
      <w:r>
        <w:rPr>
          <w:spacing w:val="-5"/>
          <w:sz w:val="22"/>
          <w:vertAlign w:val="baseline"/>
        </w:rPr>
        <w:t>條第 </w:t>
      </w:r>
      <w:r>
        <w:rPr>
          <w:rFonts w:ascii="Times New Roman" w:eastAsia="Times New Roman"/>
          <w:sz w:val="22"/>
          <w:vertAlign w:val="baseline"/>
        </w:rPr>
        <w:t>1</w:t>
      </w:r>
      <w:r>
        <w:rPr>
          <w:rFonts w:ascii="Times New Roman" w:eastAsia="Times New Roman"/>
          <w:spacing w:val="-11"/>
          <w:sz w:val="22"/>
          <w:vertAlign w:val="baseline"/>
        </w:rPr>
        <w:t> </w:t>
      </w:r>
      <w:r>
        <w:rPr>
          <w:spacing w:val="-44"/>
          <w:sz w:val="22"/>
          <w:vertAlign w:val="baseline"/>
        </w:rPr>
        <w:t>項：「</w:t>
      </w:r>
      <w:r>
        <w:rPr>
          <w:rFonts w:ascii="標楷體" w:eastAsia="標楷體" w:hint="eastAsia"/>
          <w:sz w:val="22"/>
          <w:vertAlign w:val="baseline"/>
        </w:rPr>
        <w:t>復審事件經保訓會審議決定，除復審人已依法向司法機關請求救濟者外，於復審決定確定 後，有下列情形之一者，原處分機關或復審人得向保訓會申請再審議：</w:t>
      </w:r>
    </w:p>
    <w:p>
      <w:pPr>
        <w:spacing w:line="282" w:lineRule="exact" w:before="0"/>
        <w:ind w:left="1369" w:right="0" w:firstLine="0"/>
        <w:jc w:val="left"/>
        <w:rPr>
          <w:rFonts w:ascii="標楷體" w:eastAsia="標楷體" w:hint="eastAsia"/>
          <w:sz w:val="22"/>
        </w:rPr>
      </w:pPr>
      <w:r>
        <w:rPr>
          <w:rFonts w:ascii="標楷體" w:eastAsia="標楷體" w:hint="eastAsia"/>
          <w:sz w:val="22"/>
        </w:rPr>
        <w:t>一、適用法規顯有錯誤者。</w:t>
      </w:r>
    </w:p>
    <w:p>
      <w:pPr>
        <w:spacing w:line="223" w:lineRule="auto" w:before="4"/>
        <w:ind w:left="1369" w:right="5451" w:firstLine="0"/>
        <w:jc w:val="left"/>
        <w:rPr>
          <w:rFonts w:ascii="標楷體" w:eastAsia="標楷體" w:hint="eastAsia"/>
          <w:sz w:val="22"/>
        </w:rPr>
      </w:pPr>
      <w:r>
        <w:rPr>
          <w:rFonts w:ascii="標楷體" w:eastAsia="標楷體" w:hint="eastAsia"/>
          <w:sz w:val="22"/>
        </w:rPr>
        <w:t>二、決定理由與主文顯有矛盾者。三、決定機關之組織不合法者。</w:t>
      </w:r>
    </w:p>
    <w:p>
      <w:pPr>
        <w:spacing w:line="281" w:lineRule="exact" w:before="0"/>
        <w:ind w:left="1369" w:right="0" w:firstLine="0"/>
        <w:jc w:val="left"/>
        <w:rPr>
          <w:rFonts w:ascii="標楷體" w:eastAsia="標楷體" w:hint="eastAsia"/>
          <w:sz w:val="22"/>
        </w:rPr>
      </w:pPr>
      <w:r>
        <w:rPr>
          <w:rFonts w:ascii="標楷體" w:eastAsia="標楷體" w:hint="eastAsia"/>
          <w:sz w:val="22"/>
        </w:rPr>
        <w:t>四、依本法應迴避之委員參與決定者。</w:t>
      </w:r>
    </w:p>
    <w:p>
      <w:pPr>
        <w:spacing w:line="286" w:lineRule="exact" w:before="0"/>
        <w:ind w:left="1369" w:right="0" w:firstLine="0"/>
        <w:jc w:val="left"/>
        <w:rPr>
          <w:rFonts w:ascii="標楷體" w:eastAsia="標楷體" w:hint="eastAsia"/>
          <w:sz w:val="22"/>
        </w:rPr>
      </w:pPr>
      <w:r>
        <w:rPr>
          <w:rFonts w:ascii="標楷體" w:eastAsia="標楷體" w:hint="eastAsia"/>
          <w:sz w:val="22"/>
        </w:rPr>
        <w:t>五、參與決定之委員關於該復審事件違背職務，犯刑事上之罪者。</w:t>
      </w:r>
    </w:p>
    <w:p>
      <w:pPr>
        <w:spacing w:line="223" w:lineRule="auto" w:before="5"/>
        <w:ind w:left="1369" w:right="1050" w:firstLine="0"/>
        <w:jc w:val="left"/>
        <w:rPr>
          <w:rFonts w:ascii="標楷體" w:eastAsia="標楷體" w:hint="eastAsia"/>
          <w:sz w:val="22"/>
        </w:rPr>
      </w:pPr>
      <w:r>
        <w:rPr>
          <w:rFonts w:ascii="標楷體" w:eastAsia="標楷體" w:hint="eastAsia"/>
          <w:sz w:val="22"/>
        </w:rPr>
        <w:t>六、復審之代理人或代表人，關於該復審有刑事上應罰之行為，影響於決定者。七、證人、鑑定人或通譯就為決定基礎之證言、鑑定或通譯為虛偽陳述者。</w:t>
      </w:r>
    </w:p>
    <w:p>
      <w:pPr>
        <w:spacing w:line="281" w:lineRule="exact" w:before="0"/>
        <w:ind w:left="1369" w:right="0" w:firstLine="0"/>
        <w:jc w:val="left"/>
        <w:rPr>
          <w:rFonts w:ascii="標楷體" w:eastAsia="標楷體" w:hint="eastAsia"/>
          <w:sz w:val="22"/>
        </w:rPr>
      </w:pPr>
      <w:r>
        <w:rPr>
          <w:rFonts w:ascii="標楷體" w:eastAsia="標楷體" w:hint="eastAsia"/>
          <w:sz w:val="22"/>
        </w:rPr>
        <w:t>八、為決定基礎之證物，係偽造或變造者。</w:t>
      </w:r>
    </w:p>
    <w:p>
      <w:pPr>
        <w:spacing w:line="223" w:lineRule="auto" w:before="4"/>
        <w:ind w:left="1791" w:right="914" w:hanging="467"/>
        <w:jc w:val="left"/>
        <w:rPr>
          <w:rFonts w:ascii="標楷體" w:eastAsia="標楷體" w:hint="eastAsia"/>
          <w:sz w:val="22"/>
        </w:rPr>
      </w:pPr>
      <w:r>
        <w:rPr>
          <w:rFonts w:ascii="標楷體" w:eastAsia="標楷體" w:hint="eastAsia"/>
          <w:spacing w:val="-2"/>
          <w:sz w:val="22"/>
        </w:rPr>
        <w:t>九、為決定基礎之民事、刑事或行政訴訟判決或行政處分，依其後之確定裁判或行</w:t>
      </w:r>
      <w:r>
        <w:rPr>
          <w:rFonts w:ascii="標楷體" w:eastAsia="標楷體" w:hint="eastAsia"/>
          <w:sz w:val="22"/>
        </w:rPr>
        <w:t>政處分已變更者。</w:t>
      </w:r>
    </w:p>
    <w:p>
      <w:pPr>
        <w:spacing w:line="223" w:lineRule="auto" w:before="1"/>
        <w:ind w:left="1890" w:right="962" w:hanging="566"/>
        <w:jc w:val="left"/>
        <w:rPr>
          <w:rFonts w:ascii="標楷體" w:hAnsi="標楷體" w:eastAsia="標楷體" w:hint="eastAsia"/>
          <w:sz w:val="22"/>
        </w:rPr>
      </w:pPr>
      <w:r>
        <w:rPr>
          <w:rFonts w:ascii="標楷體" w:hAnsi="標楷體" w:eastAsia="標楷體" w:hint="eastAsia"/>
          <w:sz w:val="22"/>
        </w:rPr>
        <w:t>一</w:t>
      </w:r>
      <w:r>
        <w:rPr>
          <w:rFonts w:ascii="Times New Roman" w:hAnsi="Times New Roman" w:eastAsia="Times New Roman"/>
          <w:sz w:val="22"/>
        </w:rPr>
        <w:t>○</w:t>
      </w:r>
      <w:r>
        <w:rPr>
          <w:rFonts w:ascii="標楷體" w:hAnsi="標楷體" w:eastAsia="標楷體" w:hint="eastAsia"/>
          <w:sz w:val="22"/>
        </w:rPr>
        <w:t>、發見未經斟酌之證物或得使用該證物者。但以如經斟酌可受較有利益之決定者為限。</w:t>
      </w:r>
    </w:p>
    <w:p>
      <w:pPr>
        <w:spacing w:line="282" w:lineRule="exact" w:before="0"/>
        <w:ind w:left="1369" w:right="0" w:firstLine="0"/>
        <w:jc w:val="left"/>
        <w:rPr>
          <w:sz w:val="22"/>
        </w:rPr>
      </w:pPr>
      <w:r>
        <w:rPr>
          <w:rFonts w:ascii="標楷體" w:eastAsia="標楷體" w:hint="eastAsia"/>
          <w:sz w:val="22"/>
        </w:rPr>
        <w:t>一一、原決定就足以影響於決定之重要證物漏未斟酌者</w:t>
      </w:r>
      <w:r>
        <w:rPr>
          <w:sz w:val="22"/>
        </w:rPr>
        <w:t>。」</w:t>
      </w:r>
    </w:p>
    <w:p>
      <w:pPr>
        <w:spacing w:line="223" w:lineRule="auto" w:before="5"/>
        <w:ind w:left="900" w:right="914" w:firstLine="0"/>
        <w:jc w:val="left"/>
        <w:rPr>
          <w:sz w:val="22"/>
        </w:rPr>
      </w:pPr>
      <w:r>
        <w:rPr>
          <w:rFonts w:ascii="Times New Roman" w:eastAsia="Times New Roman"/>
          <w:sz w:val="22"/>
          <w:vertAlign w:val="superscript"/>
        </w:rPr>
        <w:t>44</w:t>
      </w:r>
      <w:r>
        <w:rPr>
          <w:rFonts w:ascii="Times New Roman" w:eastAsia="Times New Roman"/>
          <w:spacing w:val="48"/>
          <w:sz w:val="22"/>
          <w:vertAlign w:val="baseline"/>
        </w:rPr>
        <w:t> </w:t>
      </w:r>
      <w:r>
        <w:rPr>
          <w:spacing w:val="1"/>
          <w:sz w:val="22"/>
          <w:vertAlign w:val="baseline"/>
        </w:rPr>
        <w:t>保障法第 </w:t>
      </w:r>
      <w:r>
        <w:rPr>
          <w:rFonts w:ascii="Times New Roman" w:eastAsia="Times New Roman"/>
          <w:sz w:val="22"/>
          <w:vertAlign w:val="baseline"/>
        </w:rPr>
        <w:t>101</w:t>
      </w:r>
      <w:r>
        <w:rPr>
          <w:rFonts w:ascii="Times New Roman" w:eastAsia="Times New Roman"/>
          <w:spacing w:val="10"/>
          <w:sz w:val="22"/>
          <w:vertAlign w:val="baseline"/>
        </w:rPr>
        <w:t> </w:t>
      </w:r>
      <w:r>
        <w:rPr>
          <w:spacing w:val="-38"/>
          <w:sz w:val="22"/>
          <w:vertAlign w:val="baseline"/>
        </w:rPr>
        <w:t>條：「</w:t>
      </w:r>
      <w:r>
        <w:rPr>
          <w:rFonts w:ascii="標楷體" w:eastAsia="標楷體" w:hint="eastAsia"/>
          <w:sz w:val="22"/>
          <w:vertAlign w:val="baseline"/>
        </w:rPr>
        <w:t>再審議，除本章另有規定外，準用第三章復審程序及第六章執行之規定</w:t>
      </w:r>
      <w:r>
        <w:rPr>
          <w:sz w:val="22"/>
          <w:vertAlign w:val="baseline"/>
        </w:rPr>
        <w:t>。」</w:t>
      </w:r>
    </w:p>
    <w:p>
      <w:pPr>
        <w:spacing w:after="0" w:line="223" w:lineRule="auto"/>
        <w:jc w:val="left"/>
        <w:rPr>
          <w:sz w:val="22"/>
        </w:rPr>
        <w:sectPr>
          <w:footerReference w:type="default" r:id="rId20"/>
          <w:pgSz w:w="11910" w:h="16840"/>
          <w:pgMar w:footer="1018" w:header="0" w:top="1600" w:bottom="1200" w:left="900" w:right="880"/>
          <w:pgNumType w:start="24"/>
        </w:sectPr>
      </w:pPr>
    </w:p>
    <w:p>
      <w:pPr>
        <w:pStyle w:val="BodyText"/>
        <w:spacing w:line="295" w:lineRule="auto" w:before="38"/>
        <w:ind w:left="900" w:right="917"/>
        <w:jc w:val="both"/>
      </w:pPr>
      <w:r>
        <w:rPr>
          <w:spacing w:val="-3"/>
        </w:rPr>
        <w:t>態度，觀諸美、日、德等國家之公務人員保障制度，亦未發現針對再申訴事件重開再審議程序之制度或規定，故本研究計畫擬從法理上推論再審議程序作為再申</w:t>
      </w:r>
      <w:r>
        <w:rPr/>
        <w:t>訴事件補救管道所可能引發之優點與缺陷，分析其妥適性。</w:t>
      </w:r>
    </w:p>
    <w:p>
      <w:pPr>
        <w:pStyle w:val="BodyText"/>
        <w:spacing w:before="1"/>
      </w:pPr>
    </w:p>
    <w:p>
      <w:pPr>
        <w:pStyle w:val="Heading3"/>
        <w:spacing w:before="1"/>
      </w:pPr>
      <w:r>
        <w:rPr/>
        <w:t>（一）適用再審議程序之優點</w:t>
      </w:r>
    </w:p>
    <w:p>
      <w:pPr>
        <w:pStyle w:val="BodyText"/>
        <w:spacing w:before="5"/>
        <w:rPr>
          <w:rFonts w:ascii="標楷體"/>
          <w:b/>
          <w:sz w:val="29"/>
        </w:rPr>
      </w:pPr>
    </w:p>
    <w:p>
      <w:pPr>
        <w:pStyle w:val="BodyText"/>
        <w:ind w:left="1380"/>
      </w:pPr>
      <w:r>
        <w:rPr/>
        <w:t>就再審議程序作為再申訴事件補救管道之優點，茲說明如下：</w:t>
      </w:r>
    </w:p>
    <w:p>
      <w:pPr>
        <w:pStyle w:val="BodyText"/>
        <w:spacing w:before="6"/>
        <w:rPr>
          <w:sz w:val="29"/>
        </w:rPr>
      </w:pPr>
    </w:p>
    <w:p>
      <w:pPr>
        <w:pStyle w:val="ListParagraph"/>
        <w:numPr>
          <w:ilvl w:val="0"/>
          <w:numId w:val="8"/>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再申訴者權益之維護</w:t>
      </w:r>
    </w:p>
    <w:p>
      <w:pPr>
        <w:pStyle w:val="BodyText"/>
        <w:spacing w:before="5"/>
        <w:rPr>
          <w:rFonts w:ascii="標楷體"/>
          <w:sz w:val="29"/>
        </w:rPr>
      </w:pPr>
    </w:p>
    <w:p>
      <w:pPr>
        <w:pStyle w:val="BodyText"/>
        <w:spacing w:line="295" w:lineRule="auto"/>
        <w:ind w:left="899" w:right="909" w:firstLine="480"/>
        <w:jc w:val="both"/>
      </w:pPr>
      <w:r>
        <w:rPr>
          <w:spacing w:val="-4"/>
        </w:rPr>
        <w:t>法諺有云「有權利即有救濟</w:t>
      </w:r>
      <w:r>
        <w:rPr>
          <w:spacing w:val="-136"/>
        </w:rPr>
        <w:t>」</w:t>
      </w:r>
      <w:r>
        <w:rPr/>
        <w:t>（</w:t>
      </w:r>
      <w:r>
        <w:rPr>
          <w:rFonts w:ascii="Times New Roman" w:eastAsia="Times New Roman"/>
        </w:rPr>
        <w:t>ubi</w:t>
      </w:r>
      <w:r>
        <w:rPr>
          <w:rFonts w:ascii="Times New Roman" w:eastAsia="Times New Roman"/>
          <w:spacing w:val="-1"/>
        </w:rPr>
        <w:t> </w:t>
      </w:r>
      <w:r>
        <w:rPr>
          <w:rFonts w:ascii="Times New Roman" w:eastAsia="Times New Roman"/>
        </w:rPr>
        <w:t>ius</w:t>
      </w:r>
      <w:r>
        <w:rPr>
          <w:rFonts w:ascii="Times New Roman" w:eastAsia="Times New Roman"/>
          <w:spacing w:val="-1"/>
        </w:rPr>
        <w:t> </w:t>
      </w:r>
      <w:r>
        <w:rPr>
          <w:rFonts w:ascii="Times New Roman" w:eastAsia="Times New Roman"/>
        </w:rPr>
        <w:t>ibi</w:t>
      </w:r>
      <w:r>
        <w:rPr>
          <w:rFonts w:ascii="Times New Roman" w:eastAsia="Times New Roman"/>
          <w:spacing w:val="-1"/>
        </w:rPr>
        <w:t> </w:t>
      </w:r>
      <w:r>
        <w:rPr>
          <w:rFonts w:ascii="Times New Roman" w:eastAsia="Times New Roman"/>
        </w:rPr>
        <w:t>re</w:t>
      </w:r>
      <w:r>
        <w:rPr>
          <w:rFonts w:ascii="Times New Roman" w:eastAsia="Times New Roman"/>
          <w:spacing w:val="-2"/>
        </w:rPr>
        <w:t>m</w:t>
      </w:r>
      <w:r>
        <w:rPr>
          <w:rFonts w:ascii="Times New Roman" w:eastAsia="Times New Roman"/>
        </w:rPr>
        <w:t>ediu</w:t>
      </w:r>
      <w:r>
        <w:rPr>
          <w:rFonts w:ascii="Times New Roman" w:eastAsia="Times New Roman"/>
          <w:spacing w:val="-3"/>
        </w:rPr>
        <w:t>m</w:t>
      </w:r>
      <w:r>
        <w:rPr>
          <w:spacing w:val="-128"/>
        </w:rPr>
        <w:t>）</w:t>
      </w:r>
      <w:r>
        <w:rPr>
          <w:spacing w:val="-3"/>
        </w:rPr>
        <w:t>，雖保障法第 </w:t>
      </w:r>
      <w:r>
        <w:rPr>
          <w:rFonts w:ascii="Times New Roman" w:eastAsia="Times New Roman"/>
        </w:rPr>
        <w:t>77 </w:t>
      </w:r>
      <w:r>
        <w:rPr/>
        <w:t>條將公</w:t>
      </w:r>
      <w:r>
        <w:rPr/>
        <w:t>務人員對服務機關所為管理措施或有關工作條件之處置的救濟程序列為再申訴</w:t>
      </w:r>
      <w:r>
        <w:rPr>
          <w:spacing w:val="-3"/>
        </w:rPr>
        <w:t>事件，而不許其提起行政訴訟；惟公務人員權益影響重大與否充其量僅得做為審</w:t>
      </w:r>
      <w:r>
        <w:rPr/>
        <w:t>理程序繁簡設計之不同，而不得據此要求再申訴人接受違法、不當之再申訴決</w:t>
      </w:r>
      <w:r>
        <w:rPr>
          <w:spacing w:val="-3"/>
        </w:rPr>
        <w:t>定，而無任何補救管道。故應肯認再申訴人得針對錯誤之再申訴決定透過再審議</w:t>
      </w:r>
      <w:r>
        <w:rPr/>
        <w:t>或其他類似程序請求重新審理再申訴事件。</w:t>
      </w:r>
    </w:p>
    <w:p>
      <w:pPr>
        <w:pStyle w:val="BodyText"/>
        <w:spacing w:before="5"/>
      </w:pPr>
    </w:p>
    <w:p>
      <w:pPr>
        <w:pStyle w:val="ListParagraph"/>
        <w:numPr>
          <w:ilvl w:val="0"/>
          <w:numId w:val="8"/>
        </w:numPr>
        <w:tabs>
          <w:tab w:pos="1221" w:val="left" w:leader="none"/>
        </w:tabs>
        <w:spacing w:line="240" w:lineRule="auto" w:before="1" w:after="0"/>
        <w:ind w:left="1220" w:right="0" w:hanging="322"/>
        <w:jc w:val="left"/>
        <w:rPr>
          <w:rFonts w:ascii="標楷體" w:eastAsia="標楷體" w:hint="eastAsia"/>
          <w:sz w:val="24"/>
        </w:rPr>
      </w:pPr>
      <w:r>
        <w:rPr>
          <w:rFonts w:ascii="標楷體" w:eastAsia="標楷體" w:hint="eastAsia"/>
          <w:sz w:val="24"/>
        </w:rPr>
        <w:t>依法行政原則之要求</w:t>
      </w:r>
    </w:p>
    <w:p>
      <w:pPr>
        <w:pStyle w:val="BodyText"/>
        <w:spacing w:before="5"/>
        <w:rPr>
          <w:rFonts w:ascii="標楷體"/>
          <w:sz w:val="29"/>
        </w:rPr>
      </w:pPr>
    </w:p>
    <w:p>
      <w:pPr>
        <w:pStyle w:val="BodyText"/>
        <w:spacing w:line="295" w:lineRule="auto"/>
        <w:ind w:left="900" w:right="901" w:firstLine="480"/>
        <w:jc w:val="both"/>
      </w:pPr>
      <w:r>
        <w:rPr/>
        <w:t>現代法治國原則下之依法行政原則，乃一切行政行為必須遵循之首要原則</w:t>
      </w:r>
      <w:r>
        <w:rPr>
          <w:rFonts w:ascii="Times New Roman" w:eastAsia="Times New Roman"/>
          <w:vertAlign w:val="superscript"/>
        </w:rPr>
        <w:t>45</w:t>
      </w:r>
      <w:r>
        <w:rPr>
          <w:spacing w:val="-2"/>
          <w:vertAlign w:val="baseline"/>
        </w:rPr>
        <w:t>，且行政程序法第 </w:t>
      </w:r>
      <w:r>
        <w:rPr>
          <w:rFonts w:ascii="Times New Roman" w:eastAsia="Times New Roman"/>
          <w:vertAlign w:val="baseline"/>
        </w:rPr>
        <w:t>4</w:t>
      </w:r>
      <w:r>
        <w:rPr>
          <w:rFonts w:ascii="Times New Roman" w:eastAsia="Times New Roman"/>
          <w:spacing w:val="-7"/>
          <w:vertAlign w:val="baseline"/>
        </w:rPr>
        <w:t> </w:t>
      </w:r>
      <w:r>
        <w:rPr>
          <w:vertAlign w:val="baseline"/>
        </w:rPr>
        <w:t>條亦規定「行政行為應受法律及一般法律原則之拘束。」</w:t>
      </w:r>
      <w:r>
        <w:rPr>
          <w:spacing w:val="-3"/>
          <w:vertAlign w:val="baseline"/>
        </w:rPr>
        <w:t>而保訓會所為之再申訴決定，亦屬行政自我審查之一環，而與依法行政原則之落實密切相關。因此，當吾人發現再申訴決定有違法或不當之瑕疵而符合再審議之要件時，即應給予某種重開再申訴審理之程序保障，以更正錯誤決定，落實依法行政原則。尤其，針對再申訴決定不得提起行政訴訟，若缺乏再審議程序將更明</w:t>
      </w:r>
      <w:r>
        <w:rPr>
          <w:vertAlign w:val="baseline"/>
        </w:rPr>
        <w:t>顯牴觸依法行政原則。</w:t>
      </w:r>
    </w:p>
    <w:p>
      <w:pPr>
        <w:pStyle w:val="BodyText"/>
        <w:spacing w:before="6"/>
      </w:pPr>
    </w:p>
    <w:p>
      <w:pPr>
        <w:pStyle w:val="ListParagraph"/>
        <w:numPr>
          <w:ilvl w:val="0"/>
          <w:numId w:val="8"/>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公務人員救濟體系之一貫性</w:t>
      </w:r>
    </w:p>
    <w:p>
      <w:pPr>
        <w:pStyle w:val="BodyText"/>
        <w:spacing w:before="5"/>
        <w:rPr>
          <w:rFonts w:ascii="標楷體"/>
          <w:sz w:val="29"/>
        </w:rPr>
      </w:pPr>
    </w:p>
    <w:p>
      <w:pPr>
        <w:pStyle w:val="BodyText"/>
        <w:ind w:right="917"/>
        <w:jc w:val="right"/>
        <w:rPr>
          <w:rFonts w:ascii="Times New Roman" w:eastAsia="Times New Roman"/>
        </w:rPr>
      </w:pPr>
      <w:r>
        <w:rPr>
          <w:spacing w:val="-4"/>
        </w:rPr>
        <w:t>依保障法第 </w:t>
      </w:r>
      <w:r>
        <w:rPr>
          <w:rFonts w:ascii="Times New Roman" w:eastAsia="Times New Roman"/>
          <w:spacing w:val="-1"/>
        </w:rPr>
        <w:t>94</w:t>
      </w:r>
      <w:r>
        <w:rPr>
          <w:rFonts w:ascii="Times New Roman" w:eastAsia="Times New Roman"/>
          <w:spacing w:val="-11"/>
        </w:rPr>
        <w:t> </w:t>
      </w:r>
      <w:r>
        <w:rPr>
          <w:spacing w:val="-13"/>
        </w:rPr>
        <w:t>條之立法說明，保障法之再審議制度係參照行政訴訟法第 </w:t>
      </w:r>
      <w:r>
        <w:rPr>
          <w:rFonts w:ascii="Times New Roman" w:eastAsia="Times New Roman"/>
        </w:rPr>
        <w:t>273</w:t>
      </w:r>
    </w:p>
    <w:p>
      <w:pPr>
        <w:pStyle w:val="BodyText"/>
        <w:spacing w:before="79"/>
        <w:ind w:right="917"/>
        <w:jc w:val="right"/>
      </w:pPr>
      <w:r>
        <w:rPr>
          <w:spacing w:val="-4"/>
        </w:rPr>
        <w:t>條、訴願法第 </w:t>
      </w:r>
      <w:r>
        <w:rPr>
          <w:rFonts w:ascii="Times New Roman" w:eastAsia="Times New Roman"/>
          <w:spacing w:val="-2"/>
        </w:rPr>
        <w:t>97</w:t>
      </w:r>
      <w:r>
        <w:rPr>
          <w:rFonts w:ascii="Times New Roman" w:eastAsia="Times New Roman"/>
          <w:spacing w:val="-10"/>
        </w:rPr>
        <w:t> </w:t>
      </w:r>
      <w:r>
        <w:rPr>
          <w:spacing w:val="-3"/>
        </w:rPr>
        <w:t>條再審規定以及公務員懲戒法第 </w:t>
      </w:r>
      <w:r>
        <w:rPr>
          <w:rFonts w:ascii="Times New Roman" w:eastAsia="Times New Roman"/>
          <w:spacing w:val="-1"/>
        </w:rPr>
        <w:t>33</w:t>
      </w:r>
      <w:r>
        <w:rPr>
          <w:rFonts w:ascii="Times New Roman" w:eastAsia="Times New Roman"/>
          <w:spacing w:val="-10"/>
        </w:rPr>
        <w:t> </w:t>
      </w:r>
      <w:r>
        <w:rPr>
          <w:spacing w:val="-1"/>
        </w:rPr>
        <w:t>條再審議規定所制訂。就公</w:t>
      </w:r>
    </w:p>
    <w:p>
      <w:pPr>
        <w:pStyle w:val="BodyText"/>
        <w:spacing w:line="295" w:lineRule="auto" w:before="78"/>
        <w:ind w:left="900" w:right="797"/>
        <w:jc w:val="both"/>
      </w:pPr>
      <w:r>
        <w:rPr>
          <w:spacing w:val="1"/>
        </w:rPr>
        <w:t>務員懲戒法第 </w:t>
      </w:r>
      <w:r>
        <w:rPr>
          <w:rFonts w:ascii="Times New Roman" w:eastAsia="Times New Roman"/>
        </w:rPr>
        <w:t>33</w:t>
      </w:r>
      <w:r>
        <w:rPr>
          <w:rFonts w:ascii="Times New Roman" w:eastAsia="Times New Roman"/>
          <w:spacing w:val="13"/>
        </w:rPr>
        <w:t> </w:t>
      </w:r>
      <w:r>
        <w:rPr/>
        <w:t>條規定再審議部分，係針對懲戒案件之議決；而公務人員之懲</w:t>
      </w:r>
      <w:r>
        <w:rPr>
          <w:spacing w:val="-20"/>
        </w:rPr>
        <w:t>戒處分種類包括：</w:t>
      </w:r>
      <w:r>
        <w:rPr/>
        <w:t>（</w:t>
      </w:r>
      <w:r>
        <w:rPr>
          <w:rFonts w:ascii="Times New Roman" w:eastAsia="Times New Roman"/>
        </w:rPr>
        <w:t>1</w:t>
      </w:r>
      <w:r>
        <w:rPr>
          <w:spacing w:val="-32"/>
        </w:rPr>
        <w:t>）</w:t>
      </w:r>
      <w:r>
        <w:rPr>
          <w:spacing w:val="-51"/>
        </w:rPr>
        <w:t>撤職、</w:t>
      </w:r>
      <w:r>
        <w:rPr/>
        <w:t>（</w:t>
      </w:r>
      <w:r>
        <w:rPr>
          <w:rFonts w:ascii="Times New Roman" w:eastAsia="Times New Roman"/>
        </w:rPr>
        <w:t>2</w:t>
      </w:r>
      <w:r>
        <w:rPr>
          <w:spacing w:val="-32"/>
        </w:rPr>
        <w:t>）</w:t>
      </w:r>
      <w:r>
        <w:rPr>
          <w:spacing w:val="-51"/>
        </w:rPr>
        <w:t>休職、</w:t>
      </w:r>
      <w:r>
        <w:rPr/>
        <w:t>（</w:t>
      </w:r>
      <w:r>
        <w:rPr>
          <w:rFonts w:ascii="Times New Roman" w:eastAsia="Times New Roman"/>
        </w:rPr>
        <w:t>3</w:t>
      </w:r>
      <w:r>
        <w:rPr>
          <w:spacing w:val="-32"/>
        </w:rPr>
        <w:t>）</w:t>
      </w:r>
      <w:r>
        <w:rPr>
          <w:spacing w:val="-51"/>
        </w:rPr>
        <w:t>降級、</w:t>
      </w:r>
      <w:r>
        <w:rPr/>
        <w:t>（</w:t>
      </w:r>
      <w:r>
        <w:rPr>
          <w:rFonts w:ascii="Times New Roman" w:eastAsia="Times New Roman"/>
        </w:rPr>
        <w:t>4</w:t>
      </w:r>
      <w:r>
        <w:rPr>
          <w:spacing w:val="-32"/>
        </w:rPr>
        <w:t>）</w:t>
      </w:r>
      <w:r>
        <w:rPr>
          <w:spacing w:val="-51"/>
        </w:rPr>
        <w:t>減俸、</w:t>
      </w:r>
      <w:r>
        <w:rPr/>
        <w:t>（</w:t>
      </w:r>
      <w:r>
        <w:rPr>
          <w:rFonts w:ascii="Times New Roman" w:eastAsia="Times New Roman"/>
        </w:rPr>
        <w:t>5</w:t>
      </w:r>
      <w:r>
        <w:rPr>
          <w:spacing w:val="-32"/>
        </w:rPr>
        <w:t>）</w:t>
      </w:r>
      <w:r>
        <w:rPr>
          <w:spacing w:val="-8"/>
        </w:rPr>
        <w:t>記過以及</w:t>
      </w:r>
      <w:r>
        <w:rPr/>
        <w:t>（</w:t>
      </w:r>
      <w:r>
        <w:rPr>
          <w:rFonts w:ascii="Times New Roman" w:eastAsia="Times New Roman"/>
          <w:spacing w:val="1"/>
        </w:rPr>
        <w:t>6</w:t>
      </w:r>
      <w:r>
        <w:rPr/>
        <w:t>）</w:t>
      </w:r>
    </w:p>
    <w:p>
      <w:pPr>
        <w:pStyle w:val="BodyText"/>
        <w:rPr>
          <w:sz w:val="20"/>
        </w:rPr>
      </w:pPr>
    </w:p>
    <w:p>
      <w:pPr>
        <w:pStyle w:val="BodyText"/>
        <w:spacing w:before="3"/>
        <w:rPr>
          <w:sz w:val="13"/>
        </w:rPr>
      </w:pPr>
      <w:r>
        <w:rPr/>
        <w:pict>
          <v:rect style="position:absolute;margin-left:90pt;margin-top:11.229551pt;width:144pt;height:.599980pt;mso-position-horizontal-relative:page;mso-position-vertical-relative:paragraph;z-index:-15713792;mso-wrap-distance-left:0;mso-wrap-distance-right:0" filled="true" fillcolor="#000000" stroked="false">
            <v:fill type="solid"/>
            <w10:wrap type="topAndBottom"/>
          </v:rect>
        </w:pict>
      </w:r>
    </w:p>
    <w:p>
      <w:pPr>
        <w:spacing w:before="66"/>
        <w:ind w:left="900" w:right="0" w:firstLine="0"/>
        <w:jc w:val="left"/>
        <w:rPr>
          <w:sz w:val="22"/>
        </w:rPr>
      </w:pPr>
      <w:r>
        <w:rPr>
          <w:rFonts w:ascii="Times New Roman" w:eastAsia="Times New Roman"/>
          <w:w w:val="100"/>
          <w:sz w:val="22"/>
          <w:vertAlign w:val="superscript"/>
        </w:rPr>
        <w:t>45</w:t>
      </w:r>
      <w:r>
        <w:rPr>
          <w:rFonts w:ascii="Times New Roman" w:eastAsia="Times New Roman"/>
          <w:sz w:val="22"/>
          <w:vertAlign w:val="baseline"/>
        </w:rPr>
        <w:t>  </w:t>
      </w:r>
      <w:r>
        <w:rPr>
          <w:spacing w:val="-18"/>
          <w:w w:val="99"/>
          <w:sz w:val="22"/>
          <w:vertAlign w:val="baseline"/>
        </w:rPr>
        <w:t>參閱吳庚，《行政法之理論與實用》</w:t>
      </w:r>
      <w:r>
        <w:rPr>
          <w:spacing w:val="1"/>
          <w:w w:val="99"/>
          <w:sz w:val="22"/>
          <w:vertAlign w:val="baseline"/>
        </w:rPr>
        <w:t>（</w:t>
      </w:r>
      <w:r>
        <w:rPr>
          <w:w w:val="99"/>
          <w:sz w:val="22"/>
          <w:vertAlign w:val="baseline"/>
        </w:rPr>
        <w:t>增訂九版</w:t>
      </w:r>
      <w:r>
        <w:rPr>
          <w:spacing w:val="-111"/>
          <w:w w:val="99"/>
          <w:sz w:val="22"/>
          <w:vertAlign w:val="baseline"/>
        </w:rPr>
        <w:t>）</w:t>
      </w:r>
      <w:r>
        <w:rPr>
          <w:spacing w:val="1"/>
          <w:w w:val="99"/>
          <w:sz w:val="22"/>
          <w:vertAlign w:val="baseline"/>
        </w:rPr>
        <w:t>，</w:t>
      </w:r>
      <w:r>
        <w:rPr>
          <w:rFonts w:ascii="Times New Roman" w:eastAsia="Times New Roman"/>
          <w:w w:val="99"/>
          <w:sz w:val="22"/>
          <w:vertAlign w:val="baseline"/>
        </w:rPr>
        <w:t>20</w:t>
      </w:r>
      <w:r>
        <w:rPr>
          <w:rFonts w:ascii="Times New Roman" w:eastAsia="Times New Roman"/>
          <w:spacing w:val="-1"/>
          <w:w w:val="99"/>
          <w:sz w:val="22"/>
          <w:vertAlign w:val="baseline"/>
        </w:rPr>
        <w:t>0</w:t>
      </w:r>
      <w:r>
        <w:rPr>
          <w:rFonts w:ascii="Times New Roman" w:eastAsia="Times New Roman"/>
          <w:w w:val="99"/>
          <w:sz w:val="22"/>
          <w:vertAlign w:val="baseline"/>
        </w:rPr>
        <w:t>5</w:t>
      </w:r>
      <w:r>
        <w:rPr>
          <w:rFonts w:ascii="Times New Roman" w:eastAsia="Times New Roman"/>
          <w:sz w:val="22"/>
          <w:vertAlign w:val="baseline"/>
        </w:rPr>
        <w:t> </w:t>
      </w:r>
      <w:r>
        <w:rPr>
          <w:w w:val="99"/>
          <w:sz w:val="22"/>
          <w:vertAlign w:val="baseline"/>
        </w:rPr>
        <w:t>年</w:t>
      </w:r>
      <w:r>
        <w:rPr>
          <w:spacing w:val="-2"/>
          <w:sz w:val="22"/>
          <w:vertAlign w:val="baseline"/>
        </w:rPr>
        <w:t> </w:t>
      </w:r>
      <w:r>
        <w:rPr>
          <w:rFonts w:ascii="Times New Roman" w:eastAsia="Times New Roman"/>
          <w:w w:val="99"/>
          <w:sz w:val="22"/>
          <w:vertAlign w:val="baseline"/>
        </w:rPr>
        <w:t>8</w:t>
      </w:r>
      <w:r>
        <w:rPr>
          <w:rFonts w:ascii="Times New Roman" w:eastAsia="Times New Roman"/>
          <w:sz w:val="22"/>
          <w:vertAlign w:val="baseline"/>
        </w:rPr>
        <w:t> </w:t>
      </w:r>
      <w:r>
        <w:rPr>
          <w:spacing w:val="-1"/>
          <w:w w:val="99"/>
          <w:sz w:val="22"/>
          <w:vertAlign w:val="baseline"/>
        </w:rPr>
        <w:t>月，頁</w:t>
      </w:r>
      <w:r>
        <w:rPr>
          <w:spacing w:val="-2"/>
          <w:sz w:val="22"/>
          <w:vertAlign w:val="baseline"/>
        </w:rPr>
        <w:t> </w:t>
      </w:r>
      <w:r>
        <w:rPr>
          <w:rFonts w:ascii="Times New Roman" w:eastAsia="Times New Roman"/>
          <w:w w:val="99"/>
          <w:sz w:val="22"/>
          <w:vertAlign w:val="baseline"/>
        </w:rPr>
        <w:t>81</w:t>
      </w:r>
      <w:r>
        <w:rPr>
          <w:w w:val="99"/>
          <w:sz w:val="22"/>
          <w:vertAlign w:val="baseline"/>
        </w:rPr>
        <w:t>。</w:t>
      </w:r>
    </w:p>
    <w:p>
      <w:pPr>
        <w:spacing w:after="0"/>
        <w:jc w:val="left"/>
        <w:rPr>
          <w:sz w:val="22"/>
        </w:rPr>
        <w:sectPr>
          <w:pgSz w:w="11910" w:h="16840"/>
          <w:pgMar w:header="0" w:footer="1018" w:top="1440" w:bottom="1200" w:left="900" w:right="880"/>
        </w:sectPr>
      </w:pPr>
    </w:p>
    <w:p>
      <w:pPr>
        <w:pStyle w:val="BodyText"/>
        <w:spacing w:before="98"/>
        <w:ind w:left="900"/>
        <w:jc w:val="both"/>
      </w:pPr>
      <w:r>
        <w:rPr/>
        <w:t>申誡等</w:t>
      </w:r>
      <w:r>
        <w:rPr>
          <w:rFonts w:ascii="Times New Roman" w:eastAsia="Times New Roman"/>
          <w:vertAlign w:val="superscript"/>
        </w:rPr>
        <w:t>46</w:t>
      </w:r>
      <w:r>
        <w:rPr>
          <w:spacing w:val="2"/>
          <w:vertAlign w:val="baseline"/>
        </w:rPr>
        <w:t>。而記過、申誡等懲戒決定之效果與保障法第 </w:t>
      </w:r>
      <w:r>
        <w:rPr>
          <w:rFonts w:ascii="Times New Roman" w:eastAsia="Times New Roman"/>
          <w:vertAlign w:val="baseline"/>
        </w:rPr>
        <w:t>77</w:t>
      </w:r>
      <w:r>
        <w:rPr>
          <w:rFonts w:ascii="Times New Roman" w:eastAsia="Times New Roman"/>
          <w:spacing w:val="52"/>
          <w:vertAlign w:val="baseline"/>
        </w:rPr>
        <w:t> </w:t>
      </w:r>
      <w:r>
        <w:rPr>
          <w:vertAlign w:val="baseline"/>
        </w:rPr>
        <w:t>條所稱之管理措施相</w:t>
      </w:r>
    </w:p>
    <w:p>
      <w:pPr>
        <w:pStyle w:val="BodyText"/>
        <w:spacing w:line="295" w:lineRule="auto" w:before="78"/>
        <w:ind w:left="899" w:right="917"/>
        <w:jc w:val="both"/>
      </w:pPr>
      <w:r>
        <w:rPr/>
        <w:t>當。倘若公務員懲戒法第 </w:t>
      </w:r>
      <w:r>
        <w:rPr>
          <w:rFonts w:ascii="Times New Roman" w:eastAsia="Times New Roman"/>
        </w:rPr>
        <w:t>33</w:t>
      </w:r>
      <w:r>
        <w:rPr>
          <w:rFonts w:ascii="Times New Roman" w:eastAsia="Times New Roman"/>
          <w:spacing w:val="6"/>
        </w:rPr>
        <w:t> </w:t>
      </w:r>
      <w:r>
        <w:rPr/>
        <w:t>條允許公務人員懲戒委員會針對記過、申誡等懲戒</w:t>
      </w:r>
      <w:r>
        <w:rPr>
          <w:spacing w:val="-3"/>
        </w:rPr>
        <w:t>處分聲請再審議，從追求法體系之一貫性的角度出發，亦應容許針對再申訴決定申請再審議，以更正其錯誤；不得謂服務機關對再申訴人所為記過、申誡等管理措施或工作條件之處置，並未對再申訴人造成公務人員身份上之變動或影響其公法上財產請求權，或對公務人員權益影響輕微，因而無庸給予重開再申訴審理程</w:t>
      </w:r>
      <w:r>
        <w:rPr/>
        <w:t>序之機會。</w:t>
      </w:r>
    </w:p>
    <w:p>
      <w:pPr>
        <w:pStyle w:val="BodyText"/>
        <w:spacing w:before="2"/>
        <w:rPr>
          <w:sz w:val="30"/>
        </w:rPr>
      </w:pPr>
    </w:p>
    <w:p>
      <w:pPr>
        <w:pStyle w:val="BodyText"/>
        <w:spacing w:line="295" w:lineRule="auto"/>
        <w:ind w:left="899" w:right="856" w:firstLine="480"/>
        <w:jc w:val="both"/>
      </w:pPr>
      <w:r>
        <w:rPr>
          <w:spacing w:val="-3"/>
        </w:rPr>
        <w:t>或有論者認為，公務員懲戒法第 </w:t>
      </w:r>
      <w:r>
        <w:rPr>
          <w:rFonts w:ascii="Times New Roman" w:eastAsia="Times New Roman"/>
          <w:spacing w:val="-2"/>
        </w:rPr>
        <w:t>9</w:t>
      </w:r>
      <w:r>
        <w:rPr>
          <w:rFonts w:ascii="Times New Roman" w:eastAsia="Times New Roman"/>
          <w:spacing w:val="-11"/>
        </w:rPr>
        <w:t> </w:t>
      </w:r>
      <w:r>
        <w:rPr>
          <w:spacing w:val="-2"/>
        </w:rPr>
        <w:t>條所規定之記過、申誡，係由</w:t>
      </w:r>
      <w:r>
        <w:rPr>
          <w:rFonts w:ascii="標楷體" w:eastAsia="標楷體" w:hint="eastAsia"/>
          <w:spacing w:val="-2"/>
        </w:rPr>
        <w:t>公務員懲戒委員會</w:t>
      </w:r>
      <w:r>
        <w:rPr>
          <w:spacing w:val="-2"/>
        </w:rPr>
        <w:t>所為之決定，且其效果將可能影響公務人員之晉敘、升職等權益，相較於</w:t>
      </w:r>
      <w:r>
        <w:rPr/>
        <w:t>保障法將服務機關所為記過、申誡歸類管理措施，並不直接影響公務人員之權</w:t>
      </w:r>
      <w:r>
        <w:rPr>
          <w:spacing w:val="-20"/>
        </w:rPr>
        <w:t>利，兩者在「作成決定之程序」及「法律效果」上均有所不同，而不宜等同視之。</w:t>
      </w:r>
    </w:p>
    <w:p>
      <w:pPr>
        <w:pStyle w:val="BodyText"/>
        <w:spacing w:line="295" w:lineRule="auto" w:before="185"/>
        <w:ind w:left="899" w:right="909" w:firstLine="480"/>
        <w:jc w:val="both"/>
      </w:pPr>
      <w:r>
        <w:rPr>
          <w:spacing w:val="-3"/>
        </w:rPr>
        <w:t>本文認為，儘管兩者在作決定之程序及法律效果上不盡相同，惟就公務人員而言，兩者從形式觀之，其文字用語相同；從法律效果觀之，因考績優劣亦會影</w:t>
      </w:r>
      <w:r>
        <w:rPr/>
        <w:t>響公務人員考績獎金之多寡，進而對財產權造成影響，相較於公務員懲戒法第</w:t>
      </w:r>
    </w:p>
    <w:p>
      <w:pPr>
        <w:pStyle w:val="BodyText"/>
        <w:spacing w:line="295" w:lineRule="auto" w:before="3"/>
        <w:ind w:left="899" w:right="857"/>
        <w:jc w:val="both"/>
      </w:pPr>
      <w:r>
        <w:rPr>
          <w:rFonts w:ascii="Times New Roman" w:eastAsia="Times New Roman"/>
        </w:rPr>
        <w:t>12</w:t>
      </w:r>
      <w:r>
        <w:rPr>
          <w:rFonts w:ascii="Times New Roman" w:eastAsia="Times New Roman"/>
          <w:spacing w:val="2"/>
        </w:rPr>
        <w:t> </w:t>
      </w:r>
      <w:r>
        <w:rPr/>
        <w:t>條規定對公務人員晉敘、升職之影響，兩者所造成之法律效果均不容小覷，</w:t>
      </w:r>
      <w:r>
        <w:rPr>
          <w:spacing w:val="1"/>
        </w:rPr>
        <w:t> </w:t>
      </w:r>
      <w:r>
        <w:rPr>
          <w:spacing w:val="-1"/>
        </w:rPr>
        <w:t>因此，本文認為儘管兩者在「作成決定之程序」及「法律效果」上均有所不同，</w:t>
      </w:r>
      <w:r>
        <w:rPr>
          <w:spacing w:val="-60"/>
        </w:rPr>
        <w:t> </w:t>
      </w:r>
      <w:r>
        <w:rPr/>
        <w:t>仍應允許公務人員對有瑕疵之再申訴決定提起再審議程序，方為正辦。</w:t>
      </w:r>
    </w:p>
    <w:p>
      <w:pPr>
        <w:pStyle w:val="BodyText"/>
      </w:pPr>
    </w:p>
    <w:p>
      <w:pPr>
        <w:pStyle w:val="Heading3"/>
        <w:spacing w:before="182"/>
        <w:ind w:left="899"/>
      </w:pPr>
      <w:r>
        <w:rPr/>
        <w:t>（二）適用再審議制度之可能招致之質疑</w:t>
      </w:r>
    </w:p>
    <w:p>
      <w:pPr>
        <w:pStyle w:val="BodyText"/>
        <w:spacing w:before="5"/>
        <w:rPr>
          <w:rFonts w:ascii="標楷體"/>
          <w:b/>
          <w:sz w:val="29"/>
        </w:rPr>
      </w:pPr>
    </w:p>
    <w:p>
      <w:pPr>
        <w:pStyle w:val="BodyText"/>
        <w:spacing w:line="295" w:lineRule="auto"/>
        <w:ind w:left="899" w:right="917" w:firstLine="480"/>
      </w:pPr>
      <w:r>
        <w:rPr>
          <w:spacing w:val="-3"/>
        </w:rPr>
        <w:t>反對以再審議程序作為再申訴事件補救管道者，其可能質疑之論點，茲說明</w:t>
      </w:r>
      <w:r>
        <w:rPr/>
        <w:t>如下：</w:t>
      </w:r>
    </w:p>
    <w:p>
      <w:pPr>
        <w:pStyle w:val="BodyText"/>
      </w:pPr>
    </w:p>
    <w:p>
      <w:pPr>
        <w:pStyle w:val="ListParagraph"/>
        <w:numPr>
          <w:ilvl w:val="0"/>
          <w:numId w:val="9"/>
        </w:numPr>
        <w:tabs>
          <w:tab w:pos="1221" w:val="left" w:leader="none"/>
        </w:tabs>
        <w:spacing w:line="240" w:lineRule="auto" w:before="0" w:after="0"/>
        <w:ind w:left="1220" w:right="0" w:hanging="322"/>
        <w:jc w:val="both"/>
        <w:rPr>
          <w:rFonts w:ascii="標楷體" w:eastAsia="標楷體" w:hint="eastAsia"/>
          <w:sz w:val="24"/>
        </w:rPr>
      </w:pPr>
      <w:r>
        <w:rPr>
          <w:rFonts w:ascii="標楷體" w:eastAsia="標楷體" w:hint="eastAsia"/>
          <w:sz w:val="24"/>
        </w:rPr>
        <w:t>救濟程序的不經濟性</w:t>
      </w:r>
    </w:p>
    <w:p>
      <w:pPr>
        <w:pStyle w:val="BodyText"/>
        <w:spacing w:before="5"/>
        <w:rPr>
          <w:rFonts w:ascii="標楷體"/>
          <w:sz w:val="29"/>
        </w:rPr>
      </w:pPr>
    </w:p>
    <w:p>
      <w:pPr>
        <w:pStyle w:val="BodyText"/>
        <w:spacing w:line="295" w:lineRule="auto" w:before="1"/>
        <w:ind w:left="899" w:right="910" w:firstLine="480"/>
      </w:pPr>
      <w:r>
        <w:rPr/>
        <w:t>再申訴事件之審理客體係針對服務機關所為之管理措施或有關工作條件之</w:t>
      </w:r>
      <w:r>
        <w:rPr>
          <w:spacing w:val="-3"/>
        </w:rPr>
        <w:t>處置，因此類管理措施或工作條件之處置對再申訴人權益影響尚屬輕微，宜迅速</w:t>
      </w:r>
    </w:p>
    <w:p>
      <w:pPr>
        <w:pStyle w:val="BodyText"/>
        <w:spacing w:before="7"/>
        <w:rPr>
          <w:sz w:val="9"/>
        </w:rPr>
      </w:pPr>
      <w:r>
        <w:rPr/>
        <w:pict>
          <v:rect style="position:absolute;margin-left:90pt;margin-top:8.63376pt;width:144pt;height:.59999pt;mso-position-horizontal-relative:page;mso-position-vertical-relative:paragraph;z-index:-15713280;mso-wrap-distance-left:0;mso-wrap-distance-right:0" filled="true" fillcolor="#000000" stroked="false">
            <v:fill type="solid"/>
            <w10:wrap type="topAndBottom"/>
          </v:rect>
        </w:pict>
      </w:r>
    </w:p>
    <w:p>
      <w:pPr>
        <w:spacing w:before="66" w:after="24"/>
        <w:ind w:left="900" w:right="0" w:firstLine="0"/>
        <w:jc w:val="left"/>
        <w:rPr>
          <w:rFonts w:ascii="標楷體" w:eastAsia="標楷體" w:hint="eastAsia"/>
          <w:sz w:val="22"/>
        </w:rPr>
      </w:pPr>
      <w:r>
        <w:rPr>
          <w:rFonts w:ascii="Times New Roman" w:eastAsia="Times New Roman"/>
          <w:sz w:val="22"/>
          <w:vertAlign w:val="superscript"/>
        </w:rPr>
        <w:t>46</w:t>
      </w:r>
      <w:r>
        <w:rPr>
          <w:rFonts w:ascii="Times New Roman" w:eastAsia="Times New Roman"/>
          <w:spacing w:val="54"/>
          <w:sz w:val="22"/>
          <w:vertAlign w:val="baseline"/>
        </w:rPr>
        <w:t> </w:t>
      </w:r>
      <w:r>
        <w:rPr>
          <w:spacing w:val="-1"/>
          <w:sz w:val="22"/>
          <w:vertAlign w:val="baseline"/>
        </w:rPr>
        <w:t>公務員懲戒法第 </w:t>
      </w:r>
      <w:r>
        <w:rPr>
          <w:rFonts w:ascii="Times New Roman" w:eastAsia="Times New Roman"/>
          <w:sz w:val="22"/>
          <w:vertAlign w:val="baseline"/>
        </w:rPr>
        <w:t>9 </w:t>
      </w:r>
      <w:r>
        <w:rPr>
          <w:spacing w:val="-1"/>
          <w:sz w:val="22"/>
          <w:vertAlign w:val="baseline"/>
        </w:rPr>
        <w:t>條第 </w:t>
      </w:r>
      <w:r>
        <w:rPr>
          <w:rFonts w:ascii="Times New Roman" w:eastAsia="Times New Roman"/>
          <w:sz w:val="22"/>
          <w:vertAlign w:val="baseline"/>
        </w:rPr>
        <w:t>1</w:t>
      </w:r>
      <w:r>
        <w:rPr>
          <w:rFonts w:ascii="Times New Roman" w:eastAsia="Times New Roman"/>
          <w:spacing w:val="-1"/>
          <w:sz w:val="22"/>
          <w:vertAlign w:val="baseline"/>
        </w:rPr>
        <w:t> </w:t>
      </w:r>
      <w:r>
        <w:rPr>
          <w:spacing w:val="-28"/>
          <w:sz w:val="22"/>
          <w:vertAlign w:val="baseline"/>
        </w:rPr>
        <w:t>項規定：</w:t>
      </w:r>
      <w:r>
        <w:rPr>
          <w:rFonts w:ascii="標楷體" w:eastAsia="標楷體" w:hint="eastAsia"/>
          <w:sz w:val="22"/>
          <w:vertAlign w:val="baseline"/>
        </w:rPr>
        <w:t>「公務員之懲戒處分如左：</w:t>
      </w:r>
    </w:p>
    <w:tbl>
      <w:tblPr>
        <w:tblW w:w="0" w:type="auto"/>
        <w:jc w:val="left"/>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
        <w:gridCol w:w="1041"/>
      </w:tblGrid>
      <w:tr>
        <w:trPr>
          <w:trHeight w:val="252" w:hRule="atLeast"/>
        </w:trPr>
        <w:tc>
          <w:tcPr>
            <w:tcW w:w="379" w:type="dxa"/>
          </w:tcPr>
          <w:p>
            <w:pPr>
              <w:pStyle w:val="TableParagraph"/>
              <w:spacing w:line="233" w:lineRule="exact" w:before="0"/>
              <w:ind w:left="50"/>
              <w:rPr>
                <w:rFonts w:ascii="標楷體" w:eastAsia="標楷體" w:hint="eastAsia"/>
                <w:sz w:val="22"/>
              </w:rPr>
            </w:pPr>
            <w:r>
              <w:rPr>
                <w:rFonts w:ascii="標楷體" w:eastAsia="標楷體" w:hint="eastAsia"/>
                <w:w w:val="99"/>
                <w:sz w:val="22"/>
              </w:rPr>
              <w:t>一</w:t>
            </w:r>
          </w:p>
        </w:tc>
        <w:tc>
          <w:tcPr>
            <w:tcW w:w="1041" w:type="dxa"/>
          </w:tcPr>
          <w:p>
            <w:pPr>
              <w:pStyle w:val="TableParagraph"/>
              <w:spacing w:line="233" w:lineRule="exact" w:before="0"/>
              <w:ind w:left="110"/>
              <w:rPr>
                <w:rFonts w:ascii="標楷體" w:eastAsia="標楷體" w:hint="eastAsia"/>
                <w:sz w:val="22"/>
              </w:rPr>
            </w:pPr>
            <w:r>
              <w:rPr>
                <w:rFonts w:ascii="標楷體" w:eastAsia="標楷體" w:hint="eastAsia"/>
                <w:sz w:val="22"/>
              </w:rPr>
              <w:t>撤職。</w:t>
            </w:r>
          </w:p>
        </w:tc>
      </w:tr>
      <w:tr>
        <w:trPr>
          <w:trHeight w:val="286" w:hRule="atLeast"/>
        </w:trPr>
        <w:tc>
          <w:tcPr>
            <w:tcW w:w="379" w:type="dxa"/>
          </w:tcPr>
          <w:p>
            <w:pPr>
              <w:pStyle w:val="TableParagraph"/>
              <w:spacing w:line="266" w:lineRule="exact" w:before="0"/>
              <w:ind w:left="50"/>
              <w:rPr>
                <w:rFonts w:ascii="標楷體" w:eastAsia="標楷體" w:hint="eastAsia"/>
                <w:sz w:val="22"/>
              </w:rPr>
            </w:pPr>
            <w:r>
              <w:rPr>
                <w:rFonts w:ascii="標楷體" w:eastAsia="標楷體" w:hint="eastAsia"/>
                <w:w w:val="99"/>
                <w:sz w:val="22"/>
              </w:rPr>
              <w:t>二</w:t>
            </w:r>
          </w:p>
        </w:tc>
        <w:tc>
          <w:tcPr>
            <w:tcW w:w="1041" w:type="dxa"/>
          </w:tcPr>
          <w:p>
            <w:pPr>
              <w:pStyle w:val="TableParagraph"/>
              <w:spacing w:line="266" w:lineRule="exact" w:before="0"/>
              <w:ind w:left="110"/>
              <w:rPr>
                <w:rFonts w:ascii="標楷體" w:eastAsia="標楷體" w:hint="eastAsia"/>
                <w:sz w:val="22"/>
              </w:rPr>
            </w:pPr>
            <w:r>
              <w:rPr>
                <w:rFonts w:ascii="標楷體" w:eastAsia="標楷體" w:hint="eastAsia"/>
                <w:sz w:val="22"/>
              </w:rPr>
              <w:t>休職。</w:t>
            </w:r>
          </w:p>
        </w:tc>
      </w:tr>
      <w:tr>
        <w:trPr>
          <w:trHeight w:val="286" w:hRule="atLeast"/>
        </w:trPr>
        <w:tc>
          <w:tcPr>
            <w:tcW w:w="379" w:type="dxa"/>
          </w:tcPr>
          <w:p>
            <w:pPr>
              <w:pStyle w:val="TableParagraph"/>
              <w:spacing w:line="266" w:lineRule="exact" w:before="0"/>
              <w:ind w:left="50"/>
              <w:rPr>
                <w:rFonts w:ascii="標楷體" w:eastAsia="標楷體" w:hint="eastAsia"/>
                <w:sz w:val="22"/>
              </w:rPr>
            </w:pPr>
            <w:r>
              <w:rPr>
                <w:rFonts w:ascii="標楷體" w:eastAsia="標楷體" w:hint="eastAsia"/>
                <w:w w:val="99"/>
                <w:sz w:val="22"/>
              </w:rPr>
              <w:t>三</w:t>
            </w:r>
          </w:p>
        </w:tc>
        <w:tc>
          <w:tcPr>
            <w:tcW w:w="1041" w:type="dxa"/>
          </w:tcPr>
          <w:p>
            <w:pPr>
              <w:pStyle w:val="TableParagraph"/>
              <w:spacing w:line="266" w:lineRule="exact" w:before="0"/>
              <w:ind w:left="110"/>
              <w:rPr>
                <w:rFonts w:ascii="標楷體" w:eastAsia="標楷體" w:hint="eastAsia"/>
                <w:sz w:val="22"/>
              </w:rPr>
            </w:pPr>
            <w:r>
              <w:rPr>
                <w:rFonts w:ascii="標楷體" w:eastAsia="標楷體" w:hint="eastAsia"/>
                <w:sz w:val="22"/>
              </w:rPr>
              <w:t>降級。</w:t>
            </w:r>
          </w:p>
        </w:tc>
      </w:tr>
      <w:tr>
        <w:trPr>
          <w:trHeight w:val="286" w:hRule="atLeast"/>
        </w:trPr>
        <w:tc>
          <w:tcPr>
            <w:tcW w:w="379" w:type="dxa"/>
          </w:tcPr>
          <w:p>
            <w:pPr>
              <w:pStyle w:val="TableParagraph"/>
              <w:spacing w:line="266" w:lineRule="exact" w:before="0"/>
              <w:ind w:left="50"/>
              <w:rPr>
                <w:rFonts w:ascii="標楷體" w:eastAsia="標楷體" w:hint="eastAsia"/>
                <w:sz w:val="22"/>
              </w:rPr>
            </w:pPr>
            <w:r>
              <w:rPr>
                <w:rFonts w:ascii="標楷體" w:eastAsia="標楷體" w:hint="eastAsia"/>
                <w:w w:val="99"/>
                <w:sz w:val="22"/>
              </w:rPr>
              <w:t>四</w:t>
            </w:r>
          </w:p>
        </w:tc>
        <w:tc>
          <w:tcPr>
            <w:tcW w:w="1041" w:type="dxa"/>
          </w:tcPr>
          <w:p>
            <w:pPr>
              <w:pStyle w:val="TableParagraph"/>
              <w:spacing w:line="266" w:lineRule="exact" w:before="0"/>
              <w:ind w:left="110"/>
              <w:rPr>
                <w:rFonts w:ascii="標楷體" w:eastAsia="標楷體" w:hint="eastAsia"/>
                <w:sz w:val="22"/>
              </w:rPr>
            </w:pPr>
            <w:r>
              <w:rPr>
                <w:rFonts w:ascii="標楷體" w:eastAsia="標楷體" w:hint="eastAsia"/>
                <w:sz w:val="22"/>
              </w:rPr>
              <w:t>減俸。</w:t>
            </w:r>
          </w:p>
        </w:tc>
      </w:tr>
      <w:tr>
        <w:trPr>
          <w:trHeight w:val="286" w:hRule="atLeast"/>
        </w:trPr>
        <w:tc>
          <w:tcPr>
            <w:tcW w:w="379" w:type="dxa"/>
          </w:tcPr>
          <w:p>
            <w:pPr>
              <w:pStyle w:val="TableParagraph"/>
              <w:spacing w:line="266" w:lineRule="exact" w:before="0"/>
              <w:ind w:left="50"/>
              <w:rPr>
                <w:rFonts w:ascii="標楷體" w:eastAsia="標楷體" w:hint="eastAsia"/>
                <w:sz w:val="22"/>
              </w:rPr>
            </w:pPr>
            <w:r>
              <w:rPr>
                <w:rFonts w:ascii="標楷體" w:eastAsia="標楷體" w:hint="eastAsia"/>
                <w:w w:val="99"/>
                <w:sz w:val="22"/>
              </w:rPr>
              <w:t>五</w:t>
            </w:r>
          </w:p>
        </w:tc>
        <w:tc>
          <w:tcPr>
            <w:tcW w:w="1041" w:type="dxa"/>
          </w:tcPr>
          <w:p>
            <w:pPr>
              <w:pStyle w:val="TableParagraph"/>
              <w:spacing w:line="266" w:lineRule="exact" w:before="0"/>
              <w:ind w:left="110"/>
              <w:rPr>
                <w:rFonts w:ascii="標楷體" w:eastAsia="標楷體" w:hint="eastAsia"/>
                <w:sz w:val="22"/>
              </w:rPr>
            </w:pPr>
            <w:r>
              <w:rPr>
                <w:rFonts w:ascii="標楷體" w:eastAsia="標楷體" w:hint="eastAsia"/>
                <w:sz w:val="22"/>
              </w:rPr>
              <w:t>記過。</w:t>
            </w:r>
          </w:p>
        </w:tc>
      </w:tr>
      <w:tr>
        <w:trPr>
          <w:trHeight w:val="252" w:hRule="atLeast"/>
        </w:trPr>
        <w:tc>
          <w:tcPr>
            <w:tcW w:w="379" w:type="dxa"/>
          </w:tcPr>
          <w:p>
            <w:pPr>
              <w:pStyle w:val="TableParagraph"/>
              <w:spacing w:line="233" w:lineRule="exact" w:before="0"/>
              <w:ind w:left="50"/>
              <w:rPr>
                <w:rFonts w:ascii="標楷體" w:eastAsia="標楷體" w:hint="eastAsia"/>
                <w:sz w:val="22"/>
              </w:rPr>
            </w:pPr>
            <w:r>
              <w:rPr>
                <w:rFonts w:ascii="標楷體" w:eastAsia="標楷體" w:hint="eastAsia"/>
                <w:w w:val="99"/>
                <w:sz w:val="22"/>
              </w:rPr>
              <w:t>六</w:t>
            </w:r>
          </w:p>
        </w:tc>
        <w:tc>
          <w:tcPr>
            <w:tcW w:w="1041" w:type="dxa"/>
          </w:tcPr>
          <w:p>
            <w:pPr>
              <w:pStyle w:val="TableParagraph"/>
              <w:spacing w:line="233" w:lineRule="exact" w:before="0"/>
              <w:ind w:left="110"/>
              <w:rPr>
                <w:rFonts w:ascii="標楷體" w:eastAsia="標楷體" w:hint="eastAsia"/>
                <w:sz w:val="22"/>
              </w:rPr>
            </w:pPr>
            <w:r>
              <w:rPr>
                <w:rFonts w:ascii="標楷體" w:eastAsia="標楷體" w:hint="eastAsia"/>
                <w:sz w:val="22"/>
              </w:rPr>
              <w:t>申誡。」</w:t>
            </w:r>
          </w:p>
        </w:tc>
      </w:tr>
    </w:tbl>
    <w:p>
      <w:pPr>
        <w:spacing w:after="0" w:line="233" w:lineRule="exact"/>
        <w:rPr>
          <w:rFonts w:ascii="標楷體" w:eastAsia="標楷體" w:hint="eastAsia"/>
          <w:sz w:val="22"/>
        </w:rPr>
        <w:sectPr>
          <w:pgSz w:w="11910" w:h="16840"/>
          <w:pgMar w:header="0" w:footer="1018" w:top="1380" w:bottom="1200" w:left="900" w:right="880"/>
        </w:sectPr>
      </w:pPr>
    </w:p>
    <w:p>
      <w:pPr>
        <w:pStyle w:val="BodyText"/>
        <w:spacing w:line="295" w:lineRule="auto" w:before="38"/>
        <w:ind w:left="900" w:right="857"/>
      </w:pPr>
      <w:r>
        <w:rPr>
          <w:spacing w:val="-2"/>
        </w:rPr>
        <w:t>審理以使法律關係及早確定，倘若允許再申訴人針對再申訴事件重複尋求救濟，</w:t>
      </w:r>
      <w:r>
        <w:rPr>
          <w:spacing w:val="-60"/>
        </w:rPr>
        <w:t> </w:t>
      </w:r>
      <w:r>
        <w:rPr/>
        <w:t>將造成審理程序之不經濟性。</w:t>
      </w:r>
    </w:p>
    <w:p>
      <w:pPr>
        <w:pStyle w:val="BodyText"/>
      </w:pPr>
    </w:p>
    <w:p>
      <w:pPr>
        <w:pStyle w:val="ListParagraph"/>
        <w:numPr>
          <w:ilvl w:val="0"/>
          <w:numId w:val="9"/>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再審議制度係立法形成自由</w:t>
      </w:r>
    </w:p>
    <w:p>
      <w:pPr>
        <w:pStyle w:val="BodyText"/>
        <w:spacing w:before="5"/>
        <w:rPr>
          <w:rFonts w:ascii="標楷體"/>
          <w:sz w:val="29"/>
        </w:rPr>
      </w:pPr>
    </w:p>
    <w:p>
      <w:pPr>
        <w:pStyle w:val="BodyText"/>
        <w:spacing w:line="295" w:lineRule="auto" w:before="1"/>
        <w:ind w:left="899" w:right="855" w:firstLine="480"/>
        <w:jc w:val="both"/>
      </w:pPr>
      <w:r>
        <w:rPr>
          <w:spacing w:val="-4"/>
        </w:rPr>
        <w:t>依司法院釋字第 </w:t>
      </w:r>
      <w:r>
        <w:rPr>
          <w:rFonts w:ascii="Times New Roman" w:eastAsia="Times New Roman"/>
          <w:spacing w:val="-2"/>
        </w:rPr>
        <w:t>574</w:t>
      </w:r>
      <w:r>
        <w:rPr>
          <w:rFonts w:ascii="Times New Roman" w:eastAsia="Times New Roman"/>
          <w:spacing w:val="-10"/>
        </w:rPr>
        <w:t> </w:t>
      </w:r>
      <w:r>
        <w:rPr>
          <w:spacing w:val="-2"/>
        </w:rPr>
        <w:t>號解釋之意旨「憲法第十六條所規定之訴訟權，係以人民於其權利遭受侵害時，得依正當法律程序請求法院救濟為其核心內容。而訴訟</w:t>
      </w:r>
      <w:r>
        <w:rPr>
          <w:spacing w:val="-1"/>
        </w:rPr>
        <w:t>救濟應循之審級、程序及相關要件，則由立法機關衡量訴訟案件之種類、性質、</w:t>
      </w:r>
      <w:r>
        <w:rPr>
          <w:spacing w:val="-16"/>
        </w:rPr>
        <w:t>訴訟政策目的，以及訴訟制度之功能等因素，以法律為正當合理之規定。」據此，</w:t>
      </w:r>
      <w:r>
        <w:rPr>
          <w:spacing w:val="-60"/>
        </w:rPr>
        <w:t> </w:t>
      </w:r>
      <w:r>
        <w:rPr/>
        <w:t>吾人可以得知，審級制度並非憲法第 </w:t>
      </w:r>
      <w:r>
        <w:rPr>
          <w:rFonts w:ascii="Times New Roman" w:eastAsia="Times New Roman"/>
        </w:rPr>
        <w:t>16</w:t>
      </w:r>
      <w:r>
        <w:rPr>
          <w:rFonts w:ascii="Times New Roman" w:eastAsia="Times New Roman"/>
          <w:spacing w:val="13"/>
        </w:rPr>
        <w:t> </w:t>
      </w:r>
      <w:r>
        <w:rPr/>
        <w:t>條訴訟權所保障之核心，故保障法規定</w:t>
      </w:r>
      <w:r>
        <w:rPr>
          <w:spacing w:val="-2"/>
        </w:rPr>
        <w:t>再申訴人認為服務機關之管理措施或有關工作條件之處置不當侵害其權益時，僅</w:t>
      </w:r>
      <w:r>
        <w:rPr>
          <w:spacing w:val="-1"/>
        </w:rPr>
        <w:t>得於申訴後向保訓會提起再申訴，而無再審議程序之適用，亦屬立法形成空間。</w:t>
      </w:r>
    </w:p>
    <w:p>
      <w:pPr>
        <w:pStyle w:val="BodyText"/>
        <w:spacing w:before="6"/>
      </w:pPr>
    </w:p>
    <w:p>
      <w:pPr>
        <w:pStyle w:val="Heading3"/>
      </w:pPr>
      <w:r>
        <w:rPr/>
        <w:t>（三）本文見解</w:t>
      </w:r>
    </w:p>
    <w:p>
      <w:pPr>
        <w:pStyle w:val="BodyText"/>
        <w:rPr>
          <w:rFonts w:ascii="標楷體"/>
          <w:b/>
        </w:rPr>
      </w:pPr>
    </w:p>
    <w:p>
      <w:pPr>
        <w:pStyle w:val="BodyText"/>
        <w:spacing w:before="3"/>
        <w:rPr>
          <w:rFonts w:ascii="標楷體"/>
          <w:b/>
          <w:sz w:val="18"/>
        </w:rPr>
      </w:pPr>
    </w:p>
    <w:p>
      <w:pPr>
        <w:pStyle w:val="BodyText"/>
        <w:spacing w:line="295" w:lineRule="auto"/>
        <w:ind w:left="900" w:right="917" w:firstLine="480"/>
        <w:jc w:val="both"/>
      </w:pPr>
      <w:r>
        <w:rPr>
          <w:spacing w:val="-3"/>
        </w:rPr>
        <w:t>以上肯否兩說之見解，固均各有其論據，然而，在本研究計畫所舉辦之學者專家座談會中，與會學者間針對有關再申訴決定得否適用再審議規定，儘管意見紛歧，但結論卻一致認為，基於依法行政原則之要求，倘若發現已確定之再申訴決定存有瑕疵，即應有某種更正機制；更有論者認為，傳統見解以行政程序法第</w:t>
      </w:r>
      <w:r>
        <w:rPr>
          <w:rFonts w:ascii="Times New Roman" w:eastAsia="Times New Roman"/>
        </w:rPr>
        <w:t>3</w:t>
      </w:r>
      <w:r>
        <w:rPr>
          <w:rFonts w:ascii="Times New Roman" w:eastAsia="Times New Roman"/>
          <w:spacing w:val="-11"/>
        </w:rPr>
        <w:t> </w:t>
      </w:r>
      <w:r>
        <w:rPr>
          <w:spacing w:val="-5"/>
        </w:rPr>
        <w:t>條第 </w:t>
      </w:r>
      <w:r>
        <w:rPr>
          <w:rFonts w:ascii="Times New Roman" w:eastAsia="Times New Roman"/>
        </w:rPr>
        <w:t>3</w:t>
      </w:r>
      <w:r>
        <w:rPr>
          <w:rFonts w:ascii="Times New Roman" w:eastAsia="Times New Roman"/>
          <w:spacing w:val="-10"/>
        </w:rPr>
        <w:t> </w:t>
      </w:r>
      <w:r>
        <w:rPr>
          <w:spacing w:val="-5"/>
        </w:rPr>
        <w:t>項第 </w:t>
      </w:r>
      <w:r>
        <w:rPr>
          <w:rFonts w:ascii="Times New Roman" w:eastAsia="Times New Roman"/>
        </w:rPr>
        <w:t>7</w:t>
      </w:r>
      <w:r>
        <w:rPr>
          <w:rFonts w:ascii="Times New Roman" w:eastAsia="Times New Roman"/>
          <w:spacing w:val="-11"/>
        </w:rPr>
        <w:t> </w:t>
      </w:r>
      <w:r>
        <w:rPr/>
        <w:t>款規定人事行政行為不適用行政程序法，因而認定人事行政行為</w:t>
      </w:r>
    </w:p>
    <w:p>
      <w:pPr>
        <w:pStyle w:val="BodyText"/>
        <w:spacing w:before="6"/>
        <w:ind w:left="900"/>
        <w:jc w:val="both"/>
      </w:pPr>
      <w:r>
        <w:rPr>
          <w:spacing w:val="-4"/>
        </w:rPr>
        <w:t>無法類推適用行政程序法第 </w:t>
      </w:r>
      <w:r>
        <w:rPr>
          <w:rFonts w:ascii="Times New Roman" w:eastAsia="Times New Roman"/>
          <w:spacing w:val="-2"/>
        </w:rPr>
        <w:t>128</w:t>
      </w:r>
      <w:r>
        <w:rPr>
          <w:rFonts w:ascii="Times New Roman" w:eastAsia="Times New Roman"/>
          <w:spacing w:val="-10"/>
        </w:rPr>
        <w:t> </w:t>
      </w:r>
      <w:r>
        <w:rPr>
          <w:spacing w:val="-2"/>
        </w:rPr>
        <w:t>條規定更正有瑕疵之再申訴決定，惟，公務人員</w:t>
      </w:r>
    </w:p>
    <w:p>
      <w:pPr>
        <w:pStyle w:val="BodyText"/>
        <w:spacing w:before="79"/>
        <w:ind w:left="900"/>
        <w:jc w:val="both"/>
      </w:pPr>
      <w:r>
        <w:rPr>
          <w:spacing w:val="2"/>
        </w:rPr>
        <w:t>任用法第 </w:t>
      </w:r>
      <w:r>
        <w:rPr>
          <w:rFonts w:ascii="Times New Roman" w:eastAsia="Times New Roman"/>
        </w:rPr>
        <w:t>24</w:t>
      </w:r>
      <w:r>
        <w:rPr>
          <w:rFonts w:ascii="Times New Roman" w:eastAsia="Times New Roman"/>
          <w:spacing w:val="18"/>
        </w:rPr>
        <w:t> </w:t>
      </w:r>
      <w:r>
        <w:rPr>
          <w:spacing w:val="4"/>
        </w:rPr>
        <w:t>條之 </w:t>
      </w:r>
      <w:r>
        <w:rPr>
          <w:rFonts w:ascii="Times New Roman" w:eastAsia="Times New Roman"/>
        </w:rPr>
        <w:t>1</w:t>
      </w:r>
      <w:r>
        <w:rPr>
          <w:rFonts w:ascii="Times New Roman" w:eastAsia="Times New Roman"/>
          <w:spacing w:val="16"/>
        </w:rPr>
        <w:t> </w:t>
      </w:r>
      <w:r>
        <w:rPr>
          <w:spacing w:val="7"/>
        </w:rPr>
        <w:t>第 </w:t>
      </w:r>
      <w:r>
        <w:rPr>
          <w:rFonts w:ascii="Times New Roman" w:eastAsia="Times New Roman"/>
        </w:rPr>
        <w:t>2</w:t>
      </w:r>
      <w:r>
        <w:rPr>
          <w:rFonts w:ascii="Times New Roman" w:eastAsia="Times New Roman"/>
          <w:spacing w:val="18"/>
        </w:rPr>
        <w:t> </w:t>
      </w:r>
      <w:r>
        <w:rPr/>
        <w:t>項</w:t>
      </w:r>
      <w:r>
        <w:rPr>
          <w:rFonts w:ascii="Times New Roman" w:eastAsia="Times New Roman"/>
          <w:vertAlign w:val="superscript"/>
        </w:rPr>
        <w:t>47</w:t>
      </w:r>
      <w:r>
        <w:rPr>
          <w:vertAlign w:val="baseline"/>
        </w:rPr>
        <w:t>直接規定準用行政程序法有關程序再開之規定，該</w:t>
      </w:r>
    </w:p>
    <w:p>
      <w:pPr>
        <w:pStyle w:val="BodyText"/>
        <w:spacing w:line="295" w:lineRule="auto" w:before="78"/>
        <w:ind w:left="900" w:right="917"/>
        <w:jc w:val="both"/>
      </w:pPr>
      <w:r>
        <w:rPr>
          <w:spacing w:val="-4"/>
        </w:rPr>
        <w:t>規定突破行政程序法第 </w:t>
      </w:r>
      <w:r>
        <w:rPr>
          <w:rFonts w:ascii="Times New Roman" w:eastAsia="Times New Roman"/>
          <w:spacing w:val="-2"/>
        </w:rPr>
        <w:t>3</w:t>
      </w:r>
      <w:r>
        <w:rPr>
          <w:rFonts w:ascii="Times New Roman" w:eastAsia="Times New Roman"/>
          <w:spacing w:val="-10"/>
        </w:rPr>
        <w:t> </w:t>
      </w:r>
      <w:r>
        <w:rPr>
          <w:spacing w:val="-3"/>
        </w:rPr>
        <w:t>條之規定，使其得以回歸適用行政程序法第 </w:t>
      </w:r>
      <w:r>
        <w:rPr>
          <w:rFonts w:ascii="Times New Roman" w:eastAsia="Times New Roman"/>
          <w:spacing w:val="-1"/>
        </w:rPr>
        <w:t>128</w:t>
      </w:r>
      <w:r>
        <w:rPr>
          <w:rFonts w:ascii="Times New Roman" w:eastAsia="Times New Roman"/>
          <w:spacing w:val="-10"/>
        </w:rPr>
        <w:t> </w:t>
      </w:r>
      <w:r>
        <w:rPr>
          <w:spacing w:val="-1"/>
        </w:rPr>
        <w:t>條之規</w:t>
      </w:r>
      <w:r>
        <w:rPr>
          <w:spacing w:val="-3"/>
        </w:rPr>
        <w:t>定，由此可知，部份人事行政行為亦有程序再開之必要。因此，傳統特別權力關係下對救濟程序之限制，已逐漸被突破，就強化公務人員保障程序之觀點，再審</w:t>
      </w:r>
      <w:r>
        <w:rPr/>
        <w:t>議的規定實無排除再申訴案件之必要性</w:t>
      </w:r>
      <w:r>
        <w:rPr>
          <w:rFonts w:ascii="Times New Roman" w:eastAsia="Times New Roman"/>
          <w:vertAlign w:val="superscript"/>
        </w:rPr>
        <w:t>48</w:t>
      </w:r>
      <w:r>
        <w:rPr>
          <w:vertAlign w:val="baseline"/>
        </w:rPr>
        <w:t>。</w:t>
      </w:r>
    </w:p>
    <w:p>
      <w:pPr>
        <w:pStyle w:val="BodyText"/>
        <w:spacing w:line="295" w:lineRule="auto" w:before="185"/>
        <w:ind w:left="900" w:right="917" w:firstLine="480"/>
      </w:pPr>
      <w:r>
        <w:rPr>
          <w:spacing w:val="-3"/>
        </w:rPr>
        <w:t>至於宜採取何種方式以更正有瑕疵但已確定之再申訴決定，在專家學者座談會中，專家學者之立場可略分為兩派，一派主張於保障法有關再申訴事件審理程</w:t>
      </w:r>
    </w:p>
    <w:p>
      <w:pPr>
        <w:pStyle w:val="BodyText"/>
        <w:rPr>
          <w:sz w:val="20"/>
        </w:rPr>
      </w:pPr>
    </w:p>
    <w:p>
      <w:pPr>
        <w:pStyle w:val="BodyText"/>
        <w:rPr>
          <w:sz w:val="20"/>
        </w:rPr>
      </w:pPr>
    </w:p>
    <w:p>
      <w:pPr>
        <w:pStyle w:val="BodyText"/>
        <w:spacing w:before="6"/>
        <w:rPr>
          <w:sz w:val="10"/>
        </w:rPr>
      </w:pPr>
      <w:r>
        <w:rPr/>
        <w:pict>
          <v:rect style="position:absolute;margin-left:90pt;margin-top:9.290459pt;width:144pt;height:.600010pt;mso-position-horizontal-relative:page;mso-position-vertical-relative:paragraph;z-index:-15712768;mso-wrap-distance-left:0;mso-wrap-distance-right:0" filled="true" fillcolor="#000000" stroked="false">
            <v:fill type="solid"/>
            <w10:wrap type="topAndBottom"/>
          </v:rect>
        </w:pict>
      </w:r>
    </w:p>
    <w:p>
      <w:pPr>
        <w:spacing w:line="223" w:lineRule="auto" w:before="82"/>
        <w:ind w:left="900" w:right="914" w:firstLine="0"/>
        <w:jc w:val="both"/>
        <w:rPr>
          <w:sz w:val="22"/>
        </w:rPr>
      </w:pPr>
      <w:r>
        <w:rPr>
          <w:rFonts w:ascii="Times New Roman" w:eastAsia="Times New Roman"/>
          <w:sz w:val="22"/>
          <w:vertAlign w:val="superscript"/>
        </w:rPr>
        <w:t>47</w:t>
      </w:r>
      <w:r>
        <w:rPr>
          <w:rFonts w:ascii="Times New Roman" w:eastAsia="Times New Roman"/>
          <w:spacing w:val="38"/>
          <w:sz w:val="22"/>
          <w:vertAlign w:val="baseline"/>
        </w:rPr>
        <w:t> </w:t>
      </w:r>
      <w:r>
        <w:rPr>
          <w:spacing w:val="-2"/>
          <w:sz w:val="22"/>
          <w:vertAlign w:val="baseline"/>
        </w:rPr>
        <w:t>公務人員任用法第 </w:t>
      </w:r>
      <w:r>
        <w:rPr>
          <w:rFonts w:ascii="Times New Roman" w:eastAsia="Times New Roman"/>
          <w:sz w:val="22"/>
          <w:vertAlign w:val="baseline"/>
        </w:rPr>
        <w:t>24</w:t>
      </w:r>
      <w:r>
        <w:rPr>
          <w:rFonts w:ascii="Times New Roman" w:eastAsia="Times New Roman"/>
          <w:spacing w:val="-8"/>
          <w:sz w:val="22"/>
          <w:vertAlign w:val="baseline"/>
        </w:rPr>
        <w:t> </w:t>
      </w:r>
      <w:r>
        <w:rPr>
          <w:spacing w:val="-4"/>
          <w:sz w:val="22"/>
          <w:vertAlign w:val="baseline"/>
        </w:rPr>
        <w:t>條之 </w:t>
      </w:r>
      <w:r>
        <w:rPr>
          <w:rFonts w:ascii="Times New Roman" w:eastAsia="Times New Roman"/>
          <w:sz w:val="22"/>
          <w:vertAlign w:val="baseline"/>
        </w:rPr>
        <w:t>1</w:t>
      </w:r>
      <w:r>
        <w:rPr>
          <w:rFonts w:ascii="Times New Roman" w:eastAsia="Times New Roman"/>
          <w:spacing w:val="-9"/>
          <w:sz w:val="22"/>
          <w:vertAlign w:val="baseline"/>
        </w:rPr>
        <w:t> </w:t>
      </w:r>
      <w:r>
        <w:rPr>
          <w:spacing w:val="-5"/>
          <w:sz w:val="22"/>
          <w:vertAlign w:val="baseline"/>
        </w:rPr>
        <w:t>第 </w:t>
      </w:r>
      <w:r>
        <w:rPr>
          <w:rFonts w:ascii="Times New Roman" w:eastAsia="Times New Roman"/>
          <w:sz w:val="22"/>
          <w:vertAlign w:val="baseline"/>
        </w:rPr>
        <w:t>2</w:t>
      </w:r>
      <w:r>
        <w:rPr>
          <w:rFonts w:ascii="Times New Roman" w:eastAsia="Times New Roman"/>
          <w:spacing w:val="-9"/>
          <w:sz w:val="22"/>
          <w:vertAlign w:val="baseline"/>
        </w:rPr>
        <w:t> </w:t>
      </w:r>
      <w:r>
        <w:rPr>
          <w:spacing w:val="-44"/>
          <w:sz w:val="22"/>
          <w:vertAlign w:val="baseline"/>
        </w:rPr>
        <w:t>項：「</w:t>
      </w:r>
      <w:r>
        <w:rPr>
          <w:rFonts w:ascii="標楷體" w:eastAsia="標楷體" w:hint="eastAsia"/>
          <w:sz w:val="22"/>
          <w:vertAlign w:val="baseline"/>
        </w:rPr>
        <w:t>公務人員經依前項規定程序銓敘審定後，如有</w:t>
      </w:r>
      <w:r>
        <w:rPr>
          <w:rFonts w:ascii="標楷體" w:eastAsia="標楷體" w:hint="eastAsia"/>
          <w:w w:val="95"/>
          <w:sz w:val="22"/>
          <w:vertAlign w:val="baseline"/>
        </w:rPr>
        <w:t>不服，得依公務人員保障法提起救濟；如有顯然錯誤，或有發生新事實、發現新證據等</w:t>
      </w:r>
      <w:r>
        <w:rPr>
          <w:rFonts w:ascii="標楷體" w:eastAsia="標楷體" w:hint="eastAsia"/>
          <w:spacing w:val="50"/>
          <w:w w:val="95"/>
          <w:sz w:val="22"/>
          <w:vertAlign w:val="baseline"/>
        </w:rPr>
        <w:t> </w:t>
      </w:r>
      <w:r>
        <w:rPr>
          <w:rFonts w:ascii="標楷體" w:eastAsia="標楷體" w:hint="eastAsia"/>
          <w:sz w:val="22"/>
          <w:vertAlign w:val="baseline"/>
        </w:rPr>
        <w:t>行政程序再開事由，得依行政程序法相關規定辦理</w:t>
      </w:r>
      <w:r>
        <w:rPr>
          <w:sz w:val="22"/>
          <w:vertAlign w:val="baseline"/>
        </w:rPr>
        <w:t>。」</w:t>
      </w:r>
    </w:p>
    <w:p>
      <w:pPr>
        <w:spacing w:line="223" w:lineRule="auto" w:before="1"/>
        <w:ind w:left="1184" w:right="914" w:hanging="285"/>
        <w:jc w:val="left"/>
        <w:rPr>
          <w:sz w:val="22"/>
        </w:rPr>
      </w:pPr>
      <w:r>
        <w:rPr>
          <w:rFonts w:ascii="Times New Roman" w:eastAsia="Times New Roman"/>
          <w:sz w:val="22"/>
          <w:vertAlign w:val="superscript"/>
        </w:rPr>
        <w:t>48</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日專家座談會，程明修教授之發言。</w:t>
      </w:r>
    </w:p>
    <w:p>
      <w:pPr>
        <w:spacing w:after="0" w:line="223" w:lineRule="auto"/>
        <w:jc w:val="left"/>
        <w:rPr>
          <w:sz w:val="22"/>
        </w:rPr>
        <w:sectPr>
          <w:pgSz w:w="11910" w:h="16840"/>
          <w:pgMar w:header="0" w:footer="1018" w:top="1440" w:bottom="1200" w:left="900" w:right="880"/>
        </w:sectPr>
      </w:pPr>
    </w:p>
    <w:p>
      <w:pPr>
        <w:pStyle w:val="BodyText"/>
        <w:spacing w:line="295" w:lineRule="auto" w:before="98"/>
        <w:ind w:left="900" w:right="917"/>
        <w:jc w:val="both"/>
      </w:pPr>
      <w:r>
        <w:rPr>
          <w:spacing w:val="-1"/>
        </w:rPr>
        <w:t>序之規定中，增列類似復審事件審理程序之中有關再審議程序之規定</w:t>
      </w:r>
      <w:r>
        <w:rPr>
          <w:rFonts w:ascii="Times New Roman" w:eastAsia="Times New Roman"/>
          <w:vertAlign w:val="superscript"/>
        </w:rPr>
        <w:t>49</w:t>
      </w:r>
      <w:r>
        <w:rPr>
          <w:vertAlign w:val="baseline"/>
        </w:rPr>
        <w:t>，另一派</w:t>
      </w:r>
      <w:r>
        <w:rPr>
          <w:spacing w:val="-3"/>
          <w:vertAlign w:val="baseline"/>
        </w:rPr>
        <w:t>則係認為直接依行政程序法第 </w:t>
      </w:r>
      <w:r>
        <w:rPr>
          <w:rFonts w:ascii="Times New Roman" w:eastAsia="Times New Roman"/>
          <w:vertAlign w:val="baseline"/>
        </w:rPr>
        <w:t>128</w:t>
      </w:r>
      <w:r>
        <w:rPr>
          <w:rFonts w:ascii="Times New Roman" w:eastAsia="Times New Roman"/>
          <w:spacing w:val="-12"/>
          <w:vertAlign w:val="baseline"/>
        </w:rPr>
        <w:t> </w:t>
      </w:r>
      <w:r>
        <w:rPr>
          <w:vertAlign w:val="baseline"/>
        </w:rPr>
        <w:t>條有關程序重新進行之規定</w:t>
      </w:r>
      <w:r>
        <w:rPr>
          <w:rFonts w:ascii="Times New Roman" w:eastAsia="Times New Roman"/>
          <w:vertAlign w:val="superscript"/>
        </w:rPr>
        <w:t>50</w:t>
      </w:r>
      <w:r>
        <w:rPr>
          <w:vertAlign w:val="baseline"/>
        </w:rPr>
        <w:t>。本文認為，儘</w:t>
      </w:r>
    </w:p>
    <w:p>
      <w:pPr>
        <w:pStyle w:val="BodyText"/>
        <w:spacing w:before="2"/>
        <w:ind w:left="900"/>
        <w:jc w:val="both"/>
      </w:pPr>
      <w:r>
        <w:rPr>
          <w:spacing w:val="7"/>
        </w:rPr>
        <w:t>管行政程序法第 </w:t>
      </w:r>
      <w:r>
        <w:rPr>
          <w:rFonts w:ascii="Times New Roman" w:eastAsia="Times New Roman"/>
        </w:rPr>
        <w:t>128</w:t>
      </w:r>
      <w:r>
        <w:rPr>
          <w:rFonts w:ascii="Times New Roman" w:eastAsia="Times New Roman"/>
          <w:spacing w:val="60"/>
        </w:rPr>
        <w:t> </w:t>
      </w:r>
      <w:r>
        <w:rPr/>
        <w:t>條提供了程序重新進行之法源依據，且公務人員任用法第</w:t>
      </w:r>
    </w:p>
    <w:p>
      <w:pPr>
        <w:pStyle w:val="ListParagraph"/>
        <w:numPr>
          <w:ilvl w:val="0"/>
          <w:numId w:val="10"/>
        </w:numPr>
        <w:tabs>
          <w:tab w:pos="1217" w:val="left" w:leader="none"/>
        </w:tabs>
        <w:spacing w:line="240" w:lineRule="auto" w:before="79" w:after="0"/>
        <w:ind w:left="1216" w:right="0" w:hanging="317"/>
        <w:jc w:val="both"/>
        <w:rPr>
          <w:sz w:val="24"/>
        </w:rPr>
      </w:pPr>
      <w:r>
        <w:rPr>
          <w:spacing w:val="4"/>
          <w:sz w:val="24"/>
        </w:rPr>
        <w:t>條之 </w:t>
      </w:r>
      <w:r>
        <w:rPr>
          <w:rFonts w:ascii="Times New Roman" w:eastAsia="Times New Roman"/>
          <w:sz w:val="24"/>
        </w:rPr>
        <w:t>1</w:t>
      </w:r>
      <w:r>
        <w:rPr>
          <w:rFonts w:ascii="Times New Roman" w:eastAsia="Times New Roman"/>
          <w:spacing w:val="18"/>
          <w:sz w:val="24"/>
        </w:rPr>
        <w:t> </w:t>
      </w:r>
      <w:r>
        <w:rPr>
          <w:spacing w:val="7"/>
          <w:sz w:val="24"/>
        </w:rPr>
        <w:t>第 </w:t>
      </w:r>
      <w:r>
        <w:rPr>
          <w:rFonts w:ascii="Times New Roman" w:eastAsia="Times New Roman"/>
          <w:sz w:val="24"/>
        </w:rPr>
        <w:t>2</w:t>
      </w:r>
      <w:r>
        <w:rPr>
          <w:rFonts w:ascii="Times New Roman" w:eastAsia="Times New Roman"/>
          <w:spacing w:val="16"/>
          <w:sz w:val="24"/>
        </w:rPr>
        <w:t> </w:t>
      </w:r>
      <w:r>
        <w:rPr>
          <w:sz w:val="24"/>
        </w:rPr>
        <w:t>項的規定亦使公務人員之人事行政行為得適用行政程序法，惟，</w:t>
      </w:r>
    </w:p>
    <w:p>
      <w:pPr>
        <w:pStyle w:val="BodyText"/>
        <w:spacing w:line="295" w:lineRule="auto" w:before="78"/>
        <w:ind w:left="900" w:right="857"/>
        <w:jc w:val="both"/>
      </w:pPr>
      <w:r>
        <w:rPr>
          <w:spacing w:val="-1"/>
        </w:rPr>
        <w:t>行政程序法第 </w:t>
      </w:r>
      <w:r>
        <w:rPr>
          <w:rFonts w:ascii="Times New Roman" w:eastAsia="Times New Roman"/>
        </w:rPr>
        <w:t>128</w:t>
      </w:r>
      <w:r>
        <w:rPr>
          <w:rFonts w:ascii="Times New Roman" w:eastAsia="Times New Roman"/>
          <w:spacing w:val="-4"/>
        </w:rPr>
        <w:t> </w:t>
      </w:r>
      <w:r>
        <w:rPr>
          <w:spacing w:val="-3"/>
        </w:rPr>
        <w:t>條第 </w:t>
      </w:r>
      <w:r>
        <w:rPr>
          <w:rFonts w:ascii="Times New Roman" w:eastAsia="Times New Roman"/>
        </w:rPr>
        <w:t>1</w:t>
      </w:r>
      <w:r>
        <w:rPr>
          <w:rFonts w:ascii="Times New Roman" w:eastAsia="Times New Roman"/>
          <w:spacing w:val="-4"/>
        </w:rPr>
        <w:t> </w:t>
      </w:r>
      <w:r>
        <w:rPr>
          <w:spacing w:val="-13"/>
        </w:rPr>
        <w:t>項規定開頭即揭示「</w:t>
      </w:r>
      <w:r>
        <w:rPr>
          <w:rFonts w:ascii="標楷體" w:eastAsia="標楷體" w:hint="eastAsia"/>
        </w:rPr>
        <w:t>行政處分於法定救濟期間經過後</w:t>
      </w:r>
      <w:r>
        <w:rPr>
          <w:spacing w:val="-84"/>
        </w:rPr>
        <w:t>」，</w:t>
      </w:r>
      <w:r>
        <w:rPr>
          <w:spacing w:val="-60"/>
        </w:rPr>
        <w:t> </w:t>
      </w:r>
      <w:r>
        <w:rPr>
          <w:spacing w:val="-2"/>
        </w:rPr>
        <w:t>此與再申訴事件之內容係針對行政處分以外之管理措施或工作條件，似有牴觸，</w:t>
      </w:r>
      <w:r>
        <w:rPr>
          <w:spacing w:val="-60"/>
        </w:rPr>
        <w:t> </w:t>
      </w:r>
      <w:r>
        <w:rPr>
          <w:spacing w:val="-3"/>
        </w:rPr>
        <w:t>因此，本文認為不宜逕行適用行政程序法第 </w:t>
      </w:r>
      <w:r>
        <w:rPr>
          <w:rFonts w:ascii="Times New Roman" w:eastAsia="Times New Roman"/>
          <w:spacing w:val="-2"/>
        </w:rPr>
        <w:t>128</w:t>
      </w:r>
      <w:r>
        <w:rPr>
          <w:rFonts w:ascii="Times New Roman" w:eastAsia="Times New Roman"/>
          <w:spacing w:val="-11"/>
        </w:rPr>
        <w:t> </w:t>
      </w:r>
      <w:r>
        <w:rPr>
          <w:spacing w:val="-2"/>
        </w:rPr>
        <w:t>條之規定以修正有瑕疵之再申訴決定，較可行之方法應係在保障法中，另外針對再申訴決定之審理程序創設類似</w:t>
      </w:r>
      <w:r>
        <w:rPr/>
        <w:t>再審議程序之規定。</w:t>
      </w:r>
    </w:p>
    <w:p>
      <w:pPr>
        <w:pStyle w:val="BodyText"/>
        <w:spacing w:before="5"/>
        <w:rPr>
          <w:sz w:val="22"/>
        </w:rPr>
      </w:pPr>
    </w:p>
    <w:p>
      <w:pPr>
        <w:pStyle w:val="Heading2"/>
        <w:jc w:val="both"/>
      </w:pPr>
      <w:r>
        <w:rPr>
          <w:spacing w:val="7"/>
        </w:rPr>
        <w:t>第三節   小結</w:t>
      </w:r>
    </w:p>
    <w:p>
      <w:pPr>
        <w:pStyle w:val="BodyText"/>
        <w:spacing w:before="4"/>
        <w:rPr>
          <w:b/>
          <w:sz w:val="27"/>
        </w:rPr>
      </w:pPr>
    </w:p>
    <w:p>
      <w:pPr>
        <w:pStyle w:val="BodyText"/>
        <w:spacing w:line="295" w:lineRule="auto"/>
        <w:ind w:left="900" w:right="917" w:firstLine="480"/>
        <w:jc w:val="both"/>
      </w:pPr>
      <w:r>
        <w:rPr>
          <w:spacing w:val="-3"/>
        </w:rPr>
        <w:t>特別權力關係理論下對公務人員之救濟程序，基於基礎關係與經營關係之不</w:t>
      </w:r>
      <w:r>
        <w:rPr>
          <w:spacing w:val="-4"/>
        </w:rPr>
        <w:t>同而區分為復審程序與申訴、再申訴程序；隨著釋字第 </w:t>
      </w:r>
      <w:r>
        <w:rPr>
          <w:rFonts w:ascii="Times New Roman" w:eastAsia="Times New Roman"/>
          <w:spacing w:val="-2"/>
        </w:rPr>
        <w:t>684</w:t>
      </w:r>
      <w:r>
        <w:rPr>
          <w:rFonts w:ascii="Times New Roman" w:eastAsia="Times New Roman"/>
          <w:spacing w:val="-10"/>
        </w:rPr>
        <w:t> </w:t>
      </w:r>
      <w:r>
        <w:rPr>
          <w:spacing w:val="-2"/>
        </w:rPr>
        <w:t>號解釋的出爐，再次</w:t>
      </w:r>
      <w:r>
        <w:rPr>
          <w:spacing w:val="-3"/>
        </w:rPr>
        <w:t>突破特別權力關係之藩籬，此一重大突破，勢必會對未來公務人員之救濟造成一</w:t>
      </w:r>
      <w:r>
        <w:rPr>
          <w:spacing w:val="-4"/>
        </w:rPr>
        <w:t>定之影響。對此，林昱梅教授亦指出，在釋字第 </w:t>
      </w:r>
      <w:r>
        <w:rPr>
          <w:rFonts w:ascii="Times New Roman" w:eastAsia="Times New Roman"/>
          <w:spacing w:val="-2"/>
        </w:rPr>
        <w:t>684</w:t>
      </w:r>
      <w:r>
        <w:rPr>
          <w:rFonts w:ascii="Times New Roman" w:eastAsia="Times New Roman"/>
          <w:spacing w:val="-10"/>
        </w:rPr>
        <w:t> </w:t>
      </w:r>
      <w:r>
        <w:rPr>
          <w:spacing w:val="-2"/>
        </w:rPr>
        <w:t>號解釋後，保訓會或得採取</w:t>
      </w:r>
    </w:p>
    <w:p>
      <w:pPr>
        <w:pStyle w:val="BodyText"/>
        <w:spacing w:before="5"/>
        <w:ind w:left="900"/>
        <w:jc w:val="both"/>
      </w:pPr>
      <w:r>
        <w:rPr>
          <w:spacing w:val="-4"/>
        </w:rPr>
        <w:t>行政法院之見解，認為釋字第 </w:t>
      </w:r>
      <w:r>
        <w:rPr>
          <w:rFonts w:ascii="Times New Roman" w:eastAsia="Times New Roman"/>
          <w:spacing w:val="-2"/>
        </w:rPr>
        <w:t>684</w:t>
      </w:r>
      <w:r>
        <w:rPr>
          <w:rFonts w:ascii="Times New Roman" w:eastAsia="Times New Roman"/>
          <w:spacing w:val="-10"/>
        </w:rPr>
        <w:t> </w:t>
      </w:r>
      <w:r>
        <w:rPr>
          <w:spacing w:val="-2"/>
        </w:rPr>
        <w:t>號解釋只適用於在學關係，而不適用於公務員</w:t>
      </w:r>
    </w:p>
    <w:p>
      <w:pPr>
        <w:pStyle w:val="BodyText"/>
        <w:spacing w:line="295" w:lineRule="auto" w:before="78"/>
        <w:ind w:left="899" w:right="909"/>
        <w:jc w:val="both"/>
      </w:pPr>
      <w:r>
        <w:rPr/>
        <w:t>領域；但保訓會亦得採取 </w:t>
      </w:r>
      <w:r>
        <w:rPr>
          <w:rFonts w:ascii="Times New Roman" w:eastAsia="Times New Roman"/>
        </w:rPr>
        <w:t>92</w:t>
      </w:r>
      <w:r>
        <w:rPr>
          <w:rFonts w:ascii="Times New Roman" w:eastAsia="Times New Roman"/>
          <w:spacing w:val="13"/>
        </w:rPr>
        <w:t> </w:t>
      </w:r>
      <w:r>
        <w:rPr/>
        <w:t>年擴大調任作為復審標的之開創精神，在司法機關未開放前，先一步擴張復審標的，引導司法機關改變。林教授認為基於釋字第</w:t>
      </w:r>
      <w:r>
        <w:rPr>
          <w:rFonts w:ascii="Times New Roman" w:eastAsia="Times New Roman"/>
          <w:spacing w:val="-1"/>
        </w:rPr>
        <w:t>684</w:t>
      </w:r>
      <w:r>
        <w:rPr>
          <w:rFonts w:ascii="Times New Roman" w:eastAsia="Times New Roman"/>
          <w:spacing w:val="-14"/>
        </w:rPr>
        <w:t> </w:t>
      </w:r>
      <w:r>
        <w:rPr>
          <w:spacing w:val="-1"/>
        </w:rPr>
        <w:t>號解釋之啟發，保訓會之實務運作，應回歸憲法基本權之保障，及保障法第</w:t>
      </w:r>
    </w:p>
    <w:p>
      <w:pPr>
        <w:pStyle w:val="ListParagraph"/>
        <w:numPr>
          <w:ilvl w:val="0"/>
          <w:numId w:val="10"/>
        </w:numPr>
        <w:tabs>
          <w:tab w:pos="1262" w:val="left" w:leader="none"/>
        </w:tabs>
        <w:spacing w:line="295" w:lineRule="auto" w:before="4" w:after="0"/>
        <w:ind w:left="899" w:right="915" w:firstLine="0"/>
        <w:jc w:val="both"/>
        <w:rPr>
          <w:sz w:val="24"/>
        </w:rPr>
      </w:pPr>
      <w:r>
        <w:rPr>
          <w:sz w:val="24"/>
        </w:rPr>
        <w:t>條及行政程序法、行政訴訟法之適用；並強化審查密度。倘有機會修法，建</w:t>
      </w:r>
      <w:r>
        <w:rPr>
          <w:spacing w:val="-3"/>
          <w:sz w:val="24"/>
        </w:rPr>
        <w:t>議將復審、申訴、再申訴程序簡化為一，採單軌制，審查案件並注入文官核心價</w:t>
      </w:r>
      <w:r>
        <w:rPr>
          <w:sz w:val="24"/>
        </w:rPr>
        <w:t>值，以誘導機關及公務員朝向優質文官制度邁進</w:t>
      </w:r>
      <w:r>
        <w:rPr>
          <w:rFonts w:ascii="Times New Roman" w:eastAsia="Times New Roman"/>
          <w:sz w:val="24"/>
          <w:vertAlign w:val="superscript"/>
        </w:rPr>
        <w:t>51</w:t>
      </w:r>
      <w:r>
        <w:rPr>
          <w:sz w:val="24"/>
          <w:vertAlign w:val="baseline"/>
        </w:rPr>
        <w:t>。</w:t>
      </w:r>
    </w:p>
    <w:p>
      <w:pPr>
        <w:pStyle w:val="BodyText"/>
        <w:spacing w:before="12"/>
        <w:rPr>
          <w:sz w:val="29"/>
        </w:rPr>
      </w:pPr>
    </w:p>
    <w:p>
      <w:pPr>
        <w:pStyle w:val="BodyText"/>
        <w:spacing w:line="295" w:lineRule="auto"/>
        <w:ind w:left="900" w:right="910" w:firstLine="480"/>
        <w:jc w:val="both"/>
      </w:pPr>
      <w:r>
        <w:rPr/>
        <w:t>本文認為早期根據內部法律關係與外部法律關係之差異而設計之二元救濟體系</w:t>
      </w:r>
      <w:r>
        <w:rPr>
          <w:rFonts w:ascii="Times New Roman" w:hAnsi="Times New Roman" w:eastAsia="Times New Roman"/>
        </w:rPr>
        <w:t>──</w:t>
      </w:r>
      <w:r>
        <w:rPr/>
        <w:t>復審程序與再申訴程序，其間之區別如今已日益模糊，未來確實有朝向</w:t>
      </w:r>
      <w:r>
        <w:rPr>
          <w:spacing w:val="-3"/>
        </w:rPr>
        <w:t>一元化救濟管道發展之可能。然，以現階段而言，倘若驟將公務人員救濟程序由二元的制度設計改為一元化，必須評估制度轉變所帶來之衝擊，故本文建議在維</w:t>
      </w:r>
    </w:p>
    <w:p>
      <w:pPr>
        <w:pStyle w:val="BodyText"/>
        <w:spacing w:before="9"/>
        <w:rPr>
          <w:sz w:val="18"/>
        </w:rPr>
      </w:pPr>
      <w:r>
        <w:rPr/>
        <w:pict>
          <v:rect style="position:absolute;margin-left:90pt;margin-top:15.009365pt;width:144pt;height:.600010pt;mso-position-horizontal-relative:page;mso-position-vertical-relative:paragraph;z-index:-15712256;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914" w:firstLine="0"/>
        <w:jc w:val="left"/>
        <w:rPr>
          <w:sz w:val="22"/>
        </w:rPr>
      </w:pPr>
      <w:r>
        <w:rPr>
          <w:rFonts w:ascii="Times New Roman" w:eastAsia="Times New Roman"/>
          <w:sz w:val="22"/>
          <w:vertAlign w:val="superscript"/>
        </w:rPr>
        <w:t>49</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日專家座談會，程明修教授、林昱梅教授之發言。</w:t>
      </w:r>
    </w:p>
    <w:p>
      <w:pPr>
        <w:spacing w:line="223" w:lineRule="auto" w:before="120"/>
        <w:ind w:left="900" w:right="914" w:firstLine="0"/>
        <w:jc w:val="left"/>
        <w:rPr>
          <w:sz w:val="22"/>
        </w:rPr>
      </w:pPr>
      <w:r>
        <w:rPr>
          <w:rFonts w:ascii="Times New Roman" w:eastAsia="Times New Roman"/>
          <w:sz w:val="22"/>
          <w:vertAlign w:val="superscript"/>
        </w:rPr>
        <w:t>50</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日專家座談會，林明昕教授、林明鏘教授之發言。</w:t>
      </w:r>
    </w:p>
    <w:p>
      <w:pPr>
        <w:spacing w:line="223" w:lineRule="auto" w:before="120"/>
        <w:ind w:left="899" w:right="916" w:firstLine="0"/>
        <w:jc w:val="left"/>
        <w:rPr>
          <w:sz w:val="22"/>
        </w:rPr>
      </w:pPr>
      <w:r>
        <w:rPr>
          <w:rFonts w:ascii="Times New Roman" w:eastAsia="Times New Roman"/>
          <w:sz w:val="22"/>
          <w:vertAlign w:val="superscript"/>
        </w:rPr>
        <w:t>51</w:t>
      </w:r>
      <w:r>
        <w:rPr>
          <w:rFonts w:ascii="Times New Roman" w:eastAsia="Times New Roman"/>
          <w:spacing w:val="15"/>
          <w:sz w:val="22"/>
          <w:vertAlign w:val="baseline"/>
        </w:rPr>
        <w:t> </w:t>
      </w:r>
      <w:r>
        <w:rPr>
          <w:spacing w:val="-17"/>
          <w:sz w:val="22"/>
          <w:vertAlign w:val="baseline"/>
        </w:rPr>
        <w:t>林昱梅，〈公務人員保障法復審標的之探析〉，公務人員保障暨培訓委員會主辦《</w:t>
      </w:r>
      <w:r>
        <w:rPr>
          <w:rFonts w:ascii="Times New Roman" w:eastAsia="Times New Roman"/>
          <w:sz w:val="22"/>
          <w:vertAlign w:val="baseline"/>
        </w:rPr>
        <w:t>100</w:t>
      </w:r>
      <w:r>
        <w:rPr>
          <w:rFonts w:ascii="Times New Roman" w:eastAsia="Times New Roman"/>
          <w:spacing w:val="-52"/>
          <w:sz w:val="22"/>
          <w:vertAlign w:val="baseline"/>
        </w:rPr>
        <w:t> </w:t>
      </w:r>
      <w:r>
        <w:rPr>
          <w:spacing w:val="-8"/>
          <w:sz w:val="22"/>
          <w:vertAlign w:val="baseline"/>
        </w:rPr>
        <w:t>年度公務人員保障法制研討會》，</w:t>
      </w:r>
      <w:r>
        <w:rPr>
          <w:rFonts w:ascii="Times New Roman" w:eastAsia="Times New Roman"/>
          <w:sz w:val="22"/>
          <w:vertAlign w:val="baseline"/>
        </w:rPr>
        <w:t>2011</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 </w:t>
      </w:r>
      <w:r>
        <w:rPr>
          <w:rFonts w:ascii="Times New Roman" w:eastAsia="Times New Roman"/>
          <w:sz w:val="22"/>
          <w:vertAlign w:val="baseline"/>
        </w:rPr>
        <w:t>27</w:t>
      </w:r>
      <w:r>
        <w:rPr>
          <w:rFonts w:ascii="Times New Roman" w:eastAsia="Times New Roman"/>
          <w:spacing w:val="-1"/>
          <w:sz w:val="22"/>
          <w:vertAlign w:val="baseline"/>
        </w:rPr>
        <w:t> </w:t>
      </w:r>
      <w:r>
        <w:rPr>
          <w:sz w:val="22"/>
          <w:vertAlign w:val="baseline"/>
        </w:rPr>
        <w:t>日。</w:t>
      </w:r>
    </w:p>
    <w:p>
      <w:pPr>
        <w:spacing w:after="0" w:line="223" w:lineRule="auto"/>
        <w:jc w:val="left"/>
        <w:rPr>
          <w:sz w:val="22"/>
        </w:rPr>
        <w:sectPr>
          <w:pgSz w:w="11910" w:h="16840"/>
          <w:pgMar w:header="0" w:footer="1018" w:top="1380" w:bottom="1200" w:left="900" w:right="880"/>
        </w:sectPr>
      </w:pPr>
    </w:p>
    <w:p>
      <w:pPr>
        <w:pStyle w:val="BodyText"/>
        <w:spacing w:line="295" w:lineRule="auto" w:before="38"/>
        <w:ind w:left="900" w:right="917"/>
        <w:jc w:val="both"/>
      </w:pPr>
      <w:r>
        <w:rPr>
          <w:spacing w:val="-3"/>
        </w:rPr>
        <w:t>持目前二元救濟制度之前提下，並兼顧公務人員權利救濟之實效性，宜站在強化公務人員保障程序之出發點，使公務人員針對有瑕疵之再申訴事件，亦得適用再審議程序，以救濟有瑕疵但已經確定再申訴決定之瑕疵，在此，研究團隊建議修</w:t>
      </w:r>
      <w:r>
        <w:rPr/>
        <w:t>正保障法之規定，詳細建議修法請參見第五章。</w:t>
      </w:r>
    </w:p>
    <w:p>
      <w:pPr>
        <w:spacing w:after="0" w:line="295" w:lineRule="auto"/>
        <w:jc w:val="both"/>
        <w:sectPr>
          <w:pgSz w:w="11910" w:h="16840"/>
          <w:pgMar w:header="0" w:footer="1018" w:top="1440" w:bottom="1200" w:left="900" w:right="880"/>
        </w:sectPr>
      </w:pPr>
    </w:p>
    <w:p>
      <w:pPr>
        <w:pStyle w:val="BodyText"/>
        <w:spacing w:before="6"/>
        <w:rPr>
          <w:sz w:val="21"/>
        </w:rPr>
      </w:pPr>
    </w:p>
    <w:p>
      <w:pPr>
        <w:pStyle w:val="Heading1"/>
      </w:pPr>
      <w:r>
        <w:rPr/>
        <w:t>第三章 調處制度擴大適用於復審事件之可行性</w:t>
      </w:r>
    </w:p>
    <w:p>
      <w:pPr>
        <w:pStyle w:val="BodyText"/>
        <w:spacing w:before="2"/>
        <w:rPr>
          <w:b/>
          <w:sz w:val="38"/>
        </w:rPr>
      </w:pPr>
    </w:p>
    <w:p>
      <w:pPr>
        <w:pStyle w:val="BodyText"/>
        <w:spacing w:line="295" w:lineRule="auto" w:before="1"/>
        <w:ind w:left="900" w:right="917" w:firstLine="480"/>
        <w:jc w:val="both"/>
      </w:pPr>
      <w:r>
        <w:rPr>
          <w:spacing w:val="-3"/>
        </w:rPr>
        <w:t>欲討論調處制度是否得擴大適用於復審事件，首先即須分析調處制度之立法背景及其運作方式，以釐清其內涵；其次，針對調處制度與其他公法上相類似之制度予以比較、分析，探究調處制度之屬性；再者，亦應針對實務運作情形加以分析，瞭解理論與實務間是否存有落差；最後，始就調處制度作為復審事件爭議</w:t>
      </w:r>
      <w:r>
        <w:rPr/>
        <w:t>解決機制之妥當性加以分析。</w:t>
      </w:r>
    </w:p>
    <w:p>
      <w:pPr>
        <w:pStyle w:val="BodyText"/>
        <w:spacing w:before="4"/>
        <w:rPr>
          <w:sz w:val="22"/>
        </w:rPr>
      </w:pPr>
    </w:p>
    <w:p>
      <w:pPr>
        <w:pStyle w:val="Heading2"/>
        <w:tabs>
          <w:tab w:pos="2020" w:val="left" w:leader="none"/>
        </w:tabs>
        <w:spacing w:before="1"/>
      </w:pPr>
      <w:r>
        <w:rPr/>
        <w:t>第一節</w:t>
        <w:tab/>
      </w:r>
      <w:r>
        <w:rPr>
          <w:w w:val="95"/>
        </w:rPr>
        <w:t>調處制度之外國立法例</w:t>
      </w:r>
    </w:p>
    <w:p>
      <w:pPr>
        <w:pStyle w:val="BodyText"/>
        <w:spacing w:before="3"/>
        <w:rPr>
          <w:b/>
          <w:sz w:val="27"/>
        </w:rPr>
      </w:pPr>
    </w:p>
    <w:p>
      <w:pPr>
        <w:pStyle w:val="BodyText"/>
        <w:spacing w:line="295" w:lineRule="auto" w:before="1"/>
        <w:ind w:left="900" w:right="917" w:firstLine="480"/>
        <w:jc w:val="both"/>
      </w:pPr>
      <w:r>
        <w:rPr/>
        <w:t>在外國立法例之比較上，因我國保障法第 </w:t>
      </w:r>
      <w:r>
        <w:rPr>
          <w:rFonts w:ascii="Times New Roman" w:eastAsia="Times New Roman"/>
        </w:rPr>
        <w:t>85</w:t>
      </w:r>
      <w:r>
        <w:rPr>
          <w:rFonts w:ascii="Times New Roman" w:eastAsia="Times New Roman"/>
          <w:spacing w:val="5"/>
        </w:rPr>
        <w:t> </w:t>
      </w:r>
      <w:r>
        <w:rPr/>
        <w:t>條之立法理由明白指出第五章</w:t>
      </w:r>
      <w:r>
        <w:rPr>
          <w:spacing w:val="-3"/>
        </w:rPr>
        <w:t>的調處制度係參酌日本、加拿大、澳大利亞等國之立法例所制訂，因此以下將介紹日本、加拿大、澳大利亞等國家關於調處制度之規定，藉由觀察以上國家之調</w:t>
      </w:r>
      <w:r>
        <w:rPr/>
        <w:t>處制度，以釐清我國保障法中調處制度之立法背景。</w:t>
      </w:r>
    </w:p>
    <w:p>
      <w:pPr>
        <w:pStyle w:val="BodyText"/>
        <w:spacing w:before="2"/>
      </w:pPr>
    </w:p>
    <w:p>
      <w:pPr>
        <w:pStyle w:val="Heading3"/>
        <w:rPr>
          <w:rFonts w:ascii="Times New Roman" w:eastAsia="Times New Roman"/>
          <w:b w:val="0"/>
        </w:rPr>
      </w:pPr>
      <w:r>
        <w:rPr>
          <w:rFonts w:ascii="新細明體" w:eastAsia="新細明體" w:hint="eastAsia"/>
          <w:w w:val="95"/>
        </w:rPr>
        <w:t>一、日本之調處制度</w:t>
      </w:r>
      <w:r>
        <w:rPr>
          <w:rFonts w:ascii="Times New Roman" w:eastAsia="Times New Roman"/>
          <w:b w:val="0"/>
          <w:w w:val="95"/>
          <w:vertAlign w:val="superscript"/>
        </w:rPr>
        <w:t>52</w:t>
      </w:r>
    </w:p>
    <w:p>
      <w:pPr>
        <w:pStyle w:val="BodyText"/>
        <w:spacing w:before="8"/>
        <w:rPr>
          <w:rFonts w:ascii="Times New Roman"/>
          <w:sz w:val="35"/>
        </w:rPr>
      </w:pPr>
    </w:p>
    <w:p>
      <w:pPr>
        <w:pStyle w:val="BodyText"/>
        <w:spacing w:line="295" w:lineRule="auto" w:before="1"/>
        <w:ind w:left="900" w:right="917" w:firstLine="480"/>
        <w:jc w:val="both"/>
      </w:pPr>
      <w:r>
        <w:rPr>
          <w:spacing w:val="-3"/>
        </w:rPr>
        <w:t>日本將其公務人員分為國家公務人員與地方公務人員兩套制度管理，然其針對公務人員受不利人事處分時所提供之救濟保障制度卻大同小異，均區分為「不利益處分之聲明不服」與「改善勤務條件之要求」兩種管道，此一分類亦與我國</w:t>
      </w:r>
      <w:r>
        <w:rPr/>
        <w:t>保障法所定之「復審」與「申訴、再申訴」制度相當類似。</w:t>
      </w:r>
    </w:p>
    <w:p>
      <w:pPr>
        <w:pStyle w:val="BodyText"/>
        <w:spacing w:before="13"/>
        <w:rPr>
          <w:sz w:val="29"/>
        </w:rPr>
      </w:pPr>
    </w:p>
    <w:p>
      <w:pPr>
        <w:pStyle w:val="BodyText"/>
        <w:spacing w:line="295" w:lineRule="auto"/>
        <w:ind w:left="899" w:right="914" w:firstLine="480"/>
        <w:jc w:val="both"/>
      </w:pPr>
      <w:r>
        <w:rPr>
          <w:spacing w:val="-9"/>
        </w:rPr>
        <w:t>所謂「不利益處分之聲明不服」，係指公務人員針對免職、停職、減俸或申</w:t>
      </w:r>
      <w:r>
        <w:rPr>
          <w:spacing w:val="-3"/>
        </w:rPr>
        <w:t>誡等懲戒處分，減俸、降任、休職及免職等身分變更處分，以及其他違反公務人員本意而對公務人員造成明顯不利益之處分（例如因轉任、調任而導致公務人員</w:t>
      </w:r>
      <w:r>
        <w:rPr/>
        <w:t>身分上之既得利益受到直接侵害者</w:t>
      </w:r>
      <w:r>
        <w:rPr>
          <w:spacing w:val="-119"/>
        </w:rPr>
        <w:t>）</w:t>
      </w:r>
      <w:r>
        <w:rPr/>
        <w:t>，得向人事院聲明不服，由設置於人事院之</w:t>
      </w:r>
      <w:r>
        <w:rPr>
          <w:spacing w:val="-3"/>
        </w:rPr>
        <w:t>公平委員會審理，人事院再基於公平委員會提出之資料判定，人事院依法作成之決定及處分，具有最終效力，但關於法律問題，公務人員仍得向法院提起訴訟救</w:t>
      </w:r>
      <w:r>
        <w:rPr/>
        <w:t>濟。</w:t>
      </w:r>
    </w:p>
    <w:p>
      <w:pPr>
        <w:pStyle w:val="BodyText"/>
        <w:spacing w:before="3"/>
        <w:rPr>
          <w:sz w:val="15"/>
        </w:rPr>
      </w:pPr>
      <w:r>
        <w:rPr/>
        <w:pict>
          <v:rect style="position:absolute;margin-left:90pt;margin-top:12.599356pt;width:144pt;height:.600010pt;mso-position-horizontal-relative:page;mso-position-vertical-relative:paragraph;z-index:-15711744;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915" w:firstLine="0"/>
        <w:jc w:val="both"/>
        <w:rPr>
          <w:sz w:val="22"/>
        </w:rPr>
      </w:pPr>
      <w:r>
        <w:rPr>
          <w:rFonts w:ascii="Times New Roman" w:eastAsia="Times New Roman"/>
          <w:sz w:val="22"/>
          <w:vertAlign w:val="superscript"/>
        </w:rPr>
        <w:t>52</w:t>
      </w:r>
      <w:r>
        <w:rPr>
          <w:rFonts w:ascii="Times New Roman" w:eastAsia="Times New Roman"/>
          <w:spacing w:val="31"/>
          <w:sz w:val="22"/>
          <w:vertAlign w:val="baseline"/>
        </w:rPr>
        <w:t> </w:t>
      </w:r>
      <w:r>
        <w:rPr>
          <w:spacing w:val="-16"/>
          <w:sz w:val="22"/>
          <w:vertAlign w:val="baseline"/>
        </w:rPr>
        <w:t>參閱許志雄，〈日本公務員保障制度之研究〉，收錄於公務人員保障暨培訓委員會委託，吳庚主持，《公務人員保障法制問題之研究》，</w:t>
      </w:r>
      <w:r>
        <w:rPr>
          <w:rFonts w:ascii="Times New Roman" w:eastAsia="Times New Roman"/>
          <w:sz w:val="22"/>
          <w:vertAlign w:val="baseline"/>
        </w:rPr>
        <w:t>1998</w:t>
      </w:r>
      <w:r>
        <w:rPr>
          <w:rFonts w:ascii="Times New Roman" w:eastAsia="Times New Roman"/>
          <w:spacing w:val="22"/>
          <w:sz w:val="22"/>
          <w:vertAlign w:val="baseline"/>
        </w:rPr>
        <w:t> </w:t>
      </w:r>
      <w:r>
        <w:rPr>
          <w:spacing w:val="4"/>
          <w:sz w:val="22"/>
          <w:vertAlign w:val="baseline"/>
        </w:rPr>
        <w:t>年，頁 </w:t>
      </w:r>
      <w:r>
        <w:rPr>
          <w:rFonts w:ascii="Times New Roman" w:eastAsia="Times New Roman"/>
          <w:sz w:val="22"/>
          <w:vertAlign w:val="baseline"/>
        </w:rPr>
        <w:t>45-47</w:t>
      </w:r>
      <w:r>
        <w:rPr>
          <w:sz w:val="22"/>
          <w:vertAlign w:val="baseline"/>
        </w:rPr>
        <w:t>、</w:t>
      </w:r>
      <w:r>
        <w:rPr>
          <w:rFonts w:ascii="Times New Roman" w:eastAsia="Times New Roman"/>
          <w:sz w:val="22"/>
          <w:vertAlign w:val="baseline"/>
        </w:rPr>
        <w:t>47-48</w:t>
      </w:r>
      <w:r>
        <w:rPr>
          <w:sz w:val="22"/>
          <w:vertAlign w:val="baseline"/>
        </w:rPr>
        <w:t>、</w:t>
      </w:r>
      <w:r>
        <w:rPr>
          <w:rFonts w:ascii="Times New Roman" w:eastAsia="Times New Roman"/>
          <w:sz w:val="22"/>
          <w:vertAlign w:val="baseline"/>
        </w:rPr>
        <w:t>58-64</w:t>
      </w:r>
      <w:r>
        <w:rPr>
          <w:sz w:val="22"/>
          <w:vertAlign w:val="baseline"/>
        </w:rPr>
        <w:t>；</w:t>
      </w:r>
      <w:r>
        <w:rPr>
          <w:spacing w:val="-55"/>
          <w:sz w:val="22"/>
          <w:vertAlign w:val="baseline"/>
        </w:rPr>
        <w:t> </w:t>
      </w:r>
      <w:r>
        <w:rPr>
          <w:spacing w:val="-4"/>
          <w:w w:val="95"/>
          <w:sz w:val="22"/>
          <w:vertAlign w:val="baseline"/>
        </w:rPr>
        <w:t>另參閱公務人員保障暨培訓委員會委託，陳愛娥、盛子龍主持，《公務人員保障案件的</w:t>
      </w:r>
      <w:r>
        <w:rPr>
          <w:spacing w:val="74"/>
          <w:sz w:val="22"/>
          <w:vertAlign w:val="baseline"/>
        </w:rPr>
        <w:t> </w:t>
      </w:r>
      <w:r>
        <w:rPr>
          <w:spacing w:val="75"/>
          <w:sz w:val="22"/>
          <w:vertAlign w:val="baseline"/>
        </w:rPr>
        <w:t> </w:t>
      </w:r>
      <w:r>
        <w:rPr>
          <w:spacing w:val="-20"/>
          <w:sz w:val="22"/>
          <w:vertAlign w:val="baseline"/>
        </w:rPr>
        <w:t>調處制度》，</w:t>
      </w:r>
      <w:r>
        <w:rPr>
          <w:rFonts w:ascii="Times New Roman" w:eastAsia="Times New Roman"/>
          <w:sz w:val="22"/>
          <w:vertAlign w:val="baseline"/>
        </w:rPr>
        <w:t>2000</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4-5</w:t>
      </w:r>
      <w:r>
        <w:rPr>
          <w:sz w:val="22"/>
          <w:vertAlign w:val="baseline"/>
        </w:rPr>
        <w:t>。</w:t>
      </w:r>
    </w:p>
    <w:p>
      <w:pPr>
        <w:spacing w:after="0" w:line="223" w:lineRule="auto"/>
        <w:jc w:val="both"/>
        <w:rPr>
          <w:sz w:val="22"/>
        </w:rPr>
        <w:sectPr>
          <w:pgSz w:w="11910" w:h="16840"/>
          <w:pgMar w:header="0" w:footer="1018" w:top="1600" w:bottom="1200" w:left="900" w:right="880"/>
        </w:sectPr>
      </w:pPr>
    </w:p>
    <w:p>
      <w:pPr>
        <w:pStyle w:val="BodyText"/>
        <w:spacing w:before="2"/>
        <w:rPr>
          <w:sz w:val="17"/>
        </w:rPr>
      </w:pPr>
    </w:p>
    <w:p>
      <w:pPr>
        <w:pStyle w:val="BodyText"/>
        <w:spacing w:line="295" w:lineRule="auto" w:before="52"/>
        <w:ind w:left="900" w:right="857" w:firstLine="480"/>
        <w:jc w:val="both"/>
      </w:pPr>
      <w:r>
        <w:rPr>
          <w:spacing w:val="-2"/>
        </w:rPr>
        <w:t>所謂「改善勤務條件」之要求，係指公務人員得針對俸給、薪俸或其他一切勤務條件向人事院提出要求。於此所稱勤務條件包括：俸給及其他待遇，服勤時</w:t>
      </w:r>
      <w:r>
        <w:rPr>
          <w:spacing w:val="-19"/>
        </w:rPr>
        <w:t>間、休息及休假日等事項。改善勤務條件之要求，可用公務人員個人之名義提出，</w:t>
      </w:r>
      <w:r>
        <w:rPr>
          <w:spacing w:val="-60"/>
        </w:rPr>
        <w:t> </w:t>
      </w:r>
      <w:r>
        <w:rPr>
          <w:spacing w:val="-2"/>
        </w:rPr>
        <w:t>亦得透過已登記之公務人員團體的代表人提出，後者乃因公務人員團體係以改善公務人員勤務條件為主要目的，而且勤務條件通常與多數公務人員有關，可能會有許多公務人員提出同一內容之要求，因此，由公務人員團體代表提出請求一併處理，較為妥適，然雖由公務人員團體之代表人代為提出，其請求者人係各該公務人員，而非公務人員團體本身。當人事院在作出受理或駁回要求之決定前，倘認為適當，得勸導有關之當事人就要求事項進行交涉，，此舉乃係希望透過人事院所提供之機會，讓當事人自行協商，以自行圓滿解決問題。在進行本案審查程序中，人事院認為必要時，得對當事人進行協調，以妥善解決問題；倘當事人無</w:t>
      </w:r>
      <w:r>
        <w:rPr/>
        <w:t>法自行解決紛爭，最後將由人事院根據審理結果作出本案決定。</w:t>
      </w:r>
    </w:p>
    <w:p>
      <w:pPr>
        <w:pStyle w:val="BodyText"/>
        <w:spacing w:before="9"/>
        <w:rPr>
          <w:sz w:val="30"/>
        </w:rPr>
      </w:pPr>
    </w:p>
    <w:p>
      <w:pPr>
        <w:pStyle w:val="BodyText"/>
        <w:spacing w:line="295" w:lineRule="auto"/>
        <w:ind w:left="900" w:right="856" w:firstLine="480"/>
      </w:pPr>
      <w:r>
        <w:rPr>
          <w:spacing w:val="-2"/>
        </w:rPr>
        <w:t>綜上所述，日本公務人員保障制度中類似調處機制之設計，其有以下幾點特</w:t>
      </w:r>
      <w:r>
        <w:rPr>
          <w:spacing w:val="-88"/>
        </w:rPr>
        <w:t>色：</w:t>
      </w:r>
      <w:r>
        <w:rPr>
          <w:spacing w:val="-1"/>
        </w:rPr>
        <w:t>（一</w:t>
      </w:r>
      <w:r>
        <w:rPr>
          <w:spacing w:val="-56"/>
        </w:rPr>
        <w:t>）</w:t>
      </w:r>
      <w:r>
        <w:rPr>
          <w:spacing w:val="-9"/>
        </w:rPr>
        <w:t>僅限於「改善勤務條件之要求</w:t>
      </w:r>
      <w:r>
        <w:rPr>
          <w:spacing w:val="-176"/>
        </w:rPr>
        <w:t>」</w:t>
      </w:r>
      <w:r>
        <w:rPr/>
        <w:t>（類似我國之再申訴事件</w:t>
      </w:r>
      <w:r>
        <w:rPr>
          <w:spacing w:val="-56"/>
        </w:rPr>
        <w:t>）</w:t>
      </w:r>
      <w:r>
        <w:rPr/>
        <w:t>有此項設計；</w:t>
      </w:r>
    </w:p>
    <w:p>
      <w:pPr>
        <w:pStyle w:val="BodyText"/>
        <w:spacing w:line="295" w:lineRule="auto" w:before="2"/>
        <w:ind w:left="900" w:right="857"/>
        <w:jc w:val="both"/>
      </w:pPr>
      <w:r>
        <w:rPr>
          <w:spacing w:val="-2"/>
        </w:rPr>
        <w:t>（</w:t>
      </w:r>
      <w:r>
        <w:rPr>
          <w:spacing w:val="-1"/>
        </w:rPr>
        <w:t>二）無論是人事院在作成受理或駁回之程序決定前，抑或在本案審理程序中，</w:t>
      </w:r>
      <w:r>
        <w:rPr>
          <w:spacing w:val="-60"/>
        </w:rPr>
        <w:t> </w:t>
      </w:r>
      <w:r>
        <w:rPr>
          <w:spacing w:val="-7"/>
        </w:rPr>
        <w:t>人事院均得審酌個案情況從事勸導或協調；</w:t>
      </w:r>
      <w:r>
        <w:rPr/>
        <w:t>（三）關於勸導或協調之設計並未有具體之法律規定。</w:t>
      </w:r>
    </w:p>
    <w:p>
      <w:pPr>
        <w:pStyle w:val="BodyText"/>
        <w:spacing w:before="2"/>
      </w:pPr>
    </w:p>
    <w:p>
      <w:pPr>
        <w:pStyle w:val="Heading3"/>
        <w:rPr>
          <w:rFonts w:ascii="Times New Roman" w:eastAsia="Times New Roman"/>
          <w:b w:val="0"/>
        </w:rPr>
      </w:pPr>
      <w:r>
        <w:rPr>
          <w:rFonts w:ascii="新細明體" w:eastAsia="新細明體" w:hint="eastAsia"/>
          <w:w w:val="95"/>
        </w:rPr>
        <w:t>二、加拿大之調處制度</w:t>
      </w:r>
      <w:r>
        <w:rPr>
          <w:rFonts w:ascii="Times New Roman" w:eastAsia="Times New Roman"/>
          <w:b w:val="0"/>
          <w:w w:val="95"/>
          <w:vertAlign w:val="superscript"/>
        </w:rPr>
        <w:t>53</w:t>
      </w:r>
    </w:p>
    <w:p>
      <w:pPr>
        <w:pStyle w:val="BodyText"/>
        <w:spacing w:before="8"/>
        <w:rPr>
          <w:rFonts w:ascii="Times New Roman"/>
          <w:sz w:val="35"/>
        </w:rPr>
      </w:pPr>
    </w:p>
    <w:p>
      <w:pPr>
        <w:pStyle w:val="BodyText"/>
        <w:spacing w:line="295" w:lineRule="auto"/>
        <w:ind w:left="899" w:right="917" w:firstLine="480"/>
        <w:jc w:val="both"/>
      </w:pPr>
      <w:r>
        <w:rPr>
          <w:spacing w:val="-3"/>
        </w:rPr>
        <w:t>加拿大就公務人員任命、公務人員任用法相關事項與工作場所騷擾等事件之</w:t>
      </w:r>
      <w:r>
        <w:rPr>
          <w:spacing w:val="-1"/>
        </w:rPr>
        <w:t>申訴處理（</w:t>
      </w:r>
      <w:r>
        <w:rPr>
          <w:rFonts w:ascii="Times New Roman" w:eastAsia="Times New Roman"/>
          <w:spacing w:val="-1"/>
        </w:rPr>
        <w:t>appeal</w:t>
      </w:r>
      <w:r>
        <w:rPr>
          <w:spacing w:val="-1"/>
        </w:rPr>
        <w:t>）與苦情調查事項（</w:t>
      </w:r>
      <w:r>
        <w:rPr>
          <w:rFonts w:ascii="Times New Roman" w:eastAsia="Times New Roman"/>
          <w:spacing w:val="-1"/>
        </w:rPr>
        <w:t>investigation</w:t>
      </w:r>
      <w:r>
        <w:rPr>
          <w:spacing w:val="-1"/>
        </w:rPr>
        <w:t>）係由附屬於聯邦參議院之下</w:t>
      </w:r>
      <w:r>
        <w:rPr/>
        <w:t>之文官委員會（</w:t>
      </w:r>
      <w:r>
        <w:rPr>
          <w:rFonts w:ascii="Times New Roman" w:eastAsia="Times New Roman"/>
        </w:rPr>
        <w:t>Public</w:t>
      </w:r>
      <w:r>
        <w:rPr>
          <w:rFonts w:ascii="Times New Roman" w:eastAsia="Times New Roman"/>
          <w:spacing w:val="52"/>
        </w:rPr>
        <w:t> </w:t>
      </w:r>
      <w:r>
        <w:rPr>
          <w:rFonts w:ascii="Times New Roman" w:eastAsia="Times New Roman"/>
        </w:rPr>
        <w:t>Service</w:t>
      </w:r>
      <w:r>
        <w:rPr>
          <w:rFonts w:ascii="Times New Roman" w:eastAsia="Times New Roman"/>
          <w:spacing w:val="51"/>
        </w:rPr>
        <w:t> </w:t>
      </w:r>
      <w:r>
        <w:rPr>
          <w:rFonts w:ascii="Times New Roman" w:eastAsia="Times New Roman"/>
        </w:rPr>
        <w:t>Commission</w:t>
      </w:r>
      <w:r>
        <w:rPr/>
        <w:t>）負責，調處機制主要運用在調職事件的申訴程序（</w:t>
      </w:r>
      <w:r>
        <w:rPr>
          <w:rFonts w:ascii="Times New Roman" w:eastAsia="Times New Roman"/>
        </w:rPr>
        <w:t>deployment</w:t>
      </w:r>
      <w:r>
        <w:rPr>
          <w:rFonts w:ascii="Times New Roman" w:eastAsia="Times New Roman"/>
          <w:spacing w:val="-1"/>
        </w:rPr>
        <w:t> </w:t>
      </w:r>
      <w:r>
        <w:rPr>
          <w:rFonts w:ascii="Times New Roman" w:eastAsia="Times New Roman"/>
        </w:rPr>
        <w:t>recourse</w:t>
      </w:r>
      <w:r>
        <w:rPr/>
        <w:t>）以及工作場所騷擾事件的處理。</w:t>
      </w:r>
    </w:p>
    <w:p>
      <w:pPr>
        <w:pStyle w:val="BodyText"/>
        <w:spacing w:before="13"/>
        <w:rPr>
          <w:sz w:val="29"/>
        </w:rPr>
      </w:pPr>
    </w:p>
    <w:p>
      <w:pPr>
        <w:pStyle w:val="BodyText"/>
        <w:spacing w:line="295" w:lineRule="auto"/>
        <w:ind w:left="899" w:right="914" w:firstLine="480"/>
        <w:jc w:val="both"/>
      </w:pPr>
      <w:r>
        <w:rPr>
          <w:spacing w:val="-3"/>
        </w:rPr>
        <w:t>針對調職的申訴，對調職有異議者須先向其服務機關之部會首長申訴；不服服務機關之處理者，於接到處理通知十四日內，得以書面向文官委員會提出調職再申訴。文官委員會接獲再申訴時，倘認為有可能以調處獲得解決並取得當事人</w:t>
      </w:r>
      <w:r>
        <w:rPr>
          <w:spacing w:val="-1"/>
        </w:rPr>
        <w:t>之同意，即可任命一名調處人（</w:t>
      </w:r>
      <w:r>
        <w:rPr>
          <w:rFonts w:ascii="Times New Roman" w:eastAsia="Times New Roman"/>
          <w:spacing w:val="-1"/>
        </w:rPr>
        <w:t>Mediator</w:t>
      </w:r>
      <w:r>
        <w:rPr>
          <w:spacing w:val="-1"/>
        </w:rPr>
        <w:t>）</w:t>
      </w:r>
      <w:r>
        <w:rPr/>
        <w:t>進行調處。在調處程序中，雙方當事</w:t>
      </w:r>
    </w:p>
    <w:p>
      <w:pPr>
        <w:pStyle w:val="BodyText"/>
        <w:spacing w:before="5"/>
        <w:rPr>
          <w:sz w:val="8"/>
        </w:rPr>
      </w:pPr>
      <w:r>
        <w:rPr/>
        <w:pict>
          <v:rect style="position:absolute;margin-left:90pt;margin-top:7.830136pt;width:144pt;height:.600010pt;mso-position-horizontal-relative:page;mso-position-vertical-relative:paragraph;z-index:-15711232;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916" w:firstLine="0"/>
        <w:jc w:val="both"/>
        <w:rPr>
          <w:sz w:val="22"/>
        </w:rPr>
      </w:pPr>
      <w:r>
        <w:rPr>
          <w:rFonts w:ascii="Times New Roman" w:eastAsia="Times New Roman"/>
          <w:sz w:val="22"/>
          <w:vertAlign w:val="superscript"/>
        </w:rPr>
        <w:t>53</w:t>
      </w:r>
      <w:r>
        <w:rPr>
          <w:rFonts w:ascii="Times New Roman" w:eastAsia="Times New Roman"/>
          <w:spacing w:val="33"/>
          <w:sz w:val="22"/>
          <w:vertAlign w:val="baseline"/>
        </w:rPr>
        <w:t> </w:t>
      </w:r>
      <w:r>
        <w:rPr>
          <w:sz w:val="22"/>
          <w:vertAlign w:val="baseline"/>
        </w:rPr>
        <w:t>參閱周世珍等，公務人員保障暨培訓委員會加拿大保障暨培訓制度考察報告，</w:t>
      </w:r>
      <w:r>
        <w:rPr>
          <w:rFonts w:ascii="Times New Roman" w:eastAsia="Times New Roman"/>
          <w:sz w:val="22"/>
          <w:vertAlign w:val="baseline"/>
        </w:rPr>
        <w:t>1998</w:t>
      </w:r>
      <w:r>
        <w:rPr>
          <w:rFonts w:ascii="Times New Roman" w:eastAsia="Times New Roman"/>
          <w:spacing w:val="1"/>
          <w:sz w:val="22"/>
          <w:vertAlign w:val="baseline"/>
        </w:rPr>
        <w:t> </w:t>
      </w:r>
      <w:r>
        <w:rPr>
          <w:sz w:val="22"/>
          <w:vertAlign w:val="baseline"/>
        </w:rPr>
        <w:t>年，頁 </w:t>
      </w:r>
      <w:r>
        <w:rPr>
          <w:rFonts w:ascii="Times New Roman" w:eastAsia="Times New Roman"/>
          <w:sz w:val="22"/>
          <w:vertAlign w:val="baseline"/>
        </w:rPr>
        <w:t>9</w:t>
      </w:r>
      <w:r>
        <w:rPr>
          <w:sz w:val="22"/>
          <w:vertAlign w:val="baseline"/>
        </w:rPr>
        <w:t>、</w:t>
      </w:r>
      <w:r>
        <w:rPr>
          <w:rFonts w:ascii="Times New Roman" w:eastAsia="Times New Roman"/>
          <w:sz w:val="22"/>
          <w:vertAlign w:val="baseline"/>
        </w:rPr>
        <w:t>33-36</w:t>
      </w:r>
      <w:r>
        <w:rPr>
          <w:sz w:val="22"/>
          <w:vertAlign w:val="baseline"/>
        </w:rPr>
        <w:t>、</w:t>
      </w:r>
      <w:r>
        <w:rPr>
          <w:rFonts w:ascii="Times New Roman" w:eastAsia="Times New Roman"/>
          <w:sz w:val="22"/>
          <w:vertAlign w:val="baseline"/>
        </w:rPr>
        <w:t>45-50</w:t>
      </w:r>
      <w:r>
        <w:rPr>
          <w:sz w:val="22"/>
          <w:vertAlign w:val="baseline"/>
        </w:rPr>
        <w:t>；另參閱公務人員保障暨培訓委員會委託，陳愛娥、盛子龍主</w:t>
      </w:r>
      <w:r>
        <w:rPr>
          <w:spacing w:val="-17"/>
          <w:sz w:val="22"/>
          <w:vertAlign w:val="baseline"/>
        </w:rPr>
        <w:t>持，《公務人員保障案件的調處制度》，</w:t>
      </w:r>
      <w:r>
        <w:rPr>
          <w:rFonts w:ascii="Times New Roman" w:eastAsia="Times New Roman"/>
          <w:sz w:val="22"/>
          <w:vertAlign w:val="baseline"/>
        </w:rPr>
        <w:t>2000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1-2</w:t>
      </w:r>
      <w:r>
        <w:rPr>
          <w:sz w:val="22"/>
          <w:vertAlign w:val="baseline"/>
        </w:rPr>
        <w:t>。</w:t>
      </w:r>
    </w:p>
    <w:p>
      <w:pPr>
        <w:spacing w:after="0" w:line="223" w:lineRule="auto"/>
        <w:jc w:val="both"/>
        <w:rPr>
          <w:sz w:val="22"/>
        </w:rPr>
        <w:sectPr>
          <w:pgSz w:w="11910" w:h="16840"/>
          <w:pgMar w:header="0" w:footer="1018" w:top="1600" w:bottom="1200" w:left="900" w:right="880"/>
        </w:sectPr>
      </w:pPr>
    </w:p>
    <w:p>
      <w:pPr>
        <w:pStyle w:val="BodyText"/>
        <w:spacing w:line="295" w:lineRule="auto" w:before="38"/>
        <w:ind w:left="900" w:right="857"/>
        <w:jc w:val="both"/>
      </w:pPr>
      <w:r>
        <w:rPr>
          <w:spacing w:val="-2"/>
        </w:rPr>
        <w:t>人均可隨時決定是否繼續進行調處；當事人亦得要求私下秘密與調處人協商，如果調處成功，則由當事人簽署調處協議；倘若調處不成功，文官委員會將任命調</w:t>
      </w:r>
      <w:r>
        <w:rPr/>
        <w:t>查人調查事實，在其進行事實調查過程中，若調查人發現顯然有達成調處之可</w:t>
      </w:r>
      <w:r>
        <w:rPr>
          <w:spacing w:val="-2"/>
        </w:rPr>
        <w:t>能，亦得不繼續調查，而草擬協議，由雙方簽署成立調處。其次，當申訴有理由之情形，文官委員會將任命調停人來協調解決方式，調停不誠實，則由文官委員</w:t>
      </w:r>
      <w:r>
        <w:rPr>
          <w:spacing w:val="-14"/>
        </w:rPr>
        <w:t>會自行決定改正之措施。此一制度之特色，在於</w:t>
      </w:r>
      <w:r>
        <w:rPr/>
        <w:t>（一</w:t>
      </w:r>
      <w:r>
        <w:rPr>
          <w:spacing w:val="-68"/>
        </w:rPr>
        <w:t>）</w:t>
      </w:r>
      <w:r>
        <w:rPr>
          <w:spacing w:val="-2"/>
        </w:rPr>
        <w:t>使公務人員再救濟程序前、</w:t>
      </w:r>
      <w:r>
        <w:rPr/>
        <w:t>救濟程序中、乃至於決定採取如何之改正措施時，均有轉變為調處機制之可能</w:t>
      </w:r>
      <w:r>
        <w:rPr>
          <w:spacing w:val="-59"/>
        </w:rPr>
        <w:t>性；</w:t>
      </w:r>
      <w:r>
        <w:rPr/>
        <w:t>（二）調處制度之進行均由文官委員會委由單一的調處人來進行，程序方式較為簡潔。</w:t>
      </w:r>
    </w:p>
    <w:p>
      <w:pPr>
        <w:pStyle w:val="BodyText"/>
        <w:spacing w:before="5"/>
        <w:rPr>
          <w:sz w:val="30"/>
        </w:rPr>
      </w:pPr>
    </w:p>
    <w:p>
      <w:pPr>
        <w:pStyle w:val="BodyText"/>
        <w:spacing w:line="295" w:lineRule="auto"/>
        <w:ind w:left="900" w:right="857" w:firstLine="480"/>
        <w:jc w:val="both"/>
      </w:pPr>
      <w:r>
        <w:rPr>
          <w:spacing w:val="-2"/>
        </w:rPr>
        <w:t>在涉及工作場所騷擾事件的申訴事件中，比較特別者乃係設置有所謂的高級</w:t>
      </w:r>
      <w:r>
        <w:rPr>
          <w:spacing w:val="1"/>
        </w:rPr>
        <w:t>顧問（</w:t>
      </w:r>
      <w:r>
        <w:rPr>
          <w:rFonts w:ascii="Times New Roman" w:eastAsia="Times New Roman"/>
        </w:rPr>
        <w:t>sen</w:t>
      </w:r>
      <w:r>
        <w:rPr>
          <w:rFonts w:ascii="Times New Roman" w:eastAsia="Times New Roman"/>
          <w:spacing w:val="1"/>
        </w:rPr>
        <w:t>i</w:t>
      </w:r>
      <w:r>
        <w:rPr>
          <w:rFonts w:ascii="Times New Roman" w:eastAsia="Times New Roman"/>
        </w:rPr>
        <w:t>or  adviso</w:t>
      </w:r>
      <w:r>
        <w:rPr>
          <w:rFonts w:ascii="Times New Roman" w:eastAsia="Times New Roman"/>
          <w:spacing w:val="1"/>
        </w:rPr>
        <w:t>r</w:t>
      </w:r>
      <w:r>
        <w:rPr>
          <w:spacing w:val="-119"/>
        </w:rPr>
        <w:t>）</w:t>
      </w:r>
      <w:r>
        <w:rPr>
          <w:spacing w:val="1"/>
        </w:rPr>
        <w:t>，其乃係由該部會次長任命受專業訓練、立場超然之公正</w:t>
      </w:r>
      <w:r>
        <w:rPr>
          <w:spacing w:val="-2"/>
        </w:rPr>
        <w:t>人士擔任，提供員工與管理階層關於衝突、騷擾問題之諮詢與協助。申訴人須在騷擾事件發生後一年內以書面向高級顧問提出正式申訴，高級顧問在申訴程序中之任何階段，只要雙方當事人同意，均可提供調處人名單，由雙方當事人選擇一</w:t>
      </w:r>
      <w:r>
        <w:rPr>
          <w:spacing w:val="-14"/>
        </w:rPr>
        <w:t>受過專業訓練的調處人來進行調處，調處中雙方當事人可由其親友、同事、主管、</w:t>
      </w:r>
      <w:r>
        <w:rPr>
          <w:spacing w:val="-2"/>
        </w:rPr>
        <w:t>公會代表陪同，服務機關亦會任命一機關代表，以確保調處所得之協議符合機關之利益、工作環境與秩序之維護。調處成立後，高級顧問將負責追蹤該調處協議</w:t>
      </w:r>
      <w:r>
        <w:rPr/>
        <w:t>兩年，以確保該協議有效執行；倘若調處不成立，則進行正式的調查程序。</w:t>
      </w:r>
    </w:p>
    <w:p>
      <w:pPr>
        <w:pStyle w:val="BodyText"/>
        <w:spacing w:before="5"/>
        <w:rPr>
          <w:sz w:val="30"/>
        </w:rPr>
      </w:pPr>
    </w:p>
    <w:p>
      <w:pPr>
        <w:pStyle w:val="BodyText"/>
        <w:spacing w:line="295" w:lineRule="auto"/>
        <w:ind w:left="900" w:right="914" w:firstLine="480"/>
        <w:jc w:val="both"/>
      </w:pPr>
      <w:r>
        <w:rPr>
          <w:spacing w:val="-3"/>
        </w:rPr>
        <w:t>綜上所述，此種調處機制之特色在於（一）針對特殊的爭議（</w:t>
      </w:r>
      <w:r>
        <w:rPr>
          <w:spacing w:val="-2"/>
        </w:rPr>
        <w:t>工作場所騷擾</w:t>
      </w:r>
      <w:r>
        <w:rPr/>
        <w:t>事件）</w:t>
      </w:r>
      <w:r>
        <w:rPr>
          <w:spacing w:val="-10"/>
        </w:rPr>
        <w:t>而就調處機制作特別的設計；</w:t>
      </w:r>
      <w:r>
        <w:rPr/>
        <w:t>（二）由雙方就高級顧問所建議之名單中選</w:t>
      </w:r>
      <w:r>
        <w:rPr>
          <w:spacing w:val="-6"/>
        </w:rPr>
        <w:t>擇其所信賴的調處人，相信將更有助於調處之成立；</w:t>
      </w:r>
      <w:r>
        <w:rPr/>
        <w:t>（三）強調事後的追蹤。</w:t>
      </w:r>
    </w:p>
    <w:p>
      <w:pPr>
        <w:pStyle w:val="BodyText"/>
        <w:spacing w:before="2"/>
      </w:pPr>
    </w:p>
    <w:p>
      <w:pPr>
        <w:pStyle w:val="Heading3"/>
        <w:rPr>
          <w:rFonts w:ascii="Times New Roman" w:eastAsia="Times New Roman"/>
          <w:b w:val="0"/>
        </w:rPr>
      </w:pPr>
      <w:r>
        <w:rPr>
          <w:rFonts w:ascii="新細明體" w:eastAsia="新細明體" w:hint="eastAsia"/>
          <w:w w:val="95"/>
        </w:rPr>
        <w:t>三、澳大利亞之調處制度</w:t>
      </w:r>
      <w:r>
        <w:rPr>
          <w:rFonts w:ascii="Times New Roman" w:eastAsia="Times New Roman"/>
          <w:b w:val="0"/>
          <w:w w:val="95"/>
          <w:vertAlign w:val="superscript"/>
        </w:rPr>
        <w:t>54</w:t>
      </w:r>
    </w:p>
    <w:p>
      <w:pPr>
        <w:pStyle w:val="BodyText"/>
        <w:spacing w:before="8"/>
        <w:rPr>
          <w:rFonts w:ascii="Times New Roman"/>
          <w:sz w:val="35"/>
        </w:rPr>
      </w:pPr>
    </w:p>
    <w:p>
      <w:pPr>
        <w:pStyle w:val="BodyText"/>
        <w:spacing w:line="295" w:lineRule="auto"/>
        <w:ind w:left="900" w:right="857" w:firstLine="480"/>
        <w:jc w:val="both"/>
      </w:pPr>
      <w:r>
        <w:rPr>
          <w:spacing w:val="-9"/>
        </w:rPr>
        <w:t>澳大利亞公務人員之保障制度，主要係由功績保障及評議局</w:t>
      </w:r>
      <w:r>
        <w:rPr>
          <w:spacing w:val="-13"/>
        </w:rPr>
        <w:t>（</w:t>
      </w:r>
      <w:r>
        <w:rPr>
          <w:rFonts w:ascii="Times New Roman" w:eastAsia="Times New Roman"/>
          <w:spacing w:val="-13"/>
        </w:rPr>
        <w:t>MPRA</w:t>
      </w:r>
      <w:r>
        <w:rPr>
          <w:spacing w:val="-13"/>
        </w:rPr>
        <w:t>）</w:t>
      </w:r>
      <w:r>
        <w:rPr>
          <w:spacing w:val="-9"/>
        </w:rPr>
        <w:t>負責，</w:t>
      </w:r>
      <w:r>
        <w:rPr>
          <w:spacing w:val="-60"/>
        </w:rPr>
        <w:t> </w:t>
      </w:r>
      <w:r>
        <w:rPr>
          <w:spacing w:val="10"/>
        </w:rPr>
        <w:t>功績保障及評議局係一個獨立的行政審查機構，由功績保障主任委員</w:t>
      </w:r>
      <w:r>
        <w:rPr/>
        <w:t>（</w:t>
      </w:r>
      <w:r>
        <w:rPr>
          <w:rFonts w:ascii="Times New Roman" w:eastAsia="Times New Roman"/>
        </w:rPr>
        <w:t>Merit</w:t>
      </w:r>
      <w:r>
        <w:rPr>
          <w:rFonts w:ascii="Times New Roman" w:eastAsia="Times New Roman"/>
          <w:spacing w:val="1"/>
        </w:rPr>
        <w:t> </w:t>
      </w:r>
      <w:r>
        <w:rPr>
          <w:rFonts w:ascii="Times New Roman" w:eastAsia="Times New Roman"/>
        </w:rPr>
        <w:t>Protection</w:t>
      </w:r>
      <w:r>
        <w:rPr>
          <w:rFonts w:ascii="Times New Roman" w:eastAsia="Times New Roman"/>
          <w:spacing w:val="15"/>
        </w:rPr>
        <w:t> </w:t>
      </w:r>
      <w:r>
        <w:rPr>
          <w:rFonts w:ascii="Times New Roman" w:eastAsia="Times New Roman"/>
        </w:rPr>
        <w:t>Commissioner</w:t>
      </w:r>
      <w:r>
        <w:rPr/>
        <w:t>）以及二至四名其他委員組成，其下分設「聯合選任委</w:t>
      </w:r>
      <w:r>
        <w:rPr>
          <w:spacing w:val="-2"/>
        </w:rPr>
        <w:t>員會」及其他各種審查委員會。功績保障主任委員為專任，任期七年，由總理或其他代表徵詢澳大利亞工會聯合會</w:t>
      </w:r>
      <w:r>
        <w:rPr/>
        <w:t>（</w:t>
      </w:r>
      <w:r>
        <w:rPr>
          <w:rFonts w:ascii="Times New Roman" w:eastAsia="Times New Roman"/>
          <w:spacing w:val="-1"/>
        </w:rPr>
        <w:t>Australia</w:t>
      </w:r>
      <w:r>
        <w:rPr>
          <w:rFonts w:ascii="Times New Roman" w:eastAsia="Times New Roman"/>
        </w:rPr>
        <w:t>n</w:t>
      </w:r>
      <w:r>
        <w:rPr>
          <w:rFonts w:ascii="Times New Roman" w:eastAsia="Times New Roman"/>
          <w:spacing w:val="-1"/>
        </w:rPr>
        <w:t> Counci</w:t>
      </w:r>
      <w:r>
        <w:rPr>
          <w:rFonts w:ascii="Times New Roman" w:eastAsia="Times New Roman"/>
        </w:rPr>
        <w:t>l</w:t>
      </w:r>
      <w:r>
        <w:rPr>
          <w:rFonts w:ascii="Times New Roman" w:eastAsia="Times New Roman"/>
          <w:spacing w:val="-1"/>
        </w:rPr>
        <w:t> o</w:t>
      </w:r>
      <w:r>
        <w:rPr>
          <w:rFonts w:ascii="Times New Roman" w:eastAsia="Times New Roman"/>
        </w:rPr>
        <w:t>f</w:t>
      </w:r>
      <w:r>
        <w:rPr>
          <w:rFonts w:ascii="Times New Roman" w:eastAsia="Times New Roman"/>
          <w:spacing w:val="-5"/>
        </w:rPr>
        <w:t> </w:t>
      </w:r>
      <w:r>
        <w:rPr>
          <w:rFonts w:ascii="Times New Roman" w:eastAsia="Times New Roman"/>
          <w:spacing w:val="-9"/>
        </w:rPr>
        <w:t>T</w:t>
      </w:r>
      <w:r>
        <w:rPr>
          <w:rFonts w:ascii="Times New Roman" w:eastAsia="Times New Roman"/>
        </w:rPr>
        <w:t>rade </w:t>
      </w:r>
      <w:r>
        <w:rPr>
          <w:rFonts w:ascii="Times New Roman" w:eastAsia="Times New Roman"/>
          <w:spacing w:val="-1"/>
        </w:rPr>
        <w:t>Union</w:t>
      </w:r>
      <w:r>
        <w:rPr>
          <w:rFonts w:ascii="Times New Roman" w:eastAsia="Times New Roman"/>
          <w:spacing w:val="2"/>
        </w:rPr>
        <w:t>s</w:t>
      </w:r>
      <w:r>
        <w:rPr>
          <w:spacing w:val="-134"/>
        </w:rPr>
        <w:t>）</w:t>
      </w:r>
      <w:r>
        <w:rPr>
          <w:spacing w:val="-4"/>
        </w:rPr>
        <w:t>、文官主</w:t>
      </w:r>
    </w:p>
    <w:p>
      <w:pPr>
        <w:pStyle w:val="BodyText"/>
        <w:rPr>
          <w:sz w:val="20"/>
        </w:rPr>
      </w:pPr>
    </w:p>
    <w:p>
      <w:pPr>
        <w:spacing w:line="223" w:lineRule="auto" w:before="121"/>
        <w:ind w:left="900" w:right="859" w:firstLine="0"/>
        <w:jc w:val="both"/>
        <w:rPr>
          <w:sz w:val="22"/>
        </w:rPr>
      </w:pPr>
      <w:r>
        <w:rPr>
          <w:rFonts w:ascii="Times New Roman" w:eastAsia="Times New Roman"/>
          <w:sz w:val="22"/>
          <w:vertAlign w:val="superscript"/>
        </w:rPr>
        <w:t>54</w:t>
      </w:r>
      <w:r>
        <w:rPr>
          <w:rFonts w:ascii="Times New Roman" w:eastAsia="Times New Roman"/>
          <w:spacing w:val="49"/>
          <w:sz w:val="22"/>
          <w:vertAlign w:val="baseline"/>
        </w:rPr>
        <w:t> </w:t>
      </w:r>
      <w:r>
        <w:rPr>
          <w:spacing w:val="-9"/>
          <w:sz w:val="22"/>
          <w:vertAlign w:val="baseline"/>
        </w:rPr>
        <w:t>參閱陳淞山等，公務人員保障暨培訓委員會赴澳大利亞考察報告，</w:t>
      </w:r>
      <w:r>
        <w:rPr>
          <w:rFonts w:ascii="Times New Roman" w:eastAsia="Times New Roman"/>
          <w:spacing w:val="-7"/>
          <w:sz w:val="22"/>
          <w:vertAlign w:val="baseline"/>
        </w:rPr>
        <w:t>1998</w:t>
      </w:r>
      <w:r>
        <w:rPr>
          <w:rFonts w:ascii="Times New Roman" w:eastAsia="Times New Roman"/>
          <w:spacing w:val="-2"/>
          <w:sz w:val="22"/>
          <w:vertAlign w:val="baseline"/>
        </w:rPr>
        <w:t> </w:t>
      </w:r>
      <w:r>
        <w:rPr>
          <w:spacing w:val="-19"/>
          <w:sz w:val="22"/>
          <w:vertAlign w:val="baseline"/>
        </w:rPr>
        <w:t>年，頁 </w:t>
      </w:r>
      <w:r>
        <w:rPr>
          <w:rFonts w:ascii="Times New Roman" w:eastAsia="Times New Roman"/>
          <w:spacing w:val="-3"/>
          <w:sz w:val="22"/>
          <w:vertAlign w:val="baseline"/>
        </w:rPr>
        <w:t>44-46</w:t>
      </w:r>
      <w:r>
        <w:rPr>
          <w:sz w:val="22"/>
          <w:vertAlign w:val="baseline"/>
        </w:rPr>
        <w:t>、</w:t>
      </w:r>
      <w:r>
        <w:rPr>
          <w:rFonts w:ascii="Times New Roman" w:eastAsia="Times New Roman"/>
          <w:sz w:val="22"/>
          <w:vertAlign w:val="baseline"/>
        </w:rPr>
        <w:t>50-70</w:t>
      </w:r>
      <w:r>
        <w:rPr>
          <w:spacing w:val="-4"/>
          <w:sz w:val="22"/>
          <w:vertAlign w:val="baseline"/>
        </w:rPr>
        <w:t>；另參閱公務人員保障暨培訓委員會委託，陳愛娥、盛子龍主持，《公務人員保障</w:t>
      </w:r>
      <w:r>
        <w:rPr>
          <w:spacing w:val="-13"/>
          <w:sz w:val="22"/>
          <w:vertAlign w:val="baseline"/>
        </w:rPr>
        <w:t>案件的調處制度》，</w:t>
      </w:r>
      <w:r>
        <w:rPr>
          <w:rFonts w:ascii="Times New Roman" w:eastAsia="Times New Roman"/>
          <w:sz w:val="22"/>
          <w:vertAlign w:val="baseline"/>
        </w:rPr>
        <w:t>2000</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3-4</w:t>
      </w:r>
      <w:r>
        <w:rPr>
          <w:sz w:val="22"/>
          <w:vertAlign w:val="baseline"/>
        </w:rPr>
        <w:t>。</w:t>
      </w:r>
    </w:p>
    <w:p>
      <w:pPr>
        <w:spacing w:after="0" w:line="223" w:lineRule="auto"/>
        <w:jc w:val="both"/>
        <w:rPr>
          <w:sz w:val="22"/>
        </w:rPr>
        <w:sectPr>
          <w:footerReference w:type="default" r:id="rId21"/>
          <w:pgSz w:w="11910" w:h="16840"/>
          <w:pgMar w:footer="1191" w:header="0" w:top="1440" w:bottom="1380" w:left="900" w:right="880"/>
        </w:sectPr>
      </w:pPr>
    </w:p>
    <w:p>
      <w:pPr>
        <w:pStyle w:val="BodyText"/>
        <w:spacing w:line="295" w:lineRule="auto" w:before="58"/>
        <w:ind w:left="900" w:right="917"/>
        <w:jc w:val="both"/>
      </w:pPr>
      <w:r>
        <w:rPr>
          <w:spacing w:val="-2"/>
        </w:rPr>
        <w:t>任委員（</w:t>
      </w:r>
      <w:r>
        <w:rPr>
          <w:rFonts w:ascii="Times New Roman" w:eastAsia="Times New Roman"/>
          <w:spacing w:val="-2"/>
        </w:rPr>
        <w:t>Public</w:t>
      </w:r>
      <w:r>
        <w:rPr>
          <w:rFonts w:ascii="Times New Roman" w:eastAsia="Times New Roman"/>
          <w:spacing w:val="-12"/>
        </w:rPr>
        <w:t> </w:t>
      </w:r>
      <w:r>
        <w:rPr>
          <w:rFonts w:ascii="Times New Roman" w:eastAsia="Times New Roman"/>
          <w:spacing w:val="-1"/>
        </w:rPr>
        <w:t>Service</w:t>
      </w:r>
      <w:r>
        <w:rPr>
          <w:rFonts w:ascii="Times New Roman" w:eastAsia="Times New Roman"/>
          <w:spacing w:val="-12"/>
        </w:rPr>
        <w:t> </w:t>
      </w:r>
      <w:r>
        <w:rPr>
          <w:rFonts w:ascii="Times New Roman" w:eastAsia="Times New Roman"/>
          <w:spacing w:val="-1"/>
        </w:rPr>
        <w:t>Commissioner</w:t>
      </w:r>
      <w:r>
        <w:rPr>
          <w:spacing w:val="-1"/>
        </w:rPr>
        <w:t>）之意見後，提請總督任命；其他委員為兼</w:t>
      </w:r>
      <w:r>
        <w:rPr>
          <w:spacing w:val="-3"/>
        </w:rPr>
        <w:t>任，任期五年，由總理或其代表徵詢澳大利亞工會聯合會、文官主任委員及功績</w:t>
      </w:r>
      <w:r>
        <w:rPr/>
        <w:t>保障主任委員之意見後，提請總督任命，兩者均得連任。</w:t>
      </w:r>
    </w:p>
    <w:p>
      <w:pPr>
        <w:pStyle w:val="BodyText"/>
        <w:spacing w:before="12"/>
        <w:rPr>
          <w:sz w:val="29"/>
        </w:rPr>
      </w:pPr>
    </w:p>
    <w:p>
      <w:pPr>
        <w:pStyle w:val="BodyText"/>
        <w:ind w:left="1365" w:right="903"/>
        <w:jc w:val="center"/>
      </w:pPr>
      <w:r>
        <w:rPr>
          <w:spacing w:val="-3"/>
        </w:rPr>
        <w:t>由功績保障及評議局負責之保障案件有六種類型，包括（一）升任復審程序</w:t>
      </w:r>
    </w:p>
    <w:p>
      <w:pPr>
        <w:pStyle w:val="BodyText"/>
        <w:spacing w:line="295" w:lineRule="auto" w:before="78"/>
        <w:ind w:left="899" w:right="857"/>
        <w:jc w:val="both"/>
      </w:pPr>
      <w:r>
        <w:rPr/>
        <w:t>（</w:t>
      </w:r>
      <w:r>
        <w:rPr>
          <w:rFonts w:ascii="Times New Roman" w:eastAsia="Times New Roman"/>
        </w:rPr>
        <w:t>the</w:t>
      </w:r>
      <w:r>
        <w:rPr>
          <w:rFonts w:ascii="Times New Roman" w:eastAsia="Times New Roman"/>
          <w:spacing w:val="28"/>
        </w:rPr>
        <w:t> </w:t>
      </w:r>
      <w:r>
        <w:rPr>
          <w:rFonts w:ascii="Times New Roman" w:eastAsia="Times New Roman"/>
        </w:rPr>
        <w:t>promotion</w:t>
      </w:r>
      <w:r>
        <w:rPr>
          <w:rFonts w:ascii="Times New Roman" w:eastAsia="Times New Roman"/>
          <w:spacing w:val="28"/>
        </w:rPr>
        <w:t> </w:t>
      </w:r>
      <w:r>
        <w:rPr>
          <w:rFonts w:ascii="Times New Roman" w:eastAsia="Times New Roman"/>
        </w:rPr>
        <w:t>appeal</w:t>
      </w:r>
      <w:r>
        <w:rPr>
          <w:rFonts w:ascii="Times New Roman" w:eastAsia="Times New Roman"/>
          <w:spacing w:val="28"/>
        </w:rPr>
        <w:t> </w:t>
      </w:r>
      <w:r>
        <w:rPr>
          <w:rFonts w:ascii="Times New Roman" w:eastAsia="Times New Roman"/>
        </w:rPr>
        <w:t>proces</w:t>
      </w:r>
      <w:r>
        <w:rPr>
          <w:rFonts w:ascii="Times New Roman" w:eastAsia="Times New Roman"/>
          <w:spacing w:val="-1"/>
        </w:rPr>
        <w:t>s</w:t>
      </w:r>
      <w:r>
        <w:rPr>
          <w:spacing w:val="-120"/>
        </w:rPr>
        <w:t>）</w:t>
      </w:r>
      <w:r>
        <w:rPr>
          <w:spacing w:val="-1"/>
        </w:rPr>
        <w:t>：主要目的在於確保公務人員的選任根據功績而</w:t>
      </w:r>
      <w:r>
        <w:rPr>
          <w:spacing w:val="-5"/>
        </w:rPr>
        <w:t>定，並且使公務人員升遷不受任意授與官職與歧視因素之影響；</w:t>
      </w:r>
      <w:r>
        <w:rPr/>
        <w:t>（二）懲戒之復審（</w:t>
      </w:r>
      <w:r>
        <w:rPr>
          <w:rFonts w:ascii="Times New Roman" w:eastAsia="Times New Roman"/>
          <w:spacing w:val="-1"/>
        </w:rPr>
        <w:t>Disciplinar</w:t>
      </w:r>
      <w:r>
        <w:rPr>
          <w:rFonts w:ascii="Times New Roman" w:eastAsia="Times New Roman"/>
        </w:rPr>
        <w:t>y</w:t>
      </w:r>
      <w:r>
        <w:rPr>
          <w:rFonts w:ascii="Times New Roman" w:eastAsia="Times New Roman"/>
          <w:spacing w:val="5"/>
        </w:rPr>
        <w:t> </w:t>
      </w:r>
      <w:r>
        <w:rPr>
          <w:rFonts w:ascii="Times New Roman" w:eastAsia="Times New Roman"/>
          <w:spacing w:val="-1"/>
        </w:rPr>
        <w:t>Appea</w:t>
      </w:r>
      <w:r>
        <w:rPr>
          <w:rFonts w:ascii="Times New Roman" w:eastAsia="Times New Roman"/>
          <w:spacing w:val="2"/>
        </w:rPr>
        <w:t>l</w:t>
      </w:r>
      <w:r>
        <w:rPr>
          <w:spacing w:val="-120"/>
        </w:rPr>
        <w:t>）</w:t>
      </w:r>
      <w:r>
        <w:rPr/>
        <w:t>：針對常務次長或其指定之調查人員，因公務人員怠於</w:t>
      </w:r>
      <w:r>
        <w:rPr>
          <w:spacing w:val="-2"/>
        </w:rPr>
        <w:t>履行職責所為之警告、扣薪、減薪、調職、降調較低職位與免職之懲戒命令，受</w:t>
      </w:r>
      <w:r>
        <w:rPr>
          <w:spacing w:val="2"/>
        </w:rPr>
        <w:t>懲戒人提起復審而進行之程序；</w:t>
      </w:r>
      <w:r>
        <w:rPr>
          <w:spacing w:val="11"/>
        </w:rPr>
        <w:t>（三）復職及退休之復審</w:t>
      </w:r>
      <w:r>
        <w:rPr>
          <w:spacing w:val="12"/>
        </w:rPr>
        <w:t>（</w:t>
      </w:r>
      <w:r>
        <w:rPr>
          <w:rFonts w:ascii="Times New Roman" w:eastAsia="Times New Roman"/>
        </w:rPr>
        <w:t>Redeploy</w:t>
      </w:r>
      <w:r>
        <w:rPr>
          <w:rFonts w:ascii="Times New Roman" w:eastAsia="Times New Roman"/>
          <w:spacing w:val="-2"/>
        </w:rPr>
        <w:t>m</w:t>
      </w:r>
      <w:r>
        <w:rPr>
          <w:rFonts w:ascii="Times New Roman" w:eastAsia="Times New Roman"/>
        </w:rPr>
        <w:t>ent</w:t>
      </w:r>
      <w:r>
        <w:rPr>
          <w:rFonts w:ascii="Times New Roman" w:eastAsia="Times New Roman"/>
          <w:spacing w:val="6"/>
        </w:rPr>
        <w:t>  </w:t>
      </w:r>
      <w:r>
        <w:rPr>
          <w:rFonts w:ascii="Times New Roman" w:eastAsia="Times New Roman"/>
          <w:spacing w:val="1"/>
        </w:rPr>
        <w:t>a</w:t>
      </w:r>
      <w:r>
        <w:rPr>
          <w:rFonts w:ascii="Times New Roman" w:eastAsia="Times New Roman"/>
        </w:rPr>
        <w:t>nd Retire</w:t>
      </w:r>
      <w:r>
        <w:rPr>
          <w:rFonts w:ascii="Times New Roman" w:eastAsia="Times New Roman"/>
          <w:spacing w:val="-2"/>
        </w:rPr>
        <w:t>m</w:t>
      </w:r>
      <w:r>
        <w:rPr>
          <w:rFonts w:ascii="Times New Roman" w:eastAsia="Times New Roman"/>
        </w:rPr>
        <w:t>ent</w:t>
      </w:r>
      <w:r>
        <w:rPr>
          <w:rFonts w:ascii="Times New Roman" w:eastAsia="Times New Roman"/>
          <w:spacing w:val="-13"/>
        </w:rPr>
        <w:t> </w:t>
      </w:r>
      <w:r>
        <w:rPr>
          <w:rFonts w:ascii="Times New Roman" w:eastAsia="Times New Roman"/>
        </w:rPr>
        <w:t>Appea</w:t>
      </w:r>
      <w:r>
        <w:rPr>
          <w:rFonts w:ascii="Times New Roman" w:eastAsia="Times New Roman"/>
          <w:spacing w:val="-1"/>
        </w:rPr>
        <w:t>l</w:t>
      </w:r>
      <w:r>
        <w:rPr>
          <w:spacing w:val="-128"/>
        </w:rPr>
        <w:t>）</w:t>
      </w:r>
      <w:r>
        <w:rPr>
          <w:spacing w:val="-126"/>
        </w:rPr>
        <w:t>；</w:t>
      </w:r>
      <w:r>
        <w:rPr>
          <w:spacing w:val="-1"/>
        </w:rPr>
        <w:t>（四</w:t>
      </w:r>
      <w:r>
        <w:rPr>
          <w:spacing w:val="-14"/>
        </w:rPr>
        <w:t>）</w:t>
      </w:r>
      <w:r>
        <w:rPr>
          <w:spacing w:val="-5"/>
        </w:rPr>
        <w:t>回任評估</w:t>
      </w:r>
      <w:r>
        <w:rPr>
          <w:spacing w:val="-1"/>
        </w:rPr>
        <w:t>（</w:t>
      </w:r>
      <w:r>
        <w:rPr>
          <w:rFonts w:ascii="Times New Roman" w:eastAsia="Times New Roman"/>
        </w:rPr>
        <w:t>Re-entry</w:t>
      </w:r>
      <w:r>
        <w:rPr>
          <w:rFonts w:ascii="Times New Roman" w:eastAsia="Times New Roman"/>
          <w:spacing w:val="-14"/>
        </w:rPr>
        <w:t> </w:t>
      </w:r>
      <w:r>
        <w:rPr>
          <w:rFonts w:ascii="Times New Roman" w:eastAsia="Times New Roman"/>
        </w:rPr>
        <w:t>Assess</w:t>
      </w:r>
      <w:r>
        <w:rPr>
          <w:rFonts w:ascii="Times New Roman" w:eastAsia="Times New Roman"/>
          <w:spacing w:val="-2"/>
        </w:rPr>
        <w:t>m</w:t>
      </w:r>
      <w:r>
        <w:rPr>
          <w:rFonts w:ascii="Times New Roman" w:eastAsia="Times New Roman"/>
          <w:spacing w:val="1"/>
        </w:rPr>
        <w:t>e</w:t>
      </w:r>
      <w:r>
        <w:rPr>
          <w:rFonts w:ascii="Times New Roman" w:eastAsia="Times New Roman"/>
        </w:rPr>
        <w:t>nts</w:t>
      </w:r>
      <w:r>
        <w:rPr>
          <w:spacing w:val="-128"/>
        </w:rPr>
        <w:t>）</w:t>
      </w:r>
      <w:r>
        <w:rPr>
          <w:spacing w:val="-3"/>
        </w:rPr>
        <w:t>：轉任其他澳大利亞</w:t>
      </w:r>
      <w:r>
        <w:rPr>
          <w:spacing w:val="-2"/>
        </w:rPr>
        <w:t>公共部門之公務人員，如其希望回任公務人員體系，就其人員之資格及回任之層</w:t>
      </w:r>
      <w:r>
        <w:rPr>
          <w:spacing w:val="-17"/>
        </w:rPr>
        <w:t>級予以評估；</w:t>
      </w:r>
      <w:r>
        <w:rPr>
          <w:spacing w:val="3"/>
        </w:rPr>
        <w:t>（五）申訴（</w:t>
      </w:r>
      <w:r>
        <w:rPr>
          <w:rFonts w:ascii="Times New Roman" w:eastAsia="Times New Roman"/>
        </w:rPr>
        <w:t>Grievanc</w:t>
      </w:r>
      <w:r>
        <w:rPr>
          <w:rFonts w:ascii="Times New Roman" w:eastAsia="Times New Roman"/>
          <w:spacing w:val="4"/>
        </w:rPr>
        <w:t>e</w:t>
      </w:r>
      <w:r>
        <w:rPr>
          <w:spacing w:val="-117"/>
        </w:rPr>
        <w:t>）</w:t>
      </w:r>
      <w:r>
        <w:rPr>
          <w:spacing w:val="3"/>
        </w:rPr>
        <w:t>：公務人員認為機關不公平、不正確的行</w:t>
      </w:r>
      <w:r>
        <w:rPr>
          <w:spacing w:val="-2"/>
        </w:rPr>
        <w:t>為或決定影響其工作，例如拒絕准假、歧視、性騷擾或其他騷擾行為、拒絕加薪等，均可提出申訴，惟若對於該行為或決定可以提起復審時，即不得提起申訴；</w:t>
      </w:r>
    </w:p>
    <w:p>
      <w:pPr>
        <w:pStyle w:val="BodyText"/>
        <w:spacing w:before="12"/>
        <w:ind w:left="899"/>
      </w:pPr>
      <w:r>
        <w:rPr/>
        <w:t>（六）審查（</w:t>
      </w:r>
      <w:r>
        <w:rPr>
          <w:rFonts w:ascii="Times New Roman" w:eastAsia="Times New Roman"/>
        </w:rPr>
        <w:t>Revie</w:t>
      </w:r>
      <w:r>
        <w:rPr>
          <w:rFonts w:ascii="Times New Roman" w:eastAsia="Times New Roman"/>
          <w:spacing w:val="-1"/>
        </w:rPr>
        <w:t>w</w:t>
      </w:r>
      <w:r>
        <w:rPr>
          <w:spacing w:val="-120"/>
        </w:rPr>
        <w:t>）</w:t>
      </w:r>
      <w:r>
        <w:rPr/>
        <w:t>：這是基於特殊理由所提起的升任決定審查程序。</w:t>
      </w:r>
    </w:p>
    <w:p>
      <w:pPr>
        <w:pStyle w:val="BodyText"/>
        <w:spacing w:before="3"/>
        <w:rPr>
          <w:sz w:val="35"/>
        </w:rPr>
      </w:pPr>
    </w:p>
    <w:p>
      <w:pPr>
        <w:pStyle w:val="BodyText"/>
        <w:spacing w:line="295" w:lineRule="auto"/>
        <w:ind w:left="899" w:right="857" w:firstLine="480"/>
        <w:jc w:val="both"/>
      </w:pPr>
      <w:r>
        <w:rPr>
          <w:spacing w:val="-2"/>
        </w:rPr>
        <w:t>前開救濟程序中，僅有針對申訴程序設計有調處的機制，公務人員提出正式申訴時，應以書面敘明請求之原因事實，向作成相關行為或決定之機關提出。申訴應經由直屬長官提交常務次長，但若相關行為係由直屬長官作成時，則可直接</w:t>
      </w:r>
      <w:r>
        <w:rPr/>
        <w:t>向常務次長提出申訴，通常機關此時會嘗試先以調處程序（</w:t>
      </w:r>
      <w:r>
        <w:rPr>
          <w:rFonts w:ascii="Times New Roman" w:eastAsia="Times New Roman"/>
        </w:rPr>
        <w:t>conciliation</w:t>
      </w:r>
      <w:r>
        <w:rPr/>
        <w:t>）來解決</w:t>
      </w:r>
      <w:r>
        <w:rPr>
          <w:spacing w:val="-1"/>
        </w:rPr>
        <w:t>申訴案件，倘若未能成功，將由常務次長或其授權之人書面審查此一申訴案件，</w:t>
      </w:r>
      <w:r>
        <w:rPr>
          <w:spacing w:val="-60"/>
        </w:rPr>
        <w:t> </w:t>
      </w:r>
      <w:r>
        <w:rPr>
          <w:spacing w:val="-2"/>
        </w:rPr>
        <w:t>如書面審查不能瞭解事實時，則可從事正式調查，嗣後將依調查報告作成申訴決</w:t>
      </w:r>
      <w:r>
        <w:rPr>
          <w:spacing w:val="2"/>
        </w:rPr>
        <w:t>定，申訴人不服前述決定後，始可對功績保障及評議局請求審查（</w:t>
      </w:r>
      <w:r>
        <w:rPr>
          <w:rFonts w:ascii="Times New Roman" w:eastAsia="Times New Roman"/>
        </w:rPr>
        <w:t>revie</w:t>
      </w:r>
      <w:r>
        <w:rPr>
          <w:rFonts w:ascii="Times New Roman" w:eastAsia="Times New Roman"/>
          <w:spacing w:val="1"/>
        </w:rPr>
        <w:t>w</w:t>
      </w:r>
      <w:r>
        <w:rPr>
          <w:spacing w:val="-118"/>
        </w:rPr>
        <w:t>）</w:t>
      </w:r>
      <w:r>
        <w:rPr>
          <w:spacing w:val="2"/>
        </w:rPr>
        <w:t>，功</w:t>
      </w:r>
      <w:r>
        <w:rPr>
          <w:spacing w:val="-2"/>
        </w:rPr>
        <w:t>績保障及評議局可以決定是否再作調查，亦可藉由詢問機關成員、調閱文件或採取任何合理之措施來發現申訴案件之真實。如果可能，亦可在此一階段採取調處之方式來處理申訴案件，如調處不可能時，其將作成裁決，對此裁決不服，應訴</w:t>
      </w:r>
      <w:r>
        <w:rPr/>
        <w:t>請法院審理。</w:t>
      </w:r>
    </w:p>
    <w:p>
      <w:pPr>
        <w:pStyle w:val="BodyText"/>
        <w:spacing w:before="7"/>
        <w:rPr>
          <w:sz w:val="30"/>
        </w:rPr>
      </w:pPr>
    </w:p>
    <w:p>
      <w:pPr>
        <w:pStyle w:val="BodyText"/>
        <w:spacing w:line="295" w:lineRule="auto" w:before="1"/>
        <w:ind w:left="899" w:right="822" w:firstLine="480"/>
      </w:pPr>
      <w:r>
        <w:rPr>
          <w:spacing w:val="-8"/>
        </w:rPr>
        <w:t>綜上所述，其調處機制之特色為：</w:t>
      </w:r>
      <w:r>
        <w:rPr/>
        <w:t>（一）</w:t>
      </w:r>
      <w:r>
        <w:rPr>
          <w:spacing w:val="-10"/>
        </w:rPr>
        <w:t>僅限於申訴案件有此項設計；</w:t>
      </w:r>
      <w:r>
        <w:rPr/>
        <w:t>（二</w:t>
      </w:r>
      <w:r>
        <w:rPr>
          <w:spacing w:val="-17"/>
        </w:rPr>
        <w:t>）</w:t>
      </w:r>
      <w:r>
        <w:rPr>
          <w:spacing w:val="-1"/>
        </w:rPr>
        <w:t>無論是原決定機關在做成申訴決定前，或是功績保障及評議局再審查申訴決定而</w:t>
      </w:r>
      <w:r>
        <w:rPr>
          <w:spacing w:val="-10"/>
        </w:rPr>
        <w:t>為裁決前，均得從事調處；</w:t>
      </w:r>
      <w:r>
        <w:rPr/>
        <w:t>（三）法條針對調處規定並未有詳細之規定。</w:t>
      </w:r>
    </w:p>
    <w:p>
      <w:pPr>
        <w:spacing w:after="0" w:line="295" w:lineRule="auto"/>
        <w:sectPr>
          <w:footerReference w:type="default" r:id="rId22"/>
          <w:pgSz w:w="11910" w:h="16840"/>
          <w:pgMar w:footer="938" w:header="0" w:top="1420" w:bottom="1120" w:left="900" w:right="880"/>
          <w:pgNumType w:start="33"/>
        </w:sectPr>
      </w:pPr>
    </w:p>
    <w:p>
      <w:pPr>
        <w:pStyle w:val="BodyText"/>
        <w:spacing w:line="295" w:lineRule="auto" w:before="38"/>
        <w:ind w:left="900" w:right="857" w:firstLine="480"/>
        <w:jc w:val="both"/>
      </w:pPr>
      <w:r>
        <w:rPr>
          <w:spacing w:val="-2"/>
        </w:rPr>
        <w:t>綜觀以上各國立法例，不難發現日、加、澳等國家對於調處制度有其共同之特點，即其適用範圍均僅及於對當事人權益變動影響較小之申訴、再申訴事件；</w:t>
      </w:r>
      <w:r>
        <w:rPr>
          <w:spacing w:val="-60"/>
        </w:rPr>
        <w:t> </w:t>
      </w:r>
      <w:r>
        <w:rPr>
          <w:spacing w:val="-2"/>
        </w:rPr>
        <w:t>再者，各國立法例對於調處制度均未有具體明確之規定，而是保留空間讓審理申訴、再申訴事件之機關有較多之運作空間，得視具體個案而隨時轉換再申訴程序</w:t>
      </w:r>
      <w:r>
        <w:rPr/>
        <w:t>而進入調處程序，以達成調處成立並順利解決當事人紛爭之目的。</w:t>
      </w:r>
    </w:p>
    <w:p>
      <w:pPr>
        <w:pStyle w:val="BodyText"/>
        <w:spacing w:before="5"/>
        <w:rPr>
          <w:sz w:val="22"/>
        </w:rPr>
      </w:pPr>
    </w:p>
    <w:p>
      <w:pPr>
        <w:pStyle w:val="Heading2"/>
      </w:pPr>
      <w:bookmarkStart w:name="_TOC_250038" w:id="1"/>
      <w:bookmarkEnd w:id="1"/>
      <w:r>
        <w:rPr/>
        <w:t>第二節 我國保障法中調處制度之分析</w:t>
      </w:r>
    </w:p>
    <w:p>
      <w:pPr>
        <w:pStyle w:val="BodyText"/>
        <w:spacing w:before="4"/>
        <w:rPr>
          <w:b/>
          <w:sz w:val="27"/>
        </w:rPr>
      </w:pPr>
    </w:p>
    <w:p>
      <w:pPr>
        <w:pStyle w:val="BodyText"/>
        <w:spacing w:line="295" w:lineRule="auto"/>
        <w:ind w:left="900" w:right="917" w:firstLine="480"/>
      </w:pPr>
      <w:r>
        <w:rPr>
          <w:spacing w:val="-3"/>
        </w:rPr>
        <w:t>在瞭解調處制度之立法背景後，以下將檢視我國調處制度之內涵及其與行政</w:t>
      </w:r>
      <w:r>
        <w:rPr/>
        <w:t>法上和解制度之比較，以作為探究復審事件是否適用調處制度理論基礎。</w:t>
      </w:r>
    </w:p>
    <w:p>
      <w:pPr>
        <w:pStyle w:val="BodyText"/>
      </w:pPr>
    </w:p>
    <w:p>
      <w:pPr>
        <w:pStyle w:val="Heading3"/>
        <w:spacing w:before="1"/>
        <w:rPr>
          <w:rFonts w:ascii="新細明體" w:eastAsia="新細明體" w:hint="eastAsia"/>
        </w:rPr>
      </w:pPr>
      <w:bookmarkStart w:name="_TOC_250037" w:id="2"/>
      <w:bookmarkEnd w:id="2"/>
      <w:r>
        <w:rPr>
          <w:rFonts w:ascii="新細明體" w:eastAsia="新細明體" w:hint="eastAsia"/>
          <w:w w:val="95"/>
        </w:rPr>
        <w:t>一、調處制度之內涵</w:t>
      </w:r>
    </w:p>
    <w:p>
      <w:pPr>
        <w:pStyle w:val="BodyText"/>
        <w:rPr>
          <w:b/>
        </w:rPr>
      </w:pPr>
    </w:p>
    <w:p>
      <w:pPr>
        <w:pStyle w:val="BodyText"/>
        <w:spacing w:before="3"/>
        <w:rPr>
          <w:b/>
          <w:sz w:val="29"/>
        </w:rPr>
      </w:pPr>
    </w:p>
    <w:p>
      <w:pPr>
        <w:pStyle w:val="Heading3"/>
      </w:pPr>
      <w:bookmarkStart w:name="_TOC_250036" w:id="3"/>
      <w:bookmarkEnd w:id="3"/>
      <w:r>
        <w:rPr/>
        <w:t>（一）調處制度之功能及其運作方式</w:t>
      </w:r>
    </w:p>
    <w:p>
      <w:pPr>
        <w:pStyle w:val="BodyText"/>
        <w:spacing w:before="5"/>
        <w:rPr>
          <w:rFonts w:ascii="標楷體"/>
          <w:b/>
          <w:sz w:val="29"/>
        </w:rPr>
      </w:pPr>
    </w:p>
    <w:p>
      <w:pPr>
        <w:pStyle w:val="BodyText"/>
        <w:spacing w:line="295" w:lineRule="auto"/>
        <w:ind w:left="900" w:right="857" w:firstLine="480"/>
        <w:jc w:val="both"/>
      </w:pPr>
      <w:r>
        <w:rPr>
          <w:spacing w:val="6"/>
        </w:rPr>
        <w:t>保障法於 </w:t>
      </w:r>
      <w:r>
        <w:rPr>
          <w:rFonts w:ascii="Times New Roman" w:eastAsia="Times New Roman"/>
        </w:rPr>
        <w:t>92</w:t>
      </w:r>
      <w:r>
        <w:rPr>
          <w:rFonts w:ascii="Times New Roman" w:eastAsia="Times New Roman"/>
          <w:spacing w:val="36"/>
        </w:rPr>
        <w:t> </w:t>
      </w:r>
      <w:r>
        <w:rPr>
          <w:spacing w:val="4"/>
        </w:rPr>
        <w:t>年修法時在第 </w:t>
      </w:r>
      <w:r>
        <w:rPr>
          <w:rFonts w:ascii="Times New Roman" w:eastAsia="Times New Roman"/>
        </w:rPr>
        <w:t>85</w:t>
      </w:r>
      <w:r>
        <w:rPr>
          <w:rFonts w:ascii="Times New Roman" w:eastAsia="Times New Roman"/>
          <w:spacing w:val="36"/>
        </w:rPr>
        <w:t> </w:t>
      </w:r>
      <w:r>
        <w:rPr/>
        <w:t>條以下增訂第五章調處制度，其立法說明指</w:t>
      </w:r>
      <w:r>
        <w:rPr>
          <w:spacing w:val="-55"/>
        </w:rPr>
        <w:t>出，「</w:t>
      </w:r>
      <w:r>
        <w:rPr>
          <w:rFonts w:ascii="標楷體" w:eastAsia="標楷體" w:hint="eastAsia"/>
          <w:spacing w:val="-12"/>
        </w:rPr>
        <w:t>參酌日本、加拿大、澳大利亞等國之立法例，明定保訓會審理再申訴事件，</w:t>
      </w:r>
      <w:r>
        <w:rPr>
          <w:rFonts w:ascii="標楷體" w:eastAsia="標楷體" w:hint="eastAsia"/>
          <w:spacing w:val="-118"/>
        </w:rPr>
        <w:t> </w:t>
      </w:r>
      <w:r>
        <w:rPr>
          <w:rFonts w:ascii="標楷體" w:eastAsia="標楷體" w:hint="eastAsia"/>
          <w:spacing w:val="-2"/>
        </w:rPr>
        <w:t>為妥善解決問題，得指派委員進行調處。</w:t>
      </w:r>
      <w:r>
        <w:rPr>
          <w:spacing w:val="-14"/>
        </w:rPr>
        <w:t>」，此外，依保訓會之書面資料指出</w:t>
      </w:r>
      <w:r>
        <w:rPr>
          <w:rFonts w:ascii="Times New Roman" w:eastAsia="Times New Roman"/>
          <w:spacing w:val="-1"/>
          <w:vertAlign w:val="superscript"/>
        </w:rPr>
        <w:t>55</w:t>
      </w:r>
      <w:r>
        <w:rPr>
          <w:spacing w:val="-1"/>
          <w:vertAlign w:val="baseline"/>
        </w:rPr>
        <w:t>：</w:t>
      </w:r>
    </w:p>
    <w:p>
      <w:pPr>
        <w:pStyle w:val="BodyText"/>
        <w:spacing w:line="295" w:lineRule="auto" w:before="4"/>
        <w:ind w:left="899" w:right="856"/>
        <w:jc w:val="both"/>
      </w:pPr>
      <w:r>
        <w:rPr>
          <w:spacing w:val="-2"/>
        </w:rPr>
        <w:t>「保障法係為保障公務人員權益而設，以公務人員與政府機關間之爭議，究與人民與政府機關間爭議有別，如公務人員提起救濟時，必以再申訴決定或復審決定方式作處理，恐無助於調和期間之爭執，亦有影響機關內部和諧之虞，於保障公務人員權益之目的將無法達到。爰此，為調和機關與公務人員的爭執，促進機關內部和諧，爰於再申訴程序增設調處制度。明訂保訓會審理再申訴事件，於必要</w:t>
      </w:r>
      <w:r>
        <w:rPr>
          <w:spacing w:val="-6"/>
        </w:rPr>
        <w:t>時得依職權或依申請進行調處，以妥適處理問題。」，因此，為調和機關及公務</w:t>
      </w:r>
      <w:r>
        <w:rPr>
          <w:spacing w:val="-2"/>
        </w:rPr>
        <w:t>人員的爭執，促進機關內部和諧，因而於再申訴程序增設調處制度；惟為何將調</w:t>
      </w:r>
      <w:r>
        <w:rPr>
          <w:spacing w:val="-1"/>
        </w:rPr>
        <w:t>處制度僅限定適用於再申訴事件，而排除復審事件之適用，立法理由並未說明。</w:t>
      </w:r>
      <w:r>
        <w:rPr/>
        <w:t>吾人是否得將調處制度擴大適用於復審事件，為本計畫研究重點之一。</w:t>
      </w:r>
    </w:p>
    <w:p>
      <w:pPr>
        <w:pStyle w:val="BodyText"/>
        <w:spacing w:before="4"/>
        <w:rPr>
          <w:sz w:val="30"/>
        </w:rPr>
      </w:pPr>
    </w:p>
    <w:p>
      <w:pPr>
        <w:pStyle w:val="BodyText"/>
        <w:spacing w:before="1"/>
        <w:ind w:left="1379"/>
      </w:pPr>
      <w:r>
        <w:rPr>
          <w:w w:val="95"/>
        </w:rPr>
        <w:t>調處制度之功能，主要有以下幾點</w:t>
      </w:r>
      <w:r>
        <w:rPr>
          <w:rFonts w:ascii="Times New Roman" w:eastAsia="Times New Roman"/>
          <w:w w:val="95"/>
          <w:vertAlign w:val="superscript"/>
        </w:rPr>
        <w:t>56</w:t>
      </w:r>
      <w:r>
        <w:rPr>
          <w:w w:val="95"/>
          <w:vertAlign w:val="baseline"/>
        </w:rPr>
        <w:t>：</w:t>
      </w:r>
    </w:p>
    <w:p>
      <w:pPr>
        <w:pStyle w:val="ListParagraph"/>
        <w:numPr>
          <w:ilvl w:val="0"/>
          <w:numId w:val="11"/>
        </w:numPr>
        <w:tabs>
          <w:tab w:pos="1320" w:val="left" w:leader="none"/>
        </w:tabs>
        <w:spacing w:line="240" w:lineRule="auto" w:before="258" w:after="0"/>
        <w:ind w:left="1320" w:right="0" w:hanging="300"/>
        <w:jc w:val="left"/>
        <w:rPr>
          <w:rFonts w:ascii="標楷體" w:eastAsia="標楷體" w:hint="eastAsia"/>
          <w:sz w:val="24"/>
        </w:rPr>
      </w:pPr>
      <w:r>
        <w:rPr>
          <w:rFonts w:ascii="標楷體" w:eastAsia="標楷體" w:hint="eastAsia"/>
          <w:sz w:val="24"/>
        </w:rPr>
        <w:t>維持公務人員與服務機關之和諧與互信</w:t>
      </w:r>
    </w:p>
    <w:p>
      <w:pPr>
        <w:pStyle w:val="BodyText"/>
        <w:spacing w:before="13"/>
        <w:rPr>
          <w:rFonts w:ascii="標楷體"/>
          <w:sz w:val="23"/>
        </w:rPr>
      </w:pPr>
      <w:r>
        <w:rPr/>
        <w:pict>
          <v:rect style="position:absolute;margin-left:90pt;margin-top:18.693584pt;width:144pt;height:.600010pt;mso-position-horizontal-relative:page;mso-position-vertical-relative:paragraph;z-index:-15710720;mso-wrap-distance-left:0;mso-wrap-distance-right:0" filled="true" fillcolor="#000000" stroked="false">
            <v:fill type="solid"/>
            <w10:wrap type="topAndBottom"/>
          </v:rect>
        </w:pict>
      </w:r>
    </w:p>
    <w:p>
      <w:pPr>
        <w:pStyle w:val="BodyText"/>
        <w:spacing w:before="11"/>
        <w:rPr>
          <w:rFonts w:ascii="標楷體"/>
          <w:sz w:val="5"/>
        </w:rPr>
      </w:pPr>
    </w:p>
    <w:p>
      <w:pPr>
        <w:spacing w:line="297" w:lineRule="exact" w:before="105"/>
        <w:ind w:left="900" w:right="0" w:firstLine="0"/>
        <w:jc w:val="left"/>
        <w:rPr>
          <w:sz w:val="22"/>
        </w:rPr>
      </w:pPr>
      <w:r>
        <w:rPr>
          <w:rFonts w:ascii="Times New Roman" w:eastAsia="Times New Roman"/>
          <w:w w:val="95"/>
          <w:sz w:val="22"/>
          <w:vertAlign w:val="superscript"/>
        </w:rPr>
        <w:t>55</w:t>
      </w:r>
      <w:r>
        <w:rPr>
          <w:rFonts w:ascii="Times New Roman" w:eastAsia="Times New Roman"/>
          <w:spacing w:val="70"/>
          <w:sz w:val="22"/>
          <w:vertAlign w:val="baseline"/>
        </w:rPr>
        <w:t> </w:t>
      </w:r>
      <w:r>
        <w:rPr>
          <w:spacing w:val="-12"/>
          <w:w w:val="95"/>
          <w:sz w:val="22"/>
          <w:vertAlign w:val="baseline"/>
        </w:rPr>
        <w:t>參閱《公務人員保障法百問</w:t>
      </w:r>
      <w:r>
        <w:rPr>
          <w:spacing w:val="-20"/>
          <w:w w:val="95"/>
          <w:sz w:val="22"/>
          <w:vertAlign w:val="baseline"/>
        </w:rPr>
        <w:t>》，公務人員保障暨培訓委員會編印，</w:t>
      </w:r>
      <w:r>
        <w:rPr>
          <w:rFonts w:ascii="Times New Roman" w:eastAsia="Times New Roman"/>
          <w:w w:val="95"/>
          <w:sz w:val="22"/>
          <w:vertAlign w:val="baseline"/>
        </w:rPr>
        <w:t>2011</w:t>
      </w:r>
      <w:r>
        <w:rPr>
          <w:rFonts w:ascii="Times New Roman" w:eastAsia="Times New Roman"/>
          <w:spacing w:val="21"/>
          <w:w w:val="95"/>
          <w:sz w:val="22"/>
          <w:vertAlign w:val="baseline"/>
        </w:rPr>
        <w:t> </w:t>
      </w:r>
      <w:r>
        <w:rPr>
          <w:spacing w:val="9"/>
          <w:w w:val="95"/>
          <w:sz w:val="22"/>
          <w:vertAlign w:val="baseline"/>
        </w:rPr>
        <w:t>年 </w:t>
      </w:r>
      <w:r>
        <w:rPr>
          <w:rFonts w:ascii="Times New Roman" w:eastAsia="Times New Roman"/>
          <w:w w:val="95"/>
          <w:sz w:val="22"/>
          <w:vertAlign w:val="baseline"/>
        </w:rPr>
        <w:t>7</w:t>
      </w:r>
      <w:r>
        <w:rPr>
          <w:rFonts w:ascii="Times New Roman" w:eastAsia="Times New Roman"/>
          <w:spacing w:val="21"/>
          <w:w w:val="95"/>
          <w:sz w:val="22"/>
          <w:vertAlign w:val="baseline"/>
        </w:rPr>
        <w:t> </w:t>
      </w:r>
      <w:r>
        <w:rPr>
          <w:spacing w:val="-24"/>
          <w:w w:val="95"/>
          <w:sz w:val="22"/>
          <w:vertAlign w:val="baseline"/>
        </w:rPr>
        <w:t>月，頁 </w:t>
      </w:r>
      <w:r>
        <w:rPr>
          <w:rFonts w:ascii="Times New Roman" w:eastAsia="Times New Roman"/>
          <w:w w:val="95"/>
          <w:sz w:val="22"/>
          <w:vertAlign w:val="baseline"/>
        </w:rPr>
        <w:t>43-44</w:t>
      </w:r>
      <w:r>
        <w:rPr>
          <w:w w:val="95"/>
          <w:sz w:val="22"/>
          <w:vertAlign w:val="baseline"/>
        </w:rPr>
        <w:t>。</w:t>
      </w:r>
    </w:p>
    <w:p>
      <w:pPr>
        <w:spacing w:line="223" w:lineRule="auto" w:before="5"/>
        <w:ind w:left="899" w:right="917" w:firstLine="0"/>
        <w:jc w:val="left"/>
        <w:rPr>
          <w:sz w:val="22"/>
        </w:rPr>
      </w:pPr>
      <w:r>
        <w:rPr>
          <w:rFonts w:ascii="Times New Roman" w:eastAsia="Times New Roman"/>
          <w:sz w:val="22"/>
          <w:vertAlign w:val="superscript"/>
        </w:rPr>
        <w:t>56</w:t>
      </w:r>
      <w:r>
        <w:rPr>
          <w:rFonts w:ascii="Times New Roman" w:eastAsia="Times New Roman"/>
          <w:spacing w:val="16"/>
          <w:sz w:val="22"/>
          <w:vertAlign w:val="baseline"/>
        </w:rPr>
        <w:t> </w:t>
      </w:r>
      <w:r>
        <w:rPr>
          <w:spacing w:val="-5"/>
          <w:sz w:val="22"/>
          <w:vertAlign w:val="baseline"/>
        </w:rPr>
        <w:t>參閱公務人員保障暨培訓委員會委託，陳愛娥、盛子龍主持，《公務人員保障案件的</w:t>
      </w:r>
      <w:r>
        <w:rPr>
          <w:spacing w:val="-20"/>
          <w:sz w:val="22"/>
          <w:vertAlign w:val="baseline"/>
        </w:rPr>
        <w:t>調處制度》，</w:t>
      </w:r>
      <w:r>
        <w:rPr>
          <w:rFonts w:ascii="Times New Roman" w:eastAsia="Times New Roman"/>
          <w:sz w:val="22"/>
          <w:vertAlign w:val="baseline"/>
        </w:rPr>
        <w:t>2000</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47-48</w:t>
      </w:r>
      <w:r>
        <w:rPr>
          <w:sz w:val="22"/>
          <w:vertAlign w:val="baseline"/>
        </w:rPr>
        <w:t>。</w:t>
      </w:r>
    </w:p>
    <w:p>
      <w:pPr>
        <w:spacing w:after="0" w:line="223" w:lineRule="auto"/>
        <w:jc w:val="left"/>
        <w:rPr>
          <w:sz w:val="22"/>
        </w:rPr>
        <w:sectPr>
          <w:pgSz w:w="11910" w:h="16840"/>
          <w:pgMar w:header="0" w:footer="938" w:top="1440" w:bottom="1200" w:left="900" w:right="880"/>
        </w:sectPr>
      </w:pPr>
    </w:p>
    <w:p>
      <w:pPr>
        <w:pStyle w:val="BodyText"/>
        <w:spacing w:line="295" w:lineRule="auto" w:before="38"/>
        <w:ind w:left="900" w:right="917" w:firstLine="480"/>
        <w:jc w:val="both"/>
      </w:pPr>
      <w:r>
        <w:rPr>
          <w:spacing w:val="-3"/>
        </w:rPr>
        <w:t>有相當高比例的公務人員為國家服勤務至退休為止，倘因人事行政行為而興訟，極可能傷害其與服務機關間之和諧及互信，進而影響上級對下級指揮監督之效能，或造成公務人員難以共事之情況發生，不利於行政效能之提升。若能透過爭訟外的調處制度，經由客觀公正之調處人居間協調，可避免雙方直接對簿公堂之緊張關係，以化解歧見、增進彼此之瞭解，並維持公務人員與服務機關之和諧</w:t>
      </w:r>
      <w:r>
        <w:rPr/>
        <w:t>與互信。</w:t>
      </w:r>
    </w:p>
    <w:p>
      <w:pPr>
        <w:pStyle w:val="ListParagraph"/>
        <w:numPr>
          <w:ilvl w:val="0"/>
          <w:numId w:val="11"/>
        </w:numPr>
        <w:tabs>
          <w:tab w:pos="1200" w:val="left" w:leader="none"/>
        </w:tabs>
        <w:spacing w:line="240" w:lineRule="auto" w:before="187" w:after="0"/>
        <w:ind w:left="1200" w:right="0" w:hanging="300"/>
        <w:jc w:val="left"/>
        <w:rPr>
          <w:rFonts w:ascii="標楷體" w:eastAsia="標楷體" w:hint="eastAsia"/>
          <w:sz w:val="24"/>
        </w:rPr>
      </w:pPr>
      <w:r>
        <w:rPr>
          <w:rFonts w:ascii="標楷體" w:eastAsia="標楷體" w:hint="eastAsia"/>
          <w:sz w:val="24"/>
        </w:rPr>
        <w:t>彌補現行行政救濟之不足</w:t>
      </w:r>
    </w:p>
    <w:p>
      <w:pPr>
        <w:pStyle w:val="BodyText"/>
        <w:spacing w:before="7"/>
        <w:rPr>
          <w:rFonts w:ascii="標楷體"/>
          <w:sz w:val="18"/>
        </w:rPr>
      </w:pPr>
    </w:p>
    <w:p>
      <w:pPr>
        <w:pStyle w:val="BodyText"/>
        <w:spacing w:line="295" w:lineRule="auto"/>
        <w:ind w:left="900" w:right="917" w:firstLine="480"/>
        <w:jc w:val="both"/>
      </w:pPr>
      <w:r>
        <w:rPr>
          <w:spacing w:val="-3"/>
        </w:rPr>
        <w:t>有關公務人員權益保障之相關法規中，有不少是授權行政主管機關裁量或享</w:t>
      </w:r>
      <w:r>
        <w:rPr>
          <w:spacing w:val="-1"/>
        </w:rPr>
        <w:t>有判斷餘地之空間，而非行政法院或保訓會所能審查者</w:t>
      </w:r>
      <w:r>
        <w:rPr>
          <w:rFonts w:ascii="Times New Roman" w:eastAsia="Times New Roman"/>
          <w:vertAlign w:val="superscript"/>
        </w:rPr>
        <w:t>57</w:t>
      </w:r>
      <w:r>
        <w:rPr>
          <w:vertAlign w:val="baseline"/>
        </w:rPr>
        <w:t>。因而即使公務人員提</w:t>
      </w:r>
      <w:r>
        <w:rPr>
          <w:spacing w:val="-3"/>
          <w:vertAlign w:val="baseline"/>
        </w:rPr>
        <w:t>起行政救濟，受限於保訓會之審查密度，獲得有效救濟之機會亦不大。而調處制</w:t>
      </w:r>
      <w:r>
        <w:rPr>
          <w:vertAlign w:val="baseline"/>
        </w:rPr>
        <w:t>度恰可針對行政救濟所不及之死角，提供當事人有效解決紛爭之另類途徑。</w:t>
      </w:r>
    </w:p>
    <w:p>
      <w:pPr>
        <w:pStyle w:val="ListParagraph"/>
        <w:numPr>
          <w:ilvl w:val="0"/>
          <w:numId w:val="11"/>
        </w:numPr>
        <w:tabs>
          <w:tab w:pos="1320" w:val="left" w:leader="none"/>
        </w:tabs>
        <w:spacing w:line="240" w:lineRule="auto" w:before="185" w:after="0"/>
        <w:ind w:left="1320" w:right="0" w:hanging="300"/>
        <w:jc w:val="left"/>
        <w:rPr>
          <w:rFonts w:ascii="標楷體" w:eastAsia="標楷體" w:hint="eastAsia"/>
          <w:sz w:val="24"/>
        </w:rPr>
      </w:pPr>
      <w:r>
        <w:rPr>
          <w:rFonts w:ascii="標楷體" w:eastAsia="標楷體" w:hint="eastAsia"/>
          <w:sz w:val="24"/>
        </w:rPr>
        <w:t>促進程序經濟</w:t>
      </w:r>
    </w:p>
    <w:p>
      <w:pPr>
        <w:pStyle w:val="BodyText"/>
        <w:spacing w:before="6"/>
        <w:rPr>
          <w:rFonts w:ascii="標楷體"/>
          <w:sz w:val="18"/>
        </w:rPr>
      </w:pPr>
    </w:p>
    <w:p>
      <w:pPr>
        <w:pStyle w:val="BodyText"/>
        <w:spacing w:line="295" w:lineRule="auto"/>
        <w:ind w:left="900" w:right="909" w:firstLine="480"/>
        <w:jc w:val="both"/>
      </w:pPr>
      <w:r>
        <w:rPr>
          <w:spacing w:val="-3"/>
        </w:rPr>
        <w:t>藉由調處制度促使公務人員與服務機關達成和解，不僅有助於疏減訟源，更</w:t>
      </w:r>
      <w:r>
        <w:rPr/>
        <w:t>可避免雙方當事人針對救濟程序付出龐大的程序成本，符合程序經濟利益。再</w:t>
      </w:r>
      <w:r>
        <w:rPr>
          <w:spacing w:val="-3"/>
        </w:rPr>
        <w:t>者，學者長期以來倡議「</w:t>
      </w:r>
      <w:r>
        <w:rPr>
          <w:rFonts w:ascii="標楷體" w:eastAsia="標楷體" w:hint="eastAsia"/>
          <w:b/>
          <w:spacing w:val="-3"/>
        </w:rPr>
        <w:t>當事人程序選擇權</w:t>
      </w:r>
      <w:r>
        <w:rPr>
          <w:spacing w:val="-2"/>
        </w:rPr>
        <w:t>」之法理，提倡應給當事人衡量其實</w:t>
      </w:r>
      <w:r>
        <w:rPr>
          <w:spacing w:val="-1"/>
        </w:rPr>
        <w:t>體利益與程序經濟，透過選擇最能符合其利益之制度有效解決紛爭</w:t>
      </w:r>
      <w:r>
        <w:rPr>
          <w:rFonts w:ascii="Times New Roman" w:eastAsia="Times New Roman"/>
          <w:vertAlign w:val="superscript"/>
        </w:rPr>
        <w:t>58</w:t>
      </w:r>
      <w:r>
        <w:rPr>
          <w:vertAlign w:val="baseline"/>
        </w:rPr>
        <w:t>。因此，在</w:t>
      </w:r>
      <w:r>
        <w:rPr>
          <w:spacing w:val="-3"/>
          <w:vertAlign w:val="baseline"/>
        </w:rPr>
        <w:t>公務人員保障體系中，引入調處制度作為當事人自主性紛爭之解決機制，即為當</w:t>
      </w:r>
      <w:r>
        <w:rPr>
          <w:vertAlign w:val="baseline"/>
        </w:rPr>
        <w:t>事人程序選擇權理念之落實。</w:t>
      </w:r>
    </w:p>
    <w:p>
      <w:pPr>
        <w:pStyle w:val="BodyText"/>
        <w:spacing w:before="5"/>
      </w:pPr>
    </w:p>
    <w:p>
      <w:pPr>
        <w:pStyle w:val="Heading3"/>
      </w:pPr>
      <w:bookmarkStart w:name="_TOC_250035" w:id="4"/>
      <w:bookmarkEnd w:id="4"/>
      <w:r>
        <w:rPr/>
        <w:t>（二）現行調處制度之運作模式</w:t>
      </w:r>
    </w:p>
    <w:p>
      <w:pPr>
        <w:pStyle w:val="BodyText"/>
        <w:spacing w:before="5"/>
        <w:rPr>
          <w:rFonts w:ascii="標楷體"/>
          <w:b/>
          <w:sz w:val="29"/>
        </w:rPr>
      </w:pPr>
    </w:p>
    <w:p>
      <w:pPr>
        <w:pStyle w:val="BodyText"/>
        <w:spacing w:line="295" w:lineRule="auto" w:before="1"/>
        <w:ind w:left="900" w:right="917" w:firstLine="480"/>
      </w:pPr>
      <w:r>
        <w:rPr>
          <w:spacing w:val="-3"/>
        </w:rPr>
        <w:t>以下簡要說明現行調處制度之運作模式，以瞭解調處制度之特色，並作為思</w:t>
      </w:r>
      <w:r>
        <w:rPr/>
        <w:t>考調處制度得否擴大適用於復審事件之依據：</w:t>
      </w:r>
    </w:p>
    <w:p>
      <w:pPr>
        <w:pStyle w:val="BodyText"/>
      </w:pPr>
    </w:p>
    <w:p>
      <w:pPr>
        <w:pStyle w:val="ListParagraph"/>
        <w:numPr>
          <w:ilvl w:val="0"/>
          <w:numId w:val="12"/>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調處程序之發動</w:t>
      </w:r>
    </w:p>
    <w:p>
      <w:pPr>
        <w:pStyle w:val="BodyText"/>
        <w:spacing w:before="5"/>
        <w:rPr>
          <w:rFonts w:ascii="標楷體"/>
          <w:sz w:val="29"/>
        </w:rPr>
      </w:pPr>
    </w:p>
    <w:p>
      <w:pPr>
        <w:pStyle w:val="BodyText"/>
        <w:spacing w:line="295" w:lineRule="auto"/>
        <w:ind w:left="900" w:right="917" w:firstLine="480"/>
      </w:pPr>
      <w:r>
        <w:rPr/>
        <w:pict>
          <v:rect style="position:absolute;margin-left:90pt;margin-top:46.260296pt;width:144pt;height:.600010pt;mso-position-horizontal-relative:page;mso-position-vertical-relative:paragraph;z-index:-15710208;mso-wrap-distance-left:0;mso-wrap-distance-right:0" filled="true" fillcolor="#000000" stroked="false">
            <v:fill type="solid"/>
            <w10:wrap type="topAndBottom"/>
          </v:rect>
        </w:pict>
      </w:r>
      <w:r>
        <w:rPr>
          <w:spacing w:val="3"/>
        </w:rPr>
        <w:t>依保障法第 </w:t>
      </w:r>
      <w:r>
        <w:rPr>
          <w:rFonts w:ascii="Times New Roman" w:eastAsia="Times New Roman"/>
        </w:rPr>
        <w:t>85</w:t>
      </w:r>
      <w:r>
        <w:rPr>
          <w:rFonts w:ascii="Times New Roman" w:eastAsia="Times New Roman"/>
          <w:spacing w:val="22"/>
        </w:rPr>
        <w:t> </w:t>
      </w:r>
      <w:r>
        <w:rPr>
          <w:spacing w:val="6"/>
        </w:rPr>
        <w:t>條第 </w:t>
      </w:r>
      <w:r>
        <w:rPr>
          <w:rFonts w:ascii="Times New Roman" w:eastAsia="Times New Roman"/>
        </w:rPr>
        <w:t>1</w:t>
      </w:r>
      <w:r>
        <w:rPr>
          <w:rFonts w:ascii="Times New Roman" w:eastAsia="Times New Roman"/>
          <w:spacing w:val="22"/>
        </w:rPr>
        <w:t> </w:t>
      </w:r>
      <w:r>
        <w:rPr/>
        <w:t>項規定</w:t>
      </w:r>
      <w:r>
        <w:rPr>
          <w:rFonts w:ascii="Times New Roman" w:eastAsia="Times New Roman"/>
          <w:vertAlign w:val="superscript"/>
        </w:rPr>
        <w:t>59</w:t>
      </w:r>
      <w:r>
        <w:rPr>
          <w:vertAlign w:val="baseline"/>
        </w:rPr>
        <w:t>，調處程序係於再申訴事件審理中，由保訓</w:t>
      </w:r>
      <w:r>
        <w:rPr>
          <w:spacing w:val="-3"/>
          <w:vertAlign w:val="baseline"/>
        </w:rPr>
        <w:t>會依職權或依申請所為之調解紛爭機制。在此須注意者，法條雖未限定申請調處</w:t>
      </w:r>
    </w:p>
    <w:p>
      <w:pPr>
        <w:spacing w:line="223" w:lineRule="auto" w:before="82"/>
        <w:ind w:left="900" w:right="913" w:firstLine="0"/>
        <w:jc w:val="left"/>
        <w:rPr>
          <w:sz w:val="22"/>
        </w:rPr>
      </w:pPr>
      <w:r>
        <w:rPr>
          <w:rFonts w:ascii="Times New Roman" w:eastAsia="Times New Roman"/>
          <w:spacing w:val="-1"/>
          <w:sz w:val="22"/>
          <w:vertAlign w:val="superscript"/>
        </w:rPr>
        <w:t>57</w:t>
      </w:r>
      <w:r>
        <w:rPr>
          <w:rFonts w:ascii="Times New Roman" w:eastAsia="Times New Roman"/>
          <w:spacing w:val="17"/>
          <w:sz w:val="22"/>
          <w:vertAlign w:val="baseline"/>
        </w:rPr>
        <w:t> </w:t>
      </w:r>
      <w:r>
        <w:rPr>
          <w:spacing w:val="-13"/>
          <w:sz w:val="22"/>
          <w:vertAlign w:val="baseline"/>
        </w:rPr>
        <w:t>參閱盛子龍，《行政法上不確定法律概念具體化之司法審查密度</w:t>
      </w:r>
      <w:r>
        <w:rPr>
          <w:spacing w:val="-15"/>
          <w:sz w:val="22"/>
          <w:vertAlign w:val="baseline"/>
        </w:rPr>
        <w:t>》，臺灣大學法律研究</w:t>
      </w:r>
      <w:r>
        <w:rPr>
          <w:sz w:val="22"/>
          <w:vertAlign w:val="baseline"/>
        </w:rPr>
        <w:t>所博士論文，</w:t>
      </w:r>
      <w:r>
        <w:rPr>
          <w:rFonts w:ascii="Times New Roman" w:eastAsia="Times New Roman"/>
          <w:sz w:val="22"/>
          <w:vertAlign w:val="baseline"/>
        </w:rPr>
        <w:t>1997</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6</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187 </w:t>
      </w:r>
      <w:r>
        <w:rPr>
          <w:sz w:val="22"/>
          <w:vertAlign w:val="baseline"/>
        </w:rPr>
        <w:t>以下。</w:t>
      </w:r>
    </w:p>
    <w:p>
      <w:pPr>
        <w:spacing w:line="223" w:lineRule="auto" w:before="0"/>
        <w:ind w:left="899" w:right="914" w:firstLine="0"/>
        <w:jc w:val="left"/>
        <w:rPr>
          <w:sz w:val="22"/>
        </w:rPr>
      </w:pPr>
      <w:r>
        <w:rPr>
          <w:rFonts w:ascii="Times New Roman" w:eastAsia="Times New Roman"/>
          <w:spacing w:val="-1"/>
          <w:sz w:val="22"/>
          <w:vertAlign w:val="superscript"/>
        </w:rPr>
        <w:t>58</w:t>
      </w:r>
      <w:r>
        <w:rPr>
          <w:rFonts w:ascii="Times New Roman" w:eastAsia="Times New Roman"/>
          <w:spacing w:val="17"/>
          <w:sz w:val="22"/>
          <w:vertAlign w:val="baseline"/>
        </w:rPr>
        <w:t> </w:t>
      </w:r>
      <w:r>
        <w:rPr>
          <w:spacing w:val="-16"/>
          <w:sz w:val="22"/>
          <w:vertAlign w:val="baseline"/>
        </w:rPr>
        <w:t>參閱邱聯恭、許士宦著，〈民事訴訟法修正之走向及前導法理〉，收錄於《東海大學法</w:t>
      </w:r>
      <w:r>
        <w:rPr>
          <w:spacing w:val="-1"/>
          <w:sz w:val="22"/>
          <w:vertAlign w:val="baseline"/>
        </w:rPr>
        <w:t>學研究》第 </w:t>
      </w:r>
      <w:r>
        <w:rPr>
          <w:rFonts w:ascii="Times New Roman" w:eastAsia="Times New Roman"/>
          <w:sz w:val="22"/>
          <w:vertAlign w:val="baseline"/>
        </w:rPr>
        <w:t>8 </w:t>
      </w:r>
      <w:r>
        <w:rPr>
          <w:sz w:val="22"/>
          <w:vertAlign w:val="baseline"/>
        </w:rPr>
        <w:t>期，</w:t>
      </w:r>
      <w:r>
        <w:rPr>
          <w:rFonts w:ascii="Times New Roman" w:eastAsia="Times New Roman"/>
          <w:sz w:val="22"/>
          <w:vertAlign w:val="baseline"/>
        </w:rPr>
        <w:t>1994</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135 </w:t>
      </w:r>
      <w:r>
        <w:rPr>
          <w:sz w:val="22"/>
          <w:vertAlign w:val="baseline"/>
        </w:rPr>
        <w:t>以下。</w:t>
      </w:r>
    </w:p>
    <w:p>
      <w:pPr>
        <w:spacing w:line="223" w:lineRule="auto" w:before="0"/>
        <w:ind w:left="1160" w:right="915" w:hanging="261"/>
        <w:jc w:val="left"/>
        <w:rPr>
          <w:sz w:val="22"/>
        </w:rPr>
      </w:pPr>
      <w:r>
        <w:rPr>
          <w:rFonts w:ascii="Times New Roman" w:eastAsia="Times New Roman"/>
          <w:spacing w:val="-1"/>
          <w:sz w:val="22"/>
          <w:vertAlign w:val="superscript"/>
        </w:rPr>
        <w:t>59</w:t>
      </w:r>
      <w:r>
        <w:rPr>
          <w:rFonts w:ascii="Times New Roman" w:eastAsia="Times New Roman"/>
          <w:spacing w:val="30"/>
          <w:sz w:val="22"/>
          <w:vertAlign w:val="baseline"/>
        </w:rPr>
        <w:t> </w:t>
      </w:r>
      <w:r>
        <w:rPr>
          <w:spacing w:val="-2"/>
          <w:sz w:val="22"/>
          <w:vertAlign w:val="baseline"/>
        </w:rPr>
        <w:t>公務人員保障法第 </w:t>
      </w:r>
      <w:r>
        <w:rPr>
          <w:rFonts w:ascii="Times New Roman" w:eastAsia="Times New Roman"/>
          <w:sz w:val="22"/>
          <w:vertAlign w:val="baseline"/>
        </w:rPr>
        <w:t>85</w:t>
      </w:r>
      <w:r>
        <w:rPr>
          <w:rFonts w:ascii="Times New Roman" w:eastAsia="Times New Roman"/>
          <w:spacing w:val="-12"/>
          <w:sz w:val="22"/>
          <w:vertAlign w:val="baseline"/>
        </w:rPr>
        <w:t> </w:t>
      </w:r>
      <w:r>
        <w:rPr>
          <w:spacing w:val="-5"/>
          <w:sz w:val="22"/>
          <w:vertAlign w:val="baseline"/>
        </w:rPr>
        <w:t>條第 </w:t>
      </w:r>
      <w:r>
        <w:rPr>
          <w:rFonts w:ascii="Times New Roman" w:eastAsia="Times New Roman"/>
          <w:sz w:val="22"/>
          <w:vertAlign w:val="baseline"/>
        </w:rPr>
        <w:t>1</w:t>
      </w:r>
      <w:r>
        <w:rPr>
          <w:rFonts w:ascii="Times New Roman" w:eastAsia="Times New Roman"/>
          <w:spacing w:val="-12"/>
          <w:sz w:val="22"/>
          <w:vertAlign w:val="baseline"/>
        </w:rPr>
        <w:t> </w:t>
      </w:r>
      <w:r>
        <w:rPr>
          <w:spacing w:val="-42"/>
          <w:sz w:val="22"/>
          <w:vertAlign w:val="baseline"/>
        </w:rPr>
        <w:t>項：「</w:t>
      </w:r>
      <w:r>
        <w:rPr>
          <w:rFonts w:ascii="標楷體" w:eastAsia="標楷體" w:hint="eastAsia"/>
          <w:sz w:val="22"/>
          <w:vertAlign w:val="baseline"/>
        </w:rPr>
        <w:t>再申訴事件審理中，保訓會得依職權或依申請，指定副主任委員或委員一人至三人，進行調處</w:t>
      </w:r>
      <w:r>
        <w:rPr>
          <w:sz w:val="22"/>
          <w:vertAlign w:val="baseline"/>
        </w:rPr>
        <w:t>。」</w:t>
      </w:r>
    </w:p>
    <w:p>
      <w:pPr>
        <w:spacing w:after="0" w:line="223" w:lineRule="auto"/>
        <w:jc w:val="left"/>
        <w:rPr>
          <w:sz w:val="22"/>
        </w:rPr>
        <w:sectPr>
          <w:pgSz w:w="11910" w:h="16840"/>
          <w:pgMar w:header="0" w:footer="938" w:top="1440" w:bottom="1200" w:left="900" w:right="880"/>
        </w:sectPr>
      </w:pPr>
    </w:p>
    <w:p>
      <w:pPr>
        <w:pStyle w:val="BodyText"/>
        <w:spacing w:line="295" w:lineRule="auto" w:before="38"/>
        <w:ind w:left="900" w:right="917"/>
      </w:pPr>
      <w:r>
        <w:rPr>
          <w:spacing w:val="-3"/>
        </w:rPr>
        <w:t>程序之主體，惟查公務人員保障暨培訓委員會保障事件審議規則</w:t>
      </w:r>
      <w:r>
        <w:rPr>
          <w:spacing w:val="-2"/>
        </w:rPr>
        <w:t>（下稱「保障事</w:t>
      </w:r>
      <w:r>
        <w:rPr>
          <w:spacing w:val="-21"/>
        </w:rPr>
        <w:t>件審議規則」</w:t>
      </w:r>
      <w:r>
        <w:rPr/>
        <w:t>）</w:t>
      </w:r>
      <w:r>
        <w:rPr>
          <w:spacing w:val="-8"/>
        </w:rPr>
        <w:t>第 </w:t>
      </w:r>
      <w:r>
        <w:rPr>
          <w:rFonts w:ascii="Times New Roman" w:eastAsia="Times New Roman"/>
        </w:rPr>
        <w:t>34</w:t>
      </w:r>
      <w:r>
        <w:rPr>
          <w:rFonts w:ascii="Times New Roman" w:eastAsia="Times New Roman"/>
          <w:spacing w:val="-13"/>
        </w:rPr>
        <w:t> </w:t>
      </w:r>
      <w:r>
        <w:rPr/>
        <w:t>條規定</w:t>
      </w:r>
      <w:r>
        <w:rPr>
          <w:rFonts w:ascii="Times New Roman" w:eastAsia="Times New Roman"/>
          <w:vertAlign w:val="superscript"/>
        </w:rPr>
        <w:t>60</w:t>
      </w:r>
      <w:r>
        <w:rPr>
          <w:vertAlign w:val="baseline"/>
        </w:rPr>
        <w:t>，似限定僅再申訴人得申請調處。再者，即便得依</w:t>
      </w:r>
    </w:p>
    <w:p>
      <w:pPr>
        <w:pStyle w:val="BodyText"/>
        <w:spacing w:line="295" w:lineRule="auto" w:before="2"/>
        <w:ind w:left="900" w:right="855"/>
      </w:pPr>
      <w:r>
        <w:rPr>
          <w:spacing w:val="1"/>
        </w:rPr>
        <w:t>再申訴人之申請而開啟調處程序，依保障事件審議規則第 </w:t>
      </w:r>
      <w:r>
        <w:rPr>
          <w:rFonts w:ascii="Times New Roman" w:eastAsia="Times New Roman"/>
        </w:rPr>
        <w:t>35</w:t>
      </w:r>
      <w:r>
        <w:rPr>
          <w:rFonts w:ascii="Times New Roman" w:eastAsia="Times New Roman"/>
          <w:spacing w:val="51"/>
        </w:rPr>
        <w:t> </w:t>
      </w:r>
      <w:r>
        <w:rPr/>
        <w:t>條之規定</w:t>
      </w:r>
      <w:r>
        <w:rPr>
          <w:rFonts w:ascii="Times New Roman" w:eastAsia="Times New Roman"/>
          <w:vertAlign w:val="superscript"/>
        </w:rPr>
        <w:t>61</w:t>
      </w:r>
      <w:r>
        <w:rPr>
          <w:vertAlign w:val="baseline"/>
        </w:rPr>
        <w:t>，仍非</w:t>
      </w:r>
      <w:r>
        <w:rPr>
          <w:spacing w:val="-1"/>
          <w:vertAlign w:val="baseline"/>
        </w:rPr>
        <w:t>一經申請，即必然開啟調處程序，換言之，保訓會仍有權拒絕再申訴人之申請。</w:t>
      </w:r>
    </w:p>
    <w:p>
      <w:pPr>
        <w:pStyle w:val="BodyText"/>
        <w:spacing w:before="1"/>
      </w:pPr>
    </w:p>
    <w:p>
      <w:pPr>
        <w:pStyle w:val="ListParagraph"/>
        <w:numPr>
          <w:ilvl w:val="0"/>
          <w:numId w:val="12"/>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調處程序之審理</w:t>
      </w:r>
    </w:p>
    <w:p>
      <w:pPr>
        <w:pStyle w:val="BodyText"/>
        <w:spacing w:before="5"/>
        <w:rPr>
          <w:rFonts w:ascii="標楷體"/>
          <w:sz w:val="29"/>
        </w:rPr>
      </w:pPr>
    </w:p>
    <w:p>
      <w:pPr>
        <w:pStyle w:val="BodyText"/>
        <w:spacing w:line="295" w:lineRule="auto"/>
        <w:ind w:left="900" w:right="914" w:firstLine="480"/>
        <w:jc w:val="both"/>
      </w:pPr>
      <w:r>
        <w:rPr/>
        <w:t>調處程序之審理，依保障法第 </w:t>
      </w:r>
      <w:r>
        <w:rPr>
          <w:rFonts w:ascii="Times New Roman" w:eastAsia="Times New Roman"/>
        </w:rPr>
        <w:t>86</w:t>
      </w:r>
      <w:r>
        <w:rPr>
          <w:rFonts w:ascii="Times New Roman" w:eastAsia="Times New Roman"/>
          <w:spacing w:val="7"/>
        </w:rPr>
        <w:t> </w:t>
      </w:r>
      <w:r>
        <w:rPr/>
        <w:t>條規定，保訓會應以書面通知當事人（再申訴人與有關機關</w:t>
      </w:r>
      <w:r>
        <w:rPr>
          <w:spacing w:val="-121"/>
        </w:rPr>
        <w:t>）</w:t>
      </w:r>
      <w:r>
        <w:rPr/>
        <w:t>，若當事人委任代理人者，代理人應受特別委任始得為之。</w:t>
      </w:r>
      <w:r>
        <w:rPr>
          <w:spacing w:val="-3"/>
        </w:rPr>
        <w:t>其次，當事人無正當理由於調處期日不到場者，視為調處不成立，但保訓會認為</w:t>
      </w:r>
      <w:r>
        <w:rPr>
          <w:spacing w:val="-1"/>
        </w:rPr>
        <w:t>仍有成立調處之可能者，得另定調處期日</w:t>
      </w:r>
      <w:r>
        <w:rPr>
          <w:rFonts w:ascii="Times New Roman" w:eastAsia="Times New Roman"/>
          <w:vertAlign w:val="superscript"/>
        </w:rPr>
        <w:t>62</w:t>
      </w:r>
      <w:r>
        <w:rPr>
          <w:vertAlign w:val="baseline"/>
        </w:rPr>
        <w:t>。最後，如調處成立，保訓會即應作</w:t>
      </w:r>
      <w:r>
        <w:rPr>
          <w:spacing w:val="-3"/>
          <w:vertAlign w:val="baseline"/>
        </w:rPr>
        <w:t>成調處書，並據以執行及終結再申訴之處理；如調處不成立，則應繼續再申訴事</w:t>
      </w:r>
      <w:r>
        <w:rPr>
          <w:vertAlign w:val="baseline"/>
        </w:rPr>
        <w:t>件之審理及決定</w:t>
      </w:r>
      <w:r>
        <w:rPr>
          <w:rFonts w:ascii="Times New Roman" w:eastAsia="Times New Roman"/>
          <w:vertAlign w:val="superscript"/>
        </w:rPr>
        <w:t>63</w:t>
      </w:r>
      <w:r>
        <w:rPr>
          <w:vertAlign w:val="baseline"/>
        </w:rPr>
        <w:t>。</w:t>
      </w:r>
    </w:p>
    <w:p>
      <w:pPr>
        <w:pStyle w:val="BodyText"/>
        <w:spacing w:before="5"/>
      </w:pPr>
    </w:p>
    <w:p>
      <w:pPr>
        <w:pStyle w:val="Heading3"/>
      </w:pPr>
      <w:bookmarkStart w:name="_TOC_250034" w:id="5"/>
      <w:bookmarkEnd w:id="5"/>
      <w:r>
        <w:rPr/>
        <w:t>（三）調處制度之運作實況</w:t>
      </w:r>
    </w:p>
    <w:p>
      <w:pPr>
        <w:pStyle w:val="BodyText"/>
        <w:spacing w:before="5"/>
        <w:rPr>
          <w:rFonts w:ascii="標楷體"/>
          <w:b/>
          <w:sz w:val="29"/>
        </w:rPr>
      </w:pPr>
    </w:p>
    <w:p>
      <w:pPr>
        <w:pStyle w:val="BodyText"/>
        <w:spacing w:line="295" w:lineRule="auto"/>
        <w:ind w:left="899" w:right="887" w:firstLine="480"/>
        <w:jc w:val="both"/>
      </w:pPr>
      <w:r>
        <w:rPr>
          <w:spacing w:val="-9"/>
        </w:rPr>
        <w:t>依保訓會之統計資料，自 </w:t>
      </w:r>
      <w:r>
        <w:rPr>
          <w:rFonts w:ascii="Times New Roman" w:eastAsia="Times New Roman"/>
        </w:rPr>
        <w:t>89 </w:t>
      </w:r>
      <w:r>
        <w:rPr>
          <w:spacing w:val="-1"/>
        </w:rPr>
        <w:t>年起至 </w:t>
      </w:r>
      <w:r>
        <w:rPr>
          <w:rFonts w:ascii="Times New Roman" w:eastAsia="Times New Roman"/>
        </w:rPr>
        <w:t>98 </w:t>
      </w:r>
      <w:r>
        <w:rPr>
          <w:spacing w:val="-11"/>
        </w:rPr>
        <w:t>年間，再申訴案件累計共有 </w:t>
      </w:r>
      <w:r>
        <w:rPr>
          <w:rFonts w:ascii="Times New Roman" w:eastAsia="Times New Roman"/>
          <w:spacing w:val="-2"/>
        </w:rPr>
        <w:t>4,115</w:t>
      </w:r>
      <w:r>
        <w:rPr>
          <w:rFonts w:ascii="Times New Roman" w:eastAsia="Times New Roman"/>
        </w:rPr>
        <w:t> </w:t>
      </w:r>
      <w:r>
        <w:rPr>
          <w:spacing w:val="-36"/>
        </w:rPr>
        <w:t>件，</w:t>
      </w:r>
      <w:r>
        <w:rPr>
          <w:spacing w:val="-41"/>
        </w:rPr>
        <w:t> </w:t>
      </w:r>
      <w:r>
        <w:rPr/>
        <w:t>其中經調處程序並成立者，在 </w:t>
      </w:r>
      <w:r>
        <w:rPr>
          <w:rFonts w:ascii="Times New Roman" w:eastAsia="Times New Roman"/>
        </w:rPr>
        <w:t>94</w:t>
      </w:r>
      <w:r>
        <w:rPr/>
        <w:t>、</w:t>
      </w:r>
      <w:r>
        <w:rPr>
          <w:rFonts w:ascii="Times New Roman" w:eastAsia="Times New Roman"/>
        </w:rPr>
        <w:t>95</w:t>
      </w:r>
      <w:r>
        <w:rPr/>
        <w:t>、</w:t>
      </w:r>
      <w:r>
        <w:rPr>
          <w:rFonts w:ascii="Times New Roman" w:eastAsia="Times New Roman"/>
        </w:rPr>
        <w:t>96</w:t>
      </w:r>
      <w:r>
        <w:rPr/>
        <w:t>、</w:t>
      </w:r>
      <w:r>
        <w:rPr>
          <w:rFonts w:ascii="Times New Roman" w:eastAsia="Times New Roman"/>
        </w:rPr>
        <w:t>98</w:t>
      </w:r>
      <w:r>
        <w:rPr>
          <w:rFonts w:ascii="Times New Roman" w:eastAsia="Times New Roman"/>
          <w:spacing w:val="4"/>
        </w:rPr>
        <w:t> </w:t>
      </w:r>
      <w:r>
        <w:rPr/>
        <w:t>年各 </w:t>
      </w:r>
      <w:r>
        <w:rPr>
          <w:rFonts w:ascii="Times New Roman" w:eastAsia="Times New Roman"/>
        </w:rPr>
        <w:t>1</w:t>
      </w:r>
      <w:r>
        <w:rPr>
          <w:rFonts w:ascii="Times New Roman" w:eastAsia="Times New Roman"/>
          <w:spacing w:val="3"/>
        </w:rPr>
        <w:t> </w:t>
      </w:r>
      <w:r>
        <w:rPr/>
        <w:t>件，總計 </w:t>
      </w:r>
      <w:r>
        <w:rPr>
          <w:rFonts w:ascii="Times New Roman" w:eastAsia="Times New Roman"/>
        </w:rPr>
        <w:t>4</w:t>
      </w:r>
      <w:r>
        <w:rPr>
          <w:rFonts w:ascii="Times New Roman" w:eastAsia="Times New Roman"/>
          <w:spacing w:val="3"/>
        </w:rPr>
        <w:t> </w:t>
      </w:r>
      <w:r>
        <w:rPr/>
        <w:t>件，比例僅佔</w:t>
      </w:r>
      <w:r>
        <w:rPr>
          <w:spacing w:val="-2"/>
        </w:rPr>
        <w:t>千分之一，惟究竟係保訓會未能充分運用此一制度；或因公務人員不知有調處程序之存在而未申請調處程序；亦或公務人員知道有調處程序，卻拒絕與原服務機關進行調處，實無從得知。因此，鑑於實務上尚未累積足夠之調處制度案例，無</w:t>
      </w:r>
      <w:r>
        <w:rPr/>
        <w:t>法透過實際上之運作狀況瞭解調處制度之運作成效，故以下將透過學理上之分</w:t>
      </w:r>
      <w:r>
        <w:rPr>
          <w:spacing w:val="-2"/>
        </w:rPr>
        <w:t>析，針對調處制度成立時公務人員與服務機關間之和解讓步，與行政法上和解制</w:t>
      </w:r>
      <w:r>
        <w:rPr/>
        <w:t>度相比較，找出兩者間之共同點，以茲參考。</w:t>
      </w:r>
    </w:p>
    <w:p>
      <w:pPr>
        <w:pStyle w:val="BodyText"/>
        <w:rPr>
          <w:sz w:val="20"/>
        </w:rPr>
      </w:pPr>
    </w:p>
    <w:p>
      <w:pPr>
        <w:pStyle w:val="BodyText"/>
        <w:rPr>
          <w:sz w:val="20"/>
        </w:rPr>
      </w:pPr>
    </w:p>
    <w:p>
      <w:pPr>
        <w:pStyle w:val="BodyText"/>
        <w:rPr>
          <w:sz w:val="20"/>
        </w:rPr>
      </w:pPr>
    </w:p>
    <w:p>
      <w:pPr>
        <w:pStyle w:val="BodyText"/>
        <w:spacing w:before="5"/>
        <w:rPr>
          <w:sz w:val="12"/>
        </w:rPr>
      </w:pPr>
      <w:r>
        <w:rPr/>
        <w:pict>
          <v:rect style="position:absolute;margin-left:90pt;margin-top:10.630302pt;width:144pt;height:.600010pt;mso-position-horizontal-relative:page;mso-position-vertical-relative:paragraph;z-index:-15709696;mso-wrap-distance-left:0;mso-wrap-distance-right:0" filled="true" fillcolor="#000000" stroked="false">
            <v:fill type="solid"/>
            <w10:wrap type="topAndBottom"/>
          </v:rect>
        </w:pict>
      </w:r>
    </w:p>
    <w:p>
      <w:pPr>
        <w:spacing w:line="223" w:lineRule="auto" w:before="82"/>
        <w:ind w:left="1212" w:right="914" w:hanging="312"/>
        <w:jc w:val="left"/>
        <w:rPr>
          <w:sz w:val="22"/>
        </w:rPr>
      </w:pPr>
      <w:r>
        <w:rPr>
          <w:rFonts w:ascii="Times New Roman" w:eastAsia="Times New Roman"/>
          <w:spacing w:val="-1"/>
          <w:sz w:val="22"/>
          <w:vertAlign w:val="superscript"/>
        </w:rPr>
        <w:t>60</w:t>
      </w:r>
      <w:r>
        <w:rPr>
          <w:rFonts w:ascii="Times New Roman" w:eastAsia="Times New Roman"/>
          <w:spacing w:val="30"/>
          <w:sz w:val="22"/>
          <w:vertAlign w:val="baseline"/>
        </w:rPr>
        <w:t> </w:t>
      </w:r>
      <w:r>
        <w:rPr>
          <w:spacing w:val="-1"/>
          <w:sz w:val="22"/>
          <w:vertAlign w:val="baseline"/>
        </w:rPr>
        <w:t>公務人員保障暨培訓委員會保障事件審議規則第 </w:t>
      </w:r>
      <w:r>
        <w:rPr>
          <w:rFonts w:ascii="Times New Roman" w:eastAsia="Times New Roman"/>
          <w:sz w:val="22"/>
          <w:vertAlign w:val="baseline"/>
        </w:rPr>
        <w:t>34</w:t>
      </w:r>
      <w:r>
        <w:rPr>
          <w:rFonts w:ascii="Times New Roman" w:eastAsia="Times New Roman"/>
          <w:spacing w:val="-13"/>
          <w:sz w:val="22"/>
          <w:vertAlign w:val="baseline"/>
        </w:rPr>
        <w:t> </w:t>
      </w:r>
      <w:r>
        <w:rPr>
          <w:spacing w:val="-52"/>
          <w:sz w:val="22"/>
          <w:vertAlign w:val="baseline"/>
        </w:rPr>
        <w:t>條：「</w:t>
      </w:r>
      <w:r>
        <w:rPr>
          <w:rFonts w:ascii="標楷體" w:eastAsia="標楷體" w:hint="eastAsia"/>
          <w:sz w:val="22"/>
          <w:vertAlign w:val="baseline"/>
        </w:rPr>
        <w:t>再申訴人依本法第八十五條規定申請調處者，應以書面為之</w:t>
      </w:r>
      <w:r>
        <w:rPr>
          <w:sz w:val="22"/>
          <w:vertAlign w:val="baseline"/>
        </w:rPr>
        <w:t>。」</w:t>
      </w:r>
    </w:p>
    <w:p>
      <w:pPr>
        <w:spacing w:line="223" w:lineRule="auto" w:before="0"/>
        <w:ind w:left="1211" w:right="914" w:hanging="312"/>
        <w:jc w:val="left"/>
        <w:rPr>
          <w:rFonts w:ascii="標楷體" w:eastAsia="標楷體" w:hint="eastAsia"/>
          <w:sz w:val="22"/>
        </w:rPr>
      </w:pPr>
      <w:r>
        <w:rPr>
          <w:rFonts w:ascii="Times New Roman" w:eastAsia="Times New Roman"/>
          <w:spacing w:val="-1"/>
          <w:sz w:val="22"/>
          <w:vertAlign w:val="superscript"/>
        </w:rPr>
        <w:t>61</w:t>
      </w:r>
      <w:r>
        <w:rPr>
          <w:rFonts w:ascii="Times New Roman" w:eastAsia="Times New Roman"/>
          <w:spacing w:val="30"/>
          <w:sz w:val="22"/>
          <w:vertAlign w:val="baseline"/>
        </w:rPr>
        <w:t> </w:t>
      </w:r>
      <w:r>
        <w:rPr>
          <w:spacing w:val="-2"/>
          <w:sz w:val="22"/>
          <w:vertAlign w:val="baseline"/>
        </w:rPr>
        <w:t>公務人員保障暨培訓委員會保障事件審議規則第 </w:t>
      </w:r>
      <w:r>
        <w:rPr>
          <w:rFonts w:ascii="Times New Roman" w:eastAsia="Times New Roman"/>
          <w:sz w:val="22"/>
          <w:vertAlign w:val="baseline"/>
        </w:rPr>
        <w:t>35</w:t>
      </w:r>
      <w:r>
        <w:rPr>
          <w:rFonts w:ascii="Times New Roman" w:eastAsia="Times New Roman"/>
          <w:spacing w:val="-12"/>
          <w:sz w:val="22"/>
          <w:vertAlign w:val="baseline"/>
        </w:rPr>
        <w:t> </w:t>
      </w:r>
      <w:r>
        <w:rPr>
          <w:spacing w:val="-44"/>
          <w:sz w:val="22"/>
          <w:vertAlign w:val="baseline"/>
        </w:rPr>
        <w:t>條：「</w:t>
      </w:r>
      <w:r>
        <w:rPr>
          <w:rFonts w:ascii="標楷體" w:eastAsia="標楷體" w:hint="eastAsia"/>
          <w:sz w:val="22"/>
          <w:vertAlign w:val="baseline"/>
        </w:rPr>
        <w:t>再申訴人申請調處，有下列各款情形之一者，保訓會得拒絕之：</w:t>
      </w:r>
    </w:p>
    <w:p>
      <w:pPr>
        <w:spacing w:line="223" w:lineRule="auto" w:before="0"/>
        <w:ind w:left="1497" w:right="915" w:hanging="370"/>
        <w:jc w:val="left"/>
        <w:rPr>
          <w:rFonts w:ascii="標楷體" w:eastAsia="標楷體" w:hint="eastAsia"/>
          <w:sz w:val="22"/>
        </w:rPr>
      </w:pPr>
      <w:r>
        <w:rPr>
          <w:rFonts w:ascii="標楷體" w:eastAsia="標楷體" w:hint="eastAsia"/>
          <w:spacing w:val="-2"/>
          <w:sz w:val="22"/>
        </w:rPr>
        <w:t>一、依調處事由之性質、再申訴人之狀況或其他情事經審慎評估後，可認為不能調處</w:t>
      </w:r>
      <w:r>
        <w:rPr>
          <w:rFonts w:ascii="標楷體" w:eastAsia="標楷體" w:hint="eastAsia"/>
          <w:sz w:val="22"/>
        </w:rPr>
        <w:t>或顯無調處之必要或調處顯無成立之望者。</w:t>
      </w:r>
    </w:p>
    <w:p>
      <w:pPr>
        <w:spacing w:line="282" w:lineRule="exact" w:before="0"/>
        <w:ind w:left="1130" w:right="0" w:firstLine="0"/>
        <w:jc w:val="left"/>
        <w:rPr>
          <w:sz w:val="22"/>
        </w:rPr>
      </w:pPr>
      <w:r>
        <w:rPr>
          <w:rFonts w:ascii="標楷體" w:eastAsia="標楷體" w:hint="eastAsia"/>
          <w:sz w:val="22"/>
        </w:rPr>
        <w:t>二、曾依其他調處（解）程序經調處（解）不成立者</w:t>
      </w:r>
      <w:r>
        <w:rPr>
          <w:sz w:val="22"/>
        </w:rPr>
        <w:t>。」</w:t>
      </w:r>
    </w:p>
    <w:p>
      <w:pPr>
        <w:spacing w:line="223" w:lineRule="auto" w:before="5"/>
        <w:ind w:left="900" w:right="914" w:firstLine="0"/>
        <w:jc w:val="left"/>
        <w:rPr>
          <w:sz w:val="22"/>
        </w:rPr>
      </w:pPr>
      <w:r>
        <w:rPr>
          <w:rFonts w:ascii="Times New Roman" w:eastAsia="Times New Roman"/>
          <w:spacing w:val="-1"/>
          <w:sz w:val="22"/>
          <w:vertAlign w:val="superscript"/>
        </w:rPr>
        <w:t>62</w:t>
      </w:r>
      <w:r>
        <w:rPr>
          <w:rFonts w:ascii="Times New Roman" w:eastAsia="Times New Roman"/>
          <w:spacing w:val="31"/>
          <w:sz w:val="22"/>
          <w:vertAlign w:val="baseline"/>
        </w:rPr>
        <w:t> </w:t>
      </w:r>
      <w:r>
        <w:rPr>
          <w:spacing w:val="-3"/>
          <w:sz w:val="22"/>
          <w:vertAlign w:val="baseline"/>
        </w:rPr>
        <w:t>保障法第 </w:t>
      </w:r>
      <w:r>
        <w:rPr>
          <w:rFonts w:ascii="Times New Roman" w:eastAsia="Times New Roman"/>
          <w:sz w:val="22"/>
          <w:vertAlign w:val="baseline"/>
        </w:rPr>
        <w:t>86</w:t>
      </w:r>
      <w:r>
        <w:rPr>
          <w:rFonts w:ascii="Times New Roman" w:eastAsia="Times New Roman"/>
          <w:spacing w:val="-12"/>
          <w:sz w:val="22"/>
          <w:vertAlign w:val="baseline"/>
        </w:rPr>
        <w:t> </w:t>
      </w:r>
      <w:r>
        <w:rPr>
          <w:spacing w:val="-5"/>
          <w:sz w:val="22"/>
          <w:vertAlign w:val="baseline"/>
        </w:rPr>
        <w:t>條第 </w:t>
      </w:r>
      <w:r>
        <w:rPr>
          <w:rFonts w:ascii="Times New Roman" w:eastAsia="Times New Roman"/>
          <w:sz w:val="22"/>
          <w:vertAlign w:val="baseline"/>
        </w:rPr>
        <w:t>3</w:t>
      </w:r>
      <w:r>
        <w:rPr>
          <w:rFonts w:ascii="Times New Roman" w:eastAsia="Times New Roman"/>
          <w:spacing w:val="-12"/>
          <w:sz w:val="22"/>
          <w:vertAlign w:val="baseline"/>
        </w:rPr>
        <w:t> </w:t>
      </w:r>
      <w:r>
        <w:rPr>
          <w:spacing w:val="-42"/>
          <w:sz w:val="22"/>
          <w:vertAlign w:val="baseline"/>
        </w:rPr>
        <w:t>項：「</w:t>
      </w:r>
      <w:r>
        <w:rPr>
          <w:rFonts w:ascii="標楷體" w:eastAsia="標楷體" w:hint="eastAsia"/>
          <w:sz w:val="22"/>
          <w:vertAlign w:val="baseline"/>
        </w:rPr>
        <w:t>再申訴人及有關機關無正當理由，於調處期日不到場者，視為調處不成立。但保訓會認為有成立調處之可能者，得另定調處期日。</w:t>
      </w:r>
      <w:r>
        <w:rPr>
          <w:spacing w:val="-56"/>
          <w:sz w:val="22"/>
          <w:vertAlign w:val="baseline"/>
        </w:rPr>
        <w:t>」。</w:t>
      </w:r>
    </w:p>
    <w:p>
      <w:pPr>
        <w:spacing w:line="223" w:lineRule="auto" w:before="0"/>
        <w:ind w:left="900" w:right="914" w:firstLine="0"/>
        <w:jc w:val="left"/>
        <w:rPr>
          <w:sz w:val="22"/>
        </w:rPr>
      </w:pPr>
      <w:r>
        <w:rPr>
          <w:rFonts w:ascii="Times New Roman" w:eastAsia="Times New Roman"/>
          <w:spacing w:val="-1"/>
          <w:sz w:val="22"/>
          <w:vertAlign w:val="superscript"/>
        </w:rPr>
        <w:t>63</w:t>
      </w:r>
      <w:r>
        <w:rPr>
          <w:rFonts w:ascii="Times New Roman" w:eastAsia="Times New Roman"/>
          <w:spacing w:val="32"/>
          <w:sz w:val="22"/>
          <w:vertAlign w:val="baseline"/>
        </w:rPr>
        <w:t> </w:t>
      </w:r>
      <w:r>
        <w:rPr>
          <w:spacing w:val="-4"/>
          <w:sz w:val="22"/>
          <w:vertAlign w:val="baseline"/>
        </w:rPr>
        <w:t>保障法第 </w:t>
      </w:r>
      <w:r>
        <w:rPr>
          <w:rFonts w:ascii="Times New Roman" w:eastAsia="Times New Roman"/>
          <w:spacing w:val="-1"/>
          <w:sz w:val="22"/>
          <w:vertAlign w:val="baseline"/>
        </w:rPr>
        <w:t>88</w:t>
      </w:r>
      <w:r>
        <w:rPr>
          <w:rFonts w:ascii="Times New Roman" w:eastAsia="Times New Roman"/>
          <w:spacing w:val="-11"/>
          <w:sz w:val="22"/>
          <w:vertAlign w:val="baseline"/>
        </w:rPr>
        <w:t> </w:t>
      </w:r>
      <w:r>
        <w:rPr>
          <w:spacing w:val="-45"/>
          <w:sz w:val="22"/>
          <w:vertAlign w:val="baseline"/>
        </w:rPr>
        <w:t>條：「</w:t>
      </w:r>
      <w:r>
        <w:rPr>
          <w:rFonts w:ascii="標楷體" w:eastAsia="標楷體" w:hint="eastAsia"/>
          <w:spacing w:val="-1"/>
          <w:sz w:val="22"/>
          <w:vertAlign w:val="baseline"/>
        </w:rPr>
        <w:t>再申訴事件經調處不成立者，保訓會應逕依本法所定之再申訴程序</w:t>
      </w:r>
      <w:r>
        <w:rPr>
          <w:rFonts w:ascii="標楷體" w:eastAsia="標楷體" w:hint="eastAsia"/>
          <w:sz w:val="22"/>
          <w:vertAlign w:val="baseline"/>
        </w:rPr>
        <w:t>為審議決定。</w:t>
      </w:r>
      <w:r>
        <w:rPr>
          <w:spacing w:val="-56"/>
          <w:sz w:val="22"/>
          <w:vertAlign w:val="baseline"/>
        </w:rPr>
        <w:t>」。</w:t>
      </w:r>
    </w:p>
    <w:p>
      <w:pPr>
        <w:spacing w:after="0" w:line="223" w:lineRule="auto"/>
        <w:jc w:val="left"/>
        <w:rPr>
          <w:sz w:val="22"/>
        </w:rPr>
        <w:sectPr>
          <w:pgSz w:w="11910" w:h="16840"/>
          <w:pgMar w:header="0" w:footer="938" w:top="1440" w:bottom="1200" w:left="900" w:right="880"/>
        </w:sectPr>
      </w:pPr>
    </w:p>
    <w:p>
      <w:pPr>
        <w:pStyle w:val="BodyText"/>
        <w:spacing w:before="5"/>
        <w:rPr>
          <w:sz w:val="11"/>
        </w:rPr>
      </w:pPr>
    </w:p>
    <w:p>
      <w:pPr>
        <w:pStyle w:val="Heading3"/>
        <w:spacing w:before="53"/>
        <w:rPr>
          <w:rFonts w:ascii="新細明體" w:eastAsia="新細明體" w:hint="eastAsia"/>
        </w:rPr>
      </w:pPr>
      <w:bookmarkStart w:name="_TOC_250033" w:id="6"/>
      <w:bookmarkEnd w:id="6"/>
      <w:r>
        <w:rPr>
          <w:rFonts w:ascii="新細明體" w:eastAsia="新細明體" w:hint="eastAsia"/>
          <w:w w:val="95"/>
        </w:rPr>
        <w:t>二、調處與行政法上和解制度之比較</w:t>
      </w:r>
    </w:p>
    <w:p>
      <w:pPr>
        <w:pStyle w:val="BodyText"/>
        <w:spacing w:before="5"/>
        <w:rPr>
          <w:b/>
          <w:sz w:val="29"/>
        </w:rPr>
      </w:pPr>
    </w:p>
    <w:p>
      <w:pPr>
        <w:pStyle w:val="BodyText"/>
        <w:spacing w:line="295" w:lineRule="auto"/>
        <w:ind w:left="900" w:right="917" w:firstLine="480"/>
        <w:jc w:val="both"/>
      </w:pPr>
      <w:r>
        <w:rPr>
          <w:spacing w:val="-3"/>
        </w:rPr>
        <w:t>為探究現行保障法之調處制度能否擴大適用範圍及於復審制度，首先即須先釐清調處制度之法律性質及其要件；再者，因現行保障法下調處制度之對象是針對不具行政處分性質之「工作條件」與「管理措施」所引發之爭議，能否將調處制度逕行適用於以行政處分為對象之復審事件，有審慎思考之必要。況且與復審事件同屬審查行政處分之適法性之訴願制度並無類似調處制度之設計，使得此一問題更須小心處理。此外，若承認調處制度之適用範圍得擴大至復審程序，現行</w:t>
      </w:r>
      <w:r>
        <w:rPr>
          <w:spacing w:val="2"/>
        </w:rPr>
        <w:t>調處制度是否須另作調整？其與行政程序法第 </w:t>
      </w:r>
      <w:r>
        <w:rPr>
          <w:rFonts w:ascii="Times New Roman" w:eastAsia="Times New Roman"/>
        </w:rPr>
        <w:t>136</w:t>
      </w:r>
      <w:r>
        <w:rPr>
          <w:rFonts w:ascii="Times New Roman" w:eastAsia="Times New Roman"/>
          <w:spacing w:val="2"/>
        </w:rPr>
        <w:t> </w:t>
      </w:r>
      <w:r>
        <w:rPr/>
        <w:t>條之和解契約或行政訴訟法</w:t>
      </w:r>
    </w:p>
    <w:p>
      <w:pPr>
        <w:pStyle w:val="BodyText"/>
        <w:spacing w:before="8"/>
        <w:ind w:left="900"/>
        <w:jc w:val="both"/>
      </w:pPr>
      <w:r>
        <w:rPr>
          <w:spacing w:val="-2"/>
        </w:rPr>
        <w:t>第 </w:t>
      </w:r>
      <w:r>
        <w:rPr>
          <w:rFonts w:ascii="Times New Roman" w:eastAsia="Times New Roman"/>
        </w:rPr>
        <w:t>219 </w:t>
      </w:r>
      <w:r>
        <w:rPr/>
        <w:t>條以下之訴訟上和解，彼此間有何異同？也有待探討。</w:t>
      </w:r>
    </w:p>
    <w:p>
      <w:pPr>
        <w:pStyle w:val="BodyText"/>
        <w:spacing w:before="7"/>
        <w:rPr>
          <w:sz w:val="29"/>
        </w:rPr>
      </w:pPr>
    </w:p>
    <w:p>
      <w:pPr>
        <w:pStyle w:val="Heading3"/>
      </w:pPr>
      <w:bookmarkStart w:name="_TOC_250032" w:id="7"/>
      <w:bookmarkEnd w:id="7"/>
      <w:r>
        <w:rPr/>
        <w:t>（一）再申訴事件調處成立之法律性質及其容許性要件</w:t>
      </w:r>
    </w:p>
    <w:p>
      <w:pPr>
        <w:pStyle w:val="BodyText"/>
        <w:rPr>
          <w:rFonts w:ascii="標楷體"/>
          <w:b/>
        </w:rPr>
      </w:pPr>
    </w:p>
    <w:p>
      <w:pPr>
        <w:pStyle w:val="BodyText"/>
        <w:spacing w:before="3"/>
        <w:rPr>
          <w:rFonts w:ascii="標楷體"/>
          <w:b/>
          <w:sz w:val="29"/>
        </w:rPr>
      </w:pPr>
    </w:p>
    <w:p>
      <w:pPr>
        <w:pStyle w:val="ListParagraph"/>
        <w:numPr>
          <w:ilvl w:val="0"/>
          <w:numId w:val="13"/>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再申訴事件中調處成立之法律性質</w:t>
      </w:r>
    </w:p>
    <w:p>
      <w:pPr>
        <w:pStyle w:val="BodyText"/>
        <w:spacing w:before="5"/>
        <w:rPr>
          <w:rFonts w:ascii="標楷體"/>
          <w:sz w:val="29"/>
        </w:rPr>
      </w:pPr>
    </w:p>
    <w:p>
      <w:pPr>
        <w:pStyle w:val="BodyText"/>
        <w:spacing w:line="295" w:lineRule="auto"/>
        <w:ind w:left="899" w:right="904" w:firstLine="480"/>
      </w:pPr>
      <w:r>
        <w:rPr>
          <w:spacing w:val="-3"/>
        </w:rPr>
        <w:t>再申訴事件中之調處程序，因係針對「工作條件」與「管理措施」等「行政</w:t>
      </w:r>
      <w:r>
        <w:rPr>
          <w:spacing w:val="11"/>
        </w:rPr>
        <w:t>內部經營關係」所為之紛爭解決機制，而公務人員既僅為行政機關之組成體</w:t>
      </w:r>
    </w:p>
    <w:p>
      <w:pPr>
        <w:pStyle w:val="BodyText"/>
        <w:spacing w:line="295" w:lineRule="auto" w:before="3"/>
        <w:ind w:left="900" w:right="917"/>
        <w:jc w:val="both"/>
      </w:pPr>
      <w:r>
        <w:rPr/>
        <w:t>（</w:t>
      </w:r>
      <w:r>
        <w:rPr>
          <w:rFonts w:ascii="Times New Roman" w:eastAsia="Times New Roman"/>
        </w:rPr>
        <w:t>Glied der</w:t>
      </w:r>
      <w:r>
        <w:rPr>
          <w:rFonts w:ascii="Times New Roman" w:eastAsia="Times New Roman"/>
          <w:spacing w:val="-6"/>
        </w:rPr>
        <w:t> </w:t>
      </w:r>
      <w:r>
        <w:rPr>
          <w:rFonts w:ascii="Times New Roman" w:eastAsia="Times New Roman"/>
          <w:spacing w:val="-27"/>
        </w:rPr>
        <w:t>V</w:t>
      </w:r>
      <w:r>
        <w:rPr>
          <w:rFonts w:ascii="Times New Roman" w:eastAsia="Times New Roman"/>
        </w:rPr>
        <w:t>erwaltung</w:t>
      </w:r>
      <w:r>
        <w:rPr>
          <w:spacing w:val="-130"/>
        </w:rPr>
        <w:t>）</w:t>
      </w:r>
      <w:r>
        <w:rPr>
          <w:spacing w:val="-3"/>
        </w:rPr>
        <w:t>，而非權利主體</w:t>
      </w:r>
      <w:r>
        <w:rPr>
          <w:rFonts w:ascii="Times New Roman" w:eastAsia="Times New Roman"/>
          <w:w w:val="99"/>
          <w:vertAlign w:val="superscript"/>
        </w:rPr>
        <w:t>6</w:t>
      </w:r>
      <w:r>
        <w:rPr>
          <w:rFonts w:ascii="Times New Roman" w:eastAsia="Times New Roman"/>
          <w:spacing w:val="-8"/>
          <w:w w:val="99"/>
          <w:vertAlign w:val="superscript"/>
        </w:rPr>
        <w:t>4</w:t>
      </w:r>
      <w:r>
        <w:rPr>
          <w:spacing w:val="-4"/>
          <w:vertAlign w:val="baseline"/>
        </w:rPr>
        <w:t>；從而公務人員無從立於權利主體之地</w:t>
      </w:r>
      <w:r>
        <w:rPr>
          <w:spacing w:val="-3"/>
          <w:vertAlign w:val="baseline"/>
        </w:rPr>
        <w:t>位與服務機關締結行政契約。因此，在行政內部法領域下達成之合意，充其量僅能視為如同在同一行政主體內行政機關彼此間內部協議，而不得以行政程序法第</w:t>
      </w:r>
      <w:r>
        <w:rPr>
          <w:rFonts w:ascii="Times New Roman" w:eastAsia="Times New Roman"/>
          <w:vertAlign w:val="baseline"/>
        </w:rPr>
        <w:t>135</w:t>
      </w:r>
      <w:r>
        <w:rPr>
          <w:rFonts w:ascii="Times New Roman" w:eastAsia="Times New Roman"/>
          <w:spacing w:val="30"/>
          <w:vertAlign w:val="baseline"/>
        </w:rPr>
        <w:t> </w:t>
      </w:r>
      <w:r>
        <w:rPr>
          <w:vertAlign w:val="baseline"/>
        </w:rPr>
        <w:t>條以下行政契約視之。惟有學者認為</w:t>
      </w:r>
      <w:r>
        <w:rPr>
          <w:rFonts w:ascii="Times New Roman" w:eastAsia="Times New Roman"/>
          <w:vertAlign w:val="superscript"/>
        </w:rPr>
        <w:t>65</w:t>
      </w:r>
      <w:r>
        <w:rPr>
          <w:vertAlign w:val="baseline"/>
        </w:rPr>
        <w:t>，上開論述將「經營關係」下之公務</w:t>
      </w:r>
      <w:r>
        <w:rPr>
          <w:spacing w:val="-3"/>
          <w:vertAlign w:val="baseline"/>
        </w:rPr>
        <w:t>人員視為國家機器內部的組成員，因而否定在行政內部法領域公務人員與服務機</w:t>
      </w:r>
      <w:r>
        <w:rPr>
          <w:spacing w:val="-1"/>
          <w:vertAlign w:val="baseline"/>
        </w:rPr>
        <w:t>關有締結行政契約之可能，乃係深受「</w:t>
      </w:r>
      <w:r>
        <w:rPr>
          <w:rFonts w:ascii="標楷體" w:eastAsia="標楷體" w:hint="eastAsia"/>
          <w:b/>
          <w:spacing w:val="-1"/>
          <w:vertAlign w:val="baseline"/>
        </w:rPr>
        <w:t>法主體密閉理論</w:t>
      </w:r>
      <w:r>
        <w:rPr>
          <w:rFonts w:ascii="Times New Roman" w:eastAsia="Times New Roman"/>
          <w:vertAlign w:val="superscript"/>
        </w:rPr>
        <w:t>66</w:t>
      </w:r>
      <w:r>
        <w:rPr>
          <w:vertAlign w:val="baseline"/>
        </w:rPr>
        <w:t>」之影響，因此，即便</w:t>
      </w:r>
      <w:r>
        <w:rPr>
          <w:spacing w:val="-3"/>
          <w:vertAlign w:val="baseline"/>
        </w:rPr>
        <w:t>承認為了維護文官制度之效能，而有必要在行政內部法領域限制公務人員提起行政訴訟之可能，但以此為目的否認公務人員在「經營關係」享有抽象的權利主體性，已違反憲法基於對尊重人性尊嚴之而要求不得將人視為客體之基本決定，是故，縱然在行政內部之「經營關係」領域，公務人員仍為權利主體，自得與服務</w:t>
      </w:r>
      <w:r>
        <w:rPr>
          <w:vertAlign w:val="baseline"/>
        </w:rPr>
        <w:t>機關締結行政契約。</w:t>
      </w:r>
    </w:p>
    <w:p>
      <w:pPr>
        <w:pStyle w:val="BodyText"/>
        <w:spacing w:before="5"/>
        <w:rPr>
          <w:sz w:val="29"/>
        </w:rPr>
      </w:pPr>
      <w:r>
        <w:rPr/>
        <w:pict>
          <v:rect style="position:absolute;margin-left:90pt;margin-top:22.484209pt;width:144pt;height:.600010pt;mso-position-horizontal-relative:page;mso-position-vertical-relative:paragraph;z-index:-15709184;mso-wrap-distance-left:0;mso-wrap-distance-right:0" filled="true" fillcolor="#000000" stroked="false">
            <v:fill type="solid"/>
            <w10:wrap type="topAndBottom"/>
          </v:rect>
        </w:pict>
      </w:r>
    </w:p>
    <w:p>
      <w:pPr>
        <w:spacing w:line="297" w:lineRule="exact" w:before="66"/>
        <w:ind w:left="900" w:right="0" w:firstLine="0"/>
        <w:jc w:val="left"/>
        <w:rPr>
          <w:sz w:val="22"/>
        </w:rPr>
      </w:pPr>
      <w:r>
        <w:rPr>
          <w:rFonts w:ascii="Times New Roman" w:hAnsi="Times New Roman" w:eastAsia="Times New Roman"/>
          <w:spacing w:val="-1"/>
          <w:sz w:val="22"/>
          <w:vertAlign w:val="superscript"/>
        </w:rPr>
        <w:t>64</w:t>
      </w:r>
      <w:r>
        <w:rPr>
          <w:rFonts w:ascii="Times New Roman" w:hAnsi="Times New Roman" w:eastAsia="Times New Roman"/>
          <w:spacing w:val="52"/>
          <w:sz w:val="22"/>
          <w:vertAlign w:val="baseline"/>
        </w:rPr>
        <w:t> </w:t>
      </w:r>
      <w:r>
        <w:rPr>
          <w:rFonts w:ascii="Times New Roman" w:hAnsi="Times New Roman" w:eastAsia="Times New Roman"/>
          <w:spacing w:val="-1"/>
          <w:sz w:val="22"/>
          <w:vertAlign w:val="baseline"/>
        </w:rPr>
        <w:t>Schenke,</w:t>
      </w:r>
      <w:r>
        <w:rPr>
          <w:rFonts w:ascii="Times New Roman" w:hAnsi="Times New Roman" w:eastAsia="Times New Roman"/>
          <w:spacing w:val="-6"/>
          <w:sz w:val="22"/>
          <w:vertAlign w:val="baseline"/>
        </w:rPr>
        <w:t> </w:t>
      </w:r>
      <w:r>
        <w:rPr>
          <w:rFonts w:ascii="Times New Roman" w:hAnsi="Times New Roman" w:eastAsia="Times New Roman"/>
          <w:spacing w:val="-1"/>
          <w:sz w:val="22"/>
          <w:vertAlign w:val="baseline"/>
        </w:rPr>
        <w:t>Verwaltungsprozeßrecht, </w:t>
      </w:r>
      <w:r>
        <w:rPr>
          <w:rFonts w:ascii="Times New Roman" w:hAnsi="Times New Roman" w:eastAsia="Times New Roman"/>
          <w:sz w:val="22"/>
          <w:vertAlign w:val="baseline"/>
        </w:rPr>
        <w:t>11.</w:t>
      </w:r>
      <w:r>
        <w:rPr>
          <w:rFonts w:ascii="Times New Roman" w:hAnsi="Times New Roman" w:eastAsia="Times New Roman"/>
          <w:spacing w:val="-13"/>
          <w:sz w:val="22"/>
          <w:vertAlign w:val="baseline"/>
        </w:rPr>
        <w:t> </w:t>
      </w:r>
      <w:r>
        <w:rPr>
          <w:rFonts w:ascii="Times New Roman" w:hAnsi="Times New Roman" w:eastAsia="Times New Roman"/>
          <w:sz w:val="22"/>
          <w:vertAlign w:val="baseline"/>
        </w:rPr>
        <w:t>Aufl.,</w:t>
      </w:r>
      <w:r>
        <w:rPr>
          <w:rFonts w:ascii="Times New Roman" w:hAnsi="Times New Roman" w:eastAsia="Times New Roman"/>
          <w:spacing w:val="-2"/>
          <w:sz w:val="22"/>
          <w:vertAlign w:val="baseline"/>
        </w:rPr>
        <w:t> </w:t>
      </w:r>
      <w:r>
        <w:rPr>
          <w:rFonts w:ascii="Times New Roman" w:hAnsi="Times New Roman" w:eastAsia="Times New Roman"/>
          <w:sz w:val="22"/>
          <w:vertAlign w:val="baseline"/>
        </w:rPr>
        <w:t>2007,</w:t>
      </w:r>
      <w:r>
        <w:rPr>
          <w:rFonts w:ascii="Times New Roman" w:hAnsi="Times New Roman" w:eastAsia="Times New Roman"/>
          <w:spacing w:val="-2"/>
          <w:sz w:val="22"/>
          <w:vertAlign w:val="baseline"/>
        </w:rPr>
        <w:t> </w:t>
      </w:r>
      <w:r>
        <w:rPr>
          <w:rFonts w:ascii="Times New Roman" w:hAnsi="Times New Roman" w:eastAsia="Times New Roman"/>
          <w:sz w:val="22"/>
          <w:vertAlign w:val="baseline"/>
        </w:rPr>
        <w:t>Rn.213</w:t>
      </w:r>
      <w:r>
        <w:rPr>
          <w:rFonts w:ascii="Times New Roman" w:hAnsi="Times New Roman" w:eastAsia="Times New Roman"/>
          <w:spacing w:val="-3"/>
          <w:sz w:val="22"/>
          <w:vertAlign w:val="baseline"/>
        </w:rPr>
        <w:t> </w:t>
      </w:r>
      <w:r>
        <w:rPr>
          <w:rFonts w:ascii="Times New Roman" w:hAnsi="Times New Roman" w:eastAsia="Times New Roman"/>
          <w:sz w:val="22"/>
          <w:vertAlign w:val="baseline"/>
        </w:rPr>
        <w:t>ff</w:t>
      </w:r>
      <w:r>
        <w:rPr>
          <w:sz w:val="22"/>
          <w:vertAlign w:val="baseline"/>
        </w:rPr>
        <w:t>。</w:t>
      </w:r>
    </w:p>
    <w:p>
      <w:pPr>
        <w:spacing w:line="223" w:lineRule="auto" w:before="5"/>
        <w:ind w:left="899" w:right="917" w:firstLine="0"/>
        <w:jc w:val="left"/>
        <w:rPr>
          <w:sz w:val="22"/>
        </w:rPr>
      </w:pPr>
      <w:r>
        <w:rPr>
          <w:rFonts w:ascii="Times New Roman" w:eastAsia="Times New Roman"/>
          <w:sz w:val="22"/>
          <w:vertAlign w:val="superscript"/>
        </w:rPr>
        <w:t>65</w:t>
      </w:r>
      <w:r>
        <w:rPr>
          <w:rFonts w:ascii="Times New Roman" w:eastAsia="Times New Roman"/>
          <w:spacing w:val="16"/>
          <w:sz w:val="22"/>
          <w:vertAlign w:val="baseline"/>
        </w:rPr>
        <w:t> </w:t>
      </w:r>
      <w:r>
        <w:rPr>
          <w:spacing w:val="-5"/>
          <w:sz w:val="22"/>
          <w:vertAlign w:val="baseline"/>
        </w:rPr>
        <w:t>參閱公務人員保障暨培訓委員會委託，陳愛娥、盛子龍主持，《公務人員保障案件的</w:t>
      </w:r>
      <w:r>
        <w:rPr>
          <w:spacing w:val="-20"/>
          <w:sz w:val="22"/>
          <w:vertAlign w:val="baseline"/>
        </w:rPr>
        <w:t>調處制度》，</w:t>
      </w:r>
      <w:r>
        <w:rPr>
          <w:rFonts w:ascii="Times New Roman" w:eastAsia="Times New Roman"/>
          <w:sz w:val="22"/>
          <w:vertAlign w:val="baseline"/>
        </w:rPr>
        <w:t>2000</w:t>
      </w:r>
      <w:r>
        <w:rPr>
          <w:rFonts w:ascii="Times New Roman" w:eastAsia="Times New Roman"/>
          <w:spacing w:val="-1"/>
          <w:sz w:val="22"/>
          <w:vertAlign w:val="baseline"/>
        </w:rPr>
        <w:t> </w:t>
      </w:r>
      <w:r>
        <w:rPr>
          <w:spacing w:val="-1"/>
          <w:sz w:val="22"/>
          <w:vertAlign w:val="baseline"/>
        </w:rPr>
        <w:t>年 </w:t>
      </w:r>
      <w:r>
        <w:rPr>
          <w:rFonts w:ascii="Times New Roman" w:eastAsia="Times New Roman"/>
          <w:sz w:val="22"/>
          <w:vertAlign w:val="baseline"/>
        </w:rPr>
        <w:t>9 </w:t>
      </w:r>
      <w:r>
        <w:rPr>
          <w:spacing w:val="-1"/>
          <w:sz w:val="22"/>
          <w:vertAlign w:val="baseline"/>
        </w:rPr>
        <w:t>月，頁 </w:t>
      </w:r>
      <w:r>
        <w:rPr>
          <w:rFonts w:ascii="Times New Roman" w:eastAsia="Times New Roman"/>
          <w:sz w:val="22"/>
          <w:vertAlign w:val="baseline"/>
        </w:rPr>
        <w:t>59</w:t>
      </w:r>
      <w:r>
        <w:rPr>
          <w:sz w:val="22"/>
          <w:vertAlign w:val="baseline"/>
        </w:rPr>
        <w:t>。</w:t>
      </w:r>
    </w:p>
    <w:p>
      <w:pPr>
        <w:spacing w:line="223" w:lineRule="auto" w:before="0"/>
        <w:ind w:left="900" w:right="922" w:firstLine="0"/>
        <w:jc w:val="left"/>
        <w:rPr>
          <w:sz w:val="22"/>
        </w:rPr>
      </w:pPr>
      <w:r>
        <w:rPr>
          <w:rFonts w:ascii="Times New Roman" w:eastAsia="Times New Roman"/>
          <w:spacing w:val="-2"/>
          <w:sz w:val="22"/>
          <w:vertAlign w:val="superscript"/>
        </w:rPr>
        <w:t>66</w:t>
      </w:r>
      <w:r>
        <w:rPr>
          <w:rFonts w:ascii="Times New Roman" w:eastAsia="Times New Roman"/>
          <w:spacing w:val="17"/>
          <w:sz w:val="22"/>
          <w:vertAlign w:val="baseline"/>
        </w:rPr>
        <w:t> </w:t>
      </w:r>
      <w:r>
        <w:rPr>
          <w:spacing w:val="-2"/>
          <w:sz w:val="22"/>
          <w:vertAlign w:val="baseline"/>
        </w:rPr>
        <w:t>有關「法主體密閉理論」之中文介紹，請參閱朱武獻</w:t>
      </w:r>
      <w:r>
        <w:rPr>
          <w:spacing w:val="-20"/>
          <w:sz w:val="22"/>
          <w:vertAlign w:val="baseline"/>
        </w:rPr>
        <w:t>，〈命令與行政規則之區別〉，收</w:t>
      </w:r>
      <w:r>
        <w:rPr>
          <w:sz w:val="22"/>
          <w:vertAlign w:val="baseline"/>
        </w:rPr>
        <w:t>錄於《公法專題研究（一</w:t>
      </w:r>
      <w:r>
        <w:rPr>
          <w:spacing w:val="-110"/>
          <w:sz w:val="22"/>
          <w:vertAlign w:val="baseline"/>
        </w:rPr>
        <w:t>）</w:t>
      </w:r>
      <w:r>
        <w:rPr>
          <w:spacing w:val="-56"/>
          <w:sz w:val="22"/>
          <w:vertAlign w:val="baseline"/>
        </w:rPr>
        <w:t>》，</w:t>
      </w:r>
      <w:r>
        <w:rPr>
          <w:rFonts w:ascii="Times New Roman" w:eastAsia="Times New Roman"/>
          <w:sz w:val="22"/>
          <w:vertAlign w:val="baseline"/>
        </w:rPr>
        <w:t>1986</w:t>
      </w:r>
      <w:r>
        <w:rPr>
          <w:rFonts w:ascii="Times New Roman" w:eastAsia="Times New Roman"/>
          <w:spacing w:val="-2"/>
          <w:sz w:val="22"/>
          <w:vertAlign w:val="baseline"/>
        </w:rPr>
        <w:t> </w:t>
      </w:r>
      <w:r>
        <w:rPr>
          <w:spacing w:val="-1"/>
          <w:sz w:val="22"/>
          <w:vertAlign w:val="baseline"/>
        </w:rPr>
        <w:t>年，頁 </w:t>
      </w:r>
      <w:r>
        <w:rPr>
          <w:rFonts w:ascii="Times New Roman" w:eastAsia="Times New Roman"/>
          <w:sz w:val="22"/>
          <w:vertAlign w:val="baseline"/>
        </w:rPr>
        <w:t>242 </w:t>
      </w:r>
      <w:r>
        <w:rPr>
          <w:sz w:val="22"/>
          <w:vertAlign w:val="baseline"/>
        </w:rPr>
        <w:t>以下。</w:t>
      </w:r>
    </w:p>
    <w:p>
      <w:pPr>
        <w:spacing w:after="0" w:line="223" w:lineRule="auto"/>
        <w:jc w:val="left"/>
        <w:rPr>
          <w:sz w:val="22"/>
        </w:rPr>
        <w:sectPr>
          <w:pgSz w:w="11910" w:h="16840"/>
          <w:pgMar w:header="0" w:footer="938" w:top="1600" w:bottom="1200" w:left="900" w:right="880"/>
        </w:sectPr>
      </w:pPr>
    </w:p>
    <w:p>
      <w:pPr>
        <w:pStyle w:val="BodyText"/>
        <w:spacing w:before="8"/>
        <w:rPr>
          <w:sz w:val="15"/>
        </w:rPr>
      </w:pPr>
    </w:p>
    <w:p>
      <w:pPr>
        <w:pStyle w:val="BodyText"/>
        <w:spacing w:line="295" w:lineRule="auto" w:before="74"/>
        <w:ind w:left="900" w:right="917" w:firstLine="480"/>
        <w:jc w:val="both"/>
      </w:pPr>
      <w:r>
        <w:rPr>
          <w:spacing w:val="-4"/>
        </w:rPr>
        <w:t>此外值得討論者，行政程序法第 </w:t>
      </w:r>
      <w:r>
        <w:rPr>
          <w:rFonts w:ascii="Times New Roman" w:eastAsia="Times New Roman"/>
          <w:spacing w:val="-3"/>
        </w:rPr>
        <w:t>136</w:t>
      </w:r>
      <w:r>
        <w:rPr>
          <w:rFonts w:ascii="Times New Roman" w:eastAsia="Times New Roman"/>
          <w:spacing w:val="-9"/>
        </w:rPr>
        <w:t> </w:t>
      </w:r>
      <w:r>
        <w:rPr>
          <w:spacing w:val="-3"/>
        </w:rPr>
        <w:t>條所規定之和解契約係用以代替行政處分，在非以人事行政處分為審理對象之再申訴程序，是否仍得成立和解契約？按</w:t>
      </w:r>
      <w:r>
        <w:rPr>
          <w:spacing w:val="-1"/>
        </w:rPr>
        <w:t>行政程序法第 </w:t>
      </w:r>
      <w:r>
        <w:rPr>
          <w:rFonts w:ascii="Times New Roman" w:eastAsia="Times New Roman"/>
        </w:rPr>
        <w:t>136</w:t>
      </w:r>
      <w:r>
        <w:rPr>
          <w:rFonts w:ascii="Times New Roman" w:eastAsia="Times New Roman"/>
          <w:spacing w:val="3"/>
        </w:rPr>
        <w:t> </w:t>
      </w:r>
      <w:r>
        <w:rPr>
          <w:spacing w:val="-1"/>
        </w:rPr>
        <w:t>條乃係繼受德國行政程序法第 </w:t>
      </w:r>
      <w:r>
        <w:rPr>
          <w:rFonts w:ascii="Times New Roman" w:eastAsia="Times New Roman"/>
        </w:rPr>
        <w:t>55</w:t>
      </w:r>
      <w:r>
        <w:rPr>
          <w:rFonts w:ascii="Times New Roman" w:eastAsia="Times New Roman"/>
          <w:spacing w:val="3"/>
        </w:rPr>
        <w:t> </w:t>
      </w:r>
      <w:r>
        <w:rPr/>
        <w:t>條之規定，德國原文雖無相</w:t>
      </w:r>
    </w:p>
    <w:p>
      <w:pPr>
        <w:pStyle w:val="BodyText"/>
        <w:spacing w:line="295" w:lineRule="auto" w:before="4"/>
        <w:ind w:left="900" w:right="917"/>
        <w:jc w:val="both"/>
      </w:pPr>
      <w:r>
        <w:rPr>
          <w:spacing w:val="3"/>
        </w:rPr>
        <w:t>同之文字，但於同法第 </w:t>
      </w:r>
      <w:r>
        <w:rPr>
          <w:rFonts w:ascii="Times New Roman" w:eastAsia="Times New Roman"/>
        </w:rPr>
        <w:t>54</w:t>
      </w:r>
      <w:r>
        <w:rPr>
          <w:rFonts w:ascii="Times New Roman" w:eastAsia="Times New Roman"/>
          <w:spacing w:val="44"/>
        </w:rPr>
        <w:t> </w:t>
      </w:r>
      <w:r>
        <w:rPr/>
        <w:t>條</w:t>
      </w:r>
      <w:r>
        <w:rPr>
          <w:rFonts w:ascii="Times New Roman" w:eastAsia="Times New Roman"/>
          <w:vertAlign w:val="superscript"/>
        </w:rPr>
        <w:t>67</w:t>
      </w:r>
      <w:r>
        <w:rPr>
          <w:vertAlign w:val="baseline"/>
        </w:rPr>
        <w:t>則有類似之文字，探究其立法目的，僅在明示即</w:t>
      </w:r>
      <w:r>
        <w:rPr>
          <w:spacing w:val="-3"/>
          <w:vertAlign w:val="baseline"/>
        </w:rPr>
        <w:t>使在不對等之隸屬關係中，行政機關亦得與人民締結行政契約，並非謂僅在得以</w:t>
      </w:r>
      <w:r>
        <w:rPr>
          <w:spacing w:val="-1"/>
          <w:vertAlign w:val="baseline"/>
        </w:rPr>
        <w:t>行政處分規制之事件，行政機關始得與人民締結行政契約</w:t>
      </w:r>
      <w:r>
        <w:rPr>
          <w:rFonts w:ascii="Times New Roman" w:eastAsia="Times New Roman"/>
          <w:vertAlign w:val="superscript"/>
        </w:rPr>
        <w:t>68</w:t>
      </w:r>
      <w:r>
        <w:rPr>
          <w:vertAlign w:val="baseline"/>
        </w:rPr>
        <w:t>，因此，自不能否認於再申訴程序中亦有經調處而成立調處契約之可能。</w:t>
      </w:r>
    </w:p>
    <w:p>
      <w:pPr>
        <w:pStyle w:val="BodyText"/>
        <w:spacing w:before="13"/>
        <w:rPr>
          <w:sz w:val="29"/>
        </w:rPr>
      </w:pPr>
    </w:p>
    <w:p>
      <w:pPr>
        <w:pStyle w:val="BodyText"/>
        <w:spacing w:line="295" w:lineRule="auto"/>
        <w:ind w:left="900" w:right="917" w:firstLine="480"/>
        <w:jc w:val="both"/>
      </w:pPr>
      <w:r>
        <w:rPr>
          <w:spacing w:val="-3"/>
        </w:rPr>
        <w:t>綜上所述，在行政內部之「經營關係」領域，公務人員與服務機關於再申訴程序中經調處成立之協議，一方面具有類似於行政程序法上和解契約之屬性；另一方面係雙方合意直接終結再申訴程序之合意，此部分係屬爭訟程序之行為。因此，調處成立時，調處契約之屬性亦同樣具有實體法性質與程序法性質之雙重屬</w:t>
      </w:r>
      <w:r>
        <w:rPr/>
        <w:t>性。</w:t>
      </w:r>
    </w:p>
    <w:p>
      <w:pPr>
        <w:pStyle w:val="BodyText"/>
        <w:spacing w:before="4"/>
      </w:pPr>
    </w:p>
    <w:p>
      <w:pPr>
        <w:pStyle w:val="ListParagraph"/>
        <w:numPr>
          <w:ilvl w:val="0"/>
          <w:numId w:val="13"/>
        </w:numPr>
        <w:tabs>
          <w:tab w:pos="1221" w:val="left" w:leader="none"/>
        </w:tabs>
        <w:spacing w:line="240" w:lineRule="auto" w:before="0" w:after="0"/>
        <w:ind w:left="1220" w:right="0" w:hanging="321"/>
        <w:jc w:val="left"/>
        <w:rPr>
          <w:rFonts w:ascii="標楷體" w:eastAsia="標楷體" w:hint="eastAsia"/>
          <w:sz w:val="24"/>
        </w:rPr>
      </w:pPr>
      <w:r>
        <w:rPr>
          <w:rFonts w:ascii="標楷體" w:eastAsia="標楷體" w:hint="eastAsia"/>
          <w:sz w:val="24"/>
        </w:rPr>
        <w:t>再申訴事件調處成立之合法性要件</w:t>
      </w:r>
    </w:p>
    <w:p>
      <w:pPr>
        <w:pStyle w:val="BodyText"/>
        <w:spacing w:before="5"/>
        <w:rPr>
          <w:rFonts w:ascii="標楷體"/>
          <w:sz w:val="29"/>
        </w:rPr>
      </w:pPr>
    </w:p>
    <w:p>
      <w:pPr>
        <w:pStyle w:val="BodyText"/>
        <w:spacing w:line="295" w:lineRule="auto"/>
        <w:ind w:left="899" w:right="910" w:firstLine="480"/>
        <w:jc w:val="both"/>
      </w:pPr>
      <w:r>
        <w:rPr/>
        <w:t>公務人員與服務機關就再申訴事件調處成立後，該調處成立之協議是否合</w:t>
      </w:r>
      <w:r>
        <w:rPr>
          <w:spacing w:val="-3"/>
        </w:rPr>
        <w:t>法、有效，仍須取決當事人就協議內容是否有處分之權能。就行政機關方面，針對行政機關內部之工作條件或管理措施，法律往往賦予行政機關有較大的裁量空間或判斷餘地，故行政機關對於協議內容之處分權能，應較無問題；反之，在公務人員方面，由於公務人員對於工作條件或管理措施並不享有個人公權利，因此</w:t>
      </w:r>
      <w:r>
        <w:rPr/>
        <w:t>就服務機關內部管理工作條件或管理措施是否具有處分之權能，不無疑義。</w:t>
      </w:r>
    </w:p>
    <w:p>
      <w:pPr>
        <w:pStyle w:val="BodyText"/>
        <w:spacing w:before="2"/>
        <w:rPr>
          <w:sz w:val="30"/>
        </w:rPr>
      </w:pPr>
    </w:p>
    <w:p>
      <w:pPr>
        <w:pStyle w:val="BodyText"/>
        <w:spacing w:line="295" w:lineRule="auto"/>
        <w:ind w:left="900" w:right="910" w:firstLine="480"/>
        <w:jc w:val="both"/>
      </w:pPr>
      <w:r>
        <w:rPr/>
        <w:t>針對公務人員對服務機關內部管理的工作條件或管理措施是否具有處分權</w:t>
      </w:r>
      <w:r>
        <w:rPr>
          <w:spacing w:val="-3"/>
        </w:rPr>
        <w:t>能之疑義，本文認為，因法秩序並不承認公務人員有權請求國家或其他行政主體維持其「功能上之具體職務」不變的權利，因此，調整職務之行為被定性為單純為維持客觀勤務需求而生之機關內部措施，公務人員就功能上之具體職務並不享有個人自由處分之權能，自不得以拋棄法律上不承認之請求權作為類似和解契約之內容，惟既然保障法規定公務人員就行政內部之職務調整行為可提起申訴、再</w:t>
      </w:r>
    </w:p>
    <w:p>
      <w:pPr>
        <w:pStyle w:val="BodyText"/>
        <w:spacing w:before="4"/>
        <w:rPr>
          <w:sz w:val="26"/>
        </w:rPr>
      </w:pPr>
      <w:r>
        <w:rPr/>
        <w:pict>
          <v:rect style="position:absolute;margin-left:90pt;margin-top:20.335459pt;width:144pt;height:.600010pt;mso-position-horizontal-relative:page;mso-position-vertical-relative:paragraph;z-index:-15708672;mso-wrap-distance-left:0;mso-wrap-distance-right:0" filled="true" fillcolor="#000000" stroked="false">
            <v:fill type="solid"/>
            <w10:wrap type="topAndBottom"/>
          </v:rect>
        </w:pict>
      </w:r>
    </w:p>
    <w:p>
      <w:pPr>
        <w:spacing w:line="223" w:lineRule="auto" w:before="82"/>
        <w:ind w:left="900" w:right="913" w:firstLine="0"/>
        <w:jc w:val="both"/>
        <w:rPr>
          <w:sz w:val="22"/>
        </w:rPr>
      </w:pPr>
      <w:r>
        <w:rPr>
          <w:rFonts w:ascii="Times New Roman" w:eastAsia="Times New Roman"/>
          <w:spacing w:val="-1"/>
          <w:sz w:val="22"/>
          <w:vertAlign w:val="superscript"/>
        </w:rPr>
        <w:t>67</w:t>
      </w:r>
      <w:r>
        <w:rPr>
          <w:rFonts w:ascii="Times New Roman" w:eastAsia="Times New Roman"/>
          <w:spacing w:val="31"/>
          <w:sz w:val="22"/>
          <w:vertAlign w:val="baseline"/>
        </w:rPr>
        <w:t> </w:t>
      </w:r>
      <w:r>
        <w:rPr>
          <w:spacing w:val="-3"/>
          <w:sz w:val="22"/>
          <w:vertAlign w:val="baseline"/>
        </w:rPr>
        <w:t>德國聯邦行政程序法第 </w:t>
      </w:r>
      <w:r>
        <w:rPr>
          <w:rFonts w:ascii="Times New Roman" w:eastAsia="Times New Roman"/>
          <w:spacing w:val="-1"/>
          <w:sz w:val="22"/>
          <w:vertAlign w:val="baseline"/>
        </w:rPr>
        <w:t>54</w:t>
      </w:r>
      <w:r>
        <w:rPr>
          <w:rFonts w:ascii="Times New Roman" w:eastAsia="Times New Roman"/>
          <w:spacing w:val="-12"/>
          <w:sz w:val="22"/>
          <w:vertAlign w:val="baseline"/>
        </w:rPr>
        <w:t> </w:t>
      </w:r>
      <w:r>
        <w:rPr>
          <w:spacing w:val="-26"/>
          <w:sz w:val="22"/>
          <w:vertAlign w:val="baseline"/>
        </w:rPr>
        <w:t>條規定：「</w:t>
      </w:r>
      <w:r>
        <w:rPr>
          <w:rFonts w:ascii="標楷體" w:eastAsia="標楷體" w:hint="eastAsia"/>
          <w:spacing w:val="-1"/>
          <w:sz w:val="22"/>
          <w:vertAlign w:val="baseline"/>
        </w:rPr>
        <w:t>法律別無反對規定時，得以契約設定、變更或廢</w:t>
      </w:r>
      <w:r>
        <w:rPr>
          <w:rFonts w:ascii="標楷體" w:eastAsia="標楷體" w:hint="eastAsia"/>
          <w:w w:val="95"/>
          <w:sz w:val="22"/>
          <w:vertAlign w:val="baseline"/>
        </w:rPr>
        <w:t>棄公法領域內之法律關係（公法契約</w:t>
      </w:r>
      <w:r>
        <w:rPr>
          <w:rFonts w:ascii="標楷體" w:eastAsia="標楷體" w:hint="eastAsia"/>
          <w:spacing w:val="-108"/>
          <w:w w:val="95"/>
          <w:sz w:val="22"/>
          <w:vertAlign w:val="baseline"/>
        </w:rPr>
        <w:t>）</w:t>
      </w:r>
      <w:r>
        <w:rPr>
          <w:rFonts w:ascii="標楷體" w:eastAsia="標楷體" w:hint="eastAsia"/>
          <w:w w:val="95"/>
          <w:sz w:val="22"/>
          <w:vertAlign w:val="baseline"/>
        </w:rPr>
        <w:t>。行政機關尤其得與通常對之為行政處分者締結</w:t>
      </w:r>
      <w:r>
        <w:rPr>
          <w:rFonts w:ascii="標楷體" w:eastAsia="標楷體" w:hint="eastAsia"/>
          <w:spacing w:val="154"/>
          <w:sz w:val="22"/>
          <w:vertAlign w:val="baseline"/>
        </w:rPr>
        <w:t> </w:t>
      </w:r>
      <w:r>
        <w:rPr>
          <w:rFonts w:ascii="標楷體" w:eastAsia="標楷體" w:hint="eastAsia"/>
          <w:sz w:val="22"/>
          <w:vertAlign w:val="baseline"/>
        </w:rPr>
        <w:t>行政契約，以代替行政處分之作成</w:t>
      </w:r>
      <w:r>
        <w:rPr>
          <w:sz w:val="22"/>
          <w:vertAlign w:val="baseline"/>
        </w:rPr>
        <w:t>。」</w:t>
      </w:r>
    </w:p>
    <w:p>
      <w:pPr>
        <w:spacing w:line="292" w:lineRule="exact" w:before="0"/>
        <w:ind w:left="900" w:right="0" w:firstLine="0"/>
        <w:jc w:val="both"/>
        <w:rPr>
          <w:sz w:val="22"/>
        </w:rPr>
      </w:pPr>
      <w:r>
        <w:rPr>
          <w:rFonts w:ascii="Times New Roman" w:eastAsia="Times New Roman"/>
          <w:sz w:val="22"/>
          <w:vertAlign w:val="superscript"/>
        </w:rPr>
        <w:t>68</w:t>
      </w:r>
      <w:r>
        <w:rPr>
          <w:rFonts w:ascii="Times New Roman" w:eastAsia="Times New Roman"/>
          <w:spacing w:val="52"/>
          <w:sz w:val="22"/>
          <w:vertAlign w:val="baseline"/>
        </w:rPr>
        <w:t> </w:t>
      </w:r>
      <w:r>
        <w:rPr>
          <w:spacing w:val="-16"/>
          <w:sz w:val="22"/>
          <w:vertAlign w:val="baseline"/>
        </w:rPr>
        <w:t>參閱陳敏，《行政法總論》，第六版，</w:t>
      </w:r>
      <w:r>
        <w:rPr>
          <w:rFonts w:ascii="Times New Roman" w:eastAsia="Times New Roman"/>
          <w:sz w:val="22"/>
          <w:vertAlign w:val="baseline"/>
        </w:rPr>
        <w:t>2006</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588-589</w:t>
      </w:r>
      <w:r>
        <w:rPr>
          <w:sz w:val="22"/>
          <w:vertAlign w:val="baseline"/>
        </w:rPr>
        <w:t>。</w:t>
      </w:r>
    </w:p>
    <w:p>
      <w:pPr>
        <w:spacing w:after="0" w:line="292" w:lineRule="exact"/>
        <w:jc w:val="both"/>
        <w:rPr>
          <w:sz w:val="22"/>
        </w:rPr>
        <w:sectPr>
          <w:pgSz w:w="11910" w:h="16840"/>
          <w:pgMar w:header="0" w:footer="938" w:top="1600" w:bottom="1200" w:left="900" w:right="880"/>
        </w:sectPr>
      </w:pPr>
    </w:p>
    <w:p>
      <w:pPr>
        <w:pStyle w:val="BodyText"/>
        <w:spacing w:line="295" w:lineRule="auto" w:before="38"/>
        <w:ind w:left="900" w:right="909"/>
        <w:jc w:val="both"/>
      </w:pPr>
      <w:r>
        <w:rPr>
          <w:spacing w:val="-3"/>
        </w:rPr>
        <w:t>申訴，自非不許公務人員針對該爭議作成某種協議表示。另外，職務調整之行為</w:t>
      </w:r>
      <w:r>
        <w:rPr/>
        <w:t>亦可能影響公務人員之家庭生活，故儘管公務人員針對具體職務並不享有公權</w:t>
      </w:r>
      <w:r>
        <w:rPr>
          <w:spacing w:val="-3"/>
        </w:rPr>
        <w:t>利，就該工作條件或管理措施並無處分之權能，惟在因職務調動之行為而使公務人員家庭生活可能受有嚴重妨害時，國家即可能違反對公務人員之照顧義務，公務人員亦得尋求救濟與解決，換言之，此時公務人員對於服務機關內部管理的工</w:t>
      </w:r>
      <w:r>
        <w:rPr/>
        <w:t>作條件或管理措施即應擁有排除不當處置之權利。</w:t>
      </w:r>
    </w:p>
    <w:p>
      <w:pPr>
        <w:pStyle w:val="BodyText"/>
        <w:spacing w:before="5"/>
      </w:pPr>
    </w:p>
    <w:p>
      <w:pPr>
        <w:pStyle w:val="Heading3"/>
      </w:pPr>
      <w:bookmarkStart w:name="_TOC_250031" w:id="8"/>
      <w:bookmarkEnd w:id="8"/>
      <w:r>
        <w:rPr/>
        <w:t>（二）行政法上和解之性質及其合法性要件</w:t>
      </w:r>
    </w:p>
    <w:p>
      <w:pPr>
        <w:pStyle w:val="BodyText"/>
        <w:rPr>
          <w:rFonts w:ascii="標楷體"/>
          <w:b/>
        </w:rPr>
      </w:pPr>
    </w:p>
    <w:p>
      <w:pPr>
        <w:pStyle w:val="BodyText"/>
        <w:spacing w:before="3"/>
        <w:rPr>
          <w:rFonts w:ascii="標楷體"/>
          <w:b/>
          <w:sz w:val="29"/>
        </w:rPr>
      </w:pPr>
    </w:p>
    <w:p>
      <w:pPr>
        <w:pStyle w:val="ListParagraph"/>
        <w:numPr>
          <w:ilvl w:val="0"/>
          <w:numId w:val="14"/>
        </w:numPr>
        <w:tabs>
          <w:tab w:pos="1221" w:val="left" w:leader="none"/>
        </w:tabs>
        <w:spacing w:line="240" w:lineRule="auto" w:before="0" w:after="0"/>
        <w:ind w:left="1220" w:right="0" w:hanging="322"/>
        <w:jc w:val="left"/>
        <w:rPr>
          <w:rFonts w:ascii="標楷體" w:eastAsia="標楷體" w:hint="eastAsia"/>
          <w:sz w:val="24"/>
        </w:rPr>
      </w:pPr>
      <w:r>
        <w:rPr>
          <w:rFonts w:ascii="標楷體" w:eastAsia="標楷體" w:hint="eastAsia"/>
          <w:spacing w:val="-10"/>
          <w:sz w:val="24"/>
        </w:rPr>
        <w:t>行政程序法第 </w:t>
      </w:r>
      <w:r>
        <w:rPr>
          <w:rFonts w:ascii="Arial" w:eastAsia="Arial"/>
          <w:sz w:val="24"/>
        </w:rPr>
        <w:t>136</w:t>
      </w:r>
      <w:r>
        <w:rPr>
          <w:rFonts w:ascii="Arial" w:eastAsia="Arial"/>
          <w:spacing w:val="-7"/>
          <w:sz w:val="24"/>
        </w:rPr>
        <w:t> </w:t>
      </w:r>
      <w:r>
        <w:rPr>
          <w:rFonts w:ascii="標楷體" w:eastAsia="標楷體" w:hint="eastAsia"/>
          <w:sz w:val="24"/>
        </w:rPr>
        <w:t>條和解契約之性質及其合法性要件</w:t>
      </w:r>
    </w:p>
    <w:p>
      <w:pPr>
        <w:pStyle w:val="BodyText"/>
        <w:spacing w:before="5"/>
        <w:rPr>
          <w:rFonts w:ascii="標楷體"/>
          <w:sz w:val="29"/>
        </w:rPr>
      </w:pPr>
    </w:p>
    <w:p>
      <w:pPr>
        <w:pStyle w:val="BodyText"/>
        <w:spacing w:line="295" w:lineRule="auto" w:before="1"/>
        <w:ind w:left="900" w:right="912" w:firstLine="480"/>
        <w:jc w:val="both"/>
      </w:pPr>
      <w:r>
        <w:rPr/>
        <w:t>行政程序法第 </w:t>
      </w:r>
      <w:r>
        <w:rPr>
          <w:rFonts w:ascii="Times New Roman" w:eastAsia="Times New Roman"/>
        </w:rPr>
        <w:t>136</w:t>
      </w:r>
      <w:r>
        <w:rPr>
          <w:rFonts w:ascii="Times New Roman" w:eastAsia="Times New Roman"/>
          <w:spacing w:val="6"/>
        </w:rPr>
        <w:t> </w:t>
      </w:r>
      <w:r>
        <w:rPr/>
        <w:t>條規定，行政機關對於行政處分所依據之事實或法律關</w:t>
      </w:r>
      <w:r>
        <w:rPr>
          <w:spacing w:val="-3"/>
        </w:rPr>
        <w:t>係，經依職權調查仍不能確定者，為有效達成行政目的，並解決爭執，得與人民和解，締結行政契約，以代替行政處分，換言之，和解契約係用來取代行政處分之行政行為形式。此外，因和解契約亦屬行政契約之一種，因此，學理上認為行政契約所具有之功能，某些功能在和解契約亦有之，以下即介紹和解契約所具有</w:t>
      </w:r>
      <w:r>
        <w:rPr/>
        <w:t>之特性</w:t>
      </w:r>
      <w:r>
        <w:rPr>
          <w:rFonts w:ascii="Times New Roman" w:eastAsia="Times New Roman"/>
          <w:vertAlign w:val="superscript"/>
        </w:rPr>
        <w:t>69</w:t>
      </w:r>
      <w:r>
        <w:rPr>
          <w:vertAlign w:val="baseline"/>
        </w:rPr>
        <w:t>：</w:t>
      </w:r>
    </w:p>
    <w:p>
      <w:pPr>
        <w:pStyle w:val="ListParagraph"/>
        <w:numPr>
          <w:ilvl w:val="0"/>
          <w:numId w:val="15"/>
        </w:numPr>
        <w:tabs>
          <w:tab w:pos="1501" w:val="left" w:leader="none"/>
        </w:tabs>
        <w:spacing w:line="240" w:lineRule="auto" w:before="187" w:after="0"/>
        <w:ind w:left="1501" w:right="0" w:hanging="601"/>
        <w:jc w:val="left"/>
        <w:rPr>
          <w:rFonts w:ascii="Times New Roman" w:eastAsia="Times New Roman"/>
          <w:sz w:val="24"/>
        </w:rPr>
      </w:pPr>
      <w:r>
        <w:rPr>
          <w:rFonts w:ascii="標楷體" w:eastAsia="標楷體" w:hint="eastAsia"/>
          <w:w w:val="95"/>
          <w:sz w:val="24"/>
        </w:rPr>
        <w:t>保護功能</w:t>
      </w:r>
      <w:r>
        <w:rPr>
          <w:rFonts w:ascii="Times New Roman" w:eastAsia="Times New Roman"/>
          <w:w w:val="95"/>
          <w:sz w:val="24"/>
          <w:vertAlign w:val="superscript"/>
        </w:rPr>
        <w:t>70</w:t>
      </w:r>
    </w:p>
    <w:p>
      <w:pPr>
        <w:pStyle w:val="BodyText"/>
        <w:spacing w:line="295" w:lineRule="auto" w:before="258"/>
        <w:ind w:left="900" w:right="917" w:firstLine="480"/>
        <w:jc w:val="both"/>
      </w:pPr>
      <w:r>
        <w:rPr>
          <w:spacing w:val="-3"/>
        </w:rPr>
        <w:t>透過締結契約之方式，可以保護當事人及其他利害關係人之權利及利益。蓋因契約協商之過程較諸作成行政處分之程序，使人民有更多陳述意見而參與最終決定之機會，當人民有更多參與最終決定之空間時，此種決定自然較能考量參與人民之利益，因此，行政契約在程序上提供人民有參與決定的機會，避免行政決</w:t>
      </w:r>
      <w:r>
        <w:rPr/>
        <w:t>定之作成因未經協議，而嚴重損害人民之權益。</w:t>
      </w:r>
    </w:p>
    <w:p>
      <w:pPr>
        <w:pStyle w:val="ListParagraph"/>
        <w:numPr>
          <w:ilvl w:val="0"/>
          <w:numId w:val="15"/>
        </w:numPr>
        <w:tabs>
          <w:tab w:pos="1501" w:val="left" w:leader="none"/>
        </w:tabs>
        <w:spacing w:line="240" w:lineRule="auto" w:before="186" w:after="0"/>
        <w:ind w:left="1501" w:right="0" w:hanging="601"/>
        <w:jc w:val="left"/>
        <w:rPr>
          <w:rFonts w:ascii="Times New Roman" w:eastAsia="Times New Roman"/>
          <w:sz w:val="24"/>
        </w:rPr>
      </w:pPr>
      <w:r>
        <w:rPr>
          <w:rFonts w:ascii="標楷體" w:eastAsia="標楷體" w:hint="eastAsia"/>
          <w:w w:val="95"/>
          <w:sz w:val="24"/>
        </w:rPr>
        <w:t>補充及取代單方高權行為</w:t>
      </w:r>
      <w:r>
        <w:rPr>
          <w:rFonts w:ascii="Times New Roman" w:eastAsia="Times New Roman"/>
          <w:w w:val="95"/>
          <w:sz w:val="24"/>
          <w:vertAlign w:val="superscript"/>
        </w:rPr>
        <w:t>71</w:t>
      </w:r>
    </w:p>
    <w:p>
      <w:pPr>
        <w:pStyle w:val="BodyText"/>
        <w:spacing w:line="295" w:lineRule="auto" w:before="258"/>
        <w:ind w:left="900" w:right="914" w:firstLine="480"/>
        <w:jc w:val="both"/>
      </w:pPr>
      <w:r>
        <w:rPr>
          <w:spacing w:val="-3"/>
        </w:rPr>
        <w:t>透過締結行政契約，可以補充甚至取代傳統單方高權的行政行為</w:t>
      </w:r>
      <w:r>
        <w:rPr>
          <w:spacing w:val="-2"/>
        </w:rPr>
        <w:t>（即行政處</w:t>
      </w:r>
      <w:r>
        <w:rPr>
          <w:spacing w:val="1"/>
        </w:rPr>
        <w:t>分</w:t>
      </w:r>
      <w:r>
        <w:rPr>
          <w:spacing w:val="-119"/>
        </w:rPr>
        <w:t>）</w:t>
      </w:r>
      <w:r>
        <w:rPr/>
        <w:t>，尤其當國家執行法定任務時，若需要人民之協力幫助者，行政契約更可顯</w:t>
      </w:r>
      <w:r>
        <w:rPr>
          <w:spacing w:val="-3"/>
        </w:rPr>
        <w:t>示出其手段之優越性，因為某些情形下，行政機關若堅持使用單方高權行為，不</w:t>
      </w:r>
    </w:p>
    <w:p>
      <w:pPr>
        <w:pStyle w:val="BodyText"/>
        <w:spacing w:before="10"/>
        <w:rPr>
          <w:sz w:val="7"/>
        </w:rPr>
      </w:pPr>
      <w:r>
        <w:rPr/>
        <w:pict>
          <v:rect style="position:absolute;margin-left:90pt;margin-top:7.349052pt;width:144pt;height:.600010pt;mso-position-horizontal-relative:page;mso-position-vertical-relative:paragraph;z-index:-15708160;mso-wrap-distance-left:0;mso-wrap-distance-right:0" filled="true" fillcolor="#000000" stroked="false">
            <v:fill type="solid"/>
            <w10:wrap type="topAndBottom"/>
          </v:rect>
        </w:pict>
      </w:r>
    </w:p>
    <w:p>
      <w:pPr>
        <w:spacing w:line="223" w:lineRule="auto" w:before="82"/>
        <w:ind w:left="899" w:right="914" w:firstLine="0"/>
        <w:jc w:val="left"/>
        <w:rPr>
          <w:sz w:val="22"/>
        </w:rPr>
      </w:pPr>
      <w:r>
        <w:rPr>
          <w:rFonts w:ascii="Times New Roman" w:eastAsia="Times New Roman"/>
          <w:w w:val="100"/>
          <w:sz w:val="22"/>
          <w:vertAlign w:val="superscript"/>
        </w:rPr>
        <w:t>69</w:t>
      </w:r>
      <w:r>
        <w:rPr>
          <w:rFonts w:ascii="Times New Roman" w:eastAsia="Times New Roman"/>
          <w:spacing w:val="4"/>
          <w:sz w:val="22"/>
          <w:vertAlign w:val="baseline"/>
        </w:rPr>
        <w:t>  </w:t>
      </w:r>
      <w:r>
        <w:rPr>
          <w:spacing w:val="-17"/>
          <w:w w:val="99"/>
          <w:sz w:val="22"/>
          <w:vertAlign w:val="baseline"/>
        </w:rPr>
        <w:t>參閱林明鏘，〈行政契約〉，收錄於翁岳生編《行政法》</w:t>
      </w:r>
      <w:r>
        <w:rPr>
          <w:spacing w:val="3"/>
          <w:w w:val="99"/>
          <w:sz w:val="22"/>
          <w:vertAlign w:val="baseline"/>
        </w:rPr>
        <w:t>（</w:t>
      </w:r>
      <w:r>
        <w:rPr>
          <w:spacing w:val="4"/>
          <w:w w:val="99"/>
          <w:sz w:val="22"/>
          <w:vertAlign w:val="baseline"/>
        </w:rPr>
        <w:t>上</w:t>
      </w:r>
      <w:r>
        <w:rPr>
          <w:spacing w:val="-107"/>
          <w:w w:val="99"/>
          <w:sz w:val="22"/>
          <w:vertAlign w:val="baseline"/>
        </w:rPr>
        <w:t>）</w:t>
      </w:r>
      <w:r>
        <w:rPr>
          <w:spacing w:val="3"/>
          <w:w w:val="99"/>
          <w:sz w:val="22"/>
          <w:vertAlign w:val="baseline"/>
        </w:rPr>
        <w:t>，元照出版公司，</w:t>
      </w:r>
      <w:r>
        <w:rPr>
          <w:rFonts w:ascii="Times New Roman" w:eastAsia="Times New Roman"/>
          <w:w w:val="99"/>
          <w:sz w:val="22"/>
          <w:vertAlign w:val="baseline"/>
        </w:rPr>
        <w:t>2</w:t>
      </w:r>
      <w:r>
        <w:rPr>
          <w:rFonts w:ascii="Times New Roman" w:eastAsia="Times New Roman"/>
          <w:spacing w:val="-1"/>
          <w:w w:val="99"/>
          <w:sz w:val="22"/>
          <w:vertAlign w:val="baseline"/>
        </w:rPr>
        <w:t>006</w:t>
      </w:r>
      <w:r>
        <w:rPr>
          <w:spacing w:val="-2"/>
          <w:sz w:val="22"/>
          <w:vertAlign w:val="baseline"/>
        </w:rPr>
        <w:t>年 </w:t>
      </w:r>
      <w:r>
        <w:rPr>
          <w:rFonts w:ascii="Times New Roman" w:eastAsia="Times New Roman"/>
          <w:sz w:val="22"/>
          <w:vertAlign w:val="baseline"/>
        </w:rPr>
        <w:t>10 </w:t>
      </w:r>
      <w:r>
        <w:rPr>
          <w:spacing w:val="-1"/>
          <w:sz w:val="22"/>
          <w:vertAlign w:val="baseline"/>
        </w:rPr>
        <w:t>月，頁 </w:t>
      </w:r>
      <w:r>
        <w:rPr>
          <w:rFonts w:ascii="Times New Roman" w:eastAsia="Times New Roman"/>
          <w:sz w:val="22"/>
          <w:vertAlign w:val="baseline"/>
        </w:rPr>
        <w:t>583-585</w:t>
      </w:r>
      <w:r>
        <w:rPr>
          <w:sz w:val="22"/>
          <w:vertAlign w:val="baseline"/>
        </w:rPr>
        <w:t>。</w:t>
      </w:r>
    </w:p>
    <w:p>
      <w:pPr>
        <w:spacing w:before="104"/>
        <w:ind w:left="900" w:right="0" w:firstLine="0"/>
        <w:jc w:val="left"/>
        <w:rPr>
          <w:sz w:val="22"/>
        </w:rPr>
      </w:pPr>
      <w:r>
        <w:rPr>
          <w:rFonts w:ascii="Times New Roman" w:eastAsia="Times New Roman"/>
          <w:w w:val="100"/>
          <w:sz w:val="22"/>
          <w:vertAlign w:val="superscript"/>
        </w:rPr>
        <w:t>70</w:t>
      </w:r>
      <w:r>
        <w:rPr>
          <w:rFonts w:ascii="Times New Roman" w:eastAsia="Times New Roman"/>
          <w:sz w:val="22"/>
          <w:vertAlign w:val="baseline"/>
        </w:rPr>
        <w:t>  </w:t>
      </w:r>
      <w:r>
        <w:rPr>
          <w:spacing w:val="-19"/>
          <w:w w:val="99"/>
          <w:sz w:val="22"/>
          <w:vertAlign w:val="baseline"/>
        </w:rPr>
        <w:t>參閱林明鏘，〈行政契約〉，收錄於翁岳生編《行政法</w:t>
      </w:r>
      <w:r>
        <w:rPr>
          <w:spacing w:val="-136"/>
          <w:w w:val="99"/>
          <w:sz w:val="22"/>
          <w:vertAlign w:val="baseline"/>
        </w:rPr>
        <w:t>》</w:t>
      </w:r>
      <w:r>
        <w:rPr>
          <w:spacing w:val="1"/>
          <w:w w:val="99"/>
          <w:sz w:val="22"/>
          <w:vertAlign w:val="baseline"/>
        </w:rPr>
        <w:t>（</w:t>
      </w:r>
      <w:r>
        <w:rPr>
          <w:spacing w:val="2"/>
          <w:w w:val="99"/>
          <w:sz w:val="22"/>
          <w:vertAlign w:val="baseline"/>
        </w:rPr>
        <w:t>上</w:t>
      </w:r>
      <w:r>
        <w:rPr>
          <w:spacing w:val="-123"/>
          <w:w w:val="99"/>
          <w:sz w:val="22"/>
          <w:vertAlign w:val="baseline"/>
        </w:rPr>
        <w:t>）</w:t>
      </w:r>
      <w:r>
        <w:rPr>
          <w:spacing w:val="-12"/>
          <w:w w:val="99"/>
          <w:sz w:val="22"/>
          <w:vertAlign w:val="baseline"/>
        </w:rPr>
        <w:t>，</w:t>
      </w:r>
      <w:r>
        <w:rPr>
          <w:rFonts w:ascii="Times New Roman" w:eastAsia="Times New Roman"/>
          <w:spacing w:val="1"/>
          <w:w w:val="99"/>
          <w:sz w:val="22"/>
          <w:vertAlign w:val="baseline"/>
        </w:rPr>
        <w:t>200</w:t>
      </w:r>
      <w:r>
        <w:rPr>
          <w:rFonts w:ascii="Times New Roman" w:eastAsia="Times New Roman"/>
          <w:w w:val="99"/>
          <w:sz w:val="22"/>
          <w:vertAlign w:val="baseline"/>
        </w:rPr>
        <w:t>6</w:t>
      </w:r>
      <w:r>
        <w:rPr>
          <w:rFonts w:ascii="Times New Roman" w:eastAsia="Times New Roman"/>
          <w:spacing w:val="1"/>
          <w:sz w:val="22"/>
          <w:vertAlign w:val="baseline"/>
        </w:rPr>
        <w:t> </w:t>
      </w:r>
      <w:r>
        <w:rPr>
          <w:w w:val="99"/>
          <w:sz w:val="22"/>
          <w:vertAlign w:val="baseline"/>
        </w:rPr>
        <w:t>年</w:t>
      </w:r>
      <w:r>
        <w:rPr>
          <w:spacing w:val="-1"/>
          <w:sz w:val="22"/>
          <w:vertAlign w:val="baseline"/>
        </w:rPr>
        <w:t> </w:t>
      </w:r>
      <w:r>
        <w:rPr>
          <w:rFonts w:ascii="Times New Roman" w:eastAsia="Times New Roman"/>
          <w:w w:val="99"/>
          <w:sz w:val="22"/>
          <w:vertAlign w:val="baseline"/>
        </w:rPr>
        <w:t>10</w:t>
      </w:r>
      <w:r>
        <w:rPr>
          <w:rFonts w:ascii="Times New Roman" w:eastAsia="Times New Roman"/>
          <w:spacing w:val="2"/>
          <w:sz w:val="22"/>
          <w:vertAlign w:val="baseline"/>
        </w:rPr>
        <w:t> </w:t>
      </w:r>
      <w:r>
        <w:rPr>
          <w:spacing w:val="-9"/>
          <w:w w:val="99"/>
          <w:sz w:val="22"/>
          <w:vertAlign w:val="baseline"/>
        </w:rPr>
        <w:t>月，頁</w:t>
      </w:r>
      <w:r>
        <w:rPr>
          <w:spacing w:val="-1"/>
          <w:sz w:val="22"/>
          <w:vertAlign w:val="baseline"/>
        </w:rPr>
        <w:t> </w:t>
      </w:r>
      <w:r>
        <w:rPr>
          <w:rFonts w:ascii="Times New Roman" w:eastAsia="Times New Roman"/>
          <w:spacing w:val="1"/>
          <w:w w:val="99"/>
          <w:sz w:val="22"/>
          <w:vertAlign w:val="baseline"/>
        </w:rPr>
        <w:t>58</w:t>
      </w:r>
      <w:r>
        <w:rPr>
          <w:rFonts w:ascii="Times New Roman" w:eastAsia="Times New Roman"/>
          <w:w w:val="99"/>
          <w:sz w:val="22"/>
          <w:vertAlign w:val="baseline"/>
        </w:rPr>
        <w:t>3</w:t>
      </w:r>
      <w:r>
        <w:rPr>
          <w:w w:val="99"/>
          <w:sz w:val="22"/>
          <w:vertAlign w:val="baseline"/>
        </w:rPr>
        <w:t>。</w:t>
      </w:r>
    </w:p>
    <w:p>
      <w:pPr>
        <w:spacing w:line="223" w:lineRule="auto" w:before="115"/>
        <w:ind w:left="899" w:right="914" w:firstLine="0"/>
        <w:jc w:val="left"/>
        <w:rPr>
          <w:sz w:val="22"/>
        </w:rPr>
      </w:pPr>
      <w:r>
        <w:rPr>
          <w:rFonts w:ascii="Times New Roman" w:eastAsia="Times New Roman"/>
          <w:w w:val="100"/>
          <w:sz w:val="22"/>
          <w:vertAlign w:val="superscript"/>
        </w:rPr>
        <w:t>71</w:t>
      </w:r>
      <w:r>
        <w:rPr>
          <w:rFonts w:ascii="Times New Roman" w:eastAsia="Times New Roman"/>
          <w:spacing w:val="4"/>
          <w:sz w:val="22"/>
          <w:vertAlign w:val="baseline"/>
        </w:rPr>
        <w:t>  </w:t>
      </w:r>
      <w:r>
        <w:rPr>
          <w:spacing w:val="-17"/>
          <w:w w:val="99"/>
          <w:sz w:val="22"/>
          <w:vertAlign w:val="baseline"/>
        </w:rPr>
        <w:t>參閱林明鏘，〈行政契約〉，收錄於翁岳生編《行政法》</w:t>
      </w:r>
      <w:r>
        <w:rPr>
          <w:spacing w:val="3"/>
          <w:w w:val="99"/>
          <w:sz w:val="22"/>
          <w:vertAlign w:val="baseline"/>
        </w:rPr>
        <w:t>（</w:t>
      </w:r>
      <w:r>
        <w:rPr>
          <w:spacing w:val="4"/>
          <w:w w:val="99"/>
          <w:sz w:val="22"/>
          <w:vertAlign w:val="baseline"/>
        </w:rPr>
        <w:t>上</w:t>
      </w:r>
      <w:r>
        <w:rPr>
          <w:spacing w:val="-107"/>
          <w:w w:val="99"/>
          <w:sz w:val="22"/>
          <w:vertAlign w:val="baseline"/>
        </w:rPr>
        <w:t>）</w:t>
      </w:r>
      <w:r>
        <w:rPr>
          <w:spacing w:val="3"/>
          <w:w w:val="99"/>
          <w:sz w:val="22"/>
          <w:vertAlign w:val="baseline"/>
        </w:rPr>
        <w:t>，元照出版公司，</w:t>
      </w:r>
      <w:r>
        <w:rPr>
          <w:rFonts w:ascii="Times New Roman" w:eastAsia="Times New Roman"/>
          <w:w w:val="99"/>
          <w:sz w:val="22"/>
          <w:vertAlign w:val="baseline"/>
        </w:rPr>
        <w:t>2</w:t>
      </w:r>
      <w:r>
        <w:rPr>
          <w:rFonts w:ascii="Times New Roman" w:eastAsia="Times New Roman"/>
          <w:spacing w:val="-1"/>
          <w:w w:val="99"/>
          <w:sz w:val="22"/>
          <w:vertAlign w:val="baseline"/>
        </w:rPr>
        <w:t>006</w:t>
      </w:r>
      <w:r>
        <w:rPr>
          <w:spacing w:val="-2"/>
          <w:sz w:val="22"/>
          <w:vertAlign w:val="baseline"/>
        </w:rPr>
        <w:t>年 </w:t>
      </w:r>
      <w:r>
        <w:rPr>
          <w:rFonts w:ascii="Times New Roman" w:eastAsia="Times New Roman"/>
          <w:sz w:val="22"/>
          <w:vertAlign w:val="baseline"/>
        </w:rPr>
        <w:t>10 </w:t>
      </w:r>
      <w:r>
        <w:rPr>
          <w:spacing w:val="-1"/>
          <w:sz w:val="22"/>
          <w:vertAlign w:val="baseline"/>
        </w:rPr>
        <w:t>月，頁 </w:t>
      </w:r>
      <w:r>
        <w:rPr>
          <w:rFonts w:ascii="Times New Roman" w:eastAsia="Times New Roman"/>
          <w:sz w:val="22"/>
          <w:vertAlign w:val="baseline"/>
        </w:rPr>
        <w:t>583</w:t>
      </w:r>
      <w:r>
        <w:rPr>
          <w:sz w:val="22"/>
          <w:vertAlign w:val="baseline"/>
        </w:rPr>
        <w:t>。</w:t>
      </w:r>
    </w:p>
    <w:p>
      <w:pPr>
        <w:spacing w:after="0" w:line="223" w:lineRule="auto"/>
        <w:jc w:val="left"/>
        <w:rPr>
          <w:sz w:val="22"/>
        </w:rPr>
        <w:sectPr>
          <w:pgSz w:w="11910" w:h="16840"/>
          <w:pgMar w:header="0" w:footer="938" w:top="1440" w:bottom="1200" w:left="900" w:right="880"/>
        </w:sectPr>
      </w:pPr>
    </w:p>
    <w:p>
      <w:pPr>
        <w:pStyle w:val="BodyText"/>
        <w:spacing w:line="295" w:lineRule="auto" w:before="38"/>
        <w:ind w:left="900" w:right="909"/>
        <w:jc w:val="both"/>
      </w:pPr>
      <w:r>
        <w:rPr/>
        <w:t>僅易招致人民消極的不合作，更可能演變為人民的集體抗爭或市民不服從等情</w:t>
      </w:r>
      <w:r>
        <w:rPr>
          <w:spacing w:val="-3"/>
        </w:rPr>
        <w:t>況，使得目標難以達成，因此透過雙方協商、溝通較單方決定更能圓滿達成行政</w:t>
      </w:r>
      <w:r>
        <w:rPr/>
        <w:t>任務。</w:t>
      </w:r>
    </w:p>
    <w:p>
      <w:pPr>
        <w:pStyle w:val="ListParagraph"/>
        <w:numPr>
          <w:ilvl w:val="0"/>
          <w:numId w:val="15"/>
        </w:numPr>
        <w:tabs>
          <w:tab w:pos="1501" w:val="left" w:leader="none"/>
        </w:tabs>
        <w:spacing w:line="240" w:lineRule="auto" w:before="184" w:after="0"/>
        <w:ind w:left="1501" w:right="0" w:hanging="601"/>
        <w:jc w:val="left"/>
        <w:rPr>
          <w:rFonts w:ascii="標楷體" w:eastAsia="標楷體" w:hint="eastAsia"/>
          <w:sz w:val="24"/>
        </w:rPr>
      </w:pPr>
      <w:r>
        <w:rPr>
          <w:rFonts w:ascii="標楷體" w:eastAsia="標楷體" w:hint="eastAsia"/>
          <w:sz w:val="24"/>
        </w:rPr>
        <w:t>解決問題功能</w:t>
      </w:r>
    </w:p>
    <w:p>
      <w:pPr>
        <w:pStyle w:val="BodyText"/>
        <w:spacing w:before="6"/>
        <w:rPr>
          <w:rFonts w:ascii="標楷體"/>
          <w:sz w:val="18"/>
        </w:rPr>
      </w:pPr>
    </w:p>
    <w:p>
      <w:pPr>
        <w:pStyle w:val="BodyText"/>
        <w:spacing w:line="295" w:lineRule="auto"/>
        <w:ind w:left="900" w:right="916" w:firstLine="480"/>
        <w:jc w:val="both"/>
      </w:pPr>
      <w:r>
        <w:rPr>
          <w:spacing w:val="-3"/>
        </w:rPr>
        <w:t>按行政契約內容較行政處分富有彈性，除非其直接牴觸法律之禁止規定或逾越法定界線；否則契約當事人可互相約定條款之內容，透過較大的彈性空間亦較能滿足各種不同利害關係人之不同需要，取得最大之協商空間，進而可以解決複雜之爭議問題。因為行政契約可提供較為多樣之選擇可能性，更突顯出其找出當事人可接受底線之功能，加上約定條款具有法律上之拘束力</w:t>
      </w:r>
      <w:r>
        <w:rPr>
          <w:spacing w:val="-2"/>
        </w:rPr>
        <w:t>（甚至可約定逕受強</w:t>
      </w:r>
      <w:r>
        <w:rPr>
          <w:spacing w:val="1"/>
        </w:rPr>
        <w:t>制執行</w:t>
      </w:r>
      <w:r>
        <w:rPr>
          <w:spacing w:val="-120"/>
        </w:rPr>
        <w:t>）</w:t>
      </w:r>
      <w:r>
        <w:rPr/>
        <w:t>，對平息紛爭、化解當事人歧見，具有相當程度之助益，且透過訴訟外制度解決紛爭，不僅迅速解決當事人之爭執，亦有助於節省司法資源。</w:t>
      </w:r>
    </w:p>
    <w:p>
      <w:pPr>
        <w:pStyle w:val="ListParagraph"/>
        <w:numPr>
          <w:ilvl w:val="0"/>
          <w:numId w:val="15"/>
        </w:numPr>
        <w:tabs>
          <w:tab w:pos="1501" w:val="left" w:leader="none"/>
        </w:tabs>
        <w:spacing w:line="240" w:lineRule="auto" w:before="189" w:after="0"/>
        <w:ind w:left="1501" w:right="0" w:hanging="601"/>
        <w:jc w:val="left"/>
        <w:rPr>
          <w:rFonts w:ascii="Times New Roman" w:eastAsia="Times New Roman"/>
          <w:sz w:val="24"/>
        </w:rPr>
      </w:pPr>
      <w:r>
        <w:rPr>
          <w:rFonts w:ascii="標楷體" w:eastAsia="標楷體" w:hint="eastAsia"/>
          <w:w w:val="95"/>
          <w:sz w:val="24"/>
        </w:rPr>
        <w:t>提昇人民地位功能</w:t>
      </w:r>
      <w:r>
        <w:rPr>
          <w:rFonts w:ascii="Times New Roman" w:eastAsia="Times New Roman"/>
          <w:w w:val="95"/>
          <w:sz w:val="24"/>
          <w:vertAlign w:val="superscript"/>
        </w:rPr>
        <w:t>72</w:t>
      </w:r>
    </w:p>
    <w:p>
      <w:pPr>
        <w:pStyle w:val="BodyText"/>
        <w:spacing w:line="295" w:lineRule="auto" w:before="258"/>
        <w:ind w:left="900" w:right="797" w:firstLine="480"/>
      </w:pPr>
      <w:r>
        <w:rPr>
          <w:spacing w:val="-2"/>
        </w:rPr>
        <w:t>行政契約具有提昇人民地位，使人民成為行政夥伴</w:t>
      </w:r>
      <w:r>
        <w:rPr>
          <w:spacing w:val="-1"/>
        </w:rPr>
        <w:t>（</w:t>
      </w:r>
      <w:r>
        <w:rPr>
          <w:rFonts w:ascii="Times New Roman" w:hAnsi="Times New Roman" w:eastAsia="Times New Roman"/>
          <w:spacing w:val="-1"/>
        </w:rPr>
        <w:t>Partner</w:t>
      </w:r>
      <w:r>
        <w:rPr>
          <w:rFonts w:ascii="Times New Roman" w:hAnsi="Times New Roman" w:eastAsia="Times New Roman"/>
          <w:spacing w:val="-9"/>
        </w:rPr>
        <w:t> </w:t>
      </w:r>
      <w:r>
        <w:rPr>
          <w:rFonts w:ascii="Times New Roman" w:hAnsi="Times New Roman" w:eastAsia="Times New Roman"/>
          <w:spacing w:val="-1"/>
        </w:rPr>
        <w:t>der</w:t>
      </w:r>
      <w:r>
        <w:rPr>
          <w:rFonts w:ascii="Times New Roman" w:hAnsi="Times New Roman" w:eastAsia="Times New Roman"/>
          <w:spacing w:val="-14"/>
        </w:rPr>
        <w:t> </w:t>
      </w:r>
      <w:r>
        <w:rPr>
          <w:rFonts w:ascii="Times New Roman" w:hAnsi="Times New Roman" w:eastAsia="Times New Roman"/>
          <w:spacing w:val="-1"/>
        </w:rPr>
        <w:t>Verwaltung</w:t>
      </w:r>
      <w:r>
        <w:rPr>
          <w:spacing w:val="-1"/>
        </w:rPr>
        <w:t>）</w:t>
      </w:r>
      <w:r>
        <w:rPr>
          <w:spacing w:val="-59"/>
        </w:rPr>
        <w:t> </w:t>
      </w:r>
      <w:r>
        <w:rPr>
          <w:spacing w:val="-1"/>
        </w:rPr>
        <w:t>之功能，蓋因此時人民不再僅是行政統治之客體；相反的，人民藉由參與行政契約之簽訂，尤其是和解契約，更可表徵其為統治主體之地位，其係立於「相對平等」之地位，與另一權利主體</w:t>
      </w:r>
      <w:r>
        <w:rPr/>
        <w:t>（行政機關）就權利義務事項進行協商、談判，對塑造親民的行政形象（</w:t>
      </w:r>
      <w:r>
        <w:rPr>
          <w:rFonts w:ascii="Times New Roman" w:hAnsi="Times New Roman" w:eastAsia="Times New Roman"/>
        </w:rPr>
        <w:t>bürgerfreundlicher</w:t>
      </w:r>
      <w:r>
        <w:rPr>
          <w:rFonts w:ascii="Times New Roman" w:hAnsi="Times New Roman" w:eastAsia="Times New Roman"/>
          <w:spacing w:val="-7"/>
        </w:rPr>
        <w:t> </w:t>
      </w:r>
      <w:r>
        <w:rPr>
          <w:rFonts w:ascii="Times New Roman" w:hAnsi="Times New Roman" w:eastAsia="Times New Roman"/>
        </w:rPr>
        <w:t>Verwaltungsstil</w:t>
      </w:r>
      <w:r>
        <w:rPr/>
        <w:t>）甚有助益。</w:t>
      </w:r>
    </w:p>
    <w:p>
      <w:pPr>
        <w:pStyle w:val="ListParagraph"/>
        <w:numPr>
          <w:ilvl w:val="0"/>
          <w:numId w:val="15"/>
        </w:numPr>
        <w:tabs>
          <w:tab w:pos="1501" w:val="left" w:leader="none"/>
        </w:tabs>
        <w:spacing w:line="240" w:lineRule="auto" w:before="186" w:after="0"/>
        <w:ind w:left="1501" w:right="0" w:hanging="601"/>
        <w:jc w:val="left"/>
        <w:rPr>
          <w:rFonts w:ascii="Times New Roman" w:eastAsia="Times New Roman"/>
          <w:sz w:val="24"/>
        </w:rPr>
      </w:pPr>
      <w:r>
        <w:rPr>
          <w:rFonts w:ascii="標楷體" w:eastAsia="標楷體" w:hint="eastAsia"/>
          <w:w w:val="95"/>
          <w:sz w:val="24"/>
        </w:rPr>
        <w:t>減少行政成本增進行政效率</w:t>
      </w:r>
      <w:r>
        <w:rPr>
          <w:rFonts w:ascii="Times New Roman" w:eastAsia="Times New Roman"/>
          <w:w w:val="95"/>
          <w:sz w:val="24"/>
          <w:vertAlign w:val="superscript"/>
        </w:rPr>
        <w:t>73</w:t>
      </w:r>
    </w:p>
    <w:p>
      <w:pPr>
        <w:pStyle w:val="BodyText"/>
        <w:spacing w:line="295" w:lineRule="auto" w:before="258"/>
        <w:ind w:left="900" w:right="857" w:firstLine="480"/>
        <w:jc w:val="both"/>
      </w:pPr>
      <w:r>
        <w:rPr>
          <w:spacing w:val="-2"/>
        </w:rPr>
        <w:t>依法行政雖屬法治國家之原則，但依法行政畢竟只是達成行政任務之手段，</w:t>
      </w:r>
      <w:r>
        <w:rPr>
          <w:spacing w:val="-60"/>
        </w:rPr>
        <w:t> </w:t>
      </w:r>
      <w:r>
        <w:rPr>
          <w:spacing w:val="-2"/>
        </w:rPr>
        <w:t>從法律經濟分析而論，若要耗費極大的行政成本始能完成行政任務，仍屬違反比</w:t>
      </w:r>
      <w:r>
        <w:rPr>
          <w:spacing w:val="-3"/>
        </w:rPr>
        <w:t>例原則之作法。例如為調查某企業最多可能為新台幣 </w:t>
      </w:r>
      <w:r>
        <w:rPr>
          <w:rFonts w:ascii="Times New Roman" w:eastAsia="Times New Roman"/>
          <w:spacing w:val="-2"/>
        </w:rPr>
        <w:t>5</w:t>
      </w:r>
      <w:r>
        <w:rPr>
          <w:rFonts w:ascii="Times New Roman" w:eastAsia="Times New Roman"/>
          <w:spacing w:val="-11"/>
        </w:rPr>
        <w:t> </w:t>
      </w:r>
      <w:r>
        <w:rPr>
          <w:spacing w:val="-2"/>
        </w:rPr>
        <w:t>萬元之逃漏稅額，但是卻</w:t>
      </w:r>
    </w:p>
    <w:p>
      <w:pPr>
        <w:pStyle w:val="BodyText"/>
        <w:spacing w:before="4"/>
        <w:ind w:left="900"/>
        <w:jc w:val="both"/>
      </w:pPr>
      <w:r>
        <w:rPr>
          <w:spacing w:val="1"/>
        </w:rPr>
        <w:t>要花費稅捐機關 </w:t>
      </w:r>
      <w:r>
        <w:rPr>
          <w:rFonts w:ascii="Times New Roman" w:eastAsia="Times New Roman"/>
        </w:rPr>
        <w:t>10</w:t>
      </w:r>
      <w:r>
        <w:rPr>
          <w:rFonts w:ascii="Times New Roman" w:eastAsia="Times New Roman"/>
          <w:spacing w:val="13"/>
        </w:rPr>
        <w:t> </w:t>
      </w:r>
      <w:r>
        <w:rPr/>
        <w:t>萬元的成本，顯非適當之手段，故此時即可與當事人成立和</w:t>
      </w:r>
    </w:p>
    <w:p>
      <w:pPr>
        <w:pStyle w:val="BodyText"/>
        <w:spacing w:line="295" w:lineRule="auto" w:before="78"/>
        <w:ind w:left="900" w:right="917"/>
        <w:jc w:val="both"/>
      </w:pPr>
      <w:r>
        <w:rPr>
          <w:spacing w:val="-4"/>
        </w:rPr>
        <w:t>解契約，針對基礎事實之認定部分，雙方同意以逃漏稅 </w:t>
      </w:r>
      <w:r>
        <w:rPr>
          <w:rFonts w:ascii="Times New Roman" w:eastAsia="Times New Roman"/>
          <w:spacing w:val="-2"/>
        </w:rPr>
        <w:t>4</w:t>
      </w:r>
      <w:r>
        <w:rPr>
          <w:rFonts w:ascii="Times New Roman" w:eastAsia="Times New Roman"/>
          <w:spacing w:val="-10"/>
        </w:rPr>
        <w:t> </w:t>
      </w:r>
      <w:r>
        <w:rPr>
          <w:spacing w:val="-2"/>
        </w:rPr>
        <w:t>萬元作為基礎事實以進</w:t>
      </w:r>
      <w:r>
        <w:rPr/>
        <w:t>行租稅行政程序，不僅可減少行政成本、增進行政效率。</w:t>
      </w:r>
    </w:p>
    <w:p>
      <w:pPr>
        <w:pStyle w:val="BodyText"/>
        <w:spacing w:before="11"/>
        <w:rPr>
          <w:sz w:val="29"/>
        </w:rPr>
      </w:pPr>
    </w:p>
    <w:p>
      <w:pPr>
        <w:pStyle w:val="BodyText"/>
        <w:ind w:left="1380"/>
      </w:pPr>
      <w:r>
        <w:rPr/>
        <w:t>儘管和解契約有以上諸多優點，惟為避免和解契約反而形成「出賣公權力」</w:t>
      </w:r>
    </w:p>
    <w:p>
      <w:pPr>
        <w:pStyle w:val="BodyText"/>
        <w:spacing w:before="78"/>
        <w:ind w:left="900"/>
      </w:pPr>
      <w:r>
        <w:rPr/>
        <w:t>（</w:t>
      </w:r>
      <w:r>
        <w:rPr>
          <w:rFonts w:ascii="Times New Roman" w:eastAsia="Times New Roman"/>
        </w:rPr>
        <w:t>Ausverkauf</w:t>
      </w:r>
      <w:r>
        <w:rPr>
          <w:rFonts w:ascii="Times New Roman" w:eastAsia="Times New Roman"/>
          <w:spacing w:val="-11"/>
        </w:rPr>
        <w:t> </w:t>
      </w:r>
      <w:r>
        <w:rPr>
          <w:rFonts w:ascii="Times New Roman" w:eastAsia="Times New Roman"/>
        </w:rPr>
        <w:t>von</w:t>
      </w:r>
      <w:r>
        <w:rPr>
          <w:rFonts w:ascii="Times New Roman" w:eastAsia="Times New Roman"/>
          <w:spacing w:val="-10"/>
        </w:rPr>
        <w:t> </w:t>
      </w:r>
      <w:r>
        <w:rPr>
          <w:rFonts w:ascii="Times New Roman" w:eastAsia="Times New Roman"/>
        </w:rPr>
        <w:t>Hoheitsrechten</w:t>
      </w:r>
      <w:r>
        <w:rPr/>
        <w:t>）的一種機制，因此，仍須針對簽訂和解契約之</w:t>
      </w:r>
    </w:p>
    <w:p>
      <w:pPr>
        <w:pStyle w:val="BodyText"/>
        <w:rPr>
          <w:sz w:val="20"/>
        </w:rPr>
      </w:pPr>
    </w:p>
    <w:p>
      <w:pPr>
        <w:pStyle w:val="BodyText"/>
        <w:spacing w:before="9"/>
        <w:rPr>
          <w:sz w:val="14"/>
        </w:rPr>
      </w:pPr>
      <w:r>
        <w:rPr/>
        <w:pict>
          <v:rect style="position:absolute;margin-left:90pt;margin-top:12.226084pt;width:144pt;height:.600010pt;mso-position-horizontal-relative:page;mso-position-vertical-relative:paragraph;z-index:-15707648;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860" w:firstLine="0"/>
        <w:jc w:val="left"/>
        <w:rPr>
          <w:sz w:val="22"/>
        </w:rPr>
      </w:pPr>
      <w:r>
        <w:rPr>
          <w:rFonts w:ascii="Times New Roman" w:eastAsia="Times New Roman"/>
          <w:spacing w:val="-1"/>
          <w:sz w:val="22"/>
          <w:vertAlign w:val="superscript"/>
        </w:rPr>
        <w:t>72</w:t>
      </w:r>
      <w:r>
        <w:rPr>
          <w:rFonts w:ascii="Times New Roman" w:eastAsia="Times New Roman"/>
          <w:spacing w:val="16"/>
          <w:sz w:val="22"/>
          <w:vertAlign w:val="baseline"/>
        </w:rPr>
        <w:t> </w:t>
      </w:r>
      <w:r>
        <w:rPr>
          <w:spacing w:val="-1"/>
          <w:sz w:val="22"/>
          <w:vertAlign w:val="baseline"/>
        </w:rPr>
        <w:t>參閱許宗力</w:t>
      </w:r>
      <w:r>
        <w:rPr>
          <w:spacing w:val="-23"/>
          <w:sz w:val="22"/>
          <w:vertAlign w:val="baseline"/>
        </w:rPr>
        <w:t>，〈行政契約法概要〉，收錄於翁岳生主持《行政程序法之研究》研究計畫，</w:t>
      </w:r>
      <w:r>
        <w:rPr>
          <w:spacing w:val="-54"/>
          <w:sz w:val="22"/>
          <w:vertAlign w:val="baseline"/>
        </w:rPr>
        <w:t> </w:t>
      </w:r>
      <w:r>
        <w:rPr>
          <w:sz w:val="22"/>
          <w:vertAlign w:val="baseline"/>
        </w:rPr>
        <w:t>行政院經建會經社法規研究報告，</w:t>
      </w:r>
      <w:r>
        <w:rPr>
          <w:rFonts w:ascii="Times New Roman" w:eastAsia="Times New Roman"/>
          <w:sz w:val="22"/>
          <w:vertAlign w:val="baseline"/>
        </w:rPr>
        <w:t>1989</w:t>
      </w:r>
      <w:r>
        <w:rPr>
          <w:rFonts w:ascii="Times New Roman" w:eastAsia="Times New Roman"/>
          <w:spacing w:val="-1"/>
          <w:sz w:val="22"/>
          <w:vertAlign w:val="baseline"/>
        </w:rPr>
        <w:t> </w:t>
      </w:r>
      <w:r>
        <w:rPr>
          <w:spacing w:val="-1"/>
          <w:sz w:val="22"/>
          <w:vertAlign w:val="baseline"/>
        </w:rPr>
        <w:t>年，頁 </w:t>
      </w:r>
      <w:r>
        <w:rPr>
          <w:rFonts w:ascii="Times New Roman" w:eastAsia="Times New Roman"/>
          <w:sz w:val="22"/>
          <w:vertAlign w:val="baseline"/>
        </w:rPr>
        <w:t>296 </w:t>
      </w:r>
      <w:r>
        <w:rPr>
          <w:sz w:val="22"/>
          <w:vertAlign w:val="baseline"/>
        </w:rPr>
        <w:t>以下。</w:t>
      </w:r>
    </w:p>
    <w:p>
      <w:pPr>
        <w:spacing w:before="105"/>
        <w:ind w:left="900" w:right="0" w:firstLine="0"/>
        <w:jc w:val="left"/>
        <w:rPr>
          <w:sz w:val="22"/>
        </w:rPr>
      </w:pPr>
      <w:r>
        <w:rPr>
          <w:rFonts w:ascii="Times New Roman" w:eastAsia="Times New Roman"/>
          <w:sz w:val="22"/>
          <w:vertAlign w:val="superscript"/>
        </w:rPr>
        <w:t>73</w:t>
      </w:r>
      <w:r>
        <w:rPr>
          <w:rFonts w:ascii="Times New Roman" w:eastAsia="Times New Roman"/>
          <w:spacing w:val="53"/>
          <w:sz w:val="22"/>
          <w:vertAlign w:val="baseline"/>
        </w:rPr>
        <w:t> </w:t>
      </w:r>
      <w:r>
        <w:rPr>
          <w:spacing w:val="-11"/>
          <w:sz w:val="22"/>
          <w:vertAlign w:val="baseline"/>
        </w:rPr>
        <w:t>參閱李惠宗，《行政法要義》</w:t>
      </w:r>
      <w:r>
        <w:rPr>
          <w:rFonts w:ascii="Times New Roman" w:eastAsia="Times New Roman"/>
          <w:sz w:val="22"/>
          <w:vertAlign w:val="baseline"/>
        </w:rPr>
        <w:t>2010 </w:t>
      </w:r>
      <w:r>
        <w:rPr>
          <w:spacing w:val="-3"/>
          <w:sz w:val="22"/>
          <w:vertAlign w:val="baseline"/>
        </w:rPr>
        <w:t>年 </w:t>
      </w:r>
      <w:r>
        <w:rPr>
          <w:rFonts w:ascii="Times New Roman" w:eastAsia="Times New Roman"/>
          <w:sz w:val="22"/>
          <w:vertAlign w:val="baseline"/>
        </w:rPr>
        <w:t>9 </w:t>
      </w:r>
      <w:r>
        <w:rPr>
          <w:spacing w:val="-1"/>
          <w:sz w:val="22"/>
          <w:vertAlign w:val="baseline"/>
        </w:rPr>
        <w:t>月，元照出版公司，頁 </w:t>
      </w:r>
      <w:r>
        <w:rPr>
          <w:rFonts w:ascii="Times New Roman" w:eastAsia="Times New Roman"/>
          <w:sz w:val="22"/>
          <w:vertAlign w:val="baseline"/>
        </w:rPr>
        <w:t>385</w:t>
      </w:r>
      <w:r>
        <w:rPr>
          <w:sz w:val="22"/>
          <w:vertAlign w:val="baseline"/>
        </w:rPr>
        <w:t>。</w:t>
      </w:r>
    </w:p>
    <w:p>
      <w:pPr>
        <w:spacing w:after="0"/>
        <w:jc w:val="left"/>
        <w:rPr>
          <w:sz w:val="22"/>
        </w:rPr>
        <w:sectPr>
          <w:pgSz w:w="11910" w:h="16840"/>
          <w:pgMar w:header="0" w:footer="938" w:top="1440" w:bottom="1200" w:left="900" w:right="880"/>
        </w:sectPr>
      </w:pPr>
    </w:p>
    <w:p>
      <w:pPr>
        <w:pStyle w:val="BodyText"/>
        <w:spacing w:line="295" w:lineRule="auto" w:before="38"/>
        <w:ind w:left="900" w:right="917"/>
      </w:pPr>
      <w:r>
        <w:rPr>
          <w:spacing w:val="-3"/>
        </w:rPr>
        <w:t>容許性及效力範圍予以規制，亦即並非在締結行政契約時享有不受法令拘束之內</w:t>
      </w:r>
      <w:r>
        <w:rPr/>
        <w:t>容形成自由</w:t>
      </w:r>
      <w:r>
        <w:rPr>
          <w:rFonts w:ascii="Times New Roman" w:eastAsia="Times New Roman"/>
          <w:vertAlign w:val="superscript"/>
        </w:rPr>
        <w:t>74</w:t>
      </w:r>
      <w:r>
        <w:rPr>
          <w:vertAlign w:val="baseline"/>
        </w:rPr>
        <w:t>，以下即針對和解契約之合法性要件加以分析。</w:t>
      </w:r>
    </w:p>
    <w:p>
      <w:pPr>
        <w:pStyle w:val="BodyText"/>
        <w:spacing w:before="11"/>
        <w:rPr>
          <w:sz w:val="29"/>
        </w:rPr>
      </w:pPr>
    </w:p>
    <w:p>
      <w:pPr>
        <w:pStyle w:val="BodyText"/>
        <w:spacing w:line="295" w:lineRule="auto"/>
        <w:ind w:left="899" w:right="857" w:firstLine="480"/>
        <w:jc w:val="both"/>
        <w:rPr>
          <w:rFonts w:ascii="Times New Roman" w:eastAsia="Times New Roman"/>
        </w:rPr>
      </w:pPr>
      <w:r>
        <w:rPr>
          <w:spacing w:val="-4"/>
        </w:rPr>
        <w:t>由行政程序法第 </w:t>
      </w:r>
      <w:r>
        <w:rPr>
          <w:rFonts w:ascii="Times New Roman" w:eastAsia="Times New Roman"/>
          <w:spacing w:val="-2"/>
        </w:rPr>
        <w:t>136</w:t>
      </w:r>
      <w:r>
        <w:rPr>
          <w:rFonts w:ascii="Times New Roman" w:eastAsia="Times New Roman"/>
          <w:spacing w:val="-10"/>
        </w:rPr>
        <w:t> </w:t>
      </w:r>
      <w:r>
        <w:rPr>
          <w:spacing w:val="-2"/>
        </w:rPr>
        <w:t>條之法條文字及規範目的似乎可推導出，行政程序法上之和解契約係行政機關經職權調查，仍無法排除行政處分所依據事實狀態或法律關係之不確定性時，始得依其裁量權，選擇與人民締結行政契約，以代替原本應以行政處分為之的行政行為。惟有論者提出，和解契約如果係在隸屬關係</w:t>
      </w:r>
      <w:r>
        <w:rPr>
          <w:spacing w:val="-1"/>
        </w:rPr>
        <w:t>（例如</w:t>
      </w:r>
      <w:r>
        <w:rPr>
          <w:spacing w:val="-2"/>
        </w:rPr>
        <w:t>公務人員與服務機關間）下締結，則其契約之內容須侷限於排除事實或法律狀態之不明瞭，由雙方互相讓步以解決紛爭所必要之範圍內，換言之，此時之和解契約主要功能係具有促進行政程序經濟化之作用，至於解決紛爭僅係其附帶衍生之</w:t>
      </w:r>
      <w:r>
        <w:rPr>
          <w:spacing w:val="-1"/>
        </w:rPr>
        <w:t>功能，亦即行政機關為了調查不明瞭之事實或法律狀態，一方面可能曠日廢時、</w:t>
      </w:r>
      <w:r>
        <w:rPr>
          <w:spacing w:val="-2"/>
        </w:rPr>
        <w:t>耗費不貲；另一方面逕行以行政處分確定此一不明瞭之狀態時，將因當事人對結果不服而引發漫長之行政訴訟，所以，行政機關與當事人互相讓步，即得節省相當之時間、勞力、費用，而且較易使相對人信服。因此，我國在隸屬關係下所締</w:t>
      </w:r>
      <w:r>
        <w:rPr/>
        <w:t>結之和解契約，其必須符合下列前提要件：</w:t>
      </w:r>
      <w:r>
        <w:rPr>
          <w:rFonts w:ascii="Times New Roman" w:eastAsia="Times New Roman"/>
          <w:vertAlign w:val="superscript"/>
        </w:rPr>
        <w:t>75</w:t>
      </w:r>
    </w:p>
    <w:p>
      <w:pPr>
        <w:pStyle w:val="ListParagraph"/>
        <w:numPr>
          <w:ilvl w:val="0"/>
          <w:numId w:val="16"/>
        </w:numPr>
        <w:tabs>
          <w:tab w:pos="1501" w:val="left" w:leader="none"/>
        </w:tabs>
        <w:spacing w:line="240" w:lineRule="auto" w:before="14" w:after="0"/>
        <w:ind w:left="1501" w:right="0" w:hanging="601"/>
        <w:jc w:val="left"/>
        <w:rPr>
          <w:sz w:val="24"/>
        </w:rPr>
      </w:pPr>
      <w:r>
        <w:rPr>
          <w:sz w:val="24"/>
        </w:rPr>
        <w:t>客觀上存在事實或法律狀態不明確之情況。</w:t>
      </w:r>
    </w:p>
    <w:p>
      <w:pPr>
        <w:pStyle w:val="ListParagraph"/>
        <w:numPr>
          <w:ilvl w:val="0"/>
          <w:numId w:val="16"/>
        </w:numPr>
        <w:tabs>
          <w:tab w:pos="1501" w:val="left" w:leader="none"/>
        </w:tabs>
        <w:spacing w:line="240" w:lineRule="auto" w:before="78" w:after="0"/>
        <w:ind w:left="1501" w:right="0" w:hanging="601"/>
        <w:jc w:val="left"/>
        <w:rPr>
          <w:sz w:val="24"/>
        </w:rPr>
      </w:pPr>
      <w:r>
        <w:rPr>
          <w:sz w:val="24"/>
        </w:rPr>
        <w:t>不明確狀態無法排除或需費甚鉅始能排除。</w:t>
      </w:r>
    </w:p>
    <w:p>
      <w:pPr>
        <w:pStyle w:val="ListParagraph"/>
        <w:numPr>
          <w:ilvl w:val="0"/>
          <w:numId w:val="16"/>
        </w:numPr>
        <w:tabs>
          <w:tab w:pos="1501" w:val="left" w:leader="none"/>
        </w:tabs>
        <w:spacing w:line="240" w:lineRule="auto" w:before="79" w:after="0"/>
        <w:ind w:left="1501" w:right="0" w:hanging="601"/>
        <w:jc w:val="left"/>
        <w:rPr>
          <w:sz w:val="24"/>
        </w:rPr>
      </w:pPr>
      <w:r>
        <w:rPr>
          <w:sz w:val="24"/>
        </w:rPr>
        <w:t>契約之締結須能有效達成行政目的。</w:t>
      </w:r>
    </w:p>
    <w:p>
      <w:pPr>
        <w:pStyle w:val="ListParagraph"/>
        <w:numPr>
          <w:ilvl w:val="0"/>
          <w:numId w:val="16"/>
        </w:numPr>
        <w:tabs>
          <w:tab w:pos="1501" w:val="left" w:leader="none"/>
        </w:tabs>
        <w:spacing w:line="240" w:lineRule="auto" w:before="78" w:after="0"/>
        <w:ind w:left="1501" w:right="0" w:hanging="601"/>
        <w:jc w:val="left"/>
        <w:rPr>
          <w:sz w:val="24"/>
        </w:rPr>
      </w:pPr>
      <w:r>
        <w:rPr>
          <w:sz w:val="24"/>
        </w:rPr>
        <w:t>雙方互相讓步。</w:t>
      </w:r>
    </w:p>
    <w:p>
      <w:pPr>
        <w:pStyle w:val="BodyText"/>
        <w:spacing w:before="6"/>
        <w:rPr>
          <w:sz w:val="29"/>
        </w:rPr>
      </w:pPr>
    </w:p>
    <w:p>
      <w:pPr>
        <w:pStyle w:val="ListParagraph"/>
        <w:numPr>
          <w:ilvl w:val="0"/>
          <w:numId w:val="14"/>
        </w:numPr>
        <w:tabs>
          <w:tab w:pos="1221" w:val="left" w:leader="none"/>
        </w:tabs>
        <w:spacing w:line="240" w:lineRule="auto" w:before="1" w:after="0"/>
        <w:ind w:left="1220" w:right="0" w:hanging="321"/>
        <w:jc w:val="left"/>
        <w:rPr>
          <w:rFonts w:ascii="標楷體" w:eastAsia="標楷體" w:hint="eastAsia"/>
          <w:sz w:val="24"/>
        </w:rPr>
      </w:pPr>
      <w:r>
        <w:rPr>
          <w:rFonts w:ascii="標楷體" w:eastAsia="標楷體" w:hint="eastAsia"/>
          <w:spacing w:val="-9"/>
          <w:sz w:val="24"/>
        </w:rPr>
        <w:t>行政訴訟法上第 </w:t>
      </w:r>
      <w:r>
        <w:rPr>
          <w:rFonts w:ascii="Arial" w:eastAsia="Arial"/>
          <w:sz w:val="24"/>
        </w:rPr>
        <w:t>219</w:t>
      </w:r>
      <w:r>
        <w:rPr>
          <w:rFonts w:ascii="Arial" w:eastAsia="Arial"/>
          <w:spacing w:val="-7"/>
          <w:sz w:val="24"/>
        </w:rPr>
        <w:t> </w:t>
      </w:r>
      <w:r>
        <w:rPr>
          <w:rFonts w:ascii="標楷體" w:eastAsia="標楷體" w:hint="eastAsia"/>
          <w:sz w:val="24"/>
        </w:rPr>
        <w:t>條和解制度之性質及其容許性</w:t>
      </w:r>
    </w:p>
    <w:p>
      <w:pPr>
        <w:pStyle w:val="BodyText"/>
        <w:spacing w:before="5"/>
        <w:rPr>
          <w:rFonts w:ascii="標楷體"/>
          <w:sz w:val="29"/>
        </w:rPr>
      </w:pPr>
    </w:p>
    <w:p>
      <w:pPr>
        <w:pStyle w:val="BodyText"/>
        <w:spacing w:line="295" w:lineRule="auto"/>
        <w:ind w:left="899" w:right="855" w:firstLine="480"/>
        <w:jc w:val="both"/>
      </w:pPr>
      <w:r>
        <w:rPr>
          <w:spacing w:val="-3"/>
        </w:rPr>
        <w:t>行政訴訟法第 </w:t>
      </w:r>
      <w:r>
        <w:rPr>
          <w:rFonts w:ascii="Times New Roman" w:eastAsia="Times New Roman"/>
          <w:spacing w:val="-1"/>
        </w:rPr>
        <w:t>219</w:t>
      </w:r>
      <w:r>
        <w:rPr>
          <w:rFonts w:ascii="Times New Roman" w:eastAsia="Times New Roman"/>
          <w:spacing w:val="-11"/>
        </w:rPr>
        <w:t> </w:t>
      </w:r>
      <w:r>
        <w:rPr>
          <w:spacing w:val="-1"/>
        </w:rPr>
        <w:t>條規定，當事人就訴訟標的具有處分權並不違反公益者，</w:t>
      </w:r>
      <w:r>
        <w:rPr>
          <w:spacing w:val="-60"/>
        </w:rPr>
        <w:t> </w:t>
      </w:r>
      <w:r>
        <w:rPr>
          <w:spacing w:val="-1"/>
        </w:rPr>
        <w:t>得締結訴訟上和解契約，因此，行政訴訟上之和解，係指當事人於訴訟繫屬中，</w:t>
      </w:r>
      <w:r>
        <w:rPr>
          <w:spacing w:val="-60"/>
        </w:rPr>
        <w:t> </w:t>
      </w:r>
      <w:r>
        <w:rPr>
          <w:spacing w:val="-2"/>
        </w:rPr>
        <w:t>在法院面前就系爭行政訴訟之標的，約定互相讓步，以終止爭執，並終結行政訴</w:t>
      </w:r>
      <w:r>
        <w:rPr/>
        <w:t>訟程序之合意行為</w:t>
      </w:r>
      <w:r>
        <w:rPr>
          <w:rFonts w:ascii="Times New Roman" w:eastAsia="Times New Roman"/>
          <w:vertAlign w:val="superscript"/>
        </w:rPr>
        <w:t>76</w:t>
      </w:r>
      <w:r>
        <w:rPr>
          <w:vertAlign w:val="baseline"/>
        </w:rPr>
        <w:t>。此種行政訴訟上和解之行為，依學界通說認為，其兼具有</w:t>
      </w:r>
      <w:r>
        <w:rPr>
          <w:spacing w:val="-2"/>
          <w:vertAlign w:val="baseline"/>
        </w:rPr>
        <w:t>訴訟法上訴訟行為與實體法上契約行為</w:t>
      </w:r>
      <w:r>
        <w:rPr>
          <w:spacing w:val="-1"/>
          <w:vertAlign w:val="baseline"/>
        </w:rPr>
        <w:t>（公法契約）之雙重性質（所謂「兩行為</w:t>
      </w:r>
      <w:r>
        <w:rPr>
          <w:spacing w:val="-30"/>
          <w:vertAlign w:val="baseline"/>
        </w:rPr>
        <w:t>競合說」</w:t>
      </w:r>
      <w:r>
        <w:rPr>
          <w:vertAlign w:val="baseline"/>
        </w:rPr>
        <w:t>）</w:t>
      </w:r>
      <w:r>
        <w:rPr>
          <w:rFonts w:ascii="Times New Roman" w:eastAsia="Times New Roman"/>
          <w:vertAlign w:val="superscript"/>
        </w:rPr>
        <w:t>77</w:t>
      </w:r>
      <w:r>
        <w:rPr>
          <w:vertAlign w:val="baseline"/>
        </w:rPr>
        <w:t>。</w:t>
      </w:r>
    </w:p>
    <w:p>
      <w:pPr>
        <w:pStyle w:val="BodyText"/>
        <w:rPr>
          <w:sz w:val="20"/>
        </w:rPr>
      </w:pPr>
    </w:p>
    <w:p>
      <w:pPr>
        <w:pStyle w:val="BodyText"/>
        <w:spacing w:before="8"/>
      </w:pPr>
      <w:r>
        <w:rPr/>
        <w:pict>
          <v:rect style="position:absolute;margin-left:90pt;margin-top:19.138584pt;width:144pt;height:.600010pt;mso-position-horizontal-relative:page;mso-position-vertical-relative:paragraph;z-index:-15707136;mso-wrap-distance-left:0;mso-wrap-distance-right:0" filled="true" fillcolor="#000000" stroked="false">
            <v:fill type="solid"/>
            <w10:wrap type="topAndBottom"/>
          </v:rect>
        </w:pict>
      </w:r>
    </w:p>
    <w:p>
      <w:pPr>
        <w:spacing w:line="297" w:lineRule="exact" w:before="66"/>
        <w:ind w:left="900" w:right="0" w:firstLine="0"/>
        <w:jc w:val="left"/>
        <w:rPr>
          <w:sz w:val="22"/>
        </w:rPr>
      </w:pPr>
      <w:r>
        <w:rPr>
          <w:rFonts w:ascii="Times New Roman" w:eastAsia="Times New Roman"/>
          <w:sz w:val="22"/>
          <w:vertAlign w:val="superscript"/>
        </w:rPr>
        <w:t>74</w:t>
      </w:r>
      <w:r>
        <w:rPr>
          <w:rFonts w:ascii="Times New Roman" w:eastAsia="Times New Roman"/>
          <w:spacing w:val="53"/>
          <w:sz w:val="22"/>
          <w:vertAlign w:val="baseline"/>
        </w:rPr>
        <w:t> </w:t>
      </w:r>
      <w:r>
        <w:rPr>
          <w:spacing w:val="-16"/>
          <w:sz w:val="22"/>
          <w:vertAlign w:val="baseline"/>
        </w:rPr>
        <w:t>參閱陳敏，《行政法總論》，第六版，</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596</w:t>
      </w:r>
      <w:r>
        <w:rPr>
          <w:sz w:val="22"/>
          <w:vertAlign w:val="baseline"/>
        </w:rPr>
        <w:t>。</w:t>
      </w:r>
    </w:p>
    <w:p>
      <w:pPr>
        <w:spacing w:line="223" w:lineRule="auto" w:before="5"/>
        <w:ind w:left="899" w:right="914" w:firstLine="0"/>
        <w:jc w:val="left"/>
        <w:rPr>
          <w:sz w:val="22"/>
        </w:rPr>
      </w:pPr>
      <w:r>
        <w:rPr>
          <w:rFonts w:ascii="Times New Roman" w:eastAsia="Times New Roman"/>
          <w:w w:val="100"/>
          <w:sz w:val="22"/>
          <w:vertAlign w:val="superscript"/>
        </w:rPr>
        <w:t>75</w:t>
      </w:r>
      <w:r>
        <w:rPr>
          <w:rFonts w:ascii="Times New Roman" w:eastAsia="Times New Roman"/>
          <w:spacing w:val="4"/>
          <w:sz w:val="22"/>
          <w:vertAlign w:val="baseline"/>
        </w:rPr>
        <w:t>  </w:t>
      </w:r>
      <w:r>
        <w:rPr>
          <w:spacing w:val="-17"/>
          <w:w w:val="99"/>
          <w:sz w:val="22"/>
          <w:vertAlign w:val="baseline"/>
        </w:rPr>
        <w:t>參閱許宗力，〈行政處分〉，收錄於翁岳生編《行政法》</w:t>
      </w:r>
      <w:r>
        <w:rPr>
          <w:spacing w:val="3"/>
          <w:w w:val="99"/>
          <w:sz w:val="22"/>
          <w:vertAlign w:val="baseline"/>
        </w:rPr>
        <w:t>（</w:t>
      </w:r>
      <w:r>
        <w:rPr>
          <w:spacing w:val="4"/>
          <w:w w:val="99"/>
          <w:sz w:val="22"/>
          <w:vertAlign w:val="baseline"/>
        </w:rPr>
        <w:t>上</w:t>
      </w:r>
      <w:r>
        <w:rPr>
          <w:spacing w:val="-107"/>
          <w:w w:val="99"/>
          <w:sz w:val="22"/>
          <w:vertAlign w:val="baseline"/>
        </w:rPr>
        <w:t>）</w:t>
      </w:r>
      <w:r>
        <w:rPr>
          <w:spacing w:val="3"/>
          <w:w w:val="99"/>
          <w:sz w:val="22"/>
          <w:vertAlign w:val="baseline"/>
        </w:rPr>
        <w:t>，元照出版公司，</w:t>
      </w:r>
      <w:r>
        <w:rPr>
          <w:rFonts w:ascii="Times New Roman" w:eastAsia="Times New Roman"/>
          <w:w w:val="99"/>
          <w:sz w:val="22"/>
          <w:vertAlign w:val="baseline"/>
        </w:rPr>
        <w:t>2</w:t>
      </w:r>
      <w:r>
        <w:rPr>
          <w:rFonts w:ascii="Times New Roman" w:eastAsia="Times New Roman"/>
          <w:spacing w:val="-1"/>
          <w:w w:val="99"/>
          <w:sz w:val="22"/>
          <w:vertAlign w:val="baseline"/>
        </w:rPr>
        <w:t>006</w:t>
      </w:r>
      <w:r>
        <w:rPr>
          <w:spacing w:val="-2"/>
          <w:sz w:val="22"/>
          <w:vertAlign w:val="baseline"/>
        </w:rPr>
        <w:t>年 </w:t>
      </w:r>
      <w:r>
        <w:rPr>
          <w:rFonts w:ascii="Times New Roman" w:eastAsia="Times New Roman"/>
          <w:sz w:val="22"/>
          <w:vertAlign w:val="baseline"/>
        </w:rPr>
        <w:t>10 </w:t>
      </w:r>
      <w:r>
        <w:rPr>
          <w:spacing w:val="-1"/>
          <w:sz w:val="22"/>
          <w:vertAlign w:val="baseline"/>
        </w:rPr>
        <w:t>月，頁 </w:t>
      </w:r>
      <w:r>
        <w:rPr>
          <w:rFonts w:ascii="Times New Roman" w:eastAsia="Times New Roman"/>
          <w:sz w:val="22"/>
          <w:vertAlign w:val="baseline"/>
        </w:rPr>
        <w:t>567</w:t>
      </w:r>
      <w:r>
        <w:rPr>
          <w:sz w:val="22"/>
          <w:vertAlign w:val="baseline"/>
        </w:rPr>
        <w:t>。</w:t>
      </w:r>
    </w:p>
    <w:p>
      <w:pPr>
        <w:spacing w:line="282" w:lineRule="exact" w:before="0"/>
        <w:ind w:left="900" w:right="0" w:firstLine="0"/>
        <w:jc w:val="left"/>
        <w:rPr>
          <w:sz w:val="22"/>
        </w:rPr>
      </w:pPr>
      <w:r>
        <w:rPr>
          <w:rFonts w:ascii="Times New Roman" w:eastAsia="Times New Roman"/>
          <w:sz w:val="22"/>
          <w:vertAlign w:val="superscript"/>
        </w:rPr>
        <w:t>76</w:t>
      </w:r>
      <w:r>
        <w:rPr>
          <w:rFonts w:ascii="Times New Roman" w:eastAsia="Times New Roman"/>
          <w:spacing w:val="53"/>
          <w:sz w:val="22"/>
          <w:vertAlign w:val="baseline"/>
        </w:rPr>
        <w:t> </w:t>
      </w:r>
      <w:r>
        <w:rPr>
          <w:spacing w:val="-17"/>
          <w:sz w:val="22"/>
          <w:vertAlign w:val="baseline"/>
        </w:rPr>
        <w:t>參閱翁岳生主編，《行政訴訟法逐條釋義》，</w:t>
      </w:r>
      <w:r>
        <w:rPr>
          <w:rFonts w:ascii="Times New Roman" w:eastAsia="Times New Roman"/>
          <w:sz w:val="22"/>
          <w:vertAlign w:val="baseline"/>
        </w:rPr>
        <w:t>2002</w:t>
      </w:r>
      <w:r>
        <w:rPr>
          <w:rFonts w:ascii="Times New Roman" w:eastAsia="Times New Roman"/>
          <w:spacing w:val="-1"/>
          <w:sz w:val="22"/>
          <w:vertAlign w:val="baseline"/>
        </w:rPr>
        <w:t> </w:t>
      </w:r>
      <w:r>
        <w:rPr>
          <w:spacing w:val="-1"/>
          <w:sz w:val="22"/>
          <w:vertAlign w:val="baseline"/>
        </w:rPr>
        <w:t>年，五南出版公司，頁 </w:t>
      </w:r>
      <w:r>
        <w:rPr>
          <w:rFonts w:ascii="Times New Roman" w:eastAsia="Times New Roman"/>
          <w:sz w:val="22"/>
          <w:vertAlign w:val="baseline"/>
        </w:rPr>
        <w:t>597</w:t>
      </w:r>
      <w:r>
        <w:rPr>
          <w:sz w:val="22"/>
          <w:vertAlign w:val="baseline"/>
        </w:rPr>
        <w:t>。</w:t>
      </w:r>
    </w:p>
    <w:p>
      <w:pPr>
        <w:spacing w:line="286" w:lineRule="exact" w:before="0"/>
        <w:ind w:left="900" w:right="0" w:firstLine="0"/>
        <w:jc w:val="left"/>
        <w:rPr>
          <w:sz w:val="22"/>
        </w:rPr>
      </w:pPr>
      <w:r>
        <w:rPr>
          <w:rFonts w:ascii="Times New Roman" w:eastAsia="Times New Roman"/>
          <w:sz w:val="22"/>
          <w:vertAlign w:val="superscript"/>
        </w:rPr>
        <w:t>77</w:t>
      </w:r>
      <w:r>
        <w:rPr>
          <w:rFonts w:ascii="Times New Roman" w:eastAsia="Times New Roman"/>
          <w:spacing w:val="52"/>
          <w:sz w:val="22"/>
          <w:vertAlign w:val="baseline"/>
        </w:rPr>
        <w:t> </w:t>
      </w:r>
      <w:r>
        <w:rPr>
          <w:spacing w:val="-4"/>
          <w:sz w:val="22"/>
          <w:vertAlign w:val="baseline"/>
        </w:rPr>
        <w:t>參閱翁岳生主編</w:t>
      </w:r>
      <w:r>
        <w:rPr>
          <w:spacing w:val="-15"/>
          <w:sz w:val="22"/>
          <w:vertAlign w:val="baseline"/>
        </w:rPr>
        <w:t>，《行政訴訟法逐條釋義</w:t>
      </w:r>
      <w:r>
        <w:rPr>
          <w:spacing w:val="-71"/>
          <w:sz w:val="22"/>
          <w:vertAlign w:val="baseline"/>
        </w:rPr>
        <w:t>》，</w:t>
      </w:r>
      <w:r>
        <w:rPr>
          <w:rFonts w:ascii="Times New Roman" w:eastAsia="Times New Roman"/>
          <w:spacing w:val="-6"/>
          <w:sz w:val="22"/>
          <w:vertAlign w:val="baseline"/>
        </w:rPr>
        <w:t>2002</w:t>
      </w:r>
      <w:r>
        <w:rPr>
          <w:rFonts w:ascii="Times New Roman" w:eastAsia="Times New Roman"/>
          <w:spacing w:val="-1"/>
          <w:sz w:val="22"/>
          <w:vertAlign w:val="baseline"/>
        </w:rPr>
        <w:t> </w:t>
      </w:r>
      <w:r>
        <w:rPr>
          <w:spacing w:val="-13"/>
          <w:sz w:val="22"/>
          <w:vertAlign w:val="baseline"/>
        </w:rPr>
        <w:t>年，五南出版公司，頁 </w:t>
      </w:r>
      <w:r>
        <w:rPr>
          <w:rFonts w:ascii="Times New Roman" w:eastAsia="Times New Roman"/>
          <w:spacing w:val="-13"/>
          <w:sz w:val="22"/>
          <w:vertAlign w:val="baseline"/>
        </w:rPr>
        <w:t>597</w:t>
      </w:r>
      <w:r>
        <w:rPr>
          <w:spacing w:val="-3"/>
          <w:sz w:val="22"/>
          <w:vertAlign w:val="baseline"/>
        </w:rPr>
        <w:t>；蔡志方，</w:t>
      </w:r>
    </w:p>
    <w:p>
      <w:pPr>
        <w:spacing w:line="297" w:lineRule="exact" w:before="0"/>
        <w:ind w:left="899" w:right="0" w:firstLine="0"/>
        <w:jc w:val="left"/>
        <w:rPr>
          <w:sz w:val="22"/>
        </w:rPr>
      </w:pPr>
      <w:r>
        <w:rPr>
          <w:spacing w:val="-12"/>
          <w:sz w:val="22"/>
        </w:rPr>
        <w:t>《行政救濟法新論》，</w:t>
      </w:r>
      <w:r>
        <w:rPr>
          <w:rFonts w:ascii="Times New Roman" w:eastAsia="Times New Roman"/>
          <w:sz w:val="22"/>
        </w:rPr>
        <w:t>2007</w:t>
      </w:r>
      <w:r>
        <w:rPr>
          <w:rFonts w:ascii="Times New Roman" w:eastAsia="Times New Roman"/>
          <w:spacing w:val="-4"/>
          <w:sz w:val="22"/>
        </w:rPr>
        <w:t> </w:t>
      </w:r>
      <w:r>
        <w:rPr>
          <w:spacing w:val="-3"/>
          <w:sz w:val="22"/>
        </w:rPr>
        <w:t>年 </w:t>
      </w:r>
      <w:r>
        <w:rPr>
          <w:rFonts w:ascii="Times New Roman" w:eastAsia="Times New Roman"/>
          <w:sz w:val="22"/>
        </w:rPr>
        <w:t>11</w:t>
      </w:r>
      <w:r>
        <w:rPr>
          <w:rFonts w:ascii="Times New Roman" w:eastAsia="Times New Roman"/>
          <w:spacing w:val="-4"/>
          <w:sz w:val="22"/>
        </w:rPr>
        <w:t> </w:t>
      </w:r>
      <w:r>
        <w:rPr>
          <w:spacing w:val="-1"/>
          <w:sz w:val="22"/>
        </w:rPr>
        <w:t>月，元照出版公司，頁 </w:t>
      </w:r>
      <w:r>
        <w:rPr>
          <w:rFonts w:ascii="Times New Roman" w:eastAsia="Times New Roman"/>
          <w:sz w:val="22"/>
        </w:rPr>
        <w:t>339</w:t>
      </w:r>
      <w:r>
        <w:rPr>
          <w:sz w:val="22"/>
        </w:rPr>
        <w:t>。</w:t>
      </w:r>
    </w:p>
    <w:p>
      <w:pPr>
        <w:spacing w:after="0" w:line="297" w:lineRule="exact"/>
        <w:jc w:val="left"/>
        <w:rPr>
          <w:sz w:val="22"/>
        </w:rPr>
        <w:sectPr>
          <w:pgSz w:w="11910" w:h="16840"/>
          <w:pgMar w:header="0" w:footer="938" w:top="1440" w:bottom="1200" w:left="900" w:right="880"/>
        </w:sectPr>
      </w:pPr>
    </w:p>
    <w:p>
      <w:pPr>
        <w:pStyle w:val="BodyText"/>
        <w:spacing w:line="295" w:lineRule="auto" w:before="58"/>
        <w:ind w:left="900" w:right="917" w:firstLine="480"/>
        <w:jc w:val="both"/>
      </w:pPr>
      <w:r>
        <w:rPr>
          <w:spacing w:val="-4"/>
        </w:rPr>
        <w:t>就行政訴訟上和解之標的，依行政訴訟法第 </w:t>
      </w:r>
      <w:r>
        <w:rPr>
          <w:rFonts w:ascii="Times New Roman" w:eastAsia="Times New Roman"/>
          <w:spacing w:val="-3"/>
        </w:rPr>
        <w:t>219</w:t>
      </w:r>
      <w:r>
        <w:rPr>
          <w:rFonts w:ascii="Times New Roman" w:eastAsia="Times New Roman"/>
          <w:spacing w:val="-10"/>
        </w:rPr>
        <w:t> </w:t>
      </w:r>
      <w:r>
        <w:rPr>
          <w:spacing w:val="-2"/>
        </w:rPr>
        <w:t>條規定，當事人就訴訟標的</w:t>
      </w:r>
      <w:r>
        <w:rPr>
          <w:spacing w:val="-3"/>
        </w:rPr>
        <w:t>具有處分權並不違反公益者，得隨時試行和解，單從法條文義解釋，看似無論提</w:t>
      </w:r>
      <w:r>
        <w:rPr>
          <w:spacing w:val="-2"/>
        </w:rPr>
        <w:t>起撤銷訴訟（</w:t>
      </w:r>
      <w:r>
        <w:rPr>
          <w:spacing w:val="-4"/>
        </w:rPr>
        <w:t>行政訴訟法第 </w:t>
      </w:r>
      <w:r>
        <w:rPr>
          <w:rFonts w:ascii="Times New Roman" w:eastAsia="Times New Roman"/>
          <w:spacing w:val="-1"/>
        </w:rPr>
        <w:t>4</w:t>
      </w:r>
      <w:r>
        <w:rPr>
          <w:rFonts w:ascii="Times New Roman" w:eastAsia="Times New Roman"/>
          <w:spacing w:val="-12"/>
        </w:rPr>
        <w:t> </w:t>
      </w:r>
      <w:r>
        <w:rPr>
          <w:spacing w:val="-1"/>
        </w:rPr>
        <w:t>條</w:t>
      </w:r>
      <w:r>
        <w:rPr>
          <w:spacing w:val="-132"/>
        </w:rPr>
        <w:t>）</w:t>
      </w:r>
      <w:r>
        <w:rPr>
          <w:spacing w:val="-1"/>
        </w:rPr>
        <w:t>、課與義務訴訟（</w:t>
      </w:r>
      <w:r>
        <w:rPr>
          <w:spacing w:val="-3"/>
        </w:rPr>
        <w:t>行政訴訟法第 </w:t>
      </w:r>
      <w:r>
        <w:rPr>
          <w:rFonts w:ascii="Times New Roman" w:eastAsia="Times New Roman"/>
          <w:spacing w:val="-1"/>
        </w:rPr>
        <w:t>5</w:t>
      </w:r>
      <w:r>
        <w:rPr>
          <w:rFonts w:ascii="Times New Roman" w:eastAsia="Times New Roman"/>
          <w:spacing w:val="-12"/>
        </w:rPr>
        <w:t> </w:t>
      </w:r>
      <w:r>
        <w:rPr>
          <w:spacing w:val="-1"/>
        </w:rPr>
        <w:t>條</w:t>
      </w:r>
      <w:r>
        <w:rPr>
          <w:spacing w:val="-132"/>
        </w:rPr>
        <w:t>）</w:t>
      </w:r>
      <w:r>
        <w:rPr>
          <w:spacing w:val="-1"/>
        </w:rPr>
        <w:t>、確認訴</w:t>
      </w:r>
    </w:p>
    <w:p>
      <w:pPr>
        <w:pStyle w:val="BodyText"/>
        <w:spacing w:line="295" w:lineRule="auto" w:before="4"/>
        <w:ind w:left="900" w:right="857"/>
        <w:jc w:val="both"/>
      </w:pPr>
      <w:r>
        <w:rPr>
          <w:spacing w:val="-44"/>
        </w:rPr>
        <w:t>訟</w:t>
      </w:r>
      <w:r>
        <w:rPr/>
        <w:t>（</w:t>
      </w:r>
      <w:r>
        <w:rPr>
          <w:spacing w:val="-1"/>
        </w:rPr>
        <w:t>行政訴訟法第 </w:t>
      </w:r>
      <w:r>
        <w:rPr>
          <w:rFonts w:ascii="Times New Roman" w:eastAsia="Times New Roman"/>
        </w:rPr>
        <w:t>6 </w:t>
      </w:r>
      <w:r>
        <w:rPr/>
        <w:t>條</w:t>
      </w:r>
      <w:r>
        <w:rPr>
          <w:spacing w:val="-44"/>
        </w:rPr>
        <w:t>）</w:t>
      </w:r>
      <w:r>
        <w:rPr>
          <w:spacing w:val="-7"/>
        </w:rPr>
        <w:t>或一般給付訴訟</w:t>
      </w:r>
      <w:r>
        <w:rPr/>
        <w:t>（</w:t>
      </w:r>
      <w:r>
        <w:rPr>
          <w:spacing w:val="-1"/>
        </w:rPr>
        <w:t>行政訴訟法第 </w:t>
      </w:r>
      <w:r>
        <w:rPr>
          <w:rFonts w:ascii="Times New Roman" w:eastAsia="Times New Roman"/>
        </w:rPr>
        <w:t>8</w:t>
      </w:r>
      <w:r>
        <w:rPr>
          <w:rFonts w:ascii="Times New Roman" w:eastAsia="Times New Roman"/>
          <w:spacing w:val="1"/>
        </w:rPr>
        <w:t> </w:t>
      </w:r>
      <w:r>
        <w:rPr>
          <w:spacing w:val="1"/>
        </w:rPr>
        <w:t>條</w:t>
      </w:r>
      <w:r>
        <w:rPr>
          <w:spacing w:val="-141"/>
        </w:rPr>
        <w:t>）</w:t>
      </w:r>
      <w:r>
        <w:rPr>
          <w:spacing w:val="-4"/>
        </w:rPr>
        <w:t>，均得試行和解；</w:t>
      </w:r>
      <w:r>
        <w:rPr>
          <w:spacing w:val="-2"/>
        </w:rPr>
        <w:t>惟學理上有論者認為，針對撤銷訴訟若允許訴訟上和解，則被告機關就程序標的</w:t>
      </w:r>
    </w:p>
    <w:p>
      <w:pPr>
        <w:pStyle w:val="BodyText"/>
        <w:spacing w:line="295" w:lineRule="auto" w:before="2"/>
        <w:ind w:left="900" w:right="917"/>
        <w:jc w:val="both"/>
      </w:pPr>
      <w:r>
        <w:rPr>
          <w:spacing w:val="-2"/>
        </w:rPr>
        <w:t>（</w:t>
      </w:r>
      <w:r>
        <w:rPr>
          <w:rFonts w:ascii="Times New Roman" w:eastAsia="Times New Roman"/>
          <w:spacing w:val="-2"/>
        </w:rPr>
        <w:t>Verfahrensgegenstand</w:t>
      </w:r>
      <w:r>
        <w:rPr>
          <w:spacing w:val="-2"/>
        </w:rPr>
        <w:t>）之行政處分，因和解而為撤銷或變更，似有牴觸「依法</w:t>
      </w:r>
      <w:r>
        <w:rPr>
          <w:spacing w:val="-3"/>
        </w:rPr>
        <w:t>行政原則」之嫌，且與行政處分係單方公權力行為之本質相矛盾。縱使於裁量處分之情況，行政機關行使裁量權仍應有其界限，不得任意讓步。因此，其對撤銷</w:t>
      </w:r>
      <w:r>
        <w:rPr/>
        <w:t>訴訟中和解之容許性，持否定看法</w:t>
      </w:r>
      <w:r>
        <w:rPr>
          <w:rFonts w:ascii="Times New Roman" w:eastAsia="Times New Roman"/>
          <w:vertAlign w:val="superscript"/>
        </w:rPr>
        <w:t>78</w:t>
      </w:r>
      <w:r>
        <w:rPr>
          <w:vertAlign w:val="baseline"/>
        </w:rPr>
        <w:t>。</w:t>
      </w:r>
    </w:p>
    <w:p>
      <w:pPr>
        <w:pStyle w:val="BodyText"/>
        <w:spacing w:before="13"/>
        <w:rPr>
          <w:sz w:val="29"/>
        </w:rPr>
      </w:pPr>
    </w:p>
    <w:p>
      <w:pPr>
        <w:pStyle w:val="BodyText"/>
        <w:spacing w:line="295" w:lineRule="auto"/>
        <w:ind w:left="900" w:right="796" w:firstLine="480"/>
      </w:pPr>
      <w:r>
        <w:rPr>
          <w:spacing w:val="-1"/>
        </w:rPr>
        <w:t>惟另有學者認為，針對行政訴訟上和解標的之範圍，其焦點在於當事人對該和解標的之內容或條件，是否具有處分權，以及就此內容或條件所為之合意</w:t>
      </w:r>
      <w:r>
        <w:rPr/>
        <w:t>（和</w:t>
      </w:r>
      <w:r>
        <w:rPr>
          <w:spacing w:val="-1"/>
        </w:rPr>
        <w:t>解）是否與公益相違。蓋行政基於積極、主動之特性，以追求公益為目的，而行</w:t>
      </w:r>
      <w:r>
        <w:rPr/>
        <w:t>政訴訟與民事訴訟之目的並非完全相同，其乃在藉由司法救濟，以保障人民權</w:t>
      </w:r>
      <w:r>
        <w:rPr>
          <w:spacing w:val="1"/>
        </w:rPr>
        <w:t> </w:t>
      </w:r>
      <w:r>
        <w:rPr/>
        <w:t>利，並確保行政權之合法行使</w:t>
      </w:r>
      <w:r>
        <w:rPr>
          <w:rFonts w:ascii="Times New Roman" w:eastAsia="Times New Roman"/>
          <w:vertAlign w:val="superscript"/>
        </w:rPr>
        <w:t>79</w:t>
      </w:r>
      <w:r>
        <w:rPr>
          <w:vertAlign w:val="baseline"/>
        </w:rPr>
        <w:t>。因此，行政訴訟上之和解，其標的不應侷限於劃定審判範圍之訴訟標的，換言之，無論採「權利主張說</w:t>
      </w:r>
      <w:r>
        <w:rPr>
          <w:spacing w:val="-26"/>
          <w:vertAlign w:val="baseline"/>
        </w:rPr>
        <w:t>」、「違法性說」或「裁</w:t>
      </w:r>
      <w:r>
        <w:rPr>
          <w:spacing w:val="-16"/>
          <w:vertAlign w:val="baseline"/>
        </w:rPr>
        <w:t>判請求說」以及其他各說，只要有助於行政目的之達成、公益之維護</w:t>
      </w:r>
      <w:r>
        <w:rPr>
          <w:vertAlign w:val="baseline"/>
        </w:rPr>
        <w:t>（依法行政</w:t>
      </w:r>
      <w:r>
        <w:rPr>
          <w:spacing w:val="-14"/>
          <w:vertAlign w:val="baseline"/>
        </w:rPr>
        <w:t>）</w:t>
      </w:r>
      <w:r>
        <w:rPr>
          <w:spacing w:val="-60"/>
          <w:vertAlign w:val="baseline"/>
        </w:rPr>
        <w:t> </w:t>
      </w:r>
      <w:r>
        <w:rPr>
          <w:vertAlign w:val="baseline"/>
        </w:rPr>
        <w:t>及人民權利之保護，同時增進司法功能，即應承認其具備締結和解契約之容許</w:t>
      </w:r>
      <w:r>
        <w:rPr>
          <w:spacing w:val="1"/>
          <w:vertAlign w:val="baseline"/>
        </w:rPr>
        <w:t> </w:t>
      </w:r>
      <w:r>
        <w:rPr>
          <w:spacing w:val="-1"/>
          <w:vertAlign w:val="baseline"/>
        </w:rPr>
        <w:t>性，此外，行政法院試行和解及當事人合意互相讓步之範圍</w:t>
      </w:r>
      <w:r>
        <w:rPr>
          <w:vertAlign w:val="baseline"/>
        </w:rPr>
        <w:t>（和解標的）應予從寬認定</w:t>
      </w:r>
      <w:r>
        <w:rPr>
          <w:rFonts w:ascii="Times New Roman" w:eastAsia="Times New Roman"/>
          <w:vertAlign w:val="superscript"/>
        </w:rPr>
        <w:t>80</w:t>
      </w:r>
      <w:r>
        <w:rPr>
          <w:vertAlign w:val="baseline"/>
        </w:rPr>
        <w:t>。</w:t>
      </w:r>
    </w:p>
    <w:p>
      <w:pPr>
        <w:pStyle w:val="BodyText"/>
        <w:spacing w:before="6"/>
        <w:rPr>
          <w:sz w:val="30"/>
        </w:rPr>
      </w:pPr>
    </w:p>
    <w:p>
      <w:pPr>
        <w:pStyle w:val="BodyText"/>
        <w:ind w:right="917"/>
        <w:jc w:val="right"/>
      </w:pPr>
      <w:r>
        <w:rPr>
          <w:spacing w:val="-3"/>
        </w:rPr>
        <w:t>雖然當事人在行政訴訟上和解之範圍得以從寬認定，其畢竟與行政程序法第</w:t>
      </w:r>
    </w:p>
    <w:p>
      <w:pPr>
        <w:pStyle w:val="BodyText"/>
        <w:spacing w:before="79"/>
        <w:ind w:right="917"/>
        <w:jc w:val="right"/>
      </w:pPr>
      <w:r>
        <w:rPr>
          <w:rFonts w:ascii="Times New Roman" w:eastAsia="Times New Roman"/>
          <w:spacing w:val="-1"/>
        </w:rPr>
        <w:t>136</w:t>
      </w:r>
      <w:r>
        <w:rPr>
          <w:rFonts w:ascii="Times New Roman" w:eastAsia="Times New Roman"/>
          <w:spacing w:val="-14"/>
        </w:rPr>
        <w:t> </w:t>
      </w:r>
      <w:r>
        <w:rPr>
          <w:spacing w:val="-1"/>
        </w:rPr>
        <w:t>條之和解契約一樣，係以公法上之法律關係為和解契約之內容，故亦應如同</w:t>
      </w:r>
    </w:p>
    <w:p>
      <w:pPr>
        <w:pStyle w:val="BodyText"/>
        <w:spacing w:line="295" w:lineRule="auto" w:before="78"/>
        <w:ind w:left="900" w:right="857"/>
        <w:jc w:val="both"/>
      </w:pPr>
      <w:r>
        <w:rPr>
          <w:spacing w:val="-4"/>
        </w:rPr>
        <w:t>行政程序法第 </w:t>
      </w:r>
      <w:r>
        <w:rPr>
          <w:rFonts w:ascii="Times New Roman" w:eastAsia="Times New Roman"/>
          <w:spacing w:val="-2"/>
        </w:rPr>
        <w:t>136</w:t>
      </w:r>
      <w:r>
        <w:rPr>
          <w:rFonts w:ascii="Times New Roman" w:eastAsia="Times New Roman"/>
          <w:spacing w:val="-11"/>
        </w:rPr>
        <w:t> </w:t>
      </w:r>
      <w:r>
        <w:rPr>
          <w:spacing w:val="-2"/>
        </w:rPr>
        <w:t>條之和解契約一般，必須當事人對該公法上法律關係具有處分</w:t>
      </w:r>
      <w:r>
        <w:rPr>
          <w:spacing w:val="-18"/>
        </w:rPr>
        <w:t>權，始得為之。所謂有處分權，係指當事人對於和解之內容，依法得以合意為之，</w:t>
      </w:r>
      <w:r>
        <w:rPr>
          <w:spacing w:val="-60"/>
        </w:rPr>
        <w:t> </w:t>
      </w:r>
      <w:r>
        <w:rPr/>
        <w:t>惟此仍須就個別情形，依所涉及之成文或不成文法規範之性質、內容或目的判</w:t>
      </w:r>
      <w:r>
        <w:rPr>
          <w:spacing w:val="-2"/>
        </w:rPr>
        <w:t>斷。一般而言，若涉及強行法規之適用，除為除去適用法規所生事實或法律關係之不確定性，而在實體上本得締結和解契約之情形外，當事人不具有處分權，就</w:t>
      </w:r>
      <w:r>
        <w:rPr/>
        <w:t>此範圍當事人亦不得為行政訴訟之和解。惟若法規賦予被告機關裁量權或屬於</w:t>
      </w:r>
    </w:p>
    <w:p>
      <w:pPr>
        <w:pStyle w:val="BodyText"/>
        <w:spacing w:line="295" w:lineRule="auto" w:before="7"/>
        <w:ind w:left="900" w:right="917"/>
      </w:pPr>
      <w:r>
        <w:rPr/>
        <w:pict>
          <v:rect style="position:absolute;margin-left:90pt;margin-top:47.210293pt;width:144pt;height:.600010pt;mso-position-horizontal-relative:page;mso-position-vertical-relative:paragraph;z-index:-15706624;mso-wrap-distance-left:0;mso-wrap-distance-right:0" filled="true" fillcolor="#000000" stroked="false">
            <v:fill type="solid"/>
            <w10:wrap type="topAndBottom"/>
          </v:rect>
        </w:pict>
      </w:r>
      <w:r>
        <w:rPr>
          <w:spacing w:val="-3"/>
        </w:rPr>
        <w:t>「法律外行政」之領域，被告機關基於合義務性、合目的性之觀點，與原告達成</w:t>
      </w:r>
      <w:r>
        <w:rPr>
          <w:spacing w:val="-6"/>
        </w:rPr>
        <w:t>和解之內容或條件，倘未有其他違法情事</w:t>
      </w:r>
      <w:r>
        <w:rPr/>
        <w:t>（</w:t>
      </w:r>
      <w:r>
        <w:rPr>
          <w:spacing w:val="-14"/>
        </w:rPr>
        <w:t>如違反「禁止不當聯結原則」</w:t>
      </w:r>
      <w:r>
        <w:rPr>
          <w:spacing w:val="-132"/>
        </w:rPr>
        <w:t>）</w:t>
      </w:r>
      <w:r>
        <w:rPr>
          <w:spacing w:val="-10"/>
        </w:rPr>
        <w:t>，於法</w:t>
      </w:r>
    </w:p>
    <w:p>
      <w:pPr>
        <w:spacing w:line="297" w:lineRule="exact" w:before="66"/>
        <w:ind w:left="900" w:right="0" w:firstLine="0"/>
        <w:jc w:val="left"/>
        <w:rPr>
          <w:sz w:val="22"/>
        </w:rPr>
      </w:pPr>
      <w:r>
        <w:rPr>
          <w:rFonts w:ascii="Times New Roman" w:eastAsia="Times New Roman"/>
          <w:sz w:val="22"/>
          <w:vertAlign w:val="superscript"/>
        </w:rPr>
        <w:t>78</w:t>
      </w:r>
      <w:r>
        <w:rPr>
          <w:rFonts w:ascii="Times New Roman" w:eastAsia="Times New Roman"/>
          <w:spacing w:val="42"/>
          <w:sz w:val="22"/>
          <w:vertAlign w:val="baseline"/>
        </w:rPr>
        <w:t> </w:t>
      </w:r>
      <w:r>
        <w:rPr>
          <w:spacing w:val="-12"/>
          <w:sz w:val="22"/>
          <w:vertAlign w:val="baseline"/>
        </w:rPr>
        <w:t>否定說之見解之彙整，請參閱陳清秀，《行政訴訟法》，</w:t>
      </w:r>
      <w:r>
        <w:rPr>
          <w:rFonts w:ascii="Times New Roman" w:eastAsia="Times New Roman"/>
          <w:sz w:val="22"/>
          <w:vertAlign w:val="baseline"/>
        </w:rPr>
        <w:t>3</w:t>
      </w:r>
      <w:r>
        <w:rPr>
          <w:rFonts w:ascii="Times New Roman" w:eastAsia="Times New Roman"/>
          <w:spacing w:val="-5"/>
          <w:sz w:val="22"/>
          <w:vertAlign w:val="baseline"/>
        </w:rPr>
        <w:t> </w:t>
      </w:r>
      <w:r>
        <w:rPr>
          <w:sz w:val="22"/>
          <w:vertAlign w:val="baseline"/>
        </w:rPr>
        <w:t>版，</w:t>
      </w:r>
      <w:r>
        <w:rPr>
          <w:rFonts w:ascii="Times New Roman" w:eastAsia="Times New Roman"/>
          <w:sz w:val="22"/>
          <w:vertAlign w:val="baseline"/>
        </w:rPr>
        <w:t>2009</w:t>
      </w:r>
      <w:r>
        <w:rPr>
          <w:rFonts w:ascii="Times New Roman" w:eastAsia="Times New Roman"/>
          <w:spacing w:val="-4"/>
          <w:sz w:val="22"/>
          <w:vertAlign w:val="baseline"/>
        </w:rPr>
        <w:t> </w:t>
      </w:r>
      <w:r>
        <w:rPr>
          <w:spacing w:val="-2"/>
          <w:sz w:val="22"/>
          <w:vertAlign w:val="baseline"/>
        </w:rPr>
        <w:t>年，頁 </w:t>
      </w:r>
      <w:r>
        <w:rPr>
          <w:rFonts w:ascii="Times New Roman" w:eastAsia="Times New Roman"/>
          <w:sz w:val="22"/>
          <w:vertAlign w:val="baseline"/>
        </w:rPr>
        <w:t>471</w:t>
      </w:r>
      <w:r>
        <w:rPr>
          <w:rFonts w:ascii="Times New Roman" w:eastAsia="Times New Roman"/>
          <w:spacing w:val="-4"/>
          <w:sz w:val="22"/>
          <w:vertAlign w:val="baseline"/>
        </w:rPr>
        <w:t> </w:t>
      </w:r>
      <w:r>
        <w:rPr>
          <w:sz w:val="22"/>
          <w:vertAlign w:val="baseline"/>
        </w:rPr>
        <w:t>以下。</w:t>
      </w:r>
    </w:p>
    <w:p>
      <w:pPr>
        <w:spacing w:line="286" w:lineRule="exact" w:before="0"/>
        <w:ind w:left="900" w:right="0" w:firstLine="0"/>
        <w:jc w:val="left"/>
        <w:rPr>
          <w:sz w:val="22"/>
        </w:rPr>
      </w:pPr>
      <w:r>
        <w:rPr>
          <w:rFonts w:ascii="Times New Roman" w:eastAsia="Times New Roman"/>
          <w:sz w:val="22"/>
          <w:vertAlign w:val="superscript"/>
        </w:rPr>
        <w:t>79</w:t>
      </w:r>
      <w:r>
        <w:rPr>
          <w:rFonts w:ascii="Times New Roman" w:eastAsia="Times New Roman"/>
          <w:spacing w:val="54"/>
          <w:sz w:val="22"/>
          <w:vertAlign w:val="baseline"/>
        </w:rPr>
        <w:t> </w:t>
      </w:r>
      <w:r>
        <w:rPr>
          <w:spacing w:val="-1"/>
          <w:sz w:val="22"/>
          <w:vertAlign w:val="baseline"/>
        </w:rPr>
        <w:t>行政訴訟法第 </w:t>
      </w:r>
      <w:r>
        <w:rPr>
          <w:rFonts w:ascii="Times New Roman" w:eastAsia="Times New Roman"/>
          <w:sz w:val="22"/>
          <w:vertAlign w:val="baseline"/>
        </w:rPr>
        <w:t>1 </w:t>
      </w:r>
      <w:r>
        <w:rPr>
          <w:sz w:val="22"/>
          <w:vertAlign w:val="baseline"/>
        </w:rPr>
        <w:t>條規定。</w:t>
      </w:r>
    </w:p>
    <w:p>
      <w:pPr>
        <w:spacing w:line="297" w:lineRule="exact" w:before="0"/>
        <w:ind w:left="900" w:right="0" w:firstLine="0"/>
        <w:jc w:val="left"/>
        <w:rPr>
          <w:sz w:val="22"/>
        </w:rPr>
      </w:pPr>
      <w:r>
        <w:rPr>
          <w:rFonts w:ascii="Times New Roman" w:eastAsia="Times New Roman"/>
          <w:sz w:val="22"/>
          <w:vertAlign w:val="superscript"/>
        </w:rPr>
        <w:t>80</w:t>
      </w:r>
      <w:r>
        <w:rPr>
          <w:rFonts w:ascii="Times New Roman" w:eastAsia="Times New Roman"/>
          <w:spacing w:val="53"/>
          <w:sz w:val="22"/>
          <w:vertAlign w:val="baseline"/>
        </w:rPr>
        <w:t> </w:t>
      </w:r>
      <w:r>
        <w:rPr>
          <w:spacing w:val="-17"/>
          <w:sz w:val="22"/>
          <w:vertAlign w:val="baseline"/>
        </w:rPr>
        <w:t>參閱翁岳生主編，《行政訴訟法逐條釋義》，</w:t>
      </w:r>
      <w:r>
        <w:rPr>
          <w:rFonts w:ascii="Times New Roman" w:eastAsia="Times New Roman"/>
          <w:sz w:val="22"/>
          <w:vertAlign w:val="baseline"/>
        </w:rPr>
        <w:t>2002</w:t>
      </w:r>
      <w:r>
        <w:rPr>
          <w:rFonts w:ascii="Times New Roman" w:eastAsia="Times New Roman"/>
          <w:spacing w:val="-1"/>
          <w:sz w:val="22"/>
          <w:vertAlign w:val="baseline"/>
        </w:rPr>
        <w:t> </w:t>
      </w:r>
      <w:r>
        <w:rPr>
          <w:spacing w:val="-1"/>
          <w:sz w:val="22"/>
          <w:vertAlign w:val="baseline"/>
        </w:rPr>
        <w:t>年，五南出版公司，頁 </w:t>
      </w:r>
      <w:r>
        <w:rPr>
          <w:rFonts w:ascii="Times New Roman" w:eastAsia="Times New Roman"/>
          <w:sz w:val="22"/>
          <w:vertAlign w:val="baseline"/>
        </w:rPr>
        <w:t>606</w:t>
      </w:r>
      <w:r>
        <w:rPr>
          <w:sz w:val="22"/>
          <w:vertAlign w:val="baseline"/>
        </w:rPr>
        <w:t>。</w:t>
      </w:r>
    </w:p>
    <w:p>
      <w:pPr>
        <w:spacing w:after="0" w:line="297" w:lineRule="exact"/>
        <w:jc w:val="left"/>
        <w:rPr>
          <w:sz w:val="22"/>
        </w:rPr>
        <w:sectPr>
          <w:pgSz w:w="11910" w:h="16840"/>
          <w:pgMar w:header="0" w:footer="938" w:top="1420" w:bottom="1200" w:left="900" w:right="880"/>
        </w:sectPr>
      </w:pPr>
    </w:p>
    <w:p>
      <w:pPr>
        <w:pStyle w:val="BodyText"/>
        <w:spacing w:before="98"/>
        <w:ind w:left="900"/>
      </w:pPr>
      <w:r>
        <w:rPr>
          <w:w w:val="95"/>
        </w:rPr>
        <w:t>即無不可</w:t>
      </w:r>
      <w:r>
        <w:rPr>
          <w:rFonts w:ascii="Times New Roman" w:eastAsia="Times New Roman"/>
          <w:w w:val="95"/>
          <w:vertAlign w:val="superscript"/>
        </w:rPr>
        <w:t>81</w:t>
      </w:r>
      <w:r>
        <w:rPr>
          <w:w w:val="95"/>
          <w:vertAlign w:val="baseline"/>
        </w:rPr>
        <w:t>。</w:t>
      </w:r>
    </w:p>
    <w:p>
      <w:pPr>
        <w:pStyle w:val="BodyText"/>
        <w:spacing w:before="3"/>
        <w:rPr>
          <w:sz w:val="35"/>
        </w:rPr>
      </w:pPr>
    </w:p>
    <w:p>
      <w:pPr>
        <w:pStyle w:val="BodyText"/>
        <w:spacing w:line="295" w:lineRule="auto"/>
        <w:ind w:left="900" w:right="917" w:firstLine="480"/>
        <w:jc w:val="both"/>
      </w:pPr>
      <w:r>
        <w:rPr>
          <w:spacing w:val="-3"/>
        </w:rPr>
        <w:t>最後，行政訴訟上和解之另一要件，即不得違反公益原則。行政機關在具備</w:t>
      </w:r>
      <w:r>
        <w:rPr>
          <w:spacing w:val="-5"/>
        </w:rPr>
        <w:t>行政程序法第 </w:t>
      </w:r>
      <w:r>
        <w:rPr>
          <w:rFonts w:ascii="Times New Roman" w:eastAsia="Times New Roman"/>
          <w:spacing w:val="-3"/>
        </w:rPr>
        <w:t>136</w:t>
      </w:r>
      <w:r>
        <w:rPr>
          <w:rFonts w:ascii="Times New Roman" w:eastAsia="Times New Roman"/>
          <w:spacing w:val="-9"/>
        </w:rPr>
        <w:t> </w:t>
      </w:r>
      <w:r>
        <w:rPr>
          <w:spacing w:val="-3"/>
        </w:rPr>
        <w:t>條之要件時，固然得裁量決定是否締結和解契約，惟行政機關為此裁量時，仍應斟酌公共利益。通常終結爭執，以達成法律安定，尤其使爭訟</w:t>
      </w:r>
      <w:r>
        <w:rPr/>
        <w:t>之行政處分發生存續力之作用，即足以支持締結和解契約</w:t>
      </w:r>
      <w:r>
        <w:rPr>
          <w:rFonts w:ascii="Times New Roman" w:eastAsia="Times New Roman"/>
          <w:vertAlign w:val="superscript"/>
        </w:rPr>
        <w:t>82</w:t>
      </w:r>
      <w:r>
        <w:rPr>
          <w:vertAlign w:val="baseline"/>
        </w:rPr>
        <w:t>。</w:t>
      </w:r>
    </w:p>
    <w:p>
      <w:pPr>
        <w:pStyle w:val="BodyText"/>
        <w:spacing w:before="185"/>
        <w:ind w:left="900"/>
        <w:rPr>
          <w:rFonts w:ascii="標楷體" w:eastAsia="標楷體" w:hint="eastAsia"/>
        </w:rPr>
      </w:pPr>
      <w:r>
        <w:rPr>
          <w:rFonts w:ascii="標楷體" w:eastAsia="標楷體" w:hint="eastAsia"/>
        </w:rPr>
        <w:t>（三）復審程序中調處成立之法律性質</w:t>
      </w:r>
    </w:p>
    <w:p>
      <w:pPr>
        <w:pStyle w:val="BodyText"/>
        <w:spacing w:before="6"/>
        <w:rPr>
          <w:rFonts w:ascii="標楷體"/>
          <w:sz w:val="18"/>
        </w:rPr>
      </w:pPr>
    </w:p>
    <w:p>
      <w:pPr>
        <w:pStyle w:val="BodyText"/>
        <w:spacing w:line="295" w:lineRule="auto"/>
        <w:ind w:left="900" w:right="914" w:firstLine="480"/>
        <w:jc w:val="both"/>
      </w:pPr>
      <w:r>
        <w:rPr/>
        <w:t>現行保障法第 </w:t>
      </w:r>
      <w:r>
        <w:rPr>
          <w:rFonts w:ascii="Times New Roman" w:eastAsia="Times New Roman"/>
        </w:rPr>
        <w:t>85</w:t>
      </w:r>
      <w:r>
        <w:rPr>
          <w:rFonts w:ascii="Times New Roman" w:eastAsia="Times New Roman"/>
          <w:spacing w:val="7"/>
        </w:rPr>
        <w:t> </w:t>
      </w:r>
      <w:r>
        <w:rPr/>
        <w:t>條所規定之調處程序，僅適用於針對不具行政處分性質之</w:t>
      </w:r>
      <w:r>
        <w:rPr>
          <w:spacing w:val="-3"/>
        </w:rPr>
        <w:t>再申訴事件，縱使公務人員與服務機關調處成立，雙方當事人亦僅得針對不具備行政處分性質之工作條件或管理措施加以處分。由於不涉及當事人間法律上權利義務關係之變動，故無處分權限之問題。惟在復審事件中，公務人員所爭執者乃係服務機關所為行政處分之適當性與合法性，倘若因雙方讓步而調處成立，此時</w:t>
      </w:r>
      <w:r>
        <w:rPr>
          <w:spacing w:val="-6"/>
        </w:rPr>
        <w:t>即須討論公務人員與服務機關對於自己所為之「讓步」，是否具有處分權限，針</w:t>
      </w:r>
      <w:r>
        <w:rPr/>
        <w:t>對行政處分內容所為之讓步，是否有違依法行政原則。</w:t>
      </w:r>
    </w:p>
    <w:p>
      <w:pPr>
        <w:pStyle w:val="BodyText"/>
        <w:spacing w:before="3"/>
        <w:rPr>
          <w:sz w:val="30"/>
        </w:rPr>
      </w:pPr>
    </w:p>
    <w:p>
      <w:pPr>
        <w:pStyle w:val="BodyText"/>
        <w:spacing w:line="295" w:lineRule="auto"/>
        <w:ind w:left="900" w:right="917" w:firstLine="480"/>
        <w:jc w:val="both"/>
      </w:pPr>
      <w:r>
        <w:rPr>
          <w:spacing w:val="-3"/>
        </w:rPr>
        <w:t>針對復審事件之內容，得否透過調處成立，使公務人員與服務機關達成合意之方式解決之，首先即須定性該調處成立後，公務人員與服務機關達成合意以終結復審程序及爭執事項之性質為何。細究此時所達成之合意，針對終結復審程序部分，與行政訴訟法上和解以終止行政訴訟之性質相類似，具有終止救濟程序之性質，故此部分應屬類似訴訟上和解之性質。針對雙方合意終結爭執之復審事件</w:t>
      </w:r>
      <w:r>
        <w:rPr>
          <w:spacing w:val="-4"/>
        </w:rPr>
        <w:t>部分，因為復審事件所爭執之內容具有行政處分性質，與行政程序法第 </w:t>
      </w:r>
      <w:r>
        <w:rPr>
          <w:rFonts w:ascii="Times New Roman" w:eastAsia="Times New Roman"/>
          <w:spacing w:val="-2"/>
        </w:rPr>
        <w:t>136</w:t>
      </w:r>
      <w:r>
        <w:rPr>
          <w:rFonts w:ascii="Times New Roman" w:eastAsia="Times New Roman"/>
          <w:spacing w:val="-10"/>
        </w:rPr>
        <w:t> </w:t>
      </w:r>
      <w:r>
        <w:rPr>
          <w:spacing w:val="-2"/>
        </w:rPr>
        <w:t>條規</w:t>
      </w:r>
      <w:r>
        <w:rPr>
          <w:spacing w:val="-3"/>
        </w:rPr>
        <w:t>定締結行政契約以代替行政處分之和解契約相雷同，因此，應可將此一調處程序</w:t>
      </w:r>
      <w:r>
        <w:rPr/>
        <w:t>所為之合意，定性為行政契約。</w:t>
      </w:r>
    </w:p>
    <w:p>
      <w:pPr>
        <w:pStyle w:val="BodyText"/>
        <w:spacing w:before="4"/>
        <w:rPr>
          <w:sz w:val="30"/>
        </w:rPr>
      </w:pPr>
    </w:p>
    <w:p>
      <w:pPr>
        <w:pStyle w:val="BodyText"/>
        <w:spacing w:line="295" w:lineRule="auto"/>
        <w:ind w:left="900" w:right="917" w:firstLine="480"/>
        <w:jc w:val="both"/>
      </w:pPr>
      <w:r>
        <w:rPr>
          <w:spacing w:val="-3"/>
        </w:rPr>
        <w:t>綜上所述，復審程序若亦適用調處制度，則調處成立所為之合意，其法律性質應定性為終止復審程序、並針對具有行政處分性質之人事管理行為達成和解之行政契約，惟因其並不以雙方均讓步為前提，故在此不稱其為和解契約，而係具</w:t>
      </w:r>
      <w:r>
        <w:rPr/>
        <w:t>有和解性質之調處契約，其具體理由請參見本章第三節。。</w:t>
      </w:r>
    </w:p>
    <w:p>
      <w:pPr>
        <w:pStyle w:val="BodyText"/>
        <w:rPr>
          <w:sz w:val="20"/>
        </w:rPr>
      </w:pPr>
    </w:p>
    <w:p>
      <w:pPr>
        <w:pStyle w:val="BodyText"/>
        <w:rPr>
          <w:sz w:val="20"/>
        </w:rPr>
      </w:pPr>
    </w:p>
    <w:p>
      <w:pPr>
        <w:pStyle w:val="BodyText"/>
        <w:rPr>
          <w:sz w:val="20"/>
        </w:rPr>
      </w:pPr>
    </w:p>
    <w:p>
      <w:pPr>
        <w:pStyle w:val="BodyText"/>
        <w:spacing w:before="13"/>
        <w:rPr>
          <w:sz w:val="28"/>
        </w:rPr>
      </w:pPr>
      <w:r>
        <w:rPr/>
        <w:pict>
          <v:rect style="position:absolute;margin-left:90pt;margin-top:22.201084pt;width:144pt;height:.600010pt;mso-position-horizontal-relative:page;mso-position-vertical-relative:paragraph;z-index:-15706112;mso-wrap-distance-left:0;mso-wrap-distance-right:0" filled="true" fillcolor="#000000" stroked="false">
            <v:fill type="solid"/>
            <w10:wrap type="topAndBottom"/>
          </v:rect>
        </w:pict>
      </w:r>
    </w:p>
    <w:p>
      <w:pPr>
        <w:spacing w:line="297" w:lineRule="exact" w:before="66"/>
        <w:ind w:left="900" w:right="0" w:firstLine="0"/>
        <w:jc w:val="left"/>
        <w:rPr>
          <w:sz w:val="22"/>
        </w:rPr>
      </w:pPr>
      <w:r>
        <w:rPr>
          <w:rFonts w:ascii="Times New Roman" w:eastAsia="Times New Roman"/>
          <w:sz w:val="22"/>
          <w:vertAlign w:val="superscript"/>
        </w:rPr>
        <w:t>81</w:t>
      </w:r>
      <w:r>
        <w:rPr>
          <w:rFonts w:ascii="Times New Roman" w:eastAsia="Times New Roman"/>
          <w:spacing w:val="53"/>
          <w:sz w:val="22"/>
          <w:vertAlign w:val="baseline"/>
        </w:rPr>
        <w:t> </w:t>
      </w:r>
      <w:r>
        <w:rPr>
          <w:spacing w:val="-17"/>
          <w:sz w:val="22"/>
          <w:vertAlign w:val="baseline"/>
        </w:rPr>
        <w:t>參閱翁岳生主編，《行政訴訟法逐條釋義》，</w:t>
      </w:r>
      <w:r>
        <w:rPr>
          <w:rFonts w:ascii="Times New Roman" w:eastAsia="Times New Roman"/>
          <w:sz w:val="22"/>
          <w:vertAlign w:val="baseline"/>
        </w:rPr>
        <w:t>2002</w:t>
      </w:r>
      <w:r>
        <w:rPr>
          <w:rFonts w:ascii="Times New Roman" w:eastAsia="Times New Roman"/>
          <w:spacing w:val="-1"/>
          <w:sz w:val="22"/>
          <w:vertAlign w:val="baseline"/>
        </w:rPr>
        <w:t> </w:t>
      </w:r>
      <w:r>
        <w:rPr>
          <w:spacing w:val="-1"/>
          <w:sz w:val="22"/>
          <w:vertAlign w:val="baseline"/>
        </w:rPr>
        <w:t>年，五南出版公司，頁 </w:t>
      </w:r>
      <w:r>
        <w:rPr>
          <w:rFonts w:ascii="Times New Roman" w:eastAsia="Times New Roman"/>
          <w:sz w:val="22"/>
          <w:vertAlign w:val="baseline"/>
        </w:rPr>
        <w:t>606</w:t>
      </w:r>
      <w:r>
        <w:rPr>
          <w:sz w:val="22"/>
          <w:vertAlign w:val="baseline"/>
        </w:rPr>
        <w:t>。</w:t>
      </w:r>
    </w:p>
    <w:p>
      <w:pPr>
        <w:spacing w:line="297" w:lineRule="exact" w:before="0"/>
        <w:ind w:left="900" w:right="0" w:firstLine="0"/>
        <w:jc w:val="left"/>
        <w:rPr>
          <w:sz w:val="22"/>
        </w:rPr>
      </w:pPr>
      <w:r>
        <w:rPr>
          <w:rFonts w:ascii="Times New Roman" w:eastAsia="Times New Roman"/>
          <w:sz w:val="22"/>
          <w:vertAlign w:val="superscript"/>
        </w:rPr>
        <w:t>82</w:t>
      </w:r>
      <w:r>
        <w:rPr>
          <w:rFonts w:ascii="Times New Roman" w:eastAsia="Times New Roman"/>
          <w:spacing w:val="52"/>
          <w:sz w:val="22"/>
          <w:vertAlign w:val="baseline"/>
        </w:rPr>
        <w:t> </w:t>
      </w:r>
      <w:r>
        <w:rPr>
          <w:spacing w:val="-17"/>
          <w:sz w:val="22"/>
          <w:vertAlign w:val="baseline"/>
        </w:rPr>
        <w:t>參閱陳敏，《行政法總論》，六版，</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9</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1566-1567</w:t>
      </w:r>
      <w:r>
        <w:rPr>
          <w:sz w:val="22"/>
          <w:vertAlign w:val="baseline"/>
        </w:rPr>
        <w:t>。</w:t>
      </w:r>
    </w:p>
    <w:p>
      <w:pPr>
        <w:spacing w:after="0" w:line="297" w:lineRule="exact"/>
        <w:jc w:val="left"/>
        <w:rPr>
          <w:sz w:val="22"/>
        </w:rPr>
        <w:sectPr>
          <w:pgSz w:w="11910" w:h="16840"/>
          <w:pgMar w:header="0" w:footer="938" w:top="1380" w:bottom="1200" w:left="900" w:right="880"/>
        </w:sectPr>
      </w:pPr>
    </w:p>
    <w:p>
      <w:pPr>
        <w:pStyle w:val="BodyText"/>
        <w:spacing w:before="1"/>
        <w:rPr>
          <w:sz w:val="10"/>
        </w:rPr>
      </w:pPr>
    </w:p>
    <w:p>
      <w:pPr>
        <w:pStyle w:val="Heading2"/>
        <w:spacing w:before="44"/>
      </w:pPr>
      <w:bookmarkStart w:name="_TOC_250030" w:id="9"/>
      <w:bookmarkEnd w:id="9"/>
      <w:r>
        <w:rPr/>
        <w:t>第三節 調處制度作為復審程序爭議解決管道之妥當性</w:t>
      </w:r>
    </w:p>
    <w:p>
      <w:pPr>
        <w:pStyle w:val="BodyText"/>
        <w:spacing w:before="4"/>
        <w:rPr>
          <w:b/>
          <w:sz w:val="27"/>
        </w:rPr>
      </w:pPr>
    </w:p>
    <w:p>
      <w:pPr>
        <w:pStyle w:val="BodyText"/>
        <w:spacing w:line="295" w:lineRule="auto"/>
        <w:ind w:left="900" w:right="914" w:firstLine="480"/>
        <w:jc w:val="both"/>
      </w:pPr>
      <w:r>
        <w:rPr>
          <w:spacing w:val="-5"/>
        </w:rPr>
        <w:t>保障法第 </w:t>
      </w:r>
      <w:r>
        <w:rPr>
          <w:rFonts w:ascii="Times New Roman" w:eastAsia="Times New Roman"/>
          <w:spacing w:val="-2"/>
        </w:rPr>
        <w:t>85</w:t>
      </w:r>
      <w:r>
        <w:rPr>
          <w:rFonts w:ascii="Times New Roman" w:eastAsia="Times New Roman"/>
          <w:spacing w:val="-10"/>
        </w:rPr>
        <w:t> </w:t>
      </w:r>
      <w:r>
        <w:rPr>
          <w:spacing w:val="-5"/>
        </w:rPr>
        <w:t>條至第 </w:t>
      </w:r>
      <w:r>
        <w:rPr>
          <w:rFonts w:ascii="Times New Roman" w:eastAsia="Times New Roman"/>
          <w:spacing w:val="-2"/>
        </w:rPr>
        <w:t>88</w:t>
      </w:r>
      <w:r>
        <w:rPr>
          <w:rFonts w:ascii="Times New Roman" w:eastAsia="Times New Roman"/>
          <w:spacing w:val="-10"/>
        </w:rPr>
        <w:t> </w:t>
      </w:r>
      <w:r>
        <w:rPr>
          <w:spacing w:val="-2"/>
        </w:rPr>
        <w:t>條規定針對再申訴事件規定調處程序，使公務人員與</w:t>
      </w:r>
      <w:r>
        <w:rPr>
          <w:spacing w:val="-3"/>
        </w:rPr>
        <w:t>服務機關間之糾紛得由保訓會依職權或依當事人申請而開啟調處程序，指定副主任委員或委員一人至三人，進行調處。探究調處制度之功能，其實調處制度僅係</w:t>
      </w:r>
      <w:r>
        <w:rPr>
          <w:spacing w:val="-6"/>
        </w:rPr>
        <w:t>提供公務人員與服務機關一個溝通、協調之平台，「調處行為」本身並不產生任</w:t>
      </w:r>
      <w:r>
        <w:rPr/>
        <w:t>何法律效果。倘若調處不成立，依保障法第 </w:t>
      </w:r>
      <w:r>
        <w:rPr>
          <w:rFonts w:ascii="Times New Roman" w:eastAsia="Times New Roman"/>
        </w:rPr>
        <w:t>88</w:t>
      </w:r>
      <w:r>
        <w:rPr>
          <w:rFonts w:ascii="Times New Roman" w:eastAsia="Times New Roman"/>
          <w:spacing w:val="7"/>
        </w:rPr>
        <w:t> </w:t>
      </w:r>
      <w:r>
        <w:rPr/>
        <w:t>條規定，審理程序即再度轉換回</w:t>
      </w:r>
      <w:r>
        <w:rPr>
          <w:spacing w:val="-3"/>
        </w:rPr>
        <w:t>再申訴審議程序，由保訓會為實體審議決定，故調處不成立對公務人員與服務機關均不造成影響。調處程序可能對公務人員與服務機關實體法上法律關係造成影響者，乃調處成立時，公務人員與服務機關間調處之結果、內容為何。欲釐清調處制度適用於復審事件之妥當性，即須先討論當調處成立時，其與行政程序法第</w:t>
      </w:r>
      <w:r>
        <w:rPr>
          <w:rFonts w:ascii="Times New Roman" w:eastAsia="Times New Roman"/>
          <w:spacing w:val="-1"/>
        </w:rPr>
        <w:t>136</w:t>
      </w:r>
      <w:r>
        <w:rPr>
          <w:rFonts w:ascii="Times New Roman" w:eastAsia="Times New Roman"/>
          <w:spacing w:val="-13"/>
        </w:rPr>
        <w:t> </w:t>
      </w:r>
      <w:r>
        <w:rPr>
          <w:spacing w:val="-2"/>
        </w:rPr>
        <w:t>條之和解契約以及行政訴訟法第 </w:t>
      </w:r>
      <w:r>
        <w:rPr>
          <w:rFonts w:ascii="Times New Roman" w:eastAsia="Times New Roman"/>
        </w:rPr>
        <w:t>219</w:t>
      </w:r>
      <w:r>
        <w:rPr>
          <w:rFonts w:ascii="Times New Roman" w:eastAsia="Times New Roman"/>
          <w:spacing w:val="-13"/>
        </w:rPr>
        <w:t> </w:t>
      </w:r>
      <w:r>
        <w:rPr/>
        <w:t>條之和解制度有何異同，以下即分別討論之。</w:t>
      </w:r>
    </w:p>
    <w:p>
      <w:pPr>
        <w:pStyle w:val="BodyText"/>
        <w:spacing w:before="11"/>
      </w:pPr>
    </w:p>
    <w:p>
      <w:pPr>
        <w:pStyle w:val="Heading3"/>
        <w:rPr>
          <w:rFonts w:ascii="新細明體" w:eastAsia="新細明體" w:hint="eastAsia"/>
        </w:rPr>
      </w:pPr>
      <w:bookmarkStart w:name="_TOC_250029" w:id="10"/>
      <w:bookmarkEnd w:id="10"/>
      <w:r>
        <w:rPr>
          <w:rFonts w:ascii="新細明體" w:eastAsia="新細明體" w:hint="eastAsia"/>
          <w:w w:val="95"/>
        </w:rPr>
        <w:t>一、保障法上調處成立與行政程序法及行政訴訟法上和解之異同</w:t>
      </w:r>
    </w:p>
    <w:p>
      <w:pPr>
        <w:pStyle w:val="BodyText"/>
        <w:spacing w:before="5"/>
        <w:rPr>
          <w:b/>
          <w:sz w:val="29"/>
        </w:rPr>
      </w:pPr>
    </w:p>
    <w:p>
      <w:pPr>
        <w:pStyle w:val="BodyText"/>
        <w:spacing w:line="295" w:lineRule="auto"/>
        <w:ind w:left="900" w:right="917" w:firstLine="480"/>
        <w:jc w:val="both"/>
      </w:pPr>
      <w:r>
        <w:rPr>
          <w:spacing w:val="-4"/>
        </w:rPr>
        <w:t>調處成立、行政程序法第 </w:t>
      </w:r>
      <w:r>
        <w:rPr>
          <w:rFonts w:ascii="Times New Roman" w:eastAsia="Times New Roman"/>
          <w:spacing w:val="-2"/>
        </w:rPr>
        <w:t>136</w:t>
      </w:r>
      <w:r>
        <w:rPr>
          <w:rFonts w:ascii="Times New Roman" w:eastAsia="Times New Roman"/>
          <w:spacing w:val="-10"/>
        </w:rPr>
        <w:t> </w:t>
      </w:r>
      <w:r>
        <w:rPr>
          <w:spacing w:val="-3"/>
        </w:rPr>
        <w:t>條之和解契約以及行政訴訟法第 </w:t>
      </w:r>
      <w:r>
        <w:rPr>
          <w:rFonts w:ascii="Times New Roman" w:eastAsia="Times New Roman"/>
          <w:spacing w:val="-2"/>
        </w:rPr>
        <w:t>219</w:t>
      </w:r>
      <w:r>
        <w:rPr>
          <w:rFonts w:ascii="Times New Roman" w:eastAsia="Times New Roman"/>
          <w:spacing w:val="-10"/>
        </w:rPr>
        <w:t> </w:t>
      </w:r>
      <w:r>
        <w:rPr>
          <w:spacing w:val="-1"/>
        </w:rPr>
        <w:t>條以下和</w:t>
      </w:r>
      <w:r>
        <w:rPr>
          <w:spacing w:val="-3"/>
        </w:rPr>
        <w:t>解制度之相同點部分，因雙方當事人就以上三種原因所成立終結紛爭之契約，均係以公法上法律關係為和解標的，且其目的係為解決公法上糾紛，締結該契約亦</w:t>
      </w:r>
      <w:r>
        <w:rPr>
          <w:spacing w:val="-4"/>
        </w:rPr>
        <w:t>具有公益目的，因此，依大法官釋字第 </w:t>
      </w:r>
      <w:r>
        <w:rPr>
          <w:rFonts w:ascii="Times New Roman" w:eastAsia="Times New Roman"/>
          <w:spacing w:val="-2"/>
        </w:rPr>
        <w:t>533</w:t>
      </w:r>
      <w:r>
        <w:rPr>
          <w:rFonts w:ascii="Times New Roman" w:eastAsia="Times New Roman"/>
          <w:spacing w:val="-10"/>
        </w:rPr>
        <w:t> </w:t>
      </w:r>
      <w:r>
        <w:rPr>
          <w:spacing w:val="-2"/>
        </w:rPr>
        <w:t>號解釋所採用「契約標的輔以契約目</w:t>
      </w:r>
      <w:r>
        <w:rPr>
          <w:spacing w:val="-3"/>
        </w:rPr>
        <w:t>的理論」之判斷標準，應認為上述三者所簽立之契約性質，皆屬行政契約，均應</w:t>
      </w:r>
      <w:r>
        <w:rPr/>
        <w:t>受公法上規定所拘束。</w:t>
      </w:r>
    </w:p>
    <w:p>
      <w:pPr>
        <w:pStyle w:val="BodyText"/>
        <w:spacing w:before="2"/>
        <w:rPr>
          <w:sz w:val="30"/>
        </w:rPr>
      </w:pPr>
    </w:p>
    <w:p>
      <w:pPr>
        <w:pStyle w:val="BodyText"/>
        <w:spacing w:line="295" w:lineRule="auto"/>
        <w:ind w:left="900" w:right="917" w:firstLine="480"/>
        <w:jc w:val="both"/>
      </w:pPr>
      <w:r>
        <w:rPr>
          <w:spacing w:val="-3"/>
        </w:rPr>
        <w:t>相異點部分，首先，就參與之主體而言，調處制度乃係由公務人員與服務機關在保訓會之協調下進行，由保訓會依申請或依職權開啟調處程序，此乃屬三方</w:t>
      </w:r>
      <w:r>
        <w:rPr>
          <w:spacing w:val="-4"/>
        </w:rPr>
        <w:t>關係；行政程序法第 </w:t>
      </w:r>
      <w:r>
        <w:rPr>
          <w:rFonts w:ascii="Times New Roman" w:eastAsia="Times New Roman"/>
          <w:spacing w:val="-3"/>
        </w:rPr>
        <w:t>136</w:t>
      </w:r>
      <w:r>
        <w:rPr>
          <w:rFonts w:ascii="Times New Roman" w:eastAsia="Times New Roman"/>
          <w:spacing w:val="-9"/>
        </w:rPr>
        <w:t> </w:t>
      </w:r>
      <w:r>
        <w:rPr>
          <w:spacing w:val="-3"/>
        </w:rPr>
        <w:t>條之和解契約，僅由人民與行政機關溝通、協調契約內</w:t>
      </w:r>
    </w:p>
    <w:p>
      <w:pPr>
        <w:pStyle w:val="BodyText"/>
        <w:spacing w:line="295" w:lineRule="auto" w:before="3"/>
        <w:ind w:left="900" w:right="917"/>
        <w:jc w:val="both"/>
      </w:pPr>
      <w:r>
        <w:rPr>
          <w:spacing w:val="-4"/>
        </w:rPr>
        <w:t>容，此屬雙方關係；行政訴訟法第 </w:t>
      </w:r>
      <w:r>
        <w:rPr>
          <w:rFonts w:ascii="Times New Roman" w:eastAsia="Times New Roman"/>
          <w:spacing w:val="-3"/>
        </w:rPr>
        <w:t>219</w:t>
      </w:r>
      <w:r>
        <w:rPr>
          <w:rFonts w:ascii="Times New Roman" w:eastAsia="Times New Roman"/>
          <w:spacing w:val="-10"/>
        </w:rPr>
        <w:t> </w:t>
      </w:r>
      <w:r>
        <w:rPr>
          <w:spacing w:val="-2"/>
        </w:rPr>
        <w:t>條之和解制度，得由人民與行政機關雙方</w:t>
      </w:r>
      <w:r>
        <w:rPr/>
        <w:t>自行為之，亦得透過法院試行和解而為之。</w:t>
      </w:r>
    </w:p>
    <w:p>
      <w:pPr>
        <w:pStyle w:val="BodyText"/>
        <w:spacing w:before="11"/>
        <w:rPr>
          <w:sz w:val="29"/>
        </w:rPr>
      </w:pPr>
    </w:p>
    <w:p>
      <w:pPr>
        <w:pStyle w:val="BodyText"/>
        <w:spacing w:line="295" w:lineRule="auto"/>
        <w:ind w:left="900" w:right="917" w:firstLine="480"/>
        <w:jc w:val="both"/>
      </w:pPr>
      <w:r>
        <w:rPr>
          <w:spacing w:val="-3"/>
        </w:rPr>
        <w:t>其次，針對合意解決紛爭之契約內容是否雙方當事人均須為一定之讓步、妥</w:t>
      </w:r>
      <w:r>
        <w:rPr>
          <w:spacing w:val="-4"/>
        </w:rPr>
        <w:t>協而言，查行政程序法第 </w:t>
      </w:r>
      <w:r>
        <w:rPr>
          <w:rFonts w:ascii="Times New Roman" w:eastAsia="Times New Roman"/>
          <w:spacing w:val="-2"/>
        </w:rPr>
        <w:t>136</w:t>
      </w:r>
      <w:r>
        <w:rPr>
          <w:rFonts w:ascii="Times New Roman" w:eastAsia="Times New Roman"/>
          <w:spacing w:val="-10"/>
        </w:rPr>
        <w:t> </w:t>
      </w:r>
      <w:r>
        <w:rPr>
          <w:spacing w:val="-4"/>
        </w:rPr>
        <w:t>條與行政訴訟法第 </w:t>
      </w:r>
      <w:r>
        <w:rPr>
          <w:rFonts w:ascii="Times New Roman" w:eastAsia="Times New Roman"/>
          <w:spacing w:val="-2"/>
        </w:rPr>
        <w:t>219</w:t>
      </w:r>
      <w:r>
        <w:rPr>
          <w:rFonts w:ascii="Times New Roman" w:eastAsia="Times New Roman"/>
          <w:spacing w:val="-10"/>
        </w:rPr>
        <w:t> </w:t>
      </w:r>
      <w:r>
        <w:rPr>
          <w:spacing w:val="-2"/>
        </w:rPr>
        <w:t>條之規定，其法條用語均稱</w:t>
      </w:r>
    </w:p>
    <w:p>
      <w:pPr>
        <w:spacing w:after="0" w:line="295" w:lineRule="auto"/>
        <w:jc w:val="both"/>
        <w:sectPr>
          <w:pgSz w:w="11910" w:h="16840"/>
          <w:pgMar w:header="0" w:footer="938" w:top="1600" w:bottom="1200" w:left="900" w:right="880"/>
        </w:sectPr>
      </w:pPr>
    </w:p>
    <w:p>
      <w:pPr>
        <w:pStyle w:val="BodyText"/>
        <w:spacing w:before="98"/>
        <w:ind w:left="900"/>
        <w:jc w:val="both"/>
      </w:pPr>
      <w:r>
        <w:rPr>
          <w:spacing w:val="-7"/>
        </w:rPr>
        <w:t>該此一合意解決紛爭之契約為「和解</w:t>
      </w:r>
      <w:r>
        <w:rPr>
          <w:spacing w:val="-24"/>
        </w:rPr>
        <w:t>」，倘依民法第 </w:t>
      </w:r>
      <w:r>
        <w:rPr>
          <w:rFonts w:ascii="Times New Roman" w:eastAsia="Times New Roman"/>
          <w:spacing w:val="-1"/>
        </w:rPr>
        <w:t>736</w:t>
      </w:r>
      <w:r>
        <w:rPr>
          <w:rFonts w:ascii="Times New Roman" w:eastAsia="Times New Roman"/>
          <w:spacing w:val="-11"/>
        </w:rPr>
        <w:t> </w:t>
      </w:r>
      <w:r>
        <w:rPr>
          <w:spacing w:val="-19"/>
        </w:rPr>
        <w:t>條對於「和解」之定義</w:t>
      </w:r>
      <w:r>
        <w:rPr>
          <w:rFonts w:ascii="Times New Roman" w:eastAsia="Times New Roman"/>
          <w:vertAlign w:val="superscript"/>
        </w:rPr>
        <w:t>83</w:t>
      </w:r>
      <w:r>
        <w:rPr>
          <w:vertAlign w:val="baseline"/>
        </w:rPr>
        <w:t>，</w:t>
      </w:r>
    </w:p>
    <w:p>
      <w:pPr>
        <w:pStyle w:val="BodyText"/>
        <w:spacing w:line="295" w:lineRule="auto" w:before="78"/>
        <w:ind w:left="899" w:right="916"/>
        <w:jc w:val="both"/>
      </w:pPr>
      <w:r>
        <w:rPr/>
        <w:t>似以當事人互相讓步為必要，反觀保障法第 </w:t>
      </w:r>
      <w:r>
        <w:rPr>
          <w:rFonts w:ascii="Times New Roman" w:eastAsia="Times New Roman"/>
        </w:rPr>
        <w:t>85</w:t>
      </w:r>
      <w:r>
        <w:rPr>
          <w:rFonts w:ascii="Times New Roman" w:eastAsia="Times New Roman"/>
          <w:spacing w:val="6"/>
        </w:rPr>
        <w:t> </w:t>
      </w:r>
      <w:r>
        <w:rPr/>
        <w:t>條以下所規定之調處程序，並未</w:t>
      </w:r>
      <w:r>
        <w:rPr>
          <w:spacing w:val="-3"/>
        </w:rPr>
        <w:t>提及「和解」一詞，僅以調處成立或不成立稱之，本文認為，此時宜解釋為調處成立之內容，並不限於雙方當事人均為一定之讓步，倘若在保訓會之調處下僅有單方讓步，亦非不可，蓋因此時讓保訓會有更大調處空間，將更有利於調處之成立，再者，使公務人員與服務機關經保訓會「調處成立」而解決紛爭，相較於由保訓會以「復審決定」解決紛爭，在兼顧雙方當事人權益之餘，更有助於減緩緊</w:t>
      </w:r>
      <w:r>
        <w:rPr/>
        <w:t>張、對立之氣氛。</w:t>
      </w:r>
    </w:p>
    <w:p>
      <w:pPr>
        <w:pStyle w:val="BodyText"/>
        <w:spacing w:before="3"/>
        <w:rPr>
          <w:sz w:val="30"/>
        </w:rPr>
      </w:pPr>
    </w:p>
    <w:p>
      <w:pPr>
        <w:pStyle w:val="BodyText"/>
        <w:spacing w:line="295" w:lineRule="auto"/>
        <w:ind w:left="899" w:right="916" w:firstLine="480"/>
        <w:jc w:val="both"/>
      </w:pPr>
      <w:r>
        <w:rPr>
          <w:spacing w:val="-3"/>
        </w:rPr>
        <w:t>末者，針對契約成立後能否再開救濟程序而言，一旦調處成立而簽立類似和解契約，事後得否針對此一契約內容再為爭執，不無疑義。因調處制度亦屬行政救濟管道下之紛爭解決程序，倘若於調處成立後得再就契約內容另為爭執，將架空調處制度之效力。再者從立法架構觀之，現行保障法下之調處制度並未如同行</w:t>
      </w:r>
      <w:r>
        <w:rPr>
          <w:spacing w:val="-5"/>
        </w:rPr>
        <w:t>政訴訟法第 </w:t>
      </w:r>
      <w:r>
        <w:rPr>
          <w:rFonts w:ascii="Times New Roman" w:eastAsia="Times New Roman"/>
          <w:spacing w:val="-3"/>
        </w:rPr>
        <w:t>223</w:t>
      </w:r>
      <w:r>
        <w:rPr>
          <w:rFonts w:ascii="Times New Roman" w:eastAsia="Times New Roman"/>
          <w:spacing w:val="-9"/>
        </w:rPr>
        <w:t> </w:t>
      </w:r>
      <w:r>
        <w:rPr>
          <w:spacing w:val="-3"/>
        </w:rPr>
        <w:t>條規定和解有無效或得撤銷之原因者，當事人似不得請求繼續審判，或以任何理由請求撤銷或變更此一和解契約。惟調處成立終結紛爭之契約亦屬行政契約之一種，其亦應受公法上相關規定之拘束已如前述。倘若調處成立所簽訂之契約有無效或得撤銷之原因而無法適時予以更正，不僅可能損及當事人權益，更明顯違反依法行政原則。因此，解決之道應係在保障法中針對有瑕疵之調處成立，參考行政訴訟法第 </w:t>
      </w:r>
      <w:r>
        <w:rPr>
          <w:rFonts w:ascii="Times New Roman" w:eastAsia="Times New Roman"/>
          <w:spacing w:val="-2"/>
        </w:rPr>
        <w:t>223</w:t>
      </w:r>
      <w:r>
        <w:rPr>
          <w:rFonts w:ascii="Times New Roman" w:eastAsia="Times New Roman"/>
          <w:spacing w:val="-11"/>
        </w:rPr>
        <w:t> </w:t>
      </w:r>
      <w:r>
        <w:rPr>
          <w:spacing w:val="-5"/>
        </w:rPr>
        <w:t>條至第 </w:t>
      </w:r>
      <w:r>
        <w:rPr>
          <w:rFonts w:ascii="Times New Roman" w:eastAsia="Times New Roman"/>
          <w:spacing w:val="-2"/>
        </w:rPr>
        <w:t>226</w:t>
      </w:r>
      <w:r>
        <w:rPr>
          <w:rFonts w:ascii="Times New Roman" w:eastAsia="Times New Roman"/>
          <w:spacing w:val="-11"/>
        </w:rPr>
        <w:t> </w:t>
      </w:r>
      <w:r>
        <w:rPr>
          <w:spacing w:val="-2"/>
        </w:rPr>
        <w:t>條規定，研擬增訂請求繼續審理之規</w:t>
      </w:r>
    </w:p>
    <w:p>
      <w:pPr>
        <w:pStyle w:val="BodyText"/>
        <w:spacing w:line="295" w:lineRule="auto" w:before="12"/>
        <w:ind w:left="899" w:right="916"/>
        <w:jc w:val="both"/>
      </w:pPr>
      <w:r>
        <w:rPr>
          <w:spacing w:val="-4"/>
        </w:rPr>
        <w:t>定，始為正辦。至於行政程序法第 </w:t>
      </w:r>
      <w:r>
        <w:rPr>
          <w:rFonts w:ascii="Times New Roman" w:eastAsia="Times New Roman"/>
          <w:spacing w:val="-2"/>
        </w:rPr>
        <w:t>136</w:t>
      </w:r>
      <w:r>
        <w:rPr>
          <w:rFonts w:ascii="Times New Roman" w:eastAsia="Times New Roman"/>
          <w:spacing w:val="-10"/>
        </w:rPr>
        <w:t> </w:t>
      </w:r>
      <w:r>
        <w:rPr>
          <w:spacing w:val="-2"/>
        </w:rPr>
        <w:t>條之和解契約部分，一旦事後對此一和解</w:t>
      </w:r>
      <w:r>
        <w:rPr>
          <w:spacing w:val="-3"/>
        </w:rPr>
        <w:t>契約有所爭執，僅得依行政訴訟法相關規定提起撤銷訴訟、確認訴訟或一般給付</w:t>
      </w:r>
      <w:r>
        <w:rPr>
          <w:spacing w:val="-4"/>
        </w:rPr>
        <w:t>訴訟救濟之。至於針對行政訴訟法第 </w:t>
      </w:r>
      <w:r>
        <w:rPr>
          <w:rFonts w:ascii="Times New Roman" w:eastAsia="Times New Roman"/>
          <w:spacing w:val="-3"/>
        </w:rPr>
        <w:t>219</w:t>
      </w:r>
      <w:r>
        <w:rPr>
          <w:rFonts w:ascii="Times New Roman" w:eastAsia="Times New Roman"/>
          <w:spacing w:val="-9"/>
        </w:rPr>
        <w:t> </w:t>
      </w:r>
      <w:r>
        <w:rPr>
          <w:spacing w:val="-2"/>
        </w:rPr>
        <w:t>條規定所成立之和解，則係依行政訴訟</w:t>
      </w:r>
    </w:p>
    <w:p>
      <w:pPr>
        <w:spacing w:line="535" w:lineRule="auto" w:before="4"/>
        <w:ind w:left="899" w:right="1062" w:firstLine="0"/>
        <w:jc w:val="both"/>
        <w:rPr>
          <w:b/>
          <w:sz w:val="24"/>
        </w:rPr>
      </w:pPr>
      <w:r>
        <w:rPr>
          <w:spacing w:val="-4"/>
          <w:sz w:val="24"/>
        </w:rPr>
        <w:t>法第 </w:t>
      </w:r>
      <w:r>
        <w:rPr>
          <w:rFonts w:ascii="Times New Roman" w:eastAsia="Times New Roman"/>
          <w:sz w:val="24"/>
        </w:rPr>
        <w:t>223</w:t>
      </w:r>
      <w:r>
        <w:rPr>
          <w:rFonts w:ascii="Times New Roman" w:eastAsia="Times New Roman"/>
          <w:spacing w:val="-7"/>
          <w:sz w:val="24"/>
        </w:rPr>
        <w:t> </w:t>
      </w:r>
      <w:r>
        <w:rPr>
          <w:sz w:val="24"/>
        </w:rPr>
        <w:t>條規定，當和解有無效獲得撤銷之原因者，當事人得請求繼續審判。</w:t>
      </w:r>
      <w:r>
        <w:rPr>
          <w:b/>
          <w:sz w:val="24"/>
        </w:rPr>
        <w:t>二、針對復審事件進行調處程序之容許性及其範圍</w:t>
      </w:r>
    </w:p>
    <w:p>
      <w:pPr>
        <w:pStyle w:val="BodyText"/>
        <w:spacing w:before="8"/>
        <w:rPr>
          <w:b/>
          <w:sz w:val="23"/>
        </w:rPr>
      </w:pPr>
    </w:p>
    <w:p>
      <w:pPr>
        <w:pStyle w:val="Heading3"/>
        <w:spacing w:before="1"/>
        <w:ind w:left="899"/>
      </w:pPr>
      <w:bookmarkStart w:name="_TOC_250028" w:id="11"/>
      <w:bookmarkEnd w:id="11"/>
      <w:r>
        <w:rPr/>
        <w:t>（一）針對復審事件進行調處程序之容許性</w:t>
      </w:r>
    </w:p>
    <w:p>
      <w:pPr>
        <w:pStyle w:val="BodyText"/>
        <w:spacing w:before="5"/>
        <w:rPr>
          <w:rFonts w:ascii="標楷體"/>
          <w:b/>
          <w:sz w:val="29"/>
        </w:rPr>
      </w:pPr>
    </w:p>
    <w:p>
      <w:pPr>
        <w:pStyle w:val="BodyText"/>
        <w:spacing w:line="295" w:lineRule="auto"/>
        <w:ind w:left="899" w:right="916" w:firstLine="480"/>
        <w:jc w:val="both"/>
      </w:pPr>
      <w:r>
        <w:rPr>
          <w:spacing w:val="-3"/>
        </w:rPr>
        <w:t>承前述，倘若調處不成立，此時調處程序本身並不會對公務人員及服務機關之權利義務造成變動，故調處不成立時，該調處行為本身並不具有任何意義，在此值得討論者，倘若公務人員與服務機關透過調處程序而達成合意，雙方當事人</w:t>
      </w:r>
    </w:p>
    <w:p>
      <w:pPr>
        <w:pStyle w:val="BodyText"/>
        <w:spacing w:before="10"/>
        <w:rPr>
          <w:sz w:val="10"/>
        </w:rPr>
      </w:pPr>
      <w:r>
        <w:rPr/>
        <w:pict>
          <v:rect style="position:absolute;margin-left:90pt;margin-top:9.485615pt;width:144pt;height:.600010pt;mso-position-horizontal-relative:page;mso-position-vertical-relative:paragraph;z-index:-15705600;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914" w:firstLine="0"/>
        <w:jc w:val="left"/>
        <w:rPr>
          <w:sz w:val="22"/>
        </w:rPr>
      </w:pPr>
      <w:r>
        <w:rPr>
          <w:rFonts w:ascii="Times New Roman" w:eastAsia="Times New Roman"/>
          <w:sz w:val="22"/>
          <w:vertAlign w:val="superscript"/>
        </w:rPr>
        <w:t>83</w:t>
      </w:r>
      <w:r>
        <w:rPr>
          <w:rFonts w:ascii="Times New Roman" w:eastAsia="Times New Roman"/>
          <w:spacing w:val="48"/>
          <w:sz w:val="22"/>
          <w:vertAlign w:val="baseline"/>
        </w:rPr>
        <w:t> </w:t>
      </w:r>
      <w:r>
        <w:rPr>
          <w:spacing w:val="1"/>
          <w:sz w:val="22"/>
          <w:vertAlign w:val="baseline"/>
        </w:rPr>
        <w:t>民法第 </w:t>
      </w:r>
      <w:r>
        <w:rPr>
          <w:rFonts w:ascii="Times New Roman" w:eastAsia="Times New Roman"/>
          <w:sz w:val="22"/>
          <w:vertAlign w:val="baseline"/>
        </w:rPr>
        <w:t>736</w:t>
      </w:r>
      <w:r>
        <w:rPr>
          <w:rFonts w:ascii="Times New Roman" w:eastAsia="Times New Roman"/>
          <w:spacing w:val="10"/>
          <w:sz w:val="22"/>
          <w:vertAlign w:val="baseline"/>
        </w:rPr>
        <w:t> </w:t>
      </w:r>
      <w:r>
        <w:rPr>
          <w:spacing w:val="-38"/>
          <w:sz w:val="22"/>
          <w:vertAlign w:val="baseline"/>
        </w:rPr>
        <w:t>條：「</w:t>
      </w:r>
      <w:r>
        <w:rPr>
          <w:rFonts w:ascii="標楷體" w:eastAsia="標楷體" w:hint="eastAsia"/>
          <w:sz w:val="22"/>
          <w:vertAlign w:val="baseline"/>
        </w:rPr>
        <w:t>稱和解者，謂當事人約定，互相讓步，以終止爭執或防止爭執發生之契約。</w:t>
      </w:r>
      <w:r>
        <w:rPr>
          <w:sz w:val="22"/>
          <w:vertAlign w:val="baseline"/>
        </w:rPr>
        <w:t>」</w:t>
      </w:r>
    </w:p>
    <w:p>
      <w:pPr>
        <w:spacing w:after="0" w:line="223" w:lineRule="auto"/>
        <w:jc w:val="left"/>
        <w:rPr>
          <w:sz w:val="22"/>
        </w:rPr>
        <w:sectPr>
          <w:pgSz w:w="11910" w:h="16840"/>
          <w:pgMar w:header="0" w:footer="938" w:top="1380" w:bottom="1200" w:left="900" w:right="880"/>
        </w:sectPr>
      </w:pPr>
    </w:p>
    <w:p>
      <w:pPr>
        <w:pStyle w:val="BodyText"/>
        <w:spacing w:before="38"/>
        <w:ind w:left="900"/>
      </w:pPr>
      <w:r>
        <w:rPr/>
        <w:t>對該合意之內容是否具有完全之處分權限？有無牴觸依法行政原則之虞？</w:t>
      </w:r>
    </w:p>
    <w:p>
      <w:pPr>
        <w:pStyle w:val="BodyText"/>
        <w:spacing w:before="3"/>
        <w:rPr>
          <w:sz w:val="35"/>
        </w:rPr>
      </w:pPr>
    </w:p>
    <w:p>
      <w:pPr>
        <w:pStyle w:val="BodyText"/>
        <w:spacing w:line="295" w:lineRule="auto"/>
        <w:ind w:left="899" w:right="909" w:firstLine="360"/>
        <w:jc w:val="both"/>
      </w:pPr>
      <w:r>
        <w:rPr/>
        <w:t>有關人事行政爭議事件和解之容許性，考究當初保障法修法時，將復審事件</w:t>
      </w:r>
      <w:r>
        <w:rPr>
          <w:spacing w:val="-3"/>
        </w:rPr>
        <w:t>排除調處程序之適用，其立法考量主要是認為復審案件涉及合法性、合目的性之</w:t>
      </w:r>
      <w:r>
        <w:rPr>
          <w:spacing w:val="-1"/>
        </w:rPr>
        <w:t>判斷，不適合將調處制度適用於此部份之人事行政領域。然而有學者認為</w:t>
      </w:r>
      <w:r>
        <w:rPr>
          <w:rFonts w:ascii="Times New Roman" w:eastAsia="Times New Roman"/>
          <w:vertAlign w:val="superscript"/>
        </w:rPr>
        <w:t>84</w:t>
      </w:r>
      <w:r>
        <w:rPr>
          <w:vertAlign w:val="baseline"/>
        </w:rPr>
        <w:t>，將</w:t>
      </w:r>
      <w:r>
        <w:rPr>
          <w:spacing w:val="-3"/>
          <w:vertAlign w:val="baseline"/>
        </w:rPr>
        <w:t>調處程序作為行政程序中之紛爭解決機制，或是在行政程序中廣泛的適用類似於締結和解契約之方式解決紛爭，並不一定影響行政處分合法性之判斷。蓋因公務</w:t>
      </w:r>
      <w:r>
        <w:rPr>
          <w:vertAlign w:val="baseline"/>
        </w:rPr>
        <w:t>人員針對人事行政處分提起復審，並不全然係針對合法性有疑義之行政處分為</w:t>
      </w:r>
      <w:r>
        <w:rPr>
          <w:spacing w:val="-3"/>
          <w:vertAlign w:val="baseline"/>
        </w:rPr>
        <w:t>之，倘若僅係針對合目的性之疑義提起復審，此時即與行政處分之合法性判斷無涉，而得為調處程序之客體。因此，透過調處成立而締結和解契約，只是影響合法性之審理與判斷的謹慎程度高低而已，不應一律排除調處程序在復審事件之適</w:t>
      </w:r>
      <w:r>
        <w:rPr>
          <w:spacing w:val="-1"/>
          <w:vertAlign w:val="baseline"/>
        </w:rPr>
        <w:t>用。此外，另有論者認為</w:t>
      </w:r>
      <w:r>
        <w:rPr>
          <w:rFonts w:ascii="Times New Roman" w:eastAsia="Times New Roman"/>
          <w:vertAlign w:val="superscript"/>
        </w:rPr>
        <w:t>85</w:t>
      </w:r>
      <w:r>
        <w:rPr>
          <w:vertAlign w:val="baseline"/>
        </w:rPr>
        <w:t>，行政訴訟程序中所爭執之客體亦為行政處分之合法</w:t>
      </w:r>
      <w:r>
        <w:rPr>
          <w:spacing w:val="-3"/>
          <w:vertAlign w:val="baseline"/>
        </w:rPr>
        <w:t>性，既然行政處分在行政訴訟程序中亦可成為和解之客體，則作為提起行政訴訟前置程序之復審程序，依舉重以明輕之法理，實無拒絕適用與和解具有同一性質之調處程序的道理，因此，針對復審事件進行調處程序以解決紛爭之容許性，應</w:t>
      </w:r>
      <w:r>
        <w:rPr>
          <w:vertAlign w:val="baseline"/>
        </w:rPr>
        <w:t>予以肯定。</w:t>
      </w:r>
    </w:p>
    <w:p>
      <w:pPr>
        <w:pStyle w:val="BodyText"/>
        <w:rPr>
          <w:sz w:val="25"/>
        </w:rPr>
      </w:pPr>
    </w:p>
    <w:p>
      <w:pPr>
        <w:pStyle w:val="Heading3"/>
        <w:spacing w:before="1"/>
      </w:pPr>
      <w:bookmarkStart w:name="_TOC_250027" w:id="12"/>
      <w:bookmarkEnd w:id="12"/>
      <w:r>
        <w:rPr/>
        <w:t>（二）針對復審事件調處成立之範圍</w:t>
      </w:r>
    </w:p>
    <w:p>
      <w:pPr>
        <w:pStyle w:val="BodyText"/>
        <w:spacing w:before="5"/>
        <w:rPr>
          <w:rFonts w:ascii="標楷體"/>
          <w:b/>
          <w:sz w:val="29"/>
        </w:rPr>
      </w:pPr>
    </w:p>
    <w:p>
      <w:pPr>
        <w:pStyle w:val="BodyText"/>
        <w:spacing w:line="295" w:lineRule="auto"/>
        <w:ind w:left="900" w:right="917" w:firstLine="480"/>
        <w:jc w:val="both"/>
      </w:pPr>
      <w:r>
        <w:rPr>
          <w:spacing w:val="-3"/>
        </w:rPr>
        <w:t>在肯認調處程序得作為人事行政紛爭解決機制之容許性後，仍須進一步釐清調處成立時，因調處成立而締結之契約內容究竟有無限制？承前所述，因調處成立而締結之契約，其性質係具有公法性質之行政契約，因此，仍須受到行政法上</w:t>
      </w:r>
      <w:r>
        <w:rPr/>
        <w:t>對於公法契約之限制。</w:t>
      </w:r>
    </w:p>
    <w:p>
      <w:pPr>
        <w:pStyle w:val="BodyText"/>
        <w:spacing w:before="13"/>
        <w:rPr>
          <w:sz w:val="29"/>
        </w:rPr>
      </w:pPr>
    </w:p>
    <w:p>
      <w:pPr>
        <w:pStyle w:val="BodyText"/>
        <w:spacing w:line="295" w:lineRule="auto"/>
        <w:ind w:left="900" w:right="909" w:firstLine="480"/>
        <w:jc w:val="both"/>
      </w:pPr>
      <w:r>
        <w:rPr>
          <w:spacing w:val="-5"/>
        </w:rPr>
        <w:t>查行政程序法第 </w:t>
      </w:r>
      <w:r>
        <w:rPr>
          <w:rFonts w:ascii="Times New Roman" w:eastAsia="Times New Roman"/>
          <w:spacing w:val="-2"/>
        </w:rPr>
        <w:t>136</w:t>
      </w:r>
      <w:r>
        <w:rPr>
          <w:rFonts w:ascii="Times New Roman" w:eastAsia="Times New Roman"/>
          <w:spacing w:val="-11"/>
        </w:rPr>
        <w:t> </w:t>
      </w:r>
      <w:r>
        <w:rPr>
          <w:spacing w:val="-2"/>
        </w:rPr>
        <w:t>條和解契約規定，得訂定和解契約之範圍，係限定於行</w:t>
      </w:r>
      <w:r>
        <w:rPr>
          <w:spacing w:val="-3"/>
        </w:rPr>
        <w:t>政處分所依據之事實或法律關係，換言之，公務人員與服務機關所簽訂之調處成立契約，因其性質與行政程序法之和解契約相類似，故其範圍亦應限定於人事行</w:t>
      </w:r>
      <w:r>
        <w:rPr/>
        <w:t>政行政處分所依據之事實或法律關係始得訂立調處成立契約。至於法律效果部</w:t>
      </w:r>
      <w:r>
        <w:rPr>
          <w:spacing w:val="-3"/>
        </w:rPr>
        <w:t>分，則須依法律之規定，不得違反法律強制規定而締結調處成立契約，否則將損及依法行政原則。例如公務人員某甲因為工作表現不佳而遭服務機關年終考績丁</w:t>
      </w:r>
    </w:p>
    <w:p>
      <w:pPr>
        <w:pStyle w:val="BodyText"/>
        <w:spacing w:before="4"/>
        <w:rPr>
          <w:sz w:val="26"/>
        </w:rPr>
      </w:pPr>
      <w:r>
        <w:rPr/>
        <w:pict>
          <v:rect style="position:absolute;margin-left:90pt;margin-top:20.347178pt;width:144pt;height:.600010pt;mso-position-horizontal-relative:page;mso-position-vertical-relative:paragraph;z-index:-15705088;mso-wrap-distance-left:0;mso-wrap-distance-right:0" filled="true" fillcolor="#000000" stroked="false">
            <v:fill type="solid"/>
            <w10:wrap type="topAndBottom"/>
          </v:rect>
        </w:pict>
      </w:r>
    </w:p>
    <w:p>
      <w:pPr>
        <w:spacing w:line="223" w:lineRule="auto" w:before="82"/>
        <w:ind w:left="900" w:right="914" w:firstLine="0"/>
        <w:jc w:val="left"/>
        <w:rPr>
          <w:sz w:val="22"/>
        </w:rPr>
      </w:pPr>
      <w:r>
        <w:rPr>
          <w:rFonts w:ascii="Times New Roman" w:eastAsia="Times New Roman"/>
          <w:sz w:val="22"/>
          <w:vertAlign w:val="superscript"/>
        </w:rPr>
        <w:t>84</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日專家座談會，程明修教授之發言。</w:t>
      </w:r>
    </w:p>
    <w:p>
      <w:pPr>
        <w:spacing w:line="223" w:lineRule="auto" w:before="0"/>
        <w:ind w:left="900" w:right="914" w:firstLine="0"/>
        <w:jc w:val="left"/>
        <w:rPr>
          <w:sz w:val="22"/>
        </w:rPr>
      </w:pPr>
      <w:r>
        <w:rPr>
          <w:rFonts w:ascii="Times New Roman" w:eastAsia="Times New Roman"/>
          <w:sz w:val="22"/>
          <w:vertAlign w:val="superscript"/>
        </w:rPr>
        <w:t>85</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日專家座談會，林昱梅教授之發言。</w:t>
      </w:r>
    </w:p>
    <w:p>
      <w:pPr>
        <w:spacing w:after="0" w:line="223" w:lineRule="auto"/>
        <w:jc w:val="left"/>
        <w:rPr>
          <w:sz w:val="22"/>
        </w:rPr>
        <w:sectPr>
          <w:pgSz w:w="11910" w:h="16840"/>
          <w:pgMar w:header="0" w:footer="938" w:top="1440" w:bottom="1200" w:left="900" w:right="880"/>
        </w:sectPr>
      </w:pPr>
    </w:p>
    <w:p>
      <w:pPr>
        <w:pStyle w:val="BodyText"/>
        <w:spacing w:line="295" w:lineRule="auto" w:before="58"/>
        <w:ind w:left="900" w:right="914"/>
        <w:jc w:val="both"/>
      </w:pPr>
      <w:r>
        <w:rPr>
          <w:spacing w:val="-4"/>
        </w:rPr>
        <w:t>等，並依公務人員考績法第 </w:t>
      </w:r>
      <w:r>
        <w:rPr>
          <w:rFonts w:ascii="Times New Roman" w:eastAsia="Times New Roman"/>
          <w:spacing w:val="-3"/>
        </w:rPr>
        <w:t>7</w:t>
      </w:r>
      <w:r>
        <w:rPr>
          <w:rFonts w:ascii="Times New Roman" w:eastAsia="Times New Roman"/>
          <w:spacing w:val="-9"/>
        </w:rPr>
        <w:t> </w:t>
      </w:r>
      <w:r>
        <w:rPr>
          <w:spacing w:val="-3"/>
        </w:rPr>
        <w:t>條規定，應予免職，倘若某甲與服務機關在復審程序審理過程中經調處而欲成立調處契約，其契約之範圍，應僅限於針對導致考績</w:t>
      </w:r>
      <w:r>
        <w:rPr>
          <w:spacing w:val="-8"/>
        </w:rPr>
        <w:t>丁等之「工作表現不佳事實的有無」，以及「是否以此一工作表現不佳之事實而</w:t>
      </w:r>
      <w:r>
        <w:rPr>
          <w:spacing w:val="-3"/>
        </w:rPr>
        <w:t>認定考績丁等」之法律關係部分，始具有成立調處契約之處分權限。至於公務人</w:t>
      </w:r>
      <w:r>
        <w:rPr/>
        <w:t>員考績法第 </w:t>
      </w:r>
      <w:r>
        <w:rPr>
          <w:rFonts w:ascii="Times New Roman" w:eastAsia="Times New Roman"/>
        </w:rPr>
        <w:t>7</w:t>
      </w:r>
      <w:r>
        <w:rPr>
          <w:rFonts w:ascii="Times New Roman" w:eastAsia="Times New Roman"/>
          <w:spacing w:val="7"/>
        </w:rPr>
        <w:t> </w:t>
      </w:r>
      <w:r>
        <w:rPr>
          <w:spacing w:val="-6"/>
        </w:rPr>
        <w:t>條規定考績丁等「依法應予免職之法律效果」，公務人員與服務機</w:t>
      </w:r>
      <w:r>
        <w:rPr>
          <w:spacing w:val="-3"/>
        </w:rPr>
        <w:t>關對此一法律強制規定之法律效果並無處分權，故就此部分不得透過締結調處契約變更之。以前述某甲因工作表現不佳而獲考績丁等為例，倘若調處成立而締結</w:t>
      </w:r>
      <w:r>
        <w:rPr>
          <w:spacing w:val="-4"/>
        </w:rPr>
        <w:t>調處契約，雙方決定改為考績丙等，此時依公務人員考績法第 </w:t>
      </w:r>
      <w:r>
        <w:rPr>
          <w:rFonts w:ascii="Times New Roman" w:eastAsia="Times New Roman"/>
          <w:spacing w:val="-2"/>
        </w:rPr>
        <w:t>7</w:t>
      </w:r>
      <w:r>
        <w:rPr>
          <w:rFonts w:ascii="Times New Roman" w:eastAsia="Times New Roman"/>
          <w:spacing w:val="-10"/>
        </w:rPr>
        <w:t> </w:t>
      </w:r>
      <w:r>
        <w:rPr>
          <w:spacing w:val="-2"/>
        </w:rPr>
        <w:t>條規定，應留原</w:t>
      </w:r>
      <w:r>
        <w:rPr/>
        <w:t>俸級，不得對某甲加薪、減俸或給與獎金。</w:t>
      </w:r>
    </w:p>
    <w:p>
      <w:pPr>
        <w:pStyle w:val="BodyText"/>
        <w:spacing w:before="10"/>
        <w:rPr>
          <w:sz w:val="22"/>
        </w:rPr>
      </w:pPr>
    </w:p>
    <w:p>
      <w:pPr>
        <w:pStyle w:val="Heading2"/>
        <w:jc w:val="both"/>
      </w:pPr>
      <w:bookmarkStart w:name="_TOC_250026" w:id="13"/>
      <w:bookmarkEnd w:id="13"/>
      <w:r>
        <w:rPr>
          <w:spacing w:val="7"/>
        </w:rPr>
        <w:t>第四節   小結</w:t>
      </w:r>
    </w:p>
    <w:p>
      <w:pPr>
        <w:pStyle w:val="BodyText"/>
        <w:spacing w:before="4"/>
        <w:rPr>
          <w:b/>
          <w:sz w:val="27"/>
        </w:rPr>
      </w:pPr>
    </w:p>
    <w:p>
      <w:pPr>
        <w:pStyle w:val="BodyText"/>
        <w:spacing w:line="295" w:lineRule="auto"/>
        <w:ind w:left="899" w:right="856" w:firstLine="480"/>
        <w:jc w:val="both"/>
      </w:pPr>
      <w:r>
        <w:rPr>
          <w:spacing w:val="-2"/>
        </w:rPr>
        <w:t>由於透過爭訟裁決以外之途徑解決紛爭具有迅速解決紛爭、較低成本、避免遺留難以彌平之裂痕等優點，因此在近年來日益受到重視，另因復審程序以及未來可能產生的行政訴訟，其所耗費的時間、精力等成本均非常可觀，更須慮及往後公務人員在服務機關內繼續服務之影響，因此，透過保障法之調處制度，不僅</w:t>
      </w:r>
      <w:r>
        <w:rPr>
          <w:spacing w:val="-1"/>
        </w:rPr>
        <w:t>可以解決公務人員與服務機關間之紛爭，亦有助於舒緩兩者間緊張之對立關係，</w:t>
      </w:r>
      <w:r>
        <w:rPr>
          <w:spacing w:val="-60"/>
        </w:rPr>
        <w:t> </w:t>
      </w:r>
      <w:r>
        <w:rPr>
          <w:spacing w:val="-2"/>
        </w:rPr>
        <w:t>並兼顧公務人員權益之保障。至於有論者質疑調處成立契約的合法性及調處成立契約範圍問題，相信在保訓會的主導、監督下，應可避免公務人員與服務機關濫</w:t>
      </w:r>
      <w:r>
        <w:rPr/>
        <w:t>用調處成立契約而破壞人事行政體系，並兼顧依法行政原則及公務人員權益保障，因此，本文建議保障法第五章之調處程序應將復審事件一併納入。</w:t>
      </w:r>
    </w:p>
    <w:p>
      <w:pPr>
        <w:spacing w:after="0" w:line="295" w:lineRule="auto"/>
        <w:jc w:val="both"/>
        <w:sectPr>
          <w:pgSz w:w="11910" w:h="16840"/>
          <w:pgMar w:header="0" w:footer="938" w:top="1420" w:bottom="1200" w:left="900" w:right="880"/>
        </w:sectPr>
      </w:pPr>
    </w:p>
    <w:p>
      <w:pPr>
        <w:pStyle w:val="BodyText"/>
        <w:spacing w:before="6"/>
        <w:rPr>
          <w:sz w:val="21"/>
        </w:rPr>
      </w:pPr>
    </w:p>
    <w:p>
      <w:pPr>
        <w:pStyle w:val="Heading1"/>
      </w:pPr>
      <w:bookmarkStart w:name="_TOC_250025" w:id="14"/>
      <w:bookmarkEnd w:id="14"/>
      <w:r>
        <w:rPr/>
        <w:t>第四章 停止執行適用於公務人員再申訴事件之可行性</w:t>
      </w:r>
    </w:p>
    <w:p>
      <w:pPr>
        <w:pStyle w:val="BodyText"/>
        <w:spacing w:before="2"/>
        <w:rPr>
          <w:b/>
          <w:sz w:val="38"/>
        </w:rPr>
      </w:pPr>
    </w:p>
    <w:p>
      <w:pPr>
        <w:pStyle w:val="BodyText"/>
        <w:spacing w:line="295" w:lineRule="auto" w:before="1"/>
        <w:ind w:left="900" w:right="857" w:firstLine="480"/>
        <w:jc w:val="both"/>
      </w:pPr>
      <w:r>
        <w:rPr>
          <w:spacing w:val="-3"/>
        </w:rPr>
        <w:t>依據我國保障法第 </w:t>
      </w:r>
      <w:r>
        <w:rPr>
          <w:rFonts w:ascii="Times New Roman" w:hAnsi="Times New Roman" w:eastAsia="Times New Roman"/>
          <w:spacing w:val="-1"/>
        </w:rPr>
        <w:t>89</w:t>
      </w:r>
      <w:r>
        <w:rPr>
          <w:rFonts w:ascii="Times New Roman" w:hAnsi="Times New Roman" w:eastAsia="Times New Roman"/>
          <w:spacing w:val="-12"/>
        </w:rPr>
        <w:t> </w:t>
      </w:r>
      <w:r>
        <w:rPr>
          <w:spacing w:val="-6"/>
        </w:rPr>
        <w:t>條第 </w:t>
      </w:r>
      <w:r>
        <w:rPr>
          <w:rFonts w:ascii="Times New Roman" w:hAnsi="Times New Roman" w:eastAsia="Times New Roman"/>
          <w:spacing w:val="-1"/>
        </w:rPr>
        <w:t>2</w:t>
      </w:r>
      <w:r>
        <w:rPr>
          <w:rFonts w:ascii="Times New Roman" w:hAnsi="Times New Roman" w:eastAsia="Times New Roman"/>
          <w:spacing w:val="-12"/>
        </w:rPr>
        <w:t> </w:t>
      </w:r>
      <w:r>
        <w:rPr>
          <w:spacing w:val="-11"/>
        </w:rPr>
        <w:t>項之規定，保障程序之當事人─不論其為申訴、</w:t>
      </w:r>
      <w:r>
        <w:rPr>
          <w:spacing w:val="-2"/>
        </w:rPr>
        <w:t>再申訴或復審事件─皆享有「停止執行」制度之保障。由於保障法之停止執行不</w:t>
      </w:r>
      <w:r>
        <w:rPr/>
        <w:t>限於以「行政處分」為標的，其相較於訴願法第 </w:t>
      </w:r>
      <w:r>
        <w:rPr>
          <w:rFonts w:ascii="Times New Roman" w:hAnsi="Times New Roman" w:eastAsia="Times New Roman"/>
        </w:rPr>
        <w:t>93</w:t>
      </w:r>
      <w:r>
        <w:rPr>
          <w:rFonts w:ascii="Times New Roman" w:hAnsi="Times New Roman" w:eastAsia="Times New Roman"/>
          <w:spacing w:val="6"/>
        </w:rPr>
        <w:t> </w:t>
      </w:r>
      <w:r>
        <w:rPr/>
        <w:t>條與行政訴訟法第 </w:t>
      </w:r>
      <w:r>
        <w:rPr>
          <w:rFonts w:ascii="Times New Roman" w:hAnsi="Times New Roman" w:eastAsia="Times New Roman"/>
        </w:rPr>
        <w:t>116</w:t>
      </w:r>
      <w:r>
        <w:rPr>
          <w:rFonts w:ascii="Times New Roman" w:hAnsi="Times New Roman" w:eastAsia="Times New Roman"/>
          <w:spacing w:val="6"/>
        </w:rPr>
        <w:t> </w:t>
      </w:r>
      <w:r>
        <w:rPr/>
        <w:t>條所</w:t>
      </w:r>
      <w:r>
        <w:rPr>
          <w:spacing w:val="-11"/>
        </w:rPr>
        <w:t>規範之「停止執行」，擁有更為廣泛的適用範圍。然而，針對公務人員救濟程序</w:t>
      </w:r>
      <w:r>
        <w:rPr>
          <w:spacing w:val="-2"/>
        </w:rPr>
        <w:t>與一般爭訟程序對於停止執行適用範圍之不同，或許必須進一步思考，究竟「停</w:t>
      </w:r>
      <w:r>
        <w:rPr>
          <w:spacing w:val="-17"/>
        </w:rPr>
        <w:t>止執行」制度的功能為何？停止執行之標的是否應侷限於「行政處分」？以申訴、</w:t>
      </w:r>
      <w:r>
        <w:rPr>
          <w:spacing w:val="-2"/>
        </w:rPr>
        <w:t>再申訴事件而言，一般認為其個案中並不存在行政處分，此時一併適用停止執行</w:t>
      </w:r>
      <w:r>
        <w:rPr>
          <w:spacing w:val="-18"/>
        </w:rPr>
        <w:t>制度，在法理上是否妥適？吾人是否應致力於維護一個統一的「停止執行」概念，</w:t>
      </w:r>
      <w:r>
        <w:rPr>
          <w:spacing w:val="-60"/>
        </w:rPr>
        <w:t> </w:t>
      </w:r>
      <w:r>
        <w:rPr>
          <w:spacing w:val="-1"/>
        </w:rPr>
        <w:t>在未來修法時將保障法第 </w:t>
      </w:r>
      <w:r>
        <w:rPr>
          <w:rFonts w:ascii="Times New Roman" w:hAnsi="Times New Roman" w:eastAsia="Times New Roman"/>
        </w:rPr>
        <w:t>89 </w:t>
      </w:r>
      <w:r>
        <w:rPr>
          <w:spacing w:val="-1"/>
        </w:rPr>
        <w:t>條第 </w:t>
      </w:r>
      <w:r>
        <w:rPr>
          <w:rFonts w:ascii="Times New Roman" w:hAnsi="Times New Roman" w:eastAsia="Times New Roman"/>
        </w:rPr>
        <w:t>2 </w:t>
      </w:r>
      <w:r>
        <w:rPr/>
        <w:t>項之停止執行侷限於復審事件？</w:t>
      </w:r>
    </w:p>
    <w:p>
      <w:pPr>
        <w:pStyle w:val="BodyText"/>
        <w:spacing w:before="4"/>
        <w:rPr>
          <w:sz w:val="30"/>
        </w:rPr>
      </w:pPr>
    </w:p>
    <w:p>
      <w:pPr>
        <w:pStyle w:val="BodyText"/>
        <w:spacing w:line="295" w:lineRule="auto" w:before="1"/>
        <w:ind w:left="900" w:right="914" w:firstLine="480"/>
        <w:jc w:val="both"/>
      </w:pPr>
      <w:r>
        <w:rPr>
          <w:spacing w:val="-3"/>
        </w:rPr>
        <w:t>針對前述問題，除了涉及「停止執行」制度本身的運用，與整個公務人員保障程序的劃分亦息息相關。基此，本文首先針對「再申訴」事件，依據保障法對於保障事件的劃分，從實務上受理的案件類型，探究「再申訴」事件的內涵，並檢討目前保障法上劃分「復審」與「申訴、再申訴」事件之原因。其後，論述目前保障法上有關「停止執行」之法規依據，以及其與訴願法、行政訴訟法之間的關係為何，並從完整的暫時權利保護的要求，觀察現行保障法「停止執行」之制度是否已對公務人員之權利提供完整、有效的保護。復就本文最核心之問題，即現行保障法讓「再申訴」案件一併適用「停止執行」是否妥適的問題，從暫時權利保護的功能，以及特別權力關係對於公務人員保障程序影響的角度，提出本文</w:t>
      </w:r>
      <w:r>
        <w:rPr/>
        <w:t>之想法。</w:t>
      </w:r>
    </w:p>
    <w:p>
      <w:pPr>
        <w:pStyle w:val="BodyText"/>
        <w:spacing w:before="10"/>
        <w:rPr>
          <w:sz w:val="22"/>
        </w:rPr>
      </w:pPr>
    </w:p>
    <w:p>
      <w:pPr>
        <w:pStyle w:val="Heading2"/>
        <w:spacing w:before="1"/>
      </w:pPr>
      <w:bookmarkStart w:name="_TOC_250024" w:id="15"/>
      <w:bookmarkEnd w:id="15"/>
      <w:r>
        <w:rPr>
          <w:spacing w:val="4"/>
        </w:rPr>
        <w:t>第一節 停止執行之概述</w:t>
      </w:r>
    </w:p>
    <w:p>
      <w:pPr>
        <w:pStyle w:val="BodyText"/>
        <w:rPr>
          <w:b/>
          <w:sz w:val="28"/>
        </w:rPr>
      </w:pPr>
    </w:p>
    <w:p>
      <w:pPr>
        <w:pStyle w:val="BodyText"/>
        <w:spacing w:before="1"/>
        <w:rPr>
          <w:b/>
          <w:sz w:val="23"/>
        </w:rPr>
      </w:pPr>
    </w:p>
    <w:p>
      <w:pPr>
        <w:pStyle w:val="Heading3"/>
        <w:spacing w:before="1"/>
        <w:rPr>
          <w:rFonts w:ascii="新細明體" w:eastAsia="新細明體" w:hint="eastAsia"/>
        </w:rPr>
      </w:pPr>
      <w:bookmarkStart w:name="_TOC_250023" w:id="16"/>
      <w:bookmarkEnd w:id="16"/>
      <w:r>
        <w:rPr>
          <w:rFonts w:ascii="新細明體" w:eastAsia="新細明體" w:hint="eastAsia"/>
          <w:w w:val="95"/>
        </w:rPr>
        <w:t>一、實定法之規範</w:t>
      </w:r>
    </w:p>
    <w:p>
      <w:pPr>
        <w:pStyle w:val="BodyText"/>
        <w:spacing w:before="5"/>
        <w:rPr>
          <w:b/>
          <w:sz w:val="29"/>
        </w:rPr>
      </w:pPr>
    </w:p>
    <w:p>
      <w:pPr>
        <w:pStyle w:val="BodyText"/>
        <w:spacing w:line="295" w:lineRule="auto"/>
        <w:ind w:left="900" w:right="913" w:firstLine="565"/>
        <w:jc w:val="both"/>
      </w:pPr>
      <w:r>
        <w:rPr/>
        <w:t>一般而言，我國行政救濟中，暫時權利保護制度包括停止執行制度及行政</w:t>
      </w:r>
      <w:r>
        <w:rPr>
          <w:spacing w:val="-3"/>
        </w:rPr>
        <w:t>訴訟法第七編之保全程序，而停止執行制度又可區分為行政訴訟法上之停止執行</w:t>
      </w:r>
      <w:r>
        <w:rPr>
          <w:spacing w:val="-4"/>
        </w:rPr>
        <w:t>以及訴願法上之停止執行。因此，在討論公務人員保障程序中之「停止執行」，</w:t>
      </w:r>
      <w:r>
        <w:rPr>
          <w:spacing w:val="-60"/>
        </w:rPr>
        <w:t> </w:t>
      </w:r>
      <w:r>
        <w:rPr/>
        <w:t>尤須注意其與訴願法及行政訴訟法間之關係。</w:t>
      </w:r>
    </w:p>
    <w:p>
      <w:pPr>
        <w:spacing w:after="0" w:line="295" w:lineRule="auto"/>
        <w:jc w:val="both"/>
        <w:sectPr>
          <w:pgSz w:w="11910" w:h="16840"/>
          <w:pgMar w:header="0" w:footer="938" w:top="1600" w:bottom="1200" w:left="900" w:right="880"/>
        </w:sectPr>
      </w:pPr>
    </w:p>
    <w:p>
      <w:pPr>
        <w:pStyle w:val="BodyText"/>
        <w:spacing w:line="295" w:lineRule="auto" w:before="38"/>
        <w:ind w:left="900" w:right="915" w:firstLine="480"/>
        <w:jc w:val="both"/>
      </w:pPr>
      <w:r>
        <w:rPr>
          <w:spacing w:val="-3"/>
        </w:rPr>
        <w:t>現行法中，保訓會對保障事件所為的停止執行，其實定法上之基礎，主要在</w:t>
      </w:r>
      <w:r>
        <w:rPr>
          <w:spacing w:val="1"/>
        </w:rPr>
        <w:t>於保障法第 </w:t>
      </w:r>
      <w:r>
        <w:rPr>
          <w:rFonts w:ascii="Times New Roman" w:eastAsia="Times New Roman"/>
        </w:rPr>
        <w:t>89</w:t>
      </w:r>
      <w:r>
        <w:rPr>
          <w:rFonts w:ascii="Times New Roman" w:eastAsia="Times New Roman"/>
          <w:spacing w:val="13"/>
        </w:rPr>
        <w:t> </w:t>
      </w:r>
      <w:r>
        <w:rPr/>
        <w:t>條</w:t>
      </w:r>
      <w:r>
        <w:rPr>
          <w:rFonts w:ascii="Times New Roman" w:eastAsia="Times New Roman"/>
          <w:vertAlign w:val="superscript"/>
        </w:rPr>
        <w:t>86</w:t>
      </w:r>
      <w:r>
        <w:rPr>
          <w:spacing w:val="2"/>
          <w:vertAlign w:val="baseline"/>
        </w:rPr>
        <w:t>及同法第 </w:t>
      </w:r>
      <w:r>
        <w:rPr>
          <w:rFonts w:ascii="Times New Roman" w:eastAsia="Times New Roman"/>
          <w:vertAlign w:val="baseline"/>
        </w:rPr>
        <w:t>90</w:t>
      </w:r>
      <w:r>
        <w:rPr>
          <w:rFonts w:ascii="Times New Roman" w:eastAsia="Times New Roman"/>
          <w:spacing w:val="11"/>
          <w:vertAlign w:val="baseline"/>
        </w:rPr>
        <w:t> </w:t>
      </w:r>
      <w:r>
        <w:rPr>
          <w:vertAlign w:val="baseline"/>
        </w:rPr>
        <w:t>條</w:t>
      </w:r>
      <w:r>
        <w:rPr>
          <w:rFonts w:ascii="Times New Roman" w:eastAsia="Times New Roman"/>
          <w:vertAlign w:val="superscript"/>
        </w:rPr>
        <w:t>87</w:t>
      </w:r>
      <w:r>
        <w:rPr>
          <w:vertAlign w:val="baseline"/>
        </w:rPr>
        <w:t>之規定，從此兩條規定的形式與內容觀之，</w:t>
      </w:r>
    </w:p>
    <w:p>
      <w:pPr>
        <w:pStyle w:val="BodyText"/>
        <w:spacing w:line="295" w:lineRule="auto" w:before="2"/>
        <w:ind w:left="900" w:right="914"/>
        <w:jc w:val="both"/>
      </w:pPr>
      <w:r>
        <w:rPr>
          <w:spacing w:val="1"/>
        </w:rPr>
        <w:t>其制度設計與現行訴願法第 </w:t>
      </w:r>
      <w:r>
        <w:rPr>
          <w:rFonts w:ascii="Times New Roman" w:eastAsia="Times New Roman"/>
        </w:rPr>
        <w:t>93</w:t>
      </w:r>
      <w:r>
        <w:rPr>
          <w:rFonts w:ascii="Times New Roman" w:eastAsia="Times New Roman"/>
          <w:spacing w:val="15"/>
        </w:rPr>
        <w:t> </w:t>
      </w:r>
      <w:r>
        <w:rPr/>
        <w:t>條</w:t>
      </w:r>
      <w:r>
        <w:rPr>
          <w:rFonts w:ascii="Times New Roman" w:eastAsia="Times New Roman"/>
          <w:vertAlign w:val="superscript"/>
        </w:rPr>
        <w:t>88</w:t>
      </w:r>
      <w:r>
        <w:rPr>
          <w:spacing w:val="3"/>
          <w:vertAlign w:val="baseline"/>
        </w:rPr>
        <w:t>及同法 </w:t>
      </w:r>
      <w:r>
        <w:rPr>
          <w:rFonts w:ascii="Times New Roman" w:eastAsia="Times New Roman"/>
          <w:vertAlign w:val="baseline"/>
        </w:rPr>
        <w:t>94</w:t>
      </w:r>
      <w:r>
        <w:rPr>
          <w:rFonts w:ascii="Times New Roman" w:eastAsia="Times New Roman"/>
          <w:spacing w:val="14"/>
          <w:vertAlign w:val="baseline"/>
        </w:rPr>
        <w:t> </w:t>
      </w:r>
      <w:r>
        <w:rPr>
          <w:vertAlign w:val="baseline"/>
        </w:rPr>
        <w:t>條</w:t>
      </w:r>
      <w:r>
        <w:rPr>
          <w:rFonts w:ascii="Times New Roman" w:eastAsia="Times New Roman"/>
          <w:vertAlign w:val="superscript"/>
        </w:rPr>
        <w:t>89</w:t>
      </w:r>
      <w:r>
        <w:rPr>
          <w:vertAlign w:val="baseline"/>
        </w:rPr>
        <w:t>約略相同，兩者分別肩負有關</w:t>
      </w:r>
      <w:r>
        <w:rPr>
          <w:spacing w:val="-3"/>
          <w:vertAlign w:val="baseline"/>
        </w:rPr>
        <w:t>保障事件及一般行政爭訟事件的暫時權利保護問題。因此，在適用上，保訓會處理保障事件之停止執行問題時，原則上毋庸再行援引訴願法上之相關規定，換言</w:t>
      </w:r>
      <w:r>
        <w:rPr>
          <w:spacing w:val="-8"/>
          <w:vertAlign w:val="baseline"/>
        </w:rPr>
        <w:t>之，至少在保障法之範圍內，為訴願法的「特別法</w:t>
      </w:r>
      <w:r>
        <w:rPr>
          <w:vertAlign w:val="baseline"/>
        </w:rPr>
        <w:t>（</w:t>
      </w:r>
      <w:r>
        <w:rPr>
          <w:rFonts w:ascii="Times New Roman" w:eastAsia="Times New Roman"/>
          <w:vertAlign w:val="baseline"/>
        </w:rPr>
        <w:t>lex </w:t>
      </w:r>
      <w:r>
        <w:rPr>
          <w:rFonts w:ascii="Times New Roman" w:eastAsia="Times New Roman"/>
          <w:spacing w:val="-2"/>
          <w:vertAlign w:val="baseline"/>
        </w:rPr>
        <w:t>s</w:t>
      </w:r>
      <w:r>
        <w:rPr>
          <w:rFonts w:ascii="Times New Roman" w:eastAsia="Times New Roman"/>
          <w:vertAlign w:val="baseline"/>
        </w:rPr>
        <w:t>peci</w:t>
      </w:r>
      <w:r>
        <w:rPr>
          <w:rFonts w:ascii="Times New Roman" w:eastAsia="Times New Roman"/>
          <w:spacing w:val="-1"/>
          <w:vertAlign w:val="baseline"/>
        </w:rPr>
        <w:t>a</w:t>
      </w:r>
      <w:r>
        <w:rPr>
          <w:rFonts w:ascii="Times New Roman" w:eastAsia="Times New Roman"/>
          <w:vertAlign w:val="baseline"/>
        </w:rPr>
        <w:t>li</w:t>
      </w:r>
      <w:r>
        <w:rPr>
          <w:rFonts w:ascii="Times New Roman" w:eastAsia="Times New Roman"/>
          <w:spacing w:val="-1"/>
          <w:vertAlign w:val="baseline"/>
        </w:rPr>
        <w:t>s</w:t>
      </w:r>
      <w:r>
        <w:rPr>
          <w:spacing w:val="-120"/>
          <w:vertAlign w:val="baseline"/>
        </w:rPr>
        <w:t>）</w:t>
      </w:r>
      <w:r>
        <w:rPr>
          <w:spacing w:val="-21"/>
          <w:vertAlign w:val="baseline"/>
        </w:rPr>
        <w:t>」，訴願法不再</w:t>
      </w:r>
      <w:r>
        <w:rPr>
          <w:vertAlign w:val="baseline"/>
        </w:rPr>
        <w:t>有適用餘地。實則，我國現行保障法在 </w:t>
      </w:r>
      <w:r>
        <w:rPr>
          <w:rFonts w:ascii="Times New Roman" w:eastAsia="Times New Roman"/>
          <w:vertAlign w:val="baseline"/>
        </w:rPr>
        <w:t>92</w:t>
      </w:r>
      <w:r>
        <w:rPr>
          <w:rFonts w:ascii="Times New Roman" w:eastAsia="Times New Roman"/>
          <w:spacing w:val="7"/>
          <w:vertAlign w:val="baseline"/>
        </w:rPr>
        <w:t> </w:t>
      </w:r>
      <w:r>
        <w:rPr>
          <w:vertAlign w:val="baseline"/>
        </w:rPr>
        <w:t>年大幅修正時，立法者即有意排除準</w:t>
      </w:r>
      <w:r>
        <w:rPr>
          <w:spacing w:val="-3"/>
          <w:vertAlign w:val="baseline"/>
        </w:rPr>
        <w:t>用訴願法之規定，而將訴願法當中相關的規定盡行納入。鑑於此一立法旨趣，保</w:t>
      </w:r>
      <w:r>
        <w:rPr>
          <w:vertAlign w:val="baseline"/>
        </w:rPr>
        <w:t>訓會之停止執行問題，似乎也不宜貿然類推適用訴願法之其他規定</w:t>
      </w:r>
      <w:r>
        <w:rPr>
          <w:rFonts w:ascii="Times New Roman" w:eastAsia="Times New Roman"/>
          <w:vertAlign w:val="superscript"/>
        </w:rPr>
        <w:t>90</w:t>
      </w:r>
      <w:r>
        <w:rPr>
          <w:vertAlign w:val="baseline"/>
        </w:rPr>
        <w:t>。</w:t>
      </w:r>
    </w:p>
    <w:p>
      <w:pPr>
        <w:pStyle w:val="BodyText"/>
        <w:spacing w:before="3"/>
        <w:rPr>
          <w:sz w:val="30"/>
        </w:rPr>
      </w:pPr>
    </w:p>
    <w:p>
      <w:pPr>
        <w:pStyle w:val="BodyText"/>
        <w:ind w:left="1380"/>
        <w:jc w:val="both"/>
      </w:pPr>
      <w:r>
        <w:rPr/>
        <w:t>其次，保障事件中的復審，依據保障法第 </w:t>
      </w:r>
      <w:r>
        <w:rPr>
          <w:rFonts w:ascii="Times New Roman" w:eastAsia="Times New Roman"/>
        </w:rPr>
        <w:t>72</w:t>
      </w:r>
      <w:r>
        <w:rPr>
          <w:rFonts w:ascii="Times New Roman" w:eastAsia="Times New Roman"/>
          <w:spacing w:val="13"/>
        </w:rPr>
        <w:t> </w:t>
      </w:r>
      <w:r>
        <w:rPr/>
        <w:t>條規定，既為行政訴訟的前置</w:t>
      </w:r>
    </w:p>
    <w:p>
      <w:pPr>
        <w:pStyle w:val="BodyText"/>
        <w:spacing w:line="295" w:lineRule="auto" w:before="79"/>
        <w:ind w:left="900" w:right="917"/>
        <w:jc w:val="both"/>
      </w:pPr>
      <w:r>
        <w:rPr>
          <w:spacing w:val="-3"/>
        </w:rPr>
        <w:t>程序，則至少在此範圍內，有關保障法第 </w:t>
      </w:r>
      <w:r>
        <w:rPr>
          <w:rFonts w:ascii="Times New Roman" w:eastAsia="Times New Roman"/>
          <w:spacing w:val="-2"/>
        </w:rPr>
        <w:t>89</w:t>
      </w:r>
      <w:r>
        <w:rPr>
          <w:rFonts w:ascii="Times New Roman" w:eastAsia="Times New Roman"/>
          <w:spacing w:val="-10"/>
        </w:rPr>
        <w:t> </w:t>
      </w:r>
      <w:r>
        <w:rPr>
          <w:spacing w:val="-4"/>
        </w:rPr>
        <w:t>條及同法第 </w:t>
      </w:r>
      <w:r>
        <w:rPr>
          <w:rFonts w:ascii="Times New Roman" w:eastAsia="Times New Roman"/>
          <w:spacing w:val="-2"/>
        </w:rPr>
        <w:t>90</w:t>
      </w:r>
      <w:r>
        <w:rPr>
          <w:rFonts w:ascii="Times New Roman" w:eastAsia="Times New Roman"/>
          <w:spacing w:val="-10"/>
        </w:rPr>
        <w:t> </w:t>
      </w:r>
      <w:r>
        <w:rPr>
          <w:spacing w:val="-2"/>
        </w:rPr>
        <w:t>條之停止執行規定的</w:t>
      </w:r>
      <w:r>
        <w:rPr>
          <w:spacing w:val="-3"/>
        </w:rPr>
        <w:t>適用，也必須同時注意行政訴訟法的相關規定，以求停止執行程序在復審與行政訴訟過程中維持其體系的一致性。從這個觀點而言，公務人員在復審過程中，除</w:t>
      </w:r>
      <w:r>
        <w:rPr>
          <w:spacing w:val="-1"/>
        </w:rPr>
        <w:t>得依前開保障法第 </w:t>
      </w:r>
      <w:r>
        <w:rPr>
          <w:rFonts w:ascii="Times New Roman" w:eastAsia="Times New Roman"/>
        </w:rPr>
        <w:t>89</w:t>
      </w:r>
      <w:r>
        <w:rPr>
          <w:rFonts w:ascii="Times New Roman" w:eastAsia="Times New Roman"/>
          <w:spacing w:val="3"/>
        </w:rPr>
        <w:t> </w:t>
      </w:r>
      <w:r>
        <w:rPr>
          <w:spacing w:val="-1"/>
        </w:rPr>
        <w:t>條第 </w:t>
      </w:r>
      <w:r>
        <w:rPr>
          <w:rFonts w:ascii="Times New Roman" w:eastAsia="Times New Roman"/>
        </w:rPr>
        <w:t>2</w:t>
      </w:r>
      <w:r>
        <w:rPr>
          <w:rFonts w:ascii="Times New Roman" w:eastAsia="Times New Roman"/>
          <w:spacing w:val="2"/>
        </w:rPr>
        <w:t> </w:t>
      </w:r>
      <w:r>
        <w:rPr/>
        <w:t>項，向保訓會申請系爭行政處分之停止執行外，亦</w:t>
      </w:r>
    </w:p>
    <w:p>
      <w:pPr>
        <w:pStyle w:val="BodyText"/>
        <w:spacing w:before="4"/>
        <w:ind w:left="900"/>
      </w:pPr>
      <w:r>
        <w:rPr>
          <w:spacing w:val="1"/>
        </w:rPr>
        <w:t>得向管轄之高等行政法院聲請停止執行。蓋依據行政訴訟法第 </w:t>
      </w:r>
      <w:r>
        <w:rPr>
          <w:rFonts w:ascii="Times New Roman" w:eastAsia="Times New Roman"/>
        </w:rPr>
        <w:t>116</w:t>
      </w:r>
      <w:r>
        <w:rPr>
          <w:rFonts w:ascii="Times New Roman" w:eastAsia="Times New Roman"/>
          <w:spacing w:val="36"/>
        </w:rPr>
        <w:t> </w:t>
      </w:r>
      <w:r>
        <w:rPr>
          <w:spacing w:val="11"/>
        </w:rPr>
        <w:t>條第 </w:t>
      </w:r>
      <w:r>
        <w:rPr>
          <w:rFonts w:ascii="Times New Roman" w:eastAsia="Times New Roman"/>
        </w:rPr>
        <w:t>3</w:t>
      </w:r>
      <w:r>
        <w:rPr>
          <w:rFonts w:ascii="Times New Roman" w:eastAsia="Times New Roman"/>
          <w:spacing w:val="36"/>
        </w:rPr>
        <w:t> </w:t>
      </w:r>
      <w:r>
        <w:rPr/>
        <w:t>項規</w:t>
      </w:r>
    </w:p>
    <w:p>
      <w:pPr>
        <w:pStyle w:val="BodyText"/>
        <w:spacing w:before="79"/>
        <w:ind w:left="900"/>
      </w:pPr>
      <w:r>
        <w:rPr/>
        <w:t>定，高等行政法院就此原已有管轄權限。因此，即便保障法第 </w:t>
      </w:r>
      <w:r>
        <w:rPr>
          <w:rFonts w:ascii="Times New Roman" w:eastAsia="Times New Roman"/>
        </w:rPr>
        <w:t>89</w:t>
      </w:r>
      <w:r>
        <w:rPr>
          <w:rFonts w:ascii="Times New Roman" w:eastAsia="Times New Roman"/>
          <w:spacing w:val="13"/>
        </w:rPr>
        <w:t> </w:t>
      </w:r>
      <w:r>
        <w:rPr/>
        <w:t>條缺乏如同訴</w:t>
      </w:r>
    </w:p>
    <w:p>
      <w:pPr>
        <w:pStyle w:val="BodyText"/>
        <w:spacing w:before="78"/>
        <w:ind w:left="900"/>
      </w:pPr>
      <w:r>
        <w:rPr>
          <w:spacing w:val="-1"/>
        </w:rPr>
        <w:t>願法第 </w:t>
      </w:r>
      <w:r>
        <w:rPr>
          <w:rFonts w:ascii="Times New Roman" w:eastAsia="Times New Roman"/>
        </w:rPr>
        <w:t>93 </w:t>
      </w:r>
      <w:r>
        <w:rPr>
          <w:spacing w:val="-1"/>
        </w:rPr>
        <w:t>條第 </w:t>
      </w:r>
      <w:r>
        <w:rPr>
          <w:rFonts w:ascii="Times New Roman" w:eastAsia="Times New Roman"/>
        </w:rPr>
        <w:t>3 </w:t>
      </w:r>
      <w:r>
        <w:rPr/>
        <w:t>項之規定，惟其解釋的結果仍應相同</w:t>
      </w:r>
      <w:r>
        <w:rPr>
          <w:rFonts w:ascii="Times New Roman" w:eastAsia="Times New Roman"/>
          <w:vertAlign w:val="superscript"/>
        </w:rPr>
        <w:t>91</w:t>
      </w:r>
      <w:r>
        <w:rPr>
          <w:vertAlign w:val="baseline"/>
        </w:rPr>
        <w:t>。</w:t>
      </w:r>
    </w:p>
    <w:p>
      <w:pPr>
        <w:pStyle w:val="BodyText"/>
        <w:spacing w:before="9"/>
        <w:rPr>
          <w:sz w:val="16"/>
        </w:rPr>
      </w:pPr>
      <w:r>
        <w:rPr/>
        <w:pict>
          <v:rect style="position:absolute;margin-left:90pt;margin-top:13.59627pt;width:144pt;height:.599980pt;mso-position-horizontal-relative:page;mso-position-vertical-relative:paragraph;z-index:-15704576;mso-wrap-distance-left:0;mso-wrap-distance-right:0" filled="true" fillcolor="#000000" stroked="false">
            <v:fill type="solid"/>
            <w10:wrap type="topAndBottom"/>
          </v:rect>
        </w:pict>
      </w:r>
    </w:p>
    <w:p>
      <w:pPr>
        <w:pStyle w:val="BodyText"/>
        <w:spacing w:before="11"/>
        <w:rPr>
          <w:sz w:val="5"/>
        </w:rPr>
      </w:pPr>
    </w:p>
    <w:p>
      <w:pPr>
        <w:spacing w:line="223" w:lineRule="auto" w:before="121"/>
        <w:ind w:left="899" w:right="914" w:firstLine="0"/>
        <w:jc w:val="both"/>
        <w:rPr>
          <w:sz w:val="22"/>
        </w:rPr>
      </w:pPr>
      <w:r>
        <w:rPr>
          <w:rFonts w:ascii="Times New Roman" w:eastAsia="Times New Roman"/>
          <w:spacing w:val="-1"/>
          <w:sz w:val="22"/>
          <w:vertAlign w:val="superscript"/>
        </w:rPr>
        <w:t>86</w:t>
      </w:r>
      <w:r>
        <w:rPr>
          <w:rFonts w:ascii="Times New Roman" w:eastAsia="Times New Roman"/>
          <w:spacing w:val="32"/>
          <w:sz w:val="22"/>
          <w:vertAlign w:val="baseline"/>
        </w:rPr>
        <w:t> </w:t>
      </w:r>
      <w:r>
        <w:rPr>
          <w:spacing w:val="-3"/>
          <w:sz w:val="22"/>
          <w:vertAlign w:val="baseline"/>
        </w:rPr>
        <w:t>公務人員保障法第 </w:t>
      </w:r>
      <w:r>
        <w:rPr>
          <w:rFonts w:ascii="Times New Roman" w:eastAsia="Times New Roman"/>
          <w:spacing w:val="-1"/>
          <w:sz w:val="22"/>
          <w:vertAlign w:val="baseline"/>
        </w:rPr>
        <w:t>89</w:t>
      </w:r>
      <w:r>
        <w:rPr>
          <w:rFonts w:ascii="Times New Roman" w:eastAsia="Times New Roman"/>
          <w:spacing w:val="-11"/>
          <w:sz w:val="22"/>
          <w:vertAlign w:val="baseline"/>
        </w:rPr>
        <w:t> </w:t>
      </w:r>
      <w:r>
        <w:rPr>
          <w:spacing w:val="-43"/>
          <w:sz w:val="22"/>
          <w:vertAlign w:val="baseline"/>
        </w:rPr>
        <w:t>條：「</w:t>
      </w:r>
      <w:r>
        <w:rPr>
          <w:rFonts w:ascii="標楷體" w:eastAsia="標楷體" w:hint="eastAsia"/>
          <w:spacing w:val="-1"/>
          <w:sz w:val="22"/>
          <w:vertAlign w:val="baseline"/>
        </w:rPr>
        <w:t>原行政處分、管理措施或有關工作條件之處置，不因依本</w:t>
      </w:r>
      <w:r>
        <w:rPr>
          <w:rFonts w:ascii="標楷體" w:eastAsia="標楷體" w:hint="eastAsia"/>
          <w:sz w:val="22"/>
          <w:vertAlign w:val="baseline"/>
        </w:rPr>
        <w:t>法所進行之各項程序而停止執行</w:t>
      </w:r>
      <w:r>
        <w:rPr>
          <w:spacing w:val="-111"/>
          <w:sz w:val="22"/>
          <w:vertAlign w:val="baseline"/>
        </w:rPr>
        <w:t>。</w:t>
      </w:r>
      <w:r>
        <w:rPr>
          <w:sz w:val="22"/>
          <w:vertAlign w:val="baseline"/>
        </w:rPr>
        <w:t>（</w:t>
      </w:r>
      <w:r>
        <w:rPr>
          <w:spacing w:val="9"/>
          <w:sz w:val="22"/>
          <w:vertAlign w:val="baseline"/>
        </w:rPr>
        <w:t>第 </w:t>
      </w:r>
      <w:r>
        <w:rPr>
          <w:rFonts w:ascii="Times New Roman" w:eastAsia="Times New Roman"/>
          <w:sz w:val="22"/>
          <w:vertAlign w:val="baseline"/>
        </w:rPr>
        <w:t>1</w:t>
      </w:r>
      <w:r>
        <w:rPr>
          <w:rFonts w:ascii="Times New Roman" w:eastAsia="Times New Roman"/>
          <w:spacing w:val="22"/>
          <w:sz w:val="22"/>
          <w:vertAlign w:val="baseline"/>
        </w:rPr>
        <w:t> </w:t>
      </w:r>
      <w:r>
        <w:rPr>
          <w:sz w:val="22"/>
          <w:vertAlign w:val="baseline"/>
        </w:rPr>
        <w:t>項）</w:t>
      </w:r>
      <w:r>
        <w:rPr>
          <w:rFonts w:ascii="標楷體" w:eastAsia="標楷體" w:hint="eastAsia"/>
          <w:sz w:val="22"/>
          <w:vertAlign w:val="baseline"/>
        </w:rPr>
        <w:t>原行政處分、管理措施或有關工作條件之</w:t>
      </w:r>
      <w:r>
        <w:rPr>
          <w:rFonts w:ascii="標楷體" w:eastAsia="標楷體" w:hint="eastAsia"/>
          <w:w w:val="95"/>
          <w:sz w:val="22"/>
          <w:vertAlign w:val="baseline"/>
        </w:rPr>
        <w:t>處置合法性顯有疑義者，或其執行將發生難以回復之損害，且有急迫情事，並非為維護</w:t>
      </w:r>
      <w:r>
        <w:rPr>
          <w:rFonts w:ascii="標楷體" w:eastAsia="標楷體" w:hint="eastAsia"/>
          <w:spacing w:val="62"/>
          <w:w w:val="95"/>
          <w:sz w:val="22"/>
          <w:vertAlign w:val="baseline"/>
        </w:rPr>
        <w:t> </w:t>
      </w:r>
      <w:r>
        <w:rPr>
          <w:rFonts w:ascii="標楷體" w:eastAsia="標楷體" w:hint="eastAsia"/>
          <w:w w:val="95"/>
          <w:sz w:val="22"/>
          <w:vertAlign w:val="baseline"/>
        </w:rPr>
        <w:t>重大公共利益所必要者，保訓會、原處分機關或服務機關得依職權或依申請，就原行政</w:t>
      </w:r>
      <w:r>
        <w:rPr>
          <w:rFonts w:ascii="標楷體" w:eastAsia="標楷體" w:hint="eastAsia"/>
          <w:spacing w:val="51"/>
          <w:w w:val="95"/>
          <w:sz w:val="22"/>
          <w:vertAlign w:val="baseline"/>
        </w:rPr>
        <w:t> </w:t>
      </w:r>
      <w:r>
        <w:rPr>
          <w:rFonts w:ascii="標楷體" w:eastAsia="標楷體" w:hint="eastAsia"/>
          <w:sz w:val="22"/>
          <w:vertAlign w:val="baseline"/>
        </w:rPr>
        <w:t>處分、管理措施或有關工作條件之處置全部或一部，停止執行</w:t>
      </w:r>
      <w:r>
        <w:rPr>
          <w:spacing w:val="-111"/>
          <w:sz w:val="22"/>
          <w:vertAlign w:val="baseline"/>
        </w:rPr>
        <w:t>。</w:t>
      </w:r>
      <w:r>
        <w:rPr>
          <w:sz w:val="22"/>
          <w:vertAlign w:val="baseline"/>
        </w:rPr>
        <w:t>（</w:t>
      </w:r>
      <w:r>
        <w:rPr>
          <w:spacing w:val="-2"/>
          <w:sz w:val="22"/>
          <w:vertAlign w:val="baseline"/>
        </w:rPr>
        <w:t>第 </w:t>
      </w:r>
      <w:r>
        <w:rPr>
          <w:rFonts w:ascii="Times New Roman" w:eastAsia="Times New Roman"/>
          <w:sz w:val="22"/>
          <w:vertAlign w:val="baseline"/>
        </w:rPr>
        <w:t>2</w:t>
      </w:r>
      <w:r>
        <w:rPr>
          <w:rFonts w:ascii="Times New Roman" w:eastAsia="Times New Roman"/>
          <w:spacing w:val="-1"/>
          <w:sz w:val="22"/>
          <w:vertAlign w:val="baseline"/>
        </w:rPr>
        <w:t> </w:t>
      </w:r>
      <w:r>
        <w:rPr>
          <w:sz w:val="22"/>
          <w:vertAlign w:val="baseline"/>
        </w:rPr>
        <w:t>項</w:t>
      </w:r>
      <w:r>
        <w:rPr>
          <w:spacing w:val="-111"/>
          <w:sz w:val="22"/>
          <w:vertAlign w:val="baseline"/>
        </w:rPr>
        <w:t>）</w:t>
      </w:r>
      <w:r>
        <w:rPr>
          <w:sz w:val="22"/>
          <w:vertAlign w:val="baseline"/>
        </w:rPr>
        <w:t>」</w:t>
      </w:r>
    </w:p>
    <w:p>
      <w:pPr>
        <w:spacing w:line="223" w:lineRule="auto" w:before="120"/>
        <w:ind w:left="899" w:right="860" w:firstLine="0"/>
        <w:jc w:val="both"/>
        <w:rPr>
          <w:sz w:val="22"/>
        </w:rPr>
      </w:pPr>
      <w:r>
        <w:rPr>
          <w:rFonts w:ascii="Times New Roman" w:eastAsia="Times New Roman"/>
          <w:sz w:val="22"/>
          <w:vertAlign w:val="superscript"/>
        </w:rPr>
        <w:t>87</w:t>
      </w:r>
      <w:r>
        <w:rPr>
          <w:rFonts w:ascii="Times New Roman" w:eastAsia="Times New Roman"/>
          <w:spacing w:val="48"/>
          <w:sz w:val="22"/>
          <w:vertAlign w:val="baseline"/>
        </w:rPr>
        <w:t> </w:t>
      </w:r>
      <w:r>
        <w:rPr>
          <w:spacing w:val="-1"/>
          <w:sz w:val="22"/>
          <w:vertAlign w:val="baseline"/>
        </w:rPr>
        <w:t>公務人員保障法第 </w:t>
      </w:r>
      <w:r>
        <w:rPr>
          <w:rFonts w:ascii="Times New Roman" w:eastAsia="Times New Roman"/>
          <w:sz w:val="22"/>
          <w:vertAlign w:val="baseline"/>
        </w:rPr>
        <w:t>90</w:t>
      </w:r>
      <w:r>
        <w:rPr>
          <w:rFonts w:ascii="Times New Roman" w:eastAsia="Times New Roman"/>
          <w:spacing w:val="-4"/>
          <w:sz w:val="22"/>
          <w:vertAlign w:val="baseline"/>
        </w:rPr>
        <w:t> </w:t>
      </w:r>
      <w:r>
        <w:rPr>
          <w:spacing w:val="-63"/>
          <w:sz w:val="22"/>
          <w:vertAlign w:val="baseline"/>
        </w:rPr>
        <w:t>條：「</w:t>
      </w:r>
      <w:r>
        <w:rPr>
          <w:rFonts w:ascii="標楷體" w:eastAsia="標楷體" w:hint="eastAsia"/>
          <w:spacing w:val="-14"/>
          <w:sz w:val="22"/>
          <w:vertAlign w:val="baseline"/>
        </w:rPr>
        <w:t>停止執行之原因消滅，或有其他情事變更之情形，保訓會、</w:t>
      </w:r>
      <w:r>
        <w:rPr>
          <w:rFonts w:ascii="標楷體" w:eastAsia="標楷體" w:hint="eastAsia"/>
          <w:sz w:val="22"/>
          <w:vertAlign w:val="baseline"/>
        </w:rPr>
        <w:t>原處分機關或服務機關得依職權或依申請撤銷停止執行</w:t>
      </w:r>
      <w:r>
        <w:rPr>
          <w:sz w:val="22"/>
          <w:vertAlign w:val="baseline"/>
        </w:rPr>
        <w:t>。」</w:t>
      </w:r>
    </w:p>
    <w:p>
      <w:pPr>
        <w:spacing w:line="223" w:lineRule="auto" w:before="120"/>
        <w:ind w:left="899" w:right="914" w:firstLine="0"/>
        <w:jc w:val="both"/>
        <w:rPr>
          <w:sz w:val="22"/>
        </w:rPr>
      </w:pPr>
      <w:r>
        <w:rPr>
          <w:rFonts w:ascii="Times New Roman" w:eastAsia="Times New Roman"/>
          <w:sz w:val="22"/>
          <w:vertAlign w:val="superscript"/>
        </w:rPr>
        <w:t>88</w:t>
      </w:r>
      <w:r>
        <w:rPr>
          <w:rFonts w:ascii="Times New Roman" w:eastAsia="Times New Roman"/>
          <w:spacing w:val="48"/>
          <w:sz w:val="22"/>
          <w:vertAlign w:val="baseline"/>
        </w:rPr>
        <w:t> </w:t>
      </w:r>
      <w:r>
        <w:rPr>
          <w:spacing w:val="-2"/>
          <w:sz w:val="22"/>
          <w:vertAlign w:val="baseline"/>
        </w:rPr>
        <w:t>訴願法第 </w:t>
      </w:r>
      <w:r>
        <w:rPr>
          <w:rFonts w:ascii="Times New Roman" w:eastAsia="Times New Roman"/>
          <w:sz w:val="22"/>
          <w:vertAlign w:val="baseline"/>
        </w:rPr>
        <w:t>93</w:t>
      </w:r>
      <w:r>
        <w:rPr>
          <w:rFonts w:ascii="Times New Roman" w:eastAsia="Times New Roman"/>
          <w:spacing w:val="-3"/>
          <w:sz w:val="22"/>
          <w:vertAlign w:val="baseline"/>
        </w:rPr>
        <w:t> </w:t>
      </w:r>
      <w:r>
        <w:rPr>
          <w:spacing w:val="-54"/>
          <w:sz w:val="22"/>
          <w:vertAlign w:val="baseline"/>
        </w:rPr>
        <w:t>條：「</w:t>
      </w:r>
      <w:r>
        <w:rPr>
          <w:rFonts w:ascii="標楷體" w:eastAsia="標楷體" w:hint="eastAsia"/>
          <w:spacing w:val="-10"/>
          <w:sz w:val="22"/>
          <w:vertAlign w:val="baseline"/>
        </w:rPr>
        <w:t>原行政處分之執行，除法律另有規定外，不因提起訴願而停止</w:t>
      </w:r>
      <w:r>
        <w:rPr>
          <w:spacing w:val="-135"/>
          <w:sz w:val="22"/>
          <w:vertAlign w:val="baseline"/>
        </w:rPr>
        <w:t>。</w:t>
      </w:r>
      <w:r>
        <w:rPr>
          <w:sz w:val="22"/>
          <w:vertAlign w:val="baseline"/>
        </w:rPr>
        <w:t>（第</w:t>
      </w:r>
      <w:r>
        <w:rPr>
          <w:rFonts w:ascii="Times New Roman" w:eastAsia="Times New Roman"/>
          <w:sz w:val="22"/>
          <w:vertAlign w:val="baseline"/>
        </w:rPr>
        <w:t>1</w:t>
      </w:r>
      <w:r>
        <w:rPr>
          <w:rFonts w:ascii="Times New Roman" w:eastAsia="Times New Roman"/>
          <w:spacing w:val="-9"/>
          <w:sz w:val="22"/>
          <w:vertAlign w:val="baseline"/>
        </w:rPr>
        <w:t> </w:t>
      </w:r>
      <w:r>
        <w:rPr>
          <w:sz w:val="22"/>
          <w:vertAlign w:val="baseline"/>
        </w:rPr>
        <w:t>項）</w:t>
      </w:r>
      <w:r>
        <w:rPr>
          <w:rFonts w:ascii="標楷體" w:eastAsia="標楷體" w:hint="eastAsia"/>
          <w:sz w:val="22"/>
          <w:vertAlign w:val="baseline"/>
        </w:rPr>
        <w:t>原行政處分之合法性顯有疑義者，或原行政處分之執行將發生難以回復之損害，</w:t>
      </w:r>
      <w:r>
        <w:rPr>
          <w:rFonts w:ascii="標楷體" w:eastAsia="標楷體" w:hint="eastAsia"/>
          <w:spacing w:val="-108"/>
          <w:sz w:val="22"/>
          <w:vertAlign w:val="baseline"/>
        </w:rPr>
        <w:t> </w:t>
      </w:r>
      <w:r>
        <w:rPr>
          <w:rFonts w:ascii="標楷體" w:eastAsia="標楷體" w:hint="eastAsia"/>
          <w:spacing w:val="-2"/>
          <w:sz w:val="22"/>
          <w:vertAlign w:val="baseline"/>
        </w:rPr>
        <w:t>且有急迫情事，並非為維護重大公共利益所必要者，受理訴願機關或原行政處分機關得</w:t>
      </w:r>
      <w:r>
        <w:rPr>
          <w:rFonts w:ascii="標楷體" w:eastAsia="標楷體" w:hint="eastAsia"/>
          <w:sz w:val="22"/>
          <w:vertAlign w:val="baseline"/>
        </w:rPr>
        <w:t>依職權或依申請，就原行政處分之全部或一部，停止執行</w:t>
      </w:r>
      <w:r>
        <w:rPr>
          <w:spacing w:val="-111"/>
          <w:sz w:val="22"/>
          <w:vertAlign w:val="baseline"/>
        </w:rPr>
        <w:t>。</w:t>
      </w:r>
      <w:r>
        <w:rPr>
          <w:sz w:val="22"/>
          <w:vertAlign w:val="baseline"/>
        </w:rPr>
        <w:t>（</w:t>
      </w:r>
      <w:r>
        <w:rPr>
          <w:spacing w:val="11"/>
          <w:sz w:val="22"/>
          <w:vertAlign w:val="baseline"/>
        </w:rPr>
        <w:t>第 </w:t>
      </w:r>
      <w:r>
        <w:rPr>
          <w:rFonts w:ascii="Times New Roman" w:eastAsia="Times New Roman"/>
          <w:sz w:val="22"/>
          <w:vertAlign w:val="baseline"/>
        </w:rPr>
        <w:t>2</w:t>
      </w:r>
      <w:r>
        <w:rPr>
          <w:rFonts w:ascii="Times New Roman" w:eastAsia="Times New Roman"/>
          <w:spacing w:val="27"/>
          <w:sz w:val="22"/>
          <w:vertAlign w:val="baseline"/>
        </w:rPr>
        <w:t> </w:t>
      </w:r>
      <w:r>
        <w:rPr>
          <w:sz w:val="22"/>
          <w:vertAlign w:val="baseline"/>
        </w:rPr>
        <w:t>項）</w:t>
      </w:r>
      <w:r>
        <w:rPr>
          <w:rFonts w:ascii="標楷體" w:eastAsia="標楷體" w:hint="eastAsia"/>
          <w:sz w:val="22"/>
          <w:vertAlign w:val="baseline"/>
        </w:rPr>
        <w:t>前項情形，行政法院亦得依聲請，停止執行</w:t>
      </w:r>
      <w:r>
        <w:rPr>
          <w:spacing w:val="-111"/>
          <w:sz w:val="22"/>
          <w:vertAlign w:val="baseline"/>
        </w:rPr>
        <w:t>。</w:t>
      </w:r>
      <w:r>
        <w:rPr>
          <w:sz w:val="22"/>
          <w:vertAlign w:val="baseline"/>
        </w:rPr>
        <w:t>（</w:t>
      </w:r>
      <w:r>
        <w:rPr>
          <w:spacing w:val="-2"/>
          <w:sz w:val="22"/>
          <w:vertAlign w:val="baseline"/>
        </w:rPr>
        <w:t>第 </w:t>
      </w:r>
      <w:r>
        <w:rPr>
          <w:rFonts w:ascii="Times New Roman" w:eastAsia="Times New Roman"/>
          <w:sz w:val="22"/>
          <w:vertAlign w:val="baseline"/>
        </w:rPr>
        <w:t>3</w:t>
      </w:r>
      <w:r>
        <w:rPr>
          <w:rFonts w:ascii="Times New Roman" w:eastAsia="Times New Roman"/>
          <w:spacing w:val="-1"/>
          <w:sz w:val="22"/>
          <w:vertAlign w:val="baseline"/>
        </w:rPr>
        <w:t> </w:t>
      </w:r>
      <w:r>
        <w:rPr>
          <w:sz w:val="22"/>
          <w:vertAlign w:val="baseline"/>
        </w:rPr>
        <w:t>項</w:t>
      </w:r>
      <w:r>
        <w:rPr>
          <w:spacing w:val="-111"/>
          <w:sz w:val="22"/>
          <w:vertAlign w:val="baseline"/>
        </w:rPr>
        <w:t>）</w:t>
      </w:r>
      <w:r>
        <w:rPr>
          <w:sz w:val="22"/>
          <w:vertAlign w:val="baseline"/>
        </w:rPr>
        <w:t>」</w:t>
      </w:r>
    </w:p>
    <w:p>
      <w:pPr>
        <w:spacing w:line="223" w:lineRule="auto" w:before="120"/>
        <w:ind w:left="900" w:right="914" w:firstLine="0"/>
        <w:jc w:val="both"/>
        <w:rPr>
          <w:sz w:val="22"/>
        </w:rPr>
      </w:pPr>
      <w:r>
        <w:rPr>
          <w:rFonts w:ascii="Times New Roman" w:eastAsia="Times New Roman"/>
          <w:spacing w:val="-1"/>
          <w:sz w:val="22"/>
          <w:vertAlign w:val="superscript"/>
        </w:rPr>
        <w:t>89</w:t>
      </w:r>
      <w:r>
        <w:rPr>
          <w:rFonts w:ascii="Times New Roman" w:eastAsia="Times New Roman"/>
          <w:spacing w:val="32"/>
          <w:sz w:val="22"/>
          <w:vertAlign w:val="baseline"/>
        </w:rPr>
        <w:t> </w:t>
      </w:r>
      <w:r>
        <w:rPr>
          <w:spacing w:val="-4"/>
          <w:sz w:val="22"/>
          <w:vertAlign w:val="baseline"/>
        </w:rPr>
        <w:t>訴願法第 </w:t>
      </w:r>
      <w:r>
        <w:rPr>
          <w:rFonts w:ascii="Times New Roman" w:eastAsia="Times New Roman"/>
          <w:spacing w:val="-1"/>
          <w:sz w:val="22"/>
          <w:vertAlign w:val="baseline"/>
        </w:rPr>
        <w:t>94</w:t>
      </w:r>
      <w:r>
        <w:rPr>
          <w:rFonts w:ascii="Times New Roman" w:eastAsia="Times New Roman"/>
          <w:spacing w:val="-11"/>
          <w:sz w:val="22"/>
          <w:vertAlign w:val="baseline"/>
        </w:rPr>
        <w:t> </w:t>
      </w:r>
      <w:r>
        <w:rPr>
          <w:spacing w:val="-43"/>
          <w:sz w:val="22"/>
          <w:vertAlign w:val="baseline"/>
        </w:rPr>
        <w:t>條：「</w:t>
      </w:r>
      <w:r>
        <w:rPr>
          <w:rFonts w:ascii="標楷體" w:eastAsia="標楷體" w:hint="eastAsia"/>
          <w:spacing w:val="-1"/>
          <w:sz w:val="22"/>
          <w:vertAlign w:val="baseline"/>
        </w:rPr>
        <w:t>停止執行之原因消滅，或有其他情事變更之情形，受理訴願機關或</w:t>
      </w:r>
      <w:r>
        <w:rPr>
          <w:rFonts w:ascii="標楷體" w:eastAsia="標楷體" w:hint="eastAsia"/>
          <w:sz w:val="22"/>
          <w:vertAlign w:val="baseline"/>
        </w:rPr>
        <w:t>原行政處分機關得依職權或依申請撤銷停止執行</w:t>
      </w:r>
      <w:r>
        <w:rPr>
          <w:spacing w:val="-111"/>
          <w:sz w:val="22"/>
          <w:vertAlign w:val="baseline"/>
        </w:rPr>
        <w:t>。</w:t>
      </w:r>
      <w:r>
        <w:rPr>
          <w:sz w:val="22"/>
          <w:vertAlign w:val="baseline"/>
        </w:rPr>
        <w:t>（</w:t>
      </w:r>
      <w:r>
        <w:rPr>
          <w:spacing w:val="9"/>
          <w:sz w:val="22"/>
          <w:vertAlign w:val="baseline"/>
        </w:rPr>
        <w:t>第 </w:t>
      </w:r>
      <w:r>
        <w:rPr>
          <w:rFonts w:ascii="Times New Roman" w:eastAsia="Times New Roman"/>
          <w:sz w:val="22"/>
          <w:vertAlign w:val="baseline"/>
        </w:rPr>
        <w:t>1</w:t>
      </w:r>
      <w:r>
        <w:rPr>
          <w:rFonts w:ascii="Times New Roman" w:eastAsia="Times New Roman"/>
          <w:spacing w:val="23"/>
          <w:sz w:val="22"/>
          <w:vertAlign w:val="baseline"/>
        </w:rPr>
        <w:t> </w:t>
      </w:r>
      <w:r>
        <w:rPr>
          <w:sz w:val="22"/>
          <w:vertAlign w:val="baseline"/>
        </w:rPr>
        <w:t>項）</w:t>
      </w:r>
      <w:r>
        <w:rPr>
          <w:rFonts w:ascii="標楷體" w:eastAsia="標楷體" w:hint="eastAsia"/>
          <w:sz w:val="22"/>
          <w:vertAlign w:val="baseline"/>
        </w:rPr>
        <w:t>前項情形，原裁定停止執行之行政法院亦得依聲請，撤銷停止執行之裁定</w:t>
      </w:r>
      <w:r>
        <w:rPr>
          <w:spacing w:val="-111"/>
          <w:sz w:val="22"/>
          <w:vertAlign w:val="baseline"/>
        </w:rPr>
        <w:t>。</w:t>
      </w:r>
      <w:r>
        <w:rPr>
          <w:sz w:val="22"/>
          <w:vertAlign w:val="baseline"/>
        </w:rPr>
        <w:t>（</w:t>
      </w:r>
      <w:r>
        <w:rPr>
          <w:spacing w:val="-2"/>
          <w:sz w:val="22"/>
          <w:vertAlign w:val="baseline"/>
        </w:rPr>
        <w:t>第 </w:t>
      </w:r>
      <w:r>
        <w:rPr>
          <w:rFonts w:ascii="Times New Roman" w:eastAsia="Times New Roman"/>
          <w:sz w:val="22"/>
          <w:vertAlign w:val="baseline"/>
        </w:rPr>
        <w:t>2 </w:t>
      </w:r>
      <w:r>
        <w:rPr>
          <w:sz w:val="22"/>
          <w:vertAlign w:val="baseline"/>
        </w:rPr>
        <w:t>項</w:t>
      </w:r>
      <w:r>
        <w:rPr>
          <w:spacing w:val="-111"/>
          <w:sz w:val="22"/>
          <w:vertAlign w:val="baseline"/>
        </w:rPr>
        <w:t>）</w:t>
      </w:r>
      <w:r>
        <w:rPr>
          <w:sz w:val="22"/>
          <w:vertAlign w:val="baseline"/>
        </w:rPr>
        <w:t>」</w:t>
      </w:r>
    </w:p>
    <w:p>
      <w:pPr>
        <w:spacing w:line="223" w:lineRule="auto" w:before="120"/>
        <w:ind w:left="899" w:right="917" w:firstLine="0"/>
        <w:jc w:val="both"/>
        <w:rPr>
          <w:sz w:val="22"/>
        </w:rPr>
      </w:pPr>
      <w:r>
        <w:rPr>
          <w:rFonts w:ascii="Times New Roman" w:eastAsia="Times New Roman"/>
          <w:sz w:val="22"/>
          <w:vertAlign w:val="superscript"/>
        </w:rPr>
        <w:t>90</w:t>
      </w:r>
      <w:r>
        <w:rPr>
          <w:rFonts w:ascii="Times New Roman" w:eastAsia="Times New Roman"/>
          <w:spacing w:val="16"/>
          <w:sz w:val="22"/>
          <w:vertAlign w:val="baseline"/>
        </w:rPr>
        <w:t> </w:t>
      </w:r>
      <w:r>
        <w:rPr>
          <w:spacing w:val="-12"/>
          <w:sz w:val="22"/>
          <w:vertAlign w:val="baseline"/>
        </w:rPr>
        <w:t>林明昕，〈公務人員保障救濟程序中暫時權利保護制度之研究－以保訓會之停止執行</w:t>
      </w:r>
      <w:r>
        <w:rPr>
          <w:spacing w:val="-16"/>
          <w:sz w:val="22"/>
          <w:vertAlign w:val="baseline"/>
        </w:rPr>
        <w:t>為中心－〉，《公務人員保障暨培訓委員會 </w:t>
      </w:r>
      <w:r>
        <w:rPr>
          <w:rFonts w:ascii="Times New Roman" w:eastAsia="Times New Roman"/>
          <w:sz w:val="22"/>
          <w:vertAlign w:val="baseline"/>
        </w:rPr>
        <w:t>98</w:t>
      </w:r>
      <w:r>
        <w:rPr>
          <w:rFonts w:ascii="Times New Roman" w:eastAsia="Times New Roman"/>
          <w:spacing w:val="-1"/>
          <w:sz w:val="22"/>
          <w:vertAlign w:val="baseline"/>
        </w:rPr>
        <w:t> </w:t>
      </w:r>
      <w:r>
        <w:rPr>
          <w:spacing w:val="-14"/>
          <w:sz w:val="22"/>
          <w:vertAlign w:val="baseline"/>
        </w:rPr>
        <w:t>年度研究計畫》，</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12</w:t>
      </w:r>
      <w:r>
        <w:rPr>
          <w:rFonts w:ascii="Times New Roman" w:eastAsia="Times New Roman"/>
          <w:spacing w:val="-2"/>
          <w:sz w:val="22"/>
          <w:vertAlign w:val="baseline"/>
        </w:rPr>
        <w:t> </w:t>
      </w:r>
      <w:r>
        <w:rPr>
          <w:spacing w:val="-1"/>
          <w:sz w:val="22"/>
          <w:vertAlign w:val="baseline"/>
        </w:rPr>
        <w:t>月，頁 </w:t>
      </w:r>
      <w:r>
        <w:rPr>
          <w:rFonts w:ascii="Times New Roman" w:eastAsia="Times New Roman"/>
          <w:sz w:val="22"/>
          <w:vertAlign w:val="baseline"/>
        </w:rPr>
        <w:t>7-8</w:t>
      </w:r>
      <w:r>
        <w:rPr>
          <w:sz w:val="22"/>
          <w:vertAlign w:val="baseline"/>
        </w:rPr>
        <w:t>。</w:t>
      </w:r>
    </w:p>
    <w:p>
      <w:pPr>
        <w:spacing w:line="223" w:lineRule="auto" w:before="121"/>
        <w:ind w:left="899" w:right="917" w:firstLine="0"/>
        <w:jc w:val="both"/>
        <w:rPr>
          <w:sz w:val="22"/>
        </w:rPr>
      </w:pPr>
      <w:r>
        <w:rPr>
          <w:rFonts w:ascii="Times New Roman" w:eastAsia="Times New Roman"/>
          <w:sz w:val="22"/>
          <w:vertAlign w:val="superscript"/>
        </w:rPr>
        <w:t>91</w:t>
      </w:r>
      <w:r>
        <w:rPr>
          <w:rFonts w:ascii="Times New Roman" w:eastAsia="Times New Roman"/>
          <w:spacing w:val="16"/>
          <w:sz w:val="22"/>
          <w:vertAlign w:val="baseline"/>
        </w:rPr>
        <w:t> </w:t>
      </w:r>
      <w:r>
        <w:rPr>
          <w:spacing w:val="-12"/>
          <w:sz w:val="22"/>
          <w:vertAlign w:val="baseline"/>
        </w:rPr>
        <w:t>林明昕，〈公務人員保障救濟程序中暫時權利保護制度之研究－以保訓會之停止執行</w:t>
      </w:r>
      <w:r>
        <w:rPr>
          <w:spacing w:val="-16"/>
          <w:sz w:val="22"/>
          <w:vertAlign w:val="baseline"/>
        </w:rPr>
        <w:t>為中心－〉，《公務人員保障暨培訓委員會 </w:t>
      </w:r>
      <w:r>
        <w:rPr>
          <w:rFonts w:ascii="Times New Roman" w:eastAsia="Times New Roman"/>
          <w:sz w:val="22"/>
          <w:vertAlign w:val="baseline"/>
        </w:rPr>
        <w:t>98</w:t>
      </w:r>
      <w:r>
        <w:rPr>
          <w:rFonts w:ascii="Times New Roman" w:eastAsia="Times New Roman"/>
          <w:spacing w:val="-1"/>
          <w:sz w:val="22"/>
          <w:vertAlign w:val="baseline"/>
        </w:rPr>
        <w:t> </w:t>
      </w:r>
      <w:r>
        <w:rPr>
          <w:spacing w:val="-14"/>
          <w:sz w:val="22"/>
          <w:vertAlign w:val="baseline"/>
        </w:rPr>
        <w:t>年度研究計畫》，</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12</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9</w:t>
      </w:r>
      <w:r>
        <w:rPr>
          <w:sz w:val="22"/>
          <w:vertAlign w:val="baseline"/>
        </w:rPr>
        <w:t>。</w:t>
      </w:r>
    </w:p>
    <w:p>
      <w:pPr>
        <w:spacing w:after="0" w:line="223" w:lineRule="auto"/>
        <w:jc w:val="both"/>
        <w:rPr>
          <w:sz w:val="22"/>
        </w:rPr>
        <w:sectPr>
          <w:pgSz w:w="11910" w:h="16840"/>
          <w:pgMar w:header="0" w:footer="938" w:top="1440" w:bottom="1200" w:left="900" w:right="880"/>
        </w:sectPr>
      </w:pPr>
    </w:p>
    <w:p>
      <w:pPr>
        <w:pStyle w:val="BodyText"/>
        <w:spacing w:before="2"/>
        <w:rPr>
          <w:sz w:val="17"/>
        </w:rPr>
      </w:pPr>
    </w:p>
    <w:p>
      <w:pPr>
        <w:pStyle w:val="BodyText"/>
        <w:spacing w:line="295" w:lineRule="auto" w:before="52"/>
        <w:ind w:left="900" w:right="857" w:firstLine="480"/>
        <w:jc w:val="both"/>
      </w:pPr>
      <w:r>
        <w:rPr>
          <w:spacing w:val="-2"/>
        </w:rPr>
        <w:t>最後，須特別注意的是，我國現行保障法所規範的公務人員保障救濟程序，</w:t>
      </w:r>
      <w:r>
        <w:rPr>
          <w:spacing w:val="-60"/>
        </w:rPr>
        <w:t> </w:t>
      </w:r>
      <w:r>
        <w:rPr>
          <w:spacing w:val="-7"/>
        </w:rPr>
        <w:t>如前所述，包含類似訴願程序的「復審」，以及屬於傳統「經營關係」問題而尋</w:t>
      </w:r>
      <w:r>
        <w:rPr>
          <w:spacing w:val="-14"/>
        </w:rPr>
        <w:t>求保障的「申訴、再申訴」。保障法第 </w:t>
      </w:r>
      <w:r>
        <w:rPr>
          <w:rFonts w:ascii="Times New Roman" w:eastAsia="Times New Roman"/>
          <w:spacing w:val="-1"/>
        </w:rPr>
        <w:t>89</w:t>
      </w:r>
      <w:r>
        <w:rPr>
          <w:rFonts w:ascii="Times New Roman" w:eastAsia="Times New Roman"/>
          <w:spacing w:val="-11"/>
        </w:rPr>
        <w:t> </w:t>
      </w:r>
      <w:r>
        <w:rPr>
          <w:spacing w:val="-1"/>
        </w:rPr>
        <w:t>條即明文規定，保障事件中停止執行的</w:t>
      </w:r>
      <w:r>
        <w:rPr>
          <w:spacing w:val="-2"/>
        </w:rPr>
        <w:t>適用範圍包含行政處分、管理措施以及有關工作條件之處置。此一範圍，顯然大於訴願法上所規定之範圍，為保障法上暫時權利保護的特別規定，至於此一有別於訴願法之規定是否妥適，倘制度上的設計讓「停止執行」擴大適用於申訴、再</w:t>
      </w:r>
      <w:r>
        <w:rPr>
          <w:spacing w:val="-18"/>
        </w:rPr>
        <w:t>申訴事件中，依一般實務的看法，在一個不存在行政處分的申訴、再申訴個案中，</w:t>
      </w:r>
      <w:r>
        <w:rPr>
          <w:spacing w:val="-60"/>
        </w:rPr>
        <w:t> </w:t>
      </w:r>
      <w:r>
        <w:rPr/>
        <w:t>停止執行制度的運用在法理上是否妥適？運作上又是否將產生衝突？關於此一問題，也是本文最核心的關懷，詳見後述討論（肆</w:t>
      </w:r>
      <w:r>
        <w:rPr>
          <w:spacing w:val="-120"/>
        </w:rPr>
        <w:t>）</w:t>
      </w:r>
      <w:r>
        <w:rPr/>
        <w:t>。</w:t>
      </w:r>
    </w:p>
    <w:p>
      <w:pPr>
        <w:pStyle w:val="BodyText"/>
        <w:spacing w:before="9"/>
      </w:pPr>
    </w:p>
    <w:p>
      <w:pPr>
        <w:pStyle w:val="Heading3"/>
        <w:rPr>
          <w:rFonts w:ascii="新細明體" w:eastAsia="新細明體" w:hint="eastAsia"/>
        </w:rPr>
      </w:pPr>
      <w:bookmarkStart w:name="_TOC_250022" w:id="17"/>
      <w:bookmarkEnd w:id="17"/>
      <w:r>
        <w:rPr>
          <w:rFonts w:ascii="新細明體" w:eastAsia="新細明體" w:hint="eastAsia"/>
          <w:w w:val="95"/>
        </w:rPr>
        <w:t>二、規範功能與目的</w:t>
      </w:r>
    </w:p>
    <w:p>
      <w:pPr>
        <w:pStyle w:val="BodyText"/>
        <w:spacing w:before="5"/>
        <w:rPr>
          <w:b/>
          <w:sz w:val="29"/>
        </w:rPr>
      </w:pPr>
    </w:p>
    <w:p>
      <w:pPr>
        <w:pStyle w:val="BodyText"/>
        <w:spacing w:line="295" w:lineRule="auto"/>
        <w:ind w:left="900" w:right="910" w:firstLine="489"/>
        <w:jc w:val="both"/>
      </w:pPr>
      <w:r>
        <w:rPr/>
        <w:t>在法治國家內，任何人之權利受公權力侵害時，均得請求國家給予權利救濟。我國憲法第 </w:t>
      </w:r>
      <w:r>
        <w:rPr>
          <w:rFonts w:ascii="Times New Roman" w:hAnsi="Times New Roman" w:eastAsia="Times New Roman"/>
        </w:rPr>
        <w:t>16</w:t>
      </w:r>
      <w:r>
        <w:rPr>
          <w:rFonts w:ascii="Times New Roman" w:hAnsi="Times New Roman" w:eastAsia="Times New Roman"/>
          <w:spacing w:val="8"/>
        </w:rPr>
        <w:t> </w:t>
      </w:r>
      <w:r>
        <w:rPr/>
        <w:t>條規定人民享有訴願權及訴訟權，旨在透過訴願或訴訟等正式的權利救濟程序，提供人民一個完整、無漏洞且具有實效性（</w:t>
      </w:r>
      <w:r>
        <w:rPr>
          <w:rFonts w:ascii="Times New Roman" w:hAnsi="Times New Roman" w:eastAsia="Times New Roman"/>
        </w:rPr>
        <w:t>Effektivität</w:t>
      </w:r>
      <w:r>
        <w:rPr/>
        <w:t>）的權利救濟的保障，其具有以下二層基本的意涵：首先，憲法第 </w:t>
      </w:r>
      <w:r>
        <w:rPr>
          <w:rFonts w:ascii="Times New Roman" w:hAnsi="Times New Roman" w:eastAsia="Times New Roman"/>
        </w:rPr>
        <w:t>16</w:t>
      </w:r>
      <w:r>
        <w:rPr>
          <w:rFonts w:ascii="Times New Roman" w:hAnsi="Times New Roman" w:eastAsia="Times New Roman"/>
          <w:spacing w:val="8"/>
        </w:rPr>
        <w:t> </w:t>
      </w:r>
      <w:r>
        <w:rPr/>
        <w:t>條要求建立一</w:t>
      </w:r>
      <w:r>
        <w:rPr>
          <w:spacing w:val="-3"/>
        </w:rPr>
        <w:t>個完整的、無漏洞的權利救濟制度，以徹底地消除法治國的黑洞或死角。蓋在一個實質的法治國家中，人民不可以只因為在國家的訴訟上欠缺一個法定權利救濟</w:t>
      </w:r>
      <w:r>
        <w:rPr>
          <w:spacing w:val="-1"/>
        </w:rPr>
        <w:t>的形式，就被拒絕在司法救濟的大門之外</w:t>
      </w:r>
      <w:r>
        <w:rPr>
          <w:rFonts w:ascii="Times New Roman" w:hAnsi="Times New Roman" w:eastAsia="Times New Roman"/>
          <w:vertAlign w:val="superscript"/>
        </w:rPr>
        <w:t>92</w:t>
      </w:r>
      <w:r>
        <w:rPr>
          <w:vertAlign w:val="baseline"/>
        </w:rPr>
        <w:t>；其次，如果國家只是在權利救濟的</w:t>
      </w:r>
      <w:r>
        <w:rPr>
          <w:spacing w:val="-3"/>
          <w:vertAlign w:val="baseline"/>
        </w:rPr>
        <w:t>途徑上廣開大門，但卻不能提供一個具有實效性的權利保障，則權利救濟無疑將淪為畫餅充飢，甚至只是徒增人民訟累。也因此「實效性」之要求乃進一步成為</w:t>
      </w:r>
      <w:r>
        <w:rPr>
          <w:vertAlign w:val="baseline"/>
        </w:rPr>
        <w:t>權利救濟程序形成的指導原則</w:t>
      </w:r>
      <w:r>
        <w:rPr>
          <w:rFonts w:ascii="Times New Roman" w:hAnsi="Times New Roman" w:eastAsia="Times New Roman"/>
          <w:vertAlign w:val="superscript"/>
        </w:rPr>
        <w:t>93</w:t>
      </w:r>
      <w:r>
        <w:rPr>
          <w:vertAlign w:val="baseline"/>
        </w:rPr>
        <w:t>。</w:t>
      </w:r>
    </w:p>
    <w:p>
      <w:pPr>
        <w:pStyle w:val="BodyText"/>
        <w:spacing w:before="6"/>
        <w:rPr>
          <w:sz w:val="30"/>
        </w:rPr>
      </w:pPr>
    </w:p>
    <w:p>
      <w:pPr>
        <w:pStyle w:val="BodyText"/>
        <w:spacing w:line="295" w:lineRule="auto"/>
        <w:ind w:left="899" w:right="917" w:firstLine="480"/>
        <w:jc w:val="both"/>
      </w:pPr>
      <w:r>
        <w:rPr/>
        <w:t>惟上述憲法第 </w:t>
      </w:r>
      <w:r>
        <w:rPr>
          <w:rFonts w:ascii="Times New Roman" w:eastAsia="Times New Roman"/>
        </w:rPr>
        <w:t>16</w:t>
      </w:r>
      <w:r>
        <w:rPr>
          <w:rFonts w:ascii="Times New Roman" w:eastAsia="Times New Roman"/>
          <w:spacing w:val="6"/>
        </w:rPr>
        <w:t> </w:t>
      </w:r>
      <w:r>
        <w:rPr/>
        <w:t>條蘊含的基本要求並不只是針對本案救濟程序出發，實務</w:t>
      </w:r>
      <w:r>
        <w:rPr>
          <w:spacing w:val="-3"/>
        </w:rPr>
        <w:t>上由於本案救濟程序往往過於冗長，以至於個人即使獲得勝訴，亦可能因為訴訟延滯造成覆水難收的事實，使個人因此蒙受難以回復之損害，故基於權利救濟完整性及實效性的基本要求，自必須著眼於國家公權力行為之態樣及公法爭議事件</w:t>
      </w:r>
    </w:p>
    <w:p>
      <w:pPr>
        <w:pStyle w:val="BodyText"/>
        <w:spacing w:before="4"/>
        <w:rPr>
          <w:sz w:val="27"/>
        </w:rPr>
      </w:pPr>
      <w:r>
        <w:rPr/>
        <w:pict>
          <v:rect style="position:absolute;margin-left:90pt;margin-top:21.035303pt;width:144pt;height:.600010pt;mso-position-horizontal-relative:page;mso-position-vertical-relative:paragraph;z-index:-15704064;mso-wrap-distance-left:0;mso-wrap-distance-right:0" filled="true" fillcolor="#000000" stroked="false">
            <v:fill type="solid"/>
            <w10:wrap type="topAndBottom"/>
          </v:rect>
        </w:pict>
      </w:r>
    </w:p>
    <w:p>
      <w:pPr>
        <w:pStyle w:val="BodyText"/>
        <w:spacing w:before="11"/>
        <w:rPr>
          <w:sz w:val="5"/>
        </w:rPr>
      </w:pPr>
    </w:p>
    <w:p>
      <w:pPr>
        <w:spacing w:line="223" w:lineRule="auto" w:before="121"/>
        <w:ind w:left="899" w:right="915" w:firstLine="0"/>
        <w:jc w:val="both"/>
        <w:rPr>
          <w:sz w:val="22"/>
        </w:rPr>
      </w:pPr>
      <w:r>
        <w:rPr>
          <w:rFonts w:ascii="Times New Roman" w:eastAsia="Times New Roman"/>
          <w:sz w:val="22"/>
          <w:vertAlign w:val="superscript"/>
        </w:rPr>
        <w:t>92</w:t>
      </w:r>
      <w:r>
        <w:rPr>
          <w:rFonts w:ascii="Times New Roman" w:eastAsia="Times New Roman"/>
          <w:spacing w:val="13"/>
          <w:sz w:val="22"/>
          <w:vertAlign w:val="baseline"/>
        </w:rPr>
        <w:t>   </w:t>
      </w:r>
      <w:r>
        <w:rPr>
          <w:spacing w:val="-11"/>
          <w:sz w:val="22"/>
          <w:vertAlign w:val="baseline"/>
        </w:rPr>
        <w:t>盛子龍，〈行政處分停止執行作為公務人員法上暫時權利保護制度－以停職處分為</w:t>
      </w:r>
      <w:r>
        <w:rPr>
          <w:spacing w:val="-17"/>
          <w:w w:val="95"/>
          <w:sz w:val="22"/>
          <w:vertAlign w:val="baseline"/>
        </w:rPr>
        <w:t>例〉，收於：《保障法制座談會、研討會及專題講座紀錄彙編</w:t>
      </w:r>
      <w:r>
        <w:rPr>
          <w:w w:val="95"/>
          <w:sz w:val="22"/>
          <w:vertAlign w:val="baseline"/>
        </w:rPr>
        <w:t>（上</w:t>
      </w:r>
      <w:r>
        <w:rPr>
          <w:spacing w:val="-110"/>
          <w:w w:val="95"/>
          <w:sz w:val="22"/>
          <w:vertAlign w:val="baseline"/>
        </w:rPr>
        <w:t>）</w:t>
      </w:r>
      <w:r>
        <w:rPr>
          <w:spacing w:val="-16"/>
          <w:w w:val="95"/>
          <w:sz w:val="22"/>
          <w:vertAlign w:val="baseline"/>
        </w:rPr>
        <w:t>》，保訓會編印，</w:t>
      </w:r>
      <w:r>
        <w:rPr>
          <w:rFonts w:ascii="Times New Roman" w:eastAsia="Times New Roman"/>
          <w:w w:val="95"/>
          <w:sz w:val="22"/>
          <w:vertAlign w:val="baseline"/>
        </w:rPr>
        <w:t>2011</w:t>
      </w:r>
      <w:r>
        <w:rPr>
          <w:rFonts w:ascii="Times New Roman" w:eastAsia="Times New Roman"/>
          <w:spacing w:val="133"/>
          <w:sz w:val="22"/>
          <w:vertAlign w:val="baseline"/>
        </w:rPr>
        <w:t> </w:t>
      </w:r>
      <w:r>
        <w:rPr>
          <w:spacing w:val="-1"/>
          <w:sz w:val="22"/>
          <w:vertAlign w:val="baseline"/>
        </w:rPr>
        <w:t>年，頁 </w:t>
      </w:r>
      <w:r>
        <w:rPr>
          <w:rFonts w:ascii="Times New Roman" w:eastAsia="Times New Roman"/>
          <w:sz w:val="22"/>
          <w:vertAlign w:val="baseline"/>
        </w:rPr>
        <w:t>633 </w:t>
      </w:r>
      <w:r>
        <w:rPr>
          <w:sz w:val="22"/>
          <w:vertAlign w:val="baseline"/>
        </w:rPr>
        <w:t>以下。</w:t>
      </w:r>
    </w:p>
    <w:p>
      <w:pPr>
        <w:spacing w:line="223" w:lineRule="auto" w:before="119"/>
        <w:ind w:left="899" w:right="915" w:firstLine="0"/>
        <w:jc w:val="both"/>
        <w:rPr>
          <w:sz w:val="22"/>
        </w:rPr>
      </w:pPr>
      <w:r>
        <w:rPr>
          <w:rFonts w:ascii="Times New Roman" w:eastAsia="Times New Roman"/>
          <w:sz w:val="22"/>
          <w:vertAlign w:val="superscript"/>
        </w:rPr>
        <w:t>93</w:t>
      </w:r>
      <w:r>
        <w:rPr>
          <w:rFonts w:ascii="Times New Roman" w:eastAsia="Times New Roman"/>
          <w:spacing w:val="13"/>
          <w:sz w:val="22"/>
          <w:vertAlign w:val="baseline"/>
        </w:rPr>
        <w:t>   </w:t>
      </w:r>
      <w:r>
        <w:rPr>
          <w:spacing w:val="-11"/>
          <w:sz w:val="22"/>
          <w:vertAlign w:val="baseline"/>
        </w:rPr>
        <w:t>盛子龍，〈行政處分停止執行作為公務人員法上暫時權利保護制度－以停職處分為</w:t>
      </w:r>
      <w:r>
        <w:rPr>
          <w:spacing w:val="-17"/>
          <w:w w:val="95"/>
          <w:sz w:val="22"/>
          <w:vertAlign w:val="baseline"/>
        </w:rPr>
        <w:t>例〉，收於：《保障法制座談會、研討會及專題講座紀錄彙編</w:t>
      </w:r>
      <w:r>
        <w:rPr>
          <w:w w:val="95"/>
          <w:sz w:val="22"/>
          <w:vertAlign w:val="baseline"/>
        </w:rPr>
        <w:t>（上</w:t>
      </w:r>
      <w:r>
        <w:rPr>
          <w:spacing w:val="-110"/>
          <w:w w:val="95"/>
          <w:sz w:val="22"/>
          <w:vertAlign w:val="baseline"/>
        </w:rPr>
        <w:t>）</w:t>
      </w:r>
      <w:r>
        <w:rPr>
          <w:spacing w:val="-16"/>
          <w:w w:val="95"/>
          <w:sz w:val="22"/>
          <w:vertAlign w:val="baseline"/>
        </w:rPr>
        <w:t>》，保訓會編印，</w:t>
      </w:r>
      <w:r>
        <w:rPr>
          <w:rFonts w:ascii="Times New Roman" w:eastAsia="Times New Roman"/>
          <w:w w:val="95"/>
          <w:sz w:val="22"/>
          <w:vertAlign w:val="baseline"/>
        </w:rPr>
        <w:t>2011</w:t>
      </w:r>
      <w:r>
        <w:rPr>
          <w:rFonts w:ascii="Times New Roman" w:eastAsia="Times New Roman"/>
          <w:spacing w:val="133"/>
          <w:sz w:val="22"/>
          <w:vertAlign w:val="baseline"/>
        </w:rPr>
        <w:t> </w:t>
      </w:r>
      <w:r>
        <w:rPr>
          <w:spacing w:val="-1"/>
          <w:sz w:val="22"/>
          <w:vertAlign w:val="baseline"/>
        </w:rPr>
        <w:t>年，頁 </w:t>
      </w:r>
      <w:r>
        <w:rPr>
          <w:rFonts w:ascii="Times New Roman" w:eastAsia="Times New Roman"/>
          <w:sz w:val="22"/>
          <w:vertAlign w:val="baseline"/>
        </w:rPr>
        <w:t>633 </w:t>
      </w:r>
      <w:r>
        <w:rPr>
          <w:sz w:val="22"/>
          <w:vertAlign w:val="baseline"/>
        </w:rPr>
        <w:t>以下。</w:t>
      </w:r>
    </w:p>
    <w:p>
      <w:pPr>
        <w:spacing w:after="0" w:line="223" w:lineRule="auto"/>
        <w:jc w:val="both"/>
        <w:rPr>
          <w:sz w:val="22"/>
        </w:rPr>
        <w:sectPr>
          <w:pgSz w:w="11910" w:h="16840"/>
          <w:pgMar w:header="0" w:footer="938" w:top="1600" w:bottom="1200" w:left="900" w:right="880"/>
        </w:sectPr>
      </w:pPr>
    </w:p>
    <w:p>
      <w:pPr>
        <w:pStyle w:val="BodyText"/>
        <w:spacing w:line="295" w:lineRule="auto" w:before="98"/>
        <w:ind w:left="900" w:right="901"/>
        <w:jc w:val="both"/>
      </w:pPr>
      <w:r>
        <w:rPr/>
        <w:t>之性質，另行在本案救濟程序外，建立完整且具有實效之暫時權利保護類型</w:t>
      </w:r>
      <w:r>
        <w:rPr>
          <w:rFonts w:ascii="Times New Roman" w:eastAsia="Times New Roman"/>
          <w:vertAlign w:val="superscript"/>
        </w:rPr>
        <w:t>94</w:t>
      </w:r>
      <w:r>
        <w:rPr>
          <w:vertAlign w:val="baseline"/>
        </w:rPr>
        <w:t>。換句話說，為了實現憲法第 </w:t>
      </w:r>
      <w:r>
        <w:rPr>
          <w:rFonts w:ascii="Times New Roman" w:eastAsia="Times New Roman"/>
          <w:vertAlign w:val="baseline"/>
        </w:rPr>
        <w:t>16</w:t>
      </w:r>
      <w:r>
        <w:rPr>
          <w:rFonts w:ascii="Times New Roman" w:eastAsia="Times New Roman"/>
          <w:spacing w:val="13"/>
          <w:vertAlign w:val="baseline"/>
        </w:rPr>
        <w:t> </w:t>
      </w:r>
      <w:r>
        <w:rPr>
          <w:vertAlign w:val="baseline"/>
        </w:rPr>
        <w:t>條對人民權利保護的有效性，本案救濟外尚須及</w:t>
      </w:r>
      <w:r>
        <w:rPr>
          <w:spacing w:val="-3"/>
          <w:vertAlign w:val="baseline"/>
        </w:rPr>
        <w:t>時給予人民暫時權利保護的措施；並且，為達成完整性的暫時權利保護，制度設</w:t>
      </w:r>
      <w:r>
        <w:rPr>
          <w:spacing w:val="-5"/>
          <w:vertAlign w:val="baseline"/>
        </w:rPr>
        <w:t>計上亦應予以不同之案型不同之暫時權利救濟。在我國，「停止執行」與「保全</w:t>
      </w:r>
      <w:r>
        <w:rPr>
          <w:vertAlign w:val="baseline"/>
        </w:rPr>
        <w:t>程序」共同形成行政訴訟上不同案型之暫時權利保護。</w:t>
      </w:r>
    </w:p>
    <w:p>
      <w:pPr>
        <w:pStyle w:val="BodyText"/>
        <w:spacing w:before="4"/>
      </w:pPr>
    </w:p>
    <w:p>
      <w:pPr>
        <w:pStyle w:val="Heading3"/>
        <w:rPr>
          <w:rFonts w:ascii="新細明體" w:eastAsia="新細明體" w:hint="eastAsia"/>
        </w:rPr>
      </w:pPr>
      <w:bookmarkStart w:name="_TOC_250021" w:id="18"/>
      <w:bookmarkEnd w:id="18"/>
      <w:r>
        <w:rPr>
          <w:rFonts w:ascii="新細明體" w:eastAsia="新細明體" w:hint="eastAsia"/>
          <w:w w:val="95"/>
        </w:rPr>
        <w:t>三、公務人員保障法制中暫時權利保護體系之困境</w:t>
      </w:r>
    </w:p>
    <w:p>
      <w:pPr>
        <w:pStyle w:val="BodyText"/>
        <w:spacing w:before="5"/>
        <w:rPr>
          <w:b/>
          <w:sz w:val="29"/>
        </w:rPr>
      </w:pPr>
    </w:p>
    <w:p>
      <w:pPr>
        <w:pStyle w:val="BodyText"/>
        <w:spacing w:line="295" w:lineRule="auto"/>
        <w:ind w:left="900" w:right="909" w:firstLine="480"/>
        <w:jc w:val="both"/>
      </w:pPr>
      <w:r>
        <w:rPr>
          <w:spacing w:val="-3"/>
        </w:rPr>
        <w:t>若從整個暫時權利保護制度觀察，完整的暫時權利保護措施至少應包含「停</w:t>
      </w:r>
      <w:r>
        <w:rPr>
          <w:spacing w:val="-10"/>
        </w:rPr>
        <w:t>止執行」以及「保全程序」</w:t>
      </w:r>
      <w:r>
        <w:rPr/>
        <w:t>（假處分）兩者。依此，現行保障法中有關暫時權利</w:t>
      </w:r>
      <w:r>
        <w:rPr>
          <w:spacing w:val="1"/>
        </w:rPr>
        <w:t>保護制度上僅於第 </w:t>
      </w:r>
      <w:r>
        <w:rPr>
          <w:rFonts w:ascii="Times New Roman" w:eastAsia="Times New Roman"/>
        </w:rPr>
        <w:t>89</w:t>
      </w:r>
      <w:r>
        <w:rPr>
          <w:rFonts w:ascii="Times New Roman" w:eastAsia="Times New Roman"/>
          <w:spacing w:val="13"/>
        </w:rPr>
        <w:t> </w:t>
      </w:r>
      <w:r>
        <w:rPr/>
        <w:t>條規定「停止執行」是否不足，而形成保障法制中暫時權利保護體系之缺口？此一問題或許必須從整個保障救濟程序與一般救濟程序的</w:t>
      </w:r>
      <w:r>
        <w:rPr>
          <w:spacing w:val="-3"/>
        </w:rPr>
        <w:t>不同來觀察。最值得作為比較參考的對象，當屬訴願法之規定。如前所述，保障法在立法當時，立法者有意將保障法與訴願法區隔作不同之設計，然而，至少在</w:t>
      </w:r>
    </w:p>
    <w:p>
      <w:pPr>
        <w:pStyle w:val="BodyText"/>
        <w:spacing w:line="295" w:lineRule="auto" w:before="7"/>
        <w:ind w:left="899" w:right="909"/>
        <w:jc w:val="both"/>
      </w:pPr>
      <w:r>
        <w:rPr/>
        <w:t>「復審」程序中，其制度設計與訴願法實無太大之區別，此點也可從保障法第</w:t>
      </w:r>
      <w:r>
        <w:rPr>
          <w:rFonts w:ascii="Times New Roman" w:eastAsia="Times New Roman"/>
        </w:rPr>
        <w:t>103</w:t>
      </w:r>
      <w:r>
        <w:rPr>
          <w:rFonts w:ascii="Times New Roman" w:eastAsia="Times New Roman"/>
          <w:spacing w:val="14"/>
        </w:rPr>
        <w:t> </w:t>
      </w:r>
      <w:r>
        <w:rPr>
          <w:spacing w:val="4"/>
        </w:rPr>
        <w:t>條第 </w:t>
      </w:r>
      <w:r>
        <w:rPr>
          <w:rFonts w:ascii="Times New Roman" w:eastAsia="Times New Roman"/>
        </w:rPr>
        <w:t>3</w:t>
      </w:r>
      <w:r>
        <w:rPr>
          <w:rFonts w:ascii="Times New Roman" w:eastAsia="Times New Roman"/>
          <w:spacing w:val="14"/>
        </w:rPr>
        <w:t> </w:t>
      </w:r>
      <w:r>
        <w:rPr/>
        <w:t>項</w:t>
      </w:r>
      <w:r>
        <w:rPr>
          <w:rFonts w:ascii="Times New Roman" w:eastAsia="Times New Roman"/>
          <w:vertAlign w:val="superscript"/>
        </w:rPr>
        <w:t>95</w:t>
      </w:r>
      <w:r>
        <w:rPr>
          <w:vertAlign w:val="baseline"/>
        </w:rPr>
        <w:t>之規定發現，蓋該條文規定提起復審者不得再依其他法律提起訴</w:t>
      </w:r>
      <w:r>
        <w:rPr>
          <w:spacing w:val="-3"/>
          <w:vertAlign w:val="baseline"/>
        </w:rPr>
        <w:t>願之主因，即是認為現行之復審程序已相當於訴願程序，因此禁止再依訴願法之規定提起訴願。本文認為，即便立法者有意區別保障法與訴願法之規定，而使其分別獨立規範；當保障法制度有所不足時，訴願法之規定仍是最佳之參考比較基</w:t>
      </w:r>
      <w:r>
        <w:rPr>
          <w:vertAlign w:val="baseline"/>
        </w:rPr>
        <w:t>準。</w:t>
      </w:r>
    </w:p>
    <w:p>
      <w:pPr>
        <w:pStyle w:val="BodyText"/>
        <w:spacing w:before="2"/>
        <w:rPr>
          <w:sz w:val="30"/>
        </w:rPr>
      </w:pPr>
    </w:p>
    <w:p>
      <w:pPr>
        <w:pStyle w:val="BodyText"/>
        <w:spacing w:line="295" w:lineRule="auto"/>
        <w:ind w:left="900" w:right="857" w:firstLine="480"/>
        <w:jc w:val="both"/>
      </w:pPr>
      <w:r>
        <w:rPr>
          <w:spacing w:val="-2"/>
        </w:rPr>
        <w:t>保障法第 </w:t>
      </w:r>
      <w:r>
        <w:rPr>
          <w:rFonts w:ascii="Times New Roman" w:eastAsia="Times New Roman"/>
        </w:rPr>
        <w:t>89</w:t>
      </w:r>
      <w:r>
        <w:rPr>
          <w:rFonts w:ascii="Times New Roman" w:eastAsia="Times New Roman"/>
          <w:spacing w:val="-6"/>
        </w:rPr>
        <w:t> </w:t>
      </w:r>
      <w:r>
        <w:rPr>
          <w:spacing w:val="-3"/>
        </w:rPr>
        <w:t>條及第 </w:t>
      </w:r>
      <w:r>
        <w:rPr>
          <w:rFonts w:ascii="Times New Roman" w:eastAsia="Times New Roman"/>
        </w:rPr>
        <w:t>90</w:t>
      </w:r>
      <w:r>
        <w:rPr>
          <w:rFonts w:ascii="Times New Roman" w:eastAsia="Times New Roman"/>
          <w:spacing w:val="-6"/>
        </w:rPr>
        <w:t> </w:t>
      </w:r>
      <w:r>
        <w:rPr>
          <w:spacing w:val="-1"/>
        </w:rPr>
        <w:t>條之規定，既係參考訴願法第 </w:t>
      </w:r>
      <w:r>
        <w:rPr>
          <w:rFonts w:ascii="Times New Roman" w:eastAsia="Times New Roman"/>
        </w:rPr>
        <w:t>93</w:t>
      </w:r>
      <w:r>
        <w:rPr>
          <w:rFonts w:ascii="Times New Roman" w:eastAsia="Times New Roman"/>
          <w:spacing w:val="-5"/>
        </w:rPr>
        <w:t> </w:t>
      </w:r>
      <w:r>
        <w:rPr>
          <w:spacing w:val="-2"/>
        </w:rPr>
        <w:t>條及第 </w:t>
      </w:r>
      <w:r>
        <w:rPr>
          <w:rFonts w:ascii="Times New Roman" w:eastAsia="Times New Roman"/>
        </w:rPr>
        <w:t>94</w:t>
      </w:r>
      <w:r>
        <w:rPr>
          <w:rFonts w:ascii="Times New Roman" w:eastAsia="Times New Roman"/>
          <w:spacing w:val="-6"/>
        </w:rPr>
        <w:t> </w:t>
      </w:r>
      <w:r>
        <w:rPr/>
        <w:t>條而設，</w:t>
      </w:r>
      <w:r>
        <w:rPr>
          <w:spacing w:val="-60"/>
        </w:rPr>
        <w:t> </w:t>
      </w:r>
      <w:r>
        <w:rPr>
          <w:spacing w:val="-2"/>
        </w:rPr>
        <w:t>在探討「保障法上之暫時權利保護是否不足」這個問題時，或許必須回到立法時所參考之訴願法觀察。現行訴願法上有關暫時權利保護之規定，亦僅有「停止執行」而不包含假處分之規定。倘保障法目前的規定是不足的，此一問題是否也是訴願法所必須面對的？關於此一問題，必須從整個救濟制度來觀察。以一般救濟程序而言，訴願法所以未設有假處分之制度，主要是參考德國法之規定，蓋依德國法之規定假處分事件本為行政法院管轄，而不得交由訴願機關決定；然而，即便如此，解釋上人民在起訴之前本可向行政法院提起假處分之聲請，而不至於形</w:t>
      </w:r>
    </w:p>
    <w:p>
      <w:pPr>
        <w:pStyle w:val="BodyText"/>
        <w:spacing w:before="5"/>
        <w:rPr>
          <w:sz w:val="18"/>
        </w:rPr>
      </w:pPr>
      <w:r>
        <w:rPr/>
        <w:pict>
          <v:rect style="position:absolute;margin-left:90pt;margin-top:14.820147pt;width:144pt;height:.600010pt;mso-position-horizontal-relative:page;mso-position-vertical-relative:paragraph;z-index:-15703552;mso-wrap-distance-left:0;mso-wrap-distance-right:0" filled="true" fillcolor="#000000" stroked="false">
            <v:fill type="solid"/>
            <w10:wrap type="topAndBottom"/>
          </v:rect>
        </w:pict>
      </w:r>
    </w:p>
    <w:p>
      <w:pPr>
        <w:pStyle w:val="BodyText"/>
        <w:spacing w:before="11"/>
        <w:rPr>
          <w:sz w:val="5"/>
        </w:rPr>
      </w:pPr>
    </w:p>
    <w:p>
      <w:pPr>
        <w:spacing w:line="223" w:lineRule="auto" w:before="121"/>
        <w:ind w:left="899" w:right="915" w:firstLine="0"/>
        <w:jc w:val="both"/>
        <w:rPr>
          <w:sz w:val="22"/>
        </w:rPr>
      </w:pPr>
      <w:r>
        <w:rPr>
          <w:rFonts w:ascii="Times New Roman" w:eastAsia="Times New Roman"/>
          <w:sz w:val="22"/>
          <w:vertAlign w:val="superscript"/>
        </w:rPr>
        <w:t>94</w:t>
      </w:r>
      <w:r>
        <w:rPr>
          <w:rFonts w:ascii="Times New Roman" w:eastAsia="Times New Roman"/>
          <w:spacing w:val="13"/>
          <w:sz w:val="22"/>
          <w:vertAlign w:val="baseline"/>
        </w:rPr>
        <w:t>   </w:t>
      </w:r>
      <w:r>
        <w:rPr>
          <w:spacing w:val="-11"/>
          <w:sz w:val="22"/>
          <w:vertAlign w:val="baseline"/>
        </w:rPr>
        <w:t>盛子龍，〈行政處分停止執行作為公務人員法上暫時權利保護制度－以停職處分為</w:t>
      </w:r>
      <w:r>
        <w:rPr>
          <w:spacing w:val="-17"/>
          <w:w w:val="95"/>
          <w:sz w:val="22"/>
          <w:vertAlign w:val="baseline"/>
        </w:rPr>
        <w:t>例〉，收於：《保障法制座談會、研討會及專題講座紀錄彙編</w:t>
      </w:r>
      <w:r>
        <w:rPr>
          <w:w w:val="95"/>
          <w:sz w:val="22"/>
          <w:vertAlign w:val="baseline"/>
        </w:rPr>
        <w:t>（上</w:t>
      </w:r>
      <w:r>
        <w:rPr>
          <w:spacing w:val="-110"/>
          <w:w w:val="95"/>
          <w:sz w:val="22"/>
          <w:vertAlign w:val="baseline"/>
        </w:rPr>
        <w:t>）</w:t>
      </w:r>
      <w:r>
        <w:rPr>
          <w:spacing w:val="-16"/>
          <w:w w:val="95"/>
          <w:sz w:val="22"/>
          <w:vertAlign w:val="baseline"/>
        </w:rPr>
        <w:t>》，保訓會編印，</w:t>
      </w:r>
      <w:r>
        <w:rPr>
          <w:rFonts w:ascii="Times New Roman" w:eastAsia="Times New Roman"/>
          <w:w w:val="95"/>
          <w:sz w:val="22"/>
          <w:vertAlign w:val="baseline"/>
        </w:rPr>
        <w:t>2011</w:t>
      </w:r>
      <w:r>
        <w:rPr>
          <w:rFonts w:ascii="Times New Roman" w:eastAsia="Times New Roman"/>
          <w:spacing w:val="133"/>
          <w:sz w:val="22"/>
          <w:vertAlign w:val="baseline"/>
        </w:rPr>
        <w:t> </w:t>
      </w:r>
      <w:r>
        <w:rPr>
          <w:spacing w:val="-1"/>
          <w:sz w:val="22"/>
          <w:vertAlign w:val="baseline"/>
        </w:rPr>
        <w:t>年，頁 </w:t>
      </w:r>
      <w:r>
        <w:rPr>
          <w:rFonts w:ascii="Times New Roman" w:eastAsia="Times New Roman"/>
          <w:sz w:val="22"/>
          <w:vertAlign w:val="baseline"/>
        </w:rPr>
        <w:t>633 </w:t>
      </w:r>
      <w:r>
        <w:rPr>
          <w:sz w:val="22"/>
          <w:vertAlign w:val="baseline"/>
        </w:rPr>
        <w:t>以下。</w:t>
      </w:r>
    </w:p>
    <w:p>
      <w:pPr>
        <w:spacing w:line="223" w:lineRule="auto" w:before="121"/>
        <w:ind w:left="900" w:right="914" w:firstLine="0"/>
        <w:jc w:val="both"/>
        <w:rPr>
          <w:sz w:val="22"/>
        </w:rPr>
      </w:pPr>
      <w:r>
        <w:rPr>
          <w:rFonts w:ascii="Times New Roman" w:eastAsia="Times New Roman"/>
          <w:sz w:val="22"/>
          <w:vertAlign w:val="superscript"/>
        </w:rPr>
        <w:t>95</w:t>
      </w:r>
      <w:r>
        <w:rPr>
          <w:rFonts w:ascii="Times New Roman" w:eastAsia="Times New Roman"/>
          <w:spacing w:val="50"/>
          <w:sz w:val="22"/>
          <w:vertAlign w:val="baseline"/>
        </w:rPr>
        <w:t> </w:t>
      </w:r>
      <w:r>
        <w:rPr>
          <w:sz w:val="22"/>
          <w:vertAlign w:val="baseline"/>
        </w:rPr>
        <w:t>公務人員保障法第 </w:t>
      </w:r>
      <w:r>
        <w:rPr>
          <w:rFonts w:ascii="Times New Roman" w:eastAsia="Times New Roman"/>
          <w:sz w:val="22"/>
          <w:vertAlign w:val="baseline"/>
        </w:rPr>
        <w:t>103</w:t>
      </w:r>
      <w:r>
        <w:rPr>
          <w:rFonts w:ascii="Times New Roman" w:eastAsia="Times New Roman"/>
          <w:spacing w:val="4"/>
          <w:sz w:val="22"/>
          <w:vertAlign w:val="baseline"/>
        </w:rPr>
        <w:t> </w:t>
      </w:r>
      <w:r>
        <w:rPr>
          <w:sz w:val="22"/>
          <w:vertAlign w:val="baseline"/>
        </w:rPr>
        <w:t>條第 </w:t>
      </w:r>
      <w:r>
        <w:rPr>
          <w:rFonts w:ascii="Times New Roman" w:eastAsia="Times New Roman"/>
          <w:sz w:val="22"/>
          <w:vertAlign w:val="baseline"/>
        </w:rPr>
        <w:t>3</w:t>
      </w:r>
      <w:r>
        <w:rPr>
          <w:rFonts w:ascii="Times New Roman" w:eastAsia="Times New Roman"/>
          <w:spacing w:val="4"/>
          <w:sz w:val="22"/>
          <w:vertAlign w:val="baseline"/>
        </w:rPr>
        <w:t> </w:t>
      </w:r>
      <w:r>
        <w:rPr>
          <w:spacing w:val="-37"/>
          <w:sz w:val="22"/>
          <w:vertAlign w:val="baseline"/>
        </w:rPr>
        <w:t>項：「</w:t>
      </w:r>
      <w:r>
        <w:rPr>
          <w:rFonts w:ascii="標楷體" w:eastAsia="標楷體" w:hint="eastAsia"/>
          <w:sz w:val="22"/>
          <w:vertAlign w:val="baseline"/>
        </w:rPr>
        <w:t>本法修正施行後，依本法所定程序提起復審者，</w:t>
      </w:r>
      <w:r>
        <w:rPr>
          <w:rFonts w:ascii="標楷體" w:eastAsia="標楷體" w:hint="eastAsia"/>
          <w:spacing w:val="-108"/>
          <w:sz w:val="22"/>
          <w:vertAlign w:val="baseline"/>
        </w:rPr>
        <w:t> </w:t>
      </w:r>
      <w:r>
        <w:rPr>
          <w:rFonts w:ascii="標楷體" w:eastAsia="標楷體" w:hint="eastAsia"/>
          <w:sz w:val="22"/>
          <w:vertAlign w:val="baseline"/>
        </w:rPr>
        <w:t>不得復依其他法律提起訴願或其他類此程序</w:t>
      </w:r>
      <w:r>
        <w:rPr>
          <w:sz w:val="22"/>
          <w:vertAlign w:val="baseline"/>
        </w:rPr>
        <w:t>。」</w:t>
      </w:r>
    </w:p>
    <w:p>
      <w:pPr>
        <w:spacing w:after="0" w:line="223" w:lineRule="auto"/>
        <w:jc w:val="both"/>
        <w:rPr>
          <w:sz w:val="22"/>
        </w:rPr>
        <w:sectPr>
          <w:pgSz w:w="11910" w:h="16840"/>
          <w:pgMar w:header="0" w:footer="938" w:top="1380" w:bottom="1200" w:left="900" w:right="880"/>
        </w:sectPr>
      </w:pPr>
    </w:p>
    <w:p>
      <w:pPr>
        <w:pStyle w:val="BodyText"/>
        <w:spacing w:before="98"/>
        <w:ind w:left="900"/>
        <w:jc w:val="both"/>
      </w:pPr>
      <w:r>
        <w:rPr/>
        <w:t>成暫時權利保護的漏洞</w:t>
      </w:r>
      <w:r>
        <w:rPr>
          <w:rFonts w:ascii="Times New Roman" w:eastAsia="Times New Roman"/>
          <w:vertAlign w:val="superscript"/>
        </w:rPr>
        <w:t>96</w:t>
      </w:r>
      <w:r>
        <w:rPr>
          <w:spacing w:val="-1"/>
          <w:vertAlign w:val="baseline"/>
        </w:rPr>
        <w:t>。觀察我國行政訴訟法第 </w:t>
      </w:r>
      <w:r>
        <w:rPr>
          <w:rFonts w:ascii="Times New Roman" w:eastAsia="Times New Roman"/>
          <w:vertAlign w:val="baseline"/>
        </w:rPr>
        <w:t>300</w:t>
      </w:r>
      <w:r>
        <w:rPr>
          <w:rFonts w:ascii="Times New Roman" w:eastAsia="Times New Roman"/>
          <w:spacing w:val="-8"/>
          <w:vertAlign w:val="baseline"/>
        </w:rPr>
        <w:t> </w:t>
      </w:r>
      <w:r>
        <w:rPr>
          <w:vertAlign w:val="baseline"/>
        </w:rPr>
        <w:t>條對於假處分管轄法院之</w:t>
      </w:r>
    </w:p>
    <w:p>
      <w:pPr>
        <w:pStyle w:val="BodyText"/>
        <w:spacing w:line="295" w:lineRule="auto" w:before="78"/>
        <w:ind w:left="900" w:right="917"/>
        <w:jc w:val="both"/>
      </w:pPr>
      <w:r>
        <w:rPr>
          <w:spacing w:val="-3"/>
        </w:rPr>
        <w:t>規定，可得知所謂「管轄本案之高等行政法院」即係同法第 </w:t>
      </w:r>
      <w:r>
        <w:rPr>
          <w:rFonts w:ascii="Times New Roman" w:eastAsia="Times New Roman"/>
          <w:spacing w:val="-1"/>
        </w:rPr>
        <w:t>294</w:t>
      </w:r>
      <w:r>
        <w:rPr>
          <w:rFonts w:ascii="Times New Roman" w:eastAsia="Times New Roman"/>
          <w:spacing w:val="-12"/>
        </w:rPr>
        <w:t> </w:t>
      </w:r>
      <w:r>
        <w:rPr>
          <w:spacing w:val="-6"/>
        </w:rPr>
        <w:t>條第 </w:t>
      </w:r>
      <w:r>
        <w:rPr>
          <w:rFonts w:ascii="Times New Roman" w:eastAsia="Times New Roman"/>
          <w:spacing w:val="-1"/>
        </w:rPr>
        <w:t>2</w:t>
      </w:r>
      <w:r>
        <w:rPr>
          <w:rFonts w:ascii="Times New Roman" w:eastAsia="Times New Roman"/>
          <w:spacing w:val="-12"/>
        </w:rPr>
        <w:t> </w:t>
      </w:r>
      <w:r>
        <w:rPr>
          <w:spacing w:val="-1"/>
        </w:rPr>
        <w:t>項之所稱</w:t>
      </w:r>
      <w:r>
        <w:rPr>
          <w:spacing w:val="-3"/>
        </w:rPr>
        <w:t>之「已繫屬」或「應繫屬」之高等行政法院，故解釋上應認為假處分之聲請即便在本案未繫屬前仍可提起。換言之，雖訴願法上並無假處分之規定，然訴願人在未提起行政訴訟前，若認有保全之必要，仍可向行政法院聲請假處分之裁定，尚</w:t>
      </w:r>
      <w:r>
        <w:rPr>
          <w:spacing w:val="-16"/>
        </w:rPr>
        <w:t>不至影響人民「及時」、「有效」的權利保障。</w:t>
      </w:r>
    </w:p>
    <w:p>
      <w:pPr>
        <w:pStyle w:val="BodyText"/>
        <w:spacing w:before="1"/>
        <w:rPr>
          <w:sz w:val="30"/>
        </w:rPr>
      </w:pPr>
    </w:p>
    <w:p>
      <w:pPr>
        <w:pStyle w:val="BodyText"/>
        <w:spacing w:line="295" w:lineRule="auto"/>
        <w:ind w:left="900" w:right="796" w:firstLine="480"/>
        <w:rPr>
          <w:rFonts w:ascii="標楷體" w:eastAsia="標楷體" w:hint="eastAsia"/>
        </w:rPr>
      </w:pPr>
      <w:r>
        <w:rPr>
          <w:spacing w:val="-1"/>
        </w:rPr>
        <w:t>然而，回到保障法上之規定，就「復審」程序而言，因其係替代訴願程序之一特別程序，而後仍有進入行政法院救濟之機會，解釋上當可於必要時，在本案繫屬前向法院聲請假處分以確保其日後權利之實現。然而在「申訴、再申訴」之類型中，因再申訴決定即為最終決定，其後無法進入行政法院救濟，因而無法適用行政訴訟法上關於假處分之規定，於此，保障法現行之規定似有不足。現行保</w:t>
      </w:r>
      <w:r>
        <w:rPr>
          <w:spacing w:val="2"/>
        </w:rPr>
        <w:t>障法第 </w:t>
      </w:r>
      <w:r>
        <w:rPr>
          <w:rFonts w:ascii="Times New Roman" w:eastAsia="Times New Roman"/>
        </w:rPr>
        <w:t>89</w:t>
      </w:r>
      <w:r>
        <w:rPr>
          <w:rFonts w:ascii="Times New Roman" w:eastAsia="Times New Roman"/>
          <w:spacing w:val="13"/>
        </w:rPr>
        <w:t> </w:t>
      </w:r>
      <w:r>
        <w:rPr/>
        <w:t>條之規定雖將「停止執行」擴大適用於再申訴事件，然而此一規定僅</w:t>
      </w:r>
      <w:r>
        <w:rPr>
          <w:spacing w:val="-29"/>
        </w:rPr>
        <w:t>解決以「排除」、「撤銷」為訴求之復審及再申訴事件，對於「要求給付」、「確認」</w:t>
      </w:r>
      <w:r>
        <w:rPr>
          <w:spacing w:val="-4"/>
        </w:rPr>
        <w:t>等類型仍無法涵括，在「再申訴」案件仍無法進入行政法院之情況下，「給付」</w:t>
      </w:r>
      <w:r>
        <w:rPr>
          <w:spacing w:val="-19"/>
        </w:rPr>
        <w:t>及「確認」型之再申訴案件的「及時」權利保障，無疑成了制度設計不足下之「犧</w:t>
      </w:r>
      <w:r>
        <w:rPr>
          <w:spacing w:val="-30"/>
        </w:rPr>
        <w:t>牲」。以保訓會</w:t>
      </w:r>
      <w:r>
        <w:rPr>
          <w:rFonts w:ascii="Times New Roman" w:eastAsia="Times New Roman"/>
        </w:rPr>
        <w:t>95</w:t>
      </w:r>
      <w:r>
        <w:rPr>
          <w:rFonts w:ascii="Times New Roman" w:eastAsia="Times New Roman"/>
          <w:spacing w:val="-24"/>
        </w:rPr>
        <w:t> </w:t>
      </w:r>
      <w:r>
        <w:rPr>
          <w:spacing w:val="7"/>
        </w:rPr>
        <w:t>公申決字第</w:t>
      </w:r>
      <w:r>
        <w:rPr>
          <w:rFonts w:ascii="Times New Roman" w:eastAsia="Times New Roman"/>
        </w:rPr>
        <w:t>0367</w:t>
      </w:r>
      <w:r>
        <w:rPr>
          <w:rFonts w:ascii="Times New Roman" w:eastAsia="Times New Roman"/>
          <w:spacing w:val="-24"/>
        </w:rPr>
        <w:t> </w:t>
      </w:r>
      <w:r>
        <w:rPr>
          <w:spacing w:val="-4"/>
        </w:rPr>
        <w:t>號再申訴決定書所涉及甄補候用事件為例</w:t>
      </w:r>
      <w:r>
        <w:rPr>
          <w:spacing w:val="-90"/>
        </w:rPr>
        <w:t>：「</w:t>
      </w:r>
      <w:r>
        <w:rPr>
          <w:rFonts w:ascii="標楷體" w:eastAsia="標楷體" w:hint="eastAsia"/>
        </w:rPr>
        <w:t>該</w:t>
      </w:r>
    </w:p>
    <w:p>
      <w:pPr>
        <w:pStyle w:val="BodyText"/>
        <w:spacing w:before="12"/>
        <w:ind w:left="900"/>
        <w:jc w:val="both"/>
        <w:rPr>
          <w:rFonts w:ascii="標楷體" w:eastAsia="標楷體" w:hint="eastAsia"/>
        </w:rPr>
      </w:pPr>
      <w:r>
        <w:rPr>
          <w:rFonts w:ascii="標楷體" w:eastAsia="標楷體" w:hint="eastAsia"/>
          <w:w w:val="95"/>
        </w:rPr>
        <w:t>案中再申訴人報名參加中市警局</w:t>
      </w:r>
      <w:r>
        <w:rPr>
          <w:rFonts w:ascii="標楷體" w:eastAsia="標楷體" w:hint="eastAsia"/>
          <w:spacing w:val="156"/>
        </w:rPr>
        <w:t> </w:t>
      </w:r>
      <w:r>
        <w:rPr>
          <w:rFonts w:ascii="Times New Roman" w:eastAsia="Times New Roman"/>
          <w:w w:val="95"/>
        </w:rPr>
        <w:t>95</w:t>
      </w:r>
      <w:r>
        <w:rPr>
          <w:rFonts w:ascii="Times New Roman" w:eastAsia="Times New Roman"/>
          <w:spacing w:val="78"/>
        </w:rPr>
        <w:t>  </w:t>
      </w:r>
      <w:r>
        <w:rPr>
          <w:rFonts w:ascii="標楷體" w:eastAsia="標楷體" w:hint="eastAsia"/>
          <w:w w:val="95"/>
        </w:rPr>
        <w:t>年技術教官遴選，經該局以資格不符拒絕其</w:t>
      </w:r>
    </w:p>
    <w:p>
      <w:pPr>
        <w:pStyle w:val="BodyText"/>
        <w:spacing w:before="78"/>
        <w:ind w:left="900"/>
        <w:jc w:val="both"/>
        <w:rPr>
          <w:rFonts w:ascii="標楷體" w:eastAsia="標楷體" w:hint="eastAsia"/>
        </w:rPr>
      </w:pPr>
      <w:r>
        <w:rPr>
          <w:rFonts w:ascii="標楷體" w:eastAsia="標楷體" w:hint="eastAsia"/>
          <w:w w:val="95"/>
        </w:rPr>
        <w:t>參加口試，再申訴人遂依保障法規定請求救濟，並申請停止執行中市警局</w:t>
      </w:r>
      <w:r>
        <w:rPr>
          <w:rFonts w:ascii="標楷體" w:eastAsia="標楷體" w:hint="eastAsia"/>
          <w:spacing w:val="156"/>
        </w:rPr>
        <w:t> </w:t>
      </w:r>
      <w:r>
        <w:rPr>
          <w:rFonts w:ascii="Times New Roman" w:eastAsia="Times New Roman"/>
          <w:w w:val="95"/>
        </w:rPr>
        <w:t>95</w:t>
      </w:r>
      <w:r>
        <w:rPr>
          <w:rFonts w:ascii="Times New Roman" w:eastAsia="Times New Roman"/>
          <w:spacing w:val="78"/>
        </w:rPr>
        <w:t>  </w:t>
      </w:r>
      <w:r>
        <w:rPr>
          <w:rFonts w:ascii="標楷體" w:eastAsia="標楷體" w:hint="eastAsia"/>
          <w:w w:val="95"/>
        </w:rPr>
        <w:t>年</w:t>
      </w:r>
    </w:p>
    <w:p>
      <w:pPr>
        <w:pStyle w:val="BodyText"/>
        <w:spacing w:before="78"/>
        <w:ind w:left="900"/>
        <w:jc w:val="both"/>
        <w:rPr>
          <w:rFonts w:ascii="標楷體" w:eastAsia="標楷體" w:hint="eastAsia"/>
        </w:rPr>
      </w:pPr>
      <w:r>
        <w:rPr>
          <w:rFonts w:ascii="標楷體" w:eastAsia="標楷體" w:hint="eastAsia"/>
          <w:spacing w:val="52"/>
          <w:w w:val="95"/>
        </w:rPr>
        <w:t>第 </w:t>
      </w:r>
      <w:r>
        <w:rPr>
          <w:rFonts w:ascii="Times New Roman" w:eastAsia="Times New Roman"/>
          <w:w w:val="95"/>
        </w:rPr>
        <w:t>1</w:t>
      </w:r>
      <w:r>
        <w:rPr>
          <w:rFonts w:ascii="Times New Roman" w:eastAsia="Times New Roman"/>
          <w:spacing w:val="160"/>
        </w:rPr>
        <w:t> </w:t>
      </w:r>
      <w:r>
        <w:rPr>
          <w:rFonts w:ascii="標楷體" w:eastAsia="標楷體" w:hint="eastAsia"/>
          <w:w w:val="95"/>
        </w:rPr>
        <w:t>次常年訓練術科技術教官遴選結果。此際再申訴人所請求者，並非停止執行</w:t>
      </w:r>
    </w:p>
    <w:p>
      <w:pPr>
        <w:pStyle w:val="BodyText"/>
        <w:spacing w:line="295" w:lineRule="auto" w:before="79"/>
        <w:ind w:left="900" w:right="917"/>
        <w:jc w:val="both"/>
      </w:pPr>
      <w:r>
        <w:rPr>
          <w:rFonts w:ascii="標楷體" w:eastAsia="標楷體" w:hint="eastAsia"/>
        </w:rPr>
        <w:t>（拒絕其參加口試之</w:t>
      </w:r>
      <w:r>
        <w:rPr>
          <w:rFonts w:ascii="標楷體" w:eastAsia="標楷體" w:hint="eastAsia"/>
          <w:spacing w:val="-121"/>
        </w:rPr>
        <w:t>）</w:t>
      </w:r>
      <w:r>
        <w:rPr>
          <w:rFonts w:ascii="標楷體" w:eastAsia="標楷體" w:hint="eastAsia"/>
          <w:spacing w:val="-18"/>
        </w:rPr>
        <w:t>「原管理措施」，而是停止執行「遴選結果」，因此其所申</w:t>
      </w:r>
      <w:r>
        <w:rPr>
          <w:rFonts w:ascii="標楷體" w:eastAsia="標楷體" w:hint="eastAsia"/>
          <w:spacing w:val="-3"/>
        </w:rPr>
        <w:t>請者，實為定暫時狀態之假處分。蓋再申訴人希冀阻止系爭機關依據遴選結果任命他人，否則即使其在本案救濟程序中或得平反，該職位亦已被分配出去。</w:t>
      </w:r>
      <w:r>
        <w:rPr>
          <w:spacing w:val="-2"/>
        </w:rPr>
        <w:t>」從</w:t>
      </w:r>
      <w:r>
        <w:rPr>
          <w:spacing w:val="-3"/>
        </w:rPr>
        <w:t>此事件可以得知，現行保障法僅有停止執行原措施或處置之規定，並不足夠。在未引進假處分程序之前，此類案件之申請很可能因程序不合法而不被受理，而使</w:t>
      </w:r>
      <w:r>
        <w:rPr/>
        <w:t>其成為保障法制中暫時權利保護體系之缺口。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rect style="position:absolute;margin-left:90pt;margin-top:19.768114pt;width:144pt;height:.600010pt;mso-position-horizontal-relative:page;mso-position-vertical-relative:paragraph;z-index:-15703040;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914" w:firstLine="0"/>
        <w:jc w:val="left"/>
        <w:rPr>
          <w:sz w:val="22"/>
        </w:rPr>
      </w:pPr>
      <w:r>
        <w:rPr>
          <w:rFonts w:ascii="Times New Roman" w:eastAsia="Times New Roman"/>
          <w:sz w:val="22"/>
          <w:vertAlign w:val="superscript"/>
        </w:rPr>
        <w:t>96</w:t>
      </w:r>
      <w:r>
        <w:rPr>
          <w:rFonts w:ascii="Times New Roman" w:eastAsia="Times New Roman"/>
          <w:spacing w:val="40"/>
          <w:sz w:val="22"/>
          <w:vertAlign w:val="baseline"/>
        </w:rPr>
        <w:t> </w:t>
      </w:r>
      <w:r>
        <w:rPr>
          <w:sz w:val="22"/>
          <w:vertAlign w:val="baseline"/>
        </w:rPr>
        <w:t>「強化公務人員保障事件救濟程序研究計畫」</w:t>
      </w:r>
      <w:r>
        <w:rPr>
          <w:rFonts w:ascii="Times New Roman" w:eastAsia="Times New Roman"/>
          <w:sz w:val="22"/>
          <w:vertAlign w:val="baseline"/>
        </w:rPr>
        <w:t>2011</w:t>
      </w:r>
      <w:r>
        <w:rPr>
          <w:rFonts w:ascii="Times New Roman" w:eastAsia="Times New Roman"/>
          <w:spacing w:val="-4"/>
          <w:sz w:val="22"/>
          <w:vertAlign w:val="baseline"/>
        </w:rPr>
        <w:t> </w:t>
      </w:r>
      <w:r>
        <w:rPr>
          <w:spacing w:val="-3"/>
          <w:sz w:val="22"/>
          <w:vertAlign w:val="baseline"/>
        </w:rPr>
        <w:t>年 </w:t>
      </w:r>
      <w:r>
        <w:rPr>
          <w:rFonts w:ascii="Times New Roman" w:eastAsia="Times New Roman"/>
          <w:sz w:val="22"/>
          <w:vertAlign w:val="baseline"/>
        </w:rPr>
        <w:t>5</w:t>
      </w:r>
      <w:r>
        <w:rPr>
          <w:rFonts w:ascii="Times New Roman" w:eastAsia="Times New Roman"/>
          <w:spacing w:val="-4"/>
          <w:sz w:val="22"/>
          <w:vertAlign w:val="baseline"/>
        </w:rPr>
        <w:t> </w:t>
      </w:r>
      <w:r>
        <w:rPr>
          <w:spacing w:val="-4"/>
          <w:sz w:val="22"/>
          <w:vertAlign w:val="baseline"/>
        </w:rPr>
        <w:t>月 </w:t>
      </w:r>
      <w:r>
        <w:rPr>
          <w:rFonts w:ascii="Times New Roman" w:eastAsia="Times New Roman"/>
          <w:sz w:val="22"/>
          <w:vertAlign w:val="baseline"/>
        </w:rPr>
        <w:t>13</w:t>
      </w:r>
      <w:r>
        <w:rPr>
          <w:rFonts w:ascii="Times New Roman" w:eastAsia="Times New Roman"/>
          <w:spacing w:val="-4"/>
          <w:sz w:val="22"/>
          <w:vertAlign w:val="baseline"/>
        </w:rPr>
        <w:t> </w:t>
      </w:r>
      <w:r>
        <w:rPr>
          <w:sz w:val="22"/>
          <w:vertAlign w:val="baseline"/>
        </w:rPr>
        <w:t>日專家座談會，林明昕教授之發言。</w:t>
      </w:r>
    </w:p>
    <w:p>
      <w:pPr>
        <w:spacing w:after="0" w:line="223" w:lineRule="auto"/>
        <w:jc w:val="left"/>
        <w:rPr>
          <w:sz w:val="22"/>
        </w:rPr>
        <w:sectPr>
          <w:pgSz w:w="11910" w:h="16840"/>
          <w:pgMar w:header="0" w:footer="938" w:top="1380" w:bottom="1200" w:left="900" w:right="880"/>
        </w:sectPr>
      </w:pPr>
    </w:p>
    <w:p>
      <w:pPr>
        <w:pStyle w:val="BodyText"/>
        <w:spacing w:before="1"/>
        <w:rPr>
          <w:sz w:val="10"/>
        </w:rPr>
      </w:pPr>
    </w:p>
    <w:p>
      <w:pPr>
        <w:pStyle w:val="Heading2"/>
        <w:spacing w:before="44"/>
      </w:pPr>
      <w:bookmarkStart w:name="_TOC_250020" w:id="19"/>
      <w:bookmarkEnd w:id="19"/>
      <w:r>
        <w:rPr/>
        <w:t>第二節 停止執行適用於再申訴事件之妥當性</w:t>
      </w:r>
    </w:p>
    <w:p>
      <w:pPr>
        <w:pStyle w:val="BodyText"/>
        <w:rPr>
          <w:b/>
          <w:sz w:val="28"/>
        </w:rPr>
      </w:pPr>
    </w:p>
    <w:p>
      <w:pPr>
        <w:pStyle w:val="BodyText"/>
        <w:spacing w:before="2"/>
        <w:rPr>
          <w:b/>
          <w:sz w:val="23"/>
        </w:rPr>
      </w:pPr>
    </w:p>
    <w:p>
      <w:pPr>
        <w:pStyle w:val="Heading3"/>
        <w:rPr>
          <w:rFonts w:ascii="新細明體" w:eastAsia="新細明體" w:hint="eastAsia"/>
        </w:rPr>
      </w:pPr>
      <w:bookmarkStart w:name="_TOC_250019" w:id="20"/>
      <w:bookmarkEnd w:id="20"/>
      <w:r>
        <w:rPr>
          <w:rFonts w:ascii="新細明體" w:eastAsia="新細明體" w:hint="eastAsia"/>
          <w:w w:val="95"/>
        </w:rPr>
        <w:t>一、執行概念之探討</w:t>
      </w:r>
    </w:p>
    <w:p>
      <w:pPr>
        <w:pStyle w:val="BodyText"/>
        <w:spacing w:before="5"/>
        <w:rPr>
          <w:b/>
          <w:sz w:val="29"/>
        </w:rPr>
      </w:pPr>
    </w:p>
    <w:p>
      <w:pPr>
        <w:pStyle w:val="BodyText"/>
        <w:spacing w:line="295" w:lineRule="auto"/>
        <w:ind w:left="900" w:right="857" w:firstLine="480"/>
        <w:jc w:val="both"/>
        <w:rPr>
          <w:rFonts w:ascii="Times New Roman" w:eastAsia="Times New Roman"/>
        </w:rPr>
      </w:pPr>
      <w:r>
        <w:rPr>
          <w:spacing w:val="-2"/>
        </w:rPr>
        <w:t>保障法上「停止執行」既係參考一般行政爭訟救濟制度而來，在探討何謂停</w:t>
      </w:r>
      <w:r>
        <w:rPr>
          <w:spacing w:val="-1"/>
        </w:rPr>
        <w:t>止執行之「執行」的問題時，或許必須先回到一般行政爭訟來觀察。如前所述，</w:t>
      </w:r>
      <w:r>
        <w:rPr>
          <w:spacing w:val="-60"/>
        </w:rPr>
        <w:t> </w:t>
      </w:r>
      <w:r>
        <w:rPr/>
        <w:t>停止執行（</w:t>
      </w:r>
      <w:r>
        <w:rPr>
          <w:spacing w:val="-2"/>
        </w:rPr>
        <w:t>訴願法第 </w:t>
      </w:r>
      <w:r>
        <w:rPr>
          <w:rFonts w:ascii="Times New Roman" w:eastAsia="Times New Roman"/>
        </w:rPr>
        <w:t>93</w:t>
      </w:r>
      <w:r>
        <w:rPr>
          <w:rFonts w:ascii="Times New Roman" w:eastAsia="Times New Roman"/>
          <w:spacing w:val="-6"/>
        </w:rPr>
        <w:t> </w:t>
      </w:r>
      <w:r>
        <w:rPr>
          <w:spacing w:val="-1"/>
        </w:rPr>
        <w:t>條、行政訴訟法第 </w:t>
      </w:r>
      <w:r>
        <w:rPr>
          <w:rFonts w:ascii="Times New Roman" w:eastAsia="Times New Roman"/>
        </w:rPr>
        <w:t>116</w:t>
      </w:r>
      <w:r>
        <w:rPr>
          <w:rFonts w:ascii="Times New Roman" w:eastAsia="Times New Roman"/>
          <w:spacing w:val="-5"/>
        </w:rPr>
        <w:t> </w:t>
      </w:r>
      <w:r>
        <w:rPr/>
        <w:t>條</w:t>
      </w:r>
      <w:r>
        <w:rPr>
          <w:spacing w:val="-124"/>
        </w:rPr>
        <w:t>）</w:t>
      </w:r>
      <w:r>
        <w:rPr/>
        <w:t>、假扣押（</w:t>
      </w:r>
      <w:r>
        <w:rPr>
          <w:spacing w:val="-2"/>
        </w:rPr>
        <w:t>行政訴訟法第 </w:t>
      </w:r>
      <w:r>
        <w:rPr>
          <w:rFonts w:ascii="Times New Roman" w:eastAsia="Times New Roman"/>
        </w:rPr>
        <w:t>293</w:t>
      </w:r>
    </w:p>
    <w:p>
      <w:pPr>
        <w:pStyle w:val="BodyText"/>
        <w:spacing w:line="295" w:lineRule="auto" w:before="4"/>
        <w:ind w:left="899" w:right="857"/>
        <w:jc w:val="both"/>
      </w:pPr>
      <w:r>
        <w:rPr>
          <w:spacing w:val="-2"/>
        </w:rPr>
        <w:t>條）以及假處分（</w:t>
      </w:r>
      <w:r>
        <w:rPr>
          <w:spacing w:val="-4"/>
        </w:rPr>
        <w:t>行政訴訟法第 </w:t>
      </w:r>
      <w:r>
        <w:rPr>
          <w:rFonts w:ascii="Times New Roman" w:eastAsia="Times New Roman"/>
          <w:spacing w:val="-2"/>
        </w:rPr>
        <w:t>298</w:t>
      </w:r>
      <w:r>
        <w:rPr>
          <w:rFonts w:ascii="Times New Roman" w:eastAsia="Times New Roman"/>
          <w:spacing w:val="-10"/>
        </w:rPr>
        <w:t> </w:t>
      </w:r>
      <w:r>
        <w:rPr>
          <w:spacing w:val="-2"/>
        </w:rPr>
        <w:t>條）同屬於一般行政爭訟上之暫時權利保護</w:t>
      </w:r>
      <w:r>
        <w:rPr/>
        <w:t>制度</w:t>
      </w:r>
      <w:r>
        <w:rPr>
          <w:rFonts w:ascii="Times New Roman" w:eastAsia="Times New Roman"/>
          <w:vertAlign w:val="superscript"/>
        </w:rPr>
        <w:t>97</w:t>
      </w:r>
      <w:r>
        <w:rPr>
          <w:spacing w:val="-17"/>
          <w:vertAlign w:val="baseline"/>
        </w:rPr>
        <w:t>。「停止執行」，係指對於行政機關所為之行政處分，當事人向法院或向行</w:t>
      </w:r>
      <w:r>
        <w:rPr>
          <w:spacing w:val="-9"/>
          <w:vertAlign w:val="baseline"/>
        </w:rPr>
        <w:t>政機關聲請或申請對該行政處分暫緩執行。然而，所謂暫緩行政處分之「執行」，</w:t>
      </w:r>
      <w:r>
        <w:rPr>
          <w:spacing w:val="-60"/>
          <w:vertAlign w:val="baseline"/>
        </w:rPr>
        <w:t> </w:t>
      </w:r>
      <w:r>
        <w:rPr>
          <w:spacing w:val="-2"/>
          <w:vertAlign w:val="baseline"/>
        </w:rPr>
        <w:t>其概念定義為何，也就是「停止執行」所阻斷的究竟是行政處分如何的效力，一</w:t>
      </w:r>
      <w:r>
        <w:rPr>
          <w:vertAlign w:val="baseline"/>
        </w:rPr>
        <w:t>般有「執行說」與「效力說」之不同看法</w:t>
      </w:r>
      <w:r>
        <w:rPr>
          <w:rFonts w:ascii="Times New Roman" w:eastAsia="Times New Roman"/>
          <w:vertAlign w:val="superscript"/>
        </w:rPr>
        <w:t>98</w:t>
      </w:r>
      <w:r>
        <w:rPr>
          <w:vertAlign w:val="baseline"/>
        </w:rPr>
        <w:t>。</w:t>
      </w:r>
    </w:p>
    <w:p>
      <w:pPr>
        <w:pStyle w:val="BodyText"/>
        <w:rPr>
          <w:sz w:val="30"/>
        </w:rPr>
      </w:pPr>
    </w:p>
    <w:p>
      <w:pPr>
        <w:pStyle w:val="BodyText"/>
        <w:ind w:left="1413"/>
      </w:pPr>
      <w:r>
        <w:rPr>
          <w:spacing w:val="18"/>
        </w:rPr>
        <w:t>以德國為例，其行政法院法第 </w:t>
      </w:r>
      <w:r>
        <w:rPr>
          <w:rFonts w:ascii="Times New Roman" w:eastAsia="Times New Roman"/>
        </w:rPr>
        <w:t>80</w:t>
      </w:r>
      <w:r>
        <w:rPr>
          <w:rFonts w:ascii="Times New Roman" w:eastAsia="Times New Roman"/>
          <w:spacing w:val="75"/>
        </w:rPr>
        <w:t> </w:t>
      </w:r>
      <w:r>
        <w:rPr>
          <w:spacing w:val="16"/>
        </w:rPr>
        <w:t>條的條文中，雖有所謂「停止執行」</w:t>
      </w:r>
    </w:p>
    <w:p>
      <w:pPr>
        <w:pStyle w:val="BodyText"/>
        <w:spacing w:line="295" w:lineRule="auto" w:before="79"/>
        <w:ind w:left="900" w:right="794"/>
      </w:pPr>
      <w:r>
        <w:rPr/>
        <w:t>（</w:t>
      </w:r>
      <w:r>
        <w:rPr>
          <w:rFonts w:ascii="Times New Roman" w:eastAsia="Times New Roman"/>
        </w:rPr>
        <w:t>Aussetzung der</w:t>
      </w:r>
      <w:r>
        <w:rPr>
          <w:rFonts w:ascii="Times New Roman" w:eastAsia="Times New Roman"/>
          <w:spacing w:val="-5"/>
        </w:rPr>
        <w:t> </w:t>
      </w:r>
      <w:r>
        <w:rPr>
          <w:rFonts w:ascii="Times New Roman" w:eastAsia="Times New Roman"/>
          <w:spacing w:val="-32"/>
        </w:rPr>
        <w:t>V</w:t>
      </w:r>
      <w:r>
        <w:rPr>
          <w:rFonts w:ascii="Times New Roman" w:eastAsia="Times New Roman"/>
        </w:rPr>
        <w:t>ollziehung</w:t>
      </w:r>
      <w:r>
        <w:rPr>
          <w:spacing w:val="-22"/>
        </w:rPr>
        <w:t>）</w:t>
      </w:r>
      <w:r>
        <w:rPr>
          <w:spacing w:val="-7"/>
        </w:rPr>
        <w:t>用語的適用，然而何謂「執行</w:t>
      </w:r>
      <w:r>
        <w:rPr>
          <w:spacing w:val="-142"/>
        </w:rPr>
        <w:t>」</w:t>
      </w:r>
      <w:r>
        <w:rPr/>
        <w:t>（</w:t>
      </w:r>
      <w:r>
        <w:rPr>
          <w:rFonts w:ascii="Times New Roman" w:eastAsia="Times New Roman"/>
          <w:spacing w:val="-32"/>
        </w:rPr>
        <w:t>V</w:t>
      </w:r>
      <w:r>
        <w:rPr>
          <w:rFonts w:ascii="Times New Roman" w:eastAsia="Times New Roman"/>
        </w:rPr>
        <w:t>ollziehun</w:t>
      </w:r>
      <w:r>
        <w:rPr>
          <w:rFonts w:ascii="Times New Roman" w:eastAsia="Times New Roman"/>
          <w:spacing w:val="-1"/>
        </w:rPr>
        <w:t>g</w:t>
      </w:r>
      <w:r>
        <w:rPr>
          <w:spacing w:val="-131"/>
        </w:rPr>
        <w:t>）</w:t>
      </w:r>
      <w:r>
        <w:rPr>
          <w:spacing w:val="-11"/>
        </w:rPr>
        <w:t>，法</w:t>
      </w:r>
      <w:r>
        <w:rPr>
          <w:spacing w:val="-1"/>
        </w:rPr>
        <w:t>條上並沒有明文的規定。也因此，在德國停止執行制度中所謂「執行」概念應作</w:t>
      </w:r>
      <w:r>
        <w:rPr/>
        <w:t>如何的解釋，向來是學說與實務爭議的焦點</w:t>
      </w:r>
      <w:r>
        <w:rPr>
          <w:rFonts w:ascii="Times New Roman" w:eastAsia="Times New Roman"/>
          <w:vertAlign w:val="superscript"/>
        </w:rPr>
        <w:t>99</w:t>
      </w:r>
      <w:r>
        <w:rPr>
          <w:vertAlign w:val="baseline"/>
        </w:rPr>
        <w:t>。因為「執行」此一概念的定義，</w:t>
      </w:r>
      <w:r>
        <w:rPr>
          <w:spacing w:val="1"/>
          <w:vertAlign w:val="baseline"/>
        </w:rPr>
        <w:t> </w:t>
      </w:r>
      <w:r>
        <w:rPr>
          <w:spacing w:val="-12"/>
          <w:vertAlign w:val="baseline"/>
        </w:rPr>
        <w:t>涉及停止執行制度所能阻止之行政處分效力的內涵，換句話說，所謂「停止執行」</w:t>
      </w:r>
      <w:r>
        <w:rPr>
          <w:spacing w:val="-1"/>
          <w:vertAlign w:val="baseline"/>
        </w:rPr>
        <w:t>除所謂的「執行力」外，是否另及於其他效力？而此一問題也會進一步影響停止執行制度所能適用的對象，除了具有執行力的「下命處分」外，是否也包含不具執行力的「形成處分」與「確認處分」在內。不過，關於「執行」概念定義的問</w:t>
      </w:r>
      <w:r>
        <w:rPr>
          <w:spacing w:val="-2"/>
          <w:vertAlign w:val="baseline"/>
        </w:rPr>
        <w:t>題，在德國法學界歷經長期的爭論後，在 </w:t>
      </w:r>
      <w:r>
        <w:rPr>
          <w:rFonts w:ascii="Times New Roman" w:eastAsia="Times New Roman"/>
          <w:spacing w:val="-1"/>
          <w:vertAlign w:val="baseline"/>
        </w:rPr>
        <w:t>79</w:t>
      </w:r>
      <w:r>
        <w:rPr>
          <w:rFonts w:ascii="Times New Roman" w:eastAsia="Times New Roman"/>
          <w:spacing w:val="-12"/>
          <w:vertAlign w:val="baseline"/>
        </w:rPr>
        <w:t> </w:t>
      </w:r>
      <w:r>
        <w:rPr>
          <w:spacing w:val="-3"/>
          <w:vertAlign w:val="baseline"/>
        </w:rPr>
        <w:t>年行政法院法第 </w:t>
      </w:r>
      <w:r>
        <w:rPr>
          <w:rFonts w:ascii="Times New Roman" w:eastAsia="Times New Roman"/>
          <w:vertAlign w:val="baseline"/>
        </w:rPr>
        <w:t>80</w:t>
      </w:r>
      <w:r>
        <w:rPr>
          <w:rFonts w:ascii="Times New Roman" w:eastAsia="Times New Roman"/>
          <w:spacing w:val="-12"/>
          <w:vertAlign w:val="baseline"/>
        </w:rPr>
        <w:t> </w:t>
      </w:r>
      <w:r>
        <w:rPr>
          <w:vertAlign w:val="baseline"/>
        </w:rPr>
        <w:t>條的修正後，近</w:t>
      </w:r>
      <w:r>
        <w:rPr>
          <w:spacing w:val="-1"/>
          <w:vertAlign w:val="baseline"/>
        </w:rPr>
        <w:t>來似有逐漸平息的趨勢，雖然此次修正中，立法者仍然未對於「執行」概念本身作任何明文的說明，不過關於形成處分與確認處分，立法者明確在該法條的第一項第二句中，宣示其於停止執行制度中適用的可能性。目前在德國不具執行力或</w:t>
      </w:r>
    </w:p>
    <w:p>
      <w:pPr>
        <w:pStyle w:val="BodyText"/>
        <w:spacing w:before="7"/>
        <w:rPr>
          <w:sz w:val="19"/>
        </w:rPr>
      </w:pPr>
      <w:r>
        <w:rPr/>
        <w:pict>
          <v:rect style="position:absolute;margin-left:90pt;margin-top:15.585322pt;width:144pt;height:.59999pt;mso-position-horizontal-relative:page;mso-position-vertical-relative:paragraph;z-index:-15702528;mso-wrap-distance-left:0;mso-wrap-distance-right:0" filled="true" fillcolor="#000000" stroked="false">
            <v:fill type="solid"/>
            <w10:wrap type="topAndBottom"/>
          </v:rect>
        </w:pict>
      </w:r>
    </w:p>
    <w:p>
      <w:pPr>
        <w:pStyle w:val="BodyText"/>
        <w:spacing w:before="11"/>
        <w:rPr>
          <w:sz w:val="5"/>
        </w:rPr>
      </w:pPr>
    </w:p>
    <w:p>
      <w:pPr>
        <w:spacing w:line="223" w:lineRule="auto" w:before="121"/>
        <w:ind w:left="900" w:right="860" w:firstLine="0"/>
        <w:jc w:val="both"/>
        <w:rPr>
          <w:sz w:val="22"/>
        </w:rPr>
      </w:pPr>
      <w:r>
        <w:rPr>
          <w:rFonts w:ascii="Times New Roman" w:eastAsia="Times New Roman"/>
          <w:spacing w:val="-1"/>
          <w:sz w:val="22"/>
          <w:vertAlign w:val="superscript"/>
        </w:rPr>
        <w:t>97</w:t>
      </w:r>
      <w:r>
        <w:rPr>
          <w:rFonts w:ascii="Times New Roman" w:eastAsia="Times New Roman"/>
          <w:spacing w:val="33"/>
          <w:sz w:val="22"/>
          <w:vertAlign w:val="baseline"/>
        </w:rPr>
        <w:t> </w:t>
      </w:r>
      <w:r>
        <w:rPr>
          <w:spacing w:val="-14"/>
          <w:sz w:val="22"/>
          <w:vertAlign w:val="baseline"/>
        </w:rPr>
        <w:t>陳淑芳，〈行政救濟與暫時權利保護程序</w:t>
      </w:r>
      <w:r>
        <w:rPr>
          <w:spacing w:val="-36"/>
          <w:sz w:val="22"/>
          <w:vertAlign w:val="baseline"/>
        </w:rPr>
        <w:t>〉，《月旦法學教室》，第 </w:t>
      </w:r>
      <w:r>
        <w:rPr>
          <w:rFonts w:ascii="Times New Roman" w:eastAsia="Times New Roman"/>
          <w:sz w:val="22"/>
          <w:vertAlign w:val="baseline"/>
        </w:rPr>
        <w:t>59</w:t>
      </w:r>
      <w:r>
        <w:rPr>
          <w:rFonts w:ascii="Times New Roman" w:eastAsia="Times New Roman"/>
          <w:spacing w:val="-11"/>
          <w:sz w:val="22"/>
          <w:vertAlign w:val="baseline"/>
        </w:rPr>
        <w:t> </w:t>
      </w:r>
      <w:r>
        <w:rPr>
          <w:sz w:val="22"/>
          <w:vertAlign w:val="baseline"/>
        </w:rPr>
        <w:t>期，</w:t>
      </w:r>
      <w:r>
        <w:rPr>
          <w:rFonts w:ascii="Times New Roman" w:eastAsia="Times New Roman"/>
          <w:sz w:val="22"/>
          <w:vertAlign w:val="baseline"/>
        </w:rPr>
        <w:t>2007</w:t>
      </w:r>
      <w:r>
        <w:rPr>
          <w:rFonts w:ascii="Times New Roman" w:eastAsia="Times New Roman"/>
          <w:spacing w:val="-10"/>
          <w:sz w:val="22"/>
          <w:vertAlign w:val="baseline"/>
        </w:rPr>
        <w:t> </w:t>
      </w:r>
      <w:r>
        <w:rPr>
          <w:spacing w:val="-7"/>
          <w:sz w:val="22"/>
          <w:vertAlign w:val="baseline"/>
        </w:rPr>
        <w:t>年 </w:t>
      </w:r>
      <w:r>
        <w:rPr>
          <w:rFonts w:ascii="Times New Roman" w:eastAsia="Times New Roman"/>
          <w:sz w:val="22"/>
          <w:vertAlign w:val="baseline"/>
        </w:rPr>
        <w:t>9</w:t>
      </w:r>
      <w:r>
        <w:rPr>
          <w:rFonts w:ascii="Times New Roman" w:eastAsia="Times New Roman"/>
          <w:spacing w:val="-9"/>
          <w:sz w:val="22"/>
          <w:vertAlign w:val="baseline"/>
        </w:rPr>
        <w:t> </w:t>
      </w:r>
      <w:r>
        <w:rPr>
          <w:sz w:val="22"/>
          <w:vertAlign w:val="baseline"/>
        </w:rPr>
        <w:t>月，</w:t>
      </w:r>
      <w:r>
        <w:rPr>
          <w:spacing w:val="-55"/>
          <w:sz w:val="22"/>
          <w:vertAlign w:val="baseline"/>
        </w:rPr>
        <w:t> </w:t>
      </w:r>
      <w:r>
        <w:rPr>
          <w:spacing w:val="-1"/>
          <w:sz w:val="22"/>
          <w:vertAlign w:val="baseline"/>
        </w:rPr>
        <w:t>頁 </w:t>
      </w:r>
      <w:r>
        <w:rPr>
          <w:rFonts w:ascii="Times New Roman" w:eastAsia="Times New Roman"/>
          <w:sz w:val="22"/>
          <w:vertAlign w:val="baseline"/>
        </w:rPr>
        <w:t>20</w:t>
      </w:r>
      <w:r>
        <w:rPr>
          <w:sz w:val="22"/>
          <w:vertAlign w:val="baseline"/>
        </w:rPr>
        <w:t>。</w:t>
      </w:r>
    </w:p>
    <w:p>
      <w:pPr>
        <w:spacing w:before="105"/>
        <w:ind w:left="900" w:right="0" w:firstLine="0"/>
        <w:jc w:val="both"/>
        <w:rPr>
          <w:sz w:val="22"/>
        </w:rPr>
      </w:pPr>
      <w:r>
        <w:rPr>
          <w:rFonts w:ascii="Times New Roman" w:eastAsia="Times New Roman"/>
          <w:sz w:val="22"/>
          <w:vertAlign w:val="superscript"/>
        </w:rPr>
        <w:t>98</w:t>
      </w:r>
      <w:r>
        <w:rPr>
          <w:rFonts w:ascii="Times New Roman" w:eastAsia="Times New Roman"/>
          <w:spacing w:val="52"/>
          <w:sz w:val="22"/>
          <w:vertAlign w:val="baseline"/>
        </w:rPr>
        <w:t> </w:t>
      </w:r>
      <w:r>
        <w:rPr>
          <w:spacing w:val="-18"/>
          <w:sz w:val="22"/>
          <w:vertAlign w:val="baseline"/>
        </w:rPr>
        <w:t>吳庚，《行政法之理論與實用》，第 </w:t>
      </w:r>
      <w:r>
        <w:rPr>
          <w:rFonts w:ascii="Times New Roman" w:eastAsia="Times New Roman"/>
          <w:sz w:val="22"/>
          <w:vertAlign w:val="baseline"/>
        </w:rPr>
        <w:t>11</w:t>
      </w:r>
      <w:r>
        <w:rPr>
          <w:rFonts w:ascii="Times New Roman" w:eastAsia="Times New Roman"/>
          <w:spacing w:val="-1"/>
          <w:sz w:val="22"/>
          <w:vertAlign w:val="baseline"/>
        </w:rPr>
        <w:t> </w:t>
      </w:r>
      <w:r>
        <w:rPr>
          <w:sz w:val="22"/>
          <w:vertAlign w:val="baseline"/>
        </w:rPr>
        <w:t>版，</w:t>
      </w:r>
      <w:r>
        <w:rPr>
          <w:rFonts w:ascii="Times New Roman" w:eastAsia="Times New Roman"/>
          <w:sz w:val="22"/>
          <w:vertAlign w:val="baseline"/>
        </w:rPr>
        <w:t>2010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10</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702-705</w:t>
      </w:r>
      <w:r>
        <w:rPr>
          <w:sz w:val="22"/>
          <w:vertAlign w:val="baseline"/>
        </w:rPr>
        <w:t>。</w:t>
      </w:r>
    </w:p>
    <w:p>
      <w:pPr>
        <w:spacing w:line="223" w:lineRule="auto" w:before="113"/>
        <w:ind w:left="900" w:right="914" w:firstLine="0"/>
        <w:jc w:val="both"/>
        <w:rPr>
          <w:sz w:val="22"/>
        </w:rPr>
      </w:pPr>
      <w:r>
        <w:rPr>
          <w:rFonts w:ascii="Times New Roman" w:hAnsi="Times New Roman" w:eastAsia="Times New Roman"/>
          <w:sz w:val="22"/>
          <w:vertAlign w:val="superscript"/>
        </w:rPr>
        <w:t>99</w:t>
      </w:r>
      <w:r>
        <w:rPr>
          <w:rFonts w:ascii="Times New Roman" w:hAnsi="Times New Roman" w:eastAsia="Times New Roman"/>
          <w:spacing w:val="44"/>
          <w:sz w:val="22"/>
          <w:vertAlign w:val="baseline"/>
        </w:rPr>
        <w:t> </w:t>
      </w:r>
      <w:r>
        <w:rPr>
          <w:spacing w:val="-2"/>
          <w:sz w:val="22"/>
          <w:vertAlign w:val="baseline"/>
        </w:rPr>
        <w:t>就此詳見 </w:t>
      </w:r>
      <w:r>
        <w:rPr>
          <w:rFonts w:ascii="Times New Roman" w:hAnsi="Times New Roman" w:eastAsia="Times New Roman"/>
          <w:sz w:val="22"/>
          <w:vertAlign w:val="baseline"/>
        </w:rPr>
        <w:t>K.</w:t>
      </w:r>
      <w:r>
        <w:rPr>
          <w:rFonts w:ascii="Times New Roman" w:hAnsi="Times New Roman" w:eastAsia="Times New Roman"/>
          <w:spacing w:val="22"/>
          <w:sz w:val="22"/>
          <w:vertAlign w:val="baseline"/>
        </w:rPr>
        <w:t> </w:t>
      </w:r>
      <w:r>
        <w:rPr>
          <w:rFonts w:ascii="Times New Roman" w:hAnsi="Times New Roman" w:eastAsia="Times New Roman"/>
          <w:sz w:val="22"/>
          <w:vertAlign w:val="baseline"/>
        </w:rPr>
        <w:t>Finkelnburg</w:t>
      </w:r>
      <w:r>
        <w:rPr>
          <w:rFonts w:ascii="Times New Roman" w:hAnsi="Times New Roman" w:eastAsia="Times New Roman"/>
          <w:spacing w:val="11"/>
          <w:sz w:val="22"/>
          <w:vertAlign w:val="baseline"/>
        </w:rPr>
        <w:t>, </w:t>
      </w:r>
      <w:r>
        <w:rPr>
          <w:rFonts w:ascii="Times New Roman" w:hAnsi="Times New Roman" w:eastAsia="Times New Roman"/>
          <w:sz w:val="22"/>
          <w:vertAlign w:val="baseline"/>
        </w:rPr>
        <w:t>in:</w:t>
      </w:r>
      <w:r>
        <w:rPr>
          <w:rFonts w:ascii="Times New Roman" w:hAnsi="Times New Roman" w:eastAsia="Times New Roman"/>
          <w:spacing w:val="22"/>
          <w:sz w:val="22"/>
          <w:vertAlign w:val="baseline"/>
        </w:rPr>
        <w:t> </w:t>
      </w:r>
      <w:r>
        <w:rPr>
          <w:rFonts w:ascii="Times New Roman" w:hAnsi="Times New Roman" w:eastAsia="Times New Roman"/>
          <w:sz w:val="22"/>
          <w:vertAlign w:val="baseline"/>
        </w:rPr>
        <w:t>Finkelnburg/Dombert/Külpmann,</w:t>
      </w:r>
      <w:r>
        <w:rPr>
          <w:rFonts w:ascii="Times New Roman" w:hAnsi="Times New Roman" w:eastAsia="Times New Roman"/>
          <w:spacing w:val="23"/>
          <w:sz w:val="22"/>
          <w:vertAlign w:val="baseline"/>
        </w:rPr>
        <w:t> </w:t>
      </w:r>
      <w:r>
        <w:rPr>
          <w:rFonts w:ascii="Times New Roman" w:hAnsi="Times New Roman" w:eastAsia="Times New Roman"/>
          <w:sz w:val="22"/>
          <w:vertAlign w:val="baseline"/>
        </w:rPr>
        <w:t>Vorläufiger</w:t>
      </w:r>
      <w:r>
        <w:rPr>
          <w:rFonts w:ascii="Times New Roman" w:hAnsi="Times New Roman" w:eastAsia="Times New Roman"/>
          <w:spacing w:val="23"/>
          <w:sz w:val="22"/>
          <w:vertAlign w:val="baseline"/>
        </w:rPr>
        <w:t> </w:t>
      </w:r>
      <w:r>
        <w:rPr>
          <w:rFonts w:ascii="Times New Roman" w:hAnsi="Times New Roman" w:eastAsia="Times New Roman"/>
          <w:sz w:val="22"/>
          <w:vertAlign w:val="baseline"/>
        </w:rPr>
        <w:t>Rechtsschutz</w:t>
      </w:r>
      <w:r>
        <w:rPr>
          <w:rFonts w:ascii="Times New Roman" w:hAnsi="Times New Roman" w:eastAsia="Times New Roman"/>
          <w:spacing w:val="-53"/>
          <w:sz w:val="22"/>
          <w:vertAlign w:val="baseline"/>
        </w:rPr>
        <w:t> </w:t>
      </w:r>
      <w:r>
        <w:rPr>
          <w:rFonts w:ascii="Times New Roman" w:hAnsi="Times New Roman" w:eastAsia="Times New Roman"/>
          <w:spacing w:val="-2"/>
          <w:sz w:val="22"/>
          <w:vertAlign w:val="baseline"/>
        </w:rPr>
        <w:t>im</w:t>
      </w:r>
      <w:r>
        <w:rPr>
          <w:rFonts w:ascii="Times New Roman" w:hAnsi="Times New Roman" w:eastAsia="Times New Roman"/>
          <w:spacing w:val="-4"/>
          <w:sz w:val="22"/>
          <w:vertAlign w:val="baseline"/>
        </w:rPr>
        <w:t> </w:t>
      </w:r>
      <w:r>
        <w:rPr>
          <w:rFonts w:ascii="Times New Roman" w:hAnsi="Times New Roman" w:eastAsia="Times New Roman"/>
          <w:spacing w:val="-2"/>
          <w:sz w:val="22"/>
          <w:vertAlign w:val="baseline"/>
        </w:rPr>
        <w:t>Verwaltungsstreitverfahren,</w:t>
      </w:r>
      <w:r>
        <w:rPr>
          <w:rFonts w:ascii="Times New Roman" w:hAnsi="Times New Roman" w:eastAsia="Times New Roman"/>
          <w:spacing w:val="1"/>
          <w:sz w:val="22"/>
          <w:vertAlign w:val="baseline"/>
        </w:rPr>
        <w:t> </w:t>
      </w:r>
      <w:r>
        <w:rPr>
          <w:rFonts w:ascii="Times New Roman" w:hAnsi="Times New Roman" w:eastAsia="Times New Roman"/>
          <w:spacing w:val="-1"/>
          <w:sz w:val="22"/>
          <w:vertAlign w:val="baseline"/>
        </w:rPr>
        <w:t>5.</w:t>
      </w:r>
      <w:r>
        <w:rPr>
          <w:rFonts w:ascii="Times New Roman" w:hAnsi="Times New Roman" w:eastAsia="Times New Roman"/>
          <w:spacing w:val="-11"/>
          <w:sz w:val="22"/>
          <w:vertAlign w:val="baseline"/>
        </w:rPr>
        <w:t> </w:t>
      </w:r>
      <w:r>
        <w:rPr>
          <w:rFonts w:ascii="Times New Roman" w:hAnsi="Times New Roman" w:eastAsia="Times New Roman"/>
          <w:spacing w:val="-1"/>
          <w:sz w:val="22"/>
          <w:vertAlign w:val="baseline"/>
        </w:rPr>
        <w:t>Aufl.</w:t>
      </w:r>
      <w:r>
        <w:rPr>
          <w:rFonts w:ascii="Times New Roman" w:hAnsi="Times New Roman" w:eastAsia="Times New Roman"/>
          <w:spacing w:val="1"/>
          <w:sz w:val="22"/>
          <w:vertAlign w:val="baseline"/>
        </w:rPr>
        <w:t> </w:t>
      </w:r>
      <w:r>
        <w:rPr>
          <w:rFonts w:ascii="Times New Roman" w:hAnsi="Times New Roman" w:eastAsia="Times New Roman"/>
          <w:spacing w:val="-1"/>
          <w:sz w:val="22"/>
          <w:vertAlign w:val="baseline"/>
        </w:rPr>
        <w:t>2008,</w:t>
      </w:r>
      <w:r>
        <w:rPr>
          <w:rFonts w:ascii="Times New Roman" w:hAnsi="Times New Roman" w:eastAsia="Times New Roman"/>
          <w:spacing w:val="1"/>
          <w:sz w:val="22"/>
          <w:vertAlign w:val="baseline"/>
        </w:rPr>
        <w:t> </w:t>
      </w:r>
      <w:r>
        <w:rPr>
          <w:rFonts w:ascii="Times New Roman" w:hAnsi="Times New Roman" w:eastAsia="Times New Roman"/>
          <w:spacing w:val="-1"/>
          <w:sz w:val="22"/>
          <w:vertAlign w:val="baseline"/>
        </w:rPr>
        <w:t>Rn</w:t>
      </w:r>
      <w:r>
        <w:rPr>
          <w:rFonts w:ascii="Times New Roman" w:hAnsi="Times New Roman" w:eastAsia="Times New Roman"/>
          <w:sz w:val="22"/>
          <w:vertAlign w:val="baseline"/>
        </w:rPr>
        <w:t>. </w:t>
      </w:r>
      <w:r>
        <w:rPr>
          <w:rFonts w:ascii="Times New Roman" w:hAnsi="Times New Roman" w:eastAsia="Times New Roman"/>
          <w:spacing w:val="-1"/>
          <w:sz w:val="22"/>
          <w:vertAlign w:val="baseline"/>
        </w:rPr>
        <w:t>639ff.</w:t>
      </w:r>
      <w:r>
        <w:rPr>
          <w:spacing w:val="-13"/>
          <w:sz w:val="22"/>
          <w:vertAlign w:val="baseline"/>
        </w:rPr>
        <w:t>；林明昕，〈論行政訴訟法上之「執</w:t>
      </w:r>
      <w:r>
        <w:rPr>
          <w:spacing w:val="-40"/>
          <w:sz w:val="22"/>
          <w:vertAlign w:val="baseline"/>
        </w:rPr>
        <w:t>行</w:t>
      </w:r>
      <w:r>
        <w:rPr>
          <w:sz w:val="22"/>
          <w:vertAlign w:val="baseline"/>
        </w:rPr>
        <w:t>（</w:t>
      </w:r>
      <w:r>
        <w:rPr>
          <w:spacing w:val="1"/>
          <w:sz w:val="22"/>
          <w:vertAlign w:val="baseline"/>
        </w:rPr>
        <w:t>不</w:t>
      </w:r>
      <w:r>
        <w:rPr>
          <w:spacing w:val="-40"/>
          <w:sz w:val="22"/>
          <w:vertAlign w:val="baseline"/>
        </w:rPr>
        <w:t>）</w:t>
      </w:r>
      <w:r>
        <w:rPr>
          <w:spacing w:val="-28"/>
          <w:sz w:val="22"/>
          <w:vertAlign w:val="baseline"/>
        </w:rPr>
        <w:t>停止原則」〉，收於：氏著，《公法學的開拓線－理論、實務與體系之建構》，</w:t>
      </w:r>
      <w:r>
        <w:rPr>
          <w:rFonts w:ascii="Times New Roman" w:hAnsi="Times New Roman" w:eastAsia="Times New Roman"/>
          <w:spacing w:val="-5"/>
          <w:sz w:val="22"/>
          <w:vertAlign w:val="baseline"/>
        </w:rPr>
        <w:t>2006</w:t>
      </w:r>
      <w:r>
        <w:rPr>
          <w:rFonts w:ascii="Times New Roman" w:hAnsi="Times New Roman" w:eastAsia="Times New Roman"/>
          <w:spacing w:val="-53"/>
          <w:sz w:val="22"/>
          <w:vertAlign w:val="baseline"/>
        </w:rPr>
        <w:t> </w:t>
      </w:r>
      <w:r>
        <w:rPr>
          <w:spacing w:val="-2"/>
          <w:sz w:val="22"/>
          <w:vertAlign w:val="baseline"/>
        </w:rPr>
        <w:t>年 </w:t>
      </w:r>
      <w:r>
        <w:rPr>
          <w:rFonts w:ascii="Times New Roman" w:hAnsi="Times New Roman" w:eastAsia="Times New Roman"/>
          <w:sz w:val="22"/>
          <w:vertAlign w:val="baseline"/>
        </w:rPr>
        <w:t>9</w:t>
      </w:r>
      <w:r>
        <w:rPr>
          <w:rFonts w:ascii="Times New Roman" w:hAnsi="Times New Roman" w:eastAsia="Times New Roman"/>
          <w:spacing w:val="-2"/>
          <w:sz w:val="22"/>
          <w:vertAlign w:val="baseline"/>
        </w:rPr>
        <w:t> </w:t>
      </w:r>
      <w:r>
        <w:rPr>
          <w:spacing w:val="-1"/>
          <w:sz w:val="22"/>
          <w:vertAlign w:val="baseline"/>
        </w:rPr>
        <w:t>月，頁 </w:t>
      </w:r>
      <w:r>
        <w:rPr>
          <w:rFonts w:ascii="Times New Roman" w:hAnsi="Times New Roman" w:eastAsia="Times New Roman"/>
          <w:sz w:val="22"/>
          <w:vertAlign w:val="baseline"/>
        </w:rPr>
        <w:t>474</w:t>
      </w:r>
      <w:r>
        <w:rPr>
          <w:spacing w:val="-16"/>
          <w:sz w:val="22"/>
          <w:vertAlign w:val="baseline"/>
        </w:rPr>
        <w:t>；陳英鈐，〈撤銷訴訟與行政處分之停止執行－人民權利保護的櫥窗〉，</w:t>
      </w:r>
      <w:r>
        <w:rPr>
          <w:spacing w:val="-55"/>
          <w:sz w:val="22"/>
          <w:vertAlign w:val="baseline"/>
        </w:rPr>
        <w:t> </w:t>
      </w:r>
      <w:r>
        <w:rPr>
          <w:sz w:val="22"/>
          <w:vertAlign w:val="baseline"/>
        </w:rPr>
        <w:t>收於《行政法爭議問題（下</w:t>
      </w:r>
      <w:r>
        <w:rPr>
          <w:spacing w:val="-110"/>
          <w:sz w:val="22"/>
          <w:vertAlign w:val="baseline"/>
        </w:rPr>
        <w:t>）</w:t>
      </w:r>
      <w:r>
        <w:rPr>
          <w:spacing w:val="-56"/>
          <w:sz w:val="22"/>
          <w:vertAlign w:val="baseline"/>
        </w:rPr>
        <w:t>》，</w:t>
      </w:r>
      <w:r>
        <w:rPr>
          <w:rFonts w:ascii="Times New Roman" w:hAnsi="Times New Roman" w:eastAsia="Times New Roman"/>
          <w:sz w:val="22"/>
          <w:vertAlign w:val="baseline"/>
        </w:rPr>
        <w:t>2000</w:t>
      </w:r>
      <w:r>
        <w:rPr>
          <w:rFonts w:ascii="Times New Roman" w:hAnsi="Times New Roman" w:eastAsia="Times New Roman"/>
          <w:spacing w:val="-1"/>
          <w:sz w:val="22"/>
          <w:vertAlign w:val="baseline"/>
        </w:rPr>
        <w:t> </w:t>
      </w:r>
      <w:r>
        <w:rPr>
          <w:spacing w:val="-1"/>
          <w:sz w:val="22"/>
          <w:vertAlign w:val="baseline"/>
        </w:rPr>
        <w:t>年 </w:t>
      </w:r>
      <w:r>
        <w:rPr>
          <w:rFonts w:ascii="Times New Roman" w:hAnsi="Times New Roman" w:eastAsia="Times New Roman"/>
          <w:sz w:val="22"/>
          <w:vertAlign w:val="baseline"/>
        </w:rPr>
        <w:t>12 </w:t>
      </w:r>
      <w:r>
        <w:rPr>
          <w:spacing w:val="-1"/>
          <w:sz w:val="22"/>
          <w:vertAlign w:val="baseline"/>
        </w:rPr>
        <w:t>月，頁 </w:t>
      </w:r>
      <w:r>
        <w:rPr>
          <w:rFonts w:ascii="Times New Roman" w:hAnsi="Times New Roman" w:eastAsia="Times New Roman"/>
          <w:sz w:val="22"/>
          <w:vertAlign w:val="baseline"/>
        </w:rPr>
        <w:t>1029-1030</w:t>
      </w:r>
      <w:r>
        <w:rPr>
          <w:sz w:val="22"/>
          <w:vertAlign w:val="baseline"/>
        </w:rPr>
        <w:t>。</w:t>
      </w:r>
    </w:p>
    <w:p>
      <w:pPr>
        <w:spacing w:after="0" w:line="223" w:lineRule="auto"/>
        <w:jc w:val="both"/>
        <w:rPr>
          <w:sz w:val="22"/>
        </w:rPr>
        <w:sectPr>
          <w:pgSz w:w="11910" w:h="16840"/>
          <w:pgMar w:header="0" w:footer="938" w:top="1600" w:bottom="1200" w:left="900" w:right="880"/>
        </w:sectPr>
      </w:pPr>
    </w:p>
    <w:p>
      <w:pPr>
        <w:pStyle w:val="BodyText"/>
        <w:spacing w:line="295" w:lineRule="auto" w:before="38"/>
        <w:ind w:left="900" w:right="914"/>
        <w:jc w:val="both"/>
      </w:pPr>
      <w:r>
        <w:rPr>
          <w:spacing w:val="-3"/>
        </w:rPr>
        <w:t>根本毋庸執行的形成處分與確認處分皆有停止執行制度之適用，因此該制度中所停止者當不以行政處分之執行力為限</w:t>
      </w:r>
      <w:r>
        <w:rPr>
          <w:rFonts w:ascii="Times New Roman" w:eastAsia="Times New Roman"/>
          <w:spacing w:val="-3"/>
          <w:vertAlign w:val="superscript"/>
        </w:rPr>
        <w:t>100</w:t>
      </w:r>
      <w:r>
        <w:rPr>
          <w:spacing w:val="-2"/>
          <w:vertAlign w:val="baseline"/>
        </w:rPr>
        <w:t>。簡單的說，德國目前通說對於停止執行</w:t>
      </w:r>
      <w:r>
        <w:rPr>
          <w:spacing w:val="-3"/>
          <w:vertAlign w:val="baseline"/>
        </w:rPr>
        <w:t>之效力內涵採「效力說」最主要之原因，即係 </w:t>
      </w:r>
      <w:r>
        <w:rPr>
          <w:rFonts w:ascii="Times New Roman" w:eastAsia="Times New Roman"/>
          <w:spacing w:val="-2"/>
          <w:vertAlign w:val="baseline"/>
        </w:rPr>
        <w:t>79</w:t>
      </w:r>
      <w:r>
        <w:rPr>
          <w:rFonts w:ascii="Times New Roman" w:eastAsia="Times New Roman"/>
          <w:spacing w:val="-10"/>
          <w:vertAlign w:val="baseline"/>
        </w:rPr>
        <w:t> </w:t>
      </w:r>
      <w:r>
        <w:rPr>
          <w:spacing w:val="-4"/>
          <w:vertAlign w:val="baseline"/>
        </w:rPr>
        <w:t>年行政法院法第 </w:t>
      </w:r>
      <w:r>
        <w:rPr>
          <w:rFonts w:ascii="Times New Roman" w:eastAsia="Times New Roman"/>
          <w:spacing w:val="-1"/>
          <w:vertAlign w:val="baseline"/>
        </w:rPr>
        <w:t>80</w:t>
      </w:r>
      <w:r>
        <w:rPr>
          <w:rFonts w:ascii="Times New Roman" w:eastAsia="Times New Roman"/>
          <w:spacing w:val="-10"/>
          <w:vertAlign w:val="baseline"/>
        </w:rPr>
        <w:t> </w:t>
      </w:r>
      <w:r>
        <w:rPr>
          <w:spacing w:val="-1"/>
          <w:vertAlign w:val="baseline"/>
        </w:rPr>
        <w:t>條修正之結</w:t>
      </w:r>
      <w:r>
        <w:rPr>
          <w:vertAlign w:val="baseline"/>
        </w:rPr>
        <w:t>果。</w:t>
      </w:r>
    </w:p>
    <w:p>
      <w:pPr>
        <w:pStyle w:val="BodyText"/>
        <w:spacing w:before="13"/>
        <w:rPr>
          <w:sz w:val="29"/>
        </w:rPr>
      </w:pPr>
    </w:p>
    <w:p>
      <w:pPr>
        <w:pStyle w:val="BodyText"/>
        <w:spacing w:line="295" w:lineRule="auto"/>
        <w:ind w:left="900" w:right="914" w:firstLine="480"/>
        <w:jc w:val="both"/>
      </w:pPr>
      <w:r>
        <w:rPr>
          <w:spacing w:val="-3"/>
        </w:rPr>
        <w:t>在我國，適用停止執行制度之行政處分，究竟是否限於具有執行力之下命處分？在舊法時代，我國原行政訴訟法並未對所謂停止執行之「執行」概念做任何定義；但這樣的情況在新法的修正有了改變，現行行政訴訟法第 </w:t>
      </w:r>
      <w:r>
        <w:rPr>
          <w:rFonts w:ascii="Times New Roman" w:eastAsia="Times New Roman"/>
          <w:spacing w:val="-1"/>
        </w:rPr>
        <w:t>116</w:t>
      </w:r>
      <w:r>
        <w:rPr>
          <w:rFonts w:ascii="Times New Roman" w:eastAsia="Times New Roman"/>
          <w:spacing w:val="-12"/>
        </w:rPr>
        <w:t> </w:t>
      </w:r>
      <w:r>
        <w:rPr>
          <w:spacing w:val="-6"/>
        </w:rPr>
        <w:t>條第 </w:t>
      </w:r>
      <w:r>
        <w:rPr>
          <w:rFonts w:ascii="Times New Roman" w:eastAsia="Times New Roman"/>
          <w:spacing w:val="-1"/>
        </w:rPr>
        <w:t>5</w:t>
      </w:r>
      <w:r>
        <w:rPr>
          <w:rFonts w:ascii="Times New Roman" w:eastAsia="Times New Roman"/>
          <w:spacing w:val="-12"/>
        </w:rPr>
        <w:t> </w:t>
      </w:r>
      <w:r>
        <w:rPr>
          <w:spacing w:val="-1"/>
        </w:rPr>
        <w:t>項參</w:t>
      </w:r>
    </w:p>
    <w:p>
      <w:pPr>
        <w:pStyle w:val="BodyText"/>
        <w:spacing w:line="295" w:lineRule="auto" w:before="4"/>
        <w:ind w:left="900" w:right="857"/>
        <w:jc w:val="both"/>
      </w:pPr>
      <w:r>
        <w:rPr>
          <w:spacing w:val="-3"/>
        </w:rPr>
        <w:t>照日本行政事件訴訟法第 </w:t>
      </w:r>
      <w:r>
        <w:rPr>
          <w:rFonts w:ascii="Times New Roman" w:eastAsia="Times New Roman"/>
        </w:rPr>
        <w:t>25</w:t>
      </w:r>
      <w:r>
        <w:rPr>
          <w:rFonts w:ascii="Times New Roman" w:eastAsia="Times New Roman"/>
          <w:spacing w:val="-13"/>
        </w:rPr>
        <w:t> </w:t>
      </w:r>
      <w:r>
        <w:rPr>
          <w:spacing w:val="-5"/>
        </w:rPr>
        <w:t>條第 </w:t>
      </w:r>
      <w:r>
        <w:rPr>
          <w:rFonts w:ascii="Times New Roman" w:eastAsia="Times New Roman"/>
        </w:rPr>
        <w:t>1</w:t>
      </w:r>
      <w:r>
        <w:rPr>
          <w:rFonts w:ascii="Times New Roman" w:eastAsia="Times New Roman"/>
          <w:spacing w:val="-13"/>
        </w:rPr>
        <w:t> </w:t>
      </w:r>
      <w:r>
        <w:rPr/>
        <w:t>項的條文規定</w:t>
      </w:r>
      <w:r>
        <w:rPr>
          <w:spacing w:val="-72"/>
        </w:rPr>
        <w:t>：「</w:t>
      </w:r>
      <w:r>
        <w:rPr>
          <w:rFonts w:ascii="標楷體" w:eastAsia="標楷體" w:hint="eastAsia"/>
        </w:rPr>
        <w:t>停止執行之裁定，得停止原</w:t>
      </w:r>
      <w:r>
        <w:rPr>
          <w:rFonts w:ascii="標楷體" w:eastAsia="標楷體" w:hint="eastAsia"/>
          <w:spacing w:val="-2"/>
        </w:rPr>
        <w:t>處分或決定之效力、處分或決定之執行或程序之續行之全部或部分。</w:t>
      </w:r>
      <w:r>
        <w:rPr>
          <w:spacing w:val="-1"/>
        </w:rPr>
        <w:t>」據此，吾人大致可確定，有關「執行」之概念，無論在我國法或德國法，似無任何出入；</w:t>
      </w:r>
      <w:r>
        <w:rPr>
          <w:spacing w:val="-60"/>
        </w:rPr>
        <w:t> </w:t>
      </w:r>
      <w:r>
        <w:rPr>
          <w:spacing w:val="-2"/>
        </w:rPr>
        <w:t>蓋停止執行所停止者，並非單純行政處分之執行力，而是行政處分之效力的問題</w:t>
      </w:r>
    </w:p>
    <w:p>
      <w:pPr>
        <w:pStyle w:val="BodyText"/>
        <w:spacing w:before="5"/>
        <w:ind w:left="900"/>
      </w:pPr>
      <w:r>
        <w:rPr>
          <w:rFonts w:ascii="Times New Roman" w:eastAsia="Times New Roman"/>
          <w:spacing w:val="-3"/>
          <w:vertAlign w:val="superscript"/>
        </w:rPr>
        <w:t>101</w:t>
      </w:r>
      <w:r>
        <w:rPr>
          <w:spacing w:val="-10"/>
          <w:vertAlign w:val="baseline"/>
        </w:rPr>
        <w:t>。也因此，對於前述德國「執行說」與「效力說」之爭，我國學者大致認為應</w:t>
      </w:r>
    </w:p>
    <w:p>
      <w:pPr>
        <w:pStyle w:val="BodyText"/>
        <w:spacing w:line="295" w:lineRule="auto" w:before="78"/>
        <w:ind w:left="900" w:right="914"/>
        <w:jc w:val="both"/>
      </w:pPr>
      <w:r>
        <w:rPr>
          <w:spacing w:val="-3"/>
        </w:rPr>
        <w:t>採「效力說」</w:t>
      </w:r>
      <w:r>
        <w:rPr>
          <w:rFonts w:ascii="Times New Roman" w:eastAsia="Times New Roman"/>
          <w:spacing w:val="-3"/>
          <w:vertAlign w:val="superscript"/>
        </w:rPr>
        <w:t>102</w:t>
      </w:r>
      <w:r>
        <w:rPr>
          <w:spacing w:val="-3"/>
          <w:vertAlign w:val="baseline"/>
        </w:rPr>
        <w:t>。換句話說，停止執行從立法意旨而言，其效力並不限於停止行政處分之執行力，倘逕採「執行說」認為停止執行僅適用於下命處分，而不及於形成及確認處分，似與我國之立法意旨有違</w:t>
      </w:r>
      <w:r>
        <w:rPr>
          <w:rFonts w:ascii="Times New Roman" w:eastAsia="Times New Roman"/>
          <w:spacing w:val="-2"/>
          <w:vertAlign w:val="superscript"/>
        </w:rPr>
        <w:t>103</w:t>
      </w:r>
      <w:r>
        <w:rPr>
          <w:spacing w:val="-2"/>
          <w:vertAlign w:val="baseline"/>
        </w:rPr>
        <w:t>。因此，我國行政訴訟法上的停止</w:t>
      </w:r>
      <w:r>
        <w:rPr>
          <w:spacing w:val="-3"/>
          <w:vertAlign w:val="baseline"/>
        </w:rPr>
        <w:t>執行制度，不僅得適用於具有執行力的下命處分，並包含確認處分與形成處分在</w:t>
      </w:r>
      <w:r>
        <w:rPr>
          <w:vertAlign w:val="baseline"/>
        </w:rPr>
        <w:t>內的各種類型之行政處分</w:t>
      </w:r>
      <w:r>
        <w:rPr>
          <w:rFonts w:ascii="Times New Roman" w:eastAsia="Times New Roman"/>
          <w:vertAlign w:val="superscript"/>
        </w:rPr>
        <w:t>104</w:t>
      </w:r>
      <w:r>
        <w:rPr>
          <w:vertAlign w:val="baseline"/>
        </w:rPr>
        <w:t>。</w:t>
      </w:r>
    </w:p>
    <w:p>
      <w:pPr>
        <w:pStyle w:val="BodyText"/>
        <w:rPr>
          <w:sz w:val="30"/>
        </w:rPr>
      </w:pPr>
    </w:p>
    <w:p>
      <w:pPr>
        <w:pStyle w:val="BodyText"/>
        <w:spacing w:line="295" w:lineRule="auto"/>
        <w:ind w:left="900" w:right="914" w:firstLine="482"/>
        <w:jc w:val="both"/>
      </w:pPr>
      <w:r>
        <w:rPr>
          <w:spacing w:val="-8"/>
        </w:rPr>
        <w:t>然而，無論採「效力說」或「執行說」，停止執行所適用之對象始終為「行</w:t>
      </w:r>
      <w:r>
        <w:rPr>
          <w:spacing w:val="-12"/>
        </w:rPr>
        <w:t>政處分」，其所討論欲暫時阻止之效力，實際上即為行政處分之規制力。回到保</w:t>
      </w:r>
      <w:r>
        <w:rPr/>
        <w:t>障法上觀察，保障法第 </w:t>
      </w:r>
      <w:r>
        <w:rPr>
          <w:rFonts w:ascii="Times New Roman" w:eastAsia="Times New Roman"/>
        </w:rPr>
        <w:t>89</w:t>
      </w:r>
      <w:r>
        <w:rPr>
          <w:rFonts w:ascii="Times New Roman" w:eastAsia="Times New Roman"/>
          <w:spacing w:val="6"/>
        </w:rPr>
        <w:t> </w:t>
      </w:r>
      <w:r>
        <w:rPr/>
        <w:t>條「停止執行」所規定之「執行」則不見得能直接透</w:t>
      </w:r>
    </w:p>
    <w:p>
      <w:pPr>
        <w:pStyle w:val="BodyText"/>
        <w:spacing w:line="295" w:lineRule="auto" w:before="4"/>
        <w:ind w:left="899" w:right="917"/>
        <w:jc w:val="both"/>
      </w:pPr>
      <w:r>
        <w:rPr>
          <w:spacing w:val="-1"/>
        </w:rPr>
        <w:t>過上述「執行」之概念理解，依據保障法第 </w:t>
      </w:r>
      <w:r>
        <w:rPr>
          <w:rFonts w:ascii="Times New Roman" w:eastAsia="Times New Roman"/>
        </w:rPr>
        <w:t>89</w:t>
      </w:r>
      <w:r>
        <w:rPr>
          <w:rFonts w:ascii="Times New Roman" w:eastAsia="Times New Roman"/>
          <w:spacing w:val="3"/>
        </w:rPr>
        <w:t> </w:t>
      </w:r>
      <w:r>
        <w:rPr/>
        <w:t>條第 </w:t>
      </w:r>
      <w:r>
        <w:rPr>
          <w:rFonts w:ascii="Times New Roman" w:eastAsia="Times New Roman"/>
        </w:rPr>
        <w:t>2</w:t>
      </w:r>
      <w:r>
        <w:rPr>
          <w:rFonts w:ascii="Times New Roman" w:eastAsia="Times New Roman"/>
          <w:spacing w:val="2"/>
        </w:rPr>
        <w:t> </w:t>
      </w:r>
      <w:r>
        <w:rPr/>
        <w:t>項之規定，復審案件與再</w:t>
      </w:r>
      <w:r>
        <w:rPr>
          <w:spacing w:val="-18"/>
        </w:rPr>
        <w:t>申訴案件皆得以一體適用「停止執行」制度，此一範圍之擴大，可能使得此處「執</w:t>
      </w:r>
    </w:p>
    <w:p>
      <w:pPr>
        <w:pStyle w:val="BodyText"/>
        <w:spacing w:before="4"/>
        <w:rPr>
          <w:sz w:val="26"/>
        </w:rPr>
      </w:pPr>
      <w:r>
        <w:rPr/>
        <w:pict>
          <v:rect style="position:absolute;margin-left:90pt;margin-top:20.345146pt;width:144pt;height:.600010pt;mso-position-horizontal-relative:page;mso-position-vertical-relative:paragraph;z-index:-15702016;mso-wrap-distance-left:0;mso-wrap-distance-right:0" filled="true" fillcolor="#000000" stroked="false">
            <v:fill type="solid"/>
            <w10:wrap type="topAndBottom"/>
          </v:rect>
        </w:pict>
      </w:r>
    </w:p>
    <w:p>
      <w:pPr>
        <w:pStyle w:val="BodyText"/>
        <w:spacing w:before="11"/>
        <w:rPr>
          <w:sz w:val="5"/>
        </w:rPr>
      </w:pPr>
    </w:p>
    <w:p>
      <w:pPr>
        <w:spacing w:line="297" w:lineRule="exact" w:before="105"/>
        <w:ind w:left="900" w:right="0" w:firstLine="0"/>
        <w:jc w:val="both"/>
        <w:rPr>
          <w:sz w:val="22"/>
        </w:rPr>
      </w:pPr>
      <w:r>
        <w:rPr>
          <w:rFonts w:ascii="Times New Roman" w:eastAsia="Times New Roman"/>
          <w:spacing w:val="-1"/>
          <w:sz w:val="22"/>
          <w:vertAlign w:val="superscript"/>
        </w:rPr>
        <w:t>100</w:t>
      </w:r>
      <w:r>
        <w:rPr>
          <w:rFonts w:ascii="Times New Roman" w:eastAsia="Times New Roman"/>
          <w:spacing w:val="17"/>
          <w:sz w:val="22"/>
          <w:vertAlign w:val="baseline"/>
        </w:rPr>
        <w:t> </w:t>
      </w:r>
      <w:r>
        <w:rPr>
          <w:spacing w:val="-12"/>
          <w:sz w:val="22"/>
          <w:vertAlign w:val="baseline"/>
        </w:rPr>
        <w:t>林明昕，〈論行政訴訟法上之「執行</w:t>
      </w:r>
      <w:r>
        <w:rPr>
          <w:sz w:val="22"/>
          <w:vertAlign w:val="baseline"/>
        </w:rPr>
        <w:t>（不）</w:t>
      </w:r>
      <w:r>
        <w:rPr>
          <w:spacing w:val="-16"/>
          <w:sz w:val="22"/>
          <w:vertAlign w:val="baseline"/>
        </w:rPr>
        <w:t>停止原則」〉，收於氏著《公法學的開拓線</w:t>
      </w:r>
    </w:p>
    <w:p>
      <w:pPr>
        <w:spacing w:line="297" w:lineRule="exact" w:before="0"/>
        <w:ind w:left="899" w:right="0" w:firstLine="0"/>
        <w:jc w:val="both"/>
        <w:rPr>
          <w:sz w:val="22"/>
        </w:rPr>
      </w:pPr>
      <w:r>
        <w:rPr>
          <w:spacing w:val="-9"/>
          <w:sz w:val="22"/>
        </w:rPr>
        <w:t>－理論、實務與體系之建構》，</w:t>
      </w:r>
      <w:r>
        <w:rPr>
          <w:rFonts w:ascii="Times New Roman" w:eastAsia="Times New Roman"/>
          <w:sz w:val="22"/>
        </w:rPr>
        <w:t>2006</w:t>
      </w:r>
      <w:r>
        <w:rPr>
          <w:rFonts w:ascii="Times New Roman" w:eastAsia="Times New Roman"/>
          <w:spacing w:val="-1"/>
          <w:sz w:val="22"/>
        </w:rPr>
        <w:t> </w:t>
      </w:r>
      <w:r>
        <w:rPr>
          <w:spacing w:val="-2"/>
          <w:sz w:val="22"/>
        </w:rPr>
        <w:t>年 </w:t>
      </w:r>
      <w:r>
        <w:rPr>
          <w:rFonts w:ascii="Times New Roman" w:eastAsia="Times New Roman"/>
          <w:sz w:val="22"/>
        </w:rPr>
        <w:t>9</w:t>
      </w:r>
      <w:r>
        <w:rPr>
          <w:rFonts w:ascii="Times New Roman" w:eastAsia="Times New Roman"/>
          <w:spacing w:val="-1"/>
          <w:sz w:val="22"/>
        </w:rPr>
        <w:t> </w:t>
      </w:r>
      <w:r>
        <w:rPr>
          <w:spacing w:val="-1"/>
          <w:sz w:val="22"/>
        </w:rPr>
        <w:t>月，頁 </w:t>
      </w:r>
      <w:r>
        <w:rPr>
          <w:rFonts w:ascii="Times New Roman" w:eastAsia="Times New Roman"/>
          <w:sz w:val="22"/>
        </w:rPr>
        <w:t>474-475</w:t>
      </w:r>
      <w:r>
        <w:rPr>
          <w:sz w:val="22"/>
        </w:rPr>
        <w:t>。</w:t>
      </w:r>
    </w:p>
    <w:p>
      <w:pPr>
        <w:spacing w:line="297" w:lineRule="exact" w:before="100"/>
        <w:ind w:left="900" w:right="0" w:firstLine="0"/>
        <w:jc w:val="both"/>
        <w:rPr>
          <w:sz w:val="22"/>
        </w:rPr>
      </w:pPr>
      <w:r>
        <w:rPr>
          <w:rFonts w:ascii="Times New Roman" w:eastAsia="Times New Roman"/>
          <w:sz w:val="22"/>
          <w:vertAlign w:val="superscript"/>
        </w:rPr>
        <w:t>101</w:t>
      </w:r>
      <w:r>
        <w:rPr>
          <w:rFonts w:ascii="Times New Roman" w:eastAsia="Times New Roman"/>
          <w:spacing w:val="40"/>
          <w:sz w:val="22"/>
          <w:vertAlign w:val="baseline"/>
        </w:rPr>
        <w:t> </w:t>
      </w:r>
      <w:r>
        <w:rPr>
          <w:spacing w:val="-12"/>
          <w:sz w:val="22"/>
          <w:vertAlign w:val="baseline"/>
        </w:rPr>
        <w:t>林明昕，〈論行政訴訟法上之「執行</w:t>
      </w:r>
      <w:r>
        <w:rPr>
          <w:sz w:val="22"/>
          <w:vertAlign w:val="baseline"/>
        </w:rPr>
        <w:t>（不）</w:t>
      </w:r>
      <w:r>
        <w:rPr>
          <w:spacing w:val="-16"/>
          <w:sz w:val="22"/>
          <w:vertAlign w:val="baseline"/>
        </w:rPr>
        <w:t>停止原則」〉，收於氏著《公法學的開拓線</w:t>
      </w:r>
    </w:p>
    <w:p>
      <w:pPr>
        <w:spacing w:line="297" w:lineRule="exact" w:before="0"/>
        <w:ind w:left="899" w:right="0" w:firstLine="0"/>
        <w:jc w:val="both"/>
        <w:rPr>
          <w:sz w:val="22"/>
        </w:rPr>
      </w:pPr>
      <w:r>
        <w:rPr>
          <w:spacing w:val="-9"/>
          <w:sz w:val="22"/>
        </w:rPr>
        <w:t>－理論、實務與體系之建構》，</w:t>
      </w:r>
      <w:r>
        <w:rPr>
          <w:rFonts w:ascii="Times New Roman" w:eastAsia="Times New Roman"/>
          <w:sz w:val="22"/>
        </w:rPr>
        <w:t>2006</w:t>
      </w:r>
      <w:r>
        <w:rPr>
          <w:rFonts w:ascii="Times New Roman" w:eastAsia="Times New Roman"/>
          <w:spacing w:val="-1"/>
          <w:sz w:val="22"/>
        </w:rPr>
        <w:t> </w:t>
      </w:r>
      <w:r>
        <w:rPr>
          <w:spacing w:val="-2"/>
          <w:sz w:val="22"/>
        </w:rPr>
        <w:t>年 </w:t>
      </w:r>
      <w:r>
        <w:rPr>
          <w:rFonts w:ascii="Times New Roman" w:eastAsia="Times New Roman"/>
          <w:sz w:val="22"/>
        </w:rPr>
        <w:t>9 </w:t>
      </w:r>
      <w:r>
        <w:rPr>
          <w:spacing w:val="-1"/>
          <w:sz w:val="22"/>
        </w:rPr>
        <w:t>月，頁 </w:t>
      </w:r>
      <w:r>
        <w:rPr>
          <w:rFonts w:ascii="Times New Roman" w:eastAsia="Times New Roman"/>
          <w:sz w:val="22"/>
        </w:rPr>
        <w:t>476</w:t>
      </w:r>
      <w:r>
        <w:rPr>
          <w:sz w:val="22"/>
        </w:rPr>
        <w:t>。</w:t>
      </w:r>
    </w:p>
    <w:p>
      <w:pPr>
        <w:spacing w:line="223" w:lineRule="auto" w:before="114"/>
        <w:ind w:left="899" w:right="913" w:firstLine="0"/>
        <w:jc w:val="both"/>
        <w:rPr>
          <w:sz w:val="22"/>
        </w:rPr>
      </w:pPr>
      <w:r>
        <w:rPr>
          <w:rFonts w:ascii="Times New Roman" w:eastAsia="Times New Roman"/>
          <w:sz w:val="22"/>
          <w:vertAlign w:val="superscript"/>
        </w:rPr>
        <w:t>102</w:t>
      </w:r>
      <w:r>
        <w:rPr>
          <w:rFonts w:ascii="Times New Roman" w:eastAsia="Times New Roman"/>
          <w:spacing w:val="53"/>
          <w:sz w:val="22"/>
          <w:vertAlign w:val="baseline"/>
        </w:rPr>
        <w:t> </w:t>
      </w:r>
      <w:r>
        <w:rPr>
          <w:spacing w:val="-16"/>
          <w:sz w:val="22"/>
          <w:vertAlign w:val="baseline"/>
        </w:rPr>
        <w:t>例如，陳清秀，《行政訴訟法》，第 </w:t>
      </w:r>
      <w:r>
        <w:rPr>
          <w:rFonts w:ascii="Times New Roman" w:eastAsia="Times New Roman"/>
          <w:sz w:val="22"/>
          <w:vertAlign w:val="baseline"/>
        </w:rPr>
        <w:t>3</w:t>
      </w:r>
      <w:r>
        <w:rPr>
          <w:rFonts w:ascii="Times New Roman" w:eastAsia="Times New Roman"/>
          <w:spacing w:val="10"/>
          <w:sz w:val="22"/>
          <w:vertAlign w:val="baseline"/>
        </w:rPr>
        <w:t> </w:t>
      </w:r>
      <w:r>
        <w:rPr>
          <w:sz w:val="22"/>
          <w:vertAlign w:val="baseline"/>
        </w:rPr>
        <w:t>版，</w:t>
      </w:r>
      <w:r>
        <w:rPr>
          <w:rFonts w:ascii="Times New Roman" w:eastAsia="Times New Roman"/>
          <w:sz w:val="22"/>
          <w:vertAlign w:val="baseline"/>
        </w:rPr>
        <w:t>2009</w:t>
      </w:r>
      <w:r>
        <w:rPr>
          <w:rFonts w:ascii="Times New Roman" w:eastAsia="Times New Roman"/>
          <w:spacing w:val="9"/>
          <w:sz w:val="22"/>
          <w:vertAlign w:val="baseline"/>
        </w:rPr>
        <w:t> </w:t>
      </w:r>
      <w:r>
        <w:rPr>
          <w:spacing w:val="3"/>
          <w:sz w:val="22"/>
          <w:vertAlign w:val="baseline"/>
        </w:rPr>
        <w:t>年 </w:t>
      </w:r>
      <w:r>
        <w:rPr>
          <w:rFonts w:ascii="Times New Roman" w:eastAsia="Times New Roman"/>
          <w:sz w:val="22"/>
          <w:vertAlign w:val="baseline"/>
        </w:rPr>
        <w:t>10</w:t>
      </w:r>
      <w:r>
        <w:rPr>
          <w:rFonts w:ascii="Times New Roman" w:eastAsia="Times New Roman"/>
          <w:spacing w:val="10"/>
          <w:sz w:val="22"/>
          <w:vertAlign w:val="baseline"/>
        </w:rPr>
        <w:t> </w:t>
      </w:r>
      <w:r>
        <w:rPr>
          <w:spacing w:val="1"/>
          <w:sz w:val="22"/>
          <w:vertAlign w:val="baseline"/>
        </w:rPr>
        <w:t>月，頁 </w:t>
      </w:r>
      <w:r>
        <w:rPr>
          <w:rFonts w:ascii="Times New Roman" w:eastAsia="Times New Roman"/>
          <w:sz w:val="22"/>
          <w:vertAlign w:val="baseline"/>
        </w:rPr>
        <w:t>737</w:t>
      </w:r>
      <w:r>
        <w:rPr>
          <w:spacing w:val="-14"/>
          <w:sz w:val="22"/>
          <w:vertAlign w:val="baseline"/>
        </w:rPr>
        <w:t>；陳英鈐，〈撤銷訴</w:t>
      </w:r>
      <w:r>
        <w:rPr>
          <w:w w:val="95"/>
          <w:sz w:val="22"/>
          <w:vertAlign w:val="baseline"/>
        </w:rPr>
        <w:t>訟與行政處分之停止執行－人民權利保護的櫥窗</w:t>
      </w:r>
      <w:r>
        <w:rPr>
          <w:spacing w:val="-13"/>
          <w:w w:val="95"/>
          <w:sz w:val="22"/>
          <w:vertAlign w:val="baseline"/>
        </w:rPr>
        <w:t>〉，收於《行政法爭議問題</w:t>
      </w:r>
      <w:r>
        <w:rPr>
          <w:w w:val="95"/>
          <w:sz w:val="22"/>
          <w:vertAlign w:val="baseline"/>
        </w:rPr>
        <w:t>（下</w:t>
      </w:r>
      <w:r>
        <w:rPr>
          <w:spacing w:val="-111"/>
          <w:w w:val="95"/>
          <w:sz w:val="22"/>
          <w:vertAlign w:val="baseline"/>
        </w:rPr>
        <w:t>）</w:t>
      </w:r>
      <w:r>
        <w:rPr>
          <w:spacing w:val="-65"/>
          <w:w w:val="95"/>
          <w:sz w:val="22"/>
          <w:vertAlign w:val="baseline"/>
        </w:rPr>
        <w:t>》，</w:t>
      </w:r>
      <w:r>
        <w:rPr>
          <w:rFonts w:ascii="Times New Roman" w:eastAsia="Times New Roman"/>
          <w:w w:val="95"/>
          <w:sz w:val="22"/>
          <w:vertAlign w:val="baseline"/>
        </w:rPr>
        <w:t>2000</w:t>
      </w:r>
      <w:r>
        <w:rPr>
          <w:rFonts w:ascii="Times New Roman" w:eastAsia="Times New Roman"/>
          <w:spacing w:val="56"/>
          <w:sz w:val="22"/>
          <w:vertAlign w:val="baseline"/>
        </w:rPr>
        <w:t> </w:t>
      </w:r>
      <w:r>
        <w:rPr>
          <w:spacing w:val="-2"/>
          <w:sz w:val="22"/>
          <w:vertAlign w:val="baseline"/>
        </w:rPr>
        <w:t>年 </w:t>
      </w:r>
      <w:r>
        <w:rPr>
          <w:rFonts w:ascii="Times New Roman" w:eastAsia="Times New Roman"/>
          <w:sz w:val="22"/>
          <w:vertAlign w:val="baseline"/>
        </w:rPr>
        <w:t>12 </w:t>
      </w:r>
      <w:r>
        <w:rPr>
          <w:spacing w:val="-1"/>
          <w:sz w:val="22"/>
          <w:vertAlign w:val="baseline"/>
        </w:rPr>
        <w:t>月，頁 </w:t>
      </w:r>
      <w:r>
        <w:rPr>
          <w:rFonts w:ascii="Times New Roman" w:eastAsia="Times New Roman"/>
          <w:sz w:val="22"/>
          <w:vertAlign w:val="baseline"/>
        </w:rPr>
        <w:t>1031</w:t>
      </w:r>
      <w:r>
        <w:rPr>
          <w:sz w:val="22"/>
          <w:vertAlign w:val="baseline"/>
        </w:rPr>
        <w:t>。</w:t>
      </w:r>
    </w:p>
    <w:p>
      <w:pPr>
        <w:spacing w:before="104"/>
        <w:ind w:left="900" w:right="0" w:firstLine="0"/>
        <w:jc w:val="both"/>
        <w:rPr>
          <w:sz w:val="22"/>
        </w:rPr>
      </w:pPr>
      <w:r>
        <w:rPr>
          <w:rFonts w:ascii="Times New Roman" w:eastAsia="Times New Roman"/>
          <w:sz w:val="22"/>
          <w:vertAlign w:val="superscript"/>
        </w:rPr>
        <w:t>103</w:t>
      </w:r>
      <w:r>
        <w:rPr>
          <w:rFonts w:ascii="Times New Roman" w:eastAsia="Times New Roman"/>
          <w:spacing w:val="52"/>
          <w:sz w:val="22"/>
          <w:vertAlign w:val="baseline"/>
        </w:rPr>
        <w:t> </w:t>
      </w:r>
      <w:r>
        <w:rPr>
          <w:spacing w:val="-18"/>
          <w:sz w:val="22"/>
          <w:vertAlign w:val="baseline"/>
        </w:rPr>
        <w:t>吳庚，《行政法之理論與實用》，第 </w:t>
      </w:r>
      <w:r>
        <w:rPr>
          <w:rFonts w:ascii="Times New Roman" w:eastAsia="Times New Roman"/>
          <w:sz w:val="22"/>
          <w:vertAlign w:val="baseline"/>
        </w:rPr>
        <w:t>11</w:t>
      </w:r>
      <w:r>
        <w:rPr>
          <w:rFonts w:ascii="Times New Roman" w:eastAsia="Times New Roman"/>
          <w:spacing w:val="-1"/>
          <w:sz w:val="22"/>
          <w:vertAlign w:val="baseline"/>
        </w:rPr>
        <w:t> </w:t>
      </w:r>
      <w:r>
        <w:rPr>
          <w:sz w:val="22"/>
          <w:vertAlign w:val="baseline"/>
        </w:rPr>
        <w:t>版，</w:t>
      </w:r>
      <w:r>
        <w:rPr>
          <w:rFonts w:ascii="Times New Roman" w:eastAsia="Times New Roman"/>
          <w:sz w:val="22"/>
          <w:vertAlign w:val="baseline"/>
        </w:rPr>
        <w:t>2010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10</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702</w:t>
      </w:r>
      <w:r>
        <w:rPr>
          <w:sz w:val="22"/>
          <w:vertAlign w:val="baseline"/>
        </w:rPr>
        <w:t>。</w:t>
      </w:r>
    </w:p>
    <w:p>
      <w:pPr>
        <w:spacing w:line="297" w:lineRule="exact" w:before="99"/>
        <w:ind w:left="900" w:right="0" w:firstLine="0"/>
        <w:jc w:val="both"/>
        <w:rPr>
          <w:sz w:val="22"/>
        </w:rPr>
      </w:pPr>
      <w:r>
        <w:rPr>
          <w:rFonts w:ascii="Times New Roman" w:eastAsia="Times New Roman"/>
          <w:sz w:val="22"/>
          <w:vertAlign w:val="superscript"/>
        </w:rPr>
        <w:t>104</w:t>
      </w:r>
      <w:r>
        <w:rPr>
          <w:rFonts w:ascii="Times New Roman" w:eastAsia="Times New Roman"/>
          <w:spacing w:val="19"/>
          <w:sz w:val="22"/>
          <w:vertAlign w:val="baseline"/>
        </w:rPr>
        <w:t> </w:t>
      </w:r>
      <w:r>
        <w:rPr>
          <w:spacing w:val="-12"/>
          <w:sz w:val="22"/>
          <w:vertAlign w:val="baseline"/>
        </w:rPr>
        <w:t>林明昕，〈論行政訴訟法上之「執行</w:t>
      </w:r>
      <w:r>
        <w:rPr>
          <w:sz w:val="22"/>
          <w:vertAlign w:val="baseline"/>
        </w:rPr>
        <w:t>（不）</w:t>
      </w:r>
      <w:r>
        <w:rPr>
          <w:spacing w:val="-21"/>
          <w:sz w:val="22"/>
          <w:vertAlign w:val="baseline"/>
        </w:rPr>
        <w:t>停止原則」〉，《收於氏著公法學的開拓線</w:t>
      </w:r>
    </w:p>
    <w:p>
      <w:pPr>
        <w:spacing w:line="297" w:lineRule="exact" w:before="0"/>
        <w:ind w:left="900" w:right="0" w:firstLine="0"/>
        <w:jc w:val="both"/>
        <w:rPr>
          <w:sz w:val="22"/>
        </w:rPr>
      </w:pPr>
      <w:r>
        <w:rPr>
          <w:spacing w:val="-9"/>
          <w:sz w:val="22"/>
        </w:rPr>
        <w:t>－理論、實務與體系之建構》，</w:t>
      </w:r>
      <w:r>
        <w:rPr>
          <w:rFonts w:ascii="Times New Roman" w:eastAsia="Times New Roman"/>
          <w:sz w:val="22"/>
        </w:rPr>
        <w:t>2006</w:t>
      </w:r>
      <w:r>
        <w:rPr>
          <w:rFonts w:ascii="Times New Roman" w:eastAsia="Times New Roman"/>
          <w:spacing w:val="-1"/>
          <w:sz w:val="22"/>
        </w:rPr>
        <w:t> </w:t>
      </w:r>
      <w:r>
        <w:rPr>
          <w:spacing w:val="-2"/>
          <w:sz w:val="22"/>
        </w:rPr>
        <w:t>年 </w:t>
      </w:r>
      <w:r>
        <w:rPr>
          <w:rFonts w:ascii="Times New Roman" w:eastAsia="Times New Roman"/>
          <w:sz w:val="22"/>
        </w:rPr>
        <w:t>9 </w:t>
      </w:r>
      <w:r>
        <w:rPr>
          <w:spacing w:val="-1"/>
          <w:sz w:val="22"/>
        </w:rPr>
        <w:t>月，頁 </w:t>
      </w:r>
      <w:r>
        <w:rPr>
          <w:rFonts w:ascii="Times New Roman" w:eastAsia="Times New Roman"/>
          <w:sz w:val="22"/>
        </w:rPr>
        <w:t>477</w:t>
      </w:r>
      <w:r>
        <w:rPr>
          <w:sz w:val="22"/>
        </w:rPr>
        <w:t>。</w:t>
      </w:r>
    </w:p>
    <w:p>
      <w:pPr>
        <w:spacing w:after="0" w:line="297" w:lineRule="exact"/>
        <w:jc w:val="both"/>
        <w:rPr>
          <w:sz w:val="22"/>
        </w:rPr>
        <w:sectPr>
          <w:pgSz w:w="11910" w:h="16840"/>
          <w:pgMar w:header="0" w:footer="938" w:top="1440" w:bottom="1200" w:left="900" w:right="880"/>
        </w:sectPr>
      </w:pPr>
    </w:p>
    <w:p>
      <w:pPr>
        <w:pStyle w:val="BodyText"/>
        <w:spacing w:line="295" w:lineRule="auto" w:before="38"/>
        <w:ind w:left="900" w:right="917"/>
        <w:jc w:val="both"/>
      </w:pPr>
      <w:r>
        <w:rPr>
          <w:spacing w:val="-3"/>
        </w:rPr>
        <w:t>行」所指之範圍有所不同，蓋此時所有工作條件及管理措施之處置則皆屬於保障</w:t>
      </w:r>
      <w:r>
        <w:rPr>
          <w:spacing w:val="-6"/>
        </w:rPr>
        <w:t>法第 </w:t>
      </w:r>
      <w:r>
        <w:rPr>
          <w:rFonts w:ascii="Times New Roman" w:eastAsia="Times New Roman"/>
          <w:spacing w:val="-2"/>
        </w:rPr>
        <w:t>89</w:t>
      </w:r>
      <w:r>
        <w:rPr>
          <w:rFonts w:ascii="Times New Roman" w:eastAsia="Times New Roman"/>
          <w:spacing w:val="-10"/>
        </w:rPr>
        <w:t> </w:t>
      </w:r>
      <w:r>
        <w:rPr>
          <w:spacing w:val="-3"/>
        </w:rPr>
        <w:t>條所涵蓋之範圍。基此，從條文適用範圍上而觀，保障法第 </w:t>
      </w:r>
      <w:r>
        <w:rPr>
          <w:rFonts w:ascii="Times New Roman" w:eastAsia="Times New Roman"/>
          <w:spacing w:val="-1"/>
        </w:rPr>
        <w:t>89</w:t>
      </w:r>
      <w:r>
        <w:rPr>
          <w:rFonts w:ascii="Times New Roman" w:eastAsia="Times New Roman"/>
          <w:spacing w:val="-10"/>
        </w:rPr>
        <w:t> </w:t>
      </w:r>
      <w:r>
        <w:rPr>
          <w:spacing w:val="-1"/>
        </w:rPr>
        <w:t>條之「執</w:t>
      </w:r>
      <w:r>
        <w:rPr>
          <w:spacing w:val="-5"/>
        </w:rPr>
        <w:t>行」相較訴願法及行政訴訟法上「停止執行」所稱之「執行」，範圍更廣。</w:t>
      </w:r>
    </w:p>
    <w:p>
      <w:pPr>
        <w:pStyle w:val="BodyText"/>
        <w:spacing w:before="1"/>
      </w:pPr>
    </w:p>
    <w:p>
      <w:pPr>
        <w:pStyle w:val="Heading3"/>
        <w:spacing w:before="1"/>
        <w:rPr>
          <w:rFonts w:ascii="新細明體" w:eastAsia="新細明體" w:hint="eastAsia"/>
        </w:rPr>
      </w:pPr>
      <w:bookmarkStart w:name="_TOC_250018" w:id="21"/>
      <w:bookmarkEnd w:id="21"/>
      <w:r>
        <w:rPr>
          <w:rFonts w:ascii="新細明體" w:eastAsia="新細明體" w:hint="eastAsia"/>
          <w:w w:val="95"/>
        </w:rPr>
        <w:t>二、停止執行之標的是否侷限於行政處分</w:t>
      </w:r>
    </w:p>
    <w:p>
      <w:pPr>
        <w:pStyle w:val="BodyText"/>
        <w:spacing w:before="5"/>
        <w:rPr>
          <w:b/>
          <w:sz w:val="29"/>
        </w:rPr>
      </w:pPr>
    </w:p>
    <w:p>
      <w:pPr>
        <w:pStyle w:val="BodyText"/>
        <w:spacing w:line="295" w:lineRule="auto"/>
        <w:ind w:left="900" w:right="915" w:firstLine="480"/>
        <w:jc w:val="both"/>
      </w:pPr>
      <w:r>
        <w:rPr>
          <w:spacing w:val="-1"/>
        </w:rPr>
        <w:t>如前所述，依據保障法第 </w:t>
      </w:r>
      <w:r>
        <w:rPr>
          <w:rFonts w:ascii="Times New Roman" w:eastAsia="Times New Roman"/>
        </w:rPr>
        <w:t>89</w:t>
      </w:r>
      <w:r>
        <w:rPr>
          <w:rFonts w:ascii="Times New Roman" w:eastAsia="Times New Roman"/>
          <w:spacing w:val="4"/>
        </w:rPr>
        <w:t> </w:t>
      </w:r>
      <w:r>
        <w:rPr/>
        <w:t>條第 </w:t>
      </w:r>
      <w:r>
        <w:rPr>
          <w:rFonts w:ascii="Times New Roman" w:eastAsia="Times New Roman"/>
        </w:rPr>
        <w:t>2</w:t>
      </w:r>
      <w:r>
        <w:rPr>
          <w:rFonts w:ascii="Times New Roman" w:eastAsia="Times New Roman"/>
          <w:spacing w:val="2"/>
        </w:rPr>
        <w:t> </w:t>
      </w:r>
      <w:r>
        <w:rPr/>
        <w:t>項之規定，保訓會、原處分機關或服務</w:t>
      </w:r>
      <w:r>
        <w:rPr>
          <w:spacing w:val="-3"/>
        </w:rPr>
        <w:t>機關得依職權或依申請，就原行政處分、管理措施或有關工作條件之處置全部或一部，予以宣告停止執行。然而究竟「停止執行」制度的本質為何？「管理措施或有關工作條件之處置」性質上倘不被認為是行政處分，透過「停止執行」制度作為其暫時權利保護的方式，在法理上是否妥適，不無疑義。然而，停止執行之</w:t>
      </w:r>
    </w:p>
    <w:p>
      <w:pPr>
        <w:pStyle w:val="BodyText"/>
        <w:spacing w:line="295" w:lineRule="auto" w:before="6"/>
        <w:ind w:left="899" w:right="856"/>
        <w:jc w:val="both"/>
      </w:pPr>
      <w:r>
        <w:rPr>
          <w:spacing w:val="-2"/>
        </w:rPr>
        <w:t>「本質」為何，實際上僅得經由制度規範歸納、探求，在現行保障法已明文擴大停止執行之適用時，似乎已難以從「本質」的角度，進一步去論斷規範的設計是</w:t>
      </w:r>
      <w:r>
        <w:rPr>
          <w:spacing w:val="-8"/>
        </w:rPr>
        <w:t>否符合制度之「本質</w:t>
      </w:r>
      <w:r>
        <w:rPr>
          <w:spacing w:val="-24"/>
        </w:rPr>
        <w:t>」。並且，所謂「本質」，很多時候僅是人為主觀預設的產物，</w:t>
      </w:r>
      <w:r>
        <w:rPr>
          <w:spacing w:val="-60"/>
        </w:rPr>
        <w:t> </w:t>
      </w:r>
      <w:r>
        <w:rPr>
          <w:spacing w:val="-9"/>
        </w:rPr>
        <w:t>並非客觀不能挑戰之事。在問題的討論上，倘預先祭出「本質</w:t>
      </w:r>
      <w:r>
        <w:rPr>
          <w:spacing w:val="-25"/>
        </w:rPr>
        <w:t>」，則容易陷入「本</w:t>
      </w:r>
      <w:r>
        <w:rPr>
          <w:spacing w:val="-2"/>
        </w:rPr>
        <w:t>質式」的僵固思考，故針對本文所關懷的核心問題，即「停止執行之標的是否限於行政處分」一事，以下茲從「特別權力關係」下，整個保障法的定位以及暫時權利保護的目標觀察，試圖回應現行保障法對於擴大「停止執行」的適用範圍是</w:t>
      </w:r>
      <w:r>
        <w:rPr/>
        <w:t>否妥適。</w:t>
      </w:r>
    </w:p>
    <w:p>
      <w:pPr>
        <w:pStyle w:val="BodyText"/>
        <w:spacing w:before="3"/>
        <w:rPr>
          <w:sz w:val="30"/>
        </w:rPr>
      </w:pPr>
    </w:p>
    <w:p>
      <w:pPr>
        <w:pStyle w:val="BodyText"/>
        <w:spacing w:line="295" w:lineRule="auto" w:before="1"/>
        <w:ind w:left="899" w:right="856" w:firstLine="480"/>
        <w:jc w:val="both"/>
      </w:pPr>
      <w:r>
        <w:rPr>
          <w:spacing w:val="-2"/>
        </w:rPr>
        <w:t>事實上，有關「停止執行」在公務人員保障制度上，是否可能及於非行政處分的問題，一方面涉及現行保障法上對於行政處分的定義，另一方面也涉及我國</w:t>
      </w:r>
      <w:r>
        <w:rPr>
          <w:spacing w:val="-17"/>
        </w:rPr>
        <w:t>對於「停止執行作為暫時性權利保護一環所發揮的功能」的態度。蓋如果認為「停</w:t>
      </w:r>
      <w:r>
        <w:rPr>
          <w:spacing w:val="-2"/>
        </w:rPr>
        <w:t>止執行」之作用即在於暫時阻斷行政處分之效力，則保障法上之停止執行原則上亦應如此，而非屬行政處分之事項若一併適用停止執行，不免產生究竟停止「什麼效力」的疑問？本文認為，究竟在公務人員的保障事件當中，要讓什麼樣的案件適用「停止執行」其實與立法者對於暫時性權利保護的態度有關。觀察我國行</w:t>
      </w:r>
      <w:r>
        <w:rPr>
          <w:spacing w:val="-4"/>
        </w:rPr>
        <w:t>政訴訟法第 </w:t>
      </w:r>
      <w:r>
        <w:rPr>
          <w:rFonts w:ascii="Times New Roman" w:eastAsia="Times New Roman"/>
          <w:spacing w:val="-2"/>
        </w:rPr>
        <w:t>117</w:t>
      </w:r>
      <w:r>
        <w:rPr>
          <w:rFonts w:ascii="Times New Roman" w:eastAsia="Times New Roman"/>
          <w:spacing w:val="-10"/>
        </w:rPr>
        <w:t> </w:t>
      </w:r>
      <w:r>
        <w:rPr>
          <w:spacing w:val="-2"/>
        </w:rPr>
        <w:t>條之規定，對於確認行政處分無效之訴訟，亦得準用停止執行之</w:t>
      </w:r>
      <w:r>
        <w:rPr>
          <w:spacing w:val="-1"/>
        </w:rPr>
        <w:t>規定，可以看出儘管在自始、當然無效的行政處分的情況，為維護人民之權利，</w:t>
      </w:r>
      <w:r>
        <w:rPr>
          <w:spacing w:val="-60"/>
        </w:rPr>
        <w:t> </w:t>
      </w:r>
      <w:r>
        <w:rPr>
          <w:spacing w:val="-2"/>
        </w:rPr>
        <w:t>達到完善的暫時性權利保護，仍許人民提起停止執行。換句話說，在我國，暫時性權利保護的範圍是廣泛的，行政處分得提起停止執行，非行政處分者，則得依法提起假處分，甚至自始無效力的行政處分皆有準用停止執行之可能，如此之設計，或許也顯示出在我國採不停止執行原則下，暫時性權利保護的重要性。基於這樣的想法，回到保障法上停止執行之制度，是否能夠擴大適用於非行政處分之</w:t>
      </w:r>
    </w:p>
    <w:p>
      <w:pPr>
        <w:spacing w:after="0" w:line="295" w:lineRule="auto"/>
        <w:jc w:val="both"/>
        <w:sectPr>
          <w:pgSz w:w="11910" w:h="16840"/>
          <w:pgMar w:header="0" w:footer="938" w:top="1440" w:bottom="1200" w:left="900" w:right="880"/>
        </w:sectPr>
      </w:pPr>
    </w:p>
    <w:p>
      <w:pPr>
        <w:pStyle w:val="BodyText"/>
        <w:spacing w:line="295" w:lineRule="auto" w:before="38"/>
        <w:ind w:left="900" w:right="917"/>
      </w:pPr>
      <w:r>
        <w:rPr>
          <w:spacing w:val="-3"/>
        </w:rPr>
        <w:t>情形，似乎也並非絕無可能。縱使未來修法改認為僅有行政處分得以適用停止執</w:t>
      </w:r>
      <w:r>
        <w:rPr/>
        <w:t>行，在非行政處分之情形，亦非不得準用之。</w:t>
      </w:r>
    </w:p>
    <w:p>
      <w:pPr>
        <w:pStyle w:val="BodyText"/>
        <w:spacing w:before="11"/>
        <w:rPr>
          <w:sz w:val="29"/>
        </w:rPr>
      </w:pPr>
    </w:p>
    <w:p>
      <w:pPr>
        <w:pStyle w:val="BodyText"/>
        <w:spacing w:line="295" w:lineRule="auto"/>
        <w:ind w:left="900" w:right="855" w:firstLine="480"/>
        <w:jc w:val="both"/>
      </w:pPr>
      <w:r>
        <w:rPr>
          <w:spacing w:val="-2"/>
        </w:rPr>
        <w:t>其實，以目前之制度，讓復審與申訴、再申訴之案件皆得以適用停止執行，</w:t>
      </w:r>
      <w:r>
        <w:rPr>
          <w:spacing w:val="-60"/>
        </w:rPr>
        <w:t> </w:t>
      </w:r>
      <w:r>
        <w:rPr>
          <w:spacing w:val="-2"/>
        </w:rPr>
        <w:t>在討論非行政處分是否妥適時，仍必須正面回應保障法上「行政處分」概念的問題。如前所述，除非認為申訴、再申訴案件之性質皆非行政處分，才會進一步認為再申訴案件可能不宜適用停止執行。然而，正如本文一再強調，保障法之設計某種程度是過去特別權力關係的突破，哪些案件能夠進入行政訴訟的大門，實務</w:t>
      </w:r>
      <w:r>
        <w:rPr>
          <w:spacing w:val="-1"/>
        </w:rPr>
        <w:t>上係以歷來大法官的解釋為準，透過類似英美法之「判例法</w:t>
      </w:r>
      <w:r>
        <w:rPr>
          <w:spacing w:val="-138"/>
        </w:rPr>
        <w:t>」</w:t>
      </w:r>
      <w:r>
        <w:rPr>
          <w:spacing w:val="-1"/>
        </w:rPr>
        <w:t>（</w:t>
      </w:r>
      <w:r>
        <w:rPr>
          <w:rFonts w:ascii="Times New Roman" w:eastAsia="Times New Roman"/>
          <w:spacing w:val="-1"/>
        </w:rPr>
        <w:t>case</w:t>
      </w:r>
      <w:r>
        <w:rPr>
          <w:rFonts w:ascii="Times New Roman" w:eastAsia="Times New Roman"/>
          <w:spacing w:val="-13"/>
        </w:rPr>
        <w:t> </w:t>
      </w:r>
      <w:r>
        <w:rPr>
          <w:rFonts w:ascii="Times New Roman" w:eastAsia="Times New Roman"/>
        </w:rPr>
        <w:t>law</w:t>
      </w:r>
      <w:r>
        <w:rPr/>
        <w:t>）的方式</w:t>
      </w:r>
      <w:r>
        <w:rPr>
          <w:spacing w:val="-2"/>
        </w:rPr>
        <w:t>逐步建立，也因此自然富有流動性，有待將來的發展。正因公務人員保障程序帶有這種由個案結合成制度的「判例法」性格，在救濟的選擇上自與行政法之一般理論不同，本文認為，在公務人員救濟案件中，不應直接從案件適用的救濟類型回推判定原處置之性質，更不應再依此種回推方式的定性作為檢討後續是否適用</w:t>
      </w:r>
    </w:p>
    <w:p>
      <w:pPr>
        <w:pStyle w:val="BodyText"/>
        <w:spacing w:line="295" w:lineRule="auto" w:before="12"/>
        <w:ind w:left="900" w:right="909"/>
        <w:jc w:val="both"/>
      </w:pPr>
      <w:r>
        <w:rPr>
          <w:spacing w:val="-3"/>
        </w:rPr>
        <w:t>「停止執行」之問題。倘我們不再以二元</w:t>
      </w:r>
      <w:r>
        <w:rPr>
          <w:spacing w:val="-2"/>
        </w:rPr>
        <w:t>（復審及申訴、再申訴）救濟制度之不</w:t>
      </w:r>
      <w:r>
        <w:rPr>
          <w:spacing w:val="-3"/>
        </w:rPr>
        <w:t>同，回推各該事件為行政處分之分界，並承認申訴、再申訴案件中的標的亦有可</w:t>
      </w:r>
      <w:r>
        <w:rPr/>
        <w:t>能為行政處分，則此時倘有暫時性權利保護之必要，依法申請停止執行當無不可。正因為保障法上行政處分的認定仍存有很多討論的空間，保障法第 </w:t>
      </w:r>
      <w:r>
        <w:rPr>
          <w:rFonts w:ascii="Times New Roman" w:eastAsia="Times New Roman"/>
        </w:rPr>
        <w:t>89</w:t>
      </w:r>
      <w:r>
        <w:rPr>
          <w:rFonts w:ascii="Times New Roman" w:eastAsia="Times New Roman"/>
          <w:spacing w:val="13"/>
        </w:rPr>
        <w:t> </w:t>
      </w:r>
      <w:r>
        <w:rPr/>
        <w:t>條第</w:t>
      </w:r>
    </w:p>
    <w:p>
      <w:pPr>
        <w:pStyle w:val="BodyText"/>
        <w:spacing w:line="295" w:lineRule="auto" w:before="4"/>
        <w:ind w:left="900" w:right="917"/>
        <w:jc w:val="both"/>
      </w:pPr>
      <w:r>
        <w:rPr>
          <w:rFonts w:ascii="Times New Roman" w:eastAsia="Times New Roman"/>
          <w:spacing w:val="-1"/>
        </w:rPr>
        <w:t>2</w:t>
      </w:r>
      <w:r>
        <w:rPr>
          <w:rFonts w:ascii="Times New Roman" w:eastAsia="Times New Roman"/>
          <w:spacing w:val="-14"/>
        </w:rPr>
        <w:t> </w:t>
      </w:r>
      <w:r>
        <w:rPr>
          <w:spacing w:val="-1"/>
        </w:rPr>
        <w:t>項讓兩種救濟途徑皆可適用停止執行之決定，或許某種程度也可被視為是對於</w:t>
      </w:r>
      <w:r>
        <w:rPr/>
        <w:t>實務上以救濟途徑作為行政處分與否分類的一種妥協。</w:t>
      </w:r>
    </w:p>
    <w:p>
      <w:pPr>
        <w:pStyle w:val="BodyText"/>
        <w:spacing w:before="11"/>
        <w:rPr>
          <w:sz w:val="29"/>
        </w:rPr>
      </w:pPr>
    </w:p>
    <w:p>
      <w:pPr>
        <w:pStyle w:val="BodyText"/>
        <w:spacing w:line="295" w:lineRule="auto"/>
        <w:ind w:left="900" w:right="856" w:firstLine="480"/>
        <w:jc w:val="both"/>
      </w:pPr>
      <w:r>
        <w:rPr>
          <w:spacing w:val="-2"/>
        </w:rPr>
        <w:t>綜上所述，本文原則上認為，現行保障法上申訴、再申訴事件當中仍有適用</w:t>
      </w:r>
      <w:r>
        <w:rPr>
          <w:spacing w:val="-1"/>
        </w:rPr>
        <w:t>停止執行之可能。蓋縱使在非行政處分之情形下，救濟仍有「實效性」的考量，</w:t>
      </w:r>
      <w:r>
        <w:rPr>
          <w:spacing w:val="-60"/>
        </w:rPr>
        <w:t> </w:t>
      </w:r>
      <w:r>
        <w:rPr>
          <w:spacing w:val="-1"/>
        </w:rPr>
        <w:t>倘不能夠提供公務人員一個具有實效的權利保障，則不管給予其何種救濟管道，</w:t>
      </w:r>
      <w:r>
        <w:rPr>
          <w:spacing w:val="-60"/>
        </w:rPr>
        <w:t> </w:t>
      </w:r>
      <w:r>
        <w:rPr>
          <w:spacing w:val="-2"/>
        </w:rPr>
        <w:t>終究可能為遲來甚至無效的救濟，也因此，即使在非行政處分的情形，仍應建構完整的暫時性權利保護。在現行保障法中，讓行政處分與非行政處分之情形皆一</w:t>
      </w:r>
      <w:r>
        <w:rPr/>
        <w:t>體適用停止執行之制度，或許也是為了達到具有實效之暫時權利保護的一種妥</w:t>
      </w:r>
      <w:r>
        <w:rPr>
          <w:spacing w:val="-1"/>
        </w:rPr>
        <w:t>協，蓋導致公務人員權利受侵害之情形絕非僅限於「行政處分」之類型。然而，</w:t>
      </w:r>
      <w:r>
        <w:rPr>
          <w:spacing w:val="-60"/>
        </w:rPr>
        <w:t> </w:t>
      </w:r>
      <w:r>
        <w:rPr>
          <w:spacing w:val="-2"/>
        </w:rPr>
        <w:t>縱使保障法上採取此種「妥協」方法，在前述要求國家為假處分的案型中，仍可能是目前保障法上暫時權利保護的缺口。未來在保障法修法上，針對保障法上暫時權利保護的規定，更應著眼於國家公權力的各種態樣設計，不應僅因公務人員</w:t>
      </w:r>
      <w:r>
        <w:rPr/>
        <w:t>之特殊身分，而忽略其有受權利保護之基本要求。</w:t>
      </w:r>
    </w:p>
    <w:p>
      <w:pPr>
        <w:spacing w:after="0" w:line="295" w:lineRule="auto"/>
        <w:jc w:val="both"/>
        <w:sectPr>
          <w:pgSz w:w="11910" w:h="16840"/>
          <w:pgMar w:header="0" w:footer="938" w:top="1440" w:bottom="1200" w:left="900" w:right="880"/>
        </w:sectPr>
      </w:pPr>
    </w:p>
    <w:p>
      <w:pPr>
        <w:pStyle w:val="BodyText"/>
        <w:spacing w:before="1"/>
        <w:rPr>
          <w:sz w:val="10"/>
        </w:rPr>
      </w:pPr>
    </w:p>
    <w:p>
      <w:pPr>
        <w:pStyle w:val="Heading2"/>
        <w:spacing w:before="44"/>
      </w:pPr>
      <w:bookmarkStart w:name="_TOC_250017" w:id="22"/>
      <w:bookmarkEnd w:id="22"/>
      <w:r>
        <w:rPr/>
        <w:t>第三節 保障法上完整之暫時權利保護</w:t>
      </w:r>
    </w:p>
    <w:p>
      <w:pPr>
        <w:pStyle w:val="BodyText"/>
        <w:rPr>
          <w:b/>
          <w:sz w:val="28"/>
        </w:rPr>
      </w:pPr>
    </w:p>
    <w:p>
      <w:pPr>
        <w:pStyle w:val="BodyText"/>
        <w:spacing w:before="2"/>
        <w:rPr>
          <w:b/>
          <w:sz w:val="23"/>
        </w:rPr>
      </w:pPr>
    </w:p>
    <w:p>
      <w:pPr>
        <w:pStyle w:val="Heading3"/>
        <w:rPr>
          <w:rFonts w:ascii="新細明體" w:eastAsia="新細明體" w:hint="eastAsia"/>
        </w:rPr>
      </w:pPr>
      <w:bookmarkStart w:name="_TOC_250016" w:id="23"/>
      <w:bookmarkEnd w:id="23"/>
      <w:r>
        <w:rPr>
          <w:rFonts w:ascii="新細明體" w:eastAsia="新細明體" w:hint="eastAsia"/>
          <w:w w:val="95"/>
        </w:rPr>
        <w:t>一、一般行政爭訟法制中的暫時權利保障制度</w:t>
      </w:r>
    </w:p>
    <w:p>
      <w:pPr>
        <w:pStyle w:val="BodyText"/>
        <w:spacing w:before="5"/>
        <w:rPr>
          <w:b/>
          <w:sz w:val="29"/>
        </w:rPr>
      </w:pPr>
    </w:p>
    <w:p>
      <w:pPr>
        <w:pStyle w:val="BodyText"/>
        <w:spacing w:line="295" w:lineRule="auto"/>
        <w:ind w:left="900" w:right="914" w:firstLine="480"/>
      </w:pPr>
      <w:r>
        <w:rPr>
          <w:spacing w:val="-3"/>
        </w:rPr>
        <w:t>為避免即使在行政法院取得勝訴判決，然而因違法的行政措施業已施行，造</w:t>
      </w:r>
      <w:r>
        <w:rPr>
          <w:spacing w:val="-7"/>
        </w:rPr>
        <w:t>成人民無法回復的損害，在行政爭訟制度裡，「暫時性權利保障」逐漸被認定是</w:t>
      </w:r>
    </w:p>
    <w:p>
      <w:pPr>
        <w:spacing w:line="295" w:lineRule="auto" w:before="3"/>
        <w:ind w:left="900" w:right="913" w:firstLine="0"/>
        <w:jc w:val="left"/>
        <w:rPr>
          <w:rFonts w:ascii="標楷體" w:eastAsia="標楷體" w:hint="eastAsia"/>
          <w:b/>
          <w:sz w:val="24"/>
        </w:rPr>
      </w:pPr>
      <w:r>
        <w:rPr>
          <w:spacing w:val="-5"/>
          <w:sz w:val="24"/>
        </w:rPr>
        <w:t>「有效權利保障」之內涵。德國聯邦憲法法院甚至將「</w:t>
      </w:r>
      <w:r>
        <w:rPr>
          <w:rFonts w:ascii="標楷體" w:eastAsia="標楷體" w:hint="eastAsia"/>
          <w:b/>
          <w:sz w:val="24"/>
        </w:rPr>
        <w:t>『行政訴訟之提起』應停</w:t>
      </w:r>
      <w:r>
        <w:rPr>
          <w:rFonts w:ascii="標楷體" w:eastAsia="標楷體" w:hint="eastAsia"/>
          <w:b/>
          <w:w w:val="95"/>
          <w:sz w:val="24"/>
        </w:rPr>
        <w:t>止原行政決定之執行</w:t>
      </w:r>
      <w:r>
        <w:rPr>
          <w:w w:val="95"/>
          <w:sz w:val="24"/>
        </w:rPr>
        <w:t>」這點，認為係行政訴訟的基本原則。相對於德國之「</w:t>
      </w:r>
      <w:r>
        <w:rPr>
          <w:rFonts w:ascii="標楷體" w:eastAsia="標楷體" w:hint="eastAsia"/>
          <w:b/>
          <w:w w:val="95"/>
          <w:sz w:val="24"/>
        </w:rPr>
        <w:t>執行</w:t>
      </w:r>
    </w:p>
    <w:p>
      <w:pPr>
        <w:spacing w:line="295" w:lineRule="auto" w:before="2"/>
        <w:ind w:left="900" w:right="797" w:firstLine="0"/>
        <w:jc w:val="left"/>
        <w:rPr>
          <w:sz w:val="24"/>
        </w:rPr>
      </w:pPr>
      <w:r>
        <w:rPr>
          <w:rFonts w:ascii="標楷體" w:eastAsia="標楷體" w:hint="eastAsia"/>
          <w:b/>
          <w:spacing w:val="-3"/>
          <w:sz w:val="24"/>
        </w:rPr>
        <w:t>（因爭訟而）停止原則</w:t>
      </w:r>
      <w:r>
        <w:rPr>
          <w:spacing w:val="-15"/>
          <w:sz w:val="24"/>
        </w:rPr>
        <w:t>」，我國訴願法、行政訴訟法則採取「</w:t>
      </w:r>
      <w:r>
        <w:rPr>
          <w:rFonts w:ascii="標楷體" w:eastAsia="標楷體" w:hint="eastAsia"/>
          <w:b/>
          <w:spacing w:val="-2"/>
          <w:sz w:val="24"/>
        </w:rPr>
        <w:t>執行不（因爭訟而）</w:t>
      </w:r>
      <w:r>
        <w:rPr>
          <w:rFonts w:ascii="標楷體" w:eastAsia="標楷體" w:hint="eastAsia"/>
          <w:b/>
          <w:spacing w:val="-118"/>
          <w:sz w:val="24"/>
        </w:rPr>
        <w:t> </w:t>
      </w:r>
      <w:r>
        <w:rPr>
          <w:rFonts w:ascii="標楷體" w:eastAsia="標楷體" w:hint="eastAsia"/>
          <w:b/>
          <w:sz w:val="24"/>
        </w:rPr>
        <w:t>停止原則</w:t>
      </w:r>
      <w:r>
        <w:rPr>
          <w:spacing w:val="-122"/>
          <w:sz w:val="24"/>
        </w:rPr>
        <w:t>」</w:t>
      </w:r>
      <w:r>
        <w:rPr>
          <w:sz w:val="24"/>
        </w:rPr>
        <w:t>（</w:t>
      </w:r>
      <w:r>
        <w:rPr>
          <w:spacing w:val="-1"/>
          <w:sz w:val="24"/>
        </w:rPr>
        <w:t>訴願法第 </w:t>
      </w:r>
      <w:r>
        <w:rPr>
          <w:rFonts w:ascii="Times New Roman" w:eastAsia="Times New Roman"/>
          <w:sz w:val="24"/>
        </w:rPr>
        <w:t>93 </w:t>
      </w:r>
      <w:r>
        <w:rPr>
          <w:spacing w:val="-1"/>
          <w:sz w:val="24"/>
        </w:rPr>
        <w:t>條及行政訴訟法第 </w:t>
      </w:r>
      <w:r>
        <w:rPr>
          <w:rFonts w:ascii="Times New Roman" w:eastAsia="Times New Roman"/>
          <w:sz w:val="24"/>
        </w:rPr>
        <w:t>116 </w:t>
      </w:r>
      <w:r>
        <w:rPr>
          <w:sz w:val="24"/>
        </w:rPr>
        <w:t>條）</w:t>
      </w:r>
      <w:r>
        <w:rPr>
          <w:rFonts w:ascii="Times New Roman" w:eastAsia="Times New Roman"/>
          <w:sz w:val="24"/>
          <w:vertAlign w:val="superscript"/>
        </w:rPr>
        <w:t>105</w:t>
      </w:r>
      <w:r>
        <w:rPr>
          <w:sz w:val="24"/>
          <w:vertAlign w:val="baseline"/>
        </w:rPr>
        <w:t>。</w:t>
      </w:r>
    </w:p>
    <w:p>
      <w:pPr>
        <w:pStyle w:val="BodyText"/>
        <w:spacing w:before="11"/>
        <w:rPr>
          <w:sz w:val="29"/>
        </w:rPr>
      </w:pPr>
    </w:p>
    <w:p>
      <w:pPr>
        <w:pStyle w:val="BodyText"/>
        <w:spacing w:line="295" w:lineRule="auto"/>
        <w:ind w:left="899" w:right="917" w:firstLine="480"/>
        <w:jc w:val="both"/>
      </w:pPr>
      <w:r>
        <w:rPr>
          <w:spacing w:val="-4"/>
        </w:rPr>
        <w:t>相對於既存行政處分的停止執行，行政訴訟法第 </w:t>
      </w:r>
      <w:r>
        <w:rPr>
          <w:rFonts w:ascii="Times New Roman" w:eastAsia="Times New Roman"/>
          <w:spacing w:val="-2"/>
        </w:rPr>
        <w:t>298</w:t>
      </w:r>
      <w:r>
        <w:rPr>
          <w:rFonts w:ascii="Times New Roman" w:eastAsia="Times New Roman"/>
          <w:spacing w:val="-10"/>
        </w:rPr>
        <w:t> </w:t>
      </w:r>
      <w:r>
        <w:rPr>
          <w:spacing w:val="-2"/>
        </w:rPr>
        <w:t>條所規定之假處分更進</w:t>
      </w:r>
      <w:r>
        <w:rPr>
          <w:spacing w:val="-3"/>
        </w:rPr>
        <w:t>一步擴張暫時性權利救濟的功能。整體而言，行政爭訟法制之暫時權利保障制度包含停止執行與假處分，分別針對不同需求，予以暫時之權利保障，以達到有效</w:t>
      </w:r>
      <w:r>
        <w:rPr/>
        <w:t>權利保障之誡命，確保人民之訴訟權以及其他相關之基本權利。</w:t>
      </w:r>
    </w:p>
    <w:p>
      <w:pPr>
        <w:pStyle w:val="BodyText"/>
        <w:spacing w:before="2"/>
      </w:pPr>
    </w:p>
    <w:p>
      <w:pPr>
        <w:pStyle w:val="Heading3"/>
        <w:spacing w:before="1"/>
        <w:ind w:left="899"/>
        <w:rPr>
          <w:rFonts w:ascii="新細明體" w:eastAsia="新細明體" w:hint="eastAsia"/>
        </w:rPr>
      </w:pPr>
      <w:bookmarkStart w:name="_TOC_250015" w:id="24"/>
      <w:bookmarkEnd w:id="24"/>
      <w:r>
        <w:rPr>
          <w:rFonts w:ascii="新細明體" w:eastAsia="新細明體" w:hint="eastAsia"/>
          <w:w w:val="95"/>
        </w:rPr>
        <w:t>二、停止執行與假處分在制度上之關係</w:t>
      </w:r>
    </w:p>
    <w:p>
      <w:pPr>
        <w:pStyle w:val="BodyText"/>
        <w:spacing w:before="5"/>
        <w:rPr>
          <w:b/>
          <w:sz w:val="29"/>
        </w:rPr>
      </w:pPr>
    </w:p>
    <w:p>
      <w:pPr>
        <w:pStyle w:val="BodyText"/>
        <w:ind w:left="1379"/>
        <w:jc w:val="both"/>
        <w:rPr>
          <w:rFonts w:ascii="標楷體" w:eastAsia="標楷體" w:hint="eastAsia"/>
        </w:rPr>
      </w:pPr>
      <w:r>
        <w:rPr/>
        <w:t>行政訴訟法第 </w:t>
      </w:r>
      <w:r>
        <w:rPr>
          <w:rFonts w:ascii="Times New Roman" w:eastAsia="Times New Roman"/>
        </w:rPr>
        <w:t>298</w:t>
      </w:r>
      <w:r>
        <w:rPr>
          <w:rFonts w:ascii="Times New Roman" w:eastAsia="Times New Roman"/>
          <w:spacing w:val="6"/>
        </w:rPr>
        <w:t> </w:t>
      </w:r>
      <w:r>
        <w:rPr>
          <w:spacing w:val="1"/>
        </w:rPr>
        <w:t>條第 </w:t>
      </w:r>
      <w:r>
        <w:rPr>
          <w:rFonts w:ascii="Times New Roman" w:eastAsia="Times New Roman"/>
        </w:rPr>
        <w:t>1</w:t>
      </w:r>
      <w:r>
        <w:rPr>
          <w:rFonts w:ascii="Times New Roman" w:eastAsia="Times New Roman"/>
          <w:spacing w:val="7"/>
        </w:rPr>
        <w:t> </w:t>
      </w:r>
      <w:r>
        <w:rPr>
          <w:spacing w:val="-25"/>
        </w:rPr>
        <w:t>項規定：「</w:t>
      </w:r>
      <w:r>
        <w:rPr>
          <w:rFonts w:ascii="標楷體" w:eastAsia="標楷體" w:hint="eastAsia"/>
        </w:rPr>
        <w:t>公法上之權利因現狀變更，有不能實現</w:t>
      </w:r>
    </w:p>
    <w:p>
      <w:pPr>
        <w:pStyle w:val="BodyText"/>
        <w:spacing w:line="295" w:lineRule="auto" w:before="78"/>
        <w:ind w:left="900" w:right="753"/>
        <w:jc w:val="both"/>
      </w:pPr>
      <w:r>
        <w:rPr>
          <w:rFonts w:ascii="標楷體" w:eastAsia="標楷體" w:hint="eastAsia"/>
        </w:rPr>
        <w:t>或甚難實現之虞者，為保全強制執行，得聲請假處分。</w:t>
      </w:r>
      <w:r>
        <w:rPr>
          <w:spacing w:val="2"/>
        </w:rPr>
        <w:t>」同條第 </w:t>
      </w:r>
      <w:r>
        <w:rPr>
          <w:rFonts w:ascii="Times New Roman" w:eastAsia="Times New Roman"/>
        </w:rPr>
        <w:t>2</w:t>
      </w:r>
      <w:r>
        <w:rPr>
          <w:rFonts w:ascii="Times New Roman" w:eastAsia="Times New Roman"/>
          <w:spacing w:val="13"/>
        </w:rPr>
        <w:t> </w:t>
      </w:r>
      <w:r>
        <w:rPr>
          <w:spacing w:val="-24"/>
        </w:rPr>
        <w:t>項規定：「</w:t>
      </w:r>
      <w:r>
        <w:rPr>
          <w:rFonts w:ascii="標楷體" w:eastAsia="標楷體" w:hint="eastAsia"/>
        </w:rPr>
        <w:t>於爭執之公法上法律關係，為防止發生重大之損害或避免急迫之危險而有必要時，</w:t>
      </w:r>
      <w:r>
        <w:rPr>
          <w:rFonts w:ascii="標楷體" w:eastAsia="標楷體" w:hint="eastAsia"/>
          <w:spacing w:val="-118"/>
        </w:rPr>
        <w:t> </w:t>
      </w:r>
      <w:r>
        <w:rPr>
          <w:rFonts w:ascii="標楷體" w:eastAsia="標楷體" w:hint="eastAsia"/>
          <w:spacing w:val="41"/>
        </w:rPr>
        <w:t>得聲請為定暫時狀態之處分。</w:t>
      </w:r>
      <w:r>
        <w:rPr>
          <w:spacing w:val="42"/>
        </w:rPr>
        <w:t>」學說上，將前者稱之為「保全處分」</w:t>
      </w:r>
    </w:p>
    <w:p>
      <w:pPr>
        <w:pStyle w:val="BodyText"/>
        <w:spacing w:line="295" w:lineRule="auto" w:before="4"/>
        <w:ind w:left="900" w:right="912"/>
        <w:jc w:val="both"/>
      </w:pPr>
      <w:r>
        <w:rPr>
          <w:spacing w:val="3"/>
        </w:rPr>
        <w:t>（</w:t>
      </w:r>
      <w:r>
        <w:rPr>
          <w:rFonts w:ascii="Times New Roman" w:eastAsia="Times New Roman"/>
        </w:rPr>
        <w:t>Sicherungsanordnun</w:t>
      </w:r>
      <w:r>
        <w:rPr>
          <w:rFonts w:ascii="Times New Roman" w:eastAsia="Times New Roman"/>
          <w:spacing w:val="3"/>
        </w:rPr>
        <w:t>g</w:t>
      </w:r>
      <w:r>
        <w:rPr>
          <w:spacing w:val="-117"/>
        </w:rPr>
        <w:t>）</w:t>
      </w:r>
      <w:r>
        <w:rPr>
          <w:spacing w:val="3"/>
        </w:rPr>
        <w:t>，其內涵在於經由現狀之維持，以確保公法上權利之實</w:t>
      </w:r>
      <w:r>
        <w:rPr>
          <w:spacing w:val="-9"/>
        </w:rPr>
        <w:t>現；後者則稱為「規制處分」</w:t>
      </w:r>
      <w:r>
        <w:rPr>
          <w:spacing w:val="1"/>
        </w:rPr>
        <w:t>（</w:t>
      </w:r>
      <w:r>
        <w:rPr>
          <w:rFonts w:ascii="Times New Roman" w:eastAsia="Times New Roman"/>
          <w:spacing w:val="-1"/>
        </w:rPr>
        <w:t>Regelungsanordnun</w:t>
      </w:r>
      <w:r>
        <w:rPr>
          <w:rFonts w:ascii="Times New Roman" w:eastAsia="Times New Roman"/>
          <w:spacing w:val="1"/>
        </w:rPr>
        <w:t>g</w:t>
      </w:r>
      <w:r>
        <w:rPr>
          <w:spacing w:val="-119"/>
        </w:rPr>
        <w:t>）</w:t>
      </w:r>
      <w:r>
        <w:rPr>
          <w:spacing w:val="1"/>
        </w:rPr>
        <w:t>，係經由暫時擴張當事人法</w:t>
      </w:r>
      <w:r>
        <w:rPr/>
        <w:t>律地位之措施，以避免當事人在爭訟確定前蒙受重大之損害或急迫危險</w:t>
      </w:r>
      <w:r>
        <w:rPr>
          <w:rFonts w:ascii="Times New Roman" w:eastAsia="Times New Roman"/>
          <w:vertAlign w:val="superscript"/>
        </w:rPr>
        <w:t>106</w:t>
      </w:r>
      <w:r>
        <w:rPr>
          <w:vertAlign w:val="baseline"/>
        </w:rPr>
        <w:t>。</w:t>
      </w:r>
    </w:p>
    <w:p>
      <w:pPr>
        <w:pStyle w:val="BodyText"/>
        <w:spacing w:before="12"/>
        <w:rPr>
          <w:sz w:val="29"/>
        </w:rPr>
      </w:pPr>
    </w:p>
    <w:p>
      <w:pPr>
        <w:pStyle w:val="BodyText"/>
        <w:spacing w:line="295" w:lineRule="auto"/>
        <w:ind w:left="900" w:right="917" w:firstLine="480"/>
        <w:jc w:val="both"/>
      </w:pPr>
      <w:r>
        <w:rPr/>
        <w:pict>
          <v:rect style="position:absolute;margin-left:90pt;margin-top:65.580292pt;width:144pt;height:.600010pt;mso-position-horizontal-relative:page;mso-position-vertical-relative:paragraph;z-index:-15701504;mso-wrap-distance-left:0;mso-wrap-distance-right:0" filled="true" fillcolor="#000000" stroked="false">
            <v:fill type="solid"/>
            <w10:wrap type="topAndBottom"/>
          </v:rect>
        </w:pict>
      </w:r>
      <w:r>
        <w:rPr>
          <w:spacing w:val="-3"/>
        </w:rPr>
        <w:t>假處分與停止執行均為藉由將案件之情事固定在某種狀態，以達到暫時性權利保護之作用。但假處分係為因應課與義務、給付型請求所特設之制度，故倘個案得依停止執行之方法，達到暫時性權利保護之目的，則不得提起假處分，此為</w:t>
      </w:r>
    </w:p>
    <w:p>
      <w:pPr>
        <w:pStyle w:val="BodyText"/>
        <w:spacing w:before="11"/>
        <w:rPr>
          <w:sz w:val="5"/>
        </w:rPr>
      </w:pPr>
    </w:p>
    <w:p>
      <w:pPr>
        <w:spacing w:line="223" w:lineRule="auto" w:before="121"/>
        <w:ind w:left="900" w:right="914" w:firstLine="0"/>
        <w:jc w:val="both"/>
        <w:rPr>
          <w:sz w:val="22"/>
        </w:rPr>
      </w:pPr>
      <w:r>
        <w:rPr>
          <w:rFonts w:ascii="Times New Roman" w:eastAsia="Times New Roman"/>
          <w:sz w:val="22"/>
          <w:vertAlign w:val="superscript"/>
        </w:rPr>
        <w:t>105</w:t>
      </w:r>
      <w:r>
        <w:rPr>
          <w:rFonts w:ascii="Times New Roman" w:eastAsia="Times New Roman"/>
          <w:spacing w:val="25"/>
          <w:sz w:val="22"/>
          <w:vertAlign w:val="baseline"/>
        </w:rPr>
        <w:t> </w:t>
      </w:r>
      <w:r>
        <w:rPr>
          <w:spacing w:val="-22"/>
          <w:sz w:val="22"/>
          <w:vertAlign w:val="baseline"/>
        </w:rPr>
        <w:t>陳愛娥，〈政府採購爭議之暫時權利保障〉，台灣行政法學會主辦《「公法上暫時處置</w:t>
      </w:r>
      <w:r>
        <w:rPr>
          <w:spacing w:val="-5"/>
          <w:sz w:val="22"/>
          <w:vertAlign w:val="baseline"/>
        </w:rPr>
        <w:t>及其權利救濟、公法上之暫時權利救濟」學術研討會論文集》，</w:t>
      </w:r>
      <w:r>
        <w:rPr>
          <w:rFonts w:ascii="Times New Roman" w:eastAsia="Times New Roman"/>
          <w:sz w:val="22"/>
          <w:vertAlign w:val="baseline"/>
        </w:rPr>
        <w:t>2010</w:t>
      </w:r>
      <w:r>
        <w:rPr>
          <w:rFonts w:ascii="Times New Roman" w:eastAsia="Times New Roman"/>
          <w:spacing w:val="21"/>
          <w:sz w:val="22"/>
          <w:vertAlign w:val="baseline"/>
        </w:rPr>
        <w:t> </w:t>
      </w:r>
      <w:r>
        <w:rPr>
          <w:spacing w:val="9"/>
          <w:sz w:val="22"/>
          <w:vertAlign w:val="baseline"/>
        </w:rPr>
        <w:t>年 </w:t>
      </w:r>
      <w:r>
        <w:rPr>
          <w:rFonts w:ascii="Times New Roman" w:eastAsia="Times New Roman"/>
          <w:sz w:val="22"/>
          <w:vertAlign w:val="baseline"/>
        </w:rPr>
        <w:t>9</w:t>
      </w:r>
      <w:r>
        <w:rPr>
          <w:rFonts w:ascii="Times New Roman" w:eastAsia="Times New Roman"/>
          <w:spacing w:val="21"/>
          <w:sz w:val="22"/>
          <w:vertAlign w:val="baseline"/>
        </w:rPr>
        <w:t> </w:t>
      </w:r>
      <w:r>
        <w:rPr>
          <w:spacing w:val="9"/>
          <w:sz w:val="22"/>
          <w:vertAlign w:val="baseline"/>
        </w:rPr>
        <w:t>月 </w:t>
      </w:r>
      <w:r>
        <w:rPr>
          <w:rFonts w:ascii="Times New Roman" w:eastAsia="Times New Roman"/>
          <w:sz w:val="22"/>
          <w:vertAlign w:val="baseline"/>
        </w:rPr>
        <w:t>17</w:t>
      </w:r>
      <w:r>
        <w:rPr>
          <w:rFonts w:ascii="Times New Roman" w:eastAsia="Times New Roman"/>
          <w:spacing w:val="22"/>
          <w:sz w:val="22"/>
          <w:vertAlign w:val="baseline"/>
        </w:rPr>
        <w:t> </w:t>
      </w:r>
      <w:r>
        <w:rPr>
          <w:sz w:val="22"/>
          <w:vertAlign w:val="baseline"/>
        </w:rPr>
        <w:t>日，頁</w:t>
      </w:r>
      <w:r>
        <w:rPr>
          <w:rFonts w:ascii="Times New Roman" w:eastAsia="Times New Roman"/>
          <w:sz w:val="22"/>
          <w:vertAlign w:val="baseline"/>
        </w:rPr>
        <w:t>88-90</w:t>
      </w:r>
      <w:r>
        <w:rPr>
          <w:sz w:val="22"/>
          <w:vertAlign w:val="baseline"/>
        </w:rPr>
        <w:t>。</w:t>
      </w:r>
    </w:p>
    <w:p>
      <w:pPr>
        <w:spacing w:before="104"/>
        <w:ind w:left="900" w:right="0" w:firstLine="0"/>
        <w:jc w:val="both"/>
        <w:rPr>
          <w:sz w:val="22"/>
        </w:rPr>
      </w:pPr>
      <w:r>
        <w:rPr>
          <w:rFonts w:ascii="Times New Roman" w:eastAsia="Times New Roman"/>
          <w:sz w:val="22"/>
          <w:vertAlign w:val="superscript"/>
        </w:rPr>
        <w:t>106</w:t>
      </w:r>
      <w:r>
        <w:rPr>
          <w:rFonts w:ascii="Times New Roman" w:eastAsia="Times New Roman"/>
          <w:spacing w:val="52"/>
          <w:sz w:val="22"/>
          <w:vertAlign w:val="baseline"/>
        </w:rPr>
        <w:t> </w:t>
      </w:r>
      <w:r>
        <w:rPr>
          <w:spacing w:val="-18"/>
          <w:sz w:val="22"/>
          <w:vertAlign w:val="baseline"/>
        </w:rPr>
        <w:t>吳庚，《行政法之理論與實用》，第 </w:t>
      </w:r>
      <w:r>
        <w:rPr>
          <w:rFonts w:ascii="Times New Roman" w:eastAsia="Times New Roman"/>
          <w:sz w:val="22"/>
          <w:vertAlign w:val="baseline"/>
        </w:rPr>
        <w:t>11</w:t>
      </w:r>
      <w:r>
        <w:rPr>
          <w:rFonts w:ascii="Times New Roman" w:eastAsia="Times New Roman"/>
          <w:spacing w:val="-1"/>
          <w:sz w:val="22"/>
          <w:vertAlign w:val="baseline"/>
        </w:rPr>
        <w:t> </w:t>
      </w:r>
      <w:r>
        <w:rPr>
          <w:sz w:val="22"/>
          <w:vertAlign w:val="baseline"/>
        </w:rPr>
        <w:t>版，</w:t>
      </w:r>
      <w:r>
        <w:rPr>
          <w:rFonts w:ascii="Times New Roman" w:eastAsia="Times New Roman"/>
          <w:sz w:val="22"/>
          <w:vertAlign w:val="baseline"/>
        </w:rPr>
        <w:t>2010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10</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727</w:t>
      </w:r>
      <w:r>
        <w:rPr>
          <w:sz w:val="22"/>
          <w:vertAlign w:val="baseline"/>
        </w:rPr>
        <w:t>。</w:t>
      </w:r>
    </w:p>
    <w:p>
      <w:pPr>
        <w:spacing w:after="0"/>
        <w:jc w:val="both"/>
        <w:rPr>
          <w:sz w:val="22"/>
        </w:rPr>
        <w:sectPr>
          <w:pgSz w:w="11910" w:h="16840"/>
          <w:pgMar w:header="0" w:footer="938" w:top="1600" w:bottom="1200" w:left="900" w:right="880"/>
        </w:sectPr>
      </w:pPr>
    </w:p>
    <w:p>
      <w:pPr>
        <w:pStyle w:val="BodyText"/>
        <w:spacing w:line="295" w:lineRule="auto" w:before="38"/>
        <w:ind w:left="900" w:right="857"/>
        <w:jc w:val="both"/>
      </w:pPr>
      <w:r>
        <w:rPr>
          <w:spacing w:val="-16"/>
        </w:rPr>
        <w:t>適用假處分之前提。蓋假處分作為保全程序，應遵守「輔助原則</w:t>
      </w:r>
      <w:r>
        <w:rPr>
          <w:spacing w:val="-188"/>
        </w:rPr>
        <w:t>」</w:t>
      </w:r>
      <w:r>
        <w:rPr/>
        <w:t>（補充性原則</w:t>
      </w:r>
      <w:r>
        <w:rPr>
          <w:spacing w:val="-134"/>
        </w:rPr>
        <w:t>）</w:t>
      </w:r>
      <w:r>
        <w:rPr>
          <w:spacing w:val="-8"/>
        </w:rPr>
        <w:t>，</w:t>
      </w:r>
      <w:r>
        <w:rPr>
          <w:spacing w:val="-2"/>
        </w:rPr>
        <w:t>凡法律已另設有應優先適用之救濟手段時，假處分便無適用之餘地</w:t>
      </w:r>
      <w:r>
        <w:rPr>
          <w:rFonts w:ascii="Times New Roman" w:eastAsia="Times New Roman"/>
          <w:spacing w:val="-1"/>
          <w:vertAlign w:val="superscript"/>
        </w:rPr>
        <w:t>107</w:t>
      </w:r>
      <w:r>
        <w:rPr>
          <w:spacing w:val="-1"/>
          <w:vertAlign w:val="baseline"/>
        </w:rPr>
        <w:t>。因此，對</w:t>
      </w:r>
      <w:r>
        <w:rPr>
          <w:spacing w:val="-4"/>
          <w:vertAlign w:val="baseline"/>
        </w:rPr>
        <w:t>於行政訴訟法第 </w:t>
      </w:r>
      <w:r>
        <w:rPr>
          <w:rFonts w:ascii="Times New Roman" w:eastAsia="Times New Roman"/>
          <w:spacing w:val="-2"/>
          <w:vertAlign w:val="baseline"/>
        </w:rPr>
        <w:t>299</w:t>
      </w:r>
      <w:r>
        <w:rPr>
          <w:rFonts w:ascii="Times New Roman" w:eastAsia="Times New Roman"/>
          <w:spacing w:val="-10"/>
          <w:vertAlign w:val="baseline"/>
        </w:rPr>
        <w:t> </w:t>
      </w:r>
      <w:r>
        <w:rPr>
          <w:spacing w:val="-2"/>
          <w:vertAlign w:val="baseline"/>
        </w:rPr>
        <w:t>條</w:t>
      </w:r>
      <w:r>
        <w:rPr>
          <w:rFonts w:ascii="Times New Roman" w:eastAsia="Times New Roman"/>
          <w:spacing w:val="-2"/>
          <w:vertAlign w:val="superscript"/>
        </w:rPr>
        <w:t>108</w:t>
      </w:r>
      <w:r>
        <w:rPr>
          <w:spacing w:val="-2"/>
          <w:vertAlign w:val="baseline"/>
        </w:rPr>
        <w:t>「</w:t>
      </w:r>
      <w:r>
        <w:rPr>
          <w:rFonts w:ascii="標楷體" w:eastAsia="標楷體" w:hint="eastAsia"/>
          <w:spacing w:val="-2"/>
          <w:vertAlign w:val="baseline"/>
        </w:rPr>
        <w:t>關於行政機關之行政處分</w:t>
      </w:r>
      <w:r>
        <w:rPr>
          <w:spacing w:val="-1"/>
          <w:vertAlign w:val="baseline"/>
        </w:rPr>
        <w:t>」之用語，應解釋為對行政</w:t>
      </w:r>
      <w:r>
        <w:rPr>
          <w:spacing w:val="-2"/>
          <w:vertAlign w:val="baseline"/>
        </w:rPr>
        <w:t>處分得聲請「停止執行」者，不得聲請假處分</w:t>
      </w:r>
      <w:r>
        <w:rPr>
          <w:rFonts w:ascii="Times New Roman" w:eastAsia="Times New Roman"/>
          <w:spacing w:val="-1"/>
          <w:vertAlign w:val="superscript"/>
        </w:rPr>
        <w:t>109</w:t>
      </w:r>
      <w:r>
        <w:rPr>
          <w:spacing w:val="-1"/>
          <w:vertAlign w:val="baseline"/>
        </w:rPr>
        <w:t>。至於本案訴訟為確認訴訟、課</w:t>
      </w:r>
      <w:r>
        <w:rPr>
          <w:vertAlign w:val="baseline"/>
        </w:rPr>
        <w:t>予義務訴訟、一般給付訴訟，凡符合法定要件者，原則上得聲請假處分</w:t>
      </w:r>
      <w:r>
        <w:rPr>
          <w:rFonts w:ascii="Times New Roman" w:eastAsia="Times New Roman"/>
          <w:vertAlign w:val="superscript"/>
        </w:rPr>
        <w:t>110</w:t>
      </w:r>
      <w:r>
        <w:rPr>
          <w:vertAlign w:val="baseline"/>
        </w:rPr>
        <w:t>。</w:t>
      </w:r>
    </w:p>
    <w:p>
      <w:pPr>
        <w:pStyle w:val="BodyText"/>
        <w:spacing w:before="4"/>
      </w:pPr>
    </w:p>
    <w:p>
      <w:pPr>
        <w:pStyle w:val="Heading3"/>
        <w:ind w:left="899"/>
        <w:rPr>
          <w:rFonts w:ascii="新細明體" w:eastAsia="新細明體" w:hint="eastAsia"/>
        </w:rPr>
      </w:pPr>
      <w:bookmarkStart w:name="_TOC_250014" w:id="25"/>
      <w:bookmarkEnd w:id="25"/>
      <w:r>
        <w:rPr>
          <w:rFonts w:ascii="新細明體" w:eastAsia="新細明體" w:hint="eastAsia"/>
          <w:w w:val="95"/>
        </w:rPr>
        <w:t>三、請求事件在保障程序中之暫時權利保護</w:t>
      </w:r>
    </w:p>
    <w:p>
      <w:pPr>
        <w:pStyle w:val="BodyText"/>
        <w:spacing w:before="5"/>
        <w:rPr>
          <w:b/>
          <w:sz w:val="29"/>
        </w:rPr>
      </w:pPr>
    </w:p>
    <w:p>
      <w:pPr>
        <w:pStyle w:val="BodyText"/>
        <w:spacing w:line="295" w:lineRule="auto"/>
        <w:ind w:left="899" w:right="909" w:firstLine="480"/>
        <w:jc w:val="both"/>
        <w:rPr>
          <w:rFonts w:ascii="標楷體" w:eastAsia="標楷體" w:hint="eastAsia"/>
        </w:rPr>
      </w:pPr>
      <w:r>
        <w:rPr>
          <w:spacing w:val="-3"/>
        </w:rPr>
        <w:t>如前所述，完整之暫時權利保護至少應包含假處分與停止執行，以分別因應課與義務、給付型以及撤銷、排除型之請求。停止執行無法達成給付型暫時權利保護之請求，相同的，假處分之狀態亦非針對撤銷型之請求所設。也因此，現行保障法上僅針對停止執行設有規定，對於給付請求之事件實有不足。固然以復審案件類型而言，仍可向行政法院於訴訟繫屬前聲請假處分，然而於再申訴事件之案型中則形成一缺口。簡單的說，目前保障法中僅設有停止執行程序，而缺乏假處分程序，對公務人員而言並無法提供完整的暫時權利保護。實務上保訓會針對假處分請求之申請，基本上仍以保障法上無假處分之規定；而停止執行之制度內</w:t>
      </w:r>
      <w:r>
        <w:rPr/>
        <w:t>涵無法提供給付型事件暫時權利保護，不受理給付型請求之暫時權利保護。對</w:t>
      </w:r>
      <w:r>
        <w:rPr>
          <w:spacing w:val="-1"/>
        </w:rPr>
        <w:t>此，可參考保訓會 </w:t>
      </w:r>
      <w:r>
        <w:rPr>
          <w:rFonts w:ascii="Times New Roman" w:eastAsia="Times New Roman"/>
        </w:rPr>
        <w:t>94</w:t>
      </w:r>
      <w:r>
        <w:rPr>
          <w:rFonts w:ascii="Times New Roman" w:eastAsia="Times New Roman"/>
          <w:spacing w:val="-6"/>
        </w:rPr>
        <w:t> </w:t>
      </w:r>
      <w:r>
        <w:rPr>
          <w:spacing w:val="-2"/>
        </w:rPr>
        <w:t>年公審決字第 </w:t>
      </w:r>
      <w:r>
        <w:rPr>
          <w:rFonts w:ascii="Times New Roman" w:eastAsia="Times New Roman"/>
        </w:rPr>
        <w:t>0155</w:t>
      </w:r>
      <w:r>
        <w:rPr>
          <w:rFonts w:ascii="Times New Roman" w:eastAsia="Times New Roman"/>
          <w:spacing w:val="49"/>
        </w:rPr>
        <w:t> </w:t>
      </w:r>
      <w:r>
        <w:rPr>
          <w:spacing w:val="-10"/>
        </w:rPr>
        <w:t>號復審決定書，其中即指出：「</w:t>
      </w:r>
      <w:r>
        <w:rPr>
          <w:rFonts w:ascii="標楷體" w:eastAsia="標楷體" w:hint="eastAsia"/>
        </w:rPr>
        <w:t>復審人</w:t>
      </w:r>
    </w:p>
    <w:p>
      <w:pPr>
        <w:pStyle w:val="BodyText"/>
        <w:spacing w:line="295" w:lineRule="auto" w:before="12"/>
        <w:ind w:left="899" w:right="917"/>
        <w:jc w:val="both"/>
        <w:rPr>
          <w:rFonts w:ascii="標楷體" w:eastAsia="標楷體" w:hint="eastAsia"/>
        </w:rPr>
      </w:pPr>
      <w:r>
        <w:rPr>
          <w:rFonts w:ascii="標楷體" w:eastAsia="標楷體" w:hint="eastAsia"/>
          <w:spacing w:val="-9"/>
        </w:rPr>
        <w:t>等申請參加 </w:t>
      </w:r>
      <w:r>
        <w:rPr>
          <w:rFonts w:ascii="Times New Roman" w:eastAsia="Times New Roman"/>
          <w:spacing w:val="-1"/>
        </w:rPr>
        <w:t>94</w:t>
      </w:r>
      <w:r>
        <w:rPr>
          <w:rFonts w:ascii="Times New Roman" w:eastAsia="Times New Roman"/>
          <w:spacing w:val="13"/>
        </w:rPr>
        <w:t> </w:t>
      </w:r>
      <w:r>
        <w:rPr>
          <w:rFonts w:ascii="標楷體" w:eastAsia="標楷體" w:hint="eastAsia"/>
          <w:spacing w:val="-1"/>
        </w:rPr>
        <w:t>年度薦升簡訓練遭林試所否准提起復審，係屬課予義務復審之型</w:t>
      </w:r>
      <w:r>
        <w:rPr>
          <w:rFonts w:ascii="標楷體" w:eastAsia="標楷體" w:hint="eastAsia"/>
          <w:spacing w:val="-3"/>
        </w:rPr>
        <w:t>態，僅得依循假處分或假扣押之規定請求暫時權利保護，無法以申請停止執行之方式獲得暫時權利保護，故復審人等申請停止執行核與公務人員保障法第 </w:t>
      </w:r>
      <w:r>
        <w:rPr>
          <w:rFonts w:ascii="Times New Roman" w:eastAsia="Times New Roman"/>
        </w:rPr>
        <w:t>89</w:t>
      </w:r>
      <w:r>
        <w:rPr>
          <w:rFonts w:ascii="Times New Roman" w:eastAsia="Times New Roman"/>
          <w:spacing w:val="13"/>
        </w:rPr>
        <w:t> </w:t>
      </w:r>
      <w:r>
        <w:rPr>
          <w:rFonts w:ascii="標楷體" w:eastAsia="標楷體" w:hint="eastAsia"/>
        </w:rPr>
        <w:t>條</w:t>
      </w:r>
    </w:p>
    <w:p>
      <w:pPr>
        <w:pStyle w:val="BodyText"/>
        <w:spacing w:before="4"/>
        <w:ind w:left="900"/>
        <w:jc w:val="both"/>
      </w:pPr>
      <w:r>
        <w:rPr>
          <w:rFonts w:ascii="標楷體" w:eastAsia="標楷體" w:hint="eastAsia"/>
          <w:w w:val="95"/>
        </w:rPr>
        <w:t>第</w:t>
      </w:r>
      <w:r>
        <w:rPr>
          <w:rFonts w:ascii="標楷體" w:eastAsia="標楷體" w:hint="eastAsia"/>
          <w:spacing w:val="146"/>
        </w:rPr>
        <w:t> </w:t>
      </w:r>
      <w:r>
        <w:rPr>
          <w:rFonts w:ascii="Times New Roman" w:eastAsia="Times New Roman"/>
          <w:w w:val="95"/>
        </w:rPr>
        <w:t>2</w:t>
      </w:r>
      <w:r>
        <w:rPr>
          <w:rFonts w:ascii="Times New Roman" w:eastAsia="Times New Roman"/>
          <w:spacing w:val="73"/>
        </w:rPr>
        <w:t>  </w:t>
      </w:r>
      <w:r>
        <w:rPr>
          <w:rFonts w:ascii="標楷體" w:eastAsia="標楷體" w:hint="eastAsia"/>
          <w:w w:val="95"/>
        </w:rPr>
        <w:t>項規定之要件不符，所請本件應暫時停止執行，應不予准許，併為敘明。</w:t>
      </w:r>
      <w:r>
        <w:rPr>
          <w:w w:val="95"/>
        </w:rPr>
        <w:t>」</w:t>
      </w:r>
    </w:p>
    <w:p>
      <w:pPr>
        <w:pStyle w:val="BodyText"/>
        <w:spacing w:before="78"/>
        <w:ind w:left="900"/>
        <w:rPr>
          <w:rFonts w:ascii="標楷體" w:eastAsia="標楷體" w:hint="eastAsia"/>
        </w:rPr>
      </w:pPr>
      <w:r>
        <w:rPr>
          <w:spacing w:val="-2"/>
        </w:rPr>
        <w:t>另保訓會 </w:t>
      </w:r>
      <w:r>
        <w:rPr>
          <w:rFonts w:ascii="Times New Roman" w:eastAsia="Times New Roman"/>
        </w:rPr>
        <w:t>98</w:t>
      </w:r>
      <w:r>
        <w:rPr>
          <w:rFonts w:ascii="Times New Roman" w:eastAsia="Times New Roman"/>
          <w:spacing w:val="-5"/>
        </w:rPr>
        <w:t> </w:t>
      </w:r>
      <w:r>
        <w:rPr>
          <w:spacing w:val="-2"/>
        </w:rPr>
        <w:t>年公審決字第 </w:t>
      </w:r>
      <w:r>
        <w:rPr>
          <w:rFonts w:ascii="Times New Roman" w:eastAsia="Times New Roman"/>
        </w:rPr>
        <w:t>0220</w:t>
      </w:r>
      <w:r>
        <w:rPr>
          <w:rFonts w:ascii="Times New Roman" w:eastAsia="Times New Roman"/>
          <w:spacing w:val="50"/>
        </w:rPr>
        <w:t> </w:t>
      </w:r>
      <w:r>
        <w:rPr>
          <w:spacing w:val="-11"/>
        </w:rPr>
        <w:t>號復審決定書，亦認為：「</w:t>
      </w:r>
      <w:r>
        <w:rPr>
          <w:rFonts w:ascii="標楷體" w:eastAsia="標楷體" w:hint="eastAsia"/>
        </w:rPr>
        <w:t>至復審人申請先行准</w:t>
      </w:r>
    </w:p>
    <w:p>
      <w:pPr>
        <w:pStyle w:val="BodyText"/>
        <w:spacing w:line="295" w:lineRule="auto" w:before="78"/>
        <w:ind w:left="899" w:right="917"/>
        <w:jc w:val="both"/>
      </w:pPr>
      <w:r>
        <w:rPr>
          <w:rFonts w:ascii="標楷體" w:eastAsia="標楷體" w:hint="eastAsia"/>
          <w:spacing w:val="-13"/>
        </w:rPr>
        <w:t>予參加 </w:t>
      </w:r>
      <w:r>
        <w:rPr>
          <w:rFonts w:ascii="Times New Roman" w:eastAsia="Times New Roman"/>
          <w:spacing w:val="-1"/>
        </w:rPr>
        <w:t>98</w:t>
      </w:r>
      <w:r>
        <w:rPr>
          <w:rFonts w:ascii="Times New Roman" w:eastAsia="Times New Roman"/>
          <w:spacing w:val="13"/>
        </w:rPr>
        <w:t> </w:t>
      </w:r>
      <w:r>
        <w:rPr>
          <w:rFonts w:ascii="標楷體" w:eastAsia="標楷體" w:hint="eastAsia"/>
          <w:spacing w:val="-1"/>
        </w:rPr>
        <w:t>年度薦任公務人員晉升簡任官等訓練之假處分一節。按本件應不予受</w:t>
      </w:r>
      <w:r>
        <w:rPr>
          <w:rFonts w:ascii="標楷體" w:eastAsia="標楷體" w:hint="eastAsia"/>
          <w:spacing w:val="-3"/>
        </w:rPr>
        <w:t>理，自無庸審究復審人之請求，況保障法未有申請假處分之相關規定，無法以申</w:t>
      </w:r>
      <w:r>
        <w:rPr>
          <w:rFonts w:ascii="標楷體" w:eastAsia="標楷體" w:hint="eastAsia"/>
        </w:rPr>
        <w:t>請停止執行之方式獲得暫時性權利保護。</w:t>
      </w:r>
      <w:r>
        <w:rPr/>
        <w:t>」</w:t>
      </w:r>
    </w:p>
    <w:p>
      <w:pPr>
        <w:pStyle w:val="BodyText"/>
        <w:spacing w:before="12"/>
        <w:rPr>
          <w:sz w:val="29"/>
        </w:rPr>
      </w:pPr>
    </w:p>
    <w:p>
      <w:pPr>
        <w:pStyle w:val="BodyText"/>
        <w:ind w:left="1365" w:right="903"/>
        <w:jc w:val="center"/>
      </w:pPr>
      <w:r>
        <w:rPr>
          <w:spacing w:val="-3"/>
        </w:rPr>
        <w:t>從前述保訓會針對公務人員申請假處分之決定書中可得知，對於假處分之申</w:t>
      </w:r>
    </w:p>
    <w:p>
      <w:pPr>
        <w:pStyle w:val="BodyText"/>
        <w:rPr>
          <w:sz w:val="20"/>
        </w:rPr>
      </w:pPr>
    </w:p>
    <w:p>
      <w:pPr>
        <w:pStyle w:val="BodyText"/>
        <w:spacing w:before="11"/>
        <w:rPr>
          <w:sz w:val="15"/>
        </w:rPr>
      </w:pPr>
      <w:r>
        <w:rPr/>
        <w:pict>
          <v:rect style="position:absolute;margin-left:90pt;margin-top:13.00499pt;width:144pt;height:.600010pt;mso-position-horizontal-relative:page;mso-position-vertical-relative:paragraph;z-index:-15700992;mso-wrap-distance-left:0;mso-wrap-distance-right:0" filled="true" fillcolor="#000000" stroked="false">
            <v:fill type="solid"/>
            <w10:wrap type="topAndBottom"/>
          </v:rect>
        </w:pict>
      </w:r>
    </w:p>
    <w:p>
      <w:pPr>
        <w:pStyle w:val="BodyText"/>
        <w:spacing w:before="11"/>
        <w:rPr>
          <w:sz w:val="5"/>
        </w:rPr>
      </w:pPr>
    </w:p>
    <w:p>
      <w:pPr>
        <w:spacing w:before="105"/>
        <w:ind w:left="900" w:right="0" w:firstLine="0"/>
        <w:jc w:val="left"/>
        <w:rPr>
          <w:sz w:val="22"/>
        </w:rPr>
      </w:pPr>
      <w:r>
        <w:rPr>
          <w:rFonts w:ascii="Times New Roman" w:eastAsia="Times New Roman"/>
          <w:sz w:val="22"/>
          <w:vertAlign w:val="superscript"/>
        </w:rPr>
        <w:t>107</w:t>
      </w:r>
      <w:r>
        <w:rPr>
          <w:rFonts w:ascii="Times New Roman" w:eastAsia="Times New Roman"/>
          <w:spacing w:val="54"/>
          <w:sz w:val="22"/>
          <w:vertAlign w:val="baseline"/>
        </w:rPr>
        <w:t> </w:t>
      </w:r>
      <w:r>
        <w:rPr>
          <w:spacing w:val="-20"/>
          <w:sz w:val="22"/>
          <w:vertAlign w:val="baseline"/>
        </w:rPr>
        <w:t>吳庚，《行政爭訟法論》，第 </w:t>
      </w:r>
      <w:r>
        <w:rPr>
          <w:rFonts w:ascii="Times New Roman" w:eastAsia="Times New Roman"/>
          <w:sz w:val="22"/>
          <w:vertAlign w:val="baseline"/>
        </w:rPr>
        <w:t>4 </w:t>
      </w:r>
      <w:r>
        <w:rPr>
          <w:sz w:val="22"/>
          <w:vertAlign w:val="baseline"/>
        </w:rPr>
        <w:t>版，</w:t>
      </w:r>
      <w:r>
        <w:rPr>
          <w:rFonts w:ascii="Times New Roman" w:eastAsia="Times New Roman"/>
          <w:sz w:val="22"/>
          <w:vertAlign w:val="baseline"/>
        </w:rPr>
        <w:t>2009</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2</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347</w:t>
      </w:r>
      <w:r>
        <w:rPr>
          <w:sz w:val="22"/>
          <w:vertAlign w:val="baseline"/>
        </w:rPr>
        <w:t>。</w:t>
      </w:r>
    </w:p>
    <w:p>
      <w:pPr>
        <w:spacing w:before="100"/>
        <w:ind w:left="900" w:right="0" w:firstLine="0"/>
        <w:jc w:val="left"/>
        <w:rPr>
          <w:sz w:val="22"/>
        </w:rPr>
      </w:pPr>
      <w:r>
        <w:rPr>
          <w:rFonts w:ascii="Times New Roman" w:eastAsia="Times New Roman"/>
          <w:sz w:val="22"/>
          <w:vertAlign w:val="superscript"/>
        </w:rPr>
        <w:t>108</w:t>
      </w:r>
      <w:r>
        <w:rPr>
          <w:rFonts w:ascii="Times New Roman" w:eastAsia="Times New Roman"/>
          <w:spacing w:val="54"/>
          <w:sz w:val="22"/>
          <w:vertAlign w:val="baseline"/>
        </w:rPr>
        <w:t> </w:t>
      </w:r>
      <w:r>
        <w:rPr>
          <w:spacing w:val="-1"/>
          <w:sz w:val="22"/>
          <w:vertAlign w:val="baseline"/>
        </w:rPr>
        <w:t>行政訴訟法第 </w:t>
      </w:r>
      <w:r>
        <w:rPr>
          <w:rFonts w:ascii="Times New Roman" w:eastAsia="Times New Roman"/>
          <w:sz w:val="22"/>
          <w:vertAlign w:val="baseline"/>
        </w:rPr>
        <w:t>299 </w:t>
      </w:r>
      <w:r>
        <w:rPr>
          <w:spacing w:val="-12"/>
          <w:sz w:val="22"/>
          <w:vertAlign w:val="baseline"/>
        </w:rPr>
        <w:t>條：「關於行政機關之行政處分，不得為前條之假處分。」</w:t>
      </w:r>
    </w:p>
    <w:p>
      <w:pPr>
        <w:spacing w:line="223" w:lineRule="auto" w:before="113"/>
        <w:ind w:left="900" w:right="914" w:firstLine="0"/>
        <w:jc w:val="left"/>
        <w:rPr>
          <w:sz w:val="22"/>
        </w:rPr>
      </w:pPr>
      <w:r>
        <w:rPr>
          <w:rFonts w:ascii="Times New Roman" w:eastAsia="Times New Roman"/>
          <w:sz w:val="22"/>
          <w:vertAlign w:val="superscript"/>
        </w:rPr>
        <w:t>109</w:t>
      </w:r>
      <w:r>
        <w:rPr>
          <w:rFonts w:ascii="Times New Roman" w:eastAsia="Times New Roman"/>
          <w:spacing w:val="38"/>
          <w:sz w:val="22"/>
          <w:vertAlign w:val="baseline"/>
        </w:rPr>
        <w:t> </w:t>
      </w:r>
      <w:r>
        <w:rPr>
          <w:spacing w:val="-1"/>
          <w:sz w:val="22"/>
          <w:vertAlign w:val="baseline"/>
        </w:rPr>
        <w:t>請參見行政訴訟法修正草案第 </w:t>
      </w:r>
      <w:r>
        <w:rPr>
          <w:rFonts w:ascii="Times New Roman" w:eastAsia="Times New Roman"/>
          <w:sz w:val="22"/>
          <w:vertAlign w:val="baseline"/>
        </w:rPr>
        <w:t>299</w:t>
      </w:r>
      <w:r>
        <w:rPr>
          <w:rFonts w:ascii="Times New Roman" w:eastAsia="Times New Roman"/>
          <w:spacing w:val="-8"/>
          <w:sz w:val="22"/>
          <w:vertAlign w:val="baseline"/>
        </w:rPr>
        <w:t> </w:t>
      </w:r>
      <w:r>
        <w:rPr>
          <w:spacing w:val="-44"/>
          <w:sz w:val="22"/>
          <w:vertAlign w:val="baseline"/>
        </w:rPr>
        <w:t>條：「</w:t>
      </w:r>
      <w:r>
        <w:rPr>
          <w:rFonts w:ascii="標楷體" w:eastAsia="標楷體" w:hint="eastAsia"/>
          <w:sz w:val="22"/>
          <w:u w:val="single"/>
          <w:vertAlign w:val="baseline"/>
        </w:rPr>
        <w:t>得依第一百十六條請求停止原處分或決定之執行者，不得聲請為前條之假處分</w:t>
      </w:r>
      <w:r>
        <w:rPr>
          <w:sz w:val="22"/>
          <w:vertAlign w:val="baseline"/>
        </w:rPr>
        <w:t>。」</w:t>
      </w:r>
    </w:p>
    <w:p>
      <w:pPr>
        <w:spacing w:before="105"/>
        <w:ind w:left="900" w:right="0" w:firstLine="0"/>
        <w:jc w:val="left"/>
        <w:rPr>
          <w:sz w:val="22"/>
        </w:rPr>
      </w:pPr>
      <w:r>
        <w:rPr>
          <w:rFonts w:ascii="Times New Roman" w:eastAsia="Times New Roman"/>
          <w:sz w:val="22"/>
          <w:vertAlign w:val="superscript"/>
        </w:rPr>
        <w:t>110</w:t>
      </w:r>
      <w:r>
        <w:rPr>
          <w:rFonts w:ascii="Times New Roman" w:eastAsia="Times New Roman"/>
          <w:spacing w:val="52"/>
          <w:sz w:val="22"/>
          <w:vertAlign w:val="baseline"/>
        </w:rPr>
        <w:t> </w:t>
      </w:r>
      <w:r>
        <w:rPr>
          <w:spacing w:val="-18"/>
          <w:sz w:val="22"/>
          <w:vertAlign w:val="baseline"/>
        </w:rPr>
        <w:t>吳庚，《行政法之理論與實用》，第 </w:t>
      </w:r>
      <w:r>
        <w:rPr>
          <w:rFonts w:ascii="Times New Roman" w:eastAsia="Times New Roman"/>
          <w:sz w:val="22"/>
          <w:vertAlign w:val="baseline"/>
        </w:rPr>
        <w:t>11</w:t>
      </w:r>
      <w:r>
        <w:rPr>
          <w:rFonts w:ascii="Times New Roman" w:eastAsia="Times New Roman"/>
          <w:spacing w:val="-2"/>
          <w:sz w:val="22"/>
          <w:vertAlign w:val="baseline"/>
        </w:rPr>
        <w:t> </w:t>
      </w:r>
      <w:r>
        <w:rPr>
          <w:sz w:val="22"/>
          <w:vertAlign w:val="baseline"/>
        </w:rPr>
        <w:t>版，</w:t>
      </w:r>
      <w:r>
        <w:rPr>
          <w:rFonts w:ascii="Times New Roman" w:eastAsia="Times New Roman"/>
          <w:sz w:val="22"/>
          <w:vertAlign w:val="baseline"/>
        </w:rPr>
        <w:t>2010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10</w:t>
      </w:r>
      <w:r>
        <w:rPr>
          <w:rFonts w:ascii="Times New Roman" w:eastAsia="Times New Roman"/>
          <w:spacing w:val="-2"/>
          <w:sz w:val="22"/>
          <w:vertAlign w:val="baseline"/>
        </w:rPr>
        <w:t> </w:t>
      </w:r>
      <w:r>
        <w:rPr>
          <w:spacing w:val="-1"/>
          <w:sz w:val="22"/>
          <w:vertAlign w:val="baseline"/>
        </w:rPr>
        <w:t>月，頁 </w:t>
      </w:r>
      <w:r>
        <w:rPr>
          <w:rFonts w:ascii="Times New Roman" w:eastAsia="Times New Roman"/>
          <w:sz w:val="22"/>
          <w:vertAlign w:val="baseline"/>
        </w:rPr>
        <w:t>727-728</w:t>
      </w:r>
      <w:r>
        <w:rPr>
          <w:sz w:val="22"/>
          <w:vertAlign w:val="baseline"/>
        </w:rPr>
        <w:t>。</w:t>
      </w:r>
    </w:p>
    <w:p>
      <w:pPr>
        <w:spacing w:after="0"/>
        <w:jc w:val="left"/>
        <w:rPr>
          <w:sz w:val="22"/>
        </w:rPr>
        <w:sectPr>
          <w:pgSz w:w="11910" w:h="16840"/>
          <w:pgMar w:header="0" w:footer="938" w:top="1440" w:bottom="1200" w:left="900" w:right="880"/>
        </w:sectPr>
      </w:pPr>
    </w:p>
    <w:p>
      <w:pPr>
        <w:pStyle w:val="BodyText"/>
        <w:spacing w:line="295" w:lineRule="auto" w:before="38"/>
        <w:ind w:left="900" w:right="917"/>
        <w:jc w:val="both"/>
      </w:pPr>
      <w:r>
        <w:rPr>
          <w:spacing w:val="-3"/>
        </w:rPr>
        <w:t>請，保訓會原則上仍認為因保障法中並無假處分之規定，倘申請人依現行保障法</w:t>
      </w:r>
      <w:r>
        <w:rPr/>
        <w:t>上停止執行之規定申請暫時權利保護，並不符合保障法第 </w:t>
      </w:r>
      <w:r>
        <w:rPr>
          <w:rFonts w:ascii="Times New Roman" w:eastAsia="Times New Roman"/>
        </w:rPr>
        <w:t>89</w:t>
      </w:r>
      <w:r>
        <w:rPr>
          <w:rFonts w:ascii="Times New Roman" w:eastAsia="Times New Roman"/>
          <w:spacing w:val="5"/>
        </w:rPr>
        <w:t> </w:t>
      </w:r>
      <w:r>
        <w:rPr/>
        <w:t>條之要件。也因此</w:t>
      </w:r>
      <w:r>
        <w:rPr>
          <w:spacing w:val="-3"/>
        </w:rPr>
        <w:t>目前保障法上對於課予義務類型之復審或再申訴，皆無配套之假處分機制。在復審案部分，公務人員仍可於訴訟繫屬前向法院聲請假處分；然而於再申訴案部分時，此一缺漏則嚴重妨礙公務人員之權利保障。也因此本文認為，目前保障法上無假處分之制度，僅能顧及「撤銷事件」之暫時性權利保護，此種保護不足之現象尤其又以再申訴案為甚。為根本解決給付請求事件的暫時權利保護需求，並提供公務人員完整的暫時權利保護以強化公務人員權利救濟制度，不論是復審或是申訴制度，皆應於保障法增設「假處分」程序，俾使整個暫時權利保護體系更為</w:t>
      </w:r>
      <w:r>
        <w:rPr/>
        <w:t>周延。</w:t>
      </w:r>
    </w:p>
    <w:p>
      <w:pPr>
        <w:pStyle w:val="BodyText"/>
        <w:spacing w:before="6"/>
        <w:rPr>
          <w:sz w:val="30"/>
        </w:rPr>
      </w:pPr>
    </w:p>
    <w:p>
      <w:pPr>
        <w:pStyle w:val="BodyText"/>
        <w:spacing w:line="295" w:lineRule="auto"/>
        <w:ind w:left="900" w:right="857" w:firstLine="480"/>
        <w:jc w:val="both"/>
      </w:pPr>
      <w:r>
        <w:rPr>
          <w:spacing w:val="-2"/>
        </w:rPr>
        <w:t>簡言之，假處分制度之設計係為處理本案為給付類型需求之暫時權利保護，</w:t>
      </w:r>
      <w:r>
        <w:rPr>
          <w:spacing w:val="-60"/>
        </w:rPr>
        <w:t> </w:t>
      </w:r>
      <w:r>
        <w:rPr>
          <w:spacing w:val="-2"/>
        </w:rPr>
        <w:t>與停止執行為排除侵害類型之暫時權利保護，其功能不同。從完整的暫時權利保護制度而觀，不論是復審或是申訴制度皆有停止執行與假處分之需求，而此二者之適用關係則如前述，於得以停止執行達到暫行性權利保護目的時即不得聲請假</w:t>
      </w:r>
      <w:r>
        <w:rPr/>
        <w:t>處分。</w:t>
      </w:r>
    </w:p>
    <w:p>
      <w:pPr>
        <w:pStyle w:val="BodyText"/>
        <w:spacing w:before="4"/>
      </w:pPr>
    </w:p>
    <w:p>
      <w:pPr>
        <w:pStyle w:val="Heading3"/>
        <w:rPr>
          <w:rFonts w:ascii="新細明體" w:eastAsia="新細明體" w:hint="eastAsia"/>
        </w:rPr>
      </w:pPr>
      <w:bookmarkStart w:name="_TOC_250013" w:id="26"/>
      <w:bookmarkEnd w:id="26"/>
      <w:r>
        <w:rPr>
          <w:rFonts w:ascii="新細明體" w:eastAsia="新細明體" w:hint="eastAsia"/>
          <w:w w:val="95"/>
        </w:rPr>
        <w:t>四、立法上之建議</w:t>
      </w:r>
    </w:p>
    <w:p>
      <w:pPr>
        <w:pStyle w:val="BodyText"/>
        <w:spacing w:before="5"/>
        <w:rPr>
          <w:b/>
          <w:sz w:val="29"/>
        </w:rPr>
      </w:pPr>
    </w:p>
    <w:p>
      <w:pPr>
        <w:pStyle w:val="BodyText"/>
        <w:spacing w:line="295" w:lineRule="auto"/>
        <w:ind w:left="900" w:right="857" w:firstLine="480"/>
        <w:jc w:val="both"/>
      </w:pPr>
      <w:r>
        <w:rPr>
          <w:spacing w:val="-3"/>
        </w:rPr>
        <w:t>行政訴訟法之假處分係承襲自德國行政法院法第 </w:t>
      </w:r>
      <w:r>
        <w:rPr>
          <w:rFonts w:ascii="Times New Roman" w:eastAsia="Times New Roman"/>
          <w:spacing w:val="-2"/>
        </w:rPr>
        <w:t>123</w:t>
      </w:r>
      <w:r>
        <w:rPr>
          <w:rFonts w:ascii="Times New Roman" w:eastAsia="Times New Roman"/>
          <w:spacing w:val="-11"/>
        </w:rPr>
        <w:t> </w:t>
      </w:r>
      <w:r>
        <w:rPr>
          <w:spacing w:val="-2"/>
        </w:rPr>
        <w:t>條之規定而來，據此行政法院有作成假處分裁定之權限</w:t>
      </w:r>
      <w:r>
        <w:rPr>
          <w:rFonts w:ascii="Times New Roman" w:eastAsia="Times New Roman"/>
          <w:spacing w:val="-1"/>
          <w:vertAlign w:val="superscript"/>
        </w:rPr>
        <w:t>111</w:t>
      </w:r>
      <w:r>
        <w:rPr>
          <w:spacing w:val="-1"/>
          <w:vertAlign w:val="baseline"/>
        </w:rPr>
        <w:t>。惟如前所述，目前公務人員保障仍維持二元</w:t>
      </w:r>
      <w:r>
        <w:rPr>
          <w:spacing w:val="-2"/>
          <w:vertAlign w:val="baseline"/>
        </w:rPr>
        <w:t>救濟體系，其中申訴、再申訴事件之當事人無法提起行政訴訟，因而行政訴訟上之假處分制度則無法對此類事件發揮即時保護之效果。故本文認為，針對此等因立法政策與實務見解而生之保護漏洞，應修法賦予保訓會有作成假處分之權限，</w:t>
      </w:r>
      <w:r>
        <w:rPr>
          <w:spacing w:val="-60"/>
          <w:vertAlign w:val="baseline"/>
        </w:rPr>
        <w:t> </w:t>
      </w:r>
      <w:r>
        <w:rPr>
          <w:spacing w:val="-7"/>
          <w:vertAlign w:val="baseline"/>
        </w:rPr>
        <w:t>始能提供公務員完整之權利保護制度。又目前保障法上第</w:t>
      </w:r>
      <w:r>
        <w:rPr>
          <w:rFonts w:ascii="Times New Roman" w:eastAsia="Times New Roman"/>
          <w:vertAlign w:val="baseline"/>
        </w:rPr>
        <w:t>89</w:t>
      </w:r>
      <w:r>
        <w:rPr>
          <w:rFonts w:ascii="Times New Roman" w:eastAsia="Times New Roman"/>
          <w:spacing w:val="-24"/>
          <w:vertAlign w:val="baseline"/>
        </w:rPr>
        <w:t> </w:t>
      </w:r>
      <w:r>
        <w:rPr>
          <w:spacing w:val="12"/>
          <w:vertAlign w:val="baseline"/>
        </w:rPr>
        <w:t>條與第</w:t>
      </w:r>
      <w:r>
        <w:rPr>
          <w:rFonts w:ascii="Times New Roman" w:eastAsia="Times New Roman"/>
          <w:vertAlign w:val="baseline"/>
        </w:rPr>
        <w:t>90</w:t>
      </w:r>
      <w:r>
        <w:rPr>
          <w:rFonts w:ascii="Times New Roman" w:eastAsia="Times New Roman"/>
          <w:spacing w:val="-24"/>
          <w:vertAlign w:val="baseline"/>
        </w:rPr>
        <w:t> </w:t>
      </w:r>
      <w:r>
        <w:rPr>
          <w:spacing w:val="-30"/>
          <w:vertAlign w:val="baseline"/>
        </w:rPr>
        <w:t>條有關「</w:t>
      </w:r>
      <w:r>
        <w:rPr>
          <w:rFonts w:ascii="標楷體" w:eastAsia="標楷體" w:hint="eastAsia"/>
          <w:vertAlign w:val="baseline"/>
        </w:rPr>
        <w:t>停</w:t>
      </w:r>
      <w:r>
        <w:rPr>
          <w:rFonts w:ascii="標楷體" w:eastAsia="標楷體" w:hint="eastAsia"/>
          <w:spacing w:val="-1"/>
          <w:vertAlign w:val="baseline"/>
        </w:rPr>
        <w:t>止原決定執行</w:t>
      </w:r>
      <w:r>
        <w:rPr>
          <w:spacing w:val="-19"/>
          <w:vertAlign w:val="baseline"/>
        </w:rPr>
        <w:t>」之制度，不應置放於規範「保障事件決定效力貫徹」之第六章「執</w:t>
      </w:r>
      <w:r>
        <w:rPr>
          <w:spacing w:val="-2"/>
          <w:vertAlign w:val="baseline"/>
        </w:rPr>
        <w:t>行」中。建議移列至本法增訂之「暫時性權利保護」專章，並增列「假處分」制</w:t>
      </w:r>
      <w:r>
        <w:rPr>
          <w:vertAlign w:val="baseline"/>
        </w:rPr>
        <w:t>度，以提供給付請求事件暫時性權利保護。</w:t>
      </w:r>
    </w:p>
    <w:p>
      <w:pPr>
        <w:pStyle w:val="BodyText"/>
        <w:spacing w:before="10"/>
        <w:rPr>
          <w:sz w:val="22"/>
        </w:rPr>
      </w:pPr>
    </w:p>
    <w:p>
      <w:pPr>
        <w:pStyle w:val="Heading2"/>
      </w:pPr>
      <w:bookmarkStart w:name="_TOC_250012" w:id="27"/>
      <w:bookmarkEnd w:id="27"/>
      <w:r>
        <w:rPr>
          <w:spacing w:val="10"/>
        </w:rPr>
        <w:t>第四節 小結</w:t>
      </w:r>
    </w:p>
    <w:p>
      <w:pPr>
        <w:pStyle w:val="BodyText"/>
        <w:spacing w:before="4"/>
        <w:rPr>
          <w:b/>
          <w:sz w:val="27"/>
        </w:rPr>
      </w:pPr>
    </w:p>
    <w:p>
      <w:pPr>
        <w:pStyle w:val="BodyText"/>
        <w:ind w:left="1365" w:right="898"/>
        <w:jc w:val="center"/>
      </w:pPr>
      <w:r>
        <w:rPr/>
        <w:t>以目前保障法之規定，而讓復審與申訴、再申訴之案件皆得以適用停止執</w:t>
      </w:r>
    </w:p>
    <w:p>
      <w:pPr>
        <w:pStyle w:val="BodyText"/>
        <w:rPr>
          <w:sz w:val="20"/>
        </w:rPr>
      </w:pPr>
    </w:p>
    <w:p>
      <w:pPr>
        <w:pStyle w:val="BodyText"/>
        <w:spacing w:before="8"/>
        <w:rPr>
          <w:sz w:val="16"/>
        </w:rPr>
      </w:pPr>
      <w:r>
        <w:rPr/>
        <w:pict>
          <v:rect style="position:absolute;margin-left:90pt;margin-top:13.545645pt;width:144pt;height:.599980pt;mso-position-horizontal-relative:page;mso-position-vertical-relative:paragraph;z-index:-15700480;mso-wrap-distance-left:0;mso-wrap-distance-right:0" filled="true" fillcolor="#000000" stroked="false">
            <v:fill type="solid"/>
            <w10:wrap type="topAndBottom"/>
          </v:rect>
        </w:pict>
      </w:r>
    </w:p>
    <w:p>
      <w:pPr>
        <w:pStyle w:val="BodyText"/>
        <w:spacing w:before="11"/>
        <w:rPr>
          <w:sz w:val="5"/>
        </w:rPr>
      </w:pPr>
    </w:p>
    <w:p>
      <w:pPr>
        <w:spacing w:before="105"/>
        <w:ind w:left="900" w:right="0" w:firstLine="0"/>
        <w:jc w:val="left"/>
        <w:rPr>
          <w:sz w:val="22"/>
        </w:rPr>
      </w:pPr>
      <w:r>
        <w:rPr>
          <w:rFonts w:ascii="Times New Roman" w:eastAsia="Times New Roman"/>
          <w:sz w:val="22"/>
          <w:vertAlign w:val="superscript"/>
        </w:rPr>
        <w:t>111</w:t>
      </w:r>
      <w:r>
        <w:rPr>
          <w:rFonts w:ascii="Times New Roman" w:eastAsia="Times New Roman"/>
          <w:spacing w:val="52"/>
          <w:sz w:val="22"/>
          <w:vertAlign w:val="baseline"/>
        </w:rPr>
        <w:t> </w:t>
      </w:r>
      <w:r>
        <w:rPr>
          <w:spacing w:val="-18"/>
          <w:sz w:val="22"/>
          <w:vertAlign w:val="baseline"/>
        </w:rPr>
        <w:t>吳庚，《行政法之理論與實用》，第 </w:t>
      </w:r>
      <w:r>
        <w:rPr>
          <w:rFonts w:ascii="Times New Roman" w:eastAsia="Times New Roman"/>
          <w:sz w:val="22"/>
          <w:vertAlign w:val="baseline"/>
        </w:rPr>
        <w:t>11</w:t>
      </w:r>
      <w:r>
        <w:rPr>
          <w:rFonts w:ascii="Times New Roman" w:eastAsia="Times New Roman"/>
          <w:spacing w:val="-1"/>
          <w:sz w:val="22"/>
          <w:vertAlign w:val="baseline"/>
        </w:rPr>
        <w:t> </w:t>
      </w:r>
      <w:r>
        <w:rPr>
          <w:sz w:val="22"/>
          <w:vertAlign w:val="baseline"/>
        </w:rPr>
        <w:t>版，</w:t>
      </w:r>
      <w:r>
        <w:rPr>
          <w:rFonts w:ascii="Times New Roman" w:eastAsia="Times New Roman"/>
          <w:sz w:val="22"/>
          <w:vertAlign w:val="baseline"/>
        </w:rPr>
        <w:t>2010</w:t>
      </w:r>
      <w:r>
        <w:rPr>
          <w:rFonts w:ascii="Times New Roman" w:eastAsia="Times New Roman"/>
          <w:spacing w:val="-1"/>
          <w:sz w:val="22"/>
          <w:vertAlign w:val="baseline"/>
        </w:rPr>
        <w:t> </w:t>
      </w:r>
      <w:r>
        <w:rPr>
          <w:spacing w:val="-2"/>
          <w:sz w:val="22"/>
          <w:vertAlign w:val="baseline"/>
        </w:rPr>
        <w:t>年 </w:t>
      </w:r>
      <w:r>
        <w:rPr>
          <w:rFonts w:ascii="Times New Roman" w:eastAsia="Times New Roman"/>
          <w:sz w:val="22"/>
          <w:vertAlign w:val="baseline"/>
        </w:rPr>
        <w:t>10</w:t>
      </w:r>
      <w:r>
        <w:rPr>
          <w:rFonts w:ascii="Times New Roman" w:eastAsia="Times New Roman"/>
          <w:spacing w:val="-1"/>
          <w:sz w:val="22"/>
          <w:vertAlign w:val="baseline"/>
        </w:rPr>
        <w:t> </w:t>
      </w:r>
      <w:r>
        <w:rPr>
          <w:spacing w:val="-1"/>
          <w:sz w:val="22"/>
          <w:vertAlign w:val="baseline"/>
        </w:rPr>
        <w:t>月，頁 </w:t>
      </w:r>
      <w:r>
        <w:rPr>
          <w:rFonts w:ascii="Times New Roman" w:eastAsia="Times New Roman"/>
          <w:sz w:val="22"/>
          <w:vertAlign w:val="baseline"/>
        </w:rPr>
        <w:t>727</w:t>
      </w:r>
      <w:r>
        <w:rPr>
          <w:sz w:val="22"/>
          <w:vertAlign w:val="baseline"/>
        </w:rPr>
        <w:t>。</w:t>
      </w:r>
    </w:p>
    <w:p>
      <w:pPr>
        <w:spacing w:after="0"/>
        <w:jc w:val="left"/>
        <w:rPr>
          <w:sz w:val="22"/>
        </w:rPr>
        <w:sectPr>
          <w:pgSz w:w="11910" w:h="16840"/>
          <w:pgMar w:header="0" w:footer="938" w:top="1440" w:bottom="1200" w:left="900" w:right="880"/>
        </w:sectPr>
      </w:pPr>
    </w:p>
    <w:p>
      <w:pPr>
        <w:pStyle w:val="BodyText"/>
        <w:spacing w:line="295" w:lineRule="auto" w:before="38"/>
        <w:ind w:left="900" w:right="917"/>
        <w:jc w:val="both"/>
      </w:pPr>
      <w:r>
        <w:rPr>
          <w:spacing w:val="-3"/>
        </w:rPr>
        <w:t>行，在討論非行政處分是否妥適時，仍必須正面回應保障法上「行政處分」概念的問題。除非認為申訴、再申訴案件之性質皆非行政處分，才會進一步認為再申訴案件可能不宜適用停止執行。即使在非行政處分的情形，仍應建構完整的暫時性權利保護。保障法上目前讓行政處分與非行政處分之情形皆一體適用停止執行之作法，若從「達到具有實效之暫時權利保護」的角度而言，或許是制度上的妥</w:t>
      </w:r>
      <w:r>
        <w:rPr/>
        <w:t>協，尚非不可。</w:t>
      </w:r>
    </w:p>
    <w:p>
      <w:pPr>
        <w:pStyle w:val="BodyText"/>
        <w:spacing w:before="1"/>
        <w:rPr>
          <w:sz w:val="30"/>
        </w:rPr>
      </w:pPr>
    </w:p>
    <w:p>
      <w:pPr>
        <w:pStyle w:val="BodyText"/>
        <w:spacing w:line="295" w:lineRule="auto" w:before="1"/>
        <w:ind w:left="900" w:right="796" w:firstLine="480"/>
      </w:pPr>
      <w:r>
        <w:rPr>
          <w:spacing w:val="-1"/>
        </w:rPr>
        <w:t>現行保障法僅針對「撤銷型事件」訂有停止執行原措施或處置之規定，並不</w:t>
      </w:r>
      <w:r>
        <w:rPr>
          <w:spacing w:val="-15"/>
        </w:rPr>
        <w:t>足夠。從完善的暫時權利保護而觀，未來應針對「給付型事件、」增訂「假處分」</w:t>
      </w:r>
      <w:r>
        <w:rPr/>
        <w:t>之規定，以符合各種案型暫時權利保護的需求。</w:t>
      </w:r>
    </w:p>
    <w:p>
      <w:pPr>
        <w:spacing w:after="0" w:line="295" w:lineRule="auto"/>
        <w:sectPr>
          <w:pgSz w:w="11910" w:h="16840"/>
          <w:pgMar w:header="0" w:footer="938" w:top="1440" w:bottom="1200" w:left="900" w:right="880"/>
        </w:sectPr>
      </w:pPr>
    </w:p>
    <w:p>
      <w:pPr>
        <w:pStyle w:val="BodyText"/>
        <w:spacing w:before="6"/>
        <w:rPr>
          <w:sz w:val="21"/>
        </w:rPr>
      </w:pPr>
    </w:p>
    <w:p>
      <w:pPr>
        <w:pStyle w:val="Heading1"/>
        <w:tabs>
          <w:tab w:pos="2180" w:val="left" w:leader="none"/>
        </w:tabs>
      </w:pPr>
      <w:bookmarkStart w:name="_TOC_250011" w:id="28"/>
      <w:bookmarkEnd w:id="28"/>
      <w:r>
        <w:rPr/>
        <w:t>第五章</w:t>
        <w:tab/>
        <w:t>結論與修法建議</w:t>
      </w:r>
    </w:p>
    <w:p>
      <w:pPr>
        <w:pStyle w:val="BodyText"/>
        <w:rPr>
          <w:b/>
          <w:sz w:val="32"/>
        </w:rPr>
      </w:pPr>
    </w:p>
    <w:p>
      <w:pPr>
        <w:pStyle w:val="BodyText"/>
        <w:spacing w:before="1"/>
        <w:rPr>
          <w:b/>
          <w:sz w:val="28"/>
        </w:rPr>
      </w:pPr>
    </w:p>
    <w:p>
      <w:pPr>
        <w:pStyle w:val="Heading2"/>
        <w:tabs>
          <w:tab w:pos="2020" w:val="left" w:leader="none"/>
        </w:tabs>
        <w:spacing w:before="1"/>
      </w:pPr>
      <w:bookmarkStart w:name="_TOC_250010" w:id="29"/>
      <w:r>
        <w:rPr/>
        <w:t>第一節</w:t>
        <w:tab/>
      </w:r>
      <w:bookmarkEnd w:id="29"/>
      <w:r>
        <w:rPr>
          <w:w w:val="95"/>
        </w:rPr>
        <w:t>結論</w:t>
      </w:r>
    </w:p>
    <w:p>
      <w:pPr>
        <w:pStyle w:val="BodyText"/>
        <w:spacing w:before="4"/>
        <w:rPr>
          <w:b/>
          <w:sz w:val="27"/>
        </w:rPr>
      </w:pPr>
    </w:p>
    <w:p>
      <w:pPr>
        <w:pStyle w:val="BodyText"/>
        <w:spacing w:line="295" w:lineRule="auto"/>
        <w:ind w:left="900" w:right="909" w:firstLine="480"/>
        <w:jc w:val="both"/>
      </w:pPr>
      <w:r>
        <w:rPr>
          <w:spacing w:val="-3"/>
        </w:rPr>
        <w:t>特別權力關係理論下對公務人員之救濟程序，基於基礎關係與經營關係之不同而區分為復審程序與申訴、再申訴程序；隨著釋字第 </w:t>
      </w:r>
      <w:r>
        <w:rPr>
          <w:rFonts w:ascii="Times New Roman" w:hAnsi="Times New Roman" w:eastAsia="Times New Roman"/>
          <w:spacing w:val="-2"/>
        </w:rPr>
        <w:t>684</w:t>
      </w:r>
      <w:r>
        <w:rPr>
          <w:rFonts w:ascii="Times New Roman" w:hAnsi="Times New Roman" w:eastAsia="Times New Roman"/>
          <w:spacing w:val="-10"/>
        </w:rPr>
        <w:t> </w:t>
      </w:r>
      <w:r>
        <w:rPr>
          <w:spacing w:val="-2"/>
        </w:rPr>
        <w:t>號解釋的出爐，再次</w:t>
      </w:r>
      <w:r>
        <w:rPr>
          <w:spacing w:val="-3"/>
        </w:rPr>
        <w:t>突破特別權力關係之藩籬，早期根據內部法律關係與外部法律關係之差異而設計</w:t>
      </w:r>
      <w:r>
        <w:rPr/>
        <w:t>之二元救濟體系──復審程序與再申訴程序，其間之區別如今早已日益模糊，</w:t>
      </w:r>
      <w:r>
        <w:rPr>
          <w:spacing w:val="1"/>
        </w:rPr>
        <w:t> </w:t>
      </w:r>
      <w:r>
        <w:rPr>
          <w:spacing w:val="-3"/>
        </w:rPr>
        <w:t>惟，倘若驟將公務人員救濟程序由二元化的制度設計改為一元化，必須評估制度轉變所帶來之衝擊，故本文建議在維持目前二元化救濟制度之前提下，並兼顧公務人員權利救濟之實效性，宜站在強化公務人員保障程序之出發點，使公務人員</w:t>
      </w:r>
      <w:r>
        <w:rPr/>
        <w:t>針對有瑕疵但已經確定之再申訴事件，亦得提起再審議以尋求救濟。</w:t>
      </w:r>
    </w:p>
    <w:p>
      <w:pPr>
        <w:pStyle w:val="BodyText"/>
        <w:spacing w:before="3"/>
        <w:rPr>
          <w:sz w:val="30"/>
        </w:rPr>
      </w:pPr>
    </w:p>
    <w:p>
      <w:pPr>
        <w:pStyle w:val="BodyText"/>
        <w:spacing w:line="295" w:lineRule="auto" w:before="1"/>
        <w:ind w:left="899" w:right="856" w:firstLine="480"/>
        <w:jc w:val="both"/>
      </w:pPr>
      <w:r>
        <w:rPr>
          <w:spacing w:val="-2"/>
        </w:rPr>
        <w:t>由於透過爭訟裁決以外之途徑解決紛爭具有迅速解決紛爭、較低成本、避免遺留難以彌平之裂痕等優點，因此在近年來日益受到重視，另因復審程序以及未來可能產生的行政訴訟，其所耗費的時間、精力等成本均非常可觀，更須慮及往後公務人員在服務機關內繼續服務之影響，因此，透過保障法之調處制度，不僅</w:t>
      </w:r>
      <w:r>
        <w:rPr>
          <w:spacing w:val="-1"/>
        </w:rPr>
        <w:t>可以解決公務人員與服務機關間之紛爭，亦有助於舒緩兩者間緊張之對立關係，</w:t>
      </w:r>
      <w:r>
        <w:rPr>
          <w:spacing w:val="-60"/>
        </w:rPr>
        <w:t> </w:t>
      </w:r>
      <w:r>
        <w:rPr>
          <w:spacing w:val="-2"/>
        </w:rPr>
        <w:t>並兼顧公務人員權益之保障。至於有論者質疑調處成立契約的合法性及調處成立契約範圍問題，相信在保訓會的主導、監督下，應可避免公務人員與服務機關濫</w:t>
      </w:r>
      <w:r>
        <w:rPr/>
        <w:t>用調處成立契約而破壞人事行政體系，並兼顧依法行政原則及公務人員權益保障，因此，本文建議保障法第五章之調處程序應將復審事件一併納入。</w:t>
      </w:r>
    </w:p>
    <w:p>
      <w:pPr>
        <w:pStyle w:val="BodyText"/>
        <w:spacing w:before="5"/>
        <w:rPr>
          <w:sz w:val="30"/>
        </w:rPr>
      </w:pPr>
    </w:p>
    <w:p>
      <w:pPr>
        <w:pStyle w:val="BodyText"/>
        <w:spacing w:line="295" w:lineRule="auto"/>
        <w:ind w:left="900" w:right="910" w:firstLine="480"/>
        <w:jc w:val="both"/>
      </w:pPr>
      <w:r>
        <w:rPr/>
        <w:t>以目前保障法之規定，而讓復審與申訴、再申訴之案件皆得以適用停止執</w:t>
      </w:r>
      <w:r>
        <w:rPr>
          <w:spacing w:val="-3"/>
        </w:rPr>
        <w:t>行，在討論非行政處分是否妥適時，仍必須正面回應保障法上「行政處分」概念的問題。除非認為申訴、再申訴案件之性質皆非行政處分，才會進一步認為再申訴案件可能不宜適用停止執行。即使在非行政處分的情形，仍應建構完整的暫時性權利保護。保障法上目前讓行政處分與非行政處分之情形皆一體適用停止執行之作法，若從「達到具有實效之暫時權利保護」的角度而言，或許是制度上的妥</w:t>
      </w:r>
      <w:r>
        <w:rPr/>
        <w:t>協，尚非不可。</w:t>
      </w:r>
    </w:p>
    <w:p>
      <w:pPr>
        <w:spacing w:after="0" w:line="295" w:lineRule="auto"/>
        <w:jc w:val="both"/>
        <w:sectPr>
          <w:pgSz w:w="11910" w:h="16840"/>
          <w:pgMar w:header="0" w:footer="938" w:top="1600" w:bottom="1200" w:left="900" w:right="880"/>
        </w:sectPr>
      </w:pPr>
    </w:p>
    <w:p>
      <w:pPr>
        <w:pStyle w:val="BodyText"/>
        <w:spacing w:line="295" w:lineRule="auto" w:before="38"/>
        <w:ind w:left="900" w:right="822" w:firstLine="480"/>
      </w:pPr>
      <w:r>
        <w:rPr>
          <w:spacing w:val="-1"/>
        </w:rPr>
        <w:t>現行保障法僅針對「撤銷型事件」定有停止執行原措施或處置之規定，並不足夠。從完善的暫時權利保護而觀，未來應針對「給付型事件」增訂「假處分」</w:t>
      </w:r>
      <w:r>
        <w:rPr/>
        <w:t>之規定，以符合各種案型暫時權利保護的需求。</w:t>
      </w:r>
    </w:p>
    <w:p>
      <w:pPr>
        <w:pStyle w:val="BodyText"/>
        <w:spacing w:before="3"/>
        <w:rPr>
          <w:sz w:val="22"/>
        </w:rPr>
      </w:pPr>
    </w:p>
    <w:p>
      <w:pPr>
        <w:pStyle w:val="Heading2"/>
        <w:tabs>
          <w:tab w:pos="2020" w:val="left" w:leader="none"/>
        </w:tabs>
      </w:pPr>
      <w:bookmarkStart w:name="_TOC_250009" w:id="30"/>
      <w:r>
        <w:rPr/>
        <w:t>第二節</w:t>
        <w:tab/>
      </w:r>
      <w:bookmarkEnd w:id="30"/>
      <w:r>
        <w:rPr>
          <w:w w:val="95"/>
        </w:rPr>
        <w:t>修法建議</w:t>
      </w:r>
    </w:p>
    <w:p>
      <w:pPr>
        <w:pStyle w:val="BodyText"/>
        <w:rPr>
          <w:b/>
          <w:sz w:val="28"/>
        </w:rPr>
      </w:pPr>
    </w:p>
    <w:p>
      <w:pPr>
        <w:pStyle w:val="BodyText"/>
        <w:spacing w:before="2"/>
        <w:rPr>
          <w:b/>
          <w:sz w:val="23"/>
        </w:rPr>
      </w:pPr>
    </w:p>
    <w:p>
      <w:pPr>
        <w:pStyle w:val="Heading3"/>
        <w:rPr>
          <w:rFonts w:ascii="新細明體" w:eastAsia="新細明體" w:hint="eastAsia"/>
        </w:rPr>
      </w:pPr>
      <w:bookmarkStart w:name="_TOC_250008" w:id="31"/>
      <w:bookmarkEnd w:id="31"/>
      <w:r>
        <w:rPr>
          <w:rFonts w:ascii="新細明體" w:eastAsia="新細明體" w:hint="eastAsia"/>
          <w:w w:val="95"/>
        </w:rPr>
        <w:t>一、再申訴決定確定後進行再審議制度之修法建議</w:t>
      </w:r>
    </w:p>
    <w:p>
      <w:pPr>
        <w:pStyle w:val="BodyText"/>
        <w:spacing w:before="8" w:after="1"/>
        <w:rPr>
          <w:b/>
          <w:sz w:val="2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9936" w:hRule="atLeast"/>
        </w:trPr>
        <w:tc>
          <w:tcPr>
            <w:tcW w:w="3295" w:type="dxa"/>
          </w:tcPr>
          <w:p>
            <w:pPr>
              <w:pStyle w:val="TableParagraph"/>
              <w:tabs>
                <w:tab w:pos="987" w:val="left" w:leader="none"/>
              </w:tabs>
              <w:spacing w:line="295" w:lineRule="auto"/>
              <w:ind w:left="46" w:right="1575" w:hanging="20"/>
              <w:rPr>
                <w:sz w:val="24"/>
              </w:rPr>
            </w:pPr>
            <w:r>
              <w:rPr>
                <w:sz w:val="24"/>
              </w:rPr>
              <w:t>第七章</w:t>
              <w:tab/>
            </w:r>
            <w:r>
              <w:rPr>
                <w:spacing w:val="-2"/>
                <w:sz w:val="24"/>
              </w:rPr>
              <w:t>再</w:t>
            </w:r>
            <w:r>
              <w:rPr>
                <w:spacing w:val="-1"/>
                <w:sz w:val="24"/>
              </w:rPr>
              <w:t>審議</w:t>
            </w:r>
            <w:r>
              <w:rPr>
                <w:sz w:val="24"/>
              </w:rPr>
              <w:t>第九十四條</w:t>
            </w:r>
          </w:p>
          <w:p>
            <w:pPr>
              <w:pStyle w:val="TableParagraph"/>
              <w:spacing w:line="295" w:lineRule="auto" w:before="2"/>
              <w:ind w:right="-15" w:firstLine="480"/>
              <w:jc w:val="both"/>
              <w:rPr>
                <w:rFonts w:ascii="細明體" w:eastAsia="細明體" w:hint="eastAsia"/>
                <w:sz w:val="24"/>
              </w:rPr>
            </w:pPr>
            <w:r>
              <w:rPr>
                <w:rFonts w:ascii="細明體" w:eastAsia="細明體" w:hint="eastAsia"/>
                <w:spacing w:val="12"/>
                <w:sz w:val="24"/>
              </w:rPr>
              <w:t>復審事件</w:t>
            </w:r>
            <w:r>
              <w:rPr>
                <w:rFonts w:ascii="標楷體" w:eastAsia="標楷體" w:hint="eastAsia"/>
                <w:spacing w:val="12"/>
                <w:sz w:val="24"/>
                <w:u w:val="thick"/>
              </w:rPr>
              <w:t>或再申訴事件</w:t>
            </w:r>
            <w:r>
              <w:rPr>
                <w:rFonts w:ascii="細明體" w:eastAsia="細明體" w:hint="eastAsia"/>
                <w:sz w:val="24"/>
              </w:rPr>
              <w:t>經保訓會審議決定，除復審人已</w:t>
            </w:r>
            <w:r>
              <w:rPr>
                <w:rFonts w:ascii="細明體" w:eastAsia="細明體" w:hint="eastAsia"/>
                <w:spacing w:val="31"/>
                <w:sz w:val="24"/>
              </w:rPr>
              <w:t>依法向司法機關請求救濟者</w:t>
            </w:r>
            <w:r>
              <w:rPr>
                <w:rFonts w:ascii="細明體" w:eastAsia="細明體" w:hint="eastAsia"/>
                <w:sz w:val="24"/>
              </w:rPr>
              <w:t>外，</w:t>
            </w:r>
            <w:r>
              <w:rPr>
                <w:rFonts w:ascii="標楷體" w:eastAsia="標楷體" w:hint="eastAsia"/>
                <w:spacing w:val="6"/>
                <w:sz w:val="24"/>
                <w:u w:val="thick"/>
              </w:rPr>
              <w:t>復審人</w:t>
            </w:r>
            <w:r>
              <w:rPr>
                <w:rFonts w:ascii="細明體" w:eastAsia="細明體" w:hint="eastAsia"/>
                <w:sz w:val="24"/>
              </w:rPr>
              <w:t>於復審決定確定後</w:t>
            </w:r>
            <w:r>
              <w:rPr>
                <w:rFonts w:ascii="標楷體" w:eastAsia="標楷體" w:hint="eastAsia"/>
                <w:sz w:val="24"/>
                <w:u w:val="thick"/>
              </w:rPr>
              <w:t>或再申訴人於再申訴決定送達後</w:t>
            </w:r>
            <w:r>
              <w:rPr>
                <w:rFonts w:ascii="細明體" w:eastAsia="細明體" w:hint="eastAsia"/>
                <w:sz w:val="24"/>
              </w:rPr>
              <w:t>，有下列情形之一者，原處</w:t>
            </w:r>
            <w:r>
              <w:rPr>
                <w:rFonts w:ascii="細明體" w:eastAsia="細明體" w:hint="eastAsia"/>
                <w:spacing w:val="-222"/>
                <w:sz w:val="24"/>
              </w:rPr>
              <w:t>分機</w:t>
            </w:r>
            <w:r>
              <w:rPr>
                <w:rFonts w:ascii="細明體" w:eastAsia="細明體" w:hint="eastAsia"/>
                <w:sz w:val="24"/>
              </w:rPr>
              <w:t>關</w:t>
            </w:r>
            <w:r>
              <w:rPr>
                <w:rFonts w:ascii="標楷體" w:eastAsia="標楷體" w:hint="eastAsia"/>
                <w:spacing w:val="1"/>
                <w:sz w:val="24"/>
                <w:u w:val="thick"/>
              </w:rPr>
              <w:t>、復審人或再申訴人</w:t>
            </w:r>
            <w:r>
              <w:rPr>
                <w:rFonts w:ascii="細明體" w:eastAsia="細明體" w:hint="eastAsia"/>
                <w:sz w:val="24"/>
              </w:rPr>
              <w:t>得向保訓會申請再審議：</w:t>
            </w:r>
          </w:p>
          <w:p>
            <w:pPr>
              <w:pStyle w:val="TableParagraph"/>
              <w:tabs>
                <w:tab w:pos="507" w:val="left" w:leader="none"/>
              </w:tabs>
              <w:spacing w:before="10"/>
              <w:rPr>
                <w:rFonts w:ascii="細明體" w:hAnsi="細明體" w:eastAsia="細明體" w:hint="eastAsia"/>
                <w:sz w:val="24"/>
              </w:rPr>
            </w:pPr>
            <w:r>
              <w:rPr>
                <w:rFonts w:ascii="細明體" w:hAnsi="細明體" w:eastAsia="細明體" w:hint="eastAsia"/>
                <w:sz w:val="24"/>
              </w:rPr>
              <w:t>—</w:t>
              <w:tab/>
              <w:t>適用法規顯有錯誤者。</w:t>
            </w:r>
          </w:p>
          <w:p>
            <w:pPr>
              <w:pStyle w:val="TableParagraph"/>
              <w:spacing w:line="295" w:lineRule="auto" w:before="78"/>
              <w:ind w:left="471" w:right="9" w:hanging="444"/>
              <w:rPr>
                <w:rFonts w:ascii="細明體" w:eastAsia="細明體" w:hint="eastAsia"/>
                <w:sz w:val="24"/>
              </w:rPr>
            </w:pPr>
            <w:r>
              <w:rPr>
                <w:rFonts w:ascii="細明體" w:eastAsia="細明體" w:hint="eastAsia"/>
                <w:spacing w:val="6"/>
                <w:sz w:val="24"/>
              </w:rPr>
              <w:t>二 決定理由與主文顯有矛盾</w:t>
            </w:r>
            <w:r>
              <w:rPr>
                <w:rFonts w:ascii="細明體" w:eastAsia="細明體" w:hint="eastAsia"/>
                <w:sz w:val="24"/>
              </w:rPr>
              <w:t>者。</w:t>
            </w:r>
          </w:p>
          <w:p>
            <w:pPr>
              <w:pStyle w:val="TableParagraph"/>
              <w:tabs>
                <w:tab w:pos="597" w:val="left" w:leader="none"/>
              </w:tabs>
              <w:spacing w:line="295" w:lineRule="auto" w:before="2"/>
              <w:ind w:right="-15"/>
              <w:rPr>
                <w:rFonts w:ascii="細明體" w:eastAsia="細明體" w:hint="eastAsia"/>
                <w:sz w:val="24"/>
              </w:rPr>
            </w:pPr>
            <w:r>
              <w:rPr>
                <w:rFonts w:ascii="細明體" w:eastAsia="細明體" w:hint="eastAsia"/>
                <w:sz w:val="24"/>
              </w:rPr>
              <w:t>三</w:t>
              <w:tab/>
            </w:r>
            <w:r>
              <w:rPr>
                <w:rFonts w:ascii="細明體" w:eastAsia="細明體" w:hint="eastAsia"/>
                <w:spacing w:val="30"/>
                <w:sz w:val="24"/>
              </w:rPr>
              <w:t>決定機關之組織不合</w:t>
            </w:r>
            <w:r>
              <w:rPr>
                <w:rFonts w:ascii="細明體" w:eastAsia="細明體" w:hint="eastAsia"/>
                <w:spacing w:val="13"/>
                <w:sz w:val="24"/>
              </w:rPr>
              <w:t>法</w:t>
            </w:r>
            <w:r>
              <w:rPr>
                <w:rFonts w:ascii="細明體" w:eastAsia="細明體" w:hint="eastAsia"/>
                <w:sz w:val="24"/>
              </w:rPr>
              <w:t>者。</w:t>
            </w:r>
          </w:p>
          <w:p>
            <w:pPr>
              <w:pStyle w:val="TableParagraph"/>
              <w:spacing w:line="295" w:lineRule="auto" w:before="3"/>
              <w:ind w:left="471" w:right="9" w:hanging="444"/>
              <w:jc w:val="both"/>
              <w:rPr>
                <w:rFonts w:ascii="細明體" w:eastAsia="細明體" w:hint="eastAsia"/>
                <w:sz w:val="24"/>
              </w:rPr>
            </w:pPr>
            <w:r>
              <w:rPr>
                <w:rFonts w:ascii="細明體" w:eastAsia="細明體" w:hint="eastAsia"/>
                <w:spacing w:val="6"/>
                <w:sz w:val="24"/>
              </w:rPr>
              <w:t>四 依本法應迴避之委員參與</w:t>
            </w:r>
            <w:r>
              <w:rPr>
                <w:rFonts w:ascii="細明體" w:eastAsia="細明體" w:hint="eastAsia"/>
                <w:sz w:val="24"/>
              </w:rPr>
              <w:t>決定者。</w:t>
            </w:r>
          </w:p>
          <w:p>
            <w:pPr>
              <w:pStyle w:val="TableParagraph"/>
              <w:spacing w:line="295" w:lineRule="auto" w:before="2"/>
              <w:ind w:left="471" w:right="9" w:hanging="444"/>
              <w:jc w:val="both"/>
              <w:rPr>
                <w:rFonts w:ascii="細明體" w:eastAsia="細明體" w:hint="eastAsia"/>
                <w:sz w:val="24"/>
              </w:rPr>
            </w:pPr>
            <w:r>
              <w:rPr>
                <w:rFonts w:ascii="細明體" w:eastAsia="細明體" w:hint="eastAsia"/>
                <w:spacing w:val="6"/>
                <w:sz w:val="24"/>
              </w:rPr>
              <w:t>五 參與決定之委員關於該復</w:t>
            </w:r>
            <w:r>
              <w:rPr>
                <w:rFonts w:ascii="細明體" w:eastAsia="細明體" w:hint="eastAsia"/>
                <w:spacing w:val="-7"/>
                <w:sz w:val="24"/>
              </w:rPr>
              <w:t>審事件違背職務，犯刑事上</w:t>
            </w:r>
            <w:r>
              <w:rPr>
                <w:rFonts w:ascii="細明體" w:eastAsia="細明體" w:hint="eastAsia"/>
                <w:sz w:val="24"/>
              </w:rPr>
              <w:t>之罪者。</w:t>
            </w:r>
          </w:p>
          <w:p>
            <w:pPr>
              <w:pStyle w:val="TableParagraph"/>
              <w:spacing w:line="295" w:lineRule="auto" w:before="4"/>
              <w:ind w:left="471" w:right="9" w:hanging="444"/>
              <w:jc w:val="both"/>
              <w:rPr>
                <w:rFonts w:ascii="細明體" w:eastAsia="細明體" w:hint="eastAsia"/>
                <w:sz w:val="24"/>
              </w:rPr>
            </w:pPr>
            <w:r>
              <w:rPr>
                <w:rFonts w:ascii="細明體" w:eastAsia="細明體" w:hint="eastAsia"/>
                <w:spacing w:val="6"/>
                <w:sz w:val="24"/>
              </w:rPr>
              <w:t>六 復審或再申訴之代理人或</w:t>
            </w:r>
            <w:r>
              <w:rPr>
                <w:rFonts w:ascii="細明體" w:eastAsia="細明體" w:hint="eastAsia"/>
                <w:spacing w:val="-7"/>
                <w:sz w:val="24"/>
              </w:rPr>
              <w:t>代表人，關於該復審有刑事上應罰之行為，影響於決定</w:t>
            </w:r>
          </w:p>
          <w:p>
            <w:pPr>
              <w:pStyle w:val="TableParagraph"/>
              <w:spacing w:before="3"/>
              <w:ind w:left="471"/>
              <w:rPr>
                <w:rFonts w:ascii="標楷體" w:eastAsia="標楷體" w:hint="eastAsia"/>
                <w:sz w:val="24"/>
              </w:rPr>
            </w:pPr>
            <w:r>
              <w:rPr>
                <w:rFonts w:ascii="細明體" w:eastAsia="細明體" w:hint="eastAsia"/>
                <w:sz w:val="24"/>
              </w:rPr>
              <w:t>者</w:t>
            </w:r>
            <w:r>
              <w:rPr>
                <w:rFonts w:ascii="標楷體" w:eastAsia="標楷體" w:hint="eastAsia"/>
                <w:sz w:val="24"/>
                <w:u w:val="thick"/>
              </w:rPr>
              <w:t>。</w:t>
            </w:r>
          </w:p>
        </w:tc>
        <w:tc>
          <w:tcPr>
            <w:tcW w:w="3295" w:type="dxa"/>
          </w:tcPr>
          <w:p>
            <w:pPr>
              <w:pStyle w:val="TableParagraph"/>
              <w:tabs>
                <w:tab w:pos="987" w:val="left" w:leader="none"/>
              </w:tabs>
              <w:spacing w:line="295" w:lineRule="auto"/>
              <w:ind w:left="46" w:right="1575" w:hanging="20"/>
              <w:rPr>
                <w:sz w:val="24"/>
              </w:rPr>
            </w:pPr>
            <w:r>
              <w:rPr>
                <w:sz w:val="24"/>
              </w:rPr>
              <w:t>第七章</w:t>
              <w:tab/>
            </w:r>
            <w:r>
              <w:rPr>
                <w:spacing w:val="-2"/>
                <w:sz w:val="24"/>
              </w:rPr>
              <w:t>再</w:t>
            </w:r>
            <w:r>
              <w:rPr>
                <w:spacing w:val="-1"/>
                <w:sz w:val="24"/>
              </w:rPr>
              <w:t>審議</w:t>
            </w:r>
            <w:r>
              <w:rPr>
                <w:sz w:val="24"/>
              </w:rPr>
              <w:t>第九十四條</w:t>
            </w:r>
          </w:p>
          <w:p>
            <w:pPr>
              <w:pStyle w:val="TableParagraph"/>
              <w:spacing w:line="295" w:lineRule="auto" w:before="2"/>
              <w:ind w:right="3" w:firstLine="480"/>
              <w:jc w:val="both"/>
              <w:rPr>
                <w:rFonts w:ascii="細明體" w:eastAsia="細明體" w:hint="eastAsia"/>
                <w:sz w:val="24"/>
              </w:rPr>
            </w:pPr>
            <w:r>
              <w:rPr>
                <w:rFonts w:ascii="細明體" w:eastAsia="細明體" w:hint="eastAsia"/>
                <w:spacing w:val="10"/>
                <w:sz w:val="24"/>
              </w:rPr>
              <w:t>復審事件經保訓會審議決</w:t>
            </w:r>
            <w:r>
              <w:rPr>
                <w:rFonts w:ascii="細明體" w:eastAsia="細明體" w:hint="eastAsia"/>
                <w:spacing w:val="-12"/>
                <w:sz w:val="24"/>
              </w:rPr>
              <w:t>定，除復審人已依法向司法機關請求救濟者外，於復審決定確定後，有下列情形之一者，原處分</w:t>
            </w:r>
            <w:r>
              <w:rPr>
                <w:rFonts w:ascii="細明體" w:eastAsia="細明體" w:hint="eastAsia"/>
                <w:sz w:val="24"/>
              </w:rPr>
              <w:t>機關或復審人得向保訓會申請再審議：</w:t>
            </w:r>
          </w:p>
          <w:p>
            <w:pPr>
              <w:pStyle w:val="TableParagraph"/>
              <w:tabs>
                <w:tab w:pos="507" w:val="left" w:leader="none"/>
              </w:tabs>
              <w:spacing w:before="7"/>
              <w:rPr>
                <w:rFonts w:ascii="細明體" w:hAnsi="細明體" w:eastAsia="細明體" w:hint="eastAsia"/>
                <w:sz w:val="24"/>
              </w:rPr>
            </w:pPr>
            <w:r>
              <w:rPr>
                <w:rFonts w:ascii="細明體" w:hAnsi="細明體" w:eastAsia="細明體" w:hint="eastAsia"/>
                <w:sz w:val="24"/>
              </w:rPr>
              <w:t>—</w:t>
              <w:tab/>
              <w:t>適用法規顯有錯誤者。</w:t>
            </w:r>
          </w:p>
          <w:p>
            <w:pPr>
              <w:pStyle w:val="TableParagraph"/>
              <w:spacing w:line="295" w:lineRule="auto" w:before="79"/>
              <w:ind w:left="471" w:right="6" w:hanging="444"/>
              <w:rPr>
                <w:rFonts w:ascii="細明體" w:eastAsia="細明體" w:hint="eastAsia"/>
                <w:sz w:val="24"/>
              </w:rPr>
            </w:pPr>
            <w:r>
              <w:rPr>
                <w:rFonts w:ascii="細明體" w:eastAsia="細明體" w:hint="eastAsia"/>
                <w:spacing w:val="5"/>
                <w:sz w:val="24"/>
              </w:rPr>
              <w:t>二 決定理由與主文顯有矛盾</w:t>
            </w:r>
            <w:r>
              <w:rPr>
                <w:rFonts w:ascii="細明體" w:eastAsia="細明體" w:hint="eastAsia"/>
                <w:sz w:val="24"/>
              </w:rPr>
              <w:t>者。</w:t>
            </w:r>
          </w:p>
          <w:p>
            <w:pPr>
              <w:pStyle w:val="TableParagraph"/>
              <w:tabs>
                <w:tab w:pos="507" w:val="left" w:leader="none"/>
              </w:tabs>
              <w:spacing w:line="295" w:lineRule="auto" w:before="2"/>
              <w:ind w:right="-44"/>
              <w:rPr>
                <w:rFonts w:ascii="細明體" w:eastAsia="細明體" w:hint="eastAsia"/>
                <w:sz w:val="24"/>
              </w:rPr>
            </w:pPr>
            <w:r>
              <w:rPr>
                <w:rFonts w:ascii="細明體" w:eastAsia="細明體" w:hint="eastAsia"/>
                <w:sz w:val="24"/>
              </w:rPr>
              <w:t>三</w:t>
              <w:tab/>
            </w:r>
            <w:r>
              <w:rPr>
                <w:rFonts w:ascii="細明體" w:eastAsia="細明體" w:hint="eastAsia"/>
                <w:spacing w:val="-1"/>
                <w:sz w:val="24"/>
              </w:rPr>
              <w:t>決定機關之</w:t>
            </w:r>
            <w:r>
              <w:rPr>
                <w:rFonts w:ascii="細明體" w:eastAsia="細明體" w:hint="eastAsia"/>
                <w:sz w:val="24"/>
              </w:rPr>
              <w:t>組織不合法</w:t>
            </w:r>
            <w:r>
              <w:rPr>
                <w:rFonts w:ascii="細明體" w:eastAsia="細明體" w:hint="eastAsia"/>
                <w:spacing w:val="-60"/>
                <w:sz w:val="24"/>
              </w:rPr>
              <w:t>者</w:t>
            </w:r>
            <w:r>
              <w:rPr>
                <w:rFonts w:ascii="細明體" w:eastAsia="細明體" w:hint="eastAsia"/>
                <w:sz w:val="24"/>
              </w:rPr>
              <w:t>。四</w:t>
            </w:r>
            <w:r>
              <w:rPr>
                <w:rFonts w:ascii="細明體" w:eastAsia="細明體" w:hint="eastAsia"/>
                <w:spacing w:val="111"/>
                <w:sz w:val="24"/>
              </w:rPr>
              <w:t> </w:t>
            </w:r>
            <w:r>
              <w:rPr>
                <w:rFonts w:ascii="細明體" w:eastAsia="細明體" w:hint="eastAsia"/>
                <w:sz w:val="24"/>
              </w:rPr>
              <w:t>依本法應迴避之委員參與</w:t>
            </w:r>
          </w:p>
          <w:p>
            <w:pPr>
              <w:pStyle w:val="TableParagraph"/>
              <w:spacing w:before="2"/>
              <w:ind w:left="471"/>
              <w:rPr>
                <w:rFonts w:ascii="細明體" w:eastAsia="細明體" w:hint="eastAsia"/>
                <w:sz w:val="24"/>
              </w:rPr>
            </w:pPr>
            <w:r>
              <w:rPr>
                <w:rFonts w:ascii="細明體" w:eastAsia="細明體" w:hint="eastAsia"/>
                <w:sz w:val="24"/>
              </w:rPr>
              <w:t>決定者。</w:t>
            </w:r>
          </w:p>
          <w:p>
            <w:pPr>
              <w:pStyle w:val="TableParagraph"/>
              <w:spacing w:line="295" w:lineRule="auto" w:before="79"/>
              <w:ind w:left="471" w:right="6" w:hanging="444"/>
              <w:jc w:val="both"/>
              <w:rPr>
                <w:rFonts w:ascii="細明體" w:eastAsia="細明體" w:hint="eastAsia"/>
                <w:sz w:val="24"/>
              </w:rPr>
            </w:pPr>
            <w:r>
              <w:rPr>
                <w:rFonts w:ascii="細明體" w:eastAsia="細明體" w:hint="eastAsia"/>
                <w:spacing w:val="5"/>
                <w:sz w:val="24"/>
              </w:rPr>
              <w:t>五 參與決定之委員關於該復</w:t>
            </w:r>
            <w:r>
              <w:rPr>
                <w:rFonts w:ascii="細明體" w:eastAsia="細明體" w:hint="eastAsia"/>
                <w:spacing w:val="-7"/>
                <w:sz w:val="24"/>
              </w:rPr>
              <w:t>審事件違背職務，犯刑事上</w:t>
            </w:r>
            <w:r>
              <w:rPr>
                <w:rFonts w:ascii="細明體" w:eastAsia="細明體" w:hint="eastAsia"/>
                <w:sz w:val="24"/>
              </w:rPr>
              <w:t>之罪者。</w:t>
            </w:r>
          </w:p>
          <w:p>
            <w:pPr>
              <w:pStyle w:val="TableParagraph"/>
              <w:spacing w:line="295" w:lineRule="auto" w:before="3"/>
              <w:ind w:left="471" w:right="1" w:hanging="444"/>
              <w:jc w:val="both"/>
              <w:rPr>
                <w:rFonts w:ascii="細明體" w:eastAsia="細明體" w:hint="eastAsia"/>
                <w:sz w:val="24"/>
              </w:rPr>
            </w:pPr>
            <w:r>
              <w:rPr>
                <w:rFonts w:ascii="細明體" w:eastAsia="細明體" w:hint="eastAsia"/>
                <w:spacing w:val="-10"/>
                <w:sz w:val="24"/>
              </w:rPr>
              <w:t>六 復審之代理人或代表人，關</w:t>
            </w:r>
            <w:r>
              <w:rPr>
                <w:rFonts w:ascii="細明體" w:eastAsia="細明體" w:hint="eastAsia"/>
                <w:spacing w:val="13"/>
                <w:sz w:val="24"/>
              </w:rPr>
              <w:t>於該復審有刑事上應罰之</w:t>
            </w:r>
            <w:r>
              <w:rPr>
                <w:rFonts w:ascii="細明體" w:eastAsia="細明體" w:hint="eastAsia"/>
                <w:sz w:val="24"/>
              </w:rPr>
              <w:t>行為，影響於決定者。</w:t>
            </w:r>
          </w:p>
          <w:p>
            <w:pPr>
              <w:pStyle w:val="TableParagraph"/>
              <w:spacing w:line="295" w:lineRule="auto" w:before="4"/>
              <w:ind w:left="471" w:right="15" w:hanging="444"/>
              <w:jc w:val="both"/>
              <w:rPr>
                <w:rFonts w:ascii="細明體" w:eastAsia="細明體" w:hint="eastAsia"/>
                <w:sz w:val="24"/>
              </w:rPr>
            </w:pPr>
            <w:r>
              <w:rPr>
                <w:rFonts w:ascii="細明體" w:eastAsia="細明體" w:hint="eastAsia"/>
                <w:spacing w:val="-4"/>
                <w:sz w:val="24"/>
              </w:rPr>
              <w:t>七 證人、鑑定人或通譯就為決</w:t>
            </w:r>
            <w:r>
              <w:rPr>
                <w:rFonts w:ascii="細明體" w:eastAsia="細明體" w:hint="eastAsia"/>
                <w:spacing w:val="-8"/>
                <w:sz w:val="24"/>
              </w:rPr>
              <w:t>定基礎之證言、鑑定或通譯</w:t>
            </w:r>
            <w:r>
              <w:rPr>
                <w:rFonts w:ascii="細明體" w:eastAsia="細明體" w:hint="eastAsia"/>
                <w:sz w:val="24"/>
              </w:rPr>
              <w:t>為虛偽陳述者。</w:t>
            </w:r>
          </w:p>
          <w:p>
            <w:pPr>
              <w:pStyle w:val="TableParagraph"/>
              <w:spacing w:before="3"/>
              <w:jc w:val="both"/>
              <w:rPr>
                <w:rFonts w:ascii="細明體" w:eastAsia="細明體" w:hint="eastAsia"/>
                <w:sz w:val="24"/>
              </w:rPr>
            </w:pPr>
            <w:r>
              <w:rPr>
                <w:rFonts w:ascii="細明體" w:eastAsia="細明體" w:hint="eastAsia"/>
                <w:spacing w:val="-11"/>
                <w:sz w:val="24"/>
              </w:rPr>
              <w:t>八 為決定基礎之證物，係偽造</w:t>
            </w:r>
          </w:p>
        </w:tc>
        <w:tc>
          <w:tcPr>
            <w:tcW w:w="3296" w:type="dxa"/>
          </w:tcPr>
          <w:p>
            <w:pPr>
              <w:pStyle w:val="TableParagraph"/>
              <w:spacing w:line="295" w:lineRule="auto"/>
              <w:ind w:left="436" w:right="-15" w:hanging="408"/>
              <w:jc w:val="both"/>
              <w:rPr>
                <w:sz w:val="24"/>
              </w:rPr>
            </w:pPr>
            <w:r>
              <w:rPr>
                <w:spacing w:val="-12"/>
                <w:sz w:val="24"/>
              </w:rPr>
              <w:t>一、為使因送達應受送達人而確</w:t>
            </w:r>
            <w:r>
              <w:rPr>
                <w:spacing w:val="19"/>
                <w:sz w:val="24"/>
              </w:rPr>
              <w:t>定之再申訴決定得進行再</w:t>
            </w:r>
            <w:r>
              <w:rPr>
                <w:spacing w:val="-3"/>
                <w:sz w:val="24"/>
              </w:rPr>
              <w:t>審議制度，爰於本條第一項</w:t>
            </w:r>
            <w:r>
              <w:rPr>
                <w:spacing w:val="19"/>
                <w:sz w:val="24"/>
              </w:rPr>
              <w:t>本文增列再申訴事件經保</w:t>
            </w:r>
            <w:r>
              <w:rPr>
                <w:spacing w:val="-3"/>
                <w:sz w:val="24"/>
              </w:rPr>
              <w:t>訓會審議決定，再申訴人於再申訴決定送達後，有本法</w:t>
            </w:r>
            <w:r>
              <w:rPr>
                <w:spacing w:val="7"/>
                <w:sz w:val="24"/>
              </w:rPr>
              <w:t>第 </w:t>
            </w:r>
            <w:r>
              <w:rPr>
                <w:rFonts w:ascii="Times New Roman" w:eastAsia="Times New Roman"/>
                <w:sz w:val="24"/>
              </w:rPr>
              <w:t>94</w:t>
            </w:r>
            <w:r>
              <w:rPr>
                <w:rFonts w:ascii="Times New Roman" w:eastAsia="Times New Roman"/>
                <w:spacing w:val="18"/>
                <w:sz w:val="24"/>
              </w:rPr>
              <w:t> </w:t>
            </w:r>
            <w:r>
              <w:rPr>
                <w:spacing w:val="5"/>
                <w:sz w:val="24"/>
              </w:rPr>
              <w:t>條第 </w:t>
            </w:r>
            <w:r>
              <w:rPr>
                <w:rFonts w:ascii="Times New Roman" w:eastAsia="Times New Roman"/>
                <w:sz w:val="24"/>
              </w:rPr>
              <w:t>1</w:t>
            </w:r>
            <w:r>
              <w:rPr>
                <w:rFonts w:ascii="Times New Roman" w:eastAsia="Times New Roman"/>
                <w:spacing w:val="18"/>
                <w:sz w:val="24"/>
              </w:rPr>
              <w:t> </w:t>
            </w:r>
            <w:r>
              <w:rPr>
                <w:sz w:val="24"/>
              </w:rPr>
              <w:t>項所列各款情</w:t>
            </w:r>
            <w:r>
              <w:rPr>
                <w:spacing w:val="-3"/>
                <w:sz w:val="24"/>
              </w:rPr>
              <w:t>形之一者，原處分機關或再</w:t>
            </w:r>
            <w:r>
              <w:rPr>
                <w:spacing w:val="19"/>
                <w:sz w:val="24"/>
              </w:rPr>
              <w:t>申訴人得向保訓會申請再</w:t>
            </w:r>
            <w:r>
              <w:rPr>
                <w:sz w:val="24"/>
              </w:rPr>
              <w:t>審議。</w:t>
            </w:r>
          </w:p>
          <w:p>
            <w:pPr>
              <w:pStyle w:val="TableParagraph"/>
              <w:spacing w:line="295" w:lineRule="auto" w:before="12"/>
              <w:ind w:left="436" w:right="-15" w:hanging="425"/>
              <w:jc w:val="both"/>
              <w:rPr>
                <w:sz w:val="24"/>
              </w:rPr>
            </w:pPr>
            <w:r>
              <w:rPr>
                <w:spacing w:val="-11"/>
                <w:sz w:val="24"/>
              </w:rPr>
              <w:t>二、因再申訴之代理人或代表人</w:t>
            </w:r>
            <w:r>
              <w:rPr>
                <w:sz w:val="24"/>
              </w:rPr>
              <w:t>亦可能發生本條第 </w:t>
            </w:r>
            <w:r>
              <w:rPr>
                <w:rFonts w:ascii="Times New Roman" w:eastAsia="Times New Roman"/>
                <w:sz w:val="24"/>
              </w:rPr>
              <w:t>1</w:t>
            </w:r>
            <w:r>
              <w:rPr>
                <w:rFonts w:ascii="Times New Roman" w:eastAsia="Times New Roman"/>
                <w:spacing w:val="3"/>
                <w:sz w:val="24"/>
              </w:rPr>
              <w:t> </w:t>
            </w:r>
            <w:r>
              <w:rPr>
                <w:sz w:val="24"/>
              </w:rPr>
              <w:t>項第 </w:t>
            </w:r>
            <w:r>
              <w:rPr>
                <w:rFonts w:ascii="Times New Roman" w:eastAsia="Times New Roman"/>
                <w:sz w:val="24"/>
              </w:rPr>
              <w:t>6</w:t>
            </w:r>
            <w:r>
              <w:rPr>
                <w:rFonts w:ascii="Times New Roman" w:eastAsia="Times New Roman"/>
                <w:spacing w:val="-57"/>
                <w:sz w:val="24"/>
              </w:rPr>
              <w:t> </w:t>
            </w:r>
            <w:r>
              <w:rPr>
                <w:spacing w:val="19"/>
                <w:sz w:val="24"/>
              </w:rPr>
              <w:t>款之事由，爰於該款增訂</w:t>
            </w:r>
          </w:p>
          <w:p>
            <w:pPr>
              <w:pStyle w:val="TableParagraph"/>
              <w:spacing w:line="295" w:lineRule="auto" w:before="3"/>
              <w:ind w:left="436" w:right="-44"/>
              <w:rPr>
                <w:sz w:val="24"/>
              </w:rPr>
            </w:pPr>
            <w:r>
              <w:rPr>
                <w:spacing w:val="19"/>
                <w:sz w:val="24"/>
              </w:rPr>
              <w:t>「再申訴之代理人或代表</w:t>
            </w:r>
            <w:r>
              <w:rPr>
                <w:sz w:val="24"/>
              </w:rPr>
              <w:t>人有前述情形者，亦同。」</w:t>
            </w:r>
          </w:p>
        </w:tc>
      </w:tr>
    </w:tbl>
    <w:p>
      <w:pPr>
        <w:spacing w:after="0" w:line="295" w:lineRule="auto"/>
        <w:rPr>
          <w:sz w:val="24"/>
        </w:rPr>
        <w:sectPr>
          <w:pgSz w:w="11910" w:h="16840"/>
          <w:pgMar w:header="0" w:footer="938" w:top="1440" w:bottom="120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9936" w:hRule="atLeast"/>
        </w:trPr>
        <w:tc>
          <w:tcPr>
            <w:tcW w:w="3295" w:type="dxa"/>
          </w:tcPr>
          <w:p>
            <w:pPr>
              <w:pStyle w:val="TableParagraph"/>
              <w:spacing w:line="295" w:lineRule="auto"/>
              <w:ind w:left="471" w:right="9" w:hanging="444"/>
              <w:jc w:val="both"/>
              <w:rPr>
                <w:rFonts w:ascii="細明體" w:eastAsia="細明體" w:hint="eastAsia"/>
                <w:sz w:val="24"/>
              </w:rPr>
            </w:pPr>
            <w:r>
              <w:rPr>
                <w:rFonts w:ascii="細明體" w:eastAsia="細明體" w:hint="eastAsia"/>
                <w:spacing w:val="6"/>
                <w:sz w:val="24"/>
              </w:rPr>
              <w:t>七 證人、鑑定人或通譯就為</w:t>
            </w:r>
            <w:r>
              <w:rPr>
                <w:rFonts w:ascii="細明體" w:eastAsia="細明體" w:hint="eastAsia"/>
                <w:spacing w:val="-7"/>
                <w:sz w:val="24"/>
              </w:rPr>
              <w:t>決定基礎之證言、鑑定或通</w:t>
            </w:r>
            <w:r>
              <w:rPr>
                <w:rFonts w:ascii="細明體" w:eastAsia="細明體" w:hint="eastAsia"/>
                <w:sz w:val="24"/>
              </w:rPr>
              <w:t>譯為虛偽陳述者。</w:t>
            </w:r>
          </w:p>
          <w:p>
            <w:pPr>
              <w:pStyle w:val="TableParagraph"/>
              <w:spacing w:line="295" w:lineRule="auto" w:before="3"/>
              <w:ind w:left="471" w:right="9" w:hanging="444"/>
              <w:jc w:val="both"/>
              <w:rPr>
                <w:rFonts w:ascii="細明體" w:eastAsia="細明體" w:hint="eastAsia"/>
                <w:sz w:val="24"/>
              </w:rPr>
            </w:pPr>
            <w:r>
              <w:rPr>
                <w:rFonts w:ascii="細明體" w:eastAsia="細明體" w:hint="eastAsia"/>
                <w:spacing w:val="6"/>
                <w:sz w:val="24"/>
              </w:rPr>
              <w:t>八 為決定基礎之證物，係偽</w:t>
            </w:r>
            <w:r>
              <w:rPr>
                <w:rFonts w:ascii="細明體" w:eastAsia="細明體" w:hint="eastAsia"/>
                <w:sz w:val="24"/>
              </w:rPr>
              <w:t>造或變造者。</w:t>
            </w:r>
          </w:p>
          <w:p>
            <w:pPr>
              <w:pStyle w:val="TableParagraph"/>
              <w:spacing w:line="295" w:lineRule="auto" w:before="3"/>
              <w:ind w:left="471" w:right="1" w:hanging="444"/>
              <w:jc w:val="both"/>
              <w:rPr>
                <w:rFonts w:ascii="細明體" w:eastAsia="細明體" w:hint="eastAsia"/>
                <w:sz w:val="24"/>
              </w:rPr>
            </w:pPr>
            <w:r>
              <w:rPr>
                <w:rFonts w:ascii="細明體" w:eastAsia="細明體" w:hint="eastAsia"/>
                <w:spacing w:val="6"/>
                <w:sz w:val="24"/>
              </w:rPr>
              <w:t>九 為決定基礎之民事、刑事</w:t>
            </w:r>
            <w:r>
              <w:rPr>
                <w:rFonts w:ascii="細明體" w:eastAsia="細明體" w:hint="eastAsia"/>
                <w:spacing w:val="13"/>
                <w:sz w:val="24"/>
              </w:rPr>
              <w:t>或行政訴訟判決或行政處</w:t>
            </w:r>
            <w:r>
              <w:rPr>
                <w:rFonts w:ascii="細明體" w:eastAsia="細明體" w:hint="eastAsia"/>
                <w:spacing w:val="-7"/>
                <w:sz w:val="24"/>
              </w:rPr>
              <w:t>分，依其後之確定裁判或行</w:t>
            </w:r>
            <w:r>
              <w:rPr>
                <w:rFonts w:ascii="細明體" w:eastAsia="細明體" w:hint="eastAsia"/>
                <w:sz w:val="24"/>
              </w:rPr>
              <w:t>政處分已變更者。</w:t>
            </w:r>
          </w:p>
          <w:p>
            <w:pPr>
              <w:pStyle w:val="TableParagraph"/>
              <w:spacing w:line="295" w:lineRule="auto" w:before="5"/>
              <w:ind w:left="754" w:hanging="728"/>
              <w:jc w:val="both"/>
              <w:rPr>
                <w:rFonts w:ascii="細明體" w:hAnsi="細明體" w:eastAsia="細明體" w:hint="eastAsia"/>
                <w:sz w:val="24"/>
              </w:rPr>
            </w:pPr>
            <w:r>
              <w:rPr>
                <w:rFonts w:ascii="細明體" w:hAnsi="細明體" w:eastAsia="細明體" w:hint="eastAsia"/>
                <w:spacing w:val="18"/>
                <w:sz w:val="24"/>
              </w:rPr>
              <w:t>一</w:t>
            </w:r>
            <w:r>
              <w:rPr>
                <w:rFonts w:ascii="Times New Roman" w:hAnsi="Times New Roman" w:eastAsia="Times New Roman"/>
                <w:spacing w:val="18"/>
                <w:sz w:val="24"/>
              </w:rPr>
              <w:t>○ </w:t>
            </w:r>
            <w:r>
              <w:rPr>
                <w:rFonts w:ascii="細明體" w:hAnsi="細明體" w:eastAsia="細明體" w:hint="eastAsia"/>
                <w:spacing w:val="17"/>
                <w:sz w:val="24"/>
              </w:rPr>
              <w:t>發見未經斟酌之證物或</w:t>
            </w:r>
            <w:r>
              <w:rPr>
                <w:rFonts w:ascii="細明體" w:hAnsi="細明體" w:eastAsia="細明體" w:hint="eastAsia"/>
                <w:spacing w:val="12"/>
                <w:sz w:val="24"/>
              </w:rPr>
              <w:t>得使用該證物者。但以如經斟酌可受較有利益</w:t>
            </w:r>
            <w:r>
              <w:rPr>
                <w:rFonts w:ascii="細明體" w:hAnsi="細明體" w:eastAsia="細明體" w:hint="eastAsia"/>
                <w:sz w:val="24"/>
              </w:rPr>
              <w:t>之決定者為限。</w:t>
            </w:r>
          </w:p>
          <w:p>
            <w:pPr>
              <w:pStyle w:val="TableParagraph"/>
              <w:spacing w:line="295" w:lineRule="auto" w:before="4"/>
              <w:ind w:left="754" w:right="7" w:hanging="728"/>
              <w:jc w:val="both"/>
              <w:rPr>
                <w:rFonts w:ascii="細明體" w:eastAsia="細明體" w:hint="eastAsia"/>
                <w:sz w:val="24"/>
              </w:rPr>
            </w:pPr>
            <w:r>
              <w:rPr>
                <w:rFonts w:ascii="細明體" w:eastAsia="細明體" w:hint="eastAsia"/>
                <w:spacing w:val="6"/>
                <w:sz w:val="24"/>
              </w:rPr>
              <w:t>一一 原決定就足以影響於決</w:t>
            </w:r>
            <w:r>
              <w:rPr>
                <w:rFonts w:ascii="細明體" w:eastAsia="細明體" w:hint="eastAsia"/>
                <w:spacing w:val="10"/>
                <w:sz w:val="24"/>
              </w:rPr>
              <w:t>定之重要證物漏未斟酌</w:t>
            </w:r>
            <w:r>
              <w:rPr>
                <w:rFonts w:ascii="細明體" w:eastAsia="細明體" w:hint="eastAsia"/>
                <w:sz w:val="24"/>
              </w:rPr>
              <w:t>者。</w:t>
            </w:r>
          </w:p>
          <w:p>
            <w:pPr>
              <w:pStyle w:val="TableParagraph"/>
              <w:spacing w:line="295" w:lineRule="auto" w:before="4"/>
              <w:ind w:right="3" w:firstLine="480"/>
              <w:jc w:val="both"/>
              <w:rPr>
                <w:rFonts w:ascii="細明體" w:eastAsia="細明體" w:hint="eastAsia"/>
                <w:sz w:val="24"/>
              </w:rPr>
            </w:pPr>
            <w:r>
              <w:rPr>
                <w:rFonts w:ascii="細明體" w:eastAsia="細明體" w:hint="eastAsia"/>
                <w:spacing w:val="10"/>
                <w:sz w:val="24"/>
              </w:rPr>
              <w:t>前項申請於原行政處分、</w:t>
            </w:r>
            <w:r>
              <w:rPr>
                <w:rFonts w:ascii="細明體" w:eastAsia="細明體" w:hint="eastAsia"/>
                <w:sz w:val="24"/>
              </w:rPr>
              <w:t>原決定、原措施或處置執行完畢後，亦得為之。</w:t>
            </w:r>
          </w:p>
          <w:p>
            <w:pPr>
              <w:pStyle w:val="TableParagraph"/>
              <w:spacing w:line="295" w:lineRule="auto" w:before="3"/>
              <w:ind w:right="-15" w:firstLine="480"/>
              <w:jc w:val="both"/>
              <w:rPr>
                <w:rFonts w:ascii="細明體" w:eastAsia="細明體" w:hint="eastAsia"/>
                <w:sz w:val="24"/>
              </w:rPr>
            </w:pPr>
            <w:r>
              <w:rPr>
                <w:rFonts w:ascii="細明體" w:eastAsia="細明體" w:hint="eastAsia"/>
                <w:spacing w:val="12"/>
                <w:sz w:val="24"/>
              </w:rPr>
              <w:t>第一項第五款至第八款情</w:t>
            </w:r>
            <w:r>
              <w:rPr>
                <w:rFonts w:ascii="細明體" w:eastAsia="細明體" w:hint="eastAsia"/>
                <w:spacing w:val="31"/>
                <w:sz w:val="24"/>
              </w:rPr>
              <w:t>形，以宣告有罪之判決已確</w:t>
            </w:r>
            <w:r>
              <w:rPr>
                <w:rFonts w:ascii="細明體" w:eastAsia="細明體" w:hint="eastAsia"/>
                <w:sz w:val="24"/>
              </w:rPr>
              <w:t>定，或其刑事訴訟不能開始或續行非因證據不足者為限。</w:t>
            </w:r>
          </w:p>
        </w:tc>
        <w:tc>
          <w:tcPr>
            <w:tcW w:w="3295" w:type="dxa"/>
          </w:tcPr>
          <w:p>
            <w:pPr>
              <w:pStyle w:val="TableParagraph"/>
              <w:ind w:left="471"/>
              <w:rPr>
                <w:rFonts w:ascii="細明體" w:eastAsia="細明體" w:hint="eastAsia"/>
                <w:sz w:val="24"/>
              </w:rPr>
            </w:pPr>
            <w:r>
              <w:rPr>
                <w:rFonts w:ascii="細明體" w:eastAsia="細明體" w:hint="eastAsia"/>
                <w:sz w:val="24"/>
              </w:rPr>
              <w:t>或變造者。</w:t>
            </w:r>
          </w:p>
          <w:p>
            <w:pPr>
              <w:pStyle w:val="TableParagraph"/>
              <w:spacing w:line="295" w:lineRule="auto" w:before="78"/>
              <w:ind w:left="471" w:right="-29" w:hanging="444"/>
              <w:jc w:val="both"/>
              <w:rPr>
                <w:rFonts w:ascii="細明體" w:eastAsia="細明體" w:hint="eastAsia"/>
                <w:sz w:val="24"/>
              </w:rPr>
            </w:pPr>
            <w:r>
              <w:rPr>
                <w:rFonts w:ascii="細明體" w:eastAsia="細明體" w:hint="eastAsia"/>
                <w:spacing w:val="-11"/>
                <w:sz w:val="24"/>
              </w:rPr>
              <w:t>九 為決定基礎之民事、刑事或</w:t>
            </w:r>
            <w:r>
              <w:rPr>
                <w:rFonts w:ascii="細明體" w:eastAsia="細明體" w:hint="eastAsia"/>
                <w:spacing w:val="39"/>
                <w:sz w:val="24"/>
              </w:rPr>
              <w:t>行政訴訟判決或行政處</w:t>
            </w:r>
            <w:r>
              <w:rPr>
                <w:rFonts w:ascii="細明體" w:eastAsia="細明體" w:hint="eastAsia"/>
                <w:spacing w:val="-5"/>
                <w:sz w:val="24"/>
              </w:rPr>
              <w:t>分，依其後之確定裁判或行</w:t>
            </w:r>
            <w:r>
              <w:rPr>
                <w:rFonts w:ascii="細明體" w:eastAsia="細明體" w:hint="eastAsia"/>
                <w:sz w:val="24"/>
              </w:rPr>
              <w:t>政處分已變更者。</w:t>
            </w:r>
          </w:p>
          <w:p>
            <w:pPr>
              <w:pStyle w:val="TableParagraph"/>
              <w:spacing w:line="295" w:lineRule="auto" w:before="5"/>
              <w:ind w:left="754" w:right="-15" w:hanging="728"/>
              <w:jc w:val="both"/>
              <w:rPr>
                <w:rFonts w:ascii="細明體" w:hAnsi="細明體" w:eastAsia="細明體" w:hint="eastAsia"/>
                <w:sz w:val="24"/>
              </w:rPr>
            </w:pPr>
            <w:r>
              <w:rPr>
                <w:rFonts w:ascii="細明體" w:hAnsi="細明體" w:eastAsia="細明體" w:hint="eastAsia"/>
                <w:spacing w:val="18"/>
                <w:sz w:val="24"/>
              </w:rPr>
              <w:t>一</w:t>
            </w:r>
            <w:r>
              <w:rPr>
                <w:rFonts w:ascii="Times New Roman" w:hAnsi="Times New Roman" w:eastAsia="Times New Roman"/>
                <w:spacing w:val="18"/>
                <w:sz w:val="24"/>
              </w:rPr>
              <w:t>○ </w:t>
            </w:r>
            <w:r>
              <w:rPr>
                <w:rFonts w:ascii="細明體" w:hAnsi="細明體" w:eastAsia="細明體" w:hint="eastAsia"/>
                <w:spacing w:val="17"/>
                <w:sz w:val="24"/>
              </w:rPr>
              <w:t>發見未經斟酌之證物或</w:t>
            </w:r>
            <w:r>
              <w:rPr>
                <w:rFonts w:ascii="細明體" w:hAnsi="細明體" w:eastAsia="細明體" w:hint="eastAsia"/>
                <w:spacing w:val="12"/>
                <w:sz w:val="24"/>
              </w:rPr>
              <w:t>得使用該證物者。但以如經斟酌可受較有利益</w:t>
            </w:r>
            <w:r>
              <w:rPr>
                <w:rFonts w:ascii="細明體" w:hAnsi="細明體" w:eastAsia="細明體" w:hint="eastAsia"/>
                <w:sz w:val="24"/>
              </w:rPr>
              <w:t>之決定者為限。</w:t>
            </w:r>
          </w:p>
          <w:p>
            <w:pPr>
              <w:pStyle w:val="TableParagraph"/>
              <w:spacing w:line="295" w:lineRule="auto" w:before="5"/>
              <w:ind w:left="754" w:right="2" w:hanging="728"/>
              <w:jc w:val="both"/>
              <w:rPr>
                <w:rFonts w:ascii="細明體" w:eastAsia="細明體" w:hint="eastAsia"/>
                <w:sz w:val="24"/>
              </w:rPr>
            </w:pPr>
            <w:r>
              <w:rPr>
                <w:rFonts w:ascii="細明體" w:eastAsia="細明體" w:hint="eastAsia"/>
                <w:spacing w:val="7"/>
                <w:sz w:val="24"/>
              </w:rPr>
              <w:t>一一 原決定就足以影響於決</w:t>
            </w:r>
            <w:r>
              <w:rPr>
                <w:rFonts w:ascii="細明體" w:eastAsia="細明體" w:hint="eastAsia"/>
                <w:spacing w:val="10"/>
                <w:sz w:val="24"/>
              </w:rPr>
              <w:t>定之重要證物漏未斟酌</w:t>
            </w:r>
            <w:r>
              <w:rPr>
                <w:rFonts w:ascii="細明體" w:eastAsia="細明體" w:hint="eastAsia"/>
                <w:sz w:val="24"/>
              </w:rPr>
              <w:t>者。</w:t>
            </w:r>
          </w:p>
          <w:p>
            <w:pPr>
              <w:pStyle w:val="TableParagraph"/>
              <w:spacing w:line="295" w:lineRule="auto" w:before="3"/>
              <w:ind w:right="15" w:firstLine="480"/>
              <w:rPr>
                <w:rFonts w:ascii="細明體" w:eastAsia="細明體" w:hint="eastAsia"/>
                <w:sz w:val="24"/>
              </w:rPr>
            </w:pPr>
            <w:r>
              <w:rPr>
                <w:rFonts w:ascii="細明體" w:eastAsia="細明體" w:hint="eastAsia"/>
                <w:spacing w:val="-11"/>
                <w:sz w:val="24"/>
              </w:rPr>
              <w:t>前項申請於原行政處分、原</w:t>
            </w:r>
            <w:r>
              <w:rPr>
                <w:rFonts w:ascii="細明體" w:eastAsia="細明體" w:hint="eastAsia"/>
                <w:sz w:val="24"/>
              </w:rPr>
              <w:t>決定執行完畢後，亦得為之。</w:t>
            </w:r>
          </w:p>
          <w:p>
            <w:pPr>
              <w:pStyle w:val="TableParagraph"/>
              <w:spacing w:line="295" w:lineRule="auto" w:before="3"/>
              <w:ind w:right="-44" w:firstLine="480"/>
              <w:jc w:val="both"/>
              <w:rPr>
                <w:rFonts w:ascii="細明體" w:eastAsia="細明體" w:hint="eastAsia"/>
                <w:sz w:val="24"/>
              </w:rPr>
            </w:pPr>
            <w:r>
              <w:rPr>
                <w:rFonts w:ascii="細明體" w:eastAsia="細明體" w:hint="eastAsia"/>
                <w:spacing w:val="12"/>
                <w:sz w:val="24"/>
              </w:rPr>
              <w:t>第一項第五款至第八款情</w:t>
            </w:r>
            <w:r>
              <w:rPr>
                <w:rFonts w:ascii="細明體" w:eastAsia="細明體" w:hint="eastAsia"/>
                <w:spacing w:val="-5"/>
                <w:sz w:val="24"/>
              </w:rPr>
              <w:t>形，以宣告有罪之判決已確定，</w:t>
            </w:r>
            <w:r>
              <w:rPr>
                <w:rFonts w:ascii="細明體" w:eastAsia="細明體" w:hint="eastAsia"/>
                <w:spacing w:val="-118"/>
                <w:sz w:val="24"/>
              </w:rPr>
              <w:t> </w:t>
            </w:r>
            <w:r>
              <w:rPr>
                <w:rFonts w:ascii="細明體" w:eastAsia="細明體" w:hint="eastAsia"/>
                <w:sz w:val="24"/>
              </w:rPr>
              <w:t>或其刑事訴訟不能開始或續行非因證據不足者為限。</w:t>
            </w:r>
          </w:p>
        </w:tc>
        <w:tc>
          <w:tcPr>
            <w:tcW w:w="3296" w:type="dxa"/>
          </w:tcPr>
          <w:p>
            <w:pPr>
              <w:pStyle w:val="TableParagraph"/>
              <w:spacing w:before="0"/>
              <w:ind w:left="0"/>
              <w:rPr>
                <w:rFonts w:ascii="Times New Roman"/>
                <w:sz w:val="22"/>
              </w:rPr>
            </w:pPr>
          </w:p>
        </w:tc>
      </w:tr>
      <w:tr>
        <w:trPr>
          <w:trHeight w:val="3311" w:hRule="atLeast"/>
        </w:trPr>
        <w:tc>
          <w:tcPr>
            <w:tcW w:w="3295" w:type="dxa"/>
          </w:tcPr>
          <w:p>
            <w:pPr>
              <w:pStyle w:val="TableParagraph"/>
              <w:ind w:left="46"/>
              <w:rPr>
                <w:sz w:val="24"/>
              </w:rPr>
            </w:pPr>
            <w:r>
              <w:rPr>
                <w:sz w:val="24"/>
              </w:rPr>
              <w:t>第九十五條</w:t>
            </w:r>
          </w:p>
          <w:p>
            <w:pPr>
              <w:pStyle w:val="TableParagraph"/>
              <w:spacing w:line="295" w:lineRule="auto" w:before="78"/>
              <w:ind w:right="3" w:firstLine="480"/>
              <w:rPr>
                <w:rFonts w:ascii="細明體" w:eastAsia="細明體" w:hint="eastAsia"/>
                <w:sz w:val="24"/>
              </w:rPr>
            </w:pPr>
            <w:r>
              <w:rPr>
                <w:rFonts w:ascii="細明體" w:eastAsia="細明體" w:hint="eastAsia"/>
                <w:spacing w:val="10"/>
                <w:sz w:val="24"/>
              </w:rPr>
              <w:t>申請再審議應於三十日之</w:t>
            </w:r>
            <w:r>
              <w:rPr>
                <w:rFonts w:ascii="細明體" w:eastAsia="細明體" w:hint="eastAsia"/>
                <w:sz w:val="24"/>
              </w:rPr>
              <w:t>不變期間內為之。</w:t>
            </w:r>
          </w:p>
          <w:p>
            <w:pPr>
              <w:pStyle w:val="TableParagraph"/>
              <w:spacing w:line="295" w:lineRule="auto" w:before="3"/>
              <w:ind w:right="3" w:firstLine="480"/>
              <w:jc w:val="both"/>
              <w:rPr>
                <w:rFonts w:ascii="細明體" w:eastAsia="細明體" w:hint="eastAsia"/>
                <w:sz w:val="24"/>
              </w:rPr>
            </w:pPr>
            <w:r>
              <w:rPr>
                <w:rFonts w:ascii="細明體" w:eastAsia="細明體" w:hint="eastAsia"/>
                <w:spacing w:val="12"/>
                <w:sz w:val="24"/>
              </w:rPr>
              <w:t>前項期間自復審決定</w:t>
            </w:r>
            <w:r>
              <w:rPr>
                <w:rFonts w:ascii="標楷體" w:eastAsia="標楷體" w:hint="eastAsia"/>
                <w:spacing w:val="6"/>
                <w:sz w:val="24"/>
                <w:u w:val="thick"/>
              </w:rPr>
              <w:t>或再</w:t>
            </w:r>
            <w:r>
              <w:rPr>
                <w:rFonts w:ascii="標楷體" w:eastAsia="標楷體" w:hint="eastAsia"/>
                <w:sz w:val="24"/>
                <w:u w:val="thick"/>
              </w:rPr>
              <w:t>申訴決定送達應受送達人之翌日</w:t>
            </w:r>
            <w:r>
              <w:rPr>
                <w:rFonts w:ascii="細明體" w:eastAsia="細明體" w:hint="eastAsia"/>
                <w:sz w:val="24"/>
              </w:rPr>
              <w:t>起算。但再審議之理由知悉在後者，自知悉時起算。</w:t>
            </w:r>
          </w:p>
          <w:p>
            <w:pPr>
              <w:pStyle w:val="TableParagraph"/>
              <w:spacing w:before="4"/>
              <w:ind w:left="507"/>
              <w:rPr>
                <w:rFonts w:ascii="細明體" w:eastAsia="細明體" w:hint="eastAsia"/>
                <w:sz w:val="24"/>
              </w:rPr>
            </w:pPr>
            <w:r>
              <w:rPr>
                <w:rFonts w:ascii="細明體" w:eastAsia="細明體" w:hint="eastAsia"/>
                <w:spacing w:val="10"/>
                <w:sz w:val="24"/>
              </w:rPr>
              <w:t>再審議之申請，自復審決</w:t>
            </w:r>
          </w:p>
        </w:tc>
        <w:tc>
          <w:tcPr>
            <w:tcW w:w="3295" w:type="dxa"/>
          </w:tcPr>
          <w:p>
            <w:pPr>
              <w:pStyle w:val="TableParagraph"/>
              <w:ind w:left="46"/>
              <w:rPr>
                <w:sz w:val="24"/>
              </w:rPr>
            </w:pPr>
            <w:r>
              <w:rPr>
                <w:sz w:val="24"/>
              </w:rPr>
              <w:t>第九十五條</w:t>
            </w:r>
          </w:p>
          <w:p>
            <w:pPr>
              <w:pStyle w:val="TableParagraph"/>
              <w:spacing w:line="295" w:lineRule="auto" w:before="78"/>
              <w:ind w:right="3" w:firstLine="480"/>
              <w:rPr>
                <w:rFonts w:ascii="細明體" w:eastAsia="細明體" w:hint="eastAsia"/>
                <w:sz w:val="24"/>
              </w:rPr>
            </w:pPr>
            <w:r>
              <w:rPr>
                <w:rFonts w:ascii="細明體" w:eastAsia="細明體" w:hint="eastAsia"/>
                <w:spacing w:val="10"/>
                <w:sz w:val="24"/>
              </w:rPr>
              <w:t>申請再審議應於三十日之</w:t>
            </w:r>
            <w:r>
              <w:rPr>
                <w:rFonts w:ascii="細明體" w:eastAsia="細明體" w:hint="eastAsia"/>
                <w:sz w:val="24"/>
              </w:rPr>
              <w:t>不變期間內為之。</w:t>
            </w:r>
          </w:p>
          <w:p>
            <w:pPr>
              <w:pStyle w:val="TableParagraph"/>
              <w:spacing w:line="295" w:lineRule="auto" w:before="3"/>
              <w:ind w:right="3" w:firstLine="480"/>
              <w:jc w:val="both"/>
              <w:rPr>
                <w:rFonts w:ascii="細明體" w:eastAsia="細明體" w:hint="eastAsia"/>
                <w:sz w:val="24"/>
              </w:rPr>
            </w:pPr>
            <w:r>
              <w:rPr>
                <w:rFonts w:ascii="細明體" w:eastAsia="細明體" w:hint="eastAsia"/>
                <w:spacing w:val="10"/>
                <w:sz w:val="24"/>
              </w:rPr>
              <w:t>前項期間自復審決定確定</w:t>
            </w:r>
            <w:r>
              <w:rPr>
                <w:rFonts w:ascii="細明體" w:eastAsia="細明體" w:hint="eastAsia"/>
                <w:spacing w:val="-12"/>
                <w:sz w:val="24"/>
              </w:rPr>
              <w:t>時起算。但再審議之理由知悉在</w:t>
            </w:r>
            <w:r>
              <w:rPr>
                <w:rFonts w:ascii="細明體" w:eastAsia="細明體" w:hint="eastAsia"/>
                <w:sz w:val="24"/>
              </w:rPr>
              <w:t>後者，自知悉時起算。</w:t>
            </w:r>
          </w:p>
          <w:p>
            <w:pPr>
              <w:pStyle w:val="TableParagraph"/>
              <w:spacing w:before="3"/>
              <w:ind w:left="0" w:right="15"/>
              <w:jc w:val="right"/>
              <w:rPr>
                <w:rFonts w:ascii="細明體" w:eastAsia="細明體" w:hint="eastAsia"/>
                <w:sz w:val="24"/>
              </w:rPr>
            </w:pPr>
            <w:r>
              <w:rPr>
                <w:rFonts w:ascii="細明體" w:eastAsia="細明體" w:hint="eastAsia"/>
                <w:spacing w:val="-12"/>
                <w:sz w:val="24"/>
              </w:rPr>
              <w:t>再審議之申請，自復審決定</w:t>
            </w:r>
          </w:p>
          <w:p>
            <w:pPr>
              <w:pStyle w:val="TableParagraph"/>
              <w:spacing w:before="79"/>
              <w:ind w:left="0" w:right="15"/>
              <w:jc w:val="right"/>
              <w:rPr>
                <w:rFonts w:ascii="細明體" w:eastAsia="細明體" w:hint="eastAsia"/>
                <w:sz w:val="24"/>
              </w:rPr>
            </w:pPr>
            <w:r>
              <w:rPr>
                <w:rFonts w:ascii="細明體" w:eastAsia="細明體" w:hint="eastAsia"/>
                <w:spacing w:val="-12"/>
                <w:sz w:val="24"/>
              </w:rPr>
              <w:t>確定時起，如逾五年者，不得提</w:t>
            </w:r>
          </w:p>
        </w:tc>
        <w:tc>
          <w:tcPr>
            <w:tcW w:w="3296" w:type="dxa"/>
          </w:tcPr>
          <w:p>
            <w:pPr>
              <w:pStyle w:val="TableParagraph"/>
              <w:spacing w:line="295" w:lineRule="auto"/>
              <w:ind w:left="28" w:right="4" w:firstLine="480"/>
              <w:jc w:val="both"/>
              <w:rPr>
                <w:rFonts w:ascii="Times New Roman" w:eastAsia="Times New Roman"/>
                <w:sz w:val="24"/>
              </w:rPr>
            </w:pPr>
            <w:r>
              <w:rPr>
                <w:spacing w:val="10"/>
                <w:sz w:val="24"/>
              </w:rPr>
              <w:t>為配合因送達應受送達人</w:t>
            </w:r>
            <w:r>
              <w:rPr>
                <w:sz w:val="24"/>
              </w:rPr>
              <w:t>而確定之再申訴決定得進行再</w:t>
            </w:r>
            <w:r>
              <w:rPr>
                <w:spacing w:val="-5"/>
                <w:sz w:val="24"/>
              </w:rPr>
              <w:t>審議制度之修正，爰於本條第 </w:t>
            </w:r>
            <w:r>
              <w:rPr>
                <w:rFonts w:ascii="Times New Roman" w:eastAsia="Times New Roman"/>
                <w:spacing w:val="-3"/>
                <w:sz w:val="24"/>
              </w:rPr>
              <w:t>2</w:t>
            </w:r>
          </w:p>
          <w:p>
            <w:pPr>
              <w:pStyle w:val="TableParagraph"/>
              <w:spacing w:line="295" w:lineRule="auto" w:before="3"/>
              <w:ind w:left="28" w:right="16"/>
              <w:jc w:val="both"/>
              <w:rPr>
                <w:sz w:val="24"/>
              </w:rPr>
            </w:pPr>
            <w:r>
              <w:rPr>
                <w:spacing w:val="12"/>
                <w:sz w:val="24"/>
              </w:rPr>
              <w:t>項及第 </w:t>
            </w:r>
            <w:r>
              <w:rPr>
                <w:rFonts w:ascii="Times New Roman" w:eastAsia="Times New Roman"/>
                <w:sz w:val="24"/>
              </w:rPr>
              <w:t>3</w:t>
            </w:r>
            <w:r>
              <w:rPr>
                <w:rFonts w:ascii="Times New Roman" w:eastAsia="Times New Roman"/>
                <w:spacing w:val="52"/>
                <w:sz w:val="24"/>
              </w:rPr>
              <w:t> </w:t>
            </w:r>
            <w:r>
              <w:rPr>
                <w:sz w:val="24"/>
              </w:rPr>
              <w:t>項增訂再申訴決定適用本條之規定。</w:t>
            </w:r>
          </w:p>
        </w:tc>
      </w:tr>
    </w:tbl>
    <w:p>
      <w:pPr>
        <w:spacing w:after="0" w:line="295" w:lineRule="auto"/>
        <w:jc w:val="both"/>
        <w:rPr>
          <w:sz w:val="24"/>
        </w:rPr>
        <w:sectPr>
          <w:pgSz w:w="11910" w:h="16840"/>
          <w:pgMar w:header="0" w:footer="938" w:top="1440" w:bottom="112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1242" w:hRule="atLeast"/>
        </w:trPr>
        <w:tc>
          <w:tcPr>
            <w:tcW w:w="3295" w:type="dxa"/>
          </w:tcPr>
          <w:p>
            <w:pPr>
              <w:pStyle w:val="TableParagraph"/>
              <w:spacing w:line="295" w:lineRule="auto"/>
              <w:ind w:right="6"/>
              <w:rPr>
                <w:rFonts w:ascii="細明體" w:eastAsia="細明體" w:hint="eastAsia"/>
                <w:sz w:val="24"/>
              </w:rPr>
            </w:pPr>
            <w:r>
              <w:rPr>
                <w:rFonts w:ascii="細明體" w:eastAsia="細明體" w:hint="eastAsia"/>
                <w:sz w:val="24"/>
              </w:rPr>
              <w:t>定</w:t>
            </w:r>
            <w:r>
              <w:rPr>
                <w:rFonts w:ascii="標楷體" w:eastAsia="標楷體" w:hint="eastAsia"/>
                <w:sz w:val="24"/>
                <w:u w:val="thick"/>
              </w:rPr>
              <w:t>或再申訴決定</w:t>
            </w:r>
            <w:r>
              <w:rPr>
                <w:rFonts w:ascii="細明體" w:eastAsia="細明體" w:hint="eastAsia"/>
                <w:spacing w:val="8"/>
                <w:sz w:val="24"/>
              </w:rPr>
              <w:t>確定時起，如</w:t>
            </w:r>
            <w:r>
              <w:rPr>
                <w:rFonts w:ascii="細明體" w:eastAsia="細明體" w:hint="eastAsia"/>
                <w:sz w:val="24"/>
              </w:rPr>
              <w:t>逾五年者，不得提起。</w:t>
            </w:r>
          </w:p>
        </w:tc>
        <w:tc>
          <w:tcPr>
            <w:tcW w:w="3295" w:type="dxa"/>
          </w:tcPr>
          <w:p>
            <w:pPr>
              <w:pStyle w:val="TableParagraph"/>
              <w:rPr>
                <w:rFonts w:ascii="細明體" w:eastAsia="細明體" w:hint="eastAsia"/>
                <w:sz w:val="24"/>
              </w:rPr>
            </w:pPr>
            <w:r>
              <w:rPr>
                <w:rFonts w:ascii="細明體" w:eastAsia="細明體" w:hint="eastAsia"/>
                <w:sz w:val="24"/>
              </w:rPr>
              <w:t>起。</w:t>
            </w:r>
          </w:p>
        </w:tc>
        <w:tc>
          <w:tcPr>
            <w:tcW w:w="3296" w:type="dxa"/>
          </w:tcPr>
          <w:p>
            <w:pPr>
              <w:pStyle w:val="TableParagraph"/>
              <w:spacing w:before="0"/>
              <w:ind w:left="0"/>
              <w:rPr>
                <w:rFonts w:ascii="Times New Roman"/>
                <w:sz w:val="22"/>
              </w:rPr>
            </w:pPr>
          </w:p>
        </w:tc>
      </w:tr>
      <w:tr>
        <w:trPr>
          <w:trHeight w:val="2069" w:hRule="atLeast"/>
        </w:trPr>
        <w:tc>
          <w:tcPr>
            <w:tcW w:w="3295" w:type="dxa"/>
          </w:tcPr>
          <w:p>
            <w:pPr>
              <w:pStyle w:val="TableParagraph"/>
              <w:ind w:left="46"/>
              <w:rPr>
                <w:sz w:val="24"/>
              </w:rPr>
            </w:pPr>
            <w:r>
              <w:rPr>
                <w:sz w:val="24"/>
              </w:rPr>
              <w:t>第一百條</w:t>
            </w:r>
          </w:p>
          <w:p>
            <w:pPr>
              <w:pStyle w:val="TableParagraph"/>
              <w:spacing w:line="295" w:lineRule="auto" w:before="78"/>
              <w:ind w:right="3" w:firstLine="480"/>
              <w:jc w:val="both"/>
              <w:rPr>
                <w:rFonts w:ascii="細明體" w:eastAsia="細明體" w:hint="eastAsia"/>
                <w:sz w:val="24"/>
              </w:rPr>
            </w:pPr>
            <w:r>
              <w:rPr>
                <w:rFonts w:ascii="細明體" w:eastAsia="細明體" w:hint="eastAsia"/>
                <w:spacing w:val="10"/>
                <w:sz w:val="24"/>
              </w:rPr>
              <w:t>保訓會認為再審議有理由</w:t>
            </w:r>
            <w:r>
              <w:rPr>
                <w:rFonts w:ascii="細明體" w:eastAsia="細明體" w:hint="eastAsia"/>
                <w:sz w:val="24"/>
              </w:rPr>
              <w:t>者，應撤銷或變更原復審決定</w:t>
            </w:r>
            <w:r>
              <w:rPr>
                <w:rFonts w:ascii="標楷體" w:eastAsia="標楷體" w:hint="eastAsia"/>
                <w:sz w:val="24"/>
                <w:u w:val="thick"/>
              </w:rPr>
              <w:t>或再申訴決定</w:t>
            </w:r>
            <w:r>
              <w:rPr>
                <w:rFonts w:ascii="細明體" w:eastAsia="細明體" w:hint="eastAsia"/>
                <w:sz w:val="24"/>
              </w:rPr>
              <w:t>。</w:t>
            </w:r>
          </w:p>
        </w:tc>
        <w:tc>
          <w:tcPr>
            <w:tcW w:w="3295" w:type="dxa"/>
          </w:tcPr>
          <w:p>
            <w:pPr>
              <w:pStyle w:val="TableParagraph"/>
              <w:ind w:left="46"/>
              <w:rPr>
                <w:sz w:val="24"/>
              </w:rPr>
            </w:pPr>
            <w:r>
              <w:rPr>
                <w:sz w:val="24"/>
              </w:rPr>
              <w:t>第一百條</w:t>
            </w:r>
          </w:p>
          <w:p>
            <w:pPr>
              <w:pStyle w:val="TableParagraph"/>
              <w:spacing w:line="295" w:lineRule="auto" w:before="78"/>
              <w:ind w:right="-44" w:firstLine="480"/>
              <w:rPr>
                <w:rFonts w:ascii="細明體" w:eastAsia="細明體" w:hint="eastAsia"/>
                <w:sz w:val="24"/>
              </w:rPr>
            </w:pPr>
            <w:r>
              <w:rPr>
                <w:rFonts w:ascii="細明體" w:eastAsia="細明體" w:hint="eastAsia"/>
                <w:spacing w:val="12"/>
                <w:sz w:val="24"/>
              </w:rPr>
              <w:t>保訓會認為再審議有理由</w:t>
            </w:r>
            <w:r>
              <w:rPr>
                <w:rFonts w:ascii="細明體" w:eastAsia="細明體" w:hint="eastAsia"/>
                <w:spacing w:val="-5"/>
                <w:sz w:val="24"/>
              </w:rPr>
              <w:t>者，應撤銷或變更原復審決定。</w:t>
            </w:r>
          </w:p>
        </w:tc>
        <w:tc>
          <w:tcPr>
            <w:tcW w:w="3296" w:type="dxa"/>
          </w:tcPr>
          <w:p>
            <w:pPr>
              <w:pStyle w:val="TableParagraph"/>
              <w:spacing w:line="295" w:lineRule="auto"/>
              <w:ind w:left="28" w:right="4" w:firstLine="480"/>
              <w:jc w:val="both"/>
              <w:rPr>
                <w:sz w:val="24"/>
              </w:rPr>
            </w:pPr>
            <w:r>
              <w:rPr>
                <w:spacing w:val="10"/>
                <w:sz w:val="24"/>
              </w:rPr>
              <w:t>為配合因送達應受送達人</w:t>
            </w:r>
            <w:r>
              <w:rPr>
                <w:sz w:val="24"/>
              </w:rPr>
              <w:t>而確定之再申訴決定得進行再</w:t>
            </w:r>
            <w:r>
              <w:rPr>
                <w:spacing w:val="-12"/>
                <w:sz w:val="24"/>
              </w:rPr>
              <w:t>審議制度之修正，爰於本條修正文字用語，訂增再申訴決定適用</w:t>
            </w:r>
          </w:p>
          <w:p>
            <w:pPr>
              <w:pStyle w:val="TableParagraph"/>
              <w:spacing w:before="5"/>
              <w:ind w:left="28"/>
              <w:rPr>
                <w:sz w:val="24"/>
              </w:rPr>
            </w:pPr>
            <w:r>
              <w:rPr>
                <w:sz w:val="24"/>
              </w:rPr>
              <w:t>本條之規定。</w:t>
            </w:r>
          </w:p>
        </w:tc>
      </w:tr>
      <w:tr>
        <w:trPr>
          <w:trHeight w:val="3726" w:hRule="atLeast"/>
        </w:trPr>
        <w:tc>
          <w:tcPr>
            <w:tcW w:w="3295" w:type="dxa"/>
          </w:tcPr>
          <w:p>
            <w:pPr>
              <w:pStyle w:val="TableParagraph"/>
              <w:ind w:left="46"/>
              <w:rPr>
                <w:sz w:val="24"/>
              </w:rPr>
            </w:pPr>
            <w:r>
              <w:rPr>
                <w:sz w:val="24"/>
              </w:rPr>
              <w:t>第一百零一條</w:t>
            </w:r>
          </w:p>
          <w:p>
            <w:pPr>
              <w:pStyle w:val="TableParagraph"/>
              <w:spacing w:line="295" w:lineRule="auto" w:before="78"/>
              <w:ind w:right="3" w:firstLine="480"/>
              <w:jc w:val="both"/>
              <w:rPr>
                <w:rFonts w:ascii="細明體" w:eastAsia="細明體" w:hint="eastAsia"/>
                <w:sz w:val="24"/>
              </w:rPr>
            </w:pPr>
            <w:r>
              <w:rPr>
                <w:rFonts w:ascii="細明體" w:eastAsia="細明體" w:hint="eastAsia"/>
                <w:spacing w:val="10"/>
                <w:sz w:val="24"/>
              </w:rPr>
              <w:t>再審議，除本章另有規定</w:t>
            </w:r>
            <w:r>
              <w:rPr>
                <w:rFonts w:ascii="細明體" w:eastAsia="細明體" w:hint="eastAsia"/>
                <w:sz w:val="24"/>
              </w:rPr>
              <w:t>外，</w:t>
            </w:r>
            <w:r>
              <w:rPr>
                <w:rFonts w:ascii="標楷體" w:eastAsia="標楷體" w:hint="eastAsia"/>
                <w:sz w:val="24"/>
                <w:u w:val="thick"/>
              </w:rPr>
              <w:t>準用第三章復審程序或第四章再申訴程序</w:t>
            </w:r>
            <w:r>
              <w:rPr>
                <w:rFonts w:ascii="細明體" w:eastAsia="細明體" w:hint="eastAsia"/>
                <w:spacing w:val="10"/>
                <w:sz w:val="24"/>
              </w:rPr>
              <w:t>及第六章執行</w:t>
            </w:r>
            <w:r>
              <w:rPr>
                <w:rFonts w:ascii="細明體" w:eastAsia="細明體" w:hint="eastAsia"/>
                <w:sz w:val="24"/>
              </w:rPr>
              <w:t>之規定。</w:t>
            </w:r>
          </w:p>
        </w:tc>
        <w:tc>
          <w:tcPr>
            <w:tcW w:w="3295" w:type="dxa"/>
          </w:tcPr>
          <w:p>
            <w:pPr>
              <w:pStyle w:val="TableParagraph"/>
              <w:ind w:left="46"/>
              <w:rPr>
                <w:sz w:val="24"/>
              </w:rPr>
            </w:pPr>
            <w:r>
              <w:rPr>
                <w:sz w:val="24"/>
              </w:rPr>
              <w:t>第一百零一條</w:t>
            </w:r>
          </w:p>
          <w:p>
            <w:pPr>
              <w:pStyle w:val="TableParagraph"/>
              <w:spacing w:line="295" w:lineRule="auto" w:before="78"/>
              <w:ind w:right="3" w:firstLine="480"/>
              <w:jc w:val="both"/>
              <w:rPr>
                <w:rFonts w:ascii="細明體" w:eastAsia="細明體" w:hint="eastAsia"/>
                <w:sz w:val="24"/>
              </w:rPr>
            </w:pPr>
            <w:r>
              <w:rPr>
                <w:rFonts w:ascii="細明體" w:eastAsia="細明體" w:hint="eastAsia"/>
                <w:spacing w:val="10"/>
                <w:sz w:val="24"/>
              </w:rPr>
              <w:t>再審議，除本章另有規定</w:t>
            </w:r>
            <w:r>
              <w:rPr>
                <w:rFonts w:ascii="細明體" w:eastAsia="細明體" w:hint="eastAsia"/>
                <w:spacing w:val="-12"/>
                <w:sz w:val="24"/>
              </w:rPr>
              <w:t>外，準用第三章復審程序及第六</w:t>
            </w:r>
            <w:r>
              <w:rPr>
                <w:rFonts w:ascii="細明體" w:eastAsia="細明體" w:hint="eastAsia"/>
                <w:sz w:val="24"/>
              </w:rPr>
              <w:t>章執行之規定。</w:t>
            </w:r>
          </w:p>
        </w:tc>
        <w:tc>
          <w:tcPr>
            <w:tcW w:w="3296" w:type="dxa"/>
          </w:tcPr>
          <w:p>
            <w:pPr>
              <w:pStyle w:val="TableParagraph"/>
              <w:spacing w:line="295" w:lineRule="auto"/>
              <w:ind w:left="28" w:right="4" w:firstLine="480"/>
              <w:jc w:val="both"/>
              <w:rPr>
                <w:sz w:val="24"/>
              </w:rPr>
            </w:pPr>
            <w:r>
              <w:rPr>
                <w:spacing w:val="10"/>
                <w:sz w:val="24"/>
              </w:rPr>
              <w:t>為配合因送達應受送達人</w:t>
            </w:r>
            <w:r>
              <w:rPr>
                <w:sz w:val="24"/>
              </w:rPr>
              <w:t>而確定之再申訴決定後得進行</w:t>
            </w:r>
            <w:r>
              <w:rPr>
                <w:spacing w:val="-11"/>
                <w:sz w:val="24"/>
              </w:rPr>
              <w:t>再審議制度之修正，爰於本條修</w:t>
            </w:r>
            <w:r>
              <w:rPr>
                <w:spacing w:val="-12"/>
                <w:sz w:val="24"/>
              </w:rPr>
              <w:t>正文字用語，增訂準用再申訴決定之審理程序，使復審決定之再</w:t>
            </w:r>
            <w:r>
              <w:rPr>
                <w:sz w:val="24"/>
              </w:rPr>
              <w:t>審議程序準用第三章復審程序</w:t>
            </w:r>
            <w:r>
              <w:rPr>
                <w:spacing w:val="-12"/>
                <w:sz w:val="24"/>
              </w:rPr>
              <w:t>之規定，而再申訴決定之再審議</w:t>
            </w:r>
            <w:r>
              <w:rPr>
                <w:sz w:val="24"/>
              </w:rPr>
              <w:t>程序準用第四章再申訴程序之</w:t>
            </w:r>
          </w:p>
          <w:p>
            <w:pPr>
              <w:pStyle w:val="TableParagraph"/>
              <w:spacing w:before="9"/>
              <w:ind w:left="28"/>
              <w:rPr>
                <w:sz w:val="24"/>
              </w:rPr>
            </w:pPr>
            <w:r>
              <w:rPr>
                <w:sz w:val="24"/>
              </w:rPr>
              <w:t>規定。</w:t>
            </w:r>
          </w:p>
        </w:tc>
      </w:tr>
    </w:tbl>
    <w:p>
      <w:pPr>
        <w:pStyle w:val="BodyText"/>
        <w:spacing w:before="12"/>
        <w:rPr>
          <w:b/>
          <w:sz w:val="22"/>
        </w:rPr>
      </w:pPr>
    </w:p>
    <w:p>
      <w:pPr>
        <w:pStyle w:val="Heading3"/>
        <w:spacing w:before="52"/>
        <w:rPr>
          <w:rFonts w:ascii="新細明體" w:eastAsia="新細明體" w:hint="eastAsia"/>
        </w:rPr>
      </w:pPr>
      <w:bookmarkStart w:name="_TOC_250007" w:id="32"/>
      <w:bookmarkEnd w:id="32"/>
      <w:r>
        <w:rPr>
          <w:rFonts w:ascii="新細明體" w:eastAsia="新細明體" w:hint="eastAsia"/>
          <w:w w:val="95"/>
        </w:rPr>
        <w:t>二、復審事件適用調處制度之修法建議</w:t>
      </w:r>
    </w:p>
    <w:p>
      <w:pPr>
        <w:pStyle w:val="BodyText"/>
        <w:spacing w:before="9"/>
        <w:rPr>
          <w:b/>
          <w:sz w:val="2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ind w:left="46"/>
              <w:rPr>
                <w:sz w:val="24"/>
              </w:rPr>
            </w:pPr>
            <w:r>
              <w:rPr>
                <w:sz w:val="24"/>
              </w:rPr>
              <w:t>現行條文</w:t>
            </w:r>
          </w:p>
        </w:tc>
        <w:tc>
          <w:tcPr>
            <w:tcW w:w="3296" w:type="dxa"/>
          </w:tcPr>
          <w:p>
            <w:pPr>
              <w:pStyle w:val="TableParagraph"/>
              <w:ind w:left="29"/>
              <w:rPr>
                <w:sz w:val="24"/>
              </w:rPr>
            </w:pPr>
            <w:r>
              <w:rPr>
                <w:sz w:val="24"/>
              </w:rPr>
              <w:t>說明</w:t>
            </w:r>
          </w:p>
        </w:tc>
      </w:tr>
      <w:tr>
        <w:trPr>
          <w:trHeight w:val="4554" w:hRule="atLeast"/>
        </w:trPr>
        <w:tc>
          <w:tcPr>
            <w:tcW w:w="3295" w:type="dxa"/>
          </w:tcPr>
          <w:p>
            <w:pPr>
              <w:pStyle w:val="TableParagraph"/>
              <w:spacing w:line="295" w:lineRule="auto"/>
              <w:ind w:left="46" w:right="1316"/>
              <w:jc w:val="both"/>
              <w:rPr>
                <w:sz w:val="24"/>
              </w:rPr>
            </w:pPr>
            <w:r>
              <w:rPr>
                <w:spacing w:val="3"/>
                <w:sz w:val="24"/>
              </w:rPr>
              <w:t>第五章 調處程序</w:t>
            </w:r>
            <w:r>
              <w:rPr>
                <w:sz w:val="24"/>
              </w:rPr>
              <w:t>第八十五條</w:t>
            </w:r>
          </w:p>
          <w:p>
            <w:pPr>
              <w:pStyle w:val="TableParagraph"/>
              <w:spacing w:line="295" w:lineRule="auto" w:before="2"/>
              <w:ind w:right="3" w:firstLine="480"/>
              <w:jc w:val="both"/>
              <w:rPr>
                <w:sz w:val="24"/>
              </w:rPr>
            </w:pPr>
            <w:r>
              <w:rPr>
                <w:rFonts w:ascii="標楷體" w:eastAsia="標楷體" w:hint="eastAsia"/>
                <w:spacing w:val="12"/>
                <w:sz w:val="24"/>
                <w:u w:val="thick"/>
              </w:rPr>
              <w:t>復審事件或</w:t>
            </w:r>
            <w:r>
              <w:rPr>
                <w:spacing w:val="10"/>
                <w:sz w:val="24"/>
              </w:rPr>
              <w:t>再申訴事件審</w:t>
            </w:r>
            <w:r>
              <w:rPr>
                <w:sz w:val="24"/>
              </w:rPr>
              <w:t>理中，保訓會得依職權或依申請，指定副主任委員或委員一人至三人，進行調處。</w:t>
            </w:r>
          </w:p>
          <w:p>
            <w:pPr>
              <w:pStyle w:val="TableParagraph"/>
              <w:spacing w:line="295" w:lineRule="auto" w:before="5"/>
              <w:ind w:right="-15" w:firstLine="480"/>
              <w:jc w:val="both"/>
              <w:rPr>
                <w:sz w:val="24"/>
              </w:rPr>
            </w:pPr>
            <w:r>
              <w:rPr>
                <w:spacing w:val="12"/>
                <w:sz w:val="24"/>
              </w:rPr>
              <w:t>前項調處，於多數人共同</w:t>
            </w:r>
            <w:r>
              <w:rPr>
                <w:spacing w:val="32"/>
                <w:sz w:val="24"/>
              </w:rPr>
              <w:t>提起之</w:t>
            </w:r>
            <w:r>
              <w:rPr>
                <w:rFonts w:ascii="標楷體" w:eastAsia="標楷體" w:hint="eastAsia"/>
                <w:spacing w:val="32"/>
                <w:sz w:val="24"/>
                <w:u w:val="thick"/>
              </w:rPr>
              <w:t>復審事件或</w:t>
            </w:r>
            <w:r>
              <w:rPr>
                <w:spacing w:val="29"/>
                <w:sz w:val="24"/>
              </w:rPr>
              <w:t>再申訴事</w:t>
            </w:r>
            <w:r>
              <w:rPr>
                <w:sz w:val="24"/>
              </w:rPr>
              <w:t>件，其代表人非徵得全體</w:t>
            </w:r>
            <w:r>
              <w:rPr>
                <w:rFonts w:ascii="標楷體" w:eastAsia="標楷體" w:hint="eastAsia"/>
                <w:spacing w:val="10"/>
                <w:sz w:val="24"/>
                <w:u w:val="thick"/>
              </w:rPr>
              <w:t>復審</w:t>
            </w:r>
            <w:r>
              <w:rPr>
                <w:rFonts w:ascii="標楷體" w:eastAsia="標楷體" w:hint="eastAsia"/>
                <w:spacing w:val="-223"/>
                <w:sz w:val="24"/>
                <w:u w:val="thick"/>
              </w:rPr>
              <w:t>人或</w:t>
            </w:r>
            <w:r>
              <w:rPr>
                <w:sz w:val="24"/>
              </w:rPr>
              <w:t>再申訴人之書面同意，不</w:t>
            </w:r>
          </w:p>
          <w:p>
            <w:pPr>
              <w:pStyle w:val="TableParagraph"/>
              <w:spacing w:before="5"/>
              <w:rPr>
                <w:sz w:val="24"/>
              </w:rPr>
            </w:pPr>
            <w:r>
              <w:rPr>
                <w:sz w:val="24"/>
              </w:rPr>
              <w:t>得為之。</w:t>
            </w:r>
          </w:p>
        </w:tc>
        <w:tc>
          <w:tcPr>
            <w:tcW w:w="3295" w:type="dxa"/>
          </w:tcPr>
          <w:p>
            <w:pPr>
              <w:pStyle w:val="TableParagraph"/>
              <w:spacing w:line="295" w:lineRule="auto"/>
              <w:ind w:left="46" w:right="1316"/>
              <w:jc w:val="both"/>
              <w:rPr>
                <w:sz w:val="24"/>
              </w:rPr>
            </w:pPr>
            <w:r>
              <w:rPr>
                <w:spacing w:val="3"/>
                <w:sz w:val="24"/>
              </w:rPr>
              <w:t>第五章 調處程序</w:t>
            </w:r>
            <w:r>
              <w:rPr>
                <w:sz w:val="24"/>
              </w:rPr>
              <w:t>第八十五條</w:t>
            </w:r>
          </w:p>
          <w:p>
            <w:pPr>
              <w:pStyle w:val="TableParagraph"/>
              <w:spacing w:line="295" w:lineRule="auto" w:before="2"/>
              <w:ind w:right="15" w:firstLine="480"/>
              <w:jc w:val="both"/>
              <w:rPr>
                <w:sz w:val="24"/>
              </w:rPr>
            </w:pPr>
            <w:r>
              <w:rPr>
                <w:spacing w:val="-12"/>
                <w:sz w:val="24"/>
              </w:rPr>
              <w:t>再申訴事件審理中，保訓會得依職權或依申請，指定副主任</w:t>
            </w:r>
            <w:r>
              <w:rPr>
                <w:spacing w:val="-11"/>
                <w:sz w:val="24"/>
              </w:rPr>
              <w:t>委員或委員一人至三人，進行調</w:t>
            </w:r>
            <w:r>
              <w:rPr>
                <w:sz w:val="24"/>
              </w:rPr>
              <w:t>處。</w:t>
            </w:r>
          </w:p>
          <w:p>
            <w:pPr>
              <w:pStyle w:val="TableParagraph"/>
              <w:spacing w:line="295" w:lineRule="auto" w:before="5"/>
              <w:ind w:right="15" w:firstLine="480"/>
              <w:jc w:val="both"/>
              <w:rPr>
                <w:sz w:val="24"/>
              </w:rPr>
            </w:pPr>
            <w:r>
              <w:rPr>
                <w:spacing w:val="-12"/>
                <w:sz w:val="24"/>
              </w:rPr>
              <w:t>前項調處，於多數人共同提起之再申訴事件，其代表人非徵</w:t>
            </w:r>
            <w:r>
              <w:rPr>
                <w:spacing w:val="-11"/>
                <w:sz w:val="24"/>
              </w:rPr>
              <w:t>得全體再申訴人之書面同意，不</w:t>
            </w:r>
            <w:r>
              <w:rPr>
                <w:sz w:val="24"/>
              </w:rPr>
              <w:t>得為之。</w:t>
            </w:r>
          </w:p>
        </w:tc>
        <w:tc>
          <w:tcPr>
            <w:tcW w:w="3296" w:type="dxa"/>
          </w:tcPr>
          <w:p>
            <w:pPr>
              <w:pStyle w:val="TableParagraph"/>
              <w:spacing w:line="295" w:lineRule="auto"/>
              <w:ind w:left="436" w:right="16" w:hanging="408"/>
              <w:jc w:val="both"/>
              <w:rPr>
                <w:sz w:val="24"/>
              </w:rPr>
            </w:pPr>
            <w:r>
              <w:rPr>
                <w:spacing w:val="-12"/>
                <w:sz w:val="24"/>
              </w:rPr>
              <w:t>一、為配合復審事件得適用調處</w:t>
            </w:r>
            <w:r>
              <w:rPr>
                <w:sz w:val="24"/>
              </w:rPr>
              <w:t>制度之修正，爰於本條第 </w:t>
            </w:r>
            <w:r>
              <w:rPr>
                <w:rFonts w:ascii="Times New Roman" w:eastAsia="Times New Roman"/>
                <w:sz w:val="24"/>
              </w:rPr>
              <w:t>1</w:t>
            </w:r>
            <w:r>
              <w:rPr>
                <w:rFonts w:ascii="Times New Roman" w:eastAsia="Times New Roman"/>
                <w:spacing w:val="-57"/>
                <w:sz w:val="24"/>
              </w:rPr>
              <w:t> </w:t>
            </w:r>
            <w:r>
              <w:rPr>
                <w:spacing w:val="-5"/>
                <w:sz w:val="24"/>
              </w:rPr>
              <w:t>項修正文字用語，增訂復審</w:t>
            </w:r>
            <w:r>
              <w:rPr>
                <w:sz w:val="24"/>
              </w:rPr>
              <w:t>事件亦得適用調處制度。</w:t>
            </w:r>
          </w:p>
          <w:p>
            <w:pPr>
              <w:pStyle w:val="TableParagraph"/>
              <w:spacing w:before="5"/>
              <w:ind w:left="29"/>
              <w:jc w:val="both"/>
              <w:rPr>
                <w:sz w:val="24"/>
              </w:rPr>
            </w:pPr>
            <w:r>
              <w:rPr>
                <w:spacing w:val="-9"/>
                <w:sz w:val="24"/>
              </w:rPr>
              <w:t>二、配合本條第 </w:t>
            </w:r>
            <w:r>
              <w:rPr>
                <w:rFonts w:ascii="Times New Roman" w:eastAsia="Times New Roman"/>
                <w:sz w:val="24"/>
              </w:rPr>
              <w:t>1 </w:t>
            </w:r>
            <w:r>
              <w:rPr>
                <w:spacing w:val="-11"/>
                <w:sz w:val="24"/>
              </w:rPr>
              <w:t>項之修正，爰</w:t>
            </w:r>
          </w:p>
          <w:p>
            <w:pPr>
              <w:pStyle w:val="TableParagraph"/>
              <w:spacing w:before="78"/>
              <w:ind w:left="437"/>
              <w:jc w:val="both"/>
              <w:rPr>
                <w:sz w:val="24"/>
              </w:rPr>
            </w:pPr>
            <w:r>
              <w:rPr>
                <w:spacing w:val="-1"/>
                <w:sz w:val="24"/>
              </w:rPr>
              <w:t>修正第 </w:t>
            </w:r>
            <w:r>
              <w:rPr>
                <w:rFonts w:ascii="Times New Roman" w:eastAsia="Times New Roman"/>
                <w:sz w:val="24"/>
              </w:rPr>
              <w:t>2 </w:t>
            </w:r>
            <w:r>
              <w:rPr>
                <w:sz w:val="24"/>
              </w:rPr>
              <w:t>項之文字用語。</w:t>
            </w:r>
          </w:p>
        </w:tc>
      </w:tr>
    </w:tbl>
    <w:p>
      <w:pPr>
        <w:spacing w:after="0"/>
        <w:jc w:val="both"/>
        <w:rPr>
          <w:sz w:val="24"/>
        </w:rPr>
        <w:sectPr>
          <w:pgSz w:w="11910" w:h="16840"/>
          <w:pgMar w:header="0" w:footer="938" w:top="1440" w:bottom="112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8279" w:hRule="atLeast"/>
        </w:trPr>
        <w:tc>
          <w:tcPr>
            <w:tcW w:w="3295" w:type="dxa"/>
          </w:tcPr>
          <w:p>
            <w:pPr>
              <w:pStyle w:val="TableParagraph"/>
              <w:ind w:left="46"/>
              <w:rPr>
                <w:sz w:val="24"/>
              </w:rPr>
            </w:pPr>
            <w:r>
              <w:rPr>
                <w:sz w:val="24"/>
              </w:rPr>
              <w:t>第八十六條</w:t>
            </w:r>
          </w:p>
          <w:p>
            <w:pPr>
              <w:pStyle w:val="TableParagraph"/>
              <w:spacing w:line="295" w:lineRule="auto" w:before="78"/>
              <w:ind w:right="-15" w:firstLine="480"/>
              <w:jc w:val="both"/>
              <w:rPr>
                <w:sz w:val="24"/>
              </w:rPr>
            </w:pPr>
            <w:r>
              <w:rPr>
                <w:spacing w:val="12"/>
                <w:sz w:val="24"/>
              </w:rPr>
              <w:t>保訓會進行調處時，應以</w:t>
            </w:r>
            <w:r>
              <w:rPr>
                <w:spacing w:val="2"/>
                <w:sz w:val="24"/>
              </w:rPr>
              <w:t>書面通知</w:t>
            </w:r>
            <w:r>
              <w:rPr>
                <w:rFonts w:ascii="標楷體" w:eastAsia="標楷體" w:hint="eastAsia"/>
                <w:spacing w:val="2"/>
                <w:sz w:val="24"/>
                <w:u w:val="thick"/>
              </w:rPr>
              <w:t>復審人、</w:t>
            </w:r>
            <w:r>
              <w:rPr>
                <w:sz w:val="24"/>
              </w:rPr>
              <w:t>再申訴人或</w:t>
            </w:r>
            <w:r>
              <w:rPr>
                <w:spacing w:val="31"/>
                <w:sz w:val="24"/>
              </w:rPr>
              <w:t>其代表人、代理人及有關機</w:t>
            </w:r>
            <w:r>
              <w:rPr>
                <w:sz w:val="24"/>
              </w:rPr>
              <w:t>關，於指定期日到達指定處所行之。</w:t>
            </w:r>
          </w:p>
          <w:p>
            <w:pPr>
              <w:pStyle w:val="TableParagraph"/>
              <w:spacing w:line="295" w:lineRule="auto" w:before="6"/>
              <w:ind w:right="3" w:firstLine="480"/>
              <w:jc w:val="both"/>
              <w:rPr>
                <w:sz w:val="24"/>
              </w:rPr>
            </w:pPr>
            <w:r>
              <w:rPr>
                <w:spacing w:val="10"/>
                <w:sz w:val="24"/>
              </w:rPr>
              <w:t>前項之代理人，應提出特</w:t>
            </w:r>
            <w:r>
              <w:rPr>
                <w:sz w:val="24"/>
              </w:rPr>
              <w:t>別委任之授權證明，始得參與調處。</w:t>
            </w:r>
          </w:p>
          <w:p>
            <w:pPr>
              <w:pStyle w:val="TableParagraph"/>
              <w:spacing w:line="295" w:lineRule="auto" w:before="4"/>
              <w:ind w:right="3" w:firstLine="480"/>
              <w:jc w:val="both"/>
              <w:rPr>
                <w:sz w:val="24"/>
              </w:rPr>
            </w:pPr>
            <w:r>
              <w:rPr>
                <w:rFonts w:ascii="標楷體" w:eastAsia="標楷體" w:hint="eastAsia"/>
                <w:spacing w:val="12"/>
                <w:sz w:val="24"/>
                <w:u w:val="thick"/>
              </w:rPr>
              <w:t>復審人或</w:t>
            </w:r>
            <w:r>
              <w:rPr>
                <w:spacing w:val="10"/>
                <w:sz w:val="24"/>
              </w:rPr>
              <w:t>再申訴人及有關</w:t>
            </w:r>
            <w:r>
              <w:rPr>
                <w:sz w:val="24"/>
              </w:rPr>
              <w:t>機關無正當理由，於調處期日不到場者，視為調處不成立。但保訓會認為有成立調處之可能者，得另定調處期日。</w:t>
            </w:r>
          </w:p>
          <w:p>
            <w:pPr>
              <w:pStyle w:val="TableParagraph"/>
              <w:spacing w:line="295" w:lineRule="auto" w:before="6"/>
              <w:ind w:right="-15" w:firstLine="480"/>
              <w:jc w:val="both"/>
              <w:rPr>
                <w:sz w:val="24"/>
              </w:rPr>
            </w:pPr>
            <w:r>
              <w:rPr>
                <w:spacing w:val="12"/>
                <w:sz w:val="24"/>
              </w:rPr>
              <w:t>調處之過程及結果應製作</w:t>
            </w:r>
            <w:r>
              <w:rPr>
                <w:spacing w:val="31"/>
                <w:sz w:val="24"/>
              </w:rPr>
              <w:t>紀錄，由參與調處之人員簽</w:t>
            </w:r>
            <w:r>
              <w:rPr>
                <w:sz w:val="24"/>
              </w:rPr>
              <w:t>名；其拒絕簽名者，應記明其事由。</w:t>
            </w:r>
          </w:p>
        </w:tc>
        <w:tc>
          <w:tcPr>
            <w:tcW w:w="3295" w:type="dxa"/>
          </w:tcPr>
          <w:p>
            <w:pPr>
              <w:pStyle w:val="TableParagraph"/>
              <w:spacing w:before="0"/>
              <w:ind w:left="0"/>
              <w:rPr>
                <w:b/>
                <w:sz w:val="24"/>
              </w:rPr>
            </w:pPr>
          </w:p>
          <w:p>
            <w:pPr>
              <w:pStyle w:val="TableParagraph"/>
              <w:spacing w:before="1"/>
              <w:ind w:left="0"/>
              <w:rPr>
                <w:b/>
                <w:sz w:val="23"/>
              </w:rPr>
            </w:pPr>
          </w:p>
          <w:p>
            <w:pPr>
              <w:pStyle w:val="TableParagraph"/>
              <w:spacing w:before="0"/>
              <w:ind w:left="46"/>
              <w:rPr>
                <w:sz w:val="24"/>
              </w:rPr>
            </w:pPr>
            <w:r>
              <w:rPr>
                <w:sz w:val="24"/>
              </w:rPr>
              <w:t>第八十六條</w:t>
            </w:r>
          </w:p>
          <w:p>
            <w:pPr>
              <w:pStyle w:val="TableParagraph"/>
              <w:spacing w:line="295" w:lineRule="auto" w:before="78"/>
              <w:ind w:right="15" w:firstLine="480"/>
              <w:jc w:val="both"/>
              <w:rPr>
                <w:sz w:val="24"/>
              </w:rPr>
            </w:pPr>
            <w:r>
              <w:rPr>
                <w:spacing w:val="-12"/>
                <w:sz w:val="24"/>
              </w:rPr>
              <w:t>保訓會進行調處時，應以書</w:t>
            </w:r>
            <w:r>
              <w:rPr>
                <w:spacing w:val="-11"/>
                <w:sz w:val="24"/>
              </w:rPr>
              <w:t>面通知再申訴人或其代表人、代</w:t>
            </w:r>
            <w:r>
              <w:rPr>
                <w:spacing w:val="-12"/>
                <w:sz w:val="24"/>
              </w:rPr>
              <w:t>理人及有關機關，於指定期日到</w:t>
            </w:r>
            <w:r>
              <w:rPr>
                <w:sz w:val="24"/>
              </w:rPr>
              <w:t>達指定處所行之。</w:t>
            </w:r>
          </w:p>
          <w:p>
            <w:pPr>
              <w:pStyle w:val="TableParagraph"/>
              <w:spacing w:line="295" w:lineRule="auto" w:before="5"/>
              <w:ind w:right="6" w:firstLine="480"/>
              <w:jc w:val="both"/>
              <w:rPr>
                <w:sz w:val="24"/>
              </w:rPr>
            </w:pPr>
            <w:r>
              <w:rPr>
                <w:spacing w:val="-12"/>
                <w:sz w:val="24"/>
              </w:rPr>
              <w:t>前項之代理人，應提出特別</w:t>
            </w:r>
            <w:r>
              <w:rPr>
                <w:sz w:val="24"/>
              </w:rPr>
              <w:t>委任之授權證明，始得參與調處。</w:t>
            </w:r>
          </w:p>
          <w:p>
            <w:pPr>
              <w:pStyle w:val="TableParagraph"/>
              <w:spacing w:line="295" w:lineRule="auto" w:before="4"/>
              <w:ind w:right="-44" w:firstLine="480"/>
              <w:jc w:val="both"/>
              <w:rPr>
                <w:sz w:val="24"/>
              </w:rPr>
            </w:pPr>
            <w:r>
              <w:rPr>
                <w:spacing w:val="12"/>
                <w:sz w:val="24"/>
              </w:rPr>
              <w:t>再申訴人及有關機關無正</w:t>
            </w:r>
            <w:r>
              <w:rPr>
                <w:spacing w:val="-5"/>
                <w:sz w:val="24"/>
              </w:rPr>
              <w:t>當理由，於調處期日不到場者，</w:t>
            </w:r>
            <w:r>
              <w:rPr>
                <w:spacing w:val="-60"/>
                <w:sz w:val="24"/>
              </w:rPr>
              <w:t> </w:t>
            </w:r>
            <w:r>
              <w:rPr>
                <w:spacing w:val="-12"/>
                <w:sz w:val="24"/>
              </w:rPr>
              <w:t>視為調處不成立。但保訓會認為</w:t>
            </w:r>
            <w:r>
              <w:rPr>
                <w:spacing w:val="-11"/>
                <w:sz w:val="24"/>
              </w:rPr>
              <w:t>有成立調處之可能者，得另定調</w:t>
            </w:r>
            <w:r>
              <w:rPr>
                <w:sz w:val="24"/>
              </w:rPr>
              <w:t>處期日。</w:t>
            </w:r>
          </w:p>
          <w:p>
            <w:pPr>
              <w:pStyle w:val="TableParagraph"/>
              <w:spacing w:line="295" w:lineRule="auto" w:before="6"/>
              <w:ind w:right="-44" w:firstLine="480"/>
              <w:jc w:val="both"/>
              <w:rPr>
                <w:sz w:val="24"/>
              </w:rPr>
            </w:pPr>
            <w:r>
              <w:rPr>
                <w:spacing w:val="12"/>
                <w:sz w:val="24"/>
              </w:rPr>
              <w:t>調處之過程及結果應製作</w:t>
            </w:r>
            <w:r>
              <w:rPr>
                <w:spacing w:val="-5"/>
                <w:sz w:val="24"/>
              </w:rPr>
              <w:t>紀錄，由參與調處之人員簽名；</w:t>
            </w:r>
            <w:r>
              <w:rPr>
                <w:spacing w:val="-60"/>
                <w:sz w:val="24"/>
              </w:rPr>
              <w:t> </w:t>
            </w:r>
            <w:r>
              <w:rPr>
                <w:spacing w:val="-5"/>
                <w:sz w:val="24"/>
              </w:rPr>
              <w:t>其拒絕簽名者，應記明其事由。</w:t>
            </w:r>
          </w:p>
        </w:tc>
        <w:tc>
          <w:tcPr>
            <w:tcW w:w="3296" w:type="dxa"/>
          </w:tcPr>
          <w:p>
            <w:pPr>
              <w:pStyle w:val="TableParagraph"/>
              <w:spacing w:line="295" w:lineRule="auto"/>
              <w:ind w:left="436" w:right="-44" w:hanging="408"/>
              <w:jc w:val="both"/>
              <w:rPr>
                <w:sz w:val="24"/>
              </w:rPr>
            </w:pPr>
            <w:r>
              <w:rPr>
                <w:spacing w:val="-12"/>
                <w:sz w:val="24"/>
              </w:rPr>
              <w:t>一、為配合復審事件得適用調處</w:t>
            </w:r>
            <w:r>
              <w:rPr>
                <w:spacing w:val="-1"/>
                <w:sz w:val="24"/>
              </w:rPr>
              <w:t>制度之修正，爰修正本條第</w:t>
            </w:r>
            <w:r>
              <w:rPr>
                <w:rFonts w:ascii="Times New Roman" w:eastAsia="Times New Roman"/>
                <w:sz w:val="24"/>
              </w:rPr>
              <w:t>1</w:t>
            </w:r>
            <w:r>
              <w:rPr>
                <w:rFonts w:ascii="Times New Roman" w:eastAsia="Times New Roman"/>
                <w:spacing w:val="12"/>
                <w:sz w:val="24"/>
              </w:rPr>
              <w:t> </w:t>
            </w:r>
            <w:r>
              <w:rPr>
                <w:sz w:val="24"/>
              </w:rPr>
              <w:t>項文字用語，使保訓會針</w:t>
            </w:r>
            <w:r>
              <w:rPr>
                <w:spacing w:val="-1"/>
                <w:sz w:val="24"/>
              </w:rPr>
              <w:t>對復審事件進行調處時，應</w:t>
            </w:r>
            <w:r>
              <w:rPr>
                <w:spacing w:val="19"/>
                <w:sz w:val="24"/>
              </w:rPr>
              <w:t>以書面通知復審人或其代</w:t>
            </w:r>
            <w:r>
              <w:rPr>
                <w:sz w:val="24"/>
              </w:rPr>
              <w:t>表人、代理人及有關機關。</w:t>
            </w:r>
          </w:p>
          <w:p>
            <w:pPr>
              <w:pStyle w:val="TableParagraph"/>
              <w:spacing w:line="295" w:lineRule="auto" w:before="7"/>
              <w:ind w:left="436" w:right="-15" w:hanging="408"/>
              <w:jc w:val="both"/>
              <w:rPr>
                <w:sz w:val="24"/>
              </w:rPr>
            </w:pPr>
            <w:r>
              <w:rPr>
                <w:spacing w:val="-11"/>
                <w:sz w:val="24"/>
              </w:rPr>
              <w:t>二、修正第 </w:t>
            </w:r>
            <w:r>
              <w:rPr>
                <w:rFonts w:ascii="Times New Roman" w:eastAsia="Times New Roman"/>
                <w:sz w:val="24"/>
              </w:rPr>
              <w:t>3 </w:t>
            </w:r>
            <w:r>
              <w:rPr>
                <w:spacing w:val="-8"/>
                <w:sz w:val="24"/>
              </w:rPr>
              <w:t>項之文字用語，規</w:t>
            </w:r>
            <w:r>
              <w:rPr>
                <w:spacing w:val="19"/>
                <w:sz w:val="24"/>
              </w:rPr>
              <w:t>定復審人於調處期日無正</w:t>
            </w:r>
            <w:r>
              <w:rPr>
                <w:spacing w:val="-3"/>
                <w:sz w:val="24"/>
              </w:rPr>
              <w:t>當理由不到場者，視為調處</w:t>
            </w:r>
            <w:r>
              <w:rPr>
                <w:sz w:val="24"/>
              </w:rPr>
              <w:t>不成立。</w:t>
            </w:r>
          </w:p>
        </w:tc>
      </w:tr>
      <w:tr>
        <w:trPr>
          <w:trHeight w:val="5382" w:hRule="atLeast"/>
        </w:trPr>
        <w:tc>
          <w:tcPr>
            <w:tcW w:w="3295" w:type="dxa"/>
          </w:tcPr>
          <w:p>
            <w:pPr>
              <w:pStyle w:val="TableParagraph"/>
              <w:ind w:left="46"/>
              <w:rPr>
                <w:sz w:val="24"/>
              </w:rPr>
            </w:pPr>
            <w:r>
              <w:rPr>
                <w:sz w:val="24"/>
              </w:rPr>
              <w:t>第八十七條</w:t>
            </w:r>
          </w:p>
          <w:p>
            <w:pPr>
              <w:pStyle w:val="TableParagraph"/>
              <w:spacing w:line="295" w:lineRule="auto" w:before="78"/>
              <w:ind w:right="3" w:firstLine="480"/>
              <w:jc w:val="both"/>
              <w:rPr>
                <w:rFonts w:ascii="細明體" w:eastAsia="細明體" w:hint="eastAsia"/>
                <w:sz w:val="24"/>
              </w:rPr>
            </w:pPr>
            <w:r>
              <w:rPr>
                <w:rFonts w:ascii="標楷體" w:eastAsia="標楷體" w:hint="eastAsia"/>
                <w:spacing w:val="12"/>
                <w:sz w:val="24"/>
                <w:u w:val="thick"/>
              </w:rPr>
              <w:t>復審事件或</w:t>
            </w:r>
            <w:r>
              <w:rPr>
                <w:rFonts w:ascii="細明體" w:eastAsia="細明體" w:hint="eastAsia"/>
                <w:spacing w:val="10"/>
                <w:sz w:val="24"/>
              </w:rPr>
              <w:t>再申訴事件經</w:t>
            </w:r>
            <w:r>
              <w:rPr>
                <w:rFonts w:ascii="細明體" w:eastAsia="細明體" w:hint="eastAsia"/>
                <w:sz w:val="24"/>
              </w:rPr>
              <w:t>調處成立者，保訓會應作成調處書，記載下列事項，並函知再申訴人及有關機關：</w:t>
            </w:r>
          </w:p>
          <w:p>
            <w:pPr>
              <w:pStyle w:val="TableParagraph"/>
              <w:spacing w:line="295" w:lineRule="auto" w:before="5"/>
              <w:ind w:left="471" w:right="9" w:hanging="444"/>
              <w:jc w:val="both"/>
              <w:rPr>
                <w:rFonts w:ascii="細明體" w:hAnsi="細明體" w:eastAsia="細明體" w:hint="eastAsia"/>
                <w:sz w:val="24"/>
              </w:rPr>
            </w:pPr>
            <w:r>
              <w:rPr>
                <w:rFonts w:ascii="細明體" w:hAnsi="細明體" w:eastAsia="細明體" w:hint="eastAsia"/>
                <w:sz w:val="24"/>
              </w:rPr>
              <w:t>—</w:t>
            </w:r>
            <w:r>
              <w:rPr>
                <w:rFonts w:ascii="細明體" w:hAnsi="細明體" w:eastAsia="細明體" w:hint="eastAsia"/>
                <w:spacing w:val="104"/>
                <w:sz w:val="24"/>
              </w:rPr>
              <w:t> </w:t>
            </w:r>
            <w:r>
              <w:rPr>
                <w:rFonts w:ascii="標楷體" w:hAnsi="標楷體" w:eastAsia="標楷體" w:hint="eastAsia"/>
                <w:sz w:val="24"/>
                <w:u w:val="thick"/>
              </w:rPr>
              <w:t>復審人或</w:t>
            </w:r>
            <w:r>
              <w:rPr>
                <w:rFonts w:ascii="細明體" w:hAnsi="細明體" w:eastAsia="細明體" w:hint="eastAsia"/>
                <w:sz w:val="24"/>
              </w:rPr>
              <w:t>再申訴人姓名、</w:t>
            </w:r>
            <w:r>
              <w:rPr>
                <w:rFonts w:ascii="細明體" w:hAnsi="細明體" w:eastAsia="細明體" w:hint="eastAsia"/>
                <w:spacing w:val="-7"/>
                <w:sz w:val="24"/>
              </w:rPr>
              <w:t>出生年月日、服務機關及職稱、住居所、國民身分證統</w:t>
            </w:r>
            <w:r>
              <w:rPr>
                <w:rFonts w:ascii="細明體" w:hAnsi="細明體" w:eastAsia="細明體" w:hint="eastAsia"/>
                <w:sz w:val="24"/>
              </w:rPr>
              <w:t>一編號。</w:t>
            </w:r>
          </w:p>
          <w:p>
            <w:pPr>
              <w:pStyle w:val="TableParagraph"/>
              <w:spacing w:line="295" w:lineRule="auto" w:before="5"/>
              <w:ind w:left="471" w:right="9" w:hanging="444"/>
              <w:jc w:val="both"/>
              <w:rPr>
                <w:rFonts w:ascii="細明體" w:eastAsia="細明體" w:hint="eastAsia"/>
                <w:sz w:val="24"/>
              </w:rPr>
            </w:pPr>
            <w:r>
              <w:rPr>
                <w:rFonts w:ascii="細明體" w:eastAsia="細明體" w:hint="eastAsia"/>
                <w:spacing w:val="6"/>
                <w:sz w:val="24"/>
              </w:rPr>
              <w:t>二 有代理人者，其姓名、出</w:t>
            </w:r>
            <w:r>
              <w:rPr>
                <w:rFonts w:ascii="細明體" w:eastAsia="細明體" w:hint="eastAsia"/>
                <w:spacing w:val="-7"/>
                <w:sz w:val="24"/>
              </w:rPr>
              <w:t>生年月日、住居所、國民身</w:t>
            </w:r>
            <w:r>
              <w:rPr>
                <w:rFonts w:ascii="細明體" w:eastAsia="細明體" w:hint="eastAsia"/>
                <w:sz w:val="24"/>
              </w:rPr>
              <w:t>分證統一編號。</w:t>
            </w:r>
          </w:p>
          <w:p>
            <w:pPr>
              <w:pStyle w:val="TableParagraph"/>
              <w:spacing w:before="3"/>
              <w:jc w:val="both"/>
              <w:rPr>
                <w:rFonts w:ascii="細明體" w:eastAsia="細明體" w:hint="eastAsia"/>
                <w:sz w:val="24"/>
              </w:rPr>
            </w:pPr>
            <w:r>
              <w:rPr>
                <w:rFonts w:ascii="細明體" w:eastAsia="細明體" w:hint="eastAsia"/>
                <w:spacing w:val="6"/>
                <w:sz w:val="24"/>
              </w:rPr>
              <w:t>三 參與調處之副主任委員、</w:t>
            </w:r>
          </w:p>
        </w:tc>
        <w:tc>
          <w:tcPr>
            <w:tcW w:w="3295" w:type="dxa"/>
          </w:tcPr>
          <w:p>
            <w:pPr>
              <w:pStyle w:val="TableParagraph"/>
              <w:ind w:left="46"/>
              <w:rPr>
                <w:sz w:val="24"/>
              </w:rPr>
            </w:pPr>
            <w:r>
              <w:rPr>
                <w:sz w:val="24"/>
              </w:rPr>
              <w:t>第八十七條</w:t>
            </w:r>
          </w:p>
          <w:p>
            <w:pPr>
              <w:pStyle w:val="TableParagraph"/>
              <w:spacing w:line="295" w:lineRule="auto" w:before="78"/>
              <w:ind w:right="-29" w:firstLine="480"/>
              <w:jc w:val="both"/>
              <w:rPr>
                <w:rFonts w:ascii="細明體" w:eastAsia="細明體" w:hint="eastAsia"/>
                <w:sz w:val="24"/>
              </w:rPr>
            </w:pPr>
            <w:r>
              <w:rPr>
                <w:rFonts w:ascii="細明體" w:eastAsia="細明體" w:hint="eastAsia"/>
                <w:spacing w:val="39"/>
                <w:sz w:val="24"/>
              </w:rPr>
              <w:t>再申訴事件經調處成立</w:t>
            </w:r>
            <w:r>
              <w:rPr>
                <w:rFonts w:ascii="細明體" w:eastAsia="細明體" w:hint="eastAsia"/>
                <w:spacing w:val="-7"/>
                <w:sz w:val="24"/>
              </w:rPr>
              <w:t>者，保訓會應作成調處書，記載</w:t>
            </w:r>
            <w:r>
              <w:rPr>
                <w:rFonts w:ascii="細明體" w:eastAsia="細明體" w:hint="eastAsia"/>
                <w:spacing w:val="-12"/>
                <w:sz w:val="24"/>
              </w:rPr>
              <w:t>下列事項，並函知再申訴人及有</w:t>
            </w:r>
            <w:r>
              <w:rPr>
                <w:rFonts w:ascii="細明體" w:eastAsia="細明體" w:hint="eastAsia"/>
                <w:sz w:val="24"/>
              </w:rPr>
              <w:t>關機關：</w:t>
            </w:r>
          </w:p>
          <w:p>
            <w:pPr>
              <w:pStyle w:val="TableParagraph"/>
              <w:spacing w:line="295" w:lineRule="auto" w:before="5"/>
              <w:ind w:left="471" w:right="-44" w:hanging="444"/>
              <w:jc w:val="both"/>
              <w:rPr>
                <w:rFonts w:ascii="細明體" w:hAnsi="細明體" w:eastAsia="細明體" w:hint="eastAsia"/>
                <w:sz w:val="24"/>
              </w:rPr>
            </w:pPr>
            <w:r>
              <w:rPr>
                <w:rFonts w:ascii="細明體" w:hAnsi="細明體" w:eastAsia="細明體" w:hint="eastAsia"/>
                <w:spacing w:val="6"/>
                <w:sz w:val="24"/>
              </w:rPr>
              <w:t>— 再申訴人姓名、出生年月</w:t>
            </w:r>
            <w:r>
              <w:rPr>
                <w:rFonts w:ascii="細明體" w:hAnsi="細明體" w:eastAsia="細明體" w:hint="eastAsia"/>
                <w:spacing w:val="-4"/>
                <w:sz w:val="24"/>
              </w:rPr>
              <w:t>日、服務機關及職稱、住居</w:t>
            </w:r>
            <w:r>
              <w:rPr>
                <w:rFonts w:ascii="細明體" w:hAnsi="細明體" w:eastAsia="細明體" w:hint="eastAsia"/>
                <w:spacing w:val="-3"/>
                <w:sz w:val="24"/>
              </w:rPr>
              <w:t>所、國民身分證統一編號。</w:t>
            </w:r>
          </w:p>
          <w:p>
            <w:pPr>
              <w:pStyle w:val="TableParagraph"/>
              <w:spacing w:line="295" w:lineRule="auto" w:before="4"/>
              <w:ind w:left="471" w:right="15" w:hanging="444"/>
              <w:jc w:val="both"/>
              <w:rPr>
                <w:rFonts w:ascii="細明體" w:eastAsia="細明體" w:hint="eastAsia"/>
                <w:sz w:val="24"/>
              </w:rPr>
            </w:pPr>
            <w:r>
              <w:rPr>
                <w:rFonts w:ascii="細明體" w:eastAsia="細明體" w:hint="eastAsia"/>
                <w:spacing w:val="-3"/>
                <w:sz w:val="24"/>
              </w:rPr>
              <w:t>二 有代理人者，其姓名、出生</w:t>
            </w:r>
            <w:r>
              <w:rPr>
                <w:rFonts w:ascii="細明體" w:eastAsia="細明體" w:hint="eastAsia"/>
                <w:spacing w:val="-8"/>
                <w:sz w:val="24"/>
              </w:rPr>
              <w:t>年月日、住居所、國民身分</w:t>
            </w:r>
            <w:r>
              <w:rPr>
                <w:rFonts w:ascii="細明體" w:eastAsia="細明體" w:hint="eastAsia"/>
                <w:sz w:val="24"/>
              </w:rPr>
              <w:t>證統一編號。</w:t>
            </w:r>
          </w:p>
          <w:p>
            <w:pPr>
              <w:pStyle w:val="TableParagraph"/>
              <w:spacing w:before="3"/>
              <w:jc w:val="both"/>
              <w:rPr>
                <w:rFonts w:ascii="細明體" w:eastAsia="細明體" w:hint="eastAsia"/>
                <w:sz w:val="24"/>
              </w:rPr>
            </w:pPr>
            <w:r>
              <w:rPr>
                <w:rFonts w:ascii="細明體" w:eastAsia="細明體" w:hint="eastAsia"/>
                <w:spacing w:val="-10"/>
                <w:sz w:val="24"/>
              </w:rPr>
              <w:t>三 參與調處之副主任委員、委</w:t>
            </w:r>
          </w:p>
          <w:p>
            <w:pPr>
              <w:pStyle w:val="TableParagraph"/>
              <w:spacing w:before="78"/>
              <w:ind w:left="471"/>
              <w:rPr>
                <w:rFonts w:ascii="細明體" w:eastAsia="細明體" w:hint="eastAsia"/>
                <w:sz w:val="24"/>
              </w:rPr>
            </w:pPr>
            <w:r>
              <w:rPr>
                <w:rFonts w:ascii="細明體" w:eastAsia="細明體" w:hint="eastAsia"/>
                <w:sz w:val="24"/>
              </w:rPr>
              <w:t>員姓名。</w:t>
            </w:r>
          </w:p>
        </w:tc>
        <w:tc>
          <w:tcPr>
            <w:tcW w:w="3296" w:type="dxa"/>
          </w:tcPr>
          <w:p>
            <w:pPr>
              <w:pStyle w:val="TableParagraph"/>
              <w:spacing w:line="295" w:lineRule="auto"/>
              <w:ind w:left="28" w:right="4" w:firstLine="480"/>
              <w:rPr>
                <w:rFonts w:ascii="Times New Roman" w:eastAsia="Times New Roman"/>
                <w:sz w:val="24"/>
              </w:rPr>
            </w:pPr>
            <w:r>
              <w:rPr>
                <w:spacing w:val="10"/>
                <w:sz w:val="24"/>
              </w:rPr>
              <w:t>為配合復審事件得適用調</w:t>
            </w:r>
            <w:r>
              <w:rPr>
                <w:spacing w:val="2"/>
                <w:sz w:val="24"/>
              </w:rPr>
              <w:t>處制度之修正，爰於本條第 </w:t>
            </w:r>
            <w:r>
              <w:rPr>
                <w:rFonts w:ascii="Times New Roman" w:eastAsia="Times New Roman"/>
                <w:sz w:val="24"/>
              </w:rPr>
              <w:t>1</w:t>
            </w:r>
          </w:p>
          <w:p>
            <w:pPr>
              <w:pStyle w:val="TableParagraph"/>
              <w:spacing w:line="295" w:lineRule="auto" w:before="2"/>
              <w:ind w:left="28" w:right="16"/>
              <w:rPr>
                <w:sz w:val="24"/>
              </w:rPr>
            </w:pPr>
            <w:r>
              <w:rPr>
                <w:spacing w:val="-3"/>
                <w:sz w:val="24"/>
              </w:rPr>
              <w:t>項及第 </w:t>
            </w:r>
            <w:r>
              <w:rPr>
                <w:rFonts w:ascii="Times New Roman" w:eastAsia="Times New Roman"/>
                <w:sz w:val="24"/>
              </w:rPr>
              <w:t>3</w:t>
            </w:r>
            <w:r>
              <w:rPr>
                <w:rFonts w:ascii="Times New Roman" w:eastAsia="Times New Roman"/>
                <w:spacing w:val="-7"/>
                <w:sz w:val="24"/>
              </w:rPr>
              <w:t> </w:t>
            </w:r>
            <w:r>
              <w:rPr>
                <w:spacing w:val="-14"/>
                <w:sz w:val="24"/>
              </w:rPr>
              <w:t>項修正文字用語，增訂</w:t>
            </w:r>
            <w:r>
              <w:rPr>
                <w:sz w:val="24"/>
              </w:rPr>
              <w:t>復審人之用語。</w:t>
            </w:r>
          </w:p>
        </w:tc>
      </w:tr>
    </w:tbl>
    <w:p>
      <w:pPr>
        <w:spacing w:after="0" w:line="295" w:lineRule="auto"/>
        <w:rPr>
          <w:sz w:val="24"/>
        </w:rPr>
        <w:sectPr>
          <w:pgSz w:w="11910" w:h="16840"/>
          <w:pgMar w:header="0" w:footer="938" w:top="1440" w:bottom="112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5381" w:hRule="atLeast"/>
        </w:trPr>
        <w:tc>
          <w:tcPr>
            <w:tcW w:w="3295" w:type="dxa"/>
          </w:tcPr>
          <w:p>
            <w:pPr>
              <w:pStyle w:val="TableParagraph"/>
              <w:tabs>
                <w:tab w:pos="507" w:val="left" w:leader="none"/>
              </w:tabs>
              <w:spacing w:line="295" w:lineRule="auto"/>
              <w:ind w:right="1575" w:firstLine="444"/>
              <w:rPr>
                <w:rFonts w:ascii="細明體" w:eastAsia="細明體" w:hint="eastAsia"/>
                <w:sz w:val="24"/>
              </w:rPr>
            </w:pPr>
            <w:r>
              <w:rPr>
                <w:rFonts w:ascii="細明體" w:eastAsia="細明體" w:hint="eastAsia"/>
                <w:sz w:val="24"/>
              </w:rPr>
              <w:t>委員姓名。四</w:t>
              <w:tab/>
            </w:r>
            <w:r>
              <w:rPr>
                <w:rFonts w:ascii="細明體" w:eastAsia="細明體" w:hint="eastAsia"/>
                <w:spacing w:val="-1"/>
                <w:sz w:val="24"/>
              </w:rPr>
              <w:t>調處事由</w:t>
            </w:r>
            <w:r>
              <w:rPr>
                <w:rFonts w:ascii="細明體" w:eastAsia="細明體" w:hint="eastAsia"/>
                <w:sz w:val="24"/>
              </w:rPr>
              <w:t>。</w:t>
            </w:r>
          </w:p>
          <w:p>
            <w:pPr>
              <w:pStyle w:val="TableParagraph"/>
              <w:tabs>
                <w:tab w:pos="507" w:val="left" w:leader="none"/>
              </w:tabs>
              <w:spacing w:line="295" w:lineRule="auto" w:before="2"/>
              <w:ind w:right="615"/>
              <w:rPr>
                <w:rFonts w:ascii="細明體" w:eastAsia="細明體" w:hint="eastAsia"/>
                <w:sz w:val="24"/>
              </w:rPr>
            </w:pPr>
            <w:r>
              <w:rPr>
                <w:rFonts w:ascii="細明體" w:eastAsia="細明體" w:hint="eastAsia"/>
                <w:sz w:val="24"/>
              </w:rPr>
              <w:t>五</w:t>
              <w:tab/>
              <w:t>調處成立之內容。</w:t>
            </w:r>
            <w:r>
              <w:rPr>
                <w:rFonts w:ascii="細明體" w:eastAsia="細明體" w:hint="eastAsia"/>
                <w:spacing w:val="1"/>
                <w:sz w:val="24"/>
              </w:rPr>
              <w:t> </w:t>
            </w:r>
            <w:r>
              <w:rPr>
                <w:rFonts w:ascii="細明體" w:eastAsia="細明體" w:hint="eastAsia"/>
                <w:sz w:val="24"/>
              </w:rPr>
              <w:t>六</w:t>
              <w:tab/>
              <w:t>調處成立之場所。</w:t>
            </w:r>
            <w:r>
              <w:rPr>
                <w:rFonts w:ascii="細明體" w:eastAsia="細明體" w:hint="eastAsia"/>
                <w:spacing w:val="1"/>
                <w:sz w:val="24"/>
              </w:rPr>
              <w:t> </w:t>
            </w:r>
            <w:r>
              <w:rPr>
                <w:rFonts w:ascii="細明體" w:eastAsia="細明體" w:hint="eastAsia"/>
                <w:sz w:val="24"/>
              </w:rPr>
              <w:t>七</w:t>
              <w:tab/>
            </w:r>
            <w:r>
              <w:rPr>
                <w:rFonts w:ascii="細明體" w:eastAsia="細明體" w:hint="eastAsia"/>
                <w:spacing w:val="-1"/>
                <w:sz w:val="24"/>
              </w:rPr>
              <w:t>調處成立</w:t>
            </w:r>
            <w:r>
              <w:rPr>
                <w:rFonts w:ascii="細明體" w:eastAsia="細明體" w:hint="eastAsia"/>
                <w:sz w:val="24"/>
              </w:rPr>
              <w:t>之年月日。</w:t>
            </w:r>
          </w:p>
          <w:p>
            <w:pPr>
              <w:pStyle w:val="TableParagraph"/>
              <w:spacing w:line="295" w:lineRule="auto" w:before="4"/>
              <w:ind w:right="3" w:firstLine="480"/>
              <w:jc w:val="both"/>
              <w:rPr>
                <w:rFonts w:ascii="細明體" w:eastAsia="細明體" w:hint="eastAsia"/>
                <w:sz w:val="24"/>
              </w:rPr>
            </w:pPr>
            <w:r>
              <w:rPr>
                <w:rFonts w:ascii="細明體" w:eastAsia="細明體" w:hint="eastAsia"/>
                <w:spacing w:val="12"/>
                <w:sz w:val="24"/>
              </w:rPr>
              <w:t>前項經調處成立之</w:t>
            </w:r>
            <w:r>
              <w:rPr>
                <w:rFonts w:ascii="標楷體" w:eastAsia="標楷體" w:hint="eastAsia"/>
                <w:spacing w:val="7"/>
                <w:sz w:val="24"/>
                <w:u w:val="thick"/>
              </w:rPr>
              <w:t>復審事</w:t>
            </w:r>
            <w:r>
              <w:rPr>
                <w:rFonts w:ascii="標楷體" w:eastAsia="標楷體" w:hint="eastAsia"/>
                <w:sz w:val="24"/>
                <w:u w:val="thick"/>
              </w:rPr>
              <w:t>件或</w:t>
            </w:r>
            <w:r>
              <w:rPr>
                <w:rFonts w:ascii="細明體" w:eastAsia="細明體" w:hint="eastAsia"/>
                <w:sz w:val="24"/>
              </w:rPr>
              <w:t>再申訴事件，保訓會應終結其審理程序。</w:t>
            </w:r>
          </w:p>
        </w:tc>
        <w:tc>
          <w:tcPr>
            <w:tcW w:w="3295" w:type="dxa"/>
          </w:tcPr>
          <w:p>
            <w:pPr>
              <w:pStyle w:val="TableParagraph"/>
              <w:tabs>
                <w:tab w:pos="507" w:val="left" w:leader="none"/>
              </w:tabs>
              <w:rPr>
                <w:rFonts w:ascii="細明體" w:eastAsia="細明體" w:hint="eastAsia"/>
                <w:sz w:val="24"/>
              </w:rPr>
            </w:pPr>
            <w:r>
              <w:rPr>
                <w:rFonts w:ascii="細明體" w:eastAsia="細明體" w:hint="eastAsia"/>
                <w:sz w:val="24"/>
              </w:rPr>
              <w:t>四</w:t>
              <w:tab/>
              <w:t>調處事由。</w:t>
            </w:r>
          </w:p>
          <w:p>
            <w:pPr>
              <w:pStyle w:val="TableParagraph"/>
              <w:tabs>
                <w:tab w:pos="507" w:val="left" w:leader="none"/>
              </w:tabs>
              <w:spacing w:line="295" w:lineRule="auto" w:before="78"/>
              <w:ind w:right="615"/>
              <w:rPr>
                <w:rFonts w:ascii="細明體" w:eastAsia="細明體" w:hint="eastAsia"/>
                <w:sz w:val="24"/>
              </w:rPr>
            </w:pPr>
            <w:r>
              <w:rPr>
                <w:rFonts w:ascii="細明體" w:eastAsia="細明體" w:hint="eastAsia"/>
                <w:sz w:val="24"/>
              </w:rPr>
              <w:t>五</w:t>
              <w:tab/>
              <w:t>調處成立之內容。</w:t>
            </w:r>
            <w:r>
              <w:rPr>
                <w:rFonts w:ascii="細明體" w:eastAsia="細明體" w:hint="eastAsia"/>
                <w:spacing w:val="1"/>
                <w:sz w:val="24"/>
              </w:rPr>
              <w:t> </w:t>
            </w:r>
            <w:r>
              <w:rPr>
                <w:rFonts w:ascii="細明體" w:eastAsia="細明體" w:hint="eastAsia"/>
                <w:sz w:val="24"/>
              </w:rPr>
              <w:t>六</w:t>
              <w:tab/>
              <w:t>調處成立之場所。</w:t>
            </w:r>
            <w:r>
              <w:rPr>
                <w:rFonts w:ascii="細明體" w:eastAsia="細明體" w:hint="eastAsia"/>
                <w:spacing w:val="1"/>
                <w:sz w:val="24"/>
              </w:rPr>
              <w:t> </w:t>
            </w:r>
            <w:r>
              <w:rPr>
                <w:rFonts w:ascii="細明體" w:eastAsia="細明體" w:hint="eastAsia"/>
                <w:sz w:val="24"/>
              </w:rPr>
              <w:t>七</w:t>
              <w:tab/>
            </w:r>
            <w:r>
              <w:rPr>
                <w:rFonts w:ascii="細明體" w:eastAsia="細明體" w:hint="eastAsia"/>
                <w:spacing w:val="-1"/>
                <w:sz w:val="24"/>
              </w:rPr>
              <w:t>調處成立</w:t>
            </w:r>
            <w:r>
              <w:rPr>
                <w:rFonts w:ascii="細明體" w:eastAsia="細明體" w:hint="eastAsia"/>
                <w:sz w:val="24"/>
              </w:rPr>
              <w:t>之年月日。</w:t>
            </w:r>
          </w:p>
          <w:p>
            <w:pPr>
              <w:pStyle w:val="TableParagraph"/>
              <w:spacing w:line="295" w:lineRule="auto" w:before="4"/>
              <w:ind w:right="3" w:firstLine="480"/>
              <w:jc w:val="both"/>
              <w:rPr>
                <w:rFonts w:ascii="細明體" w:eastAsia="細明體" w:hint="eastAsia"/>
                <w:sz w:val="24"/>
              </w:rPr>
            </w:pPr>
            <w:r>
              <w:rPr>
                <w:rFonts w:ascii="細明體" w:eastAsia="細明體" w:hint="eastAsia"/>
                <w:spacing w:val="10"/>
                <w:sz w:val="24"/>
              </w:rPr>
              <w:t>前項經調處成立之再申訴</w:t>
            </w:r>
            <w:r>
              <w:rPr>
                <w:rFonts w:ascii="細明體" w:eastAsia="細明體" w:hint="eastAsia"/>
                <w:sz w:val="24"/>
              </w:rPr>
              <w:t>事件，保訓會應終結其審理程序。</w:t>
            </w:r>
          </w:p>
        </w:tc>
        <w:tc>
          <w:tcPr>
            <w:tcW w:w="3296" w:type="dxa"/>
          </w:tcPr>
          <w:p>
            <w:pPr>
              <w:pStyle w:val="TableParagraph"/>
              <w:spacing w:before="0"/>
              <w:ind w:left="0"/>
              <w:rPr>
                <w:rFonts w:ascii="Times New Roman"/>
                <w:sz w:val="22"/>
              </w:rPr>
            </w:pPr>
          </w:p>
        </w:tc>
      </w:tr>
      <w:tr>
        <w:trPr>
          <w:trHeight w:val="2484" w:hRule="atLeast"/>
        </w:trPr>
        <w:tc>
          <w:tcPr>
            <w:tcW w:w="3295" w:type="dxa"/>
          </w:tcPr>
          <w:p>
            <w:pPr>
              <w:pStyle w:val="TableParagraph"/>
              <w:ind w:left="46"/>
              <w:rPr>
                <w:sz w:val="24"/>
              </w:rPr>
            </w:pPr>
            <w:r>
              <w:rPr>
                <w:sz w:val="24"/>
              </w:rPr>
              <w:t>第八十八條</w:t>
            </w:r>
          </w:p>
          <w:p>
            <w:pPr>
              <w:pStyle w:val="TableParagraph"/>
              <w:spacing w:line="295" w:lineRule="auto" w:before="78"/>
              <w:ind w:right="3" w:firstLine="480"/>
              <w:jc w:val="both"/>
              <w:rPr>
                <w:rFonts w:ascii="細明體" w:eastAsia="細明體" w:hint="eastAsia"/>
                <w:sz w:val="24"/>
              </w:rPr>
            </w:pPr>
            <w:r>
              <w:rPr>
                <w:rFonts w:ascii="標楷體" w:eastAsia="標楷體" w:hint="eastAsia"/>
                <w:spacing w:val="12"/>
                <w:sz w:val="24"/>
                <w:u w:val="thick"/>
              </w:rPr>
              <w:t>復審事件或</w:t>
            </w:r>
            <w:r>
              <w:rPr>
                <w:rFonts w:ascii="細明體" w:eastAsia="細明體" w:hint="eastAsia"/>
                <w:spacing w:val="10"/>
                <w:sz w:val="24"/>
              </w:rPr>
              <w:t>再申訴事件經</w:t>
            </w:r>
            <w:r>
              <w:rPr>
                <w:rFonts w:ascii="細明體" w:eastAsia="細明體" w:hint="eastAsia"/>
                <w:sz w:val="24"/>
              </w:rPr>
              <w:t>調處不成立者，保訓會應逕依本法所定之</w:t>
            </w:r>
            <w:r>
              <w:rPr>
                <w:rFonts w:ascii="標楷體" w:eastAsia="標楷體" w:hint="eastAsia"/>
                <w:sz w:val="24"/>
                <w:u w:val="thick"/>
              </w:rPr>
              <w:t>復審程序或再申訴程序</w:t>
            </w:r>
            <w:r>
              <w:rPr>
                <w:rFonts w:ascii="細明體" w:eastAsia="細明體" w:hint="eastAsia"/>
                <w:sz w:val="24"/>
              </w:rPr>
              <w:t>為審議決定。</w:t>
            </w:r>
          </w:p>
        </w:tc>
        <w:tc>
          <w:tcPr>
            <w:tcW w:w="3295" w:type="dxa"/>
          </w:tcPr>
          <w:p>
            <w:pPr>
              <w:pStyle w:val="TableParagraph"/>
              <w:spacing w:before="6"/>
              <w:ind w:left="0"/>
              <w:rPr>
                <w:b/>
                <w:sz w:val="17"/>
              </w:rPr>
            </w:pPr>
          </w:p>
          <w:p>
            <w:pPr>
              <w:pStyle w:val="TableParagraph"/>
              <w:spacing w:before="1"/>
              <w:ind w:left="46"/>
              <w:rPr>
                <w:sz w:val="24"/>
              </w:rPr>
            </w:pPr>
            <w:r>
              <w:rPr>
                <w:sz w:val="24"/>
              </w:rPr>
              <w:t>第八十八條</w:t>
            </w:r>
          </w:p>
          <w:p>
            <w:pPr>
              <w:pStyle w:val="TableParagraph"/>
              <w:spacing w:line="295" w:lineRule="auto" w:before="78"/>
              <w:ind w:right="3" w:firstLine="480"/>
              <w:jc w:val="both"/>
              <w:rPr>
                <w:rFonts w:ascii="細明體" w:eastAsia="細明體" w:hint="eastAsia"/>
                <w:sz w:val="24"/>
              </w:rPr>
            </w:pPr>
            <w:r>
              <w:rPr>
                <w:rFonts w:ascii="細明體" w:eastAsia="細明體" w:hint="eastAsia"/>
                <w:spacing w:val="10"/>
                <w:sz w:val="24"/>
              </w:rPr>
              <w:t>再申訴事件經調處不成立</w:t>
            </w:r>
            <w:r>
              <w:rPr>
                <w:rFonts w:ascii="細明體" w:eastAsia="細明體" w:hint="eastAsia"/>
                <w:spacing w:val="-12"/>
                <w:sz w:val="24"/>
              </w:rPr>
              <w:t>者，保訓會應逕依本法所定之再</w:t>
            </w:r>
            <w:r>
              <w:rPr>
                <w:rFonts w:ascii="細明體" w:eastAsia="細明體" w:hint="eastAsia"/>
                <w:sz w:val="24"/>
              </w:rPr>
              <w:t>申訴程序為審議決定。</w:t>
            </w:r>
          </w:p>
        </w:tc>
        <w:tc>
          <w:tcPr>
            <w:tcW w:w="3296" w:type="dxa"/>
          </w:tcPr>
          <w:p>
            <w:pPr>
              <w:pStyle w:val="TableParagraph"/>
              <w:spacing w:before="6"/>
              <w:ind w:left="0"/>
              <w:rPr>
                <w:b/>
                <w:sz w:val="17"/>
              </w:rPr>
            </w:pPr>
          </w:p>
          <w:p>
            <w:pPr>
              <w:pStyle w:val="TableParagraph"/>
              <w:spacing w:line="295" w:lineRule="auto" w:before="1"/>
              <w:ind w:left="28" w:right="-44"/>
              <w:jc w:val="both"/>
              <w:rPr>
                <w:sz w:val="24"/>
              </w:rPr>
            </w:pPr>
            <w:r>
              <w:rPr>
                <w:spacing w:val="-11"/>
                <w:sz w:val="24"/>
              </w:rPr>
              <w:t>倘復審事件調處不成立，保訓會</w:t>
            </w:r>
            <w:r>
              <w:rPr>
                <w:sz w:val="24"/>
              </w:rPr>
              <w:t>應改依復審程序繼續審理；反</w:t>
            </w:r>
            <w:r>
              <w:rPr>
                <w:spacing w:val="-5"/>
                <w:sz w:val="24"/>
              </w:rPr>
              <w:t>之，倘再申訴事件調處不成立，</w:t>
            </w:r>
            <w:r>
              <w:rPr>
                <w:spacing w:val="-60"/>
                <w:sz w:val="24"/>
              </w:rPr>
              <w:t> </w:t>
            </w:r>
            <w:r>
              <w:rPr>
                <w:spacing w:val="32"/>
                <w:sz w:val="24"/>
              </w:rPr>
              <w:t>保訓會應改依再申訴程序審</w:t>
            </w:r>
            <w:r>
              <w:rPr>
                <w:sz w:val="24"/>
              </w:rPr>
              <w:t>理，爰做文字用語修正。</w:t>
            </w:r>
          </w:p>
        </w:tc>
      </w:tr>
    </w:tbl>
    <w:p>
      <w:pPr>
        <w:pStyle w:val="BodyText"/>
        <w:rPr>
          <w:b/>
          <w:sz w:val="20"/>
        </w:rPr>
      </w:pPr>
    </w:p>
    <w:p>
      <w:pPr>
        <w:pStyle w:val="BodyText"/>
        <w:rPr>
          <w:b/>
          <w:sz w:val="20"/>
        </w:rPr>
      </w:pPr>
    </w:p>
    <w:p>
      <w:pPr>
        <w:pStyle w:val="BodyText"/>
        <w:spacing w:before="2"/>
        <w:rPr>
          <w:b/>
          <w:sz w:val="16"/>
        </w:rPr>
      </w:pPr>
    </w:p>
    <w:p>
      <w:pPr>
        <w:pStyle w:val="Heading3"/>
        <w:spacing w:before="1"/>
        <w:rPr>
          <w:rFonts w:ascii="新細明體" w:eastAsia="新細明體" w:hint="eastAsia"/>
        </w:rPr>
      </w:pPr>
      <w:bookmarkStart w:name="_TOC_250006" w:id="33"/>
      <w:bookmarkEnd w:id="33"/>
      <w:r>
        <w:rPr>
          <w:rFonts w:ascii="新細明體" w:eastAsia="新細明體" w:hint="eastAsia"/>
          <w:w w:val="95"/>
        </w:rPr>
        <w:t>三、停止執行之修法建議</w:t>
      </w:r>
    </w:p>
    <w:p>
      <w:pPr>
        <w:pStyle w:val="BodyText"/>
        <w:spacing w:before="8"/>
        <w:rPr>
          <w:b/>
          <w:sz w:val="2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3726" w:hRule="atLeast"/>
        </w:trPr>
        <w:tc>
          <w:tcPr>
            <w:tcW w:w="3295" w:type="dxa"/>
          </w:tcPr>
          <w:p>
            <w:pPr>
              <w:pStyle w:val="TableParagraph"/>
              <w:spacing w:line="295" w:lineRule="auto"/>
              <w:ind w:right="255"/>
              <w:jc w:val="both"/>
              <w:rPr>
                <w:sz w:val="24"/>
              </w:rPr>
            </w:pPr>
            <w:r>
              <w:rPr>
                <w:sz w:val="24"/>
              </w:rPr>
              <w:t>第七章之一 暫時性權利保護第一百零一條之一</w:t>
            </w:r>
          </w:p>
          <w:p>
            <w:pPr>
              <w:pStyle w:val="TableParagraph"/>
              <w:spacing w:line="295" w:lineRule="auto" w:before="2"/>
              <w:ind w:right="3" w:firstLine="480"/>
              <w:jc w:val="both"/>
              <w:rPr>
                <w:sz w:val="24"/>
              </w:rPr>
            </w:pPr>
            <w:r>
              <w:rPr>
                <w:spacing w:val="10"/>
                <w:sz w:val="24"/>
              </w:rPr>
              <w:t>原行政處分、管理措施或</w:t>
            </w:r>
            <w:r>
              <w:rPr>
                <w:sz w:val="24"/>
              </w:rPr>
              <w:t>有關工作條件之處置，不因提起復審或再申訴而停止執行。</w:t>
            </w:r>
          </w:p>
          <w:p>
            <w:pPr>
              <w:pStyle w:val="TableParagraph"/>
              <w:spacing w:line="295" w:lineRule="auto" w:before="4"/>
              <w:ind w:right="3" w:firstLine="480"/>
              <w:jc w:val="both"/>
              <w:rPr>
                <w:sz w:val="24"/>
              </w:rPr>
            </w:pPr>
            <w:r>
              <w:rPr>
                <w:spacing w:val="10"/>
                <w:sz w:val="24"/>
              </w:rPr>
              <w:t>原行政處分、管理措施或</w:t>
            </w:r>
            <w:r>
              <w:rPr>
                <w:sz w:val="24"/>
              </w:rPr>
              <w:t>有關工作條件之處置合法性顯有疑義者，或其執行將發生難</w:t>
            </w:r>
          </w:p>
          <w:p>
            <w:pPr>
              <w:pStyle w:val="TableParagraph"/>
              <w:spacing w:before="3"/>
              <w:ind w:right="-15"/>
              <w:rPr>
                <w:sz w:val="24"/>
              </w:rPr>
            </w:pPr>
            <w:r>
              <w:rPr>
                <w:spacing w:val="31"/>
                <w:sz w:val="24"/>
              </w:rPr>
              <w:t>以回復之損害，且有急迫情</w:t>
            </w:r>
          </w:p>
        </w:tc>
        <w:tc>
          <w:tcPr>
            <w:tcW w:w="3295" w:type="dxa"/>
          </w:tcPr>
          <w:p>
            <w:pPr>
              <w:pStyle w:val="TableParagraph"/>
              <w:spacing w:before="0"/>
              <w:ind w:left="0"/>
              <w:rPr>
                <w:rFonts w:ascii="Times New Roman"/>
                <w:sz w:val="22"/>
              </w:rPr>
            </w:pPr>
          </w:p>
        </w:tc>
        <w:tc>
          <w:tcPr>
            <w:tcW w:w="3296" w:type="dxa"/>
          </w:tcPr>
          <w:p>
            <w:pPr>
              <w:pStyle w:val="TableParagraph"/>
              <w:spacing w:line="295" w:lineRule="auto"/>
              <w:ind w:left="436" w:right="6" w:hanging="408"/>
              <w:rPr>
                <w:sz w:val="24"/>
              </w:rPr>
            </w:pPr>
            <w:r>
              <w:rPr>
                <w:sz w:val="24"/>
              </w:rPr>
              <w:t>一、本條由第八十九條移列而來。</w:t>
            </w:r>
          </w:p>
          <w:p>
            <w:pPr>
              <w:pStyle w:val="TableParagraph"/>
              <w:spacing w:line="295" w:lineRule="auto" w:before="2"/>
              <w:ind w:left="436" w:right="-15" w:hanging="408"/>
              <w:jc w:val="both"/>
              <w:rPr>
                <w:sz w:val="24"/>
              </w:rPr>
            </w:pPr>
            <w:r>
              <w:rPr>
                <w:spacing w:val="-12"/>
                <w:sz w:val="24"/>
              </w:rPr>
              <w:t>二、為建立一完整之暫時權利保</w:t>
            </w:r>
            <w:r>
              <w:rPr>
                <w:spacing w:val="-3"/>
                <w:sz w:val="24"/>
              </w:rPr>
              <w:t>護制度，應設置專章，除將</w:t>
            </w:r>
            <w:r>
              <w:rPr>
                <w:spacing w:val="19"/>
                <w:sz w:val="24"/>
              </w:rPr>
              <w:t>有關停止執行之規定移列</w:t>
            </w:r>
            <w:r>
              <w:rPr>
                <w:spacing w:val="-3"/>
                <w:sz w:val="24"/>
              </w:rPr>
              <w:t>至本章外，並應增訂假處分</w:t>
            </w:r>
            <w:r>
              <w:rPr>
                <w:sz w:val="24"/>
              </w:rPr>
              <w:t>制度。</w:t>
            </w:r>
          </w:p>
        </w:tc>
      </w:tr>
    </w:tbl>
    <w:p>
      <w:pPr>
        <w:spacing w:after="0" w:line="295" w:lineRule="auto"/>
        <w:jc w:val="both"/>
        <w:rPr>
          <w:sz w:val="24"/>
        </w:rPr>
        <w:sectPr>
          <w:pgSz w:w="11910" w:h="16840"/>
          <w:pgMar w:header="0" w:footer="938" w:top="1440" w:bottom="112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2898" w:hRule="atLeast"/>
        </w:trPr>
        <w:tc>
          <w:tcPr>
            <w:tcW w:w="3295" w:type="dxa"/>
          </w:tcPr>
          <w:p>
            <w:pPr>
              <w:pStyle w:val="TableParagraph"/>
              <w:spacing w:line="295" w:lineRule="auto"/>
              <w:ind w:right="6"/>
              <w:jc w:val="both"/>
              <w:rPr>
                <w:sz w:val="24"/>
              </w:rPr>
            </w:pPr>
            <w:r>
              <w:rPr>
                <w:sz w:val="24"/>
              </w:rPr>
              <w:t>事，並非為維護重大公共利益所必要者，保訓會、原處分機關或服務機關得依職權或依申請，就原行政處分、管理措施或有關工作條件之處置全部或一部，停止執行。</w:t>
            </w:r>
          </w:p>
        </w:tc>
        <w:tc>
          <w:tcPr>
            <w:tcW w:w="3295" w:type="dxa"/>
          </w:tcPr>
          <w:p>
            <w:pPr>
              <w:pStyle w:val="TableParagraph"/>
              <w:spacing w:before="0"/>
              <w:ind w:left="0"/>
              <w:rPr>
                <w:rFonts w:ascii="Times New Roman"/>
                <w:sz w:val="22"/>
              </w:rPr>
            </w:pPr>
          </w:p>
        </w:tc>
        <w:tc>
          <w:tcPr>
            <w:tcW w:w="3296" w:type="dxa"/>
          </w:tcPr>
          <w:p>
            <w:pPr>
              <w:pStyle w:val="TableParagraph"/>
              <w:spacing w:before="0"/>
              <w:ind w:left="0"/>
              <w:rPr>
                <w:rFonts w:ascii="Times New Roman"/>
                <w:sz w:val="22"/>
              </w:rPr>
            </w:pPr>
          </w:p>
        </w:tc>
      </w:tr>
      <w:tr>
        <w:trPr>
          <w:trHeight w:val="2897" w:hRule="atLeast"/>
        </w:trPr>
        <w:tc>
          <w:tcPr>
            <w:tcW w:w="3295" w:type="dxa"/>
          </w:tcPr>
          <w:p>
            <w:pPr>
              <w:pStyle w:val="TableParagraph"/>
              <w:rPr>
                <w:sz w:val="24"/>
              </w:rPr>
            </w:pPr>
            <w:r>
              <w:rPr>
                <w:sz w:val="24"/>
              </w:rPr>
              <w:t>第一百零一條之二</w:t>
            </w:r>
          </w:p>
          <w:p>
            <w:pPr>
              <w:pStyle w:val="TableParagraph"/>
              <w:spacing w:line="295" w:lineRule="auto" w:before="78"/>
              <w:ind w:left="81" w:right="-15" w:firstLine="480"/>
              <w:jc w:val="both"/>
              <w:rPr>
                <w:sz w:val="24"/>
              </w:rPr>
            </w:pPr>
            <w:r>
              <w:rPr>
                <w:sz w:val="24"/>
              </w:rPr>
              <w:t>停止執行之原因消滅，或有其他情事變更之情形，保訓會、原處分機關或服務機關得</w:t>
            </w:r>
            <w:r>
              <w:rPr>
                <w:spacing w:val="27"/>
                <w:sz w:val="24"/>
              </w:rPr>
              <w:t>依職權或依申請撤銷停止執</w:t>
            </w:r>
            <w:r>
              <w:rPr>
                <w:sz w:val="24"/>
              </w:rPr>
              <w:t>行。</w:t>
            </w:r>
          </w:p>
        </w:tc>
        <w:tc>
          <w:tcPr>
            <w:tcW w:w="3295" w:type="dxa"/>
          </w:tcPr>
          <w:p>
            <w:pPr>
              <w:pStyle w:val="TableParagraph"/>
              <w:spacing w:before="0"/>
              <w:ind w:left="0"/>
              <w:rPr>
                <w:rFonts w:ascii="Times New Roman"/>
                <w:sz w:val="22"/>
              </w:rPr>
            </w:pPr>
          </w:p>
        </w:tc>
        <w:tc>
          <w:tcPr>
            <w:tcW w:w="3296" w:type="dxa"/>
          </w:tcPr>
          <w:p>
            <w:pPr>
              <w:pStyle w:val="TableParagraph"/>
              <w:ind w:left="508"/>
              <w:rPr>
                <w:sz w:val="24"/>
              </w:rPr>
            </w:pPr>
            <w:r>
              <w:rPr>
                <w:sz w:val="24"/>
              </w:rPr>
              <w:t>本條由第九十條移列而來</w:t>
            </w:r>
          </w:p>
        </w:tc>
      </w:tr>
      <w:tr>
        <w:trPr>
          <w:trHeight w:val="5381" w:hRule="atLeast"/>
        </w:trPr>
        <w:tc>
          <w:tcPr>
            <w:tcW w:w="3295" w:type="dxa"/>
          </w:tcPr>
          <w:p>
            <w:pPr>
              <w:pStyle w:val="TableParagraph"/>
              <w:rPr>
                <w:sz w:val="24"/>
              </w:rPr>
            </w:pPr>
            <w:r>
              <w:rPr>
                <w:sz w:val="24"/>
              </w:rPr>
              <w:t>第一百零一條之三</w:t>
            </w:r>
          </w:p>
          <w:p>
            <w:pPr>
              <w:pStyle w:val="TableParagraph"/>
              <w:spacing w:line="295" w:lineRule="auto" w:before="78"/>
              <w:ind w:right="-29" w:firstLine="480"/>
              <w:jc w:val="both"/>
              <w:rPr>
                <w:sz w:val="24"/>
              </w:rPr>
            </w:pPr>
            <w:r>
              <w:rPr>
                <w:spacing w:val="39"/>
                <w:sz w:val="24"/>
              </w:rPr>
              <w:t>公法上之權利因現狀變</w:t>
            </w:r>
            <w:r>
              <w:rPr>
                <w:sz w:val="24"/>
              </w:rPr>
              <w:t>更，有不能實現或甚難實現之虞者，為保全強制執行，得向保訓會申請假處分。</w:t>
            </w:r>
          </w:p>
          <w:p>
            <w:pPr>
              <w:pStyle w:val="TableParagraph"/>
              <w:spacing w:line="295" w:lineRule="auto" w:before="5"/>
              <w:ind w:right="-15" w:firstLine="544"/>
              <w:jc w:val="both"/>
              <w:rPr>
                <w:sz w:val="24"/>
              </w:rPr>
            </w:pPr>
            <w:r>
              <w:rPr>
                <w:spacing w:val="30"/>
                <w:sz w:val="24"/>
              </w:rPr>
              <w:t>於爭執之公法上法律關</w:t>
            </w:r>
            <w:r>
              <w:rPr>
                <w:sz w:val="24"/>
              </w:rPr>
              <w:t>係，為防止發生重大之損害或避免急迫之危險而有必要時，</w:t>
            </w:r>
            <w:r>
              <w:rPr>
                <w:spacing w:val="1"/>
                <w:sz w:val="24"/>
              </w:rPr>
              <w:t> </w:t>
            </w:r>
            <w:r>
              <w:rPr>
                <w:sz w:val="24"/>
              </w:rPr>
              <w:t>得向保訓會申請為定暫時狀態之處分。</w:t>
            </w:r>
          </w:p>
          <w:p>
            <w:pPr>
              <w:pStyle w:val="TableParagraph"/>
              <w:spacing w:line="295" w:lineRule="auto" w:before="6"/>
              <w:ind w:left="81" w:right="16" w:firstLine="424"/>
              <w:rPr>
                <w:sz w:val="24"/>
              </w:rPr>
            </w:pPr>
            <w:r>
              <w:rPr>
                <w:spacing w:val="-12"/>
                <w:sz w:val="24"/>
              </w:rPr>
              <w:t>前項處分，保訓會得命為一</w:t>
            </w:r>
            <w:r>
              <w:rPr>
                <w:sz w:val="24"/>
              </w:rPr>
              <w:t>定之給付。</w:t>
            </w:r>
          </w:p>
        </w:tc>
        <w:tc>
          <w:tcPr>
            <w:tcW w:w="3295" w:type="dxa"/>
          </w:tcPr>
          <w:p>
            <w:pPr>
              <w:pStyle w:val="TableParagraph"/>
              <w:spacing w:before="0"/>
              <w:ind w:left="0"/>
              <w:rPr>
                <w:rFonts w:ascii="Times New Roman"/>
                <w:sz w:val="22"/>
              </w:rPr>
            </w:pPr>
          </w:p>
        </w:tc>
        <w:tc>
          <w:tcPr>
            <w:tcW w:w="3296" w:type="dxa"/>
          </w:tcPr>
          <w:p>
            <w:pPr>
              <w:pStyle w:val="TableParagraph"/>
              <w:ind w:left="28"/>
              <w:rPr>
                <w:sz w:val="24"/>
              </w:rPr>
            </w:pPr>
            <w:r>
              <w:rPr>
                <w:sz w:val="24"/>
              </w:rPr>
              <w:t>一、本條新增。</w:t>
            </w:r>
          </w:p>
          <w:p>
            <w:pPr>
              <w:pStyle w:val="TableParagraph"/>
              <w:spacing w:line="295" w:lineRule="auto" w:before="78"/>
              <w:ind w:left="436" w:right="16" w:hanging="408"/>
              <w:jc w:val="both"/>
              <w:rPr>
                <w:sz w:val="24"/>
              </w:rPr>
            </w:pPr>
            <w:r>
              <w:rPr>
                <w:spacing w:val="-12"/>
                <w:sz w:val="24"/>
              </w:rPr>
              <w:t>二、為因應本案為給付類型之暫</w:t>
            </w:r>
            <w:r>
              <w:rPr>
                <w:spacing w:val="-5"/>
                <w:sz w:val="24"/>
              </w:rPr>
              <w:t>時權利保護需求，爰參考行</w:t>
            </w:r>
            <w:r>
              <w:rPr>
                <w:spacing w:val="-6"/>
                <w:sz w:val="24"/>
              </w:rPr>
              <w:t>政訴訟法第 </w:t>
            </w:r>
            <w:r>
              <w:rPr>
                <w:rFonts w:ascii="Times New Roman" w:eastAsia="Times New Roman"/>
                <w:spacing w:val="-3"/>
                <w:sz w:val="24"/>
              </w:rPr>
              <w:t>298</w:t>
            </w:r>
            <w:r>
              <w:rPr>
                <w:rFonts w:ascii="Times New Roman" w:eastAsia="Times New Roman"/>
                <w:spacing w:val="-10"/>
                <w:sz w:val="24"/>
              </w:rPr>
              <w:t> </w:t>
            </w:r>
            <w:r>
              <w:rPr>
                <w:spacing w:val="-3"/>
                <w:sz w:val="24"/>
              </w:rPr>
              <w:t>條，於保障</w:t>
            </w:r>
            <w:r>
              <w:rPr>
                <w:sz w:val="24"/>
              </w:rPr>
              <w:t>法中創設假處分制度。</w:t>
            </w:r>
          </w:p>
        </w:tc>
      </w:tr>
      <w:tr>
        <w:trPr>
          <w:trHeight w:val="2070" w:hRule="atLeast"/>
        </w:trPr>
        <w:tc>
          <w:tcPr>
            <w:tcW w:w="3295" w:type="dxa"/>
          </w:tcPr>
          <w:p>
            <w:pPr>
              <w:pStyle w:val="TableParagraph"/>
              <w:rPr>
                <w:sz w:val="24"/>
              </w:rPr>
            </w:pPr>
            <w:r>
              <w:rPr>
                <w:sz w:val="24"/>
              </w:rPr>
              <w:t>第一百零一條之四</w:t>
            </w:r>
          </w:p>
          <w:p>
            <w:pPr>
              <w:pStyle w:val="TableParagraph"/>
              <w:spacing w:line="295" w:lineRule="auto" w:before="78"/>
              <w:ind w:right="-44" w:firstLine="480"/>
              <w:jc w:val="both"/>
              <w:rPr>
                <w:sz w:val="24"/>
              </w:rPr>
            </w:pPr>
            <w:r>
              <w:rPr>
                <w:spacing w:val="12"/>
                <w:sz w:val="24"/>
              </w:rPr>
              <w:t>得依第一百零一條之一請</w:t>
            </w:r>
            <w:r>
              <w:rPr>
                <w:spacing w:val="32"/>
                <w:sz w:val="24"/>
              </w:rPr>
              <w:t>求停止原處分或決定之執行</w:t>
            </w:r>
            <w:r>
              <w:rPr>
                <w:spacing w:val="-5"/>
                <w:sz w:val="24"/>
              </w:rPr>
              <w:t>者，不得申請為前條之假處分。</w:t>
            </w:r>
          </w:p>
        </w:tc>
        <w:tc>
          <w:tcPr>
            <w:tcW w:w="3295" w:type="dxa"/>
          </w:tcPr>
          <w:p>
            <w:pPr>
              <w:pStyle w:val="TableParagraph"/>
              <w:spacing w:before="0"/>
              <w:ind w:left="0"/>
              <w:rPr>
                <w:rFonts w:ascii="Times New Roman"/>
                <w:sz w:val="22"/>
              </w:rPr>
            </w:pPr>
          </w:p>
        </w:tc>
        <w:tc>
          <w:tcPr>
            <w:tcW w:w="3296" w:type="dxa"/>
          </w:tcPr>
          <w:p>
            <w:pPr>
              <w:pStyle w:val="TableParagraph"/>
              <w:ind w:left="28"/>
              <w:rPr>
                <w:sz w:val="24"/>
              </w:rPr>
            </w:pPr>
            <w:r>
              <w:rPr>
                <w:sz w:val="24"/>
              </w:rPr>
              <w:t>一、本條新增。</w:t>
            </w:r>
          </w:p>
          <w:p>
            <w:pPr>
              <w:pStyle w:val="TableParagraph"/>
              <w:spacing w:line="410" w:lineRule="atLeast" w:before="4"/>
              <w:ind w:left="436" w:right="-44" w:hanging="408"/>
              <w:jc w:val="both"/>
              <w:rPr>
                <w:sz w:val="24"/>
              </w:rPr>
            </w:pPr>
            <w:r>
              <w:rPr>
                <w:spacing w:val="-12"/>
                <w:sz w:val="24"/>
              </w:rPr>
              <w:t>二、凡法律已另設有類似之救濟</w:t>
            </w:r>
            <w:r>
              <w:rPr>
                <w:spacing w:val="-1"/>
                <w:sz w:val="24"/>
              </w:rPr>
              <w:t>手段時，假處分便無適用之餘地。故倘當事人已得依停</w:t>
            </w:r>
            <w:r>
              <w:rPr>
                <w:spacing w:val="43"/>
                <w:sz w:val="24"/>
              </w:rPr>
              <w:t>止執行達成暫時權利保</w:t>
            </w:r>
            <w:r>
              <w:rPr>
                <w:spacing w:val="-15"/>
                <w:sz w:val="24"/>
              </w:rPr>
              <w:t> </w:t>
            </w:r>
          </w:p>
        </w:tc>
      </w:tr>
    </w:tbl>
    <w:p>
      <w:pPr>
        <w:spacing w:after="0" w:line="410" w:lineRule="atLeast"/>
        <w:jc w:val="both"/>
        <w:rPr>
          <w:sz w:val="24"/>
        </w:rPr>
        <w:sectPr>
          <w:pgSz w:w="11910" w:h="16840"/>
          <w:pgMar w:header="0" w:footer="938" w:top="1440" w:bottom="1120" w:left="900" w:right="88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5"/>
        <w:gridCol w:w="3295"/>
        <w:gridCol w:w="3296"/>
      </w:tblGrid>
      <w:tr>
        <w:trPr>
          <w:trHeight w:val="413" w:hRule="atLeast"/>
        </w:trPr>
        <w:tc>
          <w:tcPr>
            <w:tcW w:w="3295" w:type="dxa"/>
          </w:tcPr>
          <w:p>
            <w:pPr>
              <w:pStyle w:val="TableParagraph"/>
              <w:rPr>
                <w:sz w:val="24"/>
              </w:rPr>
            </w:pPr>
            <w:r>
              <w:rPr>
                <w:sz w:val="24"/>
              </w:rPr>
              <w:t>修正條文</w:t>
            </w:r>
          </w:p>
        </w:tc>
        <w:tc>
          <w:tcPr>
            <w:tcW w:w="3295" w:type="dxa"/>
          </w:tcPr>
          <w:p>
            <w:pPr>
              <w:pStyle w:val="TableParagraph"/>
              <w:rPr>
                <w:sz w:val="24"/>
              </w:rPr>
            </w:pPr>
            <w:r>
              <w:rPr>
                <w:sz w:val="24"/>
              </w:rPr>
              <w:t>現行條文</w:t>
            </w:r>
          </w:p>
        </w:tc>
        <w:tc>
          <w:tcPr>
            <w:tcW w:w="3296" w:type="dxa"/>
          </w:tcPr>
          <w:p>
            <w:pPr>
              <w:pStyle w:val="TableParagraph"/>
              <w:ind w:left="28"/>
              <w:rPr>
                <w:sz w:val="24"/>
              </w:rPr>
            </w:pPr>
            <w:r>
              <w:rPr>
                <w:sz w:val="24"/>
              </w:rPr>
              <w:t>說明</w:t>
            </w:r>
          </w:p>
        </w:tc>
      </w:tr>
      <w:tr>
        <w:trPr>
          <w:trHeight w:val="1242" w:hRule="atLeast"/>
        </w:trPr>
        <w:tc>
          <w:tcPr>
            <w:tcW w:w="3295" w:type="dxa"/>
          </w:tcPr>
          <w:p>
            <w:pPr>
              <w:pStyle w:val="TableParagraph"/>
              <w:spacing w:before="0"/>
              <w:ind w:left="0"/>
              <w:rPr>
                <w:rFonts w:ascii="Times New Roman"/>
                <w:sz w:val="22"/>
              </w:rPr>
            </w:pPr>
          </w:p>
        </w:tc>
        <w:tc>
          <w:tcPr>
            <w:tcW w:w="3295" w:type="dxa"/>
          </w:tcPr>
          <w:p>
            <w:pPr>
              <w:pStyle w:val="TableParagraph"/>
              <w:spacing w:before="0"/>
              <w:ind w:left="0"/>
              <w:rPr>
                <w:rFonts w:ascii="Times New Roman"/>
                <w:sz w:val="22"/>
              </w:rPr>
            </w:pPr>
          </w:p>
        </w:tc>
        <w:tc>
          <w:tcPr>
            <w:tcW w:w="3296" w:type="dxa"/>
          </w:tcPr>
          <w:p>
            <w:pPr>
              <w:pStyle w:val="TableParagraph"/>
              <w:spacing w:line="295" w:lineRule="auto"/>
              <w:ind w:left="436" w:right="-44"/>
              <w:rPr>
                <w:sz w:val="24"/>
              </w:rPr>
            </w:pPr>
            <w:r>
              <w:rPr>
                <w:sz w:val="24"/>
              </w:rPr>
              <w:t>護，則不得再提起假處分，</w:t>
            </w:r>
            <w:r>
              <w:rPr>
                <w:spacing w:val="-60"/>
                <w:sz w:val="24"/>
              </w:rPr>
              <w:t> </w:t>
            </w:r>
            <w:r>
              <w:rPr>
                <w:sz w:val="24"/>
              </w:rPr>
              <w:t>故增訂本條使之明確。</w:t>
            </w:r>
          </w:p>
        </w:tc>
      </w:tr>
    </w:tbl>
    <w:p>
      <w:pPr>
        <w:spacing w:after="0" w:line="295" w:lineRule="auto"/>
        <w:rPr>
          <w:sz w:val="24"/>
        </w:rPr>
        <w:sectPr>
          <w:pgSz w:w="11910" w:h="16840"/>
          <w:pgMar w:header="0" w:footer="938" w:top="1440" w:bottom="1120" w:left="900" w:right="880"/>
        </w:sectPr>
      </w:pPr>
    </w:p>
    <w:p>
      <w:pPr>
        <w:pStyle w:val="BodyText"/>
        <w:spacing w:before="6"/>
        <w:rPr>
          <w:b/>
          <w:sz w:val="21"/>
        </w:rPr>
      </w:pPr>
    </w:p>
    <w:p>
      <w:pPr>
        <w:pStyle w:val="Heading1"/>
      </w:pPr>
      <w:bookmarkStart w:name="_TOC_250005" w:id="34"/>
      <w:bookmarkEnd w:id="34"/>
      <w:r>
        <w:rPr/>
        <w:t>附錄一：專家座談會議紀錄及回應意見</w:t>
      </w:r>
    </w:p>
    <w:p>
      <w:pPr>
        <w:pStyle w:val="BodyText"/>
        <w:spacing w:before="2"/>
        <w:rPr>
          <w:b/>
          <w:sz w:val="38"/>
        </w:rPr>
      </w:pPr>
    </w:p>
    <w:p>
      <w:pPr>
        <w:pStyle w:val="BodyText"/>
        <w:spacing w:line="295" w:lineRule="auto" w:before="1"/>
        <w:ind w:left="900" w:right="4550"/>
      </w:pPr>
      <w:r>
        <w:rPr/>
        <w:t>日期：</w:t>
      </w:r>
      <w:r>
        <w:rPr>
          <w:rFonts w:ascii="Times New Roman" w:hAnsi="Times New Roman" w:eastAsia="Times New Roman"/>
        </w:rPr>
        <w:t>2011</w:t>
      </w:r>
      <w:r>
        <w:rPr>
          <w:rFonts w:ascii="Times New Roman" w:hAnsi="Times New Roman" w:eastAsia="Times New Roman"/>
          <w:spacing w:val="-2"/>
        </w:rPr>
        <w:t> </w:t>
      </w:r>
      <w:r>
        <w:rPr>
          <w:spacing w:val="-2"/>
        </w:rPr>
        <w:t>年 </w:t>
      </w:r>
      <w:r>
        <w:rPr>
          <w:rFonts w:ascii="Times New Roman" w:hAnsi="Times New Roman" w:eastAsia="Times New Roman"/>
        </w:rPr>
        <w:t>5</w:t>
      </w:r>
      <w:r>
        <w:rPr>
          <w:rFonts w:ascii="Times New Roman" w:hAnsi="Times New Roman" w:eastAsia="Times New Roman"/>
          <w:spacing w:val="-1"/>
        </w:rPr>
        <w:t> </w:t>
      </w:r>
      <w:r>
        <w:rPr>
          <w:spacing w:val="-2"/>
        </w:rPr>
        <w:t>月 </w:t>
      </w:r>
      <w:r>
        <w:rPr>
          <w:rFonts w:ascii="Times New Roman" w:hAnsi="Times New Roman" w:eastAsia="Times New Roman"/>
        </w:rPr>
        <w:t>13</w:t>
      </w:r>
      <w:r>
        <w:rPr>
          <w:rFonts w:ascii="Times New Roman" w:hAnsi="Times New Roman" w:eastAsia="Times New Roman"/>
          <w:spacing w:val="-1"/>
        </w:rPr>
        <w:t> </w:t>
      </w:r>
      <w:r>
        <w:rPr/>
        <w:t>日下午 </w:t>
      </w:r>
      <w:r>
        <w:rPr>
          <w:rFonts w:ascii="Times New Roman" w:hAnsi="Times New Roman" w:eastAsia="Times New Roman"/>
        </w:rPr>
        <w:t>5</w:t>
      </w:r>
      <w:r>
        <w:rPr/>
        <w:t>：</w:t>
      </w:r>
      <w:r>
        <w:rPr>
          <w:rFonts w:ascii="Times New Roman" w:hAnsi="Times New Roman" w:eastAsia="Times New Roman"/>
        </w:rPr>
        <w:t>30</w:t>
      </w:r>
      <w:r>
        <w:rPr/>
        <w:t>─</w:t>
      </w:r>
      <w:r>
        <w:rPr>
          <w:rFonts w:ascii="Times New Roman" w:hAnsi="Times New Roman" w:eastAsia="Times New Roman"/>
        </w:rPr>
        <w:t>8</w:t>
      </w:r>
      <w:r>
        <w:rPr/>
        <w:t>：</w:t>
      </w:r>
      <w:r>
        <w:rPr>
          <w:rFonts w:ascii="Times New Roman" w:hAnsi="Times New Roman" w:eastAsia="Times New Roman"/>
        </w:rPr>
        <w:t>00</w:t>
      </w:r>
      <w:r>
        <w:rPr>
          <w:rFonts w:ascii="Times New Roman" w:hAnsi="Times New Roman" w:eastAsia="Times New Roman"/>
          <w:spacing w:val="1"/>
        </w:rPr>
        <w:t> </w:t>
      </w:r>
      <w:r>
        <w:rPr>
          <w:spacing w:val="-1"/>
        </w:rPr>
        <w:t>地點：東吳大學城中校區崇基樓 </w:t>
      </w:r>
      <w:r>
        <w:rPr>
          <w:rFonts w:ascii="Times New Roman" w:hAnsi="Times New Roman" w:eastAsia="Times New Roman"/>
        </w:rPr>
        <w:t>1105</w:t>
      </w:r>
      <w:r>
        <w:rPr>
          <w:rFonts w:ascii="Times New Roman" w:hAnsi="Times New Roman" w:eastAsia="Times New Roman"/>
          <w:spacing w:val="-10"/>
        </w:rPr>
        <w:t> </w:t>
      </w:r>
      <w:r>
        <w:rPr/>
        <w:t>會議室主持人：林三欽教授</w:t>
      </w:r>
    </w:p>
    <w:p>
      <w:pPr>
        <w:pStyle w:val="BodyText"/>
        <w:spacing w:line="295" w:lineRule="auto" w:before="3"/>
        <w:ind w:left="900" w:right="916"/>
      </w:pPr>
      <w:r>
        <w:rPr>
          <w:spacing w:val="-3"/>
        </w:rPr>
        <w:t>出席教授：林明鏘教授、盛子龍副教授、程明修副教授、林昱梅副教授、林明昕</w:t>
      </w:r>
      <w:r>
        <w:rPr/>
        <w:t>副教授</w:t>
      </w:r>
    </w:p>
    <w:p>
      <w:pPr>
        <w:pStyle w:val="BodyText"/>
        <w:spacing w:before="2"/>
        <w:ind w:left="900"/>
      </w:pPr>
      <w:r>
        <w:rPr/>
        <w:t>列席：黃義偉、黃楚婷、張蓓歆</w:t>
      </w:r>
    </w:p>
    <w:p>
      <w:pPr>
        <w:pStyle w:val="BodyText"/>
        <w:spacing w:before="8"/>
        <w:rPr>
          <w:sz w:val="27"/>
        </w:rPr>
      </w:pPr>
    </w:p>
    <w:p>
      <w:pPr>
        <w:pStyle w:val="Heading2"/>
      </w:pPr>
      <w:bookmarkStart w:name="_TOC_250004" w:id="35"/>
      <w:bookmarkEnd w:id="35"/>
      <w:r>
        <w:rPr>
          <w:w w:val="95"/>
        </w:rPr>
        <w:t>一、專家學者座談會意見彙整</w:t>
      </w:r>
    </w:p>
    <w:p>
      <w:pPr>
        <w:pStyle w:val="BodyText"/>
        <w:spacing w:before="5"/>
        <w:rPr>
          <w:b/>
          <w:sz w:val="36"/>
        </w:rPr>
      </w:pPr>
    </w:p>
    <w:p>
      <w:pPr>
        <w:spacing w:before="0"/>
        <w:ind w:left="900" w:right="0" w:firstLine="0"/>
        <w:jc w:val="left"/>
        <w:rPr>
          <w:b/>
          <w:sz w:val="28"/>
        </w:rPr>
      </w:pPr>
      <w:r>
        <w:rPr>
          <w:b/>
          <w:w w:val="95"/>
          <w:sz w:val="28"/>
        </w:rPr>
        <w:t>議題一：應否針對再申訴決定創設「再審議」等補救管道？</w:t>
      </w:r>
    </w:p>
    <w:p>
      <w:pPr>
        <w:pStyle w:val="Heading3"/>
        <w:spacing w:before="202"/>
      </w:pPr>
      <w:r>
        <w:rPr>
          <w:w w:val="95"/>
        </w:rPr>
        <w:t>程明修老師：</w:t>
      </w:r>
    </w:p>
    <w:p>
      <w:pPr>
        <w:pStyle w:val="BodyText"/>
        <w:spacing w:line="295" w:lineRule="auto" w:before="78"/>
        <w:ind w:left="900" w:right="917" w:firstLine="480"/>
        <w:jc w:val="both"/>
      </w:pPr>
      <w:r>
        <w:rPr>
          <w:spacing w:val="-3"/>
        </w:rPr>
        <w:t>在保障法立法當時，基於立法政策的考量，不把「再審議」的機制設計於再申訴程序當中。然而在再申訴的程序當中，其實與復審一樣會遇到程序有重新進行必要的可能性。過去我在實務上也確實曾經遇到這樣的案件，有類似程序重開的需求，但因為屬於再申訴的案型而無法類推復審的案件；並且因為行政程序法</w:t>
      </w:r>
      <w:r>
        <w:rPr>
          <w:spacing w:val="-8"/>
        </w:rPr>
        <w:t>第 </w:t>
      </w:r>
      <w:r>
        <w:rPr>
          <w:rFonts w:ascii="Times New Roman" w:eastAsia="Times New Roman"/>
          <w:spacing w:val="-2"/>
        </w:rPr>
        <w:t>3</w:t>
      </w:r>
      <w:r>
        <w:rPr>
          <w:rFonts w:ascii="Times New Roman" w:eastAsia="Times New Roman"/>
          <w:spacing w:val="-10"/>
        </w:rPr>
        <w:t> </w:t>
      </w:r>
      <w:r>
        <w:rPr>
          <w:spacing w:val="-3"/>
        </w:rPr>
        <w:t>條的排除規定，也無法類推適用行政程序法第 </w:t>
      </w:r>
      <w:r>
        <w:rPr>
          <w:rFonts w:ascii="Times New Roman" w:eastAsia="Times New Roman"/>
          <w:spacing w:val="-2"/>
        </w:rPr>
        <w:t>128</w:t>
      </w:r>
      <w:r>
        <w:rPr>
          <w:rFonts w:ascii="Times New Roman" w:eastAsia="Times New Roman"/>
          <w:spacing w:val="-10"/>
        </w:rPr>
        <w:t> </w:t>
      </w:r>
      <w:r>
        <w:rPr>
          <w:spacing w:val="-2"/>
        </w:rPr>
        <w:t>條的規定，成為實務上的</w:t>
      </w:r>
      <w:r>
        <w:rPr>
          <w:spacing w:val="-3"/>
        </w:rPr>
        <w:t>困擾。因此我基本上認為，就目前實務上案件來看，過去立法時考量不於再申訴</w:t>
      </w:r>
      <w:r>
        <w:rPr/>
        <w:t>案件當設置再審議制度的妥當性與必要性已不存在。</w:t>
      </w:r>
    </w:p>
    <w:p>
      <w:pPr>
        <w:pStyle w:val="BodyText"/>
        <w:spacing w:before="3"/>
        <w:rPr>
          <w:sz w:val="30"/>
        </w:rPr>
      </w:pPr>
    </w:p>
    <w:p>
      <w:pPr>
        <w:pStyle w:val="BodyText"/>
        <w:spacing w:line="295" w:lineRule="auto"/>
        <w:ind w:left="900" w:right="857" w:firstLine="480"/>
        <w:jc w:val="both"/>
      </w:pPr>
      <w:r>
        <w:rPr>
          <w:spacing w:val="-1"/>
        </w:rPr>
        <w:t>舉一個滿特別的例子，公務人員任用法第 </w:t>
      </w:r>
      <w:r>
        <w:rPr>
          <w:rFonts w:ascii="Times New Roman" w:eastAsia="Times New Roman"/>
        </w:rPr>
        <w:t>24</w:t>
      </w:r>
      <w:r>
        <w:rPr>
          <w:rFonts w:ascii="Times New Roman" w:eastAsia="Times New Roman"/>
          <w:spacing w:val="-10"/>
        </w:rPr>
        <w:t> </w:t>
      </w:r>
      <w:r>
        <w:rPr>
          <w:spacing w:val="-5"/>
        </w:rPr>
        <w:t>條之 </w:t>
      </w:r>
      <w:r>
        <w:rPr>
          <w:rFonts w:ascii="Times New Roman" w:eastAsia="Times New Roman"/>
        </w:rPr>
        <w:t>1</w:t>
      </w:r>
      <w:r>
        <w:rPr>
          <w:rFonts w:ascii="Times New Roman" w:eastAsia="Times New Roman"/>
          <w:spacing w:val="-10"/>
        </w:rPr>
        <w:t> </w:t>
      </w:r>
      <w:r>
        <w:rPr>
          <w:spacing w:val="-7"/>
        </w:rPr>
        <w:t>第 </w:t>
      </w:r>
      <w:r>
        <w:rPr>
          <w:rFonts w:ascii="Times New Roman" w:eastAsia="Times New Roman"/>
        </w:rPr>
        <w:t>2</w:t>
      </w:r>
      <w:r>
        <w:rPr>
          <w:rFonts w:ascii="Times New Roman" w:eastAsia="Times New Roman"/>
          <w:spacing w:val="-10"/>
        </w:rPr>
        <w:t> </w:t>
      </w:r>
      <w:r>
        <w:rPr>
          <w:spacing w:val="-18"/>
        </w:rPr>
        <w:t>項規定：「公務人員</w:t>
      </w:r>
      <w:r>
        <w:rPr>
          <w:spacing w:val="-16"/>
        </w:rPr>
        <w:t>經依前項規定程序銓敘審定後，如有不服，得依保障法提起救濟；如有顯然錯誤，</w:t>
      </w:r>
      <w:r>
        <w:rPr>
          <w:spacing w:val="-60"/>
        </w:rPr>
        <w:t> </w:t>
      </w:r>
      <w:r>
        <w:rPr>
          <w:spacing w:val="-2"/>
        </w:rPr>
        <w:t>或有發生新事實、發現新證據等行政程序再開事由，得依行政程序法相關規定辦理。」這是一個很特別的立法，這個立法讓本質上在保障法救濟程序當中屬於再</w:t>
      </w:r>
      <w:r>
        <w:rPr>
          <w:spacing w:val="-3"/>
        </w:rPr>
        <w:t>申訴程序之案型，在行政程序的階段裡，突破原本行政程序法第 </w:t>
      </w:r>
      <w:r>
        <w:rPr>
          <w:rFonts w:ascii="Times New Roman" w:eastAsia="Times New Roman"/>
          <w:spacing w:val="-1"/>
        </w:rPr>
        <w:t>3</w:t>
      </w:r>
      <w:r>
        <w:rPr>
          <w:rFonts w:ascii="Times New Roman" w:eastAsia="Times New Roman"/>
          <w:spacing w:val="-11"/>
        </w:rPr>
        <w:t> </w:t>
      </w:r>
      <w:r>
        <w:rPr>
          <w:spacing w:val="-1"/>
        </w:rPr>
        <w:t>條的規定，得</w:t>
      </w:r>
    </w:p>
    <w:p>
      <w:pPr>
        <w:pStyle w:val="BodyText"/>
        <w:spacing w:line="295" w:lineRule="auto" w:before="6"/>
        <w:ind w:left="900" w:right="857"/>
        <w:jc w:val="both"/>
      </w:pPr>
      <w:r>
        <w:rPr>
          <w:spacing w:val="-4"/>
        </w:rPr>
        <w:t>以回歸適用行政程序法第 </w:t>
      </w:r>
      <w:r>
        <w:rPr>
          <w:rFonts w:ascii="Times New Roman" w:eastAsia="Times New Roman"/>
          <w:spacing w:val="-2"/>
        </w:rPr>
        <w:t>128</w:t>
      </w:r>
      <w:r>
        <w:rPr>
          <w:rFonts w:ascii="Times New Roman" w:eastAsia="Times New Roman"/>
          <w:spacing w:val="-10"/>
        </w:rPr>
        <w:t> </w:t>
      </w:r>
      <w:r>
        <w:rPr>
          <w:spacing w:val="-2"/>
        </w:rPr>
        <w:t>條的規定。從制式內部法、外部法的角度來看，這就是一個例外讓內部法得以適用行政程序法的規定。我舉這個例子主要是想表達從這樣的突破點來看，目前法制上分別就內、外的區分，分別給予不同的再審規定，其必要性並不存在。從任用法的這個例子來看，其實即已經考量到，在若干</w:t>
      </w:r>
      <w:r>
        <w:rPr>
          <w:spacing w:val="-8"/>
        </w:rPr>
        <w:t>的再申訴案件當中仍有程序再開的必要性，因此才在第 </w:t>
      </w:r>
      <w:r>
        <w:rPr>
          <w:rFonts w:ascii="Times New Roman" w:eastAsia="Times New Roman"/>
        </w:rPr>
        <w:t>24</w:t>
      </w:r>
      <w:r>
        <w:rPr>
          <w:rFonts w:ascii="Times New Roman" w:eastAsia="Times New Roman"/>
          <w:spacing w:val="-12"/>
        </w:rPr>
        <w:t> </w:t>
      </w:r>
      <w:r>
        <w:rPr>
          <w:spacing w:val="-6"/>
        </w:rPr>
        <w:t>條之 </w:t>
      </w:r>
      <w:r>
        <w:rPr>
          <w:rFonts w:ascii="Times New Roman" w:eastAsia="Times New Roman"/>
        </w:rPr>
        <w:t>1</w:t>
      </w:r>
      <w:r>
        <w:rPr>
          <w:rFonts w:ascii="Times New Roman" w:eastAsia="Times New Roman"/>
          <w:spacing w:val="-12"/>
        </w:rPr>
        <w:t> </w:t>
      </w:r>
      <w:r>
        <w:rPr/>
        <w:t>作如此的處理。</w:t>
      </w:r>
      <w:r>
        <w:rPr>
          <w:spacing w:val="-2"/>
        </w:rPr>
        <w:t>也因此，回歸保障法的規定，我認為再審議的規定，並沒有排除再申訴案件的必</w:t>
      </w:r>
    </w:p>
    <w:p>
      <w:pPr>
        <w:spacing w:after="0" w:line="295" w:lineRule="auto"/>
        <w:jc w:val="both"/>
        <w:sectPr>
          <w:pgSz w:w="11910" w:h="16840"/>
          <w:pgMar w:header="0" w:footer="938" w:top="1600" w:bottom="1120" w:left="900" w:right="880"/>
        </w:sectPr>
      </w:pPr>
    </w:p>
    <w:p>
      <w:pPr>
        <w:pStyle w:val="BodyText"/>
        <w:spacing w:before="38"/>
        <w:ind w:left="900"/>
      </w:pPr>
      <w:r>
        <w:rPr/>
        <w:t>要性。</w:t>
      </w:r>
    </w:p>
    <w:p>
      <w:pPr>
        <w:pStyle w:val="BodyText"/>
        <w:spacing w:before="3"/>
        <w:rPr>
          <w:sz w:val="35"/>
        </w:rPr>
      </w:pPr>
    </w:p>
    <w:p>
      <w:pPr>
        <w:pStyle w:val="Heading3"/>
      </w:pPr>
      <w:r>
        <w:rPr>
          <w:w w:val="95"/>
        </w:rPr>
        <w:t>林昱梅老師：</w:t>
      </w:r>
    </w:p>
    <w:p>
      <w:pPr>
        <w:pStyle w:val="BodyText"/>
        <w:spacing w:line="295" w:lineRule="auto" w:before="78"/>
        <w:ind w:left="900" w:right="917" w:firstLine="480"/>
        <w:jc w:val="both"/>
      </w:pPr>
      <w:r>
        <w:rPr>
          <w:spacing w:val="-3"/>
        </w:rPr>
        <w:t>首先，我必須要澄清一下，實務上我們不論是針對復審的案件或是再申訴案件，處理程序並沒有太大的不同，都是一樣的慎重，在審查會上也會針對再申訴</w:t>
      </w:r>
      <w:r>
        <w:rPr/>
        <w:t>案件進行非常詳細的討論。</w:t>
      </w:r>
    </w:p>
    <w:p>
      <w:pPr>
        <w:pStyle w:val="BodyText"/>
        <w:spacing w:before="12"/>
        <w:rPr>
          <w:sz w:val="29"/>
        </w:rPr>
      </w:pPr>
    </w:p>
    <w:p>
      <w:pPr>
        <w:pStyle w:val="BodyText"/>
        <w:spacing w:line="295" w:lineRule="auto"/>
        <w:ind w:left="900" w:right="915" w:firstLine="480"/>
        <w:jc w:val="both"/>
      </w:pPr>
      <w:r>
        <w:rPr>
          <w:spacing w:val="-3"/>
        </w:rPr>
        <w:t>接著針對程老師提到的保障法上的二元制度的問題，我個人也是認為，從釋</w:t>
      </w:r>
      <w:r>
        <w:rPr>
          <w:spacing w:val="-6"/>
        </w:rPr>
        <w:t>字第 </w:t>
      </w:r>
      <w:r>
        <w:rPr>
          <w:rFonts w:ascii="Times New Roman" w:eastAsia="Times New Roman"/>
          <w:spacing w:val="-2"/>
        </w:rPr>
        <w:t>684</w:t>
      </w:r>
      <w:r>
        <w:rPr>
          <w:rFonts w:ascii="Times New Roman" w:eastAsia="Times New Roman"/>
          <w:spacing w:val="-10"/>
        </w:rPr>
        <w:t> </w:t>
      </w:r>
      <w:r>
        <w:rPr>
          <w:spacing w:val="-3"/>
        </w:rPr>
        <w:t>號解釋以後的確是可以好好檢討。事實上，在釋字第 </w:t>
      </w:r>
      <w:r>
        <w:rPr>
          <w:rFonts w:ascii="Times New Roman" w:eastAsia="Times New Roman"/>
          <w:spacing w:val="-1"/>
        </w:rPr>
        <w:t>684</w:t>
      </w:r>
      <w:r>
        <w:rPr>
          <w:rFonts w:ascii="Times New Roman" w:eastAsia="Times New Roman"/>
          <w:spacing w:val="-10"/>
        </w:rPr>
        <w:t> </w:t>
      </w:r>
      <w:r>
        <w:rPr>
          <w:spacing w:val="-1"/>
        </w:rPr>
        <w:t>號解釋還沒作</w:t>
      </w:r>
      <w:r>
        <w:rPr>
          <w:spacing w:val="-3"/>
        </w:rPr>
        <w:t>出以前就已經有檢討的聲浪。因為事實上，行政法院要不要受理這一類事件，我們可以不必自己先設限。因為保障法當中雖然有規定針對復審決定可以再走向行政訴訟，但是再申訴的部分其實並沒有規定。會形成再申訴案件無法救濟其實是實務上受到特別權力關係的影響，行政法院也傾向不受理。但是的確也是有些案件，雖然是分類為再申訴事件，但當事人刻意提復審，試圖闖闖看行政法院是否願意接受，不過實際上也不見得能夠成功。基本上，我個人也是是比較傾向於一元管道，甚至我認為說申訴的這個程序其實是可以被取消的，只留下現行再申訴的制度即可。在保訓會裡，其實也曾經開過會，針對於某些特定的案件，究竟要循復審或是再申訴討論，例如主管調非主管、不同升遷序列、降調、或是實際調職幾年的這些執行部份的這些特定的案型作一個分界。但是就公務人員的感受而言，或許會認為在其公務生涯裡倘若有一支申誡，可能就是一個污點，但是我們在制度上卻認為這樣的情形只是申誡而已，是不需要法院救濟的情形。當然在一些比較強烈的案件當中更是如此，例如記大過或是考績丙等，記大過會影響到公務人員的考績，考績一旦丙等，公務人員除了拿不到考績獎金之外，也無法拿到年終獎金。例如這種情形公務人員卻只能提起申訴也是一件不太衡平的情況，幾千塊的稿費可以提起復審，但是獎金拿不到有時候是幾十萬的事情，卻沒辦法提起復審。簡單的說，實務上認定的權利受侵害或重大影響，與公務人員的理解其</w:t>
      </w:r>
      <w:r>
        <w:rPr/>
        <w:t>實是有落差的。</w:t>
      </w:r>
    </w:p>
    <w:p>
      <w:pPr>
        <w:pStyle w:val="BodyText"/>
        <w:spacing w:before="4"/>
        <w:rPr>
          <w:sz w:val="31"/>
        </w:rPr>
      </w:pPr>
    </w:p>
    <w:p>
      <w:pPr>
        <w:pStyle w:val="BodyText"/>
        <w:spacing w:line="295" w:lineRule="auto"/>
        <w:ind w:left="900" w:right="917" w:firstLine="480"/>
        <w:jc w:val="both"/>
      </w:pPr>
      <w:r>
        <w:rPr>
          <w:spacing w:val="-3"/>
        </w:rPr>
        <w:t>針對議題一的部份，我舉個例子，在再申訴的案型上，如果因為誤以為是個逾期的案件而作出不受理的決定，在不受理之後，當事人再提起救濟時始發現事實上逾期是因為當初日期看錯了，這種在實體審議上本來應該是有機會撤銷的情形，的確有必要透過再申訴的這個制度予以更正。而申訴、再申訴的這個程序裡</w:t>
      </w:r>
      <w:r>
        <w:rPr/>
        <w:t>面，也必須給予一個重新審理的機會。</w:t>
      </w:r>
    </w:p>
    <w:p>
      <w:pPr>
        <w:spacing w:after="0" w:line="295" w:lineRule="auto"/>
        <w:jc w:val="both"/>
        <w:sectPr>
          <w:pgSz w:w="11910" w:h="16840"/>
          <w:pgMar w:header="0" w:footer="938" w:top="1440" w:bottom="1200" w:left="900" w:right="880"/>
        </w:sectPr>
      </w:pPr>
    </w:p>
    <w:p>
      <w:pPr>
        <w:pStyle w:val="BodyText"/>
        <w:spacing w:before="2"/>
        <w:rPr>
          <w:sz w:val="17"/>
        </w:rPr>
      </w:pPr>
    </w:p>
    <w:p>
      <w:pPr>
        <w:pStyle w:val="BodyText"/>
        <w:spacing w:line="295" w:lineRule="auto" w:before="52"/>
        <w:ind w:left="900" w:right="857" w:firstLine="480"/>
        <w:jc w:val="both"/>
      </w:pPr>
      <w:r>
        <w:rPr>
          <w:spacing w:val="-2"/>
        </w:rPr>
        <w:t>另外一個例子，在性騷擾的情況，如果長官基於其權力差距對下屬說如果不配合就給考績乙等，因為我們原則上會尊重長官的判斷，但是如果調查到最後性騷擾成立了，這時候就是當初的這個考績考量是不是因為拒絕性騷擾的情形而產生的不利考績，可能就有重新審查的空間。而考績目前在實務上被歸類在再申訴</w:t>
      </w:r>
      <w:r>
        <w:rPr>
          <w:spacing w:val="-19"/>
        </w:rPr>
        <w:t>案件，因此在這個部分，我也是贊同程老師的意見，對第一個議題持肯定的想法，</w:t>
      </w:r>
      <w:r>
        <w:rPr>
          <w:spacing w:val="-60"/>
        </w:rPr>
        <w:t> </w:t>
      </w:r>
      <w:r>
        <w:rPr/>
        <w:t>認為沒有必要排除再申訴適用再審議的規定，並且就統稱以「再審議」即可。</w:t>
      </w:r>
    </w:p>
    <w:p>
      <w:pPr>
        <w:pStyle w:val="BodyText"/>
        <w:spacing w:before="2"/>
        <w:rPr>
          <w:sz w:val="30"/>
        </w:rPr>
      </w:pPr>
    </w:p>
    <w:p>
      <w:pPr>
        <w:pStyle w:val="Heading3"/>
      </w:pPr>
      <w:r>
        <w:rPr>
          <w:w w:val="95"/>
        </w:rPr>
        <w:t>林明昕老師：</w:t>
      </w:r>
    </w:p>
    <w:p>
      <w:pPr>
        <w:pStyle w:val="BodyText"/>
        <w:spacing w:line="295" w:lineRule="auto" w:before="78"/>
        <w:ind w:left="900" w:right="857" w:firstLine="480"/>
        <w:jc w:val="both"/>
      </w:pPr>
      <w:r>
        <w:rPr>
          <w:spacing w:val="-2"/>
        </w:rPr>
        <w:t>我個人也是認為目前保障法上的二元制度有很大的問題。復審制度與申訴、再申訴的制度主要是兩個影響的產物，第一個是大家都剛剛有提到的特別權力關係，明明這一整個制度一開始就受到特別權力關係的影響，然而在申訴、再申訴時卻一直避免提及特別權力關係，不過顯然運作上面都受到特別權力關係影響很</w:t>
      </w:r>
      <w:r>
        <w:rPr/>
        <w:t>深；第二個影響，是復審接軌行政訴訟後的影響，行政訴訟法 </w:t>
      </w:r>
      <w:r>
        <w:rPr>
          <w:rFonts w:ascii="Times New Roman" w:eastAsia="Times New Roman"/>
        </w:rPr>
        <w:t>89</w:t>
      </w:r>
      <w:r>
        <w:rPr>
          <w:rFonts w:ascii="Times New Roman" w:eastAsia="Times New Roman"/>
          <w:spacing w:val="4"/>
        </w:rPr>
        <w:t> </w:t>
      </w:r>
      <w:r>
        <w:rPr/>
        <w:t>年 </w:t>
      </w:r>
      <w:r>
        <w:rPr>
          <w:rFonts w:ascii="Times New Roman" w:eastAsia="Times New Roman"/>
        </w:rPr>
        <w:t>7</w:t>
      </w:r>
      <w:r>
        <w:rPr>
          <w:rFonts w:ascii="Times New Roman" w:eastAsia="Times New Roman"/>
          <w:spacing w:val="4"/>
        </w:rPr>
        <w:t> </w:t>
      </w:r>
      <w:r>
        <w:rPr>
          <w:spacing w:val="1"/>
        </w:rPr>
        <w:t>月 </w:t>
      </w:r>
      <w:r>
        <w:rPr>
          <w:rFonts w:ascii="Times New Roman" w:eastAsia="Times New Roman"/>
        </w:rPr>
        <w:t>1</w:t>
      </w:r>
      <w:r>
        <w:rPr>
          <w:rFonts w:ascii="Times New Roman" w:eastAsia="Times New Roman"/>
          <w:spacing w:val="4"/>
        </w:rPr>
        <w:t> </w:t>
      </w:r>
      <w:r>
        <w:rPr/>
        <w:t>號施</w:t>
      </w:r>
      <w:r>
        <w:rPr>
          <w:spacing w:val="-2"/>
        </w:rPr>
        <w:t>行之前，認為只有行政處分才能救濟，也因此當時在思考到的復審這部分，其實等同於訴願，只有針對行政處分才能走向訴訟，演變到最後就變成好像只有行政處分才能走復審程序，內部關係要走申訴再申訴。基於這個關係就產生了一種中間類型，譬如行政契約，或者可以走一般給付訴訟或是一般確認訴訟的案件，反而變得好像都沒辦法救濟，像這種情況，明明是外部行為卻變得沒辦法救濟，是一個很奇怪的現象。因此，我認為我們目前的二元制其實有很大的問題。簡單的說，我認為應該建立一個一元的前置程序，而後都應該可以再提行政訴訟，至於這個前置程序要命名為復審或是再申訴，我認為這都是可以再研究的，這在此並</w:t>
      </w:r>
      <w:r>
        <w:rPr/>
        <w:t>不是重點。</w:t>
      </w:r>
    </w:p>
    <w:p>
      <w:pPr>
        <w:pStyle w:val="BodyText"/>
        <w:spacing w:before="11"/>
        <w:rPr>
          <w:sz w:val="30"/>
        </w:rPr>
      </w:pPr>
    </w:p>
    <w:p>
      <w:pPr>
        <w:pStyle w:val="BodyText"/>
        <w:spacing w:line="295" w:lineRule="auto"/>
        <w:ind w:left="900" w:right="909" w:firstLine="480"/>
        <w:jc w:val="both"/>
      </w:pPr>
      <w:r>
        <w:rPr>
          <w:spacing w:val="-3"/>
        </w:rPr>
        <w:t>針對議題一，我個人認為不需要再設置再審議。首先，我發現再審議的需求在現實狀況下可能有一、兩個案件類型會發生，但是機率是小的，大部分的人會隨便的濫用這個再審議，乃至於再審議制度不斷的重複。因為我們的再審，包括</w:t>
      </w:r>
      <w:r>
        <w:rPr/>
        <w:t>這裡的再審議條文當中，本來就有我們台灣自己獨有的所謂「適用法規顯有錯</w:t>
      </w:r>
      <w:r>
        <w:rPr>
          <w:spacing w:val="-12"/>
        </w:rPr>
        <w:t>誤」，這是一個德國與日本所沒有的規定。第二，所謂主文與理由矛盾的情況。</w:t>
      </w:r>
      <w:r>
        <w:rPr>
          <w:spacing w:val="-3"/>
        </w:rPr>
        <w:t>這兩個條款從民事訴訟法一直到行政訴訟中，一直都存在。基於這樣的理解，我認為應該讓訴願的再審，回歸到行政程序法中第 </w:t>
      </w:r>
      <w:r>
        <w:rPr>
          <w:rFonts w:ascii="Times New Roman" w:eastAsia="Times New Roman"/>
          <w:spacing w:val="-1"/>
        </w:rPr>
        <w:t>128</w:t>
      </w:r>
      <w:r>
        <w:rPr>
          <w:rFonts w:ascii="Times New Roman" w:eastAsia="Times New Roman"/>
          <w:spacing w:val="-11"/>
        </w:rPr>
        <w:t> </w:t>
      </w:r>
      <w:r>
        <w:rPr>
          <w:spacing w:val="-5"/>
        </w:rPr>
        <w:t>條、第 </w:t>
      </w:r>
      <w:r>
        <w:rPr>
          <w:rFonts w:ascii="Times New Roman" w:eastAsia="Times New Roman"/>
          <w:spacing w:val="-1"/>
        </w:rPr>
        <w:t>129</w:t>
      </w:r>
      <w:r>
        <w:rPr>
          <w:rFonts w:ascii="Times New Roman" w:eastAsia="Times New Roman"/>
          <w:spacing w:val="-11"/>
        </w:rPr>
        <w:t> </w:t>
      </w:r>
      <w:r>
        <w:rPr>
          <w:spacing w:val="-1"/>
        </w:rPr>
        <w:t>條程序再開的規</w:t>
      </w:r>
      <w:r>
        <w:rPr>
          <w:spacing w:val="-3"/>
        </w:rPr>
        <w:t>定，也因此，我認為再申訴不需要再設置再審議，不過理由並不是因為再申訴與復審不同，我認為復審本身也不需要再審議。這些再審議的規定，只是制度上的</w:t>
      </w:r>
    </w:p>
    <w:p>
      <w:pPr>
        <w:spacing w:after="0" w:line="295" w:lineRule="auto"/>
        <w:jc w:val="both"/>
        <w:sectPr>
          <w:pgSz w:w="11910" w:h="16840"/>
          <w:pgMar w:header="0" w:footer="938" w:top="1600" w:bottom="1200" w:left="900" w:right="880"/>
        </w:sectPr>
      </w:pPr>
    </w:p>
    <w:p>
      <w:pPr>
        <w:pStyle w:val="BodyText"/>
        <w:spacing w:line="295" w:lineRule="auto" w:before="38"/>
        <w:ind w:left="900" w:right="917"/>
      </w:pPr>
      <w:r>
        <w:rPr>
          <w:spacing w:val="-3"/>
        </w:rPr>
        <w:t>疊床架屋，反而容易形成混亂。應該讓這些有重新開啟程序需求的全部回歸到行</w:t>
      </w:r>
      <w:r>
        <w:rPr>
          <w:spacing w:val="-1"/>
        </w:rPr>
        <w:t>政程序法第 </w:t>
      </w:r>
      <w:r>
        <w:rPr>
          <w:rFonts w:ascii="Times New Roman" w:eastAsia="Times New Roman"/>
        </w:rPr>
        <w:t>128 </w:t>
      </w:r>
      <w:r>
        <w:rPr>
          <w:spacing w:val="-1"/>
        </w:rPr>
        <w:t>條、第 </w:t>
      </w:r>
      <w:r>
        <w:rPr>
          <w:rFonts w:ascii="Times New Roman" w:eastAsia="Times New Roman"/>
        </w:rPr>
        <w:t>129 </w:t>
      </w:r>
      <w:r>
        <w:rPr/>
        <w:t>條的機制處理。</w:t>
      </w:r>
    </w:p>
    <w:p>
      <w:pPr>
        <w:pStyle w:val="BodyText"/>
        <w:spacing w:before="11"/>
        <w:rPr>
          <w:sz w:val="29"/>
        </w:rPr>
      </w:pPr>
    </w:p>
    <w:p>
      <w:pPr>
        <w:pStyle w:val="Heading3"/>
      </w:pPr>
      <w:r>
        <w:rPr>
          <w:w w:val="95"/>
        </w:rPr>
        <w:t>盛子龍老師：</w:t>
      </w:r>
    </w:p>
    <w:p>
      <w:pPr>
        <w:pStyle w:val="BodyText"/>
        <w:spacing w:line="295" w:lineRule="auto" w:before="78"/>
        <w:ind w:left="900" w:right="857" w:firstLine="480"/>
        <w:jc w:val="both"/>
      </w:pPr>
      <w:r>
        <w:rPr>
          <w:spacing w:val="-3"/>
        </w:rPr>
        <w:t>首先我其實也一直有興趣去思考在釋字第 </w:t>
      </w:r>
      <w:r>
        <w:rPr>
          <w:rFonts w:ascii="Times New Roman" w:eastAsia="Times New Roman"/>
          <w:spacing w:val="-2"/>
        </w:rPr>
        <w:t>684</w:t>
      </w:r>
      <w:r>
        <w:rPr>
          <w:rFonts w:ascii="Times New Roman" w:eastAsia="Times New Roman"/>
          <w:spacing w:val="-11"/>
        </w:rPr>
        <w:t> </w:t>
      </w:r>
      <w:r>
        <w:rPr>
          <w:spacing w:val="-2"/>
        </w:rPr>
        <w:t>號解釋的衝擊下，大概會影響到哪些面向，我個人的想法是認為：第一，如果意思表示的這個法律效果直接涉及到公務人員個人的基本權，這邊可能會使行政處分傳統過於狹隘的範圍因為這</w:t>
      </w:r>
      <w:r>
        <w:rPr>
          <w:spacing w:val="-5"/>
        </w:rPr>
        <w:t>個釋字第 </w:t>
      </w:r>
      <w:r>
        <w:rPr>
          <w:rFonts w:ascii="Times New Roman" w:eastAsia="Times New Roman"/>
          <w:spacing w:val="-2"/>
        </w:rPr>
        <w:t>684</w:t>
      </w:r>
      <w:r>
        <w:rPr>
          <w:rFonts w:ascii="Times New Roman" w:eastAsia="Times New Roman"/>
          <w:spacing w:val="-11"/>
        </w:rPr>
        <w:t> </w:t>
      </w:r>
      <w:r>
        <w:rPr>
          <w:spacing w:val="-2"/>
        </w:rPr>
        <w:t>號解釋而擴大。第二個可能產生的影響是，行政機關所作的意思表示可能還是只有內部法的效果，也就是它只涉及到公務人員作為機關成員的地位而已，但是事實上所產生的影響卻可能外溢出來而影響到公務人員，另外影響到</w:t>
      </w:r>
      <w:r>
        <w:rPr/>
        <w:t>公務人員的權利，這種事實的影響，在德國比較熱烈討論的例如具體的職務調</w:t>
      </w:r>
      <w:r>
        <w:rPr>
          <w:spacing w:val="1"/>
        </w:rPr>
        <w:t> </w:t>
      </w:r>
      <w:r>
        <w:rPr>
          <w:spacing w:val="-19"/>
        </w:rPr>
        <w:t>整，對公務人員的家庭、婚姻造成的重大衝擊，這就是一個典型的以事實上影響，</w:t>
      </w:r>
      <w:r>
        <w:rPr>
          <w:spacing w:val="-60"/>
        </w:rPr>
        <w:t> </w:t>
      </w:r>
      <w:r>
        <w:rPr>
          <w:spacing w:val="-2"/>
        </w:rPr>
        <w:t>認定該措施雖非行政處分，但仍可以藉由一般給付訴訟或一般形成訴訟，加以救濟。這種事實上的影響，例如對於健康權、生存權的這種侵害的態樣，在傳統我們的行政救濟法底下，基本上都是不去考慮的。但是在未來，其實這些事件，恐</w:t>
      </w:r>
      <w:r>
        <w:rPr>
          <w:spacing w:val="-3"/>
        </w:rPr>
        <w:t>怕可能不再是傳統申訴、再申訴的案件，在釋字第 </w:t>
      </w:r>
      <w:r>
        <w:rPr>
          <w:rFonts w:ascii="Times New Roman" w:eastAsia="Times New Roman"/>
          <w:spacing w:val="-2"/>
        </w:rPr>
        <w:t>684</w:t>
      </w:r>
      <w:r>
        <w:rPr>
          <w:rFonts w:ascii="Times New Roman" w:eastAsia="Times New Roman"/>
          <w:spacing w:val="-11"/>
        </w:rPr>
        <w:t> </w:t>
      </w:r>
      <w:r>
        <w:rPr>
          <w:spacing w:val="-1"/>
        </w:rPr>
        <w:t>號解釋的衝擊底下很可能</w:t>
      </w:r>
      <w:r>
        <w:rPr/>
        <w:t>會有向法院提起救濟的空間。</w:t>
      </w:r>
    </w:p>
    <w:p>
      <w:pPr>
        <w:pStyle w:val="BodyText"/>
        <w:spacing w:before="10"/>
        <w:rPr>
          <w:sz w:val="30"/>
        </w:rPr>
      </w:pPr>
    </w:p>
    <w:p>
      <w:pPr>
        <w:pStyle w:val="BodyText"/>
        <w:spacing w:line="295" w:lineRule="auto"/>
        <w:ind w:left="900" w:right="857" w:firstLine="480"/>
        <w:jc w:val="both"/>
      </w:pPr>
      <w:r>
        <w:rPr>
          <w:spacing w:val="-2"/>
        </w:rPr>
        <w:t>所以要承認再審議的制度，基本上是希望給予公務人員，在某些的情況下，</w:t>
      </w:r>
      <w:r>
        <w:rPr>
          <w:spacing w:val="-60"/>
        </w:rPr>
        <w:t> </w:t>
      </w:r>
      <w:r>
        <w:rPr>
          <w:spacing w:val="-2"/>
        </w:rPr>
        <w:t>讓他的權利或甚至是內部法上的利益，在受到侵害時，能夠有一個再次救濟保障</w:t>
      </w:r>
      <w:r>
        <w:rPr>
          <w:spacing w:val="-1"/>
        </w:rPr>
        <w:t>的機會。針對這個議題，我認為有幾個面向可以討論，首先是，哪些案件類型，</w:t>
      </w:r>
      <w:r>
        <w:rPr>
          <w:spacing w:val="-60"/>
        </w:rPr>
        <w:t> </w:t>
      </w:r>
      <w:r>
        <w:rPr>
          <w:spacing w:val="-10"/>
        </w:rPr>
        <w:t>倘若我們沒有提供再審議的機會，最後當事人可能什麼機會都沒有，譬如說</w:t>
      </w:r>
      <w:r>
        <w:rPr>
          <w:spacing w:val="-52"/>
        </w:rPr>
        <w:t>，「復</w:t>
      </w:r>
      <w:r>
        <w:rPr>
          <w:spacing w:val="-2"/>
        </w:rPr>
        <w:t>審」類型的案件，比較不一樣的地方是，在復審後進入行政訴訟後，往往還有再審的制度可以運用，這時候要不要再讓這種案件有再審議制度可以運用，可能就會有一些考量，這邊就會有兩種面向，一種是，是不是沒有給予再審議制度就會不足保障，另外一個面向就是，如果是有一定程度的保障，我們還要不要給予更多？我認為這是法政策上思考時兩個不同的面向。林明昕老師剛剛提到的，不要再審議的制度，全部回歸行政程序法當中的程序再開，我認為也是一個政策選擇上的選項，不過究竟再審議比較好還是程序再開比較好，我認為這是一個效果預測分析的問題，我個人因為沒有實務經驗，對這個問題沒有成見。但基本上，增</w:t>
      </w:r>
      <w:r>
        <w:rPr/>
        <w:t>加程序也會隨之增加成本，當然希望增加的成本能夠花在刀口上。</w:t>
      </w:r>
    </w:p>
    <w:p>
      <w:pPr>
        <w:pStyle w:val="BodyText"/>
        <w:spacing w:before="10"/>
        <w:rPr>
          <w:sz w:val="30"/>
        </w:rPr>
      </w:pPr>
    </w:p>
    <w:p>
      <w:pPr>
        <w:pStyle w:val="Heading3"/>
      </w:pPr>
      <w:r>
        <w:rPr>
          <w:w w:val="95"/>
        </w:rPr>
        <w:t>林明鏘老師：</w:t>
      </w:r>
    </w:p>
    <w:p>
      <w:pPr>
        <w:spacing w:after="0"/>
        <w:sectPr>
          <w:pgSz w:w="11910" w:h="16840"/>
          <w:pgMar w:header="0" w:footer="938" w:top="1440" w:bottom="1200" w:left="900" w:right="880"/>
        </w:sectPr>
      </w:pPr>
    </w:p>
    <w:p>
      <w:pPr>
        <w:pStyle w:val="BodyText"/>
        <w:spacing w:line="295" w:lineRule="auto" w:before="38"/>
        <w:ind w:left="900" w:right="917" w:firstLine="480"/>
        <w:jc w:val="both"/>
      </w:pPr>
      <w:r>
        <w:rPr>
          <w:spacing w:val="-3"/>
        </w:rPr>
        <w:t>首先針對保障法的定性，我認為它應該是一個行政機關的自我反省，因此整個程序的設計應該朝向簡單化，而不是複雜化的程序。也因此，針對議題一的問題，我個人認為不要再設置再審議的規定，應該宏觀的來看保障法救濟程序的定性，既然它是一個特殊行政機關自我反省的程序，就不應該盲目的細緻化整個程</w:t>
      </w:r>
      <w:r>
        <w:rPr/>
        <w:t>序。</w:t>
      </w:r>
    </w:p>
    <w:p>
      <w:pPr>
        <w:pStyle w:val="BodyText"/>
      </w:pPr>
    </w:p>
    <w:p>
      <w:pPr>
        <w:pStyle w:val="Heading2"/>
        <w:spacing w:before="211"/>
      </w:pPr>
      <w:r>
        <w:rPr>
          <w:spacing w:val="-13"/>
          <w:w w:val="95"/>
        </w:rPr>
        <w:t>議題二：「調處」制度應否擴大適用於「復審」事件？</w:t>
      </w:r>
    </w:p>
    <w:p>
      <w:pPr>
        <w:pStyle w:val="Heading3"/>
        <w:spacing w:before="202"/>
      </w:pPr>
      <w:r>
        <w:rPr>
          <w:w w:val="95"/>
        </w:rPr>
        <w:t>程明修老師：</w:t>
      </w:r>
    </w:p>
    <w:p>
      <w:pPr>
        <w:pStyle w:val="BodyText"/>
        <w:spacing w:line="295" w:lineRule="auto" w:before="78"/>
        <w:ind w:left="900" w:right="855" w:firstLine="480"/>
        <w:jc w:val="both"/>
      </w:pPr>
      <w:r>
        <w:rPr>
          <w:spacing w:val="-2"/>
        </w:rPr>
        <w:t>調處的制度未適用於復審事件的制度設計，剛好與再審議是在立法當時一個完全不同的考量，再審議是排除再申訴程序的適用，而調處機制則是排除復審機</w:t>
      </w:r>
      <w:r>
        <w:rPr>
          <w:spacing w:val="-1"/>
        </w:rPr>
        <w:t>制的適用。當時的立法考量，主要是認為復審案件涉及合法性、違法性的判斷，</w:t>
      </w:r>
      <w:r>
        <w:rPr>
          <w:spacing w:val="-60"/>
        </w:rPr>
        <w:t> </w:t>
      </w:r>
      <w:r>
        <w:rPr>
          <w:spacing w:val="-2"/>
        </w:rPr>
        <w:t>較為嚴重，因此不太適合在人事行政上透過調處的機制處理。針對這個問題，我基本上也認為當時立法之初的疑慮，沒有太大必要性，把調處當成一個行政程序當中的紛爭的解決的機制，或是在行政程序中廣泛的適用類似於和解契約締結此等機制，並不一定會影響合法性的問題。簡單的說，我認為如果可能有合法性的疑慮，它只是會影響在合法性的這個操作上，必須要謹慎的程度高低而已，並不</w:t>
      </w:r>
      <w:r>
        <w:rPr/>
        <w:t>當然的因此排除復審案件適用的必要。</w:t>
      </w:r>
    </w:p>
    <w:p>
      <w:pPr>
        <w:pStyle w:val="BodyText"/>
        <w:spacing w:before="5"/>
        <w:rPr>
          <w:sz w:val="30"/>
        </w:rPr>
      </w:pPr>
    </w:p>
    <w:p>
      <w:pPr>
        <w:pStyle w:val="BodyText"/>
        <w:spacing w:line="295" w:lineRule="auto"/>
        <w:ind w:left="900" w:right="917" w:firstLine="480"/>
        <w:jc w:val="both"/>
      </w:pPr>
      <w:r>
        <w:rPr>
          <w:spacing w:val="-3"/>
        </w:rPr>
        <w:t>從第一個議題跟第二個議題對照起來，我認為當時立法之初創設兩個保障法上的兩個救濟機制，給予它不同的輕重的考量，在今天來看，必要性皆不高。這樣的說法其實背後有更深層的想法，我認為保障法上二元化的設計，應該要面臨</w:t>
      </w:r>
      <w:r>
        <w:rPr>
          <w:spacing w:val="-4"/>
        </w:rPr>
        <w:t>到調整。特別是在釋字第 </w:t>
      </w:r>
      <w:r>
        <w:rPr>
          <w:rFonts w:ascii="Times New Roman" w:eastAsia="Times New Roman"/>
          <w:spacing w:val="-3"/>
        </w:rPr>
        <w:t>684</w:t>
      </w:r>
      <w:r>
        <w:rPr>
          <w:rFonts w:ascii="Times New Roman" w:eastAsia="Times New Roman"/>
          <w:spacing w:val="-9"/>
        </w:rPr>
        <w:t> </w:t>
      </w:r>
      <w:r>
        <w:rPr>
          <w:spacing w:val="-3"/>
        </w:rPr>
        <w:t>號解釋之後，過去根據內部法外部法區分、設計出來二元化救濟的思維，在保障法上面，已經很難站得住腳。大法官在羈押法問題的審查中，連羈押法上沒有明文內部救濟不能夠進入到行政爭訟，大法官都去質疑，這樣的立法內容可能是有特別權力關係的陰影，而宣告它違憲。因此，比照這相同的想法，目前的再申訴制度勢必也會違憲。即便是在再申訴的案型中，管理措施或工作條件的處置，也可能涉及但基本權的侵害，針對該等案型如果因為循再申訴程序就不能夠進入司法審查，可能也是站不住腳的。我個人認為，如果保障法目前二元機制的救濟管道設計受到挑戰的話，目前我們討論一、二的這兩</w:t>
      </w:r>
      <w:r>
        <w:rPr/>
        <w:t>個子議題其實就不是問題了。</w:t>
      </w:r>
    </w:p>
    <w:p>
      <w:pPr>
        <w:pStyle w:val="BodyText"/>
        <w:spacing w:before="9"/>
        <w:rPr>
          <w:sz w:val="30"/>
        </w:rPr>
      </w:pPr>
    </w:p>
    <w:p>
      <w:pPr>
        <w:pStyle w:val="Heading3"/>
      </w:pPr>
      <w:r>
        <w:rPr>
          <w:w w:val="95"/>
        </w:rPr>
        <w:t>林昱梅老師：</w:t>
      </w:r>
    </w:p>
    <w:p>
      <w:pPr>
        <w:pStyle w:val="BodyText"/>
        <w:spacing w:before="78"/>
        <w:ind w:left="1365" w:right="903"/>
        <w:jc w:val="center"/>
      </w:pPr>
      <w:r>
        <w:rPr>
          <w:spacing w:val="-3"/>
        </w:rPr>
        <w:t>關於第二個議題，調處的問題我認為可以分兩個階段討論。一是理論上，訴</w:t>
      </w:r>
    </w:p>
    <w:p>
      <w:pPr>
        <w:spacing w:after="0"/>
        <w:jc w:val="center"/>
        <w:sectPr>
          <w:pgSz w:w="11910" w:h="16840"/>
          <w:pgMar w:header="0" w:footer="938" w:top="1440" w:bottom="1200" w:left="900" w:right="880"/>
        </w:sectPr>
      </w:pPr>
    </w:p>
    <w:p>
      <w:pPr>
        <w:pStyle w:val="BodyText"/>
        <w:spacing w:line="295" w:lineRule="auto" w:before="38"/>
        <w:ind w:left="900" w:right="857"/>
        <w:jc w:val="both"/>
      </w:pPr>
      <w:r>
        <w:rPr>
          <w:spacing w:val="-1"/>
        </w:rPr>
        <w:t>願、行政訴訟既然都可以和解的話，復審程序似乎沒有必要去排除調處的可能。</w:t>
      </w:r>
      <w:r>
        <w:rPr>
          <w:spacing w:val="-2"/>
        </w:rPr>
        <w:t>然而在實務上，再申訴案件調處成立的案例，據我所知只有四件，因此，當然理論上這個制度是可行的，但可能也必須思考即便擴大到復審程序的適用，能夠發揮如何成效。不過，我個人認為，在實務上復審案件也仍可能存在適合調處的特</w:t>
      </w:r>
      <w:r>
        <w:rPr/>
        <w:t>別性，換句話說，仍然有和解的空間。</w:t>
      </w:r>
    </w:p>
    <w:p>
      <w:pPr>
        <w:pStyle w:val="BodyText"/>
        <w:rPr>
          <w:sz w:val="30"/>
        </w:rPr>
      </w:pPr>
    </w:p>
    <w:p>
      <w:pPr>
        <w:pStyle w:val="Heading3"/>
      </w:pPr>
      <w:r>
        <w:rPr>
          <w:w w:val="95"/>
        </w:rPr>
        <w:t>林明昕老師：</w:t>
      </w:r>
    </w:p>
    <w:p>
      <w:pPr>
        <w:pStyle w:val="BodyText"/>
        <w:spacing w:line="295" w:lineRule="auto" w:before="79"/>
        <w:ind w:left="900" w:right="917" w:firstLine="480"/>
        <w:jc w:val="both"/>
      </w:pPr>
      <w:r>
        <w:rPr>
          <w:spacing w:val="-3"/>
        </w:rPr>
        <w:t>針對議題二，調處制度是擴大適用到復審制度的妥當性。我認為既然這是一個和解，我看不出為什麼在法院可以和解，在復審卻不行。在德國法上雖然也沒有規定，但這並不妨礙和解，原因是原處分機關，在訴願、或者以我們台灣的復審，在公務人員的復審一直到行政訴訟，原處分機關本來就一直有對案件的處分</w:t>
      </w:r>
      <w:r>
        <w:rPr>
          <w:spacing w:val="-4"/>
        </w:rPr>
        <w:t>權。原處分機關可以依照行政程序法第 </w:t>
      </w:r>
      <w:r>
        <w:rPr>
          <w:rFonts w:ascii="Times New Roman" w:eastAsia="Times New Roman"/>
          <w:spacing w:val="-2"/>
        </w:rPr>
        <w:t>117</w:t>
      </w:r>
      <w:r>
        <w:rPr>
          <w:rFonts w:ascii="Times New Roman" w:eastAsia="Times New Roman"/>
          <w:spacing w:val="-10"/>
        </w:rPr>
        <w:t> </w:t>
      </w:r>
      <w:r>
        <w:rPr>
          <w:spacing w:val="-2"/>
        </w:rPr>
        <w:t>條以下所規定撤銷、廢止去作，換句</w:t>
      </w:r>
      <w:r>
        <w:rPr>
          <w:spacing w:val="-3"/>
        </w:rPr>
        <w:t>話說，原處分機關既然有處分權，當然也包含各讓一步的和解。基此，原處分機關本來就能夠在合法的範圍內與當事人和解。簡言之，我不認為調處制度只能適</w:t>
      </w:r>
      <w:r>
        <w:rPr/>
        <w:t>用於再申訴事件，我認為復審與再申訴都是可以適用的。</w:t>
      </w:r>
    </w:p>
    <w:p>
      <w:pPr>
        <w:pStyle w:val="BodyText"/>
        <w:spacing w:before="4"/>
        <w:rPr>
          <w:sz w:val="30"/>
        </w:rPr>
      </w:pPr>
    </w:p>
    <w:p>
      <w:pPr>
        <w:pStyle w:val="Heading3"/>
      </w:pPr>
      <w:r>
        <w:rPr>
          <w:w w:val="95"/>
        </w:rPr>
        <w:t>盛子龍老師：</w:t>
      </w:r>
    </w:p>
    <w:p>
      <w:pPr>
        <w:pStyle w:val="BodyText"/>
        <w:spacing w:line="295" w:lineRule="auto" w:before="78"/>
        <w:ind w:left="899" w:right="917" w:firstLine="480"/>
        <w:jc w:val="both"/>
      </w:pPr>
      <w:r>
        <w:rPr>
          <w:spacing w:val="-3"/>
        </w:rPr>
        <w:t>針對第二個議題，也就是調處制度要不要擴大到復審事件，我記得當時我與陳愛娥老師的研究計畫認為是可以的。照理說，這個問題比起申訴、再申訴更沒</w:t>
      </w:r>
      <w:r>
        <w:rPr>
          <w:spacing w:val="-4"/>
        </w:rPr>
        <w:t>有問題，因為在行政程序法上，雙方當事人本來就可以在行政程序法第 </w:t>
      </w:r>
      <w:r>
        <w:rPr>
          <w:rFonts w:ascii="Times New Roman" w:eastAsia="Times New Roman"/>
          <w:spacing w:val="-2"/>
        </w:rPr>
        <w:t>136</w:t>
      </w:r>
      <w:r>
        <w:rPr>
          <w:rFonts w:ascii="Times New Roman" w:eastAsia="Times New Roman"/>
          <w:spacing w:val="-10"/>
        </w:rPr>
        <w:t> </w:t>
      </w:r>
      <w:r>
        <w:rPr>
          <w:spacing w:val="-2"/>
        </w:rPr>
        <w:t>條底</w:t>
      </w:r>
      <w:r>
        <w:rPr>
          <w:spacing w:val="-3"/>
        </w:rPr>
        <w:t>下，於復審程序外自行締結和解契約。以訴訟來說，不管是在訴訟上的和解，或</w:t>
      </w:r>
      <w:r>
        <w:rPr>
          <w:spacing w:val="-4"/>
        </w:rPr>
        <w:t>是在訴訟外，另外締結行政程序法第 </w:t>
      </w:r>
      <w:r>
        <w:rPr>
          <w:rFonts w:ascii="Times New Roman" w:eastAsia="Times New Roman"/>
          <w:spacing w:val="-2"/>
        </w:rPr>
        <w:t>136</w:t>
      </w:r>
      <w:r>
        <w:rPr>
          <w:rFonts w:ascii="Times New Roman" w:eastAsia="Times New Roman"/>
          <w:spacing w:val="-10"/>
        </w:rPr>
        <w:t> </w:t>
      </w:r>
      <w:r>
        <w:rPr>
          <w:spacing w:val="-2"/>
        </w:rPr>
        <w:t>條的訴訟外的和解，本來就在法規所規</w:t>
      </w:r>
      <w:r>
        <w:rPr>
          <w:spacing w:val="-3"/>
        </w:rPr>
        <w:t>範之範圍內，因此，在這邊排除復審事件適用調處制度所提出的理由，其實相當令人懷疑，包括剛才程老師提到「違法性」的問題，我個人也認為很奇怪，一般來說，目前台灣行政訴訟的和解，以我自己的經驗，行政法院對於稅務案件的態度，都非常希望雙方和解，實際上也不太作合法性的控制，在實務上處理稅務案件的時候，往往也是朝向解決問題，不見得很關心合法性的問題。因此，單純認為合法性有疑慮，就積極的禁止保訓會介入這一點，我個人是持非常高度懷疑的</w:t>
      </w:r>
      <w:r>
        <w:rPr/>
        <w:t>態度。我反而認為透過保訓會的委員，在處理調處的問題時，較能面面俱到。</w:t>
      </w:r>
    </w:p>
    <w:p>
      <w:pPr>
        <w:pStyle w:val="BodyText"/>
        <w:spacing w:before="9"/>
        <w:rPr>
          <w:sz w:val="30"/>
        </w:rPr>
      </w:pPr>
    </w:p>
    <w:p>
      <w:pPr>
        <w:pStyle w:val="BodyText"/>
        <w:spacing w:line="295" w:lineRule="auto"/>
        <w:ind w:left="900" w:right="915" w:firstLine="480"/>
        <w:jc w:val="both"/>
      </w:pPr>
      <w:r>
        <w:rPr>
          <w:spacing w:val="-3"/>
        </w:rPr>
        <w:t>調處制度的另外一個好處，就是由另外一個機關作「公親」的角色。一般而言，當事人提起申訴、再申訴，基本上與原機關的狀況應該都非常緊張，或甚至是翻臉了，在這種情況下，由另一個機關，也就是保訓會介入，我認為促成關係</w:t>
      </w:r>
    </w:p>
    <w:p>
      <w:pPr>
        <w:spacing w:after="0" w:line="295" w:lineRule="auto"/>
        <w:jc w:val="both"/>
        <w:sectPr>
          <w:pgSz w:w="11910" w:h="16840"/>
          <w:pgMar w:header="0" w:footer="938" w:top="1440" w:bottom="1200" w:left="900" w:right="880"/>
        </w:sectPr>
      </w:pPr>
    </w:p>
    <w:p>
      <w:pPr>
        <w:pStyle w:val="BodyText"/>
        <w:spacing w:before="38"/>
        <w:ind w:left="900"/>
      </w:pPr>
      <w:r>
        <w:rPr/>
        <w:t>和解的可能性應該會比原機關更好。</w:t>
      </w:r>
    </w:p>
    <w:p>
      <w:pPr>
        <w:pStyle w:val="BodyText"/>
        <w:spacing w:before="3"/>
        <w:rPr>
          <w:sz w:val="35"/>
        </w:rPr>
      </w:pPr>
    </w:p>
    <w:p>
      <w:pPr>
        <w:pStyle w:val="Heading3"/>
      </w:pPr>
      <w:r>
        <w:rPr>
          <w:w w:val="95"/>
        </w:rPr>
        <w:t>林明鏘老師：</w:t>
      </w:r>
    </w:p>
    <w:p>
      <w:pPr>
        <w:pStyle w:val="BodyText"/>
        <w:spacing w:line="295" w:lineRule="auto" w:before="78"/>
        <w:ind w:left="900" w:right="917" w:firstLine="480"/>
        <w:jc w:val="both"/>
      </w:pPr>
      <w:r>
        <w:rPr>
          <w:spacing w:val="-3"/>
        </w:rPr>
        <w:t>針對這個問題，我個人認為，以公務人員申訴的案件，很多其實都是非常小的案件，應該都是可以透過調處來解決，不一定要弄到你死我活的拚出合法性與否的問題，因此我認為調處制度應該可以擴大適用範圍到復審事件。當然擴大調處的範圍，也可會有一個極限，或許也不是設一個調處制度，調處的雙方就一定</w:t>
      </w:r>
      <w:r>
        <w:rPr/>
        <w:t>能夠各讓一步。</w:t>
      </w:r>
    </w:p>
    <w:p>
      <w:pPr>
        <w:pStyle w:val="BodyText"/>
      </w:pPr>
    </w:p>
    <w:p>
      <w:pPr>
        <w:pStyle w:val="Heading2"/>
        <w:spacing w:before="211"/>
      </w:pPr>
      <w:r>
        <w:rPr>
          <w:spacing w:val="-13"/>
          <w:w w:val="95"/>
        </w:rPr>
        <w:t>議題三：「停止執行」適用於「再申訴」事件妥當性之檢討</w:t>
      </w:r>
    </w:p>
    <w:p>
      <w:pPr>
        <w:pStyle w:val="Heading3"/>
        <w:spacing w:before="202"/>
      </w:pPr>
      <w:r>
        <w:rPr>
          <w:w w:val="95"/>
        </w:rPr>
        <w:t>程明修老師：</w:t>
      </w:r>
    </w:p>
    <w:p>
      <w:pPr>
        <w:pStyle w:val="BodyText"/>
        <w:spacing w:line="295" w:lineRule="auto" w:before="78"/>
        <w:ind w:left="900" w:right="857" w:firstLine="480"/>
        <w:jc w:val="both"/>
      </w:pPr>
      <w:r>
        <w:rPr>
          <w:spacing w:val="-2"/>
        </w:rPr>
        <w:t>針對第三個問題，我的考量點倒不一定從「是不是行政處分」的這個角度去考慮，舉一個例子，例如調任，一般的實務上的作法、或是學理上的作法，認為只要調任並沒有增加薪資，官職等也沒有改變，就只是所謂的平調，平調一般認為是屬於一種再申訴的這個案型，可是從這個調任行為本身來看，調任行為本身</w:t>
      </w:r>
      <w:r>
        <w:rPr>
          <w:spacing w:val="-1"/>
        </w:rPr>
        <w:t>它也產生形成的效力，以及規制的效果，這個規制的效果也會有執行的可能性，</w:t>
      </w:r>
      <w:r>
        <w:rPr>
          <w:spacing w:val="-60"/>
        </w:rPr>
        <w:t> </w:t>
      </w:r>
      <w:r>
        <w:rPr>
          <w:spacing w:val="-2"/>
        </w:rPr>
        <w:t>換句話說，這種調任本身或許不一定是行政處分，但它仍有一定的規制內涵，只是這個規制內涵我們說是一種內部的規制，這個內部規制一樣與所謂的外部行政處分有必要去討論它的這個執行、執行力的停止的問題。從這個角度出發，我認</w:t>
      </w:r>
      <w:r>
        <w:rPr/>
        <w:t>為再申訴制度裡存有一個停止執行的制度，是有其必要性的。</w:t>
      </w:r>
    </w:p>
    <w:p>
      <w:pPr>
        <w:pStyle w:val="BodyText"/>
        <w:spacing w:before="5"/>
        <w:rPr>
          <w:sz w:val="30"/>
        </w:rPr>
      </w:pPr>
    </w:p>
    <w:p>
      <w:pPr>
        <w:pStyle w:val="BodyText"/>
        <w:spacing w:line="295" w:lineRule="auto" w:before="1"/>
        <w:ind w:left="900" w:right="917" w:firstLine="480"/>
        <w:jc w:val="both"/>
      </w:pPr>
      <w:r>
        <w:rPr>
          <w:spacing w:val="-3"/>
        </w:rPr>
        <w:t>針對計畫案提出一個疑問，也就是如果我們在再申訴裡面讓它有停止執行的程序保障，那當事人在同一案件不能進入到行政訴訟，喪失了在行政救濟這個階段裡面的停止執行的暫時性權利保護的可能性，會不會產生一種失衡？這個問題其實回應到我剛剛講的問題，我們目前會有一個實務上面的迷思，只要經過再申訴的案件，就不能夠進行政訴訟，但我一直認為，這只不過是因為該人事行政措施它不被歸類為行政處分，例如行政契約跟行政便宜原則，實務上目前是以再申訴的案件型態去處理，但是它仍可以進入行政訴訟。換句話說，即便是經過再申訴的階段，後續再進入一般給付訴訟和確認訴訟的可能性是存在的，因此，是否一旦經過再申訴的案型，行政訴訟的救濟途徑即被阻斷，我個人認為未必。所以這裡所看到這樣的疑慮，我反而是認為說只要是進入到權利保障救濟體系裡面去的案件，不管它是進入到再申訴或者進入到復審，將來只不過是行政訴訟類型上</w:t>
      </w:r>
      <w:r>
        <w:rPr/>
        <w:t>面的區別而已，並不必然會因此阻斷它行政訴訟。</w:t>
      </w:r>
    </w:p>
    <w:p>
      <w:pPr>
        <w:spacing w:after="0" w:line="295" w:lineRule="auto"/>
        <w:jc w:val="both"/>
        <w:sectPr>
          <w:pgSz w:w="11910" w:h="16840"/>
          <w:pgMar w:header="0" w:footer="938" w:top="1440" w:bottom="1200" w:left="900" w:right="880"/>
        </w:sectPr>
      </w:pPr>
    </w:p>
    <w:p>
      <w:pPr>
        <w:pStyle w:val="BodyText"/>
        <w:spacing w:before="2"/>
        <w:rPr>
          <w:sz w:val="17"/>
        </w:rPr>
      </w:pPr>
    </w:p>
    <w:p>
      <w:pPr>
        <w:pStyle w:val="Heading3"/>
        <w:spacing w:before="52"/>
      </w:pPr>
      <w:r>
        <w:rPr>
          <w:w w:val="95"/>
        </w:rPr>
        <w:t>林昱梅老師：</w:t>
      </w:r>
    </w:p>
    <w:p>
      <w:pPr>
        <w:pStyle w:val="BodyText"/>
        <w:spacing w:line="295" w:lineRule="auto" w:before="79"/>
        <w:ind w:left="900" w:right="855" w:firstLine="480"/>
        <w:jc w:val="both"/>
      </w:pPr>
      <w:r>
        <w:rPr>
          <w:spacing w:val="-2"/>
        </w:rPr>
        <w:t>針對第三個議題，我認為在實務上再申訴也有適用停止執行的可能，例如，</w:t>
      </w:r>
      <w:r>
        <w:rPr>
          <w:spacing w:val="-60"/>
        </w:rPr>
        <w:t> </w:t>
      </w:r>
      <w:r>
        <w:rPr>
          <w:spacing w:val="-1"/>
        </w:rPr>
        <w:t>被列為假日輔導對象的職員，一旦被列，考績就很容易被打丙，因為一旦列輔，</w:t>
      </w:r>
      <w:r>
        <w:rPr>
          <w:spacing w:val="-60"/>
        </w:rPr>
        <w:t> </w:t>
      </w:r>
      <w:r>
        <w:rPr>
          <w:spacing w:val="-2"/>
        </w:rPr>
        <w:t>可能就會被列為風紀評估對象，列輔有一個列輔期間，在列輔期間的該年，考績很可能就會受到影響，此時，如果可以有一個暫時權利保護的機制勢必能夠發揮保障的作用，甚至我認為，暫時權利保護的類型應不限於停止執行，因為給付型的案件中，可能會需要一些保全處分。簡單的說，我認為再申訴案件有適用停止</w:t>
      </w:r>
      <w:r>
        <w:rPr/>
        <w:t>執行的需求，並且針對給付型的案件，可能甚至應該要有假處分的制度。</w:t>
      </w:r>
    </w:p>
    <w:p>
      <w:pPr>
        <w:pStyle w:val="BodyText"/>
        <w:spacing w:before="2"/>
        <w:rPr>
          <w:sz w:val="30"/>
        </w:rPr>
      </w:pPr>
    </w:p>
    <w:p>
      <w:pPr>
        <w:pStyle w:val="Heading3"/>
      </w:pPr>
      <w:r>
        <w:rPr>
          <w:w w:val="95"/>
        </w:rPr>
        <w:t>程明修老師：</w:t>
      </w:r>
    </w:p>
    <w:p>
      <w:pPr>
        <w:pStyle w:val="BodyText"/>
        <w:spacing w:line="295" w:lineRule="auto" w:before="79"/>
        <w:ind w:left="900" w:right="917" w:firstLine="480"/>
        <w:jc w:val="both"/>
      </w:pPr>
      <w:r>
        <w:rPr>
          <w:spacing w:val="-3"/>
        </w:rPr>
        <w:t>針對剛剛林昱梅老師提出的增設假處分制度，我個人認為或許可以設置一個在保障法上的暫時性權利保護機制，分別因應撤銷型或是課予義務型給予暫時保</w:t>
      </w:r>
      <w:r>
        <w:rPr/>
        <w:t>護。事實上，暫時性權利保護的審查步驟或審查流程上，差異性並不大。</w:t>
      </w:r>
    </w:p>
    <w:p>
      <w:pPr>
        <w:pStyle w:val="BodyText"/>
        <w:spacing w:before="12"/>
        <w:rPr>
          <w:sz w:val="29"/>
        </w:rPr>
      </w:pPr>
    </w:p>
    <w:p>
      <w:pPr>
        <w:pStyle w:val="Heading3"/>
      </w:pPr>
      <w:r>
        <w:rPr>
          <w:w w:val="95"/>
        </w:rPr>
        <w:t>林明昕老師：</w:t>
      </w:r>
    </w:p>
    <w:p>
      <w:pPr>
        <w:pStyle w:val="BodyText"/>
        <w:spacing w:line="295" w:lineRule="auto" w:before="78"/>
        <w:ind w:left="900" w:right="917" w:firstLine="480"/>
        <w:jc w:val="both"/>
      </w:pPr>
      <w:r>
        <w:rPr>
          <w:spacing w:val="-3"/>
        </w:rPr>
        <w:t>針對訴願機關能不能夠作假處分的這個問題，因為立法時參照德國，在德國基本上就是認為假處分是訴願機關不能做的，只有法院能做，其實也不是真的因為什麼原因，主要就是因為參照德國，因此在這部分也一併繼受了德國的這個想法，也因此在訴願法當中也就沒有假處分的規定。不過這在整個爭訟過程中並不會產生太大的影響，主要是因為人民可以在訴訟繫屬前直接向行政法院提。所以在保障法，應該也是比照辦理。簡單的說，我認為在保障法中只規定停止執行而</w:t>
      </w:r>
      <w:r>
        <w:rPr/>
        <w:t>沒有規定假處分，一樣可以透過本案訴訟先向行政法院聲請。</w:t>
      </w:r>
    </w:p>
    <w:p>
      <w:pPr>
        <w:pStyle w:val="BodyText"/>
        <w:spacing w:before="3"/>
        <w:rPr>
          <w:sz w:val="30"/>
        </w:rPr>
      </w:pPr>
    </w:p>
    <w:p>
      <w:pPr>
        <w:pStyle w:val="Heading3"/>
      </w:pPr>
      <w:r>
        <w:rPr>
          <w:w w:val="95"/>
        </w:rPr>
        <w:t>程明修老師：</w:t>
      </w:r>
    </w:p>
    <w:p>
      <w:pPr>
        <w:pStyle w:val="BodyText"/>
        <w:spacing w:line="295" w:lineRule="auto" w:before="78"/>
        <w:ind w:left="900" w:right="917" w:firstLine="480"/>
        <w:jc w:val="both"/>
      </w:pPr>
      <w:r>
        <w:rPr>
          <w:spacing w:val="-3"/>
        </w:rPr>
        <w:t>針對林明昕老師所說可以在訴訟繫屬前向法院聲請假處分的情形，恐怕要特別注意到公務人員的案件中，再申訴案件目前就沒辦法進入行政訴訟，可能就沒</w:t>
      </w:r>
      <w:r>
        <w:rPr/>
        <w:t>辦法適用林老師說的這種情形。</w:t>
      </w:r>
    </w:p>
    <w:p>
      <w:pPr>
        <w:pStyle w:val="BodyText"/>
        <w:spacing w:before="12"/>
        <w:rPr>
          <w:sz w:val="29"/>
        </w:rPr>
      </w:pPr>
    </w:p>
    <w:p>
      <w:pPr>
        <w:pStyle w:val="Heading3"/>
      </w:pPr>
      <w:r>
        <w:rPr>
          <w:w w:val="95"/>
        </w:rPr>
        <w:t>林明昕老師：</w:t>
      </w:r>
    </w:p>
    <w:p>
      <w:pPr>
        <w:pStyle w:val="BodyText"/>
        <w:spacing w:line="295" w:lineRule="auto" w:before="79"/>
        <w:ind w:left="900" w:right="917" w:firstLine="480"/>
        <w:jc w:val="both"/>
      </w:pPr>
      <w:r>
        <w:rPr>
          <w:spacing w:val="-3"/>
        </w:rPr>
        <w:t>停止執行這個概念在我們台灣，通常都會跟行政處分綁在一起，所以才會產生研究團隊提出來的這個疑問，也就是再申訴案件內如果沒有行政處分，制度上用停止執行似乎有點奇怪。這確實會讓人產生一個這樣的思考，然而這個想法主</w:t>
      </w:r>
    </w:p>
    <w:p>
      <w:pPr>
        <w:spacing w:after="0" w:line="295" w:lineRule="auto"/>
        <w:jc w:val="both"/>
        <w:sectPr>
          <w:pgSz w:w="11910" w:h="16840"/>
          <w:pgMar w:header="0" w:footer="938" w:top="1600" w:bottom="1200" w:left="900" w:right="880"/>
        </w:sectPr>
      </w:pPr>
    </w:p>
    <w:p>
      <w:pPr>
        <w:pStyle w:val="BodyText"/>
        <w:spacing w:line="295" w:lineRule="auto" w:before="38"/>
        <w:ind w:left="900" w:right="857"/>
        <w:jc w:val="both"/>
      </w:pPr>
      <w:r>
        <w:rPr>
          <w:spacing w:val="12"/>
        </w:rPr>
        <w:t>要是從德國的觀點而來的。但是如果我們把這個停止執行認知為美國法上的</w:t>
      </w:r>
      <w:r>
        <w:rPr>
          <w:rFonts w:ascii="Times New Roman" w:eastAsia="Times New Roman"/>
          <w:spacing w:val="-4"/>
        </w:rPr>
        <w:t>injunction</w:t>
      </w:r>
      <w:r>
        <w:rPr>
          <w:spacing w:val="-5"/>
        </w:rPr>
        <w:t>，或許就會有不一樣的思考。因為 </w:t>
      </w:r>
      <w:r>
        <w:rPr>
          <w:rFonts w:ascii="Times New Roman" w:eastAsia="Times New Roman"/>
          <w:spacing w:val="-4"/>
        </w:rPr>
        <w:t>injunction</w:t>
      </w:r>
      <w:r>
        <w:rPr>
          <w:rFonts w:ascii="Times New Roman" w:eastAsia="Times New Roman"/>
          <w:spacing w:val="-9"/>
        </w:rPr>
        <w:t> </w:t>
      </w:r>
      <w:r>
        <w:rPr>
          <w:spacing w:val="-3"/>
        </w:rPr>
        <w:t>本來就沒有所謂要求作為，</w:t>
      </w:r>
      <w:r>
        <w:rPr>
          <w:spacing w:val="-60"/>
        </w:rPr>
        <w:t> </w:t>
      </w:r>
      <w:r>
        <w:rPr/>
        <w:t>反而是要求不作為也就是「</w:t>
      </w:r>
      <w:r>
        <w:rPr>
          <w:rFonts w:ascii="Times New Roman" w:eastAsia="Times New Roman"/>
        </w:rPr>
        <w:t>stop</w:t>
      </w:r>
      <w:r>
        <w:rPr>
          <w:spacing w:val="-12"/>
        </w:rPr>
        <w:t>」，所以我們常常翻譯為禁制令。禁止的對象就</w:t>
      </w:r>
      <w:r>
        <w:rPr>
          <w:spacing w:val="-2"/>
        </w:rPr>
        <w:t>不以行政處分為限，凡是有效力的，或者效力當中甚至可以執行的，都先停下來不要動，如果這樣理解，其實問題就解決了。簡單的說，我們如果換一個觀念去理解停止執行，而不完全以德國法為思考，就不一定要扣緊行政處分理解這個制</w:t>
      </w:r>
      <w:r>
        <w:rPr/>
        <w:t>度。</w:t>
      </w:r>
    </w:p>
    <w:p>
      <w:pPr>
        <w:pStyle w:val="BodyText"/>
        <w:spacing w:before="3"/>
        <w:rPr>
          <w:sz w:val="30"/>
        </w:rPr>
      </w:pPr>
    </w:p>
    <w:p>
      <w:pPr>
        <w:pStyle w:val="Heading3"/>
      </w:pPr>
      <w:r>
        <w:rPr>
          <w:w w:val="95"/>
        </w:rPr>
        <w:t>盛子龍老師：</w:t>
      </w:r>
    </w:p>
    <w:p>
      <w:pPr>
        <w:pStyle w:val="BodyText"/>
        <w:spacing w:line="295" w:lineRule="auto" w:before="78"/>
        <w:ind w:left="900" w:right="857" w:firstLine="480"/>
        <w:jc w:val="both"/>
      </w:pPr>
      <w:r>
        <w:rPr>
          <w:spacing w:val="-2"/>
        </w:rPr>
        <w:t>針對第三個議題，其實我認為保障法目前讓再申訴的案件也承認有停止執行的制度，是一個了不起的創舉，因為在內部的管理行為當中，有許多其實是具有下命效或形成效，承認這一種效力可藉由停止執行制度暫時的凍結，其實是很棒的制度，我認為不要被名詞所誘惑。名詞只是形式的，重要的是實質的內容，如果能夠對人民權利的救濟給予最直接有效的保障，那麼就是一個好的制度。至於</w:t>
      </w:r>
      <w:r>
        <w:rPr/>
        <w:t>是否在停止執行之外還要再增加一個所謂的我們說類似或相當於行政訴訟法上</w:t>
      </w:r>
      <w:r>
        <w:rPr>
          <w:spacing w:val="-2"/>
        </w:rPr>
        <w:t>定暫時狀態假處分的制度，這是另一個延伸出來的議題。當然，如剛剛林明昕老師所說，行政訴訟法上如果涉及權利侵害的情況，可以依行政訴訟法在訴訟繫屬前先向行政法院聲請假處分，實務上也已經做到，但在這邊我們必須思考的是，</w:t>
      </w:r>
      <w:r>
        <w:rPr>
          <w:spacing w:val="-60"/>
        </w:rPr>
        <w:t> </w:t>
      </w:r>
      <w:r>
        <w:rPr>
          <w:spacing w:val="-2"/>
        </w:rPr>
        <w:t>再申訴的案件是不是也有這樣的需要。當然，從法政策來思考，可能不是每一個</w:t>
      </w:r>
      <w:r>
        <w:rPr/>
        <w:t>再申訴的案件都符合需要聲請假處分的態樣，因為可能會欠缺申請假處分的權</w:t>
      </w:r>
      <w:r>
        <w:rPr>
          <w:spacing w:val="-2"/>
        </w:rPr>
        <w:t>能，因為欠缺訴訟權能而不被准許，在這種情況下，如果法院沒有辦法給一個假處分，須不須要給予保訓會定暫時狀態處分的權能，來給公務人員一個充分有效的保障，我認為是政策上可以思考的。第二個政策上可以思考的是，如果要給行政機關假處分的權能，要交給哪個行政機關，這也與前面的議題相同，必須思考哪個機關最有能力處理這個問題，簡單的說，即便是復審的案件已經可以向行政法院聲請假處分，但純粹從法政策上來考量，是不是再給保訓會這樣的權能，對</w:t>
      </w:r>
      <w:r>
        <w:rPr/>
        <w:t>人民的權利救濟能夠一針見血，更給予即時有效的保障，我認為都是可以考量的。既然是制度設計，我認為其實是海闊天空的。</w:t>
      </w:r>
    </w:p>
    <w:p>
      <w:pPr>
        <w:pStyle w:val="BodyText"/>
        <w:spacing w:before="3"/>
        <w:rPr>
          <w:sz w:val="31"/>
        </w:rPr>
      </w:pPr>
    </w:p>
    <w:p>
      <w:pPr>
        <w:pStyle w:val="Heading3"/>
      </w:pPr>
      <w:r>
        <w:rPr>
          <w:w w:val="95"/>
        </w:rPr>
        <w:t>林明鏘老師：</w:t>
      </w:r>
    </w:p>
    <w:p>
      <w:pPr>
        <w:pStyle w:val="BodyText"/>
        <w:spacing w:line="295" w:lineRule="auto" w:before="79"/>
        <w:ind w:left="900" w:right="917" w:firstLine="480"/>
        <w:jc w:val="both"/>
      </w:pPr>
      <w:r>
        <w:rPr>
          <w:spacing w:val="-3"/>
        </w:rPr>
        <w:t>針對第三個議題，停止執行的問題，我基本上是贊成的。簡單的說，再審議的制度我持比較懷疑的態度，但調處與停止執行的議題我都是贊成的。我也是認為效力的停止，其實不只是行政處分，管理措施也有效力停止的問題。不過，除</w:t>
      </w:r>
    </w:p>
    <w:p>
      <w:pPr>
        <w:spacing w:after="0" w:line="295" w:lineRule="auto"/>
        <w:jc w:val="both"/>
        <w:sectPr>
          <w:pgSz w:w="11910" w:h="16840"/>
          <w:pgMar w:header="0" w:footer="938" w:top="1440" w:bottom="1200" w:left="900" w:right="880"/>
        </w:sectPr>
      </w:pPr>
    </w:p>
    <w:p>
      <w:pPr>
        <w:pStyle w:val="BodyText"/>
        <w:spacing w:line="295" w:lineRule="auto" w:before="38"/>
        <w:ind w:left="900" w:right="857"/>
        <w:jc w:val="both"/>
      </w:pPr>
      <w:r>
        <w:rPr>
          <w:spacing w:val="-18"/>
        </w:rPr>
        <w:t>了效力停止外，是不是要有一個假處分的制度，我個人反倒認為，不要走的太快，</w:t>
      </w:r>
      <w:r>
        <w:rPr>
          <w:spacing w:val="-60"/>
        </w:rPr>
        <w:t> </w:t>
      </w:r>
      <w:r>
        <w:rPr/>
        <w:t>就如同前面提到的美國的 </w:t>
      </w:r>
      <w:r>
        <w:rPr>
          <w:rFonts w:ascii="Times New Roman" w:eastAsia="Times New Roman"/>
        </w:rPr>
        <w:t>injunction</w:t>
      </w:r>
      <w:r>
        <w:rPr>
          <w:rFonts w:ascii="Times New Roman" w:eastAsia="Times New Roman"/>
          <w:spacing w:val="4"/>
        </w:rPr>
        <w:t> </w:t>
      </w:r>
      <w:r>
        <w:rPr/>
        <w:t>的概念，其實就包括定暫時狀態假處分，因</w:t>
      </w:r>
      <w:r>
        <w:rPr>
          <w:spacing w:val="-2"/>
        </w:rPr>
        <w:t>此我認為對於管理措施等等的問題，透過目前的停止執行的效力其實大部分就足</w:t>
      </w:r>
      <w:r>
        <w:rPr/>
        <w:t>夠了。</w:t>
      </w:r>
    </w:p>
    <w:p>
      <w:pPr>
        <w:pStyle w:val="BodyText"/>
        <w:spacing w:before="4"/>
        <w:rPr>
          <w:sz w:val="22"/>
        </w:rPr>
      </w:pPr>
    </w:p>
    <w:p>
      <w:pPr>
        <w:pStyle w:val="Heading2"/>
      </w:pPr>
      <w:bookmarkStart w:name="_TOC_250003" w:id="36"/>
      <w:bookmarkEnd w:id="36"/>
      <w:r>
        <w:rPr>
          <w:w w:val="95"/>
        </w:rPr>
        <w:t>二、對於專家學者座談會意見之回應</w:t>
      </w:r>
    </w:p>
    <w:p>
      <w:pPr>
        <w:pStyle w:val="BodyText"/>
        <w:spacing w:before="5"/>
        <w:rPr>
          <w:b/>
          <w:sz w:val="36"/>
        </w:rPr>
      </w:pPr>
    </w:p>
    <w:p>
      <w:pPr>
        <w:spacing w:before="0"/>
        <w:ind w:left="900" w:right="0" w:firstLine="0"/>
        <w:jc w:val="left"/>
        <w:rPr>
          <w:b/>
          <w:sz w:val="28"/>
        </w:rPr>
      </w:pPr>
      <w:r>
        <w:rPr>
          <w:b/>
          <w:w w:val="95"/>
          <w:sz w:val="28"/>
        </w:rPr>
        <w:t>議題一：應否針對再申訴決定創設「再審議」等補救管道？</w:t>
      </w:r>
    </w:p>
    <w:p>
      <w:pPr>
        <w:pStyle w:val="Heading3"/>
        <w:spacing w:before="202"/>
      </w:pPr>
      <w:r>
        <w:rPr/>
        <w:t>（一）程明修老師部分：</w:t>
      </w:r>
    </w:p>
    <w:p>
      <w:pPr>
        <w:pStyle w:val="BodyText"/>
        <w:spacing w:line="295" w:lineRule="auto" w:before="78"/>
        <w:ind w:left="900" w:right="917" w:firstLine="480"/>
      </w:pPr>
      <w:r>
        <w:rPr>
          <w:spacing w:val="-3"/>
        </w:rPr>
        <w:t>程老師認為宜突破內、外法律關係之區分，且再審議的規定並無排除再申訴</w:t>
      </w:r>
      <w:r>
        <w:rPr/>
        <w:t>案件之必要性，本研究計畫亦擬朝此一方向作設計。</w:t>
      </w:r>
    </w:p>
    <w:p>
      <w:pPr>
        <w:pStyle w:val="BodyText"/>
        <w:spacing w:before="11"/>
        <w:rPr>
          <w:sz w:val="29"/>
        </w:rPr>
      </w:pPr>
    </w:p>
    <w:p>
      <w:pPr>
        <w:pStyle w:val="Heading3"/>
      </w:pPr>
      <w:r>
        <w:rPr>
          <w:w w:val="95"/>
        </w:rPr>
        <w:t>（二）林昱梅老師部分：</w:t>
      </w:r>
    </w:p>
    <w:p>
      <w:pPr>
        <w:pStyle w:val="BodyText"/>
        <w:spacing w:line="295" w:lineRule="auto" w:before="78"/>
        <w:ind w:left="900" w:right="857" w:firstLine="480"/>
        <w:jc w:val="both"/>
      </w:pPr>
      <w:r>
        <w:rPr>
          <w:spacing w:val="-2"/>
        </w:rPr>
        <w:t>林老師贊同程老師的意見，認為沒有必要排除再申訴事件適用再審議程序的規定，並且就統一稱為「再審議」即可，本研究計畫保障公務人員權益之觀點，</w:t>
      </w:r>
      <w:r>
        <w:rPr>
          <w:spacing w:val="-60"/>
        </w:rPr>
        <w:t> </w:t>
      </w:r>
      <w:r>
        <w:rPr/>
        <w:t>亦擬朝此一方向作設計。</w:t>
      </w:r>
    </w:p>
    <w:p>
      <w:pPr>
        <w:pStyle w:val="BodyText"/>
        <w:spacing w:before="12"/>
        <w:rPr>
          <w:sz w:val="29"/>
        </w:rPr>
      </w:pPr>
    </w:p>
    <w:p>
      <w:pPr>
        <w:pStyle w:val="Heading3"/>
      </w:pPr>
      <w:r>
        <w:rPr>
          <w:w w:val="95"/>
        </w:rPr>
        <w:t>（三）林明昕老師部分：</w:t>
      </w:r>
    </w:p>
    <w:p>
      <w:pPr>
        <w:pStyle w:val="BodyText"/>
        <w:spacing w:line="295" w:lineRule="auto" w:before="79"/>
        <w:ind w:left="900" w:right="914" w:firstLine="480"/>
        <w:jc w:val="both"/>
      </w:pPr>
      <w:r>
        <w:rPr>
          <w:spacing w:val="-3"/>
        </w:rPr>
        <w:t>林老師認為毋須設置再審議制度，讓這些重新開啟程序之規定全部直接回歸</w:t>
      </w:r>
      <w:r>
        <w:rPr>
          <w:spacing w:val="-4"/>
        </w:rPr>
        <w:t>適用行政程序法第 </w:t>
      </w:r>
      <w:r>
        <w:rPr>
          <w:rFonts w:ascii="Times New Roman" w:eastAsia="Times New Roman"/>
          <w:spacing w:val="-2"/>
        </w:rPr>
        <w:t>128</w:t>
      </w:r>
      <w:r>
        <w:rPr>
          <w:rFonts w:ascii="Times New Roman" w:eastAsia="Times New Roman"/>
          <w:spacing w:val="-10"/>
        </w:rPr>
        <w:t> </w:t>
      </w:r>
      <w:r>
        <w:rPr>
          <w:spacing w:val="-3"/>
        </w:rPr>
        <w:t>條之規定即可，惟研究團隊認為，行政程序法第 </w:t>
      </w:r>
      <w:r>
        <w:rPr>
          <w:rFonts w:ascii="Times New Roman" w:eastAsia="Times New Roman"/>
          <w:spacing w:val="-1"/>
        </w:rPr>
        <w:t>128</w:t>
      </w:r>
      <w:r>
        <w:rPr>
          <w:rFonts w:ascii="Times New Roman" w:eastAsia="Times New Roman"/>
          <w:spacing w:val="-10"/>
        </w:rPr>
        <w:t> </w:t>
      </w:r>
      <w:r>
        <w:rPr>
          <w:spacing w:val="-1"/>
        </w:rPr>
        <w:t>條開</w:t>
      </w:r>
      <w:r>
        <w:rPr>
          <w:spacing w:val="-10"/>
        </w:rPr>
        <w:t>頭即揭示適用於「行政處分」，而再申訴事件均不具有行政處分之性質，因此，</w:t>
      </w:r>
      <w:r>
        <w:rPr>
          <w:spacing w:val="-60"/>
        </w:rPr>
        <w:t> </w:t>
      </w:r>
      <w:r>
        <w:rPr>
          <w:spacing w:val="-1"/>
        </w:rPr>
        <w:t>恐難逕以行政程序法第 </w:t>
      </w:r>
      <w:r>
        <w:rPr>
          <w:rFonts w:ascii="Times New Roman" w:eastAsia="Times New Roman"/>
        </w:rPr>
        <w:t>128 </w:t>
      </w:r>
      <w:r>
        <w:rPr/>
        <w:t>條規定作為重新開啟審理程序之依據。</w:t>
      </w:r>
    </w:p>
    <w:p>
      <w:pPr>
        <w:pStyle w:val="BodyText"/>
        <w:spacing w:before="13"/>
        <w:rPr>
          <w:sz w:val="29"/>
        </w:rPr>
      </w:pPr>
    </w:p>
    <w:p>
      <w:pPr>
        <w:pStyle w:val="Heading3"/>
      </w:pPr>
      <w:r>
        <w:rPr/>
        <w:t>（四）盛子龍老師部分：</w:t>
      </w:r>
    </w:p>
    <w:p>
      <w:pPr>
        <w:pStyle w:val="BodyText"/>
        <w:spacing w:line="295" w:lineRule="auto" w:before="78"/>
        <w:ind w:left="900" w:right="917" w:firstLine="480"/>
        <w:jc w:val="both"/>
      </w:pPr>
      <w:r>
        <w:rPr>
          <w:spacing w:val="-3"/>
        </w:rPr>
        <w:t>盛老師從成本分析的考量，認為增加再審議程序後，審理之成本費用亦會隨之增加，因此必須審慎評估，研究團隊認為，成本考量固然重要，惟公務人員權益之保障及依法行政原則之要求亦不能小覷，故再申訴事件仍應有適用再審議制</w:t>
      </w:r>
      <w:r>
        <w:rPr/>
        <w:t>度之機會。</w:t>
      </w:r>
    </w:p>
    <w:p>
      <w:pPr>
        <w:pStyle w:val="BodyText"/>
        <w:spacing w:before="13"/>
        <w:rPr>
          <w:sz w:val="29"/>
        </w:rPr>
      </w:pPr>
    </w:p>
    <w:p>
      <w:pPr>
        <w:pStyle w:val="Heading3"/>
      </w:pPr>
      <w:r>
        <w:rPr/>
        <w:t>（五）林明鏘老師部分：</w:t>
      </w:r>
    </w:p>
    <w:p>
      <w:pPr>
        <w:pStyle w:val="BodyText"/>
        <w:spacing w:line="295" w:lineRule="auto" w:before="79"/>
        <w:ind w:left="900" w:right="915" w:firstLine="480"/>
        <w:jc w:val="right"/>
      </w:pPr>
      <w:r>
        <w:rPr>
          <w:spacing w:val="-3"/>
        </w:rPr>
        <w:t>林老師認為不要設置再審議程序，而係朝向簡單化的救濟程序作設計，似乎</w:t>
      </w:r>
      <w:r>
        <w:rPr>
          <w:spacing w:val="5"/>
        </w:rPr>
        <w:t>亦贊成以行政程序法第 </w:t>
      </w:r>
      <w:r>
        <w:rPr>
          <w:rFonts w:ascii="Times New Roman" w:eastAsia="Times New Roman"/>
        </w:rPr>
        <w:t>128</w:t>
      </w:r>
      <w:r>
        <w:rPr>
          <w:rFonts w:ascii="Times New Roman" w:eastAsia="Times New Roman"/>
          <w:spacing w:val="2"/>
        </w:rPr>
        <w:t> </w:t>
      </w:r>
      <w:r>
        <w:rPr/>
        <w:t>條作為行政機關自我反省的程序，惟行政程序法第</w:t>
      </w:r>
    </w:p>
    <w:p>
      <w:pPr>
        <w:pStyle w:val="BodyText"/>
        <w:spacing w:before="2"/>
        <w:ind w:right="857"/>
        <w:jc w:val="right"/>
      </w:pPr>
      <w:r>
        <w:rPr>
          <w:rFonts w:ascii="Times New Roman" w:eastAsia="Times New Roman"/>
        </w:rPr>
        <w:t>128</w:t>
      </w:r>
      <w:r>
        <w:rPr>
          <w:rFonts w:ascii="Times New Roman" w:eastAsia="Times New Roman"/>
          <w:spacing w:val="-4"/>
        </w:rPr>
        <w:t> </w:t>
      </w:r>
      <w:r>
        <w:rPr>
          <w:spacing w:val="-6"/>
        </w:rPr>
        <w:t>條開頭即揭示適用於「行政處分</w:t>
      </w:r>
      <w:r>
        <w:rPr>
          <w:spacing w:val="-13"/>
        </w:rPr>
        <w:t>」，而再申訴事件均不具有行政處分之性質，</w:t>
      </w:r>
    </w:p>
    <w:p>
      <w:pPr>
        <w:spacing w:after="0"/>
        <w:jc w:val="right"/>
        <w:sectPr>
          <w:pgSz w:w="11910" w:h="16840"/>
          <w:pgMar w:header="0" w:footer="938" w:top="1440" w:bottom="1200" w:left="900" w:right="880"/>
        </w:sectPr>
      </w:pPr>
    </w:p>
    <w:p>
      <w:pPr>
        <w:pStyle w:val="BodyText"/>
        <w:spacing w:before="58"/>
        <w:ind w:left="900"/>
      </w:pPr>
      <w:r>
        <w:rPr>
          <w:spacing w:val="-1"/>
        </w:rPr>
        <w:t>因此，恐難逕以行政程序法第 </w:t>
      </w:r>
      <w:r>
        <w:rPr>
          <w:rFonts w:ascii="Times New Roman" w:eastAsia="Times New Roman"/>
        </w:rPr>
        <w:t>128 </w:t>
      </w:r>
      <w:r>
        <w:rPr/>
        <w:t>條規定作為重新開啟審理程序之依據。</w:t>
      </w:r>
    </w:p>
    <w:p>
      <w:pPr>
        <w:pStyle w:val="BodyText"/>
        <w:rPr>
          <w:sz w:val="26"/>
        </w:rPr>
      </w:pPr>
    </w:p>
    <w:p>
      <w:pPr>
        <w:pStyle w:val="BodyText"/>
        <w:spacing w:before="4"/>
        <w:rPr>
          <w:sz w:val="18"/>
        </w:rPr>
      </w:pPr>
    </w:p>
    <w:p>
      <w:pPr>
        <w:pStyle w:val="Heading2"/>
      </w:pPr>
      <w:r>
        <w:rPr>
          <w:spacing w:val="-13"/>
          <w:w w:val="95"/>
        </w:rPr>
        <w:t>議題二：「調處」制度應否擴大適用於「復審」事件？</w:t>
      </w:r>
    </w:p>
    <w:p>
      <w:pPr>
        <w:pStyle w:val="Heading3"/>
        <w:spacing w:before="202"/>
      </w:pPr>
      <w:r>
        <w:rPr/>
        <w:t>（一）程明修老師部分：</w:t>
      </w:r>
    </w:p>
    <w:p>
      <w:pPr>
        <w:pStyle w:val="BodyText"/>
        <w:spacing w:line="295" w:lineRule="auto" w:before="78"/>
        <w:ind w:left="900" w:right="917" w:firstLine="480"/>
        <w:jc w:val="both"/>
      </w:pPr>
      <w:r>
        <w:rPr>
          <w:spacing w:val="-4"/>
        </w:rPr>
        <w:t>程老師認為自司法院大法官釋字第 </w:t>
      </w:r>
      <w:r>
        <w:rPr>
          <w:rFonts w:ascii="Times New Roman" w:eastAsia="Times New Roman"/>
          <w:spacing w:val="-3"/>
        </w:rPr>
        <w:t>684</w:t>
      </w:r>
      <w:r>
        <w:rPr>
          <w:rFonts w:ascii="Times New Roman" w:eastAsia="Times New Roman"/>
          <w:spacing w:val="-9"/>
        </w:rPr>
        <w:t> </w:t>
      </w:r>
      <w:r>
        <w:rPr>
          <w:spacing w:val="-3"/>
        </w:rPr>
        <w:t>號解釋後，過去根據內部法、外部法區分、設計出來的二元救濟的思維，在保障法上已經很難站得住腳，並進一步認為再申訴案件不能進入司法審查之立場，亦難以立足，研究團隊贊同程老師對於區分內部法與外部法救濟體系之評論，惟倘若因此取消二元救濟制度，回歸一般公法救濟體系，將使所有再申訴與復審案件均可進入行政訴訟，此舉對於法院案件量恐將衝擊過大，因此，研究團隊研擬於維持現行區分再申訴事件與復審事件</w:t>
      </w:r>
      <w:r>
        <w:rPr/>
        <w:t>之雙軌救濟制度下，盡量使公務員權益能獲得最大救濟方式。</w:t>
      </w:r>
    </w:p>
    <w:p>
      <w:pPr>
        <w:pStyle w:val="BodyText"/>
        <w:spacing w:before="3"/>
        <w:rPr>
          <w:sz w:val="30"/>
        </w:rPr>
      </w:pPr>
    </w:p>
    <w:p>
      <w:pPr>
        <w:pStyle w:val="Heading3"/>
      </w:pPr>
      <w:r>
        <w:rPr/>
        <w:t>（二）林昱梅老師部分：</w:t>
      </w:r>
    </w:p>
    <w:p>
      <w:pPr>
        <w:pStyle w:val="BodyText"/>
        <w:spacing w:line="295" w:lineRule="auto" w:before="78"/>
        <w:ind w:left="900" w:right="857" w:firstLine="480"/>
      </w:pPr>
      <w:r>
        <w:rPr>
          <w:spacing w:val="-2"/>
        </w:rPr>
        <w:t>林老師認為，訴願與行政訴訟既然都可以和解，因此，復審事件仍可能具有適合調處的特性，研究團隊亦計劃朝此一方向研擬復審事件能否適用調處程序。</w:t>
      </w:r>
    </w:p>
    <w:p>
      <w:pPr>
        <w:pStyle w:val="BodyText"/>
        <w:spacing w:before="11"/>
        <w:rPr>
          <w:sz w:val="29"/>
        </w:rPr>
      </w:pPr>
    </w:p>
    <w:p>
      <w:pPr>
        <w:pStyle w:val="Heading3"/>
      </w:pPr>
      <w:r>
        <w:rPr/>
        <w:t>（三）林明昕老師部分：</w:t>
      </w:r>
    </w:p>
    <w:p>
      <w:pPr>
        <w:pStyle w:val="BodyText"/>
        <w:spacing w:line="295" w:lineRule="auto" w:before="78"/>
        <w:ind w:left="900" w:right="917" w:firstLine="480"/>
      </w:pPr>
      <w:r>
        <w:rPr>
          <w:spacing w:val="-3"/>
        </w:rPr>
        <w:t>林老師認為調處制度可適用於再申訴與復審程序，研究團隊亦計劃朝此一方</w:t>
      </w:r>
      <w:r>
        <w:rPr/>
        <w:t>向研擬復審事件能否適用調處程序。</w:t>
      </w:r>
    </w:p>
    <w:p>
      <w:pPr>
        <w:pStyle w:val="BodyText"/>
        <w:spacing w:before="11"/>
        <w:rPr>
          <w:sz w:val="29"/>
        </w:rPr>
      </w:pPr>
    </w:p>
    <w:p>
      <w:pPr>
        <w:pStyle w:val="Heading3"/>
      </w:pPr>
      <w:r>
        <w:rPr/>
        <w:t>（四）盛子龍老師部分：</w:t>
      </w:r>
    </w:p>
    <w:p>
      <w:pPr>
        <w:pStyle w:val="BodyText"/>
        <w:spacing w:line="295" w:lineRule="auto" w:before="78"/>
        <w:ind w:left="900" w:right="917" w:firstLine="480"/>
        <w:jc w:val="both"/>
      </w:pPr>
      <w:r>
        <w:rPr>
          <w:spacing w:val="-3"/>
        </w:rPr>
        <w:t>盛老師指出，行政法院對稅務案件都非常希望雙方和解，而且實際上也不太強調合法性的控制，而係朝向解決問題的方向作優先考量，因此，合法性考量並</w:t>
      </w:r>
      <w:r>
        <w:rPr/>
        <w:t>不能作為否定復審事件適用調處制度之理由，研究團隊亦贊同此一意見。</w:t>
      </w:r>
    </w:p>
    <w:p>
      <w:pPr>
        <w:pStyle w:val="BodyText"/>
        <w:spacing w:before="12"/>
        <w:rPr>
          <w:sz w:val="29"/>
        </w:rPr>
      </w:pPr>
    </w:p>
    <w:p>
      <w:pPr>
        <w:pStyle w:val="Heading3"/>
      </w:pPr>
      <w:r>
        <w:rPr/>
        <w:t>（五）林明鏘老師部分：</w:t>
      </w:r>
    </w:p>
    <w:p>
      <w:pPr>
        <w:pStyle w:val="BodyText"/>
        <w:spacing w:line="295" w:lineRule="auto" w:before="79"/>
        <w:ind w:left="900" w:right="917" w:firstLine="480"/>
      </w:pPr>
      <w:r>
        <w:rPr>
          <w:spacing w:val="-3"/>
        </w:rPr>
        <w:t>林老師亦贊成調處制度可以擴大適用於復審案件，研究團隊亦計劃朝此一方</w:t>
      </w:r>
      <w:r>
        <w:rPr/>
        <w:t>向研擬復審事件能否適用調處程序。</w:t>
      </w:r>
    </w:p>
    <w:p>
      <w:pPr>
        <w:pStyle w:val="BodyText"/>
      </w:pPr>
    </w:p>
    <w:p>
      <w:pPr>
        <w:pStyle w:val="Heading2"/>
        <w:spacing w:before="207"/>
      </w:pPr>
      <w:r>
        <w:rPr>
          <w:spacing w:val="-13"/>
          <w:w w:val="95"/>
        </w:rPr>
        <w:t>議題三：「停止執行」適用於「再申訴」事件妥當性之檢討</w:t>
      </w:r>
    </w:p>
    <w:p>
      <w:pPr>
        <w:pStyle w:val="Heading3"/>
        <w:spacing w:before="202"/>
      </w:pPr>
      <w:r>
        <w:rPr/>
        <w:t>（一）程明修老師部分：</w:t>
      </w:r>
    </w:p>
    <w:p>
      <w:pPr>
        <w:pStyle w:val="BodyText"/>
        <w:spacing w:before="78"/>
        <w:ind w:left="1365" w:right="903"/>
        <w:jc w:val="center"/>
      </w:pPr>
      <w:r>
        <w:rPr>
          <w:spacing w:val="-3"/>
        </w:rPr>
        <w:t>研究團隊原則上亦認為循申訴再申訴之案件，並不當然阻斷其將來循行政訴</w:t>
      </w:r>
    </w:p>
    <w:p>
      <w:pPr>
        <w:spacing w:after="0"/>
        <w:jc w:val="center"/>
        <w:sectPr>
          <w:pgSz w:w="11910" w:h="16840"/>
          <w:pgMar w:header="0" w:footer="938" w:top="1420" w:bottom="1200" w:left="900" w:right="880"/>
        </w:sectPr>
      </w:pPr>
    </w:p>
    <w:p>
      <w:pPr>
        <w:pStyle w:val="BodyText"/>
        <w:spacing w:line="295" w:lineRule="auto" w:before="38"/>
        <w:ind w:left="900" w:right="917"/>
        <w:jc w:val="both"/>
      </w:pPr>
      <w:r>
        <w:rPr>
          <w:spacing w:val="-3"/>
        </w:rPr>
        <w:t>訟救濟之可能，惟於現行保訓會及法院尚未改變二元救濟之作法前，為使公務員權利得以獲得即時之救濟，應許可使申訴、再申訴之事件仍有適用停止執行之可</w:t>
      </w:r>
      <w:r>
        <w:rPr/>
        <w:t>能。</w:t>
      </w:r>
    </w:p>
    <w:p>
      <w:pPr>
        <w:pStyle w:val="BodyText"/>
        <w:spacing w:before="12"/>
        <w:rPr>
          <w:sz w:val="29"/>
        </w:rPr>
      </w:pPr>
    </w:p>
    <w:p>
      <w:pPr>
        <w:pStyle w:val="Heading3"/>
      </w:pPr>
      <w:r>
        <w:rPr/>
        <w:t>（二）林昱梅老師部分：</w:t>
      </w:r>
    </w:p>
    <w:p>
      <w:pPr>
        <w:pStyle w:val="BodyText"/>
        <w:spacing w:line="295" w:lineRule="auto" w:before="78"/>
        <w:ind w:left="900" w:right="917" w:firstLine="480"/>
      </w:pPr>
      <w:r>
        <w:rPr>
          <w:spacing w:val="-3"/>
        </w:rPr>
        <w:t>為建立完整之暫時權利保護制度，研究團隊已於計畫中提出增列假處分制度</w:t>
      </w:r>
      <w:r>
        <w:rPr/>
        <w:t>之建議，並草擬條文以供參考。</w:t>
      </w:r>
    </w:p>
    <w:p>
      <w:pPr>
        <w:pStyle w:val="BodyText"/>
        <w:spacing w:before="11"/>
        <w:rPr>
          <w:sz w:val="29"/>
        </w:rPr>
      </w:pPr>
    </w:p>
    <w:p>
      <w:pPr>
        <w:pStyle w:val="Heading3"/>
      </w:pPr>
      <w:r>
        <w:rPr/>
        <w:t>（三）林明昕老師部分：</w:t>
      </w:r>
    </w:p>
    <w:p>
      <w:pPr>
        <w:pStyle w:val="BodyText"/>
        <w:spacing w:line="295" w:lineRule="auto" w:before="79"/>
        <w:ind w:left="900" w:right="917" w:firstLine="480"/>
        <w:jc w:val="both"/>
      </w:pPr>
      <w:r>
        <w:rPr>
          <w:spacing w:val="-3"/>
        </w:rPr>
        <w:t>假處分之聲請原則上係依附於將來進入法院之本案訴訟，惟目前申訴、再申訴事件在實務上仍認為不得進入行政法院訴訟救濟，針對此等案件，為避免保護</w:t>
      </w:r>
      <w:r>
        <w:rPr/>
        <w:t>不足，仍應使保訓會有作成假處分之權限。</w:t>
      </w:r>
    </w:p>
    <w:p>
      <w:pPr>
        <w:spacing w:after="0" w:line="295" w:lineRule="auto"/>
        <w:jc w:val="both"/>
        <w:sectPr>
          <w:pgSz w:w="11910" w:h="16840"/>
          <w:pgMar w:header="0" w:footer="938" w:top="1440" w:bottom="1200" w:left="900" w:right="880"/>
        </w:sectPr>
      </w:pPr>
    </w:p>
    <w:p>
      <w:pPr>
        <w:pStyle w:val="BodyText"/>
        <w:spacing w:before="6"/>
        <w:rPr>
          <w:sz w:val="21"/>
        </w:rPr>
      </w:pPr>
    </w:p>
    <w:p>
      <w:pPr>
        <w:pStyle w:val="Heading1"/>
      </w:pPr>
      <w:bookmarkStart w:name="_TOC_250002" w:id="37"/>
      <w:bookmarkEnd w:id="37"/>
      <w:r>
        <w:rPr/>
        <w:t>附錄二：期中報告審查意見及回應意見</w:t>
      </w:r>
    </w:p>
    <w:p>
      <w:pPr>
        <w:pStyle w:val="BodyText"/>
        <w:spacing w:before="2"/>
        <w:rPr>
          <w:b/>
          <w:sz w:val="38"/>
        </w:rPr>
      </w:pPr>
    </w:p>
    <w:p>
      <w:pPr>
        <w:pStyle w:val="BodyText"/>
        <w:spacing w:line="295" w:lineRule="auto" w:before="1"/>
        <w:ind w:left="900" w:right="917" w:firstLine="480"/>
      </w:pPr>
      <w:r>
        <w:rPr>
          <w:spacing w:val="-3"/>
        </w:rPr>
        <w:t>以下依據依發言順序整理期中報告審查會中，各審查委員之意見，並附上本</w:t>
      </w:r>
      <w:r>
        <w:rPr/>
        <w:t>研究團隊之回應：</w:t>
      </w:r>
    </w:p>
    <w:p>
      <w:pPr>
        <w:pStyle w:val="BodyText"/>
        <w:spacing w:before="10"/>
        <w:rPr>
          <w:sz w:val="29"/>
        </w:rPr>
      </w:pPr>
    </w:p>
    <w:p>
      <w:pPr>
        <w:pStyle w:val="Heading3"/>
      </w:pPr>
      <w:r>
        <w:rPr>
          <w:w w:val="95"/>
        </w:rPr>
        <w:t>邱華君委員：</w:t>
      </w:r>
    </w:p>
    <w:p>
      <w:pPr>
        <w:pStyle w:val="ListParagraph"/>
        <w:numPr>
          <w:ilvl w:val="0"/>
          <w:numId w:val="17"/>
        </w:numPr>
        <w:tabs>
          <w:tab w:pos="1260" w:val="left" w:leader="none"/>
        </w:tabs>
        <w:spacing w:line="295" w:lineRule="auto" w:before="79" w:after="0"/>
        <w:ind w:left="1260" w:right="913" w:hanging="360"/>
        <w:jc w:val="both"/>
        <w:rPr>
          <w:sz w:val="24"/>
        </w:rPr>
      </w:pPr>
      <w:r>
        <w:rPr>
          <w:sz w:val="24"/>
        </w:rPr>
        <w:t>團隊於研究過程中尤須注意，無論再審議、調處、或停止執行，皆須經當事人申請之程序作為進行之前題，或許須在內容中先作說明。</w:t>
      </w:r>
    </w:p>
    <w:p>
      <w:pPr>
        <w:pStyle w:val="ListParagraph"/>
        <w:numPr>
          <w:ilvl w:val="0"/>
          <w:numId w:val="17"/>
        </w:numPr>
        <w:tabs>
          <w:tab w:pos="1260" w:val="left" w:leader="none"/>
        </w:tabs>
        <w:spacing w:line="295" w:lineRule="auto" w:before="2" w:after="0"/>
        <w:ind w:left="1260" w:right="913" w:hanging="360"/>
        <w:jc w:val="both"/>
        <w:rPr>
          <w:sz w:val="24"/>
        </w:rPr>
      </w:pPr>
      <w:r>
        <w:rPr>
          <w:sz w:val="24"/>
        </w:rPr>
        <w:t>關於調處制度，實際運用上相當困難，就我所了解之個案中僅有一件調處成功，並且過程中主要仍藉助行政壓力。因此在這邊必須提醒團隊，於評估調處制度時也必須一併考量其可行性。</w:t>
      </w:r>
    </w:p>
    <w:p>
      <w:pPr>
        <w:pStyle w:val="ListParagraph"/>
        <w:numPr>
          <w:ilvl w:val="0"/>
          <w:numId w:val="17"/>
        </w:numPr>
        <w:tabs>
          <w:tab w:pos="1260" w:val="left" w:leader="none"/>
        </w:tabs>
        <w:spacing w:line="295" w:lineRule="auto" w:before="4" w:after="0"/>
        <w:ind w:left="1260" w:right="854" w:hanging="360"/>
        <w:jc w:val="both"/>
        <w:rPr>
          <w:sz w:val="24"/>
        </w:rPr>
      </w:pPr>
      <w:r>
        <w:rPr>
          <w:sz w:val="24"/>
        </w:rPr>
        <w:t>停止執行之部分提到必須有假處分制度的創設，目前在考試之部分，已有兩</w:t>
      </w:r>
      <w:r>
        <w:rPr>
          <w:spacing w:val="-12"/>
          <w:sz w:val="24"/>
        </w:rPr>
        <w:t>個定暫時狀態假處分，使當事人得以先核發准考證之案例，提供給團隊參考。</w:t>
      </w:r>
    </w:p>
    <w:p>
      <w:pPr>
        <w:pStyle w:val="ListParagraph"/>
        <w:numPr>
          <w:ilvl w:val="0"/>
          <w:numId w:val="17"/>
        </w:numPr>
        <w:tabs>
          <w:tab w:pos="1260" w:val="left" w:leader="none"/>
        </w:tabs>
        <w:spacing w:line="295" w:lineRule="auto" w:before="2" w:after="0"/>
        <w:ind w:left="1259" w:right="917" w:hanging="360"/>
        <w:jc w:val="both"/>
        <w:rPr>
          <w:sz w:val="24"/>
        </w:rPr>
      </w:pPr>
      <w:r>
        <w:rPr>
          <w:sz w:val="24"/>
        </w:rPr>
        <w:t>期中報告第 </w:t>
      </w:r>
      <w:r>
        <w:rPr>
          <w:rFonts w:ascii="Times New Roman" w:eastAsia="Times New Roman"/>
          <w:sz w:val="24"/>
        </w:rPr>
        <w:t>7</w:t>
      </w:r>
      <w:r>
        <w:rPr>
          <w:rFonts w:ascii="Times New Roman" w:eastAsia="Times New Roman"/>
          <w:spacing w:val="6"/>
          <w:sz w:val="24"/>
        </w:rPr>
        <w:t> </w:t>
      </w:r>
      <w:r>
        <w:rPr>
          <w:sz w:val="24"/>
        </w:rPr>
        <w:t>頁部份，既然再審議與可爭訟皆為可選擇之途徑，針對救濟管道團隊可進一步說明救濟期間之問題。</w:t>
      </w:r>
    </w:p>
    <w:p>
      <w:pPr>
        <w:pStyle w:val="ListParagraph"/>
        <w:numPr>
          <w:ilvl w:val="0"/>
          <w:numId w:val="17"/>
        </w:numPr>
        <w:tabs>
          <w:tab w:pos="1260" w:val="left" w:leader="none"/>
        </w:tabs>
        <w:spacing w:line="295" w:lineRule="auto" w:before="2" w:after="0"/>
        <w:ind w:left="1260" w:right="854" w:hanging="360"/>
        <w:jc w:val="both"/>
        <w:rPr>
          <w:sz w:val="24"/>
        </w:rPr>
      </w:pPr>
      <w:r>
        <w:rPr>
          <w:spacing w:val="9"/>
          <w:sz w:val="24"/>
        </w:rPr>
        <w:t>期中報告第 </w:t>
      </w:r>
      <w:r>
        <w:rPr>
          <w:rFonts w:ascii="Times New Roman" w:eastAsia="Times New Roman"/>
          <w:sz w:val="24"/>
        </w:rPr>
        <w:t>23</w:t>
      </w:r>
      <w:r>
        <w:rPr>
          <w:rFonts w:ascii="Times New Roman" w:eastAsia="Times New Roman"/>
          <w:spacing w:val="2"/>
          <w:sz w:val="24"/>
        </w:rPr>
        <w:t> </w:t>
      </w:r>
      <w:r>
        <w:rPr>
          <w:sz w:val="24"/>
        </w:rPr>
        <w:t>頁和解之部分，事實上和解與調處仍有不同。據我個人的了</w:t>
      </w:r>
      <w:r>
        <w:rPr>
          <w:spacing w:val="-14"/>
          <w:sz w:val="24"/>
        </w:rPr>
        <w:t>解，目前調處只須副主任加兩個委員即可作，但是調解設有一個調解委員會，</w:t>
      </w:r>
      <w:r>
        <w:rPr>
          <w:spacing w:val="-60"/>
          <w:sz w:val="24"/>
        </w:rPr>
        <w:t> </w:t>
      </w:r>
      <w:r>
        <w:rPr>
          <w:sz w:val="24"/>
        </w:rPr>
        <w:t>兩者間的程序有一定的差異性，此點提供給團隊參考，未來是否要在研究中作區隔。</w:t>
      </w:r>
    </w:p>
    <w:p>
      <w:pPr>
        <w:pStyle w:val="ListParagraph"/>
        <w:numPr>
          <w:ilvl w:val="0"/>
          <w:numId w:val="17"/>
        </w:numPr>
        <w:tabs>
          <w:tab w:pos="1260" w:val="left" w:leader="none"/>
        </w:tabs>
        <w:spacing w:line="295" w:lineRule="auto" w:before="5" w:after="0"/>
        <w:ind w:left="1260" w:right="913" w:hanging="360"/>
        <w:jc w:val="both"/>
        <w:rPr>
          <w:sz w:val="24"/>
        </w:rPr>
      </w:pPr>
      <w:r>
        <w:rPr>
          <w:sz w:val="24"/>
        </w:rPr>
        <w:t>針對停止執行之部分，可能必須考量其為單一之相對人或複數之相對人。例如一張派令中有七八十個人之人事調動，倘因一個人的申請而停止執行，可能會造成行政機關的困擾。</w:t>
      </w:r>
    </w:p>
    <w:p>
      <w:pPr>
        <w:pStyle w:val="BodyText"/>
        <w:spacing w:before="12"/>
        <w:rPr>
          <w:sz w:val="29"/>
        </w:rPr>
      </w:pPr>
    </w:p>
    <w:p>
      <w:pPr>
        <w:pStyle w:val="Heading3"/>
      </w:pPr>
      <w:r>
        <w:rPr>
          <w:w w:val="95"/>
        </w:rPr>
        <w:t>研究團隊之回應：</w:t>
      </w:r>
    </w:p>
    <w:p>
      <w:pPr>
        <w:pStyle w:val="ListParagraph"/>
        <w:numPr>
          <w:ilvl w:val="0"/>
          <w:numId w:val="18"/>
        </w:numPr>
        <w:tabs>
          <w:tab w:pos="1380" w:val="left" w:leader="none"/>
        </w:tabs>
        <w:spacing w:line="295" w:lineRule="auto" w:before="78" w:after="0"/>
        <w:ind w:left="1380" w:right="857" w:hanging="480"/>
        <w:jc w:val="both"/>
        <w:rPr>
          <w:sz w:val="24"/>
        </w:rPr>
      </w:pPr>
      <w:r>
        <w:rPr>
          <w:spacing w:val="-2"/>
          <w:sz w:val="24"/>
        </w:rPr>
        <w:t>有關再審議、調處及停止執行是否須經當事人申請之程序作為進行之前提，</w:t>
      </w:r>
      <w:r>
        <w:rPr>
          <w:spacing w:val="-60"/>
          <w:sz w:val="24"/>
        </w:rPr>
        <w:t> </w:t>
      </w:r>
      <w:r>
        <w:rPr>
          <w:spacing w:val="-3"/>
          <w:sz w:val="24"/>
        </w:rPr>
        <w:t>保障法第 </w:t>
      </w:r>
      <w:r>
        <w:rPr>
          <w:rFonts w:ascii="Times New Roman" w:eastAsia="Times New Roman"/>
          <w:sz w:val="24"/>
        </w:rPr>
        <w:t>85</w:t>
      </w:r>
      <w:r>
        <w:rPr>
          <w:rFonts w:ascii="Times New Roman" w:eastAsia="Times New Roman"/>
          <w:spacing w:val="-11"/>
          <w:sz w:val="24"/>
        </w:rPr>
        <w:t> </w:t>
      </w:r>
      <w:r>
        <w:rPr>
          <w:spacing w:val="-4"/>
          <w:sz w:val="24"/>
        </w:rPr>
        <w:t>條、第 </w:t>
      </w:r>
      <w:r>
        <w:rPr>
          <w:rFonts w:ascii="Times New Roman" w:eastAsia="Times New Roman"/>
          <w:sz w:val="24"/>
        </w:rPr>
        <w:t>89</w:t>
      </w:r>
      <w:r>
        <w:rPr>
          <w:rFonts w:ascii="Times New Roman" w:eastAsia="Times New Roman"/>
          <w:spacing w:val="-11"/>
          <w:sz w:val="24"/>
        </w:rPr>
        <w:t> </w:t>
      </w:r>
      <w:r>
        <w:rPr>
          <w:sz w:val="24"/>
        </w:rPr>
        <w:t>條分別規定保訓會得「依職權」或依申請進行調處、</w:t>
      </w:r>
      <w:r>
        <w:rPr>
          <w:spacing w:val="-19"/>
          <w:sz w:val="24"/>
        </w:rPr>
        <w:t>停止執行，因此，似乎僅剩再審議程序要求須經當事人申請作為進行之前提。</w:t>
      </w:r>
    </w:p>
    <w:p>
      <w:pPr>
        <w:pStyle w:val="ListParagraph"/>
        <w:numPr>
          <w:ilvl w:val="0"/>
          <w:numId w:val="18"/>
        </w:numPr>
        <w:tabs>
          <w:tab w:pos="1380" w:val="left" w:leader="none"/>
        </w:tabs>
        <w:spacing w:line="240" w:lineRule="auto" w:before="4" w:after="0"/>
        <w:ind w:left="1380" w:right="0" w:hanging="480"/>
        <w:jc w:val="both"/>
        <w:rPr>
          <w:sz w:val="24"/>
        </w:rPr>
      </w:pPr>
      <w:r>
        <w:rPr>
          <w:sz w:val="24"/>
        </w:rPr>
        <w:t>感謝邱委員的提醒，研究團隊會納入考量。</w:t>
      </w:r>
    </w:p>
    <w:p>
      <w:pPr>
        <w:pStyle w:val="ListParagraph"/>
        <w:numPr>
          <w:ilvl w:val="0"/>
          <w:numId w:val="18"/>
        </w:numPr>
        <w:tabs>
          <w:tab w:pos="1380" w:val="left" w:leader="none"/>
        </w:tabs>
        <w:spacing w:line="240" w:lineRule="auto" w:before="78" w:after="0"/>
        <w:ind w:left="1380" w:right="0" w:hanging="480"/>
        <w:jc w:val="both"/>
        <w:rPr>
          <w:sz w:val="24"/>
        </w:rPr>
      </w:pPr>
      <w:r>
        <w:rPr>
          <w:sz w:val="24"/>
        </w:rPr>
        <w:t>感謝邱委員提供實務案例供研究團隊參考，研究團隊會納入考量。</w:t>
      </w:r>
    </w:p>
    <w:p>
      <w:pPr>
        <w:pStyle w:val="ListParagraph"/>
        <w:numPr>
          <w:ilvl w:val="0"/>
          <w:numId w:val="18"/>
        </w:numPr>
        <w:tabs>
          <w:tab w:pos="1380" w:val="left" w:leader="none"/>
        </w:tabs>
        <w:spacing w:line="295" w:lineRule="auto" w:before="79" w:after="0"/>
        <w:ind w:left="1380" w:right="917" w:hanging="480"/>
        <w:jc w:val="both"/>
        <w:rPr>
          <w:sz w:val="24"/>
        </w:rPr>
      </w:pPr>
      <w:r>
        <w:rPr>
          <w:sz w:val="24"/>
        </w:rPr>
        <w:t>保障法第 </w:t>
      </w:r>
      <w:r>
        <w:rPr>
          <w:rFonts w:ascii="Times New Roman" w:eastAsia="Times New Roman"/>
          <w:sz w:val="24"/>
        </w:rPr>
        <w:t>95</w:t>
      </w:r>
      <w:r>
        <w:rPr>
          <w:rFonts w:ascii="Times New Roman" w:eastAsia="Times New Roman"/>
          <w:spacing w:val="5"/>
          <w:sz w:val="24"/>
        </w:rPr>
        <w:t> </w:t>
      </w:r>
      <w:r>
        <w:rPr>
          <w:sz w:val="24"/>
        </w:rPr>
        <w:t>條已明文規定申請再審議之期間，為避免造成法律重複規範，</w:t>
      </w:r>
      <w:r>
        <w:rPr>
          <w:spacing w:val="-60"/>
          <w:sz w:val="24"/>
        </w:rPr>
        <w:t> </w:t>
      </w:r>
      <w:r>
        <w:rPr>
          <w:sz w:val="24"/>
        </w:rPr>
        <w:t>或因另作規範而導致公務人員混淆，因此，將以現行保障法第 </w:t>
      </w:r>
      <w:r>
        <w:rPr>
          <w:rFonts w:ascii="Times New Roman" w:eastAsia="Times New Roman"/>
          <w:sz w:val="24"/>
        </w:rPr>
        <w:t>95</w:t>
      </w:r>
      <w:r>
        <w:rPr>
          <w:rFonts w:ascii="Times New Roman" w:eastAsia="Times New Roman"/>
          <w:spacing w:val="5"/>
          <w:sz w:val="24"/>
        </w:rPr>
        <w:t> </w:t>
      </w:r>
      <w:r>
        <w:rPr>
          <w:sz w:val="24"/>
        </w:rPr>
        <w:t>條規定作為救濟期間之限制。</w:t>
      </w:r>
    </w:p>
    <w:p>
      <w:pPr>
        <w:spacing w:after="0" w:line="295" w:lineRule="auto"/>
        <w:jc w:val="both"/>
        <w:rPr>
          <w:sz w:val="24"/>
        </w:rPr>
        <w:sectPr>
          <w:pgSz w:w="11910" w:h="16840"/>
          <w:pgMar w:header="0" w:footer="938" w:top="1600" w:bottom="1200" w:left="900" w:right="880"/>
        </w:sectPr>
      </w:pPr>
    </w:p>
    <w:p>
      <w:pPr>
        <w:pStyle w:val="ListParagraph"/>
        <w:numPr>
          <w:ilvl w:val="0"/>
          <w:numId w:val="18"/>
        </w:numPr>
        <w:tabs>
          <w:tab w:pos="1380" w:val="left" w:leader="none"/>
        </w:tabs>
        <w:spacing w:line="295" w:lineRule="auto" w:before="58" w:after="0"/>
        <w:ind w:left="1380" w:right="917" w:hanging="480"/>
        <w:jc w:val="both"/>
        <w:rPr>
          <w:sz w:val="24"/>
        </w:rPr>
      </w:pPr>
      <w:r>
        <w:rPr>
          <w:spacing w:val="-3"/>
          <w:sz w:val="24"/>
        </w:rPr>
        <w:t>感謝邱委員提醒有此一差異，惟調處與調解在組織及程序上之差異並非本研</w:t>
      </w:r>
      <w:r>
        <w:rPr>
          <w:sz w:val="24"/>
        </w:rPr>
        <w:t>究計畫之爭點，因此將找機會留待日後予以補充。</w:t>
      </w:r>
    </w:p>
    <w:p>
      <w:pPr>
        <w:pStyle w:val="ListParagraph"/>
        <w:numPr>
          <w:ilvl w:val="0"/>
          <w:numId w:val="18"/>
        </w:numPr>
        <w:tabs>
          <w:tab w:pos="1380" w:val="left" w:leader="none"/>
        </w:tabs>
        <w:spacing w:line="295" w:lineRule="auto" w:before="2" w:after="0"/>
        <w:ind w:left="1380" w:right="917" w:hanging="480"/>
        <w:jc w:val="both"/>
        <w:rPr>
          <w:sz w:val="24"/>
        </w:rPr>
      </w:pPr>
      <w:r>
        <w:rPr>
          <w:spacing w:val="-3"/>
          <w:sz w:val="24"/>
        </w:rPr>
        <w:t>同張派令中有複數相對人之調動，原則上為複數之行政處分，針對其中有停</w:t>
      </w:r>
      <w:r>
        <w:rPr>
          <w:sz w:val="24"/>
        </w:rPr>
        <w:t>止執行必要者停止執行，不至影響其餘之行政處分。</w:t>
      </w:r>
    </w:p>
    <w:p>
      <w:pPr>
        <w:pStyle w:val="BodyText"/>
        <w:spacing w:before="11"/>
        <w:rPr>
          <w:sz w:val="29"/>
        </w:rPr>
      </w:pPr>
    </w:p>
    <w:p>
      <w:pPr>
        <w:pStyle w:val="Heading3"/>
      </w:pPr>
      <w:r>
        <w:rPr>
          <w:w w:val="95"/>
        </w:rPr>
        <w:t>賴來焜委員：</w:t>
      </w:r>
    </w:p>
    <w:p>
      <w:pPr>
        <w:pStyle w:val="ListParagraph"/>
        <w:numPr>
          <w:ilvl w:val="0"/>
          <w:numId w:val="19"/>
        </w:numPr>
        <w:tabs>
          <w:tab w:pos="1260" w:val="left" w:leader="none"/>
        </w:tabs>
        <w:spacing w:line="295" w:lineRule="auto" w:before="79" w:after="0"/>
        <w:ind w:left="1260" w:right="913" w:hanging="360"/>
        <w:jc w:val="both"/>
        <w:rPr>
          <w:sz w:val="24"/>
        </w:rPr>
      </w:pPr>
      <w:r>
        <w:rPr>
          <w:sz w:val="24"/>
        </w:rPr>
        <w:t>因為機關的研究案與學術研究仍有不同，建議團隊在結論的部分，可能須比學術研究更為具體，甚至可能須有建議條文之對照。</w:t>
      </w:r>
    </w:p>
    <w:p>
      <w:pPr>
        <w:pStyle w:val="ListParagraph"/>
        <w:numPr>
          <w:ilvl w:val="0"/>
          <w:numId w:val="19"/>
        </w:numPr>
        <w:tabs>
          <w:tab w:pos="1260" w:val="left" w:leader="none"/>
        </w:tabs>
        <w:spacing w:line="295" w:lineRule="auto" w:before="2" w:after="0"/>
        <w:ind w:left="1260" w:right="913" w:hanging="360"/>
        <w:jc w:val="both"/>
        <w:rPr>
          <w:sz w:val="24"/>
        </w:rPr>
      </w:pPr>
      <w:r>
        <w:rPr>
          <w:sz w:val="24"/>
        </w:rPr>
        <w:t>針對體例的部分，我個人也非常贊同林教授所提，停止執行實際上為保全之功能，應單獨列一章暫時權利保護章節，而不應擺於執行章下。</w:t>
      </w:r>
    </w:p>
    <w:p>
      <w:pPr>
        <w:pStyle w:val="ListParagraph"/>
        <w:numPr>
          <w:ilvl w:val="0"/>
          <w:numId w:val="19"/>
        </w:numPr>
        <w:tabs>
          <w:tab w:pos="1260" w:val="left" w:leader="none"/>
        </w:tabs>
        <w:spacing w:line="295" w:lineRule="auto" w:before="2" w:after="0"/>
        <w:ind w:left="1260" w:right="913" w:hanging="360"/>
        <w:jc w:val="both"/>
        <w:rPr>
          <w:sz w:val="24"/>
        </w:rPr>
      </w:pPr>
      <w:r>
        <w:rPr>
          <w:sz w:val="24"/>
        </w:rPr>
        <w:t>最後，針對爭端解決之方式，團隊仍肯認目前二元化救濟體系是可行的，這點我個人是支持的。整個公務員的救濟制度，從過去實務的經驗來看，目前申訴、再申訴與復審兩大主幹，相互兼交錯的可能性，我個人是贊同的。</w:t>
      </w:r>
    </w:p>
    <w:p>
      <w:pPr>
        <w:pStyle w:val="BodyText"/>
        <w:spacing w:before="12"/>
        <w:rPr>
          <w:sz w:val="29"/>
        </w:rPr>
      </w:pPr>
    </w:p>
    <w:p>
      <w:pPr>
        <w:pStyle w:val="Heading3"/>
      </w:pPr>
      <w:r>
        <w:rPr>
          <w:w w:val="95"/>
        </w:rPr>
        <w:t>研究團隊之回應：</w:t>
      </w:r>
    </w:p>
    <w:p>
      <w:pPr>
        <w:pStyle w:val="ListParagraph"/>
        <w:numPr>
          <w:ilvl w:val="0"/>
          <w:numId w:val="20"/>
        </w:numPr>
        <w:tabs>
          <w:tab w:pos="1379" w:val="left" w:leader="none"/>
          <w:tab w:pos="1380" w:val="left" w:leader="none"/>
        </w:tabs>
        <w:spacing w:line="240" w:lineRule="auto" w:before="79" w:after="0"/>
        <w:ind w:left="1380" w:right="0" w:hanging="480"/>
        <w:jc w:val="left"/>
        <w:rPr>
          <w:sz w:val="24"/>
        </w:rPr>
      </w:pPr>
      <w:r>
        <w:rPr>
          <w:sz w:val="24"/>
        </w:rPr>
        <w:t>研究團隊將在第五章放入建議條文之對照。</w:t>
      </w:r>
    </w:p>
    <w:p>
      <w:pPr>
        <w:pStyle w:val="ListParagraph"/>
        <w:numPr>
          <w:ilvl w:val="0"/>
          <w:numId w:val="20"/>
        </w:numPr>
        <w:tabs>
          <w:tab w:pos="1379" w:val="left" w:leader="none"/>
          <w:tab w:pos="1380" w:val="left" w:leader="none"/>
        </w:tabs>
        <w:spacing w:line="295" w:lineRule="auto" w:before="78" w:after="0"/>
        <w:ind w:left="1380" w:right="917" w:hanging="480"/>
        <w:jc w:val="left"/>
        <w:rPr>
          <w:sz w:val="24"/>
        </w:rPr>
      </w:pPr>
      <w:r>
        <w:rPr>
          <w:spacing w:val="-3"/>
          <w:sz w:val="24"/>
        </w:rPr>
        <w:t>感謝賴委員贊成研究團隊之見解，研究團隊將針對停止執行規定之立法體例</w:t>
      </w:r>
      <w:r>
        <w:rPr>
          <w:sz w:val="24"/>
        </w:rPr>
        <w:t>更為深入研究。</w:t>
      </w:r>
    </w:p>
    <w:p>
      <w:pPr>
        <w:pStyle w:val="ListParagraph"/>
        <w:numPr>
          <w:ilvl w:val="0"/>
          <w:numId w:val="20"/>
        </w:numPr>
        <w:tabs>
          <w:tab w:pos="1379" w:val="left" w:leader="none"/>
          <w:tab w:pos="1380" w:val="left" w:leader="none"/>
        </w:tabs>
        <w:spacing w:line="295" w:lineRule="auto" w:before="2" w:after="0"/>
        <w:ind w:left="1380" w:right="917" w:hanging="480"/>
        <w:jc w:val="left"/>
        <w:rPr>
          <w:sz w:val="24"/>
        </w:rPr>
      </w:pPr>
      <w:r>
        <w:rPr>
          <w:spacing w:val="-3"/>
          <w:sz w:val="24"/>
        </w:rPr>
        <w:t>感謝賴委員贊成研究團隊之見解，研究團隊將針對再申訴事件與復審事件就</w:t>
      </w:r>
      <w:r>
        <w:rPr>
          <w:sz w:val="24"/>
        </w:rPr>
        <w:t>本研究計畫相關之議題如何交錯，更為深入研究。</w:t>
      </w:r>
    </w:p>
    <w:p>
      <w:pPr>
        <w:pStyle w:val="BodyText"/>
        <w:spacing w:before="11"/>
        <w:rPr>
          <w:sz w:val="29"/>
        </w:rPr>
      </w:pPr>
    </w:p>
    <w:p>
      <w:pPr>
        <w:pStyle w:val="Heading3"/>
      </w:pPr>
      <w:r>
        <w:rPr>
          <w:w w:val="95"/>
        </w:rPr>
        <w:t>劉昊洲委員：</w:t>
      </w:r>
    </w:p>
    <w:p>
      <w:pPr>
        <w:pStyle w:val="BodyText"/>
        <w:spacing w:line="295" w:lineRule="auto" w:before="79"/>
        <w:ind w:left="900" w:right="917" w:firstLine="480"/>
        <w:jc w:val="both"/>
      </w:pPr>
      <w:r>
        <w:rPr>
          <w:spacing w:val="-5"/>
        </w:rPr>
        <w:t>期中報告第 </w:t>
      </w:r>
      <w:r>
        <w:rPr>
          <w:rFonts w:ascii="Times New Roman" w:eastAsia="Times New Roman"/>
          <w:spacing w:val="-3"/>
        </w:rPr>
        <w:t>10</w:t>
      </w:r>
      <w:r>
        <w:rPr>
          <w:rFonts w:ascii="Times New Roman" w:eastAsia="Times New Roman"/>
          <w:spacing w:val="-9"/>
        </w:rPr>
        <w:t> </w:t>
      </w:r>
      <w:r>
        <w:rPr>
          <w:spacing w:val="-3"/>
        </w:rPr>
        <w:t>頁「二、復審與再申訴區分之檢討</w:t>
      </w:r>
      <w:r>
        <w:rPr>
          <w:spacing w:val="-15"/>
        </w:rPr>
        <w:t>」，我大概看過內容，主要</w:t>
      </w:r>
      <w:r>
        <w:rPr>
          <w:spacing w:val="-3"/>
        </w:rPr>
        <w:t>從理論上的不同做一個相當多的說明，但是在實務上的區別，似乎著墨較少，建</w:t>
      </w:r>
      <w:r>
        <w:rPr/>
        <w:t>議之後可針對實務上的標的、程序、效果等作補充說明。</w:t>
      </w:r>
    </w:p>
    <w:p>
      <w:pPr>
        <w:pStyle w:val="BodyText"/>
        <w:spacing w:before="11"/>
        <w:rPr>
          <w:sz w:val="29"/>
        </w:rPr>
      </w:pPr>
    </w:p>
    <w:p>
      <w:pPr>
        <w:pStyle w:val="Heading3"/>
        <w:spacing w:before="1"/>
      </w:pPr>
      <w:r>
        <w:rPr>
          <w:w w:val="95"/>
        </w:rPr>
        <w:t>研究團隊之回應：</w:t>
      </w:r>
    </w:p>
    <w:p>
      <w:pPr>
        <w:pStyle w:val="BodyText"/>
        <w:spacing w:line="295" w:lineRule="auto" w:before="78"/>
        <w:ind w:left="900" w:right="909" w:firstLine="480"/>
        <w:jc w:val="both"/>
      </w:pPr>
      <w:r>
        <w:rPr/>
        <w:t>目前實務上針對復審事件與再申訴事件之區別，尚難以釐出具體明確之標準，僅能透過保訓會網站等相關資料之分類，釐清目前哪些案件類型屬復審事件、哪些案件類型屬再申訴事件。</w:t>
      </w:r>
    </w:p>
    <w:p>
      <w:pPr>
        <w:pStyle w:val="BodyText"/>
        <w:spacing w:before="12"/>
        <w:rPr>
          <w:sz w:val="29"/>
        </w:rPr>
      </w:pPr>
    </w:p>
    <w:p>
      <w:pPr>
        <w:pStyle w:val="Heading3"/>
      </w:pPr>
      <w:r>
        <w:rPr>
          <w:w w:val="95"/>
        </w:rPr>
        <w:t>廖慧全主任秘書：</w:t>
      </w:r>
    </w:p>
    <w:p>
      <w:pPr>
        <w:pStyle w:val="ListParagraph"/>
        <w:numPr>
          <w:ilvl w:val="0"/>
          <w:numId w:val="21"/>
        </w:numPr>
        <w:tabs>
          <w:tab w:pos="1379" w:val="left" w:leader="none"/>
          <w:tab w:pos="1380" w:val="left" w:leader="none"/>
        </w:tabs>
        <w:spacing w:line="240" w:lineRule="auto" w:before="78" w:after="0"/>
        <w:ind w:left="1380" w:right="0" w:hanging="480"/>
        <w:jc w:val="left"/>
        <w:rPr>
          <w:sz w:val="24"/>
        </w:rPr>
      </w:pPr>
      <w:r>
        <w:rPr>
          <w:spacing w:val="-3"/>
          <w:sz w:val="24"/>
        </w:rPr>
        <w:t>從內容而言，感覺上就是研究團隊已經有很具體的正反意見了。但在國外制</w:t>
      </w:r>
    </w:p>
    <w:p>
      <w:pPr>
        <w:spacing w:after="0" w:line="240" w:lineRule="auto"/>
        <w:jc w:val="left"/>
        <w:rPr>
          <w:sz w:val="24"/>
        </w:rPr>
        <w:sectPr>
          <w:pgSz w:w="11910" w:h="16840"/>
          <w:pgMar w:header="0" w:footer="938" w:top="1420" w:bottom="1200" w:left="900" w:right="880"/>
        </w:sectPr>
      </w:pPr>
    </w:p>
    <w:p>
      <w:pPr>
        <w:pStyle w:val="BodyText"/>
        <w:spacing w:line="295" w:lineRule="auto" w:before="38"/>
        <w:ind w:left="1380" w:right="910"/>
        <w:jc w:val="both"/>
      </w:pPr>
      <w:r>
        <w:rPr>
          <w:spacing w:val="-3"/>
        </w:rPr>
        <w:t>度的部份，不知是否有可以值得參考的部份。就目前研究的三個議題，不曉</w:t>
      </w:r>
      <w:r>
        <w:rPr/>
        <w:t>得國外，不管是大陸法系或者是英美法系國家，就公務人員權益保障的部份，有沒有值得參採的部份，希望研究團隊能夠進一步蒐集。</w:t>
      </w:r>
    </w:p>
    <w:p>
      <w:pPr>
        <w:pStyle w:val="ListParagraph"/>
        <w:numPr>
          <w:ilvl w:val="0"/>
          <w:numId w:val="21"/>
        </w:numPr>
        <w:tabs>
          <w:tab w:pos="1380" w:val="left" w:leader="none"/>
        </w:tabs>
        <w:spacing w:line="295" w:lineRule="auto" w:before="4" w:after="0"/>
        <w:ind w:left="1380" w:right="917" w:hanging="480"/>
        <w:jc w:val="both"/>
        <w:rPr>
          <w:sz w:val="24"/>
        </w:rPr>
      </w:pPr>
      <w:r>
        <w:rPr>
          <w:sz w:val="24"/>
        </w:rPr>
        <w:t>我個人對於研究團隊提出用行政程序法第 </w:t>
      </w:r>
      <w:r>
        <w:rPr>
          <w:rFonts w:ascii="Times New Roman" w:eastAsia="Times New Roman"/>
          <w:sz w:val="24"/>
        </w:rPr>
        <w:t>92</w:t>
      </w:r>
      <w:r>
        <w:rPr>
          <w:rFonts w:ascii="Times New Roman" w:eastAsia="Times New Roman"/>
          <w:spacing w:val="5"/>
          <w:sz w:val="24"/>
        </w:rPr>
        <w:t> </w:t>
      </w:r>
      <w:r>
        <w:rPr>
          <w:sz w:val="24"/>
        </w:rPr>
        <w:t>條的行政處分的定義來看復審</w:t>
      </w:r>
      <w:r>
        <w:rPr>
          <w:spacing w:val="-3"/>
          <w:sz w:val="24"/>
        </w:rPr>
        <w:t>跟再申訴制度，非常贊成，因為畢竟在某些層面的再申訴的事件裡面，有一些部份事實上它已經符合行政處分的定義，只是歷屆大法官的解釋裡面，把它排除在行政訴訟的範圍之外，所以用行政程序法這樣的一個分野，我個人</w:t>
      </w:r>
      <w:r>
        <w:rPr>
          <w:sz w:val="24"/>
        </w:rPr>
        <w:t>非常贊成。</w:t>
      </w:r>
    </w:p>
    <w:p>
      <w:pPr>
        <w:pStyle w:val="ListParagraph"/>
        <w:numPr>
          <w:ilvl w:val="0"/>
          <w:numId w:val="21"/>
        </w:numPr>
        <w:tabs>
          <w:tab w:pos="1380" w:val="left" w:leader="none"/>
        </w:tabs>
        <w:spacing w:line="295" w:lineRule="auto" w:before="6" w:after="0"/>
        <w:ind w:left="1380" w:right="857" w:hanging="480"/>
        <w:jc w:val="both"/>
        <w:rPr>
          <w:sz w:val="24"/>
        </w:rPr>
      </w:pPr>
      <w:r>
        <w:rPr>
          <w:sz w:val="24"/>
        </w:rPr>
        <w:t>針對團隊提出的第一個議題有關再審議的部份，我個人持反對的意見。首</w:t>
      </w:r>
      <w:r>
        <w:rPr>
          <w:spacing w:val="-2"/>
          <w:sz w:val="24"/>
        </w:rPr>
        <w:t>先，訴願程序當時創設出所謂的再審制度，我個人認為是一個美麗的錯誤，</w:t>
      </w:r>
      <w:r>
        <w:rPr>
          <w:spacing w:val="-60"/>
          <w:sz w:val="24"/>
        </w:rPr>
        <w:t> </w:t>
      </w:r>
      <w:r>
        <w:rPr>
          <w:spacing w:val="-2"/>
          <w:sz w:val="24"/>
        </w:rPr>
        <w:t>當時是因為情況急迫，基於立法委員的請求，由幾個學者臨時擬議出來的，</w:t>
      </w:r>
      <w:r>
        <w:rPr>
          <w:spacing w:val="-60"/>
          <w:sz w:val="24"/>
        </w:rPr>
        <w:t> </w:t>
      </w:r>
      <w:r>
        <w:rPr>
          <w:spacing w:val="-2"/>
          <w:sz w:val="24"/>
        </w:rPr>
        <w:t>因此條文非常的少，也非常簡陋。在訴願制度的部份，因已經可以直接進入行政訴訟，甚至行政訴訟程序都還有再審程序，所以有沒有必要再創一個再審制度，個人是非常的質疑。到了後期，我們保障法在立法的時候，把這個</w:t>
      </w:r>
      <w:r>
        <w:rPr>
          <w:sz w:val="24"/>
        </w:rPr>
        <w:t>條文也參採進來，雖然有做改進，但我仍覺得似乎沒有必要保護得這麼繁</w:t>
      </w:r>
      <w:r>
        <w:rPr>
          <w:spacing w:val="-2"/>
          <w:sz w:val="24"/>
        </w:rPr>
        <w:t>複。畢竟我們不管是訴願程序，或者是保障程序，事實上都是屬於行政權的一環，在行政權的體系之下，它是屬於自我反省的機制。因此，考量到這樣的一個立法背景、成本效益，有沒有必要在我們的再申訴下再創設一個再審議的制度，希望研究團隊反過來再推敲一下，目前復審事件中是否有再審議</w:t>
      </w:r>
      <w:r>
        <w:rPr>
          <w:sz w:val="24"/>
        </w:rPr>
        <w:t>制度存在的必要。我個人認為事實上只要回歸到行政程序法第 </w:t>
      </w:r>
      <w:r>
        <w:rPr>
          <w:rFonts w:ascii="Times New Roman" w:eastAsia="Times New Roman"/>
          <w:sz w:val="24"/>
        </w:rPr>
        <w:t>128</w:t>
      </w:r>
      <w:r>
        <w:rPr>
          <w:rFonts w:ascii="Times New Roman" w:eastAsia="Times New Roman"/>
          <w:spacing w:val="11"/>
          <w:sz w:val="24"/>
        </w:rPr>
        <w:t> </w:t>
      </w:r>
      <w:r>
        <w:rPr>
          <w:sz w:val="24"/>
        </w:rPr>
        <w:t>條及第</w:t>
      </w:r>
      <w:r>
        <w:rPr>
          <w:rFonts w:ascii="Times New Roman" w:eastAsia="Times New Roman"/>
          <w:sz w:val="24"/>
        </w:rPr>
        <w:t>129 </w:t>
      </w:r>
      <w:r>
        <w:rPr>
          <w:sz w:val="24"/>
        </w:rPr>
        <w:t>條程序再開之制度即已足夠。</w:t>
      </w:r>
    </w:p>
    <w:p>
      <w:pPr>
        <w:pStyle w:val="BodyText"/>
        <w:spacing w:before="9"/>
        <w:rPr>
          <w:sz w:val="30"/>
        </w:rPr>
      </w:pPr>
    </w:p>
    <w:p>
      <w:pPr>
        <w:pStyle w:val="Heading3"/>
      </w:pPr>
      <w:r>
        <w:rPr>
          <w:w w:val="95"/>
        </w:rPr>
        <w:t>研究團隊之回應：</w:t>
      </w:r>
    </w:p>
    <w:p>
      <w:pPr>
        <w:pStyle w:val="ListParagraph"/>
        <w:numPr>
          <w:ilvl w:val="0"/>
          <w:numId w:val="22"/>
        </w:numPr>
        <w:tabs>
          <w:tab w:pos="1380" w:val="left" w:leader="none"/>
        </w:tabs>
        <w:spacing w:line="295" w:lineRule="auto" w:before="79" w:after="0"/>
        <w:ind w:left="1380" w:right="917" w:hanging="480"/>
        <w:jc w:val="both"/>
        <w:rPr>
          <w:sz w:val="24"/>
        </w:rPr>
      </w:pPr>
      <w:r>
        <w:rPr>
          <w:spacing w:val="-3"/>
          <w:sz w:val="24"/>
        </w:rPr>
        <w:t>研究團隊將盡可能蒐集與研究議題相關之外國法資料，並予以比較、分析後</w:t>
      </w:r>
      <w:r>
        <w:rPr>
          <w:sz w:val="24"/>
        </w:rPr>
        <w:t>融入研究計畫內容。</w:t>
      </w:r>
    </w:p>
    <w:p>
      <w:pPr>
        <w:pStyle w:val="ListParagraph"/>
        <w:numPr>
          <w:ilvl w:val="0"/>
          <w:numId w:val="22"/>
        </w:numPr>
        <w:tabs>
          <w:tab w:pos="1380" w:val="left" w:leader="none"/>
        </w:tabs>
        <w:spacing w:line="295" w:lineRule="auto" w:before="2" w:after="0"/>
        <w:ind w:left="1380" w:right="917" w:hanging="480"/>
        <w:jc w:val="both"/>
        <w:rPr>
          <w:sz w:val="24"/>
        </w:rPr>
      </w:pPr>
      <w:r>
        <w:rPr>
          <w:sz w:val="24"/>
        </w:rPr>
        <w:t>感謝廖主秘贊同研究團隊提出以行政程序法第 </w:t>
      </w:r>
      <w:r>
        <w:rPr>
          <w:rFonts w:ascii="Times New Roman" w:eastAsia="Times New Roman"/>
          <w:sz w:val="24"/>
        </w:rPr>
        <w:t>92</w:t>
      </w:r>
      <w:r>
        <w:rPr>
          <w:rFonts w:ascii="Times New Roman" w:eastAsia="Times New Roman"/>
          <w:spacing w:val="5"/>
          <w:sz w:val="24"/>
        </w:rPr>
        <w:t> </w:t>
      </w:r>
      <w:r>
        <w:rPr>
          <w:sz w:val="24"/>
        </w:rPr>
        <w:t>條規定作為區分再申訴事件與復審事件之見解。</w:t>
      </w:r>
    </w:p>
    <w:p>
      <w:pPr>
        <w:pStyle w:val="ListParagraph"/>
        <w:numPr>
          <w:ilvl w:val="0"/>
          <w:numId w:val="22"/>
        </w:numPr>
        <w:tabs>
          <w:tab w:pos="1380" w:val="left" w:leader="none"/>
        </w:tabs>
        <w:spacing w:line="295" w:lineRule="auto" w:before="2" w:after="0"/>
        <w:ind w:left="1380" w:right="917" w:hanging="480"/>
        <w:jc w:val="both"/>
        <w:rPr>
          <w:sz w:val="24"/>
        </w:rPr>
      </w:pPr>
      <w:r>
        <w:rPr>
          <w:spacing w:val="-3"/>
          <w:sz w:val="24"/>
        </w:rPr>
        <w:t>復審事件於復審決定後，仍有機會進入行政訴訟程序以尋求救濟，惟再申訴事件並不得進入行政訴訟程序，因此，欲針對已確定而有瑕疵之再申訴決定加以救濟，似仍有依再審議程序加以救濟之必要。至於廖主秘提出回歸行政</w:t>
      </w:r>
      <w:r>
        <w:rPr>
          <w:spacing w:val="-5"/>
          <w:sz w:val="24"/>
        </w:rPr>
        <w:t>程序法第 </w:t>
      </w:r>
      <w:r>
        <w:rPr>
          <w:rFonts w:ascii="Times New Roman" w:eastAsia="Times New Roman"/>
          <w:spacing w:val="-2"/>
          <w:sz w:val="24"/>
        </w:rPr>
        <w:t>128</w:t>
      </w:r>
      <w:r>
        <w:rPr>
          <w:rFonts w:ascii="Times New Roman" w:eastAsia="Times New Roman"/>
          <w:spacing w:val="-10"/>
          <w:sz w:val="24"/>
        </w:rPr>
        <w:t> </w:t>
      </w:r>
      <w:r>
        <w:rPr>
          <w:spacing w:val="-3"/>
          <w:sz w:val="24"/>
        </w:rPr>
        <w:t>條程序再開之規定，惟行政程序法第 </w:t>
      </w:r>
      <w:r>
        <w:rPr>
          <w:rFonts w:ascii="Times New Roman" w:eastAsia="Times New Roman"/>
          <w:spacing w:val="-2"/>
          <w:sz w:val="24"/>
        </w:rPr>
        <w:t>128</w:t>
      </w:r>
      <w:r>
        <w:rPr>
          <w:rFonts w:ascii="Times New Roman" w:eastAsia="Times New Roman"/>
          <w:spacing w:val="-10"/>
          <w:sz w:val="24"/>
        </w:rPr>
        <w:t> </w:t>
      </w:r>
      <w:r>
        <w:rPr>
          <w:spacing w:val="-2"/>
          <w:sz w:val="24"/>
        </w:rPr>
        <w:t>條規定一開始即揭示</w:t>
      </w:r>
      <w:r>
        <w:rPr>
          <w:spacing w:val="-3"/>
          <w:sz w:val="24"/>
        </w:rPr>
        <w:t>係針對行政處分，因此，欲使不具行政處分性質之再申訴事件依行政程序法</w:t>
      </w:r>
      <w:r>
        <w:rPr>
          <w:spacing w:val="-2"/>
          <w:sz w:val="24"/>
        </w:rPr>
        <w:t>第 </w:t>
      </w:r>
      <w:r>
        <w:rPr>
          <w:rFonts w:ascii="Times New Roman" w:eastAsia="Times New Roman"/>
          <w:sz w:val="24"/>
        </w:rPr>
        <w:t>128 </w:t>
      </w:r>
      <w:r>
        <w:rPr>
          <w:sz w:val="24"/>
        </w:rPr>
        <w:t>條規定重開程序，似有扞格。</w:t>
      </w:r>
    </w:p>
    <w:p>
      <w:pPr>
        <w:spacing w:after="0" w:line="295" w:lineRule="auto"/>
        <w:jc w:val="both"/>
        <w:rPr>
          <w:sz w:val="24"/>
        </w:rPr>
        <w:sectPr>
          <w:pgSz w:w="11910" w:h="16840"/>
          <w:pgMar w:header="0" w:footer="938" w:top="1440" w:bottom="1200" w:left="900" w:right="880"/>
        </w:sectPr>
      </w:pPr>
    </w:p>
    <w:p>
      <w:pPr>
        <w:pStyle w:val="BodyText"/>
        <w:spacing w:before="2"/>
        <w:rPr>
          <w:sz w:val="17"/>
        </w:rPr>
      </w:pPr>
    </w:p>
    <w:p>
      <w:pPr>
        <w:pStyle w:val="Heading3"/>
        <w:spacing w:before="52"/>
      </w:pPr>
      <w:r>
        <w:rPr>
          <w:w w:val="95"/>
        </w:rPr>
        <w:t>李俊生處長：</w:t>
      </w:r>
    </w:p>
    <w:p>
      <w:pPr>
        <w:pStyle w:val="ListParagraph"/>
        <w:numPr>
          <w:ilvl w:val="0"/>
          <w:numId w:val="23"/>
        </w:numPr>
        <w:tabs>
          <w:tab w:pos="1260" w:val="left" w:leader="none"/>
        </w:tabs>
        <w:spacing w:line="295" w:lineRule="auto" w:before="79" w:after="0"/>
        <w:ind w:left="1260" w:right="854" w:hanging="360"/>
        <w:jc w:val="both"/>
        <w:rPr>
          <w:sz w:val="24"/>
        </w:rPr>
      </w:pPr>
      <w:r>
        <w:rPr>
          <w:sz w:val="24"/>
        </w:rPr>
        <w:t>有關再審議制度當時並沒有把再申訴納入，是有它的考量的，主要的原因在</w:t>
      </w:r>
      <w:r>
        <w:rPr>
          <w:spacing w:val="-14"/>
          <w:sz w:val="24"/>
        </w:rPr>
        <w:t>於，考量到再申訴制度與復審制度的不同。再申訴制度當時最早是苦情申訴，</w:t>
      </w:r>
      <w:r>
        <w:rPr>
          <w:spacing w:val="-60"/>
          <w:sz w:val="24"/>
        </w:rPr>
        <w:t> </w:t>
      </w:r>
      <w:r>
        <w:rPr>
          <w:sz w:val="24"/>
        </w:rPr>
        <w:t>不希望有關再申訴的部份，如果還可以用再審議的話，可能會使程序重複進</w:t>
      </w:r>
      <w:r>
        <w:rPr>
          <w:spacing w:val="-13"/>
          <w:sz w:val="24"/>
        </w:rPr>
        <w:t>行影響機關內部的氣氛、和諧。只是如果「再審議」要一併適用於再申訴時，</w:t>
      </w:r>
      <w:r>
        <w:rPr>
          <w:spacing w:val="-60"/>
          <w:sz w:val="24"/>
        </w:rPr>
        <w:t> </w:t>
      </w:r>
      <w:r>
        <w:rPr>
          <w:sz w:val="24"/>
        </w:rPr>
        <w:t>在範圍上是否可請研究團隊注意有沒有可能再去作一些界定。</w:t>
      </w:r>
    </w:p>
    <w:p>
      <w:pPr>
        <w:pStyle w:val="ListParagraph"/>
        <w:numPr>
          <w:ilvl w:val="0"/>
          <w:numId w:val="23"/>
        </w:numPr>
        <w:tabs>
          <w:tab w:pos="1260" w:val="left" w:leader="none"/>
        </w:tabs>
        <w:spacing w:line="295" w:lineRule="auto" w:before="6" w:after="0"/>
        <w:ind w:left="1260" w:right="913" w:hanging="360"/>
        <w:jc w:val="both"/>
        <w:rPr>
          <w:sz w:val="24"/>
        </w:rPr>
      </w:pPr>
      <w:r>
        <w:rPr>
          <w:sz w:val="24"/>
        </w:rPr>
        <w:t>調處制度在原來保訓會草擬的草案裡面，的確曾考慮也適用於復審制度中，</w:t>
      </w:r>
      <w:r>
        <w:rPr>
          <w:spacing w:val="-60"/>
          <w:sz w:val="24"/>
        </w:rPr>
        <w:t> </w:t>
      </w:r>
      <w:r>
        <w:rPr>
          <w:sz w:val="24"/>
        </w:rPr>
        <w:t>但是在考試院審議的時候，因為有一些人事主管機關的反對的意見，認為復審制針對合法性不適合調處。雖然當時也有提出行政訴訟上和解機制以茲參考，但考試院最後的決議仍認為，復審的部份不適宜進行調處，因此才會把調處改為再申訴事件始得進行調處，以上，是立法背景上的補充。</w:t>
      </w:r>
    </w:p>
    <w:p>
      <w:pPr>
        <w:pStyle w:val="ListParagraph"/>
        <w:numPr>
          <w:ilvl w:val="0"/>
          <w:numId w:val="23"/>
        </w:numPr>
        <w:tabs>
          <w:tab w:pos="1260" w:val="left" w:leader="none"/>
        </w:tabs>
        <w:spacing w:line="295" w:lineRule="auto" w:before="6" w:after="0"/>
        <w:ind w:left="1260" w:right="913" w:hanging="360"/>
        <w:jc w:val="both"/>
        <w:rPr>
          <w:sz w:val="24"/>
        </w:rPr>
      </w:pPr>
      <w:r>
        <w:rPr>
          <w:sz w:val="24"/>
        </w:rPr>
        <w:t>停止執行的部份，因為從研究報告裡面，可能有一定程度是希望把再申訴部份再做一些擴充，是否也建議研究團隊，在考量納入假處分後，是否有哪些事件是不是適宜進行停止執行與假處分，範圍上是否可能再作一些比較清晰的界定。</w:t>
      </w:r>
    </w:p>
    <w:p>
      <w:pPr>
        <w:pStyle w:val="ListParagraph"/>
        <w:numPr>
          <w:ilvl w:val="0"/>
          <w:numId w:val="23"/>
        </w:numPr>
        <w:tabs>
          <w:tab w:pos="1260" w:val="left" w:leader="none"/>
        </w:tabs>
        <w:spacing w:line="295" w:lineRule="auto" w:before="4" w:after="0"/>
        <w:ind w:left="1260" w:right="857" w:hanging="360"/>
        <w:jc w:val="both"/>
        <w:rPr>
          <w:sz w:val="24"/>
        </w:rPr>
      </w:pPr>
      <w:r>
        <w:rPr>
          <w:spacing w:val="-4"/>
          <w:sz w:val="24"/>
        </w:rPr>
        <w:t>期中報告第 </w:t>
      </w:r>
      <w:r>
        <w:rPr>
          <w:rFonts w:ascii="Times New Roman" w:eastAsia="Times New Roman"/>
          <w:sz w:val="24"/>
        </w:rPr>
        <w:t>23</w:t>
      </w:r>
      <w:r>
        <w:rPr>
          <w:rFonts w:ascii="Times New Roman" w:eastAsia="Times New Roman"/>
          <w:spacing w:val="-13"/>
          <w:sz w:val="24"/>
        </w:rPr>
        <w:t> </w:t>
      </w:r>
      <w:r>
        <w:rPr>
          <w:spacing w:val="-1"/>
          <w:sz w:val="24"/>
        </w:rPr>
        <w:t>頁中有關調處制度的運作實況這個部份，提到 </w:t>
      </w:r>
      <w:r>
        <w:rPr>
          <w:rFonts w:ascii="Times New Roman" w:eastAsia="Times New Roman"/>
          <w:sz w:val="24"/>
        </w:rPr>
        <w:t>89</w:t>
      </w:r>
      <w:r>
        <w:rPr>
          <w:rFonts w:ascii="Times New Roman" w:eastAsia="Times New Roman"/>
          <w:spacing w:val="-13"/>
          <w:sz w:val="24"/>
        </w:rPr>
        <w:t> </w:t>
      </w:r>
      <w:r>
        <w:rPr>
          <w:spacing w:val="-5"/>
          <w:sz w:val="24"/>
        </w:rPr>
        <w:t>年到 </w:t>
      </w:r>
      <w:r>
        <w:rPr>
          <w:rFonts w:ascii="Times New Roman" w:eastAsia="Times New Roman"/>
          <w:sz w:val="24"/>
        </w:rPr>
        <w:t>98</w:t>
      </w:r>
      <w:r>
        <w:rPr>
          <w:rFonts w:ascii="Times New Roman" w:eastAsia="Times New Roman"/>
          <w:spacing w:val="-13"/>
          <w:sz w:val="24"/>
        </w:rPr>
        <w:t> </w:t>
      </w:r>
      <w:r>
        <w:rPr>
          <w:sz w:val="24"/>
        </w:rPr>
        <w:t>年調</w:t>
      </w:r>
      <w:r>
        <w:rPr>
          <w:spacing w:val="-3"/>
          <w:sz w:val="24"/>
        </w:rPr>
        <w:t>處的件數很少；到 </w:t>
      </w:r>
      <w:r>
        <w:rPr>
          <w:rFonts w:ascii="Times New Roman" w:eastAsia="Times New Roman"/>
          <w:spacing w:val="-1"/>
          <w:sz w:val="24"/>
        </w:rPr>
        <w:t>99</w:t>
      </w:r>
      <w:r>
        <w:rPr>
          <w:rFonts w:ascii="Times New Roman" w:eastAsia="Times New Roman"/>
          <w:spacing w:val="-11"/>
          <w:sz w:val="24"/>
        </w:rPr>
        <w:t> </w:t>
      </w:r>
      <w:r>
        <w:rPr>
          <w:spacing w:val="-1"/>
          <w:sz w:val="24"/>
        </w:rPr>
        <w:t>年的調處的狀況是總共有五件，其實有三件是成立的。</w:t>
      </w:r>
      <w:r>
        <w:rPr>
          <w:spacing w:val="-3"/>
          <w:sz w:val="24"/>
        </w:rPr>
        <w:t>但是這個調處是 </w:t>
      </w:r>
      <w:r>
        <w:rPr>
          <w:rFonts w:ascii="Times New Roman" w:eastAsia="Times New Roman"/>
          <w:sz w:val="24"/>
        </w:rPr>
        <w:t>92</w:t>
      </w:r>
      <w:r>
        <w:rPr>
          <w:rFonts w:ascii="Times New Roman" w:eastAsia="Times New Roman"/>
          <w:spacing w:val="-13"/>
          <w:sz w:val="24"/>
        </w:rPr>
        <w:t> </w:t>
      </w:r>
      <w:r>
        <w:rPr>
          <w:spacing w:val="-2"/>
          <w:sz w:val="24"/>
        </w:rPr>
        <w:t>年修法之後才放進來，所以 </w:t>
      </w:r>
      <w:r>
        <w:rPr>
          <w:rFonts w:ascii="Times New Roman" w:eastAsia="Times New Roman"/>
          <w:sz w:val="24"/>
        </w:rPr>
        <w:t>89</w:t>
      </w:r>
      <w:r>
        <w:rPr>
          <w:rFonts w:ascii="Times New Roman" w:eastAsia="Times New Roman"/>
          <w:spacing w:val="-13"/>
          <w:sz w:val="24"/>
        </w:rPr>
        <w:t> </w:t>
      </w:r>
      <w:r>
        <w:rPr>
          <w:spacing w:val="-5"/>
          <w:sz w:val="24"/>
        </w:rPr>
        <w:t>年到 </w:t>
      </w:r>
      <w:r>
        <w:rPr>
          <w:rFonts w:ascii="Times New Roman" w:eastAsia="Times New Roman"/>
          <w:sz w:val="24"/>
        </w:rPr>
        <w:t>98</w:t>
      </w:r>
      <w:r>
        <w:rPr>
          <w:rFonts w:ascii="Times New Roman" w:eastAsia="Times New Roman"/>
          <w:spacing w:val="-13"/>
          <w:sz w:val="24"/>
        </w:rPr>
        <w:t> </w:t>
      </w:r>
      <w:r>
        <w:rPr>
          <w:sz w:val="24"/>
        </w:rPr>
        <w:t>年可能因為並沒有調處制度，所以敘述上面可能須再做一些調整。</w:t>
      </w:r>
    </w:p>
    <w:p>
      <w:pPr>
        <w:pStyle w:val="ListParagraph"/>
        <w:numPr>
          <w:ilvl w:val="0"/>
          <w:numId w:val="23"/>
        </w:numPr>
        <w:tabs>
          <w:tab w:pos="1260" w:val="left" w:leader="none"/>
        </w:tabs>
        <w:spacing w:line="295" w:lineRule="auto" w:before="5" w:after="0"/>
        <w:ind w:left="1260" w:right="913" w:hanging="360"/>
        <w:jc w:val="both"/>
        <w:rPr>
          <w:sz w:val="24"/>
        </w:rPr>
      </w:pPr>
      <w:r>
        <w:rPr>
          <w:spacing w:val="-5"/>
          <w:sz w:val="24"/>
        </w:rPr>
        <w:t>期中報告第 </w:t>
      </w:r>
      <w:r>
        <w:rPr>
          <w:rFonts w:ascii="Times New Roman" w:eastAsia="Times New Roman"/>
          <w:spacing w:val="-3"/>
          <w:sz w:val="24"/>
        </w:rPr>
        <w:t>18</w:t>
      </w:r>
      <w:r>
        <w:rPr>
          <w:rFonts w:ascii="Times New Roman" w:eastAsia="Times New Roman"/>
          <w:spacing w:val="-9"/>
          <w:sz w:val="24"/>
        </w:rPr>
        <w:t> </w:t>
      </w:r>
      <w:r>
        <w:rPr>
          <w:spacing w:val="-3"/>
          <w:sz w:val="24"/>
        </w:rPr>
        <w:t>頁，有關公務員救濟體系的一貫性的這一段的論述，似乎將懲</w:t>
      </w:r>
      <w:r>
        <w:rPr>
          <w:spacing w:val="-4"/>
          <w:sz w:val="24"/>
        </w:rPr>
        <w:t>戒法上，懲戒處分的記過跟申誡，與保障法 </w:t>
      </w:r>
      <w:r>
        <w:rPr>
          <w:rFonts w:ascii="Times New Roman" w:eastAsia="Times New Roman"/>
          <w:spacing w:val="-2"/>
          <w:sz w:val="24"/>
        </w:rPr>
        <w:t>77</w:t>
      </w:r>
      <w:r>
        <w:rPr>
          <w:rFonts w:ascii="Times New Roman" w:eastAsia="Times New Roman"/>
          <w:spacing w:val="-10"/>
          <w:sz w:val="24"/>
        </w:rPr>
        <w:t> </w:t>
      </w:r>
      <w:r>
        <w:rPr>
          <w:spacing w:val="-2"/>
          <w:sz w:val="24"/>
        </w:rPr>
        <w:t>條所講的管理措施的記過、申</w:t>
      </w:r>
      <w:r>
        <w:rPr>
          <w:sz w:val="24"/>
        </w:rPr>
        <w:t>誡，相提並論；這邊可能有一點誤解，因為懲戒法上面的記過申誡，它的效果在實務上面，尤其記過，效果比考績法上記過申誡還強。若受到記過的處分，在當年度可能都沒辦法升遷，但考績法上面的那一些記過申誡，並不影響當年度的升遷。這部份的敘述，也請研究團隊作一些調整。</w:t>
      </w:r>
    </w:p>
    <w:p>
      <w:pPr>
        <w:pStyle w:val="BodyText"/>
        <w:spacing w:before="1"/>
        <w:rPr>
          <w:sz w:val="30"/>
        </w:rPr>
      </w:pPr>
    </w:p>
    <w:p>
      <w:pPr>
        <w:pStyle w:val="Heading3"/>
        <w:spacing w:before="1"/>
      </w:pPr>
      <w:r>
        <w:rPr>
          <w:w w:val="95"/>
        </w:rPr>
        <w:t>研究團隊之回應：</w:t>
      </w:r>
    </w:p>
    <w:p>
      <w:pPr>
        <w:pStyle w:val="ListParagraph"/>
        <w:numPr>
          <w:ilvl w:val="0"/>
          <w:numId w:val="24"/>
        </w:numPr>
        <w:tabs>
          <w:tab w:pos="1380" w:val="left" w:leader="none"/>
        </w:tabs>
        <w:spacing w:line="295" w:lineRule="auto" w:before="78" w:after="0"/>
        <w:ind w:left="1380" w:right="857" w:hanging="480"/>
        <w:jc w:val="both"/>
        <w:rPr>
          <w:sz w:val="24"/>
        </w:rPr>
      </w:pPr>
      <w:r>
        <w:rPr>
          <w:spacing w:val="-2"/>
          <w:sz w:val="24"/>
        </w:rPr>
        <w:t>倘若有瑕疵之再申訴決定無法透過再審議程序予以救濟，對於機關內部的氣氛、和諧恐怕亦難有所助益；至於再申訴事件適用再審議程序之適用範圍，</w:t>
      </w:r>
      <w:r>
        <w:rPr>
          <w:spacing w:val="-60"/>
          <w:sz w:val="24"/>
        </w:rPr>
        <w:t> </w:t>
      </w:r>
      <w:r>
        <w:rPr>
          <w:sz w:val="24"/>
        </w:rPr>
        <w:t>因非屬本研究計畫主要研究議題，日後將針對相關部分予以補充說明。</w:t>
      </w:r>
    </w:p>
    <w:p>
      <w:pPr>
        <w:pStyle w:val="ListParagraph"/>
        <w:numPr>
          <w:ilvl w:val="0"/>
          <w:numId w:val="24"/>
        </w:numPr>
        <w:tabs>
          <w:tab w:pos="1380" w:val="left" w:leader="none"/>
        </w:tabs>
        <w:spacing w:line="295" w:lineRule="auto" w:before="3" w:after="0"/>
        <w:ind w:left="1380" w:right="917" w:hanging="480"/>
        <w:jc w:val="both"/>
        <w:rPr>
          <w:sz w:val="24"/>
        </w:rPr>
      </w:pPr>
      <w:r>
        <w:rPr>
          <w:spacing w:val="-3"/>
          <w:sz w:val="24"/>
        </w:rPr>
        <w:t>感謝李處長提供立法背景之說明供研究團隊參考，研究團隊認為以涉及行政處分之合法性而不適合調處之理由，對照現今實務處理方式，恐不足以支持</w:t>
      </w:r>
    </w:p>
    <w:p>
      <w:pPr>
        <w:spacing w:after="0" w:line="295" w:lineRule="auto"/>
        <w:jc w:val="both"/>
        <w:rPr>
          <w:sz w:val="24"/>
        </w:rPr>
        <w:sectPr>
          <w:pgSz w:w="11910" w:h="16840"/>
          <w:pgMar w:header="0" w:footer="938" w:top="1600" w:bottom="1200" w:left="900" w:right="880"/>
        </w:sectPr>
      </w:pPr>
    </w:p>
    <w:p>
      <w:pPr>
        <w:pStyle w:val="BodyText"/>
        <w:spacing w:line="295" w:lineRule="auto" w:before="58"/>
        <w:ind w:left="1380" w:right="917"/>
        <w:jc w:val="both"/>
      </w:pPr>
      <w:r>
        <w:rPr>
          <w:spacing w:val="-4"/>
        </w:rPr>
        <w:t>其理由，蓋因稅務案件、行政程序法第 </w:t>
      </w:r>
      <w:r>
        <w:rPr>
          <w:rFonts w:ascii="Times New Roman" w:eastAsia="Times New Roman"/>
          <w:spacing w:val="-3"/>
        </w:rPr>
        <w:t>136</w:t>
      </w:r>
      <w:r>
        <w:rPr>
          <w:rFonts w:ascii="Times New Roman" w:eastAsia="Times New Roman"/>
          <w:spacing w:val="-9"/>
        </w:rPr>
        <w:t> </w:t>
      </w:r>
      <w:r>
        <w:rPr>
          <w:spacing w:val="-3"/>
        </w:rPr>
        <w:t>條之和解契約，亦均涉及行政處</w:t>
      </w:r>
      <w:r>
        <w:rPr/>
        <w:t>分合法性之考量，卻又有成立和解之空間。</w:t>
      </w:r>
    </w:p>
    <w:p>
      <w:pPr>
        <w:pStyle w:val="ListParagraph"/>
        <w:numPr>
          <w:ilvl w:val="0"/>
          <w:numId w:val="24"/>
        </w:numPr>
        <w:tabs>
          <w:tab w:pos="1380" w:val="left" w:leader="none"/>
        </w:tabs>
        <w:spacing w:line="295" w:lineRule="auto" w:before="2" w:after="0"/>
        <w:ind w:left="1380" w:right="917" w:hanging="480"/>
        <w:jc w:val="both"/>
        <w:rPr>
          <w:sz w:val="24"/>
        </w:rPr>
      </w:pPr>
      <w:r>
        <w:rPr>
          <w:spacing w:val="-3"/>
          <w:sz w:val="24"/>
        </w:rPr>
        <w:t>原則上停止執行與假處分皆僅為暫時性之權利保護，申請人並不得透過此等暫時性之救濟達到實質之本案救濟，故本文原則上認為，無論申訴、再申訴</w:t>
      </w:r>
      <w:r>
        <w:rPr>
          <w:sz w:val="24"/>
        </w:rPr>
        <w:t>事件亦或復審事件，皆無不適宜進行停止執行與假處分之情形。</w:t>
      </w:r>
    </w:p>
    <w:p>
      <w:pPr>
        <w:pStyle w:val="ListParagraph"/>
        <w:numPr>
          <w:ilvl w:val="0"/>
          <w:numId w:val="24"/>
        </w:numPr>
        <w:tabs>
          <w:tab w:pos="1380" w:val="left" w:leader="none"/>
        </w:tabs>
        <w:spacing w:line="240" w:lineRule="auto" w:before="4" w:after="0"/>
        <w:ind w:left="1380" w:right="0" w:hanging="480"/>
        <w:jc w:val="both"/>
        <w:rPr>
          <w:sz w:val="24"/>
        </w:rPr>
      </w:pPr>
      <w:r>
        <w:rPr>
          <w:sz w:val="24"/>
        </w:rPr>
        <w:t>研究團隊將針對詳細統計資料更為詳細補充說明。</w:t>
      </w:r>
    </w:p>
    <w:p>
      <w:pPr>
        <w:pStyle w:val="ListParagraph"/>
        <w:numPr>
          <w:ilvl w:val="0"/>
          <w:numId w:val="24"/>
        </w:numPr>
        <w:tabs>
          <w:tab w:pos="1380" w:val="left" w:leader="none"/>
        </w:tabs>
        <w:spacing w:line="295" w:lineRule="auto" w:before="78" w:after="0"/>
        <w:ind w:left="1380" w:right="917" w:hanging="480"/>
        <w:jc w:val="both"/>
        <w:rPr>
          <w:sz w:val="24"/>
        </w:rPr>
      </w:pPr>
      <w:r>
        <w:rPr>
          <w:spacing w:val="-3"/>
          <w:sz w:val="24"/>
        </w:rPr>
        <w:t>雖然懲戒法之記過、申誡其效果與考績法上之記過、申誡不盡相同，惟考績法上之記過，仍可能影響公務人員之年終考績獎金等權益，因此，其影響仍</w:t>
      </w:r>
      <w:r>
        <w:rPr>
          <w:sz w:val="24"/>
        </w:rPr>
        <w:t>不容小覷。</w:t>
      </w:r>
    </w:p>
    <w:p>
      <w:pPr>
        <w:pStyle w:val="BodyText"/>
        <w:spacing w:before="12"/>
        <w:rPr>
          <w:sz w:val="29"/>
        </w:rPr>
      </w:pPr>
    </w:p>
    <w:p>
      <w:pPr>
        <w:pStyle w:val="Heading3"/>
      </w:pPr>
      <w:r>
        <w:rPr>
          <w:w w:val="95"/>
        </w:rPr>
        <w:t>陳媛英處長：</w:t>
      </w:r>
    </w:p>
    <w:p>
      <w:pPr>
        <w:pStyle w:val="ListParagraph"/>
        <w:numPr>
          <w:ilvl w:val="0"/>
          <w:numId w:val="25"/>
        </w:numPr>
        <w:tabs>
          <w:tab w:pos="1260" w:val="left" w:leader="none"/>
        </w:tabs>
        <w:spacing w:line="295" w:lineRule="auto" w:before="79" w:after="0"/>
        <w:ind w:left="1260" w:right="913" w:hanging="360"/>
        <w:jc w:val="both"/>
        <w:rPr>
          <w:sz w:val="24"/>
        </w:rPr>
      </w:pPr>
      <w:r>
        <w:rPr>
          <w:sz w:val="24"/>
        </w:rPr>
        <w:t>針對第一個議題，再申訴決定是不是可以創設再審議制度的部份，既然保障法在這個部分參考了很多訴願法的規定，是否可請團隊針對「有無必要再存留再審議的制度」的問題，一併參考訴願法目前的修法方向。另外，基本上再申訴與復審的性質確實有不同的地方，因此針對它的適合性是否也請團隊再論述。</w:t>
      </w:r>
    </w:p>
    <w:p>
      <w:pPr>
        <w:pStyle w:val="ListParagraph"/>
        <w:numPr>
          <w:ilvl w:val="0"/>
          <w:numId w:val="25"/>
        </w:numPr>
        <w:tabs>
          <w:tab w:pos="1203" w:val="left" w:leader="none"/>
        </w:tabs>
        <w:spacing w:line="295" w:lineRule="auto" w:before="6" w:after="0"/>
        <w:ind w:left="1139" w:right="857" w:hanging="240"/>
        <w:jc w:val="both"/>
        <w:rPr>
          <w:sz w:val="24"/>
        </w:rPr>
      </w:pPr>
      <w:r>
        <w:rPr/>
        <w:tab/>
      </w:r>
      <w:r>
        <w:rPr>
          <w:sz w:val="24"/>
        </w:rPr>
        <w:t>第二個議題有關調處的部份，首先要考量到它是不是具有調處的這樣的容許</w:t>
      </w:r>
      <w:r>
        <w:rPr>
          <w:spacing w:val="1"/>
          <w:sz w:val="24"/>
        </w:rPr>
        <w:t>性？在期中報告第 </w:t>
      </w:r>
      <w:r>
        <w:rPr>
          <w:rFonts w:ascii="Times New Roman" w:hAnsi="Times New Roman" w:eastAsia="Times New Roman"/>
          <w:sz w:val="24"/>
        </w:rPr>
        <w:t>31</w:t>
      </w:r>
      <w:r>
        <w:rPr>
          <w:rFonts w:ascii="Times New Roman" w:hAnsi="Times New Roman" w:eastAsia="Times New Roman"/>
          <w:spacing w:val="13"/>
          <w:sz w:val="24"/>
        </w:rPr>
        <w:t> </w:t>
      </w:r>
      <w:r>
        <w:rPr>
          <w:sz w:val="24"/>
        </w:rPr>
        <w:t>頁也有提到容許性的問題，恐怕其實有關的復審事件它</w:t>
      </w:r>
      <w:r>
        <w:rPr>
          <w:spacing w:val="-1"/>
          <w:sz w:val="24"/>
        </w:rPr>
        <w:t>之所以當初沒有將它列入調處，確實有其考量。譬如說我們在實務上復審案，</w:t>
      </w:r>
      <w:r>
        <w:rPr>
          <w:spacing w:val="-60"/>
          <w:sz w:val="24"/>
        </w:rPr>
        <w:t> </w:t>
      </w:r>
      <w:r>
        <w:rPr>
          <w:spacing w:val="-2"/>
          <w:sz w:val="24"/>
        </w:rPr>
        <w:t>大部分都是任用事件、俸給事件、退休事件、支銓撫恤涉訟輔助公法財產……</w:t>
      </w:r>
      <w:r>
        <w:rPr>
          <w:spacing w:val="-60"/>
          <w:sz w:val="24"/>
        </w:rPr>
        <w:t> </w:t>
      </w:r>
      <w:r>
        <w:rPr>
          <w:spacing w:val="-2"/>
          <w:sz w:val="24"/>
        </w:rPr>
        <w:t>等等。這些復審的標的是不是具有那種容許當事人具有處分的容許性，恐怕是最重要的一個部份。因此在這邊，如果說研究團隊的方向是目前這樣的話，我建議是否可以把我們實務上的這些任用俸給的一些案例，它的類型調處的空間到底大不大，或是其實它相關的法律規定都很明確，是不容許我們再用調處的</w:t>
      </w:r>
      <w:r>
        <w:rPr>
          <w:sz w:val="24"/>
        </w:rPr>
        <w:t>方式來解決這樣的問題，再作深入的探討。</w:t>
      </w:r>
    </w:p>
    <w:p>
      <w:pPr>
        <w:pStyle w:val="ListParagraph"/>
        <w:numPr>
          <w:ilvl w:val="0"/>
          <w:numId w:val="25"/>
        </w:numPr>
        <w:tabs>
          <w:tab w:pos="1200" w:val="left" w:leader="none"/>
        </w:tabs>
        <w:spacing w:line="295" w:lineRule="auto" w:before="10" w:after="0"/>
        <w:ind w:left="1139" w:right="917" w:hanging="240"/>
        <w:jc w:val="both"/>
        <w:rPr>
          <w:sz w:val="24"/>
        </w:rPr>
      </w:pPr>
      <w:r>
        <w:rPr/>
        <w:tab/>
      </w:r>
      <w:r>
        <w:rPr>
          <w:spacing w:val="6"/>
          <w:sz w:val="24"/>
        </w:rPr>
        <w:t>期中報告第 </w:t>
      </w:r>
      <w:r>
        <w:rPr>
          <w:rFonts w:ascii="Times New Roman" w:eastAsia="Times New Roman"/>
          <w:sz w:val="24"/>
        </w:rPr>
        <w:t>22</w:t>
      </w:r>
      <w:r>
        <w:rPr>
          <w:rFonts w:ascii="Times New Roman" w:eastAsia="Times New Roman"/>
          <w:spacing w:val="41"/>
          <w:sz w:val="24"/>
        </w:rPr>
        <w:t> </w:t>
      </w:r>
      <w:r>
        <w:rPr>
          <w:sz w:val="24"/>
        </w:rPr>
        <w:t>頁的倒數最後一段，有關調處程序的發動，提到保障法第 </w:t>
      </w:r>
      <w:r>
        <w:rPr>
          <w:rFonts w:ascii="Times New Roman" w:eastAsia="Times New Roman"/>
          <w:sz w:val="24"/>
        </w:rPr>
        <w:t>85</w:t>
      </w:r>
      <w:r>
        <w:rPr>
          <w:rFonts w:ascii="Times New Roman" w:eastAsia="Times New Roman"/>
          <w:spacing w:val="-57"/>
          <w:sz w:val="24"/>
        </w:rPr>
        <w:t> </w:t>
      </w:r>
      <w:r>
        <w:rPr>
          <w:spacing w:val="-1"/>
          <w:sz w:val="24"/>
        </w:rPr>
        <w:t>條第 </w:t>
      </w:r>
      <w:r>
        <w:rPr>
          <w:rFonts w:ascii="Times New Roman" w:eastAsia="Times New Roman"/>
          <w:sz w:val="24"/>
        </w:rPr>
        <w:t>1</w:t>
      </w:r>
      <w:r>
        <w:rPr>
          <w:rFonts w:ascii="Times New Roman" w:eastAsia="Times New Roman"/>
          <w:spacing w:val="3"/>
          <w:sz w:val="24"/>
        </w:rPr>
        <w:t> </w:t>
      </w:r>
      <w:r>
        <w:rPr>
          <w:sz w:val="24"/>
        </w:rPr>
        <w:t>項的規定，引了保障法第 </w:t>
      </w:r>
      <w:r>
        <w:rPr>
          <w:rFonts w:ascii="Times New Roman" w:eastAsia="Times New Roman"/>
          <w:sz w:val="24"/>
        </w:rPr>
        <w:t>85</w:t>
      </w:r>
      <w:r>
        <w:rPr>
          <w:rFonts w:ascii="Times New Roman" w:eastAsia="Times New Roman"/>
          <w:spacing w:val="2"/>
          <w:sz w:val="24"/>
        </w:rPr>
        <w:t> </w:t>
      </w:r>
      <w:r>
        <w:rPr>
          <w:sz w:val="24"/>
        </w:rPr>
        <w:t>條第一項，提到法條沒有限定的說法，必須考量到雖然法條沒有明文規定，但保障法第 </w:t>
      </w:r>
      <w:r>
        <w:rPr>
          <w:rFonts w:ascii="Times New Roman" w:eastAsia="Times New Roman"/>
          <w:sz w:val="24"/>
        </w:rPr>
        <w:t>85</w:t>
      </w:r>
      <w:r>
        <w:rPr>
          <w:rFonts w:ascii="Times New Roman" w:eastAsia="Times New Roman"/>
          <w:spacing w:val="6"/>
          <w:sz w:val="24"/>
        </w:rPr>
        <w:t> </w:t>
      </w:r>
      <w:r>
        <w:rPr>
          <w:sz w:val="24"/>
        </w:rPr>
        <w:t>條它是列在再申訴的章節裡</w:t>
      </w:r>
      <w:r>
        <w:rPr>
          <w:spacing w:val="-3"/>
          <w:sz w:val="24"/>
        </w:rPr>
        <w:t>面，因此其實已經有明白的限定了。這邊的說法可能會有語意矛盾的地方，請</w:t>
      </w:r>
      <w:r>
        <w:rPr>
          <w:sz w:val="24"/>
        </w:rPr>
        <w:t>團隊再為考量。</w:t>
      </w:r>
    </w:p>
    <w:p>
      <w:pPr>
        <w:pStyle w:val="BodyText"/>
        <w:rPr>
          <w:sz w:val="30"/>
        </w:rPr>
      </w:pPr>
    </w:p>
    <w:p>
      <w:pPr>
        <w:pStyle w:val="Heading3"/>
        <w:spacing w:before="1"/>
      </w:pPr>
      <w:r>
        <w:rPr>
          <w:w w:val="95"/>
        </w:rPr>
        <w:t>研究團隊之回應：</w:t>
      </w:r>
    </w:p>
    <w:p>
      <w:pPr>
        <w:pStyle w:val="ListParagraph"/>
        <w:numPr>
          <w:ilvl w:val="0"/>
          <w:numId w:val="26"/>
        </w:numPr>
        <w:tabs>
          <w:tab w:pos="1380" w:val="left" w:leader="none"/>
        </w:tabs>
        <w:spacing w:line="240" w:lineRule="auto" w:before="78" w:after="0"/>
        <w:ind w:left="1380" w:right="0" w:hanging="480"/>
        <w:jc w:val="both"/>
        <w:rPr>
          <w:sz w:val="24"/>
        </w:rPr>
      </w:pPr>
      <w:r>
        <w:rPr>
          <w:spacing w:val="-3"/>
          <w:sz w:val="24"/>
        </w:rPr>
        <w:t>雖然再申訴與復審的性質有所不同，惟再審議程序係針對保訓會所為已確定</w:t>
      </w:r>
    </w:p>
    <w:p>
      <w:pPr>
        <w:spacing w:after="0" w:line="240" w:lineRule="auto"/>
        <w:jc w:val="both"/>
        <w:rPr>
          <w:sz w:val="24"/>
        </w:rPr>
        <w:sectPr>
          <w:pgSz w:w="11910" w:h="16840"/>
          <w:pgMar w:header="0" w:footer="938" w:top="1420" w:bottom="1200" w:left="900" w:right="880"/>
        </w:sectPr>
      </w:pPr>
    </w:p>
    <w:p>
      <w:pPr>
        <w:pStyle w:val="BodyText"/>
        <w:spacing w:line="295" w:lineRule="auto" w:before="38"/>
        <w:ind w:left="1380" w:right="917"/>
        <w:jc w:val="both"/>
      </w:pPr>
      <w:r>
        <w:rPr>
          <w:spacing w:val="-3"/>
        </w:rPr>
        <w:t>之審理決定再開審理程序，且再申訴事件與復審事件均涉及公務人員權益之影響，差別僅在於影響權益輕重與否，因此，並不會因再申訴或復審之性質</w:t>
      </w:r>
      <w:r>
        <w:rPr/>
        <w:t>而有所不同。</w:t>
      </w:r>
    </w:p>
    <w:p>
      <w:pPr>
        <w:pStyle w:val="ListParagraph"/>
        <w:numPr>
          <w:ilvl w:val="0"/>
          <w:numId w:val="26"/>
        </w:numPr>
        <w:tabs>
          <w:tab w:pos="1380" w:val="left" w:leader="none"/>
        </w:tabs>
        <w:spacing w:line="240" w:lineRule="auto" w:before="4" w:after="0"/>
        <w:ind w:left="1380" w:right="0" w:hanging="480"/>
        <w:jc w:val="both"/>
        <w:rPr>
          <w:sz w:val="24"/>
        </w:rPr>
      </w:pPr>
      <w:r>
        <w:rPr>
          <w:sz w:val="24"/>
        </w:rPr>
        <w:t>調處之範圍，研究團隊將於研究計畫中加以討論。</w:t>
      </w:r>
    </w:p>
    <w:p>
      <w:pPr>
        <w:pStyle w:val="ListParagraph"/>
        <w:numPr>
          <w:ilvl w:val="0"/>
          <w:numId w:val="26"/>
        </w:numPr>
        <w:tabs>
          <w:tab w:pos="1380" w:val="left" w:leader="none"/>
        </w:tabs>
        <w:spacing w:line="295" w:lineRule="auto" w:before="78" w:after="0"/>
        <w:ind w:left="1379" w:right="917" w:hanging="480"/>
        <w:jc w:val="both"/>
        <w:rPr>
          <w:sz w:val="24"/>
        </w:rPr>
      </w:pPr>
      <w:r>
        <w:rPr>
          <w:sz w:val="24"/>
        </w:rPr>
        <w:t>保障法第 </w:t>
      </w:r>
      <w:r>
        <w:rPr>
          <w:rFonts w:ascii="Times New Roman" w:eastAsia="Times New Roman"/>
          <w:sz w:val="24"/>
        </w:rPr>
        <w:t>85</w:t>
      </w:r>
      <w:r>
        <w:rPr>
          <w:rFonts w:ascii="Times New Roman" w:eastAsia="Times New Roman"/>
          <w:spacing w:val="6"/>
          <w:sz w:val="24"/>
        </w:rPr>
        <w:t> </w:t>
      </w:r>
      <w:r>
        <w:rPr>
          <w:sz w:val="24"/>
        </w:rPr>
        <w:t>條是制定於第五章「調處程序」中，因此，將復審事件納入調處程序，並不會影響立法架構之編排。</w:t>
      </w:r>
    </w:p>
    <w:p>
      <w:pPr>
        <w:pStyle w:val="BodyText"/>
        <w:spacing w:before="11"/>
        <w:rPr>
          <w:sz w:val="29"/>
        </w:rPr>
      </w:pPr>
    </w:p>
    <w:p>
      <w:pPr>
        <w:pStyle w:val="Heading3"/>
      </w:pPr>
      <w:r>
        <w:rPr>
          <w:w w:val="99"/>
        </w:rPr>
        <w:t>陳愛娥委員書面意見（由李俊生處長代為宣讀</w:t>
      </w:r>
      <w:r>
        <w:rPr>
          <w:spacing w:val="-120"/>
          <w:w w:val="99"/>
        </w:rPr>
        <w:t>）</w:t>
      </w:r>
      <w:r>
        <w:rPr>
          <w:w w:val="99"/>
        </w:rPr>
        <w:t>：</w:t>
      </w:r>
    </w:p>
    <w:p>
      <w:pPr>
        <w:pStyle w:val="ListParagraph"/>
        <w:numPr>
          <w:ilvl w:val="0"/>
          <w:numId w:val="27"/>
        </w:numPr>
        <w:tabs>
          <w:tab w:pos="1260" w:val="left" w:leader="none"/>
        </w:tabs>
        <w:spacing w:line="295" w:lineRule="auto" w:before="78" w:after="0"/>
        <w:ind w:left="1260" w:right="854" w:hanging="360"/>
        <w:jc w:val="both"/>
        <w:rPr>
          <w:sz w:val="24"/>
        </w:rPr>
      </w:pPr>
      <w:r>
        <w:rPr>
          <w:sz w:val="24"/>
        </w:rPr>
        <w:t>期中報告的第 </w:t>
      </w:r>
      <w:r>
        <w:rPr>
          <w:rFonts w:ascii="Times New Roman" w:eastAsia="Times New Roman"/>
          <w:sz w:val="24"/>
        </w:rPr>
        <w:t>12</w:t>
      </w:r>
      <w:r>
        <w:rPr>
          <w:rFonts w:ascii="Times New Roman" w:eastAsia="Times New Roman"/>
          <w:spacing w:val="6"/>
          <w:sz w:val="24"/>
        </w:rPr>
        <w:t> </w:t>
      </w:r>
      <w:r>
        <w:rPr>
          <w:sz w:val="24"/>
        </w:rPr>
        <w:t>頁到第 </w:t>
      </w:r>
      <w:r>
        <w:rPr>
          <w:rFonts w:ascii="Times New Roman" w:eastAsia="Times New Roman"/>
          <w:sz w:val="24"/>
        </w:rPr>
        <w:t>14</w:t>
      </w:r>
      <w:r>
        <w:rPr>
          <w:rFonts w:ascii="Times New Roman" w:eastAsia="Times New Roman"/>
          <w:spacing w:val="6"/>
          <w:sz w:val="24"/>
        </w:rPr>
        <w:t> </w:t>
      </w:r>
      <w:r>
        <w:rPr>
          <w:sz w:val="24"/>
        </w:rPr>
        <w:t>頁，司法院大法官對公務人員關係所為解釋，其認為應開放救濟管道似可區分為：影響公務人員身分、影響基於公務人員身</w:t>
      </w:r>
      <w:r>
        <w:rPr>
          <w:spacing w:val="-12"/>
          <w:sz w:val="24"/>
        </w:rPr>
        <w:t>分所生公法上財產請求權、影響服公職之重大權利；本報告相關內容的敘述，</w:t>
      </w:r>
      <w:r>
        <w:rPr>
          <w:spacing w:val="-60"/>
          <w:sz w:val="24"/>
        </w:rPr>
        <w:t> </w:t>
      </w:r>
      <w:r>
        <w:rPr>
          <w:spacing w:val="-1"/>
          <w:sz w:val="24"/>
        </w:rPr>
        <w:t>似未清楚區分此 </w:t>
      </w:r>
      <w:r>
        <w:rPr>
          <w:rFonts w:ascii="Times New Roman" w:eastAsia="Times New Roman"/>
          <w:sz w:val="24"/>
        </w:rPr>
        <w:t>3 </w:t>
      </w:r>
      <w:r>
        <w:rPr>
          <w:sz w:val="24"/>
        </w:rPr>
        <w:t>類。</w:t>
      </w:r>
    </w:p>
    <w:p>
      <w:pPr>
        <w:pStyle w:val="ListParagraph"/>
        <w:numPr>
          <w:ilvl w:val="0"/>
          <w:numId w:val="27"/>
        </w:numPr>
        <w:tabs>
          <w:tab w:pos="1260" w:val="left" w:leader="none"/>
        </w:tabs>
        <w:spacing w:line="295" w:lineRule="auto" w:before="5" w:after="0"/>
        <w:ind w:left="1260" w:right="917" w:hanging="360"/>
        <w:jc w:val="both"/>
        <w:rPr>
          <w:sz w:val="24"/>
        </w:rPr>
      </w:pPr>
      <w:r>
        <w:rPr>
          <w:spacing w:val="-1"/>
          <w:sz w:val="24"/>
        </w:rPr>
        <w:t>第 </w:t>
      </w:r>
      <w:r>
        <w:rPr>
          <w:rFonts w:ascii="Times New Roman" w:eastAsia="Times New Roman"/>
          <w:sz w:val="24"/>
        </w:rPr>
        <w:t>14</w:t>
      </w:r>
      <w:r>
        <w:rPr>
          <w:rFonts w:ascii="Times New Roman" w:eastAsia="Times New Roman"/>
          <w:spacing w:val="3"/>
          <w:sz w:val="24"/>
        </w:rPr>
        <w:t> </w:t>
      </w:r>
      <w:r>
        <w:rPr>
          <w:spacing w:val="-1"/>
          <w:sz w:val="24"/>
        </w:rPr>
        <w:t>頁末段，此段敘述使「行政處分」的界定取決於行政程序法第 </w:t>
      </w:r>
      <w:r>
        <w:rPr>
          <w:rFonts w:ascii="Times New Roman" w:eastAsia="Times New Roman"/>
          <w:sz w:val="24"/>
        </w:rPr>
        <w:t>92</w:t>
      </w:r>
      <w:r>
        <w:rPr>
          <w:rFonts w:ascii="Times New Roman" w:eastAsia="Times New Roman"/>
          <w:spacing w:val="3"/>
          <w:sz w:val="24"/>
        </w:rPr>
        <w:t> </w:t>
      </w:r>
      <w:r>
        <w:rPr>
          <w:sz w:val="24"/>
        </w:rPr>
        <w:t>條，</w:t>
      </w:r>
      <w:r>
        <w:rPr>
          <w:spacing w:val="-60"/>
          <w:sz w:val="24"/>
        </w:rPr>
        <w:t> </w:t>
      </w:r>
      <w:r>
        <w:rPr>
          <w:spacing w:val="-1"/>
          <w:sz w:val="24"/>
        </w:rPr>
        <w:t>如是，將如何調和保障法第 </w:t>
      </w:r>
      <w:r>
        <w:rPr>
          <w:rFonts w:ascii="Times New Roman" w:eastAsia="Times New Roman"/>
          <w:sz w:val="24"/>
        </w:rPr>
        <w:t>25 </w:t>
      </w:r>
      <w:r>
        <w:rPr>
          <w:sz w:val="24"/>
        </w:rPr>
        <w:t>條的規定內容。</w:t>
      </w:r>
    </w:p>
    <w:p>
      <w:pPr>
        <w:pStyle w:val="ListParagraph"/>
        <w:numPr>
          <w:ilvl w:val="0"/>
          <w:numId w:val="27"/>
        </w:numPr>
        <w:tabs>
          <w:tab w:pos="1260" w:val="left" w:leader="none"/>
        </w:tabs>
        <w:spacing w:line="295" w:lineRule="auto" w:before="2" w:after="0"/>
        <w:ind w:left="1260" w:right="858" w:hanging="360"/>
        <w:jc w:val="both"/>
        <w:rPr>
          <w:sz w:val="24"/>
        </w:rPr>
      </w:pPr>
      <w:r>
        <w:rPr>
          <w:spacing w:val="-2"/>
          <w:sz w:val="24"/>
        </w:rPr>
        <w:t>第 </w:t>
      </w:r>
      <w:r>
        <w:rPr>
          <w:rFonts w:ascii="Times New Roman" w:eastAsia="Times New Roman"/>
          <w:sz w:val="24"/>
        </w:rPr>
        <w:t>41 </w:t>
      </w:r>
      <w:r>
        <w:rPr>
          <w:spacing w:val="-18"/>
          <w:sz w:val="24"/>
        </w:rPr>
        <w:t>頁，假使最後建議，不論是復審或申訴程序均應增列「假處分」的制度，</w:t>
      </w:r>
      <w:r>
        <w:rPr>
          <w:spacing w:val="-60"/>
          <w:sz w:val="24"/>
        </w:rPr>
        <w:t> </w:t>
      </w:r>
      <w:r>
        <w:rPr>
          <w:sz w:val="24"/>
        </w:rPr>
        <w:t>即應更深入檢討「停止執行」與「假處分」在制度上的關係。</w:t>
      </w:r>
    </w:p>
    <w:p>
      <w:pPr>
        <w:pStyle w:val="BodyText"/>
        <w:spacing w:before="11"/>
        <w:rPr>
          <w:sz w:val="29"/>
        </w:rPr>
      </w:pPr>
    </w:p>
    <w:p>
      <w:pPr>
        <w:pStyle w:val="Heading3"/>
      </w:pPr>
      <w:r>
        <w:rPr>
          <w:w w:val="95"/>
        </w:rPr>
        <w:t>研究團隊之回應：</w:t>
      </w:r>
    </w:p>
    <w:p>
      <w:pPr>
        <w:pStyle w:val="ListParagraph"/>
        <w:numPr>
          <w:ilvl w:val="0"/>
          <w:numId w:val="28"/>
        </w:numPr>
        <w:tabs>
          <w:tab w:pos="1260" w:val="left" w:leader="none"/>
        </w:tabs>
        <w:spacing w:line="295" w:lineRule="auto" w:before="78" w:after="0"/>
        <w:ind w:left="1260" w:right="913" w:hanging="360"/>
        <w:jc w:val="both"/>
        <w:rPr>
          <w:sz w:val="24"/>
        </w:rPr>
      </w:pPr>
      <w:r>
        <w:rPr>
          <w:sz w:val="24"/>
        </w:rPr>
        <w:t>針對司法院大法官對公務人員關係所為解釋，已依據開放救濟管道，區分為影響公務人員身分、影響基於公務人員身分所生公法上財產請求權、影響服公職之重大權利三者，分別論述。</w:t>
      </w:r>
    </w:p>
    <w:p>
      <w:pPr>
        <w:pStyle w:val="ListParagraph"/>
        <w:numPr>
          <w:ilvl w:val="0"/>
          <w:numId w:val="28"/>
        </w:numPr>
        <w:tabs>
          <w:tab w:pos="1260" w:val="left" w:leader="none"/>
        </w:tabs>
        <w:spacing w:line="295" w:lineRule="auto" w:before="4" w:after="0"/>
        <w:ind w:left="1260" w:right="913" w:hanging="360"/>
        <w:jc w:val="both"/>
        <w:rPr>
          <w:sz w:val="24"/>
        </w:rPr>
      </w:pPr>
      <w:r>
        <w:rPr>
          <w:sz w:val="24"/>
        </w:rPr>
        <w:t>針對「行政處分」界定之問題，已於本文中回復。原則上，將判斷取決於行政程序法第 </w:t>
      </w:r>
      <w:r>
        <w:rPr>
          <w:rFonts w:ascii="Times New Roman" w:eastAsia="Times New Roman"/>
          <w:sz w:val="24"/>
        </w:rPr>
        <w:t>92</w:t>
      </w:r>
      <w:r>
        <w:rPr>
          <w:rFonts w:ascii="Times New Roman" w:eastAsia="Times New Roman"/>
          <w:spacing w:val="3"/>
          <w:sz w:val="24"/>
        </w:rPr>
        <w:t> </w:t>
      </w:r>
      <w:r>
        <w:rPr>
          <w:sz w:val="24"/>
        </w:rPr>
        <w:t>條，雖似與現行保障法第 </w:t>
      </w:r>
      <w:r>
        <w:rPr>
          <w:rFonts w:ascii="Times New Roman" w:eastAsia="Times New Roman"/>
          <w:sz w:val="24"/>
        </w:rPr>
        <w:t>25</w:t>
      </w:r>
      <w:r>
        <w:rPr>
          <w:rFonts w:ascii="Times New Roman" w:eastAsia="Times New Roman"/>
          <w:spacing w:val="3"/>
          <w:sz w:val="24"/>
        </w:rPr>
        <w:t> </w:t>
      </w:r>
      <w:r>
        <w:rPr>
          <w:sz w:val="24"/>
        </w:rPr>
        <w:t>條似有出入，然對於未來可能改</w:t>
      </w:r>
      <w:r>
        <w:rPr>
          <w:spacing w:val="-9"/>
          <w:sz w:val="24"/>
        </w:rPr>
        <w:t>變之二元救濟程序「界線挪移」，應為較為合理之解釋。</w:t>
      </w:r>
    </w:p>
    <w:p>
      <w:pPr>
        <w:pStyle w:val="ListParagraph"/>
        <w:numPr>
          <w:ilvl w:val="0"/>
          <w:numId w:val="28"/>
        </w:numPr>
        <w:tabs>
          <w:tab w:pos="1260" w:val="left" w:leader="none"/>
        </w:tabs>
        <w:spacing w:line="295" w:lineRule="auto" w:before="4" w:after="0"/>
        <w:ind w:left="1260" w:right="913" w:hanging="360"/>
        <w:jc w:val="both"/>
        <w:rPr>
          <w:sz w:val="24"/>
        </w:rPr>
      </w:pPr>
      <w:r>
        <w:rPr>
          <w:sz w:val="24"/>
        </w:rPr>
        <w:t>假處分制度之設計係為處理本案為給付類型需求之暫時權利保護，與停止執行為排除侵害類型之暫時權利保護，分屬不同功能，以達成即時性權利保護之共同目的。從完整的暫時權利保護制度而觀，不論是復審或是申訴制度皆有停止執行與假處分之需求，而此二者之適用關係則如前述，於得以停止執行達到暫時性權利保護目的時即不得聲請假處分。</w:t>
      </w:r>
    </w:p>
    <w:p>
      <w:pPr>
        <w:spacing w:after="0" w:line="295" w:lineRule="auto"/>
        <w:jc w:val="both"/>
        <w:rPr>
          <w:sz w:val="24"/>
        </w:rPr>
        <w:sectPr>
          <w:pgSz w:w="11910" w:h="16840"/>
          <w:pgMar w:header="0" w:footer="938" w:top="1440" w:bottom="1200" w:left="900" w:right="880"/>
        </w:sectPr>
      </w:pPr>
    </w:p>
    <w:p>
      <w:pPr>
        <w:pStyle w:val="BodyText"/>
        <w:spacing w:before="6"/>
        <w:rPr>
          <w:sz w:val="21"/>
        </w:rPr>
      </w:pPr>
    </w:p>
    <w:p>
      <w:pPr>
        <w:pStyle w:val="Heading1"/>
      </w:pPr>
      <w:bookmarkStart w:name="_TOC_250001" w:id="38"/>
      <w:bookmarkEnd w:id="38"/>
      <w:r>
        <w:rPr/>
        <w:t>附錄三：期末報告審查意見及回應意見</w:t>
      </w:r>
    </w:p>
    <w:p>
      <w:pPr>
        <w:pStyle w:val="BodyText"/>
        <w:spacing w:before="2"/>
        <w:rPr>
          <w:b/>
          <w:sz w:val="38"/>
        </w:rPr>
      </w:pPr>
    </w:p>
    <w:p>
      <w:pPr>
        <w:pStyle w:val="BodyText"/>
        <w:spacing w:line="295" w:lineRule="auto" w:before="1"/>
        <w:ind w:left="900" w:right="917" w:firstLine="480"/>
      </w:pPr>
      <w:r>
        <w:rPr>
          <w:spacing w:val="-3"/>
        </w:rPr>
        <w:t>以下依據依發言順序整理期中報告審查會中，各審查委員之意見，並附上本</w:t>
      </w:r>
      <w:r>
        <w:rPr/>
        <w:t>研究團隊之回應：</w:t>
      </w:r>
    </w:p>
    <w:p>
      <w:pPr>
        <w:pStyle w:val="BodyText"/>
        <w:spacing w:before="10"/>
        <w:rPr>
          <w:sz w:val="29"/>
        </w:rPr>
      </w:pPr>
    </w:p>
    <w:p>
      <w:pPr>
        <w:pStyle w:val="Heading3"/>
      </w:pPr>
      <w:r>
        <w:rPr>
          <w:w w:val="95"/>
        </w:rPr>
        <w:t>陳愛娥委員：</w:t>
      </w:r>
    </w:p>
    <w:p>
      <w:pPr>
        <w:pStyle w:val="ListParagraph"/>
        <w:numPr>
          <w:ilvl w:val="0"/>
          <w:numId w:val="29"/>
        </w:numPr>
        <w:tabs>
          <w:tab w:pos="1380" w:val="left" w:leader="none"/>
        </w:tabs>
        <w:spacing w:line="240" w:lineRule="auto" w:before="79" w:after="0"/>
        <w:ind w:left="1380" w:right="0" w:hanging="480"/>
        <w:jc w:val="both"/>
        <w:rPr>
          <w:sz w:val="24"/>
        </w:rPr>
      </w:pPr>
      <w:r>
        <w:rPr>
          <w:sz w:val="24"/>
        </w:rPr>
        <w:t>參考文獻待補。</w:t>
      </w:r>
    </w:p>
    <w:p>
      <w:pPr>
        <w:pStyle w:val="ListParagraph"/>
        <w:numPr>
          <w:ilvl w:val="0"/>
          <w:numId w:val="29"/>
        </w:numPr>
        <w:tabs>
          <w:tab w:pos="1380" w:val="left" w:leader="none"/>
        </w:tabs>
        <w:spacing w:line="295" w:lineRule="auto" w:before="78" w:after="0"/>
        <w:ind w:left="1380" w:right="912" w:hanging="480"/>
        <w:jc w:val="both"/>
        <w:rPr>
          <w:sz w:val="24"/>
        </w:rPr>
      </w:pPr>
      <w:r>
        <w:rPr>
          <w:spacing w:val="2"/>
          <w:sz w:val="24"/>
        </w:rPr>
        <w:t>保障法上行政處分之定義要完全照行政程序法第 </w:t>
      </w:r>
      <w:r>
        <w:rPr>
          <w:rFonts w:ascii="Times New Roman" w:eastAsia="Times New Roman"/>
          <w:sz w:val="24"/>
        </w:rPr>
        <w:t>92</w:t>
      </w:r>
      <w:r>
        <w:rPr>
          <w:rFonts w:ascii="Times New Roman" w:eastAsia="Times New Roman"/>
          <w:spacing w:val="56"/>
          <w:sz w:val="24"/>
        </w:rPr>
        <w:t> </w:t>
      </w:r>
      <w:r>
        <w:rPr>
          <w:sz w:val="24"/>
        </w:rPr>
        <w:t>條的定義有其困難之處，對公務人員所作之決定當然有其法效性，倘若以行政程序法第 </w:t>
      </w:r>
      <w:r>
        <w:rPr>
          <w:rFonts w:ascii="Times New Roman" w:eastAsia="Times New Roman"/>
          <w:sz w:val="24"/>
        </w:rPr>
        <w:t>92</w:t>
      </w:r>
      <w:r>
        <w:rPr>
          <w:rFonts w:ascii="Times New Roman" w:eastAsia="Times New Roman"/>
          <w:spacing w:val="8"/>
          <w:sz w:val="24"/>
        </w:rPr>
        <w:t> </w:t>
      </w:r>
      <w:r>
        <w:rPr>
          <w:sz w:val="24"/>
        </w:rPr>
        <w:t>條的</w:t>
      </w:r>
      <w:r>
        <w:rPr>
          <w:spacing w:val="-6"/>
          <w:sz w:val="24"/>
        </w:rPr>
        <w:t>要件來討論，重點恐怕是在「對外」還是「對內」。</w:t>
      </w:r>
    </w:p>
    <w:p>
      <w:pPr>
        <w:pStyle w:val="ListParagraph"/>
        <w:numPr>
          <w:ilvl w:val="0"/>
          <w:numId w:val="29"/>
        </w:numPr>
        <w:tabs>
          <w:tab w:pos="1380" w:val="left" w:leader="none"/>
        </w:tabs>
        <w:spacing w:line="295" w:lineRule="auto" w:before="4" w:after="0"/>
        <w:ind w:left="1380" w:right="917" w:hanging="480"/>
        <w:jc w:val="both"/>
        <w:rPr>
          <w:sz w:val="24"/>
        </w:rPr>
      </w:pPr>
      <w:r>
        <w:rPr>
          <w:spacing w:val="1"/>
          <w:sz w:val="24"/>
        </w:rPr>
        <w:t>第 </w:t>
      </w:r>
      <w:r>
        <w:rPr>
          <w:rFonts w:ascii="Times New Roman" w:eastAsia="Times New Roman"/>
          <w:sz w:val="24"/>
        </w:rPr>
        <w:t>25</w:t>
      </w:r>
      <w:r>
        <w:rPr>
          <w:rFonts w:ascii="Times New Roman" w:eastAsia="Times New Roman"/>
          <w:spacing w:val="5"/>
          <w:sz w:val="24"/>
        </w:rPr>
        <w:t> </w:t>
      </w:r>
      <w:r>
        <w:rPr>
          <w:sz w:val="24"/>
        </w:rPr>
        <w:t>頁，有關外國法之介紹可能需要更新條文，以彌補引用以前的研究資料可能產生的問題。</w:t>
      </w:r>
    </w:p>
    <w:p>
      <w:pPr>
        <w:pStyle w:val="ListParagraph"/>
        <w:numPr>
          <w:ilvl w:val="0"/>
          <w:numId w:val="29"/>
        </w:numPr>
        <w:tabs>
          <w:tab w:pos="1380" w:val="left" w:leader="none"/>
        </w:tabs>
        <w:spacing w:line="295" w:lineRule="auto" w:before="2" w:after="0"/>
        <w:ind w:left="1380" w:right="917" w:hanging="480"/>
        <w:jc w:val="both"/>
        <w:rPr>
          <w:sz w:val="24"/>
        </w:rPr>
      </w:pPr>
      <w:r>
        <w:rPr>
          <w:spacing w:val="-8"/>
          <w:sz w:val="24"/>
        </w:rPr>
        <w:t>第 </w:t>
      </w:r>
      <w:r>
        <w:rPr>
          <w:rFonts w:ascii="Times New Roman" w:eastAsia="Times New Roman"/>
          <w:spacing w:val="-2"/>
          <w:sz w:val="24"/>
        </w:rPr>
        <w:t>37</w:t>
      </w:r>
      <w:r>
        <w:rPr>
          <w:rFonts w:ascii="Times New Roman" w:eastAsia="Times New Roman"/>
          <w:spacing w:val="-10"/>
          <w:sz w:val="24"/>
        </w:rPr>
        <w:t> </w:t>
      </w:r>
      <w:r>
        <w:rPr>
          <w:spacing w:val="-15"/>
          <w:sz w:val="24"/>
        </w:rPr>
        <w:t>頁，「調處成立與行政法上和解之異同」之標題建議修改為保障法上之</w:t>
      </w:r>
      <w:r>
        <w:rPr>
          <w:sz w:val="24"/>
        </w:rPr>
        <w:t>調處，與行政程序法、跟行政訴訟法上之和解契約之異同。</w:t>
      </w:r>
    </w:p>
    <w:p>
      <w:pPr>
        <w:pStyle w:val="ListParagraph"/>
        <w:numPr>
          <w:ilvl w:val="0"/>
          <w:numId w:val="29"/>
        </w:numPr>
        <w:tabs>
          <w:tab w:pos="1380" w:val="left" w:leader="none"/>
        </w:tabs>
        <w:spacing w:line="240" w:lineRule="auto" w:before="2" w:after="0"/>
        <w:ind w:left="1380" w:right="0" w:hanging="480"/>
        <w:jc w:val="both"/>
        <w:rPr>
          <w:sz w:val="24"/>
        </w:rPr>
      </w:pPr>
      <w:r>
        <w:rPr>
          <w:spacing w:val="-2"/>
          <w:sz w:val="24"/>
        </w:rPr>
        <w:t>第 </w:t>
      </w:r>
      <w:r>
        <w:rPr>
          <w:rFonts w:ascii="Times New Roman" w:eastAsia="Times New Roman"/>
          <w:sz w:val="24"/>
        </w:rPr>
        <w:t>37 </w:t>
      </w:r>
      <w:r>
        <w:rPr>
          <w:spacing w:val="-8"/>
          <w:sz w:val="24"/>
        </w:rPr>
        <w:t>頁的倒數第二段提到「制訂契約」，應改為簽訂較為正確。</w:t>
      </w:r>
    </w:p>
    <w:p>
      <w:pPr>
        <w:pStyle w:val="ListParagraph"/>
        <w:numPr>
          <w:ilvl w:val="0"/>
          <w:numId w:val="29"/>
        </w:numPr>
        <w:tabs>
          <w:tab w:pos="1380" w:val="left" w:leader="none"/>
        </w:tabs>
        <w:spacing w:line="295" w:lineRule="auto" w:before="79" w:after="0"/>
        <w:ind w:left="1380" w:right="857" w:hanging="480"/>
        <w:jc w:val="both"/>
        <w:rPr>
          <w:sz w:val="24"/>
        </w:rPr>
      </w:pPr>
      <w:r>
        <w:rPr>
          <w:spacing w:val="13"/>
          <w:sz w:val="24"/>
        </w:rPr>
        <w:t>第 </w:t>
      </w:r>
      <w:r>
        <w:rPr>
          <w:rFonts w:ascii="Times New Roman" w:eastAsia="Times New Roman"/>
          <w:sz w:val="24"/>
        </w:rPr>
        <w:t>39</w:t>
      </w:r>
      <w:r>
        <w:rPr>
          <w:rFonts w:ascii="Times New Roman" w:eastAsia="Times New Roman"/>
          <w:spacing w:val="28"/>
          <w:sz w:val="24"/>
        </w:rPr>
        <w:t> </w:t>
      </w:r>
      <w:r>
        <w:rPr>
          <w:spacing w:val="-18"/>
          <w:sz w:val="24"/>
        </w:rPr>
        <w:t>頁，「針對復審事件調處成立之範圍」，第二段，引述行政程序法 </w:t>
      </w:r>
      <w:r>
        <w:rPr>
          <w:rFonts w:ascii="Times New Roman" w:eastAsia="Times New Roman"/>
          <w:sz w:val="24"/>
        </w:rPr>
        <w:t>136</w:t>
      </w:r>
      <w:r>
        <w:rPr>
          <w:rFonts w:ascii="Times New Roman" w:eastAsia="Times New Roman"/>
          <w:spacing w:val="-57"/>
          <w:sz w:val="24"/>
        </w:rPr>
        <w:t> </w:t>
      </w:r>
      <w:r>
        <w:rPr>
          <w:spacing w:val="-2"/>
          <w:sz w:val="24"/>
        </w:rPr>
        <w:t>條之規定，有些奇怪。行政程序法第 </w:t>
      </w:r>
      <w:r>
        <w:rPr>
          <w:rFonts w:ascii="Times New Roman" w:eastAsia="Times New Roman"/>
          <w:spacing w:val="-1"/>
          <w:sz w:val="24"/>
        </w:rPr>
        <w:t>136</w:t>
      </w:r>
      <w:r>
        <w:rPr>
          <w:rFonts w:ascii="Times New Roman" w:eastAsia="Times New Roman"/>
          <w:spacing w:val="-11"/>
          <w:sz w:val="24"/>
        </w:rPr>
        <w:t> </w:t>
      </w:r>
      <w:r>
        <w:rPr>
          <w:sz w:val="24"/>
        </w:rPr>
        <w:t>條是在講本來可得做成行政處分，</w:t>
      </w:r>
      <w:r>
        <w:rPr>
          <w:spacing w:val="-60"/>
          <w:sz w:val="24"/>
        </w:rPr>
        <w:t> </w:t>
      </w:r>
      <w:r>
        <w:rPr>
          <w:spacing w:val="-2"/>
          <w:sz w:val="24"/>
        </w:rPr>
        <w:t>但是因為要做成行政處分必須要有事實上的依據，必須要調查事實、解釋法律，是因為事實大家有爭議、對於法律的解釋大家有爭議，事實或法律關係有爭議，為了要解決這個爭議，所以法律效果的部分大家來協商。我個人認為目前的寫法是不對的，因為如果事實法律的理解不一樣，法律效果當然就不一樣，爭議是發生在那裡，但是爭議要解決的話當然會牽動法律效果，建</w:t>
      </w:r>
      <w:r>
        <w:rPr>
          <w:sz w:val="24"/>
        </w:rPr>
        <w:t>議團隊適當調整。</w:t>
      </w:r>
    </w:p>
    <w:p>
      <w:pPr>
        <w:pStyle w:val="ListParagraph"/>
        <w:numPr>
          <w:ilvl w:val="0"/>
          <w:numId w:val="29"/>
        </w:numPr>
        <w:tabs>
          <w:tab w:pos="1380" w:val="left" w:leader="none"/>
        </w:tabs>
        <w:spacing w:line="295" w:lineRule="auto" w:before="9" w:after="0"/>
        <w:ind w:left="1380" w:right="855" w:hanging="480"/>
        <w:jc w:val="both"/>
        <w:rPr>
          <w:sz w:val="24"/>
        </w:rPr>
      </w:pPr>
      <w:r>
        <w:rPr>
          <w:spacing w:val="-2"/>
          <w:sz w:val="24"/>
        </w:rPr>
        <w:t>第 </w:t>
      </w:r>
      <w:r>
        <w:rPr>
          <w:rFonts w:ascii="Times New Roman" w:eastAsia="Times New Roman"/>
          <w:spacing w:val="-14"/>
          <w:sz w:val="24"/>
        </w:rPr>
        <w:t>49</w:t>
      </w:r>
      <w:r>
        <w:rPr>
          <w:spacing w:val="-28"/>
          <w:sz w:val="24"/>
        </w:rPr>
        <w:t>、</w:t>
      </w:r>
      <w:r>
        <w:rPr>
          <w:rFonts w:ascii="Times New Roman" w:eastAsia="Times New Roman"/>
          <w:sz w:val="24"/>
        </w:rPr>
        <w:t>50 </w:t>
      </w:r>
      <w:r>
        <w:rPr>
          <w:spacing w:val="-12"/>
          <w:sz w:val="24"/>
        </w:rPr>
        <w:t>頁，目前看來是先得到結論，再去談論所謂的假處分是什麼涵義，</w:t>
      </w:r>
      <w:r>
        <w:rPr>
          <w:spacing w:val="-60"/>
          <w:sz w:val="24"/>
        </w:rPr>
        <w:t> </w:t>
      </w:r>
      <w:r>
        <w:rPr>
          <w:sz w:val="24"/>
        </w:rPr>
        <w:t>我認為論述上面步驟有點亂掉，建議調整。</w:t>
      </w:r>
    </w:p>
    <w:p>
      <w:pPr>
        <w:pStyle w:val="ListParagraph"/>
        <w:numPr>
          <w:ilvl w:val="0"/>
          <w:numId w:val="29"/>
        </w:numPr>
        <w:tabs>
          <w:tab w:pos="1380" w:val="left" w:leader="none"/>
        </w:tabs>
        <w:spacing w:line="295" w:lineRule="auto" w:before="3" w:after="0"/>
        <w:ind w:left="1380" w:right="910" w:hanging="480"/>
        <w:jc w:val="both"/>
        <w:rPr>
          <w:sz w:val="24"/>
        </w:rPr>
      </w:pPr>
      <w:r>
        <w:rPr>
          <w:spacing w:val="-3"/>
          <w:sz w:val="24"/>
        </w:rPr>
        <w:t>有關條文的部分，我要提醒一件事，針對再申訴是不是可以進行再審議的這</w:t>
      </w:r>
      <w:r>
        <w:rPr>
          <w:sz w:val="24"/>
        </w:rPr>
        <w:t>個部分，我們原來再審議的制度都是要復審決定確定，大概都是用這個標</w:t>
      </w:r>
      <w:r>
        <w:rPr>
          <w:spacing w:val="-3"/>
          <w:sz w:val="24"/>
        </w:rPr>
        <w:t>準；但是復審決定確定與否，它確定的時間點是不一定的，它過了期間沒有提起行政訴訟，或者說提起行政訴訟但發生那樣的問題；但是再申訴沒有確定的問題，再申訴是做出來，因為它沒有更進一步的救濟管道，我認為應該是再申訴決定以後、或者是復審決定確定，因為這是兩件事情，再申訴決定一旦做出來，它沒有再進一步的救濟管道，所以它就確定了，它不用有另外</w:t>
      </w:r>
    </w:p>
    <w:p>
      <w:pPr>
        <w:spacing w:after="0" w:line="295" w:lineRule="auto"/>
        <w:jc w:val="both"/>
        <w:rPr>
          <w:sz w:val="24"/>
        </w:rPr>
        <w:sectPr>
          <w:pgSz w:w="11910" w:h="16840"/>
          <w:pgMar w:header="0" w:footer="938" w:top="1600" w:bottom="1200" w:left="900" w:right="880"/>
        </w:sectPr>
      </w:pPr>
    </w:p>
    <w:p>
      <w:pPr>
        <w:pStyle w:val="BodyText"/>
        <w:spacing w:line="295" w:lineRule="auto" w:before="38"/>
        <w:ind w:left="1380" w:right="917"/>
        <w:jc w:val="both"/>
      </w:pPr>
      <w:r>
        <w:rPr>
          <w:spacing w:val="-3"/>
        </w:rPr>
        <w:t>一個確定的時間點。我個人認為，如果要起算那個三十天的期間的話，復審決定確定是合理的，但是再申訴部分，建議以送達為準。相關的文字，建議</w:t>
      </w:r>
      <w:r>
        <w:rPr/>
        <w:t>團隊整個考量這個部分作調整。</w:t>
      </w:r>
    </w:p>
    <w:p>
      <w:pPr>
        <w:pStyle w:val="ListParagraph"/>
        <w:numPr>
          <w:ilvl w:val="0"/>
          <w:numId w:val="29"/>
        </w:numPr>
        <w:tabs>
          <w:tab w:pos="1380" w:val="left" w:leader="none"/>
        </w:tabs>
        <w:spacing w:line="295" w:lineRule="auto" w:before="4" w:after="0"/>
        <w:ind w:left="1380" w:right="856" w:hanging="480"/>
        <w:jc w:val="both"/>
        <w:rPr>
          <w:sz w:val="24"/>
        </w:rPr>
      </w:pPr>
      <w:r>
        <w:rPr>
          <w:sz w:val="24"/>
        </w:rPr>
        <w:t>停止執行條文的部分，第 </w:t>
      </w:r>
      <w:r>
        <w:rPr>
          <w:rFonts w:ascii="Times New Roman" w:eastAsia="Times New Roman"/>
          <w:sz w:val="24"/>
        </w:rPr>
        <w:t>56</w:t>
      </w:r>
      <w:r>
        <w:rPr>
          <w:rFonts w:ascii="Times New Roman" w:eastAsia="Times New Roman"/>
          <w:spacing w:val="13"/>
          <w:sz w:val="24"/>
        </w:rPr>
        <w:t> </w:t>
      </w:r>
      <w:r>
        <w:rPr>
          <w:sz w:val="24"/>
        </w:rPr>
        <w:t>頁，原行政處分、管理措施或有關工作條件之</w:t>
      </w:r>
      <w:r>
        <w:rPr>
          <w:spacing w:val="-5"/>
          <w:sz w:val="24"/>
        </w:rPr>
        <w:t>處置，這邊的用語是「不應依本法所進行之各項程序而停止執行」。我建議</w:t>
      </w:r>
      <w:r>
        <w:rPr>
          <w:spacing w:val="-2"/>
          <w:sz w:val="24"/>
        </w:rPr>
        <w:t>可以用更簡單，且也符合我們一般立法體例的說法，就是「不因提起復審、</w:t>
      </w:r>
      <w:r>
        <w:rPr>
          <w:spacing w:val="-10"/>
          <w:sz w:val="24"/>
        </w:rPr>
        <w:t>申訴或再申訴而停止執行」。</w:t>
      </w:r>
    </w:p>
    <w:p>
      <w:pPr>
        <w:pStyle w:val="BodyText"/>
        <w:spacing w:line="295" w:lineRule="auto" w:before="4"/>
        <w:ind w:left="1380" w:right="910"/>
        <w:jc w:val="both"/>
      </w:pPr>
      <w:r>
        <w:rPr>
          <w:spacing w:val="-3"/>
        </w:rPr>
        <w:t>關於再審議的範圍那個部分，我個人是支持林老師的想法。我個人也不支持訴願法裡面有類似再審的制度，是因為在訴願法裡面其實不需要，因為它在</w:t>
      </w:r>
      <w:r>
        <w:rPr/>
        <w:t>行政訴訟可以有，但是再申訴事件正好並非如此，再申訴它在機關裡面沒</w:t>
      </w:r>
      <w:r>
        <w:rPr>
          <w:spacing w:val="-3"/>
        </w:rPr>
        <w:t>有，也沒辦法到法院去，所以我認為正因為再申訴事件沒有後續的法院的救濟管道，因此讓這個再審議制度有另外一個可得正當化的理由，這點與訴願</w:t>
      </w:r>
      <w:r>
        <w:rPr/>
        <w:t>未必完全一樣。</w:t>
      </w:r>
    </w:p>
    <w:p>
      <w:pPr>
        <w:pStyle w:val="ListParagraph"/>
        <w:numPr>
          <w:ilvl w:val="0"/>
          <w:numId w:val="29"/>
        </w:numPr>
        <w:tabs>
          <w:tab w:pos="1380" w:val="left" w:leader="none"/>
        </w:tabs>
        <w:spacing w:line="295" w:lineRule="auto" w:before="7" w:after="0"/>
        <w:ind w:left="1380" w:right="917" w:hanging="480"/>
        <w:jc w:val="both"/>
        <w:rPr>
          <w:sz w:val="24"/>
        </w:rPr>
      </w:pPr>
      <w:r>
        <w:rPr>
          <w:spacing w:val="-3"/>
          <w:sz w:val="24"/>
        </w:rPr>
        <w:t>有關假處分的制度，大家聽起來都覺得這個好像很罕見，其實我個人認為不然。我自己曾經寫過一篇文章，在去年行政法學會舉辦的研討會，其中內容</w:t>
      </w:r>
      <w:r>
        <w:rPr>
          <w:sz w:val="24"/>
        </w:rPr>
        <w:t>有一半事實上就在講暫時權利保護，這部分提供給研究團隊參考。</w:t>
      </w:r>
    </w:p>
    <w:p>
      <w:pPr>
        <w:pStyle w:val="BodyText"/>
        <w:spacing w:before="12"/>
        <w:rPr>
          <w:sz w:val="29"/>
        </w:rPr>
      </w:pPr>
    </w:p>
    <w:p>
      <w:pPr>
        <w:pStyle w:val="Heading3"/>
      </w:pPr>
      <w:r>
        <w:rPr>
          <w:w w:val="95"/>
        </w:rPr>
        <w:t>研究團隊之回應：</w:t>
      </w:r>
    </w:p>
    <w:p>
      <w:pPr>
        <w:pStyle w:val="ListParagraph"/>
        <w:numPr>
          <w:ilvl w:val="0"/>
          <w:numId w:val="30"/>
        </w:numPr>
        <w:tabs>
          <w:tab w:pos="1380" w:val="left" w:leader="none"/>
        </w:tabs>
        <w:spacing w:line="240" w:lineRule="auto" w:before="79" w:after="0"/>
        <w:ind w:left="1380" w:right="0" w:hanging="480"/>
        <w:jc w:val="both"/>
        <w:rPr>
          <w:sz w:val="24"/>
        </w:rPr>
      </w:pPr>
      <w:r>
        <w:rPr>
          <w:sz w:val="24"/>
        </w:rPr>
        <w:t>參考文獻將予以增補。</w:t>
      </w:r>
    </w:p>
    <w:p>
      <w:pPr>
        <w:pStyle w:val="ListParagraph"/>
        <w:numPr>
          <w:ilvl w:val="0"/>
          <w:numId w:val="30"/>
        </w:numPr>
        <w:tabs>
          <w:tab w:pos="1380" w:val="left" w:leader="none"/>
        </w:tabs>
        <w:spacing w:line="295" w:lineRule="auto" w:before="78" w:after="0"/>
        <w:ind w:left="1380" w:right="913" w:hanging="480"/>
        <w:jc w:val="both"/>
        <w:rPr>
          <w:sz w:val="24"/>
        </w:rPr>
      </w:pPr>
      <w:r>
        <w:rPr>
          <w:spacing w:val="-3"/>
          <w:sz w:val="24"/>
        </w:rPr>
        <w:t>本文亦肯認對於公務人員之處置，必然會發生一定之法律效果，是否為行政</w:t>
      </w:r>
      <w:r>
        <w:rPr>
          <w:spacing w:val="-7"/>
          <w:sz w:val="24"/>
        </w:rPr>
        <w:t>處分，其重點應在於「對內」或「對外」。然而本文認為回歸行政程序法之</w:t>
      </w:r>
      <w:r>
        <w:rPr>
          <w:spacing w:val="-6"/>
          <w:sz w:val="24"/>
        </w:rPr>
        <w:t>判斷對此並不影響，蓋既然於判斷是否為行政處分時，「對外」為最重要關</w:t>
      </w:r>
      <w:r>
        <w:rPr>
          <w:spacing w:val="-3"/>
          <w:sz w:val="24"/>
        </w:rPr>
        <w:t>鍵因素，則除非係純屬機關執行職務之命令此等性質之外，由於公務員係屬機關構成員而非權利主體，故此種職務命令不具對外性。但若涉及公務員自身的法律地位，仍具有對外性，其具體而直接發生法律效果者，仍屬行政處分。換言之，對內對外並不全然係作成該行政處分係因為公務人員作為國家成員此一因素，蓋公務人員既為特殊之身分，所受之一切措施當係由於其身分而來，在特別權力關係已漸漸遭到揚棄之氛圍下，應從公務人員自身之權</w:t>
      </w:r>
      <w:r>
        <w:rPr>
          <w:sz w:val="24"/>
        </w:rPr>
        <w:t>利是否受侵害，作為判斷是否「對外」之關鍵。</w:t>
      </w:r>
    </w:p>
    <w:p>
      <w:pPr>
        <w:pStyle w:val="ListParagraph"/>
        <w:numPr>
          <w:ilvl w:val="0"/>
          <w:numId w:val="30"/>
        </w:numPr>
        <w:tabs>
          <w:tab w:pos="1380" w:val="left" w:leader="none"/>
        </w:tabs>
        <w:spacing w:line="295" w:lineRule="auto" w:before="12" w:after="0"/>
        <w:ind w:left="1380" w:right="917" w:hanging="480"/>
        <w:jc w:val="both"/>
        <w:rPr>
          <w:sz w:val="24"/>
        </w:rPr>
      </w:pPr>
      <w:r>
        <w:rPr>
          <w:spacing w:val="-3"/>
          <w:sz w:val="24"/>
        </w:rPr>
        <w:t>該處提及外國法例僅係為瞭解我國保障法當時立法背景，係從歷史觀察之角度加以介紹，因此，並不因為參考文獻年代久遠而受影響，惟研究團隊仍將</w:t>
      </w:r>
      <w:r>
        <w:rPr>
          <w:sz w:val="24"/>
        </w:rPr>
        <w:t>持續關注外國法之動態，於適當機會予以補充說明。</w:t>
      </w:r>
    </w:p>
    <w:p>
      <w:pPr>
        <w:pStyle w:val="ListParagraph"/>
        <w:numPr>
          <w:ilvl w:val="0"/>
          <w:numId w:val="30"/>
        </w:numPr>
        <w:tabs>
          <w:tab w:pos="1380" w:val="left" w:leader="none"/>
        </w:tabs>
        <w:spacing w:line="240" w:lineRule="auto" w:before="4" w:after="0"/>
        <w:ind w:left="1380" w:right="0" w:hanging="480"/>
        <w:jc w:val="both"/>
        <w:rPr>
          <w:sz w:val="24"/>
        </w:rPr>
      </w:pPr>
      <w:r>
        <w:rPr>
          <w:sz w:val="24"/>
        </w:rPr>
        <w:t>文字上將配合修正。</w:t>
      </w:r>
    </w:p>
    <w:p>
      <w:pPr>
        <w:spacing w:after="0" w:line="240" w:lineRule="auto"/>
        <w:jc w:val="both"/>
        <w:rPr>
          <w:sz w:val="24"/>
        </w:rPr>
        <w:sectPr>
          <w:pgSz w:w="11910" w:h="16840"/>
          <w:pgMar w:header="0" w:footer="938" w:top="1440" w:bottom="1200" w:left="900" w:right="880"/>
        </w:sectPr>
      </w:pPr>
    </w:p>
    <w:p>
      <w:pPr>
        <w:pStyle w:val="ListParagraph"/>
        <w:numPr>
          <w:ilvl w:val="0"/>
          <w:numId w:val="30"/>
        </w:numPr>
        <w:tabs>
          <w:tab w:pos="1380" w:val="left" w:leader="none"/>
        </w:tabs>
        <w:spacing w:line="240" w:lineRule="auto" w:before="58" w:after="0"/>
        <w:ind w:left="1380" w:right="0" w:hanging="480"/>
        <w:jc w:val="both"/>
        <w:rPr>
          <w:sz w:val="24"/>
        </w:rPr>
      </w:pPr>
      <w:r>
        <w:rPr>
          <w:sz w:val="24"/>
        </w:rPr>
        <w:t>文字上將配合修正。</w:t>
      </w:r>
    </w:p>
    <w:p>
      <w:pPr>
        <w:pStyle w:val="ListParagraph"/>
        <w:numPr>
          <w:ilvl w:val="0"/>
          <w:numId w:val="30"/>
        </w:numPr>
        <w:tabs>
          <w:tab w:pos="1380" w:val="left" w:leader="none"/>
        </w:tabs>
        <w:spacing w:line="295" w:lineRule="auto" w:before="78" w:after="0"/>
        <w:ind w:left="1380" w:right="917" w:hanging="480"/>
        <w:jc w:val="both"/>
        <w:rPr>
          <w:sz w:val="24"/>
        </w:rPr>
      </w:pPr>
      <w:r>
        <w:rPr>
          <w:spacing w:val="-3"/>
          <w:sz w:val="24"/>
        </w:rPr>
        <w:t>研究團隊認為，調處成立之範圍僅限於涉及構成要件中之事實認定以及法律涵攝部分，至於法律效果部分，倘若法規已有強制規定，使人事主管機關之裁量權萎縮到零，此時，針對此一法律效果，應不得單就該法律效果予以調</w:t>
      </w:r>
      <w:r>
        <w:rPr>
          <w:sz w:val="24"/>
        </w:rPr>
        <w:t>處。</w:t>
      </w:r>
    </w:p>
    <w:p>
      <w:pPr>
        <w:pStyle w:val="ListParagraph"/>
        <w:numPr>
          <w:ilvl w:val="0"/>
          <w:numId w:val="30"/>
        </w:numPr>
        <w:tabs>
          <w:tab w:pos="1379" w:val="left" w:leader="none"/>
          <w:tab w:pos="1380" w:val="left" w:leader="none"/>
        </w:tabs>
        <w:spacing w:line="240" w:lineRule="auto" w:before="5" w:after="0"/>
        <w:ind w:left="1380" w:right="0" w:hanging="480"/>
        <w:jc w:val="left"/>
        <w:rPr>
          <w:sz w:val="24"/>
        </w:rPr>
      </w:pPr>
      <w:r>
        <w:rPr>
          <w:sz w:val="24"/>
        </w:rPr>
        <w:t>本文內容已作調整。</w:t>
      </w:r>
    </w:p>
    <w:p>
      <w:pPr>
        <w:pStyle w:val="ListParagraph"/>
        <w:numPr>
          <w:ilvl w:val="0"/>
          <w:numId w:val="30"/>
        </w:numPr>
        <w:tabs>
          <w:tab w:pos="1379" w:val="left" w:leader="none"/>
          <w:tab w:pos="1380" w:val="left" w:leader="none"/>
        </w:tabs>
        <w:spacing w:line="240" w:lineRule="auto" w:before="79" w:after="0"/>
        <w:ind w:left="1380" w:right="0" w:hanging="480"/>
        <w:jc w:val="left"/>
        <w:rPr>
          <w:sz w:val="24"/>
        </w:rPr>
      </w:pPr>
      <w:r>
        <w:rPr>
          <w:sz w:val="24"/>
        </w:rPr>
        <w:t>文字上將配合修正。</w:t>
      </w:r>
    </w:p>
    <w:p>
      <w:pPr>
        <w:pStyle w:val="ListParagraph"/>
        <w:numPr>
          <w:ilvl w:val="0"/>
          <w:numId w:val="30"/>
        </w:numPr>
        <w:tabs>
          <w:tab w:pos="1379" w:val="left" w:leader="none"/>
          <w:tab w:pos="1380" w:val="left" w:leader="none"/>
        </w:tabs>
        <w:spacing w:line="240" w:lineRule="auto" w:before="78" w:after="0"/>
        <w:ind w:left="1380" w:right="0" w:hanging="480"/>
        <w:jc w:val="left"/>
        <w:rPr>
          <w:sz w:val="24"/>
        </w:rPr>
      </w:pPr>
      <w:r>
        <w:rPr>
          <w:sz w:val="24"/>
        </w:rPr>
        <w:t>條文文字將配合修正。</w:t>
      </w:r>
    </w:p>
    <w:p>
      <w:pPr>
        <w:pStyle w:val="BodyText"/>
        <w:spacing w:before="4"/>
        <w:rPr>
          <w:sz w:val="35"/>
        </w:rPr>
      </w:pPr>
    </w:p>
    <w:p>
      <w:pPr>
        <w:pStyle w:val="Heading3"/>
      </w:pPr>
      <w:r>
        <w:rPr>
          <w:w w:val="95"/>
        </w:rPr>
        <w:t>邱華君委員</w:t>
      </w:r>
      <w:r>
        <w:rPr>
          <w:rFonts w:ascii="Times New Roman" w:eastAsia="Times New Roman"/>
          <w:w w:val="95"/>
        </w:rPr>
        <w:t>(</w:t>
      </w:r>
      <w:r>
        <w:rPr>
          <w:w w:val="95"/>
        </w:rPr>
        <w:t>由陳愛娥委員代為宣讀</w:t>
      </w:r>
      <w:r>
        <w:rPr>
          <w:rFonts w:ascii="Times New Roman" w:eastAsia="Times New Roman"/>
          <w:w w:val="95"/>
        </w:rPr>
        <w:t>)</w:t>
      </w:r>
      <w:r>
        <w:rPr>
          <w:w w:val="95"/>
        </w:rPr>
        <w:t>：</w:t>
      </w:r>
    </w:p>
    <w:p>
      <w:pPr>
        <w:pStyle w:val="ListParagraph"/>
        <w:numPr>
          <w:ilvl w:val="0"/>
          <w:numId w:val="31"/>
        </w:numPr>
        <w:tabs>
          <w:tab w:pos="1379" w:val="left" w:leader="none"/>
          <w:tab w:pos="1380" w:val="left" w:leader="none"/>
        </w:tabs>
        <w:spacing w:line="240" w:lineRule="auto" w:before="77" w:after="0"/>
        <w:ind w:left="1380" w:right="0" w:hanging="480"/>
        <w:jc w:val="left"/>
        <w:rPr>
          <w:sz w:val="24"/>
        </w:rPr>
      </w:pPr>
      <w:r>
        <w:rPr>
          <w:spacing w:val="-2"/>
          <w:sz w:val="24"/>
        </w:rPr>
        <w:t>第 </w:t>
      </w:r>
      <w:r>
        <w:rPr>
          <w:rFonts w:ascii="Times New Roman" w:eastAsia="Times New Roman"/>
          <w:sz w:val="24"/>
        </w:rPr>
        <w:t>21 </w:t>
      </w:r>
      <w:r>
        <w:rPr>
          <w:sz w:val="24"/>
        </w:rPr>
        <w:t>頁，公務人員懲戒法應修改為公務員懲戒法。</w:t>
      </w:r>
    </w:p>
    <w:p>
      <w:pPr>
        <w:pStyle w:val="ListParagraph"/>
        <w:numPr>
          <w:ilvl w:val="0"/>
          <w:numId w:val="31"/>
        </w:numPr>
        <w:tabs>
          <w:tab w:pos="1379" w:val="left" w:leader="none"/>
          <w:tab w:pos="1380" w:val="left" w:leader="none"/>
        </w:tabs>
        <w:spacing w:line="240" w:lineRule="auto" w:before="79" w:after="0"/>
        <w:ind w:left="1380" w:right="0" w:hanging="480"/>
        <w:jc w:val="left"/>
        <w:rPr>
          <w:sz w:val="24"/>
        </w:rPr>
      </w:pPr>
      <w:r>
        <w:rPr>
          <w:spacing w:val="-2"/>
          <w:sz w:val="24"/>
        </w:rPr>
        <w:t>第 </w:t>
      </w:r>
      <w:r>
        <w:rPr>
          <w:rFonts w:ascii="Times New Roman" w:eastAsia="Times New Roman"/>
          <w:sz w:val="24"/>
        </w:rPr>
        <w:t>22 </w:t>
      </w:r>
      <w:r>
        <w:rPr>
          <w:spacing w:val="-1"/>
          <w:sz w:val="24"/>
        </w:rPr>
        <w:t>頁，第 </w:t>
      </w:r>
      <w:r>
        <w:rPr>
          <w:rFonts w:ascii="Times New Roman" w:eastAsia="Times New Roman"/>
          <w:sz w:val="24"/>
        </w:rPr>
        <w:t>3 </w:t>
      </w:r>
      <w:r>
        <w:rPr>
          <w:spacing w:val="-1"/>
          <w:sz w:val="24"/>
        </w:rPr>
        <w:t>段的第 </w:t>
      </w:r>
      <w:r>
        <w:rPr>
          <w:rFonts w:ascii="Times New Roman" w:eastAsia="Times New Roman"/>
          <w:sz w:val="24"/>
        </w:rPr>
        <w:t>4 </w:t>
      </w:r>
      <w:r>
        <w:rPr>
          <w:spacing w:val="-1"/>
          <w:sz w:val="24"/>
        </w:rPr>
        <w:t>行第 </w:t>
      </w:r>
      <w:r>
        <w:rPr>
          <w:rFonts w:ascii="Times New Roman" w:eastAsia="Times New Roman"/>
          <w:sz w:val="24"/>
        </w:rPr>
        <w:t>9 </w:t>
      </w:r>
      <w:r>
        <w:rPr>
          <w:spacing w:val="-1"/>
          <w:sz w:val="24"/>
        </w:rPr>
        <w:t>條，應該改成第 </w:t>
      </w:r>
      <w:r>
        <w:rPr>
          <w:rFonts w:ascii="Times New Roman" w:eastAsia="Times New Roman"/>
          <w:sz w:val="24"/>
        </w:rPr>
        <w:t>12 </w:t>
      </w:r>
      <w:r>
        <w:rPr>
          <w:sz w:val="24"/>
        </w:rPr>
        <w:t>條。</w:t>
      </w:r>
    </w:p>
    <w:p>
      <w:pPr>
        <w:pStyle w:val="ListParagraph"/>
        <w:numPr>
          <w:ilvl w:val="0"/>
          <w:numId w:val="31"/>
        </w:numPr>
        <w:tabs>
          <w:tab w:pos="1379" w:val="left" w:leader="none"/>
          <w:tab w:pos="1380" w:val="left" w:leader="none"/>
        </w:tabs>
        <w:spacing w:line="240" w:lineRule="auto" w:before="78" w:after="0"/>
        <w:ind w:left="1380" w:right="0" w:hanging="480"/>
        <w:jc w:val="left"/>
        <w:rPr>
          <w:sz w:val="24"/>
        </w:rPr>
      </w:pPr>
      <w:r>
        <w:rPr>
          <w:spacing w:val="-2"/>
          <w:sz w:val="24"/>
        </w:rPr>
        <w:t>第 </w:t>
      </w:r>
      <w:r>
        <w:rPr>
          <w:rFonts w:ascii="Times New Roman" w:eastAsia="Times New Roman"/>
          <w:sz w:val="24"/>
        </w:rPr>
        <w:t>27 </w:t>
      </w:r>
      <w:r>
        <w:rPr>
          <w:sz w:val="24"/>
        </w:rPr>
        <w:t>頁，澳洲修改為澳大利亞。</w:t>
      </w:r>
    </w:p>
    <w:p>
      <w:pPr>
        <w:pStyle w:val="ListParagraph"/>
        <w:numPr>
          <w:ilvl w:val="0"/>
          <w:numId w:val="31"/>
        </w:numPr>
        <w:tabs>
          <w:tab w:pos="1379" w:val="left" w:leader="none"/>
          <w:tab w:pos="1380" w:val="left" w:leader="none"/>
        </w:tabs>
        <w:spacing w:line="295" w:lineRule="auto" w:before="78" w:after="0"/>
        <w:ind w:left="1380" w:right="917" w:hanging="480"/>
        <w:jc w:val="left"/>
        <w:rPr>
          <w:sz w:val="24"/>
        </w:rPr>
      </w:pPr>
      <w:r>
        <w:rPr>
          <w:spacing w:val="-1"/>
          <w:sz w:val="24"/>
        </w:rPr>
        <w:t>第 </w:t>
      </w:r>
      <w:r>
        <w:rPr>
          <w:rFonts w:ascii="Times New Roman" w:eastAsia="Times New Roman"/>
          <w:sz w:val="24"/>
        </w:rPr>
        <w:t>54 </w:t>
      </w:r>
      <w:r>
        <w:rPr>
          <w:spacing w:val="-1"/>
          <w:sz w:val="24"/>
        </w:rPr>
        <w:t>頁，第 </w:t>
      </w:r>
      <w:r>
        <w:rPr>
          <w:rFonts w:ascii="Times New Roman" w:eastAsia="Times New Roman"/>
          <w:sz w:val="24"/>
        </w:rPr>
        <w:t>1 </w:t>
      </w:r>
      <w:r>
        <w:rPr>
          <w:spacing w:val="-1"/>
          <w:sz w:val="24"/>
        </w:rPr>
        <w:t>個條文第 </w:t>
      </w:r>
      <w:r>
        <w:rPr>
          <w:rFonts w:ascii="Times New Roman" w:eastAsia="Times New Roman"/>
          <w:sz w:val="24"/>
        </w:rPr>
        <w:t>2 </w:t>
      </w:r>
      <w:r>
        <w:rPr>
          <w:sz w:val="24"/>
        </w:rPr>
        <w:t>項開頭，前項申請於原行政處分，建議增加原措施等，執行完畢後應得為之等用語。</w:t>
      </w:r>
    </w:p>
    <w:p>
      <w:pPr>
        <w:pStyle w:val="BodyText"/>
        <w:spacing w:line="295" w:lineRule="auto" w:before="3"/>
        <w:ind w:left="1380" w:right="857"/>
      </w:pPr>
      <w:r>
        <w:rPr>
          <w:spacing w:val="-14"/>
        </w:rPr>
        <w:t>修法條文部分，第 </w:t>
      </w:r>
      <w:r>
        <w:rPr>
          <w:rFonts w:ascii="Times New Roman" w:eastAsia="Times New Roman"/>
        </w:rPr>
        <w:t>101</w:t>
      </w:r>
      <w:r>
        <w:rPr>
          <w:rFonts w:ascii="Times New Roman" w:eastAsia="Times New Roman"/>
          <w:spacing w:val="-2"/>
        </w:rPr>
        <w:t> </w:t>
      </w:r>
      <w:r>
        <w:rPr>
          <w:spacing w:val="-2"/>
        </w:rPr>
        <w:t>條之 </w:t>
      </w:r>
      <w:r>
        <w:rPr>
          <w:rFonts w:ascii="Times New Roman" w:eastAsia="Times New Roman"/>
        </w:rPr>
        <w:t>3</w:t>
      </w:r>
      <w:r>
        <w:rPr>
          <w:rFonts w:ascii="Times New Roman" w:eastAsia="Times New Roman"/>
          <w:spacing w:val="-2"/>
        </w:rPr>
        <w:t> </w:t>
      </w:r>
      <w:r>
        <w:rPr>
          <w:spacing w:val="-3"/>
        </w:rPr>
        <w:t>第 </w:t>
      </w:r>
      <w:r>
        <w:rPr>
          <w:rFonts w:ascii="Times New Roman" w:eastAsia="Times New Roman"/>
        </w:rPr>
        <w:t>2</w:t>
      </w:r>
      <w:r>
        <w:rPr>
          <w:rFonts w:ascii="Times New Roman" w:eastAsia="Times New Roman"/>
          <w:spacing w:val="-2"/>
        </w:rPr>
        <w:t> </w:t>
      </w:r>
      <w:r>
        <w:rPr>
          <w:spacing w:val="-17"/>
        </w:rPr>
        <w:t>項，「得申請保訓會為定暫時狀態之處分</w:t>
      </w:r>
      <w:r>
        <w:rPr>
          <w:spacing w:val="-86"/>
        </w:rPr>
        <w:t>」，</w:t>
      </w:r>
      <w:r>
        <w:rPr>
          <w:spacing w:val="-60"/>
        </w:rPr>
        <w:t> </w:t>
      </w:r>
      <w:r>
        <w:rPr>
          <w:spacing w:val="-6"/>
        </w:rPr>
        <w:t>建議修改為「得向保訓會申請定暫時狀態之處分」。</w:t>
      </w:r>
    </w:p>
    <w:p>
      <w:pPr>
        <w:pStyle w:val="BodyText"/>
        <w:spacing w:before="10"/>
        <w:rPr>
          <w:sz w:val="29"/>
        </w:rPr>
      </w:pPr>
    </w:p>
    <w:p>
      <w:pPr>
        <w:pStyle w:val="Heading3"/>
        <w:spacing w:before="1"/>
      </w:pPr>
      <w:r>
        <w:rPr>
          <w:w w:val="95"/>
        </w:rPr>
        <w:t>研究團隊之回應：</w:t>
      </w:r>
    </w:p>
    <w:p>
      <w:pPr>
        <w:pStyle w:val="BodyText"/>
        <w:spacing w:before="78"/>
        <w:ind w:left="1380"/>
      </w:pPr>
      <w:r>
        <w:rPr/>
        <w:t>以上建議，本文均配合做修正。</w:t>
      </w:r>
    </w:p>
    <w:p>
      <w:pPr>
        <w:pStyle w:val="BodyText"/>
        <w:spacing w:before="3"/>
        <w:rPr>
          <w:sz w:val="35"/>
        </w:rPr>
      </w:pPr>
    </w:p>
    <w:p>
      <w:pPr>
        <w:pStyle w:val="Heading3"/>
      </w:pPr>
      <w:r>
        <w:rPr>
          <w:w w:val="95"/>
        </w:rPr>
        <w:t>楊仁煌委員：</w:t>
      </w:r>
    </w:p>
    <w:p>
      <w:pPr>
        <w:pStyle w:val="ListParagraph"/>
        <w:numPr>
          <w:ilvl w:val="0"/>
          <w:numId w:val="32"/>
        </w:numPr>
        <w:tabs>
          <w:tab w:pos="1379" w:val="left" w:leader="none"/>
          <w:tab w:pos="1380" w:val="left" w:leader="none"/>
        </w:tabs>
        <w:spacing w:line="240" w:lineRule="auto" w:before="78" w:after="0"/>
        <w:ind w:left="1380" w:right="0" w:hanging="480"/>
        <w:jc w:val="left"/>
        <w:rPr>
          <w:sz w:val="24"/>
        </w:rPr>
      </w:pPr>
      <w:r>
        <w:rPr>
          <w:sz w:val="24"/>
        </w:rPr>
        <w:t>肯定再審應該也是適用於再申訴，以及調處適用在復審。</w:t>
      </w:r>
    </w:p>
    <w:p>
      <w:pPr>
        <w:pStyle w:val="ListParagraph"/>
        <w:numPr>
          <w:ilvl w:val="0"/>
          <w:numId w:val="32"/>
        </w:numPr>
        <w:tabs>
          <w:tab w:pos="1379" w:val="left" w:leader="none"/>
          <w:tab w:pos="1380" w:val="left" w:leader="none"/>
        </w:tabs>
        <w:spacing w:line="240" w:lineRule="auto" w:before="79" w:after="0"/>
        <w:ind w:left="1380" w:right="0" w:hanging="480"/>
        <w:jc w:val="left"/>
        <w:rPr>
          <w:sz w:val="24"/>
        </w:rPr>
      </w:pPr>
      <w:r>
        <w:rPr>
          <w:spacing w:val="-2"/>
          <w:sz w:val="24"/>
        </w:rPr>
        <w:t>第 </w:t>
      </w:r>
      <w:r>
        <w:rPr>
          <w:rFonts w:ascii="Times New Roman" w:eastAsia="Times New Roman"/>
          <w:sz w:val="24"/>
        </w:rPr>
        <w:t>8 </w:t>
      </w:r>
      <w:r>
        <w:rPr>
          <w:sz w:val="24"/>
        </w:rPr>
        <w:t>頁，引註字體大小不統一。</w:t>
      </w:r>
    </w:p>
    <w:p>
      <w:pPr>
        <w:pStyle w:val="ListParagraph"/>
        <w:numPr>
          <w:ilvl w:val="0"/>
          <w:numId w:val="32"/>
        </w:numPr>
        <w:tabs>
          <w:tab w:pos="1379" w:val="left" w:leader="none"/>
          <w:tab w:pos="1380" w:val="left" w:leader="none"/>
        </w:tabs>
        <w:spacing w:line="295" w:lineRule="auto" w:before="78" w:after="0"/>
        <w:ind w:left="1380" w:right="822" w:hanging="480"/>
        <w:jc w:val="left"/>
        <w:rPr>
          <w:sz w:val="24"/>
        </w:rPr>
      </w:pPr>
      <w:r>
        <w:rPr>
          <w:spacing w:val="-4"/>
          <w:sz w:val="24"/>
        </w:rPr>
        <w:t>第 </w:t>
      </w:r>
      <w:r>
        <w:rPr>
          <w:rFonts w:ascii="Times New Roman" w:eastAsia="Times New Roman"/>
          <w:sz w:val="24"/>
        </w:rPr>
        <w:t>10</w:t>
      </w:r>
      <w:r>
        <w:rPr>
          <w:rFonts w:ascii="Times New Roman" w:eastAsia="Times New Roman"/>
          <w:spacing w:val="-3"/>
          <w:sz w:val="24"/>
        </w:rPr>
        <w:t> </w:t>
      </w:r>
      <w:r>
        <w:rPr>
          <w:spacing w:val="-2"/>
          <w:sz w:val="24"/>
        </w:rPr>
        <w:t>頁，第 </w:t>
      </w:r>
      <w:r>
        <w:rPr>
          <w:rFonts w:ascii="Times New Roman" w:eastAsia="Times New Roman"/>
          <w:sz w:val="24"/>
        </w:rPr>
        <w:t>2</w:t>
      </w:r>
      <w:r>
        <w:rPr>
          <w:rFonts w:ascii="Times New Roman" w:eastAsia="Times New Roman"/>
          <w:spacing w:val="-3"/>
          <w:sz w:val="24"/>
        </w:rPr>
        <w:t> </w:t>
      </w:r>
      <w:r>
        <w:rPr>
          <w:spacing w:val="-12"/>
          <w:sz w:val="24"/>
        </w:rPr>
        <w:t>段，「包括機關內部生效之表『亦』行為」應修改為表「意」</w:t>
      </w:r>
      <w:r>
        <w:rPr>
          <w:sz w:val="24"/>
        </w:rPr>
        <w:t>行為。</w:t>
      </w:r>
    </w:p>
    <w:p>
      <w:pPr>
        <w:pStyle w:val="ListParagraph"/>
        <w:numPr>
          <w:ilvl w:val="0"/>
          <w:numId w:val="32"/>
        </w:numPr>
        <w:tabs>
          <w:tab w:pos="1379" w:val="left" w:leader="none"/>
          <w:tab w:pos="1380" w:val="left" w:leader="none"/>
        </w:tabs>
        <w:spacing w:line="240" w:lineRule="auto" w:before="2" w:after="0"/>
        <w:ind w:left="1380" w:right="0" w:hanging="480"/>
        <w:jc w:val="left"/>
        <w:rPr>
          <w:sz w:val="24"/>
        </w:rPr>
      </w:pPr>
      <w:r>
        <w:rPr>
          <w:sz w:val="24"/>
        </w:rPr>
        <w:t>附錄專家學者座談部分錯字請修改。</w:t>
      </w:r>
    </w:p>
    <w:p>
      <w:pPr>
        <w:pStyle w:val="ListParagraph"/>
        <w:numPr>
          <w:ilvl w:val="0"/>
          <w:numId w:val="32"/>
        </w:numPr>
        <w:tabs>
          <w:tab w:pos="1379" w:val="left" w:leader="none"/>
          <w:tab w:pos="1380" w:val="left" w:leader="none"/>
        </w:tabs>
        <w:spacing w:line="240" w:lineRule="auto" w:before="79" w:after="0"/>
        <w:ind w:left="1380" w:right="0" w:hanging="480"/>
        <w:jc w:val="left"/>
        <w:rPr>
          <w:sz w:val="24"/>
        </w:rPr>
      </w:pPr>
      <w:r>
        <w:rPr>
          <w:spacing w:val="-2"/>
          <w:sz w:val="24"/>
        </w:rPr>
        <w:t>第 </w:t>
      </w:r>
      <w:r>
        <w:rPr>
          <w:rFonts w:ascii="Times New Roman" w:eastAsia="Times New Roman"/>
          <w:sz w:val="24"/>
        </w:rPr>
        <w:t>72 </w:t>
      </w:r>
      <w:r>
        <w:rPr>
          <w:spacing w:val="-1"/>
          <w:sz w:val="24"/>
        </w:rPr>
        <w:t>頁，研究團隊之回應第 </w:t>
      </w:r>
      <w:r>
        <w:rPr>
          <w:rFonts w:ascii="Times New Roman" w:eastAsia="Times New Roman"/>
          <w:sz w:val="24"/>
        </w:rPr>
        <w:t>2 </w:t>
      </w:r>
      <w:r>
        <w:rPr>
          <w:spacing w:val="-12"/>
          <w:sz w:val="24"/>
        </w:rPr>
        <w:t>點，「故似應認為」似有漏字。</w:t>
      </w:r>
    </w:p>
    <w:p>
      <w:pPr>
        <w:pStyle w:val="BodyText"/>
        <w:spacing w:before="2"/>
        <w:rPr>
          <w:sz w:val="35"/>
        </w:rPr>
      </w:pPr>
    </w:p>
    <w:p>
      <w:pPr>
        <w:pStyle w:val="Heading3"/>
        <w:spacing w:before="1"/>
      </w:pPr>
      <w:r>
        <w:rPr>
          <w:w w:val="95"/>
        </w:rPr>
        <w:t>研究團隊之回應：</w:t>
      </w:r>
    </w:p>
    <w:p>
      <w:pPr>
        <w:pStyle w:val="BodyText"/>
        <w:spacing w:before="78"/>
        <w:ind w:left="1380"/>
      </w:pPr>
      <w:r>
        <w:rPr/>
        <w:t>以上建議，本文均配合做修正。</w:t>
      </w:r>
    </w:p>
    <w:p>
      <w:pPr>
        <w:pStyle w:val="BodyText"/>
        <w:spacing w:before="3"/>
        <w:rPr>
          <w:sz w:val="35"/>
        </w:rPr>
      </w:pPr>
    </w:p>
    <w:p>
      <w:pPr>
        <w:pStyle w:val="Heading3"/>
      </w:pPr>
      <w:r>
        <w:rPr>
          <w:w w:val="95"/>
        </w:rPr>
        <w:t>廖慧全主任秘書：</w:t>
      </w:r>
    </w:p>
    <w:p>
      <w:pPr>
        <w:spacing w:after="0"/>
        <w:sectPr>
          <w:pgSz w:w="11910" w:h="16840"/>
          <w:pgMar w:header="0" w:footer="938" w:top="1420" w:bottom="1200" w:left="900" w:right="880"/>
        </w:sectPr>
      </w:pPr>
    </w:p>
    <w:p>
      <w:pPr>
        <w:pStyle w:val="ListParagraph"/>
        <w:numPr>
          <w:ilvl w:val="0"/>
          <w:numId w:val="33"/>
        </w:numPr>
        <w:tabs>
          <w:tab w:pos="1380" w:val="left" w:leader="none"/>
        </w:tabs>
        <w:spacing w:line="295" w:lineRule="auto" w:before="58" w:after="0"/>
        <w:ind w:left="1380" w:right="912" w:hanging="480"/>
        <w:jc w:val="both"/>
        <w:rPr>
          <w:sz w:val="24"/>
        </w:rPr>
      </w:pPr>
      <w:r>
        <w:rPr>
          <w:spacing w:val="2"/>
          <w:sz w:val="24"/>
        </w:rPr>
        <w:t>個人贊成，將保障法上行政處分之定義回歸行政程序法第 </w:t>
      </w:r>
      <w:r>
        <w:rPr>
          <w:rFonts w:ascii="Times New Roman" w:eastAsia="Times New Roman"/>
          <w:sz w:val="24"/>
        </w:rPr>
        <w:t>92</w:t>
      </w:r>
      <w:r>
        <w:rPr>
          <w:rFonts w:ascii="Times New Roman" w:eastAsia="Times New Roman"/>
          <w:spacing w:val="59"/>
          <w:sz w:val="24"/>
        </w:rPr>
        <w:t> </w:t>
      </w:r>
      <w:r>
        <w:rPr>
          <w:sz w:val="24"/>
        </w:rPr>
        <w:t>條判斷之想法，因為留在再申訴事件裡面的，它不見得就不具有行政處分的性質。</w:t>
      </w:r>
    </w:p>
    <w:p>
      <w:pPr>
        <w:pStyle w:val="ListParagraph"/>
        <w:numPr>
          <w:ilvl w:val="0"/>
          <w:numId w:val="33"/>
        </w:numPr>
        <w:tabs>
          <w:tab w:pos="1380" w:val="left" w:leader="none"/>
        </w:tabs>
        <w:spacing w:line="295" w:lineRule="auto" w:before="2" w:after="0"/>
        <w:ind w:left="1380" w:right="910" w:hanging="480"/>
        <w:jc w:val="both"/>
        <w:rPr>
          <w:sz w:val="24"/>
        </w:rPr>
      </w:pPr>
      <w:r>
        <w:rPr>
          <w:spacing w:val="-3"/>
          <w:sz w:val="24"/>
        </w:rPr>
        <w:t>針對再審議制度將再申訴事件列入的部分，我個人持反對意見。就一個行政</w:t>
      </w:r>
      <w:r>
        <w:rPr>
          <w:sz w:val="24"/>
        </w:rPr>
        <w:t>的救濟制度比較發達的國家，如果屬於三級三審制，訴願幾乎是可有可無</w:t>
      </w:r>
      <w:r>
        <w:rPr>
          <w:spacing w:val="-3"/>
          <w:sz w:val="24"/>
        </w:rPr>
        <w:t>的，例如德國，過去我們考察時，發現德國的訴訟程序是非常簡略的。我們國家既然意外的把訴願制度保護下來，是否還有必要將再審議制度放入訴願</w:t>
      </w:r>
      <w:r>
        <w:rPr>
          <w:sz w:val="24"/>
        </w:rPr>
        <w:t>程序中，造成程序的繁複，這點是值得考慮的。</w:t>
      </w:r>
    </w:p>
    <w:p>
      <w:pPr>
        <w:pStyle w:val="ListParagraph"/>
        <w:numPr>
          <w:ilvl w:val="0"/>
          <w:numId w:val="33"/>
        </w:numPr>
        <w:tabs>
          <w:tab w:pos="1380" w:val="left" w:leader="none"/>
        </w:tabs>
        <w:spacing w:line="295" w:lineRule="auto" w:before="6" w:after="0"/>
        <w:ind w:left="1380" w:right="855" w:hanging="480"/>
        <w:jc w:val="both"/>
        <w:rPr>
          <w:sz w:val="24"/>
        </w:rPr>
      </w:pPr>
      <w:r>
        <w:rPr>
          <w:spacing w:val="-3"/>
          <w:sz w:val="24"/>
        </w:rPr>
        <w:t>剛剛那個林老師提到，行政程序法 </w:t>
      </w:r>
      <w:r>
        <w:rPr>
          <w:rFonts w:ascii="Times New Roman" w:eastAsia="Times New Roman"/>
          <w:spacing w:val="-2"/>
          <w:sz w:val="24"/>
        </w:rPr>
        <w:t>128</w:t>
      </w:r>
      <w:r>
        <w:rPr>
          <w:rFonts w:ascii="Times New Roman" w:eastAsia="Times New Roman"/>
          <w:spacing w:val="-10"/>
          <w:sz w:val="24"/>
        </w:rPr>
        <w:t> </w:t>
      </w:r>
      <w:r>
        <w:rPr>
          <w:spacing w:val="-2"/>
          <w:sz w:val="24"/>
        </w:rPr>
        <w:t>條行政再開不適用於再申訴決定的這一塊，可能有兩個理由：第一個，可能認為說再申訴的標的，因為它不屬於行政處分，所以應該就不能用程序再開，因為它就是被冠與行政處分；第二個，也有可能認為復審程序、或者是再申訴程序，它是一個行政救濟程序，</w:t>
      </w:r>
      <w:r>
        <w:rPr>
          <w:spacing w:val="-60"/>
          <w:sz w:val="24"/>
        </w:rPr>
        <w:t> </w:t>
      </w:r>
      <w:r>
        <w:rPr>
          <w:spacing w:val="-2"/>
          <w:sz w:val="24"/>
        </w:rPr>
        <w:t>而不是屬於行政程序，所以應該沒有行政程序法的適用。不過我認為，這個部分可以用這樣來理解，第一，因為研究團隊針對再申訴的標的之分類，並不排除屬於再申訴標的裡面，會有行政處分的性質的事件存在；第二，有學者認為訴願程序是屬於行政機關內部自我反省的程序，所以它也是廣義的一種行政程序。所以既然由此可以推論出，訴願決定事實上是一種行政處分，</w:t>
      </w:r>
      <w:r>
        <w:rPr>
          <w:spacing w:val="-60"/>
          <w:sz w:val="24"/>
        </w:rPr>
        <w:t> </w:t>
      </w:r>
      <w:r>
        <w:rPr>
          <w:spacing w:val="-2"/>
          <w:sz w:val="24"/>
        </w:rPr>
        <w:t>再申訴決定似乎也是廣義的行政處分，基於這樣的理由，我認為回歸到適用</w:t>
      </w:r>
      <w:r>
        <w:rPr>
          <w:spacing w:val="-1"/>
          <w:sz w:val="24"/>
        </w:rPr>
        <w:t>行政程序法第 </w:t>
      </w:r>
      <w:r>
        <w:rPr>
          <w:rFonts w:ascii="Times New Roman" w:eastAsia="Times New Roman"/>
          <w:sz w:val="24"/>
        </w:rPr>
        <w:t>128 </w:t>
      </w:r>
      <w:r>
        <w:rPr>
          <w:spacing w:val="-1"/>
          <w:sz w:val="24"/>
        </w:rPr>
        <w:t>條、第 </w:t>
      </w:r>
      <w:r>
        <w:rPr>
          <w:rFonts w:ascii="Times New Roman" w:eastAsia="Times New Roman"/>
          <w:sz w:val="24"/>
        </w:rPr>
        <w:t>129 </w:t>
      </w:r>
      <w:r>
        <w:rPr>
          <w:sz w:val="24"/>
        </w:rPr>
        <w:t>條規定的程序再開，似乎亦無不可。</w:t>
      </w:r>
    </w:p>
    <w:p>
      <w:pPr>
        <w:pStyle w:val="BodyText"/>
        <w:spacing w:before="8"/>
        <w:rPr>
          <w:sz w:val="30"/>
        </w:rPr>
      </w:pPr>
    </w:p>
    <w:p>
      <w:pPr>
        <w:pStyle w:val="Heading3"/>
      </w:pPr>
      <w:r>
        <w:rPr>
          <w:w w:val="95"/>
        </w:rPr>
        <w:t>研究團隊之回應：</w:t>
      </w:r>
    </w:p>
    <w:p>
      <w:pPr>
        <w:pStyle w:val="ListParagraph"/>
        <w:numPr>
          <w:ilvl w:val="0"/>
          <w:numId w:val="34"/>
        </w:numPr>
        <w:tabs>
          <w:tab w:pos="1380" w:val="left" w:leader="none"/>
        </w:tabs>
        <w:spacing w:line="295" w:lineRule="auto" w:before="78" w:after="0"/>
        <w:ind w:left="1380" w:right="917" w:hanging="480"/>
        <w:jc w:val="both"/>
        <w:rPr>
          <w:sz w:val="24"/>
        </w:rPr>
      </w:pPr>
      <w:r>
        <w:rPr>
          <w:spacing w:val="-3"/>
          <w:sz w:val="24"/>
        </w:rPr>
        <w:t>因為再申訴事件於再申訴決定做成後，無從再行提起行政訴訟，因此，唯有</w:t>
      </w:r>
      <w:r>
        <w:rPr>
          <w:sz w:val="24"/>
        </w:rPr>
        <w:t>透過再審議制度方能糾正有瑕疵之再申訴決定。</w:t>
      </w:r>
    </w:p>
    <w:p>
      <w:pPr>
        <w:pStyle w:val="ListParagraph"/>
        <w:numPr>
          <w:ilvl w:val="0"/>
          <w:numId w:val="34"/>
        </w:numPr>
        <w:tabs>
          <w:tab w:pos="1380" w:val="left" w:leader="none"/>
        </w:tabs>
        <w:spacing w:line="295" w:lineRule="auto" w:before="3" w:after="0"/>
        <w:ind w:left="1380" w:right="917" w:hanging="480"/>
        <w:jc w:val="both"/>
        <w:rPr>
          <w:sz w:val="24"/>
        </w:rPr>
      </w:pPr>
      <w:r>
        <w:rPr>
          <w:spacing w:val="-3"/>
          <w:sz w:val="24"/>
        </w:rPr>
        <w:t>儘管認定再申訴決定可能具有廣義的行政處分性質，惟其亦屬人事行政行為之一種，能否突破行政程序法第 </w:t>
      </w:r>
      <w:r>
        <w:rPr>
          <w:rFonts w:ascii="Times New Roman" w:eastAsia="Times New Roman"/>
          <w:spacing w:val="-1"/>
          <w:sz w:val="24"/>
        </w:rPr>
        <w:t>3</w:t>
      </w:r>
      <w:r>
        <w:rPr>
          <w:rFonts w:ascii="Times New Roman" w:eastAsia="Times New Roman"/>
          <w:spacing w:val="-12"/>
          <w:sz w:val="24"/>
        </w:rPr>
        <w:t> </w:t>
      </w:r>
      <w:r>
        <w:rPr>
          <w:spacing w:val="-6"/>
          <w:sz w:val="24"/>
        </w:rPr>
        <w:t>條第 </w:t>
      </w:r>
      <w:r>
        <w:rPr>
          <w:rFonts w:ascii="Times New Roman" w:eastAsia="Times New Roman"/>
          <w:spacing w:val="-1"/>
          <w:sz w:val="24"/>
        </w:rPr>
        <w:t>3</w:t>
      </w:r>
      <w:r>
        <w:rPr>
          <w:rFonts w:ascii="Times New Roman" w:eastAsia="Times New Roman"/>
          <w:spacing w:val="-12"/>
          <w:sz w:val="24"/>
        </w:rPr>
        <w:t> </w:t>
      </w:r>
      <w:r>
        <w:rPr>
          <w:spacing w:val="-6"/>
          <w:sz w:val="24"/>
        </w:rPr>
        <w:t>項第 </w:t>
      </w:r>
      <w:r>
        <w:rPr>
          <w:rFonts w:ascii="Times New Roman" w:eastAsia="Times New Roman"/>
          <w:spacing w:val="-1"/>
          <w:sz w:val="24"/>
        </w:rPr>
        <w:t>7</w:t>
      </w:r>
      <w:r>
        <w:rPr>
          <w:rFonts w:ascii="Times New Roman" w:eastAsia="Times New Roman"/>
          <w:spacing w:val="-12"/>
          <w:sz w:val="24"/>
        </w:rPr>
        <w:t> </w:t>
      </w:r>
      <w:r>
        <w:rPr>
          <w:spacing w:val="-1"/>
          <w:sz w:val="24"/>
        </w:rPr>
        <w:t>款規定人事行政行為不適用</w:t>
      </w:r>
      <w:r>
        <w:rPr>
          <w:sz w:val="24"/>
        </w:rPr>
        <w:t>行政程序法之規定，不無疑問。</w:t>
      </w:r>
    </w:p>
    <w:p>
      <w:pPr>
        <w:pStyle w:val="BodyText"/>
        <w:spacing w:before="11"/>
        <w:rPr>
          <w:sz w:val="29"/>
        </w:rPr>
      </w:pPr>
    </w:p>
    <w:p>
      <w:pPr>
        <w:pStyle w:val="Heading3"/>
        <w:spacing w:before="1"/>
      </w:pPr>
      <w:r>
        <w:rPr>
          <w:w w:val="95"/>
        </w:rPr>
        <w:t>李俊生處長：</w:t>
      </w:r>
    </w:p>
    <w:p>
      <w:pPr>
        <w:pStyle w:val="ListParagraph"/>
        <w:numPr>
          <w:ilvl w:val="0"/>
          <w:numId w:val="35"/>
        </w:numPr>
        <w:tabs>
          <w:tab w:pos="1379" w:val="left" w:leader="none"/>
          <w:tab w:pos="1380" w:val="left" w:leader="none"/>
        </w:tabs>
        <w:spacing w:line="240" w:lineRule="auto" w:before="78" w:after="0"/>
        <w:ind w:left="1380" w:right="0" w:hanging="480"/>
        <w:jc w:val="left"/>
        <w:rPr>
          <w:sz w:val="24"/>
        </w:rPr>
      </w:pPr>
      <w:r>
        <w:rPr>
          <w:spacing w:val="-2"/>
          <w:sz w:val="24"/>
        </w:rPr>
        <w:t>第 </w:t>
      </w:r>
      <w:r>
        <w:rPr>
          <w:rFonts w:ascii="Times New Roman" w:eastAsia="Times New Roman"/>
          <w:sz w:val="24"/>
        </w:rPr>
        <w:t>4 </w:t>
      </w:r>
      <w:r>
        <w:rPr>
          <w:spacing w:val="-1"/>
          <w:sz w:val="24"/>
        </w:rPr>
        <w:t>章的標題與第 </w:t>
      </w:r>
      <w:r>
        <w:rPr>
          <w:rFonts w:ascii="Times New Roman" w:eastAsia="Times New Roman"/>
          <w:sz w:val="24"/>
        </w:rPr>
        <w:t>2 </w:t>
      </w:r>
      <w:r>
        <w:rPr>
          <w:sz w:val="24"/>
        </w:rPr>
        <w:t>頁標題目次用語上建議統一。</w:t>
      </w:r>
    </w:p>
    <w:p>
      <w:pPr>
        <w:pStyle w:val="ListParagraph"/>
        <w:numPr>
          <w:ilvl w:val="0"/>
          <w:numId w:val="35"/>
        </w:numPr>
        <w:tabs>
          <w:tab w:pos="1379" w:val="left" w:leader="none"/>
          <w:tab w:pos="1380" w:val="left" w:leader="none"/>
        </w:tabs>
        <w:spacing w:line="295" w:lineRule="auto" w:before="78" w:after="0"/>
        <w:ind w:left="1380" w:right="917" w:hanging="480"/>
        <w:jc w:val="left"/>
        <w:rPr>
          <w:sz w:val="24"/>
        </w:rPr>
      </w:pPr>
      <w:r>
        <w:rPr>
          <w:spacing w:val="1"/>
          <w:sz w:val="24"/>
        </w:rPr>
        <w:t>第 </w:t>
      </w:r>
      <w:r>
        <w:rPr>
          <w:rFonts w:ascii="Times New Roman" w:eastAsia="Times New Roman"/>
          <w:sz w:val="24"/>
        </w:rPr>
        <w:t>31</w:t>
      </w:r>
      <w:r>
        <w:rPr>
          <w:rFonts w:ascii="Times New Roman" w:eastAsia="Times New Roman"/>
          <w:spacing w:val="6"/>
          <w:sz w:val="24"/>
        </w:rPr>
        <w:t> </w:t>
      </w:r>
      <w:r>
        <w:rPr>
          <w:sz w:val="24"/>
        </w:rPr>
        <w:t>頁，其中經調處程序者，這邊的統計數字其實是經調處成立者，故建議團隊修改。</w:t>
      </w:r>
    </w:p>
    <w:p>
      <w:pPr>
        <w:pStyle w:val="ListParagraph"/>
        <w:numPr>
          <w:ilvl w:val="0"/>
          <w:numId w:val="35"/>
        </w:numPr>
        <w:tabs>
          <w:tab w:pos="1379" w:val="left" w:leader="none"/>
          <w:tab w:pos="1380" w:val="left" w:leader="none"/>
        </w:tabs>
        <w:spacing w:line="240" w:lineRule="auto" w:before="3" w:after="0"/>
        <w:ind w:left="1380" w:right="0" w:hanging="480"/>
        <w:jc w:val="left"/>
        <w:rPr>
          <w:sz w:val="24"/>
        </w:rPr>
      </w:pPr>
      <w:r>
        <w:rPr>
          <w:spacing w:val="-2"/>
          <w:sz w:val="24"/>
        </w:rPr>
        <w:t>第 </w:t>
      </w:r>
      <w:r>
        <w:rPr>
          <w:rFonts w:ascii="Times New Roman" w:eastAsia="Times New Roman"/>
          <w:sz w:val="24"/>
        </w:rPr>
        <w:t>33 </w:t>
      </w:r>
      <w:r>
        <w:rPr>
          <w:sz w:val="24"/>
        </w:rPr>
        <w:t>頁的（二）</w:t>
      </w:r>
      <w:r>
        <w:rPr>
          <w:rFonts w:ascii="Times New Roman" w:eastAsia="Times New Roman"/>
          <w:sz w:val="24"/>
        </w:rPr>
        <w:t>1.</w:t>
      </w:r>
      <w:r>
        <w:rPr>
          <w:spacing w:val="-1"/>
          <w:sz w:val="24"/>
        </w:rPr>
        <w:t>的第 </w:t>
      </w:r>
      <w:r>
        <w:rPr>
          <w:rFonts w:ascii="Times New Roman" w:eastAsia="Times New Roman"/>
          <w:sz w:val="24"/>
        </w:rPr>
        <w:t>2 </w:t>
      </w:r>
      <w:r>
        <w:rPr>
          <w:spacing w:val="-1"/>
          <w:sz w:val="24"/>
        </w:rPr>
        <w:t>行，有句子與第 </w:t>
      </w:r>
      <w:r>
        <w:rPr>
          <w:rFonts w:ascii="Times New Roman" w:eastAsia="Times New Roman"/>
          <w:sz w:val="24"/>
        </w:rPr>
        <w:t>1 </w:t>
      </w:r>
      <w:r>
        <w:rPr>
          <w:sz w:val="24"/>
        </w:rPr>
        <w:t>行重複，請團隊調整。</w:t>
      </w:r>
    </w:p>
    <w:p>
      <w:pPr>
        <w:pStyle w:val="ListParagraph"/>
        <w:numPr>
          <w:ilvl w:val="0"/>
          <w:numId w:val="35"/>
        </w:numPr>
        <w:tabs>
          <w:tab w:pos="1379" w:val="left" w:leader="none"/>
          <w:tab w:pos="1380" w:val="left" w:leader="none"/>
        </w:tabs>
        <w:spacing w:line="295" w:lineRule="auto" w:before="78" w:after="0"/>
        <w:ind w:left="1380" w:right="917" w:hanging="480"/>
        <w:jc w:val="left"/>
        <w:rPr>
          <w:sz w:val="24"/>
        </w:rPr>
      </w:pPr>
      <w:r>
        <w:rPr>
          <w:spacing w:val="-3"/>
          <w:sz w:val="24"/>
        </w:rPr>
        <w:t>申訴、再申訴制度的設計，最早是苦情的申訴，是針對對當事人權益影響比較不那麼重大的一些狀況，如果也許可當事人適用再審議的話，可能會有一</w:t>
      </w:r>
    </w:p>
    <w:p>
      <w:pPr>
        <w:spacing w:after="0" w:line="295" w:lineRule="auto"/>
        <w:jc w:val="left"/>
        <w:rPr>
          <w:sz w:val="24"/>
        </w:rPr>
        <w:sectPr>
          <w:pgSz w:w="11910" w:h="16840"/>
          <w:pgMar w:header="0" w:footer="938" w:top="1420" w:bottom="1200" w:left="900" w:right="880"/>
        </w:sectPr>
      </w:pPr>
    </w:p>
    <w:p>
      <w:pPr>
        <w:pStyle w:val="BodyText"/>
        <w:spacing w:line="295" w:lineRule="auto" w:before="38"/>
        <w:ind w:left="1380" w:right="917"/>
        <w:jc w:val="both"/>
      </w:pPr>
      <w:r>
        <w:rPr>
          <w:spacing w:val="-3"/>
        </w:rPr>
        <w:t>些不勝其擾的狀況，比較令人擔心。故建議團隊，在再申訴事件適用再審議程序的議題上，縱使採取肯定的看法，是否能作範圍或事件的界定，以解決</w:t>
      </w:r>
      <w:r>
        <w:rPr/>
        <w:t>前面提到的疑慮。</w:t>
      </w:r>
    </w:p>
    <w:p>
      <w:pPr>
        <w:pStyle w:val="ListParagraph"/>
        <w:numPr>
          <w:ilvl w:val="0"/>
          <w:numId w:val="35"/>
        </w:numPr>
        <w:tabs>
          <w:tab w:pos="1380" w:val="left" w:leader="none"/>
        </w:tabs>
        <w:spacing w:line="295" w:lineRule="auto" w:before="4" w:after="0"/>
        <w:ind w:left="1380" w:right="910" w:hanging="480"/>
        <w:jc w:val="both"/>
        <w:rPr>
          <w:sz w:val="24"/>
        </w:rPr>
      </w:pPr>
      <w:r>
        <w:rPr>
          <w:sz w:val="24"/>
        </w:rPr>
        <w:t>有關假處分制度的，因為目前訴願法那邊、或者是其他行政救濟的體制裡</w:t>
      </w:r>
      <w:r>
        <w:rPr>
          <w:spacing w:val="-3"/>
          <w:sz w:val="24"/>
        </w:rPr>
        <w:t>面，好像很少有看到假處分的制度，那不曉得有沒有實務的一些、實際的操作狀況，在行政救濟這個部分，有沒有實際操作的狀況可以做一些參考的例</w:t>
      </w:r>
      <w:r>
        <w:rPr>
          <w:sz w:val="24"/>
        </w:rPr>
        <w:t>子，可以來提供我們做一些參考。</w:t>
      </w:r>
    </w:p>
    <w:p>
      <w:pPr>
        <w:pStyle w:val="ListParagraph"/>
        <w:numPr>
          <w:ilvl w:val="0"/>
          <w:numId w:val="35"/>
        </w:numPr>
        <w:tabs>
          <w:tab w:pos="1380" w:val="left" w:leader="none"/>
        </w:tabs>
        <w:spacing w:line="295" w:lineRule="auto" w:before="4" w:after="0"/>
        <w:ind w:left="1380" w:right="910" w:hanging="480"/>
        <w:jc w:val="both"/>
        <w:rPr>
          <w:sz w:val="24"/>
        </w:rPr>
      </w:pPr>
      <w:r>
        <w:rPr>
          <w:spacing w:val="-3"/>
          <w:sz w:val="24"/>
        </w:rPr>
        <w:t>有關再審議的制度，就是在保障法修正的時候，有關復審的程序，可能大部分都是去參採訴願法的規範，那再審議這個部分是幾乎都沒有採訴願法再審程序的規範，反而是採用行政訴訟法的程序的規定，當時的考量點主要是在於，認為保訓會跟訴願機關不一樣，訴願機關它基本上是審理下級機關的處分，它本來是站在行政監督的一個立場，有權去做一些調整變更；那保訓會唯一的下級機關就只有文官學院，相對於其他機關來講，保訓會並沒有所謂</w:t>
      </w:r>
      <w:r>
        <w:rPr>
          <w:sz w:val="24"/>
        </w:rPr>
        <w:t>的下級機關這樣的一個問題，甚至我們還要去審上級機關的案件，包括五</w:t>
      </w:r>
      <w:r>
        <w:rPr>
          <w:spacing w:val="-3"/>
          <w:sz w:val="24"/>
        </w:rPr>
        <w:t>院、包括總統府，所以當時的設計是有它的一個背景，等於是不採訴願的程</w:t>
      </w:r>
      <w:r>
        <w:rPr>
          <w:sz w:val="24"/>
        </w:rPr>
        <w:t>序，有關這部分設置再審議的一個背景，提供給研究團隊作一些參考。</w:t>
      </w:r>
    </w:p>
    <w:p>
      <w:pPr>
        <w:pStyle w:val="BodyText"/>
        <w:spacing w:before="5"/>
        <w:rPr>
          <w:sz w:val="30"/>
        </w:rPr>
      </w:pPr>
    </w:p>
    <w:p>
      <w:pPr>
        <w:pStyle w:val="Heading3"/>
      </w:pPr>
      <w:r>
        <w:rPr>
          <w:w w:val="95"/>
        </w:rPr>
        <w:t>研究團隊之回應：</w:t>
      </w:r>
    </w:p>
    <w:p>
      <w:pPr>
        <w:pStyle w:val="ListParagraph"/>
        <w:numPr>
          <w:ilvl w:val="0"/>
          <w:numId w:val="36"/>
        </w:numPr>
        <w:tabs>
          <w:tab w:pos="1380" w:val="left" w:leader="none"/>
        </w:tabs>
        <w:spacing w:line="240" w:lineRule="auto" w:before="79" w:after="0"/>
        <w:ind w:left="1380" w:right="0" w:hanging="480"/>
        <w:jc w:val="both"/>
        <w:rPr>
          <w:sz w:val="24"/>
        </w:rPr>
      </w:pPr>
      <w:r>
        <w:rPr>
          <w:sz w:val="24"/>
        </w:rPr>
        <w:t>針對文字上之建議，本文將配合做修正。</w:t>
      </w:r>
    </w:p>
    <w:p>
      <w:pPr>
        <w:pStyle w:val="ListParagraph"/>
        <w:numPr>
          <w:ilvl w:val="0"/>
          <w:numId w:val="36"/>
        </w:numPr>
        <w:tabs>
          <w:tab w:pos="1380" w:val="left" w:leader="none"/>
        </w:tabs>
        <w:spacing w:line="295" w:lineRule="auto" w:before="78" w:after="0"/>
        <w:ind w:left="1380" w:right="857" w:hanging="480"/>
        <w:jc w:val="both"/>
        <w:rPr>
          <w:sz w:val="24"/>
        </w:rPr>
      </w:pPr>
      <w:r>
        <w:rPr>
          <w:sz w:val="24"/>
        </w:rPr>
        <w:t>針對是否就再申訴事件適用再審議程序的範圍作界定，基於依法行政之追</w:t>
      </w:r>
      <w:r>
        <w:rPr>
          <w:spacing w:val="-2"/>
          <w:sz w:val="24"/>
        </w:rPr>
        <w:t>求，建議先開放所有有瑕疵之再申訴事件均得透過再審議制度修正其瑕疵。</w:t>
      </w:r>
    </w:p>
    <w:p>
      <w:pPr>
        <w:pStyle w:val="ListParagraph"/>
        <w:numPr>
          <w:ilvl w:val="0"/>
          <w:numId w:val="36"/>
        </w:numPr>
        <w:tabs>
          <w:tab w:pos="1380" w:val="left" w:leader="none"/>
        </w:tabs>
        <w:spacing w:line="295" w:lineRule="auto" w:before="3" w:after="0"/>
        <w:ind w:left="1379" w:right="910" w:hanging="480"/>
        <w:jc w:val="both"/>
        <w:rPr>
          <w:sz w:val="24"/>
        </w:rPr>
      </w:pPr>
      <w:r>
        <w:rPr>
          <w:sz w:val="24"/>
        </w:rPr>
        <w:t>訴願法與其他行政救濟體制中所以沒有假處分制度，其主要因素係該等案</w:t>
      </w:r>
      <w:r>
        <w:rPr>
          <w:spacing w:val="-3"/>
          <w:sz w:val="24"/>
        </w:rPr>
        <w:t>件，皆得進入行政法院，其暫時權利保護甚至於進入行政法院之前即可獲得即時之保障，故實務上參考之例子較少。然而正因目前再申訴制度基於特別權力關係，仍無法透過行政法院救濟，故更成為保訓會須增設假處分制度之</w:t>
      </w:r>
      <w:r>
        <w:rPr>
          <w:sz w:val="24"/>
        </w:rPr>
        <w:t>正當化事由。</w:t>
      </w:r>
    </w:p>
    <w:p>
      <w:pPr>
        <w:pStyle w:val="BodyText"/>
        <w:rPr>
          <w:sz w:val="30"/>
        </w:rPr>
      </w:pPr>
    </w:p>
    <w:p>
      <w:pPr>
        <w:pStyle w:val="Heading3"/>
        <w:ind w:left="899"/>
      </w:pPr>
      <w:r>
        <w:rPr>
          <w:w w:val="95"/>
        </w:rPr>
        <w:t>陳媛英處長：</w:t>
      </w:r>
    </w:p>
    <w:p>
      <w:pPr>
        <w:pStyle w:val="ListParagraph"/>
        <w:numPr>
          <w:ilvl w:val="0"/>
          <w:numId w:val="37"/>
        </w:numPr>
        <w:tabs>
          <w:tab w:pos="1380" w:val="left" w:leader="none"/>
        </w:tabs>
        <w:spacing w:line="295" w:lineRule="auto" w:before="78" w:after="0"/>
        <w:ind w:left="1379" w:right="917" w:hanging="480"/>
        <w:jc w:val="both"/>
        <w:rPr>
          <w:sz w:val="24"/>
        </w:rPr>
      </w:pPr>
      <w:r>
        <w:rPr>
          <w:spacing w:val="-3"/>
          <w:sz w:val="24"/>
        </w:rPr>
        <w:t>有關我期中提出關於再審議這邊的議題可以參考訴願法之修正會議，據我了解，訴願法到目前為止，也是有停頓的跡象，所以有關這一部分，在實務上</w:t>
      </w:r>
      <w:r>
        <w:rPr>
          <w:sz w:val="24"/>
        </w:rPr>
        <w:t>其究竟有沒有必要性，還可以再研究一下，當然我們尊重研究的結果。</w:t>
      </w:r>
    </w:p>
    <w:p>
      <w:pPr>
        <w:pStyle w:val="ListParagraph"/>
        <w:numPr>
          <w:ilvl w:val="0"/>
          <w:numId w:val="37"/>
        </w:numPr>
        <w:tabs>
          <w:tab w:pos="1380" w:val="left" w:leader="none"/>
        </w:tabs>
        <w:spacing w:line="240" w:lineRule="auto" w:before="4" w:after="0"/>
        <w:ind w:left="1380" w:right="0" w:hanging="481"/>
        <w:jc w:val="both"/>
        <w:rPr>
          <w:sz w:val="24"/>
        </w:rPr>
      </w:pPr>
      <w:r>
        <w:rPr>
          <w:sz w:val="24"/>
        </w:rPr>
        <w:t>有關調處的部分，個人贊成研究團隊之結論。</w:t>
      </w:r>
    </w:p>
    <w:p>
      <w:pPr>
        <w:pStyle w:val="ListParagraph"/>
        <w:numPr>
          <w:ilvl w:val="0"/>
          <w:numId w:val="37"/>
        </w:numPr>
        <w:tabs>
          <w:tab w:pos="1380" w:val="left" w:leader="none"/>
        </w:tabs>
        <w:spacing w:line="240" w:lineRule="auto" w:before="78" w:after="0"/>
        <w:ind w:left="1380" w:right="0" w:hanging="481"/>
        <w:jc w:val="both"/>
        <w:rPr>
          <w:sz w:val="24"/>
        </w:rPr>
      </w:pPr>
      <w:r>
        <w:rPr>
          <w:sz w:val="24"/>
        </w:rPr>
        <w:t>有關停止執行的部分，研究團隊再報告的第 </w:t>
      </w:r>
      <w:r>
        <w:rPr>
          <w:rFonts w:ascii="Times New Roman" w:eastAsia="Times New Roman"/>
          <w:sz w:val="24"/>
        </w:rPr>
        <w:t>44</w:t>
      </w:r>
      <w:r>
        <w:rPr>
          <w:rFonts w:ascii="Times New Roman" w:eastAsia="Times New Roman"/>
          <w:spacing w:val="4"/>
          <w:sz w:val="24"/>
        </w:rPr>
        <w:t> </w:t>
      </w:r>
      <w:r>
        <w:rPr>
          <w:sz w:val="24"/>
        </w:rPr>
        <w:t>頁的倒數第 </w:t>
      </w:r>
      <w:r>
        <w:rPr>
          <w:rFonts w:ascii="Times New Roman" w:eastAsia="Times New Roman"/>
          <w:sz w:val="24"/>
        </w:rPr>
        <w:t>2</w:t>
      </w:r>
      <w:r>
        <w:rPr>
          <w:rFonts w:ascii="Times New Roman" w:eastAsia="Times New Roman"/>
          <w:spacing w:val="4"/>
          <w:sz w:val="24"/>
        </w:rPr>
        <w:t> </w:t>
      </w:r>
      <w:r>
        <w:rPr>
          <w:sz w:val="24"/>
        </w:rPr>
        <w:t>段第 </w:t>
      </w:r>
      <w:r>
        <w:rPr>
          <w:rFonts w:ascii="Times New Roman" w:eastAsia="Times New Roman"/>
          <w:sz w:val="24"/>
        </w:rPr>
        <w:t>3</w:t>
      </w:r>
      <w:r>
        <w:rPr>
          <w:rFonts w:ascii="Times New Roman" w:eastAsia="Times New Roman"/>
          <w:spacing w:val="3"/>
          <w:sz w:val="24"/>
        </w:rPr>
        <w:t> </w:t>
      </w:r>
      <w:r>
        <w:rPr>
          <w:sz w:val="24"/>
        </w:rPr>
        <w:t>行也有</w:t>
      </w:r>
    </w:p>
    <w:p>
      <w:pPr>
        <w:spacing w:after="0" w:line="240" w:lineRule="auto"/>
        <w:jc w:val="both"/>
        <w:rPr>
          <w:sz w:val="24"/>
        </w:rPr>
        <w:sectPr>
          <w:pgSz w:w="11910" w:h="16840"/>
          <w:pgMar w:header="0" w:footer="938" w:top="1440" w:bottom="1200" w:left="900" w:right="880"/>
        </w:sectPr>
      </w:pPr>
    </w:p>
    <w:p>
      <w:pPr>
        <w:pStyle w:val="BodyText"/>
        <w:spacing w:line="295" w:lineRule="auto" w:before="38"/>
        <w:ind w:left="1380" w:right="917"/>
        <w:jc w:val="both"/>
      </w:pPr>
      <w:r>
        <w:rPr>
          <w:spacing w:val="-3"/>
        </w:rPr>
        <w:t>提到，訴願法現在其實也還沒有假處分。我個人認為納入假處分這個部分恐怕還是有需要再慎重的考量，因為假處分，它對於我們大部分都是人事行政方面的問題，雖然假處分的適用定位在給付型的事件，但再申訴事件當中給付型的機率是非常少的，恐怕在適用上會被限縮。尤其創設假處分制度，將可能影響整個機關運作，進一步延伸行政效能的問題，因此我個人認為要在</w:t>
      </w:r>
      <w:r>
        <w:rPr/>
        <w:t>考量後再作這樣的一個分析。</w:t>
      </w:r>
    </w:p>
    <w:p>
      <w:pPr>
        <w:pStyle w:val="ListParagraph"/>
        <w:numPr>
          <w:ilvl w:val="0"/>
          <w:numId w:val="37"/>
        </w:numPr>
        <w:tabs>
          <w:tab w:pos="1380" w:val="left" w:leader="none"/>
        </w:tabs>
        <w:spacing w:line="295" w:lineRule="auto" w:before="7" w:after="0"/>
        <w:ind w:left="1380" w:right="913" w:hanging="480"/>
        <w:jc w:val="both"/>
        <w:rPr>
          <w:sz w:val="24"/>
        </w:rPr>
      </w:pPr>
      <w:r>
        <w:rPr>
          <w:spacing w:val="-8"/>
          <w:sz w:val="24"/>
        </w:rPr>
        <w:t>第 </w:t>
      </w:r>
      <w:r>
        <w:rPr>
          <w:rFonts w:ascii="Times New Roman" w:eastAsia="Times New Roman"/>
          <w:spacing w:val="-3"/>
          <w:sz w:val="24"/>
        </w:rPr>
        <w:t>9</w:t>
      </w:r>
      <w:r>
        <w:rPr>
          <w:rFonts w:ascii="Times New Roman" w:eastAsia="Times New Roman"/>
          <w:spacing w:val="-9"/>
          <w:sz w:val="24"/>
        </w:rPr>
        <w:t> </w:t>
      </w:r>
      <w:r>
        <w:rPr>
          <w:spacing w:val="-3"/>
          <w:sz w:val="24"/>
        </w:rPr>
        <w:t>頁部分，對於再申訴的範圍類型以及復審有作一些論述，但其中的內容</w:t>
      </w:r>
      <w:r>
        <w:rPr>
          <w:spacing w:val="-6"/>
          <w:sz w:val="24"/>
        </w:rPr>
        <w:t>恐怕與目前實務有些差距，例如「加班後之相當補償」，目前實務上將其歸</w:t>
      </w:r>
      <w:r>
        <w:rPr>
          <w:spacing w:val="-3"/>
          <w:sz w:val="24"/>
        </w:rPr>
        <w:t>類成公法的金錢，因此針對此部分將會循復審程序救濟，建議研究團隊可以</w:t>
      </w:r>
      <w:r>
        <w:rPr>
          <w:sz w:val="24"/>
        </w:rPr>
        <w:t>再作補充。</w:t>
      </w:r>
    </w:p>
    <w:p>
      <w:pPr>
        <w:pStyle w:val="BodyText"/>
        <w:spacing w:before="13"/>
        <w:rPr>
          <w:sz w:val="29"/>
        </w:rPr>
      </w:pPr>
    </w:p>
    <w:p>
      <w:pPr>
        <w:pStyle w:val="Heading3"/>
      </w:pPr>
      <w:r>
        <w:rPr>
          <w:w w:val="95"/>
        </w:rPr>
        <w:t>研究團隊之回應：</w:t>
      </w:r>
    </w:p>
    <w:p>
      <w:pPr>
        <w:pStyle w:val="ListParagraph"/>
        <w:numPr>
          <w:ilvl w:val="0"/>
          <w:numId w:val="38"/>
        </w:numPr>
        <w:tabs>
          <w:tab w:pos="1380" w:val="left" w:leader="none"/>
        </w:tabs>
        <w:spacing w:line="295" w:lineRule="auto" w:before="79" w:after="0"/>
        <w:ind w:left="1380" w:right="910" w:hanging="480"/>
        <w:jc w:val="both"/>
        <w:rPr>
          <w:sz w:val="24"/>
        </w:rPr>
      </w:pPr>
      <w:r>
        <w:rPr>
          <w:spacing w:val="-3"/>
          <w:sz w:val="24"/>
        </w:rPr>
        <w:t>訴願法與其他行政救濟體制中之所以沒有假處分制度，主要係因該等案件通</w:t>
      </w:r>
      <w:r>
        <w:rPr>
          <w:sz w:val="24"/>
        </w:rPr>
        <w:t>常皆得提起後續之行政訴訟；而行政訴訟法允許人民起訴前即可聲請假處分，故實務上參考之例子較少。然而正因目前再申訴制度基於特別權力關</w:t>
      </w:r>
      <w:r>
        <w:rPr>
          <w:spacing w:val="-3"/>
          <w:sz w:val="24"/>
        </w:rPr>
        <w:t>係，仍無法透過行政法院救濟，故更成為保訓會須增設假處分制度之正當化</w:t>
      </w:r>
      <w:r>
        <w:rPr>
          <w:sz w:val="24"/>
        </w:rPr>
        <w:t>事由。</w:t>
      </w:r>
    </w:p>
    <w:p>
      <w:pPr>
        <w:pStyle w:val="ListParagraph"/>
        <w:numPr>
          <w:ilvl w:val="0"/>
          <w:numId w:val="38"/>
        </w:numPr>
        <w:tabs>
          <w:tab w:pos="1380" w:val="left" w:leader="none"/>
        </w:tabs>
        <w:spacing w:line="240" w:lineRule="auto" w:before="6" w:after="0"/>
        <w:ind w:left="1380" w:right="0" w:hanging="480"/>
        <w:jc w:val="both"/>
        <w:rPr>
          <w:sz w:val="24"/>
        </w:rPr>
      </w:pPr>
      <w:r>
        <w:rPr>
          <w:sz w:val="24"/>
        </w:rPr>
        <w:t>本文將針對再申訴類型再加以補充。</w:t>
      </w:r>
    </w:p>
    <w:p>
      <w:pPr>
        <w:spacing w:after="0" w:line="240" w:lineRule="auto"/>
        <w:jc w:val="both"/>
        <w:rPr>
          <w:sz w:val="24"/>
        </w:rPr>
        <w:sectPr>
          <w:pgSz w:w="11910" w:h="16840"/>
          <w:pgMar w:header="0" w:footer="938" w:top="1440" w:bottom="1200" w:left="900" w:right="880"/>
        </w:sectPr>
      </w:pPr>
    </w:p>
    <w:p>
      <w:pPr>
        <w:pStyle w:val="BodyText"/>
        <w:spacing w:before="6"/>
        <w:rPr>
          <w:sz w:val="21"/>
        </w:rPr>
      </w:pPr>
    </w:p>
    <w:p>
      <w:pPr>
        <w:pStyle w:val="Heading1"/>
      </w:pPr>
      <w:bookmarkStart w:name="_TOC_250000" w:id="39"/>
      <w:bookmarkEnd w:id="39"/>
      <w:r>
        <w:rPr/>
        <w:t>參考文獻</w:t>
      </w:r>
    </w:p>
    <w:p>
      <w:pPr>
        <w:pStyle w:val="BodyText"/>
        <w:spacing w:before="3"/>
        <w:rPr>
          <w:b/>
          <w:sz w:val="47"/>
        </w:rPr>
      </w:pPr>
    </w:p>
    <w:p>
      <w:pPr>
        <w:pStyle w:val="Heading2"/>
        <w:rPr>
          <w:rFonts w:ascii="標楷體" w:eastAsia="標楷體" w:hint="eastAsia"/>
        </w:rPr>
      </w:pPr>
      <w:r>
        <w:rPr>
          <w:rFonts w:ascii="標楷體" w:eastAsia="標楷體" w:hint="eastAsia"/>
          <w:w w:val="95"/>
        </w:rPr>
        <w:t>一、中文部分</w:t>
      </w:r>
    </w:p>
    <w:p>
      <w:pPr>
        <w:pStyle w:val="BodyText"/>
        <w:spacing w:before="5"/>
        <w:rPr>
          <w:rFonts w:ascii="標楷體"/>
          <w:b/>
          <w:sz w:val="36"/>
        </w:rPr>
      </w:pPr>
    </w:p>
    <w:p>
      <w:pPr>
        <w:spacing w:before="0"/>
        <w:ind w:left="899" w:right="0" w:firstLine="0"/>
        <w:jc w:val="left"/>
        <w:rPr>
          <w:rFonts w:ascii="標楷體" w:eastAsia="標楷體" w:hint="eastAsia"/>
          <w:b/>
          <w:sz w:val="28"/>
        </w:rPr>
      </w:pPr>
      <w:r>
        <w:rPr>
          <w:rFonts w:ascii="標楷體" w:eastAsia="標楷體" w:hint="eastAsia"/>
          <w:b/>
          <w:sz w:val="28"/>
        </w:rPr>
        <w:t>（一）專書</w:t>
      </w:r>
    </w:p>
    <w:p>
      <w:pPr>
        <w:pStyle w:val="BodyText"/>
        <w:spacing w:before="4"/>
        <w:rPr>
          <w:rFonts w:ascii="標楷體"/>
          <w:b/>
          <w:sz w:val="27"/>
        </w:rPr>
      </w:pPr>
    </w:p>
    <w:p>
      <w:pPr>
        <w:pStyle w:val="ListParagraph"/>
        <w:numPr>
          <w:ilvl w:val="0"/>
          <w:numId w:val="39"/>
        </w:numPr>
        <w:tabs>
          <w:tab w:pos="1379" w:val="left" w:leader="none"/>
          <w:tab w:pos="1380" w:val="left" w:leader="none"/>
        </w:tabs>
        <w:spacing w:line="240" w:lineRule="auto" w:before="1" w:after="0"/>
        <w:ind w:left="1380" w:right="0" w:hanging="480"/>
        <w:jc w:val="left"/>
        <w:rPr>
          <w:sz w:val="24"/>
        </w:rPr>
      </w:pPr>
      <w:r>
        <w:rPr>
          <w:spacing w:val="-11"/>
          <w:sz w:val="24"/>
        </w:rPr>
        <w:t>《公務人員保障法百問》，公務人員保障暨培訓委員會編印，</w:t>
      </w:r>
      <w:r>
        <w:rPr>
          <w:rFonts w:ascii="Times New Roman" w:eastAsia="Times New Roman"/>
          <w:sz w:val="24"/>
        </w:rPr>
        <w:t>2011</w:t>
      </w:r>
      <w:r>
        <w:rPr>
          <w:rFonts w:ascii="Times New Roman" w:eastAsia="Times New Roman"/>
          <w:spacing w:val="-3"/>
          <w:sz w:val="24"/>
        </w:rPr>
        <w:t> </w:t>
      </w:r>
      <w:r>
        <w:rPr>
          <w:spacing w:val="-3"/>
          <w:sz w:val="24"/>
        </w:rPr>
        <w:t>年 </w:t>
      </w:r>
      <w:r>
        <w:rPr>
          <w:rFonts w:ascii="Times New Roman" w:eastAsia="Times New Roman"/>
          <w:sz w:val="24"/>
        </w:rPr>
        <w:t>7</w:t>
      </w:r>
      <w:r>
        <w:rPr>
          <w:rFonts w:ascii="Times New Roman" w:eastAsia="Times New Roman"/>
          <w:spacing w:val="-3"/>
          <w:sz w:val="24"/>
        </w:rPr>
        <w:t> </w:t>
      </w:r>
      <w:r>
        <w:rPr>
          <w:sz w:val="24"/>
        </w:rPr>
        <w:t>月。</w:t>
      </w:r>
    </w:p>
    <w:p>
      <w:pPr>
        <w:pStyle w:val="ListParagraph"/>
        <w:numPr>
          <w:ilvl w:val="0"/>
          <w:numId w:val="39"/>
        </w:numPr>
        <w:tabs>
          <w:tab w:pos="1379" w:val="left" w:leader="none"/>
          <w:tab w:pos="1380" w:val="left" w:leader="none"/>
        </w:tabs>
        <w:spacing w:line="240" w:lineRule="auto" w:before="78" w:after="0"/>
        <w:ind w:left="1380" w:right="0" w:hanging="480"/>
        <w:jc w:val="left"/>
        <w:rPr>
          <w:sz w:val="24"/>
        </w:rPr>
      </w:pPr>
      <w:r>
        <w:rPr>
          <w:spacing w:val="-18"/>
          <w:sz w:val="24"/>
        </w:rPr>
        <w:t>吳庚，《行政法之理論與實用》，第 </w:t>
      </w:r>
      <w:r>
        <w:rPr>
          <w:rFonts w:ascii="Times New Roman" w:eastAsia="Times New Roman"/>
          <w:sz w:val="24"/>
        </w:rPr>
        <w:t>11</w:t>
      </w:r>
      <w:r>
        <w:rPr>
          <w:rFonts w:ascii="Times New Roman" w:eastAsia="Times New Roman"/>
          <w:spacing w:val="-2"/>
          <w:sz w:val="24"/>
        </w:rPr>
        <w:t> </w:t>
      </w:r>
      <w:r>
        <w:rPr>
          <w:sz w:val="24"/>
        </w:rPr>
        <w:t>版，</w:t>
      </w:r>
      <w:r>
        <w:rPr>
          <w:rFonts w:ascii="Times New Roman" w:eastAsia="Times New Roman"/>
          <w:sz w:val="24"/>
        </w:rPr>
        <w:t>2010</w:t>
      </w:r>
      <w:r>
        <w:rPr>
          <w:rFonts w:ascii="Times New Roman" w:eastAsia="Times New Roman"/>
          <w:spacing w:val="-2"/>
          <w:sz w:val="24"/>
        </w:rPr>
        <w:t> </w:t>
      </w:r>
      <w:r>
        <w:rPr>
          <w:spacing w:val="-3"/>
          <w:sz w:val="24"/>
        </w:rPr>
        <w:t>年 </w:t>
      </w:r>
      <w:r>
        <w:rPr>
          <w:rFonts w:ascii="Times New Roman" w:eastAsia="Times New Roman"/>
          <w:sz w:val="24"/>
        </w:rPr>
        <w:t>10</w:t>
      </w:r>
      <w:r>
        <w:rPr>
          <w:rFonts w:ascii="Times New Roman" w:eastAsia="Times New Roman"/>
          <w:spacing w:val="-1"/>
          <w:sz w:val="24"/>
        </w:rPr>
        <w:t> </w:t>
      </w:r>
      <w:r>
        <w:rPr>
          <w:sz w:val="24"/>
        </w:rPr>
        <w:t>月。</w:t>
      </w:r>
    </w:p>
    <w:p>
      <w:pPr>
        <w:pStyle w:val="ListParagraph"/>
        <w:numPr>
          <w:ilvl w:val="0"/>
          <w:numId w:val="39"/>
        </w:numPr>
        <w:tabs>
          <w:tab w:pos="1379" w:val="left" w:leader="none"/>
          <w:tab w:pos="1380" w:val="left" w:leader="none"/>
        </w:tabs>
        <w:spacing w:line="240" w:lineRule="auto" w:before="78" w:after="0"/>
        <w:ind w:left="1380" w:right="0" w:hanging="480"/>
        <w:jc w:val="left"/>
        <w:rPr>
          <w:sz w:val="24"/>
        </w:rPr>
      </w:pPr>
      <w:r>
        <w:rPr>
          <w:spacing w:val="-19"/>
          <w:sz w:val="24"/>
        </w:rPr>
        <w:t>吳庚，《行政爭訟法論》，四版，</w:t>
      </w:r>
      <w:r>
        <w:rPr>
          <w:rFonts w:ascii="Times New Roman" w:eastAsia="Times New Roman"/>
          <w:sz w:val="24"/>
        </w:rPr>
        <w:t>2009 </w:t>
      </w:r>
      <w:r>
        <w:rPr>
          <w:spacing w:val="-2"/>
          <w:sz w:val="24"/>
        </w:rPr>
        <w:t>年 </w:t>
      </w:r>
      <w:r>
        <w:rPr>
          <w:rFonts w:ascii="Times New Roman" w:eastAsia="Times New Roman"/>
          <w:sz w:val="24"/>
        </w:rPr>
        <w:t>2 </w:t>
      </w:r>
      <w:r>
        <w:rPr>
          <w:sz w:val="24"/>
        </w:rPr>
        <w:t>月。</w:t>
      </w:r>
    </w:p>
    <w:p>
      <w:pPr>
        <w:pStyle w:val="ListParagraph"/>
        <w:numPr>
          <w:ilvl w:val="0"/>
          <w:numId w:val="39"/>
        </w:numPr>
        <w:tabs>
          <w:tab w:pos="1379" w:val="left" w:leader="none"/>
          <w:tab w:pos="1380" w:val="left" w:leader="none"/>
        </w:tabs>
        <w:spacing w:line="240" w:lineRule="auto" w:before="79" w:after="0"/>
        <w:ind w:left="1380" w:right="0" w:hanging="480"/>
        <w:jc w:val="left"/>
        <w:rPr>
          <w:sz w:val="24"/>
        </w:rPr>
      </w:pPr>
      <w:r>
        <w:rPr>
          <w:spacing w:val="-17"/>
          <w:sz w:val="24"/>
        </w:rPr>
        <w:t>李惠宗，《行政法要義》，元照出版公司，</w:t>
      </w:r>
      <w:r>
        <w:rPr>
          <w:rFonts w:ascii="Times New Roman" w:eastAsia="Times New Roman"/>
          <w:sz w:val="24"/>
        </w:rPr>
        <w:t>2008 </w:t>
      </w:r>
      <w:r>
        <w:rPr>
          <w:spacing w:val="-2"/>
          <w:sz w:val="24"/>
        </w:rPr>
        <w:t>年 </w:t>
      </w:r>
      <w:r>
        <w:rPr>
          <w:rFonts w:ascii="Times New Roman" w:eastAsia="Times New Roman"/>
          <w:sz w:val="24"/>
        </w:rPr>
        <w:t>9 </w:t>
      </w:r>
      <w:r>
        <w:rPr>
          <w:sz w:val="24"/>
        </w:rPr>
        <w:t>月</w:t>
      </w:r>
    </w:p>
    <w:p>
      <w:pPr>
        <w:pStyle w:val="ListParagraph"/>
        <w:numPr>
          <w:ilvl w:val="0"/>
          <w:numId w:val="39"/>
        </w:numPr>
        <w:tabs>
          <w:tab w:pos="1379" w:val="left" w:leader="none"/>
          <w:tab w:pos="1380" w:val="left" w:leader="none"/>
        </w:tabs>
        <w:spacing w:line="240" w:lineRule="auto" w:before="78" w:after="0"/>
        <w:ind w:left="1380" w:right="0" w:hanging="480"/>
        <w:jc w:val="left"/>
        <w:rPr>
          <w:sz w:val="24"/>
        </w:rPr>
      </w:pPr>
      <w:r>
        <w:rPr>
          <w:spacing w:val="-17"/>
          <w:sz w:val="24"/>
        </w:rPr>
        <w:t>李惠宗，《憲法要義》，元照出版公司，</w:t>
      </w:r>
      <w:r>
        <w:rPr>
          <w:rFonts w:ascii="Times New Roman" w:eastAsia="Times New Roman"/>
          <w:sz w:val="24"/>
        </w:rPr>
        <w:t>2009 </w:t>
      </w:r>
      <w:r>
        <w:rPr>
          <w:spacing w:val="-2"/>
          <w:sz w:val="24"/>
        </w:rPr>
        <w:t>年 </w:t>
      </w:r>
      <w:r>
        <w:rPr>
          <w:rFonts w:ascii="Times New Roman" w:eastAsia="Times New Roman"/>
          <w:sz w:val="24"/>
        </w:rPr>
        <w:t>9 </w:t>
      </w:r>
      <w:r>
        <w:rPr>
          <w:sz w:val="24"/>
        </w:rPr>
        <w:t>月</w:t>
      </w:r>
    </w:p>
    <w:p>
      <w:pPr>
        <w:pStyle w:val="ListParagraph"/>
        <w:numPr>
          <w:ilvl w:val="0"/>
          <w:numId w:val="39"/>
        </w:numPr>
        <w:tabs>
          <w:tab w:pos="1379" w:val="left" w:leader="none"/>
          <w:tab w:pos="1380" w:val="left" w:leader="none"/>
        </w:tabs>
        <w:spacing w:line="240" w:lineRule="auto" w:before="78" w:after="0"/>
        <w:ind w:left="1380" w:right="0" w:hanging="480"/>
        <w:jc w:val="left"/>
        <w:rPr>
          <w:sz w:val="24"/>
        </w:rPr>
      </w:pPr>
      <w:r>
        <w:rPr>
          <w:spacing w:val="-13"/>
          <w:sz w:val="24"/>
        </w:rPr>
        <w:t>林明鏘，《公務員法研究</w:t>
      </w:r>
      <w:r>
        <w:rPr>
          <w:sz w:val="24"/>
        </w:rPr>
        <w:t>（一</w:t>
      </w:r>
      <w:r>
        <w:rPr>
          <w:spacing w:val="-120"/>
          <w:sz w:val="24"/>
        </w:rPr>
        <w:t>）</w:t>
      </w:r>
      <w:r>
        <w:rPr>
          <w:spacing w:val="-12"/>
          <w:sz w:val="24"/>
        </w:rPr>
        <w:t>》，學林文化事業有限公司，</w:t>
      </w:r>
      <w:r>
        <w:rPr>
          <w:rFonts w:ascii="Times New Roman" w:eastAsia="Times New Roman"/>
          <w:sz w:val="24"/>
        </w:rPr>
        <w:t>1990 </w:t>
      </w:r>
      <w:r>
        <w:rPr>
          <w:spacing w:val="-2"/>
          <w:sz w:val="24"/>
        </w:rPr>
        <w:t>年 </w:t>
      </w:r>
      <w:r>
        <w:rPr>
          <w:rFonts w:ascii="Times New Roman" w:eastAsia="Times New Roman"/>
          <w:sz w:val="24"/>
        </w:rPr>
        <w:t>3 </w:t>
      </w:r>
      <w:r>
        <w:rPr>
          <w:sz w:val="24"/>
        </w:rPr>
        <w:t>月。</w:t>
      </w:r>
    </w:p>
    <w:p>
      <w:pPr>
        <w:pStyle w:val="ListParagraph"/>
        <w:numPr>
          <w:ilvl w:val="0"/>
          <w:numId w:val="39"/>
        </w:numPr>
        <w:tabs>
          <w:tab w:pos="1379" w:val="left" w:leader="none"/>
          <w:tab w:pos="1380" w:val="left" w:leader="none"/>
        </w:tabs>
        <w:spacing w:line="295" w:lineRule="auto" w:before="79" w:after="0"/>
        <w:ind w:left="1380" w:right="914" w:hanging="480"/>
        <w:jc w:val="left"/>
        <w:rPr>
          <w:sz w:val="24"/>
        </w:rPr>
      </w:pPr>
      <w:r>
        <w:rPr>
          <w:spacing w:val="-25"/>
          <w:sz w:val="24"/>
        </w:rPr>
        <w:t>林明鏘、蔡茂寅，〈公務員法〉，收錄於 翁岳生編，《行政法》，元照出版公</w:t>
      </w:r>
      <w:r>
        <w:rPr>
          <w:sz w:val="24"/>
        </w:rPr>
        <w:t>司，</w:t>
      </w:r>
      <w:r>
        <w:rPr>
          <w:rFonts w:ascii="Times New Roman" w:eastAsia="Times New Roman"/>
          <w:sz w:val="24"/>
        </w:rPr>
        <w:t>2006 </w:t>
      </w:r>
      <w:r>
        <w:rPr>
          <w:spacing w:val="-2"/>
          <w:sz w:val="24"/>
        </w:rPr>
        <w:t>年 </w:t>
      </w:r>
      <w:r>
        <w:rPr>
          <w:rFonts w:ascii="Times New Roman" w:eastAsia="Times New Roman"/>
          <w:sz w:val="24"/>
        </w:rPr>
        <w:t>10 </w:t>
      </w:r>
      <w:r>
        <w:rPr>
          <w:sz w:val="24"/>
        </w:rPr>
        <w:t>月。</w:t>
      </w:r>
    </w:p>
    <w:p>
      <w:pPr>
        <w:pStyle w:val="ListParagraph"/>
        <w:numPr>
          <w:ilvl w:val="0"/>
          <w:numId w:val="39"/>
        </w:numPr>
        <w:tabs>
          <w:tab w:pos="1379" w:val="left" w:leader="none"/>
          <w:tab w:pos="1380" w:val="left" w:leader="none"/>
        </w:tabs>
        <w:spacing w:line="240" w:lineRule="auto" w:before="2" w:after="0"/>
        <w:ind w:left="1380" w:right="0" w:hanging="480"/>
        <w:jc w:val="left"/>
        <w:rPr>
          <w:sz w:val="24"/>
        </w:rPr>
      </w:pPr>
      <w:r>
        <w:rPr>
          <w:spacing w:val="-18"/>
          <w:sz w:val="24"/>
        </w:rPr>
        <w:t>翁岳生主編，《行政訴訟法逐條釋義》，五南出版公司，</w:t>
      </w:r>
      <w:r>
        <w:rPr>
          <w:rFonts w:ascii="Times New Roman" w:eastAsia="Times New Roman"/>
          <w:sz w:val="24"/>
        </w:rPr>
        <w:t>2002 </w:t>
      </w:r>
      <w:r>
        <w:rPr>
          <w:sz w:val="24"/>
        </w:rPr>
        <w:t>年。</w:t>
      </w:r>
    </w:p>
    <w:p>
      <w:pPr>
        <w:pStyle w:val="ListParagraph"/>
        <w:numPr>
          <w:ilvl w:val="0"/>
          <w:numId w:val="39"/>
        </w:numPr>
        <w:tabs>
          <w:tab w:pos="1379" w:val="left" w:leader="none"/>
          <w:tab w:pos="1380" w:val="left" w:leader="none"/>
        </w:tabs>
        <w:spacing w:line="240" w:lineRule="auto" w:before="79" w:after="0"/>
        <w:ind w:left="1380" w:right="0" w:hanging="480"/>
        <w:jc w:val="left"/>
        <w:rPr>
          <w:sz w:val="24"/>
        </w:rPr>
      </w:pPr>
      <w:r>
        <w:rPr>
          <w:spacing w:val="-17"/>
          <w:sz w:val="24"/>
        </w:rPr>
        <w:t>許宗力，《憲法與法治國行政》，元照出版公司，</w:t>
      </w:r>
      <w:r>
        <w:rPr>
          <w:rFonts w:ascii="Times New Roman" w:eastAsia="Times New Roman"/>
          <w:sz w:val="24"/>
        </w:rPr>
        <w:t>2007 </w:t>
      </w:r>
      <w:r>
        <w:rPr>
          <w:spacing w:val="-2"/>
          <w:sz w:val="24"/>
        </w:rPr>
        <w:t>年 </w:t>
      </w:r>
      <w:r>
        <w:rPr>
          <w:rFonts w:ascii="Times New Roman" w:eastAsia="Times New Roman"/>
          <w:sz w:val="24"/>
        </w:rPr>
        <w:t>1 </w:t>
      </w:r>
      <w:r>
        <w:rPr>
          <w:sz w:val="24"/>
        </w:rPr>
        <w:t>月</w:t>
      </w:r>
    </w:p>
    <w:p>
      <w:pPr>
        <w:pStyle w:val="ListParagraph"/>
        <w:numPr>
          <w:ilvl w:val="0"/>
          <w:numId w:val="39"/>
        </w:numPr>
        <w:tabs>
          <w:tab w:pos="1380" w:val="left" w:leader="none"/>
        </w:tabs>
        <w:spacing w:line="240" w:lineRule="auto" w:before="78" w:after="0"/>
        <w:ind w:left="1380" w:right="0" w:hanging="480"/>
        <w:jc w:val="left"/>
        <w:rPr>
          <w:sz w:val="24"/>
        </w:rPr>
      </w:pPr>
      <w:r>
        <w:rPr>
          <w:spacing w:val="-17"/>
          <w:sz w:val="24"/>
        </w:rPr>
        <w:t>陳敏，《行政法總論》，元照出版公司，第 </w:t>
      </w:r>
      <w:r>
        <w:rPr>
          <w:rFonts w:ascii="Times New Roman" w:eastAsia="Times New Roman"/>
          <w:sz w:val="24"/>
        </w:rPr>
        <w:t>6 </w:t>
      </w:r>
      <w:r>
        <w:rPr>
          <w:sz w:val="24"/>
        </w:rPr>
        <w:t>版，</w:t>
      </w:r>
      <w:r>
        <w:rPr>
          <w:rFonts w:ascii="Times New Roman" w:eastAsia="Times New Roman"/>
          <w:sz w:val="24"/>
        </w:rPr>
        <w:t>2009 </w:t>
      </w:r>
      <w:r>
        <w:rPr>
          <w:spacing w:val="-2"/>
          <w:sz w:val="24"/>
        </w:rPr>
        <w:t>年 </w:t>
      </w:r>
      <w:r>
        <w:rPr>
          <w:rFonts w:ascii="Times New Roman" w:eastAsia="Times New Roman"/>
          <w:sz w:val="24"/>
        </w:rPr>
        <w:t>6 </w:t>
      </w:r>
      <w:r>
        <w:rPr>
          <w:sz w:val="24"/>
        </w:rPr>
        <w:t>月</w:t>
      </w:r>
    </w:p>
    <w:p>
      <w:pPr>
        <w:pStyle w:val="ListParagraph"/>
        <w:numPr>
          <w:ilvl w:val="0"/>
          <w:numId w:val="39"/>
        </w:numPr>
        <w:tabs>
          <w:tab w:pos="1380" w:val="left" w:leader="none"/>
        </w:tabs>
        <w:spacing w:line="240" w:lineRule="auto" w:before="78" w:after="0"/>
        <w:ind w:left="1380" w:right="0" w:hanging="480"/>
        <w:jc w:val="left"/>
        <w:rPr>
          <w:sz w:val="24"/>
        </w:rPr>
      </w:pPr>
      <w:r>
        <w:rPr>
          <w:spacing w:val="-20"/>
          <w:sz w:val="24"/>
        </w:rPr>
        <w:t>陳清秀，《行政訴訟法》，第 </w:t>
      </w:r>
      <w:r>
        <w:rPr>
          <w:rFonts w:ascii="Times New Roman" w:eastAsia="Times New Roman"/>
          <w:sz w:val="24"/>
        </w:rPr>
        <w:t>3 </w:t>
      </w:r>
      <w:r>
        <w:rPr>
          <w:sz w:val="24"/>
        </w:rPr>
        <w:t>版，</w:t>
      </w:r>
      <w:r>
        <w:rPr>
          <w:rFonts w:ascii="Times New Roman" w:eastAsia="Times New Roman"/>
          <w:sz w:val="24"/>
        </w:rPr>
        <w:t>2009 </w:t>
      </w:r>
      <w:r>
        <w:rPr>
          <w:spacing w:val="-2"/>
          <w:sz w:val="24"/>
        </w:rPr>
        <w:t>年 </w:t>
      </w:r>
      <w:r>
        <w:rPr>
          <w:rFonts w:ascii="Times New Roman" w:eastAsia="Times New Roman"/>
          <w:sz w:val="24"/>
        </w:rPr>
        <w:t>10 </w:t>
      </w:r>
      <w:r>
        <w:rPr>
          <w:sz w:val="24"/>
        </w:rPr>
        <w:t>月。</w:t>
      </w:r>
    </w:p>
    <w:p>
      <w:pPr>
        <w:pStyle w:val="ListParagraph"/>
        <w:numPr>
          <w:ilvl w:val="0"/>
          <w:numId w:val="39"/>
        </w:numPr>
        <w:tabs>
          <w:tab w:pos="1380" w:val="left" w:leader="none"/>
        </w:tabs>
        <w:spacing w:line="240" w:lineRule="auto" w:before="79" w:after="0"/>
        <w:ind w:left="1380" w:right="0" w:hanging="480"/>
        <w:jc w:val="left"/>
        <w:rPr>
          <w:sz w:val="24"/>
        </w:rPr>
      </w:pPr>
      <w:r>
        <w:rPr>
          <w:spacing w:val="-17"/>
          <w:sz w:val="24"/>
        </w:rPr>
        <w:t>黃程貫，《勞動法》，國立空中大學刊印，</w:t>
      </w:r>
      <w:r>
        <w:rPr>
          <w:rFonts w:ascii="Times New Roman" w:eastAsia="Times New Roman"/>
          <w:sz w:val="24"/>
        </w:rPr>
        <w:t>1996 </w:t>
      </w:r>
      <w:r>
        <w:rPr>
          <w:spacing w:val="-2"/>
          <w:sz w:val="24"/>
        </w:rPr>
        <w:t>年 </w:t>
      </w:r>
      <w:r>
        <w:rPr>
          <w:rFonts w:ascii="Times New Roman" w:eastAsia="Times New Roman"/>
          <w:sz w:val="24"/>
        </w:rPr>
        <w:t>8 </w:t>
      </w:r>
      <w:r>
        <w:rPr>
          <w:sz w:val="24"/>
        </w:rPr>
        <w:t>月。</w:t>
      </w:r>
    </w:p>
    <w:p>
      <w:pPr>
        <w:pStyle w:val="ListParagraph"/>
        <w:numPr>
          <w:ilvl w:val="0"/>
          <w:numId w:val="39"/>
        </w:numPr>
        <w:tabs>
          <w:tab w:pos="1380" w:val="left" w:leader="none"/>
        </w:tabs>
        <w:spacing w:line="295" w:lineRule="auto" w:before="78" w:after="0"/>
        <w:ind w:left="1380" w:right="914" w:hanging="480"/>
        <w:jc w:val="left"/>
        <w:rPr>
          <w:sz w:val="24"/>
        </w:rPr>
      </w:pPr>
      <w:r>
        <w:rPr>
          <w:spacing w:val="-4"/>
          <w:sz w:val="24"/>
        </w:rPr>
        <w:t>劉宗德、彭鳳至</w:t>
      </w:r>
      <w:r>
        <w:rPr>
          <w:spacing w:val="-43"/>
          <w:sz w:val="24"/>
        </w:rPr>
        <w:t>，〈第 </w:t>
      </w:r>
      <w:r>
        <w:rPr>
          <w:rFonts w:ascii="Times New Roman" w:eastAsia="Times New Roman"/>
          <w:spacing w:val="-4"/>
          <w:sz w:val="24"/>
        </w:rPr>
        <w:t>19</w:t>
      </w:r>
      <w:r>
        <w:rPr>
          <w:rFonts w:ascii="Times New Roman" w:eastAsia="Times New Roman"/>
          <w:spacing w:val="-8"/>
          <w:sz w:val="24"/>
        </w:rPr>
        <w:t> </w:t>
      </w:r>
      <w:r>
        <w:rPr>
          <w:sz w:val="24"/>
        </w:rPr>
        <w:t>章 行政訴訟制度</w:t>
      </w:r>
      <w:r>
        <w:rPr>
          <w:spacing w:val="-30"/>
          <w:sz w:val="24"/>
        </w:rPr>
        <w:t>〉，翁岳生編《行政法</w:t>
      </w:r>
      <w:r>
        <w:rPr>
          <w:spacing w:val="-3"/>
          <w:sz w:val="24"/>
        </w:rPr>
        <w:t>（下</w:t>
      </w:r>
      <w:r>
        <w:rPr>
          <w:spacing w:val="-121"/>
          <w:sz w:val="24"/>
        </w:rPr>
        <w:t>）</w:t>
      </w:r>
      <w:r>
        <w:rPr>
          <w:spacing w:val="-76"/>
          <w:sz w:val="24"/>
        </w:rPr>
        <w:t>》，</w:t>
      </w:r>
      <w:r>
        <w:rPr>
          <w:rFonts w:ascii="Times New Roman" w:eastAsia="Times New Roman"/>
          <w:spacing w:val="-3"/>
          <w:sz w:val="24"/>
        </w:rPr>
        <w:t>2006</w:t>
      </w:r>
      <w:r>
        <w:rPr>
          <w:rFonts w:ascii="Times New Roman" w:eastAsia="Times New Roman"/>
          <w:spacing w:val="-57"/>
          <w:sz w:val="24"/>
        </w:rPr>
        <w:t> </w:t>
      </w:r>
      <w:r>
        <w:rPr>
          <w:sz w:val="24"/>
        </w:rPr>
        <w:t>年。</w:t>
      </w:r>
    </w:p>
    <w:p>
      <w:pPr>
        <w:pStyle w:val="ListParagraph"/>
        <w:numPr>
          <w:ilvl w:val="0"/>
          <w:numId w:val="39"/>
        </w:numPr>
        <w:tabs>
          <w:tab w:pos="1380" w:val="left" w:leader="none"/>
        </w:tabs>
        <w:spacing w:line="240" w:lineRule="auto" w:before="2" w:after="0"/>
        <w:ind w:left="1380" w:right="0" w:hanging="480"/>
        <w:jc w:val="left"/>
        <w:rPr>
          <w:sz w:val="24"/>
        </w:rPr>
      </w:pPr>
      <w:r>
        <w:rPr>
          <w:spacing w:val="-17"/>
          <w:sz w:val="24"/>
        </w:rPr>
        <w:t>蔡志方，《行政救濟法新論》，元照出版公司，</w:t>
      </w:r>
      <w:r>
        <w:rPr>
          <w:rFonts w:ascii="Times New Roman" w:eastAsia="Times New Roman"/>
          <w:sz w:val="24"/>
        </w:rPr>
        <w:t>2007</w:t>
      </w:r>
      <w:r>
        <w:rPr>
          <w:rFonts w:ascii="Times New Roman" w:eastAsia="Times New Roman"/>
          <w:spacing w:val="-3"/>
          <w:sz w:val="24"/>
        </w:rPr>
        <w:t> </w:t>
      </w:r>
      <w:r>
        <w:rPr>
          <w:spacing w:val="-3"/>
          <w:sz w:val="24"/>
        </w:rPr>
        <w:t>年 </w:t>
      </w:r>
      <w:r>
        <w:rPr>
          <w:rFonts w:ascii="Times New Roman" w:eastAsia="Times New Roman"/>
          <w:sz w:val="24"/>
        </w:rPr>
        <w:t>11</w:t>
      </w:r>
      <w:r>
        <w:rPr>
          <w:rFonts w:ascii="Times New Roman" w:eastAsia="Times New Roman"/>
          <w:spacing w:val="-3"/>
          <w:sz w:val="24"/>
        </w:rPr>
        <w:t> </w:t>
      </w:r>
      <w:r>
        <w:rPr>
          <w:sz w:val="24"/>
        </w:rPr>
        <w:t>月。</w:t>
      </w:r>
    </w:p>
    <w:p>
      <w:pPr>
        <w:pStyle w:val="BodyText"/>
        <w:rPr>
          <w:sz w:val="26"/>
        </w:rPr>
      </w:pPr>
    </w:p>
    <w:p>
      <w:pPr>
        <w:pStyle w:val="BodyText"/>
        <w:spacing w:before="4"/>
        <w:rPr>
          <w:sz w:val="18"/>
        </w:rPr>
      </w:pPr>
    </w:p>
    <w:p>
      <w:pPr>
        <w:pStyle w:val="Heading2"/>
        <w:rPr>
          <w:rFonts w:ascii="標楷體" w:eastAsia="標楷體" w:hint="eastAsia"/>
        </w:rPr>
      </w:pPr>
      <w:r>
        <w:rPr>
          <w:rFonts w:ascii="標楷體" w:eastAsia="標楷體" w:hint="eastAsia"/>
        </w:rPr>
        <w:t>（二）期刊論文</w:t>
      </w:r>
    </w:p>
    <w:p>
      <w:pPr>
        <w:pStyle w:val="ListParagraph"/>
        <w:numPr>
          <w:ilvl w:val="0"/>
          <w:numId w:val="40"/>
        </w:numPr>
        <w:tabs>
          <w:tab w:pos="1379" w:val="left" w:leader="none"/>
          <w:tab w:pos="1380" w:val="left" w:leader="none"/>
        </w:tabs>
        <w:spacing w:line="295" w:lineRule="auto" w:before="202" w:after="0"/>
        <w:ind w:left="1380" w:right="916" w:hanging="480"/>
        <w:jc w:val="left"/>
        <w:rPr>
          <w:sz w:val="24"/>
        </w:rPr>
      </w:pPr>
      <w:r>
        <w:rPr>
          <w:spacing w:val="-16"/>
          <w:sz w:val="24"/>
        </w:rPr>
        <w:t>朱武獻，〈公務人員保障法之實施與檢討</w:t>
      </w:r>
      <w:r>
        <w:rPr>
          <w:spacing w:val="-39"/>
          <w:sz w:val="24"/>
        </w:rPr>
        <w:t>〉，《月旦法學雜誌》，第 </w:t>
      </w:r>
      <w:r>
        <w:rPr>
          <w:rFonts w:ascii="Times New Roman" w:eastAsia="Times New Roman"/>
          <w:spacing w:val="-2"/>
          <w:sz w:val="24"/>
        </w:rPr>
        <w:t>32</w:t>
      </w:r>
      <w:r>
        <w:rPr>
          <w:rFonts w:ascii="Times New Roman" w:eastAsia="Times New Roman"/>
          <w:spacing w:val="-10"/>
          <w:sz w:val="24"/>
        </w:rPr>
        <w:t> </w:t>
      </w:r>
      <w:r>
        <w:rPr>
          <w:spacing w:val="-2"/>
          <w:sz w:val="24"/>
        </w:rPr>
        <w:t>期，</w:t>
      </w:r>
      <w:r>
        <w:rPr>
          <w:rFonts w:ascii="Times New Roman" w:eastAsia="Times New Roman"/>
          <w:spacing w:val="-2"/>
          <w:sz w:val="24"/>
        </w:rPr>
        <w:t>1997</w:t>
      </w:r>
      <w:r>
        <w:rPr>
          <w:rFonts w:ascii="Times New Roman" w:eastAsia="Times New Roman"/>
          <w:spacing w:val="-57"/>
          <w:sz w:val="24"/>
        </w:rPr>
        <w:t> </w:t>
      </w:r>
      <w:r>
        <w:rPr>
          <w:spacing w:val="-2"/>
          <w:sz w:val="24"/>
        </w:rPr>
        <w:t>年 </w:t>
      </w:r>
      <w:r>
        <w:rPr>
          <w:rFonts w:ascii="Times New Roman" w:eastAsia="Times New Roman"/>
          <w:sz w:val="24"/>
        </w:rPr>
        <w:t>12 </w:t>
      </w:r>
      <w:r>
        <w:rPr>
          <w:spacing w:val="-1"/>
          <w:sz w:val="24"/>
        </w:rPr>
        <w:t>月，頁 </w:t>
      </w:r>
      <w:r>
        <w:rPr>
          <w:rFonts w:ascii="Times New Roman" w:eastAsia="Times New Roman"/>
          <w:sz w:val="24"/>
        </w:rPr>
        <w:t>33-46</w:t>
      </w:r>
      <w:r>
        <w:rPr>
          <w:sz w:val="24"/>
        </w:rPr>
        <w:t>。</w:t>
      </w:r>
    </w:p>
    <w:p>
      <w:pPr>
        <w:pStyle w:val="ListParagraph"/>
        <w:numPr>
          <w:ilvl w:val="0"/>
          <w:numId w:val="40"/>
        </w:numPr>
        <w:tabs>
          <w:tab w:pos="1379" w:val="left" w:leader="none"/>
          <w:tab w:pos="1380" w:val="left" w:leader="none"/>
        </w:tabs>
        <w:spacing w:line="295" w:lineRule="auto" w:before="2" w:after="0"/>
        <w:ind w:left="1379" w:right="917" w:hanging="480"/>
        <w:jc w:val="left"/>
        <w:rPr>
          <w:sz w:val="24"/>
        </w:rPr>
      </w:pPr>
      <w:r>
        <w:rPr>
          <w:spacing w:val="-17"/>
          <w:sz w:val="24"/>
        </w:rPr>
        <w:t>朱武獻、周氏珍，〈公務人員勤務關係與身份保障</w:t>
      </w:r>
      <w:r>
        <w:rPr>
          <w:spacing w:val="-31"/>
          <w:sz w:val="24"/>
        </w:rPr>
        <w:t>〉，台灣行政法學會編，《行</w:t>
      </w:r>
      <w:r>
        <w:rPr>
          <w:sz w:val="24"/>
        </w:rPr>
        <w:t>政法爭議問題研究（下</w:t>
      </w:r>
      <w:r>
        <w:rPr>
          <w:spacing w:val="-120"/>
          <w:sz w:val="24"/>
        </w:rPr>
        <w:t>）</w:t>
      </w:r>
      <w:r>
        <w:rPr>
          <w:spacing w:val="-15"/>
          <w:sz w:val="24"/>
        </w:rPr>
        <w:t>》，五南出版公司，</w:t>
      </w:r>
      <w:r>
        <w:rPr>
          <w:rFonts w:ascii="Times New Roman" w:eastAsia="Times New Roman"/>
          <w:sz w:val="24"/>
        </w:rPr>
        <w:t>2000 </w:t>
      </w:r>
      <w:r>
        <w:rPr>
          <w:spacing w:val="-1"/>
          <w:sz w:val="24"/>
        </w:rPr>
        <w:t>年，頁 </w:t>
      </w:r>
      <w:r>
        <w:rPr>
          <w:rFonts w:ascii="Times New Roman" w:eastAsia="Times New Roman"/>
          <w:sz w:val="24"/>
        </w:rPr>
        <w:t>1241-1269</w:t>
      </w:r>
      <w:r>
        <w:rPr>
          <w:sz w:val="24"/>
        </w:rPr>
        <w:t>。</w:t>
      </w:r>
    </w:p>
    <w:p>
      <w:pPr>
        <w:pStyle w:val="ListParagraph"/>
        <w:numPr>
          <w:ilvl w:val="0"/>
          <w:numId w:val="40"/>
        </w:numPr>
        <w:tabs>
          <w:tab w:pos="1379" w:val="left" w:leader="none"/>
          <w:tab w:pos="1380" w:val="left" w:leader="none"/>
        </w:tabs>
        <w:spacing w:line="295" w:lineRule="auto" w:before="3" w:after="0"/>
        <w:ind w:left="1379" w:right="917" w:hanging="480"/>
        <w:jc w:val="left"/>
        <w:rPr>
          <w:sz w:val="24"/>
        </w:rPr>
      </w:pPr>
      <w:r>
        <w:rPr>
          <w:spacing w:val="-29"/>
          <w:sz w:val="24"/>
        </w:rPr>
        <w:t>林全發，〈我國公務人員保障法申訴制度之研究〉，《文官制度季刊》，第二卷</w:t>
      </w:r>
      <w:r>
        <w:rPr>
          <w:sz w:val="24"/>
        </w:rPr>
        <w:t>第一期，</w:t>
      </w:r>
      <w:r>
        <w:rPr>
          <w:rFonts w:ascii="Times New Roman" w:eastAsia="Times New Roman"/>
          <w:sz w:val="24"/>
        </w:rPr>
        <w:t>2010 </w:t>
      </w:r>
      <w:r>
        <w:rPr>
          <w:spacing w:val="-2"/>
          <w:sz w:val="24"/>
        </w:rPr>
        <w:t>年 </w:t>
      </w:r>
      <w:r>
        <w:rPr>
          <w:rFonts w:ascii="Times New Roman" w:eastAsia="Times New Roman"/>
          <w:sz w:val="24"/>
        </w:rPr>
        <w:t>1 </w:t>
      </w:r>
      <w:r>
        <w:rPr>
          <w:spacing w:val="-1"/>
          <w:sz w:val="24"/>
        </w:rPr>
        <w:t>月，頁 </w:t>
      </w:r>
      <w:r>
        <w:rPr>
          <w:rFonts w:ascii="Times New Roman" w:eastAsia="Times New Roman"/>
          <w:sz w:val="24"/>
        </w:rPr>
        <w:t>73-97</w:t>
      </w:r>
      <w:r>
        <w:rPr>
          <w:sz w:val="24"/>
        </w:rPr>
        <w:t>。</w:t>
      </w:r>
    </w:p>
    <w:p>
      <w:pPr>
        <w:pStyle w:val="ListParagraph"/>
        <w:numPr>
          <w:ilvl w:val="0"/>
          <w:numId w:val="40"/>
        </w:numPr>
        <w:tabs>
          <w:tab w:pos="1379" w:val="left" w:leader="none"/>
          <w:tab w:pos="1380" w:val="left" w:leader="none"/>
        </w:tabs>
        <w:spacing w:line="240" w:lineRule="auto" w:before="2" w:after="0"/>
        <w:ind w:left="1380" w:right="0" w:hanging="481"/>
        <w:jc w:val="left"/>
        <w:rPr>
          <w:sz w:val="24"/>
        </w:rPr>
      </w:pPr>
      <w:r>
        <w:rPr>
          <w:spacing w:val="-26"/>
          <w:sz w:val="24"/>
        </w:rPr>
        <w:t>林明鏘，〈公務人員復審與訴願程序之比較研究〉，《輔仁法學》，第 </w:t>
      </w:r>
      <w:r>
        <w:rPr>
          <w:rFonts w:ascii="Times New Roman" w:eastAsia="Times New Roman"/>
          <w:sz w:val="24"/>
        </w:rPr>
        <w:t>18 </w:t>
      </w:r>
      <w:r>
        <w:rPr>
          <w:sz w:val="24"/>
        </w:rPr>
        <w:t>期，</w:t>
      </w:r>
    </w:p>
    <w:p>
      <w:pPr>
        <w:spacing w:after="0" w:line="240" w:lineRule="auto"/>
        <w:jc w:val="left"/>
        <w:rPr>
          <w:sz w:val="24"/>
        </w:rPr>
        <w:sectPr>
          <w:pgSz w:w="11910" w:h="16840"/>
          <w:pgMar w:header="0" w:footer="938" w:top="1600" w:bottom="1200" w:left="900" w:right="880"/>
        </w:sectPr>
      </w:pPr>
    </w:p>
    <w:p>
      <w:pPr>
        <w:pStyle w:val="BodyText"/>
        <w:spacing w:before="58"/>
        <w:ind w:left="1380"/>
        <w:jc w:val="both"/>
      </w:pPr>
      <w:r>
        <w:rPr>
          <w:rFonts w:ascii="Times New Roman" w:eastAsia="Times New Roman"/>
        </w:rPr>
        <w:t>1999 </w:t>
      </w:r>
      <w:r>
        <w:rPr>
          <w:spacing w:val="-2"/>
        </w:rPr>
        <w:t>年 </w:t>
      </w:r>
      <w:r>
        <w:rPr>
          <w:rFonts w:ascii="Times New Roman" w:eastAsia="Times New Roman"/>
        </w:rPr>
        <w:t>6 </w:t>
      </w:r>
      <w:r>
        <w:rPr/>
        <w:t>月。</w:t>
      </w:r>
    </w:p>
    <w:p>
      <w:pPr>
        <w:pStyle w:val="ListParagraph"/>
        <w:numPr>
          <w:ilvl w:val="0"/>
          <w:numId w:val="40"/>
        </w:numPr>
        <w:tabs>
          <w:tab w:pos="1380" w:val="left" w:leader="none"/>
        </w:tabs>
        <w:spacing w:line="295" w:lineRule="auto" w:before="78" w:after="0"/>
        <w:ind w:left="1380" w:right="917" w:hanging="480"/>
        <w:jc w:val="both"/>
        <w:rPr>
          <w:sz w:val="24"/>
        </w:rPr>
      </w:pPr>
      <w:r>
        <w:rPr>
          <w:spacing w:val="-20"/>
          <w:sz w:val="24"/>
        </w:rPr>
        <w:t>邱聯恭、許士宦，〈民事訴訟法修正之走向及前導法理〉，收錄於《東海大學</w:t>
      </w:r>
      <w:r>
        <w:rPr>
          <w:spacing w:val="-17"/>
          <w:sz w:val="24"/>
        </w:rPr>
        <w:t>法學研究》，第 </w:t>
      </w:r>
      <w:r>
        <w:rPr>
          <w:rFonts w:ascii="Times New Roman" w:eastAsia="Times New Roman"/>
          <w:sz w:val="24"/>
        </w:rPr>
        <w:t>8 </w:t>
      </w:r>
      <w:r>
        <w:rPr>
          <w:sz w:val="24"/>
        </w:rPr>
        <w:t>期，</w:t>
      </w:r>
      <w:r>
        <w:rPr>
          <w:rFonts w:ascii="Times New Roman" w:eastAsia="Times New Roman"/>
          <w:sz w:val="24"/>
        </w:rPr>
        <w:t>1994 </w:t>
      </w:r>
      <w:r>
        <w:rPr>
          <w:spacing w:val="-2"/>
          <w:sz w:val="24"/>
        </w:rPr>
        <w:t>年 </w:t>
      </w:r>
      <w:r>
        <w:rPr>
          <w:rFonts w:ascii="Times New Roman" w:eastAsia="Times New Roman"/>
          <w:sz w:val="24"/>
        </w:rPr>
        <w:t>9 </w:t>
      </w:r>
      <w:r>
        <w:rPr>
          <w:sz w:val="24"/>
        </w:rPr>
        <w:t>月。</w:t>
      </w:r>
    </w:p>
    <w:p>
      <w:pPr>
        <w:pStyle w:val="ListParagraph"/>
        <w:numPr>
          <w:ilvl w:val="0"/>
          <w:numId w:val="40"/>
        </w:numPr>
        <w:tabs>
          <w:tab w:pos="1380" w:val="left" w:leader="none"/>
        </w:tabs>
        <w:spacing w:line="295" w:lineRule="auto" w:before="3" w:after="0"/>
        <w:ind w:left="1380" w:right="906" w:hanging="480"/>
        <w:jc w:val="both"/>
        <w:rPr>
          <w:sz w:val="24"/>
        </w:rPr>
      </w:pPr>
      <w:r>
        <w:rPr>
          <w:spacing w:val="-12"/>
          <w:sz w:val="24"/>
        </w:rPr>
        <w:t>盛子龍，〈公務人員保障程序中調解成立之法律性質及其合法性要件之研</w:t>
      </w:r>
      <w:r>
        <w:rPr>
          <w:spacing w:val="1"/>
          <w:sz w:val="24"/>
        </w:rPr>
        <w:t> </w:t>
      </w:r>
      <w:r>
        <w:rPr>
          <w:spacing w:val="-21"/>
          <w:sz w:val="24"/>
        </w:rPr>
        <w:t>究〉，《中原財經法學》第 </w:t>
      </w:r>
      <w:r>
        <w:rPr>
          <w:rFonts w:ascii="Times New Roman" w:eastAsia="Times New Roman"/>
          <w:sz w:val="24"/>
        </w:rPr>
        <w:t>5 </w:t>
      </w:r>
      <w:r>
        <w:rPr>
          <w:sz w:val="24"/>
        </w:rPr>
        <w:t>期，</w:t>
      </w:r>
      <w:r>
        <w:rPr>
          <w:rFonts w:ascii="Times New Roman" w:eastAsia="Times New Roman"/>
          <w:sz w:val="24"/>
        </w:rPr>
        <w:t>2000 </w:t>
      </w:r>
      <w:r>
        <w:rPr>
          <w:spacing w:val="-2"/>
          <w:sz w:val="24"/>
        </w:rPr>
        <w:t>年 </w:t>
      </w:r>
      <w:r>
        <w:rPr>
          <w:rFonts w:ascii="Times New Roman" w:eastAsia="Times New Roman"/>
          <w:sz w:val="24"/>
        </w:rPr>
        <w:t>7 </w:t>
      </w:r>
      <w:r>
        <w:rPr>
          <w:spacing w:val="-1"/>
          <w:sz w:val="24"/>
        </w:rPr>
        <w:t>月，頁 </w:t>
      </w:r>
      <w:r>
        <w:rPr>
          <w:rFonts w:ascii="Times New Roman" w:eastAsia="Times New Roman"/>
          <w:sz w:val="24"/>
        </w:rPr>
        <w:t>91-110</w:t>
      </w:r>
      <w:r>
        <w:rPr>
          <w:sz w:val="24"/>
        </w:rPr>
        <w:t>。</w:t>
      </w:r>
    </w:p>
    <w:p>
      <w:pPr>
        <w:pStyle w:val="ListParagraph"/>
        <w:numPr>
          <w:ilvl w:val="0"/>
          <w:numId w:val="40"/>
        </w:numPr>
        <w:tabs>
          <w:tab w:pos="1380" w:val="left" w:leader="none"/>
        </w:tabs>
        <w:spacing w:line="295" w:lineRule="auto" w:before="2" w:after="0"/>
        <w:ind w:left="1380" w:right="857" w:hanging="480"/>
        <w:jc w:val="both"/>
        <w:rPr>
          <w:sz w:val="24"/>
        </w:rPr>
      </w:pPr>
      <w:r>
        <w:rPr>
          <w:spacing w:val="-12"/>
          <w:sz w:val="24"/>
        </w:rPr>
        <w:t>盛子龍，〈行政處分停止執行作為公務人員法上暫時權利保護制度－以停職</w:t>
      </w:r>
      <w:r>
        <w:rPr>
          <w:spacing w:val="-18"/>
          <w:sz w:val="24"/>
        </w:rPr>
        <w:t>處分為例〉，收於：《保障法制座談會、研討會及專題講座紀錄彙編</w:t>
      </w:r>
      <w:r>
        <w:rPr>
          <w:sz w:val="24"/>
        </w:rPr>
        <w:t>（上</w:t>
      </w:r>
      <w:r>
        <w:rPr>
          <w:spacing w:val="-119"/>
          <w:sz w:val="24"/>
        </w:rPr>
        <w:t>）</w:t>
      </w:r>
      <w:r>
        <w:rPr>
          <w:spacing w:val="-60"/>
          <w:sz w:val="24"/>
        </w:rPr>
        <w:t>》， </w:t>
      </w:r>
      <w:r>
        <w:rPr>
          <w:sz w:val="24"/>
        </w:rPr>
        <w:t>保訓會編印，</w:t>
      </w:r>
      <w:r>
        <w:rPr>
          <w:rFonts w:ascii="Times New Roman" w:eastAsia="Times New Roman"/>
          <w:sz w:val="24"/>
        </w:rPr>
        <w:t>2011</w:t>
      </w:r>
      <w:r>
        <w:rPr>
          <w:rFonts w:ascii="Times New Roman" w:eastAsia="Times New Roman"/>
          <w:spacing w:val="-1"/>
          <w:sz w:val="24"/>
        </w:rPr>
        <w:t> </w:t>
      </w:r>
      <w:r>
        <w:rPr>
          <w:spacing w:val="-1"/>
          <w:sz w:val="24"/>
        </w:rPr>
        <w:t>年，頁 </w:t>
      </w:r>
      <w:r>
        <w:rPr>
          <w:rFonts w:ascii="Times New Roman" w:eastAsia="Times New Roman"/>
          <w:sz w:val="24"/>
        </w:rPr>
        <w:t>633 </w:t>
      </w:r>
      <w:r>
        <w:rPr>
          <w:sz w:val="24"/>
        </w:rPr>
        <w:t>以下。</w:t>
      </w:r>
    </w:p>
    <w:p>
      <w:pPr>
        <w:pStyle w:val="ListParagraph"/>
        <w:numPr>
          <w:ilvl w:val="0"/>
          <w:numId w:val="40"/>
        </w:numPr>
        <w:tabs>
          <w:tab w:pos="1380" w:val="left" w:leader="none"/>
        </w:tabs>
        <w:spacing w:line="295" w:lineRule="auto" w:before="4" w:after="0"/>
        <w:ind w:left="1380" w:right="917" w:hanging="480"/>
        <w:jc w:val="both"/>
        <w:rPr>
          <w:sz w:val="24"/>
        </w:rPr>
      </w:pPr>
      <w:r>
        <w:rPr>
          <w:spacing w:val="-17"/>
          <w:sz w:val="24"/>
        </w:rPr>
        <w:t>陳英鈐，〈撤銷訴訟與行政處分之停止執行－人民權利保護的櫥窗</w:t>
      </w:r>
      <w:r>
        <w:rPr>
          <w:spacing w:val="-59"/>
          <w:sz w:val="24"/>
        </w:rPr>
        <w:t>〉，收於《行</w:t>
      </w:r>
      <w:r>
        <w:rPr>
          <w:sz w:val="24"/>
        </w:rPr>
        <w:t>政法爭議問題（下</w:t>
      </w:r>
      <w:r>
        <w:rPr>
          <w:spacing w:val="-120"/>
          <w:sz w:val="24"/>
        </w:rPr>
        <w:t>）</w:t>
      </w:r>
      <w:r>
        <w:rPr>
          <w:spacing w:val="-60"/>
          <w:sz w:val="24"/>
        </w:rPr>
        <w:t>》，</w:t>
      </w:r>
      <w:r>
        <w:rPr>
          <w:rFonts w:ascii="Times New Roman" w:eastAsia="Times New Roman"/>
          <w:sz w:val="24"/>
        </w:rPr>
        <w:t>2000 </w:t>
      </w:r>
      <w:r>
        <w:rPr>
          <w:spacing w:val="-2"/>
          <w:sz w:val="24"/>
        </w:rPr>
        <w:t>年 </w:t>
      </w:r>
      <w:r>
        <w:rPr>
          <w:rFonts w:ascii="Times New Roman" w:eastAsia="Times New Roman"/>
          <w:sz w:val="24"/>
        </w:rPr>
        <w:t>12 </w:t>
      </w:r>
      <w:r>
        <w:rPr>
          <w:sz w:val="24"/>
        </w:rPr>
        <w:t>月。</w:t>
      </w:r>
    </w:p>
    <w:p>
      <w:pPr>
        <w:pStyle w:val="ListParagraph"/>
        <w:numPr>
          <w:ilvl w:val="0"/>
          <w:numId w:val="40"/>
        </w:numPr>
        <w:tabs>
          <w:tab w:pos="1380" w:val="left" w:leader="none"/>
        </w:tabs>
        <w:spacing w:line="295" w:lineRule="auto" w:before="2" w:after="0"/>
        <w:ind w:left="1380" w:right="916" w:hanging="480"/>
        <w:jc w:val="both"/>
        <w:rPr>
          <w:sz w:val="24"/>
        </w:rPr>
      </w:pPr>
      <w:r>
        <w:rPr>
          <w:spacing w:val="-16"/>
          <w:sz w:val="24"/>
        </w:rPr>
        <w:t>陳淑芳，〈行政救濟與暫時權利保護程序</w:t>
      </w:r>
      <w:r>
        <w:rPr>
          <w:spacing w:val="-39"/>
          <w:sz w:val="24"/>
        </w:rPr>
        <w:t>〉，《月旦法學教室》，第 </w:t>
      </w:r>
      <w:r>
        <w:rPr>
          <w:rFonts w:ascii="Times New Roman" w:eastAsia="Times New Roman"/>
          <w:spacing w:val="-3"/>
          <w:sz w:val="24"/>
        </w:rPr>
        <w:t>59</w:t>
      </w:r>
      <w:r>
        <w:rPr>
          <w:rFonts w:ascii="Times New Roman" w:eastAsia="Times New Roman"/>
          <w:spacing w:val="-8"/>
          <w:sz w:val="24"/>
        </w:rPr>
        <w:t> </w:t>
      </w:r>
      <w:r>
        <w:rPr>
          <w:spacing w:val="-3"/>
          <w:sz w:val="24"/>
        </w:rPr>
        <w:t>期，</w:t>
      </w:r>
      <w:r>
        <w:rPr>
          <w:rFonts w:ascii="Times New Roman" w:eastAsia="Times New Roman"/>
          <w:spacing w:val="-3"/>
          <w:sz w:val="24"/>
        </w:rPr>
        <w:t>2007</w:t>
      </w:r>
      <w:r>
        <w:rPr>
          <w:rFonts w:ascii="Times New Roman" w:eastAsia="Times New Roman"/>
          <w:spacing w:val="-58"/>
          <w:sz w:val="24"/>
        </w:rPr>
        <w:t> </w:t>
      </w:r>
      <w:r>
        <w:rPr>
          <w:spacing w:val="-2"/>
          <w:sz w:val="24"/>
        </w:rPr>
        <w:t>年 </w:t>
      </w:r>
      <w:r>
        <w:rPr>
          <w:rFonts w:ascii="Times New Roman" w:eastAsia="Times New Roman"/>
          <w:sz w:val="24"/>
        </w:rPr>
        <w:t>9 </w:t>
      </w:r>
      <w:r>
        <w:rPr>
          <w:spacing w:val="-1"/>
          <w:sz w:val="24"/>
        </w:rPr>
        <w:t>月，頁 </w:t>
      </w:r>
      <w:r>
        <w:rPr>
          <w:rFonts w:ascii="Times New Roman" w:eastAsia="Times New Roman"/>
          <w:sz w:val="24"/>
        </w:rPr>
        <w:t>20</w:t>
      </w:r>
      <w:r>
        <w:rPr>
          <w:sz w:val="24"/>
        </w:rPr>
        <w:t>。</w:t>
      </w:r>
    </w:p>
    <w:p>
      <w:pPr>
        <w:pStyle w:val="ListParagraph"/>
        <w:numPr>
          <w:ilvl w:val="0"/>
          <w:numId w:val="40"/>
        </w:numPr>
        <w:tabs>
          <w:tab w:pos="1380" w:val="left" w:leader="none"/>
        </w:tabs>
        <w:spacing w:line="295" w:lineRule="auto" w:before="2" w:after="0"/>
        <w:ind w:left="1380" w:right="917" w:hanging="480"/>
        <w:jc w:val="both"/>
        <w:rPr>
          <w:sz w:val="24"/>
        </w:rPr>
      </w:pPr>
      <w:r>
        <w:rPr>
          <w:spacing w:val="-12"/>
          <w:sz w:val="24"/>
        </w:rPr>
        <w:t>湯德宗，〈論公務員不利人事處分的正當程序</w:t>
      </w:r>
      <w:r>
        <w:rPr>
          <w:rFonts w:ascii="Times New Roman" w:eastAsia="Times New Roman"/>
          <w:sz w:val="24"/>
        </w:rPr>
        <w:t>--</w:t>
      </w:r>
      <w:r>
        <w:rPr>
          <w:spacing w:val="4"/>
          <w:sz w:val="24"/>
        </w:rPr>
        <w:t>司法院大法官釋字第 </w:t>
      </w:r>
      <w:r>
        <w:rPr>
          <w:rFonts w:ascii="Times New Roman" w:eastAsia="Times New Roman"/>
          <w:sz w:val="24"/>
        </w:rPr>
        <w:t>491</w:t>
      </w:r>
      <w:r>
        <w:rPr>
          <w:rFonts w:ascii="Times New Roman" w:eastAsia="Times New Roman"/>
          <w:spacing w:val="48"/>
          <w:sz w:val="24"/>
        </w:rPr>
        <w:t> </w:t>
      </w:r>
      <w:r>
        <w:rPr>
          <w:sz w:val="24"/>
        </w:rPr>
        <w:t>號</w:t>
      </w:r>
      <w:r>
        <w:rPr>
          <w:spacing w:val="-23"/>
          <w:sz w:val="24"/>
        </w:rPr>
        <w:t>解釋評析〉，《臺灣本土法學雜誌》，第 </w:t>
      </w:r>
      <w:r>
        <w:rPr>
          <w:rFonts w:ascii="Times New Roman" w:eastAsia="Times New Roman"/>
          <w:sz w:val="24"/>
        </w:rPr>
        <w:t>10 </w:t>
      </w:r>
      <w:r>
        <w:rPr>
          <w:sz w:val="24"/>
        </w:rPr>
        <w:t>期，</w:t>
      </w:r>
      <w:r>
        <w:rPr>
          <w:rFonts w:ascii="Times New Roman" w:eastAsia="Times New Roman"/>
          <w:sz w:val="24"/>
        </w:rPr>
        <w:t>2000 </w:t>
      </w:r>
      <w:r>
        <w:rPr>
          <w:spacing w:val="-2"/>
          <w:sz w:val="24"/>
        </w:rPr>
        <w:t>年 </w:t>
      </w:r>
      <w:r>
        <w:rPr>
          <w:rFonts w:ascii="Times New Roman" w:eastAsia="Times New Roman"/>
          <w:sz w:val="24"/>
        </w:rPr>
        <w:t>5 </w:t>
      </w:r>
      <w:r>
        <w:rPr>
          <w:spacing w:val="-1"/>
          <w:sz w:val="24"/>
        </w:rPr>
        <w:t>月，頁 </w:t>
      </w:r>
      <w:r>
        <w:rPr>
          <w:rFonts w:ascii="Times New Roman" w:eastAsia="Times New Roman"/>
          <w:sz w:val="24"/>
        </w:rPr>
        <w:t>27-49</w:t>
      </w:r>
      <w:r>
        <w:rPr>
          <w:sz w:val="24"/>
        </w:rPr>
        <w:t>。</w:t>
      </w:r>
    </w:p>
    <w:p>
      <w:pPr>
        <w:pStyle w:val="ListParagraph"/>
        <w:numPr>
          <w:ilvl w:val="0"/>
          <w:numId w:val="40"/>
        </w:numPr>
        <w:tabs>
          <w:tab w:pos="1380" w:val="left" w:leader="none"/>
        </w:tabs>
        <w:spacing w:line="295" w:lineRule="auto" w:before="3" w:after="0"/>
        <w:ind w:left="1380" w:right="917" w:hanging="480"/>
        <w:jc w:val="both"/>
        <w:rPr>
          <w:sz w:val="24"/>
        </w:rPr>
      </w:pPr>
      <w:r>
        <w:rPr>
          <w:spacing w:val="-12"/>
          <w:sz w:val="24"/>
        </w:rPr>
        <w:t>湯德宗，〈憲法解釋與訴訟權保障</w:t>
      </w:r>
      <w:r>
        <w:rPr>
          <w:rFonts w:ascii="Times New Roman" w:eastAsia="Times New Roman"/>
          <w:sz w:val="24"/>
        </w:rPr>
        <w:t>--</w:t>
      </w:r>
      <w:r>
        <w:rPr>
          <w:spacing w:val="-16"/>
          <w:sz w:val="24"/>
        </w:rPr>
        <w:t>以公務員保障及懲戒為中心〉，《憲政時</w:t>
      </w:r>
      <w:r>
        <w:rPr>
          <w:spacing w:val="-25"/>
          <w:sz w:val="24"/>
        </w:rPr>
        <w:t>代》，第 </w:t>
      </w:r>
      <w:r>
        <w:rPr>
          <w:rFonts w:ascii="Times New Roman" w:eastAsia="Times New Roman"/>
          <w:sz w:val="24"/>
        </w:rPr>
        <w:t>30 </w:t>
      </w:r>
      <w:r>
        <w:rPr>
          <w:spacing w:val="-1"/>
          <w:sz w:val="24"/>
        </w:rPr>
        <w:t>卷第 </w:t>
      </w:r>
      <w:r>
        <w:rPr>
          <w:rFonts w:ascii="Times New Roman" w:eastAsia="Times New Roman"/>
          <w:sz w:val="24"/>
        </w:rPr>
        <w:t>3 </w:t>
      </w:r>
      <w:r>
        <w:rPr>
          <w:sz w:val="24"/>
        </w:rPr>
        <w:t>期，</w:t>
      </w:r>
      <w:r>
        <w:rPr>
          <w:rFonts w:ascii="Times New Roman" w:eastAsia="Times New Roman"/>
          <w:sz w:val="24"/>
        </w:rPr>
        <w:t>2005 </w:t>
      </w:r>
      <w:r>
        <w:rPr>
          <w:spacing w:val="-2"/>
          <w:sz w:val="24"/>
        </w:rPr>
        <w:t>年 </w:t>
      </w:r>
      <w:r>
        <w:rPr>
          <w:rFonts w:ascii="Times New Roman" w:eastAsia="Times New Roman"/>
          <w:sz w:val="24"/>
        </w:rPr>
        <w:t>1 </w:t>
      </w:r>
      <w:r>
        <w:rPr>
          <w:spacing w:val="-1"/>
          <w:sz w:val="24"/>
        </w:rPr>
        <w:t>月，頁 </w:t>
      </w:r>
      <w:r>
        <w:rPr>
          <w:rFonts w:ascii="Times New Roman" w:eastAsia="Times New Roman"/>
          <w:sz w:val="24"/>
        </w:rPr>
        <w:t>353-389</w:t>
      </w:r>
      <w:r>
        <w:rPr>
          <w:sz w:val="24"/>
        </w:rPr>
        <w:t>。</w:t>
      </w:r>
    </w:p>
    <w:p>
      <w:pPr>
        <w:pStyle w:val="ListParagraph"/>
        <w:numPr>
          <w:ilvl w:val="0"/>
          <w:numId w:val="40"/>
        </w:numPr>
        <w:tabs>
          <w:tab w:pos="1380" w:val="left" w:leader="none"/>
        </w:tabs>
        <w:spacing w:line="240" w:lineRule="auto" w:before="2" w:after="0"/>
        <w:ind w:left="1380" w:right="0" w:hanging="480"/>
        <w:jc w:val="both"/>
        <w:rPr>
          <w:sz w:val="24"/>
        </w:rPr>
      </w:pPr>
      <w:r>
        <w:rPr>
          <w:spacing w:val="-13"/>
          <w:sz w:val="24"/>
        </w:rPr>
        <w:t>劉宗德，〈日本公務員保障制度概述</w:t>
      </w:r>
      <w:r>
        <w:rPr>
          <w:rFonts w:ascii="Times New Roman" w:eastAsia="Times New Roman"/>
          <w:sz w:val="24"/>
        </w:rPr>
        <w:t>--</w:t>
      </w:r>
      <w:r>
        <w:rPr>
          <w:spacing w:val="-8"/>
          <w:sz w:val="24"/>
        </w:rPr>
        <w:t>兼論中日公務人員保障法制之比較〉，</w:t>
      </w:r>
    </w:p>
    <w:p>
      <w:pPr>
        <w:pStyle w:val="BodyText"/>
        <w:spacing w:before="79"/>
        <w:ind w:left="1380"/>
        <w:jc w:val="both"/>
      </w:pPr>
      <w:r>
        <w:rPr>
          <w:spacing w:val="-11"/>
        </w:rPr>
        <w:t>《制度設計型行政法學》，元照出版公司，</w:t>
      </w:r>
      <w:r>
        <w:rPr>
          <w:rFonts w:ascii="Times New Roman" w:eastAsia="Times New Roman"/>
        </w:rPr>
        <w:t>2009 </w:t>
      </w:r>
      <w:r>
        <w:rPr>
          <w:spacing w:val="-2"/>
        </w:rPr>
        <w:t>年 </w:t>
      </w:r>
      <w:r>
        <w:rPr>
          <w:rFonts w:ascii="Times New Roman" w:eastAsia="Times New Roman"/>
        </w:rPr>
        <w:t>5 </w:t>
      </w:r>
      <w:r>
        <w:rPr>
          <w:spacing w:val="-1"/>
        </w:rPr>
        <w:t>月，頁 </w:t>
      </w:r>
      <w:r>
        <w:rPr>
          <w:rFonts w:ascii="Times New Roman" w:eastAsia="Times New Roman"/>
        </w:rPr>
        <w:t>95-109</w:t>
      </w:r>
      <w:r>
        <w:rPr/>
        <w:t>。</w:t>
      </w:r>
    </w:p>
    <w:p>
      <w:pPr>
        <w:pStyle w:val="ListParagraph"/>
        <w:numPr>
          <w:ilvl w:val="0"/>
          <w:numId w:val="40"/>
        </w:numPr>
        <w:tabs>
          <w:tab w:pos="1380" w:val="left" w:leader="none"/>
        </w:tabs>
        <w:spacing w:line="295" w:lineRule="auto" w:before="78" w:after="0"/>
        <w:ind w:left="1380" w:right="917" w:hanging="480"/>
        <w:jc w:val="both"/>
        <w:rPr>
          <w:sz w:val="24"/>
        </w:rPr>
      </w:pPr>
      <w:r>
        <w:rPr>
          <w:spacing w:val="-21"/>
          <w:sz w:val="24"/>
        </w:rPr>
        <w:t>蔡秀卿，〈日本公務員不利處分爭訟制度〉，《行政訴訟論文彙編</w:t>
      </w:r>
      <w:r>
        <w:rPr>
          <w:rFonts w:ascii="Times New Roman" w:eastAsia="Times New Roman"/>
          <w:sz w:val="24"/>
        </w:rPr>
        <w:t>--</w:t>
      </w:r>
      <w:r>
        <w:rPr>
          <w:sz w:val="24"/>
        </w:rPr>
        <w:t>人事行政爭訟（第三輯</w:t>
      </w:r>
      <w:r>
        <w:rPr>
          <w:spacing w:val="-120"/>
          <w:sz w:val="24"/>
        </w:rPr>
        <w:t>）</w:t>
      </w:r>
      <w:r>
        <w:rPr>
          <w:spacing w:val="-20"/>
          <w:sz w:val="24"/>
        </w:rPr>
        <w:t>》，司法院，</w:t>
      </w:r>
      <w:r>
        <w:rPr>
          <w:rFonts w:ascii="Times New Roman" w:eastAsia="Times New Roman"/>
          <w:sz w:val="24"/>
        </w:rPr>
        <w:t>2002</w:t>
      </w:r>
      <w:r>
        <w:rPr>
          <w:rFonts w:ascii="Times New Roman" w:eastAsia="Times New Roman"/>
          <w:spacing w:val="-1"/>
          <w:sz w:val="24"/>
        </w:rPr>
        <w:t> </w:t>
      </w:r>
      <w:r>
        <w:rPr>
          <w:spacing w:val="-2"/>
          <w:sz w:val="24"/>
        </w:rPr>
        <w:t>年 </w:t>
      </w:r>
      <w:r>
        <w:rPr>
          <w:rFonts w:ascii="Times New Roman" w:eastAsia="Times New Roman"/>
          <w:sz w:val="24"/>
        </w:rPr>
        <w:t>11 </w:t>
      </w:r>
      <w:r>
        <w:rPr>
          <w:sz w:val="24"/>
        </w:rPr>
        <w:t>月。</w:t>
      </w:r>
    </w:p>
    <w:p>
      <w:pPr>
        <w:pStyle w:val="ListParagraph"/>
        <w:numPr>
          <w:ilvl w:val="0"/>
          <w:numId w:val="40"/>
        </w:numPr>
        <w:tabs>
          <w:tab w:pos="1380" w:val="left" w:leader="none"/>
        </w:tabs>
        <w:spacing w:line="295" w:lineRule="auto" w:before="2" w:after="0"/>
        <w:ind w:left="1380" w:right="917" w:hanging="480"/>
        <w:jc w:val="both"/>
        <w:rPr>
          <w:sz w:val="24"/>
        </w:rPr>
      </w:pPr>
      <w:r>
        <w:rPr>
          <w:spacing w:val="-22"/>
          <w:sz w:val="24"/>
        </w:rPr>
        <w:t>蔡震榮，〈公務人員保障法相關問題之探討〉，《公務員保障法專題研究</w:t>
      </w:r>
      <w:r>
        <w:rPr>
          <w:rFonts w:ascii="Times New Roman" w:eastAsia="Times New Roman"/>
          <w:sz w:val="24"/>
        </w:rPr>
        <w:t>--</w:t>
      </w:r>
      <w:r>
        <w:rPr>
          <w:sz w:val="24"/>
        </w:rPr>
        <w:t>訴願相關法令專題研究（第六輯</w:t>
      </w:r>
      <w:r>
        <w:rPr>
          <w:spacing w:val="-120"/>
          <w:sz w:val="24"/>
        </w:rPr>
        <w:t>）</w:t>
      </w:r>
      <w:r>
        <w:rPr>
          <w:spacing w:val="-15"/>
          <w:sz w:val="24"/>
        </w:rPr>
        <w:t>》，元照出版公司，</w:t>
      </w:r>
      <w:r>
        <w:rPr>
          <w:rFonts w:ascii="Times New Roman" w:eastAsia="Times New Roman"/>
          <w:sz w:val="24"/>
        </w:rPr>
        <w:t>2005 </w:t>
      </w:r>
      <w:r>
        <w:rPr>
          <w:spacing w:val="-2"/>
          <w:sz w:val="24"/>
        </w:rPr>
        <w:t>年 </w:t>
      </w:r>
      <w:r>
        <w:rPr>
          <w:rFonts w:ascii="Times New Roman" w:eastAsia="Times New Roman"/>
          <w:sz w:val="24"/>
        </w:rPr>
        <w:t>6 </w:t>
      </w:r>
      <w:r>
        <w:rPr>
          <w:sz w:val="24"/>
        </w:rPr>
        <w:t>月，</w:t>
      </w:r>
      <w:r>
        <w:rPr>
          <w:rFonts w:ascii="Times New Roman" w:eastAsia="Times New Roman"/>
          <w:sz w:val="24"/>
        </w:rPr>
        <w:t>26-53</w:t>
      </w:r>
      <w:r>
        <w:rPr>
          <w:sz w:val="24"/>
        </w:rPr>
        <w:t>。</w:t>
      </w:r>
    </w:p>
    <w:p>
      <w:pPr>
        <w:pStyle w:val="BodyText"/>
        <w:rPr>
          <w:sz w:val="26"/>
        </w:rPr>
      </w:pPr>
    </w:p>
    <w:p>
      <w:pPr>
        <w:pStyle w:val="BodyText"/>
        <w:spacing w:before="10"/>
        <w:rPr>
          <w:sz w:val="25"/>
        </w:rPr>
      </w:pPr>
    </w:p>
    <w:p>
      <w:pPr>
        <w:pStyle w:val="Heading2"/>
        <w:rPr>
          <w:rFonts w:ascii="標楷體" w:eastAsia="標楷體" w:hint="eastAsia"/>
        </w:rPr>
      </w:pPr>
      <w:r>
        <w:rPr>
          <w:rFonts w:ascii="標楷體" w:eastAsia="標楷體" w:hint="eastAsia"/>
        </w:rPr>
        <w:t>（三）研究計畫</w:t>
      </w:r>
    </w:p>
    <w:p>
      <w:pPr>
        <w:pStyle w:val="BodyText"/>
        <w:spacing w:before="4"/>
        <w:rPr>
          <w:rFonts w:ascii="標楷體"/>
          <w:b/>
          <w:sz w:val="27"/>
        </w:rPr>
      </w:pPr>
    </w:p>
    <w:p>
      <w:pPr>
        <w:pStyle w:val="ListParagraph"/>
        <w:numPr>
          <w:ilvl w:val="0"/>
          <w:numId w:val="41"/>
        </w:numPr>
        <w:tabs>
          <w:tab w:pos="1379" w:val="left" w:leader="none"/>
          <w:tab w:pos="1380" w:val="left" w:leader="none"/>
        </w:tabs>
        <w:spacing w:line="295" w:lineRule="auto" w:before="0" w:after="0"/>
        <w:ind w:left="1380" w:right="917" w:hanging="480"/>
        <w:jc w:val="left"/>
        <w:rPr>
          <w:sz w:val="24"/>
        </w:rPr>
      </w:pPr>
      <w:r>
        <w:rPr>
          <w:spacing w:val="-3"/>
          <w:sz w:val="24"/>
        </w:rPr>
        <w:t>《公務人員保障暨培訓委員會 </w:t>
      </w:r>
      <w:r>
        <w:rPr>
          <w:rFonts w:ascii="Times New Roman" w:eastAsia="Times New Roman"/>
          <w:spacing w:val="-1"/>
          <w:sz w:val="24"/>
        </w:rPr>
        <w:t>87</w:t>
      </w:r>
      <w:r>
        <w:rPr>
          <w:rFonts w:ascii="Times New Roman" w:eastAsia="Times New Roman"/>
          <w:spacing w:val="-12"/>
          <w:sz w:val="24"/>
        </w:rPr>
        <w:t> </w:t>
      </w:r>
      <w:r>
        <w:rPr>
          <w:spacing w:val="-1"/>
          <w:sz w:val="24"/>
        </w:rPr>
        <w:t>年度加拿大考察報告</w:t>
      </w:r>
      <w:r>
        <w:rPr>
          <w:spacing w:val="-19"/>
          <w:sz w:val="24"/>
        </w:rPr>
        <w:t>》，公務人員保障暨培</w:t>
      </w:r>
      <w:r>
        <w:rPr>
          <w:sz w:val="24"/>
        </w:rPr>
        <w:t>訓委員會編印，</w:t>
      </w:r>
      <w:r>
        <w:rPr>
          <w:rFonts w:ascii="Times New Roman" w:eastAsia="Times New Roman"/>
          <w:sz w:val="24"/>
        </w:rPr>
        <w:t>1998 </w:t>
      </w:r>
      <w:r>
        <w:rPr>
          <w:sz w:val="24"/>
        </w:rPr>
        <w:t>年。</w:t>
      </w:r>
    </w:p>
    <w:p>
      <w:pPr>
        <w:pStyle w:val="ListParagraph"/>
        <w:numPr>
          <w:ilvl w:val="0"/>
          <w:numId w:val="41"/>
        </w:numPr>
        <w:tabs>
          <w:tab w:pos="1379" w:val="left" w:leader="none"/>
          <w:tab w:pos="1380" w:val="left" w:leader="none"/>
        </w:tabs>
        <w:spacing w:line="295" w:lineRule="auto" w:before="3" w:after="0"/>
        <w:ind w:left="1380" w:right="917" w:hanging="480"/>
        <w:jc w:val="left"/>
        <w:rPr>
          <w:sz w:val="24"/>
        </w:rPr>
      </w:pPr>
      <w:r>
        <w:rPr>
          <w:spacing w:val="-3"/>
          <w:sz w:val="24"/>
        </w:rPr>
        <w:t>《公務人員保障暨培訓委員會 </w:t>
      </w:r>
      <w:r>
        <w:rPr>
          <w:rFonts w:ascii="Times New Roman" w:eastAsia="Times New Roman"/>
          <w:spacing w:val="-1"/>
          <w:sz w:val="24"/>
        </w:rPr>
        <w:t>87</w:t>
      </w:r>
      <w:r>
        <w:rPr>
          <w:rFonts w:ascii="Times New Roman" w:eastAsia="Times New Roman"/>
          <w:spacing w:val="-12"/>
          <w:sz w:val="24"/>
        </w:rPr>
        <w:t> </w:t>
      </w:r>
      <w:r>
        <w:rPr>
          <w:spacing w:val="-1"/>
          <w:sz w:val="24"/>
        </w:rPr>
        <w:t>年度赴澳大利亞考察報告</w:t>
      </w:r>
      <w:r>
        <w:rPr>
          <w:spacing w:val="-23"/>
          <w:sz w:val="24"/>
        </w:rPr>
        <w:t>》，公務人員保障</w:t>
      </w:r>
      <w:r>
        <w:rPr>
          <w:sz w:val="24"/>
        </w:rPr>
        <w:t>暨培訓委員會編印，</w:t>
      </w:r>
      <w:r>
        <w:rPr>
          <w:rFonts w:ascii="Times New Roman" w:eastAsia="Times New Roman"/>
          <w:sz w:val="24"/>
        </w:rPr>
        <w:t>1998 </w:t>
      </w:r>
      <w:r>
        <w:rPr>
          <w:sz w:val="24"/>
        </w:rPr>
        <w:t>年。</w:t>
      </w:r>
    </w:p>
    <w:p>
      <w:pPr>
        <w:pStyle w:val="ListParagraph"/>
        <w:numPr>
          <w:ilvl w:val="0"/>
          <w:numId w:val="41"/>
        </w:numPr>
        <w:tabs>
          <w:tab w:pos="1379" w:val="left" w:leader="none"/>
          <w:tab w:pos="1380" w:val="left" w:leader="none"/>
        </w:tabs>
        <w:spacing w:line="295" w:lineRule="auto" w:before="2" w:after="0"/>
        <w:ind w:left="1380" w:right="917" w:hanging="480"/>
        <w:jc w:val="left"/>
        <w:rPr>
          <w:sz w:val="24"/>
        </w:rPr>
      </w:pPr>
      <w:r>
        <w:rPr>
          <w:spacing w:val="-15"/>
          <w:sz w:val="24"/>
        </w:rPr>
        <w:t>吳庚主持，《公務人員保障法制問題之研究</w:t>
      </w:r>
      <w:r>
        <w:rPr>
          <w:spacing w:val="-14"/>
          <w:sz w:val="24"/>
        </w:rPr>
        <w:t>》，公務人員保障暨培訓委員會委</w:t>
      </w:r>
      <w:r>
        <w:rPr>
          <w:spacing w:val="-1"/>
          <w:sz w:val="24"/>
        </w:rPr>
        <w:t>託研究計畫，民國 </w:t>
      </w:r>
      <w:r>
        <w:rPr>
          <w:rFonts w:ascii="Times New Roman" w:eastAsia="Times New Roman"/>
          <w:sz w:val="24"/>
        </w:rPr>
        <w:t>1998 </w:t>
      </w:r>
      <w:r>
        <w:rPr>
          <w:sz w:val="24"/>
        </w:rPr>
        <w:t>年。</w:t>
      </w:r>
    </w:p>
    <w:p>
      <w:pPr>
        <w:pStyle w:val="ListParagraph"/>
        <w:numPr>
          <w:ilvl w:val="0"/>
          <w:numId w:val="41"/>
        </w:numPr>
        <w:tabs>
          <w:tab w:pos="1379" w:val="left" w:leader="none"/>
          <w:tab w:pos="1380" w:val="left" w:leader="none"/>
        </w:tabs>
        <w:spacing w:line="295" w:lineRule="auto" w:before="2" w:after="0"/>
        <w:ind w:left="1380" w:right="917" w:hanging="480"/>
        <w:jc w:val="left"/>
        <w:rPr>
          <w:rFonts w:ascii="Times New Roman" w:eastAsia="Times New Roman"/>
          <w:sz w:val="24"/>
        </w:rPr>
      </w:pPr>
      <w:r>
        <w:rPr>
          <w:spacing w:val="-12"/>
          <w:sz w:val="24"/>
        </w:rPr>
        <w:t>林明昕，〈公務人員保障救濟程序中暫時權利保護制度之研究－以保訓會之</w:t>
      </w:r>
      <w:r>
        <w:rPr>
          <w:spacing w:val="-1"/>
          <w:sz w:val="24"/>
        </w:rPr>
        <w:t>停止執行為中心－</w:t>
      </w:r>
      <w:r>
        <w:rPr>
          <w:spacing w:val="-23"/>
          <w:sz w:val="24"/>
        </w:rPr>
        <w:t>〉，《公務人員保障暨培訓委員會 </w:t>
      </w:r>
      <w:r>
        <w:rPr>
          <w:rFonts w:ascii="Times New Roman" w:eastAsia="Times New Roman"/>
          <w:sz w:val="24"/>
        </w:rPr>
        <w:t>98</w:t>
      </w:r>
      <w:r>
        <w:rPr>
          <w:rFonts w:ascii="Times New Roman" w:eastAsia="Times New Roman"/>
          <w:spacing w:val="-12"/>
          <w:sz w:val="24"/>
        </w:rPr>
        <w:t> </w:t>
      </w:r>
      <w:r>
        <w:rPr>
          <w:sz w:val="24"/>
        </w:rPr>
        <w:t>年度研究計畫</w:t>
      </w:r>
      <w:r>
        <w:rPr>
          <w:spacing w:val="-72"/>
          <w:sz w:val="24"/>
        </w:rPr>
        <w:t>》，</w:t>
      </w:r>
      <w:r>
        <w:rPr>
          <w:rFonts w:ascii="Times New Roman" w:eastAsia="Times New Roman"/>
          <w:sz w:val="24"/>
        </w:rPr>
        <w:t>2009</w:t>
      </w:r>
    </w:p>
    <w:p>
      <w:pPr>
        <w:spacing w:after="0" w:line="295" w:lineRule="auto"/>
        <w:jc w:val="left"/>
        <w:rPr>
          <w:rFonts w:ascii="Times New Roman" w:eastAsia="Times New Roman"/>
          <w:sz w:val="24"/>
        </w:rPr>
        <w:sectPr>
          <w:pgSz w:w="11910" w:h="16840"/>
          <w:pgMar w:header="0" w:footer="938" w:top="1420" w:bottom="1200" w:left="900" w:right="880"/>
        </w:sectPr>
      </w:pPr>
    </w:p>
    <w:p>
      <w:pPr>
        <w:pStyle w:val="BodyText"/>
        <w:spacing w:before="58"/>
        <w:ind w:left="1380"/>
      </w:pPr>
      <w:r>
        <w:rPr>
          <w:spacing w:val="-2"/>
        </w:rPr>
        <w:t>年 </w:t>
      </w:r>
      <w:r>
        <w:rPr>
          <w:rFonts w:ascii="Times New Roman" w:eastAsia="Times New Roman"/>
        </w:rPr>
        <w:t>12 </w:t>
      </w:r>
      <w:r>
        <w:rPr/>
        <w:t>月。</w:t>
      </w:r>
    </w:p>
    <w:p>
      <w:pPr>
        <w:pStyle w:val="ListParagraph"/>
        <w:numPr>
          <w:ilvl w:val="0"/>
          <w:numId w:val="41"/>
        </w:numPr>
        <w:tabs>
          <w:tab w:pos="1379" w:val="left" w:leader="none"/>
          <w:tab w:pos="1380" w:val="left" w:leader="none"/>
        </w:tabs>
        <w:spacing w:line="295" w:lineRule="auto" w:before="78" w:after="0"/>
        <w:ind w:left="1380" w:right="917" w:hanging="480"/>
        <w:jc w:val="left"/>
        <w:rPr>
          <w:sz w:val="24"/>
        </w:rPr>
      </w:pPr>
      <w:r>
        <w:rPr>
          <w:spacing w:val="-19"/>
          <w:sz w:val="24"/>
        </w:rPr>
        <w:t>法治斌主持，《蒐集、編譯美國公務人員保障制度及法規專案》，公務人員保</w:t>
      </w:r>
      <w:r>
        <w:rPr>
          <w:spacing w:val="-1"/>
          <w:sz w:val="24"/>
        </w:rPr>
        <w:t>障暨培訓委員會委託研究計畫，民國 </w:t>
      </w:r>
      <w:r>
        <w:rPr>
          <w:rFonts w:ascii="Times New Roman" w:eastAsia="Times New Roman"/>
          <w:sz w:val="24"/>
        </w:rPr>
        <w:t>1999 </w:t>
      </w:r>
      <w:r>
        <w:rPr>
          <w:sz w:val="24"/>
        </w:rPr>
        <w:t>年。</w:t>
      </w:r>
    </w:p>
    <w:p>
      <w:pPr>
        <w:pStyle w:val="ListParagraph"/>
        <w:numPr>
          <w:ilvl w:val="0"/>
          <w:numId w:val="41"/>
        </w:numPr>
        <w:tabs>
          <w:tab w:pos="1379" w:val="left" w:leader="none"/>
          <w:tab w:pos="1380" w:val="left" w:leader="none"/>
        </w:tabs>
        <w:spacing w:line="295" w:lineRule="auto" w:before="3" w:after="0"/>
        <w:ind w:left="1380" w:right="942" w:hanging="480"/>
        <w:jc w:val="left"/>
        <w:rPr>
          <w:sz w:val="24"/>
        </w:rPr>
      </w:pPr>
      <w:r>
        <w:rPr>
          <w:spacing w:val="-21"/>
          <w:sz w:val="24"/>
        </w:rPr>
        <w:t>許宗力，〈行政契約法概要〉，收錄於翁岳生主持《行政程序法之研究》，行</w:t>
      </w:r>
      <w:r>
        <w:rPr>
          <w:sz w:val="24"/>
        </w:rPr>
        <w:t>行政政院經建會經社法規研究報告，</w:t>
      </w:r>
      <w:r>
        <w:rPr>
          <w:rFonts w:ascii="Times New Roman" w:eastAsia="Times New Roman"/>
          <w:sz w:val="24"/>
        </w:rPr>
        <w:t>1989 </w:t>
      </w:r>
      <w:r>
        <w:rPr>
          <w:sz w:val="24"/>
        </w:rPr>
        <w:t>年。</w:t>
      </w:r>
    </w:p>
    <w:p>
      <w:pPr>
        <w:pStyle w:val="ListParagraph"/>
        <w:numPr>
          <w:ilvl w:val="0"/>
          <w:numId w:val="41"/>
        </w:numPr>
        <w:tabs>
          <w:tab w:pos="1379" w:val="left" w:leader="none"/>
          <w:tab w:pos="1380" w:val="left" w:leader="none"/>
        </w:tabs>
        <w:spacing w:line="295" w:lineRule="auto" w:before="2" w:after="0"/>
        <w:ind w:left="1380" w:right="917" w:hanging="480"/>
        <w:jc w:val="left"/>
        <w:rPr>
          <w:sz w:val="24"/>
        </w:rPr>
      </w:pPr>
      <w:r>
        <w:rPr>
          <w:spacing w:val="-19"/>
          <w:sz w:val="24"/>
        </w:rPr>
        <w:t>陳春生主持，《蒐集、編譯德國公務人員保障制度及法規專案》，公務人員保</w:t>
      </w:r>
      <w:r>
        <w:rPr>
          <w:spacing w:val="-1"/>
          <w:sz w:val="24"/>
        </w:rPr>
        <w:t>障暨培訓委員會委託研究計畫，民國 </w:t>
      </w:r>
      <w:r>
        <w:rPr>
          <w:rFonts w:ascii="Times New Roman" w:eastAsia="Times New Roman"/>
          <w:sz w:val="24"/>
        </w:rPr>
        <w:t>1999 </w:t>
      </w:r>
      <w:r>
        <w:rPr>
          <w:spacing w:val="-2"/>
          <w:sz w:val="24"/>
        </w:rPr>
        <w:t>年 </w:t>
      </w:r>
      <w:r>
        <w:rPr>
          <w:rFonts w:ascii="Times New Roman" w:eastAsia="Times New Roman"/>
          <w:sz w:val="24"/>
        </w:rPr>
        <w:t>6 </w:t>
      </w:r>
      <w:r>
        <w:rPr>
          <w:sz w:val="24"/>
        </w:rPr>
        <w:t>月。</w:t>
      </w:r>
    </w:p>
    <w:p>
      <w:pPr>
        <w:pStyle w:val="ListParagraph"/>
        <w:numPr>
          <w:ilvl w:val="0"/>
          <w:numId w:val="41"/>
        </w:numPr>
        <w:tabs>
          <w:tab w:pos="1379" w:val="left" w:leader="none"/>
          <w:tab w:pos="1380" w:val="left" w:leader="none"/>
        </w:tabs>
        <w:spacing w:line="295" w:lineRule="auto" w:before="3" w:after="0"/>
        <w:ind w:left="1380" w:right="917" w:hanging="480"/>
        <w:jc w:val="left"/>
        <w:rPr>
          <w:sz w:val="24"/>
        </w:rPr>
      </w:pPr>
      <w:r>
        <w:rPr>
          <w:spacing w:val="-15"/>
          <w:sz w:val="24"/>
        </w:rPr>
        <w:t>陳愛娥主持，《公務人員保障案件之調處制度</w:t>
      </w:r>
      <w:r>
        <w:rPr>
          <w:spacing w:val="-14"/>
          <w:sz w:val="24"/>
        </w:rPr>
        <w:t>》，公務人員保障暨培訓委員會</w:t>
      </w:r>
      <w:r>
        <w:rPr>
          <w:spacing w:val="-1"/>
          <w:sz w:val="24"/>
        </w:rPr>
        <w:t>委託研究計畫，民國 </w:t>
      </w:r>
      <w:r>
        <w:rPr>
          <w:rFonts w:ascii="Times New Roman" w:eastAsia="Times New Roman"/>
          <w:sz w:val="24"/>
        </w:rPr>
        <w:t>2000 </w:t>
      </w:r>
      <w:r>
        <w:rPr>
          <w:sz w:val="24"/>
        </w:rPr>
        <w:t>年。</w:t>
      </w:r>
    </w:p>
    <w:p>
      <w:pPr>
        <w:pStyle w:val="ListParagraph"/>
        <w:numPr>
          <w:ilvl w:val="0"/>
          <w:numId w:val="41"/>
        </w:numPr>
        <w:tabs>
          <w:tab w:pos="1379" w:val="left" w:leader="none"/>
          <w:tab w:pos="1380" w:val="left" w:leader="none"/>
        </w:tabs>
        <w:spacing w:line="295" w:lineRule="auto" w:before="2" w:after="0"/>
        <w:ind w:left="1380" w:right="917" w:hanging="480"/>
        <w:jc w:val="left"/>
        <w:rPr>
          <w:sz w:val="24"/>
        </w:rPr>
      </w:pPr>
      <w:r>
        <w:rPr>
          <w:spacing w:val="-19"/>
          <w:sz w:val="24"/>
        </w:rPr>
        <w:t>廖義男主持，《研究建立文官法庭制度，強化審議程序專題研究》，公務人員</w:t>
      </w:r>
      <w:r>
        <w:rPr>
          <w:spacing w:val="-1"/>
          <w:sz w:val="24"/>
        </w:rPr>
        <w:t>保障暨培訓委員會委託研究計畫，民國 </w:t>
      </w:r>
      <w:r>
        <w:rPr>
          <w:rFonts w:ascii="Times New Roman" w:eastAsia="Times New Roman"/>
          <w:sz w:val="24"/>
        </w:rPr>
        <w:t>1999 </w:t>
      </w:r>
      <w:r>
        <w:rPr>
          <w:sz w:val="24"/>
        </w:rPr>
        <w:t>年。</w:t>
      </w:r>
    </w:p>
    <w:p>
      <w:pPr>
        <w:pStyle w:val="ListParagraph"/>
        <w:numPr>
          <w:ilvl w:val="0"/>
          <w:numId w:val="41"/>
        </w:numPr>
        <w:tabs>
          <w:tab w:pos="1380" w:val="left" w:leader="none"/>
        </w:tabs>
        <w:spacing w:line="295" w:lineRule="auto" w:before="2" w:after="0"/>
        <w:ind w:left="1380" w:right="917" w:hanging="480"/>
        <w:jc w:val="left"/>
        <w:rPr>
          <w:sz w:val="24"/>
        </w:rPr>
      </w:pPr>
      <w:r>
        <w:rPr>
          <w:spacing w:val="-19"/>
          <w:sz w:val="24"/>
        </w:rPr>
        <w:t>蔡茂寅主持，《蒐集、編譯日本公務人員保障制度及法規專案》，公務人員保</w:t>
      </w:r>
      <w:r>
        <w:rPr>
          <w:spacing w:val="-1"/>
          <w:sz w:val="24"/>
        </w:rPr>
        <w:t>障暨培訓委員會委託研究計畫，民國 </w:t>
      </w:r>
      <w:r>
        <w:rPr>
          <w:rFonts w:ascii="Times New Roman" w:eastAsia="Times New Roman"/>
          <w:sz w:val="24"/>
        </w:rPr>
        <w:t>1999 </w:t>
      </w:r>
      <w:r>
        <w:rPr>
          <w:sz w:val="24"/>
        </w:rPr>
        <w:t>年。</w:t>
      </w:r>
    </w:p>
    <w:p>
      <w:pPr>
        <w:pStyle w:val="BodyText"/>
        <w:spacing w:before="12"/>
        <w:rPr>
          <w:sz w:val="38"/>
        </w:rPr>
      </w:pPr>
    </w:p>
    <w:p>
      <w:pPr>
        <w:pStyle w:val="Heading2"/>
        <w:rPr>
          <w:rFonts w:ascii="標楷體" w:eastAsia="標楷體" w:hint="eastAsia"/>
        </w:rPr>
      </w:pPr>
      <w:r>
        <w:rPr>
          <w:rFonts w:ascii="標楷體" w:eastAsia="標楷體" w:hint="eastAsia"/>
        </w:rPr>
        <w:t>（四）研討會論文</w:t>
      </w:r>
    </w:p>
    <w:p>
      <w:pPr>
        <w:pStyle w:val="ListParagraph"/>
        <w:numPr>
          <w:ilvl w:val="0"/>
          <w:numId w:val="42"/>
        </w:numPr>
        <w:tabs>
          <w:tab w:pos="1380" w:val="left" w:leader="none"/>
        </w:tabs>
        <w:spacing w:line="295" w:lineRule="auto" w:before="202" w:after="0"/>
        <w:ind w:left="1380" w:right="917" w:hanging="480"/>
        <w:jc w:val="both"/>
        <w:rPr>
          <w:sz w:val="24"/>
        </w:rPr>
      </w:pPr>
      <w:r>
        <w:rPr>
          <w:spacing w:val="-15"/>
          <w:sz w:val="24"/>
        </w:rPr>
        <w:t>林昱梅，〈公務人員保障法復審標的之探析</w:t>
      </w:r>
      <w:r>
        <w:rPr>
          <w:spacing w:val="-14"/>
          <w:sz w:val="24"/>
        </w:rPr>
        <w:t>〉，公務人員保障暨培訓委員會主</w:t>
      </w:r>
      <w:r>
        <w:rPr>
          <w:sz w:val="24"/>
        </w:rPr>
        <w:t>辦《</w:t>
      </w:r>
      <w:r>
        <w:rPr>
          <w:rFonts w:ascii="Times New Roman" w:eastAsia="Times New Roman"/>
          <w:sz w:val="24"/>
        </w:rPr>
        <w:t>100</w:t>
      </w:r>
      <w:r>
        <w:rPr>
          <w:rFonts w:ascii="Times New Roman" w:eastAsia="Times New Roman"/>
          <w:spacing w:val="-1"/>
          <w:sz w:val="24"/>
        </w:rPr>
        <w:t> </w:t>
      </w:r>
      <w:r>
        <w:rPr>
          <w:spacing w:val="-9"/>
          <w:sz w:val="24"/>
        </w:rPr>
        <w:t>年度公務人員保障法制研討會》，</w:t>
      </w:r>
      <w:r>
        <w:rPr>
          <w:rFonts w:ascii="Times New Roman" w:eastAsia="Times New Roman"/>
          <w:sz w:val="24"/>
        </w:rPr>
        <w:t>2011 </w:t>
      </w:r>
      <w:r>
        <w:rPr>
          <w:spacing w:val="-2"/>
          <w:sz w:val="24"/>
        </w:rPr>
        <w:t>年 </w:t>
      </w:r>
      <w:r>
        <w:rPr>
          <w:rFonts w:ascii="Times New Roman" w:eastAsia="Times New Roman"/>
          <w:sz w:val="24"/>
        </w:rPr>
        <w:t>9</w:t>
      </w:r>
      <w:r>
        <w:rPr>
          <w:rFonts w:ascii="Times New Roman" w:eastAsia="Times New Roman"/>
          <w:spacing w:val="-1"/>
          <w:sz w:val="24"/>
        </w:rPr>
        <w:t> </w:t>
      </w:r>
      <w:r>
        <w:rPr>
          <w:spacing w:val="-2"/>
          <w:sz w:val="24"/>
        </w:rPr>
        <w:t>月 </w:t>
      </w:r>
      <w:r>
        <w:rPr>
          <w:rFonts w:ascii="Times New Roman" w:eastAsia="Times New Roman"/>
          <w:sz w:val="24"/>
        </w:rPr>
        <w:t>27 </w:t>
      </w:r>
      <w:r>
        <w:rPr>
          <w:sz w:val="24"/>
        </w:rPr>
        <w:t>日。</w:t>
      </w:r>
    </w:p>
    <w:p>
      <w:pPr>
        <w:pStyle w:val="ListParagraph"/>
        <w:numPr>
          <w:ilvl w:val="0"/>
          <w:numId w:val="42"/>
        </w:numPr>
        <w:tabs>
          <w:tab w:pos="1380" w:val="left" w:leader="none"/>
        </w:tabs>
        <w:spacing w:line="295" w:lineRule="auto" w:before="182" w:after="0"/>
        <w:ind w:left="1380" w:right="914" w:hanging="480"/>
        <w:jc w:val="both"/>
        <w:rPr>
          <w:sz w:val="24"/>
        </w:rPr>
      </w:pPr>
      <w:r>
        <w:rPr>
          <w:spacing w:val="-22"/>
          <w:sz w:val="24"/>
        </w:rPr>
        <w:t>陳愛娥，〈政府採購爭議之暫時權利保障〉，台灣行政法學會主辦《「公法上</w:t>
      </w:r>
      <w:r>
        <w:rPr>
          <w:spacing w:val="-8"/>
          <w:sz w:val="24"/>
        </w:rPr>
        <w:t>暫時處置及其權利救濟、公法上之暫時權利救濟」學術研討會論文集</w:t>
      </w:r>
      <w:r>
        <w:rPr>
          <w:spacing w:val="-80"/>
          <w:sz w:val="24"/>
        </w:rPr>
        <w:t>》，</w:t>
      </w:r>
      <w:r>
        <w:rPr>
          <w:rFonts w:ascii="Times New Roman" w:eastAsia="Times New Roman"/>
          <w:spacing w:val="-3"/>
          <w:sz w:val="24"/>
        </w:rPr>
        <w:t>2010</w:t>
      </w:r>
      <w:r>
        <w:rPr>
          <w:rFonts w:ascii="Times New Roman" w:eastAsia="Times New Roman"/>
          <w:spacing w:val="-58"/>
          <w:sz w:val="24"/>
        </w:rPr>
        <w:t> </w:t>
      </w:r>
      <w:r>
        <w:rPr>
          <w:spacing w:val="-2"/>
          <w:sz w:val="24"/>
        </w:rPr>
        <w:t>年 </w:t>
      </w:r>
      <w:r>
        <w:rPr>
          <w:rFonts w:ascii="Times New Roman" w:eastAsia="Times New Roman"/>
          <w:sz w:val="24"/>
        </w:rPr>
        <w:t>9 </w:t>
      </w:r>
      <w:r>
        <w:rPr>
          <w:spacing w:val="-2"/>
          <w:sz w:val="24"/>
        </w:rPr>
        <w:t>月 </w:t>
      </w:r>
      <w:r>
        <w:rPr>
          <w:rFonts w:ascii="Times New Roman" w:eastAsia="Times New Roman"/>
          <w:sz w:val="24"/>
        </w:rPr>
        <w:t>17 </w:t>
      </w:r>
      <w:r>
        <w:rPr>
          <w:spacing w:val="-1"/>
          <w:sz w:val="24"/>
        </w:rPr>
        <w:t>日，頁 </w:t>
      </w:r>
      <w:r>
        <w:rPr>
          <w:rFonts w:ascii="Times New Roman" w:eastAsia="Times New Roman"/>
          <w:sz w:val="24"/>
        </w:rPr>
        <w:t>86-104</w:t>
      </w:r>
      <w:r>
        <w:rPr>
          <w:sz w:val="24"/>
        </w:rPr>
        <w:t>。</w:t>
      </w:r>
    </w:p>
    <w:p>
      <w:pPr>
        <w:pStyle w:val="BodyText"/>
        <w:rPr>
          <w:sz w:val="26"/>
        </w:rPr>
      </w:pPr>
    </w:p>
    <w:p>
      <w:pPr>
        <w:pStyle w:val="BodyText"/>
        <w:spacing w:before="9"/>
        <w:rPr>
          <w:sz w:val="38"/>
        </w:rPr>
      </w:pPr>
    </w:p>
    <w:p>
      <w:pPr>
        <w:pStyle w:val="Heading2"/>
        <w:rPr>
          <w:rFonts w:ascii="標楷體" w:eastAsia="標楷體" w:hint="eastAsia"/>
        </w:rPr>
      </w:pPr>
      <w:r>
        <w:rPr>
          <w:rFonts w:ascii="標楷體" w:eastAsia="標楷體" w:hint="eastAsia"/>
        </w:rPr>
        <w:t>（五）博、碩士論文</w:t>
      </w:r>
    </w:p>
    <w:p>
      <w:pPr>
        <w:pStyle w:val="BodyText"/>
        <w:spacing w:before="4"/>
        <w:rPr>
          <w:rFonts w:ascii="標楷體"/>
          <w:b/>
          <w:sz w:val="27"/>
        </w:rPr>
      </w:pPr>
    </w:p>
    <w:p>
      <w:pPr>
        <w:pStyle w:val="ListParagraph"/>
        <w:numPr>
          <w:ilvl w:val="0"/>
          <w:numId w:val="43"/>
        </w:numPr>
        <w:tabs>
          <w:tab w:pos="1379" w:val="left" w:leader="none"/>
          <w:tab w:pos="1380" w:val="left" w:leader="none"/>
        </w:tabs>
        <w:spacing w:line="295" w:lineRule="auto" w:before="0" w:after="0"/>
        <w:ind w:left="1380" w:right="917" w:hanging="480"/>
        <w:jc w:val="left"/>
        <w:rPr>
          <w:sz w:val="24"/>
        </w:rPr>
      </w:pPr>
      <w:r>
        <w:rPr>
          <w:spacing w:val="-15"/>
          <w:sz w:val="24"/>
        </w:rPr>
        <w:t>王慶豐，〈公務員不利處分救濟途徑一元化之探究</w:t>
      </w:r>
      <w:r>
        <w:rPr>
          <w:spacing w:val="-16"/>
          <w:sz w:val="24"/>
        </w:rPr>
        <w:t>〉，中正大學法律學研究所</w:t>
      </w:r>
      <w:r>
        <w:rPr>
          <w:spacing w:val="-1"/>
          <w:sz w:val="24"/>
        </w:rPr>
        <w:t>碩士論文，民國 </w:t>
      </w:r>
      <w:r>
        <w:rPr>
          <w:rFonts w:ascii="Times New Roman" w:eastAsia="Times New Roman"/>
          <w:sz w:val="24"/>
        </w:rPr>
        <w:t>99 </w:t>
      </w:r>
      <w:r>
        <w:rPr>
          <w:sz w:val="24"/>
        </w:rPr>
        <w:t>年。</w:t>
      </w:r>
    </w:p>
    <w:p>
      <w:pPr>
        <w:pStyle w:val="ListParagraph"/>
        <w:numPr>
          <w:ilvl w:val="0"/>
          <w:numId w:val="43"/>
        </w:numPr>
        <w:tabs>
          <w:tab w:pos="1379" w:val="left" w:leader="none"/>
          <w:tab w:pos="1380" w:val="left" w:leader="none"/>
        </w:tabs>
        <w:spacing w:line="295" w:lineRule="auto" w:before="3" w:after="0"/>
        <w:ind w:left="1379" w:right="917" w:hanging="480"/>
        <w:jc w:val="left"/>
        <w:rPr>
          <w:sz w:val="24"/>
        </w:rPr>
      </w:pPr>
      <w:r>
        <w:rPr>
          <w:spacing w:val="-15"/>
          <w:sz w:val="24"/>
        </w:rPr>
        <w:t>江宗正，〈公務人員保障暨培訓委員會行政救濟功能之研究</w:t>
      </w:r>
      <w:r>
        <w:rPr>
          <w:spacing w:val="-21"/>
          <w:sz w:val="24"/>
        </w:rPr>
        <w:t>〉，中國文化大學</w:t>
      </w:r>
      <w:r>
        <w:rPr>
          <w:spacing w:val="-1"/>
          <w:sz w:val="24"/>
        </w:rPr>
        <w:t>政治學研究所碩士論文，民國 </w:t>
      </w:r>
      <w:r>
        <w:rPr>
          <w:rFonts w:ascii="Times New Roman" w:eastAsia="Times New Roman"/>
          <w:sz w:val="24"/>
        </w:rPr>
        <w:t>90 </w:t>
      </w:r>
      <w:r>
        <w:rPr>
          <w:spacing w:val="-2"/>
          <w:sz w:val="24"/>
        </w:rPr>
        <w:t>年 </w:t>
      </w:r>
      <w:r>
        <w:rPr>
          <w:rFonts w:ascii="Times New Roman" w:eastAsia="Times New Roman"/>
          <w:sz w:val="24"/>
        </w:rPr>
        <w:t>6 </w:t>
      </w:r>
      <w:r>
        <w:rPr>
          <w:sz w:val="24"/>
        </w:rPr>
        <w:t>月。</w:t>
      </w:r>
    </w:p>
    <w:p>
      <w:pPr>
        <w:pStyle w:val="ListParagraph"/>
        <w:numPr>
          <w:ilvl w:val="0"/>
          <w:numId w:val="43"/>
        </w:numPr>
        <w:tabs>
          <w:tab w:pos="1379" w:val="left" w:leader="none"/>
          <w:tab w:pos="1380" w:val="left" w:leader="none"/>
        </w:tabs>
        <w:spacing w:line="295" w:lineRule="auto" w:before="2" w:after="0"/>
        <w:ind w:left="1379" w:right="938" w:hanging="480"/>
        <w:jc w:val="left"/>
        <w:rPr>
          <w:sz w:val="24"/>
        </w:rPr>
      </w:pPr>
      <w:r>
        <w:rPr>
          <w:spacing w:val="-16"/>
          <w:sz w:val="24"/>
        </w:rPr>
        <w:t>吳明軒，〈從特別權力關係的演變論我國公務人員保障法的制訂與實施</w:t>
      </w:r>
      <w:r>
        <w:rPr>
          <w:spacing w:val="-50"/>
          <w:sz w:val="24"/>
        </w:rPr>
        <w:t>〉，政</w:t>
      </w:r>
      <w:r>
        <w:rPr>
          <w:spacing w:val="-1"/>
          <w:sz w:val="24"/>
        </w:rPr>
        <w:t>治大學公共行政研究所碩士論文，民國 </w:t>
      </w:r>
      <w:r>
        <w:rPr>
          <w:rFonts w:ascii="Times New Roman" w:eastAsia="Times New Roman"/>
          <w:sz w:val="24"/>
        </w:rPr>
        <w:t>87 </w:t>
      </w:r>
      <w:r>
        <w:rPr>
          <w:spacing w:val="-2"/>
          <w:sz w:val="24"/>
        </w:rPr>
        <w:t>年 </w:t>
      </w:r>
      <w:r>
        <w:rPr>
          <w:rFonts w:ascii="Times New Roman" w:eastAsia="Times New Roman"/>
          <w:sz w:val="24"/>
        </w:rPr>
        <w:t>7 </w:t>
      </w:r>
      <w:r>
        <w:rPr>
          <w:sz w:val="24"/>
        </w:rPr>
        <w:t>月。</w:t>
      </w:r>
    </w:p>
    <w:p>
      <w:pPr>
        <w:pStyle w:val="ListParagraph"/>
        <w:numPr>
          <w:ilvl w:val="0"/>
          <w:numId w:val="43"/>
        </w:numPr>
        <w:tabs>
          <w:tab w:pos="1379" w:val="left" w:leader="none"/>
          <w:tab w:pos="1380" w:val="left" w:leader="none"/>
        </w:tabs>
        <w:spacing w:line="295" w:lineRule="auto" w:before="3" w:after="0"/>
        <w:ind w:left="1379" w:right="917" w:hanging="480"/>
        <w:jc w:val="left"/>
        <w:rPr>
          <w:sz w:val="24"/>
        </w:rPr>
      </w:pPr>
      <w:r>
        <w:rPr>
          <w:spacing w:val="-15"/>
          <w:sz w:val="24"/>
        </w:rPr>
        <w:t>周世珍，〈公務人員保障制度之理論與實際</w:t>
      </w:r>
      <w:r>
        <w:rPr>
          <w:spacing w:val="-14"/>
          <w:sz w:val="24"/>
        </w:rPr>
        <w:t>〉，臺北大學法律學系研究所博士</w:t>
      </w:r>
      <w:r>
        <w:rPr>
          <w:spacing w:val="-1"/>
          <w:sz w:val="24"/>
        </w:rPr>
        <w:t>論文，民國 </w:t>
      </w:r>
      <w:r>
        <w:rPr>
          <w:rFonts w:ascii="Times New Roman" w:eastAsia="Times New Roman"/>
          <w:sz w:val="24"/>
        </w:rPr>
        <w:t>90 </w:t>
      </w:r>
      <w:r>
        <w:rPr>
          <w:sz w:val="24"/>
        </w:rPr>
        <w:t>年。</w:t>
      </w:r>
    </w:p>
    <w:p>
      <w:pPr>
        <w:spacing w:after="0" w:line="295" w:lineRule="auto"/>
        <w:jc w:val="left"/>
        <w:rPr>
          <w:sz w:val="24"/>
        </w:rPr>
        <w:sectPr>
          <w:pgSz w:w="11910" w:h="16840"/>
          <w:pgMar w:header="0" w:footer="938" w:top="1420" w:bottom="1200" w:left="900" w:right="880"/>
        </w:sectPr>
      </w:pPr>
    </w:p>
    <w:p>
      <w:pPr>
        <w:pStyle w:val="ListParagraph"/>
        <w:numPr>
          <w:ilvl w:val="0"/>
          <w:numId w:val="43"/>
        </w:numPr>
        <w:tabs>
          <w:tab w:pos="1379" w:val="left" w:leader="none"/>
          <w:tab w:pos="1380" w:val="left" w:leader="none"/>
        </w:tabs>
        <w:spacing w:line="295" w:lineRule="auto" w:before="58" w:after="0"/>
        <w:ind w:left="1380" w:right="917" w:hanging="480"/>
        <w:jc w:val="left"/>
        <w:rPr>
          <w:sz w:val="24"/>
        </w:rPr>
      </w:pPr>
      <w:r>
        <w:rPr>
          <w:spacing w:val="-15"/>
          <w:sz w:val="24"/>
        </w:rPr>
        <w:t>林國民，〈論公務人員不利處分之救濟程序</w:t>
      </w:r>
      <w:r>
        <w:rPr>
          <w:spacing w:val="-14"/>
          <w:sz w:val="24"/>
        </w:rPr>
        <w:t>〉，中央警察大學刑事警察研究所</w:t>
      </w:r>
      <w:r>
        <w:rPr>
          <w:spacing w:val="-1"/>
          <w:sz w:val="24"/>
        </w:rPr>
        <w:t>碩士論文，民國 </w:t>
      </w:r>
      <w:r>
        <w:rPr>
          <w:rFonts w:ascii="Times New Roman" w:eastAsia="Times New Roman"/>
          <w:sz w:val="24"/>
        </w:rPr>
        <w:t>89 </w:t>
      </w:r>
      <w:r>
        <w:rPr>
          <w:spacing w:val="-2"/>
          <w:sz w:val="24"/>
        </w:rPr>
        <w:t>年 </w:t>
      </w:r>
      <w:r>
        <w:rPr>
          <w:rFonts w:ascii="Times New Roman" w:eastAsia="Times New Roman"/>
          <w:sz w:val="24"/>
        </w:rPr>
        <w:t>6 </w:t>
      </w:r>
      <w:r>
        <w:rPr>
          <w:sz w:val="24"/>
        </w:rPr>
        <w:t>月。</w:t>
      </w:r>
    </w:p>
    <w:p>
      <w:pPr>
        <w:pStyle w:val="ListParagraph"/>
        <w:numPr>
          <w:ilvl w:val="0"/>
          <w:numId w:val="43"/>
        </w:numPr>
        <w:tabs>
          <w:tab w:pos="1379" w:val="left" w:leader="none"/>
          <w:tab w:pos="1380" w:val="left" w:leader="none"/>
        </w:tabs>
        <w:spacing w:line="295" w:lineRule="auto" w:before="2" w:after="0"/>
        <w:ind w:left="1380" w:right="911" w:hanging="480"/>
        <w:jc w:val="left"/>
        <w:rPr>
          <w:sz w:val="24"/>
        </w:rPr>
      </w:pPr>
      <w:r>
        <w:rPr>
          <w:spacing w:val="-18"/>
          <w:sz w:val="24"/>
        </w:rPr>
        <w:t>洪逸玲，〈公務人員權利保障之研究〉，中國文化大學政治學研究所碩士論</w:t>
      </w:r>
      <w:r>
        <w:rPr>
          <w:spacing w:val="-1"/>
          <w:sz w:val="24"/>
        </w:rPr>
        <w:t>文，民國 </w:t>
      </w:r>
      <w:r>
        <w:rPr>
          <w:rFonts w:ascii="Times New Roman" w:eastAsia="Times New Roman"/>
          <w:sz w:val="24"/>
        </w:rPr>
        <w:t>88 </w:t>
      </w:r>
      <w:r>
        <w:rPr>
          <w:spacing w:val="-2"/>
          <w:sz w:val="24"/>
        </w:rPr>
        <w:t>年 </w:t>
      </w:r>
      <w:r>
        <w:rPr>
          <w:rFonts w:ascii="Times New Roman" w:eastAsia="Times New Roman"/>
          <w:sz w:val="24"/>
        </w:rPr>
        <w:t>6 </w:t>
      </w:r>
      <w:r>
        <w:rPr>
          <w:sz w:val="24"/>
        </w:rPr>
        <w:t>月。</w:t>
      </w:r>
    </w:p>
    <w:p>
      <w:pPr>
        <w:pStyle w:val="ListParagraph"/>
        <w:numPr>
          <w:ilvl w:val="0"/>
          <w:numId w:val="43"/>
        </w:numPr>
        <w:tabs>
          <w:tab w:pos="1379" w:val="left" w:leader="none"/>
          <w:tab w:pos="1380" w:val="left" w:leader="none"/>
        </w:tabs>
        <w:spacing w:line="295" w:lineRule="auto" w:before="3" w:after="0"/>
        <w:ind w:left="1380" w:right="917" w:hanging="480"/>
        <w:jc w:val="left"/>
        <w:rPr>
          <w:sz w:val="24"/>
        </w:rPr>
      </w:pPr>
      <w:r>
        <w:rPr>
          <w:spacing w:val="-15"/>
          <w:sz w:val="24"/>
        </w:rPr>
        <w:t>莊淑惠，〈我國公務員保障制度之研究</w:t>
      </w:r>
      <w:r>
        <w:rPr>
          <w:spacing w:val="-14"/>
          <w:sz w:val="24"/>
        </w:rPr>
        <w:t>〉，中國文化大學政治學研究所碩士論</w:t>
      </w:r>
      <w:r>
        <w:rPr>
          <w:spacing w:val="-1"/>
          <w:sz w:val="24"/>
        </w:rPr>
        <w:t>文，民國 </w:t>
      </w:r>
      <w:r>
        <w:rPr>
          <w:rFonts w:ascii="Times New Roman" w:eastAsia="Times New Roman"/>
          <w:sz w:val="24"/>
        </w:rPr>
        <w:t>90 </w:t>
      </w:r>
      <w:r>
        <w:rPr>
          <w:spacing w:val="-2"/>
          <w:sz w:val="24"/>
        </w:rPr>
        <w:t>年 </w:t>
      </w:r>
      <w:r>
        <w:rPr>
          <w:rFonts w:ascii="Times New Roman" w:eastAsia="Times New Roman"/>
          <w:sz w:val="24"/>
        </w:rPr>
        <w:t>6 </w:t>
      </w:r>
      <w:r>
        <w:rPr>
          <w:sz w:val="24"/>
        </w:rPr>
        <w:t>月。</w:t>
      </w:r>
    </w:p>
    <w:p>
      <w:pPr>
        <w:pStyle w:val="ListParagraph"/>
        <w:numPr>
          <w:ilvl w:val="0"/>
          <w:numId w:val="43"/>
        </w:numPr>
        <w:tabs>
          <w:tab w:pos="1379" w:val="left" w:leader="none"/>
          <w:tab w:pos="1380" w:val="left" w:leader="none"/>
        </w:tabs>
        <w:spacing w:line="295" w:lineRule="auto" w:before="2" w:after="0"/>
        <w:ind w:left="1380" w:right="917" w:hanging="480"/>
        <w:jc w:val="left"/>
        <w:rPr>
          <w:sz w:val="24"/>
        </w:rPr>
      </w:pPr>
      <w:r>
        <w:rPr>
          <w:spacing w:val="-15"/>
          <w:sz w:val="24"/>
        </w:rPr>
        <w:t>郭惠雯，〈我國公務人員權益救濟途徑之研究</w:t>
      </w:r>
      <w:r>
        <w:rPr>
          <w:spacing w:val="-14"/>
          <w:sz w:val="24"/>
        </w:rPr>
        <w:t>〉，中國文化大學政治學研究所</w:t>
      </w:r>
      <w:r>
        <w:rPr>
          <w:spacing w:val="-1"/>
          <w:sz w:val="24"/>
        </w:rPr>
        <w:t>碩士論文，民國 </w:t>
      </w:r>
      <w:r>
        <w:rPr>
          <w:rFonts w:ascii="Times New Roman" w:eastAsia="Times New Roman"/>
          <w:sz w:val="24"/>
        </w:rPr>
        <w:t>90 </w:t>
      </w:r>
      <w:r>
        <w:rPr>
          <w:spacing w:val="-2"/>
          <w:sz w:val="24"/>
        </w:rPr>
        <w:t>年 </w:t>
      </w:r>
      <w:r>
        <w:rPr>
          <w:rFonts w:ascii="Times New Roman" w:eastAsia="Times New Roman"/>
          <w:sz w:val="24"/>
        </w:rPr>
        <w:t>6 </w:t>
      </w:r>
      <w:r>
        <w:rPr>
          <w:sz w:val="24"/>
        </w:rPr>
        <w:t>月。</w:t>
      </w:r>
    </w:p>
    <w:p>
      <w:pPr>
        <w:pStyle w:val="ListParagraph"/>
        <w:numPr>
          <w:ilvl w:val="0"/>
          <w:numId w:val="43"/>
        </w:numPr>
        <w:tabs>
          <w:tab w:pos="1379" w:val="left" w:leader="none"/>
          <w:tab w:pos="1380" w:val="left" w:leader="none"/>
        </w:tabs>
        <w:spacing w:line="295" w:lineRule="auto" w:before="3" w:after="0"/>
        <w:ind w:left="1380" w:right="917" w:hanging="480"/>
        <w:jc w:val="left"/>
        <w:rPr>
          <w:sz w:val="24"/>
        </w:rPr>
      </w:pPr>
      <w:r>
        <w:rPr>
          <w:spacing w:val="-15"/>
          <w:sz w:val="24"/>
        </w:rPr>
        <w:t>楊戊龍，〈美國聯邦公務員工作權利救濟之研究〉，臺灣大學政治學研究所博</w:t>
      </w:r>
      <w:r>
        <w:rPr>
          <w:spacing w:val="-1"/>
          <w:sz w:val="24"/>
        </w:rPr>
        <w:t>士論文，民國 </w:t>
      </w:r>
      <w:r>
        <w:rPr>
          <w:rFonts w:ascii="Times New Roman" w:eastAsia="Times New Roman"/>
          <w:sz w:val="24"/>
        </w:rPr>
        <w:t>92 </w:t>
      </w:r>
      <w:r>
        <w:rPr>
          <w:sz w:val="24"/>
        </w:rPr>
        <w:t>年。</w:t>
      </w:r>
    </w:p>
    <w:p>
      <w:pPr>
        <w:pStyle w:val="ListParagraph"/>
        <w:numPr>
          <w:ilvl w:val="0"/>
          <w:numId w:val="43"/>
        </w:numPr>
        <w:tabs>
          <w:tab w:pos="1380" w:val="left" w:leader="none"/>
        </w:tabs>
        <w:spacing w:line="295" w:lineRule="auto" w:before="2" w:after="0"/>
        <w:ind w:left="1380" w:right="917" w:hanging="480"/>
        <w:jc w:val="left"/>
        <w:rPr>
          <w:sz w:val="24"/>
        </w:rPr>
      </w:pPr>
      <w:r>
        <w:rPr>
          <w:spacing w:val="-15"/>
          <w:sz w:val="24"/>
        </w:rPr>
        <w:t>楊彩霞，〈我國公務人員權利保障法制之研究</w:t>
      </w:r>
      <w:r>
        <w:rPr>
          <w:spacing w:val="-14"/>
          <w:sz w:val="24"/>
        </w:rPr>
        <w:t>〉，政治大學公共行政學系研究</w:t>
      </w:r>
      <w:r>
        <w:rPr>
          <w:spacing w:val="-1"/>
          <w:sz w:val="24"/>
        </w:rPr>
        <w:t>所碩士論文，民國 </w:t>
      </w:r>
      <w:r>
        <w:rPr>
          <w:rFonts w:ascii="Times New Roman" w:eastAsia="Times New Roman"/>
          <w:sz w:val="24"/>
        </w:rPr>
        <w:t>88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2" w:after="0"/>
        <w:ind w:left="1380" w:right="917" w:hanging="480"/>
        <w:jc w:val="left"/>
        <w:rPr>
          <w:sz w:val="24"/>
        </w:rPr>
      </w:pPr>
      <w:r>
        <w:rPr>
          <w:spacing w:val="-15"/>
          <w:sz w:val="24"/>
        </w:rPr>
        <w:t>錢學敏，〈我國公務員保障制度建立之研究</w:t>
      </w:r>
      <w:r>
        <w:rPr>
          <w:spacing w:val="-14"/>
          <w:sz w:val="24"/>
        </w:rPr>
        <w:t>〉，政治大學公共行政學系研究所</w:t>
      </w:r>
      <w:r>
        <w:rPr>
          <w:spacing w:val="-1"/>
          <w:sz w:val="24"/>
        </w:rPr>
        <w:t>碩士論文，民國 </w:t>
      </w:r>
      <w:r>
        <w:rPr>
          <w:rFonts w:ascii="Times New Roman" w:eastAsia="Times New Roman"/>
          <w:sz w:val="24"/>
        </w:rPr>
        <w:t>81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3" w:after="0"/>
        <w:ind w:left="1380" w:right="917" w:hanging="480"/>
        <w:jc w:val="left"/>
        <w:rPr>
          <w:sz w:val="24"/>
        </w:rPr>
      </w:pPr>
      <w:r>
        <w:rPr>
          <w:spacing w:val="-15"/>
          <w:sz w:val="24"/>
        </w:rPr>
        <w:t>蘇靖雅，〈從公務員懲戒及懲處之救濟論公務員權利之保障</w:t>
      </w:r>
      <w:r>
        <w:rPr>
          <w:spacing w:val="-21"/>
          <w:sz w:val="24"/>
        </w:rPr>
        <w:t>〉，東吳大學法律</w:t>
      </w:r>
      <w:r>
        <w:rPr>
          <w:spacing w:val="-1"/>
          <w:sz w:val="24"/>
        </w:rPr>
        <w:t>學系研究所碩士論文，民國 </w:t>
      </w:r>
      <w:r>
        <w:rPr>
          <w:rFonts w:ascii="Times New Roman" w:eastAsia="Times New Roman"/>
          <w:sz w:val="24"/>
        </w:rPr>
        <w:t>91 </w:t>
      </w:r>
      <w:r>
        <w:rPr>
          <w:sz w:val="24"/>
        </w:rPr>
        <w:t>年。</w:t>
      </w:r>
    </w:p>
    <w:p>
      <w:pPr>
        <w:pStyle w:val="ListParagraph"/>
        <w:numPr>
          <w:ilvl w:val="0"/>
          <w:numId w:val="43"/>
        </w:numPr>
        <w:tabs>
          <w:tab w:pos="1380" w:val="left" w:leader="none"/>
        </w:tabs>
        <w:spacing w:line="295" w:lineRule="auto" w:before="2" w:after="0"/>
        <w:ind w:left="1380" w:right="917" w:hanging="480"/>
        <w:jc w:val="left"/>
        <w:rPr>
          <w:sz w:val="24"/>
        </w:rPr>
      </w:pPr>
      <w:r>
        <w:rPr>
          <w:spacing w:val="-15"/>
          <w:sz w:val="24"/>
        </w:rPr>
        <w:t>王慶豐，〈公務員不利處分救濟途徑一元化之探究</w:t>
      </w:r>
      <w:r>
        <w:rPr>
          <w:spacing w:val="-16"/>
          <w:sz w:val="24"/>
        </w:rPr>
        <w:t>〉，中正大學法律學研究所</w:t>
      </w:r>
      <w:r>
        <w:rPr>
          <w:spacing w:val="-1"/>
          <w:sz w:val="24"/>
        </w:rPr>
        <w:t>碩士論文，民國 </w:t>
      </w:r>
      <w:r>
        <w:rPr>
          <w:rFonts w:ascii="Times New Roman" w:eastAsia="Times New Roman"/>
          <w:sz w:val="24"/>
        </w:rPr>
        <w:t>99 </w:t>
      </w:r>
      <w:r>
        <w:rPr>
          <w:sz w:val="24"/>
        </w:rPr>
        <w:t>年。</w:t>
      </w:r>
    </w:p>
    <w:p>
      <w:pPr>
        <w:pStyle w:val="ListParagraph"/>
        <w:numPr>
          <w:ilvl w:val="0"/>
          <w:numId w:val="43"/>
        </w:numPr>
        <w:tabs>
          <w:tab w:pos="1380" w:val="left" w:leader="none"/>
        </w:tabs>
        <w:spacing w:line="295" w:lineRule="auto" w:before="2" w:after="0"/>
        <w:ind w:left="1380" w:right="917" w:hanging="480"/>
        <w:jc w:val="left"/>
        <w:rPr>
          <w:sz w:val="24"/>
        </w:rPr>
      </w:pPr>
      <w:r>
        <w:rPr>
          <w:spacing w:val="-15"/>
          <w:sz w:val="24"/>
        </w:rPr>
        <w:t>江宗正，〈公務人員保障暨培訓委員會行政救濟功能之研究</w:t>
      </w:r>
      <w:r>
        <w:rPr>
          <w:spacing w:val="-21"/>
          <w:sz w:val="24"/>
        </w:rPr>
        <w:t>〉，中國文化大學</w:t>
      </w:r>
      <w:r>
        <w:rPr>
          <w:spacing w:val="-1"/>
          <w:sz w:val="24"/>
        </w:rPr>
        <w:t>政治學研究所碩士論文，民國 </w:t>
      </w:r>
      <w:r>
        <w:rPr>
          <w:rFonts w:ascii="Times New Roman" w:eastAsia="Times New Roman"/>
          <w:sz w:val="24"/>
        </w:rPr>
        <w:t>90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3" w:after="0"/>
        <w:ind w:left="1379" w:right="938" w:hanging="480"/>
        <w:jc w:val="left"/>
        <w:rPr>
          <w:sz w:val="24"/>
        </w:rPr>
      </w:pPr>
      <w:r>
        <w:rPr>
          <w:spacing w:val="-16"/>
          <w:sz w:val="24"/>
        </w:rPr>
        <w:t>吳明軒，〈從特別權力關係的演變論我國公務人員保障法的制訂與實施</w:t>
      </w:r>
      <w:r>
        <w:rPr>
          <w:spacing w:val="-50"/>
          <w:sz w:val="24"/>
        </w:rPr>
        <w:t>〉，政</w:t>
      </w:r>
      <w:r>
        <w:rPr>
          <w:spacing w:val="-1"/>
          <w:sz w:val="24"/>
        </w:rPr>
        <w:t>治大學公共行政研究所碩士論文，民國 </w:t>
      </w:r>
      <w:r>
        <w:rPr>
          <w:rFonts w:ascii="Times New Roman" w:eastAsia="Times New Roman"/>
          <w:sz w:val="24"/>
        </w:rPr>
        <w:t>87 </w:t>
      </w:r>
      <w:r>
        <w:rPr>
          <w:spacing w:val="-2"/>
          <w:sz w:val="24"/>
        </w:rPr>
        <w:t>年 </w:t>
      </w:r>
      <w:r>
        <w:rPr>
          <w:rFonts w:ascii="Times New Roman" w:eastAsia="Times New Roman"/>
          <w:sz w:val="24"/>
        </w:rPr>
        <w:t>7 </w:t>
      </w:r>
      <w:r>
        <w:rPr>
          <w:sz w:val="24"/>
        </w:rPr>
        <w:t>月。</w:t>
      </w:r>
    </w:p>
    <w:p>
      <w:pPr>
        <w:pStyle w:val="ListParagraph"/>
        <w:numPr>
          <w:ilvl w:val="0"/>
          <w:numId w:val="43"/>
        </w:numPr>
        <w:tabs>
          <w:tab w:pos="1380" w:val="left" w:leader="none"/>
        </w:tabs>
        <w:spacing w:line="295" w:lineRule="auto" w:before="2" w:after="0"/>
        <w:ind w:left="1379" w:right="917" w:hanging="480"/>
        <w:jc w:val="left"/>
        <w:rPr>
          <w:sz w:val="24"/>
        </w:rPr>
      </w:pPr>
      <w:r>
        <w:rPr>
          <w:spacing w:val="-15"/>
          <w:sz w:val="24"/>
        </w:rPr>
        <w:t>周世珍，〈公務人員保障制度之理論與實際</w:t>
      </w:r>
      <w:r>
        <w:rPr>
          <w:spacing w:val="-14"/>
          <w:sz w:val="24"/>
        </w:rPr>
        <w:t>〉，臺北大學法律學系研究所博士</w:t>
      </w:r>
      <w:r>
        <w:rPr>
          <w:spacing w:val="-1"/>
          <w:sz w:val="24"/>
        </w:rPr>
        <w:t>論文，民國 </w:t>
      </w:r>
      <w:r>
        <w:rPr>
          <w:rFonts w:ascii="Times New Roman" w:eastAsia="Times New Roman"/>
          <w:sz w:val="24"/>
        </w:rPr>
        <w:t>90 </w:t>
      </w:r>
      <w:r>
        <w:rPr>
          <w:sz w:val="24"/>
        </w:rPr>
        <w:t>年。</w:t>
      </w:r>
    </w:p>
    <w:p>
      <w:pPr>
        <w:pStyle w:val="ListParagraph"/>
        <w:numPr>
          <w:ilvl w:val="0"/>
          <w:numId w:val="43"/>
        </w:numPr>
        <w:tabs>
          <w:tab w:pos="1380" w:val="left" w:leader="none"/>
        </w:tabs>
        <w:spacing w:line="295" w:lineRule="auto" w:before="2" w:after="0"/>
        <w:ind w:left="1379" w:right="917" w:hanging="480"/>
        <w:jc w:val="left"/>
        <w:rPr>
          <w:sz w:val="24"/>
        </w:rPr>
      </w:pPr>
      <w:r>
        <w:rPr>
          <w:spacing w:val="-15"/>
          <w:sz w:val="24"/>
        </w:rPr>
        <w:t>林國民，〈論公務人員不利處分之救濟程序</w:t>
      </w:r>
      <w:r>
        <w:rPr>
          <w:spacing w:val="-14"/>
          <w:sz w:val="24"/>
        </w:rPr>
        <w:t>〉，中央警察大學刑事警察研究所</w:t>
      </w:r>
      <w:r>
        <w:rPr>
          <w:spacing w:val="-1"/>
          <w:sz w:val="24"/>
        </w:rPr>
        <w:t>碩士論文，民國 </w:t>
      </w:r>
      <w:r>
        <w:rPr>
          <w:rFonts w:ascii="Times New Roman" w:eastAsia="Times New Roman"/>
          <w:sz w:val="24"/>
        </w:rPr>
        <w:t>89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3" w:after="0"/>
        <w:ind w:left="1380" w:right="911" w:hanging="480"/>
        <w:jc w:val="left"/>
        <w:rPr>
          <w:sz w:val="24"/>
        </w:rPr>
      </w:pPr>
      <w:r>
        <w:rPr>
          <w:spacing w:val="-18"/>
          <w:sz w:val="24"/>
        </w:rPr>
        <w:t>洪逸玲，〈公務人員權利保障之研究〉，中國文化大學政治學研究所碩士論</w:t>
      </w:r>
      <w:r>
        <w:rPr>
          <w:spacing w:val="-1"/>
          <w:sz w:val="24"/>
        </w:rPr>
        <w:t>文，民國 </w:t>
      </w:r>
      <w:r>
        <w:rPr>
          <w:rFonts w:ascii="Times New Roman" w:eastAsia="Times New Roman"/>
          <w:sz w:val="24"/>
        </w:rPr>
        <w:t>88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2" w:after="0"/>
        <w:ind w:left="1379" w:right="917" w:hanging="480"/>
        <w:jc w:val="left"/>
        <w:rPr>
          <w:sz w:val="24"/>
        </w:rPr>
      </w:pPr>
      <w:r>
        <w:rPr>
          <w:spacing w:val="-15"/>
          <w:sz w:val="24"/>
        </w:rPr>
        <w:t>盛子龍，〈行政法上不確定法律概念具體化之司法審查密度</w:t>
      </w:r>
      <w:r>
        <w:rPr>
          <w:spacing w:val="-21"/>
          <w:sz w:val="24"/>
        </w:rPr>
        <w:t>〉，臺灣大學法律</w:t>
      </w:r>
      <w:r>
        <w:rPr>
          <w:spacing w:val="-1"/>
          <w:sz w:val="24"/>
        </w:rPr>
        <w:t>研究所博士論文，民國 </w:t>
      </w:r>
      <w:r>
        <w:rPr>
          <w:rFonts w:ascii="Times New Roman" w:eastAsia="Times New Roman"/>
          <w:sz w:val="24"/>
        </w:rPr>
        <w:t>86 </w:t>
      </w:r>
      <w:r>
        <w:rPr>
          <w:spacing w:val="-2"/>
          <w:sz w:val="24"/>
        </w:rPr>
        <w:t>年 </w:t>
      </w:r>
      <w:r>
        <w:rPr>
          <w:rFonts w:ascii="Times New Roman" w:eastAsia="Times New Roman"/>
          <w:sz w:val="24"/>
        </w:rPr>
        <w:t>8 </w:t>
      </w:r>
      <w:r>
        <w:rPr>
          <w:sz w:val="24"/>
        </w:rPr>
        <w:t>月。</w:t>
      </w:r>
    </w:p>
    <w:p>
      <w:pPr>
        <w:pStyle w:val="ListParagraph"/>
        <w:numPr>
          <w:ilvl w:val="0"/>
          <w:numId w:val="43"/>
        </w:numPr>
        <w:tabs>
          <w:tab w:pos="1380" w:val="left" w:leader="none"/>
        </w:tabs>
        <w:spacing w:line="295" w:lineRule="auto" w:before="3" w:after="0"/>
        <w:ind w:left="1379" w:right="917" w:hanging="480"/>
        <w:jc w:val="left"/>
        <w:rPr>
          <w:sz w:val="24"/>
        </w:rPr>
      </w:pPr>
      <w:r>
        <w:rPr>
          <w:spacing w:val="-15"/>
          <w:sz w:val="24"/>
        </w:rPr>
        <w:t>莊淑惠，〈我國公務員保障制度之研究</w:t>
      </w:r>
      <w:r>
        <w:rPr>
          <w:spacing w:val="-14"/>
          <w:sz w:val="24"/>
        </w:rPr>
        <w:t>〉，中國文化大學政治學研究所碩士論</w:t>
      </w:r>
      <w:r>
        <w:rPr>
          <w:spacing w:val="-1"/>
          <w:sz w:val="24"/>
        </w:rPr>
        <w:t>文，民國 </w:t>
      </w:r>
      <w:r>
        <w:rPr>
          <w:rFonts w:ascii="Times New Roman" w:eastAsia="Times New Roman"/>
          <w:sz w:val="24"/>
        </w:rPr>
        <w:t>90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40" w:lineRule="auto" w:before="2" w:after="0"/>
        <w:ind w:left="1380" w:right="0" w:hanging="481"/>
        <w:jc w:val="left"/>
        <w:rPr>
          <w:sz w:val="24"/>
        </w:rPr>
      </w:pPr>
      <w:r>
        <w:rPr>
          <w:spacing w:val="-15"/>
          <w:sz w:val="24"/>
        </w:rPr>
        <w:t>郭惠雯，〈我國公務人員權益救濟途徑之研究</w:t>
      </w:r>
      <w:r>
        <w:rPr>
          <w:spacing w:val="-14"/>
          <w:sz w:val="24"/>
        </w:rPr>
        <w:t>〉，中國文化大學政治學研究所</w:t>
      </w:r>
    </w:p>
    <w:p>
      <w:pPr>
        <w:spacing w:after="0" w:line="240" w:lineRule="auto"/>
        <w:jc w:val="left"/>
        <w:rPr>
          <w:sz w:val="24"/>
        </w:rPr>
        <w:sectPr>
          <w:pgSz w:w="11910" w:h="16840"/>
          <w:pgMar w:header="0" w:footer="938" w:top="1420" w:bottom="1200" w:left="900" w:right="880"/>
        </w:sectPr>
      </w:pPr>
    </w:p>
    <w:p>
      <w:pPr>
        <w:pStyle w:val="BodyText"/>
        <w:spacing w:before="58"/>
        <w:ind w:left="1380"/>
      </w:pPr>
      <w:r>
        <w:rPr>
          <w:spacing w:val="-1"/>
        </w:rPr>
        <w:t>碩士論文，民國 </w:t>
      </w:r>
      <w:r>
        <w:rPr>
          <w:rFonts w:ascii="Times New Roman" w:eastAsia="Times New Roman"/>
        </w:rPr>
        <w:t>90 </w:t>
      </w:r>
      <w:r>
        <w:rPr>
          <w:spacing w:val="-2"/>
        </w:rPr>
        <w:t>年 </w:t>
      </w:r>
      <w:r>
        <w:rPr>
          <w:rFonts w:ascii="Times New Roman" w:eastAsia="Times New Roman"/>
        </w:rPr>
        <w:t>6 </w:t>
      </w:r>
      <w:r>
        <w:rPr/>
        <w:t>月。</w:t>
      </w:r>
    </w:p>
    <w:p>
      <w:pPr>
        <w:pStyle w:val="ListParagraph"/>
        <w:numPr>
          <w:ilvl w:val="0"/>
          <w:numId w:val="43"/>
        </w:numPr>
        <w:tabs>
          <w:tab w:pos="1380" w:val="left" w:leader="none"/>
        </w:tabs>
        <w:spacing w:line="295" w:lineRule="auto" w:before="78" w:after="0"/>
        <w:ind w:left="1380" w:right="917" w:hanging="480"/>
        <w:jc w:val="left"/>
        <w:rPr>
          <w:sz w:val="24"/>
        </w:rPr>
      </w:pPr>
      <w:r>
        <w:rPr>
          <w:spacing w:val="-15"/>
          <w:sz w:val="24"/>
        </w:rPr>
        <w:t>楊戊龍，〈美國聯邦公務員工作權利救濟之研究〉，臺灣大學政治學研究所博</w:t>
      </w:r>
      <w:r>
        <w:rPr>
          <w:spacing w:val="-1"/>
          <w:sz w:val="24"/>
        </w:rPr>
        <w:t>士論文，民國 </w:t>
      </w:r>
      <w:r>
        <w:rPr>
          <w:rFonts w:ascii="Times New Roman" w:eastAsia="Times New Roman"/>
          <w:sz w:val="24"/>
        </w:rPr>
        <w:t>92 </w:t>
      </w:r>
      <w:r>
        <w:rPr>
          <w:sz w:val="24"/>
        </w:rPr>
        <w:t>年。</w:t>
      </w:r>
    </w:p>
    <w:p>
      <w:pPr>
        <w:pStyle w:val="ListParagraph"/>
        <w:numPr>
          <w:ilvl w:val="0"/>
          <w:numId w:val="43"/>
        </w:numPr>
        <w:tabs>
          <w:tab w:pos="1380" w:val="left" w:leader="none"/>
        </w:tabs>
        <w:spacing w:line="295" w:lineRule="auto" w:before="3" w:after="0"/>
        <w:ind w:left="1380" w:right="917" w:hanging="480"/>
        <w:jc w:val="left"/>
        <w:rPr>
          <w:sz w:val="24"/>
        </w:rPr>
      </w:pPr>
      <w:r>
        <w:rPr>
          <w:spacing w:val="-15"/>
          <w:sz w:val="24"/>
        </w:rPr>
        <w:t>楊彩霞，〈我國公務人員權利保障法制之研究</w:t>
      </w:r>
      <w:r>
        <w:rPr>
          <w:spacing w:val="-14"/>
          <w:sz w:val="24"/>
        </w:rPr>
        <w:t>〉，政治大學公共行政學系研究</w:t>
      </w:r>
      <w:r>
        <w:rPr>
          <w:spacing w:val="-1"/>
          <w:sz w:val="24"/>
        </w:rPr>
        <w:t>所碩士論文，民國 </w:t>
      </w:r>
      <w:r>
        <w:rPr>
          <w:rFonts w:ascii="Times New Roman" w:eastAsia="Times New Roman"/>
          <w:sz w:val="24"/>
        </w:rPr>
        <w:t>88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2" w:after="0"/>
        <w:ind w:left="1380" w:right="917" w:hanging="480"/>
        <w:jc w:val="left"/>
        <w:rPr>
          <w:sz w:val="24"/>
        </w:rPr>
      </w:pPr>
      <w:r>
        <w:rPr>
          <w:spacing w:val="-15"/>
          <w:sz w:val="24"/>
        </w:rPr>
        <w:t>錢學敏，〈我國公務員保障制度建立之研究</w:t>
      </w:r>
      <w:r>
        <w:rPr>
          <w:spacing w:val="-14"/>
          <w:sz w:val="24"/>
        </w:rPr>
        <w:t>〉，政治大學公共行政學系研究所</w:t>
      </w:r>
      <w:r>
        <w:rPr>
          <w:spacing w:val="-1"/>
          <w:sz w:val="24"/>
        </w:rPr>
        <w:t>碩士論文，民國 </w:t>
      </w:r>
      <w:r>
        <w:rPr>
          <w:rFonts w:ascii="Times New Roman" w:eastAsia="Times New Roman"/>
          <w:sz w:val="24"/>
        </w:rPr>
        <w:t>81 </w:t>
      </w:r>
      <w:r>
        <w:rPr>
          <w:spacing w:val="-2"/>
          <w:sz w:val="24"/>
        </w:rPr>
        <w:t>年 </w:t>
      </w:r>
      <w:r>
        <w:rPr>
          <w:rFonts w:ascii="Times New Roman" w:eastAsia="Times New Roman"/>
          <w:sz w:val="24"/>
        </w:rPr>
        <w:t>6 </w:t>
      </w:r>
      <w:r>
        <w:rPr>
          <w:sz w:val="24"/>
        </w:rPr>
        <w:t>月。</w:t>
      </w:r>
    </w:p>
    <w:p>
      <w:pPr>
        <w:pStyle w:val="ListParagraph"/>
        <w:numPr>
          <w:ilvl w:val="0"/>
          <w:numId w:val="43"/>
        </w:numPr>
        <w:tabs>
          <w:tab w:pos="1380" w:val="left" w:leader="none"/>
        </w:tabs>
        <w:spacing w:line="295" w:lineRule="auto" w:before="3" w:after="0"/>
        <w:ind w:left="1380" w:right="917" w:hanging="480"/>
        <w:jc w:val="left"/>
        <w:rPr>
          <w:sz w:val="24"/>
        </w:rPr>
      </w:pPr>
      <w:r>
        <w:rPr>
          <w:spacing w:val="-15"/>
          <w:sz w:val="24"/>
        </w:rPr>
        <w:t>蘇靖雅，〈從公務員懲戒及懲處之救濟論公務員權利之保障</w:t>
      </w:r>
      <w:r>
        <w:rPr>
          <w:spacing w:val="-21"/>
          <w:sz w:val="24"/>
        </w:rPr>
        <w:t>〉，東吳大學法律</w:t>
      </w:r>
      <w:r>
        <w:rPr>
          <w:spacing w:val="-1"/>
          <w:sz w:val="24"/>
        </w:rPr>
        <w:t>學系研究所碩士論文，民國 </w:t>
      </w:r>
      <w:r>
        <w:rPr>
          <w:rFonts w:ascii="Times New Roman" w:eastAsia="Times New Roman"/>
          <w:sz w:val="24"/>
        </w:rPr>
        <w:t>91 </w:t>
      </w:r>
      <w:r>
        <w:rPr>
          <w:sz w:val="24"/>
        </w:rPr>
        <w:t>年。</w:t>
      </w:r>
    </w:p>
    <w:p>
      <w:pPr>
        <w:pStyle w:val="BodyText"/>
        <w:spacing w:before="11"/>
        <w:rPr>
          <w:sz w:val="38"/>
        </w:rPr>
      </w:pPr>
    </w:p>
    <w:p>
      <w:pPr>
        <w:pStyle w:val="Heading2"/>
        <w:rPr>
          <w:rFonts w:ascii="標楷體" w:eastAsia="標楷體" w:hint="eastAsia"/>
        </w:rPr>
      </w:pPr>
      <w:r>
        <w:rPr>
          <w:rFonts w:ascii="標楷體" w:eastAsia="標楷體" w:hint="eastAsia"/>
          <w:w w:val="95"/>
        </w:rPr>
        <w:t>二、日文部分</w:t>
      </w:r>
    </w:p>
    <w:p>
      <w:pPr>
        <w:pStyle w:val="ListParagraph"/>
        <w:numPr>
          <w:ilvl w:val="0"/>
          <w:numId w:val="44"/>
        </w:numPr>
        <w:tabs>
          <w:tab w:pos="1379" w:val="left" w:leader="none"/>
          <w:tab w:pos="1380" w:val="left" w:leader="none"/>
        </w:tabs>
        <w:spacing w:line="240" w:lineRule="auto" w:before="202" w:after="0"/>
        <w:ind w:left="1380" w:right="0" w:hanging="480"/>
        <w:jc w:val="left"/>
        <w:rPr>
          <w:sz w:val="24"/>
        </w:rPr>
      </w:pPr>
      <w:r>
        <w:rPr>
          <w:spacing w:val="-2"/>
          <w:sz w:val="24"/>
        </w:rPr>
        <w:t>宇賀克也</w:t>
      </w:r>
      <w:r>
        <w:rPr>
          <w:spacing w:val="-23"/>
          <w:sz w:val="24"/>
        </w:rPr>
        <w:t>，〈公務員法‧公務員の勤務関係〉</w:t>
      </w:r>
      <w:r>
        <w:rPr>
          <w:spacing w:val="-26"/>
          <w:sz w:val="24"/>
        </w:rPr>
        <w:t>，《法学教室》</w:t>
      </w:r>
      <w:r>
        <w:rPr>
          <w:rFonts w:ascii="Times New Roman" w:hAnsi="Times New Roman" w:eastAsia="Times New Roman"/>
          <w:spacing w:val="-2"/>
          <w:sz w:val="24"/>
        </w:rPr>
        <w:t>328</w:t>
      </w:r>
      <w:r>
        <w:rPr>
          <w:rFonts w:ascii="Times New Roman" w:hAnsi="Times New Roman" w:eastAsia="Times New Roman"/>
          <w:spacing w:val="-13"/>
          <w:sz w:val="24"/>
        </w:rPr>
        <w:t> </w:t>
      </w:r>
      <w:r>
        <w:rPr>
          <w:spacing w:val="-2"/>
          <w:sz w:val="24"/>
        </w:rPr>
        <w:t>号，有斐閣，</w:t>
      </w:r>
    </w:p>
    <w:p>
      <w:pPr>
        <w:pStyle w:val="BodyText"/>
        <w:spacing w:before="78"/>
        <w:ind w:left="1379"/>
      </w:pPr>
      <w:r>
        <w:rPr>
          <w:rFonts w:ascii="Times New Roman" w:eastAsia="Times New Roman"/>
        </w:rPr>
        <w:t>2008 </w:t>
      </w:r>
      <w:r>
        <w:rPr>
          <w:spacing w:val="-2"/>
        </w:rPr>
        <w:t>年 </w:t>
      </w:r>
      <w:r>
        <w:rPr>
          <w:rFonts w:ascii="Times New Roman" w:eastAsia="Times New Roman"/>
        </w:rPr>
        <w:t>1 </w:t>
      </w:r>
      <w:r>
        <w:rPr/>
        <w:t>月，有斐閣。</w:t>
      </w:r>
    </w:p>
    <w:p>
      <w:pPr>
        <w:pStyle w:val="ListParagraph"/>
        <w:numPr>
          <w:ilvl w:val="0"/>
          <w:numId w:val="44"/>
        </w:numPr>
        <w:tabs>
          <w:tab w:pos="1379" w:val="left" w:leader="none"/>
          <w:tab w:pos="1380" w:val="left" w:leader="none"/>
        </w:tabs>
        <w:spacing w:line="240" w:lineRule="auto" w:before="79" w:after="0"/>
        <w:ind w:left="1380" w:right="0" w:hanging="481"/>
        <w:jc w:val="left"/>
        <w:rPr>
          <w:sz w:val="24"/>
        </w:rPr>
      </w:pPr>
      <w:r>
        <w:rPr>
          <w:spacing w:val="-2"/>
          <w:sz w:val="24"/>
        </w:rPr>
        <w:t>宇賀克也</w:t>
      </w:r>
      <w:r>
        <w:rPr>
          <w:spacing w:val="-23"/>
          <w:sz w:val="24"/>
        </w:rPr>
        <w:t>，〈公務員法‧公務員の権利義務〉</w:t>
      </w:r>
      <w:r>
        <w:rPr>
          <w:spacing w:val="-26"/>
          <w:sz w:val="24"/>
        </w:rPr>
        <w:t>，《法学教室》</w:t>
      </w:r>
      <w:r>
        <w:rPr>
          <w:rFonts w:ascii="Times New Roman" w:hAnsi="Times New Roman" w:eastAsia="Times New Roman"/>
          <w:spacing w:val="-2"/>
          <w:sz w:val="24"/>
        </w:rPr>
        <w:t>329</w:t>
      </w:r>
      <w:r>
        <w:rPr>
          <w:rFonts w:ascii="Times New Roman" w:hAnsi="Times New Roman" w:eastAsia="Times New Roman"/>
          <w:spacing w:val="-13"/>
          <w:sz w:val="24"/>
        </w:rPr>
        <w:t> </w:t>
      </w:r>
      <w:r>
        <w:rPr>
          <w:spacing w:val="-2"/>
          <w:sz w:val="24"/>
        </w:rPr>
        <w:t>号，有斐閣，</w:t>
      </w:r>
    </w:p>
    <w:p>
      <w:pPr>
        <w:pStyle w:val="BodyText"/>
        <w:spacing w:before="78"/>
        <w:ind w:left="1379"/>
      </w:pPr>
      <w:r>
        <w:rPr>
          <w:rFonts w:ascii="Times New Roman" w:eastAsia="Times New Roman"/>
        </w:rPr>
        <w:t>2008 </w:t>
      </w:r>
      <w:r>
        <w:rPr>
          <w:spacing w:val="-2"/>
        </w:rPr>
        <w:t>年 </w:t>
      </w:r>
      <w:r>
        <w:rPr>
          <w:rFonts w:ascii="Times New Roman" w:eastAsia="Times New Roman"/>
        </w:rPr>
        <w:t>2 </w:t>
      </w:r>
      <w:r>
        <w:rPr/>
        <w:t>月，有斐閣。</w:t>
      </w:r>
    </w:p>
    <w:p>
      <w:pPr>
        <w:pStyle w:val="ListParagraph"/>
        <w:numPr>
          <w:ilvl w:val="0"/>
          <w:numId w:val="44"/>
        </w:numPr>
        <w:tabs>
          <w:tab w:pos="1379" w:val="left" w:leader="none"/>
          <w:tab w:pos="1380" w:val="left" w:leader="none"/>
        </w:tabs>
        <w:spacing w:line="295" w:lineRule="auto" w:before="78" w:after="0"/>
        <w:ind w:left="1379" w:right="925" w:hanging="480"/>
        <w:jc w:val="left"/>
        <w:rPr>
          <w:sz w:val="24"/>
        </w:rPr>
      </w:pPr>
      <w:r>
        <w:rPr>
          <w:spacing w:val="-15"/>
          <w:sz w:val="24"/>
        </w:rPr>
        <w:t>園部逸夫監修，栗田久喜．柳克樹編，《国家公務員法．地方公務員法》，青</w:t>
      </w:r>
      <w:r>
        <w:rPr>
          <w:sz w:val="24"/>
        </w:rPr>
        <w:t>林書院，</w:t>
      </w:r>
      <w:r>
        <w:rPr>
          <w:rFonts w:ascii="Times New Roman" w:eastAsia="Times New Roman"/>
          <w:sz w:val="24"/>
        </w:rPr>
        <w:t>1997 </w:t>
      </w:r>
      <w:r>
        <w:rPr>
          <w:sz w:val="24"/>
        </w:rPr>
        <w:t>年。</w:t>
      </w:r>
    </w:p>
    <w:p>
      <w:pPr>
        <w:pStyle w:val="ListParagraph"/>
        <w:numPr>
          <w:ilvl w:val="0"/>
          <w:numId w:val="44"/>
        </w:numPr>
        <w:tabs>
          <w:tab w:pos="1379" w:val="left" w:leader="none"/>
          <w:tab w:pos="1380" w:val="left" w:leader="none"/>
        </w:tabs>
        <w:spacing w:line="240" w:lineRule="auto" w:before="3" w:after="0"/>
        <w:ind w:left="1380" w:right="0" w:hanging="481"/>
        <w:jc w:val="left"/>
        <w:rPr>
          <w:sz w:val="24"/>
        </w:rPr>
      </w:pPr>
      <w:r>
        <w:rPr>
          <w:spacing w:val="-7"/>
          <w:sz w:val="24"/>
        </w:rPr>
        <w:t>桑原昌宏，《公務員争議権論 </w:t>
      </w:r>
      <w:r>
        <w:rPr>
          <w:rFonts w:ascii="Times New Roman" w:eastAsia="Times New Roman"/>
          <w:spacing w:val="32"/>
          <w:sz w:val="24"/>
        </w:rPr>
        <w:t>: </w:t>
      </w:r>
      <w:r>
        <w:rPr>
          <w:spacing w:val="-7"/>
          <w:sz w:val="24"/>
        </w:rPr>
        <w:t>日本とアメリカ 》，日本評論社，</w:t>
      </w:r>
      <w:r>
        <w:rPr>
          <w:rFonts w:ascii="Times New Roman" w:eastAsia="Times New Roman"/>
          <w:sz w:val="24"/>
        </w:rPr>
        <w:t>1983</w:t>
      </w:r>
      <w:r>
        <w:rPr>
          <w:rFonts w:ascii="Times New Roman" w:eastAsia="Times New Roman"/>
          <w:spacing w:val="3"/>
          <w:sz w:val="24"/>
        </w:rPr>
        <w:t> </w:t>
      </w:r>
      <w:r>
        <w:rPr>
          <w:sz w:val="24"/>
        </w:rPr>
        <w:t>年。</w:t>
      </w:r>
    </w:p>
    <w:p>
      <w:pPr>
        <w:pStyle w:val="ListParagraph"/>
        <w:numPr>
          <w:ilvl w:val="0"/>
          <w:numId w:val="44"/>
        </w:numPr>
        <w:tabs>
          <w:tab w:pos="1379" w:val="left" w:leader="none"/>
          <w:tab w:pos="1380" w:val="left" w:leader="none"/>
        </w:tabs>
        <w:spacing w:line="240" w:lineRule="auto" w:before="78" w:after="0"/>
        <w:ind w:left="1380" w:right="0" w:hanging="481"/>
        <w:jc w:val="left"/>
        <w:rPr>
          <w:sz w:val="24"/>
        </w:rPr>
      </w:pPr>
      <w:r>
        <w:rPr>
          <w:spacing w:val="-12"/>
          <w:sz w:val="24"/>
        </w:rPr>
        <w:t>佐藤達夫，《国家公務員制度》第 </w:t>
      </w:r>
      <w:r>
        <w:rPr>
          <w:rFonts w:ascii="Times New Roman" w:eastAsia="Times New Roman"/>
          <w:sz w:val="24"/>
        </w:rPr>
        <w:t>8 </w:t>
      </w:r>
      <w:r>
        <w:rPr>
          <w:sz w:val="24"/>
        </w:rPr>
        <w:t>次改訂版，学陽書房</w:t>
      </w:r>
      <w:r>
        <w:rPr>
          <w:rFonts w:ascii="Times New Roman" w:eastAsia="Times New Roman"/>
          <w:sz w:val="24"/>
        </w:rPr>
        <w:t>, 2009 </w:t>
      </w:r>
      <w:r>
        <w:rPr>
          <w:sz w:val="24"/>
        </w:rPr>
        <w:t>年。</w:t>
      </w:r>
    </w:p>
    <w:p>
      <w:pPr>
        <w:pStyle w:val="ListParagraph"/>
        <w:numPr>
          <w:ilvl w:val="0"/>
          <w:numId w:val="44"/>
        </w:numPr>
        <w:tabs>
          <w:tab w:pos="1379" w:val="left" w:leader="none"/>
          <w:tab w:pos="1380" w:val="left" w:leader="none"/>
        </w:tabs>
        <w:spacing w:line="240" w:lineRule="auto" w:before="79" w:after="0"/>
        <w:ind w:left="1380" w:right="0" w:hanging="481"/>
        <w:jc w:val="left"/>
        <w:rPr>
          <w:rFonts w:ascii="Times New Roman" w:eastAsia="Times New Roman"/>
          <w:sz w:val="24"/>
        </w:rPr>
      </w:pPr>
      <w:r>
        <w:rPr>
          <w:spacing w:val="-9"/>
          <w:sz w:val="24"/>
        </w:rPr>
        <w:t>阪本昌成，《憲法 </w:t>
      </w:r>
      <w:r>
        <w:rPr>
          <w:rFonts w:ascii="Times New Roman" w:eastAsia="Times New Roman"/>
          <w:sz w:val="24"/>
        </w:rPr>
        <w:t>2--</w:t>
      </w:r>
      <w:r>
        <w:rPr>
          <w:sz w:val="24"/>
        </w:rPr>
        <w:t>基本権クラシック》全訂第三版，有信堂，</w:t>
      </w:r>
      <w:r>
        <w:rPr>
          <w:rFonts w:ascii="Times New Roman" w:eastAsia="Times New Roman"/>
          <w:sz w:val="24"/>
        </w:rPr>
        <w:t>2008</w:t>
      </w:r>
      <w:r>
        <w:rPr>
          <w:rFonts w:ascii="Times New Roman" w:eastAsia="Times New Roman"/>
          <w:spacing w:val="54"/>
          <w:sz w:val="24"/>
        </w:rPr>
        <w:t> </w:t>
      </w:r>
      <w:r>
        <w:rPr>
          <w:spacing w:val="26"/>
          <w:sz w:val="24"/>
        </w:rPr>
        <w:t>年 </w:t>
      </w:r>
      <w:r>
        <w:rPr>
          <w:rFonts w:ascii="Times New Roman" w:eastAsia="Times New Roman"/>
          <w:sz w:val="24"/>
        </w:rPr>
        <w:t>4</w:t>
      </w:r>
    </w:p>
    <w:p>
      <w:pPr>
        <w:pStyle w:val="BodyText"/>
        <w:spacing w:before="78"/>
        <w:ind w:left="1379"/>
      </w:pPr>
      <w:r>
        <w:rPr/>
        <w:t>月</w:t>
      </w:r>
    </w:p>
    <w:p>
      <w:pPr>
        <w:pStyle w:val="ListParagraph"/>
        <w:numPr>
          <w:ilvl w:val="0"/>
          <w:numId w:val="44"/>
        </w:numPr>
        <w:tabs>
          <w:tab w:pos="1379" w:val="left" w:leader="none"/>
          <w:tab w:pos="1380" w:val="left" w:leader="none"/>
        </w:tabs>
        <w:spacing w:line="240" w:lineRule="auto" w:before="78" w:after="0"/>
        <w:ind w:left="1380" w:right="0" w:hanging="481"/>
        <w:jc w:val="left"/>
        <w:rPr>
          <w:sz w:val="24"/>
        </w:rPr>
      </w:pPr>
      <w:r>
        <w:rPr>
          <w:spacing w:val="-15"/>
          <w:sz w:val="24"/>
        </w:rPr>
        <w:t>室井 力，《公務員の権利と法》，勁草書房，</w:t>
      </w:r>
      <w:r>
        <w:rPr>
          <w:rFonts w:ascii="Times New Roman" w:eastAsia="Times New Roman"/>
          <w:sz w:val="24"/>
        </w:rPr>
        <w:t>1978 </w:t>
      </w:r>
      <w:r>
        <w:rPr>
          <w:sz w:val="24"/>
        </w:rPr>
        <w:t>年。</w:t>
      </w:r>
    </w:p>
    <w:p>
      <w:pPr>
        <w:pStyle w:val="ListParagraph"/>
        <w:numPr>
          <w:ilvl w:val="0"/>
          <w:numId w:val="44"/>
        </w:numPr>
        <w:tabs>
          <w:tab w:pos="1379" w:val="left" w:leader="none"/>
          <w:tab w:pos="1380" w:val="left" w:leader="none"/>
        </w:tabs>
        <w:spacing w:line="295" w:lineRule="auto" w:before="79" w:after="0"/>
        <w:ind w:left="1379" w:right="917" w:hanging="480"/>
        <w:jc w:val="left"/>
        <w:rPr>
          <w:sz w:val="24"/>
        </w:rPr>
      </w:pPr>
      <w:r>
        <w:rPr>
          <w:spacing w:val="-18"/>
          <w:sz w:val="24"/>
        </w:rPr>
        <w:t>人見 剛，〈懲戒処分 と人事院の修正裁決〉，小早川光郎．宇賀克也．交告</w:t>
      </w:r>
      <w:r>
        <w:rPr>
          <w:spacing w:val="-12"/>
          <w:sz w:val="24"/>
        </w:rPr>
        <w:t>尚史編，《行政法判例百選 </w:t>
      </w:r>
      <w:r>
        <w:rPr>
          <w:rFonts w:ascii="Times New Roman" w:eastAsia="Times New Roman"/>
          <w:sz w:val="24"/>
        </w:rPr>
        <w:t>II</w:t>
      </w:r>
      <w:r>
        <w:rPr>
          <w:spacing w:val="-20"/>
          <w:sz w:val="24"/>
        </w:rPr>
        <w:t>》，有斐閣，</w:t>
      </w:r>
      <w:r>
        <w:rPr>
          <w:rFonts w:ascii="Times New Roman" w:eastAsia="Times New Roman"/>
          <w:sz w:val="24"/>
        </w:rPr>
        <w:t>2006 </w:t>
      </w:r>
      <w:r>
        <w:rPr>
          <w:spacing w:val="-2"/>
          <w:sz w:val="24"/>
        </w:rPr>
        <w:t>年 </w:t>
      </w:r>
      <w:r>
        <w:rPr>
          <w:rFonts w:ascii="Times New Roman" w:eastAsia="Times New Roman"/>
          <w:sz w:val="24"/>
        </w:rPr>
        <w:t>5 </w:t>
      </w:r>
      <w:r>
        <w:rPr>
          <w:sz w:val="24"/>
        </w:rPr>
        <w:t>月。</w:t>
      </w:r>
    </w:p>
    <w:p>
      <w:pPr>
        <w:pStyle w:val="ListParagraph"/>
        <w:numPr>
          <w:ilvl w:val="0"/>
          <w:numId w:val="44"/>
        </w:numPr>
        <w:tabs>
          <w:tab w:pos="1379" w:val="left" w:leader="none"/>
          <w:tab w:pos="1380" w:val="left" w:leader="none"/>
        </w:tabs>
        <w:spacing w:line="240" w:lineRule="auto" w:before="2" w:after="0"/>
        <w:ind w:left="1380" w:right="0" w:hanging="481"/>
        <w:jc w:val="left"/>
        <w:rPr>
          <w:sz w:val="24"/>
        </w:rPr>
      </w:pPr>
      <w:r>
        <w:rPr>
          <w:spacing w:val="-12"/>
          <w:sz w:val="24"/>
        </w:rPr>
        <w:t>村上武則，《基本行政法》第二版，有信堂，</w:t>
      </w:r>
      <w:r>
        <w:rPr>
          <w:rFonts w:ascii="Times New Roman" w:eastAsia="Times New Roman"/>
          <w:sz w:val="24"/>
        </w:rPr>
        <w:t>2001 </w:t>
      </w:r>
      <w:r>
        <w:rPr>
          <w:spacing w:val="-2"/>
          <w:sz w:val="24"/>
        </w:rPr>
        <w:t>年 </w:t>
      </w:r>
      <w:r>
        <w:rPr>
          <w:rFonts w:ascii="Times New Roman" w:eastAsia="Times New Roman"/>
          <w:sz w:val="24"/>
        </w:rPr>
        <w:t>5 </w:t>
      </w:r>
      <w:r>
        <w:rPr>
          <w:sz w:val="24"/>
        </w:rPr>
        <w:t>月。</w:t>
      </w:r>
    </w:p>
    <w:p>
      <w:pPr>
        <w:pStyle w:val="ListParagraph"/>
        <w:numPr>
          <w:ilvl w:val="0"/>
          <w:numId w:val="44"/>
        </w:numPr>
        <w:tabs>
          <w:tab w:pos="1380" w:val="left" w:leader="none"/>
        </w:tabs>
        <w:spacing w:line="295" w:lineRule="auto" w:before="78" w:after="0"/>
        <w:ind w:left="1379" w:right="917" w:hanging="480"/>
        <w:jc w:val="left"/>
        <w:rPr>
          <w:sz w:val="24"/>
        </w:rPr>
      </w:pPr>
      <w:r>
        <w:rPr>
          <w:spacing w:val="-26"/>
          <w:sz w:val="24"/>
        </w:rPr>
        <w:t>中西又三，〈公務員の勤務関係〉，小早川光郎．宇賀克也．交告尚史編，《行</w:t>
      </w:r>
      <w:r>
        <w:rPr>
          <w:spacing w:val="-1"/>
          <w:sz w:val="24"/>
        </w:rPr>
        <w:t>政法判例百選 </w:t>
      </w:r>
      <w:r>
        <w:rPr>
          <w:rFonts w:ascii="Times New Roman" w:eastAsia="Times New Roman"/>
          <w:sz w:val="24"/>
        </w:rPr>
        <w:t>I</w:t>
      </w:r>
      <w:r>
        <w:rPr>
          <w:spacing w:val="-20"/>
          <w:sz w:val="24"/>
        </w:rPr>
        <w:t>》，有斐閣，</w:t>
      </w:r>
      <w:r>
        <w:rPr>
          <w:rFonts w:ascii="Times New Roman" w:eastAsia="Times New Roman"/>
          <w:sz w:val="24"/>
        </w:rPr>
        <w:t>2006 </w:t>
      </w:r>
      <w:r>
        <w:rPr>
          <w:spacing w:val="-2"/>
          <w:sz w:val="24"/>
        </w:rPr>
        <w:t>年 </w:t>
      </w:r>
      <w:r>
        <w:rPr>
          <w:rFonts w:ascii="Times New Roman" w:eastAsia="Times New Roman"/>
          <w:sz w:val="24"/>
        </w:rPr>
        <w:t>5 </w:t>
      </w:r>
      <w:r>
        <w:rPr>
          <w:sz w:val="24"/>
        </w:rPr>
        <w:t>月。</w:t>
      </w:r>
    </w:p>
    <w:p>
      <w:pPr>
        <w:pStyle w:val="BodyText"/>
        <w:spacing w:before="12"/>
        <w:rPr>
          <w:sz w:val="38"/>
        </w:rPr>
      </w:pPr>
    </w:p>
    <w:p>
      <w:pPr>
        <w:pStyle w:val="Heading2"/>
        <w:rPr>
          <w:rFonts w:ascii="標楷體" w:eastAsia="標楷體" w:hint="eastAsia"/>
        </w:rPr>
      </w:pPr>
      <w:r>
        <w:rPr>
          <w:rFonts w:ascii="標楷體" w:eastAsia="標楷體" w:hint="eastAsia"/>
          <w:w w:val="95"/>
        </w:rPr>
        <w:t>三、德文部分</w:t>
      </w:r>
    </w:p>
    <w:p>
      <w:pPr>
        <w:pStyle w:val="ListParagraph"/>
        <w:numPr>
          <w:ilvl w:val="0"/>
          <w:numId w:val="45"/>
        </w:numPr>
        <w:tabs>
          <w:tab w:pos="1379" w:val="left" w:leader="none"/>
          <w:tab w:pos="1380" w:val="left" w:leader="none"/>
        </w:tabs>
        <w:spacing w:line="240" w:lineRule="auto" w:before="232" w:after="0"/>
        <w:ind w:left="1380" w:right="0" w:hanging="480"/>
        <w:jc w:val="left"/>
        <w:rPr>
          <w:rFonts w:ascii="Times New Roman" w:hAnsi="Times New Roman"/>
          <w:sz w:val="24"/>
        </w:rPr>
      </w:pPr>
      <w:r>
        <w:rPr>
          <w:rFonts w:ascii="Times New Roman" w:hAnsi="Times New Roman"/>
          <w:sz w:val="24"/>
        </w:rPr>
        <w:t>Ehlers/</w:t>
      </w:r>
      <w:r>
        <w:rPr>
          <w:rFonts w:ascii="Times New Roman" w:hAnsi="Times New Roman"/>
          <w:spacing w:val="-3"/>
          <w:sz w:val="24"/>
        </w:rPr>
        <w:t> </w:t>
      </w:r>
      <w:r>
        <w:rPr>
          <w:rFonts w:ascii="Times New Roman" w:hAnsi="Times New Roman"/>
          <w:sz w:val="24"/>
        </w:rPr>
        <w:t>Schoch,</w:t>
      </w:r>
      <w:r>
        <w:rPr>
          <w:rFonts w:ascii="Times New Roman" w:hAnsi="Times New Roman"/>
          <w:spacing w:val="-3"/>
          <w:sz w:val="24"/>
        </w:rPr>
        <w:t> </w:t>
      </w:r>
      <w:r>
        <w:rPr>
          <w:rFonts w:ascii="Times New Roman" w:hAnsi="Times New Roman"/>
          <w:sz w:val="24"/>
        </w:rPr>
        <w:t>Rechtsschutz</w:t>
      </w:r>
      <w:r>
        <w:rPr>
          <w:rFonts w:ascii="Times New Roman" w:hAnsi="Times New Roman"/>
          <w:spacing w:val="-2"/>
          <w:sz w:val="24"/>
        </w:rPr>
        <w:t> </w:t>
      </w:r>
      <w:r>
        <w:rPr>
          <w:rFonts w:ascii="Times New Roman" w:hAnsi="Times New Roman"/>
          <w:sz w:val="24"/>
        </w:rPr>
        <w:t>im</w:t>
      </w:r>
      <w:r>
        <w:rPr>
          <w:rFonts w:ascii="Times New Roman" w:hAnsi="Times New Roman"/>
          <w:spacing w:val="-5"/>
          <w:sz w:val="24"/>
        </w:rPr>
        <w:t> </w:t>
      </w:r>
      <w:r>
        <w:rPr>
          <w:rFonts w:ascii="Times New Roman" w:hAnsi="Times New Roman"/>
          <w:sz w:val="24"/>
        </w:rPr>
        <w:t>Öffentlichen</w:t>
      </w:r>
      <w:r>
        <w:rPr>
          <w:rFonts w:ascii="Times New Roman" w:hAnsi="Times New Roman"/>
          <w:spacing w:val="-4"/>
          <w:sz w:val="24"/>
        </w:rPr>
        <w:t> </w:t>
      </w:r>
      <w:r>
        <w:rPr>
          <w:rFonts w:ascii="Times New Roman" w:hAnsi="Times New Roman"/>
          <w:sz w:val="24"/>
        </w:rPr>
        <w:t>Recht,</w:t>
      </w:r>
      <w:r>
        <w:rPr>
          <w:rFonts w:ascii="Times New Roman" w:hAnsi="Times New Roman"/>
          <w:spacing w:val="-3"/>
          <w:sz w:val="24"/>
        </w:rPr>
        <w:t> </w:t>
      </w:r>
      <w:r>
        <w:rPr>
          <w:rFonts w:ascii="Times New Roman" w:hAnsi="Times New Roman"/>
          <w:sz w:val="24"/>
        </w:rPr>
        <w:t>Berlin</w:t>
      </w:r>
      <w:r>
        <w:rPr>
          <w:rFonts w:ascii="Times New Roman" w:hAnsi="Times New Roman"/>
          <w:spacing w:val="-4"/>
          <w:sz w:val="24"/>
        </w:rPr>
        <w:t> </w:t>
      </w:r>
      <w:r>
        <w:rPr>
          <w:rFonts w:ascii="Times New Roman" w:hAnsi="Times New Roman"/>
          <w:sz w:val="24"/>
        </w:rPr>
        <w:t>2009</w:t>
      </w:r>
    </w:p>
    <w:p>
      <w:pPr>
        <w:pStyle w:val="ListParagraph"/>
        <w:numPr>
          <w:ilvl w:val="0"/>
          <w:numId w:val="45"/>
        </w:numPr>
        <w:tabs>
          <w:tab w:pos="1379" w:val="left" w:leader="none"/>
          <w:tab w:pos="1380" w:val="left" w:leader="none"/>
        </w:tabs>
        <w:spacing w:line="316" w:lineRule="auto" w:before="108" w:after="0"/>
        <w:ind w:left="1379" w:right="1011" w:hanging="480"/>
        <w:jc w:val="left"/>
        <w:rPr>
          <w:rFonts w:ascii="Times New Roman" w:hAnsi="Times New Roman"/>
          <w:sz w:val="24"/>
        </w:rPr>
      </w:pPr>
      <w:r>
        <w:rPr>
          <w:rFonts w:ascii="Times New Roman" w:hAnsi="Times New Roman"/>
          <w:spacing w:val="-1"/>
          <w:sz w:val="24"/>
        </w:rPr>
        <w:t>Erichsen</w:t>
      </w:r>
      <w:r>
        <w:rPr>
          <w:rFonts w:ascii="Times New Roman" w:hAnsi="Times New Roman"/>
          <w:spacing w:val="-2"/>
          <w:sz w:val="24"/>
        </w:rPr>
        <w:t> </w:t>
      </w:r>
      <w:r>
        <w:rPr>
          <w:rFonts w:ascii="Times New Roman" w:hAnsi="Times New Roman"/>
          <w:spacing w:val="-1"/>
          <w:sz w:val="24"/>
        </w:rPr>
        <w:t>in:</w:t>
      </w:r>
      <w:r>
        <w:rPr>
          <w:rFonts w:ascii="Times New Roman" w:hAnsi="Times New Roman"/>
          <w:spacing w:val="-2"/>
          <w:sz w:val="24"/>
        </w:rPr>
        <w:t> </w:t>
      </w:r>
      <w:r>
        <w:rPr>
          <w:rFonts w:ascii="Times New Roman" w:hAnsi="Times New Roman"/>
          <w:spacing w:val="-1"/>
          <w:sz w:val="24"/>
        </w:rPr>
        <w:t>Erichsen/Ehlers,</w:t>
      </w:r>
      <w:r>
        <w:rPr>
          <w:rFonts w:ascii="Times New Roman" w:hAnsi="Times New Roman"/>
          <w:spacing w:val="-14"/>
          <w:sz w:val="24"/>
        </w:rPr>
        <w:t> </w:t>
      </w:r>
      <w:r>
        <w:rPr>
          <w:rFonts w:ascii="Times New Roman" w:hAnsi="Times New Roman"/>
          <w:spacing w:val="-1"/>
          <w:sz w:val="24"/>
        </w:rPr>
        <w:t>Allgemeines</w:t>
      </w:r>
      <w:r>
        <w:rPr>
          <w:rFonts w:ascii="Times New Roman" w:hAnsi="Times New Roman"/>
          <w:spacing w:val="-5"/>
          <w:sz w:val="24"/>
        </w:rPr>
        <w:t> </w:t>
      </w:r>
      <w:r>
        <w:rPr>
          <w:rFonts w:ascii="Times New Roman" w:hAnsi="Times New Roman"/>
          <w:sz w:val="24"/>
        </w:rPr>
        <w:t>Verwaltungsrecht,</w:t>
      </w:r>
      <w:r>
        <w:rPr>
          <w:rFonts w:ascii="Times New Roman" w:hAnsi="Times New Roman"/>
          <w:spacing w:val="-2"/>
          <w:sz w:val="24"/>
        </w:rPr>
        <w:t> </w:t>
      </w:r>
      <w:r>
        <w:rPr>
          <w:rFonts w:ascii="Times New Roman" w:hAnsi="Times New Roman"/>
          <w:sz w:val="24"/>
        </w:rPr>
        <w:t>12.</w:t>
      </w:r>
      <w:r>
        <w:rPr>
          <w:rFonts w:ascii="Times New Roman" w:hAnsi="Times New Roman"/>
          <w:spacing w:val="-14"/>
          <w:sz w:val="24"/>
        </w:rPr>
        <w:t> </w:t>
      </w:r>
      <w:r>
        <w:rPr>
          <w:rFonts w:ascii="Times New Roman" w:hAnsi="Times New Roman"/>
          <w:sz w:val="24"/>
        </w:rPr>
        <w:t>Aufl.</w:t>
      </w:r>
      <w:r>
        <w:rPr>
          <w:rFonts w:ascii="Times New Roman" w:hAnsi="Times New Roman"/>
          <w:spacing w:val="1"/>
          <w:sz w:val="24"/>
        </w:rPr>
        <w:t> </w:t>
      </w:r>
      <w:r>
        <w:rPr>
          <w:sz w:val="24"/>
        </w:rPr>
        <w:t>§</w:t>
      </w:r>
      <w:r>
        <w:rPr>
          <w:spacing w:val="59"/>
          <w:sz w:val="24"/>
        </w:rPr>
        <w:t> </w:t>
      </w:r>
      <w:r>
        <w:rPr>
          <w:rFonts w:ascii="Times New Roman" w:hAnsi="Times New Roman"/>
          <w:sz w:val="24"/>
        </w:rPr>
        <w:t>12</w:t>
      </w:r>
      <w:r>
        <w:rPr>
          <w:rFonts w:ascii="Times New Roman" w:hAnsi="Times New Roman"/>
          <w:spacing w:val="-1"/>
          <w:sz w:val="24"/>
        </w:rPr>
        <w:t> </w:t>
      </w:r>
      <w:r>
        <w:rPr>
          <w:rFonts w:ascii="Times New Roman" w:hAnsi="Times New Roman"/>
          <w:sz w:val="24"/>
        </w:rPr>
        <w:t>Rn.</w:t>
      </w:r>
      <w:r>
        <w:rPr>
          <w:rFonts w:ascii="Times New Roman" w:hAnsi="Times New Roman"/>
          <w:spacing w:val="-57"/>
          <w:sz w:val="24"/>
        </w:rPr>
        <w:t> </w:t>
      </w:r>
      <w:r>
        <w:rPr>
          <w:rFonts w:ascii="Times New Roman" w:hAnsi="Times New Roman"/>
          <w:sz w:val="24"/>
        </w:rPr>
        <w:t>41.</w:t>
      </w:r>
    </w:p>
    <w:p>
      <w:pPr>
        <w:spacing w:after="0" w:line="316" w:lineRule="auto"/>
        <w:jc w:val="left"/>
        <w:rPr>
          <w:rFonts w:ascii="Times New Roman" w:hAnsi="Times New Roman"/>
          <w:sz w:val="24"/>
        </w:rPr>
        <w:sectPr>
          <w:pgSz w:w="11910" w:h="16840"/>
          <w:pgMar w:header="0" w:footer="938" w:top="1420" w:bottom="1200" w:left="900" w:right="880"/>
        </w:sectPr>
      </w:pPr>
    </w:p>
    <w:p>
      <w:pPr>
        <w:pStyle w:val="ListParagraph"/>
        <w:numPr>
          <w:ilvl w:val="0"/>
          <w:numId w:val="45"/>
        </w:numPr>
        <w:tabs>
          <w:tab w:pos="1379" w:val="left" w:leader="none"/>
          <w:tab w:pos="1380" w:val="left" w:leader="none"/>
        </w:tabs>
        <w:spacing w:line="240" w:lineRule="auto" w:before="68" w:after="0"/>
        <w:ind w:left="1380" w:right="0" w:hanging="480"/>
        <w:jc w:val="left"/>
        <w:rPr>
          <w:rFonts w:ascii="Times New Roman" w:hAnsi="Times New Roman"/>
          <w:sz w:val="24"/>
        </w:rPr>
      </w:pPr>
      <w:r>
        <w:rPr>
          <w:rFonts w:ascii="Times New Roman" w:hAnsi="Times New Roman"/>
          <w:sz w:val="24"/>
        </w:rPr>
        <w:t>Finkelnburg,</w:t>
      </w:r>
      <w:r>
        <w:rPr>
          <w:rFonts w:ascii="Times New Roman" w:hAnsi="Times New Roman"/>
          <w:spacing w:val="-9"/>
          <w:sz w:val="24"/>
        </w:rPr>
        <w:t> </w:t>
      </w:r>
      <w:r>
        <w:rPr>
          <w:rFonts w:ascii="Times New Roman" w:hAnsi="Times New Roman"/>
          <w:sz w:val="24"/>
        </w:rPr>
        <w:t>Klaus</w:t>
      </w:r>
      <w:r>
        <w:rPr>
          <w:rFonts w:ascii="Times New Roman" w:hAnsi="Times New Roman"/>
          <w:spacing w:val="-8"/>
          <w:sz w:val="24"/>
        </w:rPr>
        <w:t> </w:t>
      </w:r>
      <w:r>
        <w:rPr>
          <w:rFonts w:ascii="Times New Roman" w:hAnsi="Times New Roman"/>
          <w:sz w:val="24"/>
        </w:rPr>
        <w:t>u.a.,</w:t>
      </w:r>
      <w:r>
        <w:rPr>
          <w:rFonts w:ascii="Times New Roman" w:hAnsi="Times New Roman"/>
          <w:spacing w:val="-11"/>
          <w:sz w:val="24"/>
        </w:rPr>
        <w:t> </w:t>
      </w:r>
      <w:r>
        <w:rPr>
          <w:rFonts w:ascii="Times New Roman" w:hAnsi="Times New Roman"/>
          <w:sz w:val="24"/>
        </w:rPr>
        <w:t>Vorläufiger</w:t>
      </w:r>
      <w:r>
        <w:rPr>
          <w:rFonts w:ascii="Times New Roman" w:hAnsi="Times New Roman"/>
          <w:spacing w:val="-8"/>
          <w:sz w:val="24"/>
        </w:rPr>
        <w:t> </w:t>
      </w:r>
      <w:r>
        <w:rPr>
          <w:rFonts w:ascii="Times New Roman" w:hAnsi="Times New Roman"/>
          <w:sz w:val="24"/>
        </w:rPr>
        <w:t>Rechtsschutz</w:t>
      </w:r>
      <w:r>
        <w:rPr>
          <w:rFonts w:ascii="Times New Roman" w:hAnsi="Times New Roman"/>
          <w:spacing w:val="-8"/>
          <w:sz w:val="24"/>
        </w:rPr>
        <w:t> </w:t>
      </w:r>
      <w:r>
        <w:rPr>
          <w:rFonts w:ascii="Times New Roman" w:hAnsi="Times New Roman"/>
          <w:sz w:val="24"/>
        </w:rPr>
        <w:t>im</w:t>
      </w:r>
      <w:r>
        <w:rPr>
          <w:rFonts w:ascii="Times New Roman" w:hAnsi="Times New Roman"/>
          <w:spacing w:val="-13"/>
          <w:sz w:val="24"/>
        </w:rPr>
        <w:t> </w:t>
      </w:r>
      <w:r>
        <w:rPr>
          <w:rFonts w:ascii="Times New Roman" w:hAnsi="Times New Roman"/>
          <w:sz w:val="24"/>
        </w:rPr>
        <w:t>Verwaltungsstreitverfahren,</w:t>
      </w:r>
    </w:p>
    <w:p>
      <w:pPr>
        <w:pStyle w:val="BodyText"/>
        <w:spacing w:before="138"/>
        <w:ind w:left="1380"/>
        <w:rPr>
          <w:rFonts w:ascii="Times New Roman" w:hAnsi="Times New Roman"/>
        </w:rPr>
      </w:pPr>
      <w:r>
        <w:rPr>
          <w:rFonts w:ascii="Times New Roman" w:hAnsi="Times New Roman"/>
          <w:spacing w:val="-2"/>
        </w:rPr>
        <w:t>6.</w:t>
      </w:r>
      <w:r>
        <w:rPr>
          <w:rFonts w:ascii="Times New Roman" w:hAnsi="Times New Roman"/>
          <w:spacing w:val="-14"/>
        </w:rPr>
        <w:t> </w:t>
      </w:r>
      <w:r>
        <w:rPr>
          <w:rFonts w:ascii="Times New Roman" w:hAnsi="Times New Roman"/>
          <w:spacing w:val="-2"/>
        </w:rPr>
        <w:t>Aufl.,</w:t>
      </w:r>
      <w:r>
        <w:rPr>
          <w:rFonts w:ascii="Times New Roman" w:hAnsi="Times New Roman"/>
        </w:rPr>
        <w:t> </w:t>
      </w:r>
      <w:r>
        <w:rPr>
          <w:rFonts w:ascii="Times New Roman" w:hAnsi="Times New Roman"/>
          <w:spacing w:val="-1"/>
        </w:rPr>
        <w:t>München 2011</w:t>
      </w:r>
    </w:p>
    <w:p>
      <w:pPr>
        <w:pStyle w:val="ListParagraph"/>
        <w:numPr>
          <w:ilvl w:val="0"/>
          <w:numId w:val="45"/>
        </w:numPr>
        <w:tabs>
          <w:tab w:pos="1379" w:val="left" w:leader="none"/>
          <w:tab w:pos="1380" w:val="left" w:leader="none"/>
        </w:tabs>
        <w:spacing w:line="360" w:lineRule="auto" w:before="138" w:after="0"/>
        <w:ind w:left="1380" w:right="1342" w:hanging="480"/>
        <w:jc w:val="left"/>
        <w:rPr>
          <w:rFonts w:ascii="Times New Roman"/>
          <w:sz w:val="24"/>
        </w:rPr>
      </w:pPr>
      <w:r>
        <w:rPr>
          <w:rFonts w:ascii="Times New Roman"/>
          <w:sz w:val="24"/>
        </w:rPr>
        <w:t>Hummel u.a., BDG - Bundesdisziplinargesetz und materielles Dienstrecht, 4.</w:t>
      </w:r>
      <w:r>
        <w:rPr>
          <w:rFonts w:ascii="Times New Roman"/>
          <w:spacing w:val="-57"/>
          <w:sz w:val="24"/>
        </w:rPr>
        <w:t> </w:t>
      </w:r>
      <w:r>
        <w:rPr>
          <w:rFonts w:ascii="Times New Roman"/>
          <w:sz w:val="24"/>
        </w:rPr>
        <w:t>Aufl.,</w:t>
      </w:r>
      <w:r>
        <w:rPr>
          <w:rFonts w:ascii="Times New Roman"/>
          <w:spacing w:val="-2"/>
          <w:sz w:val="24"/>
        </w:rPr>
        <w:t> </w:t>
      </w:r>
      <w:r>
        <w:rPr>
          <w:rFonts w:ascii="Times New Roman"/>
          <w:sz w:val="24"/>
        </w:rPr>
        <w:t>Frankfurt</w:t>
      </w:r>
      <w:r>
        <w:rPr>
          <w:rFonts w:ascii="Times New Roman"/>
          <w:spacing w:val="-1"/>
          <w:sz w:val="24"/>
        </w:rPr>
        <w:t> </w:t>
      </w:r>
      <w:r>
        <w:rPr>
          <w:rFonts w:ascii="Times New Roman"/>
          <w:sz w:val="24"/>
        </w:rPr>
        <w:t>a.M. 2009</w:t>
      </w:r>
    </w:p>
    <w:p>
      <w:pPr>
        <w:pStyle w:val="ListParagraph"/>
        <w:numPr>
          <w:ilvl w:val="0"/>
          <w:numId w:val="45"/>
        </w:numPr>
        <w:tabs>
          <w:tab w:pos="1379" w:val="left" w:leader="none"/>
          <w:tab w:pos="1380" w:val="left" w:leader="none"/>
        </w:tabs>
        <w:spacing w:line="305" w:lineRule="exact" w:before="0" w:after="0"/>
        <w:ind w:left="1380" w:right="0" w:hanging="480"/>
        <w:jc w:val="left"/>
        <w:rPr>
          <w:rFonts w:ascii="Times New Roman" w:hAnsi="Times New Roman"/>
          <w:sz w:val="24"/>
        </w:rPr>
      </w:pPr>
      <w:r>
        <w:rPr>
          <w:rFonts w:ascii="Times New Roman" w:hAnsi="Times New Roman"/>
          <w:spacing w:val="-1"/>
          <w:sz w:val="24"/>
        </w:rPr>
        <w:t>Maurer,</w:t>
      </w:r>
      <w:r>
        <w:rPr>
          <w:rFonts w:ascii="Times New Roman" w:hAnsi="Times New Roman"/>
          <w:spacing w:val="-14"/>
          <w:sz w:val="24"/>
        </w:rPr>
        <w:t> </w:t>
      </w:r>
      <w:r>
        <w:rPr>
          <w:rFonts w:ascii="Times New Roman" w:hAnsi="Times New Roman"/>
          <w:spacing w:val="-1"/>
          <w:sz w:val="24"/>
        </w:rPr>
        <w:t>Allgemeines</w:t>
      </w:r>
      <w:r>
        <w:rPr>
          <w:rFonts w:ascii="Times New Roman" w:hAnsi="Times New Roman"/>
          <w:spacing w:val="-5"/>
          <w:sz w:val="24"/>
        </w:rPr>
        <w:t> </w:t>
      </w:r>
      <w:r>
        <w:rPr>
          <w:rFonts w:ascii="Times New Roman" w:hAnsi="Times New Roman"/>
          <w:spacing w:val="-1"/>
          <w:sz w:val="24"/>
        </w:rPr>
        <w:t>Verwaltungsrecht,</w:t>
      </w:r>
      <w:r>
        <w:rPr>
          <w:rFonts w:ascii="Times New Roman" w:hAnsi="Times New Roman"/>
          <w:sz w:val="24"/>
        </w:rPr>
        <w:t> </w:t>
      </w:r>
      <w:r>
        <w:rPr>
          <w:rFonts w:ascii="Times New Roman" w:hAnsi="Times New Roman"/>
          <w:spacing w:val="-1"/>
          <w:sz w:val="24"/>
        </w:rPr>
        <w:t>16.</w:t>
      </w:r>
      <w:r>
        <w:rPr>
          <w:rFonts w:ascii="Times New Roman" w:hAnsi="Times New Roman"/>
          <w:spacing w:val="-14"/>
          <w:sz w:val="24"/>
        </w:rPr>
        <w:t> </w:t>
      </w:r>
      <w:r>
        <w:rPr>
          <w:rFonts w:ascii="Times New Roman" w:hAnsi="Times New Roman"/>
          <w:spacing w:val="-1"/>
          <w:sz w:val="24"/>
        </w:rPr>
        <w:t>Aufl.</w:t>
      </w:r>
      <w:r>
        <w:rPr>
          <w:rFonts w:ascii="Times New Roman" w:hAnsi="Times New Roman"/>
          <w:spacing w:val="1"/>
          <w:sz w:val="24"/>
        </w:rPr>
        <w:t> </w:t>
      </w:r>
      <w:r>
        <w:rPr>
          <w:spacing w:val="-1"/>
          <w:sz w:val="24"/>
        </w:rPr>
        <w:t>§</w:t>
      </w:r>
      <w:r>
        <w:rPr>
          <w:spacing w:val="57"/>
          <w:sz w:val="24"/>
        </w:rPr>
        <w:t> </w:t>
      </w:r>
      <w:r>
        <w:rPr>
          <w:rFonts w:ascii="Times New Roman" w:hAnsi="Times New Roman"/>
          <w:spacing w:val="-1"/>
          <w:sz w:val="24"/>
        </w:rPr>
        <w:t>9 </w:t>
      </w:r>
      <w:r>
        <w:rPr>
          <w:rFonts w:ascii="Times New Roman" w:hAnsi="Times New Roman"/>
          <w:sz w:val="24"/>
        </w:rPr>
        <w:t>Rn.</w:t>
      </w:r>
      <w:r>
        <w:rPr>
          <w:rFonts w:ascii="Times New Roman" w:hAnsi="Times New Roman"/>
          <w:spacing w:val="-1"/>
          <w:sz w:val="24"/>
        </w:rPr>
        <w:t> </w:t>
      </w:r>
      <w:r>
        <w:rPr>
          <w:rFonts w:ascii="Times New Roman" w:hAnsi="Times New Roman"/>
          <w:sz w:val="24"/>
        </w:rPr>
        <w:t>28.</w:t>
      </w:r>
    </w:p>
    <w:p>
      <w:pPr>
        <w:pStyle w:val="ListParagraph"/>
        <w:numPr>
          <w:ilvl w:val="0"/>
          <w:numId w:val="45"/>
        </w:numPr>
        <w:tabs>
          <w:tab w:pos="1379" w:val="left" w:leader="none"/>
          <w:tab w:pos="1380" w:val="left" w:leader="none"/>
        </w:tabs>
        <w:spacing w:line="240" w:lineRule="auto" w:before="109" w:after="0"/>
        <w:ind w:left="1380" w:right="0" w:hanging="480"/>
        <w:jc w:val="left"/>
        <w:rPr>
          <w:rFonts w:ascii="Times New Roman" w:hAnsi="Times New Roman"/>
          <w:sz w:val="24"/>
        </w:rPr>
      </w:pPr>
      <w:r>
        <w:rPr>
          <w:rFonts w:ascii="Times New Roman" w:hAnsi="Times New Roman"/>
          <w:sz w:val="24"/>
        </w:rPr>
        <w:t>Schnellenbach,</w:t>
      </w:r>
      <w:r>
        <w:rPr>
          <w:rFonts w:ascii="Times New Roman" w:hAnsi="Times New Roman"/>
          <w:spacing w:val="-2"/>
          <w:sz w:val="24"/>
        </w:rPr>
        <w:t> </w:t>
      </w:r>
      <w:r>
        <w:rPr>
          <w:rFonts w:ascii="Times New Roman" w:hAnsi="Times New Roman"/>
          <w:sz w:val="24"/>
        </w:rPr>
        <w:t>Beamtenrecht,</w:t>
      </w:r>
      <w:r>
        <w:rPr>
          <w:rFonts w:ascii="Times New Roman" w:hAnsi="Times New Roman"/>
          <w:spacing w:val="-1"/>
          <w:sz w:val="24"/>
        </w:rPr>
        <w:t> </w:t>
      </w:r>
      <w:r>
        <w:rPr>
          <w:rFonts w:ascii="Times New Roman" w:hAnsi="Times New Roman"/>
          <w:sz w:val="24"/>
        </w:rPr>
        <w:t>7.</w:t>
      </w:r>
      <w:r>
        <w:rPr>
          <w:rFonts w:ascii="Times New Roman" w:hAnsi="Times New Roman"/>
          <w:spacing w:val="-14"/>
          <w:sz w:val="24"/>
        </w:rPr>
        <w:t> </w:t>
      </w:r>
      <w:r>
        <w:rPr>
          <w:rFonts w:ascii="Times New Roman" w:hAnsi="Times New Roman"/>
          <w:sz w:val="24"/>
        </w:rPr>
        <w:t>Aufl.,</w:t>
      </w:r>
      <w:r>
        <w:rPr>
          <w:rFonts w:ascii="Times New Roman" w:hAnsi="Times New Roman"/>
          <w:spacing w:val="-1"/>
          <w:sz w:val="24"/>
        </w:rPr>
        <w:t> </w:t>
      </w:r>
      <w:r>
        <w:rPr>
          <w:rFonts w:ascii="Times New Roman" w:hAnsi="Times New Roman"/>
          <w:sz w:val="24"/>
        </w:rPr>
        <w:t>München</w:t>
      </w:r>
      <w:r>
        <w:rPr>
          <w:rFonts w:ascii="Times New Roman" w:hAnsi="Times New Roman"/>
          <w:spacing w:val="-2"/>
          <w:sz w:val="24"/>
        </w:rPr>
        <w:t> </w:t>
      </w:r>
      <w:r>
        <w:rPr>
          <w:rFonts w:ascii="Times New Roman" w:hAnsi="Times New Roman"/>
          <w:sz w:val="24"/>
        </w:rPr>
        <w:t>2009</w:t>
      </w:r>
    </w:p>
    <w:p>
      <w:pPr>
        <w:pStyle w:val="ListParagraph"/>
        <w:numPr>
          <w:ilvl w:val="0"/>
          <w:numId w:val="45"/>
        </w:numPr>
        <w:tabs>
          <w:tab w:pos="1379" w:val="left" w:leader="none"/>
          <w:tab w:pos="1380" w:val="left" w:leader="none"/>
        </w:tabs>
        <w:spacing w:line="240" w:lineRule="auto" w:before="138" w:after="0"/>
        <w:ind w:left="1380" w:right="0" w:hanging="480"/>
        <w:jc w:val="left"/>
        <w:rPr>
          <w:rFonts w:ascii="Times New Roman"/>
          <w:sz w:val="24"/>
        </w:rPr>
      </w:pPr>
      <w:r>
        <w:rPr>
          <w:rFonts w:ascii="Times New Roman"/>
          <w:spacing w:val="-1"/>
          <w:sz w:val="24"/>
        </w:rPr>
        <w:t>Stumpf,</w:t>
      </w:r>
      <w:r>
        <w:rPr>
          <w:rFonts w:ascii="Times New Roman"/>
          <w:spacing w:val="-14"/>
          <w:sz w:val="24"/>
        </w:rPr>
        <w:t> </w:t>
      </w:r>
      <w:r>
        <w:rPr>
          <w:rFonts w:ascii="Times New Roman"/>
          <w:spacing w:val="-1"/>
          <w:sz w:val="24"/>
        </w:rPr>
        <w:t>Alternative</w:t>
      </w:r>
      <w:r>
        <w:rPr>
          <w:rFonts w:ascii="Times New Roman"/>
          <w:spacing w:val="-3"/>
          <w:sz w:val="24"/>
        </w:rPr>
        <w:t> </w:t>
      </w:r>
      <w:r>
        <w:rPr>
          <w:rFonts w:ascii="Times New Roman"/>
          <w:spacing w:val="-1"/>
          <w:sz w:val="24"/>
        </w:rPr>
        <w:t>Streitbeilegung</w:t>
      </w:r>
      <w:r>
        <w:rPr>
          <w:rFonts w:ascii="Times New Roman"/>
          <w:spacing w:val="-2"/>
          <w:sz w:val="24"/>
        </w:rPr>
        <w:t> </w:t>
      </w:r>
      <w:r>
        <w:rPr>
          <w:rFonts w:ascii="Times New Roman"/>
          <w:sz w:val="24"/>
        </w:rPr>
        <w:t>im</w:t>
      </w:r>
      <w:r>
        <w:rPr>
          <w:rFonts w:ascii="Times New Roman"/>
          <w:spacing w:val="-7"/>
          <w:sz w:val="24"/>
        </w:rPr>
        <w:t> </w:t>
      </w:r>
      <w:r>
        <w:rPr>
          <w:rFonts w:ascii="Times New Roman"/>
          <w:sz w:val="24"/>
        </w:rPr>
        <w:t>Verwaltungsrecht</w:t>
      </w:r>
      <w:r>
        <w:rPr>
          <w:rFonts w:ascii="Times New Roman"/>
          <w:spacing w:val="-3"/>
          <w:sz w:val="24"/>
        </w:rPr>
        <w:t> </w:t>
      </w:r>
      <w:r>
        <w:rPr>
          <w:rFonts w:ascii="Times New Roman"/>
          <w:sz w:val="24"/>
        </w:rPr>
        <w:t>:</w:t>
      </w:r>
      <w:r>
        <w:rPr>
          <w:rFonts w:ascii="Times New Roman"/>
          <w:spacing w:val="-3"/>
          <w:sz w:val="24"/>
        </w:rPr>
        <w:t> </w:t>
      </w:r>
      <w:r>
        <w:rPr>
          <w:rFonts w:ascii="Times New Roman"/>
          <w:sz w:val="24"/>
        </w:rPr>
        <w:t>Schiedsgerichtsbarkeit</w:t>
      </w:r>
    </w:p>
    <w:p>
      <w:pPr>
        <w:pStyle w:val="BodyText"/>
        <w:spacing w:before="138"/>
        <w:ind w:left="1380"/>
        <w:rPr>
          <w:rFonts w:ascii="Times New Roman" w:hAnsi="Times New Roman"/>
        </w:rPr>
      </w:pPr>
      <w:r>
        <w:rPr>
          <w:rFonts w:ascii="Times New Roman" w:hAnsi="Times New Roman"/>
        </w:rPr>
        <w:t>-</w:t>
      </w:r>
      <w:r>
        <w:rPr>
          <w:rFonts w:ascii="Times New Roman" w:hAnsi="Times New Roman"/>
          <w:spacing w:val="-3"/>
        </w:rPr>
        <w:t> </w:t>
      </w:r>
      <w:r>
        <w:rPr>
          <w:rFonts w:ascii="Times New Roman" w:hAnsi="Times New Roman"/>
        </w:rPr>
        <w:t>Schiedsgutachten</w:t>
      </w:r>
      <w:r>
        <w:rPr>
          <w:rFonts w:ascii="Times New Roman" w:hAnsi="Times New Roman"/>
          <w:spacing w:val="-2"/>
        </w:rPr>
        <w:t> </w:t>
      </w:r>
      <w:r>
        <w:rPr>
          <w:rFonts w:ascii="Times New Roman" w:hAnsi="Times New Roman"/>
        </w:rPr>
        <w:t>-</w:t>
      </w:r>
      <w:r>
        <w:rPr>
          <w:rFonts w:ascii="Times New Roman" w:hAnsi="Times New Roman"/>
          <w:spacing w:val="-3"/>
        </w:rPr>
        <w:t> </w:t>
      </w:r>
      <w:r>
        <w:rPr>
          <w:rFonts w:ascii="Times New Roman" w:hAnsi="Times New Roman"/>
        </w:rPr>
        <w:t>Mediation</w:t>
      </w:r>
      <w:r>
        <w:rPr>
          <w:rFonts w:ascii="Times New Roman" w:hAnsi="Times New Roman"/>
          <w:spacing w:val="-2"/>
        </w:rPr>
        <w:t> </w:t>
      </w:r>
      <w:r>
        <w:rPr>
          <w:rFonts w:ascii="Times New Roman" w:hAnsi="Times New Roman"/>
        </w:rPr>
        <w:t>–</w:t>
      </w:r>
      <w:r>
        <w:rPr>
          <w:rFonts w:ascii="Times New Roman" w:hAnsi="Times New Roman"/>
          <w:spacing w:val="-3"/>
        </w:rPr>
        <w:t> </w:t>
      </w:r>
      <w:r>
        <w:rPr>
          <w:rFonts w:ascii="Times New Roman" w:hAnsi="Times New Roman"/>
        </w:rPr>
        <w:t>Schlichtung,</w:t>
      </w:r>
      <w:r>
        <w:rPr>
          <w:rFonts w:ascii="Times New Roman" w:hAnsi="Times New Roman"/>
          <w:spacing w:val="-6"/>
        </w:rPr>
        <w:t> </w:t>
      </w:r>
      <w:r>
        <w:rPr>
          <w:rFonts w:ascii="Times New Roman" w:hAnsi="Times New Roman"/>
        </w:rPr>
        <w:t>Tübingen</w:t>
      </w:r>
      <w:r>
        <w:rPr>
          <w:rFonts w:ascii="Times New Roman" w:hAnsi="Times New Roman"/>
          <w:spacing w:val="-2"/>
        </w:rPr>
        <w:t> </w:t>
      </w:r>
      <w:r>
        <w:rPr>
          <w:rFonts w:ascii="Times New Roman" w:hAnsi="Times New Roman"/>
        </w:rPr>
        <w:t>2006</w:t>
      </w:r>
    </w:p>
    <w:p>
      <w:pPr>
        <w:pStyle w:val="ListParagraph"/>
        <w:numPr>
          <w:ilvl w:val="0"/>
          <w:numId w:val="45"/>
        </w:numPr>
        <w:tabs>
          <w:tab w:pos="1379" w:val="left" w:leader="none"/>
          <w:tab w:pos="1380" w:val="left" w:leader="none"/>
        </w:tabs>
        <w:spacing w:line="240" w:lineRule="auto" w:before="138" w:after="0"/>
        <w:ind w:left="1380" w:right="0" w:hanging="480"/>
        <w:jc w:val="left"/>
        <w:rPr>
          <w:rFonts w:ascii="Times New Roman"/>
          <w:sz w:val="24"/>
        </w:rPr>
      </w:pPr>
      <w:r>
        <w:rPr>
          <w:rFonts w:ascii="Times New Roman"/>
          <w:spacing w:val="-1"/>
          <w:sz w:val="24"/>
        </w:rPr>
        <w:t>Wagner/</w:t>
      </w:r>
      <w:r>
        <w:rPr>
          <w:rFonts w:ascii="Times New Roman"/>
          <w:sz w:val="24"/>
        </w:rPr>
        <w:t> </w:t>
      </w:r>
      <w:r>
        <w:rPr>
          <w:rFonts w:ascii="Times New Roman"/>
          <w:spacing w:val="-1"/>
          <w:sz w:val="24"/>
        </w:rPr>
        <w:t>Leppek,</w:t>
      </w:r>
      <w:r>
        <w:rPr>
          <w:rFonts w:ascii="Times New Roman"/>
          <w:sz w:val="24"/>
        </w:rPr>
        <w:t> </w:t>
      </w:r>
      <w:r>
        <w:rPr>
          <w:rFonts w:ascii="Times New Roman"/>
          <w:spacing w:val="-1"/>
          <w:sz w:val="24"/>
        </w:rPr>
        <w:t>Beamtenrecht,</w:t>
      </w:r>
      <w:r>
        <w:rPr>
          <w:rFonts w:ascii="Times New Roman"/>
          <w:spacing w:val="1"/>
          <w:sz w:val="24"/>
        </w:rPr>
        <w:t> </w:t>
      </w:r>
      <w:r>
        <w:rPr>
          <w:rFonts w:ascii="Times New Roman"/>
          <w:spacing w:val="-1"/>
          <w:sz w:val="24"/>
        </w:rPr>
        <w:t>10.</w:t>
      </w:r>
      <w:r>
        <w:rPr>
          <w:rFonts w:ascii="Times New Roman"/>
          <w:spacing w:val="-15"/>
          <w:sz w:val="24"/>
        </w:rPr>
        <w:t> </w:t>
      </w:r>
      <w:r>
        <w:rPr>
          <w:rFonts w:ascii="Times New Roman"/>
          <w:spacing w:val="-1"/>
          <w:sz w:val="24"/>
        </w:rPr>
        <w:t>Aufl., </w:t>
      </w:r>
      <w:r>
        <w:rPr>
          <w:rFonts w:ascii="Times New Roman"/>
          <w:sz w:val="24"/>
        </w:rPr>
        <w:t>Heidelberg</w:t>
      </w:r>
      <w:r>
        <w:rPr>
          <w:rFonts w:ascii="Times New Roman"/>
          <w:spacing w:val="1"/>
          <w:sz w:val="24"/>
        </w:rPr>
        <w:t> </w:t>
      </w:r>
      <w:r>
        <w:rPr>
          <w:rFonts w:ascii="Times New Roman"/>
          <w:sz w:val="24"/>
        </w:rPr>
        <w:t>2009</w:t>
      </w:r>
    </w:p>
    <w:sectPr>
      <w:pgSz w:w="11910" w:h="16840"/>
      <w:pgMar w:header="0" w:footer="938" w:top="1440" w:bottom="120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細明體">
    <w:altName w:val="細明體"/>
    <w:charset w:val="88"/>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619995pt;margin-top:780.030762pt;width:16.1pt;height:13.1pt;mso-position-horizontal-relative:page;mso-position-vertical-relative:page;z-index:-17000960"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pt;margin-top:690.419983pt;width:144pt;height:.600010pt;mso-position-horizontal-relative:page;mso-position-vertical-relative:page;z-index:-17000448" filled="true" fillcolor="#000000" stroked="false">
          <v:fill type="solid"/>
          <w10:wrap type="none"/>
        </v:rect>
      </w:pict>
    </w:r>
    <w:r>
      <w:rPr/>
      <w:pict>
        <v:shape style="position:absolute;margin-left:291.619995pt;margin-top:780.030762pt;width:12.1pt;height:13.1pt;mso-position-horizontal-relative:page;mso-position-vertical-relative:page;z-index:-16999936" type="#_x0000_t202" filled="false" stroked="false">
          <v:textbox inset="0,0,0,0">
            <w:txbxContent>
              <w:p>
                <w:pPr>
                  <w:spacing w:before="12"/>
                  <w:ind w:left="20" w:right="0" w:firstLine="0"/>
                  <w:jc w:val="left"/>
                  <w:rPr>
                    <w:rFonts w:ascii="Times New Roman"/>
                    <w:sz w:val="20"/>
                  </w:rPr>
                </w:pPr>
                <w:r>
                  <w:rPr>
                    <w:rFonts w:ascii="Times New Roman"/>
                    <w:sz w:val="20"/>
                  </w:rPr>
                  <w:t>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19995pt;margin-top:780.030762pt;width:16.1pt;height:13.1pt;mso-position-horizontal-relative:page;mso-position-vertical-relative:page;z-index:-16999424"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w:instrText>
                </w:r>
                <w:r>
                  <w:rPr/>
                  <w:fldChar w:fldCharType="separate"/>
                </w:r>
                <w:r>
                  <w:rPr/>
                  <w:t>17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pt;margin-top:675.47998pt;width:144pt;height:.600010pt;mso-position-horizontal-relative:page;mso-position-vertical-relative:page;z-index:-16998912" filled="true" fillcolor="#000000" stroked="false">
          <v:fill type="solid"/>
          <w10:wrap type="none"/>
        </v:rect>
      </w:pict>
    </w:r>
    <w:r>
      <w:rPr/>
      <w:pict>
        <v:shape style="position:absolute;margin-left:291.619995pt;margin-top:780.030762pt;width:12.1pt;height:13.1pt;mso-position-horizontal-relative:page;mso-position-vertical-relative:page;z-index:-16998400" type="#_x0000_t202" filled="false" stroked="false">
          <v:textbox inset="0,0,0,0">
            <w:txbxContent>
              <w:p>
                <w:pPr>
                  <w:spacing w:before="12"/>
                  <w:ind w:left="20" w:right="0" w:firstLine="0"/>
                  <w:jc w:val="left"/>
                  <w:rPr>
                    <w:rFonts w:ascii="Times New Roman"/>
                    <w:sz w:val="20"/>
                  </w:rPr>
                </w:pPr>
                <w:r>
                  <w:rPr>
                    <w:rFonts w:ascii="Times New Roman"/>
                    <w:sz w:val="20"/>
                  </w:rPr>
                  <w:t>22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19995pt;margin-top:780.030762pt;width:16.1pt;height:13.2pt;mso-position-horizontal-relative:page;mso-position-vertical-relative:page;z-index:-16997888" type="#_x0000_t202" filled="false" stroked="false">
          <v:textbox inset="0,0,0,0">
            <w:txbxContent>
              <w:p>
                <w:pPr>
                  <w:spacing w:before="13"/>
                  <w:ind w:left="60" w:right="0" w:firstLine="0"/>
                  <w:jc w:val="left"/>
                  <w:rPr>
                    <w:rFonts w:ascii="Times New Roman"/>
                    <w:sz w:val="20"/>
                  </w:rPr>
                </w:pPr>
                <w:r>
                  <w:rPr/>
                  <w:fldChar w:fldCharType="begin"/>
                </w:r>
                <w:r>
                  <w:rPr>
                    <w:rFonts w:ascii="Times New Roman"/>
                    <w:sz w:val="20"/>
                  </w:rPr>
                  <w:instrText> PAGE </w:instrText>
                </w:r>
                <w:r>
                  <w:rPr/>
                  <w:fldChar w:fldCharType="separate"/>
                </w:r>
                <w:r>
                  <w:rPr/>
                  <w:t>30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pt;margin-top:715.080017pt;width:144pt;height:.600010pt;mso-position-horizontal-relative:page;mso-position-vertical-relative:page;z-index:-16997376" filled="true" fillcolor="#000000" stroked="false">
          <v:fill type="solid"/>
          <w10:wrap type="none"/>
        </v:rect>
      </w:pict>
    </w:r>
    <w:r>
      <w:rPr/>
      <w:pict>
        <v:shape style="position:absolute;margin-left:291.620422pt;margin-top:780.090393pt;width:12.1pt;height:13.1pt;mso-position-horizontal-relative:page;mso-position-vertical-relative:page;z-index:-16996864" type="#_x0000_t202" filled="false" stroked="false">
          <v:textbox inset="0,0,0,0">
            <w:txbxContent>
              <w:p>
                <w:pPr>
                  <w:spacing w:before="12"/>
                  <w:ind w:left="20" w:right="0" w:firstLine="0"/>
                  <w:jc w:val="left"/>
                  <w:rPr>
                    <w:rFonts w:ascii="Times New Roman"/>
                    <w:sz w:val="20"/>
                  </w:rPr>
                </w:pPr>
                <w:r>
                  <w:rPr>
                    <w:rFonts w:ascii="Times New Roman"/>
                    <w:sz w:val="20"/>
                  </w:rPr>
                  <w:t>32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89.620422pt;margin-top:780.090393pt;width:16.1pt;height:13.1pt;mso-position-horizontal-relative:page;mso-position-vertical-relative:page;z-index:-16996352"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w:instrText>
                </w:r>
                <w:r>
                  <w:rPr/>
                  <w:fldChar w:fldCharType="separate"/>
                </w:r>
                <w:r>
                  <w:rPr/>
                  <w:t>63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20" w:hanging="321"/>
        <w:jc w:val="left"/>
      </w:pPr>
      <w:rPr>
        <w:rFonts w:hint="default" w:ascii="Arial" w:hAnsi="Arial" w:eastAsia="Arial" w:cs="Arial"/>
        <w:w w:val="100"/>
        <w:sz w:val="24"/>
        <w:szCs w:val="24"/>
      </w:rPr>
    </w:lvl>
    <w:lvl w:ilvl="1">
      <w:start w:val="0"/>
      <w:numFmt w:val="bullet"/>
      <w:lvlText w:val="•"/>
      <w:lvlJc w:val="left"/>
      <w:pPr>
        <w:ind w:left="2110" w:hanging="321"/>
      </w:pPr>
      <w:rPr>
        <w:rFonts w:hint="default"/>
      </w:rPr>
    </w:lvl>
    <w:lvl w:ilvl="2">
      <w:start w:val="0"/>
      <w:numFmt w:val="bullet"/>
      <w:lvlText w:val="•"/>
      <w:lvlJc w:val="left"/>
      <w:pPr>
        <w:ind w:left="3000" w:hanging="321"/>
      </w:pPr>
      <w:rPr>
        <w:rFonts w:hint="default"/>
      </w:rPr>
    </w:lvl>
    <w:lvl w:ilvl="3">
      <w:start w:val="0"/>
      <w:numFmt w:val="bullet"/>
      <w:lvlText w:val="•"/>
      <w:lvlJc w:val="left"/>
      <w:pPr>
        <w:ind w:left="3891" w:hanging="321"/>
      </w:pPr>
      <w:rPr>
        <w:rFonts w:hint="default"/>
      </w:rPr>
    </w:lvl>
    <w:lvl w:ilvl="4">
      <w:start w:val="0"/>
      <w:numFmt w:val="bullet"/>
      <w:lvlText w:val="•"/>
      <w:lvlJc w:val="left"/>
      <w:pPr>
        <w:ind w:left="4781" w:hanging="321"/>
      </w:pPr>
      <w:rPr>
        <w:rFonts w:hint="default"/>
      </w:rPr>
    </w:lvl>
    <w:lvl w:ilvl="5">
      <w:start w:val="0"/>
      <w:numFmt w:val="bullet"/>
      <w:lvlText w:val="•"/>
      <w:lvlJc w:val="left"/>
      <w:pPr>
        <w:ind w:left="5672" w:hanging="321"/>
      </w:pPr>
      <w:rPr>
        <w:rFonts w:hint="default"/>
      </w:rPr>
    </w:lvl>
    <w:lvl w:ilvl="6">
      <w:start w:val="0"/>
      <w:numFmt w:val="bullet"/>
      <w:lvlText w:val="•"/>
      <w:lvlJc w:val="left"/>
      <w:pPr>
        <w:ind w:left="6562" w:hanging="321"/>
      </w:pPr>
      <w:rPr>
        <w:rFonts w:hint="default"/>
      </w:rPr>
    </w:lvl>
    <w:lvl w:ilvl="7">
      <w:start w:val="0"/>
      <w:numFmt w:val="bullet"/>
      <w:lvlText w:val="•"/>
      <w:lvlJc w:val="left"/>
      <w:pPr>
        <w:ind w:left="7453" w:hanging="321"/>
      </w:pPr>
      <w:rPr>
        <w:rFonts w:hint="default"/>
      </w:rPr>
    </w:lvl>
    <w:lvl w:ilvl="8">
      <w:start w:val="0"/>
      <w:numFmt w:val="bullet"/>
      <w:lvlText w:val="•"/>
      <w:lvlJc w:val="left"/>
      <w:pPr>
        <w:ind w:left="8343" w:hanging="321"/>
      </w:pPr>
      <w:rPr>
        <w:rFonts w:hint="default"/>
      </w:rPr>
    </w:lvl>
  </w:abstractNum>
  <w:abstractNum w:abstractNumId="44">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1520" w:hanging="480"/>
      </w:pPr>
      <w:rPr>
        <w:rFonts w:hint="default"/>
      </w:rPr>
    </w:lvl>
    <w:lvl w:ilvl="2">
      <w:start w:val="0"/>
      <w:numFmt w:val="bullet"/>
      <w:lvlText w:val="•"/>
      <w:lvlJc w:val="left"/>
      <w:pPr>
        <w:ind w:left="1600" w:hanging="480"/>
      </w:pPr>
      <w:rPr>
        <w:rFonts w:hint="default"/>
      </w:rPr>
    </w:lvl>
    <w:lvl w:ilvl="3">
      <w:start w:val="0"/>
      <w:numFmt w:val="bullet"/>
      <w:lvlText w:val="•"/>
      <w:lvlJc w:val="left"/>
      <w:pPr>
        <w:ind w:left="2665" w:hanging="480"/>
      </w:pPr>
      <w:rPr>
        <w:rFonts w:hint="default"/>
      </w:rPr>
    </w:lvl>
    <w:lvl w:ilvl="4">
      <w:start w:val="0"/>
      <w:numFmt w:val="bullet"/>
      <w:lvlText w:val="•"/>
      <w:lvlJc w:val="left"/>
      <w:pPr>
        <w:ind w:left="3731" w:hanging="480"/>
      </w:pPr>
      <w:rPr>
        <w:rFonts w:hint="default"/>
      </w:rPr>
    </w:lvl>
    <w:lvl w:ilvl="5">
      <w:start w:val="0"/>
      <w:numFmt w:val="bullet"/>
      <w:lvlText w:val="•"/>
      <w:lvlJc w:val="left"/>
      <w:pPr>
        <w:ind w:left="4796" w:hanging="480"/>
      </w:pPr>
      <w:rPr>
        <w:rFonts w:hint="default"/>
      </w:rPr>
    </w:lvl>
    <w:lvl w:ilvl="6">
      <w:start w:val="0"/>
      <w:numFmt w:val="bullet"/>
      <w:lvlText w:val="•"/>
      <w:lvlJc w:val="left"/>
      <w:pPr>
        <w:ind w:left="5862" w:hanging="480"/>
      </w:pPr>
      <w:rPr>
        <w:rFonts w:hint="default"/>
      </w:rPr>
    </w:lvl>
    <w:lvl w:ilvl="7">
      <w:start w:val="0"/>
      <w:numFmt w:val="bullet"/>
      <w:lvlText w:val="•"/>
      <w:lvlJc w:val="left"/>
      <w:pPr>
        <w:ind w:left="6927" w:hanging="480"/>
      </w:pPr>
      <w:rPr>
        <w:rFonts w:hint="default"/>
      </w:rPr>
    </w:lvl>
    <w:lvl w:ilvl="8">
      <w:start w:val="0"/>
      <w:numFmt w:val="bullet"/>
      <w:lvlText w:val="•"/>
      <w:lvlJc w:val="left"/>
      <w:pPr>
        <w:ind w:left="7993" w:hanging="480"/>
      </w:pPr>
      <w:rPr>
        <w:rFonts w:hint="default"/>
      </w:rPr>
    </w:lvl>
  </w:abstractNum>
  <w:abstractNum w:abstractNumId="43">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42">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41">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40">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9">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8">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7">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6">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5">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4">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3">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2">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1">
    <w:multiLevelType w:val="hybridMultilevel"/>
    <w:lvl w:ilvl="0">
      <w:start w:val="1"/>
      <w:numFmt w:val="decimal"/>
      <w:lvlText w:val="%1."/>
      <w:lvlJc w:val="left"/>
      <w:pPr>
        <w:ind w:left="1380" w:hanging="480"/>
        <w:jc w:val="left"/>
      </w:pPr>
      <w:rPr>
        <w:rFonts w:hint="default" w:ascii="標楷體" w:hAnsi="標楷體" w:eastAsia="標楷體" w:cs="標楷體"/>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30">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9">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8">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7">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26">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25">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4">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23">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2">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21">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20">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19">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18">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17">
    <w:multiLevelType w:val="hybridMultilevel"/>
    <w:lvl w:ilvl="0">
      <w:start w:val="1"/>
      <w:numFmt w:val="decimal"/>
      <w:lvlText w:val="%1."/>
      <w:lvlJc w:val="left"/>
      <w:pPr>
        <w:ind w:left="1380" w:hanging="480"/>
        <w:jc w:val="left"/>
      </w:pPr>
      <w:rPr>
        <w:rFonts w:hint="default" w:ascii="Times New Roman" w:hAnsi="Times New Roman" w:eastAsia="Times New Roman" w:cs="Times New Roman"/>
        <w:w w:val="100"/>
        <w:sz w:val="24"/>
        <w:szCs w:val="24"/>
      </w:rPr>
    </w:lvl>
    <w:lvl w:ilvl="1">
      <w:start w:val="0"/>
      <w:numFmt w:val="bullet"/>
      <w:lvlText w:val="•"/>
      <w:lvlJc w:val="left"/>
      <w:pPr>
        <w:ind w:left="2254" w:hanging="480"/>
      </w:pPr>
      <w:rPr>
        <w:rFonts w:hint="default"/>
      </w:rPr>
    </w:lvl>
    <w:lvl w:ilvl="2">
      <w:start w:val="0"/>
      <w:numFmt w:val="bullet"/>
      <w:lvlText w:val="•"/>
      <w:lvlJc w:val="left"/>
      <w:pPr>
        <w:ind w:left="3128" w:hanging="480"/>
      </w:pPr>
      <w:rPr>
        <w:rFonts w:hint="default"/>
      </w:rPr>
    </w:lvl>
    <w:lvl w:ilvl="3">
      <w:start w:val="0"/>
      <w:numFmt w:val="bullet"/>
      <w:lvlText w:val="•"/>
      <w:lvlJc w:val="left"/>
      <w:pPr>
        <w:ind w:left="4003" w:hanging="480"/>
      </w:pPr>
      <w:rPr>
        <w:rFonts w:hint="default"/>
      </w:rPr>
    </w:lvl>
    <w:lvl w:ilvl="4">
      <w:start w:val="0"/>
      <w:numFmt w:val="bullet"/>
      <w:lvlText w:val="•"/>
      <w:lvlJc w:val="left"/>
      <w:pPr>
        <w:ind w:left="4877" w:hanging="480"/>
      </w:pPr>
      <w:rPr>
        <w:rFonts w:hint="default"/>
      </w:rPr>
    </w:lvl>
    <w:lvl w:ilvl="5">
      <w:start w:val="0"/>
      <w:numFmt w:val="bullet"/>
      <w:lvlText w:val="•"/>
      <w:lvlJc w:val="left"/>
      <w:pPr>
        <w:ind w:left="5752" w:hanging="480"/>
      </w:pPr>
      <w:rPr>
        <w:rFonts w:hint="default"/>
      </w:rPr>
    </w:lvl>
    <w:lvl w:ilvl="6">
      <w:start w:val="0"/>
      <w:numFmt w:val="bullet"/>
      <w:lvlText w:val="•"/>
      <w:lvlJc w:val="left"/>
      <w:pPr>
        <w:ind w:left="6626" w:hanging="480"/>
      </w:pPr>
      <w:rPr>
        <w:rFonts w:hint="default"/>
      </w:rPr>
    </w:lvl>
    <w:lvl w:ilvl="7">
      <w:start w:val="0"/>
      <w:numFmt w:val="bullet"/>
      <w:lvlText w:val="•"/>
      <w:lvlJc w:val="left"/>
      <w:pPr>
        <w:ind w:left="7501" w:hanging="480"/>
      </w:pPr>
      <w:rPr>
        <w:rFonts w:hint="default"/>
      </w:rPr>
    </w:lvl>
    <w:lvl w:ilvl="8">
      <w:start w:val="0"/>
      <w:numFmt w:val="bullet"/>
      <w:lvlText w:val="•"/>
      <w:lvlJc w:val="left"/>
      <w:pPr>
        <w:ind w:left="8375" w:hanging="480"/>
      </w:pPr>
      <w:rPr>
        <w:rFonts w:hint="default"/>
      </w:rPr>
    </w:lvl>
  </w:abstractNum>
  <w:abstractNum w:abstractNumId="16">
    <w:multiLevelType w:val="hybridMultilevel"/>
    <w:lvl w:ilvl="0">
      <w:start w:val="1"/>
      <w:numFmt w:val="decimal"/>
      <w:lvlText w:val="%1."/>
      <w:lvlJc w:val="left"/>
      <w:pPr>
        <w:ind w:left="126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4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19" w:hanging="360"/>
      </w:pPr>
      <w:rPr>
        <w:rFonts w:hint="default"/>
      </w:rPr>
    </w:lvl>
    <w:lvl w:ilvl="4">
      <w:start w:val="0"/>
      <w:numFmt w:val="bullet"/>
      <w:lvlText w:val="•"/>
      <w:lvlJc w:val="left"/>
      <w:pPr>
        <w:ind w:left="4805" w:hanging="360"/>
      </w:pPr>
      <w:rPr>
        <w:rFonts w:hint="default"/>
      </w:rPr>
    </w:lvl>
    <w:lvl w:ilvl="5">
      <w:start w:val="0"/>
      <w:numFmt w:val="bullet"/>
      <w:lvlText w:val="•"/>
      <w:lvlJc w:val="left"/>
      <w:pPr>
        <w:ind w:left="5692" w:hanging="360"/>
      </w:pPr>
      <w:rPr>
        <w:rFonts w:hint="default"/>
      </w:rPr>
    </w:lvl>
    <w:lvl w:ilvl="6">
      <w:start w:val="0"/>
      <w:numFmt w:val="bullet"/>
      <w:lvlText w:val="•"/>
      <w:lvlJc w:val="left"/>
      <w:pPr>
        <w:ind w:left="6578" w:hanging="360"/>
      </w:pPr>
      <w:rPr>
        <w:rFonts w:hint="default"/>
      </w:rPr>
    </w:lvl>
    <w:lvl w:ilvl="7">
      <w:start w:val="0"/>
      <w:numFmt w:val="bullet"/>
      <w:lvlText w:val="•"/>
      <w:lvlJc w:val="left"/>
      <w:pPr>
        <w:ind w:left="7465" w:hanging="360"/>
      </w:pPr>
      <w:rPr>
        <w:rFonts w:hint="default"/>
      </w:rPr>
    </w:lvl>
    <w:lvl w:ilvl="8">
      <w:start w:val="0"/>
      <w:numFmt w:val="bullet"/>
      <w:lvlText w:val="•"/>
      <w:lvlJc w:val="left"/>
      <w:pPr>
        <w:ind w:left="8351" w:hanging="360"/>
      </w:pPr>
      <w:rPr>
        <w:rFonts w:hint="default"/>
      </w:rPr>
    </w:lvl>
  </w:abstractNum>
  <w:abstractNum w:abstractNumId="15">
    <w:multiLevelType w:val="hybridMultilevel"/>
    <w:lvl w:ilvl="0">
      <w:start w:val="1"/>
      <w:numFmt w:val="decimal"/>
      <w:lvlText w:val="（%1）"/>
      <w:lvlJc w:val="left"/>
      <w:pPr>
        <w:ind w:left="1501" w:hanging="601"/>
        <w:jc w:val="left"/>
      </w:pPr>
      <w:rPr>
        <w:rFonts w:hint="default" w:ascii="新細明體" w:hAnsi="新細明體" w:eastAsia="新細明體" w:cs="新細明體"/>
        <w:w w:val="100"/>
        <w:sz w:val="22"/>
        <w:szCs w:val="22"/>
      </w:rPr>
    </w:lvl>
    <w:lvl w:ilvl="1">
      <w:start w:val="0"/>
      <w:numFmt w:val="bullet"/>
      <w:lvlText w:val="•"/>
      <w:lvlJc w:val="left"/>
      <w:pPr>
        <w:ind w:left="2362" w:hanging="601"/>
      </w:pPr>
      <w:rPr>
        <w:rFonts w:hint="default"/>
      </w:rPr>
    </w:lvl>
    <w:lvl w:ilvl="2">
      <w:start w:val="0"/>
      <w:numFmt w:val="bullet"/>
      <w:lvlText w:val="•"/>
      <w:lvlJc w:val="left"/>
      <w:pPr>
        <w:ind w:left="3224" w:hanging="601"/>
      </w:pPr>
      <w:rPr>
        <w:rFonts w:hint="default"/>
      </w:rPr>
    </w:lvl>
    <w:lvl w:ilvl="3">
      <w:start w:val="0"/>
      <w:numFmt w:val="bullet"/>
      <w:lvlText w:val="•"/>
      <w:lvlJc w:val="left"/>
      <w:pPr>
        <w:ind w:left="4087" w:hanging="601"/>
      </w:pPr>
      <w:rPr>
        <w:rFonts w:hint="default"/>
      </w:rPr>
    </w:lvl>
    <w:lvl w:ilvl="4">
      <w:start w:val="0"/>
      <w:numFmt w:val="bullet"/>
      <w:lvlText w:val="•"/>
      <w:lvlJc w:val="left"/>
      <w:pPr>
        <w:ind w:left="4949" w:hanging="601"/>
      </w:pPr>
      <w:rPr>
        <w:rFonts w:hint="default"/>
      </w:rPr>
    </w:lvl>
    <w:lvl w:ilvl="5">
      <w:start w:val="0"/>
      <w:numFmt w:val="bullet"/>
      <w:lvlText w:val="•"/>
      <w:lvlJc w:val="left"/>
      <w:pPr>
        <w:ind w:left="5812" w:hanging="601"/>
      </w:pPr>
      <w:rPr>
        <w:rFonts w:hint="default"/>
      </w:rPr>
    </w:lvl>
    <w:lvl w:ilvl="6">
      <w:start w:val="0"/>
      <w:numFmt w:val="bullet"/>
      <w:lvlText w:val="•"/>
      <w:lvlJc w:val="left"/>
      <w:pPr>
        <w:ind w:left="6674" w:hanging="601"/>
      </w:pPr>
      <w:rPr>
        <w:rFonts w:hint="default"/>
      </w:rPr>
    </w:lvl>
    <w:lvl w:ilvl="7">
      <w:start w:val="0"/>
      <w:numFmt w:val="bullet"/>
      <w:lvlText w:val="•"/>
      <w:lvlJc w:val="left"/>
      <w:pPr>
        <w:ind w:left="7537" w:hanging="601"/>
      </w:pPr>
      <w:rPr>
        <w:rFonts w:hint="default"/>
      </w:rPr>
    </w:lvl>
    <w:lvl w:ilvl="8">
      <w:start w:val="0"/>
      <w:numFmt w:val="bullet"/>
      <w:lvlText w:val="•"/>
      <w:lvlJc w:val="left"/>
      <w:pPr>
        <w:ind w:left="8399" w:hanging="601"/>
      </w:pPr>
      <w:rPr>
        <w:rFonts w:hint="default"/>
      </w:rPr>
    </w:lvl>
  </w:abstractNum>
  <w:abstractNum w:abstractNumId="14">
    <w:multiLevelType w:val="hybridMultilevel"/>
    <w:lvl w:ilvl="0">
      <w:start w:val="1"/>
      <w:numFmt w:val="decimal"/>
      <w:lvlText w:val="（%1）"/>
      <w:lvlJc w:val="left"/>
      <w:pPr>
        <w:ind w:left="1501" w:hanging="601"/>
        <w:jc w:val="left"/>
      </w:pPr>
      <w:rPr>
        <w:rFonts w:hint="default" w:ascii="標楷體" w:hAnsi="標楷體" w:eastAsia="標楷體" w:cs="標楷體"/>
        <w:w w:val="100"/>
        <w:sz w:val="22"/>
        <w:szCs w:val="22"/>
      </w:rPr>
    </w:lvl>
    <w:lvl w:ilvl="1">
      <w:start w:val="0"/>
      <w:numFmt w:val="bullet"/>
      <w:lvlText w:val="•"/>
      <w:lvlJc w:val="left"/>
      <w:pPr>
        <w:ind w:left="2362" w:hanging="601"/>
      </w:pPr>
      <w:rPr>
        <w:rFonts w:hint="default"/>
      </w:rPr>
    </w:lvl>
    <w:lvl w:ilvl="2">
      <w:start w:val="0"/>
      <w:numFmt w:val="bullet"/>
      <w:lvlText w:val="•"/>
      <w:lvlJc w:val="left"/>
      <w:pPr>
        <w:ind w:left="3224" w:hanging="601"/>
      </w:pPr>
      <w:rPr>
        <w:rFonts w:hint="default"/>
      </w:rPr>
    </w:lvl>
    <w:lvl w:ilvl="3">
      <w:start w:val="0"/>
      <w:numFmt w:val="bullet"/>
      <w:lvlText w:val="•"/>
      <w:lvlJc w:val="left"/>
      <w:pPr>
        <w:ind w:left="4087" w:hanging="601"/>
      </w:pPr>
      <w:rPr>
        <w:rFonts w:hint="default"/>
      </w:rPr>
    </w:lvl>
    <w:lvl w:ilvl="4">
      <w:start w:val="0"/>
      <w:numFmt w:val="bullet"/>
      <w:lvlText w:val="•"/>
      <w:lvlJc w:val="left"/>
      <w:pPr>
        <w:ind w:left="4949" w:hanging="601"/>
      </w:pPr>
      <w:rPr>
        <w:rFonts w:hint="default"/>
      </w:rPr>
    </w:lvl>
    <w:lvl w:ilvl="5">
      <w:start w:val="0"/>
      <w:numFmt w:val="bullet"/>
      <w:lvlText w:val="•"/>
      <w:lvlJc w:val="left"/>
      <w:pPr>
        <w:ind w:left="5812" w:hanging="601"/>
      </w:pPr>
      <w:rPr>
        <w:rFonts w:hint="default"/>
      </w:rPr>
    </w:lvl>
    <w:lvl w:ilvl="6">
      <w:start w:val="0"/>
      <w:numFmt w:val="bullet"/>
      <w:lvlText w:val="•"/>
      <w:lvlJc w:val="left"/>
      <w:pPr>
        <w:ind w:left="6674" w:hanging="601"/>
      </w:pPr>
      <w:rPr>
        <w:rFonts w:hint="default"/>
      </w:rPr>
    </w:lvl>
    <w:lvl w:ilvl="7">
      <w:start w:val="0"/>
      <w:numFmt w:val="bullet"/>
      <w:lvlText w:val="•"/>
      <w:lvlJc w:val="left"/>
      <w:pPr>
        <w:ind w:left="7537" w:hanging="601"/>
      </w:pPr>
      <w:rPr>
        <w:rFonts w:hint="default"/>
      </w:rPr>
    </w:lvl>
    <w:lvl w:ilvl="8">
      <w:start w:val="0"/>
      <w:numFmt w:val="bullet"/>
      <w:lvlText w:val="•"/>
      <w:lvlJc w:val="left"/>
      <w:pPr>
        <w:ind w:left="8399" w:hanging="601"/>
      </w:pPr>
      <w:rPr>
        <w:rFonts w:hint="default"/>
      </w:rPr>
    </w:lvl>
  </w:abstractNum>
  <w:abstractNum w:abstractNumId="13">
    <w:multiLevelType w:val="hybridMultilevel"/>
    <w:lvl w:ilvl="0">
      <w:start w:val="1"/>
      <w:numFmt w:val="decimal"/>
      <w:lvlText w:val="%1."/>
      <w:lvlJc w:val="left"/>
      <w:pPr>
        <w:ind w:left="1220" w:hanging="321"/>
        <w:jc w:val="left"/>
      </w:pPr>
      <w:rPr>
        <w:rFonts w:hint="default" w:ascii="Arial" w:hAnsi="Arial" w:eastAsia="Arial" w:cs="Arial"/>
        <w:w w:val="100"/>
        <w:sz w:val="24"/>
        <w:szCs w:val="24"/>
      </w:rPr>
    </w:lvl>
    <w:lvl w:ilvl="1">
      <w:start w:val="0"/>
      <w:numFmt w:val="bullet"/>
      <w:lvlText w:val="•"/>
      <w:lvlJc w:val="left"/>
      <w:pPr>
        <w:ind w:left="2110" w:hanging="321"/>
      </w:pPr>
      <w:rPr>
        <w:rFonts w:hint="default"/>
      </w:rPr>
    </w:lvl>
    <w:lvl w:ilvl="2">
      <w:start w:val="0"/>
      <w:numFmt w:val="bullet"/>
      <w:lvlText w:val="•"/>
      <w:lvlJc w:val="left"/>
      <w:pPr>
        <w:ind w:left="3000" w:hanging="321"/>
      </w:pPr>
      <w:rPr>
        <w:rFonts w:hint="default"/>
      </w:rPr>
    </w:lvl>
    <w:lvl w:ilvl="3">
      <w:start w:val="0"/>
      <w:numFmt w:val="bullet"/>
      <w:lvlText w:val="•"/>
      <w:lvlJc w:val="left"/>
      <w:pPr>
        <w:ind w:left="3891" w:hanging="321"/>
      </w:pPr>
      <w:rPr>
        <w:rFonts w:hint="default"/>
      </w:rPr>
    </w:lvl>
    <w:lvl w:ilvl="4">
      <w:start w:val="0"/>
      <w:numFmt w:val="bullet"/>
      <w:lvlText w:val="•"/>
      <w:lvlJc w:val="left"/>
      <w:pPr>
        <w:ind w:left="4781" w:hanging="321"/>
      </w:pPr>
      <w:rPr>
        <w:rFonts w:hint="default"/>
      </w:rPr>
    </w:lvl>
    <w:lvl w:ilvl="5">
      <w:start w:val="0"/>
      <w:numFmt w:val="bullet"/>
      <w:lvlText w:val="•"/>
      <w:lvlJc w:val="left"/>
      <w:pPr>
        <w:ind w:left="5672" w:hanging="321"/>
      </w:pPr>
      <w:rPr>
        <w:rFonts w:hint="default"/>
      </w:rPr>
    </w:lvl>
    <w:lvl w:ilvl="6">
      <w:start w:val="0"/>
      <w:numFmt w:val="bullet"/>
      <w:lvlText w:val="•"/>
      <w:lvlJc w:val="left"/>
      <w:pPr>
        <w:ind w:left="6562" w:hanging="321"/>
      </w:pPr>
      <w:rPr>
        <w:rFonts w:hint="default"/>
      </w:rPr>
    </w:lvl>
    <w:lvl w:ilvl="7">
      <w:start w:val="0"/>
      <w:numFmt w:val="bullet"/>
      <w:lvlText w:val="•"/>
      <w:lvlJc w:val="left"/>
      <w:pPr>
        <w:ind w:left="7453" w:hanging="321"/>
      </w:pPr>
      <w:rPr>
        <w:rFonts w:hint="default"/>
      </w:rPr>
    </w:lvl>
    <w:lvl w:ilvl="8">
      <w:start w:val="0"/>
      <w:numFmt w:val="bullet"/>
      <w:lvlText w:val="•"/>
      <w:lvlJc w:val="left"/>
      <w:pPr>
        <w:ind w:left="8343" w:hanging="321"/>
      </w:pPr>
      <w:rPr>
        <w:rFonts w:hint="default"/>
      </w:rPr>
    </w:lvl>
  </w:abstractNum>
  <w:abstractNum w:abstractNumId="12">
    <w:multiLevelType w:val="hybridMultilevel"/>
    <w:lvl w:ilvl="0">
      <w:start w:val="1"/>
      <w:numFmt w:val="decimal"/>
      <w:lvlText w:val="%1."/>
      <w:lvlJc w:val="left"/>
      <w:pPr>
        <w:ind w:left="1220" w:hanging="321"/>
        <w:jc w:val="left"/>
      </w:pPr>
      <w:rPr>
        <w:rFonts w:hint="default" w:ascii="Arial" w:hAnsi="Arial" w:eastAsia="Arial" w:cs="Arial"/>
        <w:w w:val="100"/>
        <w:sz w:val="24"/>
        <w:szCs w:val="24"/>
      </w:rPr>
    </w:lvl>
    <w:lvl w:ilvl="1">
      <w:start w:val="0"/>
      <w:numFmt w:val="bullet"/>
      <w:lvlText w:val="•"/>
      <w:lvlJc w:val="left"/>
      <w:pPr>
        <w:ind w:left="2110" w:hanging="321"/>
      </w:pPr>
      <w:rPr>
        <w:rFonts w:hint="default"/>
      </w:rPr>
    </w:lvl>
    <w:lvl w:ilvl="2">
      <w:start w:val="0"/>
      <w:numFmt w:val="bullet"/>
      <w:lvlText w:val="•"/>
      <w:lvlJc w:val="left"/>
      <w:pPr>
        <w:ind w:left="3000" w:hanging="321"/>
      </w:pPr>
      <w:rPr>
        <w:rFonts w:hint="default"/>
      </w:rPr>
    </w:lvl>
    <w:lvl w:ilvl="3">
      <w:start w:val="0"/>
      <w:numFmt w:val="bullet"/>
      <w:lvlText w:val="•"/>
      <w:lvlJc w:val="left"/>
      <w:pPr>
        <w:ind w:left="3891" w:hanging="321"/>
      </w:pPr>
      <w:rPr>
        <w:rFonts w:hint="default"/>
      </w:rPr>
    </w:lvl>
    <w:lvl w:ilvl="4">
      <w:start w:val="0"/>
      <w:numFmt w:val="bullet"/>
      <w:lvlText w:val="•"/>
      <w:lvlJc w:val="left"/>
      <w:pPr>
        <w:ind w:left="4781" w:hanging="321"/>
      </w:pPr>
      <w:rPr>
        <w:rFonts w:hint="default"/>
      </w:rPr>
    </w:lvl>
    <w:lvl w:ilvl="5">
      <w:start w:val="0"/>
      <w:numFmt w:val="bullet"/>
      <w:lvlText w:val="•"/>
      <w:lvlJc w:val="left"/>
      <w:pPr>
        <w:ind w:left="5672" w:hanging="321"/>
      </w:pPr>
      <w:rPr>
        <w:rFonts w:hint="default"/>
      </w:rPr>
    </w:lvl>
    <w:lvl w:ilvl="6">
      <w:start w:val="0"/>
      <w:numFmt w:val="bullet"/>
      <w:lvlText w:val="•"/>
      <w:lvlJc w:val="left"/>
      <w:pPr>
        <w:ind w:left="6562" w:hanging="321"/>
      </w:pPr>
      <w:rPr>
        <w:rFonts w:hint="default"/>
      </w:rPr>
    </w:lvl>
    <w:lvl w:ilvl="7">
      <w:start w:val="0"/>
      <w:numFmt w:val="bullet"/>
      <w:lvlText w:val="•"/>
      <w:lvlJc w:val="left"/>
      <w:pPr>
        <w:ind w:left="7453" w:hanging="321"/>
      </w:pPr>
      <w:rPr>
        <w:rFonts w:hint="default"/>
      </w:rPr>
    </w:lvl>
    <w:lvl w:ilvl="8">
      <w:start w:val="0"/>
      <w:numFmt w:val="bullet"/>
      <w:lvlText w:val="•"/>
      <w:lvlJc w:val="left"/>
      <w:pPr>
        <w:ind w:left="8343" w:hanging="321"/>
      </w:pPr>
      <w:rPr>
        <w:rFonts w:hint="default"/>
      </w:rPr>
    </w:lvl>
  </w:abstractNum>
  <w:abstractNum w:abstractNumId="11">
    <w:multiLevelType w:val="hybridMultilevel"/>
    <w:lvl w:ilvl="0">
      <w:start w:val="1"/>
      <w:numFmt w:val="decimal"/>
      <w:lvlText w:val="%1."/>
      <w:lvlJc w:val="left"/>
      <w:pPr>
        <w:ind w:left="1220" w:hanging="321"/>
        <w:jc w:val="left"/>
      </w:pPr>
      <w:rPr>
        <w:rFonts w:hint="default" w:ascii="Arial" w:hAnsi="Arial" w:eastAsia="Arial" w:cs="Arial"/>
        <w:w w:val="100"/>
        <w:sz w:val="24"/>
        <w:szCs w:val="24"/>
      </w:rPr>
    </w:lvl>
    <w:lvl w:ilvl="1">
      <w:start w:val="0"/>
      <w:numFmt w:val="bullet"/>
      <w:lvlText w:val="•"/>
      <w:lvlJc w:val="left"/>
      <w:pPr>
        <w:ind w:left="2110" w:hanging="321"/>
      </w:pPr>
      <w:rPr>
        <w:rFonts w:hint="default"/>
      </w:rPr>
    </w:lvl>
    <w:lvl w:ilvl="2">
      <w:start w:val="0"/>
      <w:numFmt w:val="bullet"/>
      <w:lvlText w:val="•"/>
      <w:lvlJc w:val="left"/>
      <w:pPr>
        <w:ind w:left="3000" w:hanging="321"/>
      </w:pPr>
      <w:rPr>
        <w:rFonts w:hint="default"/>
      </w:rPr>
    </w:lvl>
    <w:lvl w:ilvl="3">
      <w:start w:val="0"/>
      <w:numFmt w:val="bullet"/>
      <w:lvlText w:val="•"/>
      <w:lvlJc w:val="left"/>
      <w:pPr>
        <w:ind w:left="3891" w:hanging="321"/>
      </w:pPr>
      <w:rPr>
        <w:rFonts w:hint="default"/>
      </w:rPr>
    </w:lvl>
    <w:lvl w:ilvl="4">
      <w:start w:val="0"/>
      <w:numFmt w:val="bullet"/>
      <w:lvlText w:val="•"/>
      <w:lvlJc w:val="left"/>
      <w:pPr>
        <w:ind w:left="4781" w:hanging="321"/>
      </w:pPr>
      <w:rPr>
        <w:rFonts w:hint="default"/>
      </w:rPr>
    </w:lvl>
    <w:lvl w:ilvl="5">
      <w:start w:val="0"/>
      <w:numFmt w:val="bullet"/>
      <w:lvlText w:val="•"/>
      <w:lvlJc w:val="left"/>
      <w:pPr>
        <w:ind w:left="5672" w:hanging="321"/>
      </w:pPr>
      <w:rPr>
        <w:rFonts w:hint="default"/>
      </w:rPr>
    </w:lvl>
    <w:lvl w:ilvl="6">
      <w:start w:val="0"/>
      <w:numFmt w:val="bullet"/>
      <w:lvlText w:val="•"/>
      <w:lvlJc w:val="left"/>
      <w:pPr>
        <w:ind w:left="6562" w:hanging="321"/>
      </w:pPr>
      <w:rPr>
        <w:rFonts w:hint="default"/>
      </w:rPr>
    </w:lvl>
    <w:lvl w:ilvl="7">
      <w:start w:val="0"/>
      <w:numFmt w:val="bullet"/>
      <w:lvlText w:val="•"/>
      <w:lvlJc w:val="left"/>
      <w:pPr>
        <w:ind w:left="7453" w:hanging="321"/>
      </w:pPr>
      <w:rPr>
        <w:rFonts w:hint="default"/>
      </w:rPr>
    </w:lvl>
    <w:lvl w:ilvl="8">
      <w:start w:val="0"/>
      <w:numFmt w:val="bullet"/>
      <w:lvlText w:val="•"/>
      <w:lvlJc w:val="left"/>
      <w:pPr>
        <w:ind w:left="8343" w:hanging="321"/>
      </w:pPr>
      <w:rPr>
        <w:rFonts w:hint="default"/>
      </w:rPr>
    </w:lvl>
  </w:abstractNum>
  <w:abstractNum w:abstractNumId="10">
    <w:multiLevelType w:val="hybridMultilevel"/>
    <w:lvl w:ilvl="0">
      <w:start w:val="1"/>
      <w:numFmt w:val="decimal"/>
      <w:lvlText w:val="%1."/>
      <w:lvlJc w:val="left"/>
      <w:pPr>
        <w:ind w:left="1320" w:hanging="300"/>
        <w:jc w:val="right"/>
      </w:pPr>
      <w:rPr>
        <w:rFonts w:hint="default" w:ascii="Times New Roman" w:hAnsi="Times New Roman" w:eastAsia="Times New Roman" w:cs="Times New Roman"/>
        <w:w w:val="100"/>
        <w:sz w:val="24"/>
        <w:szCs w:val="24"/>
      </w:rPr>
    </w:lvl>
    <w:lvl w:ilvl="1">
      <w:start w:val="0"/>
      <w:numFmt w:val="bullet"/>
      <w:lvlText w:val="•"/>
      <w:lvlJc w:val="left"/>
      <w:pPr>
        <w:ind w:left="2200" w:hanging="300"/>
      </w:pPr>
      <w:rPr>
        <w:rFonts w:hint="default"/>
      </w:rPr>
    </w:lvl>
    <w:lvl w:ilvl="2">
      <w:start w:val="0"/>
      <w:numFmt w:val="bullet"/>
      <w:lvlText w:val="•"/>
      <w:lvlJc w:val="left"/>
      <w:pPr>
        <w:ind w:left="3080" w:hanging="300"/>
      </w:pPr>
      <w:rPr>
        <w:rFonts w:hint="default"/>
      </w:rPr>
    </w:lvl>
    <w:lvl w:ilvl="3">
      <w:start w:val="0"/>
      <w:numFmt w:val="bullet"/>
      <w:lvlText w:val="•"/>
      <w:lvlJc w:val="left"/>
      <w:pPr>
        <w:ind w:left="3961" w:hanging="300"/>
      </w:pPr>
      <w:rPr>
        <w:rFonts w:hint="default"/>
      </w:rPr>
    </w:lvl>
    <w:lvl w:ilvl="4">
      <w:start w:val="0"/>
      <w:numFmt w:val="bullet"/>
      <w:lvlText w:val="•"/>
      <w:lvlJc w:val="left"/>
      <w:pPr>
        <w:ind w:left="4841" w:hanging="300"/>
      </w:pPr>
      <w:rPr>
        <w:rFonts w:hint="default"/>
      </w:rPr>
    </w:lvl>
    <w:lvl w:ilvl="5">
      <w:start w:val="0"/>
      <w:numFmt w:val="bullet"/>
      <w:lvlText w:val="•"/>
      <w:lvlJc w:val="left"/>
      <w:pPr>
        <w:ind w:left="5722" w:hanging="300"/>
      </w:pPr>
      <w:rPr>
        <w:rFonts w:hint="default"/>
      </w:rPr>
    </w:lvl>
    <w:lvl w:ilvl="6">
      <w:start w:val="0"/>
      <w:numFmt w:val="bullet"/>
      <w:lvlText w:val="•"/>
      <w:lvlJc w:val="left"/>
      <w:pPr>
        <w:ind w:left="6602" w:hanging="300"/>
      </w:pPr>
      <w:rPr>
        <w:rFonts w:hint="default"/>
      </w:rPr>
    </w:lvl>
    <w:lvl w:ilvl="7">
      <w:start w:val="0"/>
      <w:numFmt w:val="bullet"/>
      <w:lvlText w:val="•"/>
      <w:lvlJc w:val="left"/>
      <w:pPr>
        <w:ind w:left="7483" w:hanging="300"/>
      </w:pPr>
      <w:rPr>
        <w:rFonts w:hint="default"/>
      </w:rPr>
    </w:lvl>
    <w:lvl w:ilvl="8">
      <w:start w:val="0"/>
      <w:numFmt w:val="bullet"/>
      <w:lvlText w:val="•"/>
      <w:lvlJc w:val="left"/>
      <w:pPr>
        <w:ind w:left="8363" w:hanging="300"/>
      </w:pPr>
      <w:rPr>
        <w:rFonts w:hint="default"/>
      </w:rPr>
    </w:lvl>
  </w:abstractNum>
  <w:abstractNum w:abstractNumId="9">
    <w:multiLevelType w:val="hybridMultilevel"/>
    <w:lvl w:ilvl="0">
      <w:start w:val="24"/>
      <w:numFmt w:val="decimal"/>
      <w:lvlText w:val="%1"/>
      <w:lvlJc w:val="left"/>
      <w:pPr>
        <w:ind w:left="1216" w:hanging="317"/>
        <w:jc w:val="left"/>
      </w:pPr>
      <w:rPr>
        <w:rFonts w:hint="default" w:ascii="Times New Roman" w:hAnsi="Times New Roman" w:eastAsia="Times New Roman" w:cs="Times New Roman"/>
        <w:w w:val="100"/>
        <w:sz w:val="24"/>
        <w:szCs w:val="24"/>
      </w:rPr>
    </w:lvl>
    <w:lvl w:ilvl="1">
      <w:start w:val="0"/>
      <w:numFmt w:val="bullet"/>
      <w:lvlText w:val="•"/>
      <w:lvlJc w:val="left"/>
      <w:pPr>
        <w:ind w:left="2110" w:hanging="317"/>
      </w:pPr>
      <w:rPr>
        <w:rFonts w:hint="default"/>
      </w:rPr>
    </w:lvl>
    <w:lvl w:ilvl="2">
      <w:start w:val="0"/>
      <w:numFmt w:val="bullet"/>
      <w:lvlText w:val="•"/>
      <w:lvlJc w:val="left"/>
      <w:pPr>
        <w:ind w:left="3000" w:hanging="317"/>
      </w:pPr>
      <w:rPr>
        <w:rFonts w:hint="default"/>
      </w:rPr>
    </w:lvl>
    <w:lvl w:ilvl="3">
      <w:start w:val="0"/>
      <w:numFmt w:val="bullet"/>
      <w:lvlText w:val="•"/>
      <w:lvlJc w:val="left"/>
      <w:pPr>
        <w:ind w:left="3891" w:hanging="317"/>
      </w:pPr>
      <w:rPr>
        <w:rFonts w:hint="default"/>
      </w:rPr>
    </w:lvl>
    <w:lvl w:ilvl="4">
      <w:start w:val="0"/>
      <w:numFmt w:val="bullet"/>
      <w:lvlText w:val="•"/>
      <w:lvlJc w:val="left"/>
      <w:pPr>
        <w:ind w:left="4781" w:hanging="317"/>
      </w:pPr>
      <w:rPr>
        <w:rFonts w:hint="default"/>
      </w:rPr>
    </w:lvl>
    <w:lvl w:ilvl="5">
      <w:start w:val="0"/>
      <w:numFmt w:val="bullet"/>
      <w:lvlText w:val="•"/>
      <w:lvlJc w:val="left"/>
      <w:pPr>
        <w:ind w:left="5672" w:hanging="317"/>
      </w:pPr>
      <w:rPr>
        <w:rFonts w:hint="default"/>
      </w:rPr>
    </w:lvl>
    <w:lvl w:ilvl="6">
      <w:start w:val="0"/>
      <w:numFmt w:val="bullet"/>
      <w:lvlText w:val="•"/>
      <w:lvlJc w:val="left"/>
      <w:pPr>
        <w:ind w:left="6562" w:hanging="317"/>
      </w:pPr>
      <w:rPr>
        <w:rFonts w:hint="default"/>
      </w:rPr>
    </w:lvl>
    <w:lvl w:ilvl="7">
      <w:start w:val="0"/>
      <w:numFmt w:val="bullet"/>
      <w:lvlText w:val="•"/>
      <w:lvlJc w:val="left"/>
      <w:pPr>
        <w:ind w:left="7453" w:hanging="317"/>
      </w:pPr>
      <w:rPr>
        <w:rFonts w:hint="default"/>
      </w:rPr>
    </w:lvl>
    <w:lvl w:ilvl="8">
      <w:start w:val="0"/>
      <w:numFmt w:val="bullet"/>
      <w:lvlText w:val="•"/>
      <w:lvlJc w:val="left"/>
      <w:pPr>
        <w:ind w:left="8343" w:hanging="317"/>
      </w:pPr>
      <w:rPr>
        <w:rFonts w:hint="default"/>
      </w:rPr>
    </w:lvl>
  </w:abstractNum>
  <w:abstractNum w:abstractNumId="8">
    <w:multiLevelType w:val="hybridMultilevel"/>
    <w:lvl w:ilvl="0">
      <w:start w:val="1"/>
      <w:numFmt w:val="decimal"/>
      <w:lvlText w:val="%1."/>
      <w:lvlJc w:val="left"/>
      <w:pPr>
        <w:ind w:left="1220" w:hanging="321"/>
        <w:jc w:val="left"/>
      </w:pPr>
      <w:rPr>
        <w:rFonts w:hint="default" w:ascii="Arial" w:hAnsi="Arial" w:eastAsia="Arial" w:cs="Arial"/>
        <w:w w:val="100"/>
        <w:sz w:val="24"/>
        <w:szCs w:val="24"/>
      </w:rPr>
    </w:lvl>
    <w:lvl w:ilvl="1">
      <w:start w:val="0"/>
      <w:numFmt w:val="bullet"/>
      <w:lvlText w:val="•"/>
      <w:lvlJc w:val="left"/>
      <w:pPr>
        <w:ind w:left="2110" w:hanging="321"/>
      </w:pPr>
      <w:rPr>
        <w:rFonts w:hint="default"/>
      </w:rPr>
    </w:lvl>
    <w:lvl w:ilvl="2">
      <w:start w:val="0"/>
      <w:numFmt w:val="bullet"/>
      <w:lvlText w:val="•"/>
      <w:lvlJc w:val="left"/>
      <w:pPr>
        <w:ind w:left="3000" w:hanging="321"/>
      </w:pPr>
      <w:rPr>
        <w:rFonts w:hint="default"/>
      </w:rPr>
    </w:lvl>
    <w:lvl w:ilvl="3">
      <w:start w:val="0"/>
      <w:numFmt w:val="bullet"/>
      <w:lvlText w:val="•"/>
      <w:lvlJc w:val="left"/>
      <w:pPr>
        <w:ind w:left="3891" w:hanging="321"/>
      </w:pPr>
      <w:rPr>
        <w:rFonts w:hint="default"/>
      </w:rPr>
    </w:lvl>
    <w:lvl w:ilvl="4">
      <w:start w:val="0"/>
      <w:numFmt w:val="bullet"/>
      <w:lvlText w:val="•"/>
      <w:lvlJc w:val="left"/>
      <w:pPr>
        <w:ind w:left="4781" w:hanging="321"/>
      </w:pPr>
      <w:rPr>
        <w:rFonts w:hint="default"/>
      </w:rPr>
    </w:lvl>
    <w:lvl w:ilvl="5">
      <w:start w:val="0"/>
      <w:numFmt w:val="bullet"/>
      <w:lvlText w:val="•"/>
      <w:lvlJc w:val="left"/>
      <w:pPr>
        <w:ind w:left="5672" w:hanging="321"/>
      </w:pPr>
      <w:rPr>
        <w:rFonts w:hint="default"/>
      </w:rPr>
    </w:lvl>
    <w:lvl w:ilvl="6">
      <w:start w:val="0"/>
      <w:numFmt w:val="bullet"/>
      <w:lvlText w:val="•"/>
      <w:lvlJc w:val="left"/>
      <w:pPr>
        <w:ind w:left="6562" w:hanging="321"/>
      </w:pPr>
      <w:rPr>
        <w:rFonts w:hint="default"/>
      </w:rPr>
    </w:lvl>
    <w:lvl w:ilvl="7">
      <w:start w:val="0"/>
      <w:numFmt w:val="bullet"/>
      <w:lvlText w:val="•"/>
      <w:lvlJc w:val="left"/>
      <w:pPr>
        <w:ind w:left="7453" w:hanging="321"/>
      </w:pPr>
      <w:rPr>
        <w:rFonts w:hint="default"/>
      </w:rPr>
    </w:lvl>
    <w:lvl w:ilvl="8">
      <w:start w:val="0"/>
      <w:numFmt w:val="bullet"/>
      <w:lvlText w:val="•"/>
      <w:lvlJc w:val="left"/>
      <w:pPr>
        <w:ind w:left="8343" w:hanging="321"/>
      </w:pPr>
      <w:rPr>
        <w:rFonts w:hint="default"/>
      </w:rPr>
    </w:lvl>
  </w:abstractNum>
  <w:abstractNum w:abstractNumId="6">
    <w:multiLevelType w:val="hybridMultilevel"/>
    <w:lvl w:ilvl="0">
      <w:start w:val="1"/>
      <w:numFmt w:val="decimal"/>
      <w:lvlText w:val="（%1）"/>
      <w:lvlJc w:val="left"/>
      <w:pPr>
        <w:ind w:left="120" w:hanging="604"/>
        <w:jc w:val="left"/>
      </w:pPr>
      <w:rPr>
        <w:rFonts w:hint="default" w:ascii="新細明體" w:hAnsi="新細明體" w:eastAsia="新細明體" w:cs="新細明體"/>
        <w:spacing w:val="0"/>
        <w:w w:val="100"/>
        <w:sz w:val="22"/>
        <w:szCs w:val="22"/>
      </w:rPr>
    </w:lvl>
    <w:lvl w:ilvl="1">
      <w:start w:val="0"/>
      <w:numFmt w:val="bullet"/>
      <w:lvlText w:val="•"/>
      <w:lvlJc w:val="left"/>
      <w:pPr>
        <w:ind w:left="978" w:hanging="604"/>
      </w:pPr>
      <w:rPr>
        <w:rFonts w:hint="default"/>
      </w:rPr>
    </w:lvl>
    <w:lvl w:ilvl="2">
      <w:start w:val="0"/>
      <w:numFmt w:val="bullet"/>
      <w:lvlText w:val="•"/>
      <w:lvlJc w:val="left"/>
      <w:pPr>
        <w:ind w:left="1836" w:hanging="604"/>
      </w:pPr>
      <w:rPr>
        <w:rFonts w:hint="default"/>
      </w:rPr>
    </w:lvl>
    <w:lvl w:ilvl="3">
      <w:start w:val="0"/>
      <w:numFmt w:val="bullet"/>
      <w:lvlText w:val="•"/>
      <w:lvlJc w:val="left"/>
      <w:pPr>
        <w:ind w:left="2695" w:hanging="604"/>
      </w:pPr>
      <w:rPr>
        <w:rFonts w:hint="default"/>
      </w:rPr>
    </w:lvl>
    <w:lvl w:ilvl="4">
      <w:start w:val="0"/>
      <w:numFmt w:val="bullet"/>
      <w:lvlText w:val="•"/>
      <w:lvlJc w:val="left"/>
      <w:pPr>
        <w:ind w:left="3553" w:hanging="604"/>
      </w:pPr>
      <w:rPr>
        <w:rFonts w:hint="default"/>
      </w:rPr>
    </w:lvl>
    <w:lvl w:ilvl="5">
      <w:start w:val="0"/>
      <w:numFmt w:val="bullet"/>
      <w:lvlText w:val="•"/>
      <w:lvlJc w:val="left"/>
      <w:pPr>
        <w:ind w:left="4412" w:hanging="604"/>
      </w:pPr>
      <w:rPr>
        <w:rFonts w:hint="default"/>
      </w:rPr>
    </w:lvl>
    <w:lvl w:ilvl="6">
      <w:start w:val="0"/>
      <w:numFmt w:val="bullet"/>
      <w:lvlText w:val="•"/>
      <w:lvlJc w:val="left"/>
      <w:pPr>
        <w:ind w:left="5270" w:hanging="604"/>
      </w:pPr>
      <w:rPr>
        <w:rFonts w:hint="default"/>
      </w:rPr>
    </w:lvl>
    <w:lvl w:ilvl="7">
      <w:start w:val="0"/>
      <w:numFmt w:val="bullet"/>
      <w:lvlText w:val="•"/>
      <w:lvlJc w:val="left"/>
      <w:pPr>
        <w:ind w:left="6129" w:hanging="604"/>
      </w:pPr>
      <w:rPr>
        <w:rFonts w:hint="default"/>
      </w:rPr>
    </w:lvl>
    <w:lvl w:ilvl="8">
      <w:start w:val="0"/>
      <w:numFmt w:val="bullet"/>
      <w:lvlText w:val="•"/>
      <w:lvlJc w:val="left"/>
      <w:pPr>
        <w:ind w:left="6987" w:hanging="604"/>
      </w:pPr>
      <w:rPr>
        <w:rFonts w:hint="default"/>
      </w:rPr>
    </w:lvl>
  </w:abstractNum>
  <w:abstractNum w:abstractNumId="5">
    <w:multiLevelType w:val="hybridMultilevel"/>
    <w:lvl w:ilvl="0">
      <w:start w:val="1"/>
      <w:numFmt w:val="decimal"/>
      <w:lvlText w:val="%1."/>
      <w:lvlJc w:val="left"/>
      <w:pPr>
        <w:ind w:left="12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978" w:hanging="300"/>
      </w:pPr>
      <w:rPr>
        <w:rFonts w:hint="default"/>
      </w:rPr>
    </w:lvl>
    <w:lvl w:ilvl="2">
      <w:start w:val="0"/>
      <w:numFmt w:val="bullet"/>
      <w:lvlText w:val="•"/>
      <w:lvlJc w:val="left"/>
      <w:pPr>
        <w:ind w:left="1836" w:hanging="300"/>
      </w:pPr>
      <w:rPr>
        <w:rFonts w:hint="default"/>
      </w:rPr>
    </w:lvl>
    <w:lvl w:ilvl="3">
      <w:start w:val="0"/>
      <w:numFmt w:val="bullet"/>
      <w:lvlText w:val="•"/>
      <w:lvlJc w:val="left"/>
      <w:pPr>
        <w:ind w:left="2695" w:hanging="300"/>
      </w:pPr>
      <w:rPr>
        <w:rFonts w:hint="default"/>
      </w:rPr>
    </w:lvl>
    <w:lvl w:ilvl="4">
      <w:start w:val="0"/>
      <w:numFmt w:val="bullet"/>
      <w:lvlText w:val="•"/>
      <w:lvlJc w:val="left"/>
      <w:pPr>
        <w:ind w:left="3553" w:hanging="300"/>
      </w:pPr>
      <w:rPr>
        <w:rFonts w:hint="default"/>
      </w:rPr>
    </w:lvl>
    <w:lvl w:ilvl="5">
      <w:start w:val="0"/>
      <w:numFmt w:val="bullet"/>
      <w:lvlText w:val="•"/>
      <w:lvlJc w:val="left"/>
      <w:pPr>
        <w:ind w:left="4412" w:hanging="300"/>
      </w:pPr>
      <w:rPr>
        <w:rFonts w:hint="default"/>
      </w:rPr>
    </w:lvl>
    <w:lvl w:ilvl="6">
      <w:start w:val="0"/>
      <w:numFmt w:val="bullet"/>
      <w:lvlText w:val="•"/>
      <w:lvlJc w:val="left"/>
      <w:pPr>
        <w:ind w:left="5270" w:hanging="300"/>
      </w:pPr>
      <w:rPr>
        <w:rFonts w:hint="default"/>
      </w:rPr>
    </w:lvl>
    <w:lvl w:ilvl="7">
      <w:start w:val="0"/>
      <w:numFmt w:val="bullet"/>
      <w:lvlText w:val="•"/>
      <w:lvlJc w:val="left"/>
      <w:pPr>
        <w:ind w:left="6129" w:hanging="300"/>
      </w:pPr>
      <w:rPr>
        <w:rFonts w:hint="default"/>
      </w:rPr>
    </w:lvl>
    <w:lvl w:ilvl="8">
      <w:start w:val="0"/>
      <w:numFmt w:val="bullet"/>
      <w:lvlText w:val="•"/>
      <w:lvlJc w:val="left"/>
      <w:pPr>
        <w:ind w:left="6987" w:hanging="300"/>
      </w:pPr>
      <w:rPr>
        <w:rFonts w:hint="default"/>
      </w:rPr>
    </w:lvl>
  </w:abstractNum>
  <w:abstractNum w:abstractNumId="4">
    <w:multiLevelType w:val="hybridMultilevel"/>
    <w:lvl w:ilvl="0">
      <w:start w:val="1"/>
      <w:numFmt w:val="decimal"/>
      <w:lvlText w:val="%1."/>
      <w:lvlJc w:val="left"/>
      <w:pPr>
        <w:ind w:left="234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2976" w:hanging="300"/>
      </w:pPr>
      <w:rPr>
        <w:rFonts w:hint="default"/>
      </w:rPr>
    </w:lvl>
    <w:lvl w:ilvl="2">
      <w:start w:val="0"/>
      <w:numFmt w:val="bullet"/>
      <w:lvlText w:val="•"/>
      <w:lvlJc w:val="left"/>
      <w:pPr>
        <w:ind w:left="3612" w:hanging="300"/>
      </w:pPr>
      <w:rPr>
        <w:rFonts w:hint="default"/>
      </w:rPr>
    </w:lvl>
    <w:lvl w:ilvl="3">
      <w:start w:val="0"/>
      <w:numFmt w:val="bullet"/>
      <w:lvlText w:val="•"/>
      <w:lvlJc w:val="left"/>
      <w:pPr>
        <w:ind w:left="4249" w:hanging="300"/>
      </w:pPr>
      <w:rPr>
        <w:rFonts w:hint="default"/>
      </w:rPr>
    </w:lvl>
    <w:lvl w:ilvl="4">
      <w:start w:val="0"/>
      <w:numFmt w:val="bullet"/>
      <w:lvlText w:val="•"/>
      <w:lvlJc w:val="left"/>
      <w:pPr>
        <w:ind w:left="4885" w:hanging="300"/>
      </w:pPr>
      <w:rPr>
        <w:rFonts w:hint="default"/>
      </w:rPr>
    </w:lvl>
    <w:lvl w:ilvl="5">
      <w:start w:val="0"/>
      <w:numFmt w:val="bullet"/>
      <w:lvlText w:val="•"/>
      <w:lvlJc w:val="left"/>
      <w:pPr>
        <w:ind w:left="5522" w:hanging="300"/>
      </w:pPr>
      <w:rPr>
        <w:rFonts w:hint="default"/>
      </w:rPr>
    </w:lvl>
    <w:lvl w:ilvl="6">
      <w:start w:val="0"/>
      <w:numFmt w:val="bullet"/>
      <w:lvlText w:val="•"/>
      <w:lvlJc w:val="left"/>
      <w:pPr>
        <w:ind w:left="6158" w:hanging="300"/>
      </w:pPr>
      <w:rPr>
        <w:rFonts w:hint="default"/>
      </w:rPr>
    </w:lvl>
    <w:lvl w:ilvl="7">
      <w:start w:val="0"/>
      <w:numFmt w:val="bullet"/>
      <w:lvlText w:val="•"/>
      <w:lvlJc w:val="left"/>
      <w:pPr>
        <w:ind w:left="6795" w:hanging="300"/>
      </w:pPr>
      <w:rPr>
        <w:rFonts w:hint="default"/>
      </w:rPr>
    </w:lvl>
    <w:lvl w:ilvl="8">
      <w:start w:val="0"/>
      <w:numFmt w:val="bullet"/>
      <w:lvlText w:val="•"/>
      <w:lvlJc w:val="left"/>
      <w:pPr>
        <w:ind w:left="7431" w:hanging="300"/>
      </w:pPr>
      <w:rPr>
        <w:rFonts w:hint="default"/>
      </w:rPr>
    </w:lvl>
  </w:abstractNum>
  <w:abstractNum w:abstractNumId="3">
    <w:multiLevelType w:val="hybridMultilevel"/>
    <w:lvl w:ilvl="0">
      <w:start w:val="1"/>
      <w:numFmt w:val="decimal"/>
      <w:lvlText w:val="%1."/>
      <w:lvlJc w:val="left"/>
      <w:pPr>
        <w:ind w:left="234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2976" w:hanging="300"/>
      </w:pPr>
      <w:rPr>
        <w:rFonts w:hint="default"/>
      </w:rPr>
    </w:lvl>
    <w:lvl w:ilvl="2">
      <w:start w:val="0"/>
      <w:numFmt w:val="bullet"/>
      <w:lvlText w:val="•"/>
      <w:lvlJc w:val="left"/>
      <w:pPr>
        <w:ind w:left="3612" w:hanging="300"/>
      </w:pPr>
      <w:rPr>
        <w:rFonts w:hint="default"/>
      </w:rPr>
    </w:lvl>
    <w:lvl w:ilvl="3">
      <w:start w:val="0"/>
      <w:numFmt w:val="bullet"/>
      <w:lvlText w:val="•"/>
      <w:lvlJc w:val="left"/>
      <w:pPr>
        <w:ind w:left="4249" w:hanging="300"/>
      </w:pPr>
      <w:rPr>
        <w:rFonts w:hint="default"/>
      </w:rPr>
    </w:lvl>
    <w:lvl w:ilvl="4">
      <w:start w:val="0"/>
      <w:numFmt w:val="bullet"/>
      <w:lvlText w:val="•"/>
      <w:lvlJc w:val="left"/>
      <w:pPr>
        <w:ind w:left="4885" w:hanging="300"/>
      </w:pPr>
      <w:rPr>
        <w:rFonts w:hint="default"/>
      </w:rPr>
    </w:lvl>
    <w:lvl w:ilvl="5">
      <w:start w:val="0"/>
      <w:numFmt w:val="bullet"/>
      <w:lvlText w:val="•"/>
      <w:lvlJc w:val="left"/>
      <w:pPr>
        <w:ind w:left="5522" w:hanging="300"/>
      </w:pPr>
      <w:rPr>
        <w:rFonts w:hint="default"/>
      </w:rPr>
    </w:lvl>
    <w:lvl w:ilvl="6">
      <w:start w:val="0"/>
      <w:numFmt w:val="bullet"/>
      <w:lvlText w:val="•"/>
      <w:lvlJc w:val="left"/>
      <w:pPr>
        <w:ind w:left="6158" w:hanging="300"/>
      </w:pPr>
      <w:rPr>
        <w:rFonts w:hint="default"/>
      </w:rPr>
    </w:lvl>
    <w:lvl w:ilvl="7">
      <w:start w:val="0"/>
      <w:numFmt w:val="bullet"/>
      <w:lvlText w:val="•"/>
      <w:lvlJc w:val="left"/>
      <w:pPr>
        <w:ind w:left="6795" w:hanging="300"/>
      </w:pPr>
      <w:rPr>
        <w:rFonts w:hint="default"/>
      </w:rPr>
    </w:lvl>
    <w:lvl w:ilvl="8">
      <w:start w:val="0"/>
      <w:numFmt w:val="bullet"/>
      <w:lvlText w:val="•"/>
      <w:lvlJc w:val="left"/>
      <w:pPr>
        <w:ind w:left="7431" w:hanging="300"/>
      </w:pPr>
      <w:rPr>
        <w:rFonts w:hint="default"/>
      </w:rPr>
    </w:lvl>
  </w:abstractNum>
  <w:abstractNum w:abstractNumId="2">
    <w:multiLevelType w:val="hybridMultilevel"/>
    <w:lvl w:ilvl="0">
      <w:start w:val="1"/>
      <w:numFmt w:val="decimal"/>
      <w:lvlText w:val="%1."/>
      <w:lvlJc w:val="left"/>
      <w:pPr>
        <w:ind w:left="234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2976" w:hanging="300"/>
      </w:pPr>
      <w:rPr>
        <w:rFonts w:hint="default"/>
      </w:rPr>
    </w:lvl>
    <w:lvl w:ilvl="2">
      <w:start w:val="0"/>
      <w:numFmt w:val="bullet"/>
      <w:lvlText w:val="•"/>
      <w:lvlJc w:val="left"/>
      <w:pPr>
        <w:ind w:left="3612" w:hanging="300"/>
      </w:pPr>
      <w:rPr>
        <w:rFonts w:hint="default"/>
      </w:rPr>
    </w:lvl>
    <w:lvl w:ilvl="3">
      <w:start w:val="0"/>
      <w:numFmt w:val="bullet"/>
      <w:lvlText w:val="•"/>
      <w:lvlJc w:val="left"/>
      <w:pPr>
        <w:ind w:left="4249" w:hanging="300"/>
      </w:pPr>
      <w:rPr>
        <w:rFonts w:hint="default"/>
      </w:rPr>
    </w:lvl>
    <w:lvl w:ilvl="4">
      <w:start w:val="0"/>
      <w:numFmt w:val="bullet"/>
      <w:lvlText w:val="•"/>
      <w:lvlJc w:val="left"/>
      <w:pPr>
        <w:ind w:left="4885" w:hanging="300"/>
      </w:pPr>
      <w:rPr>
        <w:rFonts w:hint="default"/>
      </w:rPr>
    </w:lvl>
    <w:lvl w:ilvl="5">
      <w:start w:val="0"/>
      <w:numFmt w:val="bullet"/>
      <w:lvlText w:val="•"/>
      <w:lvlJc w:val="left"/>
      <w:pPr>
        <w:ind w:left="5522" w:hanging="300"/>
      </w:pPr>
      <w:rPr>
        <w:rFonts w:hint="default"/>
      </w:rPr>
    </w:lvl>
    <w:lvl w:ilvl="6">
      <w:start w:val="0"/>
      <w:numFmt w:val="bullet"/>
      <w:lvlText w:val="•"/>
      <w:lvlJc w:val="left"/>
      <w:pPr>
        <w:ind w:left="6158" w:hanging="300"/>
      </w:pPr>
      <w:rPr>
        <w:rFonts w:hint="default"/>
      </w:rPr>
    </w:lvl>
    <w:lvl w:ilvl="7">
      <w:start w:val="0"/>
      <w:numFmt w:val="bullet"/>
      <w:lvlText w:val="•"/>
      <w:lvlJc w:val="left"/>
      <w:pPr>
        <w:ind w:left="6795" w:hanging="300"/>
      </w:pPr>
      <w:rPr>
        <w:rFonts w:hint="default"/>
      </w:rPr>
    </w:lvl>
    <w:lvl w:ilvl="8">
      <w:start w:val="0"/>
      <w:numFmt w:val="bullet"/>
      <w:lvlText w:val="•"/>
      <w:lvlJc w:val="left"/>
      <w:pPr>
        <w:ind w:left="7431" w:hanging="300"/>
      </w:pPr>
      <w:rPr>
        <w:rFonts w:hint="default"/>
      </w:rPr>
    </w:lvl>
  </w:abstractNum>
  <w:abstractNum w:abstractNumId="1">
    <w:multiLevelType w:val="hybridMultilevel"/>
    <w:lvl w:ilvl="0">
      <w:start w:val="1"/>
      <w:numFmt w:val="decimal"/>
      <w:lvlText w:val="%1."/>
      <w:lvlJc w:val="left"/>
      <w:pPr>
        <w:ind w:left="234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2976" w:hanging="300"/>
      </w:pPr>
      <w:rPr>
        <w:rFonts w:hint="default"/>
      </w:rPr>
    </w:lvl>
    <w:lvl w:ilvl="2">
      <w:start w:val="0"/>
      <w:numFmt w:val="bullet"/>
      <w:lvlText w:val="•"/>
      <w:lvlJc w:val="left"/>
      <w:pPr>
        <w:ind w:left="3612" w:hanging="300"/>
      </w:pPr>
      <w:rPr>
        <w:rFonts w:hint="default"/>
      </w:rPr>
    </w:lvl>
    <w:lvl w:ilvl="3">
      <w:start w:val="0"/>
      <w:numFmt w:val="bullet"/>
      <w:lvlText w:val="•"/>
      <w:lvlJc w:val="left"/>
      <w:pPr>
        <w:ind w:left="4249" w:hanging="300"/>
      </w:pPr>
      <w:rPr>
        <w:rFonts w:hint="default"/>
      </w:rPr>
    </w:lvl>
    <w:lvl w:ilvl="4">
      <w:start w:val="0"/>
      <w:numFmt w:val="bullet"/>
      <w:lvlText w:val="•"/>
      <w:lvlJc w:val="left"/>
      <w:pPr>
        <w:ind w:left="4885" w:hanging="300"/>
      </w:pPr>
      <w:rPr>
        <w:rFonts w:hint="default"/>
      </w:rPr>
    </w:lvl>
    <w:lvl w:ilvl="5">
      <w:start w:val="0"/>
      <w:numFmt w:val="bullet"/>
      <w:lvlText w:val="•"/>
      <w:lvlJc w:val="left"/>
      <w:pPr>
        <w:ind w:left="5522" w:hanging="300"/>
      </w:pPr>
      <w:rPr>
        <w:rFonts w:hint="default"/>
      </w:rPr>
    </w:lvl>
    <w:lvl w:ilvl="6">
      <w:start w:val="0"/>
      <w:numFmt w:val="bullet"/>
      <w:lvlText w:val="•"/>
      <w:lvlJc w:val="left"/>
      <w:pPr>
        <w:ind w:left="6158" w:hanging="300"/>
      </w:pPr>
      <w:rPr>
        <w:rFonts w:hint="default"/>
      </w:rPr>
    </w:lvl>
    <w:lvl w:ilvl="7">
      <w:start w:val="0"/>
      <w:numFmt w:val="bullet"/>
      <w:lvlText w:val="•"/>
      <w:lvlJc w:val="left"/>
      <w:pPr>
        <w:ind w:left="6795" w:hanging="300"/>
      </w:pPr>
      <w:rPr>
        <w:rFonts w:hint="default"/>
      </w:rPr>
    </w:lvl>
    <w:lvl w:ilvl="8">
      <w:start w:val="0"/>
      <w:numFmt w:val="bullet"/>
      <w:lvlText w:val="•"/>
      <w:lvlJc w:val="left"/>
      <w:pPr>
        <w:ind w:left="7431" w:hanging="300"/>
      </w:pPr>
      <w:rPr>
        <w:rFonts w:hint="default"/>
      </w:rPr>
    </w:lvl>
  </w:abstractNum>
  <w:abstractNum w:abstractNumId="0">
    <w:multiLevelType w:val="hybridMultilevel"/>
    <w:lvl w:ilvl="0">
      <w:start w:val="1"/>
      <w:numFmt w:val="decimal"/>
      <w:lvlText w:val="%1."/>
      <w:lvlJc w:val="left"/>
      <w:pPr>
        <w:ind w:left="234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2976" w:hanging="300"/>
      </w:pPr>
      <w:rPr>
        <w:rFonts w:hint="default"/>
      </w:rPr>
    </w:lvl>
    <w:lvl w:ilvl="2">
      <w:start w:val="0"/>
      <w:numFmt w:val="bullet"/>
      <w:lvlText w:val="•"/>
      <w:lvlJc w:val="left"/>
      <w:pPr>
        <w:ind w:left="3612" w:hanging="300"/>
      </w:pPr>
      <w:rPr>
        <w:rFonts w:hint="default"/>
      </w:rPr>
    </w:lvl>
    <w:lvl w:ilvl="3">
      <w:start w:val="0"/>
      <w:numFmt w:val="bullet"/>
      <w:lvlText w:val="•"/>
      <w:lvlJc w:val="left"/>
      <w:pPr>
        <w:ind w:left="4249" w:hanging="300"/>
      </w:pPr>
      <w:rPr>
        <w:rFonts w:hint="default"/>
      </w:rPr>
    </w:lvl>
    <w:lvl w:ilvl="4">
      <w:start w:val="0"/>
      <w:numFmt w:val="bullet"/>
      <w:lvlText w:val="•"/>
      <w:lvlJc w:val="left"/>
      <w:pPr>
        <w:ind w:left="4885" w:hanging="300"/>
      </w:pPr>
      <w:rPr>
        <w:rFonts w:hint="default"/>
      </w:rPr>
    </w:lvl>
    <w:lvl w:ilvl="5">
      <w:start w:val="0"/>
      <w:numFmt w:val="bullet"/>
      <w:lvlText w:val="•"/>
      <w:lvlJc w:val="left"/>
      <w:pPr>
        <w:ind w:left="5522" w:hanging="300"/>
      </w:pPr>
      <w:rPr>
        <w:rFonts w:hint="default"/>
      </w:rPr>
    </w:lvl>
    <w:lvl w:ilvl="6">
      <w:start w:val="0"/>
      <w:numFmt w:val="bullet"/>
      <w:lvlText w:val="•"/>
      <w:lvlJc w:val="left"/>
      <w:pPr>
        <w:ind w:left="6158" w:hanging="300"/>
      </w:pPr>
      <w:rPr>
        <w:rFonts w:hint="default"/>
      </w:rPr>
    </w:lvl>
    <w:lvl w:ilvl="7">
      <w:start w:val="0"/>
      <w:numFmt w:val="bullet"/>
      <w:lvlText w:val="•"/>
      <w:lvlJc w:val="left"/>
      <w:pPr>
        <w:ind w:left="6795" w:hanging="300"/>
      </w:pPr>
      <w:rPr>
        <w:rFonts w:hint="default"/>
      </w:rPr>
    </w:lvl>
    <w:lvl w:ilvl="8">
      <w:start w:val="0"/>
      <w:numFmt w:val="bullet"/>
      <w:lvlText w:val="•"/>
      <w:lvlJc w:val="left"/>
      <w:pPr>
        <w:ind w:left="7431" w:hanging="300"/>
      </w:pPr>
      <w:rPr>
        <w:rFonts w:hint="default"/>
      </w:rPr>
    </w:lvl>
  </w:abstractNum>
  <w:num w:numId="8">
    <w:abstractNumId w:val="7"/>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rPr>
  </w:style>
  <w:style w:styleId="TOC1" w:type="paragraph">
    <w:name w:val="TOC 1"/>
    <w:basedOn w:val="Normal"/>
    <w:uiPriority w:val="1"/>
    <w:qFormat/>
    <w:pPr>
      <w:spacing w:before="24"/>
      <w:ind w:left="120"/>
    </w:pPr>
    <w:rPr>
      <w:rFonts w:ascii="新細明體" w:hAnsi="新細明體" w:eastAsia="新細明體" w:cs="新細明體"/>
      <w:sz w:val="24"/>
      <w:szCs w:val="24"/>
    </w:rPr>
  </w:style>
  <w:style w:styleId="TOC2" w:type="paragraph">
    <w:name w:val="TOC 2"/>
    <w:basedOn w:val="Normal"/>
    <w:uiPriority w:val="1"/>
    <w:qFormat/>
    <w:pPr>
      <w:spacing w:before="24"/>
      <w:ind w:left="600"/>
    </w:pPr>
    <w:rPr>
      <w:rFonts w:ascii="新細明體" w:hAnsi="新細明體" w:eastAsia="新細明體" w:cs="新細明體"/>
      <w:sz w:val="24"/>
      <w:szCs w:val="24"/>
    </w:rPr>
  </w:style>
  <w:style w:styleId="TOC3" w:type="paragraph">
    <w:name w:val="TOC 3"/>
    <w:basedOn w:val="Normal"/>
    <w:uiPriority w:val="1"/>
    <w:qFormat/>
    <w:pPr>
      <w:spacing w:before="24"/>
      <w:ind w:left="1080"/>
    </w:pPr>
    <w:rPr>
      <w:rFonts w:ascii="新細明體" w:hAnsi="新細明體" w:eastAsia="新細明體" w:cs="新細明體"/>
      <w:sz w:val="24"/>
      <w:szCs w:val="24"/>
    </w:rPr>
  </w:style>
  <w:style w:styleId="TOC4" w:type="paragraph">
    <w:name w:val="TOC 4"/>
    <w:basedOn w:val="Normal"/>
    <w:uiPriority w:val="1"/>
    <w:qFormat/>
    <w:pPr>
      <w:spacing w:before="24"/>
      <w:ind w:left="1560"/>
    </w:pPr>
    <w:rPr>
      <w:rFonts w:ascii="新細明體" w:hAnsi="新細明體" w:eastAsia="新細明體" w:cs="新細明體"/>
      <w:sz w:val="24"/>
      <w:szCs w:val="24"/>
    </w:rPr>
  </w:style>
  <w:style w:styleId="TOC5" w:type="paragraph">
    <w:name w:val="TOC 5"/>
    <w:basedOn w:val="Normal"/>
    <w:uiPriority w:val="1"/>
    <w:qFormat/>
    <w:pPr>
      <w:spacing w:before="24"/>
      <w:ind w:left="2340" w:hanging="300"/>
    </w:pPr>
    <w:rPr>
      <w:rFonts w:ascii="新細明體" w:hAnsi="新細明體" w:eastAsia="新細明體" w:cs="新細明體"/>
      <w:sz w:val="24"/>
      <w:szCs w:val="24"/>
    </w:rPr>
  </w:style>
  <w:style w:styleId="BodyText" w:type="paragraph">
    <w:name w:val="Body Text"/>
    <w:basedOn w:val="Normal"/>
    <w:uiPriority w:val="1"/>
    <w:qFormat/>
    <w:pPr/>
    <w:rPr>
      <w:rFonts w:ascii="新細明體" w:hAnsi="新細明體" w:eastAsia="新細明體" w:cs="新細明體"/>
      <w:sz w:val="24"/>
      <w:szCs w:val="24"/>
    </w:rPr>
  </w:style>
  <w:style w:styleId="Heading1" w:type="paragraph">
    <w:name w:val="Heading 1"/>
    <w:basedOn w:val="Normal"/>
    <w:uiPriority w:val="1"/>
    <w:qFormat/>
    <w:pPr>
      <w:spacing w:before="37"/>
      <w:ind w:left="900"/>
      <w:outlineLvl w:val="1"/>
    </w:pPr>
    <w:rPr>
      <w:rFonts w:ascii="新細明體" w:hAnsi="新細明體" w:eastAsia="新細明體" w:cs="新細明體"/>
      <w:b/>
      <w:bCs/>
      <w:sz w:val="32"/>
      <w:szCs w:val="32"/>
    </w:rPr>
  </w:style>
  <w:style w:styleId="Heading2" w:type="paragraph">
    <w:name w:val="Heading 2"/>
    <w:basedOn w:val="Normal"/>
    <w:uiPriority w:val="1"/>
    <w:qFormat/>
    <w:pPr>
      <w:ind w:left="900"/>
      <w:outlineLvl w:val="2"/>
    </w:pPr>
    <w:rPr>
      <w:rFonts w:ascii="新細明體" w:hAnsi="新細明體" w:eastAsia="新細明體" w:cs="新細明體"/>
      <w:b/>
      <w:bCs/>
      <w:sz w:val="28"/>
      <w:szCs w:val="28"/>
    </w:rPr>
  </w:style>
  <w:style w:styleId="Heading3" w:type="paragraph">
    <w:name w:val="Heading 3"/>
    <w:basedOn w:val="Normal"/>
    <w:uiPriority w:val="1"/>
    <w:qFormat/>
    <w:pPr>
      <w:ind w:left="900"/>
      <w:outlineLvl w:val="3"/>
    </w:pPr>
    <w:rPr>
      <w:rFonts w:ascii="標楷體" w:hAnsi="標楷體" w:eastAsia="標楷體" w:cs="標楷體"/>
      <w:b/>
      <w:bCs/>
      <w:sz w:val="24"/>
      <w:szCs w:val="24"/>
    </w:rPr>
  </w:style>
  <w:style w:styleId="Title" w:type="paragraph">
    <w:name w:val="Title"/>
    <w:basedOn w:val="Normal"/>
    <w:uiPriority w:val="1"/>
    <w:qFormat/>
    <w:pPr>
      <w:ind w:left="1886" w:right="925"/>
      <w:jc w:val="center"/>
    </w:pPr>
    <w:rPr>
      <w:rFonts w:ascii="標楷體" w:hAnsi="標楷體" w:eastAsia="標楷體" w:cs="標楷體"/>
      <w:b/>
      <w:bCs/>
      <w:sz w:val="56"/>
      <w:szCs w:val="56"/>
    </w:rPr>
  </w:style>
  <w:style w:styleId="ListParagraph" w:type="paragraph">
    <w:name w:val="List Paragraph"/>
    <w:basedOn w:val="Normal"/>
    <w:uiPriority w:val="1"/>
    <w:qFormat/>
    <w:pPr>
      <w:spacing w:before="2"/>
      <w:ind w:left="1380" w:hanging="480"/>
    </w:pPr>
    <w:rPr>
      <w:rFonts w:ascii="新細明體" w:hAnsi="新細明體" w:eastAsia="新細明體" w:cs="新細明體"/>
    </w:rPr>
  </w:style>
  <w:style w:styleId="TableParagraph" w:type="paragraph">
    <w:name w:val="Table Paragraph"/>
    <w:basedOn w:val="Normal"/>
    <w:uiPriority w:val="1"/>
    <w:qFormat/>
    <w:pPr>
      <w:spacing w:before="38"/>
      <w:ind w:left="27"/>
    </w:pPr>
    <w:rPr>
      <w:rFonts w:ascii="新細明體" w:hAnsi="新細明體" w:eastAsia="新細明體" w:cs="新細明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FileUpload/854-5645/Documents/%E5%85%AC%E5%8B%99%E4"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csptc.gov.tw/pages/detail.aspx?Node=511&amp;Page=2478&amp;Index=1" TargetMode="External"/><Relationship Id="rId14" Type="http://schemas.openxmlformats.org/officeDocument/2006/relationships/hyperlink" Target="http://www.csptc.gov.tw/pages/detail.aspx?Node=503&amp;Page=2483&amp;Index=1"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Microsoft Word - 保訓會期末報告1014_蓓歆校稿_.doc</dc:title>
  <dcterms:created xsi:type="dcterms:W3CDTF">2021-09-17T09:29:57Z</dcterms:created>
  <dcterms:modified xsi:type="dcterms:W3CDTF">2021-09-17T09:29:57Z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2011-10-18T00:00:00Z</vt:filetime>
  </property>
  <property fmtid="{D5CDD505-2E9C-101B-9397-08002B2CF9AE}" pid="3" name="Creator">
    <vt:lpwstr>PScript5.dll Version 5.2.2</vt:lpwstr>
  </property>
  <property fmtid="{D5CDD505-2E9C-101B-9397-08002B2CF9AE}" pid="4" name="LastSaved">
    <vt:filetime>2021-09-17T00:00:00Z</vt:filetime>
  </property>
</Properties>
</file>