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A4" w:rsidRDefault="00A34FA4" w:rsidP="00A34FA4">
      <w:pPr>
        <w:widowControl/>
        <w:spacing w:line="288" w:lineRule="auto"/>
        <w:jc w:val="center"/>
        <w:rPr>
          <w:rFonts w:hint="eastAsia"/>
          <w:b/>
          <w:color w:val="000000"/>
          <w:sz w:val="72"/>
          <w:szCs w:val="72"/>
        </w:rPr>
      </w:pPr>
      <w:bookmarkStart w:id="0" w:name="_GoBack"/>
      <w:bookmarkEnd w:id="0"/>
      <w:r>
        <w:rPr>
          <w:rFonts w:hint="eastAsia"/>
          <w:b/>
          <w:color w:val="000000"/>
          <w:sz w:val="72"/>
          <w:szCs w:val="72"/>
        </w:rPr>
        <w:t>目　次</w:t>
      </w:r>
    </w:p>
    <w:p w:rsidR="00A34FA4" w:rsidRDefault="00A34FA4" w:rsidP="00A34FA4">
      <w:pPr>
        <w:widowControl/>
        <w:spacing w:line="288" w:lineRule="auto"/>
        <w:jc w:val="center"/>
        <w:rPr>
          <w:rFonts w:hint="eastAsia"/>
          <w:b/>
          <w:color w:val="000000"/>
          <w:sz w:val="36"/>
          <w:szCs w:val="36"/>
        </w:rPr>
      </w:pPr>
    </w:p>
    <w:p w:rsidR="00A34FA4" w:rsidRDefault="00A34FA4" w:rsidP="00A34FA4">
      <w:pPr>
        <w:widowControl/>
        <w:spacing w:line="288" w:lineRule="auto"/>
        <w:jc w:val="center"/>
        <w:rPr>
          <w:rFonts w:hint="eastAsia"/>
          <w:b/>
          <w:color w:val="000000"/>
          <w:sz w:val="36"/>
          <w:szCs w:val="36"/>
        </w:rPr>
      </w:pP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第一章　緒論</w:t>
      </w:r>
      <w:r>
        <w:rPr>
          <w:rFonts w:hint="eastAsia"/>
          <w:color w:val="000000"/>
        </w:rPr>
        <w:tab/>
        <w:t>4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第一節　研究背景</w:t>
      </w:r>
      <w:r>
        <w:rPr>
          <w:rFonts w:hint="eastAsia"/>
          <w:color w:val="000000"/>
        </w:rPr>
        <w:tab/>
        <w:t>4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第二節　研究範圍</w:t>
      </w:r>
      <w:r>
        <w:rPr>
          <w:rFonts w:hint="eastAsia"/>
          <w:color w:val="000000"/>
        </w:rPr>
        <w:tab/>
        <w:t>5</w:t>
      </w:r>
    </w:p>
    <w:p w:rsidR="00A34FA4" w:rsidRDefault="00A34FA4" w:rsidP="00A34FA4">
      <w:pPr>
        <w:widowControl/>
        <w:tabs>
          <w:tab w:val="right" w:leader="dot" w:pos="8280"/>
        </w:tabs>
        <w:spacing w:afterLines="50" w:after="180"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第三節　研究方法</w:t>
      </w:r>
      <w:r>
        <w:rPr>
          <w:rFonts w:hint="eastAsia"/>
          <w:color w:val="000000"/>
        </w:rPr>
        <w:tab/>
        <w:t>7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第二章　停止執行之法理基礎</w:t>
      </w:r>
      <w:r>
        <w:rPr>
          <w:rFonts w:hint="eastAsia"/>
          <w:color w:val="000000"/>
        </w:rPr>
        <w:tab/>
        <w:t>8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第一節　實定法依據</w:t>
      </w:r>
      <w:r>
        <w:rPr>
          <w:rFonts w:hint="eastAsia"/>
          <w:color w:val="000000"/>
        </w:rPr>
        <w:tab/>
        <w:t>8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壹　公務人員保障法與訴願法之關係</w:t>
      </w:r>
      <w:r>
        <w:rPr>
          <w:rFonts w:hint="eastAsia"/>
          <w:color w:val="000000"/>
        </w:rPr>
        <w:tab/>
        <w:t>8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貳　公務人員保障法與行政程序法之關係</w:t>
      </w:r>
      <w:r>
        <w:rPr>
          <w:rFonts w:hint="eastAsia"/>
          <w:color w:val="000000"/>
        </w:rPr>
        <w:tab/>
        <w:t>9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參　公務人員保障法與行政訴訟法之關係</w:t>
      </w:r>
      <w:r>
        <w:rPr>
          <w:rFonts w:hint="eastAsia"/>
          <w:color w:val="000000"/>
        </w:rPr>
        <w:tab/>
        <w:t>10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肆　小結</w:t>
      </w:r>
      <w:r>
        <w:rPr>
          <w:rFonts w:hint="eastAsia"/>
          <w:color w:val="000000"/>
        </w:rPr>
        <w:tab/>
        <w:t>11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第二節　外國法制之比較</w:t>
      </w:r>
      <w:r>
        <w:rPr>
          <w:rFonts w:hint="eastAsia"/>
          <w:color w:val="000000"/>
        </w:rPr>
        <w:tab/>
        <w:t>12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壹　日本</w:t>
      </w:r>
      <w:r>
        <w:rPr>
          <w:rFonts w:hint="eastAsia"/>
          <w:color w:val="000000"/>
        </w:rPr>
        <w:tab/>
        <w:t>12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貳　德國</w:t>
      </w:r>
      <w:r>
        <w:rPr>
          <w:rFonts w:hint="eastAsia"/>
          <w:color w:val="000000"/>
        </w:rPr>
        <w:tab/>
        <w:t>13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參　美國</w:t>
      </w:r>
      <w:r>
        <w:rPr>
          <w:rFonts w:hint="eastAsia"/>
          <w:color w:val="000000"/>
        </w:rPr>
        <w:tab/>
        <w:t>15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第三節　制度之規範功能與目的</w:t>
      </w:r>
      <w:r>
        <w:rPr>
          <w:rFonts w:hint="eastAsia"/>
          <w:color w:val="000000"/>
        </w:rPr>
        <w:tab/>
        <w:t>17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第四節　</w:t>
      </w:r>
      <w:proofErr w:type="gramStart"/>
      <w:r>
        <w:rPr>
          <w:rFonts w:hint="eastAsia"/>
          <w:color w:val="000000"/>
        </w:rPr>
        <w:t>附論</w:t>
      </w:r>
      <w:proofErr w:type="gramEnd"/>
      <w:r>
        <w:rPr>
          <w:rFonts w:hint="eastAsia"/>
          <w:color w:val="000000"/>
        </w:rPr>
        <w:t>：預防性權利保護</w:t>
      </w:r>
      <w:r>
        <w:rPr>
          <w:rFonts w:hint="eastAsia"/>
          <w:color w:val="000000"/>
        </w:rPr>
        <w:tab/>
        <w:t>19</w:t>
      </w:r>
    </w:p>
    <w:p w:rsidR="00A34FA4" w:rsidRDefault="00A34FA4" w:rsidP="00A34FA4">
      <w:pPr>
        <w:widowControl/>
        <w:tabs>
          <w:tab w:val="right" w:leader="dot" w:pos="8280"/>
        </w:tabs>
        <w:spacing w:afterLines="50" w:after="180"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第五節　結語</w:t>
      </w:r>
      <w:r>
        <w:rPr>
          <w:rFonts w:hint="eastAsia"/>
          <w:color w:val="000000"/>
        </w:rPr>
        <w:tab/>
        <w:t>20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第三章　停止執行之審查標準</w:t>
      </w:r>
      <w:r>
        <w:rPr>
          <w:rFonts w:hint="eastAsia"/>
          <w:color w:val="000000"/>
        </w:rPr>
        <w:tab/>
        <w:t>23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第一節　形式審查標準（申請之合法性）</w:t>
      </w:r>
      <w:r>
        <w:rPr>
          <w:rFonts w:hint="eastAsia"/>
          <w:color w:val="000000"/>
        </w:rPr>
        <w:tab/>
        <w:t>23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壹　保訓會依職權停止執行與停止執行之形式審查標準之關係</w:t>
      </w:r>
      <w:r>
        <w:rPr>
          <w:rFonts w:hint="eastAsia"/>
          <w:color w:val="000000"/>
        </w:rPr>
        <w:tab/>
        <w:t>23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貳　保訓會之決定與行政法院或其他機關之決定之關係</w:t>
      </w:r>
      <w:r>
        <w:rPr>
          <w:rFonts w:hint="eastAsia"/>
          <w:color w:val="000000"/>
        </w:rPr>
        <w:tab/>
        <w:t>25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第二節　實體審查標準（申請有無理由）</w:t>
      </w:r>
      <w:r>
        <w:rPr>
          <w:rFonts w:hint="eastAsia"/>
          <w:color w:val="000000"/>
        </w:rPr>
        <w:tab/>
        <w:t>28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壹　一般原則</w:t>
      </w:r>
      <w:r>
        <w:rPr>
          <w:rFonts w:hint="eastAsia"/>
          <w:color w:val="000000"/>
        </w:rPr>
        <w:tab/>
        <w:t>28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貳　關於金錢爭</w:t>
      </w:r>
      <w:proofErr w:type="gramStart"/>
      <w:r>
        <w:rPr>
          <w:rFonts w:hint="eastAsia"/>
          <w:color w:val="000000"/>
        </w:rPr>
        <w:t>訟</w:t>
      </w:r>
      <w:proofErr w:type="gramEnd"/>
      <w:r>
        <w:rPr>
          <w:rFonts w:hint="eastAsia"/>
          <w:color w:val="000000"/>
        </w:rPr>
        <w:t>問題</w:t>
      </w:r>
      <w:r>
        <w:rPr>
          <w:rFonts w:hint="eastAsia"/>
          <w:color w:val="000000"/>
        </w:rPr>
        <w:tab/>
        <w:t>33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參　關於非金錢爭</w:t>
      </w:r>
      <w:proofErr w:type="gramStart"/>
      <w:r>
        <w:rPr>
          <w:rFonts w:hint="eastAsia"/>
          <w:color w:val="000000"/>
        </w:rPr>
        <w:t>訟</w:t>
      </w:r>
      <w:proofErr w:type="gramEnd"/>
      <w:r>
        <w:rPr>
          <w:rFonts w:hint="eastAsia"/>
          <w:color w:val="000000"/>
        </w:rPr>
        <w:t>問題</w:t>
      </w:r>
      <w:r>
        <w:rPr>
          <w:rFonts w:hint="eastAsia"/>
          <w:color w:val="000000"/>
        </w:rPr>
        <w:tab/>
        <w:t>34</w:t>
      </w:r>
    </w:p>
    <w:p w:rsidR="00A34FA4" w:rsidRDefault="00A34FA4" w:rsidP="00A34FA4">
      <w:pPr>
        <w:widowControl/>
        <w:tabs>
          <w:tab w:val="right" w:leader="dot" w:pos="8280"/>
        </w:tabs>
        <w:spacing w:afterLines="50" w:after="180"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 xml:space="preserve">第三節　</w:t>
      </w:r>
      <w:r>
        <w:rPr>
          <w:rFonts w:hAnsi="新細明體" w:hint="eastAsia"/>
          <w:bCs/>
          <w:color w:val="000000"/>
        </w:rPr>
        <w:t>結語</w:t>
      </w:r>
      <w:r>
        <w:rPr>
          <w:rFonts w:hint="eastAsia"/>
          <w:color w:val="000000"/>
        </w:rPr>
        <w:tab/>
        <w:t>36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第四章　停止執行之審議程序</w:t>
      </w:r>
      <w:r>
        <w:rPr>
          <w:rFonts w:hint="eastAsia"/>
          <w:color w:val="000000"/>
        </w:rPr>
        <w:tab/>
        <w:t>39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第一節　概說</w:t>
      </w:r>
      <w:r>
        <w:rPr>
          <w:rFonts w:hint="eastAsia"/>
          <w:color w:val="000000"/>
        </w:rPr>
        <w:tab/>
        <w:t>39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第二節　程序之機動性要求</w:t>
      </w:r>
      <w:r>
        <w:rPr>
          <w:rFonts w:hint="eastAsia"/>
          <w:color w:val="000000"/>
        </w:rPr>
        <w:tab/>
        <w:t>41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壹　程序之三分法</w:t>
      </w:r>
      <w:r>
        <w:rPr>
          <w:rFonts w:hint="eastAsia"/>
          <w:color w:val="000000"/>
        </w:rPr>
        <w:tab/>
        <w:t>41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貳　程序之中間決定</w:t>
      </w:r>
      <w:r>
        <w:rPr>
          <w:rFonts w:hint="eastAsia"/>
          <w:color w:val="000000"/>
        </w:rPr>
        <w:tab/>
        <w:t>45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第三節　</w:t>
      </w:r>
      <w:r>
        <w:rPr>
          <w:rFonts w:hAnsi="新細明體" w:hint="eastAsia"/>
          <w:bCs/>
          <w:color w:val="000000"/>
        </w:rPr>
        <w:t>當事人之程序權保障</w:t>
      </w:r>
      <w:r>
        <w:rPr>
          <w:rFonts w:hint="eastAsia"/>
          <w:color w:val="000000"/>
        </w:rPr>
        <w:tab/>
        <w:t>47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壹　陳述意見及言詞辯論等</w:t>
      </w:r>
      <w:r>
        <w:rPr>
          <w:rFonts w:hint="eastAsia"/>
          <w:color w:val="000000"/>
        </w:rPr>
        <w:tab/>
        <w:t>47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400" w:left="1440" w:rightChars="200" w:right="48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貳　程序參加</w:t>
      </w:r>
      <w:r>
        <w:rPr>
          <w:rFonts w:hint="eastAsia"/>
          <w:color w:val="000000"/>
        </w:rPr>
        <w:tab/>
        <w:t>49</w:t>
      </w:r>
    </w:p>
    <w:p w:rsidR="00A34FA4" w:rsidRDefault="00A34FA4" w:rsidP="00A34FA4">
      <w:pPr>
        <w:widowControl/>
        <w:tabs>
          <w:tab w:val="right" w:leader="dot" w:pos="8280"/>
        </w:tabs>
        <w:spacing w:afterLines="50" w:after="180"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第四節　</w:t>
      </w:r>
      <w:r>
        <w:rPr>
          <w:rFonts w:hAnsi="新細明體" w:hint="eastAsia"/>
          <w:bCs/>
          <w:color w:val="000000"/>
        </w:rPr>
        <w:t>結語</w:t>
      </w:r>
      <w:r>
        <w:rPr>
          <w:rFonts w:hint="eastAsia"/>
          <w:color w:val="000000"/>
        </w:rPr>
        <w:tab/>
        <w:t>52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第五章　結論</w:t>
      </w:r>
      <w:r>
        <w:rPr>
          <w:rFonts w:hint="eastAsia"/>
          <w:color w:val="000000"/>
        </w:rPr>
        <w:tab/>
        <w:t>55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第一節　研究結果總整理</w:t>
      </w:r>
      <w:r>
        <w:rPr>
          <w:rFonts w:hint="eastAsia"/>
          <w:color w:val="000000"/>
        </w:rPr>
        <w:tab/>
        <w:t>55</w:t>
      </w:r>
    </w:p>
    <w:p w:rsidR="00A34FA4" w:rsidRDefault="00A34FA4" w:rsidP="00A34FA4">
      <w:pPr>
        <w:widowControl/>
        <w:tabs>
          <w:tab w:val="right" w:leader="dot" w:pos="8280"/>
        </w:tabs>
        <w:spacing w:afterLines="50" w:after="180" w:line="288" w:lineRule="auto"/>
        <w:ind w:leftChars="200" w:left="1440" w:hangingChars="400" w:hanging="96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第二節　立法政策上之建議</w:t>
      </w:r>
      <w:r>
        <w:rPr>
          <w:rFonts w:hint="eastAsia"/>
          <w:color w:val="000000"/>
        </w:rPr>
        <w:tab/>
        <w:t>60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附錄</w:t>
      </w:r>
      <w:r>
        <w:rPr>
          <w:rFonts w:hint="eastAsia"/>
          <w:color w:val="000000"/>
        </w:rPr>
        <w:tab/>
        <w:t>62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96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壹　參考文獻</w:t>
      </w:r>
      <w:r>
        <w:rPr>
          <w:rFonts w:hint="eastAsia"/>
          <w:color w:val="000000"/>
        </w:rPr>
        <w:tab/>
        <w:t>62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ind w:leftChars="200" w:left="96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貳　各國暫時權利保護法制主要參考條文</w:t>
      </w:r>
      <w:r>
        <w:rPr>
          <w:rFonts w:hint="eastAsia"/>
          <w:color w:val="000000"/>
        </w:rPr>
        <w:tab/>
        <w:t>69</w:t>
      </w:r>
    </w:p>
    <w:p w:rsidR="00A34FA4" w:rsidRDefault="00A34FA4" w:rsidP="00A34FA4">
      <w:pPr>
        <w:widowControl/>
        <w:tabs>
          <w:tab w:val="right" w:leader="dot" w:pos="8280"/>
        </w:tabs>
        <w:spacing w:afterLines="50" w:after="180" w:line="288" w:lineRule="auto"/>
        <w:ind w:leftChars="200" w:left="960" w:hangingChars="200" w:hanging="480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參　</w:t>
      </w:r>
      <w:r>
        <w:rPr>
          <w:rFonts w:hint="eastAsia"/>
          <w:color w:val="000000"/>
          <w:lang w:val="de-DE"/>
        </w:rPr>
        <w:t>專家座談會相關資料</w:t>
      </w:r>
      <w:r>
        <w:rPr>
          <w:rFonts w:hint="eastAsia"/>
          <w:color w:val="000000"/>
          <w:lang w:val="de-DE"/>
        </w:rPr>
        <w:tab/>
        <w:t>89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期中報告審查會會議紀錄</w:t>
      </w:r>
      <w:r>
        <w:rPr>
          <w:rFonts w:hint="eastAsia"/>
          <w:color w:val="000000"/>
        </w:rPr>
        <w:tab/>
        <w:t>98</w:t>
      </w:r>
    </w:p>
    <w:p w:rsidR="00A34FA4" w:rsidRDefault="00A34FA4" w:rsidP="00A34FA4">
      <w:pPr>
        <w:widowControl/>
        <w:tabs>
          <w:tab w:val="right" w:leader="dot" w:pos="8280"/>
        </w:tabs>
        <w:spacing w:line="288" w:lineRule="auto"/>
        <w:jc w:val="both"/>
        <w:rPr>
          <w:rFonts w:hint="eastAsia"/>
          <w:color w:val="000000"/>
        </w:rPr>
      </w:pPr>
      <w:r>
        <w:rPr>
          <w:rFonts w:hint="eastAsia"/>
          <w:color w:val="000000"/>
        </w:rPr>
        <w:t>期末報告審查會會議紀錄</w:t>
      </w:r>
      <w:r>
        <w:rPr>
          <w:rFonts w:hint="eastAsia"/>
          <w:color w:val="000000"/>
        </w:rPr>
        <w:tab/>
        <w:t>102</w:t>
      </w:r>
    </w:p>
    <w:p w:rsidR="00BF70BC" w:rsidRDefault="00BF70BC" w:rsidP="00A34FA4"/>
    <w:sectPr w:rsidR="00BF70BC" w:rsidSect="00BF7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4"/>
    <w:rsid w:val="001B32AE"/>
    <w:rsid w:val="00A34FA4"/>
    <w:rsid w:val="00B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9CCA7-0997-46EE-B645-DF974FC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A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卓卿雲</cp:lastModifiedBy>
  <cp:revision>2</cp:revision>
  <dcterms:created xsi:type="dcterms:W3CDTF">2021-09-17T10:01:00Z</dcterms:created>
  <dcterms:modified xsi:type="dcterms:W3CDTF">2021-09-17T10:01:00Z</dcterms:modified>
</cp:coreProperties>
</file>