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BE" w:rsidRDefault="00453ABE" w:rsidP="00453ABE">
      <w:pPr>
        <w:widowControl/>
        <w:spacing w:beforeLines="400" w:before="1440" w:afterLines="50" w:after="180" w:line="288" w:lineRule="auto"/>
        <w:jc w:val="center"/>
        <w:rPr>
          <w:rFonts w:hint="eastAsia"/>
          <w:b/>
          <w:bCs/>
          <w:color w:val="000000"/>
          <w:sz w:val="48"/>
          <w:szCs w:val="48"/>
        </w:rPr>
      </w:pPr>
      <w:bookmarkStart w:id="0" w:name="_GoBack"/>
      <w:bookmarkEnd w:id="0"/>
      <w:r>
        <w:rPr>
          <w:rFonts w:hint="eastAsia"/>
          <w:b/>
          <w:color w:val="000000"/>
          <w:sz w:val="48"/>
          <w:szCs w:val="48"/>
        </w:rPr>
        <w:t>第二章</w:t>
      </w:r>
      <w:r>
        <w:rPr>
          <w:rFonts w:hAnsi="新細明體" w:hint="eastAsia"/>
          <w:b/>
          <w:bCs/>
          <w:color w:val="000000"/>
          <w:sz w:val="48"/>
          <w:szCs w:val="48"/>
        </w:rPr>
        <w:t xml:space="preserve">　停止執行之法理基礎</w:t>
      </w:r>
    </w:p>
    <w:p w:rsidR="00453ABE" w:rsidRDefault="00453ABE" w:rsidP="00453ABE">
      <w:pPr>
        <w:widowControl/>
        <w:spacing w:afterLines="50" w:after="180" w:line="288" w:lineRule="auto"/>
        <w:jc w:val="both"/>
        <w:rPr>
          <w:rFonts w:hAnsi="新細明體" w:hint="eastAsia"/>
          <w:b/>
          <w:bCs/>
          <w:color w:val="000000"/>
          <w:sz w:val="40"/>
          <w:szCs w:val="40"/>
        </w:rPr>
      </w:pPr>
    </w:p>
    <w:p w:rsidR="00453ABE" w:rsidRDefault="00453ABE" w:rsidP="00453ABE">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第一節　</w:t>
      </w:r>
      <w:r>
        <w:rPr>
          <w:rFonts w:hint="eastAsia"/>
          <w:b/>
          <w:color w:val="000000"/>
          <w:sz w:val="36"/>
          <w:szCs w:val="36"/>
        </w:rPr>
        <w:t>實定法依據</w:t>
      </w:r>
    </w:p>
    <w:p w:rsidR="00453ABE" w:rsidRDefault="00453ABE" w:rsidP="00453ABE">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壹　公務人員保障法與訴願法之關係</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在我國現行法中，保訓會針對公務人員保障事件所為的停止執行，其實定法上之基礎，主要在於公務人員保障法第</w:t>
      </w:r>
      <w:r>
        <w:rPr>
          <w:rFonts w:hAnsi="新細明體" w:hint="eastAsia"/>
          <w:color w:val="000000"/>
        </w:rPr>
        <w:t>89</w:t>
      </w:r>
      <w:r>
        <w:rPr>
          <w:rFonts w:hAnsi="新細明體" w:hint="eastAsia"/>
          <w:color w:val="000000"/>
        </w:rPr>
        <w:t>條：</w:t>
      </w:r>
    </w:p>
    <w:p w:rsidR="00453ABE" w:rsidRDefault="00453ABE" w:rsidP="00453ABE">
      <w:pPr>
        <w:widowControl/>
        <w:spacing w:afterLines="50" w:after="180" w:line="288" w:lineRule="auto"/>
        <w:ind w:firstLineChars="200" w:firstLine="480"/>
        <w:jc w:val="both"/>
        <w:rPr>
          <w:rFonts w:ascii="標楷體" w:eastAsia="標楷體" w:hAnsi="標楷體"/>
          <w:color w:val="000000"/>
        </w:rPr>
      </w:pPr>
      <w:r>
        <w:rPr>
          <w:rFonts w:ascii="標楷體" w:eastAsia="標楷體" w:hAnsi="標楷體"/>
          <w:color w:val="000000"/>
        </w:rPr>
        <w:t>原行政處分、管理措施或有關工作條件之處置，不因依本法所進行之各項程序而停止執行。</w:t>
      </w:r>
    </w:p>
    <w:p w:rsidR="00453ABE" w:rsidRDefault="00453ABE" w:rsidP="00453ABE">
      <w:pPr>
        <w:widowControl/>
        <w:spacing w:afterLines="50" w:after="180" w:line="288" w:lineRule="auto"/>
        <w:ind w:firstLineChars="200" w:firstLine="480"/>
        <w:jc w:val="both"/>
        <w:rPr>
          <w:rFonts w:ascii="標楷體" w:eastAsia="標楷體" w:hAnsi="標楷體"/>
          <w:color w:val="000000"/>
        </w:rPr>
      </w:pPr>
      <w:r>
        <w:rPr>
          <w:rFonts w:ascii="標楷體" w:eastAsia="標楷體" w:hAnsi="標楷體"/>
          <w:color w:val="000000"/>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p w:rsidR="00453ABE" w:rsidRDefault="00453ABE" w:rsidP="00453ABE">
      <w:pPr>
        <w:widowControl/>
        <w:spacing w:afterLines="50" w:after="180" w:line="288" w:lineRule="auto"/>
        <w:jc w:val="both"/>
        <w:rPr>
          <w:rFonts w:hAnsi="新細明體" w:hint="eastAsia"/>
          <w:color w:val="000000"/>
        </w:rPr>
      </w:pPr>
      <w:r>
        <w:rPr>
          <w:rFonts w:hAnsi="新細明體" w:hint="eastAsia"/>
          <w:color w:val="000000"/>
        </w:rPr>
        <w:t>乃至第</w:t>
      </w:r>
      <w:r>
        <w:rPr>
          <w:rFonts w:hAnsi="新細明體" w:hint="eastAsia"/>
          <w:color w:val="000000"/>
        </w:rPr>
        <w:t>90</w:t>
      </w:r>
      <w:r>
        <w:rPr>
          <w:rFonts w:hAnsi="新細明體" w:hint="eastAsia"/>
          <w:color w:val="000000"/>
        </w:rPr>
        <w:t>條：</w:t>
      </w:r>
    </w:p>
    <w:p w:rsidR="00453ABE" w:rsidRDefault="00453ABE" w:rsidP="00453ABE">
      <w:pPr>
        <w:widowControl/>
        <w:spacing w:afterLines="50" w:after="180" w:line="288" w:lineRule="auto"/>
        <w:ind w:firstLineChars="200" w:firstLine="480"/>
        <w:jc w:val="both"/>
        <w:rPr>
          <w:rFonts w:ascii="標楷體" w:eastAsia="標楷體" w:hAnsi="標楷體"/>
          <w:color w:val="000000"/>
        </w:rPr>
      </w:pPr>
      <w:r>
        <w:rPr>
          <w:rFonts w:ascii="標楷體" w:eastAsia="標楷體" w:hAnsi="標楷體"/>
          <w:color w:val="000000"/>
        </w:rPr>
        <w:t>停止執行之原因消滅，或有其他情事變更之情形，保訓會、原處分機關或服務機關得依職權或依申請撤銷停止執行。</w:t>
      </w:r>
    </w:p>
    <w:p w:rsidR="00453ABE" w:rsidRDefault="00453ABE" w:rsidP="00453ABE">
      <w:pPr>
        <w:widowControl/>
        <w:spacing w:afterLines="50" w:after="180" w:line="288" w:lineRule="auto"/>
        <w:jc w:val="both"/>
        <w:rPr>
          <w:rFonts w:hAnsi="新細明體" w:hint="eastAsia"/>
          <w:color w:val="000000"/>
        </w:rPr>
      </w:pPr>
      <w:r>
        <w:rPr>
          <w:rFonts w:hAnsi="新細明體" w:hint="eastAsia"/>
          <w:color w:val="000000"/>
        </w:rPr>
        <w:t>之規定。從這兩條規定的形式與內容以觀，則相關的制度顯然與現行訴願法第</w:t>
      </w:r>
      <w:r>
        <w:rPr>
          <w:rFonts w:hAnsi="新細明體" w:hint="eastAsia"/>
          <w:color w:val="000000"/>
        </w:rPr>
        <w:t>93</w:t>
      </w:r>
      <w:r>
        <w:rPr>
          <w:rFonts w:hAnsi="新細明體" w:hint="eastAsia"/>
          <w:color w:val="000000"/>
        </w:rPr>
        <w:t>條：</w:t>
      </w:r>
    </w:p>
    <w:p w:rsidR="00453ABE" w:rsidRDefault="00453ABE" w:rsidP="00453ABE">
      <w:pPr>
        <w:widowControl/>
        <w:spacing w:afterLines="50" w:after="180" w:line="288" w:lineRule="auto"/>
        <w:ind w:firstLineChars="200" w:firstLine="480"/>
        <w:jc w:val="both"/>
        <w:rPr>
          <w:rFonts w:ascii="標楷體" w:eastAsia="標楷體" w:hAnsi="標楷體"/>
          <w:color w:val="000000"/>
        </w:rPr>
      </w:pPr>
      <w:r>
        <w:rPr>
          <w:rFonts w:ascii="標楷體" w:eastAsia="標楷體" w:hAnsi="標楷體"/>
          <w:color w:val="000000"/>
        </w:rPr>
        <w:t>原行政處分之執行，除法律另有規定外，不因提起訴願而停止。</w:t>
      </w:r>
    </w:p>
    <w:p w:rsidR="00453ABE" w:rsidRDefault="00453ABE" w:rsidP="00453ABE">
      <w:pPr>
        <w:widowControl/>
        <w:spacing w:afterLines="50" w:after="180" w:line="288" w:lineRule="auto"/>
        <w:ind w:firstLineChars="200" w:firstLine="480"/>
        <w:jc w:val="both"/>
        <w:rPr>
          <w:rFonts w:ascii="標楷體" w:eastAsia="標楷體" w:hAnsi="標楷體"/>
          <w:color w:val="000000"/>
        </w:rPr>
      </w:pPr>
      <w:r>
        <w:rPr>
          <w:rFonts w:ascii="標楷體" w:eastAsia="標楷體" w:hAnsi="標楷體"/>
          <w:color w:val="000000"/>
        </w:rPr>
        <w:t>原行政處分之合法性顯有疑義者，或原行政處分之執行將發生難以回復之損害，且有急迫情事，並非為維護重大公共利益所必要者，受理訴願機關或原行政處分機關得依職權或依申請，就原行政處分之全部或一部，停止執行。</w:t>
      </w:r>
    </w:p>
    <w:p w:rsidR="00453ABE" w:rsidRDefault="00453ABE" w:rsidP="00453ABE">
      <w:pPr>
        <w:widowControl/>
        <w:spacing w:afterLines="50" w:after="180" w:line="288" w:lineRule="auto"/>
        <w:ind w:firstLineChars="200" w:firstLine="480"/>
        <w:jc w:val="both"/>
        <w:rPr>
          <w:rFonts w:ascii="標楷體" w:eastAsia="標楷體" w:hAnsi="標楷體"/>
          <w:color w:val="000000"/>
        </w:rPr>
      </w:pPr>
      <w:r>
        <w:rPr>
          <w:rFonts w:ascii="標楷體" w:eastAsia="標楷體" w:hAnsi="標楷體"/>
          <w:color w:val="000000"/>
        </w:rPr>
        <w:lastRenderedPageBreak/>
        <w:t>前項情形，行政法院亦得依聲請，停止執行。</w:t>
      </w:r>
    </w:p>
    <w:p w:rsidR="00453ABE" w:rsidRDefault="00453ABE" w:rsidP="00453ABE">
      <w:pPr>
        <w:widowControl/>
        <w:spacing w:afterLines="50" w:after="180" w:line="288" w:lineRule="auto"/>
        <w:jc w:val="both"/>
        <w:rPr>
          <w:rFonts w:hAnsi="新細明體" w:hint="eastAsia"/>
          <w:color w:val="000000"/>
        </w:rPr>
      </w:pPr>
      <w:r>
        <w:rPr>
          <w:rFonts w:hAnsi="新細明體" w:hint="eastAsia"/>
          <w:color w:val="000000"/>
        </w:rPr>
        <w:t>及第</w:t>
      </w:r>
      <w:r>
        <w:rPr>
          <w:rFonts w:hAnsi="新細明體" w:hint="eastAsia"/>
          <w:color w:val="000000"/>
        </w:rPr>
        <w:t>94</w:t>
      </w:r>
      <w:r>
        <w:rPr>
          <w:rFonts w:hAnsi="新細明體" w:hint="eastAsia"/>
          <w:color w:val="000000"/>
        </w:rPr>
        <w:t>條：</w:t>
      </w:r>
    </w:p>
    <w:p w:rsidR="00453ABE" w:rsidRDefault="00453ABE" w:rsidP="00453ABE">
      <w:pPr>
        <w:widowControl/>
        <w:spacing w:afterLines="50" w:after="180" w:line="288" w:lineRule="auto"/>
        <w:ind w:firstLineChars="200" w:firstLine="480"/>
        <w:jc w:val="both"/>
        <w:rPr>
          <w:rFonts w:ascii="標楷體" w:eastAsia="標楷體" w:hAnsi="標楷體"/>
          <w:color w:val="000000"/>
        </w:rPr>
      </w:pPr>
      <w:r>
        <w:rPr>
          <w:rFonts w:ascii="標楷體" w:eastAsia="標楷體" w:hAnsi="標楷體"/>
          <w:color w:val="000000"/>
        </w:rPr>
        <w:t>停止執行之原因消滅，或有其他情事變更之情形，受理訴願機關或原行政處分機關得依職權或依申請撤銷停止執行。</w:t>
      </w:r>
    </w:p>
    <w:p w:rsidR="00453ABE" w:rsidRDefault="00453ABE" w:rsidP="00453ABE">
      <w:pPr>
        <w:widowControl/>
        <w:spacing w:afterLines="50" w:after="180" w:line="288" w:lineRule="auto"/>
        <w:ind w:firstLineChars="200" w:firstLine="480"/>
        <w:jc w:val="both"/>
        <w:rPr>
          <w:rFonts w:ascii="標楷體" w:eastAsia="標楷體" w:hAnsi="標楷體"/>
          <w:color w:val="000000"/>
        </w:rPr>
      </w:pPr>
      <w:r>
        <w:rPr>
          <w:rFonts w:ascii="標楷體" w:eastAsia="標楷體" w:hAnsi="標楷體"/>
          <w:color w:val="000000"/>
        </w:rPr>
        <w:t>前項情形，原裁定停止執行之行政法院亦得依聲請，撤銷停止執行之裁定。</w:t>
      </w:r>
    </w:p>
    <w:p w:rsidR="00453ABE" w:rsidRDefault="00453ABE" w:rsidP="00453ABE">
      <w:pPr>
        <w:widowControl/>
        <w:spacing w:afterLines="50" w:after="180" w:line="288" w:lineRule="auto"/>
        <w:jc w:val="both"/>
        <w:rPr>
          <w:rFonts w:hAnsi="新細明體" w:hint="eastAsia"/>
          <w:color w:val="000000"/>
        </w:rPr>
      </w:pPr>
      <w:r>
        <w:rPr>
          <w:rFonts w:hint="eastAsia"/>
          <w:color w:val="000000"/>
        </w:rPr>
        <w:t>約略相同，而分別肩負有關公務人員保障事件及一般行政爭訟事件的暫時權利保護問題。因此，在適用上，保訓會處理公務人員保障事件之停止執行問題時，原則上毋庸再行援用訴願法上之相關規定；換言之，公務人員保障法，至少在此範圍內，為訴願法的「特別法</w:t>
      </w:r>
      <w:r>
        <w:rPr>
          <w:rFonts w:hAnsi="新細明體" w:hint="eastAsia"/>
          <w:color w:val="000000"/>
        </w:rPr>
        <w:t>（</w:t>
      </w:r>
      <w:r>
        <w:rPr>
          <w:rFonts w:hAnsi="新細明體" w:hint="eastAsia"/>
          <w:color w:val="000000"/>
        </w:rPr>
        <w:t>lex specialis</w:t>
      </w:r>
      <w:r>
        <w:rPr>
          <w:rFonts w:hAnsi="新細明體" w:hint="eastAsia"/>
          <w:color w:val="000000"/>
        </w:rPr>
        <w:t>）」，訴願法不再有適用餘地。</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實者，我國現行公務人員保障法在</w:t>
      </w:r>
      <w:r>
        <w:rPr>
          <w:rFonts w:hint="eastAsia"/>
          <w:color w:val="000000"/>
        </w:rPr>
        <w:t>2003</w:t>
      </w:r>
      <w:r>
        <w:rPr>
          <w:rFonts w:hAnsi="新細明體"/>
          <w:color w:val="000000"/>
        </w:rPr>
        <w:t>年</w:t>
      </w:r>
      <w:r>
        <w:rPr>
          <w:rFonts w:hAnsi="新細明體" w:hint="eastAsia"/>
          <w:color w:val="000000"/>
        </w:rPr>
        <w:t>大幅修正時，立法者即</w:t>
      </w:r>
      <w:r>
        <w:rPr>
          <w:rFonts w:hAnsi="新細明體"/>
          <w:color w:val="000000"/>
        </w:rPr>
        <w:t>有意排除訴願法之準用規定，</w:t>
      </w:r>
      <w:r>
        <w:rPr>
          <w:rFonts w:hAnsi="新細明體" w:hint="eastAsia"/>
          <w:color w:val="000000"/>
        </w:rPr>
        <w:t>而將</w:t>
      </w:r>
      <w:r>
        <w:rPr>
          <w:rFonts w:hAnsi="新細明體"/>
          <w:color w:val="000000"/>
        </w:rPr>
        <w:t>訴願法</w:t>
      </w:r>
      <w:r>
        <w:rPr>
          <w:rFonts w:hAnsi="新細明體" w:hint="eastAsia"/>
          <w:color w:val="000000"/>
        </w:rPr>
        <w:t>之有關</w:t>
      </w:r>
      <w:r>
        <w:rPr>
          <w:rFonts w:hAnsi="新細明體"/>
          <w:color w:val="000000"/>
        </w:rPr>
        <w:t>規定</w:t>
      </w:r>
      <w:r>
        <w:rPr>
          <w:rFonts w:hAnsi="新細明體" w:hint="eastAsia"/>
          <w:color w:val="000000"/>
        </w:rPr>
        <w:t>盡行</w:t>
      </w:r>
      <w:r>
        <w:rPr>
          <w:rFonts w:hAnsi="新細明體"/>
          <w:color w:val="000000"/>
        </w:rPr>
        <w:t>納入</w:t>
      </w:r>
      <w:r>
        <w:rPr>
          <w:rFonts w:hAnsi="新細明體" w:hint="eastAsia"/>
          <w:color w:val="000000"/>
        </w:rPr>
        <w:t>；鑑於此一立法旨趣，有關</w:t>
      </w:r>
      <w:r>
        <w:rPr>
          <w:rFonts w:hint="eastAsia"/>
          <w:color w:val="000000"/>
        </w:rPr>
        <w:t>保訓會之停止執行問題，</w:t>
      </w:r>
      <w:r>
        <w:rPr>
          <w:rFonts w:hAnsi="新細明體" w:hint="eastAsia"/>
          <w:color w:val="000000"/>
        </w:rPr>
        <w:t>似乎也不宜貿然類推適用訴願法之其他規定。</w:t>
      </w:r>
    </w:p>
    <w:p w:rsidR="00453ABE" w:rsidRDefault="00453ABE" w:rsidP="00453ABE">
      <w:pPr>
        <w:widowControl/>
        <w:spacing w:line="288" w:lineRule="auto"/>
        <w:ind w:firstLineChars="200" w:firstLine="480"/>
        <w:jc w:val="both"/>
        <w:rPr>
          <w:rFonts w:hAnsi="新細明體" w:hint="eastAsia"/>
          <w:color w:val="000000"/>
        </w:rPr>
      </w:pPr>
      <w:r>
        <w:rPr>
          <w:rFonts w:hAnsi="新細明體" w:hint="eastAsia"/>
          <w:color w:val="000000"/>
        </w:rPr>
        <w:t>然而，在此有疑的是：由於現行公務人員保障法，縱經</w:t>
      </w:r>
      <w:r>
        <w:rPr>
          <w:rFonts w:hint="eastAsia"/>
          <w:color w:val="000000"/>
        </w:rPr>
        <w:t>2003</w:t>
      </w:r>
      <w:r>
        <w:rPr>
          <w:rFonts w:hAnsi="新細明體"/>
          <w:color w:val="000000"/>
        </w:rPr>
        <w:t>年</w:t>
      </w:r>
      <w:r>
        <w:rPr>
          <w:rFonts w:hAnsi="新細明體" w:hint="eastAsia"/>
          <w:color w:val="000000"/>
        </w:rPr>
        <w:t>的大幅修正，含停止執行問題在內的若干公務人員保障救濟之規定，仍多漏洞，而有待填補；準此，當訴願法在此又難以類推適用時，是否尚有其他法律的規定得以補充適用。關於這個問題，或可分成以下「貳」及「參」兩個層面說明：</w:t>
      </w: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貳　公務人員保障法與行政程序法之關係</w:t>
      </w:r>
    </w:p>
    <w:p w:rsidR="00453ABE" w:rsidRDefault="00453ABE" w:rsidP="00453ABE">
      <w:pPr>
        <w:widowControl/>
        <w:spacing w:afterLines="50" w:after="180" w:line="288" w:lineRule="auto"/>
        <w:ind w:firstLineChars="200" w:firstLine="480"/>
        <w:jc w:val="both"/>
        <w:rPr>
          <w:rFonts w:hint="eastAsia"/>
          <w:color w:val="000000"/>
        </w:rPr>
      </w:pPr>
      <w:r>
        <w:rPr>
          <w:rFonts w:hAnsi="新細明體" w:hint="eastAsia"/>
          <w:color w:val="000000"/>
        </w:rPr>
        <w:t>首先，保訓會隸屬考試院，其為廣義的「行政機關（</w:t>
      </w:r>
      <w:r>
        <w:rPr>
          <w:color w:val="000000"/>
        </w:rPr>
        <w:t>Verwaltungsbehörde</w:t>
      </w:r>
      <w:r>
        <w:rPr>
          <w:rFonts w:hAnsi="新細明體" w:hint="eastAsia"/>
          <w:color w:val="000000"/>
        </w:rPr>
        <w:t>）」，殆無疑義；故其原則上有行政程序法之適用，似乎也不容否認。雖然我國現行行政程序法因有第</w:t>
      </w:r>
      <w:r>
        <w:rPr>
          <w:rFonts w:hAnsi="新細明體" w:hint="eastAsia"/>
          <w:color w:val="000000"/>
        </w:rPr>
        <w:t>3</w:t>
      </w:r>
      <w:r>
        <w:rPr>
          <w:rFonts w:hAnsi="新細明體" w:hint="eastAsia"/>
          <w:color w:val="000000"/>
        </w:rPr>
        <w:t>條第</w:t>
      </w:r>
      <w:r>
        <w:rPr>
          <w:rFonts w:hAnsi="新細明體" w:hint="eastAsia"/>
          <w:color w:val="000000"/>
        </w:rPr>
        <w:t>3</w:t>
      </w:r>
      <w:r>
        <w:rPr>
          <w:rFonts w:hAnsi="新細明體" w:hint="eastAsia"/>
          <w:color w:val="000000"/>
        </w:rPr>
        <w:t>項第</w:t>
      </w:r>
      <w:r>
        <w:rPr>
          <w:rFonts w:hAnsi="新細明體" w:hint="eastAsia"/>
          <w:color w:val="000000"/>
        </w:rPr>
        <w:t>7</w:t>
      </w:r>
      <w:r>
        <w:rPr>
          <w:rFonts w:hAnsi="新細明體" w:hint="eastAsia"/>
          <w:color w:val="000000"/>
        </w:rPr>
        <w:t>款所謂「</w:t>
      </w:r>
      <w:r>
        <w:rPr>
          <w:rFonts w:ascii="標楷體" w:eastAsia="標楷體" w:hAnsi="標楷體"/>
          <w:color w:val="000000"/>
        </w:rPr>
        <w:t>對公務員所為之人事行政行為</w:t>
      </w:r>
      <w:r>
        <w:rPr>
          <w:rFonts w:hAnsi="新細明體" w:hint="eastAsia"/>
          <w:color w:val="000000"/>
        </w:rPr>
        <w:t>」</w:t>
      </w:r>
      <w:r>
        <w:rPr>
          <w:rFonts w:hint="eastAsia"/>
          <w:color w:val="000000"/>
        </w:rPr>
        <w:t>不適用行政程序法之程序規定的問題，以致於保訓會在依法審議決定公務人員保障事件是否即為一種「</w:t>
      </w:r>
      <w:r>
        <w:rPr>
          <w:rFonts w:ascii="新細明體" w:hAnsi="新細明體"/>
          <w:color w:val="000000"/>
        </w:rPr>
        <w:t>對公務員所為之人事行政行為</w:t>
      </w:r>
      <w:r>
        <w:rPr>
          <w:rFonts w:hint="eastAsia"/>
          <w:color w:val="000000"/>
        </w:rPr>
        <w:t>」，故不適用行政程序法之程序規定的疑慮，不過據本研究報告所信，這個疑慮其實可以毋庸過度高估。</w:t>
      </w:r>
    </w:p>
    <w:p w:rsidR="00453ABE" w:rsidRDefault="00453ABE" w:rsidP="00453ABE">
      <w:pPr>
        <w:widowControl/>
        <w:spacing w:line="288" w:lineRule="auto"/>
        <w:ind w:firstLineChars="200" w:firstLine="480"/>
        <w:jc w:val="both"/>
        <w:rPr>
          <w:rFonts w:hint="eastAsia"/>
          <w:color w:val="000000"/>
        </w:rPr>
      </w:pPr>
      <w:r>
        <w:rPr>
          <w:rFonts w:hint="eastAsia"/>
          <w:color w:val="000000"/>
        </w:rPr>
        <w:t>蓋現行行政程序法上所有的程序規定，並非專就某一特定行政機關，抑或某一特定之行政事項範疇所特別量身定作的設計；事實上，這些相關規定，具有符</w:t>
      </w:r>
      <w:r>
        <w:rPr>
          <w:rFonts w:hint="eastAsia"/>
          <w:color w:val="000000"/>
        </w:rPr>
        <w:lastRenderedPageBreak/>
        <w:t>合法治國中正當法律程序（</w:t>
      </w:r>
      <w:r>
        <w:rPr>
          <w:rFonts w:hint="eastAsia"/>
          <w:color w:val="000000"/>
        </w:rPr>
        <w:t>due process of law</w:t>
      </w:r>
      <w:r>
        <w:rPr>
          <w:rFonts w:hint="eastAsia"/>
          <w:color w:val="000000"/>
        </w:rPr>
        <w:t>）原則的一般法性質</w:t>
      </w:r>
      <w:r>
        <w:rPr>
          <w:rStyle w:val="a3"/>
          <w:color w:val="000000"/>
        </w:rPr>
        <w:footnoteReference w:id="1"/>
      </w:r>
      <w:r>
        <w:rPr>
          <w:rFonts w:hint="eastAsia"/>
          <w:color w:val="000000"/>
        </w:rPr>
        <w:t>，因此，凡是各行政機關之各種行政程序，如無法律特別規定時，行政程序法上的相關規定，多少均有直接適用，乃至類推適用的餘地。換言之，在保訓會之停止執行程序問題上，如相關程序應如何進展，公務人員保障法並無規定時，則行政程序法上之規定，抑或其背後所隱藏的正當法律程序原則，至少均能加以妥善地（類推）適用，始能符合憲法上法治國原則的要求。關於這個基於合憲性解釋與法之續造的（</w:t>
      </w:r>
      <w:r>
        <w:rPr>
          <w:rFonts w:hint="eastAsia"/>
          <w:color w:val="000000"/>
        </w:rPr>
        <w:t>verfassungskonforme Auslegung und Rechtsfortbildung</w:t>
      </w:r>
      <w:r>
        <w:rPr>
          <w:rFonts w:hint="eastAsia"/>
          <w:color w:val="000000"/>
        </w:rPr>
        <w:t>）問題，本研究報告在第四章中還將舉例說明</w:t>
      </w:r>
      <w:r>
        <w:rPr>
          <w:rStyle w:val="a3"/>
          <w:color w:val="000000"/>
        </w:rPr>
        <w:footnoteReference w:id="2"/>
      </w:r>
      <w:r>
        <w:rPr>
          <w:rFonts w:hint="eastAsia"/>
          <w:color w:val="000000"/>
        </w:rPr>
        <w:t>。</w:t>
      </w:r>
    </w:p>
    <w:p w:rsidR="00453ABE" w:rsidRDefault="00453ABE" w:rsidP="00453ABE">
      <w:pPr>
        <w:widowControl/>
        <w:spacing w:line="288" w:lineRule="auto"/>
        <w:ind w:firstLineChars="200" w:firstLine="480"/>
        <w:jc w:val="both"/>
        <w:rPr>
          <w:rFonts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參　公務人員保障法與行政訴訟法之關係</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其次，我國現行公務人員保障法所規範的公務人員保障救濟程序，除類似訴願程序，而得視為公務人員行政訴訟之前置程序（</w:t>
      </w:r>
      <w:r>
        <w:rPr>
          <w:rFonts w:hAnsi="新細明體" w:hint="eastAsia"/>
          <w:color w:val="000000"/>
        </w:rPr>
        <w:t>Vorverfahren</w:t>
      </w:r>
      <w:r>
        <w:rPr>
          <w:rFonts w:hAnsi="新細明體" w:hint="eastAsia"/>
          <w:color w:val="000000"/>
        </w:rPr>
        <w:t>）的「復審」外（公務人員保障法第</w:t>
      </w:r>
      <w:r>
        <w:rPr>
          <w:rFonts w:hAnsi="新細明體" w:hint="eastAsia"/>
          <w:color w:val="000000"/>
        </w:rPr>
        <w:t>25</w:t>
      </w:r>
      <w:r>
        <w:rPr>
          <w:rFonts w:hAnsi="新細明體" w:hint="eastAsia"/>
          <w:color w:val="000000"/>
        </w:rPr>
        <w:t>條以下參照），尚有「</w:t>
      </w:r>
      <w:r>
        <w:rPr>
          <w:rFonts w:ascii="標楷體" w:eastAsia="標楷體" w:hAnsi="標楷體"/>
          <w:color w:val="000000"/>
        </w:rPr>
        <w:t>公務人員對於服務機關所為之管理措施或有關工作條件之處置認為不當，</w:t>
      </w:r>
      <w:r>
        <w:rPr>
          <w:rFonts w:ascii="標楷體" w:eastAsia="標楷體" w:hAnsi="標楷體" w:cs="新細明體"/>
          <w:color w:val="000000"/>
          <w:kern w:val="0"/>
        </w:rPr>
        <w:t>致影響其權益…</w:t>
      </w:r>
      <w:r>
        <w:rPr>
          <w:rFonts w:hAnsi="新細明體" w:hint="eastAsia"/>
          <w:color w:val="000000"/>
        </w:rPr>
        <w:t>」等屬於傳統「經營關係（</w:t>
      </w:r>
      <w:r>
        <w:rPr>
          <w:color w:val="000000"/>
        </w:rPr>
        <w:t>Betrieb</w:t>
      </w:r>
      <w:r>
        <w:rPr>
          <w:rFonts w:hint="eastAsia"/>
          <w:color w:val="000000"/>
        </w:rPr>
        <w:t>s</w:t>
      </w:r>
      <w:r>
        <w:rPr>
          <w:color w:val="000000"/>
        </w:rPr>
        <w:t>verhältnis</w:t>
      </w:r>
      <w:r>
        <w:rPr>
          <w:rFonts w:hAnsi="新細明體" w:hint="eastAsia"/>
          <w:color w:val="000000"/>
        </w:rPr>
        <w:t>）」問題而尋求保障救濟的所謂「申訴、再申訴」（同法第</w:t>
      </w:r>
      <w:r>
        <w:rPr>
          <w:rFonts w:hAnsi="新細明體" w:hint="eastAsia"/>
          <w:color w:val="000000"/>
        </w:rPr>
        <w:t>77</w:t>
      </w:r>
      <w:r>
        <w:rPr>
          <w:rFonts w:hAnsi="新細明體" w:hint="eastAsia"/>
          <w:color w:val="000000"/>
        </w:rPr>
        <w:t>條以下參照），乃至同屬該經營關係問題的「調處」（同法第</w:t>
      </w:r>
      <w:r>
        <w:rPr>
          <w:rFonts w:hAnsi="新細明體" w:hint="eastAsia"/>
          <w:color w:val="000000"/>
        </w:rPr>
        <w:t>85</w:t>
      </w:r>
      <w:r>
        <w:rPr>
          <w:rFonts w:hAnsi="新細明體" w:hint="eastAsia"/>
          <w:color w:val="000000"/>
        </w:rPr>
        <w:t>條以下參照）。由於這三種保障救濟程序類型，依同法第</w:t>
      </w:r>
      <w:r>
        <w:rPr>
          <w:rFonts w:hAnsi="新細明體" w:hint="eastAsia"/>
          <w:color w:val="000000"/>
        </w:rPr>
        <w:t>89</w:t>
      </w:r>
      <w:r>
        <w:rPr>
          <w:rFonts w:hAnsi="新細明體" w:hint="eastAsia"/>
          <w:color w:val="000000"/>
        </w:rPr>
        <w:t>條及第</w:t>
      </w:r>
      <w:r>
        <w:rPr>
          <w:rFonts w:hAnsi="新細明體" w:hint="eastAsia"/>
          <w:color w:val="000000"/>
        </w:rPr>
        <w:t>90</w:t>
      </w:r>
      <w:r>
        <w:rPr>
          <w:rFonts w:hAnsi="新細明體" w:hint="eastAsia"/>
          <w:color w:val="000000"/>
        </w:rPr>
        <w:t>條規定，均有停止執行的可能，因此公務人員保障事件中停止執行的適用範圍，顯然大於訴願法上所規定的範圍，而值得特別注意。從有效保障公務人員之權利的觀點出發，申訴、再申訴，乃至調處案件適用停止執行的規定，尤值贊同。</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不過在另一方面，公務人員保障事件中的復審，依據公務人員保障法第</w:t>
      </w:r>
      <w:r>
        <w:rPr>
          <w:rFonts w:hAnsi="新細明體" w:hint="eastAsia"/>
          <w:color w:val="000000"/>
        </w:rPr>
        <w:t>72</w:t>
      </w:r>
      <w:r>
        <w:rPr>
          <w:rFonts w:hAnsi="新細明體" w:hint="eastAsia"/>
          <w:color w:val="000000"/>
        </w:rPr>
        <w:t>條規定，既為行政訴訟的前置程序，則至少在此範圍內，有關同法第</w:t>
      </w:r>
      <w:r>
        <w:rPr>
          <w:rFonts w:hAnsi="新細明體" w:hint="eastAsia"/>
          <w:color w:val="000000"/>
        </w:rPr>
        <w:t>89</w:t>
      </w:r>
      <w:r>
        <w:rPr>
          <w:rFonts w:hAnsi="新細明體" w:hint="eastAsia"/>
          <w:color w:val="000000"/>
        </w:rPr>
        <w:t>條及第</w:t>
      </w:r>
      <w:r>
        <w:rPr>
          <w:rFonts w:hAnsi="新細明體" w:hint="eastAsia"/>
          <w:color w:val="000000"/>
        </w:rPr>
        <w:t>90</w:t>
      </w:r>
      <w:r>
        <w:rPr>
          <w:rFonts w:hAnsi="新細明體" w:hint="eastAsia"/>
          <w:color w:val="000000"/>
        </w:rPr>
        <w:t>條之停止執行規定的適用，也必須同時注意行政訴訟法的相關規定，以求停止執行程序在復審與行政訴訟過程中維持其體系的一致性。從這個觀點而言，公務人員在復審過程中，除得依前開公務人員保障法第</w:t>
      </w:r>
      <w:r>
        <w:rPr>
          <w:rFonts w:hAnsi="新細明體" w:hint="eastAsia"/>
          <w:color w:val="000000"/>
        </w:rPr>
        <w:t>89</w:t>
      </w:r>
      <w:r>
        <w:rPr>
          <w:rFonts w:hAnsi="新細明體" w:hint="eastAsia"/>
          <w:color w:val="000000"/>
        </w:rPr>
        <w:t>條第</w:t>
      </w:r>
      <w:r>
        <w:rPr>
          <w:rFonts w:hAnsi="新細明體" w:hint="eastAsia"/>
          <w:color w:val="000000"/>
        </w:rPr>
        <w:t>2</w:t>
      </w:r>
      <w:r>
        <w:rPr>
          <w:rFonts w:hAnsi="新細明體" w:hint="eastAsia"/>
          <w:color w:val="000000"/>
        </w:rPr>
        <w:t>項，向保訓會等申請系爭行政處分之停止執行外，也得向管轄之高等行政法院聲請停止執行；蓋</w:t>
      </w:r>
      <w:r>
        <w:rPr>
          <w:rFonts w:hAnsi="新細明體" w:hint="eastAsia"/>
          <w:color w:val="000000"/>
        </w:rPr>
        <w:lastRenderedPageBreak/>
        <w:t>依行政訴訟法第</w:t>
      </w:r>
      <w:r>
        <w:rPr>
          <w:rFonts w:hAnsi="新細明體" w:hint="eastAsia"/>
          <w:color w:val="000000"/>
        </w:rPr>
        <w:t>116</w:t>
      </w:r>
      <w:r>
        <w:rPr>
          <w:rFonts w:hAnsi="新細明體" w:hint="eastAsia"/>
          <w:color w:val="000000"/>
        </w:rPr>
        <w:t>條第</w:t>
      </w:r>
      <w:r>
        <w:rPr>
          <w:rFonts w:hAnsi="新細明體" w:hint="eastAsia"/>
          <w:color w:val="000000"/>
        </w:rPr>
        <w:t>3</w:t>
      </w:r>
      <w:r>
        <w:rPr>
          <w:rFonts w:hAnsi="新細明體" w:hint="eastAsia"/>
          <w:color w:val="000000"/>
        </w:rPr>
        <w:t>項規定，高等行政法院就此原已有管轄權限。公務人員保障法第</w:t>
      </w:r>
      <w:r>
        <w:rPr>
          <w:rFonts w:hAnsi="新細明體" w:hint="eastAsia"/>
          <w:color w:val="000000"/>
        </w:rPr>
        <w:t>89</w:t>
      </w:r>
      <w:r>
        <w:rPr>
          <w:rFonts w:hAnsi="新細明體" w:hint="eastAsia"/>
          <w:color w:val="000000"/>
        </w:rPr>
        <w:t>條在此雖缺乏如訴願法第</w:t>
      </w:r>
      <w:r>
        <w:rPr>
          <w:rFonts w:hAnsi="新細明體" w:hint="eastAsia"/>
          <w:color w:val="000000"/>
        </w:rPr>
        <w:t>93</w:t>
      </w:r>
      <w:r>
        <w:rPr>
          <w:rFonts w:hAnsi="新細明體" w:hint="eastAsia"/>
          <w:color w:val="000000"/>
        </w:rPr>
        <w:t>條第</w:t>
      </w:r>
      <w:r>
        <w:rPr>
          <w:rFonts w:hAnsi="新細明體" w:hint="eastAsia"/>
          <w:color w:val="000000"/>
        </w:rPr>
        <w:t>3</w:t>
      </w:r>
      <w:r>
        <w:rPr>
          <w:rFonts w:hAnsi="新細明體" w:hint="eastAsia"/>
          <w:color w:val="000000"/>
        </w:rPr>
        <w:t>項之規定，惟其解釋的結果，仍應相同。至於保訓會與高等行政法院間因此所可能產生的管轄競合問題，本研究報告在後文「第三章、第一節」中將另行處理。</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又，我國現行行政訴訟法第</w:t>
      </w:r>
      <w:r>
        <w:rPr>
          <w:rFonts w:hAnsi="新細明體" w:hint="eastAsia"/>
          <w:color w:val="000000"/>
        </w:rPr>
        <w:t>116</w:t>
      </w:r>
      <w:r>
        <w:rPr>
          <w:rFonts w:hAnsi="新細明體" w:hint="eastAsia"/>
          <w:color w:val="000000"/>
        </w:rPr>
        <w:t>條至第</w:t>
      </w:r>
      <w:r>
        <w:rPr>
          <w:rFonts w:hAnsi="新細明體" w:hint="eastAsia"/>
          <w:color w:val="000000"/>
        </w:rPr>
        <w:t>119</w:t>
      </w:r>
      <w:r>
        <w:rPr>
          <w:rFonts w:hAnsi="新細明體" w:hint="eastAsia"/>
          <w:color w:val="000000"/>
        </w:rPr>
        <w:t>條，為停止執行之規定。除此之外，同法第</w:t>
      </w:r>
      <w:r>
        <w:rPr>
          <w:rFonts w:hAnsi="新細明體" w:hint="eastAsia"/>
          <w:color w:val="000000"/>
        </w:rPr>
        <w:t>293</w:t>
      </w:r>
      <w:r>
        <w:rPr>
          <w:rFonts w:hAnsi="新細明體" w:hint="eastAsia"/>
          <w:color w:val="000000"/>
        </w:rPr>
        <w:t>條至第</w:t>
      </w:r>
      <w:r>
        <w:rPr>
          <w:rFonts w:hAnsi="新細明體" w:hint="eastAsia"/>
          <w:color w:val="000000"/>
        </w:rPr>
        <w:t>303</w:t>
      </w:r>
      <w:r>
        <w:rPr>
          <w:rFonts w:hAnsi="新細明體" w:hint="eastAsia"/>
          <w:color w:val="000000"/>
        </w:rPr>
        <w:t>條等，則尚有「假扣押」及「假處分」的所謂「保全程序」規定。保全程序，也是一種暫時權利保護程序；其所以與停止執行分別適用在不同的行政訴訟類型，乃是我國現行行政爭訟制度繼受德國法制之傳統的結果</w:t>
      </w:r>
      <w:r>
        <w:rPr>
          <w:rStyle w:val="a3"/>
          <w:rFonts w:hAnsi="新細明體"/>
          <w:color w:val="000000"/>
        </w:rPr>
        <w:footnoteReference w:id="3"/>
      </w:r>
      <w:r>
        <w:rPr>
          <w:rFonts w:hAnsi="新細明體" w:hint="eastAsia"/>
          <w:color w:val="000000"/>
        </w:rPr>
        <w:t>。今天，如此的割裂適用，雖仍分別存在於我國法與德國法中，不過這種形式的差異，仍不妨礙吾人將其統合成一個完整之暫時權利保護體系下的兩個制度觀察</w:t>
      </w:r>
      <w:r>
        <w:rPr>
          <w:rStyle w:val="a3"/>
          <w:rFonts w:hAnsi="新細明體"/>
          <w:color w:val="000000"/>
        </w:rPr>
        <w:footnoteReference w:id="4"/>
      </w:r>
      <w:r>
        <w:rPr>
          <w:rFonts w:hAnsi="新細明體" w:hint="eastAsia"/>
          <w:color w:val="000000"/>
        </w:rPr>
        <w:t>。換言之，停止執行與保全程序，功能相同；在相關問題的探討上，兩個制度的規定，非無相互補充適用的餘地。職是，就本研究計畫所關注的公務人員保障救濟中之停止執行而言，相關問題的研究，必要時也應同時注意行政訴訟法第</w:t>
      </w:r>
      <w:r>
        <w:rPr>
          <w:rFonts w:hAnsi="新細明體" w:hint="eastAsia"/>
          <w:color w:val="000000"/>
        </w:rPr>
        <w:t>293</w:t>
      </w:r>
      <w:r>
        <w:rPr>
          <w:rFonts w:hAnsi="新細明體" w:hint="eastAsia"/>
          <w:color w:val="000000"/>
        </w:rPr>
        <w:t>條至第</w:t>
      </w:r>
      <w:r>
        <w:rPr>
          <w:rFonts w:hAnsi="新細明體" w:hint="eastAsia"/>
          <w:color w:val="000000"/>
        </w:rPr>
        <w:t>303</w:t>
      </w:r>
      <w:r>
        <w:rPr>
          <w:rFonts w:hAnsi="新細明體" w:hint="eastAsia"/>
          <w:color w:val="000000"/>
        </w:rPr>
        <w:t>條有關保全程序的規定。</w:t>
      </w:r>
    </w:p>
    <w:p w:rsidR="00453ABE" w:rsidRDefault="00453ABE" w:rsidP="00453ABE">
      <w:pPr>
        <w:widowControl/>
        <w:spacing w:line="288" w:lineRule="auto"/>
        <w:ind w:firstLineChars="200" w:firstLine="480"/>
        <w:jc w:val="both"/>
        <w:rPr>
          <w:rFonts w:hAnsi="新細明體" w:hint="eastAsia"/>
          <w:color w:val="000000"/>
        </w:rPr>
      </w:pPr>
      <w:r>
        <w:rPr>
          <w:rFonts w:hAnsi="新細明體" w:hint="eastAsia"/>
          <w:color w:val="000000"/>
        </w:rPr>
        <w:t>最後，我國現行行政訴訟法第</w:t>
      </w:r>
      <w:r>
        <w:rPr>
          <w:rFonts w:hAnsi="新細明體" w:hint="eastAsia"/>
          <w:color w:val="000000"/>
        </w:rPr>
        <w:t>293</w:t>
      </w:r>
      <w:r>
        <w:rPr>
          <w:rFonts w:hAnsi="新細明體" w:hint="eastAsia"/>
          <w:color w:val="000000"/>
        </w:rPr>
        <w:t>條至第</w:t>
      </w:r>
      <w:r>
        <w:rPr>
          <w:rFonts w:hAnsi="新細明體" w:hint="eastAsia"/>
          <w:color w:val="000000"/>
        </w:rPr>
        <w:t>303</w:t>
      </w:r>
      <w:r>
        <w:rPr>
          <w:rFonts w:hAnsi="新細明體" w:hint="eastAsia"/>
          <w:color w:val="000000"/>
        </w:rPr>
        <w:t>條所規範的保全程序，因受德國法制影響，而屬於一種抄襲民事訴訟法上規定的制度。此外，又由於民事訴訟法發展甚早，迄今有關保全程序的研究尤稱發達，因此，在解釋行政訴訟法上的保全程序規定時，其所繼受的民事訴訟法第</w:t>
      </w:r>
      <w:r>
        <w:rPr>
          <w:rFonts w:hAnsi="新細明體" w:hint="eastAsia"/>
          <w:color w:val="000000"/>
        </w:rPr>
        <w:t>522</w:t>
      </w:r>
      <w:r>
        <w:rPr>
          <w:rFonts w:hAnsi="新細明體" w:hint="eastAsia"/>
          <w:color w:val="000000"/>
        </w:rPr>
        <w:t>條以下規定，乃至相關的學說、判例等非無參考價值。就此，在一般行政爭訟事件方面，是然；而在公務人員保障事件方面，也應然。</w:t>
      </w: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肆　小結</w:t>
      </w:r>
    </w:p>
    <w:p w:rsidR="00453ABE" w:rsidRDefault="00453ABE" w:rsidP="00453ABE">
      <w:pPr>
        <w:widowControl/>
        <w:spacing w:line="288" w:lineRule="auto"/>
        <w:ind w:firstLineChars="200" w:firstLine="480"/>
        <w:jc w:val="both"/>
        <w:rPr>
          <w:rFonts w:hAnsi="新細明體" w:hint="eastAsia"/>
          <w:color w:val="000000"/>
        </w:rPr>
      </w:pPr>
      <w:r>
        <w:rPr>
          <w:rFonts w:hAnsi="新細明體" w:hint="eastAsia"/>
          <w:color w:val="000000"/>
        </w:rPr>
        <w:t>總之，綜上所言，有關保訓會之停止執行問題，公務人員保障法第</w:t>
      </w:r>
      <w:r>
        <w:rPr>
          <w:rFonts w:hAnsi="新細明體" w:hint="eastAsia"/>
          <w:color w:val="000000"/>
        </w:rPr>
        <w:t>89</w:t>
      </w:r>
      <w:r>
        <w:rPr>
          <w:rFonts w:hAnsi="新細明體" w:hint="eastAsia"/>
          <w:color w:val="000000"/>
        </w:rPr>
        <w:t>條及第</w:t>
      </w:r>
      <w:r>
        <w:rPr>
          <w:rFonts w:hAnsi="新細明體" w:hint="eastAsia"/>
          <w:color w:val="000000"/>
        </w:rPr>
        <w:t>90</w:t>
      </w:r>
      <w:r>
        <w:rPr>
          <w:rFonts w:hAnsi="新細明體" w:hint="eastAsia"/>
          <w:color w:val="000000"/>
        </w:rPr>
        <w:t>條，是最基礎的實定法依據，訴願法上之相關規定，不予適用，固無疑義；不過除此之外，在有關停止執行作為暫時權利保護制度之一環方面，相關問題非</w:t>
      </w:r>
      <w:r>
        <w:rPr>
          <w:rFonts w:hAnsi="新細明體" w:hint="eastAsia"/>
          <w:color w:val="000000"/>
        </w:rPr>
        <w:lastRenderedPageBreak/>
        <w:t>無（類推）適用行政訴訟法第</w:t>
      </w:r>
      <w:r>
        <w:rPr>
          <w:rFonts w:hAnsi="新細明體" w:hint="eastAsia"/>
          <w:color w:val="000000"/>
        </w:rPr>
        <w:t>116</w:t>
      </w:r>
      <w:r>
        <w:rPr>
          <w:rFonts w:hAnsi="新細明體" w:hint="eastAsia"/>
          <w:color w:val="000000"/>
        </w:rPr>
        <w:t>條至第</w:t>
      </w:r>
      <w:r>
        <w:rPr>
          <w:rFonts w:hAnsi="新細明體" w:hint="eastAsia"/>
          <w:color w:val="000000"/>
        </w:rPr>
        <w:t>119</w:t>
      </w:r>
      <w:r>
        <w:rPr>
          <w:rFonts w:hAnsi="新細明體" w:hint="eastAsia"/>
          <w:color w:val="000000"/>
        </w:rPr>
        <w:t>條，乃至同法第</w:t>
      </w:r>
      <w:r>
        <w:rPr>
          <w:rFonts w:hAnsi="新細明體" w:hint="eastAsia"/>
          <w:color w:val="000000"/>
        </w:rPr>
        <w:t>293</w:t>
      </w:r>
      <w:r>
        <w:rPr>
          <w:rFonts w:hAnsi="新細明體" w:hint="eastAsia"/>
          <w:color w:val="000000"/>
        </w:rPr>
        <w:t>條至第</w:t>
      </w:r>
      <w:r>
        <w:rPr>
          <w:rFonts w:hAnsi="新細明體" w:hint="eastAsia"/>
          <w:color w:val="000000"/>
        </w:rPr>
        <w:t>303</w:t>
      </w:r>
      <w:r>
        <w:rPr>
          <w:rFonts w:hAnsi="新細明體" w:hint="eastAsia"/>
          <w:color w:val="000000"/>
        </w:rPr>
        <w:t>條，以及甚至民事訴訟法第</w:t>
      </w:r>
      <w:r>
        <w:rPr>
          <w:rFonts w:hAnsi="新細明體" w:hint="eastAsia"/>
          <w:color w:val="000000"/>
        </w:rPr>
        <w:t>522</w:t>
      </w:r>
      <w:r>
        <w:rPr>
          <w:rFonts w:hAnsi="新細明體" w:hint="eastAsia"/>
          <w:color w:val="000000"/>
        </w:rPr>
        <w:t>條以下的空間。至於有關保訓會如何進行停止執行之審議程序方面，行政程序法之相關規定，在</w:t>
      </w:r>
      <w:r>
        <w:rPr>
          <w:rFonts w:hint="eastAsia"/>
          <w:color w:val="000000"/>
        </w:rPr>
        <w:t>法治國中正當法律程序之要求的必要範圍內，</w:t>
      </w:r>
      <w:r>
        <w:rPr>
          <w:rFonts w:hAnsi="新細明體" w:hint="eastAsia"/>
          <w:color w:val="000000"/>
        </w:rPr>
        <w:t>也有（類推）適用的餘地。這些複雜的法律規定，因此構成保訓會之停止執行事件的完整規範基礎。</w:t>
      </w: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第二節　</w:t>
      </w:r>
      <w:r>
        <w:rPr>
          <w:rFonts w:hint="eastAsia"/>
          <w:b/>
          <w:color w:val="000000"/>
          <w:sz w:val="36"/>
          <w:szCs w:val="36"/>
        </w:rPr>
        <w:t>外國法制之比較</w:t>
      </w:r>
    </w:p>
    <w:p w:rsidR="00453ABE" w:rsidRDefault="00453ABE" w:rsidP="00453ABE">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壹　日本</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我國現行行政爭訟法上之停止執行制度，主要受到德、日兩國的影響。惟就立法體例而言，則日本法制的繼受，尤其明顯。蓋日本的行政爭訟制度，相當於我國訴願法者，為行政不服審查法，相當於我國行政訴訟法者，則為行政事件訴訟法；其中，行政不服審查法第</w:t>
      </w:r>
      <w:r>
        <w:rPr>
          <w:rFonts w:hAnsi="新細明體" w:hint="eastAsia"/>
          <w:color w:val="000000"/>
        </w:rPr>
        <w:t>34</w:t>
      </w:r>
      <w:r>
        <w:rPr>
          <w:rFonts w:hAnsi="新細明體" w:hint="eastAsia"/>
          <w:color w:val="000000"/>
        </w:rPr>
        <w:t>條及第</w:t>
      </w:r>
      <w:r>
        <w:rPr>
          <w:rFonts w:hAnsi="新細明體" w:hint="eastAsia"/>
          <w:color w:val="000000"/>
        </w:rPr>
        <w:t>35</w:t>
      </w:r>
      <w:r>
        <w:rPr>
          <w:rFonts w:hAnsi="新細明體" w:hint="eastAsia"/>
          <w:color w:val="000000"/>
        </w:rPr>
        <w:t>條，為有關行政機關之停止執行規定，而行政事件訴訟法第</w:t>
      </w:r>
      <w:r>
        <w:rPr>
          <w:rFonts w:hAnsi="新細明體" w:hint="eastAsia"/>
          <w:color w:val="000000"/>
        </w:rPr>
        <w:t>25</w:t>
      </w:r>
      <w:r>
        <w:rPr>
          <w:rFonts w:hAnsi="新細明體" w:hint="eastAsia"/>
          <w:color w:val="000000"/>
        </w:rPr>
        <w:t>條至第</w:t>
      </w:r>
      <w:r>
        <w:rPr>
          <w:rFonts w:hAnsi="新細明體" w:hint="eastAsia"/>
          <w:color w:val="000000"/>
        </w:rPr>
        <w:t>29</w:t>
      </w:r>
      <w:r>
        <w:rPr>
          <w:rFonts w:hAnsi="新細明體" w:hint="eastAsia"/>
          <w:color w:val="000000"/>
        </w:rPr>
        <w:t>條，則屬法院之停止執行規定</w:t>
      </w:r>
      <w:r>
        <w:rPr>
          <w:rStyle w:val="a3"/>
          <w:rFonts w:hAnsi="新細明體"/>
          <w:color w:val="000000"/>
        </w:rPr>
        <w:footnoteReference w:id="5"/>
      </w:r>
      <w:r>
        <w:rPr>
          <w:rFonts w:hAnsi="新細明體" w:hint="eastAsia"/>
          <w:color w:val="000000"/>
        </w:rPr>
        <w:t>。據此，當吾人將前開日本法相關規定與我國訴願法、行政訴訟法，乃至公務人員保障法之相關規定互為比較時，則將發現，兩國的法律非常相像；尤其是所謂「執行不停止原則」（亦即如：公務人員保障法第</w:t>
      </w:r>
      <w:r>
        <w:rPr>
          <w:rFonts w:hAnsi="新細明體" w:hint="eastAsia"/>
          <w:color w:val="000000"/>
        </w:rPr>
        <w:t>89</w:t>
      </w:r>
      <w:r>
        <w:rPr>
          <w:rFonts w:hAnsi="新細明體" w:hint="eastAsia"/>
          <w:color w:val="000000"/>
        </w:rPr>
        <w:t>條第</w:t>
      </w:r>
      <w:r>
        <w:rPr>
          <w:rFonts w:hAnsi="新細明體" w:hint="eastAsia"/>
          <w:color w:val="000000"/>
        </w:rPr>
        <w:t>1</w:t>
      </w:r>
      <w:r>
        <w:rPr>
          <w:rFonts w:hAnsi="新細明體" w:hint="eastAsia"/>
          <w:color w:val="000000"/>
        </w:rPr>
        <w:t>項「</w:t>
      </w:r>
      <w:r>
        <w:rPr>
          <w:rFonts w:ascii="標楷體" w:eastAsia="標楷體" w:hAnsi="標楷體"/>
          <w:color w:val="000000"/>
        </w:rPr>
        <w:t>原行政處分、管理措施或有關工作條件之處置，不因依本法所進行之各項程序而停止執行</w:t>
      </w:r>
      <w:r>
        <w:rPr>
          <w:rFonts w:hAnsi="新細明體" w:hint="eastAsia"/>
          <w:color w:val="000000"/>
        </w:rPr>
        <w:t>」規定），以及以「處分之</w:t>
      </w:r>
      <w:r>
        <w:rPr>
          <w:color w:val="000000"/>
        </w:rPr>
        <w:t>合法性顯有疑義</w:t>
      </w:r>
      <w:r>
        <w:rPr>
          <w:rFonts w:hint="eastAsia"/>
          <w:color w:val="000000"/>
        </w:rPr>
        <w:t>／</w:t>
      </w:r>
      <w:r>
        <w:rPr>
          <w:color w:val="000000"/>
        </w:rPr>
        <w:t>原告之訴在法律上</w:t>
      </w:r>
      <w:r>
        <w:rPr>
          <w:rFonts w:hint="eastAsia"/>
          <w:color w:val="000000"/>
        </w:rPr>
        <w:t>非</w:t>
      </w:r>
      <w:r>
        <w:rPr>
          <w:color w:val="000000"/>
        </w:rPr>
        <w:t>顯無理由</w:t>
      </w:r>
      <w:r>
        <w:rPr>
          <w:rFonts w:hint="eastAsia"/>
          <w:color w:val="000000"/>
        </w:rPr>
        <w:t>」、「</w:t>
      </w:r>
      <w:r>
        <w:rPr>
          <w:color w:val="000000"/>
        </w:rPr>
        <w:t>難以回復之損害</w:t>
      </w:r>
      <w:r>
        <w:rPr>
          <w:rFonts w:hint="eastAsia"/>
          <w:color w:val="000000"/>
        </w:rPr>
        <w:t>」、「</w:t>
      </w:r>
      <w:r>
        <w:rPr>
          <w:color w:val="000000"/>
        </w:rPr>
        <w:t>急迫情事</w:t>
      </w:r>
      <w:r>
        <w:rPr>
          <w:rFonts w:hint="eastAsia"/>
          <w:color w:val="000000"/>
        </w:rPr>
        <w:t>」及「就</w:t>
      </w:r>
      <w:r>
        <w:rPr>
          <w:color w:val="000000"/>
        </w:rPr>
        <w:t>重大公共利益</w:t>
      </w:r>
      <w:r>
        <w:rPr>
          <w:rFonts w:hint="eastAsia"/>
          <w:color w:val="000000"/>
        </w:rPr>
        <w:t>無影響</w:t>
      </w:r>
      <w:r>
        <w:rPr>
          <w:rFonts w:hAnsi="新細明體" w:hint="eastAsia"/>
          <w:color w:val="000000"/>
        </w:rPr>
        <w:t>」等四項，作為停止執行要件的設計，幾乎如出一轍。</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不過即使如此，解釋我國一般行政爭訟，乃至公務人員保障事件之停止執行相關規定時，日本法未必能作為最佳，抑或至少不是唯一的比較法參考對象。因為日本法前開有關停止執行之四項要件的審查順序安排，與我國仍有出入；何況以此四項要件之俱足為停止執行的前提，就尋求停止執行的當事人而言，難免有過苛之嫌</w:t>
      </w:r>
      <w:r>
        <w:rPr>
          <w:rStyle w:val="a3"/>
          <w:rFonts w:hAnsi="新細明體"/>
          <w:color w:val="000000"/>
        </w:rPr>
        <w:footnoteReference w:id="6"/>
      </w:r>
      <w:r>
        <w:rPr>
          <w:rFonts w:hAnsi="新細明體" w:hint="eastAsia"/>
          <w:color w:val="000000"/>
        </w:rPr>
        <w:t>。更甚者，在日本的行政爭訟制度中，因行政事件訴訟法第</w:t>
      </w:r>
      <w:r>
        <w:rPr>
          <w:rFonts w:hAnsi="新細明體" w:hint="eastAsia"/>
          <w:color w:val="000000"/>
        </w:rPr>
        <w:t>44</w:t>
      </w:r>
      <w:r>
        <w:rPr>
          <w:rFonts w:hAnsi="新細明體" w:hint="eastAsia"/>
          <w:color w:val="000000"/>
        </w:rPr>
        <w:t>條等規</w:t>
      </w:r>
      <w:r>
        <w:rPr>
          <w:rFonts w:hAnsi="新細明體" w:hint="eastAsia"/>
          <w:color w:val="000000"/>
        </w:rPr>
        <w:lastRenderedPageBreak/>
        <w:t>定，而無從適用「假處分」，以致於在彼邦法學界本身也廣泛遭受批評</w:t>
      </w:r>
      <w:r>
        <w:rPr>
          <w:rStyle w:val="a3"/>
          <w:rFonts w:hAnsi="新細明體"/>
          <w:color w:val="000000"/>
        </w:rPr>
        <w:footnoteReference w:id="7"/>
      </w:r>
      <w:r>
        <w:rPr>
          <w:rFonts w:hAnsi="新細明體" w:hint="eastAsia"/>
          <w:color w:val="000000"/>
        </w:rPr>
        <w:t>；這種不完整的制度，自絕非僅因我國停止執行之立法例與其頗為類似，即得成為解決相關問題之比較法的主要參考對象。</w:t>
      </w:r>
    </w:p>
    <w:p w:rsidR="00453ABE" w:rsidRDefault="00453ABE" w:rsidP="00453ABE">
      <w:pPr>
        <w:widowControl/>
        <w:spacing w:line="288" w:lineRule="auto"/>
        <w:ind w:firstLineChars="200" w:firstLine="480"/>
        <w:jc w:val="both"/>
        <w:rPr>
          <w:rFonts w:hAnsi="新細明體" w:hint="eastAsia"/>
          <w:color w:val="000000"/>
        </w:rPr>
      </w:pPr>
      <w:r>
        <w:rPr>
          <w:rFonts w:hAnsi="新細明體" w:hint="eastAsia"/>
          <w:color w:val="000000"/>
        </w:rPr>
        <w:t>此外，抑有進者，日本行政爭訟法制，乃至於停止執行制度之設，與我國同，也均屬德國法後的產物。既然日本法制有不完備處，則有關我國停止執行制度的研究，還應當更進一步考慮德國法制的比較觀察。</w:t>
      </w: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貳　德國</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相對於日本法制而言，德國行政爭訟上的停止執行，是一個比較繁複的制度：首先，德國現行的行政爭訟，也有訴願（</w:t>
      </w:r>
      <w:r>
        <w:rPr>
          <w:rFonts w:hAnsi="新細明體" w:hint="eastAsia"/>
          <w:color w:val="000000"/>
        </w:rPr>
        <w:t>Widerspruch</w:t>
      </w:r>
      <w:r>
        <w:rPr>
          <w:rFonts w:hAnsi="新細明體" w:hint="eastAsia"/>
          <w:color w:val="000000"/>
        </w:rPr>
        <w:t>）與行政訴訟（</w:t>
      </w:r>
      <w:r>
        <w:rPr>
          <w:rFonts w:hAnsi="新細明體" w:hint="eastAsia"/>
          <w:color w:val="000000"/>
        </w:rPr>
        <w:t>Verwaltungs</w:t>
      </w:r>
      <w:r>
        <w:rPr>
          <w:rFonts w:hAnsi="新細明體"/>
          <w:color w:val="000000"/>
        </w:rPr>
        <w:softHyphen/>
      </w:r>
      <w:r>
        <w:rPr>
          <w:rFonts w:hAnsi="新細明體" w:hint="eastAsia"/>
          <w:color w:val="000000"/>
        </w:rPr>
        <w:t>prozess</w:t>
      </w:r>
      <w:r>
        <w:rPr>
          <w:rFonts w:hAnsi="新細明體" w:hint="eastAsia"/>
          <w:color w:val="000000"/>
        </w:rPr>
        <w:t>）之分；其相關規範，主要則見於行政法院法（</w:t>
      </w:r>
      <w:r>
        <w:rPr>
          <w:rFonts w:hAnsi="新細明體" w:hint="eastAsia"/>
          <w:color w:val="000000"/>
        </w:rPr>
        <w:t>Verwaltungsgerichtsordnung</w:t>
      </w:r>
      <w:r>
        <w:rPr>
          <w:rFonts w:hAnsi="新細明體"/>
          <w:color w:val="000000"/>
        </w:rPr>
        <w:t>; VwGO</w:t>
      </w:r>
      <w:r>
        <w:rPr>
          <w:rFonts w:hAnsi="新細明體" w:hint="eastAsia"/>
          <w:color w:val="000000"/>
        </w:rPr>
        <w:t>）中。至於公務人員之爭訟，原則上亦適用此一制度；並非如我國公務人員保障法般，有特別的法律存在。</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不過比較特別的，是德國也無類似我國之訴願法的單行規範。訴願程序如何進行，除前開行政法院法第</w:t>
      </w:r>
      <w:r>
        <w:rPr>
          <w:rFonts w:hAnsi="新細明體" w:hint="eastAsia"/>
          <w:color w:val="000000"/>
        </w:rPr>
        <w:t>68</w:t>
      </w:r>
      <w:r>
        <w:rPr>
          <w:rFonts w:hAnsi="新細明體" w:hint="eastAsia"/>
          <w:color w:val="000000"/>
        </w:rPr>
        <w:t>條以下，載有若干原則性條文外，則必須分別適用聯邦行政程序法（</w:t>
      </w:r>
      <w:r>
        <w:rPr>
          <w:rFonts w:hAnsi="新細明體" w:hint="eastAsia"/>
          <w:color w:val="000000"/>
        </w:rPr>
        <w:t>Verwaltungsverfahrensgesetz; VwVfG</w:t>
      </w:r>
      <w:r>
        <w:rPr>
          <w:rFonts w:hAnsi="新細明體" w:hint="eastAsia"/>
          <w:color w:val="000000"/>
        </w:rPr>
        <w:t>）及各邦行政程序法上之規定來解決。蓋依據德國通說之理解，訴願程序，即為行政程序之一種；因此聯邦及各邦之行政程序法，原則上得視訴願案件的類型係屬聯邦行政事項，抑或各邦行政事項，而分別適用之</w:t>
      </w:r>
      <w:r>
        <w:rPr>
          <w:rStyle w:val="a3"/>
          <w:rFonts w:hAnsi="新細明體"/>
          <w:color w:val="000000"/>
        </w:rPr>
        <w:footnoteReference w:id="8"/>
      </w:r>
      <w:r>
        <w:rPr>
          <w:rFonts w:hAnsi="新細明體" w:hint="eastAsia"/>
          <w:color w:val="000000"/>
        </w:rPr>
        <w:t>。</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其次，德國之訴願及撤銷訴訟，依據行政法院法第</w:t>
      </w:r>
      <w:r>
        <w:rPr>
          <w:rFonts w:hAnsi="新細明體" w:hint="eastAsia"/>
          <w:color w:val="000000"/>
        </w:rPr>
        <w:t>80</w:t>
      </w:r>
      <w:r>
        <w:rPr>
          <w:rFonts w:hAnsi="新細明體" w:hint="eastAsia"/>
          <w:color w:val="000000"/>
        </w:rPr>
        <w:t>條第</w:t>
      </w:r>
      <w:r>
        <w:rPr>
          <w:rFonts w:hAnsi="新細明體" w:hint="eastAsia"/>
          <w:color w:val="000000"/>
        </w:rPr>
        <w:t>1</w:t>
      </w:r>
      <w:r>
        <w:rPr>
          <w:rFonts w:hAnsi="新細明體" w:hint="eastAsia"/>
          <w:color w:val="000000"/>
        </w:rPr>
        <w:t>項「</w:t>
      </w:r>
      <w:r>
        <w:rPr>
          <w:rFonts w:ascii="標楷體" w:eastAsia="標楷體" w:hAnsi="標楷體"/>
          <w:color w:val="000000"/>
        </w:rPr>
        <w:t>訴願及撤銷訴訟有延宕效力…</w:t>
      </w:r>
      <w:r>
        <w:rPr>
          <w:rFonts w:ascii="標楷體" w:eastAsia="標楷體" w:hAnsi="標楷體" w:hint="eastAsia"/>
          <w:color w:val="000000"/>
        </w:rPr>
        <w:t>（</w:t>
      </w:r>
      <w:r>
        <w:rPr>
          <w:color w:val="000000"/>
        </w:rPr>
        <w:t>Widerspruch und Anfechtungsklage haben aufschiebende Wirkung…</w:t>
      </w:r>
      <w:r>
        <w:rPr>
          <w:rFonts w:ascii="標楷體" w:eastAsia="標楷體" w:hAnsi="標楷體" w:hint="eastAsia"/>
          <w:color w:val="000000"/>
        </w:rPr>
        <w:t>）</w:t>
      </w:r>
      <w:r>
        <w:rPr>
          <w:rFonts w:hAnsi="新細明體" w:hint="eastAsia"/>
          <w:color w:val="000000"/>
        </w:rPr>
        <w:t>」之規定，原採所謂「執行停止原則」。不過由於同條第</w:t>
      </w:r>
      <w:r>
        <w:rPr>
          <w:rFonts w:hAnsi="新細明體" w:hint="eastAsia"/>
          <w:color w:val="000000"/>
        </w:rPr>
        <w:t>2</w:t>
      </w:r>
      <w:r>
        <w:rPr>
          <w:rFonts w:hAnsi="新細明體" w:hint="eastAsia"/>
          <w:color w:val="000000"/>
        </w:rPr>
        <w:t>項、第</w:t>
      </w:r>
      <w:r>
        <w:rPr>
          <w:rFonts w:hAnsi="新細明體" w:hint="eastAsia"/>
          <w:color w:val="000000"/>
        </w:rPr>
        <w:t>3</w:t>
      </w:r>
      <w:r>
        <w:rPr>
          <w:rFonts w:hAnsi="新細明體" w:hint="eastAsia"/>
          <w:color w:val="000000"/>
        </w:rPr>
        <w:lastRenderedPageBreak/>
        <w:t>項，以及第</w:t>
      </w:r>
      <w:r>
        <w:rPr>
          <w:rFonts w:hAnsi="新細明體" w:hint="eastAsia"/>
          <w:color w:val="000000"/>
        </w:rPr>
        <w:t>80</w:t>
      </w:r>
      <w:r>
        <w:rPr>
          <w:rFonts w:hAnsi="新細明體" w:hint="eastAsia"/>
          <w:color w:val="000000"/>
        </w:rPr>
        <w:t>條之</w:t>
      </w:r>
      <w:r>
        <w:rPr>
          <w:rFonts w:hAnsi="新細明體" w:hint="eastAsia"/>
          <w:color w:val="000000"/>
        </w:rPr>
        <w:t>2</w:t>
      </w:r>
      <w:r>
        <w:rPr>
          <w:rFonts w:hAnsi="新細明體" w:hint="eastAsia"/>
          <w:color w:val="000000"/>
        </w:rPr>
        <w:t>等又允許相當多「執行停止不停止」的例外</w:t>
      </w:r>
      <w:r>
        <w:rPr>
          <w:rStyle w:val="a3"/>
          <w:rFonts w:hAnsi="新細明體"/>
          <w:color w:val="000000"/>
        </w:rPr>
        <w:footnoteReference w:id="9"/>
      </w:r>
      <w:r>
        <w:rPr>
          <w:rFonts w:hAnsi="新細明體" w:hint="eastAsia"/>
          <w:color w:val="000000"/>
        </w:rPr>
        <w:t>，因此同條第</w:t>
      </w:r>
      <w:r>
        <w:rPr>
          <w:rFonts w:hAnsi="新細明體" w:hint="eastAsia"/>
          <w:color w:val="000000"/>
        </w:rPr>
        <w:t>4</w:t>
      </w:r>
      <w:r>
        <w:rPr>
          <w:rFonts w:hAnsi="新細明體" w:hint="eastAsia"/>
          <w:color w:val="000000"/>
        </w:rPr>
        <w:t>項至第</w:t>
      </w:r>
      <w:r>
        <w:rPr>
          <w:rFonts w:hAnsi="新細明體" w:hint="eastAsia"/>
          <w:color w:val="000000"/>
        </w:rPr>
        <w:t>8</w:t>
      </w:r>
      <w:r>
        <w:rPr>
          <w:rFonts w:hAnsi="新細明體" w:hint="eastAsia"/>
          <w:color w:val="000000"/>
        </w:rPr>
        <w:t>項，乃至第</w:t>
      </w:r>
      <w:r>
        <w:rPr>
          <w:rFonts w:hAnsi="新細明體" w:hint="eastAsia"/>
          <w:color w:val="000000"/>
        </w:rPr>
        <w:t>80</w:t>
      </w:r>
      <w:r>
        <w:rPr>
          <w:rFonts w:hAnsi="新細明體" w:hint="eastAsia"/>
          <w:color w:val="000000"/>
        </w:rPr>
        <w:t>條之</w:t>
      </w:r>
      <w:r>
        <w:rPr>
          <w:rFonts w:hAnsi="新細明體" w:hint="eastAsia"/>
          <w:color w:val="000000"/>
        </w:rPr>
        <w:t>1</w:t>
      </w:r>
      <w:r>
        <w:rPr>
          <w:rFonts w:hAnsi="新細明體" w:hint="eastAsia"/>
          <w:color w:val="000000"/>
        </w:rPr>
        <w:t>、第</w:t>
      </w:r>
      <w:r>
        <w:rPr>
          <w:rFonts w:hAnsi="新細明體" w:hint="eastAsia"/>
          <w:color w:val="000000"/>
        </w:rPr>
        <w:t>80</w:t>
      </w:r>
      <w:r>
        <w:rPr>
          <w:rFonts w:hAnsi="新細明體" w:hint="eastAsia"/>
          <w:color w:val="000000"/>
        </w:rPr>
        <w:t>條之</w:t>
      </w:r>
      <w:r>
        <w:rPr>
          <w:rFonts w:hAnsi="新細明體" w:hint="eastAsia"/>
          <w:color w:val="000000"/>
        </w:rPr>
        <w:t>2</w:t>
      </w:r>
      <w:r>
        <w:rPr>
          <w:rFonts w:hAnsi="新細明體" w:hint="eastAsia"/>
          <w:color w:val="000000"/>
        </w:rPr>
        <w:t>等，分別載有複雜的停止執行之規定</w:t>
      </w:r>
      <w:r>
        <w:rPr>
          <w:rStyle w:val="a3"/>
          <w:rFonts w:hAnsi="新細明體"/>
          <w:color w:val="000000"/>
        </w:rPr>
        <w:footnoteReference w:id="10"/>
      </w:r>
      <w:r>
        <w:rPr>
          <w:rFonts w:hAnsi="新細明體" w:hint="eastAsia"/>
          <w:color w:val="000000"/>
        </w:rPr>
        <w:t>。其結果，遂與我國同，既有訴願程序上之停止執行，又有行政訴訟上之停止執行；兩國的制度，因此又幾乎歸為一致。</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又，德國行政爭訟法制，因法制史逐步演進的影響，除訴願與撤銷訴訟適用停止執行外，其餘暫時權利保護的問題，則適用「假處分」制度</w:t>
      </w:r>
      <w:r>
        <w:rPr>
          <w:rStyle w:val="a3"/>
          <w:rFonts w:hAnsi="新細明體"/>
          <w:color w:val="000000"/>
        </w:rPr>
        <w:footnoteReference w:id="11"/>
      </w:r>
      <w:r>
        <w:rPr>
          <w:rFonts w:hAnsi="新細明體" w:hint="eastAsia"/>
          <w:color w:val="000000"/>
        </w:rPr>
        <w:t>。關於假處分，行政法院法第</w:t>
      </w:r>
      <w:r>
        <w:rPr>
          <w:rFonts w:hAnsi="新細明體" w:hint="eastAsia"/>
          <w:color w:val="000000"/>
        </w:rPr>
        <w:t>123</w:t>
      </w:r>
      <w:r>
        <w:rPr>
          <w:rFonts w:hAnsi="新細明體" w:hint="eastAsia"/>
          <w:color w:val="000000"/>
        </w:rPr>
        <w:t>條</w:t>
      </w:r>
      <w:r>
        <w:rPr>
          <w:rStyle w:val="a3"/>
          <w:rFonts w:hAnsi="新細明體"/>
          <w:color w:val="000000"/>
        </w:rPr>
        <w:footnoteReference w:id="12"/>
      </w:r>
      <w:r>
        <w:rPr>
          <w:rFonts w:hAnsi="新細明體" w:hint="eastAsia"/>
          <w:color w:val="000000"/>
        </w:rPr>
        <w:t>著有明文；惟其制度的根源，則是民事訴訟法（</w:t>
      </w:r>
      <w:r>
        <w:rPr>
          <w:rFonts w:hAnsi="新細明體" w:hint="eastAsia"/>
          <w:color w:val="000000"/>
        </w:rPr>
        <w:t>Zivilprozess</w:t>
      </w:r>
      <w:r>
        <w:rPr>
          <w:rFonts w:hAnsi="新細明體"/>
          <w:color w:val="000000"/>
        </w:rPr>
        <w:softHyphen/>
      </w:r>
      <w:r>
        <w:rPr>
          <w:rFonts w:hAnsi="新細明體" w:hint="eastAsia"/>
          <w:color w:val="000000"/>
        </w:rPr>
        <w:t>ordnung; ZPO</w:t>
      </w:r>
      <w:r>
        <w:rPr>
          <w:rFonts w:hAnsi="新細明體" w:hint="eastAsia"/>
          <w:color w:val="000000"/>
        </w:rPr>
        <w:t>）第</w:t>
      </w:r>
      <w:r>
        <w:rPr>
          <w:rFonts w:hAnsi="新細明體" w:hint="eastAsia"/>
          <w:color w:val="000000"/>
        </w:rPr>
        <w:t>935</w:t>
      </w:r>
      <w:r>
        <w:rPr>
          <w:rFonts w:hAnsi="新細明體" w:hint="eastAsia"/>
          <w:color w:val="000000"/>
        </w:rPr>
        <w:t>條以下相關制度的規定。因此，在德國訴訟法學上，民事訴訟的假處分與行政爭訟的假處分，被視為原則上同一；相關學說與法理，並得相互援引</w:t>
      </w:r>
      <w:r>
        <w:rPr>
          <w:rStyle w:val="a3"/>
          <w:rFonts w:hAnsi="新細明體"/>
          <w:color w:val="000000"/>
        </w:rPr>
        <w:footnoteReference w:id="13"/>
      </w:r>
      <w:r>
        <w:rPr>
          <w:rFonts w:hAnsi="新細明體" w:hint="eastAsia"/>
          <w:color w:val="000000"/>
        </w:rPr>
        <w:t>。</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惟甚者，德國行政爭訟之暫時權利保護體系，固如上述，有停止執行與假處分兩個制度，不過這個歷史因素所造成的結果，近年來已因學說與實務不斷的克服，而在制度分裂表象的背後理論層面上，有逐漸改變的趨勢。蓋目前德國學者莫不承認，這兩個制度間其實具有所謂「構造相違，但功能齊一（</w:t>
      </w:r>
      <w:r>
        <w:rPr>
          <w:color w:val="000000"/>
        </w:rPr>
        <w:t>Funktionsidentität bei Konstruktionsdisparität</w:t>
      </w:r>
      <w:r>
        <w:rPr>
          <w:rFonts w:hAnsi="新細明體" w:hint="eastAsia"/>
          <w:color w:val="000000"/>
        </w:rPr>
        <w:t>）」的特性；此外再加上與民事訴訟法上假處分理論的相互交流，因此一套完整，且能廣泛適用於各種訴訟體系的暫時權利保護法學，</w:t>
      </w:r>
      <w:r>
        <w:rPr>
          <w:rFonts w:hAnsi="新細明體" w:hint="eastAsia"/>
          <w:color w:val="000000"/>
        </w:rPr>
        <w:lastRenderedPageBreak/>
        <w:t>也於焉形成</w:t>
      </w:r>
      <w:r>
        <w:rPr>
          <w:rStyle w:val="a3"/>
          <w:rFonts w:hAnsi="新細明體"/>
          <w:color w:val="000000"/>
        </w:rPr>
        <w:footnoteReference w:id="14"/>
      </w:r>
      <w:r>
        <w:rPr>
          <w:rFonts w:hAnsi="新細明體" w:hint="eastAsia"/>
          <w:color w:val="000000"/>
        </w:rPr>
        <w:t>。這種理論的統一，對於實務的操作頗有助益；基於德國法制與我國法制在此的高度同質性，相關理論，當然也足資我國參考。</w:t>
      </w:r>
      <w:r>
        <w:rPr>
          <w:rFonts w:hint="eastAsia"/>
          <w:color w:val="000000"/>
        </w:rPr>
        <w:t>條之</w:t>
      </w:r>
      <w:r>
        <w:rPr>
          <w:rFonts w:hint="eastAsia"/>
          <w:color w:val="000000"/>
        </w:rPr>
        <w:t>2</w:t>
      </w:r>
      <w:r>
        <w:rPr>
          <w:rFonts w:hint="eastAsia"/>
          <w:color w:val="000000"/>
        </w:rPr>
        <w:t>的德、中文對照，見後文「附錄　貳、三」。</w:t>
      </w:r>
    </w:p>
    <w:p w:rsidR="00453ABE" w:rsidRDefault="00453ABE" w:rsidP="00453ABE">
      <w:pPr>
        <w:widowControl/>
        <w:spacing w:line="288" w:lineRule="auto"/>
        <w:ind w:firstLineChars="200" w:firstLine="480"/>
        <w:jc w:val="both"/>
        <w:rPr>
          <w:rFonts w:hint="eastAsia"/>
          <w:color w:val="000000"/>
        </w:rPr>
      </w:pPr>
      <w:r>
        <w:rPr>
          <w:rFonts w:hAnsi="新細明體" w:hint="eastAsia"/>
          <w:color w:val="000000"/>
        </w:rPr>
        <w:t>事實上，</w:t>
      </w:r>
      <w:r>
        <w:rPr>
          <w:rFonts w:hint="eastAsia"/>
          <w:color w:val="000000"/>
        </w:rPr>
        <w:t>我國近來有關暫時權利保護制度的研究，學者間也的確多以德國法制為比較法上之依據</w:t>
      </w:r>
      <w:r>
        <w:rPr>
          <w:rStyle w:val="a3"/>
          <w:color w:val="000000"/>
        </w:rPr>
        <w:footnoteReference w:id="15"/>
      </w:r>
      <w:r>
        <w:rPr>
          <w:rFonts w:hint="eastAsia"/>
          <w:color w:val="000000"/>
        </w:rPr>
        <w:t>；而從我國行政爭訟法制本是繼受自德國的觀點出發，其研究方向的正確性，更是毋庸置疑。因此，本研究計畫亦從之。</w:t>
      </w:r>
    </w:p>
    <w:p w:rsidR="00453ABE" w:rsidRDefault="00453ABE" w:rsidP="00453ABE">
      <w:pPr>
        <w:widowControl/>
        <w:spacing w:line="288" w:lineRule="auto"/>
        <w:ind w:firstLineChars="200" w:firstLine="480"/>
        <w:jc w:val="both"/>
        <w:rPr>
          <w:rFonts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參　美國</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在法繼受（</w:t>
      </w:r>
      <w:r>
        <w:rPr>
          <w:rFonts w:hAnsi="新細明體" w:hint="eastAsia"/>
          <w:color w:val="000000"/>
        </w:rPr>
        <w:t>Rechtsrezeption</w:t>
      </w:r>
      <w:r>
        <w:rPr>
          <w:rFonts w:hAnsi="新細明體" w:hint="eastAsia"/>
          <w:color w:val="000000"/>
        </w:rPr>
        <w:t>）的傳統上，屬於英美法系的美國訴訟法，本非屬於歐陸法系的我國法主要模仿的對象。不過，由於美國訴訟法中的所謂「</w:t>
      </w:r>
      <w:r>
        <w:rPr>
          <w:rFonts w:hAnsi="新細明體"/>
          <w:color w:val="000000"/>
        </w:rPr>
        <w:t>禁制令</w:t>
      </w:r>
      <w:r>
        <w:rPr>
          <w:rFonts w:hAnsi="新細明體" w:hint="eastAsia"/>
          <w:color w:val="000000"/>
        </w:rPr>
        <w:t>（</w:t>
      </w:r>
      <w:r>
        <w:rPr>
          <w:color w:val="000000"/>
        </w:rPr>
        <w:t>writ of injunction</w:t>
      </w:r>
      <w:r>
        <w:rPr>
          <w:rFonts w:hAnsi="新細明體" w:hint="eastAsia"/>
          <w:color w:val="000000"/>
        </w:rPr>
        <w:t>）」制度，與我國，乃至德、日的暫時權利保護頗為近似，而容有制度比較的意義，因此關於這個禁制令的制度，或也有說明的必要：</w:t>
      </w:r>
    </w:p>
    <w:p w:rsidR="00453ABE" w:rsidRDefault="00453ABE" w:rsidP="00453ABE">
      <w:pPr>
        <w:widowControl/>
        <w:spacing w:afterLines="50" w:after="180" w:line="288" w:lineRule="auto"/>
        <w:ind w:firstLineChars="200" w:firstLine="480"/>
        <w:jc w:val="both"/>
        <w:rPr>
          <w:color w:val="000000"/>
        </w:rPr>
      </w:pPr>
      <w:r>
        <w:rPr>
          <w:rFonts w:hAnsi="新細明體" w:hint="eastAsia"/>
          <w:color w:val="000000"/>
        </w:rPr>
        <w:t>首先，美國法上的</w:t>
      </w:r>
      <w:r>
        <w:rPr>
          <w:rFonts w:hAnsi="新細明體"/>
          <w:color w:val="000000"/>
        </w:rPr>
        <w:t>禁制令</w:t>
      </w:r>
      <w:r>
        <w:rPr>
          <w:rFonts w:hAnsi="新細明體" w:hint="eastAsia"/>
          <w:color w:val="000000"/>
        </w:rPr>
        <w:t>，</w:t>
      </w:r>
      <w:r>
        <w:rPr>
          <w:rFonts w:hAnsi="新細明體"/>
          <w:color w:val="000000"/>
        </w:rPr>
        <w:t>係禁止被告或</w:t>
      </w:r>
      <w:r>
        <w:rPr>
          <w:rFonts w:hAnsi="新細明體" w:hint="eastAsia"/>
          <w:color w:val="000000"/>
        </w:rPr>
        <w:t>其他</w:t>
      </w:r>
      <w:r>
        <w:rPr>
          <w:rFonts w:hAnsi="新細明體"/>
          <w:color w:val="000000"/>
        </w:rPr>
        <w:t>關係人為一定之行為</w:t>
      </w:r>
      <w:r>
        <w:rPr>
          <w:rFonts w:hAnsi="新細明體" w:hint="eastAsia"/>
          <w:color w:val="000000"/>
        </w:rPr>
        <w:t>。「</w:t>
      </w:r>
      <w:r>
        <w:rPr>
          <w:rFonts w:hAnsi="新細明體"/>
          <w:color w:val="000000"/>
        </w:rPr>
        <w:t>行為</w:t>
      </w:r>
      <w:r>
        <w:rPr>
          <w:rFonts w:hAnsi="新細明體" w:hint="eastAsia"/>
          <w:color w:val="000000"/>
        </w:rPr>
        <w:t>」者，原</w:t>
      </w:r>
      <w:r>
        <w:rPr>
          <w:rFonts w:hAnsi="新細明體"/>
          <w:color w:val="000000"/>
        </w:rPr>
        <w:t>可分為「作為」與「不作為」</w:t>
      </w:r>
      <w:r>
        <w:rPr>
          <w:rFonts w:hAnsi="新細明體" w:hint="eastAsia"/>
          <w:color w:val="000000"/>
        </w:rPr>
        <w:t>；雖然</w:t>
      </w:r>
      <w:r>
        <w:rPr>
          <w:rFonts w:hAnsi="新細明體"/>
          <w:color w:val="000000"/>
        </w:rPr>
        <w:t>二者在概念上</w:t>
      </w:r>
      <w:r>
        <w:rPr>
          <w:rFonts w:hAnsi="新細明體" w:hint="eastAsia"/>
          <w:color w:val="000000"/>
        </w:rPr>
        <w:t>因而有</w:t>
      </w:r>
      <w:r>
        <w:rPr>
          <w:rFonts w:hAnsi="新細明體"/>
          <w:color w:val="000000"/>
        </w:rPr>
        <w:t>別，但在效果上</w:t>
      </w:r>
      <w:r>
        <w:rPr>
          <w:rFonts w:hAnsi="新細明體" w:hint="eastAsia"/>
          <w:color w:val="000000"/>
        </w:rPr>
        <w:t>，由於</w:t>
      </w:r>
      <w:r>
        <w:rPr>
          <w:rFonts w:hAnsi="新細明體"/>
          <w:color w:val="000000"/>
        </w:rPr>
        <w:t>「強制</w:t>
      </w:r>
      <w:r>
        <w:rPr>
          <w:rFonts w:hAnsi="新細明體" w:hint="eastAsia"/>
          <w:color w:val="000000"/>
        </w:rPr>
        <w:t>其</w:t>
      </w:r>
      <w:r>
        <w:rPr>
          <w:rFonts w:hAnsi="新細明體"/>
          <w:color w:val="000000"/>
        </w:rPr>
        <w:t>不作為」即等於「禁止</w:t>
      </w:r>
      <w:r>
        <w:rPr>
          <w:rFonts w:hAnsi="新細明體" w:hint="eastAsia"/>
          <w:color w:val="000000"/>
        </w:rPr>
        <w:t>其</w:t>
      </w:r>
      <w:r>
        <w:rPr>
          <w:rFonts w:hAnsi="新細明體"/>
          <w:color w:val="000000"/>
        </w:rPr>
        <w:t>作為」，二者實難以</w:t>
      </w:r>
      <w:r>
        <w:rPr>
          <w:rFonts w:hAnsi="新細明體" w:hint="eastAsia"/>
          <w:color w:val="000000"/>
        </w:rPr>
        <w:t>明確區分，所以</w:t>
      </w:r>
      <w:r>
        <w:rPr>
          <w:rFonts w:hAnsi="新細明體"/>
          <w:color w:val="000000"/>
        </w:rPr>
        <w:t>在美國實務上</w:t>
      </w:r>
      <w:r>
        <w:rPr>
          <w:rFonts w:hAnsi="新細明體" w:hint="eastAsia"/>
          <w:color w:val="000000"/>
        </w:rPr>
        <w:t>，法院得否</w:t>
      </w:r>
      <w:r>
        <w:rPr>
          <w:rFonts w:hAnsi="新細明體"/>
          <w:color w:val="000000"/>
        </w:rPr>
        <w:t>強制</w:t>
      </w:r>
      <w:r>
        <w:rPr>
          <w:rFonts w:hAnsi="新細明體" w:hint="eastAsia"/>
          <w:color w:val="000000"/>
        </w:rPr>
        <w:t>被告</w:t>
      </w:r>
      <w:r>
        <w:rPr>
          <w:rFonts w:hAnsi="新細明體"/>
          <w:color w:val="000000"/>
        </w:rPr>
        <w:t>或</w:t>
      </w:r>
      <w:r>
        <w:rPr>
          <w:rFonts w:hAnsi="新細明體" w:hint="eastAsia"/>
          <w:color w:val="000000"/>
        </w:rPr>
        <w:t>其他</w:t>
      </w:r>
      <w:r>
        <w:rPr>
          <w:rFonts w:hAnsi="新細明體"/>
          <w:color w:val="000000"/>
        </w:rPr>
        <w:t>關係人「作為」或「不作為」</w:t>
      </w:r>
      <w:r>
        <w:rPr>
          <w:rFonts w:hAnsi="新細明體" w:hint="eastAsia"/>
          <w:color w:val="000000"/>
        </w:rPr>
        <w:t>，其前提要件亦從而無所區別</w:t>
      </w:r>
      <w:r>
        <w:rPr>
          <w:rStyle w:val="a3"/>
          <w:color w:val="000000"/>
        </w:rPr>
        <w:footnoteReference w:id="16"/>
      </w:r>
      <w:r>
        <w:rPr>
          <w:rFonts w:hAnsi="新細明體"/>
          <w:color w:val="000000"/>
        </w:rPr>
        <w:t>。</w:t>
      </w:r>
      <w:r>
        <w:rPr>
          <w:rFonts w:hAnsi="新細明體" w:hint="eastAsia"/>
          <w:color w:val="000000"/>
        </w:rPr>
        <w:t>關於這一點，如比較前開德國近來學說主張，在理論上，「停止執行（</w:t>
      </w:r>
      <w:r>
        <w:rPr>
          <w:rFonts w:hAnsi="新細明體" w:hint="eastAsia"/>
          <w:color w:val="000000"/>
        </w:rPr>
        <w:t>=</w:t>
      </w:r>
      <w:r>
        <w:rPr>
          <w:rFonts w:hAnsi="新細明體" w:hint="eastAsia"/>
          <w:color w:val="000000"/>
        </w:rPr>
        <w:t>不作為）」與「假處分（</w:t>
      </w:r>
      <w:r>
        <w:rPr>
          <w:rFonts w:hAnsi="新細明體" w:hint="eastAsia"/>
          <w:color w:val="000000"/>
        </w:rPr>
        <w:t>=</w:t>
      </w:r>
      <w:r>
        <w:rPr>
          <w:rFonts w:hAnsi="新細明體" w:hint="eastAsia"/>
          <w:color w:val="000000"/>
        </w:rPr>
        <w:t>作為）」毋庸過度區別的見解，德、美兩國在此的立場，似乎相當近似，值得吾人注意。</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其次，美國法上的</w:t>
      </w:r>
      <w:r>
        <w:rPr>
          <w:rFonts w:hAnsi="新細明體"/>
          <w:color w:val="000000"/>
        </w:rPr>
        <w:t>禁制令</w:t>
      </w:r>
      <w:r>
        <w:rPr>
          <w:rFonts w:hAnsi="新細明體" w:hint="eastAsia"/>
          <w:color w:val="000000"/>
        </w:rPr>
        <w:t>，</w:t>
      </w:r>
      <w:r>
        <w:rPr>
          <w:rFonts w:hAnsi="新細明體"/>
          <w:color w:val="000000"/>
        </w:rPr>
        <w:t>目的</w:t>
      </w:r>
      <w:r>
        <w:rPr>
          <w:rFonts w:hAnsi="新細明體" w:hint="eastAsia"/>
          <w:color w:val="000000"/>
        </w:rPr>
        <w:t>原</w:t>
      </w:r>
      <w:r>
        <w:rPr>
          <w:rFonts w:hAnsi="新細明體"/>
          <w:color w:val="000000"/>
        </w:rPr>
        <w:t>在排除或避免將來某種</w:t>
      </w:r>
      <w:r>
        <w:rPr>
          <w:rFonts w:hAnsi="新細明體" w:hint="eastAsia"/>
          <w:color w:val="000000"/>
        </w:rPr>
        <w:t>侵</w:t>
      </w:r>
      <w:r>
        <w:rPr>
          <w:rFonts w:hAnsi="新細明體"/>
          <w:color w:val="000000"/>
        </w:rPr>
        <w:t>害行為或</w:t>
      </w:r>
      <w:r>
        <w:rPr>
          <w:rFonts w:hAnsi="新細明體" w:hint="eastAsia"/>
          <w:color w:val="000000"/>
        </w:rPr>
        <w:t>損</w:t>
      </w:r>
      <w:r>
        <w:rPr>
          <w:rFonts w:hAnsi="新細明體"/>
          <w:color w:val="000000"/>
        </w:rPr>
        <w:t>害</w:t>
      </w:r>
      <w:r>
        <w:rPr>
          <w:rFonts w:hAnsi="新細明體" w:hint="eastAsia"/>
          <w:color w:val="000000"/>
        </w:rPr>
        <w:t>的</w:t>
      </w:r>
      <w:r>
        <w:rPr>
          <w:rFonts w:hAnsi="新細明體"/>
          <w:color w:val="000000"/>
        </w:rPr>
        <w:t>發生</w:t>
      </w:r>
      <w:r>
        <w:rPr>
          <w:rFonts w:hAnsi="新細明體" w:hint="eastAsia"/>
          <w:color w:val="000000"/>
        </w:rPr>
        <w:t>；其用於針對</w:t>
      </w:r>
      <w:r>
        <w:rPr>
          <w:rFonts w:hAnsi="新細明體"/>
          <w:color w:val="000000"/>
        </w:rPr>
        <w:t>未來，但</w:t>
      </w:r>
      <w:r>
        <w:rPr>
          <w:rFonts w:hAnsi="新細明體" w:hint="eastAsia"/>
          <w:color w:val="000000"/>
        </w:rPr>
        <w:t>卻非就</w:t>
      </w:r>
      <w:r>
        <w:rPr>
          <w:rFonts w:hAnsi="新細明體"/>
          <w:color w:val="000000"/>
        </w:rPr>
        <w:t>已經發生之損害予以</w:t>
      </w:r>
      <w:r>
        <w:rPr>
          <w:rFonts w:hAnsi="新細明體" w:hint="eastAsia"/>
          <w:color w:val="000000"/>
        </w:rPr>
        <w:t>賠</w:t>
      </w:r>
      <w:r>
        <w:rPr>
          <w:rFonts w:hAnsi="新細明體"/>
          <w:color w:val="000000"/>
        </w:rPr>
        <w:t>償</w:t>
      </w:r>
      <w:r>
        <w:rPr>
          <w:rStyle w:val="a3"/>
          <w:color w:val="000000"/>
        </w:rPr>
        <w:footnoteReference w:id="17"/>
      </w:r>
      <w:r>
        <w:rPr>
          <w:rFonts w:hAnsi="新細明體"/>
          <w:color w:val="000000"/>
        </w:rPr>
        <w:t>。</w:t>
      </w:r>
      <w:r>
        <w:rPr>
          <w:rFonts w:hAnsi="新細明體" w:hint="eastAsia"/>
          <w:color w:val="000000"/>
        </w:rPr>
        <w:t>這樣的制度，在</w:t>
      </w:r>
      <w:r>
        <w:rPr>
          <w:rFonts w:hAnsi="新細明體"/>
          <w:color w:val="000000"/>
        </w:rPr>
        <w:t>聯邦法院中，</w:t>
      </w:r>
      <w:r>
        <w:rPr>
          <w:rFonts w:hAnsi="新細明體" w:hint="eastAsia"/>
          <w:color w:val="000000"/>
        </w:rPr>
        <w:t>則可</w:t>
      </w:r>
      <w:r>
        <w:rPr>
          <w:rFonts w:hAnsi="新細明體"/>
          <w:color w:val="000000"/>
        </w:rPr>
        <w:t>依命令期間、應行程序之不同，</w:t>
      </w:r>
      <w:r>
        <w:rPr>
          <w:rFonts w:hAnsi="新細明體" w:hint="eastAsia"/>
          <w:color w:val="000000"/>
        </w:rPr>
        <w:t>而</w:t>
      </w:r>
      <w:r>
        <w:rPr>
          <w:rFonts w:hAnsi="新細明體"/>
          <w:color w:val="000000"/>
        </w:rPr>
        <w:t>分為</w:t>
      </w:r>
      <w:r>
        <w:rPr>
          <w:rFonts w:hAnsi="新細明體" w:hint="eastAsia"/>
          <w:color w:val="000000"/>
        </w:rPr>
        <w:t>「</w:t>
      </w:r>
      <w:r>
        <w:rPr>
          <w:rFonts w:hAnsi="新細明體"/>
          <w:color w:val="000000"/>
        </w:rPr>
        <w:t>暫時禁制令（</w:t>
      </w:r>
      <w:r>
        <w:rPr>
          <w:color w:val="000000"/>
        </w:rPr>
        <w:t xml:space="preserve">preliminary </w:t>
      </w:r>
      <w:r>
        <w:rPr>
          <w:color w:val="000000"/>
        </w:rPr>
        <w:lastRenderedPageBreak/>
        <w:t>injunction</w:t>
      </w:r>
      <w:r>
        <w:rPr>
          <w:rFonts w:hAnsi="新細明體"/>
          <w:color w:val="000000"/>
        </w:rPr>
        <w:t>）</w:t>
      </w:r>
      <w:r>
        <w:rPr>
          <w:rFonts w:hAnsi="新細明體" w:hint="eastAsia"/>
          <w:color w:val="000000"/>
        </w:rPr>
        <w:t>」、「</w:t>
      </w:r>
      <w:r>
        <w:rPr>
          <w:rFonts w:hAnsi="新細明體"/>
          <w:color w:val="000000"/>
        </w:rPr>
        <w:t>緊急限制令（</w:t>
      </w:r>
      <w:r>
        <w:rPr>
          <w:color w:val="000000"/>
        </w:rPr>
        <w:t>temporary restraining order</w:t>
      </w:r>
      <w:r>
        <w:rPr>
          <w:rFonts w:hAnsi="新細明體"/>
          <w:color w:val="000000"/>
        </w:rPr>
        <w:t>）</w:t>
      </w:r>
      <w:r>
        <w:rPr>
          <w:rFonts w:hAnsi="新細明體" w:hint="eastAsia"/>
          <w:color w:val="000000"/>
        </w:rPr>
        <w:t>」及「</w:t>
      </w:r>
      <w:r>
        <w:rPr>
          <w:rFonts w:hAnsi="新細明體"/>
          <w:color w:val="000000"/>
        </w:rPr>
        <w:t>永久禁制令（</w:t>
      </w:r>
      <w:r>
        <w:rPr>
          <w:color w:val="000000"/>
        </w:rPr>
        <w:t>perma</w:t>
      </w:r>
      <w:r>
        <w:rPr>
          <w:color w:val="000000"/>
        </w:rPr>
        <w:softHyphen/>
        <w:t>nent injunction</w:t>
      </w:r>
      <w:r>
        <w:rPr>
          <w:rFonts w:hAnsi="新細明體"/>
          <w:color w:val="000000"/>
        </w:rPr>
        <w:t>）</w:t>
      </w:r>
      <w:r>
        <w:rPr>
          <w:rFonts w:hAnsi="新細明體" w:hint="eastAsia"/>
          <w:color w:val="000000"/>
        </w:rPr>
        <w:t>」等</w:t>
      </w:r>
      <w:r>
        <w:rPr>
          <w:rFonts w:hAnsi="新細明體"/>
          <w:color w:val="000000"/>
        </w:rPr>
        <w:t>三</w:t>
      </w:r>
      <w:r>
        <w:rPr>
          <w:rFonts w:hAnsi="新細明體" w:hint="eastAsia"/>
          <w:color w:val="000000"/>
        </w:rPr>
        <w:t>大種</w:t>
      </w:r>
      <w:r>
        <w:rPr>
          <w:rFonts w:hAnsi="新細明體"/>
          <w:color w:val="000000"/>
        </w:rPr>
        <w:t>類</w:t>
      </w:r>
      <w:r>
        <w:rPr>
          <w:rFonts w:hAnsi="新細明體" w:hint="eastAsia"/>
          <w:color w:val="000000"/>
        </w:rPr>
        <w:t>；不過其中，由於「</w:t>
      </w:r>
      <w:r>
        <w:rPr>
          <w:rFonts w:hAnsi="新細明體"/>
          <w:color w:val="000000"/>
        </w:rPr>
        <w:t>永久禁制令</w:t>
      </w:r>
      <w:r>
        <w:rPr>
          <w:rFonts w:hAnsi="新細明體" w:hint="eastAsia"/>
          <w:color w:val="000000"/>
        </w:rPr>
        <w:t>」，</w:t>
      </w:r>
      <w:r>
        <w:rPr>
          <w:rFonts w:hAnsi="新細明體"/>
          <w:color w:val="000000"/>
        </w:rPr>
        <w:t>須經完整之本案實體審理程序，確立原告應獲救濟</w:t>
      </w:r>
      <w:r>
        <w:rPr>
          <w:rFonts w:hAnsi="新細明體" w:hint="eastAsia"/>
          <w:color w:val="000000"/>
        </w:rPr>
        <w:t>後</w:t>
      </w:r>
      <w:r>
        <w:rPr>
          <w:rFonts w:hAnsi="新細明體"/>
          <w:color w:val="000000"/>
        </w:rPr>
        <w:t>，始得核發，效力與本案終局裁判相當</w:t>
      </w:r>
      <w:r>
        <w:rPr>
          <w:rStyle w:val="a3"/>
          <w:color w:val="000000"/>
        </w:rPr>
        <w:footnoteReference w:id="18"/>
      </w:r>
      <w:r>
        <w:rPr>
          <w:rFonts w:hAnsi="新細明體" w:hint="eastAsia"/>
          <w:color w:val="000000"/>
        </w:rPr>
        <w:t>，所以並不能視為一種暫時權利保護制度。換言之，相當於歐陸法系的暫時權利保護制度，在此僅有「</w:t>
      </w:r>
      <w:r>
        <w:rPr>
          <w:rFonts w:hAnsi="新細明體"/>
          <w:color w:val="000000"/>
        </w:rPr>
        <w:t>暫時禁制令</w:t>
      </w:r>
      <w:r>
        <w:rPr>
          <w:rFonts w:hAnsi="新細明體" w:hint="eastAsia"/>
          <w:color w:val="000000"/>
        </w:rPr>
        <w:t>」及「</w:t>
      </w:r>
      <w:r>
        <w:rPr>
          <w:rFonts w:hAnsi="新細明體"/>
          <w:color w:val="000000"/>
        </w:rPr>
        <w:t>緊急限制令</w:t>
      </w:r>
      <w:r>
        <w:rPr>
          <w:rFonts w:hAnsi="新細明體" w:hint="eastAsia"/>
          <w:color w:val="000000"/>
        </w:rPr>
        <w:t>」兩種。</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又，</w:t>
      </w:r>
      <w:r>
        <w:rPr>
          <w:rFonts w:hAnsi="新細明體"/>
          <w:color w:val="000000"/>
        </w:rPr>
        <w:t>禁制令</w:t>
      </w:r>
      <w:r>
        <w:rPr>
          <w:rFonts w:hAnsi="新細明體" w:hint="eastAsia"/>
          <w:color w:val="000000"/>
        </w:rPr>
        <w:t>者，原</w:t>
      </w:r>
      <w:r>
        <w:rPr>
          <w:rFonts w:hAnsi="新細明體"/>
          <w:color w:val="000000"/>
        </w:rPr>
        <w:t>起源於英格蘭之衡平法法院（</w:t>
      </w:r>
      <w:r>
        <w:rPr>
          <w:color w:val="000000"/>
        </w:rPr>
        <w:t>Court of Chancery</w:t>
      </w:r>
      <w:r>
        <w:rPr>
          <w:rFonts w:hAnsi="新細明體"/>
          <w:color w:val="000000"/>
        </w:rPr>
        <w:t>），</w:t>
      </w:r>
      <w:r>
        <w:rPr>
          <w:rFonts w:hAnsi="新細明體" w:hint="eastAsia"/>
          <w:color w:val="000000"/>
        </w:rPr>
        <w:t>為</w:t>
      </w:r>
      <w:r>
        <w:rPr>
          <w:rFonts w:hAnsi="新細明體"/>
          <w:color w:val="000000"/>
        </w:rPr>
        <w:t>提供普通法法院（</w:t>
      </w:r>
      <w:r>
        <w:rPr>
          <w:color w:val="000000"/>
        </w:rPr>
        <w:t>common law court</w:t>
      </w:r>
      <w:r>
        <w:rPr>
          <w:rFonts w:hAnsi="新細明體"/>
          <w:color w:val="000000"/>
        </w:rPr>
        <w:t>）所無法提供之救濟</w:t>
      </w:r>
      <w:r>
        <w:rPr>
          <w:rFonts w:hAnsi="新細明體" w:hint="eastAsia"/>
          <w:color w:val="000000"/>
        </w:rPr>
        <w:t>；因此，</w:t>
      </w:r>
      <w:r>
        <w:rPr>
          <w:rFonts w:hAnsi="新細明體"/>
          <w:color w:val="000000"/>
        </w:rPr>
        <w:t>禁制令之衡平救濟</w:t>
      </w:r>
      <w:r>
        <w:rPr>
          <w:rFonts w:hAnsi="新細明體" w:hint="eastAsia"/>
          <w:color w:val="000000"/>
        </w:rPr>
        <w:t>，遂</w:t>
      </w:r>
      <w:r>
        <w:rPr>
          <w:rFonts w:hAnsi="新細明體"/>
          <w:color w:val="000000"/>
        </w:rPr>
        <w:t>僅於普通法救濟無法適當滿足原告之權利主張時，始得例外為之，</w:t>
      </w:r>
      <w:r>
        <w:rPr>
          <w:rFonts w:hAnsi="新細明體" w:hint="eastAsia"/>
          <w:color w:val="000000"/>
        </w:rPr>
        <w:t>而被</w:t>
      </w:r>
      <w:r>
        <w:rPr>
          <w:rFonts w:hAnsi="新細明體"/>
          <w:color w:val="000000"/>
        </w:rPr>
        <w:t>稱為「充分理論（</w:t>
      </w:r>
      <w:r>
        <w:rPr>
          <w:color w:val="000000"/>
        </w:rPr>
        <w:t>adequacy doctrine</w:t>
      </w:r>
      <w:r>
        <w:rPr>
          <w:rFonts w:hAnsi="新細明體"/>
          <w:color w:val="000000"/>
        </w:rPr>
        <w:t>）」</w:t>
      </w:r>
      <w:r>
        <w:rPr>
          <w:rStyle w:val="a3"/>
          <w:color w:val="000000"/>
        </w:rPr>
        <w:footnoteReference w:id="19"/>
      </w:r>
      <w:r>
        <w:rPr>
          <w:rFonts w:hAnsi="新細明體"/>
          <w:color w:val="000000"/>
        </w:rPr>
        <w:t>。</w:t>
      </w:r>
      <w:r>
        <w:rPr>
          <w:rFonts w:hAnsi="新細明體" w:hint="eastAsia"/>
          <w:color w:val="000000"/>
        </w:rPr>
        <w:t>嗣後，這個</w:t>
      </w:r>
      <w:r>
        <w:rPr>
          <w:rFonts w:hAnsi="新細明體"/>
          <w:color w:val="000000"/>
        </w:rPr>
        <w:t>理論</w:t>
      </w:r>
      <w:r>
        <w:rPr>
          <w:rFonts w:hAnsi="新細明體" w:hint="eastAsia"/>
          <w:color w:val="000000"/>
        </w:rPr>
        <w:t>，</w:t>
      </w:r>
      <w:r>
        <w:rPr>
          <w:rFonts w:hAnsi="新細明體"/>
          <w:color w:val="000000"/>
        </w:rPr>
        <w:t>隨著英格蘭殖民者來到美洲新大陸，</w:t>
      </w:r>
      <w:r>
        <w:rPr>
          <w:rFonts w:hAnsi="新細明體" w:hint="eastAsia"/>
          <w:color w:val="000000"/>
        </w:rPr>
        <w:t>並</w:t>
      </w:r>
      <w:r>
        <w:rPr>
          <w:rFonts w:hAnsi="新細明體"/>
          <w:color w:val="000000"/>
        </w:rPr>
        <w:t>於美國獨立後，因</w:t>
      </w:r>
      <w:r>
        <w:rPr>
          <w:color w:val="000000"/>
        </w:rPr>
        <w:t>1789</w:t>
      </w:r>
      <w:r>
        <w:rPr>
          <w:rFonts w:hAnsi="新細明體"/>
          <w:color w:val="000000"/>
        </w:rPr>
        <w:t>年法院法（</w:t>
      </w:r>
      <w:r>
        <w:rPr>
          <w:color w:val="000000"/>
        </w:rPr>
        <w:t>Judiciary Act of 1789</w:t>
      </w:r>
      <w:r>
        <w:rPr>
          <w:rFonts w:hAnsi="新細明體"/>
          <w:color w:val="000000"/>
        </w:rPr>
        <w:t>）之制定，而成為美國聯邦法</w:t>
      </w:r>
      <w:r>
        <w:rPr>
          <w:rFonts w:hAnsi="新細明體" w:hint="eastAsia"/>
          <w:color w:val="000000"/>
        </w:rPr>
        <w:t>的</w:t>
      </w:r>
      <w:r>
        <w:rPr>
          <w:rFonts w:hAnsi="新細明體"/>
          <w:color w:val="000000"/>
        </w:rPr>
        <w:t>一部分。</w:t>
      </w:r>
      <w:r>
        <w:rPr>
          <w:color w:val="000000"/>
        </w:rPr>
        <w:t>1937</w:t>
      </w:r>
      <w:r>
        <w:rPr>
          <w:rFonts w:hAnsi="新細明體"/>
          <w:color w:val="000000"/>
        </w:rPr>
        <w:t>年</w:t>
      </w:r>
      <w:r>
        <w:rPr>
          <w:rFonts w:hAnsi="新細明體" w:hint="eastAsia"/>
          <w:color w:val="000000"/>
        </w:rPr>
        <w:t>，美國聯邦</w:t>
      </w:r>
      <w:r>
        <w:rPr>
          <w:rFonts w:hAnsi="新細明體"/>
          <w:color w:val="000000"/>
        </w:rPr>
        <w:t>制定「聯邦民事訴訟規則（</w:t>
      </w:r>
      <w:r>
        <w:rPr>
          <w:color w:val="000000"/>
        </w:rPr>
        <w:t>Federal Rule of Civil Procedure</w:t>
      </w:r>
      <w:r>
        <w:rPr>
          <w:rFonts w:hAnsi="新細明體"/>
          <w:color w:val="000000"/>
        </w:rPr>
        <w:t>）」後，普通法法院與衡平法法院合併</w:t>
      </w:r>
      <w:r>
        <w:rPr>
          <w:rFonts w:hAnsi="新細明體" w:hint="eastAsia"/>
          <w:color w:val="000000"/>
        </w:rPr>
        <w:t>；</w:t>
      </w:r>
      <w:r>
        <w:rPr>
          <w:rFonts w:hAnsi="新細明體"/>
          <w:color w:val="000000"/>
        </w:rPr>
        <w:t>該規則</w:t>
      </w:r>
      <w:r>
        <w:rPr>
          <w:rFonts w:hAnsi="新細明體" w:hint="eastAsia"/>
          <w:color w:val="000000"/>
        </w:rPr>
        <w:t>的</w:t>
      </w:r>
      <w:r>
        <w:rPr>
          <w:rFonts w:hAnsi="新細明體"/>
          <w:color w:val="000000"/>
        </w:rPr>
        <w:t>第</w:t>
      </w:r>
      <w:r>
        <w:rPr>
          <w:color w:val="000000"/>
        </w:rPr>
        <w:t>65</w:t>
      </w:r>
      <w:r>
        <w:rPr>
          <w:rFonts w:hAnsi="新細明體"/>
          <w:color w:val="000000"/>
        </w:rPr>
        <w:t>條</w:t>
      </w:r>
      <w:r>
        <w:rPr>
          <w:rFonts w:hAnsi="新細明體" w:hint="eastAsia"/>
          <w:color w:val="000000"/>
        </w:rPr>
        <w:t>並且也</w:t>
      </w:r>
      <w:r>
        <w:rPr>
          <w:rFonts w:hAnsi="新細明體"/>
          <w:color w:val="000000"/>
        </w:rPr>
        <w:t>就</w:t>
      </w:r>
      <w:r>
        <w:rPr>
          <w:rFonts w:hAnsi="新細明體" w:hint="eastAsia"/>
          <w:color w:val="000000"/>
        </w:rPr>
        <w:t>「</w:t>
      </w:r>
      <w:r>
        <w:rPr>
          <w:rFonts w:hAnsi="新細明體"/>
          <w:color w:val="000000"/>
        </w:rPr>
        <w:t>暫時禁制令</w:t>
      </w:r>
      <w:r>
        <w:rPr>
          <w:rFonts w:hAnsi="新細明體" w:hint="eastAsia"/>
          <w:color w:val="000000"/>
        </w:rPr>
        <w:t>」及「</w:t>
      </w:r>
      <w:r>
        <w:rPr>
          <w:rFonts w:hAnsi="新細明體"/>
          <w:color w:val="000000"/>
        </w:rPr>
        <w:t>緊急限制令</w:t>
      </w:r>
      <w:r>
        <w:rPr>
          <w:rFonts w:hAnsi="新細明體" w:hint="eastAsia"/>
          <w:color w:val="000000"/>
        </w:rPr>
        <w:t>」</w:t>
      </w:r>
      <w:r>
        <w:rPr>
          <w:rFonts w:hAnsi="新細明體"/>
          <w:color w:val="000000"/>
        </w:rPr>
        <w:t>之程序要件予以規定</w:t>
      </w:r>
      <w:r>
        <w:rPr>
          <w:rStyle w:val="a3"/>
          <w:rFonts w:hAnsi="新細明體"/>
          <w:color w:val="000000"/>
        </w:rPr>
        <w:footnoteReference w:id="20"/>
      </w:r>
      <w:r>
        <w:rPr>
          <w:rFonts w:hAnsi="新細明體" w:hint="eastAsia"/>
          <w:color w:val="000000"/>
        </w:rPr>
        <w:t>。從此，這兩個美國法上的暫時權利保護制度，遂通行至今。此外，又由於美國訴訟制度，並無司法二元的問題，因此相同的兩個制度，也同時適用在行政爭訟類型。</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基本上，</w:t>
      </w:r>
      <w:r>
        <w:rPr>
          <w:rFonts w:hAnsi="新細明體"/>
          <w:color w:val="000000"/>
        </w:rPr>
        <w:t>暫時禁制令與緊急限制令</w:t>
      </w:r>
      <w:r>
        <w:rPr>
          <w:rFonts w:hAnsi="新細明體" w:hint="eastAsia"/>
          <w:color w:val="000000"/>
        </w:rPr>
        <w:t>，均係法院在</w:t>
      </w:r>
      <w:r>
        <w:rPr>
          <w:rFonts w:hAnsi="新細明體"/>
          <w:color w:val="000000"/>
        </w:rPr>
        <w:t>本案訴訟未決時所發布</w:t>
      </w:r>
      <w:r>
        <w:rPr>
          <w:rFonts w:hAnsi="新細明體" w:hint="eastAsia"/>
          <w:color w:val="000000"/>
        </w:rPr>
        <w:t>的</w:t>
      </w:r>
      <w:r>
        <w:rPr>
          <w:rFonts w:hAnsi="新細明體"/>
          <w:color w:val="000000"/>
        </w:rPr>
        <w:t>禁制令</w:t>
      </w:r>
      <w:r>
        <w:rPr>
          <w:rFonts w:hAnsi="新細明體" w:hint="eastAsia"/>
          <w:color w:val="000000"/>
        </w:rPr>
        <w:t>；無論何者，其</w:t>
      </w:r>
      <w:r>
        <w:rPr>
          <w:rFonts w:hAnsi="新細明體"/>
          <w:color w:val="000000"/>
        </w:rPr>
        <w:t>目的</w:t>
      </w:r>
      <w:r>
        <w:rPr>
          <w:rFonts w:hAnsi="新細明體" w:hint="eastAsia"/>
          <w:color w:val="000000"/>
        </w:rPr>
        <w:t>則又均在於</w:t>
      </w:r>
      <w:r>
        <w:rPr>
          <w:rFonts w:hAnsi="新細明體"/>
          <w:color w:val="000000"/>
        </w:rPr>
        <w:t>維持雙方當事人</w:t>
      </w:r>
      <w:r>
        <w:rPr>
          <w:rFonts w:hAnsi="新細明體" w:hint="eastAsia"/>
          <w:color w:val="000000"/>
        </w:rPr>
        <w:t>在本案判決作成前的</w:t>
      </w:r>
      <w:r>
        <w:rPr>
          <w:rFonts w:hAnsi="新細明體"/>
          <w:color w:val="000000"/>
        </w:rPr>
        <w:t>相對狀態。</w:t>
      </w:r>
      <w:r>
        <w:rPr>
          <w:rFonts w:hAnsi="新細明體" w:hint="eastAsia"/>
          <w:color w:val="000000"/>
        </w:rPr>
        <w:t>不過，</w:t>
      </w:r>
      <w:r>
        <w:rPr>
          <w:rFonts w:hAnsi="新細明體"/>
          <w:color w:val="000000"/>
        </w:rPr>
        <w:t>暫時禁制令</w:t>
      </w:r>
      <w:r>
        <w:rPr>
          <w:rFonts w:hAnsi="新細明體" w:hint="eastAsia"/>
          <w:color w:val="000000"/>
        </w:rPr>
        <w:t>之作成，</w:t>
      </w:r>
      <w:r>
        <w:rPr>
          <w:rFonts w:hAnsi="新細明體"/>
          <w:color w:val="000000"/>
        </w:rPr>
        <w:t>須通知</w:t>
      </w:r>
      <w:r>
        <w:rPr>
          <w:rFonts w:hAnsi="新細明體" w:hint="eastAsia"/>
          <w:color w:val="000000"/>
        </w:rPr>
        <w:t>訴訟</w:t>
      </w:r>
      <w:r>
        <w:rPr>
          <w:rFonts w:hAnsi="新細明體"/>
          <w:color w:val="000000"/>
        </w:rPr>
        <w:t>兩造，經完整之聽</w:t>
      </w:r>
      <w:r>
        <w:rPr>
          <w:rFonts w:hAnsi="新細明體" w:hint="eastAsia"/>
          <w:color w:val="000000"/>
        </w:rPr>
        <w:t>審</w:t>
      </w:r>
      <w:r>
        <w:rPr>
          <w:rFonts w:hAnsi="新細明體"/>
          <w:color w:val="000000"/>
        </w:rPr>
        <w:t>程序</w:t>
      </w:r>
      <w:r>
        <w:rPr>
          <w:rFonts w:hAnsi="新細明體" w:hint="eastAsia"/>
          <w:color w:val="000000"/>
        </w:rPr>
        <w:t>後</w:t>
      </w:r>
      <w:r>
        <w:rPr>
          <w:rFonts w:hAnsi="新細明體"/>
          <w:color w:val="000000"/>
        </w:rPr>
        <w:t>，</w:t>
      </w:r>
      <w:r>
        <w:rPr>
          <w:rFonts w:hAnsi="新細明體" w:hint="eastAsia"/>
          <w:color w:val="000000"/>
        </w:rPr>
        <w:t>始得為之；</w:t>
      </w:r>
      <w:r>
        <w:rPr>
          <w:rFonts w:hAnsi="新細明體"/>
          <w:color w:val="000000"/>
        </w:rPr>
        <w:t>聲請人若</w:t>
      </w:r>
      <w:r>
        <w:rPr>
          <w:rFonts w:hAnsi="新細明體" w:hint="eastAsia"/>
          <w:color w:val="000000"/>
        </w:rPr>
        <w:t>有</w:t>
      </w:r>
      <w:r>
        <w:rPr>
          <w:rFonts w:hAnsi="新細明體"/>
          <w:color w:val="000000"/>
        </w:rPr>
        <w:t>不服，得立即上訴聲請救濟。</w:t>
      </w:r>
      <w:r>
        <w:rPr>
          <w:rFonts w:hAnsi="新細明體" w:hint="eastAsia"/>
          <w:color w:val="000000"/>
        </w:rPr>
        <w:t>反之，</w:t>
      </w:r>
      <w:r>
        <w:rPr>
          <w:rFonts w:hAnsi="新細明體"/>
          <w:color w:val="000000"/>
        </w:rPr>
        <w:t>緊急限制令</w:t>
      </w:r>
      <w:r>
        <w:rPr>
          <w:rFonts w:hAnsi="新細明體" w:hint="eastAsia"/>
          <w:color w:val="000000"/>
        </w:rPr>
        <w:t>，是</w:t>
      </w:r>
      <w:r>
        <w:rPr>
          <w:rFonts w:hAnsi="新細明體"/>
          <w:color w:val="000000"/>
        </w:rPr>
        <w:t>法院</w:t>
      </w:r>
      <w:r>
        <w:rPr>
          <w:rFonts w:hAnsi="新細明體" w:hint="eastAsia"/>
          <w:color w:val="000000"/>
        </w:rPr>
        <w:t>在</w:t>
      </w:r>
      <w:r>
        <w:rPr>
          <w:rFonts w:hAnsi="新細明體"/>
          <w:color w:val="000000"/>
        </w:rPr>
        <w:t>暫時禁制令待決</w:t>
      </w:r>
      <w:r>
        <w:rPr>
          <w:rFonts w:hAnsi="新細明體" w:hint="eastAsia"/>
          <w:color w:val="000000"/>
        </w:rPr>
        <w:t>前，</w:t>
      </w:r>
      <w:r>
        <w:rPr>
          <w:rFonts w:hAnsi="新細明體"/>
          <w:color w:val="000000"/>
        </w:rPr>
        <w:t>經當事人單方聲請而片面</w:t>
      </w:r>
      <w:r>
        <w:rPr>
          <w:rFonts w:hAnsi="新細明體" w:hint="eastAsia"/>
          <w:color w:val="000000"/>
        </w:rPr>
        <w:t>所</w:t>
      </w:r>
      <w:r>
        <w:rPr>
          <w:rFonts w:hAnsi="新細明體"/>
          <w:color w:val="000000"/>
        </w:rPr>
        <w:t>作成</w:t>
      </w:r>
      <w:r>
        <w:rPr>
          <w:rFonts w:hAnsi="新細明體" w:hint="eastAsia"/>
          <w:color w:val="000000"/>
        </w:rPr>
        <w:t>的；除非有例外狀況，否則該</w:t>
      </w:r>
      <w:r>
        <w:rPr>
          <w:rFonts w:hAnsi="新細明體"/>
          <w:color w:val="000000"/>
        </w:rPr>
        <w:t>限制令</w:t>
      </w:r>
      <w:r>
        <w:rPr>
          <w:rFonts w:hAnsi="新細明體" w:hint="eastAsia"/>
          <w:color w:val="000000"/>
        </w:rPr>
        <w:t>一般</w:t>
      </w:r>
      <w:r>
        <w:rPr>
          <w:rFonts w:hAnsi="新細明體"/>
          <w:color w:val="000000"/>
        </w:rPr>
        <w:t>將於</w:t>
      </w:r>
      <w:r>
        <w:rPr>
          <w:color w:val="000000"/>
        </w:rPr>
        <w:t>14</w:t>
      </w:r>
      <w:r>
        <w:rPr>
          <w:rFonts w:hAnsi="新細明體"/>
          <w:color w:val="000000"/>
        </w:rPr>
        <w:t>天內失其效力</w:t>
      </w:r>
      <w:r>
        <w:rPr>
          <w:rStyle w:val="a3"/>
          <w:color w:val="000000"/>
        </w:rPr>
        <w:footnoteReference w:id="21"/>
      </w:r>
      <w:r>
        <w:rPr>
          <w:rFonts w:hAnsi="新細明體"/>
          <w:color w:val="000000"/>
        </w:rPr>
        <w:t>。依</w:t>
      </w:r>
      <w:r>
        <w:rPr>
          <w:rFonts w:hAnsi="新細明體" w:hint="eastAsia"/>
          <w:color w:val="000000"/>
        </w:rPr>
        <w:t>前開</w:t>
      </w:r>
      <w:r>
        <w:rPr>
          <w:rFonts w:hAnsi="新細明體"/>
          <w:color w:val="000000"/>
        </w:rPr>
        <w:t>聯邦民事訴訟規則第</w:t>
      </w:r>
      <w:r>
        <w:rPr>
          <w:color w:val="000000"/>
        </w:rPr>
        <w:t>65</w:t>
      </w:r>
      <w:r>
        <w:rPr>
          <w:rFonts w:hAnsi="新細明體"/>
          <w:color w:val="000000"/>
        </w:rPr>
        <w:t>條第</w:t>
      </w:r>
      <w:r>
        <w:rPr>
          <w:color w:val="000000"/>
        </w:rPr>
        <w:t>(b)</w:t>
      </w:r>
      <w:r>
        <w:rPr>
          <w:rFonts w:hAnsi="新細明體"/>
          <w:color w:val="000000"/>
        </w:rPr>
        <w:t>項</w:t>
      </w:r>
      <w:r>
        <w:rPr>
          <w:rFonts w:hAnsi="新細明體" w:hint="eastAsia"/>
          <w:color w:val="000000"/>
        </w:rPr>
        <w:t>規定</w:t>
      </w:r>
      <w:r>
        <w:rPr>
          <w:rFonts w:hAnsi="新細明體"/>
          <w:color w:val="000000"/>
        </w:rPr>
        <w:t>，緊急限制令</w:t>
      </w:r>
      <w:r>
        <w:rPr>
          <w:rFonts w:hAnsi="新細明體" w:hint="eastAsia"/>
          <w:color w:val="000000"/>
        </w:rPr>
        <w:t>，</w:t>
      </w:r>
      <w:r>
        <w:rPr>
          <w:rFonts w:hAnsi="新細明體"/>
          <w:color w:val="000000"/>
        </w:rPr>
        <w:t>僅得於他造陳述意見或聽證前，聲請人</w:t>
      </w:r>
      <w:r>
        <w:rPr>
          <w:rFonts w:hint="eastAsia"/>
          <w:color w:val="000000"/>
        </w:rPr>
        <w:t>即將蒙受「</w:t>
      </w:r>
      <w:r>
        <w:rPr>
          <w:rFonts w:ascii="標楷體" w:eastAsia="標楷體" w:hAnsi="標楷體" w:hint="eastAsia"/>
          <w:color w:val="000000"/>
        </w:rPr>
        <w:t>立即且不能回復之侵害、損失或損害</w:t>
      </w:r>
      <w:r>
        <w:rPr>
          <w:rFonts w:ascii="標楷體" w:eastAsia="標楷體" w:hAnsi="標楷體"/>
          <w:color w:val="000000"/>
        </w:rPr>
        <w:t>（</w:t>
      </w:r>
      <w:r>
        <w:rPr>
          <w:color w:val="000000"/>
        </w:rPr>
        <w:t>immediate and irreparable injury, loss, or damage</w:t>
      </w:r>
      <w:r>
        <w:rPr>
          <w:rFonts w:ascii="標楷體" w:eastAsia="標楷體" w:hAnsi="標楷體"/>
          <w:color w:val="000000"/>
        </w:rPr>
        <w:t>）</w:t>
      </w:r>
      <w:r>
        <w:rPr>
          <w:rFonts w:hAnsi="新細明體"/>
          <w:color w:val="000000"/>
        </w:rPr>
        <w:t>」</w:t>
      </w:r>
      <w:r>
        <w:rPr>
          <w:rFonts w:hAnsi="新細明體" w:hint="eastAsia"/>
          <w:color w:val="000000"/>
        </w:rPr>
        <w:t>時</w:t>
      </w:r>
      <w:r>
        <w:rPr>
          <w:rFonts w:hAnsi="新細明體"/>
          <w:color w:val="000000"/>
        </w:rPr>
        <w:t>，法院始准予發給</w:t>
      </w:r>
      <w:r>
        <w:rPr>
          <w:rFonts w:hAnsi="新細明體" w:hint="eastAsia"/>
          <w:color w:val="000000"/>
        </w:rPr>
        <w:t>。此外，又因為</w:t>
      </w:r>
      <w:r>
        <w:rPr>
          <w:rFonts w:hAnsi="新細明體"/>
          <w:color w:val="000000"/>
        </w:rPr>
        <w:t>美國法</w:t>
      </w:r>
      <w:r>
        <w:rPr>
          <w:rFonts w:hAnsi="新細明體" w:hint="eastAsia"/>
          <w:color w:val="000000"/>
        </w:rPr>
        <w:t>上</w:t>
      </w:r>
      <w:r>
        <w:rPr>
          <w:rFonts w:hAnsi="新細明體"/>
          <w:color w:val="000000"/>
        </w:rPr>
        <w:t>並無緊急限制令之上訴救濟</w:t>
      </w:r>
      <w:r>
        <w:rPr>
          <w:rFonts w:hAnsi="新細明體" w:hint="eastAsia"/>
          <w:color w:val="000000"/>
        </w:rPr>
        <w:t>的</w:t>
      </w:r>
      <w:r>
        <w:rPr>
          <w:rFonts w:hAnsi="新細明體"/>
          <w:color w:val="000000"/>
        </w:rPr>
        <w:t>規範，</w:t>
      </w:r>
      <w:r>
        <w:rPr>
          <w:rFonts w:hAnsi="新細明體" w:hint="eastAsia"/>
          <w:color w:val="000000"/>
        </w:rPr>
        <w:t>因</w:t>
      </w:r>
      <w:r>
        <w:rPr>
          <w:rFonts w:hAnsi="新細明體" w:hint="eastAsia"/>
          <w:color w:val="000000"/>
        </w:rPr>
        <w:lastRenderedPageBreak/>
        <w:t>此</w:t>
      </w:r>
      <w:r>
        <w:rPr>
          <w:rFonts w:hAnsi="新細明體"/>
          <w:color w:val="000000"/>
        </w:rPr>
        <w:t>當事人若不服法院之</w:t>
      </w:r>
      <w:r>
        <w:rPr>
          <w:rFonts w:hAnsi="新細明體" w:hint="eastAsia"/>
          <w:color w:val="000000"/>
        </w:rPr>
        <w:t>裁</w:t>
      </w:r>
      <w:r>
        <w:rPr>
          <w:rFonts w:hAnsi="新細明體"/>
          <w:color w:val="000000"/>
        </w:rPr>
        <w:t>定，</w:t>
      </w:r>
      <w:r>
        <w:rPr>
          <w:rFonts w:hAnsi="新細明體" w:hint="eastAsia"/>
          <w:color w:val="000000"/>
        </w:rPr>
        <w:t>也</w:t>
      </w:r>
      <w:r>
        <w:rPr>
          <w:rFonts w:hAnsi="新細明體"/>
          <w:color w:val="000000"/>
        </w:rPr>
        <w:t>無從救濟</w:t>
      </w:r>
      <w:r>
        <w:rPr>
          <w:rStyle w:val="a3"/>
          <w:color w:val="000000"/>
        </w:rPr>
        <w:footnoteReference w:id="22"/>
      </w:r>
      <w:r>
        <w:rPr>
          <w:rFonts w:hAnsi="新細明體"/>
          <w:color w:val="000000"/>
        </w:rPr>
        <w:t>。</w:t>
      </w:r>
      <w:r>
        <w:rPr>
          <w:rFonts w:hAnsi="新細明體" w:hint="eastAsia"/>
          <w:color w:val="000000"/>
        </w:rPr>
        <w:t>總之，</w:t>
      </w:r>
      <w:r>
        <w:rPr>
          <w:rFonts w:hAnsi="新細明體"/>
          <w:color w:val="000000"/>
        </w:rPr>
        <w:t>從緊急限制令之功能</w:t>
      </w:r>
      <w:r>
        <w:rPr>
          <w:rFonts w:hAnsi="新細明體" w:hint="eastAsia"/>
          <w:color w:val="000000"/>
        </w:rPr>
        <w:t>與</w:t>
      </w:r>
      <w:r>
        <w:rPr>
          <w:rFonts w:hAnsi="新細明體"/>
          <w:color w:val="000000"/>
        </w:rPr>
        <w:t>效力</w:t>
      </w:r>
      <w:r>
        <w:rPr>
          <w:rFonts w:hAnsi="新細明體" w:hint="eastAsia"/>
          <w:color w:val="000000"/>
        </w:rPr>
        <w:t>等</w:t>
      </w:r>
      <w:r>
        <w:rPr>
          <w:rFonts w:hAnsi="新細明體"/>
          <w:color w:val="000000"/>
        </w:rPr>
        <w:t>來看，</w:t>
      </w:r>
      <w:r>
        <w:rPr>
          <w:rFonts w:hAnsi="新細明體" w:hint="eastAsia"/>
          <w:color w:val="000000"/>
        </w:rPr>
        <w:t>該制度</w:t>
      </w:r>
      <w:r>
        <w:rPr>
          <w:rFonts w:hAnsi="新細明體"/>
          <w:color w:val="000000"/>
        </w:rPr>
        <w:t>與我國民事訴訟法第</w:t>
      </w:r>
      <w:r>
        <w:rPr>
          <w:color w:val="000000"/>
        </w:rPr>
        <w:t>538</w:t>
      </w:r>
      <w:r>
        <w:rPr>
          <w:rFonts w:hAnsi="新細明體"/>
          <w:color w:val="000000"/>
        </w:rPr>
        <w:t>條之</w:t>
      </w:r>
      <w:r>
        <w:rPr>
          <w:color w:val="000000"/>
        </w:rPr>
        <w:t>1</w:t>
      </w:r>
      <w:r>
        <w:rPr>
          <w:rFonts w:hint="eastAsia"/>
          <w:color w:val="000000"/>
        </w:rPr>
        <w:t>的</w:t>
      </w:r>
      <w:r>
        <w:rPr>
          <w:rFonts w:hAnsi="新細明體" w:hint="eastAsia"/>
          <w:color w:val="000000"/>
        </w:rPr>
        <w:t>「</w:t>
      </w:r>
      <w:r>
        <w:rPr>
          <w:rFonts w:hAnsi="新細明體"/>
          <w:color w:val="000000"/>
        </w:rPr>
        <w:t>緊急處置</w:t>
      </w:r>
      <w:r>
        <w:rPr>
          <w:rFonts w:hAnsi="新細明體" w:hint="eastAsia"/>
          <w:color w:val="000000"/>
        </w:rPr>
        <w:t>」，顯然</w:t>
      </w:r>
      <w:r>
        <w:rPr>
          <w:rFonts w:hAnsi="新細明體"/>
          <w:color w:val="000000"/>
        </w:rPr>
        <w:t>甚為相近</w:t>
      </w:r>
      <w:r>
        <w:rPr>
          <w:rStyle w:val="a3"/>
          <w:color w:val="000000"/>
        </w:rPr>
        <w:footnoteReference w:id="23"/>
      </w:r>
      <w:r>
        <w:rPr>
          <w:rFonts w:hAnsi="新細明體"/>
          <w:color w:val="000000"/>
        </w:rPr>
        <w:t>。</w:t>
      </w:r>
      <w:r>
        <w:rPr>
          <w:rFonts w:hAnsi="新細明體" w:hint="eastAsia"/>
          <w:color w:val="000000"/>
        </w:rPr>
        <w:t>關於這一點，本研究報告後文，還將述及</w:t>
      </w:r>
      <w:r>
        <w:rPr>
          <w:rStyle w:val="a3"/>
          <w:rFonts w:hAnsi="新細明體"/>
          <w:color w:val="000000"/>
        </w:rPr>
        <w:footnoteReference w:id="24"/>
      </w:r>
      <w:r>
        <w:rPr>
          <w:rFonts w:hAnsi="新細明體" w:hint="eastAsia"/>
          <w:color w:val="000000"/>
        </w:rPr>
        <w:t>。</w:t>
      </w:r>
    </w:p>
    <w:p w:rsidR="00453ABE" w:rsidRDefault="00453ABE" w:rsidP="00453ABE">
      <w:pPr>
        <w:widowControl/>
        <w:spacing w:line="288" w:lineRule="auto"/>
        <w:ind w:firstLineChars="200" w:firstLine="480"/>
        <w:jc w:val="both"/>
        <w:rPr>
          <w:color w:val="000000"/>
        </w:rPr>
      </w:pPr>
      <w:r>
        <w:rPr>
          <w:rFonts w:hAnsi="新細明體" w:hint="eastAsia"/>
          <w:color w:val="000000"/>
        </w:rPr>
        <w:t>最後值得一提者，美國</w:t>
      </w:r>
      <w:r>
        <w:rPr>
          <w:rFonts w:hAnsi="新細明體"/>
          <w:color w:val="000000"/>
        </w:rPr>
        <w:t>民事訴訟規則第</w:t>
      </w:r>
      <w:r>
        <w:rPr>
          <w:color w:val="000000"/>
        </w:rPr>
        <w:t>65</w:t>
      </w:r>
      <w:r>
        <w:rPr>
          <w:rFonts w:hAnsi="新細明體"/>
          <w:color w:val="000000"/>
        </w:rPr>
        <w:t>條</w:t>
      </w:r>
      <w:r>
        <w:rPr>
          <w:rFonts w:hAnsi="新細明體" w:hint="eastAsia"/>
          <w:color w:val="000000"/>
        </w:rPr>
        <w:t>，對於法院據以准否暫時禁制令的審查標準，並未規定；這個問題點，遂成為法學上極大的爭議。因此，相關的理論及爭議等，分別為何，本研究報告也將在後文第三章</w:t>
      </w:r>
      <w:r>
        <w:rPr>
          <w:rStyle w:val="a3"/>
          <w:rFonts w:hAnsi="新細明體"/>
          <w:color w:val="000000"/>
        </w:rPr>
        <w:footnoteReference w:id="25"/>
      </w:r>
      <w:r>
        <w:rPr>
          <w:rFonts w:hAnsi="新細明體" w:hint="eastAsia"/>
          <w:color w:val="000000"/>
        </w:rPr>
        <w:t>中，作為比較法之參考，一併分析。</w:t>
      </w:r>
    </w:p>
    <w:p w:rsidR="00453ABE" w:rsidRDefault="00453ABE" w:rsidP="00453ABE">
      <w:pPr>
        <w:widowControl/>
        <w:spacing w:line="288" w:lineRule="auto"/>
        <w:ind w:firstLineChars="200" w:firstLine="480"/>
        <w:jc w:val="both"/>
        <w:rPr>
          <w:rFonts w:hint="eastAsia"/>
          <w:color w:val="000000"/>
        </w:rPr>
      </w:pPr>
    </w:p>
    <w:p w:rsidR="00453ABE" w:rsidRDefault="00453ABE" w:rsidP="00453ABE">
      <w:pPr>
        <w:widowControl/>
        <w:spacing w:line="288" w:lineRule="auto"/>
        <w:ind w:firstLineChars="200" w:firstLine="480"/>
        <w:jc w:val="both"/>
        <w:rPr>
          <w:rFonts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第三節　</w:t>
      </w:r>
      <w:r>
        <w:rPr>
          <w:rFonts w:hint="eastAsia"/>
          <w:b/>
          <w:color w:val="000000"/>
          <w:sz w:val="36"/>
          <w:szCs w:val="36"/>
        </w:rPr>
        <w:t>制度之規範功能與目的</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有關我國公務人員保障救濟程序中停止執行之實定法依據，乃至比較法觀察既已澄清，本研究報告在此還將進一步追究的是，這個停止執行的制度，其規範的功能與目的究竟何在的問題。關於這一個問題點，國內尚無深究，日本法制也未能提供太多的依據；因此，比較值得借鏡觀察者，仍是我國相關法制所起源的德國學說與判例。在此，德國學者</w:t>
      </w:r>
      <w:r>
        <w:rPr>
          <w:rFonts w:hAnsi="新細明體" w:hint="eastAsia"/>
          <w:i/>
          <w:color w:val="000000"/>
        </w:rPr>
        <w:t>Friedrich Schoch</w:t>
      </w:r>
      <w:r>
        <w:rPr>
          <w:rFonts w:hAnsi="新細明體" w:hint="eastAsia"/>
          <w:color w:val="000000"/>
        </w:rPr>
        <w:t>的見解，尤其應予注意。</w:t>
      </w:r>
    </w:p>
    <w:p w:rsidR="00453ABE" w:rsidRDefault="00453ABE" w:rsidP="00453ABE">
      <w:pPr>
        <w:pStyle w:val="Web"/>
        <w:spacing w:before="0" w:beforeAutospacing="0" w:afterLines="50" w:after="180" w:afterAutospacing="0" w:line="288" w:lineRule="auto"/>
        <w:ind w:firstLineChars="200" w:firstLine="480"/>
        <w:jc w:val="both"/>
        <w:rPr>
          <w:rFonts w:ascii="Times New Roman" w:hAnsi="Times New Roman" w:hint="eastAsia"/>
          <w:color w:val="000000"/>
        </w:rPr>
      </w:pPr>
      <w:r>
        <w:rPr>
          <w:rFonts w:ascii="Times New Roman" w:hAnsi="Times New Roman" w:hint="eastAsia"/>
          <w:color w:val="000000"/>
        </w:rPr>
        <w:t>在德國現代公法學界中，</w:t>
      </w:r>
      <w:r>
        <w:rPr>
          <w:rFonts w:ascii="Times New Roman" w:hAnsi="Times New Roman" w:hint="eastAsia"/>
          <w:i/>
          <w:color w:val="000000"/>
        </w:rPr>
        <w:t>Schoch</w:t>
      </w:r>
      <w:r>
        <w:rPr>
          <w:rFonts w:ascii="Times New Roman" w:hAnsi="Times New Roman" w:hint="eastAsia"/>
          <w:color w:val="000000"/>
        </w:rPr>
        <w:t>可稱得上是研究各種公法訴訟上暫時權利保護制度的第一人</w:t>
      </w:r>
      <w:r>
        <w:rPr>
          <w:rStyle w:val="a3"/>
          <w:color w:val="000000"/>
        </w:rPr>
        <w:footnoteReference w:id="26"/>
      </w:r>
      <w:r>
        <w:rPr>
          <w:rFonts w:ascii="Times New Roman" w:hAnsi="Times New Roman" w:hint="eastAsia"/>
          <w:color w:val="000000"/>
        </w:rPr>
        <w:t>。其所整合各種不同之暫時權利保護分支制度後而創設的「功</w:t>
      </w:r>
      <w:r>
        <w:rPr>
          <w:rFonts w:ascii="Times New Roman" w:hAnsi="Times New Roman" w:hint="eastAsia"/>
          <w:color w:val="000000"/>
        </w:rPr>
        <w:lastRenderedPageBreak/>
        <w:t>能相當性理論（</w:t>
      </w:r>
      <w:r>
        <w:rPr>
          <w:rFonts w:ascii="Times New Roman" w:hAnsi="Times New Roman" w:hint="eastAsia"/>
          <w:color w:val="000000"/>
        </w:rPr>
        <w:t>Funktionsad</w:t>
      </w:r>
      <w:r>
        <w:rPr>
          <w:rFonts w:ascii="Times New Roman" w:hAnsi="Times New Roman"/>
          <w:color w:val="000000"/>
        </w:rPr>
        <w:t>ä</w:t>
      </w:r>
      <w:r>
        <w:rPr>
          <w:rFonts w:ascii="Times New Roman" w:hAnsi="Times New Roman" w:hint="eastAsia"/>
          <w:color w:val="000000"/>
        </w:rPr>
        <w:t>quanz-Theorie</w:t>
      </w:r>
      <w:r>
        <w:rPr>
          <w:rFonts w:ascii="Times New Roman" w:hAnsi="Times New Roman" w:hint="eastAsia"/>
          <w:color w:val="000000"/>
        </w:rPr>
        <w:t>）」</w:t>
      </w:r>
      <w:r>
        <w:rPr>
          <w:rStyle w:val="a3"/>
          <w:color w:val="000000"/>
        </w:rPr>
        <w:footnoteReference w:id="27"/>
      </w:r>
      <w:r>
        <w:rPr>
          <w:rFonts w:ascii="Times New Roman" w:hAnsi="Times New Roman" w:hint="eastAsia"/>
          <w:color w:val="000000"/>
        </w:rPr>
        <w:t>，不但直接改變了行政爭訟法學界對於暫時權利保護制度的理解，迴向性地也間接促成了原先引導行政訴訟之暫時權利保護制度發展的民事訴訟法學上保全程序體系的重新架構</w:t>
      </w:r>
      <w:r>
        <w:rPr>
          <w:rStyle w:val="a3"/>
          <w:color w:val="000000"/>
        </w:rPr>
        <w:footnoteReference w:id="28"/>
      </w:r>
      <w:r>
        <w:rPr>
          <w:rFonts w:ascii="Times New Roman" w:hAnsi="Times New Roman" w:hint="eastAsia"/>
          <w:color w:val="000000"/>
        </w:rPr>
        <w:t>。至於有關停止執行的制度目的與功能究竟何在，</w:t>
      </w:r>
      <w:r>
        <w:rPr>
          <w:rFonts w:ascii="Times New Roman" w:hAnsi="Times New Roman" w:hint="eastAsia"/>
          <w:i/>
          <w:color w:val="000000"/>
        </w:rPr>
        <w:t>Schoch</w:t>
      </w:r>
      <w:r>
        <w:rPr>
          <w:rFonts w:ascii="Times New Roman" w:hAnsi="Times New Roman" w:hint="eastAsia"/>
          <w:color w:val="000000"/>
        </w:rPr>
        <w:t>的看法則如下：</w:t>
      </w:r>
    </w:p>
    <w:p w:rsidR="00453ABE" w:rsidRDefault="00453ABE" w:rsidP="00453ABE">
      <w:pPr>
        <w:pStyle w:val="Web"/>
        <w:spacing w:before="0" w:beforeAutospacing="0" w:afterLines="50" w:after="180" w:afterAutospacing="0" w:line="288" w:lineRule="auto"/>
        <w:ind w:firstLineChars="200" w:firstLine="480"/>
        <w:jc w:val="both"/>
        <w:rPr>
          <w:rFonts w:ascii="Times New Roman" w:hAnsi="Times New Roman" w:hint="eastAsia"/>
          <w:color w:val="000000"/>
        </w:rPr>
      </w:pPr>
      <w:r>
        <w:rPr>
          <w:rFonts w:ascii="Times New Roman" w:hAnsi="Times New Roman"/>
          <w:color w:val="000000"/>
        </w:rPr>
        <w:t>首先，</w:t>
      </w:r>
      <w:r>
        <w:rPr>
          <w:rFonts w:ascii="Times New Roman" w:hAnsi="Times New Roman" w:hint="eastAsia"/>
          <w:color w:val="000000"/>
        </w:rPr>
        <w:t>根據</w:t>
      </w:r>
      <w:r>
        <w:rPr>
          <w:rFonts w:ascii="Times New Roman" w:hAnsi="Times New Roman"/>
          <w:i/>
          <w:iCs/>
          <w:color w:val="000000"/>
        </w:rPr>
        <w:t>Schoch</w:t>
      </w:r>
      <w:r>
        <w:rPr>
          <w:rFonts w:ascii="Times New Roman" w:hAnsi="Times New Roman" w:hint="eastAsia"/>
          <w:iCs/>
          <w:color w:val="000000"/>
        </w:rPr>
        <w:t>的理解，</w:t>
      </w:r>
      <w:r>
        <w:rPr>
          <w:rFonts w:ascii="Times New Roman" w:hAnsi="Times New Roman"/>
          <w:color w:val="000000"/>
        </w:rPr>
        <w:t>作為暫時權利保護制度之一環的</w:t>
      </w:r>
      <w:r>
        <w:rPr>
          <w:rFonts w:ascii="Times New Roman" w:hAnsi="Times New Roman" w:hint="eastAsia"/>
          <w:iCs/>
          <w:color w:val="000000"/>
        </w:rPr>
        <w:t>停止執行</w:t>
      </w:r>
      <w:r>
        <w:rPr>
          <w:rFonts w:ascii="Times New Roman" w:hAnsi="Times New Roman"/>
          <w:color w:val="000000"/>
        </w:rPr>
        <w:t>，其最終之目的莫非與暫時權利保護制度本身之目的同，</w:t>
      </w:r>
      <w:r>
        <w:rPr>
          <w:rFonts w:ascii="Times New Roman" w:hAnsi="Times New Roman" w:hint="eastAsia"/>
          <w:color w:val="000000"/>
        </w:rPr>
        <w:t>用來</w:t>
      </w:r>
      <w:r>
        <w:rPr>
          <w:rFonts w:ascii="Times New Roman" w:hAnsi="Times New Roman"/>
          <w:color w:val="000000"/>
        </w:rPr>
        <w:t>補充本案</w:t>
      </w:r>
      <w:r>
        <w:rPr>
          <w:rFonts w:ascii="Times New Roman" w:hAnsi="Times New Roman" w:hint="eastAsia"/>
          <w:color w:val="000000"/>
        </w:rPr>
        <w:t>救濟</w:t>
      </w:r>
      <w:r>
        <w:rPr>
          <w:rFonts w:ascii="Times New Roman" w:hAnsi="Times New Roman"/>
          <w:color w:val="000000"/>
        </w:rPr>
        <w:t>程序功能上之不足，而與之共同實現一個真正</w:t>
      </w:r>
      <w:r>
        <w:rPr>
          <w:rFonts w:ascii="Times New Roman" w:hAnsi="Times New Roman" w:hint="eastAsia"/>
          <w:color w:val="000000"/>
        </w:rPr>
        <w:t>、有效能的</w:t>
      </w:r>
      <w:r>
        <w:rPr>
          <w:rFonts w:ascii="Times New Roman" w:hAnsi="Times New Roman"/>
          <w:color w:val="000000"/>
        </w:rPr>
        <w:t>權利保護</w:t>
      </w:r>
      <w:r>
        <w:rPr>
          <w:rFonts w:ascii="Times New Roman" w:hAnsi="Times New Roman" w:hint="eastAsia"/>
          <w:color w:val="000000"/>
        </w:rPr>
        <w:t>體系</w:t>
      </w:r>
      <w:r>
        <w:rPr>
          <w:rFonts w:ascii="Times New Roman" w:hAnsi="Times New Roman"/>
          <w:color w:val="000000"/>
        </w:rPr>
        <w:t>。</w:t>
      </w:r>
      <w:r>
        <w:rPr>
          <w:rFonts w:ascii="Times New Roman" w:hAnsi="Times New Roman" w:hint="eastAsia"/>
          <w:color w:val="000000"/>
        </w:rPr>
        <w:t>至於暫時權利保護制度在此的補充功能，究竟何在，</w:t>
      </w:r>
      <w:r>
        <w:rPr>
          <w:rFonts w:ascii="Times New Roman" w:hAnsi="Times New Roman"/>
          <w:i/>
          <w:iCs/>
          <w:color w:val="000000"/>
        </w:rPr>
        <w:t>Schoch</w:t>
      </w:r>
      <w:r>
        <w:rPr>
          <w:rFonts w:ascii="Times New Roman" w:hAnsi="Times New Roman"/>
          <w:color w:val="000000"/>
        </w:rPr>
        <w:t>經過一番非常詳密的論證後，</w:t>
      </w:r>
      <w:r>
        <w:rPr>
          <w:rFonts w:ascii="Times New Roman" w:hAnsi="Times New Roman" w:hint="eastAsia"/>
          <w:color w:val="000000"/>
        </w:rPr>
        <w:t>則</w:t>
      </w:r>
      <w:r>
        <w:rPr>
          <w:rFonts w:ascii="Times New Roman" w:hAnsi="Times New Roman"/>
          <w:color w:val="000000"/>
        </w:rPr>
        <w:t>指出</w:t>
      </w:r>
      <w:r>
        <w:rPr>
          <w:rFonts w:ascii="Times New Roman" w:hAnsi="Times New Roman" w:hint="eastAsia"/>
          <w:color w:val="000000"/>
        </w:rPr>
        <w:t>該制度</w:t>
      </w:r>
      <w:r>
        <w:rPr>
          <w:rFonts w:ascii="Times New Roman" w:hAnsi="Times New Roman"/>
          <w:color w:val="000000"/>
        </w:rPr>
        <w:t>，除有</w:t>
      </w:r>
      <w:r>
        <w:rPr>
          <w:rFonts w:ascii="Times New Roman" w:hAnsi="Times New Roman" w:hint="eastAsia"/>
          <w:color w:val="000000"/>
        </w:rPr>
        <w:t>傳統</w:t>
      </w:r>
      <w:r>
        <w:rPr>
          <w:rFonts w:ascii="Times New Roman" w:hAnsi="Times New Roman"/>
          <w:color w:val="000000"/>
        </w:rPr>
        <w:t>通說</w:t>
      </w:r>
      <w:r>
        <w:rPr>
          <w:rStyle w:val="a3"/>
          <w:color w:val="000000"/>
        </w:rPr>
        <w:footnoteReference w:id="29"/>
      </w:r>
      <w:r>
        <w:rPr>
          <w:rFonts w:ascii="Times New Roman" w:hAnsi="Times New Roman"/>
          <w:color w:val="000000"/>
        </w:rPr>
        <w:t>所認識的「保全（權利）功能</w:t>
      </w:r>
      <w:r>
        <w:rPr>
          <w:rFonts w:ascii="Times New Roman" w:hAnsi="Times New Roman" w:hint="eastAsia"/>
          <w:color w:val="000000"/>
        </w:rPr>
        <w:t>（</w:t>
      </w:r>
      <w:r>
        <w:rPr>
          <w:rFonts w:ascii="Times New Roman" w:hAnsi="Times New Roman"/>
          <w:color w:val="000000"/>
        </w:rPr>
        <w:t>Sicherungsfunktion</w:t>
      </w:r>
      <w:r>
        <w:rPr>
          <w:rFonts w:ascii="Times New Roman" w:hAnsi="Times New Roman" w:hint="eastAsia"/>
          <w:color w:val="000000"/>
        </w:rPr>
        <w:t>）</w:t>
      </w:r>
      <w:r>
        <w:rPr>
          <w:rFonts w:ascii="Times New Roman" w:hAnsi="Times New Roman"/>
          <w:color w:val="000000"/>
        </w:rPr>
        <w:t>」外，更有一般學者忽略，但</w:t>
      </w:r>
      <w:r>
        <w:rPr>
          <w:rFonts w:ascii="Times New Roman" w:hAnsi="Times New Roman" w:hint="eastAsia"/>
          <w:color w:val="000000"/>
        </w:rPr>
        <w:t>近來</w:t>
      </w:r>
      <w:r>
        <w:rPr>
          <w:rFonts w:ascii="Times New Roman" w:hAnsi="Times New Roman"/>
          <w:color w:val="000000"/>
        </w:rPr>
        <w:t>卻</w:t>
      </w:r>
      <w:r>
        <w:rPr>
          <w:rFonts w:ascii="Times New Roman" w:hAnsi="Times New Roman" w:hint="eastAsia"/>
          <w:color w:val="000000"/>
        </w:rPr>
        <w:t>在</w:t>
      </w:r>
      <w:r>
        <w:rPr>
          <w:rFonts w:ascii="Times New Roman" w:hAnsi="Times New Roman"/>
          <w:color w:val="000000"/>
        </w:rPr>
        <w:t>德國聯邦憲法法院</w:t>
      </w:r>
      <w:r>
        <w:rPr>
          <w:rFonts w:ascii="Times New Roman" w:hAnsi="Times New Roman" w:hint="eastAsia"/>
          <w:color w:val="000000"/>
        </w:rPr>
        <w:t>（</w:t>
      </w:r>
      <w:r>
        <w:rPr>
          <w:rFonts w:ascii="Times New Roman" w:hAnsi="Times New Roman"/>
          <w:color w:val="000000"/>
        </w:rPr>
        <w:t>Bundesverfassungsgericht; BVerfG</w:t>
      </w:r>
      <w:r>
        <w:rPr>
          <w:rFonts w:ascii="Times New Roman" w:hAnsi="Times New Roman" w:hint="eastAsia"/>
          <w:color w:val="000000"/>
        </w:rPr>
        <w:t>）之判例</w:t>
      </w:r>
      <w:r>
        <w:rPr>
          <w:rStyle w:val="a3"/>
          <w:color w:val="000000"/>
        </w:rPr>
        <w:footnoteReference w:id="30"/>
      </w:r>
      <w:r>
        <w:rPr>
          <w:rFonts w:ascii="Times New Roman" w:hAnsi="Times New Roman"/>
          <w:color w:val="000000"/>
        </w:rPr>
        <w:t>所</w:t>
      </w:r>
      <w:r>
        <w:rPr>
          <w:rFonts w:ascii="Times New Roman" w:hAnsi="Times New Roman" w:hint="eastAsia"/>
          <w:color w:val="000000"/>
        </w:rPr>
        <w:t>屢屢</w:t>
      </w:r>
      <w:r>
        <w:rPr>
          <w:rFonts w:ascii="Times New Roman" w:hAnsi="Times New Roman"/>
          <w:color w:val="000000"/>
        </w:rPr>
        <w:t>強調的「暫時止爭功能</w:t>
      </w:r>
      <w:r>
        <w:rPr>
          <w:rFonts w:ascii="Times New Roman" w:hAnsi="Times New Roman" w:hint="eastAsia"/>
          <w:color w:val="000000"/>
        </w:rPr>
        <w:t>（</w:t>
      </w:r>
      <w:r>
        <w:rPr>
          <w:rFonts w:ascii="Times New Roman" w:hAnsi="Times New Roman"/>
          <w:color w:val="000000"/>
        </w:rPr>
        <w:t>interimistische Befriedungsfunk</w:t>
      </w:r>
      <w:r>
        <w:rPr>
          <w:rFonts w:ascii="Times New Roman" w:hAnsi="Times New Roman" w:hint="eastAsia"/>
          <w:color w:val="000000"/>
        </w:rPr>
        <w:softHyphen/>
      </w:r>
      <w:r>
        <w:rPr>
          <w:rFonts w:ascii="Times New Roman" w:hAnsi="Times New Roman"/>
          <w:color w:val="000000"/>
        </w:rPr>
        <w:t>tion</w:t>
      </w:r>
      <w:r>
        <w:rPr>
          <w:rFonts w:ascii="Times New Roman" w:hAnsi="Times New Roman" w:hint="eastAsia"/>
          <w:color w:val="000000"/>
        </w:rPr>
        <w:t>）</w:t>
      </w:r>
      <w:r>
        <w:rPr>
          <w:rFonts w:ascii="Times New Roman" w:hAnsi="Times New Roman"/>
          <w:color w:val="000000"/>
        </w:rPr>
        <w:t>」</w:t>
      </w:r>
      <w:r>
        <w:rPr>
          <w:rStyle w:val="a3"/>
          <w:color w:val="000000"/>
        </w:rPr>
        <w:footnoteReference w:id="31"/>
      </w:r>
      <w:r>
        <w:rPr>
          <w:rFonts w:ascii="Times New Roman" w:hAnsi="Times New Roman"/>
          <w:color w:val="000000"/>
        </w:rPr>
        <w:t>。換言之，</w:t>
      </w:r>
      <w:r>
        <w:rPr>
          <w:rFonts w:ascii="Times New Roman" w:hAnsi="Times New Roman" w:hint="eastAsia"/>
          <w:color w:val="000000"/>
        </w:rPr>
        <w:t>暫時權利保護制度</w:t>
      </w:r>
      <w:r>
        <w:rPr>
          <w:rFonts w:ascii="Times New Roman" w:hAnsi="Times New Roman"/>
          <w:color w:val="000000"/>
        </w:rPr>
        <w:t>在此應運用其程序流程較</w:t>
      </w:r>
      <w:r>
        <w:rPr>
          <w:rFonts w:ascii="Times New Roman" w:hAnsi="Times New Roman" w:hint="eastAsia"/>
          <w:color w:val="000000"/>
        </w:rPr>
        <w:t>迅速</w:t>
      </w:r>
      <w:r>
        <w:rPr>
          <w:rFonts w:ascii="Times New Roman" w:hAnsi="Times New Roman"/>
          <w:color w:val="000000"/>
        </w:rPr>
        <w:t>的特色，在必要的情況下，暫時解決當事人間在漫長的本案</w:t>
      </w:r>
      <w:r>
        <w:rPr>
          <w:rFonts w:ascii="Times New Roman" w:hAnsi="Times New Roman" w:hint="eastAsia"/>
          <w:color w:val="000000"/>
        </w:rPr>
        <w:t>救濟</w:t>
      </w:r>
      <w:r>
        <w:rPr>
          <w:rFonts w:ascii="Times New Roman" w:hAnsi="Times New Roman"/>
          <w:color w:val="000000"/>
        </w:rPr>
        <w:t>程序中所不能</w:t>
      </w:r>
      <w:r>
        <w:rPr>
          <w:rFonts w:ascii="Times New Roman" w:hAnsi="Times New Roman" w:hint="eastAsia"/>
          <w:color w:val="000000"/>
        </w:rPr>
        <w:t>立刻</w:t>
      </w:r>
      <w:r>
        <w:rPr>
          <w:rFonts w:ascii="Times New Roman" w:hAnsi="Times New Roman"/>
          <w:color w:val="000000"/>
        </w:rPr>
        <w:t>解決的法律上紛</w:t>
      </w:r>
      <w:r>
        <w:rPr>
          <w:rFonts w:ascii="Times New Roman" w:hAnsi="Times New Roman" w:hint="eastAsia"/>
          <w:color w:val="000000"/>
        </w:rPr>
        <w:t>爭</w:t>
      </w:r>
      <w:r>
        <w:rPr>
          <w:rFonts w:ascii="Times New Roman" w:hAnsi="Times New Roman"/>
          <w:color w:val="000000"/>
        </w:rPr>
        <w:t>，以過渡性地維持本案</w:t>
      </w:r>
      <w:r>
        <w:rPr>
          <w:rFonts w:ascii="Times New Roman" w:hAnsi="Times New Roman" w:hint="eastAsia"/>
          <w:color w:val="000000"/>
        </w:rPr>
        <w:t>救濟</w:t>
      </w:r>
      <w:r>
        <w:rPr>
          <w:rFonts w:ascii="Times New Roman" w:hAnsi="Times New Roman"/>
          <w:color w:val="000000"/>
        </w:rPr>
        <w:t>程序</w:t>
      </w:r>
      <w:r>
        <w:rPr>
          <w:rFonts w:ascii="Times New Roman" w:hAnsi="Times New Roman" w:hint="eastAsia"/>
          <w:color w:val="000000"/>
        </w:rPr>
        <w:t>未確定完成</w:t>
      </w:r>
      <w:r>
        <w:rPr>
          <w:rFonts w:ascii="Times New Roman" w:hAnsi="Times New Roman"/>
          <w:color w:val="000000"/>
        </w:rPr>
        <w:t>前的法和平狀態。</w:t>
      </w:r>
      <w:r>
        <w:rPr>
          <w:rFonts w:ascii="Times New Roman" w:hAnsi="Times New Roman" w:hint="eastAsia"/>
          <w:color w:val="000000"/>
        </w:rPr>
        <w:t>換言之，相對於在本案救濟程序中，法院或訴願機關等終局決定了當事人間的糾紛，而在暫時權利保護程序中，該等機關則分別以停止執行及假處分等「中間規制（</w:t>
      </w:r>
      <w:r>
        <w:rPr>
          <w:rFonts w:ascii="Times New Roman" w:hAnsi="Times New Roman"/>
          <w:color w:val="000000"/>
        </w:rPr>
        <w:t>Zwischenregelung</w:t>
      </w:r>
      <w:r>
        <w:rPr>
          <w:rFonts w:ascii="Times New Roman" w:hAnsi="Times New Roman" w:hint="eastAsia"/>
          <w:color w:val="000000"/>
        </w:rPr>
        <w:t>）」的手段，暫時性地維護法和平秩序。</w:t>
      </w:r>
    </w:p>
    <w:p w:rsidR="00453ABE" w:rsidRDefault="00453ABE" w:rsidP="00453ABE">
      <w:pPr>
        <w:widowControl/>
        <w:spacing w:afterLines="50" w:after="180" w:line="288" w:lineRule="auto"/>
        <w:ind w:firstLineChars="200" w:firstLine="480"/>
        <w:jc w:val="both"/>
        <w:rPr>
          <w:rFonts w:hint="eastAsia"/>
          <w:color w:val="000000"/>
        </w:rPr>
      </w:pPr>
      <w:r>
        <w:rPr>
          <w:rFonts w:hAnsi="新細明體" w:hint="eastAsia"/>
          <w:color w:val="000000"/>
        </w:rPr>
        <w:t>基本上，</w:t>
      </w:r>
      <w:r>
        <w:rPr>
          <w:rFonts w:hAnsi="新細明體" w:hint="eastAsia"/>
          <w:i/>
          <w:color w:val="000000"/>
        </w:rPr>
        <w:t>Schoch</w:t>
      </w:r>
      <w:r>
        <w:rPr>
          <w:rFonts w:hAnsi="新細明體" w:hint="eastAsia"/>
          <w:color w:val="000000"/>
        </w:rPr>
        <w:t>的理論值得肯定；而無獨有偶地，在美國法上，學者針對同屬暫時權利保護制度類型之「</w:t>
      </w:r>
      <w:r>
        <w:rPr>
          <w:rFonts w:hAnsi="新細明體"/>
          <w:color w:val="000000"/>
        </w:rPr>
        <w:t>暫時禁制令</w:t>
      </w:r>
      <w:r>
        <w:rPr>
          <w:rFonts w:hAnsi="新細明體" w:hint="eastAsia"/>
          <w:color w:val="000000"/>
        </w:rPr>
        <w:t>」的功能所提出，如</w:t>
      </w:r>
      <w:r>
        <w:rPr>
          <w:rFonts w:hAnsi="新細明體"/>
          <w:color w:val="000000"/>
        </w:rPr>
        <w:t>維持現狀、保留</w:t>
      </w:r>
      <w:r>
        <w:rPr>
          <w:rFonts w:hAnsi="新細明體"/>
          <w:color w:val="000000"/>
        </w:rPr>
        <w:lastRenderedPageBreak/>
        <w:t>法院</w:t>
      </w:r>
      <w:r>
        <w:rPr>
          <w:rFonts w:hAnsi="新細明體" w:hint="eastAsia"/>
          <w:color w:val="000000"/>
        </w:rPr>
        <w:t>作</w:t>
      </w:r>
      <w:r>
        <w:rPr>
          <w:rFonts w:hAnsi="新細明體"/>
          <w:color w:val="000000"/>
        </w:rPr>
        <w:t>成有實益判決之能力</w:t>
      </w:r>
      <w:r>
        <w:rPr>
          <w:rFonts w:hAnsi="新細明體" w:hint="eastAsia"/>
          <w:color w:val="000000"/>
        </w:rPr>
        <w:t>、</w:t>
      </w:r>
      <w:r>
        <w:rPr>
          <w:rFonts w:hAnsi="新細明體"/>
          <w:color w:val="000000"/>
        </w:rPr>
        <w:t>減低誤判風險</w:t>
      </w:r>
      <w:r>
        <w:rPr>
          <w:rStyle w:val="a3"/>
          <w:color w:val="000000"/>
        </w:rPr>
        <w:footnoteReference w:id="32"/>
      </w:r>
      <w:r>
        <w:rPr>
          <w:rFonts w:hAnsi="新細明體"/>
          <w:color w:val="000000"/>
        </w:rPr>
        <w:t>，</w:t>
      </w:r>
      <w:r>
        <w:rPr>
          <w:rFonts w:hAnsi="新細明體" w:hint="eastAsia"/>
          <w:color w:val="000000"/>
        </w:rPr>
        <w:t>乃至</w:t>
      </w:r>
      <w:r>
        <w:rPr>
          <w:rFonts w:hAnsi="新細明體"/>
          <w:color w:val="000000"/>
        </w:rPr>
        <w:t>保護原告免於不可回復之損害</w:t>
      </w:r>
      <w:r>
        <w:rPr>
          <w:rStyle w:val="a3"/>
          <w:color w:val="000000"/>
        </w:rPr>
        <w:footnoteReference w:id="33"/>
      </w:r>
      <w:r>
        <w:rPr>
          <w:rFonts w:hAnsi="新細明體" w:hint="eastAsia"/>
          <w:color w:val="000000"/>
        </w:rPr>
        <w:t>等見解，多少也呼應了</w:t>
      </w:r>
      <w:r>
        <w:rPr>
          <w:rFonts w:hAnsi="新細明體" w:hint="eastAsia"/>
          <w:i/>
          <w:color w:val="000000"/>
        </w:rPr>
        <w:t>Schoch</w:t>
      </w:r>
      <w:r>
        <w:rPr>
          <w:rFonts w:hAnsi="新細明體" w:hint="eastAsia"/>
          <w:color w:val="000000"/>
        </w:rPr>
        <w:t>前開「保全」及「暫時止爭」功能的說法。更何況當吾人詳究我國現行行政訴訟法第</w:t>
      </w:r>
      <w:r>
        <w:rPr>
          <w:rFonts w:hAnsi="新細明體" w:hint="eastAsia"/>
          <w:color w:val="000000"/>
        </w:rPr>
        <w:t>293</w:t>
      </w:r>
      <w:r>
        <w:rPr>
          <w:rFonts w:hAnsi="新細明體" w:hint="eastAsia"/>
          <w:color w:val="000000"/>
        </w:rPr>
        <w:t>條、第</w:t>
      </w:r>
      <w:r>
        <w:rPr>
          <w:rFonts w:hAnsi="新細明體" w:hint="eastAsia"/>
          <w:color w:val="000000"/>
        </w:rPr>
        <w:t>298</w:t>
      </w:r>
      <w:r>
        <w:rPr>
          <w:rFonts w:hAnsi="新細明體" w:hint="eastAsia"/>
          <w:color w:val="000000"/>
        </w:rPr>
        <w:t>條第</w:t>
      </w:r>
      <w:r>
        <w:rPr>
          <w:rFonts w:hAnsi="新細明體" w:hint="eastAsia"/>
          <w:color w:val="000000"/>
        </w:rPr>
        <w:t>1</w:t>
      </w:r>
      <w:r>
        <w:rPr>
          <w:rFonts w:hAnsi="新細明體" w:hint="eastAsia"/>
          <w:color w:val="000000"/>
        </w:rPr>
        <w:t>項及第</w:t>
      </w:r>
      <w:r>
        <w:rPr>
          <w:rFonts w:hAnsi="新細明體" w:hint="eastAsia"/>
          <w:color w:val="000000"/>
        </w:rPr>
        <w:t>2</w:t>
      </w:r>
      <w:r>
        <w:rPr>
          <w:rFonts w:hAnsi="新細明體" w:hint="eastAsia"/>
          <w:color w:val="000000"/>
        </w:rPr>
        <w:t>項，或民事訴訟法第</w:t>
      </w:r>
      <w:r>
        <w:rPr>
          <w:rFonts w:hAnsi="新細明體" w:hint="eastAsia"/>
          <w:color w:val="000000"/>
        </w:rPr>
        <w:t>522</w:t>
      </w:r>
      <w:r>
        <w:rPr>
          <w:rFonts w:hAnsi="新細明體" w:hint="eastAsia"/>
          <w:color w:val="000000"/>
        </w:rPr>
        <w:t>條、第</w:t>
      </w:r>
      <w:r>
        <w:rPr>
          <w:rFonts w:hAnsi="新細明體" w:hint="eastAsia"/>
          <w:color w:val="000000"/>
        </w:rPr>
        <w:t>532</w:t>
      </w:r>
      <w:r>
        <w:rPr>
          <w:rFonts w:hAnsi="新細明體" w:hint="eastAsia"/>
          <w:color w:val="000000"/>
        </w:rPr>
        <w:t>條及第</w:t>
      </w:r>
      <w:r>
        <w:rPr>
          <w:rFonts w:hAnsi="新細明體" w:hint="eastAsia"/>
          <w:color w:val="000000"/>
        </w:rPr>
        <w:t>538</w:t>
      </w:r>
      <w:r>
        <w:rPr>
          <w:rFonts w:hAnsi="新細明體" w:hint="eastAsia"/>
          <w:color w:val="000000"/>
        </w:rPr>
        <w:t>條所分別規範的「假扣押」、「保全處分（</w:t>
      </w:r>
      <w:r>
        <w:rPr>
          <w:rFonts w:hAnsi="新細明體" w:hint="eastAsia"/>
          <w:color w:val="000000"/>
        </w:rPr>
        <w:t>Sicherungsanordnung/</w:t>
      </w:r>
      <w:r>
        <w:rPr>
          <w:color w:val="000000"/>
        </w:rPr>
        <w:t>-verfügung</w:t>
      </w:r>
      <w:r>
        <w:rPr>
          <w:rFonts w:hAnsi="新細明體" w:hint="eastAsia"/>
          <w:color w:val="000000"/>
        </w:rPr>
        <w:t>）」及「定暫時狀態之處分（</w:t>
      </w:r>
      <w:r>
        <w:rPr>
          <w:rFonts w:hAnsi="新細明體" w:hint="eastAsia"/>
          <w:color w:val="000000"/>
        </w:rPr>
        <w:t xml:space="preserve">Regelungsanordnung/ </w:t>
      </w:r>
      <w:r>
        <w:rPr>
          <w:color w:val="000000"/>
        </w:rPr>
        <w:t>-verfügung</w:t>
      </w:r>
      <w:r>
        <w:rPr>
          <w:rFonts w:hAnsi="新細明體" w:hint="eastAsia"/>
          <w:color w:val="000000"/>
        </w:rPr>
        <w:t>）」等停止執行以外的暫時權利保護類型時，尤可確定：暫時權利保護的制度有實現本案救濟程序所難以滿足的保全與暫時止爭之功能。因為相對於</w:t>
      </w:r>
      <w:r>
        <w:rPr>
          <w:rFonts w:hint="eastAsia"/>
          <w:color w:val="000000"/>
        </w:rPr>
        <w:t>假扣押與保全處分的功能，顯然在於「保全」；而「暫時止爭」者，正是「定暫時狀態之處分」的功能。</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int="eastAsia"/>
          <w:color w:val="000000"/>
        </w:rPr>
        <w:t>不過在另一方面，我國現行行政爭訟制度中，有關撤銷訴訟與確認處分無效訴訟之案件類型，僅有「停止執行」之一種暫時權利保護制度。所以在這些案件類型的範圍內，顯然停止執行要同時滿足</w:t>
      </w:r>
      <w:r>
        <w:rPr>
          <w:rFonts w:hAnsi="新細明體" w:hint="eastAsia"/>
          <w:color w:val="000000"/>
        </w:rPr>
        <w:t>「保全」與「暫時止爭」等兩項功能。</w:t>
      </w:r>
    </w:p>
    <w:p w:rsidR="00453ABE" w:rsidRDefault="00453ABE" w:rsidP="00453ABE">
      <w:pPr>
        <w:widowControl/>
        <w:spacing w:line="288" w:lineRule="auto"/>
        <w:ind w:firstLineChars="200" w:firstLine="480"/>
        <w:jc w:val="both"/>
        <w:rPr>
          <w:rFonts w:hAnsi="新細明體" w:hint="eastAsia"/>
          <w:color w:val="000000"/>
        </w:rPr>
      </w:pPr>
      <w:r>
        <w:rPr>
          <w:rFonts w:hint="eastAsia"/>
          <w:color w:val="000000"/>
        </w:rPr>
        <w:t>在暫時權利保護法制的發展史上，這個制度的暫時止爭功能，誠如</w:t>
      </w:r>
      <w:r>
        <w:rPr>
          <w:rFonts w:hint="eastAsia"/>
          <w:i/>
          <w:color w:val="000000"/>
        </w:rPr>
        <w:t>Schoch</w:t>
      </w:r>
      <w:r>
        <w:rPr>
          <w:rFonts w:hint="eastAsia"/>
          <w:color w:val="000000"/>
        </w:rPr>
        <w:t>所指出者，常為學說與實務忽略。近來相關問題點既已釐清，則停止執行准否之決定，除應注意保全功能外，其是否也能因此定出一個符合當事人間利益平衡的暫時狀態，而兼具暫時止爭功能，更必須同時列入該准否決定時的考慮。</w:t>
      </w: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line="288" w:lineRule="auto"/>
        <w:ind w:firstLineChars="200" w:firstLine="480"/>
        <w:jc w:val="both"/>
        <w:rPr>
          <w:rFonts w:hAnsi="新細明體" w:hint="eastAsia"/>
          <w:color w:val="000000"/>
        </w:rPr>
      </w:pPr>
    </w:p>
    <w:p w:rsidR="00453ABE" w:rsidRDefault="00453ABE" w:rsidP="00453ABE">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第四節　</w:t>
      </w:r>
      <w:r>
        <w:rPr>
          <w:rFonts w:hint="eastAsia"/>
          <w:b/>
          <w:color w:val="000000"/>
          <w:sz w:val="36"/>
          <w:szCs w:val="36"/>
        </w:rPr>
        <w:t>附論：預防性權利保護</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在行政爭訟法學上，與暫時權利保護常有混淆之虞的，是一種所謂「預防性權利保護」；這兩種制度，名稱雖近，但卻各自負有不同的功能。蓋「預防性權利保護」，或有稱「預行救濟」者，屬本案救濟之一種，原則上適用於侵害權利之行政行為尚未發生時，用以防止該權利侵害之「實際」發生；相反地，「暫時權利保護」，是本案救濟外的一種「附屬程序（</w:t>
      </w:r>
      <w:r>
        <w:rPr>
          <w:rFonts w:hAnsi="新細明體" w:hint="eastAsia"/>
          <w:color w:val="000000"/>
        </w:rPr>
        <w:t>Nebenverfahren</w:t>
      </w:r>
      <w:r>
        <w:rPr>
          <w:rFonts w:hAnsi="新細明體" w:hint="eastAsia"/>
          <w:color w:val="000000"/>
        </w:rPr>
        <w:t>）」，目的在使既已發生之權利侵害，儘可能不至於繼續進展到「回復不能之狀態（</w:t>
      </w:r>
      <w:r>
        <w:rPr>
          <w:color w:val="000000"/>
        </w:rPr>
        <w:t xml:space="preserve">irreparabele </w:t>
      </w:r>
      <w:r>
        <w:rPr>
          <w:color w:val="000000"/>
        </w:rPr>
        <w:lastRenderedPageBreak/>
        <w:t>Zustände</w:t>
      </w:r>
      <w:r>
        <w:rPr>
          <w:rFonts w:hAnsi="新細明體" w:hint="eastAsia"/>
          <w:color w:val="000000"/>
        </w:rPr>
        <w:t>）」。二者之間，因此相異</w:t>
      </w:r>
      <w:r>
        <w:rPr>
          <w:rStyle w:val="a3"/>
          <w:rFonts w:hAnsi="新細明體"/>
          <w:color w:val="000000"/>
        </w:rPr>
        <w:footnoteReference w:id="34"/>
      </w:r>
      <w:r>
        <w:rPr>
          <w:rFonts w:hAnsi="新細明體" w:hint="eastAsia"/>
          <w:color w:val="000000"/>
        </w:rPr>
        <w:t>。不過，如將來的權利侵害之發生，因事件類型特殊，有可能迅雷不及掩耳，同時也具有難以回復的特性時，則當事人提起預防性權利保護之本案救濟時，同時也得以請求屬於將來給付訴訟之附屬程序的「</w:t>
      </w:r>
      <w:r>
        <w:rPr>
          <w:rFonts w:hAnsi="新細明體"/>
          <w:color w:val="000000"/>
        </w:rPr>
        <w:t>預防性暫時權利保護</w:t>
      </w:r>
      <w:r>
        <w:rPr>
          <w:rFonts w:hAnsi="新細明體" w:hint="eastAsia"/>
          <w:color w:val="000000"/>
        </w:rPr>
        <w:t>」，以濟其窮</w:t>
      </w:r>
      <w:r>
        <w:rPr>
          <w:rStyle w:val="a3"/>
          <w:rFonts w:hAnsi="新細明體"/>
          <w:color w:val="000000"/>
        </w:rPr>
        <w:footnoteReference w:id="35"/>
      </w:r>
      <w:r>
        <w:rPr>
          <w:rFonts w:hAnsi="新細明體" w:hint="eastAsia"/>
          <w:color w:val="000000"/>
        </w:rPr>
        <w:t>；此際，「預防性權利保護」與「暫時權利保護」始合而為一。只是在這種情形下的暫時權利保護機制，原則上為「假處分」的適用範疇，而非「停止執行」；因為</w:t>
      </w:r>
      <w:r>
        <w:rPr>
          <w:rFonts w:hint="eastAsia"/>
          <w:color w:val="000000"/>
        </w:rPr>
        <w:t>停止執行，僅能針對既已作成之行政處分或其他行政行為發生效力，故不能充作針對尚未作成處分或其他行為前之權利救濟的預防性暫時權利保護</w:t>
      </w:r>
      <w:r>
        <w:rPr>
          <w:rFonts w:hAnsi="新細明體" w:hint="eastAsia"/>
          <w:color w:val="000000"/>
        </w:rPr>
        <w:t>。</w:t>
      </w:r>
    </w:p>
    <w:p w:rsidR="00453ABE" w:rsidRDefault="00453ABE" w:rsidP="00453ABE">
      <w:pPr>
        <w:widowControl/>
        <w:spacing w:afterLines="50" w:after="180" w:line="288" w:lineRule="auto"/>
        <w:ind w:firstLineChars="200" w:firstLine="480"/>
        <w:jc w:val="both"/>
        <w:rPr>
          <w:rFonts w:hAnsi="新細明體" w:hint="eastAsia"/>
          <w:color w:val="000000"/>
        </w:rPr>
      </w:pPr>
      <w:r>
        <w:rPr>
          <w:rFonts w:hAnsi="新細明體" w:hint="eastAsia"/>
          <w:color w:val="000000"/>
        </w:rPr>
        <w:t>依據現行法上之設計，保訓會所能處理的暫時權利保護，只有停止執行；既然這個制度，難以在行政</w:t>
      </w:r>
      <w:r>
        <w:rPr>
          <w:rFonts w:hint="eastAsia"/>
          <w:color w:val="000000"/>
        </w:rPr>
        <w:t>處分或其他行政行為前尚未作成前發生權利保護的作用，因此有關公務人員保障事件中的</w:t>
      </w:r>
      <w:r>
        <w:rPr>
          <w:rFonts w:hAnsi="新細明體" w:hint="eastAsia"/>
          <w:color w:val="000000"/>
        </w:rPr>
        <w:t>「</w:t>
      </w:r>
      <w:r>
        <w:rPr>
          <w:rFonts w:hAnsi="新細明體"/>
          <w:color w:val="000000"/>
        </w:rPr>
        <w:t>預防性暫時權利保護</w:t>
      </w:r>
      <w:r>
        <w:rPr>
          <w:rFonts w:hAnsi="新細明體" w:hint="eastAsia"/>
          <w:color w:val="000000"/>
        </w:rPr>
        <w:t>」，縱在現行法秩序下能承認其存在，但也僅得由行政法院以假處分的方式為之。</w:t>
      </w:r>
    </w:p>
    <w:p w:rsidR="00453ABE" w:rsidRDefault="00453ABE" w:rsidP="00453ABE">
      <w:pPr>
        <w:widowControl/>
        <w:spacing w:line="288" w:lineRule="auto"/>
        <w:ind w:firstLineChars="200" w:firstLine="480"/>
        <w:jc w:val="both"/>
        <w:rPr>
          <w:rFonts w:hint="eastAsia"/>
          <w:color w:val="000000"/>
        </w:rPr>
      </w:pPr>
      <w:r>
        <w:rPr>
          <w:rFonts w:hint="eastAsia"/>
          <w:color w:val="000000"/>
        </w:rPr>
        <w:t>然而，一個想像上可能的問題是：「</w:t>
      </w:r>
      <w:r>
        <w:rPr>
          <w:rFonts w:hAnsi="新細明體"/>
          <w:color w:val="000000"/>
        </w:rPr>
        <w:t>預防性權利保護</w:t>
      </w:r>
      <w:r>
        <w:rPr>
          <w:rFonts w:hAnsi="新細明體" w:hint="eastAsia"/>
          <w:color w:val="000000"/>
        </w:rPr>
        <w:t>」，乃至「</w:t>
      </w:r>
      <w:r>
        <w:rPr>
          <w:rFonts w:hAnsi="新細明體"/>
          <w:color w:val="000000"/>
        </w:rPr>
        <w:t>預防性暫時權利保護</w:t>
      </w:r>
      <w:r>
        <w:rPr>
          <w:rFonts w:hAnsi="新細明體" w:hint="eastAsia"/>
          <w:color w:val="000000"/>
        </w:rPr>
        <w:t>」是否將來能經由立法的方式，也授權予保訓會為之？關於這個問題點，本研究報告寧持懷疑的態度。因為</w:t>
      </w:r>
      <w:r>
        <w:rPr>
          <w:rFonts w:hint="eastAsia"/>
          <w:color w:val="000000"/>
        </w:rPr>
        <w:t>預防性權利保護對於行政機關權限之行使，干預頗深；由於保訓會本身亦屬廣義行政（即：考試權下人事行政）機關之一種，所以基於行政機關間之權責劃分與相互尊重，縱使在立法政策上，似乎也不宜逕以修正公務人員保障法等方式，由保訓會受理預防性權利保護，</w:t>
      </w:r>
      <w:r>
        <w:rPr>
          <w:rFonts w:hAnsi="新細明體" w:hint="eastAsia"/>
          <w:color w:val="000000"/>
        </w:rPr>
        <w:t>乃至於更近一層的</w:t>
      </w:r>
      <w:r>
        <w:rPr>
          <w:rFonts w:hAnsi="新細明體"/>
          <w:color w:val="000000"/>
        </w:rPr>
        <w:t>預防性暫時權利保護</w:t>
      </w:r>
      <w:r>
        <w:rPr>
          <w:rFonts w:hint="eastAsia"/>
          <w:color w:val="000000"/>
        </w:rPr>
        <w:t>。</w:t>
      </w:r>
    </w:p>
    <w:p w:rsidR="00453ABE" w:rsidRDefault="00453ABE" w:rsidP="00453ABE">
      <w:pPr>
        <w:widowControl/>
        <w:spacing w:line="288" w:lineRule="auto"/>
        <w:ind w:firstLineChars="200" w:firstLine="480"/>
        <w:jc w:val="both"/>
        <w:rPr>
          <w:rFonts w:hint="eastAsia"/>
          <w:color w:val="000000"/>
        </w:rPr>
      </w:pPr>
    </w:p>
    <w:p w:rsidR="00453ABE" w:rsidRDefault="00453ABE" w:rsidP="00453ABE">
      <w:pPr>
        <w:widowControl/>
        <w:spacing w:line="288" w:lineRule="auto"/>
        <w:ind w:firstLineChars="200" w:firstLine="480"/>
        <w:jc w:val="both"/>
        <w:rPr>
          <w:rFonts w:hint="eastAsia"/>
          <w:color w:val="000000"/>
        </w:rPr>
      </w:pPr>
    </w:p>
    <w:p w:rsidR="00453ABE" w:rsidRDefault="00453ABE" w:rsidP="00453ABE">
      <w:pPr>
        <w:widowControl/>
        <w:spacing w:line="288" w:lineRule="auto"/>
        <w:ind w:firstLineChars="200" w:firstLine="480"/>
        <w:jc w:val="both"/>
        <w:rPr>
          <w:rFonts w:hint="eastAsia"/>
          <w:color w:val="000000"/>
        </w:rPr>
      </w:pPr>
    </w:p>
    <w:p w:rsidR="00453ABE" w:rsidRDefault="00453ABE" w:rsidP="00453ABE">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第五節　</w:t>
      </w:r>
      <w:r>
        <w:rPr>
          <w:rFonts w:hint="eastAsia"/>
          <w:b/>
          <w:color w:val="000000"/>
          <w:sz w:val="36"/>
          <w:szCs w:val="36"/>
        </w:rPr>
        <w:t>結語</w:t>
      </w:r>
    </w:p>
    <w:p w:rsidR="00453ABE" w:rsidRDefault="00453ABE" w:rsidP="00453ABE">
      <w:pPr>
        <w:widowControl/>
        <w:spacing w:afterLines="50" w:after="180" w:line="288" w:lineRule="auto"/>
        <w:ind w:firstLineChars="200" w:firstLine="480"/>
        <w:jc w:val="both"/>
        <w:rPr>
          <w:rFonts w:hint="eastAsia"/>
          <w:color w:val="000000"/>
        </w:rPr>
      </w:pPr>
      <w:r>
        <w:rPr>
          <w:rFonts w:hint="eastAsia"/>
          <w:color w:val="000000"/>
        </w:rPr>
        <w:t>有關公務人員保障事件中之停止執行的法理基礎種種問題，已如前述。惟綜上所結，本章的重點則如下：</w:t>
      </w:r>
    </w:p>
    <w:p w:rsidR="00453ABE" w:rsidRDefault="00453ABE" w:rsidP="00453ABE">
      <w:pPr>
        <w:widowControl/>
        <w:numPr>
          <w:ilvl w:val="0"/>
          <w:numId w:val="1"/>
        </w:numPr>
        <w:spacing w:afterLines="50" w:after="180" w:line="288" w:lineRule="auto"/>
        <w:jc w:val="both"/>
        <w:rPr>
          <w:rFonts w:hint="eastAsia"/>
          <w:color w:val="000000"/>
        </w:rPr>
      </w:pPr>
      <w:r>
        <w:rPr>
          <w:rFonts w:hint="eastAsia"/>
          <w:color w:val="000000"/>
        </w:rPr>
        <w:lastRenderedPageBreak/>
        <w:t>我國現行的公務人員保障事件中之停止執行，作為暫時權利保護制度之一環，其實定法上的依據，主要為公務人員保障法第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之規定；訴願法在此，應排除其直接適用或類推適用的餘地。不過，除此之外，鑑於暫時權利保護制度的功能整體性，行政訴訟法上有關停止執行與保全程序（假扣押及假處分），甚或民事訴訟法上保全程序之規定與理論等，必要時，非無援引的價值。至於有關保訓會中停止執行之審議程序，在公務人員保障法規定不足的情況下，基於法治國之正當法律程序的要求，必要時也有（類推）適用行政程序法相關規定之可能，以符合方法論上法律解釋與續造的合憲性。</w:t>
      </w:r>
    </w:p>
    <w:p w:rsidR="00453ABE" w:rsidRDefault="00453ABE" w:rsidP="00453ABE">
      <w:pPr>
        <w:widowControl/>
        <w:numPr>
          <w:ilvl w:val="0"/>
          <w:numId w:val="1"/>
        </w:numPr>
        <w:spacing w:afterLines="50" w:after="180" w:line="288" w:lineRule="auto"/>
        <w:jc w:val="both"/>
        <w:rPr>
          <w:rFonts w:hint="eastAsia"/>
          <w:color w:val="000000"/>
        </w:rPr>
      </w:pPr>
      <w:r>
        <w:rPr>
          <w:rFonts w:hint="eastAsia"/>
          <w:color w:val="000000"/>
        </w:rPr>
        <w:t>我國行政爭訟上的停止執行之設計，深受日本與德國影響；惟鑑於德國相關法制的理論已相當完整，故在比較法上得用作解決問題主要的借鏡。美國訴訟法學中的「</w:t>
      </w:r>
      <w:r>
        <w:rPr>
          <w:rFonts w:hAnsi="新細明體"/>
          <w:color w:val="000000"/>
        </w:rPr>
        <w:t>暫時禁制令</w:t>
      </w:r>
      <w:r>
        <w:rPr>
          <w:rFonts w:hAnsi="新細明體" w:hint="eastAsia"/>
          <w:color w:val="000000"/>
        </w:rPr>
        <w:t>」</w:t>
      </w:r>
      <w:r>
        <w:rPr>
          <w:rFonts w:hAnsi="新細明體"/>
          <w:color w:val="000000"/>
        </w:rPr>
        <w:t>與</w:t>
      </w:r>
      <w:r>
        <w:rPr>
          <w:rFonts w:hAnsi="新細明體" w:hint="eastAsia"/>
          <w:color w:val="000000"/>
        </w:rPr>
        <w:t>「</w:t>
      </w:r>
      <w:r>
        <w:rPr>
          <w:rFonts w:hAnsi="新細明體"/>
          <w:color w:val="000000"/>
        </w:rPr>
        <w:t>緊急限制令</w:t>
      </w:r>
      <w:r>
        <w:rPr>
          <w:rFonts w:hint="eastAsia"/>
          <w:color w:val="000000"/>
        </w:rPr>
        <w:t>」，其實也是一種暫時權利保護制度；必要時，也有用供與歐陸法系的相關制度比較對照的意義。</w:t>
      </w:r>
    </w:p>
    <w:p w:rsidR="00453ABE" w:rsidRDefault="00453ABE" w:rsidP="00453ABE">
      <w:pPr>
        <w:widowControl/>
        <w:numPr>
          <w:ilvl w:val="0"/>
          <w:numId w:val="1"/>
        </w:numPr>
        <w:spacing w:afterLines="50" w:after="180" w:line="288" w:lineRule="auto"/>
        <w:jc w:val="both"/>
        <w:rPr>
          <w:rFonts w:hint="eastAsia"/>
          <w:color w:val="000000"/>
        </w:rPr>
      </w:pPr>
      <w:r>
        <w:rPr>
          <w:rFonts w:hint="eastAsia"/>
          <w:color w:val="000000"/>
        </w:rPr>
        <w:t>含停止執行及保全程序在內的暫時權利保護制度，與本案救濟程序同，均以實現「有效之權利保護」為目的。惟相對於本案救濟程序的功能，在於終局釐清涉訟當事人間之權利義務關係，暫時權利保護則有「保全」與「暫時止爭」兩項功能。在保全程序方面，「假扣押」與「保全處分」制度的目的，即在於保全功能的達成；而暫時止爭的功能，主要則歸「定暫時狀態之處分」負責。至於在停止執行方面，該制度同時兼具以上兩項功能。</w:t>
      </w:r>
    </w:p>
    <w:p w:rsidR="00453ABE" w:rsidRDefault="00453ABE" w:rsidP="00453ABE">
      <w:pPr>
        <w:widowControl/>
        <w:numPr>
          <w:ilvl w:val="0"/>
          <w:numId w:val="1"/>
        </w:numPr>
        <w:spacing w:afterLines="50" w:after="180" w:line="288" w:lineRule="auto"/>
        <w:jc w:val="both"/>
        <w:rPr>
          <w:rFonts w:hint="eastAsia"/>
          <w:color w:val="000000"/>
        </w:rPr>
      </w:pPr>
      <w:r>
        <w:rPr>
          <w:rFonts w:hint="eastAsia"/>
          <w:color w:val="000000"/>
        </w:rPr>
        <w:t>在法制發展史上，暫時權利保護的暫時止爭功能，常為學說與實務忽略；近來相關問題點既已釐清，則停止執行准否之決定，除應注意保全功能外，其是否也能定出一個符合當事人間利益平衡的暫時狀態，而兼具暫時止爭的功能，更必須同時列入該准否決定時的考慮。</w:t>
      </w:r>
    </w:p>
    <w:p w:rsidR="00453ABE" w:rsidRDefault="00453ABE" w:rsidP="00453ABE">
      <w:pPr>
        <w:widowControl/>
        <w:numPr>
          <w:ilvl w:val="0"/>
          <w:numId w:val="1"/>
        </w:numPr>
        <w:spacing w:afterLines="50" w:after="180" w:line="288" w:lineRule="auto"/>
        <w:jc w:val="both"/>
        <w:rPr>
          <w:rFonts w:hint="eastAsia"/>
          <w:color w:val="000000"/>
        </w:rPr>
      </w:pPr>
      <w:r>
        <w:rPr>
          <w:rFonts w:hint="eastAsia"/>
          <w:color w:val="000000"/>
        </w:rPr>
        <w:t>暫時權利保護與「預防性權利保護」（或稱「預行救濟」），是行政爭訟法上兩種不同的制度，體系上不容相混。在公務人員保障事件中，由於停止執行僅能針對既已作成之行政處分或其他行政行為發生效力，因此並不能同時充作針對尚未作成處分或其他行為前之權利救濟的「預防性暫時權利保護」。</w:t>
      </w:r>
    </w:p>
    <w:p w:rsidR="00453ABE" w:rsidRDefault="00453ABE" w:rsidP="00453ABE">
      <w:pPr>
        <w:widowControl/>
        <w:numPr>
          <w:ilvl w:val="0"/>
          <w:numId w:val="1"/>
        </w:numPr>
        <w:spacing w:afterLines="50" w:after="180" w:line="288" w:lineRule="auto"/>
        <w:jc w:val="both"/>
        <w:rPr>
          <w:rFonts w:hint="eastAsia"/>
          <w:color w:val="000000"/>
        </w:rPr>
      </w:pPr>
      <w:r>
        <w:rPr>
          <w:rFonts w:hint="eastAsia"/>
          <w:color w:val="000000"/>
        </w:rPr>
        <w:t>預防性權利保護或</w:t>
      </w:r>
      <w:r>
        <w:rPr>
          <w:rFonts w:hAnsi="新細明體"/>
          <w:color w:val="000000"/>
        </w:rPr>
        <w:t>預防性暫時權利保護</w:t>
      </w:r>
      <w:r>
        <w:rPr>
          <w:rFonts w:hint="eastAsia"/>
          <w:color w:val="000000"/>
        </w:rPr>
        <w:t>對於行政機關權限之行使，干預頗深；由於保訓會本身亦屬廣義行政（即：考試權下人事行政）機關之一種，所以基於行政機關間之權責劃分與相互尊重，縱使在立法政策上，似乎也不</w:t>
      </w:r>
      <w:r>
        <w:rPr>
          <w:rFonts w:hint="eastAsia"/>
          <w:color w:val="000000"/>
        </w:rPr>
        <w:lastRenderedPageBreak/>
        <w:t>宜逕以修正公務人員保障法等方式，由保訓會受理預防性權利保護或</w:t>
      </w:r>
      <w:r>
        <w:rPr>
          <w:rFonts w:hAnsi="新細明體"/>
          <w:color w:val="000000"/>
        </w:rPr>
        <w:t>預防性暫時權利保護</w:t>
      </w:r>
      <w:r>
        <w:rPr>
          <w:rFonts w:hint="eastAsia"/>
          <w:color w:val="000000"/>
        </w:rPr>
        <w:t>。</w:t>
      </w:r>
    </w:p>
    <w:p w:rsidR="00BF70BC" w:rsidRDefault="00BF70BC" w:rsidP="00453ABE"/>
    <w:sectPr w:rsidR="00BF70BC" w:rsidSect="00BF70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83" w:rsidRDefault="000C4683" w:rsidP="00453ABE">
      <w:r>
        <w:separator/>
      </w:r>
    </w:p>
  </w:endnote>
  <w:endnote w:type="continuationSeparator" w:id="0">
    <w:p w:rsidR="000C4683" w:rsidRDefault="000C4683" w:rsidP="0045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83" w:rsidRDefault="000C4683" w:rsidP="00453ABE">
      <w:r>
        <w:separator/>
      </w:r>
    </w:p>
  </w:footnote>
  <w:footnote w:type="continuationSeparator" w:id="0">
    <w:p w:rsidR="000C4683" w:rsidRDefault="000C4683" w:rsidP="00453ABE">
      <w:r>
        <w:continuationSeparator/>
      </w:r>
    </w:p>
  </w:footnote>
  <w:footnote w:id="1">
    <w:p w:rsidR="00453ABE" w:rsidRDefault="00453ABE" w:rsidP="00453ABE">
      <w:pPr>
        <w:pStyle w:val="a4"/>
        <w:spacing w:after="180"/>
      </w:pPr>
      <w:r>
        <w:rPr>
          <w:rStyle w:val="a3"/>
        </w:rPr>
        <w:footnoteRef/>
      </w:r>
      <w:r>
        <w:t xml:space="preserve"> </w:t>
      </w:r>
      <w:r>
        <w:t>有關行政程序法與正當法律原則之憲法誡命的關係，詳見：湯德宗，</w:t>
      </w:r>
      <w:r>
        <w:rPr>
          <w:rFonts w:hAnsi="新細明體"/>
        </w:rPr>
        <w:t>〈</w:t>
      </w:r>
      <w:r>
        <w:t>論正當行政程序〉，收於：同氏著，</w:t>
      </w:r>
      <w:r>
        <w:rPr>
          <w:rFonts w:hAnsi="新細明體"/>
        </w:rPr>
        <w:t>《行政程序法論》，</w:t>
      </w:r>
      <w:r>
        <w:t>2003</w:t>
      </w:r>
      <w:r>
        <w:rPr>
          <w:rFonts w:hAnsi="新細明體"/>
        </w:rPr>
        <w:t>年</w:t>
      </w:r>
      <w:r>
        <w:t>2</w:t>
      </w:r>
      <w:r>
        <w:rPr>
          <w:rFonts w:hAnsi="新細明體"/>
        </w:rPr>
        <w:t>版，頁</w:t>
      </w:r>
      <w:r>
        <w:t>1</w:t>
      </w:r>
      <w:r>
        <w:rPr>
          <w:rFonts w:hAnsi="新細明體"/>
        </w:rPr>
        <w:t>以下。</w:t>
      </w:r>
    </w:p>
  </w:footnote>
  <w:footnote w:id="2">
    <w:p w:rsidR="00453ABE" w:rsidRDefault="00453ABE" w:rsidP="00453ABE">
      <w:pPr>
        <w:pStyle w:val="a4"/>
        <w:spacing w:after="180"/>
        <w:rPr>
          <w:rFonts w:hint="eastAsia"/>
        </w:rPr>
      </w:pPr>
      <w:r>
        <w:rPr>
          <w:rStyle w:val="a3"/>
        </w:rPr>
        <w:footnoteRef/>
      </w:r>
      <w:r>
        <w:t xml:space="preserve"> </w:t>
      </w:r>
      <w:r>
        <w:rPr>
          <w:rFonts w:hint="eastAsia"/>
        </w:rPr>
        <w:t>見後文「第四章、第三節、貳」。</w:t>
      </w:r>
    </w:p>
  </w:footnote>
  <w:footnote w:id="3">
    <w:p w:rsidR="00453ABE" w:rsidRDefault="00453ABE" w:rsidP="00453ABE">
      <w:pPr>
        <w:pStyle w:val="a4"/>
        <w:spacing w:after="180"/>
        <w:rPr>
          <w:rFonts w:hint="eastAsia"/>
        </w:rPr>
      </w:pPr>
      <w:r>
        <w:rPr>
          <w:rStyle w:val="a3"/>
        </w:rPr>
        <w:footnoteRef/>
      </w:r>
      <w:r>
        <w:t xml:space="preserve"> </w:t>
      </w:r>
      <w:r>
        <w:rPr>
          <w:rFonts w:hint="eastAsia"/>
        </w:rPr>
        <w:t>有關德國行政爭訟法上之暫時權利保護法制，參見後文本章「第二節、貳」之說明。</w:t>
      </w:r>
    </w:p>
  </w:footnote>
  <w:footnote w:id="4">
    <w:p w:rsidR="00453ABE" w:rsidRDefault="00453ABE" w:rsidP="00453ABE">
      <w:pPr>
        <w:pStyle w:val="a4"/>
        <w:spacing w:after="180"/>
        <w:rPr>
          <w:rFonts w:hint="eastAsia"/>
        </w:rPr>
      </w:pPr>
      <w:r>
        <w:rPr>
          <w:rStyle w:val="a3"/>
        </w:rPr>
        <w:footnoteRef/>
      </w:r>
      <w:r>
        <w:t xml:space="preserve"> </w:t>
      </w:r>
      <w:r>
        <w:rPr>
          <w:rFonts w:hint="eastAsia"/>
        </w:rPr>
        <w:t>就此，詳見：</w:t>
      </w:r>
      <w:r>
        <w:rPr>
          <w:rFonts w:hint="eastAsia"/>
          <w:i/>
        </w:rPr>
        <w:t>Schoch</w:t>
      </w:r>
      <w:r>
        <w:rPr>
          <w:rFonts w:hint="eastAsia"/>
        </w:rPr>
        <w:t>, in: Schoch/Schmidt-A</w:t>
      </w:r>
      <w:r>
        <w:t>ßmann</w:t>
      </w:r>
      <w:r>
        <w:rPr>
          <w:rFonts w:hint="eastAsia"/>
        </w:rPr>
        <w:t>/Pietzner (Hrsg.),</w:t>
      </w:r>
      <w:r>
        <w:t xml:space="preserve"> Verwal</w:t>
      </w:r>
      <w:r>
        <w:rPr>
          <w:rFonts w:hint="eastAsia"/>
        </w:rPr>
        <w:t xml:space="preserve">tungsgerichtsordnung Kommentar, Vorb. </w:t>
      </w:r>
      <w:r>
        <w:t>§ </w:t>
      </w:r>
      <w:r>
        <w:rPr>
          <w:rFonts w:hint="eastAsia"/>
        </w:rPr>
        <w:t>80 Rn. 40 ff.</w:t>
      </w:r>
      <w:r>
        <w:t xml:space="preserve"> </w:t>
      </w:r>
      <w:r>
        <w:rPr>
          <w:rFonts w:hint="eastAsia"/>
        </w:rPr>
        <w:t>(insb. 45 </w:t>
      </w:r>
      <w:r>
        <w:t>f</w:t>
      </w:r>
      <w:r>
        <w:rPr>
          <w:rFonts w:hint="eastAsia"/>
        </w:rPr>
        <w:t>f.) [Stand: Okt.</w:t>
      </w:r>
      <w:r>
        <w:t xml:space="preserve"> 200</w:t>
      </w:r>
      <w:r>
        <w:rPr>
          <w:rFonts w:hint="eastAsia"/>
        </w:rPr>
        <w:t>8]</w:t>
      </w:r>
      <w:r>
        <w:rPr>
          <w:rFonts w:hint="eastAsia"/>
        </w:rPr>
        <w:t>。</w:t>
      </w:r>
    </w:p>
  </w:footnote>
  <w:footnote w:id="5">
    <w:p w:rsidR="00453ABE" w:rsidRDefault="00453ABE" w:rsidP="00453ABE">
      <w:pPr>
        <w:pStyle w:val="a4"/>
        <w:spacing w:after="180"/>
        <w:rPr>
          <w:rFonts w:hint="eastAsia"/>
        </w:rPr>
      </w:pPr>
      <w:r>
        <w:rPr>
          <w:rStyle w:val="a3"/>
        </w:rPr>
        <w:footnoteRef/>
      </w:r>
      <w:r>
        <w:t xml:space="preserve"> </w:t>
      </w:r>
      <w:r>
        <w:rPr>
          <w:rFonts w:hint="eastAsia"/>
        </w:rPr>
        <w:t>相關條文的日、中文對照，見後文「附錄　貳、二」。</w:t>
      </w:r>
    </w:p>
  </w:footnote>
  <w:footnote w:id="6">
    <w:p w:rsidR="00453ABE" w:rsidRDefault="00453ABE" w:rsidP="00453ABE">
      <w:pPr>
        <w:pStyle w:val="a4"/>
        <w:spacing w:after="180"/>
        <w:rPr>
          <w:rFonts w:hint="eastAsia"/>
        </w:rPr>
      </w:pPr>
      <w:r>
        <w:rPr>
          <w:rStyle w:val="a3"/>
        </w:rPr>
        <w:footnoteRef/>
      </w:r>
      <w:r>
        <w:t xml:space="preserve"> </w:t>
      </w:r>
      <w:r>
        <w:rPr>
          <w:rFonts w:hint="eastAsia"/>
        </w:rPr>
        <w:t>相關問題等，詳見後文「第三章、第二節、壹」。</w:t>
      </w:r>
    </w:p>
  </w:footnote>
  <w:footnote w:id="7">
    <w:p w:rsidR="00453ABE" w:rsidRDefault="00453ABE" w:rsidP="00453ABE">
      <w:pPr>
        <w:pStyle w:val="a4"/>
        <w:spacing w:after="180"/>
        <w:rPr>
          <w:rFonts w:hint="eastAsia"/>
        </w:rPr>
      </w:pPr>
      <w:r>
        <w:rPr>
          <w:rStyle w:val="a3"/>
        </w:rPr>
        <w:footnoteRef/>
      </w:r>
      <w:r>
        <w:t xml:space="preserve"> </w:t>
      </w:r>
      <w:r>
        <w:rPr>
          <w:rFonts w:hint="eastAsia"/>
        </w:rPr>
        <w:t>就此，參見：</w:t>
      </w:r>
      <w:r>
        <w:rPr>
          <w:rFonts w:hint="eastAsia"/>
          <w:color w:val="000000"/>
        </w:rPr>
        <w:t>宇賀克也『改正行政事件訴訟法</w:t>
      </w:r>
      <w:r>
        <w:rPr>
          <w:rFonts w:hint="eastAsia"/>
          <w:color w:val="000000"/>
        </w:rPr>
        <w:t xml:space="preserve"> </w:t>
      </w:r>
      <w:r>
        <w:rPr>
          <w:color w:val="000000"/>
        </w:rPr>
        <w:t>—</w:t>
      </w:r>
      <w:r>
        <w:rPr>
          <w:rFonts w:hint="eastAsia"/>
          <w:color w:val="000000"/>
        </w:rPr>
        <w:t xml:space="preserve"> </w:t>
      </w:r>
      <w:r>
        <w:rPr>
          <w:rFonts w:hint="eastAsia"/>
          <w:color w:val="000000"/>
        </w:rPr>
        <w:t>改正法</w:t>
      </w:r>
      <w:r>
        <w:rPr>
          <w:rFonts w:ascii="新細明體" w:hAnsi="新細明體" w:hint="eastAsia"/>
          <w:color w:val="000000"/>
        </w:rPr>
        <w:t>の</w:t>
      </w:r>
      <w:r>
        <w:rPr>
          <w:rFonts w:hint="eastAsia"/>
          <w:color w:val="000000"/>
        </w:rPr>
        <w:t>要</w:t>
      </w:r>
      <w:r>
        <w:rPr>
          <w:rFonts w:ascii="新細明體" w:hAnsi="新細明體" w:hint="eastAsia"/>
          <w:color w:val="000000"/>
        </w:rPr>
        <w:t>点と</w:t>
      </w:r>
      <w:r>
        <w:rPr>
          <w:rFonts w:hint="eastAsia"/>
          <w:color w:val="000000"/>
        </w:rPr>
        <w:t>逐</w:t>
      </w:r>
      <w:r>
        <w:rPr>
          <w:rFonts w:ascii="新細明體" w:hint="eastAsia"/>
          <w:color w:val="000000"/>
        </w:rPr>
        <w:t>条</w:t>
      </w:r>
      <w:r>
        <w:rPr>
          <w:rFonts w:hint="eastAsia"/>
          <w:color w:val="000000"/>
        </w:rPr>
        <w:t>解說』（青林書院，</w:t>
      </w:r>
      <w:r>
        <w:rPr>
          <w:rFonts w:hint="eastAsia"/>
          <w:color w:val="000000"/>
        </w:rPr>
        <w:t>2004</w:t>
      </w:r>
      <w:r>
        <w:rPr>
          <w:rFonts w:hint="eastAsia"/>
          <w:color w:val="000000"/>
        </w:rPr>
        <w:t>年），頁</w:t>
      </w:r>
      <w:r>
        <w:rPr>
          <w:rFonts w:hint="eastAsia"/>
          <w:color w:val="000000"/>
        </w:rPr>
        <w:t>180</w:t>
      </w:r>
      <w:r>
        <w:rPr>
          <w:rFonts w:hint="eastAsia"/>
          <w:color w:val="000000"/>
        </w:rPr>
        <w:t>。</w:t>
      </w:r>
    </w:p>
  </w:footnote>
  <w:footnote w:id="8">
    <w:p w:rsidR="00453ABE" w:rsidRDefault="00453ABE" w:rsidP="00453ABE">
      <w:pPr>
        <w:pStyle w:val="a4"/>
        <w:spacing w:after="180"/>
        <w:rPr>
          <w:rFonts w:hint="eastAsia"/>
        </w:rPr>
      </w:pPr>
      <w:r>
        <w:rPr>
          <w:rStyle w:val="a3"/>
        </w:rPr>
        <w:footnoteRef/>
      </w:r>
      <w:r>
        <w:t xml:space="preserve"> </w:t>
      </w:r>
      <w:r>
        <w:rPr>
          <w:rFonts w:hAnsi="新細明體"/>
        </w:rPr>
        <w:t>關於德國訴願制度</w:t>
      </w:r>
      <w:r>
        <w:rPr>
          <w:rFonts w:hAnsi="新細明體" w:hint="eastAsia"/>
        </w:rPr>
        <w:t>進一步說明</w:t>
      </w:r>
      <w:r>
        <w:rPr>
          <w:rFonts w:hAnsi="新細明體"/>
        </w:rPr>
        <w:t>，詳見：林明昕，</w:t>
      </w:r>
      <w:r>
        <w:rPr>
          <w:rFonts w:ascii="新細明體" w:hAnsi="新細明體" w:hint="eastAsia"/>
        </w:rPr>
        <w:t>〈</w:t>
      </w:r>
      <w:r>
        <w:rPr>
          <w:rFonts w:hAnsi="新細明體"/>
        </w:rPr>
        <w:t>德國訴願制度之簡介</w:t>
      </w:r>
      <w:r>
        <w:rPr>
          <w:rFonts w:hAnsi="新細明體" w:hint="eastAsia"/>
        </w:rPr>
        <w:t>〉</w:t>
      </w:r>
      <w:r>
        <w:rPr>
          <w:rFonts w:hAnsi="新細明體"/>
        </w:rPr>
        <w:t>，收於：臺北市政府訴願審議委員會編，</w:t>
      </w:r>
      <w:r>
        <w:rPr>
          <w:rFonts w:ascii="新細明體" w:hAnsi="新細明體" w:hint="eastAsia"/>
        </w:rPr>
        <w:t>《</w:t>
      </w:r>
      <w:r>
        <w:rPr>
          <w:rFonts w:hAnsi="新細明體"/>
        </w:rPr>
        <w:t>訴願新制專論暨研討會實錄</w:t>
      </w:r>
      <w:r>
        <w:rPr>
          <w:rFonts w:hAnsi="新細明體" w:hint="eastAsia"/>
        </w:rPr>
        <w:t>》</w:t>
      </w:r>
      <w:r>
        <w:rPr>
          <w:rFonts w:hAnsi="新細明體"/>
        </w:rPr>
        <w:t>，</w:t>
      </w:r>
      <w:r>
        <w:t>2001</w:t>
      </w:r>
      <w:r>
        <w:rPr>
          <w:rFonts w:hAnsi="新細明體"/>
        </w:rPr>
        <w:t>年</w:t>
      </w:r>
      <w:r>
        <w:t>10</w:t>
      </w:r>
      <w:r>
        <w:rPr>
          <w:rFonts w:hAnsi="新細明體"/>
        </w:rPr>
        <w:t>月，頁</w:t>
      </w:r>
      <w:r>
        <w:t>155</w:t>
      </w:r>
      <w:r>
        <w:rPr>
          <w:rFonts w:hint="eastAsia"/>
        </w:rPr>
        <w:t>以下。</w:t>
      </w:r>
    </w:p>
  </w:footnote>
  <w:footnote w:id="9">
    <w:p w:rsidR="00453ABE" w:rsidRDefault="00453ABE" w:rsidP="00453ABE">
      <w:pPr>
        <w:pStyle w:val="a4"/>
        <w:spacing w:after="180"/>
        <w:rPr>
          <w:rFonts w:hint="eastAsia"/>
        </w:rPr>
      </w:pPr>
      <w:r>
        <w:rPr>
          <w:rStyle w:val="a3"/>
        </w:rPr>
        <w:footnoteRef/>
      </w:r>
      <w:r>
        <w:t xml:space="preserve"> </w:t>
      </w:r>
      <w:r>
        <w:rPr>
          <w:rFonts w:hint="eastAsia"/>
        </w:rPr>
        <w:t>有關德國</w:t>
      </w:r>
      <w:r>
        <w:rPr>
          <w:rFonts w:hAnsi="新細明體" w:hint="eastAsia"/>
        </w:rPr>
        <w:t>訴願及撤銷訴訟由「執行停止原則」逐漸轉向為「執行不停止原則」，而與日本及我國現行法制趨近相同的分析，詳見：</w:t>
      </w:r>
      <w:r>
        <w:rPr>
          <w:rFonts w:hAnsi="新細明體"/>
        </w:rPr>
        <w:t>林明昕，</w:t>
      </w:r>
      <w:r>
        <w:rPr>
          <w:rFonts w:hint="eastAsia"/>
          <w:color w:val="000000"/>
        </w:rPr>
        <w:t>〈</w:t>
      </w:r>
      <w:r>
        <w:rPr>
          <w:color w:val="000000"/>
        </w:rPr>
        <w:t>論行政訴訟法上之</w:t>
      </w:r>
      <w:r>
        <w:rPr>
          <w:rFonts w:hint="eastAsia"/>
          <w:color w:val="000000"/>
        </w:rPr>
        <w:t>「</w:t>
      </w:r>
      <w:r>
        <w:rPr>
          <w:color w:val="000000"/>
        </w:rPr>
        <w:t>執行</w:t>
      </w:r>
      <w:r>
        <w:rPr>
          <w:rFonts w:hint="eastAsia"/>
          <w:color w:val="000000"/>
        </w:rPr>
        <w:t>（</w:t>
      </w:r>
      <w:r>
        <w:rPr>
          <w:color w:val="000000"/>
        </w:rPr>
        <w:t>不</w:t>
      </w:r>
      <w:r>
        <w:rPr>
          <w:rFonts w:hint="eastAsia"/>
          <w:color w:val="000000"/>
        </w:rPr>
        <w:t>）</w:t>
      </w:r>
      <w:r>
        <w:rPr>
          <w:color w:val="000000"/>
        </w:rPr>
        <w:t>停止原則</w:t>
      </w:r>
      <w:r>
        <w:rPr>
          <w:rFonts w:hint="eastAsia"/>
          <w:color w:val="000000"/>
        </w:rPr>
        <w:t>」</w:t>
      </w:r>
      <w:r>
        <w:rPr>
          <w:color w:val="000000"/>
        </w:rPr>
        <w:t>〉，</w:t>
      </w:r>
      <w:r>
        <w:rPr>
          <w:rFonts w:hint="eastAsia"/>
          <w:color w:val="000000"/>
        </w:rPr>
        <w:t>收於：同氏著，</w:t>
      </w:r>
      <w:r>
        <w:rPr>
          <w:color w:val="000000"/>
        </w:rPr>
        <w:t>《</w:t>
      </w:r>
      <w:r>
        <w:rPr>
          <w:rFonts w:hint="eastAsia"/>
          <w:color w:val="000000"/>
        </w:rPr>
        <w:t>公法學的開拓線</w:t>
      </w:r>
      <w:r>
        <w:rPr>
          <w:rFonts w:hint="eastAsia"/>
          <w:color w:val="000000"/>
        </w:rPr>
        <w:t xml:space="preserve"> </w:t>
      </w:r>
      <w:r>
        <w:rPr>
          <w:color w:val="000000"/>
        </w:rPr>
        <w:t>—</w:t>
      </w:r>
      <w:r>
        <w:rPr>
          <w:rFonts w:hint="eastAsia"/>
          <w:color w:val="000000"/>
        </w:rPr>
        <w:t xml:space="preserve"> </w:t>
      </w:r>
      <w:r>
        <w:rPr>
          <w:rFonts w:hint="eastAsia"/>
          <w:color w:val="000000"/>
        </w:rPr>
        <w:t>理論、實務與體系之構成》，</w:t>
      </w:r>
      <w:r>
        <w:rPr>
          <w:rFonts w:hint="eastAsia"/>
          <w:color w:val="000000"/>
        </w:rPr>
        <w:t>2006</w:t>
      </w:r>
      <w:r>
        <w:rPr>
          <w:rFonts w:hint="eastAsia"/>
          <w:color w:val="000000"/>
        </w:rPr>
        <w:t>年，頁</w:t>
      </w:r>
      <w:r>
        <w:rPr>
          <w:rFonts w:hint="eastAsia"/>
          <w:color w:val="000000"/>
        </w:rPr>
        <w:t>467</w:t>
      </w:r>
      <w:r>
        <w:rPr>
          <w:rFonts w:hint="eastAsia"/>
          <w:color w:val="000000"/>
        </w:rPr>
        <w:t>以下。</w:t>
      </w:r>
    </w:p>
  </w:footnote>
  <w:footnote w:id="10">
    <w:p w:rsidR="00453ABE" w:rsidRDefault="00453ABE" w:rsidP="00453ABE">
      <w:pPr>
        <w:pStyle w:val="a4"/>
        <w:spacing w:after="180"/>
        <w:rPr>
          <w:rFonts w:hint="eastAsia"/>
        </w:rPr>
      </w:pPr>
      <w:r>
        <w:rPr>
          <w:rStyle w:val="a3"/>
        </w:rPr>
        <w:footnoteRef/>
      </w:r>
      <w:r>
        <w:t xml:space="preserve"> </w:t>
      </w:r>
      <w:r>
        <w:rPr>
          <w:rFonts w:hint="eastAsia"/>
        </w:rPr>
        <w:t>關於德國行政法院法第</w:t>
      </w:r>
      <w:r>
        <w:rPr>
          <w:rFonts w:hint="eastAsia"/>
        </w:rPr>
        <w:t>80</w:t>
      </w:r>
      <w:r>
        <w:rPr>
          <w:rFonts w:hint="eastAsia"/>
        </w:rPr>
        <w:t>條至第</w:t>
      </w:r>
      <w:r>
        <w:rPr>
          <w:rFonts w:hint="eastAsia"/>
        </w:rPr>
        <w:t>80</w:t>
      </w:r>
      <w:r>
        <w:rPr>
          <w:rFonts w:hint="eastAsia"/>
        </w:rPr>
        <w:t>條之</w:t>
      </w:r>
      <w:r>
        <w:rPr>
          <w:rFonts w:hint="eastAsia"/>
        </w:rPr>
        <w:t>2</w:t>
      </w:r>
      <w:r>
        <w:rPr>
          <w:rFonts w:hint="eastAsia"/>
        </w:rPr>
        <w:t>的德、中文對照，見後文「附錄　貳、三」。</w:t>
      </w:r>
    </w:p>
  </w:footnote>
  <w:footnote w:id="11">
    <w:p w:rsidR="00453ABE" w:rsidRDefault="00453ABE" w:rsidP="00453ABE">
      <w:pPr>
        <w:pStyle w:val="a4"/>
        <w:spacing w:after="180"/>
        <w:rPr>
          <w:rFonts w:hint="eastAsia"/>
        </w:rPr>
      </w:pPr>
      <w:r>
        <w:rPr>
          <w:rStyle w:val="a3"/>
        </w:rPr>
        <w:footnoteRef/>
      </w:r>
      <w:r>
        <w:rPr>
          <w:rFonts w:hint="eastAsia"/>
        </w:rPr>
        <w:t xml:space="preserve"> </w:t>
      </w:r>
      <w:r>
        <w:rPr>
          <w:rFonts w:hint="eastAsia"/>
        </w:rPr>
        <w:t>德國行政法院法就「假扣押」並無明文規定。蓋在行政訴訟上，本以人民控告國家、地方自治團體或其他行政主體之行政違法為案件大宗；而國家、地方自治團體或其他行政主體於訴訟前後，有脫產，或其他至給付不能之情事，寧為罕見。不過即使如此，依德國學界通說（例見：</w:t>
      </w:r>
      <w:r>
        <w:rPr>
          <w:rFonts w:hint="eastAsia"/>
          <w:i/>
        </w:rPr>
        <w:t>Schoch</w:t>
      </w:r>
      <w:r>
        <w:rPr>
          <w:rFonts w:hint="eastAsia"/>
        </w:rPr>
        <w:t>, in: Schoch/Schmidt-A</w:t>
      </w:r>
      <w:r>
        <w:t>ßmann</w:t>
      </w:r>
      <w:r>
        <w:rPr>
          <w:rFonts w:hint="eastAsia"/>
        </w:rPr>
        <w:t>/Pietzner [Hrsg]</w:t>
      </w:r>
      <w:r>
        <w:t>, Verwal</w:t>
      </w:r>
      <w:r>
        <w:rPr>
          <w:rFonts w:hint="eastAsia"/>
        </w:rPr>
        <w:t xml:space="preserve">tungsgerichtsordnung Kommentar, </w:t>
      </w:r>
      <w:r>
        <w:t>§ 123 Rn.</w:t>
      </w:r>
      <w:r>
        <w:rPr>
          <w:rFonts w:hint="eastAsia"/>
        </w:rPr>
        <w:t xml:space="preserve"> 55 [Stand: Okt</w:t>
      </w:r>
      <w:r>
        <w:t>. 200</w:t>
      </w:r>
      <w:r>
        <w:rPr>
          <w:rFonts w:hint="eastAsia"/>
        </w:rPr>
        <w:t>8]</w:t>
      </w:r>
      <w:r>
        <w:rPr>
          <w:rFonts w:hint="eastAsia"/>
        </w:rPr>
        <w:t>），在行政訴訟之暫時權利保護程序中，如有必要，法院原非不得在聲請人之聲請符合行政法院法第</w:t>
      </w:r>
      <w:r>
        <w:rPr>
          <w:rFonts w:hint="eastAsia"/>
        </w:rPr>
        <w:t>123</w:t>
      </w:r>
      <w:r>
        <w:rPr>
          <w:rFonts w:hint="eastAsia"/>
        </w:rPr>
        <w:t>條第</w:t>
      </w:r>
      <w:r>
        <w:rPr>
          <w:rFonts w:hint="eastAsia"/>
        </w:rPr>
        <w:t>1</w:t>
      </w:r>
      <w:r>
        <w:rPr>
          <w:rFonts w:hint="eastAsia"/>
        </w:rPr>
        <w:t>項有關假處分之要件規定的情況下，命為假扣押。蓋在訴訟法學中，在聲請假處分的同一要件下，原亦得聲請假扣押；更何況假處分之內容，依前開行政法院法法條第</w:t>
      </w:r>
      <w:r>
        <w:rPr>
          <w:rFonts w:hint="eastAsia"/>
        </w:rPr>
        <w:t>3</w:t>
      </w:r>
      <w:r>
        <w:rPr>
          <w:rFonts w:hint="eastAsia"/>
        </w:rPr>
        <w:t>項準用民事訴訟法第</w:t>
      </w:r>
      <w:r>
        <w:rPr>
          <w:rFonts w:hint="eastAsia"/>
        </w:rPr>
        <w:t>938</w:t>
      </w:r>
      <w:r>
        <w:rPr>
          <w:rFonts w:hint="eastAsia"/>
        </w:rPr>
        <w:t>條第</w:t>
      </w:r>
      <w:r>
        <w:rPr>
          <w:rFonts w:hint="eastAsia"/>
        </w:rPr>
        <w:t>1</w:t>
      </w:r>
      <w:r>
        <w:rPr>
          <w:rFonts w:hint="eastAsia"/>
        </w:rPr>
        <w:t>項（相當於我國民事訴訟法第</w:t>
      </w:r>
      <w:r>
        <w:rPr>
          <w:rFonts w:hint="eastAsia"/>
        </w:rPr>
        <w:t>535</w:t>
      </w:r>
      <w:r>
        <w:rPr>
          <w:rFonts w:hint="eastAsia"/>
        </w:rPr>
        <w:t>條第</w:t>
      </w:r>
      <w:r>
        <w:rPr>
          <w:rFonts w:hint="eastAsia"/>
        </w:rPr>
        <w:t>1</w:t>
      </w:r>
      <w:r>
        <w:rPr>
          <w:rFonts w:hint="eastAsia"/>
        </w:rPr>
        <w:t>項）的結果，原本法院自由裁量，故在此範圍內，法院亦得以命為假扣押之手段，滿足聲請人之暫時權利保護的聲請。</w:t>
      </w:r>
    </w:p>
  </w:footnote>
  <w:footnote w:id="12">
    <w:p w:rsidR="00453ABE" w:rsidRDefault="00453ABE" w:rsidP="00453ABE">
      <w:pPr>
        <w:pStyle w:val="a4"/>
        <w:spacing w:after="180"/>
        <w:rPr>
          <w:rFonts w:hint="eastAsia"/>
        </w:rPr>
      </w:pPr>
      <w:r>
        <w:rPr>
          <w:rStyle w:val="a3"/>
        </w:rPr>
        <w:footnoteRef/>
      </w:r>
      <w:r>
        <w:t xml:space="preserve"> </w:t>
      </w:r>
      <w:r>
        <w:rPr>
          <w:rFonts w:hint="eastAsia"/>
        </w:rPr>
        <w:t>本條之德、中文對照，見後文「附錄　貳、三」。</w:t>
      </w:r>
    </w:p>
  </w:footnote>
  <w:footnote w:id="13">
    <w:p w:rsidR="00453ABE" w:rsidRDefault="00453ABE" w:rsidP="00453ABE">
      <w:pPr>
        <w:pStyle w:val="a4"/>
        <w:spacing w:after="180"/>
        <w:rPr>
          <w:rFonts w:hint="eastAsia"/>
        </w:rPr>
      </w:pPr>
      <w:r>
        <w:rPr>
          <w:rStyle w:val="a3"/>
        </w:rPr>
        <w:footnoteRef/>
      </w:r>
      <w:r>
        <w:t xml:space="preserve"> </w:t>
      </w:r>
      <w:r>
        <w:rPr>
          <w:rFonts w:hint="eastAsia"/>
        </w:rPr>
        <w:t>就此，尤見：</w:t>
      </w:r>
      <w:r>
        <w:rPr>
          <w:rFonts w:hint="eastAsia"/>
          <w:i/>
          <w:color w:val="000000"/>
        </w:rPr>
        <w:t>Leipold</w:t>
      </w:r>
      <w:r>
        <w:rPr>
          <w:rFonts w:hint="eastAsia"/>
          <w:color w:val="000000"/>
        </w:rPr>
        <w:t>, Grundlagen des einstweiligen Rechtsschutzes im zivil-, verfassungs- und verwaltungsgerichtlichen Verfahren, 1971, passim</w:t>
      </w:r>
      <w:r>
        <w:rPr>
          <w:rFonts w:hint="eastAsia"/>
          <w:color w:val="000000"/>
          <w:lang w:val="de-DE"/>
        </w:rPr>
        <w:t>。</w:t>
      </w:r>
    </w:p>
  </w:footnote>
  <w:footnote w:id="14">
    <w:p w:rsidR="00453ABE" w:rsidRDefault="00453ABE" w:rsidP="00453ABE">
      <w:pPr>
        <w:pStyle w:val="a4"/>
        <w:spacing w:after="180"/>
        <w:rPr>
          <w:rFonts w:hint="eastAsia"/>
        </w:rPr>
      </w:pPr>
      <w:r>
        <w:rPr>
          <w:rStyle w:val="a3"/>
        </w:rPr>
        <w:footnoteRef/>
      </w:r>
      <w:r>
        <w:t xml:space="preserve"> </w:t>
      </w:r>
      <w:r>
        <w:rPr>
          <w:rFonts w:hint="eastAsia"/>
        </w:rPr>
        <w:t>在此，德國學者</w:t>
      </w:r>
      <w:r>
        <w:rPr>
          <w:rFonts w:hAnsi="新細明體" w:hint="eastAsia"/>
          <w:i/>
        </w:rPr>
        <w:t>Friedrich Schoch</w:t>
      </w:r>
      <w:r>
        <w:rPr>
          <w:rFonts w:hAnsi="新細明體" w:hint="eastAsia"/>
        </w:rPr>
        <w:t>貢獻厥偉。至於有關</w:t>
      </w:r>
      <w:r>
        <w:rPr>
          <w:rFonts w:hAnsi="新細明體" w:hint="eastAsia"/>
          <w:i/>
        </w:rPr>
        <w:t>Schoch</w:t>
      </w:r>
      <w:r>
        <w:rPr>
          <w:rFonts w:hAnsi="新細明體" w:hint="eastAsia"/>
        </w:rPr>
        <w:t>的理論，在後文本章「第三節」中尚有進一步說明。</w:t>
      </w:r>
    </w:p>
  </w:footnote>
  <w:footnote w:id="15">
    <w:p w:rsidR="00453ABE" w:rsidRDefault="00453ABE" w:rsidP="00453ABE">
      <w:pPr>
        <w:pStyle w:val="a4"/>
        <w:spacing w:after="180"/>
        <w:rPr>
          <w:rFonts w:hint="eastAsia"/>
        </w:rPr>
      </w:pPr>
      <w:r>
        <w:rPr>
          <w:rStyle w:val="a3"/>
        </w:rPr>
        <w:footnoteRef/>
      </w:r>
      <w:r>
        <w:rPr>
          <w:rFonts w:hint="eastAsia"/>
        </w:rPr>
        <w:t xml:space="preserve"> </w:t>
      </w:r>
      <w:r>
        <w:rPr>
          <w:rFonts w:hint="eastAsia"/>
        </w:rPr>
        <w:t>關於這一點，從本研究報告後文「附錄　壹、一」所列的中文參考文獻中，或可窺出端倪。</w:t>
      </w:r>
    </w:p>
  </w:footnote>
  <w:footnote w:id="16">
    <w:p w:rsidR="00453ABE" w:rsidRDefault="00453ABE" w:rsidP="00453ABE">
      <w:pPr>
        <w:pStyle w:val="a4"/>
        <w:spacing w:after="180"/>
      </w:pPr>
      <w:r>
        <w:rPr>
          <w:rStyle w:val="a3"/>
        </w:rPr>
        <w:footnoteRef/>
      </w:r>
      <w:r>
        <w:t xml:space="preserve"> </w:t>
      </w:r>
      <w:r>
        <w:rPr>
          <w:i/>
        </w:rPr>
        <w:t>See generally</w:t>
      </w:r>
      <w:r>
        <w:t xml:space="preserve"> Susan H. Black, </w:t>
      </w:r>
      <w:r>
        <w:rPr>
          <w:i/>
        </w:rPr>
        <w:t>A New Look at Preliminary Injunctions: Can Principles from the Past Offer Any Guidelines to Decisionmakers in the Future</w:t>
      </w:r>
      <w:r>
        <w:t xml:space="preserve">, 36 </w:t>
      </w:r>
      <w:r>
        <w:rPr>
          <w:smallCaps/>
        </w:rPr>
        <w:t>Ala. L. Rev.</w:t>
      </w:r>
      <w:r>
        <w:t xml:space="preserve"> 1 (1984-1985).</w:t>
      </w:r>
    </w:p>
  </w:footnote>
  <w:footnote w:id="17">
    <w:p w:rsidR="00453ABE" w:rsidRDefault="00453ABE" w:rsidP="00453ABE">
      <w:pPr>
        <w:pStyle w:val="a4"/>
        <w:spacing w:after="180"/>
      </w:pPr>
      <w:r>
        <w:rPr>
          <w:rStyle w:val="a3"/>
        </w:rPr>
        <w:footnoteRef/>
      </w:r>
      <w:r>
        <w:t xml:space="preserve"> Morton Denlow, </w:t>
      </w:r>
      <w:r>
        <w:rPr>
          <w:i/>
        </w:rPr>
        <w:t>The Motion for A Preliminary Injunction: Time for A Uniform Federal Standard</w:t>
      </w:r>
      <w:r>
        <w:t xml:space="preserve">, 22 </w:t>
      </w:r>
      <w:r>
        <w:rPr>
          <w:smallCaps/>
        </w:rPr>
        <w:t>Rev. Litig.</w:t>
      </w:r>
      <w:r>
        <w:t xml:space="preserve"> 495, 499 (2003).</w:t>
      </w:r>
    </w:p>
  </w:footnote>
  <w:footnote w:id="18">
    <w:p w:rsidR="00453ABE" w:rsidRDefault="00453ABE" w:rsidP="00453ABE">
      <w:pPr>
        <w:pStyle w:val="a4"/>
        <w:spacing w:after="180"/>
      </w:pPr>
      <w:r>
        <w:rPr>
          <w:rStyle w:val="a3"/>
        </w:rPr>
        <w:footnoteRef/>
      </w:r>
      <w:r>
        <w:t xml:space="preserve"> </w:t>
      </w:r>
      <w:r>
        <w:rPr>
          <w:rFonts w:hint="eastAsia"/>
        </w:rPr>
        <w:t>又，</w:t>
      </w:r>
      <w:r>
        <w:rPr>
          <w:rFonts w:hAnsi="新細明體"/>
        </w:rPr>
        <w:t>永久禁制令的期限</w:t>
      </w:r>
      <w:r>
        <w:rPr>
          <w:rFonts w:hAnsi="新細明體" w:hint="eastAsia"/>
        </w:rPr>
        <w:t>，</w:t>
      </w:r>
      <w:r>
        <w:rPr>
          <w:rFonts w:hAnsi="新細明體"/>
        </w:rPr>
        <w:t>依個案決定，</w:t>
      </w:r>
      <w:r>
        <w:rPr>
          <w:rFonts w:hAnsi="新細明體" w:hint="eastAsia"/>
        </w:rPr>
        <w:t>原是</w:t>
      </w:r>
      <w:r>
        <w:rPr>
          <w:rFonts w:hAnsi="新細明體"/>
        </w:rPr>
        <w:t>可長可短</w:t>
      </w:r>
      <w:r>
        <w:rPr>
          <w:rFonts w:hAnsi="新細明體" w:hint="eastAsia"/>
        </w:rPr>
        <w:t>；所以</w:t>
      </w:r>
      <w:r>
        <w:rPr>
          <w:rFonts w:hAnsi="新細明體"/>
        </w:rPr>
        <w:t>「永久」一</w:t>
      </w:r>
      <w:r>
        <w:rPr>
          <w:rFonts w:hAnsi="新細明體" w:hint="eastAsia"/>
        </w:rPr>
        <w:t>語，其實並</w:t>
      </w:r>
      <w:r>
        <w:rPr>
          <w:rFonts w:hAnsi="新細明體"/>
        </w:rPr>
        <w:t>非指期限</w:t>
      </w:r>
      <w:r>
        <w:rPr>
          <w:rFonts w:hAnsi="新細明體" w:hint="eastAsia"/>
        </w:rPr>
        <w:t>上真正的</w:t>
      </w:r>
      <w:r>
        <w:rPr>
          <w:rFonts w:hAnsi="新細明體"/>
        </w:rPr>
        <w:t>永久</w:t>
      </w:r>
      <w:r>
        <w:rPr>
          <w:rFonts w:hAnsi="新細明體" w:hint="eastAsia"/>
        </w:rPr>
        <w:t>。就此，參見：</w:t>
      </w:r>
      <w:r>
        <w:rPr>
          <w:rFonts w:hAnsi="新細明體"/>
        </w:rPr>
        <w:t>黃昭元，〈真調會條例釋憲案鑑定意見〉，月旦法學雜誌</w:t>
      </w:r>
      <w:r>
        <w:t>117</w:t>
      </w:r>
      <w:r>
        <w:rPr>
          <w:rFonts w:hAnsi="新細明體"/>
        </w:rPr>
        <w:t>期（</w:t>
      </w:r>
      <w:r>
        <w:t>2005</w:t>
      </w:r>
      <w:r>
        <w:rPr>
          <w:rFonts w:hAnsi="新細明體"/>
        </w:rPr>
        <w:t>年</w:t>
      </w:r>
      <w:r>
        <w:t>2</w:t>
      </w:r>
      <w:r>
        <w:rPr>
          <w:rFonts w:hAnsi="新細明體"/>
        </w:rPr>
        <w:t>月），頁</w:t>
      </w:r>
      <w:r>
        <w:t>25</w:t>
      </w:r>
      <w:r>
        <w:rPr>
          <w:rFonts w:hAnsi="新細明體"/>
        </w:rPr>
        <w:t>。</w:t>
      </w:r>
    </w:p>
  </w:footnote>
  <w:footnote w:id="19">
    <w:p w:rsidR="00453ABE" w:rsidRDefault="00453ABE" w:rsidP="00453ABE">
      <w:pPr>
        <w:pStyle w:val="a4"/>
        <w:spacing w:after="180"/>
      </w:pPr>
      <w:r>
        <w:rPr>
          <w:rStyle w:val="a3"/>
        </w:rPr>
        <w:footnoteRef/>
      </w:r>
      <w:r>
        <w:t xml:space="preserve"> Morton Denlow, </w:t>
      </w:r>
      <w:r>
        <w:rPr>
          <w:i/>
        </w:rPr>
        <w:t>The Motion for A Preliminary Injunction: Time for A Uniform Federal Standard</w:t>
      </w:r>
      <w:r>
        <w:t xml:space="preserve">, 22 </w:t>
      </w:r>
      <w:r>
        <w:rPr>
          <w:smallCaps/>
        </w:rPr>
        <w:t>Rev. Litig.</w:t>
      </w:r>
      <w:r>
        <w:t xml:space="preserve"> 495, 500-02 (2003).</w:t>
      </w:r>
    </w:p>
  </w:footnote>
  <w:footnote w:id="20">
    <w:p w:rsidR="00453ABE" w:rsidRDefault="00453ABE" w:rsidP="00453ABE">
      <w:pPr>
        <w:pStyle w:val="a4"/>
        <w:spacing w:after="180"/>
        <w:rPr>
          <w:rFonts w:hint="eastAsia"/>
        </w:rPr>
      </w:pPr>
      <w:r>
        <w:rPr>
          <w:rStyle w:val="a3"/>
        </w:rPr>
        <w:footnoteRef/>
      </w:r>
      <w:r>
        <w:t xml:space="preserve"> </w:t>
      </w:r>
      <w:r>
        <w:rPr>
          <w:rFonts w:hint="eastAsia"/>
        </w:rPr>
        <w:t>有關這條規則的英、中文對照，見後文「附錄　貳、四」。</w:t>
      </w:r>
    </w:p>
  </w:footnote>
  <w:footnote w:id="21">
    <w:p w:rsidR="00453ABE" w:rsidRDefault="00453ABE" w:rsidP="00453ABE">
      <w:pPr>
        <w:pStyle w:val="a4"/>
        <w:spacing w:after="180"/>
      </w:pPr>
      <w:r>
        <w:rPr>
          <w:rStyle w:val="a3"/>
        </w:rPr>
        <w:footnoteRef/>
      </w:r>
      <w:r>
        <w:t xml:space="preserve"> Fed. R. Civ. P. 65(b). As amended by 2009 Amendment, effective from December 1, 2009.</w:t>
      </w:r>
    </w:p>
  </w:footnote>
  <w:footnote w:id="22">
    <w:p w:rsidR="00453ABE" w:rsidRDefault="00453ABE" w:rsidP="00453ABE">
      <w:pPr>
        <w:pStyle w:val="a4"/>
        <w:spacing w:after="180"/>
      </w:pPr>
      <w:r>
        <w:rPr>
          <w:rStyle w:val="a3"/>
        </w:rPr>
        <w:footnoteRef/>
      </w:r>
      <w:r>
        <w:t xml:space="preserve"> </w:t>
      </w:r>
      <w:r>
        <w:rPr>
          <w:rFonts w:hAnsi="新細明體"/>
        </w:rPr>
        <w:t>馮震宇，〈從美國司法實務看台灣專利案件之假處分救濟〉，月旦法學雜誌</w:t>
      </w:r>
      <w:r>
        <w:t>109</w:t>
      </w:r>
      <w:r>
        <w:rPr>
          <w:rFonts w:hAnsi="新細明體"/>
        </w:rPr>
        <w:t>期（</w:t>
      </w:r>
      <w:r>
        <w:t>2004</w:t>
      </w:r>
      <w:r>
        <w:rPr>
          <w:rFonts w:hAnsi="新細明體"/>
        </w:rPr>
        <w:t>年</w:t>
      </w:r>
      <w:r>
        <w:t>6</w:t>
      </w:r>
      <w:r>
        <w:rPr>
          <w:rFonts w:hAnsi="新細明體"/>
        </w:rPr>
        <w:t>月），頁</w:t>
      </w:r>
      <w:r>
        <w:t>10</w:t>
      </w:r>
      <w:r>
        <w:rPr>
          <w:rFonts w:hAnsi="新細明體"/>
        </w:rPr>
        <w:t>，註</w:t>
      </w:r>
      <w:r>
        <w:t>4</w:t>
      </w:r>
      <w:r>
        <w:rPr>
          <w:rFonts w:hAnsi="新細明體"/>
        </w:rPr>
        <w:t>。</w:t>
      </w:r>
    </w:p>
  </w:footnote>
  <w:footnote w:id="23">
    <w:p w:rsidR="00453ABE" w:rsidRDefault="00453ABE" w:rsidP="00453ABE">
      <w:pPr>
        <w:pStyle w:val="a4"/>
        <w:spacing w:after="180"/>
      </w:pPr>
      <w:r>
        <w:rPr>
          <w:rStyle w:val="a3"/>
        </w:rPr>
        <w:footnoteRef/>
      </w:r>
      <w:r>
        <w:t xml:space="preserve"> </w:t>
      </w:r>
      <w:r>
        <w:rPr>
          <w:rFonts w:hAnsi="新細明體"/>
        </w:rPr>
        <w:t>沈冠伶，〈我國假處分制度之過去與未來〉，月旦法學雜誌</w:t>
      </w:r>
      <w:r>
        <w:t>109</w:t>
      </w:r>
      <w:r>
        <w:rPr>
          <w:rFonts w:hAnsi="新細明體"/>
        </w:rPr>
        <w:t>期（</w:t>
      </w:r>
      <w:r>
        <w:t>2004</w:t>
      </w:r>
      <w:r>
        <w:rPr>
          <w:rFonts w:hAnsi="新細明體"/>
        </w:rPr>
        <w:t>年</w:t>
      </w:r>
      <w:r>
        <w:t>6</w:t>
      </w:r>
      <w:r>
        <w:rPr>
          <w:rFonts w:hAnsi="新細明體"/>
        </w:rPr>
        <w:t>月），頁</w:t>
      </w:r>
      <w:r>
        <w:t>61</w:t>
      </w:r>
      <w:r>
        <w:rPr>
          <w:rFonts w:hAnsi="新細明體"/>
        </w:rPr>
        <w:t>。</w:t>
      </w:r>
    </w:p>
  </w:footnote>
  <w:footnote w:id="24">
    <w:p w:rsidR="00453ABE" w:rsidRDefault="00453ABE" w:rsidP="00453ABE">
      <w:pPr>
        <w:pStyle w:val="a4"/>
        <w:spacing w:after="180"/>
        <w:rPr>
          <w:rFonts w:hint="eastAsia"/>
        </w:rPr>
      </w:pPr>
      <w:r>
        <w:rPr>
          <w:rStyle w:val="a3"/>
        </w:rPr>
        <w:footnoteRef/>
      </w:r>
      <w:r>
        <w:t xml:space="preserve"> </w:t>
      </w:r>
      <w:r>
        <w:rPr>
          <w:rFonts w:hint="eastAsia"/>
        </w:rPr>
        <w:t>見後文「第四章、第二節、貳」。</w:t>
      </w:r>
    </w:p>
  </w:footnote>
  <w:footnote w:id="25">
    <w:p w:rsidR="00453ABE" w:rsidRDefault="00453ABE" w:rsidP="00453ABE">
      <w:pPr>
        <w:pStyle w:val="a4"/>
        <w:spacing w:after="180"/>
        <w:rPr>
          <w:rFonts w:hint="eastAsia"/>
        </w:rPr>
      </w:pPr>
      <w:r>
        <w:rPr>
          <w:rStyle w:val="a3"/>
        </w:rPr>
        <w:footnoteRef/>
      </w:r>
      <w:r>
        <w:rPr>
          <w:rFonts w:hint="eastAsia"/>
        </w:rPr>
        <w:t xml:space="preserve"> </w:t>
      </w:r>
      <w:r>
        <w:rPr>
          <w:rFonts w:hint="eastAsia"/>
        </w:rPr>
        <w:t>見後文「第三章、第二節、壹」。</w:t>
      </w:r>
    </w:p>
  </w:footnote>
  <w:footnote w:id="26">
    <w:p w:rsidR="00453ABE" w:rsidRDefault="00453ABE" w:rsidP="00453ABE">
      <w:pPr>
        <w:pStyle w:val="a4"/>
        <w:spacing w:after="180"/>
        <w:rPr>
          <w:rFonts w:hint="eastAsia"/>
          <w:lang w:val="de-DE"/>
        </w:rPr>
      </w:pPr>
      <w:r>
        <w:rPr>
          <w:rStyle w:val="a3"/>
        </w:rPr>
        <w:footnoteRef/>
      </w:r>
      <w:r>
        <w:rPr>
          <w:rFonts w:hint="eastAsia"/>
          <w:i/>
          <w:iCs/>
        </w:rPr>
        <w:t xml:space="preserve"> Schoch</w:t>
      </w:r>
      <w:r>
        <w:rPr>
          <w:rFonts w:hint="eastAsia"/>
          <w:iCs/>
        </w:rPr>
        <w:t>之相關著作</w:t>
      </w:r>
      <w:r>
        <w:rPr>
          <w:rFonts w:hint="eastAsia"/>
        </w:rPr>
        <w:t>，主要集中在</w:t>
      </w:r>
      <w:r>
        <w:rPr>
          <w:rFonts w:hint="eastAsia"/>
        </w:rPr>
        <w:t>Vorl</w:t>
      </w:r>
      <w:r>
        <w:t xml:space="preserve">äufiger Rechtsschutz </w:t>
      </w:r>
      <w:r>
        <w:rPr>
          <w:rFonts w:hint="eastAsia"/>
        </w:rPr>
        <w:t>und Risikoverteilung im Verwal</w:t>
      </w:r>
      <w:r>
        <w:softHyphen/>
      </w:r>
      <w:r>
        <w:rPr>
          <w:rFonts w:hint="eastAsia"/>
        </w:rPr>
        <w:t>tungs</w:t>
      </w:r>
      <w:r>
        <w:softHyphen/>
      </w:r>
      <w:r>
        <w:rPr>
          <w:rFonts w:hint="eastAsia"/>
        </w:rPr>
        <w:t>recht, 1988; Grundfragen des verwaltungsgerichtlichen vorl</w:t>
      </w:r>
      <w:r>
        <w:t>äufige</w:t>
      </w:r>
      <w:r>
        <w:rPr>
          <w:rFonts w:hint="eastAsia"/>
        </w:rPr>
        <w:t>n</w:t>
      </w:r>
      <w:r>
        <w:t xml:space="preserve"> Rechtsschutz</w:t>
      </w:r>
      <w:r>
        <w:rPr>
          <w:rFonts w:hint="eastAsia"/>
        </w:rPr>
        <w:t xml:space="preserve">es, VerwArch. </w:t>
      </w:r>
      <w:r>
        <w:rPr>
          <w:rFonts w:hint="eastAsia"/>
          <w:lang w:val="de-DE"/>
        </w:rPr>
        <w:t>82 (1991), 145</w:t>
      </w:r>
      <w:r>
        <w:rPr>
          <w:lang w:val="de-DE"/>
        </w:rPr>
        <w:t> </w:t>
      </w:r>
      <w:r>
        <w:rPr>
          <w:rFonts w:hint="eastAsia"/>
          <w:lang w:val="de-DE"/>
        </w:rPr>
        <w:t>ff.; Schoch/Schmidt-A</w:t>
      </w:r>
      <w:r>
        <w:rPr>
          <w:lang w:val="de-DE"/>
        </w:rPr>
        <w:t>ßmann</w:t>
      </w:r>
      <w:r>
        <w:rPr>
          <w:rFonts w:hint="eastAsia"/>
          <w:lang w:val="de-DE"/>
        </w:rPr>
        <w:t xml:space="preserve">/Pietzner (Hrsg.), Verwaltungsgerichtsordnung Kommentar, Vorb. </w:t>
      </w:r>
      <w:r>
        <w:rPr>
          <w:lang w:val="de-DE"/>
        </w:rPr>
        <w:t>§ </w:t>
      </w:r>
      <w:r>
        <w:rPr>
          <w:rFonts w:hint="eastAsia"/>
          <w:lang w:val="de-DE"/>
        </w:rPr>
        <w:t xml:space="preserve">80, </w:t>
      </w:r>
      <w:r>
        <w:rPr>
          <w:lang w:val="de-DE"/>
        </w:rPr>
        <w:t>§§ </w:t>
      </w:r>
      <w:r>
        <w:rPr>
          <w:rFonts w:hint="eastAsia"/>
          <w:lang w:val="de-DE"/>
        </w:rPr>
        <w:t>80</w:t>
      </w:r>
      <w:r>
        <w:rPr>
          <w:lang w:val="de-DE"/>
        </w:rPr>
        <w:t> </w:t>
      </w:r>
      <w:r>
        <w:rPr>
          <w:rFonts w:hint="eastAsia"/>
          <w:lang w:val="de-DE"/>
        </w:rPr>
        <w:t xml:space="preserve">ff., </w:t>
      </w:r>
      <w:r>
        <w:rPr>
          <w:lang w:val="de-DE"/>
        </w:rPr>
        <w:t>§ </w:t>
      </w:r>
      <w:r>
        <w:rPr>
          <w:rFonts w:hint="eastAsia"/>
          <w:lang w:val="de-DE"/>
        </w:rPr>
        <w:t xml:space="preserve">123 u. </w:t>
      </w:r>
      <w:r>
        <w:rPr>
          <w:lang w:val="de-DE"/>
        </w:rPr>
        <w:t>§ </w:t>
      </w:r>
      <w:r>
        <w:rPr>
          <w:rFonts w:hint="eastAsia"/>
          <w:lang w:val="de-DE"/>
        </w:rPr>
        <w:t>47 Rn. 126 </w:t>
      </w:r>
      <w:r>
        <w:rPr>
          <w:lang w:val="de-DE"/>
        </w:rPr>
        <w:t>f</w:t>
      </w:r>
      <w:r>
        <w:rPr>
          <w:rFonts w:hint="eastAsia"/>
          <w:lang w:val="de-DE"/>
        </w:rPr>
        <w:t xml:space="preserve">f. [Stand: Okt. 2008] </w:t>
      </w:r>
      <w:r>
        <w:rPr>
          <w:rFonts w:hint="eastAsia"/>
        </w:rPr>
        <w:t>等三部之中</w:t>
      </w:r>
      <w:r>
        <w:rPr>
          <w:rFonts w:hint="eastAsia"/>
          <w:lang w:val="de-DE"/>
        </w:rPr>
        <w:t>，</w:t>
      </w:r>
      <w:r>
        <w:rPr>
          <w:rFonts w:hint="eastAsia"/>
        </w:rPr>
        <w:t>其影響無遠弗屆。近來他的另一篇相關著作</w:t>
      </w:r>
      <w:r>
        <w:rPr>
          <w:rFonts w:hint="eastAsia"/>
          <w:lang w:val="de-DE"/>
        </w:rPr>
        <w:t>Einstweilige Anordnung, in: Badura/Dreier (Hrsg.), Festschrift 50 Jahre Bun</w:t>
      </w:r>
      <w:r>
        <w:rPr>
          <w:lang w:val="de-DE"/>
        </w:rPr>
        <w:softHyphen/>
      </w:r>
      <w:r>
        <w:rPr>
          <w:rFonts w:hint="eastAsia"/>
          <w:lang w:val="de-DE"/>
        </w:rPr>
        <w:t>des</w:t>
      </w:r>
      <w:r>
        <w:rPr>
          <w:lang w:val="de-DE"/>
        </w:rPr>
        <w:softHyphen/>
      </w:r>
      <w:r>
        <w:rPr>
          <w:rFonts w:hint="eastAsia"/>
          <w:lang w:val="de-DE"/>
        </w:rPr>
        <w:t>verfassungsgericht, Bd. I: Verfassungsgerichtsbarkeit Verfassungsproze</w:t>
      </w:r>
      <w:r>
        <w:rPr>
          <w:lang w:val="de-DE"/>
        </w:rPr>
        <w:t>ß</w:t>
      </w:r>
      <w:r>
        <w:rPr>
          <w:rFonts w:hint="eastAsia"/>
          <w:lang w:val="de-DE"/>
        </w:rPr>
        <w:t xml:space="preserve">, </w:t>
      </w:r>
      <w:r>
        <w:rPr>
          <w:lang w:val="de-DE"/>
        </w:rPr>
        <w:t>2</w:t>
      </w:r>
      <w:r>
        <w:rPr>
          <w:rFonts w:hint="eastAsia"/>
          <w:lang w:val="de-DE"/>
        </w:rPr>
        <w:t>001, S. 697 ff.</w:t>
      </w:r>
      <w:r>
        <w:rPr>
          <w:rFonts w:hint="eastAsia"/>
        </w:rPr>
        <w:t>也將會是有關憲法訴訟中之暫時權利保護制度之研究的重要參考文獻之一。</w:t>
      </w:r>
    </w:p>
  </w:footnote>
  <w:footnote w:id="27">
    <w:p w:rsidR="00453ABE" w:rsidRDefault="00453ABE" w:rsidP="00453ABE">
      <w:pPr>
        <w:pStyle w:val="a4"/>
        <w:spacing w:after="180"/>
        <w:rPr>
          <w:rFonts w:hint="eastAsia"/>
          <w:lang w:val="de-DE"/>
        </w:rPr>
      </w:pPr>
      <w:r>
        <w:rPr>
          <w:rStyle w:val="a3"/>
        </w:rPr>
        <w:footnoteRef/>
      </w:r>
      <w:r>
        <w:t xml:space="preserve"> </w:t>
      </w:r>
      <w:r>
        <w:rPr>
          <w:rFonts w:hint="eastAsia"/>
        </w:rPr>
        <w:t>該理論之名稱，得之於</w:t>
      </w:r>
      <w:r>
        <w:rPr>
          <w:rFonts w:hint="eastAsia"/>
          <w:i/>
        </w:rPr>
        <w:t xml:space="preserve">O.-W. </w:t>
      </w:r>
      <w:r>
        <w:rPr>
          <w:rFonts w:hint="eastAsia"/>
          <w:i/>
          <w:lang w:val="de-DE"/>
        </w:rPr>
        <w:t>Jakobs</w:t>
      </w:r>
      <w:r>
        <w:rPr>
          <w:rFonts w:hint="eastAsia"/>
          <w:lang w:val="de-DE"/>
        </w:rPr>
        <w:t>, Eine Magna Jurisprudentia des vorl</w:t>
      </w:r>
      <w:r>
        <w:rPr>
          <w:lang w:val="de-DE"/>
        </w:rPr>
        <w:t>äufige</w:t>
      </w:r>
      <w:r>
        <w:rPr>
          <w:rFonts w:hint="eastAsia"/>
          <w:lang w:val="de-DE"/>
        </w:rPr>
        <w:t>n</w:t>
      </w:r>
      <w:r>
        <w:rPr>
          <w:lang w:val="de-DE"/>
        </w:rPr>
        <w:t xml:space="preserve"> Rechtsschutz</w:t>
      </w:r>
      <w:r>
        <w:rPr>
          <w:rFonts w:hint="eastAsia"/>
          <w:lang w:val="de-DE"/>
        </w:rPr>
        <w:t xml:space="preserve">es </w:t>
      </w:r>
      <w:r>
        <w:rPr>
          <w:lang w:val="de-DE"/>
        </w:rPr>
        <w:t>—</w:t>
      </w:r>
      <w:r>
        <w:rPr>
          <w:rFonts w:hint="eastAsia"/>
          <w:lang w:val="de-DE"/>
        </w:rPr>
        <w:t xml:space="preserve"> Gedanken zu Friedrich Schoch: Vorl</w:t>
      </w:r>
      <w:r>
        <w:rPr>
          <w:lang w:val="de-DE"/>
        </w:rPr>
        <w:t xml:space="preserve">äufiger Rechtsschutz </w:t>
      </w:r>
      <w:r>
        <w:rPr>
          <w:rFonts w:hint="eastAsia"/>
          <w:lang w:val="de-DE"/>
        </w:rPr>
        <w:t>und Risikoverteilung im Verwal</w:t>
      </w:r>
      <w:r>
        <w:rPr>
          <w:lang w:val="de-DE"/>
        </w:rPr>
        <w:softHyphen/>
      </w:r>
      <w:r>
        <w:rPr>
          <w:rFonts w:hint="eastAsia"/>
          <w:lang w:val="de-DE"/>
        </w:rPr>
        <w:t>tungsrecht, VBlBW 1990, 446 (450)</w:t>
      </w:r>
      <w:r>
        <w:rPr>
          <w:rFonts w:hint="eastAsia"/>
        </w:rPr>
        <w:t>。</w:t>
      </w:r>
    </w:p>
  </w:footnote>
  <w:footnote w:id="28">
    <w:p w:rsidR="00453ABE" w:rsidRDefault="00453ABE" w:rsidP="00453ABE">
      <w:pPr>
        <w:pStyle w:val="a4"/>
        <w:spacing w:after="180"/>
        <w:rPr>
          <w:rFonts w:hint="eastAsia"/>
          <w:lang w:val="de-DE"/>
        </w:rPr>
      </w:pPr>
      <w:r>
        <w:rPr>
          <w:rStyle w:val="a3"/>
        </w:rPr>
        <w:footnoteRef/>
      </w:r>
      <w:r>
        <w:rPr>
          <w:rFonts w:hint="eastAsia"/>
          <w:lang w:val="de-DE"/>
        </w:rPr>
        <w:t xml:space="preserve"> </w:t>
      </w:r>
      <w:r>
        <w:rPr>
          <w:rFonts w:hint="eastAsia"/>
        </w:rPr>
        <w:t>例見</w:t>
      </w:r>
      <w:r>
        <w:rPr>
          <w:rFonts w:hint="eastAsia"/>
          <w:lang w:val="de-DE"/>
        </w:rPr>
        <w:t>：</w:t>
      </w:r>
      <w:r>
        <w:rPr>
          <w:rFonts w:hint="eastAsia"/>
          <w:i/>
          <w:lang w:val="de-DE"/>
        </w:rPr>
        <w:t>Walker</w:t>
      </w:r>
      <w:r>
        <w:rPr>
          <w:rFonts w:hint="eastAsia"/>
          <w:lang w:val="de-DE"/>
        </w:rPr>
        <w:t>, Der einstweilige Rechtsschutz im Zivilproze</w:t>
      </w:r>
      <w:r>
        <w:rPr>
          <w:lang w:val="de-DE"/>
        </w:rPr>
        <w:t>ß</w:t>
      </w:r>
      <w:r>
        <w:rPr>
          <w:rFonts w:hint="eastAsia"/>
          <w:lang w:val="de-DE"/>
        </w:rPr>
        <w:t xml:space="preserve"> und im arbeitsgerichtlichen Ver</w:t>
      </w:r>
      <w:r>
        <w:rPr>
          <w:lang w:val="de-DE"/>
        </w:rPr>
        <w:softHyphen/>
      </w:r>
      <w:r>
        <w:rPr>
          <w:rFonts w:hint="eastAsia"/>
          <w:lang w:val="de-DE"/>
        </w:rPr>
        <w:t>fahren, 1993, Rn. 66</w:t>
      </w:r>
      <w:r>
        <w:rPr>
          <w:lang w:val="de-DE"/>
        </w:rPr>
        <w:t> </w:t>
      </w:r>
      <w:r>
        <w:rPr>
          <w:rFonts w:hint="eastAsia"/>
          <w:lang w:val="de-DE"/>
        </w:rPr>
        <w:t xml:space="preserve">ff.; </w:t>
      </w:r>
      <w:r>
        <w:rPr>
          <w:rFonts w:hint="eastAsia"/>
          <w:i/>
          <w:lang w:val="de-DE"/>
        </w:rPr>
        <w:t>Vogg</w:t>
      </w:r>
      <w:r>
        <w:rPr>
          <w:rFonts w:hint="eastAsia"/>
          <w:lang w:val="de-DE"/>
        </w:rPr>
        <w:t>, Einstweiliger Rechtsschutz und vorl</w:t>
      </w:r>
      <w:r>
        <w:rPr>
          <w:lang w:val="de-DE"/>
        </w:rPr>
        <w:t>ä</w:t>
      </w:r>
      <w:r>
        <w:rPr>
          <w:rFonts w:hint="eastAsia"/>
          <w:lang w:val="de-DE"/>
        </w:rPr>
        <w:t xml:space="preserve">ufige Vollsteckbarkeit </w:t>
      </w:r>
      <w:r>
        <w:rPr>
          <w:lang w:val="de-DE"/>
        </w:rPr>
        <w:t>—</w:t>
      </w:r>
      <w:r>
        <w:rPr>
          <w:rFonts w:hint="eastAsia"/>
          <w:lang w:val="de-DE"/>
        </w:rPr>
        <w:t xml:space="preserve"> Gemeinsamkei</w:t>
      </w:r>
      <w:r>
        <w:rPr>
          <w:lang w:val="de-DE"/>
        </w:rPr>
        <w:softHyphen/>
      </w:r>
      <w:r>
        <w:rPr>
          <w:rFonts w:hint="eastAsia"/>
          <w:lang w:val="de-DE"/>
        </w:rPr>
        <w:t>ten und Wertungswiderspr</w:t>
      </w:r>
      <w:r>
        <w:rPr>
          <w:lang w:val="de-DE"/>
        </w:rPr>
        <w:t>ü</w:t>
      </w:r>
      <w:r>
        <w:rPr>
          <w:rFonts w:hint="eastAsia"/>
          <w:lang w:val="de-DE"/>
        </w:rPr>
        <w:t>che, 1991, S. 117 ff.</w:t>
      </w:r>
      <w:r>
        <w:rPr>
          <w:rFonts w:hint="eastAsia"/>
        </w:rPr>
        <w:t>。</w:t>
      </w:r>
    </w:p>
  </w:footnote>
  <w:footnote w:id="29">
    <w:p w:rsidR="00453ABE" w:rsidRPr="00453ABE" w:rsidRDefault="00453ABE" w:rsidP="00453ABE">
      <w:pPr>
        <w:pStyle w:val="a4"/>
        <w:spacing w:after="180"/>
        <w:rPr>
          <w:rFonts w:hint="eastAsia"/>
          <w:lang w:val="de-DE"/>
        </w:rPr>
      </w:pPr>
      <w:r>
        <w:rPr>
          <w:rStyle w:val="a3"/>
        </w:rPr>
        <w:footnoteRef/>
      </w:r>
      <w:r w:rsidRPr="00453ABE">
        <w:rPr>
          <w:rFonts w:hint="eastAsia"/>
          <w:lang w:val="de-DE"/>
        </w:rPr>
        <w:t xml:space="preserve"> </w:t>
      </w:r>
      <w:r>
        <w:rPr>
          <w:rFonts w:hint="eastAsia"/>
        </w:rPr>
        <w:t>通說</w:t>
      </w:r>
      <w:r w:rsidRPr="00453ABE">
        <w:rPr>
          <w:rFonts w:hint="eastAsia"/>
          <w:lang w:val="de-DE"/>
        </w:rPr>
        <w:t>，</w:t>
      </w:r>
      <w:r>
        <w:rPr>
          <w:rFonts w:hint="eastAsia"/>
        </w:rPr>
        <w:t>參見</w:t>
      </w:r>
      <w:r w:rsidRPr="00453ABE">
        <w:rPr>
          <w:rFonts w:hint="eastAsia"/>
          <w:lang w:val="de-DE"/>
        </w:rPr>
        <w:t>：</w:t>
      </w:r>
      <w:r w:rsidRPr="00453ABE">
        <w:rPr>
          <w:rFonts w:hint="eastAsia"/>
          <w:i/>
          <w:lang w:val="de-DE"/>
        </w:rPr>
        <w:t>Finkelnburg/Jank</w:t>
      </w:r>
      <w:r w:rsidRPr="00453ABE">
        <w:rPr>
          <w:rFonts w:hint="eastAsia"/>
          <w:iCs/>
          <w:lang w:val="de-DE"/>
        </w:rPr>
        <w:t xml:space="preserve">, </w:t>
      </w:r>
      <w:r w:rsidRPr="00453ABE">
        <w:rPr>
          <w:rFonts w:hint="eastAsia"/>
          <w:lang w:val="de-DE"/>
        </w:rPr>
        <w:t>Vorl</w:t>
      </w:r>
      <w:r w:rsidRPr="00453ABE">
        <w:rPr>
          <w:lang w:val="de-DE"/>
        </w:rPr>
        <w:t>ä</w:t>
      </w:r>
      <w:r w:rsidRPr="00453ABE">
        <w:rPr>
          <w:rFonts w:hint="eastAsia"/>
          <w:lang w:val="de-DE"/>
        </w:rPr>
        <w:t>ufiger Rechtsschutz im Verwaltungsstreitverfahren, 4. Aufl. 1998, Rn. 45</w:t>
      </w:r>
      <w:r>
        <w:rPr>
          <w:rFonts w:hint="eastAsia"/>
        </w:rPr>
        <w:t>。</w:t>
      </w:r>
    </w:p>
  </w:footnote>
  <w:footnote w:id="30">
    <w:p w:rsidR="00453ABE" w:rsidRPr="00453ABE" w:rsidRDefault="00453ABE" w:rsidP="00453ABE">
      <w:pPr>
        <w:pStyle w:val="a4"/>
        <w:spacing w:after="180"/>
        <w:rPr>
          <w:rFonts w:hint="eastAsia"/>
          <w:lang w:val="de-DE"/>
        </w:rPr>
      </w:pPr>
      <w:r>
        <w:rPr>
          <w:rStyle w:val="a3"/>
        </w:rPr>
        <w:footnoteRef/>
      </w:r>
      <w:r w:rsidRPr="00453ABE">
        <w:rPr>
          <w:rFonts w:hint="eastAsia"/>
          <w:lang w:val="de-DE"/>
        </w:rPr>
        <w:t xml:space="preserve"> </w:t>
      </w:r>
      <w:r>
        <w:rPr>
          <w:rFonts w:hint="eastAsia"/>
        </w:rPr>
        <w:t>例見</w:t>
      </w:r>
      <w:r w:rsidRPr="00453ABE">
        <w:rPr>
          <w:rFonts w:hint="eastAsia"/>
          <w:lang w:val="de-DE"/>
        </w:rPr>
        <w:t>：</w:t>
      </w:r>
      <w:r w:rsidRPr="00453ABE">
        <w:rPr>
          <w:rFonts w:hint="eastAsia"/>
          <w:lang w:val="de-DE"/>
        </w:rPr>
        <w:t>BVerfGE 46, 166 (178)</w:t>
      </w:r>
      <w:r>
        <w:rPr>
          <w:rFonts w:hint="eastAsia"/>
        </w:rPr>
        <w:t>。</w:t>
      </w:r>
    </w:p>
  </w:footnote>
  <w:footnote w:id="31">
    <w:p w:rsidR="00453ABE" w:rsidRPr="00453ABE" w:rsidRDefault="00453ABE" w:rsidP="00453ABE">
      <w:pPr>
        <w:pStyle w:val="a4"/>
        <w:spacing w:after="180"/>
        <w:rPr>
          <w:rFonts w:hint="eastAsia"/>
          <w:lang w:val="de-DE"/>
        </w:rPr>
      </w:pPr>
      <w:r>
        <w:rPr>
          <w:rStyle w:val="a3"/>
        </w:rPr>
        <w:footnoteRef/>
      </w:r>
      <w:r w:rsidRPr="00453ABE">
        <w:rPr>
          <w:rFonts w:hint="eastAsia"/>
          <w:lang w:val="de-DE"/>
        </w:rPr>
        <w:t xml:space="preserve"> </w:t>
      </w:r>
      <w:r>
        <w:rPr>
          <w:rFonts w:hint="eastAsia"/>
        </w:rPr>
        <w:t>有關此一新發現的功能</w:t>
      </w:r>
      <w:r w:rsidRPr="00453ABE">
        <w:rPr>
          <w:rFonts w:hint="eastAsia"/>
          <w:lang w:val="de-DE"/>
        </w:rPr>
        <w:t>，</w:t>
      </w:r>
      <w:r>
        <w:rPr>
          <w:rFonts w:hint="eastAsia"/>
        </w:rPr>
        <w:t>詳見</w:t>
      </w:r>
      <w:r w:rsidRPr="00453ABE">
        <w:rPr>
          <w:rFonts w:hint="eastAsia"/>
          <w:lang w:val="de-DE"/>
        </w:rPr>
        <w:t>：</w:t>
      </w:r>
      <w:r w:rsidRPr="00453ABE">
        <w:rPr>
          <w:rFonts w:hint="eastAsia"/>
          <w:i/>
          <w:lang w:val="de-DE"/>
        </w:rPr>
        <w:t>Schoch</w:t>
      </w:r>
      <w:r w:rsidRPr="00453ABE">
        <w:rPr>
          <w:rFonts w:hint="eastAsia"/>
          <w:lang w:val="de-DE"/>
        </w:rPr>
        <w:t>, in: Schoch/Schmidt-A</w:t>
      </w:r>
      <w:r w:rsidRPr="00453ABE">
        <w:rPr>
          <w:lang w:val="de-DE"/>
        </w:rPr>
        <w:t>ß</w:t>
      </w:r>
      <w:r w:rsidRPr="00453ABE">
        <w:rPr>
          <w:rFonts w:hint="eastAsia"/>
          <w:lang w:val="de-DE"/>
        </w:rPr>
        <w:t>mann/Pietzner (Hrsg.), Verwal</w:t>
      </w:r>
      <w:r w:rsidRPr="00453ABE">
        <w:rPr>
          <w:lang w:val="de-DE"/>
        </w:rPr>
        <w:softHyphen/>
      </w:r>
      <w:r w:rsidRPr="00453ABE">
        <w:rPr>
          <w:rFonts w:hint="eastAsia"/>
          <w:lang w:val="de-DE"/>
        </w:rPr>
        <w:t>tungsgerichtsordnung Kom</w:t>
      </w:r>
      <w:r w:rsidRPr="00453ABE">
        <w:rPr>
          <w:lang w:val="de-DE"/>
        </w:rPr>
        <w:softHyphen/>
      </w:r>
      <w:r w:rsidRPr="00453ABE">
        <w:rPr>
          <w:rFonts w:hint="eastAsia"/>
          <w:lang w:val="de-DE"/>
        </w:rPr>
        <w:t xml:space="preserve">mentar, Vorb. </w:t>
      </w:r>
      <w:r w:rsidRPr="00453ABE">
        <w:rPr>
          <w:lang w:val="de-DE"/>
        </w:rPr>
        <w:t>§ </w:t>
      </w:r>
      <w:r w:rsidRPr="00453ABE">
        <w:rPr>
          <w:rFonts w:hint="eastAsia"/>
          <w:lang w:val="de-DE"/>
        </w:rPr>
        <w:t>80 Rn. 36 [Stand: Okt. 2008]</w:t>
      </w:r>
      <w:r>
        <w:rPr>
          <w:rFonts w:hint="eastAsia"/>
        </w:rPr>
        <w:t>。此外</w:t>
      </w:r>
      <w:r w:rsidRPr="00453ABE">
        <w:rPr>
          <w:rFonts w:hint="eastAsia"/>
          <w:lang w:val="de-DE"/>
        </w:rPr>
        <w:t>，</w:t>
      </w:r>
      <w:r>
        <w:rPr>
          <w:rFonts w:hint="eastAsia"/>
        </w:rPr>
        <w:t>受到</w:t>
      </w:r>
      <w:r w:rsidRPr="00453ABE">
        <w:rPr>
          <w:rFonts w:hint="eastAsia"/>
          <w:i/>
          <w:lang w:val="de-DE"/>
        </w:rPr>
        <w:t>Schoch</w:t>
      </w:r>
      <w:r>
        <w:rPr>
          <w:rFonts w:hint="eastAsia"/>
        </w:rPr>
        <w:t>理論的影響</w:t>
      </w:r>
      <w:r w:rsidRPr="00453ABE">
        <w:rPr>
          <w:rFonts w:hint="eastAsia"/>
          <w:lang w:val="de-DE"/>
        </w:rPr>
        <w:t>，</w:t>
      </w:r>
      <w:r>
        <w:rPr>
          <w:rFonts w:hint="eastAsia"/>
        </w:rPr>
        <w:t>如</w:t>
      </w:r>
      <w:r w:rsidRPr="00453ABE">
        <w:rPr>
          <w:rFonts w:hint="eastAsia"/>
          <w:lang w:val="de-DE"/>
        </w:rPr>
        <w:t>：</w:t>
      </w:r>
      <w:r w:rsidRPr="00453ABE">
        <w:rPr>
          <w:rFonts w:hint="eastAsia"/>
          <w:i/>
          <w:lang w:val="de-DE"/>
        </w:rPr>
        <w:t>Happ</w:t>
      </w:r>
      <w:r w:rsidRPr="00453ABE">
        <w:rPr>
          <w:rFonts w:hint="eastAsia"/>
          <w:lang w:val="de-DE"/>
        </w:rPr>
        <w:t>, in: Eyermann/Fr</w:t>
      </w:r>
      <w:r w:rsidRPr="00453ABE">
        <w:rPr>
          <w:lang w:val="de-DE"/>
        </w:rPr>
        <w:t>ö</w:t>
      </w:r>
      <w:r w:rsidRPr="00453ABE">
        <w:rPr>
          <w:rFonts w:hint="eastAsia"/>
          <w:lang w:val="de-DE"/>
        </w:rPr>
        <w:t xml:space="preserve">hler (Begr.), Verwaltungsgerichtsordnung Kommentar, 12. </w:t>
      </w:r>
      <w:r>
        <w:rPr>
          <w:rFonts w:hint="eastAsia"/>
          <w:lang w:val="de-DE"/>
        </w:rPr>
        <w:t xml:space="preserve">Aufl. 2006, </w:t>
      </w:r>
      <w:r>
        <w:rPr>
          <w:lang w:val="de-DE"/>
        </w:rPr>
        <w:t>§ </w:t>
      </w:r>
      <w:r>
        <w:rPr>
          <w:rFonts w:hint="eastAsia"/>
          <w:lang w:val="de-DE"/>
        </w:rPr>
        <w:t>123 Rn. 1</w:t>
      </w:r>
      <w:r>
        <w:rPr>
          <w:rFonts w:hint="eastAsia"/>
        </w:rPr>
        <w:t>亦強調此一新發現的功能。</w:t>
      </w:r>
    </w:p>
  </w:footnote>
  <w:footnote w:id="32">
    <w:p w:rsidR="00453ABE" w:rsidRPr="00453ABE" w:rsidRDefault="00453ABE" w:rsidP="00453ABE">
      <w:pPr>
        <w:pStyle w:val="a4"/>
        <w:spacing w:after="180"/>
        <w:rPr>
          <w:lang w:val="de-DE"/>
        </w:rPr>
      </w:pPr>
      <w:r>
        <w:rPr>
          <w:rStyle w:val="a3"/>
        </w:rPr>
        <w:footnoteRef/>
      </w:r>
      <w:r w:rsidRPr="00453ABE">
        <w:rPr>
          <w:lang w:val="de-DE"/>
        </w:rPr>
        <w:t xml:space="preserve"> Lea B. Vaughn, </w:t>
      </w:r>
      <w:r w:rsidRPr="00453ABE">
        <w:rPr>
          <w:i/>
          <w:lang w:val="de-DE"/>
        </w:rPr>
        <w:t>A Need for Clarity: Toward A New Standard for Preliminary Injunctions</w:t>
      </w:r>
      <w:r w:rsidRPr="00453ABE">
        <w:rPr>
          <w:lang w:val="de-DE"/>
        </w:rPr>
        <w:t xml:space="preserve">, 68 </w:t>
      </w:r>
      <w:r w:rsidRPr="00453ABE">
        <w:rPr>
          <w:smallCaps/>
          <w:lang w:val="de-DE"/>
        </w:rPr>
        <w:t>Or. L. Rev.</w:t>
      </w:r>
      <w:r w:rsidRPr="00453ABE">
        <w:rPr>
          <w:lang w:val="de-DE"/>
        </w:rPr>
        <w:t xml:space="preserve"> 839, 849 (1989).</w:t>
      </w:r>
    </w:p>
  </w:footnote>
  <w:footnote w:id="33">
    <w:p w:rsidR="00453ABE" w:rsidRDefault="00453ABE" w:rsidP="00453ABE">
      <w:pPr>
        <w:pStyle w:val="a4"/>
        <w:spacing w:after="180"/>
      </w:pPr>
      <w:r>
        <w:rPr>
          <w:rStyle w:val="a3"/>
        </w:rPr>
        <w:footnoteRef/>
      </w:r>
      <w:r>
        <w:t xml:space="preserve"> </w:t>
      </w:r>
      <w:r>
        <w:rPr>
          <w:i/>
        </w:rPr>
        <w:t>See</w:t>
      </w:r>
      <w:r>
        <w:t xml:space="preserve"> Brown v. Chote, 411 U.S. 452, 456 (1973).</w:t>
      </w:r>
    </w:p>
  </w:footnote>
  <w:footnote w:id="34">
    <w:p w:rsidR="00453ABE" w:rsidRDefault="00453ABE" w:rsidP="00453ABE">
      <w:pPr>
        <w:pStyle w:val="a4"/>
        <w:spacing w:after="180"/>
        <w:rPr>
          <w:rFonts w:hint="eastAsia"/>
        </w:rPr>
      </w:pPr>
      <w:r>
        <w:rPr>
          <w:rStyle w:val="a3"/>
        </w:rPr>
        <w:footnoteRef/>
      </w:r>
      <w:r>
        <w:t xml:space="preserve"> </w:t>
      </w:r>
      <w:r>
        <w:rPr>
          <w:rFonts w:hint="eastAsia"/>
        </w:rPr>
        <w:t>關於「預防性權利保護」及其與「暫時權利保護」的比較等問題，詳見：</w:t>
      </w:r>
      <w:r>
        <w:rPr>
          <w:i/>
          <w:color w:val="000000"/>
        </w:rPr>
        <w:t>Würtenberger</w:t>
      </w:r>
      <w:r>
        <w:rPr>
          <w:rFonts w:hint="eastAsia"/>
          <w:color w:val="000000"/>
        </w:rPr>
        <w:t xml:space="preserve">, </w:t>
      </w:r>
      <w:r>
        <w:rPr>
          <w:rFonts w:hint="eastAsia"/>
        </w:rPr>
        <w:t>Verwal</w:t>
      </w:r>
      <w:r>
        <w:softHyphen/>
      </w:r>
      <w:r>
        <w:rPr>
          <w:rFonts w:hint="eastAsia"/>
        </w:rPr>
        <w:t>tungsprozessrecht, 3. Aufl. 2007, Rn. 479 ff.</w:t>
      </w:r>
      <w:r>
        <w:t>。</w:t>
      </w:r>
    </w:p>
  </w:footnote>
  <w:footnote w:id="35">
    <w:p w:rsidR="00453ABE" w:rsidRDefault="00453ABE" w:rsidP="00453ABE">
      <w:pPr>
        <w:pStyle w:val="a4"/>
        <w:spacing w:after="180"/>
        <w:rPr>
          <w:rFonts w:hint="eastAsia"/>
        </w:rPr>
      </w:pPr>
      <w:r>
        <w:rPr>
          <w:rStyle w:val="a3"/>
        </w:rPr>
        <w:footnoteRef/>
      </w:r>
      <w:r>
        <w:t xml:space="preserve"> </w:t>
      </w:r>
      <w:r>
        <w:rPr>
          <w:rFonts w:hint="eastAsia"/>
        </w:rPr>
        <w:t>關於</w:t>
      </w:r>
      <w:r>
        <w:rPr>
          <w:rFonts w:hAnsi="新細明體" w:hint="eastAsia"/>
        </w:rPr>
        <w:t>「</w:t>
      </w:r>
      <w:r>
        <w:rPr>
          <w:rFonts w:hAnsi="新細明體"/>
        </w:rPr>
        <w:t>預防性暫時權利保護</w:t>
      </w:r>
      <w:r>
        <w:rPr>
          <w:rFonts w:hAnsi="新細明體" w:hint="eastAsia"/>
        </w:rPr>
        <w:t>」問題，詳見：</w:t>
      </w:r>
      <w:r>
        <w:rPr>
          <w:rFonts w:hAnsi="新細明體" w:hint="eastAsia"/>
          <w:i/>
        </w:rPr>
        <w:t>Dombert</w:t>
      </w:r>
      <w:r>
        <w:rPr>
          <w:rFonts w:hAnsi="新細明體" w:hint="eastAsia"/>
        </w:rPr>
        <w:t xml:space="preserve">, in: </w:t>
      </w:r>
      <w:r>
        <w:rPr>
          <w:rFonts w:hint="eastAsia"/>
          <w:color w:val="000000"/>
        </w:rPr>
        <w:t>Finkelnburg/Dombert/K</w:t>
      </w:r>
      <w:r>
        <w:rPr>
          <w:color w:val="000000"/>
        </w:rPr>
        <w:t>ü</w:t>
      </w:r>
      <w:r>
        <w:rPr>
          <w:rFonts w:hint="eastAsia"/>
          <w:color w:val="000000"/>
        </w:rPr>
        <w:t>lpmann, Vorl</w:t>
      </w:r>
      <w:r>
        <w:rPr>
          <w:color w:val="000000"/>
        </w:rPr>
        <w:t>ä</w:t>
      </w:r>
      <w:r>
        <w:rPr>
          <w:rFonts w:hint="eastAsia"/>
          <w:color w:val="000000"/>
        </w:rPr>
        <w:t>u</w:t>
      </w:r>
      <w:r>
        <w:rPr>
          <w:color w:val="000000"/>
        </w:rPr>
        <w:softHyphen/>
      </w:r>
      <w:r>
        <w:rPr>
          <w:rFonts w:hint="eastAsia"/>
          <w:color w:val="000000"/>
        </w:rPr>
        <w:t xml:space="preserve">figer Rechtsschutz im Verwaltungsstreitverfahren, 5. </w:t>
      </w:r>
      <w:r>
        <w:rPr>
          <w:color w:val="000000"/>
          <w:lang w:val="de-DE"/>
        </w:rPr>
        <w:t>Aufl</w:t>
      </w:r>
      <w:r>
        <w:rPr>
          <w:rFonts w:hint="eastAsia"/>
          <w:color w:val="000000"/>
          <w:lang w:val="de-DE"/>
        </w:rPr>
        <w:t>. 2008, Rn. 104 f.</w:t>
      </w:r>
      <w:r>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B317C"/>
    <w:multiLevelType w:val="hybridMultilevel"/>
    <w:tmpl w:val="46AA3E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BE"/>
    <w:rsid w:val="000C4683"/>
    <w:rsid w:val="00453ABE"/>
    <w:rsid w:val="00BF70BC"/>
    <w:rsid w:val="00C52812"/>
    <w:rsid w:val="00ED5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617A5-46A1-4F91-900C-35EBD15F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AB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453ABE"/>
    <w:rPr>
      <w:vertAlign w:val="superscript"/>
    </w:rPr>
  </w:style>
  <w:style w:type="paragraph" w:styleId="a4">
    <w:name w:val="footnote text"/>
    <w:aliases w:val="註腳文字 字元 字元 字元 字元,註腳文字 字元 字元 字元,註腳文字 字元 字元,註腳文字 字元 字元 字元 字元 字元 字元 字元,註腳文字 字元 字元 字元 字元 字元 字元 字元 字元 字元 字元,註腳文字 字元 字元 字元 字元 字元 字元"/>
    <w:basedOn w:val="a"/>
    <w:link w:val="a5"/>
    <w:semiHidden/>
    <w:rsid w:val="00453ABE"/>
    <w:pPr>
      <w:widowControl/>
      <w:snapToGrid w:val="0"/>
      <w:spacing w:afterLines="50" w:after="50" w:line="288" w:lineRule="auto"/>
      <w:jc w:val="both"/>
    </w:pPr>
    <w:rPr>
      <w:sz w:val="20"/>
      <w:szCs w:val="20"/>
    </w:rPr>
  </w:style>
  <w:style w:type="character" w:customStyle="1" w:styleId="a5">
    <w:name w:val="註腳文字 字元"/>
    <w:basedOn w:val="a0"/>
    <w:link w:val="a4"/>
    <w:semiHidden/>
    <w:rsid w:val="00453ABE"/>
    <w:rPr>
      <w:rFonts w:ascii="Times New Roman" w:eastAsia="新細明體" w:hAnsi="Times New Roman" w:cs="Times New Roman"/>
      <w:sz w:val="20"/>
      <w:szCs w:val="20"/>
    </w:rPr>
  </w:style>
  <w:style w:type="paragraph" w:styleId="Web">
    <w:name w:val="Normal (Web)"/>
    <w:basedOn w:val="a"/>
    <w:semiHidden/>
    <w:rsid w:val="00453AB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卓卿雲</cp:lastModifiedBy>
  <cp:revision>2</cp:revision>
  <dcterms:created xsi:type="dcterms:W3CDTF">2021-09-17T10:01:00Z</dcterms:created>
  <dcterms:modified xsi:type="dcterms:W3CDTF">2021-09-17T10:01:00Z</dcterms:modified>
</cp:coreProperties>
</file>