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37" w:rsidRDefault="00295A37" w:rsidP="00295A37">
      <w:pPr>
        <w:widowControl/>
        <w:spacing w:beforeLines="400" w:before="1440" w:afterLines="50" w:after="180" w:line="288" w:lineRule="auto"/>
        <w:jc w:val="center"/>
        <w:rPr>
          <w:rFonts w:hint="eastAsia"/>
          <w:b/>
          <w:bCs/>
          <w:color w:val="000000"/>
          <w:sz w:val="48"/>
          <w:szCs w:val="48"/>
        </w:rPr>
      </w:pPr>
      <w:bookmarkStart w:id="0" w:name="_GoBack"/>
      <w:bookmarkEnd w:id="0"/>
      <w:r>
        <w:rPr>
          <w:rFonts w:hint="eastAsia"/>
          <w:b/>
          <w:color w:val="000000"/>
          <w:sz w:val="48"/>
          <w:szCs w:val="48"/>
        </w:rPr>
        <w:t>第一章</w:t>
      </w:r>
      <w:r>
        <w:rPr>
          <w:rFonts w:hAnsi="新細明體" w:hint="eastAsia"/>
          <w:b/>
          <w:bCs/>
          <w:color w:val="000000"/>
          <w:sz w:val="48"/>
          <w:szCs w:val="48"/>
        </w:rPr>
        <w:t xml:space="preserve">　緒論</w:t>
      </w:r>
    </w:p>
    <w:p w:rsidR="00295A37" w:rsidRDefault="00295A37" w:rsidP="00295A37">
      <w:pPr>
        <w:widowControl/>
        <w:spacing w:afterLines="50" w:after="180" w:line="288" w:lineRule="auto"/>
        <w:jc w:val="both"/>
        <w:rPr>
          <w:rFonts w:hAnsi="新細明體" w:hint="eastAsia"/>
          <w:b/>
          <w:bCs/>
          <w:color w:val="000000"/>
          <w:sz w:val="40"/>
          <w:szCs w:val="40"/>
        </w:rPr>
      </w:pPr>
    </w:p>
    <w:p w:rsidR="00295A37" w:rsidRDefault="00295A37" w:rsidP="00295A37">
      <w:pPr>
        <w:widowControl/>
        <w:spacing w:afterLines="50" w:after="180" w:line="288" w:lineRule="auto"/>
        <w:ind w:left="1441" w:hangingChars="400" w:hanging="1441"/>
        <w:jc w:val="both"/>
        <w:rPr>
          <w:rFonts w:hint="eastAsia"/>
          <w:b/>
          <w:bCs/>
          <w:color w:val="000000"/>
          <w:sz w:val="36"/>
          <w:szCs w:val="36"/>
        </w:rPr>
      </w:pPr>
      <w:r>
        <w:rPr>
          <w:rFonts w:hAnsi="新細明體" w:hint="eastAsia"/>
          <w:b/>
          <w:bCs/>
          <w:color w:val="000000"/>
          <w:sz w:val="36"/>
          <w:szCs w:val="36"/>
        </w:rPr>
        <w:t>第一節　研究背景</w:t>
      </w:r>
    </w:p>
    <w:p w:rsidR="00295A37" w:rsidRDefault="00295A37" w:rsidP="00295A37">
      <w:pPr>
        <w:widowControl/>
        <w:spacing w:afterLines="50" w:after="180" w:line="288" w:lineRule="auto"/>
        <w:ind w:firstLineChars="200" w:firstLine="480"/>
        <w:jc w:val="both"/>
        <w:rPr>
          <w:rFonts w:hAnsi="新細明體" w:hint="eastAsia"/>
          <w:color w:val="000000"/>
        </w:rPr>
      </w:pPr>
      <w:r>
        <w:rPr>
          <w:rFonts w:hAnsi="新細明體"/>
          <w:color w:val="000000"/>
        </w:rPr>
        <w:t>公務人員保障法於</w:t>
      </w:r>
      <w:r>
        <w:rPr>
          <w:color w:val="000000"/>
        </w:rPr>
        <w:t>2003</w:t>
      </w:r>
      <w:r>
        <w:rPr>
          <w:rFonts w:hAnsi="新細明體"/>
          <w:color w:val="000000"/>
        </w:rPr>
        <w:t>年</w:t>
      </w:r>
      <w:r>
        <w:rPr>
          <w:color w:val="000000"/>
        </w:rPr>
        <w:t>5</w:t>
      </w:r>
      <w:r>
        <w:rPr>
          <w:rFonts w:hAnsi="新細明體"/>
          <w:color w:val="000000"/>
        </w:rPr>
        <w:t>月</w:t>
      </w:r>
      <w:r>
        <w:rPr>
          <w:color w:val="000000"/>
        </w:rPr>
        <w:t>28</w:t>
      </w:r>
      <w:r>
        <w:rPr>
          <w:rFonts w:hAnsi="新細明體"/>
          <w:color w:val="000000"/>
        </w:rPr>
        <w:t>日修正公布後，新增第</w:t>
      </w:r>
      <w:r>
        <w:rPr>
          <w:color w:val="000000"/>
        </w:rPr>
        <w:t>89</w:t>
      </w:r>
      <w:r>
        <w:rPr>
          <w:rFonts w:hAnsi="新細明體"/>
          <w:color w:val="000000"/>
        </w:rPr>
        <w:t>條第</w:t>
      </w:r>
      <w:r>
        <w:rPr>
          <w:color w:val="000000"/>
        </w:rPr>
        <w:t>2</w:t>
      </w:r>
      <w:r>
        <w:rPr>
          <w:rFonts w:hAnsi="新細明體"/>
          <w:color w:val="000000"/>
        </w:rPr>
        <w:t>項及第</w:t>
      </w:r>
      <w:r>
        <w:rPr>
          <w:color w:val="000000"/>
        </w:rPr>
        <w:t>90</w:t>
      </w:r>
      <w:r>
        <w:rPr>
          <w:rFonts w:hAnsi="新細明體"/>
          <w:color w:val="000000"/>
        </w:rPr>
        <w:t>條等有關「停止執行（</w:t>
      </w:r>
      <w:r>
        <w:rPr>
          <w:color w:val="000000"/>
        </w:rPr>
        <w:t>Aussetzung der Vollziehung</w:t>
      </w:r>
      <w:r>
        <w:rPr>
          <w:rFonts w:hAnsi="新細明體"/>
          <w:color w:val="000000"/>
        </w:rPr>
        <w:t>）」</w:t>
      </w:r>
      <w:r>
        <w:rPr>
          <w:rFonts w:hAnsi="新細明體" w:hint="eastAsia"/>
          <w:color w:val="000000"/>
        </w:rPr>
        <w:t>的</w:t>
      </w:r>
      <w:r>
        <w:rPr>
          <w:rFonts w:hAnsi="新細明體"/>
          <w:color w:val="000000"/>
        </w:rPr>
        <w:t>暫時權利保護制度（</w:t>
      </w:r>
      <w:r>
        <w:rPr>
          <w:color w:val="000000"/>
        </w:rPr>
        <w:t>vor</w:t>
      </w:r>
      <w:r>
        <w:rPr>
          <w:color w:val="000000"/>
        </w:rPr>
        <w:softHyphen/>
        <w:t>läufiger Rechtsschutz</w:t>
      </w:r>
      <w:r>
        <w:rPr>
          <w:rFonts w:hAnsi="新細明體"/>
          <w:color w:val="000000"/>
        </w:rPr>
        <w:t>），目的在提供公務人員更具實效性之權利救濟。為推動該新增之制度，現行公務人員保障實務固已</w:t>
      </w:r>
      <w:proofErr w:type="gramStart"/>
      <w:r>
        <w:rPr>
          <w:rFonts w:hAnsi="新細明體"/>
          <w:color w:val="000000"/>
        </w:rPr>
        <w:t>研</w:t>
      </w:r>
      <w:proofErr w:type="gramEnd"/>
      <w:r>
        <w:rPr>
          <w:rFonts w:hAnsi="新細明體"/>
          <w:color w:val="000000"/>
        </w:rPr>
        <w:t>議縮短是類事件之處理流程</w:t>
      </w:r>
      <w:r>
        <w:rPr>
          <w:rStyle w:val="a3"/>
          <w:rFonts w:hAnsi="新細明體"/>
          <w:color w:val="000000"/>
        </w:rPr>
        <w:footnoteReference w:id="1"/>
      </w:r>
      <w:r>
        <w:rPr>
          <w:rFonts w:hAnsi="新細明體"/>
          <w:color w:val="000000"/>
        </w:rPr>
        <w:t>，冀能完整保障當事人權益；惟因停止執行與否牽涉諸多不確定法律概念之解釋，故實務上應如何妥適判斷，常生疑義</w:t>
      </w:r>
      <w:r>
        <w:rPr>
          <w:rFonts w:hAnsi="新細明體" w:hint="eastAsia"/>
          <w:color w:val="000000"/>
        </w:rPr>
        <w:t>，以致於主掌公務人員</w:t>
      </w:r>
      <w:r>
        <w:rPr>
          <w:rFonts w:hAnsi="新細明體"/>
          <w:color w:val="000000"/>
        </w:rPr>
        <w:t>保障</w:t>
      </w:r>
      <w:r>
        <w:rPr>
          <w:rFonts w:hAnsi="新細明體" w:hint="eastAsia"/>
          <w:color w:val="000000"/>
        </w:rPr>
        <w:t>事件的</w:t>
      </w:r>
      <w:r>
        <w:rPr>
          <w:rFonts w:hAnsi="新細明體"/>
          <w:color w:val="000000"/>
        </w:rPr>
        <w:t>公務人員</w:t>
      </w:r>
      <w:r>
        <w:rPr>
          <w:rFonts w:hAnsi="新細明體" w:hint="eastAsia"/>
          <w:color w:val="000000"/>
        </w:rPr>
        <w:t>保障暨培訓委員會（</w:t>
      </w:r>
      <w:r>
        <w:rPr>
          <w:rFonts w:hint="eastAsia"/>
          <w:color w:val="000000"/>
        </w:rPr>
        <w:t>依公務人員保障法第</w:t>
      </w:r>
      <w:r>
        <w:rPr>
          <w:rFonts w:hint="eastAsia"/>
          <w:color w:val="000000"/>
        </w:rPr>
        <w:t>4</w:t>
      </w:r>
      <w:r>
        <w:rPr>
          <w:rFonts w:hint="eastAsia"/>
          <w:color w:val="000000"/>
        </w:rPr>
        <w:t>條第</w:t>
      </w:r>
      <w:r>
        <w:rPr>
          <w:rFonts w:hint="eastAsia"/>
          <w:color w:val="000000"/>
        </w:rPr>
        <w:t>2</w:t>
      </w:r>
      <w:r>
        <w:rPr>
          <w:rFonts w:hint="eastAsia"/>
          <w:color w:val="000000"/>
        </w:rPr>
        <w:t>項，</w:t>
      </w:r>
      <w:r>
        <w:rPr>
          <w:rFonts w:hAnsi="新細明體" w:hint="eastAsia"/>
          <w:color w:val="000000"/>
        </w:rPr>
        <w:t>以下簡稱「保訓會」）自</w:t>
      </w:r>
      <w:r>
        <w:rPr>
          <w:rFonts w:hAnsi="新細明體" w:hint="eastAsia"/>
          <w:color w:val="000000"/>
        </w:rPr>
        <w:t>2003</w:t>
      </w:r>
      <w:r>
        <w:rPr>
          <w:rFonts w:hAnsi="新細明體" w:hint="eastAsia"/>
          <w:color w:val="000000"/>
        </w:rPr>
        <w:t>年以來，迄今並未作成一次准予停止執行之決定</w:t>
      </w:r>
      <w:r>
        <w:rPr>
          <w:rFonts w:hAnsi="新細明體"/>
          <w:color w:val="000000"/>
        </w:rPr>
        <w:t>。</w:t>
      </w:r>
      <w:proofErr w:type="gramStart"/>
      <w:r>
        <w:rPr>
          <w:rFonts w:hAnsi="新細明體" w:hint="eastAsia"/>
          <w:color w:val="000000"/>
        </w:rPr>
        <w:t>此外</w:t>
      </w:r>
      <w:r>
        <w:rPr>
          <w:rFonts w:hAnsi="新細明體"/>
          <w:color w:val="000000"/>
        </w:rPr>
        <w:t>，</w:t>
      </w:r>
      <w:proofErr w:type="gramEnd"/>
      <w:r>
        <w:rPr>
          <w:rFonts w:hAnsi="新細明體"/>
          <w:color w:val="000000"/>
        </w:rPr>
        <w:t>公務人員保障事件種類繁多，因此有關停止執行之問題，在實務運作上有無區分類型之必要，以作不同處理，</w:t>
      </w:r>
      <w:r>
        <w:rPr>
          <w:rFonts w:hAnsi="新細明體" w:hint="eastAsia"/>
          <w:color w:val="000000"/>
        </w:rPr>
        <w:t>也有</w:t>
      </w:r>
      <w:r>
        <w:rPr>
          <w:rFonts w:hAnsi="新細明體"/>
          <w:color w:val="000000"/>
        </w:rPr>
        <w:t>待分析。是本研究之計畫</w:t>
      </w:r>
      <w:r>
        <w:rPr>
          <w:rFonts w:hAnsi="新細明體" w:hint="eastAsia"/>
          <w:color w:val="000000"/>
        </w:rPr>
        <w:t>受保訓會之委託，</w:t>
      </w:r>
      <w:proofErr w:type="gramStart"/>
      <w:r>
        <w:rPr>
          <w:rFonts w:hAnsi="新細明體"/>
          <w:color w:val="000000"/>
        </w:rPr>
        <w:t>爰</w:t>
      </w:r>
      <w:proofErr w:type="gramEnd"/>
      <w:r>
        <w:rPr>
          <w:rFonts w:hAnsi="新細明體"/>
          <w:color w:val="000000"/>
        </w:rPr>
        <w:t>以「公務人員保障救濟程序中暫時權利保護制度之研究」為題，就相關問題等作完整及深度之檢討，</w:t>
      </w:r>
      <w:proofErr w:type="gramStart"/>
      <w:r>
        <w:rPr>
          <w:rFonts w:hAnsi="新細明體"/>
          <w:color w:val="000000"/>
        </w:rPr>
        <w:t>俾</w:t>
      </w:r>
      <w:proofErr w:type="gramEnd"/>
      <w:r>
        <w:rPr>
          <w:rFonts w:hAnsi="新細明體"/>
          <w:color w:val="000000"/>
        </w:rPr>
        <w:t>作為委託機關實務運作，乃至將來</w:t>
      </w:r>
      <w:proofErr w:type="gramStart"/>
      <w:r>
        <w:rPr>
          <w:rFonts w:hAnsi="新細明體"/>
          <w:color w:val="000000"/>
        </w:rPr>
        <w:t>研</w:t>
      </w:r>
      <w:proofErr w:type="gramEnd"/>
      <w:r>
        <w:rPr>
          <w:rFonts w:hAnsi="新細明體"/>
          <w:color w:val="000000"/>
        </w:rPr>
        <w:t>修公務人員保障法規時參考。</w:t>
      </w:r>
    </w:p>
    <w:p w:rsidR="00295A37" w:rsidRDefault="00295A37" w:rsidP="00295A37">
      <w:pPr>
        <w:widowControl/>
        <w:spacing w:afterLines="50" w:after="180" w:line="288" w:lineRule="auto"/>
        <w:ind w:firstLineChars="200" w:firstLine="480"/>
        <w:jc w:val="both"/>
        <w:rPr>
          <w:rFonts w:hint="eastAsia"/>
          <w:color w:val="000000"/>
        </w:rPr>
      </w:pPr>
      <w:r>
        <w:rPr>
          <w:rFonts w:hAnsi="新細明體"/>
          <w:color w:val="000000"/>
        </w:rPr>
        <w:t>本研究計畫自本（</w:t>
      </w:r>
      <w:r>
        <w:rPr>
          <w:color w:val="000000"/>
        </w:rPr>
        <w:t>2009</w:t>
      </w:r>
      <w:r>
        <w:rPr>
          <w:rFonts w:hAnsi="新細明體"/>
          <w:color w:val="000000"/>
        </w:rPr>
        <w:t>）年</w:t>
      </w:r>
      <w:r>
        <w:rPr>
          <w:color w:val="000000"/>
        </w:rPr>
        <w:t>6</w:t>
      </w:r>
      <w:r>
        <w:rPr>
          <w:rFonts w:hAnsi="新細明體"/>
          <w:color w:val="000000"/>
        </w:rPr>
        <w:t>月</w:t>
      </w:r>
      <w:r>
        <w:rPr>
          <w:color w:val="000000"/>
        </w:rPr>
        <w:t>1</w:t>
      </w:r>
      <w:r>
        <w:rPr>
          <w:rFonts w:hAnsi="新細明體"/>
          <w:color w:val="000000"/>
        </w:rPr>
        <w:t>日正式開始後，迄今已接近尾聲</w:t>
      </w:r>
      <w:r>
        <w:rPr>
          <w:rFonts w:hAnsi="新細明體" w:hint="eastAsia"/>
          <w:color w:val="000000"/>
        </w:rPr>
        <w:t>；其中，同年</w:t>
      </w:r>
      <w:r>
        <w:rPr>
          <w:color w:val="000000"/>
        </w:rPr>
        <w:t>9</w:t>
      </w:r>
      <w:r>
        <w:rPr>
          <w:rFonts w:hAnsi="新細明體"/>
          <w:color w:val="000000"/>
        </w:rPr>
        <w:t>月</w:t>
      </w:r>
      <w:r>
        <w:rPr>
          <w:color w:val="000000"/>
        </w:rPr>
        <w:t>21</w:t>
      </w:r>
      <w:r>
        <w:rPr>
          <w:rFonts w:hAnsi="新細明體"/>
          <w:color w:val="000000"/>
        </w:rPr>
        <w:t>日（星期一）上午</w:t>
      </w:r>
      <w:r>
        <w:rPr>
          <w:color w:val="000000"/>
        </w:rPr>
        <w:t>10</w:t>
      </w:r>
      <w:r>
        <w:rPr>
          <w:rFonts w:hAnsi="新細明體"/>
          <w:color w:val="000000"/>
        </w:rPr>
        <w:t>時</w:t>
      </w:r>
      <w:r>
        <w:rPr>
          <w:rFonts w:hAnsi="新細明體" w:hint="eastAsia"/>
          <w:color w:val="000000"/>
        </w:rPr>
        <w:t>為期中報告審查會</w:t>
      </w:r>
      <w:r>
        <w:rPr>
          <w:rStyle w:val="a3"/>
          <w:rFonts w:hAnsi="新細明體"/>
          <w:color w:val="000000"/>
        </w:rPr>
        <w:footnoteReference w:id="2"/>
      </w:r>
      <w:r>
        <w:rPr>
          <w:rFonts w:hAnsi="新細明體" w:hint="eastAsia"/>
          <w:color w:val="000000"/>
        </w:rPr>
        <w:t>，同年</w:t>
      </w:r>
      <w:r>
        <w:rPr>
          <w:color w:val="000000"/>
        </w:rPr>
        <w:t>11</w:t>
      </w:r>
      <w:r>
        <w:rPr>
          <w:rFonts w:hAnsi="新細明體"/>
          <w:color w:val="000000"/>
        </w:rPr>
        <w:t>月</w:t>
      </w:r>
      <w:r>
        <w:rPr>
          <w:color w:val="000000"/>
        </w:rPr>
        <w:t>14</w:t>
      </w:r>
      <w:r>
        <w:rPr>
          <w:rFonts w:hAnsi="新細明體"/>
          <w:color w:val="000000"/>
        </w:rPr>
        <w:t>日（星期六）上午</w:t>
      </w:r>
      <w:r>
        <w:rPr>
          <w:color w:val="000000"/>
        </w:rPr>
        <w:t>9</w:t>
      </w:r>
      <w:r>
        <w:rPr>
          <w:rFonts w:hAnsi="新細明體"/>
          <w:color w:val="000000"/>
        </w:rPr>
        <w:t>點</w:t>
      </w:r>
      <w:r>
        <w:rPr>
          <w:color w:val="000000"/>
        </w:rPr>
        <w:t>30</w:t>
      </w:r>
      <w:r>
        <w:rPr>
          <w:rFonts w:hAnsi="新細明體"/>
          <w:color w:val="000000"/>
        </w:rPr>
        <w:t>分</w:t>
      </w:r>
      <w:r>
        <w:rPr>
          <w:rFonts w:hAnsi="新細明體" w:hint="eastAsia"/>
          <w:color w:val="000000"/>
        </w:rPr>
        <w:t>並依委託研究合約規定舉行專家座談會</w:t>
      </w:r>
      <w:r>
        <w:rPr>
          <w:rStyle w:val="a3"/>
          <w:rFonts w:hAnsi="新細明體"/>
          <w:color w:val="000000"/>
        </w:rPr>
        <w:footnoteReference w:id="3"/>
      </w:r>
      <w:r>
        <w:rPr>
          <w:rFonts w:hAnsi="新細明體" w:hint="eastAsia"/>
          <w:color w:val="000000"/>
        </w:rPr>
        <w:t>。這兩次會議的結論，對於本研究計畫之進行助益甚大；是此敬表感謝。在前開專家會議中，本研究計畫除邀請</w:t>
      </w:r>
      <w:r>
        <w:rPr>
          <w:rFonts w:hAnsi="新細明體"/>
          <w:color w:val="000000"/>
        </w:rPr>
        <w:t>臺北市政府訴願審議委員會副主</w:t>
      </w:r>
      <w:r>
        <w:rPr>
          <w:rFonts w:hAnsi="新細明體" w:hint="eastAsia"/>
          <w:color w:val="000000"/>
        </w:rPr>
        <w:t>任</w:t>
      </w:r>
      <w:r>
        <w:rPr>
          <w:rFonts w:hAnsi="新細明體"/>
          <w:color w:val="000000"/>
        </w:rPr>
        <w:t>委</w:t>
      </w:r>
      <w:r>
        <w:rPr>
          <w:rFonts w:hAnsi="新細明體" w:hint="eastAsia"/>
          <w:color w:val="000000"/>
        </w:rPr>
        <w:t>員</w:t>
      </w:r>
      <w:r>
        <w:rPr>
          <w:rFonts w:hAnsi="新細明體"/>
          <w:color w:val="000000"/>
        </w:rPr>
        <w:t xml:space="preserve">　王曼萍</w:t>
      </w:r>
      <w:r>
        <w:rPr>
          <w:rFonts w:hAnsi="新細明體" w:hint="eastAsia"/>
          <w:color w:val="000000"/>
        </w:rPr>
        <w:t>、</w:t>
      </w:r>
      <w:r>
        <w:rPr>
          <w:rFonts w:hAnsi="新細明體"/>
          <w:color w:val="000000"/>
        </w:rPr>
        <w:t>最高行政法院法</w:t>
      </w:r>
      <w:r>
        <w:rPr>
          <w:rFonts w:hAnsi="新細明體"/>
          <w:color w:val="000000"/>
        </w:rPr>
        <w:lastRenderedPageBreak/>
        <w:t>官　吳東都</w:t>
      </w:r>
      <w:r>
        <w:rPr>
          <w:rFonts w:hAnsi="新細明體" w:hint="eastAsia"/>
          <w:color w:val="000000"/>
        </w:rPr>
        <w:t>、</w:t>
      </w:r>
      <w:r>
        <w:rPr>
          <w:rFonts w:hAnsi="新細明體"/>
          <w:color w:val="000000"/>
        </w:rPr>
        <w:t>國立中興大學財經法律學系副教授　林昱梅</w:t>
      </w:r>
      <w:r>
        <w:rPr>
          <w:rFonts w:hAnsi="新細明體" w:hint="eastAsia"/>
          <w:color w:val="000000"/>
        </w:rPr>
        <w:t>、</w:t>
      </w:r>
      <w:r>
        <w:rPr>
          <w:rStyle w:val="a8"/>
          <w:rFonts w:hAnsi="新細明體"/>
          <w:color w:val="000000"/>
        </w:rPr>
        <w:t>行政院</w:t>
      </w:r>
      <w:r>
        <w:rPr>
          <w:rFonts w:hAnsi="新細明體"/>
          <w:color w:val="000000"/>
        </w:rPr>
        <w:t>訴願審議委員會主任委員　施惠芬</w:t>
      </w:r>
      <w:r>
        <w:rPr>
          <w:rFonts w:hAnsi="新細明體" w:hint="eastAsia"/>
          <w:color w:val="000000"/>
        </w:rPr>
        <w:t>及</w:t>
      </w:r>
      <w:r>
        <w:rPr>
          <w:rFonts w:hAnsi="新細明體"/>
          <w:color w:val="000000"/>
        </w:rPr>
        <w:t xml:space="preserve">國立中正大學財經法律學系副教授　</w:t>
      </w:r>
      <w:proofErr w:type="gramStart"/>
      <w:r>
        <w:rPr>
          <w:rFonts w:hAnsi="新細明體"/>
          <w:color w:val="000000"/>
        </w:rPr>
        <w:t>盛子龍</w:t>
      </w:r>
      <w:proofErr w:type="gramEnd"/>
      <w:r>
        <w:rPr>
          <w:rFonts w:hAnsi="新細明體" w:hint="eastAsia"/>
          <w:color w:val="000000"/>
        </w:rPr>
        <w:t>（以上依參加來賓之姓氏筆畫序），提供其等在學術與實務之專業寶貴經驗外，並懇請美國民事訴訟法學專家</w:t>
      </w:r>
      <w:r>
        <w:rPr>
          <w:rFonts w:hAnsi="新細明體" w:hint="eastAsia"/>
          <w:color w:val="000000"/>
        </w:rPr>
        <w:t xml:space="preserve"> </w:t>
      </w:r>
      <w:proofErr w:type="gramStart"/>
      <w:r>
        <w:rPr>
          <w:rFonts w:hAnsi="新細明體"/>
          <w:color w:val="000000"/>
        </w:rPr>
        <w:t>—</w:t>
      </w:r>
      <w:proofErr w:type="gramEnd"/>
      <w:r>
        <w:rPr>
          <w:rFonts w:hAnsi="新細明體" w:hint="eastAsia"/>
          <w:color w:val="000000"/>
        </w:rPr>
        <w:t xml:space="preserve"> </w:t>
      </w:r>
      <w:r>
        <w:rPr>
          <w:rFonts w:hAnsi="新細明體"/>
          <w:color w:val="000000"/>
          <w:spacing w:val="6"/>
        </w:rPr>
        <w:t xml:space="preserve">中央研究院法律學研究所助研究員　</w:t>
      </w:r>
      <w:r>
        <w:rPr>
          <w:rFonts w:hAnsi="新細明體"/>
          <w:color w:val="000000"/>
        </w:rPr>
        <w:t>黃國昌</w:t>
      </w:r>
      <w:r>
        <w:rPr>
          <w:rFonts w:hAnsi="新細明體" w:hint="eastAsia"/>
          <w:color w:val="000000"/>
        </w:rPr>
        <w:t>，特別針對本研究報告中美國法制的比較方面提出建言。這些建議，本研究計畫當然均列入考慮，而分別於以下研究期末報告中呈現。</w:t>
      </w:r>
    </w:p>
    <w:p w:rsidR="00295A37" w:rsidRDefault="00295A37" w:rsidP="00295A37">
      <w:pPr>
        <w:widowControl/>
        <w:spacing w:line="288" w:lineRule="auto"/>
        <w:ind w:firstLineChars="200" w:firstLine="480"/>
        <w:jc w:val="both"/>
        <w:rPr>
          <w:rFonts w:hint="eastAsia"/>
          <w:color w:val="000000"/>
        </w:rPr>
      </w:pPr>
      <w:r>
        <w:rPr>
          <w:rFonts w:hint="eastAsia"/>
          <w:color w:val="000000"/>
        </w:rPr>
        <w:t>今期末報告既已作成，相關之研究</w:t>
      </w:r>
      <w:proofErr w:type="gramStart"/>
      <w:r>
        <w:rPr>
          <w:rFonts w:hint="eastAsia"/>
          <w:color w:val="000000"/>
        </w:rPr>
        <w:t>內容謹述如下</w:t>
      </w:r>
      <w:proofErr w:type="gramEnd"/>
      <w:r>
        <w:rPr>
          <w:rFonts w:hint="eastAsia"/>
          <w:color w:val="000000"/>
        </w:rPr>
        <w:t>：</w:t>
      </w:r>
    </w:p>
    <w:p w:rsidR="00295A37" w:rsidRDefault="00295A37" w:rsidP="00295A37">
      <w:pPr>
        <w:widowControl/>
        <w:spacing w:line="288" w:lineRule="auto"/>
        <w:ind w:firstLineChars="200" w:firstLine="480"/>
        <w:jc w:val="both"/>
        <w:rPr>
          <w:rFonts w:hint="eastAsia"/>
          <w:color w:val="000000"/>
        </w:rPr>
      </w:pPr>
    </w:p>
    <w:p w:rsidR="00295A37" w:rsidRDefault="00295A37" w:rsidP="00295A37">
      <w:pPr>
        <w:widowControl/>
        <w:spacing w:line="288" w:lineRule="auto"/>
        <w:ind w:firstLineChars="200" w:firstLine="480"/>
        <w:jc w:val="both"/>
        <w:rPr>
          <w:rFonts w:hint="eastAsia"/>
          <w:color w:val="000000"/>
        </w:rPr>
      </w:pPr>
    </w:p>
    <w:p w:rsidR="00295A37" w:rsidRDefault="00295A37" w:rsidP="00295A37">
      <w:pPr>
        <w:widowControl/>
        <w:spacing w:line="288" w:lineRule="auto"/>
        <w:ind w:firstLineChars="200" w:firstLine="480"/>
        <w:jc w:val="both"/>
        <w:rPr>
          <w:rFonts w:hint="eastAsia"/>
          <w:color w:val="000000"/>
        </w:rPr>
      </w:pPr>
    </w:p>
    <w:p w:rsidR="00295A37" w:rsidRDefault="00295A37" w:rsidP="00295A37">
      <w:pPr>
        <w:widowControl/>
        <w:spacing w:afterLines="50" w:after="180" w:line="288" w:lineRule="auto"/>
        <w:jc w:val="both"/>
        <w:rPr>
          <w:rFonts w:hint="eastAsia"/>
          <w:b/>
          <w:bCs/>
          <w:color w:val="000000"/>
          <w:sz w:val="40"/>
          <w:szCs w:val="40"/>
        </w:rPr>
      </w:pPr>
      <w:r>
        <w:rPr>
          <w:rFonts w:hAnsi="新細明體" w:hint="eastAsia"/>
          <w:b/>
          <w:bCs/>
          <w:color w:val="000000"/>
          <w:sz w:val="40"/>
          <w:szCs w:val="40"/>
        </w:rPr>
        <w:t>第二節　研究範圍</w:t>
      </w:r>
    </w:p>
    <w:p w:rsidR="00295A37" w:rsidRDefault="00295A37" w:rsidP="00295A37">
      <w:pPr>
        <w:widowControl/>
        <w:spacing w:afterLines="50" w:after="180" w:line="288" w:lineRule="auto"/>
        <w:ind w:firstLineChars="200" w:firstLine="480"/>
        <w:jc w:val="both"/>
        <w:rPr>
          <w:rFonts w:hint="eastAsia"/>
          <w:color w:val="000000"/>
        </w:rPr>
      </w:pPr>
      <w:r>
        <w:rPr>
          <w:rFonts w:hAnsi="新細明體" w:hint="eastAsia"/>
          <w:color w:val="000000"/>
        </w:rPr>
        <w:t>「暫時權利保護」者，我國學界其實已有相當之研究</w:t>
      </w:r>
      <w:r>
        <w:rPr>
          <w:rStyle w:val="a3"/>
          <w:rFonts w:hAnsi="新細明體"/>
          <w:color w:val="000000"/>
        </w:rPr>
        <w:footnoteReference w:id="4"/>
      </w:r>
      <w:r>
        <w:rPr>
          <w:rFonts w:hAnsi="新細明體" w:hint="eastAsia"/>
          <w:color w:val="000000"/>
        </w:rPr>
        <w:t>。但由於</w:t>
      </w:r>
      <w:r>
        <w:rPr>
          <w:rFonts w:hAnsi="新細明體"/>
          <w:color w:val="000000"/>
        </w:rPr>
        <w:t>國內</w:t>
      </w:r>
      <w:r>
        <w:rPr>
          <w:rFonts w:hAnsi="新細明體" w:hint="eastAsia"/>
          <w:color w:val="000000"/>
        </w:rPr>
        <w:t>目前的相關</w:t>
      </w:r>
      <w:r>
        <w:rPr>
          <w:rFonts w:hAnsi="新細明體"/>
          <w:color w:val="000000"/>
        </w:rPr>
        <w:t>文獻</w:t>
      </w:r>
      <w:r>
        <w:rPr>
          <w:rFonts w:hAnsi="新細明體" w:hint="eastAsia"/>
          <w:color w:val="000000"/>
        </w:rPr>
        <w:t>仍</w:t>
      </w:r>
      <w:r>
        <w:rPr>
          <w:rFonts w:hAnsi="新細明體"/>
          <w:color w:val="000000"/>
        </w:rPr>
        <w:t>偏重</w:t>
      </w:r>
      <w:r>
        <w:rPr>
          <w:rFonts w:hAnsi="新細明體" w:hint="eastAsia"/>
          <w:color w:val="000000"/>
        </w:rPr>
        <w:t>系爭</w:t>
      </w:r>
      <w:r>
        <w:rPr>
          <w:rFonts w:hAnsi="新細明體"/>
          <w:color w:val="000000"/>
        </w:rPr>
        <w:t>法制的一般性</w:t>
      </w:r>
      <w:r>
        <w:rPr>
          <w:rFonts w:hAnsi="新細明體" w:hint="eastAsia"/>
          <w:color w:val="000000"/>
        </w:rPr>
        <w:t>論述，因此</w:t>
      </w:r>
      <w:r>
        <w:rPr>
          <w:rFonts w:hAnsi="新細明體"/>
          <w:color w:val="000000"/>
        </w:rPr>
        <w:t>有關公務人員保障</w:t>
      </w:r>
      <w:r>
        <w:rPr>
          <w:rFonts w:hAnsi="新細明體" w:hint="eastAsia"/>
          <w:color w:val="000000"/>
        </w:rPr>
        <w:t>事件</w:t>
      </w:r>
      <w:r>
        <w:rPr>
          <w:rFonts w:hAnsi="新細明體"/>
          <w:color w:val="000000"/>
        </w:rPr>
        <w:t>中如何正確適用此一法制的討論，</w:t>
      </w:r>
      <w:r>
        <w:rPr>
          <w:rFonts w:hAnsi="新細明體" w:hint="eastAsia"/>
          <w:color w:val="000000"/>
        </w:rPr>
        <w:t>尚屬罕見</w:t>
      </w:r>
      <w:r>
        <w:rPr>
          <w:rStyle w:val="a3"/>
          <w:rFonts w:hAnsi="新細明體"/>
          <w:color w:val="000000"/>
        </w:rPr>
        <w:footnoteReference w:id="5"/>
      </w:r>
      <w:r>
        <w:rPr>
          <w:rFonts w:hAnsi="新細明體"/>
          <w:color w:val="000000"/>
        </w:rPr>
        <w:t>。</w:t>
      </w:r>
      <w:proofErr w:type="gramStart"/>
      <w:r>
        <w:rPr>
          <w:rFonts w:hAnsi="新細明體" w:hint="eastAsia"/>
          <w:color w:val="000000"/>
        </w:rPr>
        <w:t>從而，</w:t>
      </w:r>
      <w:proofErr w:type="gramEnd"/>
      <w:r>
        <w:rPr>
          <w:rFonts w:hAnsi="新細明體"/>
          <w:color w:val="000000"/>
        </w:rPr>
        <w:t>本研究計畫的研究重心</w:t>
      </w:r>
      <w:r>
        <w:rPr>
          <w:rFonts w:hAnsi="新細明體" w:hint="eastAsia"/>
          <w:color w:val="000000"/>
        </w:rPr>
        <w:t>，也將集中於</w:t>
      </w:r>
      <w:r>
        <w:rPr>
          <w:rFonts w:hAnsi="新細明體"/>
          <w:color w:val="000000"/>
        </w:rPr>
        <w:t>公務人員保障救濟程序</w:t>
      </w:r>
      <w:r>
        <w:rPr>
          <w:rFonts w:hAnsi="新細明體" w:hint="eastAsia"/>
          <w:color w:val="000000"/>
        </w:rPr>
        <w:t>上的相關問題</w:t>
      </w:r>
      <w:r>
        <w:rPr>
          <w:rFonts w:hAnsi="新細明體"/>
          <w:color w:val="000000"/>
        </w:rPr>
        <w:t>。</w:t>
      </w:r>
    </w:p>
    <w:p w:rsidR="00295A37" w:rsidRDefault="00295A37" w:rsidP="00295A37">
      <w:pPr>
        <w:widowControl/>
        <w:spacing w:afterLines="50" w:after="180" w:line="288" w:lineRule="auto"/>
        <w:ind w:firstLineChars="200" w:firstLine="480"/>
        <w:jc w:val="both"/>
        <w:rPr>
          <w:rFonts w:hint="eastAsia"/>
          <w:color w:val="000000"/>
        </w:rPr>
      </w:pPr>
      <w:r>
        <w:rPr>
          <w:rFonts w:hint="eastAsia"/>
          <w:color w:val="000000"/>
        </w:rPr>
        <w:t>又，我國有關</w:t>
      </w:r>
      <w:r>
        <w:rPr>
          <w:rFonts w:hAnsi="新細明體"/>
          <w:color w:val="000000"/>
        </w:rPr>
        <w:t>公務人員保障救濟程序中暫時權利保護</w:t>
      </w:r>
      <w:r>
        <w:rPr>
          <w:rFonts w:hint="eastAsia"/>
          <w:color w:val="000000"/>
        </w:rPr>
        <w:t>之問題，依現行</w:t>
      </w:r>
      <w:r>
        <w:rPr>
          <w:rFonts w:hAnsi="新細明體"/>
          <w:color w:val="000000"/>
        </w:rPr>
        <w:t>公務人員保障法第</w:t>
      </w:r>
      <w:r>
        <w:rPr>
          <w:color w:val="000000"/>
        </w:rPr>
        <w:t>89</w:t>
      </w:r>
      <w:r>
        <w:rPr>
          <w:rFonts w:hAnsi="新細明體"/>
          <w:color w:val="000000"/>
        </w:rPr>
        <w:t>條及第</w:t>
      </w:r>
      <w:r>
        <w:rPr>
          <w:color w:val="000000"/>
        </w:rPr>
        <w:t>90</w:t>
      </w:r>
      <w:r>
        <w:rPr>
          <w:rFonts w:hAnsi="新細明體"/>
          <w:color w:val="000000"/>
        </w:rPr>
        <w:t>條</w:t>
      </w:r>
      <w:r>
        <w:rPr>
          <w:rFonts w:hAnsi="新細明體" w:hint="eastAsia"/>
          <w:color w:val="000000"/>
        </w:rPr>
        <w:t>之規定，</w:t>
      </w:r>
      <w:r>
        <w:rPr>
          <w:rFonts w:hint="eastAsia"/>
          <w:color w:val="000000"/>
        </w:rPr>
        <w:t>保訓會</w:t>
      </w:r>
      <w:r>
        <w:rPr>
          <w:rFonts w:hAnsi="新細明體" w:hint="eastAsia"/>
          <w:color w:val="000000"/>
        </w:rPr>
        <w:t>所能管轄者，僅有「停止執行」一種；至於「假扣押（</w:t>
      </w:r>
      <w:r>
        <w:rPr>
          <w:rFonts w:hAnsi="新細明體" w:hint="eastAsia"/>
          <w:color w:val="000000"/>
        </w:rPr>
        <w:t>Arrest</w:t>
      </w:r>
      <w:r>
        <w:rPr>
          <w:rFonts w:hAnsi="新細明體" w:hint="eastAsia"/>
          <w:color w:val="000000"/>
        </w:rPr>
        <w:t>）」及「假處分</w:t>
      </w:r>
      <w:proofErr w:type="gramStart"/>
      <w:r>
        <w:rPr>
          <w:rFonts w:hAnsi="新細明體" w:hint="eastAsia"/>
          <w:color w:val="000000"/>
        </w:rPr>
        <w:t>（</w:t>
      </w:r>
      <w:proofErr w:type="gramEnd"/>
      <w:r>
        <w:rPr>
          <w:rFonts w:hAnsi="新細明體" w:hint="eastAsia"/>
          <w:color w:val="000000"/>
        </w:rPr>
        <w:t>einstweilige Anordnung; einstweilige Ver</w:t>
      </w:r>
      <w:r>
        <w:rPr>
          <w:rFonts w:hAnsi="新細明體"/>
          <w:color w:val="000000"/>
        </w:rPr>
        <w:softHyphen/>
      </w:r>
      <w:r>
        <w:rPr>
          <w:rFonts w:hAnsi="新細明體" w:hint="eastAsia"/>
          <w:color w:val="000000"/>
        </w:rPr>
        <w:t>f</w:t>
      </w:r>
      <w:r>
        <w:rPr>
          <w:color w:val="000000"/>
        </w:rPr>
        <w:t>ü</w:t>
      </w:r>
      <w:r>
        <w:rPr>
          <w:rFonts w:hAnsi="新細明體" w:hint="eastAsia"/>
          <w:color w:val="000000"/>
        </w:rPr>
        <w:t>gung</w:t>
      </w:r>
      <w:proofErr w:type="gramStart"/>
      <w:r>
        <w:rPr>
          <w:rFonts w:hAnsi="新細明體" w:hint="eastAsia"/>
          <w:color w:val="000000"/>
        </w:rPr>
        <w:t>）</w:t>
      </w:r>
      <w:proofErr w:type="gramEnd"/>
      <w:r>
        <w:rPr>
          <w:rFonts w:hAnsi="新細明體" w:hint="eastAsia"/>
          <w:color w:val="000000"/>
        </w:rPr>
        <w:t>」等，暫時權利保護之聲請人，最多僅能依據行政訴訟法第</w:t>
      </w:r>
      <w:r>
        <w:rPr>
          <w:rFonts w:hAnsi="新細明體" w:hint="eastAsia"/>
          <w:color w:val="000000"/>
        </w:rPr>
        <w:t>293</w:t>
      </w:r>
      <w:r>
        <w:rPr>
          <w:rFonts w:hAnsi="新細明體" w:hint="eastAsia"/>
          <w:color w:val="000000"/>
        </w:rPr>
        <w:t>條以下，向行政法院聲請。職是，一方面</w:t>
      </w:r>
      <w:proofErr w:type="gramStart"/>
      <w:r>
        <w:rPr>
          <w:rFonts w:hAnsi="新細明體" w:hint="eastAsia"/>
          <w:color w:val="000000"/>
        </w:rPr>
        <w:t>鑑</w:t>
      </w:r>
      <w:proofErr w:type="gramEnd"/>
      <w:r>
        <w:rPr>
          <w:rFonts w:hAnsi="新細明體" w:hint="eastAsia"/>
          <w:color w:val="000000"/>
        </w:rPr>
        <w:t>於本研究計畫既為保訓會所委託執行，另方面也</w:t>
      </w:r>
      <w:proofErr w:type="gramStart"/>
      <w:r>
        <w:rPr>
          <w:rFonts w:hAnsi="新細明體" w:hint="eastAsia"/>
          <w:color w:val="000000"/>
        </w:rPr>
        <w:t>囿</w:t>
      </w:r>
      <w:proofErr w:type="gramEnd"/>
      <w:r>
        <w:rPr>
          <w:rFonts w:hAnsi="新細明體" w:hint="eastAsia"/>
          <w:color w:val="000000"/>
        </w:rPr>
        <w:t>於研究之篇幅，因此本研究計畫之討論範圍，</w:t>
      </w:r>
      <w:proofErr w:type="gramStart"/>
      <w:r>
        <w:rPr>
          <w:rFonts w:hAnsi="新細明體" w:hint="eastAsia"/>
          <w:color w:val="000000"/>
        </w:rPr>
        <w:t>適如計畫</w:t>
      </w:r>
      <w:proofErr w:type="gramEnd"/>
      <w:r>
        <w:rPr>
          <w:rFonts w:hAnsi="新細明體" w:hint="eastAsia"/>
          <w:color w:val="000000"/>
        </w:rPr>
        <w:t>所增之副標題「</w:t>
      </w:r>
      <w:r>
        <w:rPr>
          <w:rFonts w:eastAsia="標楷體" w:hint="eastAsia"/>
          <w:color w:val="000000"/>
        </w:rPr>
        <w:t>以保訓會之停止執行為中心</w:t>
      </w:r>
      <w:r>
        <w:rPr>
          <w:rFonts w:hAnsi="新細明體" w:hint="eastAsia"/>
          <w:color w:val="000000"/>
        </w:rPr>
        <w:t>」，原則上將僅以保訓會所能管轄決定的停止執行問題為核心。</w:t>
      </w:r>
    </w:p>
    <w:p w:rsidR="00295A37" w:rsidRDefault="00295A37" w:rsidP="00295A37">
      <w:pPr>
        <w:widowControl/>
        <w:spacing w:afterLines="50" w:after="180" w:line="288" w:lineRule="auto"/>
        <w:ind w:firstLineChars="200" w:firstLine="480"/>
        <w:jc w:val="both"/>
        <w:rPr>
          <w:rFonts w:hint="eastAsia"/>
          <w:color w:val="000000"/>
        </w:rPr>
      </w:pPr>
      <w:proofErr w:type="gramStart"/>
      <w:r>
        <w:rPr>
          <w:rFonts w:hint="eastAsia"/>
          <w:color w:val="000000"/>
        </w:rPr>
        <w:t>總之，</w:t>
      </w:r>
      <w:proofErr w:type="gramEnd"/>
      <w:r>
        <w:rPr>
          <w:rFonts w:hint="eastAsia"/>
          <w:color w:val="000000"/>
        </w:rPr>
        <w:t>綜上開所述之結果，本</w:t>
      </w:r>
      <w:r>
        <w:rPr>
          <w:rFonts w:hAnsi="新細明體" w:hint="eastAsia"/>
          <w:color w:val="000000"/>
        </w:rPr>
        <w:t>研究計畫之</w:t>
      </w:r>
      <w:r>
        <w:rPr>
          <w:rFonts w:hint="eastAsia"/>
          <w:color w:val="000000"/>
        </w:rPr>
        <w:t>研究範圍，主要將定位在以下各相關問題的研究檢討上：</w:t>
      </w:r>
    </w:p>
    <w:p w:rsidR="00295A37" w:rsidRDefault="00295A37" w:rsidP="00295A37">
      <w:pPr>
        <w:pStyle w:val="a6"/>
        <w:widowControl/>
        <w:numPr>
          <w:ilvl w:val="0"/>
          <w:numId w:val="1"/>
        </w:numPr>
        <w:spacing w:afterLines="50" w:after="180" w:line="288" w:lineRule="auto"/>
        <w:ind w:leftChars="0"/>
        <w:jc w:val="both"/>
        <w:rPr>
          <w:color w:val="000000"/>
        </w:rPr>
      </w:pPr>
      <w:r>
        <w:rPr>
          <w:rFonts w:hAnsi="新細明體"/>
          <w:color w:val="000000"/>
        </w:rPr>
        <w:lastRenderedPageBreak/>
        <w:t>暫時權利保護制度在公務人員保障救濟程序中之意義，以及「停止執行」與「假扣押」、「假處分」等其他暫時權利保護制度之異同比較。</w:t>
      </w:r>
    </w:p>
    <w:p w:rsidR="00295A37" w:rsidRDefault="00295A37" w:rsidP="00295A37">
      <w:pPr>
        <w:pStyle w:val="a6"/>
        <w:widowControl/>
        <w:numPr>
          <w:ilvl w:val="0"/>
          <w:numId w:val="1"/>
        </w:numPr>
        <w:spacing w:afterLines="50" w:after="180" w:line="288" w:lineRule="auto"/>
        <w:ind w:leftChars="0"/>
        <w:jc w:val="both"/>
        <w:rPr>
          <w:color w:val="000000"/>
        </w:rPr>
      </w:pPr>
      <w:r>
        <w:rPr>
          <w:rFonts w:hAnsi="新細明體"/>
          <w:color w:val="000000"/>
        </w:rPr>
        <w:t>公務人員保障救濟程序種類繁多，大抵而言，則可區分為涉及公務人員之「財產權」（如追繳公法上不當之給付）與涉及公務人員之「身分權」（如調任、</w:t>
      </w:r>
      <w:proofErr w:type="gramStart"/>
      <w:r>
        <w:rPr>
          <w:rFonts w:hAnsi="新細明體"/>
          <w:color w:val="000000"/>
        </w:rPr>
        <w:t>陞遷等</w:t>
      </w:r>
      <w:proofErr w:type="gramEnd"/>
      <w:r>
        <w:rPr>
          <w:rFonts w:hAnsi="新細明體"/>
          <w:color w:val="000000"/>
        </w:rPr>
        <w:t>）等二者。此一案件類型，乃至其更下位類型之區分，對於停止執行制度，甚至整體暫時權利保護制度之適用有無區分之實益，將是本研究探討</w:t>
      </w:r>
      <w:r>
        <w:rPr>
          <w:rFonts w:hAnsi="新細明體" w:hint="eastAsia"/>
          <w:color w:val="000000"/>
        </w:rPr>
        <w:t>的</w:t>
      </w:r>
      <w:r>
        <w:rPr>
          <w:rFonts w:hAnsi="新細明體"/>
          <w:color w:val="000000"/>
        </w:rPr>
        <w:t>問題</w:t>
      </w:r>
      <w:r>
        <w:rPr>
          <w:rFonts w:hAnsi="新細明體" w:hint="eastAsia"/>
          <w:color w:val="000000"/>
        </w:rPr>
        <w:t>之</w:t>
      </w:r>
      <w:proofErr w:type="gramStart"/>
      <w:r>
        <w:rPr>
          <w:rFonts w:hAnsi="新細明體" w:hint="eastAsia"/>
          <w:color w:val="000000"/>
        </w:rPr>
        <w:t>一</w:t>
      </w:r>
      <w:proofErr w:type="gramEnd"/>
      <w:r>
        <w:rPr>
          <w:rFonts w:hAnsi="新細明體"/>
          <w:color w:val="000000"/>
        </w:rPr>
        <w:t>。</w:t>
      </w:r>
    </w:p>
    <w:p w:rsidR="00295A37" w:rsidRDefault="00295A37" w:rsidP="00295A37">
      <w:pPr>
        <w:pStyle w:val="a6"/>
        <w:widowControl/>
        <w:numPr>
          <w:ilvl w:val="0"/>
          <w:numId w:val="1"/>
        </w:numPr>
        <w:spacing w:afterLines="50" w:after="180" w:line="288" w:lineRule="auto"/>
        <w:ind w:leftChars="0"/>
        <w:jc w:val="both"/>
        <w:rPr>
          <w:color w:val="000000"/>
        </w:rPr>
      </w:pPr>
      <w:r>
        <w:rPr>
          <w:rFonts w:hAnsi="新細明體"/>
          <w:color w:val="000000"/>
        </w:rPr>
        <w:t>停止執行之形式審查標準</w:t>
      </w:r>
      <w:r>
        <w:rPr>
          <w:rFonts w:hAnsi="新細明體" w:hint="eastAsia"/>
          <w:color w:val="000000"/>
        </w:rPr>
        <w:t>（申請合法性問題）</w:t>
      </w:r>
      <w:r>
        <w:rPr>
          <w:rFonts w:hAnsi="新細明體"/>
          <w:color w:val="000000"/>
        </w:rPr>
        <w:t>。</w:t>
      </w:r>
    </w:p>
    <w:p w:rsidR="00295A37" w:rsidRDefault="00295A37" w:rsidP="00295A37">
      <w:pPr>
        <w:pStyle w:val="a6"/>
        <w:widowControl/>
        <w:numPr>
          <w:ilvl w:val="0"/>
          <w:numId w:val="1"/>
        </w:numPr>
        <w:spacing w:afterLines="50" w:after="180" w:line="288" w:lineRule="auto"/>
        <w:ind w:leftChars="0"/>
        <w:jc w:val="both"/>
        <w:rPr>
          <w:color w:val="000000"/>
        </w:rPr>
      </w:pPr>
      <w:r>
        <w:rPr>
          <w:rFonts w:hAnsi="新細明體"/>
          <w:color w:val="000000"/>
        </w:rPr>
        <w:t>停止執行之實質審查標準</w:t>
      </w:r>
      <w:r>
        <w:rPr>
          <w:rFonts w:hAnsi="新細明體" w:hint="eastAsia"/>
          <w:color w:val="000000"/>
        </w:rPr>
        <w:t>（申請有無理由問題）</w:t>
      </w:r>
      <w:r>
        <w:rPr>
          <w:rFonts w:hAnsi="新細明體"/>
          <w:color w:val="000000"/>
        </w:rPr>
        <w:t>；尤其是公務人員保障法第</w:t>
      </w:r>
      <w:r>
        <w:rPr>
          <w:color w:val="000000"/>
        </w:rPr>
        <w:t>89</w:t>
      </w:r>
      <w:r>
        <w:rPr>
          <w:rFonts w:hAnsi="新細明體"/>
          <w:color w:val="000000"/>
        </w:rPr>
        <w:t>條第</w:t>
      </w:r>
      <w:r>
        <w:rPr>
          <w:color w:val="000000"/>
        </w:rPr>
        <w:t>2</w:t>
      </w:r>
      <w:r>
        <w:rPr>
          <w:rFonts w:hAnsi="新細明體"/>
          <w:color w:val="000000"/>
        </w:rPr>
        <w:t>項規定中關於「合法性顯有疑義」、「難以回復之損害」、「急迫情事」、「非為維護重大公共利益所必要」等不確定法律概念之內涵及判斷方式。在此，公務人員保障</w:t>
      </w:r>
      <w:r>
        <w:rPr>
          <w:rFonts w:hAnsi="新細明體" w:hint="eastAsia"/>
          <w:color w:val="000000"/>
        </w:rPr>
        <w:t>事件</w:t>
      </w:r>
      <w:r>
        <w:rPr>
          <w:rFonts w:hAnsi="新細明體"/>
          <w:color w:val="000000"/>
        </w:rPr>
        <w:t>實務如何在個案中具體操作上開各該標準之判斷，以決定停止執行之准</w:t>
      </w:r>
      <w:proofErr w:type="gramStart"/>
      <w:r>
        <w:rPr>
          <w:rFonts w:hAnsi="新細明體"/>
          <w:color w:val="000000"/>
        </w:rPr>
        <w:t>否等，尤將</w:t>
      </w:r>
      <w:proofErr w:type="gramEnd"/>
      <w:r>
        <w:rPr>
          <w:rFonts w:hAnsi="新細明體"/>
          <w:color w:val="000000"/>
        </w:rPr>
        <w:t>為研究重點。</w:t>
      </w:r>
    </w:p>
    <w:p w:rsidR="00295A37" w:rsidRDefault="00295A37" w:rsidP="00295A37">
      <w:pPr>
        <w:pStyle w:val="a6"/>
        <w:widowControl/>
        <w:numPr>
          <w:ilvl w:val="0"/>
          <w:numId w:val="1"/>
        </w:numPr>
        <w:spacing w:afterLines="50" w:after="180" w:line="288" w:lineRule="auto"/>
        <w:ind w:leftChars="0"/>
        <w:jc w:val="both"/>
        <w:rPr>
          <w:color w:val="000000"/>
        </w:rPr>
      </w:pPr>
      <w:r>
        <w:rPr>
          <w:rFonts w:hAnsi="新細明體" w:hint="eastAsia"/>
          <w:color w:val="000000"/>
        </w:rPr>
        <w:t>針對</w:t>
      </w:r>
      <w:r>
        <w:rPr>
          <w:rFonts w:hAnsi="新細明體"/>
          <w:color w:val="000000"/>
        </w:rPr>
        <w:t>停止執行之</w:t>
      </w:r>
      <w:r>
        <w:rPr>
          <w:rFonts w:hAnsi="新細明體" w:hint="eastAsia"/>
          <w:color w:val="000000"/>
        </w:rPr>
        <w:t>審議</w:t>
      </w:r>
      <w:r>
        <w:rPr>
          <w:rFonts w:hAnsi="新細明體"/>
          <w:color w:val="000000"/>
        </w:rPr>
        <w:t>程序</w:t>
      </w:r>
      <w:r>
        <w:rPr>
          <w:rFonts w:hAnsi="新細明體" w:hint="eastAsia"/>
          <w:color w:val="000000"/>
        </w:rPr>
        <w:t>，保訓會有無訂定標準作業流程之必要？又，如何訂定？</w:t>
      </w:r>
    </w:p>
    <w:p w:rsidR="00295A37" w:rsidRDefault="00295A37" w:rsidP="00295A37">
      <w:pPr>
        <w:pStyle w:val="a6"/>
        <w:widowControl/>
        <w:numPr>
          <w:ilvl w:val="0"/>
          <w:numId w:val="1"/>
        </w:numPr>
        <w:spacing w:afterLines="50" w:after="180" w:line="288" w:lineRule="auto"/>
        <w:ind w:leftChars="0"/>
        <w:jc w:val="both"/>
        <w:rPr>
          <w:color w:val="000000"/>
        </w:rPr>
      </w:pPr>
      <w:r>
        <w:rPr>
          <w:rFonts w:hAnsi="新細明體"/>
          <w:color w:val="000000"/>
        </w:rPr>
        <w:t>涉及第三人效力之行政處分</w:t>
      </w:r>
      <w:r>
        <w:rPr>
          <w:rFonts w:hAnsi="新細明體" w:hint="eastAsia"/>
          <w:color w:val="000000"/>
        </w:rPr>
        <w:t>或其他行政行為</w:t>
      </w:r>
      <w:r>
        <w:rPr>
          <w:rFonts w:hAnsi="新細明體"/>
          <w:color w:val="000000"/>
        </w:rPr>
        <w:t>（如公務人員之調任、</w:t>
      </w:r>
      <w:proofErr w:type="gramStart"/>
      <w:r>
        <w:rPr>
          <w:rFonts w:hAnsi="新細明體"/>
          <w:color w:val="000000"/>
        </w:rPr>
        <w:t>陞遷等</w:t>
      </w:r>
      <w:proofErr w:type="gramEnd"/>
      <w:r>
        <w:rPr>
          <w:rFonts w:hAnsi="新細明體"/>
          <w:color w:val="000000"/>
        </w:rPr>
        <w:t>具有「競爭關係」之案件類型）的停止執行相關問題。</w:t>
      </w:r>
    </w:p>
    <w:p w:rsidR="00295A37" w:rsidRDefault="00295A37" w:rsidP="00295A37">
      <w:pPr>
        <w:pStyle w:val="a6"/>
        <w:widowControl/>
        <w:numPr>
          <w:ilvl w:val="0"/>
          <w:numId w:val="1"/>
        </w:numPr>
        <w:spacing w:after="0" w:line="288" w:lineRule="auto"/>
        <w:ind w:leftChars="0" w:left="482" w:hanging="482"/>
        <w:jc w:val="both"/>
        <w:rPr>
          <w:color w:val="000000"/>
        </w:rPr>
      </w:pPr>
      <w:r>
        <w:rPr>
          <w:rFonts w:hAnsi="新細明體"/>
          <w:color w:val="000000"/>
        </w:rPr>
        <w:t>現行公務人員保障法僅有停止執行制度之設計；</w:t>
      </w:r>
      <w:proofErr w:type="gramStart"/>
      <w:r>
        <w:rPr>
          <w:rFonts w:hAnsi="新細明體"/>
          <w:color w:val="000000"/>
        </w:rPr>
        <w:t>惟</w:t>
      </w:r>
      <w:proofErr w:type="gramEnd"/>
      <w:r>
        <w:rPr>
          <w:rFonts w:hAnsi="新細明體"/>
          <w:color w:val="000000"/>
        </w:rPr>
        <w:t>除此之外，在法實務面，乃至法政策面，有無透過法規解釋，以及修法方式，增設「假處分」及「假扣押」等保全程序，乃至如日本現行行政事件訴訟法明文所規範的「禁止訴訟」等所謂「預防性權利保護（</w:t>
      </w:r>
      <w:r>
        <w:rPr>
          <w:color w:val="000000"/>
        </w:rPr>
        <w:t>vorbeugender Rechtsschutz</w:t>
      </w:r>
      <w:r>
        <w:rPr>
          <w:rFonts w:hAnsi="新細明體"/>
          <w:color w:val="000000"/>
        </w:rPr>
        <w:t>）」，乃至「預防性暫時權利保護（</w:t>
      </w:r>
      <w:r>
        <w:rPr>
          <w:color w:val="000000"/>
        </w:rPr>
        <w:t>vorbeugender vorläufiger Rechtsschutz</w:t>
      </w:r>
      <w:r>
        <w:rPr>
          <w:rFonts w:hAnsi="新細明體"/>
          <w:color w:val="000000"/>
        </w:rPr>
        <w:t>）」等，</w:t>
      </w:r>
      <w:r>
        <w:rPr>
          <w:rFonts w:hAnsi="新細明體" w:hint="eastAsia"/>
          <w:color w:val="000000"/>
        </w:rPr>
        <w:t>亦</w:t>
      </w:r>
      <w:r>
        <w:rPr>
          <w:rFonts w:hAnsi="新細明體"/>
          <w:color w:val="000000"/>
        </w:rPr>
        <w:t>有納入研究</w:t>
      </w:r>
      <w:r>
        <w:rPr>
          <w:rFonts w:hAnsi="新細明體" w:hint="eastAsia"/>
          <w:color w:val="000000"/>
        </w:rPr>
        <w:t>的</w:t>
      </w:r>
      <w:r>
        <w:rPr>
          <w:rFonts w:hAnsi="新細明體"/>
          <w:color w:val="000000"/>
        </w:rPr>
        <w:t>必要。</w:t>
      </w:r>
    </w:p>
    <w:p w:rsidR="00295A37" w:rsidRDefault="00295A37" w:rsidP="00295A37">
      <w:pPr>
        <w:widowControl/>
        <w:spacing w:line="288" w:lineRule="auto"/>
        <w:ind w:firstLineChars="200" w:firstLine="480"/>
        <w:jc w:val="both"/>
        <w:rPr>
          <w:rFonts w:hint="eastAsia"/>
          <w:color w:val="000000"/>
        </w:rPr>
      </w:pPr>
    </w:p>
    <w:p w:rsidR="00295A37" w:rsidRDefault="00295A37" w:rsidP="00295A37">
      <w:pPr>
        <w:widowControl/>
        <w:spacing w:line="288" w:lineRule="auto"/>
        <w:ind w:firstLineChars="200" w:firstLine="480"/>
        <w:jc w:val="both"/>
        <w:rPr>
          <w:rFonts w:hint="eastAsia"/>
          <w:color w:val="000000"/>
        </w:rPr>
      </w:pPr>
    </w:p>
    <w:p w:rsidR="00295A37" w:rsidRDefault="00295A37" w:rsidP="00295A37">
      <w:pPr>
        <w:widowControl/>
        <w:spacing w:line="288" w:lineRule="auto"/>
        <w:ind w:firstLineChars="200" w:firstLine="480"/>
        <w:jc w:val="both"/>
        <w:rPr>
          <w:rFonts w:hint="eastAsia"/>
          <w:color w:val="000000"/>
        </w:rPr>
      </w:pPr>
    </w:p>
    <w:p w:rsidR="00295A37" w:rsidRDefault="00295A37" w:rsidP="00295A37">
      <w:pPr>
        <w:widowControl/>
        <w:spacing w:afterLines="50" w:after="180" w:line="288" w:lineRule="auto"/>
        <w:jc w:val="both"/>
        <w:rPr>
          <w:rFonts w:hint="eastAsia"/>
          <w:b/>
          <w:bCs/>
          <w:color w:val="000000"/>
          <w:sz w:val="40"/>
          <w:szCs w:val="40"/>
        </w:rPr>
      </w:pPr>
      <w:r>
        <w:rPr>
          <w:rFonts w:hAnsi="新細明體"/>
          <w:b/>
          <w:bCs/>
          <w:color w:val="000000"/>
          <w:sz w:val="40"/>
          <w:szCs w:val="40"/>
        </w:rPr>
        <w:br w:type="page"/>
      </w:r>
      <w:r>
        <w:rPr>
          <w:rFonts w:hAnsi="新細明體" w:hint="eastAsia"/>
          <w:b/>
          <w:bCs/>
          <w:color w:val="000000"/>
          <w:sz w:val="40"/>
          <w:szCs w:val="40"/>
        </w:rPr>
        <w:lastRenderedPageBreak/>
        <w:t>第三節　研究方法</w:t>
      </w:r>
    </w:p>
    <w:p w:rsidR="00295A37" w:rsidRDefault="00295A37" w:rsidP="00295A37">
      <w:pPr>
        <w:widowControl/>
        <w:spacing w:afterLines="50" w:after="180" w:line="288" w:lineRule="auto"/>
        <w:ind w:firstLineChars="200" w:firstLine="480"/>
        <w:jc w:val="both"/>
        <w:rPr>
          <w:rFonts w:hAnsi="新細明體" w:hint="eastAsia"/>
          <w:color w:val="000000"/>
        </w:rPr>
      </w:pPr>
      <w:r>
        <w:rPr>
          <w:rFonts w:hAnsi="新細明體"/>
          <w:color w:val="000000"/>
        </w:rPr>
        <w:t>「停止執行」，在我國主要是繼受日本與德國法學後的產物</w:t>
      </w:r>
      <w:r>
        <w:rPr>
          <w:rFonts w:hAnsi="新細明體" w:hint="eastAsia"/>
          <w:color w:val="000000"/>
        </w:rPr>
        <w:t>；而</w:t>
      </w:r>
      <w:r>
        <w:rPr>
          <w:rFonts w:hAnsi="新細明體"/>
          <w:color w:val="000000"/>
        </w:rPr>
        <w:t>事實上目前國內文獻大多也以日本法及德國法之比較論述為研究焦點。查公務人員保障救濟程序中暫時權利保護之問題，在國內理論研究仍屬不足的情況下，相關實務的問題的確有藉由比較法學方法解決的必要；因此本研究計畫亦將以比較法學「（</w:t>
      </w:r>
      <w:r>
        <w:rPr>
          <w:color w:val="000000"/>
        </w:rPr>
        <w:t>Rechtsvergleich</w:t>
      </w:r>
      <w:r>
        <w:rPr>
          <w:rFonts w:hAnsi="新細明體"/>
          <w:color w:val="000000"/>
        </w:rPr>
        <w:t>）」之探討為主要</w:t>
      </w:r>
      <w:r>
        <w:rPr>
          <w:rFonts w:hAnsi="新細明體" w:hint="eastAsia"/>
          <w:color w:val="000000"/>
        </w:rPr>
        <w:t>的</w:t>
      </w:r>
      <w:r>
        <w:rPr>
          <w:rFonts w:hAnsi="新細明體"/>
          <w:color w:val="000000"/>
        </w:rPr>
        <w:t>研究方法，</w:t>
      </w:r>
      <w:r>
        <w:rPr>
          <w:rFonts w:hAnsi="新細明體" w:hint="eastAsia"/>
          <w:color w:val="000000"/>
        </w:rPr>
        <w:t>以</w:t>
      </w:r>
      <w:r>
        <w:rPr>
          <w:rFonts w:hAnsi="新細明體"/>
          <w:color w:val="000000"/>
        </w:rPr>
        <w:t>構成研究的形式方式與實體內容。</w:t>
      </w:r>
      <w:proofErr w:type="gramStart"/>
      <w:r>
        <w:rPr>
          <w:rFonts w:hAnsi="新細明體"/>
          <w:color w:val="000000"/>
        </w:rPr>
        <w:t>惟</w:t>
      </w:r>
      <w:proofErr w:type="gramEnd"/>
      <w:r>
        <w:rPr>
          <w:rFonts w:hAnsi="新細明體"/>
          <w:color w:val="000000"/>
        </w:rPr>
        <w:t>我國目前相關法制之發展，既如前述，深受日本及德國法學的影響，所以本研究計畫中，比較法研究之對象，</w:t>
      </w:r>
      <w:r>
        <w:rPr>
          <w:rFonts w:hAnsi="新細明體" w:hint="eastAsia"/>
          <w:color w:val="000000"/>
        </w:rPr>
        <w:t>首先</w:t>
      </w:r>
      <w:r>
        <w:rPr>
          <w:rFonts w:hAnsi="新細明體"/>
          <w:color w:val="000000"/>
        </w:rPr>
        <w:t>也將以日本法</w:t>
      </w:r>
      <w:r>
        <w:rPr>
          <w:rFonts w:hAnsi="新細明體" w:hint="eastAsia"/>
          <w:color w:val="000000"/>
        </w:rPr>
        <w:t>，尤其是</w:t>
      </w:r>
      <w:r>
        <w:rPr>
          <w:rFonts w:hAnsi="新細明體"/>
          <w:color w:val="000000"/>
        </w:rPr>
        <w:t>德國法為主</w:t>
      </w:r>
      <w:r>
        <w:rPr>
          <w:rStyle w:val="a3"/>
          <w:rFonts w:hAnsi="新細明體"/>
          <w:color w:val="000000"/>
        </w:rPr>
        <w:footnoteReference w:id="6"/>
      </w:r>
      <w:r>
        <w:rPr>
          <w:rFonts w:hAnsi="新細明體" w:hint="eastAsia"/>
          <w:color w:val="000000"/>
        </w:rPr>
        <w:t>；</w:t>
      </w:r>
      <w:r>
        <w:rPr>
          <w:rFonts w:hAnsi="新細明體"/>
          <w:color w:val="000000"/>
        </w:rPr>
        <w:t>必要時</w:t>
      </w:r>
      <w:r>
        <w:rPr>
          <w:rFonts w:hAnsi="新細明體" w:hint="eastAsia"/>
          <w:color w:val="000000"/>
        </w:rPr>
        <w:t>，</w:t>
      </w:r>
      <w:proofErr w:type="gramStart"/>
      <w:r>
        <w:rPr>
          <w:rFonts w:hAnsi="新細明體"/>
          <w:color w:val="000000"/>
        </w:rPr>
        <w:t>始佐以</w:t>
      </w:r>
      <w:proofErr w:type="gramEnd"/>
      <w:r>
        <w:rPr>
          <w:rFonts w:hAnsi="新細明體"/>
          <w:color w:val="000000"/>
        </w:rPr>
        <w:t>美國法制中頗相類似的「暫時禁制令（</w:t>
      </w:r>
      <w:r>
        <w:rPr>
          <w:color w:val="000000"/>
        </w:rPr>
        <w:t>preliminary injunction</w:t>
      </w:r>
      <w:r>
        <w:rPr>
          <w:rFonts w:hAnsi="新細明體"/>
          <w:color w:val="000000"/>
        </w:rPr>
        <w:t>）」為輔證，</w:t>
      </w:r>
      <w:r>
        <w:rPr>
          <w:rFonts w:hAnsi="新細明體" w:hint="eastAsia"/>
          <w:color w:val="000000"/>
        </w:rPr>
        <w:t>而</w:t>
      </w:r>
      <w:r>
        <w:rPr>
          <w:rFonts w:hAnsi="新細明體"/>
          <w:color w:val="000000"/>
        </w:rPr>
        <w:t>架構我國完整的「公務人員保障救濟程序中之</w:t>
      </w:r>
      <w:r>
        <w:rPr>
          <w:rFonts w:hAnsi="新細明體" w:hint="eastAsia"/>
          <w:color w:val="000000"/>
        </w:rPr>
        <w:t>停止執行</w:t>
      </w:r>
      <w:r>
        <w:rPr>
          <w:rFonts w:hAnsi="新細明體"/>
          <w:color w:val="000000"/>
        </w:rPr>
        <w:t>」制度。</w:t>
      </w:r>
      <w:r>
        <w:rPr>
          <w:rFonts w:hAnsi="新細明體" w:hint="eastAsia"/>
          <w:color w:val="000000"/>
        </w:rPr>
        <w:t>至於經過此一比較法學研究後，本研究報告全部，將分別以以下數章的方式呈現：</w:t>
      </w:r>
    </w:p>
    <w:p w:rsidR="00295A37" w:rsidRDefault="00295A37" w:rsidP="00295A37">
      <w:pPr>
        <w:widowControl/>
        <w:spacing w:line="288" w:lineRule="auto"/>
        <w:ind w:firstLineChars="200" w:firstLine="480"/>
        <w:jc w:val="both"/>
        <w:rPr>
          <w:rFonts w:hAnsi="新細明體" w:hint="eastAsia"/>
          <w:color w:val="000000"/>
        </w:rPr>
      </w:pPr>
      <w:r>
        <w:rPr>
          <w:rFonts w:hAnsi="新細明體" w:hint="eastAsia"/>
          <w:color w:val="000000"/>
        </w:rPr>
        <w:t>首先，本研究報告將探討</w:t>
      </w:r>
      <w:r>
        <w:rPr>
          <w:rFonts w:hAnsi="新細明體"/>
          <w:color w:val="000000"/>
        </w:rPr>
        <w:t>公務人員保障救濟程序中之</w:t>
      </w:r>
      <w:r>
        <w:rPr>
          <w:rFonts w:hAnsi="新細明體" w:hint="eastAsia"/>
          <w:color w:val="000000"/>
        </w:rPr>
        <w:t>停止執行的「法理基礎」（第二章）。在此，該制度的實定法依據、比較法對照觀察，該制度的目的、功能，乃至與該制度</w:t>
      </w:r>
      <w:proofErr w:type="gramStart"/>
      <w:r>
        <w:rPr>
          <w:rFonts w:hAnsi="新細明體" w:hint="eastAsia"/>
          <w:color w:val="000000"/>
        </w:rPr>
        <w:t>性質略近</w:t>
      </w:r>
      <w:proofErr w:type="gramEnd"/>
      <w:r>
        <w:rPr>
          <w:rFonts w:hAnsi="新細明體" w:hint="eastAsia"/>
          <w:color w:val="000000"/>
        </w:rPr>
        <w:t>，但制度內涵卻不容混淆的「預防性權利保護」等問題，是討論的重點。其次在此一研究基礎上，再分別進一步靜態地觀察停止執行的形式與實質之「審查標準」（第三章），以及動態地說明整個停止執行之「審議程序」如何在兼顧程序之迅速化與當事人程序權保障的情況下，有效且合理地進行（第四章）。最後，全部研究所得，作成「結論」（第五章），以提供保訓會在審議實務（</w:t>
      </w:r>
      <w:r>
        <w:rPr>
          <w:rFonts w:hAnsi="新細明體" w:hint="eastAsia"/>
          <w:color w:val="000000"/>
        </w:rPr>
        <w:t>de lege lata</w:t>
      </w:r>
      <w:r>
        <w:rPr>
          <w:rFonts w:hAnsi="新細明體" w:hint="eastAsia"/>
          <w:color w:val="000000"/>
        </w:rPr>
        <w:t>）及將來相關修法方向（</w:t>
      </w:r>
      <w:r>
        <w:rPr>
          <w:rFonts w:hAnsi="新細明體" w:hint="eastAsia"/>
          <w:color w:val="000000"/>
        </w:rPr>
        <w:t>de lege ferenda</w:t>
      </w:r>
      <w:r>
        <w:rPr>
          <w:rFonts w:hAnsi="新細明體" w:hint="eastAsia"/>
          <w:color w:val="000000"/>
        </w:rPr>
        <w:t>）上參考。</w:t>
      </w:r>
    </w:p>
    <w:p w:rsidR="00BF70BC" w:rsidRDefault="00BF70BC" w:rsidP="00295A37"/>
    <w:sectPr w:rsidR="00BF70BC" w:rsidSect="00BF70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35" w:rsidRDefault="00E14E35" w:rsidP="00295A37">
      <w:r>
        <w:separator/>
      </w:r>
    </w:p>
  </w:endnote>
  <w:endnote w:type="continuationSeparator" w:id="0">
    <w:p w:rsidR="00E14E35" w:rsidRDefault="00E14E35" w:rsidP="0029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35" w:rsidRDefault="00E14E35" w:rsidP="00295A37">
      <w:r>
        <w:separator/>
      </w:r>
    </w:p>
  </w:footnote>
  <w:footnote w:type="continuationSeparator" w:id="0">
    <w:p w:rsidR="00E14E35" w:rsidRDefault="00E14E35" w:rsidP="00295A37">
      <w:r>
        <w:continuationSeparator/>
      </w:r>
    </w:p>
  </w:footnote>
  <w:footnote w:id="1">
    <w:p w:rsidR="00295A37" w:rsidRDefault="00295A37" w:rsidP="00295A37">
      <w:pPr>
        <w:pStyle w:val="a4"/>
        <w:spacing w:after="180"/>
        <w:rPr>
          <w:rFonts w:hint="eastAsia"/>
        </w:rPr>
      </w:pPr>
      <w:r>
        <w:rPr>
          <w:rStyle w:val="a3"/>
        </w:rPr>
        <w:footnoteRef/>
      </w:r>
      <w:r>
        <w:t xml:space="preserve"> </w:t>
      </w:r>
      <w:r>
        <w:rPr>
          <w:rFonts w:hint="eastAsia"/>
        </w:rPr>
        <w:t>見</w:t>
      </w:r>
      <w:r>
        <w:rPr>
          <w:rFonts w:hint="eastAsia"/>
        </w:rPr>
        <w:t>2004</w:t>
      </w:r>
      <w:r>
        <w:rPr>
          <w:rFonts w:hAnsi="新細明體"/>
        </w:rPr>
        <w:t>年</w:t>
      </w:r>
      <w:r>
        <w:t>6</w:t>
      </w:r>
      <w:r>
        <w:rPr>
          <w:rFonts w:hAnsi="新細明體"/>
        </w:rPr>
        <w:t>月</w:t>
      </w:r>
      <w:r>
        <w:t>8</w:t>
      </w:r>
      <w:r>
        <w:rPr>
          <w:rFonts w:hAnsi="新細明體"/>
        </w:rPr>
        <w:t>日</w:t>
      </w:r>
      <w:r>
        <w:rPr>
          <w:rFonts w:hAnsi="新細明體" w:hint="eastAsia"/>
        </w:rPr>
        <w:t>公務人員保障暨培訓委員會（</w:t>
      </w:r>
      <w:r>
        <w:rPr>
          <w:rFonts w:hint="eastAsia"/>
        </w:rPr>
        <w:t>依公務人員保障法第</w:t>
      </w:r>
      <w:r>
        <w:rPr>
          <w:rFonts w:hint="eastAsia"/>
        </w:rPr>
        <w:t>4</w:t>
      </w:r>
      <w:r>
        <w:rPr>
          <w:rFonts w:hint="eastAsia"/>
        </w:rPr>
        <w:t>條第</w:t>
      </w:r>
      <w:r>
        <w:rPr>
          <w:rFonts w:hint="eastAsia"/>
        </w:rPr>
        <w:t>2</w:t>
      </w:r>
      <w:r>
        <w:rPr>
          <w:rFonts w:hint="eastAsia"/>
        </w:rPr>
        <w:t>項，</w:t>
      </w:r>
      <w:r>
        <w:rPr>
          <w:rFonts w:hAnsi="新細明體" w:hint="eastAsia"/>
        </w:rPr>
        <w:t>以下簡稱「保訓會」）</w:t>
      </w:r>
      <w:r>
        <w:t>93</w:t>
      </w:r>
      <w:r>
        <w:rPr>
          <w:rFonts w:hAnsi="新細明體"/>
        </w:rPr>
        <w:t>年</w:t>
      </w:r>
      <w:r>
        <w:rPr>
          <w:rFonts w:hAnsi="新細明體" w:hint="eastAsia"/>
        </w:rPr>
        <w:t>度</w:t>
      </w:r>
      <w:r>
        <w:rPr>
          <w:rFonts w:hAnsi="新細明體"/>
        </w:rPr>
        <w:t>第</w:t>
      </w:r>
      <w:r>
        <w:t>8</w:t>
      </w:r>
      <w:r>
        <w:rPr>
          <w:rFonts w:hAnsi="新細明體"/>
        </w:rPr>
        <w:t>次委員會議</w:t>
      </w:r>
      <w:r>
        <w:rPr>
          <w:rFonts w:hAnsi="新細明體" w:hint="eastAsia"/>
        </w:rPr>
        <w:t>決議。</w:t>
      </w:r>
    </w:p>
  </w:footnote>
  <w:footnote w:id="2">
    <w:p w:rsidR="00295A37" w:rsidRDefault="00295A37" w:rsidP="00295A37">
      <w:pPr>
        <w:pStyle w:val="a4"/>
        <w:spacing w:after="180"/>
        <w:rPr>
          <w:rFonts w:hint="eastAsia"/>
        </w:rPr>
      </w:pPr>
      <w:r>
        <w:rPr>
          <w:rStyle w:val="a3"/>
        </w:rPr>
        <w:footnoteRef/>
      </w:r>
      <w:r>
        <w:t xml:space="preserve"> </w:t>
      </w:r>
      <w:r>
        <w:rPr>
          <w:rFonts w:hint="eastAsia"/>
        </w:rPr>
        <w:t>見後文「期中報告審查會會議記錄」。</w:t>
      </w:r>
    </w:p>
  </w:footnote>
  <w:footnote w:id="3">
    <w:p w:rsidR="00295A37" w:rsidRDefault="00295A37" w:rsidP="00295A37">
      <w:pPr>
        <w:pStyle w:val="a4"/>
        <w:spacing w:after="180"/>
        <w:rPr>
          <w:rFonts w:hint="eastAsia"/>
        </w:rPr>
      </w:pPr>
      <w:r>
        <w:rPr>
          <w:rStyle w:val="a3"/>
        </w:rPr>
        <w:footnoteRef/>
      </w:r>
      <w:r>
        <w:t xml:space="preserve"> </w:t>
      </w:r>
      <w:r>
        <w:rPr>
          <w:rFonts w:hint="eastAsia"/>
        </w:rPr>
        <w:t>相關資料，詳見後文「附錄　參」。</w:t>
      </w:r>
    </w:p>
  </w:footnote>
  <w:footnote w:id="4">
    <w:p w:rsidR="00295A37" w:rsidRDefault="00295A37" w:rsidP="00295A37">
      <w:pPr>
        <w:pStyle w:val="a4"/>
        <w:spacing w:after="180"/>
        <w:rPr>
          <w:rFonts w:hint="eastAsia"/>
        </w:rPr>
      </w:pPr>
      <w:r>
        <w:rPr>
          <w:rStyle w:val="a3"/>
        </w:rPr>
        <w:footnoteRef/>
      </w:r>
      <w:r>
        <w:t xml:space="preserve"> </w:t>
      </w:r>
      <w:r>
        <w:rPr>
          <w:rFonts w:hint="eastAsia"/>
        </w:rPr>
        <w:t>詳見後文「附錄　壹、</w:t>
      </w:r>
      <w:proofErr w:type="gramStart"/>
      <w:r>
        <w:rPr>
          <w:rFonts w:hint="eastAsia"/>
        </w:rPr>
        <w:t>一</w:t>
      </w:r>
      <w:proofErr w:type="gramEnd"/>
      <w:r>
        <w:rPr>
          <w:rFonts w:hint="eastAsia"/>
        </w:rPr>
        <w:t>」相關之中文文獻。</w:t>
      </w:r>
    </w:p>
  </w:footnote>
  <w:footnote w:id="5">
    <w:p w:rsidR="00295A37" w:rsidRDefault="00295A37" w:rsidP="00295A37">
      <w:pPr>
        <w:pStyle w:val="a4"/>
        <w:spacing w:after="180"/>
        <w:rPr>
          <w:rFonts w:hint="eastAsia"/>
        </w:rPr>
      </w:pPr>
      <w:r>
        <w:rPr>
          <w:rStyle w:val="a3"/>
        </w:rPr>
        <w:footnoteRef/>
      </w:r>
      <w:r>
        <w:t xml:space="preserve"> </w:t>
      </w:r>
      <w:r>
        <w:rPr>
          <w:rFonts w:hint="eastAsia"/>
        </w:rPr>
        <w:t>就此，在本研究計畫蒐集所及，僅有：</w:t>
      </w:r>
      <w:r>
        <w:rPr>
          <w:rFonts w:hAnsi="新細明體" w:hint="eastAsia"/>
        </w:rPr>
        <w:t>林昱梅，</w:t>
      </w:r>
      <w:r>
        <w:rPr>
          <w:rFonts w:hAnsi="新細明體"/>
        </w:rPr>
        <w:t>〈</w:t>
      </w:r>
      <w:r>
        <w:rPr>
          <w:rFonts w:hAnsi="新細明體" w:hint="eastAsia"/>
        </w:rPr>
        <w:t>保障事件之暫時權利保護機制</w:t>
      </w:r>
      <w:r>
        <w:rPr>
          <w:rFonts w:hAnsi="新細明體" w:hint="eastAsia"/>
        </w:rPr>
        <w:t xml:space="preserve"> </w:t>
      </w:r>
      <w:r>
        <w:rPr>
          <w:rFonts w:hAnsi="新細明體"/>
        </w:rPr>
        <w:t>—</w:t>
      </w:r>
      <w:r>
        <w:rPr>
          <w:rFonts w:hAnsi="新細明體" w:hint="eastAsia"/>
        </w:rPr>
        <w:t xml:space="preserve"> </w:t>
      </w:r>
      <w:r>
        <w:rPr>
          <w:rFonts w:hAnsi="新細明體" w:hint="eastAsia"/>
        </w:rPr>
        <w:t>以競爭型陞遷事件為例〉，考</w:t>
      </w:r>
      <w:proofErr w:type="gramStart"/>
      <w:r>
        <w:rPr>
          <w:rFonts w:hAnsi="新細明體" w:hint="eastAsia"/>
        </w:rPr>
        <w:t>詮</w:t>
      </w:r>
      <w:proofErr w:type="gramEnd"/>
      <w:r>
        <w:rPr>
          <w:rFonts w:hAnsi="新細明體" w:hint="eastAsia"/>
        </w:rPr>
        <w:t>季刊</w:t>
      </w:r>
      <w:r>
        <w:rPr>
          <w:rFonts w:hAnsi="新細明體" w:hint="eastAsia"/>
        </w:rPr>
        <w:t>55</w:t>
      </w:r>
      <w:r>
        <w:rPr>
          <w:rFonts w:hAnsi="新細明體" w:hint="eastAsia"/>
        </w:rPr>
        <w:t>期（</w:t>
      </w:r>
      <w:r>
        <w:rPr>
          <w:rFonts w:hAnsi="新細明體" w:hint="eastAsia"/>
        </w:rPr>
        <w:t>2008</w:t>
      </w:r>
      <w:r>
        <w:rPr>
          <w:rFonts w:hAnsi="新細明體" w:hint="eastAsia"/>
        </w:rPr>
        <w:t>年</w:t>
      </w:r>
      <w:r>
        <w:rPr>
          <w:rFonts w:hAnsi="新細明體" w:hint="eastAsia"/>
        </w:rPr>
        <w:t>7</w:t>
      </w:r>
      <w:r>
        <w:rPr>
          <w:rFonts w:hAnsi="新細明體" w:hint="eastAsia"/>
        </w:rPr>
        <w:t>月），頁</w:t>
      </w:r>
      <w:r>
        <w:rPr>
          <w:rFonts w:hAnsi="新細明體" w:hint="eastAsia"/>
        </w:rPr>
        <w:t>43</w:t>
      </w:r>
      <w:r>
        <w:rPr>
          <w:rFonts w:hAnsi="新細明體" w:hint="eastAsia"/>
        </w:rPr>
        <w:t>以下。</w:t>
      </w:r>
    </w:p>
  </w:footnote>
  <w:footnote w:id="6">
    <w:p w:rsidR="00295A37" w:rsidRDefault="00295A37" w:rsidP="00295A37">
      <w:pPr>
        <w:pStyle w:val="a4"/>
        <w:spacing w:after="180"/>
        <w:rPr>
          <w:rFonts w:hint="eastAsia"/>
        </w:rPr>
      </w:pPr>
      <w:r>
        <w:rPr>
          <w:rStyle w:val="a3"/>
        </w:rPr>
        <w:footnoteRef/>
      </w:r>
      <w:r>
        <w:t xml:space="preserve"> </w:t>
      </w:r>
      <w:r>
        <w:rPr>
          <w:rFonts w:hint="eastAsia"/>
        </w:rPr>
        <w:t>關於本研究計畫</w:t>
      </w:r>
      <w:proofErr w:type="gramStart"/>
      <w:r>
        <w:rPr>
          <w:rFonts w:hint="eastAsia"/>
        </w:rPr>
        <w:t>捨</w:t>
      </w:r>
      <w:proofErr w:type="gramEnd"/>
      <w:r>
        <w:rPr>
          <w:rFonts w:hint="eastAsia"/>
        </w:rPr>
        <w:t>日本，而最終僅以德國法制為比較法主要對象的原因，詳見後文「第二章、第二節」。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E0280"/>
    <w:multiLevelType w:val="hybridMultilevel"/>
    <w:tmpl w:val="0D9C71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37"/>
    <w:rsid w:val="00295A37"/>
    <w:rsid w:val="00467A0D"/>
    <w:rsid w:val="00BF70BC"/>
    <w:rsid w:val="00C07CF1"/>
    <w:rsid w:val="00E14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38DF-0730-41C4-8693-5ADA7937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A3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295A37"/>
    <w:rPr>
      <w:vertAlign w:val="superscript"/>
    </w:rPr>
  </w:style>
  <w:style w:type="paragraph" w:styleId="a4">
    <w:name w:val="footnote text"/>
    <w:aliases w:val="註腳文字 字元 字元 字元 字元,註腳文字 字元 字元 字元,註腳文字 字元 字元,註腳文字 字元 字元 字元 字元 字元 字元 字元,註腳文字 字元 字元 字元 字元 字元 字元 字元 字元 字元 字元,註腳文字 字元 字元 字元 字元 字元 字元"/>
    <w:basedOn w:val="a"/>
    <w:link w:val="a5"/>
    <w:semiHidden/>
    <w:rsid w:val="00295A37"/>
    <w:pPr>
      <w:widowControl/>
      <w:snapToGrid w:val="0"/>
      <w:spacing w:afterLines="50" w:after="50" w:line="288" w:lineRule="auto"/>
      <w:jc w:val="both"/>
    </w:pPr>
    <w:rPr>
      <w:sz w:val="20"/>
      <w:szCs w:val="20"/>
    </w:rPr>
  </w:style>
  <w:style w:type="character" w:customStyle="1" w:styleId="a5">
    <w:name w:val="註腳文字 字元"/>
    <w:basedOn w:val="a0"/>
    <w:link w:val="a4"/>
    <w:semiHidden/>
    <w:rsid w:val="00295A37"/>
    <w:rPr>
      <w:rFonts w:ascii="Times New Roman" w:eastAsia="新細明體" w:hAnsi="Times New Roman" w:cs="Times New Roman"/>
      <w:sz w:val="20"/>
      <w:szCs w:val="20"/>
    </w:rPr>
  </w:style>
  <w:style w:type="paragraph" w:styleId="a6">
    <w:name w:val="Body Text Indent"/>
    <w:basedOn w:val="a"/>
    <w:link w:val="a7"/>
    <w:semiHidden/>
    <w:rsid w:val="00295A37"/>
    <w:pPr>
      <w:spacing w:after="120"/>
      <w:ind w:leftChars="200" w:left="480"/>
    </w:pPr>
  </w:style>
  <w:style w:type="character" w:customStyle="1" w:styleId="a7">
    <w:name w:val="本文縮排 字元"/>
    <w:basedOn w:val="a0"/>
    <w:link w:val="a6"/>
    <w:semiHidden/>
    <w:rsid w:val="00295A37"/>
    <w:rPr>
      <w:rFonts w:ascii="Times New Roman" w:eastAsia="新細明體" w:hAnsi="Times New Roman" w:cs="Times New Roman"/>
      <w:szCs w:val="24"/>
    </w:rPr>
  </w:style>
  <w:style w:type="character" w:styleId="a8">
    <w:name w:val="Emphasis"/>
    <w:basedOn w:val="a0"/>
    <w:qFormat/>
    <w:rsid w:val="00295A37"/>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卓卿雲</cp:lastModifiedBy>
  <cp:revision>2</cp:revision>
  <dcterms:created xsi:type="dcterms:W3CDTF">2021-09-17T10:01:00Z</dcterms:created>
  <dcterms:modified xsi:type="dcterms:W3CDTF">2021-09-17T10:01:00Z</dcterms:modified>
</cp:coreProperties>
</file>