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8A2" w:rsidRDefault="009468A2" w:rsidP="009468A2">
      <w:pPr>
        <w:widowControl/>
        <w:spacing w:beforeLines="400" w:before="1440" w:afterLines="50" w:after="180" w:line="288" w:lineRule="auto"/>
        <w:jc w:val="center"/>
        <w:rPr>
          <w:rFonts w:hint="eastAsia"/>
          <w:b/>
          <w:bCs/>
          <w:color w:val="000000"/>
          <w:sz w:val="48"/>
          <w:szCs w:val="48"/>
        </w:rPr>
      </w:pPr>
      <w:bookmarkStart w:id="0" w:name="_GoBack"/>
      <w:bookmarkEnd w:id="0"/>
      <w:r>
        <w:rPr>
          <w:rFonts w:hint="eastAsia"/>
          <w:b/>
          <w:color w:val="000000"/>
          <w:sz w:val="48"/>
          <w:szCs w:val="48"/>
        </w:rPr>
        <w:t>第三章</w:t>
      </w:r>
      <w:r>
        <w:rPr>
          <w:rFonts w:hAnsi="新細明體" w:hint="eastAsia"/>
          <w:b/>
          <w:bCs/>
          <w:color w:val="000000"/>
          <w:sz w:val="48"/>
          <w:szCs w:val="48"/>
        </w:rPr>
        <w:t xml:space="preserve">　</w:t>
      </w:r>
      <w:r>
        <w:rPr>
          <w:rFonts w:hint="eastAsia"/>
          <w:b/>
          <w:color w:val="000000"/>
          <w:sz w:val="48"/>
          <w:szCs w:val="48"/>
        </w:rPr>
        <w:t>停止執行之審查標準</w:t>
      </w:r>
    </w:p>
    <w:p w:rsidR="009468A2" w:rsidRDefault="009468A2" w:rsidP="009468A2">
      <w:pPr>
        <w:widowControl/>
        <w:spacing w:afterLines="50" w:after="180" w:line="288" w:lineRule="auto"/>
        <w:jc w:val="both"/>
        <w:rPr>
          <w:rFonts w:hAnsi="新細明體" w:hint="eastAsia"/>
          <w:b/>
          <w:bCs/>
          <w:color w:val="000000"/>
          <w:sz w:val="40"/>
          <w:szCs w:val="40"/>
        </w:rPr>
      </w:pPr>
    </w:p>
    <w:p w:rsidR="009468A2" w:rsidRDefault="009468A2" w:rsidP="009468A2">
      <w:pPr>
        <w:widowControl/>
        <w:spacing w:afterLines="50" w:after="180" w:line="288" w:lineRule="auto"/>
        <w:ind w:left="1441" w:hangingChars="400" w:hanging="1441"/>
        <w:jc w:val="both"/>
        <w:rPr>
          <w:rFonts w:hint="eastAsia"/>
          <w:b/>
          <w:bCs/>
          <w:color w:val="000000"/>
          <w:sz w:val="36"/>
          <w:szCs w:val="36"/>
        </w:rPr>
      </w:pPr>
      <w:r>
        <w:rPr>
          <w:rFonts w:hAnsi="新細明體" w:hint="eastAsia"/>
          <w:b/>
          <w:bCs/>
          <w:color w:val="000000"/>
          <w:sz w:val="36"/>
          <w:szCs w:val="36"/>
        </w:rPr>
        <w:t xml:space="preserve">第一節　</w:t>
      </w:r>
      <w:r>
        <w:rPr>
          <w:rFonts w:hint="eastAsia"/>
          <w:b/>
          <w:color w:val="000000"/>
          <w:sz w:val="36"/>
          <w:szCs w:val="36"/>
        </w:rPr>
        <w:t>形式審查標準（申請之合法性）</w:t>
      </w:r>
    </w:p>
    <w:p w:rsidR="009468A2" w:rsidRDefault="009468A2" w:rsidP="009468A2">
      <w:pPr>
        <w:widowControl/>
        <w:spacing w:afterLines="50" w:after="180" w:line="288" w:lineRule="auto"/>
        <w:ind w:leftChars="100" w:left="881" w:hangingChars="200" w:hanging="641"/>
        <w:jc w:val="both"/>
        <w:rPr>
          <w:rFonts w:hint="eastAsia"/>
          <w:b/>
          <w:color w:val="000000"/>
          <w:sz w:val="32"/>
          <w:szCs w:val="32"/>
        </w:rPr>
      </w:pPr>
      <w:r>
        <w:rPr>
          <w:rFonts w:hint="eastAsia"/>
          <w:b/>
          <w:color w:val="000000"/>
          <w:sz w:val="32"/>
          <w:szCs w:val="32"/>
        </w:rPr>
        <w:t>壹　保訓會依職權停止執行與停止執行之形式審查標準之關係</w:t>
      </w:r>
    </w:p>
    <w:p w:rsidR="009468A2" w:rsidRDefault="009468A2" w:rsidP="009468A2">
      <w:pPr>
        <w:widowControl/>
        <w:spacing w:afterLines="50" w:after="180" w:line="288" w:lineRule="auto"/>
        <w:ind w:firstLineChars="200" w:firstLine="480"/>
        <w:jc w:val="both"/>
        <w:rPr>
          <w:rFonts w:hint="eastAsia"/>
          <w:color w:val="000000"/>
        </w:rPr>
      </w:pPr>
      <w:r>
        <w:rPr>
          <w:rFonts w:hint="eastAsia"/>
          <w:color w:val="000000"/>
        </w:rPr>
        <w:t>暫時權利保護，無論是作為本研究報告之重心的「停止執行」，抑或各種不同的「保全程序」，學說上輒以本案救濟程序的「附屬程序（</w:t>
      </w:r>
      <w:r>
        <w:rPr>
          <w:rFonts w:hint="eastAsia"/>
          <w:color w:val="000000"/>
        </w:rPr>
        <w:t>Nebenverfahren</w:t>
      </w:r>
      <w:r>
        <w:rPr>
          <w:rFonts w:hint="eastAsia"/>
          <w:color w:val="000000"/>
        </w:rPr>
        <w:t>）」</w:t>
      </w:r>
      <w:proofErr w:type="gramStart"/>
      <w:r>
        <w:rPr>
          <w:rFonts w:hint="eastAsia"/>
          <w:color w:val="000000"/>
        </w:rPr>
        <w:t>相名</w:t>
      </w:r>
      <w:proofErr w:type="gramEnd"/>
      <w:r>
        <w:rPr>
          <w:rStyle w:val="a3"/>
          <w:color w:val="000000"/>
        </w:rPr>
        <w:footnoteReference w:id="1"/>
      </w:r>
      <w:r>
        <w:rPr>
          <w:rFonts w:hint="eastAsia"/>
          <w:color w:val="000000"/>
        </w:rPr>
        <w:t>；不過這種說法，只是從暫時權利保護程序具有輔助本案訴訟程序，共同實現真正有效之權利保護目的的角度觀察後，所得到的一種結果</w:t>
      </w:r>
      <w:r>
        <w:rPr>
          <w:rStyle w:val="a3"/>
          <w:color w:val="000000"/>
        </w:rPr>
        <w:footnoteReference w:id="2"/>
      </w:r>
      <w:r>
        <w:rPr>
          <w:rFonts w:hint="eastAsia"/>
          <w:color w:val="000000"/>
        </w:rPr>
        <w:t>。事實上，假使吾人另就暫時權利保護程序所欲滿足的特殊功能，以及在此</w:t>
      </w:r>
      <w:proofErr w:type="gramStart"/>
      <w:r>
        <w:rPr>
          <w:rFonts w:hint="eastAsia"/>
          <w:color w:val="000000"/>
        </w:rPr>
        <w:t>一</w:t>
      </w:r>
      <w:proofErr w:type="gramEnd"/>
      <w:r>
        <w:rPr>
          <w:rFonts w:hint="eastAsia"/>
          <w:color w:val="000000"/>
        </w:rPr>
        <w:t>功能導向下，管轄之行政機關或法院在該程序中所應作之審查與裁（決）定的觀點出發，則該程序本身，也是一個位於本案救濟程序以外的「獨立程序」</w:t>
      </w:r>
      <w:r>
        <w:rPr>
          <w:rStyle w:val="a3"/>
          <w:color w:val="000000"/>
        </w:rPr>
        <w:footnoteReference w:id="3"/>
      </w:r>
      <w:r>
        <w:rPr>
          <w:rFonts w:hint="eastAsia"/>
          <w:color w:val="000000"/>
        </w:rPr>
        <w:t>。換言之，行政機關或法院在暫時權利保護程序中，原則上仍應針對當事人之暫時權利保護的申（聲）請，分別就其程序面與實體面要件，亦即所謂申（聲）請的「合法性（</w:t>
      </w:r>
      <w:r>
        <w:rPr>
          <w:rFonts w:hint="eastAsia"/>
          <w:color w:val="000000"/>
        </w:rPr>
        <w:t>Zul</w:t>
      </w:r>
      <w:r>
        <w:rPr>
          <w:color w:val="000000"/>
        </w:rPr>
        <w:t>ä</w:t>
      </w:r>
      <w:r>
        <w:rPr>
          <w:rFonts w:hint="eastAsia"/>
          <w:color w:val="000000"/>
        </w:rPr>
        <w:t>ssigkeit</w:t>
      </w:r>
      <w:r>
        <w:rPr>
          <w:rFonts w:hint="eastAsia"/>
          <w:color w:val="000000"/>
        </w:rPr>
        <w:t>）」及「有（無）理由（</w:t>
      </w:r>
      <w:r>
        <w:rPr>
          <w:rFonts w:hint="eastAsia"/>
          <w:color w:val="000000"/>
        </w:rPr>
        <w:t>Begr</w:t>
      </w:r>
      <w:r>
        <w:rPr>
          <w:color w:val="000000"/>
        </w:rPr>
        <w:t>ü</w:t>
      </w:r>
      <w:r>
        <w:rPr>
          <w:rFonts w:hint="eastAsia"/>
          <w:color w:val="000000"/>
        </w:rPr>
        <w:t>ndetheit</w:t>
      </w:r>
      <w:r>
        <w:rPr>
          <w:rFonts w:hint="eastAsia"/>
          <w:color w:val="000000"/>
        </w:rPr>
        <w:t>）」兩大問題點，逐一審查後，始得以裁（決）</w:t>
      </w:r>
      <w:r>
        <w:rPr>
          <w:rFonts w:hint="eastAsia"/>
          <w:color w:val="000000"/>
        </w:rPr>
        <w:lastRenderedPageBreak/>
        <w:t>定針對該申（聲）請作准駁的處理</w:t>
      </w:r>
      <w:r>
        <w:rPr>
          <w:rStyle w:val="a3"/>
          <w:color w:val="000000"/>
        </w:rPr>
        <w:footnoteReference w:id="4"/>
      </w:r>
      <w:r>
        <w:rPr>
          <w:rFonts w:hint="eastAsia"/>
          <w:color w:val="000000"/>
        </w:rPr>
        <w:t>。在此，就停止執行而言，有關申（聲）請之合法性問題，或可稱為停止執行的「形式審查標準」；申（聲）請之有（無）理由問題，</w:t>
      </w:r>
      <w:proofErr w:type="gramStart"/>
      <w:r>
        <w:rPr>
          <w:rFonts w:hint="eastAsia"/>
          <w:color w:val="000000"/>
        </w:rPr>
        <w:t>則謂停止</w:t>
      </w:r>
      <w:proofErr w:type="gramEnd"/>
      <w:r>
        <w:rPr>
          <w:rFonts w:hint="eastAsia"/>
          <w:color w:val="000000"/>
        </w:rPr>
        <w:t>執行的「實質審查標準」。其中，前者，主要是如同申（聲）請書不合法定程式、申（聲）請人之</w:t>
      </w:r>
      <w:proofErr w:type="gramStart"/>
      <w:r>
        <w:rPr>
          <w:rFonts w:hint="eastAsia"/>
          <w:color w:val="000000"/>
        </w:rPr>
        <w:t>適格性</w:t>
      </w:r>
      <w:proofErr w:type="gramEnd"/>
      <w:r>
        <w:rPr>
          <w:rFonts w:ascii="新細明體" w:hAnsi="新細明體"/>
          <w:color w:val="000000"/>
        </w:rPr>
        <w:t>…</w:t>
      </w:r>
      <w:r>
        <w:rPr>
          <w:rFonts w:hint="eastAsia"/>
          <w:color w:val="000000"/>
        </w:rPr>
        <w:t>等類似公務人員保障法第</w:t>
      </w:r>
      <w:r>
        <w:rPr>
          <w:rFonts w:hint="eastAsia"/>
          <w:color w:val="000000"/>
        </w:rPr>
        <w:t>61</w:t>
      </w:r>
      <w:r>
        <w:rPr>
          <w:rFonts w:hint="eastAsia"/>
          <w:color w:val="000000"/>
        </w:rPr>
        <w:t>條所規定的要件問題；至於後者，則是涉及如同法第</w:t>
      </w:r>
      <w:r>
        <w:rPr>
          <w:rFonts w:hint="eastAsia"/>
          <w:color w:val="000000"/>
        </w:rPr>
        <w:t>89</w:t>
      </w:r>
      <w:r>
        <w:rPr>
          <w:rFonts w:hint="eastAsia"/>
          <w:color w:val="000000"/>
        </w:rPr>
        <w:t>條第</w:t>
      </w:r>
      <w:r>
        <w:rPr>
          <w:rFonts w:hint="eastAsia"/>
          <w:color w:val="000000"/>
        </w:rPr>
        <w:t>2</w:t>
      </w:r>
      <w:r>
        <w:rPr>
          <w:rFonts w:hint="eastAsia"/>
          <w:color w:val="000000"/>
        </w:rPr>
        <w:t>項所稱「</w:t>
      </w:r>
      <w:r>
        <w:rPr>
          <w:rFonts w:ascii="標楷體" w:eastAsia="標楷體" w:hAnsi="標楷體"/>
          <w:color w:val="000000"/>
        </w:rPr>
        <w:t>原行政處分、管理措施或有關工作條件之處置合法性顯有疑義者，或其執行將發生難以回復之損害，且有急迫情事，並非為維護重大公共利益所必要…</w:t>
      </w:r>
      <w:r>
        <w:rPr>
          <w:rFonts w:hint="eastAsia"/>
          <w:color w:val="000000"/>
        </w:rPr>
        <w:t>」的問題。這兩大問題點，在申（聲）請人提出停止</w:t>
      </w:r>
      <w:proofErr w:type="gramStart"/>
      <w:r>
        <w:rPr>
          <w:rFonts w:hint="eastAsia"/>
          <w:color w:val="000000"/>
        </w:rPr>
        <w:t>執行之申</w:t>
      </w:r>
      <w:proofErr w:type="gramEnd"/>
      <w:r>
        <w:rPr>
          <w:rFonts w:hint="eastAsia"/>
          <w:color w:val="000000"/>
        </w:rPr>
        <w:t>（聲）請人後，行政機關或法院</w:t>
      </w:r>
      <w:proofErr w:type="gramStart"/>
      <w:r>
        <w:rPr>
          <w:rFonts w:hint="eastAsia"/>
          <w:color w:val="000000"/>
        </w:rPr>
        <w:t>原則上均應審查</w:t>
      </w:r>
      <w:proofErr w:type="gramEnd"/>
      <w:r>
        <w:rPr>
          <w:rFonts w:hint="eastAsia"/>
          <w:color w:val="000000"/>
        </w:rPr>
        <w:t>。</w:t>
      </w:r>
    </w:p>
    <w:p w:rsidR="009468A2" w:rsidRDefault="009468A2" w:rsidP="009468A2">
      <w:pPr>
        <w:widowControl/>
        <w:spacing w:afterLines="50" w:after="180" w:line="288" w:lineRule="auto"/>
        <w:ind w:firstLineChars="200" w:firstLine="480"/>
        <w:jc w:val="both"/>
        <w:rPr>
          <w:rFonts w:hint="eastAsia"/>
          <w:color w:val="000000"/>
        </w:rPr>
      </w:pPr>
      <w:r>
        <w:rPr>
          <w:rFonts w:hint="eastAsia"/>
          <w:color w:val="000000"/>
        </w:rPr>
        <w:t>不過，這個原則，非無例外；至少在保訓會依據公務人員保障法第</w:t>
      </w:r>
      <w:r>
        <w:rPr>
          <w:rFonts w:hint="eastAsia"/>
          <w:color w:val="000000"/>
        </w:rPr>
        <w:t>89</w:t>
      </w:r>
      <w:r>
        <w:rPr>
          <w:rFonts w:hint="eastAsia"/>
          <w:color w:val="000000"/>
        </w:rPr>
        <w:t>條第</w:t>
      </w:r>
      <w:r>
        <w:rPr>
          <w:rFonts w:hint="eastAsia"/>
          <w:color w:val="000000"/>
        </w:rPr>
        <w:t>2</w:t>
      </w:r>
      <w:r>
        <w:rPr>
          <w:rFonts w:hint="eastAsia"/>
          <w:color w:val="000000"/>
        </w:rPr>
        <w:t>項，乃至第</w:t>
      </w:r>
      <w:r>
        <w:rPr>
          <w:rFonts w:hint="eastAsia"/>
          <w:color w:val="000000"/>
        </w:rPr>
        <w:t>90</w:t>
      </w:r>
      <w:r>
        <w:rPr>
          <w:rFonts w:hint="eastAsia"/>
          <w:color w:val="000000"/>
        </w:rPr>
        <w:t>條所進行的停止執行或撤銷停止執行程序中，停止執行或撤銷停止執行之准否，毋庸，甚至不應再取決於當事人申請之合法性，亦即前開所謂「停止執行之形式審查標準」。因為依據公務人員保障法第</w:t>
      </w:r>
      <w:r>
        <w:rPr>
          <w:rFonts w:hint="eastAsia"/>
          <w:color w:val="000000"/>
        </w:rPr>
        <w:t>89</w:t>
      </w:r>
      <w:r>
        <w:rPr>
          <w:rFonts w:hint="eastAsia"/>
          <w:color w:val="000000"/>
        </w:rPr>
        <w:t>條第</w:t>
      </w:r>
      <w:r>
        <w:rPr>
          <w:rFonts w:hint="eastAsia"/>
          <w:color w:val="000000"/>
        </w:rPr>
        <w:t>2</w:t>
      </w:r>
      <w:r>
        <w:rPr>
          <w:rFonts w:hint="eastAsia"/>
          <w:color w:val="000000"/>
        </w:rPr>
        <w:t>項或第</w:t>
      </w:r>
      <w:r>
        <w:rPr>
          <w:rFonts w:hint="eastAsia"/>
          <w:color w:val="000000"/>
        </w:rPr>
        <w:t>90</w:t>
      </w:r>
      <w:r>
        <w:rPr>
          <w:rFonts w:hint="eastAsia"/>
          <w:color w:val="000000"/>
        </w:rPr>
        <w:t>條，保訓會之決定停止執行，抑或撤銷停止執行，除依當事人之申請外，亦得依「職權」為之。</w:t>
      </w:r>
      <w:proofErr w:type="gramStart"/>
      <w:r>
        <w:rPr>
          <w:rFonts w:hint="eastAsia"/>
          <w:color w:val="000000"/>
        </w:rPr>
        <w:t>此外，</w:t>
      </w:r>
      <w:proofErr w:type="gramEnd"/>
      <w:r>
        <w:rPr>
          <w:rFonts w:hint="eastAsia"/>
          <w:color w:val="000000"/>
        </w:rPr>
        <w:t>又由於針對保訓會依職權所為的停止執行或撤銷停止執行決定，法律並無其他形式要件的要求，因此當事人未提出任何停止執行或撤銷停止執行之申請時，保訓會在既無其他形式要件要求下，固得</w:t>
      </w:r>
      <w:proofErr w:type="gramStart"/>
      <w:r>
        <w:rPr>
          <w:rFonts w:hint="eastAsia"/>
          <w:color w:val="000000"/>
        </w:rPr>
        <w:t>逕</w:t>
      </w:r>
      <w:proofErr w:type="gramEnd"/>
      <w:r>
        <w:rPr>
          <w:rFonts w:hint="eastAsia"/>
          <w:color w:val="000000"/>
        </w:rPr>
        <w:t>依職權審查系爭本案救濟，有無停止執行之實質要件，而決定停止執行或撤銷停止執行；惟當當事人所提出申請，即使未符合停止執行之形式要件，保訓會仍</w:t>
      </w:r>
      <w:proofErr w:type="gramStart"/>
      <w:r>
        <w:rPr>
          <w:rFonts w:hint="eastAsia"/>
          <w:color w:val="000000"/>
        </w:rPr>
        <w:t>可將系爭</w:t>
      </w:r>
      <w:proofErr w:type="gramEnd"/>
      <w:r>
        <w:rPr>
          <w:rFonts w:hint="eastAsia"/>
          <w:color w:val="000000"/>
        </w:rPr>
        <w:t>個案視為當事人並未提出申請般，</w:t>
      </w:r>
      <w:proofErr w:type="gramStart"/>
      <w:r>
        <w:rPr>
          <w:rFonts w:hint="eastAsia"/>
          <w:color w:val="000000"/>
        </w:rPr>
        <w:t>逕</w:t>
      </w:r>
      <w:proofErr w:type="gramEnd"/>
      <w:r>
        <w:rPr>
          <w:rFonts w:hint="eastAsia"/>
          <w:color w:val="000000"/>
        </w:rPr>
        <w:t>依職權審查系爭本案救濟，有無停止執行之實質要件，以決定停止執行或撤銷停止執行。因為保訓會該停止執行或撤銷停止執行的決定權，本不以當事人有無申請為前提；</w:t>
      </w:r>
      <w:proofErr w:type="gramStart"/>
      <w:r>
        <w:rPr>
          <w:rFonts w:hint="eastAsia"/>
          <w:color w:val="000000"/>
        </w:rPr>
        <w:t>何況，</w:t>
      </w:r>
      <w:proofErr w:type="gramEnd"/>
      <w:r>
        <w:rPr>
          <w:rFonts w:hint="eastAsia"/>
          <w:color w:val="000000"/>
        </w:rPr>
        <w:t>除此以外，也無其他該決定權發動之形式要件存在的必要。換言之，由於公務人員保障法第</w:t>
      </w:r>
      <w:r>
        <w:rPr>
          <w:rFonts w:hint="eastAsia"/>
          <w:color w:val="000000"/>
        </w:rPr>
        <w:t>89</w:t>
      </w:r>
      <w:r>
        <w:rPr>
          <w:rFonts w:hint="eastAsia"/>
          <w:color w:val="000000"/>
        </w:rPr>
        <w:t>條第</w:t>
      </w:r>
      <w:r>
        <w:rPr>
          <w:rFonts w:hint="eastAsia"/>
          <w:color w:val="000000"/>
        </w:rPr>
        <w:t>2</w:t>
      </w:r>
      <w:r>
        <w:rPr>
          <w:rFonts w:hint="eastAsia"/>
          <w:color w:val="000000"/>
        </w:rPr>
        <w:t>項及第</w:t>
      </w:r>
      <w:r>
        <w:rPr>
          <w:rFonts w:hint="eastAsia"/>
          <w:color w:val="000000"/>
        </w:rPr>
        <w:t>90</w:t>
      </w:r>
      <w:r>
        <w:rPr>
          <w:rFonts w:hint="eastAsia"/>
          <w:color w:val="000000"/>
        </w:rPr>
        <w:t>條准許保訓會既得依申請，也得依職權決定本案所</w:t>
      </w:r>
      <w:proofErr w:type="gramStart"/>
      <w:r>
        <w:rPr>
          <w:rFonts w:hint="eastAsia"/>
          <w:color w:val="000000"/>
        </w:rPr>
        <w:t>繫</w:t>
      </w:r>
      <w:proofErr w:type="gramEnd"/>
      <w:r>
        <w:rPr>
          <w:rFonts w:hint="eastAsia"/>
          <w:color w:val="000000"/>
        </w:rPr>
        <w:t>之處分或措施等的停止執行或撤銷停止執行，所以在保訓會之停止執行程序中，停止執行之「形式」審查標準，</w:t>
      </w:r>
      <w:r>
        <w:rPr>
          <w:rFonts w:hint="eastAsia"/>
          <w:color w:val="000000"/>
        </w:rPr>
        <w:lastRenderedPageBreak/>
        <w:t>例外地無存在之必要；只有停止執行之「實質」審查標準一項，始能決定系爭處分或措施等是否停止執行或撤銷停止執行的命運</w:t>
      </w:r>
      <w:r>
        <w:rPr>
          <w:rStyle w:val="a3"/>
          <w:color w:val="000000"/>
        </w:rPr>
        <w:footnoteReference w:id="5"/>
      </w:r>
      <w:r>
        <w:rPr>
          <w:rFonts w:hint="eastAsia"/>
          <w:color w:val="000000"/>
        </w:rPr>
        <w:t>。</w:t>
      </w:r>
    </w:p>
    <w:p w:rsidR="009468A2" w:rsidRDefault="009468A2" w:rsidP="009468A2">
      <w:pPr>
        <w:widowControl/>
        <w:spacing w:afterLines="50" w:after="180" w:line="288" w:lineRule="auto"/>
        <w:ind w:firstLineChars="200" w:firstLine="480"/>
        <w:jc w:val="both"/>
        <w:rPr>
          <w:rFonts w:hint="eastAsia"/>
          <w:color w:val="000000"/>
        </w:rPr>
      </w:pPr>
      <w:r>
        <w:rPr>
          <w:rFonts w:hint="eastAsia"/>
          <w:color w:val="000000"/>
        </w:rPr>
        <w:t>或謂：依據公務人員保障法第</w:t>
      </w:r>
      <w:r>
        <w:rPr>
          <w:rFonts w:hint="eastAsia"/>
          <w:color w:val="000000"/>
        </w:rPr>
        <w:t>89</w:t>
      </w:r>
      <w:r>
        <w:rPr>
          <w:rFonts w:hint="eastAsia"/>
          <w:color w:val="000000"/>
        </w:rPr>
        <w:t>條中第</w:t>
      </w:r>
      <w:r>
        <w:rPr>
          <w:rFonts w:hint="eastAsia"/>
          <w:color w:val="000000"/>
        </w:rPr>
        <w:t>1</w:t>
      </w:r>
      <w:r>
        <w:rPr>
          <w:rFonts w:hint="eastAsia"/>
          <w:color w:val="000000"/>
        </w:rPr>
        <w:t>項及第</w:t>
      </w:r>
      <w:r>
        <w:rPr>
          <w:rFonts w:hint="eastAsia"/>
          <w:color w:val="000000"/>
        </w:rPr>
        <w:t>2</w:t>
      </w:r>
      <w:r>
        <w:rPr>
          <w:rFonts w:hint="eastAsia"/>
          <w:color w:val="000000"/>
        </w:rPr>
        <w:t>項的條項順序以觀，保訓會似應於本案救濟程序</w:t>
      </w:r>
      <w:proofErr w:type="gramStart"/>
      <w:r>
        <w:rPr>
          <w:rFonts w:hint="eastAsia"/>
          <w:color w:val="000000"/>
        </w:rPr>
        <w:t>繫</w:t>
      </w:r>
      <w:proofErr w:type="gramEnd"/>
      <w:r>
        <w:rPr>
          <w:rFonts w:hint="eastAsia"/>
          <w:color w:val="000000"/>
        </w:rPr>
        <w:t>屬後，始能依申請或依職權決定已</w:t>
      </w:r>
      <w:proofErr w:type="gramStart"/>
      <w:r>
        <w:rPr>
          <w:rFonts w:hint="eastAsia"/>
          <w:color w:val="000000"/>
        </w:rPr>
        <w:t>繫</w:t>
      </w:r>
      <w:proofErr w:type="gramEnd"/>
      <w:r>
        <w:rPr>
          <w:rFonts w:hint="eastAsia"/>
          <w:color w:val="000000"/>
        </w:rPr>
        <w:t>屬之行政處分或措施等是否停止執行的問題。</w:t>
      </w:r>
      <w:proofErr w:type="gramStart"/>
      <w:r>
        <w:rPr>
          <w:rFonts w:hint="eastAsia"/>
          <w:color w:val="000000"/>
        </w:rPr>
        <w:t>準</w:t>
      </w:r>
      <w:proofErr w:type="gramEnd"/>
      <w:r>
        <w:rPr>
          <w:rFonts w:hint="eastAsia"/>
          <w:color w:val="000000"/>
        </w:rPr>
        <w:t>此，設若當事人所提起之本案救濟不合法，如逾越本案救濟期間等，保訓</w:t>
      </w:r>
      <w:proofErr w:type="gramStart"/>
      <w:r>
        <w:rPr>
          <w:rFonts w:hint="eastAsia"/>
          <w:color w:val="000000"/>
        </w:rPr>
        <w:t>會豈仍</w:t>
      </w:r>
      <w:proofErr w:type="gramEnd"/>
      <w:r>
        <w:rPr>
          <w:rFonts w:hint="eastAsia"/>
          <w:color w:val="000000"/>
        </w:rPr>
        <w:t>得不予審查該本案救濟申請是否欠缺同法第</w:t>
      </w:r>
      <w:r>
        <w:rPr>
          <w:rFonts w:hint="eastAsia"/>
          <w:color w:val="000000"/>
        </w:rPr>
        <w:t>61</w:t>
      </w:r>
      <w:r>
        <w:rPr>
          <w:rFonts w:hint="eastAsia"/>
          <w:color w:val="000000"/>
        </w:rPr>
        <w:t>條（再申訴時，依同法第</w:t>
      </w:r>
      <w:r>
        <w:rPr>
          <w:rFonts w:hint="eastAsia"/>
          <w:color w:val="000000"/>
        </w:rPr>
        <w:t>84</w:t>
      </w:r>
      <w:r>
        <w:rPr>
          <w:rFonts w:hint="eastAsia"/>
          <w:color w:val="000000"/>
        </w:rPr>
        <w:t>條</w:t>
      </w:r>
      <w:proofErr w:type="gramStart"/>
      <w:r>
        <w:rPr>
          <w:rFonts w:hint="eastAsia"/>
          <w:color w:val="000000"/>
        </w:rPr>
        <w:t>準</w:t>
      </w:r>
      <w:proofErr w:type="gramEnd"/>
      <w:r>
        <w:rPr>
          <w:rFonts w:hint="eastAsia"/>
          <w:color w:val="000000"/>
        </w:rPr>
        <w:t>用）之合法性要件規定，</w:t>
      </w:r>
      <w:proofErr w:type="gramStart"/>
      <w:r>
        <w:rPr>
          <w:rFonts w:hint="eastAsia"/>
          <w:color w:val="000000"/>
        </w:rPr>
        <w:t>逕</w:t>
      </w:r>
      <w:proofErr w:type="gramEnd"/>
      <w:r>
        <w:rPr>
          <w:rFonts w:hint="eastAsia"/>
          <w:color w:val="000000"/>
        </w:rPr>
        <w:t>依職權決定原行政處分或措施等停止執行？</w:t>
      </w:r>
    </w:p>
    <w:p w:rsidR="009468A2" w:rsidRDefault="009468A2" w:rsidP="009468A2">
      <w:pPr>
        <w:widowControl/>
        <w:spacing w:line="288" w:lineRule="auto"/>
        <w:ind w:firstLineChars="200" w:firstLine="480"/>
        <w:jc w:val="both"/>
        <w:rPr>
          <w:rFonts w:hint="eastAsia"/>
          <w:color w:val="000000"/>
        </w:rPr>
      </w:pPr>
      <w:r>
        <w:rPr>
          <w:rFonts w:hint="eastAsia"/>
          <w:color w:val="000000"/>
        </w:rPr>
        <w:t>關於這個問題，其實是將本案救濟申請之合法性要件與停止執行申請之合法性要件混為同一。蓋停止執行程序，如前所述，既與本案救濟程序獨立，則兩個程序各有其申請之合法性與有無理由問題。本研究報告在此主張保訓會之毋庸審查者，乃停止執行之申請本身的合法性；至於本案救濟申請之合法性，亦即公務人員保障法第</w:t>
      </w:r>
      <w:r>
        <w:rPr>
          <w:rFonts w:hint="eastAsia"/>
          <w:color w:val="000000"/>
        </w:rPr>
        <w:t>61</w:t>
      </w:r>
      <w:r>
        <w:rPr>
          <w:rFonts w:hint="eastAsia"/>
          <w:color w:val="000000"/>
        </w:rPr>
        <w:t>條所稱的復審或再申訴等的受理或不受理，則係當事人之「本案救濟有無勝訴希望」的問題</w:t>
      </w:r>
      <w:proofErr w:type="gramStart"/>
      <w:r>
        <w:rPr>
          <w:rFonts w:hint="eastAsia"/>
          <w:color w:val="000000"/>
        </w:rPr>
        <w:t>（</w:t>
      </w:r>
      <w:proofErr w:type="gramEnd"/>
      <w:r>
        <w:rPr>
          <w:rFonts w:hint="eastAsia"/>
          <w:color w:val="000000"/>
        </w:rPr>
        <w:t>本案若不受理，當事人自無勝訴希望！），體系上屬於本研究報告以下始將深入討論的停止執行之「實質」審查標準之</w:t>
      </w:r>
      <w:proofErr w:type="gramStart"/>
      <w:r>
        <w:rPr>
          <w:rFonts w:hint="eastAsia"/>
          <w:color w:val="000000"/>
        </w:rPr>
        <w:t>一</w:t>
      </w:r>
      <w:proofErr w:type="gramEnd"/>
      <w:r>
        <w:rPr>
          <w:rStyle w:val="a3"/>
          <w:color w:val="000000"/>
        </w:rPr>
        <w:footnoteReference w:id="6"/>
      </w:r>
      <w:r>
        <w:rPr>
          <w:rFonts w:hint="eastAsia"/>
          <w:color w:val="000000"/>
        </w:rPr>
        <w:t>，不應</w:t>
      </w:r>
      <w:proofErr w:type="gramStart"/>
      <w:r>
        <w:rPr>
          <w:rFonts w:hint="eastAsia"/>
          <w:color w:val="000000"/>
        </w:rPr>
        <w:t>逕</w:t>
      </w:r>
      <w:proofErr w:type="gramEnd"/>
      <w:r>
        <w:rPr>
          <w:rFonts w:hint="eastAsia"/>
          <w:color w:val="000000"/>
        </w:rPr>
        <w:t>與本研究報告在此所言的停止執行之「形式」審查標準混為一談。因此，前開提問，其實不能成立，當然更不至於推翻本研究報告在此所謂保訓會停止執行程序無停止執行之形式審查標準之存在的命題</w:t>
      </w:r>
      <w:r>
        <w:rPr>
          <w:rStyle w:val="a3"/>
          <w:color w:val="000000"/>
        </w:rPr>
        <w:footnoteReference w:id="7"/>
      </w:r>
      <w:r>
        <w:rPr>
          <w:rFonts w:hint="eastAsia"/>
          <w:color w:val="000000"/>
        </w:rPr>
        <w:t>。</w:t>
      </w:r>
    </w:p>
    <w:p w:rsidR="009468A2" w:rsidRDefault="009468A2" w:rsidP="009468A2">
      <w:pPr>
        <w:widowControl/>
        <w:spacing w:line="288" w:lineRule="auto"/>
        <w:ind w:firstLineChars="200" w:firstLine="480"/>
        <w:jc w:val="both"/>
        <w:rPr>
          <w:rFonts w:hint="eastAsia"/>
          <w:color w:val="000000"/>
        </w:rPr>
      </w:pPr>
    </w:p>
    <w:p w:rsidR="009468A2" w:rsidRDefault="009468A2" w:rsidP="009468A2">
      <w:pPr>
        <w:widowControl/>
        <w:spacing w:line="288" w:lineRule="auto"/>
        <w:ind w:firstLineChars="200" w:firstLine="480"/>
        <w:jc w:val="both"/>
        <w:rPr>
          <w:rFonts w:hint="eastAsia"/>
          <w:color w:val="000000"/>
        </w:rPr>
      </w:pPr>
    </w:p>
    <w:p w:rsidR="009468A2" w:rsidRDefault="009468A2" w:rsidP="009468A2">
      <w:pPr>
        <w:widowControl/>
        <w:spacing w:afterLines="50" w:after="180" w:line="288" w:lineRule="auto"/>
        <w:ind w:leftChars="100" w:left="881" w:hangingChars="200" w:hanging="641"/>
        <w:jc w:val="both"/>
        <w:rPr>
          <w:rFonts w:hint="eastAsia"/>
          <w:b/>
          <w:color w:val="000000"/>
          <w:sz w:val="32"/>
          <w:szCs w:val="32"/>
        </w:rPr>
      </w:pPr>
      <w:r>
        <w:rPr>
          <w:rFonts w:hint="eastAsia"/>
          <w:b/>
          <w:color w:val="000000"/>
          <w:sz w:val="32"/>
          <w:szCs w:val="32"/>
        </w:rPr>
        <w:t>貳</w:t>
      </w:r>
      <w:r>
        <w:rPr>
          <w:rFonts w:hAnsi="新細明體" w:hint="eastAsia"/>
          <w:b/>
          <w:bCs/>
          <w:color w:val="000000"/>
          <w:sz w:val="32"/>
          <w:szCs w:val="32"/>
        </w:rPr>
        <w:t xml:space="preserve">　</w:t>
      </w:r>
      <w:r>
        <w:rPr>
          <w:rFonts w:hint="eastAsia"/>
          <w:b/>
          <w:color w:val="000000"/>
          <w:sz w:val="32"/>
          <w:szCs w:val="32"/>
        </w:rPr>
        <w:t>保訓會之決定與行政法院或其他機關之決定之關係</w:t>
      </w:r>
    </w:p>
    <w:p w:rsidR="009468A2" w:rsidRDefault="009468A2" w:rsidP="009468A2">
      <w:pPr>
        <w:widowControl/>
        <w:spacing w:afterLines="50" w:after="180" w:line="288" w:lineRule="auto"/>
        <w:ind w:firstLineChars="200" w:firstLine="480"/>
        <w:jc w:val="both"/>
        <w:rPr>
          <w:rFonts w:hint="eastAsia"/>
          <w:color w:val="000000"/>
        </w:rPr>
      </w:pPr>
      <w:r>
        <w:rPr>
          <w:rFonts w:hint="eastAsia"/>
          <w:color w:val="000000"/>
        </w:rPr>
        <w:t>同樣依公務人員保障法第</w:t>
      </w:r>
      <w:r>
        <w:rPr>
          <w:rFonts w:hint="eastAsia"/>
          <w:color w:val="000000"/>
        </w:rPr>
        <w:t>89</w:t>
      </w:r>
      <w:r>
        <w:rPr>
          <w:rFonts w:hint="eastAsia"/>
          <w:color w:val="000000"/>
        </w:rPr>
        <w:t>條第</w:t>
      </w:r>
      <w:r>
        <w:rPr>
          <w:rFonts w:hint="eastAsia"/>
          <w:color w:val="000000"/>
        </w:rPr>
        <w:t>2</w:t>
      </w:r>
      <w:r>
        <w:rPr>
          <w:rFonts w:hint="eastAsia"/>
          <w:color w:val="000000"/>
        </w:rPr>
        <w:t>項及第</w:t>
      </w:r>
      <w:r>
        <w:rPr>
          <w:rFonts w:hint="eastAsia"/>
          <w:color w:val="000000"/>
        </w:rPr>
        <w:t>90</w:t>
      </w:r>
      <w:r>
        <w:rPr>
          <w:rFonts w:hint="eastAsia"/>
          <w:color w:val="000000"/>
        </w:rPr>
        <w:t>條規定，停止執行或撤銷停止執行之決定等，除保訓會外，原處分機關或服務機關亦得為之。此外在復審程序</w:t>
      </w:r>
      <w:r>
        <w:rPr>
          <w:rFonts w:hint="eastAsia"/>
          <w:color w:val="000000"/>
        </w:rPr>
        <w:lastRenderedPageBreak/>
        <w:t>中，假使吾人承認行政法院依行政訴訟法第</w:t>
      </w:r>
      <w:r>
        <w:rPr>
          <w:rFonts w:hint="eastAsia"/>
          <w:color w:val="000000"/>
        </w:rPr>
        <w:t>116</w:t>
      </w:r>
      <w:r>
        <w:rPr>
          <w:rFonts w:hint="eastAsia"/>
          <w:color w:val="000000"/>
        </w:rPr>
        <w:t>條第</w:t>
      </w:r>
      <w:r>
        <w:rPr>
          <w:rFonts w:hint="eastAsia"/>
          <w:color w:val="000000"/>
        </w:rPr>
        <w:t>3</w:t>
      </w:r>
      <w:r>
        <w:rPr>
          <w:rFonts w:hint="eastAsia"/>
          <w:color w:val="000000"/>
        </w:rPr>
        <w:t>項及第</w:t>
      </w:r>
      <w:r>
        <w:rPr>
          <w:rFonts w:hint="eastAsia"/>
          <w:color w:val="000000"/>
        </w:rPr>
        <w:t>118</w:t>
      </w:r>
      <w:r>
        <w:rPr>
          <w:rFonts w:hint="eastAsia"/>
          <w:color w:val="000000"/>
        </w:rPr>
        <w:t>條規定，亦得決定同一案件之停止執行或撤銷停止執行時，此際行政法院亦有管轄權。事實上這個「多重管轄（</w:t>
      </w:r>
      <w:r>
        <w:rPr>
          <w:rFonts w:hint="eastAsia"/>
          <w:color w:val="000000"/>
        </w:rPr>
        <w:t>Mehrfachzust</w:t>
      </w:r>
      <w:r>
        <w:rPr>
          <w:color w:val="000000"/>
        </w:rPr>
        <w:t>ä</w:t>
      </w:r>
      <w:r>
        <w:rPr>
          <w:rFonts w:hint="eastAsia"/>
          <w:color w:val="000000"/>
        </w:rPr>
        <w:t>ndigkeit</w:t>
      </w:r>
      <w:r>
        <w:rPr>
          <w:rFonts w:hint="eastAsia"/>
          <w:color w:val="000000"/>
        </w:rPr>
        <w:t>）」的問題，由於相關法律欠缺，在實務上具有高度爭議</w:t>
      </w:r>
      <w:r>
        <w:rPr>
          <w:rStyle w:val="a3"/>
          <w:color w:val="000000"/>
        </w:rPr>
        <w:footnoteReference w:id="8"/>
      </w:r>
      <w:r>
        <w:rPr>
          <w:rFonts w:hint="eastAsia"/>
          <w:color w:val="000000"/>
        </w:rPr>
        <w:t>。由於管轄，事涉在本案或暫時權利保護程序中權利保護的形式審查標準，故學說與實務一般亦在權利保護申（聲）請之合法性範疇中處理。</w:t>
      </w:r>
      <w:proofErr w:type="gramStart"/>
      <w:r>
        <w:rPr>
          <w:rFonts w:hint="eastAsia"/>
          <w:color w:val="000000"/>
        </w:rPr>
        <w:t>惟</w:t>
      </w:r>
      <w:proofErr w:type="gramEnd"/>
      <w:r>
        <w:rPr>
          <w:rFonts w:hint="eastAsia"/>
          <w:color w:val="000000"/>
        </w:rPr>
        <w:t>就此</w:t>
      </w:r>
      <w:proofErr w:type="gramStart"/>
      <w:r>
        <w:rPr>
          <w:rFonts w:hint="eastAsia"/>
          <w:color w:val="000000"/>
        </w:rPr>
        <w:t>一</w:t>
      </w:r>
      <w:proofErr w:type="gramEnd"/>
      <w:r>
        <w:rPr>
          <w:rFonts w:hint="eastAsia"/>
          <w:color w:val="000000"/>
        </w:rPr>
        <w:t>問題性，本研究報告的觀點如下：</w:t>
      </w:r>
    </w:p>
    <w:p w:rsidR="009468A2" w:rsidRDefault="009468A2" w:rsidP="009468A2">
      <w:pPr>
        <w:widowControl/>
        <w:spacing w:afterLines="50" w:after="180" w:line="288" w:lineRule="auto"/>
        <w:ind w:firstLineChars="200" w:firstLine="480"/>
        <w:jc w:val="both"/>
        <w:rPr>
          <w:rFonts w:hint="eastAsia"/>
          <w:color w:val="000000"/>
        </w:rPr>
      </w:pPr>
      <w:r>
        <w:rPr>
          <w:rFonts w:hint="eastAsia"/>
          <w:color w:val="000000"/>
        </w:rPr>
        <w:t>查保訓會依公務人員保障法第</w:t>
      </w:r>
      <w:r>
        <w:rPr>
          <w:rFonts w:hint="eastAsia"/>
          <w:color w:val="000000"/>
        </w:rPr>
        <w:t>89</w:t>
      </w:r>
      <w:r>
        <w:rPr>
          <w:rFonts w:hint="eastAsia"/>
          <w:color w:val="000000"/>
        </w:rPr>
        <w:t>條第</w:t>
      </w:r>
      <w:r>
        <w:rPr>
          <w:rFonts w:hint="eastAsia"/>
          <w:color w:val="000000"/>
        </w:rPr>
        <w:t>2</w:t>
      </w:r>
      <w:r>
        <w:rPr>
          <w:rFonts w:hint="eastAsia"/>
          <w:color w:val="000000"/>
        </w:rPr>
        <w:t>項及第</w:t>
      </w:r>
      <w:r>
        <w:rPr>
          <w:rFonts w:hint="eastAsia"/>
          <w:color w:val="000000"/>
        </w:rPr>
        <w:t>90</w:t>
      </w:r>
      <w:r>
        <w:rPr>
          <w:rFonts w:hint="eastAsia"/>
          <w:color w:val="000000"/>
        </w:rPr>
        <w:t>條規定，既如前所言，得</w:t>
      </w:r>
      <w:proofErr w:type="gramStart"/>
      <w:r>
        <w:rPr>
          <w:rFonts w:hint="eastAsia"/>
          <w:color w:val="000000"/>
        </w:rPr>
        <w:t>逕</w:t>
      </w:r>
      <w:proofErr w:type="gramEnd"/>
      <w:r>
        <w:rPr>
          <w:rFonts w:hint="eastAsia"/>
          <w:color w:val="000000"/>
        </w:rPr>
        <w:t>依職權停止執行或撤銷停止執行，而別無所謂申請合法性的問題，則原則上並不因前開法律多重管轄的設計，而導致所謂當事人申請不合法的結局。在此值得關係的，毋寧只是哪</w:t>
      </w:r>
      <w:proofErr w:type="gramStart"/>
      <w:r>
        <w:rPr>
          <w:rFonts w:hint="eastAsia"/>
          <w:color w:val="000000"/>
        </w:rPr>
        <w:t>個</w:t>
      </w:r>
      <w:proofErr w:type="gramEnd"/>
      <w:r>
        <w:rPr>
          <w:rFonts w:hint="eastAsia"/>
          <w:color w:val="000000"/>
        </w:rPr>
        <w:t>機關（含行政法院）所為之相關決定（或裁定）是否將拘束其他機關的問題。換言之，某機關針對停止執行或撤銷停止執行所為之准否決定的拘束力，在此始為問題真正的關鍵。由於依據公務人員保障法整個公務人員保障事件救濟程序的設計，顯然行政法院的裁判原則上拘束各行政機關，而保訓會所為之審議或調處決定不能拘束嗣後的管轄行政法院，但有拘束其他關係機關的效力，因此前開的停止執行或撤銷停止執行之多重管轄的爭議，得以如下幾點原則處理：</w:t>
      </w:r>
    </w:p>
    <w:p w:rsidR="009468A2" w:rsidRDefault="009468A2" w:rsidP="009468A2">
      <w:pPr>
        <w:widowControl/>
        <w:spacing w:afterLines="50" w:after="180" w:line="288" w:lineRule="auto"/>
        <w:ind w:left="720" w:hangingChars="300" w:hanging="720"/>
        <w:jc w:val="both"/>
        <w:rPr>
          <w:rFonts w:hint="eastAsia"/>
          <w:color w:val="000000"/>
        </w:rPr>
      </w:pPr>
      <w:r>
        <w:rPr>
          <w:rFonts w:hint="eastAsia"/>
          <w:color w:val="000000"/>
        </w:rPr>
        <w:t>第一，</w:t>
      </w:r>
      <w:proofErr w:type="gramStart"/>
      <w:r>
        <w:rPr>
          <w:rFonts w:hint="eastAsia"/>
          <w:color w:val="000000"/>
        </w:rPr>
        <w:t>凡系爭</w:t>
      </w:r>
      <w:proofErr w:type="gramEnd"/>
      <w:r>
        <w:rPr>
          <w:rFonts w:hint="eastAsia"/>
          <w:color w:val="000000"/>
        </w:rPr>
        <w:t>案件，行政法院並未作出任何有關停止執行或撤銷停止執行之准否裁定前，保訓會即得按公務人員保障法第</w:t>
      </w:r>
      <w:r>
        <w:rPr>
          <w:rFonts w:hint="eastAsia"/>
          <w:color w:val="000000"/>
        </w:rPr>
        <w:t>89</w:t>
      </w:r>
      <w:r>
        <w:rPr>
          <w:rFonts w:hint="eastAsia"/>
          <w:color w:val="000000"/>
        </w:rPr>
        <w:t>條第</w:t>
      </w:r>
      <w:r>
        <w:rPr>
          <w:rFonts w:hint="eastAsia"/>
          <w:color w:val="000000"/>
        </w:rPr>
        <w:t>2</w:t>
      </w:r>
      <w:r>
        <w:rPr>
          <w:rFonts w:hint="eastAsia"/>
          <w:color w:val="000000"/>
        </w:rPr>
        <w:t>項及第</w:t>
      </w:r>
      <w:r>
        <w:rPr>
          <w:rFonts w:hint="eastAsia"/>
          <w:color w:val="000000"/>
        </w:rPr>
        <w:t>90</w:t>
      </w:r>
      <w:r>
        <w:rPr>
          <w:rFonts w:hint="eastAsia"/>
          <w:color w:val="000000"/>
        </w:rPr>
        <w:t>條，自依職權作出停止執行或撤銷停止執行之准否決定。</w:t>
      </w:r>
    </w:p>
    <w:p w:rsidR="009468A2" w:rsidRDefault="009468A2" w:rsidP="009468A2">
      <w:pPr>
        <w:widowControl/>
        <w:spacing w:afterLines="50" w:after="180" w:line="288" w:lineRule="auto"/>
        <w:ind w:left="720" w:hangingChars="300" w:hanging="720"/>
        <w:jc w:val="both"/>
        <w:rPr>
          <w:rFonts w:hint="eastAsia"/>
          <w:color w:val="000000"/>
        </w:rPr>
      </w:pPr>
      <w:r>
        <w:rPr>
          <w:rFonts w:hint="eastAsia"/>
          <w:color w:val="000000"/>
        </w:rPr>
        <w:t>第二，萬一行政法院事前已為停止執行或撤銷停止執行之准否裁定時，保訓會受其拘束，原則上不應再就同一停止執行之問題置喙，更不得作出相反之決定</w:t>
      </w:r>
      <w:r>
        <w:rPr>
          <w:rStyle w:val="a3"/>
          <w:color w:val="000000"/>
        </w:rPr>
        <w:footnoteReference w:id="9"/>
      </w:r>
      <w:r>
        <w:rPr>
          <w:rFonts w:hint="eastAsia"/>
          <w:color w:val="000000"/>
        </w:rPr>
        <w:t>；</w:t>
      </w:r>
      <w:proofErr w:type="gramStart"/>
      <w:r>
        <w:rPr>
          <w:rFonts w:hint="eastAsia"/>
          <w:color w:val="000000"/>
        </w:rPr>
        <w:t>此外，</w:t>
      </w:r>
      <w:proofErr w:type="gramEnd"/>
      <w:r>
        <w:rPr>
          <w:rFonts w:hint="eastAsia"/>
          <w:color w:val="000000"/>
        </w:rPr>
        <w:t>倘若行政法院在保訓會作成停止執行或撤銷停止執行之准否</w:t>
      </w:r>
      <w:r>
        <w:rPr>
          <w:rFonts w:hint="eastAsia"/>
          <w:color w:val="000000"/>
        </w:rPr>
        <w:lastRenderedPageBreak/>
        <w:t>決定後，又另為相關之裁定時</w:t>
      </w:r>
      <w:r>
        <w:rPr>
          <w:rStyle w:val="a3"/>
          <w:color w:val="000000"/>
        </w:rPr>
        <w:footnoteReference w:id="10"/>
      </w:r>
      <w:r>
        <w:rPr>
          <w:rFonts w:hint="eastAsia"/>
          <w:color w:val="000000"/>
        </w:rPr>
        <w:t>，則保訓會也受該裁定拘束，不得</w:t>
      </w:r>
      <w:proofErr w:type="gramStart"/>
      <w:r>
        <w:rPr>
          <w:rFonts w:hint="eastAsia"/>
          <w:color w:val="000000"/>
        </w:rPr>
        <w:t>再就系爭</w:t>
      </w:r>
      <w:proofErr w:type="gramEnd"/>
      <w:r>
        <w:rPr>
          <w:rFonts w:hint="eastAsia"/>
          <w:color w:val="000000"/>
        </w:rPr>
        <w:t>停止執行問題復為任何決定，尤其是相反決定。</w:t>
      </w:r>
    </w:p>
    <w:p w:rsidR="009468A2" w:rsidRDefault="009468A2" w:rsidP="009468A2">
      <w:pPr>
        <w:widowControl/>
        <w:spacing w:afterLines="50" w:after="180" w:line="288" w:lineRule="auto"/>
        <w:ind w:left="720" w:hangingChars="300" w:hanging="720"/>
        <w:jc w:val="both"/>
        <w:rPr>
          <w:rFonts w:hint="eastAsia"/>
          <w:color w:val="000000"/>
        </w:rPr>
      </w:pPr>
      <w:r>
        <w:rPr>
          <w:rFonts w:hint="eastAsia"/>
          <w:color w:val="000000"/>
        </w:rPr>
        <w:t>第三，在同一問題上，保訓會之於原處分機關或服務機關的關係，原則上猶如行政法院之於保訓會的關係；原處分機關或服務機關</w:t>
      </w:r>
      <w:proofErr w:type="gramStart"/>
      <w:r>
        <w:rPr>
          <w:rFonts w:hint="eastAsia"/>
          <w:color w:val="000000"/>
        </w:rPr>
        <w:t>也恆受</w:t>
      </w:r>
      <w:proofErr w:type="gramEnd"/>
      <w:r>
        <w:rPr>
          <w:rFonts w:hint="eastAsia"/>
          <w:color w:val="000000"/>
        </w:rPr>
        <w:t>保訓會決定的拘束</w:t>
      </w:r>
      <w:r>
        <w:rPr>
          <w:rStyle w:val="a3"/>
          <w:color w:val="000000"/>
        </w:rPr>
        <w:footnoteReference w:id="11"/>
      </w:r>
      <w:r>
        <w:rPr>
          <w:rFonts w:hint="eastAsia"/>
          <w:color w:val="000000"/>
        </w:rPr>
        <w:t>。</w:t>
      </w:r>
    </w:p>
    <w:p w:rsidR="009468A2" w:rsidRDefault="009468A2" w:rsidP="009468A2">
      <w:pPr>
        <w:widowControl/>
        <w:spacing w:afterLines="50" w:after="180" w:line="288" w:lineRule="auto"/>
        <w:ind w:left="720" w:hangingChars="300" w:hanging="720"/>
        <w:jc w:val="both"/>
        <w:rPr>
          <w:rFonts w:hint="eastAsia"/>
          <w:color w:val="000000"/>
        </w:rPr>
      </w:pPr>
      <w:r>
        <w:rPr>
          <w:rFonts w:hint="eastAsia"/>
          <w:color w:val="000000"/>
        </w:rPr>
        <w:t>第四，只是當保訓會針對停止執行作出否准之決定時，原處分機關或服務機關基於本身對系爭處分或措施等既有的處分權，本得自行決定該處分或措施暫不執行，而與保訓會之相關決定的拘束力問題無關。</w:t>
      </w:r>
    </w:p>
    <w:p w:rsidR="009468A2" w:rsidRDefault="009468A2" w:rsidP="009468A2">
      <w:pPr>
        <w:widowControl/>
        <w:spacing w:line="288" w:lineRule="auto"/>
        <w:ind w:left="720" w:hangingChars="300" w:hanging="720"/>
        <w:jc w:val="both"/>
        <w:rPr>
          <w:rFonts w:hint="eastAsia"/>
          <w:color w:val="000000"/>
        </w:rPr>
      </w:pPr>
      <w:r>
        <w:rPr>
          <w:rFonts w:hint="eastAsia"/>
          <w:color w:val="000000"/>
        </w:rPr>
        <w:t>第五，至於停止執行程序之各當事人，如對保訓會基於公務人員保障法第</w:t>
      </w:r>
      <w:r>
        <w:rPr>
          <w:rFonts w:hint="eastAsia"/>
          <w:color w:val="000000"/>
        </w:rPr>
        <w:t>89</w:t>
      </w:r>
      <w:r>
        <w:rPr>
          <w:rFonts w:hint="eastAsia"/>
          <w:color w:val="000000"/>
        </w:rPr>
        <w:t>條第</w:t>
      </w:r>
      <w:r>
        <w:rPr>
          <w:rFonts w:hint="eastAsia"/>
          <w:color w:val="000000"/>
        </w:rPr>
        <w:t>2</w:t>
      </w:r>
      <w:r>
        <w:rPr>
          <w:rFonts w:hint="eastAsia"/>
          <w:color w:val="000000"/>
        </w:rPr>
        <w:t>項及第</w:t>
      </w:r>
      <w:r>
        <w:rPr>
          <w:rFonts w:hint="eastAsia"/>
          <w:color w:val="000000"/>
        </w:rPr>
        <w:t>90</w:t>
      </w:r>
      <w:r>
        <w:rPr>
          <w:rFonts w:hint="eastAsia"/>
          <w:color w:val="000000"/>
        </w:rPr>
        <w:t>條所為之停止執行或撤銷停止執行等之准否決定不服，一方面基於前開行政法院之相關決定對於保訓會的拘束力，以及行政訴訟法第</w:t>
      </w:r>
      <w:r>
        <w:rPr>
          <w:rFonts w:hint="eastAsia"/>
          <w:color w:val="000000"/>
        </w:rPr>
        <w:t>116</w:t>
      </w:r>
      <w:r>
        <w:rPr>
          <w:rFonts w:hint="eastAsia"/>
          <w:color w:val="000000"/>
        </w:rPr>
        <w:t>條第</w:t>
      </w:r>
      <w:r>
        <w:rPr>
          <w:rFonts w:hint="eastAsia"/>
          <w:color w:val="000000"/>
        </w:rPr>
        <w:t>3</w:t>
      </w:r>
      <w:r>
        <w:rPr>
          <w:rFonts w:hint="eastAsia"/>
          <w:color w:val="000000"/>
        </w:rPr>
        <w:t>項規定，亦得在本案未起訴前，先向行政法院僅針對停止執行之問題單獨尋求救濟。此一原則，基於保訓會決定對於原處分機關或服務機關的拘束力等關係，同樣亦適用在就原處分機關或服務機關之決定向保訓會尋求救濟的情形。</w:t>
      </w:r>
    </w:p>
    <w:p w:rsidR="009468A2" w:rsidRDefault="009468A2" w:rsidP="009468A2">
      <w:pPr>
        <w:widowControl/>
        <w:spacing w:line="288" w:lineRule="auto"/>
        <w:ind w:firstLineChars="200" w:firstLine="480"/>
        <w:jc w:val="both"/>
        <w:rPr>
          <w:rFonts w:hint="eastAsia"/>
          <w:color w:val="000000"/>
        </w:rPr>
      </w:pPr>
    </w:p>
    <w:p w:rsidR="009468A2" w:rsidRDefault="009468A2" w:rsidP="009468A2">
      <w:pPr>
        <w:widowControl/>
        <w:spacing w:line="288" w:lineRule="auto"/>
        <w:ind w:firstLineChars="200" w:firstLine="480"/>
        <w:jc w:val="both"/>
        <w:rPr>
          <w:rFonts w:hint="eastAsia"/>
          <w:color w:val="000000"/>
        </w:rPr>
      </w:pPr>
    </w:p>
    <w:p w:rsidR="009468A2" w:rsidRDefault="009468A2" w:rsidP="009468A2">
      <w:pPr>
        <w:widowControl/>
        <w:spacing w:line="288" w:lineRule="auto"/>
        <w:ind w:firstLineChars="200" w:firstLine="480"/>
        <w:jc w:val="both"/>
        <w:rPr>
          <w:rFonts w:hint="eastAsia"/>
          <w:color w:val="000000"/>
        </w:rPr>
      </w:pPr>
    </w:p>
    <w:p w:rsidR="009468A2" w:rsidRDefault="009468A2" w:rsidP="009468A2">
      <w:pPr>
        <w:widowControl/>
        <w:spacing w:afterLines="50" w:after="180" w:line="288" w:lineRule="auto"/>
        <w:ind w:left="1441" w:hangingChars="400" w:hanging="1441"/>
        <w:jc w:val="both"/>
        <w:rPr>
          <w:rFonts w:hint="eastAsia"/>
          <w:b/>
          <w:bCs/>
          <w:color w:val="000000"/>
          <w:sz w:val="36"/>
          <w:szCs w:val="36"/>
        </w:rPr>
      </w:pPr>
      <w:r>
        <w:rPr>
          <w:rFonts w:hAnsi="新細明體"/>
          <w:b/>
          <w:bCs/>
          <w:color w:val="000000"/>
          <w:sz w:val="36"/>
          <w:szCs w:val="36"/>
        </w:rPr>
        <w:br w:type="page"/>
      </w:r>
      <w:r>
        <w:rPr>
          <w:rFonts w:hAnsi="新細明體" w:hint="eastAsia"/>
          <w:b/>
          <w:bCs/>
          <w:color w:val="000000"/>
          <w:sz w:val="36"/>
          <w:szCs w:val="36"/>
        </w:rPr>
        <w:lastRenderedPageBreak/>
        <w:t xml:space="preserve">第二節　</w:t>
      </w:r>
      <w:r>
        <w:rPr>
          <w:rFonts w:hint="eastAsia"/>
          <w:b/>
          <w:color w:val="000000"/>
          <w:sz w:val="36"/>
          <w:szCs w:val="36"/>
        </w:rPr>
        <w:t>實體審查標準（申請有無理由）</w:t>
      </w:r>
    </w:p>
    <w:p w:rsidR="009468A2" w:rsidRDefault="009468A2" w:rsidP="009468A2">
      <w:pPr>
        <w:widowControl/>
        <w:spacing w:afterLines="50" w:after="180" w:line="288" w:lineRule="auto"/>
        <w:ind w:leftChars="100" w:left="881" w:hangingChars="200" w:hanging="641"/>
        <w:jc w:val="both"/>
        <w:rPr>
          <w:rFonts w:hint="eastAsia"/>
          <w:b/>
          <w:color w:val="000000"/>
          <w:sz w:val="32"/>
          <w:szCs w:val="32"/>
        </w:rPr>
      </w:pPr>
      <w:r>
        <w:rPr>
          <w:rFonts w:hint="eastAsia"/>
          <w:b/>
          <w:color w:val="000000"/>
          <w:sz w:val="32"/>
          <w:szCs w:val="32"/>
        </w:rPr>
        <w:t>壹　一般原則</w:t>
      </w:r>
    </w:p>
    <w:p w:rsidR="009468A2" w:rsidRDefault="009468A2" w:rsidP="009468A2">
      <w:pPr>
        <w:widowControl/>
        <w:spacing w:afterLines="50" w:after="180" w:line="288" w:lineRule="auto"/>
        <w:ind w:firstLineChars="200" w:firstLine="480"/>
        <w:jc w:val="both"/>
        <w:rPr>
          <w:rFonts w:hAnsi="新細明體" w:hint="eastAsia"/>
          <w:color w:val="000000"/>
        </w:rPr>
      </w:pPr>
      <w:r>
        <w:rPr>
          <w:rFonts w:hAnsi="新細明體" w:hint="eastAsia"/>
          <w:color w:val="000000"/>
        </w:rPr>
        <w:t>在行政爭</w:t>
      </w:r>
      <w:proofErr w:type="gramStart"/>
      <w:r>
        <w:rPr>
          <w:rFonts w:hAnsi="新細明體" w:hint="eastAsia"/>
          <w:color w:val="000000"/>
        </w:rPr>
        <w:t>訟</w:t>
      </w:r>
      <w:proofErr w:type="gramEnd"/>
      <w:r>
        <w:rPr>
          <w:rFonts w:hAnsi="新細明體" w:hint="eastAsia"/>
          <w:color w:val="000000"/>
        </w:rPr>
        <w:t>法學上，有關停止執行之實體審查標準（</w:t>
      </w:r>
      <w:r>
        <w:rPr>
          <w:color w:val="000000"/>
        </w:rPr>
        <w:t>materieller Prüfungsmaß</w:t>
      </w:r>
      <w:r>
        <w:rPr>
          <w:rFonts w:hint="eastAsia"/>
          <w:color w:val="000000"/>
        </w:rPr>
        <w:softHyphen/>
      </w:r>
      <w:r>
        <w:rPr>
          <w:color w:val="000000"/>
        </w:rPr>
        <w:t>stab</w:t>
      </w:r>
      <w:r>
        <w:rPr>
          <w:rFonts w:hint="eastAsia"/>
          <w:color w:val="000000"/>
        </w:rPr>
        <w:t>）</w:t>
      </w:r>
      <w:r>
        <w:rPr>
          <w:rFonts w:hAnsi="新細明體" w:hint="eastAsia"/>
          <w:color w:val="000000"/>
        </w:rPr>
        <w:t>，始終是暫時權利保護制度中最大的爭議；也是行政法院、訴願機關，乃至在公務人員保障事件中之保訓會，最感困惑的問題</w:t>
      </w:r>
      <w:r>
        <w:rPr>
          <w:rStyle w:val="a3"/>
          <w:rFonts w:hAnsi="新細明體"/>
          <w:color w:val="000000"/>
        </w:rPr>
        <w:footnoteReference w:id="12"/>
      </w:r>
      <w:r>
        <w:rPr>
          <w:rFonts w:hAnsi="新細明體" w:hint="eastAsia"/>
          <w:color w:val="000000"/>
        </w:rPr>
        <w:t>。關於這個問題，在公務人員保障事件中，公務人員保障法第</w:t>
      </w:r>
      <w:r>
        <w:rPr>
          <w:rFonts w:hAnsi="新細明體" w:hint="eastAsia"/>
          <w:color w:val="000000"/>
        </w:rPr>
        <w:t>89</w:t>
      </w:r>
      <w:r>
        <w:rPr>
          <w:rFonts w:hAnsi="新細明體" w:hint="eastAsia"/>
          <w:color w:val="000000"/>
        </w:rPr>
        <w:t>條第</w:t>
      </w:r>
      <w:r>
        <w:rPr>
          <w:rFonts w:hAnsi="新細明體" w:hint="eastAsia"/>
          <w:color w:val="000000"/>
        </w:rPr>
        <w:t>2</w:t>
      </w:r>
      <w:r>
        <w:rPr>
          <w:rFonts w:hAnsi="新細明體" w:hint="eastAsia"/>
          <w:color w:val="000000"/>
        </w:rPr>
        <w:t>項「</w:t>
      </w:r>
      <w:r>
        <w:rPr>
          <w:rFonts w:ascii="標楷體" w:eastAsia="標楷體" w:hAnsi="標楷體"/>
          <w:color w:val="000000"/>
        </w:rPr>
        <w:t>原行政處分、管理措施或有關工作條件之處置合法性顯有疑義</w:t>
      </w:r>
      <w:r>
        <w:rPr>
          <w:rFonts w:ascii="標楷體" w:eastAsia="標楷體" w:hAnsi="標楷體" w:hint="eastAsia"/>
          <w:color w:val="000000"/>
        </w:rPr>
        <w:t>者，或其</w:t>
      </w:r>
      <w:r>
        <w:rPr>
          <w:rFonts w:ascii="標楷體" w:eastAsia="標楷體" w:hAnsi="標楷體"/>
          <w:color w:val="000000"/>
        </w:rPr>
        <w:t>執行將發生難以回復之損害</w:t>
      </w:r>
      <w:r>
        <w:rPr>
          <w:rFonts w:ascii="標楷體" w:eastAsia="標楷體" w:hAnsi="標楷體" w:hint="eastAsia"/>
          <w:color w:val="000000"/>
        </w:rPr>
        <w:t>，且有</w:t>
      </w:r>
      <w:r>
        <w:rPr>
          <w:rFonts w:ascii="標楷體" w:eastAsia="標楷體" w:hAnsi="標楷體"/>
          <w:color w:val="000000"/>
        </w:rPr>
        <w:t>急迫情事</w:t>
      </w:r>
      <w:r>
        <w:rPr>
          <w:rFonts w:ascii="標楷體" w:eastAsia="標楷體" w:hAnsi="標楷體" w:hint="eastAsia"/>
          <w:color w:val="000000"/>
        </w:rPr>
        <w:t>，並非為</w:t>
      </w:r>
      <w:r>
        <w:rPr>
          <w:rFonts w:ascii="標楷體" w:eastAsia="標楷體" w:hAnsi="標楷體"/>
          <w:color w:val="000000"/>
        </w:rPr>
        <w:t>維護重大公共利益所必要…</w:t>
      </w:r>
      <w:r>
        <w:rPr>
          <w:rFonts w:hAnsi="新細明體" w:hint="eastAsia"/>
          <w:color w:val="000000"/>
        </w:rPr>
        <w:t>」之規定，原應是指導原則；不過如此的規定，概念模糊，且各項要件彼此的關係又曖昧難明，因此實務上在涉及有關停止執行之決定時，大都亦僅能重複抄錄該條項用語，作為駁回當事人停止執行之申請的理由。這種作法，雖有其可</w:t>
      </w:r>
      <w:proofErr w:type="gramStart"/>
      <w:r>
        <w:rPr>
          <w:rFonts w:hAnsi="新細明體" w:hint="eastAsia"/>
          <w:color w:val="000000"/>
        </w:rPr>
        <w:t>眥</w:t>
      </w:r>
      <w:proofErr w:type="gramEnd"/>
      <w:r>
        <w:rPr>
          <w:rFonts w:hAnsi="新細明體" w:hint="eastAsia"/>
          <w:color w:val="000000"/>
        </w:rPr>
        <w:t>議之處，不過同時也顯露出實務所遭遇的窘境，而有待</w:t>
      </w:r>
      <w:proofErr w:type="gramStart"/>
      <w:r>
        <w:rPr>
          <w:rFonts w:hAnsi="新細明體" w:hint="eastAsia"/>
          <w:color w:val="000000"/>
        </w:rPr>
        <w:t>釐</w:t>
      </w:r>
      <w:proofErr w:type="gramEnd"/>
      <w:r>
        <w:rPr>
          <w:rFonts w:hAnsi="新細明體" w:hint="eastAsia"/>
          <w:color w:val="000000"/>
        </w:rPr>
        <w:t>清。</w:t>
      </w:r>
    </w:p>
    <w:p w:rsidR="009468A2" w:rsidRDefault="009468A2" w:rsidP="009468A2">
      <w:pPr>
        <w:widowControl/>
        <w:spacing w:afterLines="50" w:after="180" w:line="288" w:lineRule="auto"/>
        <w:ind w:firstLineChars="200" w:firstLine="480"/>
        <w:jc w:val="both"/>
        <w:rPr>
          <w:rFonts w:hAnsi="新細明體" w:hint="eastAsia"/>
          <w:color w:val="000000"/>
        </w:rPr>
      </w:pPr>
      <w:r>
        <w:rPr>
          <w:rFonts w:hAnsi="新細明體" w:hint="eastAsia"/>
          <w:color w:val="000000"/>
        </w:rPr>
        <w:t>其實，公務人員保障法第</w:t>
      </w:r>
      <w:r>
        <w:rPr>
          <w:rFonts w:hAnsi="新細明體" w:hint="eastAsia"/>
          <w:color w:val="000000"/>
        </w:rPr>
        <w:t>89</w:t>
      </w:r>
      <w:r>
        <w:rPr>
          <w:rFonts w:hAnsi="新細明體" w:hint="eastAsia"/>
          <w:color w:val="000000"/>
        </w:rPr>
        <w:t>條第</w:t>
      </w:r>
      <w:r>
        <w:rPr>
          <w:rFonts w:hAnsi="新細明體" w:hint="eastAsia"/>
          <w:color w:val="000000"/>
        </w:rPr>
        <w:t>2</w:t>
      </w:r>
      <w:r>
        <w:rPr>
          <w:rFonts w:hAnsi="新細明體" w:hint="eastAsia"/>
          <w:color w:val="000000"/>
        </w:rPr>
        <w:t>項的前開規定，與現行訴願法或行政訴訟法上相關之規定，</w:t>
      </w:r>
      <w:proofErr w:type="gramStart"/>
      <w:r>
        <w:rPr>
          <w:rFonts w:hAnsi="新細明體" w:hint="eastAsia"/>
          <w:color w:val="000000"/>
        </w:rPr>
        <w:t>均是來自</w:t>
      </w:r>
      <w:proofErr w:type="gramEnd"/>
      <w:r>
        <w:rPr>
          <w:rFonts w:hAnsi="新細明體" w:hint="eastAsia"/>
          <w:color w:val="000000"/>
        </w:rPr>
        <w:t>日本行政不服審查法第</w:t>
      </w:r>
      <w:r>
        <w:rPr>
          <w:rFonts w:hAnsi="新細明體" w:hint="eastAsia"/>
          <w:color w:val="000000"/>
        </w:rPr>
        <w:t>34</w:t>
      </w:r>
      <w:r>
        <w:rPr>
          <w:rFonts w:hAnsi="新細明體" w:hint="eastAsia"/>
          <w:color w:val="000000"/>
        </w:rPr>
        <w:t>條及第</w:t>
      </w:r>
      <w:r>
        <w:rPr>
          <w:rFonts w:hAnsi="新細明體" w:hint="eastAsia"/>
          <w:color w:val="000000"/>
        </w:rPr>
        <w:t>35</w:t>
      </w:r>
      <w:r>
        <w:rPr>
          <w:rFonts w:hAnsi="新細明體" w:hint="eastAsia"/>
          <w:color w:val="000000"/>
        </w:rPr>
        <w:t>條，乃至行政事件訴訟法第</w:t>
      </w:r>
      <w:r>
        <w:rPr>
          <w:rFonts w:hAnsi="新細明體" w:hint="eastAsia"/>
          <w:color w:val="000000"/>
        </w:rPr>
        <w:t>25</w:t>
      </w:r>
      <w:r>
        <w:rPr>
          <w:rFonts w:hAnsi="新細明體" w:hint="eastAsia"/>
          <w:color w:val="000000"/>
        </w:rPr>
        <w:t>條的</w:t>
      </w:r>
      <w:proofErr w:type="gramStart"/>
      <w:r>
        <w:rPr>
          <w:rFonts w:hAnsi="新細明體" w:hint="eastAsia"/>
          <w:color w:val="000000"/>
        </w:rPr>
        <w:t>迻</w:t>
      </w:r>
      <w:proofErr w:type="gramEnd"/>
      <w:r>
        <w:rPr>
          <w:rFonts w:hAnsi="新細明體" w:hint="eastAsia"/>
          <w:color w:val="000000"/>
        </w:rPr>
        <w:t>譯；而若進一步比較我國與日本</w:t>
      </w:r>
      <w:proofErr w:type="gramStart"/>
      <w:r>
        <w:rPr>
          <w:rFonts w:hAnsi="新細明體" w:hint="eastAsia"/>
          <w:color w:val="000000"/>
        </w:rPr>
        <w:t>條文間的關係</w:t>
      </w:r>
      <w:proofErr w:type="gramEnd"/>
      <w:r>
        <w:rPr>
          <w:rFonts w:hAnsi="新細明體" w:hint="eastAsia"/>
          <w:color w:val="000000"/>
        </w:rPr>
        <w:t>等問題，大致上可以確定的是：我國立法者所為的這些條文規定，只不過認識到有關停止執行之實質審查標準，約有</w:t>
      </w:r>
      <w:r>
        <w:rPr>
          <w:rFonts w:ascii="新細明體" w:hAnsi="新細明體" w:hint="eastAsia"/>
          <w:color w:val="000000"/>
        </w:rPr>
        <w:t>「</w:t>
      </w:r>
      <w:r>
        <w:rPr>
          <w:rFonts w:ascii="新細明體" w:hAnsi="新細明體"/>
          <w:color w:val="000000"/>
        </w:rPr>
        <w:t>原行政處分…合法性顯有疑義</w:t>
      </w:r>
      <w:r>
        <w:rPr>
          <w:rFonts w:ascii="新細明體" w:hAnsi="新細明體" w:hint="eastAsia"/>
          <w:color w:val="000000"/>
        </w:rPr>
        <w:t>／原告</w:t>
      </w:r>
      <w:proofErr w:type="gramStart"/>
      <w:r>
        <w:rPr>
          <w:rFonts w:ascii="新細明體" w:hAnsi="新細明體" w:hint="eastAsia"/>
          <w:color w:val="000000"/>
        </w:rPr>
        <w:t>之訴在法律</w:t>
      </w:r>
      <w:proofErr w:type="gramEnd"/>
      <w:r>
        <w:rPr>
          <w:rFonts w:ascii="新細明體" w:hAnsi="新細明體" w:hint="eastAsia"/>
          <w:color w:val="000000"/>
        </w:rPr>
        <w:t>上顯無理由」、「</w:t>
      </w:r>
      <w:r>
        <w:rPr>
          <w:rFonts w:ascii="新細明體" w:hAnsi="新細明體"/>
          <w:color w:val="000000"/>
        </w:rPr>
        <w:t>難以回復之損害</w:t>
      </w:r>
      <w:r>
        <w:rPr>
          <w:rFonts w:ascii="新細明體" w:hAnsi="新細明體" w:hint="eastAsia"/>
          <w:color w:val="000000"/>
        </w:rPr>
        <w:t>」、「</w:t>
      </w:r>
      <w:r>
        <w:rPr>
          <w:rFonts w:ascii="新細明體" w:hAnsi="新細明體"/>
          <w:color w:val="000000"/>
        </w:rPr>
        <w:t>急迫</w:t>
      </w:r>
      <w:r>
        <w:rPr>
          <w:rFonts w:ascii="新細明體" w:hAnsi="新細明體" w:hint="eastAsia"/>
          <w:color w:val="000000"/>
        </w:rPr>
        <w:t>」及「（無）</w:t>
      </w:r>
      <w:r>
        <w:rPr>
          <w:rFonts w:ascii="新細明體" w:hAnsi="新細明體"/>
          <w:color w:val="000000"/>
        </w:rPr>
        <w:t>重大公共利益</w:t>
      </w:r>
      <w:r>
        <w:rPr>
          <w:rFonts w:ascii="新細明體" w:hAnsi="新細明體" w:hint="eastAsia"/>
          <w:color w:val="000000"/>
        </w:rPr>
        <w:t>／於公益（無）重大影響」等</w:t>
      </w:r>
      <w:r>
        <w:rPr>
          <w:rFonts w:hAnsi="新細明體" w:hint="eastAsia"/>
          <w:color w:val="000000"/>
        </w:rPr>
        <w:t>四項要素；至於這四項要素的審查順序、舉證責任分配，尤其是各</w:t>
      </w:r>
      <w:proofErr w:type="gramStart"/>
      <w:r>
        <w:rPr>
          <w:rFonts w:hAnsi="新細明體" w:hint="eastAsia"/>
          <w:color w:val="000000"/>
        </w:rPr>
        <w:t>要素間的比重</w:t>
      </w:r>
      <w:proofErr w:type="gramEnd"/>
      <w:r>
        <w:rPr>
          <w:rFonts w:hAnsi="新細明體" w:hint="eastAsia"/>
          <w:color w:val="000000"/>
        </w:rPr>
        <w:t>分配關係</w:t>
      </w:r>
      <w:r>
        <w:rPr>
          <w:rFonts w:hAnsi="新細明體"/>
          <w:color w:val="000000"/>
        </w:rPr>
        <w:t>…</w:t>
      </w:r>
      <w:r>
        <w:rPr>
          <w:rFonts w:hAnsi="新細明體" w:hint="eastAsia"/>
          <w:color w:val="000000"/>
        </w:rPr>
        <w:t>等，立法者並無特定的立場與指示</w:t>
      </w:r>
      <w:r>
        <w:rPr>
          <w:rStyle w:val="a3"/>
          <w:rFonts w:hAnsi="新細明體"/>
          <w:color w:val="000000"/>
        </w:rPr>
        <w:footnoteReference w:id="13"/>
      </w:r>
      <w:r>
        <w:rPr>
          <w:rFonts w:hAnsi="新細明體" w:hint="eastAsia"/>
          <w:color w:val="000000"/>
        </w:rPr>
        <w:t>。至於在日本方面，學說與實務就該國相關條文間事實上也未發展出一套合理的審查標準</w:t>
      </w:r>
      <w:r>
        <w:rPr>
          <w:rStyle w:val="a3"/>
          <w:rFonts w:hAnsi="新細明體"/>
          <w:color w:val="000000"/>
        </w:rPr>
        <w:footnoteReference w:id="14"/>
      </w:r>
      <w:r>
        <w:rPr>
          <w:rFonts w:hAnsi="新細明體" w:hint="eastAsia"/>
          <w:color w:val="000000"/>
        </w:rPr>
        <w:t>，而足供我國參考；因此相關問題之解決，似乎必須另求助於對於日本與我國之暫時</w:t>
      </w:r>
      <w:r>
        <w:rPr>
          <w:rFonts w:hAnsi="新細明體" w:hint="eastAsia"/>
          <w:color w:val="000000"/>
        </w:rPr>
        <w:lastRenderedPageBreak/>
        <w:t>權利保護制度有重大影響力的德國法制了。而事實上，德國近年來由大量學說與實務通力合作，其有關停止執行之審查標準的問題，的確也以形成一套相當合理之模式</w:t>
      </w:r>
      <w:r>
        <w:rPr>
          <w:rStyle w:val="a3"/>
          <w:rFonts w:hAnsi="新細明體"/>
          <w:color w:val="000000"/>
        </w:rPr>
        <w:footnoteReference w:id="15"/>
      </w:r>
      <w:r>
        <w:rPr>
          <w:rFonts w:hAnsi="新細明體" w:hint="eastAsia"/>
          <w:color w:val="000000"/>
        </w:rPr>
        <w:t>，值得我國借鏡。</w:t>
      </w:r>
    </w:p>
    <w:p w:rsidR="009468A2" w:rsidRDefault="009468A2" w:rsidP="009468A2">
      <w:pPr>
        <w:pStyle w:val="a6"/>
        <w:spacing w:afterLines="50" w:after="180" w:line="288" w:lineRule="auto"/>
        <w:ind w:firstLine="480"/>
        <w:rPr>
          <w:rFonts w:hint="eastAsia"/>
          <w:color w:val="000000"/>
          <w:lang w:val="en-US"/>
        </w:rPr>
      </w:pPr>
      <w:r>
        <w:rPr>
          <w:rFonts w:hAnsi="新細明體" w:hint="eastAsia"/>
          <w:color w:val="000000"/>
          <w:lang w:val="en-US"/>
        </w:rPr>
        <w:t>在有關停止執行的制度上，規範該制度的</w:t>
      </w:r>
      <w:r>
        <w:rPr>
          <w:rFonts w:hAnsi="新細明體"/>
          <w:color w:val="000000"/>
          <w:lang w:val="en-US"/>
        </w:rPr>
        <w:t>德國</w:t>
      </w:r>
      <w:r>
        <w:rPr>
          <w:rFonts w:hAnsi="新細明體"/>
          <w:color w:val="000000"/>
        </w:rPr>
        <w:t>行政法院</w:t>
      </w:r>
      <w:r>
        <w:rPr>
          <w:rFonts w:hAnsi="新細明體" w:hint="eastAsia"/>
          <w:color w:val="000000"/>
        </w:rPr>
        <w:t>法第</w:t>
      </w:r>
      <w:r>
        <w:rPr>
          <w:rFonts w:hAnsi="新細明體" w:hint="eastAsia"/>
          <w:color w:val="000000"/>
        </w:rPr>
        <w:t>80</w:t>
      </w:r>
      <w:r>
        <w:rPr>
          <w:rFonts w:hAnsi="新細明體" w:hint="eastAsia"/>
          <w:color w:val="000000"/>
        </w:rPr>
        <w:t>條至第</w:t>
      </w:r>
      <w:r>
        <w:rPr>
          <w:rFonts w:hAnsi="新細明體" w:hint="eastAsia"/>
          <w:color w:val="000000"/>
        </w:rPr>
        <w:t>80</w:t>
      </w:r>
      <w:r>
        <w:rPr>
          <w:rFonts w:hAnsi="新細明體" w:hint="eastAsia"/>
          <w:color w:val="000000"/>
        </w:rPr>
        <w:t>條之</w:t>
      </w:r>
      <w:r>
        <w:rPr>
          <w:rFonts w:hAnsi="新細明體" w:hint="eastAsia"/>
          <w:color w:val="000000"/>
        </w:rPr>
        <w:t>2</w:t>
      </w:r>
      <w:r>
        <w:rPr>
          <w:rFonts w:hAnsi="新細明體" w:hint="eastAsia"/>
          <w:color w:val="000000"/>
        </w:rPr>
        <w:t>，其實始終並無一套完整的</w:t>
      </w:r>
      <w:r>
        <w:rPr>
          <w:rFonts w:hAnsi="新細明體"/>
          <w:color w:val="000000"/>
        </w:rPr>
        <w:t>停止執行之實體審查標準的</w:t>
      </w:r>
      <w:r>
        <w:rPr>
          <w:rFonts w:hAnsi="新細明體" w:hint="eastAsia"/>
          <w:color w:val="000000"/>
        </w:rPr>
        <w:t>規定，而</w:t>
      </w:r>
      <w:proofErr w:type="gramStart"/>
      <w:r>
        <w:rPr>
          <w:rFonts w:hAnsi="新細明體" w:hint="eastAsia"/>
          <w:color w:val="000000"/>
        </w:rPr>
        <w:t>迭遭</w:t>
      </w:r>
      <w:r>
        <w:rPr>
          <w:rFonts w:hAnsi="新細明體"/>
          <w:color w:val="000000"/>
        </w:rPr>
        <w:t>學界迭</w:t>
      </w:r>
      <w:r>
        <w:rPr>
          <w:rFonts w:hAnsi="新細明體" w:hint="eastAsia"/>
          <w:color w:val="000000"/>
        </w:rPr>
        <w:t>所</w:t>
      </w:r>
      <w:proofErr w:type="gramEnd"/>
      <w:r>
        <w:rPr>
          <w:rFonts w:hAnsi="新細明體"/>
          <w:color w:val="000000"/>
        </w:rPr>
        <w:t>批評</w:t>
      </w:r>
      <w:r>
        <w:rPr>
          <w:rStyle w:val="a3"/>
          <w:color w:val="000000"/>
        </w:rPr>
        <w:footnoteReference w:id="16"/>
      </w:r>
      <w:r>
        <w:rPr>
          <w:rFonts w:hAnsi="新細明體" w:hint="eastAsia"/>
          <w:color w:val="000000"/>
        </w:rPr>
        <w:t>。不過無論如何，透過該</w:t>
      </w:r>
      <w:r>
        <w:rPr>
          <w:rFonts w:hAnsi="新細明體"/>
          <w:color w:val="000000"/>
        </w:rPr>
        <w:t>行政法院</w:t>
      </w:r>
      <w:r>
        <w:rPr>
          <w:rFonts w:hAnsi="新細明體" w:hint="eastAsia"/>
          <w:color w:val="000000"/>
        </w:rPr>
        <w:t>法第</w:t>
      </w:r>
      <w:r>
        <w:rPr>
          <w:rFonts w:hAnsi="新細明體" w:hint="eastAsia"/>
          <w:color w:val="000000"/>
        </w:rPr>
        <w:t>80</w:t>
      </w:r>
      <w:r>
        <w:rPr>
          <w:rFonts w:hAnsi="新細明體" w:hint="eastAsia"/>
          <w:color w:val="000000"/>
        </w:rPr>
        <w:t>條中若干</w:t>
      </w:r>
      <w:r>
        <w:rPr>
          <w:rFonts w:hAnsi="新細明體"/>
          <w:color w:val="000000"/>
        </w:rPr>
        <w:t>隻字片語</w:t>
      </w:r>
      <w:r>
        <w:rPr>
          <w:rFonts w:hAnsi="新細明體" w:hint="eastAsia"/>
          <w:color w:val="000000"/>
        </w:rPr>
        <w:t>的解釋與說明，</w:t>
      </w:r>
      <w:r>
        <w:rPr>
          <w:rFonts w:hAnsi="新細明體"/>
          <w:color w:val="000000"/>
        </w:rPr>
        <w:t>學說與判例</w:t>
      </w:r>
      <w:r>
        <w:rPr>
          <w:rFonts w:hAnsi="新細明體" w:hint="eastAsia"/>
          <w:color w:val="000000"/>
        </w:rPr>
        <w:t>現今</w:t>
      </w:r>
      <w:proofErr w:type="gramStart"/>
      <w:r>
        <w:rPr>
          <w:rFonts w:hAnsi="新細明體" w:hint="eastAsia"/>
          <w:color w:val="000000"/>
        </w:rPr>
        <w:t>大約均已同意</w:t>
      </w:r>
      <w:proofErr w:type="gramEnd"/>
      <w:r>
        <w:rPr>
          <w:rFonts w:hAnsi="新細明體" w:hint="eastAsia"/>
          <w:color w:val="000000"/>
        </w:rPr>
        <w:t>，</w:t>
      </w:r>
      <w:r>
        <w:rPr>
          <w:rFonts w:hAnsi="新細明體"/>
          <w:color w:val="000000"/>
        </w:rPr>
        <w:t>「系爭行政處分之合法性有重大懷疑」、「執行將對義務人造成不當之嚴重結果」</w:t>
      </w:r>
      <w:r>
        <w:rPr>
          <w:rFonts w:hAnsi="新細明體" w:hint="eastAsia"/>
          <w:color w:val="000000"/>
        </w:rPr>
        <w:t>、「急迫性」</w:t>
      </w:r>
      <w:r>
        <w:rPr>
          <w:rFonts w:hAnsi="新細明體"/>
          <w:color w:val="000000"/>
        </w:rPr>
        <w:t>及「重大公益」</w:t>
      </w:r>
      <w:r>
        <w:rPr>
          <w:rFonts w:hAnsi="新細明體" w:hint="eastAsia"/>
          <w:color w:val="000000"/>
        </w:rPr>
        <w:t>至少應是構成</w:t>
      </w:r>
      <w:r>
        <w:rPr>
          <w:rFonts w:hAnsi="新細明體"/>
          <w:color w:val="000000"/>
        </w:rPr>
        <w:t>停止執行之實體審查標準</w:t>
      </w:r>
      <w:r>
        <w:rPr>
          <w:rFonts w:hAnsi="新細明體" w:hint="eastAsia"/>
          <w:color w:val="000000"/>
        </w:rPr>
        <w:t>的四</w:t>
      </w:r>
      <w:r>
        <w:rPr>
          <w:rFonts w:hAnsi="新細明體"/>
          <w:color w:val="000000"/>
        </w:rPr>
        <w:t>項</w:t>
      </w:r>
      <w:r>
        <w:rPr>
          <w:rFonts w:hAnsi="新細明體" w:hint="eastAsia"/>
          <w:color w:val="000000"/>
        </w:rPr>
        <w:t>要素；不過至於這四項要素在停止執行程序之具體個案</w:t>
      </w:r>
      <w:proofErr w:type="gramStart"/>
      <w:r>
        <w:rPr>
          <w:rFonts w:hAnsi="新細明體" w:hint="eastAsia"/>
          <w:color w:val="000000"/>
        </w:rPr>
        <w:t>中俱存時</w:t>
      </w:r>
      <w:proofErr w:type="gramEnd"/>
      <w:r>
        <w:rPr>
          <w:rFonts w:hAnsi="新細明體" w:hint="eastAsia"/>
          <w:color w:val="000000"/>
        </w:rPr>
        <w:t>，</w:t>
      </w:r>
      <w:proofErr w:type="gramStart"/>
      <w:r>
        <w:rPr>
          <w:rFonts w:hAnsi="新細明體" w:hint="eastAsia"/>
          <w:color w:val="000000"/>
        </w:rPr>
        <w:t>彼此間競合</w:t>
      </w:r>
      <w:proofErr w:type="gramEnd"/>
      <w:r>
        <w:rPr>
          <w:rFonts w:hAnsi="新細明體" w:hint="eastAsia"/>
          <w:color w:val="000000"/>
        </w:rPr>
        <w:t>與衝突的情形如何協調，以組合成一套完整無矛盾的實體審查標準，則分別有</w:t>
      </w:r>
      <w:r>
        <w:rPr>
          <w:rFonts w:hint="eastAsia"/>
          <w:color w:val="000000"/>
        </w:rPr>
        <w:t>「略式審查（</w:t>
      </w:r>
      <w:r>
        <w:rPr>
          <w:rFonts w:hint="eastAsia"/>
          <w:color w:val="000000"/>
        </w:rPr>
        <w:t>summarische Pr</w:t>
      </w:r>
      <w:r>
        <w:rPr>
          <w:color w:val="000000"/>
        </w:rPr>
        <w:t>üfung</w:t>
      </w:r>
      <w:r>
        <w:rPr>
          <w:rFonts w:hint="eastAsia"/>
          <w:color w:val="000000"/>
        </w:rPr>
        <w:t>）」及「利益衡量（</w:t>
      </w:r>
      <w:r>
        <w:rPr>
          <w:rFonts w:hint="eastAsia"/>
          <w:color w:val="000000"/>
        </w:rPr>
        <w:t>Interessenabw</w:t>
      </w:r>
      <w:r>
        <w:rPr>
          <w:color w:val="000000"/>
        </w:rPr>
        <w:t>ägung</w:t>
      </w:r>
      <w:r>
        <w:rPr>
          <w:rFonts w:hint="eastAsia"/>
          <w:color w:val="000000"/>
        </w:rPr>
        <w:t>）」等兩種基本模式被列入考慮</w:t>
      </w:r>
      <w:r>
        <w:rPr>
          <w:rStyle w:val="a3"/>
          <w:color w:val="000000"/>
        </w:rPr>
        <w:footnoteReference w:id="17"/>
      </w:r>
      <w:r>
        <w:rPr>
          <w:rFonts w:hAnsi="新細明體" w:hint="eastAsia"/>
          <w:color w:val="000000"/>
        </w:rPr>
        <w:t>：</w:t>
      </w:r>
    </w:p>
    <w:p w:rsidR="009468A2" w:rsidRDefault="009468A2" w:rsidP="009468A2">
      <w:pPr>
        <w:pStyle w:val="a6"/>
        <w:spacing w:afterLines="50" w:after="180" w:line="288" w:lineRule="auto"/>
        <w:ind w:firstLine="480"/>
        <w:rPr>
          <w:rFonts w:hint="eastAsia"/>
          <w:color w:val="000000"/>
        </w:rPr>
      </w:pPr>
      <w:r>
        <w:rPr>
          <w:rFonts w:hint="eastAsia"/>
          <w:color w:val="000000"/>
        </w:rPr>
        <w:t>在第一種基本模式中，停止執行之准許，完全取決於當事人在本案救濟程序中有無勝算希望，亦即該本案救濟程序是否合法提起，乃至</w:t>
      </w:r>
      <w:proofErr w:type="gramStart"/>
      <w:r>
        <w:rPr>
          <w:rFonts w:hint="eastAsia"/>
          <w:color w:val="000000"/>
        </w:rPr>
        <w:t>繫</w:t>
      </w:r>
      <w:proofErr w:type="gramEnd"/>
      <w:r>
        <w:rPr>
          <w:rFonts w:hint="eastAsia"/>
          <w:color w:val="000000"/>
        </w:rPr>
        <w:t>屬本案的原</w:t>
      </w:r>
      <w:r>
        <w:rPr>
          <w:rFonts w:hAnsi="新細明體"/>
          <w:color w:val="000000"/>
        </w:rPr>
        <w:t>行政處分之</w:t>
      </w:r>
      <w:r>
        <w:rPr>
          <w:rFonts w:hAnsi="新細明體" w:hint="eastAsia"/>
          <w:color w:val="000000"/>
        </w:rPr>
        <w:t>違法與否，亦即本案</w:t>
      </w:r>
      <w:r>
        <w:rPr>
          <w:rFonts w:hint="eastAsia"/>
          <w:color w:val="000000"/>
        </w:rPr>
        <w:t>救濟有無理由</w:t>
      </w:r>
      <w:r>
        <w:rPr>
          <w:rFonts w:hAnsi="新細明體" w:hint="eastAsia"/>
          <w:color w:val="000000"/>
        </w:rPr>
        <w:t>的評斷</w:t>
      </w:r>
      <w:r>
        <w:rPr>
          <w:rFonts w:hint="eastAsia"/>
          <w:color w:val="000000"/>
        </w:rPr>
        <w:t>。</w:t>
      </w:r>
      <w:proofErr w:type="gramStart"/>
      <w:r>
        <w:rPr>
          <w:rFonts w:hint="eastAsia"/>
          <w:color w:val="000000"/>
        </w:rPr>
        <w:t>此外，</w:t>
      </w:r>
      <w:proofErr w:type="gramEnd"/>
      <w:r>
        <w:rPr>
          <w:rFonts w:hint="eastAsia"/>
          <w:color w:val="000000"/>
        </w:rPr>
        <w:t>又由於當事人在本案救濟程序有無勝算希望，最後莫非與行政法院或訴願機關等通常在本案救濟程序中決定當事人勝（敗）</w:t>
      </w:r>
      <w:proofErr w:type="gramStart"/>
      <w:r>
        <w:rPr>
          <w:rFonts w:hint="eastAsia"/>
          <w:color w:val="000000"/>
        </w:rPr>
        <w:t>訴時所</w:t>
      </w:r>
      <w:proofErr w:type="gramEnd"/>
      <w:r>
        <w:rPr>
          <w:rFonts w:hint="eastAsia"/>
          <w:color w:val="000000"/>
        </w:rPr>
        <w:t>應作的審查相同，只是審查時，比真正本案中之審查較為粗略，僅具概括性，而不深入探究一時未能</w:t>
      </w:r>
      <w:proofErr w:type="gramStart"/>
      <w:r>
        <w:rPr>
          <w:rFonts w:hint="eastAsia"/>
          <w:color w:val="000000"/>
        </w:rPr>
        <w:t>釐</w:t>
      </w:r>
      <w:proofErr w:type="gramEnd"/>
      <w:r>
        <w:rPr>
          <w:rFonts w:hint="eastAsia"/>
          <w:color w:val="000000"/>
        </w:rPr>
        <w:t>清的案件事實，乃至過度複雜性的法律問題而已，所以這一套審查程序，是稱為「略式審查」。</w:t>
      </w:r>
    </w:p>
    <w:p w:rsidR="009468A2" w:rsidRDefault="009468A2" w:rsidP="009468A2">
      <w:pPr>
        <w:pStyle w:val="a6"/>
        <w:spacing w:afterLines="50" w:after="180" w:line="288" w:lineRule="auto"/>
        <w:ind w:firstLine="480"/>
        <w:rPr>
          <w:rFonts w:hint="eastAsia"/>
          <w:color w:val="000000"/>
        </w:rPr>
      </w:pPr>
      <w:r>
        <w:rPr>
          <w:rFonts w:hint="eastAsia"/>
          <w:color w:val="000000"/>
        </w:rPr>
        <w:t>相反地，至於第二種，所謂的「利益衡量」基本模式，則是行政法院或訴願機關對於當事人在本案救濟程序中有無勝算的問題，原則上持開放與中立的態</w:t>
      </w:r>
      <w:r>
        <w:rPr>
          <w:rFonts w:hint="eastAsia"/>
          <w:color w:val="000000"/>
        </w:rPr>
        <w:lastRenderedPageBreak/>
        <w:t>度；</w:t>
      </w:r>
      <w:proofErr w:type="gramStart"/>
      <w:r>
        <w:rPr>
          <w:rFonts w:hint="eastAsia"/>
          <w:color w:val="000000"/>
        </w:rPr>
        <w:t>其於系爭</w:t>
      </w:r>
      <w:proofErr w:type="gramEnd"/>
      <w:r>
        <w:rPr>
          <w:rFonts w:hint="eastAsia"/>
          <w:color w:val="000000"/>
        </w:rPr>
        <w:t>停止執行程序中所重視者，毋寧是該具體個案中所涉之各方利益如何斟酌的問題。申言之，審查者在此，主要是比較、並評價「萬一當事人之停止執行獲准，而事後當事人在本案程序上卻敗訴時，結果如何」與「萬一當事人之停止執行不准，而事後當事人在本案程序中卻勝訴時，結果又如何」等兩種假設性後果之孰輕孰重</w:t>
      </w:r>
      <w:proofErr w:type="gramStart"/>
      <w:r>
        <w:rPr>
          <w:rFonts w:hint="eastAsia"/>
          <w:color w:val="000000"/>
        </w:rPr>
        <w:t>（</w:t>
      </w:r>
      <w:proofErr w:type="gramEnd"/>
      <w:r>
        <w:rPr>
          <w:rFonts w:hint="eastAsia"/>
          <w:color w:val="000000"/>
        </w:rPr>
        <w:t>即所謂的「雙重假設模式；</w:t>
      </w:r>
      <w:r>
        <w:rPr>
          <w:rFonts w:hint="eastAsia"/>
          <w:color w:val="000000"/>
        </w:rPr>
        <w:t>Doppelhypothese</w:t>
      </w:r>
      <w:r>
        <w:rPr>
          <w:rFonts w:hint="eastAsia"/>
          <w:color w:val="000000"/>
        </w:rPr>
        <w:t>」</w:t>
      </w:r>
      <w:proofErr w:type="gramStart"/>
      <w:r>
        <w:rPr>
          <w:rFonts w:hint="eastAsia"/>
          <w:color w:val="000000"/>
        </w:rPr>
        <w:t>）</w:t>
      </w:r>
      <w:proofErr w:type="gramEnd"/>
      <w:r>
        <w:rPr>
          <w:rFonts w:hint="eastAsia"/>
          <w:color w:val="000000"/>
        </w:rPr>
        <w:t>，來決定停止執行之准否的問題：假使第一種後果較第二種後果嚴重，顯然在系爭案件中，行政處分之執行利益，高於停止執行的利益，故而該停止執行應予不准；</w:t>
      </w:r>
      <w:proofErr w:type="gramStart"/>
      <w:r>
        <w:rPr>
          <w:rFonts w:hint="eastAsia"/>
          <w:color w:val="000000"/>
        </w:rPr>
        <w:t>反之，</w:t>
      </w:r>
      <w:proofErr w:type="gramEnd"/>
      <w:r>
        <w:rPr>
          <w:rFonts w:hint="eastAsia"/>
          <w:color w:val="000000"/>
        </w:rPr>
        <w:t>則行政處分之停止執行的利益高於執行利益，則應停止執行。換言之，所謂「利益衡量」模式，審查機關係以比較執行利益與停止執行利益的輕重進行。在此，本案有無勝訴希望，並非關鍵；重要的是，毋寧代表當事</w:t>
      </w:r>
      <w:r>
        <w:rPr>
          <w:rFonts w:hAnsi="新細明體" w:hint="eastAsia"/>
          <w:color w:val="000000"/>
        </w:rPr>
        <w:t>人所期待的</w:t>
      </w:r>
      <w:r>
        <w:rPr>
          <w:rFonts w:hint="eastAsia"/>
          <w:color w:val="000000"/>
        </w:rPr>
        <w:t>停止執行之利益，亦即</w:t>
      </w:r>
      <w:r>
        <w:rPr>
          <w:rFonts w:hAnsi="新細明體"/>
          <w:color w:val="000000"/>
        </w:rPr>
        <w:t>「執行將對</w:t>
      </w:r>
      <w:r>
        <w:rPr>
          <w:rFonts w:hAnsi="新細明體" w:hint="eastAsia"/>
          <w:color w:val="000000"/>
        </w:rPr>
        <w:t>當事</w:t>
      </w:r>
      <w:r>
        <w:rPr>
          <w:rFonts w:hAnsi="新細明體"/>
          <w:color w:val="000000"/>
        </w:rPr>
        <w:t>人造成不當之嚴重結果」，以及</w:t>
      </w:r>
      <w:r>
        <w:rPr>
          <w:rFonts w:hAnsi="新細明體" w:hint="eastAsia"/>
          <w:color w:val="000000"/>
        </w:rPr>
        <w:t>代表原處分機關所堅持的執行利益，亦即</w:t>
      </w:r>
      <w:r>
        <w:rPr>
          <w:rFonts w:hAnsi="新細明體"/>
          <w:color w:val="000000"/>
        </w:rPr>
        <w:t>「重大公益」</w:t>
      </w:r>
      <w:r>
        <w:rPr>
          <w:rFonts w:hAnsi="新細明體" w:hint="eastAsia"/>
          <w:color w:val="000000"/>
        </w:rPr>
        <w:t>，孰輕孰重的問題。</w:t>
      </w:r>
    </w:p>
    <w:p w:rsidR="009468A2" w:rsidRDefault="009468A2" w:rsidP="009468A2">
      <w:pPr>
        <w:pStyle w:val="a6"/>
        <w:spacing w:afterLines="50" w:after="180" w:line="288" w:lineRule="auto"/>
        <w:ind w:firstLine="480"/>
        <w:rPr>
          <w:rFonts w:hint="eastAsia"/>
          <w:color w:val="000000"/>
        </w:rPr>
      </w:pPr>
      <w:r>
        <w:rPr>
          <w:rFonts w:hint="eastAsia"/>
          <w:color w:val="000000"/>
        </w:rPr>
        <w:t>在這兩種基本模式中，德國行政法院較初期的裁判例</w:t>
      </w:r>
      <w:r>
        <w:rPr>
          <w:rStyle w:val="a3"/>
          <w:color w:val="000000"/>
        </w:rPr>
        <w:footnoteReference w:id="18"/>
      </w:r>
      <w:r>
        <w:rPr>
          <w:rFonts w:hint="eastAsia"/>
          <w:color w:val="000000"/>
        </w:rPr>
        <w:t>，原係傾向「利益衡量」模式的運用。不過，隨著學者的批評，以及實務本身的反省與嘗試錯誤，近年來多數的法院</w:t>
      </w:r>
      <w:r>
        <w:rPr>
          <w:rStyle w:val="a3"/>
          <w:color w:val="000000"/>
        </w:rPr>
        <w:footnoteReference w:id="19"/>
      </w:r>
      <w:r>
        <w:rPr>
          <w:rFonts w:hint="eastAsia"/>
          <w:color w:val="000000"/>
        </w:rPr>
        <w:t>，則已逐漸偏向採用一種所謂「階段化審查（</w:t>
      </w:r>
      <w:r>
        <w:rPr>
          <w:rFonts w:hint="eastAsia"/>
          <w:color w:val="000000"/>
        </w:rPr>
        <w:t>Stufensystem</w:t>
      </w:r>
      <w:r>
        <w:rPr>
          <w:rFonts w:hint="eastAsia"/>
          <w:color w:val="000000"/>
        </w:rPr>
        <w:t>）」模式，而同時整合「略式審查」與「利益衡量」的利與弊，並且獲得多數學者的肯定。至於這一套新模式，其基本構造，或可以下列一條簡便的流程圖說明</w:t>
      </w:r>
      <w:r>
        <w:rPr>
          <w:rStyle w:val="a3"/>
          <w:color w:val="000000"/>
        </w:rPr>
        <w:footnoteReference w:id="20"/>
      </w:r>
      <w:r>
        <w:rPr>
          <w:rFonts w:hint="eastAsia"/>
          <w:color w:val="000000"/>
        </w:rPr>
        <w:t>：</w:t>
      </w:r>
    </w:p>
    <w:p w:rsidR="009468A2" w:rsidRDefault="009468A2" w:rsidP="009468A2">
      <w:pPr>
        <w:pStyle w:val="a6"/>
        <w:spacing w:afterLines="50" w:after="180" w:line="288" w:lineRule="auto"/>
        <w:ind w:left="1200" w:hangingChars="500" w:hanging="1200"/>
        <w:rPr>
          <w:rFonts w:hint="eastAsia"/>
          <w:color w:val="000000"/>
        </w:rPr>
      </w:pPr>
      <w:r>
        <w:rPr>
          <w:rFonts w:hint="eastAsia"/>
          <w:color w:val="000000"/>
        </w:rPr>
        <w:t>第一階段：先以「略式審查」模式作審查。其中，本案顯有勝訴希望，停止執行；本案顯無勝訴希望，不停止執行。</w:t>
      </w:r>
    </w:p>
    <w:p w:rsidR="009468A2" w:rsidRDefault="009468A2" w:rsidP="009468A2">
      <w:pPr>
        <w:pStyle w:val="a6"/>
        <w:spacing w:afterLines="50" w:after="180" w:line="288" w:lineRule="auto"/>
        <w:ind w:left="1200" w:hangingChars="500" w:hanging="1200"/>
        <w:rPr>
          <w:rFonts w:hint="eastAsia"/>
          <w:color w:val="000000"/>
        </w:rPr>
      </w:pPr>
      <w:r>
        <w:rPr>
          <w:rFonts w:hint="eastAsia"/>
          <w:color w:val="000000"/>
        </w:rPr>
        <w:t>第二階段：「略式審查」配合「利益衡量」。當本案之勝訴或敗訴希望，並非明顯時，則停止執行或不停止執行，原則上仍取決於勝訴或敗訴希望的「蓋然性」（略式審查）；但是當執行或不執行之結果，嗣後不能，或至少</w:t>
      </w:r>
      <w:r>
        <w:rPr>
          <w:rFonts w:hint="eastAsia"/>
          <w:color w:val="000000"/>
        </w:rPr>
        <w:lastRenderedPageBreak/>
        <w:t>相當難以回復至未執行或先執行前的原始狀態時，則此際，停止執行或不停止執行取決於有無「回復可能性」（利益衡量）。</w:t>
      </w:r>
    </w:p>
    <w:p w:rsidR="009468A2" w:rsidRDefault="009468A2" w:rsidP="009468A2">
      <w:pPr>
        <w:pStyle w:val="a6"/>
        <w:spacing w:afterLines="50" w:after="180" w:line="288" w:lineRule="auto"/>
        <w:ind w:left="1200" w:hangingChars="500" w:hanging="1200"/>
        <w:rPr>
          <w:rFonts w:hint="eastAsia"/>
          <w:color w:val="000000"/>
        </w:rPr>
      </w:pPr>
      <w:r>
        <w:rPr>
          <w:rFonts w:hint="eastAsia"/>
          <w:color w:val="000000"/>
        </w:rPr>
        <w:t>第三階段：純粹「利益衡量」。當</w:t>
      </w:r>
      <w:proofErr w:type="gramStart"/>
      <w:r>
        <w:rPr>
          <w:rFonts w:hint="eastAsia"/>
          <w:color w:val="000000"/>
        </w:rPr>
        <w:t>本案勝</w:t>
      </w:r>
      <w:proofErr w:type="gramEnd"/>
      <w:r>
        <w:rPr>
          <w:rFonts w:hint="eastAsia"/>
          <w:color w:val="000000"/>
        </w:rPr>
        <w:t>、敗訴</w:t>
      </w:r>
      <w:proofErr w:type="gramStart"/>
      <w:r>
        <w:rPr>
          <w:rFonts w:hint="eastAsia"/>
          <w:color w:val="000000"/>
        </w:rPr>
        <w:t>希望均有可能</w:t>
      </w:r>
      <w:proofErr w:type="gramEnd"/>
      <w:r>
        <w:rPr>
          <w:rFonts w:hint="eastAsia"/>
          <w:color w:val="000000"/>
        </w:rPr>
        <w:t>，或完全不明時，則停止執行之利益或執行利益的輕重程度，決定停止執行或不停止執行。</w:t>
      </w:r>
    </w:p>
    <w:p w:rsidR="009468A2" w:rsidRDefault="009468A2" w:rsidP="009468A2">
      <w:pPr>
        <w:pStyle w:val="a6"/>
        <w:spacing w:afterLines="50" w:after="180" w:line="288" w:lineRule="auto"/>
        <w:ind w:firstLine="480"/>
        <w:rPr>
          <w:color w:val="000000"/>
        </w:rPr>
      </w:pPr>
      <w:r>
        <w:rPr>
          <w:rFonts w:hAnsi="新細明體" w:hint="eastAsia"/>
          <w:color w:val="000000"/>
        </w:rPr>
        <w:t>相對於德國法制中如此的這一套「階段化審查」模式，非常值得注意的，是遠在大西洋彼岸，屬於英美法系的美國，也針對「暫時禁制令」發展出一套類似的標準。蓋在美國法，由於相關法令，如本研究報告前述</w:t>
      </w:r>
      <w:r>
        <w:rPr>
          <w:rStyle w:val="a3"/>
          <w:rFonts w:hAnsi="新細明體"/>
          <w:color w:val="000000"/>
        </w:rPr>
        <w:footnoteReference w:id="21"/>
      </w:r>
      <w:r>
        <w:rPr>
          <w:rFonts w:hAnsi="新細明體" w:hint="eastAsia"/>
          <w:color w:val="000000"/>
        </w:rPr>
        <w:t>，始終欠缺有關作成</w:t>
      </w:r>
      <w:r>
        <w:rPr>
          <w:rFonts w:hAnsi="新細明體"/>
          <w:color w:val="000000"/>
        </w:rPr>
        <w:t>暫時禁制令</w:t>
      </w:r>
      <w:r>
        <w:rPr>
          <w:rFonts w:hAnsi="新細明體" w:hint="eastAsia"/>
          <w:color w:val="000000"/>
        </w:rPr>
        <w:t>之要件的</w:t>
      </w:r>
      <w:r>
        <w:rPr>
          <w:rFonts w:hAnsi="新細明體"/>
          <w:color w:val="000000"/>
        </w:rPr>
        <w:t>標準</w:t>
      </w:r>
      <w:r>
        <w:rPr>
          <w:rFonts w:hAnsi="新細明體" w:hint="eastAsia"/>
          <w:color w:val="000000"/>
        </w:rPr>
        <w:t>，因此必</w:t>
      </w:r>
      <w:r>
        <w:rPr>
          <w:rFonts w:hAnsi="新細明體"/>
          <w:color w:val="000000"/>
        </w:rPr>
        <w:t>須</w:t>
      </w:r>
      <w:r>
        <w:rPr>
          <w:rFonts w:hAnsi="新細明體" w:hint="eastAsia"/>
          <w:color w:val="000000"/>
        </w:rPr>
        <w:t>完全</w:t>
      </w:r>
      <w:r>
        <w:rPr>
          <w:rFonts w:hAnsi="新細明體"/>
          <w:color w:val="000000"/>
        </w:rPr>
        <w:t>仰賴法官於個案中，依循判例而決定何時應</w:t>
      </w:r>
      <w:r>
        <w:rPr>
          <w:rFonts w:hAnsi="新細明體" w:hint="eastAsia"/>
          <w:color w:val="000000"/>
        </w:rPr>
        <w:t>作成</w:t>
      </w:r>
      <w:r>
        <w:rPr>
          <w:rFonts w:hAnsi="新細明體"/>
          <w:color w:val="000000"/>
        </w:rPr>
        <w:t>暫時禁制令。</w:t>
      </w:r>
      <w:r>
        <w:rPr>
          <w:rFonts w:hAnsi="新細明體" w:hint="eastAsia"/>
          <w:color w:val="000000"/>
        </w:rPr>
        <w:t>而在此，</w:t>
      </w:r>
      <w:r>
        <w:rPr>
          <w:rFonts w:hAnsi="新細明體"/>
          <w:color w:val="000000"/>
        </w:rPr>
        <w:t>大多數法院</w:t>
      </w:r>
      <w:r>
        <w:rPr>
          <w:rFonts w:hAnsi="新細明體" w:hint="eastAsia"/>
          <w:color w:val="000000"/>
        </w:rPr>
        <w:t>所</w:t>
      </w:r>
      <w:r>
        <w:rPr>
          <w:rFonts w:hAnsi="新細明體"/>
          <w:color w:val="000000"/>
        </w:rPr>
        <w:t>考量</w:t>
      </w:r>
      <w:r>
        <w:rPr>
          <w:rFonts w:hAnsi="新細明體" w:hint="eastAsia"/>
          <w:color w:val="000000"/>
        </w:rPr>
        <w:t>的</w:t>
      </w:r>
      <w:r>
        <w:rPr>
          <w:rFonts w:hAnsi="新細明體"/>
          <w:color w:val="000000"/>
        </w:rPr>
        <w:t>因素包括</w:t>
      </w:r>
      <w:r>
        <w:rPr>
          <w:rStyle w:val="a3"/>
          <w:color w:val="000000"/>
        </w:rPr>
        <w:footnoteReference w:id="22"/>
      </w:r>
      <w:r>
        <w:rPr>
          <w:rFonts w:hAnsi="新細明體"/>
          <w:color w:val="000000"/>
        </w:rPr>
        <w:t>：</w:t>
      </w:r>
    </w:p>
    <w:p w:rsidR="009468A2" w:rsidRDefault="009468A2" w:rsidP="009468A2">
      <w:pPr>
        <w:widowControl/>
        <w:numPr>
          <w:ilvl w:val="0"/>
          <w:numId w:val="2"/>
        </w:numPr>
        <w:spacing w:line="288" w:lineRule="auto"/>
        <w:jc w:val="both"/>
        <w:rPr>
          <w:color w:val="000000"/>
        </w:rPr>
      </w:pPr>
      <w:r>
        <w:rPr>
          <w:rFonts w:hAnsi="新細明體"/>
          <w:color w:val="000000"/>
        </w:rPr>
        <w:t>原告在法律上能否獲得適當之救濟（</w:t>
      </w:r>
      <w:r>
        <w:rPr>
          <w:color w:val="000000"/>
        </w:rPr>
        <w:t>an adequate remedy at law</w:t>
      </w:r>
      <w:r>
        <w:rPr>
          <w:rFonts w:hAnsi="新細明體"/>
          <w:color w:val="000000"/>
        </w:rPr>
        <w:t>）；</w:t>
      </w:r>
    </w:p>
    <w:p w:rsidR="009468A2" w:rsidRDefault="009468A2" w:rsidP="009468A2">
      <w:pPr>
        <w:widowControl/>
        <w:numPr>
          <w:ilvl w:val="0"/>
          <w:numId w:val="2"/>
        </w:numPr>
        <w:spacing w:line="288" w:lineRule="auto"/>
        <w:jc w:val="both"/>
        <w:rPr>
          <w:color w:val="000000"/>
        </w:rPr>
      </w:pPr>
      <w:r>
        <w:rPr>
          <w:rFonts w:hAnsi="新細明體"/>
          <w:color w:val="000000"/>
        </w:rPr>
        <w:t>原告是否具勝訴之可能性（</w:t>
      </w:r>
      <w:r>
        <w:rPr>
          <w:color w:val="000000"/>
        </w:rPr>
        <w:t>reasonable likelihood of success on the merits</w:t>
      </w:r>
      <w:r>
        <w:rPr>
          <w:rFonts w:hAnsi="新細明體"/>
          <w:color w:val="000000"/>
        </w:rPr>
        <w:t>）；</w:t>
      </w:r>
    </w:p>
    <w:p w:rsidR="009468A2" w:rsidRDefault="009468A2" w:rsidP="009468A2">
      <w:pPr>
        <w:widowControl/>
        <w:numPr>
          <w:ilvl w:val="0"/>
          <w:numId w:val="2"/>
        </w:numPr>
        <w:spacing w:line="288" w:lineRule="auto"/>
        <w:jc w:val="both"/>
        <w:rPr>
          <w:color w:val="000000"/>
        </w:rPr>
      </w:pPr>
      <w:r>
        <w:rPr>
          <w:rFonts w:hAnsi="新細明體"/>
          <w:color w:val="000000"/>
        </w:rPr>
        <w:t>拒發暫時禁制令是否對原告造成不可回復之損害（</w:t>
      </w:r>
      <w:r>
        <w:rPr>
          <w:color w:val="000000"/>
        </w:rPr>
        <w:t>irreparable harm</w:t>
      </w:r>
      <w:r>
        <w:rPr>
          <w:rFonts w:hAnsi="新細明體"/>
          <w:color w:val="000000"/>
        </w:rPr>
        <w:t>）；</w:t>
      </w:r>
    </w:p>
    <w:p w:rsidR="009468A2" w:rsidRDefault="009468A2" w:rsidP="009468A2">
      <w:pPr>
        <w:widowControl/>
        <w:numPr>
          <w:ilvl w:val="0"/>
          <w:numId w:val="2"/>
        </w:numPr>
        <w:spacing w:line="288" w:lineRule="auto"/>
        <w:jc w:val="both"/>
        <w:rPr>
          <w:color w:val="000000"/>
        </w:rPr>
      </w:pPr>
      <w:r>
        <w:rPr>
          <w:rFonts w:hAnsi="新細明體"/>
          <w:color w:val="000000"/>
        </w:rPr>
        <w:t>前述原告所受之損害是否大於核發暫時禁制令對被告所造成之損害；</w:t>
      </w:r>
    </w:p>
    <w:p w:rsidR="009468A2" w:rsidRDefault="009468A2" w:rsidP="009468A2">
      <w:pPr>
        <w:widowControl/>
        <w:numPr>
          <w:ilvl w:val="0"/>
          <w:numId w:val="2"/>
        </w:numPr>
        <w:spacing w:afterLines="50" w:after="180" w:line="288" w:lineRule="auto"/>
        <w:ind w:left="601" w:hanging="601"/>
        <w:jc w:val="both"/>
        <w:rPr>
          <w:color w:val="000000"/>
        </w:rPr>
      </w:pPr>
      <w:r>
        <w:rPr>
          <w:rFonts w:hAnsi="新細明體"/>
          <w:color w:val="000000"/>
        </w:rPr>
        <w:t>對於公共利益（</w:t>
      </w:r>
      <w:r>
        <w:rPr>
          <w:color w:val="000000"/>
        </w:rPr>
        <w:t>public interest</w:t>
      </w:r>
      <w:r>
        <w:rPr>
          <w:rFonts w:hAnsi="新細明體"/>
          <w:color w:val="000000"/>
        </w:rPr>
        <w:t>）之影響。</w:t>
      </w:r>
    </w:p>
    <w:p w:rsidR="009468A2" w:rsidRDefault="009468A2" w:rsidP="009468A2">
      <w:pPr>
        <w:pStyle w:val="a6"/>
        <w:spacing w:afterLines="50" w:after="180" w:line="288" w:lineRule="auto"/>
        <w:ind w:firstLine="480"/>
        <w:rPr>
          <w:rFonts w:hint="eastAsia"/>
          <w:color w:val="000000"/>
        </w:rPr>
      </w:pPr>
      <w:r>
        <w:rPr>
          <w:rFonts w:hAnsi="新細明體"/>
          <w:color w:val="000000"/>
        </w:rPr>
        <w:t>不過至於這五項因素中的後四項</w:t>
      </w:r>
      <w:r>
        <w:rPr>
          <w:rStyle w:val="a3"/>
          <w:color w:val="000000"/>
        </w:rPr>
        <w:footnoteReference w:id="23"/>
      </w:r>
      <w:r>
        <w:rPr>
          <w:rFonts w:hAnsi="新細明體"/>
          <w:color w:val="000000"/>
        </w:rPr>
        <w:t>，究竟在個案中如何</w:t>
      </w:r>
      <w:r>
        <w:rPr>
          <w:rFonts w:hAnsi="新細明體" w:hint="eastAsia"/>
          <w:color w:val="000000"/>
        </w:rPr>
        <w:t>相互調和，以確定</w:t>
      </w:r>
      <w:r>
        <w:rPr>
          <w:rFonts w:hAnsi="新細明體"/>
          <w:color w:val="000000"/>
        </w:rPr>
        <w:t>暫時禁制令</w:t>
      </w:r>
      <w:r>
        <w:rPr>
          <w:rFonts w:hAnsi="新細明體" w:hint="eastAsia"/>
          <w:color w:val="000000"/>
        </w:rPr>
        <w:t>的作成與否，</w:t>
      </w:r>
      <w:r>
        <w:rPr>
          <w:rFonts w:hAnsi="新細明體"/>
          <w:color w:val="000000"/>
        </w:rPr>
        <w:t>聯邦最高法院（</w:t>
      </w:r>
      <w:r>
        <w:rPr>
          <w:color w:val="000000"/>
        </w:rPr>
        <w:t>Supreme Court of United States</w:t>
      </w:r>
      <w:r>
        <w:rPr>
          <w:rFonts w:hAnsi="新細明體"/>
          <w:color w:val="000000"/>
        </w:rPr>
        <w:t>）</w:t>
      </w:r>
      <w:r>
        <w:rPr>
          <w:rFonts w:hAnsi="新細明體" w:hint="eastAsia"/>
          <w:color w:val="000000"/>
        </w:rPr>
        <w:t>迄今</w:t>
      </w:r>
      <w:r>
        <w:rPr>
          <w:rFonts w:hAnsi="新細明體"/>
          <w:color w:val="000000"/>
        </w:rPr>
        <w:t>尚無統一見解，</w:t>
      </w:r>
      <w:r>
        <w:rPr>
          <w:rFonts w:hAnsi="新細明體" w:hint="eastAsia"/>
          <w:color w:val="000000"/>
        </w:rPr>
        <w:t>而</w:t>
      </w:r>
      <w:r>
        <w:rPr>
          <w:rFonts w:hAnsi="新細明體"/>
          <w:color w:val="000000"/>
        </w:rPr>
        <w:t>為學說所批評</w:t>
      </w:r>
      <w:r>
        <w:rPr>
          <w:rStyle w:val="a3"/>
          <w:color w:val="000000"/>
        </w:rPr>
        <w:footnoteReference w:id="24"/>
      </w:r>
      <w:r>
        <w:rPr>
          <w:rFonts w:hAnsi="新細明體" w:hint="eastAsia"/>
          <w:color w:val="000000"/>
        </w:rPr>
        <w:t>；</w:t>
      </w:r>
      <w:r>
        <w:rPr>
          <w:rFonts w:hAnsi="新細明體"/>
          <w:color w:val="000000"/>
        </w:rPr>
        <w:t>因</w:t>
      </w:r>
      <w:r>
        <w:rPr>
          <w:rFonts w:hAnsi="新細明體" w:hint="eastAsia"/>
          <w:color w:val="000000"/>
        </w:rPr>
        <w:t>此</w:t>
      </w:r>
      <w:r>
        <w:rPr>
          <w:rFonts w:hAnsi="新細明體"/>
          <w:color w:val="000000"/>
        </w:rPr>
        <w:t>各個聯邦巡迴上訴法院（</w:t>
      </w:r>
      <w:r>
        <w:rPr>
          <w:color w:val="000000"/>
        </w:rPr>
        <w:t>United States Circuit Courts of Appeals</w:t>
      </w:r>
      <w:r>
        <w:rPr>
          <w:rFonts w:hAnsi="新細明體"/>
          <w:color w:val="000000"/>
        </w:rPr>
        <w:t>）</w:t>
      </w:r>
      <w:r>
        <w:rPr>
          <w:rFonts w:hAnsi="新細明體" w:hint="eastAsia"/>
          <w:color w:val="000000"/>
        </w:rPr>
        <w:t>遂必須</w:t>
      </w:r>
      <w:r>
        <w:rPr>
          <w:rFonts w:hAnsi="新細明體"/>
          <w:color w:val="000000"/>
        </w:rPr>
        <w:t>各自發展出不同</w:t>
      </w:r>
      <w:r>
        <w:rPr>
          <w:rFonts w:hAnsi="新細明體" w:hint="eastAsia"/>
          <w:color w:val="000000"/>
        </w:rPr>
        <w:t>的</w:t>
      </w:r>
      <w:r>
        <w:rPr>
          <w:rFonts w:hAnsi="新細明體"/>
          <w:color w:val="000000"/>
        </w:rPr>
        <w:t>審查標準</w:t>
      </w:r>
      <w:r>
        <w:rPr>
          <w:rStyle w:val="a3"/>
          <w:color w:val="000000"/>
        </w:rPr>
        <w:footnoteReference w:id="25"/>
      </w:r>
      <w:r>
        <w:rPr>
          <w:rFonts w:hAnsi="新細明體"/>
          <w:color w:val="000000"/>
        </w:rPr>
        <w:t>。</w:t>
      </w:r>
      <w:r>
        <w:rPr>
          <w:rFonts w:hAnsi="新細明體" w:hint="eastAsia"/>
          <w:color w:val="000000"/>
        </w:rPr>
        <w:t>雖然這些標準，各有擅</w:t>
      </w:r>
      <w:r>
        <w:rPr>
          <w:rFonts w:hAnsi="新細明體" w:hint="eastAsia"/>
          <w:color w:val="000000"/>
        </w:rPr>
        <w:lastRenderedPageBreak/>
        <w:t>長，不過其中，</w:t>
      </w:r>
      <w:r>
        <w:rPr>
          <w:rFonts w:hAnsi="新細明體"/>
          <w:color w:val="000000"/>
        </w:rPr>
        <w:t>「本案勝訴可能性」</w:t>
      </w:r>
      <w:r>
        <w:rPr>
          <w:rFonts w:hAnsi="新細明體" w:hint="eastAsia"/>
          <w:color w:val="000000"/>
        </w:rPr>
        <w:t>與</w:t>
      </w:r>
      <w:r>
        <w:rPr>
          <w:rFonts w:hAnsi="新細明體"/>
          <w:color w:val="000000"/>
        </w:rPr>
        <w:t>「權衡雙方當事人間所受損害」</w:t>
      </w:r>
      <w:r>
        <w:rPr>
          <w:rFonts w:hAnsi="新細明體" w:hint="eastAsia"/>
          <w:color w:val="000000"/>
        </w:rPr>
        <w:t>等</w:t>
      </w:r>
      <w:r>
        <w:rPr>
          <w:rFonts w:hAnsi="新細明體"/>
          <w:color w:val="000000"/>
        </w:rPr>
        <w:t>兩項因素</w:t>
      </w:r>
      <w:r>
        <w:rPr>
          <w:rFonts w:hAnsi="新細明體" w:hint="eastAsia"/>
          <w:color w:val="000000"/>
        </w:rPr>
        <w:t>如何相互調整其比例，則始終是爭議的焦點。在此，例如</w:t>
      </w:r>
      <w:r>
        <w:rPr>
          <w:rFonts w:hAnsi="新細明體"/>
          <w:color w:val="000000"/>
        </w:rPr>
        <w:t>聯邦第七巡迴上訴法院之</w:t>
      </w:r>
      <w:r>
        <w:rPr>
          <w:i/>
          <w:color w:val="000000"/>
        </w:rPr>
        <w:t>Richard A. Posner</w:t>
      </w:r>
      <w:r>
        <w:rPr>
          <w:rFonts w:hAnsi="新細明體"/>
          <w:color w:val="000000"/>
        </w:rPr>
        <w:t>法官</w:t>
      </w:r>
      <w:r>
        <w:rPr>
          <w:rFonts w:hAnsi="新細明體" w:hint="eastAsia"/>
          <w:color w:val="000000"/>
        </w:rPr>
        <w:t>，</w:t>
      </w:r>
      <w:proofErr w:type="gramStart"/>
      <w:r>
        <w:rPr>
          <w:rFonts w:hAnsi="新細明體" w:hint="eastAsia"/>
          <w:color w:val="000000"/>
        </w:rPr>
        <w:t>極</w:t>
      </w:r>
      <w:proofErr w:type="gramEnd"/>
      <w:r>
        <w:rPr>
          <w:rFonts w:hAnsi="新細明體" w:hint="eastAsia"/>
          <w:color w:val="000000"/>
        </w:rPr>
        <w:t>強力</w:t>
      </w:r>
      <w:r>
        <w:rPr>
          <w:rFonts w:hAnsi="新細明體"/>
          <w:color w:val="000000"/>
        </w:rPr>
        <w:t>主張「比例調整法（</w:t>
      </w:r>
      <w:r>
        <w:rPr>
          <w:color w:val="000000"/>
        </w:rPr>
        <w:t>sliding-scale method</w:t>
      </w:r>
      <w:r>
        <w:rPr>
          <w:rFonts w:hAnsi="新細明體"/>
          <w:color w:val="000000"/>
        </w:rPr>
        <w:t>）」</w:t>
      </w:r>
      <w:r>
        <w:rPr>
          <w:rFonts w:hAnsi="新細明體" w:hint="eastAsia"/>
          <w:color w:val="000000"/>
        </w:rPr>
        <w:t>，並且</w:t>
      </w:r>
      <w:r>
        <w:rPr>
          <w:rFonts w:hAnsi="新細明體"/>
          <w:color w:val="000000"/>
        </w:rPr>
        <w:t>為</w:t>
      </w:r>
      <w:r>
        <w:rPr>
          <w:rFonts w:hAnsi="新細明體" w:hint="eastAsia"/>
          <w:color w:val="000000"/>
        </w:rPr>
        <w:t>其</w:t>
      </w:r>
      <w:r>
        <w:rPr>
          <w:rFonts w:hAnsi="新細明體"/>
          <w:color w:val="000000"/>
        </w:rPr>
        <w:t>理論提供一</w:t>
      </w:r>
      <w:r>
        <w:rPr>
          <w:rFonts w:hAnsi="新細明體" w:hint="eastAsia"/>
          <w:color w:val="000000"/>
        </w:rPr>
        <w:t>套</w:t>
      </w:r>
      <w:r>
        <w:rPr>
          <w:rFonts w:hAnsi="新細明體"/>
          <w:color w:val="000000"/>
        </w:rPr>
        <w:t>公式</w:t>
      </w:r>
      <w:r>
        <w:rPr>
          <w:rFonts w:hAnsi="新細明體" w:hint="eastAsia"/>
          <w:color w:val="000000"/>
        </w:rPr>
        <w:t>；亦</w:t>
      </w:r>
      <w:r>
        <w:rPr>
          <w:rFonts w:hAnsi="新細明體"/>
          <w:color w:val="000000"/>
        </w:rPr>
        <w:t>即</w:t>
      </w:r>
      <w:r>
        <w:rPr>
          <w:rFonts w:hAnsi="新細明體" w:hint="eastAsia"/>
          <w:color w:val="000000"/>
        </w:rPr>
        <w:t>僅有在</w:t>
      </w:r>
      <w:r>
        <w:rPr>
          <w:rFonts w:hAnsi="新細明體"/>
          <w:color w:val="000000"/>
        </w:rPr>
        <w:t>「</w:t>
      </w:r>
      <w:r>
        <w:rPr>
          <w:color w:val="000000"/>
        </w:rPr>
        <w:t>P×Hp</w:t>
      </w:r>
      <w:r>
        <w:rPr>
          <w:rFonts w:hint="eastAsia"/>
          <w:color w:val="000000"/>
        </w:rPr>
        <w:t xml:space="preserve"> &gt; </w:t>
      </w:r>
      <w:r>
        <w:rPr>
          <w:color w:val="000000"/>
        </w:rPr>
        <w:t>(1</w:t>
      </w:r>
      <w:r>
        <w:rPr>
          <w:color w:val="000000"/>
        </w:rPr>
        <w:t>－</w:t>
      </w:r>
      <w:r>
        <w:rPr>
          <w:color w:val="000000"/>
        </w:rPr>
        <w:t>P)×Hd</w:t>
      </w:r>
      <w:r>
        <w:rPr>
          <w:rFonts w:hAnsi="新細明體"/>
          <w:color w:val="000000"/>
        </w:rPr>
        <w:t>」</w:t>
      </w:r>
      <w:r>
        <w:rPr>
          <w:rFonts w:hAnsi="新細明體" w:hint="eastAsia"/>
          <w:color w:val="000000"/>
        </w:rPr>
        <w:t>的</w:t>
      </w:r>
      <w:r>
        <w:rPr>
          <w:rFonts w:hAnsi="新細明體"/>
          <w:color w:val="000000"/>
        </w:rPr>
        <w:t>情形始得作成暫時禁制令</w:t>
      </w:r>
      <w:r>
        <w:rPr>
          <w:rFonts w:hAnsi="新細明體" w:hint="eastAsia"/>
          <w:color w:val="000000"/>
        </w:rPr>
        <w:t>。其中，</w:t>
      </w:r>
      <w:r>
        <w:rPr>
          <w:color w:val="000000"/>
        </w:rPr>
        <w:t>P</w:t>
      </w:r>
      <w:r>
        <w:rPr>
          <w:rFonts w:hAnsi="新細明體"/>
          <w:color w:val="000000"/>
        </w:rPr>
        <w:t>代表勝訴可能性</w:t>
      </w:r>
      <w:r>
        <w:rPr>
          <w:rFonts w:hAnsi="新細明體" w:hint="eastAsia"/>
          <w:color w:val="000000"/>
        </w:rPr>
        <w:t>；</w:t>
      </w:r>
      <w:r>
        <w:rPr>
          <w:color w:val="000000"/>
        </w:rPr>
        <w:t>Hp</w:t>
      </w:r>
      <w:r>
        <w:rPr>
          <w:rFonts w:hAnsi="新細明體"/>
          <w:color w:val="000000"/>
        </w:rPr>
        <w:t>代表若拒絕作成暫時禁制令</w:t>
      </w:r>
      <w:r>
        <w:rPr>
          <w:rFonts w:hAnsi="新細明體" w:hint="eastAsia"/>
          <w:color w:val="000000"/>
        </w:rPr>
        <w:t>時，</w:t>
      </w:r>
      <w:r>
        <w:rPr>
          <w:rFonts w:hAnsi="新細明體"/>
          <w:color w:val="000000"/>
        </w:rPr>
        <w:t>原告所受之傷害</w:t>
      </w:r>
      <w:r>
        <w:rPr>
          <w:rFonts w:hAnsi="新細明體" w:hint="eastAsia"/>
          <w:color w:val="000000"/>
        </w:rPr>
        <w:t>；而</w:t>
      </w:r>
      <w:r>
        <w:rPr>
          <w:color w:val="000000"/>
        </w:rPr>
        <w:t>Hd</w:t>
      </w:r>
      <w:r>
        <w:rPr>
          <w:rFonts w:hint="eastAsia"/>
          <w:color w:val="000000"/>
        </w:rPr>
        <w:t>，則</w:t>
      </w:r>
      <w:r>
        <w:rPr>
          <w:rFonts w:hAnsi="新細明體"/>
          <w:color w:val="000000"/>
        </w:rPr>
        <w:t>代表若作成暫時禁制令</w:t>
      </w:r>
      <w:r>
        <w:rPr>
          <w:rFonts w:hAnsi="新細明體" w:hint="eastAsia"/>
          <w:color w:val="000000"/>
        </w:rPr>
        <w:t>時，</w:t>
      </w:r>
      <w:r>
        <w:rPr>
          <w:rFonts w:hAnsi="新細明體"/>
          <w:color w:val="000000"/>
        </w:rPr>
        <w:t>被告所受之傷害</w:t>
      </w:r>
      <w:r>
        <w:rPr>
          <w:rFonts w:hAnsi="新細明體" w:hint="eastAsia"/>
          <w:color w:val="000000"/>
        </w:rPr>
        <w:t>。</w:t>
      </w:r>
      <w:r>
        <w:rPr>
          <w:rFonts w:hAnsi="新細明體"/>
          <w:color w:val="000000"/>
        </w:rPr>
        <w:t>由於暫時禁制令之作成</w:t>
      </w:r>
      <w:r>
        <w:rPr>
          <w:rFonts w:hAnsi="新細明體" w:hint="eastAsia"/>
          <w:color w:val="000000"/>
        </w:rPr>
        <w:t>，</w:t>
      </w:r>
      <w:r>
        <w:rPr>
          <w:rFonts w:hAnsi="新細明體"/>
          <w:color w:val="000000"/>
        </w:rPr>
        <w:t>貴在迅速，在欠缺足夠資訊的情形下</w:t>
      </w:r>
      <w:r>
        <w:rPr>
          <w:rFonts w:hAnsi="新細明體" w:hint="eastAsia"/>
          <w:color w:val="000000"/>
        </w:rPr>
        <w:t>，</w:t>
      </w:r>
      <w:r>
        <w:rPr>
          <w:rFonts w:hAnsi="新細明體"/>
          <w:color w:val="000000"/>
        </w:rPr>
        <w:t>誤判之風險極高，</w:t>
      </w:r>
      <w:r>
        <w:rPr>
          <w:rFonts w:hAnsi="新細明體" w:hint="eastAsia"/>
          <w:color w:val="000000"/>
        </w:rPr>
        <w:t>因此</w:t>
      </w:r>
      <w:r>
        <w:rPr>
          <w:rFonts w:hAnsi="新細明體"/>
          <w:color w:val="000000"/>
        </w:rPr>
        <w:t>法官必須比較誤判可能造成</w:t>
      </w:r>
      <w:r>
        <w:rPr>
          <w:rFonts w:hAnsi="新細明體" w:hint="eastAsia"/>
          <w:color w:val="000000"/>
        </w:rPr>
        <w:t>的</w:t>
      </w:r>
      <w:r>
        <w:rPr>
          <w:rFonts w:hAnsi="新細明體"/>
          <w:color w:val="000000"/>
        </w:rPr>
        <w:t>成本</w:t>
      </w:r>
      <w:r>
        <w:rPr>
          <w:rStyle w:val="a3"/>
          <w:color w:val="000000"/>
        </w:rPr>
        <w:footnoteReference w:id="26"/>
      </w:r>
      <w:r>
        <w:rPr>
          <w:rFonts w:hAnsi="新細明體"/>
          <w:color w:val="000000"/>
        </w:rPr>
        <w:t>。</w:t>
      </w:r>
      <w:r>
        <w:rPr>
          <w:i/>
          <w:color w:val="000000"/>
        </w:rPr>
        <w:t>Posner</w:t>
      </w:r>
      <w:r>
        <w:rPr>
          <w:rFonts w:hAnsi="新細明體"/>
          <w:color w:val="000000"/>
        </w:rPr>
        <w:t>法官</w:t>
      </w:r>
      <w:r>
        <w:rPr>
          <w:rFonts w:hAnsi="新細明體" w:hint="eastAsia"/>
          <w:color w:val="000000"/>
        </w:rPr>
        <w:t>，最後甚至在</w:t>
      </w:r>
      <w:r>
        <w:rPr>
          <w:color w:val="000000"/>
        </w:rPr>
        <w:t>American Hospital Supply Corporation v. Hosp. Products Ltd.</w:t>
      </w:r>
      <w:r>
        <w:rPr>
          <w:rFonts w:hAnsi="新細明體"/>
          <w:color w:val="000000"/>
        </w:rPr>
        <w:t>案</w:t>
      </w:r>
      <w:r>
        <w:rPr>
          <w:rStyle w:val="a3"/>
          <w:color w:val="000000"/>
        </w:rPr>
        <w:footnoteReference w:id="27"/>
      </w:r>
      <w:r>
        <w:rPr>
          <w:rFonts w:hAnsi="新細明體"/>
          <w:color w:val="000000"/>
        </w:rPr>
        <w:t>中採取此一見解。</w:t>
      </w:r>
    </w:p>
    <w:p w:rsidR="009468A2" w:rsidRDefault="009468A2" w:rsidP="009468A2">
      <w:pPr>
        <w:pStyle w:val="a6"/>
        <w:spacing w:afterLines="50" w:after="180" w:line="288" w:lineRule="auto"/>
        <w:ind w:firstLine="480"/>
        <w:rPr>
          <w:rFonts w:hAnsi="新細明體" w:hint="eastAsia"/>
          <w:color w:val="000000"/>
        </w:rPr>
      </w:pPr>
      <w:r>
        <w:rPr>
          <w:rFonts w:hint="eastAsia"/>
          <w:color w:val="000000"/>
        </w:rPr>
        <w:t>雖然</w:t>
      </w:r>
      <w:r>
        <w:rPr>
          <w:i/>
          <w:color w:val="000000"/>
        </w:rPr>
        <w:t>Posner</w:t>
      </w:r>
      <w:r>
        <w:rPr>
          <w:rFonts w:hAnsi="新細明體"/>
          <w:color w:val="000000"/>
        </w:rPr>
        <w:t>法官</w:t>
      </w:r>
      <w:r>
        <w:rPr>
          <w:rFonts w:hAnsi="新細明體" w:hint="eastAsia"/>
          <w:color w:val="000000"/>
        </w:rPr>
        <w:t>的理論在美國法學界，未必通說，不過，從各個法院的爭論中，類似前開德國法中</w:t>
      </w:r>
      <w:r>
        <w:rPr>
          <w:rFonts w:hint="eastAsia"/>
          <w:color w:val="000000"/>
        </w:rPr>
        <w:t>「略式審查」與「利益衡量」如何調和，顯然正是關鍵。因此，從以上美國法的比較，吾人似能肯定，德國法制的</w:t>
      </w:r>
      <w:r>
        <w:rPr>
          <w:rFonts w:hAnsi="新細明體" w:hint="eastAsia"/>
          <w:color w:val="000000"/>
        </w:rPr>
        <w:t>「階段化審查」模式，至少在目前似乎是一套完整，而足供我國行政爭</w:t>
      </w:r>
      <w:proofErr w:type="gramStart"/>
      <w:r>
        <w:rPr>
          <w:rFonts w:hAnsi="新細明體" w:hint="eastAsia"/>
          <w:color w:val="000000"/>
        </w:rPr>
        <w:t>訟</w:t>
      </w:r>
      <w:proofErr w:type="gramEnd"/>
      <w:r>
        <w:rPr>
          <w:rFonts w:hAnsi="新細明體" w:hint="eastAsia"/>
          <w:color w:val="000000"/>
        </w:rPr>
        <w:t>法學界作為比較法援引的停止執行之實質審查標準。保訓會今後依據公務人員保障法第</w:t>
      </w:r>
      <w:r>
        <w:rPr>
          <w:rFonts w:hAnsi="新細明體" w:hint="eastAsia"/>
          <w:color w:val="000000"/>
        </w:rPr>
        <w:t>89</w:t>
      </w:r>
      <w:r>
        <w:rPr>
          <w:rFonts w:hAnsi="新細明體" w:hint="eastAsia"/>
          <w:color w:val="000000"/>
        </w:rPr>
        <w:t>條第</w:t>
      </w:r>
      <w:r>
        <w:rPr>
          <w:rFonts w:hAnsi="新細明體" w:hint="eastAsia"/>
          <w:color w:val="000000"/>
        </w:rPr>
        <w:t>2</w:t>
      </w:r>
      <w:r>
        <w:rPr>
          <w:rFonts w:hAnsi="新細明體" w:hint="eastAsia"/>
          <w:color w:val="000000"/>
        </w:rPr>
        <w:t>項，審查停止執行之准否決定時，應可作為一般性原則的主要參考。</w:t>
      </w:r>
    </w:p>
    <w:p w:rsidR="009468A2" w:rsidRDefault="009468A2" w:rsidP="009468A2">
      <w:pPr>
        <w:pStyle w:val="a6"/>
        <w:spacing w:afterLines="50" w:after="180" w:line="288" w:lineRule="auto"/>
        <w:ind w:firstLine="480"/>
        <w:rPr>
          <w:rFonts w:hAnsi="新細明體" w:hint="eastAsia"/>
          <w:color w:val="000000"/>
        </w:rPr>
      </w:pPr>
      <w:r>
        <w:rPr>
          <w:rFonts w:hAnsi="新細明體" w:hint="eastAsia"/>
          <w:color w:val="000000"/>
        </w:rPr>
        <w:t>又，這個一般性原則，基本上也能適用在同法第</w:t>
      </w:r>
      <w:r>
        <w:rPr>
          <w:rFonts w:hAnsi="新細明體" w:hint="eastAsia"/>
          <w:color w:val="000000"/>
        </w:rPr>
        <w:t>90</w:t>
      </w:r>
      <w:r>
        <w:rPr>
          <w:rFonts w:hAnsi="新細明體" w:hint="eastAsia"/>
          <w:color w:val="000000"/>
        </w:rPr>
        <w:t>條有關撤銷停止執行之審查中。因為依依據該條規定，「</w:t>
      </w:r>
      <w:r>
        <w:rPr>
          <w:rFonts w:ascii="標楷體" w:eastAsia="標楷體" w:hAnsi="標楷體"/>
          <w:color w:val="000000"/>
        </w:rPr>
        <w:t>停止執行之原因消滅，或有其他情事變更之情形，保訓會…得依職權或依申請撤銷停止執行</w:t>
      </w:r>
      <w:r>
        <w:rPr>
          <w:rFonts w:hAnsi="新細明體" w:hint="eastAsia"/>
          <w:color w:val="000000"/>
        </w:rPr>
        <w:t>」；既然條文在此，將「</w:t>
      </w:r>
      <w:r>
        <w:rPr>
          <w:rFonts w:ascii="新細明體" w:hAnsi="新細明體"/>
          <w:color w:val="000000"/>
        </w:rPr>
        <w:t>停止執行之原因消滅</w:t>
      </w:r>
      <w:r>
        <w:rPr>
          <w:rFonts w:ascii="新細明體" w:hAnsi="新細明體" w:hint="eastAsia"/>
          <w:color w:val="000000"/>
        </w:rPr>
        <w:t>」及「</w:t>
      </w:r>
      <w:r>
        <w:rPr>
          <w:rFonts w:ascii="新細明體" w:hAnsi="新細明體"/>
          <w:color w:val="000000"/>
        </w:rPr>
        <w:t>情事變更</w:t>
      </w:r>
      <w:r>
        <w:rPr>
          <w:rFonts w:hAnsi="新細明體" w:hint="eastAsia"/>
          <w:color w:val="000000"/>
        </w:rPr>
        <w:t>」同時列為保訓會等「依職權」得撤銷停止執行的事由，立法者顯然有意將</w:t>
      </w:r>
      <w:r>
        <w:rPr>
          <w:rFonts w:ascii="新細明體" w:hAnsi="新細明體"/>
          <w:color w:val="000000"/>
        </w:rPr>
        <w:t>情事變更</w:t>
      </w:r>
      <w:r>
        <w:rPr>
          <w:rFonts w:ascii="新細明體" w:hAnsi="新細明體" w:hint="eastAsia"/>
          <w:color w:val="000000"/>
        </w:rPr>
        <w:t>外，單純只是保訓會因嗣後對同一事實與法律狀態的評價改變，而認為原</w:t>
      </w:r>
      <w:r>
        <w:rPr>
          <w:rFonts w:ascii="新細明體" w:hAnsi="新細明體"/>
          <w:color w:val="000000"/>
        </w:rPr>
        <w:t>停止執行之原因消滅</w:t>
      </w:r>
      <w:r>
        <w:rPr>
          <w:rFonts w:ascii="新細明體" w:hAnsi="新細明體" w:hint="eastAsia"/>
          <w:color w:val="000000"/>
        </w:rPr>
        <w:t>的情形，也列為得以</w:t>
      </w:r>
      <w:r>
        <w:rPr>
          <w:rFonts w:hAnsi="新細明體" w:hint="eastAsia"/>
          <w:color w:val="000000"/>
        </w:rPr>
        <w:t>撤銷停止執行的事由，所以如此的撤銷停止執行程序，其實即為原停止執行程序之再開。</w:t>
      </w:r>
      <w:proofErr w:type="gramStart"/>
      <w:r>
        <w:rPr>
          <w:rFonts w:hAnsi="新細明體" w:hint="eastAsia"/>
          <w:color w:val="000000"/>
        </w:rPr>
        <w:t>準</w:t>
      </w:r>
      <w:proofErr w:type="gramEnd"/>
      <w:r>
        <w:rPr>
          <w:rFonts w:hAnsi="新細明體" w:hint="eastAsia"/>
          <w:color w:val="000000"/>
        </w:rPr>
        <w:t>此，保訓會亦得再依前開「階段化審查」模式，重新針對停止執行之實質要件再作審查，以決定原先的停止執行是否應依同一事實之新的審查結果而撤銷。當然，在屬於真正情事變更的情形，保訓會更得依該同法第</w:t>
      </w:r>
      <w:r>
        <w:rPr>
          <w:rFonts w:hAnsi="新細明體" w:hint="eastAsia"/>
          <w:color w:val="000000"/>
        </w:rPr>
        <w:t>90</w:t>
      </w:r>
      <w:r>
        <w:rPr>
          <w:rFonts w:hAnsi="新細明體" w:hint="eastAsia"/>
          <w:color w:val="000000"/>
        </w:rPr>
        <w:t>條以「階段化審查」模式重新決定原停止執行是否撤銷，自不待言。</w:t>
      </w:r>
    </w:p>
    <w:p w:rsidR="009468A2" w:rsidRDefault="009468A2" w:rsidP="009468A2">
      <w:pPr>
        <w:pStyle w:val="a6"/>
        <w:spacing w:after="0" w:line="288" w:lineRule="auto"/>
        <w:ind w:firstLine="480"/>
        <w:rPr>
          <w:rFonts w:hint="eastAsia"/>
          <w:color w:val="000000"/>
        </w:rPr>
      </w:pPr>
      <w:r>
        <w:rPr>
          <w:rFonts w:hint="eastAsia"/>
          <w:color w:val="000000"/>
        </w:rPr>
        <w:lastRenderedPageBreak/>
        <w:t>最後比較有</w:t>
      </w:r>
      <w:proofErr w:type="gramStart"/>
      <w:r>
        <w:rPr>
          <w:rFonts w:hint="eastAsia"/>
          <w:color w:val="000000"/>
        </w:rPr>
        <w:t>疑</w:t>
      </w:r>
      <w:proofErr w:type="gramEnd"/>
      <w:r>
        <w:rPr>
          <w:rFonts w:hint="eastAsia"/>
          <w:color w:val="000000"/>
        </w:rPr>
        <w:t>的是：在如此的原則下，保訓會的停止執行實務，是否尚有其他特殊個案，而須加注意者？關於這個問題，本研究報告分以下「貳」、「參」兩點，進一步說明：</w:t>
      </w:r>
    </w:p>
    <w:p w:rsidR="009468A2" w:rsidRDefault="009468A2" w:rsidP="009468A2">
      <w:pPr>
        <w:pStyle w:val="a6"/>
        <w:spacing w:after="0" w:line="288" w:lineRule="auto"/>
        <w:ind w:firstLine="480"/>
        <w:rPr>
          <w:rFonts w:hint="eastAsia"/>
          <w:color w:val="000000"/>
        </w:rPr>
      </w:pPr>
    </w:p>
    <w:p w:rsidR="009468A2" w:rsidRDefault="009468A2" w:rsidP="009468A2">
      <w:pPr>
        <w:pStyle w:val="a6"/>
        <w:spacing w:after="0" w:line="288" w:lineRule="auto"/>
        <w:ind w:firstLine="480"/>
        <w:rPr>
          <w:rFonts w:hint="eastAsia"/>
          <w:color w:val="000000"/>
        </w:rPr>
      </w:pPr>
    </w:p>
    <w:p w:rsidR="009468A2" w:rsidRDefault="009468A2" w:rsidP="009468A2">
      <w:pPr>
        <w:widowControl/>
        <w:spacing w:afterLines="50" w:after="180" w:line="288" w:lineRule="auto"/>
        <w:ind w:leftChars="100" w:left="881" w:hangingChars="200" w:hanging="641"/>
        <w:jc w:val="both"/>
        <w:rPr>
          <w:rFonts w:hint="eastAsia"/>
          <w:b/>
          <w:color w:val="000000"/>
          <w:sz w:val="32"/>
          <w:szCs w:val="32"/>
        </w:rPr>
      </w:pPr>
      <w:r>
        <w:rPr>
          <w:rFonts w:hint="eastAsia"/>
          <w:b/>
          <w:color w:val="000000"/>
          <w:sz w:val="32"/>
          <w:szCs w:val="32"/>
        </w:rPr>
        <w:t>貳　關於金錢爭</w:t>
      </w:r>
      <w:proofErr w:type="gramStart"/>
      <w:r>
        <w:rPr>
          <w:rFonts w:hint="eastAsia"/>
          <w:b/>
          <w:color w:val="000000"/>
          <w:sz w:val="32"/>
          <w:szCs w:val="32"/>
        </w:rPr>
        <w:t>訟</w:t>
      </w:r>
      <w:proofErr w:type="gramEnd"/>
      <w:r>
        <w:rPr>
          <w:rFonts w:hint="eastAsia"/>
          <w:b/>
          <w:color w:val="000000"/>
          <w:sz w:val="32"/>
          <w:szCs w:val="32"/>
        </w:rPr>
        <w:t>問題</w:t>
      </w:r>
    </w:p>
    <w:p w:rsidR="009468A2" w:rsidRDefault="009468A2" w:rsidP="009468A2">
      <w:pPr>
        <w:pStyle w:val="a6"/>
        <w:spacing w:afterLines="50" w:after="180" w:line="288" w:lineRule="auto"/>
        <w:ind w:firstLine="480"/>
        <w:rPr>
          <w:rFonts w:hint="eastAsia"/>
          <w:color w:val="000000"/>
        </w:rPr>
      </w:pPr>
      <w:r>
        <w:rPr>
          <w:rFonts w:hint="eastAsia"/>
          <w:color w:val="000000"/>
        </w:rPr>
        <w:t>現行保訓會所主掌的公務人員保障事件，實務上雖然類型繁多，但或可依公務人員所爭執的案件是否涉及金錢問題為標準，而區分「金錢爭</w:t>
      </w:r>
      <w:proofErr w:type="gramStart"/>
      <w:r>
        <w:rPr>
          <w:rFonts w:hint="eastAsia"/>
          <w:color w:val="000000"/>
        </w:rPr>
        <w:t>訟</w:t>
      </w:r>
      <w:proofErr w:type="gramEnd"/>
      <w:r>
        <w:rPr>
          <w:rFonts w:hint="eastAsia"/>
          <w:color w:val="000000"/>
        </w:rPr>
        <w:t>」及「非金錢爭</w:t>
      </w:r>
      <w:proofErr w:type="gramStart"/>
      <w:r>
        <w:rPr>
          <w:rFonts w:hint="eastAsia"/>
          <w:color w:val="000000"/>
        </w:rPr>
        <w:t>訟</w:t>
      </w:r>
      <w:proofErr w:type="gramEnd"/>
      <w:r>
        <w:rPr>
          <w:rFonts w:hint="eastAsia"/>
          <w:color w:val="000000"/>
        </w:rPr>
        <w:t>」等兩大類型</w:t>
      </w:r>
      <w:r>
        <w:rPr>
          <w:rStyle w:val="a3"/>
          <w:color w:val="000000"/>
        </w:rPr>
        <w:footnoteReference w:id="28"/>
      </w:r>
      <w:r>
        <w:rPr>
          <w:rFonts w:hint="eastAsia"/>
          <w:color w:val="000000"/>
        </w:rPr>
        <w:t>。其中，在涉及金錢爭</w:t>
      </w:r>
      <w:proofErr w:type="gramStart"/>
      <w:r>
        <w:rPr>
          <w:rFonts w:hint="eastAsia"/>
          <w:color w:val="000000"/>
        </w:rPr>
        <w:t>訟</w:t>
      </w:r>
      <w:proofErr w:type="gramEnd"/>
      <w:r>
        <w:rPr>
          <w:rFonts w:hint="eastAsia"/>
          <w:color w:val="000000"/>
        </w:rPr>
        <w:t>，例如原處分機關或服務機關向公務人員請求公法上不當</w:t>
      </w:r>
      <w:proofErr w:type="gramStart"/>
      <w:r>
        <w:rPr>
          <w:rFonts w:hint="eastAsia"/>
          <w:color w:val="000000"/>
        </w:rPr>
        <w:t>得利返還</w:t>
      </w:r>
      <w:proofErr w:type="gramEnd"/>
      <w:r>
        <w:rPr>
          <w:rFonts w:hint="eastAsia"/>
          <w:color w:val="000000"/>
        </w:rPr>
        <w:t>，抑或基於懲戒性質以外剋扣公務人員將受領之金錢給付等案件的停止執行方面，處分相對人之財產將因執行而遭受不利時，最常見的爭議為，該金錢價額之請求</w:t>
      </w:r>
      <w:proofErr w:type="gramStart"/>
      <w:r>
        <w:rPr>
          <w:rFonts w:hint="eastAsia"/>
          <w:color w:val="000000"/>
        </w:rPr>
        <w:t>返還或像</w:t>
      </w:r>
      <w:proofErr w:type="gramEnd"/>
      <w:r>
        <w:rPr>
          <w:rFonts w:hint="eastAsia"/>
          <w:color w:val="000000"/>
        </w:rPr>
        <w:t>將來剋扣的實際執行，是否有「難以回復之損害」的判斷問題。在我國行政法院的實務，凡涉及有關人民財產或其他金錢問題的停止執行之聲請案件時，法院常以該案件之本案救濟，縱使有嗣後確定為原處分違法而撤銷之情形，既已執行的標的</w:t>
      </w:r>
      <w:proofErr w:type="gramStart"/>
      <w:r>
        <w:rPr>
          <w:rFonts w:hint="eastAsia"/>
          <w:color w:val="000000"/>
        </w:rPr>
        <w:t>仍可返還</w:t>
      </w:r>
      <w:proofErr w:type="gramEnd"/>
      <w:r>
        <w:rPr>
          <w:rFonts w:hint="eastAsia"/>
          <w:color w:val="000000"/>
        </w:rPr>
        <w:t>予當事人，並「無難以回復之損害」為由，逕自駁回當事人之聲請。這種見解，非無疑問</w:t>
      </w:r>
      <w:r>
        <w:rPr>
          <w:rStyle w:val="a3"/>
          <w:color w:val="000000"/>
        </w:rPr>
        <w:footnoteReference w:id="29"/>
      </w:r>
      <w:r>
        <w:rPr>
          <w:rFonts w:hint="eastAsia"/>
          <w:color w:val="000000"/>
        </w:rPr>
        <w:t>；因為依據本研究報告前開所主張的階段化審查模式中，所謂「執行將發生難以回復之損害」縱屬在利益衡量過程中相當重要的考慮因素，但該因素絕非以該財產本身的價額高低，抑或嗣後是否可以有效歸還或給付該財產為內容。相反地，所謂「執行將發生難以回復之損害」，應指當事人因執行之所失（含事前已取得，抑或事後可取得者），將造成其經濟生活不堪回復而言。換言之，當事人因處分之執行而陷於生存困難或高度債信危機時，則即應相當公務人員保障法第</w:t>
      </w:r>
      <w:r>
        <w:rPr>
          <w:rFonts w:hint="eastAsia"/>
          <w:color w:val="000000"/>
        </w:rPr>
        <w:t>89</w:t>
      </w:r>
      <w:r>
        <w:rPr>
          <w:rFonts w:hint="eastAsia"/>
          <w:color w:val="000000"/>
        </w:rPr>
        <w:t>條第</w:t>
      </w:r>
      <w:r>
        <w:rPr>
          <w:rFonts w:hint="eastAsia"/>
          <w:color w:val="000000"/>
        </w:rPr>
        <w:t>2</w:t>
      </w:r>
      <w:r>
        <w:rPr>
          <w:rFonts w:hint="eastAsia"/>
          <w:color w:val="000000"/>
        </w:rPr>
        <w:t>項所稱的「</w:t>
      </w:r>
      <w:r>
        <w:rPr>
          <w:rFonts w:ascii="標楷體" w:eastAsia="標楷體" w:hAnsi="標楷體" w:hint="eastAsia"/>
          <w:color w:val="000000"/>
        </w:rPr>
        <w:t>執行將發生難以回復之損害</w:t>
      </w:r>
      <w:r>
        <w:rPr>
          <w:rFonts w:ascii="標楷體" w:eastAsia="標楷體" w:hAnsi="標楷體"/>
          <w:color w:val="000000"/>
        </w:rPr>
        <w:t>…</w:t>
      </w:r>
      <w:r>
        <w:rPr>
          <w:rFonts w:hint="eastAsia"/>
          <w:color w:val="000000"/>
        </w:rPr>
        <w:t>」。畢竟這種當事人之生活因此潦倒，抑或其</w:t>
      </w:r>
      <w:proofErr w:type="gramStart"/>
      <w:r>
        <w:rPr>
          <w:rFonts w:hint="eastAsia"/>
          <w:color w:val="000000"/>
        </w:rPr>
        <w:t>所背債信</w:t>
      </w:r>
      <w:proofErr w:type="gramEnd"/>
      <w:r>
        <w:rPr>
          <w:rFonts w:hint="eastAsia"/>
          <w:color w:val="000000"/>
        </w:rPr>
        <w:t>將發生重大危機的情形，絕非原已執行之金錢的嗣後</w:t>
      </w:r>
      <w:proofErr w:type="gramStart"/>
      <w:r>
        <w:rPr>
          <w:rFonts w:hint="eastAsia"/>
          <w:color w:val="000000"/>
        </w:rPr>
        <w:t>返還或回溯</w:t>
      </w:r>
      <w:proofErr w:type="gramEnd"/>
      <w:r>
        <w:rPr>
          <w:rFonts w:hint="eastAsia"/>
          <w:color w:val="000000"/>
        </w:rPr>
        <w:t>地重為給付即能立即解決；從而在有關「執行將發生難以回復之損害」的判斷，絕不應單純地</w:t>
      </w:r>
      <w:proofErr w:type="gramStart"/>
      <w:r>
        <w:rPr>
          <w:rFonts w:hint="eastAsia"/>
          <w:color w:val="000000"/>
        </w:rPr>
        <w:t>繫</w:t>
      </w:r>
      <w:proofErr w:type="gramEnd"/>
      <w:r>
        <w:rPr>
          <w:rFonts w:hint="eastAsia"/>
          <w:color w:val="000000"/>
        </w:rPr>
        <w:t>諸該所涉金額的高低，抑或</w:t>
      </w:r>
      <w:proofErr w:type="gramStart"/>
      <w:r>
        <w:rPr>
          <w:rFonts w:hint="eastAsia"/>
          <w:color w:val="000000"/>
        </w:rPr>
        <w:t>返還或重</w:t>
      </w:r>
      <w:proofErr w:type="gramEnd"/>
      <w:r>
        <w:rPr>
          <w:rFonts w:hint="eastAsia"/>
          <w:color w:val="000000"/>
        </w:rPr>
        <w:t>為給付的可能。這一點，應屬保訓會在金錢爭</w:t>
      </w:r>
      <w:proofErr w:type="gramStart"/>
      <w:r>
        <w:rPr>
          <w:rFonts w:hint="eastAsia"/>
          <w:color w:val="000000"/>
        </w:rPr>
        <w:t>訟</w:t>
      </w:r>
      <w:proofErr w:type="gramEnd"/>
      <w:r>
        <w:rPr>
          <w:rFonts w:hint="eastAsia"/>
          <w:color w:val="000000"/>
        </w:rPr>
        <w:t>之停止執行程序上必須嚴加注意的問題。</w:t>
      </w:r>
    </w:p>
    <w:p w:rsidR="009468A2" w:rsidRDefault="009468A2" w:rsidP="009468A2">
      <w:pPr>
        <w:pStyle w:val="a6"/>
        <w:spacing w:afterLines="50" w:after="180" w:line="288" w:lineRule="auto"/>
        <w:ind w:firstLine="480"/>
        <w:rPr>
          <w:rFonts w:hint="eastAsia"/>
          <w:color w:val="000000"/>
        </w:rPr>
      </w:pPr>
      <w:r>
        <w:rPr>
          <w:rFonts w:hint="eastAsia"/>
          <w:color w:val="000000"/>
        </w:rPr>
        <w:lastRenderedPageBreak/>
        <w:t>或謂：在有關金錢爭</w:t>
      </w:r>
      <w:proofErr w:type="gramStart"/>
      <w:r>
        <w:rPr>
          <w:rFonts w:hint="eastAsia"/>
          <w:color w:val="000000"/>
        </w:rPr>
        <w:t>訟</w:t>
      </w:r>
      <w:proofErr w:type="gramEnd"/>
      <w:r>
        <w:rPr>
          <w:rFonts w:hint="eastAsia"/>
          <w:color w:val="000000"/>
        </w:rPr>
        <w:t>之停止執行的實質審查標準中，若金錢價額高低或其他客觀情事相同的案件，卻將「執行將發生難以回復之損害」如上所言，</w:t>
      </w:r>
      <w:proofErr w:type="gramStart"/>
      <w:r>
        <w:rPr>
          <w:rFonts w:hint="eastAsia"/>
          <w:color w:val="000000"/>
        </w:rPr>
        <w:t>繫</w:t>
      </w:r>
      <w:proofErr w:type="gramEnd"/>
      <w:r>
        <w:rPr>
          <w:rFonts w:hint="eastAsia"/>
          <w:color w:val="000000"/>
        </w:rPr>
        <w:t>諸不同當事人的主觀經濟狀況作判斷，而決定停止執行與否，是否將因人而異，違反平等原則？就此，本研究報告認為：所謂「平等原則」，本為等者等之，不等者不等之，並非強求差別待遇一律禁止（行政程序法第</w:t>
      </w:r>
      <w:r>
        <w:rPr>
          <w:rFonts w:hint="eastAsia"/>
          <w:color w:val="000000"/>
        </w:rPr>
        <w:t>6</w:t>
      </w:r>
      <w:r>
        <w:rPr>
          <w:rFonts w:hint="eastAsia"/>
          <w:color w:val="000000"/>
        </w:rPr>
        <w:t>條參照）；至於利益衡量，原更應</w:t>
      </w:r>
      <w:proofErr w:type="gramStart"/>
      <w:r>
        <w:rPr>
          <w:rFonts w:hint="eastAsia"/>
          <w:color w:val="000000"/>
        </w:rPr>
        <w:t>繫</w:t>
      </w:r>
      <w:proofErr w:type="gramEnd"/>
      <w:r>
        <w:rPr>
          <w:rFonts w:hint="eastAsia"/>
          <w:color w:val="000000"/>
        </w:rPr>
        <w:t>諸個案，並無絕對標準。</w:t>
      </w:r>
      <w:proofErr w:type="gramStart"/>
      <w:r>
        <w:rPr>
          <w:rFonts w:hint="eastAsia"/>
          <w:color w:val="000000"/>
        </w:rPr>
        <w:t>準</w:t>
      </w:r>
      <w:proofErr w:type="gramEnd"/>
      <w:r>
        <w:rPr>
          <w:rFonts w:hint="eastAsia"/>
          <w:color w:val="000000"/>
        </w:rPr>
        <w:t>此，不同案件間當事人的經濟狀況，導致不同的「執行將發生難以回復之損害」因素的判斷即因此所為的利益衡量，正是利益衡量須逐案處理的特點，自難謂違反平等原則。</w:t>
      </w:r>
    </w:p>
    <w:p w:rsidR="009468A2" w:rsidRDefault="009468A2" w:rsidP="009468A2">
      <w:pPr>
        <w:pStyle w:val="a6"/>
        <w:spacing w:after="0" w:line="288" w:lineRule="auto"/>
        <w:ind w:firstLine="480"/>
        <w:rPr>
          <w:rFonts w:hint="eastAsia"/>
          <w:color w:val="000000"/>
        </w:rPr>
      </w:pPr>
      <w:r>
        <w:rPr>
          <w:rFonts w:hint="eastAsia"/>
          <w:color w:val="000000"/>
        </w:rPr>
        <w:t>不過在另一方面，也正因為利益衡量，將可能如此地因人而異，所以本研究報告自始反對在有關停止執行之實質審查標準，以純粹的利益衡量模式為之：相反地，毋寧應先注意該利益衡量是否與實體法規範上的各種公、私利益之分配情形有太大的出入，而出現恣意的情形。本研究報告主張以「本案勝訴希望」之略式審查為第一步驟，乃至第二步驟的階段化審查模式，在此正表現出相關問題的控制性優點；因為這個審查的方式，多少得以確保當事人利益得失的結果，即使在以實體法為依據之本案未確定前的執行停止或不停之暫時狀態間，也不至於出現與實體法完全背離的現象。</w:t>
      </w:r>
    </w:p>
    <w:p w:rsidR="009468A2" w:rsidRDefault="009468A2" w:rsidP="009468A2">
      <w:pPr>
        <w:pStyle w:val="a6"/>
        <w:spacing w:after="0" w:line="288" w:lineRule="auto"/>
        <w:ind w:firstLine="480"/>
        <w:rPr>
          <w:rFonts w:hint="eastAsia"/>
          <w:color w:val="000000"/>
        </w:rPr>
      </w:pPr>
    </w:p>
    <w:p w:rsidR="009468A2" w:rsidRDefault="009468A2" w:rsidP="009468A2">
      <w:pPr>
        <w:pStyle w:val="a6"/>
        <w:spacing w:after="0" w:line="288" w:lineRule="auto"/>
        <w:ind w:firstLine="480"/>
        <w:rPr>
          <w:rFonts w:hint="eastAsia"/>
          <w:color w:val="000000"/>
        </w:rPr>
      </w:pPr>
    </w:p>
    <w:p w:rsidR="009468A2" w:rsidRDefault="009468A2" w:rsidP="009468A2">
      <w:pPr>
        <w:widowControl/>
        <w:spacing w:afterLines="50" w:after="180" w:line="288" w:lineRule="auto"/>
        <w:ind w:leftChars="100" w:left="881" w:hangingChars="200" w:hanging="641"/>
        <w:jc w:val="both"/>
        <w:rPr>
          <w:rFonts w:hint="eastAsia"/>
          <w:b/>
          <w:color w:val="000000"/>
          <w:sz w:val="32"/>
          <w:szCs w:val="32"/>
        </w:rPr>
      </w:pPr>
      <w:r>
        <w:rPr>
          <w:rFonts w:hint="eastAsia"/>
          <w:b/>
          <w:color w:val="000000"/>
          <w:sz w:val="32"/>
          <w:szCs w:val="32"/>
        </w:rPr>
        <w:t>參　關於非金錢爭</w:t>
      </w:r>
      <w:proofErr w:type="gramStart"/>
      <w:r>
        <w:rPr>
          <w:rFonts w:hint="eastAsia"/>
          <w:b/>
          <w:color w:val="000000"/>
          <w:sz w:val="32"/>
          <w:szCs w:val="32"/>
        </w:rPr>
        <w:t>訟</w:t>
      </w:r>
      <w:proofErr w:type="gramEnd"/>
      <w:r>
        <w:rPr>
          <w:rFonts w:hint="eastAsia"/>
          <w:b/>
          <w:color w:val="000000"/>
          <w:sz w:val="32"/>
          <w:szCs w:val="32"/>
        </w:rPr>
        <w:t>問題</w:t>
      </w:r>
    </w:p>
    <w:p w:rsidR="009468A2" w:rsidRDefault="009468A2" w:rsidP="009468A2">
      <w:pPr>
        <w:pStyle w:val="a6"/>
        <w:spacing w:afterLines="50" w:after="180" w:line="288" w:lineRule="auto"/>
        <w:ind w:firstLine="480"/>
        <w:rPr>
          <w:rFonts w:hint="eastAsia"/>
          <w:color w:val="000000"/>
        </w:rPr>
      </w:pPr>
      <w:r>
        <w:rPr>
          <w:rFonts w:hint="eastAsia"/>
          <w:color w:val="000000"/>
        </w:rPr>
        <w:t>在有關非金錢爭</w:t>
      </w:r>
      <w:proofErr w:type="gramStart"/>
      <w:r>
        <w:rPr>
          <w:rFonts w:hint="eastAsia"/>
          <w:color w:val="000000"/>
        </w:rPr>
        <w:t>訟</w:t>
      </w:r>
      <w:proofErr w:type="gramEnd"/>
      <w:r>
        <w:rPr>
          <w:rFonts w:hint="eastAsia"/>
          <w:color w:val="000000"/>
        </w:rPr>
        <w:t>方面，現行公務人員保障事件類型更多；惟若同時涉及保訓會之停止執行時，則實務上最具研究實益者，應屬針對複數公務人員互爭</w:t>
      </w:r>
      <w:proofErr w:type="gramStart"/>
      <w:r>
        <w:rPr>
          <w:rFonts w:hint="eastAsia"/>
          <w:color w:val="000000"/>
        </w:rPr>
        <w:t>陞</w:t>
      </w:r>
      <w:proofErr w:type="gramEnd"/>
      <w:r>
        <w:rPr>
          <w:rFonts w:hint="eastAsia"/>
          <w:color w:val="000000"/>
        </w:rPr>
        <w:t>遷、職位調動等問題的停止執行。</w:t>
      </w:r>
    </w:p>
    <w:p w:rsidR="009468A2" w:rsidRDefault="009468A2" w:rsidP="009468A2">
      <w:pPr>
        <w:pStyle w:val="a6"/>
        <w:spacing w:afterLines="50" w:after="180" w:line="288" w:lineRule="auto"/>
        <w:ind w:firstLine="480"/>
        <w:rPr>
          <w:rFonts w:hint="eastAsia"/>
          <w:color w:val="000000"/>
        </w:rPr>
      </w:pPr>
      <w:r>
        <w:rPr>
          <w:rFonts w:hint="eastAsia"/>
          <w:color w:val="000000"/>
        </w:rPr>
        <w:t>公務人員互爭</w:t>
      </w:r>
      <w:proofErr w:type="gramStart"/>
      <w:r>
        <w:rPr>
          <w:rFonts w:hint="eastAsia"/>
          <w:color w:val="000000"/>
        </w:rPr>
        <w:t>陞</w:t>
      </w:r>
      <w:proofErr w:type="gramEnd"/>
      <w:r>
        <w:rPr>
          <w:rFonts w:hint="eastAsia"/>
          <w:color w:val="000000"/>
        </w:rPr>
        <w:t>遷、職位調動等，如粥少僧多，甚至眾人競爭某一特定職位時，則最後</w:t>
      </w:r>
      <w:proofErr w:type="gramStart"/>
      <w:r>
        <w:rPr>
          <w:rFonts w:hint="eastAsia"/>
          <w:color w:val="000000"/>
        </w:rPr>
        <w:t>陞遷或</w:t>
      </w:r>
      <w:proofErr w:type="gramEnd"/>
      <w:r>
        <w:rPr>
          <w:rFonts w:hint="eastAsia"/>
          <w:color w:val="000000"/>
        </w:rPr>
        <w:t>調動的行政處分或其他處置雖以授益性質而落於勝選的公務員上，但就敗選者而言，仍具有不利的第三人效力（</w:t>
      </w:r>
      <w:r>
        <w:rPr>
          <w:rFonts w:hint="eastAsia"/>
          <w:color w:val="000000"/>
        </w:rPr>
        <w:t>Drittwirkung</w:t>
      </w:r>
      <w:r>
        <w:rPr>
          <w:rFonts w:hint="eastAsia"/>
          <w:color w:val="000000"/>
        </w:rPr>
        <w:t>）。此際，</w:t>
      </w:r>
      <w:proofErr w:type="gramStart"/>
      <w:r>
        <w:rPr>
          <w:rFonts w:hint="eastAsia"/>
          <w:color w:val="000000"/>
        </w:rPr>
        <w:t>若敗選</w:t>
      </w:r>
      <w:proofErr w:type="gramEnd"/>
      <w:r>
        <w:rPr>
          <w:rFonts w:hint="eastAsia"/>
          <w:color w:val="000000"/>
        </w:rPr>
        <w:t>者不服，至少必須先經由復審或申訴、再申訴等方式撤銷該處分或其他處置，始能藉機重開競爭的程序，以獲取可能的職位。針對這種由落敗者攻擊授與勝選者</w:t>
      </w:r>
      <w:proofErr w:type="gramStart"/>
      <w:r>
        <w:rPr>
          <w:rFonts w:hint="eastAsia"/>
          <w:color w:val="000000"/>
        </w:rPr>
        <w:t>陞遷或</w:t>
      </w:r>
      <w:proofErr w:type="gramEnd"/>
      <w:r>
        <w:rPr>
          <w:rFonts w:hint="eastAsia"/>
          <w:color w:val="000000"/>
        </w:rPr>
        <w:t>職位調動等處分或其他處置的所謂「第三人權利救濟（</w:t>
      </w:r>
      <w:r>
        <w:rPr>
          <w:rFonts w:hint="eastAsia"/>
          <w:color w:val="000000"/>
        </w:rPr>
        <w:t>Drittrechts</w:t>
      </w:r>
      <w:r>
        <w:rPr>
          <w:color w:val="000000"/>
        </w:rPr>
        <w:softHyphen/>
      </w:r>
      <w:r>
        <w:rPr>
          <w:rFonts w:hint="eastAsia"/>
          <w:color w:val="000000"/>
        </w:rPr>
        <w:t>schutz</w:t>
      </w:r>
      <w:r>
        <w:rPr>
          <w:rFonts w:hint="eastAsia"/>
          <w:color w:val="000000"/>
        </w:rPr>
        <w:t>）」，長久以來，德國實務採取所謂「職務安定性（</w:t>
      </w:r>
      <w:r>
        <w:rPr>
          <w:rFonts w:hint="eastAsia"/>
          <w:color w:val="000000"/>
        </w:rPr>
        <w:t>Grundsatz der Amtssta</w:t>
      </w:r>
      <w:r>
        <w:rPr>
          <w:color w:val="000000"/>
        </w:rPr>
        <w:softHyphen/>
      </w:r>
      <w:r>
        <w:rPr>
          <w:rFonts w:hint="eastAsia"/>
          <w:color w:val="000000"/>
        </w:rPr>
        <w:t>bilit</w:t>
      </w:r>
      <w:r>
        <w:rPr>
          <w:color w:val="000000"/>
          <w:lang w:val="en-US"/>
        </w:rPr>
        <w:t>ä</w:t>
      </w:r>
      <w:r>
        <w:rPr>
          <w:rFonts w:hint="eastAsia"/>
          <w:color w:val="000000"/>
          <w:lang w:val="en-US"/>
        </w:rPr>
        <w:t>t</w:t>
      </w:r>
      <w:r>
        <w:rPr>
          <w:rFonts w:hint="eastAsia"/>
          <w:color w:val="000000"/>
        </w:rPr>
        <w:t>）」原則；亦即；當該處分或其他處置一旦執行而落實時，則勝選者</w:t>
      </w:r>
      <w:proofErr w:type="gramStart"/>
      <w:r>
        <w:rPr>
          <w:rFonts w:hint="eastAsia"/>
          <w:color w:val="000000"/>
        </w:rPr>
        <w:t>無論系</w:t>
      </w:r>
      <w:proofErr w:type="gramEnd"/>
      <w:r>
        <w:rPr>
          <w:rFonts w:hint="eastAsia"/>
          <w:color w:val="000000"/>
        </w:rPr>
        <w:lastRenderedPageBreak/>
        <w:t>爭處分或其他處置是否有任何法律上瑕疵，均取得所獲取之職位，而不再變動。換言之，落敗之公務員即難以再以任何救濟手段，質疑勝選公務員之</w:t>
      </w:r>
      <w:proofErr w:type="gramStart"/>
      <w:r>
        <w:rPr>
          <w:rFonts w:hint="eastAsia"/>
          <w:color w:val="000000"/>
        </w:rPr>
        <w:t>陞遷或</w:t>
      </w:r>
      <w:proofErr w:type="gramEnd"/>
      <w:r>
        <w:rPr>
          <w:rFonts w:hint="eastAsia"/>
          <w:color w:val="000000"/>
        </w:rPr>
        <w:t>調動的合法性</w:t>
      </w:r>
      <w:r>
        <w:rPr>
          <w:rStyle w:val="a3"/>
          <w:color w:val="000000"/>
        </w:rPr>
        <w:footnoteReference w:id="30"/>
      </w:r>
      <w:r>
        <w:rPr>
          <w:rFonts w:hint="eastAsia"/>
          <w:color w:val="000000"/>
        </w:rPr>
        <w:t>。這種實務上的見解，非無爭議</w:t>
      </w:r>
      <w:r>
        <w:rPr>
          <w:rStyle w:val="a3"/>
          <w:color w:val="000000"/>
        </w:rPr>
        <w:footnoteReference w:id="31"/>
      </w:r>
      <w:r>
        <w:rPr>
          <w:rFonts w:hint="eastAsia"/>
          <w:color w:val="000000"/>
        </w:rPr>
        <w:t>；但若吾人持此</w:t>
      </w:r>
      <w:proofErr w:type="gramStart"/>
      <w:r>
        <w:rPr>
          <w:rFonts w:hint="eastAsia"/>
          <w:color w:val="000000"/>
        </w:rPr>
        <w:t>通說的立場</w:t>
      </w:r>
      <w:proofErr w:type="gramEnd"/>
      <w:r>
        <w:rPr>
          <w:rFonts w:hint="eastAsia"/>
          <w:color w:val="000000"/>
        </w:rPr>
        <w:t>時，則欲尋求權利救濟的第三人，非但應同時在本案救濟程序外，申請停止執行，以防系爭</w:t>
      </w:r>
      <w:proofErr w:type="gramStart"/>
      <w:r>
        <w:rPr>
          <w:rFonts w:hint="eastAsia"/>
          <w:color w:val="000000"/>
        </w:rPr>
        <w:t>陞遷或</w:t>
      </w:r>
      <w:proofErr w:type="gramEnd"/>
      <w:r>
        <w:rPr>
          <w:rFonts w:hint="eastAsia"/>
          <w:color w:val="000000"/>
        </w:rPr>
        <w:t>職位調動之處分或其他處置的落實，並且</w:t>
      </w:r>
      <w:proofErr w:type="gramStart"/>
      <w:r>
        <w:rPr>
          <w:rFonts w:hint="eastAsia"/>
          <w:color w:val="000000"/>
        </w:rPr>
        <w:t>此際該處分</w:t>
      </w:r>
      <w:proofErr w:type="gramEnd"/>
      <w:r>
        <w:rPr>
          <w:rFonts w:hint="eastAsia"/>
          <w:color w:val="000000"/>
        </w:rPr>
        <w:t>或其他處置顯然具有公務人員保障法第</w:t>
      </w:r>
      <w:r>
        <w:rPr>
          <w:rFonts w:hint="eastAsia"/>
          <w:color w:val="000000"/>
        </w:rPr>
        <w:t>89</w:t>
      </w:r>
      <w:r>
        <w:rPr>
          <w:rFonts w:hint="eastAsia"/>
          <w:color w:val="000000"/>
        </w:rPr>
        <w:t>條第</w:t>
      </w:r>
      <w:r>
        <w:rPr>
          <w:rFonts w:hint="eastAsia"/>
          <w:color w:val="000000"/>
        </w:rPr>
        <w:t>2</w:t>
      </w:r>
      <w:r>
        <w:rPr>
          <w:rFonts w:hint="eastAsia"/>
          <w:color w:val="000000"/>
        </w:rPr>
        <w:t>項所稱「難以回復之損害」的性質。關於這一點，當然也須在前開有關停止執行之實質審查標準的階段化審查模式中列為利益衡量時的重要取決因素。</w:t>
      </w:r>
      <w:proofErr w:type="gramStart"/>
      <w:r>
        <w:rPr>
          <w:rFonts w:hint="eastAsia"/>
          <w:color w:val="000000"/>
        </w:rPr>
        <w:t>此外，不寧唯是</w:t>
      </w:r>
      <w:proofErr w:type="gramEnd"/>
      <w:r>
        <w:rPr>
          <w:rFonts w:hint="eastAsia"/>
          <w:color w:val="000000"/>
        </w:rPr>
        <w:t>，由於難保系爭處分或其他處置在相關的停止執行決定未作成前，已先遭惡意地執行而落實，所以其停止執行與否，也同時具有前開公務人員保障法第</w:t>
      </w:r>
      <w:r>
        <w:rPr>
          <w:rFonts w:hint="eastAsia"/>
          <w:color w:val="000000"/>
        </w:rPr>
        <w:t>89</w:t>
      </w:r>
      <w:r>
        <w:rPr>
          <w:rFonts w:hint="eastAsia"/>
          <w:color w:val="000000"/>
        </w:rPr>
        <w:t>條第</w:t>
      </w:r>
      <w:r>
        <w:rPr>
          <w:rFonts w:hint="eastAsia"/>
          <w:color w:val="000000"/>
        </w:rPr>
        <w:t>2</w:t>
      </w:r>
      <w:r>
        <w:rPr>
          <w:rFonts w:hint="eastAsia"/>
          <w:color w:val="000000"/>
        </w:rPr>
        <w:t>項所謂「急迫情事」的特性。</w:t>
      </w:r>
    </w:p>
    <w:p w:rsidR="009468A2" w:rsidRDefault="009468A2" w:rsidP="009468A2">
      <w:pPr>
        <w:pStyle w:val="a6"/>
        <w:spacing w:after="0" w:line="288" w:lineRule="auto"/>
        <w:ind w:firstLine="480"/>
        <w:rPr>
          <w:rFonts w:hint="eastAsia"/>
          <w:color w:val="000000"/>
        </w:rPr>
      </w:pPr>
      <w:r>
        <w:rPr>
          <w:rFonts w:hint="eastAsia"/>
          <w:color w:val="000000"/>
        </w:rPr>
        <w:t>關於這種停止執行案件的急迫性，本研究報告在下</w:t>
      </w:r>
      <w:proofErr w:type="gramStart"/>
      <w:r>
        <w:rPr>
          <w:rFonts w:hint="eastAsia"/>
          <w:color w:val="000000"/>
        </w:rPr>
        <w:t>一</w:t>
      </w:r>
      <w:proofErr w:type="gramEnd"/>
      <w:r>
        <w:rPr>
          <w:rFonts w:hint="eastAsia"/>
          <w:color w:val="000000"/>
        </w:rPr>
        <w:t>章中將再特別說明</w:t>
      </w:r>
      <w:r>
        <w:rPr>
          <w:rStyle w:val="a3"/>
          <w:color w:val="000000"/>
        </w:rPr>
        <w:footnoteReference w:id="32"/>
      </w:r>
      <w:r>
        <w:rPr>
          <w:rFonts w:hint="eastAsia"/>
          <w:color w:val="000000"/>
        </w:rPr>
        <w:t>；不過在此之際必須先強調的是，如此的案件類型之所以回復困難，乃至急迫，無非是前開所謂「職務安定性」所引起。由於這一項德國法制上的原則，既如前述，具有高度爭議，因此有</w:t>
      </w:r>
      <w:proofErr w:type="gramStart"/>
      <w:r>
        <w:rPr>
          <w:rFonts w:hint="eastAsia"/>
          <w:color w:val="000000"/>
        </w:rPr>
        <w:t>疑</w:t>
      </w:r>
      <w:proofErr w:type="gramEnd"/>
      <w:r>
        <w:rPr>
          <w:rFonts w:hint="eastAsia"/>
          <w:color w:val="000000"/>
        </w:rPr>
        <w:t>的是，該原則是否成立，以及是否也能適用於我國的問題。就此，假使答案為否定，則本研究報告以上的論點，即當然未必能成立。不過</w:t>
      </w:r>
      <w:proofErr w:type="gramStart"/>
      <w:r>
        <w:rPr>
          <w:rFonts w:hint="eastAsia"/>
          <w:color w:val="000000"/>
        </w:rPr>
        <w:t>鑑</w:t>
      </w:r>
      <w:proofErr w:type="gramEnd"/>
      <w:r>
        <w:rPr>
          <w:rFonts w:hint="eastAsia"/>
          <w:color w:val="000000"/>
        </w:rPr>
        <w:t>於此</w:t>
      </w:r>
      <w:proofErr w:type="gramStart"/>
      <w:r>
        <w:rPr>
          <w:rFonts w:hint="eastAsia"/>
          <w:color w:val="000000"/>
        </w:rPr>
        <w:t>一</w:t>
      </w:r>
      <w:proofErr w:type="gramEnd"/>
      <w:r>
        <w:rPr>
          <w:rFonts w:hint="eastAsia"/>
          <w:color w:val="000000"/>
        </w:rPr>
        <w:t>問題，既已非停止執行之所獨具，而是涉及公務員法上之</w:t>
      </w:r>
      <w:proofErr w:type="gramStart"/>
      <w:r>
        <w:rPr>
          <w:rFonts w:hint="eastAsia"/>
          <w:color w:val="000000"/>
        </w:rPr>
        <w:t>陞</w:t>
      </w:r>
      <w:proofErr w:type="gramEnd"/>
      <w:r>
        <w:rPr>
          <w:rFonts w:hint="eastAsia"/>
          <w:color w:val="000000"/>
        </w:rPr>
        <w:t>遷及職位調動的主要性議題，所以本研究計畫，因主題設定考慮，亦不再繼續深究。只是保訓會基於實務需要，或有將這類公務員法上之</w:t>
      </w:r>
      <w:proofErr w:type="gramStart"/>
      <w:r>
        <w:rPr>
          <w:rFonts w:hint="eastAsia"/>
          <w:color w:val="000000"/>
        </w:rPr>
        <w:t>陞</w:t>
      </w:r>
      <w:proofErr w:type="gramEnd"/>
      <w:r>
        <w:rPr>
          <w:rFonts w:hint="eastAsia"/>
          <w:color w:val="000000"/>
        </w:rPr>
        <w:t>遷及職位調動等的專門議題，另行囑託他人研究的迫切需要，以徹底</w:t>
      </w:r>
      <w:proofErr w:type="gramStart"/>
      <w:r>
        <w:rPr>
          <w:rFonts w:hint="eastAsia"/>
          <w:color w:val="000000"/>
        </w:rPr>
        <w:t>釐</w:t>
      </w:r>
      <w:proofErr w:type="gramEnd"/>
      <w:r>
        <w:rPr>
          <w:rFonts w:hint="eastAsia"/>
          <w:color w:val="000000"/>
        </w:rPr>
        <w:t>清有關第三人權利救濟之可能性與職務安定性之</w:t>
      </w:r>
      <w:proofErr w:type="gramStart"/>
      <w:r>
        <w:rPr>
          <w:rFonts w:hint="eastAsia"/>
          <w:color w:val="000000"/>
        </w:rPr>
        <w:t>原則間的問題</w:t>
      </w:r>
      <w:proofErr w:type="gramEnd"/>
      <w:r>
        <w:rPr>
          <w:rFonts w:hint="eastAsia"/>
          <w:color w:val="000000"/>
        </w:rPr>
        <w:t>。</w:t>
      </w:r>
    </w:p>
    <w:p w:rsidR="009468A2" w:rsidRDefault="009468A2" w:rsidP="009468A2">
      <w:pPr>
        <w:pStyle w:val="a6"/>
        <w:spacing w:after="0" w:line="288" w:lineRule="auto"/>
        <w:ind w:left="1200" w:hangingChars="500" w:hanging="1200"/>
        <w:rPr>
          <w:rFonts w:hint="eastAsia"/>
          <w:color w:val="000000"/>
        </w:rPr>
      </w:pPr>
    </w:p>
    <w:p w:rsidR="009468A2" w:rsidRDefault="009468A2" w:rsidP="009468A2">
      <w:pPr>
        <w:pStyle w:val="a6"/>
        <w:spacing w:after="0" w:line="288" w:lineRule="auto"/>
        <w:ind w:left="1200" w:hangingChars="500" w:hanging="1200"/>
        <w:rPr>
          <w:rFonts w:hint="eastAsia"/>
          <w:color w:val="000000"/>
        </w:rPr>
      </w:pPr>
    </w:p>
    <w:p w:rsidR="009468A2" w:rsidRDefault="009468A2" w:rsidP="009468A2">
      <w:pPr>
        <w:pStyle w:val="a6"/>
        <w:spacing w:after="0" w:line="288" w:lineRule="auto"/>
        <w:ind w:left="1200" w:hangingChars="500" w:hanging="1200"/>
        <w:rPr>
          <w:rFonts w:hint="eastAsia"/>
          <w:color w:val="000000"/>
        </w:rPr>
      </w:pPr>
    </w:p>
    <w:p w:rsidR="009468A2" w:rsidRDefault="009468A2" w:rsidP="009468A2">
      <w:pPr>
        <w:widowControl/>
        <w:spacing w:afterLines="50" w:after="180" w:line="288" w:lineRule="auto"/>
        <w:ind w:left="1441" w:hangingChars="400" w:hanging="1441"/>
        <w:jc w:val="both"/>
        <w:rPr>
          <w:rFonts w:hint="eastAsia"/>
          <w:b/>
          <w:bCs/>
          <w:color w:val="000000"/>
          <w:sz w:val="36"/>
          <w:szCs w:val="36"/>
        </w:rPr>
      </w:pPr>
      <w:r>
        <w:rPr>
          <w:rFonts w:hAnsi="新細明體" w:hint="eastAsia"/>
          <w:b/>
          <w:bCs/>
          <w:color w:val="000000"/>
          <w:sz w:val="36"/>
          <w:szCs w:val="36"/>
        </w:rPr>
        <w:t xml:space="preserve">第三節　</w:t>
      </w:r>
      <w:r>
        <w:rPr>
          <w:rFonts w:hint="eastAsia"/>
          <w:b/>
          <w:color w:val="000000"/>
          <w:sz w:val="36"/>
          <w:szCs w:val="36"/>
        </w:rPr>
        <w:t>結語</w:t>
      </w:r>
    </w:p>
    <w:p w:rsidR="009468A2" w:rsidRDefault="009468A2" w:rsidP="009468A2">
      <w:pPr>
        <w:widowControl/>
        <w:spacing w:afterLines="50" w:after="180" w:line="288" w:lineRule="auto"/>
        <w:ind w:firstLineChars="200" w:firstLine="480"/>
        <w:jc w:val="both"/>
        <w:rPr>
          <w:rFonts w:hint="eastAsia"/>
          <w:color w:val="000000"/>
        </w:rPr>
      </w:pPr>
      <w:proofErr w:type="gramStart"/>
      <w:r>
        <w:rPr>
          <w:rFonts w:hint="eastAsia"/>
          <w:color w:val="000000"/>
        </w:rPr>
        <w:lastRenderedPageBreak/>
        <w:t>總之，</w:t>
      </w:r>
      <w:proofErr w:type="gramEnd"/>
      <w:r>
        <w:rPr>
          <w:rFonts w:hint="eastAsia"/>
          <w:color w:val="000000"/>
        </w:rPr>
        <w:t>綜上所結，本章有關停止執行之「形式」與「實質」審查標準的重要研究成果如下：</w:t>
      </w:r>
    </w:p>
    <w:p w:rsidR="009468A2" w:rsidRDefault="009468A2" w:rsidP="009468A2">
      <w:pPr>
        <w:widowControl/>
        <w:numPr>
          <w:ilvl w:val="0"/>
          <w:numId w:val="1"/>
        </w:numPr>
        <w:spacing w:afterLines="50" w:after="180" w:line="288" w:lineRule="auto"/>
        <w:ind w:left="482" w:hanging="482"/>
        <w:jc w:val="both"/>
        <w:rPr>
          <w:rFonts w:hint="eastAsia"/>
          <w:color w:val="000000"/>
        </w:rPr>
      </w:pPr>
      <w:r>
        <w:rPr>
          <w:rFonts w:hint="eastAsia"/>
          <w:color w:val="000000"/>
        </w:rPr>
        <w:t>停止執行程序，為一獨立於本案救濟外完整的權利救濟程序；而一個完整的權利救濟程序，如屬當事人依法申（聲）</w:t>
      </w:r>
      <w:proofErr w:type="gramStart"/>
      <w:r>
        <w:rPr>
          <w:rFonts w:hint="eastAsia"/>
          <w:color w:val="000000"/>
        </w:rPr>
        <w:t>請始能</w:t>
      </w:r>
      <w:proofErr w:type="gramEnd"/>
      <w:r>
        <w:rPr>
          <w:rFonts w:hint="eastAsia"/>
          <w:color w:val="000000"/>
        </w:rPr>
        <w:t>發動者，則必須區分該申（聲）請「合不合法」與「有無理由」的問題。不過</w:t>
      </w:r>
      <w:proofErr w:type="gramStart"/>
      <w:r>
        <w:rPr>
          <w:rFonts w:hint="eastAsia"/>
          <w:color w:val="000000"/>
        </w:rPr>
        <w:t>鑑</w:t>
      </w:r>
      <w:proofErr w:type="gramEnd"/>
      <w:r>
        <w:rPr>
          <w:rFonts w:hint="eastAsia"/>
          <w:color w:val="000000"/>
        </w:rPr>
        <w:t>於保訓會在停止執行程序中，依公務人員保障法第</w:t>
      </w:r>
      <w:r>
        <w:rPr>
          <w:rFonts w:hint="eastAsia"/>
          <w:color w:val="000000"/>
        </w:rPr>
        <w:t>89</w:t>
      </w:r>
      <w:r>
        <w:rPr>
          <w:rFonts w:hint="eastAsia"/>
          <w:color w:val="000000"/>
        </w:rPr>
        <w:t>條第</w:t>
      </w:r>
      <w:r>
        <w:rPr>
          <w:rFonts w:hint="eastAsia"/>
          <w:color w:val="000000"/>
        </w:rPr>
        <w:t>2</w:t>
      </w:r>
      <w:r>
        <w:rPr>
          <w:rFonts w:hint="eastAsia"/>
          <w:color w:val="000000"/>
        </w:rPr>
        <w:t>項規定，本即得</w:t>
      </w:r>
      <w:proofErr w:type="gramStart"/>
      <w:r>
        <w:rPr>
          <w:rFonts w:hint="eastAsia"/>
          <w:color w:val="000000"/>
        </w:rPr>
        <w:t>逕</w:t>
      </w:r>
      <w:proofErr w:type="gramEnd"/>
      <w:r>
        <w:rPr>
          <w:rFonts w:hint="eastAsia"/>
          <w:color w:val="000000"/>
        </w:rPr>
        <w:t>依職權停止執行，而不待申請，因此關於停止執行之准否，保訓會只要依據停止執行之實質審查標準，亦即「有無理由」問題審查後，即得作出決定，並毋庸先就停止執行之形式審查標準，亦即申請之合法性問題進行審查。</w:t>
      </w:r>
    </w:p>
    <w:p w:rsidR="009468A2" w:rsidRDefault="009468A2" w:rsidP="009468A2">
      <w:pPr>
        <w:widowControl/>
        <w:numPr>
          <w:ilvl w:val="0"/>
          <w:numId w:val="1"/>
        </w:numPr>
        <w:spacing w:afterLines="50" w:after="180" w:line="288" w:lineRule="auto"/>
        <w:ind w:left="482" w:hanging="482"/>
        <w:jc w:val="both"/>
        <w:rPr>
          <w:rFonts w:hint="eastAsia"/>
          <w:color w:val="000000"/>
        </w:rPr>
      </w:pPr>
      <w:r>
        <w:rPr>
          <w:rFonts w:hint="eastAsia"/>
          <w:color w:val="000000"/>
        </w:rPr>
        <w:t>至於有關停止執行所附麗的本案救濟，亦即復審及申訴、再申訴等本身的「申請之合法性」，應屬停止執行之實質審查標準中所謂「本案有無勝訴希望」的問題。因此，本案救濟之申請不合法，如逾越本案救濟期間等，雖將因本案顯無勝訴可能，不得為停止執行之決定（參見後文第</w:t>
      </w:r>
      <w:r>
        <w:rPr>
          <w:rFonts w:hint="eastAsia"/>
          <w:color w:val="000000"/>
        </w:rPr>
        <w:t>5</w:t>
      </w:r>
      <w:r>
        <w:rPr>
          <w:rFonts w:hint="eastAsia"/>
          <w:color w:val="000000"/>
        </w:rPr>
        <w:t>點之「第一階段」），但也僅屬停止執行之實質審查標準問題，而與停止執行之申請合法性本身無關；二者</w:t>
      </w:r>
      <w:proofErr w:type="gramStart"/>
      <w:r>
        <w:rPr>
          <w:rFonts w:hint="eastAsia"/>
          <w:color w:val="000000"/>
        </w:rPr>
        <w:t>之間，</w:t>
      </w:r>
      <w:proofErr w:type="gramEnd"/>
      <w:r>
        <w:rPr>
          <w:rFonts w:hint="eastAsia"/>
          <w:color w:val="000000"/>
        </w:rPr>
        <w:t>不容混淆。</w:t>
      </w:r>
    </w:p>
    <w:p w:rsidR="009468A2" w:rsidRDefault="009468A2" w:rsidP="009468A2">
      <w:pPr>
        <w:widowControl/>
        <w:numPr>
          <w:ilvl w:val="0"/>
          <w:numId w:val="1"/>
        </w:numPr>
        <w:spacing w:afterLines="50" w:after="180" w:line="288" w:lineRule="auto"/>
        <w:ind w:left="482" w:hanging="482"/>
        <w:jc w:val="both"/>
        <w:rPr>
          <w:rFonts w:hint="eastAsia"/>
          <w:color w:val="000000"/>
        </w:rPr>
      </w:pPr>
      <w:r>
        <w:rPr>
          <w:rFonts w:hint="eastAsia"/>
          <w:color w:val="000000"/>
        </w:rPr>
        <w:t>由於保訓會依公務人員保障法第</w:t>
      </w:r>
      <w:r>
        <w:rPr>
          <w:rFonts w:hint="eastAsia"/>
          <w:color w:val="000000"/>
        </w:rPr>
        <w:t>89</w:t>
      </w:r>
      <w:r>
        <w:rPr>
          <w:rFonts w:hint="eastAsia"/>
          <w:color w:val="000000"/>
        </w:rPr>
        <w:t>條第</w:t>
      </w:r>
      <w:r>
        <w:rPr>
          <w:rFonts w:hint="eastAsia"/>
          <w:color w:val="000000"/>
        </w:rPr>
        <w:t>2</w:t>
      </w:r>
      <w:r>
        <w:rPr>
          <w:rFonts w:hint="eastAsia"/>
          <w:color w:val="000000"/>
        </w:rPr>
        <w:t>項規定，得</w:t>
      </w:r>
      <w:proofErr w:type="gramStart"/>
      <w:r>
        <w:rPr>
          <w:rFonts w:hint="eastAsia"/>
          <w:color w:val="000000"/>
        </w:rPr>
        <w:t>逕</w:t>
      </w:r>
      <w:proofErr w:type="gramEnd"/>
      <w:r>
        <w:rPr>
          <w:rFonts w:hint="eastAsia"/>
          <w:color w:val="000000"/>
        </w:rPr>
        <w:t>依職權停止執行，而無申請合法性的問題，因此針對有關公務人員保障事件之停止執行，依情形，</w:t>
      </w:r>
      <w:proofErr w:type="gramStart"/>
      <w:r>
        <w:rPr>
          <w:rFonts w:hint="eastAsia"/>
          <w:color w:val="000000"/>
        </w:rPr>
        <w:t>得分別由行政法院</w:t>
      </w:r>
      <w:proofErr w:type="gramEnd"/>
      <w:r>
        <w:rPr>
          <w:rFonts w:hint="eastAsia"/>
          <w:color w:val="000000"/>
        </w:rPr>
        <w:t>、保訓會及原處分機關或服務機關作成而所造成的「多重管轄」問題，亦得毋庸過度關心。要之，</w:t>
      </w:r>
      <w:proofErr w:type="gramStart"/>
      <w:r>
        <w:rPr>
          <w:rFonts w:hint="eastAsia"/>
          <w:color w:val="000000"/>
        </w:rPr>
        <w:t>只要就系爭</w:t>
      </w:r>
      <w:proofErr w:type="gramEnd"/>
      <w:r>
        <w:rPr>
          <w:rFonts w:hint="eastAsia"/>
          <w:color w:val="000000"/>
        </w:rPr>
        <w:t>案件，行政法院並未作出任何有關停止執行之准否裁定前，保訓會即得依職權作停止執行之准否決定。不過萬一行政法院事前已為停止執行之准否裁定時，保訓會受其拘束，原則上不應再就該停止執行之問題置喙，更不得作相反決定；而當行政法院在保訓會作成停止執行之准否決定後，又另為相關之裁定時，則保訓會也受該裁定拘束，不得</w:t>
      </w:r>
      <w:proofErr w:type="gramStart"/>
      <w:r>
        <w:rPr>
          <w:rFonts w:hint="eastAsia"/>
          <w:color w:val="000000"/>
        </w:rPr>
        <w:t>再就系爭</w:t>
      </w:r>
      <w:proofErr w:type="gramEnd"/>
      <w:r>
        <w:rPr>
          <w:rFonts w:hint="eastAsia"/>
          <w:color w:val="000000"/>
        </w:rPr>
        <w:t>停止執行問題復為任何決定，尤其是相反決定。至於在同一問題點上，保訓會之於原處分機關或服務機關的關係，猶如行政法院之於保訓會的關係；原處分機關或服務</w:t>
      </w:r>
      <w:proofErr w:type="gramStart"/>
      <w:r>
        <w:rPr>
          <w:rFonts w:hint="eastAsia"/>
          <w:color w:val="000000"/>
        </w:rPr>
        <w:t>機關恆受保</w:t>
      </w:r>
      <w:proofErr w:type="gramEnd"/>
      <w:r>
        <w:rPr>
          <w:rFonts w:hint="eastAsia"/>
          <w:color w:val="000000"/>
        </w:rPr>
        <w:t>訓會決定的拘束。只是當保訓會針對停止執行作出否准之決定時，原處分機關或服務機關基於本身對系爭處分或措施等的處分權，本得自行決定該處分或措施暫不執行。</w:t>
      </w:r>
    </w:p>
    <w:p w:rsidR="009468A2" w:rsidRDefault="009468A2" w:rsidP="009468A2">
      <w:pPr>
        <w:widowControl/>
        <w:numPr>
          <w:ilvl w:val="0"/>
          <w:numId w:val="1"/>
        </w:numPr>
        <w:spacing w:afterLines="50" w:after="180" w:line="288" w:lineRule="auto"/>
        <w:ind w:left="482" w:hanging="482"/>
        <w:jc w:val="both"/>
        <w:rPr>
          <w:rFonts w:hint="eastAsia"/>
          <w:color w:val="000000"/>
        </w:rPr>
      </w:pPr>
      <w:r>
        <w:rPr>
          <w:rFonts w:hint="eastAsia"/>
          <w:color w:val="000000"/>
        </w:rPr>
        <w:lastRenderedPageBreak/>
        <w:t>停止執行程序之各當事人，如對保訓會基於公務人員保障法第</w:t>
      </w:r>
      <w:r>
        <w:rPr>
          <w:rFonts w:hint="eastAsia"/>
          <w:color w:val="000000"/>
        </w:rPr>
        <w:t>89</w:t>
      </w:r>
      <w:r>
        <w:rPr>
          <w:rFonts w:hint="eastAsia"/>
          <w:color w:val="000000"/>
        </w:rPr>
        <w:t>條第</w:t>
      </w:r>
      <w:r>
        <w:rPr>
          <w:rFonts w:hint="eastAsia"/>
          <w:color w:val="000000"/>
        </w:rPr>
        <w:t>2</w:t>
      </w:r>
      <w:r>
        <w:rPr>
          <w:rFonts w:hint="eastAsia"/>
          <w:color w:val="000000"/>
        </w:rPr>
        <w:t>項及第</w:t>
      </w:r>
      <w:r>
        <w:rPr>
          <w:rFonts w:hint="eastAsia"/>
          <w:color w:val="000000"/>
        </w:rPr>
        <w:t>90</w:t>
      </w:r>
      <w:r>
        <w:rPr>
          <w:rFonts w:hint="eastAsia"/>
          <w:color w:val="000000"/>
        </w:rPr>
        <w:t>條所為之停止執行或撤銷停止執行等之准否決定不服，一方面基於前開行政法院之相關決定對於保訓會的拘束力，以及行政訴訟法第</w:t>
      </w:r>
      <w:r>
        <w:rPr>
          <w:rFonts w:hint="eastAsia"/>
          <w:color w:val="000000"/>
        </w:rPr>
        <w:t>116</w:t>
      </w:r>
      <w:r>
        <w:rPr>
          <w:rFonts w:hint="eastAsia"/>
          <w:color w:val="000000"/>
        </w:rPr>
        <w:t>條第</w:t>
      </w:r>
      <w:r>
        <w:rPr>
          <w:rFonts w:hint="eastAsia"/>
          <w:color w:val="000000"/>
        </w:rPr>
        <w:t>3</w:t>
      </w:r>
      <w:r>
        <w:rPr>
          <w:rFonts w:hint="eastAsia"/>
          <w:color w:val="000000"/>
        </w:rPr>
        <w:t>項規定，亦得在本案未起訴前，先向行政法院僅針對停止執行之問題單獨尋求救濟。此一原則，基於保訓會決定對於原處分機關或服務機關的拘束力等關係，同樣亦適用在就原處分機關或服務機關之決定向保訓會尋求救濟的情形。</w:t>
      </w:r>
    </w:p>
    <w:p w:rsidR="009468A2" w:rsidRDefault="009468A2" w:rsidP="009468A2">
      <w:pPr>
        <w:widowControl/>
        <w:numPr>
          <w:ilvl w:val="0"/>
          <w:numId w:val="1"/>
        </w:numPr>
        <w:spacing w:afterLines="50" w:after="180" w:line="288" w:lineRule="auto"/>
        <w:ind w:left="482" w:hanging="482"/>
        <w:jc w:val="both"/>
        <w:rPr>
          <w:rFonts w:hint="eastAsia"/>
          <w:color w:val="000000"/>
        </w:rPr>
      </w:pPr>
      <w:r>
        <w:rPr>
          <w:rFonts w:hint="eastAsia"/>
          <w:color w:val="000000"/>
        </w:rPr>
        <w:t>在保訓會的停止執行程序中，停止執行之實質審查標準，原係實務上最具爭議的問題。不過該審查標準的問題，原則上仍</w:t>
      </w:r>
      <w:proofErr w:type="gramStart"/>
      <w:r>
        <w:rPr>
          <w:rFonts w:hint="eastAsia"/>
          <w:color w:val="000000"/>
        </w:rPr>
        <w:t>採</w:t>
      </w:r>
      <w:proofErr w:type="gramEnd"/>
      <w:r>
        <w:rPr>
          <w:rFonts w:hint="eastAsia"/>
          <w:color w:val="000000"/>
        </w:rPr>
        <w:t>以下所述之「階段化審查模式」為宜：</w:t>
      </w:r>
    </w:p>
    <w:p w:rsidR="009468A2" w:rsidRDefault="009468A2" w:rsidP="009468A2">
      <w:pPr>
        <w:pStyle w:val="a6"/>
        <w:spacing w:afterLines="50" w:after="180" w:line="288" w:lineRule="auto"/>
        <w:ind w:leftChars="200" w:left="1680" w:hangingChars="500" w:hanging="1200"/>
        <w:rPr>
          <w:rFonts w:hint="eastAsia"/>
          <w:color w:val="000000"/>
        </w:rPr>
      </w:pPr>
      <w:r>
        <w:rPr>
          <w:rFonts w:hint="eastAsia"/>
          <w:color w:val="000000"/>
        </w:rPr>
        <w:t>第一階段：先以「略式審查」模式作審查。其中，本案顯有勝訴希望，停止執行；本案顯無勝訴希望，不停止執行。</w:t>
      </w:r>
    </w:p>
    <w:p w:rsidR="009468A2" w:rsidRDefault="009468A2" w:rsidP="009468A2">
      <w:pPr>
        <w:pStyle w:val="a6"/>
        <w:spacing w:afterLines="50" w:after="180" w:line="288" w:lineRule="auto"/>
        <w:ind w:leftChars="200" w:left="1680" w:hangingChars="500" w:hanging="1200"/>
        <w:rPr>
          <w:rFonts w:hint="eastAsia"/>
          <w:color w:val="000000"/>
        </w:rPr>
      </w:pPr>
      <w:r>
        <w:rPr>
          <w:rFonts w:hint="eastAsia"/>
          <w:color w:val="000000"/>
        </w:rPr>
        <w:t>第二階段：「略式審查」配合「利益衡量」。當本案之勝訴或敗訴希望，並非明顯時，則停止執行或不停止執行，原則上仍取決於勝訴或敗訴希望的「蓋然性」（略式審查）；但是當執行或不執行之結果，嗣後不能，或至少相當難以回復至未執行或先執行前的原始狀態時，則此際，停止執行或不停止執行取決於有無「回復可能性」（利益衡量）。</w:t>
      </w:r>
    </w:p>
    <w:p w:rsidR="009468A2" w:rsidRDefault="009468A2" w:rsidP="009468A2">
      <w:pPr>
        <w:pStyle w:val="a6"/>
        <w:spacing w:afterLines="50" w:after="180" w:line="288" w:lineRule="auto"/>
        <w:ind w:leftChars="200" w:left="1680" w:hangingChars="500" w:hanging="1200"/>
        <w:rPr>
          <w:rFonts w:hint="eastAsia"/>
          <w:color w:val="000000"/>
        </w:rPr>
      </w:pPr>
      <w:r>
        <w:rPr>
          <w:rFonts w:hint="eastAsia"/>
          <w:color w:val="000000"/>
        </w:rPr>
        <w:t>第三階段：純粹「利益衡量」。當</w:t>
      </w:r>
      <w:proofErr w:type="gramStart"/>
      <w:r>
        <w:rPr>
          <w:rFonts w:hint="eastAsia"/>
          <w:color w:val="000000"/>
        </w:rPr>
        <w:t>本案勝</w:t>
      </w:r>
      <w:proofErr w:type="gramEnd"/>
      <w:r>
        <w:rPr>
          <w:rFonts w:hint="eastAsia"/>
          <w:color w:val="000000"/>
        </w:rPr>
        <w:t>、敗訴</w:t>
      </w:r>
      <w:proofErr w:type="gramStart"/>
      <w:r>
        <w:rPr>
          <w:rFonts w:hint="eastAsia"/>
          <w:color w:val="000000"/>
        </w:rPr>
        <w:t>希望均有可能</w:t>
      </w:r>
      <w:proofErr w:type="gramEnd"/>
      <w:r>
        <w:rPr>
          <w:rFonts w:hint="eastAsia"/>
          <w:color w:val="000000"/>
        </w:rPr>
        <w:t>，或完全不明時，則停止執行之利益或執行利益的輕重程度，決定停止執行或不停止執行。</w:t>
      </w:r>
    </w:p>
    <w:p w:rsidR="009468A2" w:rsidRDefault="009468A2" w:rsidP="009468A2">
      <w:pPr>
        <w:widowControl/>
        <w:numPr>
          <w:ilvl w:val="0"/>
          <w:numId w:val="1"/>
        </w:numPr>
        <w:spacing w:afterLines="50" w:after="180" w:line="288" w:lineRule="auto"/>
        <w:ind w:left="482" w:hanging="482"/>
        <w:jc w:val="both"/>
        <w:rPr>
          <w:rFonts w:hint="eastAsia"/>
          <w:color w:val="000000"/>
        </w:rPr>
      </w:pPr>
      <w:r>
        <w:rPr>
          <w:rFonts w:hint="eastAsia"/>
          <w:color w:val="000000"/>
        </w:rPr>
        <w:t>在有關金錢爭</w:t>
      </w:r>
      <w:proofErr w:type="gramStart"/>
      <w:r>
        <w:rPr>
          <w:rFonts w:hint="eastAsia"/>
          <w:color w:val="000000"/>
        </w:rPr>
        <w:t>訟</w:t>
      </w:r>
      <w:proofErr w:type="gramEnd"/>
      <w:r>
        <w:rPr>
          <w:rFonts w:hint="eastAsia"/>
          <w:color w:val="000000"/>
        </w:rPr>
        <w:t>的停止執行方面，處分相對人之財產將因執行而遭受不利時，有關「難以回復之損害」的判斷，並非</w:t>
      </w:r>
      <w:proofErr w:type="gramStart"/>
      <w:r>
        <w:rPr>
          <w:rFonts w:hint="eastAsia"/>
          <w:color w:val="000000"/>
        </w:rPr>
        <w:t>繫</w:t>
      </w:r>
      <w:proofErr w:type="gramEnd"/>
      <w:r>
        <w:rPr>
          <w:rFonts w:hint="eastAsia"/>
          <w:color w:val="000000"/>
        </w:rPr>
        <w:t>諸該財產本身的價額高低，以及該財產有無回復可能的問題；在此所謂「難以回復之損害」，應指處分相對人因執行之所失，是否將造成其經濟生活不堪回復而言。處分相對人因處分之執行而陷於生存困難或高度債信危機時，則即相當公務人員保障法第</w:t>
      </w:r>
      <w:r>
        <w:rPr>
          <w:rFonts w:hint="eastAsia"/>
          <w:color w:val="000000"/>
        </w:rPr>
        <w:t>89</w:t>
      </w:r>
      <w:r>
        <w:rPr>
          <w:rFonts w:hint="eastAsia"/>
          <w:color w:val="000000"/>
        </w:rPr>
        <w:t>條第</w:t>
      </w:r>
      <w:r>
        <w:rPr>
          <w:rFonts w:hint="eastAsia"/>
          <w:color w:val="000000"/>
        </w:rPr>
        <w:t>2</w:t>
      </w:r>
      <w:r>
        <w:rPr>
          <w:rFonts w:hint="eastAsia"/>
          <w:color w:val="000000"/>
        </w:rPr>
        <w:t>項所稱的「</w:t>
      </w:r>
      <w:r>
        <w:rPr>
          <w:rFonts w:ascii="標楷體" w:eastAsia="標楷體" w:hAnsi="標楷體" w:hint="eastAsia"/>
          <w:color w:val="000000"/>
        </w:rPr>
        <w:t>執行將發生難以回復之損害</w:t>
      </w:r>
      <w:r>
        <w:rPr>
          <w:rFonts w:ascii="標楷體" w:eastAsia="標楷體" w:hAnsi="標楷體"/>
          <w:color w:val="000000"/>
        </w:rPr>
        <w:t>…</w:t>
      </w:r>
      <w:r>
        <w:rPr>
          <w:rFonts w:hint="eastAsia"/>
          <w:color w:val="000000"/>
        </w:rPr>
        <w:t>」。</w:t>
      </w:r>
    </w:p>
    <w:p w:rsidR="009468A2" w:rsidRDefault="009468A2" w:rsidP="009468A2">
      <w:pPr>
        <w:widowControl/>
        <w:numPr>
          <w:ilvl w:val="0"/>
          <w:numId w:val="1"/>
        </w:numPr>
        <w:spacing w:afterLines="50" w:after="180" w:line="288" w:lineRule="auto"/>
        <w:ind w:left="482" w:hanging="482"/>
        <w:jc w:val="both"/>
        <w:rPr>
          <w:rFonts w:hint="eastAsia"/>
          <w:color w:val="000000"/>
        </w:rPr>
      </w:pPr>
      <w:r>
        <w:rPr>
          <w:rFonts w:hint="eastAsia"/>
          <w:color w:val="000000"/>
        </w:rPr>
        <w:t>在有關非金錢爭</w:t>
      </w:r>
      <w:proofErr w:type="gramStart"/>
      <w:r>
        <w:rPr>
          <w:rFonts w:hint="eastAsia"/>
          <w:color w:val="000000"/>
        </w:rPr>
        <w:t>訟</w:t>
      </w:r>
      <w:proofErr w:type="gramEnd"/>
      <w:r>
        <w:rPr>
          <w:rFonts w:hint="eastAsia"/>
          <w:color w:val="000000"/>
        </w:rPr>
        <w:t>的停止執行方面，實務上最具研究實益者，應屬公務人員互爭</w:t>
      </w:r>
      <w:proofErr w:type="gramStart"/>
      <w:r>
        <w:rPr>
          <w:rFonts w:hint="eastAsia"/>
          <w:color w:val="000000"/>
        </w:rPr>
        <w:t>陞</w:t>
      </w:r>
      <w:proofErr w:type="gramEnd"/>
      <w:r>
        <w:rPr>
          <w:rFonts w:hint="eastAsia"/>
          <w:color w:val="000000"/>
        </w:rPr>
        <w:t>遷、職位調動等，而由落敗者攻擊授與勝選者</w:t>
      </w:r>
      <w:proofErr w:type="gramStart"/>
      <w:r>
        <w:rPr>
          <w:rFonts w:hint="eastAsia"/>
          <w:color w:val="000000"/>
        </w:rPr>
        <w:t>陞遷或</w:t>
      </w:r>
      <w:proofErr w:type="gramEnd"/>
      <w:r>
        <w:rPr>
          <w:rFonts w:hint="eastAsia"/>
          <w:color w:val="000000"/>
        </w:rPr>
        <w:t>職位調動等行政</w:t>
      </w:r>
      <w:r>
        <w:rPr>
          <w:rFonts w:hint="eastAsia"/>
          <w:color w:val="000000"/>
        </w:rPr>
        <w:lastRenderedPageBreak/>
        <w:t>處分或措施的所謂「第三人權利救濟」類型。在此，吾人若堅持有爭議之通說所謂的「職務安定性」原則時，則該處分一旦執行而落實，落敗之公務員即難以再以任何救濟手段，質疑勝選公務員之</w:t>
      </w:r>
      <w:proofErr w:type="gramStart"/>
      <w:r>
        <w:rPr>
          <w:rFonts w:hint="eastAsia"/>
          <w:color w:val="000000"/>
        </w:rPr>
        <w:t>陞</w:t>
      </w:r>
      <w:proofErr w:type="gramEnd"/>
      <w:r>
        <w:rPr>
          <w:rFonts w:hint="eastAsia"/>
          <w:color w:val="000000"/>
        </w:rPr>
        <w:t>遷的合法性。</w:t>
      </w:r>
      <w:proofErr w:type="gramStart"/>
      <w:r>
        <w:rPr>
          <w:rFonts w:hint="eastAsia"/>
          <w:color w:val="000000"/>
        </w:rPr>
        <w:t>從而，</w:t>
      </w:r>
      <w:proofErr w:type="gramEnd"/>
      <w:r>
        <w:rPr>
          <w:rFonts w:hint="eastAsia"/>
          <w:color w:val="000000"/>
        </w:rPr>
        <w:t>系爭</w:t>
      </w:r>
      <w:proofErr w:type="gramStart"/>
      <w:r>
        <w:rPr>
          <w:rFonts w:hint="eastAsia"/>
          <w:color w:val="000000"/>
        </w:rPr>
        <w:t>陞遷或</w:t>
      </w:r>
      <w:proofErr w:type="gramEnd"/>
      <w:r>
        <w:rPr>
          <w:rFonts w:hint="eastAsia"/>
          <w:color w:val="000000"/>
        </w:rPr>
        <w:t>職位調動的行政處分或措施，其執行也具有「難以回復之損害」的性質。關於這一點，當然也須在前開階段化審查模式中列入為「利益衡量」的重要取決因素。</w:t>
      </w:r>
    </w:p>
    <w:p w:rsidR="009468A2" w:rsidRDefault="009468A2" w:rsidP="009468A2">
      <w:pPr>
        <w:widowControl/>
        <w:numPr>
          <w:ilvl w:val="0"/>
          <w:numId w:val="1"/>
        </w:numPr>
        <w:spacing w:afterLines="50" w:after="180" w:line="288" w:lineRule="auto"/>
        <w:ind w:left="482" w:hanging="482"/>
        <w:jc w:val="both"/>
        <w:rPr>
          <w:rFonts w:hint="eastAsia"/>
          <w:color w:val="000000"/>
        </w:rPr>
      </w:pPr>
      <w:r>
        <w:rPr>
          <w:rFonts w:hint="eastAsia"/>
          <w:color w:val="000000"/>
        </w:rPr>
        <w:t>公務人員保障法第</w:t>
      </w:r>
      <w:r>
        <w:rPr>
          <w:rFonts w:hint="eastAsia"/>
          <w:color w:val="000000"/>
        </w:rPr>
        <w:t>90</w:t>
      </w:r>
      <w:r>
        <w:rPr>
          <w:rFonts w:hint="eastAsia"/>
          <w:color w:val="000000"/>
        </w:rPr>
        <w:t>條所規定的「撤銷停止執行程序」，事實上為同法第</w:t>
      </w:r>
      <w:r>
        <w:rPr>
          <w:rFonts w:hint="eastAsia"/>
          <w:color w:val="000000"/>
        </w:rPr>
        <w:t>89</w:t>
      </w:r>
      <w:r>
        <w:rPr>
          <w:rFonts w:hint="eastAsia"/>
          <w:color w:val="000000"/>
        </w:rPr>
        <w:t>條第</w:t>
      </w:r>
      <w:r>
        <w:rPr>
          <w:rFonts w:hint="eastAsia"/>
          <w:color w:val="000000"/>
        </w:rPr>
        <w:t>2</w:t>
      </w:r>
      <w:r>
        <w:rPr>
          <w:rFonts w:hint="eastAsia"/>
          <w:color w:val="000000"/>
        </w:rPr>
        <w:t>項之停止執行程序的再開；因此，以上各有關停止執行審查標準的原則，基本上在撤銷停止執行程序中，亦能視具體情形而予以適用。</w:t>
      </w:r>
    </w:p>
    <w:p w:rsidR="00BF70BC" w:rsidRDefault="00BF70BC" w:rsidP="009468A2"/>
    <w:sectPr w:rsidR="00BF70BC" w:rsidSect="00BF70B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D53" w:rsidRDefault="009F2D53" w:rsidP="009468A2">
      <w:r>
        <w:separator/>
      </w:r>
    </w:p>
  </w:endnote>
  <w:endnote w:type="continuationSeparator" w:id="0">
    <w:p w:rsidR="009F2D53" w:rsidRDefault="009F2D53" w:rsidP="0094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D53" w:rsidRDefault="009F2D53" w:rsidP="009468A2">
      <w:r>
        <w:separator/>
      </w:r>
    </w:p>
  </w:footnote>
  <w:footnote w:type="continuationSeparator" w:id="0">
    <w:p w:rsidR="009F2D53" w:rsidRDefault="009F2D53" w:rsidP="009468A2">
      <w:r>
        <w:continuationSeparator/>
      </w:r>
    </w:p>
  </w:footnote>
  <w:footnote w:id="1">
    <w:p w:rsidR="009468A2" w:rsidRDefault="009468A2" w:rsidP="009468A2">
      <w:pPr>
        <w:pStyle w:val="a4"/>
        <w:spacing w:after="180"/>
        <w:rPr>
          <w:rFonts w:hint="eastAsia"/>
          <w:color w:val="000000"/>
        </w:rPr>
      </w:pPr>
      <w:r>
        <w:rPr>
          <w:rStyle w:val="a3"/>
          <w:color w:val="000000"/>
        </w:rPr>
        <w:footnoteRef/>
      </w:r>
      <w:r>
        <w:rPr>
          <w:color w:val="000000"/>
        </w:rPr>
        <w:t xml:space="preserve"> </w:t>
      </w:r>
      <w:r>
        <w:rPr>
          <w:rFonts w:hint="eastAsia"/>
          <w:color w:val="000000"/>
        </w:rPr>
        <w:t>在國內文獻中，例如：陳清秀，</w:t>
      </w:r>
      <w:r>
        <w:rPr>
          <w:rFonts w:ascii="新細明體" w:hAnsi="新細明體" w:hint="eastAsia"/>
        </w:rPr>
        <w:t>《</w:t>
      </w:r>
      <w:r>
        <w:rPr>
          <w:rFonts w:hint="eastAsia"/>
        </w:rPr>
        <w:t>行政爭訟法》，</w:t>
      </w:r>
      <w:r>
        <w:rPr>
          <w:rFonts w:hint="eastAsia"/>
        </w:rPr>
        <w:t>2009</w:t>
      </w:r>
      <w:r>
        <w:rPr>
          <w:rFonts w:hint="eastAsia"/>
        </w:rPr>
        <w:t>年</w:t>
      </w:r>
      <w:r>
        <w:rPr>
          <w:rFonts w:hint="eastAsia"/>
        </w:rPr>
        <w:t>3</w:t>
      </w:r>
      <w:r>
        <w:rPr>
          <w:rFonts w:hint="eastAsia"/>
        </w:rPr>
        <w:t>版</w:t>
      </w:r>
      <w:r>
        <w:rPr>
          <w:rFonts w:hint="eastAsia"/>
          <w:color w:val="000000"/>
        </w:rPr>
        <w:t>，頁</w:t>
      </w:r>
      <w:r>
        <w:rPr>
          <w:rFonts w:hint="eastAsia"/>
          <w:color w:val="000000"/>
        </w:rPr>
        <w:t>639</w:t>
      </w:r>
      <w:r>
        <w:rPr>
          <w:rFonts w:hint="eastAsia"/>
          <w:color w:val="000000"/>
        </w:rPr>
        <w:t>，即以此</w:t>
      </w:r>
      <w:proofErr w:type="gramStart"/>
      <w:r>
        <w:rPr>
          <w:rFonts w:hint="eastAsia"/>
          <w:color w:val="000000"/>
        </w:rPr>
        <w:t>一</w:t>
      </w:r>
      <w:proofErr w:type="gramEnd"/>
      <w:r>
        <w:rPr>
          <w:rFonts w:hint="eastAsia"/>
          <w:color w:val="000000"/>
        </w:rPr>
        <w:t>名稱說明暫時權利保護程序的性質。</w:t>
      </w:r>
    </w:p>
  </w:footnote>
  <w:footnote w:id="2">
    <w:p w:rsidR="009468A2" w:rsidRDefault="009468A2" w:rsidP="009468A2">
      <w:pPr>
        <w:pStyle w:val="a4"/>
        <w:spacing w:after="180"/>
        <w:rPr>
          <w:rFonts w:hint="eastAsia"/>
          <w:color w:val="000000"/>
        </w:rPr>
      </w:pPr>
      <w:r>
        <w:rPr>
          <w:rStyle w:val="a3"/>
          <w:color w:val="000000"/>
        </w:rPr>
        <w:footnoteRef/>
      </w:r>
      <w:r>
        <w:rPr>
          <w:rFonts w:hint="eastAsia"/>
          <w:color w:val="000000"/>
        </w:rPr>
        <w:t xml:space="preserve"> </w:t>
      </w:r>
      <w:r>
        <w:rPr>
          <w:rFonts w:hint="eastAsia"/>
          <w:color w:val="000000"/>
        </w:rPr>
        <w:t>就此，詳見：</w:t>
      </w:r>
      <w:r>
        <w:rPr>
          <w:rFonts w:hint="eastAsia"/>
          <w:i/>
          <w:iCs/>
          <w:color w:val="000000"/>
        </w:rPr>
        <w:t>Schoch</w:t>
      </w:r>
      <w:r>
        <w:rPr>
          <w:rFonts w:hint="eastAsia"/>
          <w:color w:val="000000"/>
        </w:rPr>
        <w:t>, in: Schoch/Schmidt-A</w:t>
      </w:r>
      <w:r>
        <w:rPr>
          <w:color w:val="000000"/>
        </w:rPr>
        <w:t>ßmann</w:t>
      </w:r>
      <w:r>
        <w:rPr>
          <w:rFonts w:hint="eastAsia"/>
          <w:color w:val="000000"/>
        </w:rPr>
        <w:t>/Pietzner (Hrsg.)</w:t>
      </w:r>
      <w:r>
        <w:rPr>
          <w:color w:val="000000"/>
        </w:rPr>
        <w:t xml:space="preserve">, </w:t>
      </w:r>
      <w:r>
        <w:rPr>
          <w:rFonts w:hint="eastAsia"/>
          <w:color w:val="000000"/>
        </w:rPr>
        <w:t xml:space="preserve">Verwaltungsgerichtsordnung Kommentar, Vorb. </w:t>
      </w:r>
      <w:r>
        <w:rPr>
          <w:color w:val="000000"/>
        </w:rPr>
        <w:t>§ </w:t>
      </w:r>
      <w:r>
        <w:rPr>
          <w:rFonts w:hint="eastAsia"/>
          <w:color w:val="000000"/>
        </w:rPr>
        <w:t>80 Rn. 54</w:t>
      </w:r>
      <w:r>
        <w:rPr>
          <w:color w:val="000000"/>
        </w:rPr>
        <w:t> </w:t>
      </w:r>
      <w:r>
        <w:rPr>
          <w:rFonts w:hint="eastAsia"/>
          <w:color w:val="000000"/>
        </w:rPr>
        <w:t>ff. [Stand</w:t>
      </w:r>
      <w:proofErr w:type="gramStart"/>
      <w:r>
        <w:rPr>
          <w:rFonts w:hint="eastAsia"/>
          <w:color w:val="000000"/>
        </w:rPr>
        <w:t>:Okt</w:t>
      </w:r>
      <w:proofErr w:type="gramEnd"/>
      <w:r>
        <w:rPr>
          <w:rFonts w:hint="eastAsia"/>
          <w:color w:val="000000"/>
        </w:rPr>
        <w:t>. 2008]</w:t>
      </w:r>
      <w:r>
        <w:rPr>
          <w:rFonts w:hint="eastAsia"/>
          <w:color w:val="000000"/>
        </w:rPr>
        <w:t>。</w:t>
      </w:r>
    </w:p>
  </w:footnote>
  <w:footnote w:id="3">
    <w:p w:rsidR="009468A2" w:rsidRDefault="009468A2" w:rsidP="009468A2">
      <w:pPr>
        <w:pStyle w:val="a4"/>
        <w:spacing w:after="180"/>
        <w:rPr>
          <w:rFonts w:hint="eastAsia"/>
          <w:color w:val="000000"/>
        </w:rPr>
      </w:pPr>
      <w:r>
        <w:rPr>
          <w:rStyle w:val="a3"/>
          <w:color w:val="000000"/>
        </w:rPr>
        <w:footnoteRef/>
      </w:r>
      <w:r>
        <w:rPr>
          <w:rFonts w:hint="eastAsia"/>
          <w:color w:val="000000"/>
        </w:rPr>
        <w:t xml:space="preserve"> </w:t>
      </w:r>
      <w:r>
        <w:rPr>
          <w:rFonts w:hint="eastAsia"/>
          <w:color w:val="000000"/>
        </w:rPr>
        <w:t>同說，參見：</w:t>
      </w:r>
      <w:r>
        <w:rPr>
          <w:rFonts w:hint="eastAsia"/>
          <w:color w:val="000000"/>
        </w:rPr>
        <w:t xml:space="preserve">BVerfGE 35, 382 (397); BVerwGE 63, 110 (111); </w:t>
      </w:r>
      <w:r>
        <w:rPr>
          <w:rFonts w:hint="eastAsia"/>
          <w:i/>
          <w:color w:val="000000"/>
        </w:rPr>
        <w:t>Puttler</w:t>
      </w:r>
      <w:r>
        <w:rPr>
          <w:rFonts w:hint="eastAsia"/>
          <w:color w:val="000000"/>
        </w:rPr>
        <w:t xml:space="preserve">, </w:t>
      </w:r>
      <w:r>
        <w:rPr>
          <w:rFonts w:hint="eastAsia"/>
        </w:rPr>
        <w:t>in: Sodan/Ziekow</w:t>
      </w:r>
      <w:r>
        <w:rPr>
          <w:rFonts w:hint="eastAsia"/>
          <w:i/>
        </w:rPr>
        <w:t xml:space="preserve"> </w:t>
      </w:r>
      <w:r>
        <w:rPr>
          <w:rFonts w:hint="eastAsia"/>
        </w:rPr>
        <w:t xml:space="preserve">(Hrsg.), </w:t>
      </w:r>
      <w:r>
        <w:t>Verwal</w:t>
      </w:r>
      <w:r>
        <w:rPr>
          <w:rFonts w:hint="eastAsia"/>
        </w:rPr>
        <w:t>tungsgerichtsordnung Gro</w:t>
      </w:r>
      <w:r>
        <w:t>ß</w:t>
      </w:r>
      <w:r>
        <w:rPr>
          <w:rFonts w:hint="eastAsia"/>
        </w:rPr>
        <w:t>kommentar, 2. Aufl. 2006,</w:t>
      </w:r>
      <w:r>
        <w:rPr>
          <w:rFonts w:hint="eastAsia"/>
          <w:color w:val="000000"/>
        </w:rPr>
        <w:t xml:space="preserve"> </w:t>
      </w:r>
      <w:r>
        <w:rPr>
          <w:color w:val="000000"/>
        </w:rPr>
        <w:t>§ </w:t>
      </w:r>
      <w:r>
        <w:rPr>
          <w:rFonts w:hint="eastAsia"/>
          <w:color w:val="000000"/>
        </w:rPr>
        <w:t xml:space="preserve">80 Rn. 112, </w:t>
      </w:r>
      <w:r>
        <w:rPr>
          <w:color w:val="000000"/>
        </w:rPr>
        <w:t>§ </w:t>
      </w:r>
      <w:r>
        <w:rPr>
          <w:rFonts w:hint="eastAsia"/>
          <w:color w:val="000000"/>
        </w:rPr>
        <w:t xml:space="preserve">123 Rn. 50; </w:t>
      </w:r>
      <w:r>
        <w:rPr>
          <w:rFonts w:hint="eastAsia"/>
          <w:i/>
          <w:iCs/>
          <w:color w:val="000000"/>
        </w:rPr>
        <w:t>Schoch</w:t>
      </w:r>
      <w:r>
        <w:rPr>
          <w:rFonts w:hint="eastAsia"/>
          <w:color w:val="000000"/>
        </w:rPr>
        <w:t>, in: Schoch/Schmidt-A</w:t>
      </w:r>
      <w:r>
        <w:rPr>
          <w:color w:val="000000"/>
        </w:rPr>
        <w:t>ßmann</w:t>
      </w:r>
      <w:r>
        <w:rPr>
          <w:rFonts w:hint="eastAsia"/>
          <w:color w:val="000000"/>
        </w:rPr>
        <w:t>/Pietzner (Hrsg.)</w:t>
      </w:r>
      <w:r>
        <w:rPr>
          <w:color w:val="000000"/>
        </w:rPr>
        <w:t xml:space="preserve">, </w:t>
      </w:r>
      <w:r>
        <w:rPr>
          <w:rFonts w:hint="eastAsia"/>
          <w:color w:val="000000"/>
        </w:rPr>
        <w:t>Verwaltungs</w:t>
      </w:r>
      <w:r>
        <w:rPr>
          <w:color w:val="000000"/>
        </w:rPr>
        <w:softHyphen/>
      </w:r>
      <w:r>
        <w:rPr>
          <w:rFonts w:hint="eastAsia"/>
          <w:color w:val="000000"/>
        </w:rPr>
        <w:t>ge</w:t>
      </w:r>
      <w:r>
        <w:rPr>
          <w:color w:val="000000"/>
        </w:rPr>
        <w:softHyphen/>
      </w:r>
      <w:r>
        <w:rPr>
          <w:rFonts w:hint="eastAsia"/>
          <w:color w:val="000000"/>
        </w:rPr>
        <w:t>richtsordnung Kom</w:t>
      </w:r>
      <w:r>
        <w:rPr>
          <w:color w:val="000000"/>
        </w:rPr>
        <w:softHyphen/>
      </w:r>
      <w:r>
        <w:rPr>
          <w:rFonts w:hint="eastAsia"/>
          <w:color w:val="000000"/>
        </w:rPr>
        <w:t xml:space="preserve">mentar, Vorb. </w:t>
      </w:r>
      <w:r>
        <w:rPr>
          <w:color w:val="000000"/>
        </w:rPr>
        <w:t>§ </w:t>
      </w:r>
      <w:r>
        <w:rPr>
          <w:rFonts w:hint="eastAsia"/>
          <w:color w:val="000000"/>
        </w:rPr>
        <w:t>80 Rn. 53 [Stand: Okt. 2008</w:t>
      </w:r>
      <w:proofErr w:type="gramStart"/>
      <w:r>
        <w:rPr>
          <w:rFonts w:hint="eastAsia"/>
          <w:color w:val="000000"/>
        </w:rPr>
        <w:t>]</w:t>
      </w:r>
      <w:r>
        <w:rPr>
          <w:rFonts w:hint="eastAsia"/>
          <w:color w:val="000000"/>
        </w:rPr>
        <w:t>。</w:t>
      </w:r>
      <w:proofErr w:type="gramEnd"/>
      <w:r>
        <w:rPr>
          <w:rFonts w:hint="eastAsia"/>
          <w:color w:val="000000"/>
        </w:rPr>
        <w:t>國內文獻，</w:t>
      </w:r>
      <w:proofErr w:type="gramStart"/>
      <w:r>
        <w:rPr>
          <w:rFonts w:hint="eastAsia"/>
          <w:color w:val="000000"/>
        </w:rPr>
        <w:t>同見</w:t>
      </w:r>
      <w:proofErr w:type="gramEnd"/>
      <w:r>
        <w:rPr>
          <w:rFonts w:hint="eastAsia"/>
          <w:color w:val="000000"/>
        </w:rPr>
        <w:t>：陳清秀，</w:t>
      </w:r>
      <w:r>
        <w:rPr>
          <w:rFonts w:ascii="新細明體" w:hAnsi="新細明體" w:hint="eastAsia"/>
        </w:rPr>
        <w:t>《</w:t>
      </w:r>
      <w:r>
        <w:rPr>
          <w:rFonts w:hint="eastAsia"/>
        </w:rPr>
        <w:t>行政爭訟法》，</w:t>
      </w:r>
      <w:r>
        <w:rPr>
          <w:rFonts w:hint="eastAsia"/>
        </w:rPr>
        <w:t>2009</w:t>
      </w:r>
      <w:r>
        <w:rPr>
          <w:rFonts w:hint="eastAsia"/>
        </w:rPr>
        <w:t>年</w:t>
      </w:r>
      <w:r>
        <w:rPr>
          <w:rFonts w:hint="eastAsia"/>
        </w:rPr>
        <w:t>3</w:t>
      </w:r>
      <w:r>
        <w:rPr>
          <w:rFonts w:hint="eastAsia"/>
        </w:rPr>
        <w:t>版</w:t>
      </w:r>
      <w:r>
        <w:rPr>
          <w:rFonts w:hint="eastAsia"/>
          <w:color w:val="000000"/>
        </w:rPr>
        <w:t>，頁</w:t>
      </w:r>
      <w:r>
        <w:rPr>
          <w:rFonts w:hint="eastAsia"/>
          <w:color w:val="000000"/>
        </w:rPr>
        <w:t>651</w:t>
      </w:r>
      <w:r>
        <w:rPr>
          <w:rFonts w:hint="eastAsia"/>
          <w:color w:val="000000"/>
        </w:rPr>
        <w:t>。</w:t>
      </w:r>
    </w:p>
  </w:footnote>
  <w:footnote w:id="4">
    <w:p w:rsidR="009468A2" w:rsidRDefault="009468A2" w:rsidP="009468A2">
      <w:pPr>
        <w:pStyle w:val="a4"/>
        <w:spacing w:after="180"/>
        <w:rPr>
          <w:rFonts w:hint="eastAsia"/>
          <w:color w:val="000000"/>
        </w:rPr>
      </w:pPr>
      <w:r>
        <w:rPr>
          <w:rStyle w:val="a3"/>
          <w:color w:val="000000"/>
        </w:rPr>
        <w:footnoteRef/>
      </w:r>
      <w:r>
        <w:rPr>
          <w:rFonts w:hint="eastAsia"/>
          <w:color w:val="000000"/>
        </w:rPr>
        <w:t xml:space="preserve"> </w:t>
      </w:r>
      <w:r>
        <w:rPr>
          <w:rFonts w:hint="eastAsia"/>
          <w:color w:val="000000"/>
        </w:rPr>
        <w:t>同前</w:t>
      </w:r>
      <w:proofErr w:type="gramStart"/>
      <w:r>
        <w:rPr>
          <w:rFonts w:hint="eastAsia"/>
          <w:color w:val="000000"/>
        </w:rPr>
        <w:t>註</w:t>
      </w:r>
      <w:proofErr w:type="gramEnd"/>
      <w:r>
        <w:rPr>
          <w:rFonts w:hint="eastAsia"/>
          <w:color w:val="000000"/>
        </w:rPr>
        <w:t>。</w:t>
      </w:r>
      <w:proofErr w:type="gramStart"/>
      <w:r>
        <w:rPr>
          <w:rFonts w:hint="eastAsia"/>
          <w:color w:val="000000"/>
        </w:rPr>
        <w:t>此外，</w:t>
      </w:r>
      <w:proofErr w:type="gramEnd"/>
      <w:r>
        <w:rPr>
          <w:rFonts w:hint="eastAsia"/>
          <w:color w:val="000000"/>
        </w:rPr>
        <w:t xml:space="preserve">日文文獻，亦見：南　</w:t>
      </w:r>
      <w:proofErr w:type="gramStart"/>
      <w:r>
        <w:rPr>
          <w:rFonts w:hint="eastAsia"/>
          <w:color w:val="000000"/>
        </w:rPr>
        <w:t>博方</w:t>
      </w:r>
      <w:proofErr w:type="gramEnd"/>
      <w:r>
        <w:rPr>
          <w:rFonts w:hint="eastAsia"/>
          <w:color w:val="000000"/>
        </w:rPr>
        <w:t>／高橋　滋　編『</w:t>
      </w:r>
      <w:r>
        <w:rPr>
          <w:rFonts w:ascii="新細明體" w:hint="eastAsia"/>
          <w:color w:val="000000"/>
        </w:rPr>
        <w:t>条</w:t>
      </w:r>
      <w:r>
        <w:rPr>
          <w:rFonts w:hint="eastAsia"/>
          <w:color w:val="000000"/>
        </w:rPr>
        <w:t>解行政事件訴訟法〔第</w:t>
      </w:r>
      <w:r>
        <w:rPr>
          <w:rFonts w:hint="eastAsia"/>
          <w:color w:val="000000"/>
        </w:rPr>
        <w:t>3</w:t>
      </w:r>
      <w:r>
        <w:rPr>
          <w:rFonts w:hint="eastAsia"/>
          <w:color w:val="000000"/>
        </w:rPr>
        <w:t>版〕』（弘文堂，</w:t>
      </w:r>
      <w:r>
        <w:rPr>
          <w:rFonts w:hint="eastAsia"/>
          <w:color w:val="000000"/>
        </w:rPr>
        <w:t>2006</w:t>
      </w:r>
      <w:r>
        <w:rPr>
          <w:rFonts w:hint="eastAsia"/>
          <w:color w:val="000000"/>
        </w:rPr>
        <w:t>年），頁</w:t>
      </w:r>
      <w:r>
        <w:rPr>
          <w:rFonts w:hint="eastAsia"/>
          <w:color w:val="000000"/>
        </w:rPr>
        <w:t>466</w:t>
      </w:r>
      <w:r>
        <w:rPr>
          <w:rFonts w:hint="eastAsia"/>
          <w:color w:val="000000"/>
        </w:rPr>
        <w:t>（金子正史　執筆）。</w:t>
      </w:r>
    </w:p>
  </w:footnote>
  <w:footnote w:id="5">
    <w:p w:rsidR="009468A2" w:rsidRDefault="009468A2" w:rsidP="009468A2">
      <w:pPr>
        <w:pStyle w:val="a4"/>
        <w:spacing w:after="180"/>
        <w:rPr>
          <w:rFonts w:hint="eastAsia"/>
        </w:rPr>
      </w:pPr>
      <w:r>
        <w:rPr>
          <w:rStyle w:val="a3"/>
        </w:rPr>
        <w:footnoteRef/>
      </w:r>
      <w:r>
        <w:t xml:space="preserve"> </w:t>
      </w:r>
      <w:r>
        <w:rPr>
          <w:rFonts w:hint="eastAsia"/>
        </w:rPr>
        <w:t>附帶一言者，這種例外也應同時適用在訴願機關之停止執行程序中；因為訴願法第</w:t>
      </w:r>
      <w:r>
        <w:rPr>
          <w:rFonts w:hint="eastAsia"/>
        </w:rPr>
        <w:t>93</w:t>
      </w:r>
      <w:r>
        <w:rPr>
          <w:rFonts w:hint="eastAsia"/>
        </w:rPr>
        <w:t>條第</w:t>
      </w:r>
      <w:r>
        <w:rPr>
          <w:rFonts w:hint="eastAsia"/>
        </w:rPr>
        <w:t>2</w:t>
      </w:r>
      <w:r>
        <w:rPr>
          <w:rFonts w:hint="eastAsia"/>
        </w:rPr>
        <w:t>項及第</w:t>
      </w:r>
      <w:r>
        <w:rPr>
          <w:rFonts w:hint="eastAsia"/>
        </w:rPr>
        <w:t>94</w:t>
      </w:r>
      <w:r>
        <w:rPr>
          <w:rFonts w:hint="eastAsia"/>
        </w:rPr>
        <w:t>條第</w:t>
      </w:r>
      <w:r>
        <w:rPr>
          <w:rFonts w:hint="eastAsia"/>
        </w:rPr>
        <w:t>2</w:t>
      </w:r>
      <w:r>
        <w:rPr>
          <w:rFonts w:hint="eastAsia"/>
        </w:rPr>
        <w:t>項，也是</w:t>
      </w:r>
      <w:r>
        <w:rPr>
          <w:rFonts w:hint="eastAsia"/>
          <w:color w:val="000000"/>
        </w:rPr>
        <w:t>准許訴願機關既得依申請，也得依職權決定本案所</w:t>
      </w:r>
      <w:proofErr w:type="gramStart"/>
      <w:r>
        <w:rPr>
          <w:rFonts w:hint="eastAsia"/>
          <w:color w:val="000000"/>
        </w:rPr>
        <w:t>繫</w:t>
      </w:r>
      <w:proofErr w:type="gramEnd"/>
      <w:r>
        <w:rPr>
          <w:rFonts w:hint="eastAsia"/>
          <w:color w:val="000000"/>
        </w:rPr>
        <w:t>之行政處分的停止執行或撤銷停止執行。</w:t>
      </w:r>
    </w:p>
  </w:footnote>
  <w:footnote w:id="6">
    <w:p w:rsidR="009468A2" w:rsidRDefault="009468A2" w:rsidP="009468A2">
      <w:pPr>
        <w:pStyle w:val="a4"/>
        <w:spacing w:after="180"/>
        <w:rPr>
          <w:rFonts w:hint="eastAsia"/>
        </w:rPr>
      </w:pPr>
      <w:r>
        <w:rPr>
          <w:rStyle w:val="a3"/>
        </w:rPr>
        <w:footnoteRef/>
      </w:r>
      <w:r>
        <w:t xml:space="preserve"> </w:t>
      </w:r>
      <w:r>
        <w:rPr>
          <w:rFonts w:hint="eastAsia"/>
        </w:rPr>
        <w:t>見後文本章「第二節、壹」。</w:t>
      </w:r>
    </w:p>
  </w:footnote>
  <w:footnote w:id="7">
    <w:p w:rsidR="009468A2" w:rsidRDefault="009468A2" w:rsidP="009468A2">
      <w:pPr>
        <w:pStyle w:val="a4"/>
        <w:spacing w:after="180"/>
        <w:rPr>
          <w:rFonts w:hint="eastAsia"/>
        </w:rPr>
      </w:pPr>
      <w:r>
        <w:rPr>
          <w:rStyle w:val="a3"/>
        </w:rPr>
        <w:footnoteRef/>
      </w:r>
      <w:r>
        <w:t xml:space="preserve"> </w:t>
      </w:r>
      <w:r>
        <w:rPr>
          <w:rFonts w:hint="eastAsia"/>
        </w:rPr>
        <w:t>至於</w:t>
      </w:r>
      <w:r>
        <w:rPr>
          <w:rFonts w:hint="eastAsia"/>
          <w:color w:val="000000"/>
        </w:rPr>
        <w:t>本案救濟申請不合法，如逾越本案救濟期間等，則將因本案「顯」無勝訴可能，依後文</w:t>
      </w:r>
      <w:r>
        <w:rPr>
          <w:rFonts w:hint="eastAsia"/>
        </w:rPr>
        <w:t>本章「第二節、壹」有關停止執行之實質審查標準的階段化審查模式中第一階段，</w:t>
      </w:r>
      <w:r>
        <w:rPr>
          <w:rFonts w:hint="eastAsia"/>
          <w:color w:val="000000"/>
        </w:rPr>
        <w:t>終究不得為停止執行之決定。</w:t>
      </w:r>
    </w:p>
  </w:footnote>
  <w:footnote w:id="8">
    <w:p w:rsidR="009468A2" w:rsidRDefault="009468A2" w:rsidP="009468A2">
      <w:pPr>
        <w:pStyle w:val="a4"/>
        <w:spacing w:after="180"/>
        <w:rPr>
          <w:rFonts w:hint="eastAsia"/>
          <w:color w:val="000000"/>
        </w:rPr>
      </w:pPr>
      <w:r>
        <w:rPr>
          <w:rStyle w:val="a3"/>
          <w:color w:val="000000"/>
        </w:rPr>
        <w:footnoteRef/>
      </w:r>
      <w:r>
        <w:rPr>
          <w:color w:val="000000"/>
        </w:rPr>
        <w:t xml:space="preserve"> </w:t>
      </w:r>
      <w:r>
        <w:rPr>
          <w:rFonts w:hAnsi="新細明體"/>
          <w:color w:val="000000"/>
        </w:rPr>
        <w:t>關於本問題之整理，參見：</w:t>
      </w:r>
      <w:r>
        <w:rPr>
          <w:rFonts w:hAnsi="新細明體" w:hint="eastAsia"/>
          <w:color w:val="000000"/>
        </w:rPr>
        <w:t>林明昕，</w:t>
      </w:r>
      <w:r>
        <w:rPr>
          <w:rFonts w:ascii="新細明體" w:hAnsi="新細明體" w:hint="eastAsia"/>
          <w:color w:val="000000"/>
        </w:rPr>
        <w:t>〈</w:t>
      </w:r>
      <w:r>
        <w:rPr>
          <w:rFonts w:hAnsi="新細明體"/>
          <w:color w:val="000000"/>
        </w:rPr>
        <w:t>訴願程序中停止執行之管轄機關</w:t>
      </w:r>
      <w:r>
        <w:rPr>
          <w:rFonts w:hAnsi="新細明體" w:hint="eastAsia"/>
          <w:color w:val="000000"/>
        </w:rPr>
        <w:t>〉</w:t>
      </w:r>
      <w:r>
        <w:rPr>
          <w:rFonts w:hAnsi="新細明體"/>
          <w:color w:val="000000"/>
        </w:rPr>
        <w:t>，法學講座</w:t>
      </w:r>
      <w:r>
        <w:rPr>
          <w:color w:val="000000"/>
        </w:rPr>
        <w:t>26</w:t>
      </w:r>
      <w:r>
        <w:rPr>
          <w:rFonts w:hAnsi="新細明體"/>
          <w:color w:val="000000"/>
        </w:rPr>
        <w:t>期</w:t>
      </w:r>
      <w:r>
        <w:rPr>
          <w:rFonts w:hAnsi="新細明體" w:hint="eastAsia"/>
          <w:color w:val="000000"/>
        </w:rPr>
        <w:t>（</w:t>
      </w:r>
      <w:r>
        <w:rPr>
          <w:color w:val="000000"/>
        </w:rPr>
        <w:t>2004</w:t>
      </w:r>
      <w:r>
        <w:rPr>
          <w:rFonts w:hAnsi="新細明體"/>
          <w:color w:val="000000"/>
        </w:rPr>
        <w:t>年</w:t>
      </w:r>
      <w:r>
        <w:rPr>
          <w:color w:val="000000"/>
        </w:rPr>
        <w:t>3</w:t>
      </w:r>
      <w:r>
        <w:rPr>
          <w:rFonts w:hAnsi="新細明體"/>
          <w:color w:val="000000"/>
        </w:rPr>
        <w:t>月</w:t>
      </w:r>
      <w:r>
        <w:rPr>
          <w:rFonts w:hAnsi="新細明體" w:hint="eastAsia"/>
          <w:color w:val="000000"/>
        </w:rPr>
        <w:t>）</w:t>
      </w:r>
      <w:r>
        <w:rPr>
          <w:rFonts w:hAnsi="新細明體"/>
          <w:color w:val="000000"/>
        </w:rPr>
        <w:t>，頁</w:t>
      </w:r>
      <w:r>
        <w:rPr>
          <w:color w:val="000000"/>
        </w:rPr>
        <w:t>57</w:t>
      </w:r>
      <w:r>
        <w:rPr>
          <w:rFonts w:hint="eastAsia"/>
          <w:color w:val="000000"/>
        </w:rPr>
        <w:t>以下。</w:t>
      </w:r>
    </w:p>
  </w:footnote>
  <w:footnote w:id="9">
    <w:p w:rsidR="009468A2" w:rsidRDefault="009468A2" w:rsidP="009468A2">
      <w:pPr>
        <w:pStyle w:val="a4"/>
        <w:spacing w:after="180"/>
        <w:rPr>
          <w:rFonts w:hint="eastAsia"/>
        </w:rPr>
      </w:pPr>
      <w:r>
        <w:rPr>
          <w:rStyle w:val="a3"/>
        </w:rPr>
        <w:footnoteRef/>
      </w:r>
      <w:r>
        <w:rPr>
          <w:rFonts w:hint="eastAsia"/>
        </w:rPr>
        <w:t xml:space="preserve"> </w:t>
      </w:r>
      <w:r>
        <w:rPr>
          <w:rFonts w:hint="eastAsia"/>
        </w:rPr>
        <w:t>在本研究計畫期末審查會議中，有</w:t>
      </w:r>
      <w:proofErr w:type="gramStart"/>
      <w:r>
        <w:rPr>
          <w:rFonts w:hint="eastAsia"/>
        </w:rPr>
        <w:t>詢</w:t>
      </w:r>
      <w:proofErr w:type="gramEnd"/>
      <w:r>
        <w:rPr>
          <w:rFonts w:hint="eastAsia"/>
        </w:rPr>
        <w:t>及「為避免保訓會決定與行政法院之相關裁定，甚至原處分機關或服務機關之相關決定衝突，保訓會在接受當事人停止執行之申請時，</w:t>
      </w:r>
      <w:proofErr w:type="gramStart"/>
      <w:r>
        <w:rPr>
          <w:rFonts w:hint="eastAsia"/>
        </w:rPr>
        <w:t>得否命其</w:t>
      </w:r>
      <w:proofErr w:type="gramEnd"/>
      <w:r>
        <w:rPr>
          <w:rFonts w:hint="eastAsia"/>
        </w:rPr>
        <w:t>陳述是否已先向或同時向其他單位提出相關申請</w:t>
      </w:r>
      <w:r>
        <w:rPr>
          <w:rFonts w:ascii="新細明體" w:hAnsi="新細明體"/>
        </w:rPr>
        <w:t>…</w:t>
      </w:r>
      <w:r>
        <w:rPr>
          <w:rFonts w:hint="eastAsia"/>
        </w:rPr>
        <w:t>」者（見後文相關會議記錄）；就此，本研究報告持贊成之觀點。因為保訓會依事證調查之職權，本得向當事人詢問相關事實，以作為停止執行或撤銷停止執行之准否決定的考量依據。不過，當事人若果已先向或同時向其他單位申請停止執行或撤銷停止執行，也未必妨礙保訓會針對相關申請的決定權限；因為依法保訓會本即有停止執行或撤銷停止執行的管轄權限。萬一相關程序甚為緊急時，保訓會更不應以其他單位可能會作出裁（決）定，</w:t>
      </w:r>
      <w:proofErr w:type="gramStart"/>
      <w:r>
        <w:rPr>
          <w:rFonts w:hint="eastAsia"/>
        </w:rPr>
        <w:t>而裹足</w:t>
      </w:r>
      <w:proofErr w:type="gramEnd"/>
      <w:r>
        <w:rPr>
          <w:rFonts w:hint="eastAsia"/>
        </w:rPr>
        <w:t>不全；否則保訓會即失去作為保障公務員權利之機關的意義。至於當事人隱</w:t>
      </w:r>
      <w:proofErr w:type="gramStart"/>
      <w:r>
        <w:rPr>
          <w:rFonts w:hint="eastAsia"/>
        </w:rPr>
        <w:t>慝</w:t>
      </w:r>
      <w:proofErr w:type="gramEnd"/>
      <w:r>
        <w:rPr>
          <w:rFonts w:hint="eastAsia"/>
        </w:rPr>
        <w:t>事實或虛偽陳述，抑或保訓會作出之決定與其他單位相互牴觸，此一不利，自應由同時或先後向多數單位提出相關申請的當事人自負其責。蓋當事人之行為，不過只是自冒風險；裁（決）定機關就此無違法之可言。</w:t>
      </w:r>
    </w:p>
  </w:footnote>
  <w:footnote w:id="10">
    <w:p w:rsidR="009468A2" w:rsidRDefault="009468A2" w:rsidP="009468A2">
      <w:pPr>
        <w:pStyle w:val="a4"/>
        <w:spacing w:after="180"/>
        <w:rPr>
          <w:rFonts w:hint="eastAsia"/>
        </w:rPr>
      </w:pPr>
      <w:r>
        <w:rPr>
          <w:rStyle w:val="a3"/>
        </w:rPr>
        <w:footnoteRef/>
      </w:r>
      <w:r>
        <w:t xml:space="preserve"> </w:t>
      </w:r>
      <w:r>
        <w:rPr>
          <w:rFonts w:hint="eastAsia"/>
        </w:rPr>
        <w:t>這種情形，主要可能發生在後文「第五」所稱當事人不服保訓會有關停止執行之決定，而於本案起訴前先向行政法院尋求暫時權利保護上之救濟的狀況。</w:t>
      </w:r>
    </w:p>
  </w:footnote>
  <w:footnote w:id="11">
    <w:p w:rsidR="009468A2" w:rsidRDefault="009468A2" w:rsidP="009468A2">
      <w:pPr>
        <w:pStyle w:val="a4"/>
        <w:spacing w:after="180"/>
        <w:rPr>
          <w:rFonts w:hint="eastAsia"/>
        </w:rPr>
      </w:pPr>
      <w:r>
        <w:rPr>
          <w:rStyle w:val="a3"/>
        </w:rPr>
        <w:footnoteRef/>
      </w:r>
      <w:r>
        <w:rPr>
          <w:rFonts w:hint="eastAsia"/>
        </w:rPr>
        <w:t xml:space="preserve"> </w:t>
      </w:r>
      <w:r>
        <w:rPr>
          <w:rFonts w:hint="eastAsia"/>
        </w:rPr>
        <w:t>同樣在本研究計畫期末審查會議中，有質疑保訓會之停止執行或撤銷停止執行決定對於</w:t>
      </w:r>
      <w:r>
        <w:rPr>
          <w:rFonts w:hint="eastAsia"/>
          <w:color w:val="000000"/>
        </w:rPr>
        <w:t>原處分機關或服務機關之拘束力者</w:t>
      </w:r>
      <w:r>
        <w:rPr>
          <w:rFonts w:hint="eastAsia"/>
        </w:rPr>
        <w:t>（見後文相關會議記錄）</w:t>
      </w:r>
      <w:r>
        <w:rPr>
          <w:rFonts w:hint="eastAsia"/>
          <w:color w:val="000000"/>
        </w:rPr>
        <w:t>。就此，本研究報告仍持有拘束力的見解。蓋一方面，保訓會依公務人員保障法第</w:t>
      </w:r>
      <w:r>
        <w:rPr>
          <w:rFonts w:hint="eastAsia"/>
          <w:color w:val="000000"/>
        </w:rPr>
        <w:t>4</w:t>
      </w:r>
      <w:r>
        <w:rPr>
          <w:rFonts w:hint="eastAsia"/>
          <w:color w:val="000000"/>
        </w:rPr>
        <w:t>條第</w:t>
      </w:r>
      <w:r>
        <w:rPr>
          <w:rFonts w:hint="eastAsia"/>
          <w:color w:val="000000"/>
        </w:rPr>
        <w:t>2</w:t>
      </w:r>
      <w:r>
        <w:rPr>
          <w:rFonts w:hint="eastAsia"/>
          <w:color w:val="000000"/>
        </w:rPr>
        <w:t>項作為公務人員保障救濟之主管機關；基於行政機關間分工合作，焉有其就相關事項之決定效力</w:t>
      </w:r>
      <w:proofErr w:type="gramStart"/>
      <w:r>
        <w:rPr>
          <w:rFonts w:hint="eastAsia"/>
          <w:color w:val="000000"/>
        </w:rPr>
        <w:t>不</w:t>
      </w:r>
      <w:proofErr w:type="gramEnd"/>
      <w:r>
        <w:rPr>
          <w:rFonts w:hint="eastAsia"/>
          <w:color w:val="000000"/>
        </w:rPr>
        <w:t>及於其他行政機關者？另一方面，同法第</w:t>
      </w:r>
      <w:r>
        <w:rPr>
          <w:rFonts w:hint="eastAsia"/>
          <w:color w:val="000000"/>
        </w:rPr>
        <w:t>89</w:t>
      </w:r>
      <w:r>
        <w:rPr>
          <w:rFonts w:hint="eastAsia"/>
          <w:color w:val="000000"/>
        </w:rPr>
        <w:t>條第</w:t>
      </w:r>
      <w:r>
        <w:rPr>
          <w:rFonts w:hint="eastAsia"/>
          <w:color w:val="000000"/>
        </w:rPr>
        <w:t>2</w:t>
      </w:r>
      <w:r>
        <w:rPr>
          <w:rFonts w:hint="eastAsia"/>
          <w:color w:val="000000"/>
        </w:rPr>
        <w:t>項及第</w:t>
      </w:r>
      <w:r>
        <w:rPr>
          <w:rFonts w:hint="eastAsia"/>
          <w:color w:val="000000"/>
        </w:rPr>
        <w:t>90</w:t>
      </w:r>
      <w:r>
        <w:rPr>
          <w:rFonts w:hint="eastAsia"/>
          <w:color w:val="000000"/>
        </w:rPr>
        <w:t>條既同時授權保訓會得為</w:t>
      </w:r>
      <w:r>
        <w:rPr>
          <w:rFonts w:hint="eastAsia"/>
        </w:rPr>
        <w:t>停止執行或撤銷停止執行之決定，更可看出，法律有使保訓會之相關決定效力拘束</w:t>
      </w:r>
      <w:r>
        <w:rPr>
          <w:rFonts w:hint="eastAsia"/>
          <w:color w:val="000000"/>
        </w:rPr>
        <w:t>原處分機關或服務機關的意旨；否則，倘若保訓會的決定無任何拘束力，則法律又為何仍使該機關也能針對停止執行問題作出決定？</w:t>
      </w:r>
    </w:p>
  </w:footnote>
  <w:footnote w:id="12">
    <w:p w:rsidR="009468A2" w:rsidRDefault="009468A2" w:rsidP="009468A2">
      <w:pPr>
        <w:pStyle w:val="a4"/>
        <w:spacing w:after="180"/>
        <w:rPr>
          <w:rFonts w:hint="eastAsia"/>
        </w:rPr>
      </w:pPr>
      <w:r>
        <w:rPr>
          <w:rStyle w:val="a3"/>
        </w:rPr>
        <w:footnoteRef/>
      </w:r>
      <w:r>
        <w:t xml:space="preserve"> </w:t>
      </w:r>
      <w:r>
        <w:rPr>
          <w:rFonts w:hint="eastAsia"/>
        </w:rPr>
        <w:t>有關行政法院相關實務之檢討與批判，詳見：</w:t>
      </w:r>
      <w:r>
        <w:rPr>
          <w:rFonts w:hAnsi="新細明體"/>
          <w:color w:val="000000"/>
        </w:rPr>
        <w:t>林明昕</w:t>
      </w:r>
      <w:r>
        <w:rPr>
          <w:rFonts w:hAnsi="新細明體" w:hint="eastAsia"/>
          <w:color w:val="000000"/>
        </w:rPr>
        <w:t>，</w:t>
      </w:r>
      <w:r>
        <w:rPr>
          <w:rFonts w:hAnsi="新細明體"/>
          <w:color w:val="000000"/>
        </w:rPr>
        <w:t>〈行政爭訟上停止執行之實體審查標準</w:t>
      </w:r>
      <w:r>
        <w:rPr>
          <w:color w:val="000000"/>
        </w:rPr>
        <w:t xml:space="preserve"> </w:t>
      </w:r>
      <w:r>
        <w:t xml:space="preserve">— </w:t>
      </w:r>
      <w:r>
        <w:rPr>
          <w:rFonts w:hAnsi="新細明體"/>
        </w:rPr>
        <w:t>以行政訴訟法第一百十六條第二項為中心〉</w:t>
      </w:r>
      <w:r>
        <w:rPr>
          <w:rFonts w:hAnsi="新細明體"/>
          <w:color w:val="000000"/>
        </w:rPr>
        <w:t>，收於：湯德宗／劉淑範主編，《</w:t>
      </w:r>
      <w:r>
        <w:rPr>
          <w:color w:val="000000"/>
        </w:rPr>
        <w:t>2005</w:t>
      </w:r>
      <w:r>
        <w:rPr>
          <w:rFonts w:hAnsi="新細明體"/>
          <w:color w:val="000000"/>
        </w:rPr>
        <w:t>行政管制與行政爭訟》，</w:t>
      </w:r>
      <w:r>
        <w:rPr>
          <w:color w:val="000000"/>
        </w:rPr>
        <w:t>2006</w:t>
      </w:r>
      <w:r>
        <w:rPr>
          <w:rFonts w:hAnsi="新細明體"/>
          <w:color w:val="000000"/>
        </w:rPr>
        <w:t>年，頁</w:t>
      </w:r>
      <w:r>
        <w:rPr>
          <w:rFonts w:hint="eastAsia"/>
          <w:color w:val="000000"/>
        </w:rPr>
        <w:t>10</w:t>
      </w:r>
      <w:r>
        <w:rPr>
          <w:rFonts w:hint="eastAsia"/>
          <w:color w:val="000000"/>
        </w:rPr>
        <w:t>以下。</w:t>
      </w:r>
    </w:p>
  </w:footnote>
  <w:footnote w:id="13">
    <w:p w:rsidR="009468A2" w:rsidRDefault="009468A2" w:rsidP="009468A2">
      <w:pPr>
        <w:pStyle w:val="a4"/>
        <w:spacing w:after="180"/>
        <w:rPr>
          <w:rFonts w:hint="eastAsia"/>
        </w:rPr>
      </w:pPr>
      <w:r>
        <w:rPr>
          <w:rStyle w:val="a3"/>
        </w:rPr>
        <w:footnoteRef/>
      </w:r>
      <w:r>
        <w:t xml:space="preserve"> </w:t>
      </w:r>
      <w:r>
        <w:rPr>
          <w:rFonts w:hint="eastAsia"/>
        </w:rPr>
        <w:t>相關之論證，詳見前揭</w:t>
      </w:r>
      <w:proofErr w:type="gramStart"/>
      <w:r>
        <w:rPr>
          <w:rFonts w:hint="eastAsia"/>
        </w:rPr>
        <w:t>註</w:t>
      </w:r>
      <w:proofErr w:type="gramEnd"/>
      <w:r>
        <w:rPr>
          <w:rFonts w:hint="eastAsia"/>
        </w:rPr>
        <w:t>，頁</w:t>
      </w:r>
      <w:r>
        <w:rPr>
          <w:rFonts w:hint="eastAsia"/>
        </w:rPr>
        <w:t>19</w:t>
      </w:r>
      <w:r>
        <w:rPr>
          <w:rFonts w:hint="eastAsia"/>
        </w:rPr>
        <w:t>以下。</w:t>
      </w:r>
      <w:proofErr w:type="gramStart"/>
      <w:r>
        <w:rPr>
          <w:rFonts w:hint="eastAsia"/>
        </w:rPr>
        <w:t>此外，</w:t>
      </w:r>
      <w:proofErr w:type="gramEnd"/>
      <w:r>
        <w:rPr>
          <w:rFonts w:hint="eastAsia"/>
        </w:rPr>
        <w:t>在本研究計畫之專家座談會的會議記錄中亦可看出，國內實務就此</w:t>
      </w:r>
      <w:proofErr w:type="gramStart"/>
      <w:r>
        <w:rPr>
          <w:rFonts w:hint="eastAsia"/>
        </w:rPr>
        <w:t>一</w:t>
      </w:r>
      <w:proofErr w:type="gramEnd"/>
      <w:r>
        <w:rPr>
          <w:rFonts w:hint="eastAsia"/>
        </w:rPr>
        <w:t>問題的見解其實也相當不一致；就此，詳見後文「附錄　參、二」。</w:t>
      </w:r>
    </w:p>
  </w:footnote>
  <w:footnote w:id="14">
    <w:p w:rsidR="009468A2" w:rsidRDefault="009468A2" w:rsidP="009468A2">
      <w:pPr>
        <w:pStyle w:val="a4"/>
        <w:spacing w:after="180"/>
        <w:rPr>
          <w:rFonts w:hint="eastAsia"/>
        </w:rPr>
      </w:pPr>
      <w:r>
        <w:rPr>
          <w:rStyle w:val="a3"/>
        </w:rPr>
        <w:footnoteRef/>
      </w:r>
      <w:r>
        <w:rPr>
          <w:rFonts w:hint="eastAsia"/>
        </w:rPr>
        <w:t xml:space="preserve"> </w:t>
      </w:r>
      <w:r>
        <w:rPr>
          <w:rFonts w:hint="eastAsia"/>
        </w:rPr>
        <w:t>關於日本法的問題，詳見：</w:t>
      </w:r>
      <w:r>
        <w:rPr>
          <w:rFonts w:hint="eastAsia"/>
          <w:color w:val="000000"/>
        </w:rPr>
        <w:t xml:space="preserve">南　</w:t>
      </w:r>
      <w:proofErr w:type="gramStart"/>
      <w:r>
        <w:rPr>
          <w:rFonts w:hint="eastAsia"/>
          <w:color w:val="000000"/>
        </w:rPr>
        <w:t>博方</w:t>
      </w:r>
      <w:proofErr w:type="gramEnd"/>
      <w:r>
        <w:rPr>
          <w:rFonts w:hint="eastAsia"/>
          <w:color w:val="000000"/>
        </w:rPr>
        <w:t>／高橋　滋　編『</w:t>
      </w:r>
      <w:r>
        <w:rPr>
          <w:rFonts w:ascii="新細明體" w:hint="eastAsia"/>
          <w:color w:val="000000"/>
        </w:rPr>
        <w:t>条</w:t>
      </w:r>
      <w:r>
        <w:rPr>
          <w:rFonts w:hint="eastAsia"/>
          <w:color w:val="000000"/>
        </w:rPr>
        <w:t>解行政事件訴訟法〔第</w:t>
      </w:r>
      <w:r>
        <w:rPr>
          <w:rFonts w:hint="eastAsia"/>
          <w:color w:val="000000"/>
        </w:rPr>
        <w:t>3</w:t>
      </w:r>
      <w:r>
        <w:rPr>
          <w:rFonts w:hint="eastAsia"/>
          <w:color w:val="000000"/>
        </w:rPr>
        <w:t>版〕』（弘文堂，</w:t>
      </w:r>
      <w:r>
        <w:rPr>
          <w:rFonts w:hint="eastAsia"/>
          <w:color w:val="000000"/>
        </w:rPr>
        <w:t>2006</w:t>
      </w:r>
      <w:r>
        <w:rPr>
          <w:rFonts w:hint="eastAsia"/>
          <w:color w:val="000000"/>
        </w:rPr>
        <w:t>年），頁</w:t>
      </w:r>
      <w:r>
        <w:rPr>
          <w:rFonts w:hint="eastAsia"/>
          <w:color w:val="000000"/>
        </w:rPr>
        <w:t>466</w:t>
      </w:r>
      <w:r>
        <w:rPr>
          <w:rFonts w:hint="eastAsia"/>
          <w:color w:val="000000"/>
        </w:rPr>
        <w:t>以下（金子正史　執筆）。</w:t>
      </w:r>
    </w:p>
  </w:footnote>
  <w:footnote w:id="15">
    <w:p w:rsidR="009468A2" w:rsidRDefault="009468A2" w:rsidP="009468A2">
      <w:pPr>
        <w:pStyle w:val="a4"/>
        <w:spacing w:after="180"/>
        <w:rPr>
          <w:rFonts w:hint="eastAsia"/>
        </w:rPr>
      </w:pPr>
      <w:r>
        <w:rPr>
          <w:rStyle w:val="a3"/>
        </w:rPr>
        <w:footnoteRef/>
      </w:r>
      <w:r>
        <w:t xml:space="preserve"> </w:t>
      </w:r>
      <w:r>
        <w:rPr>
          <w:rFonts w:hint="eastAsia"/>
        </w:rPr>
        <w:t>就此，詳見：</w:t>
      </w:r>
      <w:r>
        <w:rPr>
          <w:rFonts w:hAnsi="新細明體"/>
          <w:color w:val="000000"/>
        </w:rPr>
        <w:t>林明昕</w:t>
      </w:r>
      <w:r>
        <w:rPr>
          <w:rFonts w:hAnsi="新細明體" w:hint="eastAsia"/>
          <w:color w:val="000000"/>
        </w:rPr>
        <w:t>，</w:t>
      </w:r>
      <w:r>
        <w:rPr>
          <w:rFonts w:hAnsi="新細明體"/>
          <w:color w:val="000000"/>
        </w:rPr>
        <w:t>〈行政爭訟上停止執行之實體審查標準</w:t>
      </w:r>
      <w:r>
        <w:rPr>
          <w:color w:val="000000"/>
        </w:rPr>
        <w:t xml:space="preserve"> </w:t>
      </w:r>
      <w:r>
        <w:t xml:space="preserve">— </w:t>
      </w:r>
      <w:r>
        <w:rPr>
          <w:rFonts w:hAnsi="新細明體"/>
        </w:rPr>
        <w:t>以行政訴訟法第一百十六條第二項為中心〉</w:t>
      </w:r>
      <w:r>
        <w:rPr>
          <w:rFonts w:hAnsi="新細明體"/>
          <w:color w:val="000000"/>
        </w:rPr>
        <w:t>，收於：湯德宗／劉淑範主編，《</w:t>
      </w:r>
      <w:r>
        <w:rPr>
          <w:color w:val="000000"/>
        </w:rPr>
        <w:t>2005</w:t>
      </w:r>
      <w:r>
        <w:rPr>
          <w:rFonts w:hAnsi="新細明體"/>
          <w:color w:val="000000"/>
        </w:rPr>
        <w:t>行政管制與行政爭訟》，</w:t>
      </w:r>
      <w:r>
        <w:rPr>
          <w:color w:val="000000"/>
        </w:rPr>
        <w:t>2006</w:t>
      </w:r>
      <w:r>
        <w:rPr>
          <w:rFonts w:hAnsi="新細明體"/>
          <w:color w:val="000000"/>
        </w:rPr>
        <w:t>年，頁</w:t>
      </w:r>
      <w:r>
        <w:rPr>
          <w:rFonts w:hint="eastAsia"/>
          <w:color w:val="000000"/>
        </w:rPr>
        <w:t>28</w:t>
      </w:r>
      <w:r>
        <w:rPr>
          <w:rFonts w:hint="eastAsia"/>
          <w:color w:val="000000"/>
        </w:rPr>
        <w:t>以下。</w:t>
      </w:r>
    </w:p>
  </w:footnote>
  <w:footnote w:id="16">
    <w:p w:rsidR="009468A2" w:rsidRDefault="009468A2" w:rsidP="009468A2">
      <w:pPr>
        <w:pStyle w:val="a4"/>
        <w:spacing w:after="180"/>
        <w:rPr>
          <w:rFonts w:hint="eastAsia"/>
          <w:color w:val="000000"/>
        </w:rPr>
      </w:pPr>
      <w:r>
        <w:rPr>
          <w:rStyle w:val="a3"/>
          <w:color w:val="000000"/>
        </w:rPr>
        <w:footnoteRef/>
      </w:r>
      <w:r>
        <w:rPr>
          <w:color w:val="000000"/>
        </w:rPr>
        <w:t xml:space="preserve"> </w:t>
      </w:r>
      <w:r>
        <w:rPr>
          <w:rFonts w:hint="eastAsia"/>
          <w:color w:val="000000"/>
        </w:rPr>
        <w:t>就此，詳見：</w:t>
      </w:r>
      <w:r>
        <w:rPr>
          <w:rFonts w:hint="eastAsia"/>
          <w:i/>
          <w:iCs/>
          <w:color w:val="000000"/>
        </w:rPr>
        <w:t>Schoch</w:t>
      </w:r>
      <w:r>
        <w:rPr>
          <w:rFonts w:hint="eastAsia"/>
          <w:color w:val="000000"/>
        </w:rPr>
        <w:t xml:space="preserve">, in: </w:t>
      </w:r>
      <w:r>
        <w:rPr>
          <w:rFonts w:hint="eastAsia"/>
          <w:iCs/>
          <w:color w:val="000000"/>
        </w:rPr>
        <w:t>Schoch/Schmidt-A</w:t>
      </w:r>
      <w:r>
        <w:rPr>
          <w:iCs/>
          <w:color w:val="000000"/>
        </w:rPr>
        <w:t>ß</w:t>
      </w:r>
      <w:r>
        <w:rPr>
          <w:rFonts w:hint="eastAsia"/>
          <w:iCs/>
          <w:color w:val="000000"/>
        </w:rPr>
        <w:t xml:space="preserve">mann/Pietzner </w:t>
      </w:r>
      <w:r>
        <w:rPr>
          <w:rFonts w:hint="eastAsia"/>
          <w:color w:val="000000"/>
        </w:rPr>
        <w:t>(Hrsg.), Verwaltungs</w:t>
      </w:r>
      <w:r>
        <w:rPr>
          <w:color w:val="000000"/>
        </w:rPr>
        <w:softHyphen/>
      </w:r>
      <w:r>
        <w:rPr>
          <w:rFonts w:hint="eastAsia"/>
          <w:color w:val="000000"/>
        </w:rPr>
        <w:t>ge</w:t>
      </w:r>
      <w:r>
        <w:rPr>
          <w:color w:val="000000"/>
        </w:rPr>
        <w:softHyphen/>
      </w:r>
      <w:r>
        <w:rPr>
          <w:rFonts w:hint="eastAsia"/>
          <w:color w:val="000000"/>
        </w:rPr>
        <w:t xml:space="preserve">richtsordnung Kommentar, </w:t>
      </w:r>
      <w:r>
        <w:rPr>
          <w:color w:val="000000"/>
        </w:rPr>
        <w:t>§ </w:t>
      </w:r>
      <w:r>
        <w:rPr>
          <w:rFonts w:hint="eastAsia"/>
          <w:color w:val="000000"/>
        </w:rPr>
        <w:t>80 Rn. 250 [Stand: Okt. 2008</w:t>
      </w:r>
      <w:proofErr w:type="gramStart"/>
      <w:r>
        <w:rPr>
          <w:rFonts w:hint="eastAsia"/>
          <w:color w:val="000000"/>
        </w:rPr>
        <w:t>]</w:t>
      </w:r>
      <w:r>
        <w:rPr>
          <w:rFonts w:hint="eastAsia"/>
          <w:color w:val="000000"/>
        </w:rPr>
        <w:t>。</w:t>
      </w:r>
      <w:proofErr w:type="gramEnd"/>
    </w:p>
  </w:footnote>
  <w:footnote w:id="17">
    <w:p w:rsidR="009468A2" w:rsidRDefault="009468A2" w:rsidP="009468A2">
      <w:pPr>
        <w:pStyle w:val="a4"/>
        <w:spacing w:after="180"/>
        <w:rPr>
          <w:rFonts w:hint="eastAsia"/>
          <w:color w:val="000000"/>
        </w:rPr>
      </w:pPr>
      <w:r>
        <w:rPr>
          <w:rStyle w:val="a3"/>
          <w:color w:val="000000"/>
        </w:rPr>
        <w:footnoteRef/>
      </w:r>
      <w:r>
        <w:rPr>
          <w:rFonts w:hint="eastAsia"/>
          <w:color w:val="000000"/>
        </w:rPr>
        <w:t xml:space="preserve"> </w:t>
      </w:r>
      <w:r>
        <w:rPr>
          <w:rFonts w:hint="eastAsia"/>
          <w:color w:val="000000"/>
        </w:rPr>
        <w:t>就此，中文之相關文獻，參見：</w:t>
      </w:r>
      <w:r>
        <w:rPr>
          <w:color w:val="000000"/>
        </w:rPr>
        <w:t>陳英鈐</w:t>
      </w:r>
      <w:r>
        <w:rPr>
          <w:rFonts w:hint="eastAsia"/>
          <w:color w:val="000000"/>
        </w:rPr>
        <w:t>，</w:t>
      </w:r>
      <w:r>
        <w:rPr>
          <w:color w:val="000000"/>
        </w:rPr>
        <w:t>〈</w:t>
      </w:r>
      <w:r>
        <w:rPr>
          <w:rFonts w:hint="eastAsia"/>
          <w:color w:val="000000"/>
        </w:rPr>
        <w:t>撤銷訴訟與行政處分之停止執行</w:t>
      </w:r>
      <w:r>
        <w:rPr>
          <w:rFonts w:hint="eastAsia"/>
          <w:color w:val="000000"/>
        </w:rPr>
        <w:t xml:space="preserve"> </w:t>
      </w:r>
      <w:r>
        <w:rPr>
          <w:rFonts w:hint="eastAsia"/>
          <w:color w:val="000000"/>
        </w:rPr>
        <w:t>—</w:t>
      </w:r>
      <w:r>
        <w:rPr>
          <w:rFonts w:hint="eastAsia"/>
          <w:color w:val="000000"/>
        </w:rPr>
        <w:t xml:space="preserve"> </w:t>
      </w:r>
      <w:r>
        <w:rPr>
          <w:rFonts w:hint="eastAsia"/>
          <w:color w:val="000000"/>
        </w:rPr>
        <w:t>人民權利保護的櫥窗</w:t>
      </w:r>
      <w:r>
        <w:rPr>
          <w:color w:val="000000"/>
        </w:rPr>
        <w:t>〉</w:t>
      </w:r>
      <w:r>
        <w:rPr>
          <w:rFonts w:hint="eastAsia"/>
          <w:color w:val="000000"/>
        </w:rPr>
        <w:t>，收於：台灣行政法學會主編，</w:t>
      </w:r>
      <w:r>
        <w:rPr>
          <w:color w:val="000000"/>
        </w:rPr>
        <w:t>《</w:t>
      </w:r>
      <w:r>
        <w:rPr>
          <w:rFonts w:hint="eastAsia"/>
          <w:color w:val="000000"/>
        </w:rPr>
        <w:t>行政法爭議問題研究（下）</w:t>
      </w:r>
      <w:r>
        <w:rPr>
          <w:color w:val="000000"/>
        </w:rPr>
        <w:t>》</w:t>
      </w:r>
      <w:r>
        <w:rPr>
          <w:rFonts w:hint="eastAsia"/>
          <w:color w:val="000000"/>
        </w:rPr>
        <w:t>，</w:t>
      </w:r>
      <w:r>
        <w:rPr>
          <w:rFonts w:hint="eastAsia"/>
          <w:color w:val="000000"/>
        </w:rPr>
        <w:t>2000</w:t>
      </w:r>
      <w:r>
        <w:rPr>
          <w:rFonts w:hint="eastAsia"/>
          <w:color w:val="000000"/>
        </w:rPr>
        <w:t>年，頁</w:t>
      </w:r>
      <w:r>
        <w:rPr>
          <w:rFonts w:hint="eastAsia"/>
          <w:color w:val="000000"/>
        </w:rPr>
        <w:t>1022</w:t>
      </w:r>
      <w:r>
        <w:rPr>
          <w:rFonts w:hint="eastAsia"/>
          <w:color w:val="000000"/>
        </w:rPr>
        <w:t>。</w:t>
      </w:r>
      <w:proofErr w:type="gramStart"/>
      <w:r>
        <w:rPr>
          <w:rFonts w:hint="eastAsia"/>
          <w:color w:val="000000"/>
        </w:rPr>
        <w:t>此外，</w:t>
      </w:r>
      <w:proofErr w:type="gramEnd"/>
      <w:r>
        <w:rPr>
          <w:rFonts w:hint="eastAsia"/>
          <w:color w:val="000000"/>
        </w:rPr>
        <w:t>另須注意者，這兩套模式之爭，並非停止執行程序所特有；在各種訴訟程序上各類型之暫時權利保護制度中，有關實體審查標準的問題，德國</w:t>
      </w:r>
      <w:proofErr w:type="gramStart"/>
      <w:r>
        <w:rPr>
          <w:rFonts w:hint="eastAsia"/>
          <w:color w:val="000000"/>
        </w:rPr>
        <w:t>始終均有類似</w:t>
      </w:r>
      <w:proofErr w:type="gramEnd"/>
      <w:r>
        <w:rPr>
          <w:rFonts w:hint="eastAsia"/>
          <w:color w:val="000000"/>
        </w:rPr>
        <w:t>的爭議。就此，詳見：</w:t>
      </w:r>
      <w:r>
        <w:rPr>
          <w:rFonts w:hint="eastAsia"/>
          <w:i/>
          <w:color w:val="000000"/>
        </w:rPr>
        <w:t>Leipold</w:t>
      </w:r>
      <w:r>
        <w:rPr>
          <w:rFonts w:hint="eastAsia"/>
          <w:color w:val="000000"/>
        </w:rPr>
        <w:t>, Grund</w:t>
      </w:r>
      <w:r>
        <w:rPr>
          <w:color w:val="000000"/>
        </w:rPr>
        <w:softHyphen/>
      </w:r>
      <w:r>
        <w:rPr>
          <w:rFonts w:hint="eastAsia"/>
          <w:color w:val="000000"/>
        </w:rPr>
        <w:t>lagen des einstweiligen Rechtsschutzes im zivil-, verfassungs- und verwaltungsgerichtlichen Verfahren, 1971, S. 52 ff.</w:t>
      </w:r>
      <w:r>
        <w:rPr>
          <w:rFonts w:hint="eastAsia"/>
          <w:color w:val="000000"/>
        </w:rPr>
        <w:t>。</w:t>
      </w:r>
    </w:p>
  </w:footnote>
  <w:footnote w:id="18">
    <w:p w:rsidR="009468A2" w:rsidRDefault="009468A2" w:rsidP="009468A2">
      <w:pPr>
        <w:pStyle w:val="a4"/>
        <w:spacing w:after="180"/>
        <w:rPr>
          <w:rFonts w:hint="eastAsia"/>
          <w:color w:val="000000"/>
        </w:rPr>
      </w:pPr>
      <w:r>
        <w:rPr>
          <w:rStyle w:val="a3"/>
          <w:color w:val="000000"/>
        </w:rPr>
        <w:footnoteRef/>
      </w:r>
      <w:r>
        <w:rPr>
          <w:rFonts w:hint="eastAsia"/>
          <w:color w:val="000000"/>
        </w:rPr>
        <w:t xml:space="preserve"> </w:t>
      </w:r>
      <w:r>
        <w:rPr>
          <w:color w:val="000000"/>
        </w:rPr>
        <w:t>相關實務分析，詳見：</w:t>
      </w:r>
      <w:r>
        <w:rPr>
          <w:rFonts w:hint="eastAsia"/>
          <w:i/>
          <w:iCs/>
          <w:color w:val="000000"/>
        </w:rPr>
        <w:t>Schoch</w:t>
      </w:r>
      <w:r>
        <w:rPr>
          <w:rFonts w:hint="eastAsia"/>
          <w:color w:val="000000"/>
        </w:rPr>
        <w:t xml:space="preserve">, in: </w:t>
      </w:r>
      <w:r>
        <w:rPr>
          <w:rFonts w:hint="eastAsia"/>
          <w:iCs/>
          <w:color w:val="000000"/>
        </w:rPr>
        <w:t>Schoch/Schmidt-A</w:t>
      </w:r>
      <w:r>
        <w:rPr>
          <w:iCs/>
          <w:color w:val="000000"/>
        </w:rPr>
        <w:t>ß</w:t>
      </w:r>
      <w:r>
        <w:rPr>
          <w:rFonts w:hint="eastAsia"/>
          <w:iCs/>
          <w:color w:val="000000"/>
        </w:rPr>
        <w:t xml:space="preserve">mann/Pietzner </w:t>
      </w:r>
      <w:r>
        <w:rPr>
          <w:rFonts w:hint="eastAsia"/>
          <w:color w:val="000000"/>
        </w:rPr>
        <w:t>(Hrsg.), Verwaltungsge</w:t>
      </w:r>
      <w:r>
        <w:rPr>
          <w:color w:val="000000"/>
        </w:rPr>
        <w:softHyphen/>
      </w:r>
      <w:r>
        <w:rPr>
          <w:rFonts w:hint="eastAsia"/>
          <w:color w:val="000000"/>
        </w:rPr>
        <w:t xml:space="preserve">richtsordnung Kommentar, </w:t>
      </w:r>
      <w:r>
        <w:rPr>
          <w:color w:val="000000"/>
        </w:rPr>
        <w:t>§ </w:t>
      </w:r>
      <w:r>
        <w:rPr>
          <w:rFonts w:hint="eastAsia"/>
          <w:color w:val="000000"/>
        </w:rPr>
        <w:t>80 Rn. 252 ff. [Stand: Okt. 2008</w:t>
      </w:r>
      <w:proofErr w:type="gramStart"/>
      <w:r>
        <w:rPr>
          <w:rFonts w:hint="eastAsia"/>
          <w:color w:val="000000"/>
        </w:rPr>
        <w:t>]</w:t>
      </w:r>
      <w:r>
        <w:rPr>
          <w:rFonts w:hint="eastAsia"/>
          <w:color w:val="000000"/>
        </w:rPr>
        <w:t>。</w:t>
      </w:r>
      <w:proofErr w:type="gramEnd"/>
    </w:p>
  </w:footnote>
  <w:footnote w:id="19">
    <w:p w:rsidR="009468A2" w:rsidRDefault="009468A2" w:rsidP="009468A2">
      <w:pPr>
        <w:pStyle w:val="a4"/>
        <w:spacing w:after="180"/>
        <w:rPr>
          <w:rFonts w:hint="eastAsia"/>
          <w:color w:val="000000"/>
        </w:rPr>
      </w:pPr>
      <w:r>
        <w:rPr>
          <w:rStyle w:val="a3"/>
          <w:color w:val="000000"/>
        </w:rPr>
        <w:footnoteRef/>
      </w:r>
      <w:r>
        <w:rPr>
          <w:rFonts w:hint="eastAsia"/>
          <w:color w:val="000000"/>
        </w:rPr>
        <w:t xml:space="preserve"> </w:t>
      </w:r>
      <w:r>
        <w:rPr>
          <w:rFonts w:hint="eastAsia"/>
          <w:color w:val="000000"/>
        </w:rPr>
        <w:t>同前</w:t>
      </w:r>
      <w:proofErr w:type="gramStart"/>
      <w:r>
        <w:rPr>
          <w:rFonts w:hint="eastAsia"/>
          <w:color w:val="000000"/>
        </w:rPr>
        <w:t>註</w:t>
      </w:r>
      <w:proofErr w:type="gramEnd"/>
      <w:r>
        <w:rPr>
          <w:rFonts w:hint="eastAsia"/>
          <w:color w:val="000000"/>
        </w:rPr>
        <w:t>。</w:t>
      </w:r>
    </w:p>
  </w:footnote>
  <w:footnote w:id="20">
    <w:p w:rsidR="009468A2" w:rsidRDefault="009468A2" w:rsidP="009468A2">
      <w:pPr>
        <w:pStyle w:val="a4"/>
        <w:spacing w:after="180"/>
        <w:rPr>
          <w:rFonts w:hint="eastAsia"/>
          <w:color w:val="000000"/>
        </w:rPr>
      </w:pPr>
      <w:r>
        <w:rPr>
          <w:rStyle w:val="a3"/>
          <w:color w:val="000000"/>
        </w:rPr>
        <w:footnoteRef/>
      </w:r>
      <w:r>
        <w:rPr>
          <w:color w:val="000000"/>
        </w:rPr>
        <w:t xml:space="preserve"> </w:t>
      </w:r>
      <w:r>
        <w:rPr>
          <w:rFonts w:hint="eastAsia"/>
          <w:color w:val="000000"/>
        </w:rPr>
        <w:t>這一套公式，</w:t>
      </w:r>
      <w:proofErr w:type="gramStart"/>
      <w:r>
        <w:rPr>
          <w:rFonts w:hint="eastAsia"/>
          <w:color w:val="000000"/>
        </w:rPr>
        <w:t>同見</w:t>
      </w:r>
      <w:proofErr w:type="gramEnd"/>
      <w:r>
        <w:rPr>
          <w:rFonts w:hint="eastAsia"/>
          <w:color w:val="000000"/>
        </w:rPr>
        <w:t>：</w:t>
      </w:r>
      <w:r>
        <w:rPr>
          <w:rFonts w:hint="eastAsia"/>
          <w:i/>
          <w:color w:val="000000"/>
        </w:rPr>
        <w:t>Ronellenfitsch</w:t>
      </w:r>
      <w:r>
        <w:rPr>
          <w:rFonts w:hint="eastAsia"/>
          <w:iCs/>
          <w:color w:val="000000"/>
        </w:rPr>
        <w:t xml:space="preserve">, in: </w:t>
      </w:r>
      <w:r>
        <w:rPr>
          <w:rFonts w:hint="eastAsia"/>
        </w:rPr>
        <w:t xml:space="preserve">Pietzner/Ronellenfitsch, Das Assessorexamen im </w:t>
      </w:r>
      <w:r>
        <w:t>ö</w:t>
      </w:r>
      <w:r>
        <w:rPr>
          <w:rFonts w:hint="eastAsia"/>
        </w:rPr>
        <w:t>ffentli</w:t>
      </w:r>
      <w:r>
        <w:softHyphen/>
      </w:r>
      <w:r>
        <w:rPr>
          <w:rFonts w:hint="eastAsia"/>
        </w:rPr>
        <w:t xml:space="preserve">chen Recht, </w:t>
      </w:r>
      <w:r>
        <w:t>—</w:t>
      </w:r>
      <w:r>
        <w:rPr>
          <w:rFonts w:hint="eastAsia"/>
        </w:rPr>
        <w:t xml:space="preserve"> Widerspruchsverfahren und Verwaltungsproze</w:t>
      </w:r>
      <w:r>
        <w:t>ß</w:t>
      </w:r>
      <w:r>
        <w:rPr>
          <w:rFonts w:hint="eastAsia"/>
        </w:rPr>
        <w:t xml:space="preserve">, </w:t>
      </w:r>
      <w:proofErr w:type="gramStart"/>
      <w:r>
        <w:rPr>
          <w:rFonts w:hint="eastAsia"/>
        </w:rPr>
        <w:t>11</w:t>
      </w:r>
      <w:proofErr w:type="gramEnd"/>
      <w:r>
        <w:rPr>
          <w:rFonts w:hint="eastAsia"/>
        </w:rPr>
        <w:t xml:space="preserve">. </w:t>
      </w:r>
      <w:r>
        <w:rPr>
          <w:rFonts w:hint="eastAsia"/>
          <w:lang w:val="de-DE"/>
        </w:rPr>
        <w:t>Aufl. 2005,</w:t>
      </w:r>
      <w:r>
        <w:rPr>
          <w:rFonts w:hint="eastAsia"/>
          <w:color w:val="000000"/>
          <w:lang w:val="de-DE"/>
        </w:rPr>
        <w:t xml:space="preserve"> </w:t>
      </w:r>
      <w:r>
        <w:rPr>
          <w:color w:val="000000"/>
          <w:lang w:val="de-DE"/>
        </w:rPr>
        <w:t>§ </w:t>
      </w:r>
      <w:r>
        <w:rPr>
          <w:rFonts w:hint="eastAsia"/>
          <w:color w:val="000000"/>
          <w:lang w:val="de-DE"/>
        </w:rPr>
        <w:t>58 Rn. 20</w:t>
      </w:r>
      <w:r>
        <w:rPr>
          <w:color w:val="000000"/>
          <w:lang w:val="de-DE"/>
        </w:rPr>
        <w:t> </w:t>
      </w:r>
      <w:r>
        <w:rPr>
          <w:rFonts w:hint="eastAsia"/>
          <w:color w:val="000000"/>
          <w:lang w:val="de-DE"/>
        </w:rPr>
        <w:t xml:space="preserve">ff.; </w:t>
      </w:r>
      <w:r>
        <w:rPr>
          <w:rFonts w:hint="eastAsia"/>
          <w:i/>
          <w:color w:val="000000"/>
          <w:lang w:val="de-DE"/>
        </w:rPr>
        <w:t>J. Schmidt</w:t>
      </w:r>
      <w:r>
        <w:rPr>
          <w:rFonts w:hint="eastAsia"/>
          <w:color w:val="000000"/>
          <w:lang w:val="de-DE"/>
        </w:rPr>
        <w:t xml:space="preserve">, in: </w:t>
      </w:r>
      <w:r>
        <w:rPr>
          <w:rFonts w:hint="eastAsia"/>
          <w:lang w:val="de-DE"/>
        </w:rPr>
        <w:t>Eyermann/Fr</w:t>
      </w:r>
      <w:r>
        <w:rPr>
          <w:lang w:val="de-DE"/>
        </w:rPr>
        <w:t>ö</w:t>
      </w:r>
      <w:r>
        <w:rPr>
          <w:rFonts w:hint="eastAsia"/>
          <w:lang w:val="de-DE"/>
        </w:rPr>
        <w:t xml:space="preserve">hler (Begr.), Verwaltungsgerichtsordnung Kommentar, 12. Aufl. 2006, </w:t>
      </w:r>
      <w:r>
        <w:rPr>
          <w:color w:val="000000"/>
        </w:rPr>
        <w:t>§ </w:t>
      </w:r>
      <w:r>
        <w:rPr>
          <w:rFonts w:hint="eastAsia"/>
          <w:color w:val="000000"/>
        </w:rPr>
        <w:t>80 Rn. 72 ff. (insb. 80</w:t>
      </w:r>
      <w:proofErr w:type="gramStart"/>
      <w:r>
        <w:rPr>
          <w:rFonts w:hint="eastAsia"/>
          <w:color w:val="000000"/>
        </w:rPr>
        <w:t>)</w:t>
      </w:r>
      <w:r>
        <w:rPr>
          <w:rFonts w:hint="eastAsia"/>
          <w:color w:val="000000"/>
        </w:rPr>
        <w:t>。</w:t>
      </w:r>
      <w:proofErr w:type="gramEnd"/>
      <w:r>
        <w:rPr>
          <w:rFonts w:hint="eastAsia"/>
          <w:color w:val="000000"/>
        </w:rPr>
        <w:t>相關之中文文獻，並見：陳英鈐，</w:t>
      </w:r>
      <w:r>
        <w:rPr>
          <w:color w:val="000000"/>
        </w:rPr>
        <w:t>〈</w:t>
      </w:r>
      <w:r>
        <w:rPr>
          <w:rFonts w:hint="eastAsia"/>
          <w:color w:val="000000"/>
        </w:rPr>
        <w:t>撤銷訴訟與行政處分之停止執行</w:t>
      </w:r>
      <w:r>
        <w:rPr>
          <w:rFonts w:hint="eastAsia"/>
          <w:color w:val="000000"/>
        </w:rPr>
        <w:t xml:space="preserve"> </w:t>
      </w:r>
      <w:r>
        <w:rPr>
          <w:rFonts w:hint="eastAsia"/>
          <w:color w:val="000000"/>
        </w:rPr>
        <w:t>—</w:t>
      </w:r>
      <w:r>
        <w:rPr>
          <w:rFonts w:hint="eastAsia"/>
          <w:color w:val="000000"/>
        </w:rPr>
        <w:t xml:space="preserve"> </w:t>
      </w:r>
      <w:r>
        <w:rPr>
          <w:rFonts w:hint="eastAsia"/>
          <w:color w:val="000000"/>
        </w:rPr>
        <w:t>人民權利保護的櫥窗</w:t>
      </w:r>
      <w:r>
        <w:rPr>
          <w:color w:val="000000"/>
        </w:rPr>
        <w:t>〉</w:t>
      </w:r>
      <w:r>
        <w:rPr>
          <w:rFonts w:hint="eastAsia"/>
          <w:color w:val="000000"/>
        </w:rPr>
        <w:t>，收於：台灣行政法學會主編，</w:t>
      </w:r>
      <w:r>
        <w:rPr>
          <w:color w:val="000000"/>
        </w:rPr>
        <w:t>《</w:t>
      </w:r>
      <w:r>
        <w:rPr>
          <w:rFonts w:hint="eastAsia"/>
          <w:color w:val="000000"/>
        </w:rPr>
        <w:t>行政法爭議問題研究（下）</w:t>
      </w:r>
      <w:r>
        <w:rPr>
          <w:color w:val="000000"/>
        </w:rPr>
        <w:t>》</w:t>
      </w:r>
      <w:r>
        <w:rPr>
          <w:rFonts w:hint="eastAsia"/>
          <w:color w:val="000000"/>
        </w:rPr>
        <w:t>，</w:t>
      </w:r>
      <w:r>
        <w:rPr>
          <w:rFonts w:hint="eastAsia"/>
          <w:color w:val="000000"/>
        </w:rPr>
        <w:t>2000</w:t>
      </w:r>
      <w:r>
        <w:rPr>
          <w:rFonts w:hint="eastAsia"/>
          <w:color w:val="000000"/>
        </w:rPr>
        <w:t>年，頁</w:t>
      </w:r>
      <w:r>
        <w:rPr>
          <w:rFonts w:hint="eastAsia"/>
          <w:color w:val="000000"/>
        </w:rPr>
        <w:t>254-255</w:t>
      </w:r>
      <w:r>
        <w:rPr>
          <w:rFonts w:hint="eastAsia"/>
          <w:color w:val="000000"/>
        </w:rPr>
        <w:t>。</w:t>
      </w:r>
    </w:p>
  </w:footnote>
  <w:footnote w:id="21">
    <w:p w:rsidR="009468A2" w:rsidRDefault="009468A2" w:rsidP="009468A2">
      <w:pPr>
        <w:pStyle w:val="a4"/>
        <w:spacing w:after="180"/>
        <w:rPr>
          <w:rFonts w:hint="eastAsia"/>
        </w:rPr>
      </w:pPr>
      <w:r>
        <w:rPr>
          <w:rStyle w:val="a3"/>
        </w:rPr>
        <w:footnoteRef/>
      </w:r>
      <w:r>
        <w:t xml:space="preserve"> </w:t>
      </w:r>
      <w:r>
        <w:rPr>
          <w:rFonts w:hint="eastAsia"/>
        </w:rPr>
        <w:t>見前文「第二章、第二節、參」。</w:t>
      </w:r>
    </w:p>
  </w:footnote>
  <w:footnote w:id="22">
    <w:p w:rsidR="009468A2" w:rsidRDefault="009468A2" w:rsidP="009468A2">
      <w:pPr>
        <w:pStyle w:val="a4"/>
        <w:spacing w:after="180"/>
      </w:pPr>
      <w:r>
        <w:rPr>
          <w:rStyle w:val="a3"/>
        </w:rPr>
        <w:footnoteRef/>
      </w:r>
      <w:r>
        <w:t xml:space="preserve"> Morton Denlow, </w:t>
      </w:r>
      <w:proofErr w:type="gramStart"/>
      <w:r>
        <w:rPr>
          <w:i/>
        </w:rPr>
        <w:t>The</w:t>
      </w:r>
      <w:proofErr w:type="gramEnd"/>
      <w:r>
        <w:rPr>
          <w:i/>
        </w:rPr>
        <w:t xml:space="preserve"> Motion for A Preliminary Injunction: Time for A Uniform Federal Standard</w:t>
      </w:r>
      <w:r>
        <w:t xml:space="preserve">, 22 </w:t>
      </w:r>
      <w:r>
        <w:rPr>
          <w:smallCaps/>
        </w:rPr>
        <w:t>Rev. Litig.</w:t>
      </w:r>
      <w:r>
        <w:t xml:space="preserve"> 495, 508 (2003).</w:t>
      </w:r>
    </w:p>
  </w:footnote>
  <w:footnote w:id="23">
    <w:p w:rsidR="009468A2" w:rsidRDefault="009468A2" w:rsidP="009468A2">
      <w:pPr>
        <w:pStyle w:val="a4"/>
        <w:spacing w:after="180"/>
      </w:pPr>
      <w:r>
        <w:rPr>
          <w:rStyle w:val="a3"/>
        </w:rPr>
        <w:footnoteRef/>
      </w:r>
      <w:r>
        <w:t xml:space="preserve"> </w:t>
      </w:r>
      <w:r>
        <w:rPr>
          <w:rFonts w:hAnsi="新細明體"/>
        </w:rPr>
        <w:t>關於第一</w:t>
      </w:r>
      <w:r>
        <w:rPr>
          <w:rFonts w:hAnsi="新細明體" w:hint="eastAsia"/>
        </w:rPr>
        <w:t>項</w:t>
      </w:r>
      <w:r>
        <w:rPr>
          <w:rFonts w:hAnsi="新細明體"/>
        </w:rPr>
        <w:t>，係由於禁制令起源於</w:t>
      </w:r>
      <w:proofErr w:type="gramStart"/>
      <w:r>
        <w:rPr>
          <w:rFonts w:hAnsi="新細明體"/>
        </w:rPr>
        <w:t>衡平法</w:t>
      </w:r>
      <w:proofErr w:type="gramEnd"/>
      <w:r>
        <w:rPr>
          <w:rFonts w:hAnsi="新細明體" w:hint="eastAsia"/>
        </w:rPr>
        <w:t>；而</w:t>
      </w:r>
      <w:r>
        <w:rPr>
          <w:rFonts w:hAnsi="新細明體"/>
        </w:rPr>
        <w:t>從歷史發展的起源來看，</w:t>
      </w:r>
      <w:proofErr w:type="gramStart"/>
      <w:r>
        <w:rPr>
          <w:rFonts w:hAnsi="新細明體"/>
        </w:rPr>
        <w:t>衡平法係</w:t>
      </w:r>
      <w:proofErr w:type="gramEnd"/>
      <w:r>
        <w:rPr>
          <w:rFonts w:hAnsi="新細明體"/>
        </w:rPr>
        <w:t>提供普通法法院所無法提供之救濟</w:t>
      </w:r>
      <w:r>
        <w:rPr>
          <w:rFonts w:hAnsi="新細明體" w:hint="eastAsia"/>
        </w:rPr>
        <w:t>，</w:t>
      </w:r>
      <w:r>
        <w:rPr>
          <w:rFonts w:hAnsi="新細明體"/>
        </w:rPr>
        <w:t>因此須於普通法</w:t>
      </w:r>
      <w:r>
        <w:rPr>
          <w:rFonts w:hAnsi="新細明體" w:hint="eastAsia"/>
        </w:rPr>
        <w:t>不能</w:t>
      </w:r>
      <w:r>
        <w:rPr>
          <w:rFonts w:hAnsi="新細明體"/>
        </w:rPr>
        <w:t>獲得適當救濟時，始以禁制令救濟之</w:t>
      </w:r>
      <w:r>
        <w:rPr>
          <w:rFonts w:hAnsi="新細明體" w:hint="eastAsia"/>
        </w:rPr>
        <w:t>（就此，參見</w:t>
      </w:r>
      <w:r>
        <w:rPr>
          <w:rFonts w:hint="eastAsia"/>
        </w:rPr>
        <w:t>前文「第二章、第二節、參」</w:t>
      </w:r>
      <w:r>
        <w:rPr>
          <w:rFonts w:hAnsi="新細明體" w:hint="eastAsia"/>
        </w:rPr>
        <w:t>）。</w:t>
      </w:r>
      <w:proofErr w:type="gramStart"/>
      <w:r>
        <w:rPr>
          <w:rFonts w:hAnsi="新細明體" w:hint="eastAsia"/>
        </w:rPr>
        <w:t>從而，</w:t>
      </w:r>
      <w:proofErr w:type="gramEnd"/>
      <w:r>
        <w:rPr>
          <w:rFonts w:hAnsi="新細明體"/>
        </w:rPr>
        <w:t>法院於審查暫時禁制令時，</w:t>
      </w:r>
      <w:r>
        <w:rPr>
          <w:rFonts w:hAnsi="新細明體" w:hint="eastAsia"/>
        </w:rPr>
        <w:t>必</w:t>
      </w:r>
      <w:r>
        <w:rPr>
          <w:rFonts w:hAnsi="新細明體"/>
        </w:rPr>
        <w:t>須考量此一因素。</w:t>
      </w:r>
    </w:p>
  </w:footnote>
  <w:footnote w:id="24">
    <w:p w:rsidR="009468A2" w:rsidRDefault="009468A2" w:rsidP="009468A2">
      <w:pPr>
        <w:pStyle w:val="a4"/>
        <w:spacing w:after="180"/>
      </w:pPr>
      <w:r>
        <w:rPr>
          <w:rStyle w:val="a3"/>
        </w:rPr>
        <w:footnoteRef/>
      </w:r>
      <w:r>
        <w:t xml:space="preserve"> </w:t>
      </w:r>
      <w:r>
        <w:rPr>
          <w:i/>
        </w:rPr>
        <w:t>See e.g.,</w:t>
      </w:r>
      <w:r>
        <w:t xml:space="preserve"> John Leubsdorf, </w:t>
      </w:r>
      <w:r>
        <w:rPr>
          <w:i/>
        </w:rPr>
        <w:t>The Standard for Preliminary Injunctions</w:t>
      </w:r>
      <w:r>
        <w:t xml:space="preserve">, 91 </w:t>
      </w:r>
      <w:r>
        <w:rPr>
          <w:smallCaps/>
        </w:rPr>
        <w:t>Harv. L. Rev.</w:t>
      </w:r>
      <w:r>
        <w:t xml:space="preserve"> 525 (1978); Lea B. Vaughn, </w:t>
      </w:r>
      <w:r>
        <w:rPr>
          <w:i/>
        </w:rPr>
        <w:t>A Need for Clarity: Toward A New Standard for Preliminary Injunctions</w:t>
      </w:r>
      <w:r>
        <w:t xml:space="preserve">, 68 </w:t>
      </w:r>
      <w:r>
        <w:rPr>
          <w:smallCaps/>
        </w:rPr>
        <w:t>Or. L. Rev.</w:t>
      </w:r>
      <w:r>
        <w:t xml:space="preserve"> 839, 849 (1989).</w:t>
      </w:r>
    </w:p>
  </w:footnote>
  <w:footnote w:id="25">
    <w:p w:rsidR="009468A2" w:rsidRDefault="009468A2" w:rsidP="009468A2">
      <w:pPr>
        <w:pStyle w:val="a4"/>
        <w:spacing w:after="180"/>
      </w:pPr>
      <w:r>
        <w:rPr>
          <w:rStyle w:val="a3"/>
        </w:rPr>
        <w:footnoteRef/>
      </w:r>
      <w:r>
        <w:t xml:space="preserve"> </w:t>
      </w:r>
      <w:r>
        <w:rPr>
          <w:rFonts w:hAnsi="新細明體"/>
        </w:rPr>
        <w:t>關於美國實務</w:t>
      </w:r>
      <w:r>
        <w:rPr>
          <w:rFonts w:hAnsi="新細明體" w:hint="eastAsia"/>
        </w:rPr>
        <w:t>之</w:t>
      </w:r>
      <w:r>
        <w:rPr>
          <w:rFonts w:hAnsi="新細明體"/>
        </w:rPr>
        <w:t>暫時禁制令</w:t>
      </w:r>
      <w:r>
        <w:rPr>
          <w:rFonts w:hAnsi="新細明體" w:hint="eastAsia"/>
        </w:rPr>
        <w:t>審查</w:t>
      </w:r>
      <w:r>
        <w:rPr>
          <w:rFonts w:hAnsi="新細明體"/>
        </w:rPr>
        <w:t>標準及學說見解</w:t>
      </w:r>
      <w:r>
        <w:rPr>
          <w:rFonts w:hAnsi="新細明體" w:hint="eastAsia"/>
        </w:rPr>
        <w:t>等</w:t>
      </w:r>
      <w:r>
        <w:rPr>
          <w:rFonts w:hAnsi="新細明體"/>
        </w:rPr>
        <w:t>中文文獻</w:t>
      </w:r>
      <w:r>
        <w:rPr>
          <w:rFonts w:hAnsi="新細明體" w:hint="eastAsia"/>
        </w:rPr>
        <w:t>，</w:t>
      </w:r>
      <w:r>
        <w:rPr>
          <w:rFonts w:hAnsi="新細明體"/>
        </w:rPr>
        <w:t>參</w:t>
      </w:r>
      <w:r>
        <w:rPr>
          <w:rFonts w:hAnsi="新細明體" w:hint="eastAsia"/>
        </w:rPr>
        <w:t>見：</w:t>
      </w:r>
      <w:r>
        <w:rPr>
          <w:rFonts w:hAnsi="新細明體"/>
        </w:rPr>
        <w:t>湯德宗，〈大法官得否命「暫時停止適用」法律〉，月</w:t>
      </w:r>
      <w:proofErr w:type="gramStart"/>
      <w:r>
        <w:rPr>
          <w:rFonts w:hAnsi="新細明體"/>
        </w:rPr>
        <w:t>旦</w:t>
      </w:r>
      <w:proofErr w:type="gramEnd"/>
      <w:r>
        <w:rPr>
          <w:rFonts w:hAnsi="新細明體"/>
        </w:rPr>
        <w:t>法學雜誌</w:t>
      </w:r>
      <w:r>
        <w:t>117</w:t>
      </w:r>
      <w:r>
        <w:rPr>
          <w:rFonts w:hAnsi="新細明體"/>
        </w:rPr>
        <w:t>期（</w:t>
      </w:r>
      <w:r>
        <w:t>2005</w:t>
      </w:r>
      <w:r>
        <w:rPr>
          <w:rFonts w:hAnsi="新細明體"/>
        </w:rPr>
        <w:t>年</w:t>
      </w:r>
      <w:r>
        <w:t>2</w:t>
      </w:r>
      <w:r>
        <w:rPr>
          <w:rFonts w:hAnsi="新細明體"/>
        </w:rPr>
        <w:t>月），頁</w:t>
      </w:r>
      <w:r>
        <w:t>13-14</w:t>
      </w:r>
      <w:r>
        <w:rPr>
          <w:rFonts w:hAnsi="新細明體"/>
        </w:rPr>
        <w:t>；馮震宇，〈從美國司法實務看台灣專利案件之假處分救濟〉，月</w:t>
      </w:r>
      <w:proofErr w:type="gramStart"/>
      <w:r>
        <w:rPr>
          <w:rFonts w:hAnsi="新細明體"/>
        </w:rPr>
        <w:t>旦</w:t>
      </w:r>
      <w:proofErr w:type="gramEnd"/>
      <w:r>
        <w:rPr>
          <w:rFonts w:hAnsi="新細明體"/>
        </w:rPr>
        <w:t>法學雜誌</w:t>
      </w:r>
      <w:r>
        <w:t>109</w:t>
      </w:r>
      <w:r>
        <w:rPr>
          <w:rFonts w:hAnsi="新細明體"/>
        </w:rPr>
        <w:t>期（</w:t>
      </w:r>
      <w:r>
        <w:t>2004</w:t>
      </w:r>
      <w:r>
        <w:rPr>
          <w:rFonts w:hAnsi="新細明體"/>
        </w:rPr>
        <w:t>年</w:t>
      </w:r>
      <w:r>
        <w:t>6</w:t>
      </w:r>
      <w:r>
        <w:rPr>
          <w:rFonts w:hAnsi="新細明體"/>
        </w:rPr>
        <w:t>月），頁</w:t>
      </w:r>
      <w:r>
        <w:t>18</w:t>
      </w:r>
      <w:r>
        <w:rPr>
          <w:rFonts w:hint="eastAsia"/>
        </w:rPr>
        <w:t>以下</w:t>
      </w:r>
      <w:r>
        <w:rPr>
          <w:rFonts w:hAnsi="新細明體"/>
        </w:rPr>
        <w:t>。</w:t>
      </w:r>
    </w:p>
  </w:footnote>
  <w:footnote w:id="26">
    <w:p w:rsidR="009468A2" w:rsidRDefault="009468A2" w:rsidP="009468A2">
      <w:pPr>
        <w:pStyle w:val="a4"/>
        <w:spacing w:after="180"/>
        <w:rPr>
          <w:rFonts w:hint="eastAsia"/>
        </w:rPr>
      </w:pPr>
      <w:r>
        <w:rPr>
          <w:rStyle w:val="a3"/>
        </w:rPr>
        <w:footnoteRef/>
      </w:r>
      <w:r>
        <w:t xml:space="preserve"> </w:t>
      </w:r>
      <w:r>
        <w:rPr>
          <w:rFonts w:hint="eastAsia"/>
          <w:smallCaps/>
        </w:rPr>
        <w:t>Richard A. Posner, Economic Analysis of Law</w:t>
      </w:r>
      <w:r>
        <w:rPr>
          <w:rFonts w:hint="eastAsia"/>
        </w:rPr>
        <w:t>, at 565 (6th ed. 2003).</w:t>
      </w:r>
    </w:p>
  </w:footnote>
  <w:footnote w:id="27">
    <w:p w:rsidR="009468A2" w:rsidRDefault="009468A2" w:rsidP="009468A2">
      <w:pPr>
        <w:pStyle w:val="a4"/>
        <w:spacing w:after="180"/>
        <w:rPr>
          <w:rFonts w:hint="eastAsia"/>
        </w:rPr>
      </w:pPr>
      <w:r>
        <w:rPr>
          <w:rStyle w:val="a3"/>
        </w:rPr>
        <w:footnoteRef/>
      </w:r>
      <w:r>
        <w:t xml:space="preserve"> </w:t>
      </w:r>
      <w:r>
        <w:rPr>
          <w:rFonts w:hint="eastAsia"/>
        </w:rPr>
        <w:t>Am. Hosp. Supply Corp. v. Hosp. Prods. Ltd., 780 F.2d 589 (7th Cir. 1986).</w:t>
      </w:r>
    </w:p>
  </w:footnote>
  <w:footnote w:id="28">
    <w:p w:rsidR="009468A2" w:rsidRDefault="009468A2" w:rsidP="009468A2">
      <w:pPr>
        <w:pStyle w:val="a4"/>
        <w:spacing w:after="180"/>
        <w:rPr>
          <w:rFonts w:hint="eastAsia"/>
        </w:rPr>
      </w:pPr>
      <w:r>
        <w:rPr>
          <w:rStyle w:val="a3"/>
        </w:rPr>
        <w:footnoteRef/>
      </w:r>
      <w:r>
        <w:t xml:space="preserve"> </w:t>
      </w:r>
      <w:r>
        <w:rPr>
          <w:rFonts w:hint="eastAsia"/>
        </w:rPr>
        <w:t>當然在此不排除同一事件既有金錢糾紛，同時卻又有非金錢問題的混合類型。</w:t>
      </w:r>
    </w:p>
  </w:footnote>
  <w:footnote w:id="29">
    <w:p w:rsidR="009468A2" w:rsidRDefault="009468A2" w:rsidP="009468A2">
      <w:pPr>
        <w:pStyle w:val="a4"/>
        <w:spacing w:after="180"/>
        <w:rPr>
          <w:rFonts w:hint="eastAsia"/>
        </w:rPr>
      </w:pPr>
      <w:r>
        <w:rPr>
          <w:rStyle w:val="a3"/>
        </w:rPr>
        <w:footnoteRef/>
      </w:r>
      <w:r>
        <w:t xml:space="preserve"> </w:t>
      </w:r>
      <w:r>
        <w:rPr>
          <w:rFonts w:hint="eastAsia"/>
        </w:rPr>
        <w:t>相關之行政法院實務分析與批判，詳見：</w:t>
      </w:r>
      <w:r>
        <w:rPr>
          <w:rFonts w:hAnsi="新細明體"/>
          <w:color w:val="000000"/>
        </w:rPr>
        <w:t>林明昕</w:t>
      </w:r>
      <w:r>
        <w:rPr>
          <w:rFonts w:hAnsi="新細明體" w:hint="eastAsia"/>
          <w:color w:val="000000"/>
        </w:rPr>
        <w:t>，</w:t>
      </w:r>
      <w:r>
        <w:rPr>
          <w:rFonts w:hAnsi="新細明體"/>
          <w:color w:val="000000"/>
        </w:rPr>
        <w:t>〈行政爭訟上停止執行之實體審查標準</w:t>
      </w:r>
      <w:r>
        <w:rPr>
          <w:color w:val="000000"/>
        </w:rPr>
        <w:t xml:space="preserve"> </w:t>
      </w:r>
      <w:r>
        <w:t xml:space="preserve">— </w:t>
      </w:r>
      <w:r>
        <w:rPr>
          <w:rFonts w:hAnsi="新細明體"/>
        </w:rPr>
        <w:t>以行政訴訟法第一百十六條第二項為中心〉</w:t>
      </w:r>
      <w:r>
        <w:rPr>
          <w:rFonts w:hAnsi="新細明體"/>
          <w:color w:val="000000"/>
        </w:rPr>
        <w:t>，收於：湯德宗／劉淑範主編，《</w:t>
      </w:r>
      <w:r>
        <w:rPr>
          <w:color w:val="000000"/>
        </w:rPr>
        <w:t>2005</w:t>
      </w:r>
      <w:r>
        <w:rPr>
          <w:rFonts w:hAnsi="新細明體"/>
          <w:color w:val="000000"/>
        </w:rPr>
        <w:t>行政管制與行政爭訟》，</w:t>
      </w:r>
      <w:r>
        <w:rPr>
          <w:color w:val="000000"/>
        </w:rPr>
        <w:t>2006</w:t>
      </w:r>
      <w:r>
        <w:rPr>
          <w:rFonts w:hAnsi="新細明體"/>
          <w:color w:val="000000"/>
        </w:rPr>
        <w:t>年，頁</w:t>
      </w:r>
      <w:r>
        <w:rPr>
          <w:rFonts w:hint="eastAsia"/>
        </w:rPr>
        <w:t>21-23</w:t>
      </w:r>
      <w:r>
        <w:rPr>
          <w:rFonts w:hint="eastAsia"/>
        </w:rPr>
        <w:t>。</w:t>
      </w:r>
    </w:p>
  </w:footnote>
  <w:footnote w:id="30">
    <w:p w:rsidR="009468A2" w:rsidRDefault="009468A2" w:rsidP="009468A2">
      <w:pPr>
        <w:pStyle w:val="a4"/>
        <w:spacing w:after="180"/>
        <w:rPr>
          <w:rFonts w:hint="eastAsia"/>
        </w:rPr>
      </w:pPr>
      <w:r>
        <w:rPr>
          <w:rStyle w:val="a3"/>
        </w:rPr>
        <w:footnoteRef/>
      </w:r>
      <w:r>
        <w:t xml:space="preserve"> </w:t>
      </w:r>
      <w:r>
        <w:rPr>
          <w:rFonts w:hint="eastAsia"/>
        </w:rPr>
        <w:t>就此，詳見：</w:t>
      </w:r>
      <w:r>
        <w:rPr>
          <w:rFonts w:hint="eastAsia"/>
          <w:i/>
          <w:color w:val="000000"/>
        </w:rPr>
        <w:t>K</w:t>
      </w:r>
      <w:r>
        <w:rPr>
          <w:i/>
          <w:color w:val="000000"/>
        </w:rPr>
        <w:t>ü</w:t>
      </w:r>
      <w:r>
        <w:rPr>
          <w:rFonts w:hint="eastAsia"/>
          <w:i/>
          <w:color w:val="000000"/>
        </w:rPr>
        <w:t>lpmann</w:t>
      </w:r>
      <w:r>
        <w:rPr>
          <w:rFonts w:hint="eastAsia"/>
          <w:color w:val="000000"/>
        </w:rPr>
        <w:t>,</w:t>
      </w:r>
      <w:r>
        <w:rPr>
          <w:rFonts w:hAnsi="新細明體" w:hint="eastAsia"/>
        </w:rPr>
        <w:t xml:space="preserve"> in: </w:t>
      </w:r>
      <w:r>
        <w:rPr>
          <w:rFonts w:hint="eastAsia"/>
          <w:color w:val="000000"/>
        </w:rPr>
        <w:t>Finkelnburg/Dombert/K</w:t>
      </w:r>
      <w:r>
        <w:rPr>
          <w:color w:val="000000"/>
        </w:rPr>
        <w:t>ü</w:t>
      </w:r>
      <w:r>
        <w:rPr>
          <w:rFonts w:hint="eastAsia"/>
          <w:color w:val="000000"/>
        </w:rPr>
        <w:t>lpmann, Vorl</w:t>
      </w:r>
      <w:r>
        <w:rPr>
          <w:color w:val="000000"/>
        </w:rPr>
        <w:t>ä</w:t>
      </w:r>
      <w:r>
        <w:rPr>
          <w:rFonts w:hint="eastAsia"/>
          <w:color w:val="000000"/>
        </w:rPr>
        <w:t>ufiger Rechtsschutz im Ver</w:t>
      </w:r>
      <w:r>
        <w:rPr>
          <w:color w:val="000000"/>
        </w:rPr>
        <w:softHyphen/>
      </w:r>
      <w:r>
        <w:rPr>
          <w:rFonts w:hint="eastAsia"/>
          <w:color w:val="000000"/>
        </w:rPr>
        <w:t xml:space="preserve">waltungsstreitverfahren, 5. </w:t>
      </w:r>
      <w:r>
        <w:rPr>
          <w:color w:val="000000"/>
        </w:rPr>
        <w:t>Aufl</w:t>
      </w:r>
      <w:r>
        <w:rPr>
          <w:rFonts w:hint="eastAsia"/>
          <w:color w:val="000000"/>
        </w:rPr>
        <w:t xml:space="preserve">. 2008, Rn. </w:t>
      </w:r>
      <w:r>
        <w:rPr>
          <w:rFonts w:hint="eastAsia"/>
        </w:rPr>
        <w:t>1343</w:t>
      </w:r>
      <w:r>
        <w:rPr>
          <w:rFonts w:hint="eastAsia"/>
        </w:rPr>
        <w:t>；中文文獻，並參見：</w:t>
      </w:r>
      <w:r>
        <w:rPr>
          <w:rFonts w:hAnsi="新細明體" w:hint="eastAsia"/>
        </w:rPr>
        <w:t>林昱梅，</w:t>
      </w:r>
      <w:r>
        <w:rPr>
          <w:rFonts w:hAnsi="新細明體"/>
        </w:rPr>
        <w:t>〈</w:t>
      </w:r>
      <w:r>
        <w:rPr>
          <w:rFonts w:hAnsi="新細明體" w:hint="eastAsia"/>
        </w:rPr>
        <w:t>保障事件之暫時權利保護機制</w:t>
      </w:r>
      <w:r>
        <w:rPr>
          <w:rFonts w:hAnsi="新細明體" w:hint="eastAsia"/>
        </w:rPr>
        <w:t xml:space="preserve"> </w:t>
      </w:r>
      <w:r>
        <w:rPr>
          <w:rFonts w:hAnsi="新細明體"/>
        </w:rPr>
        <w:t>—</w:t>
      </w:r>
      <w:r>
        <w:rPr>
          <w:rFonts w:hAnsi="新細明體" w:hint="eastAsia"/>
        </w:rPr>
        <w:t xml:space="preserve"> </w:t>
      </w:r>
      <w:r>
        <w:rPr>
          <w:rFonts w:hAnsi="新細明體" w:hint="eastAsia"/>
        </w:rPr>
        <w:t>以競爭型陞遷事件為例〉，考詮季刊</w:t>
      </w:r>
      <w:r>
        <w:rPr>
          <w:rFonts w:hAnsi="新細明體" w:hint="eastAsia"/>
        </w:rPr>
        <w:t>55</w:t>
      </w:r>
      <w:r>
        <w:rPr>
          <w:rFonts w:hAnsi="新細明體" w:hint="eastAsia"/>
        </w:rPr>
        <w:t>期（</w:t>
      </w:r>
      <w:r>
        <w:rPr>
          <w:rFonts w:hAnsi="新細明體" w:hint="eastAsia"/>
        </w:rPr>
        <w:t>2008</w:t>
      </w:r>
      <w:r>
        <w:rPr>
          <w:rFonts w:hAnsi="新細明體" w:hint="eastAsia"/>
        </w:rPr>
        <w:t>年</w:t>
      </w:r>
      <w:r>
        <w:rPr>
          <w:rFonts w:hAnsi="新細明體" w:hint="eastAsia"/>
        </w:rPr>
        <w:t>7</w:t>
      </w:r>
      <w:r>
        <w:rPr>
          <w:rFonts w:hAnsi="新細明體" w:hint="eastAsia"/>
        </w:rPr>
        <w:t>月），頁</w:t>
      </w:r>
      <w:r>
        <w:rPr>
          <w:rFonts w:hAnsi="新細明體" w:hint="eastAsia"/>
        </w:rPr>
        <w:t>51-52</w:t>
      </w:r>
      <w:r>
        <w:rPr>
          <w:rFonts w:hAnsi="新細明體" w:hint="eastAsia"/>
        </w:rPr>
        <w:t>、</w:t>
      </w:r>
      <w:r>
        <w:rPr>
          <w:rFonts w:hAnsi="新細明體" w:hint="eastAsia"/>
        </w:rPr>
        <w:t>60</w:t>
      </w:r>
      <w:r>
        <w:rPr>
          <w:rFonts w:hAnsi="新細明體" w:hint="eastAsia"/>
        </w:rPr>
        <w:t>。</w:t>
      </w:r>
    </w:p>
  </w:footnote>
  <w:footnote w:id="31">
    <w:p w:rsidR="009468A2" w:rsidRDefault="009468A2" w:rsidP="009468A2">
      <w:pPr>
        <w:pStyle w:val="a4"/>
        <w:spacing w:after="180"/>
        <w:rPr>
          <w:rFonts w:hint="eastAsia"/>
        </w:rPr>
      </w:pPr>
      <w:r>
        <w:rPr>
          <w:rStyle w:val="a3"/>
        </w:rPr>
        <w:footnoteRef/>
      </w:r>
      <w:r>
        <w:rPr>
          <w:rFonts w:hint="eastAsia"/>
        </w:rPr>
        <w:t xml:space="preserve"> </w:t>
      </w:r>
      <w:r>
        <w:rPr>
          <w:rFonts w:hint="eastAsia"/>
        </w:rPr>
        <w:t>同前</w:t>
      </w:r>
      <w:proofErr w:type="gramStart"/>
      <w:r>
        <w:rPr>
          <w:rFonts w:hint="eastAsia"/>
        </w:rPr>
        <w:t>註</w:t>
      </w:r>
      <w:proofErr w:type="gramEnd"/>
      <w:r>
        <w:rPr>
          <w:rFonts w:hint="eastAsia"/>
        </w:rPr>
        <w:t>。</w:t>
      </w:r>
    </w:p>
  </w:footnote>
  <w:footnote w:id="32">
    <w:p w:rsidR="009468A2" w:rsidRDefault="009468A2" w:rsidP="009468A2">
      <w:pPr>
        <w:pStyle w:val="a4"/>
        <w:spacing w:after="180"/>
        <w:rPr>
          <w:rFonts w:hint="eastAsia"/>
        </w:rPr>
      </w:pPr>
      <w:r>
        <w:rPr>
          <w:rStyle w:val="a3"/>
        </w:rPr>
        <w:footnoteRef/>
      </w:r>
      <w:r>
        <w:t xml:space="preserve"> </w:t>
      </w:r>
      <w:r>
        <w:rPr>
          <w:rFonts w:hint="eastAsia"/>
        </w:rPr>
        <w:t>見後文「第四章、第二節、貳」。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63E17"/>
    <w:multiLevelType w:val="hybridMultilevel"/>
    <w:tmpl w:val="692C3BC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776235FA"/>
    <w:multiLevelType w:val="hybridMultilevel"/>
    <w:tmpl w:val="CB5879CC"/>
    <w:lvl w:ilvl="0" w:tplc="BC70BBBE">
      <w:start w:val="1"/>
      <w:numFmt w:val="bullet"/>
      <w:lvlText w:val=""/>
      <w:lvlJc w:val="left"/>
      <w:pPr>
        <w:tabs>
          <w:tab w:val="num" w:pos="600"/>
        </w:tabs>
        <w:ind w:left="600" w:hanging="60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A2"/>
    <w:rsid w:val="00151DD1"/>
    <w:rsid w:val="009468A2"/>
    <w:rsid w:val="009F2D53"/>
    <w:rsid w:val="00BF70BC"/>
    <w:rsid w:val="00DD40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ABCC3-EB9E-405F-A291-0025CE48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8A2"/>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9468A2"/>
    <w:rPr>
      <w:vertAlign w:val="superscript"/>
    </w:rPr>
  </w:style>
  <w:style w:type="paragraph" w:styleId="a4">
    <w:name w:val="footnote text"/>
    <w:aliases w:val="註腳文字 字元 字元 字元 字元,註腳文字 字元 字元 字元,註腳文字 字元 字元,註腳文字 字元 字元 字元 字元 字元 字元 字元,註腳文字 字元 字元 字元 字元 字元 字元 字元 字元 字元 字元,註腳文字 字元 字元 字元 字元 字元 字元"/>
    <w:basedOn w:val="a"/>
    <w:link w:val="a5"/>
    <w:semiHidden/>
    <w:rsid w:val="009468A2"/>
    <w:pPr>
      <w:widowControl/>
      <w:snapToGrid w:val="0"/>
      <w:spacing w:afterLines="50" w:after="50" w:line="288" w:lineRule="auto"/>
      <w:jc w:val="both"/>
    </w:pPr>
    <w:rPr>
      <w:sz w:val="20"/>
      <w:szCs w:val="20"/>
    </w:rPr>
  </w:style>
  <w:style w:type="character" w:customStyle="1" w:styleId="a5">
    <w:name w:val="註腳文字 字元"/>
    <w:basedOn w:val="a0"/>
    <w:link w:val="a4"/>
    <w:semiHidden/>
    <w:rsid w:val="009468A2"/>
    <w:rPr>
      <w:rFonts w:ascii="Times New Roman" w:eastAsia="新細明體" w:hAnsi="Times New Roman" w:cs="Times New Roman"/>
      <w:sz w:val="20"/>
      <w:szCs w:val="20"/>
    </w:rPr>
  </w:style>
  <w:style w:type="paragraph" w:styleId="a6">
    <w:name w:val="Body Text"/>
    <w:basedOn w:val="a"/>
    <w:link w:val="a7"/>
    <w:semiHidden/>
    <w:rsid w:val="009468A2"/>
    <w:pPr>
      <w:widowControl/>
      <w:spacing w:after="60"/>
      <w:ind w:firstLineChars="200" w:firstLine="200"/>
      <w:jc w:val="both"/>
    </w:pPr>
    <w:rPr>
      <w:lang w:val="de-DE"/>
    </w:rPr>
  </w:style>
  <w:style w:type="character" w:customStyle="1" w:styleId="a7">
    <w:name w:val="本文 字元"/>
    <w:basedOn w:val="a0"/>
    <w:link w:val="a6"/>
    <w:semiHidden/>
    <w:rsid w:val="009468A2"/>
    <w:rPr>
      <w:rFonts w:ascii="Times New Roman" w:eastAsia="新細明體" w:hAnsi="Times New Roman" w:cs="Times New Roman"/>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1684</Words>
  <Characters>9605</Characters>
  <Application>Microsoft Office Word</Application>
  <DocSecurity>0</DocSecurity>
  <Lines>80</Lines>
  <Paragraphs>22</Paragraphs>
  <ScaleCrop>false</ScaleCrop>
  <Company/>
  <LinksUpToDate>false</LinksUpToDate>
  <CharactersWithSpaces>11267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cp:lastModifiedBy>卓卿雲</cp:lastModifiedBy>
  <cp:revision>2</cp:revision>
  <dcterms:created xsi:type="dcterms:W3CDTF">2021-09-17T10:02:00Z</dcterms:created>
  <dcterms:modified xsi:type="dcterms:W3CDTF">2021-09-17T10:02:00Z</dcterms:modified>
</cp:coreProperties>
</file>