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4FE6">
      <w:pPr>
        <w:spacing w:line="360" w:lineRule="auto"/>
        <w:jc w:val="center"/>
        <w:rPr>
          <w:rFonts w:ascii="新細明體" w:hAnsi="新細明體" w:hint="eastAsia"/>
          <w:b/>
          <w:sz w:val="28"/>
          <w:szCs w:val="28"/>
        </w:rPr>
      </w:pPr>
      <w:bookmarkStart w:id="0" w:name="_GoBack"/>
      <w:bookmarkEnd w:id="0"/>
      <w:r>
        <w:rPr>
          <w:rFonts w:ascii="新細明體" w:hAnsi="新細明體" w:hint="eastAsia"/>
          <w:b/>
          <w:sz w:val="28"/>
          <w:szCs w:val="28"/>
        </w:rPr>
        <w:t>第三章</w:t>
      </w:r>
      <w:r>
        <w:rPr>
          <w:rFonts w:ascii="新細明體" w:hAnsi="新細明體" w:hint="eastAsia"/>
          <w:b/>
          <w:sz w:val="28"/>
          <w:szCs w:val="28"/>
        </w:rPr>
        <w:t xml:space="preserve"> </w:t>
      </w:r>
      <w:r>
        <w:rPr>
          <w:rFonts w:ascii="新細明體" w:hAnsi="新細明體" w:hint="eastAsia"/>
          <w:b/>
          <w:sz w:val="28"/>
          <w:szCs w:val="28"/>
        </w:rPr>
        <w:t>外國公務人員保障制度中之保障對象</w:t>
      </w:r>
    </w:p>
    <w:p w:rsidR="00000000" w:rsidRDefault="00CB4FE6">
      <w:pPr>
        <w:spacing w:line="360" w:lineRule="auto"/>
        <w:rPr>
          <w:rStyle w:val="stext1"/>
          <w:rFonts w:ascii="新細明體" w:hAnsi="新細明體" w:hint="eastAsia"/>
          <w:b/>
        </w:rPr>
      </w:pPr>
    </w:p>
    <w:p w:rsidR="00000000" w:rsidRDefault="00CB4FE6">
      <w:pPr>
        <w:overflowPunct w:val="0"/>
        <w:autoSpaceDE w:val="0"/>
        <w:autoSpaceDN w:val="0"/>
        <w:adjustRightInd w:val="0"/>
        <w:spacing w:beforeLines="50" w:before="180" w:afterLines="50" w:after="180" w:line="520" w:lineRule="exact"/>
        <w:ind w:left="540" w:hangingChars="225" w:hanging="540"/>
        <w:jc w:val="center"/>
        <w:rPr>
          <w:rFonts w:ascii="新細明體" w:hAnsi="新細明體" w:hint="eastAsia"/>
        </w:rPr>
      </w:pPr>
      <w:r>
        <w:rPr>
          <w:rFonts w:ascii="新細明體" w:hAnsi="新細明體" w:hint="eastAsia"/>
        </w:rPr>
        <w:t>第一節</w:t>
      </w:r>
      <w:r>
        <w:rPr>
          <w:rFonts w:ascii="新細明體" w:hAnsi="新細明體" w:hint="eastAsia"/>
        </w:rPr>
        <w:t xml:space="preserve"> </w:t>
      </w:r>
      <w:r>
        <w:rPr>
          <w:rFonts w:ascii="新細明體" w:hAnsi="新細明體" w:hint="eastAsia"/>
        </w:rPr>
        <w:t>德國公務人員保障制度中之保障對象</w:t>
      </w:r>
    </w:p>
    <w:p w:rsidR="00000000" w:rsidRDefault="00CB4FE6">
      <w:pPr>
        <w:numPr>
          <w:ilvl w:val="0"/>
          <w:numId w:val="32"/>
        </w:numPr>
        <w:spacing w:line="360" w:lineRule="auto"/>
        <w:rPr>
          <w:rFonts w:ascii="新細明體" w:hAnsi="新細明體" w:hint="eastAsia"/>
        </w:rPr>
      </w:pPr>
      <w:r>
        <w:rPr>
          <w:rFonts w:ascii="新細明體" w:hAnsi="新細明體" w:hint="eastAsia"/>
        </w:rPr>
        <w:t>序言</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德國於公部門服務之人員包括兩大類，即與行政主體處於公法上勤務與忠誠關係之公務人員，以及與雇主處於私法上勞動契約關係之勞工。德國並無如我國之公務人員保障法這樣關於公務人員保障之統一法典，</w:t>
      </w:r>
      <w:r>
        <w:rPr>
          <w:rStyle w:val="a4"/>
          <w:rFonts w:ascii="新細明體" w:hAnsi="新細明體"/>
        </w:rPr>
        <w:footnoteReference w:id="1"/>
      </w:r>
      <w:r>
        <w:rPr>
          <w:rFonts w:ascii="新細明體" w:hAnsi="新細明體" w:hint="eastAsia"/>
        </w:rPr>
        <w:t>從而也無對於公務人員保障制度之保障對象的界定。不過，如果提到公務人員保障制度之保障對象，毫無疑問地，自然是指公務人員。蓋公務人員關係相較於一般私法上之勞動契約關係，本就是一種特殊的法律關係，公務人員既受到特殊之保障，也受到特殊</w:t>
      </w:r>
      <w:r>
        <w:rPr>
          <w:rFonts w:ascii="新細明體" w:hAnsi="新細明體" w:hint="eastAsia"/>
        </w:rPr>
        <w:t>之限制，兩者之區分明確，則以公務人員為對象之保障制度，在對象上不致有所混淆。</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與我國之公務人員法制相較，德國之公務人員概念顯得清楚得多，頗值得我國面臨公務人員概念界定時之參考。</w:t>
      </w:r>
      <w:proofErr w:type="gramStart"/>
      <w:r>
        <w:rPr>
          <w:rFonts w:ascii="新細明體" w:hAnsi="新細明體" w:hint="eastAsia"/>
        </w:rPr>
        <w:t>再者，</w:t>
      </w:r>
      <w:proofErr w:type="gramEnd"/>
      <w:r>
        <w:rPr>
          <w:rFonts w:ascii="新細明體" w:hAnsi="新細明體" w:hint="eastAsia"/>
        </w:rPr>
        <w:t>德國法制上明確區分公務人員以及在公勤務部門服務之勞工，前者為公法關係，後者為私法關係，然而這兩者在法律關係之內容上是否當真有這麼大的差別？與我國相較，我國近年來將大部分以契約進用之人員，改變過往之立場而認定為公法上之契約關係，與德國之規定為私法上勞動契約關係不同，這其間的得失如何，對於檢討我國法制，自有參考價值。</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 xml:space="preserve"> </w:t>
      </w:r>
      <w:r>
        <w:rPr>
          <w:rFonts w:ascii="新細明體" w:hAnsi="新細明體" w:hint="eastAsia"/>
        </w:rPr>
        <w:t>以下，首先介紹德國法制上之公務人員概念，繼而介紹於公勤務部門服務之勞工，最後進行與本國法制之比較分析。由於關於德國公務人員法制之介紹，已有相當多的文獻，以下對於德國法制上之公務人員概念將僅作概略之介紹。</w:t>
      </w:r>
    </w:p>
    <w:p w:rsidR="00000000" w:rsidRDefault="00CB4FE6">
      <w:pPr>
        <w:spacing w:line="360" w:lineRule="auto"/>
        <w:jc w:val="both"/>
        <w:rPr>
          <w:rFonts w:ascii="新細明體" w:hAnsi="新細明體" w:hint="eastAsia"/>
        </w:rPr>
      </w:pPr>
    </w:p>
    <w:p w:rsidR="00000000" w:rsidRDefault="00CB4FE6">
      <w:pPr>
        <w:numPr>
          <w:ilvl w:val="0"/>
          <w:numId w:val="32"/>
        </w:numPr>
        <w:spacing w:line="360" w:lineRule="auto"/>
        <w:jc w:val="both"/>
        <w:rPr>
          <w:rFonts w:ascii="新細明體" w:hAnsi="新細明體" w:hint="eastAsia"/>
        </w:rPr>
      </w:pPr>
      <w:r>
        <w:rPr>
          <w:rFonts w:ascii="新細明體" w:hAnsi="新細明體" w:hint="eastAsia"/>
        </w:rPr>
        <w:t>公務人員</w:t>
      </w:r>
    </w:p>
    <w:p w:rsidR="00000000" w:rsidRDefault="00CB4FE6">
      <w:pPr>
        <w:numPr>
          <w:ilvl w:val="0"/>
          <w:numId w:val="33"/>
        </w:numPr>
        <w:spacing w:line="360" w:lineRule="auto"/>
        <w:jc w:val="both"/>
        <w:rPr>
          <w:rFonts w:ascii="新細明體" w:hAnsi="新細明體" w:hint="eastAsia"/>
        </w:rPr>
      </w:pPr>
      <w:r>
        <w:rPr>
          <w:rFonts w:ascii="新細明體" w:hAnsi="新細明體" w:hint="eastAsia"/>
        </w:rPr>
        <w:t>概念</w:t>
      </w:r>
    </w:p>
    <w:p w:rsidR="00000000" w:rsidRDefault="00CB4FE6">
      <w:pPr>
        <w:numPr>
          <w:ilvl w:val="0"/>
          <w:numId w:val="34"/>
        </w:numPr>
        <w:spacing w:line="360" w:lineRule="auto"/>
        <w:jc w:val="both"/>
        <w:rPr>
          <w:rFonts w:ascii="新細明體" w:hAnsi="新細明體" w:hint="eastAsia"/>
        </w:rPr>
      </w:pPr>
      <w:r>
        <w:rPr>
          <w:rFonts w:ascii="新細明體" w:hAnsi="新細明體" w:hint="eastAsia"/>
        </w:rPr>
        <w:t>定義</w:t>
      </w:r>
    </w:p>
    <w:p w:rsidR="00000000" w:rsidRDefault="00CB4FE6">
      <w:pPr>
        <w:spacing w:line="360" w:lineRule="auto"/>
        <w:jc w:val="both"/>
        <w:rPr>
          <w:rFonts w:ascii="新細明體" w:hAnsi="新細明體" w:hint="eastAsia"/>
        </w:rPr>
      </w:pPr>
      <w:r>
        <w:rPr>
          <w:rFonts w:ascii="新細明體" w:hAnsi="新細明體" w:hint="eastAsia"/>
        </w:rPr>
        <w:lastRenderedPageBreak/>
        <w:t xml:space="preserve">    </w:t>
      </w:r>
      <w:r>
        <w:rPr>
          <w:rFonts w:ascii="新細明體" w:hAnsi="新細明體" w:hint="eastAsia"/>
        </w:rPr>
        <w:t>德國為聯邦國家，除聯邦對於其公務人員制定聯邦公務人員法加以規範外，各</w:t>
      </w:r>
      <w:proofErr w:type="gramStart"/>
      <w:r>
        <w:rPr>
          <w:rFonts w:ascii="新細明體" w:hAnsi="新細明體" w:hint="eastAsia"/>
        </w:rPr>
        <w:t>邦</w:t>
      </w:r>
      <w:proofErr w:type="gramEnd"/>
      <w:r>
        <w:rPr>
          <w:rFonts w:ascii="新細明體" w:hAnsi="新細明體" w:hint="eastAsia"/>
        </w:rPr>
        <w:t>也訂有自己之公務人員法。惟為求各</w:t>
      </w:r>
      <w:proofErr w:type="gramStart"/>
      <w:r>
        <w:rPr>
          <w:rFonts w:ascii="新細明體" w:hAnsi="新細明體" w:hint="eastAsia"/>
        </w:rPr>
        <w:t>邦</w:t>
      </w:r>
      <w:proofErr w:type="gramEnd"/>
      <w:r>
        <w:rPr>
          <w:rFonts w:ascii="新細明體" w:hAnsi="新細明體" w:hint="eastAsia"/>
        </w:rPr>
        <w:t>公務人員法在一定程度之統一，聯邦訂有公務人員法基準法，作為各</w:t>
      </w:r>
      <w:proofErr w:type="gramStart"/>
      <w:r>
        <w:rPr>
          <w:rFonts w:ascii="新細明體" w:hAnsi="新細明體" w:hint="eastAsia"/>
        </w:rPr>
        <w:t>邦</w:t>
      </w:r>
      <w:proofErr w:type="gramEnd"/>
      <w:r>
        <w:rPr>
          <w:rFonts w:ascii="新細明體" w:hAnsi="新細明體" w:hint="eastAsia"/>
        </w:rPr>
        <w:t>訂定公務人員法之基準。本計畫以下之介紹，以聯邦公務人員法為限。</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關於公務人員之概念，區分為國家法上之</w:t>
      </w:r>
      <w:r>
        <w:rPr>
          <w:rFonts w:ascii="新細明體" w:hAnsi="新細明體" w:hint="eastAsia"/>
        </w:rPr>
        <w:t>公務人員概念、責任法上之公務人員概念以及刑法上之公務人員概念。國家法上之公務人員概念即為公務人員法上之公務人員概念，指基本法第</w:t>
      </w:r>
      <w:r>
        <w:rPr>
          <w:rFonts w:ascii="新細明體" w:hAnsi="新細明體" w:hint="eastAsia"/>
        </w:rPr>
        <w:t>33</w:t>
      </w:r>
      <w:r>
        <w:rPr>
          <w:rFonts w:ascii="新細明體" w:hAnsi="新細明體" w:hint="eastAsia"/>
        </w:rPr>
        <w:t>條第</w:t>
      </w:r>
      <w:r>
        <w:rPr>
          <w:rFonts w:ascii="新細明體" w:hAnsi="新細明體" w:hint="eastAsia"/>
        </w:rPr>
        <w:t>4</w:t>
      </w:r>
      <w:r>
        <w:rPr>
          <w:rFonts w:ascii="新細明體" w:hAnsi="新細明體" w:hint="eastAsia"/>
        </w:rPr>
        <w:t>項與第</w:t>
      </w:r>
      <w:r>
        <w:rPr>
          <w:rFonts w:ascii="新細明體" w:hAnsi="新細明體" w:hint="eastAsia"/>
        </w:rPr>
        <w:t>5</w:t>
      </w:r>
      <w:r>
        <w:rPr>
          <w:rFonts w:ascii="新細明體" w:hAnsi="新細明體" w:hint="eastAsia"/>
        </w:rPr>
        <w:t>項，以及在一般之法律層次於聯邦公務人員法第</w:t>
      </w:r>
      <w:r>
        <w:rPr>
          <w:rFonts w:ascii="新細明體" w:hAnsi="新細明體" w:hint="eastAsia"/>
        </w:rPr>
        <w:t>2</w:t>
      </w:r>
      <w:r>
        <w:rPr>
          <w:rFonts w:ascii="新細明體" w:hAnsi="新細明體" w:hint="eastAsia"/>
        </w:rPr>
        <w:t>條所提及之公務人員概念。</w:t>
      </w:r>
      <w:r>
        <w:rPr>
          <w:rStyle w:val="a4"/>
          <w:rFonts w:ascii="新細明體" w:hAnsi="新細明體"/>
        </w:rPr>
        <w:footnoteReference w:id="2"/>
      </w:r>
      <w:r>
        <w:rPr>
          <w:rFonts w:ascii="新細明體" w:hAnsi="新細明體" w:hint="eastAsia"/>
        </w:rPr>
        <w:t>本計畫之討論對象為國家法（公務人員法）上之公務人員概念。</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聯邦公務人員法第</w:t>
      </w:r>
      <w:r>
        <w:rPr>
          <w:rFonts w:ascii="新細明體" w:hAnsi="新細明體" w:hint="eastAsia"/>
        </w:rPr>
        <w:t>2</w:t>
      </w:r>
      <w:r>
        <w:rPr>
          <w:rFonts w:ascii="新細明體" w:hAnsi="新細明體" w:hint="eastAsia"/>
        </w:rPr>
        <w:t>條第</w:t>
      </w:r>
      <w:r>
        <w:rPr>
          <w:rFonts w:ascii="新細明體" w:hAnsi="新細明體" w:hint="eastAsia"/>
        </w:rPr>
        <w:t>1</w:t>
      </w:r>
      <w:r>
        <w:rPr>
          <w:rFonts w:ascii="新細明體" w:hAnsi="新細明體" w:hint="eastAsia"/>
        </w:rPr>
        <w:t>項對於聯邦公務人員加以定義：聯邦公務人員係指與聯邦，或聯邦直接設置之公法社團、公法上營造物或公法財團，處於公法上勤務與忠誠關係之人員。此一定義關於「公務人員」之概念特徵部分，乃是從實質的角度，以法律關係來界定</w:t>
      </w:r>
      <w:r>
        <w:rPr>
          <w:rFonts w:ascii="新細明體" w:hAnsi="新細明體" w:hint="eastAsia"/>
        </w:rPr>
        <w:t>公務人員。在此</w:t>
      </w:r>
      <w:proofErr w:type="gramStart"/>
      <w:r>
        <w:rPr>
          <w:rFonts w:ascii="新細明體" w:hAnsi="新細明體" w:hint="eastAsia"/>
        </w:rPr>
        <w:t>一</w:t>
      </w:r>
      <w:proofErr w:type="gramEnd"/>
      <w:r>
        <w:rPr>
          <w:rFonts w:ascii="新細明體" w:hAnsi="新細明體" w:hint="eastAsia"/>
        </w:rPr>
        <w:t>實質基準之外，還要再加上一個形式基準，亦即具有正確形式證書之交付，也就是公務人員之任命。</w:t>
      </w:r>
      <w:r>
        <w:rPr>
          <w:rStyle w:val="a4"/>
          <w:rFonts w:ascii="新細明體" w:hAnsi="新細明體"/>
        </w:rPr>
        <w:footnoteReference w:id="3"/>
      </w:r>
      <w:r>
        <w:rPr>
          <w:rFonts w:ascii="新細明體" w:hAnsi="新細明體" w:hint="eastAsia"/>
        </w:rPr>
        <w:t>以下分別就實質基準與形式基準作進一步之說明。</w:t>
      </w:r>
    </w:p>
    <w:p w:rsidR="00000000" w:rsidRDefault="00CB4FE6">
      <w:pPr>
        <w:spacing w:line="360" w:lineRule="auto"/>
        <w:jc w:val="both"/>
        <w:rPr>
          <w:rFonts w:ascii="新細明體" w:hAnsi="新細明體" w:hint="eastAsia"/>
        </w:rPr>
      </w:pPr>
    </w:p>
    <w:p w:rsidR="00000000" w:rsidRDefault="00CB4FE6">
      <w:pPr>
        <w:numPr>
          <w:ilvl w:val="0"/>
          <w:numId w:val="34"/>
        </w:numPr>
        <w:spacing w:line="360" w:lineRule="auto"/>
        <w:jc w:val="both"/>
        <w:rPr>
          <w:rFonts w:ascii="新細明體" w:hAnsi="新細明體" w:hint="eastAsia"/>
        </w:rPr>
      </w:pPr>
      <w:r>
        <w:rPr>
          <w:rFonts w:ascii="新細明體" w:hAnsi="新細明體" w:hint="eastAsia"/>
        </w:rPr>
        <w:t>實質基準：公務人員關係</w:t>
      </w:r>
    </w:p>
    <w:p w:rsidR="00000000" w:rsidRDefault="00CB4FE6">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公務人員關係為公法上之勤務與忠誠關係，而與私法上之勞動關係有所區隔。</w:t>
      </w:r>
      <w:r>
        <w:rPr>
          <w:rFonts w:ascii="新細明體" w:hAnsi="新細明體" w:hint="eastAsia"/>
          <w:lang w:val="de-DE"/>
        </w:rPr>
        <w:t>具體而言，公務人員關係包括了以下之權利義務：</w:t>
      </w:r>
      <w:r>
        <w:rPr>
          <w:rStyle w:val="a4"/>
          <w:rFonts w:ascii="新細明體" w:hAnsi="新細明體"/>
          <w:lang w:val="de-DE"/>
        </w:rPr>
        <w:footnoteReference w:id="4"/>
      </w:r>
    </w:p>
    <w:p w:rsidR="00000000" w:rsidRDefault="00CB4FE6">
      <w:pPr>
        <w:numPr>
          <w:ilvl w:val="0"/>
          <w:numId w:val="35"/>
        </w:numPr>
        <w:spacing w:line="360" w:lineRule="auto"/>
        <w:jc w:val="both"/>
        <w:rPr>
          <w:rFonts w:ascii="新細明體" w:hAnsi="新細明體" w:hint="eastAsia"/>
          <w:lang w:val="de-DE"/>
        </w:rPr>
      </w:pPr>
      <w:r>
        <w:rPr>
          <w:rFonts w:ascii="新細明體" w:hAnsi="新細明體" w:hint="eastAsia"/>
          <w:lang w:val="de-DE"/>
        </w:rPr>
        <w:t>公務人員之義務：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公正執行職務之義務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憲法上之忠誠義務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從事政治活動時之謹慎與節制義務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全心全意從事公務之義務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lastRenderedPageBreak/>
        <w:t>保持品位之義務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對於主管長官之建議與服從義務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宣誓義務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強制休假</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保密義務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列冊財產之返還義務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於</w:t>
      </w:r>
      <w:r>
        <w:rPr>
          <w:rFonts w:ascii="新細明體" w:hAnsi="新細明體" w:hint="eastAsia"/>
          <w:lang w:val="de-DE"/>
        </w:rPr>
        <w:t>公勤務中兼職之義務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退休或離職後職業活動之報備義務與競業禁止義務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不接受餽贈之義務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須經許可始得接受外國頒贈頭銜或勳章之義務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於特殊情形無償加班之義務</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因就業市場之原因而部分時間工作或休假</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不得曠職</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住宅選擇之限制</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特殊情形之居留義務</w:t>
      </w:r>
    </w:p>
    <w:p w:rsidR="00000000" w:rsidRDefault="00CB4FE6">
      <w:pPr>
        <w:numPr>
          <w:ilvl w:val="0"/>
          <w:numId w:val="35"/>
        </w:numPr>
        <w:spacing w:line="360" w:lineRule="auto"/>
        <w:jc w:val="both"/>
        <w:rPr>
          <w:rFonts w:ascii="新細明體" w:hAnsi="新細明體" w:hint="eastAsia"/>
          <w:lang w:val="de-DE"/>
        </w:rPr>
      </w:pPr>
      <w:r>
        <w:rPr>
          <w:rFonts w:ascii="新細明體" w:hAnsi="新細明體" w:hint="eastAsia"/>
          <w:lang w:val="de-DE"/>
        </w:rPr>
        <w:t>公務人員之權利</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主管長官之照顧與保護義務（公務人員之照顧與保護請求權）</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因家庭緣故減少工作時間或休假</w:t>
      </w:r>
    </w:p>
    <w:p w:rsidR="00000000" w:rsidRDefault="00CB4FE6">
      <w:pPr>
        <w:numPr>
          <w:ilvl w:val="0"/>
          <w:numId w:val="36"/>
        </w:numPr>
        <w:spacing w:line="360" w:lineRule="auto"/>
        <w:jc w:val="both"/>
        <w:rPr>
          <w:rFonts w:ascii="新細明體" w:hAnsi="新細明體" w:hint="eastAsia"/>
          <w:lang w:val="de-DE"/>
        </w:rPr>
      </w:pPr>
      <w:proofErr w:type="gramStart"/>
      <w:r>
        <w:rPr>
          <w:rFonts w:ascii="新細明體" w:hAnsi="新細明體" w:hint="eastAsia"/>
          <w:lang w:val="de-DE"/>
        </w:rPr>
        <w:t>服職滿</w:t>
      </w:r>
      <w:proofErr w:type="gramEnd"/>
      <w:r>
        <w:rPr>
          <w:rFonts w:ascii="新細明體" w:hAnsi="新細明體" w:hint="eastAsia"/>
          <w:lang w:val="de-DE"/>
        </w:rPr>
        <w:t>一定年限之獎金</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補助金</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職位標誌</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俸給</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照護</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物之損失補償</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因受暴力之損失補償</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出差及搬遷費</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lastRenderedPageBreak/>
        <w:t>休假</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人事檔案閱覽權</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組織工會或職業聯盟之自由</w:t>
      </w:r>
    </w:p>
    <w:p w:rsidR="00000000" w:rsidRDefault="00CB4FE6">
      <w:pPr>
        <w:numPr>
          <w:ilvl w:val="0"/>
          <w:numId w:val="36"/>
        </w:numPr>
        <w:spacing w:line="360" w:lineRule="auto"/>
        <w:jc w:val="both"/>
        <w:rPr>
          <w:rFonts w:ascii="新細明體" w:hAnsi="新細明體" w:hint="eastAsia"/>
          <w:lang w:val="de-DE"/>
        </w:rPr>
      </w:pPr>
      <w:r>
        <w:rPr>
          <w:rFonts w:ascii="新細明體" w:hAnsi="新細明體" w:hint="eastAsia"/>
          <w:lang w:val="de-DE"/>
        </w:rPr>
        <w:t>在職證明發給請求權</w:t>
      </w:r>
    </w:p>
    <w:p w:rsidR="00000000" w:rsidRDefault="00CB4FE6">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 xml:space="preserve"> </w:t>
      </w:r>
      <w:r>
        <w:rPr>
          <w:rFonts w:ascii="新細明體" w:hAnsi="新細明體" w:hint="eastAsia"/>
        </w:rPr>
        <w:t>公務人員關係為特殊之法律關係，其核心精神為公務人員與勤務主雙方</w:t>
      </w:r>
      <w:proofErr w:type="gramStart"/>
      <w:r>
        <w:rPr>
          <w:rFonts w:ascii="新細明體" w:hAnsi="新細明體" w:hint="eastAsia"/>
        </w:rPr>
        <w:t>相互間互負</w:t>
      </w:r>
      <w:proofErr w:type="gramEnd"/>
      <w:r>
        <w:rPr>
          <w:rFonts w:ascii="新細明體" w:hAnsi="新細明體" w:hint="eastAsia"/>
        </w:rPr>
        <w:t>忠誠義務，而使公務人員負有特殊之義務，另一方面也受到特殊之照顧。公務人員關係中，最能體現勤務主之忠誠義務，而顯示出公務人員受到特殊照顧者，乃是聯邦公務人員法第</w:t>
      </w:r>
      <w:r>
        <w:rPr>
          <w:rFonts w:ascii="新細明體" w:hAnsi="新細明體" w:hint="eastAsia"/>
        </w:rPr>
        <w:t>79</w:t>
      </w:r>
      <w:r>
        <w:rPr>
          <w:rFonts w:ascii="新細明體" w:hAnsi="新細明體" w:hint="eastAsia"/>
        </w:rPr>
        <w:t>條所規定勤務主之照顧與保護義務，此一規定並成為公務人員權利最為基礎之一般條款；</w:t>
      </w:r>
      <w:r>
        <w:rPr>
          <w:rStyle w:val="a4"/>
          <w:rFonts w:ascii="新細明體" w:hAnsi="新細明體"/>
        </w:rPr>
        <w:footnoteReference w:id="5"/>
      </w:r>
      <w:r>
        <w:rPr>
          <w:rFonts w:ascii="新細明體" w:hAnsi="新細明體" w:hint="eastAsia"/>
          <w:lang w:val="de-DE"/>
        </w:rPr>
        <w:t>相對地，公務人員之忠誠義務則作為公務人員義務之一般條款，與職務執行義務以及服從義務，共同決定了公務人員之個別義務。</w:t>
      </w:r>
      <w:r>
        <w:rPr>
          <w:rStyle w:val="a4"/>
          <w:rFonts w:ascii="新細明體" w:hAnsi="新細明體"/>
          <w:lang w:val="de-DE"/>
        </w:rPr>
        <w:footnoteReference w:id="6"/>
      </w:r>
    </w:p>
    <w:p w:rsidR="00000000" w:rsidRDefault="00CB4FE6">
      <w:pPr>
        <w:spacing w:line="360" w:lineRule="auto"/>
        <w:jc w:val="both"/>
        <w:rPr>
          <w:rFonts w:ascii="新細明體" w:hAnsi="新細明體" w:hint="eastAsia"/>
          <w:lang w:val="de-DE"/>
        </w:rPr>
      </w:pPr>
    </w:p>
    <w:p w:rsidR="00000000" w:rsidRDefault="00CB4FE6">
      <w:pPr>
        <w:numPr>
          <w:ilvl w:val="0"/>
          <w:numId w:val="34"/>
        </w:numPr>
        <w:spacing w:line="360" w:lineRule="auto"/>
        <w:jc w:val="both"/>
        <w:rPr>
          <w:rFonts w:ascii="新細明體" w:hAnsi="新細明體" w:hint="eastAsia"/>
        </w:rPr>
      </w:pPr>
      <w:r>
        <w:rPr>
          <w:rFonts w:ascii="新細明體" w:hAnsi="新細明體" w:hint="eastAsia"/>
        </w:rPr>
        <w:t>形式特徵：任命行為</w:t>
      </w:r>
    </w:p>
    <w:p w:rsidR="00000000" w:rsidRDefault="00CB4FE6">
      <w:pPr>
        <w:pStyle w:val="2"/>
        <w:ind w:firstLineChars="0" w:firstLine="0"/>
        <w:rPr>
          <w:rFonts w:hint="eastAsia"/>
          <w:sz w:val="24"/>
          <w:szCs w:val="24"/>
        </w:rPr>
      </w:pPr>
      <w:r>
        <w:rPr>
          <w:rFonts w:hint="eastAsia"/>
          <w:sz w:val="24"/>
          <w:szCs w:val="24"/>
        </w:rPr>
        <w:t xml:space="preserve">    </w:t>
      </w:r>
      <w:r>
        <w:rPr>
          <w:rFonts w:hint="eastAsia"/>
          <w:sz w:val="24"/>
          <w:szCs w:val="24"/>
        </w:rPr>
        <w:t>依聯邦公務員法第六條第一項之規定，於下列情形，須</w:t>
      </w:r>
      <w:r>
        <w:rPr>
          <w:rFonts w:hint="eastAsia"/>
          <w:sz w:val="24"/>
          <w:szCs w:val="24"/>
        </w:rPr>
        <w:t>以任命處分為之：</w:t>
      </w:r>
    </w:p>
    <w:p w:rsidR="00000000" w:rsidRDefault="00CB4FE6">
      <w:pPr>
        <w:pStyle w:val="2"/>
        <w:numPr>
          <w:ilvl w:val="0"/>
          <w:numId w:val="36"/>
        </w:numPr>
        <w:ind w:firstLineChars="0"/>
        <w:rPr>
          <w:rFonts w:ascii="新細明體" w:hAnsi="新細明體" w:hint="eastAsia"/>
          <w:sz w:val="24"/>
          <w:szCs w:val="24"/>
        </w:rPr>
      </w:pPr>
      <w:r>
        <w:rPr>
          <w:rFonts w:hint="eastAsia"/>
          <w:sz w:val="24"/>
          <w:szCs w:val="24"/>
        </w:rPr>
        <w:t>公務人員關係之成立；</w:t>
      </w:r>
    </w:p>
    <w:p w:rsidR="00000000" w:rsidRDefault="00CB4FE6">
      <w:pPr>
        <w:pStyle w:val="2"/>
        <w:numPr>
          <w:ilvl w:val="0"/>
          <w:numId w:val="36"/>
        </w:numPr>
        <w:ind w:firstLineChars="0"/>
        <w:rPr>
          <w:rFonts w:ascii="新細明體" w:hAnsi="新細明體" w:hint="eastAsia"/>
          <w:sz w:val="24"/>
          <w:szCs w:val="24"/>
        </w:rPr>
      </w:pPr>
      <w:r>
        <w:rPr>
          <w:rFonts w:hint="eastAsia"/>
          <w:sz w:val="24"/>
          <w:szCs w:val="24"/>
        </w:rPr>
        <w:t>不中斷公務人員關係之身分轉換；</w:t>
      </w:r>
    </w:p>
    <w:p w:rsidR="00000000" w:rsidRDefault="00CB4FE6">
      <w:pPr>
        <w:pStyle w:val="2"/>
        <w:numPr>
          <w:ilvl w:val="0"/>
          <w:numId w:val="36"/>
        </w:numPr>
        <w:ind w:firstLineChars="0"/>
        <w:rPr>
          <w:rFonts w:ascii="新細明體" w:hAnsi="新細明體" w:hint="eastAsia"/>
          <w:sz w:val="24"/>
          <w:szCs w:val="24"/>
        </w:rPr>
      </w:pPr>
      <w:r>
        <w:rPr>
          <w:rFonts w:hint="eastAsia"/>
          <w:sz w:val="24"/>
          <w:szCs w:val="24"/>
        </w:rPr>
        <w:t>初次授予職務；</w:t>
      </w:r>
    </w:p>
    <w:p w:rsidR="00000000" w:rsidRDefault="00CB4FE6">
      <w:pPr>
        <w:pStyle w:val="2"/>
        <w:numPr>
          <w:ilvl w:val="0"/>
          <w:numId w:val="36"/>
        </w:numPr>
        <w:ind w:firstLineChars="0"/>
        <w:rPr>
          <w:rFonts w:ascii="新細明體" w:hAnsi="新細明體" w:hint="eastAsia"/>
          <w:sz w:val="24"/>
          <w:szCs w:val="24"/>
        </w:rPr>
      </w:pPr>
      <w:r>
        <w:rPr>
          <w:rFonts w:hint="eastAsia"/>
          <w:sz w:val="24"/>
          <w:szCs w:val="24"/>
        </w:rPr>
        <w:t>授予具有不同級</w:t>
      </w:r>
      <w:proofErr w:type="gramStart"/>
      <w:r>
        <w:rPr>
          <w:rFonts w:hint="eastAsia"/>
          <w:sz w:val="24"/>
          <w:szCs w:val="24"/>
        </w:rPr>
        <w:t>俸</w:t>
      </w:r>
      <w:proofErr w:type="gramEnd"/>
      <w:r>
        <w:rPr>
          <w:rFonts w:hint="eastAsia"/>
          <w:sz w:val="24"/>
          <w:szCs w:val="24"/>
        </w:rPr>
        <w:t>與不同職銜之其他職務；</w:t>
      </w:r>
    </w:p>
    <w:p w:rsidR="00000000" w:rsidRDefault="00CB4FE6">
      <w:pPr>
        <w:pStyle w:val="2"/>
        <w:numPr>
          <w:ilvl w:val="0"/>
          <w:numId w:val="36"/>
        </w:numPr>
        <w:ind w:firstLineChars="0"/>
        <w:rPr>
          <w:rFonts w:ascii="新細明體" w:hAnsi="新細明體" w:hint="eastAsia"/>
          <w:sz w:val="24"/>
          <w:szCs w:val="24"/>
        </w:rPr>
      </w:pPr>
      <w:r>
        <w:rPr>
          <w:rFonts w:hint="eastAsia"/>
          <w:sz w:val="24"/>
          <w:szCs w:val="24"/>
        </w:rPr>
        <w:t>變換官職等時授予具有不同職銜之其他職務。</w:t>
      </w:r>
    </w:p>
    <w:p w:rsidR="00000000" w:rsidRDefault="00CB4FE6">
      <w:pPr>
        <w:pStyle w:val="2"/>
        <w:rPr>
          <w:rFonts w:hint="eastAsia"/>
          <w:sz w:val="24"/>
          <w:szCs w:val="24"/>
        </w:rPr>
      </w:pPr>
      <w:r>
        <w:rPr>
          <w:rFonts w:hint="eastAsia"/>
          <w:sz w:val="24"/>
          <w:szCs w:val="24"/>
        </w:rPr>
        <w:t>「任命」（</w:t>
      </w:r>
      <w:r>
        <w:rPr>
          <w:sz w:val="24"/>
          <w:szCs w:val="24"/>
          <w:lang w:val="de-DE"/>
        </w:rPr>
        <w:t>Ernennung</w:t>
      </w:r>
      <w:r>
        <w:rPr>
          <w:rFonts w:hint="eastAsia"/>
          <w:sz w:val="24"/>
          <w:szCs w:val="24"/>
        </w:rPr>
        <w:t>）為形成權利之行政處分，處分之內容包括公務人員關係之成立或變更。依前揭聯邦公務人員法第</w:t>
      </w:r>
      <w:r>
        <w:rPr>
          <w:rFonts w:hint="eastAsia"/>
          <w:sz w:val="24"/>
          <w:szCs w:val="24"/>
        </w:rPr>
        <w:t>6</w:t>
      </w:r>
      <w:r>
        <w:rPr>
          <w:rFonts w:hint="eastAsia"/>
          <w:sz w:val="24"/>
          <w:szCs w:val="24"/>
        </w:rPr>
        <w:t>條第</w:t>
      </w:r>
      <w:r>
        <w:rPr>
          <w:rFonts w:hint="eastAsia"/>
          <w:sz w:val="24"/>
          <w:szCs w:val="24"/>
        </w:rPr>
        <w:t>1</w:t>
      </w:r>
      <w:r>
        <w:rPr>
          <w:rFonts w:hint="eastAsia"/>
          <w:sz w:val="24"/>
          <w:szCs w:val="24"/>
        </w:rPr>
        <w:t>項之規定，在「任命」此一上位概念下，包括以下具體之行為</w:t>
      </w:r>
      <w:r>
        <w:rPr>
          <w:rFonts w:hint="eastAsia"/>
          <w:sz w:val="24"/>
          <w:szCs w:val="24"/>
          <w:lang w:val="de-DE"/>
        </w:rPr>
        <w:t>形式</w:t>
      </w:r>
      <w:r>
        <w:rPr>
          <w:rFonts w:hint="eastAsia"/>
          <w:sz w:val="24"/>
          <w:szCs w:val="24"/>
        </w:rPr>
        <w:t>：</w:t>
      </w:r>
    </w:p>
    <w:p w:rsidR="00000000" w:rsidRDefault="00CB4FE6">
      <w:pPr>
        <w:pStyle w:val="2"/>
        <w:numPr>
          <w:ilvl w:val="0"/>
          <w:numId w:val="37"/>
        </w:numPr>
        <w:ind w:firstLineChars="0"/>
        <w:rPr>
          <w:sz w:val="24"/>
          <w:szCs w:val="24"/>
          <w:lang w:val="de-DE"/>
        </w:rPr>
      </w:pPr>
      <w:r>
        <w:rPr>
          <w:rFonts w:hint="eastAsia"/>
          <w:sz w:val="24"/>
          <w:szCs w:val="24"/>
        </w:rPr>
        <w:t>任用（</w:t>
      </w:r>
      <w:r>
        <w:rPr>
          <w:sz w:val="24"/>
          <w:szCs w:val="24"/>
          <w:lang w:val="de-DE"/>
        </w:rPr>
        <w:t>Einstellung</w:t>
      </w:r>
      <w:r>
        <w:rPr>
          <w:rFonts w:hint="eastAsia"/>
          <w:sz w:val="24"/>
          <w:szCs w:val="24"/>
        </w:rPr>
        <w:t>）</w:t>
      </w:r>
    </w:p>
    <w:p w:rsidR="00000000" w:rsidRDefault="00CB4FE6">
      <w:pPr>
        <w:pStyle w:val="2"/>
        <w:ind w:firstLineChars="0"/>
        <w:rPr>
          <w:rFonts w:hint="eastAsia"/>
          <w:sz w:val="24"/>
          <w:szCs w:val="24"/>
          <w:lang w:val="de-DE"/>
        </w:rPr>
      </w:pPr>
      <w:r>
        <w:rPr>
          <w:rFonts w:hint="eastAsia"/>
          <w:sz w:val="24"/>
          <w:szCs w:val="24"/>
          <w:lang w:val="de-DE"/>
        </w:rPr>
        <w:t>任用乃成立公務人員法律關係之行政處分，亦稱為狹義之任命。</w:t>
      </w:r>
      <w:r>
        <w:rPr>
          <w:rStyle w:val="a4"/>
          <w:sz w:val="24"/>
          <w:szCs w:val="24"/>
          <w:lang w:val="de-DE"/>
        </w:rPr>
        <w:footnoteReference w:id="7"/>
      </w:r>
      <w:r>
        <w:rPr>
          <w:rFonts w:hint="eastAsia"/>
          <w:sz w:val="24"/>
          <w:szCs w:val="24"/>
          <w:lang w:val="de-DE"/>
        </w:rPr>
        <w:t>任用行為</w:t>
      </w:r>
      <w:r>
        <w:rPr>
          <w:rFonts w:hint="eastAsia"/>
          <w:sz w:val="24"/>
          <w:szCs w:val="24"/>
          <w:lang w:val="de-DE"/>
        </w:rPr>
        <w:lastRenderedPageBreak/>
        <w:t>決定公務人員之一般性地位</w:t>
      </w:r>
      <w:r>
        <w:rPr>
          <w:rFonts w:hint="eastAsia"/>
          <w:sz w:val="24"/>
          <w:szCs w:val="24"/>
          <w:lang w:val="de-DE"/>
        </w:rPr>
        <w:t xml:space="preserve"> </w:t>
      </w:r>
      <w:proofErr w:type="gramStart"/>
      <w:r>
        <w:rPr>
          <w:sz w:val="24"/>
          <w:szCs w:val="24"/>
          <w:lang w:val="de-DE"/>
        </w:rPr>
        <w:t>–</w:t>
      </w:r>
      <w:proofErr w:type="gramEnd"/>
      <w:r>
        <w:rPr>
          <w:rFonts w:hint="eastAsia"/>
          <w:sz w:val="24"/>
          <w:szCs w:val="24"/>
          <w:lang w:val="de-DE"/>
        </w:rPr>
        <w:t xml:space="preserve"> </w:t>
      </w:r>
      <w:r>
        <w:rPr>
          <w:rFonts w:hint="eastAsia"/>
          <w:sz w:val="24"/>
          <w:szCs w:val="24"/>
          <w:lang w:val="de-DE"/>
        </w:rPr>
        <w:t>基本地位。任用行為必定先於初次</w:t>
      </w:r>
      <w:r>
        <w:rPr>
          <w:rFonts w:hint="eastAsia"/>
          <w:sz w:val="24"/>
          <w:szCs w:val="24"/>
          <w:lang w:val="de-DE"/>
        </w:rPr>
        <w:t>授予職務或至少與其同時發生，</w:t>
      </w:r>
      <w:proofErr w:type="gramStart"/>
      <w:r>
        <w:rPr>
          <w:rFonts w:hint="eastAsia"/>
          <w:sz w:val="24"/>
          <w:szCs w:val="24"/>
          <w:lang w:val="de-DE"/>
        </w:rPr>
        <w:t>蓋必先</w:t>
      </w:r>
      <w:proofErr w:type="gramEnd"/>
      <w:r>
        <w:rPr>
          <w:rFonts w:hint="eastAsia"/>
          <w:sz w:val="24"/>
          <w:szCs w:val="24"/>
          <w:lang w:val="de-DE"/>
        </w:rPr>
        <w:t>建立公務人員關係後才可能授予職務。如任用終身職、定期職或臨時職公務人員，則於任用證書載明其初任之職務，或同時（同一天）以須證書之任命行為授予初任之職務。</w:t>
      </w:r>
      <w:r>
        <w:rPr>
          <w:rStyle w:val="a4"/>
          <w:sz w:val="24"/>
          <w:szCs w:val="24"/>
          <w:lang w:val="de-DE"/>
        </w:rPr>
        <w:footnoteReference w:id="8"/>
      </w:r>
    </w:p>
    <w:p w:rsidR="00000000" w:rsidRDefault="00CB4FE6">
      <w:pPr>
        <w:pStyle w:val="2"/>
        <w:numPr>
          <w:ilvl w:val="0"/>
          <w:numId w:val="37"/>
        </w:numPr>
        <w:ind w:firstLineChars="0"/>
        <w:rPr>
          <w:rFonts w:hint="eastAsia"/>
          <w:sz w:val="24"/>
          <w:szCs w:val="24"/>
          <w:lang w:val="de-DE"/>
        </w:rPr>
      </w:pPr>
      <w:r>
        <w:rPr>
          <w:rFonts w:hint="eastAsia"/>
          <w:sz w:val="24"/>
          <w:szCs w:val="24"/>
        </w:rPr>
        <w:t>身分轉換（</w:t>
      </w:r>
      <w:r>
        <w:rPr>
          <w:sz w:val="24"/>
          <w:szCs w:val="24"/>
          <w:lang w:val="de-DE"/>
        </w:rPr>
        <w:t>Umwandlung</w:t>
      </w:r>
      <w:r>
        <w:rPr>
          <w:rFonts w:hint="eastAsia"/>
          <w:sz w:val="24"/>
          <w:szCs w:val="24"/>
        </w:rPr>
        <w:t>）</w:t>
      </w:r>
    </w:p>
    <w:p w:rsidR="00000000" w:rsidRDefault="00CB4FE6">
      <w:pPr>
        <w:pStyle w:val="2"/>
        <w:ind w:firstLineChars="0"/>
        <w:rPr>
          <w:rFonts w:hint="eastAsia"/>
          <w:sz w:val="24"/>
          <w:szCs w:val="24"/>
          <w:lang w:val="de-DE"/>
        </w:rPr>
      </w:pPr>
      <w:r>
        <w:rPr>
          <w:rFonts w:hint="eastAsia"/>
          <w:sz w:val="24"/>
          <w:szCs w:val="24"/>
        </w:rPr>
        <w:t>在既存之公務人員關係中，未改變</w:t>
      </w:r>
      <w:proofErr w:type="gramStart"/>
      <w:r>
        <w:rPr>
          <w:rFonts w:hint="eastAsia"/>
          <w:sz w:val="24"/>
          <w:szCs w:val="24"/>
        </w:rPr>
        <w:t>勤務主且未</w:t>
      </w:r>
      <w:proofErr w:type="gramEnd"/>
      <w:r>
        <w:rPr>
          <w:rFonts w:hint="eastAsia"/>
          <w:sz w:val="24"/>
          <w:szCs w:val="24"/>
        </w:rPr>
        <w:t>中斷公務人員關係，而轉換為其他種類之公務人員關係。公務人員因此改變其基本地位。例如，試用職公務人員轉換為終身職公務人員。</w:t>
      </w:r>
      <w:proofErr w:type="gramStart"/>
      <w:r>
        <w:rPr>
          <w:rFonts w:hint="eastAsia"/>
          <w:sz w:val="24"/>
          <w:szCs w:val="24"/>
        </w:rPr>
        <w:t>惟</w:t>
      </w:r>
      <w:proofErr w:type="gramEnd"/>
      <w:r>
        <w:rPr>
          <w:rFonts w:hint="eastAsia"/>
          <w:sz w:val="24"/>
          <w:szCs w:val="24"/>
        </w:rPr>
        <w:t>終身職公務人員轉換為同一勤務主之定期職公務人員，則非身分轉換，而是成立一個新的公務人員關係，蓋於此情形，原公務人員關係已經中斷</w:t>
      </w:r>
      <w:r>
        <w:rPr>
          <w:rFonts w:hint="eastAsia"/>
          <w:sz w:val="24"/>
          <w:szCs w:val="24"/>
        </w:rPr>
        <w:t>。</w:t>
      </w:r>
      <w:r>
        <w:rPr>
          <w:rStyle w:val="a4"/>
          <w:sz w:val="24"/>
          <w:szCs w:val="24"/>
        </w:rPr>
        <w:footnoteReference w:id="9"/>
      </w:r>
    </w:p>
    <w:p w:rsidR="00000000" w:rsidRDefault="00CB4FE6">
      <w:pPr>
        <w:pStyle w:val="2"/>
        <w:numPr>
          <w:ilvl w:val="0"/>
          <w:numId w:val="37"/>
        </w:numPr>
        <w:ind w:firstLineChars="0"/>
        <w:rPr>
          <w:sz w:val="24"/>
          <w:szCs w:val="24"/>
          <w:lang w:val="de-DE"/>
        </w:rPr>
      </w:pPr>
      <w:r>
        <w:rPr>
          <w:rFonts w:hint="eastAsia"/>
          <w:sz w:val="24"/>
          <w:szCs w:val="24"/>
        </w:rPr>
        <w:t>初任職務</w:t>
      </w:r>
      <w:r>
        <w:rPr>
          <w:rFonts w:hint="eastAsia"/>
          <w:sz w:val="24"/>
          <w:szCs w:val="24"/>
          <w:lang w:val="de-DE"/>
        </w:rPr>
        <w:t>（</w:t>
      </w:r>
      <w:r>
        <w:rPr>
          <w:sz w:val="24"/>
          <w:szCs w:val="24"/>
          <w:lang w:val="de-DE"/>
        </w:rPr>
        <w:t>Anstellung</w:t>
      </w:r>
      <w:r>
        <w:rPr>
          <w:rFonts w:hint="eastAsia"/>
          <w:sz w:val="24"/>
          <w:szCs w:val="24"/>
          <w:lang w:val="de-DE"/>
        </w:rPr>
        <w:t>）</w:t>
      </w:r>
    </w:p>
    <w:p w:rsidR="00000000" w:rsidRDefault="00CB4FE6">
      <w:pPr>
        <w:pStyle w:val="2"/>
        <w:ind w:firstLineChars="0"/>
        <w:rPr>
          <w:rFonts w:hint="eastAsia"/>
          <w:sz w:val="24"/>
          <w:szCs w:val="24"/>
          <w:lang w:val="de-DE"/>
        </w:rPr>
      </w:pPr>
      <w:r>
        <w:rPr>
          <w:rFonts w:hint="eastAsia"/>
          <w:sz w:val="24"/>
          <w:szCs w:val="24"/>
          <w:lang w:val="de-DE"/>
        </w:rPr>
        <w:t>初任職務乃對於公務人員初次授予（公務人員）職務，其以存在公務人員關係為前提或同時成立。「職務」（</w:t>
      </w:r>
      <w:r>
        <w:rPr>
          <w:sz w:val="24"/>
          <w:szCs w:val="24"/>
          <w:lang w:val="de-DE"/>
        </w:rPr>
        <w:t>Amt</w:t>
      </w:r>
      <w:r>
        <w:rPr>
          <w:rFonts w:hint="eastAsia"/>
          <w:sz w:val="24"/>
          <w:szCs w:val="24"/>
          <w:lang w:val="de-DE"/>
        </w:rPr>
        <w:t>）一詞，具有不同之意義。所謂地位法意義上之職務，係</w:t>
      </w:r>
      <w:r>
        <w:rPr>
          <w:rFonts w:ascii="新細明體" w:hAnsi="新細明體" w:hint="eastAsia"/>
          <w:sz w:val="24"/>
          <w:szCs w:val="24"/>
        </w:rPr>
        <w:t>指為具有特定能力之人，抽象而一般所勾勒出之公法上勤務主之任務種類，此一任務種類具有一定之職銜（</w:t>
      </w:r>
      <w:r>
        <w:rPr>
          <w:rFonts w:ascii="新細明體" w:hAnsi="新細明體"/>
          <w:sz w:val="24"/>
          <w:szCs w:val="24"/>
          <w:lang w:val="de-DE"/>
        </w:rPr>
        <w:t>Amtsbezeichnung</w:t>
      </w:r>
      <w:r>
        <w:rPr>
          <w:rFonts w:ascii="新細明體" w:hAnsi="新細明體" w:hint="eastAsia"/>
          <w:sz w:val="24"/>
          <w:szCs w:val="24"/>
        </w:rPr>
        <w:t>），並由官職等、級</w:t>
      </w:r>
      <w:proofErr w:type="gramStart"/>
      <w:r>
        <w:rPr>
          <w:rFonts w:ascii="新細明體" w:hAnsi="新細明體" w:hint="eastAsia"/>
          <w:sz w:val="24"/>
          <w:szCs w:val="24"/>
        </w:rPr>
        <w:t>俸</w:t>
      </w:r>
      <w:proofErr w:type="gramEnd"/>
      <w:r>
        <w:rPr>
          <w:rFonts w:ascii="新細明體" w:hAnsi="新細明體" w:hint="eastAsia"/>
          <w:sz w:val="24"/>
          <w:szCs w:val="24"/>
        </w:rPr>
        <w:t>（特別是最高</w:t>
      </w:r>
      <w:proofErr w:type="gramStart"/>
      <w:r>
        <w:rPr>
          <w:rFonts w:ascii="新細明體" w:hAnsi="新細明體" w:hint="eastAsia"/>
          <w:sz w:val="24"/>
          <w:szCs w:val="24"/>
        </w:rPr>
        <w:t>俸</w:t>
      </w:r>
      <w:proofErr w:type="gramEnd"/>
      <w:r>
        <w:rPr>
          <w:rFonts w:ascii="新細明體" w:hAnsi="新細明體" w:hint="eastAsia"/>
          <w:sz w:val="24"/>
          <w:szCs w:val="24"/>
        </w:rPr>
        <w:t>點）等加以決定</w:t>
      </w:r>
      <w:r>
        <w:rPr>
          <w:rStyle w:val="a4"/>
          <w:rFonts w:ascii="新細明體" w:hAnsi="新細明體"/>
          <w:sz w:val="24"/>
          <w:szCs w:val="24"/>
        </w:rPr>
        <w:footnoteReference w:id="10"/>
      </w:r>
      <w:r>
        <w:rPr>
          <w:rFonts w:ascii="新細明體" w:hAnsi="新細明體" w:hint="eastAsia"/>
          <w:sz w:val="24"/>
          <w:szCs w:val="24"/>
        </w:rPr>
        <w:t>。應</w:t>
      </w:r>
      <w:r>
        <w:rPr>
          <w:rFonts w:ascii="新細明體" w:hAnsi="新細明體" w:hint="eastAsia"/>
          <w:sz w:val="24"/>
          <w:szCs w:val="24"/>
          <w:lang w:val="de-DE"/>
        </w:rPr>
        <w:t>與地位法上之</w:t>
      </w:r>
      <w:proofErr w:type="gramStart"/>
      <w:r>
        <w:rPr>
          <w:rFonts w:ascii="新細明體" w:hAnsi="新細明體" w:hint="eastAsia"/>
          <w:sz w:val="24"/>
          <w:szCs w:val="24"/>
          <w:lang w:val="de-DE"/>
        </w:rPr>
        <w:t>職務相以區分</w:t>
      </w:r>
      <w:proofErr w:type="gramEnd"/>
      <w:r>
        <w:rPr>
          <w:rFonts w:ascii="新細明體" w:hAnsi="新細明體" w:hint="eastAsia"/>
          <w:sz w:val="24"/>
          <w:szCs w:val="24"/>
          <w:lang w:val="de-DE"/>
        </w:rPr>
        <w:t>者為功能意義上之職務，此又分為抽象</w:t>
      </w:r>
      <w:r>
        <w:rPr>
          <w:rFonts w:ascii="新細明體" w:hAnsi="新細明體" w:hint="eastAsia"/>
          <w:sz w:val="24"/>
          <w:szCs w:val="24"/>
          <w:lang w:val="de-DE"/>
        </w:rPr>
        <w:t>-</w:t>
      </w:r>
      <w:r>
        <w:rPr>
          <w:rFonts w:ascii="新細明體" w:hAnsi="新細明體" w:hint="eastAsia"/>
          <w:sz w:val="24"/>
          <w:szCs w:val="24"/>
          <w:lang w:val="de-DE"/>
        </w:rPr>
        <w:t>功能之職務以及具體</w:t>
      </w:r>
      <w:r>
        <w:rPr>
          <w:rFonts w:ascii="新細明體" w:hAnsi="新細明體" w:hint="eastAsia"/>
          <w:sz w:val="24"/>
          <w:szCs w:val="24"/>
          <w:lang w:val="de-DE"/>
        </w:rPr>
        <w:t>-</w:t>
      </w:r>
      <w:r>
        <w:rPr>
          <w:rFonts w:ascii="新細明體" w:hAnsi="新細明體" w:hint="eastAsia"/>
          <w:sz w:val="24"/>
          <w:szCs w:val="24"/>
          <w:lang w:val="de-DE"/>
        </w:rPr>
        <w:t>功能職務。所謂抽象</w:t>
      </w:r>
      <w:r>
        <w:rPr>
          <w:rFonts w:ascii="新細明體" w:hAnsi="新細明體" w:hint="eastAsia"/>
          <w:sz w:val="24"/>
          <w:szCs w:val="24"/>
          <w:lang w:val="de-DE"/>
        </w:rPr>
        <w:t>-</w:t>
      </w:r>
      <w:r>
        <w:rPr>
          <w:rFonts w:ascii="新細明體" w:hAnsi="新細明體" w:hint="eastAsia"/>
          <w:sz w:val="24"/>
          <w:szCs w:val="24"/>
          <w:lang w:val="de-DE"/>
        </w:rPr>
        <w:t>功能之職務，係指公務人員於特定機關中，與其</w:t>
      </w:r>
      <w:r>
        <w:rPr>
          <w:rFonts w:ascii="新細明體" w:hAnsi="新細明體" w:hint="eastAsia"/>
          <w:sz w:val="24"/>
          <w:szCs w:val="24"/>
          <w:lang w:val="de-DE"/>
        </w:rPr>
        <w:t>地位相符合之抽象任務範圍；至於具體</w:t>
      </w:r>
      <w:r>
        <w:rPr>
          <w:rFonts w:ascii="新細明體" w:hAnsi="新細明體" w:hint="eastAsia"/>
          <w:sz w:val="24"/>
          <w:szCs w:val="24"/>
          <w:lang w:val="de-DE"/>
        </w:rPr>
        <w:t>-</w:t>
      </w:r>
      <w:r>
        <w:rPr>
          <w:rFonts w:ascii="新細明體" w:hAnsi="新細明體" w:hint="eastAsia"/>
          <w:sz w:val="24"/>
          <w:szCs w:val="24"/>
          <w:lang w:val="de-DE"/>
        </w:rPr>
        <w:t>功能職務，則是經由機關內組織編制上任務範圍之託付所產生之職位</w:t>
      </w:r>
      <w:r>
        <w:rPr>
          <w:rFonts w:ascii="新細明體" w:hAnsi="新細明體" w:hint="eastAsia"/>
          <w:sz w:val="24"/>
          <w:szCs w:val="24"/>
        </w:rPr>
        <w:t>。</w:t>
      </w:r>
      <w:r>
        <w:rPr>
          <w:rStyle w:val="a4"/>
          <w:rFonts w:ascii="新細明體" w:hAnsi="新細明體"/>
          <w:szCs w:val="24"/>
        </w:rPr>
        <w:footnoteReference w:id="11"/>
      </w:r>
      <w:r>
        <w:rPr>
          <w:rFonts w:ascii="新細明體" w:hAnsi="新細明體" w:hint="eastAsia"/>
          <w:sz w:val="24"/>
          <w:szCs w:val="24"/>
          <w:lang w:val="de-DE"/>
        </w:rPr>
        <w:t>初任職務乃授予地位法意義上之職務。</w:t>
      </w:r>
    </w:p>
    <w:p w:rsidR="00000000" w:rsidRDefault="00CB4FE6">
      <w:pPr>
        <w:pStyle w:val="2"/>
        <w:numPr>
          <w:ilvl w:val="0"/>
          <w:numId w:val="37"/>
        </w:numPr>
        <w:ind w:firstLineChars="0"/>
        <w:rPr>
          <w:rFonts w:hint="eastAsia"/>
          <w:sz w:val="24"/>
          <w:szCs w:val="24"/>
        </w:rPr>
      </w:pPr>
      <w:r>
        <w:rPr>
          <w:rFonts w:hint="eastAsia"/>
          <w:sz w:val="24"/>
          <w:szCs w:val="24"/>
        </w:rPr>
        <w:t>升遷（</w:t>
      </w:r>
      <w:r>
        <w:rPr>
          <w:sz w:val="24"/>
          <w:szCs w:val="24"/>
          <w:lang w:val="de-DE"/>
        </w:rPr>
        <w:t>Beförderung</w:t>
      </w:r>
      <w:r>
        <w:rPr>
          <w:rFonts w:hint="eastAsia"/>
          <w:sz w:val="24"/>
          <w:szCs w:val="24"/>
        </w:rPr>
        <w:t>）與降職（</w:t>
      </w:r>
      <w:r>
        <w:rPr>
          <w:sz w:val="24"/>
          <w:szCs w:val="24"/>
          <w:lang w:val="de-DE"/>
        </w:rPr>
        <w:t>Herabsetzung</w:t>
      </w:r>
      <w:r>
        <w:rPr>
          <w:rFonts w:hint="eastAsia"/>
          <w:sz w:val="24"/>
          <w:szCs w:val="24"/>
        </w:rPr>
        <w:t>）</w:t>
      </w:r>
    </w:p>
    <w:p w:rsidR="00000000" w:rsidRDefault="00CB4FE6">
      <w:pPr>
        <w:pStyle w:val="2"/>
        <w:ind w:firstLineChars="0"/>
        <w:rPr>
          <w:rFonts w:hint="eastAsia"/>
          <w:sz w:val="24"/>
          <w:szCs w:val="24"/>
        </w:rPr>
      </w:pPr>
      <w:r>
        <w:rPr>
          <w:rFonts w:hint="eastAsia"/>
          <w:sz w:val="24"/>
          <w:szCs w:val="24"/>
        </w:rPr>
        <w:t>升遷與降職都涉及一個地位法意義上之其他職務。所授予之新職務如具有不同之職銜與級</w:t>
      </w:r>
      <w:proofErr w:type="gramStart"/>
      <w:r>
        <w:rPr>
          <w:rFonts w:hint="eastAsia"/>
          <w:sz w:val="24"/>
          <w:szCs w:val="24"/>
        </w:rPr>
        <w:t>俸</w:t>
      </w:r>
      <w:proofErr w:type="gramEnd"/>
      <w:r>
        <w:rPr>
          <w:rFonts w:hint="eastAsia"/>
          <w:sz w:val="24"/>
          <w:szCs w:val="24"/>
        </w:rPr>
        <w:t>，則必須有正式之任命行為。並非所有之升遷都需要正式之任命</w:t>
      </w:r>
      <w:r>
        <w:rPr>
          <w:rFonts w:hint="eastAsia"/>
          <w:sz w:val="24"/>
          <w:szCs w:val="24"/>
        </w:rPr>
        <w:lastRenderedPageBreak/>
        <w:t>行為，例如所授予之新職務雖具有較高之最高</w:t>
      </w:r>
      <w:proofErr w:type="gramStart"/>
      <w:r>
        <w:rPr>
          <w:rFonts w:hint="eastAsia"/>
          <w:sz w:val="24"/>
          <w:szCs w:val="24"/>
        </w:rPr>
        <w:t>俸</w:t>
      </w:r>
      <w:proofErr w:type="gramEnd"/>
      <w:r>
        <w:rPr>
          <w:rFonts w:hint="eastAsia"/>
          <w:sz w:val="24"/>
          <w:szCs w:val="24"/>
        </w:rPr>
        <w:t>點，但職銜不變，則無需正式之任命行為。</w:t>
      </w:r>
      <w:r>
        <w:rPr>
          <w:rStyle w:val="a4"/>
          <w:szCs w:val="24"/>
        </w:rPr>
        <w:footnoteReference w:id="12"/>
      </w:r>
    </w:p>
    <w:p w:rsidR="00000000" w:rsidRDefault="00CB4FE6">
      <w:pPr>
        <w:pStyle w:val="2"/>
        <w:ind w:firstLineChars="0"/>
        <w:rPr>
          <w:rFonts w:ascii="新細明體" w:hAnsi="新細明體" w:hint="eastAsia"/>
          <w:sz w:val="24"/>
          <w:szCs w:val="24"/>
        </w:rPr>
      </w:pPr>
      <w:r>
        <w:rPr>
          <w:rFonts w:hint="eastAsia"/>
          <w:sz w:val="24"/>
          <w:szCs w:val="24"/>
        </w:rPr>
        <w:t>任命為須相對人參與之要式行政處分，以被任用者之同意及任用證書之交付為生效要件。為了確保法安</w:t>
      </w:r>
      <w:r>
        <w:rPr>
          <w:rFonts w:hint="eastAsia"/>
          <w:sz w:val="24"/>
          <w:szCs w:val="24"/>
        </w:rPr>
        <w:t>定性，任命行為要求高度之形式性，亦即證書必須記載特定之內容，且必須交付予受任人。</w:t>
      </w:r>
      <w:r>
        <w:rPr>
          <w:rStyle w:val="a4"/>
          <w:szCs w:val="24"/>
        </w:rPr>
        <w:footnoteReference w:id="13"/>
      </w:r>
      <w:r>
        <w:rPr>
          <w:rFonts w:hint="eastAsia"/>
          <w:sz w:val="24"/>
          <w:szCs w:val="24"/>
          <w:lang w:val="de-DE"/>
        </w:rPr>
        <w:t>依聯邦公務人員法第</w:t>
      </w:r>
      <w:r>
        <w:rPr>
          <w:rFonts w:hint="eastAsia"/>
          <w:sz w:val="24"/>
          <w:szCs w:val="24"/>
        </w:rPr>
        <w:t>6</w:t>
      </w:r>
      <w:r>
        <w:rPr>
          <w:rFonts w:hint="eastAsia"/>
          <w:sz w:val="24"/>
          <w:szCs w:val="24"/>
          <w:lang w:val="de-DE"/>
        </w:rPr>
        <w:t>條第</w:t>
      </w:r>
      <w:r>
        <w:rPr>
          <w:rFonts w:hint="eastAsia"/>
          <w:sz w:val="24"/>
          <w:szCs w:val="24"/>
        </w:rPr>
        <w:t>2</w:t>
      </w:r>
      <w:r>
        <w:rPr>
          <w:rFonts w:hint="eastAsia"/>
          <w:sz w:val="24"/>
          <w:szCs w:val="24"/>
          <w:lang w:val="de-DE"/>
        </w:rPr>
        <w:t>項第</w:t>
      </w:r>
      <w:r>
        <w:rPr>
          <w:rFonts w:hint="eastAsia"/>
          <w:sz w:val="24"/>
          <w:szCs w:val="24"/>
        </w:rPr>
        <w:t>1</w:t>
      </w:r>
      <w:r>
        <w:rPr>
          <w:rFonts w:hint="eastAsia"/>
          <w:sz w:val="24"/>
          <w:szCs w:val="24"/>
          <w:lang w:val="de-DE"/>
        </w:rPr>
        <w:t>款之規定</w:t>
      </w:r>
      <w:r>
        <w:rPr>
          <w:rFonts w:hint="eastAsia"/>
          <w:sz w:val="24"/>
          <w:szCs w:val="24"/>
        </w:rPr>
        <w:t>，</w:t>
      </w:r>
      <w:r>
        <w:rPr>
          <w:rFonts w:hint="eastAsia"/>
          <w:sz w:val="24"/>
          <w:szCs w:val="24"/>
          <w:lang w:val="de-DE"/>
        </w:rPr>
        <w:t>任命證書上必須記載「受任為公務人員」</w:t>
      </w:r>
      <w:r>
        <w:rPr>
          <w:rFonts w:hint="eastAsia"/>
          <w:sz w:val="24"/>
          <w:szCs w:val="24"/>
        </w:rPr>
        <w:t>（</w:t>
      </w:r>
      <w:proofErr w:type="gramStart"/>
      <w:r>
        <w:rPr>
          <w:sz w:val="24"/>
          <w:szCs w:val="24"/>
        </w:rPr>
        <w:t>“</w:t>
      </w:r>
      <w:proofErr w:type="gramEnd"/>
      <w:r>
        <w:rPr>
          <w:sz w:val="24"/>
          <w:szCs w:val="24"/>
        </w:rPr>
        <w:t>unter Berufung in das Beamtenverhältnis“</w:t>
      </w:r>
      <w:r>
        <w:rPr>
          <w:rFonts w:hint="eastAsia"/>
          <w:sz w:val="24"/>
          <w:szCs w:val="24"/>
        </w:rPr>
        <w:t>），</w:t>
      </w:r>
      <w:r>
        <w:rPr>
          <w:rFonts w:hint="eastAsia"/>
          <w:sz w:val="24"/>
          <w:szCs w:val="24"/>
          <w:lang w:val="de-DE"/>
        </w:rPr>
        <w:t>以及決定公務人員關係種類之附加文句</w:t>
      </w:r>
      <w:r>
        <w:rPr>
          <w:rFonts w:hint="eastAsia"/>
          <w:sz w:val="24"/>
          <w:szCs w:val="24"/>
        </w:rPr>
        <w:t>，</w:t>
      </w:r>
      <w:r>
        <w:rPr>
          <w:rFonts w:hint="eastAsia"/>
          <w:sz w:val="24"/>
          <w:szCs w:val="24"/>
          <w:lang w:val="de-DE"/>
        </w:rPr>
        <w:t>如「終身職」、「試用職」、「臨時職」</w:t>
      </w:r>
      <w:r>
        <w:rPr>
          <w:rFonts w:hint="eastAsia"/>
          <w:sz w:val="24"/>
          <w:szCs w:val="24"/>
        </w:rPr>
        <w:t>，</w:t>
      </w:r>
      <w:r>
        <w:rPr>
          <w:rFonts w:hint="eastAsia"/>
          <w:sz w:val="24"/>
          <w:szCs w:val="24"/>
          <w:lang w:val="de-DE"/>
        </w:rPr>
        <w:t>或「榮譽職」</w:t>
      </w:r>
      <w:r>
        <w:rPr>
          <w:rFonts w:hint="eastAsia"/>
          <w:sz w:val="24"/>
          <w:szCs w:val="24"/>
        </w:rPr>
        <w:t>，</w:t>
      </w:r>
      <w:r>
        <w:rPr>
          <w:rFonts w:hint="eastAsia"/>
          <w:sz w:val="24"/>
          <w:szCs w:val="24"/>
          <w:lang w:val="de-DE"/>
        </w:rPr>
        <w:t>或「定期職」並註明任用之期間。</w:t>
      </w:r>
    </w:p>
    <w:p w:rsidR="00000000" w:rsidRDefault="00CB4FE6">
      <w:pPr>
        <w:spacing w:line="360" w:lineRule="auto"/>
        <w:jc w:val="both"/>
        <w:rPr>
          <w:rFonts w:ascii="新細明體" w:hAnsi="新細明體" w:hint="eastAsia"/>
        </w:rPr>
      </w:pPr>
    </w:p>
    <w:p w:rsidR="00000000" w:rsidRDefault="00CB4FE6">
      <w:pPr>
        <w:numPr>
          <w:ilvl w:val="0"/>
          <w:numId w:val="33"/>
        </w:numPr>
        <w:spacing w:line="360" w:lineRule="auto"/>
        <w:jc w:val="both"/>
        <w:rPr>
          <w:rFonts w:ascii="新細明體" w:hAnsi="新細明體" w:hint="eastAsia"/>
        </w:rPr>
      </w:pPr>
      <w:r>
        <w:rPr>
          <w:rFonts w:ascii="新細明體" w:hAnsi="新細明體" w:hint="eastAsia"/>
        </w:rPr>
        <w:t>分類</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依德國聯邦公務人員法第五條之規定，公務人員關係計有以下數種：</w:t>
      </w:r>
    </w:p>
    <w:p w:rsidR="00000000" w:rsidRDefault="00CB4FE6">
      <w:pPr>
        <w:numPr>
          <w:ilvl w:val="0"/>
          <w:numId w:val="36"/>
        </w:numPr>
        <w:spacing w:line="360" w:lineRule="auto"/>
        <w:jc w:val="both"/>
        <w:rPr>
          <w:rFonts w:ascii="新細明體" w:hAnsi="新細明體" w:hint="eastAsia"/>
        </w:rPr>
      </w:pPr>
      <w:r>
        <w:rPr>
          <w:rFonts w:ascii="新細明體" w:hAnsi="新細明體" w:hint="eastAsia"/>
        </w:rPr>
        <w:t>「終身職之公務人員關係」</w:t>
      </w:r>
      <w:r>
        <w:rPr>
          <w:rFonts w:ascii="新細明體" w:hAnsi="新細明體" w:hint="eastAsia"/>
        </w:rPr>
        <w:t>(Beamtenverh</w:t>
      </w:r>
      <w:r>
        <w:rPr>
          <w:rFonts w:ascii="新細明體" w:hAnsi="新細明體"/>
        </w:rPr>
        <w:t>ä</w:t>
      </w:r>
      <w:r>
        <w:rPr>
          <w:rFonts w:ascii="新細明體" w:hAnsi="新細明體" w:hint="eastAsia"/>
        </w:rPr>
        <w:t>ltnis au</w:t>
      </w:r>
      <w:r>
        <w:rPr>
          <w:rFonts w:ascii="新細明體" w:hAnsi="新細明體" w:hint="eastAsia"/>
        </w:rPr>
        <w:t>f Lebenszeit)</w:t>
      </w:r>
      <w:r>
        <w:rPr>
          <w:rFonts w:ascii="新細明體" w:hAnsi="新細明體" w:hint="eastAsia"/>
        </w:rPr>
        <w:t>，此類公務人員關係承襲傳統職業公務人員制度，於基本法第三十三條第五項定有明文；</w:t>
      </w:r>
    </w:p>
    <w:p w:rsidR="00000000" w:rsidRDefault="00CB4FE6">
      <w:pPr>
        <w:numPr>
          <w:ilvl w:val="0"/>
          <w:numId w:val="36"/>
        </w:numPr>
        <w:spacing w:line="360" w:lineRule="auto"/>
        <w:jc w:val="both"/>
        <w:rPr>
          <w:rFonts w:ascii="新細明體" w:hAnsi="新細明體" w:hint="eastAsia"/>
        </w:rPr>
      </w:pPr>
      <w:r>
        <w:rPr>
          <w:rFonts w:ascii="新細明體" w:hAnsi="新細明體" w:hint="eastAsia"/>
        </w:rPr>
        <w:t>「定期職之公務人員關係」</w:t>
      </w:r>
      <w:r>
        <w:rPr>
          <w:rFonts w:ascii="新細明體" w:hAnsi="新細明體" w:hint="eastAsia"/>
        </w:rPr>
        <w:t>(Beamtenverh</w:t>
      </w:r>
      <w:r>
        <w:rPr>
          <w:rFonts w:ascii="新細明體" w:hAnsi="新細明體"/>
        </w:rPr>
        <w:t>ä</w:t>
      </w:r>
      <w:r>
        <w:rPr>
          <w:rFonts w:ascii="新細明體" w:hAnsi="新細明體" w:hint="eastAsia"/>
        </w:rPr>
        <w:t>ltnis auf Zeit)</w:t>
      </w:r>
      <w:r>
        <w:rPr>
          <w:rFonts w:ascii="新細明體" w:hAnsi="新細明體" w:hint="eastAsia"/>
        </w:rPr>
        <w:t>，即僅於一定期間內從事法定任務之公務員；</w:t>
      </w:r>
    </w:p>
    <w:p w:rsidR="00000000" w:rsidRDefault="00CB4FE6">
      <w:pPr>
        <w:numPr>
          <w:ilvl w:val="0"/>
          <w:numId w:val="36"/>
        </w:numPr>
        <w:spacing w:line="360" w:lineRule="auto"/>
        <w:jc w:val="both"/>
        <w:rPr>
          <w:rFonts w:ascii="新細明體" w:hAnsi="新細明體" w:hint="eastAsia"/>
        </w:rPr>
      </w:pPr>
      <w:r>
        <w:rPr>
          <w:rFonts w:ascii="新細明體" w:hAnsi="新細明體" w:hint="eastAsia"/>
        </w:rPr>
        <w:t>「試用職之公務人員關係」</w:t>
      </w:r>
      <w:r>
        <w:rPr>
          <w:rFonts w:ascii="新細明體" w:hAnsi="新細明體" w:hint="eastAsia"/>
        </w:rPr>
        <w:t>(Beamtenverh</w:t>
      </w:r>
      <w:r>
        <w:rPr>
          <w:rFonts w:ascii="新細明體" w:hAnsi="新細明體"/>
        </w:rPr>
        <w:t>ä</w:t>
      </w:r>
      <w:r>
        <w:rPr>
          <w:rFonts w:ascii="新細明體" w:hAnsi="新細明體" w:hint="eastAsia"/>
        </w:rPr>
        <w:t>ltnis auf Probe)</w:t>
      </w:r>
      <w:r>
        <w:rPr>
          <w:rFonts w:ascii="新細明體" w:hAnsi="新細明體" w:hint="eastAsia"/>
        </w:rPr>
        <w:t>，即為日後成為終身職公務員而須試用一定期間之公務員或授與主管職之公務員。</w:t>
      </w:r>
    </w:p>
    <w:p w:rsidR="00000000" w:rsidRDefault="00CB4FE6">
      <w:pPr>
        <w:numPr>
          <w:ilvl w:val="0"/>
          <w:numId w:val="36"/>
        </w:numPr>
        <w:spacing w:line="360" w:lineRule="auto"/>
        <w:jc w:val="both"/>
        <w:rPr>
          <w:rFonts w:ascii="新細明體" w:hAnsi="新細明體" w:hint="eastAsia"/>
        </w:rPr>
      </w:pPr>
      <w:r>
        <w:rPr>
          <w:rFonts w:ascii="新細明體" w:hAnsi="新細明體" w:hint="eastAsia"/>
        </w:rPr>
        <w:t>「臨時職之公務人員關係」</w:t>
      </w:r>
      <w:r>
        <w:rPr>
          <w:rFonts w:ascii="新細明體" w:hAnsi="新細明體" w:hint="eastAsia"/>
        </w:rPr>
        <w:t>(Beamtenverh</w:t>
      </w:r>
      <w:r>
        <w:rPr>
          <w:rFonts w:ascii="新細明體" w:hAnsi="新細明體"/>
        </w:rPr>
        <w:t>ä</w:t>
      </w:r>
      <w:r>
        <w:rPr>
          <w:rFonts w:ascii="新細明體" w:hAnsi="新細明體" w:hint="eastAsia"/>
        </w:rPr>
        <w:t>ltnis auf Widerruf)</w:t>
      </w:r>
      <w:r>
        <w:rPr>
          <w:rFonts w:ascii="新細明體" w:hAnsi="新細明體" w:hint="eastAsia"/>
        </w:rPr>
        <w:t>，即從事實習、培訓或基本養成訓練職務之工</w:t>
      </w:r>
      <w:r>
        <w:rPr>
          <w:rFonts w:ascii="新細明體" w:hAnsi="新細明體" w:hint="eastAsia"/>
        </w:rPr>
        <w:t>作，或僅附帶或暫時從事高權任務之公務員。</w:t>
      </w:r>
    </w:p>
    <w:p w:rsidR="00000000" w:rsidRDefault="00CB4FE6">
      <w:pPr>
        <w:pStyle w:val="2"/>
        <w:ind w:firstLineChars="0" w:firstLine="0"/>
        <w:rPr>
          <w:rFonts w:ascii="新細明體" w:hAnsi="新細明體" w:hint="eastAsia"/>
          <w:sz w:val="24"/>
          <w:szCs w:val="24"/>
        </w:rPr>
      </w:pPr>
    </w:p>
    <w:p w:rsidR="00000000" w:rsidRDefault="00CB4FE6">
      <w:pPr>
        <w:numPr>
          <w:ilvl w:val="0"/>
          <w:numId w:val="32"/>
        </w:numPr>
        <w:spacing w:line="360" w:lineRule="auto"/>
        <w:jc w:val="both"/>
        <w:rPr>
          <w:rFonts w:ascii="新細明體" w:hAnsi="新細明體" w:hint="eastAsia"/>
        </w:rPr>
      </w:pPr>
      <w:r>
        <w:rPr>
          <w:rFonts w:ascii="新細明體" w:hAnsi="新細明體" w:hint="eastAsia"/>
        </w:rPr>
        <w:t>公勤務領域之勞工</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於公勤務領域服務之勞工與其雇主之關係為私法上之勞動契約。其與公務人員，乃是從形式上，而非依照所賦予之任務加以區分，</w:t>
      </w:r>
      <w:r>
        <w:rPr>
          <w:rFonts w:ascii="新細明體" w:hAnsi="新細明體" w:hint="eastAsia"/>
          <w:lang w:val="de-DE"/>
        </w:rPr>
        <w:t>服勤務之關係</w:t>
      </w:r>
      <w:proofErr w:type="gramStart"/>
      <w:r>
        <w:rPr>
          <w:rFonts w:ascii="新細明體" w:hAnsi="新細明體" w:hint="eastAsia"/>
          <w:lang w:val="de-DE"/>
        </w:rPr>
        <w:t>係</w:t>
      </w:r>
      <w:proofErr w:type="gramEnd"/>
      <w:r>
        <w:rPr>
          <w:rFonts w:ascii="新細明體" w:hAnsi="新細明體" w:hint="eastAsia"/>
          <w:lang w:val="de-DE"/>
        </w:rPr>
        <w:t>因私法契約而發生，而非基於行政處分</w:t>
      </w:r>
      <w:r>
        <w:rPr>
          <w:rFonts w:ascii="新細明體" w:hAnsi="新細明體" w:hint="eastAsia"/>
        </w:rPr>
        <w:t>。</w:t>
      </w:r>
      <w:r>
        <w:rPr>
          <w:rStyle w:val="a4"/>
          <w:rFonts w:ascii="新細明體" w:hAnsi="新細明體"/>
        </w:rPr>
        <w:footnoteReference w:id="14"/>
      </w:r>
    </w:p>
    <w:p w:rsidR="00000000" w:rsidRDefault="00CB4FE6">
      <w:pPr>
        <w:spacing w:line="360" w:lineRule="auto"/>
        <w:jc w:val="both"/>
        <w:rPr>
          <w:rFonts w:ascii="新細明體" w:hAnsi="新細明體"/>
          <w:lang w:val="de-DE"/>
        </w:rPr>
      </w:pPr>
      <w:r>
        <w:rPr>
          <w:rFonts w:ascii="新細明體" w:hAnsi="新細明體" w:hint="eastAsia"/>
        </w:rPr>
        <w:lastRenderedPageBreak/>
        <w:t xml:space="preserve">    </w:t>
      </w:r>
      <w:r>
        <w:rPr>
          <w:rFonts w:ascii="新細明體" w:hAnsi="新細明體" w:hint="eastAsia"/>
        </w:rPr>
        <w:t>於公勤務領域服務之勞工與其雇主間之法律關係內容，一如一般之勞動法律關係，乃是由具團體協約性質之費率契約來加以規範。服務於聯邦、各</w:t>
      </w:r>
      <w:proofErr w:type="gramStart"/>
      <w:r>
        <w:rPr>
          <w:rFonts w:ascii="新細明體" w:hAnsi="新細明體" w:hint="eastAsia"/>
        </w:rPr>
        <w:t>邦</w:t>
      </w:r>
      <w:proofErr w:type="gramEnd"/>
      <w:r>
        <w:rPr>
          <w:rFonts w:ascii="新細明體" w:hAnsi="新細明體" w:hint="eastAsia"/>
        </w:rPr>
        <w:t>以及各鄉鎮之職員，原先共同適用</w:t>
      </w:r>
      <w:r>
        <w:rPr>
          <w:rFonts w:ascii="新細明體" w:hAnsi="新細明體" w:hint="eastAsia"/>
        </w:rPr>
        <w:t>1961</w:t>
      </w:r>
      <w:r>
        <w:rPr>
          <w:rFonts w:ascii="新細明體" w:hAnsi="新細明體" w:hint="eastAsia"/>
        </w:rPr>
        <w:t>年</w:t>
      </w:r>
      <w:r>
        <w:rPr>
          <w:rFonts w:ascii="新細明體" w:hAnsi="新細明體" w:hint="eastAsia"/>
        </w:rPr>
        <w:t>2</w:t>
      </w:r>
      <w:r>
        <w:rPr>
          <w:rFonts w:ascii="新細明體" w:hAnsi="新細明體" w:hint="eastAsia"/>
        </w:rPr>
        <w:t>月</w:t>
      </w:r>
      <w:r>
        <w:rPr>
          <w:rFonts w:ascii="新細明體" w:hAnsi="新細明體" w:hint="eastAsia"/>
        </w:rPr>
        <w:t>23</w:t>
      </w:r>
      <w:r>
        <w:rPr>
          <w:rFonts w:ascii="新細明體" w:hAnsi="新細明體" w:hint="eastAsia"/>
        </w:rPr>
        <w:t>日簽訂之「聯邦職員費率契約」</w:t>
      </w:r>
      <w:proofErr w:type="gramStart"/>
      <w:r>
        <w:rPr>
          <w:rFonts w:ascii="新細明體" w:hAnsi="新細明體" w:hint="eastAsia"/>
        </w:rPr>
        <w:t>（</w:t>
      </w:r>
      <w:proofErr w:type="gramEnd"/>
      <w:r>
        <w:rPr>
          <w:rFonts w:ascii="新細明體" w:hAnsi="新細明體"/>
          <w:lang w:val="de-DE"/>
        </w:rPr>
        <w:t>Bundesangestelltentarifvertra</w:t>
      </w:r>
      <w:r>
        <w:rPr>
          <w:rFonts w:ascii="新細明體" w:hAnsi="新細明體"/>
          <w:lang w:val="de-DE"/>
        </w:rPr>
        <w:t>g; BAT</w:t>
      </w:r>
      <w:proofErr w:type="gramStart"/>
      <w:r>
        <w:rPr>
          <w:rFonts w:ascii="新細明體" w:hAnsi="新細明體" w:hint="eastAsia"/>
        </w:rPr>
        <w:t>）</w:t>
      </w:r>
      <w:proofErr w:type="gramEnd"/>
      <w:r>
        <w:rPr>
          <w:rFonts w:ascii="新細明體" w:hAnsi="新細明體" w:hint="eastAsia"/>
        </w:rPr>
        <w:t>。此一契約為</w:t>
      </w:r>
      <w:r>
        <w:rPr>
          <w:rFonts w:ascii="新細明體" w:hAnsi="新細明體" w:hint="eastAsia"/>
        </w:rPr>
        <w:t>2004</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1</w:t>
      </w:r>
      <w:r>
        <w:rPr>
          <w:rFonts w:ascii="新細明體" w:hAnsi="新細明體" w:hint="eastAsia"/>
        </w:rPr>
        <w:t>日生效之「公勤務費率契約」</w:t>
      </w:r>
      <w:proofErr w:type="gramStart"/>
      <w:r>
        <w:rPr>
          <w:rFonts w:ascii="新細明體" w:hAnsi="新細明體" w:hint="eastAsia"/>
        </w:rPr>
        <w:t>（</w:t>
      </w:r>
      <w:proofErr w:type="gramEnd"/>
      <w:r>
        <w:rPr>
          <w:rFonts w:ascii="新細明體" w:hAnsi="新細明體"/>
          <w:lang w:val="de-DE"/>
        </w:rPr>
        <w:t>Tarifvertrag für den öffentlichen Dienst; TVöD</w:t>
      </w:r>
      <w:proofErr w:type="gramStart"/>
      <w:r>
        <w:rPr>
          <w:rFonts w:ascii="新細明體" w:hAnsi="新細明體" w:hint="eastAsia"/>
        </w:rPr>
        <w:t>）</w:t>
      </w:r>
      <w:proofErr w:type="gramEnd"/>
      <w:r>
        <w:rPr>
          <w:rFonts w:ascii="新細明體" w:hAnsi="新細明體" w:hint="eastAsia"/>
        </w:rPr>
        <w:t>所取代。「公勤務費率契約」取代了原先針對不同人員所簽訂之各種費率契約，而建立了統一的規範，</w:t>
      </w:r>
      <w:proofErr w:type="gramStart"/>
      <w:r>
        <w:rPr>
          <w:rFonts w:ascii="新細明體" w:hAnsi="新細明體" w:hint="eastAsia"/>
        </w:rPr>
        <w:t>可以說其建立</w:t>
      </w:r>
      <w:proofErr w:type="gramEnd"/>
      <w:r>
        <w:rPr>
          <w:rFonts w:ascii="新細明體" w:hAnsi="新細明體" w:hint="eastAsia"/>
        </w:rPr>
        <w:t>了一個統一的「公勤務領域勞動法」。而向來對於依據私法上勞動契約於公勤務領域提供服務之人員，區分為職員（</w:t>
      </w:r>
      <w:r>
        <w:rPr>
          <w:rFonts w:ascii="新細明體" w:hAnsi="新細明體"/>
          <w:lang w:val="de-DE"/>
        </w:rPr>
        <w:t>Angestellte</w:t>
      </w:r>
      <w:r>
        <w:rPr>
          <w:rFonts w:ascii="新細明體" w:hAnsi="新細明體" w:hint="eastAsia"/>
        </w:rPr>
        <w:t>）與勞工（</w:t>
      </w:r>
      <w:r>
        <w:rPr>
          <w:rFonts w:ascii="新細明體" w:hAnsi="新細明體"/>
          <w:lang w:val="de-DE"/>
        </w:rPr>
        <w:t>Arbeiter</w:t>
      </w:r>
      <w:r>
        <w:rPr>
          <w:rFonts w:ascii="新細明體" w:hAnsi="新細明體" w:hint="eastAsia"/>
        </w:rPr>
        <w:t>），此一區分於「公勤務費率契約」中已被取消。</w:t>
      </w:r>
      <w:r>
        <w:rPr>
          <w:rStyle w:val="a4"/>
          <w:rFonts w:ascii="新細明體" w:hAnsi="新細明體"/>
        </w:rPr>
        <w:footnoteReference w:id="15"/>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不論是「聯邦職員費率契約」或「公勤務費</w:t>
      </w:r>
      <w:r>
        <w:rPr>
          <w:rFonts w:ascii="新細明體" w:hAnsi="新細明體" w:hint="eastAsia"/>
        </w:rPr>
        <w:t>率契約」，其內容都無法在此詳述。在此僅打算比較公勤務領域勞工與公務人員所負擔之義務，以觀察德國法上將此二者在法律關係上作差別處理，是否具有正當理由。</w:t>
      </w:r>
    </w:p>
    <w:p w:rsidR="00000000" w:rsidRDefault="00CB4FE6">
      <w:pPr>
        <w:spacing w:line="360" w:lineRule="auto"/>
        <w:jc w:val="both"/>
        <w:rPr>
          <w:rFonts w:ascii="新細明體" w:hAnsi="新細明體"/>
          <w:lang w:val="de-DE"/>
        </w:rPr>
      </w:pPr>
      <w:r>
        <w:rPr>
          <w:rFonts w:ascii="新細明體" w:hAnsi="新細明體" w:hint="eastAsia"/>
        </w:rPr>
        <w:t xml:space="preserve">    </w:t>
      </w:r>
      <w:r>
        <w:rPr>
          <w:rFonts w:ascii="新細明體" w:hAnsi="新細明體" w:hint="eastAsia"/>
        </w:rPr>
        <w:t>針對「聯邦職員費率契約」，學說上早已指出，對於職員權利義務之規範，乃取向於公務人員法，致使二者之差異並不大。取向於公務人員法之規範方式，大致上可歸納為三種情形。首先，在費率契約中在內容上追隨公務人員法，而制定相對應之規定，例如關於保密義務、接受餽贈之限制等等。其次，直接規定比照公務人員法上之規定，例如關於兼職之相關規範。最後，經由一般條款，例如依「聯邦</w:t>
      </w:r>
      <w:r>
        <w:rPr>
          <w:rFonts w:ascii="新細明體" w:hAnsi="新細明體" w:hint="eastAsia"/>
        </w:rPr>
        <w:t>職員費率契約」第</w:t>
      </w:r>
      <w:r>
        <w:rPr>
          <w:rFonts w:ascii="新細明體" w:hAnsi="新細明體" w:hint="eastAsia"/>
        </w:rPr>
        <w:t>8</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1</w:t>
      </w:r>
      <w:r>
        <w:rPr>
          <w:rFonts w:ascii="新細明體" w:hAnsi="新細明體" w:hint="eastAsia"/>
        </w:rPr>
        <w:t>句之規定，職員之行為應符合對於公勤務人員之行為期待。</w:t>
      </w:r>
      <w:r>
        <w:rPr>
          <w:rStyle w:val="a4"/>
          <w:rFonts w:ascii="新細明體" w:hAnsi="新細明體"/>
        </w:rPr>
        <w:footnoteReference w:id="16"/>
      </w:r>
    </w:p>
    <w:p w:rsidR="00000000" w:rsidRDefault="00CB4FE6">
      <w:pPr>
        <w:spacing w:line="360" w:lineRule="auto"/>
        <w:jc w:val="both"/>
        <w:rPr>
          <w:rFonts w:ascii="新細明體" w:hAnsi="新細明體"/>
          <w:lang w:val="de-DE"/>
        </w:rPr>
      </w:pPr>
      <w:r>
        <w:rPr>
          <w:rFonts w:ascii="新細明體" w:hAnsi="新細明體" w:hint="eastAsia"/>
          <w:lang w:val="de-DE"/>
        </w:rPr>
        <w:t xml:space="preserve">    </w:t>
      </w:r>
      <w:r>
        <w:rPr>
          <w:rFonts w:ascii="新細明體" w:hAnsi="新細明體" w:hint="eastAsia"/>
          <w:lang w:val="de-DE"/>
        </w:rPr>
        <w:t>職員與公務人員所負義務</w:t>
      </w:r>
      <w:proofErr w:type="gramStart"/>
      <w:r>
        <w:rPr>
          <w:rFonts w:ascii="新細明體" w:hAnsi="新細明體" w:hint="eastAsia"/>
          <w:lang w:val="de-DE"/>
        </w:rPr>
        <w:t>之趨同</w:t>
      </w:r>
      <w:proofErr w:type="gramEnd"/>
      <w:r>
        <w:rPr>
          <w:rFonts w:ascii="新細明體" w:hAnsi="新細明體" w:hint="eastAsia"/>
          <w:lang w:val="de-DE"/>
        </w:rPr>
        <w:t>，就某部分來說，實屬無可厚非，</w:t>
      </w:r>
      <w:proofErr w:type="gramStart"/>
      <w:r>
        <w:rPr>
          <w:rFonts w:ascii="新細明體" w:hAnsi="新細明體" w:hint="eastAsia"/>
          <w:lang w:val="de-DE"/>
        </w:rPr>
        <w:t>蓋此二者</w:t>
      </w:r>
      <w:proofErr w:type="gramEnd"/>
      <w:r>
        <w:rPr>
          <w:rFonts w:ascii="新細明體" w:hAnsi="新細明體" w:hint="eastAsia"/>
          <w:lang w:val="de-DE"/>
        </w:rPr>
        <w:t>在勤務之執行上仍有類似之處，例如在內部勤務之執行上之受指示拘束、執行勤務之義務或對於人民執行勤務之公正性等等皆然。然而，有些義務乃是公法上勤務與忠誠關係所應特有之義務，尤其是涉及職務外私人活動之限制部分。</w:t>
      </w:r>
      <w:r>
        <w:rPr>
          <w:rFonts w:ascii="新細明體" w:hAnsi="新細明體" w:hint="eastAsia"/>
        </w:rPr>
        <w:t>「聯邦職員費率契約」要求職員於從事政治活動時，應保持謹慎與節制，使職員受到與</w:t>
      </w:r>
      <w:r>
        <w:rPr>
          <w:rFonts w:ascii="新細明體" w:hAnsi="新細明體" w:hint="eastAsia"/>
        </w:rPr>
        <w:lastRenderedPageBreak/>
        <w:t>公務人員相同之特殊限制，然而在雇主對於勞工之照顧義務方面，則並未提供與勤</w:t>
      </w:r>
      <w:r>
        <w:rPr>
          <w:rFonts w:ascii="新細明體" w:hAnsi="新細明體" w:hint="eastAsia"/>
        </w:rPr>
        <w:t>務主對於公務人員之照顧與保護義務相同之待遇，而是與一般勞動關係作相同處理，顯然有所失衡。</w:t>
      </w:r>
      <w:r>
        <w:rPr>
          <w:rStyle w:val="a4"/>
          <w:rFonts w:ascii="新細明體" w:hAnsi="新細明體"/>
        </w:rPr>
        <w:footnoteReference w:id="17"/>
      </w:r>
    </w:p>
    <w:p w:rsidR="00000000" w:rsidRDefault="00CB4FE6">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在</w:t>
      </w:r>
      <w:r>
        <w:rPr>
          <w:rFonts w:ascii="新細明體" w:hAnsi="新細明體" w:hint="eastAsia"/>
        </w:rPr>
        <w:t>「公勤務費率契約」，就此似乎亦無改變。在最具關鍵性之職務外私人活動問題，依「公勤務費率契約」第</w:t>
      </w:r>
      <w:r>
        <w:rPr>
          <w:rFonts w:ascii="新細明體" w:hAnsi="新細明體" w:hint="eastAsia"/>
        </w:rPr>
        <w:t>41</w:t>
      </w:r>
      <w:r>
        <w:rPr>
          <w:rFonts w:ascii="新細明體" w:hAnsi="新細明體" w:hint="eastAsia"/>
        </w:rPr>
        <w:t>條針對行政部門之勞工所作之一般性義務規定，服務於聯邦或其他具有高權任務領域之雇主的勞工，應以其所有行為擁護基本法意義下之自由民主基本秩序，從而與公務人員一樣負有政治上之忠誠義務。此一規定大體上</w:t>
      </w:r>
      <w:proofErr w:type="gramStart"/>
      <w:r>
        <w:rPr>
          <w:rFonts w:ascii="新細明體" w:hAnsi="新細明體" w:hint="eastAsia"/>
        </w:rPr>
        <w:t>依循了</w:t>
      </w:r>
      <w:proofErr w:type="gramEnd"/>
      <w:r>
        <w:rPr>
          <w:rFonts w:ascii="新細明體" w:hAnsi="新細明體" w:hint="eastAsia"/>
        </w:rPr>
        <w:t>「聯邦職員費率契約」第</w:t>
      </w:r>
      <w:r>
        <w:rPr>
          <w:rFonts w:ascii="新細明體" w:hAnsi="新細明體" w:hint="eastAsia"/>
        </w:rPr>
        <w:t>8</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2</w:t>
      </w:r>
      <w:r>
        <w:rPr>
          <w:rFonts w:ascii="新細明體" w:hAnsi="新細明體" w:hint="eastAsia"/>
        </w:rPr>
        <w:t>句之規定，不過，對於聯邦以外之其他雇主則加了一個額外之要件，亦即必須其任務領域</w:t>
      </w:r>
      <w:r>
        <w:rPr>
          <w:rFonts w:ascii="新細明體" w:hAnsi="新細明體" w:hint="eastAsia"/>
        </w:rPr>
        <w:t>包括高權行為之實施。</w:t>
      </w:r>
      <w:r>
        <w:rPr>
          <w:rStyle w:val="a4"/>
          <w:rFonts w:ascii="新細明體" w:hAnsi="新細明體"/>
        </w:rPr>
        <w:footnoteReference w:id="18"/>
      </w:r>
      <w:r>
        <w:rPr>
          <w:rFonts w:ascii="新細明體" w:hAnsi="新細明體" w:hint="eastAsia"/>
          <w:lang w:val="de-DE"/>
        </w:rPr>
        <w:t>從</w:t>
      </w:r>
      <w:r>
        <w:rPr>
          <w:rFonts w:ascii="新細明體" w:hAnsi="新細明體" w:hint="eastAsia"/>
        </w:rPr>
        <w:t>「公勤務費率契約」第</w:t>
      </w:r>
      <w:r>
        <w:rPr>
          <w:rFonts w:ascii="新細明體" w:hAnsi="新細明體" w:hint="eastAsia"/>
        </w:rPr>
        <w:t>41</w:t>
      </w:r>
      <w:r>
        <w:rPr>
          <w:rFonts w:ascii="新細明體" w:hAnsi="新細明體" w:hint="eastAsia"/>
        </w:rPr>
        <w:t>條所規定之政治上忠誠義務，在實務上發展成勞工在政治活動上更為強度之節制義務，而這種節制義務之違反，可以構成終止勞動契約之重大理由。</w:t>
      </w:r>
      <w:r>
        <w:rPr>
          <w:rStyle w:val="a4"/>
          <w:rFonts w:ascii="新細明體" w:hAnsi="新細明體"/>
        </w:rPr>
        <w:footnoteReference w:id="19"/>
      </w:r>
    </w:p>
    <w:p w:rsidR="00000000" w:rsidRDefault="00CB4FE6">
      <w:pPr>
        <w:spacing w:line="360" w:lineRule="auto"/>
        <w:jc w:val="both"/>
        <w:rPr>
          <w:rFonts w:ascii="新細明體" w:hAnsi="新細明體" w:hint="eastAsia"/>
        </w:rPr>
      </w:pPr>
    </w:p>
    <w:p w:rsidR="00000000" w:rsidRDefault="00CB4FE6">
      <w:pPr>
        <w:spacing w:line="360" w:lineRule="auto"/>
        <w:jc w:val="both"/>
        <w:rPr>
          <w:rFonts w:ascii="新細明體" w:hAnsi="新細明體" w:hint="eastAsia"/>
        </w:rPr>
      </w:pPr>
    </w:p>
    <w:p w:rsidR="00000000" w:rsidRDefault="00CB4FE6">
      <w:pPr>
        <w:numPr>
          <w:ilvl w:val="0"/>
          <w:numId w:val="32"/>
        </w:numPr>
        <w:spacing w:line="360" w:lineRule="auto"/>
        <w:jc w:val="both"/>
        <w:rPr>
          <w:rFonts w:ascii="新細明體" w:hAnsi="新細明體" w:hint="eastAsia"/>
        </w:rPr>
      </w:pPr>
      <w:r>
        <w:rPr>
          <w:rFonts w:ascii="新細明體" w:hAnsi="新細明體" w:hint="eastAsia"/>
        </w:rPr>
        <w:t>比較法上之分析：代結論</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比較德國法制與我國法制，一個比較細節之發現是關於臨時性之公務人員。在德國法制上乃屬於公務人員關係之一種，在我國則目前為派用人員，未來則規劃由聘用人員人事條例加以規範。然而，亦處於公法上職務關係之臨時性公務人員，有無必要在公務人員保障法制上從適用對象改為</w:t>
      </w:r>
      <w:proofErr w:type="gramStart"/>
      <w:r>
        <w:rPr>
          <w:rFonts w:ascii="新細明體" w:hAnsi="新細明體" w:hint="eastAsia"/>
        </w:rPr>
        <w:t>準</w:t>
      </w:r>
      <w:proofErr w:type="gramEnd"/>
      <w:r>
        <w:rPr>
          <w:rFonts w:ascii="新細明體" w:hAnsi="新細明體" w:hint="eastAsia"/>
        </w:rPr>
        <w:t>用對象，以及有無必要在進用方式上從具有行</w:t>
      </w:r>
      <w:r>
        <w:rPr>
          <w:rFonts w:ascii="新細明體" w:hAnsi="新細明體" w:hint="eastAsia"/>
        </w:rPr>
        <w:t>政處分性質之派用，改為以行政契約聘用，實有審酌餘地。不過，在法制比較上，更值得注意者，本計畫以為有兩點，即對於公務人員之界定方式，以及以契約進用人員之法律關係屬性問題。關於公務人員之界定方式，從憲法的角度來看，除非放棄以特殊法律關係所建立起來之公務人員制度，而將公務人員與一般的勞工完全等同處理，否則即應從實質的法律關係角度來界定公</w:t>
      </w:r>
      <w:r>
        <w:rPr>
          <w:rFonts w:ascii="新細明體" w:hAnsi="新細明體" w:hint="eastAsia"/>
        </w:rPr>
        <w:lastRenderedPageBreak/>
        <w:t>務人員，亦即公務人員即處於特殊之公法上職務關係（德國法上之公法上勤務與忠誠關係）。然而，如此界定除了會有德國法上所考慮之欠缺法安定性外，也有循環認定之問題，蓋之所以有公務人員之認定</w:t>
      </w:r>
      <w:r>
        <w:rPr>
          <w:rFonts w:ascii="新細明體" w:hAnsi="新細明體" w:hint="eastAsia"/>
        </w:rPr>
        <w:t>問題，往往就在追問，相關人員是否處於公法上職務關係而須負特殊之義務，而再以其是否處於公法上職務關係來認定其是否為公務人員，顯屬循環。因此可以充分理解，為什麼德國法上要加上一個形式基準，以及我國公務員服務法第</w:t>
      </w:r>
      <w:r>
        <w:rPr>
          <w:rFonts w:ascii="新細明體" w:hAnsi="新細明體" w:hint="eastAsia"/>
        </w:rPr>
        <w:t>24</w:t>
      </w:r>
      <w:r>
        <w:rPr>
          <w:rFonts w:ascii="新細明體" w:hAnsi="新細明體" w:hint="eastAsia"/>
        </w:rPr>
        <w:t>條要對於公務員另加定義。比較我國與德國法制，清楚地顯示出，德國法制力求明確，將形式基準與實質基準緊密扣連，只要經任命者即處於公法上勤務與忠誠關係，相對地要進入公法上勤務與忠誠關係，也必須經由任命才有可能。而且對於任命行為力求形式化，以求充分明確。</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與此相比，我國公務員服務法第</w:t>
      </w:r>
      <w:r>
        <w:rPr>
          <w:rFonts w:ascii="新細明體" w:hAnsi="新細明體" w:hint="eastAsia"/>
        </w:rPr>
        <w:t>24</w:t>
      </w:r>
      <w:r>
        <w:rPr>
          <w:rFonts w:ascii="新細明體" w:hAnsi="新細明體" w:hint="eastAsia"/>
        </w:rPr>
        <w:t>條之問題便顯而易見。受</w:t>
      </w:r>
      <w:r>
        <w:rPr>
          <w:rFonts w:ascii="新細明體" w:hAnsi="新細明體" w:hint="eastAsia"/>
        </w:rPr>
        <w:t>有俸給本身是一個形式之基準，然而不夠明確，有相當大之解釋空間，而我國實務上又將之與公務人員俸給法脫</w:t>
      </w:r>
      <w:proofErr w:type="gramStart"/>
      <w:r>
        <w:rPr>
          <w:rFonts w:ascii="新細明體" w:hAnsi="新細明體" w:hint="eastAsia"/>
        </w:rPr>
        <w:t>鉤</w:t>
      </w:r>
      <w:proofErr w:type="gramEnd"/>
      <w:r>
        <w:rPr>
          <w:rFonts w:ascii="新細明體" w:hAnsi="新細明體" w:hint="eastAsia"/>
        </w:rPr>
        <w:t>，更將之推入含混的世界。其結果是依公務人員任用法所作成之任用行為，不能成為認定公法上職務關係之形式基準，而又找不到其他足夠周延之形式基準。本計畫所支持公務人員基準法草案之界定方式，乃是基於對於實務上所界定公務人員範圍之理解，而認為尚屬可支持的形式基準。依照目前的狀況，已經很難走回頭路採取與德國同樣之界定方式。其次，關於以契約進用人員之法律關係屬性問題，德國法上完全以私法契約來處理，我國則往行政契約發展。由於公</w:t>
      </w:r>
      <w:r>
        <w:rPr>
          <w:rFonts w:ascii="新細明體" w:hAnsi="新細明體" w:hint="eastAsia"/>
        </w:rPr>
        <w:t>務員服務法之適用範圍遠大於公務人員任用法之適用範圍，有大量之以契約進用人員乃處於公法上職務關係，我國法上定性為行政契約，可資贊同，與德國法制比較，亦較合理。不過，不容忽視的是，德國勞動法，尤其集體勞動法之發展相當發達，公勤務領域勞工與公務人員地位</w:t>
      </w:r>
      <w:proofErr w:type="gramStart"/>
      <w:r>
        <w:rPr>
          <w:rFonts w:ascii="新細明體" w:hAnsi="新細明體" w:hint="eastAsia"/>
        </w:rPr>
        <w:t>之趨同</w:t>
      </w:r>
      <w:proofErr w:type="gramEnd"/>
      <w:r>
        <w:rPr>
          <w:rFonts w:ascii="新細明體" w:hAnsi="新細明體" w:hint="eastAsia"/>
        </w:rPr>
        <w:t>，無論如何乃是團體協約之結果。此一背景為我國所無，因此我國與德國之發展不同，毋寧值得慶幸。尤其目前之發展狀況，凡處於私法上勞動契約之人員，大致上已無公務員服務法之適用，乃往正確之方向發展。</w:t>
      </w:r>
    </w:p>
    <w:p w:rsidR="00000000" w:rsidRDefault="00CB4FE6">
      <w:pPr>
        <w:overflowPunct w:val="0"/>
        <w:autoSpaceDE w:val="0"/>
        <w:autoSpaceDN w:val="0"/>
        <w:adjustRightInd w:val="0"/>
        <w:spacing w:beforeLines="50" w:before="180" w:afterLines="50" w:after="180" w:line="520" w:lineRule="exact"/>
        <w:ind w:left="540" w:hangingChars="225" w:hanging="540"/>
        <w:jc w:val="center"/>
        <w:rPr>
          <w:rFonts w:ascii="新細明體" w:hAnsi="新細明體" w:hint="eastAsia"/>
        </w:rPr>
      </w:pPr>
      <w:r>
        <w:rPr>
          <w:rFonts w:ascii="新細明體" w:hAnsi="新細明體" w:hint="eastAsia"/>
        </w:rPr>
        <w:lastRenderedPageBreak/>
        <w:t>第二節</w:t>
      </w:r>
      <w:r>
        <w:rPr>
          <w:rFonts w:ascii="新細明體" w:hAnsi="新細明體" w:hint="eastAsia"/>
        </w:rPr>
        <w:t xml:space="preserve"> </w:t>
      </w:r>
      <w:r>
        <w:rPr>
          <w:rFonts w:ascii="新細明體" w:hAnsi="新細明體" w:hint="eastAsia"/>
        </w:rPr>
        <w:t>日本公務人員保障制度中之保障對象</w:t>
      </w:r>
    </w:p>
    <w:p w:rsidR="00000000" w:rsidRDefault="00CB4FE6">
      <w:pPr>
        <w:numPr>
          <w:ilvl w:val="0"/>
          <w:numId w:val="2"/>
        </w:numPr>
        <w:tabs>
          <w:tab w:val="clear" w:pos="1560"/>
          <w:tab w:val="num" w:pos="540"/>
        </w:tabs>
        <w:spacing w:line="360" w:lineRule="auto"/>
        <w:ind w:hanging="1560"/>
        <w:jc w:val="both"/>
        <w:rPr>
          <w:rFonts w:ascii="新細明體" w:hAnsi="新細明體" w:hint="eastAsia"/>
        </w:rPr>
      </w:pPr>
      <w:r>
        <w:rPr>
          <w:rFonts w:ascii="新細明體" w:hAnsi="新細明體" w:hint="eastAsia"/>
        </w:rPr>
        <w:t>戰後公務員制度之建立</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在介紹</w:t>
      </w:r>
      <w:r>
        <w:rPr>
          <w:rFonts w:ascii="新細明體" w:hAnsi="新細明體" w:hint="eastAsia"/>
        </w:rPr>
        <w:t>日本公務員保障對象之前，首先簡要地說明日本公務員制度之演變過程。明治</w:t>
      </w:r>
      <w:r>
        <w:rPr>
          <w:rFonts w:ascii="新細明體" w:hAnsi="新細明體" w:hint="eastAsia"/>
        </w:rPr>
        <w:t>18</w:t>
      </w:r>
      <w:r>
        <w:rPr>
          <w:rFonts w:ascii="新細明體" w:hAnsi="新細明體" w:hint="eastAsia"/>
        </w:rPr>
        <w:t>年（西元</w:t>
      </w:r>
      <w:r>
        <w:rPr>
          <w:rFonts w:ascii="新細明體" w:hAnsi="新細明體" w:hint="eastAsia"/>
        </w:rPr>
        <w:t>1885</w:t>
      </w:r>
      <w:r>
        <w:rPr>
          <w:rFonts w:ascii="新細明體" w:hAnsi="新細明體" w:hint="eastAsia"/>
        </w:rPr>
        <w:t>年）廢止「</w:t>
      </w:r>
      <w:proofErr w:type="gramStart"/>
      <w:r>
        <w:rPr>
          <w:rFonts w:ascii="新細明體" w:hAnsi="新細明體" w:hint="eastAsia"/>
        </w:rPr>
        <w:t>太</w:t>
      </w:r>
      <w:proofErr w:type="gramEnd"/>
      <w:r>
        <w:rPr>
          <w:rFonts w:ascii="新細明體" w:hAnsi="新細明體" w:hint="eastAsia"/>
        </w:rPr>
        <w:t>政官制度」，創設「內閣制度」，以普魯士之官僚制度為模範，依照文官任用令導入「試驗任用制」建立「官吏制度」</w:t>
      </w:r>
      <w:r>
        <w:rPr>
          <w:rStyle w:val="a4"/>
          <w:rFonts w:ascii="新細明體" w:hAnsi="新細明體"/>
        </w:rPr>
        <w:footnoteReference w:id="20"/>
      </w:r>
      <w:r>
        <w:rPr>
          <w:rFonts w:ascii="新細明體" w:hAnsi="新細明體" w:hint="eastAsia"/>
        </w:rPr>
        <w:t>。當時之官吏為「天皇之官吏」，官民之間為支配者與被支配者之關係。</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對於日本公務員制度而言，第二次世界大戰敗戰是重要的轉戾點。為確保日本不再成為美國及世界和平的威脅，建立符合民主政治之自治政府成為佔領軍的終極目的</w:t>
      </w:r>
      <w:r>
        <w:rPr>
          <w:rStyle w:val="a4"/>
          <w:rFonts w:ascii="新細明體" w:hAnsi="新細明體"/>
        </w:rPr>
        <w:footnoteReference w:id="21"/>
      </w:r>
      <w:r>
        <w:rPr>
          <w:rFonts w:ascii="新細明體" w:hAnsi="新細明體" w:hint="eastAsia"/>
        </w:rPr>
        <w:t>。戰後的第一屆國會於</w:t>
      </w:r>
      <w:r>
        <w:rPr>
          <w:rFonts w:ascii="新細明體" w:hAnsi="新細明體" w:hint="eastAsia"/>
        </w:rPr>
        <w:t>1947</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21</w:t>
      </w:r>
      <w:r>
        <w:rPr>
          <w:rFonts w:ascii="新細明體" w:hAnsi="新細明體" w:hint="eastAsia"/>
        </w:rPr>
        <w:t>日公布國家公務員法，並於翌年</w:t>
      </w:r>
      <w:r>
        <w:rPr>
          <w:rFonts w:ascii="新細明體" w:hAnsi="新細明體" w:hint="eastAsia"/>
        </w:rPr>
        <w:t>7</w:t>
      </w:r>
      <w:r>
        <w:rPr>
          <w:rFonts w:ascii="新細明體" w:hAnsi="新細明體" w:hint="eastAsia"/>
        </w:rPr>
        <w:t>月</w:t>
      </w:r>
      <w:r>
        <w:rPr>
          <w:rFonts w:ascii="新細明體" w:hAnsi="新細明體" w:hint="eastAsia"/>
        </w:rPr>
        <w:t>1</w:t>
      </w:r>
      <w:r>
        <w:rPr>
          <w:rFonts w:ascii="新細明體" w:hAnsi="新細明體" w:hint="eastAsia"/>
        </w:rPr>
        <w:t>日施行。戰後日本公務</w:t>
      </w:r>
      <w:r>
        <w:rPr>
          <w:rFonts w:ascii="新細明體" w:hAnsi="新細明體" w:hint="eastAsia"/>
        </w:rPr>
        <w:t>員制度與歐美主要先進國家一樣，採取以身分保障為基礎的「職業公務員制」，其人事管理係以長期雇用為前提，在任用、晉升、俸給及退休等制度的交互關聯之下，綜合地及計劃地進行。對於公務員之人事權屬於各省廳大臣，而個別之人事權力，例如，任用、調職及退休等，依法律及人事院規則所訂之基準，由各省廳大臣負責行使。因為憲法第</w:t>
      </w:r>
      <w:r>
        <w:rPr>
          <w:rFonts w:ascii="新細明體" w:hAnsi="新細明體" w:hint="eastAsia"/>
        </w:rPr>
        <w:t>15</w:t>
      </w:r>
      <w:r>
        <w:rPr>
          <w:rFonts w:ascii="新細明體" w:hAnsi="新細明體" w:hint="eastAsia"/>
        </w:rPr>
        <w:t>條第</w:t>
      </w:r>
      <w:r>
        <w:rPr>
          <w:rFonts w:ascii="新細明體" w:hAnsi="新細明體" w:hint="eastAsia"/>
        </w:rPr>
        <w:t>2</w:t>
      </w:r>
      <w:r>
        <w:rPr>
          <w:rFonts w:ascii="新細明體" w:hAnsi="新細明體" w:hint="eastAsia"/>
        </w:rPr>
        <w:t>項規定，公務員為「全體之服務者」，保障對於國民在公務上民主且有效率地執行，故人事管理上以「確保公正性」及設立「受勞動基本權制約之代償機制」為基本理念。為履行前述基本使命，故於中央設立中立及專門之人</w:t>
      </w:r>
      <w:r>
        <w:rPr>
          <w:rFonts w:ascii="新細明體" w:hAnsi="新細明體" w:hint="eastAsia"/>
        </w:rPr>
        <w:t>事行政機關－人事院，執掌國家公務員之任用考試、俸給、勤務時間、休假、進修、服務、懲戒及不服申訴等事務</w:t>
      </w:r>
      <w:r>
        <w:rPr>
          <w:rStyle w:val="a4"/>
          <w:rFonts w:ascii="新細明體" w:hAnsi="新細明體"/>
        </w:rPr>
        <w:footnoteReference w:id="22"/>
      </w:r>
      <w:r>
        <w:rPr>
          <w:rFonts w:ascii="新細明體" w:hAnsi="新細明體" w:hint="eastAsia"/>
        </w:rPr>
        <w:t>。</w:t>
      </w:r>
    </w:p>
    <w:p w:rsidR="00000000" w:rsidRDefault="00CB4FE6">
      <w:pPr>
        <w:spacing w:line="360" w:lineRule="auto"/>
        <w:ind w:firstLineChars="200" w:firstLine="480"/>
        <w:jc w:val="both"/>
        <w:rPr>
          <w:rFonts w:ascii="新細明體" w:hAnsi="新細明體" w:hint="eastAsia"/>
        </w:rPr>
      </w:pPr>
    </w:p>
    <w:p w:rsidR="00000000" w:rsidRDefault="00CB4FE6">
      <w:pPr>
        <w:numPr>
          <w:ilvl w:val="0"/>
          <w:numId w:val="2"/>
        </w:numPr>
        <w:tabs>
          <w:tab w:val="clear" w:pos="1560"/>
          <w:tab w:val="num" w:pos="540"/>
        </w:tabs>
        <w:spacing w:line="360" w:lineRule="auto"/>
        <w:ind w:left="540" w:hanging="540"/>
        <w:jc w:val="both"/>
        <w:rPr>
          <w:rFonts w:ascii="新細明體" w:hAnsi="新細明體" w:hint="eastAsia"/>
        </w:rPr>
      </w:pPr>
      <w:r>
        <w:rPr>
          <w:rFonts w:ascii="新細明體" w:hAnsi="新細明體" w:hint="eastAsia"/>
        </w:rPr>
        <w:t>戰後公務員制度之基本理念</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如前所述，戰後公務員制度之建立，係為了否定過去作為特權階級之官吏制度，依據國民主權原理創造民主的公務員制度。至今為止，公務員制度</w:t>
      </w:r>
      <w:proofErr w:type="gramStart"/>
      <w:r>
        <w:rPr>
          <w:rFonts w:ascii="新細明體" w:hAnsi="新細明體" w:hint="eastAsia"/>
        </w:rPr>
        <w:t>雖迭經改</w:t>
      </w:r>
      <w:r>
        <w:rPr>
          <w:rFonts w:ascii="新細明體" w:hAnsi="新細明體" w:hint="eastAsia"/>
        </w:rPr>
        <w:lastRenderedPageBreak/>
        <w:t>革</w:t>
      </w:r>
      <w:proofErr w:type="gramEnd"/>
      <w:r>
        <w:rPr>
          <w:rFonts w:ascii="新細明體" w:hAnsi="新細明體" w:hint="eastAsia"/>
        </w:rPr>
        <w:t>，但「基於國民主權之民主的公務員制度」性質繼續維持。日本學者以為，戰後公務員制度有以下五種基本理念</w:t>
      </w:r>
      <w:r>
        <w:rPr>
          <w:rStyle w:val="a4"/>
          <w:rFonts w:ascii="新細明體" w:hAnsi="新細明體"/>
        </w:rPr>
        <w:footnoteReference w:id="23"/>
      </w:r>
      <w:r>
        <w:rPr>
          <w:rFonts w:ascii="新細明體" w:hAnsi="新細明體" w:hint="eastAsia"/>
        </w:rPr>
        <w:t>：</w:t>
      </w:r>
    </w:p>
    <w:p w:rsidR="00000000" w:rsidRDefault="00CB4FE6">
      <w:pPr>
        <w:numPr>
          <w:ilvl w:val="1"/>
          <w:numId w:val="2"/>
        </w:numPr>
        <w:tabs>
          <w:tab w:val="clear" w:pos="2040"/>
        </w:tabs>
        <w:spacing w:line="360" w:lineRule="auto"/>
        <w:ind w:left="540" w:hanging="540"/>
        <w:jc w:val="both"/>
        <w:rPr>
          <w:rFonts w:ascii="新細明體" w:hAnsi="新細明體" w:hint="eastAsia"/>
        </w:rPr>
      </w:pPr>
      <w:r>
        <w:rPr>
          <w:rFonts w:ascii="新細明體" w:hAnsi="新細明體" w:hint="eastAsia"/>
        </w:rPr>
        <w:t>公務員為「全體服務者」</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戰前之官吏，基於明治憲法中之天皇主權，係屬於天皇之官吏，為天皇及其政府服務。官吏之任命及罷免屬於天皇之大權事項。</w:t>
      </w:r>
      <w:r>
        <w:rPr>
          <w:rFonts w:ascii="新細明體" w:hAnsi="新細明體" w:hint="eastAsia"/>
        </w:rPr>
        <w:t>相較於此，現行憲法第</w:t>
      </w:r>
      <w:r>
        <w:rPr>
          <w:rFonts w:ascii="新細明體" w:hAnsi="新細明體" w:hint="eastAsia"/>
        </w:rPr>
        <w:t>15</w:t>
      </w:r>
      <w:r>
        <w:rPr>
          <w:rFonts w:ascii="新細明體" w:hAnsi="新細明體" w:hint="eastAsia"/>
        </w:rPr>
        <w:t>條第</w:t>
      </w:r>
      <w:r>
        <w:rPr>
          <w:rFonts w:ascii="新細明體" w:hAnsi="新細明體" w:hint="eastAsia"/>
        </w:rPr>
        <w:t>2</w:t>
      </w:r>
      <w:r>
        <w:rPr>
          <w:rFonts w:ascii="新細明體" w:hAnsi="新細明體" w:hint="eastAsia"/>
        </w:rPr>
        <w:t>項規定：「所有公務員為全體之服務者，非一部之服務者」，公務員並非執政黨或財團之服務者，係為國民全體服務。依同條第</w:t>
      </w:r>
      <w:r>
        <w:rPr>
          <w:rFonts w:ascii="新細明體" w:hAnsi="新細明體" w:hint="eastAsia"/>
        </w:rPr>
        <w:t>1</w:t>
      </w:r>
      <w:r>
        <w:rPr>
          <w:rFonts w:ascii="新細明體" w:hAnsi="新細明體" w:hint="eastAsia"/>
        </w:rPr>
        <w:t>項規定，公務員之選定及對其之罷免乃國民固有之權利。故，公務員為全體服務者，是從明治憲法之天皇主權論轉換為現行憲法之國民主權論之結果，也是戰後公務員制度的最重要理念。</w:t>
      </w:r>
    </w:p>
    <w:p w:rsidR="00000000" w:rsidRDefault="00CB4FE6">
      <w:pPr>
        <w:spacing w:line="360" w:lineRule="auto"/>
        <w:jc w:val="both"/>
        <w:rPr>
          <w:rFonts w:ascii="新細明體" w:hAnsi="新細明體" w:hint="eastAsia"/>
        </w:rPr>
      </w:pPr>
    </w:p>
    <w:p w:rsidR="00000000" w:rsidRDefault="00CB4FE6">
      <w:pPr>
        <w:numPr>
          <w:ilvl w:val="1"/>
          <w:numId w:val="2"/>
        </w:numPr>
        <w:tabs>
          <w:tab w:val="clear" w:pos="2040"/>
          <w:tab w:val="num" w:pos="540"/>
        </w:tabs>
        <w:spacing w:line="360" w:lineRule="auto"/>
        <w:ind w:hanging="2040"/>
        <w:jc w:val="both"/>
        <w:rPr>
          <w:rFonts w:ascii="新細明體" w:hAnsi="新細明體" w:hint="eastAsia"/>
        </w:rPr>
      </w:pPr>
      <w:r>
        <w:rPr>
          <w:rFonts w:ascii="新細明體" w:hAnsi="新細明體" w:hint="eastAsia"/>
        </w:rPr>
        <w:t>對公務員制度之民主統治</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為實踐公務員為全體服務者，公務員制度必須依據國民意思決定，置於國民的統治之下。戰前的官吏制度內容，係依天皇之敕令而定（敕令主義）；現行憲法下之公務員制度，其基本內容由國民代表議</w:t>
      </w:r>
      <w:r>
        <w:rPr>
          <w:rFonts w:ascii="新細明體" w:hAnsi="新細明體" w:hint="eastAsia"/>
        </w:rPr>
        <w:t>會（國會）以法律定之（法律主義）。憲法第</w:t>
      </w:r>
      <w:r>
        <w:rPr>
          <w:rFonts w:ascii="新細明體" w:hAnsi="新細明體" w:hint="eastAsia"/>
        </w:rPr>
        <w:t>73</w:t>
      </w:r>
      <w:r>
        <w:rPr>
          <w:rFonts w:ascii="新細明體" w:hAnsi="新細明體" w:hint="eastAsia"/>
        </w:rPr>
        <w:t>條第</w:t>
      </w:r>
      <w:r>
        <w:rPr>
          <w:rFonts w:ascii="新細明體" w:hAnsi="新細明體" w:hint="eastAsia"/>
        </w:rPr>
        <w:t>4</w:t>
      </w:r>
      <w:r>
        <w:rPr>
          <w:rFonts w:ascii="新細明體" w:hAnsi="新細明體" w:hint="eastAsia"/>
        </w:rPr>
        <w:t>款規定：「依據法律所定基準，掌理有關官吏之事務」係屬於內閣職權。此處所謂「依據法律所定基準」，通說認為即是法律主義之表現。換言之，決定公務員制度之基本內容的權限係屬於國會而非行政機關。</w:t>
      </w:r>
    </w:p>
    <w:p w:rsidR="00000000" w:rsidRDefault="00CB4FE6">
      <w:pPr>
        <w:spacing w:line="360" w:lineRule="auto"/>
        <w:jc w:val="both"/>
        <w:rPr>
          <w:rFonts w:ascii="新細明體" w:hAnsi="新細明體" w:hint="eastAsia"/>
        </w:rPr>
      </w:pPr>
    </w:p>
    <w:p w:rsidR="00000000" w:rsidRDefault="00CB4FE6">
      <w:pPr>
        <w:numPr>
          <w:ilvl w:val="1"/>
          <w:numId w:val="2"/>
        </w:numPr>
        <w:tabs>
          <w:tab w:val="clear" w:pos="2040"/>
          <w:tab w:val="num" w:pos="540"/>
        </w:tabs>
        <w:spacing w:line="360" w:lineRule="auto"/>
        <w:ind w:left="540" w:hanging="540"/>
        <w:jc w:val="both"/>
        <w:rPr>
          <w:rFonts w:ascii="新細明體" w:hAnsi="新細明體" w:hint="eastAsia"/>
        </w:rPr>
      </w:pPr>
      <w:r>
        <w:rPr>
          <w:rFonts w:ascii="新細明體" w:hAnsi="新細明體" w:hint="eastAsia"/>
        </w:rPr>
        <w:t>對公務員之權利保障</w:t>
      </w:r>
    </w:p>
    <w:p w:rsidR="00000000" w:rsidRDefault="00CB4FE6">
      <w:pPr>
        <w:spacing w:line="360" w:lineRule="auto"/>
        <w:ind w:firstLineChars="225" w:firstLine="540"/>
        <w:jc w:val="both"/>
        <w:rPr>
          <w:rFonts w:ascii="新細明體" w:hAnsi="新細明體" w:hint="eastAsia"/>
        </w:rPr>
      </w:pPr>
      <w:r>
        <w:rPr>
          <w:rFonts w:ascii="新細明體" w:hAnsi="新細明體" w:hint="eastAsia"/>
        </w:rPr>
        <w:t>日本國憲法中保障各種之基本人權，也包括對於公務員之全面保障。關於公務員之權利保障問題，主要涉及國家與公務員之關係。二戰以前之公務員法理論，受到德國法制影響，將公務員關係認定為「特別權力關係」</w:t>
      </w:r>
      <w:r>
        <w:rPr>
          <w:rStyle w:val="a4"/>
          <w:rFonts w:ascii="新細明體" w:hAnsi="新細明體"/>
        </w:rPr>
        <w:footnoteReference w:id="24"/>
      </w:r>
      <w:r>
        <w:rPr>
          <w:rFonts w:ascii="新細明體" w:hAnsi="新細明體" w:hint="eastAsia"/>
        </w:rPr>
        <w:t>，與國家及人</w:t>
      </w:r>
      <w:r>
        <w:rPr>
          <w:rFonts w:ascii="新細明體" w:hAnsi="新細明體" w:hint="eastAsia"/>
        </w:rPr>
        <w:lastRenderedPageBreak/>
        <w:t>民之間所成立之一般統治關係有所區別</w:t>
      </w:r>
      <w:r>
        <w:rPr>
          <w:rStyle w:val="a4"/>
          <w:rFonts w:ascii="新細明體" w:hAnsi="新細明體"/>
        </w:rPr>
        <w:footnoteReference w:id="25"/>
      </w:r>
      <w:r>
        <w:rPr>
          <w:rFonts w:ascii="新細明體" w:hAnsi="新細明體" w:hint="eastAsia"/>
        </w:rPr>
        <w:t>。此種具有前現</w:t>
      </w:r>
      <w:r>
        <w:rPr>
          <w:rFonts w:ascii="新細明體" w:hAnsi="新細明體" w:hint="eastAsia"/>
        </w:rPr>
        <w:t>代的倫理色彩，類似於封建時期的主從關係的理論，顯於憲法中法治主義原則有違，因此，在戰後引起諸多批判</w:t>
      </w:r>
      <w:r>
        <w:rPr>
          <w:rStyle w:val="a4"/>
          <w:rFonts w:ascii="新細明體" w:hAnsi="新細明體"/>
        </w:rPr>
        <w:footnoteReference w:id="26"/>
      </w:r>
      <w:r>
        <w:rPr>
          <w:rFonts w:ascii="新細明體" w:hAnsi="新細明體" w:hint="eastAsia"/>
        </w:rPr>
        <w:t>。</w:t>
      </w:r>
      <w:r>
        <w:rPr>
          <w:rFonts w:ascii="新細明體" w:hAnsi="新細明體" w:hint="eastAsia"/>
        </w:rPr>
        <w:t xml:space="preserve"> </w:t>
      </w:r>
      <w:r>
        <w:rPr>
          <w:rFonts w:ascii="新細明體" w:hAnsi="新細明體" w:hint="eastAsia"/>
        </w:rPr>
        <w:t>因此，公務員勤務關係之性質為何，產生不同見解。主要區分為特別權力關係說、一般權力</w:t>
      </w:r>
      <w:proofErr w:type="gramStart"/>
      <w:r>
        <w:rPr>
          <w:rFonts w:ascii="新細明體" w:hAnsi="新細明體" w:hint="eastAsia"/>
        </w:rPr>
        <w:t>關係說及勞動</w:t>
      </w:r>
      <w:proofErr w:type="gramEnd"/>
      <w:r>
        <w:rPr>
          <w:rFonts w:ascii="新細明體" w:hAnsi="新細明體" w:hint="eastAsia"/>
        </w:rPr>
        <w:t>契約關係說三種。最高裁判所向來採取特別權力關係說，認為基於憲法第</w:t>
      </w:r>
      <w:r>
        <w:rPr>
          <w:rFonts w:ascii="新細明體" w:hAnsi="新細明體" w:hint="eastAsia"/>
        </w:rPr>
        <w:t>13</w:t>
      </w:r>
      <w:r>
        <w:rPr>
          <w:rFonts w:ascii="新細明體" w:hAnsi="新細明體" w:hint="eastAsia"/>
        </w:rPr>
        <w:t>條「公共福祉」及第</w:t>
      </w:r>
      <w:r>
        <w:rPr>
          <w:rFonts w:ascii="新細明體" w:hAnsi="新細明體" w:hint="eastAsia"/>
        </w:rPr>
        <w:t>15</w:t>
      </w:r>
      <w:r>
        <w:rPr>
          <w:rFonts w:ascii="新細明體" w:hAnsi="新細明體" w:hint="eastAsia"/>
        </w:rPr>
        <w:t>條第</w:t>
      </w:r>
      <w:r>
        <w:rPr>
          <w:rFonts w:ascii="新細明體" w:hAnsi="新細明體" w:hint="eastAsia"/>
        </w:rPr>
        <w:t>2</w:t>
      </w:r>
      <w:r>
        <w:rPr>
          <w:rFonts w:ascii="新細明體" w:hAnsi="新細明體" w:hint="eastAsia"/>
        </w:rPr>
        <w:t>項「全體服務者」等規定，得對於公務員之人權加以限制</w:t>
      </w:r>
      <w:r>
        <w:rPr>
          <w:rStyle w:val="a4"/>
          <w:rFonts w:ascii="新細明體" w:hAnsi="新細明體"/>
        </w:rPr>
        <w:footnoteReference w:id="27"/>
      </w:r>
      <w:r>
        <w:rPr>
          <w:rFonts w:ascii="新細明體" w:hAnsi="新細明體" w:hint="eastAsia"/>
        </w:rPr>
        <w:t>。因為，公務員勤務關係之性質為訂定公務員保障制度及救濟程序之基礎，就此部分，將於以下詳細說明。</w:t>
      </w:r>
    </w:p>
    <w:p w:rsidR="00000000" w:rsidRDefault="00CB4FE6">
      <w:pPr>
        <w:numPr>
          <w:ilvl w:val="1"/>
          <w:numId w:val="2"/>
        </w:numPr>
        <w:tabs>
          <w:tab w:val="clear" w:pos="2040"/>
          <w:tab w:val="num" w:pos="540"/>
        </w:tabs>
        <w:spacing w:line="360" w:lineRule="auto"/>
        <w:ind w:hanging="2040"/>
        <w:jc w:val="both"/>
        <w:rPr>
          <w:rFonts w:ascii="新細明體" w:hAnsi="新細明體" w:hint="eastAsia"/>
        </w:rPr>
      </w:pPr>
      <w:r>
        <w:rPr>
          <w:rFonts w:ascii="新細明體" w:hAnsi="新細明體" w:hint="eastAsia"/>
        </w:rPr>
        <w:t>科學的人事行政</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所謂科學的人事行政，係指人事行政排除身分要素而採取科學的</w:t>
      </w:r>
      <w:r>
        <w:rPr>
          <w:rFonts w:ascii="新細明體" w:hAnsi="新細明體" w:hint="eastAsia"/>
        </w:rPr>
        <w:t>及客觀的基準予以進行。戰前官吏制度中官吏與非官吏（雇員、傭人）之區別，以及官吏內部之身分區別（敕任官、奏任官、判任官）均予以廢除，所有公務員採取同一身分，在法律上同一對待。基於此項前提，現行公務員法中導入</w:t>
      </w:r>
      <w:proofErr w:type="gramStart"/>
      <w:r>
        <w:rPr>
          <w:rFonts w:ascii="新細明體" w:hAnsi="新細明體" w:hint="eastAsia"/>
        </w:rPr>
        <w:t>職階制</w:t>
      </w:r>
      <w:proofErr w:type="gramEnd"/>
      <w:r>
        <w:rPr>
          <w:rFonts w:ascii="新細明體" w:hAnsi="新細明體" w:hint="eastAsia"/>
        </w:rPr>
        <w:t>、績效主義、人事院及人事委員會等諸項制度。「全體服務者」、「公務員制度之民主統治」及「公務員之權利保障」，顯示人事行政的三項民主性格，為「民主的人事行政」理念，；而與此相呼應的就是「科學的人事行政」。故，一般認為，戰後公務員制度的特色為「民主的科學的人事行政」。</w:t>
      </w:r>
    </w:p>
    <w:p w:rsidR="00000000" w:rsidRDefault="00CB4FE6">
      <w:pPr>
        <w:spacing w:line="360" w:lineRule="auto"/>
        <w:ind w:left="480"/>
        <w:jc w:val="both"/>
        <w:rPr>
          <w:rFonts w:ascii="新細明體" w:hAnsi="新細明體" w:hint="eastAsia"/>
        </w:rPr>
      </w:pPr>
    </w:p>
    <w:p w:rsidR="00000000" w:rsidRDefault="00CB4FE6">
      <w:pPr>
        <w:numPr>
          <w:ilvl w:val="1"/>
          <w:numId w:val="2"/>
        </w:numPr>
        <w:tabs>
          <w:tab w:val="left" w:pos="540"/>
        </w:tabs>
        <w:spacing w:line="360" w:lineRule="auto"/>
        <w:ind w:left="540" w:hanging="540"/>
        <w:jc w:val="both"/>
        <w:rPr>
          <w:rFonts w:ascii="新細明體" w:hAnsi="新細明體" w:hint="eastAsia"/>
        </w:rPr>
      </w:pPr>
      <w:r>
        <w:rPr>
          <w:rFonts w:ascii="新細明體" w:hAnsi="新細明體" w:hint="eastAsia"/>
        </w:rPr>
        <w:t>地方自治之保障</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公務員制度的最後一項</w:t>
      </w:r>
      <w:r>
        <w:rPr>
          <w:rFonts w:ascii="新細明體" w:hAnsi="新細明體" w:hint="eastAsia"/>
        </w:rPr>
        <w:t>重要理念為「地方自治之保障」。日本國憲法第八章保障地分自治權，其中，包含地方公務員制度在內的地方自治團體的行政組織，即屬於其自主決定的權限，稱之為自治組織權。當然，此並非意味著各地方自治團體得完全自由地決定地方公務員制度。由全國統一性觀點而言，基本事項仍不排除以法律（地方公務員法等）加以規定。不過，若是以法律方式過度地妨礙地</w:t>
      </w:r>
      <w:r>
        <w:rPr>
          <w:rFonts w:ascii="新細明體" w:hAnsi="新細明體" w:hint="eastAsia"/>
        </w:rPr>
        <w:lastRenderedPageBreak/>
        <w:t>方自治團體的自主性，以及國家介入人事管理等，恐將侵害自治組織權而構成違憲。故，地方公務員制度之內容，係以法律規定各基本事項，而其他事項則委由自治條例規範。所謂公務員制度的法律主義，在地方</w:t>
      </w:r>
      <w:r>
        <w:rPr>
          <w:rFonts w:ascii="新細明體" w:hAnsi="新細明體" w:hint="eastAsia"/>
        </w:rPr>
        <w:t>公務員部分則成為「條例主義」，顯示出地方公務員為各該自治團體住民全體之服務者。</w:t>
      </w:r>
    </w:p>
    <w:p w:rsidR="00000000" w:rsidRDefault="00CB4FE6">
      <w:pPr>
        <w:spacing w:line="360" w:lineRule="auto"/>
        <w:ind w:left="480"/>
        <w:jc w:val="both"/>
        <w:rPr>
          <w:rFonts w:ascii="新細明體" w:hAnsi="新細明體" w:hint="eastAsia"/>
        </w:rPr>
      </w:pPr>
    </w:p>
    <w:p w:rsidR="00000000" w:rsidRDefault="00CB4FE6">
      <w:pPr>
        <w:numPr>
          <w:ilvl w:val="0"/>
          <w:numId w:val="2"/>
        </w:numPr>
        <w:tabs>
          <w:tab w:val="clear" w:pos="1560"/>
          <w:tab w:val="num" w:pos="540"/>
        </w:tabs>
        <w:spacing w:line="360" w:lineRule="auto"/>
        <w:ind w:hanging="1560"/>
        <w:jc w:val="both"/>
        <w:rPr>
          <w:rFonts w:ascii="新細明體" w:hAnsi="新細明體" w:hint="eastAsia"/>
        </w:rPr>
      </w:pPr>
      <w:r>
        <w:rPr>
          <w:rFonts w:ascii="新細明體" w:hAnsi="新細明體" w:hint="eastAsia"/>
        </w:rPr>
        <w:t>公務員制度之改革</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當然，民主的公務員制度建立之後，並非一成不便，屢經改正與充實，迄今仍在調整中。</w:t>
      </w:r>
      <w:r>
        <w:rPr>
          <w:rFonts w:ascii="新細明體" w:hAnsi="新細明體" w:hint="eastAsia"/>
        </w:rPr>
        <w:t>1947</w:t>
      </w:r>
      <w:r>
        <w:rPr>
          <w:rFonts w:ascii="新細明體" w:hAnsi="新細明體" w:hint="eastAsia"/>
        </w:rPr>
        <w:t>年國家公務員法公布實施後，旋即因為否定公務員之團體交涉權及爭議權而引起大規模抗爭，故同盟國最高司令長官麥克阿瑟將軍致函內閣總理大臣要求修法。內閣即著手修正作業，於</w:t>
      </w:r>
      <w:r>
        <w:rPr>
          <w:rFonts w:ascii="新細明體" w:hAnsi="新細明體" w:hint="eastAsia"/>
        </w:rPr>
        <w:t>1948</w:t>
      </w:r>
      <w:r>
        <w:rPr>
          <w:rFonts w:ascii="新細明體" w:hAnsi="新細明體" w:hint="eastAsia"/>
        </w:rPr>
        <w:t>年</w:t>
      </w:r>
      <w:r>
        <w:rPr>
          <w:rFonts w:ascii="新細明體" w:hAnsi="新細明體" w:hint="eastAsia"/>
        </w:rPr>
        <w:t>11</w:t>
      </w:r>
      <w:r>
        <w:rPr>
          <w:rFonts w:ascii="新細明體" w:hAnsi="新細明體" w:hint="eastAsia"/>
        </w:rPr>
        <w:t>月經國會加入部分修正意見後通過，並於同年</w:t>
      </w:r>
      <w:r>
        <w:rPr>
          <w:rFonts w:ascii="新細明體" w:hAnsi="新細明體" w:hint="eastAsia"/>
        </w:rPr>
        <w:t>12</w:t>
      </w:r>
      <w:r>
        <w:rPr>
          <w:rFonts w:ascii="新細明體" w:hAnsi="新細明體" w:hint="eastAsia"/>
        </w:rPr>
        <w:t>月</w:t>
      </w:r>
      <w:r>
        <w:rPr>
          <w:rFonts w:ascii="新細明體" w:hAnsi="新細明體" w:hint="eastAsia"/>
        </w:rPr>
        <w:t>3</w:t>
      </w:r>
      <w:r>
        <w:rPr>
          <w:rFonts w:ascii="新細明體" w:hAnsi="新細明體" w:hint="eastAsia"/>
        </w:rPr>
        <w:t>日公布施行。此次修正之重點在於縮小</w:t>
      </w:r>
      <w:proofErr w:type="gramStart"/>
      <w:r>
        <w:rPr>
          <w:rFonts w:ascii="新細明體" w:hAnsi="新細明體" w:hint="eastAsia"/>
        </w:rPr>
        <w:t>特別</w:t>
      </w:r>
      <w:proofErr w:type="gramEnd"/>
      <w:r>
        <w:rPr>
          <w:rFonts w:ascii="新細明體" w:hAnsi="新細明體" w:hint="eastAsia"/>
        </w:rPr>
        <w:t>職範圍、強化人事委員會之組織與權限，以及加強服務紀律等。其後，除</w:t>
      </w:r>
      <w:r>
        <w:rPr>
          <w:rFonts w:ascii="新細明體" w:hAnsi="新細明體" w:hint="eastAsia"/>
        </w:rPr>
        <w:t>1965</w:t>
      </w:r>
      <w:r>
        <w:rPr>
          <w:rFonts w:ascii="新細明體" w:hAnsi="新細明體" w:hint="eastAsia"/>
        </w:rPr>
        <w:t>年為因應批准國際勞工組織（</w:t>
      </w:r>
      <w:r>
        <w:rPr>
          <w:rFonts w:ascii="新細明體" w:hAnsi="新細明體" w:hint="eastAsia"/>
        </w:rPr>
        <w:t>ILO</w:t>
      </w:r>
      <w:r>
        <w:rPr>
          <w:rFonts w:ascii="新細明體" w:hAnsi="新細明體" w:hint="eastAsia"/>
        </w:rPr>
        <w:t>）的第</w:t>
      </w:r>
      <w:r>
        <w:rPr>
          <w:rFonts w:ascii="新細明體" w:hAnsi="新細明體" w:hint="eastAsia"/>
        </w:rPr>
        <w:t>87</w:t>
      </w:r>
      <w:r>
        <w:rPr>
          <w:rFonts w:ascii="新細明體" w:hAnsi="新細明體" w:hint="eastAsia"/>
        </w:rPr>
        <w:t>號條約（關於保護結社自由及團結權條約）及</w:t>
      </w:r>
      <w:r>
        <w:rPr>
          <w:rFonts w:ascii="新細明體" w:hAnsi="新細明體" w:hint="eastAsia"/>
        </w:rPr>
        <w:t>1981</w:t>
      </w:r>
      <w:r>
        <w:rPr>
          <w:rFonts w:ascii="新細明體" w:hAnsi="新細明體" w:hint="eastAsia"/>
        </w:rPr>
        <w:t>年為導入定年制度，曾進行重要修正之外，其餘皆屬輕微修正</w:t>
      </w:r>
      <w:r>
        <w:rPr>
          <w:rStyle w:val="a4"/>
          <w:rFonts w:ascii="新細明體" w:hAnsi="新細明體"/>
        </w:rPr>
        <w:footnoteReference w:id="28"/>
      </w:r>
      <w:r>
        <w:rPr>
          <w:rFonts w:ascii="新細明體" w:hAnsi="新細明體" w:hint="eastAsia"/>
        </w:rPr>
        <w:t>。直至二十世紀末，為因應進入二十一世紀，公務員制度再度進行大修正，其目的在於再構築「國家形貌」</w:t>
      </w:r>
      <w:r>
        <w:rPr>
          <w:rStyle w:val="a4"/>
          <w:rFonts w:ascii="新細明體" w:hAnsi="新細明體"/>
        </w:rPr>
        <w:footnoteReference w:id="29"/>
      </w:r>
      <w:r>
        <w:rPr>
          <w:rFonts w:ascii="新細明體" w:hAnsi="新細明體" w:hint="eastAsia"/>
        </w:rPr>
        <w:t>。</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首先，</w:t>
      </w:r>
      <w:proofErr w:type="gramStart"/>
      <w:r>
        <w:rPr>
          <w:rFonts w:ascii="新細明體" w:hAnsi="新細明體" w:hint="eastAsia"/>
        </w:rPr>
        <w:t>由設於</w:t>
      </w:r>
      <w:proofErr w:type="gramEnd"/>
      <w:r>
        <w:rPr>
          <w:rFonts w:ascii="新細明體" w:hAnsi="新細明體" w:hint="eastAsia"/>
        </w:rPr>
        <w:t>內閣官房之行政改革推進事務局及公務員制度改革等推進室在</w:t>
      </w:r>
      <w:r>
        <w:rPr>
          <w:rFonts w:ascii="新細明體" w:hAnsi="新細明體" w:hint="eastAsia"/>
        </w:rPr>
        <w:t>2001</w:t>
      </w:r>
      <w:r>
        <w:rPr>
          <w:rFonts w:ascii="新細明體" w:hAnsi="新細明體" w:hint="eastAsia"/>
        </w:rPr>
        <w:t>年</w:t>
      </w:r>
      <w:r>
        <w:rPr>
          <w:rFonts w:ascii="新細明體" w:hAnsi="新細明體" w:hint="eastAsia"/>
        </w:rPr>
        <w:t>3</w:t>
      </w:r>
      <w:r>
        <w:rPr>
          <w:rFonts w:ascii="新細明體" w:hAnsi="新細明體" w:hint="eastAsia"/>
        </w:rPr>
        <w:t>月提出「公務員制度改革大枠」</w:t>
      </w:r>
      <w:r>
        <w:rPr>
          <w:rStyle w:val="a4"/>
          <w:rFonts w:ascii="新細明體" w:hAnsi="新細明體"/>
        </w:rPr>
        <w:footnoteReference w:id="30"/>
      </w:r>
      <w:r>
        <w:rPr>
          <w:rFonts w:ascii="新細明體" w:hAnsi="新細明體" w:hint="eastAsia"/>
        </w:rPr>
        <w:t>（以下簡稱「大枠」</w:t>
      </w:r>
      <w:r>
        <w:rPr>
          <w:rStyle w:val="a4"/>
          <w:rFonts w:ascii="新細明體" w:hAnsi="新細明體"/>
        </w:rPr>
        <w:footnoteReference w:id="31"/>
      </w:r>
      <w:r>
        <w:rPr>
          <w:rFonts w:ascii="新細明體" w:hAnsi="新細明體" w:hint="eastAsia"/>
        </w:rPr>
        <w:t>），因為「運作新政府組織非有新公務員不可」。在此，所謂新政府組織係指依照橋本行政改革而實現的，以強化內閣機能、中央省廳再編、創設行</w:t>
      </w:r>
      <w:r>
        <w:rPr>
          <w:rFonts w:ascii="新細明體" w:hAnsi="新細明體" w:hint="eastAsia"/>
        </w:rPr>
        <w:t>政法人制度等為主軸的統治機構。此項統治機構的目的在於「為因應社會及經濟體系全面轉換，重新建構符合二十一世紀之本國形貌」。此處所謂「本國形貌」係</w:t>
      </w:r>
      <w:r>
        <w:rPr>
          <w:rFonts w:ascii="新細明體" w:hAnsi="新細明體" w:hint="eastAsia"/>
        </w:rPr>
        <w:t>1997</w:t>
      </w:r>
      <w:r>
        <w:rPr>
          <w:rFonts w:ascii="新細明體" w:hAnsi="新細明體" w:hint="eastAsia"/>
        </w:rPr>
        <w:t>年行政改革會議最終</w:t>
      </w:r>
      <w:r>
        <w:rPr>
          <w:rFonts w:ascii="新細明體" w:hAnsi="新細明體" w:hint="eastAsia"/>
        </w:rPr>
        <w:lastRenderedPageBreak/>
        <w:t>報告中之用語，主要內容在於透過</w:t>
      </w:r>
      <w:proofErr w:type="gramStart"/>
      <w:r>
        <w:rPr>
          <w:rFonts w:ascii="新細明體" w:hAnsi="新細明體" w:hint="eastAsia"/>
        </w:rPr>
        <w:t>規</w:t>
      </w:r>
      <w:proofErr w:type="gramEnd"/>
      <w:r>
        <w:rPr>
          <w:rFonts w:ascii="新細明體" w:hAnsi="新細明體" w:hint="eastAsia"/>
        </w:rPr>
        <w:t>制緩和、民營化、福祉解體及大企業優先之經濟政策，實現以市場原理及自由競爭為支配原則之社會。以此為基礎，</w:t>
      </w:r>
      <w:r>
        <w:rPr>
          <w:rFonts w:ascii="新細明體" w:hAnsi="新細明體" w:hint="eastAsia"/>
        </w:rPr>
        <w:t>2001</w:t>
      </w:r>
      <w:r>
        <w:rPr>
          <w:rFonts w:ascii="新細明體" w:hAnsi="新細明體" w:hint="eastAsia"/>
        </w:rPr>
        <w:t>年年底，內閣以閣議決定「公務員制度改革大綱」</w:t>
      </w:r>
      <w:r>
        <w:rPr>
          <w:rStyle w:val="a4"/>
          <w:rFonts w:ascii="新細明體" w:hAnsi="新細明體"/>
        </w:rPr>
        <w:footnoteReference w:id="32"/>
      </w:r>
      <w:r>
        <w:rPr>
          <w:rFonts w:ascii="新細明體" w:hAnsi="新細明體" w:hint="eastAsia"/>
        </w:rPr>
        <w:t>（以下簡稱「大綱」），內容包括廢除職級制、創設能力等級制、縮小人事院權限、強化內閣及各省大臣人事管理權、官民關係的流動化與彈性化、全面地緩和</w:t>
      </w:r>
      <w:proofErr w:type="gramStart"/>
      <w:r>
        <w:rPr>
          <w:rFonts w:ascii="新細明體" w:hAnsi="新細明體" w:hint="eastAsia"/>
        </w:rPr>
        <w:t>規</w:t>
      </w:r>
      <w:proofErr w:type="gramEnd"/>
      <w:r>
        <w:rPr>
          <w:rFonts w:ascii="新細明體" w:hAnsi="新細明體" w:hint="eastAsia"/>
        </w:rPr>
        <w:t>制、創立國家戰</w:t>
      </w:r>
      <w:r>
        <w:rPr>
          <w:rFonts w:ascii="新細明體" w:hAnsi="新細明體" w:hint="eastAsia"/>
        </w:rPr>
        <w:t>略人員，針對國家公務員制度進行重大改革，地方公務員制度也</w:t>
      </w:r>
      <w:proofErr w:type="gramStart"/>
      <w:r>
        <w:rPr>
          <w:rFonts w:ascii="新細明體" w:hAnsi="新細明體" w:hint="eastAsia"/>
        </w:rPr>
        <w:t>準</w:t>
      </w:r>
      <w:proofErr w:type="gramEnd"/>
      <w:r>
        <w:rPr>
          <w:rFonts w:ascii="新細明體" w:hAnsi="新細明體" w:hint="eastAsia"/>
        </w:rPr>
        <w:t>用大綱設計而進行革新。</w:t>
      </w:r>
    </w:p>
    <w:p w:rsidR="00000000" w:rsidRDefault="00CB4FE6">
      <w:pPr>
        <w:spacing w:line="360" w:lineRule="auto"/>
        <w:ind w:firstLineChars="200" w:firstLine="480"/>
        <w:jc w:val="both"/>
        <w:rPr>
          <w:rFonts w:hint="eastAsia"/>
        </w:rPr>
      </w:pPr>
      <w:r>
        <w:rPr>
          <w:rFonts w:hint="eastAsia"/>
        </w:rPr>
        <w:t>此次改革當中，與本研究計畫息息相關者為公務員身分之保障。而最主要之衝擊來自於行政任務之民間化，也就是私人化。日本在上世界</w:t>
      </w:r>
      <w:r>
        <w:rPr>
          <w:rFonts w:hint="eastAsia"/>
        </w:rPr>
        <w:t>90</w:t>
      </w:r>
      <w:r>
        <w:rPr>
          <w:rFonts w:hint="eastAsia"/>
        </w:rPr>
        <w:t>年代之後，民營化、委託民間等公務私人化的趨勢急速擴大。所謂民營化係指國家、自治團體以及類此</w:t>
      </w:r>
      <w:proofErr w:type="gramStart"/>
      <w:r>
        <w:rPr>
          <w:rFonts w:hint="eastAsia"/>
        </w:rPr>
        <w:t>之</w:t>
      </w:r>
      <w:proofErr w:type="gramEnd"/>
      <w:r>
        <w:rPr>
          <w:rFonts w:hint="eastAsia"/>
        </w:rPr>
        <w:t>公共團體將其事務或業務概括地移轉或</w:t>
      </w:r>
      <w:proofErr w:type="gramStart"/>
      <w:r>
        <w:rPr>
          <w:rFonts w:hint="eastAsia"/>
        </w:rPr>
        <w:t>移行予</w:t>
      </w:r>
      <w:proofErr w:type="gramEnd"/>
      <w:r>
        <w:rPr>
          <w:rFonts w:hint="eastAsia"/>
        </w:rPr>
        <w:t>民間企業及其他私部門，其形態相當多樣；而委託民間則指事務或業務由國家、自治團體保留，但將其全部或一部業務委託民間企業及其他私部門執行。數年之間並陸續引入民間資金及經營能力與技</w:t>
      </w:r>
      <w:r>
        <w:rPr>
          <w:rFonts w:hint="eastAsia"/>
        </w:rPr>
        <w:t>術能力以活用公共設施及提供公共服務，公共設施之管理以股份有限公司為之，以及在國家及地方創設獨立行政法人制度，將民間手法導入行政內部等。</w:t>
      </w:r>
    </w:p>
    <w:p w:rsidR="00000000" w:rsidRDefault="00CB4FE6">
      <w:pPr>
        <w:spacing w:line="360" w:lineRule="auto"/>
        <w:ind w:firstLineChars="200" w:firstLine="480"/>
        <w:jc w:val="both"/>
        <w:rPr>
          <w:rFonts w:hint="eastAsia"/>
        </w:rPr>
      </w:pPr>
      <w:r>
        <w:rPr>
          <w:rFonts w:hint="eastAsia"/>
        </w:rPr>
        <w:t>2004</w:t>
      </w:r>
      <w:r>
        <w:rPr>
          <w:rFonts w:hint="eastAsia"/>
        </w:rPr>
        <w:t>年</w:t>
      </w:r>
      <w:r>
        <w:rPr>
          <w:rFonts w:hint="eastAsia"/>
        </w:rPr>
        <w:t>12</w:t>
      </w:r>
      <w:r>
        <w:rPr>
          <w:rFonts w:hint="eastAsia"/>
        </w:rPr>
        <w:t>月</w:t>
      </w:r>
      <w:r>
        <w:rPr>
          <w:rFonts w:hint="eastAsia"/>
        </w:rPr>
        <w:t>24</w:t>
      </w:r>
      <w:r>
        <w:rPr>
          <w:rFonts w:hint="eastAsia"/>
        </w:rPr>
        <w:t>日小泉內閣提出「今後の行政改革の方針」（以下簡稱「新行革大綱」）時，針對公務員制度改革，要求於</w:t>
      </w:r>
      <w:r>
        <w:rPr>
          <w:rFonts w:hint="eastAsia"/>
        </w:rPr>
        <w:t>2006</w:t>
      </w:r>
      <w:r>
        <w:rPr>
          <w:rFonts w:hint="eastAsia"/>
        </w:rPr>
        <w:t>年實現前述公務員制度改革大綱之目標，檢討相關之改革法案，期望於現行制度範圍內早日實施</w:t>
      </w:r>
      <w:r>
        <w:rPr>
          <w:rStyle w:val="a4"/>
          <w:rFonts w:ascii="新細明體" w:hAnsi="新細明體"/>
        </w:rPr>
        <w:footnoteReference w:id="33"/>
      </w:r>
      <w:r>
        <w:rPr>
          <w:rFonts w:hint="eastAsia"/>
        </w:rPr>
        <w:t>。不過，此一系列之改革措施，也引起公務員及學界之撻伐，認為牴觸公務員為「全體服務者」之憲法原則，公務員將成為政府、執政黨及其所代表之大企業的服務者，並且侵害公務員之勞動</w:t>
      </w:r>
      <w:r>
        <w:rPr>
          <w:rFonts w:hint="eastAsia"/>
        </w:rPr>
        <w:t>基本權</w:t>
      </w:r>
      <w:r>
        <w:rPr>
          <w:rStyle w:val="a4"/>
          <w:rFonts w:ascii="新細明體" w:hAnsi="新細明體"/>
        </w:rPr>
        <w:footnoteReference w:id="34"/>
      </w:r>
      <w:r>
        <w:rPr>
          <w:rFonts w:hint="eastAsia"/>
        </w:rPr>
        <w:t>。</w:t>
      </w:r>
    </w:p>
    <w:p w:rsidR="00000000" w:rsidRDefault="00CB4FE6">
      <w:pPr>
        <w:spacing w:line="360" w:lineRule="auto"/>
        <w:ind w:firstLineChars="200" w:firstLine="480"/>
        <w:jc w:val="both"/>
        <w:rPr>
          <w:rFonts w:hint="eastAsia"/>
        </w:rPr>
      </w:pPr>
      <w:r>
        <w:rPr>
          <w:rFonts w:hint="eastAsia"/>
        </w:rPr>
        <w:t>雖然面臨各種批評，但是內閣仍於</w:t>
      </w:r>
      <w:r>
        <w:rPr>
          <w:rFonts w:hint="eastAsia"/>
        </w:rPr>
        <w:t>2005</w:t>
      </w:r>
      <w:r>
        <w:rPr>
          <w:rFonts w:hint="eastAsia"/>
        </w:rPr>
        <w:t>年</w:t>
      </w:r>
      <w:r>
        <w:rPr>
          <w:rFonts w:hint="eastAsia"/>
        </w:rPr>
        <w:t>12</w:t>
      </w:r>
      <w:r>
        <w:rPr>
          <w:rFonts w:hint="eastAsia"/>
        </w:rPr>
        <w:t>月以閣議決定了「行政改革の</w:t>
      </w:r>
      <w:r>
        <w:rPr>
          <w:rFonts w:hint="eastAsia"/>
        </w:rPr>
        <w:lastRenderedPageBreak/>
        <w:t>重要方針」</w:t>
      </w:r>
      <w:r>
        <w:rPr>
          <w:rStyle w:val="a4"/>
        </w:rPr>
        <w:footnoteReference w:id="35"/>
      </w:r>
      <w:r>
        <w:rPr>
          <w:rFonts w:hint="eastAsia"/>
        </w:rPr>
        <w:t>，推動以貫徹</w:t>
      </w:r>
      <w:r>
        <w:t>能力・実績主義</w:t>
      </w:r>
      <w:r>
        <w:rPr>
          <w:rFonts w:hint="eastAsia"/>
        </w:rPr>
        <w:t>之</w:t>
      </w:r>
      <w:r>
        <w:t>人事管理、再就職管理</w:t>
      </w:r>
      <w:r>
        <w:rPr>
          <w:rFonts w:hint="eastAsia"/>
        </w:rPr>
        <w:t>之</w:t>
      </w:r>
      <w:r>
        <w:t>妥適化等</w:t>
      </w:r>
      <w:r>
        <w:rPr>
          <w:rFonts w:hint="eastAsia"/>
        </w:rPr>
        <w:t>觀點為基礎之</w:t>
      </w:r>
      <w:r>
        <w:t>公務員制度改革</w:t>
      </w:r>
      <w:r>
        <w:rPr>
          <w:rFonts w:hint="eastAsia"/>
        </w:rPr>
        <w:t>，並於利害關係人進行</w:t>
      </w:r>
      <w:r>
        <w:t>率直</w:t>
      </w:r>
      <w:r>
        <w:rPr>
          <w:rFonts w:hint="eastAsia"/>
        </w:rPr>
        <w:t>的對話及</w:t>
      </w:r>
      <w:r>
        <w:t>調整</w:t>
      </w:r>
      <w:r>
        <w:rPr>
          <w:rFonts w:hint="eastAsia"/>
        </w:rPr>
        <w:t>。</w:t>
      </w:r>
      <w:r>
        <w:rPr>
          <w:rFonts w:hint="eastAsia"/>
        </w:rPr>
        <w:t>2006</w:t>
      </w:r>
      <w:r>
        <w:t>年</w:t>
      </w:r>
      <w:proofErr w:type="gramStart"/>
      <w:r>
        <w:t>６</w:t>
      </w:r>
      <w:proofErr w:type="gramEnd"/>
      <w:r>
        <w:t>月</w:t>
      </w:r>
      <w:r>
        <w:rPr>
          <w:rFonts w:hint="eastAsia"/>
        </w:rPr>
        <w:t>制訂「行政改革推進法」</w:t>
      </w:r>
      <w:proofErr w:type="gramStart"/>
      <w:r>
        <w:rPr>
          <w:rFonts w:hint="eastAsia"/>
        </w:rPr>
        <w:t>（</w:t>
      </w:r>
      <w:proofErr w:type="gramEnd"/>
      <w:r>
        <w:rPr>
          <w:rFonts w:hint="eastAsia"/>
        </w:rPr>
        <w:t>原名稱為</w:t>
      </w:r>
      <w:r>
        <w:t>「簡素で効率的な政府を実現するための行政改革の推進に関する法律」</w:t>
      </w:r>
      <w:r>
        <w:rPr>
          <w:rStyle w:val="a4"/>
        </w:rPr>
        <w:footnoteReference w:id="36"/>
      </w:r>
      <w:r>
        <w:rPr>
          <w:rFonts w:hint="eastAsia"/>
        </w:rPr>
        <w:t>，簡稱行政改革推進法），列出基於</w:t>
      </w:r>
      <w:r>
        <w:t>能力及</w:t>
      </w:r>
      <w:r>
        <w:rPr>
          <w:rFonts w:hint="eastAsia"/>
        </w:rPr>
        <w:t>實績之</w:t>
      </w:r>
      <w:r>
        <w:t>人事管理、退職管理妥適化</w:t>
      </w:r>
      <w:r>
        <w:rPr>
          <w:rFonts w:hint="eastAsia"/>
        </w:rPr>
        <w:t>及其他相關</w:t>
      </w:r>
      <w:r>
        <w:t>事項</w:t>
      </w:r>
      <w:r>
        <w:rPr>
          <w:rFonts w:hint="eastAsia"/>
        </w:rPr>
        <w:t>等公務員改革基本目標，並訂定各項為</w:t>
      </w:r>
      <w:r>
        <w:t>早</w:t>
      </w:r>
      <w:r>
        <w:rPr>
          <w:rFonts w:hint="eastAsia"/>
        </w:rPr>
        <w:t>日實現前述目標之</w:t>
      </w:r>
      <w:r>
        <w:t>必要</w:t>
      </w:r>
      <w:r>
        <w:rPr>
          <w:rFonts w:hint="eastAsia"/>
        </w:rPr>
        <w:t>措施</w:t>
      </w:r>
      <w:r>
        <w:rPr>
          <w:rStyle w:val="a4"/>
        </w:rPr>
        <w:footnoteReference w:id="37"/>
      </w:r>
      <w:r>
        <w:t>。</w:t>
      </w:r>
      <w:r>
        <w:rPr>
          <w:rFonts w:hint="eastAsia"/>
        </w:rPr>
        <w:t>繼而，內閣於</w:t>
      </w:r>
      <w:r>
        <w:rPr>
          <w:rFonts w:hint="eastAsia"/>
        </w:rPr>
        <w:t>2007</w:t>
      </w:r>
      <w:r>
        <w:t>年</w:t>
      </w:r>
      <w:r>
        <w:rPr>
          <w:rFonts w:hint="eastAsia"/>
        </w:rPr>
        <w:t>4</w:t>
      </w:r>
      <w:r>
        <w:t>月</w:t>
      </w:r>
      <w:r>
        <w:t>24</w:t>
      </w:r>
      <w:r>
        <w:t>日</w:t>
      </w:r>
      <w:r>
        <w:rPr>
          <w:rFonts w:hint="eastAsia"/>
        </w:rPr>
        <w:t>作成「</w:t>
      </w:r>
      <w:r>
        <w:rPr>
          <w:rFonts w:hint="eastAsia"/>
        </w:rPr>
        <w:t>關於</w:t>
      </w:r>
      <w:hyperlink r:id="rId7" w:history="1">
        <w:r>
          <w:rPr>
            <w:rStyle w:val="a6"/>
            <w:color w:val="auto"/>
            <w:u w:val="none"/>
          </w:rPr>
          <w:t>公務員制度改革</w:t>
        </w:r>
      </w:hyperlink>
      <w:r>
        <w:rPr>
          <w:rFonts w:hint="eastAsia"/>
        </w:rPr>
        <w:t>」</w:t>
      </w:r>
      <w:proofErr w:type="gramStart"/>
      <w:r>
        <w:rPr>
          <w:rFonts w:hint="eastAsia"/>
        </w:rPr>
        <w:t>（</w:t>
      </w:r>
      <w:proofErr w:type="gramEnd"/>
      <w:r>
        <w:rPr>
          <w:rFonts w:hint="eastAsia"/>
        </w:rPr>
        <w:t>原名稱為</w:t>
      </w:r>
      <w:hyperlink r:id="rId8" w:history="1">
        <w:r>
          <w:rPr>
            <w:rStyle w:val="a6"/>
            <w:color w:val="auto"/>
            <w:u w:val="none"/>
          </w:rPr>
          <w:t>公務員制度改革について</w:t>
        </w:r>
      </w:hyperlink>
      <w:r>
        <w:rPr>
          <w:rFonts w:hint="eastAsia"/>
        </w:rPr>
        <w:t>）</w:t>
      </w:r>
      <w:r>
        <w:rPr>
          <w:rStyle w:val="a4"/>
        </w:rPr>
        <w:footnoteReference w:id="38"/>
      </w:r>
      <w:r>
        <w:rPr>
          <w:rFonts w:hint="eastAsia"/>
        </w:rPr>
        <w:t>之</w:t>
      </w:r>
      <w:r>
        <w:t>閣議</w:t>
      </w:r>
      <w:r>
        <w:rPr>
          <w:rFonts w:hint="eastAsia"/>
        </w:rPr>
        <w:t>，決定儘快向國會提出以</w:t>
      </w:r>
      <w:r>
        <w:t>能力実績主義、再就職</w:t>
      </w:r>
      <w:r>
        <w:rPr>
          <w:rFonts w:hint="eastAsia"/>
        </w:rPr>
        <w:t>之</w:t>
      </w:r>
      <w:r>
        <w:t>規制</w:t>
      </w:r>
      <w:r>
        <w:rPr>
          <w:rFonts w:hint="eastAsia"/>
        </w:rPr>
        <w:t>等</w:t>
      </w:r>
      <w:r>
        <w:t>内容</w:t>
      </w:r>
      <w:r>
        <w:rPr>
          <w:rFonts w:hint="eastAsia"/>
        </w:rPr>
        <w:t>為中心的</w:t>
      </w:r>
      <w:r>
        <w:t>国家公務員法等改正法案</w:t>
      </w:r>
      <w:r>
        <w:rPr>
          <w:rFonts w:hint="eastAsia"/>
        </w:rPr>
        <w:t>，繼續推動</w:t>
      </w:r>
      <w:r>
        <w:t>公務員制度</w:t>
      </w:r>
      <w:r>
        <w:rPr>
          <w:rFonts w:hint="eastAsia"/>
        </w:rPr>
        <w:t>之綜合</w:t>
      </w:r>
      <w:r>
        <w:t>改革</w:t>
      </w:r>
      <w:r>
        <w:rPr>
          <w:rFonts w:hint="eastAsia"/>
        </w:rPr>
        <w:t>。經過朝野政黨的鬥爭，於同年</w:t>
      </w:r>
      <w:proofErr w:type="gramStart"/>
      <w:r>
        <w:t>６</w:t>
      </w:r>
      <w:proofErr w:type="gramEnd"/>
      <w:r>
        <w:t>月</w:t>
      </w:r>
      <w:r>
        <w:rPr>
          <w:rFonts w:hint="eastAsia"/>
        </w:rPr>
        <w:t>30</w:t>
      </w:r>
      <w:r>
        <w:rPr>
          <w:rFonts w:hint="eastAsia"/>
        </w:rPr>
        <w:t>日通過</w:t>
      </w:r>
      <w:r>
        <w:t>「</w:t>
      </w:r>
      <w:r>
        <w:rPr>
          <w:rFonts w:hint="eastAsia"/>
        </w:rPr>
        <w:t>國家公務員法部分修正法」</w:t>
      </w:r>
      <w:proofErr w:type="gramStart"/>
      <w:r>
        <w:rPr>
          <w:rFonts w:hint="eastAsia"/>
        </w:rPr>
        <w:t>（</w:t>
      </w:r>
      <w:proofErr w:type="gramEnd"/>
      <w:r>
        <w:rPr>
          <w:rFonts w:hint="eastAsia"/>
        </w:rPr>
        <w:t>原名稱為</w:t>
      </w:r>
      <w:hyperlink r:id="rId9" w:history="1">
        <w:r>
          <w:rPr>
            <w:rStyle w:val="a6"/>
            <w:color w:val="auto"/>
            <w:u w:val="none"/>
          </w:rPr>
          <w:t>国家公務員法等の一部を改正する法律</w:t>
        </w:r>
      </w:hyperlink>
      <w:r>
        <w:rPr>
          <w:rFonts w:hint="eastAsia"/>
        </w:rPr>
        <w:t>）</w:t>
      </w:r>
      <w:r>
        <w:rPr>
          <w:rStyle w:val="a4"/>
        </w:rPr>
        <w:footnoteReference w:id="39"/>
      </w:r>
      <w:r>
        <w:rPr>
          <w:rFonts w:hint="eastAsia"/>
        </w:rPr>
        <w:t>，並於</w:t>
      </w:r>
      <w:r>
        <w:rPr>
          <w:rFonts w:hint="eastAsia"/>
        </w:rPr>
        <w:t>7</w:t>
      </w:r>
      <w:r>
        <w:t>月</w:t>
      </w:r>
      <w:r>
        <w:rPr>
          <w:rFonts w:hint="eastAsia"/>
        </w:rPr>
        <w:t>6</w:t>
      </w:r>
      <w:r>
        <w:rPr>
          <w:rFonts w:hint="eastAsia"/>
        </w:rPr>
        <w:t>日公布。主要內容包括</w:t>
      </w:r>
      <w:r>
        <w:t>導入人事評</w:t>
      </w:r>
      <w:r>
        <w:rPr>
          <w:rFonts w:hint="eastAsia"/>
        </w:rPr>
        <w:t>價</w:t>
      </w:r>
      <w:r>
        <w:t>制度、</w:t>
      </w:r>
      <w:r>
        <w:rPr>
          <w:rFonts w:hint="eastAsia"/>
        </w:rPr>
        <w:t>基於</w:t>
      </w:r>
      <w:r>
        <w:t>能力及</w:t>
      </w:r>
      <w:r>
        <w:rPr>
          <w:rFonts w:hint="eastAsia"/>
        </w:rPr>
        <w:t>實</w:t>
      </w:r>
      <w:r>
        <w:t>績</w:t>
      </w:r>
      <w:r>
        <w:rPr>
          <w:rFonts w:hint="eastAsia"/>
        </w:rPr>
        <w:t>之</w:t>
      </w:r>
      <w:r>
        <w:t>人事管理、</w:t>
      </w:r>
      <w:r>
        <w:rPr>
          <w:rFonts w:hint="eastAsia"/>
        </w:rPr>
        <w:t>退職管理，例如：</w:t>
      </w:r>
      <w:r>
        <w:t>離職後就職</w:t>
      </w:r>
      <w:r>
        <w:rPr>
          <w:rFonts w:hint="eastAsia"/>
        </w:rPr>
        <w:t>之</w:t>
      </w:r>
      <w:proofErr w:type="gramStart"/>
      <w:r>
        <w:t>規</w:t>
      </w:r>
      <w:proofErr w:type="gramEnd"/>
      <w:r>
        <w:t>制、設置再就職等監視委員会</w:t>
      </w:r>
      <w:r>
        <w:rPr>
          <w:rFonts w:hint="eastAsia"/>
        </w:rPr>
        <w:t>等、以及成立</w:t>
      </w:r>
      <w:r>
        <w:t>官民人材交流</w:t>
      </w:r>
      <w:r>
        <w:rPr>
          <w:rFonts w:hint="eastAsia"/>
        </w:rPr>
        <w:t>中心處理</w:t>
      </w:r>
      <w:r>
        <w:t>官民人材交流</w:t>
      </w:r>
      <w:r>
        <w:rPr>
          <w:rFonts w:hint="eastAsia"/>
        </w:rPr>
        <w:t>事宜</w:t>
      </w:r>
      <w:r>
        <w:t>等。</w:t>
      </w:r>
      <w:r>
        <w:rPr>
          <w:rFonts w:hint="eastAsia"/>
        </w:rPr>
        <w:t>此項修正法係日本政府推動行政改革數年來相當重要之成果</w:t>
      </w:r>
      <w:r>
        <w:rPr>
          <w:rStyle w:val="a4"/>
        </w:rPr>
        <w:footnoteReference w:id="40"/>
      </w:r>
      <w:r>
        <w:rPr>
          <w:rFonts w:hint="eastAsia"/>
        </w:rPr>
        <w:t>。</w:t>
      </w:r>
    </w:p>
    <w:p w:rsidR="00000000" w:rsidRDefault="00CB4FE6">
      <w:pPr>
        <w:spacing w:line="360" w:lineRule="auto"/>
        <w:ind w:firstLineChars="200" w:firstLine="480"/>
        <w:jc w:val="both"/>
        <w:rPr>
          <w:rFonts w:hint="eastAsia"/>
        </w:rPr>
      </w:pPr>
      <w:r>
        <w:rPr>
          <w:rFonts w:hint="eastAsia"/>
        </w:rPr>
        <w:t>在取得重要成果之後，基於訂定國家</w:t>
      </w:r>
      <w:hyperlink r:id="rId10" w:history="1">
        <w:r>
          <w:rPr>
            <w:rStyle w:val="a6"/>
            <w:color w:val="auto"/>
            <w:u w:val="none"/>
          </w:rPr>
          <w:t>公務員制度</w:t>
        </w:r>
      </w:hyperlink>
      <w:r>
        <w:rPr>
          <w:rFonts w:hint="eastAsia"/>
        </w:rPr>
        <w:t>之基本理念、基本方針及其他基本事項及設置國家</w:t>
      </w:r>
      <w:hyperlink r:id="rId11" w:history="1">
        <w:r>
          <w:rPr>
            <w:rStyle w:val="a6"/>
            <w:color w:val="auto"/>
            <w:u w:val="none"/>
          </w:rPr>
          <w:t>公務員制度</w:t>
        </w:r>
      </w:hyperlink>
      <w:r>
        <w:rPr>
          <w:rFonts w:hint="eastAsia"/>
        </w:rPr>
        <w:t>推進本部，以綜合地推動制度改革，內閣繼續於</w:t>
      </w:r>
      <w:r>
        <w:rPr>
          <w:rFonts w:hint="eastAsia"/>
        </w:rPr>
        <w:t>2008</w:t>
      </w:r>
      <w:r>
        <w:t>年</w:t>
      </w:r>
      <w:r>
        <w:rPr>
          <w:rFonts w:hint="eastAsia"/>
        </w:rPr>
        <w:t>4</w:t>
      </w:r>
      <w:r>
        <w:t>月</w:t>
      </w:r>
      <w:r>
        <w:rPr>
          <w:rFonts w:hint="eastAsia"/>
        </w:rPr>
        <w:t>4</w:t>
      </w:r>
      <w:r>
        <w:rPr>
          <w:rFonts w:hint="eastAsia"/>
        </w:rPr>
        <w:t>日向國會提出作成「国家</w:t>
      </w:r>
      <w:hyperlink r:id="rId12" w:history="1">
        <w:r>
          <w:rPr>
            <w:rStyle w:val="a6"/>
            <w:color w:val="auto"/>
            <w:u w:val="none"/>
          </w:rPr>
          <w:t>公務員制度</w:t>
        </w:r>
      </w:hyperlink>
      <w:r>
        <w:rPr>
          <w:rFonts w:hint="eastAsia"/>
        </w:rPr>
        <w:t>改革基本法案」，並於同年</w:t>
      </w:r>
      <w:r>
        <w:t>6</w:t>
      </w:r>
      <w:r>
        <w:t>月</w:t>
      </w:r>
      <w:r>
        <w:t>6</w:t>
      </w:r>
      <w:r>
        <w:t>日</w:t>
      </w:r>
      <w:r>
        <w:rPr>
          <w:rFonts w:hint="eastAsia"/>
        </w:rPr>
        <w:t>通過「国家</w:t>
      </w:r>
      <w:hyperlink r:id="rId13" w:history="1">
        <w:r>
          <w:rPr>
            <w:rStyle w:val="a6"/>
            <w:color w:val="auto"/>
            <w:u w:val="none"/>
          </w:rPr>
          <w:t>公務員制度</w:t>
        </w:r>
      </w:hyperlink>
      <w:r>
        <w:rPr>
          <w:rFonts w:hint="eastAsia"/>
        </w:rPr>
        <w:t>改革基本法」</w:t>
      </w:r>
      <w:r>
        <w:rPr>
          <w:rStyle w:val="a4"/>
        </w:rPr>
        <w:footnoteReference w:id="41"/>
      </w:r>
      <w:r>
        <w:rPr>
          <w:rFonts w:hint="eastAsia"/>
        </w:rPr>
        <w:t>，於同</w:t>
      </w:r>
      <w:r>
        <w:t>年</w:t>
      </w:r>
      <w:r>
        <w:t>6</w:t>
      </w:r>
      <w:r>
        <w:t>月</w:t>
      </w:r>
      <w:r>
        <w:t>13</w:t>
      </w:r>
      <w:r>
        <w:t>日</w:t>
      </w:r>
      <w:r>
        <w:rPr>
          <w:rFonts w:hint="eastAsia"/>
        </w:rPr>
        <w:t>公布實施，主要內容是具體落實前述的三大目的，以繼續綜合地推動公務員制度改革。從其內</w:t>
      </w:r>
      <w:r>
        <w:rPr>
          <w:rFonts w:hint="eastAsia"/>
        </w:rPr>
        <w:lastRenderedPageBreak/>
        <w:t>容可知，此項基本法是為持續全面性地進行公務員制度改革提供法律基礎，影響深遠。將來勢必牽動各種公務員法制的修正，包</w:t>
      </w:r>
      <w:r>
        <w:rPr>
          <w:rFonts w:hint="eastAsia"/>
        </w:rPr>
        <w:t>括保障制度及救濟程序等，成效如何有待觀察。</w:t>
      </w:r>
    </w:p>
    <w:p w:rsidR="00000000" w:rsidRDefault="00CB4FE6">
      <w:pPr>
        <w:spacing w:line="360" w:lineRule="auto"/>
        <w:ind w:firstLineChars="200" w:firstLine="480"/>
        <w:jc w:val="both"/>
        <w:rPr>
          <w:rFonts w:ascii="新細明體" w:hAnsi="新細明體" w:hint="eastAsia"/>
        </w:rPr>
      </w:pPr>
    </w:p>
    <w:p w:rsidR="00000000" w:rsidRDefault="00CB4FE6">
      <w:pPr>
        <w:numPr>
          <w:ilvl w:val="0"/>
          <w:numId w:val="2"/>
        </w:numPr>
        <w:tabs>
          <w:tab w:val="clear" w:pos="1560"/>
          <w:tab w:val="num" w:pos="540"/>
        </w:tabs>
        <w:spacing w:line="360" w:lineRule="auto"/>
        <w:ind w:hanging="1560"/>
        <w:jc w:val="both"/>
        <w:rPr>
          <w:rFonts w:ascii="新細明體" w:hAnsi="新細明體" w:hint="eastAsia"/>
        </w:rPr>
      </w:pPr>
      <w:r>
        <w:rPr>
          <w:rFonts w:ascii="新細明體" w:hAnsi="新細明體" w:hint="eastAsia"/>
        </w:rPr>
        <w:t>公務員之保障制度</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如前所述，日本公務員制度正進行系列的改革，除業務或事務的私人化之外，新的</w:t>
      </w:r>
      <w:r>
        <w:t>人事評</w:t>
      </w:r>
      <w:r>
        <w:rPr>
          <w:rFonts w:hint="eastAsia"/>
        </w:rPr>
        <w:t>價</w:t>
      </w:r>
      <w:r>
        <w:t>制度、</w:t>
      </w:r>
      <w:r>
        <w:rPr>
          <w:rFonts w:hint="eastAsia"/>
        </w:rPr>
        <w:t>基於</w:t>
      </w:r>
      <w:r>
        <w:t>能力及</w:t>
      </w:r>
      <w:r>
        <w:rPr>
          <w:rFonts w:hint="eastAsia"/>
        </w:rPr>
        <w:t>實</w:t>
      </w:r>
      <w:r>
        <w:t>績</w:t>
      </w:r>
      <w:r>
        <w:rPr>
          <w:rFonts w:hint="eastAsia"/>
        </w:rPr>
        <w:t>之</w:t>
      </w:r>
      <w:r>
        <w:t>人事管理、</w:t>
      </w:r>
      <w:r>
        <w:rPr>
          <w:rFonts w:hint="eastAsia"/>
        </w:rPr>
        <w:t>退職管理及推動</w:t>
      </w:r>
      <w:r>
        <w:t>官民人材交流</w:t>
      </w:r>
      <w:r>
        <w:rPr>
          <w:rFonts w:hint="eastAsia"/>
        </w:rPr>
        <w:t>等，對於</w:t>
      </w:r>
      <w:r>
        <w:rPr>
          <w:rFonts w:ascii="新細明體" w:hAnsi="新細明體" w:hint="eastAsia"/>
        </w:rPr>
        <w:t>公務員之保障皆有一定之影響。不過，關於公務員之定義及範圍，法制上並無重大改變。因此，在進行公務員保障制度中之保障對象研究前，仍應予以說明。</w:t>
      </w:r>
    </w:p>
    <w:p w:rsidR="00000000" w:rsidRDefault="00CB4FE6">
      <w:pPr>
        <w:spacing w:line="360" w:lineRule="auto"/>
        <w:jc w:val="both"/>
        <w:rPr>
          <w:rFonts w:ascii="新細明體" w:hAnsi="新細明體" w:hint="eastAsia"/>
        </w:rPr>
      </w:pPr>
      <w:r>
        <w:rPr>
          <w:rFonts w:ascii="新細明體" w:hAnsi="新細明體" w:hint="eastAsia"/>
        </w:rPr>
        <w:t>一、公務員之定義</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所謂公務員，在實定法上有各種不同之定義，憲法、刑法、行政法、國家賠償法及公務員法上之公務員概念並不相同，有</w:t>
      </w:r>
      <w:proofErr w:type="gramStart"/>
      <w:r>
        <w:rPr>
          <w:rFonts w:ascii="新細明體" w:hAnsi="新細明體" w:hint="eastAsia"/>
        </w:rPr>
        <w:t>廣狹之</w:t>
      </w:r>
      <w:proofErr w:type="gramEnd"/>
      <w:r>
        <w:rPr>
          <w:rFonts w:ascii="新細明體" w:hAnsi="新細明體" w:hint="eastAsia"/>
        </w:rPr>
        <w:t>分。在此立法者有很大的形</w:t>
      </w:r>
      <w:r>
        <w:rPr>
          <w:rFonts w:ascii="新細明體" w:hAnsi="新細明體" w:hint="eastAsia"/>
        </w:rPr>
        <w:t>成自由空間。依</w:t>
      </w:r>
      <w:proofErr w:type="gramStart"/>
      <w:r>
        <w:rPr>
          <w:rFonts w:ascii="新細明體" w:hAnsi="新細明體" w:hint="eastAsia"/>
        </w:rPr>
        <w:t>其法域不同</w:t>
      </w:r>
      <w:proofErr w:type="gramEnd"/>
      <w:r>
        <w:rPr>
          <w:rFonts w:ascii="新細明體" w:hAnsi="新細明體" w:hint="eastAsia"/>
        </w:rPr>
        <w:t>，分述如下</w:t>
      </w:r>
      <w:r>
        <w:rPr>
          <w:rStyle w:val="a4"/>
          <w:rFonts w:ascii="新細明體" w:hAnsi="新細明體"/>
        </w:rPr>
        <w:footnoteReference w:id="42"/>
      </w:r>
      <w:r>
        <w:rPr>
          <w:rFonts w:ascii="新細明體" w:hAnsi="新細明體" w:hint="eastAsia"/>
        </w:rPr>
        <w:t>：</w:t>
      </w:r>
    </w:p>
    <w:p w:rsidR="00000000" w:rsidRDefault="00CB4FE6">
      <w:pPr>
        <w:numPr>
          <w:ilvl w:val="0"/>
          <w:numId w:val="3"/>
        </w:numPr>
        <w:spacing w:line="360" w:lineRule="auto"/>
        <w:jc w:val="both"/>
        <w:rPr>
          <w:rFonts w:ascii="新細明體" w:hAnsi="新細明體" w:hint="eastAsia"/>
        </w:rPr>
      </w:pPr>
      <w:r>
        <w:rPr>
          <w:rFonts w:ascii="新細明體" w:hAnsi="新細明體" w:hint="eastAsia"/>
        </w:rPr>
        <w:t>憲法上之公務員</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憲法第</w:t>
      </w:r>
      <w:r>
        <w:rPr>
          <w:rFonts w:ascii="新細明體" w:hAnsi="新細明體" w:hint="eastAsia"/>
        </w:rPr>
        <w:t>15</w:t>
      </w:r>
      <w:r>
        <w:rPr>
          <w:rFonts w:ascii="新細明體" w:hAnsi="新細明體" w:hint="eastAsia"/>
        </w:rPr>
        <w:t>條第</w:t>
      </w:r>
      <w:r>
        <w:rPr>
          <w:rFonts w:ascii="新細明體" w:hAnsi="新細明體" w:hint="eastAsia"/>
        </w:rPr>
        <w:t>2</w:t>
      </w:r>
      <w:r>
        <w:rPr>
          <w:rFonts w:ascii="新細明體" w:hAnsi="新細明體" w:hint="eastAsia"/>
        </w:rPr>
        <w:t>項所規定之公務員，與明治憲法中「官吏」之概念有所區別，係一種立法方針之指示。依照學者宮澤俊義之定義，係指「廣義而言，以參與國家或公共團體之公務為職務者之總稱」</w:t>
      </w:r>
      <w:r>
        <w:rPr>
          <w:rStyle w:val="a4"/>
          <w:rFonts w:ascii="新細明體" w:hAnsi="新細明體"/>
        </w:rPr>
        <w:footnoteReference w:id="43"/>
      </w:r>
      <w:r>
        <w:rPr>
          <w:rFonts w:ascii="新細明體" w:hAnsi="新細明體" w:hint="eastAsia"/>
        </w:rPr>
        <w:t>。</w:t>
      </w:r>
    </w:p>
    <w:p w:rsidR="00000000" w:rsidRDefault="00CB4FE6">
      <w:pPr>
        <w:numPr>
          <w:ilvl w:val="0"/>
          <w:numId w:val="3"/>
        </w:numPr>
        <w:spacing w:line="360" w:lineRule="auto"/>
        <w:jc w:val="both"/>
        <w:rPr>
          <w:rFonts w:ascii="新細明體" w:hAnsi="新細明體" w:hint="eastAsia"/>
        </w:rPr>
      </w:pPr>
      <w:r>
        <w:rPr>
          <w:rFonts w:ascii="新細明體" w:hAnsi="新細明體" w:hint="eastAsia"/>
        </w:rPr>
        <w:t>刑法上之公務員</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刑法上之公務員，係指「國家或地方公共團體之職員及其他依法令從事公務之議員、委員及其他職員。」（刑法第</w:t>
      </w:r>
      <w:r>
        <w:rPr>
          <w:rFonts w:ascii="新細明體" w:hAnsi="新細明體" w:hint="eastAsia"/>
        </w:rPr>
        <w:t>7</w:t>
      </w:r>
      <w:r>
        <w:rPr>
          <w:rFonts w:ascii="新細明體" w:hAnsi="新細明體" w:hint="eastAsia"/>
        </w:rPr>
        <w:t>條第</w:t>
      </w:r>
      <w:r>
        <w:rPr>
          <w:rFonts w:ascii="新細明體" w:hAnsi="新細明體" w:hint="eastAsia"/>
        </w:rPr>
        <w:t>1</w:t>
      </w:r>
      <w:r>
        <w:rPr>
          <w:rFonts w:ascii="新細明體" w:hAnsi="新細明體" w:hint="eastAsia"/>
        </w:rPr>
        <w:t>項）。此項概念與國家公務員法及地方公務員法上之公務員不同。關於其範圍，在實務上曾引起爭議。最高裁判所於對於郵局擔任外務之事務員施暴是否觸犯妨害公務執行罪</w:t>
      </w:r>
      <w:r>
        <w:rPr>
          <w:rFonts w:ascii="新細明體" w:hAnsi="新細明體" w:hint="eastAsia"/>
        </w:rPr>
        <w:t>的案件中表示：「所謂從事公務之職員，係指其從事公務係依據法令，並不包含從事單純機械的、肉</w:t>
      </w:r>
      <w:r>
        <w:rPr>
          <w:rFonts w:ascii="新細明體" w:hAnsi="新細明體" w:hint="eastAsia"/>
        </w:rPr>
        <w:lastRenderedPageBreak/>
        <w:t>體的勞務。」</w:t>
      </w:r>
      <w:r>
        <w:rPr>
          <w:rStyle w:val="a4"/>
          <w:rFonts w:ascii="新細明體" w:hAnsi="新細明體"/>
        </w:rPr>
        <w:footnoteReference w:id="44"/>
      </w:r>
    </w:p>
    <w:p w:rsidR="00000000" w:rsidRDefault="00CB4FE6">
      <w:pPr>
        <w:numPr>
          <w:ilvl w:val="0"/>
          <w:numId w:val="3"/>
        </w:numPr>
        <w:spacing w:line="360" w:lineRule="auto"/>
        <w:jc w:val="both"/>
        <w:rPr>
          <w:rFonts w:ascii="新細明體" w:hAnsi="新細明體" w:hint="eastAsia"/>
        </w:rPr>
      </w:pPr>
      <w:r>
        <w:rPr>
          <w:rFonts w:ascii="新細明體" w:hAnsi="新細明體" w:hint="eastAsia"/>
        </w:rPr>
        <w:t>國家賠償法上之公務員</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國家賠償法上之公務員，該法第</w:t>
      </w:r>
      <w:r>
        <w:rPr>
          <w:rFonts w:ascii="新細明體" w:hAnsi="新細明體" w:hint="eastAsia"/>
        </w:rPr>
        <w:t>1</w:t>
      </w:r>
      <w:r>
        <w:rPr>
          <w:rFonts w:ascii="新細明體" w:hAnsi="新細明體" w:hint="eastAsia"/>
        </w:rPr>
        <w:t>條第</w:t>
      </w:r>
      <w:r>
        <w:rPr>
          <w:rFonts w:ascii="新細明體" w:hAnsi="新細明體" w:hint="eastAsia"/>
        </w:rPr>
        <w:t>1</w:t>
      </w:r>
      <w:r>
        <w:rPr>
          <w:rFonts w:ascii="新細明體" w:hAnsi="新細明體" w:hint="eastAsia"/>
        </w:rPr>
        <w:t>項規定：「行使國家或地方公共團體之公權力的公務員，執行其職務而因故意或過失違法加損害於他人時，國家或地方公共團體負損害賠償責任。」由此可知，其對公務員係</w:t>
      </w:r>
      <w:proofErr w:type="gramStart"/>
      <w:r>
        <w:rPr>
          <w:rFonts w:ascii="新細明體" w:hAnsi="新細明體" w:hint="eastAsia"/>
        </w:rPr>
        <w:t>採最</w:t>
      </w:r>
      <w:proofErr w:type="gramEnd"/>
      <w:r>
        <w:rPr>
          <w:rFonts w:ascii="新細明體" w:hAnsi="新細明體" w:hint="eastAsia"/>
        </w:rPr>
        <w:t>廣義，只要該當行為係屬公權力之行使，即有適用餘地</w:t>
      </w:r>
      <w:r>
        <w:rPr>
          <w:rStyle w:val="a4"/>
          <w:rFonts w:ascii="新細明體" w:hAnsi="新細明體"/>
        </w:rPr>
        <w:footnoteReference w:id="45"/>
      </w:r>
      <w:r>
        <w:rPr>
          <w:rFonts w:ascii="新細明體" w:hAnsi="新細明體" w:hint="eastAsia"/>
        </w:rPr>
        <w:t>。</w:t>
      </w:r>
    </w:p>
    <w:p w:rsidR="00000000" w:rsidRDefault="00CB4FE6">
      <w:pPr>
        <w:numPr>
          <w:ilvl w:val="0"/>
          <w:numId w:val="3"/>
        </w:numPr>
        <w:spacing w:line="360" w:lineRule="auto"/>
        <w:jc w:val="both"/>
        <w:rPr>
          <w:rFonts w:ascii="新細明體" w:hAnsi="新細明體" w:hint="eastAsia"/>
        </w:rPr>
      </w:pPr>
      <w:r>
        <w:rPr>
          <w:rFonts w:ascii="新細明體" w:hAnsi="新細明體" w:hint="eastAsia"/>
        </w:rPr>
        <w:t>國家公務員法及地方公務員法上之公務員</w:t>
      </w:r>
    </w:p>
    <w:p w:rsidR="00000000" w:rsidRDefault="00CB4FE6">
      <w:pPr>
        <w:spacing w:line="360" w:lineRule="auto"/>
        <w:ind w:firstLineChars="200" w:firstLine="480"/>
        <w:jc w:val="both"/>
        <w:rPr>
          <w:rFonts w:ascii="新細明體" w:hAnsi="新細明體" w:hint="eastAsia"/>
        </w:rPr>
      </w:pPr>
      <w:r>
        <w:rPr>
          <w:rFonts w:hint="eastAsia"/>
        </w:rPr>
        <w:t>有別於刑法及國家賠償法之適用，公務員法制中係以規範公務員身加以</w:t>
      </w:r>
      <w:r>
        <w:rPr>
          <w:rFonts w:ascii="新細明體" w:hAnsi="新細明體" w:hint="eastAsia"/>
        </w:rPr>
        <w:t>界定。</w:t>
      </w:r>
      <w:r>
        <w:rPr>
          <w:rFonts w:hint="eastAsia"/>
        </w:rPr>
        <w:t>依照公法上職務關係之主體區分，日本</w:t>
      </w:r>
      <w:r>
        <w:rPr>
          <w:rFonts w:hint="eastAsia"/>
        </w:rPr>
        <w:t>之公務員得分為國家公務員及地方公務員兩大類型。</w:t>
      </w:r>
      <w:r>
        <w:rPr>
          <w:rFonts w:ascii="新細明體" w:hAnsi="新細明體" w:hint="eastAsia"/>
        </w:rPr>
        <w:t>國家公務員法中公務員概念係屬狹義，依其第</w:t>
      </w:r>
      <w:r>
        <w:rPr>
          <w:rFonts w:ascii="新細明體" w:hAnsi="新細明體" w:hint="eastAsia"/>
        </w:rPr>
        <w:t>1</w:t>
      </w:r>
      <w:r>
        <w:rPr>
          <w:rFonts w:ascii="新細明體" w:hAnsi="新細明體" w:hint="eastAsia"/>
        </w:rPr>
        <w:t>條第</w:t>
      </w:r>
      <w:r>
        <w:rPr>
          <w:rFonts w:ascii="新細明體" w:hAnsi="新細明體" w:hint="eastAsia"/>
        </w:rPr>
        <w:t>2</w:t>
      </w:r>
      <w:r>
        <w:rPr>
          <w:rFonts w:ascii="新細明體" w:hAnsi="新細明體" w:hint="eastAsia"/>
        </w:rPr>
        <w:t>項規定，係指專門掌理憲法第</w:t>
      </w:r>
      <w:r>
        <w:rPr>
          <w:rFonts w:ascii="新細明體" w:hAnsi="新細明體" w:hint="eastAsia"/>
        </w:rPr>
        <w:t>73</w:t>
      </w:r>
      <w:r>
        <w:rPr>
          <w:rFonts w:ascii="新細明體" w:hAnsi="新細明體" w:hint="eastAsia"/>
        </w:rPr>
        <w:t>條中所指關於官吏之事務者。依此，應僅限於從事內閣所轄事務之公務員，國會議員及法官等則排除在外</w:t>
      </w:r>
      <w:r>
        <w:rPr>
          <w:rStyle w:val="a4"/>
          <w:rFonts w:ascii="新細明體" w:hAnsi="新細明體"/>
        </w:rPr>
        <w:footnoteReference w:id="46"/>
      </w:r>
      <w:r>
        <w:rPr>
          <w:rFonts w:ascii="新細明體" w:hAnsi="新細明體" w:hint="eastAsia"/>
        </w:rPr>
        <w:t>。但是，此種規定對於公務員概念並未積極地定義，所以產生諸多疑義，例如，除了專職從事於公務的職員之外，是否包括非專職的職員？單純的勞務提供者，</w:t>
      </w:r>
      <w:proofErr w:type="gramStart"/>
      <w:r>
        <w:rPr>
          <w:rFonts w:ascii="新細明體" w:hAnsi="新細明體" w:hint="eastAsia"/>
        </w:rPr>
        <w:t>比如，</w:t>
      </w:r>
      <w:proofErr w:type="gramEnd"/>
      <w:r>
        <w:rPr>
          <w:rFonts w:ascii="新細明體" w:hAnsi="新細明體" w:hint="eastAsia"/>
        </w:rPr>
        <w:t>清潔人員、膳食人員及工友等是否屬之，其雇傭關係適用何種法律，即成問題。為避免此種疑義，某種職位是否屬於國家公務員，委由人事院判斷（國家公務員法第</w:t>
      </w:r>
      <w:r>
        <w:rPr>
          <w:rFonts w:ascii="新細明體" w:hAnsi="新細明體" w:hint="eastAsia"/>
        </w:rPr>
        <w:t>2</w:t>
      </w:r>
      <w:r>
        <w:rPr>
          <w:rFonts w:ascii="新細明體" w:hAnsi="新細明體" w:hint="eastAsia"/>
        </w:rPr>
        <w:t>條</w:t>
      </w:r>
      <w:r>
        <w:rPr>
          <w:rFonts w:ascii="新細明體" w:hAnsi="新細明體" w:hint="eastAsia"/>
        </w:rPr>
        <w:t>第</w:t>
      </w:r>
      <w:r>
        <w:rPr>
          <w:rFonts w:ascii="新細明體" w:hAnsi="新細明體" w:hint="eastAsia"/>
        </w:rPr>
        <w:t>4</w:t>
      </w:r>
      <w:r>
        <w:rPr>
          <w:rFonts w:ascii="新細明體" w:hAnsi="新細明體" w:hint="eastAsia"/>
        </w:rPr>
        <w:t>項）。</w:t>
      </w:r>
      <w:r>
        <w:rPr>
          <w:rFonts w:ascii="新細明體" w:hAnsi="新細明體" w:hint="eastAsia"/>
        </w:rPr>
        <w:t xml:space="preserve"> </w:t>
      </w:r>
      <w:r>
        <w:rPr>
          <w:rFonts w:ascii="新細明體" w:hAnsi="新細明體" w:hint="eastAsia"/>
        </w:rPr>
        <w:t>不過，人事院並不享有「最終判斷權」，具體的國家公務員職位產生爭議時，仍由法院決定。例如，司法</w:t>
      </w:r>
      <w:proofErr w:type="gramStart"/>
      <w:r>
        <w:rPr>
          <w:rFonts w:ascii="新細明體" w:hAnsi="新細明體" w:hint="eastAsia"/>
        </w:rPr>
        <w:t>研</w:t>
      </w:r>
      <w:proofErr w:type="gramEnd"/>
      <w:r>
        <w:rPr>
          <w:rFonts w:ascii="新細明體" w:hAnsi="新細明體" w:hint="eastAsia"/>
        </w:rPr>
        <w:t>修所的司法</w:t>
      </w:r>
      <w:proofErr w:type="gramStart"/>
      <w:r>
        <w:rPr>
          <w:rFonts w:ascii="新細明體" w:hAnsi="新細明體" w:hint="eastAsia"/>
        </w:rPr>
        <w:t>修習生</w:t>
      </w:r>
      <w:proofErr w:type="gramEnd"/>
      <w:r>
        <w:rPr>
          <w:rFonts w:ascii="新細明體" w:hAnsi="新細明體" w:hint="eastAsia"/>
        </w:rPr>
        <w:t>（相當我國的學習司法官）是否為公務員，最高裁判所認為，司法</w:t>
      </w:r>
      <w:proofErr w:type="gramStart"/>
      <w:r>
        <w:rPr>
          <w:rFonts w:ascii="新細明體" w:hAnsi="新細明體" w:hint="eastAsia"/>
        </w:rPr>
        <w:t>修習生並未</w:t>
      </w:r>
      <w:proofErr w:type="gramEnd"/>
      <w:r>
        <w:rPr>
          <w:rFonts w:ascii="新細明體" w:hAnsi="新細明體" w:hint="eastAsia"/>
        </w:rPr>
        <w:t>擔任國家事務，故予否認</w:t>
      </w:r>
      <w:r>
        <w:rPr>
          <w:rStyle w:val="a4"/>
          <w:rFonts w:ascii="新細明體" w:hAnsi="新細明體"/>
        </w:rPr>
        <w:footnoteReference w:id="47"/>
      </w:r>
      <w:r>
        <w:rPr>
          <w:rFonts w:ascii="新細明體" w:hAnsi="新細明體" w:hint="eastAsia"/>
        </w:rPr>
        <w:t>。</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地方公務員法部分，此項法律可分為兩大領域，第一部分，在組織法上規定有關人事機關之相關規範；第二部分則是具體地規定有關地方公務員身分的根本基準。至於公務員的定義，如同國家公務員法一樣，並無積極的定義，僅將地方公務員區分為一般職及</w:t>
      </w:r>
      <w:proofErr w:type="gramStart"/>
      <w:r>
        <w:rPr>
          <w:rFonts w:ascii="新細明體" w:hAnsi="新細明體" w:hint="eastAsia"/>
        </w:rPr>
        <w:t>特別</w:t>
      </w:r>
      <w:proofErr w:type="gramEnd"/>
      <w:r>
        <w:rPr>
          <w:rFonts w:ascii="新細明體" w:hAnsi="新細明體" w:hint="eastAsia"/>
        </w:rPr>
        <w:t>職兩類（地方公務員法第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項）。就此部分將</w:t>
      </w:r>
      <w:r>
        <w:rPr>
          <w:rFonts w:ascii="新細明體" w:hAnsi="新細明體" w:hint="eastAsia"/>
        </w:rPr>
        <w:lastRenderedPageBreak/>
        <w:t>於公務員之種類當中</w:t>
      </w:r>
      <w:r>
        <w:rPr>
          <w:rFonts w:ascii="新細明體" w:hAnsi="新細明體" w:hint="eastAsia"/>
        </w:rPr>
        <w:t>加以說明。</w:t>
      </w:r>
    </w:p>
    <w:p w:rsidR="00000000" w:rsidRDefault="00CB4FE6">
      <w:pPr>
        <w:spacing w:line="360" w:lineRule="auto"/>
        <w:ind w:firstLineChars="50" w:firstLine="120"/>
        <w:jc w:val="both"/>
        <w:rPr>
          <w:rFonts w:ascii="新細明體" w:hAnsi="新細明體" w:hint="eastAsia"/>
        </w:rPr>
      </w:pPr>
    </w:p>
    <w:p w:rsidR="00000000" w:rsidRDefault="00CB4FE6">
      <w:pPr>
        <w:spacing w:line="360" w:lineRule="auto"/>
        <w:ind w:firstLineChars="50" w:firstLine="120"/>
        <w:jc w:val="both"/>
        <w:rPr>
          <w:rFonts w:ascii="新細明體" w:hAnsi="新細明體" w:hint="eastAsia"/>
        </w:rPr>
      </w:pPr>
      <w:r>
        <w:rPr>
          <w:rFonts w:ascii="新細明體" w:hAnsi="新細明體" w:hint="eastAsia"/>
        </w:rPr>
        <w:t>二、公務員勤務關係之性質</w:t>
      </w:r>
    </w:p>
    <w:p w:rsidR="00000000" w:rsidRDefault="00CB4FE6">
      <w:pPr>
        <w:spacing w:line="360" w:lineRule="auto"/>
        <w:ind w:firstLineChars="250" w:firstLine="600"/>
        <w:jc w:val="both"/>
        <w:rPr>
          <w:rFonts w:ascii="新細明體" w:hAnsi="新細明體" w:hint="eastAsia"/>
        </w:rPr>
      </w:pPr>
      <w:r>
        <w:rPr>
          <w:rFonts w:ascii="新細明體" w:hAnsi="新細明體" w:hint="eastAsia"/>
        </w:rPr>
        <w:t>關於公務員勤務關係，在明治憲法時代，受德國公法學的影響，傳統上認為是特別權力關係。但在日本國憲法之下，此項理論因為抵觸法治國家中保障人權的思想而備受批判。有認為公務員勤務關係本質應為法律關係，而非基於權力的命令支配關係</w:t>
      </w:r>
      <w:r>
        <w:rPr>
          <w:rStyle w:val="a4"/>
          <w:rFonts w:ascii="新細明體" w:hAnsi="新細明體"/>
        </w:rPr>
        <w:footnoteReference w:id="48"/>
      </w:r>
      <w:r>
        <w:rPr>
          <w:rFonts w:ascii="新細明體" w:hAnsi="新細明體" w:hint="eastAsia"/>
        </w:rPr>
        <w:t>。而最高裁判所認為，公務員一方面為國民全體服務者，一方面也是勞動者，屬於人權保障的對象</w:t>
      </w:r>
      <w:r>
        <w:rPr>
          <w:rStyle w:val="a4"/>
          <w:rFonts w:ascii="新細明體" w:hAnsi="新細明體"/>
        </w:rPr>
        <w:footnoteReference w:id="49"/>
      </w:r>
      <w:r>
        <w:rPr>
          <w:rFonts w:ascii="新細明體" w:hAnsi="新細明體" w:hint="eastAsia"/>
        </w:rPr>
        <w:t>。</w:t>
      </w:r>
      <w:proofErr w:type="gramStart"/>
      <w:r>
        <w:rPr>
          <w:rFonts w:ascii="新細明體" w:hAnsi="新細明體" w:hint="eastAsia"/>
        </w:rPr>
        <w:t>此外，</w:t>
      </w:r>
      <w:proofErr w:type="gramEnd"/>
      <w:r>
        <w:rPr>
          <w:rFonts w:ascii="新細明體" w:hAnsi="新細明體" w:hint="eastAsia"/>
        </w:rPr>
        <w:t>亦有認為公務員勤務關係與一般私法上之</w:t>
      </w:r>
      <w:proofErr w:type="gramStart"/>
      <w:r>
        <w:rPr>
          <w:rFonts w:ascii="新細明體" w:hAnsi="新細明體" w:hint="eastAsia"/>
        </w:rPr>
        <w:t>僱傭</w:t>
      </w:r>
      <w:proofErr w:type="gramEnd"/>
      <w:r>
        <w:rPr>
          <w:rFonts w:ascii="新細明體" w:hAnsi="新細明體" w:hint="eastAsia"/>
        </w:rPr>
        <w:t>關係無異，為一種勞動契約關係</w:t>
      </w:r>
      <w:r>
        <w:rPr>
          <w:rStyle w:val="a4"/>
          <w:rFonts w:ascii="新細明體" w:hAnsi="新細明體"/>
        </w:rPr>
        <w:footnoteReference w:id="50"/>
      </w:r>
      <w:r>
        <w:rPr>
          <w:rFonts w:ascii="新細明體" w:hAnsi="新細明體" w:hint="eastAsia"/>
        </w:rPr>
        <w:t>。此說認為公務員為憲法上所稱之勞動者，與一般勞動者無異，國家與公務員之相互關係本質上是</w:t>
      </w:r>
      <w:r>
        <w:rPr>
          <w:rFonts w:ascii="新細明體" w:hAnsi="新細明體" w:hint="eastAsia"/>
        </w:rPr>
        <w:t>對等的。不過，亦有認為，在現行法制之下，無論是特別權力關係或勞動契約關係，在解釋論上並無發揮功能的餘地。因為，國家公務員法及地方公務員法就有關</w:t>
      </w:r>
      <w:proofErr w:type="gramStart"/>
      <w:r>
        <w:rPr>
          <w:rFonts w:ascii="新細明體" w:hAnsi="新細明體" w:hint="eastAsia"/>
        </w:rPr>
        <w:t>俸</w:t>
      </w:r>
      <w:proofErr w:type="gramEnd"/>
      <w:r>
        <w:rPr>
          <w:rFonts w:ascii="新細明體" w:hAnsi="新細明體" w:hint="eastAsia"/>
        </w:rPr>
        <w:t>級、勤務時間及其他勞動條件不以契約方式規定，而以法令規定，形成所謂的勤務條件法定主義。公務員勤務關係是有別於全體的一般市民關係，而於部分社會中所形成的，依成文法加以規範的關係</w:t>
      </w:r>
      <w:r>
        <w:rPr>
          <w:rStyle w:val="a4"/>
          <w:rFonts w:ascii="新細明體" w:hAnsi="新細明體"/>
        </w:rPr>
        <w:footnoteReference w:id="51"/>
      </w:r>
      <w:r>
        <w:rPr>
          <w:rFonts w:ascii="新細明體" w:hAnsi="新細明體" w:hint="eastAsia"/>
        </w:rPr>
        <w:t>。</w:t>
      </w:r>
    </w:p>
    <w:p w:rsidR="00000000" w:rsidRDefault="00CB4FE6">
      <w:pPr>
        <w:spacing w:line="360" w:lineRule="auto"/>
        <w:jc w:val="both"/>
        <w:rPr>
          <w:rFonts w:ascii="新細明體" w:hAnsi="新細明體" w:hint="eastAsia"/>
        </w:rPr>
      </w:pPr>
    </w:p>
    <w:p w:rsidR="00000000" w:rsidRDefault="00CB4FE6">
      <w:pPr>
        <w:spacing w:line="360" w:lineRule="auto"/>
        <w:ind w:left="120"/>
        <w:jc w:val="both"/>
        <w:rPr>
          <w:rFonts w:ascii="新細明體" w:hAnsi="新細明體" w:hint="eastAsia"/>
        </w:rPr>
      </w:pPr>
      <w:r>
        <w:rPr>
          <w:rFonts w:ascii="新細明體" w:hAnsi="新細明體" w:hint="eastAsia"/>
        </w:rPr>
        <w:t>三、公務員保障制度之對象</w:t>
      </w:r>
    </w:p>
    <w:p w:rsidR="00000000" w:rsidRDefault="00CB4FE6">
      <w:pPr>
        <w:spacing w:line="360" w:lineRule="auto"/>
        <w:ind w:left="120"/>
        <w:jc w:val="both"/>
        <w:rPr>
          <w:rFonts w:ascii="新細明體" w:hAnsi="新細明體" w:hint="eastAsia"/>
        </w:rPr>
      </w:pPr>
      <w:r>
        <w:rPr>
          <w:rFonts w:ascii="新細明體" w:hAnsi="新細明體" w:hint="eastAsia"/>
        </w:rPr>
        <w:t>（一）法定保障主義</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無論是國家公務員法或地方公務員法皆以任用方式為基準，將公務員區分為「一般職」與「</w:t>
      </w:r>
      <w:proofErr w:type="gramStart"/>
      <w:r>
        <w:rPr>
          <w:rFonts w:ascii="新細明體" w:hAnsi="新細明體" w:hint="eastAsia"/>
        </w:rPr>
        <w:t>特別</w:t>
      </w:r>
      <w:proofErr w:type="gramEnd"/>
      <w:r>
        <w:rPr>
          <w:rFonts w:ascii="新細明體" w:hAnsi="新細明體" w:hint="eastAsia"/>
        </w:rPr>
        <w:t>職」公務員（國家公務員法第</w:t>
      </w:r>
      <w:r>
        <w:rPr>
          <w:rFonts w:ascii="新細明體" w:hAnsi="新細明體" w:hint="eastAsia"/>
        </w:rPr>
        <w:t>2</w:t>
      </w:r>
      <w:r>
        <w:rPr>
          <w:rFonts w:ascii="新細明體" w:hAnsi="新細明體" w:hint="eastAsia"/>
        </w:rPr>
        <w:t>條第</w:t>
      </w:r>
      <w:r>
        <w:rPr>
          <w:rFonts w:ascii="新細明體" w:hAnsi="新細明體" w:hint="eastAsia"/>
        </w:rPr>
        <w:t>1</w:t>
      </w:r>
      <w:r>
        <w:rPr>
          <w:rFonts w:ascii="新細明體" w:hAnsi="新細明體" w:hint="eastAsia"/>
        </w:rPr>
        <w:t>項、地方公務員法第</w:t>
      </w:r>
      <w:r>
        <w:rPr>
          <w:rFonts w:ascii="新細明體" w:hAnsi="新細明體" w:hint="eastAsia"/>
        </w:rPr>
        <w:t>3</w:t>
      </w:r>
      <w:r>
        <w:rPr>
          <w:rFonts w:ascii="新細明體" w:hAnsi="新細明體" w:hint="eastAsia"/>
        </w:rPr>
        <w:t>條</w:t>
      </w:r>
      <w:r>
        <w:rPr>
          <w:rFonts w:ascii="新細明體" w:hAnsi="新細明體" w:hint="eastAsia"/>
        </w:rPr>
        <w:t>第</w:t>
      </w:r>
      <w:r>
        <w:rPr>
          <w:rFonts w:ascii="新細明體" w:hAnsi="新細明體" w:hint="eastAsia"/>
        </w:rPr>
        <w:t>1</w:t>
      </w:r>
      <w:r>
        <w:rPr>
          <w:rFonts w:ascii="新細明體" w:hAnsi="新細明體" w:hint="eastAsia"/>
        </w:rPr>
        <w:t>項）。以國家公務員為例，所謂</w:t>
      </w:r>
      <w:proofErr w:type="gramStart"/>
      <w:r>
        <w:rPr>
          <w:rFonts w:ascii="新細明體" w:hAnsi="新細明體" w:hint="eastAsia"/>
        </w:rPr>
        <w:t>特別</w:t>
      </w:r>
      <w:proofErr w:type="gramEnd"/>
      <w:r>
        <w:rPr>
          <w:rFonts w:ascii="新細明體" w:hAnsi="新細明體" w:hint="eastAsia"/>
        </w:rPr>
        <w:t>職公務員，係限於國家公務員法第</w:t>
      </w:r>
      <w:r>
        <w:rPr>
          <w:rFonts w:ascii="新細明體" w:hAnsi="新細明體" w:hint="eastAsia"/>
        </w:rPr>
        <w:t>2</w:t>
      </w:r>
      <w:r>
        <w:rPr>
          <w:rFonts w:ascii="新細明體" w:hAnsi="新細明體" w:hint="eastAsia"/>
        </w:rPr>
        <w:t>條第</w:t>
      </w:r>
      <w:r>
        <w:rPr>
          <w:rFonts w:ascii="新細明體" w:hAnsi="新細明體" w:hint="eastAsia"/>
        </w:rPr>
        <w:t>3</w:t>
      </w:r>
      <w:r>
        <w:rPr>
          <w:rFonts w:ascii="新細明體" w:hAnsi="新細明體" w:hint="eastAsia"/>
        </w:rPr>
        <w:t>項所限定列舉的職務，除此之外則屬一般職公務員。特別職包括擔任政務及其他自由任用的職位（內閣總理大臣、國務大臣、副大臣及其他政務官等）、</w:t>
      </w:r>
      <w:r>
        <w:rPr>
          <w:rFonts w:ascii="新細明體" w:hAnsi="新細明體" w:hint="eastAsia"/>
        </w:rPr>
        <w:lastRenderedPageBreak/>
        <w:t>依選舉或經國會</w:t>
      </w:r>
      <w:proofErr w:type="gramStart"/>
      <w:r>
        <w:rPr>
          <w:rFonts w:ascii="新細明體" w:hAnsi="新細明體" w:hint="eastAsia"/>
        </w:rPr>
        <w:t>一</w:t>
      </w:r>
      <w:proofErr w:type="gramEnd"/>
      <w:r>
        <w:rPr>
          <w:rFonts w:ascii="新細明體" w:hAnsi="新細明體" w:hint="eastAsia"/>
        </w:rPr>
        <w:t>院或兩院同意任命之職位、依照權力分立原則不屬於行政機關之職位（國會職員、法院職員等）、與文官作不同規定的職位（防衛省職位），以及其他於任免於有特別規範者（聯合國教育、科學及文化組織國內委員會委員）。所以如此區分的意義在於，國家公務員法之規定原則上僅適用於一般職公務員，比如有關政治行為禁止</w:t>
      </w:r>
      <w:r>
        <w:rPr>
          <w:rFonts w:ascii="新細明體" w:hAnsi="新細明體" w:hint="eastAsia"/>
        </w:rPr>
        <w:t>等權利限制規定，基本上不適用在</w:t>
      </w:r>
      <w:proofErr w:type="gramStart"/>
      <w:r>
        <w:rPr>
          <w:rFonts w:ascii="新細明體" w:hAnsi="新細明體" w:hint="eastAsia"/>
        </w:rPr>
        <w:t>特別</w:t>
      </w:r>
      <w:proofErr w:type="gramEnd"/>
      <w:r>
        <w:rPr>
          <w:rFonts w:ascii="新細明體" w:hAnsi="新細明體" w:hint="eastAsia"/>
        </w:rPr>
        <w:t>職公務員。若有某項職務究竟屬於「一般職」或「</w:t>
      </w:r>
      <w:proofErr w:type="gramStart"/>
      <w:r>
        <w:rPr>
          <w:rFonts w:ascii="新細明體" w:hAnsi="新細明體" w:hint="eastAsia"/>
        </w:rPr>
        <w:t>特別</w:t>
      </w:r>
      <w:proofErr w:type="gramEnd"/>
      <w:r>
        <w:rPr>
          <w:rFonts w:ascii="新細明體" w:hAnsi="新細明體" w:hint="eastAsia"/>
        </w:rPr>
        <w:t>職」不明確時，依國家公務員法第</w:t>
      </w:r>
      <w:r>
        <w:rPr>
          <w:rFonts w:ascii="新細明體" w:hAnsi="新細明體" w:hint="eastAsia"/>
        </w:rPr>
        <w:t>2</w:t>
      </w:r>
      <w:r>
        <w:rPr>
          <w:rFonts w:ascii="新細明體" w:hAnsi="新細明體" w:hint="eastAsia"/>
        </w:rPr>
        <w:t>條第</w:t>
      </w:r>
      <w:r>
        <w:rPr>
          <w:rFonts w:ascii="新細明體" w:hAnsi="新細明體" w:hint="eastAsia"/>
        </w:rPr>
        <w:t>4</w:t>
      </w:r>
      <w:r>
        <w:rPr>
          <w:rFonts w:ascii="新細明體" w:hAnsi="新細明體" w:hint="eastAsia"/>
        </w:rPr>
        <w:t>項規定，則由人事院認定。特別職公務員因為其職務內容之特殊性等，故其權利義務以其他法律另行規定。至於何者應歸類為</w:t>
      </w:r>
      <w:proofErr w:type="gramStart"/>
      <w:r>
        <w:rPr>
          <w:rFonts w:ascii="新細明體" w:hAnsi="新細明體" w:hint="eastAsia"/>
        </w:rPr>
        <w:t>特別</w:t>
      </w:r>
      <w:proofErr w:type="gramEnd"/>
      <w:r>
        <w:rPr>
          <w:rFonts w:ascii="新細明體" w:hAnsi="新細明體" w:hint="eastAsia"/>
        </w:rPr>
        <w:t>職，並非全有嚴格之理論依據，有些職務列為</w:t>
      </w:r>
      <w:proofErr w:type="gramStart"/>
      <w:r>
        <w:rPr>
          <w:rFonts w:ascii="新細明體" w:hAnsi="新細明體" w:hint="eastAsia"/>
        </w:rPr>
        <w:t>特別</w:t>
      </w:r>
      <w:proofErr w:type="gramEnd"/>
      <w:r>
        <w:rPr>
          <w:rFonts w:ascii="新細明體" w:hAnsi="新細明體" w:hint="eastAsia"/>
        </w:rPr>
        <w:t>職並無合理的根據</w:t>
      </w:r>
      <w:r>
        <w:rPr>
          <w:rStyle w:val="a4"/>
          <w:rFonts w:ascii="新細明體" w:hAnsi="新細明體"/>
        </w:rPr>
        <w:footnoteReference w:id="52"/>
      </w:r>
      <w:r>
        <w:rPr>
          <w:rFonts w:ascii="新細明體" w:hAnsi="新細明體" w:hint="eastAsia"/>
        </w:rPr>
        <w:t>。因此，</w:t>
      </w:r>
      <w:proofErr w:type="gramStart"/>
      <w:r>
        <w:rPr>
          <w:rFonts w:ascii="新細明體" w:hAnsi="新細明體" w:hint="eastAsia"/>
        </w:rPr>
        <w:t>特別</w:t>
      </w:r>
      <w:proofErr w:type="gramEnd"/>
      <w:r>
        <w:rPr>
          <w:rFonts w:ascii="新細明體" w:hAnsi="新細明體" w:hint="eastAsia"/>
        </w:rPr>
        <w:t>職制度也成為前述改革大綱中列為亟須檢討之問題。</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至於地方公務員法中的</w:t>
      </w:r>
      <w:proofErr w:type="gramStart"/>
      <w:r>
        <w:rPr>
          <w:rFonts w:ascii="新細明體" w:hAnsi="新細明體" w:hint="eastAsia"/>
        </w:rPr>
        <w:t>特別</w:t>
      </w:r>
      <w:proofErr w:type="gramEnd"/>
      <w:r>
        <w:rPr>
          <w:rFonts w:ascii="新細明體" w:hAnsi="新細明體" w:hint="eastAsia"/>
        </w:rPr>
        <w:t>職，則於第</w:t>
      </w:r>
      <w:r>
        <w:rPr>
          <w:rFonts w:ascii="新細明體" w:hAnsi="新細明體" w:hint="eastAsia"/>
        </w:rPr>
        <w:t>3</w:t>
      </w:r>
      <w:r>
        <w:rPr>
          <w:rFonts w:ascii="新細明體" w:hAnsi="新細明體" w:hint="eastAsia"/>
        </w:rPr>
        <w:t>條第</w:t>
      </w:r>
      <w:r>
        <w:rPr>
          <w:rFonts w:ascii="新細明體" w:hAnsi="新細明體" w:hint="eastAsia"/>
        </w:rPr>
        <w:t>3</w:t>
      </w:r>
      <w:r>
        <w:rPr>
          <w:rFonts w:ascii="新細明體" w:hAnsi="新細明體" w:hint="eastAsia"/>
        </w:rPr>
        <w:t>項中加以規定，可分為三大種類，包括：</w:t>
      </w:r>
      <w:proofErr w:type="gramStart"/>
      <w:r>
        <w:rPr>
          <w:rFonts w:ascii="新細明體" w:hAnsi="新細明體" w:hint="eastAsia"/>
        </w:rPr>
        <w:t>依住民</w:t>
      </w:r>
      <w:proofErr w:type="gramEnd"/>
      <w:r>
        <w:rPr>
          <w:rFonts w:ascii="新細明體" w:hAnsi="新細明體" w:hint="eastAsia"/>
        </w:rPr>
        <w:t>或其代表之信任而就任之職位（例如，地方自治團體的首長、副首長及議員等）、</w:t>
      </w:r>
      <w:r>
        <w:rPr>
          <w:rFonts w:ascii="新細明體" w:hAnsi="新細明體" w:hint="eastAsia"/>
        </w:rPr>
        <w:t>非專任職位（並非專任從事地方自治團體事務，具有特定知識、經驗而得隨時參與地方自治團體行政者，例如，審議會委員、臨時或兼任顧問、兼任消防團員或水防團員）以及自由任用職位（非依績效主義原則，而依特定知識、經驗或人際關係，基於政策考量加以任用的職位，例如，地方公營事業的經營者）。而地方公務員法中一般職與</w:t>
      </w:r>
      <w:proofErr w:type="gramStart"/>
      <w:r>
        <w:rPr>
          <w:rFonts w:ascii="新細明體" w:hAnsi="新細明體" w:hint="eastAsia"/>
        </w:rPr>
        <w:t>特別</w:t>
      </w:r>
      <w:proofErr w:type="gramEnd"/>
      <w:r>
        <w:rPr>
          <w:rFonts w:ascii="新細明體" w:hAnsi="新細明體" w:hint="eastAsia"/>
        </w:rPr>
        <w:t>職的區別，其理由與國家公務員法相同。</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除前述國家公務員法或地方公務員法所列舉的</w:t>
      </w:r>
      <w:proofErr w:type="gramStart"/>
      <w:r>
        <w:rPr>
          <w:rFonts w:ascii="新細明體" w:hAnsi="新細明體" w:hint="eastAsia"/>
        </w:rPr>
        <w:t>特別</w:t>
      </w:r>
      <w:proofErr w:type="gramEnd"/>
      <w:r>
        <w:rPr>
          <w:rFonts w:ascii="新細明體" w:hAnsi="新細明體" w:hint="eastAsia"/>
        </w:rPr>
        <w:t>職之外，其他則屬於一般職公務員，例如，常務次長、局長等，係屬於職業公務員。當然，國家公務員法或地方公務員法係屬於一般性規定，針對</w:t>
      </w:r>
      <w:r>
        <w:rPr>
          <w:rFonts w:ascii="新細明體" w:hAnsi="新細明體" w:hint="eastAsia"/>
        </w:rPr>
        <w:t>特定獨立行政法人之公務員、教育公務員、外務公務員及檢察官等，則依特別法律規範其身分關係</w:t>
      </w:r>
      <w:r>
        <w:rPr>
          <w:rStyle w:val="a4"/>
          <w:rFonts w:ascii="新細明體" w:hAnsi="新細明體"/>
        </w:rPr>
        <w:footnoteReference w:id="53"/>
      </w:r>
      <w:r>
        <w:rPr>
          <w:rFonts w:ascii="新細明體" w:hAnsi="新細明體" w:hint="eastAsia"/>
        </w:rPr>
        <w:t>。換言之，日本公務員之保障對象，除國家公務員法或地方公務員法所規範之公務員之外，還有其他特別法規定。</w:t>
      </w:r>
    </w:p>
    <w:p w:rsidR="00000000" w:rsidRDefault="00CB4FE6">
      <w:pPr>
        <w:spacing w:line="360" w:lineRule="auto"/>
        <w:jc w:val="both"/>
        <w:rPr>
          <w:rFonts w:ascii="新細明體" w:hAnsi="新細明體" w:hint="eastAsia"/>
        </w:rPr>
      </w:pPr>
    </w:p>
    <w:p w:rsidR="00000000" w:rsidRDefault="00CB4FE6">
      <w:pPr>
        <w:spacing w:line="360" w:lineRule="auto"/>
        <w:jc w:val="both"/>
        <w:rPr>
          <w:rFonts w:ascii="新細明體" w:hAnsi="新細明體" w:hint="eastAsia"/>
        </w:rPr>
      </w:pPr>
      <w:r>
        <w:rPr>
          <w:rFonts w:ascii="新細明體" w:hAnsi="新細明體" w:hint="eastAsia"/>
        </w:rPr>
        <w:t>（二）官民人才交流中之保障對象</w:t>
      </w:r>
    </w:p>
    <w:p w:rsidR="00000000" w:rsidRDefault="00CB4FE6">
      <w:pPr>
        <w:spacing w:line="360" w:lineRule="auto"/>
        <w:ind w:firstLineChars="200" w:firstLine="480"/>
        <w:jc w:val="both"/>
        <w:rPr>
          <w:rFonts w:ascii="新細明體" w:hAnsi="新細明體" w:hint="eastAsia"/>
        </w:rPr>
      </w:pPr>
      <w:proofErr w:type="gramStart"/>
      <w:r>
        <w:rPr>
          <w:rFonts w:hint="eastAsia"/>
        </w:rPr>
        <w:t>此外，</w:t>
      </w:r>
      <w:proofErr w:type="gramEnd"/>
      <w:r>
        <w:rPr>
          <w:rFonts w:hint="eastAsia"/>
        </w:rPr>
        <w:t>日本的行政改革中，於「公務員制度改革大</w:t>
      </w:r>
      <w:r>
        <w:rPr>
          <w:rFonts w:ascii="新細明體" w:hAnsi="新細明體" w:hint="eastAsia"/>
        </w:rPr>
        <w:t>綱</w:t>
      </w:r>
      <w:r>
        <w:rPr>
          <w:rFonts w:hint="eastAsia"/>
        </w:rPr>
        <w:t>」當中將「確保人才多樣化等」列為改革重點。所以在中央政府層面，國會依此大綱通過「國家與民間企業人事交流法</w:t>
      </w:r>
      <w:proofErr w:type="gramStart"/>
      <w:r>
        <w:rPr>
          <w:rFonts w:hint="eastAsia"/>
        </w:rPr>
        <w:t>（</w:t>
      </w:r>
      <w:proofErr w:type="gramEnd"/>
      <w:r>
        <w:rPr>
          <w:rFonts w:hint="eastAsia"/>
        </w:rPr>
        <w:t>原文名稱為「國</w:t>
      </w:r>
      <w:r>
        <w:rPr>
          <w:rFonts w:ascii="新細明體" w:hAnsi="新細明體" w:hint="eastAsia"/>
        </w:rPr>
        <w:t>と</w:t>
      </w:r>
      <w:r>
        <w:rPr>
          <w:rFonts w:hint="eastAsia"/>
        </w:rPr>
        <w:t>民間企業</w:t>
      </w:r>
      <w:r>
        <w:rPr>
          <w:rFonts w:ascii="新細明體" w:hAnsi="新細明體" w:hint="eastAsia"/>
        </w:rPr>
        <w:t>との間の人事交流に關する法律</w:t>
      </w:r>
      <w:r>
        <w:rPr>
          <w:rFonts w:hint="eastAsia"/>
        </w:rPr>
        <w:t>」</w:t>
      </w:r>
      <w:r>
        <w:rPr>
          <w:rStyle w:val="a4"/>
        </w:rPr>
        <w:footnoteReference w:id="54"/>
      </w:r>
      <w:r>
        <w:rPr>
          <w:rFonts w:hint="eastAsia"/>
        </w:rPr>
        <w:t>，以下簡稱人事交流法）」，規範官民間人事交流之法定程序</w:t>
      </w:r>
      <w:r>
        <w:rPr>
          <w:rStyle w:val="a4"/>
        </w:rPr>
        <w:footnoteReference w:id="55"/>
      </w:r>
      <w:r>
        <w:rPr>
          <w:rFonts w:hint="eastAsia"/>
        </w:rPr>
        <w:t>。嗣後，</w:t>
      </w:r>
      <w:r>
        <w:rPr>
          <w:rFonts w:hint="eastAsia"/>
        </w:rPr>
        <w:t xml:space="preserve"> 2007</w:t>
      </w:r>
      <w:r>
        <w:rPr>
          <w:rFonts w:hint="eastAsia"/>
        </w:rPr>
        <w:t>年</w:t>
      </w:r>
      <w:proofErr w:type="gramStart"/>
      <w:r>
        <w:t>６</w:t>
      </w:r>
      <w:proofErr w:type="gramEnd"/>
      <w:r>
        <w:t>月</w:t>
      </w:r>
      <w:r>
        <w:rPr>
          <w:rFonts w:hint="eastAsia"/>
        </w:rPr>
        <w:t>30</w:t>
      </w:r>
      <w:r>
        <w:rPr>
          <w:rFonts w:hint="eastAsia"/>
        </w:rPr>
        <w:t>日又通過</w:t>
      </w:r>
      <w:r>
        <w:t>「</w:t>
      </w:r>
      <w:r>
        <w:rPr>
          <w:rFonts w:hint="eastAsia"/>
        </w:rPr>
        <w:t>國家公務員法部分修正法」，並於</w:t>
      </w:r>
      <w:r>
        <w:rPr>
          <w:rFonts w:hint="eastAsia"/>
        </w:rPr>
        <w:t>7</w:t>
      </w:r>
      <w:r>
        <w:t>月</w:t>
      </w:r>
      <w:r>
        <w:rPr>
          <w:rFonts w:hint="eastAsia"/>
        </w:rPr>
        <w:t>6</w:t>
      </w:r>
      <w:r>
        <w:rPr>
          <w:rFonts w:hint="eastAsia"/>
        </w:rPr>
        <w:t>日公布。主要內容包括</w:t>
      </w:r>
      <w:r>
        <w:t>導入人事評</w:t>
      </w:r>
      <w:r>
        <w:rPr>
          <w:rFonts w:hint="eastAsia"/>
        </w:rPr>
        <w:t>價</w:t>
      </w:r>
      <w:r>
        <w:t>制度、</w:t>
      </w:r>
      <w:r>
        <w:rPr>
          <w:rFonts w:hint="eastAsia"/>
        </w:rPr>
        <w:t>基於</w:t>
      </w:r>
      <w:r>
        <w:t>能力及</w:t>
      </w:r>
      <w:r>
        <w:rPr>
          <w:rFonts w:hint="eastAsia"/>
        </w:rPr>
        <w:t>實</w:t>
      </w:r>
      <w:r>
        <w:t>績</w:t>
      </w:r>
      <w:r>
        <w:rPr>
          <w:rFonts w:hint="eastAsia"/>
        </w:rPr>
        <w:t>之</w:t>
      </w:r>
      <w:r>
        <w:t>人事管理、</w:t>
      </w:r>
      <w:r>
        <w:rPr>
          <w:rFonts w:hint="eastAsia"/>
        </w:rPr>
        <w:t>退職管理等，其中成立</w:t>
      </w:r>
      <w:r>
        <w:t>官民人材交流</w:t>
      </w:r>
      <w:r>
        <w:rPr>
          <w:rFonts w:hint="eastAsia"/>
        </w:rPr>
        <w:t>中心處理</w:t>
      </w:r>
      <w:r>
        <w:t>官民人材交流</w:t>
      </w:r>
      <w:r>
        <w:rPr>
          <w:rFonts w:hint="eastAsia"/>
        </w:rPr>
        <w:t>事宜屬於重點之</w:t>
      </w:r>
      <w:proofErr w:type="gramStart"/>
      <w:r>
        <w:rPr>
          <w:rFonts w:hint="eastAsia"/>
        </w:rPr>
        <w:t>一</w:t>
      </w:r>
      <w:proofErr w:type="gramEnd"/>
      <w:r>
        <w:rPr>
          <w:rFonts w:hint="eastAsia"/>
        </w:rPr>
        <w:t>。在介紹</w:t>
      </w:r>
      <w:r>
        <w:rPr>
          <w:rFonts w:ascii="新細明體" w:hAnsi="新細明體" w:hint="eastAsia"/>
        </w:rPr>
        <w:t>官民人才交流時的保障問題，也簡要說明其目的與範圍。</w:t>
      </w:r>
    </w:p>
    <w:p w:rsidR="00000000" w:rsidRDefault="00CB4FE6">
      <w:pPr>
        <w:spacing w:line="360" w:lineRule="auto"/>
        <w:jc w:val="both"/>
        <w:rPr>
          <w:rFonts w:ascii="新細明體" w:hAnsi="新細明體" w:hint="eastAsia"/>
        </w:rPr>
      </w:pPr>
      <w:r>
        <w:rPr>
          <w:rFonts w:ascii="新細明體" w:hAnsi="新細明體" w:hint="eastAsia"/>
        </w:rPr>
        <w:t>1</w:t>
      </w:r>
      <w:r>
        <w:rPr>
          <w:rFonts w:ascii="新細明體" w:hAnsi="新細明體" w:hint="eastAsia"/>
        </w:rPr>
        <w:t>、人事交流之目的與類型</w:t>
      </w:r>
    </w:p>
    <w:p w:rsidR="00000000" w:rsidRDefault="00CB4FE6">
      <w:pPr>
        <w:spacing w:line="360" w:lineRule="auto"/>
        <w:ind w:firstLineChars="200" w:firstLine="480"/>
        <w:jc w:val="both"/>
        <w:rPr>
          <w:rFonts w:hint="eastAsia"/>
        </w:rPr>
      </w:pPr>
      <w:r>
        <w:rPr>
          <w:rFonts w:hint="eastAsia"/>
        </w:rPr>
        <w:t>人事交流之目的係為確保公務之公正履行，讓民間企業接受國家公務員擔任其從業人員，以及民間企業之從業人員擔任國家公務員，達到組成原理相異之組織間充分的人才交流。國家希望透過此項制度，讓行政運作中擔任重要職務之公務員經由體驗民間企業實務得以體會出效率</w:t>
      </w:r>
      <w:r>
        <w:rPr>
          <w:rFonts w:hint="eastAsia"/>
        </w:rPr>
        <w:t>及機動之業務執行方式，並且，藉由深入理解民間企業之相關實情，培養具有柔軟且確實因應行政課題之必要知識與能力的人才（人事交流法第</w:t>
      </w:r>
      <w:r>
        <w:rPr>
          <w:rFonts w:hint="eastAsia"/>
        </w:rPr>
        <w:t>1</w:t>
      </w:r>
      <w:r>
        <w:rPr>
          <w:rFonts w:hint="eastAsia"/>
        </w:rPr>
        <w:t>條）。因交流方向不同，故又區分為由官至民的「交流派遣」與</w:t>
      </w:r>
      <w:proofErr w:type="gramStart"/>
      <w:r>
        <w:rPr>
          <w:rFonts w:hint="eastAsia"/>
        </w:rPr>
        <w:t>由民至官</w:t>
      </w:r>
      <w:proofErr w:type="gramEnd"/>
      <w:r>
        <w:rPr>
          <w:rFonts w:hint="eastAsia"/>
        </w:rPr>
        <w:t>的「交流採用」兩項類型。因為本研究計畫主要是探討公務員之兼職與借調問題，故人事交流部分之介紹即以「交流派遣」為限。</w:t>
      </w:r>
    </w:p>
    <w:p w:rsidR="00000000" w:rsidRDefault="00CB4FE6">
      <w:pPr>
        <w:spacing w:line="360" w:lineRule="auto"/>
        <w:jc w:val="both"/>
        <w:rPr>
          <w:rFonts w:hint="eastAsia"/>
        </w:rPr>
      </w:pPr>
      <w:r>
        <w:rPr>
          <w:rFonts w:hint="eastAsia"/>
        </w:rPr>
        <w:t>2</w:t>
      </w:r>
      <w:r>
        <w:rPr>
          <w:rFonts w:hint="eastAsia"/>
        </w:rPr>
        <w:t>、交流派遣之意義與範圍</w:t>
      </w:r>
    </w:p>
    <w:p w:rsidR="00000000" w:rsidRDefault="00CB4FE6">
      <w:pPr>
        <w:spacing w:line="360" w:lineRule="auto"/>
        <w:ind w:firstLineChars="200" w:firstLine="480"/>
        <w:jc w:val="both"/>
        <w:rPr>
          <w:rFonts w:hint="eastAsia"/>
        </w:rPr>
      </w:pPr>
      <w:r>
        <w:rPr>
          <w:rFonts w:hint="eastAsia"/>
        </w:rPr>
        <w:t>所謂交流派遣，係指國家公務員於一定期間內被派遣到民間企業，受雇擔任其從業人員，執行其業務。在此所指之公務員，主要係指國家公務員法第</w:t>
      </w:r>
      <w:r>
        <w:rPr>
          <w:rFonts w:hint="eastAsia"/>
        </w:rPr>
        <w:t>2</w:t>
      </w:r>
      <w:r>
        <w:rPr>
          <w:rFonts w:hint="eastAsia"/>
        </w:rPr>
        <w:t>條規定之一般職公務員。但是，臨時公務員及限定任</w:t>
      </w:r>
      <w:r>
        <w:rPr>
          <w:rFonts w:hint="eastAsia"/>
        </w:rPr>
        <w:t>期之常勤公務員、非常勤公務員、附條件採用期間中之公務員、延長勤務公務員、休職者、停職者、派遣法第</w:t>
      </w:r>
      <w:r>
        <w:rPr>
          <w:rFonts w:hint="eastAsia"/>
        </w:rPr>
        <w:t>3</w:t>
      </w:r>
      <w:r>
        <w:rPr>
          <w:rFonts w:hint="eastAsia"/>
        </w:rPr>
        <w:lastRenderedPageBreak/>
        <w:t>條所規定之派遣公務員、法科大學派遣法第</w:t>
      </w:r>
      <w:r>
        <w:rPr>
          <w:rFonts w:hint="eastAsia"/>
        </w:rPr>
        <w:t>4</w:t>
      </w:r>
      <w:r>
        <w:rPr>
          <w:rFonts w:hint="eastAsia"/>
        </w:rPr>
        <w:t>條第</w:t>
      </w:r>
      <w:r>
        <w:rPr>
          <w:rFonts w:hint="eastAsia"/>
        </w:rPr>
        <w:t>3</w:t>
      </w:r>
      <w:r>
        <w:rPr>
          <w:rFonts w:hint="eastAsia"/>
        </w:rPr>
        <w:t>項及第</w:t>
      </w:r>
      <w:r>
        <w:rPr>
          <w:rFonts w:hint="eastAsia"/>
        </w:rPr>
        <w:t>11</w:t>
      </w:r>
      <w:r>
        <w:rPr>
          <w:rFonts w:hint="eastAsia"/>
        </w:rPr>
        <w:t>條第</w:t>
      </w:r>
      <w:r>
        <w:rPr>
          <w:rFonts w:hint="eastAsia"/>
        </w:rPr>
        <w:t>1</w:t>
      </w:r>
      <w:r>
        <w:rPr>
          <w:rFonts w:hint="eastAsia"/>
        </w:rPr>
        <w:t>項所規定被派遣之公務員，以及「候補法官及檢察官之律師職務經驗法」第</w:t>
      </w:r>
      <w:r>
        <w:rPr>
          <w:rFonts w:hint="eastAsia"/>
        </w:rPr>
        <w:t>2</w:t>
      </w:r>
      <w:r>
        <w:rPr>
          <w:rFonts w:hint="eastAsia"/>
        </w:rPr>
        <w:t>條第</w:t>
      </w:r>
      <w:r>
        <w:rPr>
          <w:rFonts w:hint="eastAsia"/>
        </w:rPr>
        <w:t>4</w:t>
      </w:r>
      <w:r>
        <w:rPr>
          <w:rFonts w:hint="eastAsia"/>
        </w:rPr>
        <w:t>項所規定執行律師職務之公務員等則排除於派遣範圍之</w:t>
      </w:r>
      <w:proofErr w:type="gramStart"/>
      <w:r>
        <w:rPr>
          <w:rFonts w:hint="eastAsia"/>
        </w:rPr>
        <w:t>外</w:t>
      </w:r>
      <w:proofErr w:type="gramEnd"/>
      <w:r>
        <w:rPr>
          <w:rStyle w:val="a4"/>
        </w:rPr>
        <w:footnoteReference w:id="56"/>
      </w:r>
      <w:r>
        <w:rPr>
          <w:rFonts w:hint="eastAsia"/>
        </w:rPr>
        <w:t>。而「民間企業」則包括株式會社、</w:t>
      </w:r>
      <w:proofErr w:type="gramStart"/>
      <w:r>
        <w:rPr>
          <w:rFonts w:hint="eastAsia"/>
        </w:rPr>
        <w:t>合名會社</w:t>
      </w:r>
      <w:proofErr w:type="gramEnd"/>
      <w:r>
        <w:rPr>
          <w:rFonts w:hint="eastAsia"/>
        </w:rPr>
        <w:t>、合資會社、合同會社、信用金庫、相互會社、其他事業營運之必要經費的主要來源係從事業收益之本國法人（資本之全部或一部由國家或地方自治團體所出資者除外）及與其他事業具有競爭關係者、外國法人及</w:t>
      </w:r>
      <w:r>
        <w:rPr>
          <w:rFonts w:hint="eastAsia"/>
        </w:rPr>
        <w:t>其他與前述各款法人類似經人事院指定者（人事交流法第</w:t>
      </w:r>
      <w:r>
        <w:rPr>
          <w:rFonts w:hint="eastAsia"/>
        </w:rPr>
        <w:t>2</w:t>
      </w:r>
      <w:r>
        <w:rPr>
          <w:rFonts w:hint="eastAsia"/>
        </w:rPr>
        <w:t>條）。</w:t>
      </w:r>
    </w:p>
    <w:p w:rsidR="00000000" w:rsidRDefault="00CB4FE6">
      <w:pPr>
        <w:spacing w:line="360" w:lineRule="auto"/>
        <w:ind w:firstLineChars="200" w:firstLine="480"/>
        <w:jc w:val="both"/>
        <w:rPr>
          <w:rFonts w:hint="eastAsia"/>
        </w:rPr>
      </w:pPr>
      <w:r>
        <w:rPr>
          <w:rFonts w:hint="eastAsia"/>
        </w:rPr>
        <w:t>關於交流基準</w:t>
      </w:r>
      <w:r>
        <w:rPr>
          <w:rStyle w:val="a4"/>
        </w:rPr>
        <w:footnoteReference w:id="57"/>
      </w:r>
      <w:r>
        <w:rPr>
          <w:rFonts w:hint="eastAsia"/>
        </w:rPr>
        <w:t>及交流審查會</w:t>
      </w:r>
      <w:r>
        <w:rPr>
          <w:rStyle w:val="a4"/>
        </w:rPr>
        <w:footnoteReference w:id="58"/>
      </w:r>
      <w:r>
        <w:rPr>
          <w:rFonts w:hint="eastAsia"/>
        </w:rPr>
        <w:t>係由人事院訂定。人事院依其所定人事院規則招募希望人事交流之民間企業，並向各省廳首長</w:t>
      </w:r>
      <w:r>
        <w:rPr>
          <w:rStyle w:val="a4"/>
        </w:rPr>
        <w:footnoteReference w:id="59"/>
      </w:r>
      <w:r>
        <w:rPr>
          <w:rFonts w:hint="eastAsia"/>
        </w:rPr>
        <w:t>定期地或應其要求提示應募之民間企業名單與條件（人事交流法第</w:t>
      </w:r>
      <w:r>
        <w:rPr>
          <w:rFonts w:hint="eastAsia"/>
        </w:rPr>
        <w:t>6</w:t>
      </w:r>
      <w:r>
        <w:rPr>
          <w:rFonts w:hint="eastAsia"/>
        </w:rPr>
        <w:t>條）。各省廳首長則依人事院規則訂定交流派遣實施計畫，以書面向人事院提出，請求將所屬公務員交流派遣至前述名單中之民間企業。提出前述請求前應獲得該公務員之同意（人事交流法第</w:t>
      </w:r>
      <w:r>
        <w:rPr>
          <w:rFonts w:hint="eastAsia"/>
        </w:rPr>
        <w:t>7</w:t>
      </w:r>
      <w:r>
        <w:rPr>
          <w:rFonts w:hint="eastAsia"/>
        </w:rPr>
        <w:t>條）。民間企業受雇期間仍保有國家公務員身分，但不再執行國家職務，必須專注於民間企業之業務。不過，交流派遣不是</w:t>
      </w:r>
      <w:proofErr w:type="gramStart"/>
      <w:r>
        <w:rPr>
          <w:rFonts w:hint="eastAsia"/>
        </w:rPr>
        <w:t>由</w:t>
      </w:r>
      <w:r>
        <w:rPr>
          <w:rFonts w:hint="eastAsia"/>
        </w:rPr>
        <w:t>各府省</w:t>
      </w:r>
      <w:proofErr w:type="gramEnd"/>
      <w:r>
        <w:rPr>
          <w:rFonts w:hint="eastAsia"/>
        </w:rPr>
        <w:t>之公務員直接借調予民間企業，而是這些公務員先借調至人事院，再以人事院公務員身分派遣至民間企業。服務期間原則上以三年為限，必要時得延長至五年（人事交流法第</w:t>
      </w:r>
      <w:r>
        <w:rPr>
          <w:rFonts w:hint="eastAsia"/>
        </w:rPr>
        <w:t>8</w:t>
      </w:r>
      <w:r>
        <w:rPr>
          <w:rFonts w:hint="eastAsia"/>
        </w:rPr>
        <w:t>條）。服務條件，除應遵守國家公務員之各種義務外，禁止在派遣之前從事向任職府省等申請許可之業務，並禁止利用作為國家公務員所具影響力之行為。至於待遇，則由民間企業支付薪資，國家不再支給俸給（人事交流法第</w:t>
      </w:r>
      <w:r>
        <w:rPr>
          <w:rFonts w:hint="eastAsia"/>
        </w:rPr>
        <w:t>11</w:t>
      </w:r>
      <w:r>
        <w:rPr>
          <w:rFonts w:hint="eastAsia"/>
        </w:rPr>
        <w:t>條）。其他勞動條件由人事院及提出申請之民間企業協議決定。福利部分，除年金及雇用保險之外其他適用於民間企業從業人員之各項制度亦適用之。交流派遣公務員於期</w:t>
      </w:r>
      <w:r>
        <w:rPr>
          <w:rFonts w:hint="eastAsia"/>
        </w:rPr>
        <w:t>滿後復職，若交流派遣公務員於派遣前該企業喪失人事院規則所定之資格，或是交流派遣不應繼續或不適當時，應儘速將交流派遣公務員復職（人事交流法第</w:t>
      </w:r>
      <w:r>
        <w:rPr>
          <w:rFonts w:hint="eastAsia"/>
        </w:rPr>
        <w:t>12</w:t>
      </w:r>
      <w:r>
        <w:rPr>
          <w:rFonts w:hint="eastAsia"/>
        </w:rPr>
        <w:t>條）。</w:t>
      </w:r>
    </w:p>
    <w:p w:rsidR="00000000" w:rsidRDefault="00CB4FE6">
      <w:pPr>
        <w:spacing w:line="360" w:lineRule="auto"/>
        <w:jc w:val="both"/>
        <w:rPr>
          <w:rFonts w:ascii="新細明體" w:hAnsi="新細明體" w:hint="eastAsia"/>
        </w:rPr>
      </w:pPr>
      <w:r>
        <w:rPr>
          <w:rFonts w:ascii="新細明體" w:hAnsi="新細明體" w:hint="eastAsia"/>
        </w:rPr>
        <w:lastRenderedPageBreak/>
        <w:t>3</w:t>
      </w:r>
      <w:r>
        <w:rPr>
          <w:rFonts w:ascii="新細明體" w:hAnsi="新細明體" w:hint="eastAsia"/>
        </w:rPr>
        <w:t>、保障問題</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由人事交流之目的、類型與範圍可知，官民人才交流中，「從國家到企業」是</w:t>
      </w:r>
      <w:r>
        <w:rPr>
          <w:rFonts w:hint="eastAsia"/>
        </w:rPr>
        <w:t>以「交流派遣」為限，原則上以國家公務員法第</w:t>
      </w:r>
      <w:r>
        <w:rPr>
          <w:rFonts w:hint="eastAsia"/>
        </w:rPr>
        <w:t>2</w:t>
      </w:r>
      <w:r>
        <w:rPr>
          <w:rFonts w:hint="eastAsia"/>
        </w:rPr>
        <w:t>條規定之一般職公務員為主要對象，若其他法律有特別規定則從其規定。這些派遣至民間企業或其他團體的公務員，其所享有之保障並未改變，換言之，業務轉換，身分並不改變。至於「從企業</w:t>
      </w:r>
      <w:r>
        <w:rPr>
          <w:rFonts w:ascii="新細明體" w:hAnsi="新細明體" w:hint="eastAsia"/>
        </w:rPr>
        <w:t>到國家</w:t>
      </w:r>
      <w:r>
        <w:rPr>
          <w:rFonts w:hint="eastAsia"/>
        </w:rPr>
        <w:t>」則稱為</w:t>
      </w:r>
      <w:r>
        <w:rPr>
          <w:rFonts w:ascii="新細明體" w:hAnsi="新細明體" w:cs="MS PGothic" w:hint="eastAsia"/>
          <w:kern w:val="0"/>
          <w:lang w:eastAsia="ja-JP"/>
        </w:rPr>
        <w:t>「交流採用」</w:t>
      </w:r>
      <w:r>
        <w:rPr>
          <w:rFonts w:ascii="新細明體" w:hAnsi="新細明體" w:cs="MS PGothic" w:hint="eastAsia"/>
          <w:kern w:val="0"/>
        </w:rPr>
        <w:t>，由國家機關</w:t>
      </w:r>
      <w:r>
        <w:rPr>
          <w:rFonts w:ascii="新細明體" w:hAnsi="新細明體" w:cs="MS PGothic" w:hint="eastAsia"/>
          <w:kern w:val="0"/>
          <w:lang w:eastAsia="ja-JP"/>
        </w:rPr>
        <w:t>機関</w:t>
      </w:r>
      <w:r>
        <w:rPr>
          <w:rFonts w:ascii="新細明體" w:hAnsi="新細明體" w:cs="MS PGothic" w:hint="eastAsia"/>
          <w:kern w:val="0"/>
        </w:rPr>
        <w:t>採用民</w:t>
      </w:r>
      <w:r>
        <w:rPr>
          <w:rFonts w:ascii="新細明體" w:hAnsi="新細明體" w:cs="MS PGothic" w:hint="eastAsia"/>
          <w:kern w:val="0"/>
          <w:lang w:eastAsia="ja-JP"/>
        </w:rPr>
        <w:t>間企業</w:t>
      </w:r>
      <w:r>
        <w:rPr>
          <w:rFonts w:ascii="新細明體" w:hAnsi="新細明體" w:cs="MS PGothic" w:hint="eastAsia"/>
          <w:kern w:val="0"/>
        </w:rPr>
        <w:t>的從</w:t>
      </w:r>
      <w:r>
        <w:rPr>
          <w:rFonts w:ascii="新細明體" w:hAnsi="新細明體" w:cs="MS PGothic" w:hint="eastAsia"/>
          <w:kern w:val="0"/>
        </w:rPr>
        <w:t>業人</w:t>
      </w:r>
      <w:r>
        <w:rPr>
          <w:rFonts w:ascii="新細明體" w:hAnsi="新細明體" w:cs="MS PGothic" w:hint="eastAsia"/>
          <w:kern w:val="0"/>
          <w:lang w:eastAsia="ja-JP"/>
        </w:rPr>
        <w:t>員</w:t>
      </w:r>
      <w:r>
        <w:rPr>
          <w:rFonts w:ascii="新細明體" w:hAnsi="新細明體" w:cs="MS PGothic" w:hint="eastAsia"/>
          <w:kern w:val="0"/>
        </w:rPr>
        <w:t>擔任定期的公務</w:t>
      </w:r>
      <w:r>
        <w:rPr>
          <w:rFonts w:ascii="新細明體" w:hAnsi="新細明體" w:cs="MS PGothic" w:hint="eastAsia"/>
          <w:kern w:val="0"/>
          <w:lang w:eastAsia="ja-JP"/>
        </w:rPr>
        <w:t>員</w:t>
      </w:r>
      <w:r>
        <w:rPr>
          <w:rFonts w:ascii="新細明體" w:hAnsi="新細明體" w:cs="MS PGothic" w:hint="eastAsia"/>
          <w:kern w:val="0"/>
        </w:rPr>
        <w:t>以從事</w:t>
      </w:r>
      <w:r>
        <w:rPr>
          <w:rFonts w:ascii="新細明體" w:hAnsi="新細明體" w:cs="MS PGothic" w:hint="eastAsia"/>
          <w:kern w:val="0"/>
          <w:lang w:eastAsia="ja-JP"/>
        </w:rPr>
        <w:t>職務</w:t>
      </w:r>
      <w:r>
        <w:rPr>
          <w:rFonts w:ascii="新細明體" w:hAnsi="新細明體" w:cs="MS PGothic" w:hint="eastAsia"/>
          <w:kern w:val="0"/>
        </w:rPr>
        <w:t>。</w:t>
      </w:r>
      <w:r>
        <w:rPr>
          <w:rFonts w:ascii="新細明體" w:hAnsi="新細明體" w:cs="MS PGothic" w:hint="eastAsia"/>
          <w:kern w:val="0"/>
          <w:lang w:eastAsia="ja-JP"/>
        </w:rPr>
        <w:t>交流採用</w:t>
      </w:r>
      <w:r>
        <w:rPr>
          <w:rFonts w:ascii="新細明體" w:hAnsi="新細明體" w:cs="MS PGothic" w:hint="eastAsia"/>
          <w:kern w:val="0"/>
        </w:rPr>
        <w:t>的類型又可區分為「從</w:t>
      </w:r>
      <w:r>
        <w:rPr>
          <w:rFonts w:ascii="新細明體" w:hAnsi="新細明體" w:cs="MS PGothic" w:hint="eastAsia"/>
          <w:kern w:val="0"/>
          <w:lang w:eastAsia="ja-JP"/>
        </w:rPr>
        <w:t>民間企業退職</w:t>
      </w:r>
      <w:r>
        <w:rPr>
          <w:rFonts w:ascii="新細明體" w:hAnsi="新細明體" w:cs="MS PGothic" w:hint="eastAsia"/>
          <w:kern w:val="0"/>
        </w:rPr>
        <w:t>」</w:t>
      </w:r>
      <w:r>
        <w:rPr>
          <w:rFonts w:ascii="新細明體" w:hAnsi="新細明體" w:cs="MS PGothic" w:hint="eastAsia"/>
          <w:kern w:val="0"/>
          <w:lang w:eastAsia="ja-JP"/>
        </w:rPr>
        <w:t>（退職型）</w:t>
      </w:r>
      <w:r>
        <w:rPr>
          <w:rFonts w:ascii="新細明體" w:hAnsi="新細明體" w:cs="MS PGothic" w:hint="eastAsia"/>
          <w:kern w:val="0"/>
        </w:rPr>
        <w:t>，即離開原來職位之類型，以及「與</w:t>
      </w:r>
      <w:r>
        <w:rPr>
          <w:rFonts w:ascii="新細明體" w:hAnsi="新細明體" w:cs="MS PGothic" w:hint="eastAsia"/>
          <w:kern w:val="0"/>
          <w:lang w:eastAsia="ja-JP"/>
        </w:rPr>
        <w:t>民間企業</w:t>
      </w:r>
      <w:r>
        <w:rPr>
          <w:rFonts w:ascii="新細明體" w:hAnsi="新細明體" w:cs="MS PGothic" w:hint="eastAsia"/>
          <w:kern w:val="0"/>
        </w:rPr>
        <w:t>繼續</w:t>
      </w:r>
      <w:r>
        <w:rPr>
          <w:rFonts w:ascii="新細明體" w:hAnsi="新細明體" w:cs="MS PGothic" w:hint="eastAsia"/>
          <w:kern w:val="0"/>
          <w:lang w:eastAsia="ja-JP"/>
        </w:rPr>
        <w:t>雇用</w:t>
      </w:r>
      <w:r>
        <w:rPr>
          <w:rFonts w:ascii="新細明體" w:hAnsi="新細明體" w:cs="MS PGothic" w:hint="eastAsia"/>
          <w:kern w:val="0"/>
        </w:rPr>
        <w:t>關係」</w:t>
      </w:r>
      <w:r>
        <w:rPr>
          <w:rFonts w:ascii="新細明體" w:hAnsi="新細明體" w:cs="MS PGothic" w:hint="eastAsia"/>
          <w:kern w:val="0"/>
          <w:lang w:eastAsia="ja-JP"/>
        </w:rPr>
        <w:t>（</w:t>
      </w:r>
      <w:r>
        <w:rPr>
          <w:rFonts w:ascii="新細明體" w:hAnsi="新細明體" w:cs="MS PGothic" w:hint="eastAsia"/>
          <w:kern w:val="0"/>
        </w:rPr>
        <w:t>繼續</w:t>
      </w:r>
      <w:r>
        <w:rPr>
          <w:rFonts w:ascii="新細明體" w:hAnsi="新細明體" w:cs="MS PGothic" w:hint="eastAsia"/>
          <w:kern w:val="0"/>
          <w:lang w:eastAsia="ja-JP"/>
        </w:rPr>
        <w:t>雇用型）</w:t>
      </w:r>
      <w:r>
        <w:rPr>
          <w:rFonts w:ascii="新細明體" w:hAnsi="新細明體" w:cs="MS PGothic" w:hint="eastAsia"/>
          <w:kern w:val="0"/>
        </w:rPr>
        <w:t>，</w:t>
      </w:r>
      <w:r>
        <w:rPr>
          <w:rFonts w:ascii="新細明體" w:hAnsi="新細明體" w:cs="MS PGothic" w:hint="eastAsia"/>
          <w:kern w:val="0"/>
          <w:lang w:eastAsia="ja-JP"/>
        </w:rPr>
        <w:t>任期</w:t>
      </w:r>
      <w:r>
        <w:rPr>
          <w:rFonts w:ascii="新細明體" w:hAnsi="新細明體" w:cs="MS PGothic" w:hint="eastAsia"/>
          <w:kern w:val="0"/>
        </w:rPr>
        <w:t>屆滿</w:t>
      </w:r>
      <w:r>
        <w:rPr>
          <w:rFonts w:ascii="新細明體" w:hAnsi="新細明體" w:cs="MS PGothic" w:hint="eastAsia"/>
          <w:kern w:val="0"/>
          <w:lang w:eastAsia="ja-JP"/>
        </w:rPr>
        <w:t>後</w:t>
      </w:r>
      <w:r>
        <w:rPr>
          <w:rFonts w:ascii="新細明體" w:hAnsi="新細明體" w:cs="MS PGothic" w:hint="eastAsia"/>
          <w:kern w:val="0"/>
        </w:rPr>
        <w:t>復歸出身</w:t>
      </w:r>
      <w:r>
        <w:rPr>
          <w:rFonts w:ascii="新細明體" w:hAnsi="新細明體" w:cs="MS PGothic" w:hint="eastAsia"/>
          <w:kern w:val="0"/>
          <w:lang w:eastAsia="ja-JP"/>
        </w:rPr>
        <w:t>企業</w:t>
      </w:r>
      <w:r>
        <w:rPr>
          <w:rFonts w:ascii="新細明體" w:hAnsi="新細明體" w:cs="MS PGothic" w:hint="eastAsia"/>
          <w:kern w:val="0"/>
        </w:rPr>
        <w:t>（原任職企業），其條件由各</w:t>
      </w:r>
      <w:r>
        <w:rPr>
          <w:rFonts w:ascii="新細明體" w:hAnsi="新細明體" w:cs="MS PGothic" w:hint="eastAsia"/>
          <w:kern w:val="0"/>
          <w:lang w:eastAsia="ja-JP"/>
        </w:rPr>
        <w:t>府省</w:t>
      </w:r>
      <w:r>
        <w:rPr>
          <w:rFonts w:ascii="新細明體" w:hAnsi="新細明體" w:cs="MS PGothic" w:hint="eastAsia"/>
          <w:kern w:val="0"/>
        </w:rPr>
        <w:t>與</w:t>
      </w:r>
      <w:r>
        <w:rPr>
          <w:rFonts w:ascii="新細明體" w:hAnsi="新細明體" w:cs="MS PGothic" w:hint="eastAsia"/>
          <w:kern w:val="0"/>
          <w:lang w:eastAsia="ja-JP"/>
        </w:rPr>
        <w:t>出身企業</w:t>
      </w:r>
      <w:r>
        <w:rPr>
          <w:rFonts w:ascii="新細明體" w:hAnsi="新細明體" w:cs="MS PGothic" w:hint="eastAsia"/>
          <w:kern w:val="0"/>
        </w:rPr>
        <w:t>以契約定之</w:t>
      </w:r>
      <w:r>
        <w:rPr>
          <w:rStyle w:val="a4"/>
          <w:rFonts w:ascii="新細明體" w:hAnsi="新細明體" w:cs="MS PGothic"/>
          <w:kern w:val="0"/>
        </w:rPr>
        <w:footnoteReference w:id="60"/>
      </w:r>
      <w:r>
        <w:rPr>
          <w:rFonts w:ascii="MS PGothic" w:eastAsia="MS PGothic" w:hAnsi="MS PGothic" w:cs="MS PGothic" w:hint="eastAsia"/>
          <w:kern w:val="0"/>
          <w:lang w:eastAsia="ja-JP"/>
        </w:rPr>
        <w:t>。</w:t>
      </w:r>
      <w:r>
        <w:rPr>
          <w:rFonts w:hint="eastAsia"/>
        </w:rPr>
        <w:t>人事交流法中只規定被交流派遣的公務員之權利義務，</w:t>
      </w:r>
      <w:r>
        <w:rPr>
          <w:rFonts w:ascii="新細明體" w:hAnsi="新細明體" w:cs="MS PGothic" w:hint="eastAsia"/>
          <w:kern w:val="0"/>
          <w:lang w:eastAsia="ja-JP"/>
        </w:rPr>
        <w:t>交流採用</w:t>
      </w:r>
      <w:r>
        <w:rPr>
          <w:rFonts w:ascii="新細明體" w:hAnsi="新細明體" w:cs="MS PGothic" w:hint="eastAsia"/>
          <w:kern w:val="0"/>
        </w:rPr>
        <w:t>部分則委由各機關與民間企業透過契約方式定之，故契約內容</w:t>
      </w:r>
      <w:proofErr w:type="gramStart"/>
      <w:r>
        <w:rPr>
          <w:rFonts w:ascii="新細明體" w:hAnsi="新細明體" w:cs="MS PGothic" w:hint="eastAsia"/>
          <w:kern w:val="0"/>
        </w:rPr>
        <w:t>所定者外</w:t>
      </w:r>
      <w:proofErr w:type="gramEnd"/>
      <w:r>
        <w:rPr>
          <w:rFonts w:ascii="新細明體" w:hAnsi="新細明體" w:cs="MS PGothic" w:hint="eastAsia"/>
          <w:kern w:val="0"/>
        </w:rPr>
        <w:t>，原則上不適用相關的公務員身分保障規定。</w:t>
      </w:r>
    </w:p>
    <w:p w:rsidR="00000000" w:rsidRDefault="00CB4FE6">
      <w:pPr>
        <w:spacing w:line="360" w:lineRule="auto"/>
        <w:ind w:firstLineChars="200" w:firstLine="480"/>
        <w:jc w:val="both"/>
        <w:rPr>
          <w:rFonts w:ascii="新細明體" w:hAnsi="新細明體" w:hint="eastAsia"/>
        </w:rPr>
      </w:pPr>
    </w:p>
    <w:p w:rsidR="00000000" w:rsidRDefault="00CB4FE6">
      <w:pPr>
        <w:spacing w:line="360" w:lineRule="auto"/>
        <w:jc w:val="both"/>
        <w:rPr>
          <w:rFonts w:ascii="新細明體" w:hAnsi="新細明體" w:hint="eastAsia"/>
        </w:rPr>
      </w:pPr>
      <w:r>
        <w:rPr>
          <w:rFonts w:ascii="新細明體" w:hAnsi="新細明體" w:hint="eastAsia"/>
        </w:rPr>
        <w:t>四、保障之類型</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關於公務員之保障制度，如前所述，明治憲法時代，天皇與官吏之關係為特別權力關係，官吏對天皇負有無定量之忠</w:t>
      </w:r>
      <w:r>
        <w:rPr>
          <w:rFonts w:ascii="新細明體" w:hAnsi="新細明體" w:hint="eastAsia"/>
        </w:rPr>
        <w:t>勤義務，但是對於天皇並無主張權利之餘地。而戰後之公務員制度，對於公務員採取全面保障，包括身分保障。作為勞動者之公務員對於雇主，亦即國家或地方自治團體享有勞動者所應有之權利，國家公務員法及地方公務員法中皆有公務員權利之明文規定。依照學說之分類，日本之公務員享有「對於職務之權利」、「經濟權利」、「公務員之勞動基本權」及「保障請求權」等</w:t>
      </w:r>
      <w:r>
        <w:rPr>
          <w:rStyle w:val="a4"/>
          <w:rFonts w:ascii="新細明體" w:hAnsi="新細明體"/>
        </w:rPr>
        <w:footnoteReference w:id="61"/>
      </w:r>
      <w:r>
        <w:rPr>
          <w:rFonts w:ascii="新細明體" w:hAnsi="新細明體" w:hint="eastAsia"/>
        </w:rPr>
        <w:t>。其中，與公務員之身分保障最密切關連者為保障請求權。此項權利之目的在於確保前述三類公務員權利於受到侵害時得請求救濟，所以保障請求權之性質為程序權利</w:t>
      </w:r>
      <w:r>
        <w:rPr>
          <w:rStyle w:val="a4"/>
          <w:rFonts w:ascii="新細明體" w:hAnsi="新細明體"/>
        </w:rPr>
        <w:footnoteReference w:id="62"/>
      </w:r>
      <w:r>
        <w:rPr>
          <w:rFonts w:ascii="新細明體" w:hAnsi="新細明體" w:hint="eastAsia"/>
        </w:rPr>
        <w:t>。關於保障之類型得區分為以下兩</w:t>
      </w:r>
      <w:r>
        <w:rPr>
          <w:rFonts w:ascii="新細明體" w:hAnsi="新細明體" w:hint="eastAsia"/>
        </w:rPr>
        <w:t>大類型：</w:t>
      </w:r>
    </w:p>
    <w:p w:rsidR="00000000" w:rsidRDefault="00CB4FE6">
      <w:pPr>
        <w:spacing w:line="360" w:lineRule="auto"/>
        <w:jc w:val="both"/>
        <w:rPr>
          <w:rFonts w:ascii="新細明體" w:hAnsi="新細明體" w:hint="eastAsia"/>
        </w:rPr>
      </w:pPr>
      <w:r>
        <w:rPr>
          <w:rFonts w:ascii="新細明體" w:hAnsi="新細明體" w:hint="eastAsia"/>
        </w:rPr>
        <w:t>（一）勤務條件的措施請求權</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lastRenderedPageBreak/>
        <w:t>此項權利是為滿足公務員勤務上的各種利益所設計的特別程序。公務員就勤務條件有向人事院、人事委員會及公平委員會，或者向該管機關請求為一定措施，或是向人事機關請求判定該案件事實，或請求其本身加以實施或勸告該管機關實施的權利（國家公務員法第</w:t>
      </w:r>
      <w:r>
        <w:rPr>
          <w:rFonts w:ascii="新細明體" w:hAnsi="新細明體" w:hint="eastAsia"/>
        </w:rPr>
        <w:t>86</w:t>
      </w:r>
      <w:r>
        <w:rPr>
          <w:rFonts w:ascii="新細明體" w:hAnsi="新細明體" w:hint="eastAsia"/>
        </w:rPr>
        <w:t>條至第</w:t>
      </w:r>
      <w:r>
        <w:rPr>
          <w:rFonts w:ascii="新細明體" w:hAnsi="新細明體" w:hint="eastAsia"/>
        </w:rPr>
        <w:t>88</w:t>
      </w:r>
      <w:r>
        <w:rPr>
          <w:rFonts w:ascii="新細明體" w:hAnsi="新細明體" w:hint="eastAsia"/>
        </w:rPr>
        <w:t>條、地方公務員法第</w:t>
      </w:r>
      <w:r>
        <w:rPr>
          <w:rFonts w:ascii="新細明體" w:hAnsi="新細明體" w:hint="eastAsia"/>
        </w:rPr>
        <w:t xml:space="preserve"> 46</w:t>
      </w:r>
      <w:r>
        <w:rPr>
          <w:rFonts w:ascii="新細明體" w:hAnsi="新細明體" w:hint="eastAsia"/>
        </w:rPr>
        <w:t>條至第</w:t>
      </w:r>
      <w:r>
        <w:rPr>
          <w:rFonts w:ascii="新細明體" w:hAnsi="新細明體" w:hint="eastAsia"/>
        </w:rPr>
        <w:t>8</w:t>
      </w:r>
      <w:r>
        <w:rPr>
          <w:rFonts w:ascii="新細明體" w:hAnsi="新細明體" w:hint="eastAsia"/>
        </w:rPr>
        <w:t>條）。此項制度是為確保公務員勤務條件的妥適。因為公務員並不適用勞動組合法，無法透過締結勞動契約保障其勤務條件，所以有此代償制度。所謂措施的範圍相當廣泛，包括俸給、加給及其他勤務條件。至於營運管理事</w:t>
      </w:r>
      <w:r>
        <w:rPr>
          <w:rFonts w:ascii="新細明體" w:hAnsi="新細明體" w:hint="eastAsia"/>
        </w:rPr>
        <w:t>項，法律無明確規定，不過，理論上並無排除之理由</w:t>
      </w:r>
      <w:r>
        <w:rPr>
          <w:rStyle w:val="a4"/>
          <w:rFonts w:ascii="新細明體" w:hAnsi="新細明體"/>
        </w:rPr>
        <w:footnoteReference w:id="63"/>
      </w:r>
      <w:r>
        <w:rPr>
          <w:rFonts w:ascii="新細明體" w:hAnsi="新細明體" w:hint="eastAsia"/>
        </w:rPr>
        <w:t>。</w:t>
      </w:r>
    </w:p>
    <w:p w:rsidR="00000000" w:rsidRDefault="00CB4FE6">
      <w:pPr>
        <w:spacing w:line="360" w:lineRule="auto"/>
        <w:jc w:val="both"/>
        <w:rPr>
          <w:rFonts w:ascii="新細明體" w:hAnsi="新細明體" w:hint="eastAsia"/>
        </w:rPr>
      </w:pPr>
    </w:p>
    <w:p w:rsidR="00000000" w:rsidRDefault="00CB4FE6">
      <w:pPr>
        <w:spacing w:line="360" w:lineRule="auto"/>
        <w:jc w:val="both"/>
        <w:rPr>
          <w:rFonts w:ascii="新細明體" w:hAnsi="新細明體" w:hint="eastAsia"/>
        </w:rPr>
      </w:pPr>
      <w:r>
        <w:rPr>
          <w:rFonts w:ascii="新細明體" w:hAnsi="新細明體" w:hint="eastAsia"/>
        </w:rPr>
        <w:t>（二）身分保障請求權</w:t>
      </w:r>
    </w:p>
    <w:p w:rsidR="00000000" w:rsidRDefault="00CB4FE6">
      <w:pPr>
        <w:spacing w:line="360" w:lineRule="auto"/>
        <w:jc w:val="both"/>
        <w:rPr>
          <w:rFonts w:ascii="新細明體" w:hAnsi="新細明體" w:hint="eastAsia"/>
        </w:rPr>
      </w:pPr>
      <w:r>
        <w:rPr>
          <w:rFonts w:ascii="新細明體" w:hAnsi="新細明體" w:hint="eastAsia"/>
        </w:rPr>
        <w:t>1</w:t>
      </w:r>
      <w:r>
        <w:rPr>
          <w:rFonts w:ascii="新細明體" w:hAnsi="新細明體" w:hint="eastAsia"/>
        </w:rPr>
        <w:t>、</w:t>
      </w:r>
      <w:proofErr w:type="gramStart"/>
      <w:r>
        <w:rPr>
          <w:rFonts w:ascii="新細明體" w:hAnsi="新細明體" w:hint="eastAsia"/>
        </w:rPr>
        <w:t>分限</w:t>
      </w:r>
      <w:proofErr w:type="gramEnd"/>
      <w:r>
        <w:rPr>
          <w:rStyle w:val="a4"/>
          <w:rFonts w:ascii="新細明體" w:hAnsi="新細明體"/>
        </w:rPr>
        <w:footnoteReference w:id="64"/>
      </w:r>
      <w:r>
        <w:rPr>
          <w:rFonts w:ascii="新細明體" w:hAnsi="新細明體" w:hint="eastAsia"/>
        </w:rPr>
        <w:t>（身分保障）</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國家公務員法第</w:t>
      </w:r>
      <w:r>
        <w:rPr>
          <w:rFonts w:ascii="新細明體" w:hAnsi="新細明體" w:hint="eastAsia"/>
        </w:rPr>
        <w:t>74</w:t>
      </w:r>
      <w:r>
        <w:rPr>
          <w:rFonts w:ascii="新細明體" w:hAnsi="新細明體" w:hint="eastAsia"/>
        </w:rPr>
        <w:t>條及第</w:t>
      </w:r>
      <w:r>
        <w:rPr>
          <w:rFonts w:ascii="新細明體" w:hAnsi="新細明體" w:hint="eastAsia"/>
        </w:rPr>
        <w:t>75</w:t>
      </w:r>
      <w:r>
        <w:rPr>
          <w:rFonts w:ascii="新細明體" w:hAnsi="新細明體" w:hint="eastAsia"/>
        </w:rPr>
        <w:t>條與地方公務員法第</w:t>
      </w:r>
      <w:r>
        <w:rPr>
          <w:rFonts w:ascii="新細明體" w:hAnsi="新細明體" w:hint="eastAsia"/>
        </w:rPr>
        <w:t>27</w:t>
      </w:r>
      <w:r>
        <w:rPr>
          <w:rFonts w:ascii="新細明體" w:hAnsi="新細明體" w:hint="eastAsia"/>
        </w:rPr>
        <w:t>條規定，對於公務員，非依法定事由，不得違反其意思而</w:t>
      </w:r>
      <w:proofErr w:type="gramStart"/>
      <w:r>
        <w:rPr>
          <w:rFonts w:ascii="新細明體" w:hAnsi="新細明體" w:hint="eastAsia"/>
        </w:rPr>
        <w:t>予以降任</w:t>
      </w:r>
      <w:proofErr w:type="gramEnd"/>
      <w:r>
        <w:rPr>
          <w:rStyle w:val="a4"/>
          <w:rFonts w:ascii="新細明體" w:hAnsi="新細明體"/>
        </w:rPr>
        <w:footnoteReference w:id="65"/>
      </w:r>
      <w:r>
        <w:rPr>
          <w:rFonts w:ascii="新細明體" w:hAnsi="新細明體" w:hint="eastAsia"/>
        </w:rPr>
        <w:t>、休職及免職。此種身分保障主要目的在於維護以績效主義</w:t>
      </w:r>
      <w:r>
        <w:rPr>
          <w:rStyle w:val="a4"/>
          <w:rFonts w:ascii="新細明體" w:hAnsi="新細明體"/>
        </w:rPr>
        <w:footnoteReference w:id="66"/>
      </w:r>
      <w:r>
        <w:rPr>
          <w:rFonts w:ascii="新細明體" w:hAnsi="新細明體" w:hint="eastAsia"/>
        </w:rPr>
        <w:t>為基礎之公務員制度，禁止具有任命權者恣意地行使權力。又從公務員之保障而言，不得以法定事由以外之理由將</w:t>
      </w:r>
      <w:proofErr w:type="gramStart"/>
      <w:r>
        <w:rPr>
          <w:rFonts w:ascii="新細明體" w:hAnsi="新細明體" w:hint="eastAsia"/>
        </w:rPr>
        <w:t>其降任</w:t>
      </w:r>
      <w:proofErr w:type="gramEnd"/>
      <w:r>
        <w:rPr>
          <w:rFonts w:ascii="新細明體" w:hAnsi="新細明體" w:hint="eastAsia"/>
        </w:rPr>
        <w:t>、休職及免職，係賦予其執行職務權利，亦具有作為補償限制其勞動基本權之意義</w:t>
      </w:r>
      <w:r>
        <w:rPr>
          <w:rStyle w:val="a4"/>
          <w:rFonts w:ascii="新細明體" w:hAnsi="新細明體"/>
        </w:rPr>
        <w:footnoteReference w:id="67"/>
      </w:r>
      <w:r>
        <w:rPr>
          <w:rFonts w:ascii="新細明體" w:hAnsi="新細明體" w:hint="eastAsia"/>
        </w:rPr>
        <w:t>。</w:t>
      </w:r>
      <w:proofErr w:type="gramStart"/>
      <w:r>
        <w:rPr>
          <w:rFonts w:ascii="新細明體" w:hAnsi="新細明體" w:hint="eastAsia"/>
        </w:rPr>
        <w:t>降任與</w:t>
      </w:r>
      <w:proofErr w:type="gramEnd"/>
      <w:r>
        <w:rPr>
          <w:rFonts w:ascii="新細明體" w:hAnsi="新細明體" w:hint="eastAsia"/>
        </w:rPr>
        <w:t>免職之事由相通，國家公務員法第</w:t>
      </w:r>
      <w:r>
        <w:rPr>
          <w:rFonts w:ascii="新細明體" w:hAnsi="新細明體" w:hint="eastAsia"/>
        </w:rPr>
        <w:t>78</w:t>
      </w:r>
      <w:r>
        <w:rPr>
          <w:rFonts w:ascii="新細明體" w:hAnsi="新細明體" w:hint="eastAsia"/>
        </w:rPr>
        <w:t>條及地方公務員法第</w:t>
      </w:r>
      <w:r>
        <w:rPr>
          <w:rFonts w:ascii="新細明體" w:hAnsi="新細明體" w:hint="eastAsia"/>
        </w:rPr>
        <w:t>28</w:t>
      </w:r>
      <w:r>
        <w:rPr>
          <w:rFonts w:ascii="新細明體" w:hAnsi="新細明體" w:hint="eastAsia"/>
        </w:rPr>
        <w:t>條設</w:t>
      </w:r>
      <w:r>
        <w:rPr>
          <w:rFonts w:ascii="新細明體" w:hAnsi="新細明體" w:hint="eastAsia"/>
        </w:rPr>
        <w:t>有明文。關於</w:t>
      </w:r>
      <w:proofErr w:type="gramStart"/>
      <w:r>
        <w:rPr>
          <w:rFonts w:ascii="新細明體" w:hAnsi="新細明體" w:hint="eastAsia"/>
        </w:rPr>
        <w:t>公務員降任之</w:t>
      </w:r>
      <w:proofErr w:type="gramEnd"/>
      <w:r>
        <w:rPr>
          <w:rFonts w:ascii="新細明體" w:hAnsi="新細明體" w:hint="eastAsia"/>
        </w:rPr>
        <w:t>案例不多，以一般職公務員為例，平成</w:t>
      </w:r>
      <w:r>
        <w:rPr>
          <w:rFonts w:ascii="新細明體" w:hAnsi="新細明體" w:hint="eastAsia"/>
        </w:rPr>
        <w:t>16</w:t>
      </w:r>
      <w:r>
        <w:rPr>
          <w:rFonts w:ascii="新細明體" w:hAnsi="新細明體" w:hint="eastAsia"/>
        </w:rPr>
        <w:t>年（</w:t>
      </w:r>
      <w:r>
        <w:rPr>
          <w:rFonts w:ascii="新細明體" w:hAnsi="新細明體" w:hint="eastAsia"/>
        </w:rPr>
        <w:t>2004</w:t>
      </w:r>
      <w:r>
        <w:rPr>
          <w:rFonts w:ascii="新細明體" w:hAnsi="新細明體" w:hint="eastAsia"/>
        </w:rPr>
        <w:t>年）僅有一件，理由為勤務成績不佳，平成</w:t>
      </w:r>
      <w:r>
        <w:rPr>
          <w:rFonts w:ascii="新細明體" w:hAnsi="新細明體" w:hint="eastAsia"/>
        </w:rPr>
        <w:t>17</w:t>
      </w:r>
      <w:r>
        <w:rPr>
          <w:rFonts w:ascii="新細明體" w:hAnsi="新細明體" w:hint="eastAsia"/>
        </w:rPr>
        <w:t>年（</w:t>
      </w:r>
      <w:r>
        <w:rPr>
          <w:rFonts w:ascii="新細明體" w:hAnsi="新細明體" w:hint="eastAsia"/>
        </w:rPr>
        <w:t>2005</w:t>
      </w:r>
      <w:r>
        <w:rPr>
          <w:rFonts w:ascii="新細明體" w:hAnsi="新細明體" w:hint="eastAsia"/>
        </w:rPr>
        <w:t>年）則無任何案件。</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至於</w:t>
      </w:r>
      <w:proofErr w:type="gramStart"/>
      <w:r>
        <w:rPr>
          <w:rFonts w:ascii="新細明體" w:hAnsi="新細明體" w:hint="eastAsia"/>
        </w:rPr>
        <w:t>作為分限處分之降給</w:t>
      </w:r>
      <w:proofErr w:type="gramEnd"/>
      <w:r>
        <w:rPr>
          <w:rStyle w:val="a4"/>
          <w:rFonts w:ascii="新細明體" w:hAnsi="新細明體"/>
        </w:rPr>
        <w:footnoteReference w:id="68"/>
      </w:r>
      <w:r>
        <w:rPr>
          <w:rFonts w:ascii="新細明體" w:hAnsi="新細明體" w:hint="eastAsia"/>
        </w:rPr>
        <w:t>制度，在國家公務員部分，其該當事由，國家公務員法第</w:t>
      </w:r>
      <w:r>
        <w:rPr>
          <w:rFonts w:ascii="新細明體" w:hAnsi="新細明體" w:hint="eastAsia"/>
        </w:rPr>
        <w:t>75</w:t>
      </w:r>
      <w:r>
        <w:rPr>
          <w:rFonts w:ascii="新細明體" w:hAnsi="新細明體" w:hint="eastAsia"/>
        </w:rPr>
        <w:t>條第</w:t>
      </w:r>
      <w:r>
        <w:rPr>
          <w:rFonts w:ascii="新細明體" w:hAnsi="新細明體" w:hint="eastAsia"/>
        </w:rPr>
        <w:t>2</w:t>
      </w:r>
      <w:r>
        <w:rPr>
          <w:rFonts w:ascii="新細明體" w:hAnsi="新細明體" w:hint="eastAsia"/>
        </w:rPr>
        <w:t>項授權人事院以人事院規則定之。然而，至今並未制定相關</w:t>
      </w:r>
      <w:r>
        <w:rPr>
          <w:rFonts w:ascii="新細明體" w:hAnsi="新細明體" w:hint="eastAsia"/>
        </w:rPr>
        <w:lastRenderedPageBreak/>
        <w:t>規</w:t>
      </w:r>
      <w:proofErr w:type="gramStart"/>
      <w:r>
        <w:rPr>
          <w:rFonts w:ascii="新細明體" w:hAnsi="新細明體" w:hint="eastAsia"/>
        </w:rPr>
        <w:t>則</w:t>
      </w:r>
      <w:proofErr w:type="gramEnd"/>
      <w:r>
        <w:rPr>
          <w:rStyle w:val="a4"/>
          <w:rFonts w:ascii="新細明體" w:hAnsi="新細明體"/>
        </w:rPr>
        <w:footnoteReference w:id="69"/>
      </w:r>
      <w:r>
        <w:rPr>
          <w:rFonts w:ascii="新細明體" w:hAnsi="新細明體" w:hint="eastAsia"/>
        </w:rPr>
        <w:t>。而地方公務員部分，則於地方公務員法第</w:t>
      </w:r>
      <w:r>
        <w:rPr>
          <w:rFonts w:ascii="新細明體" w:hAnsi="新細明體" w:hint="eastAsia"/>
        </w:rPr>
        <w:t>27</w:t>
      </w:r>
      <w:r>
        <w:rPr>
          <w:rFonts w:ascii="新細明體" w:hAnsi="新細明體" w:hint="eastAsia"/>
        </w:rPr>
        <w:t>條第</w:t>
      </w:r>
      <w:r>
        <w:rPr>
          <w:rFonts w:ascii="新細明體" w:hAnsi="新細明體" w:hint="eastAsia"/>
        </w:rPr>
        <w:t>2</w:t>
      </w:r>
      <w:r>
        <w:rPr>
          <w:rFonts w:ascii="新細明體" w:hAnsi="新細明體" w:hint="eastAsia"/>
        </w:rPr>
        <w:t>項規定其法定事由。另外，國家公務員法第</w:t>
      </w:r>
      <w:r>
        <w:rPr>
          <w:rFonts w:ascii="新細明體" w:hAnsi="新細明體" w:hint="eastAsia"/>
        </w:rPr>
        <w:t>74</w:t>
      </w:r>
      <w:r>
        <w:rPr>
          <w:rFonts w:ascii="新細明體" w:hAnsi="新細明體" w:hint="eastAsia"/>
        </w:rPr>
        <w:t>條、第</w:t>
      </w:r>
      <w:r>
        <w:rPr>
          <w:rFonts w:ascii="新細明體" w:hAnsi="新細明體" w:hint="eastAsia"/>
        </w:rPr>
        <w:t>75</w:t>
      </w:r>
      <w:r>
        <w:rPr>
          <w:rFonts w:ascii="新細明體" w:hAnsi="新細明體" w:hint="eastAsia"/>
        </w:rPr>
        <w:t>條與地方公務員法第</w:t>
      </w:r>
      <w:r>
        <w:rPr>
          <w:rFonts w:ascii="新細明體" w:hAnsi="新細明體" w:hint="eastAsia"/>
        </w:rPr>
        <w:t>27</w:t>
      </w:r>
      <w:r>
        <w:rPr>
          <w:rFonts w:ascii="新細明體" w:hAnsi="新細明體" w:hint="eastAsia"/>
        </w:rPr>
        <w:t>所未規定之轉任、轉換位置等，則不受前述法定事由之限制，但是，不得濫用裁量權。而「定年」，亦即退休年齡</w:t>
      </w:r>
      <w:r>
        <w:rPr>
          <w:rFonts w:ascii="新細明體" w:hAnsi="新細明體" w:hint="eastAsia"/>
        </w:rPr>
        <w:t>亦屬於身分保障範圍。</w:t>
      </w:r>
    </w:p>
    <w:p w:rsidR="00000000" w:rsidRDefault="00CB4FE6">
      <w:pPr>
        <w:spacing w:line="360" w:lineRule="auto"/>
        <w:ind w:firstLineChars="200" w:firstLine="480"/>
        <w:jc w:val="both"/>
        <w:rPr>
          <w:rFonts w:ascii="新細明體" w:hAnsi="新細明體" w:hint="eastAsia"/>
        </w:rPr>
      </w:pPr>
      <w:r>
        <w:rPr>
          <w:rFonts w:ascii="新細明體" w:hAnsi="新細明體" w:hint="eastAsia"/>
        </w:rPr>
        <w:t>以上有關身分保障之規定，於臨時的公務員或於附條件採用期間中之公務員並不適用。此類公務員之身分，在國家公務員部份，國家公務員法第</w:t>
      </w:r>
      <w:r>
        <w:rPr>
          <w:rFonts w:ascii="新細明體" w:hAnsi="新細明體" w:hint="eastAsia"/>
        </w:rPr>
        <w:t>81</w:t>
      </w:r>
      <w:r>
        <w:rPr>
          <w:rFonts w:ascii="新細明體" w:hAnsi="新細明體" w:hint="eastAsia"/>
        </w:rPr>
        <w:t>條授權由人事院以人事院規則</w:t>
      </w:r>
      <w:r>
        <w:rPr>
          <w:rFonts w:ascii="新細明體" w:hAnsi="新細明體" w:hint="eastAsia"/>
        </w:rPr>
        <w:t>11-4</w:t>
      </w:r>
      <w:r>
        <w:rPr>
          <w:rFonts w:ascii="新細明體" w:hAnsi="新細明體" w:hint="eastAsia"/>
        </w:rPr>
        <w:t>加以規定；在地方公務員方面，地方公務員法第</w:t>
      </w:r>
      <w:r>
        <w:rPr>
          <w:rFonts w:ascii="新細明體" w:hAnsi="新細明體" w:hint="eastAsia"/>
        </w:rPr>
        <w:t>29</w:t>
      </w:r>
      <w:r>
        <w:rPr>
          <w:rFonts w:ascii="新細明體" w:hAnsi="新細明體" w:hint="eastAsia"/>
        </w:rPr>
        <w:t>條之</w:t>
      </w:r>
      <w:r>
        <w:rPr>
          <w:rFonts w:ascii="新細明體" w:hAnsi="新細明體" w:hint="eastAsia"/>
        </w:rPr>
        <w:t>2</w:t>
      </w:r>
      <w:r>
        <w:rPr>
          <w:rFonts w:ascii="新細明體" w:hAnsi="新細明體" w:hint="eastAsia"/>
        </w:rPr>
        <w:t>第</w:t>
      </w:r>
      <w:r>
        <w:rPr>
          <w:rFonts w:ascii="新細明體" w:hAnsi="新細明體" w:hint="eastAsia"/>
        </w:rPr>
        <w:t>2</w:t>
      </w:r>
      <w:r>
        <w:rPr>
          <w:rFonts w:ascii="新細明體" w:hAnsi="新細明體" w:hint="eastAsia"/>
        </w:rPr>
        <w:t>項規定其必要事項。</w:t>
      </w:r>
    </w:p>
    <w:p w:rsidR="00000000" w:rsidRDefault="00CB4FE6">
      <w:pPr>
        <w:spacing w:line="360" w:lineRule="auto"/>
        <w:jc w:val="both"/>
        <w:rPr>
          <w:rFonts w:ascii="新細明體" w:hAnsi="新細明體" w:hint="eastAsia"/>
        </w:rPr>
      </w:pPr>
      <w:r>
        <w:rPr>
          <w:rFonts w:ascii="新細明體" w:hAnsi="新細明體" w:hint="eastAsia"/>
        </w:rPr>
        <w:t>2</w:t>
      </w:r>
      <w:r>
        <w:rPr>
          <w:rFonts w:ascii="新細明體" w:hAnsi="新細明體" w:hint="eastAsia"/>
        </w:rPr>
        <w:t>、懲戒</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關於懲戒處分，係指公務員之行為該當懲戒之法定事由時所為之處置，其種類</w:t>
      </w:r>
      <w:proofErr w:type="gramStart"/>
      <w:r>
        <w:rPr>
          <w:rFonts w:ascii="新細明體" w:hAnsi="新細明體" w:hint="eastAsia"/>
        </w:rPr>
        <w:t>包括戒告</w:t>
      </w:r>
      <w:proofErr w:type="gramEnd"/>
      <w:r>
        <w:rPr>
          <w:rStyle w:val="a4"/>
          <w:rFonts w:ascii="新細明體" w:hAnsi="新細明體"/>
        </w:rPr>
        <w:footnoteReference w:id="70"/>
      </w:r>
      <w:r>
        <w:rPr>
          <w:rFonts w:ascii="新細明體" w:hAnsi="新細明體" w:hint="eastAsia"/>
        </w:rPr>
        <w:t>、</w:t>
      </w:r>
      <w:proofErr w:type="gramStart"/>
      <w:r>
        <w:rPr>
          <w:rFonts w:ascii="新細明體" w:hAnsi="新細明體" w:hint="eastAsia"/>
        </w:rPr>
        <w:t>減給</w:t>
      </w:r>
      <w:proofErr w:type="gramEnd"/>
      <w:r>
        <w:rPr>
          <w:rFonts w:ascii="新細明體" w:hAnsi="新細明體" w:hint="eastAsia"/>
        </w:rPr>
        <w:t>、停職、免職等，國家公務員法第</w:t>
      </w:r>
      <w:r>
        <w:rPr>
          <w:rFonts w:ascii="新細明體" w:hAnsi="新細明體" w:hint="eastAsia"/>
        </w:rPr>
        <w:t>82</w:t>
      </w:r>
      <w:r>
        <w:rPr>
          <w:rFonts w:ascii="新細明體" w:hAnsi="新細明體" w:hint="eastAsia"/>
        </w:rPr>
        <w:t>條第</w:t>
      </w:r>
      <w:r>
        <w:rPr>
          <w:rFonts w:ascii="新細明體" w:hAnsi="新細明體" w:hint="eastAsia"/>
        </w:rPr>
        <w:t>1</w:t>
      </w:r>
      <w:r>
        <w:rPr>
          <w:rFonts w:ascii="新細明體" w:hAnsi="新細明體" w:hint="eastAsia"/>
        </w:rPr>
        <w:t>項與地方公務員法第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項定有明文。</w:t>
      </w:r>
      <w:proofErr w:type="gramStart"/>
      <w:r>
        <w:rPr>
          <w:rFonts w:ascii="新細明體" w:hAnsi="新細明體" w:hint="eastAsia"/>
        </w:rPr>
        <w:t>戒告主要</w:t>
      </w:r>
      <w:proofErr w:type="gramEnd"/>
      <w:r>
        <w:rPr>
          <w:rFonts w:ascii="新細明體" w:hAnsi="新細明體" w:hint="eastAsia"/>
        </w:rPr>
        <w:t>是用以確認公務員違反法定義務之責任，告誡避免將來再犯，是運用</w:t>
      </w:r>
      <w:r>
        <w:rPr>
          <w:rFonts w:ascii="新細明體" w:hAnsi="新細明體" w:hint="eastAsia"/>
        </w:rPr>
        <w:t>最多之懲戒處分。平成</w:t>
      </w:r>
      <w:r>
        <w:rPr>
          <w:rFonts w:ascii="新細明體" w:hAnsi="新細明體" w:hint="eastAsia"/>
        </w:rPr>
        <w:t>17</w:t>
      </w:r>
      <w:r>
        <w:rPr>
          <w:rFonts w:ascii="新細明體" w:hAnsi="新細明體" w:hint="eastAsia"/>
        </w:rPr>
        <w:t>年（</w:t>
      </w:r>
      <w:r>
        <w:rPr>
          <w:rFonts w:ascii="新細明體" w:hAnsi="新細明體" w:hint="eastAsia"/>
        </w:rPr>
        <w:t>2005</w:t>
      </w:r>
      <w:r>
        <w:rPr>
          <w:rFonts w:ascii="新細明體" w:hAnsi="新細明體" w:hint="eastAsia"/>
        </w:rPr>
        <w:t>年）當中，僅一般職公務員部分即有</w:t>
      </w:r>
      <w:r>
        <w:rPr>
          <w:rFonts w:ascii="新細明體" w:hAnsi="新細明體" w:hint="eastAsia"/>
        </w:rPr>
        <w:t>2245</w:t>
      </w:r>
      <w:r>
        <w:rPr>
          <w:rFonts w:ascii="新細明體" w:hAnsi="新細明體" w:hint="eastAsia"/>
        </w:rPr>
        <w:t>件。</w:t>
      </w:r>
      <w:proofErr w:type="gramStart"/>
      <w:r>
        <w:rPr>
          <w:rFonts w:ascii="新細明體" w:hAnsi="新細明體" w:hint="eastAsia"/>
        </w:rPr>
        <w:t>至於減給</w:t>
      </w:r>
      <w:proofErr w:type="gramEnd"/>
      <w:r>
        <w:rPr>
          <w:rFonts w:ascii="新細明體" w:hAnsi="新細明體" w:hint="eastAsia"/>
        </w:rPr>
        <w:t>，依照人事院規則</w:t>
      </w:r>
      <w:r>
        <w:rPr>
          <w:rFonts w:ascii="新細明體" w:hAnsi="新細明體" w:hint="eastAsia"/>
        </w:rPr>
        <w:t>12-0</w:t>
      </w:r>
      <w:r>
        <w:rPr>
          <w:rFonts w:ascii="新細明體" w:hAnsi="新細明體" w:hint="eastAsia"/>
        </w:rPr>
        <w:t>第</w:t>
      </w:r>
      <w:r>
        <w:rPr>
          <w:rFonts w:ascii="新細明體" w:hAnsi="新細明體" w:hint="eastAsia"/>
        </w:rPr>
        <w:t>3</w:t>
      </w:r>
      <w:r>
        <w:rPr>
          <w:rFonts w:ascii="新細明體" w:hAnsi="新細明體" w:hint="eastAsia"/>
        </w:rPr>
        <w:t>條規定，則指於一年以內</w:t>
      </w:r>
      <w:proofErr w:type="gramStart"/>
      <w:r>
        <w:rPr>
          <w:rFonts w:ascii="新細明體" w:hAnsi="新細明體" w:hint="eastAsia"/>
        </w:rPr>
        <w:t>期間，</w:t>
      </w:r>
      <w:proofErr w:type="gramEnd"/>
      <w:r>
        <w:rPr>
          <w:rFonts w:ascii="新細明體" w:hAnsi="新細明體" w:hint="eastAsia"/>
        </w:rPr>
        <w:t>減去相當於每月俸給五分之一以內之給與。平成</w:t>
      </w:r>
      <w:r>
        <w:rPr>
          <w:rFonts w:ascii="新細明體" w:hAnsi="新細明體" w:hint="eastAsia"/>
        </w:rPr>
        <w:t>17</w:t>
      </w:r>
      <w:r>
        <w:rPr>
          <w:rFonts w:ascii="新細明體" w:hAnsi="新細明體" w:hint="eastAsia"/>
        </w:rPr>
        <w:t>年（</w:t>
      </w:r>
      <w:r>
        <w:rPr>
          <w:rFonts w:ascii="新細明體" w:hAnsi="新細明體" w:hint="eastAsia"/>
        </w:rPr>
        <w:t>2005</w:t>
      </w:r>
      <w:r>
        <w:rPr>
          <w:rFonts w:ascii="新細明體" w:hAnsi="新細明體" w:hint="eastAsia"/>
        </w:rPr>
        <w:t>年）當中，一般職公務員部分有</w:t>
      </w:r>
      <w:r>
        <w:rPr>
          <w:rFonts w:ascii="新細明體" w:hAnsi="新細明體" w:hint="eastAsia"/>
        </w:rPr>
        <w:t>1375</w:t>
      </w:r>
      <w:r>
        <w:rPr>
          <w:rFonts w:ascii="新細明體" w:hAnsi="新細明體" w:hint="eastAsia"/>
        </w:rPr>
        <w:t>件。關於停職，一般職公務員部分於不超過一年為限，以人事院規則定之。依此，人事院規則</w:t>
      </w:r>
      <w:r>
        <w:rPr>
          <w:rFonts w:ascii="新細明體" w:hAnsi="新細明體" w:hint="eastAsia"/>
        </w:rPr>
        <w:t>12-0</w:t>
      </w:r>
      <w:r>
        <w:rPr>
          <w:rFonts w:ascii="新細明體" w:hAnsi="新細明體" w:hint="eastAsia"/>
        </w:rPr>
        <w:t>第</w:t>
      </w:r>
      <w:r>
        <w:rPr>
          <w:rFonts w:ascii="新細明體" w:hAnsi="新細明體" w:hint="eastAsia"/>
        </w:rPr>
        <w:t>2</w:t>
      </w:r>
      <w:r>
        <w:rPr>
          <w:rFonts w:ascii="新細明體" w:hAnsi="新細明體" w:hint="eastAsia"/>
        </w:rPr>
        <w:t>條規定，停職期間為一日以上一年以下，期間不予俸給。</w:t>
      </w:r>
    </w:p>
    <w:p w:rsidR="00000000" w:rsidRDefault="00CB4FE6">
      <w:pPr>
        <w:spacing w:line="360" w:lineRule="auto"/>
        <w:jc w:val="both"/>
        <w:rPr>
          <w:rFonts w:ascii="新細明體" w:hAnsi="新細明體" w:hint="eastAsia"/>
        </w:rPr>
      </w:pPr>
      <w:r>
        <w:rPr>
          <w:rFonts w:ascii="新細明體" w:hAnsi="新細明體" w:hint="eastAsia"/>
        </w:rPr>
        <w:t xml:space="preserve">    </w:t>
      </w:r>
      <w:proofErr w:type="gramStart"/>
      <w:r>
        <w:rPr>
          <w:rFonts w:ascii="新細明體" w:hAnsi="新細明體" w:hint="eastAsia"/>
        </w:rPr>
        <w:t>此外，</w:t>
      </w:r>
      <w:proofErr w:type="gramEnd"/>
      <w:r>
        <w:rPr>
          <w:rFonts w:ascii="新細明體" w:hAnsi="新細明體" w:hint="eastAsia"/>
        </w:rPr>
        <w:t>就懲戒事由是否存在、應否給與懲戒處分、應選擇何種懲戒處分等，係由任命</w:t>
      </w:r>
      <w:proofErr w:type="gramStart"/>
      <w:r>
        <w:rPr>
          <w:rFonts w:ascii="新細明體" w:hAnsi="新細明體" w:hint="eastAsia"/>
        </w:rPr>
        <w:t>權者裁量</w:t>
      </w:r>
      <w:proofErr w:type="gramEnd"/>
      <w:r>
        <w:rPr>
          <w:rFonts w:ascii="新細明體" w:hAnsi="新細明體" w:hint="eastAsia"/>
        </w:rPr>
        <w:t>。為避免任命權者之裁量歧異，人事院訂有</w:t>
      </w:r>
      <w:r>
        <w:rPr>
          <w:rFonts w:ascii="新細明體" w:hAnsi="新細明體" w:hint="eastAsia"/>
        </w:rPr>
        <w:t>『懲戒處分指針</w:t>
      </w:r>
      <w:proofErr w:type="gramStart"/>
      <w:r>
        <w:rPr>
          <w:rFonts w:ascii="新細明體" w:hAnsi="新細明體" w:hint="eastAsia"/>
        </w:rPr>
        <w:t>（</w:t>
      </w:r>
      <w:proofErr w:type="gramEnd"/>
      <w:r>
        <w:rPr>
          <w:rFonts w:ascii="新細明體" w:hAnsi="新細明體" w:hint="eastAsia"/>
        </w:rPr>
        <w:t>原名為「懲戒處分の指針</w:t>
      </w:r>
      <w:r>
        <w:rPr>
          <w:rFonts w:ascii="新細明體" w:hAnsi="新細明體"/>
        </w:rPr>
        <w:t>について</w:t>
      </w:r>
      <w:r>
        <w:rPr>
          <w:rFonts w:ascii="新細明體" w:hAnsi="新細明體" w:hint="eastAsia"/>
        </w:rPr>
        <w:t>」）』（平成</w:t>
      </w:r>
      <w:r>
        <w:rPr>
          <w:rFonts w:ascii="新細明體" w:hAnsi="新細明體" w:hint="eastAsia"/>
        </w:rPr>
        <w:t>12</w:t>
      </w:r>
      <w:r>
        <w:rPr>
          <w:rFonts w:ascii="新細明體" w:hAnsi="新細明體" w:hint="eastAsia"/>
        </w:rPr>
        <w:t>年</w:t>
      </w:r>
      <w:r>
        <w:rPr>
          <w:rFonts w:ascii="新細明體" w:hAnsi="新細明體" w:hint="eastAsia"/>
        </w:rPr>
        <w:t>3</w:t>
      </w:r>
      <w:r>
        <w:rPr>
          <w:rFonts w:ascii="新細明體" w:hAnsi="新細明體" w:hint="eastAsia"/>
        </w:rPr>
        <w:t>月</w:t>
      </w:r>
      <w:r>
        <w:rPr>
          <w:rFonts w:ascii="新細明體" w:hAnsi="新細明體" w:hint="eastAsia"/>
        </w:rPr>
        <w:t>31</w:t>
      </w:r>
      <w:r>
        <w:rPr>
          <w:rFonts w:ascii="新細明體" w:hAnsi="新細明體" w:hint="eastAsia"/>
        </w:rPr>
        <w:t>日職職</w:t>
      </w:r>
      <w:r>
        <w:rPr>
          <w:rFonts w:ascii="新細明體" w:hAnsi="新細明體" w:hint="eastAsia"/>
        </w:rPr>
        <w:t>-68</w:t>
      </w:r>
      <w:r>
        <w:rPr>
          <w:rFonts w:ascii="新細明體" w:hAnsi="新細明體" w:hint="eastAsia"/>
        </w:rPr>
        <w:t>），另外，關於懲戒處分之公告，人事院則訂有「懲戒處分公告指針（原名為「懲戒處分の公表指針）」。公告範圍，包括職務執行行為及與其相關之行為，或對與職務無關行為之懲戒處分，包含免職或停職等處分。公告內容則涵蓋事實概要、處分決定、處</w:t>
      </w:r>
      <w:r>
        <w:rPr>
          <w:rFonts w:ascii="新細明體" w:hAnsi="新細明體" w:hint="eastAsia"/>
        </w:rPr>
        <w:lastRenderedPageBreak/>
        <w:t>分日期、被處分者之職等與基本資料，在個人不被識別之情形下予以公告</w:t>
      </w:r>
      <w:r>
        <w:rPr>
          <w:rStyle w:val="a4"/>
          <w:rFonts w:ascii="新細明體" w:hAnsi="新細明體"/>
        </w:rPr>
        <w:footnoteReference w:id="71"/>
      </w:r>
      <w:r>
        <w:rPr>
          <w:rFonts w:ascii="新細明體" w:hAnsi="新細明體" w:hint="eastAsia"/>
        </w:rPr>
        <w:t>。</w:t>
      </w:r>
    </w:p>
    <w:p w:rsidR="00000000" w:rsidRDefault="00CB4FE6">
      <w:pPr>
        <w:spacing w:line="360" w:lineRule="auto"/>
        <w:jc w:val="both"/>
        <w:rPr>
          <w:rFonts w:ascii="新細明體" w:hAnsi="新細明體" w:hint="eastAsia"/>
        </w:rPr>
      </w:pPr>
      <w:r>
        <w:rPr>
          <w:rFonts w:ascii="新細明體" w:hAnsi="新細明體" w:hint="eastAsia"/>
        </w:rPr>
        <w:t xml:space="preserve">    </w:t>
      </w:r>
      <w:proofErr w:type="gramStart"/>
      <w:r>
        <w:rPr>
          <w:rFonts w:ascii="新細明體" w:hAnsi="新細明體" w:hint="eastAsia"/>
        </w:rPr>
        <w:t>再者，</w:t>
      </w:r>
      <w:proofErr w:type="gramEnd"/>
      <w:r>
        <w:rPr>
          <w:rFonts w:ascii="新細明體" w:hAnsi="新細明體" w:hint="eastAsia"/>
        </w:rPr>
        <w:t>應交付懲戒之案件亦可能同時係屬於刑事法院，人事院或經人事院認定之任命權者仍應適當地進行懲戒程序。國家公務員法第</w:t>
      </w:r>
      <w:r>
        <w:rPr>
          <w:rFonts w:ascii="新細明體" w:hAnsi="新細明體" w:hint="eastAsia"/>
        </w:rPr>
        <w:t>85</w:t>
      </w:r>
      <w:r>
        <w:rPr>
          <w:rFonts w:ascii="新細明體" w:hAnsi="新細明體" w:hint="eastAsia"/>
        </w:rPr>
        <w:t>條規</w:t>
      </w:r>
      <w:r>
        <w:rPr>
          <w:rFonts w:ascii="新細明體" w:hAnsi="新細明體" w:hint="eastAsia"/>
        </w:rPr>
        <w:t>定，對於公務員同一或相關連案件進行懲戒時，並不妨礙其受刑事上之訴追。</w:t>
      </w:r>
    </w:p>
    <w:p w:rsidR="00000000" w:rsidRDefault="00CB4FE6">
      <w:pPr>
        <w:spacing w:line="360" w:lineRule="auto"/>
        <w:jc w:val="both"/>
        <w:rPr>
          <w:rFonts w:ascii="新細明體" w:hAnsi="新細明體" w:hint="eastAsia"/>
        </w:rPr>
      </w:pPr>
      <w:r>
        <w:rPr>
          <w:rFonts w:ascii="新細明體" w:hAnsi="新細明體" w:hint="eastAsia"/>
        </w:rPr>
        <w:t>3</w:t>
      </w:r>
      <w:r>
        <w:rPr>
          <w:rFonts w:ascii="新細明體" w:hAnsi="新細明體" w:hint="eastAsia"/>
        </w:rPr>
        <w:t>、處分之事前手續</w:t>
      </w:r>
    </w:p>
    <w:p w:rsidR="00000000" w:rsidRDefault="00CB4FE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最後，為提供公務員身分保障，應給與處分之事前手續保障。國家公務員法第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項及第</w:t>
      </w:r>
      <w:r>
        <w:rPr>
          <w:rFonts w:ascii="新細明體" w:hAnsi="新細明體" w:hint="eastAsia"/>
        </w:rPr>
        <w:t>3</w:t>
      </w:r>
      <w:r>
        <w:rPr>
          <w:rFonts w:ascii="新細明體" w:hAnsi="新細明體" w:hint="eastAsia"/>
        </w:rPr>
        <w:t>項與地方公務員法第</w:t>
      </w:r>
      <w:r>
        <w:rPr>
          <w:rFonts w:ascii="新細明體" w:hAnsi="新細明體" w:hint="eastAsia"/>
        </w:rPr>
        <w:t>49</w:t>
      </w:r>
      <w:r>
        <w:rPr>
          <w:rFonts w:ascii="新細明體" w:hAnsi="新細明體" w:hint="eastAsia"/>
        </w:rPr>
        <w:t>條第</w:t>
      </w:r>
      <w:r>
        <w:rPr>
          <w:rFonts w:ascii="新細明體" w:hAnsi="新細明體" w:hint="eastAsia"/>
        </w:rPr>
        <w:t>1</w:t>
      </w:r>
      <w:r>
        <w:rPr>
          <w:rFonts w:ascii="新細明體" w:hAnsi="新細明體" w:hint="eastAsia"/>
        </w:rPr>
        <w:t>項及第</w:t>
      </w:r>
      <w:r>
        <w:rPr>
          <w:rFonts w:ascii="新細明體" w:hAnsi="新細明體" w:hint="eastAsia"/>
        </w:rPr>
        <w:t>4</w:t>
      </w:r>
      <w:r>
        <w:rPr>
          <w:rFonts w:ascii="新細明體" w:hAnsi="新細明體" w:hint="eastAsia"/>
        </w:rPr>
        <w:t>項規定，送達處分時，必須同時交付記載處分理由及不服處分之</w:t>
      </w:r>
      <w:proofErr w:type="gramStart"/>
      <w:r>
        <w:rPr>
          <w:rFonts w:ascii="新細明體" w:hAnsi="新細明體" w:hint="eastAsia"/>
        </w:rPr>
        <w:t>救濟教示的</w:t>
      </w:r>
      <w:proofErr w:type="gramEnd"/>
      <w:r>
        <w:rPr>
          <w:rFonts w:ascii="新細明體" w:hAnsi="新細明體" w:hint="eastAsia"/>
        </w:rPr>
        <w:t>說明書。而處分理由說明書之交付義務，不限於違反其本人意思之</w:t>
      </w:r>
      <w:proofErr w:type="gramStart"/>
      <w:r>
        <w:rPr>
          <w:rFonts w:ascii="新細明體" w:hAnsi="新細明體" w:hint="eastAsia"/>
        </w:rPr>
        <w:t>降休、降任</w:t>
      </w:r>
      <w:proofErr w:type="gramEnd"/>
      <w:r>
        <w:rPr>
          <w:rFonts w:ascii="新細明體" w:hAnsi="新細明體" w:hint="eastAsia"/>
        </w:rPr>
        <w:t>、休職、免職等懲戒處分，其他「明顯之不利益處分」（國家公務員法第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項）或「不利益處分」（地方公務員法第</w:t>
      </w:r>
      <w:r>
        <w:rPr>
          <w:rFonts w:ascii="新細明體" w:hAnsi="新細明體" w:hint="eastAsia"/>
        </w:rPr>
        <w:t>49</w:t>
      </w:r>
      <w:r>
        <w:rPr>
          <w:rFonts w:ascii="新細明體" w:hAnsi="新細明體" w:hint="eastAsia"/>
        </w:rPr>
        <w:t>條第</w:t>
      </w:r>
      <w:r>
        <w:rPr>
          <w:rFonts w:ascii="新細明體" w:hAnsi="新細明體" w:hint="eastAsia"/>
        </w:rPr>
        <w:t>1</w:t>
      </w:r>
      <w:r>
        <w:rPr>
          <w:rFonts w:ascii="新細明體" w:hAnsi="新細明體" w:hint="eastAsia"/>
        </w:rPr>
        <w:t>項），例如，違反其意思之轉任處分或取消</w:t>
      </w:r>
      <w:r>
        <w:rPr>
          <w:rFonts w:ascii="新細明體" w:hAnsi="新細明體" w:hint="eastAsia"/>
        </w:rPr>
        <w:t>年次休假處分等，亦屬之。又受處分之公務員認為有受「明顯之不利益處分」或「不利益處分」時，亦得請求交付前述之說明書（國家公務員法第</w:t>
      </w:r>
      <w:r>
        <w:rPr>
          <w:rFonts w:ascii="新細明體" w:hAnsi="新細明體" w:hint="eastAsia"/>
        </w:rPr>
        <w:t>89</w:t>
      </w:r>
      <w:r>
        <w:rPr>
          <w:rFonts w:ascii="新細明體" w:hAnsi="新細明體" w:hint="eastAsia"/>
        </w:rPr>
        <w:t>條第</w:t>
      </w:r>
      <w:r>
        <w:rPr>
          <w:rFonts w:ascii="新細明體" w:hAnsi="新細明體" w:hint="eastAsia"/>
        </w:rPr>
        <w:t>2</w:t>
      </w:r>
      <w:r>
        <w:rPr>
          <w:rFonts w:ascii="新細明體" w:hAnsi="新細明體" w:hint="eastAsia"/>
        </w:rPr>
        <w:t>項、地方公務員法第</w:t>
      </w:r>
      <w:r>
        <w:rPr>
          <w:rFonts w:ascii="新細明體" w:hAnsi="新細明體" w:hint="eastAsia"/>
        </w:rPr>
        <w:t>49</w:t>
      </w:r>
      <w:r>
        <w:rPr>
          <w:rFonts w:ascii="新細明體" w:hAnsi="新細明體" w:hint="eastAsia"/>
        </w:rPr>
        <w:t>條第</w:t>
      </w:r>
      <w:r>
        <w:rPr>
          <w:rFonts w:ascii="新細明體" w:hAnsi="新細明體" w:hint="eastAsia"/>
        </w:rPr>
        <w:t>2</w:t>
      </w:r>
      <w:r>
        <w:rPr>
          <w:rFonts w:ascii="新細明體" w:hAnsi="新細明體" w:hint="eastAsia"/>
        </w:rPr>
        <w:t>項）。不過，學者認為，以處分理由說明書之交付作為事前手續並不完備。蓋日本行政手續法中關於行政處分及行政指導之規定於公務員受懲戒處分時並不適用，故事前聽取該公務員之意見並非義務。依照，日本國憲法中正當程序之要求，國家公務員法與地方公務員法之規定，顯有不足</w:t>
      </w:r>
      <w:r>
        <w:rPr>
          <w:rStyle w:val="a4"/>
          <w:rFonts w:ascii="新細明體" w:hAnsi="新細明體"/>
        </w:rPr>
        <w:footnoteReference w:id="72"/>
      </w:r>
      <w:r>
        <w:rPr>
          <w:rFonts w:ascii="新細明體" w:hAnsi="新細明體" w:hint="eastAsia"/>
        </w:rPr>
        <w:t>。</w:t>
      </w:r>
    </w:p>
    <w:p w:rsidR="00000000" w:rsidRDefault="00CB4FE6">
      <w:pPr>
        <w:spacing w:line="360" w:lineRule="auto"/>
        <w:ind w:firstLineChars="200" w:firstLine="480"/>
        <w:jc w:val="both"/>
        <w:rPr>
          <w:rFonts w:ascii="新細明體" w:hAnsi="新細明體" w:hint="eastAsia"/>
        </w:rPr>
      </w:pPr>
    </w:p>
    <w:p w:rsidR="00000000" w:rsidRDefault="00CB4FE6">
      <w:pPr>
        <w:spacing w:line="360" w:lineRule="auto"/>
        <w:jc w:val="both"/>
        <w:rPr>
          <w:rFonts w:ascii="新細明體" w:hAnsi="新細明體" w:hint="eastAsia"/>
        </w:rPr>
      </w:pPr>
      <w:r>
        <w:rPr>
          <w:rFonts w:ascii="新細明體" w:hAnsi="新細明體" w:hint="eastAsia"/>
        </w:rPr>
        <w:t>五、保障組織</w:t>
      </w:r>
    </w:p>
    <w:p w:rsidR="00000000" w:rsidRDefault="00CB4FE6">
      <w:pPr>
        <w:spacing w:line="360" w:lineRule="auto"/>
        <w:ind w:firstLineChars="184" w:firstLine="478"/>
        <w:jc w:val="both"/>
        <w:rPr>
          <w:rFonts w:hint="eastAsia"/>
          <w:spacing w:val="10"/>
        </w:rPr>
      </w:pPr>
      <w:proofErr w:type="gramStart"/>
      <w:r>
        <w:rPr>
          <w:rFonts w:hint="eastAsia"/>
          <w:spacing w:val="10"/>
        </w:rPr>
        <w:t>此外，</w:t>
      </w:r>
      <w:proofErr w:type="gramEnd"/>
      <w:r>
        <w:rPr>
          <w:rFonts w:hint="eastAsia"/>
          <w:spacing w:val="10"/>
        </w:rPr>
        <w:t>保障制度之實施，有賴於保障組織之設置。如前所述，日本之公務員制度係</w:t>
      </w:r>
      <w:proofErr w:type="gramStart"/>
      <w:r>
        <w:rPr>
          <w:rFonts w:hint="eastAsia"/>
          <w:spacing w:val="10"/>
        </w:rPr>
        <w:t>採</w:t>
      </w:r>
      <w:proofErr w:type="gramEnd"/>
      <w:r>
        <w:rPr>
          <w:rFonts w:hint="eastAsia"/>
          <w:spacing w:val="10"/>
        </w:rPr>
        <w:t>國家公務員與地方公務員並行之「雙軌制」。其保障組織之法源依據亦分別來自國家公務員法、人事院規則及地方公務員法。</w:t>
      </w:r>
    </w:p>
    <w:p w:rsidR="00000000" w:rsidRDefault="00CB4FE6">
      <w:pPr>
        <w:spacing w:line="360" w:lineRule="auto"/>
        <w:jc w:val="both"/>
        <w:rPr>
          <w:rFonts w:hint="eastAsia"/>
          <w:spacing w:val="10"/>
        </w:rPr>
      </w:pPr>
      <w:r>
        <w:rPr>
          <w:rFonts w:hint="eastAsia"/>
          <w:spacing w:val="10"/>
        </w:rPr>
        <w:t>（一）人事院</w:t>
      </w:r>
    </w:p>
    <w:p w:rsidR="00000000" w:rsidRDefault="00CB4FE6">
      <w:pPr>
        <w:spacing w:line="360" w:lineRule="auto"/>
        <w:ind w:firstLineChars="184" w:firstLine="478"/>
        <w:jc w:val="both"/>
        <w:rPr>
          <w:rFonts w:hint="eastAsia"/>
          <w:spacing w:val="10"/>
        </w:rPr>
      </w:pPr>
      <w:r>
        <w:rPr>
          <w:rFonts w:hint="eastAsia"/>
          <w:spacing w:val="10"/>
        </w:rPr>
        <w:t>在中央層面，主管公務員保障之機關為人事院。</w:t>
      </w:r>
      <w:r>
        <w:rPr>
          <w:spacing w:val="10"/>
        </w:rPr>
        <w:t>依</w:t>
      </w:r>
      <w:r>
        <w:rPr>
          <w:rFonts w:hint="eastAsia"/>
          <w:spacing w:val="10"/>
        </w:rPr>
        <w:t>照</w:t>
      </w:r>
      <w:r>
        <w:rPr>
          <w:spacing w:val="10"/>
        </w:rPr>
        <w:t>國家公務員法第</w:t>
      </w:r>
      <w:r>
        <w:rPr>
          <w:rFonts w:hint="eastAsia"/>
          <w:spacing w:val="10"/>
        </w:rPr>
        <w:lastRenderedPageBreak/>
        <w:t>3</w:t>
      </w:r>
      <w:r>
        <w:rPr>
          <w:spacing w:val="10"/>
        </w:rPr>
        <w:t>條</w:t>
      </w:r>
      <w:r>
        <w:rPr>
          <w:rFonts w:hint="eastAsia"/>
          <w:spacing w:val="10"/>
        </w:rPr>
        <w:t>第</w:t>
      </w:r>
      <w:r>
        <w:rPr>
          <w:rFonts w:hint="eastAsia"/>
          <w:spacing w:val="10"/>
        </w:rPr>
        <w:t>1</w:t>
      </w:r>
      <w:r>
        <w:rPr>
          <w:rFonts w:hint="eastAsia"/>
          <w:spacing w:val="10"/>
        </w:rPr>
        <w:t>項</w:t>
      </w:r>
      <w:r>
        <w:rPr>
          <w:spacing w:val="10"/>
        </w:rPr>
        <w:t>規定，</w:t>
      </w:r>
      <w:r>
        <w:rPr>
          <w:rFonts w:hint="eastAsia"/>
          <w:spacing w:val="10"/>
        </w:rPr>
        <w:t>於</w:t>
      </w:r>
      <w:r>
        <w:rPr>
          <w:spacing w:val="10"/>
        </w:rPr>
        <w:t>內閣</w:t>
      </w:r>
      <w:r>
        <w:rPr>
          <w:rFonts w:hint="eastAsia"/>
          <w:spacing w:val="10"/>
        </w:rPr>
        <w:t>所</w:t>
      </w:r>
      <w:r>
        <w:rPr>
          <w:spacing w:val="10"/>
        </w:rPr>
        <w:t>轄</w:t>
      </w:r>
      <w:r>
        <w:rPr>
          <w:rFonts w:hint="eastAsia"/>
          <w:spacing w:val="10"/>
        </w:rPr>
        <w:t>之</w:t>
      </w:r>
      <w:r>
        <w:rPr>
          <w:spacing w:val="10"/>
        </w:rPr>
        <w:t>下設置</w:t>
      </w:r>
      <w:r>
        <w:rPr>
          <w:rFonts w:hint="eastAsia"/>
          <w:spacing w:val="10"/>
        </w:rPr>
        <w:t>人事院。人事院必須依照此法所定之基準向</w:t>
      </w:r>
      <w:r>
        <w:rPr>
          <w:spacing w:val="10"/>
        </w:rPr>
        <w:t>內閣提出報告</w:t>
      </w:r>
      <w:r>
        <w:rPr>
          <w:rFonts w:hint="eastAsia"/>
          <w:spacing w:val="10"/>
        </w:rPr>
        <w:t>。人事院雖置於內閣之下，然具有極強之</w:t>
      </w:r>
      <w:r>
        <w:rPr>
          <w:spacing w:val="10"/>
        </w:rPr>
        <w:t>獨立性</w:t>
      </w:r>
      <w:r>
        <w:rPr>
          <w:rFonts w:hint="eastAsia"/>
          <w:spacing w:val="10"/>
        </w:rPr>
        <w:t>。同</w:t>
      </w:r>
      <w:r>
        <w:rPr>
          <w:spacing w:val="10"/>
        </w:rPr>
        <w:t>條</w:t>
      </w:r>
      <w:r>
        <w:rPr>
          <w:rFonts w:hint="eastAsia"/>
          <w:spacing w:val="10"/>
        </w:rPr>
        <w:t>第</w:t>
      </w:r>
      <w:r>
        <w:rPr>
          <w:rFonts w:hint="eastAsia"/>
          <w:spacing w:val="10"/>
        </w:rPr>
        <w:t>3</w:t>
      </w:r>
      <w:r>
        <w:rPr>
          <w:rFonts w:hint="eastAsia"/>
          <w:spacing w:val="10"/>
        </w:rPr>
        <w:t>項即規定：「</w:t>
      </w:r>
      <w:r>
        <w:rPr>
          <w:spacing w:val="10"/>
        </w:rPr>
        <w:t>人事院</w:t>
      </w:r>
      <w:r>
        <w:rPr>
          <w:rFonts w:hint="eastAsia"/>
          <w:spacing w:val="10"/>
        </w:rPr>
        <w:t>之決定及處分僅由人事院審查」。此項規定之目的在於禁止其他機關介入人事院之職權行使。</w:t>
      </w:r>
    </w:p>
    <w:p w:rsidR="00000000" w:rsidRDefault="00CB4FE6">
      <w:pPr>
        <w:spacing w:line="360" w:lineRule="auto"/>
        <w:ind w:firstLineChars="184" w:firstLine="478"/>
        <w:jc w:val="both"/>
        <w:rPr>
          <w:rFonts w:ascii="新細明體" w:hAnsi="新細明體"/>
          <w:spacing w:val="10"/>
        </w:rPr>
      </w:pPr>
      <w:r>
        <w:rPr>
          <w:rFonts w:ascii="新細明體" w:hAnsi="新細明體" w:hint="eastAsia"/>
          <w:spacing w:val="10"/>
        </w:rPr>
        <w:t>又同法</w:t>
      </w:r>
      <w:r>
        <w:rPr>
          <w:rFonts w:ascii="新細明體" w:hAnsi="新細明體"/>
          <w:spacing w:val="10"/>
        </w:rPr>
        <w:t>第</w:t>
      </w:r>
      <w:r>
        <w:rPr>
          <w:rFonts w:ascii="新細明體" w:hAnsi="新細明體" w:hint="eastAsia"/>
          <w:spacing w:val="10"/>
        </w:rPr>
        <w:t>4</w:t>
      </w:r>
      <w:r>
        <w:rPr>
          <w:rFonts w:ascii="新細明體" w:hAnsi="新細明體"/>
          <w:spacing w:val="10"/>
        </w:rPr>
        <w:t>條第</w:t>
      </w:r>
      <w:r>
        <w:rPr>
          <w:rFonts w:ascii="新細明體" w:hAnsi="新細明體" w:hint="eastAsia"/>
          <w:spacing w:val="10"/>
        </w:rPr>
        <w:t>4</w:t>
      </w:r>
      <w:r>
        <w:rPr>
          <w:rFonts w:ascii="新細明體" w:hAnsi="新細明體"/>
          <w:spacing w:val="10"/>
        </w:rPr>
        <w:t>項規定：「人事院管理其內部機構</w:t>
      </w:r>
      <w:r>
        <w:rPr>
          <w:rFonts w:ascii="新細明體" w:hAnsi="新細明體" w:hint="eastAsia"/>
          <w:spacing w:val="10"/>
        </w:rPr>
        <w:t>。</w:t>
      </w:r>
      <w:r>
        <w:rPr>
          <w:rFonts w:ascii="新細明體" w:hAnsi="新細明體"/>
          <w:spacing w:val="10"/>
        </w:rPr>
        <w:t>國家行政組織法（昭和</w:t>
      </w:r>
      <w:r>
        <w:rPr>
          <w:rFonts w:ascii="新細明體" w:hAnsi="新細明體" w:hint="eastAsia"/>
          <w:spacing w:val="10"/>
        </w:rPr>
        <w:t>二十三</w:t>
      </w:r>
      <w:r>
        <w:rPr>
          <w:rFonts w:ascii="新細明體" w:hAnsi="新細明體"/>
          <w:spacing w:val="10"/>
        </w:rPr>
        <w:t>年法律第</w:t>
      </w:r>
      <w:r>
        <w:rPr>
          <w:rFonts w:ascii="新細明體" w:hAnsi="新細明體" w:hint="eastAsia"/>
          <w:spacing w:val="10"/>
        </w:rPr>
        <w:t>一二</w:t>
      </w:r>
      <w:r>
        <w:rPr>
          <w:rFonts w:ascii="新細明體" w:hAnsi="新細明體" w:hint="eastAsia"/>
          <w:spacing w:val="10"/>
        </w:rPr>
        <w:t>０</w:t>
      </w:r>
      <w:r>
        <w:rPr>
          <w:rFonts w:ascii="新細明體" w:hAnsi="新細明體"/>
          <w:spacing w:val="10"/>
        </w:rPr>
        <w:t>號）不適用</w:t>
      </w:r>
      <w:r>
        <w:rPr>
          <w:rFonts w:ascii="新細明體" w:hAnsi="新細明體" w:hint="eastAsia"/>
          <w:spacing w:val="10"/>
        </w:rPr>
        <w:t>於</w:t>
      </w:r>
      <w:r>
        <w:rPr>
          <w:rFonts w:ascii="新細明體" w:hAnsi="新細明體"/>
          <w:spacing w:val="10"/>
        </w:rPr>
        <w:t>人事院。」是</w:t>
      </w:r>
      <w:proofErr w:type="gramStart"/>
      <w:r>
        <w:rPr>
          <w:rFonts w:ascii="新細明體" w:hAnsi="新細明體"/>
          <w:spacing w:val="10"/>
        </w:rPr>
        <w:t>以</w:t>
      </w:r>
      <w:proofErr w:type="gramEnd"/>
      <w:r>
        <w:rPr>
          <w:rFonts w:ascii="新細明體" w:hAnsi="新細明體"/>
          <w:spacing w:val="10"/>
        </w:rPr>
        <w:t>，法律賦予人事院相當超然獨立之地位，得不受「國家行政組織法」限制，得就其所掌事務為</w:t>
      </w:r>
      <w:r>
        <w:rPr>
          <w:rFonts w:ascii="新細明體" w:hAnsi="新細明體" w:hint="eastAsia"/>
          <w:spacing w:val="10"/>
        </w:rPr>
        <w:t>執行</w:t>
      </w:r>
      <w:r>
        <w:rPr>
          <w:rFonts w:ascii="新細明體" w:hAnsi="新細明體"/>
          <w:spacing w:val="10"/>
        </w:rPr>
        <w:t>法律，或依法律之授權，制訂人事院規則，發佈人事院指令並規定其程序，並可自設內部組織，自訂員額。</w:t>
      </w:r>
    </w:p>
    <w:p w:rsidR="00000000" w:rsidRDefault="00CB4FE6">
      <w:pPr>
        <w:spacing w:line="360" w:lineRule="auto"/>
        <w:ind w:firstLineChars="200" w:firstLine="520"/>
        <w:jc w:val="both"/>
        <w:rPr>
          <w:rFonts w:ascii="新細明體" w:hAnsi="新細明體" w:hint="eastAsia"/>
        </w:rPr>
      </w:pPr>
      <w:r>
        <w:rPr>
          <w:rFonts w:ascii="新細明體" w:hAnsi="新細明體"/>
          <w:spacing w:val="10"/>
        </w:rPr>
        <w:t>人事院之任務乃確保公務員人事管理的中立性、公正性，在內閣制下，不受政黨政治之影響，使國民對行政機關寄予信任，做為獨立、公正、中立、專門的人事行政機關，確實推動施政以因應情勢，並</w:t>
      </w:r>
      <w:r>
        <w:rPr>
          <w:rFonts w:ascii="新細明體" w:hAnsi="新細明體" w:hint="eastAsia"/>
          <w:spacing w:val="10"/>
        </w:rPr>
        <w:t>施行</w:t>
      </w:r>
      <w:r>
        <w:rPr>
          <w:rFonts w:ascii="新細明體" w:hAnsi="新細明體"/>
          <w:spacing w:val="10"/>
        </w:rPr>
        <w:t>有效率的行政運作。人事院依法掌理俸給及其他服務條件暨人事行政改善之建議</w:t>
      </w:r>
      <w:r>
        <w:rPr>
          <w:rFonts w:ascii="新細明體" w:hAnsi="新細明體" w:hint="eastAsia"/>
          <w:spacing w:val="10"/>
        </w:rPr>
        <w:t>、</w:t>
      </w:r>
      <w:r>
        <w:rPr>
          <w:rFonts w:ascii="新細明體" w:hAnsi="新細明體"/>
          <w:spacing w:val="10"/>
        </w:rPr>
        <w:t>職位分類、考試及任免、俸給、訓練進修、身份變更、懲</w:t>
      </w:r>
      <w:r>
        <w:rPr>
          <w:rFonts w:ascii="新細明體" w:hAnsi="新細明體"/>
          <w:spacing w:val="10"/>
        </w:rPr>
        <w:t>戒、申誡之處理、擔任職務倫理之保持，以及其他確保人事行政之公平及保證職員福利之事務。目前人事院之組織架構</w:t>
      </w:r>
      <w:r>
        <w:rPr>
          <w:rFonts w:ascii="新細明體" w:hAnsi="新細明體" w:hint="eastAsia"/>
          <w:spacing w:val="10"/>
        </w:rPr>
        <w:t>。關於保障程序，則於以下之救濟類型中加以說明。</w:t>
      </w:r>
    </w:p>
    <w:p w:rsidR="00000000" w:rsidRDefault="00CB4FE6">
      <w:pPr>
        <w:spacing w:line="360" w:lineRule="auto"/>
        <w:jc w:val="both"/>
        <w:rPr>
          <w:rFonts w:ascii="新細明體" w:hAnsi="新細明體" w:hint="eastAsia"/>
        </w:rPr>
      </w:pPr>
      <w:r>
        <w:rPr>
          <w:rFonts w:hint="eastAsia"/>
          <w:spacing w:val="10"/>
        </w:rPr>
        <w:t>（二）人事委員會及公平委員會</w:t>
      </w:r>
    </w:p>
    <w:p w:rsidR="00000000" w:rsidRDefault="00CB4FE6">
      <w:pPr>
        <w:spacing w:line="360" w:lineRule="auto"/>
        <w:ind w:leftChars="-46" w:left="-110" w:firstLineChars="150" w:firstLine="390"/>
        <w:jc w:val="both"/>
        <w:rPr>
          <w:rFonts w:hint="eastAsia"/>
        </w:rPr>
      </w:pPr>
      <w:r>
        <w:rPr>
          <w:rFonts w:hint="eastAsia"/>
          <w:spacing w:val="10"/>
        </w:rPr>
        <w:t>在地方自治團體層面，主管公務員保障之機關為人事委員會或公平委員會。依照地方公務員法</w:t>
      </w:r>
      <w:r>
        <w:rPr>
          <w:rStyle w:val="a7"/>
          <w:rFonts w:ascii="新細明體" w:hAnsi="新細明體" w:hint="eastAsia"/>
          <w:b w:val="0"/>
          <w:lang w:eastAsia="ja-JP"/>
        </w:rPr>
        <w:t>第７</w:t>
      </w:r>
      <w:r>
        <w:rPr>
          <w:rStyle w:val="a7"/>
          <w:rFonts w:ascii="新細明體" w:hAnsi="新細明體" w:hint="eastAsia"/>
          <w:b w:val="0"/>
        </w:rPr>
        <w:t>條規定，</w:t>
      </w:r>
      <w:r>
        <w:rPr>
          <w:rFonts w:hint="eastAsia"/>
          <w:lang w:eastAsia="ja-JP"/>
        </w:rPr>
        <w:t>都道府</w:t>
      </w:r>
      <w:r>
        <w:rPr>
          <w:rFonts w:hint="eastAsia"/>
        </w:rPr>
        <w:t>縣</w:t>
      </w:r>
      <w:r>
        <w:rPr>
          <w:rFonts w:hint="eastAsia"/>
          <w:lang w:eastAsia="ja-JP"/>
        </w:rPr>
        <w:t>及地方自治法</w:t>
      </w:r>
      <w:proofErr w:type="gramStart"/>
      <w:r>
        <w:rPr>
          <w:rFonts w:hint="eastAsia"/>
          <w:lang w:eastAsia="ja-JP"/>
        </w:rPr>
        <w:t>（</w:t>
      </w:r>
      <w:proofErr w:type="gramEnd"/>
      <w:r>
        <w:rPr>
          <w:rFonts w:hint="eastAsia"/>
          <w:lang w:eastAsia="ja-JP"/>
        </w:rPr>
        <w:t>昭和</w:t>
      </w:r>
      <w:r>
        <w:rPr>
          <w:rFonts w:hint="eastAsia"/>
        </w:rPr>
        <w:t>22</w:t>
      </w:r>
      <w:r>
        <w:rPr>
          <w:rFonts w:hint="eastAsia"/>
          <w:lang w:eastAsia="ja-JP"/>
        </w:rPr>
        <w:t>年法律</w:t>
      </w:r>
      <w:r>
        <w:rPr>
          <w:rFonts w:hint="eastAsia"/>
        </w:rPr>
        <w:t>67</w:t>
      </w:r>
      <w:r>
        <w:rPr>
          <w:rFonts w:hint="eastAsia"/>
          <w:lang w:eastAsia="ja-JP"/>
        </w:rPr>
        <w:t>号）</w:t>
      </w:r>
      <w:hyperlink r:id="rId14" w:anchor="252-19" w:tgtFrame="san" w:history="1">
        <w:r>
          <w:rPr>
            <w:rStyle w:val="a6"/>
            <w:rFonts w:hint="eastAsia"/>
            <w:color w:val="auto"/>
            <w:u w:val="none"/>
            <w:lang w:eastAsia="ja-JP"/>
          </w:rPr>
          <w:t>第</w:t>
        </w:r>
        <w:r>
          <w:rPr>
            <w:rStyle w:val="a6"/>
            <w:rFonts w:hint="eastAsia"/>
            <w:color w:val="auto"/>
            <w:u w:val="none"/>
          </w:rPr>
          <w:t>252</w:t>
        </w:r>
        <w:r>
          <w:rPr>
            <w:rStyle w:val="a6"/>
            <w:rFonts w:hint="eastAsia"/>
            <w:color w:val="auto"/>
            <w:u w:val="none"/>
          </w:rPr>
          <w:t>條之</w:t>
        </w:r>
        <w:r>
          <w:rPr>
            <w:rStyle w:val="a6"/>
            <w:rFonts w:hint="eastAsia"/>
            <w:color w:val="auto"/>
            <w:u w:val="none"/>
          </w:rPr>
          <w:t>19</w:t>
        </w:r>
      </w:hyperlink>
      <w:r>
        <w:rPr>
          <w:rFonts w:hint="eastAsia"/>
          <w:lang w:eastAsia="ja-JP"/>
        </w:rPr>
        <w:t>第１項</w:t>
      </w:r>
      <w:r>
        <w:rPr>
          <w:rFonts w:hint="eastAsia"/>
        </w:rPr>
        <w:t>所</w:t>
      </w:r>
      <w:r>
        <w:rPr>
          <w:rFonts w:hint="eastAsia"/>
          <w:lang w:eastAsia="ja-JP"/>
        </w:rPr>
        <w:t>指定都市</w:t>
      </w:r>
      <w:r>
        <w:rPr>
          <w:rFonts w:hint="eastAsia"/>
        </w:rPr>
        <w:t>（依</w:t>
      </w:r>
      <w:r>
        <w:t>政</w:t>
      </w:r>
      <w:r>
        <w:t>令</w:t>
      </w:r>
      <w:r>
        <w:rPr>
          <w:rFonts w:hint="eastAsia"/>
        </w:rPr>
        <w:t>所</w:t>
      </w:r>
      <w:r>
        <w:t>指定人口五十</w:t>
      </w:r>
      <w:r>
        <w:rPr>
          <w:rFonts w:hint="eastAsia"/>
        </w:rPr>
        <w:t>萬</w:t>
      </w:r>
      <w:r>
        <w:t>以上</w:t>
      </w:r>
      <w:r>
        <w:rPr>
          <w:rFonts w:hint="eastAsia"/>
        </w:rPr>
        <w:t>的都</w:t>
      </w:r>
      <w:r>
        <w:t>市</w:t>
      </w:r>
      <w:r>
        <w:rPr>
          <w:rFonts w:hint="eastAsia"/>
        </w:rPr>
        <w:t>）以條例設置</w:t>
      </w:r>
      <w:r>
        <w:rPr>
          <w:rFonts w:hint="eastAsia"/>
          <w:lang w:eastAsia="ja-JP"/>
        </w:rPr>
        <w:t>人事委員</w:t>
      </w:r>
      <w:r>
        <w:rPr>
          <w:rFonts w:hint="eastAsia"/>
        </w:rPr>
        <w:t>會</w:t>
      </w:r>
      <w:r>
        <w:rPr>
          <w:rFonts w:hint="eastAsia"/>
          <w:lang w:eastAsia="ja-JP"/>
        </w:rPr>
        <w:t>。前項指定都市以外</w:t>
      </w:r>
      <w:r>
        <w:rPr>
          <w:rFonts w:hint="eastAsia"/>
        </w:rPr>
        <w:t>之都</w:t>
      </w:r>
      <w:r>
        <w:rPr>
          <w:rFonts w:hint="eastAsia"/>
          <w:lang w:eastAsia="ja-JP"/>
        </w:rPr>
        <w:t>市人口</w:t>
      </w:r>
      <w:r>
        <w:rPr>
          <w:rFonts w:hint="eastAsia"/>
        </w:rPr>
        <w:t>15</w:t>
      </w:r>
      <w:r>
        <w:rPr>
          <w:rFonts w:hint="eastAsia"/>
        </w:rPr>
        <w:t>萬</w:t>
      </w:r>
      <w:r>
        <w:rPr>
          <w:rFonts w:hint="eastAsia"/>
          <w:lang w:eastAsia="ja-JP"/>
        </w:rPr>
        <w:t>以上</w:t>
      </w:r>
      <w:r>
        <w:rPr>
          <w:rFonts w:hint="eastAsia"/>
        </w:rPr>
        <w:t>者及</w:t>
      </w:r>
      <w:r>
        <w:rPr>
          <w:rFonts w:hint="eastAsia"/>
          <w:lang w:eastAsia="ja-JP"/>
        </w:rPr>
        <w:t>特別</w:t>
      </w:r>
      <w:r>
        <w:rPr>
          <w:rFonts w:hint="eastAsia"/>
        </w:rPr>
        <w:t>區，以條例設置</w:t>
      </w:r>
      <w:r>
        <w:rPr>
          <w:rFonts w:hint="eastAsia"/>
          <w:lang w:eastAsia="ja-JP"/>
        </w:rPr>
        <w:t>人事委員</w:t>
      </w:r>
      <w:r>
        <w:rPr>
          <w:rFonts w:hint="eastAsia"/>
        </w:rPr>
        <w:t>會或</w:t>
      </w:r>
      <w:r>
        <w:rPr>
          <w:rFonts w:hint="eastAsia"/>
          <w:lang w:eastAsia="ja-JP"/>
        </w:rPr>
        <w:t>公平委員</w:t>
      </w:r>
      <w:r>
        <w:rPr>
          <w:rFonts w:hint="eastAsia"/>
        </w:rPr>
        <w:t>會</w:t>
      </w:r>
      <w:r>
        <w:rPr>
          <w:rFonts w:hint="eastAsia"/>
          <w:lang w:eastAsia="ja-JP"/>
        </w:rPr>
        <w:t>。人口</w:t>
      </w:r>
      <w:r>
        <w:rPr>
          <w:rFonts w:hint="eastAsia"/>
        </w:rPr>
        <w:t>未滿</w:t>
      </w:r>
      <w:r>
        <w:rPr>
          <w:rFonts w:hint="eastAsia"/>
        </w:rPr>
        <w:t>15</w:t>
      </w:r>
      <w:r>
        <w:rPr>
          <w:rFonts w:hint="eastAsia"/>
        </w:rPr>
        <w:t>萬之</w:t>
      </w:r>
      <w:r>
        <w:rPr>
          <w:rFonts w:hint="eastAsia"/>
          <w:lang w:eastAsia="ja-JP"/>
        </w:rPr>
        <w:t>市、町、村</w:t>
      </w:r>
      <w:r>
        <w:rPr>
          <w:rFonts w:hint="eastAsia"/>
        </w:rPr>
        <w:t>及</w:t>
      </w:r>
      <w:r>
        <w:rPr>
          <w:rFonts w:hint="eastAsia"/>
          <w:lang w:eastAsia="ja-JP"/>
        </w:rPr>
        <w:t>地方公共</w:t>
      </w:r>
      <w:r>
        <w:rPr>
          <w:rFonts w:hint="eastAsia"/>
        </w:rPr>
        <w:t>團體，以條例設置</w:t>
      </w:r>
      <w:r>
        <w:rPr>
          <w:rFonts w:hint="eastAsia"/>
          <w:lang w:eastAsia="ja-JP"/>
        </w:rPr>
        <w:t>公平委員</w:t>
      </w:r>
      <w:r>
        <w:rPr>
          <w:rFonts w:hint="eastAsia"/>
        </w:rPr>
        <w:t>會</w:t>
      </w:r>
      <w:r>
        <w:rPr>
          <w:rFonts w:hint="eastAsia"/>
          <w:lang w:eastAsia="ja-JP"/>
        </w:rPr>
        <w:t>。</w:t>
      </w:r>
      <w:r>
        <w:rPr>
          <w:rFonts w:hint="eastAsia"/>
        </w:rPr>
        <w:t>設置</w:t>
      </w:r>
      <w:r>
        <w:rPr>
          <w:rFonts w:hint="eastAsia"/>
          <w:lang w:eastAsia="ja-JP"/>
        </w:rPr>
        <w:t>公平委員会</w:t>
      </w:r>
      <w:r>
        <w:rPr>
          <w:rFonts w:hint="eastAsia"/>
        </w:rPr>
        <w:t>之</w:t>
      </w:r>
      <w:r>
        <w:rPr>
          <w:rFonts w:hint="eastAsia"/>
          <w:lang w:eastAsia="ja-JP"/>
        </w:rPr>
        <w:t>地方公共</w:t>
      </w:r>
      <w:r>
        <w:rPr>
          <w:rFonts w:hint="eastAsia"/>
        </w:rPr>
        <w:t>團體，得經議會</w:t>
      </w:r>
      <w:r>
        <w:rPr>
          <w:rFonts w:hint="eastAsia"/>
          <w:lang w:eastAsia="ja-JP"/>
        </w:rPr>
        <w:t>議決規</w:t>
      </w:r>
      <w:r>
        <w:rPr>
          <w:rFonts w:hint="eastAsia"/>
        </w:rPr>
        <w:t>定，與其他設有</w:t>
      </w:r>
      <w:r>
        <w:rPr>
          <w:rFonts w:hint="eastAsia"/>
          <w:lang w:eastAsia="ja-JP"/>
        </w:rPr>
        <w:t>公平委員</w:t>
      </w:r>
      <w:r>
        <w:rPr>
          <w:rFonts w:hint="eastAsia"/>
        </w:rPr>
        <w:t>會之</w:t>
      </w:r>
      <w:r>
        <w:rPr>
          <w:rFonts w:hint="eastAsia"/>
          <w:lang w:eastAsia="ja-JP"/>
        </w:rPr>
        <w:t>地方公共</w:t>
      </w:r>
      <w:r>
        <w:rPr>
          <w:rFonts w:hint="eastAsia"/>
        </w:rPr>
        <w:t>團體</w:t>
      </w:r>
      <w:r>
        <w:rPr>
          <w:rFonts w:hint="eastAsia"/>
          <w:lang w:eastAsia="ja-JP"/>
        </w:rPr>
        <w:t>共同</w:t>
      </w:r>
      <w:r>
        <w:rPr>
          <w:rFonts w:hint="eastAsia"/>
        </w:rPr>
        <w:t>設置</w:t>
      </w:r>
      <w:r>
        <w:rPr>
          <w:rFonts w:hint="eastAsia"/>
          <w:lang w:eastAsia="ja-JP"/>
        </w:rPr>
        <w:t>公平委員</w:t>
      </w:r>
      <w:r>
        <w:rPr>
          <w:rFonts w:hint="eastAsia"/>
        </w:rPr>
        <w:t>會，或者受其</w:t>
      </w:r>
      <w:r>
        <w:rPr>
          <w:rFonts w:hint="eastAsia"/>
          <w:lang w:eastAsia="ja-JP"/>
        </w:rPr>
        <w:t>他地方公共</w:t>
      </w:r>
      <w:r>
        <w:rPr>
          <w:rFonts w:hint="eastAsia"/>
        </w:rPr>
        <w:t>團體</w:t>
      </w:r>
      <w:r>
        <w:rPr>
          <w:rFonts w:hint="eastAsia"/>
          <w:lang w:eastAsia="ja-JP"/>
        </w:rPr>
        <w:t>人事委員</w:t>
      </w:r>
      <w:r>
        <w:rPr>
          <w:rFonts w:hint="eastAsia"/>
        </w:rPr>
        <w:t>會之</w:t>
      </w:r>
      <w:r>
        <w:rPr>
          <w:rFonts w:hint="eastAsia"/>
          <w:lang w:eastAsia="ja-JP"/>
        </w:rPr>
        <w:t>委託</w:t>
      </w:r>
      <w:r>
        <w:rPr>
          <w:rFonts w:hint="eastAsia"/>
        </w:rPr>
        <w:t>，處理該法</w:t>
      </w:r>
      <w:hyperlink r:id="rId15" w:anchor="008#008" w:tgtFrame="san" w:history="1">
        <w:r>
          <w:rPr>
            <w:rStyle w:val="a6"/>
            <w:rFonts w:hint="eastAsia"/>
            <w:color w:val="auto"/>
            <w:u w:val="none"/>
            <w:lang w:eastAsia="ja-JP"/>
          </w:rPr>
          <w:t>第８</w:t>
        </w:r>
        <w:r>
          <w:rPr>
            <w:rStyle w:val="a6"/>
            <w:rFonts w:hint="eastAsia"/>
            <w:color w:val="auto"/>
            <w:u w:val="none"/>
          </w:rPr>
          <w:t>條</w:t>
        </w:r>
      </w:hyperlink>
      <w:r>
        <w:rPr>
          <w:rFonts w:hint="eastAsia"/>
          <w:lang w:eastAsia="ja-JP"/>
        </w:rPr>
        <w:t>第２</w:t>
      </w:r>
      <w:r>
        <w:rPr>
          <w:rFonts w:hint="eastAsia"/>
          <w:lang w:eastAsia="ja-JP"/>
        </w:rPr>
        <w:t>項</w:t>
      </w:r>
      <w:r>
        <w:rPr>
          <w:rFonts w:hint="eastAsia"/>
        </w:rPr>
        <w:t>所</w:t>
      </w:r>
      <w:r>
        <w:rPr>
          <w:rFonts w:hint="eastAsia"/>
          <w:lang w:eastAsia="ja-JP"/>
        </w:rPr>
        <w:t>規定</w:t>
      </w:r>
      <w:r>
        <w:rPr>
          <w:rFonts w:hint="eastAsia"/>
        </w:rPr>
        <w:t>之</w:t>
      </w:r>
      <w:r>
        <w:rPr>
          <w:rFonts w:hint="eastAsia"/>
          <w:lang w:eastAsia="ja-JP"/>
        </w:rPr>
        <w:t>公平委員</w:t>
      </w:r>
      <w:r>
        <w:rPr>
          <w:rFonts w:hint="eastAsia"/>
        </w:rPr>
        <w:t>會</w:t>
      </w:r>
      <w:r>
        <w:rPr>
          <w:rFonts w:hint="eastAsia"/>
          <w:lang w:eastAsia="ja-JP"/>
        </w:rPr>
        <w:t>事</w:t>
      </w:r>
      <w:r>
        <w:rPr>
          <w:rFonts w:hint="eastAsia"/>
        </w:rPr>
        <w:t>。</w:t>
      </w:r>
    </w:p>
    <w:p w:rsidR="00000000" w:rsidRDefault="00CB4FE6">
      <w:pPr>
        <w:spacing w:line="360" w:lineRule="auto"/>
        <w:ind w:leftChars="-46" w:left="-110" w:firstLineChars="150" w:firstLine="360"/>
        <w:jc w:val="both"/>
        <w:rPr>
          <w:rFonts w:hint="eastAsia"/>
        </w:rPr>
      </w:pPr>
      <w:r>
        <w:rPr>
          <w:rFonts w:hint="eastAsia"/>
        </w:rPr>
        <w:lastRenderedPageBreak/>
        <w:t>由以上規定可知，</w:t>
      </w:r>
      <w:r>
        <w:rPr>
          <w:rFonts w:hint="eastAsia"/>
          <w:spacing w:val="10"/>
        </w:rPr>
        <w:t>人事委員會及公平委員會之設置，係依照</w:t>
      </w:r>
      <w:r>
        <w:rPr>
          <w:rFonts w:hint="eastAsia"/>
          <w:lang w:eastAsia="ja-JP"/>
        </w:rPr>
        <w:t>地方公共</w:t>
      </w:r>
      <w:r>
        <w:rPr>
          <w:rFonts w:hint="eastAsia"/>
        </w:rPr>
        <w:t>團體的行政規模、行政組織及公務員人數而作不同設計，以處理該法第</w:t>
      </w:r>
      <w:r>
        <w:rPr>
          <w:rFonts w:hint="eastAsia"/>
        </w:rPr>
        <w:t>8</w:t>
      </w:r>
      <w:r>
        <w:rPr>
          <w:rFonts w:hint="eastAsia"/>
        </w:rPr>
        <w:t>條以下所規定之事務。人事委員會的主要功能包括</w:t>
      </w:r>
      <w:r>
        <w:rPr>
          <w:rStyle w:val="a4"/>
        </w:rPr>
        <w:footnoteReference w:id="73"/>
      </w:r>
      <w:r>
        <w:rPr>
          <w:rFonts w:hint="eastAsia"/>
        </w:rPr>
        <w:t>：</w:t>
      </w:r>
    </w:p>
    <w:p w:rsidR="00000000" w:rsidRDefault="00CB4FE6">
      <w:pPr>
        <w:spacing w:line="360" w:lineRule="auto"/>
        <w:ind w:leftChars="-46" w:left="-110" w:firstLineChars="150" w:firstLine="360"/>
        <w:jc w:val="both"/>
        <w:rPr>
          <w:rFonts w:hint="eastAsia"/>
        </w:rPr>
      </w:pPr>
      <w:r>
        <w:rPr>
          <w:rFonts w:ascii="新細明體" w:hAnsi="新細明體" w:hint="eastAsia"/>
        </w:rPr>
        <w:t>1</w:t>
      </w:r>
      <w:r>
        <w:rPr>
          <w:rFonts w:ascii="新細明體" w:hAnsi="新細明體" w:hint="eastAsia"/>
        </w:rPr>
        <w:t>、</w:t>
      </w:r>
      <w:r>
        <w:rPr>
          <w:rFonts w:hint="eastAsia"/>
        </w:rPr>
        <w:t>為確保具有公務員任命權者從事人事行政之公平性，給予必要之勸告；</w:t>
      </w:r>
    </w:p>
    <w:p w:rsidR="00000000" w:rsidRDefault="00CB4FE6">
      <w:pPr>
        <w:spacing w:line="360" w:lineRule="auto"/>
        <w:ind w:leftChars="-46" w:left="-110" w:firstLineChars="150" w:firstLine="360"/>
        <w:jc w:val="both"/>
        <w:rPr>
          <w:rFonts w:hint="eastAsia"/>
        </w:rPr>
      </w:pPr>
      <w:r>
        <w:rPr>
          <w:rFonts w:ascii="新細明體" w:hAnsi="新細明體" w:hint="eastAsia"/>
        </w:rPr>
        <w:t>2</w:t>
      </w:r>
      <w:r>
        <w:rPr>
          <w:rFonts w:ascii="新細明體" w:hAnsi="新細明體" w:hint="eastAsia"/>
        </w:rPr>
        <w:t>、</w:t>
      </w:r>
      <w:r>
        <w:rPr>
          <w:rFonts w:hint="eastAsia"/>
        </w:rPr>
        <w:t>作為人事行政專門機關，就所掌之專門技術問題制訂必要之規則；</w:t>
      </w:r>
    </w:p>
    <w:p w:rsidR="00000000" w:rsidRDefault="00CB4FE6">
      <w:pPr>
        <w:spacing w:line="360" w:lineRule="auto"/>
        <w:ind w:leftChars="-46" w:left="-110" w:firstLineChars="150" w:firstLine="360"/>
        <w:jc w:val="both"/>
        <w:rPr>
          <w:rFonts w:hint="eastAsia"/>
        </w:rPr>
      </w:pPr>
      <w:r>
        <w:rPr>
          <w:rFonts w:ascii="新細明體" w:hAnsi="新細明體" w:hint="eastAsia"/>
        </w:rPr>
        <w:t>3</w:t>
      </w:r>
      <w:r>
        <w:rPr>
          <w:rFonts w:ascii="新細明體" w:hAnsi="新細明體" w:hint="eastAsia"/>
        </w:rPr>
        <w:t>、</w:t>
      </w:r>
      <w:r>
        <w:rPr>
          <w:rFonts w:hint="eastAsia"/>
        </w:rPr>
        <w:t>為保護公務員之身分及權利，就不利益處分等進行</w:t>
      </w:r>
      <w:proofErr w:type="gramStart"/>
      <w:r>
        <w:rPr>
          <w:rFonts w:hint="eastAsia"/>
        </w:rPr>
        <w:t>準</w:t>
      </w:r>
      <w:proofErr w:type="gramEnd"/>
      <w:r>
        <w:rPr>
          <w:rFonts w:hint="eastAsia"/>
        </w:rPr>
        <w:t>司法審查；</w:t>
      </w:r>
    </w:p>
    <w:p w:rsidR="00000000" w:rsidRDefault="00CB4FE6">
      <w:pPr>
        <w:spacing w:line="360" w:lineRule="auto"/>
        <w:ind w:leftChars="-46" w:left="-110" w:firstLineChars="150" w:firstLine="360"/>
        <w:jc w:val="both"/>
        <w:rPr>
          <w:rFonts w:hint="eastAsia"/>
        </w:rPr>
      </w:pPr>
      <w:r>
        <w:rPr>
          <w:rFonts w:ascii="新細明體" w:hAnsi="新細明體" w:hint="eastAsia"/>
        </w:rPr>
        <w:t>4</w:t>
      </w:r>
      <w:r>
        <w:rPr>
          <w:rFonts w:ascii="新細明體" w:hAnsi="新細明體" w:hint="eastAsia"/>
        </w:rPr>
        <w:t>、</w:t>
      </w:r>
      <w:r>
        <w:rPr>
          <w:rFonts w:hint="eastAsia"/>
        </w:rPr>
        <w:t>為</w:t>
      </w:r>
      <w:proofErr w:type="gramStart"/>
      <w:r>
        <w:rPr>
          <w:rFonts w:hint="eastAsia"/>
        </w:rPr>
        <w:t>勞</w:t>
      </w:r>
      <w:proofErr w:type="gramEnd"/>
      <w:r>
        <w:rPr>
          <w:rFonts w:hint="eastAsia"/>
        </w:rPr>
        <w:t>雇關係法制化，以第三機關地位從事公務員團體登錄等事務。</w:t>
      </w:r>
    </w:p>
    <w:p w:rsidR="00000000" w:rsidRDefault="00CB4FE6">
      <w:pPr>
        <w:spacing w:line="360" w:lineRule="auto"/>
        <w:jc w:val="both"/>
        <w:rPr>
          <w:rFonts w:hint="eastAsia"/>
        </w:rPr>
      </w:pPr>
      <w:r>
        <w:rPr>
          <w:rFonts w:hint="eastAsia"/>
        </w:rPr>
        <w:t>而公平委員會之功能，則僅限於第</w:t>
      </w:r>
      <w:r>
        <w:rPr>
          <w:rFonts w:hint="eastAsia"/>
        </w:rPr>
        <w:t>3</w:t>
      </w:r>
      <w:r>
        <w:rPr>
          <w:rFonts w:hint="eastAsia"/>
        </w:rPr>
        <w:t>及第</w:t>
      </w:r>
      <w:r>
        <w:rPr>
          <w:rFonts w:hint="eastAsia"/>
        </w:rPr>
        <w:t>4</w:t>
      </w:r>
      <w:r>
        <w:rPr>
          <w:rFonts w:hint="eastAsia"/>
        </w:rPr>
        <w:t>項。</w:t>
      </w:r>
    </w:p>
    <w:p w:rsidR="00000000" w:rsidRDefault="00CB4FE6">
      <w:pPr>
        <w:spacing w:line="360" w:lineRule="auto"/>
        <w:ind w:firstLineChars="200" w:firstLine="520"/>
        <w:jc w:val="both"/>
        <w:rPr>
          <w:rFonts w:ascii="新細明體" w:hAnsi="新細明體" w:hint="eastAsia"/>
        </w:rPr>
      </w:pPr>
      <w:r>
        <w:rPr>
          <w:rFonts w:hint="eastAsia"/>
          <w:spacing w:val="10"/>
        </w:rPr>
        <w:t>人事委員會</w:t>
      </w:r>
      <w:r>
        <w:rPr>
          <w:rFonts w:hint="eastAsia"/>
          <w:spacing w:val="10"/>
        </w:rPr>
        <w:t>或公平委員會係保持政治中立，獨立行使職權之組織，由三人組成，其中兩人不得同屬於同一政黨。委員的任命，係經過議會同意，由地方首長選任之（地方公務員法</w:t>
      </w:r>
      <w:r>
        <w:rPr>
          <w:rStyle w:val="a7"/>
          <w:rFonts w:ascii="新細明體" w:hAnsi="新細明體" w:hint="eastAsia"/>
          <w:b w:val="0"/>
          <w:lang w:eastAsia="ja-JP"/>
        </w:rPr>
        <w:t>第</w:t>
      </w:r>
      <w:r>
        <w:rPr>
          <w:rStyle w:val="a7"/>
          <w:rFonts w:ascii="新細明體" w:hAnsi="新細明體" w:hint="eastAsia"/>
          <w:b w:val="0"/>
        </w:rPr>
        <w:t>9</w:t>
      </w:r>
      <w:r>
        <w:rPr>
          <w:rStyle w:val="a7"/>
          <w:rFonts w:ascii="新細明體" w:hAnsi="新細明體" w:hint="eastAsia"/>
          <w:b w:val="0"/>
        </w:rPr>
        <w:t>條</w:t>
      </w:r>
      <w:r>
        <w:rPr>
          <w:rFonts w:hint="eastAsia"/>
          <w:spacing w:val="10"/>
        </w:rPr>
        <w:t>）。該種委員會具有廣泛之權力，包括</w:t>
      </w:r>
      <w:proofErr w:type="gramStart"/>
      <w:r>
        <w:rPr>
          <w:rFonts w:hint="eastAsia"/>
        </w:rPr>
        <w:t>準</w:t>
      </w:r>
      <w:proofErr w:type="gramEnd"/>
      <w:r>
        <w:rPr>
          <w:rFonts w:hint="eastAsia"/>
        </w:rPr>
        <w:t>司法權（任命權者與公務員之間發生爭議時由其裁定，具有類似司法機關之權限）、</w:t>
      </w:r>
      <w:proofErr w:type="gramStart"/>
      <w:r>
        <w:rPr>
          <w:rFonts w:hint="eastAsia"/>
        </w:rPr>
        <w:t>準</w:t>
      </w:r>
      <w:proofErr w:type="gramEnd"/>
      <w:r>
        <w:rPr>
          <w:rFonts w:hint="eastAsia"/>
        </w:rPr>
        <w:t>立法權（自訂行使權限之基準，或為實施法律、條例所賦予之權限而訂定規則）及</w:t>
      </w:r>
      <w:proofErr w:type="gramStart"/>
      <w:r>
        <w:rPr>
          <w:rFonts w:hint="eastAsia"/>
        </w:rPr>
        <w:t>準</w:t>
      </w:r>
      <w:proofErr w:type="gramEnd"/>
      <w:r>
        <w:rPr>
          <w:rFonts w:hint="eastAsia"/>
        </w:rPr>
        <w:t>行政權（調查關於人事行政之事務，管理人事紀錄及作成其他有關人事之統計報告）</w:t>
      </w:r>
      <w:r>
        <w:rPr>
          <w:rStyle w:val="a4"/>
        </w:rPr>
        <w:footnoteReference w:id="74"/>
      </w:r>
      <w:r>
        <w:rPr>
          <w:rFonts w:hint="eastAsia"/>
        </w:rPr>
        <w:t>。</w:t>
      </w:r>
    </w:p>
    <w:p w:rsidR="00CB4FE6" w:rsidRDefault="00CB4FE6"/>
    <w:sectPr w:rsidR="00CB4F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E6" w:rsidRDefault="00CB4FE6">
      <w:r>
        <w:separator/>
      </w:r>
    </w:p>
  </w:endnote>
  <w:endnote w:type="continuationSeparator" w:id="0">
    <w:p w:rsidR="00CB4FE6" w:rsidRDefault="00CB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E6" w:rsidRDefault="00CB4FE6">
      <w:r>
        <w:separator/>
      </w:r>
    </w:p>
  </w:footnote>
  <w:footnote w:type="continuationSeparator" w:id="0">
    <w:p w:rsidR="00CB4FE6" w:rsidRDefault="00CB4FE6">
      <w:r>
        <w:continuationSeparator/>
      </w:r>
    </w:p>
  </w:footnote>
  <w:footnote w:id="1">
    <w:p w:rsidR="00000000" w:rsidRDefault="00CB4FE6">
      <w:pPr>
        <w:pStyle w:val="a8"/>
        <w:ind w:firstLine="360"/>
        <w:rPr>
          <w:rFonts w:hint="eastAsia"/>
        </w:rPr>
      </w:pPr>
      <w:r>
        <w:rPr>
          <w:rStyle w:val="a4"/>
        </w:rPr>
        <w:footnoteRef/>
      </w:r>
      <w:r>
        <w:t xml:space="preserve"> </w:t>
      </w:r>
      <w:r>
        <w:rPr>
          <w:rFonts w:hint="eastAsia"/>
        </w:rPr>
        <w:t>參閱：林明鏘，</w:t>
      </w:r>
      <w:r>
        <w:rPr>
          <w:rFonts w:hint="eastAsia"/>
        </w:rPr>
        <w:t>2000a</w:t>
      </w:r>
      <w:r>
        <w:rPr>
          <w:rFonts w:hint="eastAsia"/>
        </w:rPr>
        <w:t>，頁</w:t>
      </w:r>
      <w:r>
        <w:rPr>
          <w:rFonts w:hint="eastAsia"/>
        </w:rPr>
        <w:t>180</w:t>
      </w:r>
      <w:r>
        <w:rPr>
          <w:rFonts w:hint="eastAsia"/>
        </w:rPr>
        <w:t>。</w:t>
      </w:r>
    </w:p>
  </w:footnote>
  <w:footnote w:id="2">
    <w:p w:rsidR="00000000" w:rsidRDefault="00CB4FE6">
      <w:pPr>
        <w:pStyle w:val="a8"/>
        <w:ind w:firstLine="360"/>
      </w:pPr>
      <w:r>
        <w:rPr>
          <w:rStyle w:val="a4"/>
        </w:rPr>
        <w:footnoteRef/>
      </w:r>
      <w:r>
        <w:t xml:space="preserve"> Kunig, </w:t>
      </w:r>
      <w:r>
        <w:rPr>
          <w:rFonts w:hint="eastAsia"/>
        </w:rPr>
        <w:t>1995</w:t>
      </w:r>
      <w:r>
        <w:t>, Rn. 56.</w:t>
      </w:r>
    </w:p>
  </w:footnote>
  <w:footnote w:id="3">
    <w:p w:rsidR="00000000" w:rsidRDefault="00CB4FE6">
      <w:pPr>
        <w:pStyle w:val="a8"/>
        <w:ind w:firstLine="360"/>
        <w:rPr>
          <w:rFonts w:hint="eastAsia"/>
        </w:rPr>
      </w:pPr>
      <w:r>
        <w:rPr>
          <w:rStyle w:val="a4"/>
        </w:rPr>
        <w:footnoteRef/>
      </w:r>
      <w:r>
        <w:t xml:space="preserve"> </w:t>
      </w:r>
      <w:r>
        <w:t>Ebenda.</w:t>
      </w:r>
    </w:p>
  </w:footnote>
  <w:footnote w:id="4">
    <w:p w:rsidR="00000000" w:rsidRDefault="00CB4FE6">
      <w:pPr>
        <w:pStyle w:val="a8"/>
        <w:ind w:firstLine="360"/>
        <w:rPr>
          <w:rFonts w:hint="eastAsia"/>
        </w:rPr>
      </w:pPr>
      <w:r>
        <w:rPr>
          <w:rStyle w:val="a4"/>
        </w:rPr>
        <w:footnoteRef/>
      </w:r>
      <w:r>
        <w:t xml:space="preserve"> </w:t>
      </w:r>
      <w:r>
        <w:rPr>
          <w:rFonts w:hint="eastAsia"/>
          <w:lang w:val="de-DE"/>
        </w:rPr>
        <w:t>參閱</w:t>
      </w:r>
      <w:r>
        <w:rPr>
          <w:rFonts w:hint="eastAsia"/>
        </w:rPr>
        <w:t>：</w:t>
      </w:r>
      <w:r>
        <w:rPr>
          <w:rFonts w:hint="eastAsia"/>
          <w:lang w:val="de-DE"/>
        </w:rPr>
        <w:t>林明鏘</w:t>
      </w:r>
      <w:r>
        <w:rPr>
          <w:rFonts w:hint="eastAsia"/>
        </w:rPr>
        <w:t>，</w:t>
      </w:r>
      <w:r>
        <w:rPr>
          <w:rFonts w:hint="eastAsia"/>
        </w:rPr>
        <w:t>2000b</w:t>
      </w:r>
      <w:r>
        <w:rPr>
          <w:rFonts w:hint="eastAsia"/>
        </w:rPr>
        <w:t>，</w:t>
      </w:r>
      <w:r>
        <w:rPr>
          <w:rFonts w:hint="eastAsia"/>
          <w:lang w:val="de-DE"/>
        </w:rPr>
        <w:t>頁</w:t>
      </w:r>
      <w:r>
        <w:rPr>
          <w:rFonts w:hint="eastAsia"/>
        </w:rPr>
        <w:t>480</w:t>
      </w:r>
      <w:r>
        <w:rPr>
          <w:rFonts w:hint="eastAsia"/>
          <w:lang w:val="de-DE"/>
        </w:rPr>
        <w:t>以下。</w:t>
      </w:r>
    </w:p>
  </w:footnote>
  <w:footnote w:id="5">
    <w:p w:rsidR="00000000" w:rsidRDefault="00CB4FE6">
      <w:pPr>
        <w:pStyle w:val="a8"/>
        <w:ind w:firstLine="360"/>
      </w:pPr>
      <w:r>
        <w:rPr>
          <w:rStyle w:val="a4"/>
        </w:rPr>
        <w:footnoteRef/>
      </w:r>
      <w:r>
        <w:t xml:space="preserve"> Vgl. Battis, 2004, § 2, Rn. 4.</w:t>
      </w:r>
    </w:p>
  </w:footnote>
  <w:footnote w:id="6">
    <w:p w:rsidR="00000000" w:rsidRDefault="00CB4FE6">
      <w:pPr>
        <w:pStyle w:val="a8"/>
        <w:ind w:firstLine="360"/>
      </w:pPr>
      <w:r>
        <w:rPr>
          <w:rStyle w:val="a4"/>
        </w:rPr>
        <w:footnoteRef/>
      </w:r>
      <w:r>
        <w:t xml:space="preserve"> Ebenda.</w:t>
      </w:r>
    </w:p>
  </w:footnote>
  <w:footnote w:id="7">
    <w:p w:rsidR="00000000" w:rsidRDefault="00CB4FE6">
      <w:pPr>
        <w:pStyle w:val="a8"/>
        <w:ind w:firstLine="360"/>
      </w:pPr>
      <w:r>
        <w:rPr>
          <w:rStyle w:val="a4"/>
        </w:rPr>
        <w:footnoteRef/>
      </w:r>
      <w:r>
        <w:t xml:space="preserve"> Battis, 2004, § 6, Rn. 2.</w:t>
      </w:r>
    </w:p>
  </w:footnote>
  <w:footnote w:id="8">
    <w:p w:rsidR="00000000" w:rsidRDefault="00CB4FE6">
      <w:pPr>
        <w:pStyle w:val="a8"/>
        <w:ind w:firstLine="360"/>
      </w:pPr>
      <w:r>
        <w:rPr>
          <w:rStyle w:val="a4"/>
        </w:rPr>
        <w:footnoteRef/>
      </w:r>
      <w:r>
        <w:t xml:space="preserve"> Battis, a. a. O., Rn. 7.</w:t>
      </w:r>
    </w:p>
  </w:footnote>
  <w:footnote w:id="9">
    <w:p w:rsidR="00000000" w:rsidRDefault="00CB4FE6">
      <w:pPr>
        <w:pStyle w:val="a8"/>
        <w:ind w:firstLine="360"/>
      </w:pPr>
      <w:r>
        <w:rPr>
          <w:rStyle w:val="a4"/>
        </w:rPr>
        <w:footnoteRef/>
      </w:r>
      <w:r>
        <w:t xml:space="preserve"> Battis, a. a. O., Rn. 8.</w:t>
      </w:r>
    </w:p>
  </w:footnote>
  <w:footnote w:id="10">
    <w:p w:rsidR="00000000" w:rsidRDefault="00CB4FE6">
      <w:pPr>
        <w:pStyle w:val="a8"/>
        <w:ind w:firstLine="360"/>
      </w:pPr>
      <w:r>
        <w:rPr>
          <w:rStyle w:val="a4"/>
        </w:rPr>
        <w:footnoteRef/>
      </w:r>
      <w:r>
        <w:t xml:space="preserve"> Battis, a. a. O., Rn. 9.</w:t>
      </w:r>
    </w:p>
  </w:footnote>
  <w:footnote w:id="11">
    <w:p w:rsidR="00000000" w:rsidRDefault="00CB4FE6">
      <w:pPr>
        <w:pStyle w:val="a8"/>
        <w:ind w:firstLine="360"/>
      </w:pPr>
      <w:r>
        <w:rPr>
          <w:rStyle w:val="a4"/>
        </w:rPr>
        <w:footnoteRef/>
      </w:r>
      <w:r>
        <w:t xml:space="preserve"> Battis, a. a. O., Rn. 10.</w:t>
      </w:r>
    </w:p>
  </w:footnote>
  <w:footnote w:id="12">
    <w:p w:rsidR="00000000" w:rsidRDefault="00CB4FE6">
      <w:pPr>
        <w:pStyle w:val="a8"/>
        <w:ind w:firstLine="360"/>
      </w:pPr>
      <w:r>
        <w:rPr>
          <w:rStyle w:val="a4"/>
        </w:rPr>
        <w:footnoteRef/>
      </w:r>
      <w:r>
        <w:t xml:space="preserve"> Battis, a. a. O., Rn. 12.</w:t>
      </w:r>
    </w:p>
  </w:footnote>
  <w:footnote w:id="13">
    <w:p w:rsidR="00000000" w:rsidRDefault="00CB4FE6">
      <w:pPr>
        <w:pStyle w:val="a8"/>
        <w:ind w:firstLine="360"/>
      </w:pPr>
      <w:r>
        <w:rPr>
          <w:rStyle w:val="a4"/>
        </w:rPr>
        <w:footnoteRef/>
      </w:r>
      <w:r>
        <w:t xml:space="preserve"> Battis, a. a. O</w:t>
      </w:r>
      <w:r>
        <w:t>., Rn. 3.</w:t>
      </w:r>
    </w:p>
  </w:footnote>
  <w:footnote w:id="14">
    <w:p w:rsidR="00000000" w:rsidRDefault="00CB4FE6">
      <w:pPr>
        <w:pStyle w:val="a8"/>
        <w:ind w:firstLine="360"/>
        <w:rPr>
          <w:lang w:val="de-DE"/>
        </w:rPr>
      </w:pPr>
      <w:r>
        <w:rPr>
          <w:rStyle w:val="a4"/>
        </w:rPr>
        <w:footnoteRef/>
      </w:r>
      <w:r>
        <w:rPr>
          <w:lang w:val="de-DE"/>
        </w:rPr>
        <w:t xml:space="preserve"> </w:t>
      </w:r>
      <w:r>
        <w:rPr>
          <w:lang w:val="de-DE"/>
        </w:rPr>
        <w:t xml:space="preserve">Kunig, </w:t>
      </w:r>
      <w:r>
        <w:rPr>
          <w:rFonts w:hint="eastAsia"/>
          <w:lang w:val="de-DE"/>
        </w:rPr>
        <w:t>199</w:t>
      </w:r>
      <w:r>
        <w:rPr>
          <w:lang w:val="de-DE"/>
        </w:rPr>
        <w:t>5, Rn. 185.</w:t>
      </w:r>
    </w:p>
  </w:footnote>
  <w:footnote w:id="15">
    <w:p w:rsidR="00000000" w:rsidRDefault="00CB4FE6">
      <w:pPr>
        <w:pStyle w:val="a8"/>
        <w:ind w:firstLine="360"/>
        <w:rPr>
          <w:lang w:val="de-DE"/>
        </w:rPr>
      </w:pPr>
      <w:r>
        <w:rPr>
          <w:rStyle w:val="a4"/>
        </w:rPr>
        <w:footnoteRef/>
      </w:r>
      <w:r>
        <w:rPr>
          <w:lang w:val="de-DE"/>
        </w:rPr>
        <w:t xml:space="preserve"> </w:t>
      </w:r>
      <w:r>
        <w:rPr>
          <w:lang w:val="de-DE"/>
        </w:rPr>
        <w:t>Görg / Guth / Hamer / Pieper, 2007, § 1, Rn. 1.</w:t>
      </w:r>
    </w:p>
  </w:footnote>
  <w:footnote w:id="16">
    <w:p w:rsidR="00000000" w:rsidRDefault="00CB4FE6">
      <w:pPr>
        <w:pStyle w:val="a8"/>
        <w:ind w:firstLine="360"/>
        <w:rPr>
          <w:lang w:val="de-DE"/>
        </w:rPr>
      </w:pPr>
      <w:r>
        <w:rPr>
          <w:rStyle w:val="a4"/>
        </w:rPr>
        <w:footnoteRef/>
      </w:r>
      <w:r>
        <w:rPr>
          <w:lang w:val="de-DE"/>
        </w:rPr>
        <w:t xml:space="preserve"> </w:t>
      </w:r>
      <w:r>
        <w:rPr>
          <w:lang w:val="de-DE"/>
        </w:rPr>
        <w:t>Kunig, 1995, Rn. 190.</w:t>
      </w:r>
    </w:p>
  </w:footnote>
  <w:footnote w:id="17">
    <w:p w:rsidR="00000000" w:rsidRDefault="00CB4FE6">
      <w:pPr>
        <w:pStyle w:val="a8"/>
        <w:ind w:firstLine="360"/>
        <w:rPr>
          <w:lang w:val="de-DE"/>
        </w:rPr>
      </w:pPr>
      <w:r>
        <w:rPr>
          <w:rStyle w:val="a4"/>
        </w:rPr>
        <w:footnoteRef/>
      </w:r>
      <w:r>
        <w:rPr>
          <w:lang w:val="de-DE"/>
        </w:rPr>
        <w:t xml:space="preserve"> </w:t>
      </w:r>
      <w:r>
        <w:rPr>
          <w:lang w:val="de-DE"/>
        </w:rPr>
        <w:t>Kunig, a. a. O., Rn. 191.</w:t>
      </w:r>
    </w:p>
  </w:footnote>
  <w:footnote w:id="18">
    <w:p w:rsidR="00000000" w:rsidRDefault="00CB4FE6">
      <w:pPr>
        <w:pStyle w:val="a8"/>
        <w:ind w:firstLine="360"/>
        <w:rPr>
          <w:rFonts w:hint="eastAsia"/>
        </w:rPr>
      </w:pPr>
      <w:r>
        <w:rPr>
          <w:rStyle w:val="a4"/>
        </w:rPr>
        <w:footnoteRef/>
      </w:r>
      <w:r>
        <w:t xml:space="preserve"> Görg / Guth / Hamer / Pieper, 2007, § 41, Rn. 8.</w:t>
      </w:r>
    </w:p>
  </w:footnote>
  <w:footnote w:id="19">
    <w:p w:rsidR="00000000" w:rsidRDefault="00CB4FE6">
      <w:pPr>
        <w:pStyle w:val="a8"/>
        <w:ind w:firstLine="360"/>
        <w:rPr>
          <w:rFonts w:hint="eastAsia"/>
        </w:rPr>
      </w:pPr>
      <w:r>
        <w:rPr>
          <w:rStyle w:val="a4"/>
        </w:rPr>
        <w:footnoteRef/>
      </w:r>
      <w:r>
        <w:t xml:space="preserve"> Görg / Guth / Hamer / Pieper,</w:t>
      </w:r>
      <w:r>
        <w:rPr>
          <w:rFonts w:hint="eastAsia"/>
        </w:rPr>
        <w:t xml:space="preserve"> </w:t>
      </w:r>
      <w:r>
        <w:t>a. a. O., Rn. 11 f.</w:t>
      </w:r>
    </w:p>
  </w:footnote>
  <w:footnote w:id="20">
    <w:p w:rsidR="00000000" w:rsidRDefault="00CB4FE6">
      <w:pPr>
        <w:pStyle w:val="a8"/>
        <w:tabs>
          <w:tab w:val="left" w:pos="720"/>
        </w:tabs>
        <w:ind w:left="100" w:hangingChars="50" w:hanging="100"/>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川村</w:t>
      </w:r>
      <w:proofErr w:type="gramStart"/>
      <w:r>
        <w:rPr>
          <w:rStyle w:val="a9"/>
          <w:rFonts w:ascii="新細明體" w:hAnsi="新細明體" w:hint="eastAsia"/>
          <w:kern w:val="0"/>
        </w:rPr>
        <w:t>祐三</w:t>
      </w:r>
      <w:proofErr w:type="gramEnd"/>
      <w:r>
        <w:rPr>
          <w:rStyle w:val="a9"/>
          <w:rFonts w:ascii="新細明體" w:hAnsi="新細明體" w:hint="eastAsia"/>
          <w:kern w:val="0"/>
        </w:rPr>
        <w:t>，收於</w:t>
      </w:r>
      <w:proofErr w:type="gramStart"/>
      <w:r>
        <w:rPr>
          <w:rStyle w:val="a9"/>
          <w:rFonts w:ascii="新細明體" w:hAnsi="新細明體" w:hint="eastAsia"/>
          <w:kern w:val="0"/>
        </w:rPr>
        <w:t>西谷敏</w:t>
      </w:r>
      <w:proofErr w:type="gramEnd"/>
      <w:r>
        <w:rPr>
          <w:rStyle w:val="a9"/>
          <w:rFonts w:ascii="新細明體" w:hAnsi="新細明體" w:hint="eastAsia"/>
          <w:kern w:val="0"/>
        </w:rPr>
        <w:t>/</w:t>
      </w:r>
      <w:r>
        <w:rPr>
          <w:rStyle w:val="a9"/>
          <w:rFonts w:ascii="新細明體" w:hAnsi="新細明體" w:hint="eastAsia"/>
          <w:kern w:val="0"/>
        </w:rPr>
        <w:t>晴山</w:t>
      </w:r>
      <w:proofErr w:type="gramStart"/>
      <w:r>
        <w:rPr>
          <w:rStyle w:val="a9"/>
          <w:rFonts w:ascii="新細明體" w:hAnsi="新細明體" w:hint="eastAsia"/>
          <w:kern w:val="0"/>
        </w:rPr>
        <w:t>一穗</w:t>
      </w:r>
      <w:r>
        <w:rPr>
          <w:rStyle w:val="a9"/>
          <w:rFonts w:ascii="新細明體" w:hAnsi="新細明體" w:hint="eastAsia"/>
          <w:kern w:val="0"/>
        </w:rPr>
        <w:t>編</w:t>
      </w:r>
      <w:proofErr w:type="gramEnd"/>
      <w:r>
        <w:rPr>
          <w:rStyle w:val="a9"/>
          <w:rFonts w:ascii="新細明體" w:hAnsi="新細明體" w:hint="eastAsia"/>
          <w:kern w:val="0"/>
        </w:rPr>
        <w:t>，公務員制度改革，大月書店，</w:t>
      </w:r>
      <w:r>
        <w:rPr>
          <w:rStyle w:val="a9"/>
          <w:rFonts w:ascii="新細明體" w:hAnsi="新細明體" w:hint="eastAsia"/>
          <w:kern w:val="0"/>
        </w:rPr>
        <w:t>2002</w:t>
      </w:r>
      <w:r>
        <w:rPr>
          <w:rStyle w:val="a9"/>
          <w:rFonts w:ascii="新細明體" w:hAnsi="新細明體" w:hint="eastAsia"/>
          <w:kern w:val="0"/>
        </w:rPr>
        <w:t>年</w:t>
      </w:r>
      <w:r>
        <w:rPr>
          <w:rStyle w:val="a9"/>
          <w:rFonts w:ascii="新細明體" w:hAnsi="新細明體" w:hint="eastAsia"/>
          <w:kern w:val="0"/>
        </w:rPr>
        <w:t>7</w:t>
      </w:r>
      <w:r>
        <w:rPr>
          <w:rStyle w:val="a9"/>
          <w:rFonts w:ascii="新細明體" w:hAnsi="新細明體" w:hint="eastAsia"/>
          <w:kern w:val="0"/>
        </w:rPr>
        <w:t>月</w:t>
      </w:r>
      <w:r>
        <w:rPr>
          <w:rStyle w:val="a9"/>
          <w:rFonts w:ascii="新細明體" w:hAnsi="新細明體" w:hint="eastAsia"/>
          <w:kern w:val="0"/>
        </w:rPr>
        <w:t>1</w:t>
      </w:r>
      <w:r>
        <w:rPr>
          <w:rStyle w:val="a9"/>
          <w:rFonts w:ascii="新細明體" w:hAnsi="新細明體" w:hint="eastAsia"/>
          <w:kern w:val="0"/>
        </w:rPr>
        <w:t>日第</w:t>
      </w:r>
      <w:r>
        <w:rPr>
          <w:rStyle w:val="a9"/>
          <w:rFonts w:ascii="新細明體" w:hAnsi="新細明體" w:hint="eastAsia"/>
          <w:kern w:val="0"/>
        </w:rPr>
        <w:t>1</w:t>
      </w:r>
      <w:r>
        <w:rPr>
          <w:rStyle w:val="a9"/>
          <w:rFonts w:ascii="新細明體" w:hAnsi="新細明體" w:hint="eastAsia"/>
          <w:kern w:val="0"/>
        </w:rPr>
        <w:t>刷，頁</w:t>
      </w:r>
      <w:r>
        <w:rPr>
          <w:rStyle w:val="a9"/>
          <w:rFonts w:ascii="新細明體" w:hAnsi="新細明體" w:hint="eastAsia"/>
          <w:kern w:val="0"/>
        </w:rPr>
        <w:t>63-65</w:t>
      </w:r>
      <w:r>
        <w:rPr>
          <w:rStyle w:val="a9"/>
          <w:rFonts w:ascii="新細明體" w:hAnsi="新細明體" w:hint="eastAsia"/>
          <w:kern w:val="0"/>
        </w:rPr>
        <w:t>。</w:t>
      </w:r>
    </w:p>
  </w:footnote>
  <w:footnote w:id="21">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井</w:t>
      </w:r>
      <w:proofErr w:type="gramStart"/>
      <w:r>
        <w:rPr>
          <w:rStyle w:val="a9"/>
          <w:rFonts w:ascii="新細明體" w:hAnsi="新細明體" w:hint="eastAsia"/>
          <w:kern w:val="0"/>
        </w:rPr>
        <w:t>出嘉憲</w:t>
      </w:r>
      <w:proofErr w:type="gramEnd"/>
      <w:r>
        <w:rPr>
          <w:rStyle w:val="a9"/>
          <w:rFonts w:ascii="新細明體" w:hAnsi="新細明體" w:hint="eastAsia"/>
          <w:kern w:val="0"/>
        </w:rPr>
        <w:t>，日本官僚制と行政文化，</w:t>
      </w:r>
      <w:r>
        <w:rPr>
          <w:rStyle w:val="a9"/>
          <w:rFonts w:ascii="新細明體" w:hAnsi="新細明體" w:hint="eastAsia"/>
          <w:kern w:val="0"/>
        </w:rPr>
        <w:t>1982</w:t>
      </w:r>
      <w:r>
        <w:rPr>
          <w:rStyle w:val="a9"/>
          <w:rFonts w:ascii="新細明體" w:hAnsi="新細明體" w:hint="eastAsia"/>
          <w:kern w:val="0"/>
        </w:rPr>
        <w:t>年</w:t>
      </w:r>
      <w:r>
        <w:rPr>
          <w:rStyle w:val="a9"/>
          <w:rFonts w:ascii="新細明體" w:hAnsi="新細明體" w:hint="eastAsia"/>
          <w:kern w:val="0"/>
        </w:rPr>
        <w:t>4</w:t>
      </w:r>
      <w:r>
        <w:rPr>
          <w:rStyle w:val="a9"/>
          <w:rFonts w:ascii="新細明體" w:hAnsi="新細明體" w:hint="eastAsia"/>
          <w:kern w:val="0"/>
        </w:rPr>
        <w:t>月</w:t>
      </w:r>
      <w:r>
        <w:rPr>
          <w:rStyle w:val="a9"/>
          <w:rFonts w:ascii="新細明體" w:hAnsi="新細明體" w:hint="eastAsia"/>
          <w:kern w:val="0"/>
        </w:rPr>
        <w:t>20</w:t>
      </w:r>
      <w:r>
        <w:rPr>
          <w:rStyle w:val="a9"/>
          <w:rFonts w:ascii="新細明體" w:hAnsi="新細明體" w:hint="eastAsia"/>
          <w:kern w:val="0"/>
        </w:rPr>
        <w:t>日初版，頁</w:t>
      </w:r>
      <w:r>
        <w:rPr>
          <w:rStyle w:val="a9"/>
          <w:rFonts w:ascii="新細明體" w:hAnsi="新細明體" w:hint="eastAsia"/>
          <w:kern w:val="0"/>
        </w:rPr>
        <w:t>141</w:t>
      </w:r>
      <w:r>
        <w:rPr>
          <w:rStyle w:val="a9"/>
          <w:rFonts w:ascii="新細明體" w:hAnsi="新細明體" w:hint="eastAsia"/>
          <w:kern w:val="0"/>
        </w:rPr>
        <w:t>。</w:t>
      </w:r>
    </w:p>
  </w:footnote>
  <w:footnote w:id="22">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參閱人事院網頁</w:t>
      </w:r>
      <w:hyperlink r:id="rId1" w:history="1">
        <w:r>
          <w:rPr>
            <w:rStyle w:val="a9"/>
            <w:rFonts w:ascii="新細明體" w:hAnsi="新細明體" w:hint="eastAsia"/>
            <w:kern w:val="0"/>
          </w:rPr>
          <w:t>http://www.kantei.go.jp/jp/gyokaku/980428jinji.html</w:t>
        </w:r>
      </w:hyperlink>
      <w:r>
        <w:rPr>
          <w:rStyle w:val="a9"/>
          <w:rFonts w:ascii="新細明體" w:hAnsi="新細明體" w:hint="eastAsia"/>
          <w:kern w:val="0"/>
        </w:rPr>
        <w:t xml:space="preserve">, </w:t>
      </w:r>
      <w:r>
        <w:rPr>
          <w:rStyle w:val="a9"/>
          <w:rFonts w:ascii="新細明體" w:hAnsi="新細明體" w:hint="eastAsia"/>
          <w:kern w:val="0"/>
        </w:rPr>
        <w:t>檢索時間</w:t>
      </w:r>
      <w:r>
        <w:rPr>
          <w:rStyle w:val="a9"/>
          <w:rFonts w:ascii="新細明體" w:hAnsi="新細明體"/>
          <w:kern w:val="0"/>
        </w:rPr>
        <w:t>2007</w:t>
      </w:r>
      <w:r>
        <w:rPr>
          <w:rStyle w:val="a9"/>
          <w:rFonts w:ascii="新細明體" w:hAnsi="新細明體" w:hint="eastAsia"/>
          <w:kern w:val="0"/>
        </w:rPr>
        <w:t>年</w:t>
      </w:r>
      <w:r>
        <w:rPr>
          <w:rStyle w:val="a9"/>
          <w:rFonts w:ascii="新細明體" w:hAnsi="新細明體" w:hint="eastAsia"/>
          <w:kern w:val="0"/>
        </w:rPr>
        <w:t>7</w:t>
      </w:r>
      <w:r>
        <w:rPr>
          <w:rStyle w:val="a9"/>
          <w:rFonts w:ascii="新細明體" w:hAnsi="新細明體" w:hint="eastAsia"/>
          <w:kern w:val="0"/>
        </w:rPr>
        <w:t>月</w:t>
      </w:r>
      <w:r>
        <w:rPr>
          <w:rStyle w:val="a9"/>
          <w:rFonts w:ascii="新細明體" w:hAnsi="新細明體" w:hint="eastAsia"/>
          <w:kern w:val="0"/>
        </w:rPr>
        <w:t>4</w:t>
      </w:r>
      <w:r>
        <w:rPr>
          <w:rStyle w:val="a9"/>
          <w:rFonts w:ascii="新細明體" w:hAnsi="新細明體" w:hint="eastAsia"/>
          <w:kern w:val="0"/>
        </w:rPr>
        <w:t>日。</w:t>
      </w:r>
    </w:p>
  </w:footnote>
  <w:footnote w:id="23">
    <w:p w:rsidR="00000000" w:rsidRDefault="00CB4FE6">
      <w:pPr>
        <w:pStyle w:val="a8"/>
        <w:tabs>
          <w:tab w:val="left" w:pos="720"/>
        </w:tabs>
        <w:ind w:left="100" w:hangingChars="50" w:hanging="100"/>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參閱晴山</w:t>
      </w:r>
      <w:proofErr w:type="gramStart"/>
      <w:r>
        <w:rPr>
          <w:rStyle w:val="a9"/>
          <w:rFonts w:ascii="新細明體" w:hAnsi="新細明體" w:hint="eastAsia"/>
          <w:kern w:val="0"/>
        </w:rPr>
        <w:t>一</w:t>
      </w:r>
      <w:proofErr w:type="gramEnd"/>
      <w:r>
        <w:rPr>
          <w:rStyle w:val="a9"/>
          <w:rFonts w:ascii="新細明體" w:hAnsi="新細明體" w:hint="eastAsia"/>
          <w:kern w:val="0"/>
        </w:rPr>
        <w:t>穗，收於二</w:t>
      </w:r>
      <w:proofErr w:type="gramStart"/>
      <w:r>
        <w:rPr>
          <w:rStyle w:val="a9"/>
          <w:rFonts w:ascii="新細明體" w:hAnsi="新細明體" w:hint="eastAsia"/>
          <w:kern w:val="0"/>
        </w:rPr>
        <w:t>宮厚美</w:t>
      </w:r>
      <w:proofErr w:type="gramEnd"/>
      <w:r>
        <w:rPr>
          <w:rStyle w:val="a9"/>
          <w:rFonts w:ascii="新細明體" w:hAnsi="新細明體" w:hint="eastAsia"/>
          <w:kern w:val="0"/>
        </w:rPr>
        <w:t>/</w:t>
      </w:r>
      <w:r>
        <w:rPr>
          <w:rStyle w:val="a9"/>
          <w:rFonts w:ascii="新細明體" w:hAnsi="新細明體" w:hint="eastAsia"/>
          <w:kern w:val="0"/>
        </w:rPr>
        <w:t>晴山</w:t>
      </w:r>
      <w:proofErr w:type="gramStart"/>
      <w:r>
        <w:rPr>
          <w:rStyle w:val="a9"/>
          <w:rFonts w:ascii="新細明體" w:hAnsi="新細明體" w:hint="eastAsia"/>
          <w:kern w:val="0"/>
        </w:rPr>
        <w:t>一穗編</w:t>
      </w:r>
      <w:proofErr w:type="gramEnd"/>
      <w:r>
        <w:rPr>
          <w:rStyle w:val="a9"/>
          <w:rFonts w:ascii="新細明體" w:hAnsi="新細明體" w:hint="eastAsia"/>
          <w:kern w:val="0"/>
        </w:rPr>
        <w:t>，公務員制度の變質と公務勞動─</w:t>
      </w:r>
      <w:r>
        <w:rPr>
          <w:rStyle w:val="a9"/>
          <w:rFonts w:ascii="新細明體" w:hAnsi="新細明體" w:hint="eastAsia"/>
          <w:kern w:val="0"/>
        </w:rPr>
        <w:t>N</w:t>
      </w:r>
      <w:r>
        <w:rPr>
          <w:rStyle w:val="a9"/>
          <w:rFonts w:ascii="新細明體" w:hAnsi="新細明體" w:hint="eastAsia"/>
          <w:kern w:val="0"/>
        </w:rPr>
        <w:t>PM</w:t>
      </w:r>
      <w:r>
        <w:rPr>
          <w:rStyle w:val="a9"/>
          <w:rFonts w:ascii="新細明體" w:hAnsi="新細明體" w:hint="eastAsia"/>
          <w:kern w:val="0"/>
        </w:rPr>
        <w:t>型效率、市場型サービス</w:t>
      </w:r>
      <w:r>
        <w:rPr>
          <w:rStyle w:val="a9"/>
          <w:rFonts w:ascii="新細明體" w:hAnsi="新細明體" w:hint="eastAsia"/>
          <w:kern w:val="0"/>
        </w:rPr>
        <w:t xml:space="preserve">  </w:t>
      </w:r>
      <w:r>
        <w:rPr>
          <w:rStyle w:val="a9"/>
          <w:rFonts w:ascii="新細明體" w:hAnsi="新細明體" w:hint="eastAsia"/>
          <w:kern w:val="0"/>
        </w:rPr>
        <w:t>─，シリーズ地方自治構造改革を問う，自治體研究社，</w:t>
      </w:r>
      <w:r>
        <w:rPr>
          <w:rStyle w:val="a9"/>
          <w:rFonts w:ascii="新細明體" w:hAnsi="新細明體" w:hint="eastAsia"/>
          <w:kern w:val="0"/>
        </w:rPr>
        <w:t>2005</w:t>
      </w:r>
      <w:r>
        <w:rPr>
          <w:rStyle w:val="a9"/>
          <w:rFonts w:ascii="新細明體" w:hAnsi="新細明體" w:hint="eastAsia"/>
          <w:kern w:val="0"/>
        </w:rPr>
        <w:t>年</w:t>
      </w:r>
      <w:r>
        <w:rPr>
          <w:rStyle w:val="a9"/>
          <w:rFonts w:ascii="新細明體" w:hAnsi="新細明體" w:hint="eastAsia"/>
          <w:kern w:val="0"/>
        </w:rPr>
        <w:t>2</w:t>
      </w:r>
      <w:r>
        <w:rPr>
          <w:rStyle w:val="a9"/>
          <w:rFonts w:ascii="新細明體" w:hAnsi="新細明體" w:hint="eastAsia"/>
          <w:kern w:val="0"/>
        </w:rPr>
        <w:t>月</w:t>
      </w:r>
      <w:r>
        <w:rPr>
          <w:rStyle w:val="a9"/>
          <w:rFonts w:ascii="新細明體" w:hAnsi="新細明體" w:hint="eastAsia"/>
          <w:kern w:val="0"/>
        </w:rPr>
        <w:t>10</w:t>
      </w:r>
      <w:r>
        <w:rPr>
          <w:rStyle w:val="a9"/>
          <w:rFonts w:ascii="新細明體" w:hAnsi="新細明體" w:hint="eastAsia"/>
          <w:kern w:val="0"/>
        </w:rPr>
        <w:t>日，初版第</w:t>
      </w:r>
      <w:r>
        <w:rPr>
          <w:rStyle w:val="a9"/>
          <w:rFonts w:ascii="新細明體" w:hAnsi="新細明體" w:hint="eastAsia"/>
          <w:kern w:val="0"/>
        </w:rPr>
        <w:t>1</w:t>
      </w:r>
      <w:r>
        <w:rPr>
          <w:rStyle w:val="a9"/>
          <w:rFonts w:ascii="新細明體" w:hAnsi="新細明體" w:hint="eastAsia"/>
          <w:kern w:val="0"/>
        </w:rPr>
        <w:t>刷，頁</w:t>
      </w:r>
      <w:r>
        <w:rPr>
          <w:rStyle w:val="a9"/>
          <w:rFonts w:ascii="新細明體" w:hAnsi="新細明體" w:hint="eastAsia"/>
          <w:kern w:val="0"/>
        </w:rPr>
        <w:t>83-87</w:t>
      </w:r>
      <w:r>
        <w:rPr>
          <w:rStyle w:val="a9"/>
          <w:rFonts w:ascii="新細明體" w:hAnsi="新細明體" w:hint="eastAsia"/>
          <w:kern w:val="0"/>
        </w:rPr>
        <w:t>。</w:t>
      </w:r>
    </w:p>
  </w:footnote>
  <w:footnote w:id="24">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美濃</w:t>
      </w:r>
      <w:proofErr w:type="gramStart"/>
      <w:r>
        <w:rPr>
          <w:rStyle w:val="a9"/>
          <w:rFonts w:ascii="新細明體" w:hAnsi="新細明體" w:hint="eastAsia"/>
          <w:kern w:val="0"/>
        </w:rPr>
        <w:t>部達吉</w:t>
      </w:r>
      <w:proofErr w:type="gramEnd"/>
      <w:r>
        <w:rPr>
          <w:rStyle w:val="a9"/>
          <w:rFonts w:ascii="新細明體" w:hAnsi="新細明體" w:hint="eastAsia"/>
          <w:kern w:val="0"/>
        </w:rPr>
        <w:t>，行政法</w:t>
      </w:r>
      <w:proofErr w:type="gramStart"/>
      <w:r>
        <w:rPr>
          <w:rStyle w:val="a9"/>
          <w:rFonts w:ascii="新細明體" w:hAnsi="新細明體" w:hint="eastAsia"/>
          <w:kern w:val="0"/>
        </w:rPr>
        <w:t>撮</w:t>
      </w:r>
      <w:proofErr w:type="gramEnd"/>
      <w:r>
        <w:rPr>
          <w:rStyle w:val="a9"/>
          <w:rFonts w:ascii="新細明體" w:hAnsi="新細明體" w:hint="eastAsia"/>
          <w:kern w:val="0"/>
        </w:rPr>
        <w:t>要上卷，昭和</w:t>
      </w:r>
      <w:r>
        <w:rPr>
          <w:rStyle w:val="a9"/>
          <w:rFonts w:ascii="新細明體" w:hAnsi="新細明體" w:hint="eastAsia"/>
          <w:kern w:val="0"/>
        </w:rPr>
        <w:t>10</w:t>
      </w:r>
      <w:r>
        <w:rPr>
          <w:rStyle w:val="a9"/>
          <w:rFonts w:ascii="新細明體" w:hAnsi="新細明體" w:hint="eastAsia"/>
          <w:kern w:val="0"/>
        </w:rPr>
        <w:t>年，頁</w:t>
      </w:r>
      <w:r>
        <w:rPr>
          <w:rStyle w:val="a9"/>
          <w:rFonts w:ascii="新細明體" w:hAnsi="新細明體" w:hint="eastAsia"/>
          <w:kern w:val="0"/>
        </w:rPr>
        <w:t>328</w:t>
      </w:r>
      <w:r>
        <w:rPr>
          <w:rStyle w:val="a9"/>
          <w:rFonts w:ascii="新細明體" w:hAnsi="新細明體" w:hint="eastAsia"/>
          <w:kern w:val="0"/>
        </w:rPr>
        <w:t>，轉引自</w:t>
      </w:r>
      <w:proofErr w:type="gramStart"/>
      <w:r>
        <w:rPr>
          <w:rStyle w:val="a9"/>
          <w:rFonts w:ascii="新細明體" w:hAnsi="新細明體" w:hint="eastAsia"/>
          <w:kern w:val="0"/>
        </w:rPr>
        <w:t>鵜飼信</w:t>
      </w:r>
      <w:proofErr w:type="gramEnd"/>
      <w:r>
        <w:rPr>
          <w:rStyle w:val="a9"/>
          <w:rFonts w:ascii="新細明體" w:hAnsi="新細明體" w:hint="eastAsia"/>
          <w:kern w:val="0"/>
        </w:rPr>
        <w:t>成，公務員法【新版】，平成</w:t>
      </w:r>
      <w:r>
        <w:rPr>
          <w:rStyle w:val="a9"/>
          <w:rFonts w:ascii="新細明體" w:hAnsi="新細明體" w:hint="eastAsia"/>
          <w:kern w:val="0"/>
        </w:rPr>
        <w:t>2</w:t>
      </w:r>
      <w:r>
        <w:rPr>
          <w:rStyle w:val="a9"/>
          <w:rFonts w:ascii="新細明體" w:hAnsi="新細明體" w:hint="eastAsia"/>
          <w:kern w:val="0"/>
        </w:rPr>
        <w:t>年，新版初版第</w:t>
      </w:r>
      <w:r>
        <w:rPr>
          <w:rStyle w:val="a9"/>
          <w:rFonts w:ascii="新細明體" w:hAnsi="新細明體" w:hint="eastAsia"/>
          <w:kern w:val="0"/>
        </w:rPr>
        <w:t>6</w:t>
      </w:r>
      <w:r>
        <w:rPr>
          <w:rStyle w:val="a9"/>
          <w:rFonts w:ascii="新細明體" w:hAnsi="新細明體" w:hint="eastAsia"/>
          <w:kern w:val="0"/>
        </w:rPr>
        <w:t>刷，頁</w:t>
      </w:r>
      <w:r>
        <w:rPr>
          <w:rStyle w:val="a9"/>
          <w:rFonts w:ascii="新細明體" w:hAnsi="新細明體" w:hint="eastAsia"/>
          <w:kern w:val="0"/>
        </w:rPr>
        <w:t>70</w:t>
      </w:r>
      <w:r>
        <w:rPr>
          <w:rStyle w:val="a9"/>
          <w:rFonts w:ascii="新細明體" w:hAnsi="新細明體" w:hint="eastAsia"/>
          <w:kern w:val="0"/>
        </w:rPr>
        <w:t>，</w:t>
      </w:r>
      <w:proofErr w:type="gramStart"/>
      <w:r>
        <w:rPr>
          <w:rStyle w:val="a9"/>
          <w:rFonts w:ascii="新細明體" w:hAnsi="新細明體" w:hint="eastAsia"/>
          <w:kern w:val="0"/>
        </w:rPr>
        <w:t>註</w:t>
      </w:r>
      <w:proofErr w:type="gramEnd"/>
      <w:r>
        <w:rPr>
          <w:rStyle w:val="a9"/>
          <w:rFonts w:ascii="新細明體" w:hAnsi="新細明體" w:hint="eastAsia"/>
          <w:kern w:val="0"/>
        </w:rPr>
        <w:t>（二）。</w:t>
      </w:r>
    </w:p>
  </w:footnote>
  <w:footnote w:id="25">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proofErr w:type="gramStart"/>
      <w:r>
        <w:rPr>
          <w:rStyle w:val="a9"/>
          <w:rFonts w:ascii="新細明體" w:hAnsi="新細明體" w:hint="eastAsia"/>
          <w:kern w:val="0"/>
        </w:rPr>
        <w:t>鵜飼信</w:t>
      </w:r>
      <w:proofErr w:type="gramEnd"/>
      <w:r>
        <w:rPr>
          <w:rStyle w:val="a9"/>
          <w:rFonts w:ascii="新細明體" w:hAnsi="新細明體" w:hint="eastAsia"/>
          <w:kern w:val="0"/>
        </w:rPr>
        <w:t>成，</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69</w:t>
      </w:r>
      <w:r>
        <w:rPr>
          <w:rStyle w:val="a9"/>
          <w:rFonts w:ascii="新細明體" w:hAnsi="新細明體" w:hint="eastAsia"/>
          <w:kern w:val="0"/>
        </w:rPr>
        <w:t>。</w:t>
      </w:r>
    </w:p>
  </w:footnote>
  <w:footnote w:id="26">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藤田宙靖，行政組織法【新版】，</w:t>
      </w:r>
      <w:proofErr w:type="gramStart"/>
      <w:r>
        <w:rPr>
          <w:rStyle w:val="a9"/>
          <w:rFonts w:ascii="新細明體" w:hAnsi="新細明體" w:hint="eastAsia"/>
          <w:kern w:val="0"/>
        </w:rPr>
        <w:t>良書普及</w:t>
      </w:r>
      <w:proofErr w:type="gramEnd"/>
      <w:r>
        <w:rPr>
          <w:rStyle w:val="a9"/>
          <w:rFonts w:ascii="新細明體" w:hAnsi="新細明體" w:hint="eastAsia"/>
          <w:kern w:val="0"/>
        </w:rPr>
        <w:t>會，</w:t>
      </w:r>
      <w:r>
        <w:rPr>
          <w:rStyle w:val="a9"/>
          <w:rFonts w:ascii="新細明體" w:hAnsi="新細明體" w:hint="eastAsia"/>
          <w:kern w:val="0"/>
        </w:rPr>
        <w:t>2001</w:t>
      </w:r>
      <w:r>
        <w:rPr>
          <w:rStyle w:val="a9"/>
          <w:rFonts w:ascii="新細明體" w:hAnsi="新細明體" w:hint="eastAsia"/>
          <w:kern w:val="0"/>
        </w:rPr>
        <w:t>年</w:t>
      </w:r>
      <w:r>
        <w:rPr>
          <w:rStyle w:val="a9"/>
          <w:rFonts w:ascii="新細明體" w:hAnsi="新細明體" w:hint="eastAsia"/>
          <w:kern w:val="0"/>
        </w:rPr>
        <w:t>6</w:t>
      </w:r>
      <w:r>
        <w:rPr>
          <w:rStyle w:val="a9"/>
          <w:rFonts w:ascii="新細明體" w:hAnsi="新細明體" w:hint="eastAsia"/>
          <w:kern w:val="0"/>
        </w:rPr>
        <w:t>月</w:t>
      </w:r>
      <w:r>
        <w:rPr>
          <w:rStyle w:val="a9"/>
          <w:rFonts w:ascii="新細明體" w:hAnsi="新細明體" w:hint="eastAsia"/>
          <w:kern w:val="0"/>
        </w:rPr>
        <w:t>25</w:t>
      </w:r>
      <w:r>
        <w:rPr>
          <w:rStyle w:val="a9"/>
          <w:rFonts w:ascii="新細明體" w:hAnsi="新細明體" w:hint="eastAsia"/>
          <w:kern w:val="0"/>
        </w:rPr>
        <w:t>日，頁</w:t>
      </w:r>
      <w:r>
        <w:rPr>
          <w:rStyle w:val="a9"/>
          <w:rFonts w:ascii="新細明體" w:hAnsi="新細明體" w:hint="eastAsia"/>
          <w:kern w:val="0"/>
        </w:rPr>
        <w:t>327</w:t>
      </w:r>
      <w:r>
        <w:rPr>
          <w:rStyle w:val="a9"/>
          <w:rFonts w:ascii="新細明體" w:hAnsi="新細明體" w:hint="eastAsia"/>
          <w:kern w:val="0"/>
        </w:rPr>
        <w:t>。</w:t>
      </w:r>
    </w:p>
  </w:footnote>
  <w:footnote w:id="27">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參閱晴山</w:t>
      </w:r>
      <w:proofErr w:type="gramStart"/>
      <w:r>
        <w:rPr>
          <w:rStyle w:val="a9"/>
          <w:rFonts w:ascii="新細明體" w:hAnsi="新細明體" w:hint="eastAsia"/>
          <w:kern w:val="0"/>
        </w:rPr>
        <w:t>一</w:t>
      </w:r>
      <w:proofErr w:type="gramEnd"/>
      <w:r>
        <w:rPr>
          <w:rStyle w:val="a9"/>
          <w:rFonts w:ascii="新細明體" w:hAnsi="新細明體" w:hint="eastAsia"/>
          <w:kern w:val="0"/>
        </w:rPr>
        <w:t>穗，收於二</w:t>
      </w:r>
      <w:proofErr w:type="gramStart"/>
      <w:r>
        <w:rPr>
          <w:rStyle w:val="a9"/>
          <w:rFonts w:ascii="新細明體" w:hAnsi="新細明體" w:hint="eastAsia"/>
          <w:kern w:val="0"/>
        </w:rPr>
        <w:t>宮厚美</w:t>
      </w:r>
      <w:proofErr w:type="gramEnd"/>
      <w:r>
        <w:rPr>
          <w:rStyle w:val="a9"/>
          <w:rFonts w:ascii="新細明體" w:hAnsi="新細明體" w:hint="eastAsia"/>
          <w:kern w:val="0"/>
        </w:rPr>
        <w:t>/</w:t>
      </w:r>
      <w:r>
        <w:rPr>
          <w:rStyle w:val="a9"/>
          <w:rFonts w:ascii="新細明體" w:hAnsi="新細明體" w:hint="eastAsia"/>
          <w:kern w:val="0"/>
        </w:rPr>
        <w:t>晴山</w:t>
      </w:r>
      <w:proofErr w:type="gramStart"/>
      <w:r>
        <w:rPr>
          <w:rStyle w:val="a9"/>
          <w:rFonts w:ascii="新細明體" w:hAnsi="新細明體" w:hint="eastAsia"/>
          <w:kern w:val="0"/>
        </w:rPr>
        <w:t>一穗編</w:t>
      </w:r>
      <w:proofErr w:type="gramEnd"/>
      <w:r>
        <w:rPr>
          <w:rStyle w:val="a9"/>
          <w:rFonts w:ascii="新細明體" w:hAnsi="新細明體" w:hint="eastAsia"/>
          <w:kern w:val="0"/>
        </w:rPr>
        <w:t>，</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86</w:t>
      </w:r>
      <w:r>
        <w:rPr>
          <w:rStyle w:val="a9"/>
          <w:rFonts w:ascii="新細明體" w:hAnsi="新細明體" w:hint="eastAsia"/>
          <w:kern w:val="0"/>
        </w:rPr>
        <w:t>。</w:t>
      </w:r>
    </w:p>
  </w:footnote>
  <w:footnote w:id="28">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藤原</w:t>
      </w:r>
      <w:proofErr w:type="gramStart"/>
      <w:r>
        <w:rPr>
          <w:rStyle w:val="a9"/>
          <w:rFonts w:ascii="新細明體" w:hAnsi="新細明體" w:hint="eastAsia"/>
          <w:kern w:val="0"/>
        </w:rPr>
        <w:t>恒</w:t>
      </w:r>
      <w:proofErr w:type="gramEnd"/>
      <w:r>
        <w:rPr>
          <w:rStyle w:val="a9"/>
          <w:rFonts w:ascii="新細明體" w:hAnsi="新細明體" w:hint="eastAsia"/>
          <w:kern w:val="0"/>
        </w:rPr>
        <w:t>夫，收於：</w:t>
      </w:r>
      <w:proofErr w:type="gramStart"/>
      <w:r>
        <w:rPr>
          <w:rStyle w:val="a9"/>
          <w:rFonts w:ascii="新細明體" w:hAnsi="新細明體" w:hint="eastAsia"/>
          <w:kern w:val="0"/>
        </w:rPr>
        <w:t>栗田久喜柳</w:t>
      </w:r>
      <w:r>
        <w:rPr>
          <w:rStyle w:val="a9"/>
          <w:rFonts w:ascii="新細明體" w:hAnsi="新細明體" w:hint="eastAsia"/>
          <w:kern w:val="0"/>
        </w:rPr>
        <w:t xml:space="preserve"> </w:t>
      </w:r>
      <w:r>
        <w:rPr>
          <w:rStyle w:val="a9"/>
          <w:rFonts w:ascii="新細明體" w:hAnsi="新細明體" w:hint="eastAsia"/>
          <w:kern w:val="0"/>
        </w:rPr>
        <w:t>克樹</w:t>
      </w:r>
      <w:proofErr w:type="gramEnd"/>
      <w:r>
        <w:rPr>
          <w:rStyle w:val="a9"/>
          <w:rFonts w:ascii="新細明體" w:hAnsi="新細明體" w:hint="eastAsia"/>
          <w:kern w:val="0"/>
        </w:rPr>
        <w:t>編，國家公務員法．地方公務員法</w:t>
      </w:r>
      <w:r>
        <w:rPr>
          <w:rStyle w:val="a9"/>
          <w:rFonts w:ascii="新細明體" w:hAnsi="新細明體" w:hint="eastAsia"/>
          <w:kern w:val="0"/>
        </w:rPr>
        <w:t>1997</w:t>
      </w:r>
      <w:r>
        <w:rPr>
          <w:rStyle w:val="a9"/>
          <w:rFonts w:ascii="新細明體" w:hAnsi="新細明體" w:hint="eastAsia"/>
          <w:kern w:val="0"/>
        </w:rPr>
        <w:t>年</w:t>
      </w:r>
      <w:r>
        <w:rPr>
          <w:rStyle w:val="a9"/>
          <w:rFonts w:ascii="新細明體" w:hAnsi="新細明體" w:hint="eastAsia"/>
          <w:kern w:val="0"/>
        </w:rPr>
        <w:t>5</w:t>
      </w:r>
      <w:r>
        <w:rPr>
          <w:rStyle w:val="a9"/>
          <w:rFonts w:ascii="新細明體" w:hAnsi="新細明體" w:hint="eastAsia"/>
          <w:kern w:val="0"/>
        </w:rPr>
        <w:t>月</w:t>
      </w:r>
      <w:r>
        <w:rPr>
          <w:rStyle w:val="a9"/>
          <w:rFonts w:ascii="新細明體" w:hAnsi="新細明體" w:hint="eastAsia"/>
          <w:kern w:val="0"/>
        </w:rPr>
        <w:t>30</w:t>
      </w:r>
      <w:r>
        <w:rPr>
          <w:rStyle w:val="a9"/>
          <w:rFonts w:ascii="新細明體" w:hAnsi="新細明體" w:hint="eastAsia"/>
          <w:kern w:val="0"/>
        </w:rPr>
        <w:t>日初版第</w:t>
      </w:r>
      <w:r>
        <w:rPr>
          <w:rStyle w:val="a9"/>
          <w:rFonts w:ascii="新細明體" w:hAnsi="新細明體" w:hint="eastAsia"/>
          <w:kern w:val="0"/>
        </w:rPr>
        <w:t>1</w:t>
      </w:r>
      <w:r>
        <w:rPr>
          <w:rStyle w:val="a9"/>
          <w:rFonts w:ascii="新細明體" w:hAnsi="新細明體" w:hint="eastAsia"/>
          <w:kern w:val="0"/>
        </w:rPr>
        <w:t>刷，「國家公務員法」，頁</w:t>
      </w:r>
      <w:r>
        <w:rPr>
          <w:rStyle w:val="a9"/>
          <w:rFonts w:ascii="新細明體" w:hAnsi="新細明體" w:hint="eastAsia"/>
          <w:kern w:val="0"/>
        </w:rPr>
        <w:t>11-20</w:t>
      </w:r>
      <w:r>
        <w:rPr>
          <w:rStyle w:val="a9"/>
          <w:rFonts w:ascii="新細明體" w:hAnsi="新細明體" w:hint="eastAsia"/>
          <w:kern w:val="0"/>
        </w:rPr>
        <w:t>。</w:t>
      </w:r>
    </w:p>
  </w:footnote>
  <w:footnote w:id="29">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參閱晴山</w:t>
      </w:r>
      <w:proofErr w:type="gramStart"/>
      <w:r>
        <w:rPr>
          <w:rStyle w:val="a9"/>
          <w:rFonts w:ascii="新細明體" w:hAnsi="新細明體" w:hint="eastAsia"/>
          <w:kern w:val="0"/>
        </w:rPr>
        <w:t>一</w:t>
      </w:r>
      <w:proofErr w:type="gramEnd"/>
      <w:r>
        <w:rPr>
          <w:rStyle w:val="a9"/>
          <w:rFonts w:ascii="新細明體" w:hAnsi="新細明體" w:hint="eastAsia"/>
          <w:kern w:val="0"/>
        </w:rPr>
        <w:t>穗，收於二</w:t>
      </w:r>
      <w:proofErr w:type="gramStart"/>
      <w:r>
        <w:rPr>
          <w:rStyle w:val="a9"/>
          <w:rFonts w:ascii="新細明體" w:hAnsi="新細明體" w:hint="eastAsia"/>
          <w:kern w:val="0"/>
        </w:rPr>
        <w:t>宮厚美</w:t>
      </w:r>
      <w:proofErr w:type="gramEnd"/>
      <w:r>
        <w:rPr>
          <w:rStyle w:val="a9"/>
          <w:rFonts w:ascii="新細明體" w:hAnsi="新細明體" w:hint="eastAsia"/>
          <w:kern w:val="0"/>
        </w:rPr>
        <w:t>/</w:t>
      </w:r>
      <w:r>
        <w:rPr>
          <w:rStyle w:val="a9"/>
          <w:rFonts w:ascii="新細明體" w:hAnsi="新細明體" w:hint="eastAsia"/>
          <w:kern w:val="0"/>
        </w:rPr>
        <w:t>晴山</w:t>
      </w:r>
      <w:proofErr w:type="gramStart"/>
      <w:r>
        <w:rPr>
          <w:rStyle w:val="a9"/>
          <w:rFonts w:ascii="新細明體" w:hAnsi="新細明體" w:hint="eastAsia"/>
          <w:kern w:val="0"/>
        </w:rPr>
        <w:t>一穗編</w:t>
      </w:r>
      <w:proofErr w:type="gramEnd"/>
      <w:r>
        <w:rPr>
          <w:rStyle w:val="a9"/>
          <w:rFonts w:ascii="新細明體" w:hAnsi="新細明體" w:hint="eastAsia"/>
          <w:kern w:val="0"/>
        </w:rPr>
        <w:t>，</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90</w:t>
      </w:r>
      <w:r>
        <w:rPr>
          <w:rStyle w:val="a9"/>
          <w:rFonts w:ascii="新細明體" w:hAnsi="新細明體" w:hint="eastAsia"/>
          <w:kern w:val="0"/>
        </w:rPr>
        <w:t>。</w:t>
      </w:r>
    </w:p>
  </w:footnote>
  <w:footnote w:id="30">
    <w:p w:rsidR="00000000" w:rsidRDefault="00CB4FE6">
      <w:pPr>
        <w:pStyle w:val="a8"/>
        <w:tabs>
          <w:tab w:val="left" w:pos="720"/>
        </w:tabs>
        <w:ind w:left="100" w:hangingChars="50" w:hanging="1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請參閱網頁</w:t>
      </w:r>
      <w:hyperlink r:id="rId2" w:history="1">
        <w:r>
          <w:rPr>
            <w:rStyle w:val="a9"/>
            <w:rFonts w:ascii="新細明體" w:hAnsi="新細明體" w:hint="eastAsia"/>
            <w:kern w:val="0"/>
          </w:rPr>
          <w:t>http://www.gyoukaku.go.jp/jimukyoku/koumuin/ohwaku/honbun.html</w:t>
        </w:r>
      </w:hyperlink>
      <w:r>
        <w:rPr>
          <w:rStyle w:val="a9"/>
          <w:rFonts w:ascii="新細明體" w:hAnsi="新細明體" w:hint="eastAsia"/>
          <w:kern w:val="0"/>
        </w:rPr>
        <w:t xml:space="preserve">, </w:t>
      </w:r>
      <w:r>
        <w:rPr>
          <w:rStyle w:val="a9"/>
          <w:rFonts w:ascii="新細明體" w:hAnsi="新細明體" w:hint="eastAsia"/>
          <w:kern w:val="0"/>
        </w:rPr>
        <w:t>檢索時間</w:t>
      </w:r>
      <w:r>
        <w:rPr>
          <w:rStyle w:val="a9"/>
          <w:rFonts w:ascii="新細明體" w:hAnsi="新細明體"/>
          <w:kern w:val="0"/>
        </w:rPr>
        <w:t>2007</w:t>
      </w:r>
      <w:r>
        <w:rPr>
          <w:rStyle w:val="a9"/>
          <w:rFonts w:ascii="新細明體" w:hAnsi="新細明體" w:hint="eastAsia"/>
          <w:kern w:val="0"/>
        </w:rPr>
        <w:t>年</w:t>
      </w:r>
      <w:r>
        <w:rPr>
          <w:rStyle w:val="a9"/>
          <w:rFonts w:ascii="新細明體" w:hAnsi="新細明體" w:hint="eastAsia"/>
          <w:kern w:val="0"/>
        </w:rPr>
        <w:t>9</w:t>
      </w:r>
      <w:r>
        <w:rPr>
          <w:rStyle w:val="a9"/>
          <w:rFonts w:ascii="新細明體" w:hAnsi="新細明體" w:hint="eastAsia"/>
          <w:kern w:val="0"/>
        </w:rPr>
        <w:t>月</w:t>
      </w:r>
      <w:r>
        <w:rPr>
          <w:rStyle w:val="a9"/>
          <w:rFonts w:ascii="新細明體" w:hAnsi="新細明體" w:hint="eastAsia"/>
          <w:kern w:val="0"/>
        </w:rPr>
        <w:t>14</w:t>
      </w:r>
      <w:r>
        <w:rPr>
          <w:rStyle w:val="a9"/>
          <w:rFonts w:ascii="新細明體" w:hAnsi="新細明體" w:hint="eastAsia"/>
          <w:kern w:val="0"/>
        </w:rPr>
        <w:t>日。</w:t>
      </w:r>
    </w:p>
  </w:footnote>
  <w:footnote w:id="31">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大枠</w:t>
      </w:r>
      <w:r>
        <w:rPr>
          <w:rStyle w:val="a9"/>
          <w:rFonts w:ascii="新細明體" w:hAnsi="新細明體" w:hint="eastAsia"/>
          <w:kern w:val="0"/>
        </w:rPr>
        <w:t>(</w:t>
      </w:r>
      <w:r>
        <w:rPr>
          <w:rStyle w:val="a9"/>
          <w:rFonts w:ascii="新細明體" w:hAnsi="新細明體" w:hint="eastAsia"/>
          <w:kern w:val="0"/>
        </w:rPr>
        <w:t>おおわく</w:t>
      </w:r>
      <w:r>
        <w:rPr>
          <w:rStyle w:val="a9"/>
          <w:rFonts w:ascii="新細明體" w:hAnsi="新細明體" w:hint="eastAsia"/>
          <w:kern w:val="0"/>
        </w:rPr>
        <w:t>)</w:t>
      </w:r>
      <w:r>
        <w:rPr>
          <w:rStyle w:val="a9"/>
          <w:rFonts w:ascii="新細明體" w:hAnsi="新細明體" w:hint="eastAsia"/>
          <w:kern w:val="0"/>
        </w:rPr>
        <w:t>為大範圍或大框架之意，因屬官方正式文書，為避免翻譯失真，故保</w:t>
      </w:r>
      <w:r>
        <w:rPr>
          <w:rStyle w:val="a9"/>
          <w:rFonts w:ascii="新細明體" w:hAnsi="新細明體" w:hint="eastAsia"/>
          <w:kern w:val="0"/>
        </w:rPr>
        <w:t>留原文名稱。</w:t>
      </w:r>
    </w:p>
  </w:footnote>
  <w:footnote w:id="32">
    <w:p w:rsidR="00000000" w:rsidRDefault="00CB4FE6">
      <w:pPr>
        <w:pStyle w:val="a8"/>
        <w:tabs>
          <w:tab w:val="left" w:pos="720"/>
        </w:tabs>
        <w:ind w:left="100" w:hangingChars="50" w:hanging="1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請參閱網頁</w:t>
      </w:r>
      <w:hyperlink r:id="rId3" w:history="1">
        <w:r>
          <w:rPr>
            <w:rStyle w:val="a9"/>
            <w:rFonts w:ascii="新細明體" w:hAnsi="新細明體" w:hint="eastAsia"/>
            <w:kern w:val="0"/>
          </w:rPr>
          <w:t>http://www.kantei.go.jp/jp/kakugikettei/2001/1225koumuin.html</w:t>
        </w:r>
      </w:hyperlink>
      <w:r>
        <w:rPr>
          <w:rStyle w:val="a9"/>
          <w:rFonts w:ascii="新細明體" w:hAnsi="新細明體" w:hint="eastAsia"/>
          <w:kern w:val="0"/>
        </w:rPr>
        <w:t xml:space="preserve">, </w:t>
      </w:r>
      <w:r>
        <w:rPr>
          <w:rStyle w:val="a9"/>
          <w:rFonts w:ascii="新細明體" w:hAnsi="新細明體" w:hint="eastAsia"/>
          <w:kern w:val="0"/>
        </w:rPr>
        <w:t>檢索時間</w:t>
      </w:r>
      <w:r>
        <w:rPr>
          <w:rStyle w:val="a9"/>
          <w:rFonts w:ascii="新細明體" w:hAnsi="新細明體"/>
          <w:kern w:val="0"/>
        </w:rPr>
        <w:t>2007</w:t>
      </w:r>
      <w:r>
        <w:rPr>
          <w:rStyle w:val="a9"/>
          <w:rFonts w:ascii="新細明體" w:hAnsi="新細明體" w:hint="eastAsia"/>
          <w:kern w:val="0"/>
        </w:rPr>
        <w:t>年</w:t>
      </w:r>
      <w:r>
        <w:rPr>
          <w:rStyle w:val="a9"/>
          <w:rFonts w:ascii="新細明體" w:hAnsi="新細明體" w:hint="eastAsia"/>
          <w:kern w:val="0"/>
        </w:rPr>
        <w:t>9</w:t>
      </w:r>
      <w:r>
        <w:rPr>
          <w:rStyle w:val="a9"/>
          <w:rFonts w:ascii="新細明體" w:hAnsi="新細明體" w:hint="eastAsia"/>
          <w:kern w:val="0"/>
        </w:rPr>
        <w:t>月</w:t>
      </w:r>
      <w:r>
        <w:rPr>
          <w:rStyle w:val="a9"/>
          <w:rFonts w:ascii="新細明體" w:hAnsi="新細明體" w:hint="eastAsia"/>
          <w:kern w:val="0"/>
        </w:rPr>
        <w:t>14</w:t>
      </w:r>
      <w:r>
        <w:rPr>
          <w:rStyle w:val="a9"/>
          <w:rFonts w:ascii="新細明體" w:hAnsi="新細明體" w:hint="eastAsia"/>
          <w:kern w:val="0"/>
        </w:rPr>
        <w:t>日。</w:t>
      </w:r>
    </w:p>
  </w:footnote>
  <w:footnote w:id="33">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田中章史，收於二</w:t>
      </w:r>
      <w:proofErr w:type="gramStart"/>
      <w:r>
        <w:rPr>
          <w:rStyle w:val="a9"/>
          <w:rFonts w:ascii="新細明體" w:hAnsi="新細明體" w:hint="eastAsia"/>
          <w:kern w:val="0"/>
        </w:rPr>
        <w:t>宮厚美</w:t>
      </w:r>
      <w:proofErr w:type="gramEnd"/>
      <w:r>
        <w:rPr>
          <w:rStyle w:val="a9"/>
          <w:rFonts w:ascii="新細明體" w:hAnsi="新細明體" w:hint="eastAsia"/>
          <w:kern w:val="0"/>
        </w:rPr>
        <w:t>/</w:t>
      </w:r>
      <w:r>
        <w:rPr>
          <w:rStyle w:val="a9"/>
          <w:rFonts w:ascii="新細明體" w:hAnsi="新細明體" w:hint="eastAsia"/>
          <w:kern w:val="0"/>
        </w:rPr>
        <w:t>晴山</w:t>
      </w:r>
      <w:proofErr w:type="gramStart"/>
      <w:r>
        <w:rPr>
          <w:rStyle w:val="a9"/>
          <w:rFonts w:ascii="新細明體" w:hAnsi="新細明體" w:hint="eastAsia"/>
          <w:kern w:val="0"/>
        </w:rPr>
        <w:t>一穗編</w:t>
      </w:r>
      <w:proofErr w:type="gramEnd"/>
      <w:r>
        <w:rPr>
          <w:rStyle w:val="a9"/>
          <w:rFonts w:ascii="新細明體" w:hAnsi="新細明體" w:hint="eastAsia"/>
          <w:kern w:val="0"/>
        </w:rPr>
        <w:t>，</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160</w:t>
      </w:r>
      <w:r>
        <w:rPr>
          <w:rStyle w:val="a9"/>
          <w:rFonts w:ascii="新細明體" w:hAnsi="新細明體" w:hint="eastAsia"/>
          <w:kern w:val="0"/>
        </w:rPr>
        <w:t>。</w:t>
      </w:r>
    </w:p>
  </w:footnote>
  <w:footnote w:id="34">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闗於相關的評論，請參閱晴山一穗，收於二宮厚美</w:t>
      </w:r>
      <w:r>
        <w:rPr>
          <w:rStyle w:val="a9"/>
          <w:rFonts w:ascii="新細明體" w:hAnsi="新細明體" w:hint="eastAsia"/>
          <w:kern w:val="0"/>
        </w:rPr>
        <w:t>/</w:t>
      </w:r>
      <w:r>
        <w:rPr>
          <w:rStyle w:val="a9"/>
          <w:rFonts w:ascii="新細明體" w:hAnsi="新細明體" w:hint="eastAsia"/>
          <w:kern w:val="0"/>
        </w:rPr>
        <w:t>晴山一穗編，前揭書，頁</w:t>
      </w:r>
      <w:r>
        <w:rPr>
          <w:rStyle w:val="a9"/>
          <w:rFonts w:ascii="新細明體" w:hAnsi="新細明體" w:hint="eastAsia"/>
          <w:kern w:val="0"/>
        </w:rPr>
        <w:t>92-98</w:t>
      </w:r>
      <w:r>
        <w:rPr>
          <w:rStyle w:val="a9"/>
          <w:rFonts w:ascii="新細明體" w:hAnsi="新細明體" w:hint="eastAsia"/>
          <w:kern w:val="0"/>
        </w:rPr>
        <w:t>。</w:t>
      </w:r>
    </w:p>
  </w:footnote>
  <w:footnote w:id="35">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詳細內容請參閱網頁</w:t>
      </w:r>
      <w:r>
        <w:rPr>
          <w:rStyle w:val="a9"/>
          <w:rFonts w:ascii="新細明體" w:hAnsi="新細明體"/>
          <w:kern w:val="0"/>
        </w:rPr>
        <w:t>http://www.kantei.go.jp/jp/singi/gyokaku/kettei/051224housin.pdf</w:t>
      </w:r>
      <w:r>
        <w:rPr>
          <w:rStyle w:val="a9"/>
          <w:rFonts w:ascii="新細明體" w:hAnsi="新細明體" w:hint="eastAsia"/>
          <w:kern w:val="0"/>
        </w:rPr>
        <w:t xml:space="preserve">, </w:t>
      </w:r>
      <w:r>
        <w:rPr>
          <w:rStyle w:val="a9"/>
          <w:rFonts w:ascii="新細明體" w:hAnsi="新細明體" w:hint="eastAsia"/>
          <w:kern w:val="0"/>
        </w:rPr>
        <w:t>檢索時間</w:t>
      </w:r>
      <w:r>
        <w:rPr>
          <w:rStyle w:val="a9"/>
          <w:rFonts w:ascii="新細明體" w:hAnsi="新細明體"/>
          <w:kern w:val="0"/>
        </w:rPr>
        <w:t>200</w:t>
      </w:r>
      <w:r>
        <w:rPr>
          <w:rStyle w:val="a9"/>
          <w:rFonts w:ascii="新細明體" w:hAnsi="新細明體" w:hint="eastAsia"/>
          <w:kern w:val="0"/>
        </w:rPr>
        <w:t>8</w:t>
      </w:r>
      <w:r>
        <w:rPr>
          <w:rStyle w:val="a9"/>
          <w:rFonts w:ascii="新細明體" w:hAnsi="新細明體" w:hint="eastAsia"/>
          <w:kern w:val="0"/>
        </w:rPr>
        <w:t>年</w:t>
      </w:r>
      <w:r>
        <w:rPr>
          <w:rStyle w:val="a9"/>
          <w:rFonts w:ascii="新細明體" w:hAnsi="新細明體" w:hint="eastAsia"/>
          <w:kern w:val="0"/>
        </w:rPr>
        <w:t>11</w:t>
      </w:r>
      <w:r>
        <w:rPr>
          <w:rStyle w:val="a9"/>
          <w:rFonts w:ascii="新細明體" w:hAnsi="新細明體" w:hint="eastAsia"/>
          <w:kern w:val="0"/>
        </w:rPr>
        <w:t>月</w:t>
      </w:r>
      <w:r>
        <w:rPr>
          <w:rStyle w:val="a9"/>
          <w:rFonts w:ascii="新細明體" w:hAnsi="新細明體" w:hint="eastAsia"/>
          <w:kern w:val="0"/>
        </w:rPr>
        <w:t>12</w:t>
      </w:r>
      <w:r>
        <w:rPr>
          <w:rStyle w:val="a9"/>
          <w:rFonts w:ascii="新細明體" w:hAnsi="新細明體" w:hint="eastAsia"/>
          <w:kern w:val="0"/>
        </w:rPr>
        <w:t>日。</w:t>
      </w:r>
    </w:p>
  </w:footnote>
  <w:footnote w:id="36">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詳細內容請參閱網頁</w:t>
      </w:r>
      <w:r>
        <w:rPr>
          <w:rStyle w:val="a9"/>
          <w:rFonts w:ascii="新細明體" w:hAnsi="新細明體"/>
          <w:kern w:val="0"/>
        </w:rPr>
        <w:t>http://www.gyoukaku.go.jp/siryou/souron/pdf/0602_houritsu.pdf</w:t>
      </w:r>
      <w:r>
        <w:rPr>
          <w:rStyle w:val="a9"/>
          <w:rFonts w:ascii="新細明體" w:hAnsi="新細明體" w:hint="eastAsia"/>
          <w:kern w:val="0"/>
        </w:rPr>
        <w:t xml:space="preserve">, </w:t>
      </w:r>
      <w:r>
        <w:rPr>
          <w:rStyle w:val="a9"/>
          <w:rFonts w:ascii="新細明體" w:hAnsi="新細明體" w:hint="eastAsia"/>
          <w:kern w:val="0"/>
        </w:rPr>
        <w:t>檢索時間</w:t>
      </w:r>
      <w:r>
        <w:rPr>
          <w:rStyle w:val="a9"/>
          <w:rFonts w:ascii="新細明體" w:hAnsi="新細明體"/>
          <w:kern w:val="0"/>
        </w:rPr>
        <w:t>200</w:t>
      </w:r>
      <w:r>
        <w:rPr>
          <w:rStyle w:val="a9"/>
          <w:rFonts w:ascii="新細明體" w:hAnsi="新細明體" w:hint="eastAsia"/>
          <w:kern w:val="0"/>
        </w:rPr>
        <w:t>8</w:t>
      </w:r>
      <w:r>
        <w:rPr>
          <w:rStyle w:val="a9"/>
          <w:rFonts w:ascii="新細明體" w:hAnsi="新細明體" w:hint="eastAsia"/>
          <w:kern w:val="0"/>
        </w:rPr>
        <w:t>年</w:t>
      </w:r>
      <w:r>
        <w:rPr>
          <w:rStyle w:val="a9"/>
          <w:rFonts w:ascii="新細明體" w:hAnsi="新細明體" w:hint="eastAsia"/>
          <w:kern w:val="0"/>
        </w:rPr>
        <w:t>11</w:t>
      </w:r>
      <w:r>
        <w:rPr>
          <w:rStyle w:val="a9"/>
          <w:rFonts w:ascii="新細明體" w:hAnsi="新細明體" w:hint="eastAsia"/>
          <w:kern w:val="0"/>
        </w:rPr>
        <w:t>月</w:t>
      </w:r>
      <w:r>
        <w:rPr>
          <w:rStyle w:val="a9"/>
          <w:rFonts w:ascii="新細明體" w:hAnsi="新細明體" w:hint="eastAsia"/>
          <w:kern w:val="0"/>
        </w:rPr>
        <w:t>12</w:t>
      </w:r>
      <w:r>
        <w:rPr>
          <w:rStyle w:val="a9"/>
          <w:rFonts w:ascii="新細明體" w:hAnsi="新細明體" w:hint="eastAsia"/>
          <w:kern w:val="0"/>
        </w:rPr>
        <w:t>日。</w:t>
      </w:r>
    </w:p>
  </w:footnote>
  <w:footnote w:id="37">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參閱網頁</w:t>
      </w:r>
      <w:r>
        <w:rPr>
          <w:rStyle w:val="a9"/>
          <w:rFonts w:ascii="新細明體" w:hAnsi="新細明體"/>
          <w:kern w:val="0"/>
        </w:rPr>
        <w:t>http://www.gyoukaku.go.jp/about/koumuin.html</w:t>
      </w:r>
      <w:r>
        <w:rPr>
          <w:rStyle w:val="a9"/>
          <w:rFonts w:ascii="新細明體" w:hAnsi="新細明體" w:hint="eastAsia"/>
          <w:kern w:val="0"/>
        </w:rPr>
        <w:t>,</w:t>
      </w:r>
      <w:r>
        <w:rPr>
          <w:rStyle w:val="a9"/>
          <w:rFonts w:ascii="新細明體" w:hAnsi="新細明體" w:hint="eastAsia"/>
          <w:kern w:val="0"/>
        </w:rPr>
        <w:t>檢索時間</w:t>
      </w:r>
      <w:r>
        <w:rPr>
          <w:rStyle w:val="a9"/>
          <w:rFonts w:ascii="新細明體" w:hAnsi="新細明體"/>
          <w:kern w:val="0"/>
        </w:rPr>
        <w:t>200</w:t>
      </w:r>
      <w:r>
        <w:rPr>
          <w:rStyle w:val="a9"/>
          <w:rFonts w:ascii="新細明體" w:hAnsi="新細明體" w:hint="eastAsia"/>
          <w:kern w:val="0"/>
        </w:rPr>
        <w:t>8</w:t>
      </w:r>
      <w:r>
        <w:rPr>
          <w:rStyle w:val="a9"/>
          <w:rFonts w:ascii="新細明體" w:hAnsi="新細明體" w:hint="eastAsia"/>
          <w:kern w:val="0"/>
        </w:rPr>
        <w:t>年</w:t>
      </w:r>
      <w:r>
        <w:rPr>
          <w:rStyle w:val="a9"/>
          <w:rFonts w:ascii="新細明體" w:hAnsi="新細明體" w:hint="eastAsia"/>
          <w:kern w:val="0"/>
        </w:rPr>
        <w:t>11</w:t>
      </w:r>
      <w:r>
        <w:rPr>
          <w:rStyle w:val="a9"/>
          <w:rFonts w:ascii="新細明體" w:hAnsi="新細明體" w:hint="eastAsia"/>
          <w:kern w:val="0"/>
        </w:rPr>
        <w:t>月</w:t>
      </w:r>
      <w:r>
        <w:rPr>
          <w:rStyle w:val="a9"/>
          <w:rFonts w:ascii="新細明體" w:hAnsi="新細明體" w:hint="eastAsia"/>
          <w:kern w:val="0"/>
        </w:rPr>
        <w:t>12</w:t>
      </w:r>
      <w:r>
        <w:rPr>
          <w:rStyle w:val="a9"/>
          <w:rFonts w:ascii="新細明體" w:hAnsi="新細明體" w:hint="eastAsia"/>
          <w:kern w:val="0"/>
        </w:rPr>
        <w:t>日。</w:t>
      </w:r>
    </w:p>
  </w:footnote>
  <w:footnote w:id="38">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詳細內容請參閱網頁</w:t>
      </w:r>
      <w:r>
        <w:rPr>
          <w:rStyle w:val="a9"/>
          <w:rFonts w:ascii="新細明體" w:hAnsi="新細明體"/>
          <w:kern w:val="0"/>
        </w:rPr>
        <w:t>htt</w:t>
      </w:r>
      <w:r>
        <w:rPr>
          <w:rStyle w:val="a9"/>
          <w:rFonts w:ascii="新細明體" w:hAnsi="新細明體"/>
          <w:kern w:val="0"/>
        </w:rPr>
        <w:t>p://www.gyoukaku.go.jp/siryou/koumuin/070424_kakugi.pdf</w:t>
      </w:r>
      <w:r>
        <w:rPr>
          <w:rStyle w:val="a9"/>
          <w:rFonts w:ascii="新細明體" w:hAnsi="新細明體" w:hint="eastAsia"/>
          <w:kern w:val="0"/>
        </w:rPr>
        <w:t xml:space="preserve">, </w:t>
      </w:r>
      <w:r>
        <w:rPr>
          <w:rStyle w:val="a9"/>
          <w:rFonts w:ascii="新細明體" w:hAnsi="新細明體" w:hint="eastAsia"/>
          <w:kern w:val="0"/>
        </w:rPr>
        <w:t xml:space="preserve">檢索時間　　</w:t>
      </w:r>
    </w:p>
    <w:p w:rsidR="00000000" w:rsidRDefault="00CB4FE6">
      <w:pPr>
        <w:pStyle w:val="a8"/>
        <w:tabs>
          <w:tab w:val="left" w:pos="720"/>
        </w:tabs>
        <w:ind w:firstLineChars="100" w:firstLine="200"/>
        <w:rPr>
          <w:rStyle w:val="a9"/>
          <w:rFonts w:ascii="新細明體" w:hAnsi="新細明體" w:hint="eastAsia"/>
          <w:kern w:val="0"/>
        </w:rPr>
      </w:pPr>
      <w:r>
        <w:rPr>
          <w:rStyle w:val="a9"/>
          <w:rFonts w:ascii="新細明體" w:hAnsi="新細明體" w:hint="eastAsia"/>
          <w:kern w:val="0"/>
        </w:rPr>
        <w:t>2</w:t>
      </w:r>
      <w:r>
        <w:rPr>
          <w:rStyle w:val="a9"/>
          <w:rFonts w:ascii="新細明體" w:hAnsi="新細明體"/>
          <w:kern w:val="0"/>
        </w:rPr>
        <w:t>00</w:t>
      </w:r>
      <w:r>
        <w:rPr>
          <w:rStyle w:val="a9"/>
          <w:rFonts w:ascii="新細明體" w:hAnsi="新細明體" w:hint="eastAsia"/>
          <w:kern w:val="0"/>
        </w:rPr>
        <w:t>8</w:t>
      </w:r>
      <w:r>
        <w:rPr>
          <w:rStyle w:val="a9"/>
          <w:rFonts w:ascii="新細明體" w:hAnsi="新細明體" w:hint="eastAsia"/>
          <w:kern w:val="0"/>
        </w:rPr>
        <w:t>年</w:t>
      </w:r>
      <w:r>
        <w:rPr>
          <w:rStyle w:val="a9"/>
          <w:rFonts w:ascii="新細明體" w:hAnsi="新細明體" w:hint="eastAsia"/>
          <w:kern w:val="0"/>
        </w:rPr>
        <w:t>11</w:t>
      </w:r>
      <w:r>
        <w:rPr>
          <w:rStyle w:val="a9"/>
          <w:rFonts w:ascii="新細明體" w:hAnsi="新細明體" w:hint="eastAsia"/>
          <w:kern w:val="0"/>
        </w:rPr>
        <w:t>月</w:t>
      </w:r>
      <w:r>
        <w:rPr>
          <w:rStyle w:val="a9"/>
          <w:rFonts w:ascii="新細明體" w:hAnsi="新細明體" w:hint="eastAsia"/>
          <w:kern w:val="0"/>
        </w:rPr>
        <w:t>12</w:t>
      </w:r>
      <w:r>
        <w:rPr>
          <w:rStyle w:val="a9"/>
          <w:rFonts w:ascii="新細明體" w:hAnsi="新細明體" w:hint="eastAsia"/>
          <w:kern w:val="0"/>
        </w:rPr>
        <w:t>日。</w:t>
      </w:r>
    </w:p>
  </w:footnote>
  <w:footnote w:id="39">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詳細內容請參閱網頁</w:t>
      </w:r>
      <w:r>
        <w:rPr>
          <w:rStyle w:val="a9"/>
          <w:rFonts w:ascii="新細明體" w:hAnsi="新細明體"/>
          <w:kern w:val="0"/>
        </w:rPr>
        <w:t>http://www.gyoukaku.go.jp/siryou/koumuin/070630houritu.pdf</w:t>
      </w:r>
      <w:r>
        <w:rPr>
          <w:rStyle w:val="a9"/>
          <w:rFonts w:ascii="新細明體" w:hAnsi="新細明體" w:hint="eastAsia"/>
          <w:kern w:val="0"/>
        </w:rPr>
        <w:t xml:space="preserve">, </w:t>
      </w:r>
      <w:r>
        <w:rPr>
          <w:rStyle w:val="a9"/>
          <w:rFonts w:ascii="新細明體" w:hAnsi="新細明體" w:hint="eastAsia"/>
          <w:kern w:val="0"/>
        </w:rPr>
        <w:t>檢索時間</w:t>
      </w:r>
      <w:r>
        <w:rPr>
          <w:rStyle w:val="a9"/>
          <w:rFonts w:ascii="新細明體" w:hAnsi="新細明體"/>
          <w:kern w:val="0"/>
        </w:rPr>
        <w:t>200</w:t>
      </w:r>
      <w:r>
        <w:rPr>
          <w:rStyle w:val="a9"/>
          <w:rFonts w:ascii="新細明體" w:hAnsi="新細明體" w:hint="eastAsia"/>
          <w:kern w:val="0"/>
        </w:rPr>
        <w:t>8</w:t>
      </w:r>
      <w:r>
        <w:rPr>
          <w:rStyle w:val="a9"/>
          <w:rFonts w:ascii="新細明體" w:hAnsi="新細明體" w:hint="eastAsia"/>
          <w:kern w:val="0"/>
        </w:rPr>
        <w:t>年</w:t>
      </w:r>
      <w:r>
        <w:rPr>
          <w:rStyle w:val="a9"/>
          <w:rFonts w:ascii="新細明體" w:hAnsi="新細明體" w:hint="eastAsia"/>
          <w:kern w:val="0"/>
        </w:rPr>
        <w:t>11</w:t>
      </w:r>
      <w:r>
        <w:rPr>
          <w:rStyle w:val="a9"/>
          <w:rFonts w:ascii="新細明體" w:hAnsi="新細明體" w:hint="eastAsia"/>
          <w:kern w:val="0"/>
        </w:rPr>
        <w:t>月</w:t>
      </w:r>
      <w:r>
        <w:rPr>
          <w:rStyle w:val="a9"/>
          <w:rFonts w:ascii="新細明體" w:hAnsi="新細明體" w:hint="eastAsia"/>
          <w:kern w:val="0"/>
        </w:rPr>
        <w:t>12</w:t>
      </w:r>
      <w:r>
        <w:rPr>
          <w:rStyle w:val="a9"/>
          <w:rFonts w:ascii="新細明體" w:hAnsi="新細明體" w:hint="eastAsia"/>
          <w:kern w:val="0"/>
        </w:rPr>
        <w:t>日。</w:t>
      </w:r>
    </w:p>
  </w:footnote>
  <w:footnote w:id="40">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關於國家公務員法部分修正之檢討，請參閱中井</w:t>
      </w:r>
      <w:proofErr w:type="gramStart"/>
      <w:r>
        <w:rPr>
          <w:rStyle w:val="a9"/>
          <w:rFonts w:ascii="新細明體" w:hAnsi="新細明體" w:hint="eastAsia"/>
          <w:kern w:val="0"/>
        </w:rPr>
        <w:t>亨</w:t>
      </w:r>
      <w:proofErr w:type="gramEnd"/>
      <w:r>
        <w:rPr>
          <w:rStyle w:val="a9"/>
          <w:rFonts w:ascii="新細明體" w:hAnsi="新細明體" w:hint="eastAsia"/>
          <w:kern w:val="0"/>
        </w:rPr>
        <w:t>，</w:t>
      </w:r>
      <w:hyperlink r:id="rId4" w:history="1">
        <w:r>
          <w:rPr>
            <w:rStyle w:val="a9"/>
            <w:rFonts w:ascii="新細明體" w:hAnsi="新細明體"/>
            <w:kern w:val="0"/>
          </w:rPr>
          <w:t>国家公務員法等の一部を改正する法律</w:t>
        </w:r>
      </w:hyperlink>
      <w:r>
        <w:rPr>
          <w:rStyle w:val="a9"/>
          <w:rFonts w:ascii="新細明體" w:hAnsi="新細明體" w:hint="eastAsia"/>
          <w:kern w:val="0"/>
        </w:rPr>
        <w:t>（平成</w:t>
      </w:r>
      <w:r>
        <w:rPr>
          <w:rStyle w:val="a9"/>
          <w:rFonts w:ascii="新細明體" w:hAnsi="新細明體" w:hint="eastAsia"/>
          <w:kern w:val="0"/>
        </w:rPr>
        <w:t>19</w:t>
      </w:r>
      <w:r>
        <w:rPr>
          <w:rStyle w:val="a9"/>
          <w:rFonts w:ascii="新細明體" w:hAnsi="新細明體" w:hint="eastAsia"/>
          <w:kern w:val="0"/>
        </w:rPr>
        <w:t>年法律第</w:t>
      </w:r>
      <w:r>
        <w:rPr>
          <w:rStyle w:val="a9"/>
          <w:rFonts w:ascii="新細明體" w:hAnsi="新細明體" w:hint="eastAsia"/>
          <w:kern w:val="0"/>
        </w:rPr>
        <w:t>108</w:t>
      </w:r>
      <w:r>
        <w:rPr>
          <w:rStyle w:val="a9"/>
          <w:rFonts w:ascii="新細明體" w:hAnsi="新細明體" w:hint="eastAsia"/>
          <w:kern w:val="0"/>
        </w:rPr>
        <w:t>号）について，ジュリスト，</w:t>
      </w:r>
      <w:r>
        <w:rPr>
          <w:rStyle w:val="a9"/>
          <w:rFonts w:ascii="新細明體" w:hAnsi="新細明體" w:hint="eastAsia"/>
          <w:kern w:val="0"/>
        </w:rPr>
        <w:t>No.1355</w:t>
      </w:r>
      <w:r>
        <w:rPr>
          <w:rStyle w:val="a9"/>
          <w:rFonts w:ascii="新細明體" w:hAnsi="新細明體" w:hint="eastAsia"/>
          <w:kern w:val="0"/>
        </w:rPr>
        <w:t>，</w:t>
      </w:r>
      <w:r>
        <w:rPr>
          <w:rStyle w:val="a9"/>
          <w:rFonts w:ascii="新細明體" w:hAnsi="新細明體"/>
          <w:kern w:val="0"/>
        </w:rPr>
        <w:t>2008</w:t>
      </w:r>
      <w:r>
        <w:rPr>
          <w:rStyle w:val="a9"/>
          <w:rFonts w:ascii="新細明體" w:hAnsi="新細明體" w:hint="eastAsia"/>
          <w:kern w:val="0"/>
        </w:rPr>
        <w:t>.4.</w:t>
      </w:r>
      <w:r>
        <w:rPr>
          <w:rStyle w:val="a9"/>
          <w:rFonts w:ascii="新細明體" w:hAnsi="新細明體"/>
          <w:kern w:val="0"/>
        </w:rPr>
        <w:t>1</w:t>
      </w:r>
      <w:r>
        <w:rPr>
          <w:rStyle w:val="a9"/>
          <w:rFonts w:ascii="新細明體" w:hAnsi="新細明體" w:hint="eastAsia"/>
          <w:kern w:val="0"/>
        </w:rPr>
        <w:t>5</w:t>
      </w:r>
      <w:r>
        <w:rPr>
          <w:rStyle w:val="a9"/>
          <w:rFonts w:ascii="新細明體" w:hAnsi="新細明體" w:hint="eastAsia"/>
          <w:kern w:val="0"/>
        </w:rPr>
        <w:t>，頁</w:t>
      </w:r>
      <w:r>
        <w:rPr>
          <w:rStyle w:val="a9"/>
          <w:rFonts w:ascii="新細明體" w:hAnsi="新細明體" w:hint="eastAsia"/>
          <w:kern w:val="0"/>
        </w:rPr>
        <w:t>24-27</w:t>
      </w:r>
      <w:r>
        <w:rPr>
          <w:rStyle w:val="a9"/>
          <w:rFonts w:ascii="新細明體" w:hAnsi="新細明體" w:hint="eastAsia"/>
          <w:kern w:val="0"/>
        </w:rPr>
        <w:t>。</w:t>
      </w:r>
    </w:p>
  </w:footnote>
  <w:footnote w:id="41">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詳細內容請參閱網頁</w:t>
      </w:r>
      <w:hyperlink r:id="rId5" w:history="1">
        <w:r>
          <w:rPr>
            <w:rStyle w:val="a9"/>
            <w:rFonts w:ascii="新細明體" w:hAnsi="新細明體"/>
            <w:kern w:val="0"/>
          </w:rPr>
          <w:t>http://www.gyoukaku.go.jp/siryou/koumuin/080613kihonhou_honbun.pdf</w:t>
        </w:r>
      </w:hyperlink>
      <w:r>
        <w:rPr>
          <w:rStyle w:val="a9"/>
          <w:rFonts w:ascii="新細明體" w:hAnsi="新細明體" w:hint="eastAsia"/>
          <w:kern w:val="0"/>
        </w:rPr>
        <w:t xml:space="preserve">, </w:t>
      </w:r>
      <w:r>
        <w:rPr>
          <w:rStyle w:val="a9"/>
          <w:rFonts w:ascii="新細明體" w:hAnsi="新細明體" w:hint="eastAsia"/>
          <w:kern w:val="0"/>
        </w:rPr>
        <w:t>檢索時間</w:t>
      </w:r>
      <w:r>
        <w:rPr>
          <w:rStyle w:val="a9"/>
          <w:rFonts w:ascii="新細明體" w:hAnsi="新細明體"/>
          <w:kern w:val="0"/>
        </w:rPr>
        <w:t>200</w:t>
      </w:r>
      <w:r>
        <w:rPr>
          <w:rStyle w:val="a9"/>
          <w:rFonts w:ascii="新細明體" w:hAnsi="新細明體" w:hint="eastAsia"/>
          <w:kern w:val="0"/>
        </w:rPr>
        <w:t>8</w:t>
      </w:r>
      <w:r>
        <w:rPr>
          <w:rStyle w:val="a9"/>
          <w:rFonts w:ascii="新細明體" w:hAnsi="新細明體" w:hint="eastAsia"/>
          <w:kern w:val="0"/>
        </w:rPr>
        <w:t>年</w:t>
      </w:r>
      <w:r>
        <w:rPr>
          <w:rStyle w:val="a9"/>
          <w:rFonts w:ascii="新細明體" w:hAnsi="新細明體" w:hint="eastAsia"/>
          <w:kern w:val="0"/>
        </w:rPr>
        <w:t>11</w:t>
      </w:r>
      <w:r>
        <w:rPr>
          <w:rStyle w:val="a9"/>
          <w:rFonts w:ascii="新細明體" w:hAnsi="新細明體" w:hint="eastAsia"/>
          <w:kern w:val="0"/>
        </w:rPr>
        <w:t>月</w:t>
      </w:r>
      <w:r>
        <w:rPr>
          <w:rStyle w:val="a9"/>
          <w:rFonts w:ascii="新細明體" w:hAnsi="新細明體" w:hint="eastAsia"/>
          <w:kern w:val="0"/>
        </w:rPr>
        <w:t>12</w:t>
      </w:r>
      <w:r>
        <w:rPr>
          <w:rStyle w:val="a9"/>
          <w:rFonts w:ascii="新細明體" w:hAnsi="新細明體" w:hint="eastAsia"/>
          <w:kern w:val="0"/>
        </w:rPr>
        <w:t>日。</w:t>
      </w:r>
    </w:p>
  </w:footnote>
  <w:footnote w:id="42">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參閱塩野宏，行政法</w:t>
      </w:r>
      <w:r>
        <w:rPr>
          <w:rStyle w:val="a9"/>
          <w:rFonts w:ascii="新細明體" w:hAnsi="新細明體" w:hint="eastAsia"/>
          <w:kern w:val="0"/>
        </w:rPr>
        <w:t>III</w:t>
      </w:r>
      <w:r>
        <w:rPr>
          <w:rStyle w:val="a9"/>
          <w:rFonts w:ascii="新細明體" w:hAnsi="新細明體" w:hint="eastAsia"/>
          <w:kern w:val="0"/>
        </w:rPr>
        <w:t>【第三版】</w:t>
      </w:r>
      <w:r>
        <w:rPr>
          <w:rStyle w:val="a9"/>
          <w:rFonts w:ascii="新細明體" w:hAnsi="新細明體" w:hint="eastAsia"/>
          <w:kern w:val="0"/>
        </w:rPr>
        <w:t xml:space="preserve"> </w:t>
      </w:r>
      <w:r>
        <w:rPr>
          <w:rStyle w:val="a9"/>
          <w:rFonts w:ascii="新細明體" w:hAnsi="新細明體" w:hint="eastAsia"/>
          <w:kern w:val="0"/>
        </w:rPr>
        <w:t>行政組織法，</w:t>
      </w:r>
      <w:r>
        <w:rPr>
          <w:rStyle w:val="a9"/>
          <w:rFonts w:ascii="新細明體" w:hAnsi="新細明體" w:hint="eastAsia"/>
          <w:kern w:val="0"/>
        </w:rPr>
        <w:t>2008</w:t>
      </w:r>
      <w:r>
        <w:rPr>
          <w:rStyle w:val="a9"/>
          <w:rFonts w:ascii="新細明體" w:hAnsi="新細明體" w:hint="eastAsia"/>
          <w:kern w:val="0"/>
        </w:rPr>
        <w:t>年，第</w:t>
      </w:r>
      <w:r>
        <w:rPr>
          <w:rStyle w:val="a9"/>
          <w:rFonts w:ascii="新細明體" w:hAnsi="新細明體" w:hint="eastAsia"/>
          <w:kern w:val="0"/>
        </w:rPr>
        <w:t>3</w:t>
      </w:r>
      <w:r>
        <w:rPr>
          <w:rStyle w:val="a9"/>
          <w:rFonts w:ascii="新細明體" w:hAnsi="新細明體" w:hint="eastAsia"/>
          <w:kern w:val="0"/>
        </w:rPr>
        <w:t>版第</w:t>
      </w:r>
      <w:r>
        <w:rPr>
          <w:rStyle w:val="a9"/>
          <w:rFonts w:ascii="新細明體" w:hAnsi="新細明體" w:hint="eastAsia"/>
          <w:kern w:val="0"/>
        </w:rPr>
        <w:t>4</w:t>
      </w:r>
      <w:r>
        <w:rPr>
          <w:rStyle w:val="a9"/>
          <w:rFonts w:ascii="新細明體" w:hAnsi="新細明體" w:hint="eastAsia"/>
          <w:kern w:val="0"/>
        </w:rPr>
        <w:t>刷，頁</w:t>
      </w:r>
      <w:r>
        <w:rPr>
          <w:rStyle w:val="a9"/>
          <w:rFonts w:ascii="新細明體" w:hAnsi="新細明體" w:hint="eastAsia"/>
          <w:kern w:val="0"/>
        </w:rPr>
        <w:t>235-237</w:t>
      </w:r>
      <w:r>
        <w:rPr>
          <w:rStyle w:val="a9"/>
          <w:rFonts w:ascii="新細明體" w:hAnsi="新細明體" w:hint="eastAsia"/>
          <w:kern w:val="0"/>
        </w:rPr>
        <w:t>。</w:t>
      </w:r>
    </w:p>
  </w:footnote>
  <w:footnote w:id="43">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宮澤俊義</w:t>
      </w:r>
      <w:proofErr w:type="gramStart"/>
      <w:r>
        <w:rPr>
          <w:rStyle w:val="a9"/>
          <w:rFonts w:ascii="新細明體" w:hAnsi="新細明體" w:hint="eastAsia"/>
          <w:kern w:val="0"/>
        </w:rPr>
        <w:t>（</w:t>
      </w:r>
      <w:proofErr w:type="gramEnd"/>
      <w:r>
        <w:rPr>
          <w:rStyle w:val="a9"/>
          <w:rFonts w:ascii="新細明體" w:hAnsi="新細明體" w:hint="eastAsia"/>
          <w:kern w:val="0"/>
        </w:rPr>
        <w:t>芦部信喜補訂），全訂日本國憲法，頁</w:t>
      </w:r>
      <w:r>
        <w:rPr>
          <w:rStyle w:val="a9"/>
          <w:rFonts w:ascii="新細明體" w:hAnsi="新細明體" w:hint="eastAsia"/>
          <w:kern w:val="0"/>
        </w:rPr>
        <w:t>218</w:t>
      </w:r>
      <w:r>
        <w:rPr>
          <w:rStyle w:val="a9"/>
          <w:rFonts w:ascii="新細明體" w:hAnsi="新細明體" w:hint="eastAsia"/>
          <w:kern w:val="0"/>
        </w:rPr>
        <w:t>；轉引自塩野宏，前揭書，頁</w:t>
      </w:r>
      <w:r>
        <w:rPr>
          <w:rStyle w:val="a9"/>
          <w:rFonts w:ascii="新細明體" w:hAnsi="新細明體" w:hint="eastAsia"/>
          <w:kern w:val="0"/>
        </w:rPr>
        <w:t>236</w:t>
      </w:r>
      <w:r>
        <w:rPr>
          <w:rStyle w:val="a9"/>
          <w:rFonts w:ascii="新細明體" w:hAnsi="新細明體" w:hint="eastAsia"/>
          <w:kern w:val="0"/>
        </w:rPr>
        <w:t>。</w:t>
      </w:r>
    </w:p>
  </w:footnote>
  <w:footnote w:id="44">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proofErr w:type="gramStart"/>
      <w:r>
        <w:rPr>
          <w:rStyle w:val="a9"/>
          <w:rFonts w:ascii="新細明體" w:hAnsi="新細明體" w:hint="eastAsia"/>
          <w:kern w:val="0"/>
        </w:rPr>
        <w:t>最判昭和</w:t>
      </w:r>
      <w:proofErr w:type="gramEnd"/>
      <w:r>
        <w:rPr>
          <w:rStyle w:val="a9"/>
          <w:rFonts w:ascii="新細明體" w:hAnsi="新細明體" w:hint="eastAsia"/>
          <w:kern w:val="0"/>
        </w:rPr>
        <w:t>3</w:t>
      </w:r>
      <w:proofErr w:type="gramStart"/>
      <w:r>
        <w:rPr>
          <w:rStyle w:val="a9"/>
          <w:rFonts w:ascii="新細明體" w:hAnsi="新細明體" w:hint="eastAsia"/>
          <w:kern w:val="0"/>
        </w:rPr>
        <w:t>‧</w:t>
      </w:r>
      <w:proofErr w:type="gramEnd"/>
      <w:r>
        <w:rPr>
          <w:rStyle w:val="a9"/>
          <w:rFonts w:ascii="新細明體" w:hAnsi="新細明體" w:hint="eastAsia"/>
          <w:kern w:val="0"/>
        </w:rPr>
        <w:t>5</w:t>
      </w:r>
      <w:proofErr w:type="gramStart"/>
      <w:r>
        <w:rPr>
          <w:rStyle w:val="a9"/>
          <w:rFonts w:ascii="新細明體" w:hAnsi="新細明體" w:hint="eastAsia"/>
          <w:kern w:val="0"/>
        </w:rPr>
        <w:t>‧</w:t>
      </w:r>
      <w:proofErr w:type="gramEnd"/>
      <w:r>
        <w:rPr>
          <w:rStyle w:val="a9"/>
          <w:rFonts w:ascii="新細明體" w:hAnsi="新細明體" w:hint="eastAsia"/>
          <w:kern w:val="0"/>
        </w:rPr>
        <w:t>1</w:t>
      </w:r>
      <w:proofErr w:type="gramStart"/>
      <w:r>
        <w:rPr>
          <w:rStyle w:val="a9"/>
          <w:rFonts w:ascii="新細明體" w:hAnsi="新細明體" w:hint="eastAsia"/>
          <w:kern w:val="0"/>
        </w:rPr>
        <w:t>刑集</w:t>
      </w:r>
      <w:r>
        <w:rPr>
          <w:rStyle w:val="a9"/>
          <w:rFonts w:ascii="新細明體" w:hAnsi="新細明體" w:hint="eastAsia"/>
          <w:kern w:val="0"/>
        </w:rPr>
        <w:t>14</w:t>
      </w:r>
      <w:r>
        <w:rPr>
          <w:rStyle w:val="a9"/>
          <w:rFonts w:ascii="新細明體" w:hAnsi="新細明體" w:hint="eastAsia"/>
          <w:kern w:val="0"/>
        </w:rPr>
        <w:t>卷</w:t>
      </w:r>
      <w:proofErr w:type="gramEnd"/>
      <w:r>
        <w:rPr>
          <w:rStyle w:val="a9"/>
          <w:rFonts w:ascii="新細明體" w:hAnsi="新細明體" w:hint="eastAsia"/>
          <w:kern w:val="0"/>
        </w:rPr>
        <w:t>3</w:t>
      </w:r>
      <w:r>
        <w:rPr>
          <w:rStyle w:val="a9"/>
          <w:rFonts w:ascii="新細明體" w:hAnsi="新細明體" w:hint="eastAsia"/>
          <w:kern w:val="0"/>
        </w:rPr>
        <w:t>號</w:t>
      </w:r>
      <w:r>
        <w:rPr>
          <w:rStyle w:val="a9"/>
          <w:rFonts w:ascii="新細明體" w:hAnsi="新細明體" w:hint="eastAsia"/>
          <w:kern w:val="0"/>
        </w:rPr>
        <w:t>209</w:t>
      </w:r>
      <w:r>
        <w:rPr>
          <w:rStyle w:val="a9"/>
          <w:rFonts w:ascii="新細明體" w:hAnsi="新細明體" w:hint="eastAsia"/>
          <w:kern w:val="0"/>
        </w:rPr>
        <w:t>頁，公務員判例百選</w:t>
      </w:r>
      <w:r>
        <w:rPr>
          <w:rStyle w:val="a9"/>
          <w:rFonts w:ascii="新細明體" w:hAnsi="新細明體" w:hint="eastAsia"/>
          <w:kern w:val="0"/>
        </w:rPr>
        <w:t>3</w:t>
      </w:r>
      <w:r>
        <w:rPr>
          <w:rStyle w:val="a9"/>
          <w:rFonts w:ascii="新細明體" w:hAnsi="新細明體" w:hint="eastAsia"/>
          <w:kern w:val="0"/>
        </w:rPr>
        <w:t>事件。</w:t>
      </w:r>
    </w:p>
  </w:footnote>
  <w:footnote w:id="45">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塩野宏，前揭書，頁</w:t>
      </w:r>
      <w:r>
        <w:rPr>
          <w:rStyle w:val="a9"/>
          <w:rFonts w:ascii="新細明體" w:hAnsi="新細明體" w:hint="eastAsia"/>
          <w:kern w:val="0"/>
        </w:rPr>
        <w:t>237</w:t>
      </w:r>
      <w:r>
        <w:rPr>
          <w:rStyle w:val="a9"/>
          <w:rFonts w:ascii="新細明體" w:hAnsi="新細明體" w:hint="eastAsia"/>
          <w:kern w:val="0"/>
        </w:rPr>
        <w:t>。</w:t>
      </w:r>
    </w:p>
  </w:footnote>
  <w:footnote w:id="46">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藤田宙靖，</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300</w:t>
      </w:r>
      <w:r>
        <w:rPr>
          <w:rStyle w:val="a9"/>
          <w:rFonts w:ascii="新細明體" w:hAnsi="新細明體" w:hint="eastAsia"/>
          <w:kern w:val="0"/>
        </w:rPr>
        <w:t>。</w:t>
      </w:r>
    </w:p>
  </w:footnote>
  <w:footnote w:id="47">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proofErr w:type="gramStart"/>
      <w:r>
        <w:rPr>
          <w:rStyle w:val="a9"/>
          <w:rFonts w:ascii="新細明體" w:hAnsi="新細明體" w:hint="eastAsia"/>
          <w:kern w:val="0"/>
        </w:rPr>
        <w:t>最判昭和</w:t>
      </w:r>
      <w:proofErr w:type="gramEnd"/>
      <w:r>
        <w:rPr>
          <w:rStyle w:val="a9"/>
          <w:rFonts w:ascii="新細明體" w:hAnsi="新細明體" w:hint="eastAsia"/>
          <w:kern w:val="0"/>
        </w:rPr>
        <w:t>42</w:t>
      </w:r>
      <w:proofErr w:type="gramStart"/>
      <w:r>
        <w:rPr>
          <w:rStyle w:val="a9"/>
          <w:rFonts w:ascii="新細明體" w:hAnsi="新細明體" w:hint="eastAsia"/>
          <w:kern w:val="0"/>
        </w:rPr>
        <w:t>‧</w:t>
      </w:r>
      <w:proofErr w:type="gramEnd"/>
      <w:r>
        <w:rPr>
          <w:rStyle w:val="a9"/>
          <w:rFonts w:ascii="新細明體" w:hAnsi="新細明體" w:hint="eastAsia"/>
          <w:kern w:val="0"/>
        </w:rPr>
        <w:t>4</w:t>
      </w:r>
      <w:proofErr w:type="gramStart"/>
      <w:r>
        <w:rPr>
          <w:rStyle w:val="a9"/>
          <w:rFonts w:ascii="新細明體" w:hAnsi="新細明體" w:hint="eastAsia"/>
          <w:kern w:val="0"/>
        </w:rPr>
        <w:t>‧</w:t>
      </w:r>
      <w:proofErr w:type="gramEnd"/>
      <w:r>
        <w:rPr>
          <w:rStyle w:val="a9"/>
          <w:rFonts w:ascii="新細明體" w:hAnsi="新細明體" w:hint="eastAsia"/>
          <w:kern w:val="0"/>
        </w:rPr>
        <w:t>28</w:t>
      </w:r>
      <w:proofErr w:type="gramStart"/>
      <w:r>
        <w:rPr>
          <w:rStyle w:val="a9"/>
          <w:rFonts w:ascii="新細明體" w:hAnsi="新細明體" w:hint="eastAsia"/>
          <w:kern w:val="0"/>
        </w:rPr>
        <w:t>民集</w:t>
      </w:r>
      <w:r>
        <w:rPr>
          <w:rStyle w:val="a9"/>
          <w:rFonts w:ascii="新細明體" w:hAnsi="新細明體" w:hint="eastAsia"/>
          <w:kern w:val="0"/>
        </w:rPr>
        <w:t>21</w:t>
      </w:r>
      <w:r>
        <w:rPr>
          <w:rStyle w:val="a9"/>
          <w:rFonts w:ascii="新細明體" w:hAnsi="新細明體" w:hint="eastAsia"/>
          <w:kern w:val="0"/>
        </w:rPr>
        <w:t>卷</w:t>
      </w:r>
      <w:proofErr w:type="gramEnd"/>
      <w:r>
        <w:rPr>
          <w:rStyle w:val="a9"/>
          <w:rFonts w:ascii="新細明體" w:hAnsi="新細明體" w:hint="eastAsia"/>
          <w:kern w:val="0"/>
        </w:rPr>
        <w:t>3</w:t>
      </w:r>
      <w:r>
        <w:rPr>
          <w:rStyle w:val="a9"/>
          <w:rFonts w:ascii="新細明體" w:hAnsi="新細明體" w:hint="eastAsia"/>
          <w:kern w:val="0"/>
        </w:rPr>
        <w:t>號</w:t>
      </w:r>
      <w:r>
        <w:rPr>
          <w:rStyle w:val="a9"/>
          <w:rFonts w:ascii="新細明體" w:hAnsi="新細明體" w:hint="eastAsia"/>
          <w:kern w:val="0"/>
        </w:rPr>
        <w:t>759</w:t>
      </w:r>
      <w:r>
        <w:rPr>
          <w:rStyle w:val="a9"/>
          <w:rFonts w:ascii="新細明體" w:hAnsi="新細明體" w:hint="eastAsia"/>
          <w:kern w:val="0"/>
        </w:rPr>
        <w:t>頁，公務員判例百選</w:t>
      </w:r>
      <w:r>
        <w:rPr>
          <w:rStyle w:val="a9"/>
          <w:rFonts w:ascii="新細明體" w:hAnsi="新細明體" w:hint="eastAsia"/>
          <w:kern w:val="0"/>
        </w:rPr>
        <w:t>1</w:t>
      </w:r>
      <w:r>
        <w:rPr>
          <w:rStyle w:val="a9"/>
          <w:rFonts w:ascii="新細明體" w:hAnsi="新細明體" w:hint="eastAsia"/>
          <w:kern w:val="0"/>
        </w:rPr>
        <w:t>事件；塩野宏，前揭書，頁</w:t>
      </w:r>
      <w:r>
        <w:rPr>
          <w:rStyle w:val="a9"/>
          <w:rFonts w:ascii="新細明體" w:hAnsi="新細明體" w:hint="eastAsia"/>
          <w:kern w:val="0"/>
        </w:rPr>
        <w:t>240</w:t>
      </w:r>
      <w:r>
        <w:rPr>
          <w:rStyle w:val="a9"/>
          <w:rFonts w:ascii="新細明體" w:hAnsi="新細明體" w:hint="eastAsia"/>
          <w:kern w:val="0"/>
        </w:rPr>
        <w:t>。</w:t>
      </w:r>
    </w:p>
  </w:footnote>
  <w:footnote w:id="48">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proofErr w:type="gramStart"/>
      <w:r>
        <w:rPr>
          <w:rStyle w:val="a9"/>
          <w:rFonts w:ascii="新細明體" w:hAnsi="新細明體" w:hint="eastAsia"/>
          <w:kern w:val="0"/>
        </w:rPr>
        <w:t>鵜飼信</w:t>
      </w:r>
      <w:proofErr w:type="gramEnd"/>
      <w:r>
        <w:rPr>
          <w:rStyle w:val="a9"/>
          <w:rFonts w:ascii="新細明體" w:hAnsi="新細明體" w:hint="eastAsia"/>
          <w:kern w:val="0"/>
        </w:rPr>
        <w:t>成，</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70-71</w:t>
      </w:r>
      <w:r>
        <w:rPr>
          <w:rStyle w:val="a9"/>
          <w:rFonts w:ascii="新細明體" w:hAnsi="新細明體" w:hint="eastAsia"/>
          <w:kern w:val="0"/>
        </w:rPr>
        <w:t>。</w:t>
      </w:r>
    </w:p>
  </w:footnote>
  <w:footnote w:id="49">
    <w:p w:rsidR="00000000" w:rsidRDefault="00CB4FE6">
      <w:pPr>
        <w:pStyle w:val="a8"/>
        <w:tabs>
          <w:tab w:val="left" w:pos="720"/>
        </w:tabs>
        <w:ind w:left="300" w:hangingChars="150" w:hanging="3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參照最大判昭和</w:t>
      </w:r>
      <w:r>
        <w:rPr>
          <w:rStyle w:val="a9"/>
          <w:rFonts w:ascii="新細明體" w:hAnsi="新細明體" w:hint="eastAsia"/>
          <w:kern w:val="0"/>
        </w:rPr>
        <w:t>48</w:t>
      </w:r>
      <w:proofErr w:type="gramStart"/>
      <w:r>
        <w:rPr>
          <w:rStyle w:val="a9"/>
          <w:rFonts w:ascii="新細明體" w:hAnsi="新細明體" w:hint="eastAsia"/>
          <w:kern w:val="0"/>
        </w:rPr>
        <w:t>‧</w:t>
      </w:r>
      <w:proofErr w:type="gramEnd"/>
      <w:r>
        <w:rPr>
          <w:rStyle w:val="a9"/>
          <w:rFonts w:ascii="新細明體" w:hAnsi="新細明體" w:hint="eastAsia"/>
          <w:kern w:val="0"/>
        </w:rPr>
        <w:t>4</w:t>
      </w:r>
      <w:proofErr w:type="gramStart"/>
      <w:r>
        <w:rPr>
          <w:rStyle w:val="a9"/>
          <w:rFonts w:ascii="新細明體" w:hAnsi="新細明體" w:hint="eastAsia"/>
          <w:kern w:val="0"/>
        </w:rPr>
        <w:t>‧</w:t>
      </w:r>
      <w:proofErr w:type="gramEnd"/>
      <w:r>
        <w:rPr>
          <w:rStyle w:val="a9"/>
          <w:rFonts w:ascii="新細明體" w:hAnsi="新細明體" w:hint="eastAsia"/>
          <w:kern w:val="0"/>
        </w:rPr>
        <w:t>25</w:t>
      </w:r>
      <w:proofErr w:type="gramStart"/>
      <w:r>
        <w:rPr>
          <w:rStyle w:val="a9"/>
          <w:rFonts w:ascii="新細明體" w:hAnsi="新細明體" w:hint="eastAsia"/>
          <w:kern w:val="0"/>
        </w:rPr>
        <w:t>刑集</w:t>
      </w:r>
      <w:r>
        <w:rPr>
          <w:rStyle w:val="a9"/>
          <w:rFonts w:ascii="新細明體" w:hAnsi="新細明體" w:hint="eastAsia"/>
          <w:kern w:val="0"/>
        </w:rPr>
        <w:t>27</w:t>
      </w:r>
      <w:r>
        <w:rPr>
          <w:rStyle w:val="a9"/>
          <w:rFonts w:ascii="新細明體" w:hAnsi="新細明體" w:hint="eastAsia"/>
          <w:kern w:val="0"/>
        </w:rPr>
        <w:t>卷</w:t>
      </w:r>
      <w:proofErr w:type="gramEnd"/>
      <w:r>
        <w:rPr>
          <w:rStyle w:val="a9"/>
          <w:rFonts w:ascii="新細明體" w:hAnsi="新細明體" w:hint="eastAsia"/>
          <w:kern w:val="0"/>
        </w:rPr>
        <w:t>4</w:t>
      </w:r>
      <w:r>
        <w:rPr>
          <w:rStyle w:val="a9"/>
          <w:rFonts w:ascii="新細明體" w:hAnsi="新細明體" w:hint="eastAsia"/>
          <w:kern w:val="0"/>
        </w:rPr>
        <w:t>號</w:t>
      </w:r>
      <w:r>
        <w:rPr>
          <w:rStyle w:val="a9"/>
          <w:rFonts w:ascii="新細明體" w:hAnsi="新細明體" w:hint="eastAsia"/>
          <w:kern w:val="0"/>
        </w:rPr>
        <w:t>5</w:t>
      </w:r>
      <w:r>
        <w:rPr>
          <w:rStyle w:val="a9"/>
          <w:rFonts w:ascii="新細明體" w:hAnsi="新細明體" w:hint="eastAsia"/>
          <w:kern w:val="0"/>
        </w:rPr>
        <w:t>47</w:t>
      </w:r>
      <w:r>
        <w:rPr>
          <w:rStyle w:val="a9"/>
          <w:rFonts w:ascii="新細明體" w:hAnsi="新細明體" w:hint="eastAsia"/>
          <w:kern w:val="0"/>
        </w:rPr>
        <w:t>頁，公務員判例百選</w:t>
      </w:r>
      <w:r>
        <w:rPr>
          <w:rStyle w:val="a9"/>
          <w:rFonts w:ascii="新細明體" w:hAnsi="新細明體" w:hint="eastAsia"/>
          <w:kern w:val="0"/>
        </w:rPr>
        <w:t>81</w:t>
      </w:r>
      <w:r>
        <w:rPr>
          <w:rStyle w:val="a9"/>
          <w:rFonts w:ascii="新細明體" w:hAnsi="新細明體" w:hint="eastAsia"/>
          <w:kern w:val="0"/>
        </w:rPr>
        <w:t>事件；</w:t>
      </w:r>
      <w:proofErr w:type="gramStart"/>
      <w:r>
        <w:rPr>
          <w:rStyle w:val="a9"/>
          <w:rFonts w:ascii="新細明體" w:hAnsi="新細明體" w:hint="eastAsia"/>
          <w:kern w:val="0"/>
        </w:rPr>
        <w:t>最判昭和</w:t>
      </w:r>
      <w:proofErr w:type="gramEnd"/>
      <w:r>
        <w:rPr>
          <w:rStyle w:val="a9"/>
          <w:rFonts w:ascii="新細明體" w:hAnsi="新細明體" w:hint="eastAsia"/>
          <w:kern w:val="0"/>
        </w:rPr>
        <w:t>49</w:t>
      </w:r>
      <w:proofErr w:type="gramStart"/>
      <w:r>
        <w:rPr>
          <w:rStyle w:val="a9"/>
          <w:rFonts w:ascii="新細明體" w:hAnsi="新細明體" w:hint="eastAsia"/>
          <w:kern w:val="0"/>
        </w:rPr>
        <w:t>‧</w:t>
      </w:r>
      <w:proofErr w:type="gramEnd"/>
      <w:r>
        <w:rPr>
          <w:rStyle w:val="a9"/>
          <w:rFonts w:ascii="新細明體" w:hAnsi="新細明體" w:hint="eastAsia"/>
          <w:kern w:val="0"/>
        </w:rPr>
        <w:t>11</w:t>
      </w:r>
      <w:proofErr w:type="gramStart"/>
      <w:r>
        <w:rPr>
          <w:rStyle w:val="a9"/>
          <w:rFonts w:ascii="新細明體" w:hAnsi="新細明體" w:hint="eastAsia"/>
          <w:kern w:val="0"/>
        </w:rPr>
        <w:t>‧</w:t>
      </w:r>
      <w:proofErr w:type="gramEnd"/>
      <w:r>
        <w:rPr>
          <w:rStyle w:val="a9"/>
          <w:rFonts w:ascii="新細明體" w:hAnsi="新細明體" w:hint="eastAsia"/>
          <w:kern w:val="0"/>
        </w:rPr>
        <w:t>6</w:t>
      </w:r>
      <w:proofErr w:type="gramStart"/>
      <w:r>
        <w:rPr>
          <w:rStyle w:val="a9"/>
          <w:rFonts w:ascii="新細明體" w:hAnsi="新細明體" w:hint="eastAsia"/>
          <w:kern w:val="0"/>
        </w:rPr>
        <w:t>刑集</w:t>
      </w:r>
      <w:r>
        <w:rPr>
          <w:rStyle w:val="a9"/>
          <w:rFonts w:ascii="新細明體" w:hAnsi="新細明體" w:hint="eastAsia"/>
          <w:kern w:val="0"/>
        </w:rPr>
        <w:t>28</w:t>
      </w:r>
      <w:r>
        <w:rPr>
          <w:rStyle w:val="a9"/>
          <w:rFonts w:ascii="新細明體" w:hAnsi="新細明體" w:hint="eastAsia"/>
          <w:kern w:val="0"/>
        </w:rPr>
        <w:t>卷</w:t>
      </w:r>
      <w:proofErr w:type="gramEnd"/>
      <w:r>
        <w:rPr>
          <w:rStyle w:val="a9"/>
          <w:rFonts w:ascii="新細明體" w:hAnsi="新細明體" w:hint="eastAsia"/>
          <w:kern w:val="0"/>
        </w:rPr>
        <w:t>9</w:t>
      </w:r>
      <w:r>
        <w:rPr>
          <w:rStyle w:val="a9"/>
          <w:rFonts w:ascii="新細明體" w:hAnsi="新細明體" w:hint="eastAsia"/>
          <w:kern w:val="0"/>
        </w:rPr>
        <w:t>號</w:t>
      </w:r>
      <w:r>
        <w:rPr>
          <w:rStyle w:val="a9"/>
          <w:rFonts w:ascii="新細明體" w:hAnsi="新細明體" w:hint="eastAsia"/>
          <w:kern w:val="0"/>
        </w:rPr>
        <w:t>393</w:t>
      </w:r>
      <w:r>
        <w:rPr>
          <w:rStyle w:val="a9"/>
          <w:rFonts w:ascii="新細明體" w:hAnsi="新細明體" w:hint="eastAsia"/>
          <w:kern w:val="0"/>
        </w:rPr>
        <w:t>頁，公務員判例百選</w:t>
      </w:r>
      <w:r>
        <w:rPr>
          <w:rStyle w:val="a9"/>
          <w:rFonts w:ascii="新細明體" w:hAnsi="新細明體" w:hint="eastAsia"/>
          <w:kern w:val="0"/>
        </w:rPr>
        <w:t>68</w:t>
      </w:r>
      <w:r>
        <w:rPr>
          <w:rStyle w:val="a9"/>
          <w:rFonts w:ascii="新細明體" w:hAnsi="新細明體" w:hint="eastAsia"/>
          <w:kern w:val="0"/>
        </w:rPr>
        <w:t>事件；塩野宏，前揭書，頁</w:t>
      </w:r>
      <w:r>
        <w:rPr>
          <w:rStyle w:val="a9"/>
          <w:rFonts w:ascii="新細明體" w:hAnsi="新細明體" w:hint="eastAsia"/>
          <w:kern w:val="0"/>
        </w:rPr>
        <w:t>251</w:t>
      </w:r>
      <w:r>
        <w:rPr>
          <w:rStyle w:val="a9"/>
          <w:rFonts w:ascii="新細明體" w:hAnsi="新細明體" w:hint="eastAsia"/>
          <w:kern w:val="0"/>
        </w:rPr>
        <w:t>。</w:t>
      </w:r>
    </w:p>
  </w:footnote>
  <w:footnote w:id="50">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proofErr w:type="gramStart"/>
      <w:r>
        <w:rPr>
          <w:rStyle w:val="a9"/>
          <w:rFonts w:ascii="新細明體" w:hAnsi="新細明體" w:hint="eastAsia"/>
          <w:kern w:val="0"/>
        </w:rPr>
        <w:t>室井力</w:t>
      </w:r>
      <w:proofErr w:type="gramEnd"/>
      <w:r>
        <w:rPr>
          <w:rStyle w:val="a9"/>
          <w:rFonts w:ascii="新細明體" w:hAnsi="新細明體" w:hint="eastAsia"/>
          <w:kern w:val="0"/>
        </w:rPr>
        <w:t>，特別權力關係論，</w:t>
      </w:r>
      <w:r>
        <w:rPr>
          <w:rStyle w:val="a9"/>
          <w:rFonts w:ascii="新細明體" w:hAnsi="新細明體" w:hint="eastAsia"/>
          <w:kern w:val="0"/>
        </w:rPr>
        <w:t>1968</w:t>
      </w:r>
      <w:r>
        <w:rPr>
          <w:rStyle w:val="a9"/>
          <w:rFonts w:ascii="新細明體" w:hAnsi="新細明體" w:hint="eastAsia"/>
          <w:kern w:val="0"/>
        </w:rPr>
        <w:t>年，頁</w:t>
      </w:r>
      <w:r>
        <w:rPr>
          <w:rStyle w:val="a9"/>
          <w:rFonts w:ascii="新細明體" w:hAnsi="新細明體" w:hint="eastAsia"/>
          <w:kern w:val="0"/>
        </w:rPr>
        <w:t>381</w:t>
      </w:r>
      <w:r>
        <w:rPr>
          <w:rStyle w:val="a9"/>
          <w:rFonts w:ascii="新細明體" w:hAnsi="新細明體" w:hint="eastAsia"/>
          <w:kern w:val="0"/>
        </w:rPr>
        <w:t>以下；轉引自塩野宏，前揭書，頁</w:t>
      </w:r>
      <w:r>
        <w:rPr>
          <w:rStyle w:val="a9"/>
          <w:rFonts w:ascii="新細明體" w:hAnsi="新細明體" w:hint="eastAsia"/>
          <w:kern w:val="0"/>
        </w:rPr>
        <w:t>251</w:t>
      </w:r>
      <w:r>
        <w:rPr>
          <w:rStyle w:val="a9"/>
          <w:rFonts w:ascii="新細明體" w:hAnsi="新細明體" w:hint="eastAsia"/>
          <w:kern w:val="0"/>
        </w:rPr>
        <w:t>。</w:t>
      </w:r>
    </w:p>
  </w:footnote>
  <w:footnote w:id="51">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塩野宏，前揭書，頁</w:t>
      </w:r>
      <w:r>
        <w:rPr>
          <w:rStyle w:val="a9"/>
          <w:rFonts w:ascii="新細明體" w:hAnsi="新細明體" w:hint="eastAsia"/>
          <w:kern w:val="0"/>
        </w:rPr>
        <w:t>251</w:t>
      </w:r>
      <w:r>
        <w:rPr>
          <w:rStyle w:val="a9"/>
          <w:rFonts w:ascii="新細明體" w:hAnsi="新細明體" w:hint="eastAsia"/>
          <w:kern w:val="0"/>
        </w:rPr>
        <w:t>。</w:t>
      </w:r>
    </w:p>
  </w:footnote>
  <w:footnote w:id="52">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藤田宙靖，</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303-304</w:t>
      </w:r>
      <w:r>
        <w:rPr>
          <w:rStyle w:val="a9"/>
          <w:rFonts w:ascii="新細明體" w:hAnsi="新細明體" w:hint="eastAsia"/>
          <w:kern w:val="0"/>
        </w:rPr>
        <w:t>。</w:t>
      </w:r>
    </w:p>
  </w:footnote>
  <w:footnote w:id="53">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例如，特定獨立行政法人勞動關係法、教育公務員特例法、外務公務員法及</w:t>
      </w:r>
      <w:proofErr w:type="gramStart"/>
      <w:r>
        <w:rPr>
          <w:rStyle w:val="a9"/>
          <w:rFonts w:ascii="新細明體" w:hAnsi="新細明體" w:hint="eastAsia"/>
          <w:kern w:val="0"/>
        </w:rPr>
        <w:t>檢察廳法等</w:t>
      </w:r>
      <w:proofErr w:type="gramEnd"/>
      <w:r>
        <w:rPr>
          <w:rStyle w:val="a9"/>
          <w:rFonts w:ascii="新細明體" w:hAnsi="新細明體" w:hint="eastAsia"/>
          <w:kern w:val="0"/>
        </w:rPr>
        <w:t>，請參照塩野宏，前揭書，頁</w:t>
      </w:r>
      <w:r>
        <w:rPr>
          <w:rStyle w:val="a9"/>
          <w:rFonts w:ascii="新細明體" w:hAnsi="新細明體" w:hint="eastAsia"/>
          <w:kern w:val="0"/>
        </w:rPr>
        <w:t>240</w:t>
      </w:r>
      <w:r>
        <w:rPr>
          <w:rStyle w:val="a9"/>
          <w:rFonts w:ascii="新細明體" w:hAnsi="新細明體" w:hint="eastAsia"/>
          <w:kern w:val="0"/>
        </w:rPr>
        <w:t>、</w:t>
      </w:r>
      <w:r>
        <w:rPr>
          <w:rStyle w:val="a9"/>
          <w:rFonts w:ascii="新細明體" w:hAnsi="新細明體" w:hint="eastAsia"/>
          <w:kern w:val="0"/>
        </w:rPr>
        <w:t>283</w:t>
      </w:r>
      <w:r>
        <w:rPr>
          <w:rStyle w:val="a9"/>
          <w:rFonts w:ascii="新細明體" w:hAnsi="新細明體" w:hint="eastAsia"/>
          <w:kern w:val="0"/>
        </w:rPr>
        <w:t>。</w:t>
      </w:r>
    </w:p>
  </w:footnote>
  <w:footnote w:id="54">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請參閱網頁</w:t>
      </w:r>
      <w:hyperlink r:id="rId6" w:history="1">
        <w:r>
          <w:rPr>
            <w:rStyle w:val="a9"/>
            <w:rFonts w:ascii="新細明體" w:hAnsi="新細明體" w:hint="eastAsia"/>
            <w:kern w:val="0"/>
          </w:rPr>
          <w:t>http://law.e-gov.go.jp/htmldata/H11/H11HO224.htm</w:t>
        </w:r>
      </w:hyperlink>
      <w:r>
        <w:rPr>
          <w:rStyle w:val="a9"/>
          <w:rFonts w:ascii="新細明體" w:hAnsi="新細明體" w:hint="eastAsia"/>
          <w:kern w:val="0"/>
        </w:rPr>
        <w:t xml:space="preserve">l, </w:t>
      </w:r>
      <w:r>
        <w:rPr>
          <w:rStyle w:val="a9"/>
          <w:rFonts w:ascii="新細明體" w:hAnsi="新細明體" w:hint="eastAsia"/>
          <w:kern w:val="0"/>
        </w:rPr>
        <w:t>檢索時間</w:t>
      </w:r>
      <w:r>
        <w:rPr>
          <w:rStyle w:val="a9"/>
          <w:rFonts w:ascii="新細明體" w:hAnsi="新細明體"/>
          <w:kern w:val="0"/>
        </w:rPr>
        <w:t>200</w:t>
      </w:r>
      <w:r>
        <w:rPr>
          <w:rStyle w:val="a9"/>
          <w:rFonts w:ascii="新細明體" w:hAnsi="新細明體" w:hint="eastAsia"/>
          <w:kern w:val="0"/>
        </w:rPr>
        <w:t>8</w:t>
      </w:r>
      <w:r>
        <w:rPr>
          <w:rStyle w:val="a9"/>
          <w:rFonts w:ascii="新細明體" w:hAnsi="新細明體" w:hint="eastAsia"/>
          <w:kern w:val="0"/>
        </w:rPr>
        <w:t>年</w:t>
      </w:r>
      <w:r>
        <w:rPr>
          <w:rStyle w:val="a9"/>
          <w:rFonts w:ascii="新細明體" w:hAnsi="新細明體" w:hint="eastAsia"/>
          <w:kern w:val="0"/>
        </w:rPr>
        <w:t>11</w:t>
      </w:r>
      <w:r>
        <w:rPr>
          <w:rStyle w:val="a9"/>
          <w:rFonts w:ascii="新細明體" w:hAnsi="新細明體" w:hint="eastAsia"/>
          <w:kern w:val="0"/>
        </w:rPr>
        <w:t>月</w:t>
      </w:r>
      <w:r>
        <w:rPr>
          <w:rStyle w:val="a9"/>
          <w:rFonts w:ascii="新細明體" w:hAnsi="新細明體" w:hint="eastAsia"/>
          <w:kern w:val="0"/>
        </w:rPr>
        <w:t>14</w:t>
      </w:r>
      <w:r>
        <w:rPr>
          <w:rStyle w:val="a9"/>
          <w:rFonts w:ascii="新細明體" w:hAnsi="新細明體" w:hint="eastAsia"/>
          <w:kern w:val="0"/>
        </w:rPr>
        <w:t>日。</w:t>
      </w:r>
    </w:p>
  </w:footnote>
  <w:footnote w:id="55">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請參閱網頁</w:t>
      </w:r>
      <w:hyperlink r:id="rId7" w:history="1">
        <w:r>
          <w:rPr>
            <w:rStyle w:val="a9"/>
            <w:rFonts w:ascii="新細明體" w:hAnsi="新細明體" w:hint="eastAsia"/>
            <w:kern w:val="0"/>
          </w:rPr>
          <w:t>http://www.jinji.go.jp/kouryu/index.htm</w:t>
        </w:r>
      </w:hyperlink>
      <w:r>
        <w:rPr>
          <w:rStyle w:val="a9"/>
          <w:rFonts w:ascii="新細明體" w:hAnsi="新細明體" w:hint="eastAsia"/>
          <w:kern w:val="0"/>
        </w:rPr>
        <w:t xml:space="preserve">, </w:t>
      </w:r>
      <w:r>
        <w:rPr>
          <w:rStyle w:val="a9"/>
          <w:rFonts w:ascii="新細明體" w:hAnsi="新細明體" w:hint="eastAsia"/>
          <w:kern w:val="0"/>
        </w:rPr>
        <w:t>檢索時間</w:t>
      </w:r>
      <w:r>
        <w:rPr>
          <w:rStyle w:val="a9"/>
          <w:rFonts w:ascii="新細明體" w:hAnsi="新細明體"/>
          <w:kern w:val="0"/>
        </w:rPr>
        <w:t>200</w:t>
      </w:r>
      <w:r>
        <w:rPr>
          <w:rStyle w:val="a9"/>
          <w:rFonts w:ascii="新細明體" w:hAnsi="新細明體" w:hint="eastAsia"/>
          <w:kern w:val="0"/>
        </w:rPr>
        <w:t>8</w:t>
      </w:r>
      <w:r>
        <w:rPr>
          <w:rStyle w:val="a9"/>
          <w:rFonts w:ascii="新細明體" w:hAnsi="新細明體" w:hint="eastAsia"/>
          <w:kern w:val="0"/>
        </w:rPr>
        <w:t>年</w:t>
      </w:r>
      <w:r>
        <w:rPr>
          <w:rStyle w:val="a9"/>
          <w:rFonts w:ascii="新細明體" w:hAnsi="新細明體" w:hint="eastAsia"/>
          <w:kern w:val="0"/>
        </w:rPr>
        <w:t>11</w:t>
      </w:r>
      <w:r>
        <w:rPr>
          <w:rStyle w:val="a9"/>
          <w:rFonts w:ascii="新細明體" w:hAnsi="新細明體" w:hint="eastAsia"/>
          <w:kern w:val="0"/>
        </w:rPr>
        <w:t>月</w:t>
      </w:r>
      <w:r>
        <w:rPr>
          <w:rStyle w:val="a9"/>
          <w:rFonts w:ascii="新細明體" w:hAnsi="新細明體" w:hint="eastAsia"/>
          <w:kern w:val="0"/>
        </w:rPr>
        <w:t>14</w:t>
      </w:r>
      <w:r>
        <w:rPr>
          <w:rStyle w:val="a9"/>
          <w:rFonts w:ascii="新細明體" w:hAnsi="新細明體" w:hint="eastAsia"/>
          <w:kern w:val="0"/>
        </w:rPr>
        <w:t>日。</w:t>
      </w:r>
    </w:p>
  </w:footnote>
  <w:footnote w:id="56">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人事院規則</w:t>
      </w:r>
      <w:r>
        <w:rPr>
          <w:rStyle w:val="a9"/>
          <w:rFonts w:ascii="新細明體" w:hAnsi="新細明體" w:hint="eastAsia"/>
          <w:kern w:val="0"/>
        </w:rPr>
        <w:t>21-0(</w:t>
      </w:r>
      <w:r>
        <w:rPr>
          <w:rStyle w:val="a9"/>
          <w:rFonts w:ascii="新細明體" w:hAnsi="新細明體" w:hint="eastAsia"/>
          <w:kern w:val="0"/>
        </w:rPr>
        <w:t>國と民間企業との間の人事交流</w:t>
      </w:r>
      <w:r>
        <w:rPr>
          <w:rStyle w:val="a9"/>
          <w:rFonts w:ascii="新細明體" w:hAnsi="新細明體" w:hint="eastAsia"/>
          <w:kern w:val="0"/>
        </w:rPr>
        <w:t>)</w:t>
      </w:r>
      <w:r>
        <w:rPr>
          <w:rStyle w:val="a9"/>
          <w:rFonts w:ascii="新細明體" w:hAnsi="新細明體" w:hint="eastAsia"/>
          <w:kern w:val="0"/>
        </w:rPr>
        <w:t>第</w:t>
      </w:r>
      <w:r>
        <w:rPr>
          <w:rStyle w:val="a9"/>
          <w:rFonts w:ascii="新細明體" w:hAnsi="新細明體" w:hint="eastAsia"/>
          <w:kern w:val="0"/>
        </w:rPr>
        <w:t>3</w:t>
      </w:r>
      <w:r>
        <w:rPr>
          <w:rStyle w:val="a9"/>
          <w:rFonts w:ascii="新細明體" w:hAnsi="新細明體" w:hint="eastAsia"/>
          <w:kern w:val="0"/>
        </w:rPr>
        <w:t>條。</w:t>
      </w:r>
    </w:p>
  </w:footnote>
  <w:footnote w:id="57">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人事院規則</w:t>
      </w:r>
      <w:r>
        <w:rPr>
          <w:rStyle w:val="a9"/>
          <w:rFonts w:ascii="新細明體" w:hAnsi="新細明體" w:hint="eastAsia"/>
          <w:kern w:val="0"/>
        </w:rPr>
        <w:t>21</w:t>
      </w:r>
      <w:r>
        <w:rPr>
          <w:rStyle w:val="a9"/>
          <w:rFonts w:ascii="新細明體" w:hAnsi="新細明體" w:hint="eastAsia"/>
          <w:kern w:val="0"/>
        </w:rPr>
        <w:t>-1(</w:t>
      </w:r>
      <w:r>
        <w:rPr>
          <w:rStyle w:val="a9"/>
          <w:rFonts w:ascii="新細明體" w:hAnsi="新細明體" w:hint="eastAsia"/>
          <w:kern w:val="0"/>
        </w:rPr>
        <w:t>交流基準</w:t>
      </w:r>
      <w:r>
        <w:rPr>
          <w:rStyle w:val="a9"/>
          <w:rFonts w:ascii="新細明體" w:hAnsi="新細明體" w:hint="eastAsia"/>
          <w:kern w:val="0"/>
        </w:rPr>
        <w:t>)</w:t>
      </w:r>
      <w:r>
        <w:rPr>
          <w:rStyle w:val="a9"/>
          <w:rFonts w:ascii="新細明體" w:hAnsi="新細明體" w:hint="eastAsia"/>
          <w:kern w:val="0"/>
        </w:rPr>
        <w:t>。</w:t>
      </w:r>
    </w:p>
  </w:footnote>
  <w:footnote w:id="58">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人事院規則</w:t>
      </w:r>
      <w:r>
        <w:rPr>
          <w:rStyle w:val="a9"/>
          <w:rFonts w:ascii="新細明體" w:hAnsi="新細明體" w:hint="eastAsia"/>
          <w:kern w:val="0"/>
        </w:rPr>
        <w:t>21-11(</w:t>
      </w:r>
      <w:r>
        <w:rPr>
          <w:rStyle w:val="a9"/>
          <w:rFonts w:ascii="新細明體" w:hAnsi="新細明體" w:hint="eastAsia"/>
          <w:kern w:val="0"/>
        </w:rPr>
        <w:t>交流審查會</w:t>
      </w:r>
      <w:r>
        <w:rPr>
          <w:rStyle w:val="a9"/>
          <w:rFonts w:ascii="新細明體" w:hAnsi="新細明體" w:hint="eastAsia"/>
          <w:kern w:val="0"/>
        </w:rPr>
        <w:t>)</w:t>
      </w:r>
    </w:p>
  </w:footnote>
  <w:footnote w:id="59">
    <w:p w:rsidR="00000000" w:rsidRDefault="00CB4FE6">
      <w:pPr>
        <w:pStyle w:val="a8"/>
        <w:tabs>
          <w:tab w:val="left" w:pos="720"/>
        </w:tabs>
        <w:ind w:left="200" w:hangingChars="100" w:hanging="200"/>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依人事交流法第</w:t>
      </w:r>
      <w:r>
        <w:rPr>
          <w:rStyle w:val="a9"/>
          <w:rFonts w:ascii="新細明體" w:hAnsi="新細明體" w:hint="eastAsia"/>
          <w:kern w:val="0"/>
        </w:rPr>
        <w:t>2</w:t>
      </w:r>
      <w:r>
        <w:rPr>
          <w:rStyle w:val="a9"/>
          <w:rFonts w:ascii="新細明體" w:hAnsi="新細明體" w:hint="eastAsia"/>
          <w:kern w:val="0"/>
        </w:rPr>
        <w:t>條第</w:t>
      </w:r>
      <w:r>
        <w:rPr>
          <w:rStyle w:val="a9"/>
          <w:rFonts w:ascii="新細明體" w:hAnsi="新細明體" w:hint="eastAsia"/>
          <w:kern w:val="0"/>
        </w:rPr>
        <w:t>6</w:t>
      </w:r>
      <w:r>
        <w:rPr>
          <w:rStyle w:val="a9"/>
          <w:rFonts w:ascii="新細明體" w:hAnsi="新細明體" w:hint="eastAsia"/>
          <w:kern w:val="0"/>
        </w:rPr>
        <w:t>項規定，各省廳首長係指內閣總理大臣、各省大臣、會計檢查院長及人事院總裁、宮內廳長官、</w:t>
      </w:r>
      <w:proofErr w:type="gramStart"/>
      <w:r>
        <w:rPr>
          <w:rStyle w:val="a9"/>
          <w:rFonts w:ascii="新細明體" w:hAnsi="新細明體" w:hint="eastAsia"/>
          <w:kern w:val="0"/>
        </w:rPr>
        <w:t>各外局首長</w:t>
      </w:r>
      <w:proofErr w:type="gramEnd"/>
      <w:r>
        <w:rPr>
          <w:rStyle w:val="a9"/>
          <w:rFonts w:ascii="新細明體" w:hAnsi="新細明體" w:hint="eastAsia"/>
          <w:kern w:val="0"/>
        </w:rPr>
        <w:t>、獨立行政法人首長及日本郵政公社總裁。</w:t>
      </w:r>
    </w:p>
  </w:footnote>
  <w:footnote w:id="60">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請參閱網頁</w:t>
      </w:r>
      <w:r>
        <w:rPr>
          <w:rStyle w:val="a9"/>
          <w:rFonts w:ascii="新細明體" w:hAnsi="新細明體"/>
          <w:kern w:val="0"/>
        </w:rPr>
        <w:t>http://www.jinji.go.jp/kouryu/f-kouryu.htm</w:t>
      </w:r>
      <w:r>
        <w:rPr>
          <w:rStyle w:val="a9"/>
          <w:rFonts w:ascii="新細明體" w:hAnsi="新細明體" w:hint="eastAsia"/>
          <w:kern w:val="0"/>
        </w:rPr>
        <w:t xml:space="preserve">. </w:t>
      </w:r>
      <w:r>
        <w:rPr>
          <w:rStyle w:val="a9"/>
          <w:rFonts w:ascii="新細明體" w:hAnsi="新細明體" w:hint="eastAsia"/>
          <w:kern w:val="0"/>
        </w:rPr>
        <w:t>檢索時間</w:t>
      </w:r>
      <w:r>
        <w:rPr>
          <w:rStyle w:val="a9"/>
          <w:rFonts w:ascii="新細明體" w:hAnsi="新細明體"/>
          <w:kern w:val="0"/>
        </w:rPr>
        <w:t>200</w:t>
      </w:r>
      <w:r>
        <w:rPr>
          <w:rStyle w:val="a9"/>
          <w:rFonts w:ascii="新細明體" w:hAnsi="新細明體" w:hint="eastAsia"/>
          <w:kern w:val="0"/>
        </w:rPr>
        <w:t>8</w:t>
      </w:r>
      <w:r>
        <w:rPr>
          <w:rStyle w:val="a9"/>
          <w:rFonts w:ascii="新細明體" w:hAnsi="新細明體" w:hint="eastAsia"/>
          <w:kern w:val="0"/>
        </w:rPr>
        <w:t>年</w:t>
      </w:r>
      <w:r>
        <w:rPr>
          <w:rStyle w:val="a9"/>
          <w:rFonts w:ascii="新細明體" w:hAnsi="新細明體" w:hint="eastAsia"/>
          <w:kern w:val="0"/>
        </w:rPr>
        <w:t>11</w:t>
      </w:r>
      <w:r>
        <w:rPr>
          <w:rStyle w:val="a9"/>
          <w:rFonts w:ascii="新細明體" w:hAnsi="新細明體" w:hint="eastAsia"/>
          <w:kern w:val="0"/>
        </w:rPr>
        <w:t>月</w:t>
      </w:r>
      <w:r>
        <w:rPr>
          <w:rStyle w:val="a9"/>
          <w:rFonts w:ascii="新細明體" w:hAnsi="新細明體" w:hint="eastAsia"/>
          <w:kern w:val="0"/>
        </w:rPr>
        <w:t>21</w:t>
      </w:r>
      <w:r>
        <w:rPr>
          <w:rStyle w:val="a9"/>
          <w:rFonts w:ascii="新細明體" w:hAnsi="新細明體" w:hint="eastAsia"/>
          <w:kern w:val="0"/>
        </w:rPr>
        <w:t>日。</w:t>
      </w:r>
    </w:p>
  </w:footnote>
  <w:footnote w:id="61">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proofErr w:type="gramStart"/>
      <w:r>
        <w:rPr>
          <w:rStyle w:val="a9"/>
          <w:rFonts w:ascii="新細明體" w:hAnsi="新細明體" w:hint="eastAsia"/>
          <w:kern w:val="0"/>
        </w:rPr>
        <w:t>鵜飼信</w:t>
      </w:r>
      <w:proofErr w:type="gramEnd"/>
      <w:r>
        <w:rPr>
          <w:rStyle w:val="a9"/>
          <w:rFonts w:ascii="新細明體" w:hAnsi="新細明體" w:hint="eastAsia"/>
          <w:kern w:val="0"/>
        </w:rPr>
        <w:t>成，公務員法，平成</w:t>
      </w:r>
      <w:r>
        <w:rPr>
          <w:rStyle w:val="a9"/>
          <w:rFonts w:ascii="新細明體" w:hAnsi="新細明體" w:hint="eastAsia"/>
          <w:kern w:val="0"/>
        </w:rPr>
        <w:t>2</w:t>
      </w:r>
      <w:r>
        <w:rPr>
          <w:rStyle w:val="a9"/>
          <w:rFonts w:ascii="新細明體" w:hAnsi="新細明體" w:hint="eastAsia"/>
          <w:kern w:val="0"/>
        </w:rPr>
        <w:t>年</w:t>
      </w:r>
      <w:r>
        <w:rPr>
          <w:rStyle w:val="a9"/>
          <w:rFonts w:ascii="新細明體" w:hAnsi="新細明體" w:hint="eastAsia"/>
          <w:kern w:val="0"/>
        </w:rPr>
        <w:t>9</w:t>
      </w:r>
      <w:r>
        <w:rPr>
          <w:rStyle w:val="a9"/>
          <w:rFonts w:ascii="新細明體" w:hAnsi="新細明體" w:hint="eastAsia"/>
          <w:kern w:val="0"/>
        </w:rPr>
        <w:t>月</w:t>
      </w:r>
      <w:r>
        <w:rPr>
          <w:rStyle w:val="a9"/>
          <w:rFonts w:ascii="新細明體" w:hAnsi="新細明體" w:hint="eastAsia"/>
          <w:kern w:val="0"/>
        </w:rPr>
        <w:t>20</w:t>
      </w:r>
      <w:r>
        <w:rPr>
          <w:rStyle w:val="a9"/>
          <w:rFonts w:ascii="新細明體" w:hAnsi="新細明體" w:hint="eastAsia"/>
          <w:kern w:val="0"/>
        </w:rPr>
        <w:t>日，新版初版第</w:t>
      </w:r>
      <w:r>
        <w:rPr>
          <w:rStyle w:val="a9"/>
          <w:rFonts w:ascii="新細明體" w:hAnsi="新細明體" w:hint="eastAsia"/>
          <w:kern w:val="0"/>
        </w:rPr>
        <w:t>6</w:t>
      </w:r>
      <w:r>
        <w:rPr>
          <w:rStyle w:val="a9"/>
          <w:rFonts w:ascii="新細明體" w:hAnsi="新細明體" w:hint="eastAsia"/>
          <w:kern w:val="0"/>
        </w:rPr>
        <w:t>刷，頁</w:t>
      </w:r>
      <w:r>
        <w:rPr>
          <w:rStyle w:val="a9"/>
          <w:rFonts w:ascii="新細明體" w:hAnsi="新細明體" w:hint="eastAsia"/>
          <w:kern w:val="0"/>
        </w:rPr>
        <w:t>114</w:t>
      </w:r>
      <w:r>
        <w:rPr>
          <w:rStyle w:val="a9"/>
          <w:rFonts w:ascii="新細明體" w:hAnsi="新細明體" w:hint="eastAsia"/>
          <w:kern w:val="0"/>
        </w:rPr>
        <w:t>以下。</w:t>
      </w:r>
    </w:p>
  </w:footnote>
  <w:footnote w:id="62">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proofErr w:type="gramStart"/>
      <w:r>
        <w:rPr>
          <w:rStyle w:val="a9"/>
          <w:rFonts w:ascii="新細明體" w:hAnsi="新細明體" w:hint="eastAsia"/>
          <w:kern w:val="0"/>
        </w:rPr>
        <w:t>鹽野宏</w:t>
      </w:r>
      <w:proofErr w:type="gramEnd"/>
      <w:r>
        <w:rPr>
          <w:rStyle w:val="a9"/>
          <w:rFonts w:ascii="新細明體" w:hAnsi="新細明體" w:hint="eastAsia"/>
          <w:kern w:val="0"/>
        </w:rPr>
        <w:t>，</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265</w:t>
      </w:r>
      <w:r>
        <w:rPr>
          <w:rStyle w:val="a9"/>
          <w:rFonts w:ascii="新細明體" w:hAnsi="新細明體" w:hint="eastAsia"/>
          <w:kern w:val="0"/>
        </w:rPr>
        <w:t>。</w:t>
      </w:r>
    </w:p>
  </w:footnote>
  <w:footnote w:id="63">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proofErr w:type="gramStart"/>
      <w:r>
        <w:rPr>
          <w:rStyle w:val="a9"/>
          <w:rFonts w:ascii="新細明體" w:hAnsi="新細明體" w:hint="eastAsia"/>
          <w:kern w:val="0"/>
        </w:rPr>
        <w:t>鹽野宏</w:t>
      </w:r>
      <w:proofErr w:type="gramEnd"/>
      <w:r>
        <w:rPr>
          <w:rStyle w:val="a9"/>
          <w:rFonts w:ascii="新細明體" w:hAnsi="新細明體" w:hint="eastAsia"/>
          <w:kern w:val="0"/>
        </w:rPr>
        <w:t>，</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274</w:t>
      </w:r>
      <w:r>
        <w:rPr>
          <w:rStyle w:val="a9"/>
          <w:rFonts w:ascii="新細明體" w:hAnsi="新細明體" w:hint="eastAsia"/>
          <w:kern w:val="0"/>
        </w:rPr>
        <w:t>。</w:t>
      </w:r>
    </w:p>
  </w:footnote>
  <w:footnote w:id="64">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proofErr w:type="gramStart"/>
      <w:r>
        <w:rPr>
          <w:rStyle w:val="a9"/>
          <w:rFonts w:ascii="新細明體" w:hAnsi="新細明體" w:hint="eastAsia"/>
          <w:kern w:val="0"/>
        </w:rPr>
        <w:t>分限在</w:t>
      </w:r>
      <w:proofErr w:type="gramEnd"/>
      <w:r>
        <w:rPr>
          <w:rStyle w:val="a9"/>
          <w:rFonts w:ascii="新細明體" w:hAnsi="新細明體" w:hint="eastAsia"/>
          <w:kern w:val="0"/>
        </w:rPr>
        <w:t>日文原</w:t>
      </w:r>
      <w:r>
        <w:rPr>
          <w:rStyle w:val="a9"/>
          <w:rFonts w:ascii="新細明體" w:hAnsi="新細明體" w:hint="eastAsia"/>
          <w:kern w:val="0"/>
        </w:rPr>
        <w:t>意中有身分或資格之意義，因屬法定用語故保留原詞。</w:t>
      </w:r>
    </w:p>
  </w:footnote>
  <w:footnote w:id="65">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相當於我國法律用語中之降級。</w:t>
      </w:r>
    </w:p>
  </w:footnote>
  <w:footnote w:id="66">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日文原文稱之為「績效主義」。</w:t>
      </w:r>
    </w:p>
  </w:footnote>
  <w:footnote w:id="67">
    <w:p w:rsidR="00000000" w:rsidRDefault="00CB4FE6">
      <w:pPr>
        <w:pStyle w:val="a8"/>
        <w:tabs>
          <w:tab w:val="left" w:pos="720"/>
        </w:tabs>
        <w:ind w:left="300" w:hangingChars="150" w:hanging="300"/>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proofErr w:type="gramStart"/>
      <w:r>
        <w:rPr>
          <w:rStyle w:val="a9"/>
          <w:rFonts w:ascii="新細明體" w:hAnsi="新細明體" w:hint="eastAsia"/>
          <w:kern w:val="0"/>
        </w:rPr>
        <w:t>宇賀克</w:t>
      </w:r>
      <w:proofErr w:type="gramEnd"/>
      <w:r>
        <w:rPr>
          <w:rStyle w:val="a9"/>
          <w:rFonts w:ascii="新細明體" w:hAnsi="新細明體" w:hint="eastAsia"/>
          <w:kern w:val="0"/>
        </w:rPr>
        <w:t>也，行政法概說</w:t>
      </w:r>
      <w:r>
        <w:rPr>
          <w:rStyle w:val="a9"/>
          <w:rFonts w:ascii="新細明體" w:hAnsi="新細明體" w:hint="eastAsia"/>
          <w:kern w:val="0"/>
        </w:rPr>
        <w:t xml:space="preserve"> III </w:t>
      </w:r>
      <w:proofErr w:type="gramStart"/>
      <w:r>
        <w:rPr>
          <w:rStyle w:val="a9"/>
          <w:rFonts w:ascii="新細明體" w:hAnsi="新細明體" w:hint="eastAsia"/>
          <w:kern w:val="0"/>
        </w:rPr>
        <w:t>—</w:t>
      </w:r>
      <w:proofErr w:type="gramEnd"/>
      <w:r>
        <w:rPr>
          <w:rStyle w:val="a9"/>
          <w:rFonts w:ascii="新細明體" w:hAnsi="新細明體" w:hint="eastAsia"/>
          <w:kern w:val="0"/>
        </w:rPr>
        <w:t xml:space="preserve"> </w:t>
      </w:r>
      <w:r>
        <w:rPr>
          <w:rStyle w:val="a9"/>
          <w:rFonts w:ascii="新細明體" w:hAnsi="新細明體" w:hint="eastAsia"/>
          <w:kern w:val="0"/>
        </w:rPr>
        <w:t>行政組織法</w:t>
      </w:r>
      <w:r>
        <w:rPr>
          <w:rStyle w:val="a9"/>
          <w:rFonts w:ascii="新細明體" w:hAnsi="新細明體" w:hint="eastAsia"/>
          <w:kern w:val="0"/>
        </w:rPr>
        <w:t>/</w:t>
      </w:r>
      <w:r>
        <w:rPr>
          <w:rStyle w:val="a9"/>
          <w:rFonts w:ascii="新細明體" w:hAnsi="新細明體" w:hint="eastAsia"/>
          <w:kern w:val="0"/>
        </w:rPr>
        <w:t>公務員法</w:t>
      </w:r>
      <w:r>
        <w:rPr>
          <w:rStyle w:val="a9"/>
          <w:rFonts w:ascii="新細明體" w:hAnsi="新細明體" w:hint="eastAsia"/>
          <w:kern w:val="0"/>
        </w:rPr>
        <w:t>/</w:t>
      </w:r>
      <w:r>
        <w:rPr>
          <w:rStyle w:val="a9"/>
          <w:rFonts w:ascii="新細明體" w:hAnsi="新細明體" w:hint="eastAsia"/>
          <w:kern w:val="0"/>
        </w:rPr>
        <w:t>公物法，</w:t>
      </w:r>
      <w:r>
        <w:rPr>
          <w:rStyle w:val="a9"/>
          <w:rFonts w:ascii="新細明體" w:hAnsi="新細明體" w:hint="eastAsia"/>
          <w:kern w:val="0"/>
        </w:rPr>
        <w:t>2008</w:t>
      </w:r>
      <w:r>
        <w:rPr>
          <w:rStyle w:val="a9"/>
          <w:rFonts w:ascii="新細明體" w:hAnsi="新細明體" w:hint="eastAsia"/>
          <w:kern w:val="0"/>
        </w:rPr>
        <w:t>年</w:t>
      </w:r>
      <w:r>
        <w:rPr>
          <w:rStyle w:val="a9"/>
          <w:rFonts w:ascii="新細明體" w:hAnsi="新細明體" w:hint="eastAsia"/>
          <w:kern w:val="0"/>
        </w:rPr>
        <w:t>4</w:t>
      </w:r>
      <w:r>
        <w:rPr>
          <w:rStyle w:val="a9"/>
          <w:rFonts w:ascii="新細明體" w:hAnsi="新細明體" w:hint="eastAsia"/>
          <w:kern w:val="0"/>
        </w:rPr>
        <w:t>月</w:t>
      </w:r>
      <w:r>
        <w:rPr>
          <w:rStyle w:val="a9"/>
          <w:rFonts w:ascii="新細明體" w:hAnsi="新細明體" w:hint="eastAsia"/>
          <w:kern w:val="0"/>
        </w:rPr>
        <w:t>10</w:t>
      </w:r>
      <w:r>
        <w:rPr>
          <w:rStyle w:val="a9"/>
          <w:rFonts w:ascii="新細明體" w:hAnsi="新細明體" w:hint="eastAsia"/>
          <w:kern w:val="0"/>
        </w:rPr>
        <w:t>日，初版第</w:t>
      </w:r>
      <w:r>
        <w:rPr>
          <w:rStyle w:val="a9"/>
          <w:rFonts w:ascii="新細明體" w:hAnsi="新細明體" w:hint="eastAsia"/>
          <w:kern w:val="0"/>
        </w:rPr>
        <w:t>1</w:t>
      </w:r>
      <w:r>
        <w:rPr>
          <w:rStyle w:val="a9"/>
          <w:rFonts w:ascii="新細明體" w:hAnsi="新細明體" w:hint="eastAsia"/>
          <w:kern w:val="0"/>
        </w:rPr>
        <w:t>刷，頁</w:t>
      </w:r>
      <w:r>
        <w:rPr>
          <w:rStyle w:val="a9"/>
          <w:rFonts w:ascii="新細明體" w:hAnsi="新細明體" w:hint="eastAsia"/>
          <w:kern w:val="0"/>
        </w:rPr>
        <w:t>322-323</w:t>
      </w:r>
      <w:r>
        <w:rPr>
          <w:rStyle w:val="a9"/>
          <w:rFonts w:ascii="新細明體" w:hAnsi="新細明體" w:hint="eastAsia"/>
          <w:kern w:val="0"/>
        </w:rPr>
        <w:t>。</w:t>
      </w:r>
    </w:p>
  </w:footnote>
  <w:footnote w:id="68">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相當於我國法律用語中之減</w:t>
      </w:r>
      <w:proofErr w:type="gramStart"/>
      <w:r>
        <w:rPr>
          <w:rStyle w:val="a9"/>
          <w:rFonts w:ascii="新細明體" w:hAnsi="新細明體" w:hint="eastAsia"/>
          <w:kern w:val="0"/>
        </w:rPr>
        <w:t>俸</w:t>
      </w:r>
      <w:proofErr w:type="gramEnd"/>
      <w:r>
        <w:rPr>
          <w:rStyle w:val="a9"/>
          <w:rFonts w:ascii="新細明體" w:hAnsi="新細明體" w:hint="eastAsia"/>
          <w:kern w:val="0"/>
        </w:rPr>
        <w:t>。</w:t>
      </w:r>
    </w:p>
  </w:footnote>
  <w:footnote w:id="69">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proofErr w:type="gramStart"/>
      <w:r>
        <w:rPr>
          <w:rStyle w:val="a9"/>
          <w:rFonts w:ascii="新細明體" w:hAnsi="新細明體" w:hint="eastAsia"/>
          <w:kern w:val="0"/>
        </w:rPr>
        <w:t>宇賀克</w:t>
      </w:r>
      <w:proofErr w:type="gramEnd"/>
      <w:r>
        <w:rPr>
          <w:rStyle w:val="a9"/>
          <w:rFonts w:ascii="新細明體" w:hAnsi="新細明體" w:hint="eastAsia"/>
          <w:kern w:val="0"/>
        </w:rPr>
        <w:t>也，</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323</w:t>
      </w:r>
      <w:r>
        <w:rPr>
          <w:rStyle w:val="a9"/>
          <w:rFonts w:ascii="新細明體" w:hAnsi="新細明體" w:hint="eastAsia"/>
          <w:kern w:val="0"/>
        </w:rPr>
        <w:t>。</w:t>
      </w:r>
    </w:p>
  </w:footnote>
  <w:footnote w:id="70">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相當於我國公務員懲戒法中之申誡。</w:t>
      </w:r>
    </w:p>
  </w:footnote>
  <w:footnote w:id="71">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proofErr w:type="gramStart"/>
      <w:r>
        <w:rPr>
          <w:rStyle w:val="a9"/>
          <w:rFonts w:ascii="新細明體" w:hAnsi="新細明體" w:hint="eastAsia"/>
          <w:kern w:val="0"/>
        </w:rPr>
        <w:t>宇賀克</w:t>
      </w:r>
      <w:proofErr w:type="gramEnd"/>
      <w:r>
        <w:rPr>
          <w:rStyle w:val="a9"/>
          <w:rFonts w:ascii="新細明體" w:hAnsi="新細明體" w:hint="eastAsia"/>
          <w:kern w:val="0"/>
        </w:rPr>
        <w:t>也，</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324</w:t>
      </w:r>
      <w:r>
        <w:rPr>
          <w:rStyle w:val="a9"/>
          <w:rFonts w:ascii="新細明體" w:hAnsi="新細明體" w:hint="eastAsia"/>
          <w:kern w:val="0"/>
        </w:rPr>
        <w:t>。</w:t>
      </w:r>
    </w:p>
  </w:footnote>
  <w:footnote w:id="72">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proofErr w:type="gramStart"/>
      <w:r>
        <w:rPr>
          <w:rStyle w:val="a9"/>
          <w:rFonts w:ascii="新細明體" w:hAnsi="新細明體" w:hint="eastAsia"/>
          <w:kern w:val="0"/>
        </w:rPr>
        <w:t>宇賀克</w:t>
      </w:r>
      <w:proofErr w:type="gramEnd"/>
      <w:r>
        <w:rPr>
          <w:rStyle w:val="a9"/>
          <w:rFonts w:ascii="新細明體" w:hAnsi="新細明體" w:hint="eastAsia"/>
          <w:kern w:val="0"/>
        </w:rPr>
        <w:t>也，</w:t>
      </w:r>
      <w:proofErr w:type="gramStart"/>
      <w:r>
        <w:rPr>
          <w:rStyle w:val="a9"/>
          <w:rFonts w:ascii="新細明體" w:hAnsi="新細明體" w:hint="eastAsia"/>
          <w:kern w:val="0"/>
        </w:rPr>
        <w:t>前揭書</w:t>
      </w:r>
      <w:proofErr w:type="gramEnd"/>
      <w:r>
        <w:rPr>
          <w:rStyle w:val="a9"/>
          <w:rFonts w:ascii="新細明體" w:hAnsi="新細明體" w:hint="eastAsia"/>
          <w:kern w:val="0"/>
        </w:rPr>
        <w:t>，頁</w:t>
      </w:r>
      <w:r>
        <w:rPr>
          <w:rStyle w:val="a9"/>
          <w:rFonts w:ascii="新細明體" w:hAnsi="新細明體" w:hint="eastAsia"/>
          <w:kern w:val="0"/>
        </w:rPr>
        <w:t>325</w:t>
      </w:r>
      <w:r>
        <w:rPr>
          <w:rStyle w:val="a9"/>
          <w:rFonts w:ascii="新細明體" w:hAnsi="新細明體" w:hint="eastAsia"/>
          <w:kern w:val="0"/>
        </w:rPr>
        <w:t>。</w:t>
      </w:r>
    </w:p>
  </w:footnote>
  <w:footnote w:id="73">
    <w:p w:rsidR="00000000" w:rsidRDefault="00CB4FE6">
      <w:pPr>
        <w:pStyle w:val="a8"/>
        <w:tabs>
          <w:tab w:val="left" w:pos="720"/>
        </w:tabs>
        <w:ind w:left="100" w:hangingChars="50" w:hanging="100"/>
        <w:rPr>
          <w:rStyle w:val="a9"/>
          <w:rFonts w:ascii="新細明體" w:hAnsi="新細明體" w:hint="eastAsia"/>
          <w:kern w:val="0"/>
        </w:rPr>
      </w:pPr>
      <w:r>
        <w:rPr>
          <w:rStyle w:val="a9"/>
          <w:rFonts w:ascii="新細明體" w:hAnsi="新細明體"/>
          <w:kern w:val="0"/>
        </w:rPr>
        <w:footnoteRef/>
      </w:r>
      <w:r>
        <w:rPr>
          <w:rStyle w:val="a9"/>
          <w:rFonts w:ascii="新細明體" w:hAnsi="新細明體"/>
          <w:kern w:val="0"/>
        </w:rPr>
        <w:t xml:space="preserve"> </w:t>
      </w:r>
      <w:r>
        <w:rPr>
          <w:rStyle w:val="a9"/>
          <w:rFonts w:ascii="新細明體" w:hAnsi="新細明體" w:hint="eastAsia"/>
          <w:kern w:val="0"/>
        </w:rPr>
        <w:t>足</w:t>
      </w:r>
      <w:proofErr w:type="gramStart"/>
      <w:r>
        <w:rPr>
          <w:rStyle w:val="a9"/>
          <w:rFonts w:ascii="新細明體" w:hAnsi="新細明體" w:hint="eastAsia"/>
          <w:kern w:val="0"/>
        </w:rPr>
        <w:t>立雅英</w:t>
      </w:r>
      <w:proofErr w:type="gramEnd"/>
      <w:r>
        <w:rPr>
          <w:rStyle w:val="a9"/>
          <w:rFonts w:ascii="新細明體" w:hAnsi="新細明體" w:hint="eastAsia"/>
          <w:kern w:val="0"/>
        </w:rPr>
        <w:t>，收於：</w:t>
      </w:r>
      <w:proofErr w:type="gramStart"/>
      <w:r>
        <w:rPr>
          <w:rStyle w:val="a9"/>
          <w:rFonts w:ascii="新細明體" w:hAnsi="新細明體" w:hint="eastAsia"/>
          <w:kern w:val="0"/>
        </w:rPr>
        <w:t>栗田久喜柳</w:t>
      </w:r>
      <w:r>
        <w:rPr>
          <w:rStyle w:val="a9"/>
          <w:rFonts w:ascii="新細明體" w:hAnsi="新細明體" w:hint="eastAsia"/>
          <w:kern w:val="0"/>
        </w:rPr>
        <w:t xml:space="preserve"> </w:t>
      </w:r>
      <w:r>
        <w:rPr>
          <w:rStyle w:val="a9"/>
          <w:rFonts w:ascii="新細明體" w:hAnsi="新細明體" w:hint="eastAsia"/>
          <w:kern w:val="0"/>
        </w:rPr>
        <w:t>克樹</w:t>
      </w:r>
      <w:proofErr w:type="gramEnd"/>
      <w:r>
        <w:rPr>
          <w:rStyle w:val="a9"/>
          <w:rFonts w:ascii="新細明體" w:hAnsi="新細明體" w:hint="eastAsia"/>
          <w:kern w:val="0"/>
        </w:rPr>
        <w:t>編，</w:t>
      </w:r>
      <w:proofErr w:type="gramStart"/>
      <w:r>
        <w:rPr>
          <w:rStyle w:val="a9"/>
          <w:rFonts w:ascii="新細明體" w:hAnsi="新細明體" w:hint="eastAsia"/>
          <w:kern w:val="0"/>
        </w:rPr>
        <w:t>前揭書</w:t>
      </w:r>
      <w:proofErr w:type="gramEnd"/>
      <w:r>
        <w:rPr>
          <w:rStyle w:val="a9"/>
          <w:rFonts w:ascii="新細明體" w:hAnsi="新細明體" w:hint="eastAsia"/>
          <w:kern w:val="0"/>
        </w:rPr>
        <w:t>，「地方公務員法」，頁</w:t>
      </w:r>
      <w:r>
        <w:rPr>
          <w:rStyle w:val="a9"/>
          <w:rFonts w:ascii="新細明體" w:hAnsi="新細明體" w:hint="eastAsia"/>
          <w:kern w:val="0"/>
        </w:rPr>
        <w:t>41-42</w:t>
      </w:r>
      <w:r>
        <w:rPr>
          <w:rStyle w:val="a9"/>
          <w:rFonts w:ascii="新細明體" w:hAnsi="新細明體" w:hint="eastAsia"/>
          <w:kern w:val="0"/>
        </w:rPr>
        <w:t>。</w:t>
      </w:r>
    </w:p>
  </w:footnote>
  <w:footnote w:id="74">
    <w:p w:rsidR="00000000" w:rsidRDefault="00CB4FE6">
      <w:pPr>
        <w:pStyle w:val="a8"/>
        <w:tabs>
          <w:tab w:val="left" w:pos="720"/>
        </w:tabs>
        <w:rPr>
          <w:rStyle w:val="a9"/>
          <w:rFonts w:ascii="新細明體" w:hAnsi="新細明體" w:hint="eastAsia"/>
          <w:kern w:val="0"/>
        </w:rPr>
      </w:pPr>
      <w:r>
        <w:rPr>
          <w:rStyle w:val="a9"/>
          <w:rFonts w:ascii="新細明體" w:hAnsi="新細明體"/>
          <w:kern w:val="0"/>
        </w:rPr>
        <w:footnoteRef/>
      </w:r>
      <w:r>
        <w:rPr>
          <w:rStyle w:val="a9"/>
          <w:rFonts w:ascii="新細明體" w:hAnsi="新細明體" w:hint="eastAsia"/>
          <w:kern w:val="0"/>
        </w:rPr>
        <w:t xml:space="preserve"> </w:t>
      </w:r>
      <w:r>
        <w:rPr>
          <w:rStyle w:val="a9"/>
          <w:rFonts w:ascii="新細明體" w:hAnsi="新細明體" w:hint="eastAsia"/>
          <w:kern w:val="0"/>
        </w:rPr>
        <w:t>足</w:t>
      </w:r>
      <w:proofErr w:type="gramStart"/>
      <w:r>
        <w:rPr>
          <w:rStyle w:val="a9"/>
          <w:rFonts w:ascii="新細明體" w:hAnsi="新細明體" w:hint="eastAsia"/>
          <w:kern w:val="0"/>
        </w:rPr>
        <w:t>立雅英</w:t>
      </w:r>
      <w:proofErr w:type="gramEnd"/>
      <w:r>
        <w:rPr>
          <w:rStyle w:val="a9"/>
          <w:rFonts w:ascii="新細明體" w:hAnsi="新細明體" w:hint="eastAsia"/>
          <w:kern w:val="0"/>
        </w:rPr>
        <w:t>，收</w:t>
      </w:r>
      <w:r>
        <w:rPr>
          <w:rStyle w:val="a9"/>
          <w:rFonts w:ascii="新細明體" w:hAnsi="新細明體" w:hint="eastAsia"/>
          <w:kern w:val="0"/>
        </w:rPr>
        <w:t>於：</w:t>
      </w:r>
      <w:proofErr w:type="gramStart"/>
      <w:r>
        <w:rPr>
          <w:rStyle w:val="a9"/>
          <w:rFonts w:ascii="新細明體" w:hAnsi="新細明體" w:hint="eastAsia"/>
          <w:kern w:val="0"/>
        </w:rPr>
        <w:t>栗田久喜柳</w:t>
      </w:r>
      <w:r>
        <w:rPr>
          <w:rStyle w:val="a9"/>
          <w:rFonts w:ascii="新細明體" w:hAnsi="新細明體" w:hint="eastAsia"/>
          <w:kern w:val="0"/>
        </w:rPr>
        <w:t xml:space="preserve"> </w:t>
      </w:r>
      <w:r>
        <w:rPr>
          <w:rStyle w:val="a9"/>
          <w:rFonts w:ascii="新細明體" w:hAnsi="新細明體" w:hint="eastAsia"/>
          <w:kern w:val="0"/>
        </w:rPr>
        <w:t>克樹</w:t>
      </w:r>
      <w:proofErr w:type="gramEnd"/>
      <w:r>
        <w:rPr>
          <w:rStyle w:val="a9"/>
          <w:rFonts w:ascii="新細明體" w:hAnsi="新細明體" w:hint="eastAsia"/>
          <w:kern w:val="0"/>
        </w:rPr>
        <w:t>編，</w:t>
      </w:r>
      <w:proofErr w:type="gramStart"/>
      <w:r>
        <w:rPr>
          <w:rStyle w:val="a9"/>
          <w:rFonts w:ascii="新細明體" w:hAnsi="新細明體" w:hint="eastAsia"/>
          <w:kern w:val="0"/>
        </w:rPr>
        <w:t>前揭書</w:t>
      </w:r>
      <w:proofErr w:type="gramEnd"/>
      <w:r>
        <w:rPr>
          <w:rStyle w:val="a9"/>
          <w:rFonts w:ascii="新細明體" w:hAnsi="新細明體" w:hint="eastAsia"/>
          <w:kern w:val="0"/>
        </w:rPr>
        <w:t>，「地方公務員法」，頁</w:t>
      </w:r>
      <w:r>
        <w:rPr>
          <w:rStyle w:val="a9"/>
          <w:rFonts w:ascii="新細明體" w:hAnsi="新細明體" w:hint="eastAsia"/>
          <w:kern w:val="0"/>
        </w:rPr>
        <w:t>46-47</w:t>
      </w:r>
      <w:r>
        <w:rPr>
          <w:rStyle w:val="a9"/>
          <w:rFonts w:ascii="新細明體" w:hAnsi="新細明體" w:hint="eastAsia"/>
          <w:kern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B76"/>
    <w:multiLevelType w:val="hybridMultilevel"/>
    <w:tmpl w:val="5DE0F7F2"/>
    <w:lvl w:ilvl="0" w:tplc="0CE4DF9A">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E532A9A"/>
    <w:multiLevelType w:val="hybridMultilevel"/>
    <w:tmpl w:val="96D2903E"/>
    <w:lvl w:ilvl="0" w:tplc="533A6E5C">
      <w:start w:val="1"/>
      <w:numFmt w:val="taiwaneseCountingThousand"/>
      <w:lvlText w:val="第%1章、"/>
      <w:lvlJc w:val="left"/>
      <w:pPr>
        <w:tabs>
          <w:tab w:val="num" w:pos="1125"/>
        </w:tabs>
        <w:ind w:left="1125" w:hanging="1125"/>
      </w:pPr>
      <w:rPr>
        <w:rFonts w:hint="default"/>
      </w:rPr>
    </w:lvl>
    <w:lvl w:ilvl="1" w:tplc="ADA4FDCE">
      <w:start w:val="1"/>
      <w:numFmt w:val="taiwaneseCountingThousand"/>
      <w:lvlText w:val="%2、"/>
      <w:lvlJc w:val="left"/>
      <w:pPr>
        <w:tabs>
          <w:tab w:val="num" w:pos="960"/>
        </w:tabs>
        <w:ind w:left="960" w:hanging="480"/>
      </w:pPr>
      <w:rPr>
        <w:rFonts w:hint="default"/>
      </w:rPr>
    </w:lvl>
    <w:lvl w:ilvl="2" w:tplc="4796C796">
      <w:start w:val="1"/>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503371"/>
    <w:multiLevelType w:val="hybridMultilevel"/>
    <w:tmpl w:val="6D98BE5C"/>
    <w:lvl w:ilvl="0" w:tplc="D3A87D40">
      <w:start w:val="1"/>
      <w:numFmt w:val="taiwaneseCountingThousand"/>
      <w:lvlText w:val="（%1）"/>
      <w:lvlJc w:val="left"/>
      <w:pPr>
        <w:ind w:left="720" w:hanging="720"/>
      </w:pPr>
      <w:rPr>
        <w:rFonts w:hint="default"/>
      </w:rPr>
    </w:lvl>
    <w:lvl w:ilvl="1" w:tplc="376814C4">
      <w:start w:val="1"/>
      <w:numFmt w:val="ideographLegalTraditional"/>
      <w:lvlText w:val="%2、"/>
      <w:lvlJc w:val="left"/>
      <w:pPr>
        <w:tabs>
          <w:tab w:val="num" w:pos="960"/>
        </w:tabs>
        <w:ind w:left="960" w:hanging="480"/>
      </w:pPr>
      <w:rPr>
        <w:rFonts w:hint="default"/>
      </w:rPr>
    </w:lvl>
    <w:lvl w:ilvl="2" w:tplc="79B4862C">
      <w:start w:val="1"/>
      <w:numFmt w:val="taiwaneseCountingThousand"/>
      <w:lvlText w:val="%3、"/>
      <w:lvlJc w:val="left"/>
      <w:pPr>
        <w:tabs>
          <w:tab w:val="num" w:pos="1440"/>
        </w:tabs>
        <w:ind w:left="1440" w:hanging="480"/>
      </w:pPr>
      <w:rPr>
        <w:rFonts w:ascii="Times New Roman" w:eastAsia="Times New Roman"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8029AE"/>
    <w:multiLevelType w:val="hybridMultilevel"/>
    <w:tmpl w:val="42CA995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128A6D3E"/>
    <w:multiLevelType w:val="hybridMultilevel"/>
    <w:tmpl w:val="163C5C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0163D5"/>
    <w:multiLevelType w:val="hybridMultilevel"/>
    <w:tmpl w:val="19D0BF6A"/>
    <w:lvl w:ilvl="0" w:tplc="0284F42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5146F7"/>
    <w:multiLevelType w:val="hybridMultilevel"/>
    <w:tmpl w:val="546875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A02C5B"/>
    <w:multiLevelType w:val="hybridMultilevel"/>
    <w:tmpl w:val="D284B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72FB2"/>
    <w:multiLevelType w:val="hybridMultilevel"/>
    <w:tmpl w:val="CE9CD3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9471DE"/>
    <w:multiLevelType w:val="hybridMultilevel"/>
    <w:tmpl w:val="9B8E3680"/>
    <w:lvl w:ilvl="0" w:tplc="D0AA89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lvl>
    <w:lvl w:ilvl="1" w:tplc="8EDAA3B2">
      <w:start w:val="1"/>
      <w:numFmt w:val="taiwaneseCountingThousand"/>
      <w:lvlText w:val="(%2)"/>
      <w:lvlJc w:val="left"/>
      <w:pPr>
        <w:tabs>
          <w:tab w:val="num" w:pos="1200"/>
        </w:tabs>
        <w:ind w:left="12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2367CB"/>
    <w:multiLevelType w:val="hybridMultilevel"/>
    <w:tmpl w:val="258A6546"/>
    <w:lvl w:ilvl="0" w:tplc="04090015">
      <w:start w:val="1"/>
      <w:numFmt w:val="taiwaneseCountingThousand"/>
      <w:lvlText w:val="%1、"/>
      <w:lvlJc w:val="left"/>
      <w:pPr>
        <w:ind w:left="480" w:hanging="480"/>
      </w:pPr>
      <w:rPr>
        <w:rFonts w:hint="default"/>
      </w:rPr>
    </w:lvl>
    <w:lvl w:ilvl="1" w:tplc="71C05498">
      <w:start w:val="1"/>
      <w:numFmt w:val="ideographLegalTraditional"/>
      <w:lvlText w:val="%2、"/>
      <w:lvlJc w:val="left"/>
      <w:pPr>
        <w:tabs>
          <w:tab w:val="num" w:pos="960"/>
        </w:tabs>
        <w:ind w:left="960" w:hanging="480"/>
      </w:pPr>
      <w:rPr>
        <w:rFonts w:hint="default"/>
      </w:rPr>
    </w:lvl>
    <w:lvl w:ilvl="2" w:tplc="9D9C0824">
      <w:start w:val="4"/>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F2CB7"/>
    <w:multiLevelType w:val="hybridMultilevel"/>
    <w:tmpl w:val="98687B56"/>
    <w:lvl w:ilvl="0" w:tplc="FB0E0F62">
      <w:start w:val="1"/>
      <w:numFmt w:val="decimal"/>
      <w:lvlText w:val="%1."/>
      <w:lvlJc w:val="left"/>
      <w:pPr>
        <w:tabs>
          <w:tab w:val="num" w:pos="360"/>
        </w:tabs>
        <w:ind w:left="360" w:hanging="36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DB146C"/>
    <w:multiLevelType w:val="hybridMultilevel"/>
    <w:tmpl w:val="2E3646CE"/>
    <w:lvl w:ilvl="0" w:tplc="C62C09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C81299"/>
    <w:multiLevelType w:val="hybridMultilevel"/>
    <w:tmpl w:val="2CA28F06"/>
    <w:lvl w:ilvl="0" w:tplc="6988FA90">
      <w:start w:val="2"/>
      <w:numFmt w:val="taiwaneseCountingThousand"/>
      <w:lvlText w:val="第%1節"/>
      <w:lvlJc w:val="left"/>
      <w:pPr>
        <w:tabs>
          <w:tab w:val="num" w:pos="1560"/>
        </w:tabs>
        <w:ind w:left="15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4253132"/>
    <w:multiLevelType w:val="hybridMultilevel"/>
    <w:tmpl w:val="143698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9C86FF1"/>
    <w:multiLevelType w:val="hybridMultilevel"/>
    <w:tmpl w:val="9F30A4F8"/>
    <w:lvl w:ilvl="0" w:tplc="FD22B7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505D35"/>
    <w:multiLevelType w:val="hybridMultilevel"/>
    <w:tmpl w:val="1AFED45C"/>
    <w:lvl w:ilvl="0" w:tplc="CF8E37E8">
      <w:start w:val="3"/>
      <w:numFmt w:val="decimal"/>
      <w:lvlText w:val="第%1條"/>
      <w:lvlJc w:val="left"/>
      <w:pPr>
        <w:tabs>
          <w:tab w:val="num" w:pos="960"/>
        </w:tabs>
        <w:ind w:left="960" w:hanging="9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B91759A"/>
    <w:multiLevelType w:val="hybridMultilevel"/>
    <w:tmpl w:val="63729944"/>
    <w:lvl w:ilvl="0" w:tplc="5C4676C2">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A708CF"/>
    <w:multiLevelType w:val="hybridMultilevel"/>
    <w:tmpl w:val="4C0E28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641B03"/>
    <w:multiLevelType w:val="hybridMultilevel"/>
    <w:tmpl w:val="E422ACDC"/>
    <w:lvl w:ilvl="0" w:tplc="3FE6BAAA">
      <w:start w:val="1"/>
      <w:numFmt w:val="ideographLegalTraditional"/>
      <w:lvlText w:val="%1、"/>
      <w:lvlJc w:val="left"/>
      <w:pPr>
        <w:tabs>
          <w:tab w:val="num" w:pos="1560"/>
        </w:tabs>
        <w:ind w:left="1560" w:hanging="480"/>
      </w:pPr>
      <w:rPr>
        <w:rFonts w:hint="default"/>
      </w:rPr>
    </w:lvl>
    <w:lvl w:ilvl="1" w:tplc="1FC8A03A">
      <w:start w:val="1"/>
      <w:numFmt w:val="taiwaneseCountingThousand"/>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40F708C1"/>
    <w:multiLevelType w:val="hybridMultilevel"/>
    <w:tmpl w:val="53100136"/>
    <w:lvl w:ilvl="0" w:tplc="4D065F94">
      <w:start w:val="1"/>
      <w:numFmt w:val="taiwaneseCountingThousand"/>
      <w:lvlText w:val="第%1節"/>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C05B58"/>
    <w:multiLevelType w:val="hybridMultilevel"/>
    <w:tmpl w:val="CBD06A7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0A18BB"/>
    <w:multiLevelType w:val="hybridMultilevel"/>
    <w:tmpl w:val="F5F4489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AA4221"/>
    <w:multiLevelType w:val="hybridMultilevel"/>
    <w:tmpl w:val="6400DF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8F17CE"/>
    <w:multiLevelType w:val="hybridMultilevel"/>
    <w:tmpl w:val="4490D428"/>
    <w:lvl w:ilvl="0" w:tplc="F3DCF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E30D1"/>
    <w:multiLevelType w:val="hybridMultilevel"/>
    <w:tmpl w:val="4600C182"/>
    <w:lvl w:ilvl="0" w:tplc="0FEC1952">
      <w:start w:val="1"/>
      <w:numFmt w:val="decimal"/>
      <w:lvlText w:val="%1、"/>
      <w:lvlJc w:val="left"/>
      <w:pPr>
        <w:tabs>
          <w:tab w:val="num" w:pos="450"/>
        </w:tabs>
        <w:ind w:left="450" w:hanging="450"/>
      </w:pPr>
      <w:rPr>
        <w:rFonts w:ascii="Times New Roman" w:eastAsia="Times New Roman" w:hAnsi="Times New Roman" w:cs="Times New Roman"/>
      </w:rPr>
    </w:lvl>
    <w:lvl w:ilvl="1" w:tplc="9090541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C8A6295"/>
    <w:multiLevelType w:val="hybridMultilevel"/>
    <w:tmpl w:val="B85E86C4"/>
    <w:lvl w:ilvl="0" w:tplc="505C7310">
      <w:start w:val="1"/>
      <w:numFmt w:val="taiwaneseCountingThousand"/>
      <w:lvlText w:val="第%1篇"/>
      <w:lvlJc w:val="left"/>
      <w:pPr>
        <w:tabs>
          <w:tab w:val="num" w:pos="990"/>
        </w:tabs>
        <w:ind w:left="990" w:hanging="9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E775520"/>
    <w:multiLevelType w:val="hybridMultilevel"/>
    <w:tmpl w:val="85A218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672D34"/>
    <w:multiLevelType w:val="hybridMultilevel"/>
    <w:tmpl w:val="0D3AEC00"/>
    <w:lvl w:ilvl="0" w:tplc="E7462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1C4CC3"/>
    <w:multiLevelType w:val="hybridMultilevel"/>
    <w:tmpl w:val="06ECE208"/>
    <w:lvl w:ilvl="0" w:tplc="04090017">
      <w:start w:val="1"/>
      <w:numFmt w:val="ideographLegal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26268C"/>
    <w:multiLevelType w:val="hybridMultilevel"/>
    <w:tmpl w:val="74F41B6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C2D88"/>
    <w:multiLevelType w:val="hybridMultilevel"/>
    <w:tmpl w:val="F702A1E4"/>
    <w:lvl w:ilvl="0" w:tplc="E92CED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045604E"/>
    <w:multiLevelType w:val="hybridMultilevel"/>
    <w:tmpl w:val="F9ACF46C"/>
    <w:lvl w:ilvl="0" w:tplc="E9BC9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061159"/>
    <w:multiLevelType w:val="hybridMultilevel"/>
    <w:tmpl w:val="52CCB80E"/>
    <w:lvl w:ilvl="0" w:tplc="4D065F94">
      <w:start w:val="3"/>
      <w:numFmt w:val="taiwaneseCountingThousand"/>
      <w:lvlText w:val="第%1節"/>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236AFF"/>
    <w:multiLevelType w:val="hybridMultilevel"/>
    <w:tmpl w:val="01044B48"/>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C166AA"/>
    <w:multiLevelType w:val="hybridMultilevel"/>
    <w:tmpl w:val="8F4E249E"/>
    <w:lvl w:ilvl="0" w:tplc="8F288E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22"/>
  </w:num>
  <w:num w:numId="5">
    <w:abstractNumId w:val="32"/>
  </w:num>
  <w:num w:numId="6">
    <w:abstractNumId w:val="1"/>
  </w:num>
  <w:num w:numId="7">
    <w:abstractNumId w:val="8"/>
  </w:num>
  <w:num w:numId="8">
    <w:abstractNumId w:val="29"/>
  </w:num>
  <w:num w:numId="9">
    <w:abstractNumId w:val="12"/>
  </w:num>
  <w:num w:numId="10">
    <w:abstractNumId w:val="17"/>
  </w:num>
  <w:num w:numId="11">
    <w:abstractNumId w:val="2"/>
  </w:num>
  <w:num w:numId="12">
    <w:abstractNumId w:val="27"/>
  </w:num>
  <w:num w:numId="13">
    <w:abstractNumId w:val="16"/>
  </w:num>
  <w:num w:numId="14">
    <w:abstractNumId w:val="36"/>
  </w:num>
  <w:num w:numId="15">
    <w:abstractNumId w:val="7"/>
  </w:num>
  <w:num w:numId="16">
    <w:abstractNumId w:val="24"/>
  </w:num>
  <w:num w:numId="17">
    <w:abstractNumId w:val="4"/>
  </w:num>
  <w:num w:numId="18">
    <w:abstractNumId w:val="15"/>
  </w:num>
  <w:num w:numId="19">
    <w:abstractNumId w:val="31"/>
  </w:num>
  <w:num w:numId="20">
    <w:abstractNumId w:val="25"/>
  </w:num>
  <w:num w:numId="21">
    <w:abstractNumId w:val="35"/>
  </w:num>
  <w:num w:numId="22">
    <w:abstractNumId w:val="28"/>
  </w:num>
  <w:num w:numId="23">
    <w:abstractNumId w:val="9"/>
  </w:num>
  <w:num w:numId="24">
    <w:abstractNumId w:val="26"/>
  </w:num>
  <w:num w:numId="25">
    <w:abstractNumId w:val="18"/>
  </w:num>
  <w:num w:numId="26">
    <w:abstractNumId w:val="5"/>
  </w:num>
  <w:num w:numId="27">
    <w:abstractNumId w:val="13"/>
  </w:num>
  <w:num w:numId="28">
    <w:abstractNumId w:val="23"/>
  </w:num>
  <w:num w:numId="29">
    <w:abstractNumId w:val="37"/>
  </w:num>
  <w:num w:numId="30">
    <w:abstractNumId w:val="14"/>
  </w:num>
  <w:num w:numId="31">
    <w:abstractNumId w:val="33"/>
  </w:num>
  <w:num w:numId="32">
    <w:abstractNumId w:val="20"/>
  </w:num>
  <w:num w:numId="33">
    <w:abstractNumId w:val="3"/>
  </w:num>
  <w:num w:numId="34">
    <w:abstractNumId w:val="6"/>
  </w:num>
  <w:num w:numId="35">
    <w:abstractNumId w:val="34"/>
  </w:num>
  <w:num w:numId="36">
    <w:abstractNumId w:val="19"/>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F5"/>
    <w:rsid w:val="00CB4FE6"/>
    <w:rsid w:val="00F91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F3479C-F2B2-41A2-8360-F131103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pPr>
    <w:rPr>
      <w:rFonts w:ascii="標楷體" w:eastAsia="標楷體"/>
      <w:sz w:val="28"/>
      <w:szCs w:val="20"/>
    </w:rPr>
  </w:style>
  <w:style w:type="character" w:customStyle="1" w:styleId="stext1">
    <w:name w:val="stext1"/>
    <w:basedOn w:val="a1"/>
    <w:rPr>
      <w:spacing w:val="31680"/>
      <w:sz w:val="19"/>
      <w:szCs w:val="19"/>
    </w:rPr>
  </w:style>
  <w:style w:type="character" w:styleId="a4">
    <w:name w:val="footnote reference"/>
    <w:basedOn w:val="a1"/>
    <w:semiHidden/>
    <w:rPr>
      <w:vertAlign w:val="superscript"/>
    </w:rPr>
  </w:style>
  <w:style w:type="paragraph" w:customStyle="1" w:styleId="2">
    <w:name w:val="樣式 內文縮排 + 第一行:  2 字元"/>
    <w:basedOn w:val="a5"/>
    <w:pPr>
      <w:spacing w:line="360" w:lineRule="auto"/>
      <w:ind w:leftChars="0" w:left="0" w:firstLineChars="200" w:firstLine="480"/>
      <w:jc w:val="both"/>
    </w:pPr>
    <w:rPr>
      <w:sz w:val="28"/>
      <w:szCs w:val="28"/>
    </w:rPr>
  </w:style>
  <w:style w:type="paragraph" w:styleId="a5">
    <w:name w:val="Normal Indent"/>
    <w:basedOn w:val="a0"/>
    <w:semiHidden/>
    <w:pPr>
      <w:ind w:leftChars="200" w:left="480"/>
    </w:pPr>
  </w:style>
  <w:style w:type="character" w:styleId="a6">
    <w:name w:val="Hyperlink"/>
    <w:basedOn w:val="a1"/>
    <w:semiHidden/>
    <w:rPr>
      <w:color w:val="0000FF"/>
      <w:u w:val="single"/>
    </w:rPr>
  </w:style>
  <w:style w:type="character" w:styleId="a7">
    <w:name w:val="Strong"/>
    <w:basedOn w:val="a1"/>
    <w:qFormat/>
    <w:rPr>
      <w:b/>
      <w:bCs/>
    </w:rPr>
  </w:style>
  <w:style w:type="paragraph" w:styleId="a8">
    <w:name w:val="footnote text"/>
    <w:basedOn w:val="a0"/>
    <w:semiHidden/>
    <w:pPr>
      <w:snapToGrid w:val="0"/>
    </w:pPr>
    <w:rPr>
      <w:sz w:val="20"/>
      <w:szCs w:val="20"/>
    </w:rPr>
  </w:style>
  <w:style w:type="character" w:customStyle="1" w:styleId="a9">
    <w:name w:val=" 字元 字元"/>
    <w:basedOn w:val="a1"/>
    <w:semiHidden/>
    <w:rPr>
      <w:rFonts w:eastAsia="新細明體"/>
      <w:kern w:val="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oukaku.go.jp/siryou/koumuin/070424_kakugi.pdf" TargetMode="External"/><Relationship Id="rId13" Type="http://schemas.openxmlformats.org/officeDocument/2006/relationships/hyperlink" Target="http://www.gyoukaku.go.jp/siryou/koumuin/070424_kakugi.pdf" TargetMode="External"/><Relationship Id="rId3" Type="http://schemas.openxmlformats.org/officeDocument/2006/relationships/settings" Target="settings.xml"/><Relationship Id="rId7" Type="http://schemas.openxmlformats.org/officeDocument/2006/relationships/hyperlink" Target="http://www.gyoukaku.go.jp/siryou/koumuin/070424_kakugi.pdf" TargetMode="External"/><Relationship Id="rId12" Type="http://schemas.openxmlformats.org/officeDocument/2006/relationships/hyperlink" Target="http://www.gyoukaku.go.jp/siryou/koumuin/070424_kakugi.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youkaku.go.jp/siryou/koumuin/070424_kakugi.pdf" TargetMode="External"/><Relationship Id="rId5" Type="http://schemas.openxmlformats.org/officeDocument/2006/relationships/footnotes" Target="footnotes.xml"/><Relationship Id="rId15" Type="http://schemas.openxmlformats.org/officeDocument/2006/relationships/hyperlink" Target="http://www.houko.com/00/01/S25/261.HTM" TargetMode="External"/><Relationship Id="rId10" Type="http://schemas.openxmlformats.org/officeDocument/2006/relationships/hyperlink" Target="http://www.gyoukaku.go.jp/siryou/koumuin/070424_kakugi.pdf" TargetMode="External"/><Relationship Id="rId4" Type="http://schemas.openxmlformats.org/officeDocument/2006/relationships/webSettings" Target="webSettings.xml"/><Relationship Id="rId9" Type="http://schemas.openxmlformats.org/officeDocument/2006/relationships/hyperlink" Target="http://www.gyoukaku.go.jp/siryou/koumuin/070630_gaiyou.pdf" TargetMode="External"/><Relationship Id="rId14" Type="http://schemas.openxmlformats.org/officeDocument/2006/relationships/hyperlink" Target="http://www.houko.com/00/01/S22/067B.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antei.go.jp/jp/kakugikettei/2001/1225koumuin.html" TargetMode="External"/><Relationship Id="rId7" Type="http://schemas.openxmlformats.org/officeDocument/2006/relationships/hyperlink" Target="http://www.jinji.go.jp/kouryu/index.htm" TargetMode="External"/><Relationship Id="rId2" Type="http://schemas.openxmlformats.org/officeDocument/2006/relationships/hyperlink" Target="http://www.kantei.go.jp/jp/gyokaku/980428jinji.html" TargetMode="External"/><Relationship Id="rId1" Type="http://schemas.openxmlformats.org/officeDocument/2006/relationships/hyperlink" Target="http://www.kantei.go.jp/jp/gyokaku/980428jinji.html" TargetMode="External"/><Relationship Id="rId6" Type="http://schemas.openxmlformats.org/officeDocument/2006/relationships/hyperlink" Target="http://law.e-gov.go.jp/htmldata/H11/H11HO224.htm" TargetMode="External"/><Relationship Id="rId5" Type="http://schemas.openxmlformats.org/officeDocument/2006/relationships/hyperlink" Target="http://www.gyoukaku.go.jp/siryou/koumuin/080613kihonhou_honbun.pdf" TargetMode="External"/><Relationship Id="rId4" Type="http://schemas.openxmlformats.org/officeDocument/2006/relationships/hyperlink" Target="http://www.gyoukaku.go.jp/siryou/koumuin/070630_gaiyou.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2820</Words>
  <Characters>16078</Characters>
  <Application>Microsoft Office Word</Application>
  <DocSecurity>0</DocSecurity>
  <Lines>133</Lines>
  <Paragraphs>37</Paragraphs>
  <ScaleCrop>false</ScaleCrop>
  <Company/>
  <LinksUpToDate>false</LinksUpToDate>
  <CharactersWithSpaces>18861</CharactersWithSpaces>
  <SharedDoc>false</SharedDoc>
  <HLinks>
    <vt:vector size="96" baseType="variant">
      <vt:variant>
        <vt:i4>1704028</vt:i4>
      </vt:variant>
      <vt:variant>
        <vt:i4>24</vt:i4>
      </vt:variant>
      <vt:variant>
        <vt:i4>0</vt:i4>
      </vt:variant>
      <vt:variant>
        <vt:i4>5</vt:i4>
      </vt:variant>
      <vt:variant>
        <vt:lpwstr>http://www.houko.com/00/01/S25/261.HTM</vt:lpwstr>
      </vt:variant>
      <vt:variant>
        <vt:lpwstr>008#008</vt:lpwstr>
      </vt:variant>
      <vt:variant>
        <vt:i4>4456453</vt:i4>
      </vt:variant>
      <vt:variant>
        <vt:i4>21</vt:i4>
      </vt:variant>
      <vt:variant>
        <vt:i4>0</vt:i4>
      </vt:variant>
      <vt:variant>
        <vt:i4>5</vt:i4>
      </vt:variant>
      <vt:variant>
        <vt:lpwstr>http://www.houko.com/00/01/S22/067B.HTM</vt:lpwstr>
      </vt:variant>
      <vt:variant>
        <vt:lpwstr>252-19</vt:lpwstr>
      </vt:variant>
      <vt:variant>
        <vt:i4>4259950</vt:i4>
      </vt:variant>
      <vt:variant>
        <vt:i4>18</vt:i4>
      </vt:variant>
      <vt:variant>
        <vt:i4>0</vt:i4>
      </vt:variant>
      <vt:variant>
        <vt:i4>5</vt:i4>
      </vt:variant>
      <vt:variant>
        <vt:lpwstr>http://www.gyoukaku.go.jp/siryou/koumuin/070424_kakugi.pdf</vt:lpwstr>
      </vt:variant>
      <vt:variant>
        <vt:lpwstr/>
      </vt:variant>
      <vt:variant>
        <vt:i4>4259950</vt:i4>
      </vt:variant>
      <vt:variant>
        <vt:i4>15</vt:i4>
      </vt:variant>
      <vt:variant>
        <vt:i4>0</vt:i4>
      </vt:variant>
      <vt:variant>
        <vt:i4>5</vt:i4>
      </vt:variant>
      <vt:variant>
        <vt:lpwstr>http://www.gyoukaku.go.jp/siryou/koumuin/070424_kakugi.pdf</vt:lpwstr>
      </vt:variant>
      <vt:variant>
        <vt:lpwstr/>
      </vt:variant>
      <vt:variant>
        <vt:i4>4259950</vt:i4>
      </vt:variant>
      <vt:variant>
        <vt:i4>12</vt:i4>
      </vt:variant>
      <vt:variant>
        <vt:i4>0</vt:i4>
      </vt:variant>
      <vt:variant>
        <vt:i4>5</vt:i4>
      </vt:variant>
      <vt:variant>
        <vt:lpwstr>http://www.gyoukaku.go.jp/siryou/koumuin/070424_kakugi.pdf</vt:lpwstr>
      </vt:variant>
      <vt:variant>
        <vt:lpwstr/>
      </vt:variant>
      <vt:variant>
        <vt:i4>4259950</vt:i4>
      </vt:variant>
      <vt:variant>
        <vt:i4>9</vt:i4>
      </vt:variant>
      <vt:variant>
        <vt:i4>0</vt:i4>
      </vt:variant>
      <vt:variant>
        <vt:i4>5</vt:i4>
      </vt:variant>
      <vt:variant>
        <vt:lpwstr>http://www.gyoukaku.go.jp/siryou/koumuin/070424_kakugi.pdf</vt:lpwstr>
      </vt:variant>
      <vt:variant>
        <vt:lpwstr/>
      </vt:variant>
      <vt:variant>
        <vt:i4>5242990</vt:i4>
      </vt:variant>
      <vt:variant>
        <vt:i4>6</vt:i4>
      </vt:variant>
      <vt:variant>
        <vt:i4>0</vt:i4>
      </vt:variant>
      <vt:variant>
        <vt:i4>5</vt:i4>
      </vt:variant>
      <vt:variant>
        <vt:lpwstr>http://www.gyoukaku.go.jp/siryou/koumuin/070630_gaiyou.pdf</vt:lpwstr>
      </vt:variant>
      <vt:variant>
        <vt:lpwstr/>
      </vt:variant>
      <vt:variant>
        <vt:i4>4259950</vt:i4>
      </vt:variant>
      <vt:variant>
        <vt:i4>3</vt:i4>
      </vt:variant>
      <vt:variant>
        <vt:i4>0</vt:i4>
      </vt:variant>
      <vt:variant>
        <vt:i4>5</vt:i4>
      </vt:variant>
      <vt:variant>
        <vt:lpwstr>http://www.gyoukaku.go.jp/siryou/koumuin/070424_kakugi.pdf</vt:lpwstr>
      </vt:variant>
      <vt:variant>
        <vt:lpwstr/>
      </vt:variant>
      <vt:variant>
        <vt:i4>4259950</vt:i4>
      </vt:variant>
      <vt:variant>
        <vt:i4>0</vt:i4>
      </vt:variant>
      <vt:variant>
        <vt:i4>0</vt:i4>
      </vt:variant>
      <vt:variant>
        <vt:i4>5</vt:i4>
      </vt:variant>
      <vt:variant>
        <vt:lpwstr>http://www.gyoukaku.go.jp/siryou/koumuin/070424_kakugi.pdf</vt:lpwstr>
      </vt:variant>
      <vt:variant>
        <vt:lpwstr/>
      </vt:variant>
      <vt:variant>
        <vt:i4>6684706</vt:i4>
      </vt:variant>
      <vt:variant>
        <vt:i4>18</vt:i4>
      </vt:variant>
      <vt:variant>
        <vt:i4>0</vt:i4>
      </vt:variant>
      <vt:variant>
        <vt:i4>5</vt:i4>
      </vt:variant>
      <vt:variant>
        <vt:lpwstr>http://www.jinji.go.jp/kouryu/index.htm</vt:lpwstr>
      </vt:variant>
      <vt:variant>
        <vt:lpwstr/>
      </vt:variant>
      <vt:variant>
        <vt:i4>196639</vt:i4>
      </vt:variant>
      <vt:variant>
        <vt:i4>15</vt:i4>
      </vt:variant>
      <vt:variant>
        <vt:i4>0</vt:i4>
      </vt:variant>
      <vt:variant>
        <vt:i4>5</vt:i4>
      </vt:variant>
      <vt:variant>
        <vt:lpwstr>http://law.e-gov.go.jp/htmldata/H11/H11HO224.htm</vt:lpwstr>
      </vt:variant>
      <vt:variant>
        <vt:lpwstr/>
      </vt:variant>
      <vt:variant>
        <vt:i4>6160491</vt:i4>
      </vt:variant>
      <vt:variant>
        <vt:i4>12</vt:i4>
      </vt:variant>
      <vt:variant>
        <vt:i4>0</vt:i4>
      </vt:variant>
      <vt:variant>
        <vt:i4>5</vt:i4>
      </vt:variant>
      <vt:variant>
        <vt:lpwstr>http://www.gyoukaku.go.jp/siryou/koumuin/080613kihonhou_honbun.pdf</vt:lpwstr>
      </vt:variant>
      <vt:variant>
        <vt:lpwstr/>
      </vt:variant>
      <vt:variant>
        <vt:i4>5242990</vt:i4>
      </vt:variant>
      <vt:variant>
        <vt:i4>9</vt:i4>
      </vt:variant>
      <vt:variant>
        <vt:i4>0</vt:i4>
      </vt:variant>
      <vt:variant>
        <vt:i4>5</vt:i4>
      </vt:variant>
      <vt:variant>
        <vt:lpwstr>http://www.gyoukaku.go.jp/siryou/koumuin/070630_gaiyou.pdf</vt:lpwstr>
      </vt:variant>
      <vt:variant>
        <vt:lpwstr/>
      </vt:variant>
      <vt:variant>
        <vt:i4>983118</vt:i4>
      </vt:variant>
      <vt:variant>
        <vt:i4>6</vt:i4>
      </vt:variant>
      <vt:variant>
        <vt:i4>0</vt:i4>
      </vt:variant>
      <vt:variant>
        <vt:i4>5</vt:i4>
      </vt:variant>
      <vt:variant>
        <vt:lpwstr>http://www.kantei.go.jp/jp/kakugikettei/2001/1225koumuin.html</vt:lpwstr>
      </vt:variant>
      <vt:variant>
        <vt:lpwstr/>
      </vt:variant>
      <vt:variant>
        <vt:i4>7340139</vt:i4>
      </vt:variant>
      <vt:variant>
        <vt:i4>3</vt:i4>
      </vt:variant>
      <vt:variant>
        <vt:i4>0</vt:i4>
      </vt:variant>
      <vt:variant>
        <vt:i4>5</vt:i4>
      </vt:variant>
      <vt:variant>
        <vt:lpwstr>http://www.kantei.go.jp/jp/gyokaku/980428jinji.html</vt:lpwstr>
      </vt:variant>
      <vt:variant>
        <vt:lpwstr/>
      </vt:variant>
      <vt:variant>
        <vt:i4>7340139</vt:i4>
      </vt:variant>
      <vt:variant>
        <vt:i4>0</vt:i4>
      </vt:variant>
      <vt:variant>
        <vt:i4>0</vt:i4>
      </vt:variant>
      <vt:variant>
        <vt:i4>5</vt:i4>
      </vt:variant>
      <vt:variant>
        <vt:lpwstr>http://www.kantei.go.jp/jp/gyokaku/980428jinji.html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 外國公務人員保障制度中之保障對象</dc:title>
  <dc:subject/>
  <dc:creator>8327</dc:creator>
  <cp:keywords/>
  <dc:description/>
  <cp:lastModifiedBy>卓卿雲</cp:lastModifiedBy>
  <cp:revision>2</cp:revision>
  <dcterms:created xsi:type="dcterms:W3CDTF">2021-09-17T10:18:00Z</dcterms:created>
  <dcterms:modified xsi:type="dcterms:W3CDTF">2021-09-17T10:18:00Z</dcterms:modified>
</cp:coreProperties>
</file>