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5866">
      <w:pPr>
        <w:jc w:val="center"/>
        <w:rPr>
          <w:b/>
          <w:sz w:val="32"/>
          <w:szCs w:val="32"/>
        </w:rPr>
      </w:pPr>
      <w:bookmarkStart w:id="0" w:name="_GoBack"/>
      <w:bookmarkEnd w:id="0"/>
      <w:r>
        <w:rPr>
          <w:rFonts w:hint="eastAsia"/>
          <w:b/>
          <w:sz w:val="32"/>
          <w:szCs w:val="32"/>
        </w:rPr>
        <w:t>摘要</w:t>
      </w:r>
    </w:p>
    <w:p w:rsidR="00000000" w:rsidRDefault="00995866">
      <w:pPr>
        <w:tabs>
          <w:tab w:val="num" w:pos="960"/>
        </w:tabs>
        <w:spacing w:before="100" w:beforeAutospacing="1" w:after="100" w:afterAutospacing="1" w:line="360" w:lineRule="auto"/>
        <w:ind w:firstLineChars="200" w:firstLine="480"/>
        <w:jc w:val="both"/>
        <w:rPr>
          <w:rFonts w:ascii="新細明體" w:hAnsi="新細明體"/>
        </w:rPr>
      </w:pPr>
      <w:r>
        <w:rPr>
          <w:rFonts w:ascii="新細明體" w:hAnsi="新細明體" w:hint="eastAsia"/>
        </w:rPr>
        <w:t>公務人員與國家間之法律關係，從以往的「特別權力關係」到現在的「公法上職務關係」，歷經漫長的演變過程。其中，公務人員之身分保障及權利救濟更是公務員制度中的核心問題。公務人員保障法（以下簡稱保障法）於民國</w:t>
      </w:r>
      <w:r>
        <w:rPr>
          <w:rFonts w:ascii="新細明體" w:hAnsi="新細明體" w:hint="eastAsia"/>
        </w:rPr>
        <w:t>85</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16</w:t>
      </w:r>
      <w:r>
        <w:rPr>
          <w:rFonts w:ascii="新細明體" w:hAnsi="新細明體" w:hint="eastAsia"/>
        </w:rPr>
        <w:t>日施行，並於民國</w:t>
      </w:r>
      <w:r>
        <w:rPr>
          <w:rFonts w:ascii="新細明體" w:hAnsi="新細明體" w:hint="eastAsia"/>
        </w:rPr>
        <w:t>92</w:t>
      </w:r>
      <w:r>
        <w:rPr>
          <w:rFonts w:ascii="新細明體" w:hAnsi="新細明體" w:cs="細明體" w:hint="eastAsia"/>
          <w:kern w:val="0"/>
          <w:lang w:val="zh-TW"/>
        </w:rPr>
        <w:t>年</w:t>
      </w:r>
      <w:r>
        <w:rPr>
          <w:rFonts w:ascii="新細明體" w:hAnsi="新細明體" w:cs="細明體" w:hint="eastAsia"/>
          <w:kern w:val="0"/>
          <w:lang w:val="zh-TW"/>
        </w:rPr>
        <w:t>5</w:t>
      </w:r>
      <w:r>
        <w:rPr>
          <w:rFonts w:ascii="新細明體" w:hAnsi="新細明體" w:cs="細明體" w:hint="eastAsia"/>
          <w:kern w:val="0"/>
          <w:lang w:val="zh-TW"/>
        </w:rPr>
        <w:t>月</w:t>
      </w:r>
      <w:r>
        <w:rPr>
          <w:rFonts w:ascii="新細明體" w:hAnsi="新細明體" w:cs="細明體" w:hint="eastAsia"/>
          <w:kern w:val="0"/>
          <w:lang w:val="zh-TW"/>
        </w:rPr>
        <w:t>28</w:t>
      </w:r>
      <w:r>
        <w:rPr>
          <w:rFonts w:ascii="新細明體" w:hAnsi="新細明體" w:cs="細明體" w:hint="eastAsia"/>
          <w:kern w:val="0"/>
          <w:lang w:val="zh-TW"/>
        </w:rPr>
        <w:t>日</w:t>
      </w:r>
      <w:r>
        <w:rPr>
          <w:rFonts w:ascii="新細明體" w:hAnsi="新細明體" w:hint="eastAsia"/>
        </w:rPr>
        <w:t>大幅修正，除刪除再復審之相關規定外，另增設許多實體保障內容。實施之後，在公務人員保障暨培訓委員會努力之下，提升了公務人員保障的數量與素質。然而，保障實務上亦產生不少爭議，例如，在強化政府績效管理及建立政府機關彈性用人的思潮之下，將來以公法契約方式進用之人員是</w:t>
      </w:r>
      <w:r>
        <w:rPr>
          <w:rFonts w:ascii="新細明體" w:hAnsi="新細明體" w:hint="eastAsia"/>
        </w:rPr>
        <w:t>否應納入保障？現行復審、申訴及再申訴之分類是否足以因應？是否應配合行政訴訟法中訴訟類型之增修創設新的救濟類型等？似有進行檢討之必要。</w:t>
      </w:r>
    </w:p>
    <w:p w:rsidR="00000000" w:rsidRDefault="00995866">
      <w:pPr>
        <w:tabs>
          <w:tab w:val="num" w:pos="960"/>
        </w:tabs>
        <w:spacing w:before="100" w:beforeAutospacing="1" w:after="100" w:afterAutospacing="1" w:line="360" w:lineRule="auto"/>
        <w:ind w:firstLineChars="200" w:firstLine="480"/>
        <w:jc w:val="both"/>
        <w:rPr>
          <w:rFonts w:ascii="新細明體" w:hAnsi="新細明體" w:hint="eastAsia"/>
        </w:rPr>
      </w:pPr>
      <w:r>
        <w:rPr>
          <w:rFonts w:ascii="新細明體" w:hAnsi="新細明體" w:hint="eastAsia"/>
        </w:rPr>
        <w:t>基於此種考量，本研究計畫採取文獻分析、比較法分析及專家訪談等研究方法，進行「保障對象」與「救濟類型」之修法研議（第一章）。保障對象部分，本研究從我國公務人員保障制度中保障對象著手，檢討現行保障法中有關適用與準用對象之區別及其標準，並提出不同之思考面向（第二章）。研究當中，也就德國及日本公務員制度中相關保障制度進行介紹，包括保障對象、保障範圍及保障組織等，以擴大制度的視野。此外</w:t>
      </w:r>
      <w:r>
        <w:rPr>
          <w:rFonts w:ascii="新細明體" w:hAnsi="新細明體" w:hint="eastAsia"/>
        </w:rPr>
        <w:t>，為因應新公共管理的發展趨勢及政府組織改造，這兩國的公務員制度皆有不同程度的改革，可以提供我國實務操作及將來修法改革之參考（第三章）。其後，將我國及德日兩國相關制度進行比較，並提出釐清保障對象及擴大保障範圍之修法建議（第四章）。</w:t>
      </w:r>
    </w:p>
    <w:p w:rsidR="00000000" w:rsidRDefault="00995866">
      <w:pPr>
        <w:spacing w:line="360" w:lineRule="auto"/>
        <w:ind w:firstLineChars="200" w:firstLine="480"/>
        <w:rPr>
          <w:rFonts w:hint="eastAsia"/>
        </w:rPr>
      </w:pPr>
      <w:r>
        <w:rPr>
          <w:rFonts w:ascii="新細明體" w:hAnsi="新細明體" w:hint="eastAsia"/>
        </w:rPr>
        <w:t>就救濟類型方面，亦先行檢討目前保障法中的救濟類型，就「復審」及「申訴、再申訴」的區分標準進行分析，並就現行法中以「</w:t>
      </w:r>
      <w:r>
        <w:rPr>
          <w:rFonts w:ascii="Arial" w:hAnsi="Arial" w:cs="Arial" w:hint="eastAsia"/>
        </w:rPr>
        <w:t>是否為</w:t>
      </w:r>
      <w:r>
        <w:rPr>
          <w:rFonts w:ascii="新細明體" w:hAnsi="新細明體" w:hint="eastAsia"/>
        </w:rPr>
        <w:t>行政處分」，而非以</w:t>
      </w:r>
      <w:r>
        <w:rPr>
          <w:rFonts w:ascii="Arial" w:hAnsi="Arial" w:cs="Arial" w:hint="eastAsia"/>
        </w:rPr>
        <w:t>「公務人員之權利是否受侵害」</w:t>
      </w:r>
      <w:r>
        <w:rPr>
          <w:rFonts w:ascii="新細明體" w:hAnsi="新細明體" w:hint="eastAsia"/>
        </w:rPr>
        <w:t>作為救濟類型的</w:t>
      </w:r>
      <w:r>
        <w:rPr>
          <w:rFonts w:ascii="Arial" w:hAnsi="Arial" w:cs="Arial" w:hint="eastAsia"/>
        </w:rPr>
        <w:t>判斷基準提出不同見解</w:t>
      </w:r>
      <w:r>
        <w:rPr>
          <w:rFonts w:ascii="新細明體" w:hAnsi="新細明體" w:hint="eastAsia"/>
        </w:rPr>
        <w:t>（第五章）。另外，也介紹德國及日本公務員制度中相關的救濟制度，例如，德國公務</w:t>
      </w:r>
      <w:r>
        <w:rPr>
          <w:rFonts w:ascii="新細明體" w:hAnsi="新細明體" w:hint="eastAsia"/>
        </w:rPr>
        <w:lastRenderedPageBreak/>
        <w:t>員制度</w:t>
      </w:r>
      <w:r>
        <w:rPr>
          <w:rFonts w:ascii="新細明體" w:hAnsi="新細明體" w:hint="eastAsia"/>
        </w:rPr>
        <w:t>當中的先行程序前置主義及</w:t>
      </w:r>
      <w:r>
        <w:rPr>
          <w:rFonts w:hint="eastAsia"/>
          <w:lang w:val="de-DE"/>
        </w:rPr>
        <w:t>職務競爭訴訟，以及日本的</w:t>
      </w:r>
      <w:r>
        <w:rPr>
          <w:rFonts w:ascii="新細明體" w:hAnsi="新細明體" w:hint="eastAsia"/>
        </w:rPr>
        <w:t>官民人才交流制度中的保障方式</w:t>
      </w:r>
      <w:r>
        <w:rPr>
          <w:rFonts w:hint="eastAsia"/>
          <w:lang w:val="de-DE"/>
        </w:rPr>
        <w:t>等</w:t>
      </w:r>
      <w:r>
        <w:rPr>
          <w:rFonts w:ascii="新細明體" w:hAnsi="新細明體" w:hint="eastAsia"/>
        </w:rPr>
        <w:t>（第六章）。並綜合我國及德日兩國的救濟程序及實務經驗，提出保訓會先行程序前置原則、配合行政訴訟法之規定增加復審類型、</w:t>
      </w:r>
      <w:r>
        <w:rPr>
          <w:rFonts w:hint="eastAsia"/>
        </w:rPr>
        <w:t>申訴再申訴程序之救濟對象排除影響權益之「違法」</w:t>
      </w:r>
      <w:r>
        <w:rPr>
          <w:rFonts w:ascii="新細明體" w:hAnsi="新細明體" w:hint="eastAsia"/>
        </w:rPr>
        <w:t>管理措施，以及強化</w:t>
      </w:r>
      <w:r>
        <w:rPr>
          <w:rFonts w:hint="eastAsia"/>
        </w:rPr>
        <w:t>暫時性權利保護等修法建議（第七章）。最後，在結論部分，總結提出</w:t>
      </w:r>
      <w:r>
        <w:rPr>
          <w:rFonts w:ascii="新細明體" w:hAnsi="新細明體" w:hint="eastAsia"/>
        </w:rPr>
        <w:t>應擴大保障法之保障對象、增加公務員權利之程序保障、強化保訓會之專業判斷機制、增加復審類型、檢討申訴再申訴程序之對象及增設暫時性權利保護程序等修法建議</w:t>
      </w:r>
      <w:r>
        <w:rPr>
          <w:rFonts w:hint="eastAsia"/>
        </w:rPr>
        <w:t>（第八章）。並將修正條文草案與總說明具體呈現</w:t>
      </w:r>
      <w:r>
        <w:rPr>
          <w:rFonts w:hint="eastAsia"/>
        </w:rPr>
        <w:t>（第九章），希望能作為保障法未來修正的重要參考，使公務員保障制度更臻完善。</w:t>
      </w:r>
    </w:p>
    <w:p w:rsidR="00000000" w:rsidRDefault="00995866">
      <w:pPr>
        <w:tabs>
          <w:tab w:val="left" w:pos="0"/>
        </w:tabs>
        <w:snapToGrid w:val="0"/>
        <w:spacing w:line="360" w:lineRule="auto"/>
        <w:jc w:val="distribute"/>
        <w:rPr>
          <w:rFonts w:ascii="新細明體" w:hAnsi="新細明體"/>
          <w:bCs/>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rFonts w:hint="eastAsia"/>
          <w:b/>
          <w:sz w:val="32"/>
          <w:szCs w:val="32"/>
        </w:rPr>
      </w:pPr>
    </w:p>
    <w:p w:rsidR="00000000" w:rsidRDefault="00995866">
      <w:pPr>
        <w:spacing w:line="360" w:lineRule="auto"/>
        <w:jc w:val="center"/>
        <w:rPr>
          <w:b/>
          <w:sz w:val="32"/>
          <w:szCs w:val="32"/>
        </w:rPr>
      </w:pPr>
      <w:r>
        <w:rPr>
          <w:b/>
          <w:sz w:val="32"/>
          <w:szCs w:val="32"/>
        </w:rPr>
        <w:lastRenderedPageBreak/>
        <w:t>Abstract</w:t>
      </w:r>
    </w:p>
    <w:p w:rsidR="00000000" w:rsidRDefault="00995866">
      <w:pPr>
        <w:pStyle w:val="Web"/>
        <w:jc w:val="both"/>
        <w:rPr>
          <w:rFonts w:ascii="Times New Roman" w:hAnsi="Times New Roman"/>
        </w:rPr>
      </w:pPr>
      <w:r>
        <w:rPr>
          <w:rFonts w:ascii="Times New Roman" w:hAnsi="Times New Roman" w:hint="eastAsia"/>
        </w:rPr>
        <w:t xml:space="preserve">     </w:t>
      </w:r>
      <w:r>
        <w:rPr>
          <w:rFonts w:ascii="Times New Roman" w:hAnsi="Times New Roman"/>
        </w:rPr>
        <w:t xml:space="preserve">In accordance with the Interpretation No. 491 of Judicial Yuan, </w:t>
      </w:r>
      <w:r>
        <w:rPr>
          <w:rFonts w:ascii="Times New Roman" w:hint="eastAsia"/>
        </w:rPr>
        <w:t>「</w:t>
      </w:r>
      <w:r>
        <w:rPr>
          <w:rFonts w:ascii="Times New Roman" w:hAnsi="Times New Roman"/>
        </w:rPr>
        <w:t>the right to serve in a public post prescribed in Article 18 of the Constitution aims at guaranteeing the people the opportuni</w:t>
      </w:r>
      <w:r>
        <w:rPr>
          <w:rFonts w:ascii="Times New Roman" w:hAnsi="Times New Roman"/>
        </w:rPr>
        <w:t xml:space="preserve">ty for public service in accordance with laws and regulations. Such a right not only concerns the people’s right to work and equal protection under law-- so that the state must establish relevant systems regulating the exercise of public authority and the </w:t>
      </w:r>
      <w:r>
        <w:rPr>
          <w:rFonts w:ascii="Times New Roman" w:hAnsi="Times New Roman"/>
        </w:rPr>
        <w:t>fulfillment of the state’s duties and responsibilities-- but also the security of civil employees’ rights and interests</w:t>
      </w:r>
      <w:r>
        <w:rPr>
          <w:rFonts w:ascii="Times New Roman" w:hint="eastAsia"/>
        </w:rPr>
        <w:t>」</w:t>
      </w:r>
      <w:r>
        <w:rPr>
          <w:rFonts w:ascii="Times New Roman" w:hAnsi="Times New Roman"/>
        </w:rPr>
        <w:t>. The Civil Service Protection and Training Commission (CSPTC) is according to the rules of Civil Service Protection Act</w:t>
      </w:r>
      <w:r>
        <w:rPr>
          <w:rFonts w:ascii="Times New Roman" w:hint="eastAsia"/>
        </w:rPr>
        <w:t>（</w:t>
      </w:r>
      <w:r>
        <w:rPr>
          <w:rFonts w:ascii="Times New Roman" w:hAnsi="Times New Roman"/>
        </w:rPr>
        <w:t>CSPA</w:t>
      </w:r>
      <w:r>
        <w:rPr>
          <w:rFonts w:ascii="Times New Roman" w:hint="eastAsia"/>
        </w:rPr>
        <w:t>）</w:t>
      </w:r>
      <w:r>
        <w:rPr>
          <w:rFonts w:ascii="Times New Roman" w:hAnsi="Times New Roman"/>
        </w:rPr>
        <w:t xml:space="preserve"> responsible for the national civil service protection matters and formulation of related policies, including the preparation, in</w:t>
      </w:r>
      <w:r>
        <w:rPr>
          <w:rFonts w:ascii="Times New Roman" w:hAnsi="Times New Roman"/>
        </w:rPr>
        <w:t xml:space="preserve">terpretation, and publicity of relevant laws and regulations, review of civil service protection issues, and consideration and proposal of protective measures. </w:t>
      </w:r>
    </w:p>
    <w:p w:rsidR="00000000" w:rsidRDefault="00995866">
      <w:pPr>
        <w:pStyle w:val="Web"/>
        <w:jc w:val="both"/>
        <w:rPr>
          <w:rFonts w:ascii="Times New Roman" w:hAnsi="Times New Roman" w:hint="eastAsia"/>
        </w:rPr>
      </w:pPr>
      <w:r>
        <w:rPr>
          <w:rFonts w:hint="eastAsia"/>
        </w:rPr>
        <w:t xml:space="preserve">     </w:t>
      </w:r>
      <w:r>
        <w:t>CSPA entered into force on</w:t>
      </w:r>
      <w:r>
        <w:rPr>
          <w:sz w:val="20"/>
          <w:szCs w:val="20"/>
        </w:rPr>
        <w:t xml:space="preserve"> 16 October 1996 </w:t>
      </w:r>
      <w:r>
        <w:t>and was massively amended on 28 May 2003. There</w:t>
      </w:r>
      <w:r>
        <w:t xml:space="preserve"> are a lot of legal controversies about the protected persons and the legal procedure in civil service protection cases of CSPTC. The purpose of this study is to review and discuss these legal issues. First of all, we have examined relevant decisions made </w:t>
      </w:r>
      <w:r>
        <w:t>by the CSPTC and analyzed these issues by different academic opinions. Furthermore, we introduced the civil service reform of Germany and of Japan. Because of the new public management movement, the civil service protection institutions of both countries h</w:t>
      </w:r>
      <w:r>
        <w:t>ave been partly changed. The institutional comparison between Taiwan and the two mentioned countries played an important role in this study. Finally, we reached the conclusion that CSPA should be more precisely and adequately modified.</w:t>
      </w:r>
    </w:p>
    <w:p w:rsidR="00000000" w:rsidRDefault="00995866">
      <w:pPr>
        <w:overflowPunct w:val="0"/>
        <w:autoSpaceDE w:val="0"/>
        <w:autoSpaceDN w:val="0"/>
        <w:adjustRightInd w:val="0"/>
        <w:spacing w:beforeLines="50" w:before="180" w:afterLines="50" w:after="180" w:line="360" w:lineRule="auto"/>
        <w:jc w:val="center"/>
        <w:rPr>
          <w:rFonts w:eastAsia="標楷體"/>
          <w:b/>
          <w:sz w:val="32"/>
          <w:szCs w:val="32"/>
        </w:rPr>
      </w:pPr>
      <w:r>
        <w:rPr>
          <w:rFonts w:eastAsia="標楷體" w:hAnsi="標楷體"/>
          <w:b/>
          <w:sz w:val="32"/>
          <w:szCs w:val="32"/>
        </w:rPr>
        <w:lastRenderedPageBreak/>
        <w:t>目</w:t>
      </w:r>
      <w:r>
        <w:rPr>
          <w:rFonts w:eastAsia="標楷體"/>
          <w:b/>
          <w:sz w:val="32"/>
          <w:szCs w:val="32"/>
        </w:rPr>
        <w:t xml:space="preserve"> </w:t>
      </w:r>
      <w:r>
        <w:rPr>
          <w:rFonts w:eastAsia="標楷體" w:hAnsi="標楷體"/>
          <w:b/>
          <w:sz w:val="32"/>
          <w:szCs w:val="32"/>
        </w:rPr>
        <w:t>錄</w:t>
      </w:r>
    </w:p>
    <w:p w:rsidR="00000000" w:rsidRDefault="00995866">
      <w:pPr>
        <w:overflowPunct w:val="0"/>
        <w:autoSpaceDE w:val="0"/>
        <w:autoSpaceDN w:val="0"/>
        <w:adjustRightInd w:val="0"/>
        <w:spacing w:beforeLines="50" w:before="180" w:afterLines="50" w:after="180" w:line="440" w:lineRule="atLeast"/>
        <w:jc w:val="distribute"/>
        <w:rPr>
          <w:sz w:val="28"/>
          <w:szCs w:val="28"/>
        </w:rPr>
      </w:pPr>
      <w:r>
        <w:rPr>
          <w:rFonts w:hAnsi="新細明體"/>
          <w:sz w:val="28"/>
          <w:szCs w:val="28"/>
        </w:rPr>
        <w:t>第一章</w:t>
      </w:r>
      <w:r>
        <w:rPr>
          <w:sz w:val="28"/>
          <w:szCs w:val="28"/>
        </w:rPr>
        <w:t xml:space="preserve"> </w:t>
      </w:r>
      <w:r>
        <w:rPr>
          <w:rFonts w:hAnsi="新細明體"/>
          <w:sz w:val="28"/>
          <w:szCs w:val="28"/>
        </w:rPr>
        <w:t>序</w:t>
      </w:r>
      <w:r>
        <w:rPr>
          <w:sz w:val="28"/>
          <w:szCs w:val="28"/>
        </w:rPr>
        <w:t xml:space="preserve"> </w:t>
      </w:r>
      <w:r>
        <w:rPr>
          <w:rFonts w:hAnsi="新細明體"/>
          <w:sz w:val="28"/>
          <w:szCs w:val="28"/>
        </w:rPr>
        <w:t>論</w:t>
      </w:r>
      <w:r>
        <w:rPr>
          <w:sz w:val="28"/>
          <w:szCs w:val="28"/>
        </w:rPr>
        <w:t>……………………………………………………………1</w:t>
      </w:r>
    </w:p>
    <w:p w:rsidR="00000000" w:rsidRDefault="00995866">
      <w:pPr>
        <w:spacing w:line="440" w:lineRule="atLeast"/>
        <w:jc w:val="distribute"/>
      </w:pPr>
      <w:r>
        <w:t>第一節</w:t>
      </w:r>
      <w:r>
        <w:t xml:space="preserve"> </w:t>
      </w:r>
      <w:r>
        <w:t>研究主旨與背景</w:t>
      </w:r>
      <w:r>
        <w:t>……………………………………………………………1</w:t>
      </w:r>
    </w:p>
    <w:p w:rsidR="00000000" w:rsidRDefault="00995866">
      <w:pPr>
        <w:spacing w:line="440" w:lineRule="atLeast"/>
        <w:jc w:val="distribute"/>
      </w:pPr>
      <w:r>
        <w:t>第二節</w:t>
      </w:r>
      <w:r>
        <w:t xml:space="preserve"> </w:t>
      </w:r>
      <w:r>
        <w:t>研究目的與範圍</w:t>
      </w:r>
      <w:r>
        <w:t>……………………………………………………………1</w:t>
      </w:r>
    </w:p>
    <w:p w:rsidR="00000000" w:rsidRDefault="00995866">
      <w:pPr>
        <w:spacing w:line="440" w:lineRule="atLeast"/>
        <w:jc w:val="distribute"/>
      </w:pPr>
      <w:r>
        <w:t>第三節</w:t>
      </w:r>
      <w:r>
        <w:t xml:space="preserve"> </w:t>
      </w:r>
      <w:r>
        <w:rPr>
          <w:rFonts w:hAnsi="新細明體"/>
        </w:rPr>
        <w:t>研究方法</w:t>
      </w:r>
      <w:r>
        <w:t>……………………………………………………………………2</w:t>
      </w:r>
    </w:p>
    <w:p w:rsidR="00000000" w:rsidRDefault="00995866">
      <w:pPr>
        <w:overflowPunct w:val="0"/>
        <w:autoSpaceDE w:val="0"/>
        <w:autoSpaceDN w:val="0"/>
        <w:adjustRightInd w:val="0"/>
        <w:spacing w:beforeLines="50" w:before="180" w:afterLines="50" w:after="180" w:line="440" w:lineRule="atLeast"/>
        <w:jc w:val="distribute"/>
        <w:rPr>
          <w:sz w:val="28"/>
          <w:szCs w:val="28"/>
        </w:rPr>
      </w:pPr>
      <w:r>
        <w:rPr>
          <w:rFonts w:hAnsi="新細明體"/>
          <w:sz w:val="28"/>
          <w:szCs w:val="28"/>
        </w:rPr>
        <w:t>第二章</w:t>
      </w:r>
      <w:r>
        <w:rPr>
          <w:sz w:val="28"/>
          <w:szCs w:val="28"/>
        </w:rPr>
        <w:t xml:space="preserve"> </w:t>
      </w:r>
      <w:r>
        <w:rPr>
          <w:rFonts w:hAnsi="新細明體"/>
          <w:sz w:val="28"/>
          <w:szCs w:val="28"/>
        </w:rPr>
        <w:t>我國公務人員保障法中之保障對象與檢討</w:t>
      </w:r>
      <w:r>
        <w:rPr>
          <w:sz w:val="28"/>
          <w:szCs w:val="28"/>
        </w:rPr>
        <w:t xml:space="preserve"> …………………3</w:t>
      </w:r>
    </w:p>
    <w:p w:rsidR="00000000" w:rsidRDefault="00995866">
      <w:pPr>
        <w:numPr>
          <w:ilvl w:val="0"/>
          <w:numId w:val="2"/>
        </w:numPr>
        <w:spacing w:line="440" w:lineRule="atLeast"/>
        <w:jc w:val="distribute"/>
      </w:pPr>
      <w:r>
        <w:rPr>
          <w:rFonts w:hAnsi="新細明體"/>
        </w:rPr>
        <w:t>緒言</w:t>
      </w:r>
      <w:r>
        <w:t>………………………………………………………………………3</w:t>
      </w:r>
    </w:p>
    <w:p w:rsidR="00000000" w:rsidRDefault="00995866">
      <w:pPr>
        <w:numPr>
          <w:ilvl w:val="0"/>
          <w:numId w:val="2"/>
        </w:numPr>
        <w:spacing w:line="440" w:lineRule="atLeast"/>
        <w:jc w:val="distribute"/>
      </w:pPr>
      <w:r>
        <w:rPr>
          <w:rFonts w:hAnsi="新細明體"/>
        </w:rPr>
        <w:t>公務人員保障制度與公務人員制度</w:t>
      </w:r>
      <w:r>
        <w:t>………………………………………4</w:t>
      </w:r>
    </w:p>
    <w:p w:rsidR="00000000" w:rsidRDefault="00995866">
      <w:pPr>
        <w:numPr>
          <w:ilvl w:val="0"/>
          <w:numId w:val="2"/>
        </w:numPr>
        <w:spacing w:line="440" w:lineRule="atLeast"/>
        <w:jc w:val="distribute"/>
      </w:pPr>
      <w:r>
        <w:rPr>
          <w:rFonts w:hAnsi="新細明體"/>
        </w:rPr>
        <w:t>公務人員保障法準用對象之檢討</w:t>
      </w:r>
      <w:r>
        <w:t>………</w:t>
      </w:r>
      <w:r>
        <w:t>……………………8</w:t>
      </w:r>
    </w:p>
    <w:p w:rsidR="00000000" w:rsidRDefault="00995866">
      <w:pPr>
        <w:numPr>
          <w:ilvl w:val="0"/>
          <w:numId w:val="2"/>
        </w:numPr>
        <w:spacing w:line="440" w:lineRule="atLeast"/>
        <w:jc w:val="distribute"/>
      </w:pPr>
      <w:r>
        <w:rPr>
          <w:rFonts w:hAnsi="新細明體"/>
        </w:rPr>
        <w:t>結論</w:t>
      </w:r>
      <w:r>
        <w:t>………………………………………………………………………21</w:t>
      </w:r>
    </w:p>
    <w:p w:rsidR="00000000" w:rsidRDefault="00995866">
      <w:pPr>
        <w:overflowPunct w:val="0"/>
        <w:autoSpaceDE w:val="0"/>
        <w:autoSpaceDN w:val="0"/>
        <w:adjustRightInd w:val="0"/>
        <w:spacing w:beforeLines="50" w:before="180" w:afterLines="50" w:after="180" w:line="440" w:lineRule="atLeast"/>
        <w:jc w:val="distribute"/>
        <w:rPr>
          <w:sz w:val="28"/>
          <w:szCs w:val="28"/>
        </w:rPr>
      </w:pPr>
      <w:r>
        <w:rPr>
          <w:rFonts w:hAnsi="新細明體"/>
          <w:sz w:val="28"/>
          <w:szCs w:val="28"/>
        </w:rPr>
        <w:t>第三章</w:t>
      </w:r>
      <w:r>
        <w:rPr>
          <w:sz w:val="28"/>
          <w:szCs w:val="28"/>
        </w:rPr>
        <w:t xml:space="preserve"> </w:t>
      </w:r>
      <w:r>
        <w:rPr>
          <w:rFonts w:hAnsi="新細明體"/>
          <w:sz w:val="28"/>
          <w:szCs w:val="28"/>
        </w:rPr>
        <w:t>外國公務人員保障制度中之保障對象</w:t>
      </w:r>
      <w:r>
        <w:rPr>
          <w:sz w:val="28"/>
          <w:szCs w:val="28"/>
        </w:rPr>
        <w:t>………………………25</w:t>
      </w:r>
    </w:p>
    <w:p w:rsidR="00000000" w:rsidRDefault="00995866">
      <w:pPr>
        <w:spacing w:line="440" w:lineRule="atLeast"/>
        <w:jc w:val="distribute"/>
      </w:pPr>
      <w:r>
        <w:rPr>
          <w:rFonts w:hAnsi="新細明體"/>
        </w:rPr>
        <w:t>第一節</w:t>
      </w:r>
      <w:r>
        <w:t xml:space="preserve"> </w:t>
      </w:r>
      <w:r>
        <w:rPr>
          <w:rFonts w:hAnsi="新細明體"/>
        </w:rPr>
        <w:t>德國公務人員保障制度中之保障對象</w:t>
      </w:r>
      <w:r>
        <w:t>……………………………………25</w:t>
      </w:r>
    </w:p>
    <w:p w:rsidR="00000000" w:rsidRDefault="00995866">
      <w:pPr>
        <w:spacing w:line="440" w:lineRule="atLeast"/>
        <w:jc w:val="distribute"/>
      </w:pPr>
      <w:r>
        <w:rPr>
          <w:rFonts w:hAnsi="新細明體"/>
        </w:rPr>
        <w:t>第二節</w:t>
      </w:r>
      <w:r>
        <w:t xml:space="preserve"> </w:t>
      </w:r>
      <w:r>
        <w:rPr>
          <w:rFonts w:hAnsi="新細明體"/>
        </w:rPr>
        <w:t>日本公務人員保障制度中之保障對象</w:t>
      </w:r>
      <w:r>
        <w:t>……………………………………32</w:t>
      </w:r>
    </w:p>
    <w:p w:rsidR="00000000" w:rsidRDefault="00995866">
      <w:pPr>
        <w:overflowPunct w:val="0"/>
        <w:autoSpaceDE w:val="0"/>
        <w:autoSpaceDN w:val="0"/>
        <w:adjustRightInd w:val="0"/>
        <w:spacing w:beforeLines="50" w:before="180" w:afterLines="50" w:after="180" w:line="440" w:lineRule="atLeast"/>
        <w:jc w:val="distribute"/>
        <w:rPr>
          <w:sz w:val="28"/>
          <w:szCs w:val="28"/>
        </w:rPr>
      </w:pPr>
      <w:r>
        <w:rPr>
          <w:rFonts w:hAnsi="新細明體"/>
          <w:sz w:val="28"/>
          <w:szCs w:val="28"/>
        </w:rPr>
        <w:t>第四章</w:t>
      </w:r>
      <w:r>
        <w:rPr>
          <w:sz w:val="28"/>
          <w:szCs w:val="28"/>
        </w:rPr>
        <w:t xml:space="preserve"> </w:t>
      </w:r>
      <w:r>
        <w:rPr>
          <w:rFonts w:hAnsi="新細明體"/>
          <w:sz w:val="28"/>
          <w:szCs w:val="28"/>
        </w:rPr>
        <w:t>保障對象之</w:t>
      </w:r>
      <w:r>
        <w:rPr>
          <w:rStyle w:val="stext1"/>
          <w:rFonts w:hAnsi="新細明體"/>
          <w:sz w:val="28"/>
          <w:szCs w:val="28"/>
        </w:rPr>
        <w:t>修法建議</w:t>
      </w:r>
      <w:r>
        <w:rPr>
          <w:sz w:val="28"/>
          <w:szCs w:val="28"/>
        </w:rPr>
        <w:t xml:space="preserve">  ………………………………………47</w:t>
      </w:r>
    </w:p>
    <w:p w:rsidR="00000000" w:rsidRDefault="00995866">
      <w:pPr>
        <w:spacing w:line="440" w:lineRule="atLeast"/>
        <w:jc w:val="distribute"/>
        <w:rPr>
          <w:sz w:val="28"/>
          <w:szCs w:val="28"/>
        </w:rPr>
      </w:pPr>
      <w:r>
        <w:rPr>
          <w:rFonts w:hAnsi="新細明體"/>
          <w:sz w:val="28"/>
          <w:szCs w:val="28"/>
        </w:rPr>
        <w:t>第五章</w:t>
      </w:r>
      <w:r>
        <w:rPr>
          <w:sz w:val="28"/>
          <w:szCs w:val="28"/>
        </w:rPr>
        <w:t xml:space="preserve"> </w:t>
      </w:r>
      <w:r>
        <w:rPr>
          <w:rFonts w:hAnsi="新細明體"/>
          <w:sz w:val="28"/>
          <w:szCs w:val="28"/>
        </w:rPr>
        <w:t>我國公務人員保障法中之救濟類型</w:t>
      </w:r>
      <w:r>
        <w:rPr>
          <w:sz w:val="28"/>
          <w:szCs w:val="28"/>
        </w:rPr>
        <w:t>…………………………49</w:t>
      </w:r>
    </w:p>
    <w:p w:rsidR="00000000" w:rsidRDefault="00995866">
      <w:pPr>
        <w:spacing w:line="440" w:lineRule="atLeast"/>
        <w:jc w:val="distribute"/>
      </w:pPr>
      <w:r>
        <w:rPr>
          <w:rFonts w:hAnsi="新細明體"/>
        </w:rPr>
        <w:t>第一節</w:t>
      </w:r>
      <w:r>
        <w:t xml:space="preserve"> </w:t>
      </w:r>
      <w:r>
        <w:rPr>
          <w:rFonts w:hAnsi="新細明體"/>
        </w:rPr>
        <w:t>概說</w:t>
      </w:r>
      <w:r>
        <w:t>…………………………………………………………………………49</w:t>
      </w:r>
    </w:p>
    <w:p w:rsidR="00000000" w:rsidRDefault="00995866">
      <w:pPr>
        <w:numPr>
          <w:ilvl w:val="0"/>
          <w:numId w:val="11"/>
        </w:numPr>
        <w:spacing w:line="440" w:lineRule="atLeast"/>
        <w:jc w:val="distribute"/>
      </w:pPr>
      <w:r>
        <w:t xml:space="preserve"> </w:t>
      </w:r>
      <w:r>
        <w:rPr>
          <w:rFonts w:hAnsi="新細明體"/>
        </w:rPr>
        <w:t>復審制度</w:t>
      </w:r>
      <w:r>
        <w:t>…</w:t>
      </w:r>
      <w:r>
        <w:t>…………………………………………………………………50</w:t>
      </w:r>
    </w:p>
    <w:p w:rsidR="00000000" w:rsidRDefault="00995866">
      <w:pPr>
        <w:spacing w:line="440" w:lineRule="atLeast"/>
        <w:jc w:val="distribute"/>
      </w:pPr>
      <w:r>
        <w:rPr>
          <w:rFonts w:hAnsi="新細明體"/>
        </w:rPr>
        <w:t>第三節</w:t>
      </w:r>
      <w:r>
        <w:t xml:space="preserve"> </w:t>
      </w:r>
      <w:r>
        <w:rPr>
          <w:rFonts w:hAnsi="新細明體"/>
        </w:rPr>
        <w:t>申訴及再申訴制度</w:t>
      </w:r>
      <w:r>
        <w:t>…………………………………………………………54</w:t>
      </w:r>
    </w:p>
    <w:p w:rsidR="00000000" w:rsidRDefault="00995866">
      <w:pPr>
        <w:spacing w:line="440" w:lineRule="atLeast"/>
        <w:jc w:val="distribute"/>
      </w:pPr>
      <w:r>
        <w:rPr>
          <w:rFonts w:hAnsi="新細明體"/>
        </w:rPr>
        <w:t>第四節</w:t>
      </w:r>
      <w:r>
        <w:t xml:space="preserve"> </w:t>
      </w:r>
      <w:r>
        <w:rPr>
          <w:rFonts w:hAnsi="新細明體"/>
        </w:rPr>
        <w:t>暫時性權利保護制度</w:t>
      </w:r>
      <w:r>
        <w:t>………………………………………………………57</w:t>
      </w:r>
    </w:p>
    <w:p w:rsidR="00000000" w:rsidRDefault="00995866">
      <w:pPr>
        <w:spacing w:line="440" w:lineRule="atLeast"/>
        <w:jc w:val="distribute"/>
        <w:rPr>
          <w:sz w:val="28"/>
          <w:szCs w:val="28"/>
        </w:rPr>
      </w:pPr>
      <w:r>
        <w:rPr>
          <w:rFonts w:hAnsi="新細明體"/>
          <w:sz w:val="28"/>
          <w:szCs w:val="28"/>
        </w:rPr>
        <w:t>第六章</w:t>
      </w:r>
      <w:r>
        <w:rPr>
          <w:sz w:val="28"/>
          <w:szCs w:val="28"/>
        </w:rPr>
        <w:t xml:space="preserve"> </w:t>
      </w:r>
      <w:r>
        <w:rPr>
          <w:rFonts w:hAnsi="新細明體"/>
          <w:sz w:val="28"/>
          <w:szCs w:val="28"/>
        </w:rPr>
        <w:t>外國公務人員保障制度中之救濟類型</w:t>
      </w:r>
      <w:r>
        <w:rPr>
          <w:sz w:val="28"/>
          <w:szCs w:val="28"/>
        </w:rPr>
        <w:t>………………………65</w:t>
      </w:r>
    </w:p>
    <w:p w:rsidR="00000000" w:rsidRDefault="00995866">
      <w:pPr>
        <w:spacing w:line="440" w:lineRule="atLeast"/>
        <w:jc w:val="distribute"/>
      </w:pPr>
      <w:r>
        <w:rPr>
          <w:rFonts w:hAnsi="新細明體"/>
        </w:rPr>
        <w:t>第一節</w:t>
      </w:r>
      <w:r>
        <w:t xml:space="preserve"> </w:t>
      </w:r>
      <w:r>
        <w:rPr>
          <w:rFonts w:hAnsi="新細明體"/>
        </w:rPr>
        <w:t>德國公務人員保障制度中之救濟類型</w:t>
      </w:r>
      <w:r>
        <w:t>…………………………………65</w:t>
      </w:r>
    </w:p>
    <w:p w:rsidR="00000000" w:rsidRDefault="00995866">
      <w:pPr>
        <w:spacing w:line="440" w:lineRule="atLeast"/>
        <w:jc w:val="distribute"/>
      </w:pPr>
      <w:r>
        <w:rPr>
          <w:rFonts w:hAnsi="新細明體"/>
        </w:rPr>
        <w:t>第二節</w:t>
      </w:r>
      <w:r>
        <w:t xml:space="preserve"> </w:t>
      </w:r>
      <w:r>
        <w:rPr>
          <w:rFonts w:hAnsi="新細明體"/>
        </w:rPr>
        <w:t>日本公務人員保障制度中之救濟類型</w:t>
      </w:r>
      <w:r>
        <w:t>……………………………………74</w:t>
      </w:r>
    </w:p>
    <w:p w:rsidR="00000000" w:rsidRDefault="00995866">
      <w:pPr>
        <w:overflowPunct w:val="0"/>
        <w:autoSpaceDE w:val="0"/>
        <w:autoSpaceDN w:val="0"/>
        <w:adjustRightInd w:val="0"/>
        <w:spacing w:line="440" w:lineRule="atLeast"/>
        <w:jc w:val="distribute"/>
        <w:rPr>
          <w:rStyle w:val="stext1"/>
          <w:sz w:val="28"/>
          <w:szCs w:val="28"/>
        </w:rPr>
      </w:pPr>
      <w:r>
        <w:rPr>
          <w:rFonts w:hAnsi="新細明體"/>
          <w:sz w:val="28"/>
          <w:szCs w:val="28"/>
        </w:rPr>
        <w:t>第七章</w:t>
      </w:r>
      <w:r>
        <w:rPr>
          <w:sz w:val="28"/>
          <w:szCs w:val="28"/>
        </w:rPr>
        <w:t xml:space="preserve"> </w:t>
      </w:r>
      <w:r>
        <w:rPr>
          <w:rFonts w:hAnsi="新細明體"/>
          <w:sz w:val="28"/>
          <w:szCs w:val="28"/>
        </w:rPr>
        <w:t>救濟類型</w:t>
      </w:r>
      <w:r>
        <w:rPr>
          <w:rStyle w:val="stext1"/>
          <w:rFonts w:hAnsi="新細明體"/>
          <w:sz w:val="28"/>
          <w:szCs w:val="28"/>
        </w:rPr>
        <w:t>之修法建議</w:t>
      </w:r>
      <w:r>
        <w:rPr>
          <w:rStyle w:val="stext1"/>
          <w:sz w:val="28"/>
          <w:szCs w:val="28"/>
        </w:rPr>
        <w:t xml:space="preserve"> </w:t>
      </w:r>
      <w:r>
        <w:rPr>
          <w:sz w:val="28"/>
          <w:szCs w:val="28"/>
        </w:rPr>
        <w:t xml:space="preserve"> ………………………………………81</w:t>
      </w:r>
    </w:p>
    <w:p w:rsidR="00000000" w:rsidRDefault="00995866">
      <w:pPr>
        <w:overflowPunct w:val="0"/>
        <w:autoSpaceDE w:val="0"/>
        <w:autoSpaceDN w:val="0"/>
        <w:adjustRightInd w:val="0"/>
        <w:spacing w:line="440" w:lineRule="atLeast"/>
        <w:jc w:val="distribute"/>
        <w:rPr>
          <w:sz w:val="28"/>
          <w:szCs w:val="28"/>
        </w:rPr>
      </w:pPr>
      <w:r>
        <w:rPr>
          <w:rFonts w:hAnsi="新細明體"/>
          <w:sz w:val="28"/>
          <w:szCs w:val="28"/>
        </w:rPr>
        <w:lastRenderedPageBreak/>
        <w:t>第八章</w:t>
      </w:r>
      <w:r>
        <w:rPr>
          <w:sz w:val="28"/>
          <w:szCs w:val="28"/>
        </w:rPr>
        <w:t xml:space="preserve"> </w:t>
      </w:r>
      <w:r>
        <w:rPr>
          <w:rFonts w:hAnsi="新細明體"/>
          <w:sz w:val="28"/>
          <w:szCs w:val="28"/>
        </w:rPr>
        <w:t>結論</w:t>
      </w:r>
      <w:r>
        <w:rPr>
          <w:sz w:val="28"/>
          <w:szCs w:val="28"/>
        </w:rPr>
        <w:t xml:space="preserve"> ………………………</w:t>
      </w:r>
      <w:r>
        <w:rPr>
          <w:sz w:val="28"/>
          <w:szCs w:val="28"/>
        </w:rPr>
        <w:t>…………………………………87</w:t>
      </w:r>
    </w:p>
    <w:p w:rsidR="00000000" w:rsidRDefault="00995866">
      <w:pPr>
        <w:overflowPunct w:val="0"/>
        <w:autoSpaceDE w:val="0"/>
        <w:autoSpaceDN w:val="0"/>
        <w:adjustRightInd w:val="0"/>
        <w:spacing w:line="440" w:lineRule="atLeast"/>
        <w:jc w:val="distribute"/>
        <w:rPr>
          <w:sz w:val="28"/>
          <w:szCs w:val="28"/>
        </w:rPr>
      </w:pPr>
      <w:r>
        <w:rPr>
          <w:rFonts w:hAnsi="新細明體"/>
          <w:sz w:val="28"/>
          <w:szCs w:val="28"/>
        </w:rPr>
        <w:t>第九章</w:t>
      </w:r>
      <w:r>
        <w:rPr>
          <w:sz w:val="28"/>
          <w:szCs w:val="28"/>
        </w:rPr>
        <w:t xml:space="preserve"> </w:t>
      </w:r>
      <w:r>
        <w:rPr>
          <w:rFonts w:hAnsi="新細明體"/>
          <w:sz w:val="28"/>
          <w:szCs w:val="28"/>
        </w:rPr>
        <w:t>公務人員保障法中保障對象與救濟類型修正草案總說明及條文對造表</w:t>
      </w:r>
      <w:r>
        <w:rPr>
          <w:sz w:val="28"/>
          <w:szCs w:val="28"/>
        </w:rPr>
        <w:t xml:space="preserve"> ………………………………………………………………93</w:t>
      </w:r>
    </w:p>
    <w:p w:rsidR="00000000" w:rsidRDefault="00995866">
      <w:pPr>
        <w:spacing w:line="440" w:lineRule="atLeast"/>
        <w:jc w:val="distribute"/>
      </w:pPr>
      <w:r>
        <w:rPr>
          <w:rFonts w:hAnsi="新細明體"/>
        </w:rPr>
        <w:t>參考文獻</w:t>
      </w:r>
      <w:r>
        <w:t>……………………………………………………………………………102</w:t>
      </w:r>
    </w:p>
    <w:p w:rsidR="00000000" w:rsidRDefault="00995866">
      <w:pPr>
        <w:overflowPunct w:val="0"/>
        <w:autoSpaceDE w:val="0"/>
        <w:autoSpaceDN w:val="0"/>
        <w:adjustRightInd w:val="0"/>
        <w:spacing w:line="440" w:lineRule="atLeast"/>
        <w:jc w:val="distribute"/>
      </w:pPr>
      <w:r>
        <w:rPr>
          <w:rFonts w:hAnsi="新細明體"/>
        </w:rPr>
        <w:t>附件一、座談會紀錄</w:t>
      </w:r>
      <w:r>
        <w:t>………………………………………………………………105</w:t>
      </w:r>
      <w:r>
        <w:rPr>
          <w:rFonts w:hAnsi="新細明體"/>
        </w:rPr>
        <w:t>附件二、專家訪談意見</w:t>
      </w:r>
      <w:r>
        <w:t>……………………………………………………………134</w:t>
      </w:r>
    </w:p>
    <w:p w:rsidR="00000000" w:rsidRDefault="00995866">
      <w:pPr>
        <w:spacing w:line="440" w:lineRule="atLeast"/>
        <w:jc w:val="distribute"/>
      </w:pPr>
      <w:r>
        <w:t>附件三、德國公務員法基準法</w:t>
      </w:r>
      <w:r>
        <w:t>……………………………………………………139</w:t>
      </w:r>
    </w:p>
    <w:p w:rsidR="00000000" w:rsidRDefault="00995866">
      <w:pPr>
        <w:tabs>
          <w:tab w:val="left" w:pos="0"/>
        </w:tabs>
        <w:snapToGrid w:val="0"/>
        <w:spacing w:line="440" w:lineRule="atLeast"/>
        <w:jc w:val="distribute"/>
      </w:pPr>
      <w:r>
        <w:rPr>
          <w:rFonts w:hAnsi="新細明體"/>
          <w:bCs/>
        </w:rPr>
        <w:t>附件四、期中報告審查會會議紀錄</w:t>
      </w:r>
      <w:r>
        <w:t>…………………………………………</w:t>
      </w:r>
      <w:r>
        <w:t>……140</w:t>
      </w:r>
    </w:p>
    <w:p w:rsidR="00000000" w:rsidRDefault="00995866">
      <w:pPr>
        <w:tabs>
          <w:tab w:val="left" w:pos="0"/>
        </w:tabs>
        <w:snapToGrid w:val="0"/>
        <w:spacing w:line="440" w:lineRule="atLeast"/>
        <w:jc w:val="distribute"/>
        <w:rPr>
          <w:bCs/>
        </w:rPr>
      </w:pPr>
      <w:r>
        <w:rPr>
          <w:rFonts w:hAnsi="新細明體"/>
          <w:bCs/>
        </w:rPr>
        <w:t>附件五、期末報告審查會會議紀錄</w:t>
      </w:r>
      <w:r>
        <w:t>………………………………………………142</w:t>
      </w: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000000" w:rsidRDefault="00995866">
      <w:pPr>
        <w:jc w:val="center"/>
        <w:rPr>
          <w:rFonts w:hint="eastAsia"/>
          <w:b/>
          <w:sz w:val="32"/>
          <w:szCs w:val="32"/>
        </w:rPr>
      </w:pPr>
    </w:p>
    <w:p w:rsidR="00995866" w:rsidRDefault="00995866">
      <w:pPr>
        <w:rPr>
          <w:rFonts w:hint="eastAsia"/>
          <w:b/>
          <w:sz w:val="32"/>
          <w:szCs w:val="32"/>
        </w:rPr>
      </w:pPr>
    </w:p>
    <w:sectPr w:rsidR="00995866">
      <w:footerReference w:type="even" r:id="rId7"/>
      <w:footerReference w:type="default" r:id="rId8"/>
      <w:pgSz w:w="11906" w:h="16838"/>
      <w:pgMar w:top="1440" w:right="1800" w:bottom="1440" w:left="1800" w:header="851" w:footer="992" w:gutter="0"/>
      <w:pgNumType w:fmt="upp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66" w:rsidRDefault="00995866">
      <w:r>
        <w:separator/>
      </w:r>
    </w:p>
  </w:endnote>
  <w:endnote w:type="continuationSeparator" w:id="0">
    <w:p w:rsidR="00995866" w:rsidRDefault="0099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586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000" w:rsidRDefault="0099586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5866">
    <w:pPr>
      <w:pStyle w:val="a4"/>
      <w:jc w:val="center"/>
    </w:pPr>
    <w:r>
      <w:fldChar w:fldCharType="begin"/>
    </w:r>
    <w:r>
      <w:instrText xml:space="preserve"> PAGE   \* MERGEFORMAT </w:instrText>
    </w:r>
    <w:r>
      <w:fldChar w:fldCharType="separate"/>
    </w:r>
    <w:r w:rsidR="00AE3B48" w:rsidRPr="00AE3B48">
      <w:rPr>
        <w:noProof/>
        <w:lang w:val="zh-TW"/>
      </w:rPr>
      <w:t>II</w:t>
    </w:r>
    <w:r>
      <w:fldChar w:fldCharType="end"/>
    </w:r>
  </w:p>
  <w:p w:rsidR="00000000" w:rsidRDefault="0099586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66" w:rsidRDefault="00995866">
      <w:r>
        <w:separator/>
      </w:r>
    </w:p>
  </w:footnote>
  <w:footnote w:type="continuationSeparator" w:id="0">
    <w:p w:rsidR="00995866" w:rsidRDefault="00995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02C5B"/>
    <w:multiLevelType w:val="hybridMultilevel"/>
    <w:tmpl w:val="D284B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9471DE"/>
    <w:multiLevelType w:val="hybridMultilevel"/>
    <w:tmpl w:val="9B8E3680"/>
    <w:lvl w:ilvl="0" w:tplc="D0AA89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rPr>
        <w:rFonts w:hint="eastAsia"/>
      </w:rPr>
    </w:lvl>
    <w:lvl w:ilvl="1" w:tplc="8EDAA3B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8D3B7E"/>
    <w:multiLevelType w:val="multilevel"/>
    <w:tmpl w:val="2D8EEA0E"/>
    <w:lvl w:ilvl="0">
      <w:start w:val="1"/>
      <w:numFmt w:val="taiwaneseCountingThousand"/>
      <w:lvlText w:val="第%1節"/>
      <w:lvlJc w:val="left"/>
      <w:pPr>
        <w:ind w:left="720" w:hanging="720"/>
      </w:pPr>
      <w:rPr>
        <w:rFonts w:hint="default"/>
      </w:rPr>
    </w:lvl>
    <w:lvl w:ilvl="1">
      <w:start w:val="1"/>
      <w:numFmt w:val="ideographLegalTraditional"/>
      <w:lvlText w:val="%2、"/>
      <w:lvlJc w:val="left"/>
      <w:pPr>
        <w:tabs>
          <w:tab w:val="num" w:pos="960"/>
        </w:tabs>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2367CB"/>
    <w:multiLevelType w:val="hybridMultilevel"/>
    <w:tmpl w:val="216C8B8C"/>
    <w:lvl w:ilvl="0" w:tplc="04090015">
      <w:start w:val="1"/>
      <w:numFmt w:val="taiwaneseCountingThousand"/>
      <w:lvlText w:val="%1、"/>
      <w:lvlJc w:val="left"/>
      <w:pPr>
        <w:ind w:left="480" w:hanging="480"/>
      </w:pPr>
      <w:rPr>
        <w:rFonts w:hint="default"/>
      </w:rPr>
    </w:lvl>
    <w:lvl w:ilvl="1" w:tplc="18722ACE">
      <w:start w:val="1"/>
      <w:numFmt w:val="ideographLegalTradition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C81299"/>
    <w:multiLevelType w:val="hybridMultilevel"/>
    <w:tmpl w:val="2CA28F06"/>
    <w:lvl w:ilvl="0" w:tplc="6988FA90">
      <w:start w:val="2"/>
      <w:numFmt w:val="taiwaneseCountingThousand"/>
      <w:lvlText w:val="第%1節"/>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F641B03"/>
    <w:multiLevelType w:val="hybridMultilevel"/>
    <w:tmpl w:val="E422ACDC"/>
    <w:lvl w:ilvl="0" w:tplc="3FE6BAAA">
      <w:start w:val="1"/>
      <w:numFmt w:val="ideographLegalTraditional"/>
      <w:lvlText w:val="%1、"/>
      <w:lvlJc w:val="left"/>
      <w:pPr>
        <w:tabs>
          <w:tab w:val="num" w:pos="1560"/>
        </w:tabs>
        <w:ind w:left="1560" w:hanging="480"/>
      </w:pPr>
      <w:rPr>
        <w:rFonts w:hint="default"/>
      </w:rPr>
    </w:lvl>
    <w:lvl w:ilvl="1" w:tplc="1FC8A03A">
      <w:start w:val="1"/>
      <w:numFmt w:val="taiwaneseCountingThousand"/>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15:restartNumberingAfterBreak="0">
    <w:nsid w:val="40F708C1"/>
    <w:multiLevelType w:val="hybridMultilevel"/>
    <w:tmpl w:val="2D8EEA0E"/>
    <w:lvl w:ilvl="0" w:tplc="4D065F94">
      <w:start w:val="1"/>
      <w:numFmt w:val="taiwaneseCountingThousand"/>
      <w:lvlText w:val="第%1節"/>
      <w:lvlJc w:val="left"/>
      <w:pPr>
        <w:ind w:left="720" w:hanging="720"/>
      </w:pPr>
      <w:rPr>
        <w:rFonts w:hint="default"/>
      </w:rPr>
    </w:lvl>
    <w:lvl w:ilvl="1" w:tplc="C2FA81E0">
      <w:start w:val="1"/>
      <w:numFmt w:val="ideographLegalTraditional"/>
      <w:lvlText w:val="%2、"/>
      <w:lvlJc w:val="left"/>
      <w:pPr>
        <w:tabs>
          <w:tab w:val="num" w:pos="480"/>
        </w:tabs>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0A08EB"/>
    <w:multiLevelType w:val="hybridMultilevel"/>
    <w:tmpl w:val="86444D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775520"/>
    <w:multiLevelType w:val="hybridMultilevel"/>
    <w:tmpl w:val="85A218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26268C"/>
    <w:multiLevelType w:val="hybridMultilevel"/>
    <w:tmpl w:val="74F41B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10"/>
  </w:num>
  <w:num w:numId="4">
    <w:abstractNumId w:val="0"/>
  </w:num>
  <w:num w:numId="5">
    <w:abstractNumId w:val="9"/>
  </w:num>
  <w:num w:numId="6">
    <w:abstractNumId w:val="8"/>
  </w:num>
  <w:num w:numId="7">
    <w:abstractNumId w:val="3"/>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48"/>
    <w:rsid w:val="00995866"/>
    <w:rsid w:val="00AE3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232544-5943-4939-8C26-2D65C4AF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textDirection w:val="lrTbV"/>
      <w:textAlignment w:val="baseline"/>
    </w:pPr>
    <w:rPr>
      <w:rFonts w:ascii="標楷體" w:eastAsia="標楷體"/>
      <w:sz w:val="28"/>
      <w:szCs w:val="20"/>
    </w:rPr>
  </w:style>
  <w:style w:type="character" w:customStyle="1" w:styleId="stext1">
    <w:name w:val="stext1"/>
    <w:basedOn w:val="a1"/>
    <w:rPr>
      <w:sz w:val="19"/>
      <w:szCs w:val="19"/>
    </w:rPr>
  </w:style>
  <w:style w:type="paragraph" w:styleId="a4">
    <w:name w:val="footer"/>
    <w:basedOn w:val="a0"/>
    <w:semiHidden/>
    <w:pPr>
      <w:tabs>
        <w:tab w:val="center" w:pos="4153"/>
        <w:tab w:val="right" w:pos="8306"/>
      </w:tabs>
      <w:snapToGrid w:val="0"/>
    </w:pPr>
    <w:rPr>
      <w:sz w:val="20"/>
      <w:szCs w:val="20"/>
    </w:rPr>
  </w:style>
  <w:style w:type="character" w:styleId="a5">
    <w:name w:val="page number"/>
    <w:basedOn w:val="a1"/>
    <w:semiHidden/>
  </w:style>
  <w:style w:type="paragraph" w:styleId="a6">
    <w:name w:val="header"/>
    <w:basedOn w:val="a0"/>
    <w:semiHidden/>
    <w:pPr>
      <w:tabs>
        <w:tab w:val="center" w:pos="4153"/>
        <w:tab w:val="right" w:pos="8306"/>
      </w:tabs>
      <w:snapToGrid w:val="0"/>
    </w:pPr>
    <w:rPr>
      <w:sz w:val="20"/>
      <w:szCs w:val="20"/>
    </w:rPr>
  </w:style>
  <w:style w:type="paragraph" w:styleId="a7">
    <w:name w:val="footnote text"/>
    <w:basedOn w:val="a0"/>
    <w:semiHidden/>
    <w:pPr>
      <w:snapToGrid w:val="0"/>
    </w:pPr>
    <w:rPr>
      <w:sz w:val="20"/>
      <w:szCs w:val="20"/>
    </w:rPr>
  </w:style>
  <w:style w:type="character" w:customStyle="1" w:styleId="a8">
    <w:name w:val=" 字元 字元"/>
    <w:basedOn w:val="a1"/>
    <w:semiHidden/>
    <w:rPr>
      <w:rFonts w:eastAsia="新細明體"/>
      <w:kern w:val="2"/>
      <w:lang w:val="en-US" w:eastAsia="zh-TW" w:bidi="ar-SA"/>
    </w:rPr>
  </w:style>
  <w:style w:type="character" w:styleId="a9">
    <w:name w:val="footnote reference"/>
    <w:basedOn w:val="a1"/>
    <w:semiHidden/>
    <w:rPr>
      <w:vertAlign w:val="superscript"/>
    </w:rPr>
  </w:style>
  <w:style w:type="character" w:customStyle="1" w:styleId="1">
    <w:name w:val=" 字元 字元1"/>
    <w:basedOn w:val="a1"/>
    <w:rPr>
      <w:kern w:val="2"/>
    </w:rPr>
  </w:style>
  <w:style w:type="paragraph" w:styleId="Web">
    <w:name w:val="Normal (Web)"/>
    <w:basedOn w:val="a0"/>
    <w:semiHidden/>
    <w:pPr>
      <w:widowControl/>
      <w:spacing w:before="100" w:beforeAutospacing="1" w:after="100" w:afterAutospacing="1" w:line="360"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3398</Characters>
  <Application>Microsoft Office Word</Application>
  <DocSecurity>0</DocSecurity>
  <Lines>28</Lines>
  <Paragraphs>7</Paragraphs>
  <ScaleCrop>false</ScaleCrop>
  <Company>CMT</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第一章、前 言…………………………………………………………………………1</dc:title>
  <dc:subject/>
  <dc:creator>SuperXP</dc:creator>
  <cp:keywords/>
  <dc:description/>
  <cp:lastModifiedBy>卓卿雲</cp:lastModifiedBy>
  <cp:revision>2</cp:revision>
  <cp:lastPrinted>2008-11-24T13:06:00Z</cp:lastPrinted>
  <dcterms:created xsi:type="dcterms:W3CDTF">2021-09-17T10:08:00Z</dcterms:created>
  <dcterms:modified xsi:type="dcterms:W3CDTF">2021-09-17T10:08:00Z</dcterms:modified>
</cp:coreProperties>
</file>