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1256">
      <w:pPr>
        <w:overflowPunct w:val="0"/>
        <w:autoSpaceDE w:val="0"/>
        <w:autoSpaceDN w:val="0"/>
        <w:adjustRightInd w:val="0"/>
        <w:spacing w:beforeLines="50" w:before="180" w:afterLines="50" w:after="180" w:line="360" w:lineRule="auto"/>
        <w:ind w:left="539"/>
        <w:jc w:val="center"/>
        <w:rPr>
          <w:rFonts w:ascii="新細明體" w:hAnsi="新細明體" w:hint="eastAsia"/>
          <w:b/>
          <w:sz w:val="32"/>
          <w:szCs w:val="32"/>
        </w:rPr>
      </w:pPr>
      <w:bookmarkStart w:id="0" w:name="_GoBack"/>
      <w:bookmarkEnd w:id="0"/>
      <w:r>
        <w:rPr>
          <w:rFonts w:ascii="新細明體" w:hAnsi="新細明體" w:hint="eastAsia"/>
          <w:b/>
          <w:sz w:val="32"/>
          <w:szCs w:val="32"/>
        </w:rPr>
        <w:t>第八章</w:t>
      </w:r>
      <w:r>
        <w:rPr>
          <w:rFonts w:ascii="新細明體" w:hAnsi="新細明體" w:hint="eastAsia"/>
          <w:b/>
          <w:sz w:val="32"/>
          <w:szCs w:val="32"/>
        </w:rPr>
        <w:t xml:space="preserve"> </w:t>
      </w:r>
      <w:r>
        <w:rPr>
          <w:rFonts w:ascii="新細明體" w:hAnsi="新細明體" w:hint="eastAsia"/>
          <w:b/>
          <w:sz w:val="32"/>
          <w:szCs w:val="32"/>
        </w:rPr>
        <w:t>結</w:t>
      </w:r>
      <w:r>
        <w:rPr>
          <w:rFonts w:ascii="新細明體" w:hAnsi="新細明體" w:hint="eastAsia"/>
          <w:b/>
          <w:sz w:val="32"/>
          <w:szCs w:val="32"/>
        </w:rPr>
        <w:t xml:space="preserve"> </w:t>
      </w:r>
      <w:r>
        <w:rPr>
          <w:rFonts w:ascii="新細明體" w:hAnsi="新細明體" w:hint="eastAsia"/>
          <w:b/>
          <w:sz w:val="32"/>
          <w:szCs w:val="32"/>
        </w:rPr>
        <w:t>論</w:t>
      </w:r>
    </w:p>
    <w:p w:rsidR="00000000" w:rsidRDefault="00331256">
      <w:pPr>
        <w:spacing w:line="360" w:lineRule="auto"/>
        <w:ind w:firstLineChars="200" w:firstLine="480"/>
        <w:jc w:val="both"/>
        <w:rPr>
          <w:rFonts w:ascii="新細明體" w:hAnsi="新細明體" w:hint="eastAsia"/>
        </w:rPr>
      </w:pPr>
      <w:r>
        <w:rPr>
          <w:rFonts w:ascii="新細明體" w:hAnsi="新細明體" w:hint="eastAsia"/>
        </w:rPr>
        <w:t>綜合本研究中有關我國及外國公務人員保障制度中保障對象與救濟類型的介紹與檢討之後，可以發現我國與德日兩國主要有以下之差異，茲以表格歸納整理如下，以供參考：</w:t>
      </w:r>
      <w:r>
        <w:rPr>
          <w:rFonts w:ascii="新細明體" w:hAnsi="新細明體" w:hint="eastAsia"/>
        </w:rPr>
        <w:t xml:space="preserve"> </w:t>
      </w:r>
    </w:p>
    <w:p w:rsidR="00000000" w:rsidRDefault="00331256">
      <w:pPr>
        <w:spacing w:line="360" w:lineRule="auto"/>
        <w:ind w:firstLineChars="200" w:firstLine="480"/>
        <w:jc w:val="both"/>
        <w:rPr>
          <w:rFonts w:ascii="新細明體" w:hAnsi="新細明體"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2040"/>
        <w:gridCol w:w="2367"/>
      </w:tblGrid>
      <w:tr w:rsidR="00000000">
        <w:trPr>
          <w:jc w:val="center"/>
        </w:trPr>
        <w:tc>
          <w:tcPr>
            <w:tcW w:w="1068" w:type="dxa"/>
          </w:tcPr>
          <w:p w:rsidR="00000000" w:rsidRDefault="00331256">
            <w:pPr>
              <w:spacing w:line="360" w:lineRule="auto"/>
              <w:jc w:val="both"/>
              <w:rPr>
                <w:rFonts w:ascii="新細明體" w:hAnsi="新細明體" w:hint="eastAsia"/>
              </w:rPr>
            </w:pPr>
            <w:r>
              <w:rPr>
                <w:rFonts w:ascii="新細明體" w:hAnsi="新細明體" w:hint="eastAsia"/>
              </w:rPr>
              <w:t>比較國別及項目</w:t>
            </w:r>
          </w:p>
        </w:tc>
        <w:tc>
          <w:tcPr>
            <w:tcW w:w="2280" w:type="dxa"/>
          </w:tcPr>
          <w:p w:rsidR="00000000" w:rsidRDefault="00331256">
            <w:pPr>
              <w:spacing w:line="360" w:lineRule="auto"/>
              <w:jc w:val="both"/>
              <w:rPr>
                <w:rFonts w:ascii="新細明體" w:hAnsi="新細明體" w:hint="eastAsia"/>
              </w:rPr>
            </w:pPr>
            <w:r>
              <w:rPr>
                <w:rFonts w:ascii="新細明體" w:hAnsi="新細明體" w:hint="eastAsia"/>
              </w:rPr>
              <w:t>我國</w:t>
            </w:r>
          </w:p>
        </w:tc>
        <w:tc>
          <w:tcPr>
            <w:tcW w:w="2040" w:type="dxa"/>
          </w:tcPr>
          <w:p w:rsidR="00000000" w:rsidRDefault="00331256">
            <w:pPr>
              <w:spacing w:line="360" w:lineRule="auto"/>
              <w:jc w:val="both"/>
              <w:rPr>
                <w:rFonts w:ascii="新細明體" w:hAnsi="新細明體" w:hint="eastAsia"/>
              </w:rPr>
            </w:pPr>
            <w:r>
              <w:rPr>
                <w:rFonts w:ascii="新細明體" w:hAnsi="新細明體" w:hint="eastAsia"/>
              </w:rPr>
              <w:t>德國</w:t>
            </w:r>
          </w:p>
        </w:tc>
        <w:tc>
          <w:tcPr>
            <w:tcW w:w="2367" w:type="dxa"/>
          </w:tcPr>
          <w:p w:rsidR="00000000" w:rsidRDefault="00331256">
            <w:pPr>
              <w:spacing w:line="360" w:lineRule="auto"/>
              <w:jc w:val="both"/>
              <w:rPr>
                <w:rFonts w:ascii="新細明體" w:hAnsi="新細明體" w:hint="eastAsia"/>
              </w:rPr>
            </w:pPr>
            <w:r>
              <w:rPr>
                <w:rFonts w:ascii="新細明體" w:hAnsi="新細明體" w:hint="eastAsia"/>
              </w:rPr>
              <w:t>日本</w:t>
            </w:r>
          </w:p>
        </w:tc>
      </w:tr>
      <w:tr w:rsidR="00000000">
        <w:trPr>
          <w:jc w:val="center"/>
        </w:trPr>
        <w:tc>
          <w:tcPr>
            <w:tcW w:w="1068" w:type="dxa"/>
          </w:tcPr>
          <w:p w:rsidR="00000000" w:rsidRDefault="00331256">
            <w:pPr>
              <w:spacing w:line="360" w:lineRule="auto"/>
              <w:jc w:val="both"/>
              <w:rPr>
                <w:rFonts w:ascii="新細明體" w:hAnsi="新細明體" w:hint="eastAsia"/>
              </w:rPr>
            </w:pPr>
            <w:r>
              <w:rPr>
                <w:rFonts w:ascii="新細明體" w:hAnsi="新細明體" w:hint="eastAsia"/>
              </w:rPr>
              <w:t>保障</w:t>
            </w:r>
          </w:p>
          <w:p w:rsidR="00000000" w:rsidRDefault="00331256">
            <w:pPr>
              <w:spacing w:line="360" w:lineRule="auto"/>
              <w:jc w:val="both"/>
              <w:rPr>
                <w:rFonts w:ascii="新細明體" w:hAnsi="新細明體" w:hint="eastAsia"/>
              </w:rPr>
            </w:pPr>
            <w:r>
              <w:rPr>
                <w:rFonts w:ascii="新細明體" w:hAnsi="新細明體" w:hint="eastAsia"/>
              </w:rPr>
              <w:t>對象</w:t>
            </w:r>
          </w:p>
        </w:tc>
        <w:tc>
          <w:tcPr>
            <w:tcW w:w="2280" w:type="dxa"/>
          </w:tcPr>
          <w:p w:rsidR="00000000" w:rsidRDefault="00331256">
            <w:pPr>
              <w:spacing w:line="360" w:lineRule="auto"/>
              <w:rPr>
                <w:rFonts w:ascii="新細明體" w:hAnsi="新細明體" w:hint="eastAsia"/>
              </w:rPr>
            </w:pPr>
            <w:r>
              <w:rPr>
                <w:rFonts w:ascii="新細明體" w:hAnsi="新細明體" w:hint="eastAsia"/>
                <w:b/>
              </w:rPr>
              <w:t>適用對象：</w:t>
            </w:r>
            <w:r>
              <w:rPr>
                <w:rFonts w:ascii="新細明體" w:hAnsi="新細明體" w:hint="eastAsia"/>
              </w:rPr>
              <w:t>法定機關依法任用之有給專任人員及公立學校編制內依法任用之職員。不包括政務人員、民選公職人員。</w:t>
            </w:r>
          </w:p>
          <w:p w:rsidR="00000000" w:rsidRDefault="00331256">
            <w:pPr>
              <w:spacing w:line="360" w:lineRule="auto"/>
              <w:jc w:val="both"/>
              <w:rPr>
                <w:rFonts w:ascii="新細明體" w:hAnsi="新細明體" w:hint="eastAsia"/>
                <w:b/>
              </w:rPr>
            </w:pPr>
          </w:p>
          <w:p w:rsidR="00000000" w:rsidRDefault="00331256">
            <w:pPr>
              <w:spacing w:line="360" w:lineRule="auto"/>
              <w:jc w:val="both"/>
              <w:rPr>
                <w:rFonts w:ascii="新細明體" w:hAnsi="新細明體" w:hint="eastAsia"/>
              </w:rPr>
            </w:pPr>
            <w:proofErr w:type="gramStart"/>
            <w:r>
              <w:rPr>
                <w:rFonts w:ascii="新細明體" w:hAnsi="新細明體" w:hint="eastAsia"/>
                <w:b/>
              </w:rPr>
              <w:t>準</w:t>
            </w:r>
            <w:proofErr w:type="gramEnd"/>
            <w:r>
              <w:rPr>
                <w:rFonts w:ascii="新細明體" w:hAnsi="新細明體" w:hint="eastAsia"/>
                <w:b/>
              </w:rPr>
              <w:t>用對象</w:t>
            </w:r>
            <w:r>
              <w:rPr>
                <w:rFonts w:ascii="新細明體" w:hAnsi="新細明體" w:hint="eastAsia"/>
              </w:rPr>
              <w:t>：一、教育人員任用條例施行前已進用未經銓敘合格之公立學校職員。二、私立學校改制為公立學校未具任用資格之留用人員。三、公營事業依法任用之人員。四、</w:t>
            </w:r>
            <w:r>
              <w:rPr>
                <w:rFonts w:ascii="新細明體" w:hAnsi="新細明體" w:hint="eastAsia"/>
              </w:rPr>
              <w:lastRenderedPageBreak/>
              <w:t>各機關依法派用、聘用、聘任、僱用</w:t>
            </w:r>
            <w:r>
              <w:rPr>
                <w:rFonts w:ascii="新細明體" w:hAnsi="新細明體" w:hint="eastAsia"/>
              </w:rPr>
              <w:t>或留用人員。五、應各種公務人員考試錄取</w:t>
            </w:r>
            <w:proofErr w:type="gramStart"/>
            <w:r>
              <w:rPr>
                <w:rFonts w:ascii="新細明體" w:hAnsi="新細明體" w:hint="eastAsia"/>
              </w:rPr>
              <w:t>佔</w:t>
            </w:r>
            <w:proofErr w:type="gramEnd"/>
            <w:r>
              <w:rPr>
                <w:rFonts w:ascii="新細明體" w:hAnsi="新細明體" w:hint="eastAsia"/>
              </w:rPr>
              <w:t>法定機關、公立學校編制職缺參加學習或訓練之人員。</w:t>
            </w:r>
          </w:p>
        </w:tc>
        <w:tc>
          <w:tcPr>
            <w:tcW w:w="2040" w:type="dxa"/>
          </w:tcPr>
          <w:p w:rsidR="00000000" w:rsidRDefault="00331256">
            <w:pPr>
              <w:spacing w:line="360" w:lineRule="auto"/>
              <w:jc w:val="both"/>
              <w:rPr>
                <w:rFonts w:ascii="新細明體" w:hAnsi="新細明體" w:hint="eastAsia"/>
              </w:rPr>
            </w:pPr>
            <w:r>
              <w:rPr>
                <w:rFonts w:ascii="新細明體" w:hAnsi="新細明體" w:hint="eastAsia"/>
              </w:rPr>
              <w:lastRenderedPageBreak/>
              <w:t>聯邦公務人員係指與聯邦，或聯邦直接設置之公法社團、公法上營造物或公法財團，處於公法上勤務與忠誠關係之人員。不包括與行政主體處於私法上勞動契約關係之勞工。</w:t>
            </w:r>
          </w:p>
        </w:tc>
        <w:tc>
          <w:tcPr>
            <w:tcW w:w="2367" w:type="dxa"/>
          </w:tcPr>
          <w:p w:rsidR="00000000" w:rsidRDefault="00331256">
            <w:pPr>
              <w:spacing w:line="360" w:lineRule="auto"/>
              <w:jc w:val="both"/>
              <w:rPr>
                <w:rFonts w:ascii="新細明體" w:hAnsi="新細明體" w:hint="eastAsia"/>
              </w:rPr>
            </w:pPr>
            <w:r>
              <w:rPr>
                <w:rFonts w:ascii="新細明體" w:hAnsi="新細明體" w:hint="eastAsia"/>
                <w:b/>
              </w:rPr>
              <w:t>國家公務員：</w:t>
            </w:r>
            <w:r>
              <w:rPr>
                <w:rFonts w:ascii="新細明體" w:hAnsi="新細明體" w:hint="eastAsia"/>
              </w:rPr>
              <w:t>依照國家公務員法之定義係指專門掌理憲法第</w:t>
            </w:r>
            <w:r>
              <w:rPr>
                <w:rFonts w:ascii="新細明體" w:hAnsi="新細明體" w:hint="eastAsia"/>
              </w:rPr>
              <w:t>73</w:t>
            </w:r>
            <w:r>
              <w:rPr>
                <w:rFonts w:ascii="新細明體" w:hAnsi="新細明體" w:hint="eastAsia"/>
              </w:rPr>
              <w:t>條中所指關於官吏之事務者；區分為一般職及</w:t>
            </w:r>
            <w:proofErr w:type="gramStart"/>
            <w:r>
              <w:rPr>
                <w:rFonts w:ascii="新細明體" w:hAnsi="新細明體" w:hint="eastAsia"/>
              </w:rPr>
              <w:t>特別</w:t>
            </w:r>
            <w:proofErr w:type="gramEnd"/>
            <w:r>
              <w:rPr>
                <w:rFonts w:ascii="新細明體" w:hAnsi="新細明體" w:hint="eastAsia"/>
              </w:rPr>
              <w:t>職兩類。某種職位是否屬於國家公務員，由人事院判斷。</w:t>
            </w:r>
          </w:p>
          <w:p w:rsidR="00000000" w:rsidRDefault="00331256">
            <w:pPr>
              <w:spacing w:line="360" w:lineRule="auto"/>
              <w:jc w:val="both"/>
              <w:rPr>
                <w:rFonts w:ascii="新細明體" w:hAnsi="新細明體" w:hint="eastAsia"/>
                <w:b/>
              </w:rPr>
            </w:pPr>
          </w:p>
          <w:p w:rsidR="00000000" w:rsidRDefault="00331256">
            <w:pPr>
              <w:spacing w:line="360" w:lineRule="auto"/>
              <w:jc w:val="both"/>
              <w:rPr>
                <w:rFonts w:ascii="新細明體" w:hAnsi="新細明體" w:hint="eastAsia"/>
                <w:b/>
              </w:rPr>
            </w:pPr>
            <w:r>
              <w:rPr>
                <w:rFonts w:ascii="新細明體" w:hAnsi="新細明體" w:hint="eastAsia"/>
                <w:b/>
              </w:rPr>
              <w:t>地方公務員：</w:t>
            </w:r>
            <w:r>
              <w:rPr>
                <w:rFonts w:ascii="新細明體" w:hAnsi="新細明體" w:hint="eastAsia"/>
              </w:rPr>
              <w:t>如同國家公務員法一樣，並無積極的定義，僅將地方公務員區分為一般職及</w:t>
            </w:r>
            <w:proofErr w:type="gramStart"/>
            <w:r>
              <w:rPr>
                <w:rFonts w:ascii="新細明體" w:hAnsi="新細明體" w:hint="eastAsia"/>
              </w:rPr>
              <w:t>特別</w:t>
            </w:r>
            <w:proofErr w:type="gramEnd"/>
            <w:r>
              <w:rPr>
                <w:rFonts w:ascii="新細明體" w:hAnsi="新細明體" w:hint="eastAsia"/>
              </w:rPr>
              <w:t>職兩類。</w:t>
            </w:r>
          </w:p>
        </w:tc>
      </w:tr>
      <w:tr w:rsidR="00000000">
        <w:trPr>
          <w:jc w:val="center"/>
        </w:trPr>
        <w:tc>
          <w:tcPr>
            <w:tcW w:w="1068" w:type="dxa"/>
          </w:tcPr>
          <w:p w:rsidR="00000000" w:rsidRDefault="00331256">
            <w:pPr>
              <w:spacing w:line="360" w:lineRule="auto"/>
              <w:jc w:val="both"/>
              <w:rPr>
                <w:rFonts w:ascii="新細明體" w:hAnsi="新細明體" w:hint="eastAsia"/>
              </w:rPr>
            </w:pPr>
            <w:r>
              <w:rPr>
                <w:rFonts w:ascii="新細明體" w:hAnsi="新細明體" w:hint="eastAsia"/>
              </w:rPr>
              <w:t>保障</w:t>
            </w:r>
          </w:p>
          <w:p w:rsidR="00000000" w:rsidRDefault="00331256">
            <w:pPr>
              <w:spacing w:line="360" w:lineRule="auto"/>
              <w:jc w:val="both"/>
              <w:rPr>
                <w:rFonts w:ascii="新細明體" w:hAnsi="新細明體" w:hint="eastAsia"/>
              </w:rPr>
            </w:pPr>
            <w:r>
              <w:rPr>
                <w:rFonts w:ascii="新細明體" w:hAnsi="新細明體" w:hint="eastAsia"/>
              </w:rPr>
              <w:t>依據</w:t>
            </w:r>
          </w:p>
        </w:tc>
        <w:tc>
          <w:tcPr>
            <w:tcW w:w="2280" w:type="dxa"/>
          </w:tcPr>
          <w:p w:rsidR="00000000" w:rsidRDefault="00331256">
            <w:pPr>
              <w:spacing w:line="360" w:lineRule="auto"/>
              <w:jc w:val="both"/>
              <w:rPr>
                <w:rFonts w:ascii="新細明體" w:hAnsi="新細明體" w:hint="eastAsia"/>
              </w:rPr>
            </w:pPr>
            <w:r>
              <w:rPr>
                <w:rFonts w:ascii="新細明體" w:hAnsi="新細明體" w:hint="eastAsia"/>
              </w:rPr>
              <w:t>公務人員</w:t>
            </w:r>
            <w:r>
              <w:rPr>
                <w:rFonts w:ascii="新細明體" w:hAnsi="新細明體" w:hint="eastAsia"/>
              </w:rPr>
              <w:t>保障法及其他相關法規。</w:t>
            </w:r>
          </w:p>
        </w:tc>
        <w:tc>
          <w:tcPr>
            <w:tcW w:w="2040" w:type="dxa"/>
          </w:tcPr>
          <w:p w:rsidR="00000000" w:rsidRDefault="00331256">
            <w:pPr>
              <w:spacing w:line="360" w:lineRule="auto"/>
              <w:jc w:val="both"/>
              <w:rPr>
                <w:rFonts w:ascii="新細明體" w:hAnsi="新細明體" w:hint="eastAsia"/>
              </w:rPr>
            </w:pPr>
            <w:r>
              <w:rPr>
                <w:rFonts w:ascii="新細明體" w:hAnsi="新細明體" w:hint="eastAsia"/>
              </w:rPr>
              <w:t>聯邦無統一的保障制度立法，散於各公務員法規；各</w:t>
            </w:r>
            <w:proofErr w:type="gramStart"/>
            <w:r>
              <w:rPr>
                <w:rFonts w:ascii="新細明體" w:hAnsi="新細明體" w:hint="eastAsia"/>
              </w:rPr>
              <w:t>邦</w:t>
            </w:r>
            <w:proofErr w:type="gramEnd"/>
            <w:r>
              <w:rPr>
                <w:rFonts w:ascii="新細明體" w:hAnsi="新細明體" w:hint="eastAsia"/>
              </w:rPr>
              <w:t>由各該公務員法規定之。</w:t>
            </w:r>
          </w:p>
        </w:tc>
        <w:tc>
          <w:tcPr>
            <w:tcW w:w="2367" w:type="dxa"/>
          </w:tcPr>
          <w:p w:rsidR="00000000" w:rsidRDefault="00331256">
            <w:pPr>
              <w:spacing w:line="360" w:lineRule="auto"/>
              <w:jc w:val="both"/>
              <w:rPr>
                <w:rFonts w:ascii="新細明體" w:hAnsi="新細明體" w:hint="eastAsia"/>
              </w:rPr>
            </w:pPr>
            <w:r>
              <w:rPr>
                <w:rFonts w:ascii="新細明體" w:hAnsi="新細明體" w:hint="eastAsia"/>
              </w:rPr>
              <w:t>國家公務員法及地方公務員法及其他相關法規。</w:t>
            </w:r>
          </w:p>
        </w:tc>
      </w:tr>
      <w:tr w:rsidR="00000000">
        <w:trPr>
          <w:jc w:val="center"/>
        </w:trPr>
        <w:tc>
          <w:tcPr>
            <w:tcW w:w="1068" w:type="dxa"/>
          </w:tcPr>
          <w:p w:rsidR="00000000" w:rsidRDefault="00331256">
            <w:pPr>
              <w:spacing w:line="360" w:lineRule="auto"/>
              <w:jc w:val="both"/>
              <w:rPr>
                <w:rFonts w:ascii="新細明體" w:hAnsi="新細明體" w:hint="eastAsia"/>
              </w:rPr>
            </w:pPr>
            <w:r>
              <w:rPr>
                <w:rFonts w:ascii="新細明體" w:hAnsi="新細明體" w:hint="eastAsia"/>
              </w:rPr>
              <w:t>保障</w:t>
            </w:r>
          </w:p>
          <w:p w:rsidR="00000000" w:rsidRDefault="00331256">
            <w:pPr>
              <w:spacing w:line="360" w:lineRule="auto"/>
              <w:jc w:val="both"/>
              <w:rPr>
                <w:rFonts w:ascii="新細明體" w:hAnsi="新細明體" w:hint="eastAsia"/>
              </w:rPr>
            </w:pPr>
            <w:r>
              <w:rPr>
                <w:rFonts w:ascii="新細明體" w:hAnsi="新細明體" w:hint="eastAsia"/>
              </w:rPr>
              <w:t>組織</w:t>
            </w:r>
          </w:p>
        </w:tc>
        <w:tc>
          <w:tcPr>
            <w:tcW w:w="2280" w:type="dxa"/>
          </w:tcPr>
          <w:p w:rsidR="00000000" w:rsidRDefault="00331256">
            <w:pPr>
              <w:spacing w:line="360" w:lineRule="auto"/>
              <w:jc w:val="both"/>
              <w:rPr>
                <w:rFonts w:ascii="新細明體" w:hAnsi="新細明體" w:hint="eastAsia"/>
              </w:rPr>
            </w:pPr>
            <w:r>
              <w:rPr>
                <w:rFonts w:ascii="新細明體" w:hAnsi="新細明體" w:hint="eastAsia"/>
              </w:rPr>
              <w:t>公務人員保障暨培訓委員會</w:t>
            </w:r>
          </w:p>
        </w:tc>
        <w:tc>
          <w:tcPr>
            <w:tcW w:w="2040" w:type="dxa"/>
          </w:tcPr>
          <w:p w:rsidR="00000000" w:rsidRDefault="00331256">
            <w:pPr>
              <w:spacing w:line="360" w:lineRule="auto"/>
              <w:ind w:left="360" w:hangingChars="150" w:hanging="360"/>
              <w:jc w:val="both"/>
              <w:rPr>
                <w:rFonts w:hint="eastAsia"/>
              </w:rPr>
            </w:pPr>
            <w:r>
              <w:rPr>
                <w:rFonts w:hint="eastAsia"/>
              </w:rPr>
              <w:t>一、主管機關及民意代表機關</w:t>
            </w:r>
          </w:p>
          <w:p w:rsidR="00000000" w:rsidRDefault="00331256">
            <w:pPr>
              <w:spacing w:line="360" w:lineRule="auto"/>
              <w:jc w:val="both"/>
              <w:rPr>
                <w:rFonts w:hint="eastAsia"/>
              </w:rPr>
            </w:pPr>
            <w:r>
              <w:rPr>
                <w:rFonts w:ascii="新細明體" w:hAnsi="新細明體" w:hint="eastAsia"/>
              </w:rPr>
              <w:t>二、</w:t>
            </w:r>
            <w:r>
              <w:rPr>
                <w:rFonts w:hint="eastAsia"/>
              </w:rPr>
              <w:t>公務員代表會</w:t>
            </w:r>
          </w:p>
          <w:p w:rsidR="00000000" w:rsidRDefault="00331256">
            <w:pPr>
              <w:spacing w:line="360" w:lineRule="auto"/>
              <w:jc w:val="both"/>
              <w:rPr>
                <w:rFonts w:ascii="新細明體" w:hAnsi="新細明體" w:hint="eastAsia"/>
              </w:rPr>
            </w:pPr>
            <w:r>
              <w:rPr>
                <w:rFonts w:hint="eastAsia"/>
              </w:rPr>
              <w:t>三、</w:t>
            </w:r>
            <w:r>
              <w:rPr>
                <w:rFonts w:ascii="新細明體" w:hAnsi="新細明體" w:hint="eastAsia"/>
              </w:rPr>
              <w:t>資訊保護官</w:t>
            </w:r>
          </w:p>
        </w:tc>
        <w:tc>
          <w:tcPr>
            <w:tcW w:w="2367" w:type="dxa"/>
          </w:tcPr>
          <w:p w:rsidR="00000000" w:rsidRDefault="00331256">
            <w:pPr>
              <w:spacing w:line="360" w:lineRule="auto"/>
              <w:jc w:val="both"/>
              <w:rPr>
                <w:rFonts w:ascii="新細明體" w:hAnsi="新細明體" w:hint="eastAsia"/>
              </w:rPr>
            </w:pPr>
            <w:r>
              <w:rPr>
                <w:rFonts w:ascii="新細明體" w:hAnsi="新細明體" w:hint="eastAsia"/>
              </w:rPr>
              <w:t>國家：人事院</w:t>
            </w:r>
          </w:p>
          <w:p w:rsidR="00000000" w:rsidRDefault="00331256">
            <w:pPr>
              <w:spacing w:line="360" w:lineRule="auto"/>
              <w:jc w:val="both"/>
              <w:rPr>
                <w:rFonts w:ascii="新細明體" w:hAnsi="新細明體" w:hint="eastAsia"/>
              </w:rPr>
            </w:pPr>
            <w:r>
              <w:rPr>
                <w:rFonts w:ascii="新細明體" w:hAnsi="新細明體" w:hint="eastAsia"/>
              </w:rPr>
              <w:t>地方公共團體：人事委員會或公平委員會</w:t>
            </w:r>
          </w:p>
        </w:tc>
      </w:tr>
      <w:tr w:rsidR="00000000">
        <w:trPr>
          <w:jc w:val="center"/>
        </w:trPr>
        <w:tc>
          <w:tcPr>
            <w:tcW w:w="1068" w:type="dxa"/>
          </w:tcPr>
          <w:p w:rsidR="00000000" w:rsidRDefault="00331256">
            <w:pPr>
              <w:spacing w:line="360" w:lineRule="auto"/>
              <w:jc w:val="both"/>
              <w:rPr>
                <w:rFonts w:ascii="新細明體" w:hAnsi="新細明體" w:hint="eastAsia"/>
              </w:rPr>
            </w:pPr>
            <w:r>
              <w:rPr>
                <w:rFonts w:ascii="新細明體" w:hAnsi="新細明體" w:hint="eastAsia"/>
              </w:rPr>
              <w:t>救濟</w:t>
            </w:r>
          </w:p>
          <w:p w:rsidR="00000000" w:rsidRDefault="00331256">
            <w:pPr>
              <w:spacing w:line="360" w:lineRule="auto"/>
              <w:jc w:val="both"/>
              <w:rPr>
                <w:rFonts w:ascii="新細明體" w:hAnsi="新細明體" w:hint="eastAsia"/>
              </w:rPr>
            </w:pPr>
            <w:r>
              <w:rPr>
                <w:rFonts w:ascii="新細明體" w:hAnsi="新細明體" w:hint="eastAsia"/>
              </w:rPr>
              <w:t>程序</w:t>
            </w:r>
          </w:p>
        </w:tc>
        <w:tc>
          <w:tcPr>
            <w:tcW w:w="2280" w:type="dxa"/>
          </w:tcPr>
          <w:p w:rsidR="00000000" w:rsidRDefault="00331256">
            <w:pPr>
              <w:spacing w:line="360" w:lineRule="auto"/>
              <w:jc w:val="both"/>
              <w:rPr>
                <w:rFonts w:ascii="新細明體" w:hAnsi="新細明體" w:hint="eastAsia"/>
              </w:rPr>
            </w:pPr>
            <w:r>
              <w:rPr>
                <w:rFonts w:ascii="新細明體" w:hAnsi="新細明體" w:hint="eastAsia"/>
              </w:rPr>
              <w:t>一、復審</w:t>
            </w:r>
          </w:p>
          <w:p w:rsidR="00000000" w:rsidRDefault="00331256">
            <w:pPr>
              <w:spacing w:line="360" w:lineRule="auto"/>
              <w:jc w:val="both"/>
              <w:rPr>
                <w:rFonts w:ascii="新細明體" w:hAnsi="新細明體" w:hint="eastAsia"/>
              </w:rPr>
            </w:pPr>
            <w:r>
              <w:rPr>
                <w:rFonts w:ascii="新細明體" w:hAnsi="新細明體" w:hint="eastAsia"/>
              </w:rPr>
              <w:t>二、申訴及再申訴</w:t>
            </w:r>
          </w:p>
        </w:tc>
        <w:tc>
          <w:tcPr>
            <w:tcW w:w="2040" w:type="dxa"/>
          </w:tcPr>
          <w:p w:rsidR="00000000" w:rsidRDefault="00331256">
            <w:pPr>
              <w:spacing w:line="360" w:lineRule="auto"/>
            </w:pPr>
            <w:r>
              <w:rPr>
                <w:rFonts w:hint="eastAsia"/>
              </w:rPr>
              <w:t>法院外的救濟途徑包括下列幾種：</w:t>
            </w:r>
          </w:p>
          <w:p w:rsidR="00000000" w:rsidRDefault="00331256">
            <w:pPr>
              <w:spacing w:line="360" w:lineRule="auto"/>
            </w:pPr>
            <w:r>
              <w:rPr>
                <w:rFonts w:hint="eastAsia"/>
              </w:rPr>
              <w:t>一、請願</w:t>
            </w:r>
          </w:p>
          <w:p w:rsidR="00000000" w:rsidRDefault="00331256">
            <w:pPr>
              <w:spacing w:line="360" w:lineRule="auto"/>
              <w:ind w:left="480" w:hangingChars="200" w:hanging="480"/>
            </w:pPr>
            <w:r>
              <w:rPr>
                <w:rFonts w:hint="eastAsia"/>
              </w:rPr>
              <w:t>二、依機關層級循序向上級提出「申請或申訴」</w:t>
            </w:r>
          </w:p>
          <w:p w:rsidR="00000000" w:rsidRDefault="00331256">
            <w:pPr>
              <w:spacing w:line="360" w:lineRule="auto"/>
              <w:ind w:left="480" w:hangingChars="200" w:hanging="480"/>
            </w:pPr>
            <w:r>
              <w:rPr>
                <w:rFonts w:hint="eastAsia"/>
              </w:rPr>
              <w:t>三、向公務員代表會提出申訴</w:t>
            </w:r>
          </w:p>
          <w:p w:rsidR="00000000" w:rsidRDefault="00331256">
            <w:pPr>
              <w:spacing w:line="360" w:lineRule="auto"/>
              <w:ind w:left="360" w:hangingChars="150" w:hanging="360"/>
            </w:pPr>
            <w:r>
              <w:rPr>
                <w:rFonts w:hint="eastAsia"/>
              </w:rPr>
              <w:lastRenderedPageBreak/>
              <w:t>四、</w:t>
            </w:r>
            <w:r>
              <w:rPr>
                <w:rFonts w:ascii="新細明體" w:hAnsi="新細明體" w:hint="eastAsia"/>
              </w:rPr>
              <w:t>向資訊保護官請求救濟</w:t>
            </w:r>
          </w:p>
          <w:p w:rsidR="00000000" w:rsidRDefault="00331256">
            <w:pPr>
              <w:spacing w:line="360" w:lineRule="auto"/>
              <w:jc w:val="both"/>
              <w:rPr>
                <w:rFonts w:ascii="新細明體" w:hAnsi="新細明體" w:hint="eastAsia"/>
              </w:rPr>
            </w:pPr>
          </w:p>
        </w:tc>
        <w:tc>
          <w:tcPr>
            <w:tcW w:w="2367" w:type="dxa"/>
          </w:tcPr>
          <w:p w:rsidR="00000000" w:rsidRDefault="00331256">
            <w:pPr>
              <w:spacing w:line="360" w:lineRule="auto"/>
              <w:ind w:left="480" w:hangingChars="200" w:hanging="480"/>
              <w:jc w:val="both"/>
              <w:rPr>
                <w:rFonts w:ascii="新細明體" w:hAnsi="新細明體" w:hint="eastAsia"/>
              </w:rPr>
            </w:pPr>
            <w:r>
              <w:rPr>
                <w:rFonts w:ascii="新細明體" w:hAnsi="新細明體" w:hint="eastAsia"/>
              </w:rPr>
              <w:lastRenderedPageBreak/>
              <w:t>一、請求不利益處分說明書交付</w:t>
            </w:r>
          </w:p>
          <w:p w:rsidR="00000000" w:rsidRDefault="00331256">
            <w:pPr>
              <w:spacing w:line="360" w:lineRule="auto"/>
              <w:ind w:left="480" w:hangingChars="200" w:hanging="480"/>
              <w:jc w:val="both"/>
              <w:rPr>
                <w:rFonts w:ascii="新細明體" w:hAnsi="新細明體" w:hint="eastAsia"/>
              </w:rPr>
            </w:pPr>
            <w:r>
              <w:rPr>
                <w:rFonts w:ascii="新細明體" w:hAnsi="新細明體" w:hint="eastAsia"/>
              </w:rPr>
              <w:t>二、</w:t>
            </w:r>
            <w:r>
              <w:rPr>
                <w:rFonts w:ascii="新細明體" w:hAnsi="新細明體" w:hint="eastAsia"/>
              </w:rPr>
              <w:t>對於不利益處分之抗告爭</w:t>
            </w:r>
            <w:proofErr w:type="gramStart"/>
            <w:r>
              <w:rPr>
                <w:rFonts w:ascii="新細明體" w:hAnsi="新細明體" w:hint="eastAsia"/>
              </w:rPr>
              <w:t>訟</w:t>
            </w:r>
            <w:proofErr w:type="gramEnd"/>
          </w:p>
          <w:p w:rsidR="00000000" w:rsidRDefault="00331256">
            <w:pPr>
              <w:spacing w:line="360" w:lineRule="auto"/>
              <w:ind w:left="480" w:hangingChars="200" w:hanging="480"/>
              <w:jc w:val="both"/>
              <w:rPr>
                <w:rFonts w:ascii="新細明體" w:hAnsi="新細明體" w:hint="eastAsia"/>
              </w:rPr>
            </w:pPr>
            <w:r>
              <w:rPr>
                <w:rFonts w:ascii="新細明體" w:hAnsi="新細明體" w:hint="eastAsia"/>
              </w:rPr>
              <w:t>三、請求審查給付決定之申訴</w:t>
            </w:r>
          </w:p>
          <w:p w:rsidR="00000000" w:rsidRDefault="00331256">
            <w:pPr>
              <w:spacing w:line="360" w:lineRule="auto"/>
              <w:ind w:left="480" w:hangingChars="200" w:hanging="480"/>
              <w:jc w:val="both"/>
              <w:rPr>
                <w:rFonts w:ascii="新細明體" w:hAnsi="新細明體" w:hint="eastAsia"/>
              </w:rPr>
            </w:pPr>
            <w:r>
              <w:rPr>
                <w:rFonts w:ascii="新細明體" w:hAnsi="新細明體" w:hint="eastAsia"/>
              </w:rPr>
              <w:t>四、不當勞動行為之救濟</w:t>
            </w:r>
          </w:p>
          <w:p w:rsidR="00000000" w:rsidRDefault="00331256">
            <w:pPr>
              <w:spacing w:line="360" w:lineRule="auto"/>
              <w:ind w:left="480" w:hangingChars="200" w:hanging="480"/>
              <w:jc w:val="both"/>
              <w:rPr>
                <w:rFonts w:ascii="新細明體" w:hAnsi="新細明體" w:hint="eastAsia"/>
              </w:rPr>
            </w:pPr>
            <w:r>
              <w:rPr>
                <w:rFonts w:ascii="新細明體" w:hAnsi="新細明體" w:hint="eastAsia"/>
              </w:rPr>
              <w:t>五、請求審查災害補</w:t>
            </w:r>
            <w:r>
              <w:rPr>
                <w:rFonts w:ascii="新細明體" w:hAnsi="新細明體" w:hint="eastAsia"/>
              </w:rPr>
              <w:lastRenderedPageBreak/>
              <w:t>償之申訴</w:t>
            </w:r>
          </w:p>
          <w:p w:rsidR="00000000" w:rsidRDefault="00331256">
            <w:pPr>
              <w:spacing w:line="360" w:lineRule="auto"/>
              <w:ind w:left="480" w:hangingChars="200" w:hanging="480"/>
              <w:jc w:val="both"/>
              <w:rPr>
                <w:rFonts w:ascii="新細明體" w:hAnsi="新細明體" w:hint="eastAsia"/>
              </w:rPr>
            </w:pPr>
            <w:r>
              <w:rPr>
                <w:rFonts w:ascii="新細明體" w:hAnsi="新細明體" w:hint="eastAsia"/>
              </w:rPr>
              <w:t>六、苦情諮商</w:t>
            </w:r>
          </w:p>
          <w:p w:rsidR="00000000" w:rsidRDefault="00331256">
            <w:pPr>
              <w:spacing w:line="360" w:lineRule="auto"/>
              <w:ind w:left="480" w:hangingChars="200" w:hanging="480"/>
              <w:jc w:val="both"/>
              <w:rPr>
                <w:rFonts w:ascii="新細明體" w:hAnsi="新細明體" w:hint="eastAsia"/>
              </w:rPr>
            </w:pPr>
          </w:p>
        </w:tc>
      </w:tr>
    </w:tbl>
    <w:p w:rsidR="00000000" w:rsidRDefault="00331256">
      <w:pPr>
        <w:spacing w:line="360" w:lineRule="auto"/>
        <w:jc w:val="both"/>
        <w:rPr>
          <w:rFonts w:ascii="新細明體" w:hAnsi="新細明體" w:hint="eastAsia"/>
        </w:rPr>
      </w:pPr>
    </w:p>
    <w:p w:rsidR="00000000" w:rsidRDefault="00331256">
      <w:pPr>
        <w:spacing w:line="360" w:lineRule="auto"/>
        <w:jc w:val="both"/>
        <w:rPr>
          <w:rFonts w:ascii="新細明體" w:hAnsi="新細明體" w:hint="eastAsia"/>
        </w:rPr>
      </w:pPr>
    </w:p>
    <w:p w:rsidR="00000000" w:rsidRDefault="00331256">
      <w:pPr>
        <w:spacing w:line="360" w:lineRule="auto"/>
        <w:ind w:firstLineChars="200" w:firstLine="480"/>
        <w:jc w:val="both"/>
        <w:rPr>
          <w:rFonts w:ascii="新細明體" w:hAnsi="新細明體" w:hint="eastAsia"/>
        </w:rPr>
      </w:pPr>
      <w:r>
        <w:rPr>
          <w:rFonts w:ascii="新細明體" w:hAnsi="新細明體" w:hint="eastAsia"/>
        </w:rPr>
        <w:t>根據以上之論述與比較，本研究針對目前保障法中關於保障對象與救濟類型的問題，提出以下建議做為結論。</w:t>
      </w:r>
    </w:p>
    <w:p w:rsidR="00000000" w:rsidRDefault="00331256">
      <w:pPr>
        <w:spacing w:line="360" w:lineRule="auto"/>
        <w:jc w:val="both"/>
        <w:rPr>
          <w:rFonts w:ascii="新細明體" w:hAnsi="新細明體" w:hint="eastAsia"/>
        </w:rPr>
      </w:pPr>
    </w:p>
    <w:p w:rsidR="00000000" w:rsidRDefault="00331256">
      <w:pPr>
        <w:numPr>
          <w:ilvl w:val="0"/>
          <w:numId w:val="2"/>
        </w:numPr>
        <w:spacing w:line="360" w:lineRule="auto"/>
        <w:jc w:val="both"/>
        <w:rPr>
          <w:rFonts w:ascii="新細明體" w:hAnsi="新細明體" w:hint="eastAsia"/>
        </w:rPr>
      </w:pPr>
      <w:r>
        <w:rPr>
          <w:rFonts w:ascii="新細明體" w:hAnsi="新細明體" w:hint="eastAsia"/>
        </w:rPr>
        <w:t>保障對象</w:t>
      </w:r>
      <w:proofErr w:type="gramStart"/>
      <w:r>
        <w:rPr>
          <w:rFonts w:ascii="新細明體" w:hAnsi="新細明體" w:hint="eastAsia"/>
        </w:rPr>
        <w:t>部分－應擴大</w:t>
      </w:r>
      <w:proofErr w:type="gramEnd"/>
      <w:r>
        <w:rPr>
          <w:rFonts w:ascii="新細明體" w:hAnsi="新細明體" w:hint="eastAsia"/>
        </w:rPr>
        <w:t>保障法之保障對象</w:t>
      </w:r>
    </w:p>
    <w:p w:rsidR="00000000" w:rsidRDefault="00331256">
      <w:pPr>
        <w:spacing w:line="360" w:lineRule="auto"/>
        <w:jc w:val="both"/>
        <w:rPr>
          <w:rFonts w:ascii="新細明體" w:hAnsi="新細明體" w:hint="eastAsia"/>
        </w:rPr>
      </w:pPr>
    </w:p>
    <w:p w:rsidR="00000000" w:rsidRDefault="00331256">
      <w:pPr>
        <w:spacing w:line="360" w:lineRule="auto"/>
        <w:ind w:firstLineChars="200" w:firstLine="480"/>
        <w:jc w:val="both"/>
        <w:rPr>
          <w:rFonts w:ascii="新細明體" w:hAnsi="新細明體" w:hint="eastAsia"/>
        </w:rPr>
      </w:pPr>
      <w:r>
        <w:rPr>
          <w:rFonts w:ascii="新細明體" w:hAnsi="新細明體" w:hint="eastAsia"/>
        </w:rPr>
        <w:t>作為保障法中保障對象的「公務人員」概念係與公務人員任用法上之「公務人員」概念連結，而非採取與公務員服務法上之「公務員」概念。公務員服務法本身，對於「公務員」之界定，除受有俸給之文武職人員外，還包括在公營事業機關服務之人員。</w:t>
      </w:r>
      <w:r>
        <w:rPr>
          <w:rFonts w:ascii="新細明體" w:hAnsi="新細明體" w:hint="eastAsia"/>
          <w:bCs/>
        </w:rPr>
        <w:t>保障法中又區分第</w:t>
      </w:r>
      <w:r>
        <w:rPr>
          <w:rFonts w:ascii="新細明體" w:hAnsi="新細明體" w:hint="eastAsia"/>
          <w:bCs/>
        </w:rPr>
        <w:t>3</w:t>
      </w:r>
      <w:r>
        <w:rPr>
          <w:rFonts w:ascii="新細明體" w:hAnsi="新細明體" w:hint="eastAsia"/>
          <w:bCs/>
        </w:rPr>
        <w:t>條適</w:t>
      </w:r>
      <w:r>
        <w:rPr>
          <w:rFonts w:ascii="新細明體" w:hAnsi="新細明體" w:hint="eastAsia"/>
          <w:bCs/>
        </w:rPr>
        <w:t>用的公務人員概念及第</w:t>
      </w:r>
      <w:r>
        <w:rPr>
          <w:rFonts w:ascii="新細明體" w:hAnsi="新細明體" w:hint="eastAsia"/>
          <w:bCs/>
        </w:rPr>
        <w:t>102</w:t>
      </w:r>
      <w:r>
        <w:rPr>
          <w:rFonts w:ascii="新細明體" w:hAnsi="新細明體" w:hint="eastAsia"/>
          <w:bCs/>
        </w:rPr>
        <w:t>條之</w:t>
      </w:r>
      <w:proofErr w:type="gramStart"/>
      <w:r>
        <w:rPr>
          <w:rFonts w:ascii="新細明體" w:hAnsi="新細明體" w:hint="eastAsia"/>
          <w:bCs/>
        </w:rPr>
        <w:t>準</w:t>
      </w:r>
      <w:proofErr w:type="gramEnd"/>
      <w:r>
        <w:rPr>
          <w:rFonts w:ascii="新細明體" w:hAnsi="新細明體" w:hint="eastAsia"/>
          <w:bCs/>
        </w:rPr>
        <w:t>用人員概念，將依法</w:t>
      </w:r>
      <w:r>
        <w:rPr>
          <w:rFonts w:ascii="新細明體" w:hAnsi="新細明體" w:hint="eastAsia"/>
        </w:rPr>
        <w:t>任用公務人員作為適用對象，將公營事業依法任用之人員列為</w:t>
      </w:r>
      <w:proofErr w:type="gramStart"/>
      <w:r>
        <w:rPr>
          <w:rFonts w:ascii="新細明體" w:hAnsi="新細明體" w:hint="eastAsia"/>
          <w:bCs/>
        </w:rPr>
        <w:t>準</w:t>
      </w:r>
      <w:proofErr w:type="gramEnd"/>
      <w:r>
        <w:rPr>
          <w:rFonts w:ascii="新細明體" w:hAnsi="新細明體" w:hint="eastAsia"/>
          <w:bCs/>
        </w:rPr>
        <w:t>用人員。此兩類公務人員依照公務員服務法所應遵守的義務相同，而依照保障法的權利保障確有身分區別，保障法中並無明確規定差別對待的基準何在。此種區分方式有必要檢討修正。</w:t>
      </w:r>
      <w:proofErr w:type="gramStart"/>
      <w:r>
        <w:rPr>
          <w:rFonts w:ascii="新細明體" w:hAnsi="新細明體" w:hint="eastAsia"/>
        </w:rPr>
        <w:t>何況，</w:t>
      </w:r>
      <w:proofErr w:type="gramEnd"/>
      <w:r>
        <w:rPr>
          <w:rFonts w:ascii="新細明體" w:hAnsi="新細明體" w:hint="eastAsia"/>
        </w:rPr>
        <w:t>德日等國為因應新公共管理的發展趨勢與政府改造所需，無不基於公私夥伴關係，推動「官民人才交流制度」。在此發展趨勢之下，公務員權益之保障應配合規劃，例如，交流派遣的公務員，如何保障其權利或利益，派遣採用而進入公部門體系的民間企業人才，應依法律</w:t>
      </w:r>
      <w:r>
        <w:rPr>
          <w:rFonts w:ascii="新細明體" w:hAnsi="新細明體" w:hint="eastAsia"/>
        </w:rPr>
        <w:t>或是透過契約加以保障，都值得思考。不過，此部分屬於長期的制度設計。現階段應解決的問題，是將具有公法上職務關係而被排除於保障範圍之外的人員，透過修法納入。目前與國家處於公法上職務關係卻非公務人員保障法之保障對象，建議應修法納入者包括：</w:t>
      </w:r>
    </w:p>
    <w:p w:rsidR="00000000" w:rsidRDefault="00331256">
      <w:pPr>
        <w:numPr>
          <w:ilvl w:val="1"/>
          <w:numId w:val="1"/>
        </w:numPr>
        <w:spacing w:line="360" w:lineRule="auto"/>
        <w:jc w:val="both"/>
        <w:rPr>
          <w:rFonts w:ascii="新細明體" w:hAnsi="新細明體" w:hint="eastAsia"/>
        </w:rPr>
      </w:pPr>
      <w:r>
        <w:rPr>
          <w:rFonts w:ascii="新細明體" w:hAnsi="新細明體" w:hint="eastAsia"/>
        </w:rPr>
        <w:t>依行政院暨所屬機關約雇人員僱用辦法進用之約</w:t>
      </w:r>
      <w:proofErr w:type="gramStart"/>
      <w:r>
        <w:rPr>
          <w:rFonts w:ascii="新細明體" w:hAnsi="新細明體" w:hint="eastAsia"/>
        </w:rPr>
        <w:t>僱</w:t>
      </w:r>
      <w:proofErr w:type="gramEnd"/>
      <w:r>
        <w:rPr>
          <w:rFonts w:ascii="新細明體" w:hAnsi="新細明體" w:hint="eastAsia"/>
        </w:rPr>
        <w:t>人員，</w:t>
      </w:r>
    </w:p>
    <w:p w:rsidR="00000000" w:rsidRDefault="00331256">
      <w:pPr>
        <w:numPr>
          <w:ilvl w:val="1"/>
          <w:numId w:val="1"/>
        </w:numPr>
        <w:spacing w:line="360" w:lineRule="auto"/>
        <w:jc w:val="both"/>
        <w:rPr>
          <w:rFonts w:ascii="新細明體" w:hAnsi="新細明體" w:hint="eastAsia"/>
        </w:rPr>
      </w:pPr>
      <w:r>
        <w:rPr>
          <w:rFonts w:ascii="新細明體" w:hAnsi="新細明體" w:hint="eastAsia"/>
        </w:rPr>
        <w:lastRenderedPageBreak/>
        <w:t>各級學校校長，</w:t>
      </w:r>
    </w:p>
    <w:p w:rsidR="00000000" w:rsidRDefault="00331256">
      <w:pPr>
        <w:numPr>
          <w:ilvl w:val="1"/>
          <w:numId w:val="1"/>
        </w:numPr>
        <w:spacing w:line="360" w:lineRule="auto"/>
        <w:jc w:val="both"/>
        <w:rPr>
          <w:rFonts w:ascii="新細明體" w:hAnsi="新細明體" w:hint="eastAsia"/>
        </w:rPr>
      </w:pPr>
      <w:r>
        <w:rPr>
          <w:rFonts w:ascii="新細明體" w:hAnsi="新細明體" w:hint="eastAsia"/>
        </w:rPr>
        <w:t>公營事業人員中，除交通事業人員外其他依行政內部規章任用之人員。</w:t>
      </w:r>
    </w:p>
    <w:p w:rsidR="00000000" w:rsidRDefault="00331256">
      <w:pPr>
        <w:spacing w:line="360" w:lineRule="auto"/>
        <w:jc w:val="both"/>
        <w:rPr>
          <w:rFonts w:ascii="新細明體" w:hAnsi="新細明體" w:hint="eastAsia"/>
        </w:rPr>
      </w:pPr>
      <w:r>
        <w:rPr>
          <w:rFonts w:ascii="新細明體" w:hAnsi="新細明體" w:hint="eastAsia"/>
        </w:rPr>
        <w:t xml:space="preserve">    </w:t>
      </w:r>
    </w:p>
    <w:p w:rsidR="00000000" w:rsidRDefault="00331256">
      <w:pPr>
        <w:overflowPunct w:val="0"/>
        <w:autoSpaceDE w:val="0"/>
        <w:autoSpaceDN w:val="0"/>
        <w:adjustRightInd w:val="0"/>
        <w:spacing w:beforeLines="50" w:before="180" w:afterLines="50" w:after="180" w:line="360" w:lineRule="auto"/>
        <w:jc w:val="both"/>
        <w:rPr>
          <w:rStyle w:val="stext1"/>
          <w:rFonts w:ascii="新細明體" w:hAnsi="新細明體" w:hint="eastAsia"/>
        </w:rPr>
      </w:pPr>
      <w:r>
        <w:rPr>
          <w:rFonts w:ascii="新細明體" w:hAnsi="新細明體" w:hint="eastAsia"/>
        </w:rPr>
        <w:t>貳、救濟程序部分</w:t>
      </w:r>
    </w:p>
    <w:p w:rsidR="00000000" w:rsidRDefault="00331256">
      <w:pPr>
        <w:spacing w:line="360" w:lineRule="auto"/>
        <w:jc w:val="both"/>
        <w:rPr>
          <w:rFonts w:ascii="新細明體" w:hAnsi="新細明體" w:hint="eastAsia"/>
        </w:rPr>
      </w:pPr>
    </w:p>
    <w:p w:rsidR="00000000" w:rsidRDefault="00331256">
      <w:pPr>
        <w:spacing w:line="360" w:lineRule="auto"/>
        <w:ind w:firstLine="480"/>
        <w:jc w:val="both"/>
        <w:rPr>
          <w:rFonts w:ascii="新細明體" w:hAnsi="新細明體" w:hint="eastAsia"/>
        </w:rPr>
      </w:pPr>
      <w:r>
        <w:rPr>
          <w:rFonts w:ascii="新細明體" w:hAnsi="新細明體" w:hint="eastAsia"/>
        </w:rPr>
        <w:t>至於救濟程序部分，綜合歸納可以提出以下建議，作為修法的基準。基本方向是朝</w:t>
      </w:r>
      <w:r>
        <w:rPr>
          <w:rFonts w:hint="eastAsia"/>
        </w:rPr>
        <w:t>如何配合行政訴訟法之修正，提供公務員更完整有</w:t>
      </w:r>
      <w:r>
        <w:rPr>
          <w:rFonts w:hint="eastAsia"/>
        </w:rPr>
        <w:t>效的法律救濟途徑。</w:t>
      </w:r>
    </w:p>
    <w:p w:rsidR="00000000" w:rsidRDefault="00331256">
      <w:pPr>
        <w:spacing w:line="360" w:lineRule="auto"/>
        <w:jc w:val="both"/>
        <w:rPr>
          <w:rFonts w:ascii="新細明體" w:hAnsi="新細明體" w:hint="eastAsia"/>
        </w:rPr>
      </w:pPr>
    </w:p>
    <w:p w:rsidR="00000000" w:rsidRDefault="00331256">
      <w:pPr>
        <w:spacing w:line="360" w:lineRule="auto"/>
        <w:jc w:val="both"/>
        <w:rPr>
          <w:rFonts w:ascii="新細明體" w:hAnsi="新細明體" w:hint="eastAsia"/>
        </w:rPr>
      </w:pPr>
      <w:r>
        <w:rPr>
          <w:rFonts w:ascii="新細明體" w:hAnsi="新細明體" w:hint="eastAsia"/>
        </w:rPr>
        <w:t>一、</w:t>
      </w:r>
      <w:r>
        <w:rPr>
          <w:rFonts w:ascii="新細明體" w:hAnsi="新細明體" w:hint="eastAsia"/>
        </w:rPr>
        <w:t xml:space="preserve"> </w:t>
      </w:r>
      <w:r>
        <w:rPr>
          <w:rFonts w:ascii="新細明體" w:hAnsi="新細明體" w:hint="eastAsia"/>
        </w:rPr>
        <w:t>增加公務員權利之程序保障</w:t>
      </w:r>
    </w:p>
    <w:p w:rsidR="00000000" w:rsidRDefault="00331256">
      <w:pPr>
        <w:spacing w:line="360" w:lineRule="auto"/>
        <w:ind w:firstLineChars="200" w:firstLine="480"/>
        <w:jc w:val="both"/>
        <w:rPr>
          <w:rFonts w:ascii="新細明體" w:hAnsi="新細明體" w:hint="eastAsia"/>
        </w:rPr>
      </w:pPr>
      <w:r>
        <w:rPr>
          <w:rFonts w:ascii="新細明體" w:hAnsi="新細明體" w:hint="eastAsia"/>
        </w:rPr>
        <w:t>在行政訴訟類型</w:t>
      </w:r>
      <w:proofErr w:type="gramStart"/>
      <w:r>
        <w:rPr>
          <w:rFonts w:ascii="新細明體" w:hAnsi="新細明體" w:hint="eastAsia"/>
        </w:rPr>
        <w:t>增修後</w:t>
      </w:r>
      <w:proofErr w:type="gramEnd"/>
      <w:r>
        <w:rPr>
          <w:rFonts w:ascii="新細明體" w:hAnsi="新細明體" w:hint="eastAsia"/>
        </w:rPr>
        <w:t>，除行政處分之外，對於管理措施也可能提起行政訴訟，保障法應配合行政訴訟法的修正，增加救濟類型。因為，無論是與國家處於一般法律關係的人民，或是與國家具有公法上職務關係之公務員，基於法治國中「有權利必有救濟」之法理，依照憲法第</w:t>
      </w:r>
      <w:r>
        <w:rPr>
          <w:rFonts w:ascii="新細明體" w:hAnsi="新細明體" w:hint="eastAsia"/>
        </w:rPr>
        <w:t>16</w:t>
      </w:r>
      <w:r>
        <w:rPr>
          <w:rFonts w:ascii="新細明體" w:hAnsi="新細明體" w:hint="eastAsia"/>
        </w:rPr>
        <w:t>條等規定，國家負有提供有效法律救濟途徑之義務。換言之，思考公務人員之權利保障問題時，重點在於</w:t>
      </w:r>
      <w:r>
        <w:rPr>
          <w:rFonts w:ascii="新細明體" w:hAnsi="新細明體" w:cs="Arial" w:hint="eastAsia"/>
        </w:rPr>
        <w:t>「</w:t>
      </w:r>
      <w:r>
        <w:rPr>
          <w:rFonts w:ascii="新細明體" w:hAnsi="新細明體" w:cs="Arial" w:hint="eastAsia"/>
          <w:b/>
        </w:rPr>
        <w:t>公務人員之權利是否受到侵害</w:t>
      </w:r>
      <w:r>
        <w:rPr>
          <w:rFonts w:ascii="新細明體" w:hAnsi="新細明體" w:cs="Arial" w:hint="eastAsia"/>
        </w:rPr>
        <w:t>」，而非其法律關係為何。至於侵害行為的性質（是否為行政處分），</w:t>
      </w:r>
      <w:r>
        <w:rPr>
          <w:rFonts w:ascii="新細明體" w:hAnsi="新細明體" w:hint="eastAsia"/>
        </w:rPr>
        <w:t>只是選擇訴訟類型之標準。依照目</w:t>
      </w:r>
      <w:r>
        <w:rPr>
          <w:rFonts w:ascii="新細明體" w:hAnsi="新細明體" w:hint="eastAsia"/>
        </w:rPr>
        <w:t>前保障法之規定，公務人員對於管理措施之侵害，只能循申訴、再申訴途徑救濟，忽略其仍得提起給付或確認訴訟之可能性，似有違反前述法治國原則之要求，建議應該修法。</w:t>
      </w:r>
    </w:p>
    <w:p w:rsidR="00000000" w:rsidRDefault="00331256">
      <w:pPr>
        <w:spacing w:line="360" w:lineRule="auto"/>
        <w:jc w:val="both"/>
        <w:rPr>
          <w:rFonts w:ascii="新細明體" w:hAnsi="新細明體" w:hint="eastAsia"/>
        </w:rPr>
      </w:pPr>
    </w:p>
    <w:p w:rsidR="00000000" w:rsidRDefault="00331256">
      <w:pPr>
        <w:spacing w:line="360" w:lineRule="auto"/>
        <w:jc w:val="both"/>
        <w:rPr>
          <w:rFonts w:ascii="新細明體" w:hAnsi="新細明體" w:hint="eastAsia"/>
        </w:rPr>
      </w:pPr>
      <w:r>
        <w:rPr>
          <w:rFonts w:ascii="新細明體" w:hAnsi="新細明體" w:hint="eastAsia"/>
        </w:rPr>
        <w:t>二、強化保訓會之專業判斷機制</w:t>
      </w:r>
    </w:p>
    <w:p w:rsidR="00000000" w:rsidRDefault="00331256">
      <w:pPr>
        <w:spacing w:line="360" w:lineRule="auto"/>
        <w:ind w:firstLine="480"/>
        <w:jc w:val="both"/>
        <w:rPr>
          <w:rFonts w:ascii="新細明體" w:hAnsi="新細明體" w:cs="新細明體" w:hint="eastAsia"/>
          <w:kern w:val="0"/>
        </w:rPr>
      </w:pPr>
      <w:r>
        <w:rPr>
          <w:rFonts w:ascii="新細明體" w:hAnsi="新細明體" w:hint="eastAsia"/>
        </w:rPr>
        <w:t>如前所述，公務人員對於違法侵害權利之非行政處分行為，仍得提起給付或確認等訴訟。而且，根據現行行政訴訟法規定，提起給付或確認訴訟前並無須經過先行程序，此種制度設計，本計畫研究認為，於公務人員救濟程序應另作安排。亦即，公務人員對於非行政處分行為之侵害類型，仍以先經過保訓會先行程序處理為宜。此於前述外國立法例中不乏實例可參。依照</w:t>
      </w:r>
      <w:r>
        <w:rPr>
          <w:rFonts w:ascii="新細明體" w:hAnsi="新細明體" w:hint="eastAsia"/>
        </w:rPr>
        <w:t>德國公務員法基準法第</w:t>
      </w:r>
      <w:r>
        <w:rPr>
          <w:rFonts w:ascii="新細明體" w:hAnsi="新細明體" w:hint="eastAsia"/>
        </w:rPr>
        <w:t>126</w:t>
      </w:r>
      <w:r>
        <w:rPr>
          <w:rFonts w:ascii="新細明體" w:hAnsi="新細明體" w:hint="eastAsia"/>
        </w:rPr>
        <w:lastRenderedPageBreak/>
        <w:t>條第</w:t>
      </w:r>
      <w:r>
        <w:rPr>
          <w:rFonts w:ascii="新細明體" w:hAnsi="新細明體" w:hint="eastAsia"/>
        </w:rPr>
        <w:t>3</w:t>
      </w:r>
      <w:r>
        <w:rPr>
          <w:rFonts w:ascii="新細明體" w:hAnsi="新細明體" w:hint="eastAsia"/>
        </w:rPr>
        <w:t>項規定，公務員基於公務員關係所提起的全部訴訟，包括給付和確認訴訟在內，都必須經過先行程序，也就是異議程序，而且即使是最高行政機關所為之措施亦同。此種機制具有下列優點</w:t>
      </w:r>
      <w:r>
        <w:rPr>
          <w:rFonts w:ascii="新細明體" w:hAnsi="新細明體" w:cs="新細明體" w:hint="eastAsia"/>
          <w:kern w:val="0"/>
        </w:rPr>
        <w:t>：</w:t>
      </w:r>
    </w:p>
    <w:p w:rsidR="00000000" w:rsidRDefault="00331256">
      <w:pPr>
        <w:spacing w:line="360" w:lineRule="auto"/>
        <w:ind w:left="480" w:hangingChars="200" w:hanging="480"/>
        <w:jc w:val="both"/>
        <w:rPr>
          <w:rFonts w:ascii="新細明體" w:hAnsi="新細明體" w:cs="新細明體" w:hint="eastAsia"/>
          <w:kern w:val="0"/>
        </w:rPr>
      </w:pPr>
      <w:r>
        <w:rPr>
          <w:rFonts w:ascii="新細明體" w:hAnsi="新細明體" w:cs="新細明體" w:hint="eastAsia"/>
          <w:kern w:val="0"/>
        </w:rPr>
        <w:t>（一）可強化行政機關自我審查的機制、避免公務人員動輒與所屬機關對簿公堂，降低對雙方勤務與忠誠關係之危害。</w:t>
      </w:r>
    </w:p>
    <w:p w:rsidR="00000000" w:rsidRDefault="00331256">
      <w:pPr>
        <w:spacing w:line="360" w:lineRule="auto"/>
        <w:jc w:val="both"/>
        <w:rPr>
          <w:rFonts w:ascii="新細明體" w:hAnsi="新細明體" w:cs="新細明體" w:hint="eastAsia"/>
          <w:kern w:val="0"/>
        </w:rPr>
      </w:pPr>
      <w:r>
        <w:rPr>
          <w:rFonts w:ascii="新細明體" w:hAnsi="新細明體" w:cs="新細明體" w:hint="eastAsia"/>
          <w:kern w:val="0"/>
        </w:rPr>
        <w:t>（二）基於人事行政之專業性，由專業機關保訓會處理，更能有效地解決糾紛。</w:t>
      </w:r>
    </w:p>
    <w:p w:rsidR="00000000" w:rsidRDefault="00331256">
      <w:pPr>
        <w:spacing w:line="360" w:lineRule="auto"/>
        <w:jc w:val="both"/>
        <w:rPr>
          <w:rFonts w:ascii="新細明體" w:hAnsi="新細明體" w:cs="新細明體" w:hint="eastAsia"/>
          <w:kern w:val="0"/>
        </w:rPr>
      </w:pPr>
      <w:r>
        <w:rPr>
          <w:rFonts w:ascii="新細明體" w:hAnsi="新細明體" w:cs="新細明體" w:hint="eastAsia"/>
          <w:kern w:val="0"/>
        </w:rPr>
        <w:t>（三）可減輕法院負擔：</w:t>
      </w:r>
    </w:p>
    <w:p w:rsidR="00000000" w:rsidRDefault="00331256">
      <w:pPr>
        <w:spacing w:line="360" w:lineRule="auto"/>
        <w:ind w:leftChars="200" w:left="480"/>
        <w:jc w:val="both"/>
        <w:rPr>
          <w:rFonts w:ascii="新細明體" w:hAnsi="新細明體" w:cs="新細明體" w:hint="eastAsia"/>
          <w:kern w:val="0"/>
        </w:rPr>
      </w:pPr>
      <w:r>
        <w:rPr>
          <w:rFonts w:ascii="新細明體" w:hAnsi="新細明體" w:cs="新細明體" w:hint="eastAsia"/>
          <w:kern w:val="0"/>
        </w:rPr>
        <w:t>由於司法資源寶貴，透過保訓會之先行程序，可以達到行政機關自我糾正、</w:t>
      </w:r>
      <w:proofErr w:type="gramStart"/>
      <w:r>
        <w:rPr>
          <w:rFonts w:ascii="新細明體" w:hAnsi="新細明體" w:cs="新細明體" w:hint="eastAsia"/>
          <w:kern w:val="0"/>
        </w:rPr>
        <w:t>釐</w:t>
      </w:r>
      <w:proofErr w:type="gramEnd"/>
      <w:r>
        <w:rPr>
          <w:rFonts w:ascii="新細明體" w:hAnsi="新細明體" w:cs="新細明體" w:hint="eastAsia"/>
          <w:kern w:val="0"/>
        </w:rPr>
        <w:t>清案情及過濾案件之效果，達到減少</w:t>
      </w:r>
      <w:proofErr w:type="gramStart"/>
      <w:r>
        <w:rPr>
          <w:rFonts w:ascii="新細明體" w:hAnsi="新細明體" w:cs="新細明體" w:hint="eastAsia"/>
          <w:kern w:val="0"/>
        </w:rPr>
        <w:t>訟</w:t>
      </w:r>
      <w:proofErr w:type="gramEnd"/>
      <w:r>
        <w:rPr>
          <w:rFonts w:ascii="新細明體" w:hAnsi="新細明體" w:cs="新細明體" w:hint="eastAsia"/>
          <w:kern w:val="0"/>
        </w:rPr>
        <w:t>源或減少</w:t>
      </w:r>
      <w:r>
        <w:rPr>
          <w:rFonts w:ascii="新細明體" w:hAnsi="新細明體" w:cs="新細明體" w:hint="eastAsia"/>
          <w:kern w:val="0"/>
        </w:rPr>
        <w:t>法院負擔的功能。尤其，在擴大保障對象與增加救濟類型的前提之下，案件量勢必增加，更有賴保訓會的篩選機制。</w:t>
      </w:r>
    </w:p>
    <w:p w:rsidR="00000000" w:rsidRDefault="00331256">
      <w:pPr>
        <w:spacing w:line="360" w:lineRule="auto"/>
        <w:jc w:val="both"/>
        <w:rPr>
          <w:rFonts w:ascii="新細明體" w:hAnsi="新細明體" w:cs="新細明體" w:hint="eastAsia"/>
          <w:kern w:val="0"/>
        </w:rPr>
      </w:pPr>
      <w:r>
        <w:rPr>
          <w:rFonts w:ascii="新細明體" w:hAnsi="新細明體" w:cs="新細明體" w:hint="eastAsia"/>
          <w:kern w:val="0"/>
        </w:rPr>
        <w:t>（四）可</w:t>
      </w:r>
      <w:r>
        <w:rPr>
          <w:rFonts w:ascii="新細明體" w:hAnsi="新細明體"/>
        </w:rPr>
        <w:t>建構完</w:t>
      </w:r>
      <w:r>
        <w:rPr>
          <w:rFonts w:ascii="新細明體" w:hAnsi="新細明體" w:cs="新細明體"/>
          <w:kern w:val="0"/>
        </w:rPr>
        <w:t>整</w:t>
      </w:r>
      <w:r>
        <w:rPr>
          <w:rFonts w:ascii="新細明體" w:hAnsi="新細明體" w:hint="eastAsia"/>
        </w:rPr>
        <w:t>周全的</w:t>
      </w:r>
      <w:r>
        <w:rPr>
          <w:rFonts w:ascii="新細明體" w:hAnsi="新細明體" w:cs="新細明體"/>
          <w:kern w:val="0"/>
        </w:rPr>
        <w:t>公務人員救濟體系</w:t>
      </w:r>
      <w:r>
        <w:rPr>
          <w:rFonts w:ascii="新細明體" w:hAnsi="新細明體" w:cs="新細明體" w:hint="eastAsia"/>
          <w:kern w:val="0"/>
        </w:rPr>
        <w:t>：</w:t>
      </w:r>
    </w:p>
    <w:p w:rsidR="00000000" w:rsidRDefault="00331256">
      <w:pPr>
        <w:spacing w:line="360" w:lineRule="auto"/>
        <w:ind w:leftChars="200" w:left="480"/>
        <w:jc w:val="both"/>
        <w:rPr>
          <w:rFonts w:ascii="新細明體" w:hAnsi="新細明體" w:hint="eastAsia"/>
        </w:rPr>
      </w:pPr>
      <w:r>
        <w:rPr>
          <w:rFonts w:ascii="新細明體" w:hAnsi="新細明體" w:hint="eastAsia"/>
        </w:rPr>
        <w:t>強化保訓會之</w:t>
      </w:r>
      <w:r>
        <w:rPr>
          <w:rFonts w:ascii="新細明體" w:hAnsi="新細明體"/>
        </w:rPr>
        <w:t>審議</w:t>
      </w:r>
      <w:r>
        <w:rPr>
          <w:rFonts w:ascii="新細明體" w:hAnsi="新細明體" w:hint="eastAsia"/>
        </w:rPr>
        <w:t>與判斷</w:t>
      </w:r>
      <w:r>
        <w:rPr>
          <w:rFonts w:ascii="新細明體" w:hAnsi="新細明體"/>
        </w:rPr>
        <w:t>功能，</w:t>
      </w:r>
      <w:r>
        <w:rPr>
          <w:rFonts w:ascii="新細明體" w:hAnsi="新細明體" w:hint="eastAsia"/>
        </w:rPr>
        <w:t>使</w:t>
      </w:r>
      <w:r>
        <w:rPr>
          <w:rFonts w:ascii="新細明體" w:hAnsi="新細明體"/>
        </w:rPr>
        <w:t>相關審理程序規定更合時宜</w:t>
      </w:r>
      <w:r>
        <w:rPr>
          <w:rFonts w:ascii="新細明體" w:hAnsi="新細明體" w:hint="eastAsia"/>
        </w:rPr>
        <w:t>及</w:t>
      </w:r>
      <w:r>
        <w:rPr>
          <w:rFonts w:ascii="新細明體" w:hAnsi="新細明體"/>
        </w:rPr>
        <w:t>周延</w:t>
      </w:r>
      <w:r>
        <w:rPr>
          <w:rFonts w:ascii="新細明體" w:hAnsi="新細明體" w:hint="eastAsia"/>
        </w:rPr>
        <w:t>，</w:t>
      </w:r>
      <w:r>
        <w:rPr>
          <w:rFonts w:ascii="新細明體" w:hAnsi="新細明體"/>
        </w:rPr>
        <w:t>方能</w:t>
      </w:r>
      <w:r>
        <w:rPr>
          <w:rFonts w:ascii="新細明體" w:hAnsi="新細明體" w:hint="eastAsia"/>
        </w:rPr>
        <w:t>達到憲法所要求之有效</w:t>
      </w:r>
      <w:r>
        <w:rPr>
          <w:rFonts w:ascii="新細明體" w:hAnsi="新細明體"/>
        </w:rPr>
        <w:t>救濟</w:t>
      </w:r>
      <w:r>
        <w:rPr>
          <w:rFonts w:ascii="新細明體" w:hAnsi="新細明體" w:hint="eastAsia"/>
        </w:rPr>
        <w:t>功能。</w:t>
      </w:r>
    </w:p>
    <w:p w:rsidR="00000000" w:rsidRDefault="00331256">
      <w:pPr>
        <w:spacing w:line="360" w:lineRule="auto"/>
        <w:jc w:val="both"/>
        <w:rPr>
          <w:rFonts w:ascii="新細明體" w:hAnsi="新細明體" w:hint="eastAsia"/>
        </w:rPr>
      </w:pPr>
    </w:p>
    <w:p w:rsidR="00000000" w:rsidRDefault="00331256">
      <w:pPr>
        <w:spacing w:line="360" w:lineRule="auto"/>
        <w:jc w:val="both"/>
        <w:rPr>
          <w:rFonts w:ascii="新細明體" w:hAnsi="新細明體" w:hint="eastAsia"/>
        </w:rPr>
      </w:pPr>
      <w:r>
        <w:rPr>
          <w:rFonts w:ascii="新細明體" w:hAnsi="新細明體" w:hint="eastAsia"/>
        </w:rPr>
        <w:t>三、應配合行政訴訟法之規定增加復審類型</w:t>
      </w:r>
    </w:p>
    <w:p w:rsidR="00000000" w:rsidRDefault="00331256">
      <w:pPr>
        <w:spacing w:line="360" w:lineRule="auto"/>
        <w:ind w:firstLine="480"/>
        <w:jc w:val="both"/>
        <w:rPr>
          <w:rFonts w:ascii="新細明體" w:hAnsi="新細明體" w:hint="eastAsia"/>
        </w:rPr>
      </w:pPr>
      <w:r>
        <w:rPr>
          <w:rFonts w:ascii="新細明體" w:hAnsi="新細明體" w:hint="eastAsia"/>
        </w:rPr>
        <w:t>基於前述兩項理由，本計畫研究認為，在行政訴訟法修正之後，行政訴訟審判權範圍擴大，所有「公法上爭議」事件，除法律別有規定外，</w:t>
      </w:r>
      <w:proofErr w:type="gramStart"/>
      <w:r>
        <w:rPr>
          <w:rFonts w:ascii="新細明體" w:hAnsi="新細明體" w:hint="eastAsia"/>
        </w:rPr>
        <w:t>均得提起</w:t>
      </w:r>
      <w:proofErr w:type="gramEnd"/>
      <w:r>
        <w:rPr>
          <w:rFonts w:ascii="新細明體" w:hAnsi="新細明體" w:hint="eastAsia"/>
        </w:rPr>
        <w:t>行政訴訟（行政訴訟法第二條），訴訟類型也隨之增加，包括撤銷訴訟、課予義務訴訟、一般給付訴訟、確認</w:t>
      </w:r>
      <w:r>
        <w:rPr>
          <w:rFonts w:ascii="新細明體" w:hAnsi="新細明體" w:hint="eastAsia"/>
        </w:rPr>
        <w:t>訴訟、合併請求損害賠償或其他財產上給付之訴、維護公益訴訟、選舉罷免訴訟及其他無名訴訟。然而目前保障法的復審程序只規定「撤銷復審」以及「課予義務復審」兩種類型，就公務人員之訴訟權益保障而言，顯然有所不足，亟須配合行政訴訟法之規定予以擴充。故保障法中應增加與公務人員權益保障有關的「一般給付復審」、「確認復審」、「合併請求損害賠償或其他財產上給付復審」以及概括條款。</w:t>
      </w:r>
    </w:p>
    <w:p w:rsidR="00000000" w:rsidRDefault="00331256">
      <w:pPr>
        <w:spacing w:line="360" w:lineRule="auto"/>
        <w:jc w:val="both"/>
        <w:rPr>
          <w:rFonts w:ascii="新細明體" w:hAnsi="新細明體" w:hint="eastAsia"/>
        </w:rPr>
      </w:pPr>
    </w:p>
    <w:p w:rsidR="00000000" w:rsidRDefault="00331256">
      <w:pPr>
        <w:spacing w:line="360" w:lineRule="auto"/>
        <w:jc w:val="both"/>
        <w:rPr>
          <w:rFonts w:ascii="新細明體" w:hAnsi="新細明體" w:hint="eastAsia"/>
        </w:rPr>
      </w:pPr>
      <w:r>
        <w:rPr>
          <w:rFonts w:ascii="新細明體" w:hAnsi="新細明體" w:hint="eastAsia"/>
        </w:rPr>
        <w:lastRenderedPageBreak/>
        <w:t>四、申訴再申訴程序處理之對象應不包含影響權益之「違法」</w:t>
      </w:r>
      <w:r>
        <w:rPr>
          <w:rFonts w:ascii="新細明體" w:hAnsi="新細明體"/>
        </w:rPr>
        <w:t>管理措施</w:t>
      </w:r>
      <w:r>
        <w:rPr>
          <w:rFonts w:ascii="新細明體" w:hAnsi="新細明體" w:hint="eastAsia"/>
        </w:rPr>
        <w:t>在內</w:t>
      </w:r>
    </w:p>
    <w:p w:rsidR="00000000" w:rsidRDefault="00331256">
      <w:pPr>
        <w:spacing w:line="360" w:lineRule="auto"/>
        <w:ind w:firstLine="480"/>
        <w:jc w:val="both"/>
        <w:rPr>
          <w:rFonts w:ascii="新細明體" w:hAnsi="新細明體"/>
        </w:rPr>
      </w:pPr>
      <w:r>
        <w:rPr>
          <w:rFonts w:ascii="新細明體" w:hAnsi="新細明體" w:hint="eastAsia"/>
        </w:rPr>
        <w:t>目前</w:t>
      </w:r>
      <w:r>
        <w:rPr>
          <w:rFonts w:hint="eastAsia"/>
        </w:rPr>
        <w:t>申訴再申訴程序處理之對象包含影響權益之「違法」與「不當」</w:t>
      </w:r>
      <w:r>
        <w:rPr>
          <w:rFonts w:ascii="新細明體" w:hAnsi="新細明體"/>
        </w:rPr>
        <w:t>管理措施</w:t>
      </w:r>
      <w:r>
        <w:rPr>
          <w:rFonts w:ascii="新細明體" w:hAnsi="新細明體" w:hint="eastAsia"/>
        </w:rPr>
        <w:t>在內。日後</w:t>
      </w:r>
      <w:r>
        <w:rPr>
          <w:rFonts w:ascii="新細明體" w:hAnsi="新細明體" w:hint="eastAsia"/>
        </w:rPr>
        <w:t>倘增加復審類型，在公法上之職務關係中</w:t>
      </w:r>
      <w:r>
        <w:rPr>
          <w:rFonts w:hint="eastAsia"/>
        </w:rPr>
        <w:t>影響權益之所有「違法」具體</w:t>
      </w:r>
      <w:r>
        <w:rPr>
          <w:rFonts w:ascii="新細明體" w:hAnsi="新細明體"/>
        </w:rPr>
        <w:t>措施</w:t>
      </w:r>
      <w:r>
        <w:rPr>
          <w:rFonts w:ascii="新細明體" w:hAnsi="新細明體" w:hint="eastAsia"/>
        </w:rPr>
        <w:t>或決定，應是「給付復審」、「確認復審」等類型處理的範圍，唯有</w:t>
      </w:r>
      <w:r>
        <w:rPr>
          <w:rFonts w:hint="eastAsia"/>
        </w:rPr>
        <w:t>「不當」之具體</w:t>
      </w:r>
      <w:r>
        <w:rPr>
          <w:rFonts w:ascii="新細明體" w:hAnsi="新細明體"/>
        </w:rPr>
        <w:t>措施</w:t>
      </w:r>
      <w:r>
        <w:rPr>
          <w:rFonts w:ascii="新細明體" w:hAnsi="新細明體" w:hint="eastAsia"/>
        </w:rPr>
        <w:t>或決定才是申訴再申訴處理的對象。是故屆時</w:t>
      </w:r>
      <w:r>
        <w:rPr>
          <w:rFonts w:hint="eastAsia"/>
        </w:rPr>
        <w:t>申訴再申訴程序處理之對象將有所增減。一方面，將不再包含「違法」之</w:t>
      </w:r>
      <w:r>
        <w:rPr>
          <w:rFonts w:ascii="新細明體" w:hAnsi="新細明體"/>
        </w:rPr>
        <w:t>管理措施</w:t>
      </w:r>
      <w:r>
        <w:rPr>
          <w:rFonts w:ascii="新細明體" w:hAnsi="新細明體" w:hint="eastAsia"/>
        </w:rPr>
        <w:t>在內，但另一方面，針對「不當」之行政處分則亦允許公務人員提出申訴再申訴。</w:t>
      </w:r>
    </w:p>
    <w:p w:rsidR="00000000" w:rsidRDefault="00331256">
      <w:pPr>
        <w:spacing w:line="360" w:lineRule="auto"/>
        <w:ind w:firstLine="480"/>
        <w:jc w:val="both"/>
        <w:rPr>
          <w:rFonts w:ascii="新細明體" w:hAnsi="新細明體" w:hint="eastAsia"/>
        </w:rPr>
      </w:pPr>
    </w:p>
    <w:p w:rsidR="00000000" w:rsidRDefault="00331256">
      <w:pPr>
        <w:spacing w:line="360" w:lineRule="auto"/>
        <w:jc w:val="both"/>
        <w:rPr>
          <w:rFonts w:ascii="新細明體" w:hAnsi="新細明體" w:hint="eastAsia"/>
        </w:rPr>
      </w:pPr>
      <w:r>
        <w:rPr>
          <w:rFonts w:ascii="新細明體" w:hAnsi="新細明體" w:hint="eastAsia"/>
        </w:rPr>
        <w:t>五、關於暫時性權利保護制度：</w:t>
      </w:r>
    </w:p>
    <w:p w:rsidR="00000000" w:rsidRDefault="00331256">
      <w:pPr>
        <w:spacing w:line="360" w:lineRule="auto"/>
        <w:ind w:firstLine="480"/>
        <w:jc w:val="both"/>
        <w:rPr>
          <w:rFonts w:ascii="新細明體" w:hAnsi="新細明體" w:hint="eastAsia"/>
        </w:rPr>
      </w:pPr>
      <w:r>
        <w:rPr>
          <w:rFonts w:ascii="新細明體" w:hAnsi="新細明體" w:hint="eastAsia"/>
        </w:rPr>
        <w:t>根據本計畫之規劃，保障法中關於暫時性權利保護制度應有三個改進的方向：</w:t>
      </w:r>
    </w:p>
    <w:p w:rsidR="00000000" w:rsidRDefault="00331256">
      <w:pPr>
        <w:spacing w:line="360" w:lineRule="auto"/>
        <w:jc w:val="both"/>
        <w:rPr>
          <w:rFonts w:ascii="新細明體" w:hAnsi="新細明體" w:hint="eastAsia"/>
        </w:rPr>
      </w:pPr>
      <w:r>
        <w:rPr>
          <w:rFonts w:ascii="新細明體" w:hAnsi="新細明體" w:hint="eastAsia"/>
        </w:rPr>
        <w:t>（一）申訴程序之暫時權利保護制度應改為假處分程序為妥；</w:t>
      </w:r>
    </w:p>
    <w:p w:rsidR="00000000" w:rsidRDefault="00331256">
      <w:pPr>
        <w:spacing w:line="360" w:lineRule="auto"/>
        <w:jc w:val="both"/>
        <w:rPr>
          <w:rFonts w:ascii="新細明體" w:hAnsi="新細明體" w:hint="eastAsia"/>
        </w:rPr>
      </w:pPr>
      <w:r>
        <w:rPr>
          <w:rFonts w:ascii="新細明體" w:hAnsi="新細明體" w:hint="eastAsia"/>
        </w:rPr>
        <w:t>（二）不論是復審或申訴制</w:t>
      </w:r>
      <w:r>
        <w:rPr>
          <w:rFonts w:ascii="新細明體" w:hAnsi="新細明體" w:hint="eastAsia"/>
        </w:rPr>
        <w:t>度，都應增設「假處分」程序；</w:t>
      </w:r>
    </w:p>
    <w:p w:rsidR="00000000" w:rsidRDefault="00331256">
      <w:pPr>
        <w:spacing w:line="360" w:lineRule="auto"/>
        <w:jc w:val="both"/>
        <w:rPr>
          <w:rFonts w:ascii="新細明體" w:hAnsi="新細明體" w:hint="eastAsia"/>
        </w:rPr>
      </w:pPr>
      <w:r>
        <w:rPr>
          <w:rFonts w:ascii="新細明體" w:hAnsi="新細明體" w:hint="eastAsia"/>
        </w:rPr>
        <w:t>（三）實務運作上關於停止執行之實體審查基準，有檢討之必要。</w:t>
      </w:r>
    </w:p>
    <w:p w:rsidR="00331256" w:rsidRDefault="00331256">
      <w:pPr>
        <w:spacing w:line="360" w:lineRule="auto"/>
        <w:ind w:firstLine="480"/>
        <w:jc w:val="both"/>
      </w:pPr>
      <w:r>
        <w:rPr>
          <w:rFonts w:hint="eastAsia"/>
        </w:rPr>
        <w:t>詳細理由請參考第三篇</w:t>
      </w:r>
      <w:proofErr w:type="gramStart"/>
      <w:r>
        <w:rPr>
          <w:rFonts w:hint="eastAsia"/>
        </w:rPr>
        <w:t>第三章修法</w:t>
      </w:r>
      <w:proofErr w:type="gramEnd"/>
      <w:r>
        <w:rPr>
          <w:rFonts w:hint="eastAsia"/>
        </w:rPr>
        <w:t>建議之部分。</w:t>
      </w:r>
    </w:p>
    <w:sectPr w:rsidR="0033125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2A9A"/>
    <w:multiLevelType w:val="hybridMultilevel"/>
    <w:tmpl w:val="96D2903E"/>
    <w:lvl w:ilvl="0" w:tplc="533A6E5C">
      <w:start w:val="1"/>
      <w:numFmt w:val="taiwaneseCountingThousand"/>
      <w:lvlText w:val="第%1章、"/>
      <w:lvlJc w:val="left"/>
      <w:pPr>
        <w:tabs>
          <w:tab w:val="num" w:pos="1125"/>
        </w:tabs>
        <w:ind w:left="1125" w:hanging="1125"/>
      </w:pPr>
      <w:rPr>
        <w:rFonts w:hint="default"/>
      </w:rPr>
    </w:lvl>
    <w:lvl w:ilvl="1" w:tplc="ADA4FDCE">
      <w:start w:val="1"/>
      <w:numFmt w:val="taiwaneseCountingThousand"/>
      <w:lvlText w:val="%2、"/>
      <w:lvlJc w:val="left"/>
      <w:pPr>
        <w:tabs>
          <w:tab w:val="num" w:pos="960"/>
        </w:tabs>
        <w:ind w:left="960" w:hanging="480"/>
      </w:pPr>
      <w:rPr>
        <w:rFonts w:hint="default"/>
      </w:rPr>
    </w:lvl>
    <w:lvl w:ilvl="2" w:tplc="4796C796">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F72FB2"/>
    <w:multiLevelType w:val="hybridMultilevel"/>
    <w:tmpl w:val="CE9CD3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84"/>
    <w:rsid w:val="00331256"/>
    <w:rsid w:val="005F4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5CC07F-5E5D-47D4-ADBB-1359D00F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ext1">
    <w:name w:val="stext1"/>
    <w:basedOn w:val="a0"/>
    <w:rPr>
      <w:spacing w:val="3168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第八章 結 論</dc:title>
  <dc:subject/>
  <dc:creator>8327</dc:creator>
  <cp:keywords/>
  <dc:description/>
  <cp:lastModifiedBy>卓卿雲</cp:lastModifiedBy>
  <cp:revision>2</cp:revision>
  <dcterms:created xsi:type="dcterms:W3CDTF">2021-09-27T01:01:00Z</dcterms:created>
  <dcterms:modified xsi:type="dcterms:W3CDTF">2021-09-27T01:01:00Z</dcterms:modified>
</cp:coreProperties>
</file>