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F59A1">
      <w:pPr>
        <w:overflowPunct w:val="0"/>
        <w:autoSpaceDE w:val="0"/>
        <w:autoSpaceDN w:val="0"/>
        <w:adjustRightInd w:val="0"/>
        <w:spacing w:beforeLines="50" w:before="180" w:afterLines="50" w:after="180" w:line="520" w:lineRule="exact"/>
        <w:jc w:val="center"/>
        <w:rPr>
          <w:rStyle w:val="stext1"/>
          <w:rFonts w:ascii="新細明體" w:hAnsi="新細明體" w:hint="eastAsia"/>
        </w:rPr>
      </w:pPr>
      <w:bookmarkStart w:id="0" w:name="_GoBack"/>
      <w:bookmarkEnd w:id="0"/>
      <w:r>
        <w:rPr>
          <w:rFonts w:ascii="新細明體" w:hAnsi="新細明體" w:hint="eastAsia"/>
          <w:b/>
          <w:sz w:val="28"/>
          <w:szCs w:val="28"/>
        </w:rPr>
        <w:t>第四章</w:t>
      </w:r>
      <w:r>
        <w:rPr>
          <w:rFonts w:ascii="新細明體" w:hAnsi="新細明體" w:hint="eastAsia"/>
          <w:b/>
          <w:sz w:val="28"/>
          <w:szCs w:val="28"/>
        </w:rPr>
        <w:t xml:space="preserve"> </w:t>
      </w:r>
      <w:r>
        <w:rPr>
          <w:rFonts w:ascii="新細明體" w:hAnsi="新細明體" w:hint="eastAsia"/>
          <w:b/>
          <w:sz w:val="28"/>
          <w:szCs w:val="28"/>
        </w:rPr>
        <w:t>保障對象之修法建議</w:t>
      </w:r>
    </w:p>
    <w:p w:rsidR="00000000" w:rsidRDefault="00BF59A1">
      <w:pPr>
        <w:overflowPunct w:val="0"/>
        <w:autoSpaceDE w:val="0"/>
        <w:autoSpaceDN w:val="0"/>
        <w:adjustRightInd w:val="0"/>
        <w:spacing w:beforeLines="50" w:before="180" w:afterLines="50" w:after="180" w:line="520" w:lineRule="exact"/>
        <w:jc w:val="both"/>
        <w:rPr>
          <w:rFonts w:ascii="新細明體" w:hAnsi="新細明體" w:hint="eastAsia"/>
          <w:b/>
          <w:sz w:val="32"/>
          <w:szCs w:val="32"/>
        </w:rPr>
      </w:pPr>
    </w:p>
    <w:p w:rsidR="00000000" w:rsidRDefault="00BF59A1">
      <w:pPr>
        <w:spacing w:line="360" w:lineRule="auto"/>
        <w:ind w:firstLineChars="200" w:firstLine="480"/>
        <w:jc w:val="both"/>
        <w:rPr>
          <w:rFonts w:ascii="新細明體" w:hAnsi="新細明體" w:hint="eastAsia"/>
        </w:rPr>
      </w:pPr>
      <w:r>
        <w:rPr>
          <w:rFonts w:ascii="新細明體" w:hAnsi="新細明體" w:hint="eastAsia"/>
        </w:rPr>
        <w:t>綜合前述有關我國及外國公務人員保障制度中保障對象的介紹與檢討之後，本研究認為，我國未來公務人員保障制度的保障對象，可以朝以下方向思考放寬。因為，為因應新公共管理的發展趨勢及政府改造，無論是德國或日本對於公務員制度皆有不同程度的改革，其中日本的改革幅度相當大。將來我國若參考日本也建立「官民人才交流制度」時，除交流派遣的公務員，如何保障其權利或利益之外，派遣採用而進入公部門體系的民間企業人才，應依法律或是透過契約加以保障，也值得思考。不過，此部分因無現行制度，僅提供理論上的建議而已</w:t>
      </w:r>
      <w:r>
        <w:rPr>
          <w:rFonts w:ascii="新細明體" w:hAnsi="新細明體" w:hint="eastAsia"/>
        </w:rPr>
        <w:t>。至於現階段主要問題有以下兩點：</w:t>
      </w:r>
    </w:p>
    <w:p w:rsidR="00000000" w:rsidRDefault="00BF59A1">
      <w:pPr>
        <w:spacing w:line="360" w:lineRule="auto"/>
        <w:ind w:firstLineChars="200" w:firstLine="480"/>
        <w:jc w:val="both"/>
        <w:rPr>
          <w:rFonts w:ascii="新細明體" w:hAnsi="新細明體" w:hint="eastAsia"/>
        </w:rPr>
      </w:pPr>
      <w:r>
        <w:rPr>
          <w:rFonts w:ascii="新細明體" w:hAnsi="新細明體" w:hint="eastAsia"/>
        </w:rPr>
        <w:t xml:space="preserve"> </w:t>
      </w:r>
    </w:p>
    <w:p w:rsidR="00000000" w:rsidRDefault="00BF59A1">
      <w:pPr>
        <w:spacing w:line="360" w:lineRule="auto"/>
        <w:jc w:val="both"/>
        <w:rPr>
          <w:rFonts w:ascii="新細明體" w:hAnsi="新細明體" w:hint="eastAsia"/>
        </w:rPr>
      </w:pPr>
      <w:r>
        <w:rPr>
          <w:rFonts w:ascii="新細明體" w:hAnsi="新細明體" w:hint="eastAsia"/>
        </w:rPr>
        <w:t>壹、</w:t>
      </w:r>
      <w:proofErr w:type="gramStart"/>
      <w:r>
        <w:rPr>
          <w:rFonts w:ascii="新細明體" w:hAnsi="新細明體" w:hint="eastAsia"/>
        </w:rPr>
        <w:t>釐</w:t>
      </w:r>
      <w:proofErr w:type="gramEnd"/>
      <w:r>
        <w:rPr>
          <w:rFonts w:ascii="新細明體" w:hAnsi="新細明體" w:hint="eastAsia"/>
        </w:rPr>
        <w:t>清保障法之保障對象</w:t>
      </w:r>
    </w:p>
    <w:p w:rsidR="00000000" w:rsidRDefault="00BF59A1">
      <w:pPr>
        <w:spacing w:line="360" w:lineRule="auto"/>
        <w:jc w:val="both"/>
        <w:rPr>
          <w:rFonts w:ascii="新細明體" w:hAnsi="新細明體" w:hint="eastAsia"/>
        </w:rPr>
      </w:pPr>
      <w:r>
        <w:rPr>
          <w:rFonts w:ascii="新細明體" w:hAnsi="新細明體" w:hint="eastAsia"/>
        </w:rPr>
        <w:t>我國「公務員」或「公務人員」概念頗為繁複，這些概念並非指涉相同性質之法律關係。本計畫以為，公務人員任用法上之「公務人員」概念以及公務員服務法上之「公務員」概念，乃是核心之概念。由於「公務員」概念指涉對象之範圍較廣，包含了「公務人員」概念之指涉對象，從而可能將前者理解為後者之上位概念。在比較法上，德國法將</w:t>
      </w:r>
      <w:r>
        <w:rPr>
          <w:rFonts w:ascii="新細明體" w:hAnsi="新細明體" w:hint="eastAsia"/>
          <w:bCs/>
        </w:rPr>
        <w:t>公職人員分成三大類，即公務員（</w:t>
      </w:r>
      <w:proofErr w:type="spellStart"/>
      <w:r>
        <w:rPr>
          <w:rFonts w:ascii="新細明體" w:hAnsi="新細明體" w:hint="eastAsia"/>
          <w:bCs/>
        </w:rPr>
        <w:t>Beamte</w:t>
      </w:r>
      <w:proofErr w:type="spellEnd"/>
      <w:r>
        <w:rPr>
          <w:rFonts w:ascii="新細明體" w:hAnsi="新細明體" w:hint="eastAsia"/>
          <w:bCs/>
        </w:rPr>
        <w:t>）、職員（</w:t>
      </w:r>
      <w:proofErr w:type="spellStart"/>
      <w:r>
        <w:rPr>
          <w:rFonts w:ascii="新細明體" w:hAnsi="新細明體" w:hint="eastAsia"/>
          <w:bCs/>
        </w:rPr>
        <w:t>Angestellte</w:t>
      </w:r>
      <w:proofErr w:type="spellEnd"/>
      <w:r>
        <w:rPr>
          <w:rFonts w:ascii="新細明體" w:hAnsi="新細明體" w:hint="eastAsia"/>
          <w:bCs/>
        </w:rPr>
        <w:t>）及工友（</w:t>
      </w:r>
      <w:proofErr w:type="spellStart"/>
      <w:r>
        <w:rPr>
          <w:rFonts w:ascii="新細明體" w:hAnsi="新細明體" w:hint="eastAsia"/>
          <w:bCs/>
        </w:rPr>
        <w:t>Arbeiter</w:t>
      </w:r>
      <w:proofErr w:type="spellEnd"/>
      <w:r>
        <w:rPr>
          <w:rFonts w:ascii="新細明體" w:hAnsi="新細明體" w:hint="eastAsia"/>
          <w:bCs/>
        </w:rPr>
        <w:t>），而保障制度僅限於公務員部分，職員與工友因</w:t>
      </w:r>
      <w:r>
        <w:rPr>
          <w:rFonts w:ascii="新細明體" w:hAnsi="新細明體" w:hint="eastAsia"/>
          <w:bCs/>
        </w:rPr>
        <w:t>係以團體勞動契約（</w:t>
      </w:r>
      <w:proofErr w:type="spellStart"/>
      <w:r>
        <w:rPr>
          <w:rFonts w:ascii="新細明體" w:hAnsi="新細明體" w:hint="eastAsia"/>
          <w:bCs/>
        </w:rPr>
        <w:t>Tarifvertrag</w:t>
      </w:r>
      <w:proofErr w:type="spellEnd"/>
      <w:r>
        <w:rPr>
          <w:rFonts w:ascii="新細明體" w:hAnsi="新細明體" w:hint="eastAsia"/>
          <w:bCs/>
        </w:rPr>
        <w:t>）來規範國家與其彼此間之法律關係，故其保障亦以契約條款行之</w:t>
      </w:r>
      <w:r>
        <w:rPr>
          <w:rStyle w:val="a5"/>
          <w:rFonts w:ascii="新細明體" w:hAnsi="新細明體"/>
          <w:bCs/>
        </w:rPr>
        <w:footnoteReference w:id="1"/>
      </w:r>
      <w:r>
        <w:rPr>
          <w:rFonts w:ascii="新細明體" w:hAnsi="新細明體" w:hint="eastAsia"/>
          <w:bCs/>
        </w:rPr>
        <w:t>，此種身分的區別相當清楚。日本法上的公務員雖也有不同意義，但其有一般性的國家公務員法及地方公務員法，在法律上明確規定一般職及</w:t>
      </w:r>
      <w:proofErr w:type="gramStart"/>
      <w:r>
        <w:rPr>
          <w:rFonts w:ascii="新細明體" w:hAnsi="新細明體" w:hint="eastAsia"/>
          <w:bCs/>
        </w:rPr>
        <w:t>特別</w:t>
      </w:r>
      <w:proofErr w:type="gramEnd"/>
      <w:r>
        <w:rPr>
          <w:rFonts w:ascii="新細明體" w:hAnsi="新細明體" w:hint="eastAsia"/>
          <w:bCs/>
        </w:rPr>
        <w:t>職，有爭議的個案交由人事院或其他人事委員會、公平委員會認定，操作標準相對清楚。而我國公務員概念各法定義不同，或以「</w:t>
      </w:r>
      <w:r>
        <w:rPr>
          <w:rFonts w:ascii="新細明體" w:hAnsi="新細明體" w:hint="eastAsia"/>
        </w:rPr>
        <w:t>任用行為</w:t>
      </w:r>
      <w:r>
        <w:rPr>
          <w:rFonts w:ascii="新細明體" w:hAnsi="新細明體" w:hint="eastAsia"/>
          <w:bCs/>
        </w:rPr>
        <w:t>」，或以「</w:t>
      </w:r>
      <w:r>
        <w:rPr>
          <w:rFonts w:ascii="新細明體" w:hAnsi="新細明體" w:hint="eastAsia"/>
        </w:rPr>
        <w:t>俸給</w:t>
      </w:r>
      <w:r>
        <w:rPr>
          <w:rFonts w:ascii="新細明體" w:hAnsi="新細明體" w:hint="eastAsia"/>
          <w:bCs/>
        </w:rPr>
        <w:t>」為區別標準，致使保障法中又區分第</w:t>
      </w:r>
      <w:r>
        <w:rPr>
          <w:rFonts w:ascii="新細明體" w:hAnsi="新細明體" w:hint="eastAsia"/>
          <w:bCs/>
        </w:rPr>
        <w:t>3</w:t>
      </w:r>
      <w:r>
        <w:rPr>
          <w:rFonts w:ascii="新細明體" w:hAnsi="新細明體" w:hint="eastAsia"/>
          <w:bCs/>
        </w:rPr>
        <w:t>條適用的公務人員概念及第</w:t>
      </w:r>
      <w:r>
        <w:rPr>
          <w:rFonts w:ascii="新細明體" w:hAnsi="新細明體" w:hint="eastAsia"/>
          <w:bCs/>
        </w:rPr>
        <w:t>102</w:t>
      </w:r>
      <w:r>
        <w:rPr>
          <w:rFonts w:ascii="新細明體" w:hAnsi="新細明體" w:hint="eastAsia"/>
          <w:bCs/>
        </w:rPr>
        <w:t>條之</w:t>
      </w:r>
      <w:proofErr w:type="gramStart"/>
      <w:r>
        <w:rPr>
          <w:rFonts w:ascii="新細明體" w:hAnsi="新細明體" w:hint="eastAsia"/>
          <w:bCs/>
        </w:rPr>
        <w:lastRenderedPageBreak/>
        <w:t>準</w:t>
      </w:r>
      <w:proofErr w:type="gramEnd"/>
      <w:r>
        <w:rPr>
          <w:rFonts w:ascii="新細明體" w:hAnsi="新細明體" w:hint="eastAsia"/>
          <w:bCs/>
        </w:rPr>
        <w:t>用人員概念。此種區分方式有必要檢討修正。</w:t>
      </w:r>
      <w:r>
        <w:rPr>
          <w:rFonts w:ascii="新細明體" w:hAnsi="新細明體" w:hint="eastAsia"/>
        </w:rPr>
        <w:t>因為，如有具公法上職務關係之人員不</w:t>
      </w:r>
      <w:r>
        <w:rPr>
          <w:rFonts w:ascii="新細明體" w:hAnsi="新細明體" w:hint="eastAsia"/>
        </w:rPr>
        <w:t>在公務人員保障法之保障範圍，在法政策上具有不圓滿性，可能構成法律漏洞，故應透過修法來填補此一漏洞。</w:t>
      </w:r>
    </w:p>
    <w:p w:rsidR="00000000" w:rsidRDefault="00BF59A1">
      <w:pPr>
        <w:spacing w:line="360" w:lineRule="auto"/>
        <w:jc w:val="both"/>
        <w:rPr>
          <w:rFonts w:ascii="新細明體" w:hAnsi="新細明體" w:hint="eastAsia"/>
        </w:rPr>
      </w:pPr>
    </w:p>
    <w:p w:rsidR="00000000" w:rsidRDefault="00BF59A1">
      <w:pPr>
        <w:spacing w:line="360" w:lineRule="auto"/>
        <w:jc w:val="both"/>
        <w:rPr>
          <w:rFonts w:ascii="新細明體" w:hAnsi="新細明體" w:hint="eastAsia"/>
        </w:rPr>
      </w:pPr>
      <w:r>
        <w:rPr>
          <w:rFonts w:ascii="新細明體" w:hAnsi="新細明體" w:hint="eastAsia"/>
        </w:rPr>
        <w:t>貳、擴大保障法之保障對象</w:t>
      </w:r>
    </w:p>
    <w:p w:rsidR="00000000" w:rsidRDefault="00BF59A1">
      <w:pPr>
        <w:spacing w:line="360" w:lineRule="auto"/>
        <w:ind w:firstLineChars="200" w:firstLine="480"/>
        <w:jc w:val="both"/>
        <w:rPr>
          <w:rFonts w:ascii="新細明體" w:hAnsi="新細明體" w:hint="eastAsia"/>
        </w:rPr>
      </w:pPr>
      <w:r>
        <w:rPr>
          <w:rFonts w:ascii="新細明體" w:hAnsi="新細明體" w:hint="eastAsia"/>
        </w:rPr>
        <w:t>基於上述，目前與國家處於公法上職務關係卻非公務人員保障法之保障對象，應修法納入，包括：</w:t>
      </w:r>
    </w:p>
    <w:p w:rsidR="00000000" w:rsidRDefault="00BF59A1">
      <w:pPr>
        <w:numPr>
          <w:ilvl w:val="1"/>
          <w:numId w:val="1"/>
        </w:numPr>
        <w:spacing w:line="360" w:lineRule="auto"/>
        <w:jc w:val="both"/>
        <w:rPr>
          <w:rFonts w:ascii="新細明體" w:hAnsi="新細明體" w:hint="eastAsia"/>
        </w:rPr>
      </w:pPr>
      <w:r>
        <w:rPr>
          <w:rFonts w:ascii="新細明體" w:hAnsi="新細明體" w:hint="eastAsia"/>
        </w:rPr>
        <w:t>依行政院暨所屬機關約雇人員僱用辦法進用之約</w:t>
      </w:r>
      <w:proofErr w:type="gramStart"/>
      <w:r>
        <w:rPr>
          <w:rFonts w:ascii="新細明體" w:hAnsi="新細明體" w:hint="eastAsia"/>
        </w:rPr>
        <w:t>僱</w:t>
      </w:r>
      <w:proofErr w:type="gramEnd"/>
      <w:r>
        <w:rPr>
          <w:rFonts w:ascii="新細明體" w:hAnsi="新細明體" w:hint="eastAsia"/>
        </w:rPr>
        <w:t>人員，</w:t>
      </w:r>
    </w:p>
    <w:p w:rsidR="00000000" w:rsidRDefault="00BF59A1">
      <w:pPr>
        <w:numPr>
          <w:ilvl w:val="1"/>
          <w:numId w:val="1"/>
        </w:numPr>
        <w:spacing w:line="360" w:lineRule="auto"/>
        <w:jc w:val="both"/>
        <w:rPr>
          <w:rFonts w:ascii="新細明體" w:hAnsi="新細明體" w:hint="eastAsia"/>
        </w:rPr>
      </w:pPr>
      <w:r>
        <w:rPr>
          <w:rFonts w:ascii="新細明體" w:hAnsi="新細明體" w:hint="eastAsia"/>
        </w:rPr>
        <w:t>各級學校校長，</w:t>
      </w:r>
    </w:p>
    <w:p w:rsidR="00000000" w:rsidRDefault="00BF59A1">
      <w:pPr>
        <w:numPr>
          <w:ilvl w:val="1"/>
          <w:numId w:val="1"/>
        </w:numPr>
        <w:spacing w:line="360" w:lineRule="auto"/>
        <w:jc w:val="both"/>
        <w:rPr>
          <w:rFonts w:ascii="新細明體" w:hAnsi="新細明體" w:hint="eastAsia"/>
        </w:rPr>
      </w:pPr>
      <w:r>
        <w:rPr>
          <w:rFonts w:ascii="新細明體" w:hAnsi="新細明體" w:hint="eastAsia"/>
        </w:rPr>
        <w:t>公營事業人員中，除交通事業人員外其他依行政內部規章任用之人員。</w:t>
      </w:r>
    </w:p>
    <w:p w:rsidR="00BF59A1" w:rsidRDefault="00BF59A1"/>
    <w:sectPr w:rsidR="00BF59A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9A1" w:rsidRDefault="00BF59A1">
      <w:r>
        <w:separator/>
      </w:r>
    </w:p>
  </w:endnote>
  <w:endnote w:type="continuationSeparator" w:id="0">
    <w:p w:rsidR="00BF59A1" w:rsidRDefault="00BF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9A1" w:rsidRDefault="00BF59A1">
      <w:r>
        <w:separator/>
      </w:r>
    </w:p>
  </w:footnote>
  <w:footnote w:type="continuationSeparator" w:id="0">
    <w:p w:rsidR="00BF59A1" w:rsidRDefault="00BF59A1">
      <w:r>
        <w:continuationSeparator/>
      </w:r>
    </w:p>
  </w:footnote>
  <w:footnote w:id="1">
    <w:p w:rsidR="00000000" w:rsidRDefault="00BF59A1">
      <w:pPr>
        <w:pStyle w:val="a3"/>
        <w:tabs>
          <w:tab w:val="left" w:pos="720"/>
        </w:tabs>
        <w:rPr>
          <w:rStyle w:val="a4"/>
          <w:rFonts w:ascii="新細明體" w:hAnsi="新細明體" w:hint="eastAsia"/>
          <w:kern w:val="0"/>
        </w:rPr>
      </w:pPr>
      <w:r>
        <w:rPr>
          <w:rStyle w:val="a4"/>
          <w:rFonts w:ascii="新細明體" w:hAnsi="新細明體"/>
          <w:kern w:val="0"/>
        </w:rPr>
        <w:footnoteRef/>
      </w:r>
      <w:r>
        <w:rPr>
          <w:rStyle w:val="a4"/>
          <w:rFonts w:ascii="新細明體" w:hAnsi="新細明體"/>
          <w:kern w:val="0"/>
        </w:rPr>
        <w:t xml:space="preserve"> </w:t>
      </w:r>
      <w:r>
        <w:rPr>
          <w:rStyle w:val="a4"/>
          <w:rFonts w:ascii="新細明體" w:hAnsi="新細明體" w:hint="eastAsia"/>
          <w:kern w:val="0"/>
        </w:rPr>
        <w:t>林明鏘，</w:t>
      </w:r>
      <w:proofErr w:type="gramStart"/>
      <w:r>
        <w:rPr>
          <w:rStyle w:val="a4"/>
          <w:rFonts w:ascii="新細明體" w:hAnsi="新細明體" w:hint="eastAsia"/>
          <w:kern w:val="0"/>
        </w:rPr>
        <w:t>前揭書</w:t>
      </w:r>
      <w:proofErr w:type="gramEnd"/>
      <w:r>
        <w:rPr>
          <w:rStyle w:val="a4"/>
          <w:rFonts w:ascii="新細明體" w:hAnsi="新細明體" w:hint="eastAsia"/>
          <w:kern w:val="0"/>
        </w:rPr>
        <w:t>，頁</w:t>
      </w:r>
      <w:r>
        <w:rPr>
          <w:rStyle w:val="a4"/>
          <w:rFonts w:ascii="新細明體" w:hAnsi="新細明體" w:hint="eastAsia"/>
          <w:kern w:val="0"/>
        </w:rPr>
        <w:t>198-199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61159"/>
    <w:multiLevelType w:val="hybridMultilevel"/>
    <w:tmpl w:val="52CCB80E"/>
    <w:lvl w:ilvl="0" w:tplc="4D065F94">
      <w:start w:val="3"/>
      <w:numFmt w:val="taiwaneseCountingThousand"/>
      <w:lvlText w:val="第%1節"/>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7F"/>
    <w:rsid w:val="002A6F7F"/>
    <w:rsid w:val="00BF59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2E854B-3472-48C3-B15B-15E9C508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ext1">
    <w:name w:val="stext1"/>
    <w:basedOn w:val="a0"/>
    <w:rPr>
      <w:spacing w:val="31680"/>
      <w:sz w:val="19"/>
      <w:szCs w:val="19"/>
    </w:rPr>
  </w:style>
  <w:style w:type="paragraph" w:styleId="a3">
    <w:name w:val="footnote text"/>
    <w:basedOn w:val="a"/>
    <w:semiHidden/>
    <w:pPr>
      <w:snapToGrid w:val="0"/>
    </w:pPr>
    <w:rPr>
      <w:sz w:val="20"/>
      <w:szCs w:val="20"/>
    </w:rPr>
  </w:style>
  <w:style w:type="character" w:customStyle="1" w:styleId="a4">
    <w:name w:val=" 字元 字元"/>
    <w:basedOn w:val="a0"/>
    <w:semiHidden/>
    <w:rPr>
      <w:rFonts w:eastAsia="新細明體"/>
      <w:kern w:val="2"/>
      <w:lang w:val="en-US" w:eastAsia="zh-TW" w:bidi="ar-SA"/>
    </w:rPr>
  </w:style>
  <w:style w:type="character" w:styleId="a5">
    <w:name w:val="foot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第四章 保障對象之修法建議</dc:title>
  <dc:subject/>
  <dc:creator>8327</dc:creator>
  <cp:keywords/>
  <dc:description/>
  <cp:lastModifiedBy>卓卿雲</cp:lastModifiedBy>
  <cp:revision>2</cp:revision>
  <dcterms:created xsi:type="dcterms:W3CDTF">2021-09-27T01:01:00Z</dcterms:created>
  <dcterms:modified xsi:type="dcterms:W3CDTF">2021-09-27T01:01:00Z</dcterms:modified>
</cp:coreProperties>
</file>