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17A8">
      <w:pPr>
        <w:spacing w:line="288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</w:p>
    <w:p w:rsidR="00000000" w:rsidRDefault="00A617A8">
      <w:pPr>
        <w:spacing w:line="288" w:lineRule="auto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000000" w:rsidRDefault="00A617A8">
      <w:pPr>
        <w:spacing w:line="288" w:lineRule="auto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錄</w:t>
      </w:r>
    </w:p>
    <w:p w:rsidR="00000000" w:rsidRDefault="00A617A8">
      <w:pPr>
        <w:spacing w:beforeLines="250" w:before="900" w:afterLines="250" w:after="900" w:line="288" w:lineRule="auto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第一章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前言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</w:p>
    <w:p w:rsidR="00000000" w:rsidRDefault="00A617A8">
      <w:pPr>
        <w:spacing w:beforeLines="250" w:before="900" w:afterLines="250" w:after="900" w:line="288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德國公務員法上停職制度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……………………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</w:p>
    <w:p w:rsidR="00000000" w:rsidRDefault="00A617A8">
      <w:pPr>
        <w:spacing w:beforeLines="250" w:before="900" w:afterLines="250" w:after="900" w:line="288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公務人員資遣制度之檢討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…………</w:t>
      </w:r>
      <w:r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/>
          <w:color w:val="000000"/>
          <w:sz w:val="32"/>
          <w:szCs w:val="32"/>
        </w:rPr>
        <w:t>………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40</w:t>
      </w:r>
    </w:p>
    <w:p w:rsidR="00000000" w:rsidRDefault="00A617A8">
      <w:pPr>
        <w:spacing w:beforeLines="250" w:before="900" w:afterLines="250" w:after="900" w:line="288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第四章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公務人員因公涉訟輔助制度之研究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…………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69</w:t>
      </w:r>
    </w:p>
    <w:p w:rsidR="00000000" w:rsidRDefault="00A617A8">
      <w:pPr>
        <w:spacing w:beforeLines="250" w:before="900" w:afterLines="250" w:after="900" w:line="288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第五章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公務人員</w:t>
      </w:r>
      <w:r>
        <w:rPr>
          <w:rFonts w:ascii="標楷體" w:eastAsia="標楷體" w:hAnsi="標楷體" w:hint="eastAsia"/>
          <w:b/>
          <w:sz w:val="32"/>
          <w:szCs w:val="32"/>
        </w:rPr>
        <w:t>保障法上慰問金請求權</w:t>
      </w:r>
      <w:r>
        <w:rPr>
          <w:rFonts w:ascii="標楷體" w:eastAsia="標楷體" w:hAnsi="標楷體"/>
          <w:b/>
          <w:sz w:val="32"/>
          <w:szCs w:val="32"/>
        </w:rPr>
        <w:t>之研究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116</w:t>
      </w:r>
    </w:p>
    <w:p w:rsidR="00000000" w:rsidRDefault="00A617A8">
      <w:pPr>
        <w:spacing w:line="288" w:lineRule="auto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000000" w:rsidRDefault="00A617A8">
      <w:pPr>
        <w:spacing w:line="288" w:lineRule="auto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000000" w:rsidRDefault="00A617A8">
      <w:pPr>
        <w:spacing w:line="288" w:lineRule="auto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000000" w:rsidRDefault="00A617A8">
      <w:pPr>
        <w:rPr>
          <w:rFonts w:hint="eastAsia"/>
        </w:rPr>
      </w:pPr>
    </w:p>
    <w:p w:rsidR="00000000" w:rsidRDefault="00A617A8">
      <w:pPr>
        <w:spacing w:line="288" w:lineRule="auto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詳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</w:t>
      </w:r>
    </w:p>
    <w:p w:rsidR="00000000" w:rsidRDefault="00A617A8">
      <w:pPr>
        <w:spacing w:afterLines="50" w:after="180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第一章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前言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</w:p>
    <w:p w:rsidR="00000000" w:rsidRDefault="00A617A8">
      <w:pPr>
        <w:pStyle w:val="a"/>
        <w:numPr>
          <w:ilvl w:val="0"/>
          <w:numId w:val="0"/>
        </w:numPr>
        <w:spacing w:line="240" w:lineRule="auto"/>
        <w:ind w:leftChars="54" w:left="718" w:hangingChars="226" w:hanging="588"/>
        <w:textDirection w:val="lrTb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一、研究主旨、背景、有關研究之檢討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</w:t>
      </w:r>
      <w:proofErr w:type="gramEnd"/>
      <w:r>
        <w:rPr>
          <w:rFonts w:hint="eastAsia"/>
          <w:sz w:val="26"/>
          <w:szCs w:val="26"/>
        </w:rPr>
        <w:t xml:space="preserve"> 1</w:t>
      </w:r>
    </w:p>
    <w:p w:rsidR="00000000" w:rsidRDefault="00A617A8">
      <w:pPr>
        <w:pStyle w:val="a"/>
        <w:numPr>
          <w:ilvl w:val="0"/>
          <w:numId w:val="0"/>
        </w:numPr>
        <w:spacing w:line="240" w:lineRule="auto"/>
        <w:ind w:leftChars="54" w:left="718" w:hangingChars="226" w:hanging="588"/>
        <w:textDirection w:val="lrTb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二、研究方法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……………………………………………………</w:t>
      </w:r>
      <w:proofErr w:type="gramEnd"/>
      <w:r>
        <w:rPr>
          <w:sz w:val="26"/>
          <w:szCs w:val="26"/>
        </w:rPr>
        <w:t>………</w:t>
      </w:r>
      <w:r>
        <w:rPr>
          <w:rFonts w:hint="eastAsia"/>
          <w:sz w:val="26"/>
          <w:szCs w:val="26"/>
        </w:rPr>
        <w:t xml:space="preserve"> 1</w:t>
      </w:r>
    </w:p>
    <w:p w:rsidR="00000000" w:rsidRDefault="00A617A8">
      <w:pPr>
        <w:pStyle w:val="a"/>
        <w:numPr>
          <w:ilvl w:val="0"/>
          <w:numId w:val="0"/>
        </w:numPr>
        <w:spacing w:line="240" w:lineRule="auto"/>
        <w:ind w:leftChars="54" w:left="718" w:hangingChars="226" w:hanging="588"/>
        <w:textDirection w:val="lrTb"/>
        <w:rPr>
          <w:rFonts w:hAnsi="標楷體" w:hint="eastAsia"/>
          <w:b/>
          <w:color w:val="000000"/>
          <w:sz w:val="26"/>
          <w:szCs w:val="26"/>
        </w:rPr>
      </w:pPr>
      <w:r>
        <w:rPr>
          <w:rFonts w:hint="eastAsia"/>
          <w:sz w:val="26"/>
          <w:szCs w:val="26"/>
        </w:rPr>
        <w:t>三、研究範圍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……………………………………………………</w:t>
      </w:r>
      <w:proofErr w:type="gramEnd"/>
      <w:r>
        <w:rPr>
          <w:sz w:val="26"/>
          <w:szCs w:val="26"/>
        </w:rPr>
        <w:t>………</w:t>
      </w:r>
      <w:r>
        <w:rPr>
          <w:rFonts w:hint="eastAsia"/>
          <w:sz w:val="26"/>
          <w:szCs w:val="26"/>
        </w:rPr>
        <w:t xml:space="preserve"> 1</w:t>
      </w:r>
    </w:p>
    <w:p w:rsidR="00000000" w:rsidRDefault="00A617A8">
      <w:pPr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德國公務員法上停職制度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……………………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</w:p>
    <w:p w:rsidR="00000000" w:rsidRDefault="00A617A8">
      <w:pPr>
        <w:spacing w:line="288" w:lineRule="auto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壹、德國公務員法上類似我國停職之制度</w:t>
      </w:r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5</w:t>
      </w:r>
    </w:p>
    <w:p w:rsidR="00000000" w:rsidRDefault="00A617A8">
      <w:pPr>
        <w:spacing w:beforeLines="50" w:before="180" w:afterLines="50" w:after="180" w:line="288" w:lineRule="auto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一、強制休假制度</w:t>
      </w:r>
      <w:r>
        <w:rPr>
          <w:rFonts w:ascii="標楷體" w:eastAsia="標楷體" w:hAnsi="標楷體"/>
          <w:b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……………………………………………………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>…7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（一）法規依據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……… 7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（二）規範意義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……… 7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（三）強制休假措施之法定要件與裁量決定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</w:t>
      </w:r>
      <w:proofErr w:type="gramEnd"/>
      <w:r>
        <w:rPr>
          <w:rFonts w:ascii="標楷體" w:eastAsia="標楷體" w:hAnsi="標楷體"/>
        </w:rPr>
        <w:t xml:space="preserve"> 8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（四）程序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</w:t>
      </w:r>
      <w:r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/>
        </w:rPr>
        <w:t>…………… 9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（五）法律效果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……… 9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（六）禁止之消滅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  10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（七）強制休假措施之法律性質與權利救濟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</w:t>
      </w:r>
      <w:proofErr w:type="gramEnd"/>
      <w:r>
        <w:rPr>
          <w:rFonts w:ascii="標楷體" w:eastAsia="標楷體" w:hAnsi="標楷體"/>
        </w:rPr>
        <w:t xml:space="preserve">  10</w:t>
      </w:r>
    </w:p>
    <w:p w:rsidR="00000000" w:rsidRDefault="00A617A8">
      <w:pPr>
        <w:spacing w:beforeLines="50" w:before="180" w:afterLines="50" w:after="180" w:line="288" w:lineRule="auto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>
        <w:rPr>
          <w:rFonts w:ascii="標楷體" w:eastAsia="標楷體" w:hAnsi="標楷體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暫時停職制度</w:t>
      </w:r>
      <w:r>
        <w:rPr>
          <w:rFonts w:ascii="標楷體" w:eastAsia="標楷體" w:hAnsi="標楷體"/>
          <w:b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……………………………………………………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 xml:space="preserve"> 11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（一）暫時停職處分和扣留俸給處分之許可性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</w:t>
      </w:r>
      <w:proofErr w:type="gramEnd"/>
      <w:r>
        <w:rPr>
          <w:rFonts w:ascii="標楷體" w:eastAsia="標楷體" w:hAnsi="標楷體"/>
        </w:rPr>
        <w:t xml:space="preserve"> 11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（二）暫時停職處分和扣留俸給處分法律效力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</w:t>
      </w:r>
      <w:proofErr w:type="gramEnd"/>
      <w:r>
        <w:rPr>
          <w:rFonts w:ascii="標楷體" w:eastAsia="標楷體" w:hAnsi="標楷體"/>
        </w:rPr>
        <w:t xml:space="preserve"> 16</w:t>
      </w:r>
    </w:p>
    <w:p w:rsidR="00000000" w:rsidRDefault="00A617A8">
      <w:pPr>
        <w:spacing w:line="288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（三）被扣留俸給之權利喪失或補發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</w:t>
      </w:r>
      <w:proofErr w:type="gram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22</w:t>
      </w:r>
    </w:p>
    <w:p w:rsidR="00000000" w:rsidRDefault="00A617A8">
      <w:pPr>
        <w:spacing w:beforeLines="50" w:before="180" w:afterLines="50" w:after="180" w:line="288" w:lineRule="auto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>
        <w:rPr>
          <w:rFonts w:ascii="標楷體" w:eastAsia="標楷體" w:hAnsi="標楷體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德國法制可供借鏡之處</w:t>
      </w:r>
      <w:r>
        <w:rPr>
          <w:rFonts w:ascii="標楷體" w:eastAsia="標楷體" w:hAnsi="標楷體"/>
          <w:b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 xml:space="preserve"> 24</w:t>
      </w:r>
    </w:p>
    <w:p w:rsidR="00000000" w:rsidRDefault="00A617A8">
      <w:pPr>
        <w:spacing w:beforeLines="50" w:before="180" w:afterLines="50" w:after="180" w:line="288" w:lineRule="auto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貳、我國公務員法上停職及復職實務運作之檢討</w:t>
      </w:r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27</w:t>
      </w:r>
    </w:p>
    <w:p w:rsidR="00000000" w:rsidRDefault="00A617A8">
      <w:pPr>
        <w:spacing w:beforeLines="50" w:before="180" w:afterLines="50" w:after="180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一、公務員法上停職法規及實務運作之檢討</w:t>
      </w:r>
      <w:r>
        <w:rPr>
          <w:rFonts w:ascii="標楷體" w:eastAsia="標楷體" w:hAnsi="標楷體"/>
          <w:b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>27</w:t>
      </w:r>
    </w:p>
    <w:p w:rsidR="00000000" w:rsidRDefault="00A617A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（一）授權停職之實體法規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</w:t>
      </w:r>
      <w:proofErr w:type="gramEnd"/>
      <w:r>
        <w:rPr>
          <w:rFonts w:ascii="標楷體" w:eastAsia="標楷體" w:hAnsi="標楷體"/>
        </w:rPr>
        <w:t xml:space="preserve"> 27</w:t>
      </w:r>
    </w:p>
    <w:p w:rsidR="00000000" w:rsidRDefault="00A617A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（二）公務員懲戒法第三條第一款：當然停職或是應為停職？</w:t>
      </w:r>
      <w:r>
        <w:rPr>
          <w:rFonts w:ascii="標楷體" w:eastAsia="標楷體" w:hAnsi="標楷體"/>
        </w:rPr>
        <w:t>……………30</w:t>
      </w:r>
    </w:p>
    <w:p w:rsidR="00000000" w:rsidRDefault="00A617A8">
      <w:pPr>
        <w:ind w:firstLineChars="200" w:firstLine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（三）公務員懲戒法第四條第二項職權停職之法定要件</w:t>
      </w:r>
      <w:r>
        <w:rPr>
          <w:rFonts w:ascii="標楷體" w:eastAsia="標楷體" w:hAnsi="標楷體"/>
          <w:color w:val="000000"/>
        </w:rPr>
        <w:t xml:space="preserve"> …</w:t>
      </w:r>
      <w:proofErr w:type="gramStart"/>
      <w:r>
        <w:rPr>
          <w:rFonts w:ascii="標楷體" w:eastAsia="標楷體" w:hAnsi="標楷體"/>
          <w:color w:val="000000"/>
        </w:rPr>
        <w:t>………………</w:t>
      </w:r>
      <w:proofErr w:type="gramEnd"/>
      <w:r>
        <w:rPr>
          <w:rFonts w:ascii="標楷體" w:eastAsia="標楷體" w:hAnsi="標楷體"/>
          <w:color w:val="000000"/>
        </w:rPr>
        <w:t xml:space="preserve"> 32</w:t>
      </w:r>
    </w:p>
    <w:p w:rsidR="00000000" w:rsidRDefault="00A617A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（四）是否為停職處分之行政裁量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</w:t>
      </w:r>
      <w:proofErr w:type="gramEnd"/>
      <w:r>
        <w:rPr>
          <w:rFonts w:ascii="標楷體" w:eastAsia="標楷體" w:hAnsi="標楷體"/>
        </w:rPr>
        <w:t xml:space="preserve"> 42</w:t>
      </w:r>
    </w:p>
    <w:p w:rsidR="00000000" w:rsidRDefault="00A617A8">
      <w:pPr>
        <w:spacing w:beforeLines="50" w:before="180" w:afterLines="50" w:after="180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二、公務員法上復職法規及</w:t>
      </w:r>
      <w:r>
        <w:rPr>
          <w:rFonts w:ascii="標楷體" w:eastAsia="標楷體" w:hAnsi="標楷體" w:hint="eastAsia"/>
          <w:b/>
          <w:sz w:val="26"/>
          <w:szCs w:val="26"/>
        </w:rPr>
        <w:t>實務運作之檢討</w:t>
      </w:r>
      <w:r>
        <w:rPr>
          <w:rFonts w:ascii="標楷體" w:eastAsia="標楷體" w:hAnsi="標楷體"/>
          <w:b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>43</w:t>
      </w:r>
    </w:p>
    <w:p w:rsidR="00000000" w:rsidRDefault="00A617A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（一）公務員法上復職規定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43</w:t>
      </w:r>
    </w:p>
    <w:p w:rsidR="00000000" w:rsidRDefault="00A617A8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（二）公務員羈押被撤銷或因期間屆滿而被釋放之復職處理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</w:t>
      </w:r>
      <w:proofErr w:type="gramEnd"/>
      <w:r>
        <w:rPr>
          <w:rFonts w:ascii="標楷體" w:eastAsia="標楷體" w:hAnsi="標楷體"/>
        </w:rPr>
        <w:t>45</w:t>
      </w:r>
    </w:p>
    <w:p w:rsidR="00000000" w:rsidRDefault="00A617A8">
      <w:pPr>
        <w:spacing w:beforeLines="50" w:before="180" w:afterLines="50" w:after="180"/>
        <w:ind w:firstLineChars="50" w:firstLine="14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參、法政策上建議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47</w:t>
      </w:r>
    </w:p>
    <w:p w:rsidR="00000000" w:rsidRDefault="00A617A8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公務人員資遣制度之檢討</w:t>
      </w:r>
      <w:r>
        <w:rPr>
          <w:rFonts w:ascii="標楷體" w:eastAsia="標楷體" w:hAnsi="標楷體"/>
          <w:b/>
          <w:sz w:val="32"/>
          <w:szCs w:val="32"/>
        </w:rPr>
        <w:t xml:space="preserve"> 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……………………</w:t>
      </w:r>
      <w:proofErr w:type="gramEnd"/>
      <w:r>
        <w:rPr>
          <w:rFonts w:ascii="標楷體" w:eastAsia="標楷體" w:hAnsi="標楷體"/>
          <w:b/>
          <w:sz w:val="32"/>
          <w:szCs w:val="32"/>
        </w:rPr>
        <w:t xml:space="preserve"> 54</w:t>
      </w:r>
    </w:p>
    <w:p w:rsidR="00000000" w:rsidRDefault="00A617A8">
      <w:pPr>
        <w:spacing w:line="288" w:lineRule="auto"/>
        <w:ind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壹、前言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…… 55</w:t>
      </w:r>
    </w:p>
    <w:p w:rsidR="00000000" w:rsidRDefault="00A617A8">
      <w:pPr>
        <w:spacing w:line="288" w:lineRule="auto"/>
        <w:ind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貳、我國公務人員資遣制度之引進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56</w:t>
      </w:r>
    </w:p>
    <w:p w:rsidR="00000000" w:rsidRDefault="00A617A8">
      <w:pPr>
        <w:spacing w:line="288" w:lineRule="auto"/>
        <w:ind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參、公務人員資遣制度之合憲性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58</w:t>
      </w:r>
    </w:p>
    <w:p w:rsidR="00000000" w:rsidRDefault="00A617A8">
      <w:pPr>
        <w:spacing w:line="300" w:lineRule="auto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一、前言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………</w:t>
      </w:r>
      <w:r>
        <w:rPr>
          <w:rFonts w:ascii="標楷體" w:eastAsia="標楷體" w:hAnsi="標楷體"/>
          <w:sz w:val="26"/>
          <w:szCs w:val="26"/>
        </w:rPr>
        <w:t>……………………………………………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>………… 58</w:t>
      </w:r>
    </w:p>
    <w:p w:rsidR="00000000" w:rsidRDefault="00A617A8">
      <w:pPr>
        <w:spacing w:line="288" w:lineRule="auto"/>
        <w:ind w:firstLineChars="150" w:firstLine="3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  <w:lang w:val="de-DE"/>
        </w:rPr>
        <w:t>服公職權利之保障：概說</w:t>
      </w:r>
      <w:r>
        <w:rPr>
          <w:rFonts w:ascii="標楷體" w:eastAsia="標楷體" w:hAnsi="標楷體"/>
          <w:lang w:val="de-D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………………………………………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59</w:t>
      </w:r>
    </w:p>
    <w:p w:rsidR="00000000" w:rsidRDefault="00A617A8">
      <w:pPr>
        <w:spacing w:line="288" w:lineRule="auto"/>
        <w:ind w:firstLineChars="150" w:firstLine="3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lang w:val="de-DE"/>
        </w:rPr>
        <w:t>三、服公職權利之制度性保障</w:t>
      </w:r>
      <w:r>
        <w:rPr>
          <w:rFonts w:ascii="標楷體" w:eastAsia="標楷體" w:hAnsi="標楷體"/>
          <w:lang w:val="de-D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………………………………………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60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 w:hint="eastAsia"/>
          <w:lang w:val="de-DE"/>
        </w:rPr>
      </w:pPr>
      <w:r>
        <w:rPr>
          <w:rFonts w:ascii="標楷體" w:eastAsia="標楷體" w:hAnsi="標楷體" w:hint="eastAsia"/>
          <w:lang w:val="de-DE"/>
        </w:rPr>
        <w:t>（一）</w:t>
      </w:r>
      <w:r>
        <w:rPr>
          <w:rFonts w:ascii="標楷體" w:eastAsia="標楷體" w:hAnsi="標楷體"/>
          <w:lang w:val="de-DE"/>
        </w:rPr>
        <w:t>「制度性保障」之概念</w:t>
      </w:r>
      <w:r>
        <w:rPr>
          <w:rFonts w:ascii="標楷體" w:eastAsia="標楷體" w:hAnsi="標楷體"/>
          <w:lang w:val="de-DE"/>
        </w:rPr>
        <w:t xml:space="preserve"> …</w:t>
      </w:r>
      <w:proofErr w:type="gramStart"/>
      <w:r>
        <w:rPr>
          <w:rFonts w:ascii="標楷體" w:eastAsia="標楷體" w:hAnsi="標楷體"/>
          <w:lang w:val="de-DE"/>
        </w:rPr>
        <w:t>…………………………………………</w:t>
      </w:r>
      <w:proofErr w:type="gramEnd"/>
      <w:r>
        <w:rPr>
          <w:rFonts w:ascii="標楷體" w:eastAsia="標楷體" w:hAnsi="標楷體"/>
          <w:lang w:val="de-DE"/>
        </w:rPr>
        <w:t xml:space="preserve"> 60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 w:hint="eastAsia"/>
          <w:lang w:val="de-DE"/>
        </w:rPr>
      </w:pPr>
      <w:r>
        <w:rPr>
          <w:rFonts w:ascii="標楷體" w:eastAsia="標楷體" w:hAnsi="標楷體" w:hint="eastAsia"/>
          <w:lang w:val="de-DE"/>
        </w:rPr>
        <w:t>（二）</w:t>
      </w:r>
      <w:r>
        <w:rPr>
          <w:rFonts w:ascii="標楷體" w:eastAsia="標楷體" w:hAnsi="標楷體"/>
          <w:lang w:val="de-DE"/>
        </w:rPr>
        <w:t>服公職權利制度性保障之意義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</w:t>
      </w:r>
      <w:r>
        <w:rPr>
          <w:rFonts w:ascii="標楷體" w:eastAsia="標楷體" w:hAnsi="標楷體"/>
          <w:lang w:val="de-DE"/>
        </w:rPr>
        <w:t>…</w:t>
      </w:r>
      <w:proofErr w:type="gramEnd"/>
      <w:r>
        <w:rPr>
          <w:rFonts w:ascii="標楷體" w:eastAsia="標楷體" w:hAnsi="標楷體"/>
          <w:lang w:val="de-DE"/>
        </w:rPr>
        <w:t xml:space="preserve"> </w:t>
      </w:r>
      <w:r>
        <w:rPr>
          <w:rFonts w:ascii="標楷體" w:eastAsia="標楷體" w:hAnsi="標楷體"/>
        </w:rPr>
        <w:t>62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 w:hint="eastAsia"/>
          <w:lang w:val="de-DE"/>
        </w:rPr>
      </w:pPr>
      <w:r>
        <w:rPr>
          <w:rFonts w:ascii="標楷體" w:eastAsia="標楷體" w:hAnsi="標楷體" w:hint="eastAsia"/>
          <w:lang w:val="de-DE"/>
        </w:rPr>
        <w:t>（三）</w:t>
      </w:r>
      <w:r>
        <w:rPr>
          <w:rFonts w:ascii="標楷體" w:eastAsia="標楷體" w:hAnsi="標楷體"/>
          <w:lang w:val="de-DE"/>
        </w:rPr>
        <w:t>服公職權利之制度性保障內容對立法機關之拘束力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</w:t>
      </w:r>
      <w:r>
        <w:rPr>
          <w:rFonts w:ascii="標楷體" w:eastAsia="標楷體" w:hAnsi="標楷體"/>
          <w:lang w:val="de-DE"/>
        </w:rPr>
        <w:t>…</w:t>
      </w:r>
      <w:proofErr w:type="gramEnd"/>
      <w:r>
        <w:rPr>
          <w:rFonts w:ascii="標楷體" w:eastAsia="標楷體" w:hAnsi="標楷體"/>
          <w:lang w:val="de-DE"/>
        </w:rPr>
        <w:t xml:space="preserve"> </w:t>
      </w:r>
      <w:r>
        <w:rPr>
          <w:rFonts w:ascii="標楷體" w:eastAsia="標楷體" w:hAnsi="標楷體"/>
        </w:rPr>
        <w:t>63</w:t>
      </w:r>
    </w:p>
    <w:p w:rsidR="00000000" w:rsidRDefault="00A617A8">
      <w:pPr>
        <w:spacing w:line="360" w:lineRule="auto"/>
        <w:ind w:firstLineChars="150" w:firstLine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/>
        </w:rPr>
        <w:t>公務人員資遣制度之合憲性：代小結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67</w:t>
      </w:r>
    </w:p>
    <w:p w:rsidR="00000000" w:rsidRDefault="00A617A8">
      <w:pPr>
        <w:spacing w:beforeLines="50" w:before="180"/>
        <w:ind w:firstLineChars="50" w:firstLine="130"/>
        <w:jc w:val="both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肆、組織變革與公務人員之資遣</w:t>
      </w:r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</w:t>
      </w:r>
      <w:r>
        <w:rPr>
          <w:rFonts w:ascii="標楷體" w:eastAsia="標楷體" w:hAnsi="標楷體"/>
          <w:b/>
          <w:sz w:val="28"/>
          <w:szCs w:val="28"/>
        </w:rPr>
        <w:t>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68</w:t>
      </w:r>
    </w:p>
    <w:p w:rsidR="00000000" w:rsidRDefault="00A617A8">
      <w:pPr>
        <w:ind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一、合憲性問題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………68</w:t>
      </w:r>
    </w:p>
    <w:p w:rsidR="00000000" w:rsidRDefault="00A617A8">
      <w:pPr>
        <w:ind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二、資遣要件之檢討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 69</w:t>
      </w:r>
    </w:p>
    <w:p w:rsidR="00000000" w:rsidRDefault="00A617A8">
      <w:pPr>
        <w:ind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三、「令暫時性退休」作為法律政策上之可能對案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</w:t>
      </w:r>
      <w:proofErr w:type="gramEnd"/>
      <w:r>
        <w:rPr>
          <w:rFonts w:ascii="標楷體" w:eastAsia="標楷體" w:hAnsi="標楷體"/>
        </w:rPr>
        <w:t xml:space="preserve"> 70</w:t>
      </w:r>
    </w:p>
    <w:p w:rsidR="00000000" w:rsidRDefault="00A617A8">
      <w:pPr>
        <w:spacing w:beforeLines="50" w:before="180"/>
        <w:ind w:firstLineChars="50" w:firstLine="14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伍、民營化與公務人員之資遣：以榮工公司裁減人員為例</w:t>
      </w:r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71</w:t>
      </w:r>
    </w:p>
    <w:p w:rsidR="00000000" w:rsidRDefault="00A617A8">
      <w:pPr>
        <w:tabs>
          <w:tab w:val="num" w:pos="2280"/>
        </w:tabs>
        <w:spacing w:beforeLines="50" w:before="180"/>
        <w:ind w:firstLineChars="150" w:firstLine="390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一、民營化作為公務人員資遣問題之引爆點</w:t>
      </w:r>
      <w:r>
        <w:rPr>
          <w:rFonts w:ascii="標楷體" w:eastAsia="標楷體" w:hAnsi="標楷體"/>
          <w:b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>71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（一）「民營化」作為法律概念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…………………………………………</w:t>
      </w:r>
      <w:proofErr w:type="gramEnd"/>
      <w:r>
        <w:rPr>
          <w:rFonts w:ascii="標楷體" w:eastAsia="標楷體" w:hAnsi="標楷體"/>
        </w:rPr>
        <w:t>71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（二）榮工公司裁減人員之法律問題</w:t>
      </w:r>
      <w:r>
        <w:rPr>
          <w:rFonts w:ascii="標楷體" w:eastAsia="標楷體" w:hAnsi="標楷體"/>
        </w:rPr>
        <w:t xml:space="preserve">  …</w:t>
      </w:r>
      <w:proofErr w:type="gramStart"/>
      <w:r>
        <w:rPr>
          <w:rFonts w:ascii="標楷體" w:eastAsia="標楷體" w:hAnsi="標楷體"/>
        </w:rPr>
        <w:t>…………………………………</w:t>
      </w:r>
      <w:proofErr w:type="gramEnd"/>
      <w:r>
        <w:rPr>
          <w:rFonts w:ascii="標楷體" w:eastAsia="標楷體" w:hAnsi="標楷體"/>
        </w:rPr>
        <w:t>72</w:t>
      </w:r>
    </w:p>
    <w:p w:rsidR="00000000" w:rsidRDefault="00A617A8">
      <w:pPr>
        <w:spacing w:beforeLines="50" w:before="180"/>
        <w:ind w:firstLineChars="150" w:firstLine="390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二、民營化與</w:t>
      </w:r>
      <w:r>
        <w:rPr>
          <w:rFonts w:ascii="標楷體" w:eastAsia="標楷體" w:hAnsi="標楷體" w:hint="eastAsia"/>
          <w:b/>
          <w:sz w:val="26"/>
          <w:szCs w:val="26"/>
        </w:rPr>
        <w:t>公務人員之法律地位</w:t>
      </w:r>
      <w:r>
        <w:rPr>
          <w:rFonts w:ascii="標楷體" w:eastAsia="標楷體" w:hAnsi="標楷體"/>
          <w:b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…………………………………</w:t>
      </w:r>
      <w:proofErr w:type="gramEnd"/>
      <w:r>
        <w:rPr>
          <w:rFonts w:ascii="標楷體" w:eastAsia="標楷體" w:hAnsi="標楷體"/>
          <w:b/>
          <w:sz w:val="26"/>
          <w:szCs w:val="26"/>
        </w:rPr>
        <w:t>75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（一）榮工處改組與公務人員之法律地位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</w:t>
      </w:r>
      <w:proofErr w:type="gramEnd"/>
      <w:r>
        <w:rPr>
          <w:rFonts w:ascii="標楷體" w:eastAsia="標楷體" w:hAnsi="標楷體"/>
        </w:rPr>
        <w:t xml:space="preserve"> 75</w:t>
      </w:r>
    </w:p>
    <w:p w:rsidR="00000000" w:rsidRDefault="00A617A8">
      <w:pPr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（二）榮工公司之新人事制度與公務人員之法律地位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</w:t>
      </w:r>
      <w:proofErr w:type="gramEnd"/>
      <w:r>
        <w:rPr>
          <w:rFonts w:ascii="標楷體" w:eastAsia="標楷體" w:hAnsi="標楷體"/>
        </w:rPr>
        <w:t xml:space="preserve"> 88</w:t>
      </w:r>
    </w:p>
    <w:p w:rsidR="00000000" w:rsidRDefault="00A617A8">
      <w:pPr>
        <w:spacing w:line="360" w:lineRule="auto"/>
        <w:ind w:firstLineChars="150" w:firstLine="390"/>
        <w:jc w:val="both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三、公務人員資遣作為民營化手段？</w:t>
      </w:r>
    </w:p>
    <w:p w:rsidR="00000000" w:rsidRDefault="00A617A8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陸、結論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……  90</w:t>
      </w:r>
    </w:p>
    <w:p w:rsidR="00000000" w:rsidRDefault="00A617A8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第四章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公務人員因公涉訟輔助制度之研究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…………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69</w:t>
      </w:r>
    </w:p>
    <w:p w:rsidR="00000000" w:rsidRDefault="00A617A8">
      <w:pPr>
        <w:ind w:firstLineChars="50" w:firstLine="1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壹、前言</w:t>
      </w:r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………93</w:t>
      </w:r>
    </w:p>
    <w:p w:rsidR="00000000" w:rsidRDefault="00A617A8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貳、公務人員因公涉訟輔助制度之法理基礎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94</w:t>
      </w:r>
    </w:p>
    <w:p w:rsidR="00000000" w:rsidRDefault="00A617A8">
      <w:pPr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一、涉訟輔助制度作為制度性保障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………………………………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>94</w:t>
      </w:r>
    </w:p>
    <w:p w:rsidR="00000000" w:rsidRDefault="00A617A8">
      <w:pPr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二、公務員照</w:t>
      </w:r>
      <w:r>
        <w:rPr>
          <w:rFonts w:ascii="標楷體" w:eastAsia="標楷體" w:hAnsi="標楷體" w:hint="eastAsia"/>
          <w:sz w:val="26"/>
          <w:szCs w:val="26"/>
        </w:rPr>
        <w:t>顧</w:t>
      </w:r>
      <w:r>
        <w:rPr>
          <w:rFonts w:ascii="標楷體" w:eastAsia="標楷體" w:hAnsi="標楷體"/>
          <w:sz w:val="26"/>
          <w:szCs w:val="26"/>
        </w:rPr>
        <w:t>原則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…………………………………………………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>96</w:t>
      </w:r>
    </w:p>
    <w:p w:rsidR="00000000" w:rsidRDefault="00A617A8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參、保訓會相關函釋、決定與行政法院相關裁判之檢視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97</w:t>
      </w:r>
    </w:p>
    <w:p w:rsidR="00000000" w:rsidRDefault="00A617A8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>保訓會因公涉訟輔助制度相關</w:t>
      </w:r>
      <w:proofErr w:type="gramStart"/>
      <w:r>
        <w:rPr>
          <w:rFonts w:ascii="標楷體" w:eastAsia="標楷體" w:hAnsi="標楷體"/>
        </w:rPr>
        <w:t>決定與函釋</w:t>
      </w:r>
      <w:proofErr w:type="gramEnd"/>
      <w:r>
        <w:rPr>
          <w:rFonts w:ascii="標楷體" w:eastAsia="標楷體" w:hAnsi="標楷體"/>
        </w:rPr>
        <w:t>之分析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</w:t>
      </w:r>
      <w:proofErr w:type="gramEnd"/>
      <w:r>
        <w:rPr>
          <w:rFonts w:ascii="標楷體" w:eastAsia="標楷體" w:hAnsi="標楷體"/>
        </w:rPr>
        <w:t>98</w:t>
      </w:r>
    </w:p>
    <w:p w:rsidR="00000000" w:rsidRDefault="00A617A8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二、各級行政法院關於因公涉訟輔助制度相關裁判之分析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</w:t>
      </w:r>
      <w:proofErr w:type="gramEnd"/>
      <w:r>
        <w:rPr>
          <w:rFonts w:ascii="標楷體" w:eastAsia="標楷體" w:hAnsi="標楷體"/>
        </w:rPr>
        <w:t xml:space="preserve"> 107</w:t>
      </w:r>
    </w:p>
    <w:p w:rsidR="00000000" w:rsidRDefault="00A617A8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肆、現行公務人員因公涉訟輔助制度之檢討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109</w:t>
      </w:r>
    </w:p>
    <w:p w:rsidR="00000000" w:rsidRDefault="00A617A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一、法律保留與授權明確性原則之檢視</w:t>
      </w:r>
      <w:r>
        <w:rPr>
          <w:rFonts w:ascii="標楷體" w:eastAsia="標楷體" w:hAnsi="標楷體"/>
        </w:rPr>
        <w:t xml:space="preserve"> …</w:t>
      </w:r>
      <w:proofErr w:type="gramStart"/>
      <w:r>
        <w:rPr>
          <w:rFonts w:ascii="標楷體" w:eastAsia="標楷體" w:hAnsi="標楷體"/>
        </w:rPr>
        <w:t>…………………………………</w:t>
      </w:r>
      <w:proofErr w:type="gramEnd"/>
      <w:r>
        <w:rPr>
          <w:rFonts w:ascii="標楷體" w:eastAsia="標楷體" w:hAnsi="標楷體"/>
        </w:rPr>
        <w:t xml:space="preserve"> 110</w:t>
      </w:r>
    </w:p>
    <w:p w:rsidR="00000000" w:rsidRDefault="00A617A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>受輔助對象之檢討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…112</w:t>
      </w:r>
    </w:p>
    <w:p w:rsidR="00000000" w:rsidRDefault="00A617A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、實體要件：「依法執行職務」判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之再檢視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</w:t>
      </w:r>
      <w:proofErr w:type="gramEnd"/>
      <w:r>
        <w:rPr>
          <w:rFonts w:ascii="標楷體" w:eastAsia="標楷體" w:hAnsi="標楷體"/>
        </w:rPr>
        <w:t xml:space="preserve"> 115</w:t>
      </w:r>
    </w:p>
    <w:p w:rsidR="00000000" w:rsidRDefault="00A617A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四、因公涉訟輔助內容之檢討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………………………………………………</w:t>
      </w:r>
      <w:proofErr w:type="gramEnd"/>
      <w:r>
        <w:rPr>
          <w:rFonts w:ascii="標楷體" w:eastAsia="標楷體" w:hAnsi="標楷體"/>
        </w:rPr>
        <w:t>119</w:t>
      </w:r>
    </w:p>
    <w:p w:rsidR="00000000" w:rsidRDefault="00A617A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五、輔助決定機關之審查組織與程序之強化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</w:t>
      </w:r>
      <w:proofErr w:type="gramEnd"/>
      <w:r>
        <w:rPr>
          <w:rFonts w:ascii="標楷體" w:eastAsia="標楷體" w:hAnsi="標楷體"/>
        </w:rPr>
        <w:t>123</w:t>
      </w:r>
    </w:p>
    <w:p w:rsidR="00000000" w:rsidRDefault="00A617A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>
        <w:rPr>
          <w:rFonts w:ascii="標楷體" w:eastAsia="標楷體" w:hAnsi="標楷體"/>
        </w:rPr>
        <w:t>事後求償制度之反思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  <w:r>
        <w:rPr>
          <w:rFonts w:ascii="標楷體" w:eastAsia="標楷體" w:hAnsi="標楷體"/>
        </w:rPr>
        <w:t>126</w:t>
      </w:r>
    </w:p>
    <w:p w:rsidR="00000000" w:rsidRDefault="00A617A8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伍、建議與結論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126</w:t>
      </w:r>
    </w:p>
    <w:p w:rsidR="00000000" w:rsidRDefault="00A617A8">
      <w:pPr>
        <w:spacing w:beforeLines="100" w:before="360" w:afterLines="100" w:after="36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第五章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公務人員</w:t>
      </w:r>
      <w:r>
        <w:rPr>
          <w:rFonts w:ascii="標楷體" w:eastAsia="標楷體" w:hAnsi="標楷體" w:hint="eastAsia"/>
          <w:b/>
          <w:sz w:val="32"/>
          <w:szCs w:val="32"/>
        </w:rPr>
        <w:t>保障法上慰問金請求權</w:t>
      </w:r>
      <w:r>
        <w:rPr>
          <w:rFonts w:ascii="標楷體" w:eastAsia="標楷體" w:hAnsi="標楷體"/>
          <w:b/>
          <w:sz w:val="32"/>
          <w:szCs w:val="32"/>
        </w:rPr>
        <w:t>之研究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116</w:t>
      </w:r>
    </w:p>
    <w:p w:rsidR="00000000" w:rsidRDefault="00A617A8">
      <w:pPr>
        <w:spacing w:line="264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壹、問題之提出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133</w:t>
      </w:r>
    </w:p>
    <w:p w:rsidR="00000000" w:rsidRDefault="00A617A8">
      <w:pPr>
        <w:spacing w:line="264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貳、慰問金請求權之成立要件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</w:t>
      </w:r>
      <w:r>
        <w:rPr>
          <w:rFonts w:ascii="標楷體" w:eastAsia="標楷體" w:hAnsi="標楷體"/>
          <w:b/>
          <w:sz w:val="28"/>
          <w:szCs w:val="28"/>
        </w:rPr>
        <w:t>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135</w:t>
      </w:r>
    </w:p>
    <w:p w:rsidR="00000000" w:rsidRDefault="00A617A8">
      <w:pPr>
        <w:spacing w:line="264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一、因公之要件</w:t>
      </w:r>
      <w:r>
        <w:rPr>
          <w:rFonts w:ascii="標楷體" w:eastAsia="標楷體" w:hAnsi="標楷體"/>
          <w:sz w:val="26"/>
          <w:szCs w:val="26"/>
        </w:rPr>
        <w:t xml:space="preserve"> …</w:t>
      </w:r>
      <w:proofErr w:type="gramStart"/>
      <w:r>
        <w:rPr>
          <w:rFonts w:ascii="標楷體" w:eastAsia="標楷體" w:hAnsi="標楷體"/>
          <w:sz w:val="26"/>
          <w:szCs w:val="26"/>
        </w:rPr>
        <w:t>……………………………………………………</w:t>
      </w:r>
      <w:proofErr w:type="gramEnd"/>
      <w:r>
        <w:rPr>
          <w:rFonts w:ascii="標楷體" w:eastAsia="標楷體" w:hAnsi="標楷體"/>
          <w:sz w:val="26"/>
          <w:szCs w:val="26"/>
        </w:rPr>
        <w:t>135</w:t>
      </w:r>
    </w:p>
    <w:p w:rsidR="00000000" w:rsidRDefault="00A617A8">
      <w:pPr>
        <w:spacing w:line="264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因公而發生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受傷、殘廢或死亡結果」之要件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………………</w:t>
      </w:r>
      <w:proofErr w:type="gramEnd"/>
      <w:r>
        <w:rPr>
          <w:rFonts w:ascii="標楷體" w:eastAsia="標楷體" w:hAnsi="標楷體"/>
          <w:sz w:val="26"/>
          <w:szCs w:val="26"/>
        </w:rPr>
        <w:t>136</w:t>
      </w:r>
    </w:p>
    <w:p w:rsidR="00000000" w:rsidRDefault="00A617A8">
      <w:pPr>
        <w:spacing w:beforeLines="50" w:before="180" w:afterLines="50" w:after="180" w:line="264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參、慰問金請求權之排除、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減發</w:t>
      </w:r>
      <w:proofErr w:type="gramEnd"/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139</w:t>
      </w:r>
    </w:p>
    <w:p w:rsidR="00000000" w:rsidRDefault="00A617A8">
      <w:pPr>
        <w:spacing w:beforeLines="100" w:before="360" w:afterLines="100" w:after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第六章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建議修正條文試擬</w:t>
      </w:r>
      <w:r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…………………………</w:t>
      </w:r>
      <w:proofErr w:type="gramEnd"/>
      <w:r>
        <w:rPr>
          <w:rFonts w:ascii="標楷體" w:eastAsia="標楷體" w:hAnsi="標楷體"/>
          <w:b/>
          <w:sz w:val="32"/>
          <w:szCs w:val="32"/>
        </w:rPr>
        <w:t xml:space="preserve"> 141</w:t>
      </w:r>
    </w:p>
    <w:p w:rsidR="00000000" w:rsidRDefault="00A617A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壹、有關「公務人員保障法」停職復職部分修正條文試擬</w:t>
      </w:r>
      <w:r>
        <w:rPr>
          <w:rFonts w:ascii="標楷體" w:eastAsia="標楷體" w:hAnsi="標楷體"/>
          <w:b/>
          <w:sz w:val="28"/>
          <w:szCs w:val="28"/>
        </w:rPr>
        <w:t xml:space="preserve"> …  141</w:t>
      </w:r>
    </w:p>
    <w:p w:rsidR="00000000" w:rsidRDefault="00A617A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貳、有關公務人員資遣部分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147</w:t>
      </w:r>
    </w:p>
    <w:p w:rsidR="00000000" w:rsidRDefault="00A617A8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參、公務人員涉訟輔助部分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148</w:t>
      </w:r>
    </w:p>
    <w:p w:rsidR="00000000" w:rsidRDefault="00A617A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肆、公務人員因公傷殘死亡慰問金發給辦</w:t>
      </w:r>
      <w:r>
        <w:rPr>
          <w:rFonts w:ascii="標楷體" w:eastAsia="標楷體" w:hAnsi="標楷體" w:hint="eastAsia"/>
          <w:b/>
          <w:sz w:val="28"/>
          <w:szCs w:val="28"/>
        </w:rPr>
        <w:t>法</w:t>
      </w:r>
      <w:r>
        <w:rPr>
          <w:rFonts w:ascii="標楷體" w:eastAsia="標楷體" w:hAnsi="標楷體"/>
          <w:b/>
          <w:sz w:val="28"/>
          <w:szCs w:val="28"/>
        </w:rPr>
        <w:t xml:space="preserve"> 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…………………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156</w:t>
      </w:r>
    </w:p>
    <w:p w:rsidR="00000000" w:rsidRDefault="00A617A8">
      <w:pPr>
        <w:rPr>
          <w:rFonts w:hint="eastAsia"/>
        </w:rPr>
      </w:pPr>
    </w:p>
    <w:p w:rsidR="00000000" w:rsidRDefault="00A617A8">
      <w:pPr>
        <w:overflowPunct w:val="0"/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bookmarkStart w:id="1" w:name="_Toc61809184"/>
      <w:r>
        <w:rPr>
          <w:rFonts w:ascii="標楷體" w:eastAsia="標楷體" w:hAnsi="標楷體" w:hint="eastAsia"/>
          <w:b/>
          <w:sz w:val="32"/>
          <w:szCs w:val="32"/>
        </w:rPr>
        <w:t>期末報告審查意見紀錄</w:t>
      </w:r>
      <w:bookmarkEnd w:id="1"/>
      <w:r>
        <w:rPr>
          <w:rFonts w:ascii="標楷體" w:eastAsia="標楷體" w:hAnsi="標楷體" w:hint="eastAsia"/>
          <w:b/>
          <w:sz w:val="32"/>
          <w:szCs w:val="32"/>
        </w:rPr>
        <w:t>及回應</w:t>
      </w:r>
      <w:r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…………………………</w:t>
      </w:r>
      <w:proofErr w:type="gramEnd"/>
      <w:r>
        <w:rPr>
          <w:rFonts w:ascii="標楷體" w:eastAsia="標楷體" w:hAnsi="標楷體"/>
          <w:b/>
          <w:sz w:val="32"/>
          <w:szCs w:val="32"/>
        </w:rPr>
        <w:t>161</w:t>
      </w:r>
    </w:p>
    <w:p w:rsidR="00000000" w:rsidRDefault="00A617A8">
      <w:pPr>
        <w:rPr>
          <w:rFonts w:hint="eastAsia"/>
        </w:rPr>
      </w:pPr>
    </w:p>
    <w:p w:rsidR="00A617A8" w:rsidRDefault="00A617A8">
      <w:pPr>
        <w:rPr>
          <w:rFonts w:hint="eastAsia"/>
        </w:rPr>
      </w:pPr>
    </w:p>
    <w:sectPr w:rsidR="00A61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42F"/>
    <w:multiLevelType w:val="hybridMultilevel"/>
    <w:tmpl w:val="6792BE10"/>
    <w:lvl w:ilvl="0" w:tplc="1158A41A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DAA3B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1A31BA"/>
    <w:multiLevelType w:val="hybridMultilevel"/>
    <w:tmpl w:val="2B1A10EA"/>
    <w:lvl w:ilvl="0" w:tplc="9EF81DD0">
      <w:start w:val="3"/>
      <w:numFmt w:val="taiwaneseCountingThousand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E"/>
    <w:rsid w:val="000B7F2E"/>
    <w:rsid w:val="00A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93F5A-705A-43C9-A548-66FF9D0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一"/>
    <w:basedOn w:val="a0"/>
    <w:pPr>
      <w:numPr>
        <w:numId w:val="1"/>
      </w:numPr>
      <w:autoSpaceDE w:val="0"/>
      <w:autoSpaceDN w:val="0"/>
      <w:adjustRightInd w:val="0"/>
      <w:spacing w:line="360" w:lineRule="exact"/>
      <w:jc w:val="both"/>
      <w:textDirection w:val="lrTbV"/>
      <w:textAlignment w:val="baseline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2434</Characters>
  <Application>Microsoft Office Word</Application>
  <DocSecurity>0</DocSecurity>
  <Lines>20</Lines>
  <Paragraphs>5</Paragraphs>
  <ScaleCrop>false</ScaleCrop>
  <Company>CMT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subject/>
  <dc:creator>user</dc:creator>
  <cp:keywords/>
  <dc:description/>
  <cp:lastModifiedBy>卓卿雲</cp:lastModifiedBy>
  <cp:revision>2</cp:revision>
  <dcterms:created xsi:type="dcterms:W3CDTF">2021-09-22T10:22:00Z</dcterms:created>
  <dcterms:modified xsi:type="dcterms:W3CDTF">2021-09-22T10:22:00Z</dcterms:modified>
</cp:coreProperties>
</file>