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33E6">
      <w:pPr>
        <w:spacing w:beforeLines="200" w:before="720" w:afterLines="200" w:after="720" w:line="264" w:lineRule="auto"/>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第五章</w:t>
      </w:r>
      <w:r>
        <w:rPr>
          <w:rFonts w:ascii="標楷體" w:eastAsia="標楷體" w:hAnsi="標楷體" w:hint="eastAsia"/>
          <w:b/>
          <w:sz w:val="32"/>
          <w:szCs w:val="32"/>
        </w:rPr>
        <w:t xml:space="preserve">  </w:t>
      </w:r>
      <w:r>
        <w:rPr>
          <w:rFonts w:ascii="標楷體" w:eastAsia="標楷體" w:hAnsi="標楷體" w:hint="eastAsia"/>
          <w:b/>
          <w:sz w:val="32"/>
          <w:szCs w:val="32"/>
        </w:rPr>
        <w:t>慰問金請求權之爭議問題研究</w:t>
      </w:r>
    </w:p>
    <w:p w:rsidR="00000000" w:rsidRDefault="007833E6">
      <w:pPr>
        <w:spacing w:line="264" w:lineRule="auto"/>
        <w:rPr>
          <w:rFonts w:ascii="標楷體" w:eastAsia="標楷體" w:hAnsi="標楷體" w:hint="eastAsia"/>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7"/>
      </w:tblGrid>
      <w:tr w:rsidR="00000000">
        <w:trPr>
          <w:jc w:val="center"/>
        </w:trPr>
        <w:tc>
          <w:tcPr>
            <w:tcW w:w="8317" w:type="dxa"/>
          </w:tcPr>
          <w:p w:rsidR="00000000" w:rsidRDefault="007833E6">
            <w:pPr>
              <w:spacing w:beforeLines="100" w:before="360" w:afterLines="100" w:after="360" w:line="264" w:lineRule="auto"/>
              <w:jc w:val="center"/>
              <w:rPr>
                <w:rFonts w:ascii="標楷體" w:eastAsia="標楷體" w:hAnsi="標楷體" w:hint="eastAsia"/>
                <w:b/>
                <w:sz w:val="26"/>
                <w:szCs w:val="26"/>
              </w:rPr>
            </w:pPr>
            <w:r>
              <w:rPr>
                <w:rFonts w:ascii="標楷體" w:eastAsia="標楷體" w:hAnsi="標楷體" w:hint="eastAsia"/>
                <w:b/>
                <w:sz w:val="26"/>
                <w:szCs w:val="26"/>
              </w:rPr>
              <w:t>本章大綱</w:t>
            </w:r>
          </w:p>
          <w:p w:rsidR="00000000" w:rsidRDefault="007833E6">
            <w:pPr>
              <w:spacing w:line="264" w:lineRule="auto"/>
              <w:rPr>
                <w:rFonts w:ascii="標楷體" w:eastAsia="標楷體" w:hAnsi="標楷體" w:hint="eastAsia"/>
                <w:b/>
                <w:sz w:val="28"/>
                <w:szCs w:val="28"/>
              </w:rPr>
            </w:pPr>
            <w:r>
              <w:rPr>
                <w:rFonts w:ascii="標楷體" w:eastAsia="標楷體" w:hAnsi="標楷體" w:hint="eastAsia"/>
                <w:b/>
                <w:sz w:val="28"/>
                <w:szCs w:val="28"/>
              </w:rPr>
              <w:t>壹、問題之提出</w:t>
            </w:r>
          </w:p>
          <w:p w:rsidR="00000000" w:rsidRDefault="007833E6">
            <w:pPr>
              <w:spacing w:beforeLines="50" w:before="180" w:line="264" w:lineRule="auto"/>
              <w:rPr>
                <w:rFonts w:ascii="標楷體" w:eastAsia="標楷體" w:hAnsi="標楷體" w:hint="eastAsia"/>
                <w:b/>
                <w:sz w:val="28"/>
                <w:szCs w:val="28"/>
              </w:rPr>
            </w:pPr>
            <w:r>
              <w:rPr>
                <w:rFonts w:ascii="標楷體" w:eastAsia="標楷體" w:hAnsi="標楷體" w:hint="eastAsia"/>
                <w:b/>
                <w:sz w:val="28"/>
                <w:szCs w:val="28"/>
              </w:rPr>
              <w:t>貳、慰問金請求權之成立要件</w:t>
            </w:r>
          </w:p>
          <w:p w:rsidR="00000000" w:rsidRDefault="007833E6">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一、因公之要件</w:t>
            </w:r>
          </w:p>
          <w:p w:rsidR="00000000" w:rsidRDefault="007833E6">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二、「因公而發生受傷、殘廢或死亡結果」之要件（因果關係）</w:t>
            </w:r>
          </w:p>
          <w:p w:rsidR="00000000" w:rsidRDefault="007833E6">
            <w:pPr>
              <w:spacing w:beforeLines="150" w:before="54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參、慰問金請求權之排除、減發</w:t>
            </w:r>
          </w:p>
          <w:p w:rsidR="00000000" w:rsidRDefault="007833E6">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一、公務人員保障法第二十一條第二項之規範精神</w:t>
            </w:r>
          </w:p>
          <w:p w:rsidR="00000000" w:rsidRDefault="007833E6">
            <w:pPr>
              <w:spacing w:beforeLines="100" w:before="360" w:afterLines="50" w:after="180" w:line="264" w:lineRule="auto"/>
              <w:ind w:leftChars="162" w:left="909" w:hangingChars="200" w:hanging="520"/>
              <w:rPr>
                <w:rFonts w:ascii="標楷體" w:eastAsia="標楷體" w:hAnsi="標楷體" w:hint="eastAsia"/>
                <w:sz w:val="26"/>
                <w:szCs w:val="26"/>
              </w:rPr>
            </w:pPr>
            <w:r>
              <w:rPr>
                <w:rFonts w:ascii="標楷體" w:eastAsia="標楷體" w:hAnsi="標楷體" w:hint="eastAsia"/>
                <w:sz w:val="26"/>
                <w:szCs w:val="26"/>
              </w:rPr>
              <w:t>二、公務人員保障法第二十一條第二項之規範結構</w:t>
            </w:r>
          </w:p>
          <w:p w:rsidR="00000000" w:rsidRDefault="007833E6">
            <w:pPr>
              <w:spacing w:line="264" w:lineRule="auto"/>
              <w:ind w:firstLineChars="200" w:firstLine="480"/>
              <w:rPr>
                <w:rFonts w:ascii="標楷體" w:eastAsia="標楷體" w:hAnsi="標楷體" w:hint="eastAsia"/>
              </w:rPr>
            </w:pPr>
            <w:r>
              <w:rPr>
                <w:rFonts w:ascii="標楷體" w:eastAsia="標楷體" w:hAnsi="標楷體" w:hint="eastAsia"/>
              </w:rPr>
              <w:t>（一）有故意情事者</w:t>
            </w:r>
          </w:p>
          <w:p w:rsidR="00000000" w:rsidRDefault="007833E6">
            <w:pPr>
              <w:spacing w:line="264" w:lineRule="auto"/>
              <w:ind w:firstLineChars="200" w:firstLine="480"/>
              <w:rPr>
                <w:rFonts w:ascii="標楷體" w:eastAsia="標楷體" w:hAnsi="標楷體" w:hint="eastAsia"/>
              </w:rPr>
            </w:pPr>
            <w:r>
              <w:rPr>
                <w:rFonts w:ascii="標楷體" w:eastAsia="標楷體" w:hAnsi="標楷體" w:hint="eastAsia"/>
              </w:rPr>
              <w:t>（二）有重大過失情事者</w:t>
            </w:r>
          </w:p>
          <w:p w:rsidR="00000000" w:rsidRDefault="007833E6">
            <w:pPr>
              <w:spacing w:beforeLines="100" w:before="360" w:afterLines="50" w:after="180" w:line="264" w:lineRule="auto"/>
              <w:ind w:firstLineChars="150" w:firstLine="390"/>
              <w:rPr>
                <w:rFonts w:ascii="標楷體" w:eastAsia="標楷體" w:hAnsi="標楷體"/>
                <w:b/>
                <w:sz w:val="26"/>
                <w:szCs w:val="26"/>
              </w:rPr>
            </w:pPr>
            <w:r>
              <w:rPr>
                <w:rFonts w:ascii="標楷體" w:eastAsia="標楷體" w:hAnsi="標楷體" w:hint="eastAsia"/>
                <w:b/>
                <w:sz w:val="26"/>
                <w:szCs w:val="26"/>
              </w:rPr>
              <w:t>三、公務人員因公傷殘死亡慰問金發給辦法第四條第二項之檢討</w:t>
            </w:r>
          </w:p>
          <w:p w:rsidR="00000000" w:rsidRDefault="007833E6">
            <w:pPr>
              <w:spacing w:line="264" w:lineRule="auto"/>
              <w:ind w:firstLineChars="500" w:firstLine="1200"/>
              <w:rPr>
                <w:rFonts w:ascii="標楷體" w:eastAsia="標楷體" w:hAnsi="標楷體"/>
              </w:rPr>
            </w:pPr>
            <w:r>
              <w:rPr>
                <w:rFonts w:ascii="標楷體" w:eastAsia="標楷體" w:hAnsi="標楷體"/>
              </w:rPr>
              <w:t>--</w:t>
            </w:r>
            <w:r>
              <w:rPr>
                <w:rFonts w:ascii="標楷體" w:eastAsia="標楷體" w:hAnsi="標楷體" w:hint="eastAsia"/>
              </w:rPr>
              <w:t>評「有重大過失情事者，減發百分之三十」規定之合理性</w:t>
            </w:r>
          </w:p>
          <w:p w:rsidR="00000000" w:rsidRDefault="007833E6">
            <w:pPr>
              <w:spacing w:beforeLines="100" w:before="360" w:afterLines="100" w:after="360" w:line="264" w:lineRule="auto"/>
              <w:rPr>
                <w:rFonts w:ascii="標楷體" w:eastAsia="標楷體" w:hAnsi="標楷體" w:hint="eastAsia"/>
                <w:b/>
                <w:sz w:val="26"/>
                <w:szCs w:val="26"/>
              </w:rPr>
            </w:pPr>
            <w:r>
              <w:rPr>
                <w:rFonts w:ascii="標楷體" w:eastAsia="標楷體" w:hAnsi="標楷體" w:hint="eastAsia"/>
                <w:b/>
                <w:sz w:val="28"/>
                <w:szCs w:val="28"/>
              </w:rPr>
              <w:t>肆、結論</w:t>
            </w:r>
          </w:p>
        </w:tc>
      </w:tr>
    </w:tbl>
    <w:p w:rsidR="00000000" w:rsidRDefault="007833E6">
      <w:pPr>
        <w:spacing w:line="264" w:lineRule="auto"/>
        <w:rPr>
          <w:rFonts w:ascii="標楷體" w:eastAsia="標楷體" w:hAnsi="標楷體" w:hint="eastAsia"/>
        </w:rPr>
      </w:pPr>
    </w:p>
    <w:p w:rsidR="00000000" w:rsidRDefault="007833E6">
      <w:pPr>
        <w:spacing w:beforeLines="100" w:before="360" w:afterLines="100" w:after="360" w:line="264" w:lineRule="auto"/>
        <w:jc w:val="center"/>
        <w:rPr>
          <w:rFonts w:ascii="標楷體" w:eastAsia="標楷體" w:hAnsi="標楷體" w:hint="eastAsia"/>
          <w:b/>
          <w:sz w:val="32"/>
          <w:szCs w:val="32"/>
        </w:rPr>
      </w:pPr>
      <w:r>
        <w:rPr>
          <w:rFonts w:ascii="標楷體" w:eastAsia="標楷體" w:hAnsi="標楷體" w:hint="eastAsia"/>
          <w:b/>
          <w:sz w:val="32"/>
          <w:szCs w:val="32"/>
        </w:rPr>
        <w:lastRenderedPageBreak/>
        <w:t>壹、問題之提出</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「慰問金請求權」，係「公務人員保障</w:t>
      </w:r>
      <w:r>
        <w:rPr>
          <w:rFonts w:ascii="新細明體" w:hAnsi="新細明體" w:hint="eastAsia"/>
        </w:rPr>
        <w:t>法制」之「實體保障項目」當中，於實務上極具爭議性之問題，於該請求權之「成立要件」之解釋上，「公務人員保障暨培訓委員會（以下稱保訓會）之決定書」所表示之意見以及銓敘部函釋之見解，存在有重大分歧。</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倘若觀乎現行法律規定，僅有公務人員保障法第二十一條第二項規定：「公務人員因公受傷、殘廢或死亡者，應發給慰問金。但公務人員有故意或重大過失情事者，得不發或減發慰問金。」</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上述法律規定，固然得以導出公務人員於要件符合時，享有所謂「慰問金請求權」，惟該規定並未明確規定何謂「</w:t>
      </w:r>
      <w:r>
        <w:rPr>
          <w:rFonts w:ascii="新細明體" w:hAnsi="新細明體" w:hint="eastAsia"/>
          <w:b/>
        </w:rPr>
        <w:t>『因公』</w:t>
      </w:r>
      <w:r>
        <w:rPr>
          <w:rFonts w:ascii="新細明體" w:hAnsi="新細明體" w:hint="eastAsia"/>
        </w:rPr>
        <w:t>受傷、殘廢或死亡」，亦未規定「『因公』與『</w:t>
      </w:r>
      <w:r>
        <w:rPr>
          <w:rFonts w:ascii="新細明體" w:hAnsi="新細明體" w:hint="eastAsia"/>
        </w:rPr>
        <w:t>傷、殘、死亡』間之</w:t>
      </w:r>
      <w:r>
        <w:rPr>
          <w:rFonts w:ascii="新細明體" w:hAnsi="新細明體" w:hint="eastAsia"/>
          <w:b/>
        </w:rPr>
        <w:t>『因果關係』</w:t>
      </w:r>
      <w:r>
        <w:rPr>
          <w:rFonts w:ascii="新細明體" w:hAnsi="新細明體" w:hint="eastAsia"/>
        </w:rPr>
        <w:t>應如何認定」，而將「『因公』之標準」、其他請求權之成立要件、慰問金之發給標準等等事項，於同法第二十一條第三項，授權考試院會同行政院訂定法規命令以加以規範。</w:t>
      </w:r>
    </w:p>
    <w:p w:rsidR="00000000" w:rsidRDefault="007833E6">
      <w:pPr>
        <w:spacing w:beforeLines="50" w:before="180" w:afterLines="50" w:after="180" w:line="264" w:lineRule="auto"/>
        <w:ind w:firstLineChars="200" w:firstLine="480"/>
        <w:rPr>
          <w:rFonts w:ascii="新細明體" w:hAnsi="新細明體"/>
        </w:rPr>
      </w:pPr>
      <w:r>
        <w:rPr>
          <w:rFonts w:ascii="新細明體" w:hAnsi="新細明體" w:hint="eastAsia"/>
        </w:rPr>
        <w:t>然而，上述依公務人員保障法第二十一條第三項訂定之「公務人員因公傷殘死亡慰問金發給辦法」（以下簡稱「慰問金發給辦法」），將公務人員保障法所規定之「慰問金請求權之成立要件」，作了進一步之細節規定，導致許多實務案例上之爭議。</w:t>
      </w:r>
    </w:p>
    <w:p w:rsidR="00000000" w:rsidRDefault="007833E6">
      <w:pPr>
        <w:spacing w:beforeLines="200" w:before="720" w:afterLines="100" w:after="360" w:line="264" w:lineRule="auto"/>
        <w:rPr>
          <w:rFonts w:ascii="標楷體" w:eastAsia="標楷體" w:hAnsi="標楷體" w:hint="eastAsia"/>
          <w:b/>
          <w:sz w:val="26"/>
          <w:szCs w:val="26"/>
        </w:rPr>
      </w:pPr>
      <w:r>
        <w:rPr>
          <w:rFonts w:ascii="標楷體" w:eastAsia="標楷體" w:hAnsi="標楷體" w:hint="eastAsia"/>
          <w:b/>
          <w:sz w:val="26"/>
          <w:szCs w:val="26"/>
        </w:rPr>
        <w:t>一、慰問金請求權之成立要件部分：</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本文之主要重點，即在針對實務上案例常見之「兩大爭議要件」予以分析：</w:t>
      </w:r>
    </w:p>
    <w:p w:rsidR="00000000" w:rsidRDefault="007833E6">
      <w:pPr>
        <w:spacing w:beforeLines="100" w:before="360" w:afterLines="100" w:after="360" w:line="264" w:lineRule="auto"/>
        <w:ind w:leftChars="200" w:left="720" w:hangingChars="100" w:hanging="240"/>
        <w:rPr>
          <w:rFonts w:ascii="新細明體" w:hAnsi="新細明體" w:hint="eastAsia"/>
        </w:rPr>
      </w:pPr>
      <w:r>
        <w:rPr>
          <w:rFonts w:ascii="標楷體" w:eastAsia="標楷體" w:hAnsi="標楷體"/>
          <w:b/>
        </w:rPr>
        <w:t>1.</w:t>
      </w:r>
      <w:r>
        <w:rPr>
          <w:rFonts w:ascii="標楷體" w:eastAsia="標楷體" w:hAnsi="標楷體" w:hint="eastAsia"/>
          <w:b/>
        </w:rPr>
        <w:t>公務人員保障法第二十一條第二項所謂「『因公』受傷、殘廢或死亡</w:t>
      </w:r>
      <w:r>
        <w:rPr>
          <w:rFonts w:ascii="標楷體" w:eastAsia="標楷體" w:hAnsi="標楷體"/>
          <w:b/>
        </w:rPr>
        <w:t>…</w:t>
      </w:r>
      <w:r>
        <w:rPr>
          <w:rFonts w:ascii="標楷體" w:eastAsia="標楷體" w:hAnsi="標楷體" w:hint="eastAsia"/>
          <w:b/>
        </w:rPr>
        <w:t>」其「因公之範圍」應如何解釋？</w:t>
      </w:r>
      <w:r>
        <w:rPr>
          <w:rFonts w:ascii="新細明體" w:hAnsi="新細明體" w:hint="eastAsia"/>
        </w:rPr>
        <w:t>慰問金發給辦法第三條第一項各款、第二項針對「因公之範圍」之具體化，是否妥適？上開慰問金發給辦法之具體化，是否符合公務人員保障法之意旨？自有探討之餘地。</w:t>
      </w:r>
    </w:p>
    <w:p w:rsidR="00000000" w:rsidRDefault="007833E6">
      <w:pPr>
        <w:spacing w:beforeLines="100" w:before="360" w:afterLines="100" w:after="360" w:line="264" w:lineRule="auto"/>
        <w:ind w:leftChars="200" w:left="720" w:hangingChars="100" w:hanging="240"/>
        <w:rPr>
          <w:rFonts w:ascii="新細明體" w:hAnsi="新細明體" w:hint="eastAsia"/>
        </w:rPr>
      </w:pPr>
      <w:r>
        <w:rPr>
          <w:rFonts w:ascii="標楷體" w:eastAsia="標楷體" w:hAnsi="標楷體"/>
          <w:b/>
        </w:rPr>
        <w:t>2.</w:t>
      </w:r>
      <w:r>
        <w:rPr>
          <w:rFonts w:ascii="標楷體" w:eastAsia="標楷體" w:hAnsi="標楷體" w:hint="eastAsia"/>
          <w:b/>
        </w:rPr>
        <w:t>「因公」與「受傷、殘廢或死亡」間之「因果關係」應如何判定？</w:t>
      </w:r>
      <w:r>
        <w:rPr>
          <w:rFonts w:ascii="新細明體" w:hAnsi="新細明體" w:hint="eastAsia"/>
        </w:rPr>
        <w:t>慰問金發給辦法第三條第三項所採取「直接因果關係」之見解，是否妥適？何謂「直接」因果關係？究應採取「直接因果關係」抑或「相當因果關係」之標準？亦有探討之餘地。此外，銓敘部於</w:t>
      </w:r>
      <w:r>
        <w:rPr>
          <w:rFonts w:ascii="新細明體" w:hAnsi="新細明體" w:cs="新細明體"/>
          <w:kern w:val="0"/>
          <w:lang w:val="zh-TW"/>
        </w:rPr>
        <w:t>96</w:t>
      </w:r>
      <w:r>
        <w:rPr>
          <w:rFonts w:ascii="新細明體" w:hAnsi="新細明體" w:cs="新細明體" w:hint="eastAsia"/>
          <w:kern w:val="0"/>
          <w:lang w:val="zh-TW"/>
        </w:rPr>
        <w:t>公審決字第</w:t>
      </w:r>
      <w:r>
        <w:rPr>
          <w:rFonts w:ascii="新細明體" w:hAnsi="新細明體" w:cs="新細明體"/>
          <w:kern w:val="0"/>
          <w:lang w:val="zh-TW"/>
        </w:rPr>
        <w:t>0379</w:t>
      </w:r>
      <w:r>
        <w:rPr>
          <w:rFonts w:ascii="新細明體" w:hAnsi="新細明體" w:cs="新細明體" w:hint="eastAsia"/>
          <w:kern w:val="0"/>
          <w:lang w:val="zh-TW"/>
        </w:rPr>
        <w:t>號之答辯書</w:t>
      </w:r>
      <w:r>
        <w:rPr>
          <w:rFonts w:ascii="新細明體" w:hAnsi="新細明體" w:hint="eastAsia"/>
        </w:rPr>
        <w:lastRenderedPageBreak/>
        <w:t>當中</w:t>
      </w:r>
      <w:r>
        <w:rPr>
          <w:rFonts w:ascii="新細明體" w:hAnsi="新細明體" w:hint="eastAsia"/>
        </w:rPr>
        <w:t>，曾出現所謂「因果關係不中斷」之要件，究何所指？在「慰問金請求權之成立要件」當中，增加「因果關係不中斷」此一要件，是否合理？</w:t>
      </w:r>
    </w:p>
    <w:p w:rsidR="00000000" w:rsidRDefault="007833E6">
      <w:pPr>
        <w:spacing w:beforeLines="250" w:before="900" w:afterLines="100" w:after="360" w:line="264" w:lineRule="auto"/>
        <w:rPr>
          <w:rFonts w:ascii="標楷體" w:eastAsia="標楷體" w:hAnsi="標楷體" w:hint="eastAsia"/>
          <w:b/>
          <w:sz w:val="26"/>
          <w:szCs w:val="26"/>
        </w:rPr>
      </w:pPr>
      <w:r>
        <w:rPr>
          <w:rFonts w:ascii="標楷體" w:eastAsia="標楷體" w:hAnsi="標楷體" w:hint="eastAsia"/>
          <w:b/>
          <w:sz w:val="26"/>
          <w:szCs w:val="26"/>
        </w:rPr>
        <w:t>二、慰問金請求權之排除或減發部分</w:t>
      </w:r>
    </w:p>
    <w:p w:rsidR="00000000" w:rsidRDefault="007833E6">
      <w:pPr>
        <w:spacing w:beforeLines="100" w:before="360" w:afterLines="100" w:after="360" w:line="264" w:lineRule="auto"/>
        <w:ind w:firstLineChars="200" w:firstLine="480"/>
        <w:rPr>
          <w:rFonts w:ascii="標楷體" w:eastAsia="標楷體" w:hAnsi="標楷體"/>
        </w:rPr>
      </w:pPr>
      <w:r>
        <w:rPr>
          <w:rFonts w:ascii="標楷體" w:eastAsia="標楷體" w:hAnsi="標楷體" w:hint="eastAsia"/>
        </w:rPr>
        <w:t>公務人員保障法第二十一條第二項但書規定：「但公務人員有故意或重大過失情事者，得不發或減發慰問金。」</w:t>
      </w:r>
    </w:p>
    <w:p w:rsidR="00000000" w:rsidRDefault="007833E6">
      <w:pPr>
        <w:spacing w:beforeLines="100" w:before="360" w:afterLines="100" w:after="360" w:line="264" w:lineRule="auto"/>
        <w:ind w:firstLineChars="200" w:firstLine="480"/>
        <w:rPr>
          <w:rFonts w:ascii="標楷體" w:eastAsia="標楷體" w:hAnsi="標楷體"/>
        </w:rPr>
      </w:pPr>
      <w:r>
        <w:rPr>
          <w:rFonts w:ascii="標楷體" w:eastAsia="標楷體" w:hAnsi="標楷體" w:hint="eastAsia"/>
        </w:rPr>
        <w:t>慰問金發給辦法第四條第二項規定：「前項所定慰問金，公務人員有故意情事者，不發給；有重大過失情事者，減發百分之三十。」</w:t>
      </w:r>
    </w:p>
    <w:p w:rsidR="00000000" w:rsidRDefault="007833E6">
      <w:pPr>
        <w:spacing w:beforeLines="100" w:before="360" w:afterLines="100" w:after="360" w:line="264" w:lineRule="auto"/>
        <w:ind w:firstLineChars="200" w:firstLine="480"/>
        <w:rPr>
          <w:rFonts w:ascii="新細明體" w:hAnsi="新細明體" w:hint="eastAsia"/>
        </w:rPr>
      </w:pPr>
      <w:r>
        <w:rPr>
          <w:rFonts w:ascii="新細明體" w:hAnsi="新細明體"/>
        </w:rPr>
        <w:t>1.</w:t>
      </w:r>
      <w:r>
        <w:rPr>
          <w:rFonts w:ascii="新細明體" w:hAnsi="新細明體" w:hint="eastAsia"/>
        </w:rPr>
        <w:t>此一規定之規範精神、規範意旨何在？因公務人員之「故意」而排除或減發慰問金，與因公務人員之「重大過失」而排除或減發慰問金，二者之規範</w:t>
      </w:r>
      <w:r>
        <w:rPr>
          <w:rFonts w:ascii="新細明體" w:hAnsi="新細明體" w:hint="eastAsia"/>
        </w:rPr>
        <w:t>意旨有何不同？</w:t>
      </w:r>
    </w:p>
    <w:p w:rsidR="00000000" w:rsidRDefault="007833E6">
      <w:pPr>
        <w:spacing w:beforeLines="100" w:before="360" w:afterLines="100" w:after="360" w:line="264" w:lineRule="auto"/>
        <w:ind w:firstLineChars="200" w:firstLine="480"/>
        <w:rPr>
          <w:rFonts w:ascii="新細明體" w:hAnsi="新細明體"/>
        </w:rPr>
      </w:pPr>
      <w:r>
        <w:rPr>
          <w:rFonts w:ascii="新細明體" w:hAnsi="新細明體"/>
        </w:rPr>
        <w:t>2.</w:t>
      </w:r>
      <w:r>
        <w:rPr>
          <w:rFonts w:ascii="新細明體" w:hAnsi="新細明體" w:hint="eastAsia"/>
        </w:rPr>
        <w:t>公務人員保障法第二十一條第二項但書既然規定</w:t>
      </w:r>
      <w:r>
        <w:rPr>
          <w:rFonts w:ascii="標楷體" w:eastAsia="標楷體" w:hAnsi="標楷體" w:hint="eastAsia"/>
        </w:rPr>
        <w:t>「</w:t>
      </w:r>
      <w:r>
        <w:rPr>
          <w:rFonts w:ascii="標楷體" w:eastAsia="標楷體" w:hAnsi="標楷體"/>
        </w:rPr>
        <w:t>…</w:t>
      </w:r>
      <w:r>
        <w:rPr>
          <w:rFonts w:ascii="標楷體" w:eastAsia="標楷體" w:hAnsi="標楷體" w:hint="eastAsia"/>
          <w:b/>
        </w:rPr>
        <w:t>得</w:t>
      </w:r>
      <w:r>
        <w:rPr>
          <w:rFonts w:ascii="標楷體" w:eastAsia="標楷體" w:hAnsi="標楷體" w:hint="eastAsia"/>
        </w:rPr>
        <w:t>不發或減發慰問金</w:t>
      </w:r>
      <w:r>
        <w:rPr>
          <w:rFonts w:ascii="新細明體" w:hAnsi="新細明體" w:hint="eastAsia"/>
        </w:rPr>
        <w:t>」，因此，在系爭公務人員存在有「但書」之情事時，行政機關就「是否發給該公務員慰問金」以及「減發之比例、額度」是否享有「裁量權」？</w:t>
      </w:r>
    </w:p>
    <w:p w:rsidR="00000000" w:rsidRDefault="007833E6">
      <w:pPr>
        <w:spacing w:beforeLines="100" w:before="360" w:afterLines="100" w:after="360" w:line="264" w:lineRule="auto"/>
        <w:ind w:firstLineChars="200" w:firstLine="480"/>
        <w:rPr>
          <w:rFonts w:hint="eastAsia"/>
        </w:rPr>
      </w:pPr>
      <w:r>
        <w:rPr>
          <w:rFonts w:ascii="新細明體" w:hAnsi="新細明體"/>
        </w:rPr>
        <w:t>3.</w:t>
      </w:r>
      <w:r>
        <w:rPr>
          <w:rFonts w:ascii="新細明體" w:hAnsi="新細明體" w:hint="eastAsia"/>
        </w:rPr>
        <w:t>依據「慰問金發給辦法第四條第二項」規定具體化「公務人員保障法第二十一條第二項但書」之結果，於「公務人員有故意情事」時，「</w:t>
      </w:r>
      <w:r>
        <w:rPr>
          <w:rFonts w:ascii="標楷體" w:eastAsia="標楷體" w:hAnsi="標楷體" w:hint="eastAsia"/>
          <w:b/>
        </w:rPr>
        <w:t>必定不發給</w:t>
      </w:r>
      <w:r>
        <w:rPr>
          <w:rFonts w:hint="eastAsia"/>
        </w:rPr>
        <w:t>」慰問金；於「公務人員有過失情事」時，「</w:t>
      </w:r>
      <w:r>
        <w:rPr>
          <w:rFonts w:ascii="標楷體" w:eastAsia="標楷體" w:hAnsi="標楷體" w:hint="eastAsia"/>
          <w:b/>
        </w:rPr>
        <w:t>必定減發百分之三十</w:t>
      </w:r>
      <w:r>
        <w:rPr>
          <w:rFonts w:hint="eastAsia"/>
        </w:rPr>
        <w:t>」。</w:t>
      </w:r>
    </w:p>
    <w:p w:rsidR="00000000" w:rsidRDefault="007833E6">
      <w:pPr>
        <w:spacing w:beforeLines="100" w:before="360" w:afterLines="100" w:after="360" w:line="264" w:lineRule="auto"/>
        <w:ind w:firstLineChars="200" w:firstLine="480"/>
        <w:rPr>
          <w:rFonts w:ascii="標楷體" w:eastAsia="標楷體" w:hAnsi="標楷體" w:hint="eastAsia"/>
          <w:b/>
        </w:rPr>
      </w:pPr>
      <w:r>
        <w:rPr>
          <w:rFonts w:hint="eastAsia"/>
        </w:rPr>
        <w:t>按公務人員保障法第二十一條第二項已規定</w:t>
      </w:r>
      <w:r>
        <w:rPr>
          <w:rFonts w:ascii="標楷體" w:eastAsia="標楷體" w:hAnsi="標楷體" w:hint="eastAsia"/>
        </w:rPr>
        <w:t>「</w:t>
      </w:r>
      <w:r>
        <w:rPr>
          <w:rFonts w:ascii="標楷體" w:eastAsia="標楷體" w:hAnsi="標楷體"/>
        </w:rPr>
        <w:t>…</w:t>
      </w:r>
      <w:r>
        <w:rPr>
          <w:rFonts w:ascii="標楷體" w:eastAsia="標楷體" w:hAnsi="標楷體" w:hint="eastAsia"/>
          <w:b/>
        </w:rPr>
        <w:t>得</w:t>
      </w:r>
      <w:r>
        <w:rPr>
          <w:rFonts w:ascii="標楷體" w:eastAsia="標楷體" w:hAnsi="標楷體" w:hint="eastAsia"/>
        </w:rPr>
        <w:t>不發或減發慰問金</w:t>
      </w:r>
      <w:r>
        <w:rPr>
          <w:rFonts w:ascii="新細明體" w:hAnsi="新細明體" w:hint="eastAsia"/>
        </w:rPr>
        <w:t>」，然而，慰問金發給辦法第四條第二項卻為</w:t>
      </w:r>
      <w:r>
        <w:rPr>
          <w:rFonts w:ascii="新細明體" w:hAnsi="新細明體" w:hint="eastAsia"/>
        </w:rPr>
        <w:t>上述「</w:t>
      </w:r>
      <w:r>
        <w:rPr>
          <w:rFonts w:ascii="標楷體" w:eastAsia="標楷體" w:hAnsi="標楷體" w:hint="eastAsia"/>
          <w:b/>
        </w:rPr>
        <w:t>必定不發給</w:t>
      </w:r>
      <w:r>
        <w:rPr>
          <w:rFonts w:hint="eastAsia"/>
        </w:rPr>
        <w:t>」及「</w:t>
      </w:r>
      <w:r>
        <w:rPr>
          <w:rFonts w:ascii="標楷體" w:eastAsia="標楷體" w:hAnsi="標楷體" w:hint="eastAsia"/>
          <w:b/>
        </w:rPr>
        <w:t>必定減發百分之三十</w:t>
      </w:r>
      <w:r>
        <w:rPr>
          <w:rFonts w:hint="eastAsia"/>
        </w:rPr>
        <w:t>」之規定，此一規定，是否</w:t>
      </w:r>
      <w:r>
        <w:rPr>
          <w:rFonts w:ascii="標楷體" w:eastAsia="標楷體" w:hAnsi="標楷體" w:hint="eastAsia"/>
          <w:b/>
        </w:rPr>
        <w:t>破壞當初公務人員保障法之立法者「給予行政機關裁量權」之立法美意</w:t>
      </w:r>
      <w:r>
        <w:rPr>
          <w:rFonts w:ascii="標楷體" w:eastAsia="標楷體" w:hAnsi="標楷體" w:hint="eastAsia"/>
        </w:rPr>
        <w:t>？</w:t>
      </w:r>
      <w:r>
        <w:rPr>
          <w:rFonts w:hint="eastAsia"/>
        </w:rPr>
        <w:t>是否</w:t>
      </w:r>
      <w:r>
        <w:rPr>
          <w:rFonts w:ascii="標楷體" w:eastAsia="標楷體" w:hAnsi="標楷體" w:hint="eastAsia"/>
          <w:b/>
        </w:rPr>
        <w:t>使得行政機關無法在個案中斟酌不同情況，就「發與不發慰問金」以及「減發之比例」為合法且妥當之裁量？</w:t>
      </w:r>
    </w:p>
    <w:p w:rsidR="00000000" w:rsidRDefault="007833E6">
      <w:pPr>
        <w:spacing w:beforeLines="100" w:before="360" w:afterLines="100" w:after="360" w:line="264" w:lineRule="auto"/>
        <w:ind w:firstLineChars="200" w:firstLine="480"/>
        <w:rPr>
          <w:rFonts w:ascii="新細明體" w:hAnsi="新細明體" w:hint="eastAsia"/>
        </w:rPr>
      </w:pPr>
      <w:r>
        <w:rPr>
          <w:rFonts w:ascii="新細明體" w:hAnsi="新細明體" w:hint="eastAsia"/>
        </w:rPr>
        <w:t>針對上述爭議，本文將以實務之案例為基礎，分別探討之，並於最後提出法律適用上之建議，期能以此或多或少提供公務人員保障法制之學說、實務有所幫助。</w:t>
      </w:r>
    </w:p>
    <w:p w:rsidR="00000000" w:rsidRDefault="007833E6">
      <w:pPr>
        <w:spacing w:beforeLines="350" w:before="1260" w:afterLines="50" w:after="180" w:line="264" w:lineRule="auto"/>
        <w:jc w:val="center"/>
        <w:rPr>
          <w:rFonts w:ascii="標楷體" w:eastAsia="標楷體" w:hAnsi="標楷體" w:hint="eastAsia"/>
          <w:b/>
          <w:sz w:val="32"/>
          <w:szCs w:val="32"/>
        </w:rPr>
      </w:pPr>
      <w:r>
        <w:rPr>
          <w:rFonts w:ascii="標楷體" w:eastAsia="標楷體" w:hAnsi="標楷體" w:hint="eastAsia"/>
          <w:b/>
          <w:sz w:val="32"/>
          <w:szCs w:val="32"/>
        </w:rPr>
        <w:lastRenderedPageBreak/>
        <w:t>貳、慰問金請求權之成立要件</w:t>
      </w:r>
    </w:p>
    <w:p w:rsidR="00000000" w:rsidRDefault="007833E6">
      <w:pPr>
        <w:spacing w:beforeLines="100" w:before="360" w:afterLines="50" w:after="180" w:line="264" w:lineRule="auto"/>
        <w:rPr>
          <w:rFonts w:ascii="標楷體" w:eastAsia="標楷體" w:hAnsi="標楷體" w:hint="eastAsia"/>
          <w:b/>
          <w:sz w:val="28"/>
          <w:szCs w:val="28"/>
        </w:rPr>
      </w:pPr>
      <w:r>
        <w:rPr>
          <w:rFonts w:ascii="標楷體" w:eastAsia="標楷體" w:hAnsi="標楷體" w:hint="eastAsia"/>
          <w:b/>
          <w:sz w:val="28"/>
          <w:szCs w:val="28"/>
        </w:rPr>
        <w:t>一、「因公」之要件</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「慰問金發給辦法」第三條第一項規定：「本辦法所稱因公受傷、殘廢、死亡，指因下列情事之一，致受</w:t>
      </w:r>
      <w:r>
        <w:rPr>
          <w:rFonts w:ascii="新細明體" w:hAnsi="新細明體" w:hint="eastAsia"/>
        </w:rPr>
        <w:t>傷、殘廢或死亡者：一、執行職務發生意外。二、公差遇險。三、在辦公場所發生意外。」</w:t>
      </w:r>
    </w:p>
    <w:p w:rsidR="00000000" w:rsidRDefault="007833E6">
      <w:pPr>
        <w:ind w:firstLineChars="200" w:firstLine="480"/>
        <w:rPr>
          <w:rFonts w:ascii="新細明體" w:hAnsi="新細明體" w:hint="eastAsia"/>
        </w:rPr>
      </w:pPr>
      <w:r>
        <w:rPr>
          <w:rFonts w:ascii="新細明體" w:hAnsi="新細明體" w:hint="eastAsia"/>
        </w:rPr>
        <w:t>「慰問金發給辦法」第三條第二項規定：「前項第一款所稱執行職務發生意外，指於執行職務時，發生意外事故；第二款所稱公差遇險，指公務人員經機關學校指派執行一定之任務而遭遇危險，其時程之計算係自出發以迄完成指派任務返回辦公場所或住</w:t>
      </w:r>
      <w:r>
        <w:rPr>
          <w:rFonts w:ascii="新細明體" w:hAnsi="新細明體" w:hint="eastAsia"/>
        </w:rPr>
        <w:t xml:space="preserve"> (</w:t>
      </w:r>
      <w:r>
        <w:rPr>
          <w:rFonts w:ascii="新細明體" w:hAnsi="新細明體" w:hint="eastAsia"/>
        </w:rPr>
        <w:t>居</w:t>
      </w:r>
      <w:r>
        <w:rPr>
          <w:rFonts w:ascii="新細明體" w:hAnsi="新細明體" w:hint="eastAsia"/>
        </w:rPr>
        <w:t xml:space="preserve">) </w:t>
      </w:r>
      <w:r>
        <w:rPr>
          <w:rFonts w:ascii="新細明體" w:hAnsi="新細明體" w:hint="eastAsia"/>
        </w:rPr>
        <w:t>所止；第三款所稱在辦公場所發生意外，指在處理公務之場所，於辦公時間內或指定之工作時間內，因處理公務而發生意外事故。」</w:t>
      </w:r>
    </w:p>
    <w:p w:rsidR="00000000" w:rsidRDefault="007833E6">
      <w:pPr>
        <w:spacing w:beforeLines="50" w:before="180" w:afterLines="50" w:after="180" w:line="264" w:lineRule="auto"/>
        <w:ind w:firstLineChars="200" w:firstLine="480"/>
        <w:rPr>
          <w:rFonts w:ascii="新細明體" w:hAnsi="新細明體" w:hint="eastAsia"/>
        </w:rPr>
      </w:pPr>
      <w:r>
        <w:rPr>
          <w:rFonts w:ascii="新細明體" w:hAnsi="新細明體" w:hint="eastAsia"/>
        </w:rPr>
        <w:t>在此必須釐清的問題是，上開「執行職務發生意外」、「公差遇險」、「辦公場所發生意外</w:t>
      </w:r>
      <w:r>
        <w:rPr>
          <w:rFonts w:ascii="新細明體" w:hAnsi="新細明體" w:hint="eastAsia"/>
        </w:rPr>
        <w:t>」三款事由，究竟係</w:t>
      </w:r>
      <w:r>
        <w:rPr>
          <w:rFonts w:ascii="標楷體" w:eastAsia="標楷體" w:hAnsi="標楷體" w:hint="eastAsia"/>
        </w:rPr>
        <w:t>「</w:t>
      </w:r>
      <w:r>
        <w:rPr>
          <w:rFonts w:ascii="標楷體" w:eastAsia="標楷體" w:hAnsi="標楷體" w:hint="eastAsia"/>
          <w:b/>
        </w:rPr>
        <w:t>並列而獨立之事由</w:t>
      </w:r>
      <w:r>
        <w:rPr>
          <w:rFonts w:ascii="標楷體" w:eastAsia="標楷體" w:hAnsi="標楷體" w:hint="eastAsia"/>
        </w:rPr>
        <w:t>」</w:t>
      </w:r>
      <w:r>
        <w:rPr>
          <w:rFonts w:ascii="新細明體" w:hAnsi="新細明體" w:hint="eastAsia"/>
        </w:rPr>
        <w:t>？抑或</w:t>
      </w:r>
      <w:r>
        <w:rPr>
          <w:rFonts w:ascii="標楷體" w:eastAsia="標楷體" w:hAnsi="標楷體" w:hint="eastAsia"/>
          <w:b/>
        </w:rPr>
        <w:t>「例示條款與概括條款之關係」</w:t>
      </w:r>
      <w:r>
        <w:rPr>
          <w:rFonts w:ascii="新細明體" w:hAnsi="新細明體" w:hint="eastAsia"/>
        </w:rPr>
        <w:t>（亦即「公差遇險」、「辦公場所發生意外」係屬「</w:t>
      </w:r>
      <w:r>
        <w:rPr>
          <w:rFonts w:ascii="標楷體" w:eastAsia="標楷體" w:hAnsi="標楷體" w:hint="eastAsia"/>
          <w:b/>
        </w:rPr>
        <w:t>例示條款</w:t>
      </w:r>
      <w:r>
        <w:rPr>
          <w:rFonts w:ascii="新細明體" w:hAnsi="新細明體" w:hint="eastAsia"/>
        </w:rPr>
        <w:t>」，倘若不合於第二款「公差遇險」、第三款「辦工場所發生意外」之規定時，應適用第一款「</w:t>
      </w:r>
      <w:r>
        <w:rPr>
          <w:rFonts w:ascii="標楷體" w:eastAsia="標楷體" w:hAnsi="標楷體" w:hint="eastAsia"/>
          <w:b/>
        </w:rPr>
        <w:t>概括條款</w:t>
      </w:r>
      <w:r>
        <w:rPr>
          <w:rFonts w:ascii="新細明體" w:hAnsi="新細明體" w:hint="eastAsia"/>
        </w:rPr>
        <w:t>」即「</w:t>
      </w:r>
      <w:r>
        <w:rPr>
          <w:rFonts w:ascii="標楷體" w:eastAsia="標楷體" w:hAnsi="標楷體" w:hint="eastAsia"/>
          <w:b/>
        </w:rPr>
        <w:t>執行職務發生意外</w:t>
      </w:r>
      <w:r>
        <w:rPr>
          <w:rFonts w:ascii="新細明體" w:hAnsi="新細明體" w:hint="eastAsia"/>
        </w:rPr>
        <w:t>」之規定）？必須就此一問題先行釐清，方能得知該三款事由應如何解釋，並且亦能一併解決「慰問金發給辦法第三條第一項、第二項三款事由之具體化，是否符合公務人員保障法第二十一條第二項規定之意旨」此一問題。</w:t>
      </w:r>
    </w:p>
    <w:p w:rsidR="00000000" w:rsidRDefault="007833E6">
      <w:pPr>
        <w:spacing w:beforeLines="100" w:before="360" w:afterLines="100" w:after="360" w:line="264" w:lineRule="auto"/>
        <w:ind w:firstLineChars="200" w:firstLine="480"/>
        <w:rPr>
          <w:rFonts w:ascii="新細明體" w:hAnsi="新細明體" w:hint="eastAsia"/>
        </w:rPr>
      </w:pPr>
      <w:r>
        <w:rPr>
          <w:rFonts w:ascii="標楷體" w:eastAsia="標楷體" w:hAnsi="標楷體" w:hint="eastAsia"/>
          <w:b/>
        </w:rPr>
        <w:t>1.</w:t>
      </w:r>
      <w:r>
        <w:rPr>
          <w:rFonts w:ascii="標楷體" w:eastAsia="標楷體" w:hAnsi="標楷體" w:hint="eastAsia"/>
          <w:b/>
        </w:rPr>
        <w:t>解釋可能一：三款「因公事由」係「並列而獨立之事由」</w:t>
      </w:r>
    </w:p>
    <w:p w:rsidR="00000000" w:rsidRDefault="007833E6">
      <w:pPr>
        <w:ind w:leftChars="300" w:left="720" w:firstLineChars="200" w:firstLine="480"/>
        <w:rPr>
          <w:rFonts w:hint="eastAsia"/>
        </w:rPr>
      </w:pPr>
      <w:r>
        <w:rPr>
          <w:rFonts w:hint="eastAsia"/>
        </w:rPr>
        <w:t>若是「三款事由」係</w:t>
      </w:r>
      <w:r>
        <w:rPr>
          <w:rFonts w:hint="eastAsia"/>
        </w:rPr>
        <w:t>「並列而獨立之事由」，亦即「公差遇險」以及「辦公場所發生意外」此二款事由，與「執行職務發生意外」脫鉤，則適用上將造成下列結果：只要是事實上在公差途中及時程內在辦公場所發生的意外，即使不是因執行職務而發生或屬於執行職務之典型關聯行為，亦符合請求慰問金之範圍。</w:t>
      </w:r>
    </w:p>
    <w:p w:rsidR="00000000" w:rsidRDefault="007833E6">
      <w:pPr>
        <w:spacing w:beforeLines="100" w:before="360" w:afterLines="100" w:after="360"/>
        <w:ind w:firstLineChars="200" w:firstLine="480"/>
        <w:rPr>
          <w:rFonts w:hint="eastAsia"/>
        </w:rPr>
      </w:pPr>
      <w:r>
        <w:rPr>
          <w:rFonts w:ascii="標楷體" w:eastAsia="標楷體" w:hAnsi="標楷體" w:hint="eastAsia"/>
          <w:b/>
        </w:rPr>
        <w:t>2.</w:t>
      </w:r>
      <w:r>
        <w:rPr>
          <w:rFonts w:ascii="標楷體" w:eastAsia="標楷體" w:hAnsi="標楷體" w:hint="eastAsia"/>
          <w:b/>
        </w:rPr>
        <w:t>解釋可能二：三款事由係「例示條款」與「概括條款」之關係</w:t>
      </w:r>
    </w:p>
    <w:p w:rsidR="00000000" w:rsidRDefault="007833E6">
      <w:pPr>
        <w:ind w:leftChars="300" w:left="720" w:firstLineChars="200" w:firstLine="480"/>
        <w:rPr>
          <w:rFonts w:hint="eastAsia"/>
        </w:rPr>
      </w:pPr>
      <w:r>
        <w:rPr>
          <w:rFonts w:hint="eastAsia"/>
        </w:rPr>
        <w:t>「公差遇險」以及「辦公場所發生意外」此二款事由之概念，僅是第一款「執行職務發生意外」之例示條款，「公差遇險」以及「辦公場所發生意外」仍須以符合「執行職務發生意外」為要件。</w:t>
      </w:r>
    </w:p>
    <w:p w:rsidR="00000000" w:rsidRDefault="007833E6">
      <w:pPr>
        <w:rPr>
          <w:rFonts w:hint="eastAsia"/>
        </w:rPr>
      </w:pPr>
    </w:p>
    <w:p w:rsidR="00000000" w:rsidRDefault="007833E6">
      <w:pPr>
        <w:spacing w:beforeLines="100" w:before="360" w:afterLines="100" w:after="360"/>
        <w:ind w:firstLineChars="200" w:firstLine="480"/>
        <w:rPr>
          <w:rFonts w:hint="eastAsia"/>
        </w:rPr>
      </w:pPr>
      <w:r>
        <w:rPr>
          <w:rFonts w:hint="eastAsia"/>
        </w:rPr>
        <w:lastRenderedPageBreak/>
        <w:t>本文認為，公差遇險及</w:t>
      </w:r>
      <w:r>
        <w:rPr>
          <w:rFonts w:hint="eastAsia"/>
        </w:rPr>
        <w:t>在辦公場所發生意外，仍應以因執行職務發生意外為要件，否則不符合「因公受傷、殘廢、死亡」之文義及慰問金之規範功能。蓋慰問金之設置應該係在對公務員因執行職務發生意外，因而受傷、殘廢、死亡，給予特殊之照顧。反之若採取第一種解釋將過度擴張慰問金給付之範圍，導致過度照顧。例如公務員在出差的火車上，巧遇昔日的仇人，一言不合，仇人將其砍傷或砍死。這種意外屬於偶發性的日常生活風險，並非執行職務之典型風險，不值得國家特別透過慰問金予以照顧，但是在第一種解釋下，卻仍得享有慰問金，顯已逾越對公務員照顧之分寸。</w:t>
      </w:r>
    </w:p>
    <w:p w:rsidR="00000000" w:rsidRDefault="007833E6">
      <w:pPr>
        <w:spacing w:beforeLines="100" w:before="360" w:afterLines="100" w:after="360"/>
        <w:ind w:firstLineChars="200" w:firstLine="480"/>
        <w:rPr>
          <w:rFonts w:hint="eastAsia"/>
        </w:rPr>
      </w:pPr>
      <w:r>
        <w:rPr>
          <w:rFonts w:hint="eastAsia"/>
        </w:rPr>
        <w:t>另整理「本研究團隊</w:t>
      </w:r>
      <w:r>
        <w:rPr>
          <w:rFonts w:hint="eastAsia"/>
        </w:rPr>
        <w:t>」對「因公」之見解如下表：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277"/>
        <w:gridCol w:w="2291"/>
        <w:gridCol w:w="2292"/>
      </w:tblGrid>
      <w:tr w:rsidR="00000000">
        <w:trPr>
          <w:jc w:val="center"/>
        </w:trPr>
        <w:tc>
          <w:tcPr>
            <w:tcW w:w="8663" w:type="dxa"/>
            <w:gridSpan w:val="4"/>
            <w:tcBorders>
              <w:top w:val="thinThickThinSmallGap" w:sz="24" w:space="0" w:color="auto"/>
              <w:left w:val="thinThickThinSmallGap" w:sz="24" w:space="0" w:color="auto"/>
              <w:right w:val="thinThickThinSmallGap" w:sz="24" w:space="0" w:color="auto"/>
            </w:tcBorders>
            <w:shd w:val="clear" w:color="auto" w:fill="000000"/>
            <w:vAlign w:val="center"/>
          </w:tcPr>
          <w:p w:rsidR="00000000" w:rsidRDefault="007833E6">
            <w:pPr>
              <w:jc w:val="center"/>
              <w:rPr>
                <w:rFonts w:ascii="標楷體" w:eastAsia="標楷體" w:hAnsi="標楷體" w:hint="eastAsia"/>
                <w:b/>
              </w:rPr>
            </w:pPr>
            <w:r>
              <w:rPr>
                <w:rFonts w:ascii="標楷體" w:eastAsia="標楷體" w:hAnsi="標楷體" w:hint="eastAsia"/>
                <w:b/>
              </w:rPr>
              <w:t>研究團隊見解</w:t>
            </w:r>
          </w:p>
        </w:tc>
      </w:tr>
      <w:tr w:rsidR="00000000">
        <w:trPr>
          <w:jc w:val="center"/>
        </w:trPr>
        <w:tc>
          <w:tcPr>
            <w:tcW w:w="1803" w:type="dxa"/>
            <w:tcBorders>
              <w:left w:val="thinThickThinSmallGap" w:sz="24" w:space="0" w:color="auto"/>
            </w:tcBorders>
            <w:shd w:val="clear" w:color="auto" w:fill="C0C0C0"/>
            <w:vAlign w:val="center"/>
          </w:tcPr>
          <w:p w:rsidR="00000000" w:rsidRDefault="007833E6">
            <w:pPr>
              <w:jc w:val="center"/>
              <w:rPr>
                <w:rFonts w:ascii="標楷體" w:eastAsia="標楷體" w:hAnsi="標楷體" w:hint="eastAsia"/>
                <w:b/>
              </w:rPr>
            </w:pPr>
            <w:r>
              <w:rPr>
                <w:rFonts w:ascii="標楷體" w:eastAsia="標楷體" w:hAnsi="標楷體" w:hint="eastAsia"/>
                <w:b/>
              </w:rPr>
              <w:t>事由</w:t>
            </w:r>
          </w:p>
        </w:tc>
        <w:tc>
          <w:tcPr>
            <w:tcW w:w="2277" w:type="dxa"/>
            <w:shd w:val="clear" w:color="auto" w:fill="C0C0C0"/>
            <w:vAlign w:val="center"/>
          </w:tcPr>
          <w:p w:rsidR="00000000" w:rsidRDefault="007833E6">
            <w:pPr>
              <w:jc w:val="center"/>
              <w:rPr>
                <w:rFonts w:ascii="標楷體" w:eastAsia="標楷體" w:hAnsi="標楷體"/>
                <w:b/>
              </w:rPr>
            </w:pPr>
            <w:r>
              <w:rPr>
                <w:rFonts w:ascii="標楷體" w:eastAsia="標楷體" w:hAnsi="標楷體"/>
                <w:b/>
              </w:rPr>
              <w:t>[</w:t>
            </w:r>
            <w:r>
              <w:rPr>
                <w:rFonts w:ascii="標楷體" w:eastAsia="標楷體" w:hAnsi="標楷體" w:hint="eastAsia"/>
                <w:b/>
              </w:rPr>
              <w:t>第一款</w:t>
            </w:r>
            <w:r>
              <w:rPr>
                <w:rFonts w:ascii="標楷體" w:eastAsia="標楷體" w:hAnsi="標楷體"/>
                <w:b/>
              </w:rPr>
              <w:t>]</w:t>
            </w:r>
          </w:p>
          <w:p w:rsidR="00000000" w:rsidRDefault="007833E6">
            <w:pPr>
              <w:jc w:val="center"/>
              <w:rPr>
                <w:rFonts w:ascii="標楷體" w:eastAsia="標楷體" w:hAnsi="標楷體" w:hint="eastAsia"/>
                <w:b/>
              </w:rPr>
            </w:pPr>
            <w:r>
              <w:rPr>
                <w:rFonts w:ascii="標楷體" w:eastAsia="標楷體" w:hAnsi="標楷體" w:hint="eastAsia"/>
                <w:b/>
              </w:rPr>
              <w:t>執行職務發生意外</w:t>
            </w:r>
          </w:p>
        </w:tc>
        <w:tc>
          <w:tcPr>
            <w:tcW w:w="2291" w:type="dxa"/>
            <w:shd w:val="clear" w:color="auto" w:fill="C0C0C0"/>
            <w:vAlign w:val="center"/>
          </w:tcPr>
          <w:p w:rsidR="00000000" w:rsidRDefault="007833E6">
            <w:pPr>
              <w:jc w:val="center"/>
              <w:rPr>
                <w:rFonts w:ascii="標楷體" w:eastAsia="標楷體" w:hAnsi="標楷體"/>
                <w:b/>
              </w:rPr>
            </w:pPr>
            <w:r>
              <w:rPr>
                <w:rFonts w:ascii="標楷體" w:eastAsia="標楷體" w:hAnsi="標楷體"/>
                <w:b/>
              </w:rPr>
              <w:t>[</w:t>
            </w:r>
            <w:r>
              <w:rPr>
                <w:rFonts w:ascii="標楷體" w:eastAsia="標楷體" w:hAnsi="標楷體" w:hint="eastAsia"/>
                <w:b/>
              </w:rPr>
              <w:t>第二款</w:t>
            </w:r>
            <w:r>
              <w:rPr>
                <w:rFonts w:ascii="標楷體" w:eastAsia="標楷體" w:hAnsi="標楷體"/>
                <w:b/>
              </w:rPr>
              <w:t>]</w:t>
            </w:r>
          </w:p>
          <w:p w:rsidR="00000000" w:rsidRDefault="007833E6">
            <w:pPr>
              <w:jc w:val="center"/>
              <w:rPr>
                <w:rFonts w:ascii="標楷體" w:eastAsia="標楷體" w:hAnsi="標楷體" w:hint="eastAsia"/>
                <w:b/>
              </w:rPr>
            </w:pPr>
            <w:r>
              <w:rPr>
                <w:rFonts w:ascii="標楷體" w:eastAsia="標楷體" w:hAnsi="標楷體" w:hint="eastAsia"/>
                <w:b/>
              </w:rPr>
              <w:t>公差遇險</w:t>
            </w:r>
          </w:p>
        </w:tc>
        <w:tc>
          <w:tcPr>
            <w:tcW w:w="2292" w:type="dxa"/>
            <w:tcBorders>
              <w:right w:val="thinThickThinSmallGap" w:sz="24" w:space="0" w:color="auto"/>
            </w:tcBorders>
            <w:shd w:val="clear" w:color="auto" w:fill="C0C0C0"/>
            <w:vAlign w:val="center"/>
          </w:tcPr>
          <w:p w:rsidR="00000000" w:rsidRDefault="007833E6">
            <w:pPr>
              <w:jc w:val="center"/>
              <w:rPr>
                <w:rFonts w:ascii="標楷體" w:eastAsia="標楷體" w:hAnsi="標楷體"/>
                <w:b/>
              </w:rPr>
            </w:pPr>
            <w:r>
              <w:rPr>
                <w:rFonts w:ascii="標楷體" w:eastAsia="標楷體" w:hAnsi="標楷體"/>
                <w:b/>
              </w:rPr>
              <w:t>[</w:t>
            </w:r>
            <w:r>
              <w:rPr>
                <w:rFonts w:ascii="標楷體" w:eastAsia="標楷體" w:hAnsi="標楷體" w:hint="eastAsia"/>
                <w:b/>
              </w:rPr>
              <w:t>第三款</w:t>
            </w:r>
            <w:r>
              <w:rPr>
                <w:rFonts w:ascii="標楷體" w:eastAsia="標楷體" w:hAnsi="標楷體"/>
                <w:b/>
              </w:rPr>
              <w:t>]</w:t>
            </w:r>
          </w:p>
          <w:p w:rsidR="00000000" w:rsidRDefault="007833E6">
            <w:pPr>
              <w:jc w:val="center"/>
              <w:rPr>
                <w:rFonts w:ascii="標楷體" w:eastAsia="標楷體" w:hAnsi="標楷體" w:hint="eastAsia"/>
                <w:b/>
              </w:rPr>
            </w:pPr>
            <w:r>
              <w:rPr>
                <w:rFonts w:ascii="標楷體" w:eastAsia="標楷體" w:hAnsi="標楷體" w:hint="eastAsia"/>
                <w:b/>
              </w:rPr>
              <w:t>在辦公場所</w:t>
            </w:r>
          </w:p>
          <w:p w:rsidR="00000000" w:rsidRDefault="007833E6">
            <w:pPr>
              <w:jc w:val="center"/>
              <w:rPr>
                <w:rFonts w:ascii="標楷體" w:eastAsia="標楷體" w:hAnsi="標楷體" w:hint="eastAsia"/>
                <w:b/>
              </w:rPr>
            </w:pPr>
            <w:r>
              <w:rPr>
                <w:rFonts w:ascii="標楷體" w:eastAsia="標楷體" w:hAnsi="標楷體" w:hint="eastAsia"/>
                <w:b/>
              </w:rPr>
              <w:t>發生意外</w:t>
            </w:r>
          </w:p>
        </w:tc>
      </w:tr>
      <w:tr w:rsidR="00000000">
        <w:trPr>
          <w:jc w:val="center"/>
        </w:trPr>
        <w:tc>
          <w:tcPr>
            <w:tcW w:w="1803" w:type="dxa"/>
            <w:tcBorders>
              <w:left w:val="thinThickThinSmallGap" w:sz="24" w:space="0" w:color="auto"/>
            </w:tcBorders>
            <w:shd w:val="clear" w:color="auto" w:fill="F3F3F3"/>
            <w:vAlign w:val="center"/>
          </w:tcPr>
          <w:p w:rsidR="00000000" w:rsidRDefault="007833E6">
            <w:pPr>
              <w:rPr>
                <w:rFonts w:ascii="標楷體" w:eastAsia="標楷體" w:hAnsi="標楷體" w:hint="eastAsia"/>
                <w:b/>
              </w:rPr>
            </w:pPr>
            <w:r>
              <w:rPr>
                <w:rFonts w:ascii="標楷體" w:eastAsia="標楷體" w:hAnsi="標楷體" w:hint="eastAsia"/>
                <w:b/>
              </w:rPr>
              <w:t>「因公」要件</w:t>
            </w:r>
          </w:p>
        </w:tc>
        <w:tc>
          <w:tcPr>
            <w:tcW w:w="6860" w:type="dxa"/>
            <w:gridSpan w:val="3"/>
            <w:tcBorders>
              <w:right w:val="thinThickThinSmallGap" w:sz="24" w:space="0" w:color="auto"/>
            </w:tcBorders>
            <w:vAlign w:val="center"/>
          </w:tcPr>
          <w:p w:rsidR="00000000" w:rsidRDefault="007833E6">
            <w:pPr>
              <w:rPr>
                <w:rFonts w:ascii="標楷體" w:eastAsia="標楷體" w:hAnsi="標楷體" w:hint="eastAsia"/>
              </w:rPr>
            </w:pPr>
            <w:r>
              <w:rPr>
                <w:rFonts w:ascii="標楷體" w:eastAsia="標楷體" w:hAnsi="標楷體" w:hint="eastAsia"/>
                <w:b/>
              </w:rPr>
              <w:t>所謂「因公」，即係「執行職務」</w:t>
            </w:r>
            <w:r>
              <w:rPr>
                <w:rFonts w:ascii="標楷體" w:eastAsia="標楷體" w:hAnsi="標楷體" w:hint="eastAsia"/>
              </w:rPr>
              <w:t>，無論第一、第二、第三款事由皆屬於「執行職務」。至於「執行職務」之「時間、地點」僅係判斷是否執行職務之</w:t>
            </w:r>
            <w:r>
              <w:rPr>
                <w:rFonts w:ascii="標楷體" w:eastAsia="標楷體" w:hAnsi="標楷體" w:hint="eastAsia"/>
                <w:b/>
              </w:rPr>
              <w:t>間接證據</w:t>
            </w:r>
            <w:r>
              <w:rPr>
                <w:rFonts w:ascii="標楷體" w:eastAsia="標楷體" w:hAnsi="標楷體" w:hint="eastAsia"/>
              </w:rPr>
              <w:t>！</w:t>
            </w:r>
          </w:p>
        </w:tc>
      </w:tr>
      <w:tr w:rsidR="00000000">
        <w:trPr>
          <w:jc w:val="center"/>
        </w:trPr>
        <w:tc>
          <w:tcPr>
            <w:tcW w:w="1803" w:type="dxa"/>
            <w:tcBorders>
              <w:left w:val="thinThickThinSmallGap" w:sz="24" w:space="0" w:color="auto"/>
              <w:bottom w:val="thinThickThinSmallGap" w:sz="24" w:space="0" w:color="auto"/>
            </w:tcBorders>
            <w:shd w:val="clear" w:color="auto" w:fill="F3F3F3"/>
            <w:vAlign w:val="center"/>
          </w:tcPr>
          <w:p w:rsidR="00000000" w:rsidRDefault="007833E6">
            <w:pPr>
              <w:rPr>
                <w:rFonts w:ascii="標楷體" w:eastAsia="標楷體" w:hAnsi="標楷體" w:hint="eastAsia"/>
                <w:b/>
              </w:rPr>
            </w:pPr>
            <w:r>
              <w:rPr>
                <w:rFonts w:ascii="標楷體" w:eastAsia="標楷體" w:hAnsi="標楷體" w:hint="eastAsia"/>
                <w:b/>
              </w:rPr>
              <w:t>「因公」之解釋</w:t>
            </w:r>
          </w:p>
        </w:tc>
        <w:tc>
          <w:tcPr>
            <w:tcW w:w="6860" w:type="dxa"/>
            <w:gridSpan w:val="3"/>
            <w:tcBorders>
              <w:bottom w:val="thinThickThinSmallGap" w:sz="24" w:space="0" w:color="auto"/>
              <w:right w:val="thinThickThinSmallGap" w:sz="24" w:space="0" w:color="auto"/>
            </w:tcBorders>
            <w:vAlign w:val="center"/>
          </w:tcPr>
          <w:p w:rsidR="00000000" w:rsidRDefault="007833E6">
            <w:pPr>
              <w:rPr>
                <w:rFonts w:ascii="標楷體" w:eastAsia="標楷體" w:hAnsi="標楷體" w:hint="eastAsia"/>
              </w:rPr>
            </w:pPr>
            <w:r>
              <w:rPr>
                <w:rFonts w:ascii="標楷體" w:eastAsia="標楷體" w:hAnsi="標楷體" w:hint="eastAsia"/>
              </w:rPr>
              <w:t>建議由各行政機關依其所掌理事項之性質，以「解釋性行政規則」擬定所謂「</w:t>
            </w:r>
            <w:r>
              <w:rPr>
                <w:rFonts w:ascii="標楷體" w:eastAsia="標楷體" w:hAnsi="標楷體" w:hint="eastAsia"/>
                <w:b/>
              </w:rPr>
              <w:t>典型之執行職務表</w:t>
            </w:r>
            <w:r>
              <w:rPr>
                <w:rFonts w:ascii="標楷體" w:eastAsia="標楷體" w:hAnsi="標楷體" w:hint="eastAsia"/>
              </w:rPr>
              <w:t>」。</w:t>
            </w:r>
          </w:p>
        </w:tc>
      </w:tr>
    </w:tbl>
    <w:p w:rsidR="00000000" w:rsidRDefault="007833E6">
      <w:pPr>
        <w:spacing w:beforeLines="200" w:before="720" w:afterLines="100" w:after="360"/>
        <w:rPr>
          <w:rFonts w:ascii="標楷體" w:eastAsia="標楷體" w:hAnsi="標楷體" w:hint="eastAsia"/>
          <w:b/>
          <w:sz w:val="28"/>
          <w:szCs w:val="28"/>
        </w:rPr>
      </w:pPr>
      <w:r>
        <w:rPr>
          <w:rFonts w:ascii="標楷體" w:eastAsia="標楷體" w:hAnsi="標楷體" w:hint="eastAsia"/>
          <w:b/>
          <w:sz w:val="28"/>
          <w:szCs w:val="28"/>
        </w:rPr>
        <w:t>二、「因公而發生受傷、殘廢或死亡結果」之要件（因果關係）</w:t>
      </w:r>
    </w:p>
    <w:p w:rsidR="00000000" w:rsidRDefault="007833E6">
      <w:pPr>
        <w:ind w:firstLineChars="200" w:firstLine="480"/>
        <w:rPr>
          <w:rFonts w:hint="eastAsia"/>
        </w:rPr>
      </w:pPr>
      <w:r>
        <w:rPr>
          <w:rFonts w:hint="eastAsia"/>
        </w:rPr>
        <w:t>公務人員保障法第二十一條第二項規定：「公務人員因</w:t>
      </w:r>
      <w:r>
        <w:rPr>
          <w:rFonts w:hint="eastAsia"/>
        </w:rPr>
        <w:t>公受傷、殘廢或死亡者，應發給慰問金。但公務人員有故意或重大過失情事者，得不發或減發慰問金。」</w:t>
      </w:r>
    </w:p>
    <w:p w:rsidR="00000000" w:rsidRDefault="007833E6">
      <w:pPr>
        <w:rPr>
          <w:rFonts w:hint="eastAsia"/>
        </w:rPr>
      </w:pPr>
      <w:r>
        <w:rPr>
          <w:rFonts w:hint="eastAsia"/>
        </w:rPr>
        <w:t>自該條文之文義觀察可知，慰問金請求權之成立，除「因公」之要件之外，尚須該公務員有因而發生「受傷、殘廢或死亡」之結果。因此，「因公」或「執行職務」之要件，係屬「原因」，而「受傷、殘廢或死亡」係屬「結果」，其間必須存有因果關係。</w:t>
      </w:r>
    </w:p>
    <w:p w:rsidR="00000000" w:rsidRDefault="007833E6">
      <w:pPr>
        <w:spacing w:beforeLines="100" w:before="360" w:afterLines="100" w:after="360"/>
        <w:rPr>
          <w:rFonts w:ascii="標楷體" w:eastAsia="標楷體" w:hAnsi="標楷體" w:hint="eastAsia"/>
          <w:b/>
        </w:rPr>
      </w:pPr>
      <w:r>
        <w:rPr>
          <w:rFonts w:ascii="標楷體" w:eastAsia="標楷體" w:hAnsi="標楷體" w:hint="eastAsia"/>
          <w:b/>
        </w:rPr>
        <w:t>（一）直接因果關係之限制不當</w:t>
      </w:r>
    </w:p>
    <w:p w:rsidR="00000000" w:rsidRDefault="007833E6">
      <w:pPr>
        <w:ind w:firstLineChars="200" w:firstLine="480"/>
        <w:rPr>
          <w:rFonts w:hint="eastAsia"/>
        </w:rPr>
      </w:pPr>
      <w:r>
        <w:rPr>
          <w:rFonts w:hint="eastAsia"/>
        </w:rPr>
        <w:t>依據考試院會同行政院訂定之「慰問金發給辦法」將此一「因果關係」之認定標準，予以明文規定，該「慰問金發給辦法」第三條第三項規定：「依本辦法發給慰問金者，以其受傷、殘</w:t>
      </w:r>
      <w:r>
        <w:rPr>
          <w:rFonts w:hint="eastAsia"/>
        </w:rPr>
        <w:t>廢或死亡與第一項各款因公情事之一具有直接因果關係者為限。」</w:t>
      </w:r>
    </w:p>
    <w:p w:rsidR="00000000" w:rsidRDefault="007833E6">
      <w:pPr>
        <w:ind w:firstLineChars="200" w:firstLine="480"/>
        <w:rPr>
          <w:rFonts w:hint="eastAsia"/>
        </w:rPr>
      </w:pPr>
      <w:r>
        <w:rPr>
          <w:rFonts w:hint="eastAsia"/>
        </w:rPr>
        <w:lastRenderedPageBreak/>
        <w:t>按慰問金制度設置乃是在鼓勵公務員勇於任事，對其因執行職務所生意外，給予特別之照顧。只要執行職務與所生意外事故有相當因果關係，而其受傷、殘廢或死亡又與意外事故亦有相當因果關係者，已屬執行職務之典型風險，值得國家透過慰問金給予照顧。上開規定有關直接因果關係之限制，將符合兩階段因果關係之案型排除在慰問金適用範圍之外，不符合設置慰問金之規範功能，爰建議刪除。</w:t>
      </w:r>
    </w:p>
    <w:p w:rsidR="00000000" w:rsidRDefault="007833E6">
      <w:pPr>
        <w:spacing w:beforeLines="100" w:before="360" w:afterLines="100" w:after="360"/>
        <w:rPr>
          <w:rFonts w:ascii="標楷體" w:eastAsia="標楷體" w:hAnsi="標楷體" w:hint="eastAsia"/>
          <w:b/>
        </w:rPr>
      </w:pPr>
      <w:r>
        <w:rPr>
          <w:rFonts w:ascii="標楷體" w:eastAsia="標楷體" w:hAnsi="標楷體" w:hint="eastAsia"/>
          <w:b/>
        </w:rPr>
        <w:t>（二）案例分析</w:t>
      </w:r>
    </w:p>
    <w:p w:rsidR="00000000" w:rsidRDefault="007833E6">
      <w:pPr>
        <w:spacing w:beforeLines="100" w:before="360" w:afterLines="100" w:after="360"/>
        <w:ind w:firstLineChars="300" w:firstLine="721"/>
        <w:rPr>
          <w:rFonts w:ascii="標楷體" w:eastAsia="標楷體" w:hAnsi="標楷體" w:hint="eastAsia"/>
          <w:b/>
        </w:rPr>
      </w:pPr>
      <w:r>
        <w:rPr>
          <w:rFonts w:ascii="標楷體" w:eastAsia="標楷體" w:hAnsi="標楷體" w:hint="eastAsia"/>
          <w:b/>
        </w:rPr>
        <w:t>1.</w:t>
      </w:r>
      <w:r>
        <w:rPr>
          <w:rFonts w:ascii="標楷體" w:eastAsia="標楷體" w:hAnsi="標楷體" w:hint="eastAsia"/>
          <w:b/>
        </w:rPr>
        <w:t>事實</w:t>
      </w:r>
    </w:p>
    <w:p w:rsidR="00000000" w:rsidRDefault="007833E6">
      <w:pPr>
        <w:spacing w:beforeLines="50" w:before="180" w:afterLines="50" w:after="180"/>
        <w:ind w:leftChars="400" w:left="960" w:firstLineChars="200" w:firstLine="480"/>
        <w:rPr>
          <w:rFonts w:hint="eastAsia"/>
        </w:rPr>
      </w:pPr>
      <w:r>
        <w:rPr>
          <w:rFonts w:hint="eastAsia"/>
        </w:rPr>
        <w:t>行政院原住民族委員會</w:t>
      </w:r>
      <w:r>
        <w:rPr>
          <w:rFonts w:ascii="新細明體" w:hAnsi="Arial" w:cs="新細明體" w:hint="eastAsia"/>
          <w:kern w:val="0"/>
          <w:lang w:val="zh-TW"/>
        </w:rPr>
        <w:t>徐故員於</w:t>
      </w:r>
      <w:r>
        <w:rPr>
          <w:rFonts w:ascii="新細明體" w:hAnsi="Arial" w:cs="新細明體"/>
          <w:kern w:val="0"/>
          <w:lang w:val="zh-TW"/>
        </w:rPr>
        <w:t>94</w:t>
      </w:r>
      <w:r>
        <w:rPr>
          <w:rFonts w:ascii="新細明體" w:hAnsi="Arial" w:cs="新細明體" w:hint="eastAsia"/>
          <w:kern w:val="0"/>
          <w:lang w:val="zh-TW"/>
        </w:rPr>
        <w:t>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日隨同主管列席參加原民會主管會</w:t>
      </w:r>
      <w:r>
        <w:rPr>
          <w:rFonts w:ascii="新細明體" w:hAnsi="Arial" w:cs="新細明體" w:hint="eastAsia"/>
          <w:kern w:val="0"/>
          <w:lang w:val="zh-TW"/>
        </w:rPr>
        <w:t>議（地點於臺北），會議結束趕回服務地點南投縣中興新村加班作會議紀錄，又因奉派須於同年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28</w:t>
      </w:r>
      <w:r>
        <w:rPr>
          <w:rFonts w:ascii="新細明體" w:hAnsi="Arial" w:cs="新細明體" w:hint="eastAsia"/>
          <w:kern w:val="0"/>
          <w:lang w:val="zh-TW"/>
        </w:rPr>
        <w:t>日上午</w:t>
      </w:r>
      <w:r>
        <w:rPr>
          <w:rFonts w:ascii="新細明體" w:hAnsi="Arial" w:cs="新細明體"/>
          <w:kern w:val="0"/>
          <w:lang w:val="zh-TW"/>
        </w:rPr>
        <w:t>9</w:t>
      </w:r>
      <w:r>
        <w:rPr>
          <w:rFonts w:ascii="新細明體" w:hAnsi="Arial" w:cs="新細明體" w:hint="eastAsia"/>
          <w:kern w:val="0"/>
          <w:lang w:val="zh-TW"/>
        </w:rPr>
        <w:t>時參加花蓮縣政府舉辦之原住民族傳統領域工作期中會議，經簽准搭乘該日上午</w:t>
      </w:r>
      <w:r>
        <w:rPr>
          <w:rFonts w:ascii="新細明體" w:hAnsi="Arial" w:cs="新細明體"/>
          <w:kern w:val="0"/>
          <w:lang w:val="zh-TW"/>
        </w:rPr>
        <w:t>7</w:t>
      </w:r>
      <w:r>
        <w:rPr>
          <w:rFonts w:ascii="新細明體" w:hAnsi="Arial" w:cs="新細明體" w:hint="eastAsia"/>
          <w:kern w:val="0"/>
          <w:lang w:val="zh-TW"/>
        </w:rPr>
        <w:t>點</w:t>
      </w:r>
      <w:r>
        <w:rPr>
          <w:rFonts w:ascii="新細明體" w:hAnsi="Arial" w:cs="新細明體"/>
          <w:kern w:val="0"/>
          <w:lang w:val="zh-TW"/>
        </w:rPr>
        <w:t>20</w:t>
      </w:r>
      <w:r>
        <w:rPr>
          <w:rFonts w:ascii="新細明體" w:hAnsi="Arial" w:cs="新細明體" w:hint="eastAsia"/>
          <w:kern w:val="0"/>
          <w:lang w:val="zh-TW"/>
        </w:rPr>
        <w:t>分早班飛機。徐故員並於同年</w:t>
      </w:r>
      <w:r>
        <w:rPr>
          <w:rFonts w:ascii="新細明體" w:hAnsi="Arial" w:cs="新細明體"/>
          <w:kern w:val="0"/>
          <w:lang w:val="zh-TW"/>
        </w:rPr>
        <w:t>6</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日趕回南投加班，惟因晚上</w:t>
      </w:r>
      <w:r>
        <w:rPr>
          <w:rFonts w:ascii="新細明體" w:hAnsi="Arial" w:cs="新細明體"/>
          <w:kern w:val="0"/>
          <w:lang w:val="zh-TW"/>
        </w:rPr>
        <w:t>8</w:t>
      </w:r>
      <w:r>
        <w:rPr>
          <w:rFonts w:ascii="新細明體" w:hAnsi="Arial" w:cs="新細明體" w:hint="eastAsia"/>
          <w:kern w:val="0"/>
          <w:lang w:val="zh-TW"/>
        </w:rPr>
        <w:t>時接獲航空公司電告次日班機因大雨停飛，從南投搭火車尚須趕赴臺中搭乘，在未預定火車票及旅館之情形下，只得選擇於凌晨</w:t>
      </w:r>
      <w:r>
        <w:rPr>
          <w:rFonts w:ascii="新細明體" w:hAnsi="Arial" w:cs="新細明體"/>
          <w:kern w:val="0"/>
          <w:lang w:val="zh-TW"/>
        </w:rPr>
        <w:t>3</w:t>
      </w:r>
      <w:r>
        <w:rPr>
          <w:rFonts w:ascii="新細明體" w:hAnsi="Arial" w:cs="新細明體" w:hint="eastAsia"/>
          <w:kern w:val="0"/>
          <w:lang w:val="zh-TW"/>
        </w:rPr>
        <w:t>時許自行開車前往花蓮。</w:t>
      </w:r>
      <w:r>
        <w:rPr>
          <w:rFonts w:hint="eastAsia"/>
        </w:rPr>
        <w:t>徐故員於</w:t>
      </w:r>
      <w:r>
        <w:t>94</w:t>
      </w:r>
      <w:r>
        <w:rPr>
          <w:rFonts w:hint="eastAsia"/>
        </w:rPr>
        <w:t>年</w:t>
      </w:r>
      <w:r>
        <w:t>6</w:t>
      </w:r>
      <w:r>
        <w:rPr>
          <w:rFonts w:hint="eastAsia"/>
        </w:rPr>
        <w:t>月</w:t>
      </w:r>
      <w:r>
        <w:t>28</w:t>
      </w:r>
      <w:r>
        <w:rPr>
          <w:rFonts w:hint="eastAsia"/>
        </w:rPr>
        <w:t>日凌晨自行駕車由中部橫貫公路（以下簡稱中橫公路）前往花蓮參加會議，於凌晨</w:t>
      </w:r>
      <w:r>
        <w:t>3</w:t>
      </w:r>
      <w:r>
        <w:rPr>
          <w:rFonts w:hint="eastAsia"/>
        </w:rPr>
        <w:t>時許途經花蓮縣秀林鄉富世村</w:t>
      </w:r>
      <w:r>
        <w:t>162K</w:t>
      </w:r>
      <w:r>
        <w:rPr>
          <w:rFonts w:hint="eastAsia"/>
        </w:rPr>
        <w:t xml:space="preserve"> </w:t>
      </w:r>
      <w:r>
        <w:t>750</w:t>
      </w:r>
      <w:r>
        <w:t>m</w:t>
      </w:r>
      <w:r>
        <w:rPr>
          <w:rFonts w:hint="eastAsia"/>
        </w:rPr>
        <w:t>處，不幸人車墜落山崖死亡。復審人等經由服務機關向行政院申請依公務人員因公傷殘死亡慰問金發給辦法（以下簡稱慰問金發給辦法）第</w:t>
      </w:r>
      <w:r>
        <w:t>4</w:t>
      </w:r>
      <w:r>
        <w:rPr>
          <w:rFonts w:hint="eastAsia"/>
        </w:rPr>
        <w:t>條第</w:t>
      </w:r>
      <w:r>
        <w:t>1</w:t>
      </w:r>
      <w:r>
        <w:rPr>
          <w:rFonts w:hint="eastAsia"/>
        </w:rPr>
        <w:t>項第</w:t>
      </w:r>
      <w:r>
        <w:t>3</w:t>
      </w:r>
      <w:r>
        <w:rPr>
          <w:rFonts w:hint="eastAsia"/>
        </w:rPr>
        <w:t>款第</w:t>
      </w:r>
      <w:r>
        <w:t>1</w:t>
      </w:r>
      <w:r>
        <w:rPr>
          <w:rFonts w:hint="eastAsia"/>
        </w:rPr>
        <w:t>目規定核發死亡慰問金計新臺幣（以下同）</w:t>
      </w:r>
      <w:r>
        <w:t>120</w:t>
      </w:r>
      <w:r>
        <w:rPr>
          <w:rFonts w:hint="eastAsia"/>
        </w:rPr>
        <w:t>萬元，經行政院</w:t>
      </w:r>
      <w:r>
        <w:t>94</w:t>
      </w:r>
      <w:r>
        <w:rPr>
          <w:rFonts w:hint="eastAsia"/>
        </w:rPr>
        <w:t>年</w:t>
      </w:r>
      <w:r>
        <w:t>9</w:t>
      </w:r>
      <w:r>
        <w:rPr>
          <w:rFonts w:hint="eastAsia"/>
        </w:rPr>
        <w:t>月</w:t>
      </w:r>
      <w:r>
        <w:t>26</w:t>
      </w:r>
      <w:r>
        <w:rPr>
          <w:rFonts w:hint="eastAsia"/>
        </w:rPr>
        <w:t>日院授人給字第</w:t>
      </w:r>
      <w:r>
        <w:t>0940028094</w:t>
      </w:r>
      <w:r>
        <w:rPr>
          <w:rFonts w:hint="eastAsia"/>
        </w:rPr>
        <w:t>號函</w:t>
      </w:r>
      <w:r>
        <w:rPr>
          <w:rFonts w:hint="eastAsia"/>
          <w:b/>
        </w:rPr>
        <w:t>以「</w:t>
      </w:r>
      <w:r>
        <w:rPr>
          <w:rFonts w:ascii="新細明體" w:hAnsi="新細明體" w:hint="eastAsia"/>
          <w:b/>
        </w:rPr>
        <w:t>依相關資料未能充分證明徐故員死亡係因外力撞擊所致，係屬一般意外死亡，非遭遇危險事故或意外之外來原因致死</w:t>
      </w:r>
      <w:r>
        <w:rPr>
          <w:rFonts w:ascii="新細明體" w:hAnsi="新細明體" w:hint="eastAsia"/>
        </w:rPr>
        <w:t>，</w:t>
      </w:r>
      <w:r>
        <w:rPr>
          <w:rFonts w:ascii="新細明體" w:hAnsi="新細明體" w:hint="eastAsia"/>
          <w:b/>
        </w:rPr>
        <w:t>核與公差遇險</w:t>
      </w:r>
      <w:r>
        <w:rPr>
          <w:rFonts w:hint="eastAsia"/>
          <w:b/>
        </w:rPr>
        <w:t>之認定要件不符」</w:t>
      </w:r>
      <w:r>
        <w:rPr>
          <w:rFonts w:hint="eastAsia"/>
        </w:rPr>
        <w:t>，不核發因公死亡慰問金。</w:t>
      </w:r>
    </w:p>
    <w:p w:rsidR="00000000" w:rsidRDefault="007833E6">
      <w:pPr>
        <w:spacing w:beforeLines="100" w:before="360" w:afterLines="100" w:after="360"/>
        <w:ind w:firstLineChars="300" w:firstLine="721"/>
        <w:rPr>
          <w:rFonts w:ascii="標楷體" w:eastAsia="標楷體" w:hAnsi="標楷體" w:hint="eastAsia"/>
          <w:b/>
        </w:rPr>
      </w:pPr>
      <w:r>
        <w:rPr>
          <w:rFonts w:ascii="標楷體" w:eastAsia="標楷體" w:hAnsi="標楷體" w:hint="eastAsia"/>
          <w:b/>
        </w:rPr>
        <w:t>2.</w:t>
      </w:r>
      <w:r>
        <w:rPr>
          <w:rFonts w:ascii="標楷體" w:eastAsia="標楷體" w:hAnsi="標楷體" w:hint="eastAsia"/>
          <w:b/>
        </w:rPr>
        <w:t>拒絕核發因公死亡慰問金之理由</w:t>
      </w:r>
    </w:p>
    <w:p w:rsidR="00000000" w:rsidRDefault="007833E6">
      <w:pPr>
        <w:spacing w:beforeLines="50" w:before="180" w:afterLines="50" w:after="180"/>
        <w:ind w:leftChars="400" w:left="960" w:firstLineChars="200" w:firstLine="480"/>
        <w:rPr>
          <w:rFonts w:hint="eastAsia"/>
        </w:rPr>
      </w:pPr>
      <w:r>
        <w:rPr>
          <w:rFonts w:ascii="新細明體" w:hAnsi="新細明體" w:hint="eastAsia"/>
        </w:rPr>
        <w:t>依據公務人員因公傷殘死亡慰問金發給辦法第三條之立法說明：「公差</w:t>
      </w:r>
      <w:r>
        <w:rPr>
          <w:rFonts w:ascii="新細明體" w:hAnsi="新細明體" w:hint="eastAsia"/>
        </w:rPr>
        <w:t>遇險」此一事由，必須所遭遇之危險，依通常客觀之標準認定，屬「危險事故」，而非「一般意外事故」。另銓敘部</w:t>
      </w:r>
      <w:r>
        <w:rPr>
          <w:rFonts w:ascii="新細明體" w:hAnsi="新細明體"/>
        </w:rPr>
        <w:t>94</w:t>
      </w:r>
      <w:r>
        <w:rPr>
          <w:rFonts w:ascii="新細明體" w:hAnsi="新細明體" w:hint="eastAsia"/>
        </w:rPr>
        <w:t>年</w:t>
      </w:r>
      <w:r>
        <w:rPr>
          <w:rFonts w:ascii="新細明體" w:hAnsi="新細明體"/>
        </w:rPr>
        <w:t>5</w:t>
      </w:r>
      <w:r>
        <w:rPr>
          <w:rFonts w:ascii="新細明體" w:hAnsi="新細明體" w:hint="eastAsia"/>
        </w:rPr>
        <w:t>月</w:t>
      </w:r>
      <w:r>
        <w:rPr>
          <w:rFonts w:ascii="新細明體" w:hAnsi="新細明體"/>
        </w:rPr>
        <w:t>27</w:t>
      </w:r>
      <w:r>
        <w:rPr>
          <w:rFonts w:ascii="新細明體" w:hAnsi="新細明體" w:hint="eastAsia"/>
        </w:rPr>
        <w:t>日部退四字第</w:t>
      </w:r>
      <w:r>
        <w:rPr>
          <w:rFonts w:ascii="新細明體" w:hAnsi="新細明體"/>
        </w:rPr>
        <w:t>0942508084</w:t>
      </w:r>
      <w:r>
        <w:rPr>
          <w:rFonts w:ascii="新細明體" w:hAnsi="新細明體" w:hint="eastAsia"/>
        </w:rPr>
        <w:t>號書函亦採此種見解</w:t>
      </w:r>
      <w:r>
        <w:rPr>
          <w:rStyle w:val="a4"/>
          <w:rFonts w:ascii="新細明體" w:hAnsi="新細明體"/>
        </w:rPr>
        <w:footnoteReference w:id="1"/>
      </w:r>
      <w:r>
        <w:rPr>
          <w:rFonts w:ascii="新細明體" w:hAnsi="新細明體" w:hint="eastAsia"/>
        </w:rPr>
        <w:t>。故在上開案例中，關鍵在於</w:t>
      </w:r>
      <w:r>
        <w:rPr>
          <w:rFonts w:ascii="新細明體" w:hAnsi="新細明體" w:hint="eastAsia"/>
        </w:rPr>
        <w:lastRenderedPageBreak/>
        <w:t>本案情節是否該當所謂「公差遇險」之「危險事故」。就此行政院略謂：</w:t>
      </w:r>
      <w:r>
        <w:rPr>
          <w:rFonts w:hint="eastAsia"/>
        </w:rPr>
        <w:t>「依相關資料未能充分證明徐故員死亡係因外力撞擊所致，係屬一般意外死亡，非遭遇危險事故或意外之外來原因致死，核與公差遇險之認定要件不符，不合發給因公死亡慰問金」</w:t>
      </w:r>
    </w:p>
    <w:p w:rsidR="00000000" w:rsidRDefault="007833E6">
      <w:pPr>
        <w:spacing w:beforeLines="50" w:before="180" w:afterLines="50" w:after="180"/>
        <w:ind w:leftChars="300" w:left="960" w:hangingChars="100" w:hanging="240"/>
        <w:rPr>
          <w:rFonts w:ascii="標楷體" w:eastAsia="標楷體" w:hAnsi="標楷體" w:hint="eastAsia"/>
          <w:b/>
        </w:rPr>
      </w:pPr>
      <w:r>
        <w:rPr>
          <w:rFonts w:ascii="標楷體" w:eastAsia="標楷體" w:hAnsi="標楷體" w:hint="eastAsia"/>
        </w:rPr>
        <w:t>3</w:t>
      </w:r>
      <w:r>
        <w:rPr>
          <w:rFonts w:ascii="標楷體" w:eastAsia="標楷體" w:hAnsi="標楷體" w:hint="eastAsia"/>
          <w:b/>
        </w:rPr>
        <w:t>.</w:t>
      </w:r>
      <w:r>
        <w:rPr>
          <w:rFonts w:ascii="標楷體" w:eastAsia="標楷體" w:hAnsi="標楷體" w:hint="eastAsia"/>
          <w:b/>
        </w:rPr>
        <w:t>保訓會見解</w:t>
      </w:r>
    </w:p>
    <w:p w:rsidR="00000000" w:rsidRDefault="007833E6">
      <w:pPr>
        <w:spacing w:beforeLines="50" w:before="180" w:afterLines="50" w:after="180"/>
        <w:ind w:leftChars="400" w:left="960" w:firstLineChars="200" w:firstLine="480"/>
        <w:rPr>
          <w:rFonts w:ascii="新細明體" w:hAnsi="Arial" w:cs="新細明體" w:hint="eastAsia"/>
          <w:kern w:val="0"/>
          <w:lang w:val="zh-TW"/>
        </w:rPr>
      </w:pPr>
      <w:r>
        <w:rPr>
          <w:rFonts w:ascii="新細明體" w:hAnsi="Arial" w:cs="新細明體" w:hint="eastAsia"/>
          <w:kern w:val="0"/>
          <w:lang w:val="zh-TW"/>
        </w:rPr>
        <w:t>就上開案例，保訓會於「</w:t>
      </w:r>
      <w:r>
        <w:rPr>
          <w:rFonts w:ascii="新細明體" w:cs="新細明體"/>
          <w:kern w:val="0"/>
          <w:lang w:val="zh-TW"/>
        </w:rPr>
        <w:t>95</w:t>
      </w:r>
      <w:r>
        <w:rPr>
          <w:rFonts w:ascii="新細明體" w:cs="新細明體" w:hint="eastAsia"/>
          <w:kern w:val="0"/>
          <w:lang w:val="zh-TW"/>
        </w:rPr>
        <w:t>公審決字第</w:t>
      </w:r>
      <w:r>
        <w:rPr>
          <w:rFonts w:ascii="新細明體" w:cs="新細明體"/>
          <w:kern w:val="0"/>
          <w:lang w:val="zh-TW"/>
        </w:rPr>
        <w:t>0116</w:t>
      </w:r>
      <w:r>
        <w:rPr>
          <w:rFonts w:ascii="新細明體" w:cs="新細明體" w:hint="eastAsia"/>
          <w:kern w:val="0"/>
          <w:lang w:val="zh-TW"/>
        </w:rPr>
        <w:t>號」略謂：</w:t>
      </w:r>
      <w:r>
        <w:rPr>
          <w:rFonts w:ascii="新細明體" w:hAnsi="Arial" w:cs="新細明體" w:hint="eastAsia"/>
          <w:kern w:val="0"/>
          <w:lang w:val="zh-TW"/>
        </w:rPr>
        <w:t>「行政院引用銓敘部</w:t>
      </w:r>
      <w:r>
        <w:rPr>
          <w:rFonts w:ascii="新細明體" w:hAnsi="Arial" w:cs="新細明體"/>
          <w:kern w:val="0"/>
          <w:lang w:val="zh-TW"/>
        </w:rPr>
        <w:t>94</w:t>
      </w:r>
      <w:r>
        <w:rPr>
          <w:rFonts w:ascii="新細明體" w:hAnsi="Arial" w:cs="新細明體" w:hint="eastAsia"/>
          <w:kern w:val="0"/>
          <w:lang w:val="zh-TW"/>
        </w:rPr>
        <w:t>年</w:t>
      </w:r>
      <w:r>
        <w:rPr>
          <w:rFonts w:ascii="新細明體" w:hAnsi="Arial" w:cs="新細明體"/>
          <w:kern w:val="0"/>
          <w:lang w:val="zh-TW"/>
        </w:rPr>
        <w:t>5</w:t>
      </w:r>
      <w:r>
        <w:rPr>
          <w:rFonts w:ascii="新細明體" w:hAnsi="Arial" w:cs="新細明體" w:hint="eastAsia"/>
          <w:kern w:val="0"/>
          <w:lang w:val="zh-TW"/>
        </w:rPr>
        <w:t>月</w:t>
      </w:r>
      <w:r>
        <w:rPr>
          <w:rFonts w:ascii="新細明體" w:hAnsi="Arial" w:cs="新細明體"/>
          <w:kern w:val="0"/>
          <w:lang w:val="zh-TW"/>
        </w:rPr>
        <w:t>27</w:t>
      </w:r>
      <w:r>
        <w:rPr>
          <w:rFonts w:ascii="新細明體" w:hAnsi="Arial" w:cs="新細明體" w:hint="eastAsia"/>
          <w:kern w:val="0"/>
          <w:lang w:val="zh-TW"/>
        </w:rPr>
        <w:t>日部退四字第</w:t>
      </w:r>
      <w:r>
        <w:rPr>
          <w:rFonts w:ascii="新細明體" w:hAnsi="Arial" w:cs="新細明體"/>
          <w:kern w:val="0"/>
          <w:lang w:val="zh-TW"/>
        </w:rPr>
        <w:t>0942508084</w:t>
      </w:r>
      <w:r>
        <w:rPr>
          <w:rFonts w:ascii="新細明體" w:hAnsi="Arial" w:cs="新細明體" w:hint="eastAsia"/>
          <w:kern w:val="0"/>
          <w:lang w:val="zh-TW"/>
        </w:rPr>
        <w:t>號書函解釋徐故員係屬一般意外死亡，非遭遇危險事故或意外之外來原因致死，嚴重扭曲銓敘部解釋意旨，且與常理有違。又上開函釋有關公差遇險指所遭遇之危險，依通常客觀之標準認定，係屬危險事故，而非一般意外事故。徐故員在惡劣天氣之下奉派出差執行職務途中墜落山谷，現車輛仍留現場，其死亡原因，連臺灣花蓮地方法院檢察署（以下簡稱花蓮地檢署）、花蓮縣消防局等有關單位及原民會均無從證實係一般意外事故或危險事故。慰問金發給辦法第</w:t>
      </w:r>
      <w:r>
        <w:rPr>
          <w:rFonts w:ascii="新細明體" w:hAnsi="Arial" w:cs="新細明體"/>
          <w:kern w:val="0"/>
          <w:lang w:val="zh-TW"/>
        </w:rPr>
        <w:t>3</w:t>
      </w:r>
      <w:r>
        <w:rPr>
          <w:rFonts w:ascii="新細明體" w:hAnsi="Arial" w:cs="新細明體" w:hint="eastAsia"/>
          <w:kern w:val="0"/>
          <w:lang w:val="zh-TW"/>
        </w:rPr>
        <w:t>條第</w:t>
      </w:r>
      <w:r>
        <w:rPr>
          <w:rFonts w:ascii="新細明體" w:hAnsi="Arial" w:cs="新細明體"/>
          <w:kern w:val="0"/>
          <w:lang w:val="zh-TW"/>
        </w:rPr>
        <w:t>1</w:t>
      </w:r>
      <w:r>
        <w:rPr>
          <w:rFonts w:ascii="新細明體" w:hAnsi="Arial" w:cs="新細明體" w:hint="eastAsia"/>
          <w:kern w:val="0"/>
          <w:lang w:val="zh-TW"/>
        </w:rPr>
        <w:t>項及第</w:t>
      </w:r>
      <w:r>
        <w:rPr>
          <w:rFonts w:ascii="新細明體" w:hAnsi="Arial" w:cs="新細明體"/>
          <w:kern w:val="0"/>
          <w:lang w:val="zh-TW"/>
        </w:rPr>
        <w:t>2</w:t>
      </w:r>
      <w:r>
        <w:rPr>
          <w:rFonts w:ascii="新細明體" w:hAnsi="Arial" w:cs="新細明體" w:hint="eastAsia"/>
          <w:kern w:val="0"/>
          <w:lang w:val="zh-TW"/>
        </w:rPr>
        <w:t>項，將公差遇險界定為因公之範圍，原處分機關如認徐</w:t>
      </w:r>
      <w:r>
        <w:rPr>
          <w:rFonts w:ascii="新細明體" w:hAnsi="Arial" w:cs="新細明體" w:hint="eastAsia"/>
          <w:kern w:val="0"/>
          <w:lang w:val="zh-TW"/>
        </w:rPr>
        <w:t>故員非因公差遇險，此種舉證責任自應由行政院所負。」</w:t>
      </w:r>
    </w:p>
    <w:p w:rsidR="00000000" w:rsidRDefault="007833E6">
      <w:pPr>
        <w:spacing w:beforeLines="50" w:before="180" w:afterLines="50" w:after="180"/>
        <w:ind w:leftChars="300" w:left="960" w:hangingChars="100" w:hanging="240"/>
        <w:rPr>
          <w:rFonts w:ascii="標楷體" w:eastAsia="標楷體" w:hAnsi="標楷體" w:hint="eastAsia"/>
          <w:b/>
        </w:rPr>
      </w:pPr>
      <w:r>
        <w:rPr>
          <w:rFonts w:ascii="標楷體" w:eastAsia="標楷體" w:hAnsi="標楷體" w:hint="eastAsia"/>
          <w:b/>
        </w:rPr>
        <w:t>4.</w:t>
      </w:r>
      <w:r>
        <w:rPr>
          <w:rFonts w:ascii="標楷體" w:eastAsia="標楷體" w:hAnsi="標楷體" w:hint="eastAsia"/>
          <w:b/>
        </w:rPr>
        <w:t>本文見解</w:t>
      </w:r>
    </w:p>
    <w:p w:rsidR="00000000" w:rsidRDefault="007833E6">
      <w:pPr>
        <w:spacing w:beforeLines="50" w:before="180" w:afterLines="50" w:after="180"/>
        <w:ind w:leftChars="400" w:left="960" w:firstLineChars="200" w:firstLine="480"/>
        <w:rPr>
          <w:rFonts w:hint="eastAsia"/>
        </w:rPr>
      </w:pPr>
      <w:r>
        <w:rPr>
          <w:rFonts w:ascii="新細明體" w:hAnsi="新細明體" w:hint="eastAsia"/>
        </w:rPr>
        <w:t>在上開案例中，</w:t>
      </w:r>
      <w:r>
        <w:rPr>
          <w:rFonts w:hint="eastAsia"/>
        </w:rPr>
        <w:t>行政院之見解</w:t>
      </w:r>
      <w:r>
        <w:rPr>
          <w:rFonts w:ascii="新細明體" w:hAnsi="新細明體" w:hint="eastAsia"/>
        </w:rPr>
        <w:t>限制「公差遇險」之「危險事故」為「外來原因」</w:t>
      </w:r>
      <w:r>
        <w:rPr>
          <w:rFonts w:hint="eastAsia"/>
        </w:rPr>
        <w:t>而致傷殘死亡者（亦即必須係「外來原因」，例如外力撞擊所致），方能請求慰問金。而本案例當事人係因「一般意外死亡」而死亡者，不得請求慰問金。本文以為此種限制並</w:t>
      </w:r>
      <w:r>
        <w:rPr>
          <w:rFonts w:ascii="新細明體" w:hAnsi="新細明體" w:hint="eastAsia"/>
        </w:rPr>
        <w:t>不合慰問金設置之規範目的</w:t>
      </w:r>
      <w:r>
        <w:rPr>
          <w:rFonts w:hint="eastAsia"/>
        </w:rPr>
        <w:t>。</w:t>
      </w:r>
    </w:p>
    <w:p w:rsidR="00000000" w:rsidRDefault="007833E6">
      <w:pPr>
        <w:spacing w:beforeLines="50" w:before="180" w:afterLines="50" w:after="180"/>
        <w:ind w:leftChars="400" w:left="960" w:firstLineChars="200" w:firstLine="480"/>
        <w:rPr>
          <w:rFonts w:hint="eastAsia"/>
        </w:rPr>
      </w:pPr>
      <w:r>
        <w:rPr>
          <w:rFonts w:ascii="新細明體" w:hAnsi="新細明體" w:hint="eastAsia"/>
        </w:rPr>
        <w:t>依據本研究計畫主張之「兩階段」相當因果關係，只要是屬於公務員執行職務時所面臨之典型風險，亦即：若</w:t>
      </w:r>
      <w:r>
        <w:rPr>
          <w:rFonts w:hint="eastAsia"/>
        </w:rPr>
        <w:t>有該執行職務之行為，通常足以導致該「意外事故」者，即應該當所謂</w:t>
      </w:r>
      <w:r>
        <w:rPr>
          <w:rFonts w:ascii="新細明體" w:hAnsi="新細明體" w:hint="eastAsia"/>
        </w:rPr>
        <w:t>「危險事故」</w:t>
      </w:r>
      <w:r>
        <w:rPr>
          <w:rFonts w:hint="eastAsia"/>
        </w:rPr>
        <w:t>。</w:t>
      </w:r>
      <w:r>
        <w:rPr>
          <w:rFonts w:ascii="新細明體" w:hAnsi="新細明體" w:hint="eastAsia"/>
        </w:rPr>
        <w:t>國家此時即應透過慰問金</w:t>
      </w:r>
      <w:r>
        <w:rPr>
          <w:rFonts w:ascii="新細明體" w:hAnsi="新細明體" w:hint="eastAsia"/>
        </w:rPr>
        <w:t>予以照顧。</w:t>
      </w:r>
    </w:p>
    <w:p w:rsidR="00000000" w:rsidRDefault="007833E6">
      <w:pPr>
        <w:spacing w:beforeLines="50" w:before="180" w:afterLines="50" w:after="180"/>
        <w:ind w:leftChars="400" w:left="960" w:firstLineChars="200" w:firstLine="480"/>
        <w:rPr>
          <w:rFonts w:hint="eastAsia"/>
        </w:rPr>
      </w:pPr>
      <w:r>
        <w:rPr>
          <w:rFonts w:ascii="新細明體" w:hAnsi="新細明體" w:hint="eastAsia"/>
        </w:rPr>
        <w:t>準此以解，上開案例</w:t>
      </w:r>
      <w:r>
        <w:rPr>
          <w:rFonts w:ascii="新細明體" w:hAnsi="Arial" w:cs="新細明體" w:hint="eastAsia"/>
          <w:kern w:val="0"/>
          <w:lang w:val="zh-TW"/>
        </w:rPr>
        <w:t>符合</w:t>
      </w:r>
      <w:r>
        <w:rPr>
          <w:rFonts w:ascii="新細明體" w:hAnsi="新細明體" w:hint="eastAsia"/>
        </w:rPr>
        <w:t>「公差遇險」之</w:t>
      </w:r>
      <w:r>
        <w:rPr>
          <w:rFonts w:ascii="新細明體" w:hAnsi="Arial" w:cs="新細明體" w:hint="eastAsia"/>
          <w:kern w:val="0"/>
          <w:lang w:val="zh-TW"/>
        </w:rPr>
        <w:t>規定。蓋因當事人係在出差往花蓮途中遇險，如政府機關未派當事人出差，則不會發生該意外而導致死亡結果。而在颱風天凌晨驅車前往參加開會，依據當時天候、淹水及路況等狀況，在典型事態發展下，此種執行職務之行為，通常亦足以導致意外之結果，故應</w:t>
      </w:r>
      <w:r>
        <w:rPr>
          <w:rFonts w:ascii="新細明體" w:hAnsi="新細明體" w:hint="eastAsia"/>
        </w:rPr>
        <w:t>屬於公務員執行職務時所面臨之典型風險。</w:t>
      </w:r>
      <w:r>
        <w:rPr>
          <w:rFonts w:hint="eastAsia"/>
        </w:rPr>
        <w:t>而此一意外事故通常亦足以導致死亡結果。故本案例符合本團對主張之「兩階段之因果關係」。</w:t>
      </w:r>
    </w:p>
    <w:p w:rsidR="00000000" w:rsidRDefault="007833E6">
      <w:pPr>
        <w:spacing w:beforeLines="200" w:before="720" w:afterLines="200" w:after="720" w:line="264" w:lineRule="auto"/>
        <w:jc w:val="center"/>
        <w:rPr>
          <w:rFonts w:ascii="標楷體" w:eastAsia="標楷體" w:hAnsi="標楷體" w:hint="eastAsia"/>
          <w:b/>
          <w:sz w:val="32"/>
          <w:szCs w:val="32"/>
        </w:rPr>
      </w:pPr>
      <w:r>
        <w:rPr>
          <w:rFonts w:ascii="標楷體" w:eastAsia="標楷體" w:hAnsi="標楷體" w:hint="eastAsia"/>
          <w:b/>
          <w:sz w:val="32"/>
          <w:szCs w:val="32"/>
        </w:rPr>
        <w:lastRenderedPageBreak/>
        <w:t>參、慰問金請求權之排除或減發</w:t>
      </w:r>
    </w:p>
    <w:p w:rsidR="00000000" w:rsidRDefault="007833E6">
      <w:pPr>
        <w:spacing w:beforeLines="100" w:before="36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一、公務人員保障法之規定</w:t>
      </w:r>
    </w:p>
    <w:p w:rsidR="00000000" w:rsidRDefault="007833E6">
      <w:pPr>
        <w:spacing w:beforeLines="100" w:before="360" w:afterLines="100" w:after="360" w:line="264" w:lineRule="auto"/>
        <w:ind w:firstLineChars="200" w:firstLine="480"/>
        <w:rPr>
          <w:rFonts w:ascii="標楷體" w:eastAsia="標楷體" w:hAnsi="標楷體" w:hint="eastAsia"/>
        </w:rPr>
      </w:pPr>
      <w:r>
        <w:rPr>
          <w:rFonts w:ascii="標楷體" w:eastAsia="標楷體" w:hAnsi="標楷體" w:hint="eastAsia"/>
        </w:rPr>
        <w:t>公務人員保障法第二十一條第二項但書規定「但公務人員有故</w:t>
      </w:r>
      <w:r>
        <w:rPr>
          <w:rFonts w:ascii="標楷體" w:eastAsia="標楷體" w:hAnsi="標楷體" w:hint="eastAsia"/>
        </w:rPr>
        <w:t>意或重大過失情事者，</w:t>
      </w:r>
      <w:r>
        <w:rPr>
          <w:rFonts w:ascii="標楷體" w:eastAsia="標楷體" w:hAnsi="標楷體" w:hint="eastAsia"/>
          <w:shd w:val="pct15" w:color="auto" w:fill="FFFFFF"/>
        </w:rPr>
        <w:t>得</w:t>
      </w:r>
      <w:r>
        <w:rPr>
          <w:rFonts w:ascii="標楷體" w:eastAsia="標楷體" w:hAnsi="標楷體" w:hint="eastAsia"/>
        </w:rPr>
        <w:t>不發</w:t>
      </w:r>
      <w:r>
        <w:rPr>
          <w:rFonts w:ascii="標楷體" w:eastAsia="標楷體" w:hAnsi="標楷體" w:hint="eastAsia"/>
          <w:shd w:val="pct15" w:color="auto" w:fill="FFFFFF"/>
        </w:rPr>
        <w:t>或</w:t>
      </w:r>
      <w:r>
        <w:rPr>
          <w:rFonts w:ascii="標楷體" w:eastAsia="標楷體" w:hAnsi="標楷體" w:hint="eastAsia"/>
        </w:rPr>
        <w:t>減發慰問金。」</w:t>
      </w:r>
    </w:p>
    <w:p w:rsidR="00000000" w:rsidRDefault="007833E6">
      <w:pPr>
        <w:spacing w:line="264" w:lineRule="auto"/>
        <w:ind w:firstLineChars="200" w:firstLine="480"/>
        <w:rPr>
          <w:rFonts w:ascii="新細明體" w:hAnsi="新細明體" w:hint="eastAsia"/>
        </w:rPr>
      </w:pPr>
      <w:r>
        <w:rPr>
          <w:rFonts w:ascii="新細明體" w:hAnsi="新細明體" w:hint="eastAsia"/>
        </w:rPr>
        <w:t>本文認為，此係基於「類似民法上『過失相抵』」精神所為之規定。公務人員倘若對於『傷、殘、死亡』有故意或重大過失，基於「類似民法上『過失相抵』精神」所為之規定，應予不發或減發。</w:t>
      </w:r>
    </w:p>
    <w:p w:rsidR="00000000" w:rsidRDefault="007833E6">
      <w:pPr>
        <w:spacing w:beforeLines="100" w:before="360" w:afterLines="100" w:after="360" w:line="264" w:lineRule="auto"/>
        <w:ind w:firstLineChars="200" w:firstLine="480"/>
        <w:rPr>
          <w:rFonts w:ascii="新細明體" w:hAnsi="新細明體" w:hint="eastAsia"/>
        </w:rPr>
      </w:pPr>
      <w:r>
        <w:rPr>
          <w:rFonts w:ascii="新細明體" w:hAnsi="新細明體" w:hint="eastAsia"/>
        </w:rPr>
        <w:t>此外，自該規定但書「得」之文義觀之，在系爭公務人員存在有「但書」之情事時，行政機關就「是否發給該公務員慰問金」以及「減發之比例、額度」享有「裁量權」</w:t>
      </w:r>
    </w:p>
    <w:p w:rsidR="00000000" w:rsidRDefault="007833E6">
      <w:pPr>
        <w:spacing w:beforeLines="200" w:before="720" w:afterLines="100" w:after="360" w:line="264" w:lineRule="auto"/>
        <w:rPr>
          <w:rFonts w:ascii="標楷體" w:eastAsia="標楷體" w:hAnsi="標楷體" w:hint="eastAsia"/>
          <w:b/>
          <w:sz w:val="28"/>
          <w:szCs w:val="28"/>
        </w:rPr>
      </w:pPr>
      <w:r>
        <w:rPr>
          <w:rFonts w:ascii="標楷體" w:eastAsia="標楷體" w:hAnsi="標楷體" w:hint="eastAsia"/>
          <w:b/>
          <w:sz w:val="28"/>
          <w:szCs w:val="28"/>
        </w:rPr>
        <w:t>二、慰問金發給辦法之規定</w:t>
      </w:r>
    </w:p>
    <w:p w:rsidR="00000000" w:rsidRDefault="007833E6">
      <w:pPr>
        <w:spacing w:beforeLines="100" w:before="360" w:afterLines="100" w:after="360" w:line="264" w:lineRule="auto"/>
        <w:ind w:firstLineChars="200" w:firstLine="480"/>
        <w:rPr>
          <w:rFonts w:ascii="標楷體" w:eastAsia="標楷體" w:hAnsi="標楷體" w:hint="eastAsia"/>
          <w:b/>
        </w:rPr>
      </w:pPr>
      <w:r>
        <w:rPr>
          <w:rFonts w:ascii="標楷體" w:eastAsia="標楷體" w:hAnsi="標楷體" w:hint="eastAsia"/>
        </w:rPr>
        <w:t>慰問金發給辦法第四條第二項規定：「</w:t>
      </w:r>
      <w:r>
        <w:rPr>
          <w:rFonts w:ascii="標楷體" w:eastAsia="標楷體" w:hAnsi="標楷體" w:hint="eastAsia"/>
          <w:b/>
        </w:rPr>
        <w:t>前項所定慰問金，公務人員有故意情事者，不發給；有重大過失情事者，減發百分之三十。」</w:t>
      </w:r>
    </w:p>
    <w:p w:rsidR="00000000" w:rsidRDefault="007833E6">
      <w:pPr>
        <w:spacing w:beforeLines="100" w:before="360" w:afterLines="100" w:after="360" w:line="264" w:lineRule="auto"/>
        <w:ind w:firstLineChars="200" w:firstLine="480"/>
        <w:rPr>
          <w:rFonts w:ascii="新細明體" w:hAnsi="新細明體" w:hint="eastAsia"/>
          <w:b/>
        </w:rPr>
      </w:pPr>
      <w:r>
        <w:rPr>
          <w:rFonts w:hint="eastAsia"/>
        </w:rPr>
        <w:t>依據此一「慰問金發給辦法」之規定，於「公務人員有故意情事」時，「必定」不發給慰問金；於「公務人員有過失情事」時，「必定」減發百分之三十。</w:t>
      </w:r>
    </w:p>
    <w:p w:rsidR="00000000" w:rsidRDefault="007833E6">
      <w:pPr>
        <w:spacing w:beforeLines="100" w:before="360" w:afterLines="100" w:after="360" w:line="264" w:lineRule="auto"/>
        <w:ind w:firstLineChars="200" w:firstLine="480"/>
        <w:rPr>
          <w:rFonts w:ascii="新細明體" w:hAnsi="新細明體" w:hint="eastAsia"/>
          <w:b/>
        </w:rPr>
      </w:pPr>
      <w:r>
        <w:rPr>
          <w:rFonts w:ascii="新細明體" w:hAnsi="新細明體" w:hint="eastAsia"/>
        </w:rPr>
        <w:t>按此一規定，已經</w:t>
      </w:r>
      <w:r>
        <w:rPr>
          <w:rFonts w:ascii="新細明體" w:hAnsi="新細明體" w:hint="eastAsia"/>
          <w:b/>
        </w:rPr>
        <w:t>破壞當初公務人員保障法之立法者「給予行政機關裁量權」之立法精神</w:t>
      </w:r>
      <w:r>
        <w:rPr>
          <w:rFonts w:ascii="新細明體" w:hAnsi="新細明體" w:hint="eastAsia"/>
        </w:rPr>
        <w:t>，</w:t>
      </w:r>
      <w:r>
        <w:rPr>
          <w:rFonts w:ascii="新細明體" w:hAnsi="新細明體" w:hint="eastAsia"/>
          <w:b/>
        </w:rPr>
        <w:t>使得行政機關無法在個案中斟酌不同情況，就「發與不發」慰問金、以及「減發之比例」為合法且妥當之裁量，因此，本研究團隊認為係違反公務人員保障法第二十一條第二項之立法精神。</w:t>
      </w:r>
    </w:p>
    <w:p w:rsidR="00000000" w:rsidRDefault="007833E6">
      <w:pPr>
        <w:spacing w:beforeLines="100" w:before="360" w:afterLines="100" w:after="360" w:line="264" w:lineRule="auto"/>
        <w:ind w:firstLineChars="200" w:firstLine="480"/>
        <w:rPr>
          <w:rFonts w:ascii="新細明體" w:hAnsi="新細明體" w:hint="eastAsia"/>
          <w:b/>
        </w:rPr>
      </w:pPr>
    </w:p>
    <w:p w:rsidR="00000000" w:rsidRDefault="007833E6">
      <w:pPr>
        <w:spacing w:beforeLines="200" w:before="720" w:afterLines="100" w:after="360" w:line="264" w:lineRule="auto"/>
        <w:rPr>
          <w:rFonts w:ascii="標楷體" w:eastAsia="標楷體" w:hAnsi="標楷體" w:hint="eastAsia"/>
          <w:b/>
          <w:sz w:val="28"/>
          <w:szCs w:val="28"/>
        </w:rPr>
      </w:pPr>
      <w:r>
        <w:rPr>
          <w:rFonts w:ascii="標楷體" w:eastAsia="標楷體" w:hAnsi="標楷體" w:hint="eastAsia"/>
          <w:b/>
          <w:sz w:val="28"/>
          <w:szCs w:val="28"/>
        </w:rPr>
        <w:lastRenderedPageBreak/>
        <w:t>三、慰問金發給辦法第四條第二項之修法建議</w:t>
      </w:r>
    </w:p>
    <w:p w:rsidR="00000000" w:rsidRDefault="007833E6">
      <w:pPr>
        <w:spacing w:beforeLines="100" w:before="360" w:afterLines="100" w:after="360" w:line="264" w:lineRule="auto"/>
        <w:ind w:firstLineChars="200" w:firstLine="480"/>
        <w:rPr>
          <w:rFonts w:ascii="新細明體" w:hAnsi="新細明體" w:hint="eastAsia"/>
        </w:rPr>
      </w:pPr>
      <w:r>
        <w:rPr>
          <w:rFonts w:ascii="新細明體" w:hAnsi="新細明體" w:hint="eastAsia"/>
        </w:rPr>
        <w:t>「有故意情事者，不發給慰問金」，此一規定，勉強屬於合理。蓋此時公務員無保護之必要也</w:t>
      </w:r>
      <w:r>
        <w:rPr>
          <w:rFonts w:ascii="新細明體" w:hAnsi="新細明體" w:hint="eastAsia"/>
        </w:rPr>
        <w:t>。然而，「有重大過失情事者」依公務人員保障法第二十一條之規定，行政機關本有「得否減發」之裁量權，然「慰問金發給辦法」強制其「減發</w:t>
      </w:r>
      <w:r>
        <w:rPr>
          <w:rFonts w:ascii="新細明體" w:hAnsi="新細明體" w:hint="eastAsia"/>
        </w:rPr>
        <w:t>30%</w:t>
      </w:r>
      <w:r>
        <w:rPr>
          <w:rFonts w:ascii="新細明體" w:hAnsi="新細明體" w:hint="eastAsia"/>
        </w:rPr>
        <w:t>」，未考量情節之輕重，顯然違反公務人員保障法第二十一條第二項之意旨。</w:t>
      </w:r>
    </w:p>
    <w:p w:rsidR="00000000" w:rsidRDefault="007833E6">
      <w:pPr>
        <w:spacing w:beforeLines="100" w:before="360" w:afterLines="100" w:after="360" w:line="264" w:lineRule="auto"/>
        <w:ind w:firstLineChars="200" w:firstLine="480"/>
        <w:rPr>
          <w:rFonts w:ascii="新細明體" w:hAnsi="新細明體" w:hint="eastAsia"/>
        </w:rPr>
      </w:pPr>
      <w:r>
        <w:rPr>
          <w:rFonts w:ascii="新細明體" w:hAnsi="新細明體" w:hint="eastAsia"/>
        </w:rPr>
        <w:t>修法建議：「重大過失一律減發</w:t>
      </w:r>
      <w:r>
        <w:rPr>
          <w:rFonts w:ascii="新細明體" w:hAnsi="新細明體" w:hint="eastAsia"/>
        </w:rPr>
        <w:t>30%</w:t>
      </w:r>
      <w:r>
        <w:rPr>
          <w:rFonts w:ascii="新細明體" w:hAnsi="新細明體" w:hint="eastAsia"/>
        </w:rPr>
        <w:t>」之規定，應予刪除，使行政機關得在個案上酌定「重大過失之情節輕重」為不同之處理。</w:t>
      </w:r>
    </w:p>
    <w:p w:rsidR="00000000" w:rsidRDefault="007833E6">
      <w:pPr>
        <w:spacing w:beforeLines="50" w:before="180" w:afterLines="50" w:after="180"/>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000000" w:rsidRDefault="007833E6">
      <w:pPr>
        <w:spacing w:line="300" w:lineRule="auto"/>
        <w:rPr>
          <w:rFonts w:hint="eastAsia"/>
        </w:rPr>
      </w:pPr>
    </w:p>
    <w:p w:rsidR="007833E6" w:rsidRDefault="007833E6">
      <w:pPr>
        <w:rPr>
          <w:rFonts w:hint="eastAsia"/>
        </w:rPr>
      </w:pPr>
    </w:p>
    <w:sectPr w:rsidR="007833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E6" w:rsidRDefault="007833E6">
      <w:r>
        <w:separator/>
      </w:r>
    </w:p>
  </w:endnote>
  <w:endnote w:type="continuationSeparator" w:id="0">
    <w:p w:rsidR="007833E6" w:rsidRDefault="0078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E6" w:rsidRDefault="007833E6">
      <w:r>
        <w:separator/>
      </w:r>
    </w:p>
  </w:footnote>
  <w:footnote w:type="continuationSeparator" w:id="0">
    <w:p w:rsidR="007833E6" w:rsidRDefault="007833E6">
      <w:r>
        <w:continuationSeparator/>
      </w:r>
    </w:p>
  </w:footnote>
  <w:footnote w:id="1">
    <w:p w:rsidR="00000000" w:rsidRDefault="007833E6">
      <w:pPr>
        <w:pStyle w:val="a5"/>
      </w:pPr>
      <w:r>
        <w:rPr>
          <w:rStyle w:val="a4"/>
        </w:rPr>
        <w:footnoteRef/>
      </w:r>
      <w:r>
        <w:rPr>
          <w:rFonts w:hint="eastAsia"/>
        </w:rPr>
        <w:t xml:space="preserve"> </w:t>
      </w:r>
      <w:r>
        <w:rPr>
          <w:rFonts w:hint="eastAsia"/>
        </w:rPr>
        <w:t>銓敘部</w:t>
      </w:r>
      <w:r>
        <w:rPr>
          <w:rFonts w:hint="eastAsia"/>
        </w:rPr>
        <w:t>94</w:t>
      </w:r>
      <w:r>
        <w:rPr>
          <w:rFonts w:hint="eastAsia"/>
        </w:rPr>
        <w:t>年</w:t>
      </w:r>
      <w:r>
        <w:rPr>
          <w:rFonts w:hint="eastAsia"/>
        </w:rPr>
        <w:t>5</w:t>
      </w:r>
      <w:r>
        <w:rPr>
          <w:rFonts w:hint="eastAsia"/>
        </w:rPr>
        <w:t>月</w:t>
      </w:r>
      <w:r>
        <w:rPr>
          <w:rFonts w:hint="eastAsia"/>
        </w:rPr>
        <w:t>27</w:t>
      </w:r>
      <w:r>
        <w:rPr>
          <w:rFonts w:hint="eastAsia"/>
        </w:rPr>
        <w:t>日部退四字第</w:t>
      </w:r>
      <w:r>
        <w:rPr>
          <w:rFonts w:hint="eastAsia"/>
        </w:rPr>
        <w:t>0942508084</w:t>
      </w:r>
      <w:r>
        <w:rPr>
          <w:rFonts w:hint="eastAsia"/>
        </w:rPr>
        <w:t>號書函認為：「上開有關『公差遇險』指所遭遇之危險，依通常客觀之標準認定，係屬危險事故，而非一般意外事故。至</w:t>
      </w:r>
      <w:r>
        <w:rPr>
          <w:rFonts w:hint="eastAsia"/>
        </w:rPr>
        <w:t>於如何認定危險事故或一般意外事故，以及未有外力因素所發生之車禍意外以致傷殘死亡是否屬危險意外事故一節，查慰問金發給辦法於擬訂時，業將原擬列入因公事由之『於辦公往返途中發生意外』刪除，是於辦公往返途中發生意外，不論有無外力因素，均不合於發給慰問金；因此，為兼顧各款因公事由之適度衡平，對於公差往返途中發生之車禍意外，以致傷殘死亡者，除非有合於通常認定標準之外力因素介入而發生意外事故者可界定為危險事故外，否則即應認定為一般意外事故。」</w:t>
      </w: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14"/>
  </w:num>
  <w:num w:numId="4">
    <w:abstractNumId w:val="1"/>
  </w:num>
  <w:num w:numId="5">
    <w:abstractNumId w:val="17"/>
  </w:num>
  <w:num w:numId="6">
    <w:abstractNumId w:val="15"/>
  </w:num>
  <w:num w:numId="7">
    <w:abstractNumId w:val="5"/>
  </w:num>
  <w:num w:numId="8">
    <w:abstractNumId w:val="4"/>
  </w:num>
  <w:num w:numId="9">
    <w:abstractNumId w:val="6"/>
  </w:num>
  <w:num w:numId="10">
    <w:abstractNumId w:val="10"/>
  </w:num>
  <w:num w:numId="11">
    <w:abstractNumId w:val="18"/>
  </w:num>
  <w:num w:numId="12">
    <w:abstractNumId w:val="2"/>
  </w:num>
  <w:num w:numId="13">
    <w:abstractNumId w:val="3"/>
  </w:num>
  <w:num w:numId="14">
    <w:abstractNumId w:val="7"/>
  </w:num>
  <w:num w:numId="15">
    <w:abstractNumId w:val="8"/>
  </w:num>
  <w:num w:numId="16">
    <w:abstractNumId w:val="0"/>
  </w:num>
  <w:num w:numId="17">
    <w:abstractNumId w:val="21"/>
  </w:num>
  <w:num w:numId="18">
    <w:abstractNumId w:val="16"/>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23"/>
    <w:rsid w:val="0004685A"/>
    <w:rsid w:val="007833E6"/>
    <w:rsid w:val="00934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28D65-758B-4690-A1BA-627FC80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character" w:styleId="a4">
    <w:name w:val="footnote reference"/>
    <w:basedOn w:val="a1"/>
    <w:semiHidden/>
    <w:rPr>
      <w:vertAlign w:val="superscript"/>
    </w:rPr>
  </w:style>
  <w:style w:type="paragraph" w:styleId="a5">
    <w:name w:val="footnote text"/>
    <w:basedOn w:val="a0"/>
    <w:semiHidden/>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第五章  慰問金請求權之爭議問題研究</dc:title>
  <dc:subject/>
  <dc:creator>user</dc:creator>
  <cp:keywords/>
  <dc:description/>
  <cp:lastModifiedBy>卓卿雲</cp:lastModifiedBy>
  <cp:revision>2</cp:revision>
  <dcterms:created xsi:type="dcterms:W3CDTF">2021-09-22T10:20:00Z</dcterms:created>
  <dcterms:modified xsi:type="dcterms:W3CDTF">2021-09-22T10:20:00Z</dcterms:modified>
</cp:coreProperties>
</file>