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D1830">
      <w:pPr>
        <w:pStyle w:val="1"/>
        <w:numPr>
          <w:ilvl w:val="0"/>
          <w:numId w:val="0"/>
        </w:numPr>
        <w:spacing w:line="360" w:lineRule="auto"/>
        <w:jc w:val="center"/>
        <w:rPr>
          <w:rFonts w:ascii="新細明體" w:hint="eastAsia"/>
          <w:b w:val="0"/>
          <w:sz w:val="32"/>
          <w:szCs w:val="32"/>
        </w:rPr>
      </w:pPr>
      <w:bookmarkStart w:id="0" w:name="_GoBack"/>
      <w:bookmarkEnd w:id="0"/>
      <w:r>
        <w:rPr>
          <w:rFonts w:ascii="新細明體" w:hint="eastAsia"/>
          <w:b w:val="0"/>
          <w:sz w:val="32"/>
          <w:szCs w:val="32"/>
        </w:rPr>
        <w:t>第二章</w:t>
      </w:r>
      <w:r>
        <w:rPr>
          <w:rFonts w:ascii="新細明體" w:hint="eastAsia"/>
          <w:b w:val="0"/>
          <w:sz w:val="32"/>
          <w:szCs w:val="32"/>
        </w:rPr>
        <w:t xml:space="preserve"> </w:t>
      </w:r>
      <w:r>
        <w:rPr>
          <w:rFonts w:ascii="新細明體" w:hint="eastAsia"/>
          <w:b w:val="0"/>
          <w:sz w:val="32"/>
          <w:szCs w:val="32"/>
        </w:rPr>
        <w:t>外國法制的比較</w:t>
      </w:r>
    </w:p>
    <w:p w:rsidR="00000000" w:rsidRDefault="002D1830">
      <w:pPr>
        <w:snapToGrid w:val="0"/>
        <w:spacing w:line="360" w:lineRule="auto"/>
        <w:ind w:firstLineChars="0" w:firstLine="0"/>
        <w:jc w:val="center"/>
        <w:rPr>
          <w:rFonts w:ascii="新細明體" w:hint="eastAsia"/>
          <w:bCs/>
          <w:sz w:val="28"/>
          <w:szCs w:val="28"/>
        </w:rPr>
      </w:pPr>
      <w:r>
        <w:rPr>
          <w:rFonts w:ascii="新細明體" w:hint="eastAsia"/>
          <w:bCs/>
          <w:sz w:val="28"/>
          <w:szCs w:val="28"/>
        </w:rPr>
        <w:t>第一節</w:t>
      </w:r>
      <w:r>
        <w:rPr>
          <w:rFonts w:ascii="新細明體" w:hint="eastAsia"/>
          <w:bCs/>
          <w:sz w:val="28"/>
          <w:szCs w:val="28"/>
        </w:rPr>
        <w:t xml:space="preserve"> </w:t>
      </w:r>
      <w:r>
        <w:rPr>
          <w:rFonts w:ascii="新細明體" w:hint="eastAsia"/>
          <w:bCs/>
          <w:sz w:val="28"/>
          <w:szCs w:val="28"/>
        </w:rPr>
        <w:t>日本之法律扶助制度</w:t>
      </w:r>
    </w:p>
    <w:p w:rsidR="00000000" w:rsidRDefault="002D1830" w:rsidP="002D1830">
      <w:pPr>
        <w:numPr>
          <w:ilvl w:val="0"/>
          <w:numId w:val="3"/>
        </w:numPr>
        <w:snapToGrid w:val="0"/>
        <w:spacing w:line="360" w:lineRule="auto"/>
        <w:ind w:firstLineChars="0"/>
        <w:rPr>
          <w:rFonts w:ascii="新細明體" w:hint="eastAsia"/>
        </w:rPr>
      </w:pPr>
      <w:r>
        <w:rPr>
          <w:rFonts w:ascii="新細明體" w:hint="eastAsia"/>
        </w:rPr>
        <w:t>緒言</w:t>
      </w:r>
    </w:p>
    <w:p w:rsidR="00000000" w:rsidRDefault="002D1830">
      <w:pPr>
        <w:snapToGrid w:val="0"/>
        <w:spacing w:line="360" w:lineRule="auto"/>
        <w:ind w:firstLineChars="0" w:firstLine="480"/>
        <w:rPr>
          <w:rFonts w:ascii="新細明體" w:hint="eastAsia"/>
        </w:rPr>
      </w:pPr>
      <w:r>
        <w:rPr>
          <w:rFonts w:ascii="新細明體" w:hint="eastAsia"/>
        </w:rPr>
        <w:t>日本憲法保障「任何人，均不被剝奪其在法院接受裁判之權利」（同法三二條</w:t>
      </w:r>
      <w:r>
        <w:rPr>
          <w:rFonts w:ascii="新細明體" w:hint="eastAsia"/>
        </w:rPr>
        <w:t>6</w:t>
      </w:r>
      <w:r>
        <w:rPr>
          <w:rFonts w:ascii="新細明體" w:hint="eastAsia"/>
        </w:rPr>
        <w:t>）。此項權利保障具有任何人均得平等利用法院，而不許對之為法律上障礙的旨趣。但是，為接受裁判，即使自己亦須付出勞力、時間、費用，其結果將造成因貧困而付不出經費者，或因工作而無出庭餘暇者，事實上被拒絕接受裁判。為免致此，實質保障此等人之接受裁判權利即有必要</w:t>
      </w:r>
      <w:r>
        <w:rPr>
          <w:rStyle w:val="a6"/>
          <w:rFonts w:ascii="新細明體"/>
        </w:rPr>
        <w:footnoteReference w:id="1"/>
      </w:r>
      <w:r>
        <w:rPr>
          <w:rFonts w:ascii="新細明體" w:hint="eastAsia"/>
        </w:rPr>
        <w:t>。</w:t>
      </w:r>
    </w:p>
    <w:p w:rsidR="00000000" w:rsidRDefault="002D1830">
      <w:pPr>
        <w:snapToGrid w:val="0"/>
        <w:spacing w:line="360" w:lineRule="auto"/>
        <w:ind w:firstLineChars="0" w:firstLine="480"/>
        <w:rPr>
          <w:rFonts w:ascii="新細明體" w:hint="eastAsia"/>
        </w:rPr>
      </w:pPr>
      <w:r>
        <w:rPr>
          <w:rFonts w:ascii="新細明體" w:hint="eastAsia"/>
        </w:rPr>
        <w:t>日本憲法明定「刑事被告，在任何場合，均得委託具有資格之辯護人。被告不能自己委託時，國家委託之。」（同法三七條三項）。此係採行國</w:t>
      </w:r>
      <w:r>
        <w:rPr>
          <w:rFonts w:ascii="新細明體" w:hint="eastAsia"/>
        </w:rPr>
        <w:t>選辯護人制度。日本憲法雖同時規定「任何人，非即時被告以理由，且即時被賦予委託辯護人之權利，均不被拘留或羈押。」（同法三四條前段），但未如前述刑事被告般設有國選辯護人制度。關於民事，國選之律師代理制度，並未受憲法保障，僅於民事訴訟法設訴訟上救助制度。不過，於一九九六年制定而於一九九八年施行之新民事訴訟法，已擴大訴訟救助之範圍。而且，於二○○○年制定、施行之民事法律扶助法，更將法律扶助法制化、健全化</w:t>
      </w:r>
      <w:r>
        <w:rPr>
          <w:rStyle w:val="a6"/>
          <w:rFonts w:ascii="新細明體"/>
        </w:rPr>
        <w:footnoteReference w:id="2"/>
      </w:r>
      <w:r>
        <w:rPr>
          <w:rFonts w:ascii="新細明體" w:hint="eastAsia"/>
        </w:rPr>
        <w:t>。</w:t>
      </w:r>
    </w:p>
    <w:p w:rsidR="00000000" w:rsidRDefault="002D1830">
      <w:pPr>
        <w:snapToGrid w:val="0"/>
        <w:spacing w:line="360" w:lineRule="auto"/>
        <w:ind w:firstLineChars="0" w:firstLine="0"/>
        <w:rPr>
          <w:rFonts w:ascii="新細明體"/>
        </w:rPr>
      </w:pPr>
    </w:p>
    <w:p w:rsidR="00000000" w:rsidRDefault="002D1830">
      <w:pPr>
        <w:snapToGrid w:val="0"/>
        <w:spacing w:line="360" w:lineRule="auto"/>
        <w:ind w:firstLineChars="0" w:firstLine="0"/>
        <w:rPr>
          <w:rFonts w:ascii="新細明體"/>
        </w:rPr>
      </w:pPr>
    </w:p>
    <w:p w:rsidR="00000000" w:rsidRDefault="002D1830" w:rsidP="002D1830">
      <w:pPr>
        <w:numPr>
          <w:ilvl w:val="0"/>
          <w:numId w:val="3"/>
        </w:numPr>
        <w:snapToGrid w:val="0"/>
        <w:spacing w:line="360" w:lineRule="auto"/>
        <w:ind w:firstLineChars="0"/>
        <w:rPr>
          <w:rFonts w:ascii="新細明體" w:hint="eastAsia"/>
        </w:rPr>
      </w:pPr>
      <w:r>
        <w:rPr>
          <w:rFonts w:ascii="新細明體" w:hint="eastAsia"/>
        </w:rPr>
        <w:t>訴訟救助與國選辯護</w:t>
      </w:r>
    </w:p>
    <w:p w:rsidR="00000000" w:rsidRDefault="002D1830" w:rsidP="002D1830">
      <w:pPr>
        <w:numPr>
          <w:ilvl w:val="1"/>
          <w:numId w:val="2"/>
        </w:numPr>
        <w:snapToGrid w:val="0"/>
        <w:spacing w:line="360" w:lineRule="auto"/>
        <w:ind w:firstLineChars="0"/>
        <w:rPr>
          <w:rFonts w:ascii="新細明體" w:hint="eastAsia"/>
        </w:rPr>
      </w:pPr>
      <w:r>
        <w:rPr>
          <w:rFonts w:ascii="新細明體" w:hint="eastAsia"/>
        </w:rPr>
        <w:t>民事訴訟之訴訟救助</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民事訴訟之提起及遂行，當事人必須承受訴訟費用及律師費用等</w:t>
      </w:r>
      <w:r>
        <w:rPr>
          <w:rFonts w:ascii="新細明體" w:hint="eastAsia"/>
        </w:rPr>
        <w:t>一定經濟上負擔。為此，無經濟上之餘裕者，將有因不堪此種負擔，而不得不斷念於訴訟提起或應訴之虞。此種結果損及日本憲法所保障之接受裁判權利（同法三二條）。</w:t>
      </w:r>
      <w:r>
        <w:rPr>
          <w:rFonts w:ascii="新細明體" w:hint="eastAsia"/>
        </w:rPr>
        <w:lastRenderedPageBreak/>
        <w:t>故為救濟不堪此種負擔之無資力者，避免其實際上不能利用訴訟制度，日本民訴法設有訴訟救助制度，以廣泛保障一般國民之接受裁判權利。</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聲請訴訟救助，必須具備下列兩要件：</w:t>
      </w:r>
    </w:p>
    <w:p w:rsidR="00000000" w:rsidRDefault="002D1830">
      <w:pPr>
        <w:snapToGrid w:val="0"/>
        <w:spacing w:line="360" w:lineRule="auto"/>
        <w:ind w:firstLineChars="0" w:firstLine="0"/>
        <w:rPr>
          <w:rFonts w:ascii="新細明體"/>
        </w:rPr>
      </w:pPr>
      <w:r>
        <w:rPr>
          <w:rFonts w:ascii="新細明體" w:hint="eastAsia"/>
        </w:rPr>
        <w:t xml:space="preserve">    </w:t>
      </w:r>
      <w:r>
        <w:rPr>
          <w:rFonts w:ascii="新細明體" w:hint="eastAsia"/>
        </w:rPr>
        <w:t>第一，關於資力要件，須無資力支付訴訟之準備及遂行所必要費用或因其支付對生活發生顯著障礙者（日民訴法八二條一項）。舊民訴法規定無資力支付訴訟費用者始得聲請（同法一一八條），被批評為不當限</w:t>
      </w:r>
      <w:r>
        <w:rPr>
          <w:rFonts w:ascii="新細明體" w:hint="eastAsia"/>
        </w:rPr>
        <w:t>定救助對象者，故現行法一方面擴大費用之範圍，使不限於訴狀貼用印花、送達費用、證人、鑑定人之旅費、鑑定費用等裁判費用，或當事人出庭旅費、日資、住宿費、訴狀等之書證費、提出費等當事人費用，並包含訴訟之準備及遂行上所必要之調查費用、律師費用等必要訴訟經費；另一方面規定實質的資力，使縱令可能支付上述費用，如因支付致其健康且文化的最低限度生活（日本憲法二五條一項）陷於困難者，亦視同欠缺資力。據此，比較訴訟救助聲請人之資力及收入與預測之必要訴訟經費，就資力要件之判斷，為比較相對的、彈性的處理。要之，緩和資力要件，以擴大</w:t>
      </w:r>
      <w:r>
        <w:rPr>
          <w:rFonts w:ascii="新細明體" w:hint="eastAsia"/>
        </w:rPr>
        <w:t>訴訟救助之適用範圍</w:t>
      </w:r>
      <w:r>
        <w:rPr>
          <w:rStyle w:val="a6"/>
          <w:rFonts w:ascii="新細明體"/>
        </w:rPr>
        <w:footnoteReference w:id="3"/>
      </w:r>
      <w:r>
        <w:rPr>
          <w:rFonts w:ascii="新細明體" w:hint="eastAsia"/>
        </w:rPr>
        <w:t>。</w:t>
      </w:r>
    </w:p>
    <w:p w:rsidR="00000000" w:rsidRDefault="002D1830">
      <w:pPr>
        <w:snapToGrid w:val="0"/>
        <w:spacing w:line="360" w:lineRule="auto"/>
        <w:ind w:firstLineChars="0" w:firstLine="0"/>
        <w:rPr>
          <w:rFonts w:ascii="新細明體" w:hint="eastAsia"/>
        </w:rPr>
      </w:pPr>
      <w:r>
        <w:rPr>
          <w:rFonts w:ascii="新細明體"/>
        </w:rPr>
        <w:t xml:space="preserve">    </w:t>
      </w:r>
      <w:r>
        <w:rPr>
          <w:rFonts w:ascii="新細明體" w:hint="eastAsia"/>
        </w:rPr>
        <w:t>第二，關於請求要件，須非無勝訴之望者（日民訴法八二條一項但書）。此雖不積極要求有勝訴之望，從原告請求之旨趣及原因來看，其主張在法律上及事實上如有是認之可能性，即使存在舉證上之不確定性，亦可成為救助對象，但顯無理由之請求或應訴，如成為救助之對象，結果受救助人敗訴，並被命負擔訴訟費用，即欠缺賦予救助之意義，反先誘發濫訴之危險。勝訴之望相當高之情形，無妨緩和聲請人之無資力要件，蓋此不致加重國庫之財政上負擔，且符合充分權利救濟之訴訟制度目的</w:t>
      </w:r>
      <w:r>
        <w:rPr>
          <w:rStyle w:val="a6"/>
          <w:rFonts w:ascii="新細明體"/>
        </w:rPr>
        <w:footnoteReference w:id="4"/>
      </w:r>
      <w:r>
        <w:rPr>
          <w:rFonts w:ascii="新細明體" w:hint="eastAsia"/>
        </w:rPr>
        <w:t>。</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關於訴訟救助之裁判，每一審級法</w:t>
      </w:r>
      <w:r>
        <w:rPr>
          <w:rFonts w:ascii="新細明體" w:hint="eastAsia"/>
        </w:rPr>
        <w:t>院基於當事人之聲請以裁定行之（日民訴法八二條一、二項）。救助之要件事實（救助之事由），聲請人應釋明之（日民訴規則三○條）。法律上釋明之方法並未設限制，故不限定於公的證明書。惟即使已受救助，如事後判明欠缺救助之要件，或至未欠缺該要件（如回復資力）時，保存訴訟紀錄之法院，得依利害關係人之聲請或依職權，隨時撤銷救助，而命支付暫行免付之裁判費用（日民訴法八四條）。對於駁回救助之裁定，聲請人得即</w:t>
      </w:r>
      <w:r>
        <w:rPr>
          <w:rFonts w:ascii="新細明體" w:hint="eastAsia"/>
        </w:rPr>
        <w:lastRenderedPageBreak/>
        <w:t>時抗告（同法八六條）；但對於救助裁定，相對人有無即時抗告權，存有爭議。雖然有論者採取積極說，認為他造當事人除受有訴訟費用擔保</w:t>
      </w:r>
      <w:r>
        <w:rPr>
          <w:rFonts w:ascii="新細明體" w:hint="eastAsia"/>
        </w:rPr>
        <w:t>免除之不利益外，另有不能獲得因提訴程序費不繳納而駁回訴狀裁判之不利益，以及有受濫訴的不利益之虞等</w:t>
      </w:r>
      <w:r>
        <w:rPr>
          <w:rStyle w:val="a6"/>
          <w:rFonts w:ascii="新細明體"/>
        </w:rPr>
        <w:footnoteReference w:id="5"/>
      </w:r>
      <w:r>
        <w:rPr>
          <w:rFonts w:ascii="新細明體" w:hint="eastAsia"/>
        </w:rPr>
        <w:t>。但另有論者採取限制說，僅限於被告要求訴訟費用擔保之情形，因違法免除致其直接受到不利益，始具有抗告利益，至於其他情形，一般而言並無抗告之根據</w:t>
      </w:r>
      <w:r>
        <w:rPr>
          <w:rStyle w:val="a6"/>
          <w:rFonts w:ascii="新細明體"/>
        </w:rPr>
        <w:footnoteReference w:id="6"/>
      </w:r>
      <w:r>
        <w:rPr>
          <w:rFonts w:ascii="新細明體" w:hint="eastAsia"/>
        </w:rPr>
        <w:t>。實務上則持兩種見解之裁判例並存。</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訴訟救助之效果，即其救助之內容僅包括：第一，暫行免付裁判費用、執行官之程序費用及其職務執行所必要之費用（日民訴法八三條一項一款），即訴訟上之救助對象，僅限於前述之裁判費用，不包括當事人費用及其他訴狀必要經費。於原告之情形，即使於</w:t>
      </w:r>
      <w:r>
        <w:rPr>
          <w:rFonts w:ascii="新細明體" w:hint="eastAsia"/>
        </w:rPr>
        <w:t>訴狀上未貼用印花亦予受理，未預繳送達及證據調查所必要費用亦仍然進行。第二，暫行免付法院所選任律師之報酬（同條項二款）。法院（審判長）依法（日民訴法一五五條二項）命當事人選任律師為訴訟代理人或依職權或聲請為當事人選任律師為訴訟代理人（日人訴法三條二、三項、二六條、三二條一項）時，無論係於前者情形當事人與律師約定之酬金，或係於後者情形法院所定之報酬額，均暫行免付。第三，訴訟費用擔保之免除（日民訴法八三條一項三款）。</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上述裁判費用容許一部救助。雖有論者認為，除非本人自動放棄，否則不許一部救助，但通說及實務</w:t>
      </w:r>
      <w:r>
        <w:rPr>
          <w:rFonts w:ascii="新細明體" w:hint="eastAsia"/>
        </w:rPr>
        <w:t>均認為，既然訴訟救助要件上資力有無之判斷，並非僅指單純的貧困，而應就聲請人之資力及收入與所認必要支出費用額為相對性判定，則於認全部救助並非合理之情形，僅賦予一部救助，亦無背於訴訟救助制度之旨趣</w:t>
      </w:r>
      <w:r>
        <w:rPr>
          <w:rStyle w:val="a6"/>
          <w:rFonts w:ascii="新細明體"/>
        </w:rPr>
        <w:footnoteReference w:id="7"/>
      </w:r>
      <w:r>
        <w:rPr>
          <w:rFonts w:ascii="新細明體" w:hint="eastAsia"/>
        </w:rPr>
        <w:t>。甚至有論者認為，現行民訴法明定「訴訟上救助之裁定，依其所定者」發生效力（同法八三條一項），係明認一部救助</w:t>
      </w:r>
      <w:r>
        <w:rPr>
          <w:rStyle w:val="a6"/>
          <w:rFonts w:ascii="新細明體"/>
        </w:rPr>
        <w:footnoteReference w:id="8"/>
      </w:r>
      <w:r>
        <w:rPr>
          <w:rFonts w:ascii="新細明體" w:hint="eastAsia"/>
        </w:rPr>
        <w:t>。例如，於交通事故所生損害賠償訴訟，僅限定提訴之程序費而予救助，或因其他公害所引起之損害賠償訴訟，僅限定鑑定費用及鑑定證人所需費用等證據調查費用而予救助。</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因勝訴希望之判斷係隨各審級而變化，而且當事人之</w:t>
      </w:r>
      <w:r>
        <w:rPr>
          <w:rFonts w:ascii="新細明體" w:hint="eastAsia"/>
        </w:rPr>
        <w:t>資力亦可能隨時發生變動，故訴訟上之救助應依各審級賦予。是以，訴訟上救助之裁定，於每一審為之（日民訴法八二條二項）。某一審級所給予之救助，僅於該審級有效，其效力不</w:t>
      </w:r>
      <w:r>
        <w:rPr>
          <w:rFonts w:ascii="新細明體" w:hint="eastAsia"/>
        </w:rPr>
        <w:lastRenderedPageBreak/>
        <w:t>及於他審級。再者，訴訟上救助係對無資力當事人所賦予者，故其裁定具屬人（一身專屬）性，僅對受救助者發生效力（同法八三條二項）。救助裁定之效力不及於承受訴訟之人，如承受訴訟之繼承人、存續公司或新設公司有資力者，應命其支付暫行免付之費用（同法八三條三項）。</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訴訟救助僅暫行免付訴訟費用，已受救助者於終局判決被判命負擔訴訟費時，必須支付該暫行免付之費用</w:t>
      </w:r>
      <w:r>
        <w:rPr>
          <w:rFonts w:ascii="新細明體" w:hint="eastAsia"/>
        </w:rPr>
        <w:t>。如其因無資力而實際上不能收取，即成為國庫之負擔。於相對人被判命負擔訴訟費用時，國家、執行官、律師，得基於該訴訟費用之裁判，直接向其收取。在此情形，律師或執行官就其報酬或程序費，得代受救助者聲請必要訴訟費用等負擔額之確定及強制執行（日民訴法八五條）。惟受救助者償還裁判費用，是否須經訴訟救助之撤銷？關此，日本民訴訟未設規定，雖有論者認為，受救助者負擔訴訟費用時，救助裁定於終局判決確定時失其效力</w:t>
      </w:r>
      <w:r>
        <w:rPr>
          <w:rStyle w:val="a6"/>
          <w:rFonts w:ascii="新細明體"/>
        </w:rPr>
        <w:footnoteReference w:id="9"/>
      </w:r>
      <w:r>
        <w:rPr>
          <w:rFonts w:ascii="新細明體" w:hint="eastAsia"/>
        </w:rPr>
        <w:t>；但另有論者認為，從保障接受裁判權利之訴訟救助力制度旨趣而言，訴訟救助不因受救助事件終了而當然失其效力，法院應於受救</w:t>
      </w:r>
      <w:r>
        <w:rPr>
          <w:rFonts w:ascii="新細明體" w:hint="eastAsia"/>
        </w:rPr>
        <w:t>助者經判明有資力或事後回復資力之情形，始撤銷訴訟救助，而命支付已暫行免付之費用</w:t>
      </w:r>
      <w:r>
        <w:rPr>
          <w:rStyle w:val="a6"/>
          <w:rFonts w:ascii="新細明體"/>
        </w:rPr>
        <w:footnoteReference w:id="10"/>
      </w:r>
      <w:r>
        <w:rPr>
          <w:rFonts w:ascii="新細明體" w:hint="eastAsia"/>
        </w:rPr>
        <w:t>。</w:t>
      </w:r>
    </w:p>
    <w:p w:rsidR="00000000" w:rsidRDefault="002D1830">
      <w:pPr>
        <w:snapToGrid w:val="0"/>
        <w:spacing w:line="360" w:lineRule="auto"/>
        <w:ind w:firstLineChars="0" w:firstLine="0"/>
        <w:rPr>
          <w:rFonts w:ascii="新細明體"/>
        </w:rPr>
      </w:pPr>
      <w:r>
        <w:rPr>
          <w:rFonts w:ascii="新細明體" w:hint="eastAsia"/>
        </w:rPr>
        <w:t xml:space="preserve">    </w:t>
      </w:r>
      <w:r>
        <w:rPr>
          <w:rFonts w:ascii="新細明體" w:hint="eastAsia"/>
        </w:rPr>
        <w:t>由上述可知，訴訟救助制度使無資力支付訴訟必要經費者得暫行免付裁判費用等，而於其勝訴時，國家從被判命負擔訴訟費用之敗訴他造當事人收取該受救助勝訴當事人所應支付之費用，故其具有依此種繳納義務之暫免履行，以減輕無資力者之負擔，及依此種國家直接向確定負擔費用之他造收取暫免費用，以避免受救助者發生負擔之機能。但於受救助之無資力者敗訴時，仍必須負擔其暫行免付之裁判費用及他造支出而應由其負擔之費用。而且，訴訟救助之內容，僅限於應繳</w:t>
      </w:r>
      <w:r>
        <w:rPr>
          <w:rFonts w:ascii="新細明體" w:hint="eastAsia"/>
        </w:rPr>
        <w:t>納於法院之程序費等之暫免支付，而占訴訟必要費用大部分之律師報酬並未成為救助對象。此雖由於日本民事訴訟尚未採用律師強制代理及律師費用作為訴訟費用之一部而由敗訴者負擔等制度，但如一方有資力而委任律師，而無資力之他方不能委任律師，則其接受裁判權利仍難謂已受到實質保障。因此，作為貧困者之接受裁判權利保障之手段，訴訟救助制度仍有界限，與為達成同樣目的之法律扶助制度相互補充乃屬不可欠缺。</w:t>
      </w:r>
    </w:p>
    <w:p w:rsidR="00000000" w:rsidRDefault="002D1830">
      <w:pPr>
        <w:snapToGrid w:val="0"/>
        <w:spacing w:line="360" w:lineRule="auto"/>
        <w:ind w:firstLineChars="0" w:firstLine="0"/>
        <w:rPr>
          <w:rFonts w:ascii="新細明體"/>
        </w:rPr>
      </w:pPr>
    </w:p>
    <w:p w:rsidR="00000000" w:rsidRDefault="002D1830" w:rsidP="002D1830">
      <w:pPr>
        <w:numPr>
          <w:ilvl w:val="1"/>
          <w:numId w:val="2"/>
        </w:numPr>
        <w:snapToGrid w:val="0"/>
        <w:spacing w:line="360" w:lineRule="auto"/>
        <w:ind w:firstLineChars="0"/>
        <w:rPr>
          <w:rFonts w:ascii="新細明體" w:hint="eastAsia"/>
        </w:rPr>
      </w:pPr>
      <w:r>
        <w:rPr>
          <w:rFonts w:ascii="新細明體" w:hint="eastAsia"/>
        </w:rPr>
        <w:lastRenderedPageBreak/>
        <w:t>刑事訴訟之訴訟救助</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日本現行法之刑事裁判，強烈受美國法之影響，採取當事人（論爭、對抗）主義，被告居於無罪推定地位，被賦予就</w:t>
      </w:r>
      <w:r>
        <w:rPr>
          <w:rFonts w:ascii="新細明體" w:hint="eastAsia"/>
        </w:rPr>
        <w:t>檢察官之主張為儘可能挑戰、批判之機會，經過充分紛爭，法官認定檢察官之犯罪主張已舉證至逾合理可疑之程度，始下有罪判決。惟被告通常係法律外行人，不能充分展開防禦活動。因此，為使當事人主義之訴訟發揮機能，援助被告之法律專家即辯護人成為不可欠缺者</w:t>
      </w:r>
      <w:r>
        <w:rPr>
          <w:rStyle w:val="a6"/>
          <w:rFonts w:ascii="新細明體"/>
        </w:rPr>
        <w:footnoteReference w:id="11"/>
      </w:r>
      <w:r>
        <w:rPr>
          <w:rFonts w:ascii="新細明體" w:hint="eastAsia"/>
        </w:rPr>
        <w:t>。不過，委託律師須支付酬金，即使私選辯護人之委託權加以保障，此對不能支付辯護酬金之貧窮人而言，等於畫餅，而在實際狀況，刑事被告很多並無餘裕支付酬金。因此，並為貫徹法律上平等之旨趣，如被告自己不能委託，則由國家（法院或審判長）選任之。</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在日本之刑事訴訟上，國選辯護之</w:t>
      </w:r>
      <w:r>
        <w:rPr>
          <w:rFonts w:ascii="新細明體" w:hint="eastAsia"/>
        </w:rPr>
        <w:t>情形有下列三種</w:t>
      </w:r>
      <w:r>
        <w:rPr>
          <w:rStyle w:val="a6"/>
          <w:rFonts w:ascii="新細明體"/>
        </w:rPr>
        <w:footnoteReference w:id="12"/>
      </w:r>
      <w:r>
        <w:rPr>
          <w:rFonts w:ascii="新細明體" w:hint="eastAsia"/>
        </w:rPr>
        <w:t>：</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第一，被告請求之情形。基於憲法之要求（同法三七條三項），被告因貧困及其他事由不能選任辯護人時，法院應依其請求為之選任辯護人（日本刑訴法三六條）。因僅限於積極的請求並不合理，故法院應告知被告有選任請求權（同法七六條、七七條、二七二條），且應於提起公訴後，立即詢問題否請求，而要求其於一定期間內回答（日本刑訴規則一七八條）。通常所謂國選辯護係指此種情形。有上述國選辯護人，始真正實質上保障受辯護人援助之權利，故在憲法解釋上，依上述告知及查詢程序，僅於知悉上述情事而明確放棄請求權之情形，始</w:t>
      </w:r>
      <w:r>
        <w:rPr>
          <w:rFonts w:ascii="新細明體" w:hint="eastAsia"/>
        </w:rPr>
        <w:t>許不予選任。</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第二，法院依職權裁量之情形。被告係未成年人、年齡滿七十歲以上、聾或啞、心神喪失或精神耗弱或其他認必要時，法院依職權為被告選任辯護人（日本刑訴法三七條）。此種國選辯護，雖非基於憲法上要求，但亦不論被告之意思，而由法院裁量為之。此係辯論能力類型上較劣之情形，法院扮演監護角色之制度。</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第三，必要辯護之情形。此係強制辯護制度，於重大犯罪事件之情形，無辯護人不得進行審理。亦即，於審理死刑、無期徒刑或三年以上有期徒刑之事件時，無辯護人者，不得開庭。此種事件，未選任辯護人，或在公判期日，已選</w:t>
      </w:r>
      <w:r>
        <w:rPr>
          <w:rFonts w:ascii="新細明體" w:hint="eastAsia"/>
        </w:rPr>
        <w:t>任之辯護人未出庭，審判長應依職權選任辯護人（日本刑訴法二八九條一、二項）。此種辯護係對重大事件表示國家司法之公正性為目的，其與上述第一種情形不同，</w:t>
      </w:r>
      <w:r>
        <w:rPr>
          <w:rFonts w:ascii="新細明體" w:hint="eastAsia"/>
        </w:rPr>
        <w:lastRenderedPageBreak/>
        <w:t>被告不得放棄辯護權；與第二種情形亦不同，法院就選任與否並無裁量餘地。</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國選辯護人係從律師中選任之（日刑訴法三八條一項）。法院（審判長）從預先承諾擔任辯護人之名簿中為選任。該選任行為，無論學說或判例，均認其具裁判性質。原則上每一被告事件選任一名辯護人。被選任之律師無正當理由不得辭任國選辯護人（日律師法二四條）。關於此處之正當理由，例如辯護人因罹患疾病或長期旅</w:t>
      </w:r>
      <w:r>
        <w:rPr>
          <w:rFonts w:ascii="新細明體" w:hint="eastAsia"/>
        </w:rPr>
        <w:t>行，辯護人受到被告暴行、脅迫或顯著侮辱等情形。</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國選辯護人得請求旅費、餐宿費及報酬（日刑訴法三八條二項）。此等均係訴訟費用，可能成為被告之負擔，但依情形，亦得免除負擔或免除負擔裁判之執行（同法一八一條、五○○條、一八八條之二）。其中關於報酬額數，係法院所認相當額（日刑訴費用法八條二項）。惟該報酬與私選辯護人之報酬不能相比。在有辯護人之案件中，國選辯護人所占比率大於私選辯護人之比率</w:t>
      </w:r>
      <w:r>
        <w:rPr>
          <w:rStyle w:val="a6"/>
          <w:rFonts w:ascii="新細明體"/>
        </w:rPr>
        <w:footnoteReference w:id="13"/>
      </w:r>
      <w:r>
        <w:rPr>
          <w:rFonts w:ascii="新細明體" w:hint="eastAsia"/>
        </w:rPr>
        <w:t>。在日本之刑事訴訟上，國選辯護並非止於補充私選辯護之制度而已。但因國選辯護人之酬金過低，故有能力的律師均敬而遠之。國選辯</w:t>
      </w:r>
      <w:r>
        <w:rPr>
          <w:rFonts w:ascii="新細明體" w:hint="eastAsia"/>
        </w:rPr>
        <w:t>護制度變成立基於對律師職業之使命感及犧牲精神上。</w:t>
      </w:r>
      <w:r>
        <w:rPr>
          <w:rStyle w:val="a6"/>
          <w:rFonts w:ascii="新細明體"/>
        </w:rPr>
        <w:footnoteReference w:id="14"/>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日本憲法雖保障偵查中犯罪嫌疑人之選任辯護權（同法三四條前段），但其僅就刑事被告規定受國選辯護之權利（同法三七條三項後段），故在解釋上，犯罪嫌疑人並無國選辯護請求權。日本刑事訴訟法，固規定犯罪嫌疑人無論何時均得選任辯護人（同法三○條一項），而不問其身體有無受拘束，均賦予辯護人選任權，惟就偵查階段之國選辯護亦未加顧慮。然而，律師公會鑑於偵查階段辯護活動之重要性，採行值班律師制度。亦即，對於受逮捕、羈押之犯罪嫌疑人，律師公會迅速派遣其所屬律師，與該嫌疑人</w:t>
      </w:r>
      <w:r>
        <w:rPr>
          <w:rFonts w:ascii="新細明體" w:hint="eastAsia"/>
        </w:rPr>
        <w:t>接見。此制度於一九九○年由九州之部分律師公會開始採行，其後急速擴充至全國。值班律師之接見次數僅係一次，且被接見者不必支付酬金。惟其後，嫌疑人如有意願，即得選任接見律師為該事件之私選辯護人。此際，無資力之嫌疑人，可由法律扶助協會予以法律扶助。但在提起公訴後，通常轉換為國選辯護人</w:t>
      </w:r>
      <w:r>
        <w:rPr>
          <w:rStyle w:val="a6"/>
          <w:rFonts w:ascii="新細明體"/>
        </w:rPr>
        <w:footnoteReference w:id="15"/>
      </w:r>
      <w:r>
        <w:rPr>
          <w:rFonts w:ascii="新細明體" w:hint="eastAsia"/>
        </w:rPr>
        <w:t>。</w:t>
      </w:r>
    </w:p>
    <w:p w:rsidR="00000000" w:rsidRDefault="002D1830">
      <w:pPr>
        <w:snapToGrid w:val="0"/>
        <w:spacing w:line="360" w:lineRule="auto"/>
        <w:ind w:firstLineChars="0" w:firstLine="0"/>
        <w:rPr>
          <w:rFonts w:ascii="新細明體" w:hint="eastAsia"/>
        </w:rPr>
      </w:pPr>
    </w:p>
    <w:p w:rsidR="00000000" w:rsidRDefault="002D1830">
      <w:pPr>
        <w:snapToGrid w:val="0"/>
        <w:spacing w:line="360" w:lineRule="auto"/>
        <w:ind w:firstLineChars="0" w:firstLine="0"/>
        <w:rPr>
          <w:rFonts w:ascii="新細明體" w:hint="eastAsia"/>
        </w:rPr>
      </w:pPr>
      <w:r>
        <w:rPr>
          <w:rFonts w:ascii="新細明體" w:hint="eastAsia"/>
        </w:rPr>
        <w:t>參、民事法律扶助之新開展</w:t>
      </w:r>
    </w:p>
    <w:p w:rsidR="00000000" w:rsidRDefault="002D1830" w:rsidP="002D1830">
      <w:pPr>
        <w:numPr>
          <w:ilvl w:val="1"/>
          <w:numId w:val="3"/>
        </w:numPr>
        <w:snapToGrid w:val="0"/>
        <w:spacing w:line="360" w:lineRule="auto"/>
        <w:ind w:firstLineChars="0"/>
        <w:rPr>
          <w:rFonts w:ascii="新細明體" w:hint="eastAsia"/>
        </w:rPr>
      </w:pPr>
      <w:r>
        <w:rPr>
          <w:rFonts w:ascii="新細明體" w:hint="eastAsia"/>
        </w:rPr>
        <w:t>法律扶助之理念</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法律扶助制度具有憲法上根據。因為，憲法保障接受裁判之權利（同法三二條），係指於解決法的紛爭之際，任何人平等利用法院之權利不受到妨礙。然而，為受裁判，必須自行負擔訴訟所需費用。而且</w:t>
      </w:r>
      <w:r>
        <w:rPr>
          <w:rFonts w:ascii="新細明體" w:hint="eastAsia"/>
        </w:rPr>
        <w:t>，在權利關係複雜化之現代社會，真正有權利者為利用裁判實現其權利，很多情形需要高度之法律知識及訴訟技巧。於此情形，法律專家之律師提供協助即甚為重要。在現實上不能自行負擔此等裁判及律師所需費用者，事實上不能依裁判實現自己之權利，其接受裁判權利之保障終歸畫餅。因此，為實質保障接受裁判權利，對其援助權利實現所需之訴訟費用及律師費用即有必要。再者，因法律諮詢及裁判前階段之紛爭解決程序，在權利之實現上發揮很大作用，故於此等階段充實律師之援助，亦有助於比較實效保障接受裁判之權利。</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法律扶助制度係實質保障憲法所定接</w:t>
      </w:r>
      <w:r>
        <w:rPr>
          <w:rFonts w:ascii="新細明體" w:hint="eastAsia"/>
        </w:rPr>
        <w:t>受裁判權利之制度，該制度之整備、充實，亦符合憲法保障生存權（同法二五條）、個人之尊重、幸福追求權（同法一三條）、法律上平等（同法一四條）之旨趣。而且，該制度成為保障國民接近司法方案之重要一環，其充實係司法機能強化之重要基礎，促使司法制度順暢營運。再者，近代國家整備民事裁判制度者，亦係為禁止私人自力救濟，依法解決紛爭，以維持社會秩序。法律扶助制度之充實，自有助於促進依法實現權利，據以維持社會秩序。並且，在與社會保障制度之關係上，即使對資力困乏者，亦實質保障同等接受裁判之權利，此固係基於法治國家理念，亦係基於福</w:t>
      </w:r>
      <w:r>
        <w:rPr>
          <w:rFonts w:ascii="新細明體" w:hint="eastAsia"/>
        </w:rPr>
        <w:t>利國家理念，故法律扶助制度具有社會福利之一面，係對貧困者亦保障其接近裁判之社會保障制度的一環</w:t>
      </w:r>
      <w:r>
        <w:rPr>
          <w:rStyle w:val="a6"/>
          <w:rFonts w:ascii="新細明體"/>
        </w:rPr>
        <w:footnoteReference w:id="16"/>
      </w:r>
      <w:r>
        <w:rPr>
          <w:rFonts w:ascii="新細明體" w:hint="eastAsia"/>
        </w:rPr>
        <w:t>。</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要之，民事法律扶助事業，對資力困乏者，提供裁判代理費用等之墊付及實施法律諮詢等之授助，具有實質保障接受裁判權利之意義。而且，法律專家提供法律服務，既有助於司法程序上審理之充實及迅速化，亦使國民容易接近司法，故同事業可定位為助益於司法制度充實之公共性高者，謀求其整備及發展，資以</w:t>
      </w:r>
      <w:r>
        <w:rPr>
          <w:rFonts w:ascii="新細明體" w:hint="eastAsia"/>
        </w:rPr>
        <w:lastRenderedPageBreak/>
        <w:t>實現國民容易利用之司法制度。民事法律扶助法即係為此目的而制定（同法一條）。惟從受裁判權利之保障，不能直接導出受民事法律扶助之具體的</w:t>
      </w:r>
      <w:r>
        <w:rPr>
          <w:rFonts w:ascii="新細明體" w:hint="eastAsia"/>
        </w:rPr>
        <w:t>受給權，立法規定受給權，尚須與財政負擔直接關連的國民之理解、共識，故該法之制定，仍未承認至受給權之保護</w:t>
      </w:r>
      <w:r>
        <w:rPr>
          <w:rStyle w:val="a6"/>
          <w:rFonts w:ascii="新細明體"/>
        </w:rPr>
        <w:footnoteReference w:id="17"/>
      </w:r>
      <w:r>
        <w:rPr>
          <w:rFonts w:ascii="新細明體" w:hint="eastAsia"/>
        </w:rPr>
        <w:t>。</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民事法律扶助法之制定具有劃時代之意義者是，明示向來不明確的國家對於法律扶助事業上之責任及義務。亦即規定，國家為確保民事法律扶助事業之適正營運，謀求其健全之發展，應努力採取民事法律扶助事業之統一營運體制整備及全國等質遂行所必要之措施，並採行使其公眾周知之必要處置（同法三條一項）。此係要求國家確立其得主體的、主導的參與之體制，以充實統一營運體制，而確保全國均質及有效率之服務，並且採取盡其責任義務所</w:t>
      </w:r>
      <w:r>
        <w:rPr>
          <w:rFonts w:ascii="新細明體" w:hint="eastAsia"/>
        </w:rPr>
        <w:t>應付之財政上負擔，同時對營運主體進行適正之藍督，以充實發展立於國民觀點之事業。作為上述必要措施，同法並明定指定法人之指定、對該人之補助金支出、指導、監督等（同法五條、一一條、一四條至一六條）。就補助金之支出而言，國家於預算之範圍內，對於指定法人，得補助民事法律扶助事業所需費用之一部。此項規定，賦予從來交付扶助事業補助金以法律上根據，得藉以排除擴充扶助預算之障礙。</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再者，民事法律扶助事業有助於區域社會上住民福利之提高，故地方公共團體對其區域內所行民事法律扶助事業得為必要之協力（同法三條二項）。此項協力</w:t>
      </w:r>
      <w:r>
        <w:rPr>
          <w:rFonts w:ascii="新細明體" w:hint="eastAsia"/>
        </w:rPr>
        <w:t>抱括對其區域住民介紹指定法人、便宜提供指定法人實施法律諮詢之場所、交付補助金、捐助金等有助於該事業充實、發展之活動</w:t>
      </w:r>
      <w:r>
        <w:rPr>
          <w:rStyle w:val="a6"/>
          <w:rFonts w:ascii="新細明體"/>
        </w:rPr>
        <w:footnoteReference w:id="18"/>
      </w:r>
      <w:r>
        <w:rPr>
          <w:rFonts w:ascii="新細明體" w:hint="eastAsia"/>
        </w:rPr>
        <w:t>。</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律師以擁護基本人權，實現社會正義為使命（日律師法一條一項），係法律事務之獨占性提供者（同法七二條），擔當司法之重要一翼。並且，律師公會之章程應明定有關對無資力者為法律扶助之規定（同法三三條二項九款）。基於此等規定，律師、律師公會就法律扶助應有積極的任務，並自覺其係自己之責任義務。據此，民事法律扶助法為改革法律扶助制度，除課國家上述責任義務外，並要求律師、律師公會於改革後之法律扶助制</w:t>
      </w:r>
      <w:r>
        <w:rPr>
          <w:rFonts w:ascii="新細明體" w:hint="eastAsia"/>
        </w:rPr>
        <w:t>度盡其自己之責任、義務，積極參與民事法律扶助制度之營運，對國民平等提供法律服務，故規定律師公會就民事法</w:t>
      </w:r>
      <w:r>
        <w:rPr>
          <w:rFonts w:ascii="新細明體" w:hint="eastAsia"/>
        </w:rPr>
        <w:lastRenderedPageBreak/>
        <w:t>律扶助事業之實施，應謀求充實會員律師之協力體制等，努力為該事業適正營運之確保及健全發展所必要支援（同法四條一項）；律師鑑於其職責，應努力為民事法律扶助事業之實施作必要協力（同法四條二項）。此等規定，明確從來定位不明的律師、律師公會之責任、義務。所謂充實律師之協力體制，係指安定、確保受任法律扶助事件之律師、審查扶助申請之律師等實施民事法律扶助事業所必要因應律師之協力體制；必要之支援則意味，以基於此種協力體制之</w:t>
      </w:r>
      <w:r>
        <w:rPr>
          <w:rFonts w:ascii="新細明體" w:hint="eastAsia"/>
        </w:rPr>
        <w:t>協力為核心，有關提供實施民事法律扶助事業之場所、設施、交付補助金等</w:t>
      </w:r>
      <w:r>
        <w:rPr>
          <w:rStyle w:val="a6"/>
          <w:rFonts w:ascii="新細明體"/>
        </w:rPr>
        <w:footnoteReference w:id="19"/>
      </w:r>
      <w:r>
        <w:rPr>
          <w:rFonts w:ascii="新細明體" w:hint="eastAsia"/>
        </w:rPr>
        <w:t>。</w:t>
      </w:r>
    </w:p>
    <w:p w:rsidR="00000000" w:rsidRDefault="002D1830">
      <w:pPr>
        <w:snapToGrid w:val="0"/>
        <w:spacing w:line="360" w:lineRule="auto"/>
        <w:ind w:firstLineChars="0" w:firstLine="0"/>
        <w:rPr>
          <w:rFonts w:ascii="新細明體"/>
        </w:rPr>
      </w:pPr>
      <w:r>
        <w:rPr>
          <w:rFonts w:ascii="新細明體" w:hint="eastAsia"/>
        </w:rPr>
        <w:t xml:space="preserve">    </w:t>
      </w:r>
      <w:r>
        <w:rPr>
          <w:rFonts w:ascii="新細明體" w:hint="eastAsia"/>
        </w:rPr>
        <w:t>關於民事法律扶助事業之營運主體，民事法律扶助法採行指定法人制度，由法務大臣指定具備一定要件之法人，且全國僅限於指定一法人（同法五條）。此係根據行政改革之理念，利用民間活力，以適切而確實遂行民事法律扶助事業。而且全國僅限於指定一法人，係為避免於複數法人情形，不能確保統一的營運體制及全國均質的事業之遂行，並就國家支出之補助金不能為有效率運用。為此，同法課予指定法人下列義務：努力實現民事法律扶助事業統一營運體制之充實及全國均質之遂行，</w:t>
      </w:r>
      <w:r>
        <w:rPr>
          <w:rFonts w:ascii="新細明體" w:hint="eastAsia"/>
        </w:rPr>
        <w:t>並必須顧慮國民能簡易接受法律諮詢等民事法律扶助事業容易被國民利用（同法六條）；並規定法務大臣為下述之監督：業務章程之認可（同法七條）、事業休廢之許可（同法九條）、幹部選任、解任之認可、解任命令（同法一二條）、監督命令（同法一五條）、指定法人指定之取消（同法一六條）。法務大臣於二○○○年十月指法律扶助協會為實施民事法律扶助事業之公益法人。據此，法律扶助協會充實其從來之事業，並實施新援助。</w:t>
      </w:r>
    </w:p>
    <w:p w:rsidR="00000000" w:rsidRDefault="002D1830">
      <w:pPr>
        <w:snapToGrid w:val="0"/>
        <w:spacing w:line="360" w:lineRule="auto"/>
        <w:ind w:firstLineChars="0" w:firstLine="0"/>
        <w:rPr>
          <w:rFonts w:ascii="新細明體"/>
        </w:rPr>
      </w:pPr>
    </w:p>
    <w:p w:rsidR="00000000" w:rsidRDefault="002D1830" w:rsidP="002D1830">
      <w:pPr>
        <w:numPr>
          <w:ilvl w:val="1"/>
          <w:numId w:val="3"/>
        </w:numPr>
        <w:snapToGrid w:val="0"/>
        <w:spacing w:line="360" w:lineRule="auto"/>
        <w:ind w:firstLineChars="0"/>
        <w:rPr>
          <w:rFonts w:ascii="新細明體"/>
        </w:rPr>
      </w:pPr>
      <w:r>
        <w:rPr>
          <w:rFonts w:ascii="新細明體" w:hint="eastAsia"/>
        </w:rPr>
        <w:t>法律扶助之事業</w:t>
      </w:r>
    </w:p>
    <w:p w:rsidR="00000000" w:rsidRDefault="002D1830">
      <w:pPr>
        <w:snapToGrid w:val="0"/>
        <w:spacing w:line="360" w:lineRule="auto"/>
        <w:ind w:firstLineChars="0" w:firstLine="0"/>
        <w:rPr>
          <w:rFonts w:ascii="新細明體" w:hint="eastAsia"/>
        </w:rPr>
      </w:pPr>
      <w:r>
        <w:rPr>
          <w:rFonts w:ascii="新細明體"/>
        </w:rPr>
        <w:t xml:space="preserve">    </w:t>
      </w:r>
      <w:r>
        <w:rPr>
          <w:rFonts w:ascii="新細明體" w:hint="eastAsia"/>
        </w:rPr>
        <w:t>民事法律扶助法所定事業服務內容限於下列幾種：</w:t>
      </w:r>
      <w:r>
        <w:rPr>
          <w:rFonts w:ascii="新細明體" w:hint="eastAsia"/>
        </w:rPr>
        <w:sym w:font="Wingdings 2" w:char="F06A"/>
      </w:r>
      <w:r>
        <w:rPr>
          <w:rFonts w:ascii="新細明體" w:hint="eastAsia"/>
        </w:rPr>
        <w:t>法院之民事事件、家事事件或行政事件等程序之代理，包</w:t>
      </w:r>
      <w:r>
        <w:rPr>
          <w:rFonts w:ascii="新細明體" w:hint="eastAsia"/>
        </w:rPr>
        <w:t>含於該等程序前有特別必要之和解交涉之代理；</w:t>
      </w:r>
      <w:r>
        <w:rPr>
          <w:rFonts w:ascii="新細明體" w:hint="eastAsia"/>
        </w:rPr>
        <w:sym w:font="Wingdings 2" w:char="F06B"/>
      </w:r>
      <w:r>
        <w:rPr>
          <w:rFonts w:ascii="新細明體" w:hint="eastAsia"/>
        </w:rPr>
        <w:t>上述程序所必要書類之作成；</w:t>
      </w:r>
      <w:r>
        <w:rPr>
          <w:rFonts w:ascii="新細明體" w:hint="eastAsia"/>
        </w:rPr>
        <w:sym w:font="Wingdings 2" w:char="F06C"/>
      </w:r>
      <w:r>
        <w:rPr>
          <w:rFonts w:ascii="新細明體" w:hint="eastAsia"/>
        </w:rPr>
        <w:t>法律諮詢；</w:t>
      </w:r>
      <w:r>
        <w:rPr>
          <w:rFonts w:ascii="新細明體" w:hint="eastAsia"/>
        </w:rPr>
        <w:sym w:font="Wingdings 2" w:char="F06D"/>
      </w:r>
      <w:r>
        <w:rPr>
          <w:rFonts w:ascii="新細明體" w:hint="eastAsia"/>
        </w:rPr>
        <w:t>上述各種業務之之附帶業務（同法二條），就</w:t>
      </w:r>
      <w:r>
        <w:rPr>
          <w:rFonts w:ascii="新細明體" w:hint="eastAsia"/>
        </w:rPr>
        <w:sym w:font="Wingdings 2" w:char="F06A"/>
      </w:r>
      <w:r>
        <w:rPr>
          <w:rFonts w:ascii="新細明體" w:hint="eastAsia"/>
        </w:rPr>
        <w:sym w:font="Wingdings 2" w:char="F06B"/>
      </w:r>
      <w:r>
        <w:rPr>
          <w:rFonts w:ascii="新細明體" w:hint="eastAsia"/>
        </w:rPr>
        <w:t>而言，包括裁判援助中之代理援助（即進行訴訟代理）及指導援助（當事人本人隊行訴訟，以書類作成等代理以外方法援助）。其中</w:t>
      </w:r>
      <w:r>
        <w:rPr>
          <w:rFonts w:ascii="新細明體" w:hint="eastAsia"/>
        </w:rPr>
        <w:sym w:font="Wingdings 2" w:char="F06A"/>
      </w:r>
      <w:r>
        <w:rPr>
          <w:rFonts w:ascii="新細明體" w:hint="eastAsia"/>
        </w:rPr>
        <w:t>包括裁判前援助，但僅限於和解交涉之援助，而未擴及其裁判外紛爭處理程序（</w:t>
      </w:r>
      <w:r>
        <w:rPr>
          <w:rFonts w:ascii="新細明體"/>
        </w:rPr>
        <w:t>ADR</w:t>
      </w:r>
      <w:r>
        <w:rPr>
          <w:rFonts w:ascii="新細明體" w:hint="eastAsia"/>
        </w:rPr>
        <w:t>）之援助</w:t>
      </w:r>
      <w:r>
        <w:rPr>
          <w:rStyle w:val="a6"/>
          <w:rFonts w:ascii="新細明體"/>
        </w:rPr>
        <w:footnoteReference w:id="20"/>
      </w:r>
      <w:r>
        <w:rPr>
          <w:rFonts w:ascii="新細明體" w:hint="eastAsia"/>
        </w:rPr>
        <w:t>。由此（</w:t>
      </w:r>
      <w:r>
        <w:rPr>
          <w:rFonts w:ascii="新細明體" w:hint="eastAsia"/>
        </w:rPr>
        <w:sym w:font="Wingdings 2" w:char="F06A"/>
      </w:r>
      <w:r>
        <w:rPr>
          <w:rFonts w:ascii="新細明體" w:hint="eastAsia"/>
        </w:rPr>
        <w:sym w:font="Wingdings 2" w:char="F06B"/>
      </w:r>
      <w:r>
        <w:rPr>
          <w:rFonts w:ascii="新細明體" w:hint="eastAsia"/>
        </w:rPr>
        <w:t>）可知，民事法律扶助事業以裁判援助為中心，</w:t>
      </w:r>
      <w:r>
        <w:rPr>
          <w:rFonts w:ascii="新細明體" w:hint="eastAsia"/>
        </w:rPr>
        <w:lastRenderedPageBreak/>
        <w:t>究為代理援助或指導援助，由國民選擇。因在上述裁判程序上，為實現權利，律師之助力固屬重要，但實有一些事件（如小額事件），如作成應</w:t>
      </w:r>
      <w:r>
        <w:rPr>
          <w:rFonts w:ascii="新細明體" w:hint="eastAsia"/>
        </w:rPr>
        <w:t>提出於法院之書類（如訴狀、答辯狀、準備書狀、證據保全聲請書、假扣押聲請書），即使當事人本人亦能為訴訟之準備或遂行，而且，如後所述，法律扶助利用者將來需償還代墊費用，故提供廣幅之選擇月支，以資當事人之便利及費用之低廉。至於和解交涉之援助，則於認由代理人依此得迅速而有效率實現權利之可能性高等情形，始採取裁判前和解交涉之方式，以早期解決紛爭，並使費用低廉化。</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法律專家實施適切之法律諮詢，可於紛爭之早期階段即賦予正確的法律知識、判斷，據此，得謀求紛爭於深刻、擴大化前適切解決，或防止無用之訴訟提起，進而降低紛</w:t>
      </w:r>
      <w:r>
        <w:rPr>
          <w:rFonts w:ascii="新細明體" w:hint="eastAsia"/>
        </w:rPr>
        <w:t>爭解決制度全體之成本。再者，於全國整備法律扶助之法律諮詢體制，得充實利用者需要裁判援助等之接近網，而適切迎合國民之需求。因此，充實法律扶助之法律諮詢，有助於早期實現權利，並使接受裁判權利比較實效化。上述</w:t>
      </w:r>
      <w:r>
        <w:rPr>
          <w:rFonts w:ascii="新細明體" w:hint="eastAsia"/>
        </w:rPr>
        <w:sym w:font="Wingdings 2" w:char="F06C"/>
      </w:r>
      <w:r>
        <w:rPr>
          <w:rFonts w:ascii="新細明體" w:hint="eastAsia"/>
        </w:rPr>
        <w:t>之援助，即係為發揮此等機能，使紛爭當事人得依該援助所提供之資訊，判斷得否實現自己之權利，宜否循裁判程序解決紛爭。法律諮詢具有朝向民事裁判等程序窗口之機能，而成為與該等程序利用不可分之一體關係，且成為簡易，容易解決紛爭之端緒，減低紛爭解決制度全體之社會成本。向來，法律扶助之申請及法律諮詢，非至法律扶助協會各支</w:t>
      </w:r>
      <w:r>
        <w:rPr>
          <w:rFonts w:ascii="新細明體" w:hint="eastAsia"/>
        </w:rPr>
        <w:t>部之事務所不得為之，在新制度之下，得在已預先於各支部登錄律師之法律事務所申請法律扶助，且於符合資力基準要件時，即受免費之法律諮詢。</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裁判援助、裁判前援助及法律諮詢以外之業務，例如，在行裁判代理之案件，法院發提供擔保命令，為遂行有效之裁判代理，代當事人本人提供擔保之業務；或民事訴訟上之裁判費，係不問代理人之有無，當事人負有義務繳納於法院之費用，並非隨伴代理人等事務處理所必要者。凡此等費用之代墊，均係上述</w:t>
      </w:r>
      <w:r>
        <w:rPr>
          <w:rFonts w:ascii="新細明體" w:hint="eastAsia"/>
        </w:rPr>
        <w:sym w:font="Wingdings 2" w:char="F06D"/>
      </w:r>
      <w:r>
        <w:rPr>
          <w:rFonts w:ascii="新細明體" w:hint="eastAsia"/>
        </w:rPr>
        <w:t>之附帶業務。</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民事法律扶助法所定之對象事件，包含法院之民事事件、家事事件及行政事件（同法二</w:t>
      </w:r>
      <w:r>
        <w:rPr>
          <w:rFonts w:ascii="新細明體" w:hint="eastAsia"/>
        </w:rPr>
        <w:t>條），而不包括刑事事件及少年事件。民事事件，除狹義之民事訴訟事件外，包括於法院進行之民事保全、民事執行、非訟、調解。家事事件包括家事調解、家事審判。行政事件僅指行政訴訟，而不包含不服審查等行政訴訟前置</w:t>
      </w:r>
      <w:r>
        <w:rPr>
          <w:rFonts w:ascii="新細明體" w:hint="eastAsia"/>
        </w:rPr>
        <w:lastRenderedPageBreak/>
        <w:t>程序，因對行政處分聲明不服之審查程序（訴願程序）係行政機關就行政行為之正當與否及適法性為再審查之程序，並非法院民事裁判等程序之準備及遂行，且不適合於和解，如於最終謀求裁判解決之提訴階段予以援助，即已實質保障接受裁判之權利。此乃鑑於行政程序係於國家參與下所進行程序，其程序本身應簡易化，即使當事人本人亦得遂行該程序</w:t>
      </w:r>
      <w:r>
        <w:rPr>
          <w:rFonts w:ascii="新細明體" w:hint="eastAsia"/>
        </w:rPr>
        <w:t>，以減輕其費用負擔</w:t>
      </w:r>
      <w:r>
        <w:rPr>
          <w:rStyle w:val="a6"/>
          <w:rFonts w:ascii="新細明體"/>
        </w:rPr>
        <w:footnoteReference w:id="21"/>
      </w:r>
      <w:r>
        <w:rPr>
          <w:rFonts w:ascii="新細明體" w:hint="eastAsia"/>
        </w:rPr>
        <w:t>。刑事事件中，關於刑事訴訟事件雖有國選辯護，但偵查事件則無，仍依律師公會之值班律師制度對應。故在民事法律扶助法之下，刑事事件及少年事件之辯護及輔佐援助，仍屬法律扶助協會之自主事業，未受國家經費之扶助。</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關於法律扶助之申請人及申請要件，民事法律扶助法明定：無資力支付為實現自己權利之準備及隊行所必要費用之國民或於日本有住所而適法居留者（以下稱國民等），或因其支付對生活發生顯著障礙之國民等（同法二條）。就得申請之人而言，不限於日本國民，在日本有住所而適法居留之外國人亦得為之，但不包括法</w:t>
      </w:r>
      <w:r>
        <w:rPr>
          <w:rFonts w:ascii="新細明體" w:hint="eastAsia"/>
        </w:rPr>
        <w:t>人。日本之民事法律扶助事業，向來均對無資力者進行裁判代理等之援助，且近年社會經濟情勢變遷，個人需要扶助增加，故法以個人為對象而謀求制度之整備。關於對中小企業等之法律扶助，應於何種理由、要件下為援助；對法人之法律扶助，牽涉事業經費之支援，從產業政策觀點來看，均仍待檢討。至於對外國人之法律扶助，因在有限財源下援助無資力者，具有社會福利之側面，故限定於應與國民同樣處理者，即以日本為生活之根據地，而適法居留者，始予扶助</w:t>
      </w:r>
      <w:r>
        <w:rPr>
          <w:rStyle w:val="a6"/>
          <w:rFonts w:ascii="新細明體"/>
        </w:rPr>
        <w:footnoteReference w:id="22"/>
      </w:r>
      <w:r>
        <w:rPr>
          <w:rFonts w:ascii="新細明體" w:hint="eastAsia"/>
        </w:rPr>
        <w:t>。</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就扶助要件而言，原來法律扶助協會之扶助要件，依法律扶助事業費補助會交付要領規定，須具</w:t>
      </w:r>
      <w:r>
        <w:rPr>
          <w:rFonts w:ascii="新細明體" w:hint="eastAsia"/>
        </w:rPr>
        <w:t>備</w:t>
      </w:r>
      <w:r>
        <w:rPr>
          <w:rFonts w:ascii="新細明體" w:hint="eastAsia"/>
        </w:rPr>
        <w:sym w:font="Wingdings 2" w:char="F06A"/>
      </w:r>
      <w:r>
        <w:rPr>
          <w:rFonts w:ascii="新細明體" w:hint="eastAsia"/>
        </w:rPr>
        <w:t>無資力、</w:t>
      </w:r>
      <w:r>
        <w:rPr>
          <w:rFonts w:ascii="新細明體" w:hint="eastAsia"/>
        </w:rPr>
        <w:sym w:font="Wingdings 2" w:char="F06B"/>
      </w:r>
      <w:r>
        <w:rPr>
          <w:rFonts w:ascii="新細明體" w:hint="eastAsia"/>
        </w:rPr>
        <w:t>有勝訴之望或受特定律師繼續援助之必要性、</w:t>
      </w:r>
      <w:r>
        <w:rPr>
          <w:rFonts w:ascii="新細明體" w:hint="eastAsia"/>
        </w:rPr>
        <w:sym w:font="Wingdings 2" w:char="F06C"/>
      </w:r>
      <w:r>
        <w:rPr>
          <w:rFonts w:ascii="新細明體" w:hint="eastAsia"/>
        </w:rPr>
        <w:t>適合扶助之旨趣。民事法律扶助法就</w:t>
      </w:r>
      <w:r>
        <w:rPr>
          <w:rFonts w:ascii="新細明體" w:hint="eastAsia"/>
        </w:rPr>
        <w:sym w:font="Wingdings 2" w:char="F06A"/>
      </w:r>
      <w:r>
        <w:rPr>
          <w:rFonts w:ascii="新細明體" w:hint="eastAsia"/>
        </w:rPr>
        <w:t>資力要件，與訴訟救助之資力要件為相同規定，即須無資力支付其權利實現之準備及遂行所必要費用或因該支付對生活發生顯著障礙，將來如擴大扶助，即可吸收訴訟救助。具體資力之設定，因須根據國民之生活水準、國家之財政情事等，而得對現實之多數案件為全國等質扶助，故應考慮生活保護費支給額、一般工作國民之所得水準、物價水準之區域差別等各種情事，依類型而詳細規定，故民事法律扶助法明定由指定法人依所累積之資訊將其具體定於業務章程，再由法務大臣</w:t>
      </w:r>
      <w:r>
        <w:rPr>
          <w:rFonts w:ascii="新細明體" w:hint="eastAsia"/>
        </w:rPr>
        <w:t>認可，以判斷是否符合法之旨趣（同法七條）。就關於上述</w:t>
      </w:r>
      <w:r>
        <w:rPr>
          <w:rFonts w:ascii="新細明體" w:hint="eastAsia"/>
        </w:rPr>
        <w:sym w:font="Wingdings 2" w:char="F06B"/>
      </w:r>
      <w:r>
        <w:rPr>
          <w:rFonts w:ascii="新細明體" w:hint="eastAsia"/>
        </w:rPr>
        <w:sym w:font="Wingdings 2" w:char="F06C"/>
      </w:r>
      <w:r>
        <w:rPr>
          <w:rFonts w:ascii="新細明體" w:hint="eastAsia"/>
        </w:rPr>
        <w:t>之要件，同法所定「為實現自己之權利」，即將其</w:t>
      </w:r>
      <w:r>
        <w:rPr>
          <w:rFonts w:ascii="新細明體" w:hint="eastAsia"/>
        </w:rPr>
        <w:lastRenderedPageBreak/>
        <w:t>等含蓋在內，以防止無勝訴之望者及濫用權利者利用民事法律扶助事業。</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關於法律扶助制度利用者之負擔，民事法律扶助法原則上係採行償還制，而非給付制，此由該法明定扶助事業之業務為「實費之墊付」（同法二條一、二款），及指定法人業務章程之必要記載事項包括「有關償還之事項」（同法七條二項）即明</w:t>
      </w:r>
      <w:r>
        <w:rPr>
          <w:rStyle w:val="a6"/>
          <w:rFonts w:ascii="新細明體"/>
        </w:rPr>
        <w:footnoteReference w:id="23"/>
      </w:r>
      <w:r>
        <w:rPr>
          <w:rFonts w:ascii="新細明體" w:hint="eastAsia"/>
        </w:rPr>
        <w:t>。因為，在日本，於民事裁判等上，未必應選任律師代理，且訴訟費用不包括律師費用，而由敗訴者負擔，故律師費用原則上由各當事人負</w:t>
      </w:r>
      <w:r>
        <w:rPr>
          <w:rFonts w:ascii="新細明體" w:hint="eastAsia"/>
        </w:rPr>
        <w:t>擔。於此種制度下，如採用以給付為基本之制度，則於受扶助者勝訴而未得任財產上利益之情形，勝訴者之律師費用，並不是由敗訴者，而係納稅人之國民負擔。此項結果於理論難予正當化，且不能得到納稅者之理解。墊付係基於實施民事法律扶助事業之指定法人與受扶助者及受任律師三者間之有關墊付及委任之混合契約行之。因為係墊付制度，故不徵收利息，但受援助者不依該契約所定償還日期償還時，不妨對其請求遲延損害金</w:t>
      </w:r>
      <w:r>
        <w:rPr>
          <w:rStyle w:val="a6"/>
          <w:rFonts w:ascii="新細明體"/>
        </w:rPr>
        <w:footnoteReference w:id="24"/>
      </w:r>
      <w:r>
        <w:rPr>
          <w:rFonts w:ascii="新細明體" w:hint="eastAsia"/>
        </w:rPr>
        <w:t>。不過，對於生活保護受給者一律要求償還存有問題，宜適正及迅速運用償還猶豫（暫行免付）及償還免除等制度。然而，關於法律諮詢之扶助，</w:t>
      </w:r>
      <w:r>
        <w:rPr>
          <w:rFonts w:ascii="新細明體" w:hint="eastAsia"/>
        </w:rPr>
        <w:t>民事法律扶助法未明定為費用之墊付業務（同法二條三款）。此係將其定為收費或不收費，於收費時從利用者徵收何程度之金錢，均委由實施民事法律扶助事業之指定法人自行決定。因法律諮詢如定為收費，將使國民等遠離司法，故原則上應考慮為免費。經指定後之法律扶助協會，就法律諮詢之法律協助已採行免費服務，以發揮其應有機能。</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依民事法律扶助法規定，裁判援助中之代理援助、裁判前援助及法律諮詢，固由律師擔任（同法二條一款、三款），但裁判援助中之指導援助，則不以律師擔任為限，司法士亦得為之，此等均係以受委託或囑託作成提出於法院之</w:t>
      </w:r>
      <w:r>
        <w:rPr>
          <w:rFonts w:ascii="新細明體" w:hint="eastAsia"/>
        </w:rPr>
        <w:t>書類為業者（同法二條二款）。於律師擔任法律援助之情形，究係由誰為之？亦即，法律服務之提供方法為何，法全面委諸指定法人之業務章程（同法七條二項）。在日本，基本上採取開業律師制，由一般之開業律師擔任。此有二種方式，其一為名簿方式，於律師公會所作成名簿上登載之律師依序順次受任；其二為攜入方式，於預定受任之律師申請扶助時，由該律師擔任。關於法律諮詢之擔任者，係預先於指定法人為登錄之律師。登錄律師於其法律事務所標示指定法人所發之標章，且於該事務所適時進行法律諮詢服務。</w:t>
      </w:r>
    </w:p>
    <w:p w:rsidR="00000000" w:rsidRDefault="002D1830">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關於民事法律扶助事所墊付之報酬，即提供法</w:t>
      </w:r>
      <w:r>
        <w:rPr>
          <w:rFonts w:ascii="新細明體" w:hint="eastAsia"/>
        </w:rPr>
        <w:t>律援助者之報酬基準，民事法律扶助法委諸指定法人之業務章程規定。扶助之預算一定，報酬額越高，其所能扶助之件數越少。而且，在償還制之下，該報酬最後仍歸無充分資力之利用者負擔。然而，亦應注意確保律師等適正提供法律服務之水準，執酬過於低廉，受任律師等受限定，所提供之服務品質即下降。故同法特別規定該報酬應為考慮廣泛援助國民等之相當額（同法七條二項）。於決定報酬基準之際，應考慮上述各點，而於其係一種公共費用之認識下，依客觀透明方法，給予法律事務所適正營運下之適當利潤。</w:t>
      </w:r>
    </w:p>
    <w:p w:rsidR="00000000" w:rsidRDefault="002D1830">
      <w:pPr>
        <w:snapToGrid w:val="0"/>
        <w:spacing w:line="360" w:lineRule="auto"/>
        <w:ind w:firstLineChars="0" w:firstLine="0"/>
        <w:rPr>
          <w:rFonts w:ascii="新細明體" w:hint="eastAsia"/>
        </w:rPr>
      </w:pPr>
      <w:r>
        <w:rPr>
          <w:rFonts w:ascii="新細明體" w:hint="eastAsia"/>
        </w:rPr>
        <w:t xml:space="preserve">　　關於法律扶助之申請及其審查方法，民事法律扶助法</w:t>
      </w:r>
      <w:r>
        <w:rPr>
          <w:rFonts w:ascii="新細明體" w:hint="eastAsia"/>
        </w:rPr>
        <w:t>亦全面委諸指定法人之業務章程規定。就此，應活用法律諮詢登錄律師，擴大申請之窗口，減少審查合議體之成員，及促進依書面審查程序之合理化。向來，援助申請須向每一地方法院管轄區域所設置之法律扶助協會支部為之，且各該支部審查委員會之審查由多數人依合議行之，每月開會次數少，並須得（於每高等法院管轄區域所設置之）地區協議會之審查委員會承認始可，故從申請至作成決定，須經相當時間，不能迅速因應。在新制度之下，僅支部審查即可，且其構成人數少，基本上能迅速、機動為決定。據此，縮短從申請至決定之期間，對事件之增加可為適切之因應。再</w:t>
      </w:r>
      <w:r>
        <w:rPr>
          <w:rFonts w:ascii="新細明體" w:hint="eastAsia"/>
        </w:rPr>
        <w:t>者，對於支部審查委員會之決定有不服者，以前係向管轄該支部之地區協議會審查委員會聲明不服，在新制度之下，則直接向支部長聲明不服。該不服聲明，由支部之不服聲明委員會為審查。對不服聲明委員會之決定有不服者，亦得向本部審查委員會聲明再審查。本部審查委員會所為審查結果，應附理由通知聲明人及支部。</w:t>
      </w:r>
    </w:p>
    <w:p w:rsidR="00000000" w:rsidRDefault="002D1830">
      <w:pPr>
        <w:snapToGrid w:val="0"/>
        <w:spacing w:line="360" w:lineRule="auto"/>
        <w:ind w:firstLineChars="0" w:firstLine="0"/>
        <w:rPr>
          <w:rFonts w:ascii="新細明體" w:hint="eastAsia"/>
        </w:rPr>
      </w:pPr>
    </w:p>
    <w:p w:rsidR="00000000" w:rsidRDefault="002D1830">
      <w:pPr>
        <w:snapToGrid w:val="0"/>
        <w:spacing w:line="360" w:lineRule="auto"/>
        <w:ind w:firstLineChars="0" w:firstLine="0"/>
        <w:rPr>
          <w:rFonts w:ascii="新細明體" w:hint="eastAsia"/>
        </w:rPr>
      </w:pPr>
      <w:r>
        <w:rPr>
          <w:rFonts w:ascii="新細明體" w:hint="eastAsia"/>
        </w:rPr>
        <w:t>肆、結語</w:t>
      </w:r>
    </w:p>
    <w:p w:rsidR="00000000" w:rsidRDefault="002D1830">
      <w:pPr>
        <w:tabs>
          <w:tab w:val="num" w:pos="1280"/>
        </w:tabs>
        <w:spacing w:line="360" w:lineRule="auto"/>
        <w:ind w:left="1280" w:firstLineChars="0" w:hanging="600"/>
        <w:rPr>
          <w:rFonts w:ascii="新細明體" w:hint="eastAsia"/>
        </w:rPr>
      </w:pPr>
      <w:r>
        <w:rPr>
          <w:rFonts w:ascii="新細明體" w:hint="eastAsia"/>
        </w:rPr>
        <w:t>日本之民事法律扶助法雖已擴充民事法律扶助制度，賦予其法律跟據，確</w:t>
      </w:r>
    </w:p>
    <w:p w:rsidR="00000000" w:rsidRDefault="002D1830">
      <w:pPr>
        <w:tabs>
          <w:tab w:val="num" w:pos="1280"/>
        </w:tabs>
        <w:spacing w:line="360" w:lineRule="auto"/>
        <w:ind w:firstLineChars="0" w:firstLine="0"/>
        <w:rPr>
          <w:rFonts w:ascii="新細明體" w:hint="eastAsia"/>
        </w:rPr>
      </w:pPr>
      <w:r>
        <w:rPr>
          <w:rFonts w:ascii="新細明體" w:hint="eastAsia"/>
        </w:rPr>
        <w:t>保其適正營運，謀求其健全發展，但比起歐美各國，日本民事法律扶助之對象事件範圍、對象者範圍等較受限定，預算規模亦較小，此從實質保障接受裁判權利</w:t>
      </w:r>
    </w:p>
    <w:p w:rsidR="00000000" w:rsidRDefault="002D1830">
      <w:pPr>
        <w:tabs>
          <w:tab w:val="num" w:pos="1280"/>
        </w:tabs>
        <w:spacing w:line="360" w:lineRule="auto"/>
        <w:ind w:firstLineChars="0" w:firstLine="0"/>
        <w:rPr>
          <w:rFonts w:ascii="新細明體" w:hint="eastAsia"/>
        </w:rPr>
      </w:pPr>
      <w:r>
        <w:rPr>
          <w:rFonts w:ascii="新細明體" w:hint="eastAsia"/>
        </w:rPr>
        <w:t>之觀</w:t>
      </w:r>
      <w:r>
        <w:rPr>
          <w:rFonts w:ascii="新細明體" w:hint="eastAsia"/>
        </w:rPr>
        <w:t>點而言，尚未充分，應再檢討民事法律扶助制度之對象事件、對象者範圍、</w:t>
      </w:r>
    </w:p>
    <w:p w:rsidR="00000000" w:rsidRDefault="002D1830">
      <w:pPr>
        <w:tabs>
          <w:tab w:val="num" w:pos="1280"/>
        </w:tabs>
        <w:spacing w:line="360" w:lineRule="auto"/>
        <w:ind w:left="1280" w:firstLineChars="0" w:hanging="1080"/>
        <w:rPr>
          <w:rFonts w:ascii="新細明體" w:hint="eastAsia"/>
        </w:rPr>
      </w:pPr>
      <w:r>
        <w:rPr>
          <w:rFonts w:ascii="新細明體" w:hint="eastAsia"/>
        </w:rPr>
        <w:t>利用者負擔及運作主體之應有狀態等。再者，從確保刑事司法公正性來看，適</w:t>
      </w:r>
    </w:p>
    <w:p w:rsidR="00000000" w:rsidRDefault="002D1830">
      <w:pPr>
        <w:tabs>
          <w:tab w:val="num" w:pos="1280"/>
        </w:tabs>
        <w:spacing w:line="360" w:lineRule="auto"/>
        <w:ind w:left="1280" w:firstLineChars="0" w:hanging="1080"/>
        <w:rPr>
          <w:rFonts w:ascii="新細明體" w:hint="eastAsia"/>
        </w:rPr>
      </w:pPr>
      <w:r>
        <w:rPr>
          <w:rFonts w:ascii="新細明體" w:hint="eastAsia"/>
        </w:rPr>
        <w:t>切保護犯罪嫌疑人、被告之權利雖然重要，但為此目的特別具有重要意義者，</w:t>
      </w:r>
    </w:p>
    <w:p w:rsidR="00000000" w:rsidRDefault="002D1830">
      <w:pPr>
        <w:tabs>
          <w:tab w:val="num" w:pos="1280"/>
        </w:tabs>
        <w:spacing w:line="360" w:lineRule="auto"/>
        <w:ind w:left="1280" w:firstLineChars="0" w:hanging="1080"/>
        <w:rPr>
          <w:rFonts w:ascii="新細明體" w:hint="eastAsia"/>
        </w:rPr>
      </w:pPr>
      <w:r>
        <w:rPr>
          <w:rFonts w:ascii="新細明體" w:hint="eastAsia"/>
        </w:rPr>
        <w:t>係有效擔保受辯護人援助之權利。然而，因無充分資力等理由而不能自行委託</w:t>
      </w:r>
    </w:p>
    <w:p w:rsidR="00000000" w:rsidRDefault="002D1830">
      <w:pPr>
        <w:tabs>
          <w:tab w:val="num" w:pos="1280"/>
        </w:tabs>
        <w:spacing w:line="360" w:lineRule="auto"/>
        <w:ind w:left="1280" w:firstLineChars="0" w:hanging="1080"/>
        <w:rPr>
          <w:rFonts w:ascii="新細明體" w:hint="eastAsia"/>
        </w:rPr>
      </w:pPr>
      <w:r>
        <w:rPr>
          <w:rFonts w:ascii="新細明體" w:hint="eastAsia"/>
        </w:rPr>
        <w:t>律師者之辯護扶助，在日本現行法上，僅止於就被起訴之被告委派國選辯護</w:t>
      </w:r>
    </w:p>
    <w:p w:rsidR="00000000" w:rsidRDefault="002D1830">
      <w:pPr>
        <w:tabs>
          <w:tab w:val="num" w:pos="1280"/>
        </w:tabs>
        <w:spacing w:line="360" w:lineRule="auto"/>
        <w:ind w:left="1280" w:firstLineChars="0" w:hanging="1080"/>
        <w:rPr>
          <w:rFonts w:ascii="新細明體" w:hint="eastAsia"/>
        </w:rPr>
      </w:pPr>
      <w:r>
        <w:rPr>
          <w:rFonts w:ascii="新細明體" w:hint="eastAsia"/>
        </w:rPr>
        <w:t>人，而就偵查中犯罪嫌疑人之辯護援助，仍委諸律師公會之值班律師制度及法</w:t>
      </w:r>
    </w:p>
    <w:p w:rsidR="00000000" w:rsidRDefault="002D1830">
      <w:pPr>
        <w:tabs>
          <w:tab w:val="num" w:pos="1280"/>
        </w:tabs>
        <w:spacing w:line="360" w:lineRule="auto"/>
        <w:ind w:left="1280" w:firstLineChars="0" w:hanging="1080"/>
        <w:rPr>
          <w:rFonts w:ascii="新細明體" w:hint="eastAsia"/>
        </w:rPr>
      </w:pPr>
      <w:r>
        <w:rPr>
          <w:rFonts w:ascii="新細明體" w:hint="eastAsia"/>
        </w:rPr>
        <w:t>律扶助協會之任意扶助事業；少事事件之律師輔佐亦然。為保障此等事件上受</w:t>
      </w:r>
    </w:p>
    <w:p w:rsidR="00000000" w:rsidRDefault="002D1830">
      <w:pPr>
        <w:tabs>
          <w:tab w:val="num" w:pos="1280"/>
        </w:tabs>
        <w:spacing w:line="360" w:lineRule="auto"/>
        <w:ind w:left="1280" w:firstLineChars="0" w:hanging="1080"/>
        <w:rPr>
          <w:rFonts w:ascii="新細明體" w:hint="eastAsia"/>
        </w:rPr>
      </w:pPr>
      <w:r>
        <w:rPr>
          <w:rFonts w:ascii="新細明體" w:hint="eastAsia"/>
        </w:rPr>
        <w:t>辯護人援助之權利，並儘可能</w:t>
      </w:r>
      <w:r>
        <w:rPr>
          <w:rFonts w:ascii="新細明體" w:hint="eastAsia"/>
        </w:rPr>
        <w:t>實現充實及迅速之刑事裁判，應整備刑事司法上</w:t>
      </w:r>
    </w:p>
    <w:p w:rsidR="00000000" w:rsidRDefault="002D1830">
      <w:pPr>
        <w:tabs>
          <w:tab w:val="num" w:pos="1280"/>
        </w:tabs>
        <w:spacing w:line="360" w:lineRule="auto"/>
        <w:ind w:left="1280" w:firstLineChars="0" w:hanging="1080"/>
        <w:rPr>
          <w:rFonts w:ascii="新細明體" w:hint="eastAsia"/>
        </w:rPr>
      </w:pPr>
      <w:r>
        <w:rPr>
          <w:rFonts w:ascii="新細明體" w:hint="eastAsia"/>
        </w:rPr>
        <w:t>犯罪嫌疑人及少年之公的辯護制度。總之，日本之法律扶助制度仍有更加充實</w:t>
      </w:r>
    </w:p>
    <w:p w:rsidR="00000000" w:rsidRDefault="002D1830">
      <w:pPr>
        <w:tabs>
          <w:tab w:val="num" w:pos="1280"/>
        </w:tabs>
        <w:spacing w:line="360" w:lineRule="auto"/>
        <w:ind w:left="1280" w:firstLineChars="0" w:hanging="1080"/>
        <w:rPr>
          <w:rFonts w:ascii="標楷體" w:eastAsia="標楷體"/>
          <w:sz w:val="28"/>
        </w:rPr>
      </w:pPr>
      <w:r>
        <w:rPr>
          <w:rFonts w:ascii="新細明體" w:hint="eastAsia"/>
        </w:rPr>
        <w:t>之必要</w:t>
      </w:r>
      <w:r>
        <w:rPr>
          <w:rStyle w:val="a6"/>
          <w:rFonts w:ascii="新細明體"/>
        </w:rPr>
        <w:footnoteReference w:id="25"/>
      </w:r>
      <w:r>
        <w:rPr>
          <w:rFonts w:ascii="新細明體" w:hint="eastAsia"/>
        </w:rPr>
        <w:t>。</w:t>
      </w:r>
    </w:p>
    <w:p w:rsidR="00000000" w:rsidRDefault="002D1830">
      <w:pPr>
        <w:tabs>
          <w:tab w:val="num" w:pos="1280"/>
        </w:tabs>
        <w:spacing w:line="360" w:lineRule="auto"/>
        <w:ind w:left="1280" w:firstLineChars="0" w:hanging="1080"/>
        <w:jc w:val="center"/>
        <w:rPr>
          <w:rFonts w:ascii="標楷體" w:eastAsia="標楷體"/>
          <w:sz w:val="28"/>
        </w:rPr>
      </w:pPr>
    </w:p>
    <w:p w:rsidR="00000000" w:rsidRDefault="002D1830">
      <w:pPr>
        <w:tabs>
          <w:tab w:val="num" w:pos="1280"/>
        </w:tabs>
        <w:spacing w:line="360" w:lineRule="auto"/>
        <w:ind w:left="1280" w:firstLineChars="0" w:hanging="1080"/>
        <w:jc w:val="center"/>
        <w:rPr>
          <w:rFonts w:ascii="標楷體" w:eastAsia="標楷體"/>
          <w:sz w:val="28"/>
        </w:rPr>
      </w:pPr>
    </w:p>
    <w:p w:rsidR="00000000" w:rsidRDefault="002D1830">
      <w:pPr>
        <w:tabs>
          <w:tab w:val="num" w:pos="1280"/>
        </w:tabs>
        <w:spacing w:line="360" w:lineRule="auto"/>
        <w:ind w:left="1280" w:firstLineChars="0" w:hanging="1080"/>
        <w:jc w:val="center"/>
        <w:rPr>
          <w:rFonts w:ascii="標楷體" w:eastAsia="標楷體"/>
          <w:sz w:val="28"/>
        </w:rPr>
      </w:pPr>
    </w:p>
    <w:p w:rsidR="00000000" w:rsidRDefault="002D1830">
      <w:pPr>
        <w:tabs>
          <w:tab w:val="num" w:pos="1280"/>
        </w:tabs>
        <w:spacing w:line="360" w:lineRule="auto"/>
        <w:ind w:left="1280" w:firstLineChars="0" w:hanging="1080"/>
        <w:jc w:val="center"/>
        <w:rPr>
          <w:rFonts w:ascii="標楷體" w:eastAsia="標楷體"/>
          <w:sz w:val="28"/>
        </w:rPr>
      </w:pPr>
    </w:p>
    <w:p w:rsidR="00000000" w:rsidRDefault="002D1830">
      <w:pPr>
        <w:tabs>
          <w:tab w:val="num" w:pos="120"/>
        </w:tabs>
        <w:spacing w:line="360" w:lineRule="auto"/>
        <w:ind w:left="1280" w:firstLineChars="0" w:hanging="1080"/>
        <w:jc w:val="center"/>
        <w:rPr>
          <w:rFonts w:ascii="標楷體" w:eastAsia="標楷體" w:hint="eastAsia"/>
          <w:sz w:val="28"/>
        </w:rPr>
      </w:pPr>
    </w:p>
    <w:p w:rsidR="00000000" w:rsidRDefault="002D1830">
      <w:pPr>
        <w:tabs>
          <w:tab w:val="num" w:pos="120"/>
        </w:tabs>
        <w:spacing w:line="360" w:lineRule="auto"/>
        <w:ind w:left="1280" w:firstLineChars="0" w:hanging="1080"/>
        <w:jc w:val="center"/>
        <w:rPr>
          <w:rFonts w:ascii="標楷體" w:eastAsia="標楷體" w:hint="eastAsia"/>
          <w:sz w:val="28"/>
        </w:rPr>
      </w:pPr>
    </w:p>
    <w:p w:rsidR="00000000" w:rsidRDefault="002D1830">
      <w:pPr>
        <w:tabs>
          <w:tab w:val="num" w:pos="120"/>
        </w:tabs>
        <w:spacing w:line="360" w:lineRule="auto"/>
        <w:ind w:left="1280" w:firstLineChars="0" w:hanging="1080"/>
        <w:jc w:val="center"/>
        <w:rPr>
          <w:rFonts w:ascii="標楷體" w:eastAsia="標楷體" w:hint="eastAsia"/>
          <w:sz w:val="28"/>
        </w:rPr>
      </w:pPr>
    </w:p>
    <w:p w:rsidR="00000000" w:rsidRDefault="002D1830">
      <w:pPr>
        <w:tabs>
          <w:tab w:val="num" w:pos="120"/>
        </w:tabs>
        <w:spacing w:line="360" w:lineRule="auto"/>
        <w:ind w:left="1280" w:firstLineChars="0" w:hanging="1080"/>
        <w:jc w:val="center"/>
        <w:rPr>
          <w:rFonts w:ascii="標楷體" w:eastAsia="標楷體" w:hint="eastAsia"/>
          <w:sz w:val="28"/>
        </w:rPr>
      </w:pPr>
    </w:p>
    <w:p w:rsidR="00000000" w:rsidRDefault="002D1830">
      <w:pPr>
        <w:tabs>
          <w:tab w:val="num" w:pos="120"/>
        </w:tabs>
        <w:spacing w:line="360" w:lineRule="auto"/>
        <w:ind w:left="1280" w:firstLineChars="0" w:hanging="1080"/>
        <w:jc w:val="center"/>
        <w:rPr>
          <w:rFonts w:ascii="標楷體" w:eastAsia="標楷體" w:hint="eastAsia"/>
          <w:sz w:val="28"/>
        </w:rPr>
      </w:pPr>
    </w:p>
    <w:p w:rsidR="00000000" w:rsidRDefault="002D1830">
      <w:pPr>
        <w:tabs>
          <w:tab w:val="num" w:pos="120"/>
        </w:tabs>
        <w:spacing w:line="360" w:lineRule="auto"/>
        <w:ind w:left="1280" w:firstLineChars="0" w:hanging="1080"/>
        <w:jc w:val="center"/>
        <w:rPr>
          <w:rFonts w:ascii="標楷體" w:eastAsia="標楷體" w:hint="eastAsia"/>
          <w:sz w:val="28"/>
        </w:rPr>
      </w:pPr>
    </w:p>
    <w:p w:rsidR="00000000" w:rsidRDefault="002D1830">
      <w:pPr>
        <w:tabs>
          <w:tab w:val="num" w:pos="120"/>
        </w:tabs>
        <w:spacing w:line="360" w:lineRule="auto"/>
        <w:ind w:left="1280" w:firstLineChars="0" w:hanging="1080"/>
        <w:jc w:val="center"/>
        <w:rPr>
          <w:rFonts w:ascii="標楷體" w:eastAsia="標楷體" w:hint="eastAsia"/>
          <w:sz w:val="28"/>
        </w:rPr>
      </w:pPr>
    </w:p>
    <w:p w:rsidR="00000000" w:rsidRDefault="002D1830">
      <w:pPr>
        <w:tabs>
          <w:tab w:val="num" w:pos="1280"/>
        </w:tabs>
        <w:spacing w:line="360" w:lineRule="auto"/>
        <w:ind w:left="1280" w:firstLineChars="0" w:hanging="1080"/>
        <w:jc w:val="center"/>
        <w:rPr>
          <w:rFonts w:ascii="新細明體" w:hint="eastAsia"/>
          <w:sz w:val="28"/>
          <w:szCs w:val="28"/>
        </w:rPr>
      </w:pPr>
      <w:r>
        <w:rPr>
          <w:rFonts w:ascii="新細明體" w:hint="eastAsia"/>
          <w:sz w:val="28"/>
          <w:szCs w:val="28"/>
        </w:rPr>
        <w:t>第二節</w:t>
      </w:r>
      <w:r>
        <w:rPr>
          <w:rFonts w:ascii="新細明體" w:hint="eastAsia"/>
          <w:sz w:val="28"/>
          <w:szCs w:val="28"/>
        </w:rPr>
        <w:t xml:space="preserve"> </w:t>
      </w:r>
      <w:r>
        <w:rPr>
          <w:rFonts w:ascii="新細明體" w:hint="eastAsia"/>
          <w:sz w:val="28"/>
          <w:szCs w:val="28"/>
        </w:rPr>
        <w:t>英國法制</w:t>
      </w:r>
    </w:p>
    <w:p w:rsidR="00000000" w:rsidRDefault="002D1830">
      <w:pPr>
        <w:spacing w:line="360" w:lineRule="auto"/>
        <w:ind w:firstLine="480"/>
        <w:rPr>
          <w:rFonts w:ascii="新細明體" w:hint="eastAsia"/>
        </w:rPr>
      </w:pPr>
      <w:r>
        <w:rPr>
          <w:rFonts w:ascii="新細明體" w:hint="eastAsia"/>
        </w:rPr>
        <w:t>英國不僅是英美法系之母國，更建立有完善之公務員制度，因此本研究計畫特選擇英國作為比較研究之對象。以下分五點分別說明：</w:t>
      </w:r>
    </w:p>
    <w:p w:rsidR="00000000" w:rsidRDefault="002D1830" w:rsidP="002D1830">
      <w:pPr>
        <w:numPr>
          <w:ilvl w:val="0"/>
          <w:numId w:val="4"/>
        </w:numPr>
        <w:spacing w:line="360" w:lineRule="auto"/>
        <w:ind w:firstLineChars="0"/>
        <w:jc w:val="left"/>
        <w:rPr>
          <w:rFonts w:ascii="新細明體" w:hint="eastAsia"/>
          <w:sz w:val="28"/>
          <w:szCs w:val="28"/>
        </w:rPr>
      </w:pPr>
      <w:r>
        <w:rPr>
          <w:rFonts w:ascii="新細明體" w:hint="eastAsia"/>
          <w:sz w:val="28"/>
          <w:szCs w:val="28"/>
        </w:rPr>
        <w:t>前言—英國法制簡介</w:t>
      </w:r>
    </w:p>
    <w:p w:rsidR="00000000" w:rsidRDefault="002D1830">
      <w:pPr>
        <w:spacing w:line="360" w:lineRule="auto"/>
        <w:ind w:firstLine="480"/>
        <w:rPr>
          <w:rFonts w:ascii="新細明體" w:hint="eastAsia"/>
        </w:rPr>
      </w:pPr>
      <w:r>
        <w:rPr>
          <w:rFonts w:ascii="新細明體" w:hint="eastAsia"/>
        </w:rPr>
        <w:t>一、英國的司法制度簡介</w:t>
      </w:r>
      <w:r>
        <w:rPr>
          <w:rStyle w:val="a6"/>
          <w:rFonts w:ascii="新細明體" w:hint="eastAsia"/>
        </w:rPr>
        <w:footnoteReference w:id="26"/>
      </w:r>
    </w:p>
    <w:p w:rsidR="00000000" w:rsidRDefault="002D1830">
      <w:pPr>
        <w:spacing w:line="360" w:lineRule="auto"/>
        <w:ind w:firstLine="480"/>
        <w:rPr>
          <w:rFonts w:ascii="新細明體" w:hint="eastAsia"/>
        </w:rPr>
      </w:pPr>
      <w:r>
        <w:rPr>
          <w:rFonts w:ascii="新細明體" w:hint="eastAsia"/>
        </w:rPr>
        <w:t>在正式進入本章討論前，應該有必要先對英國法制作一簡單敘述。首先應提出的是英國是普通法</w:t>
      </w:r>
      <w:r>
        <w:rPr>
          <w:rFonts w:ascii="新細明體" w:hint="eastAsia"/>
        </w:rPr>
        <w:t>(COMMON LAW)</w:t>
      </w:r>
      <w:r>
        <w:rPr>
          <w:rFonts w:ascii="新細明體" w:hint="eastAsia"/>
        </w:rPr>
        <w:t>的國家，並無類似德國大陸法系之公私法的區分，而是司法一元主義，由普通法院綜</w:t>
      </w:r>
      <w:r>
        <w:rPr>
          <w:rFonts w:ascii="新細明體" w:hint="eastAsia"/>
        </w:rPr>
        <w:t>理一切案件。英國的法院制度最初級是為數眾多的下級法院及治安法院（負責處理大量的小型刑事案件）。其中就下級法院審理的案件中，只有極少數能上訴到高等法院。而高等法院正是英國法的核心。其係由三個法庭所構成：「女王座法庭」、「家事法庭」與「大法官法庭」。</w:t>
      </w:r>
      <w:r>
        <w:rPr>
          <w:rFonts w:ascii="新細明體" w:hint="eastAsia"/>
          <w:u w:val="single"/>
        </w:rPr>
        <w:t>而女王座法庭除了審理大量民事案件外，關於政府行為合法性之審查亦係由其負責審理，且針對此類案件女王座法庭會分庭以二或三位法官合議審理。</w:t>
      </w:r>
      <w:r>
        <w:rPr>
          <w:rFonts w:ascii="新細明體" w:hint="eastAsia"/>
        </w:rPr>
        <w:t>（女王座法庭原則上是獨任審理案件）而經高等法院審判之案件可以上訴到「上訴法院」。而上訴法院之判決則極少被上訴英國最高司法機關</w:t>
      </w:r>
      <w:r>
        <w:rPr>
          <w:rFonts w:ascii="新細明體" w:hint="eastAsia"/>
        </w:rPr>
        <w:t>---</w:t>
      </w:r>
      <w:r>
        <w:rPr>
          <w:rFonts w:ascii="新細明體" w:hint="eastAsia"/>
        </w:rPr>
        <w:t>「上</w:t>
      </w:r>
      <w:r>
        <w:rPr>
          <w:rFonts w:ascii="新細明體" w:hint="eastAsia"/>
        </w:rPr>
        <w:t>議院」。</w:t>
      </w:r>
    </w:p>
    <w:p w:rsidR="00000000" w:rsidRDefault="002D1830">
      <w:pPr>
        <w:spacing w:line="360" w:lineRule="auto"/>
        <w:ind w:firstLine="480"/>
        <w:rPr>
          <w:rFonts w:ascii="新細明體" w:hint="eastAsia"/>
        </w:rPr>
      </w:pPr>
      <w:r>
        <w:rPr>
          <w:rFonts w:ascii="新細明體" w:hint="eastAsia"/>
        </w:rPr>
        <w:t>二、英國法律位階與體系</w:t>
      </w:r>
      <w:r>
        <w:rPr>
          <w:rStyle w:val="a6"/>
          <w:rFonts w:ascii="新細明體" w:hint="eastAsia"/>
        </w:rPr>
        <w:footnoteReference w:id="27"/>
      </w:r>
    </w:p>
    <w:p w:rsidR="00000000" w:rsidRDefault="002D1830">
      <w:pPr>
        <w:spacing w:line="360" w:lineRule="auto"/>
        <w:ind w:firstLine="480"/>
        <w:rPr>
          <w:rFonts w:ascii="新細明體" w:hint="eastAsia"/>
        </w:rPr>
      </w:pPr>
      <w:r>
        <w:rPr>
          <w:rFonts w:ascii="新細明體" w:hint="eastAsia"/>
        </w:rPr>
        <w:t>雖然如上所述，英國是普通法的國家，但這並不意味英國沒有成文法。相反地，在三權制衡的理念下，立法機關往往制定相當多的法律（</w:t>
      </w:r>
      <w:r>
        <w:rPr>
          <w:rFonts w:ascii="新細明體" w:hint="eastAsia"/>
        </w:rPr>
        <w:t>ACT</w:t>
      </w:r>
      <w:r>
        <w:rPr>
          <w:rFonts w:ascii="新細明體" w:hint="eastAsia"/>
        </w:rPr>
        <w:t>）來拘束行政權。然而，基於現實的需要</w:t>
      </w:r>
      <w:r>
        <w:rPr>
          <w:rStyle w:val="a6"/>
          <w:rFonts w:ascii="新細明體" w:hint="eastAsia"/>
        </w:rPr>
        <w:footnoteReference w:id="28"/>
      </w:r>
      <w:r>
        <w:rPr>
          <w:rFonts w:ascii="新細明體" w:hint="eastAsia"/>
        </w:rPr>
        <w:t>，英國國會也面臨必須廣泛授權行政立法的窘境，且每年行政基於授權所制定之命令（下位階法規範；</w:t>
      </w:r>
      <w:r>
        <w:rPr>
          <w:rFonts w:ascii="新細明體" w:hint="eastAsia"/>
        </w:rPr>
        <w:t>SUBORDINATE LEGISLATION</w:t>
      </w:r>
      <w:r>
        <w:rPr>
          <w:rFonts w:ascii="新細明體" w:hint="eastAsia"/>
        </w:rPr>
        <w:t>）的數量都遠遠超越國會制定的法律。英國的</w:t>
      </w:r>
      <w:r>
        <w:rPr>
          <w:rFonts w:ascii="新細明體" w:hint="eastAsia"/>
        </w:rPr>
        <w:t>Committee on Ministers</w:t>
      </w:r>
      <w:r>
        <w:rPr>
          <w:rFonts w:ascii="新細明體" w:hint="eastAsia"/>
        </w:rPr>
        <w:t>’</w:t>
      </w:r>
      <w:r>
        <w:rPr>
          <w:rFonts w:ascii="新細明體" w:hint="eastAsia"/>
        </w:rPr>
        <w:t xml:space="preserve"> Power</w:t>
      </w:r>
      <w:r>
        <w:rPr>
          <w:rFonts w:ascii="新細明體" w:hint="eastAsia"/>
        </w:rPr>
        <w:t>早在在</w:t>
      </w:r>
      <w:r>
        <w:rPr>
          <w:rFonts w:ascii="新細明體" w:hint="eastAsia"/>
        </w:rPr>
        <w:t>1932</w:t>
      </w:r>
      <w:r>
        <w:rPr>
          <w:rFonts w:ascii="新細明體" w:hint="eastAsia"/>
        </w:rPr>
        <w:t>年即曾發表報告提到：「不論好或不好，授權命令都是無法避免的。……</w:t>
      </w:r>
      <w:r>
        <w:rPr>
          <w:rFonts w:ascii="新細明體" w:hint="eastAsia"/>
        </w:rPr>
        <w:t>且為達成某些目的、在有限的範圍為內且在某些監督機制下，授權命令的制度是既合法又為憲法所樂見的。」</w:t>
      </w:r>
      <w:r>
        <w:rPr>
          <w:rStyle w:val="a6"/>
          <w:rFonts w:ascii="新細明體" w:hint="eastAsia"/>
        </w:rPr>
        <w:footnoteReference w:id="29"/>
      </w:r>
    </w:p>
    <w:p w:rsidR="00000000" w:rsidRDefault="002D1830">
      <w:pPr>
        <w:spacing w:line="360" w:lineRule="auto"/>
        <w:ind w:firstLine="480"/>
        <w:rPr>
          <w:rFonts w:ascii="新細明體" w:hint="eastAsia"/>
        </w:rPr>
      </w:pPr>
      <w:r>
        <w:rPr>
          <w:rFonts w:ascii="新細明體" w:hint="eastAsia"/>
        </w:rPr>
        <w:t>而英國國會為免授權氾濫，最早在</w:t>
      </w:r>
      <w:r>
        <w:rPr>
          <w:rFonts w:ascii="新細明體" w:hint="eastAsia"/>
        </w:rPr>
        <w:t>1893</w:t>
      </w:r>
      <w:r>
        <w:rPr>
          <w:rFonts w:ascii="新細明體" w:hint="eastAsia"/>
        </w:rPr>
        <w:t>年制定了</w:t>
      </w:r>
      <w:r>
        <w:rPr>
          <w:rFonts w:ascii="新細明體" w:hint="eastAsia"/>
        </w:rPr>
        <w:t>the Rules Publication Act</w:t>
      </w:r>
      <w:r>
        <w:rPr>
          <w:rFonts w:ascii="新細明體" w:hint="eastAsia"/>
        </w:rPr>
        <w:t>加以規範，但仍很粗糙。其後在</w:t>
      </w:r>
      <w:r>
        <w:rPr>
          <w:rFonts w:ascii="新細明體" w:hint="eastAsia"/>
        </w:rPr>
        <w:t>1946</w:t>
      </w:r>
      <w:r>
        <w:rPr>
          <w:rFonts w:ascii="新細明體" w:hint="eastAsia"/>
        </w:rPr>
        <w:t>年制定了該法的替代法案</w:t>
      </w:r>
      <w:r>
        <w:rPr>
          <w:rFonts w:ascii="新細明體" w:hint="eastAsia"/>
        </w:rPr>
        <w:t>the Statutory Instruments Act</w:t>
      </w:r>
      <w:r>
        <w:rPr>
          <w:rFonts w:ascii="新細明體" w:hint="eastAsia"/>
        </w:rPr>
        <w:t>成為迄今的主要規範依據。另外針對地方立法則在</w:t>
      </w:r>
      <w:r>
        <w:rPr>
          <w:rFonts w:ascii="新細明體" w:hint="eastAsia"/>
        </w:rPr>
        <w:t>1972</w:t>
      </w:r>
      <w:r>
        <w:rPr>
          <w:rFonts w:ascii="新細明體" w:hint="eastAsia"/>
        </w:rPr>
        <w:t>年制定了</w:t>
      </w:r>
      <w:r>
        <w:rPr>
          <w:rFonts w:ascii="新細明體" w:hint="eastAsia"/>
        </w:rPr>
        <w:t>the Local Government Act</w:t>
      </w:r>
      <w:r>
        <w:rPr>
          <w:rFonts w:ascii="新細明體" w:hint="eastAsia"/>
        </w:rPr>
        <w:t>加以規範。</w:t>
      </w:r>
      <w:r>
        <w:rPr>
          <w:rFonts w:ascii="新細明體" w:hint="eastAsia"/>
        </w:rPr>
        <w:t>1946</w:t>
      </w:r>
      <w:r>
        <w:rPr>
          <w:rFonts w:ascii="新細明體" w:hint="eastAsia"/>
        </w:rPr>
        <w:t>年的法律中規定了許多命令的名稱，常用的有：</w:t>
      </w:r>
      <w:r>
        <w:rPr>
          <w:rFonts w:ascii="新細明體" w:hint="eastAsia"/>
        </w:rPr>
        <w:t>Regulations</w:t>
      </w:r>
      <w:r>
        <w:rPr>
          <w:rFonts w:ascii="新細明體" w:hint="eastAsia"/>
        </w:rPr>
        <w:t>，</w:t>
      </w:r>
      <w:r>
        <w:rPr>
          <w:rFonts w:ascii="新細明體" w:hint="eastAsia"/>
        </w:rPr>
        <w:t>Rule</w:t>
      </w:r>
      <w:r>
        <w:rPr>
          <w:rFonts w:ascii="新細明體" w:hint="eastAsia"/>
        </w:rPr>
        <w:t>s</w:t>
      </w:r>
      <w:r>
        <w:rPr>
          <w:rFonts w:ascii="新細明體" w:hint="eastAsia"/>
        </w:rPr>
        <w:t>，</w:t>
      </w:r>
      <w:r>
        <w:rPr>
          <w:rFonts w:ascii="新細明體" w:hint="eastAsia"/>
        </w:rPr>
        <w:t>Orders</w:t>
      </w:r>
      <w:r>
        <w:rPr>
          <w:rFonts w:ascii="新細明體" w:hint="eastAsia"/>
        </w:rPr>
        <w:t>，</w:t>
      </w:r>
      <w:r>
        <w:rPr>
          <w:rFonts w:ascii="新細明體" w:hint="eastAsia"/>
        </w:rPr>
        <w:t>Schemes</w:t>
      </w:r>
      <w:r>
        <w:rPr>
          <w:rFonts w:ascii="新細明體" w:hint="eastAsia"/>
        </w:rPr>
        <w:t>，</w:t>
      </w:r>
      <w:r>
        <w:rPr>
          <w:rFonts w:ascii="新細明體" w:hint="eastAsia"/>
        </w:rPr>
        <w:t>Warrants</w:t>
      </w:r>
      <w:r>
        <w:rPr>
          <w:rFonts w:ascii="新細明體" w:hint="eastAsia"/>
        </w:rPr>
        <w:t>等。至於要選用何種名稱是相關部會的權限，雖說如</w:t>
      </w:r>
      <w:r>
        <w:rPr>
          <w:rFonts w:ascii="新細明體" w:hint="eastAsia"/>
        </w:rPr>
        <w:t>Rules</w:t>
      </w:r>
      <w:r>
        <w:rPr>
          <w:rFonts w:ascii="新細明體" w:hint="eastAsia"/>
        </w:rPr>
        <w:t>常用於程序事項，</w:t>
      </w:r>
      <w:r>
        <w:rPr>
          <w:rFonts w:ascii="新細明體" w:hint="eastAsia"/>
        </w:rPr>
        <w:t>Warrants</w:t>
      </w:r>
      <w:r>
        <w:rPr>
          <w:rFonts w:ascii="新細明體" w:hint="eastAsia"/>
        </w:rPr>
        <w:t>多用於有關授與金錢或利益之財政命令，而</w:t>
      </w:r>
      <w:r>
        <w:rPr>
          <w:rFonts w:ascii="新細明體" w:hint="eastAsia"/>
        </w:rPr>
        <w:t>Orders</w:t>
      </w:r>
      <w:r>
        <w:rPr>
          <w:rFonts w:ascii="新細明體" w:hint="eastAsia"/>
        </w:rPr>
        <w:t>乃女皇基於皇室特權或其法規制定權並諮詢樞密院後所制頒，但事實上其區分是很不精確（</w:t>
      </w:r>
      <w:r>
        <w:rPr>
          <w:rFonts w:ascii="新細明體" w:hint="eastAsia"/>
        </w:rPr>
        <w:t>imprecise</w:t>
      </w:r>
      <w:r>
        <w:rPr>
          <w:rFonts w:ascii="新細明體" w:hint="eastAsia"/>
        </w:rPr>
        <w:t>）的。</w:t>
      </w:r>
    </w:p>
    <w:p w:rsidR="00000000" w:rsidRDefault="002D1830">
      <w:pPr>
        <w:spacing w:line="360" w:lineRule="auto"/>
        <w:ind w:firstLine="480"/>
        <w:rPr>
          <w:rFonts w:ascii="新細明體" w:hint="eastAsia"/>
        </w:rPr>
      </w:pPr>
      <w:r>
        <w:rPr>
          <w:rFonts w:ascii="新細明體" w:hint="eastAsia"/>
        </w:rPr>
        <w:t>至於國會對行政命令的監督，英國法是規定若授權母法有規定時行政機關制定行政命令時即有告知國會之義務，但此僅為提醒國會注意。另一種監督方式是國會得對命令內容做實質審查，而審查方式有二，即採肯定決議（</w:t>
      </w:r>
      <w:r>
        <w:rPr>
          <w:rFonts w:ascii="新細明體" w:hint="eastAsia"/>
        </w:rPr>
        <w:t xml:space="preserve">affirmative </w:t>
      </w:r>
      <w:r>
        <w:rPr>
          <w:rFonts w:ascii="新細明體" w:hint="eastAsia"/>
        </w:rPr>
        <w:t>resolution</w:t>
      </w:r>
      <w:r>
        <w:rPr>
          <w:rFonts w:ascii="新細明體" w:hint="eastAsia"/>
        </w:rPr>
        <w:t>）或否定決議（</w:t>
      </w:r>
      <w:r>
        <w:rPr>
          <w:rFonts w:ascii="新細明體" w:hint="eastAsia"/>
        </w:rPr>
        <w:t>negative resolution</w:t>
      </w:r>
      <w:r>
        <w:rPr>
          <w:rFonts w:ascii="新細明體" w:hint="eastAsia"/>
        </w:rPr>
        <w:t>）之方式。前者係指命令非經國會審查通過不得對外公佈生效；後者係較常用之方式</w:t>
      </w:r>
      <w:r>
        <w:rPr>
          <w:rStyle w:val="a6"/>
          <w:rFonts w:ascii="新細明體" w:hint="eastAsia"/>
        </w:rPr>
        <w:footnoteReference w:id="30"/>
      </w:r>
      <w:r>
        <w:rPr>
          <w:rFonts w:ascii="新細明體" w:hint="eastAsia"/>
        </w:rPr>
        <w:t>，指行政命令對外公佈後四十天內國會得以決議廢棄該命令。然而，不論何種方式國會的審查都不是特別有效。</w:t>
      </w:r>
      <w:r>
        <w:rPr>
          <w:rStyle w:val="a6"/>
          <w:rFonts w:ascii="新細明體" w:hint="eastAsia"/>
        </w:rPr>
        <w:footnoteReference w:id="31"/>
      </w:r>
    </w:p>
    <w:p w:rsidR="00000000" w:rsidRDefault="002D1830">
      <w:pPr>
        <w:spacing w:line="360" w:lineRule="auto"/>
        <w:ind w:firstLine="480"/>
        <w:rPr>
          <w:rFonts w:ascii="新細明體" w:hint="eastAsia"/>
        </w:rPr>
      </w:pPr>
      <w:r>
        <w:rPr>
          <w:rFonts w:ascii="新細明體" w:hint="eastAsia"/>
        </w:rPr>
        <w:t>最近在英國法上特別引起注意的是行政準立法權（</w:t>
      </w:r>
      <w:r>
        <w:rPr>
          <w:rFonts w:ascii="新細明體" w:hint="eastAsia"/>
        </w:rPr>
        <w:t>quasi-legislation</w:t>
      </w:r>
      <w:r>
        <w:rPr>
          <w:rFonts w:ascii="新細明體" w:hint="eastAsia"/>
        </w:rPr>
        <w:t>）的問題。所謂行政的準立法權並非直接的法規範，無直接拘束人民之規範效力，性質上類似吾國行政法上之「行政規則」，以規範行政內部事項為目的。英國學者</w:t>
      </w:r>
      <w:r>
        <w:rPr>
          <w:rFonts w:ascii="新細明體" w:hint="eastAsia"/>
        </w:rPr>
        <w:t>GANZ</w:t>
      </w:r>
      <w:r>
        <w:rPr>
          <w:rFonts w:ascii="新細明體" w:hint="eastAsia"/>
        </w:rPr>
        <w:t>曾說：「……行政規則的指數型的成</w:t>
      </w:r>
      <w:r>
        <w:rPr>
          <w:rFonts w:ascii="新細明體" w:hint="eastAsia"/>
        </w:rPr>
        <w:t>長表現在多樣化的形式上。</w:t>
      </w:r>
      <w:r>
        <w:rPr>
          <w:rFonts w:ascii="新細明體" w:hint="eastAsia"/>
        </w:rPr>
        <w:t xml:space="preserve">Codes of practice, guidance, guidance notes, guidances, circulars, White Papers, development control policy notes, development briefs, practice statements, tax concessions, Health Service Notices, Family Practitioner Notices, codes of conduct, </w:t>
      </w:r>
      <w:r>
        <w:rPr>
          <w:rFonts w:ascii="新細明體" w:hint="eastAsia"/>
        </w:rPr>
        <w:t>codes of ethics and conventions</w:t>
      </w:r>
      <w:r>
        <w:rPr>
          <w:rFonts w:ascii="新細明體" w:hint="eastAsia"/>
        </w:rPr>
        <w:t>等都是行政規則，只是以不同面貌出現罷了」</w:t>
      </w:r>
      <w:r>
        <w:rPr>
          <w:rStyle w:val="a6"/>
          <w:rFonts w:ascii="新細明體" w:hint="eastAsia"/>
        </w:rPr>
        <w:footnoteReference w:id="32"/>
      </w:r>
    </w:p>
    <w:p w:rsidR="00000000" w:rsidRDefault="002D1830">
      <w:pPr>
        <w:spacing w:line="360" w:lineRule="auto"/>
        <w:ind w:firstLine="480"/>
        <w:rPr>
          <w:rFonts w:ascii="新細明體" w:hint="eastAsia"/>
        </w:rPr>
      </w:pPr>
      <w:r>
        <w:rPr>
          <w:rFonts w:ascii="新細明體" w:hint="eastAsia"/>
        </w:rPr>
        <w:t>由以上可知，英國的法律位階最高的是國會制定的法律（</w:t>
      </w:r>
      <w:r>
        <w:rPr>
          <w:rFonts w:ascii="新細明體" w:hint="eastAsia"/>
        </w:rPr>
        <w:t>ACT</w:t>
      </w:r>
      <w:r>
        <w:rPr>
          <w:rFonts w:ascii="新細明體" w:hint="eastAsia"/>
        </w:rPr>
        <w:t>）。其次是行政機關經法律授權所制定之命令（</w:t>
      </w:r>
      <w:r>
        <w:rPr>
          <w:rFonts w:ascii="新細明體" w:hint="eastAsia"/>
        </w:rPr>
        <w:t>ORDERS</w:t>
      </w:r>
      <w:r>
        <w:rPr>
          <w:rFonts w:ascii="新細明體" w:hint="eastAsia"/>
        </w:rPr>
        <w:t>、</w:t>
      </w:r>
      <w:r>
        <w:rPr>
          <w:rFonts w:ascii="新細明體" w:hint="eastAsia"/>
        </w:rPr>
        <w:t>RULES</w:t>
      </w:r>
      <w:r>
        <w:rPr>
          <w:rFonts w:ascii="新細明體" w:hint="eastAsia"/>
        </w:rPr>
        <w:t>等）。最後則是行政規則（</w:t>
      </w:r>
      <w:r>
        <w:rPr>
          <w:rFonts w:ascii="新細明體" w:hint="eastAsia"/>
        </w:rPr>
        <w:t>CODES</w:t>
      </w:r>
      <w:r>
        <w:rPr>
          <w:rFonts w:ascii="新細明體" w:hint="eastAsia"/>
        </w:rPr>
        <w:t>、</w:t>
      </w:r>
      <w:r>
        <w:rPr>
          <w:rFonts w:ascii="新細明體" w:hint="eastAsia"/>
        </w:rPr>
        <w:t>GUIDANCES</w:t>
      </w:r>
      <w:r>
        <w:rPr>
          <w:rFonts w:ascii="新細明體" w:hint="eastAsia"/>
        </w:rPr>
        <w:t>等）。</w:t>
      </w:r>
    </w:p>
    <w:p w:rsidR="00000000" w:rsidRDefault="002D1830" w:rsidP="002D1830">
      <w:pPr>
        <w:numPr>
          <w:ilvl w:val="0"/>
          <w:numId w:val="4"/>
        </w:numPr>
        <w:spacing w:line="360" w:lineRule="auto"/>
        <w:ind w:firstLineChars="0"/>
        <w:jc w:val="left"/>
        <w:rPr>
          <w:rFonts w:ascii="新細明體" w:hint="eastAsia"/>
          <w:sz w:val="28"/>
          <w:szCs w:val="28"/>
        </w:rPr>
      </w:pPr>
      <w:r>
        <w:rPr>
          <w:rFonts w:ascii="新細明體" w:hint="eastAsia"/>
          <w:sz w:val="28"/>
          <w:szCs w:val="28"/>
        </w:rPr>
        <w:t>英國</w:t>
      </w:r>
      <w:r>
        <w:rPr>
          <w:rFonts w:ascii="新細明體" w:hint="eastAsia"/>
          <w:sz w:val="28"/>
          <w:szCs w:val="28"/>
        </w:rPr>
        <w:t>civil service management code</w:t>
      </w:r>
      <w:r>
        <w:rPr>
          <w:rFonts w:ascii="新細明體" w:hint="eastAsia"/>
          <w:sz w:val="28"/>
          <w:szCs w:val="28"/>
        </w:rPr>
        <w:t>中有關因公涉訟部份翻譯</w:t>
      </w:r>
    </w:p>
    <w:p w:rsidR="00000000" w:rsidRDefault="002D1830">
      <w:pPr>
        <w:spacing w:line="360" w:lineRule="auto"/>
        <w:ind w:firstLine="480"/>
        <w:rPr>
          <w:rFonts w:ascii="新細明體" w:hint="eastAsia"/>
        </w:rPr>
      </w:pPr>
      <w:r>
        <w:rPr>
          <w:rFonts w:ascii="新細明體" w:hint="eastAsia"/>
        </w:rPr>
        <w:t>英國法有關公務員因公涉訟制度是規定在其「公務員管理辦法」（</w:t>
      </w:r>
      <w:r>
        <w:rPr>
          <w:rFonts w:ascii="新細明體" w:hint="eastAsia"/>
        </w:rPr>
        <w:t>civil service management code</w:t>
      </w:r>
      <w:r>
        <w:rPr>
          <w:rFonts w:ascii="新細明體" w:hint="eastAsia"/>
        </w:rPr>
        <w:t>）</w:t>
      </w:r>
      <w:r>
        <w:rPr>
          <w:rStyle w:val="a6"/>
          <w:rFonts w:ascii="新細明體" w:hint="eastAsia"/>
        </w:rPr>
        <w:footnoteReference w:id="33"/>
      </w:r>
      <w:r>
        <w:rPr>
          <w:rFonts w:ascii="新細明體" w:hint="eastAsia"/>
        </w:rPr>
        <w:t>中，該辦法內容龐</w:t>
      </w:r>
      <w:r>
        <w:rPr>
          <w:rFonts w:ascii="新細明體" w:hint="eastAsia"/>
        </w:rPr>
        <w:t>雜，共計十二章</w:t>
      </w:r>
      <w:r>
        <w:rPr>
          <w:rStyle w:val="a6"/>
          <w:rFonts w:ascii="新細明體" w:hint="eastAsia"/>
        </w:rPr>
        <w:footnoteReference w:id="34"/>
      </w:r>
      <w:r>
        <w:rPr>
          <w:rFonts w:ascii="新細明體" w:hint="eastAsia"/>
        </w:rPr>
        <w:t>，為英國有關公務員法制之基本法。</w:t>
      </w:r>
      <w:r>
        <w:rPr>
          <w:rStyle w:val="a6"/>
          <w:rFonts w:ascii="新細明體" w:hint="eastAsia"/>
        </w:rPr>
        <w:footnoteReference w:id="35"/>
      </w:r>
      <w:r>
        <w:rPr>
          <w:rFonts w:ascii="新細明體" w:hint="eastAsia"/>
        </w:rPr>
        <w:t>不過須注意的是，根據本文上段說明可知，該辦法在位階上僅是行政規則，並非真正的法律。</w:t>
      </w:r>
    </w:p>
    <w:p w:rsidR="00000000" w:rsidRDefault="002D1830">
      <w:pPr>
        <w:spacing w:line="360" w:lineRule="auto"/>
        <w:ind w:firstLine="480"/>
        <w:rPr>
          <w:rFonts w:ascii="新細明體" w:hint="eastAsia"/>
        </w:rPr>
      </w:pPr>
      <w:r>
        <w:rPr>
          <w:rFonts w:ascii="新細明體" w:hint="eastAsia"/>
        </w:rPr>
        <w:t>其次，該辦法第十二章章名為公費負擔之申訴及法定代理（</w:t>
      </w:r>
      <w:r>
        <w:rPr>
          <w:rFonts w:ascii="新細明體" w:hint="eastAsia"/>
        </w:rPr>
        <w:t>appeal and legal representation at public expense</w:t>
      </w:r>
      <w:r>
        <w:rPr>
          <w:rFonts w:ascii="新細明體" w:hint="eastAsia"/>
        </w:rPr>
        <w:t>）規定有關公務員因公涉訟時之處理準則，茲特將該部分節錄如下，以為比較研究之依據：</w:t>
      </w:r>
    </w:p>
    <w:p w:rsidR="00000000" w:rsidRDefault="002D1830" w:rsidP="002D1830">
      <w:pPr>
        <w:numPr>
          <w:ilvl w:val="1"/>
          <w:numId w:val="5"/>
        </w:numPr>
        <w:spacing w:line="360" w:lineRule="auto"/>
        <w:ind w:firstLineChars="0"/>
        <w:jc w:val="left"/>
        <w:rPr>
          <w:rFonts w:ascii="新細明體" w:hint="eastAsia"/>
          <w:b/>
        </w:rPr>
      </w:pPr>
      <w:r>
        <w:rPr>
          <w:rFonts w:ascii="新細明體" w:hint="eastAsia"/>
          <w:b/>
        </w:rPr>
        <w:t>公費負擔之法定代理</w:t>
      </w:r>
    </w:p>
    <w:p w:rsidR="00000000" w:rsidRDefault="002D1830" w:rsidP="002D1830">
      <w:pPr>
        <w:numPr>
          <w:ilvl w:val="2"/>
          <w:numId w:val="5"/>
        </w:numPr>
        <w:spacing w:line="360" w:lineRule="auto"/>
        <w:ind w:firstLineChars="0"/>
        <w:jc w:val="left"/>
        <w:rPr>
          <w:rFonts w:ascii="新細明體" w:hint="eastAsia"/>
        </w:rPr>
      </w:pPr>
      <w:r>
        <w:rPr>
          <w:rFonts w:ascii="新細明體" w:hint="eastAsia"/>
        </w:rPr>
        <w:t>公務員於執行職務時可能涉及訴訟或正式的調查程序。除非系爭情況合乎以下</w:t>
      </w:r>
      <w:r>
        <w:rPr>
          <w:rFonts w:ascii="新細明體" w:hint="eastAsia"/>
        </w:rPr>
        <w:t>12.2.2</w:t>
      </w:r>
      <w:r>
        <w:rPr>
          <w:rFonts w:ascii="新細明體" w:hint="eastAsia"/>
        </w:rPr>
        <w:t>至</w:t>
      </w:r>
      <w:r>
        <w:rPr>
          <w:rFonts w:ascii="新細明體" w:hint="eastAsia"/>
        </w:rPr>
        <w:t>12.2.5</w:t>
      </w:r>
      <w:r>
        <w:rPr>
          <w:rFonts w:ascii="新細明體" w:hint="eastAsia"/>
        </w:rPr>
        <w:t>之規定，否則官署對於是否提供涉案</w:t>
      </w:r>
      <w:r>
        <w:rPr>
          <w:rFonts w:ascii="新細明體" w:hint="eastAsia"/>
        </w:rPr>
        <w:t>公務員部份或全部法定代理，或支付部份或全部之訴訟費用有裁量權。為決定是否行使裁量權，官署必須考量以下事項：</w:t>
      </w:r>
    </w:p>
    <w:p w:rsidR="00000000" w:rsidRDefault="002D1830" w:rsidP="002D1830">
      <w:pPr>
        <w:numPr>
          <w:ilvl w:val="0"/>
          <w:numId w:val="6"/>
        </w:numPr>
        <w:spacing w:line="360" w:lineRule="auto"/>
        <w:ind w:firstLineChars="0"/>
        <w:jc w:val="left"/>
        <w:rPr>
          <w:rFonts w:ascii="新細明體" w:hint="eastAsia"/>
        </w:rPr>
      </w:pPr>
      <w:r>
        <w:rPr>
          <w:rFonts w:ascii="新細明體" w:hint="eastAsia"/>
        </w:rPr>
        <w:t>提供扶助是否合乎公益；</w:t>
      </w:r>
    </w:p>
    <w:p w:rsidR="00000000" w:rsidRDefault="002D1830" w:rsidP="002D1830">
      <w:pPr>
        <w:numPr>
          <w:ilvl w:val="0"/>
          <w:numId w:val="6"/>
        </w:numPr>
        <w:spacing w:line="360" w:lineRule="auto"/>
        <w:ind w:firstLineChars="0"/>
        <w:jc w:val="left"/>
        <w:rPr>
          <w:rFonts w:ascii="新細明體" w:hint="eastAsia"/>
        </w:rPr>
      </w:pPr>
      <w:r>
        <w:rPr>
          <w:rFonts w:ascii="新細明體" w:hint="eastAsia"/>
        </w:rPr>
        <w:t>是否公務員之系爭行為是在其職務範圍內所為。</w:t>
      </w:r>
    </w:p>
    <w:p w:rsidR="00000000" w:rsidRDefault="002D1830">
      <w:pPr>
        <w:spacing w:line="360" w:lineRule="auto"/>
        <w:ind w:firstLine="480"/>
        <w:rPr>
          <w:rFonts w:ascii="新細明體" w:hint="eastAsia"/>
          <w:b/>
        </w:rPr>
      </w:pPr>
      <w:r>
        <w:rPr>
          <w:rFonts w:ascii="新細明體" w:hint="eastAsia"/>
          <w:b/>
        </w:rPr>
        <w:t>官署之義務</w:t>
      </w:r>
    </w:p>
    <w:p w:rsidR="00000000" w:rsidRDefault="002D1830" w:rsidP="002D1830">
      <w:pPr>
        <w:numPr>
          <w:ilvl w:val="2"/>
          <w:numId w:val="5"/>
        </w:numPr>
        <w:spacing w:line="360" w:lineRule="auto"/>
        <w:ind w:firstLineChars="0"/>
        <w:jc w:val="left"/>
        <w:rPr>
          <w:rFonts w:ascii="新細明體" w:hint="eastAsia"/>
        </w:rPr>
      </w:pPr>
      <w:r>
        <w:rPr>
          <w:rFonts w:ascii="新細明體" w:hint="eastAsia"/>
        </w:rPr>
        <w:t>官署應提供法定代理給因執行職務之行為而被控損害賠償之公務員。這種法定代理應係由皇家初級律師</w:t>
      </w:r>
      <w:r>
        <w:rPr>
          <w:rFonts w:ascii="新細明體" w:hint="eastAsia"/>
        </w:rPr>
        <w:t>(Solicitor)</w:t>
      </w:r>
      <w:r>
        <w:rPr>
          <w:rStyle w:val="a6"/>
          <w:rFonts w:ascii="新細明體" w:hint="eastAsia"/>
        </w:rPr>
        <w:footnoteReference w:id="36"/>
      </w:r>
      <w:r>
        <w:rPr>
          <w:rFonts w:ascii="新細明體" w:hint="eastAsia"/>
        </w:rPr>
        <w:t>為之。任何對於他方之責任或賠償，其費用由公家基金負擔。公務員之此項權利於下列情形不適用之：</w:t>
      </w:r>
    </w:p>
    <w:p w:rsidR="00000000" w:rsidRDefault="002D1830" w:rsidP="002D1830">
      <w:pPr>
        <w:numPr>
          <w:ilvl w:val="0"/>
          <w:numId w:val="7"/>
        </w:numPr>
        <w:spacing w:line="360" w:lineRule="auto"/>
        <w:ind w:firstLineChars="0"/>
        <w:jc w:val="left"/>
        <w:rPr>
          <w:rFonts w:ascii="新細明體" w:hint="eastAsia"/>
        </w:rPr>
      </w:pPr>
      <w:r>
        <w:rPr>
          <w:rFonts w:ascii="新細明體" w:hint="eastAsia"/>
        </w:rPr>
        <w:t>官署認定公務員之行為逾越其職務範圍；或</w:t>
      </w:r>
    </w:p>
    <w:p w:rsidR="00000000" w:rsidRDefault="002D1830" w:rsidP="002D1830">
      <w:pPr>
        <w:numPr>
          <w:ilvl w:val="0"/>
          <w:numId w:val="7"/>
        </w:numPr>
        <w:spacing w:line="360" w:lineRule="auto"/>
        <w:ind w:firstLineChars="0"/>
        <w:jc w:val="left"/>
        <w:rPr>
          <w:rFonts w:ascii="新細明體" w:hint="eastAsia"/>
        </w:rPr>
      </w:pPr>
      <w:r>
        <w:rPr>
          <w:rFonts w:ascii="新細明體" w:hint="eastAsia"/>
        </w:rPr>
        <w:t>公務員拒絕告知皇家初級律師其所需之事項。</w:t>
      </w:r>
    </w:p>
    <w:p w:rsidR="00000000" w:rsidRDefault="002D1830" w:rsidP="002D1830">
      <w:pPr>
        <w:numPr>
          <w:ilvl w:val="2"/>
          <w:numId w:val="5"/>
        </w:numPr>
        <w:spacing w:line="360" w:lineRule="auto"/>
        <w:ind w:firstLineChars="0"/>
        <w:jc w:val="left"/>
        <w:rPr>
          <w:rFonts w:ascii="新細明體" w:hint="eastAsia"/>
        </w:rPr>
      </w:pPr>
      <w:r>
        <w:rPr>
          <w:rFonts w:ascii="新細明體" w:hint="eastAsia"/>
        </w:rPr>
        <w:t>官署亦必須為下列事項：</w:t>
      </w:r>
    </w:p>
    <w:p w:rsidR="00000000" w:rsidRDefault="002D1830" w:rsidP="002D1830">
      <w:pPr>
        <w:numPr>
          <w:ilvl w:val="0"/>
          <w:numId w:val="8"/>
        </w:numPr>
        <w:spacing w:line="360" w:lineRule="auto"/>
        <w:ind w:firstLineChars="0"/>
        <w:jc w:val="left"/>
        <w:rPr>
          <w:rFonts w:ascii="新細明體" w:hint="eastAsia"/>
        </w:rPr>
      </w:pPr>
      <w:r>
        <w:rPr>
          <w:rFonts w:ascii="新細明體" w:hint="eastAsia"/>
        </w:rPr>
        <w:t>提供執行公務</w:t>
      </w:r>
      <w:r>
        <w:rPr>
          <w:rFonts w:ascii="新細明體" w:hint="eastAsia"/>
        </w:rPr>
        <w:t>時受侵害之公務員法律諮詢。對於給予任何後續程序之扶助，官署有裁量權；且</w:t>
      </w:r>
    </w:p>
    <w:p w:rsidR="00000000" w:rsidRDefault="002D1830" w:rsidP="002D1830">
      <w:pPr>
        <w:numPr>
          <w:ilvl w:val="0"/>
          <w:numId w:val="8"/>
        </w:numPr>
        <w:spacing w:line="360" w:lineRule="auto"/>
        <w:ind w:firstLineChars="0"/>
        <w:jc w:val="left"/>
        <w:rPr>
          <w:rFonts w:ascii="新細明體" w:hint="eastAsia"/>
        </w:rPr>
      </w:pPr>
      <w:r>
        <w:rPr>
          <w:rFonts w:ascii="新細明體" w:hint="eastAsia"/>
        </w:rPr>
        <w:t>若無利益衝突，則允許因執行職務而涉及審訊或致命事故訊問之公務員由官署之首長代理。否則是否提供法定代理則由官署裁量；且</w:t>
      </w:r>
    </w:p>
    <w:p w:rsidR="00000000" w:rsidRDefault="002D1830" w:rsidP="002D1830">
      <w:pPr>
        <w:numPr>
          <w:ilvl w:val="0"/>
          <w:numId w:val="8"/>
        </w:numPr>
        <w:spacing w:line="360" w:lineRule="auto"/>
        <w:ind w:firstLineChars="0"/>
        <w:jc w:val="left"/>
        <w:rPr>
          <w:rFonts w:ascii="新細明體" w:hint="eastAsia"/>
        </w:rPr>
      </w:pPr>
      <w:r>
        <w:rPr>
          <w:rFonts w:ascii="新細明體" w:hint="eastAsia"/>
        </w:rPr>
        <w:t>當正式訊問之結果可能會導致公務員被責難時，則官署應諮詢其法律顧問是否該公務員仍應給予由公費負擔之法定代理；同時官署應將其暫時的決定告知相關的公務員工會，且應同情考慮他們的觀點；且</w:t>
      </w:r>
    </w:p>
    <w:p w:rsidR="00000000" w:rsidRDefault="002D1830" w:rsidP="002D1830">
      <w:pPr>
        <w:numPr>
          <w:ilvl w:val="0"/>
          <w:numId w:val="8"/>
        </w:numPr>
        <w:spacing w:line="360" w:lineRule="auto"/>
        <w:ind w:firstLineChars="0"/>
        <w:jc w:val="left"/>
        <w:rPr>
          <w:rFonts w:ascii="新細明體" w:hint="eastAsia"/>
        </w:rPr>
      </w:pPr>
      <w:r>
        <w:rPr>
          <w:rFonts w:ascii="新細明體" w:hint="eastAsia"/>
        </w:rPr>
        <w:t>提供法定代理給由於執行職務範圍內之行為而於經訊問程序後被起訴之公務員，但該公務員明顯有故意或重大過失者不在此限。</w:t>
      </w:r>
    </w:p>
    <w:p w:rsidR="00000000" w:rsidRDefault="002D1830">
      <w:pPr>
        <w:spacing w:line="360" w:lineRule="auto"/>
        <w:ind w:firstLine="480"/>
        <w:rPr>
          <w:rFonts w:ascii="新細明體" w:hint="eastAsia"/>
          <w:b/>
        </w:rPr>
      </w:pPr>
      <w:r>
        <w:rPr>
          <w:rFonts w:ascii="新細明體" w:hint="eastAsia"/>
          <w:b/>
        </w:rPr>
        <w:t>上訴權</w:t>
      </w:r>
    </w:p>
    <w:p w:rsidR="00000000" w:rsidRDefault="002D1830" w:rsidP="002D1830">
      <w:pPr>
        <w:numPr>
          <w:ilvl w:val="2"/>
          <w:numId w:val="5"/>
        </w:numPr>
        <w:spacing w:line="360" w:lineRule="auto"/>
        <w:ind w:firstLineChars="0"/>
        <w:jc w:val="left"/>
        <w:rPr>
          <w:rFonts w:ascii="新細明體" w:hint="eastAsia"/>
        </w:rPr>
      </w:pPr>
      <w:r>
        <w:rPr>
          <w:rFonts w:ascii="新細明體" w:hint="eastAsia"/>
        </w:rPr>
        <w:t>公務員對於官署拒絕提</w:t>
      </w:r>
      <w:r>
        <w:rPr>
          <w:rFonts w:ascii="新細明體" w:hint="eastAsia"/>
        </w:rPr>
        <w:t>供其由公費負擔之法定代理或其他法律扶助之決定，得向最高行政機關或其首長上訴。</w:t>
      </w:r>
    </w:p>
    <w:p w:rsidR="00000000" w:rsidRDefault="002D1830">
      <w:pPr>
        <w:spacing w:line="360" w:lineRule="auto"/>
        <w:ind w:firstLine="480"/>
        <w:rPr>
          <w:rFonts w:ascii="新細明體" w:hint="eastAsia"/>
          <w:b/>
        </w:rPr>
      </w:pPr>
      <w:r>
        <w:rPr>
          <w:rFonts w:ascii="新細明體" w:hint="eastAsia"/>
          <w:b/>
        </w:rPr>
        <w:t>上級公務員的責任</w:t>
      </w:r>
    </w:p>
    <w:p w:rsidR="00000000" w:rsidRDefault="002D1830" w:rsidP="002D1830">
      <w:pPr>
        <w:numPr>
          <w:ilvl w:val="2"/>
          <w:numId w:val="5"/>
        </w:numPr>
        <w:spacing w:line="360" w:lineRule="auto"/>
        <w:ind w:firstLineChars="0" w:firstLine="480"/>
        <w:jc w:val="left"/>
        <w:rPr>
          <w:rFonts w:ascii="新細明體" w:hint="eastAsia"/>
        </w:rPr>
      </w:pPr>
      <w:r>
        <w:rPr>
          <w:rFonts w:ascii="新細明體" w:hint="eastAsia"/>
        </w:rPr>
        <w:t>除有以下</w:t>
      </w:r>
      <w:r>
        <w:rPr>
          <w:rFonts w:ascii="新細明體" w:hint="eastAsia"/>
        </w:rPr>
        <w:t>12.2.6</w:t>
      </w:r>
      <w:r>
        <w:rPr>
          <w:rFonts w:ascii="新細明體" w:hint="eastAsia"/>
        </w:rPr>
        <w:t>的情形外，英國皇室應承擔由於其上級或其他團體中之主管官員（若官署曾以書面確認該職位有本法之適用者）之職務行為而導致公務員惹起的民事責任，包含相關費用。</w:t>
      </w:r>
    </w:p>
    <w:p w:rsidR="00000000" w:rsidRDefault="002D1830">
      <w:pPr>
        <w:pStyle w:val="a8"/>
        <w:spacing w:line="360" w:lineRule="auto"/>
        <w:rPr>
          <w:rFonts w:ascii="新細明體" w:hint="eastAsia"/>
          <w:szCs w:val="24"/>
        </w:rPr>
      </w:pPr>
      <w:r>
        <w:rPr>
          <w:rFonts w:ascii="新細明體" w:hint="eastAsia"/>
          <w:szCs w:val="24"/>
        </w:rPr>
        <w:t>12.2.6</w:t>
      </w:r>
      <w:r>
        <w:rPr>
          <w:rFonts w:ascii="新細明體" w:hint="eastAsia"/>
          <w:szCs w:val="24"/>
        </w:rPr>
        <w:t>上項規定於下列情形不適用之﹕</w:t>
      </w:r>
    </w:p>
    <w:p w:rsidR="00000000" w:rsidRDefault="002D1830" w:rsidP="002D1830">
      <w:pPr>
        <w:pStyle w:val="a8"/>
        <w:numPr>
          <w:ilvl w:val="0"/>
          <w:numId w:val="11"/>
        </w:numPr>
        <w:spacing w:line="360" w:lineRule="auto"/>
        <w:rPr>
          <w:rFonts w:ascii="新細明體" w:hint="eastAsia"/>
          <w:szCs w:val="24"/>
        </w:rPr>
      </w:pPr>
      <w:r>
        <w:rPr>
          <w:rFonts w:ascii="新細明體" w:hint="eastAsia"/>
          <w:szCs w:val="24"/>
        </w:rPr>
        <w:t>該民事責任係由於涉案公務員之任何故意違法或不誠實者；或</w:t>
      </w:r>
    </w:p>
    <w:p w:rsidR="00000000" w:rsidRDefault="002D1830" w:rsidP="002D1830">
      <w:pPr>
        <w:pStyle w:val="a8"/>
        <w:numPr>
          <w:ilvl w:val="0"/>
          <w:numId w:val="11"/>
        </w:numPr>
        <w:spacing w:line="360" w:lineRule="auto"/>
        <w:rPr>
          <w:rFonts w:ascii="新細明體" w:hint="eastAsia"/>
          <w:szCs w:val="24"/>
        </w:rPr>
      </w:pPr>
      <w:r>
        <w:rPr>
          <w:rFonts w:ascii="新細明體" w:hint="eastAsia"/>
          <w:szCs w:val="24"/>
        </w:rPr>
        <w:t>公務員已獲得其他賠償。</w:t>
      </w:r>
    </w:p>
    <w:p w:rsidR="00000000" w:rsidRDefault="002D1830" w:rsidP="002D1830">
      <w:pPr>
        <w:numPr>
          <w:ilvl w:val="0"/>
          <w:numId w:val="4"/>
        </w:numPr>
        <w:spacing w:line="360" w:lineRule="auto"/>
        <w:ind w:firstLineChars="0"/>
        <w:jc w:val="left"/>
        <w:rPr>
          <w:rFonts w:ascii="新細明體" w:hint="eastAsia"/>
          <w:sz w:val="28"/>
          <w:szCs w:val="28"/>
        </w:rPr>
      </w:pPr>
      <w:r>
        <w:rPr>
          <w:rFonts w:ascii="新細明體" w:hint="eastAsia"/>
          <w:sz w:val="28"/>
          <w:szCs w:val="28"/>
        </w:rPr>
        <w:t>英國公務員因公涉訟法制分析</w:t>
      </w:r>
    </w:p>
    <w:p w:rsidR="00000000" w:rsidRDefault="002D1830">
      <w:pPr>
        <w:spacing w:line="360" w:lineRule="auto"/>
        <w:ind w:left="570" w:firstLine="480"/>
        <w:rPr>
          <w:rFonts w:ascii="新細明體" w:hint="eastAsia"/>
        </w:rPr>
      </w:pPr>
      <w:r>
        <w:rPr>
          <w:rFonts w:ascii="新細明體" w:hint="eastAsia"/>
        </w:rPr>
        <w:t>關於以上英國公務員因公涉訟法制，就整體而言是以提供「法定代理」（</w:t>
      </w:r>
      <w:r>
        <w:rPr>
          <w:rFonts w:ascii="新細明體" w:hint="eastAsia"/>
        </w:rPr>
        <w:t>legal represent</w:t>
      </w:r>
      <w:r>
        <w:rPr>
          <w:rFonts w:ascii="新細明體" w:hint="eastAsia"/>
        </w:rPr>
        <w:t>ation</w:t>
      </w:r>
      <w:r>
        <w:rPr>
          <w:rFonts w:ascii="新細明體" w:hint="eastAsia"/>
        </w:rPr>
        <w:t>）為核心，至於具體細節本文擬提出以下幾點說明﹕</w:t>
      </w:r>
    </w:p>
    <w:p w:rsidR="00000000" w:rsidRDefault="002D1830" w:rsidP="002D1830">
      <w:pPr>
        <w:numPr>
          <w:ilvl w:val="0"/>
          <w:numId w:val="9"/>
        </w:numPr>
        <w:spacing w:line="360" w:lineRule="auto"/>
        <w:ind w:firstLineChars="0"/>
        <w:jc w:val="left"/>
        <w:rPr>
          <w:rFonts w:ascii="新細明體" w:hint="eastAsia"/>
        </w:rPr>
      </w:pPr>
      <w:r>
        <w:rPr>
          <w:rFonts w:ascii="新細明體" w:hint="eastAsia"/>
        </w:rPr>
        <w:t>因公涉訟之認定</w:t>
      </w:r>
    </w:p>
    <w:p w:rsidR="00000000" w:rsidRDefault="002D1830">
      <w:pPr>
        <w:spacing w:line="360" w:lineRule="auto"/>
        <w:ind w:firstLine="480"/>
        <w:rPr>
          <w:rFonts w:ascii="新細明體" w:hint="eastAsia"/>
        </w:rPr>
      </w:pPr>
      <w:r>
        <w:rPr>
          <w:rFonts w:ascii="新細明體" w:hint="eastAsia"/>
        </w:rPr>
        <w:t>何謂﹕「因公涉訟？」在英國「公務員管理辦法」（以下簡稱該辦法）中係指﹕</w:t>
      </w:r>
    </w:p>
    <w:p w:rsidR="00000000" w:rsidRDefault="002D1830">
      <w:pPr>
        <w:pStyle w:val="a9"/>
        <w:ind w:left="0" w:firstLineChars="200"/>
        <w:rPr>
          <w:rFonts w:ascii="新細明體" w:eastAsia="新細明體" w:hint="eastAsia"/>
          <w:szCs w:val="24"/>
        </w:rPr>
      </w:pPr>
      <w:r>
        <w:rPr>
          <w:rFonts w:ascii="新細明體" w:eastAsia="新細明體" w:hint="eastAsia"/>
          <w:szCs w:val="24"/>
        </w:rPr>
        <w:t>公務員於執行職務時涉及訴訟或正式的調查程序。此時官署對於是否提供涉案公務員部份或全部法定代理，或支付部份或全部之訴訟費用有裁量權。但若符合法定例外情形時則不在此限（即無裁量權）。</w:t>
      </w:r>
    </w:p>
    <w:p w:rsidR="00000000" w:rsidRDefault="002D1830">
      <w:pPr>
        <w:spacing w:line="360" w:lineRule="auto"/>
        <w:ind w:firstLine="480"/>
        <w:rPr>
          <w:rFonts w:ascii="新細明體" w:hint="eastAsia"/>
        </w:rPr>
      </w:pPr>
      <w:r>
        <w:rPr>
          <w:rFonts w:ascii="新細明體" w:hint="eastAsia"/>
        </w:rPr>
        <w:t>亦即，所謂「因公」，係指公務員執行職務。而所謂「涉訟」，應指被列為被告而言，至於僅係證人或參加人應不包括在內。此外，除了進入法院訴訟程序外，尚包括之前的刑事調查程序。就前者涉及公務員之認</w:t>
      </w:r>
      <w:r>
        <w:rPr>
          <w:rFonts w:ascii="新細明體" w:hint="eastAsia"/>
        </w:rPr>
        <w:t>定與執行職務之範圍，以下會再討論。而就後者，所謂之訴訟，是否為民事、刑事，甚至行政訴訟均包含在內？不無疑問。參考該辦法其文義暨整體精神，首先，刑事訴訟應包括在內，蓋其既然訴訟與刑事調查訊問</w:t>
      </w:r>
      <w:r>
        <w:rPr>
          <w:rFonts w:ascii="新細明體" w:hint="eastAsia"/>
        </w:rPr>
        <w:t>(enquiry)</w:t>
      </w:r>
      <w:r>
        <w:rPr>
          <w:rFonts w:ascii="新細明體" w:hint="eastAsia"/>
        </w:rPr>
        <w:t>程序並舉，可知包含刑事程序在內。其次，就民事訴訟而言，亦應包含在內，蓋該辦法</w:t>
      </w:r>
      <w:r>
        <w:rPr>
          <w:rFonts w:ascii="新細明體" w:hint="eastAsia"/>
        </w:rPr>
        <w:t>12.2.2</w:t>
      </w:r>
      <w:r>
        <w:rPr>
          <w:rFonts w:ascii="新細明體" w:hint="eastAsia"/>
        </w:rPr>
        <w:t>項規定﹕「官署應提供法定代理給因執行職務之行為而被控損害賠償之公務員。」且規定由公家基金負擔賠償費用。可知該辦法所謂訴訟包括民事損害賠償訴訟。最後，就行政訴訟，是否包括在內則有疑問。因為一方面，嚴格來講由於英國是司法一</w:t>
      </w:r>
      <w:r>
        <w:rPr>
          <w:rFonts w:ascii="新細明體" w:hint="eastAsia"/>
        </w:rPr>
        <w:t>元論之國家</w:t>
      </w:r>
      <w:r>
        <w:rPr>
          <w:rStyle w:val="a6"/>
          <w:rFonts w:ascii="新細明體" w:hint="eastAsia"/>
        </w:rPr>
        <w:footnoteReference w:id="37"/>
      </w:r>
      <w:r>
        <w:rPr>
          <w:rFonts w:ascii="新細明體" w:hint="eastAsia"/>
        </w:rPr>
        <w:t>，因此英國法並無大陸法系（尤其是德國法）之行政訴訟制度；並且，就該辦法解釋，所謂因公涉訟既然是指公務員因執行職務而被告，則在概念上似不可能成立公務員因執行職務而被列為行政訴訟之被告，故該辦法所謂之訴訟似不包含行政訴訟在內。</w:t>
      </w:r>
    </w:p>
    <w:p w:rsidR="00000000" w:rsidRDefault="002D1830" w:rsidP="002D1830">
      <w:pPr>
        <w:numPr>
          <w:ilvl w:val="0"/>
          <w:numId w:val="9"/>
        </w:numPr>
        <w:spacing w:line="360" w:lineRule="auto"/>
        <w:ind w:firstLineChars="0"/>
        <w:jc w:val="left"/>
        <w:rPr>
          <w:rFonts w:ascii="新細明體" w:hint="eastAsia"/>
        </w:rPr>
      </w:pPr>
      <w:r>
        <w:rPr>
          <w:rFonts w:ascii="新細明體" w:hint="eastAsia"/>
        </w:rPr>
        <w:t>適用對象之判斷</w:t>
      </w:r>
    </w:p>
    <w:p w:rsidR="00000000" w:rsidRDefault="002D1830">
      <w:pPr>
        <w:spacing w:line="360" w:lineRule="auto"/>
        <w:ind w:firstLine="480"/>
        <w:rPr>
          <w:rFonts w:ascii="新細明體" w:hint="eastAsia"/>
        </w:rPr>
      </w:pPr>
      <w:r>
        <w:rPr>
          <w:rFonts w:ascii="新細明體" w:hint="eastAsia"/>
        </w:rPr>
        <w:t>此點涉及的是「公務員」的認定標準。關於這一點本法原則上以為（皇家）公務員應係指經政府公開公平考試及格且品格優良（</w:t>
      </w:r>
      <w:r>
        <w:rPr>
          <w:rFonts w:ascii="新細明體" w:hAnsi="Helvetica" w:hint="eastAsia"/>
        </w:rPr>
        <w:t>Fair and Open Competition and Selection on Merit</w:t>
      </w:r>
      <w:r>
        <w:rPr>
          <w:rFonts w:ascii="新細明體" w:hint="eastAsia"/>
        </w:rPr>
        <w:t>），並經試用（</w:t>
      </w:r>
      <w:r>
        <w:rPr>
          <w:rFonts w:ascii="新細明體" w:hint="eastAsia"/>
        </w:rPr>
        <w:t>PROBATION</w:t>
      </w:r>
      <w:r>
        <w:rPr>
          <w:rFonts w:ascii="新細明體" w:hint="eastAsia"/>
        </w:rPr>
        <w:t>）期滿，正式授與公務</w:t>
      </w:r>
      <w:r>
        <w:rPr>
          <w:rFonts w:ascii="新細明體" w:hint="eastAsia"/>
        </w:rPr>
        <w:t>員資格者而言。</w:t>
      </w:r>
      <w:r>
        <w:rPr>
          <w:rStyle w:val="a6"/>
          <w:rFonts w:ascii="新細明體" w:hint="eastAsia"/>
        </w:rPr>
        <w:footnoteReference w:id="38"/>
      </w:r>
      <w:r>
        <w:rPr>
          <w:rFonts w:ascii="新細明體" w:hint="eastAsia"/>
        </w:rPr>
        <w:t>（參見本法</w:t>
      </w:r>
      <w:r>
        <w:rPr>
          <w:rFonts w:ascii="新細明體" w:hAnsi="Helvetica" w:hint="eastAsia"/>
        </w:rPr>
        <w:t xml:space="preserve">CHAPTER 1  TAKING UP APPOINTMENT </w:t>
      </w:r>
      <w:r>
        <w:rPr>
          <w:rFonts w:ascii="新細明體" w:hint="eastAsia"/>
        </w:rPr>
        <w:t>Section 1.1 Recruitment</w:t>
      </w:r>
      <w:r>
        <w:rPr>
          <w:rFonts w:ascii="新細明體" w:hint="eastAsia"/>
        </w:rPr>
        <w:t>及</w:t>
      </w:r>
      <w:r>
        <w:rPr>
          <w:rFonts w:ascii="新細明體" w:hint="eastAsia"/>
        </w:rPr>
        <w:t>Annex A: Civil Service Commissioners</w:t>
      </w:r>
      <w:r>
        <w:rPr>
          <w:rFonts w:ascii="新細明體" w:hint="eastAsia"/>
        </w:rPr>
        <w:t>’</w:t>
      </w:r>
      <w:r>
        <w:rPr>
          <w:rFonts w:ascii="新細明體" w:hint="eastAsia"/>
        </w:rPr>
        <w:t xml:space="preserve"> Recruitment Code</w:t>
      </w:r>
      <w:r>
        <w:rPr>
          <w:rFonts w:ascii="新細明體" w:hint="eastAsia"/>
        </w:rPr>
        <w:t>）但若私人經政府授與公權力執行公共任務，則亦認為該當本法公務員之概念。換言之，</w:t>
      </w:r>
      <w:r>
        <w:rPr>
          <w:rFonts w:ascii="新細明體" w:hint="eastAsia"/>
          <w:u w:val="single"/>
        </w:rPr>
        <w:t>本辦法對公務員之認定採實質標準</w:t>
      </w:r>
      <w:r>
        <w:rPr>
          <w:rFonts w:ascii="新細明體" w:hint="eastAsia"/>
        </w:rPr>
        <w:t>。這是規定在本法附件（</w:t>
      </w:r>
      <w:r>
        <w:rPr>
          <w:rFonts w:ascii="新細明體" w:hint="eastAsia"/>
        </w:rPr>
        <w:t>annex</w:t>
      </w:r>
      <w:r>
        <w:rPr>
          <w:rFonts w:ascii="新細明體" w:hint="eastAsia"/>
        </w:rPr>
        <w:t>）之「國務院一九九五年之公務員命令」（</w:t>
      </w:r>
      <w:r>
        <w:rPr>
          <w:rFonts w:ascii="新細明體" w:hint="eastAsia"/>
        </w:rPr>
        <w:t>Civil Service Order in Council 1995</w:t>
      </w:r>
      <w:r>
        <w:rPr>
          <w:rFonts w:ascii="新細明體" w:hint="eastAsia"/>
        </w:rPr>
        <w:t>）。</w:t>
      </w:r>
      <w:r>
        <w:rPr>
          <w:rStyle w:val="a6"/>
          <w:rFonts w:ascii="新細明體" w:hint="eastAsia"/>
        </w:rPr>
        <w:footnoteReference w:id="39"/>
      </w:r>
      <w:r>
        <w:rPr>
          <w:rFonts w:ascii="新細明體" w:hint="eastAsia"/>
        </w:rPr>
        <w:t>由於該命令</w:t>
      </w:r>
      <w:r>
        <w:rPr>
          <w:rFonts w:ascii="新細明體" w:hint="eastAsia"/>
        </w:rPr>
        <w:t>在性質上是法規命令，效力較本辦法強，自應依該命令解釋。</w:t>
      </w:r>
    </w:p>
    <w:p w:rsidR="00000000" w:rsidRDefault="002D1830" w:rsidP="002D1830">
      <w:pPr>
        <w:numPr>
          <w:ilvl w:val="0"/>
          <w:numId w:val="9"/>
        </w:numPr>
        <w:spacing w:line="360" w:lineRule="auto"/>
        <w:ind w:firstLineChars="0"/>
        <w:jc w:val="left"/>
        <w:rPr>
          <w:rFonts w:ascii="新細明體" w:hint="eastAsia"/>
        </w:rPr>
      </w:pPr>
      <w:r>
        <w:rPr>
          <w:rFonts w:ascii="新細明體" w:hint="eastAsia"/>
        </w:rPr>
        <w:t>依法執行職務之範圍</w:t>
      </w:r>
    </w:p>
    <w:p w:rsidR="00000000" w:rsidRDefault="002D1830">
      <w:pPr>
        <w:spacing w:line="360" w:lineRule="auto"/>
        <w:ind w:firstLine="480"/>
        <w:rPr>
          <w:rFonts w:ascii="新細明體" w:hint="eastAsia"/>
        </w:rPr>
      </w:pPr>
      <w:r>
        <w:rPr>
          <w:rFonts w:ascii="新細明體" w:hint="eastAsia"/>
        </w:rPr>
        <w:t>由該辦法許多規定都提到，是否給予法律扶助的一項重要前提是公務員未逾越其職權範圍。（例如</w:t>
      </w:r>
      <w:r>
        <w:rPr>
          <w:rFonts w:ascii="新細明體" w:hint="eastAsia"/>
        </w:rPr>
        <w:t>12.2.1.b</w:t>
      </w:r>
      <w:r>
        <w:rPr>
          <w:rFonts w:ascii="新細明體" w:hint="eastAsia"/>
        </w:rPr>
        <w:t>，</w:t>
      </w:r>
      <w:r>
        <w:rPr>
          <w:rFonts w:ascii="新細明體" w:hint="eastAsia"/>
        </w:rPr>
        <w:t>12.2.2.a</w:t>
      </w:r>
      <w:r>
        <w:rPr>
          <w:rFonts w:ascii="新細明體" w:hint="eastAsia"/>
        </w:rPr>
        <w:t>）因此可以得知，所謂依法執行職務之範圍應以合法者為限。換言之，若公務員逾權，即違法者，則公務員應自負其責而無任何法律扶助之可言。</w:t>
      </w:r>
    </w:p>
    <w:p w:rsidR="00000000" w:rsidRDefault="002D1830">
      <w:pPr>
        <w:spacing w:line="360" w:lineRule="auto"/>
        <w:ind w:firstLine="480"/>
        <w:rPr>
          <w:rFonts w:ascii="新細明體" w:hint="eastAsia"/>
        </w:rPr>
      </w:pPr>
      <w:r>
        <w:rPr>
          <w:rFonts w:ascii="新細明體" w:hint="eastAsia"/>
        </w:rPr>
        <w:t>不過關於此點尚有二問題值得提出來討論。第一個是如何認定公務員是否是在執行職務？與之相關者是，如何認定其職務範圍？例如﹕今有一公務員自認在執行職務（即執行其職權範圍內之工作），但事實上已逾</w:t>
      </w:r>
      <w:r>
        <w:rPr>
          <w:rFonts w:ascii="新細明體" w:hint="eastAsia"/>
        </w:rPr>
        <w:t>越其法定職權，此時發生訴訟是否仍有該辦法之適用？關於此問題，若非依主觀說即係依客觀說認定。雖該辦法未明確規定，不過從該辦法第</w:t>
      </w:r>
      <w:r>
        <w:rPr>
          <w:rFonts w:ascii="新細明體" w:hint="eastAsia"/>
        </w:rPr>
        <w:t>12.2.2.a</w:t>
      </w:r>
      <w:r>
        <w:rPr>
          <w:rFonts w:ascii="新細明體" w:hint="eastAsia"/>
        </w:rPr>
        <w:t>規定由官署認定所屬公務員是否逾越職權觀之，似偏向客觀說。第二個問題是若上級交代公務員之任務係屬違法者，是否仍為職務範圍內之行為而有該辦法之適用？則依該辦法第</w:t>
      </w:r>
      <w:r>
        <w:rPr>
          <w:rFonts w:ascii="新細明體" w:hint="eastAsia"/>
        </w:rPr>
        <w:t>12.2.5</w:t>
      </w:r>
      <w:r>
        <w:rPr>
          <w:rFonts w:ascii="新細明體" w:hint="eastAsia"/>
        </w:rPr>
        <w:t>項規定，此時應由政府（英國皇室，</w:t>
      </w:r>
      <w:r>
        <w:rPr>
          <w:rFonts w:ascii="新細明體" w:hint="eastAsia"/>
        </w:rPr>
        <w:t>Crown</w:t>
      </w:r>
      <w:r>
        <w:rPr>
          <w:rFonts w:ascii="新細明體" w:hint="eastAsia"/>
        </w:rPr>
        <w:t>）承擔一切民事責任與費用。且似不區分下級公務員是否明知上級違法。</w:t>
      </w:r>
    </w:p>
    <w:p w:rsidR="00000000" w:rsidRDefault="002D1830" w:rsidP="002D1830">
      <w:pPr>
        <w:numPr>
          <w:ilvl w:val="0"/>
          <w:numId w:val="9"/>
        </w:numPr>
        <w:spacing w:line="360" w:lineRule="auto"/>
        <w:ind w:firstLineChars="0"/>
        <w:jc w:val="left"/>
        <w:rPr>
          <w:rFonts w:ascii="新細明體" w:hint="eastAsia"/>
        </w:rPr>
      </w:pPr>
      <w:r>
        <w:rPr>
          <w:rFonts w:ascii="新細明體" w:hint="eastAsia"/>
        </w:rPr>
        <w:t>延聘律師制度</w:t>
      </w:r>
    </w:p>
    <w:p w:rsidR="00000000" w:rsidRDefault="002D1830">
      <w:pPr>
        <w:spacing w:line="360" w:lineRule="auto"/>
        <w:ind w:firstLine="480"/>
        <w:rPr>
          <w:rFonts w:ascii="新細明體" w:hint="eastAsia"/>
        </w:rPr>
      </w:pPr>
      <w:r>
        <w:rPr>
          <w:rFonts w:ascii="新細明體" w:hint="eastAsia"/>
        </w:rPr>
        <w:t>如前所述，若公務員因執行職務而被控</w:t>
      </w:r>
      <w:r>
        <w:rPr>
          <w:rFonts w:ascii="新細明體" w:hint="eastAsia"/>
          <w:u w:val="single"/>
        </w:rPr>
        <w:t>民事上損害賠償</w:t>
      </w:r>
      <w:r>
        <w:rPr>
          <w:rFonts w:ascii="新細明體" w:hint="eastAsia"/>
        </w:rPr>
        <w:t>，則其所屬機關應為其延聘「皇家初級</w:t>
      </w:r>
      <w:r>
        <w:rPr>
          <w:rFonts w:ascii="新細明體" w:hint="eastAsia"/>
        </w:rPr>
        <w:t>律師」為其代理人而非聘請一般的「出庭律師」。但若反面解釋如涉及的是民事上其他糾紛，例如契約的問題，則似無義務提供法律扶助，而應回歸一般原則，由官署裁量。另一方面，須注意的是，根據該辦法第</w:t>
      </w:r>
      <w:r>
        <w:rPr>
          <w:rFonts w:ascii="新細明體" w:hint="eastAsia"/>
        </w:rPr>
        <w:t>12.2.3</w:t>
      </w:r>
      <w:r>
        <w:rPr>
          <w:rFonts w:ascii="新細明體" w:hint="eastAsia"/>
        </w:rPr>
        <w:t>項</w:t>
      </w:r>
      <w:r>
        <w:rPr>
          <w:rFonts w:ascii="新細明體" w:hint="eastAsia"/>
        </w:rPr>
        <w:t>b</w:t>
      </w:r>
      <w:r>
        <w:rPr>
          <w:rFonts w:ascii="新細明體" w:hint="eastAsia"/>
        </w:rPr>
        <w:t>款，若無利益衝突，遇有公務員因執行職務而涉及</w:t>
      </w:r>
      <w:r>
        <w:rPr>
          <w:rFonts w:ascii="新細明體" w:hint="eastAsia"/>
          <w:u w:val="single"/>
        </w:rPr>
        <w:t>刑事審訊（</w:t>
      </w:r>
      <w:r>
        <w:rPr>
          <w:rFonts w:ascii="新細明體" w:hint="eastAsia"/>
          <w:u w:val="single"/>
        </w:rPr>
        <w:t>INQUEST</w:t>
      </w:r>
      <w:r>
        <w:rPr>
          <w:rFonts w:ascii="新細明體" w:hint="eastAsia"/>
          <w:u w:val="single"/>
        </w:rPr>
        <w:t>）</w:t>
      </w:r>
      <w:r>
        <w:rPr>
          <w:rStyle w:val="a6"/>
          <w:rFonts w:ascii="新細明體" w:hint="eastAsia"/>
          <w:u w:val="single"/>
        </w:rPr>
        <w:footnoteReference w:id="40"/>
      </w:r>
      <w:r>
        <w:rPr>
          <w:rFonts w:ascii="新細明體" w:hint="eastAsia"/>
          <w:u w:val="single"/>
        </w:rPr>
        <w:t>或致命事故訊問（</w:t>
      </w:r>
      <w:r>
        <w:rPr>
          <w:rFonts w:ascii="新細明體" w:hint="eastAsia"/>
          <w:u w:val="single"/>
        </w:rPr>
        <w:t>FATAL ACCIDENT ENQUIRY</w:t>
      </w:r>
      <w:r>
        <w:rPr>
          <w:rFonts w:ascii="新細明體" w:hint="eastAsia"/>
          <w:u w:val="single"/>
        </w:rPr>
        <w:t>）</w:t>
      </w:r>
      <w:r>
        <w:rPr>
          <w:rStyle w:val="a6"/>
          <w:rFonts w:ascii="新細明體" w:hint="eastAsia"/>
          <w:u w:val="single"/>
        </w:rPr>
        <w:footnoteReference w:id="41"/>
      </w:r>
      <w:r>
        <w:rPr>
          <w:rFonts w:ascii="新細明體" w:hint="eastAsia"/>
        </w:rPr>
        <w:t>時就系爭案件應由該「機關首長」代理涉案之公務員。至於一般的刑事案件則未規定，似應回歸原則（</w:t>
      </w:r>
      <w:r>
        <w:rPr>
          <w:rFonts w:ascii="新細明體" w:hint="eastAsia"/>
        </w:rPr>
        <w:t>12.2.1</w:t>
      </w:r>
      <w:r>
        <w:rPr>
          <w:rFonts w:ascii="新細明體" w:hint="eastAsia"/>
        </w:rPr>
        <w:t>），即官署有裁量權。基本關係可簡圖如下：</w:t>
      </w:r>
      <w:r>
        <w:rPr>
          <w:rFonts w:ascii="新細明體" w:hint="eastAsia"/>
        </w:rPr>
        <w:t xml:space="preserve">   </w:t>
      </w:r>
    </w:p>
    <w:p w:rsidR="00000000" w:rsidRDefault="002D1830">
      <w:pPr>
        <w:spacing w:line="360" w:lineRule="auto"/>
        <w:ind w:firstLine="480"/>
        <w:rPr>
          <w:rFonts w:ascii="新細明體" w:hint="eastAsia"/>
        </w:rPr>
      </w:pPr>
    </w:p>
    <w:p w:rsidR="00000000" w:rsidRDefault="002D1830">
      <w:pPr>
        <w:spacing w:line="360" w:lineRule="auto"/>
        <w:ind w:firstLine="480"/>
        <w:rPr>
          <w:rFonts w:ascii="新細明體" w:hint="eastAsia"/>
        </w:rPr>
      </w:pPr>
      <w:r>
        <w:rPr>
          <w:rFonts w:ascii="新細明體" w:hint="eastAsia"/>
        </w:rPr>
        <w:t xml:space="preserve">           </w:t>
      </w:r>
      <w:r>
        <w:rPr>
          <w:rFonts w:ascii="新細明體" w:hint="eastAsia"/>
        </w:rPr>
        <w:t xml:space="preserve">  </w:t>
      </w:r>
    </w:p>
    <w:p w:rsidR="00000000" w:rsidRDefault="00703FAE">
      <w:pPr>
        <w:spacing w:line="360" w:lineRule="auto"/>
        <w:ind w:firstLine="480"/>
        <w:rPr>
          <w:rFonts w:ascii="新細明體" w:hint="eastAsia"/>
        </w:rPr>
      </w:pPr>
      <w:r>
        <w:rPr>
          <w:rFonts w:ascii="新細明體" w:hint="eastAsia"/>
          <w:noProof/>
        </w:rPr>
        <mc:AlternateContent>
          <mc:Choice Requires="wps">
            <w:drawing>
              <wp:anchor distT="0" distB="0" distL="114300" distR="114300" simplePos="0" relativeHeight="251661824" behindDoc="0" locked="0" layoutInCell="1" allowOverlap="1">
                <wp:simplePos x="0" y="0"/>
                <wp:positionH relativeFrom="column">
                  <wp:posOffset>2667000</wp:posOffset>
                </wp:positionH>
                <wp:positionV relativeFrom="paragraph">
                  <wp:posOffset>114300</wp:posOffset>
                </wp:positionV>
                <wp:extent cx="685800" cy="114300"/>
                <wp:effectExtent l="9525" t="19050" r="28575" b="952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igh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E96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210pt;margin-top:9pt;width:54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"/>
            </w:pict>
          </mc:Fallback>
        </mc:AlternateContent>
      </w:r>
      <w:r>
        <w:rPr>
          <w:rFonts w:ascii="新細明體" w:hint="eastAsia"/>
          <w:noProof/>
        </w:rPr>
        <mc:AlternateContent>
          <mc:Choice Requires="wps">
            <w:drawing>
              <wp:anchor distT="0" distB="0" distL="114300" distR="114300" simplePos="0" relativeHeight="251655680" behindDoc="0" locked="0" layoutInCell="0" allowOverlap="1">
                <wp:simplePos x="0" y="0"/>
                <wp:positionH relativeFrom="column">
                  <wp:posOffset>1600200</wp:posOffset>
                </wp:positionH>
                <wp:positionV relativeFrom="paragraph">
                  <wp:posOffset>228600</wp:posOffset>
                </wp:positionV>
                <wp:extent cx="228600" cy="0"/>
                <wp:effectExtent l="9525" t="9525" r="9525" b="952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09DF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c7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" o:allowincell="f"/>
            </w:pict>
          </mc:Fallback>
        </mc:AlternateContent>
      </w:r>
      <w:r>
        <w:rPr>
          <w:rFonts w:ascii="新細明體" w:hint="eastAsia"/>
          <w:noProof/>
        </w:rPr>
        <mc:AlternateContent>
          <mc:Choice Requires="wps">
            <w:drawing>
              <wp:anchor distT="0" distB="0" distL="114300" distR="114300" simplePos="0" relativeHeight="251654656" behindDoc="0" locked="0" layoutInCell="0" allowOverlap="1">
                <wp:simplePos x="0" y="0"/>
                <wp:positionH relativeFrom="column">
                  <wp:posOffset>1600200</wp:posOffset>
                </wp:positionH>
                <wp:positionV relativeFrom="paragraph">
                  <wp:posOffset>228600</wp:posOffset>
                </wp:positionV>
                <wp:extent cx="0" cy="571500"/>
                <wp:effectExtent l="9525" t="9525" r="9525" b="952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D2D82"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1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Qq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" o:allowincell="f"/>
            </w:pict>
          </mc:Fallback>
        </mc:AlternateContent>
      </w:r>
      <w:r w:rsidR="002D1830">
        <w:rPr>
          <w:rFonts w:ascii="新細明體" w:hint="eastAsia"/>
        </w:rPr>
        <w:t xml:space="preserve">                     </w:t>
      </w:r>
      <w:r w:rsidR="002D1830">
        <w:rPr>
          <w:rFonts w:ascii="新細明體" w:hint="eastAsia"/>
        </w:rPr>
        <w:t>損害賠償</w:t>
      </w:r>
      <w:r w:rsidR="002D1830">
        <w:rPr>
          <w:rFonts w:ascii="新細明體" w:hint="eastAsia"/>
        </w:rPr>
        <w:t xml:space="preserve">             </w:t>
      </w:r>
      <w:r w:rsidR="002D1830">
        <w:rPr>
          <w:rFonts w:ascii="新細明體" w:hint="eastAsia"/>
        </w:rPr>
        <w:t>皇家初級律師代理</w:t>
      </w:r>
    </w:p>
    <w:p w:rsidR="00000000" w:rsidRDefault="00703FAE">
      <w:pPr>
        <w:spacing w:line="360" w:lineRule="auto"/>
        <w:ind w:firstLine="480"/>
        <w:rPr>
          <w:rFonts w:ascii="新細明體" w:hint="eastAsia"/>
        </w:rPr>
      </w:pPr>
      <w:r>
        <w:rPr>
          <w:rFonts w:ascii="新細明體" w:hint="eastAsia"/>
          <w:noProof/>
        </w:rPr>
        <mc:AlternateContent>
          <mc:Choice Requires="wps">
            <w:drawing>
              <wp:anchor distT="0" distB="0" distL="114300" distR="114300" simplePos="0" relativeHeight="251651584" behindDoc="0" locked="0" layoutInCell="0" allowOverlap="1">
                <wp:simplePos x="0" y="0"/>
                <wp:positionH relativeFrom="column">
                  <wp:posOffset>685800</wp:posOffset>
                </wp:positionH>
                <wp:positionV relativeFrom="paragraph">
                  <wp:posOffset>114300</wp:posOffset>
                </wp:positionV>
                <wp:extent cx="228600" cy="0"/>
                <wp:effectExtent l="9525" t="9525" r="9525" b="952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F5C2F"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Ef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" o:allowincell="f"/>
            </w:pict>
          </mc:Fallback>
        </mc:AlternateContent>
      </w:r>
      <w:r>
        <w:rPr>
          <w:rFonts w:ascii="新細明體" w:hint="eastAsia"/>
          <w:noProof/>
        </w:rPr>
        <mc:AlternateContent>
          <mc:Choice Requires="wps">
            <w:drawing>
              <wp:anchor distT="0" distB="0" distL="114300" distR="114300" simplePos="0" relativeHeight="251653632" behindDoc="0" locked="0" layoutInCell="0" allowOverlap="1">
                <wp:simplePos x="0" y="0"/>
                <wp:positionH relativeFrom="column">
                  <wp:posOffset>1371600</wp:posOffset>
                </wp:positionH>
                <wp:positionV relativeFrom="paragraph">
                  <wp:posOffset>114300</wp:posOffset>
                </wp:positionV>
                <wp:extent cx="228600" cy="0"/>
                <wp:effectExtent l="9525" t="9525" r="9525" b="952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5EAFE"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j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" o:allowincell="f"/>
            </w:pict>
          </mc:Fallback>
        </mc:AlternateContent>
      </w:r>
      <w:r>
        <w:rPr>
          <w:rFonts w:ascii="新細明體" w:hint="eastAsia"/>
          <w:noProof/>
        </w:rPr>
        <mc:AlternateContent>
          <mc:Choice Requires="wps">
            <w:drawing>
              <wp:anchor distT="0" distB="0" distL="114300" distR="114300" simplePos="0" relativeHeight="251650560" behindDoc="0" locked="0" layoutInCell="0" allowOverlap="1">
                <wp:simplePos x="0" y="0"/>
                <wp:positionH relativeFrom="column">
                  <wp:posOffset>685800</wp:posOffset>
                </wp:positionH>
                <wp:positionV relativeFrom="paragraph">
                  <wp:posOffset>114300</wp:posOffset>
                </wp:positionV>
                <wp:extent cx="0" cy="114300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657A"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3r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" o:allowincell="f"/>
            </w:pict>
          </mc:Fallback>
        </mc:AlternateContent>
      </w:r>
      <w:r w:rsidR="002D1830">
        <w:rPr>
          <w:rFonts w:ascii="新細明體" w:hint="eastAsia"/>
        </w:rPr>
        <w:t xml:space="preserve">         </w:t>
      </w:r>
      <w:r w:rsidR="002D1830">
        <w:rPr>
          <w:rFonts w:ascii="新細明體" w:hint="eastAsia"/>
        </w:rPr>
        <w:t>民事</w:t>
      </w:r>
    </w:p>
    <w:p w:rsidR="00000000" w:rsidRDefault="00703FAE">
      <w:pPr>
        <w:spacing w:line="360" w:lineRule="auto"/>
        <w:ind w:firstLine="480"/>
        <w:rPr>
          <w:rFonts w:ascii="新細明體" w:hint="eastAsia"/>
        </w:rPr>
      </w:pPr>
      <w:r>
        <w:rPr>
          <w:rFonts w:ascii="新細明體" w:hint="eastAsia"/>
          <w:noProof/>
        </w:rPr>
        <mc:AlternateContent>
          <mc:Choice Requires="wps">
            <w:drawing>
              <wp:anchor distT="0" distB="0" distL="114300" distR="114300" simplePos="0" relativeHeight="251662848" behindDoc="0" locked="0" layoutInCell="1" allowOverlap="1">
                <wp:simplePos x="0" y="0"/>
                <wp:positionH relativeFrom="column">
                  <wp:posOffset>2895600</wp:posOffset>
                </wp:positionH>
                <wp:positionV relativeFrom="paragraph">
                  <wp:posOffset>114300</wp:posOffset>
                </wp:positionV>
                <wp:extent cx="571500" cy="114300"/>
                <wp:effectExtent l="9525" t="19050" r="19050" b="95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F507" id="AutoShape 14" o:spid="_x0000_s1026" type="#_x0000_t13" style="position:absolute;margin-left:228pt;margin-top:9pt;width:4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"/>
            </w:pict>
          </mc:Fallback>
        </mc:AlternateContent>
      </w:r>
      <w:r>
        <w:rPr>
          <w:rFonts w:ascii="新細明體" w:hint="eastAsia"/>
          <w:noProof/>
        </w:rPr>
        <mc:AlternateContent>
          <mc:Choice Requires="wps">
            <w:drawing>
              <wp:anchor distT="0" distB="0" distL="114300" distR="114300" simplePos="0" relativeHeight="251656704" behindDoc="0" locked="0" layoutInCell="0" allowOverlap="1">
                <wp:simplePos x="0" y="0"/>
                <wp:positionH relativeFrom="column">
                  <wp:posOffset>1600200</wp:posOffset>
                </wp:positionH>
                <wp:positionV relativeFrom="paragraph">
                  <wp:posOffset>114300</wp:posOffset>
                </wp:positionV>
                <wp:extent cx="228600" cy="0"/>
                <wp:effectExtent l="9525" t="9525" r="952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6831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Yf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" o:allowincell="f"/>
            </w:pict>
          </mc:Fallback>
        </mc:AlternateContent>
      </w:r>
      <w:r w:rsidR="002D1830">
        <w:rPr>
          <w:rFonts w:ascii="新細明體" w:hint="eastAsia"/>
        </w:rPr>
        <w:t xml:space="preserve">                     </w:t>
      </w:r>
      <w:r w:rsidR="002D1830">
        <w:rPr>
          <w:rFonts w:ascii="新細明體" w:hint="eastAsia"/>
        </w:rPr>
        <w:t>其他民事糾紛</w:t>
      </w:r>
      <w:r w:rsidR="002D1830">
        <w:rPr>
          <w:rFonts w:ascii="新細明體" w:hint="eastAsia"/>
        </w:rPr>
        <w:t xml:space="preserve">          </w:t>
      </w:r>
      <w:r w:rsidR="002D1830">
        <w:rPr>
          <w:rFonts w:ascii="新細明體" w:hint="eastAsia"/>
        </w:rPr>
        <w:t>扶助範圍由官署裁量</w:t>
      </w:r>
    </w:p>
    <w:p w:rsidR="00000000" w:rsidRDefault="00703FAE">
      <w:pPr>
        <w:spacing w:line="360" w:lineRule="auto"/>
        <w:ind w:firstLine="480"/>
        <w:rPr>
          <w:rFonts w:ascii="新細明體" w:hint="eastAsia"/>
        </w:rPr>
      </w:pPr>
      <w:r>
        <w:rPr>
          <w:rFonts w:ascii="新細明體" w:hint="eastAsia"/>
          <w:noProof/>
        </w:rPr>
        <mc:AlternateContent>
          <mc:Choice Requires="wps">
            <w:drawing>
              <wp:anchor distT="0" distB="0" distL="114300" distR="114300" simplePos="0" relativeHeight="251663872" behindDoc="0" locked="0" layoutInCell="1" allowOverlap="1">
                <wp:simplePos x="0" y="0"/>
                <wp:positionH relativeFrom="column">
                  <wp:posOffset>2667000</wp:posOffset>
                </wp:positionH>
                <wp:positionV relativeFrom="paragraph">
                  <wp:posOffset>114300</wp:posOffset>
                </wp:positionV>
                <wp:extent cx="800100" cy="114300"/>
                <wp:effectExtent l="9525" t="19050" r="28575" b="95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C98B3" id="AutoShape 15" o:spid="_x0000_s1026" type="#_x0000_t13" style="position:absolute;margin-left:210pt;margin-top:9pt;width:63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"/>
            </w:pict>
          </mc:Fallback>
        </mc:AlternateContent>
      </w:r>
      <w:r>
        <w:rPr>
          <w:rFonts w:ascii="新細明體" w:hint="eastAsia"/>
          <w:noProof/>
        </w:rPr>
        <mc:AlternateContent>
          <mc:Choice Requires="wps">
            <w:drawing>
              <wp:anchor distT="0" distB="0" distL="114300" distR="114300" simplePos="0" relativeHeight="251659776" behindDoc="0" locked="0" layoutInCell="0" allowOverlap="1">
                <wp:simplePos x="0" y="0"/>
                <wp:positionH relativeFrom="column">
                  <wp:posOffset>1600200</wp:posOffset>
                </wp:positionH>
                <wp:positionV relativeFrom="paragraph">
                  <wp:posOffset>228600</wp:posOffset>
                </wp:positionV>
                <wp:extent cx="228600" cy="0"/>
                <wp:effectExtent l="9525" t="9525" r="952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C25F"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OK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" o:allowincell="f"/>
            </w:pict>
          </mc:Fallback>
        </mc:AlternateContent>
      </w:r>
      <w:r>
        <w:rPr>
          <w:rFonts w:ascii="新細明體" w:hint="eastAsia"/>
          <w:noProof/>
        </w:rPr>
        <mc:AlternateContent>
          <mc:Choice Requires="wps">
            <w:drawing>
              <wp:anchor distT="0" distB="0" distL="114300" distR="114300" simplePos="0" relativeHeight="251658752" behindDoc="0" locked="0" layoutInCell="0" allowOverlap="1">
                <wp:simplePos x="0" y="0"/>
                <wp:positionH relativeFrom="column">
                  <wp:posOffset>1600200</wp:posOffset>
                </wp:positionH>
                <wp:positionV relativeFrom="paragraph">
                  <wp:posOffset>228600</wp:posOffset>
                </wp:positionV>
                <wp:extent cx="0" cy="571500"/>
                <wp:effectExtent l="9525" t="9525" r="952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AE33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1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" o:allowincell="f"/>
            </w:pict>
          </mc:Fallback>
        </mc:AlternateContent>
      </w:r>
      <w:r w:rsidR="002D1830">
        <w:rPr>
          <w:rFonts w:ascii="新細明體" w:hint="eastAsia"/>
        </w:rPr>
        <w:t xml:space="preserve">                     </w:t>
      </w:r>
      <w:r w:rsidR="002D1830">
        <w:rPr>
          <w:rFonts w:ascii="新細明體" w:hint="eastAsia"/>
        </w:rPr>
        <w:t>死亡案件</w:t>
      </w:r>
      <w:r w:rsidR="002D1830">
        <w:rPr>
          <w:rFonts w:ascii="新細明體" w:hint="eastAsia"/>
        </w:rPr>
        <w:t xml:space="preserve">              </w:t>
      </w:r>
      <w:r w:rsidR="002D1830">
        <w:rPr>
          <w:rFonts w:ascii="新細明體" w:hint="eastAsia"/>
        </w:rPr>
        <w:t>由官署首長代理</w:t>
      </w:r>
    </w:p>
    <w:p w:rsidR="00000000" w:rsidRDefault="00703FAE">
      <w:pPr>
        <w:spacing w:line="360" w:lineRule="auto"/>
        <w:ind w:firstLine="480"/>
        <w:rPr>
          <w:rFonts w:ascii="新細明體" w:hint="eastAsia"/>
        </w:rPr>
      </w:pPr>
      <w:r>
        <w:rPr>
          <w:rFonts w:ascii="新細明體" w:hint="eastAsia"/>
          <w:noProof/>
        </w:rPr>
        <mc:AlternateContent>
          <mc:Choice Requires="wps">
            <w:drawing>
              <wp:anchor distT="0" distB="0" distL="114300" distR="114300" simplePos="0" relativeHeight="251652608" behindDoc="0" locked="0" layoutInCell="0" allowOverlap="1">
                <wp:simplePos x="0" y="0"/>
                <wp:positionH relativeFrom="column">
                  <wp:posOffset>685800</wp:posOffset>
                </wp:positionH>
                <wp:positionV relativeFrom="paragraph">
                  <wp:posOffset>228600</wp:posOffset>
                </wp:positionV>
                <wp:extent cx="228600" cy="0"/>
                <wp:effectExtent l="9525" t="9525" r="9525"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DA461"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pt"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lx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" o:allowincell="f"/>
            </w:pict>
          </mc:Fallback>
        </mc:AlternateContent>
      </w:r>
      <w:r>
        <w:rPr>
          <w:rFonts w:ascii="新細明體" w:hint="eastAsia"/>
          <w:noProof/>
        </w:rPr>
        <mc:AlternateContent>
          <mc:Choice Requires="wps">
            <w:drawing>
              <wp:anchor distT="0" distB="0" distL="114300" distR="114300" simplePos="0" relativeHeight="251657728" behindDoc="0" locked="0" layoutInCell="0" allowOverlap="1">
                <wp:simplePos x="0" y="0"/>
                <wp:positionH relativeFrom="column">
                  <wp:posOffset>1371600</wp:posOffset>
                </wp:positionH>
                <wp:positionV relativeFrom="paragraph">
                  <wp:posOffset>228600</wp:posOffset>
                </wp:positionV>
                <wp:extent cx="228600" cy="0"/>
                <wp:effectExtent l="9525" t="9525" r="952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B8FE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Cm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" o:allowincell="f"/>
            </w:pict>
          </mc:Fallback>
        </mc:AlternateContent>
      </w:r>
      <w:r w:rsidR="002D1830">
        <w:rPr>
          <w:rFonts w:ascii="新細明體" w:hint="eastAsia"/>
        </w:rPr>
        <w:t xml:space="preserve">         </w:t>
      </w:r>
      <w:r w:rsidR="002D1830">
        <w:rPr>
          <w:rFonts w:ascii="新細明體" w:hint="eastAsia"/>
        </w:rPr>
        <w:t>刑事</w:t>
      </w:r>
    </w:p>
    <w:p w:rsidR="00000000" w:rsidRDefault="00703FAE">
      <w:pPr>
        <w:spacing w:line="360" w:lineRule="auto"/>
        <w:ind w:firstLine="480"/>
        <w:rPr>
          <w:rFonts w:ascii="新細明體" w:hint="eastAsia"/>
        </w:rPr>
      </w:pPr>
      <w:r>
        <w:rPr>
          <w:rFonts w:ascii="新細明體" w:hint="eastAsia"/>
          <w:noProof/>
        </w:rPr>
        <mc:AlternateContent>
          <mc:Choice Requires="wps">
            <w:drawing>
              <wp:anchor distT="0" distB="0" distL="114300" distR="114300" simplePos="0" relativeHeight="251664896" behindDoc="0" locked="0" layoutInCell="1" allowOverlap="1">
                <wp:simplePos x="0" y="0"/>
                <wp:positionH relativeFrom="column">
                  <wp:posOffset>2895600</wp:posOffset>
                </wp:positionH>
                <wp:positionV relativeFrom="paragraph">
                  <wp:posOffset>114300</wp:posOffset>
                </wp:positionV>
                <wp:extent cx="571500" cy="114300"/>
                <wp:effectExtent l="9525" t="19050" r="19050" b="952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190A" id="AutoShape 16" o:spid="_x0000_s1026" type="#_x0000_t13" style="position:absolute;margin-left:228pt;margin-top:9pt;width:4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"/>
            </w:pict>
          </mc:Fallback>
        </mc:AlternateContent>
      </w:r>
      <w:r>
        <w:rPr>
          <w:rFonts w:ascii="新細明體" w:hint="eastAsia"/>
          <w:noProof/>
        </w:rPr>
        <mc:AlternateContent>
          <mc:Choice Requires="wps">
            <w:drawing>
              <wp:anchor distT="0" distB="0" distL="114300" distR="114300" simplePos="0" relativeHeight="251660800" behindDoc="0" locked="0" layoutInCell="0" allowOverlap="1">
                <wp:simplePos x="0" y="0"/>
                <wp:positionH relativeFrom="column">
                  <wp:posOffset>1600200</wp:posOffset>
                </wp:positionH>
                <wp:positionV relativeFrom="paragraph">
                  <wp:posOffset>114300</wp:posOffset>
                </wp:positionV>
                <wp:extent cx="228600" cy="0"/>
                <wp:effectExtent l="9525" t="9525" r="952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2CAC0"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sL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" o:allowincell="f"/>
            </w:pict>
          </mc:Fallback>
        </mc:AlternateContent>
      </w:r>
      <w:r w:rsidR="002D1830">
        <w:rPr>
          <w:rFonts w:ascii="新細明體" w:hint="eastAsia"/>
        </w:rPr>
        <w:t xml:space="preserve">                     </w:t>
      </w:r>
      <w:r w:rsidR="002D1830">
        <w:rPr>
          <w:rFonts w:ascii="新細明體" w:hint="eastAsia"/>
        </w:rPr>
        <w:t>其他刑事案件</w:t>
      </w:r>
      <w:r w:rsidR="002D1830">
        <w:rPr>
          <w:rFonts w:ascii="新細明體" w:hint="eastAsia"/>
        </w:rPr>
        <w:t xml:space="preserve">         </w:t>
      </w:r>
      <w:r w:rsidR="002D1830">
        <w:rPr>
          <w:rFonts w:ascii="新細明體" w:hint="eastAsia"/>
        </w:rPr>
        <w:t>扶助範圍由官署裁量</w:t>
      </w:r>
    </w:p>
    <w:p w:rsidR="00000000" w:rsidRDefault="002D1830">
      <w:pPr>
        <w:spacing w:line="360" w:lineRule="auto"/>
        <w:ind w:firstLine="480"/>
        <w:rPr>
          <w:rFonts w:ascii="新細明體" w:hint="eastAsia"/>
        </w:rPr>
      </w:pPr>
      <w:r>
        <w:rPr>
          <w:rFonts w:ascii="新細明體" w:hint="eastAsia"/>
        </w:rPr>
        <w:t>※圖</w:t>
      </w:r>
      <w:r>
        <w:rPr>
          <w:rFonts w:ascii="新細明體" w:hint="eastAsia"/>
        </w:rPr>
        <w:t>2-2-1</w:t>
      </w:r>
      <w:r>
        <w:rPr>
          <w:rFonts w:ascii="新細明體" w:hint="eastAsia"/>
        </w:rPr>
        <w:t>。本圖來源，本研究自製。</w:t>
      </w:r>
    </w:p>
    <w:p w:rsidR="00000000" w:rsidRDefault="002D1830">
      <w:pPr>
        <w:spacing w:line="360" w:lineRule="auto"/>
        <w:ind w:firstLine="480"/>
        <w:rPr>
          <w:rFonts w:ascii="新細明體" w:hint="eastAsia"/>
        </w:rPr>
      </w:pPr>
      <w:r>
        <w:rPr>
          <w:rFonts w:ascii="新細明體" w:hint="eastAsia"/>
        </w:rPr>
        <w:t>總之，英國法對</w:t>
      </w:r>
      <w:r>
        <w:rPr>
          <w:rFonts w:ascii="新細明體" w:hint="eastAsia"/>
        </w:rPr>
        <w:t>因公涉訟之問題區別民刑事案件之不同而分別處裡。但由該法第</w:t>
      </w:r>
      <w:r>
        <w:rPr>
          <w:rFonts w:ascii="新細明體" w:hint="eastAsia"/>
        </w:rPr>
        <w:t>12.2.3</w:t>
      </w:r>
      <w:r>
        <w:rPr>
          <w:rFonts w:ascii="新細明體" w:hint="eastAsia"/>
        </w:rPr>
        <w:t>項第</w:t>
      </w:r>
      <w:r>
        <w:rPr>
          <w:rFonts w:ascii="新細明體" w:hint="eastAsia"/>
        </w:rPr>
        <w:t>c</w:t>
      </w:r>
      <w:r>
        <w:rPr>
          <w:rFonts w:ascii="新細明體" w:hint="eastAsia"/>
        </w:rPr>
        <w:t>及</w:t>
      </w:r>
      <w:r>
        <w:rPr>
          <w:rFonts w:ascii="新細明體" w:hint="eastAsia"/>
        </w:rPr>
        <w:t>d</w:t>
      </w:r>
      <w:r>
        <w:rPr>
          <w:rFonts w:ascii="新細明體" w:hint="eastAsia"/>
        </w:rPr>
        <w:t>款可知，若在系爭案件中公務員係可歸責，或明顯有故意或重大過失，則官署則無再提供法定代理之義務。</w:t>
      </w:r>
    </w:p>
    <w:p w:rsidR="00000000" w:rsidRDefault="002D1830">
      <w:pPr>
        <w:spacing w:line="360" w:lineRule="auto"/>
        <w:ind w:firstLine="480"/>
        <w:rPr>
          <w:rFonts w:ascii="新細明體" w:hint="eastAsia"/>
        </w:rPr>
      </w:pPr>
      <w:r>
        <w:rPr>
          <w:rFonts w:ascii="新細明體" w:hint="eastAsia"/>
        </w:rPr>
        <w:t>最後，除了提供法定代理外，根據該辦法第</w:t>
      </w:r>
      <w:r>
        <w:rPr>
          <w:rFonts w:ascii="新細明體" w:hint="eastAsia"/>
        </w:rPr>
        <w:t>12.2.3</w:t>
      </w:r>
      <w:r>
        <w:rPr>
          <w:rFonts w:ascii="新細明體" w:hint="eastAsia"/>
        </w:rPr>
        <w:t>項第</w:t>
      </w:r>
      <w:r>
        <w:rPr>
          <w:rFonts w:ascii="新細明體" w:hint="eastAsia"/>
        </w:rPr>
        <w:t>a</w:t>
      </w:r>
      <w:r>
        <w:rPr>
          <w:rFonts w:ascii="新細明體" w:hint="eastAsia"/>
        </w:rPr>
        <w:t>款尚應提供因執行職務而被侵害之公務員法律諮詢。不過此諮詢是否由律師提供，由何種律師提供，該辦法並未規定。</w:t>
      </w:r>
    </w:p>
    <w:p w:rsidR="00000000" w:rsidRDefault="002D1830" w:rsidP="002D1830">
      <w:pPr>
        <w:numPr>
          <w:ilvl w:val="0"/>
          <w:numId w:val="9"/>
        </w:numPr>
        <w:spacing w:line="360" w:lineRule="auto"/>
        <w:ind w:firstLineChars="0"/>
        <w:jc w:val="left"/>
        <w:rPr>
          <w:rFonts w:ascii="新細明體" w:hint="eastAsia"/>
        </w:rPr>
      </w:pPr>
      <w:r>
        <w:rPr>
          <w:rFonts w:ascii="新細明體" w:hint="eastAsia"/>
        </w:rPr>
        <w:t>提供法律上扶助</w:t>
      </w:r>
    </w:p>
    <w:p w:rsidR="00000000" w:rsidRDefault="002D1830">
      <w:pPr>
        <w:spacing w:line="360" w:lineRule="auto"/>
        <w:ind w:firstLine="480"/>
        <w:rPr>
          <w:rFonts w:ascii="新細明體" w:hint="eastAsia"/>
        </w:rPr>
      </w:pPr>
      <w:r>
        <w:rPr>
          <w:rFonts w:ascii="新細明體" w:hint="eastAsia"/>
        </w:rPr>
        <w:t xml:space="preserve">   </w:t>
      </w:r>
      <w:r>
        <w:rPr>
          <w:rFonts w:ascii="新細明體" w:hint="eastAsia"/>
        </w:rPr>
        <w:t>對於涉案公務員之法律上扶助，除了提供法定代理外，主要有下列幾點：</w:t>
      </w:r>
    </w:p>
    <w:p w:rsidR="00000000" w:rsidRDefault="002D1830" w:rsidP="002D1830">
      <w:pPr>
        <w:numPr>
          <w:ilvl w:val="0"/>
          <w:numId w:val="10"/>
        </w:numPr>
        <w:spacing w:line="360" w:lineRule="auto"/>
        <w:ind w:firstLineChars="0"/>
        <w:jc w:val="left"/>
        <w:rPr>
          <w:rFonts w:ascii="新細明體" w:hint="eastAsia"/>
        </w:rPr>
      </w:pPr>
      <w:r>
        <w:rPr>
          <w:rFonts w:ascii="新細明體" w:hint="eastAsia"/>
        </w:rPr>
        <w:t>除非符合</w:t>
      </w:r>
      <w:r>
        <w:rPr>
          <w:rFonts w:ascii="新細明體" w:hint="eastAsia"/>
        </w:rPr>
        <w:t>12.2.2</w:t>
      </w:r>
      <w:r>
        <w:rPr>
          <w:rFonts w:ascii="新細明體" w:hint="eastAsia"/>
        </w:rPr>
        <w:t>至</w:t>
      </w:r>
      <w:r>
        <w:rPr>
          <w:rFonts w:ascii="新細明體" w:hint="eastAsia"/>
        </w:rPr>
        <w:t>12.2.5</w:t>
      </w:r>
      <w:r>
        <w:rPr>
          <w:rFonts w:ascii="新細明體" w:hint="eastAsia"/>
        </w:rPr>
        <w:t>之法定情形，則根據該辦法第</w:t>
      </w:r>
      <w:r>
        <w:rPr>
          <w:rFonts w:ascii="新細明體" w:hint="eastAsia"/>
        </w:rPr>
        <w:t>12.2.1</w:t>
      </w:r>
      <w:r>
        <w:rPr>
          <w:rFonts w:ascii="新細明體" w:hint="eastAsia"/>
        </w:rPr>
        <w:t>項規定官署得「裁</w:t>
      </w:r>
      <w:r>
        <w:rPr>
          <w:rFonts w:ascii="新細明體" w:hint="eastAsia"/>
        </w:rPr>
        <w:t>量」</w:t>
      </w:r>
      <w:r>
        <w:rPr>
          <w:rFonts w:ascii="新細明體" w:hint="eastAsia"/>
        </w:rPr>
        <w:t>(discretion)</w:t>
      </w:r>
      <w:r>
        <w:rPr>
          <w:rFonts w:ascii="新細明體" w:hint="eastAsia"/>
        </w:rPr>
        <w:t>決定是否提供涉案公務員：全部或部分法定代理或支付全部或部分法律費用。本條乃一概括補充規定，並不區分民事或刑事案件，亦未限定案件種類。而根據該辦法，官署裁量時應考量二點﹕</w:t>
      </w:r>
      <w:r>
        <w:rPr>
          <w:rFonts w:ascii="新細明體" w:hint="eastAsia"/>
        </w:rPr>
        <w:t>1.</w:t>
      </w:r>
      <w:r>
        <w:rPr>
          <w:rFonts w:ascii="新細明體" w:hint="eastAsia"/>
        </w:rPr>
        <w:t>是否合乎公益；</w:t>
      </w:r>
      <w:r>
        <w:rPr>
          <w:rFonts w:ascii="新細明體" w:hint="eastAsia"/>
        </w:rPr>
        <w:t>2.</w:t>
      </w:r>
      <w:r>
        <w:rPr>
          <w:rFonts w:ascii="新細明體" w:hint="eastAsia"/>
        </w:rPr>
        <w:t>系爭行為是否踰越該公務員之職權範圍。</w:t>
      </w:r>
    </w:p>
    <w:p w:rsidR="00000000" w:rsidRDefault="002D1830" w:rsidP="002D1830">
      <w:pPr>
        <w:numPr>
          <w:ilvl w:val="0"/>
          <w:numId w:val="10"/>
        </w:numPr>
        <w:spacing w:line="360" w:lineRule="auto"/>
        <w:ind w:firstLineChars="0"/>
        <w:jc w:val="left"/>
        <w:rPr>
          <w:rFonts w:ascii="新細明體" w:hint="eastAsia"/>
        </w:rPr>
      </w:pPr>
      <w:r>
        <w:rPr>
          <w:rFonts w:ascii="新細明體" w:hint="eastAsia"/>
        </w:rPr>
        <w:t>此外，公務員若涉及民事賠償訴訟且合乎第</w:t>
      </w:r>
      <w:r>
        <w:rPr>
          <w:rFonts w:ascii="新細明體" w:hint="eastAsia"/>
        </w:rPr>
        <w:t>12.2.2</w:t>
      </w:r>
      <w:r>
        <w:rPr>
          <w:rFonts w:ascii="新細明體" w:hint="eastAsia"/>
        </w:rPr>
        <w:t>項規定，則應提供由「皇家初級律師」擔任之法定代理，且任何對於他方之責任或賠償，其費用由公家基金負擔。但其前提有二，即：</w:t>
      </w:r>
      <w:r>
        <w:rPr>
          <w:rFonts w:ascii="新細明體" w:hint="eastAsia"/>
        </w:rPr>
        <w:t>1.</w:t>
      </w:r>
      <w:r>
        <w:rPr>
          <w:rFonts w:ascii="新細明體" w:hint="eastAsia"/>
        </w:rPr>
        <w:t>涉案公務員之行為未逾越其職權；</w:t>
      </w:r>
      <w:r>
        <w:rPr>
          <w:rFonts w:ascii="新細明體" w:hint="eastAsia"/>
        </w:rPr>
        <w:t>2.</w:t>
      </w:r>
      <w:r>
        <w:rPr>
          <w:rFonts w:ascii="新細明體" w:hint="eastAsia"/>
        </w:rPr>
        <w:t>提供律師必要的協助。</w:t>
      </w:r>
    </w:p>
    <w:p w:rsidR="00000000" w:rsidRDefault="002D1830" w:rsidP="002D1830">
      <w:pPr>
        <w:numPr>
          <w:ilvl w:val="0"/>
          <w:numId w:val="10"/>
        </w:numPr>
        <w:spacing w:line="360" w:lineRule="auto"/>
        <w:ind w:firstLineChars="0"/>
        <w:jc w:val="left"/>
        <w:rPr>
          <w:rFonts w:ascii="新細明體" w:hint="eastAsia"/>
        </w:rPr>
      </w:pPr>
      <w:r>
        <w:rPr>
          <w:rFonts w:ascii="新細明體" w:hint="eastAsia"/>
        </w:rPr>
        <w:t>並且對於因執行職務而被侵害之</w:t>
      </w:r>
      <w:r>
        <w:rPr>
          <w:rFonts w:ascii="新細明體" w:hint="eastAsia"/>
        </w:rPr>
        <w:t>公務員應提供法律諮詢（</w:t>
      </w:r>
      <w:r>
        <w:rPr>
          <w:rFonts w:ascii="新細明體" w:hint="eastAsia"/>
        </w:rPr>
        <w:t>12.2.3.a</w:t>
      </w:r>
      <w:r>
        <w:rPr>
          <w:rFonts w:ascii="新細明體" w:hint="eastAsia"/>
        </w:rPr>
        <w:t>）。</w:t>
      </w:r>
    </w:p>
    <w:p w:rsidR="00000000" w:rsidRDefault="002D1830" w:rsidP="002D1830">
      <w:pPr>
        <w:numPr>
          <w:ilvl w:val="0"/>
          <w:numId w:val="10"/>
        </w:numPr>
        <w:spacing w:line="360" w:lineRule="auto"/>
        <w:ind w:firstLineChars="0"/>
        <w:jc w:val="left"/>
        <w:rPr>
          <w:rFonts w:ascii="新細明體" w:hint="eastAsia"/>
        </w:rPr>
      </w:pPr>
      <w:r>
        <w:rPr>
          <w:rFonts w:ascii="新細明體" w:hint="eastAsia"/>
        </w:rPr>
        <w:t>若涉及重大死亡刑案甚至由機關首長代理（</w:t>
      </w:r>
      <w:r>
        <w:rPr>
          <w:rFonts w:ascii="新細明體" w:hint="eastAsia"/>
        </w:rPr>
        <w:t>12.2.3.b</w:t>
      </w:r>
      <w:r>
        <w:rPr>
          <w:rFonts w:ascii="新細明體" w:hint="eastAsia"/>
        </w:rPr>
        <w:t>）。</w:t>
      </w:r>
    </w:p>
    <w:p w:rsidR="00000000" w:rsidRDefault="002D1830" w:rsidP="002D1830">
      <w:pPr>
        <w:numPr>
          <w:ilvl w:val="0"/>
          <w:numId w:val="10"/>
        </w:numPr>
        <w:spacing w:line="360" w:lineRule="auto"/>
        <w:ind w:firstLineChars="0"/>
        <w:jc w:val="left"/>
        <w:rPr>
          <w:rFonts w:ascii="新細明體" w:hint="eastAsia"/>
        </w:rPr>
      </w:pPr>
      <w:r>
        <w:rPr>
          <w:rFonts w:ascii="新細明體" w:hint="eastAsia"/>
        </w:rPr>
        <w:t>由於上級之行為導致公務員負有民事賠償責任者，應由英國皇室代公務員承擔該責任。（</w:t>
      </w:r>
      <w:r>
        <w:rPr>
          <w:rFonts w:ascii="新細明體" w:hint="eastAsia"/>
        </w:rPr>
        <w:t>12.2.5</w:t>
      </w:r>
      <w:r>
        <w:rPr>
          <w:rFonts w:ascii="新細明體" w:hint="eastAsia"/>
        </w:rPr>
        <w:t>）但涉案公務員乃故意違法或有其他不誠實（</w:t>
      </w:r>
      <w:r>
        <w:rPr>
          <w:rFonts w:ascii="新細明體" w:hint="eastAsia"/>
        </w:rPr>
        <w:t>Bad Faith</w:t>
      </w:r>
      <w:r>
        <w:rPr>
          <w:rFonts w:ascii="新細明體" w:hint="eastAsia"/>
        </w:rPr>
        <w:t>）處，或已或其他賠償者，則不在此限。（</w:t>
      </w:r>
      <w:r>
        <w:rPr>
          <w:rFonts w:ascii="新細明體" w:hint="eastAsia"/>
        </w:rPr>
        <w:t>12.2.6</w:t>
      </w:r>
      <w:r>
        <w:rPr>
          <w:rFonts w:ascii="新細明體" w:hint="eastAsia"/>
        </w:rPr>
        <w:t>）</w:t>
      </w:r>
    </w:p>
    <w:p w:rsidR="00000000" w:rsidRDefault="002D1830">
      <w:pPr>
        <w:spacing w:line="360" w:lineRule="auto"/>
        <w:ind w:firstLine="480"/>
        <w:rPr>
          <w:rFonts w:ascii="新細明體" w:hint="eastAsia"/>
        </w:rPr>
      </w:pPr>
      <w:r>
        <w:rPr>
          <w:rFonts w:ascii="新細明體" w:hint="eastAsia"/>
        </w:rPr>
        <w:t>基本上可整理如下﹕</w:t>
      </w:r>
    </w:p>
    <w:p w:rsidR="00000000" w:rsidRDefault="002D1830">
      <w:pPr>
        <w:spacing w:line="360" w:lineRule="auto"/>
        <w:ind w:firstLine="480"/>
        <w:rPr>
          <w:rFonts w:ascii="新細明體" w:hint="eastAsia"/>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5040"/>
        <w:gridCol w:w="1320"/>
      </w:tblGrid>
      <w:tr w:rsidR="00000000">
        <w:tblPrEx>
          <w:tblCellMar>
            <w:top w:w="0" w:type="dxa"/>
            <w:bottom w:w="0" w:type="dxa"/>
          </w:tblCellMar>
        </w:tblPrEx>
        <w:tc>
          <w:tcPr>
            <w:tcW w:w="2268" w:type="dxa"/>
          </w:tcPr>
          <w:p w:rsidR="00000000" w:rsidRDefault="002D1830">
            <w:pPr>
              <w:spacing w:line="360" w:lineRule="auto"/>
              <w:ind w:firstLineChars="0" w:firstLine="0"/>
              <w:rPr>
                <w:rFonts w:ascii="標楷體" w:eastAsia="標楷體" w:hint="eastAsia"/>
              </w:rPr>
            </w:pPr>
            <w:r>
              <w:rPr>
                <w:rFonts w:ascii="標楷體" w:eastAsia="標楷體" w:hint="eastAsia"/>
              </w:rPr>
              <w:t>法律扶助的種類</w:t>
            </w:r>
          </w:p>
        </w:tc>
        <w:tc>
          <w:tcPr>
            <w:tcW w:w="5040" w:type="dxa"/>
          </w:tcPr>
          <w:p w:rsidR="00000000" w:rsidRDefault="002D1830">
            <w:pPr>
              <w:spacing w:line="360" w:lineRule="auto"/>
              <w:ind w:firstLineChars="0" w:firstLine="0"/>
              <w:rPr>
                <w:rFonts w:ascii="標楷體" w:eastAsia="標楷體" w:hint="eastAsia"/>
              </w:rPr>
            </w:pPr>
            <w:r>
              <w:rPr>
                <w:rFonts w:ascii="標楷體" w:eastAsia="標楷體" w:hint="eastAsia"/>
              </w:rPr>
              <w:t>原因</w:t>
            </w:r>
          </w:p>
        </w:tc>
        <w:tc>
          <w:tcPr>
            <w:tcW w:w="1320" w:type="dxa"/>
          </w:tcPr>
          <w:p w:rsidR="00000000" w:rsidRDefault="002D1830">
            <w:pPr>
              <w:spacing w:line="360" w:lineRule="auto"/>
              <w:ind w:firstLineChars="0" w:firstLine="0"/>
              <w:rPr>
                <w:rFonts w:ascii="標楷體" w:eastAsia="標楷體" w:hint="eastAsia"/>
              </w:rPr>
            </w:pPr>
            <w:r>
              <w:rPr>
                <w:rFonts w:ascii="標楷體" w:eastAsia="標楷體" w:hint="eastAsia"/>
              </w:rPr>
              <w:t>條號</w:t>
            </w:r>
          </w:p>
        </w:tc>
      </w:tr>
      <w:tr w:rsidR="00000000">
        <w:tblPrEx>
          <w:tblCellMar>
            <w:top w:w="0" w:type="dxa"/>
            <w:bottom w:w="0" w:type="dxa"/>
          </w:tblCellMar>
        </w:tblPrEx>
        <w:tc>
          <w:tcPr>
            <w:tcW w:w="2268" w:type="dxa"/>
          </w:tcPr>
          <w:p w:rsidR="00000000" w:rsidRDefault="002D1830">
            <w:pPr>
              <w:spacing w:line="360" w:lineRule="auto"/>
              <w:ind w:firstLineChars="0" w:firstLine="0"/>
              <w:rPr>
                <w:rFonts w:ascii="新細明體" w:hint="eastAsia"/>
              </w:rPr>
            </w:pPr>
            <w:r>
              <w:rPr>
                <w:rFonts w:ascii="新細明體" w:hint="eastAsia"/>
              </w:rPr>
              <w:t>全部或部份之法定代理與支付全部或部分法律費用</w:t>
            </w:r>
          </w:p>
        </w:tc>
        <w:tc>
          <w:tcPr>
            <w:tcW w:w="5040" w:type="dxa"/>
          </w:tcPr>
          <w:p w:rsidR="00000000" w:rsidRDefault="002D1830">
            <w:pPr>
              <w:spacing w:line="360" w:lineRule="auto"/>
              <w:ind w:firstLineChars="0" w:firstLine="0"/>
              <w:rPr>
                <w:rFonts w:ascii="新細明體" w:hint="eastAsia"/>
              </w:rPr>
            </w:pPr>
            <w:r>
              <w:rPr>
                <w:rFonts w:ascii="新細明體" w:hint="eastAsia"/>
              </w:rPr>
              <w:t>本條乃概括概括補充規定，亦即除非符合法律規定，否則原則上是否扶助與範圍如何官署有裁量權。</w:t>
            </w:r>
          </w:p>
        </w:tc>
        <w:tc>
          <w:tcPr>
            <w:tcW w:w="1320" w:type="dxa"/>
          </w:tcPr>
          <w:p w:rsidR="00000000" w:rsidRDefault="002D1830">
            <w:pPr>
              <w:spacing w:line="360" w:lineRule="auto"/>
              <w:ind w:firstLineChars="0" w:firstLine="0"/>
              <w:rPr>
                <w:rFonts w:ascii="新細明體" w:hint="eastAsia"/>
              </w:rPr>
            </w:pPr>
            <w:r>
              <w:rPr>
                <w:rFonts w:ascii="新細明體" w:hint="eastAsia"/>
              </w:rPr>
              <w:t>12.2.1</w:t>
            </w:r>
          </w:p>
        </w:tc>
      </w:tr>
      <w:tr w:rsidR="00000000">
        <w:tblPrEx>
          <w:tblCellMar>
            <w:top w:w="0" w:type="dxa"/>
            <w:bottom w:w="0" w:type="dxa"/>
          </w:tblCellMar>
        </w:tblPrEx>
        <w:tc>
          <w:tcPr>
            <w:tcW w:w="2268" w:type="dxa"/>
          </w:tcPr>
          <w:p w:rsidR="00000000" w:rsidRDefault="002D1830">
            <w:pPr>
              <w:spacing w:line="360" w:lineRule="auto"/>
              <w:ind w:firstLineChars="0" w:firstLine="0"/>
              <w:rPr>
                <w:rFonts w:ascii="新細明體" w:hint="eastAsia"/>
              </w:rPr>
            </w:pPr>
            <w:r>
              <w:rPr>
                <w:rFonts w:ascii="新細明體" w:hint="eastAsia"/>
              </w:rPr>
              <w:t>皇</w:t>
            </w:r>
            <w:r>
              <w:rPr>
                <w:rFonts w:ascii="新細明體" w:hint="eastAsia"/>
              </w:rPr>
              <w:t>家初級律師之法定代理</w:t>
            </w:r>
          </w:p>
        </w:tc>
        <w:tc>
          <w:tcPr>
            <w:tcW w:w="5040" w:type="dxa"/>
          </w:tcPr>
          <w:p w:rsidR="00000000" w:rsidRDefault="002D1830">
            <w:pPr>
              <w:spacing w:line="360" w:lineRule="auto"/>
              <w:ind w:firstLineChars="0" w:firstLine="0"/>
              <w:rPr>
                <w:rFonts w:ascii="新細明體" w:hint="eastAsia"/>
              </w:rPr>
            </w:pPr>
            <w:r>
              <w:rPr>
                <w:rFonts w:ascii="新細明體" w:hint="eastAsia"/>
              </w:rPr>
              <w:t>公務員因執行職務之行為而被控民事賠償，且該公務員為逾權，並配合律師要求。</w:t>
            </w:r>
          </w:p>
        </w:tc>
        <w:tc>
          <w:tcPr>
            <w:tcW w:w="1320" w:type="dxa"/>
          </w:tcPr>
          <w:p w:rsidR="00000000" w:rsidRDefault="002D1830">
            <w:pPr>
              <w:spacing w:line="360" w:lineRule="auto"/>
              <w:ind w:firstLineChars="0" w:firstLine="0"/>
              <w:rPr>
                <w:rFonts w:ascii="新細明體" w:hint="eastAsia"/>
              </w:rPr>
            </w:pPr>
            <w:r>
              <w:rPr>
                <w:rFonts w:ascii="新細明體" w:hint="eastAsia"/>
              </w:rPr>
              <w:t>12.2.2</w:t>
            </w:r>
          </w:p>
        </w:tc>
      </w:tr>
      <w:tr w:rsidR="00000000">
        <w:tblPrEx>
          <w:tblCellMar>
            <w:top w:w="0" w:type="dxa"/>
            <w:bottom w:w="0" w:type="dxa"/>
          </w:tblCellMar>
        </w:tblPrEx>
        <w:tc>
          <w:tcPr>
            <w:tcW w:w="2268" w:type="dxa"/>
          </w:tcPr>
          <w:p w:rsidR="00000000" w:rsidRDefault="002D1830">
            <w:pPr>
              <w:spacing w:line="360" w:lineRule="auto"/>
              <w:ind w:firstLineChars="0" w:firstLine="0"/>
              <w:rPr>
                <w:rFonts w:ascii="新細明體" w:hint="eastAsia"/>
              </w:rPr>
            </w:pPr>
            <w:r>
              <w:rPr>
                <w:rFonts w:ascii="新細明體" w:hint="eastAsia"/>
              </w:rPr>
              <w:t>支付全部之訴訟費用與民事賠償金</w:t>
            </w:r>
          </w:p>
        </w:tc>
        <w:tc>
          <w:tcPr>
            <w:tcW w:w="5040" w:type="dxa"/>
          </w:tcPr>
          <w:p w:rsidR="00000000" w:rsidRDefault="002D1830">
            <w:pPr>
              <w:spacing w:line="360" w:lineRule="auto"/>
              <w:ind w:firstLineChars="0" w:firstLine="0"/>
              <w:rPr>
                <w:rFonts w:ascii="新細明體" w:hint="eastAsia"/>
              </w:rPr>
            </w:pPr>
            <w:r>
              <w:rPr>
                <w:rFonts w:ascii="新細明體" w:hint="eastAsia"/>
              </w:rPr>
              <w:t>公務員因執行職務之行為而被控民事賠償，且該公務員未逾權，並配合律師要求。</w:t>
            </w:r>
          </w:p>
        </w:tc>
        <w:tc>
          <w:tcPr>
            <w:tcW w:w="1320" w:type="dxa"/>
          </w:tcPr>
          <w:p w:rsidR="00000000" w:rsidRDefault="002D1830">
            <w:pPr>
              <w:spacing w:line="360" w:lineRule="auto"/>
              <w:ind w:firstLineChars="0" w:firstLine="0"/>
              <w:rPr>
                <w:rFonts w:ascii="新細明體" w:hint="eastAsia"/>
              </w:rPr>
            </w:pPr>
            <w:r>
              <w:rPr>
                <w:rFonts w:ascii="新細明體" w:hint="eastAsia"/>
              </w:rPr>
              <w:t>12.2.2</w:t>
            </w:r>
          </w:p>
        </w:tc>
      </w:tr>
      <w:tr w:rsidR="00000000">
        <w:tblPrEx>
          <w:tblCellMar>
            <w:top w:w="0" w:type="dxa"/>
            <w:bottom w:w="0" w:type="dxa"/>
          </w:tblCellMar>
        </w:tblPrEx>
        <w:tc>
          <w:tcPr>
            <w:tcW w:w="2268" w:type="dxa"/>
          </w:tcPr>
          <w:p w:rsidR="00000000" w:rsidRDefault="002D1830">
            <w:pPr>
              <w:spacing w:line="360" w:lineRule="auto"/>
              <w:ind w:firstLineChars="0" w:firstLine="0"/>
              <w:rPr>
                <w:rFonts w:ascii="新細明體" w:hint="eastAsia"/>
              </w:rPr>
            </w:pPr>
            <w:r>
              <w:rPr>
                <w:rFonts w:ascii="新細明體" w:hint="eastAsia"/>
              </w:rPr>
              <w:t>法律諮詢</w:t>
            </w:r>
          </w:p>
        </w:tc>
        <w:tc>
          <w:tcPr>
            <w:tcW w:w="5040" w:type="dxa"/>
          </w:tcPr>
          <w:p w:rsidR="00000000" w:rsidRDefault="002D1830">
            <w:pPr>
              <w:spacing w:line="360" w:lineRule="auto"/>
              <w:ind w:firstLineChars="0" w:firstLine="0"/>
              <w:rPr>
                <w:rFonts w:ascii="新細明體" w:hint="eastAsia"/>
              </w:rPr>
            </w:pPr>
            <w:r>
              <w:rPr>
                <w:rFonts w:ascii="新細明體" w:hint="eastAsia"/>
              </w:rPr>
              <w:t>因執行職務而受侵害。</w:t>
            </w:r>
          </w:p>
        </w:tc>
        <w:tc>
          <w:tcPr>
            <w:tcW w:w="1320" w:type="dxa"/>
          </w:tcPr>
          <w:p w:rsidR="00000000" w:rsidRDefault="002D1830">
            <w:pPr>
              <w:spacing w:line="360" w:lineRule="auto"/>
              <w:ind w:firstLineChars="0" w:firstLine="0"/>
              <w:rPr>
                <w:rFonts w:ascii="新細明體" w:hint="eastAsia"/>
              </w:rPr>
            </w:pPr>
            <w:r>
              <w:rPr>
                <w:rFonts w:ascii="新細明體" w:hint="eastAsia"/>
              </w:rPr>
              <w:t>12.2.3.a</w:t>
            </w:r>
          </w:p>
        </w:tc>
      </w:tr>
      <w:tr w:rsidR="00000000">
        <w:tblPrEx>
          <w:tblCellMar>
            <w:top w:w="0" w:type="dxa"/>
            <w:bottom w:w="0" w:type="dxa"/>
          </w:tblCellMar>
        </w:tblPrEx>
        <w:tc>
          <w:tcPr>
            <w:tcW w:w="2268" w:type="dxa"/>
          </w:tcPr>
          <w:p w:rsidR="00000000" w:rsidRDefault="002D1830">
            <w:pPr>
              <w:spacing w:line="360" w:lineRule="auto"/>
              <w:ind w:firstLineChars="0" w:firstLine="0"/>
              <w:rPr>
                <w:rFonts w:ascii="新細明體" w:hint="eastAsia"/>
              </w:rPr>
            </w:pPr>
            <w:r>
              <w:rPr>
                <w:rFonts w:ascii="新細明體" w:hint="eastAsia"/>
              </w:rPr>
              <w:t>機關首長之法定代理</w:t>
            </w:r>
          </w:p>
        </w:tc>
        <w:tc>
          <w:tcPr>
            <w:tcW w:w="5040" w:type="dxa"/>
          </w:tcPr>
          <w:p w:rsidR="00000000" w:rsidRDefault="002D1830">
            <w:pPr>
              <w:spacing w:line="360" w:lineRule="auto"/>
              <w:ind w:firstLineChars="0" w:firstLine="0"/>
              <w:rPr>
                <w:rFonts w:ascii="新細明體" w:hint="eastAsia"/>
              </w:rPr>
            </w:pPr>
            <w:r>
              <w:rPr>
                <w:rFonts w:ascii="新細明體" w:hint="eastAsia"/>
              </w:rPr>
              <w:t>針對重大死亡刑案。</w:t>
            </w:r>
          </w:p>
        </w:tc>
        <w:tc>
          <w:tcPr>
            <w:tcW w:w="1320" w:type="dxa"/>
          </w:tcPr>
          <w:p w:rsidR="00000000" w:rsidRDefault="002D1830">
            <w:pPr>
              <w:spacing w:line="360" w:lineRule="auto"/>
              <w:ind w:firstLineChars="0" w:firstLine="0"/>
              <w:rPr>
                <w:rFonts w:ascii="新細明體" w:hint="eastAsia"/>
              </w:rPr>
            </w:pPr>
            <w:r>
              <w:rPr>
                <w:rFonts w:ascii="新細明體" w:hint="eastAsia"/>
              </w:rPr>
              <w:t>12.2.3.b</w:t>
            </w:r>
          </w:p>
        </w:tc>
      </w:tr>
      <w:tr w:rsidR="00000000">
        <w:tblPrEx>
          <w:tblCellMar>
            <w:top w:w="0" w:type="dxa"/>
            <w:bottom w:w="0" w:type="dxa"/>
          </w:tblCellMar>
        </w:tblPrEx>
        <w:tc>
          <w:tcPr>
            <w:tcW w:w="2268" w:type="dxa"/>
          </w:tcPr>
          <w:p w:rsidR="00000000" w:rsidRDefault="002D1830">
            <w:pPr>
              <w:spacing w:line="360" w:lineRule="auto"/>
              <w:ind w:firstLineChars="0" w:firstLine="0"/>
              <w:rPr>
                <w:rFonts w:ascii="新細明體" w:hint="eastAsia"/>
              </w:rPr>
            </w:pPr>
            <w:r>
              <w:rPr>
                <w:rFonts w:ascii="新細明體" w:hint="eastAsia"/>
              </w:rPr>
              <w:t>皇室代公務員承擔民事責任與費用</w:t>
            </w:r>
          </w:p>
        </w:tc>
        <w:tc>
          <w:tcPr>
            <w:tcW w:w="5040" w:type="dxa"/>
          </w:tcPr>
          <w:p w:rsidR="00000000" w:rsidRDefault="002D1830">
            <w:pPr>
              <w:spacing w:line="360" w:lineRule="auto"/>
              <w:ind w:firstLineChars="0" w:firstLine="0"/>
              <w:rPr>
                <w:rFonts w:ascii="新細明體" w:hint="eastAsia"/>
              </w:rPr>
            </w:pPr>
            <w:r>
              <w:rPr>
                <w:rFonts w:ascii="新細明體" w:hint="eastAsia"/>
              </w:rPr>
              <w:t>由於上級之行為導致公務員負有民事賠償責任者，</w:t>
            </w:r>
          </w:p>
        </w:tc>
        <w:tc>
          <w:tcPr>
            <w:tcW w:w="1320" w:type="dxa"/>
          </w:tcPr>
          <w:p w:rsidR="00000000" w:rsidRDefault="002D1830">
            <w:pPr>
              <w:spacing w:line="360" w:lineRule="auto"/>
              <w:ind w:firstLineChars="0" w:firstLine="0"/>
              <w:rPr>
                <w:rFonts w:ascii="新細明體" w:hint="eastAsia"/>
              </w:rPr>
            </w:pPr>
            <w:r>
              <w:rPr>
                <w:rFonts w:ascii="新細明體" w:hint="eastAsia"/>
              </w:rPr>
              <w:t>12.2.5</w:t>
            </w:r>
          </w:p>
        </w:tc>
      </w:tr>
    </w:tbl>
    <w:p w:rsidR="00000000" w:rsidRDefault="002D1830">
      <w:pPr>
        <w:spacing w:line="360" w:lineRule="auto"/>
        <w:ind w:firstLine="480"/>
        <w:rPr>
          <w:rFonts w:ascii="新細明體" w:hint="eastAsia"/>
        </w:rPr>
      </w:pPr>
    </w:p>
    <w:p w:rsidR="00000000" w:rsidRDefault="002D1830" w:rsidP="002D1830">
      <w:pPr>
        <w:numPr>
          <w:ilvl w:val="0"/>
          <w:numId w:val="12"/>
        </w:numPr>
        <w:spacing w:line="360" w:lineRule="auto"/>
        <w:ind w:firstLineChars="0"/>
        <w:jc w:val="left"/>
        <w:rPr>
          <w:rFonts w:ascii="新細明體" w:hint="eastAsia"/>
        </w:rPr>
      </w:pPr>
      <w:r>
        <w:rPr>
          <w:rFonts w:ascii="新細明體" w:hint="eastAsia"/>
        </w:rPr>
        <w:t>表</w:t>
      </w:r>
      <w:r>
        <w:rPr>
          <w:rFonts w:ascii="新細明體" w:hint="eastAsia"/>
        </w:rPr>
        <w:t>2-2-1</w:t>
      </w:r>
      <w:r>
        <w:rPr>
          <w:rFonts w:ascii="新細明體" w:hint="eastAsia"/>
        </w:rPr>
        <w:t>。本表來源，本研究自製。</w:t>
      </w:r>
    </w:p>
    <w:p w:rsidR="00000000" w:rsidRDefault="002D1830">
      <w:pPr>
        <w:spacing w:line="360" w:lineRule="auto"/>
        <w:ind w:firstLine="480"/>
        <w:rPr>
          <w:rFonts w:ascii="新細明體" w:hint="eastAsia"/>
        </w:rPr>
      </w:pPr>
      <w:r>
        <w:rPr>
          <w:rFonts w:ascii="新細明體" w:hint="eastAsia"/>
        </w:rPr>
        <w:t>須特別補充說明的是，以上法律扶助</w:t>
      </w:r>
      <w:r>
        <w:rPr>
          <w:rFonts w:ascii="新細明體" w:hint="eastAsia"/>
        </w:rPr>
        <w:t>措施，乃由官署依職權發動，而非依當事人申請為之，在特定情況下甚至無裁量餘地（法條規定使用“</w:t>
      </w:r>
      <w:r>
        <w:rPr>
          <w:rFonts w:ascii="新細明體" w:hint="eastAsia"/>
        </w:rPr>
        <w:t>must</w:t>
      </w:r>
      <w:r>
        <w:rPr>
          <w:rFonts w:ascii="新細明體" w:hint="eastAsia"/>
        </w:rPr>
        <w:t>”）。</w:t>
      </w:r>
    </w:p>
    <w:p w:rsidR="00000000" w:rsidRDefault="002D1830" w:rsidP="002D1830">
      <w:pPr>
        <w:numPr>
          <w:ilvl w:val="0"/>
          <w:numId w:val="9"/>
        </w:numPr>
        <w:spacing w:line="360" w:lineRule="auto"/>
        <w:ind w:firstLineChars="0"/>
        <w:jc w:val="left"/>
        <w:rPr>
          <w:rFonts w:ascii="新細明體" w:hint="eastAsia"/>
        </w:rPr>
      </w:pPr>
      <w:r>
        <w:rPr>
          <w:rFonts w:ascii="新細明體" w:hint="eastAsia"/>
        </w:rPr>
        <w:t>扶助後之求償制度</w:t>
      </w:r>
    </w:p>
    <w:p w:rsidR="00000000" w:rsidRDefault="002D1830">
      <w:pPr>
        <w:spacing w:line="360" w:lineRule="auto"/>
        <w:ind w:firstLine="480"/>
        <w:rPr>
          <w:rFonts w:ascii="新細明體" w:hint="eastAsia"/>
        </w:rPr>
      </w:pPr>
      <w:r>
        <w:rPr>
          <w:rFonts w:ascii="新細明體" w:hint="eastAsia"/>
        </w:rPr>
        <w:t>對於提供扶助後是否會再向公務員求償？就此該辦法似未規定。換言之，一旦官署決定提供扶助，則將是終局提供，而非僅是先暫時代墊。因此，未來不會再向公務員要求返回。亦即其立論基礎是此法律扶助乃係對公務員的福利措施，公務員與國家為一體，有國家自己責任之意味</w:t>
      </w:r>
      <w:r>
        <w:rPr>
          <w:rStyle w:val="a6"/>
          <w:rFonts w:ascii="新細明體" w:hint="eastAsia"/>
        </w:rPr>
        <w:footnoteReference w:id="42"/>
      </w:r>
      <w:r>
        <w:rPr>
          <w:rFonts w:ascii="新細明體" w:hint="eastAsia"/>
        </w:rPr>
        <w:t>。而非立於民法上損害賠償（例如我國民法第一八八條的雇主責任）之觀念，即先由國家代償，但終究國家可向公務員求償。</w:t>
      </w:r>
    </w:p>
    <w:p w:rsidR="00000000" w:rsidRDefault="002D1830" w:rsidP="002D1830">
      <w:pPr>
        <w:numPr>
          <w:ilvl w:val="0"/>
          <w:numId w:val="9"/>
        </w:numPr>
        <w:spacing w:line="360" w:lineRule="auto"/>
        <w:ind w:firstLineChars="0"/>
        <w:jc w:val="left"/>
        <w:rPr>
          <w:rFonts w:ascii="新細明體" w:hint="eastAsia"/>
        </w:rPr>
      </w:pPr>
      <w:r>
        <w:rPr>
          <w:rFonts w:ascii="新細明體" w:hint="eastAsia"/>
        </w:rPr>
        <w:t>決定前之程序</w:t>
      </w:r>
    </w:p>
    <w:p w:rsidR="00000000" w:rsidRDefault="002D1830">
      <w:pPr>
        <w:spacing w:line="360" w:lineRule="auto"/>
        <w:ind w:firstLine="480"/>
        <w:rPr>
          <w:rFonts w:ascii="新細明體" w:hint="eastAsia"/>
        </w:rPr>
      </w:pPr>
      <w:r>
        <w:rPr>
          <w:rFonts w:ascii="新細明體" w:hint="eastAsia"/>
        </w:rPr>
        <w:t>由於原則上是否</w:t>
      </w:r>
      <w:r>
        <w:rPr>
          <w:rFonts w:ascii="新細明體" w:hint="eastAsia"/>
        </w:rPr>
        <w:t>提供法律扶助乃官署之裁量權，已如前述。而在行使該裁量權時，若在案件中公務員經正式調查後發現係可歸責，此時官署應裁量決定是否仍要繼續提供法律扶助，且應參考二者之意見﹕官署的法律顧問</w:t>
      </w:r>
      <w:r>
        <w:rPr>
          <w:rFonts w:ascii="新細明體" w:hint="eastAsia"/>
        </w:rPr>
        <w:t>(Legal Adviser)</w:t>
      </w:r>
      <w:r>
        <w:rPr>
          <w:rFonts w:ascii="新細明體" w:hint="eastAsia"/>
        </w:rPr>
        <w:t>與相關的工會（</w:t>
      </w:r>
      <w:r>
        <w:rPr>
          <w:rFonts w:ascii="新細明體" w:hint="eastAsia"/>
        </w:rPr>
        <w:t>the relevant trade union</w:t>
      </w:r>
      <w:r>
        <w:rPr>
          <w:rFonts w:ascii="新細明體" w:hint="eastAsia"/>
        </w:rPr>
        <w:t>）。</w:t>
      </w:r>
      <w:r>
        <w:rPr>
          <w:rStyle w:val="a6"/>
          <w:rFonts w:ascii="新細明體" w:hint="eastAsia"/>
        </w:rPr>
        <w:footnoteReference w:id="43"/>
      </w:r>
    </w:p>
    <w:p w:rsidR="00000000" w:rsidRDefault="002D1830">
      <w:pPr>
        <w:spacing w:line="360" w:lineRule="auto"/>
        <w:ind w:firstLine="480"/>
        <w:rPr>
          <w:rFonts w:ascii="新細明體" w:hint="eastAsia"/>
        </w:rPr>
      </w:pPr>
      <w:r>
        <w:rPr>
          <w:rFonts w:ascii="新細明體" w:hint="eastAsia"/>
        </w:rPr>
        <w:t>另外，官署在決定前是否應予涉案公務員事前表示意見</w:t>
      </w:r>
      <w:r>
        <w:rPr>
          <w:rFonts w:ascii="新細明體" w:hint="eastAsia"/>
        </w:rPr>
        <w:t>(hearing)</w:t>
      </w:r>
      <w:r>
        <w:rPr>
          <w:rFonts w:ascii="新細明體" w:hint="eastAsia"/>
        </w:rPr>
        <w:t>之機會？本法漏未規定。本法僅有事後救濟程序之規定，即﹕「公務員對於官署拒絕提供其由公費負擔之法定代理或其他法律扶助之決定，得向最高行政機關或其首長申訴。」（</w:t>
      </w:r>
      <w:r>
        <w:rPr>
          <w:rFonts w:ascii="新細明體" w:hint="eastAsia"/>
        </w:rPr>
        <w:t>12.2.4</w:t>
      </w:r>
      <w:r>
        <w:rPr>
          <w:rFonts w:ascii="新細明體" w:hint="eastAsia"/>
        </w:rPr>
        <w:t>）</w:t>
      </w:r>
    </w:p>
    <w:p w:rsidR="00000000" w:rsidRDefault="002D1830">
      <w:pPr>
        <w:spacing w:line="360" w:lineRule="auto"/>
        <w:ind w:firstLineChars="0" w:firstLine="0"/>
        <w:rPr>
          <w:rFonts w:ascii="新細明體" w:hint="eastAsia"/>
          <w:sz w:val="28"/>
          <w:szCs w:val="28"/>
        </w:rPr>
      </w:pPr>
      <w:r>
        <w:rPr>
          <w:rFonts w:ascii="新細明體" w:hint="eastAsia"/>
          <w:sz w:val="28"/>
          <w:szCs w:val="28"/>
        </w:rPr>
        <w:t>肆、與我國公務員因公涉訟法制之比較</w:t>
      </w:r>
    </w:p>
    <w:p w:rsidR="00000000" w:rsidRDefault="002D1830">
      <w:pPr>
        <w:spacing w:line="360" w:lineRule="auto"/>
        <w:ind w:firstLine="480"/>
        <w:rPr>
          <w:rFonts w:ascii="新細明體" w:hint="eastAsia"/>
        </w:rPr>
      </w:pPr>
      <w:r>
        <w:rPr>
          <w:rFonts w:ascii="新細明體" w:hint="eastAsia"/>
        </w:rPr>
        <w:t>本段中，吾人將進一步比較英國因公涉訟法制與我國之異同（我國法制的說明，請詳見第三章，此處暫不討論）。以下分七點並將以表列的方式說明﹕</w:t>
      </w:r>
    </w:p>
    <w:p w:rsidR="00000000" w:rsidRDefault="002D1830">
      <w:pPr>
        <w:spacing w:line="360" w:lineRule="auto"/>
        <w:ind w:firstLine="480"/>
        <w:jc w:val="left"/>
        <w:rPr>
          <w:rFonts w:ascii="新細明體" w:hint="eastAsia"/>
        </w:rPr>
      </w:pPr>
      <w:r>
        <w:rPr>
          <w:rFonts w:ascii="新細明體" w:hint="eastAsia"/>
        </w:rPr>
        <w:t>一、因公涉訟之認定</w:t>
      </w:r>
    </w:p>
    <w:p w:rsidR="00000000" w:rsidRDefault="002D1830">
      <w:pPr>
        <w:spacing w:line="360" w:lineRule="auto"/>
        <w:ind w:firstLine="480"/>
        <w:rPr>
          <w:rFonts w:ascii="新細明體" w:hint="eastAsia"/>
        </w:rPr>
      </w:pPr>
      <w:r>
        <w:rPr>
          <w:rFonts w:ascii="新細明體" w:hint="eastAsia"/>
        </w:rPr>
        <w:t xml:space="preserve">    </w:t>
      </w:r>
    </w:p>
    <w:p w:rsidR="00000000" w:rsidRDefault="002D1830">
      <w:pPr>
        <w:spacing w:line="360" w:lineRule="auto"/>
        <w:ind w:firstLine="480"/>
        <w:rPr>
          <w:rFonts w:ascii="新細明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8"/>
      </w:tblGrid>
      <w:tr w:rsidR="00000000">
        <w:tblPrEx>
          <w:tblCellMar>
            <w:top w:w="0" w:type="dxa"/>
            <w:bottom w:w="0" w:type="dxa"/>
          </w:tblCellMar>
        </w:tblPrEx>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我國因公涉訟輔助辦法</w:t>
            </w:r>
          </w:p>
        </w:tc>
        <w:tc>
          <w:tcPr>
            <w:tcW w:w="2788" w:type="dxa"/>
          </w:tcPr>
          <w:p w:rsidR="00000000" w:rsidRDefault="002D1830">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2D1830">
            <w:pPr>
              <w:spacing w:line="360" w:lineRule="auto"/>
              <w:ind w:firstLineChars="0" w:firstLine="0"/>
              <w:rPr>
                <w:rFonts w:ascii="新細明體" w:hint="eastAsia"/>
              </w:rPr>
            </w:pPr>
            <w:r>
              <w:rPr>
                <w:rFonts w:ascii="新細明體" w:hint="eastAsia"/>
              </w:rPr>
              <w:t>公務員於執行職務時涉及訴訟或正式的調查程序。（</w:t>
            </w:r>
            <w:r>
              <w:rPr>
                <w:rFonts w:ascii="新細明體" w:hint="eastAsia"/>
              </w:rPr>
              <w:t>12.2.1</w:t>
            </w:r>
            <w:r>
              <w:rPr>
                <w:rFonts w:ascii="新細明體" w:hint="eastAsia"/>
              </w:rPr>
              <w:t>）</w:t>
            </w:r>
          </w:p>
        </w:tc>
        <w:tc>
          <w:tcPr>
            <w:tcW w:w="2787" w:type="dxa"/>
          </w:tcPr>
          <w:p w:rsidR="00000000" w:rsidRDefault="002D1830">
            <w:pPr>
              <w:spacing w:line="360" w:lineRule="auto"/>
              <w:ind w:firstLineChars="0" w:firstLine="0"/>
              <w:rPr>
                <w:rFonts w:ascii="新細明體" w:hint="eastAsia"/>
              </w:rPr>
            </w:pPr>
            <w:r>
              <w:rPr>
                <w:rFonts w:ascii="新細明體" w:hint="eastAsia"/>
              </w:rPr>
              <w:t>公務人員保障法第十三條所稱依法執行職務涉訟或遭受侵害，係指具有下列情事之一者﹕一、依法令執行職務，而涉及民事、刑事訴訟案件。二、依法令執行職務遭受侵害，而涉及民事、刑事訴訟案件。（第三條）</w:t>
            </w:r>
          </w:p>
        </w:tc>
        <w:tc>
          <w:tcPr>
            <w:tcW w:w="2788" w:type="dxa"/>
          </w:tcPr>
          <w:p w:rsidR="00000000" w:rsidRDefault="002D1830" w:rsidP="002D1830">
            <w:pPr>
              <w:numPr>
                <w:ilvl w:val="3"/>
                <w:numId w:val="10"/>
              </w:numPr>
              <w:tabs>
                <w:tab w:val="clear" w:pos="1920"/>
              </w:tabs>
              <w:spacing w:line="360" w:lineRule="auto"/>
              <w:ind w:left="546" w:firstLineChars="0"/>
              <w:jc w:val="left"/>
              <w:rPr>
                <w:rFonts w:ascii="新細明體" w:hint="eastAsia"/>
              </w:rPr>
            </w:pPr>
            <w:r>
              <w:rPr>
                <w:rFonts w:ascii="新細明體" w:hint="eastAsia"/>
              </w:rPr>
              <w:t>同樣</w:t>
            </w:r>
            <w:r>
              <w:rPr>
                <w:rFonts w:ascii="新細明體" w:hint="eastAsia"/>
              </w:rPr>
              <w:t>僅包括民、刑訴訟而不含行政訴訟。</w:t>
            </w:r>
          </w:p>
          <w:p w:rsidR="00000000" w:rsidRDefault="002D1830" w:rsidP="002D1830">
            <w:pPr>
              <w:numPr>
                <w:ilvl w:val="3"/>
                <w:numId w:val="10"/>
              </w:numPr>
              <w:tabs>
                <w:tab w:val="clear" w:pos="1920"/>
              </w:tabs>
              <w:spacing w:line="360" w:lineRule="auto"/>
              <w:ind w:left="546" w:firstLineChars="0"/>
              <w:jc w:val="left"/>
              <w:rPr>
                <w:rFonts w:ascii="新細明體" w:hint="eastAsia"/>
              </w:rPr>
            </w:pPr>
            <w:r>
              <w:rPr>
                <w:rFonts w:ascii="新細明體" w:hint="eastAsia"/>
              </w:rPr>
              <w:t>同樣都包括因執行職務而侵害他人或被侵害。</w:t>
            </w:r>
          </w:p>
          <w:p w:rsidR="00000000" w:rsidRDefault="002D1830">
            <w:pPr>
              <w:spacing w:line="360" w:lineRule="auto"/>
              <w:ind w:left="66" w:firstLine="480"/>
              <w:rPr>
                <w:rFonts w:ascii="新細明體" w:hint="eastAsia"/>
              </w:rPr>
            </w:pPr>
          </w:p>
        </w:tc>
      </w:tr>
    </w:tbl>
    <w:p w:rsidR="00000000" w:rsidRDefault="002D1830">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2-2-2</w:t>
      </w:r>
      <w:r>
        <w:rPr>
          <w:rFonts w:ascii="新細明體" w:hint="eastAsia"/>
        </w:rPr>
        <w:t>。本表來源，本研究自製。</w:t>
      </w:r>
    </w:p>
    <w:p w:rsidR="00000000" w:rsidRDefault="002D1830">
      <w:pPr>
        <w:spacing w:line="360" w:lineRule="auto"/>
        <w:ind w:firstLine="480"/>
        <w:jc w:val="left"/>
        <w:rPr>
          <w:rFonts w:ascii="新細明體" w:hint="eastAsia"/>
        </w:rPr>
      </w:pPr>
      <w:r>
        <w:rPr>
          <w:rFonts w:ascii="新細明體" w:hint="eastAsia"/>
        </w:rPr>
        <w:t>二、適用對象之判斷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8"/>
      </w:tblGrid>
      <w:tr w:rsidR="00000000">
        <w:tblPrEx>
          <w:tblCellMar>
            <w:top w:w="0" w:type="dxa"/>
            <w:bottom w:w="0" w:type="dxa"/>
          </w:tblCellMar>
        </w:tblPrEx>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我國公務人員因公涉訟輔助辦法</w:t>
            </w:r>
          </w:p>
        </w:tc>
        <w:tc>
          <w:tcPr>
            <w:tcW w:w="2788" w:type="dxa"/>
          </w:tcPr>
          <w:p w:rsidR="00000000" w:rsidRDefault="002D1830">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2D1830">
            <w:pPr>
              <w:spacing w:line="360" w:lineRule="auto"/>
              <w:ind w:firstLineChars="0" w:firstLine="0"/>
              <w:rPr>
                <w:rFonts w:ascii="新細明體" w:hint="eastAsia"/>
              </w:rPr>
            </w:pPr>
            <w:r>
              <w:rPr>
                <w:rFonts w:ascii="新細明體" w:hint="eastAsia"/>
              </w:rPr>
              <w:t>（皇家）公務員係指經政府公開公平考試及格且品格優良，並經試用期滿，正式授與公務員資格者而言。（本辦法</w:t>
            </w:r>
            <w:r>
              <w:rPr>
                <w:rFonts w:ascii="新細明體" w:hAnsi="Helvetica" w:hint="eastAsia"/>
              </w:rPr>
              <w:t xml:space="preserve">CHAPTER 1  TAKING UP APPOINTMENT </w:t>
            </w:r>
            <w:r>
              <w:rPr>
                <w:rFonts w:ascii="新細明體" w:hint="eastAsia"/>
              </w:rPr>
              <w:t>Section 1.1 Recruitment</w:t>
            </w:r>
            <w:r>
              <w:rPr>
                <w:rFonts w:ascii="新細明體" w:hint="eastAsia"/>
              </w:rPr>
              <w:t>及</w:t>
            </w:r>
            <w:r>
              <w:rPr>
                <w:rFonts w:ascii="新細明體" w:hint="eastAsia"/>
              </w:rPr>
              <w:t>Annex A: CivilService Commissioner</w:t>
            </w:r>
            <w:r>
              <w:rPr>
                <w:rFonts w:ascii="新細明體" w:hint="eastAsia"/>
              </w:rPr>
              <w:t>’</w:t>
            </w:r>
            <w:r>
              <w:rPr>
                <w:rFonts w:ascii="新細明體" w:hint="eastAsia"/>
              </w:rPr>
              <w:t xml:space="preserve"> Recruitment </w:t>
            </w:r>
            <w:r>
              <w:rPr>
                <w:rFonts w:ascii="新細明體" w:hint="eastAsia"/>
              </w:rPr>
              <w:t>Code</w:t>
            </w:r>
            <w:r>
              <w:rPr>
                <w:rFonts w:ascii="新細明體" w:hint="eastAsia"/>
              </w:rPr>
              <w:t>）但若私人經政府授與公權力執行公共任務，則亦認為該當本法公務員之概念。（</w:t>
            </w:r>
            <w:r>
              <w:rPr>
                <w:rFonts w:ascii="新細明體" w:hint="eastAsia"/>
              </w:rPr>
              <w:t>Civil Service Order in Council 1995</w:t>
            </w:r>
            <w:r>
              <w:rPr>
                <w:rFonts w:ascii="新細明體" w:hint="eastAsia"/>
              </w:rPr>
              <w:t>）。</w:t>
            </w:r>
          </w:p>
        </w:tc>
        <w:tc>
          <w:tcPr>
            <w:tcW w:w="2787" w:type="dxa"/>
          </w:tcPr>
          <w:p w:rsidR="00000000" w:rsidRDefault="002D1830">
            <w:pPr>
              <w:spacing w:line="360" w:lineRule="auto"/>
              <w:ind w:firstLineChars="0" w:firstLine="0"/>
              <w:rPr>
                <w:rFonts w:ascii="新細明體" w:hint="eastAsia"/>
              </w:rPr>
            </w:pPr>
            <w:r>
              <w:rPr>
                <w:rFonts w:ascii="新細明體" w:hint="eastAsia"/>
              </w:rPr>
              <w:t>本法所稱之公務人員，係指公務人員保障法第三條</w:t>
            </w:r>
            <w:r>
              <w:rPr>
                <w:rFonts w:ascii="新細明體" w:hint="eastAsia"/>
              </w:rPr>
              <w:t>*</w:t>
            </w:r>
            <w:r>
              <w:rPr>
                <w:rFonts w:ascii="新細明體" w:hint="eastAsia"/>
              </w:rPr>
              <w:t>所定之人員。（第二條）</w:t>
            </w:r>
          </w:p>
          <w:p w:rsidR="00000000" w:rsidRDefault="002D1830">
            <w:pPr>
              <w:spacing w:line="360" w:lineRule="auto"/>
              <w:ind w:firstLineChars="0" w:firstLine="0"/>
              <w:rPr>
                <w:rFonts w:ascii="新細明體" w:hint="eastAsia"/>
              </w:rPr>
            </w:pPr>
            <w:r>
              <w:rPr>
                <w:rFonts w:ascii="新細明體" w:hint="eastAsia"/>
              </w:rPr>
              <w:t>下列人員準用本辦法規定﹕一、除第二條所定人員外，各級政府機關、公立學校、公營事業機構依法令從事於公務之人員。二、第二條及前款鎖定人緣法執行職務或涉訟時死亡，其依法律得提起或承受訴訟之人。（第九條）</w:t>
            </w:r>
          </w:p>
          <w:p w:rsidR="00000000" w:rsidRDefault="002D1830">
            <w:pPr>
              <w:spacing w:line="360" w:lineRule="auto"/>
              <w:ind w:firstLine="480"/>
              <w:rPr>
                <w:rFonts w:ascii="新細明體" w:hint="eastAsia"/>
              </w:rPr>
            </w:pPr>
          </w:p>
          <w:p w:rsidR="00000000" w:rsidRDefault="002D1830">
            <w:pPr>
              <w:spacing w:line="360" w:lineRule="auto"/>
              <w:ind w:firstLine="400"/>
              <w:rPr>
                <w:rFonts w:ascii="新細明體" w:hint="eastAsia"/>
                <w:sz w:val="20"/>
                <w:szCs w:val="20"/>
              </w:rPr>
            </w:pPr>
            <w:r>
              <w:rPr>
                <w:rFonts w:ascii="新細明體" w:hint="eastAsia"/>
                <w:sz w:val="20"/>
                <w:szCs w:val="20"/>
              </w:rPr>
              <w:t>*</w:t>
            </w:r>
            <w:r>
              <w:rPr>
                <w:rFonts w:ascii="新細明體" w:hint="eastAsia"/>
                <w:sz w:val="20"/>
                <w:szCs w:val="20"/>
              </w:rPr>
              <w:t>公務人員保障法第三條規定﹕本法所稱公務人員，係指法定機關依法任用、派用之有給專任人員</w:t>
            </w:r>
            <w:r>
              <w:rPr>
                <w:rFonts w:ascii="新細明體" w:hint="eastAsia"/>
                <w:sz w:val="20"/>
                <w:szCs w:val="20"/>
              </w:rPr>
              <w:t>及公立學校編制內依法任用之職員。</w:t>
            </w:r>
            <w:r>
              <w:rPr>
                <w:rFonts w:ascii="新細明體" w:hint="eastAsia"/>
                <w:sz w:val="20"/>
                <w:szCs w:val="20"/>
              </w:rPr>
              <w:t xml:space="preserve">  </w:t>
            </w:r>
            <w:r>
              <w:rPr>
                <w:rFonts w:ascii="新細明體" w:hint="eastAsia"/>
                <w:sz w:val="20"/>
                <w:szCs w:val="20"/>
              </w:rPr>
              <w:t>前項人員不包括政務官、民選公職人員。</w:t>
            </w:r>
          </w:p>
          <w:p w:rsidR="00000000" w:rsidRDefault="002D1830">
            <w:pPr>
              <w:spacing w:line="360" w:lineRule="auto"/>
              <w:ind w:firstLine="400"/>
              <w:rPr>
                <w:rFonts w:ascii="新細明體" w:hint="eastAsia"/>
              </w:rPr>
            </w:pPr>
            <w:r>
              <w:rPr>
                <w:rFonts w:ascii="新細明體" w:hint="eastAsia"/>
                <w:sz w:val="20"/>
                <w:szCs w:val="20"/>
              </w:rPr>
              <w:t>同法第三十三條規定﹕下列人員準用本法之規定﹕一、教育人員任用條例公布施行前已進用未經銓敘合格之公立學校職員。二、公營事業對經營政策負有主要決策責任及依法任用之人員。三、機關組織編制中依法聘用（任）、僱用之人員。</w:t>
            </w:r>
          </w:p>
        </w:tc>
        <w:tc>
          <w:tcPr>
            <w:tcW w:w="2788" w:type="dxa"/>
          </w:tcPr>
          <w:p w:rsidR="00000000" w:rsidRDefault="002D1830">
            <w:pPr>
              <w:spacing w:line="360" w:lineRule="auto"/>
              <w:ind w:left="480" w:hangingChars="200" w:hanging="480"/>
              <w:rPr>
                <w:rFonts w:ascii="新細明體" w:hint="eastAsia"/>
              </w:rPr>
            </w:pPr>
            <w:r>
              <w:rPr>
                <w:rFonts w:ascii="新細明體" w:hint="eastAsia"/>
              </w:rPr>
              <w:t xml:space="preserve">1.  </w:t>
            </w:r>
            <w:r>
              <w:rPr>
                <w:rFonts w:ascii="新細明體" w:hint="eastAsia"/>
              </w:rPr>
              <w:t>英國法主要指據公務員任用資格者，但包含受委託行使公權力之人。</w:t>
            </w:r>
          </w:p>
          <w:p w:rsidR="00000000" w:rsidRDefault="002D1830">
            <w:pPr>
              <w:spacing w:line="360" w:lineRule="auto"/>
              <w:ind w:left="480" w:hangingChars="200" w:hanging="480"/>
              <w:rPr>
                <w:rFonts w:ascii="新細明體" w:hint="eastAsia"/>
              </w:rPr>
            </w:pPr>
            <w:r>
              <w:rPr>
                <w:rFonts w:ascii="新細明體" w:hint="eastAsia"/>
              </w:rPr>
              <w:t xml:space="preserve">2.  </w:t>
            </w:r>
            <w:r>
              <w:rPr>
                <w:rFonts w:ascii="新細明體" w:hint="eastAsia"/>
              </w:rPr>
              <w:t>我國法範圍放得極寬。但須注意我國公務人員因公涉訟輔助辦法有抵觸上位規範（公務人員保障法）之嫌。</w:t>
            </w:r>
          </w:p>
          <w:p w:rsidR="00000000" w:rsidRDefault="002D1830">
            <w:pPr>
              <w:spacing w:line="360" w:lineRule="auto"/>
              <w:ind w:firstLine="480"/>
              <w:rPr>
                <w:rFonts w:ascii="新細明體" w:hint="eastAsia"/>
              </w:rPr>
            </w:pPr>
          </w:p>
        </w:tc>
      </w:tr>
    </w:tbl>
    <w:p w:rsidR="00000000" w:rsidRDefault="002D1830">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2-2-3</w:t>
      </w:r>
      <w:r>
        <w:rPr>
          <w:rFonts w:ascii="新細明體" w:hint="eastAsia"/>
        </w:rPr>
        <w:t>。本表來源，本研究自製。</w:t>
      </w:r>
    </w:p>
    <w:p w:rsidR="00000000" w:rsidRDefault="002D1830">
      <w:pPr>
        <w:spacing w:line="360" w:lineRule="auto"/>
        <w:ind w:left="555" w:firstLineChars="0" w:firstLine="0"/>
        <w:jc w:val="left"/>
        <w:rPr>
          <w:rFonts w:ascii="新細明體" w:hint="eastAsia"/>
        </w:rPr>
      </w:pPr>
      <w:r>
        <w:rPr>
          <w:rFonts w:ascii="新細明體" w:hint="eastAsia"/>
        </w:rPr>
        <w:t>三、</w:t>
      </w:r>
      <w:r>
        <w:rPr>
          <w:rFonts w:ascii="新細明體" w:hint="eastAsia"/>
        </w:rPr>
        <w:t>執行職務之範圍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7"/>
      </w:tblGrid>
      <w:tr w:rsidR="00000000">
        <w:tblPrEx>
          <w:tblCellMar>
            <w:top w:w="0" w:type="dxa"/>
            <w:bottom w:w="0" w:type="dxa"/>
          </w:tblCellMar>
        </w:tblPrEx>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我國公務人員因公涉訟輔助辦法</w:t>
            </w:r>
          </w:p>
        </w:tc>
        <w:tc>
          <w:tcPr>
            <w:tcW w:w="2787" w:type="dxa"/>
          </w:tcPr>
          <w:p w:rsidR="00000000" w:rsidRDefault="002D1830">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2D1830">
            <w:pPr>
              <w:spacing w:line="360" w:lineRule="auto"/>
              <w:ind w:firstLineChars="0" w:firstLine="0"/>
              <w:rPr>
                <w:rFonts w:ascii="新細明體" w:hint="eastAsia"/>
              </w:rPr>
            </w:pPr>
            <w:r>
              <w:rPr>
                <w:rFonts w:ascii="新細明體" w:hint="eastAsia"/>
              </w:rPr>
              <w:t>多處規定限於公務員未逾越權限範圍。此外，由於上級之行為導致公務員負有民事賠償責任者，應由英國皇室代公務員承擔該責任。（</w:t>
            </w:r>
            <w:r>
              <w:rPr>
                <w:rFonts w:ascii="新細明體" w:hint="eastAsia"/>
              </w:rPr>
              <w:t>12.2.5</w:t>
            </w:r>
            <w:r>
              <w:rPr>
                <w:rFonts w:ascii="新細明體" w:hint="eastAsia"/>
              </w:rPr>
              <w:t>）但涉案公務員乃故意違法或有其他不誠實處，或已或其他賠償者，則不在此限。（</w:t>
            </w:r>
            <w:r>
              <w:rPr>
                <w:rFonts w:ascii="新細明體" w:hint="eastAsia"/>
              </w:rPr>
              <w:t>12.2.6</w:t>
            </w:r>
            <w:r>
              <w:rPr>
                <w:rFonts w:ascii="新細明體" w:hint="eastAsia"/>
              </w:rPr>
              <w:t>）此外對如何具體認定是否為執行職務則無明文規定。</w:t>
            </w:r>
          </w:p>
        </w:tc>
        <w:tc>
          <w:tcPr>
            <w:tcW w:w="2787" w:type="dxa"/>
          </w:tcPr>
          <w:p w:rsidR="00000000" w:rsidRDefault="002D1830">
            <w:pPr>
              <w:pStyle w:val="a8"/>
              <w:spacing w:line="360" w:lineRule="auto"/>
              <w:rPr>
                <w:rFonts w:ascii="新細明體" w:hint="eastAsia"/>
                <w:szCs w:val="24"/>
              </w:rPr>
            </w:pPr>
            <w:r>
              <w:rPr>
                <w:rFonts w:ascii="新細明體" w:hint="eastAsia"/>
                <w:szCs w:val="24"/>
              </w:rPr>
              <w:t>無明文規定。</w:t>
            </w:r>
          </w:p>
        </w:tc>
        <w:tc>
          <w:tcPr>
            <w:tcW w:w="2787" w:type="dxa"/>
          </w:tcPr>
          <w:p w:rsidR="00000000" w:rsidRDefault="002D1830" w:rsidP="002D1830">
            <w:pPr>
              <w:numPr>
                <w:ilvl w:val="0"/>
                <w:numId w:val="13"/>
              </w:numPr>
              <w:spacing w:line="360" w:lineRule="auto"/>
              <w:ind w:firstLineChars="0"/>
              <w:jc w:val="left"/>
              <w:rPr>
                <w:rFonts w:ascii="新細明體" w:hint="eastAsia"/>
              </w:rPr>
            </w:pPr>
            <w:r>
              <w:rPr>
                <w:rFonts w:ascii="新細明體" w:hint="eastAsia"/>
              </w:rPr>
              <w:t>二國法制皆無有關如何認定公務員執行職務之具體規定。</w:t>
            </w:r>
          </w:p>
          <w:p w:rsidR="00000000" w:rsidRDefault="002D1830" w:rsidP="002D1830">
            <w:pPr>
              <w:numPr>
                <w:ilvl w:val="0"/>
                <w:numId w:val="13"/>
              </w:numPr>
              <w:spacing w:line="360" w:lineRule="auto"/>
              <w:ind w:firstLineChars="0"/>
              <w:jc w:val="left"/>
              <w:rPr>
                <w:rFonts w:ascii="新細明體" w:hint="eastAsia"/>
              </w:rPr>
            </w:pPr>
            <w:r>
              <w:rPr>
                <w:rFonts w:ascii="新細明體" w:hint="eastAsia"/>
              </w:rPr>
              <w:t>我國實務解釋偏向採「客觀說」</w:t>
            </w:r>
            <w:r>
              <w:rPr>
                <w:rStyle w:val="a6"/>
                <w:rFonts w:ascii="新細明體" w:hint="eastAsia"/>
              </w:rPr>
              <w:footnoteReference w:id="44"/>
            </w:r>
            <w:r>
              <w:rPr>
                <w:rFonts w:ascii="新細明體" w:hint="eastAsia"/>
              </w:rPr>
              <w:t>認定；英國法制依其法規的前後文義推測，似亦採「客觀說」。</w:t>
            </w:r>
          </w:p>
          <w:p w:rsidR="00000000" w:rsidRDefault="002D1830" w:rsidP="002D1830">
            <w:pPr>
              <w:numPr>
                <w:ilvl w:val="0"/>
                <w:numId w:val="13"/>
              </w:numPr>
              <w:spacing w:line="360" w:lineRule="auto"/>
              <w:ind w:firstLineChars="0"/>
              <w:jc w:val="left"/>
              <w:rPr>
                <w:rFonts w:ascii="新細明體" w:hint="eastAsia"/>
              </w:rPr>
            </w:pPr>
            <w:r>
              <w:rPr>
                <w:rFonts w:ascii="新細明體" w:hint="eastAsia"/>
              </w:rPr>
              <w:t>我國法無英國法有關</w:t>
            </w:r>
            <w:r>
              <w:rPr>
                <w:rFonts w:ascii="新細明體" w:hint="eastAsia"/>
              </w:rPr>
              <w:t>公務員因上級指示而涉訟時應予補助之規定。</w:t>
            </w:r>
          </w:p>
        </w:tc>
      </w:tr>
    </w:tbl>
    <w:p w:rsidR="00000000" w:rsidRDefault="002D1830">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2-2-4</w:t>
      </w:r>
      <w:r>
        <w:rPr>
          <w:rFonts w:ascii="新細明體" w:hint="eastAsia"/>
        </w:rPr>
        <w:t>。本表來源，本研究自製。</w:t>
      </w:r>
    </w:p>
    <w:p w:rsidR="00000000" w:rsidRDefault="002D1830">
      <w:pPr>
        <w:spacing w:line="360" w:lineRule="auto"/>
        <w:ind w:left="555" w:firstLineChars="0" w:firstLine="0"/>
        <w:jc w:val="left"/>
        <w:rPr>
          <w:rFonts w:ascii="新細明體" w:hint="eastAsia"/>
        </w:rPr>
      </w:pPr>
      <w:r>
        <w:rPr>
          <w:rFonts w:ascii="新細明體" w:hint="eastAsia"/>
        </w:rPr>
        <w:t>四、延聘律師制度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7"/>
      </w:tblGrid>
      <w:tr w:rsidR="00000000">
        <w:tblPrEx>
          <w:tblCellMar>
            <w:top w:w="0" w:type="dxa"/>
            <w:bottom w:w="0" w:type="dxa"/>
          </w:tblCellMar>
        </w:tblPrEx>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我國公務人員因公涉訟輔助辦法</w:t>
            </w:r>
          </w:p>
        </w:tc>
        <w:tc>
          <w:tcPr>
            <w:tcW w:w="2787" w:type="dxa"/>
          </w:tcPr>
          <w:p w:rsidR="00000000" w:rsidRDefault="002D1830">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2D1830">
            <w:pPr>
              <w:spacing w:line="360" w:lineRule="auto"/>
              <w:ind w:firstLineChars="0" w:firstLine="0"/>
              <w:rPr>
                <w:rFonts w:ascii="新細明體" w:hint="eastAsia"/>
              </w:rPr>
            </w:pPr>
            <w:r>
              <w:rPr>
                <w:rFonts w:ascii="新細明體" w:hint="eastAsia"/>
              </w:rPr>
              <w:t>民事損害賠償由皇家初級律師代理。（</w:t>
            </w:r>
            <w:r>
              <w:rPr>
                <w:rFonts w:ascii="新細明體" w:hint="eastAsia"/>
              </w:rPr>
              <w:t>12.2.2</w:t>
            </w:r>
            <w:r>
              <w:rPr>
                <w:rFonts w:ascii="新細明體" w:hint="eastAsia"/>
              </w:rPr>
              <w:t>）並提供法律諮詢。（</w:t>
            </w:r>
            <w:r>
              <w:rPr>
                <w:rFonts w:ascii="新細明體" w:hint="eastAsia"/>
              </w:rPr>
              <w:t>12.2.3.a</w:t>
            </w:r>
            <w:r>
              <w:rPr>
                <w:rFonts w:ascii="新細明體" w:hint="eastAsia"/>
              </w:rPr>
              <w:t>）凡此均為官署之義務。</w:t>
            </w:r>
          </w:p>
        </w:tc>
        <w:tc>
          <w:tcPr>
            <w:tcW w:w="2787" w:type="dxa"/>
          </w:tcPr>
          <w:p w:rsidR="00000000" w:rsidRDefault="002D1830">
            <w:pPr>
              <w:spacing w:line="360" w:lineRule="auto"/>
              <w:ind w:firstLineChars="0" w:firstLine="0"/>
              <w:rPr>
                <w:rFonts w:ascii="新細明體" w:hint="eastAsia"/>
              </w:rPr>
            </w:pPr>
            <w:r>
              <w:rPr>
                <w:rFonts w:ascii="新細明體" w:hint="eastAsia"/>
              </w:rPr>
              <w:t>有第三條所定之情事時，其服務機關應為所屬公務人員延聘律師，並應徵得公務人員之同意。但公務人員如有事實上或法律上之原因而無法徵得其同意者，不在此限。</w:t>
            </w:r>
            <w:r>
              <w:rPr>
                <w:rFonts w:ascii="新細明體" w:hint="eastAsia"/>
              </w:rPr>
              <w:t xml:space="preserve">  </w:t>
            </w:r>
            <w:r>
              <w:rPr>
                <w:rFonts w:ascii="新細明體" w:hint="eastAsia"/>
              </w:rPr>
              <w:t>公務人員不同意機關延聘律師之人選，得由該公務人員自行延聘，並檢具事證向所屬機關申請核發費用。</w:t>
            </w:r>
            <w:r>
              <w:rPr>
                <w:rFonts w:ascii="新細明體" w:hint="eastAsia"/>
              </w:rPr>
              <w:t xml:space="preserve">  </w:t>
            </w:r>
            <w:r>
              <w:rPr>
                <w:rFonts w:ascii="新細明體" w:hint="eastAsia"/>
              </w:rPr>
              <w:t>公務人員已書面表示不願延聘者，該機關得免予延聘。</w:t>
            </w:r>
          </w:p>
        </w:tc>
        <w:tc>
          <w:tcPr>
            <w:tcW w:w="2787" w:type="dxa"/>
          </w:tcPr>
          <w:p w:rsidR="00000000" w:rsidRDefault="002D1830">
            <w:pPr>
              <w:spacing w:line="360" w:lineRule="auto"/>
              <w:ind w:left="480" w:hangingChars="200" w:hanging="480"/>
              <w:rPr>
                <w:rFonts w:ascii="新細明體" w:hint="eastAsia"/>
              </w:rPr>
            </w:pPr>
            <w:r>
              <w:rPr>
                <w:rFonts w:ascii="新細明體" w:hint="eastAsia"/>
              </w:rPr>
              <w:t xml:space="preserve">1.  </w:t>
            </w:r>
            <w:r>
              <w:rPr>
                <w:rFonts w:ascii="新細明體" w:hint="eastAsia"/>
              </w:rPr>
              <w:t>英國法規定包含法律諮詢，但我國法則否。</w:t>
            </w:r>
          </w:p>
          <w:p w:rsidR="00000000" w:rsidRDefault="002D1830">
            <w:pPr>
              <w:spacing w:line="360" w:lineRule="auto"/>
              <w:ind w:left="480" w:hangingChars="200" w:hanging="480"/>
              <w:rPr>
                <w:rFonts w:ascii="新細明體" w:hint="eastAsia"/>
              </w:rPr>
            </w:pPr>
            <w:r>
              <w:rPr>
                <w:rFonts w:ascii="新細明體" w:hint="eastAsia"/>
              </w:rPr>
              <w:t xml:space="preserve">2.  </w:t>
            </w:r>
            <w:r>
              <w:rPr>
                <w:rFonts w:ascii="新細明體" w:hint="eastAsia"/>
              </w:rPr>
              <w:t>英國法未規定律師之選定應斟詢公務員意見。</w:t>
            </w:r>
          </w:p>
          <w:p w:rsidR="00000000" w:rsidRDefault="002D1830">
            <w:pPr>
              <w:spacing w:line="360" w:lineRule="auto"/>
              <w:ind w:left="365" w:hangingChars="152" w:hanging="365"/>
              <w:rPr>
                <w:rFonts w:ascii="新細明體" w:hint="eastAsia"/>
              </w:rPr>
            </w:pPr>
            <w:r>
              <w:rPr>
                <w:rFonts w:ascii="新細明體" w:hint="eastAsia"/>
              </w:rPr>
              <w:t xml:space="preserve">3.  </w:t>
            </w:r>
            <w:r>
              <w:rPr>
                <w:rFonts w:ascii="新細明體" w:hint="eastAsia"/>
              </w:rPr>
              <w:t>英國法代聘律師是官署的義務。然而我國法確定位為公務員之權利，並規定公務員得放棄選任律師。</w:t>
            </w:r>
          </w:p>
        </w:tc>
      </w:tr>
    </w:tbl>
    <w:p w:rsidR="00000000" w:rsidRDefault="002D1830">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2-2-5</w:t>
      </w:r>
      <w:r>
        <w:rPr>
          <w:rFonts w:ascii="新細明體" w:hint="eastAsia"/>
        </w:rPr>
        <w:t>。本表來源，本研究自製。</w:t>
      </w:r>
    </w:p>
    <w:p w:rsidR="00000000" w:rsidRDefault="002D1830">
      <w:pPr>
        <w:spacing w:line="360" w:lineRule="auto"/>
        <w:ind w:left="555" w:firstLineChars="0" w:firstLine="0"/>
        <w:jc w:val="left"/>
        <w:rPr>
          <w:rFonts w:ascii="新細明體" w:hint="eastAsia"/>
        </w:rPr>
      </w:pPr>
      <w:r>
        <w:rPr>
          <w:rFonts w:ascii="新細明體" w:hint="eastAsia"/>
        </w:rPr>
        <w:t>五、提供法律上扶助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7"/>
      </w:tblGrid>
      <w:tr w:rsidR="00000000">
        <w:tblPrEx>
          <w:tblCellMar>
            <w:top w:w="0" w:type="dxa"/>
            <w:bottom w:w="0" w:type="dxa"/>
          </w:tblCellMar>
        </w:tblPrEx>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我國公務人員因公涉訟輔助辦法</w:t>
            </w:r>
          </w:p>
        </w:tc>
        <w:tc>
          <w:tcPr>
            <w:tcW w:w="2787" w:type="dxa"/>
          </w:tcPr>
          <w:p w:rsidR="00000000" w:rsidRDefault="002D1830">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2D1830">
            <w:pPr>
              <w:spacing w:line="360" w:lineRule="auto"/>
              <w:ind w:firstLineChars="0" w:firstLine="0"/>
              <w:rPr>
                <w:rFonts w:ascii="新細明體" w:hint="eastAsia"/>
              </w:rPr>
            </w:pPr>
            <w:r>
              <w:rPr>
                <w:rFonts w:ascii="新細明體" w:hint="eastAsia"/>
              </w:rPr>
              <w:t>官署得「裁量」</w:t>
            </w:r>
            <w:r>
              <w:rPr>
                <w:rFonts w:ascii="新細明體" w:hint="eastAsia"/>
              </w:rPr>
              <w:t>(discretion)</w:t>
            </w:r>
            <w:r>
              <w:rPr>
                <w:rFonts w:ascii="新細明體" w:hint="eastAsia"/>
              </w:rPr>
              <w:t>決定是否提供涉案公務員：全部或部分法定代理或支付全部或部分法律費用。（</w:t>
            </w:r>
            <w:r>
              <w:rPr>
                <w:rFonts w:ascii="新細明體" w:hint="eastAsia"/>
              </w:rPr>
              <w:t>12.2.1</w:t>
            </w:r>
            <w:r>
              <w:rPr>
                <w:rFonts w:ascii="新細明體" w:hint="eastAsia"/>
              </w:rPr>
              <w:t>）提供由「皇家初級</w:t>
            </w:r>
            <w:r>
              <w:rPr>
                <w:rFonts w:ascii="新細明體" w:hint="eastAsia"/>
              </w:rPr>
              <w:t>律師」擔任之法定代理，且任何對於他方之責任或賠償，其費用由公家基金負擔。（</w:t>
            </w:r>
            <w:r>
              <w:rPr>
                <w:rFonts w:ascii="新細明體" w:hint="eastAsia"/>
              </w:rPr>
              <w:t>12.2.2</w:t>
            </w:r>
            <w:r>
              <w:rPr>
                <w:rFonts w:ascii="新細明體" w:hint="eastAsia"/>
              </w:rPr>
              <w:t>）對於因執行職務而被侵害之公務員應提供法律諮詢（</w:t>
            </w:r>
            <w:r>
              <w:rPr>
                <w:rFonts w:ascii="新細明體" w:hint="eastAsia"/>
              </w:rPr>
              <w:t>12.2.3.a</w:t>
            </w:r>
            <w:r>
              <w:rPr>
                <w:rFonts w:ascii="新細明體" w:hint="eastAsia"/>
              </w:rPr>
              <w:t>）涉及重大死亡刑案由機關首長代理（</w:t>
            </w:r>
            <w:r>
              <w:rPr>
                <w:rFonts w:ascii="新細明體" w:hint="eastAsia"/>
              </w:rPr>
              <w:t>12.2.3.b</w:t>
            </w:r>
            <w:r>
              <w:rPr>
                <w:rFonts w:ascii="新細明體" w:hint="eastAsia"/>
              </w:rPr>
              <w:t>）。由於上級之行為導致公務員負有民事賠償責任者，應由英國皇室代公務員承擔該責任。（</w:t>
            </w:r>
            <w:r>
              <w:rPr>
                <w:rFonts w:ascii="新細明體" w:hint="eastAsia"/>
              </w:rPr>
              <w:t>12.2.5</w:t>
            </w:r>
            <w:r>
              <w:rPr>
                <w:rFonts w:ascii="新細明體" w:hint="eastAsia"/>
              </w:rPr>
              <w:t>）</w:t>
            </w:r>
          </w:p>
        </w:tc>
        <w:tc>
          <w:tcPr>
            <w:tcW w:w="2787" w:type="dxa"/>
          </w:tcPr>
          <w:p w:rsidR="00000000" w:rsidRDefault="002D1830">
            <w:pPr>
              <w:pStyle w:val="a8"/>
              <w:spacing w:line="360" w:lineRule="auto"/>
              <w:rPr>
                <w:rFonts w:ascii="新細明體" w:hint="eastAsia"/>
                <w:szCs w:val="24"/>
              </w:rPr>
            </w:pPr>
            <w:r>
              <w:rPr>
                <w:rFonts w:ascii="新細明體" w:hint="eastAsia"/>
                <w:szCs w:val="24"/>
              </w:rPr>
              <w:t>有第三條規定之情事時，其服務機關應為所屬公務人員延聘律師，並應先徵得公務人員之同意。</w:t>
            </w:r>
            <w:r>
              <w:rPr>
                <w:rFonts w:ascii="新細明體" w:hint="eastAsia"/>
                <w:szCs w:val="24"/>
              </w:rPr>
              <w:t xml:space="preserve">  </w:t>
            </w:r>
            <w:r>
              <w:rPr>
                <w:rFonts w:ascii="新細明體" w:hint="eastAsia"/>
                <w:szCs w:val="24"/>
              </w:rPr>
              <w:t>公務人員不同意延聘律師之人選，得由該公務人員自行延聘，並檢具事證項所屬機關申請核發費用。（第三條）</w:t>
            </w:r>
          </w:p>
        </w:tc>
        <w:tc>
          <w:tcPr>
            <w:tcW w:w="2787" w:type="dxa"/>
          </w:tcPr>
          <w:p w:rsidR="00000000" w:rsidRDefault="002D1830" w:rsidP="002D1830">
            <w:pPr>
              <w:numPr>
                <w:ilvl w:val="0"/>
                <w:numId w:val="14"/>
              </w:numPr>
              <w:spacing w:line="360" w:lineRule="auto"/>
              <w:ind w:firstLineChars="0"/>
              <w:jc w:val="left"/>
              <w:rPr>
                <w:rFonts w:ascii="新細明體" w:hint="eastAsia"/>
              </w:rPr>
            </w:pPr>
            <w:r>
              <w:rPr>
                <w:rFonts w:ascii="新細明體" w:hint="eastAsia"/>
              </w:rPr>
              <w:t>我國法僅有延聘律師及申請費</w:t>
            </w:r>
            <w:r>
              <w:rPr>
                <w:rFonts w:ascii="新細明體" w:hint="eastAsia"/>
              </w:rPr>
              <w:t>用兩種。</w:t>
            </w:r>
          </w:p>
          <w:p w:rsidR="00000000" w:rsidRDefault="002D1830" w:rsidP="002D1830">
            <w:pPr>
              <w:numPr>
                <w:ilvl w:val="0"/>
                <w:numId w:val="14"/>
              </w:numPr>
              <w:spacing w:line="360" w:lineRule="auto"/>
              <w:ind w:firstLineChars="0"/>
              <w:jc w:val="left"/>
              <w:rPr>
                <w:rFonts w:ascii="新細明體" w:hint="eastAsia"/>
              </w:rPr>
            </w:pPr>
            <w:r>
              <w:rPr>
                <w:rFonts w:ascii="新細明體" w:hint="eastAsia"/>
              </w:rPr>
              <w:t>英國法提供之法律上扶助樣式相對較多。</w:t>
            </w:r>
          </w:p>
        </w:tc>
      </w:tr>
    </w:tbl>
    <w:p w:rsidR="00000000" w:rsidRDefault="002D1830">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2-2-6</w:t>
      </w:r>
      <w:r>
        <w:rPr>
          <w:rFonts w:ascii="新細明體" w:hint="eastAsia"/>
        </w:rPr>
        <w:t>。本表來源，本研究自製。</w:t>
      </w:r>
    </w:p>
    <w:p w:rsidR="00000000" w:rsidRDefault="002D1830">
      <w:pPr>
        <w:spacing w:line="360" w:lineRule="auto"/>
        <w:ind w:left="555" w:firstLineChars="0" w:firstLine="0"/>
        <w:jc w:val="left"/>
        <w:rPr>
          <w:rFonts w:ascii="新細明體" w:hint="eastAsia"/>
        </w:rPr>
      </w:pPr>
      <w:r>
        <w:rPr>
          <w:rFonts w:ascii="新細明體" w:hint="eastAsia"/>
        </w:rPr>
        <w:t>六、扶助後之求償制度</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3001"/>
        <w:gridCol w:w="3001"/>
      </w:tblGrid>
      <w:tr w:rsidR="00000000">
        <w:tblPrEx>
          <w:tblCellMar>
            <w:top w:w="0" w:type="dxa"/>
            <w:bottom w:w="0" w:type="dxa"/>
          </w:tblCellMar>
        </w:tblPrEx>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3001" w:type="dxa"/>
          </w:tcPr>
          <w:p w:rsidR="00000000" w:rsidRDefault="002D1830">
            <w:pPr>
              <w:pStyle w:val="a8"/>
              <w:spacing w:line="360" w:lineRule="auto"/>
              <w:rPr>
                <w:rFonts w:ascii="標楷體" w:eastAsia="標楷體" w:hint="eastAsia"/>
                <w:szCs w:val="24"/>
              </w:rPr>
            </w:pPr>
            <w:r>
              <w:rPr>
                <w:rFonts w:ascii="標楷體" w:eastAsia="標楷體" w:hint="eastAsia"/>
                <w:szCs w:val="24"/>
              </w:rPr>
              <w:t>我國公務人員因公涉訟輔助辦法</w:t>
            </w:r>
          </w:p>
        </w:tc>
        <w:tc>
          <w:tcPr>
            <w:tcW w:w="3001" w:type="dxa"/>
          </w:tcPr>
          <w:p w:rsidR="00000000" w:rsidRDefault="002D1830">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2D1830">
            <w:pPr>
              <w:spacing w:line="360" w:lineRule="auto"/>
              <w:ind w:firstLineChars="0" w:firstLine="0"/>
              <w:rPr>
                <w:rFonts w:ascii="新細明體" w:hint="eastAsia"/>
              </w:rPr>
            </w:pPr>
            <w:r>
              <w:rPr>
                <w:rFonts w:ascii="新細明體" w:hint="eastAsia"/>
              </w:rPr>
              <w:t>無有關求償之規定。僅規定若經正式調查後發現公務員有可歸責之事由，則官署得考慮放棄繼續提供扶助。（</w:t>
            </w:r>
            <w:r>
              <w:rPr>
                <w:rFonts w:ascii="新細明體" w:hint="eastAsia"/>
              </w:rPr>
              <w:t>12.2.3.C</w:t>
            </w:r>
            <w:r>
              <w:rPr>
                <w:rFonts w:ascii="新細明體" w:hint="eastAsia"/>
              </w:rPr>
              <w:t>）</w:t>
            </w:r>
          </w:p>
        </w:tc>
        <w:tc>
          <w:tcPr>
            <w:tcW w:w="3001" w:type="dxa"/>
          </w:tcPr>
          <w:p w:rsidR="00000000" w:rsidRDefault="002D1830">
            <w:pPr>
              <w:spacing w:line="360" w:lineRule="auto"/>
              <w:ind w:firstLineChars="0" w:firstLine="0"/>
              <w:rPr>
                <w:rFonts w:ascii="新細明體" w:hint="eastAsia"/>
              </w:rPr>
            </w:pPr>
            <w:r>
              <w:rPr>
                <w:rFonts w:ascii="新細明體" w:hint="eastAsia"/>
              </w:rPr>
              <w:t>公務人員因故意或重大過失致依法執行職務涉訟或遭受侵害者，該公務員應就其服務機關支出之律師費用於訴訟案件裁判確定或不起訴處分確定後三十日內返還之，逾期不返還者，依法求償。（第八條）</w:t>
            </w:r>
          </w:p>
        </w:tc>
        <w:tc>
          <w:tcPr>
            <w:tcW w:w="3001" w:type="dxa"/>
          </w:tcPr>
          <w:p w:rsidR="00000000" w:rsidRDefault="002D1830" w:rsidP="002D1830">
            <w:pPr>
              <w:numPr>
                <w:ilvl w:val="0"/>
                <w:numId w:val="15"/>
              </w:numPr>
              <w:spacing w:line="360" w:lineRule="auto"/>
              <w:ind w:firstLineChars="0" w:firstLine="480"/>
              <w:jc w:val="left"/>
              <w:rPr>
                <w:rFonts w:ascii="新細明體" w:hint="eastAsia"/>
              </w:rPr>
            </w:pPr>
            <w:r>
              <w:rPr>
                <w:rFonts w:ascii="新細明體" w:hint="eastAsia"/>
              </w:rPr>
              <w:t>我國有餘公務員有故意或重大過失時有求償制度</w:t>
            </w:r>
            <w:r>
              <w:rPr>
                <w:rFonts w:ascii="新細明體" w:hint="eastAsia"/>
              </w:rPr>
              <w:t>。立法精神偏向「國家代為責任制」。</w:t>
            </w:r>
          </w:p>
          <w:p w:rsidR="00000000" w:rsidRDefault="002D1830" w:rsidP="002D1830">
            <w:pPr>
              <w:numPr>
                <w:ilvl w:val="0"/>
                <w:numId w:val="15"/>
              </w:numPr>
              <w:spacing w:line="360" w:lineRule="auto"/>
              <w:ind w:firstLineChars="0" w:firstLine="480"/>
              <w:jc w:val="left"/>
              <w:rPr>
                <w:rFonts w:ascii="新細明體" w:hint="eastAsia"/>
              </w:rPr>
            </w:pPr>
            <w:r>
              <w:rPr>
                <w:rFonts w:ascii="新細明體" w:hint="eastAsia"/>
              </w:rPr>
              <w:t>英國法偏向「國家自己責任」之精神。不論公務員有無可歸責之事由，一旦給予補助即為終局補助，將來不會求償。</w:t>
            </w:r>
          </w:p>
        </w:tc>
      </w:tr>
    </w:tbl>
    <w:p w:rsidR="00000000" w:rsidRDefault="002D1830">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2-2-7</w:t>
      </w:r>
      <w:r>
        <w:rPr>
          <w:rFonts w:ascii="新細明體" w:hint="eastAsia"/>
        </w:rPr>
        <w:t>。本表來源，本研究自製。</w:t>
      </w:r>
    </w:p>
    <w:p w:rsidR="00000000" w:rsidRDefault="002D1830">
      <w:pPr>
        <w:spacing w:line="360" w:lineRule="auto"/>
        <w:ind w:left="555" w:firstLineChars="0" w:firstLine="0"/>
        <w:jc w:val="left"/>
        <w:rPr>
          <w:rFonts w:ascii="新細明體" w:hint="eastAsia"/>
        </w:rPr>
      </w:pPr>
      <w:r>
        <w:rPr>
          <w:rFonts w:ascii="新細明體" w:hint="eastAsia"/>
        </w:rPr>
        <w:t>七、決定前之程序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7"/>
      </w:tblGrid>
      <w:tr w:rsidR="00000000">
        <w:tblPrEx>
          <w:tblCellMar>
            <w:top w:w="0" w:type="dxa"/>
            <w:bottom w:w="0" w:type="dxa"/>
          </w:tblCellMar>
        </w:tblPrEx>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2787" w:type="dxa"/>
          </w:tcPr>
          <w:p w:rsidR="00000000" w:rsidRDefault="002D1830">
            <w:pPr>
              <w:pStyle w:val="a8"/>
              <w:spacing w:line="360" w:lineRule="auto"/>
              <w:rPr>
                <w:rFonts w:ascii="標楷體" w:eastAsia="標楷體" w:hint="eastAsia"/>
                <w:szCs w:val="24"/>
              </w:rPr>
            </w:pPr>
            <w:r>
              <w:rPr>
                <w:rFonts w:ascii="標楷體" w:eastAsia="標楷體" w:hint="eastAsia"/>
                <w:szCs w:val="24"/>
              </w:rPr>
              <w:t>我國公務人員因公涉訟輔助辦法</w:t>
            </w:r>
          </w:p>
        </w:tc>
        <w:tc>
          <w:tcPr>
            <w:tcW w:w="2787" w:type="dxa"/>
          </w:tcPr>
          <w:p w:rsidR="00000000" w:rsidRDefault="002D1830">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2D1830">
            <w:pPr>
              <w:spacing w:line="360" w:lineRule="auto"/>
              <w:ind w:firstLineChars="0" w:firstLine="0"/>
              <w:rPr>
                <w:rFonts w:ascii="新細明體" w:hint="eastAsia"/>
              </w:rPr>
            </w:pPr>
            <w:r>
              <w:rPr>
                <w:rFonts w:ascii="新細明體" w:hint="eastAsia"/>
              </w:rPr>
              <w:t>官署在裁量決定是否給予補助時，若在該案件中公務員經正式調查後發現係可歸責，此時官署應裁量決定是否仍要繼續提供法律扶助，且應參考二者之意見﹕官署的法律顧問與相關的工會。（</w:t>
            </w:r>
            <w:r>
              <w:rPr>
                <w:rFonts w:ascii="新細明體" w:hint="eastAsia"/>
              </w:rPr>
              <w:t>12.2.3.C</w:t>
            </w:r>
            <w:r>
              <w:rPr>
                <w:rFonts w:ascii="新細明體" w:hint="eastAsia"/>
              </w:rPr>
              <w:t>）否則一般是否給予補助或給予何種補助，完全為官屬之裁量權，無其他事</w:t>
            </w:r>
            <w:r>
              <w:rPr>
                <w:rFonts w:ascii="新細明體" w:hint="eastAsia"/>
              </w:rPr>
              <w:t>前程序規定。</w:t>
            </w:r>
          </w:p>
        </w:tc>
        <w:tc>
          <w:tcPr>
            <w:tcW w:w="2787" w:type="dxa"/>
          </w:tcPr>
          <w:p w:rsidR="00000000" w:rsidRDefault="002D1830">
            <w:pPr>
              <w:spacing w:line="360" w:lineRule="auto"/>
              <w:ind w:firstLineChars="0" w:firstLine="0"/>
              <w:rPr>
                <w:rFonts w:ascii="新細明體" w:hint="eastAsia"/>
              </w:rPr>
            </w:pPr>
            <w:r>
              <w:rPr>
                <w:rFonts w:ascii="新細明體" w:hint="eastAsia"/>
              </w:rPr>
              <w:t>無任何規定。</w:t>
            </w:r>
          </w:p>
        </w:tc>
        <w:tc>
          <w:tcPr>
            <w:tcW w:w="2787" w:type="dxa"/>
          </w:tcPr>
          <w:p w:rsidR="00000000" w:rsidRDefault="002D1830" w:rsidP="002D1830">
            <w:pPr>
              <w:numPr>
                <w:ilvl w:val="0"/>
                <w:numId w:val="16"/>
              </w:numPr>
              <w:spacing w:line="360" w:lineRule="auto"/>
              <w:ind w:firstLineChars="0" w:firstLine="480"/>
              <w:jc w:val="left"/>
              <w:rPr>
                <w:rFonts w:ascii="新細明體" w:hint="eastAsia"/>
              </w:rPr>
            </w:pPr>
            <w:r>
              <w:rPr>
                <w:rFonts w:ascii="新細明體" w:hint="eastAsia"/>
              </w:rPr>
              <w:t>英國法規定於法定情況下，是否給予補助應參考官署的法律顧問與相關的工會之意見。</w:t>
            </w:r>
          </w:p>
          <w:p w:rsidR="00000000" w:rsidRDefault="002D1830" w:rsidP="002D1830">
            <w:pPr>
              <w:numPr>
                <w:ilvl w:val="0"/>
                <w:numId w:val="16"/>
              </w:numPr>
              <w:spacing w:line="360" w:lineRule="auto"/>
              <w:ind w:firstLineChars="0" w:firstLine="480"/>
              <w:jc w:val="left"/>
              <w:rPr>
                <w:rFonts w:ascii="新細明體" w:hint="eastAsia"/>
              </w:rPr>
            </w:pPr>
            <w:r>
              <w:rPr>
                <w:rFonts w:ascii="新細明體" w:hint="eastAsia"/>
              </w:rPr>
              <w:t>其餘有關之事前程序，如聽證、資訊公開、行政調查等二國法令皆未規定。而於我國法此時自應補充適用「行政程序法」（詳見本研究第三章說明）。</w:t>
            </w:r>
          </w:p>
        </w:tc>
      </w:tr>
    </w:tbl>
    <w:p w:rsidR="00000000" w:rsidRDefault="002D1830">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2-2-8</w:t>
      </w:r>
      <w:r>
        <w:rPr>
          <w:rFonts w:ascii="新細明體" w:hint="eastAsia"/>
        </w:rPr>
        <w:t>。本表來源，本研究自製。</w:t>
      </w:r>
    </w:p>
    <w:p w:rsidR="00000000" w:rsidRDefault="002D1830">
      <w:pPr>
        <w:spacing w:line="360" w:lineRule="auto"/>
        <w:ind w:firstLineChars="0" w:firstLine="0"/>
        <w:jc w:val="left"/>
        <w:rPr>
          <w:rFonts w:ascii="新細明體" w:hint="eastAsia"/>
          <w:sz w:val="28"/>
          <w:szCs w:val="28"/>
        </w:rPr>
      </w:pPr>
      <w:r>
        <w:rPr>
          <w:rFonts w:ascii="新細明體" w:hint="eastAsia"/>
          <w:sz w:val="28"/>
          <w:szCs w:val="28"/>
        </w:rPr>
        <w:t>伍、英國法中值得借鑒之處</w:t>
      </w:r>
      <w:r>
        <w:rPr>
          <w:rFonts w:ascii="新細明體" w:hint="eastAsia"/>
          <w:sz w:val="28"/>
          <w:szCs w:val="28"/>
        </w:rPr>
        <w:t>---</w:t>
      </w:r>
      <w:r>
        <w:rPr>
          <w:rFonts w:ascii="新細明體" w:hint="eastAsia"/>
          <w:sz w:val="28"/>
          <w:szCs w:val="28"/>
        </w:rPr>
        <w:t>代結論</w:t>
      </w:r>
    </w:p>
    <w:p w:rsidR="00000000" w:rsidRDefault="002D1830">
      <w:pPr>
        <w:spacing w:line="360" w:lineRule="auto"/>
        <w:ind w:firstLine="480"/>
        <w:rPr>
          <w:rFonts w:ascii="新細明體" w:hint="eastAsia"/>
        </w:rPr>
      </w:pPr>
      <w:r>
        <w:rPr>
          <w:rFonts w:ascii="新細明體" w:hint="eastAsia"/>
        </w:rPr>
        <w:t>總結以上比較研究，英國因非大陸法系國家，較不注重法律體系之嚴謹性，如就本文研究對象之「公務員管理辦法」觀之，純就體系而言，其似嫌似瑣碎散亂，且很多東西規定的並不十分明確。且針對公務員因公涉</w:t>
      </w:r>
      <w:r>
        <w:rPr>
          <w:rFonts w:ascii="新細明體" w:hint="eastAsia"/>
        </w:rPr>
        <w:t>訟輔助之部份，規定的比我國之「公務人員因公涉訟輔助辦法」還簡略。不過，本文以為英國之是項法規尚有如下值得我們借鑒之點﹕</w:t>
      </w:r>
    </w:p>
    <w:p w:rsidR="00000000" w:rsidRDefault="002D1830">
      <w:pPr>
        <w:spacing w:line="360" w:lineRule="auto"/>
        <w:ind w:firstLineChars="0" w:firstLine="0"/>
        <w:jc w:val="left"/>
        <w:rPr>
          <w:rFonts w:ascii="新細明體" w:hint="eastAsia"/>
        </w:rPr>
      </w:pPr>
      <w:r>
        <w:rPr>
          <w:rFonts w:ascii="新細明體" w:hint="eastAsia"/>
        </w:rPr>
        <w:t>第一，無求償規定</w:t>
      </w:r>
    </w:p>
    <w:p w:rsidR="00000000" w:rsidRDefault="002D1830">
      <w:pPr>
        <w:spacing w:line="360" w:lineRule="auto"/>
        <w:ind w:firstLine="480"/>
        <w:rPr>
          <w:rFonts w:ascii="新細明體" w:hint="eastAsia"/>
        </w:rPr>
      </w:pPr>
      <w:r>
        <w:rPr>
          <w:rFonts w:ascii="新細明體" w:hint="eastAsia"/>
        </w:rPr>
        <w:t>按依我國「公務人員因公涉訟</w:t>
      </w:r>
      <w:r>
        <w:rPr>
          <w:rFonts w:hint="eastAsia"/>
        </w:rPr>
        <w:t>輔</w:t>
      </w:r>
      <w:r>
        <w:rPr>
          <w:rFonts w:ascii="新細明體" w:hint="eastAsia"/>
        </w:rPr>
        <w:t>助辦法」第八條規定，公務員若係因故意或重大過失而涉訟時，原輔助機關得於訴訟案件確定後，向該公務員求償。（公務人員保障法無類似明文）此係基於「國家代位責任」之思想，乃仿自國家賠償法及民法第一八八條之雇用人責任。惟此一方面與「國家自己責任」之現代國家賠償思想不符。</w:t>
      </w:r>
      <w:r>
        <w:rPr>
          <w:rStyle w:val="a6"/>
          <w:rFonts w:ascii="新細明體" w:hint="eastAsia"/>
        </w:rPr>
        <w:footnoteReference w:id="45"/>
      </w:r>
      <w:r>
        <w:rPr>
          <w:rFonts w:ascii="新細明體" w:hint="eastAsia"/>
        </w:rPr>
        <w:t>且在實務上如何認定故意與重大過失迭生爭議。最後行政機關既給予補助，日後再予以求償，似</w:t>
      </w:r>
      <w:r>
        <w:rPr>
          <w:rFonts w:ascii="新細明體" w:hint="eastAsia"/>
        </w:rPr>
        <w:t>有出爾反爾，違反誠信原則與信賴保護原則之嫌。故而本文建議參考英國法制，根本刪除我國法中得再向公務員求償之明文。</w:t>
      </w:r>
    </w:p>
    <w:p w:rsidR="00000000" w:rsidRDefault="002D1830">
      <w:pPr>
        <w:pStyle w:val="a8"/>
        <w:spacing w:line="360" w:lineRule="auto"/>
        <w:rPr>
          <w:rFonts w:ascii="新細明體" w:hint="eastAsia"/>
          <w:szCs w:val="24"/>
        </w:rPr>
      </w:pPr>
      <w:r>
        <w:rPr>
          <w:rFonts w:ascii="新細明體" w:hint="eastAsia"/>
          <w:szCs w:val="24"/>
        </w:rPr>
        <w:t>第二，輔助內容之多樣化</w:t>
      </w:r>
    </w:p>
    <w:p w:rsidR="00000000" w:rsidRDefault="002D1830">
      <w:pPr>
        <w:pStyle w:val="a8"/>
        <w:spacing w:line="360" w:lineRule="auto"/>
        <w:ind w:firstLine="480"/>
        <w:rPr>
          <w:rFonts w:ascii="新細明體" w:hint="eastAsia"/>
          <w:szCs w:val="24"/>
        </w:rPr>
      </w:pPr>
      <w:r>
        <w:rPr>
          <w:rFonts w:ascii="新細明體" w:hint="eastAsia"/>
          <w:szCs w:val="24"/>
        </w:rPr>
        <w:t>關於輔助之內容，我國法僅規定提供延聘律師及申請費用兩種，似嫌不足。而英國法則相對多樣化，諸如：法律諮詢及死亡時由機關首長代理訴訟等，均為我國法所無，值得參考引進。</w:t>
      </w:r>
    </w:p>
    <w:p w:rsidR="00000000" w:rsidRDefault="002D1830">
      <w:pPr>
        <w:pStyle w:val="a8"/>
        <w:spacing w:line="360" w:lineRule="auto"/>
        <w:rPr>
          <w:rFonts w:ascii="新細明體" w:hint="eastAsia"/>
          <w:szCs w:val="24"/>
        </w:rPr>
      </w:pPr>
      <w:r>
        <w:rPr>
          <w:rFonts w:ascii="新細明體" w:hint="eastAsia"/>
          <w:szCs w:val="24"/>
        </w:rPr>
        <w:t>第三，因上級行為導致下級公務員涉訟應予輔助</w:t>
      </w:r>
    </w:p>
    <w:p w:rsidR="00000000" w:rsidRDefault="002D1830">
      <w:pPr>
        <w:pStyle w:val="a8"/>
        <w:spacing w:line="360" w:lineRule="auto"/>
        <w:ind w:firstLine="480"/>
        <w:rPr>
          <w:rFonts w:ascii="新細明體" w:hint="eastAsia"/>
          <w:szCs w:val="24"/>
        </w:rPr>
      </w:pPr>
      <w:r>
        <w:rPr>
          <w:rFonts w:ascii="新細明體" w:hint="eastAsia"/>
          <w:szCs w:val="24"/>
        </w:rPr>
        <w:t>公務人員執行職務若係稟承上級之命令，則造成的侵害或引起之訴訟自應由上級承擔其責任。英國法就此有明文，而依我國法雖在實體上該公務員可能得阻卻違法（刑法第二十一條第二項），</w:t>
      </w:r>
      <w:r>
        <w:rPr>
          <w:rFonts w:ascii="新細明體" w:hint="eastAsia"/>
          <w:szCs w:val="24"/>
        </w:rPr>
        <w:t>但其進行訴訟卻需自行承擔費用，實不合理。本文建議此部分可參酌英國法制。</w:t>
      </w:r>
    </w:p>
    <w:p w:rsidR="00000000" w:rsidRDefault="002D1830">
      <w:pPr>
        <w:spacing w:line="360" w:lineRule="auto"/>
        <w:ind w:firstLineChars="0" w:firstLine="0"/>
        <w:rPr>
          <w:rFonts w:ascii="新細明體" w:hint="eastAsia"/>
          <w:sz w:val="28"/>
          <w:szCs w:val="28"/>
        </w:rPr>
      </w:pPr>
      <w:r>
        <w:rPr>
          <w:rFonts w:ascii="新細明體" w:hint="eastAsia"/>
          <w:sz w:val="28"/>
          <w:szCs w:val="28"/>
        </w:rPr>
        <w:t>附件﹕英國</w:t>
      </w:r>
      <w:r>
        <w:rPr>
          <w:rFonts w:ascii="新細明體" w:hint="eastAsia"/>
          <w:sz w:val="28"/>
          <w:szCs w:val="28"/>
        </w:rPr>
        <w:t>civil service management code 12.2.2-12.2.5</w:t>
      </w:r>
    </w:p>
    <w:p w:rsidR="00000000" w:rsidRDefault="002D1830">
      <w:pPr>
        <w:pStyle w:val="aa"/>
        <w:spacing w:line="360" w:lineRule="auto"/>
        <w:jc w:val="both"/>
        <w:rPr>
          <w:rFonts w:ascii="新細明體" w:hAnsi="Helvetica" w:hint="eastAsia"/>
          <w:sz w:val="28"/>
          <w:szCs w:val="28"/>
          <w:u w:val="thick"/>
        </w:rPr>
      </w:pPr>
      <w:r>
        <w:rPr>
          <w:rFonts w:ascii="新細明體" w:hAnsi="Helvetica" w:hint="eastAsia"/>
          <w:sz w:val="28"/>
          <w:szCs w:val="28"/>
          <w:u w:val="thick"/>
        </w:rPr>
        <w:t>12.2 Legal Representation at Public Expense</w:t>
      </w:r>
    </w:p>
    <w:p w:rsidR="00000000" w:rsidRDefault="002D1830">
      <w:pPr>
        <w:pStyle w:val="aa"/>
        <w:tabs>
          <w:tab w:val="left" w:pos="851"/>
        </w:tabs>
        <w:spacing w:line="360" w:lineRule="auto"/>
        <w:jc w:val="both"/>
        <w:rPr>
          <w:rFonts w:ascii="新細明體" w:hint="eastAsia"/>
          <w:b w:val="0"/>
          <w:sz w:val="24"/>
          <w:szCs w:val="24"/>
        </w:rPr>
      </w:pPr>
      <w:r>
        <w:rPr>
          <w:rFonts w:ascii="新細明體" w:hint="eastAsia"/>
          <w:sz w:val="24"/>
          <w:szCs w:val="24"/>
        </w:rPr>
        <w:t>12.2.1</w:t>
      </w:r>
      <w:r>
        <w:rPr>
          <w:rFonts w:ascii="新細明體" w:hint="eastAsia"/>
          <w:b w:val="0"/>
          <w:sz w:val="24"/>
          <w:szCs w:val="24"/>
        </w:rPr>
        <w:tab/>
        <w:t>Civil servants may be involved in legal proceedings or formal enquiries as a consequence of their employment. Unless the</w:t>
      </w:r>
      <w:r>
        <w:rPr>
          <w:rFonts w:ascii="新細明體" w:hint="eastAsia"/>
          <w:b w:val="0"/>
          <w:sz w:val="24"/>
          <w:szCs w:val="24"/>
        </w:rPr>
        <w:t xml:space="preserve"> circumstances are covered by the rules set out in paragraphs 12.2.2 to 12.2.5 below, departments and agencies have discretion to grant civil servants so involved some or all of their legal representation or pay for some or all of their legal costs. In dec</w:t>
      </w:r>
      <w:r>
        <w:rPr>
          <w:rFonts w:ascii="新細明體" w:hint="eastAsia"/>
          <w:b w:val="0"/>
          <w:sz w:val="24"/>
          <w:szCs w:val="24"/>
        </w:rPr>
        <w:t>iding whether to exercise this discretion, departments and agencies must take into account the following considerations:</w:t>
      </w:r>
    </w:p>
    <w:p w:rsidR="00000000" w:rsidRDefault="002D1830">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a.</w:t>
      </w:r>
      <w:r>
        <w:rPr>
          <w:rFonts w:ascii="新細明體" w:hint="eastAsia"/>
          <w:b w:val="0"/>
          <w:sz w:val="24"/>
          <w:szCs w:val="24"/>
        </w:rPr>
        <w:tab/>
        <w:t>whether or not it is in their interest to grant assistance;</w:t>
      </w:r>
    </w:p>
    <w:p w:rsidR="00000000" w:rsidRDefault="002D1830">
      <w:pPr>
        <w:pStyle w:val="aa"/>
        <w:tabs>
          <w:tab w:val="left" w:pos="1134"/>
        </w:tabs>
        <w:spacing w:line="360" w:lineRule="auto"/>
        <w:ind w:left="567"/>
        <w:jc w:val="both"/>
        <w:rPr>
          <w:rFonts w:ascii="新細明體" w:hint="eastAsia"/>
          <w:b w:val="0"/>
          <w:sz w:val="24"/>
          <w:szCs w:val="24"/>
        </w:rPr>
      </w:pPr>
    </w:p>
    <w:p w:rsidR="00000000" w:rsidRDefault="002D1830">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b.</w:t>
      </w:r>
      <w:r>
        <w:rPr>
          <w:rFonts w:ascii="新細明體" w:hint="eastAsia"/>
          <w:b w:val="0"/>
          <w:sz w:val="24"/>
          <w:szCs w:val="24"/>
        </w:rPr>
        <w:tab/>
        <w:t>whether the act in question was committed or suffered within the sco</w:t>
      </w:r>
      <w:r>
        <w:rPr>
          <w:rFonts w:ascii="新細明體" w:hint="eastAsia"/>
          <w:b w:val="0"/>
          <w:sz w:val="24"/>
          <w:szCs w:val="24"/>
        </w:rPr>
        <w:t>pe of the civil servant</w:t>
      </w:r>
      <w:r>
        <w:rPr>
          <w:rFonts w:ascii="新細明體" w:hint="eastAsia"/>
          <w:b w:val="0"/>
          <w:sz w:val="24"/>
          <w:szCs w:val="24"/>
        </w:rPr>
        <w:t>’</w:t>
      </w:r>
      <w:r>
        <w:rPr>
          <w:rFonts w:ascii="新細明體" w:hint="eastAsia"/>
          <w:b w:val="0"/>
          <w:sz w:val="24"/>
          <w:szCs w:val="24"/>
        </w:rPr>
        <w:t>s employment.</w:t>
      </w:r>
    </w:p>
    <w:p w:rsidR="00000000" w:rsidRDefault="002D1830">
      <w:pPr>
        <w:pStyle w:val="aa"/>
        <w:tabs>
          <w:tab w:val="left" w:pos="567"/>
        </w:tabs>
        <w:spacing w:line="360" w:lineRule="auto"/>
        <w:jc w:val="both"/>
        <w:rPr>
          <w:rFonts w:ascii="新細明體" w:hint="eastAsia"/>
          <w:b w:val="0"/>
          <w:sz w:val="24"/>
          <w:szCs w:val="24"/>
        </w:rPr>
      </w:pPr>
    </w:p>
    <w:p w:rsidR="00000000" w:rsidRDefault="002D1830">
      <w:pPr>
        <w:pStyle w:val="aa"/>
        <w:tabs>
          <w:tab w:val="left" w:pos="567"/>
        </w:tabs>
        <w:spacing w:line="360" w:lineRule="auto"/>
        <w:jc w:val="both"/>
        <w:rPr>
          <w:rFonts w:ascii="新細明體" w:hint="eastAsia"/>
          <w:sz w:val="24"/>
          <w:szCs w:val="24"/>
        </w:rPr>
      </w:pPr>
      <w:r>
        <w:rPr>
          <w:rFonts w:ascii="新細明體" w:hint="eastAsia"/>
          <w:sz w:val="24"/>
          <w:szCs w:val="24"/>
        </w:rPr>
        <w:t>Rules for departments and agencies</w:t>
      </w:r>
    </w:p>
    <w:p w:rsidR="00000000" w:rsidRDefault="002D1830">
      <w:pPr>
        <w:pStyle w:val="aa"/>
        <w:tabs>
          <w:tab w:val="left" w:pos="851"/>
        </w:tabs>
        <w:spacing w:line="360" w:lineRule="auto"/>
        <w:jc w:val="both"/>
        <w:rPr>
          <w:rFonts w:ascii="新細明體" w:hint="eastAsia"/>
          <w:b w:val="0"/>
          <w:sz w:val="24"/>
          <w:szCs w:val="24"/>
        </w:rPr>
      </w:pPr>
      <w:r>
        <w:rPr>
          <w:rFonts w:ascii="新細明體" w:hint="eastAsia"/>
          <w:sz w:val="24"/>
          <w:szCs w:val="24"/>
        </w:rPr>
        <w:t>12.2.2</w:t>
      </w:r>
      <w:r>
        <w:rPr>
          <w:rFonts w:ascii="新細明體" w:hint="eastAsia"/>
          <w:b w:val="0"/>
          <w:sz w:val="24"/>
          <w:szCs w:val="24"/>
        </w:rPr>
        <w:tab/>
        <w:t>Departments and agencies must provide legal representation for civil servants who are sued for damages as a result of actions carried out in the course of their employment. Th</w:t>
      </w:r>
      <w:r>
        <w:rPr>
          <w:rFonts w:ascii="新細明體" w:hint="eastAsia"/>
          <w:b w:val="0"/>
          <w:sz w:val="24"/>
          <w:szCs w:val="24"/>
        </w:rPr>
        <w:t>is representation will be by the solicitor acting for the Crown. Any damages and/or liability for the other sides</w:t>
      </w:r>
      <w:r>
        <w:rPr>
          <w:rFonts w:ascii="新細明體" w:hint="eastAsia"/>
          <w:b w:val="0"/>
          <w:sz w:val="24"/>
          <w:szCs w:val="24"/>
        </w:rPr>
        <w:t>’</w:t>
      </w:r>
      <w:r>
        <w:rPr>
          <w:rFonts w:ascii="新細明體" w:hint="eastAsia"/>
          <w:b w:val="0"/>
          <w:sz w:val="24"/>
          <w:szCs w:val="24"/>
        </w:rPr>
        <w:t xml:space="preserve"> costs must also be met from public funds. This right does not apply if:</w:t>
      </w:r>
    </w:p>
    <w:p w:rsidR="00000000" w:rsidRDefault="002D1830">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a.</w:t>
      </w:r>
      <w:r>
        <w:rPr>
          <w:rFonts w:ascii="新細明體" w:hint="eastAsia"/>
          <w:b w:val="0"/>
          <w:sz w:val="24"/>
          <w:szCs w:val="24"/>
        </w:rPr>
        <w:tab/>
        <w:t>the department or agency consider that the civil servant was actin</w:t>
      </w:r>
      <w:r>
        <w:rPr>
          <w:rFonts w:ascii="新細明體" w:hint="eastAsia"/>
          <w:b w:val="0"/>
          <w:sz w:val="24"/>
          <w:szCs w:val="24"/>
        </w:rPr>
        <w:t>g outside the scope of his or her employment; or</w:t>
      </w:r>
    </w:p>
    <w:p w:rsidR="00000000" w:rsidRDefault="002D1830">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b.</w:t>
      </w:r>
      <w:r>
        <w:rPr>
          <w:rFonts w:ascii="新細明體" w:hint="eastAsia"/>
          <w:b w:val="0"/>
          <w:sz w:val="24"/>
          <w:szCs w:val="24"/>
        </w:rPr>
        <w:tab/>
        <w:t>the civil servant refuses to instruct the solicitor in terms required by the solicitor.</w:t>
      </w:r>
    </w:p>
    <w:p w:rsidR="00000000" w:rsidRDefault="002D1830">
      <w:pPr>
        <w:pStyle w:val="aa"/>
        <w:tabs>
          <w:tab w:val="left" w:pos="851"/>
        </w:tabs>
        <w:spacing w:line="360" w:lineRule="auto"/>
        <w:jc w:val="both"/>
        <w:rPr>
          <w:rFonts w:ascii="新細明體" w:hint="eastAsia"/>
          <w:b w:val="0"/>
          <w:sz w:val="24"/>
          <w:szCs w:val="24"/>
        </w:rPr>
      </w:pPr>
      <w:r>
        <w:rPr>
          <w:rFonts w:ascii="新細明體" w:hint="eastAsia"/>
          <w:sz w:val="24"/>
          <w:szCs w:val="24"/>
        </w:rPr>
        <w:t>12.2.3</w:t>
      </w:r>
      <w:r>
        <w:rPr>
          <w:rFonts w:ascii="新細明體" w:hint="eastAsia"/>
          <w:b w:val="0"/>
          <w:sz w:val="24"/>
          <w:szCs w:val="24"/>
        </w:rPr>
        <w:tab/>
        <w:t>Departments and agencies must also:</w:t>
      </w:r>
    </w:p>
    <w:p w:rsidR="00000000" w:rsidRDefault="002D1830">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a.</w:t>
      </w:r>
      <w:r>
        <w:rPr>
          <w:rFonts w:ascii="新細明體" w:hint="eastAsia"/>
          <w:b w:val="0"/>
          <w:sz w:val="24"/>
          <w:szCs w:val="24"/>
        </w:rPr>
        <w:tab/>
        <w:t>provide legal advice to civil servants assaulted in the course of thei</w:t>
      </w:r>
      <w:r>
        <w:rPr>
          <w:rFonts w:ascii="新細明體" w:hint="eastAsia"/>
          <w:b w:val="0"/>
          <w:sz w:val="24"/>
          <w:szCs w:val="24"/>
        </w:rPr>
        <w:t>r official duty. Departments and agencies have discretion to give assistance with any subsequent proceedings; and</w:t>
      </w:r>
    </w:p>
    <w:p w:rsidR="00000000" w:rsidRDefault="002D1830">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b.</w:t>
      </w:r>
      <w:r>
        <w:rPr>
          <w:rFonts w:ascii="新細明體" w:hint="eastAsia"/>
          <w:b w:val="0"/>
          <w:sz w:val="24"/>
          <w:szCs w:val="24"/>
        </w:rPr>
        <w:tab/>
        <w:t>permit civil servants involved in an inquest or fatal accident enquiry as a result of their official duty to be represented by the legal re</w:t>
      </w:r>
      <w:r>
        <w:rPr>
          <w:rFonts w:ascii="新細明體" w:hint="eastAsia"/>
          <w:b w:val="0"/>
          <w:sz w:val="24"/>
          <w:szCs w:val="24"/>
        </w:rPr>
        <w:t>presentatives of the department or agency, provided there is no conflict of interest. Otherwise assistance with legal representation is at the discretion of the department or agency; and</w:t>
      </w:r>
    </w:p>
    <w:p w:rsidR="00000000" w:rsidRDefault="002D1830">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c.</w:t>
      </w:r>
      <w:r>
        <w:rPr>
          <w:rFonts w:ascii="新細明體" w:hint="eastAsia"/>
          <w:b w:val="0"/>
          <w:sz w:val="24"/>
          <w:szCs w:val="24"/>
        </w:rPr>
        <w:tab/>
        <w:t xml:space="preserve">when a formal enquiry might lead to a civil servant being blamed, </w:t>
      </w:r>
      <w:r>
        <w:rPr>
          <w:rFonts w:ascii="新細明體" w:hint="eastAsia"/>
          <w:b w:val="0"/>
          <w:sz w:val="24"/>
          <w:szCs w:val="24"/>
        </w:rPr>
        <w:t>consider with their legal adviser whether the individual concerned should be given legal representation at public expense; tell the relevant trade union of their provisional decision and give sympathetic consideration to their views; and</w:t>
      </w:r>
    </w:p>
    <w:p w:rsidR="00000000" w:rsidRDefault="002D1830">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d.</w:t>
      </w:r>
      <w:r>
        <w:rPr>
          <w:rFonts w:ascii="新細明體" w:hint="eastAsia"/>
          <w:b w:val="0"/>
          <w:sz w:val="24"/>
          <w:szCs w:val="24"/>
        </w:rPr>
        <w:tab/>
        <w:t>provide legal r</w:t>
      </w:r>
      <w:r>
        <w:rPr>
          <w:rFonts w:ascii="新細明體" w:hint="eastAsia"/>
          <w:b w:val="0"/>
          <w:sz w:val="24"/>
          <w:szCs w:val="24"/>
        </w:rPr>
        <w:t>epresentation for civil servants sued as a result of the findings of the enquiry for actions carried out in the course of their official duty, unless the civil servant appears to have been guilty of wilful or gross negligence.</w:t>
      </w:r>
    </w:p>
    <w:p w:rsidR="00000000" w:rsidRDefault="002D1830">
      <w:pPr>
        <w:pStyle w:val="aa"/>
        <w:spacing w:line="360" w:lineRule="auto"/>
        <w:jc w:val="both"/>
        <w:rPr>
          <w:rFonts w:ascii="新細明體" w:hint="eastAsia"/>
          <w:sz w:val="24"/>
          <w:szCs w:val="24"/>
        </w:rPr>
      </w:pPr>
      <w:r>
        <w:rPr>
          <w:rFonts w:ascii="新細明體" w:hint="eastAsia"/>
          <w:sz w:val="24"/>
          <w:szCs w:val="24"/>
        </w:rPr>
        <w:t>Right of appeal</w:t>
      </w:r>
    </w:p>
    <w:p w:rsidR="00000000" w:rsidRDefault="002D1830">
      <w:pPr>
        <w:pStyle w:val="aa"/>
        <w:tabs>
          <w:tab w:val="left" w:pos="851"/>
        </w:tabs>
        <w:spacing w:line="360" w:lineRule="auto"/>
        <w:jc w:val="both"/>
        <w:rPr>
          <w:rFonts w:ascii="新細明體" w:hint="eastAsia"/>
          <w:b w:val="0"/>
          <w:sz w:val="24"/>
          <w:szCs w:val="24"/>
        </w:rPr>
      </w:pPr>
      <w:r>
        <w:rPr>
          <w:rFonts w:ascii="新細明體" w:hint="eastAsia"/>
          <w:sz w:val="24"/>
          <w:szCs w:val="24"/>
        </w:rPr>
        <w:t>12.2.4</w:t>
      </w:r>
      <w:r>
        <w:rPr>
          <w:rFonts w:ascii="新細明體" w:hint="eastAsia"/>
          <w:b w:val="0"/>
          <w:sz w:val="24"/>
          <w:szCs w:val="24"/>
        </w:rPr>
        <w:tab/>
        <w:t xml:space="preserve">Civil </w:t>
      </w:r>
      <w:r>
        <w:rPr>
          <w:rFonts w:ascii="新細明體" w:hint="eastAsia"/>
          <w:b w:val="0"/>
          <w:sz w:val="24"/>
          <w:szCs w:val="24"/>
        </w:rPr>
        <w:t>servants who are refused legal representation or assistance with legal expenses may appeal to the Head of Department or his delegated representative.</w:t>
      </w:r>
    </w:p>
    <w:p w:rsidR="00000000" w:rsidRDefault="002D1830">
      <w:pPr>
        <w:pStyle w:val="aa"/>
        <w:spacing w:line="360" w:lineRule="auto"/>
        <w:jc w:val="both"/>
        <w:rPr>
          <w:rFonts w:ascii="新細明體" w:hint="eastAsia"/>
          <w:sz w:val="24"/>
          <w:szCs w:val="24"/>
        </w:rPr>
      </w:pPr>
      <w:r>
        <w:rPr>
          <w:rFonts w:ascii="新細明體" w:hint="eastAsia"/>
          <w:sz w:val="24"/>
          <w:szCs w:val="24"/>
        </w:rPr>
        <w:t>Liability of directors</w:t>
      </w:r>
    </w:p>
    <w:p w:rsidR="00000000" w:rsidRDefault="002D1830">
      <w:pPr>
        <w:pStyle w:val="aa"/>
        <w:tabs>
          <w:tab w:val="left" w:pos="851"/>
        </w:tabs>
        <w:spacing w:line="360" w:lineRule="auto"/>
        <w:jc w:val="both"/>
        <w:rPr>
          <w:rFonts w:ascii="新細明體" w:hint="eastAsia"/>
          <w:b w:val="0"/>
          <w:sz w:val="24"/>
          <w:szCs w:val="24"/>
        </w:rPr>
      </w:pPr>
      <w:r>
        <w:rPr>
          <w:rFonts w:ascii="新細明體" w:hint="eastAsia"/>
          <w:sz w:val="24"/>
          <w:szCs w:val="24"/>
        </w:rPr>
        <w:t>12.2.5</w:t>
      </w:r>
      <w:r>
        <w:rPr>
          <w:rFonts w:ascii="新細明體" w:hint="eastAsia"/>
          <w:b w:val="0"/>
          <w:sz w:val="24"/>
          <w:szCs w:val="24"/>
        </w:rPr>
        <w:tab/>
        <w:t>Subject to paragraph 12.2.6 the Crown will accept responsibility for the civ</w:t>
      </w:r>
      <w:r>
        <w:rPr>
          <w:rFonts w:ascii="新細明體" w:hint="eastAsia"/>
          <w:b w:val="0"/>
          <w:sz w:val="24"/>
          <w:szCs w:val="24"/>
        </w:rPr>
        <w:t>il liabilities, including costs, of a civil servant incurred in connection with his or her performance of the functions of a director (or any similar position, however described) or other officer of a company, provided that the department or agency has giv</w:t>
      </w:r>
      <w:r>
        <w:rPr>
          <w:rFonts w:ascii="新細明體" w:hint="eastAsia"/>
          <w:b w:val="0"/>
          <w:sz w:val="24"/>
          <w:szCs w:val="24"/>
        </w:rPr>
        <w:t>en written confirmation that the appointment is one to which this paragraph applies.</w:t>
      </w:r>
    </w:p>
    <w:p w:rsidR="00000000" w:rsidRDefault="002D1830">
      <w:pPr>
        <w:pStyle w:val="aa"/>
        <w:tabs>
          <w:tab w:val="left" w:pos="851"/>
        </w:tabs>
        <w:spacing w:line="360" w:lineRule="auto"/>
        <w:jc w:val="both"/>
        <w:rPr>
          <w:rFonts w:ascii="新細明體" w:hint="eastAsia"/>
          <w:b w:val="0"/>
          <w:sz w:val="24"/>
          <w:szCs w:val="24"/>
        </w:rPr>
      </w:pPr>
      <w:r>
        <w:rPr>
          <w:rFonts w:ascii="新細明體" w:hint="eastAsia"/>
          <w:sz w:val="24"/>
          <w:szCs w:val="24"/>
        </w:rPr>
        <w:t>12.2.6</w:t>
      </w:r>
      <w:r>
        <w:rPr>
          <w:rFonts w:ascii="新細明體" w:hint="eastAsia"/>
          <w:b w:val="0"/>
          <w:sz w:val="24"/>
          <w:szCs w:val="24"/>
        </w:rPr>
        <w:tab/>
        <w:t>Paragraph 12.2.5 will not apply if:</w:t>
      </w:r>
    </w:p>
    <w:p w:rsidR="00000000" w:rsidRDefault="002D1830">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a.</w:t>
      </w:r>
      <w:r>
        <w:rPr>
          <w:rFonts w:ascii="新細明體" w:hint="eastAsia"/>
          <w:b w:val="0"/>
          <w:sz w:val="24"/>
          <w:szCs w:val="24"/>
        </w:rPr>
        <w:tab/>
        <w:t>the liability arises from any wilful default or bad faith on the part of the civil servant; or</w:t>
      </w:r>
    </w:p>
    <w:p w:rsidR="00000000" w:rsidRDefault="002D1830">
      <w:pPr>
        <w:pStyle w:val="aa"/>
        <w:tabs>
          <w:tab w:val="left" w:pos="1134"/>
        </w:tabs>
        <w:spacing w:line="360" w:lineRule="auto"/>
        <w:ind w:left="567" w:firstLine="480"/>
        <w:jc w:val="both"/>
        <w:rPr>
          <w:rFonts w:ascii="新細明體" w:hint="eastAsia"/>
          <w:b w:val="0"/>
          <w:sz w:val="24"/>
          <w:szCs w:val="24"/>
        </w:rPr>
      </w:pPr>
      <w:r>
        <w:rPr>
          <w:rFonts w:ascii="新細明體" w:hint="eastAsia"/>
          <w:sz w:val="24"/>
          <w:szCs w:val="24"/>
        </w:rPr>
        <w:t>b.</w:t>
      </w:r>
      <w:r>
        <w:rPr>
          <w:rFonts w:ascii="新細明體" w:hint="eastAsia"/>
          <w:b w:val="0"/>
          <w:sz w:val="24"/>
          <w:szCs w:val="24"/>
        </w:rPr>
        <w:tab/>
        <w:t>the civil servant is otherw</w:t>
      </w:r>
      <w:r>
        <w:rPr>
          <w:rFonts w:ascii="新細明體" w:hint="eastAsia"/>
          <w:b w:val="0"/>
          <w:sz w:val="24"/>
          <w:szCs w:val="24"/>
        </w:rPr>
        <w:t>ise indemnified against the liability.</w:t>
      </w:r>
    </w:p>
    <w:p w:rsidR="00000000" w:rsidRDefault="002D1830">
      <w:pPr>
        <w:spacing w:line="360" w:lineRule="auto"/>
        <w:ind w:firstLine="48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560"/>
        <w:jc w:val="center"/>
        <w:rPr>
          <w:rFonts w:ascii="新細明體" w:hint="eastAsia"/>
          <w:sz w:val="28"/>
          <w:szCs w:val="28"/>
        </w:rPr>
      </w:pPr>
      <w:r>
        <w:rPr>
          <w:rFonts w:ascii="新細明體" w:hint="eastAsia"/>
          <w:sz w:val="28"/>
          <w:szCs w:val="28"/>
        </w:rPr>
        <w:t>第三節</w:t>
      </w:r>
      <w:r>
        <w:rPr>
          <w:rFonts w:ascii="新細明體" w:hint="eastAsia"/>
          <w:sz w:val="28"/>
          <w:szCs w:val="28"/>
        </w:rPr>
        <w:t xml:space="preserve">  </w:t>
      </w:r>
      <w:r>
        <w:rPr>
          <w:rFonts w:ascii="新細明體" w:hint="eastAsia"/>
          <w:sz w:val="28"/>
          <w:szCs w:val="28"/>
        </w:rPr>
        <w:t>德國法律扶助制度</w:t>
      </w:r>
    </w:p>
    <w:p w:rsidR="00000000" w:rsidRDefault="002D1830">
      <w:pPr>
        <w:spacing w:line="360" w:lineRule="auto"/>
        <w:ind w:firstLine="480"/>
        <w:rPr>
          <w:rFonts w:ascii="新細明體" w:hint="eastAsia"/>
        </w:rPr>
      </w:pPr>
      <w:r>
        <w:rPr>
          <w:rFonts w:ascii="新細明體" w:hint="eastAsia"/>
        </w:rPr>
        <w:t>德國於</w:t>
      </w:r>
      <w:r>
        <w:rPr>
          <w:rFonts w:ascii="新細明體" w:hint="eastAsia"/>
        </w:rPr>
        <w:t>1980</w:t>
      </w:r>
      <w:r>
        <w:rPr>
          <w:rFonts w:ascii="新細明體" w:hint="eastAsia"/>
        </w:rPr>
        <w:t>年制定一般性之「法律扶助法」（</w:t>
      </w:r>
      <w:r>
        <w:rPr>
          <w:rFonts w:ascii="新細明體" w:hint="eastAsia"/>
        </w:rPr>
        <w:t>Ber</w:t>
      </w:r>
      <w:r>
        <w:rPr>
          <w:rFonts w:ascii="新細明體"/>
        </w:rPr>
        <w:t>a</w:t>
      </w:r>
      <w:r>
        <w:rPr>
          <w:rFonts w:ascii="新細明體" w:hint="eastAsia"/>
        </w:rPr>
        <w:t>tungshilfegesetz</w:t>
      </w:r>
      <w:r>
        <w:rPr>
          <w:rFonts w:ascii="新細明體" w:hint="eastAsia"/>
        </w:rPr>
        <w:t>）</w:t>
      </w:r>
      <w:r>
        <w:rPr>
          <w:rStyle w:val="a6"/>
          <w:rFonts w:ascii="新細明體" w:hint="eastAsia"/>
        </w:rPr>
        <w:footnoteReference w:id="46"/>
      </w:r>
      <w:r>
        <w:rPr>
          <w:rFonts w:ascii="新細明體" w:hint="eastAsia"/>
        </w:rPr>
        <w:t>，實施對低收入者之法律扶助業務，並落實德國基本法上權利有效及無漏洞保護之規定（</w:t>
      </w:r>
      <w:r>
        <w:rPr>
          <w:rFonts w:ascii="新細明體" w:hint="eastAsia"/>
        </w:rPr>
        <w:t>Art.19 Abs.4 GG</w:t>
      </w:r>
      <w:r>
        <w:rPr>
          <w:rFonts w:ascii="新細明體" w:hint="eastAsia"/>
        </w:rPr>
        <w:t>），其目的在於促使低收入戶得與一般民眾享有法律上之實質平等機會（</w:t>
      </w:r>
      <w:r>
        <w:rPr>
          <w:rFonts w:ascii="新細明體" w:hint="eastAsia"/>
        </w:rPr>
        <w:t>Chance Gleichheit</w:t>
      </w:r>
      <w:r>
        <w:rPr>
          <w:rFonts w:ascii="新細明體" w:hint="eastAsia"/>
        </w:rPr>
        <w:t>）。此外，依德國法律諮詢法（</w:t>
      </w:r>
      <w:r>
        <w:rPr>
          <w:rFonts w:ascii="新細明體" w:hint="eastAsia"/>
          <w:lang w:val="de-DE"/>
        </w:rPr>
        <w:t>Rechtsberatungsge</w:t>
      </w:r>
      <w:r>
        <w:rPr>
          <w:rFonts w:ascii="新細明體" w:hint="eastAsia"/>
          <w:lang w:val="de-DE"/>
        </w:rPr>
        <w:t>setz</w:t>
      </w:r>
      <w:r>
        <w:rPr>
          <w:rFonts w:ascii="新細明體" w:hint="eastAsia"/>
        </w:rPr>
        <w:t>）第一條之規定</w:t>
      </w:r>
      <w:r>
        <w:rPr>
          <w:rStyle w:val="a6"/>
          <w:rFonts w:ascii="新細明體" w:hint="eastAsia"/>
        </w:rPr>
        <w:footnoteReference w:id="47"/>
      </w:r>
      <w:r>
        <w:rPr>
          <w:rFonts w:ascii="新細明體" w:hint="eastAsia"/>
        </w:rPr>
        <w:t>，有關法律事務之處理，原則上應委由律師為之，只有在例外之情形下（諸如，由退休保險顧問、承攬運送顧問、保險諮詢顧問、不動產顧問或經營管理顧問…等針對特殊法律事務），始得由非律師處理法律事務，因此，執行法律扶助之主體原則上為律師。</w:t>
      </w:r>
    </w:p>
    <w:p w:rsidR="00000000" w:rsidRDefault="002D1830">
      <w:pPr>
        <w:spacing w:line="360" w:lineRule="auto"/>
        <w:ind w:firstLineChars="225" w:firstLine="540"/>
        <w:rPr>
          <w:rFonts w:ascii="新細明體" w:hint="eastAsia"/>
        </w:rPr>
      </w:pPr>
      <w:r>
        <w:rPr>
          <w:rFonts w:ascii="新細明體" w:hint="eastAsia"/>
        </w:rPr>
        <w:t>此外，在個別訴訟法中，亦有訴訟費用救濟（</w:t>
      </w:r>
      <w:r>
        <w:rPr>
          <w:rFonts w:ascii="新細明體" w:hint="eastAsia"/>
        </w:rPr>
        <w:t>Prozesskostenhilfe</w:t>
      </w:r>
      <w:r>
        <w:rPr>
          <w:rFonts w:ascii="新細明體" w:hint="eastAsia"/>
        </w:rPr>
        <w:t>）之相關規定。此種訴訟費用權助之規定，亦得視為廣義之「法律扶助法」，這些有關訴訟費用權助之規定主要有：</w:t>
      </w:r>
      <w:r>
        <w:rPr>
          <w:rFonts w:ascii="新細明體" w:hint="eastAsia"/>
        </w:rPr>
        <w:t xml:space="preserve">    </w:t>
      </w:r>
    </w:p>
    <w:p w:rsidR="00000000" w:rsidRDefault="002D1830" w:rsidP="002D1830">
      <w:pPr>
        <w:numPr>
          <w:ilvl w:val="0"/>
          <w:numId w:val="17"/>
        </w:numPr>
        <w:spacing w:line="360" w:lineRule="auto"/>
        <w:ind w:firstLineChars="0"/>
        <w:jc w:val="left"/>
        <w:rPr>
          <w:rFonts w:ascii="新細明體" w:hint="eastAsia"/>
        </w:rPr>
      </w:pPr>
      <w:r>
        <w:rPr>
          <w:rFonts w:ascii="新細明體" w:hint="eastAsia"/>
        </w:rPr>
        <w:t>民事訴訟法第</w:t>
      </w:r>
      <w:r>
        <w:rPr>
          <w:rFonts w:ascii="新細明體" w:hint="eastAsia"/>
        </w:rPr>
        <w:t>114</w:t>
      </w:r>
      <w:r>
        <w:rPr>
          <w:rFonts w:ascii="新細明體" w:hint="eastAsia"/>
        </w:rPr>
        <w:t>條以下</w:t>
      </w:r>
      <w:r>
        <w:rPr>
          <w:rStyle w:val="a6"/>
          <w:rFonts w:ascii="新細明體" w:hint="eastAsia"/>
        </w:rPr>
        <w:footnoteReference w:id="48"/>
      </w:r>
      <w:r>
        <w:rPr>
          <w:rFonts w:ascii="新細明體" w:hint="eastAsia"/>
        </w:rPr>
        <w:t>；</w:t>
      </w:r>
    </w:p>
    <w:p w:rsidR="00000000" w:rsidRDefault="002D1830" w:rsidP="002D1830">
      <w:pPr>
        <w:numPr>
          <w:ilvl w:val="0"/>
          <w:numId w:val="17"/>
        </w:numPr>
        <w:spacing w:line="360" w:lineRule="auto"/>
        <w:ind w:firstLineChars="0"/>
        <w:jc w:val="left"/>
        <w:rPr>
          <w:rFonts w:ascii="新細明體" w:hint="eastAsia"/>
        </w:rPr>
      </w:pPr>
      <w:r>
        <w:rPr>
          <w:rFonts w:ascii="新細明體" w:hint="eastAsia"/>
        </w:rPr>
        <w:t>刑事訴訟法第</w:t>
      </w:r>
      <w:r>
        <w:rPr>
          <w:rFonts w:ascii="新細明體" w:hint="eastAsia"/>
        </w:rPr>
        <w:t>379a</w:t>
      </w:r>
      <w:r>
        <w:rPr>
          <w:rFonts w:ascii="新細明體" w:hint="eastAsia"/>
        </w:rPr>
        <w:t>條，</w:t>
      </w:r>
      <w:r>
        <w:rPr>
          <w:rFonts w:ascii="新細明體" w:hint="eastAsia"/>
        </w:rPr>
        <w:t>397a</w:t>
      </w:r>
      <w:r>
        <w:rPr>
          <w:rFonts w:ascii="新細明體" w:hint="eastAsia"/>
        </w:rPr>
        <w:t>條及</w:t>
      </w:r>
      <w:r>
        <w:rPr>
          <w:rFonts w:ascii="新細明體" w:hint="eastAsia"/>
        </w:rPr>
        <w:t>406</w:t>
      </w:r>
      <w:r>
        <w:rPr>
          <w:rFonts w:ascii="新細明體" w:hint="eastAsia"/>
        </w:rPr>
        <w:t>g</w:t>
      </w:r>
      <w:r>
        <w:rPr>
          <w:rFonts w:ascii="新細明體" w:hint="eastAsia"/>
        </w:rPr>
        <w:t>條規定</w:t>
      </w:r>
      <w:r>
        <w:rPr>
          <w:rStyle w:val="a6"/>
          <w:rFonts w:ascii="新細明體" w:hint="eastAsia"/>
        </w:rPr>
        <w:footnoteReference w:id="49"/>
      </w:r>
      <w:r>
        <w:rPr>
          <w:rFonts w:ascii="新細明體" w:hint="eastAsia"/>
        </w:rPr>
        <w:t>；</w:t>
      </w:r>
    </w:p>
    <w:p w:rsidR="00000000" w:rsidRDefault="002D1830" w:rsidP="002D1830">
      <w:pPr>
        <w:numPr>
          <w:ilvl w:val="0"/>
          <w:numId w:val="17"/>
        </w:numPr>
        <w:spacing w:line="360" w:lineRule="auto"/>
        <w:ind w:firstLineChars="0"/>
        <w:jc w:val="left"/>
        <w:rPr>
          <w:rFonts w:ascii="新細明體" w:hint="eastAsia"/>
        </w:rPr>
      </w:pPr>
      <w:r>
        <w:rPr>
          <w:rFonts w:ascii="新細明體" w:hint="eastAsia"/>
        </w:rPr>
        <w:t>行政法院法第</w:t>
      </w:r>
      <w:r>
        <w:rPr>
          <w:rFonts w:ascii="新細明體" w:hint="eastAsia"/>
        </w:rPr>
        <w:t>166</w:t>
      </w:r>
      <w:r>
        <w:rPr>
          <w:rFonts w:ascii="新細明體" w:hint="eastAsia"/>
        </w:rPr>
        <w:t>條</w:t>
      </w:r>
      <w:r>
        <w:rPr>
          <w:rStyle w:val="a6"/>
          <w:rFonts w:ascii="新細明體" w:hint="eastAsia"/>
        </w:rPr>
        <w:footnoteReference w:id="50"/>
      </w:r>
      <w:r>
        <w:rPr>
          <w:rFonts w:ascii="新細明體" w:hint="eastAsia"/>
        </w:rPr>
        <w:t>；</w:t>
      </w:r>
    </w:p>
    <w:p w:rsidR="00000000" w:rsidRDefault="002D1830" w:rsidP="002D1830">
      <w:pPr>
        <w:numPr>
          <w:ilvl w:val="0"/>
          <w:numId w:val="17"/>
        </w:numPr>
        <w:spacing w:line="360" w:lineRule="auto"/>
        <w:ind w:firstLineChars="0"/>
        <w:jc w:val="left"/>
        <w:rPr>
          <w:rFonts w:ascii="新細明體" w:hint="eastAsia"/>
        </w:rPr>
      </w:pPr>
      <w:r>
        <w:rPr>
          <w:rFonts w:ascii="新細明體" w:hint="eastAsia"/>
        </w:rPr>
        <w:t>勞工法院法第</w:t>
      </w:r>
      <w:r>
        <w:rPr>
          <w:rFonts w:ascii="新細明體" w:hint="eastAsia"/>
        </w:rPr>
        <w:t>11a</w:t>
      </w:r>
      <w:r>
        <w:rPr>
          <w:rFonts w:ascii="新細明體" w:hint="eastAsia"/>
        </w:rPr>
        <w:t>條規定；</w:t>
      </w:r>
    </w:p>
    <w:p w:rsidR="00000000" w:rsidRDefault="002D1830" w:rsidP="002D1830">
      <w:pPr>
        <w:numPr>
          <w:ilvl w:val="0"/>
          <w:numId w:val="17"/>
        </w:numPr>
        <w:spacing w:line="360" w:lineRule="auto"/>
        <w:ind w:firstLineChars="0"/>
        <w:jc w:val="left"/>
        <w:rPr>
          <w:rFonts w:ascii="新細明體" w:hint="eastAsia"/>
        </w:rPr>
      </w:pPr>
      <w:r>
        <w:rPr>
          <w:rFonts w:ascii="新細明體" w:hint="eastAsia"/>
        </w:rPr>
        <w:t>財務法院法第</w:t>
      </w:r>
      <w:r>
        <w:rPr>
          <w:rFonts w:ascii="新細明體" w:hint="eastAsia"/>
        </w:rPr>
        <w:t>14</w:t>
      </w:r>
      <w:r>
        <w:rPr>
          <w:rFonts w:ascii="新細明體" w:hint="eastAsia"/>
        </w:rPr>
        <w:t>條及</w:t>
      </w:r>
      <w:r>
        <w:rPr>
          <w:rFonts w:ascii="新細明體" w:hint="eastAsia"/>
        </w:rPr>
        <w:t>142</w:t>
      </w:r>
      <w:r>
        <w:rPr>
          <w:rFonts w:ascii="新細明體" w:hint="eastAsia"/>
        </w:rPr>
        <w:t>條規定。</w:t>
      </w:r>
    </w:p>
    <w:p w:rsidR="00000000" w:rsidRDefault="002D1830">
      <w:pPr>
        <w:spacing w:line="360" w:lineRule="auto"/>
        <w:ind w:firstLine="480"/>
        <w:rPr>
          <w:rFonts w:ascii="新細明體" w:hint="eastAsia"/>
        </w:rPr>
      </w:pPr>
      <w:r>
        <w:rPr>
          <w:rFonts w:ascii="新細明體" w:hint="eastAsia"/>
        </w:rPr>
        <w:t>但是，德國對公務員之法律扶助（</w:t>
      </w:r>
      <w:r>
        <w:rPr>
          <w:rFonts w:ascii="新細明體" w:hint="eastAsia"/>
        </w:rPr>
        <w:t>Rechtsberatungs</w:t>
      </w:r>
      <w:r>
        <w:rPr>
          <w:rFonts w:ascii="新細明體"/>
        </w:rPr>
        <w:t>hilfe</w:t>
      </w:r>
      <w:r>
        <w:rPr>
          <w:rFonts w:ascii="新細明體" w:hint="eastAsia"/>
        </w:rPr>
        <w:t xml:space="preserve"> des Beamten</w:t>
      </w:r>
      <w:r>
        <w:rPr>
          <w:rFonts w:ascii="新細明體" w:hint="eastAsia"/>
        </w:rPr>
        <w:t>）並無專法規定，然公務員之權利義務條款中有「諮詢之義務」（</w:t>
      </w:r>
      <w:r>
        <w:rPr>
          <w:rFonts w:ascii="新細明體" w:hint="eastAsia"/>
        </w:rPr>
        <w:t>Beratungspflicht</w:t>
      </w:r>
      <w:r>
        <w:rPr>
          <w:rFonts w:ascii="新細明體" w:hint="eastAsia"/>
        </w:rPr>
        <w:t>），但是，此種諮詢大都僅限於公務員對上級長官諮詢之義務，即說明下級公務員對其作成行政決定之合法性及合目的性理由，有向其上級長官諮詢之義務，與法律扶助並無關聯</w:t>
      </w:r>
      <w:r>
        <w:rPr>
          <w:rStyle w:val="a6"/>
          <w:rFonts w:ascii="新細明體" w:hint="eastAsia"/>
        </w:rPr>
        <w:footnoteReference w:id="51"/>
      </w:r>
      <w:r>
        <w:rPr>
          <w:rFonts w:ascii="新細明體" w:hint="eastAsia"/>
        </w:rPr>
        <w:t>。至於對公務員之協助（</w:t>
      </w:r>
      <w:r>
        <w:rPr>
          <w:rFonts w:ascii="新細明體" w:hint="eastAsia"/>
        </w:rPr>
        <w:t>Beihilfe</w:t>
      </w:r>
      <w:r>
        <w:rPr>
          <w:rFonts w:ascii="新細明體" w:hint="eastAsia"/>
        </w:rPr>
        <w:t>），亦僅限於公務員因疾病、出</w:t>
      </w:r>
      <w:r>
        <w:rPr>
          <w:rFonts w:ascii="新細明體" w:hint="eastAsia"/>
        </w:rPr>
        <w:t>生、死亡等特殊例外情形，為減輕公務員之特別財務負擔，所為之金錢給付，與公務員因公涉訟扶助亦無關涉</w:t>
      </w:r>
      <w:r>
        <w:rPr>
          <w:rStyle w:val="a6"/>
          <w:rFonts w:ascii="新細明體" w:hint="eastAsia"/>
        </w:rPr>
        <w:footnoteReference w:id="52"/>
      </w:r>
      <w:r>
        <w:rPr>
          <w:rFonts w:ascii="新細明體" w:hint="eastAsia"/>
        </w:rPr>
        <w:t>。所以，本文僅得就一般性之法律扶助規定，簡要加以介紹，於此合先敘明。</w:t>
      </w:r>
    </w:p>
    <w:p w:rsidR="00000000" w:rsidRDefault="002D1830">
      <w:pPr>
        <w:spacing w:line="360" w:lineRule="auto"/>
        <w:ind w:firstLine="480"/>
        <w:rPr>
          <w:rFonts w:ascii="新細明體" w:hint="eastAsia"/>
        </w:rPr>
      </w:pPr>
      <w:r>
        <w:rPr>
          <w:rFonts w:ascii="新細明體" w:hint="eastAsia"/>
        </w:rPr>
        <w:t>壹、扶助內容：</w:t>
      </w:r>
    </w:p>
    <w:p w:rsidR="00000000" w:rsidRDefault="002D1830">
      <w:pPr>
        <w:spacing w:line="360" w:lineRule="auto"/>
        <w:ind w:leftChars="166" w:left="398" w:firstLine="480"/>
        <w:rPr>
          <w:rFonts w:ascii="新細明體" w:hint="eastAsia"/>
        </w:rPr>
      </w:pPr>
      <w:r>
        <w:rPr>
          <w:rFonts w:ascii="新細明體" w:hint="eastAsia"/>
        </w:rPr>
        <w:t>依德國法律扶助法第一條第一項之規定，法律扶助之內容包含諮詢（尤其是法律諮詢，</w:t>
      </w:r>
      <w:r>
        <w:rPr>
          <w:rFonts w:ascii="新細明體" w:hint="eastAsia"/>
        </w:rPr>
        <w:t>Rechtsberatung</w:t>
      </w:r>
      <w:r>
        <w:rPr>
          <w:rFonts w:ascii="新細明體" w:hint="eastAsia"/>
        </w:rPr>
        <w:t>）及代理（</w:t>
      </w:r>
      <w:r>
        <w:rPr>
          <w:rFonts w:ascii="新細明體" w:hint="eastAsia"/>
        </w:rPr>
        <w:t>Vertretung</w:t>
      </w:r>
      <w:r>
        <w:rPr>
          <w:rFonts w:ascii="新細明體" w:hint="eastAsia"/>
        </w:rPr>
        <w:t>）兩者在內，且限於維護訴訟程序外之權利，若為維護訴訟程序上之權利，則應依前揭訴訟救助之規定為之，茲分述法律扶助法之扶助內容如下：</w:t>
      </w:r>
    </w:p>
    <w:p w:rsidR="00000000" w:rsidRDefault="002D1830" w:rsidP="002D1830">
      <w:pPr>
        <w:numPr>
          <w:ilvl w:val="1"/>
          <w:numId w:val="18"/>
        </w:numPr>
        <w:tabs>
          <w:tab w:val="clear" w:pos="1470"/>
        </w:tabs>
        <w:spacing w:line="360" w:lineRule="auto"/>
        <w:ind w:left="0" w:firstLineChars="0" w:firstLine="480"/>
        <w:jc w:val="left"/>
        <w:rPr>
          <w:rFonts w:ascii="新細明體" w:hint="eastAsia"/>
        </w:rPr>
      </w:pPr>
      <w:r>
        <w:rPr>
          <w:rFonts w:ascii="新細明體" w:hint="eastAsia"/>
        </w:rPr>
        <w:t>諮詢：依德國法律扶助法第二條第一項之規定，法律扶助之主要扶助內容</w:t>
      </w:r>
      <w:r>
        <w:rPr>
          <w:rFonts w:ascii="新細明體" w:hint="eastAsia"/>
        </w:rPr>
        <w:t>為法律諮詢，例外情形方及於代理行為且有排除事項。在法律諮詢方面，包含民事事件、刑事案件（含社會秩序違反之輕刑法案件）、行政事件、憲法事件及社會法、勞工法事件。皆得提供法律諮詢服務，而代理則範圍有所限制。</w:t>
      </w:r>
    </w:p>
    <w:p w:rsidR="00000000" w:rsidRDefault="002D1830" w:rsidP="002D1830">
      <w:pPr>
        <w:numPr>
          <w:ilvl w:val="1"/>
          <w:numId w:val="18"/>
        </w:numPr>
        <w:tabs>
          <w:tab w:val="clear" w:pos="1470"/>
        </w:tabs>
        <w:spacing w:line="360" w:lineRule="auto"/>
        <w:ind w:left="0" w:firstLineChars="0" w:firstLine="480"/>
        <w:jc w:val="left"/>
        <w:rPr>
          <w:rFonts w:ascii="新細明體" w:hint="eastAsia"/>
        </w:rPr>
      </w:pPr>
      <w:r>
        <w:rPr>
          <w:rFonts w:ascii="新細明體" w:hint="eastAsia"/>
        </w:rPr>
        <w:t>代理：依德國法律扶助法第二條第一項規定，法律扶助之內容，原則上雖以法律諮詢為主，但「必要時」（即例外情形下），亦得為法律行為。例如，代理請求扶助人與行政機關或其他法律關係主體進行談判，協商或其他從事法律行為之進行（如撰狀）。但是，此種代理依前揭第一條第一項之限制，原則上並非訴訟上之代理，而係其他程序（例如：</w:t>
      </w:r>
      <w:r>
        <w:rPr>
          <w:rFonts w:ascii="新細明體" w:hint="eastAsia"/>
        </w:rPr>
        <w:t>行政程序）上之代理。</w:t>
      </w:r>
    </w:p>
    <w:p w:rsidR="00000000" w:rsidRDefault="002D1830">
      <w:pPr>
        <w:spacing w:line="360" w:lineRule="auto"/>
        <w:ind w:left="480" w:hangingChars="200" w:hanging="480"/>
        <w:rPr>
          <w:rFonts w:ascii="新細明體" w:hint="eastAsia"/>
        </w:rPr>
      </w:pPr>
      <w:r>
        <w:rPr>
          <w:rFonts w:ascii="新細明體" w:hint="eastAsia"/>
        </w:rPr>
        <w:t xml:space="preserve">        </w:t>
      </w:r>
      <w:r>
        <w:rPr>
          <w:rFonts w:ascii="新細明體" w:hint="eastAsia"/>
        </w:rPr>
        <w:t>德國法上之法律扶助，首先現至於為維護聲請人訴訟程序外之權利，而與各種訴訟法之訴訟救助規定互相輔助使用，與我國法律扶助法設計並不相同</w:t>
      </w:r>
      <w:r>
        <w:rPr>
          <w:rStyle w:val="a6"/>
          <w:rFonts w:ascii="新細明體" w:hint="eastAsia"/>
        </w:rPr>
        <w:footnoteReference w:id="53"/>
      </w:r>
      <w:r>
        <w:rPr>
          <w:rFonts w:ascii="新細明體" w:hint="eastAsia"/>
        </w:rPr>
        <w:t>。而且，法律扶助以法律諮詢為原則且刑事案件尚排除得為代理之範圍，法律代理為例外，亦寓有預防紛爭以及避免紛爭擴大，給予聲請人及時扶助之本旨。</w:t>
      </w:r>
    </w:p>
    <w:p w:rsidR="00000000" w:rsidRDefault="002D1830">
      <w:pPr>
        <w:spacing w:line="360" w:lineRule="auto"/>
        <w:ind w:firstLine="480"/>
        <w:rPr>
          <w:rFonts w:ascii="新細明體" w:hint="eastAsia"/>
        </w:rPr>
      </w:pPr>
      <w:r>
        <w:rPr>
          <w:rFonts w:ascii="新細明體" w:hint="eastAsia"/>
        </w:rPr>
        <w:t>貳、扶助要件</w:t>
      </w:r>
    </w:p>
    <w:p w:rsidR="00000000" w:rsidRDefault="002D1830">
      <w:pPr>
        <w:spacing w:line="360" w:lineRule="auto"/>
        <w:ind w:firstLine="480"/>
        <w:rPr>
          <w:rFonts w:ascii="新細明體" w:hint="eastAsia"/>
        </w:rPr>
      </w:pPr>
      <w:r>
        <w:rPr>
          <w:rFonts w:ascii="新細明體" w:hint="eastAsia"/>
        </w:rPr>
        <w:t>依德國法律扶助法第一條之規定，，聲請法律扶助應具備下列要件：</w:t>
      </w:r>
    </w:p>
    <w:p w:rsidR="00000000" w:rsidRDefault="002D1830" w:rsidP="002D1830">
      <w:pPr>
        <w:numPr>
          <w:ilvl w:val="0"/>
          <w:numId w:val="19"/>
        </w:numPr>
        <w:spacing w:line="360" w:lineRule="auto"/>
        <w:ind w:firstLineChars="0"/>
        <w:jc w:val="left"/>
        <w:rPr>
          <w:rFonts w:ascii="新細明體" w:hint="eastAsia"/>
        </w:rPr>
      </w:pPr>
      <w:r>
        <w:rPr>
          <w:rFonts w:ascii="新細明體" w:hint="eastAsia"/>
        </w:rPr>
        <w:t>依聲請人個人狀況及經濟狀況無法為必要之權利行使者</w:t>
      </w:r>
      <w:r>
        <w:t>;</w:t>
      </w:r>
    </w:p>
    <w:p w:rsidR="00000000" w:rsidRDefault="002D1830" w:rsidP="002D1830">
      <w:pPr>
        <w:numPr>
          <w:ilvl w:val="0"/>
          <w:numId w:val="19"/>
        </w:numPr>
        <w:spacing w:line="360" w:lineRule="auto"/>
        <w:ind w:firstLineChars="0"/>
        <w:jc w:val="left"/>
        <w:rPr>
          <w:rFonts w:ascii="新細明體" w:hint="eastAsia"/>
        </w:rPr>
      </w:pPr>
      <w:r>
        <w:rPr>
          <w:rFonts w:ascii="新細明體" w:hint="eastAsia"/>
        </w:rPr>
        <w:t>聲請人無法由其他途徑獲得法律扶助者</w:t>
      </w:r>
      <w:r>
        <w:rPr>
          <w:rFonts w:hint="eastAsia"/>
        </w:rPr>
        <w:t>;</w:t>
      </w:r>
      <w:r>
        <w:rPr>
          <w:rFonts w:ascii="新細明體" w:hint="eastAsia"/>
        </w:rPr>
        <w:t>（如法律保險等）</w:t>
      </w:r>
    </w:p>
    <w:p w:rsidR="00000000" w:rsidRDefault="002D1830" w:rsidP="002D1830">
      <w:pPr>
        <w:numPr>
          <w:ilvl w:val="0"/>
          <w:numId w:val="19"/>
        </w:numPr>
        <w:spacing w:line="360" w:lineRule="auto"/>
        <w:ind w:firstLineChars="0"/>
        <w:jc w:val="left"/>
        <w:rPr>
          <w:rFonts w:ascii="新細明體" w:hint="eastAsia"/>
        </w:rPr>
      </w:pPr>
      <w:r>
        <w:rPr>
          <w:rFonts w:ascii="新細明體" w:hint="eastAsia"/>
        </w:rPr>
        <w:t>符合訴訟費用救助之要</w:t>
      </w:r>
      <w:r>
        <w:rPr>
          <w:rFonts w:ascii="新細明體" w:hint="eastAsia"/>
        </w:rPr>
        <w:t>件者；</w:t>
      </w:r>
      <w:r>
        <w:rPr>
          <w:rStyle w:val="a6"/>
          <w:rFonts w:ascii="新細明體" w:hint="eastAsia"/>
        </w:rPr>
        <w:footnoteReference w:id="54"/>
      </w:r>
    </w:p>
    <w:p w:rsidR="00000000" w:rsidRDefault="002D1830" w:rsidP="002D1830">
      <w:pPr>
        <w:numPr>
          <w:ilvl w:val="0"/>
          <w:numId w:val="19"/>
        </w:numPr>
        <w:spacing w:line="360" w:lineRule="auto"/>
        <w:ind w:firstLineChars="0"/>
        <w:jc w:val="left"/>
        <w:rPr>
          <w:rFonts w:ascii="新細明體" w:hint="eastAsia"/>
        </w:rPr>
      </w:pPr>
      <w:r>
        <w:rPr>
          <w:rFonts w:ascii="新細明體" w:hint="eastAsia"/>
        </w:rPr>
        <w:t>權利之行使非出於濫用（或惡意）者。</w:t>
      </w:r>
    </w:p>
    <w:p w:rsidR="00000000" w:rsidRDefault="002D1830">
      <w:pPr>
        <w:tabs>
          <w:tab w:val="left" w:pos="360"/>
        </w:tabs>
        <w:spacing w:line="360" w:lineRule="auto"/>
        <w:ind w:left="480" w:hangingChars="200" w:hanging="480"/>
        <w:rPr>
          <w:rFonts w:ascii="新細明體" w:hint="eastAsia"/>
        </w:rPr>
      </w:pPr>
      <w:r>
        <w:rPr>
          <w:rFonts w:ascii="新細明體" w:hint="eastAsia"/>
        </w:rPr>
        <w:t xml:space="preserve">        </w:t>
      </w:r>
      <w:r>
        <w:rPr>
          <w:rFonts w:ascii="新細明體" w:hint="eastAsia"/>
        </w:rPr>
        <w:t>此種扶助要件，若與公務員因公涉訟扶助之本質相互比較，除</w:t>
      </w:r>
      <w:r>
        <w:rPr>
          <w:rFonts w:ascii="新細明體" w:hint="eastAsia"/>
        </w:rPr>
        <w:t>1</w:t>
      </w:r>
      <w:r>
        <w:rPr>
          <w:rFonts w:ascii="新細明體" w:hint="eastAsia"/>
        </w:rPr>
        <w:t>、</w:t>
      </w:r>
      <w:r>
        <w:rPr>
          <w:rFonts w:ascii="新細明體" w:hint="eastAsia"/>
        </w:rPr>
        <w:t>2</w:t>
      </w:r>
      <w:r>
        <w:rPr>
          <w:rFonts w:ascii="新細明體" w:hint="eastAsia"/>
        </w:rPr>
        <w:t>不能相互援用外，其</w:t>
      </w:r>
      <w:r>
        <w:rPr>
          <w:rFonts w:ascii="新細明體" w:hint="eastAsia"/>
        </w:rPr>
        <w:t>3</w:t>
      </w:r>
      <w:r>
        <w:rPr>
          <w:rFonts w:ascii="新細明體" w:hint="eastAsia"/>
        </w:rPr>
        <w:t>、</w:t>
      </w:r>
      <w:r>
        <w:rPr>
          <w:rFonts w:ascii="新細明體" w:hint="eastAsia"/>
        </w:rPr>
        <w:t>4</w:t>
      </w:r>
      <w:r>
        <w:rPr>
          <w:rFonts w:ascii="新細明體" w:hint="eastAsia"/>
        </w:rPr>
        <w:t>要件，尤其若涉及訴訟事件（案件），需該案件有勝訴（或有辯護）之望者，且非出於濫訴者，似有參考援用之價值。</w:t>
      </w:r>
    </w:p>
    <w:p w:rsidR="00000000" w:rsidRDefault="002D1830">
      <w:pPr>
        <w:tabs>
          <w:tab w:val="left" w:pos="360"/>
        </w:tabs>
        <w:spacing w:line="360" w:lineRule="auto"/>
        <w:ind w:firstLine="480"/>
        <w:rPr>
          <w:rFonts w:ascii="新細明體" w:hint="eastAsia"/>
        </w:rPr>
      </w:pPr>
      <w:r>
        <w:rPr>
          <w:rFonts w:ascii="新細明體" w:hint="eastAsia"/>
        </w:rPr>
        <w:t>參、扶助主體</w:t>
      </w:r>
    </w:p>
    <w:p w:rsidR="00000000" w:rsidRDefault="002D1830">
      <w:pPr>
        <w:tabs>
          <w:tab w:val="left" w:pos="360"/>
        </w:tabs>
        <w:spacing w:line="360" w:lineRule="auto"/>
        <w:ind w:leftChars="166" w:left="398" w:firstLine="480"/>
        <w:rPr>
          <w:rFonts w:ascii="新細明體" w:hint="eastAsia"/>
        </w:rPr>
      </w:pPr>
      <w:r>
        <w:rPr>
          <w:rFonts w:ascii="新細明體" w:hint="eastAsia"/>
        </w:rPr>
        <w:t>依德國法律扶助法第三條規定，法律扶助之主體計分成：以法律諮詢處（</w:t>
      </w:r>
      <w:r>
        <w:rPr>
          <w:rFonts w:ascii="新細明體" w:hint="eastAsia"/>
        </w:rPr>
        <w:t>Beratungsstelle</w:t>
      </w:r>
      <w:r>
        <w:rPr>
          <w:rFonts w:ascii="新細明體" w:hint="eastAsia"/>
        </w:rPr>
        <w:t>）為原則，而以區（或簡易）法院（</w:t>
      </w:r>
      <w:r>
        <w:rPr>
          <w:rFonts w:ascii="新細明體" w:hint="eastAsia"/>
        </w:rPr>
        <w:t>Amtsgericht</w:t>
      </w:r>
      <w:r>
        <w:rPr>
          <w:rFonts w:ascii="新細明體" w:hint="eastAsia"/>
        </w:rPr>
        <w:t>）為例外。不過，如前所述，扶助主體依德國法律諮詢法之業務保留條款，不論法律諮詢處或區法院為諮詢者，</w:t>
      </w:r>
      <w:r>
        <w:rPr>
          <w:rFonts w:ascii="新細明體" w:hint="eastAsia"/>
        </w:rPr>
        <w:t>應皆具有一定資格者為前提要件。</w:t>
      </w:r>
    </w:p>
    <w:p w:rsidR="00000000" w:rsidRDefault="002D1830" w:rsidP="002D1830">
      <w:pPr>
        <w:numPr>
          <w:ilvl w:val="0"/>
          <w:numId w:val="20"/>
        </w:numPr>
        <w:tabs>
          <w:tab w:val="left" w:pos="360"/>
        </w:tabs>
        <w:spacing w:line="360" w:lineRule="auto"/>
        <w:ind w:firstLineChars="0"/>
        <w:jc w:val="left"/>
        <w:rPr>
          <w:rFonts w:ascii="新細明體" w:hint="eastAsia"/>
        </w:rPr>
      </w:pPr>
      <w:r>
        <w:rPr>
          <w:rFonts w:ascii="新細明體" w:hint="eastAsia"/>
        </w:rPr>
        <w:t>法律諮詢處（</w:t>
      </w:r>
      <w:r>
        <w:rPr>
          <w:rFonts w:ascii="新細明體" w:hint="eastAsia"/>
        </w:rPr>
        <w:t>die oeffentliche Rechtsberatungsstellen</w:t>
      </w:r>
      <w:r>
        <w:rPr>
          <w:rFonts w:ascii="新細明體" w:hint="eastAsia"/>
        </w:rPr>
        <w:t>）</w:t>
      </w:r>
    </w:p>
    <w:p w:rsidR="00000000" w:rsidRDefault="002D1830">
      <w:pPr>
        <w:tabs>
          <w:tab w:val="left" w:pos="360"/>
        </w:tabs>
        <w:spacing w:line="360" w:lineRule="auto"/>
        <w:ind w:leftChars="166" w:left="398" w:firstLine="480"/>
        <w:rPr>
          <w:rFonts w:ascii="新細明體" w:hint="eastAsia"/>
        </w:rPr>
      </w:pPr>
      <w:r>
        <w:rPr>
          <w:rFonts w:ascii="新細明體" w:hint="eastAsia"/>
        </w:rPr>
        <w:t>法律諮詢處係由各邦司法行政部與各邦之律師公會，，互相協議後，所設置之服務機構，由兩者互相協商後產生之諮詢處，成為法律扶助上之最主要主體。而該諮詢處究竟設立幾處？辦公時間為何？或由多少律師排班為行政事務？全部委由該協議內容定之。</w:t>
      </w:r>
      <w:r>
        <w:rPr>
          <w:rFonts w:ascii="新細明體" w:hint="eastAsia"/>
        </w:rPr>
        <w:t xml:space="preserve">     </w:t>
      </w:r>
    </w:p>
    <w:p w:rsidR="00000000" w:rsidRDefault="002D1830" w:rsidP="002D1830">
      <w:pPr>
        <w:numPr>
          <w:ilvl w:val="0"/>
          <w:numId w:val="20"/>
        </w:numPr>
        <w:tabs>
          <w:tab w:val="left" w:pos="360"/>
        </w:tabs>
        <w:spacing w:line="360" w:lineRule="auto"/>
        <w:ind w:firstLineChars="0"/>
        <w:jc w:val="left"/>
        <w:rPr>
          <w:rFonts w:ascii="新細明體" w:hint="eastAsia"/>
        </w:rPr>
      </w:pPr>
      <w:r>
        <w:rPr>
          <w:rFonts w:ascii="新細明體" w:hint="eastAsia"/>
        </w:rPr>
        <w:t>區法院（</w:t>
      </w:r>
      <w:r>
        <w:rPr>
          <w:rFonts w:ascii="新細明體" w:hint="eastAsia"/>
        </w:rPr>
        <w:t>Amtsgericht</w:t>
      </w:r>
      <w:r>
        <w:rPr>
          <w:rFonts w:ascii="新細明體" w:hint="eastAsia"/>
        </w:rPr>
        <w:t>）</w:t>
      </w:r>
    </w:p>
    <w:p w:rsidR="00000000" w:rsidRDefault="002D1830">
      <w:pPr>
        <w:tabs>
          <w:tab w:val="left" w:pos="360"/>
        </w:tabs>
        <w:spacing w:line="360" w:lineRule="auto"/>
        <w:ind w:leftChars="167" w:left="401" w:firstLine="480"/>
        <w:rPr>
          <w:rFonts w:ascii="新細明體" w:hint="eastAsia"/>
        </w:rPr>
      </w:pPr>
      <w:r>
        <w:rPr>
          <w:rFonts w:ascii="新細明體" w:hint="eastAsia"/>
        </w:rPr>
        <w:t>為避免影響〝法院中立性〞之原則，區法院僅於對未繫屬於法院前之案件，且極大部份限於民事案件，提供必要之答覆或諮詢。簡</w:t>
      </w:r>
      <w:r>
        <w:rPr>
          <w:rFonts w:ascii="新細明體" w:hint="eastAsia"/>
        </w:rPr>
        <w:t>言之，法律扶助之主要角色仍由律師扮演之，法院之角色僅只於補充性質。</w:t>
      </w:r>
    </w:p>
    <w:p w:rsidR="00000000" w:rsidRDefault="002D1830">
      <w:pPr>
        <w:tabs>
          <w:tab w:val="left" w:pos="360"/>
        </w:tabs>
        <w:spacing w:line="360" w:lineRule="auto"/>
        <w:ind w:left="400" w:firstLine="480"/>
        <w:rPr>
          <w:rFonts w:ascii="新細明體" w:hint="eastAsia"/>
        </w:rPr>
      </w:pPr>
      <w:r>
        <w:rPr>
          <w:rFonts w:ascii="新細明體" w:hint="eastAsia"/>
        </w:rPr>
        <w:t>區法院於法律扶助中之主要工作，依德國法律扶助法第三條之規定，主要有（</w:t>
      </w:r>
      <w:r>
        <w:rPr>
          <w:rFonts w:ascii="新細明體" w:hint="eastAsia"/>
        </w:rPr>
        <w:t>1</w:t>
      </w:r>
      <w:r>
        <w:rPr>
          <w:rFonts w:ascii="新細明體" w:hint="eastAsia"/>
        </w:rPr>
        <w:t>）只需給予即時答覆或指示即可事件之法律扶助。（</w:t>
      </w:r>
      <w:r>
        <w:rPr>
          <w:rFonts w:ascii="新細明體" w:hint="eastAsia"/>
        </w:rPr>
        <w:t>2</w:t>
      </w:r>
      <w:r>
        <w:rPr>
          <w:rFonts w:ascii="新細明體" w:hint="eastAsia"/>
        </w:rPr>
        <w:t>）發給聲請人權利證明書（</w:t>
      </w:r>
      <w:r>
        <w:rPr>
          <w:rFonts w:ascii="新細明體" w:hint="eastAsia"/>
        </w:rPr>
        <w:t>Berechtigunysschein</w:t>
      </w:r>
      <w:r>
        <w:rPr>
          <w:rFonts w:ascii="新細明體" w:hint="eastAsia"/>
        </w:rPr>
        <w:t>）。首先，再區法院若能提供即時解答之資訊時，則聲請人因為獲得解答後，原則上則毋庸再行向法律諮詢處或律師聲請法律扶助。若區法院無法提供即時解答之資訊時，區法院得開立證明交予聲請人，聲請人憑該證明書即得自行尋找律師諮詢或委託訴訟代理人，此時聲請人僅需支付（或可申請免繳</w:t>
      </w:r>
      <w:r>
        <w:rPr>
          <w:rFonts w:ascii="新細明體" w:hint="eastAsia"/>
        </w:rPr>
        <w:t>）自付額予律師，律師得憑該證明書（證明有法律扶助之權利者），自國庫請求負擔，此時，國庫乃負擔絕大部分之律師諮詢與代理費用</w:t>
      </w:r>
      <w:r>
        <w:rPr>
          <w:rStyle w:val="a6"/>
          <w:rFonts w:ascii="新細明體" w:hint="eastAsia"/>
        </w:rPr>
        <w:footnoteReference w:id="55"/>
      </w:r>
      <w:r>
        <w:rPr>
          <w:rFonts w:ascii="新細明體" w:hint="eastAsia"/>
        </w:rPr>
        <w:t>。</w:t>
      </w:r>
    </w:p>
    <w:p w:rsidR="00000000" w:rsidRDefault="002D1830">
      <w:pPr>
        <w:tabs>
          <w:tab w:val="left" w:pos="360"/>
        </w:tabs>
        <w:spacing w:line="360" w:lineRule="auto"/>
        <w:ind w:leftChars="166" w:left="398" w:firstLine="480"/>
        <w:rPr>
          <w:rFonts w:ascii="新細明體" w:hint="eastAsia"/>
        </w:rPr>
      </w:pPr>
      <w:r>
        <w:rPr>
          <w:rFonts w:ascii="新細明體" w:hint="eastAsia"/>
        </w:rPr>
        <w:t>最後，區法院執行此種法律諮詢者為法律事務官（</w:t>
      </w:r>
      <w:r>
        <w:rPr>
          <w:rFonts w:ascii="新細明體" w:hint="eastAsia"/>
        </w:rPr>
        <w:t>Rechtspfleger</w:t>
      </w:r>
      <w:r>
        <w:rPr>
          <w:rFonts w:ascii="新細明體" w:hint="eastAsia"/>
        </w:rPr>
        <w:t>），而非由法官為之，但因法律事務官皆具有律師資格（</w:t>
      </w:r>
      <w:r>
        <w:rPr>
          <w:rFonts w:ascii="新細明體" w:hint="eastAsia"/>
        </w:rPr>
        <w:t>Lawyer in Haus</w:t>
      </w:r>
      <w:r>
        <w:rPr>
          <w:rFonts w:ascii="新細明體" w:hint="eastAsia"/>
        </w:rPr>
        <w:t>），所以不違反德國律師法之規定外，亦不會違反法院中立性原則，因法律事務官並非法院之法官</w:t>
      </w:r>
      <w:r>
        <w:rPr>
          <w:rStyle w:val="a6"/>
          <w:rFonts w:ascii="新細明體" w:hint="eastAsia"/>
        </w:rPr>
        <w:footnoteReference w:id="56"/>
      </w:r>
      <w:r>
        <w:rPr>
          <w:rFonts w:ascii="新細明體" w:hint="eastAsia"/>
        </w:rPr>
        <w:t>。</w:t>
      </w:r>
      <w:r>
        <w:rPr>
          <w:rFonts w:ascii="新細明體" w:hint="eastAsia"/>
        </w:rPr>
        <w:t xml:space="preserve">                                         </w:t>
      </w:r>
    </w:p>
    <w:p w:rsidR="00000000" w:rsidRDefault="002D1830" w:rsidP="002D1830">
      <w:pPr>
        <w:numPr>
          <w:ilvl w:val="0"/>
          <w:numId w:val="20"/>
        </w:numPr>
        <w:tabs>
          <w:tab w:val="left" w:pos="360"/>
        </w:tabs>
        <w:spacing w:line="360" w:lineRule="auto"/>
        <w:ind w:firstLineChars="0"/>
        <w:jc w:val="left"/>
        <w:rPr>
          <w:rFonts w:ascii="新細明體" w:hint="eastAsia"/>
        </w:rPr>
      </w:pPr>
      <w:r>
        <w:rPr>
          <w:rFonts w:ascii="新細明體" w:hint="eastAsia"/>
        </w:rPr>
        <w:t>律師</w:t>
      </w:r>
    </w:p>
    <w:p w:rsidR="00000000" w:rsidRDefault="002D1830">
      <w:pPr>
        <w:tabs>
          <w:tab w:val="left" w:pos="360"/>
        </w:tabs>
        <w:spacing w:line="360" w:lineRule="auto"/>
        <w:ind w:leftChars="167" w:left="401" w:firstLine="480"/>
        <w:rPr>
          <w:rFonts w:ascii="新細明體" w:hint="eastAsia"/>
        </w:rPr>
      </w:pPr>
      <w:r>
        <w:rPr>
          <w:rFonts w:ascii="新細明體" w:hint="eastAsia"/>
        </w:rPr>
        <w:t>德國某些邦（例如柏林）有特別規定，法律扶助之當事人，亦得選</w:t>
      </w:r>
      <w:r>
        <w:rPr>
          <w:rFonts w:ascii="新細明體" w:hint="eastAsia"/>
        </w:rPr>
        <w:t>擇直接向律師（或事務所）請求法律扶助。申言之，律師仍負有義務，接受法律扶助當事人之法律諮詢請求。</w:t>
      </w:r>
    </w:p>
    <w:p w:rsidR="00000000" w:rsidRDefault="002D1830">
      <w:pPr>
        <w:tabs>
          <w:tab w:val="left" w:pos="360"/>
        </w:tabs>
        <w:spacing w:line="360" w:lineRule="auto"/>
        <w:ind w:leftChars="167" w:left="401" w:firstLine="480"/>
        <w:rPr>
          <w:rFonts w:ascii="新細明體" w:hint="eastAsia"/>
        </w:rPr>
      </w:pPr>
      <w:r>
        <w:rPr>
          <w:rFonts w:ascii="新細明體" w:hint="eastAsia"/>
        </w:rPr>
        <w:t>若比較我國之法律扶助法草案第四條第二項規定：「各級法院、檢察署、律師公會及律師負有協助實施法律扶助事務之義務。」與德國法律扶助法之扶助主體規定，大同（即律師公會、法院），小異（多增加檢察署及〝各級〞法院），唯，如何確保律師公會與司法行政機關（即法務部）之協調，以及如何確保〝法院中立性〞原則，在細節做法上皆有參考德國法之價值，例如：將各級法院改為〝地方法院〞，將地方法院之事務官承擔其工作表明之；並刪除檢察署而改由</w:t>
      </w:r>
      <w:r>
        <w:rPr>
          <w:rFonts w:ascii="新細明體" w:hint="eastAsia"/>
        </w:rPr>
        <w:t>法務部與各地律師公會協商提供法律諮詢事務工作，並規定地方法院有審查及發給「證明書」之權利，交由聲請人逕給律師（或推薦名單）請求諮詢服務，似較合理。</w:t>
      </w:r>
    </w:p>
    <w:p w:rsidR="00000000" w:rsidRDefault="002D1830">
      <w:pPr>
        <w:tabs>
          <w:tab w:val="left" w:pos="360"/>
        </w:tabs>
        <w:spacing w:line="360" w:lineRule="auto"/>
        <w:ind w:leftChars="167" w:left="401" w:firstLine="480"/>
        <w:rPr>
          <w:rFonts w:ascii="新細明體" w:hint="eastAsia"/>
        </w:rPr>
      </w:pPr>
      <w:r>
        <w:rPr>
          <w:rFonts w:ascii="新細明體" w:hint="eastAsia"/>
        </w:rPr>
        <w:t>如果將此種扶助主體規定之精神，移用於公務員的話，法務部及保訓會應與各地律師公會協商，建立各地方之公立「法律服務處」，（由律師輪值排班），當然，如果各機關自身都能建立內部之法制單位或機關律師制度，從時效性及方便性之角度觀察，似可補強我國現行完全委由律師提供諮詢或當事人盲目自尋律師之缺陷與不足。</w:t>
      </w:r>
    </w:p>
    <w:p w:rsidR="00000000" w:rsidRDefault="002D1830">
      <w:pPr>
        <w:tabs>
          <w:tab w:val="left" w:pos="360"/>
        </w:tabs>
        <w:spacing w:line="360" w:lineRule="auto"/>
        <w:ind w:firstLine="480"/>
        <w:rPr>
          <w:rFonts w:ascii="新細明體" w:hint="eastAsia"/>
        </w:rPr>
      </w:pPr>
      <w:r>
        <w:rPr>
          <w:rFonts w:ascii="新細明體" w:hint="eastAsia"/>
        </w:rPr>
        <w:t>肆、扶助程序</w:t>
      </w:r>
    </w:p>
    <w:p w:rsidR="00000000" w:rsidRDefault="002D1830">
      <w:pPr>
        <w:tabs>
          <w:tab w:val="left" w:pos="360"/>
        </w:tabs>
        <w:spacing w:line="360" w:lineRule="auto"/>
        <w:ind w:leftChars="166" w:left="398" w:firstLine="480"/>
        <w:rPr>
          <w:rFonts w:ascii="新細明體" w:hint="eastAsia"/>
        </w:rPr>
      </w:pPr>
      <w:r>
        <w:rPr>
          <w:rFonts w:ascii="新細明體" w:hint="eastAsia"/>
        </w:rPr>
        <w:t>依德國法律扶助法第四條規定，聲請法律扶助者，應向其普通審</w:t>
      </w:r>
      <w:r>
        <w:rPr>
          <w:rFonts w:ascii="新細明體" w:hint="eastAsia"/>
        </w:rPr>
        <w:t>判籍所在之區法院，以書面或言詞提出聲請，區法院受理該事務後，即應由法院之法律事務官為准否救助之裁定，對該不准救助之裁定，聲請人並得提起異議（</w:t>
      </w:r>
      <w:r>
        <w:rPr>
          <w:rFonts w:ascii="新細明體" w:hint="eastAsia"/>
        </w:rPr>
        <w:t>Erinnerung</w:t>
      </w:r>
      <w:r>
        <w:rPr>
          <w:rFonts w:ascii="新細明體" w:hint="eastAsia"/>
        </w:rPr>
        <w:t>）（法律扶助法第六條第二項規定參照），但若當事人以逕向律師尋求法律扶助者，仍得於事後再向區法院提出聲請。當然，聲請人於聲請時即應表明當事人之收入及財產無法期待其繳納訴訟費用，而且所訴內容有勝訴之望者為限。</w:t>
      </w:r>
    </w:p>
    <w:p w:rsidR="00000000" w:rsidRDefault="002D1830">
      <w:pPr>
        <w:tabs>
          <w:tab w:val="left" w:pos="360"/>
        </w:tabs>
        <w:spacing w:line="360" w:lineRule="auto"/>
        <w:ind w:leftChars="166" w:left="398" w:firstLine="480"/>
        <w:rPr>
          <w:rFonts w:ascii="新細明體" w:hint="eastAsia"/>
        </w:rPr>
      </w:pPr>
      <w:r>
        <w:rPr>
          <w:rFonts w:ascii="新細明體" w:hint="eastAsia"/>
        </w:rPr>
        <w:t>我國法律扶助法草案規定，請求法律扶助者應以書面或言此向住居所所在地之扶助基金會所屬分會申請，（第十八條規定參照），而非向地方法院聲請。兩者設計截然</w:t>
      </w:r>
      <w:r>
        <w:rPr>
          <w:rFonts w:ascii="新細明體" w:hint="eastAsia"/>
        </w:rPr>
        <w:t>不同，其基本考量即出發點即有所差異，蓋在德國因受法院中立性原則之影響，區法院所扮演之角色極為有限</w:t>
      </w:r>
      <w:r>
        <w:rPr>
          <w:rStyle w:val="a6"/>
          <w:rFonts w:ascii="新細明體" w:hint="eastAsia"/>
        </w:rPr>
        <w:footnoteReference w:id="57"/>
      </w:r>
      <w:r>
        <w:rPr>
          <w:rFonts w:ascii="新細明體" w:hint="eastAsia"/>
        </w:rPr>
        <w:t>；而我國另外成立所謂「法律扶助基金會」（參見法律扶助法草案第五條第二項規定）以取代法院或律師公會，而成為負責之行政機關，一方面避免影響「法院中立」原則；另外一方面亦能使當事人容易得到法律扶助之協助，蓋基金會分會之設置，其實與德國各邦設立之法律諮詢處，有某種程度之類似性。</w:t>
      </w:r>
    </w:p>
    <w:p w:rsidR="00000000" w:rsidRDefault="002D1830">
      <w:pPr>
        <w:tabs>
          <w:tab w:val="left" w:pos="360"/>
        </w:tabs>
        <w:spacing w:line="360" w:lineRule="auto"/>
        <w:ind w:leftChars="166" w:left="398" w:firstLine="480"/>
        <w:rPr>
          <w:rFonts w:ascii="新細明體" w:hint="eastAsia"/>
        </w:rPr>
      </w:pPr>
      <w:r>
        <w:rPr>
          <w:rFonts w:ascii="新細明體" w:hint="eastAsia"/>
        </w:rPr>
        <w:t>但是，德國法律扶助法之聲請程序，移用於我國公務員因公涉訟扶助時，當然無法照章援用，即不得以「區法院」（或地方法院）為受理聲請之機關。唯若將「區</w:t>
      </w:r>
      <w:r>
        <w:rPr>
          <w:rFonts w:ascii="新細明體" w:hint="eastAsia"/>
        </w:rPr>
        <w:t>法院」改成「各公務員之服務機關」或各公務員所在地之「公務人員保險機構」</w:t>
      </w:r>
      <w:r>
        <w:rPr>
          <w:rStyle w:val="a6"/>
          <w:rFonts w:ascii="新細明體" w:hint="eastAsia"/>
        </w:rPr>
        <w:footnoteReference w:id="58"/>
      </w:r>
      <w:r>
        <w:rPr>
          <w:rFonts w:ascii="新細明體" w:hint="eastAsia"/>
        </w:rPr>
        <w:t>聲請法律扶助，而非如現行因公涉訟輔助辦法規定，公務員服務機關應「主動」為公務員延聘律師（第五條規定參照），來得合理可行。此外，德國程序上容許聲請扶助人對於駁回聲請裁定得提起異議制度，亦頗值我國師法。申言之，若公務員因公涉訟，請求機關予以法律扶助時，機關除有決定是否給予扶助之決定外，公務員對於拒絕給予扶助之決定，宜明文其得提起申訴或復審</w:t>
      </w:r>
      <w:r>
        <w:rPr>
          <w:rStyle w:val="a6"/>
          <w:rFonts w:ascii="新細明體" w:hint="eastAsia"/>
        </w:rPr>
        <w:footnoteReference w:id="59"/>
      </w:r>
      <w:r>
        <w:rPr>
          <w:rFonts w:ascii="新細明體" w:hint="eastAsia"/>
        </w:rPr>
        <w:t>，以請求救濟為宜。</w:t>
      </w:r>
    </w:p>
    <w:p w:rsidR="00000000" w:rsidRDefault="002D1830">
      <w:pPr>
        <w:tabs>
          <w:tab w:val="left" w:pos="360"/>
        </w:tabs>
        <w:spacing w:line="360" w:lineRule="auto"/>
        <w:ind w:firstLine="480"/>
        <w:rPr>
          <w:rFonts w:ascii="新細明體" w:hint="eastAsia"/>
        </w:rPr>
      </w:pPr>
      <w:r>
        <w:rPr>
          <w:rFonts w:ascii="新細明體" w:hint="eastAsia"/>
        </w:rPr>
        <w:t>伍、小結</w:t>
      </w:r>
    </w:p>
    <w:p w:rsidR="00000000" w:rsidRDefault="002D1830">
      <w:pPr>
        <w:tabs>
          <w:tab w:val="left" w:pos="360"/>
        </w:tabs>
        <w:spacing w:line="360" w:lineRule="auto"/>
        <w:ind w:leftChars="166" w:left="398" w:firstLine="480"/>
        <w:rPr>
          <w:rFonts w:ascii="新細明體" w:hint="eastAsia"/>
        </w:rPr>
      </w:pPr>
      <w:r>
        <w:rPr>
          <w:rFonts w:ascii="新細明體" w:hint="eastAsia"/>
        </w:rPr>
        <w:t>德國法律扶助法及其相關制度，相對應於我國公務人員因公涉訟輔助制度，似有下</w:t>
      </w:r>
      <w:r>
        <w:rPr>
          <w:rFonts w:ascii="新細明體" w:hint="eastAsia"/>
        </w:rPr>
        <w:t>列各點頗值我國師法：</w:t>
      </w:r>
    </w:p>
    <w:p w:rsidR="00000000" w:rsidRDefault="002D1830" w:rsidP="002D1830">
      <w:pPr>
        <w:numPr>
          <w:ilvl w:val="0"/>
          <w:numId w:val="21"/>
        </w:numPr>
        <w:tabs>
          <w:tab w:val="left" w:pos="360"/>
        </w:tabs>
        <w:spacing w:line="360" w:lineRule="auto"/>
        <w:ind w:firstLineChars="0" w:firstLine="480"/>
        <w:jc w:val="left"/>
        <w:rPr>
          <w:rFonts w:ascii="新細明體" w:hint="eastAsia"/>
        </w:rPr>
      </w:pPr>
      <w:r>
        <w:rPr>
          <w:rFonts w:ascii="新細明體" w:hint="eastAsia"/>
        </w:rPr>
        <w:t>在扶助內容（方式）方面：德國以法律諮詢為主，法律代理為輔，對於即時解決公務員之法律紛爭，具有相當正面之意義；我國公務員因公涉訟制度之輔助方式僅限於延聘律師即核發延聘律師費用兩者，既缺乏諮詢扶助，亦乏訴訟外代理扶助，似宜修法補充該扶助內容之不足。</w:t>
      </w:r>
    </w:p>
    <w:p w:rsidR="00000000" w:rsidRDefault="002D1830" w:rsidP="002D1830">
      <w:pPr>
        <w:numPr>
          <w:ilvl w:val="0"/>
          <w:numId w:val="21"/>
        </w:numPr>
        <w:tabs>
          <w:tab w:val="left" w:pos="360"/>
        </w:tabs>
        <w:spacing w:line="360" w:lineRule="auto"/>
        <w:ind w:firstLineChars="0" w:firstLine="480"/>
        <w:jc w:val="left"/>
        <w:rPr>
          <w:rFonts w:ascii="新細明體" w:hint="eastAsia"/>
        </w:rPr>
      </w:pPr>
      <w:r>
        <w:rPr>
          <w:rFonts w:ascii="新細明體" w:hint="eastAsia"/>
        </w:rPr>
        <w:t>在扶助要件方面：德國法律扶助聲請之要件除當事人無資力及無其他扶助管道外，尚〝有勝訴之望〞及〝非權利濫用者〞（惡意）；我國公務員因公涉訟輔助之要件僅於客觀上執行職務為要件，並無其他〝非濫用權利〞及〝顯有勝訴之希望〞二要件，是否引進而提高給予扶助之</w:t>
      </w:r>
      <w:r>
        <w:rPr>
          <w:rFonts w:ascii="新細明體" w:hint="eastAsia"/>
        </w:rPr>
        <w:t>門檻，亦有進一步再行斟酌評估之必要，蓋此時涉及是否從嚴認定之立法政策問題。</w:t>
      </w:r>
    </w:p>
    <w:p w:rsidR="00000000" w:rsidRDefault="002D1830">
      <w:pPr>
        <w:tabs>
          <w:tab w:val="left" w:pos="1920"/>
        </w:tabs>
        <w:spacing w:line="360" w:lineRule="auto"/>
        <w:ind w:leftChars="217" w:left="1001" w:hangingChars="200" w:hanging="480"/>
        <w:jc w:val="left"/>
        <w:rPr>
          <w:rFonts w:ascii="新細明體" w:hint="eastAsia"/>
        </w:rPr>
      </w:pPr>
      <w:r>
        <w:rPr>
          <w:rFonts w:ascii="新細明體" w:hint="eastAsia"/>
        </w:rPr>
        <w:t xml:space="preserve">      3.    </w:t>
      </w:r>
      <w:r>
        <w:rPr>
          <w:rFonts w:ascii="新細明體" w:hint="eastAsia"/>
        </w:rPr>
        <w:t>在扶助主體方面：德國法律扶助制度之扶助主體為律師，而分別由法律諮詢處、區法院及律師事務所分別肩負起執行之任務；我國公務員因公涉訟輔助制度，則以公務員之服務機關為扶助主體，但因為一方面公務員之服務機關層級大小有別，經費寬鬆顯有不同，因此，若能於我國制度內引進公務人員法律保險制度或於各地設公務人員法律諮詢處，似較能突破目前之窘況；機關預算不足，且無法律專業人士具有足夠能力以解決公務員法律問題之困境。</w:t>
      </w:r>
    </w:p>
    <w:p w:rsidR="00000000" w:rsidRDefault="002D1830">
      <w:pPr>
        <w:tabs>
          <w:tab w:val="left" w:pos="360"/>
        </w:tabs>
        <w:spacing w:line="360" w:lineRule="auto"/>
        <w:ind w:leftChars="167" w:left="1001" w:hangingChars="250" w:hanging="600"/>
        <w:jc w:val="left"/>
        <w:rPr>
          <w:rFonts w:ascii="新細明體" w:hint="eastAsia"/>
        </w:rPr>
      </w:pPr>
      <w:r>
        <w:rPr>
          <w:rFonts w:ascii="新細明體" w:hint="eastAsia"/>
        </w:rPr>
        <w:t xml:space="preserve">      </w:t>
      </w:r>
      <w:r>
        <w:rPr>
          <w:rFonts w:ascii="新細明體" w:hint="eastAsia"/>
        </w:rPr>
        <w:t xml:space="preserve"> 4.  </w:t>
      </w:r>
      <w:r>
        <w:rPr>
          <w:rFonts w:ascii="新細明體" w:hint="eastAsia"/>
        </w:rPr>
        <w:t>在扶助程序方面：德國法律扶助制度採取聲請制，並且對於駁回當事人之聲請裁定，准許當事人得提出異議，以謀求救濟；我國公務員因公涉訟輔助制度，採取機關主動扶助義務與公務員申請混合制度，且乏不予救助之救濟管道明文，因此，若能仿德國法制，改採聲請制並廢除主動職權義務救助規定，另外增補公務員受不准輔助規定者，得提起公務員保障法上之復審（或申訴），如此一來，也較能符合現狀，並進而達到有權利即有救濟之目標。</w:t>
      </w:r>
    </w:p>
    <w:p w:rsidR="00000000" w:rsidRDefault="002D1830">
      <w:pPr>
        <w:tabs>
          <w:tab w:val="left" w:pos="360"/>
        </w:tabs>
        <w:spacing w:line="360" w:lineRule="auto"/>
        <w:ind w:leftChars="167" w:left="401" w:firstLine="480"/>
        <w:rPr>
          <w:rFonts w:ascii="新細明體" w:hint="eastAsia"/>
        </w:rPr>
      </w:pPr>
      <w:r>
        <w:rPr>
          <w:rFonts w:ascii="新細明體" w:hint="eastAsia"/>
        </w:rPr>
        <w:t>綜合言之，德國法上雖無公務人員因公涉訟扶助制度，但其針對低收入戶（即一般人民）之法律扶助法相關規定，與我國</w:t>
      </w:r>
      <w:r>
        <w:rPr>
          <w:rFonts w:ascii="新細明體" w:hint="eastAsia"/>
        </w:rPr>
        <w:t>公務人員因公涉訟扶助制度有頗多精神相類似之規定，頗有揮擷之價值，當然，因為德國法律爭訟制度之完備及公務員法律知識之普遍不低，造成對公務員毋須再另行規定其因公涉訟制度；但我國之客觀條件不備，公務員普遍缺乏法律知識，因此，因公涉訟輔助制度容有存在之必要及價值，兩國客觀條件雖不相同，法制面不可同日而語，但其優良之法律扶助制度，仍有諸多值得我國參酌借鏡之處，不僅一般性之法律扶助法如此，特殊之公務員因公涉訟輔助制度亦然。</w:t>
      </w:r>
    </w:p>
    <w:p w:rsidR="00000000" w:rsidRDefault="002D1830">
      <w:pPr>
        <w:tabs>
          <w:tab w:val="left" w:pos="360"/>
        </w:tabs>
        <w:spacing w:line="360" w:lineRule="auto"/>
        <w:ind w:left="400" w:firstLine="480"/>
        <w:rPr>
          <w:rFonts w:ascii="新細明體" w:hint="eastAsia"/>
        </w:rPr>
      </w:pPr>
    </w:p>
    <w:p w:rsidR="00000000" w:rsidRDefault="002D1830">
      <w:pPr>
        <w:tabs>
          <w:tab w:val="left" w:pos="360"/>
          <w:tab w:val="left" w:pos="5418"/>
        </w:tabs>
        <w:spacing w:line="360" w:lineRule="auto"/>
        <w:ind w:leftChars="166" w:left="398" w:firstLine="480"/>
        <w:rPr>
          <w:rFonts w:ascii="新細明體" w:hint="eastAsia"/>
        </w:rPr>
      </w:pPr>
      <w:r>
        <w:rPr>
          <w:rFonts w:ascii="新細明體" w:hint="eastAsia"/>
        </w:rPr>
        <w:tab/>
      </w:r>
    </w:p>
    <w:p w:rsidR="00000000" w:rsidRDefault="002D1830">
      <w:pPr>
        <w:tabs>
          <w:tab w:val="left" w:pos="360"/>
        </w:tabs>
        <w:spacing w:line="360" w:lineRule="auto"/>
        <w:ind w:leftChars="167" w:left="401" w:firstLine="480"/>
        <w:rPr>
          <w:rFonts w:ascii="新細明體" w:hint="eastAsia"/>
        </w:rPr>
      </w:pPr>
    </w:p>
    <w:p w:rsidR="00000000" w:rsidRDefault="002D1830">
      <w:pPr>
        <w:tabs>
          <w:tab w:val="left" w:pos="360"/>
        </w:tabs>
        <w:spacing w:line="360" w:lineRule="auto"/>
        <w:ind w:firstLine="480"/>
        <w:rPr>
          <w:rFonts w:ascii="新細明體" w:hint="eastAsia"/>
        </w:rPr>
      </w:pPr>
    </w:p>
    <w:p w:rsidR="00000000" w:rsidRDefault="002D1830">
      <w:pPr>
        <w:spacing w:line="360" w:lineRule="auto"/>
        <w:ind w:firstLine="480"/>
        <w:rPr>
          <w:rFonts w:ascii="新細明體" w:hint="eastAsia"/>
        </w:rPr>
      </w:pPr>
      <w:r>
        <w:rPr>
          <w:rFonts w:ascii="新細明體" w:hint="eastAsia"/>
        </w:rPr>
        <w:t xml:space="preserve">  </w:t>
      </w: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560"/>
        <w:jc w:val="center"/>
        <w:rPr>
          <w:rFonts w:ascii="新細明體" w:hint="eastAsia"/>
          <w:sz w:val="28"/>
          <w:szCs w:val="28"/>
        </w:rPr>
      </w:pPr>
      <w:r>
        <w:rPr>
          <w:rFonts w:ascii="新細明體" w:hint="eastAsia"/>
          <w:sz w:val="28"/>
          <w:szCs w:val="28"/>
        </w:rPr>
        <w:t>第四節</w:t>
      </w:r>
      <w:r>
        <w:rPr>
          <w:rFonts w:ascii="新細明體" w:hint="eastAsia"/>
          <w:sz w:val="28"/>
          <w:szCs w:val="28"/>
        </w:rPr>
        <w:t xml:space="preserve"> </w:t>
      </w:r>
      <w:r>
        <w:rPr>
          <w:rFonts w:ascii="新細明體" w:hint="eastAsia"/>
          <w:sz w:val="28"/>
          <w:szCs w:val="28"/>
        </w:rPr>
        <w:t>小結</w:t>
      </w:r>
      <w:r>
        <w:rPr>
          <w:rFonts w:ascii="新細明體" w:hint="eastAsia"/>
          <w:sz w:val="28"/>
          <w:szCs w:val="28"/>
        </w:rPr>
        <w:t>---</w:t>
      </w:r>
      <w:r>
        <w:rPr>
          <w:rFonts w:ascii="新細明體" w:hint="eastAsia"/>
          <w:sz w:val="28"/>
          <w:szCs w:val="28"/>
        </w:rPr>
        <w:t>日本、英國與德國三國法制的綜合</w:t>
      </w:r>
      <w:r>
        <w:rPr>
          <w:rFonts w:ascii="新細明體" w:hint="eastAsia"/>
          <w:sz w:val="28"/>
          <w:szCs w:val="28"/>
        </w:rPr>
        <w:t>比較</w:t>
      </w:r>
    </w:p>
    <w:p w:rsidR="00000000" w:rsidRDefault="002D1830">
      <w:pPr>
        <w:spacing w:line="360" w:lineRule="auto"/>
        <w:ind w:firstLineChars="0" w:firstLine="0"/>
        <w:rPr>
          <w:rFonts w:ascii="新細明體"/>
        </w:rPr>
      </w:pPr>
    </w:p>
    <w:p w:rsidR="00000000" w:rsidRDefault="002D1830">
      <w:pPr>
        <w:spacing w:line="360" w:lineRule="auto"/>
        <w:ind w:firstLineChars="0" w:firstLine="0"/>
        <w:rPr>
          <w:rFonts w:ascii="新細明體" w:hint="eastAsia"/>
        </w:rPr>
      </w:pPr>
      <w:r>
        <w:rPr>
          <w:rFonts w:ascii="新細明體" w:hint="eastAsia"/>
        </w:rPr>
        <w:t>經過以上說明</w:t>
      </w:r>
      <w:r>
        <w:rPr>
          <w:rFonts w:ascii="新細明體" w:hint="eastAsia"/>
        </w:rPr>
        <w:t>,</w:t>
      </w:r>
      <w:r>
        <w:rPr>
          <w:rFonts w:ascii="新細明體" w:hint="eastAsia"/>
        </w:rPr>
        <w:t>我們對日本</w:t>
      </w:r>
      <w:r>
        <w:rPr>
          <w:rFonts w:ascii="新細明體" w:hint="eastAsia"/>
        </w:rPr>
        <w:t>,</w:t>
      </w:r>
      <w:r>
        <w:rPr>
          <w:rFonts w:ascii="新細明體" w:hint="eastAsia"/>
        </w:rPr>
        <w:t>德國與英國諸先進國家之公務員因公涉訟輔助法制當有初步之了解</w:t>
      </w:r>
      <w:r>
        <w:rPr>
          <w:rFonts w:ascii="新細明體" w:hint="eastAsia"/>
        </w:rPr>
        <w:t>.</w:t>
      </w:r>
      <w:r>
        <w:rPr>
          <w:rFonts w:ascii="新細明體" w:hint="eastAsia"/>
        </w:rPr>
        <w:t>以下再以表格之方式進行綜合比較</w:t>
      </w:r>
      <w:r>
        <w:rPr>
          <w:rFonts w:ascii="新細明體" w:hint="eastAsia"/>
        </w:rPr>
        <w:t>:</w:t>
      </w:r>
    </w:p>
    <w:p w:rsidR="00000000" w:rsidRDefault="002D1830">
      <w:pPr>
        <w:spacing w:line="360" w:lineRule="auto"/>
        <w:ind w:firstLineChars="0" w:firstLine="0"/>
        <w:rPr>
          <w:rFonts w:ascii="新細明體"/>
        </w:rPr>
      </w:pPr>
    </w:p>
    <w:p w:rsidR="00000000" w:rsidRDefault="002D1830">
      <w:pPr>
        <w:spacing w:line="360" w:lineRule="auto"/>
        <w:ind w:firstLineChars="0" w:firstLine="0"/>
        <w:rPr>
          <w:rFonts w:ascii="新細明體" w:hint="eastAsia"/>
        </w:rPr>
      </w:pPr>
      <w:r>
        <w:rPr>
          <w:rFonts w:ascii="新細明體" w:hint="eastAsia"/>
        </w:rPr>
        <w:t>第一</w:t>
      </w:r>
      <w:r>
        <w:rPr>
          <w:rFonts w:ascii="新細明體" w:hint="eastAsia"/>
        </w:rPr>
        <w:t>,</w:t>
      </w:r>
      <w:r>
        <w:rPr>
          <w:rFonts w:ascii="新細明體" w:hint="eastAsia"/>
        </w:rPr>
        <w:t>公務員因公涉訟輔助制度之法源依據</w:t>
      </w:r>
    </w:p>
    <w:p w:rsidR="00000000" w:rsidRDefault="002D1830">
      <w:pPr>
        <w:spacing w:line="360" w:lineRule="auto"/>
        <w:ind w:firstLineChars="0" w:firstLine="0"/>
        <w:rPr>
          <w:rFonts w:ascii="新細明體" w:hint="eastAsia"/>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184"/>
      </w:tblGrid>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國家</w:t>
            </w:r>
          </w:p>
        </w:tc>
        <w:tc>
          <w:tcPr>
            <w:tcW w:w="4184" w:type="dxa"/>
          </w:tcPr>
          <w:p w:rsidR="00000000" w:rsidRDefault="002D1830">
            <w:pPr>
              <w:spacing w:line="360" w:lineRule="auto"/>
              <w:ind w:firstLineChars="0" w:firstLine="0"/>
              <w:rPr>
                <w:rFonts w:ascii="新細明體" w:hint="eastAsia"/>
              </w:rPr>
            </w:pPr>
            <w:r>
              <w:rPr>
                <w:rFonts w:ascii="新細明體" w:hint="eastAsia"/>
              </w:rPr>
              <w:t>法源</w:t>
            </w:r>
          </w:p>
        </w:tc>
      </w:tr>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英國</w:t>
            </w:r>
          </w:p>
          <w:p w:rsidR="00000000" w:rsidRDefault="002D1830">
            <w:pPr>
              <w:spacing w:line="360" w:lineRule="auto"/>
              <w:ind w:firstLineChars="0" w:firstLine="0"/>
              <w:rPr>
                <w:rFonts w:ascii="新細明體" w:hint="eastAsia"/>
              </w:rPr>
            </w:pPr>
          </w:p>
        </w:tc>
        <w:tc>
          <w:tcPr>
            <w:tcW w:w="4184" w:type="dxa"/>
          </w:tcPr>
          <w:p w:rsidR="00000000" w:rsidRDefault="002D1830">
            <w:pPr>
              <w:spacing w:line="360" w:lineRule="auto"/>
              <w:ind w:firstLineChars="0" w:firstLine="0"/>
              <w:rPr>
                <w:rFonts w:ascii="新細明體" w:hint="eastAsia"/>
              </w:rPr>
            </w:pPr>
            <w:r>
              <w:rPr>
                <w:rFonts w:ascii="新細明體" w:hint="eastAsia"/>
              </w:rPr>
              <w:t>公務員管理辦法</w:t>
            </w:r>
            <w:r>
              <w:rPr>
                <w:rFonts w:ascii="新細明體" w:hint="eastAsia"/>
              </w:rPr>
              <w:t>(CIVIL SERVICE MANGEMENT CODE)</w:t>
            </w:r>
          </w:p>
        </w:tc>
      </w:tr>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德國</w:t>
            </w:r>
          </w:p>
          <w:p w:rsidR="00000000" w:rsidRDefault="002D1830">
            <w:pPr>
              <w:spacing w:line="360" w:lineRule="auto"/>
              <w:ind w:firstLineChars="0" w:firstLine="0"/>
              <w:rPr>
                <w:rFonts w:ascii="新細明體" w:hint="eastAsia"/>
              </w:rPr>
            </w:pPr>
          </w:p>
        </w:tc>
        <w:tc>
          <w:tcPr>
            <w:tcW w:w="4184" w:type="dxa"/>
          </w:tcPr>
          <w:p w:rsidR="00000000" w:rsidRDefault="002D1830">
            <w:pPr>
              <w:spacing w:line="360" w:lineRule="auto"/>
              <w:ind w:firstLineChars="0" w:firstLine="0"/>
              <w:rPr>
                <w:rFonts w:ascii="新細明體" w:hint="eastAsia"/>
              </w:rPr>
            </w:pPr>
            <w:r>
              <w:rPr>
                <w:rFonts w:ascii="新細明體" w:hint="eastAsia"/>
              </w:rPr>
              <w:t>法律扶助法</w:t>
            </w:r>
            <w:r>
              <w:rPr>
                <w:rFonts w:ascii="新細明體" w:hint="eastAsia"/>
              </w:rPr>
              <w:t>(BER</w:t>
            </w:r>
            <w:r>
              <w:t>A</w:t>
            </w:r>
            <w:r>
              <w:rPr>
                <w:rFonts w:ascii="新細明體" w:hint="eastAsia"/>
              </w:rPr>
              <w:t>TUNGSHIFEGESETZ)</w:t>
            </w:r>
          </w:p>
        </w:tc>
      </w:tr>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日本</w:t>
            </w:r>
          </w:p>
        </w:tc>
        <w:tc>
          <w:tcPr>
            <w:tcW w:w="4184" w:type="dxa"/>
          </w:tcPr>
          <w:p w:rsidR="00000000" w:rsidRDefault="002D1830">
            <w:pPr>
              <w:spacing w:line="360" w:lineRule="auto"/>
              <w:ind w:firstLineChars="0" w:firstLine="0"/>
              <w:rPr>
                <w:rFonts w:ascii="新細明體" w:hint="eastAsia"/>
              </w:rPr>
            </w:pPr>
            <w:r>
              <w:rPr>
                <w:rFonts w:ascii="新細明體" w:hint="eastAsia"/>
              </w:rPr>
              <w:t>民事法律扶助法</w:t>
            </w:r>
          </w:p>
        </w:tc>
      </w:tr>
    </w:tbl>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r>
        <w:rPr>
          <w:rFonts w:ascii="新細明體" w:hint="eastAsia"/>
        </w:rPr>
        <w:t>由上表可知</w:t>
      </w:r>
      <w:r>
        <w:rPr>
          <w:rFonts w:ascii="新細明體" w:hint="eastAsia"/>
        </w:rPr>
        <w:t>,</w:t>
      </w:r>
      <w:r>
        <w:rPr>
          <w:rFonts w:ascii="新細明體" w:hint="eastAsia"/>
        </w:rPr>
        <w:t>德日兩國皆無專門之公務員輔助法令</w:t>
      </w:r>
      <w:r>
        <w:rPr>
          <w:rFonts w:ascii="新細明體" w:hint="eastAsia"/>
        </w:rPr>
        <w:t>,</w:t>
      </w:r>
      <w:r>
        <w:rPr>
          <w:rFonts w:ascii="新細明體" w:hint="eastAsia"/>
        </w:rPr>
        <w:t>而英國雖有專法</w:t>
      </w:r>
      <w:r>
        <w:rPr>
          <w:rFonts w:ascii="新細明體" w:hint="eastAsia"/>
        </w:rPr>
        <w:t>,</w:t>
      </w:r>
      <w:r>
        <w:rPr>
          <w:rFonts w:ascii="新細明體" w:hint="eastAsia"/>
        </w:rPr>
        <w:t>但其位階僅為行政規則。亦即三國均無專門規範公務員因公涉訟事項之「法律」。</w:t>
      </w:r>
    </w:p>
    <w:p w:rsidR="00000000" w:rsidRDefault="002D1830">
      <w:pPr>
        <w:spacing w:line="360" w:lineRule="auto"/>
        <w:ind w:firstLineChars="0" w:firstLine="0"/>
        <w:rPr>
          <w:rFonts w:ascii="新細明體"/>
        </w:rPr>
      </w:pPr>
    </w:p>
    <w:p w:rsidR="00000000" w:rsidRDefault="002D1830">
      <w:pPr>
        <w:spacing w:line="360" w:lineRule="auto"/>
        <w:ind w:firstLineChars="0" w:firstLine="0"/>
        <w:rPr>
          <w:rFonts w:ascii="新細明體" w:hint="eastAsia"/>
        </w:rPr>
      </w:pPr>
      <w:r>
        <w:rPr>
          <w:rFonts w:ascii="新細明體" w:hint="eastAsia"/>
        </w:rPr>
        <w:t>第二</w:t>
      </w:r>
      <w:r>
        <w:rPr>
          <w:rFonts w:ascii="新細明體" w:hint="eastAsia"/>
        </w:rPr>
        <w:t>,</w:t>
      </w:r>
      <w:r>
        <w:rPr>
          <w:rFonts w:ascii="新細明體" w:hint="eastAsia"/>
        </w:rPr>
        <w:t>輔助要</w:t>
      </w:r>
      <w:r>
        <w:rPr>
          <w:rFonts w:ascii="新細明體" w:hint="eastAsia"/>
        </w:rPr>
        <w:t>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184"/>
      </w:tblGrid>
      <w:tr w:rsidR="00000000">
        <w:tc>
          <w:tcPr>
            <w:tcW w:w="4184" w:type="dxa"/>
          </w:tcPr>
          <w:p w:rsidR="00000000" w:rsidRDefault="002D1830">
            <w:pPr>
              <w:spacing w:line="360" w:lineRule="auto"/>
              <w:ind w:firstLineChars="0" w:firstLine="0"/>
              <w:rPr>
                <w:rFonts w:ascii="新細明體"/>
              </w:rPr>
            </w:pPr>
            <w:r>
              <w:rPr>
                <w:rFonts w:ascii="新細明體" w:hint="eastAsia"/>
              </w:rPr>
              <w:t>國家</w:t>
            </w:r>
          </w:p>
        </w:tc>
        <w:tc>
          <w:tcPr>
            <w:tcW w:w="4184" w:type="dxa"/>
          </w:tcPr>
          <w:p w:rsidR="00000000" w:rsidRDefault="002D1830">
            <w:pPr>
              <w:spacing w:line="360" w:lineRule="auto"/>
              <w:ind w:firstLineChars="0" w:firstLine="0"/>
              <w:rPr>
                <w:rFonts w:ascii="新細明體"/>
              </w:rPr>
            </w:pPr>
            <w:r>
              <w:rPr>
                <w:rFonts w:ascii="新細明體" w:hint="eastAsia"/>
              </w:rPr>
              <w:t>輔助要件</w:t>
            </w:r>
          </w:p>
        </w:tc>
      </w:tr>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英國</w:t>
            </w:r>
          </w:p>
          <w:p w:rsidR="00000000" w:rsidRDefault="002D1830">
            <w:pPr>
              <w:spacing w:line="360" w:lineRule="auto"/>
              <w:ind w:firstLineChars="0" w:firstLine="0"/>
              <w:rPr>
                <w:rFonts w:ascii="新細明體"/>
              </w:rPr>
            </w:pPr>
          </w:p>
        </w:tc>
        <w:tc>
          <w:tcPr>
            <w:tcW w:w="4184" w:type="dxa"/>
          </w:tcPr>
          <w:p w:rsidR="00000000" w:rsidRDefault="002D1830">
            <w:pPr>
              <w:spacing w:line="360" w:lineRule="auto"/>
              <w:ind w:firstLineChars="0" w:firstLine="0"/>
              <w:rPr>
                <w:rFonts w:ascii="新細明體" w:hint="eastAsia"/>
              </w:rPr>
            </w:pPr>
            <w:r>
              <w:rPr>
                <w:rFonts w:ascii="新細明體" w:hint="eastAsia"/>
              </w:rPr>
              <w:t>1.</w:t>
            </w:r>
            <w:r>
              <w:rPr>
                <w:rFonts w:ascii="新細明體" w:hint="eastAsia"/>
              </w:rPr>
              <w:t>是否扶助合乎公益</w:t>
            </w:r>
          </w:p>
          <w:p w:rsidR="00000000" w:rsidRDefault="002D1830">
            <w:pPr>
              <w:spacing w:line="360" w:lineRule="auto"/>
              <w:ind w:firstLineChars="0" w:firstLine="0"/>
              <w:rPr>
                <w:rFonts w:ascii="新細明體"/>
              </w:rPr>
            </w:pPr>
            <w:r>
              <w:rPr>
                <w:rFonts w:ascii="新細明體" w:hint="eastAsia"/>
              </w:rPr>
              <w:t>2.</w:t>
            </w:r>
            <w:r>
              <w:rPr>
                <w:rFonts w:ascii="新細明體" w:hint="eastAsia"/>
              </w:rPr>
              <w:t>公務員之行為有無逾越職務範圍。</w:t>
            </w:r>
          </w:p>
        </w:tc>
      </w:tr>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德國</w:t>
            </w:r>
          </w:p>
          <w:p w:rsidR="00000000" w:rsidRDefault="002D1830">
            <w:pPr>
              <w:spacing w:line="360" w:lineRule="auto"/>
              <w:ind w:firstLineChars="0" w:firstLine="0"/>
              <w:rPr>
                <w:rFonts w:ascii="新細明體"/>
              </w:rPr>
            </w:pPr>
          </w:p>
        </w:tc>
        <w:tc>
          <w:tcPr>
            <w:tcW w:w="4184" w:type="dxa"/>
          </w:tcPr>
          <w:p w:rsidR="00000000" w:rsidRDefault="002D1830">
            <w:pPr>
              <w:spacing w:line="360" w:lineRule="auto"/>
              <w:ind w:firstLineChars="0" w:firstLine="0"/>
              <w:rPr>
                <w:rFonts w:ascii="新細明體" w:hint="eastAsia"/>
              </w:rPr>
            </w:pPr>
            <w:r>
              <w:rPr>
                <w:rFonts w:ascii="新細明體" w:hint="eastAsia"/>
              </w:rPr>
              <w:t>1.</w:t>
            </w:r>
            <w:r>
              <w:rPr>
                <w:rFonts w:ascii="新細明體" w:hint="eastAsia"/>
              </w:rPr>
              <w:t>依聲請人個人狀況及經濟標準無法為必要之權利行使者</w:t>
            </w:r>
          </w:p>
          <w:p w:rsidR="00000000" w:rsidRDefault="002D1830">
            <w:pPr>
              <w:spacing w:line="360" w:lineRule="auto"/>
              <w:ind w:firstLineChars="0" w:firstLine="0"/>
              <w:rPr>
                <w:rFonts w:ascii="新細明體" w:hint="eastAsia"/>
              </w:rPr>
            </w:pPr>
            <w:r>
              <w:rPr>
                <w:rFonts w:ascii="新細明體" w:hint="eastAsia"/>
              </w:rPr>
              <w:t>2.</w:t>
            </w:r>
            <w:r>
              <w:rPr>
                <w:rFonts w:ascii="新細明體" w:hint="eastAsia"/>
              </w:rPr>
              <w:t>聲請人無法由其他途徑獲得法律扶助者</w:t>
            </w:r>
          </w:p>
          <w:p w:rsidR="00000000" w:rsidRDefault="002D1830">
            <w:pPr>
              <w:spacing w:line="360" w:lineRule="auto"/>
              <w:ind w:firstLineChars="0" w:firstLine="0"/>
              <w:rPr>
                <w:rFonts w:ascii="新細明體"/>
              </w:rPr>
            </w:pPr>
            <w:r>
              <w:rPr>
                <w:rFonts w:ascii="新細明體" w:hint="eastAsia"/>
              </w:rPr>
              <w:t>3.</w:t>
            </w:r>
            <w:r>
              <w:rPr>
                <w:rFonts w:ascii="新細明體" w:hint="eastAsia"/>
              </w:rPr>
              <w:t>符合訴訟費用救助之要件者</w:t>
            </w:r>
            <w:r>
              <w:rPr>
                <w:rFonts w:ascii="新細明體" w:hint="eastAsia"/>
              </w:rPr>
              <w:t>;4.</w:t>
            </w:r>
            <w:r>
              <w:rPr>
                <w:rFonts w:ascii="新細明體" w:hint="eastAsia"/>
              </w:rPr>
              <w:t>權利之行使非出於濫用者。</w:t>
            </w:r>
          </w:p>
        </w:tc>
      </w:tr>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日本</w:t>
            </w:r>
          </w:p>
          <w:p w:rsidR="00000000" w:rsidRDefault="002D1830">
            <w:pPr>
              <w:spacing w:line="360" w:lineRule="auto"/>
              <w:ind w:firstLineChars="0" w:firstLine="0"/>
              <w:rPr>
                <w:rFonts w:ascii="新細明體"/>
              </w:rPr>
            </w:pPr>
          </w:p>
        </w:tc>
        <w:tc>
          <w:tcPr>
            <w:tcW w:w="4184" w:type="dxa"/>
          </w:tcPr>
          <w:p w:rsidR="00000000" w:rsidRDefault="002D1830">
            <w:pPr>
              <w:spacing w:line="360" w:lineRule="auto"/>
              <w:ind w:firstLineChars="0" w:firstLine="0"/>
              <w:rPr>
                <w:rFonts w:ascii="新細明體" w:hint="eastAsia"/>
              </w:rPr>
            </w:pPr>
            <w:r>
              <w:rPr>
                <w:rFonts w:ascii="新細明體" w:hint="eastAsia"/>
              </w:rPr>
              <w:t>1.</w:t>
            </w:r>
            <w:r>
              <w:rPr>
                <w:rFonts w:ascii="新細明體" w:hint="eastAsia"/>
              </w:rPr>
              <w:t>無資力</w:t>
            </w:r>
          </w:p>
          <w:p w:rsidR="00000000" w:rsidRDefault="002D1830">
            <w:pPr>
              <w:spacing w:line="360" w:lineRule="auto"/>
              <w:ind w:firstLineChars="0" w:firstLine="0"/>
              <w:rPr>
                <w:rFonts w:ascii="新細明體" w:hint="eastAsia"/>
              </w:rPr>
            </w:pPr>
            <w:r>
              <w:rPr>
                <w:rFonts w:ascii="新細明體" w:hint="eastAsia"/>
              </w:rPr>
              <w:t>2.</w:t>
            </w:r>
            <w:r>
              <w:rPr>
                <w:rFonts w:ascii="新細明體" w:hint="eastAsia"/>
              </w:rPr>
              <w:t>有勝訴之望或受特定律師繼續援助之必要性</w:t>
            </w:r>
          </w:p>
          <w:p w:rsidR="00000000" w:rsidRDefault="002D1830">
            <w:pPr>
              <w:spacing w:line="360" w:lineRule="auto"/>
              <w:ind w:firstLineChars="0" w:firstLine="0"/>
              <w:rPr>
                <w:rFonts w:ascii="新細明體"/>
              </w:rPr>
            </w:pPr>
            <w:r>
              <w:rPr>
                <w:rFonts w:ascii="新細明體" w:hint="eastAsia"/>
              </w:rPr>
              <w:t>3.</w:t>
            </w:r>
            <w:r>
              <w:rPr>
                <w:rFonts w:ascii="新細明體" w:hint="eastAsia"/>
              </w:rPr>
              <w:t>適合扶助之旨趣。</w:t>
            </w:r>
          </w:p>
        </w:tc>
      </w:tr>
    </w:tbl>
    <w:p w:rsidR="00000000" w:rsidRDefault="002D1830">
      <w:pPr>
        <w:spacing w:line="360" w:lineRule="auto"/>
        <w:ind w:firstLineChars="0" w:firstLine="0"/>
        <w:rPr>
          <w:rFonts w:ascii="新細明體"/>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rPr>
      </w:pPr>
    </w:p>
    <w:p w:rsidR="00000000" w:rsidRDefault="002D1830">
      <w:pPr>
        <w:spacing w:line="360" w:lineRule="auto"/>
        <w:ind w:firstLineChars="0" w:firstLine="0"/>
        <w:rPr>
          <w:rFonts w:ascii="新細明體" w:hint="eastAsia"/>
        </w:rPr>
      </w:pPr>
      <w:r>
        <w:rPr>
          <w:rFonts w:ascii="新細明體" w:hint="eastAsia"/>
        </w:rPr>
        <w:t>由以上表格可知</w:t>
      </w:r>
      <w:r>
        <w:rPr>
          <w:rFonts w:ascii="新細明體" w:hint="eastAsia"/>
        </w:rPr>
        <w:t>,</w:t>
      </w:r>
      <w:r>
        <w:rPr>
          <w:rFonts w:ascii="新細明體" w:hint="eastAsia"/>
        </w:rPr>
        <w:t>德日兩國皆注重公務員是否有資力</w:t>
      </w:r>
      <w:r>
        <w:rPr>
          <w:rFonts w:ascii="新細明體" w:hint="eastAsia"/>
        </w:rPr>
        <w:t>,</w:t>
      </w:r>
      <w:r>
        <w:rPr>
          <w:rFonts w:ascii="新細明體" w:hint="eastAsia"/>
        </w:rPr>
        <w:t>而英國法則不論公務員有無資力均給予輔助</w:t>
      </w:r>
      <w:r>
        <w:rPr>
          <w:rFonts w:ascii="新細明體" w:hint="eastAsia"/>
        </w:rPr>
        <w:t>,</w:t>
      </w:r>
      <w:r>
        <w:rPr>
          <w:rFonts w:ascii="新細明體" w:hint="eastAsia"/>
        </w:rPr>
        <w:t>這項差別主要是因為德日兩國之法源為適用對象不限公務員之一般扶助法律</w:t>
      </w:r>
      <w:r>
        <w:rPr>
          <w:rFonts w:ascii="新細明體" w:hint="eastAsia"/>
        </w:rPr>
        <w:t>,</w:t>
      </w:r>
      <w:r>
        <w:rPr>
          <w:rFonts w:ascii="新細明體" w:hint="eastAsia"/>
        </w:rPr>
        <w:t>既曰扶助</w:t>
      </w:r>
      <w:r>
        <w:rPr>
          <w:rFonts w:ascii="新細明體" w:hint="eastAsia"/>
        </w:rPr>
        <w:t>,</w:t>
      </w:r>
      <w:r>
        <w:rPr>
          <w:rFonts w:ascii="新細明體" w:hint="eastAsia"/>
        </w:rPr>
        <w:t>則自係人民無資力時之救濟措施</w:t>
      </w:r>
      <w:r>
        <w:rPr>
          <w:rFonts w:ascii="新細明體" w:hint="eastAsia"/>
        </w:rPr>
        <w:t>;</w:t>
      </w:r>
      <w:r>
        <w:rPr>
          <w:rFonts w:ascii="新細明體" w:hint="eastAsia"/>
        </w:rPr>
        <w:t>此與英國專門針對公務員之輔助立法基本精神有所不同也</w:t>
      </w:r>
      <w:r>
        <w:rPr>
          <w:rFonts w:ascii="新細明體" w:hint="eastAsia"/>
        </w:rPr>
        <w:t>,</w:t>
      </w:r>
      <w:r>
        <w:rPr>
          <w:rFonts w:ascii="新細明體" w:hint="eastAsia"/>
        </w:rPr>
        <w:t>故英國法反而重視公務員之行為是否逾越其職務範圍。不過三國法律皆強調不得違背公益</w:t>
      </w:r>
      <w:r>
        <w:rPr>
          <w:rFonts w:ascii="新細明體" w:hint="eastAsia"/>
        </w:rPr>
        <w:t>(</w:t>
      </w:r>
      <w:r>
        <w:rPr>
          <w:rFonts w:ascii="新細明體" w:hint="eastAsia"/>
        </w:rPr>
        <w:t>即權利不得濫用</w:t>
      </w:r>
      <w:r>
        <w:rPr>
          <w:rFonts w:ascii="新細明體" w:hint="eastAsia"/>
        </w:rPr>
        <w:t>)</w:t>
      </w:r>
      <w:r>
        <w:rPr>
          <w:rFonts w:ascii="新細明體" w:hint="eastAsia"/>
        </w:rPr>
        <w:t>則一。</w:t>
      </w:r>
    </w:p>
    <w:p w:rsidR="00000000" w:rsidRDefault="002D1830">
      <w:pPr>
        <w:spacing w:line="360" w:lineRule="auto"/>
        <w:ind w:firstLineChars="0" w:firstLine="0"/>
        <w:rPr>
          <w:rFonts w:ascii="新細明體"/>
        </w:rPr>
      </w:pPr>
    </w:p>
    <w:p w:rsidR="00000000" w:rsidRDefault="002D1830">
      <w:pPr>
        <w:spacing w:line="360" w:lineRule="auto"/>
        <w:ind w:firstLineChars="0" w:firstLine="0"/>
        <w:rPr>
          <w:rFonts w:ascii="新細明體" w:hint="eastAsia"/>
        </w:rPr>
      </w:pPr>
      <w:r>
        <w:rPr>
          <w:rFonts w:ascii="新細明體" w:hint="eastAsia"/>
        </w:rPr>
        <w:t>第三</w:t>
      </w:r>
      <w:r>
        <w:rPr>
          <w:rFonts w:ascii="新細明體" w:hint="eastAsia"/>
        </w:rPr>
        <w:t>,</w:t>
      </w:r>
      <w:r>
        <w:rPr>
          <w:rFonts w:ascii="新細明體" w:hint="eastAsia"/>
        </w:rPr>
        <w:t>輔助內容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184"/>
      </w:tblGrid>
      <w:tr w:rsidR="00000000">
        <w:tc>
          <w:tcPr>
            <w:tcW w:w="4184" w:type="dxa"/>
          </w:tcPr>
          <w:p w:rsidR="00000000" w:rsidRDefault="002D1830">
            <w:pPr>
              <w:spacing w:line="360" w:lineRule="auto"/>
              <w:ind w:firstLineChars="0" w:firstLine="0"/>
              <w:rPr>
                <w:rFonts w:ascii="新細明體"/>
              </w:rPr>
            </w:pPr>
            <w:r>
              <w:rPr>
                <w:rFonts w:ascii="新細明體" w:hint="eastAsia"/>
              </w:rPr>
              <w:t>國家</w:t>
            </w:r>
          </w:p>
        </w:tc>
        <w:tc>
          <w:tcPr>
            <w:tcW w:w="4184" w:type="dxa"/>
          </w:tcPr>
          <w:p w:rsidR="00000000" w:rsidRDefault="002D1830">
            <w:pPr>
              <w:spacing w:line="360" w:lineRule="auto"/>
              <w:ind w:firstLineChars="0" w:firstLine="0"/>
              <w:rPr>
                <w:rFonts w:ascii="新細明體"/>
              </w:rPr>
            </w:pPr>
            <w:r>
              <w:rPr>
                <w:rFonts w:ascii="新細明體" w:hint="eastAsia"/>
              </w:rPr>
              <w:t>輔助內容</w:t>
            </w:r>
          </w:p>
        </w:tc>
      </w:tr>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英國</w:t>
            </w:r>
          </w:p>
          <w:p w:rsidR="00000000" w:rsidRDefault="002D1830">
            <w:pPr>
              <w:spacing w:line="360" w:lineRule="auto"/>
              <w:ind w:firstLineChars="0" w:firstLine="0"/>
              <w:rPr>
                <w:rFonts w:ascii="新細明體"/>
              </w:rPr>
            </w:pPr>
          </w:p>
        </w:tc>
        <w:tc>
          <w:tcPr>
            <w:tcW w:w="4184" w:type="dxa"/>
          </w:tcPr>
          <w:p w:rsidR="00000000" w:rsidRDefault="002D1830">
            <w:pPr>
              <w:spacing w:line="360" w:lineRule="auto"/>
              <w:ind w:firstLineChars="0" w:firstLine="0"/>
              <w:rPr>
                <w:rFonts w:ascii="新細明體" w:hint="eastAsia"/>
              </w:rPr>
            </w:pPr>
            <w:r>
              <w:rPr>
                <w:rFonts w:ascii="新細明體" w:hint="eastAsia"/>
              </w:rPr>
              <w:t>1.</w:t>
            </w:r>
            <w:r>
              <w:rPr>
                <w:rFonts w:ascii="新細明體" w:hint="eastAsia"/>
              </w:rPr>
              <w:t>全部或部分法定代理</w:t>
            </w:r>
            <w:r>
              <w:rPr>
                <w:rFonts w:ascii="新細明體" w:hint="eastAsia"/>
              </w:rPr>
              <w:t>,</w:t>
            </w:r>
            <w:r>
              <w:rPr>
                <w:rFonts w:ascii="新細明體" w:hint="eastAsia"/>
              </w:rPr>
              <w:t>或支付全部或部分之法律費用</w:t>
            </w:r>
          </w:p>
          <w:p w:rsidR="00000000" w:rsidRDefault="002D1830">
            <w:pPr>
              <w:spacing w:line="360" w:lineRule="auto"/>
              <w:ind w:firstLineChars="0" w:firstLine="0"/>
              <w:rPr>
                <w:rFonts w:ascii="新細明體" w:hint="eastAsia"/>
              </w:rPr>
            </w:pPr>
            <w:r>
              <w:rPr>
                <w:rFonts w:ascii="新細明體" w:hint="eastAsia"/>
              </w:rPr>
              <w:t>2.</w:t>
            </w:r>
            <w:r>
              <w:rPr>
                <w:rFonts w:ascii="新細明體" w:hint="eastAsia"/>
              </w:rPr>
              <w:t>皇家初級律師之法定代理</w:t>
            </w:r>
          </w:p>
          <w:p w:rsidR="00000000" w:rsidRDefault="002D1830">
            <w:pPr>
              <w:spacing w:line="360" w:lineRule="auto"/>
              <w:ind w:firstLineChars="0" w:firstLine="0"/>
              <w:rPr>
                <w:rFonts w:ascii="新細明體" w:hint="eastAsia"/>
              </w:rPr>
            </w:pPr>
            <w:r>
              <w:rPr>
                <w:rFonts w:ascii="新細明體" w:hint="eastAsia"/>
              </w:rPr>
              <w:t>3.</w:t>
            </w:r>
            <w:r>
              <w:rPr>
                <w:rFonts w:ascii="新細明體" w:hint="eastAsia"/>
              </w:rPr>
              <w:t>支付全部之訴訟費用與民事賠償金</w:t>
            </w:r>
            <w:r>
              <w:rPr>
                <w:rFonts w:ascii="新細明體" w:hint="eastAsia"/>
              </w:rPr>
              <w:t>4.</w:t>
            </w:r>
            <w:r>
              <w:rPr>
                <w:rFonts w:ascii="新細明體" w:hint="eastAsia"/>
              </w:rPr>
              <w:t>法律諮詢</w:t>
            </w:r>
          </w:p>
          <w:p w:rsidR="00000000" w:rsidRDefault="002D1830">
            <w:pPr>
              <w:spacing w:line="360" w:lineRule="auto"/>
              <w:ind w:firstLineChars="0" w:firstLine="0"/>
              <w:rPr>
                <w:rFonts w:ascii="新細明體" w:hint="eastAsia"/>
              </w:rPr>
            </w:pPr>
            <w:r>
              <w:rPr>
                <w:rFonts w:ascii="新細明體" w:hint="eastAsia"/>
              </w:rPr>
              <w:t>5.</w:t>
            </w:r>
            <w:r>
              <w:rPr>
                <w:rFonts w:ascii="新細明體" w:hint="eastAsia"/>
              </w:rPr>
              <w:t>機關首長之法定代理</w:t>
            </w:r>
          </w:p>
          <w:p w:rsidR="00000000" w:rsidRDefault="002D1830">
            <w:pPr>
              <w:spacing w:line="360" w:lineRule="auto"/>
              <w:ind w:firstLineChars="0" w:firstLine="0"/>
              <w:rPr>
                <w:rFonts w:ascii="新細明體"/>
              </w:rPr>
            </w:pPr>
            <w:r>
              <w:rPr>
                <w:rFonts w:ascii="新細明體" w:hint="eastAsia"/>
              </w:rPr>
              <w:t>6.</w:t>
            </w:r>
            <w:r>
              <w:rPr>
                <w:rFonts w:ascii="新細明體" w:hint="eastAsia"/>
              </w:rPr>
              <w:t>皇家代公務員承擔民事責任與費用。</w:t>
            </w:r>
          </w:p>
        </w:tc>
      </w:tr>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德國</w:t>
            </w:r>
          </w:p>
          <w:p w:rsidR="00000000" w:rsidRDefault="002D1830">
            <w:pPr>
              <w:spacing w:line="360" w:lineRule="auto"/>
              <w:ind w:firstLineChars="0" w:firstLine="0"/>
              <w:rPr>
                <w:rFonts w:ascii="新細明體"/>
              </w:rPr>
            </w:pPr>
          </w:p>
        </w:tc>
        <w:tc>
          <w:tcPr>
            <w:tcW w:w="4184" w:type="dxa"/>
          </w:tcPr>
          <w:p w:rsidR="00000000" w:rsidRDefault="002D1830">
            <w:pPr>
              <w:spacing w:line="360" w:lineRule="auto"/>
              <w:ind w:firstLineChars="0" w:firstLine="0"/>
              <w:rPr>
                <w:rFonts w:ascii="新細明體" w:hint="eastAsia"/>
              </w:rPr>
            </w:pPr>
            <w:r>
              <w:rPr>
                <w:rFonts w:ascii="新細明體" w:hint="eastAsia"/>
              </w:rPr>
              <w:t>1.</w:t>
            </w:r>
            <w:r>
              <w:rPr>
                <w:rFonts w:ascii="新細明體" w:hint="eastAsia"/>
              </w:rPr>
              <w:t>諮詢</w:t>
            </w:r>
          </w:p>
          <w:p w:rsidR="00000000" w:rsidRDefault="002D1830">
            <w:pPr>
              <w:spacing w:line="360" w:lineRule="auto"/>
              <w:ind w:firstLineChars="0" w:firstLine="0"/>
              <w:rPr>
                <w:rFonts w:ascii="新細明體"/>
              </w:rPr>
            </w:pPr>
            <w:r>
              <w:rPr>
                <w:rFonts w:ascii="新細明體" w:hint="eastAsia"/>
              </w:rPr>
              <w:t>2.</w:t>
            </w:r>
            <w:r>
              <w:rPr>
                <w:rFonts w:ascii="新細明體" w:hint="eastAsia"/>
              </w:rPr>
              <w:t>代理。</w:t>
            </w:r>
          </w:p>
        </w:tc>
      </w:tr>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日本</w:t>
            </w:r>
          </w:p>
          <w:p w:rsidR="00000000" w:rsidRDefault="002D1830">
            <w:pPr>
              <w:spacing w:line="360" w:lineRule="auto"/>
              <w:ind w:firstLineChars="0" w:firstLine="0"/>
              <w:rPr>
                <w:rFonts w:ascii="新細明體"/>
              </w:rPr>
            </w:pPr>
          </w:p>
        </w:tc>
        <w:tc>
          <w:tcPr>
            <w:tcW w:w="4184" w:type="dxa"/>
          </w:tcPr>
          <w:p w:rsidR="00000000" w:rsidRDefault="002D1830">
            <w:pPr>
              <w:spacing w:line="360" w:lineRule="auto"/>
              <w:ind w:firstLineChars="0" w:firstLine="0"/>
              <w:rPr>
                <w:rFonts w:ascii="新細明體" w:hint="eastAsia"/>
              </w:rPr>
            </w:pPr>
            <w:r>
              <w:rPr>
                <w:rFonts w:ascii="新細明體" w:hint="eastAsia"/>
              </w:rPr>
              <w:t>1.</w:t>
            </w:r>
            <w:r>
              <w:rPr>
                <w:rFonts w:ascii="新細明體" w:hint="eastAsia"/>
              </w:rPr>
              <w:t>暫行免付裁判費</w:t>
            </w:r>
            <w:r>
              <w:rPr>
                <w:rFonts w:ascii="新細明體" w:hint="eastAsia"/>
              </w:rPr>
              <w:t>,</w:t>
            </w:r>
            <w:r>
              <w:rPr>
                <w:rFonts w:ascii="新細明體" w:hint="eastAsia"/>
              </w:rPr>
              <w:t>執行費</w:t>
            </w:r>
          </w:p>
          <w:p w:rsidR="00000000" w:rsidRDefault="002D1830">
            <w:pPr>
              <w:spacing w:line="360" w:lineRule="auto"/>
              <w:ind w:firstLineChars="0" w:firstLine="0"/>
              <w:rPr>
                <w:rFonts w:ascii="新細明體" w:hint="eastAsia"/>
              </w:rPr>
            </w:pPr>
            <w:r>
              <w:rPr>
                <w:rFonts w:ascii="新細明體" w:hint="eastAsia"/>
              </w:rPr>
              <w:t>2.</w:t>
            </w:r>
            <w:r>
              <w:rPr>
                <w:rFonts w:ascii="新細明體" w:hint="eastAsia"/>
              </w:rPr>
              <w:t>暫行免付法院所選</w:t>
            </w:r>
            <w:r>
              <w:rPr>
                <w:rFonts w:ascii="新細明體" w:hint="eastAsia"/>
              </w:rPr>
              <w:t>律師之報酬</w:t>
            </w:r>
          </w:p>
          <w:p w:rsidR="00000000" w:rsidRDefault="002D1830">
            <w:pPr>
              <w:spacing w:line="360" w:lineRule="auto"/>
              <w:ind w:firstLineChars="0" w:firstLine="0"/>
              <w:rPr>
                <w:rFonts w:ascii="新細明體"/>
              </w:rPr>
            </w:pPr>
            <w:r>
              <w:rPr>
                <w:rFonts w:ascii="新細明體" w:hint="eastAsia"/>
              </w:rPr>
              <w:t>3.</w:t>
            </w:r>
            <w:r>
              <w:rPr>
                <w:rFonts w:ascii="新細明體" w:hint="eastAsia"/>
              </w:rPr>
              <w:t>訴訟費用擔保之免除。</w:t>
            </w:r>
          </w:p>
        </w:tc>
      </w:tr>
    </w:tbl>
    <w:p w:rsidR="00000000" w:rsidRDefault="002D1830">
      <w:pPr>
        <w:spacing w:line="360" w:lineRule="auto"/>
        <w:ind w:firstLineChars="0" w:firstLine="0"/>
        <w:rPr>
          <w:rFonts w:ascii="新細明體"/>
        </w:rPr>
      </w:pPr>
    </w:p>
    <w:p w:rsidR="00000000" w:rsidRDefault="002D1830">
      <w:pPr>
        <w:spacing w:line="360" w:lineRule="auto"/>
        <w:ind w:firstLineChars="0" w:firstLine="0"/>
        <w:rPr>
          <w:rFonts w:ascii="新細明體" w:hint="eastAsia"/>
        </w:rPr>
      </w:pPr>
      <w:r>
        <w:rPr>
          <w:rFonts w:ascii="新細明體" w:hint="eastAsia"/>
        </w:rPr>
        <w:t>由上可知</w:t>
      </w:r>
      <w:r>
        <w:rPr>
          <w:rFonts w:ascii="新細明體" w:hint="eastAsia"/>
        </w:rPr>
        <w:t>,</w:t>
      </w:r>
      <w:r>
        <w:rPr>
          <w:rFonts w:ascii="新細明體" w:hint="eastAsia"/>
        </w:rPr>
        <w:t>輔助之內容以英國法最具多樣性</w:t>
      </w:r>
      <w:r>
        <w:rPr>
          <w:rFonts w:ascii="新細明體" w:hint="eastAsia"/>
        </w:rPr>
        <w:t>,</w:t>
      </w:r>
      <w:r>
        <w:rPr>
          <w:rFonts w:ascii="新細明體" w:hint="eastAsia"/>
        </w:rPr>
        <w:t>其中英國法甚至連實體上的民事賠償金亦予輔助</w:t>
      </w:r>
      <w:r>
        <w:rPr>
          <w:rFonts w:ascii="新細明體" w:hint="eastAsia"/>
        </w:rPr>
        <w:t>,</w:t>
      </w:r>
      <w:r>
        <w:rPr>
          <w:rFonts w:ascii="新細明體" w:hint="eastAsia"/>
        </w:rPr>
        <w:t>此非常值得參考作進一步研究</w:t>
      </w:r>
      <w:r>
        <w:rPr>
          <w:rFonts w:ascii="新細明體" w:hint="eastAsia"/>
        </w:rPr>
        <w:t>;</w:t>
      </w:r>
      <w:r>
        <w:rPr>
          <w:rFonts w:ascii="新細明體" w:hint="eastAsia"/>
        </w:rPr>
        <w:t>至於日本多為一般</w:t>
      </w:r>
      <w:r>
        <w:rPr>
          <w:rFonts w:ascii="新細明體" w:hint="eastAsia"/>
        </w:rPr>
        <w:t>[</w:t>
      </w:r>
      <w:r>
        <w:rPr>
          <w:rFonts w:ascii="新細明體" w:hint="eastAsia"/>
        </w:rPr>
        <w:t>民事程序事項之扶助</w:t>
      </w:r>
      <w:r>
        <w:rPr>
          <w:rFonts w:ascii="新細明體" w:hint="eastAsia"/>
        </w:rPr>
        <w:t>;</w:t>
      </w:r>
      <w:r>
        <w:rPr>
          <w:rFonts w:ascii="新細明體" w:hint="eastAsia"/>
        </w:rPr>
        <w:t>德國則有諮詢制度值得參考。</w:t>
      </w:r>
    </w:p>
    <w:p w:rsidR="00000000" w:rsidRDefault="002D1830">
      <w:pPr>
        <w:spacing w:line="360" w:lineRule="auto"/>
        <w:ind w:firstLineChars="0" w:firstLine="0"/>
        <w:rPr>
          <w:rFonts w:ascii="新細明體"/>
        </w:rPr>
      </w:pPr>
    </w:p>
    <w:p w:rsidR="00000000" w:rsidRDefault="002D1830">
      <w:pPr>
        <w:spacing w:line="360" w:lineRule="auto"/>
        <w:ind w:firstLineChars="0" w:firstLine="0"/>
        <w:rPr>
          <w:rFonts w:ascii="新細明體" w:hint="eastAsia"/>
        </w:rPr>
      </w:pPr>
      <w:r>
        <w:rPr>
          <w:rFonts w:ascii="新細明體" w:hint="eastAsia"/>
        </w:rPr>
        <w:t>第四</w:t>
      </w:r>
      <w:r>
        <w:rPr>
          <w:rFonts w:ascii="新細明體" w:hint="eastAsia"/>
        </w:rPr>
        <w:t>,</w:t>
      </w:r>
      <w:r>
        <w:rPr>
          <w:rFonts w:ascii="新細明體" w:hint="eastAsia"/>
        </w:rPr>
        <w:t>輔助程序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184"/>
      </w:tblGrid>
      <w:tr w:rsidR="00000000">
        <w:tc>
          <w:tcPr>
            <w:tcW w:w="4184" w:type="dxa"/>
          </w:tcPr>
          <w:p w:rsidR="00000000" w:rsidRDefault="002D1830">
            <w:pPr>
              <w:spacing w:line="360" w:lineRule="auto"/>
              <w:ind w:firstLineChars="0" w:firstLine="0"/>
              <w:rPr>
                <w:rFonts w:ascii="新細明體"/>
              </w:rPr>
            </w:pPr>
            <w:r>
              <w:rPr>
                <w:rFonts w:ascii="新細明體" w:hint="eastAsia"/>
              </w:rPr>
              <w:t>國家</w:t>
            </w:r>
          </w:p>
        </w:tc>
        <w:tc>
          <w:tcPr>
            <w:tcW w:w="4184" w:type="dxa"/>
          </w:tcPr>
          <w:p w:rsidR="00000000" w:rsidRDefault="002D1830">
            <w:pPr>
              <w:spacing w:line="360" w:lineRule="auto"/>
              <w:ind w:firstLineChars="0" w:firstLine="0"/>
              <w:rPr>
                <w:rFonts w:ascii="新細明體"/>
              </w:rPr>
            </w:pPr>
            <w:r>
              <w:rPr>
                <w:rFonts w:ascii="新細明體" w:hint="eastAsia"/>
              </w:rPr>
              <w:t>輔助程序</w:t>
            </w:r>
          </w:p>
        </w:tc>
      </w:tr>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英國</w:t>
            </w:r>
          </w:p>
          <w:p w:rsidR="00000000" w:rsidRDefault="002D1830">
            <w:pPr>
              <w:spacing w:line="360" w:lineRule="auto"/>
              <w:ind w:firstLineChars="0" w:firstLine="0"/>
              <w:rPr>
                <w:rFonts w:ascii="新細明體"/>
              </w:rPr>
            </w:pPr>
          </w:p>
        </w:tc>
        <w:tc>
          <w:tcPr>
            <w:tcW w:w="4184" w:type="dxa"/>
          </w:tcPr>
          <w:p w:rsidR="00000000" w:rsidRDefault="002D1830">
            <w:pPr>
              <w:spacing w:line="360" w:lineRule="auto"/>
              <w:ind w:firstLineChars="0" w:firstLine="0"/>
              <w:rPr>
                <w:rFonts w:ascii="新細明體"/>
              </w:rPr>
            </w:pPr>
            <w:r>
              <w:rPr>
                <w:rFonts w:ascii="新細明體" w:hint="eastAsia"/>
              </w:rPr>
              <w:t>採職權審查制</w:t>
            </w:r>
            <w:r>
              <w:rPr>
                <w:rFonts w:ascii="新細明體" w:hint="eastAsia"/>
              </w:rPr>
              <w:t>,</w:t>
            </w:r>
            <w:r>
              <w:rPr>
                <w:rFonts w:ascii="新細明體" w:hint="eastAsia"/>
              </w:rPr>
              <w:t>由公務員所屬機關裁量決定</w:t>
            </w:r>
            <w:r>
              <w:rPr>
                <w:rFonts w:ascii="新細明體" w:hint="eastAsia"/>
              </w:rPr>
              <w:t>,</w:t>
            </w:r>
            <w:r>
              <w:rPr>
                <w:rFonts w:ascii="新細明體" w:hint="eastAsia"/>
              </w:rPr>
              <w:t>在事前應參考法律顧問及相關工會之意見</w:t>
            </w:r>
            <w:r>
              <w:rPr>
                <w:rFonts w:ascii="新細明體" w:hint="eastAsia"/>
              </w:rPr>
              <w:t>;</w:t>
            </w:r>
            <w:r>
              <w:rPr>
                <w:rFonts w:ascii="新細明體" w:hint="eastAsia"/>
              </w:rPr>
              <w:t>而公務員若不服其決定得向最高行政機關或其首長申訴。</w:t>
            </w:r>
          </w:p>
        </w:tc>
      </w:tr>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德國</w:t>
            </w:r>
          </w:p>
          <w:p w:rsidR="00000000" w:rsidRDefault="002D1830">
            <w:pPr>
              <w:spacing w:line="360" w:lineRule="auto"/>
              <w:ind w:firstLineChars="0" w:firstLine="0"/>
              <w:rPr>
                <w:rFonts w:ascii="新細明體"/>
              </w:rPr>
            </w:pPr>
          </w:p>
        </w:tc>
        <w:tc>
          <w:tcPr>
            <w:tcW w:w="4184" w:type="dxa"/>
          </w:tcPr>
          <w:p w:rsidR="00000000" w:rsidRDefault="002D1830">
            <w:pPr>
              <w:spacing w:line="360" w:lineRule="auto"/>
              <w:ind w:firstLineChars="0" w:firstLine="0"/>
              <w:rPr>
                <w:rFonts w:ascii="新細明體"/>
              </w:rPr>
            </w:pPr>
            <w:r>
              <w:rPr>
                <w:rFonts w:ascii="新細明體" w:hint="eastAsia"/>
              </w:rPr>
              <w:t>採聲請制</w:t>
            </w:r>
            <w:r>
              <w:rPr>
                <w:rFonts w:ascii="新細明體" w:hint="eastAsia"/>
              </w:rPr>
              <w:t>,</w:t>
            </w:r>
            <w:r>
              <w:rPr>
                <w:rFonts w:ascii="新細明體" w:hint="eastAsia"/>
              </w:rPr>
              <w:t>由聲請人向法院以書面或言詞聲請</w:t>
            </w:r>
            <w:r>
              <w:rPr>
                <w:rFonts w:ascii="新細明體" w:hint="eastAsia"/>
              </w:rPr>
              <w:t>;</w:t>
            </w:r>
            <w:r>
              <w:rPr>
                <w:rFonts w:ascii="新細明體" w:hint="eastAsia"/>
              </w:rPr>
              <w:t>對於駁回之裁定得提起異議。</w:t>
            </w:r>
          </w:p>
        </w:tc>
      </w:tr>
      <w:tr w:rsidR="00000000">
        <w:tc>
          <w:tcPr>
            <w:tcW w:w="4184" w:type="dxa"/>
          </w:tcPr>
          <w:p w:rsidR="00000000" w:rsidRDefault="002D1830">
            <w:pPr>
              <w:spacing w:line="360" w:lineRule="auto"/>
              <w:ind w:firstLineChars="0" w:firstLine="0"/>
              <w:rPr>
                <w:rFonts w:ascii="新細明體" w:hint="eastAsia"/>
              </w:rPr>
            </w:pPr>
            <w:r>
              <w:rPr>
                <w:rFonts w:ascii="新細明體" w:hint="eastAsia"/>
              </w:rPr>
              <w:t>日本</w:t>
            </w:r>
          </w:p>
          <w:p w:rsidR="00000000" w:rsidRDefault="002D1830">
            <w:pPr>
              <w:spacing w:line="360" w:lineRule="auto"/>
              <w:ind w:firstLineChars="0" w:firstLine="0"/>
              <w:rPr>
                <w:rFonts w:ascii="新細明體"/>
              </w:rPr>
            </w:pPr>
          </w:p>
        </w:tc>
        <w:tc>
          <w:tcPr>
            <w:tcW w:w="4184" w:type="dxa"/>
          </w:tcPr>
          <w:p w:rsidR="00000000" w:rsidRDefault="002D1830">
            <w:pPr>
              <w:spacing w:line="360" w:lineRule="auto"/>
              <w:ind w:firstLineChars="0" w:firstLine="0"/>
              <w:rPr>
                <w:rFonts w:ascii="新細明體"/>
              </w:rPr>
            </w:pPr>
            <w:r>
              <w:rPr>
                <w:rFonts w:ascii="新細明體" w:hint="eastAsia"/>
              </w:rPr>
              <w:t>民事法律扶助法委由指定代理人</w:t>
            </w:r>
            <w:r>
              <w:rPr>
                <w:rFonts w:ascii="新細明體" w:hint="eastAsia"/>
              </w:rPr>
              <w:t>之業務章程規定。現制採申請制</w:t>
            </w:r>
            <w:r>
              <w:rPr>
                <w:rFonts w:ascii="新細明體" w:hint="eastAsia"/>
              </w:rPr>
              <w:t>,</w:t>
            </w:r>
            <w:r>
              <w:rPr>
                <w:rFonts w:ascii="新細明體" w:hint="eastAsia"/>
              </w:rPr>
              <w:t>申請人得向每一地方法院管轄區域內之法律扶助協會支付申請</w:t>
            </w:r>
            <w:r>
              <w:rPr>
                <w:rFonts w:ascii="新細明體" w:hint="eastAsia"/>
              </w:rPr>
              <w:t>;</w:t>
            </w:r>
            <w:r>
              <w:rPr>
                <w:rFonts w:ascii="新細明體" w:hint="eastAsia"/>
              </w:rPr>
              <w:t>若不服支部之決定</w:t>
            </w:r>
            <w:r>
              <w:rPr>
                <w:rFonts w:ascii="新細明體" w:hint="eastAsia"/>
              </w:rPr>
              <w:t>,</w:t>
            </w:r>
            <w:r>
              <w:rPr>
                <w:rFonts w:ascii="新細明體" w:hint="eastAsia"/>
              </w:rPr>
              <w:t>得向支部長聲明不服</w:t>
            </w:r>
            <w:r>
              <w:rPr>
                <w:rFonts w:ascii="新細明體" w:hint="eastAsia"/>
              </w:rPr>
              <w:t>,</w:t>
            </w:r>
            <w:r>
              <w:rPr>
                <w:rFonts w:ascii="新細明體" w:hint="eastAsia"/>
              </w:rPr>
              <w:t>而由支部之不服聲明委員會審查</w:t>
            </w:r>
            <w:r>
              <w:rPr>
                <w:rFonts w:ascii="新細明體" w:hint="eastAsia"/>
              </w:rPr>
              <w:t>;</w:t>
            </w:r>
            <w:r>
              <w:rPr>
                <w:rFonts w:ascii="新細明體" w:hint="eastAsia"/>
              </w:rPr>
              <w:t>若仍不服</w:t>
            </w:r>
            <w:r>
              <w:rPr>
                <w:rFonts w:ascii="新細明體" w:hint="eastAsia"/>
              </w:rPr>
              <w:t>,</w:t>
            </w:r>
            <w:r>
              <w:rPr>
                <w:rFonts w:ascii="新細明體" w:hint="eastAsia"/>
              </w:rPr>
              <w:t>得向本部審查委員會聲請再審查。</w:t>
            </w:r>
          </w:p>
        </w:tc>
      </w:tr>
    </w:tbl>
    <w:p w:rsidR="00000000" w:rsidRDefault="002D1830">
      <w:pPr>
        <w:spacing w:line="360" w:lineRule="auto"/>
        <w:ind w:firstLineChars="0" w:firstLine="0"/>
        <w:rPr>
          <w:rFonts w:ascii="新細明體"/>
        </w:rPr>
      </w:pPr>
    </w:p>
    <w:p w:rsidR="00000000" w:rsidRDefault="002D1830">
      <w:pPr>
        <w:spacing w:line="360" w:lineRule="auto"/>
        <w:ind w:firstLineChars="0" w:firstLine="0"/>
        <w:rPr>
          <w:rFonts w:ascii="新細明體" w:hint="eastAsia"/>
        </w:rPr>
      </w:pPr>
      <w:r>
        <w:rPr>
          <w:rFonts w:ascii="新細明體" w:hint="eastAsia"/>
        </w:rPr>
        <w:t>由上可知</w:t>
      </w:r>
      <w:r>
        <w:rPr>
          <w:rFonts w:ascii="新細明體" w:hint="eastAsia"/>
        </w:rPr>
        <w:t>,</w:t>
      </w:r>
      <w:r>
        <w:rPr>
          <w:rFonts w:ascii="新細明體" w:hint="eastAsia"/>
        </w:rPr>
        <w:t>除英國法外</w:t>
      </w:r>
      <w:r>
        <w:rPr>
          <w:rFonts w:ascii="新細明體" w:hint="eastAsia"/>
        </w:rPr>
        <w:t>,</w:t>
      </w:r>
      <w:r>
        <w:rPr>
          <w:rFonts w:ascii="新細明體" w:hint="eastAsia"/>
        </w:rPr>
        <w:t>德日兩國均採申請制。至於審查程序</w:t>
      </w:r>
      <w:r>
        <w:rPr>
          <w:rFonts w:ascii="新細明體" w:hint="eastAsia"/>
        </w:rPr>
        <w:t>,</w:t>
      </w:r>
      <w:r>
        <w:rPr>
          <w:rFonts w:ascii="新細明體" w:hint="eastAsia"/>
        </w:rPr>
        <w:t>英國是行政審查</w:t>
      </w:r>
      <w:r>
        <w:rPr>
          <w:rFonts w:ascii="新細明體" w:hint="eastAsia"/>
        </w:rPr>
        <w:t>,</w:t>
      </w:r>
      <w:r>
        <w:rPr>
          <w:rFonts w:ascii="新細明體" w:hint="eastAsia"/>
        </w:rPr>
        <w:t>德國是法院審查</w:t>
      </w:r>
      <w:r>
        <w:rPr>
          <w:rFonts w:ascii="新細明體" w:hint="eastAsia"/>
        </w:rPr>
        <w:t>,</w:t>
      </w:r>
      <w:r>
        <w:rPr>
          <w:rFonts w:ascii="新細明體" w:hint="eastAsia"/>
        </w:rPr>
        <w:t>日本則委諸另一特設之團體審查。不過不論各國制度如何設計</w:t>
      </w:r>
      <w:r>
        <w:rPr>
          <w:rFonts w:ascii="新細明體" w:hint="eastAsia"/>
        </w:rPr>
        <w:t>,</w:t>
      </w:r>
      <w:r>
        <w:rPr>
          <w:rFonts w:ascii="新細明體" w:hint="eastAsia"/>
        </w:rPr>
        <w:t>都賦予公務員</w:t>
      </w:r>
      <w:r>
        <w:rPr>
          <w:rFonts w:ascii="新細明體" w:hint="eastAsia"/>
        </w:rPr>
        <w:t>(</w:t>
      </w:r>
      <w:r>
        <w:rPr>
          <w:rFonts w:ascii="新細明體" w:hint="eastAsia"/>
        </w:rPr>
        <w:t>人民</w:t>
      </w:r>
      <w:r>
        <w:rPr>
          <w:rFonts w:ascii="新細明體" w:hint="eastAsia"/>
        </w:rPr>
        <w:t>)</w:t>
      </w:r>
      <w:r>
        <w:rPr>
          <w:rFonts w:ascii="新細明體" w:hint="eastAsia"/>
        </w:rPr>
        <w:t>上訴救濟之權利保障。</w:t>
      </w: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000000" w:rsidRDefault="002D1830">
      <w:pPr>
        <w:spacing w:line="360" w:lineRule="auto"/>
        <w:ind w:firstLineChars="0" w:firstLine="0"/>
        <w:rPr>
          <w:rFonts w:ascii="新細明體" w:hint="eastAsia"/>
        </w:rPr>
      </w:pPr>
    </w:p>
    <w:p w:rsidR="002D1830" w:rsidRDefault="002D1830">
      <w:pPr>
        <w:spacing w:line="360" w:lineRule="auto"/>
        <w:ind w:firstLineChars="0" w:firstLine="0"/>
        <w:rPr>
          <w:rFonts w:ascii="新細明體" w:hint="eastAsia"/>
        </w:rPr>
      </w:pPr>
    </w:p>
    <w:sectPr w:rsidR="002D1830">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30" w:rsidRDefault="002D1830">
      <w:pPr>
        <w:ind w:firstLine="480"/>
      </w:pPr>
      <w:r>
        <w:separator/>
      </w:r>
    </w:p>
  </w:endnote>
  <w:endnote w:type="continuationSeparator" w:id="0">
    <w:p w:rsidR="002D1830" w:rsidRDefault="002D1830">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仿宋體W6">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D1830">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end"/>
    </w:r>
  </w:p>
  <w:p w:rsidR="00000000" w:rsidRDefault="002D1830">
    <w:pPr>
      <w:pStyle w:val="a3"/>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D1830">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separate"/>
    </w:r>
    <w:r w:rsidR="00703FAE">
      <w:rPr>
        <w:rStyle w:val="a4"/>
        <w:noProof/>
      </w:rPr>
      <w:t>1</w:t>
    </w:r>
    <w:r>
      <w:rPr>
        <w:rStyle w:val="a4"/>
      </w:rPr>
      <w:fldChar w:fldCharType="end"/>
    </w:r>
  </w:p>
  <w:p w:rsidR="00000000" w:rsidRDefault="002D1830">
    <w:pPr>
      <w:pStyle w:val="a3"/>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D1830">
    <w:pPr>
      <w:pStyle w:val="a3"/>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30" w:rsidRDefault="002D1830">
      <w:pPr>
        <w:ind w:firstLine="480"/>
      </w:pPr>
      <w:r>
        <w:separator/>
      </w:r>
    </w:p>
  </w:footnote>
  <w:footnote w:type="continuationSeparator" w:id="0">
    <w:p w:rsidR="002D1830" w:rsidRDefault="002D1830">
      <w:pPr>
        <w:ind w:firstLine="480"/>
      </w:pPr>
      <w:r>
        <w:continuationSeparator/>
      </w:r>
    </w:p>
  </w:footnote>
  <w:footnote w:id="1">
    <w:p w:rsidR="00000000" w:rsidRDefault="002D1830">
      <w:pPr>
        <w:pStyle w:val="a5"/>
        <w:ind w:firstLine="400"/>
        <w:jc w:val="both"/>
        <w:rPr>
          <w:rFonts w:hint="eastAsia"/>
        </w:rPr>
      </w:pPr>
      <w:r>
        <w:rPr>
          <w:rStyle w:val="a6"/>
        </w:rPr>
        <w:footnoteRef/>
      </w:r>
      <w:r>
        <w:t xml:space="preserve"> </w:t>
      </w:r>
      <w:r>
        <w:rPr>
          <w:rFonts w:hint="eastAsia"/>
        </w:rPr>
        <w:t>兼子一</w:t>
      </w:r>
      <w:r>
        <w:rPr>
          <w:rFonts w:hint="eastAsia"/>
        </w:rPr>
        <w:t>=</w:t>
      </w:r>
      <w:r>
        <w:rPr>
          <w:rFonts w:hint="eastAsia"/>
        </w:rPr>
        <w:t>竹下守夫，</w:t>
      </w:r>
      <w:r>
        <w:rPr>
          <w:rFonts w:ascii="新細明體" w:hint="eastAsia"/>
        </w:rPr>
        <w:t>『裁判法（新版）』，一九七八年，三四八頁。</w:t>
      </w:r>
    </w:p>
  </w:footnote>
  <w:footnote w:id="2">
    <w:p w:rsidR="00000000" w:rsidRDefault="002D1830">
      <w:pPr>
        <w:pStyle w:val="a5"/>
        <w:ind w:firstLine="400"/>
        <w:jc w:val="both"/>
        <w:rPr>
          <w:rFonts w:hint="eastAsia"/>
        </w:rPr>
      </w:pPr>
      <w:r>
        <w:rPr>
          <w:rStyle w:val="a6"/>
        </w:rPr>
        <w:footnoteRef/>
      </w:r>
      <w:r>
        <w:t xml:space="preserve"> </w:t>
      </w:r>
      <w:r>
        <w:rPr>
          <w:rFonts w:hint="eastAsia"/>
        </w:rPr>
        <w:t>在日本，其</w:t>
      </w:r>
      <w:r>
        <w:rPr>
          <w:rFonts w:hint="eastAsia"/>
        </w:rPr>
        <w:t>民事法律扶助法施行前，法律扶助並未作為國家事業實施，主要由一九五二年設立之財團法人日本法律扶助協會作為民間事業而進行。該會所進行之法律扶助事業，以民事法律扶助為中心，包含免費法律諮詢、刑事犯罪嫌疑人辯護援助、少年保護事件輔佐援助、中國殘留孤兒國際取得支援活動及難民法律扶助，且其自一九五八年始獲國庫補助。不過，國庫補助金之使用限於一定扶助事業費，並不作為事業遂行上所必要之管理運營經費。見佐川孝志，</w:t>
      </w:r>
      <w:r>
        <w:rPr>
          <w:rFonts w:ascii="新細明體" w:hint="eastAsia"/>
        </w:rPr>
        <w:t>「新法律扶助制度設計」</w:t>
      </w:r>
      <w:r>
        <w:t>NO.1137</w:t>
      </w:r>
      <w:r>
        <w:rPr>
          <w:rFonts w:hint="eastAsia"/>
        </w:rPr>
        <w:t>，一九九八年，四八頁；山內雅哉，</w:t>
      </w:r>
      <w:r>
        <w:rPr>
          <w:rFonts w:ascii="新細明體" w:hint="eastAsia"/>
        </w:rPr>
        <w:t>「國民事法律扶助歷史</w:t>
      </w:r>
      <w:r>
        <w:rPr>
          <w:rFonts w:ascii="新細明體" w:hint="eastAsia"/>
        </w:rPr>
        <w:t>現狀」法律，二○○○年八月，四頁；有正二朗，「法律扶助制度」，東京弁護士司法問題對策特別委員會編，『</w:t>
      </w:r>
      <w:r>
        <w:rPr>
          <w:rFonts w:ascii="新細明體" w:hint="eastAsia"/>
        </w:rPr>
        <w:t>21</w:t>
      </w:r>
      <w:r>
        <w:rPr>
          <w:rFonts w:ascii="新細明體" w:hint="eastAsia"/>
        </w:rPr>
        <w:t>世紀司法構想』，一九九六年，二一○頁。</w:t>
      </w:r>
    </w:p>
  </w:footnote>
  <w:footnote w:id="3">
    <w:p w:rsidR="00000000" w:rsidRDefault="002D1830">
      <w:pPr>
        <w:pStyle w:val="a5"/>
        <w:ind w:firstLine="400"/>
        <w:jc w:val="both"/>
        <w:rPr>
          <w:rFonts w:hint="eastAsia"/>
        </w:rPr>
      </w:pPr>
      <w:r>
        <w:rPr>
          <w:rStyle w:val="a6"/>
        </w:rPr>
        <w:footnoteRef/>
      </w:r>
      <w:r>
        <w:t xml:space="preserve"> </w:t>
      </w:r>
      <w:r>
        <w:rPr>
          <w:rFonts w:hint="eastAsia"/>
        </w:rPr>
        <w:t>山口健一，</w:t>
      </w:r>
      <w:r>
        <w:rPr>
          <w:rFonts w:ascii="新細明體" w:hint="eastAsia"/>
        </w:rPr>
        <w:t>「</w:t>
      </w:r>
      <w:r>
        <w:rPr>
          <w:rFonts w:hint="eastAsia"/>
        </w:rPr>
        <w:t>訴訟上救助</w:t>
      </w:r>
      <w:r>
        <w:rPr>
          <w:rFonts w:ascii="新細明體" w:hint="eastAsia"/>
        </w:rPr>
        <w:t>」</w:t>
      </w:r>
      <w:r>
        <w:rPr>
          <w:rFonts w:hint="eastAsia"/>
        </w:rPr>
        <w:t>，三宅省三等編，</w:t>
      </w:r>
      <w:r>
        <w:rPr>
          <w:rFonts w:ascii="新細明體" w:hint="eastAsia"/>
        </w:rPr>
        <w:t>『新民事訴訟法大系第一卷』，一九九七年，二三八頁以下；伊藤真，『民事訴訟法』（補訂版），二○○○年，五二九頁。</w:t>
      </w:r>
    </w:p>
  </w:footnote>
  <w:footnote w:id="4">
    <w:p w:rsidR="00000000" w:rsidRDefault="002D1830">
      <w:pPr>
        <w:pStyle w:val="a5"/>
        <w:ind w:firstLine="400"/>
        <w:jc w:val="both"/>
        <w:rPr>
          <w:rFonts w:hint="eastAsia"/>
        </w:rPr>
      </w:pPr>
      <w:r>
        <w:rPr>
          <w:rStyle w:val="a6"/>
        </w:rPr>
        <w:footnoteRef/>
      </w:r>
      <w:r>
        <w:t xml:space="preserve"> </w:t>
      </w:r>
      <w:r>
        <w:rPr>
          <w:rFonts w:hint="eastAsia"/>
        </w:rPr>
        <w:t>新堂幸司，</w:t>
      </w:r>
      <w:r>
        <w:rPr>
          <w:rFonts w:ascii="新細明體" w:hint="eastAsia"/>
        </w:rPr>
        <w:t>『新民事訴訟法』，一九九八年，八五五頁至八五六頁。</w:t>
      </w:r>
    </w:p>
  </w:footnote>
  <w:footnote w:id="5">
    <w:p w:rsidR="00000000" w:rsidRDefault="002D1830">
      <w:pPr>
        <w:pStyle w:val="a5"/>
        <w:ind w:firstLine="400"/>
        <w:jc w:val="both"/>
        <w:rPr>
          <w:rFonts w:hint="eastAsia"/>
        </w:rPr>
      </w:pPr>
      <w:r>
        <w:rPr>
          <w:rStyle w:val="a6"/>
        </w:rPr>
        <w:footnoteRef/>
      </w:r>
      <w:r>
        <w:t xml:space="preserve"> </w:t>
      </w:r>
      <w:r>
        <w:rPr>
          <w:rFonts w:hint="eastAsia"/>
        </w:rPr>
        <w:t>秋山幹男等，</w:t>
      </w:r>
      <w:r>
        <w:rPr>
          <w:rFonts w:ascii="新細明體" w:hint="eastAsia"/>
        </w:rPr>
        <w:t>『－民事訴訟法Ⅱ』，二○○二年，一一六頁。</w:t>
      </w:r>
    </w:p>
  </w:footnote>
  <w:footnote w:id="6">
    <w:p w:rsidR="00000000" w:rsidRDefault="002D1830">
      <w:pPr>
        <w:pStyle w:val="a5"/>
        <w:ind w:firstLine="400"/>
        <w:jc w:val="both"/>
        <w:rPr>
          <w:rFonts w:hint="eastAsia"/>
        </w:rPr>
      </w:pPr>
      <w:r>
        <w:rPr>
          <w:rStyle w:val="a6"/>
        </w:rPr>
        <w:footnoteRef/>
      </w:r>
      <w:r>
        <w:t xml:space="preserve"> </w:t>
      </w:r>
      <w:r>
        <w:rPr>
          <w:rFonts w:hint="eastAsia"/>
        </w:rPr>
        <w:t>新堂幸司，前揭註四書，八五八頁。</w:t>
      </w:r>
    </w:p>
  </w:footnote>
  <w:footnote w:id="7">
    <w:p w:rsidR="00000000" w:rsidRDefault="002D1830">
      <w:pPr>
        <w:pStyle w:val="a5"/>
        <w:ind w:firstLine="400"/>
        <w:jc w:val="both"/>
        <w:rPr>
          <w:rFonts w:hint="eastAsia"/>
        </w:rPr>
      </w:pPr>
      <w:r>
        <w:rPr>
          <w:rStyle w:val="a6"/>
        </w:rPr>
        <w:footnoteRef/>
      </w:r>
      <w:r>
        <w:t xml:space="preserve"> </w:t>
      </w:r>
      <w:r>
        <w:rPr>
          <w:rFonts w:hint="eastAsia"/>
        </w:rPr>
        <w:t>秋山幹男等，前揭</w:t>
      </w:r>
      <w:r>
        <w:rPr>
          <w:rFonts w:hint="eastAsia"/>
        </w:rPr>
        <w:t>註五書，一一八頁。</w:t>
      </w:r>
    </w:p>
  </w:footnote>
  <w:footnote w:id="8">
    <w:p w:rsidR="00000000" w:rsidRDefault="002D1830">
      <w:pPr>
        <w:pStyle w:val="a5"/>
        <w:ind w:firstLine="400"/>
        <w:jc w:val="both"/>
        <w:rPr>
          <w:rFonts w:hint="eastAsia"/>
        </w:rPr>
      </w:pPr>
      <w:r>
        <w:rPr>
          <w:rStyle w:val="a6"/>
        </w:rPr>
        <w:footnoteRef/>
      </w:r>
      <w:r>
        <w:t xml:space="preserve"> </w:t>
      </w:r>
      <w:r>
        <w:rPr>
          <w:rFonts w:hint="eastAsia"/>
        </w:rPr>
        <w:t>山口健一，前揭註三文，二四三頁。</w:t>
      </w:r>
    </w:p>
  </w:footnote>
  <w:footnote w:id="9">
    <w:p w:rsidR="00000000" w:rsidRDefault="002D1830">
      <w:pPr>
        <w:pStyle w:val="a5"/>
        <w:ind w:firstLine="400"/>
        <w:jc w:val="both"/>
        <w:rPr>
          <w:rFonts w:hint="eastAsia"/>
        </w:rPr>
      </w:pPr>
      <w:r>
        <w:rPr>
          <w:rStyle w:val="a6"/>
        </w:rPr>
        <w:footnoteRef/>
      </w:r>
      <w:r>
        <w:t xml:space="preserve"> </w:t>
      </w:r>
      <w:r>
        <w:rPr>
          <w:rFonts w:hint="eastAsia"/>
        </w:rPr>
        <w:t>伊藤真，前揭註三書，五三一頁。</w:t>
      </w:r>
    </w:p>
  </w:footnote>
  <w:footnote w:id="10">
    <w:p w:rsidR="00000000" w:rsidRDefault="002D1830">
      <w:pPr>
        <w:pStyle w:val="a5"/>
        <w:ind w:firstLine="400"/>
        <w:jc w:val="both"/>
        <w:rPr>
          <w:rFonts w:hint="eastAsia"/>
        </w:rPr>
      </w:pPr>
      <w:r>
        <w:rPr>
          <w:rStyle w:val="a6"/>
        </w:rPr>
        <w:footnoteRef/>
      </w:r>
      <w:r>
        <w:t xml:space="preserve"> </w:t>
      </w:r>
      <w:r>
        <w:rPr>
          <w:rFonts w:hint="eastAsia"/>
        </w:rPr>
        <w:t>秋山幹男，</w:t>
      </w:r>
      <w:r>
        <w:rPr>
          <w:rFonts w:ascii="新細明體" w:hint="eastAsia"/>
        </w:rPr>
        <w:t>「訴訟費用制度等合理化」</w:t>
      </w:r>
      <w:r>
        <w:t>NO.1028</w:t>
      </w:r>
      <w:r>
        <w:rPr>
          <w:rFonts w:hint="eastAsia"/>
        </w:rPr>
        <w:t>，一九九三年，一三七頁；山口健一，前揭註三文，二四八頁至二四九頁。</w:t>
      </w:r>
    </w:p>
  </w:footnote>
  <w:footnote w:id="11">
    <w:p w:rsidR="00000000" w:rsidRDefault="002D1830">
      <w:pPr>
        <w:pStyle w:val="a5"/>
        <w:ind w:firstLine="400"/>
        <w:jc w:val="both"/>
        <w:rPr>
          <w:rFonts w:hint="eastAsia"/>
        </w:rPr>
      </w:pPr>
      <w:r>
        <w:rPr>
          <w:rStyle w:val="a6"/>
        </w:rPr>
        <w:footnoteRef/>
      </w:r>
      <w:r>
        <w:t xml:space="preserve"> </w:t>
      </w:r>
      <w:r>
        <w:rPr>
          <w:rFonts w:hint="eastAsia"/>
        </w:rPr>
        <w:t>小島武司編，</w:t>
      </w:r>
      <w:r>
        <w:rPr>
          <w:rFonts w:ascii="新細明體" w:hint="eastAsia"/>
        </w:rPr>
        <w:t>『現代裁判法』，一九八七年，二四一頁。</w:t>
      </w:r>
    </w:p>
  </w:footnote>
  <w:footnote w:id="12">
    <w:p w:rsidR="00000000" w:rsidRDefault="002D1830">
      <w:pPr>
        <w:pStyle w:val="a5"/>
        <w:ind w:firstLine="400"/>
        <w:jc w:val="both"/>
        <w:rPr>
          <w:rFonts w:hint="eastAsia"/>
        </w:rPr>
      </w:pPr>
      <w:r>
        <w:rPr>
          <w:rStyle w:val="a6"/>
        </w:rPr>
        <w:footnoteRef/>
      </w:r>
      <w:r>
        <w:t xml:space="preserve"> </w:t>
      </w:r>
      <w:r>
        <w:rPr>
          <w:rFonts w:hint="eastAsia"/>
        </w:rPr>
        <w:t>田宮裕，</w:t>
      </w:r>
      <w:r>
        <w:rPr>
          <w:rFonts w:ascii="新細明體" w:hint="eastAsia"/>
        </w:rPr>
        <w:t>『刑事訴訟法』，一九九二年，三一頁以下。</w:t>
      </w:r>
    </w:p>
  </w:footnote>
  <w:footnote w:id="13">
    <w:p w:rsidR="00000000" w:rsidRDefault="002D1830">
      <w:pPr>
        <w:pStyle w:val="a5"/>
        <w:ind w:firstLine="400"/>
        <w:jc w:val="both"/>
        <w:rPr>
          <w:rFonts w:hint="eastAsia"/>
        </w:rPr>
      </w:pPr>
      <w:r>
        <w:rPr>
          <w:rStyle w:val="a6"/>
        </w:rPr>
        <w:footnoteRef/>
      </w:r>
      <w:r>
        <w:t xml:space="preserve"> </w:t>
      </w:r>
      <w:r>
        <w:rPr>
          <w:rFonts w:hint="eastAsia"/>
        </w:rPr>
        <w:t>關於私選辯護之報酬，依一九九五年日本律師聯合會所定「報酬基準規程」，刑事事件之酬金，於事案簡明之事件情形，在日幣（下同）二○萬元至五○萬元範圍內，而國選辯護之報酬，依一九九</w:t>
      </w:r>
      <w:r>
        <w:rPr>
          <w:rFonts w:hint="eastAsia"/>
        </w:rPr>
        <w:t>九年最高法院所定支給基準，開庭三次之事件，地方法院為八萬五千元。關於有選任辯護人之案件比率，於一九九七年，地方法院為九七</w:t>
      </w:r>
      <w:r>
        <w:rPr>
          <w:rFonts w:ascii="新細明體" w:hint="eastAsia"/>
        </w:rPr>
        <w:t>•</w:t>
      </w:r>
      <w:r>
        <w:rPr>
          <w:rFonts w:hint="eastAsia"/>
        </w:rPr>
        <w:t>一</w:t>
      </w:r>
      <w:r>
        <w:rPr>
          <w:rFonts w:hint="eastAsia"/>
        </w:rPr>
        <w:t>%</w:t>
      </w:r>
      <w:r>
        <w:rPr>
          <w:rFonts w:hint="eastAsia"/>
        </w:rPr>
        <w:t>，其中私選辯護占二九</w:t>
      </w:r>
      <w:r>
        <w:rPr>
          <w:rFonts w:ascii="新細明體" w:hint="eastAsia"/>
        </w:rPr>
        <w:t>•</w:t>
      </w:r>
      <w:r>
        <w:rPr>
          <w:rFonts w:hint="eastAsia"/>
        </w:rPr>
        <w:t>三</w:t>
      </w:r>
      <w:r>
        <w:rPr>
          <w:rFonts w:hint="eastAsia"/>
        </w:rPr>
        <w:t>%</w:t>
      </w:r>
      <w:r>
        <w:rPr>
          <w:rFonts w:hint="eastAsia"/>
        </w:rPr>
        <w:t>，國選辯護占六九</w:t>
      </w:r>
      <w:r>
        <w:rPr>
          <w:rFonts w:ascii="新細明體" w:hint="eastAsia"/>
        </w:rPr>
        <w:t>•</w:t>
      </w:r>
      <w:r>
        <w:rPr>
          <w:rFonts w:hint="eastAsia"/>
        </w:rPr>
        <w:t>二</w:t>
      </w:r>
      <w:r>
        <w:t>%</w:t>
      </w:r>
      <w:r>
        <w:rPr>
          <w:rFonts w:hint="eastAsia"/>
        </w:rPr>
        <w:t>。參見松尾浩也，</w:t>
      </w:r>
      <w:r>
        <w:rPr>
          <w:rFonts w:ascii="新細明體" w:hint="eastAsia"/>
        </w:rPr>
        <w:t>『刑事訴訟法（新版，上）』，一九九九年，二三五頁。</w:t>
      </w:r>
    </w:p>
  </w:footnote>
  <w:footnote w:id="14">
    <w:p w:rsidR="00000000" w:rsidRDefault="002D1830">
      <w:pPr>
        <w:pStyle w:val="a5"/>
        <w:ind w:firstLine="400"/>
        <w:jc w:val="both"/>
        <w:rPr>
          <w:rFonts w:hint="eastAsia"/>
        </w:rPr>
      </w:pPr>
      <w:r>
        <w:rPr>
          <w:rStyle w:val="a6"/>
        </w:rPr>
        <w:footnoteRef/>
      </w:r>
      <w:r>
        <w:t xml:space="preserve"> </w:t>
      </w:r>
      <w:r>
        <w:rPr>
          <w:rFonts w:hint="eastAsia"/>
        </w:rPr>
        <w:t>小島武司，前揭註一一書，二四七頁。</w:t>
      </w:r>
    </w:p>
  </w:footnote>
  <w:footnote w:id="15">
    <w:p w:rsidR="00000000" w:rsidRDefault="002D1830">
      <w:pPr>
        <w:pStyle w:val="a5"/>
        <w:ind w:firstLine="400"/>
        <w:jc w:val="both"/>
        <w:rPr>
          <w:rFonts w:hint="eastAsia"/>
        </w:rPr>
      </w:pPr>
      <w:r>
        <w:rPr>
          <w:rStyle w:val="a6"/>
        </w:rPr>
        <w:footnoteRef/>
      </w:r>
      <w:r>
        <w:t xml:space="preserve"> </w:t>
      </w:r>
      <w:r>
        <w:rPr>
          <w:rFonts w:hint="eastAsia"/>
        </w:rPr>
        <w:t>高田昭正，</w:t>
      </w:r>
      <w:r>
        <w:rPr>
          <w:rFonts w:ascii="新細明體" w:hint="eastAsia"/>
        </w:rPr>
        <w:t>「刑事法律扶助課題」自由正義，四六卷三號，一九九五年，一五頁以下；酒卷匡，「公的被疑者辯護制度」</w:t>
      </w:r>
      <w:r>
        <w:t>NO.1170</w:t>
      </w:r>
      <w:r>
        <w:rPr>
          <w:rFonts w:hint="eastAsia"/>
        </w:rPr>
        <w:t>，二○○○年，八八頁以下。</w:t>
      </w:r>
    </w:p>
  </w:footnote>
  <w:footnote w:id="16">
    <w:p w:rsidR="00000000" w:rsidRDefault="002D1830">
      <w:pPr>
        <w:pStyle w:val="a5"/>
        <w:ind w:firstLine="400"/>
        <w:jc w:val="both"/>
        <w:rPr>
          <w:rFonts w:hint="eastAsia"/>
        </w:rPr>
      </w:pPr>
      <w:r>
        <w:rPr>
          <w:rStyle w:val="a6"/>
        </w:rPr>
        <w:footnoteRef/>
      </w:r>
      <w:r>
        <w:t xml:space="preserve"> </w:t>
      </w:r>
      <w:r>
        <w:rPr>
          <w:rFonts w:hint="eastAsia"/>
        </w:rPr>
        <w:t>法律扶助制度研究會，</w:t>
      </w:r>
      <w:r>
        <w:rPr>
          <w:rFonts w:ascii="新細明體" w:hint="eastAsia"/>
        </w:rPr>
        <w:t>「</w:t>
      </w:r>
      <w:r>
        <w:rPr>
          <w:rFonts w:hint="eastAsia"/>
        </w:rPr>
        <w:t>法律扶助制度研究會報告書</w:t>
      </w:r>
      <w:r>
        <w:rPr>
          <w:rFonts w:ascii="新細明體" w:hint="eastAsia"/>
        </w:rPr>
        <w:t>」</w:t>
      </w:r>
      <w:r>
        <w:rPr>
          <w:rFonts w:ascii="新細明體" w:hint="eastAsia"/>
        </w:rPr>
        <w:t></w:t>
      </w:r>
      <w:r>
        <w:t>NO.1137</w:t>
      </w:r>
      <w:r>
        <w:rPr>
          <w:rFonts w:hint="eastAsia"/>
        </w:rPr>
        <w:t>，一九九八年，五八頁。</w:t>
      </w:r>
    </w:p>
  </w:footnote>
  <w:footnote w:id="17">
    <w:p w:rsidR="00000000" w:rsidRDefault="002D1830">
      <w:pPr>
        <w:pStyle w:val="a5"/>
        <w:ind w:firstLine="400"/>
        <w:jc w:val="both"/>
        <w:rPr>
          <w:rFonts w:hint="eastAsia"/>
        </w:rPr>
      </w:pPr>
      <w:r>
        <w:rPr>
          <w:rStyle w:val="a6"/>
        </w:rPr>
        <w:footnoteRef/>
      </w:r>
      <w:r>
        <w:t xml:space="preserve"> </w:t>
      </w:r>
      <w:r>
        <w:rPr>
          <w:rFonts w:hint="eastAsia"/>
        </w:rPr>
        <w:t>山本和彥，</w:t>
      </w:r>
      <w:r>
        <w:rPr>
          <w:rFonts w:ascii="新細明體" w:hint="eastAsia"/>
        </w:rPr>
        <w:t>「民事法律扶助法」判例</w:t>
      </w:r>
      <w:r>
        <w:t>NO.1039</w:t>
      </w:r>
      <w:r>
        <w:rPr>
          <w:rFonts w:hint="eastAsia"/>
        </w:rPr>
        <w:t>，二○○○年，二○頁註六；中井隆司，</w:t>
      </w:r>
      <w:r>
        <w:rPr>
          <w:rFonts w:ascii="新細明體" w:hint="eastAsia"/>
        </w:rPr>
        <w:t>「民事法律扶助法同法施行規則解說（上）」</w:t>
      </w:r>
      <w:r>
        <w:t>NBLNO.693</w:t>
      </w:r>
      <w:r>
        <w:rPr>
          <w:rFonts w:hint="eastAsia"/>
        </w:rPr>
        <w:t>，二○○○年，九頁。</w:t>
      </w:r>
    </w:p>
  </w:footnote>
  <w:footnote w:id="18">
    <w:p w:rsidR="00000000" w:rsidRDefault="002D1830">
      <w:pPr>
        <w:pStyle w:val="a5"/>
        <w:ind w:firstLine="400"/>
        <w:jc w:val="both"/>
        <w:rPr>
          <w:rFonts w:hint="eastAsia"/>
        </w:rPr>
      </w:pPr>
      <w:r>
        <w:rPr>
          <w:rStyle w:val="a6"/>
        </w:rPr>
        <w:footnoteRef/>
      </w:r>
      <w:r>
        <w:t xml:space="preserve"> </w:t>
      </w:r>
      <w:r>
        <w:rPr>
          <w:rFonts w:hint="eastAsia"/>
        </w:rPr>
        <w:t>中井隆司，</w:t>
      </w:r>
      <w:r>
        <w:rPr>
          <w:rFonts w:ascii="新細明體" w:hint="eastAsia"/>
        </w:rPr>
        <w:t>「民事法律扶助法同法施行規則解說（下）」</w:t>
      </w:r>
      <w:r>
        <w:t>NBLNO.694</w:t>
      </w:r>
      <w:r>
        <w:rPr>
          <w:rFonts w:hint="eastAsia"/>
        </w:rPr>
        <w:t>，二○○○年，三六頁。</w:t>
      </w:r>
    </w:p>
  </w:footnote>
  <w:footnote w:id="19">
    <w:p w:rsidR="00000000" w:rsidRDefault="002D1830">
      <w:pPr>
        <w:pStyle w:val="a5"/>
        <w:ind w:firstLine="400"/>
        <w:jc w:val="both"/>
      </w:pPr>
      <w:r>
        <w:rPr>
          <w:rStyle w:val="a6"/>
        </w:rPr>
        <w:footnoteRef/>
      </w:r>
      <w:r>
        <w:t xml:space="preserve"> </w:t>
      </w:r>
      <w:r>
        <w:rPr>
          <w:rFonts w:hint="eastAsia"/>
        </w:rPr>
        <w:t>中井隆司，前揭註一八文，三七頁。</w:t>
      </w:r>
    </w:p>
  </w:footnote>
  <w:footnote w:id="20">
    <w:p w:rsidR="00000000" w:rsidRDefault="002D1830">
      <w:pPr>
        <w:pStyle w:val="a5"/>
        <w:ind w:firstLine="400"/>
        <w:jc w:val="both"/>
      </w:pPr>
      <w:r>
        <w:rPr>
          <w:rStyle w:val="a6"/>
        </w:rPr>
        <w:footnoteRef/>
      </w:r>
      <w:r>
        <w:t xml:space="preserve"> </w:t>
      </w:r>
      <w:r>
        <w:rPr>
          <w:rFonts w:hint="eastAsia"/>
        </w:rPr>
        <w:t>中井隆司，前揭註一七文一二頁。但山本和彥，前揭註一七文二三頁認為，除律師居中為相對交涉外，關於斡旋、調解型之</w:t>
      </w:r>
      <w:r>
        <w:t>ADR</w:t>
      </w:r>
      <w:r>
        <w:rPr>
          <w:rFonts w:hint="eastAsia"/>
        </w:rPr>
        <w:t>，如滿足必要性之要</w:t>
      </w:r>
      <w:r>
        <w:rPr>
          <w:rFonts w:hint="eastAsia"/>
        </w:rPr>
        <w:t>件，亦可成為扶助之對象。</w:t>
      </w:r>
    </w:p>
  </w:footnote>
  <w:footnote w:id="21">
    <w:p w:rsidR="00000000" w:rsidRDefault="002D1830">
      <w:pPr>
        <w:pStyle w:val="a5"/>
        <w:ind w:firstLine="400"/>
        <w:jc w:val="both"/>
        <w:rPr>
          <w:rFonts w:hint="eastAsia"/>
        </w:rPr>
      </w:pPr>
      <w:r>
        <w:rPr>
          <w:rStyle w:val="a6"/>
        </w:rPr>
        <w:footnoteRef/>
      </w:r>
      <w:r>
        <w:t xml:space="preserve"> </w:t>
      </w:r>
      <w:r>
        <w:rPr>
          <w:rFonts w:hint="eastAsia"/>
        </w:rPr>
        <w:t>山本和彥，前揭註一七文，二八頁。</w:t>
      </w:r>
    </w:p>
  </w:footnote>
  <w:footnote w:id="22">
    <w:p w:rsidR="00000000" w:rsidRDefault="002D1830">
      <w:pPr>
        <w:pStyle w:val="a5"/>
        <w:ind w:firstLine="400"/>
        <w:jc w:val="both"/>
        <w:rPr>
          <w:rFonts w:hint="eastAsia"/>
        </w:rPr>
      </w:pPr>
      <w:r>
        <w:rPr>
          <w:rStyle w:val="a6"/>
        </w:rPr>
        <w:footnoteRef/>
      </w:r>
      <w:r>
        <w:t xml:space="preserve"> </w:t>
      </w:r>
      <w:r>
        <w:rPr>
          <w:rFonts w:hint="eastAsia"/>
        </w:rPr>
        <w:t>中井隆司，前揭註一七文，一一頁。</w:t>
      </w:r>
    </w:p>
  </w:footnote>
  <w:footnote w:id="23">
    <w:p w:rsidR="00000000" w:rsidRDefault="002D1830">
      <w:pPr>
        <w:pStyle w:val="a5"/>
        <w:ind w:firstLine="400"/>
        <w:jc w:val="both"/>
        <w:rPr>
          <w:rFonts w:hint="eastAsia"/>
        </w:rPr>
      </w:pPr>
      <w:r>
        <w:rPr>
          <w:rStyle w:val="a6"/>
        </w:rPr>
        <w:footnoteRef/>
      </w:r>
      <w:r>
        <w:t xml:space="preserve"> </w:t>
      </w:r>
      <w:r>
        <w:rPr>
          <w:rFonts w:hint="eastAsia"/>
        </w:rPr>
        <w:t>關於裁判援助、裁判前援助之利用者負擔究以償還制抑或給付制為是，在法律扶助制度研究會上兩種見解對立，見法律扶助制度研究會，前揭註十六文，六九頁。律師多贊成採取給付制，見小林元治，</w:t>
      </w:r>
      <w:r>
        <w:rPr>
          <w:rFonts w:ascii="新細明體" w:hint="eastAsia"/>
        </w:rPr>
        <w:t>「法律扶助立法」自由正義五○卷六期，一九九九年，四五頁以下。</w:t>
      </w:r>
    </w:p>
  </w:footnote>
  <w:footnote w:id="24">
    <w:p w:rsidR="00000000" w:rsidRDefault="002D1830">
      <w:pPr>
        <w:pStyle w:val="a5"/>
        <w:ind w:firstLine="400"/>
        <w:jc w:val="both"/>
        <w:rPr>
          <w:rFonts w:hint="eastAsia"/>
        </w:rPr>
      </w:pPr>
      <w:r>
        <w:rPr>
          <w:rStyle w:val="a6"/>
        </w:rPr>
        <w:footnoteRef/>
      </w:r>
      <w:r>
        <w:t xml:space="preserve"> </w:t>
      </w:r>
      <w:r>
        <w:rPr>
          <w:rFonts w:hint="eastAsia"/>
        </w:rPr>
        <w:t>中井隆司，前揭註一七文，一二頁。</w:t>
      </w:r>
    </w:p>
  </w:footnote>
  <w:footnote w:id="25">
    <w:p w:rsidR="00000000" w:rsidRDefault="002D1830">
      <w:pPr>
        <w:pStyle w:val="a5"/>
        <w:ind w:firstLine="400"/>
        <w:jc w:val="both"/>
      </w:pPr>
      <w:r>
        <w:rPr>
          <w:rStyle w:val="a6"/>
        </w:rPr>
        <w:footnoteRef/>
      </w:r>
      <w:r>
        <w:t xml:space="preserve"> </w:t>
      </w:r>
      <w:r>
        <w:rPr>
          <w:rFonts w:hint="eastAsia"/>
        </w:rPr>
        <w:t>司法制度改革審議會，</w:t>
      </w:r>
      <w:r>
        <w:rPr>
          <w:rFonts w:ascii="新細明體" w:hint="eastAsia"/>
        </w:rPr>
        <w:t>「司法制度改革審議會意見書」自由正義五二卷八號，二○○一年，二二一頁、二二七頁。</w:t>
      </w:r>
    </w:p>
  </w:footnote>
  <w:footnote w:id="26">
    <w:p w:rsidR="00000000" w:rsidRDefault="002D1830">
      <w:pPr>
        <w:pStyle w:val="a5"/>
        <w:ind w:firstLine="400"/>
        <w:rPr>
          <w:rFonts w:hint="eastAsia"/>
        </w:rPr>
      </w:pPr>
      <w:r>
        <w:rPr>
          <w:rStyle w:val="a6"/>
        </w:rPr>
        <w:footnoteRef/>
      </w:r>
      <w:r>
        <w:t xml:space="preserve"> </w:t>
      </w:r>
      <w:r>
        <w:rPr>
          <w:rFonts w:hint="eastAsia"/>
        </w:rPr>
        <w:t>以下論述</w:t>
      </w:r>
      <w:r>
        <w:rPr>
          <w:rFonts w:hint="eastAsia"/>
        </w:rPr>
        <w:t>主要參見</w:t>
      </w:r>
      <w:r>
        <w:rPr>
          <w:rFonts w:hint="eastAsia"/>
        </w:rPr>
        <w:t>P.S.Atiyah</w:t>
      </w:r>
      <w:r>
        <w:rPr>
          <w:rFonts w:hint="eastAsia"/>
        </w:rPr>
        <w:t>，</w:t>
      </w:r>
      <w:r>
        <w:rPr>
          <w:rFonts w:hint="eastAsia"/>
        </w:rPr>
        <w:t>LAW AND MODERN SOCIETY</w:t>
      </w:r>
      <w:r>
        <w:rPr>
          <w:rFonts w:hint="eastAsia"/>
        </w:rPr>
        <w:t>，</w:t>
      </w:r>
      <w:r>
        <w:rPr>
          <w:rFonts w:hint="eastAsia"/>
        </w:rPr>
        <w:t>Oxford University Press</w:t>
      </w:r>
      <w:r>
        <w:rPr>
          <w:rFonts w:hint="eastAsia"/>
        </w:rPr>
        <w:t>。中譯本由范銳翻譯。</w:t>
      </w:r>
    </w:p>
  </w:footnote>
  <w:footnote w:id="27">
    <w:p w:rsidR="00000000" w:rsidRDefault="002D1830">
      <w:pPr>
        <w:pStyle w:val="a5"/>
        <w:ind w:firstLine="400"/>
      </w:pPr>
      <w:r>
        <w:rPr>
          <w:rStyle w:val="a6"/>
        </w:rPr>
        <w:footnoteRef/>
      </w:r>
      <w:r>
        <w:t xml:space="preserve"> </w:t>
      </w:r>
      <w:r>
        <w:rPr>
          <w:rFonts w:hint="eastAsia"/>
        </w:rPr>
        <w:t>主要參閱</w:t>
      </w:r>
      <w:r>
        <w:rPr>
          <w:rFonts w:hint="eastAsia"/>
        </w:rPr>
        <w:t>Smith and Bailey on the Modern English Legal System, sweet&amp;maxwell , 1996 , London, p.p.289-305.</w:t>
      </w:r>
    </w:p>
  </w:footnote>
  <w:footnote w:id="28">
    <w:p w:rsidR="00000000" w:rsidRDefault="002D1830">
      <w:pPr>
        <w:pStyle w:val="a5"/>
        <w:ind w:firstLine="400"/>
        <w:rPr>
          <w:rFonts w:hint="eastAsia"/>
        </w:rPr>
      </w:pPr>
      <w:r>
        <w:rPr>
          <w:rStyle w:val="a6"/>
        </w:rPr>
        <w:footnoteRef/>
      </w:r>
      <w:r>
        <w:t xml:space="preserve"> </w:t>
      </w:r>
      <w:r>
        <w:rPr>
          <w:rFonts w:hint="eastAsia"/>
        </w:rPr>
        <w:t>根據英國學者歸納主要有：涉及專門技術之現代型法案行政較具專業，傳統立法或修法過程遲緩而行政命令相對具彈性，針對若干試驗性事務使用命令較適宜，命令可應付突發狀況</w:t>
      </w:r>
      <w:r>
        <w:rPr>
          <w:rFonts w:hint="eastAsia"/>
        </w:rPr>
        <w:t>等。</w:t>
      </w:r>
      <w:r>
        <w:rPr>
          <w:rFonts w:hint="eastAsia"/>
        </w:rPr>
        <w:t xml:space="preserve">See, Smith and Bailey, p.290. </w:t>
      </w:r>
    </w:p>
  </w:footnote>
  <w:footnote w:id="29">
    <w:p w:rsidR="00000000" w:rsidRDefault="002D1830">
      <w:pPr>
        <w:pStyle w:val="a5"/>
        <w:ind w:firstLine="400"/>
      </w:pPr>
      <w:r>
        <w:rPr>
          <w:rStyle w:val="a6"/>
        </w:rPr>
        <w:footnoteRef/>
      </w:r>
      <w:r>
        <w:t xml:space="preserve"> </w:t>
      </w:r>
      <w:r>
        <w:rPr>
          <w:rFonts w:hint="eastAsia"/>
        </w:rPr>
        <w:t>Cmd.4060. p.5,51.</w:t>
      </w:r>
      <w:r>
        <w:t xml:space="preserve"> </w:t>
      </w:r>
      <w:r>
        <w:rPr>
          <w:rFonts w:hint="eastAsia"/>
        </w:rPr>
        <w:t>另外該委員會成員之一的</w:t>
      </w:r>
      <w:r>
        <w:rPr>
          <w:rFonts w:hint="eastAsia"/>
        </w:rPr>
        <w:t>Ellen Wilkinson M.P.</w:t>
      </w:r>
      <w:r>
        <w:rPr>
          <w:rFonts w:hint="eastAsia"/>
        </w:rPr>
        <w:t>曾說過下面的一段話：「</w:t>
      </w:r>
      <w:r>
        <w:t>the impression that the delegating of legislation is a necessary evil, inevitable in the present state of pressure on parliamentary time, but nevertheless a tend</w:t>
      </w:r>
      <w:r>
        <w:t>ency to be watched with misgiving and carefully safeguarded.</w:t>
      </w:r>
      <w:r>
        <w:rPr>
          <w:rFonts w:hint="eastAsia"/>
        </w:rPr>
        <w:t>」</w:t>
      </w:r>
      <w:r>
        <w:t>ibid. p137.</w:t>
      </w:r>
    </w:p>
  </w:footnote>
  <w:footnote w:id="30">
    <w:p w:rsidR="00000000" w:rsidRDefault="002D1830">
      <w:pPr>
        <w:pStyle w:val="a5"/>
        <w:ind w:firstLine="400"/>
        <w:rPr>
          <w:rFonts w:hint="eastAsia"/>
        </w:rPr>
      </w:pPr>
      <w:r>
        <w:rPr>
          <w:rStyle w:val="a6"/>
        </w:rPr>
        <w:footnoteRef/>
      </w:r>
      <w:r>
        <w:t xml:space="preserve"> </w:t>
      </w:r>
      <w:r>
        <w:rPr>
          <w:rFonts w:hint="eastAsia"/>
        </w:rPr>
        <w:t>在</w:t>
      </w:r>
      <w:r>
        <w:rPr>
          <w:rFonts w:hint="eastAsia"/>
        </w:rPr>
        <w:t>1976-77</w:t>
      </w:r>
      <w:r>
        <w:rPr>
          <w:rFonts w:hint="eastAsia"/>
        </w:rPr>
        <w:t>年間的統計是約有</w:t>
      </w:r>
      <w:r>
        <w:rPr>
          <w:rFonts w:hint="eastAsia"/>
        </w:rPr>
        <w:t>127</w:t>
      </w:r>
      <w:r>
        <w:rPr>
          <w:rFonts w:hint="eastAsia"/>
        </w:rPr>
        <w:t>件命令適用肯定決議方式，</w:t>
      </w:r>
      <w:r>
        <w:rPr>
          <w:rFonts w:hint="eastAsia"/>
        </w:rPr>
        <w:t>669</w:t>
      </w:r>
      <w:r>
        <w:rPr>
          <w:rFonts w:hint="eastAsia"/>
        </w:rPr>
        <w:t>件命令適用否定決議方式，</w:t>
      </w:r>
      <w:r>
        <w:rPr>
          <w:rFonts w:hint="eastAsia"/>
        </w:rPr>
        <w:t>37</w:t>
      </w:r>
      <w:r>
        <w:rPr>
          <w:rFonts w:hint="eastAsia"/>
        </w:rPr>
        <w:t>件命令僅要求告知國會，</w:t>
      </w:r>
      <w:r>
        <w:rPr>
          <w:rFonts w:hint="eastAsia"/>
        </w:rPr>
        <w:t>197</w:t>
      </w:r>
      <w:r>
        <w:rPr>
          <w:rFonts w:hint="eastAsia"/>
        </w:rPr>
        <w:t>件命令則未如此要求。</w:t>
      </w:r>
      <w:r>
        <w:rPr>
          <w:rFonts w:hint="eastAsia"/>
        </w:rPr>
        <w:t>See,</w:t>
      </w:r>
      <w:r>
        <w:rPr>
          <w:rFonts w:hint="eastAsia"/>
          <w:i/>
        </w:rPr>
        <w:t xml:space="preserve"> First Report from the Select </w:t>
      </w:r>
      <w:r>
        <w:rPr>
          <w:i/>
        </w:rPr>
        <w:t>Committee</w:t>
      </w:r>
      <w:r>
        <w:rPr>
          <w:rFonts w:hint="eastAsia"/>
          <w:i/>
        </w:rPr>
        <w:t xml:space="preserve"> on Procedure</w:t>
      </w:r>
      <w:r>
        <w:rPr>
          <w:rFonts w:hint="eastAsia"/>
        </w:rPr>
        <w:t>1977-78 H.C.588 Vol.1, p.xxxi.</w:t>
      </w:r>
    </w:p>
  </w:footnote>
  <w:footnote w:id="31">
    <w:p w:rsidR="00000000" w:rsidRDefault="002D1830">
      <w:pPr>
        <w:pStyle w:val="a5"/>
        <w:ind w:firstLine="400"/>
        <w:rPr>
          <w:rFonts w:hint="eastAsia"/>
        </w:rPr>
      </w:pPr>
      <w:r>
        <w:rPr>
          <w:rStyle w:val="a6"/>
        </w:rPr>
        <w:footnoteRef/>
      </w:r>
      <w:r>
        <w:t xml:space="preserve"> </w:t>
      </w:r>
      <w:r>
        <w:rPr>
          <w:rFonts w:hint="eastAsia"/>
        </w:rPr>
        <w:t xml:space="preserve">See </w:t>
      </w:r>
      <w:r>
        <w:rPr>
          <w:i/>
        </w:rPr>
        <w:t>I</w:t>
      </w:r>
      <w:r>
        <w:rPr>
          <w:rFonts w:hint="eastAsia"/>
          <w:i/>
        </w:rPr>
        <w:t>bid</w:t>
      </w:r>
      <w:r>
        <w:rPr>
          <w:rFonts w:hint="eastAsia"/>
        </w:rPr>
        <w:t>. pp.xxix-xx</w:t>
      </w:r>
      <w:r>
        <w:rPr>
          <w:rFonts w:hint="eastAsia"/>
        </w:rPr>
        <w:t>xix.</w:t>
      </w:r>
    </w:p>
  </w:footnote>
  <w:footnote w:id="32">
    <w:p w:rsidR="00000000" w:rsidRDefault="002D1830">
      <w:pPr>
        <w:pStyle w:val="a5"/>
        <w:ind w:firstLine="400"/>
        <w:rPr>
          <w:rFonts w:hint="eastAsia"/>
        </w:rPr>
      </w:pPr>
      <w:r>
        <w:rPr>
          <w:rStyle w:val="a6"/>
        </w:rPr>
        <w:footnoteRef/>
      </w:r>
      <w:r>
        <w:t xml:space="preserve"> </w:t>
      </w:r>
      <w:r>
        <w:rPr>
          <w:rFonts w:hint="eastAsia"/>
        </w:rPr>
        <w:t xml:space="preserve">G.Ganz, </w:t>
      </w:r>
      <w:r>
        <w:rPr>
          <w:rFonts w:hint="eastAsia"/>
          <w:i/>
        </w:rPr>
        <w:t xml:space="preserve">Quasi-legislation: Recent Developments </w:t>
      </w:r>
      <w:r>
        <w:rPr>
          <w:i/>
        </w:rPr>
        <w:t>I</w:t>
      </w:r>
      <w:r>
        <w:rPr>
          <w:rFonts w:hint="eastAsia"/>
          <w:i/>
        </w:rPr>
        <w:t>n Secondary Legislation</w:t>
      </w:r>
      <w:r>
        <w:rPr>
          <w:rFonts w:hint="eastAsia"/>
        </w:rPr>
        <w:t>（</w:t>
      </w:r>
      <w:r>
        <w:rPr>
          <w:rFonts w:hint="eastAsia"/>
        </w:rPr>
        <w:t>1987</w:t>
      </w:r>
      <w:r>
        <w:rPr>
          <w:rFonts w:hint="eastAsia"/>
        </w:rPr>
        <w:t>）</w:t>
      </w:r>
      <w:r>
        <w:rPr>
          <w:rFonts w:hint="eastAsia"/>
        </w:rPr>
        <w:t>,pp.1-2.</w:t>
      </w:r>
    </w:p>
  </w:footnote>
  <w:footnote w:id="33">
    <w:p w:rsidR="00000000" w:rsidRDefault="002D1830">
      <w:pPr>
        <w:pStyle w:val="a5"/>
        <w:ind w:firstLine="400"/>
        <w:rPr>
          <w:rFonts w:hint="eastAsia"/>
        </w:rPr>
      </w:pPr>
      <w:r>
        <w:rPr>
          <w:rStyle w:val="a6"/>
        </w:rPr>
        <w:footnoteRef/>
      </w:r>
      <w:r>
        <w:t xml:space="preserve"> </w:t>
      </w:r>
      <w:r>
        <w:rPr>
          <w:rFonts w:hint="eastAsia"/>
        </w:rPr>
        <w:t>該法全文</w:t>
      </w:r>
      <w:r>
        <w:rPr>
          <w:rFonts w:hint="eastAsia"/>
        </w:rPr>
        <w:t>,</w:t>
      </w:r>
      <w:r>
        <w:rPr>
          <w:rFonts w:hint="eastAsia"/>
          <w:b/>
          <w:i/>
        </w:rPr>
        <w:t xml:space="preserve">See: </w:t>
      </w:r>
      <w:hyperlink r:id="rId1" w:history="1">
        <w:r>
          <w:rPr>
            <w:rStyle w:val="a7"/>
            <w:rFonts w:hint="eastAsia"/>
          </w:rPr>
          <w:t>http://www.cabinet-office.g</w:t>
        </w:r>
        <w:bookmarkStart w:id="1" w:name="_Hlt16698360"/>
        <w:r>
          <w:rPr>
            <w:rStyle w:val="a7"/>
            <w:rFonts w:hint="eastAsia"/>
          </w:rPr>
          <w:t>o</w:t>
        </w:r>
        <w:bookmarkEnd w:id="1"/>
        <w:r>
          <w:rPr>
            <w:rStyle w:val="a7"/>
            <w:rFonts w:hint="eastAsia"/>
          </w:rPr>
          <w:t>v.uk/civilservice/managementcode/csmc.p</w:t>
        </w:r>
        <w:r>
          <w:rPr>
            <w:rStyle w:val="a7"/>
            <w:rFonts w:hint="eastAsia"/>
          </w:rPr>
          <w:t>df</w:t>
        </w:r>
      </w:hyperlink>
      <w:r>
        <w:rPr>
          <w:rFonts w:hint="eastAsia"/>
        </w:rPr>
        <w:t xml:space="preserve"> </w:t>
      </w:r>
    </w:p>
  </w:footnote>
  <w:footnote w:id="34">
    <w:p w:rsidR="00000000" w:rsidRDefault="002D1830">
      <w:pPr>
        <w:pStyle w:val="a5"/>
        <w:ind w:firstLine="400"/>
        <w:rPr>
          <w:rFonts w:hint="eastAsia"/>
        </w:rPr>
      </w:pPr>
      <w:r>
        <w:rPr>
          <w:rStyle w:val="a6"/>
        </w:rPr>
        <w:footnoteRef/>
      </w:r>
      <w:r>
        <w:t xml:space="preserve"> </w:t>
      </w:r>
      <w:r>
        <w:rPr>
          <w:rFonts w:hint="eastAsia"/>
        </w:rPr>
        <w:t>該辦法之全部內容，限於篇幅與主題無法詳細介紹，但由其章名或可略窺一斑，該法十二章章名分別是</w:t>
      </w:r>
      <w:r>
        <w:rPr>
          <w:rFonts w:hint="eastAsia"/>
        </w:rPr>
        <w:t>1.</w:t>
      </w:r>
      <w:r>
        <w:rPr>
          <w:rFonts w:hint="eastAsia"/>
        </w:rPr>
        <w:t>任用</w:t>
      </w:r>
      <w:r>
        <w:rPr>
          <w:rFonts w:hint="eastAsia"/>
        </w:rPr>
        <w:t>(TAKING UP A</w:t>
      </w:r>
      <w:r>
        <w:t>PPOINTMENT)</w:t>
      </w:r>
      <w:r>
        <w:rPr>
          <w:rFonts w:hint="eastAsia"/>
        </w:rPr>
        <w:t>；</w:t>
      </w:r>
      <w:r>
        <w:rPr>
          <w:rFonts w:hint="eastAsia"/>
        </w:rPr>
        <w:t>2.</w:t>
      </w:r>
      <w:r>
        <w:rPr>
          <w:rFonts w:hint="eastAsia"/>
        </w:rPr>
        <w:t>就任公務員之平等機會（</w:t>
      </w:r>
      <w:r>
        <w:t>EQUAL OPPORTUNITIES IN THE CIVIL SERVICE</w:t>
      </w:r>
      <w:r>
        <w:rPr>
          <w:rFonts w:hint="eastAsia"/>
        </w:rPr>
        <w:t>）；</w:t>
      </w:r>
      <w:r>
        <w:rPr>
          <w:rFonts w:hint="eastAsia"/>
        </w:rPr>
        <w:t>3.</w:t>
      </w:r>
      <w:r>
        <w:rPr>
          <w:rFonts w:hint="eastAsia"/>
        </w:rPr>
        <w:t>任職時健康與安全之保障（</w:t>
      </w:r>
      <w:r>
        <w:t>HEALTH AND SAFETY AT WORK</w:t>
      </w:r>
      <w:r>
        <w:rPr>
          <w:rFonts w:hint="eastAsia"/>
        </w:rPr>
        <w:t>）；</w:t>
      </w:r>
      <w:r>
        <w:rPr>
          <w:rFonts w:hint="eastAsia"/>
        </w:rPr>
        <w:t>4.</w:t>
      </w:r>
      <w:r>
        <w:rPr>
          <w:rFonts w:hint="eastAsia"/>
        </w:rPr>
        <w:t>監督與紀律（</w:t>
      </w:r>
      <w:r>
        <w:t>CONDUCT AND DISIPLINE</w:t>
      </w:r>
      <w:r>
        <w:rPr>
          <w:rFonts w:hint="eastAsia"/>
        </w:rPr>
        <w:t>）；</w:t>
      </w:r>
      <w:r>
        <w:rPr>
          <w:rFonts w:hint="eastAsia"/>
        </w:rPr>
        <w:t>5.</w:t>
      </w:r>
      <w:r>
        <w:rPr>
          <w:rFonts w:hint="eastAsia"/>
        </w:rPr>
        <w:t>高級公務員（</w:t>
      </w:r>
      <w:r>
        <w:t>THE SENIOR CIVIL SERVICE</w:t>
      </w:r>
      <w:r>
        <w:rPr>
          <w:rFonts w:hint="eastAsia"/>
        </w:rPr>
        <w:t>）；</w:t>
      </w:r>
      <w:r>
        <w:rPr>
          <w:rFonts w:hint="eastAsia"/>
        </w:rPr>
        <w:t>6.</w:t>
      </w:r>
      <w:r>
        <w:rPr>
          <w:rFonts w:hint="eastAsia"/>
        </w:rPr>
        <w:t>管理與發展（</w:t>
      </w:r>
      <w:r>
        <w:t>MANAGEM</w:t>
      </w:r>
      <w:r>
        <w:t>ENT AND DEVELOPMENT</w:t>
      </w:r>
      <w:r>
        <w:rPr>
          <w:rFonts w:hint="eastAsia"/>
        </w:rPr>
        <w:t>）；</w:t>
      </w:r>
      <w:r>
        <w:rPr>
          <w:rFonts w:hint="eastAsia"/>
        </w:rPr>
        <w:t>7.</w:t>
      </w:r>
      <w:r>
        <w:rPr>
          <w:rFonts w:hint="eastAsia"/>
        </w:rPr>
        <w:t>俸給與加給（</w:t>
      </w:r>
      <w:r>
        <w:t>PAY AND ALLOWANCES</w:t>
      </w:r>
      <w:r>
        <w:rPr>
          <w:rFonts w:hint="eastAsia"/>
        </w:rPr>
        <w:t>）；</w:t>
      </w:r>
      <w:r>
        <w:rPr>
          <w:rFonts w:hint="eastAsia"/>
        </w:rPr>
        <w:t>8.</w:t>
      </w:r>
      <w:r>
        <w:rPr>
          <w:rFonts w:hint="eastAsia"/>
        </w:rPr>
        <w:t>費用（</w:t>
      </w:r>
      <w:r>
        <w:t>EXPENSES</w:t>
      </w:r>
      <w:r>
        <w:rPr>
          <w:rFonts w:hint="eastAsia"/>
        </w:rPr>
        <w:t>）；</w:t>
      </w:r>
      <w:r>
        <w:rPr>
          <w:rFonts w:hint="eastAsia"/>
        </w:rPr>
        <w:t>9</w:t>
      </w:r>
      <w:r>
        <w:rPr>
          <w:rFonts w:hint="eastAsia"/>
        </w:rPr>
        <w:t>工作時數與休假（</w:t>
      </w:r>
      <w:r>
        <w:t>HOURS,HOLIDAYS AND ATTENDANCE</w:t>
      </w:r>
      <w:r>
        <w:rPr>
          <w:rFonts w:hint="eastAsia"/>
        </w:rPr>
        <w:t>）；</w:t>
      </w:r>
      <w:r>
        <w:rPr>
          <w:rFonts w:hint="eastAsia"/>
        </w:rPr>
        <w:t>10.</w:t>
      </w:r>
      <w:r>
        <w:rPr>
          <w:rFonts w:hint="eastAsia"/>
        </w:rPr>
        <w:t>職務陞遷與調動（</w:t>
      </w:r>
      <w:r>
        <w:t>STAFF MOVEMENT AND REDEPLOYMENT</w:t>
      </w:r>
      <w:r>
        <w:rPr>
          <w:rFonts w:hint="eastAsia"/>
        </w:rPr>
        <w:t>）；</w:t>
      </w:r>
      <w:r>
        <w:rPr>
          <w:rFonts w:hint="eastAsia"/>
        </w:rPr>
        <w:t>11.</w:t>
      </w:r>
      <w:r>
        <w:rPr>
          <w:rFonts w:hint="eastAsia"/>
        </w:rPr>
        <w:t>離職（</w:t>
      </w:r>
      <w:r>
        <w:t>LEAVING THE CIVIL SERVICE</w:t>
      </w:r>
      <w:r>
        <w:rPr>
          <w:rFonts w:hint="eastAsia"/>
        </w:rPr>
        <w:t>）；</w:t>
      </w:r>
      <w:r>
        <w:rPr>
          <w:rFonts w:hint="eastAsia"/>
        </w:rPr>
        <w:t>12.</w:t>
      </w:r>
      <w:r>
        <w:rPr>
          <w:rFonts w:hint="eastAsia"/>
        </w:rPr>
        <w:t>公費負擔之申訴與法定代理（</w:t>
      </w:r>
      <w:r>
        <w:t>APPEALS AND LEGAL REPRESENTATION AT PUBLIC EXPENSE</w:t>
      </w:r>
      <w:r>
        <w:rPr>
          <w:rFonts w:hint="eastAsia"/>
        </w:rPr>
        <w:t>）。</w:t>
      </w:r>
    </w:p>
  </w:footnote>
  <w:footnote w:id="35">
    <w:p w:rsidR="00000000" w:rsidRDefault="002D1830">
      <w:pPr>
        <w:pStyle w:val="a5"/>
        <w:ind w:firstLine="400"/>
        <w:rPr>
          <w:rFonts w:hint="eastAsia"/>
        </w:rPr>
      </w:pPr>
      <w:r>
        <w:rPr>
          <w:rStyle w:val="a6"/>
        </w:rPr>
        <w:footnoteRef/>
      </w:r>
      <w:r>
        <w:t xml:space="preserve"> </w:t>
      </w:r>
      <w:r>
        <w:rPr>
          <w:rFonts w:hint="eastAsia"/>
        </w:rPr>
        <w:t>英國公務</w:t>
      </w:r>
      <w:r>
        <w:rPr>
          <w:rFonts w:hint="eastAsia"/>
        </w:rPr>
        <w:t>員法制之介紹，參見周世珍，</w:t>
      </w:r>
      <w:r>
        <w:rPr>
          <w:rFonts w:ascii="新細明體" w:hint="eastAsia"/>
        </w:rPr>
        <w:t>《</w:t>
      </w:r>
      <w:r>
        <w:rPr>
          <w:rFonts w:hint="eastAsia"/>
        </w:rPr>
        <w:t>公務人員保障制度之理論與實際</w:t>
      </w:r>
      <w:r>
        <w:rPr>
          <w:rFonts w:ascii="新細明體" w:hint="eastAsia"/>
        </w:rPr>
        <w:t>》</w:t>
      </w:r>
      <w:r>
        <w:rPr>
          <w:rFonts w:hint="eastAsia"/>
        </w:rPr>
        <w:t>，國立台北大學法律研究所博士論文，民國</w:t>
      </w:r>
      <w:r>
        <w:rPr>
          <w:rFonts w:hint="eastAsia"/>
        </w:rPr>
        <w:t>90</w:t>
      </w:r>
      <w:r>
        <w:rPr>
          <w:rFonts w:hint="eastAsia"/>
        </w:rPr>
        <w:t>年，頁</w:t>
      </w:r>
      <w:r>
        <w:rPr>
          <w:rFonts w:hint="eastAsia"/>
        </w:rPr>
        <w:t>260</w:t>
      </w:r>
      <w:r>
        <w:rPr>
          <w:rFonts w:hint="eastAsia"/>
        </w:rPr>
        <w:t>以下。</w:t>
      </w:r>
    </w:p>
  </w:footnote>
  <w:footnote w:id="36">
    <w:p w:rsidR="00000000" w:rsidRDefault="002D1830">
      <w:pPr>
        <w:pStyle w:val="a5"/>
        <w:ind w:firstLine="400"/>
        <w:rPr>
          <w:rFonts w:hint="eastAsia"/>
        </w:rPr>
      </w:pPr>
      <w:r>
        <w:rPr>
          <w:rStyle w:val="a6"/>
        </w:rPr>
        <w:footnoteRef/>
      </w:r>
      <w:r>
        <w:t xml:space="preserve"> </w:t>
      </w:r>
      <w:r>
        <w:rPr>
          <w:rFonts w:hint="eastAsia"/>
        </w:rPr>
        <w:t>由於歷史的因素，英國律師主要分為兩大類，即出庭律師</w:t>
      </w:r>
      <w:r>
        <w:rPr>
          <w:rFonts w:hint="eastAsia"/>
        </w:rPr>
        <w:t>(Barrister)</w:t>
      </w:r>
      <w:r>
        <w:rPr>
          <w:rFonts w:hint="eastAsia"/>
        </w:rPr>
        <w:t>及初級律師</w:t>
      </w:r>
      <w:r>
        <w:rPr>
          <w:rFonts w:hint="eastAsia"/>
        </w:rPr>
        <w:t>(Solicitor)</w:t>
      </w:r>
      <w:r>
        <w:rPr>
          <w:rFonts w:hint="eastAsia"/>
        </w:rPr>
        <w:t>。出庭律師顧名思義，主要負責出庭辯論的工作；然須特別提出澄清的是，初級律師並不是像一般人想像般，只負責替出庭律師準備辯論前之書面資料（有點類似國內之法務助理工作）。事實上，在英國治安法庭上多數的辯護律師都是初級律師，且初級律師並享有在郡法院和某些巡迴刑事法院案件中普遍採用的發表意見的</w:t>
      </w:r>
      <w:r>
        <w:rPr>
          <w:rFonts w:hint="eastAsia"/>
        </w:rPr>
        <w:t>權利。另外，初級律師收入大宗主要為房產的買賣（類似國內代書工作）；又在大型商務事務所中，初級律師多負責非訟業務。總體來說，出庭律師人數較少，地位較高，可是一般來說比較年輕沒經驗（</w:t>
      </w:r>
      <w:r>
        <w:rPr>
          <w:rFonts w:hint="eastAsia"/>
        </w:rPr>
        <w:t>40</w:t>
      </w:r>
      <w:r>
        <w:rPr>
          <w:rFonts w:hint="eastAsia"/>
        </w:rPr>
        <w:t>歲以下居多）。但初級律師雖人數較多，但收入卻常較高，一般來說較年長且經驗豐富。限於篇幅僅能介紹至此，詳細說明，參見英國大法學家阿蒂亞的下列著述﹕</w:t>
      </w:r>
      <w:r>
        <w:rPr>
          <w:rFonts w:hint="eastAsia"/>
        </w:rPr>
        <w:t>P.S.Atiyah</w:t>
      </w:r>
      <w:r>
        <w:rPr>
          <w:rFonts w:hint="eastAsia"/>
        </w:rPr>
        <w:t>著，范銳譯，</w:t>
      </w:r>
      <w:r>
        <w:rPr>
          <w:rFonts w:ascii="新細明體" w:hint="eastAsia"/>
        </w:rPr>
        <w:t>《</w:t>
      </w:r>
      <w:r>
        <w:rPr>
          <w:rFonts w:hint="eastAsia"/>
        </w:rPr>
        <w:t>法律與現代社會</w:t>
      </w:r>
      <w:r>
        <w:rPr>
          <w:rFonts w:hint="eastAsia"/>
        </w:rPr>
        <w:t>(Law and Modern Society)</w:t>
      </w:r>
      <w:r>
        <w:rPr>
          <w:rFonts w:ascii="新細明體" w:hint="eastAsia"/>
        </w:rPr>
        <w:t>》</w:t>
      </w:r>
      <w:r>
        <w:rPr>
          <w:rFonts w:hint="eastAsia"/>
        </w:rPr>
        <w:t>，牛津大學出版社，</w:t>
      </w:r>
      <w:r>
        <w:rPr>
          <w:rFonts w:hint="eastAsia"/>
        </w:rPr>
        <w:t>1998</w:t>
      </w:r>
      <w:r>
        <w:rPr>
          <w:rFonts w:hint="eastAsia"/>
        </w:rPr>
        <w:t>年出版，頁</w:t>
      </w:r>
      <w:r>
        <w:rPr>
          <w:rFonts w:hint="eastAsia"/>
        </w:rPr>
        <w:t>45-52</w:t>
      </w:r>
      <w:r>
        <w:rPr>
          <w:rFonts w:hint="eastAsia"/>
        </w:rPr>
        <w:t>。</w:t>
      </w:r>
    </w:p>
  </w:footnote>
  <w:footnote w:id="37">
    <w:p w:rsidR="00000000" w:rsidRDefault="002D1830">
      <w:pPr>
        <w:pStyle w:val="a5"/>
        <w:ind w:firstLine="400"/>
        <w:rPr>
          <w:rFonts w:hint="eastAsia"/>
        </w:rPr>
      </w:pPr>
      <w:r>
        <w:rPr>
          <w:rStyle w:val="a6"/>
        </w:rPr>
        <w:footnoteRef/>
      </w:r>
      <w:r>
        <w:t xml:space="preserve"> </w:t>
      </w:r>
      <w:r>
        <w:rPr>
          <w:rFonts w:hint="eastAsia"/>
        </w:rPr>
        <w:t>按公私法二元論並建立獨立之行政救濟</w:t>
      </w:r>
      <w:r>
        <w:rPr>
          <w:rFonts w:hint="eastAsia"/>
        </w:rPr>
        <w:t>體系，為大陸法系，尤其是德國法的特色，為我國所繼受。而英美法則無嚴格意義的公私法區別，亦未設立特別的行政法院，而由普通法院綜理一切案件。關於公法與私法的區分，請參見劉宗德，</w:t>
      </w:r>
      <w:r>
        <w:rPr>
          <w:rFonts w:ascii="新細明體" w:hint="eastAsia"/>
        </w:rPr>
        <w:t>〈</w:t>
      </w:r>
      <w:r>
        <w:rPr>
          <w:rFonts w:hint="eastAsia"/>
        </w:rPr>
        <w:t>公法與私法之區別</w:t>
      </w:r>
      <w:r>
        <w:rPr>
          <w:rFonts w:ascii="新細明體" w:hint="eastAsia"/>
        </w:rPr>
        <w:t>〉</w:t>
      </w:r>
      <w:r>
        <w:rPr>
          <w:rFonts w:hint="eastAsia"/>
        </w:rPr>
        <w:t>，</w:t>
      </w:r>
      <w:r>
        <w:rPr>
          <w:rFonts w:ascii="新細明體" w:hint="eastAsia"/>
        </w:rPr>
        <w:t>《</w:t>
      </w:r>
      <w:r>
        <w:rPr>
          <w:rFonts w:hint="eastAsia"/>
        </w:rPr>
        <w:t>行政法爭議問題研究（上）</w:t>
      </w:r>
      <w:r>
        <w:rPr>
          <w:rFonts w:ascii="新細明體" w:hint="eastAsia"/>
        </w:rPr>
        <w:t>》</w:t>
      </w:r>
      <w:r>
        <w:rPr>
          <w:rFonts w:hint="eastAsia"/>
        </w:rPr>
        <w:t>，五南，民國</w:t>
      </w:r>
      <w:r>
        <w:rPr>
          <w:rFonts w:hint="eastAsia"/>
        </w:rPr>
        <w:t>89</w:t>
      </w:r>
      <w:r>
        <w:rPr>
          <w:rFonts w:hint="eastAsia"/>
        </w:rPr>
        <w:t>年出版，頁</w:t>
      </w:r>
      <w:r>
        <w:rPr>
          <w:rFonts w:hint="eastAsia"/>
        </w:rPr>
        <w:t>171-195</w:t>
      </w:r>
      <w:r>
        <w:rPr>
          <w:rFonts w:hint="eastAsia"/>
        </w:rPr>
        <w:t>。</w:t>
      </w:r>
    </w:p>
  </w:footnote>
  <w:footnote w:id="38">
    <w:p w:rsidR="00000000" w:rsidRDefault="002D1830">
      <w:pPr>
        <w:tabs>
          <w:tab w:val="left" w:pos="709"/>
          <w:tab w:val="left" w:pos="993"/>
        </w:tabs>
        <w:ind w:firstLine="480"/>
        <w:rPr>
          <w:rFonts w:ascii="Helvetica" w:hAnsi="Helvetica" w:hint="eastAsia"/>
          <w:sz w:val="20"/>
        </w:rPr>
      </w:pPr>
      <w:r>
        <w:rPr>
          <w:rStyle w:val="a6"/>
        </w:rPr>
        <w:footnoteRef/>
      </w:r>
      <w:r>
        <w:t xml:space="preserve"> </w:t>
      </w:r>
      <w:r>
        <w:rPr>
          <w:rFonts w:hint="eastAsia"/>
          <w:sz w:val="20"/>
        </w:rPr>
        <w:t>英國之國體</w:t>
      </w:r>
      <w:r>
        <w:rPr>
          <w:rFonts w:hint="eastAsia"/>
          <w:sz w:val="20"/>
        </w:rPr>
        <w:t>(Form of State)</w:t>
      </w:r>
      <w:r>
        <w:rPr>
          <w:rFonts w:hint="eastAsia"/>
          <w:sz w:val="20"/>
        </w:rPr>
        <w:t>乃是君主國。因此，在英國公務員之忠誠義務之對象乃其皇室，故又稱</w:t>
      </w:r>
      <w:r>
        <w:rPr>
          <w:rFonts w:ascii="新細明體" w:hint="eastAsia"/>
          <w:sz w:val="20"/>
        </w:rPr>
        <w:t>「</w:t>
      </w:r>
      <w:r>
        <w:rPr>
          <w:rFonts w:hint="eastAsia"/>
          <w:sz w:val="20"/>
        </w:rPr>
        <w:t>皇家公務員</w:t>
      </w:r>
      <w:r>
        <w:rPr>
          <w:rFonts w:ascii="新細明體" w:hint="eastAsia"/>
          <w:sz w:val="20"/>
        </w:rPr>
        <w:t>」</w:t>
      </w:r>
      <w:r>
        <w:rPr>
          <w:rFonts w:hint="eastAsia"/>
          <w:sz w:val="20"/>
        </w:rPr>
        <w:t>。</w:t>
      </w:r>
      <w:r>
        <w:rPr>
          <w:rFonts w:hint="eastAsia"/>
          <w:b/>
          <w:i/>
          <w:sz w:val="20"/>
        </w:rPr>
        <w:t>See</w:t>
      </w:r>
      <w:r>
        <w:rPr>
          <w:rFonts w:hint="eastAsia"/>
          <w:sz w:val="20"/>
        </w:rPr>
        <w:t>,</w:t>
      </w:r>
      <w:r>
        <w:rPr>
          <w:rFonts w:ascii="Helvetica" w:hAnsi="Helvetica"/>
          <w:b/>
          <w:sz w:val="20"/>
        </w:rPr>
        <w:t>4.1 ANNEX A: THE CIVIL SERVICE CODE</w:t>
      </w:r>
      <w:r>
        <w:rPr>
          <w:rFonts w:ascii="Helvetica" w:hAnsi="Helvetica" w:hint="eastAsia"/>
          <w:b/>
          <w:sz w:val="20"/>
        </w:rPr>
        <w:t xml:space="preserve"> :</w:t>
      </w:r>
      <w:r>
        <w:rPr>
          <w:rFonts w:ascii="新細明體" w:hAnsi="Helvetica" w:hint="eastAsia"/>
          <w:sz w:val="20"/>
        </w:rPr>
        <w:t>「</w:t>
      </w:r>
      <w:r>
        <w:rPr>
          <w:rFonts w:ascii="Helvetica" w:hAnsi="Helvetica"/>
          <w:sz w:val="20"/>
        </w:rPr>
        <w:t>……</w:t>
      </w:r>
      <w:r>
        <w:rPr>
          <w:rFonts w:ascii="Helvetica" w:hAnsi="Helvetica" w:hint="eastAsia"/>
          <w:sz w:val="20"/>
        </w:rPr>
        <w:t>2.</w:t>
      </w:r>
    </w:p>
    <w:p w:rsidR="00000000" w:rsidRDefault="002D1830">
      <w:pPr>
        <w:pStyle w:val="a5"/>
        <w:ind w:firstLine="400"/>
        <w:rPr>
          <w:rFonts w:hint="eastAsia"/>
        </w:rPr>
      </w:pPr>
      <w:r>
        <w:t xml:space="preserve">Civil servants </w:t>
      </w:r>
      <w:r>
        <w:t>are servants of the Crown.</w:t>
      </w:r>
      <w:r>
        <w:rPr>
          <w:rFonts w:ascii="新細明體" w:hint="eastAsia"/>
        </w:rPr>
        <w:t>」</w:t>
      </w:r>
    </w:p>
  </w:footnote>
  <w:footnote w:id="39">
    <w:p w:rsidR="00000000" w:rsidRDefault="002D1830">
      <w:pPr>
        <w:pStyle w:val="a5"/>
        <w:ind w:firstLine="400"/>
        <w:rPr>
          <w:rFonts w:hint="eastAsia"/>
        </w:rPr>
      </w:pPr>
      <w:r>
        <w:rPr>
          <w:rStyle w:val="a6"/>
        </w:rPr>
        <w:footnoteRef/>
      </w:r>
      <w:r>
        <w:t xml:space="preserve"> </w:t>
      </w:r>
      <w:r>
        <w:rPr>
          <w:rFonts w:hint="eastAsia"/>
        </w:rPr>
        <w:t>該規定原文如下</w:t>
      </w:r>
      <w:r>
        <w:rPr>
          <w:b/>
          <w:i/>
        </w:rPr>
        <w:t>“</w:t>
      </w:r>
      <w:r>
        <w:rPr>
          <w:rFonts w:ascii="新細明體"/>
          <w:b/>
          <w:i/>
        </w:rPr>
        <w:t>public service</w:t>
      </w:r>
      <w:r>
        <w:rPr>
          <w:rFonts w:ascii="新細明體"/>
          <w:b/>
          <w:i/>
        </w:rPr>
        <w:t>”</w:t>
      </w:r>
      <w:r>
        <w:rPr>
          <w:rFonts w:ascii="新細明體"/>
          <w:b/>
          <w:i/>
        </w:rPr>
        <w:t xml:space="preserve"> means any civil service of the State (other than the Service), and any public authority, or non-governmental body or institution discharging public functions, which the Minister may from time to time de</w:t>
      </w:r>
      <w:r>
        <w:rPr>
          <w:rFonts w:ascii="新細明體"/>
          <w:b/>
          <w:i/>
        </w:rPr>
        <w:t>termine to be a public service for the purposes of this Order;</w:t>
      </w:r>
    </w:p>
  </w:footnote>
  <w:footnote w:id="40">
    <w:p w:rsidR="00000000" w:rsidRDefault="002D1830">
      <w:pPr>
        <w:pStyle w:val="a5"/>
        <w:ind w:firstLine="400"/>
        <w:rPr>
          <w:rFonts w:hint="eastAsia"/>
        </w:rPr>
      </w:pPr>
      <w:r>
        <w:rPr>
          <w:rStyle w:val="a6"/>
        </w:rPr>
        <w:footnoteRef/>
      </w:r>
      <w:r>
        <w:t xml:space="preserve"> </w:t>
      </w:r>
      <w:r>
        <w:rPr>
          <w:rFonts w:hint="eastAsia"/>
        </w:rPr>
        <w:t>所謂刑事審訊（</w:t>
      </w:r>
      <w:r>
        <w:rPr>
          <w:rFonts w:hint="eastAsia"/>
        </w:rPr>
        <w:t>INQUEST</w:t>
      </w:r>
      <w:r>
        <w:rPr>
          <w:rFonts w:hint="eastAsia"/>
        </w:rPr>
        <w:t>），一般係指針對死亡案件在陪審團前為發現事實而進行的訊問程序。</w:t>
      </w:r>
    </w:p>
  </w:footnote>
  <w:footnote w:id="41">
    <w:p w:rsidR="00000000" w:rsidRDefault="002D1830">
      <w:pPr>
        <w:pStyle w:val="a5"/>
        <w:ind w:firstLine="400"/>
        <w:rPr>
          <w:rFonts w:hint="eastAsia"/>
        </w:rPr>
      </w:pPr>
      <w:r>
        <w:rPr>
          <w:rStyle w:val="a6"/>
        </w:rPr>
        <w:footnoteRef/>
      </w:r>
      <w:r>
        <w:t xml:space="preserve"> </w:t>
      </w:r>
      <w:r>
        <w:rPr>
          <w:rFonts w:hint="eastAsia"/>
        </w:rPr>
        <w:t>該死亡事故究竟是人民因公務員之執行職務行為而死亡，或是公務員因執行職務行為而死亡，條文規定並不清楚。推測應是後者，蓋此時因需承當訴訟，故有由首長代理之實益。</w:t>
      </w:r>
    </w:p>
  </w:footnote>
  <w:footnote w:id="42">
    <w:p w:rsidR="00000000" w:rsidRDefault="002D1830">
      <w:pPr>
        <w:pStyle w:val="a5"/>
        <w:ind w:firstLine="400"/>
        <w:rPr>
          <w:rFonts w:hint="eastAsia"/>
        </w:rPr>
      </w:pPr>
      <w:r>
        <w:rPr>
          <w:rStyle w:val="a6"/>
        </w:rPr>
        <w:footnoteRef/>
      </w:r>
      <w:r>
        <w:t xml:space="preserve"> </w:t>
      </w:r>
      <w:r>
        <w:rPr>
          <w:rFonts w:hint="eastAsia"/>
        </w:rPr>
        <w:t>說有國家自己責任之意味並非表示即全然一致，例如該法第</w:t>
      </w:r>
      <w:r>
        <w:rPr>
          <w:rFonts w:hint="eastAsia"/>
        </w:rPr>
        <w:t>12.2.3.C</w:t>
      </w:r>
      <w:r>
        <w:rPr>
          <w:rFonts w:hint="eastAsia"/>
        </w:rPr>
        <w:t>規定若經正式調查後公務員有可歸責之事由，則官署得考慮放棄</w:t>
      </w:r>
      <w:r>
        <w:rPr>
          <w:rFonts w:hint="eastAsia"/>
        </w:rPr>
        <w:t>繼續提供扶助，此即與國家自己責任之無過失責任或危險責任的思想不協調。關於國家責任之思想變遷，可參見廖義男，</w:t>
      </w:r>
      <w:r>
        <w:rPr>
          <w:rFonts w:ascii="新細明體" w:hint="eastAsia"/>
        </w:rPr>
        <w:t>《</w:t>
      </w:r>
      <w:r>
        <w:rPr>
          <w:rFonts w:hint="eastAsia"/>
        </w:rPr>
        <w:t>國家賠償法</w:t>
      </w:r>
      <w:r>
        <w:rPr>
          <w:rFonts w:ascii="新細明體" w:hint="eastAsia"/>
        </w:rPr>
        <w:t>》</w:t>
      </w:r>
      <w:r>
        <w:rPr>
          <w:rFonts w:hint="eastAsia"/>
        </w:rPr>
        <w:t>，自刊，民國</w:t>
      </w:r>
      <w:r>
        <w:rPr>
          <w:rFonts w:hint="eastAsia"/>
        </w:rPr>
        <w:t>85</w:t>
      </w:r>
      <w:r>
        <w:rPr>
          <w:rFonts w:hint="eastAsia"/>
        </w:rPr>
        <w:t>年增訂版，頁</w:t>
      </w:r>
      <w:r>
        <w:rPr>
          <w:rFonts w:hint="eastAsia"/>
        </w:rPr>
        <w:t>10-11</w:t>
      </w:r>
      <w:r>
        <w:rPr>
          <w:rFonts w:hint="eastAsia"/>
        </w:rPr>
        <w:t>。</w:t>
      </w:r>
    </w:p>
  </w:footnote>
  <w:footnote w:id="43">
    <w:p w:rsidR="00000000" w:rsidRDefault="002D1830">
      <w:pPr>
        <w:pStyle w:val="a5"/>
        <w:ind w:firstLine="400"/>
        <w:rPr>
          <w:rFonts w:hint="eastAsia"/>
        </w:rPr>
      </w:pPr>
      <w:r>
        <w:rPr>
          <w:rStyle w:val="a6"/>
        </w:rPr>
        <w:footnoteRef/>
      </w:r>
      <w:r>
        <w:t xml:space="preserve"> </w:t>
      </w:r>
      <w:r>
        <w:rPr>
          <w:rFonts w:hint="eastAsia"/>
        </w:rPr>
        <w:t>此處相關的工會就何所指？不無疑問。本文忖度文意，似為公務員工會之意。</w:t>
      </w:r>
    </w:p>
  </w:footnote>
  <w:footnote w:id="44">
    <w:p w:rsidR="00000000" w:rsidRDefault="002D1830">
      <w:pPr>
        <w:pStyle w:val="a5"/>
        <w:ind w:firstLine="400"/>
        <w:rPr>
          <w:rFonts w:hint="eastAsia"/>
        </w:rPr>
      </w:pPr>
      <w:r>
        <w:rPr>
          <w:rStyle w:val="a6"/>
        </w:rPr>
        <w:footnoteRef/>
      </w:r>
      <w:r>
        <w:t xml:space="preserve"> </w:t>
      </w:r>
      <w:r>
        <w:rPr>
          <w:rFonts w:hint="eastAsia"/>
        </w:rPr>
        <w:t>參酌最高法院四十二年度台上字第一二二四號判例意旨，判斷公務員是否「依法執行職務」乃以公務人員之行為在「客觀上」足認其與職務有關者而言。詳細說明請參看本研究第三章我國法的部分。</w:t>
      </w:r>
    </w:p>
  </w:footnote>
  <w:footnote w:id="45">
    <w:p w:rsidR="00000000" w:rsidRDefault="002D1830">
      <w:pPr>
        <w:pStyle w:val="a5"/>
        <w:ind w:firstLine="400"/>
        <w:rPr>
          <w:rFonts w:hint="eastAsia"/>
        </w:rPr>
      </w:pPr>
      <w:r>
        <w:rPr>
          <w:rStyle w:val="a6"/>
        </w:rPr>
        <w:footnoteRef/>
      </w:r>
      <w:r>
        <w:t xml:space="preserve"> </w:t>
      </w:r>
      <w:r>
        <w:rPr>
          <w:rFonts w:hint="eastAsia"/>
        </w:rPr>
        <w:t>參見翁岳生，</w:t>
      </w:r>
      <w:r>
        <w:rPr>
          <w:rFonts w:ascii="新細明體" w:hint="eastAsia"/>
        </w:rPr>
        <w:t>〈</w:t>
      </w:r>
      <w:r>
        <w:rPr>
          <w:rFonts w:hint="eastAsia"/>
        </w:rPr>
        <w:t>西德一九八一年國家賠償法之研究</w:t>
      </w:r>
      <w:r>
        <w:rPr>
          <w:rFonts w:ascii="新細明體" w:hint="eastAsia"/>
        </w:rPr>
        <w:t>〉</w:t>
      </w:r>
      <w:r>
        <w:rPr>
          <w:rFonts w:hint="eastAsia"/>
        </w:rPr>
        <w:t>，台大法學論叢第十卷第二期，民國</w:t>
      </w:r>
      <w:r>
        <w:rPr>
          <w:rFonts w:hint="eastAsia"/>
        </w:rPr>
        <w:t>70</w:t>
      </w:r>
      <w:r>
        <w:rPr>
          <w:rFonts w:hint="eastAsia"/>
        </w:rPr>
        <w:t>年，頁</w:t>
      </w:r>
      <w:r>
        <w:rPr>
          <w:rFonts w:hint="eastAsia"/>
        </w:rPr>
        <w:t>1</w:t>
      </w:r>
      <w:r>
        <w:rPr>
          <w:rFonts w:hint="eastAsia"/>
        </w:rPr>
        <w:t>以</w:t>
      </w:r>
      <w:r>
        <w:rPr>
          <w:rFonts w:hint="eastAsia"/>
        </w:rPr>
        <w:t>下。</w:t>
      </w:r>
    </w:p>
  </w:footnote>
  <w:footnote w:id="46">
    <w:p w:rsidR="00000000" w:rsidRDefault="002D1830">
      <w:pPr>
        <w:pStyle w:val="a5"/>
        <w:ind w:left="200" w:hangingChars="100" w:hanging="200"/>
        <w:rPr>
          <w:rFonts w:hint="eastAsia"/>
        </w:rPr>
      </w:pPr>
      <w:r>
        <w:rPr>
          <w:rStyle w:val="a6"/>
        </w:rPr>
        <w:footnoteRef/>
      </w:r>
      <w:r>
        <w:t xml:space="preserve"> </w:t>
      </w:r>
      <w:r>
        <w:rPr>
          <w:rFonts w:hint="eastAsia"/>
        </w:rPr>
        <w:t>德國法律扶助法之全文為：</w:t>
      </w:r>
      <w:r>
        <w:rPr>
          <w:rFonts w:hint="eastAsia"/>
        </w:rPr>
        <w:t xml:space="preserve">Gesetz </w:t>
      </w:r>
      <w:r>
        <w:t xml:space="preserve">ueber Rechtsberatung und Vertretung fuer Buerger mit qeringem Einkommen, </w:t>
      </w:r>
      <w:r>
        <w:rPr>
          <w:rFonts w:hint="eastAsia"/>
        </w:rPr>
        <w:t>全文共十六條規定，其中譯條文，得參見吳志光＜德國扶助制度研究報告＞，收於法務部編印《法務部法律扶助法研究小組工作彙編》，民國八十九年十月，頁四六四至四六七。</w:t>
      </w:r>
    </w:p>
  </w:footnote>
  <w:footnote w:id="47">
    <w:p w:rsidR="00000000" w:rsidRDefault="002D1830">
      <w:pPr>
        <w:pStyle w:val="a5"/>
        <w:ind w:left="200" w:hangingChars="100" w:hanging="200"/>
        <w:rPr>
          <w:rFonts w:hint="eastAsia"/>
        </w:rPr>
      </w:pPr>
      <w:r>
        <w:rPr>
          <w:rStyle w:val="a6"/>
        </w:rPr>
        <w:footnoteRef/>
      </w:r>
      <w:r>
        <w:t xml:space="preserve"> </w:t>
      </w:r>
      <w:r>
        <w:rPr>
          <w:rFonts w:hint="eastAsia"/>
        </w:rPr>
        <w:t>德國法律諮詢法第一條前段規定：「解決他人法律事務，包含法律諮詢與法律代理，僅得由行政機關所許可之人士為之，不論是為主業或副業，有償或無償。」該法於</w:t>
      </w:r>
      <w:r>
        <w:rPr>
          <w:rFonts w:hint="eastAsia"/>
        </w:rPr>
        <w:t>1935</w:t>
      </w:r>
      <w:r>
        <w:rPr>
          <w:rFonts w:hint="eastAsia"/>
        </w:rPr>
        <w:t>年</w:t>
      </w:r>
      <w:r>
        <w:rPr>
          <w:rFonts w:hint="eastAsia"/>
        </w:rPr>
        <w:t>12</w:t>
      </w:r>
      <w:r>
        <w:rPr>
          <w:rFonts w:hint="eastAsia"/>
        </w:rPr>
        <w:t>月</w:t>
      </w:r>
      <w:r>
        <w:rPr>
          <w:rFonts w:hint="eastAsia"/>
        </w:rPr>
        <w:t>13</w:t>
      </w:r>
      <w:r>
        <w:rPr>
          <w:rFonts w:hint="eastAsia"/>
        </w:rPr>
        <w:t>日公布，最後一次於</w:t>
      </w:r>
      <w:r>
        <w:rPr>
          <w:rFonts w:hint="eastAsia"/>
        </w:rPr>
        <w:t>1998</w:t>
      </w:r>
      <w:r>
        <w:rPr>
          <w:rFonts w:hint="eastAsia"/>
        </w:rPr>
        <w:t>年</w:t>
      </w:r>
      <w:r>
        <w:rPr>
          <w:rFonts w:hint="eastAsia"/>
        </w:rPr>
        <w:t>12</w:t>
      </w:r>
      <w:r>
        <w:rPr>
          <w:rFonts w:hint="eastAsia"/>
        </w:rPr>
        <w:t>月</w:t>
      </w:r>
      <w:r>
        <w:rPr>
          <w:rFonts w:hint="eastAsia"/>
        </w:rPr>
        <w:t>19</w:t>
      </w:r>
      <w:r>
        <w:rPr>
          <w:rFonts w:hint="eastAsia"/>
        </w:rPr>
        <w:t>日修正。</w:t>
      </w:r>
    </w:p>
  </w:footnote>
  <w:footnote w:id="48">
    <w:p w:rsidR="00000000" w:rsidRDefault="002D1830">
      <w:pPr>
        <w:pStyle w:val="a5"/>
        <w:ind w:left="200" w:hangingChars="100" w:hanging="200"/>
        <w:rPr>
          <w:rFonts w:hint="eastAsia"/>
        </w:rPr>
      </w:pPr>
      <w:r>
        <w:rPr>
          <w:rStyle w:val="a6"/>
        </w:rPr>
        <w:footnoteRef/>
      </w:r>
      <w:r>
        <w:t xml:space="preserve"> </w:t>
      </w:r>
      <w:r>
        <w:rPr>
          <w:rFonts w:hint="eastAsia"/>
        </w:rPr>
        <w:t>德國民事訴訟法第</w:t>
      </w:r>
      <w:r>
        <w:rPr>
          <w:rFonts w:hint="eastAsia"/>
        </w:rPr>
        <w:t>114</w:t>
      </w:r>
      <w:r>
        <w:rPr>
          <w:rFonts w:hint="eastAsia"/>
        </w:rPr>
        <w:t>條規定：當事人依其個人狀況及經濟能力無法負擔，或僅能負擔或分擔負擔訴訟費用者，若其權利訴追或</w:t>
      </w:r>
      <w:r>
        <w:t xml:space="preserve">    </w:t>
      </w:r>
      <w:r>
        <w:rPr>
          <w:rFonts w:hint="eastAsia"/>
        </w:rPr>
        <w:t>權利有勝訴之望者且非基於惡意者（</w:t>
      </w:r>
      <w:r>
        <w:rPr>
          <w:rFonts w:hint="eastAsia"/>
        </w:rPr>
        <w:t>mutwillig</w:t>
      </w:r>
      <w:r>
        <w:rPr>
          <w:rFonts w:hint="eastAsia"/>
        </w:rPr>
        <w:t>），得聲請訴訟費用之救助。此外，民訴</w:t>
      </w:r>
      <w:r>
        <w:rPr>
          <w:rFonts w:hint="eastAsia"/>
        </w:rPr>
        <w:t>115</w:t>
      </w:r>
      <w:r>
        <w:rPr>
          <w:rFonts w:hint="eastAsia"/>
        </w:rPr>
        <w:t>條至</w:t>
      </w:r>
      <w:r>
        <w:rPr>
          <w:rFonts w:hint="eastAsia"/>
        </w:rPr>
        <w:t>127a</w:t>
      </w:r>
      <w:r>
        <w:rPr>
          <w:rFonts w:hint="eastAsia"/>
        </w:rPr>
        <w:t>條有詳細之規定，其條文中譯得參見吳志光，＜德國法律扶助制度研究報告＞，頁四五六至四六二。</w:t>
      </w:r>
    </w:p>
  </w:footnote>
  <w:footnote w:id="49">
    <w:p w:rsidR="00000000" w:rsidRDefault="002D1830">
      <w:pPr>
        <w:pStyle w:val="a5"/>
        <w:ind w:left="200" w:hangingChars="100" w:hanging="200"/>
        <w:rPr>
          <w:rFonts w:hint="eastAsia"/>
        </w:rPr>
      </w:pPr>
      <w:r>
        <w:rPr>
          <w:rStyle w:val="a6"/>
        </w:rPr>
        <w:footnoteRef/>
      </w:r>
      <w:r>
        <w:t xml:space="preserve"> </w:t>
      </w:r>
      <w:r>
        <w:rPr>
          <w:rFonts w:hint="eastAsia"/>
        </w:rPr>
        <w:t>德國刑事訴訟法</w:t>
      </w:r>
      <w:r>
        <w:rPr>
          <w:rFonts w:hint="eastAsia"/>
        </w:rPr>
        <w:t>379</w:t>
      </w:r>
      <w:r>
        <w:rPr>
          <w:rFonts w:hint="eastAsia"/>
        </w:rPr>
        <w:t>條係自訴之訴訟費用救助；</w:t>
      </w:r>
      <w:r>
        <w:rPr>
          <w:rFonts w:hint="eastAsia"/>
        </w:rPr>
        <w:t>397a</w:t>
      </w:r>
      <w:r>
        <w:rPr>
          <w:rFonts w:hint="eastAsia"/>
        </w:rPr>
        <w:t>條為告訴人之訴訟費用救助；</w:t>
      </w:r>
      <w:r>
        <w:rPr>
          <w:rFonts w:hint="eastAsia"/>
        </w:rPr>
        <w:t>406g</w:t>
      </w:r>
      <w:r>
        <w:rPr>
          <w:rFonts w:hint="eastAsia"/>
        </w:rPr>
        <w:t>條係被害人之訴訟費用救助。有關德國刑事訴訟法</w:t>
      </w:r>
      <w:r>
        <w:rPr>
          <w:rFonts w:hint="eastAsia"/>
        </w:rPr>
        <w:t>之中譯，得參見吳志光，前揭註三文，頁四六九以下。</w:t>
      </w:r>
    </w:p>
  </w:footnote>
  <w:footnote w:id="50">
    <w:p w:rsidR="00000000" w:rsidRDefault="002D1830">
      <w:pPr>
        <w:pStyle w:val="a5"/>
        <w:ind w:left="200" w:hangingChars="100" w:hanging="200"/>
        <w:rPr>
          <w:rFonts w:hint="eastAsia"/>
        </w:rPr>
      </w:pPr>
      <w:r>
        <w:rPr>
          <w:rStyle w:val="a6"/>
        </w:rPr>
        <w:footnoteRef/>
      </w:r>
      <w:r>
        <w:t xml:space="preserve"> </w:t>
      </w:r>
      <w:r>
        <w:rPr>
          <w:rFonts w:hint="eastAsia"/>
        </w:rPr>
        <w:t>行政法院法第</w:t>
      </w:r>
      <w:r>
        <w:rPr>
          <w:rFonts w:hint="eastAsia"/>
        </w:rPr>
        <w:t>166</w:t>
      </w:r>
      <w:r>
        <w:rPr>
          <w:rFonts w:hint="eastAsia"/>
        </w:rPr>
        <w:t>條規定：「關於訴訟費用之救助，準用民事訴訟法之規定。」有關德國行政法院法之中譯，請參見司法院印行，《中譯德奧法日行政法院法》，民國八十五年六月，頁六十二。</w:t>
      </w:r>
    </w:p>
  </w:footnote>
  <w:footnote w:id="51">
    <w:p w:rsidR="00000000" w:rsidRDefault="002D1830">
      <w:pPr>
        <w:pStyle w:val="a5"/>
        <w:ind w:firstLineChars="0" w:firstLine="0"/>
        <w:rPr>
          <w:rFonts w:hint="eastAsia"/>
        </w:rPr>
      </w:pPr>
      <w:r>
        <w:rPr>
          <w:rStyle w:val="a6"/>
        </w:rPr>
        <w:footnoteRef/>
      </w:r>
      <w:r>
        <w:t xml:space="preserve"> </w:t>
      </w:r>
      <w:r>
        <w:rPr>
          <w:rFonts w:hint="eastAsia"/>
        </w:rPr>
        <w:t>Vql. Battis, oeffentliches Dienstrecht von A-Z, 5Aufl. 1999 S. 39f.</w:t>
      </w:r>
    </w:p>
  </w:footnote>
  <w:footnote w:id="52">
    <w:p w:rsidR="00000000" w:rsidRDefault="002D1830">
      <w:pPr>
        <w:pStyle w:val="a5"/>
        <w:ind w:left="200" w:hangingChars="100" w:hanging="200"/>
        <w:rPr>
          <w:rFonts w:hint="eastAsia"/>
          <w:b/>
        </w:rPr>
      </w:pPr>
      <w:r>
        <w:rPr>
          <w:rStyle w:val="a6"/>
        </w:rPr>
        <w:footnoteRef/>
      </w:r>
      <w:r>
        <w:t xml:space="preserve"> </w:t>
      </w:r>
      <w:r>
        <w:rPr>
          <w:rFonts w:hint="eastAsia"/>
        </w:rPr>
        <w:t>有關德國公務員法上之</w:t>
      </w:r>
      <w:r>
        <w:rPr>
          <w:rFonts w:hint="eastAsia"/>
        </w:rPr>
        <w:t>Beihilfe</w:t>
      </w:r>
      <w:r>
        <w:rPr>
          <w:rFonts w:hint="eastAsia"/>
        </w:rPr>
        <w:t>制度之目的，請求權人及請求範圍，請參見</w:t>
      </w:r>
      <w:r>
        <w:rPr>
          <w:rFonts w:hint="eastAsia"/>
        </w:rPr>
        <w:t>Monhemius, Beamtenrecht, C.H.Berk</w:t>
      </w:r>
      <w:r>
        <w:rPr>
          <w:rFonts w:hint="eastAsia"/>
        </w:rPr>
        <w:t xml:space="preserve"> 1 Aufl.1995. Rdnr.399ff.</w:t>
      </w:r>
    </w:p>
  </w:footnote>
  <w:footnote w:id="53">
    <w:p w:rsidR="00000000" w:rsidRDefault="002D1830">
      <w:pPr>
        <w:pStyle w:val="a5"/>
        <w:ind w:left="200" w:hangingChars="100" w:hanging="200"/>
        <w:rPr>
          <w:rFonts w:hint="eastAsia"/>
        </w:rPr>
      </w:pPr>
      <w:r>
        <w:rPr>
          <w:rStyle w:val="a6"/>
        </w:rPr>
        <w:footnoteRef/>
      </w:r>
      <w:r>
        <w:t xml:space="preserve"> </w:t>
      </w:r>
      <w:r>
        <w:rPr>
          <w:rFonts w:hint="eastAsia"/>
        </w:rPr>
        <w:t>依法律扶助法草案第二條規定，我國法律扶助之範圍包含訴訟前之法律諮詢、調解、和解或其他協商，法律文件撰寫，乃至於訴訟或仲裁之代理或辯護，均包含在內。</w:t>
      </w:r>
    </w:p>
  </w:footnote>
  <w:footnote w:id="54">
    <w:p w:rsidR="00000000" w:rsidRDefault="002D1830">
      <w:pPr>
        <w:pStyle w:val="a5"/>
        <w:ind w:left="200" w:hangingChars="100" w:hanging="200"/>
        <w:rPr>
          <w:rFonts w:hint="eastAsia"/>
        </w:rPr>
      </w:pPr>
      <w:r>
        <w:rPr>
          <w:rStyle w:val="a6"/>
        </w:rPr>
        <w:footnoteRef/>
      </w:r>
      <w:r>
        <w:t xml:space="preserve"> </w:t>
      </w:r>
      <w:r>
        <w:rPr>
          <w:rFonts w:hint="eastAsia"/>
        </w:rPr>
        <w:t>德國訴訟法上訴訟費用救助聲請之要件大概可歸納如下：（一）聲請當事人個人及經濟狀況無法負擔訴訟進行之費用。（二）當事人之訴訟進行（或訴訟辯護）有勝訴之希望者。（三）非基於惡意（或權利濫用）者。</w:t>
      </w:r>
    </w:p>
  </w:footnote>
  <w:footnote w:id="55">
    <w:p w:rsidR="00000000" w:rsidRDefault="002D1830">
      <w:pPr>
        <w:pStyle w:val="a5"/>
        <w:ind w:left="200" w:hangingChars="100" w:hanging="200"/>
        <w:rPr>
          <w:rFonts w:hint="eastAsia"/>
        </w:rPr>
      </w:pPr>
      <w:r>
        <w:rPr>
          <w:rStyle w:val="a6"/>
        </w:rPr>
        <w:footnoteRef/>
      </w:r>
      <w:r>
        <w:t xml:space="preserve"> </w:t>
      </w:r>
      <w:r>
        <w:rPr>
          <w:rFonts w:hint="eastAsia"/>
        </w:rPr>
        <w:t>依舊制規定，當事人僅須負擔</w:t>
      </w:r>
      <w:r>
        <w:rPr>
          <w:rFonts w:hint="eastAsia"/>
        </w:rPr>
        <w:t>20</w:t>
      </w:r>
      <w:r>
        <w:rPr>
          <w:rFonts w:hint="eastAsia"/>
        </w:rPr>
        <w:t>馬克之自付額，而受諮詢律師則得向國庫請求</w:t>
      </w:r>
      <w:r>
        <w:rPr>
          <w:rFonts w:hint="eastAsia"/>
        </w:rPr>
        <w:t>30</w:t>
      </w:r>
      <w:r>
        <w:rPr>
          <w:rFonts w:hint="eastAsia"/>
        </w:rPr>
        <w:t>至</w:t>
      </w:r>
      <w:r>
        <w:rPr>
          <w:rFonts w:hint="eastAsia"/>
        </w:rPr>
        <w:t>180</w:t>
      </w:r>
      <w:r>
        <w:rPr>
          <w:rFonts w:hint="eastAsia"/>
        </w:rPr>
        <w:t>馬課不等之費用，請參見德國</w:t>
      </w:r>
      <w:r>
        <w:rPr>
          <w:rFonts w:hint="eastAsia"/>
        </w:rPr>
        <w:t>法律扶助法第八條規定。</w:t>
      </w:r>
    </w:p>
  </w:footnote>
  <w:footnote w:id="56">
    <w:p w:rsidR="00000000" w:rsidRDefault="002D1830">
      <w:pPr>
        <w:pStyle w:val="a5"/>
        <w:ind w:left="200" w:hangingChars="100" w:hanging="200"/>
        <w:rPr>
          <w:rFonts w:hint="eastAsia"/>
        </w:rPr>
      </w:pPr>
      <w:r>
        <w:rPr>
          <w:rStyle w:val="a6"/>
        </w:rPr>
        <w:footnoteRef/>
      </w:r>
      <w:r>
        <w:t xml:space="preserve"> </w:t>
      </w:r>
      <w:r>
        <w:rPr>
          <w:rFonts w:hint="eastAsia"/>
        </w:rPr>
        <w:t>德國法院中之法律事務官（</w:t>
      </w:r>
      <w:r>
        <w:rPr>
          <w:rFonts w:hint="eastAsia"/>
        </w:rPr>
        <w:t>Rechtspfleger</w:t>
      </w:r>
      <w:r>
        <w:rPr>
          <w:rFonts w:hint="eastAsia"/>
        </w:rPr>
        <w:t>）（有譯為非訟法務官）為中高階之公務員，需法律專科學校（</w:t>
      </w:r>
      <w:r>
        <w:rPr>
          <w:rFonts w:hint="eastAsia"/>
        </w:rPr>
        <w:t>Fachhochschule</w:t>
      </w:r>
      <w:r>
        <w:rPr>
          <w:rFonts w:hint="eastAsia"/>
        </w:rPr>
        <w:t>）以上畢業，實習三年後經法律事務官考試及格者為限，參見德國法律事務官法第二條規定。</w:t>
      </w:r>
    </w:p>
  </w:footnote>
  <w:footnote w:id="57">
    <w:p w:rsidR="00000000" w:rsidRDefault="002D1830">
      <w:pPr>
        <w:pStyle w:val="a5"/>
        <w:ind w:left="200" w:firstLineChars="0"/>
        <w:rPr>
          <w:rFonts w:hint="eastAsia"/>
        </w:rPr>
      </w:pPr>
      <w:r>
        <w:rPr>
          <w:rStyle w:val="a6"/>
        </w:rPr>
        <w:footnoteRef/>
      </w:r>
      <w:r>
        <w:t xml:space="preserve"> </w:t>
      </w:r>
      <w:r>
        <w:rPr>
          <w:rFonts w:hint="eastAsia"/>
        </w:rPr>
        <w:t>我國法律扶助法草案第四條第二項規定：「各級法院、檢察署、律師公會及律師負有協助實施法律扶助事務之義務。」與德國法排除法院，尚有本質上之差異。</w:t>
      </w:r>
    </w:p>
  </w:footnote>
  <w:footnote w:id="58">
    <w:p w:rsidR="00000000" w:rsidRDefault="002D1830">
      <w:pPr>
        <w:pStyle w:val="a5"/>
        <w:ind w:left="200" w:firstLineChars="0"/>
        <w:rPr>
          <w:rFonts w:hint="eastAsia"/>
        </w:rPr>
      </w:pPr>
      <w:r>
        <w:rPr>
          <w:rStyle w:val="a6"/>
        </w:rPr>
        <w:footnoteRef/>
      </w:r>
      <w:r>
        <w:t xml:space="preserve"> </w:t>
      </w:r>
      <w:r>
        <w:rPr>
          <w:rFonts w:hint="eastAsia"/>
        </w:rPr>
        <w:t>我國現行公務人員保險法中並無「法律險」之開辦，但若能修正「公務人員保險法」，增訂法律保險（</w:t>
      </w:r>
      <w:r>
        <w:rPr>
          <w:rFonts w:hint="eastAsia"/>
        </w:rPr>
        <w:t>Rechtsschutzv</w:t>
      </w:r>
      <w:r>
        <w:rPr>
          <w:rFonts w:hint="eastAsia"/>
        </w:rPr>
        <w:t>ersicherung</w:t>
      </w:r>
      <w:r>
        <w:rPr>
          <w:rFonts w:hint="eastAsia"/>
        </w:rPr>
        <w:t>），使公務員得自願（或強制）保險，國家並給予適度之保險費用補助時，公務員凡請求或防衛自己權利時，即得向保險公司請求扶助及費用支出（含訴訟上及訴訟外之費用），而毋庸考慮聲請人是否符合法律扶助之要件或理由，如此一來，在執行上當更簡便省事，但是否會造成濫訴之不良後果，則屬考量引進此一制度的其他斟酌因素之一。</w:t>
      </w:r>
    </w:p>
  </w:footnote>
  <w:footnote w:id="59">
    <w:p w:rsidR="00000000" w:rsidRDefault="002D1830">
      <w:pPr>
        <w:pStyle w:val="a5"/>
        <w:ind w:firstLine="400"/>
        <w:rPr>
          <w:rFonts w:hint="eastAsia"/>
        </w:rPr>
      </w:pPr>
      <w:r>
        <w:rPr>
          <w:rStyle w:val="a6"/>
        </w:rPr>
        <w:footnoteRef/>
      </w:r>
      <w:r>
        <w:t xml:space="preserve"> </w:t>
      </w:r>
      <w:r>
        <w:rPr>
          <w:rFonts w:hint="eastAsia"/>
        </w:rPr>
        <w:t>由於公務人員保障法上之「行政處分」（即復審標的）與「管理措施」（即申訴標的）兩者不易釐清界線，因此，不論是給予公務員復審或申訴之管道，依我國現行法制之實況，似皆合於公務人員保障法之相</w:t>
      </w:r>
      <w:r>
        <w:rPr>
          <w:rFonts w:hint="eastAsia"/>
        </w:rPr>
        <w:t>關規定。有關此一問題支討論請參見林明鏘，＜我國公務人員保障法之研究＞，收於《公務員法研究（一）》，台大法學叢書</w:t>
      </w:r>
      <w:r>
        <w:rPr>
          <w:rFonts w:hint="eastAsia"/>
        </w:rPr>
        <w:t>120</w:t>
      </w:r>
      <w:r>
        <w:rPr>
          <w:rFonts w:hint="eastAsia"/>
        </w:rPr>
        <w:t>，民國八十九年初版，頁一三一以下。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D1830">
    <w:pPr>
      <w:pStyle w:val="ab"/>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D1830">
    <w:pPr>
      <w:pStyle w:val="ab"/>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D1830">
    <w:pPr>
      <w:pStyle w:val="ab"/>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280"/>
    <w:multiLevelType w:val="hybridMultilevel"/>
    <w:tmpl w:val="A9CA2E6E"/>
    <w:lvl w:ilvl="0" w:tplc="652CD63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D289D"/>
    <w:multiLevelType w:val="singleLevel"/>
    <w:tmpl w:val="E374A012"/>
    <w:lvl w:ilvl="0">
      <w:start w:val="1"/>
      <w:numFmt w:val="taiwaneseCountingThousand"/>
      <w:lvlText w:val="%1、"/>
      <w:lvlJc w:val="left"/>
      <w:pPr>
        <w:tabs>
          <w:tab w:val="num" w:pos="960"/>
        </w:tabs>
        <w:ind w:left="960" w:hanging="480"/>
      </w:pPr>
      <w:rPr>
        <w:rFonts w:hint="eastAsia"/>
        <w:lang w:val="en-US"/>
      </w:rPr>
    </w:lvl>
  </w:abstractNum>
  <w:abstractNum w:abstractNumId="2" w15:restartNumberingAfterBreak="0">
    <w:nsid w:val="08BC4E94"/>
    <w:multiLevelType w:val="singleLevel"/>
    <w:tmpl w:val="761A4706"/>
    <w:lvl w:ilvl="0">
      <w:start w:val="1"/>
      <w:numFmt w:val="lowerLetter"/>
      <w:lvlText w:val="%1."/>
      <w:lvlJc w:val="left"/>
      <w:pPr>
        <w:tabs>
          <w:tab w:val="num" w:pos="1065"/>
        </w:tabs>
        <w:ind w:left="1065" w:hanging="405"/>
      </w:pPr>
      <w:rPr>
        <w:rFonts w:hint="eastAsia"/>
      </w:rPr>
    </w:lvl>
  </w:abstractNum>
  <w:abstractNum w:abstractNumId="3" w15:restartNumberingAfterBreak="0">
    <w:nsid w:val="15AF1423"/>
    <w:multiLevelType w:val="multilevel"/>
    <w:tmpl w:val="59BC123A"/>
    <w:lvl w:ilvl="0">
      <w:start w:val="1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660"/>
        </w:tabs>
        <w:ind w:left="660" w:hanging="660"/>
      </w:pPr>
      <w:rPr>
        <w:rFonts w:hint="default"/>
      </w:rPr>
    </w:lvl>
    <w:lvl w:ilvl="3">
      <w:start w:val="1"/>
      <w:numFmt w:val="decimal"/>
      <w:lvlText w:val="%1.%2.%3.%4"/>
      <w:lvlJc w:val="left"/>
      <w:pPr>
        <w:tabs>
          <w:tab w:val="num" w:pos="660"/>
        </w:tabs>
        <w:ind w:left="660" w:hanging="660"/>
      </w:pPr>
      <w:rPr>
        <w:rFonts w:hint="default"/>
      </w:rPr>
    </w:lvl>
    <w:lvl w:ilvl="4">
      <w:start w:val="1"/>
      <w:numFmt w:val="decimal"/>
      <w:lvlText w:val="%1.%2.%3.%4.%5"/>
      <w:lvlJc w:val="left"/>
      <w:pPr>
        <w:tabs>
          <w:tab w:val="num" w:pos="660"/>
        </w:tabs>
        <w:ind w:left="660" w:hanging="660"/>
      </w:pPr>
      <w:rPr>
        <w:rFonts w:hint="default"/>
      </w:rPr>
    </w:lvl>
    <w:lvl w:ilvl="5">
      <w:start w:val="1"/>
      <w:numFmt w:val="decimal"/>
      <w:lvlText w:val="%1.%2.%3.%4.%5.%6"/>
      <w:lvlJc w:val="left"/>
      <w:pPr>
        <w:tabs>
          <w:tab w:val="num" w:pos="660"/>
        </w:tabs>
        <w:ind w:left="660" w:hanging="660"/>
      </w:pPr>
      <w:rPr>
        <w:rFonts w:hint="default"/>
      </w:rPr>
    </w:lvl>
    <w:lvl w:ilvl="6">
      <w:start w:val="1"/>
      <w:numFmt w:val="decimal"/>
      <w:lvlText w:val="%1.%2.%3.%4.%5.%6.%7"/>
      <w:lvlJc w:val="left"/>
      <w:pPr>
        <w:tabs>
          <w:tab w:val="num" w:pos="660"/>
        </w:tabs>
        <w:ind w:left="660" w:hanging="660"/>
      </w:pPr>
      <w:rPr>
        <w:rFonts w:hint="default"/>
      </w:rPr>
    </w:lvl>
    <w:lvl w:ilvl="7">
      <w:start w:val="1"/>
      <w:numFmt w:val="decimal"/>
      <w:lvlText w:val="%1.%2.%3.%4.%5.%6.%7.%8"/>
      <w:lvlJc w:val="left"/>
      <w:pPr>
        <w:tabs>
          <w:tab w:val="num" w:pos="660"/>
        </w:tabs>
        <w:ind w:left="660" w:hanging="660"/>
      </w:pPr>
      <w:rPr>
        <w:rFonts w:hint="default"/>
      </w:rPr>
    </w:lvl>
    <w:lvl w:ilvl="8">
      <w:start w:val="1"/>
      <w:numFmt w:val="decimal"/>
      <w:lvlText w:val="%1.%2.%3.%4.%5.%6.%7.%8.%9"/>
      <w:lvlJc w:val="left"/>
      <w:pPr>
        <w:tabs>
          <w:tab w:val="num" w:pos="660"/>
        </w:tabs>
        <w:ind w:left="660" w:hanging="660"/>
      </w:pPr>
      <w:rPr>
        <w:rFonts w:hint="default"/>
      </w:rPr>
    </w:lvl>
  </w:abstractNum>
  <w:abstractNum w:abstractNumId="4" w15:restartNumberingAfterBreak="0">
    <w:nsid w:val="1DA907C4"/>
    <w:multiLevelType w:val="hybridMultilevel"/>
    <w:tmpl w:val="084A4208"/>
    <w:lvl w:ilvl="0" w:tplc="5330BBF4">
      <w:start w:val="1"/>
      <w:numFmt w:val="decimal"/>
      <w:lvlText w:val="%1."/>
      <w:lvlJc w:val="left"/>
      <w:pPr>
        <w:tabs>
          <w:tab w:val="num" w:pos="760"/>
        </w:tabs>
        <w:ind w:left="760" w:hanging="36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5" w15:restartNumberingAfterBreak="0">
    <w:nsid w:val="213C3B31"/>
    <w:multiLevelType w:val="hybridMultilevel"/>
    <w:tmpl w:val="284A1508"/>
    <w:lvl w:ilvl="0" w:tplc="4C84D9A2">
      <w:start w:val="1"/>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6" w15:restartNumberingAfterBreak="0">
    <w:nsid w:val="21B71D1B"/>
    <w:multiLevelType w:val="multilevel"/>
    <w:tmpl w:val="04090027"/>
    <w:lvl w:ilvl="0">
      <w:start w:val="1"/>
      <w:numFmt w:val="decimalFullWidth"/>
      <w:pStyle w:val="1"/>
      <w:suff w:val="nothing"/>
      <w:lvlText w:val="第%1章"/>
      <w:lvlJc w:val="left"/>
      <w:pPr>
        <w:tabs>
          <w:tab w:val="num" w:pos="720"/>
        </w:tabs>
        <w:ind w:left="425" w:hanging="425"/>
      </w:pPr>
    </w:lvl>
    <w:lvl w:ilvl="1">
      <w:start w:val="1"/>
      <w:numFmt w:val="decimalFullWidth"/>
      <w:pStyle w:val="2"/>
      <w:suff w:val="nothing"/>
      <w:lvlText w:val="第%2節"/>
      <w:lvlJc w:val="left"/>
      <w:pPr>
        <w:tabs>
          <w:tab w:val="num" w:pos="1145"/>
        </w:tabs>
        <w:ind w:left="992" w:hanging="567"/>
      </w:pPr>
    </w:lvl>
    <w:lvl w:ilvl="2">
      <w:start w:val="1"/>
      <w:numFmt w:val="decimalFullWidth"/>
      <w:pStyle w:val="3"/>
      <w:suff w:val="nothing"/>
      <w:lvlText w:val="第%3項"/>
      <w:lvlJc w:val="left"/>
      <w:pPr>
        <w:tabs>
          <w:tab w:val="num" w:pos="1571"/>
        </w:tabs>
        <w:ind w:left="1418" w:hanging="567"/>
      </w:pPr>
    </w:lvl>
    <w:lvl w:ilvl="3">
      <w:start w:val="1"/>
      <w:numFmt w:val="none"/>
      <w:pStyle w:val="4"/>
      <w:suff w:val="nothing"/>
      <w:lvlText w:val=""/>
      <w:lvlJc w:val="left"/>
      <w:pPr>
        <w:tabs>
          <w:tab w:val="num" w:pos="1984"/>
        </w:tabs>
        <w:ind w:left="1984" w:hanging="708"/>
      </w:pPr>
    </w:lvl>
    <w:lvl w:ilvl="4">
      <w:start w:val="1"/>
      <w:numFmt w:val="none"/>
      <w:pStyle w:val="5"/>
      <w:suff w:val="nothing"/>
      <w:lvlText w:val=""/>
      <w:lvlJc w:val="left"/>
      <w:pPr>
        <w:tabs>
          <w:tab w:val="num" w:pos="2551"/>
        </w:tabs>
        <w:ind w:left="2551" w:hanging="850"/>
      </w:pPr>
    </w:lvl>
    <w:lvl w:ilvl="5">
      <w:start w:val="1"/>
      <w:numFmt w:val="none"/>
      <w:pStyle w:val="6"/>
      <w:suff w:val="nothing"/>
      <w:lvlText w:val=""/>
      <w:lvlJc w:val="left"/>
      <w:pPr>
        <w:tabs>
          <w:tab w:val="num" w:pos="3260"/>
        </w:tabs>
        <w:ind w:left="3260" w:hanging="1134"/>
      </w:pPr>
    </w:lvl>
    <w:lvl w:ilvl="6">
      <w:start w:val="1"/>
      <w:numFmt w:val="none"/>
      <w:pStyle w:val="7"/>
      <w:suff w:val="nothing"/>
      <w:lvlText w:val=""/>
      <w:lvlJc w:val="left"/>
      <w:pPr>
        <w:tabs>
          <w:tab w:val="num" w:pos="3827"/>
        </w:tabs>
        <w:ind w:left="3827" w:hanging="1276"/>
      </w:pPr>
    </w:lvl>
    <w:lvl w:ilvl="7">
      <w:start w:val="1"/>
      <w:numFmt w:val="none"/>
      <w:pStyle w:val="8"/>
      <w:suff w:val="nothing"/>
      <w:lvlText w:val=""/>
      <w:lvlJc w:val="left"/>
      <w:pPr>
        <w:tabs>
          <w:tab w:val="num" w:pos="4394"/>
        </w:tabs>
        <w:ind w:left="4394" w:hanging="1418"/>
      </w:pPr>
    </w:lvl>
    <w:lvl w:ilvl="8">
      <w:start w:val="1"/>
      <w:numFmt w:val="none"/>
      <w:pStyle w:val="9"/>
      <w:suff w:val="nothing"/>
      <w:lvlText w:val=""/>
      <w:lvlJc w:val="left"/>
      <w:pPr>
        <w:tabs>
          <w:tab w:val="num" w:pos="5102"/>
        </w:tabs>
        <w:ind w:left="5102" w:hanging="1700"/>
      </w:pPr>
    </w:lvl>
  </w:abstractNum>
  <w:abstractNum w:abstractNumId="7" w15:restartNumberingAfterBreak="0">
    <w:nsid w:val="29625874"/>
    <w:multiLevelType w:val="hybridMultilevel"/>
    <w:tmpl w:val="70FC0A08"/>
    <w:lvl w:ilvl="0" w:tplc="22B619AA">
      <w:start w:val="1"/>
      <w:numFmt w:val="ideographLegalTraditional"/>
      <w:lvlText w:val="%1、"/>
      <w:lvlJc w:val="left"/>
      <w:pPr>
        <w:tabs>
          <w:tab w:val="num" w:pos="480"/>
        </w:tabs>
        <w:ind w:left="480" w:hanging="480"/>
      </w:pPr>
      <w:rPr>
        <w:rFonts w:hint="eastAsia"/>
      </w:rPr>
    </w:lvl>
    <w:lvl w:ilvl="1" w:tplc="48008EE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824316"/>
    <w:multiLevelType w:val="hybridMultilevel"/>
    <w:tmpl w:val="8D1A9076"/>
    <w:lvl w:ilvl="0" w:tplc="FFFFFFFF">
      <w:start w:val="1"/>
      <w:numFmt w:val="taiwaneseCountingThousand"/>
      <w:lvlText w:val="第%1、"/>
      <w:lvlJc w:val="left"/>
      <w:pPr>
        <w:tabs>
          <w:tab w:val="num" w:pos="720"/>
        </w:tabs>
        <w:ind w:left="720" w:hanging="720"/>
      </w:pPr>
      <w:rPr>
        <w:rFonts w:hint="default"/>
      </w:rPr>
    </w:lvl>
    <w:lvl w:ilvl="1" w:tplc="6AFCBDFA">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15:restartNumberingAfterBreak="0">
    <w:nsid w:val="401E6F2A"/>
    <w:multiLevelType w:val="singleLevel"/>
    <w:tmpl w:val="FE44439C"/>
    <w:lvl w:ilvl="0">
      <w:start w:val="1"/>
      <w:numFmt w:val="ideographLegalTraditional"/>
      <w:lvlText w:val="%1、"/>
      <w:lvlJc w:val="left"/>
      <w:pPr>
        <w:tabs>
          <w:tab w:val="num" w:pos="570"/>
        </w:tabs>
        <w:ind w:left="570" w:hanging="570"/>
      </w:pPr>
      <w:rPr>
        <w:rFonts w:hint="eastAsia"/>
      </w:rPr>
    </w:lvl>
  </w:abstractNum>
  <w:abstractNum w:abstractNumId="10" w15:restartNumberingAfterBreak="0">
    <w:nsid w:val="41DF3717"/>
    <w:multiLevelType w:val="singleLevel"/>
    <w:tmpl w:val="4AF64252"/>
    <w:lvl w:ilvl="0">
      <w:start w:val="1"/>
      <w:numFmt w:val="lowerLetter"/>
      <w:lvlText w:val="%1."/>
      <w:lvlJc w:val="left"/>
      <w:pPr>
        <w:tabs>
          <w:tab w:val="num" w:pos="765"/>
        </w:tabs>
        <w:ind w:left="765" w:hanging="165"/>
      </w:pPr>
      <w:rPr>
        <w:rFonts w:hint="eastAsia"/>
      </w:rPr>
    </w:lvl>
  </w:abstractNum>
  <w:abstractNum w:abstractNumId="11" w15:restartNumberingAfterBreak="0">
    <w:nsid w:val="487C0265"/>
    <w:multiLevelType w:val="singleLevel"/>
    <w:tmpl w:val="32344A6C"/>
    <w:lvl w:ilvl="0">
      <w:start w:val="12"/>
      <w:numFmt w:val="bullet"/>
      <w:lvlText w:val="※"/>
      <w:lvlJc w:val="left"/>
      <w:pPr>
        <w:tabs>
          <w:tab w:val="num" w:pos="240"/>
        </w:tabs>
        <w:ind w:left="240" w:hanging="240"/>
      </w:pPr>
      <w:rPr>
        <w:rFonts w:hint="eastAsia"/>
      </w:rPr>
    </w:lvl>
  </w:abstractNum>
  <w:abstractNum w:abstractNumId="12" w15:restartNumberingAfterBreak="0">
    <w:nsid w:val="4B2518E0"/>
    <w:multiLevelType w:val="hybridMultilevel"/>
    <w:tmpl w:val="D9063880"/>
    <w:lvl w:ilvl="0" w:tplc="BC6AB8AA">
      <w:start w:val="1"/>
      <w:numFmt w:val="decimal"/>
      <w:lvlText w:val="%1."/>
      <w:lvlJc w:val="left"/>
      <w:pPr>
        <w:tabs>
          <w:tab w:val="num" w:pos="366"/>
        </w:tabs>
        <w:ind w:left="366" w:hanging="360"/>
      </w:pPr>
      <w:rPr>
        <w:rFonts w:hint="eastAsia"/>
      </w:rPr>
    </w:lvl>
    <w:lvl w:ilvl="1" w:tplc="04090019" w:tentative="1">
      <w:start w:val="1"/>
      <w:numFmt w:val="ideographTraditional"/>
      <w:lvlText w:val="%2、"/>
      <w:lvlJc w:val="left"/>
      <w:pPr>
        <w:tabs>
          <w:tab w:val="num" w:pos="966"/>
        </w:tabs>
        <w:ind w:left="966" w:hanging="480"/>
      </w:pPr>
    </w:lvl>
    <w:lvl w:ilvl="2" w:tplc="0409001B" w:tentative="1">
      <w:start w:val="1"/>
      <w:numFmt w:val="lowerRoman"/>
      <w:lvlText w:val="%3."/>
      <w:lvlJc w:val="right"/>
      <w:pPr>
        <w:tabs>
          <w:tab w:val="num" w:pos="1446"/>
        </w:tabs>
        <w:ind w:left="1446" w:hanging="480"/>
      </w:pPr>
    </w:lvl>
    <w:lvl w:ilvl="3" w:tplc="0409000F" w:tentative="1">
      <w:start w:val="1"/>
      <w:numFmt w:val="decimal"/>
      <w:lvlText w:val="%4."/>
      <w:lvlJc w:val="left"/>
      <w:pPr>
        <w:tabs>
          <w:tab w:val="num" w:pos="1926"/>
        </w:tabs>
        <w:ind w:left="1926" w:hanging="480"/>
      </w:pPr>
    </w:lvl>
    <w:lvl w:ilvl="4" w:tplc="04090019" w:tentative="1">
      <w:start w:val="1"/>
      <w:numFmt w:val="ideographTraditional"/>
      <w:lvlText w:val="%5、"/>
      <w:lvlJc w:val="left"/>
      <w:pPr>
        <w:tabs>
          <w:tab w:val="num" w:pos="2406"/>
        </w:tabs>
        <w:ind w:left="2406" w:hanging="480"/>
      </w:pPr>
    </w:lvl>
    <w:lvl w:ilvl="5" w:tplc="0409001B" w:tentative="1">
      <w:start w:val="1"/>
      <w:numFmt w:val="lowerRoman"/>
      <w:lvlText w:val="%6."/>
      <w:lvlJc w:val="right"/>
      <w:pPr>
        <w:tabs>
          <w:tab w:val="num" w:pos="2886"/>
        </w:tabs>
        <w:ind w:left="2886" w:hanging="480"/>
      </w:pPr>
    </w:lvl>
    <w:lvl w:ilvl="6" w:tplc="0409000F" w:tentative="1">
      <w:start w:val="1"/>
      <w:numFmt w:val="decimal"/>
      <w:lvlText w:val="%7."/>
      <w:lvlJc w:val="left"/>
      <w:pPr>
        <w:tabs>
          <w:tab w:val="num" w:pos="3366"/>
        </w:tabs>
        <w:ind w:left="3366" w:hanging="480"/>
      </w:pPr>
    </w:lvl>
    <w:lvl w:ilvl="7" w:tplc="04090019" w:tentative="1">
      <w:start w:val="1"/>
      <w:numFmt w:val="ideographTraditional"/>
      <w:lvlText w:val="%8、"/>
      <w:lvlJc w:val="left"/>
      <w:pPr>
        <w:tabs>
          <w:tab w:val="num" w:pos="3846"/>
        </w:tabs>
        <w:ind w:left="3846" w:hanging="480"/>
      </w:pPr>
    </w:lvl>
    <w:lvl w:ilvl="8" w:tplc="0409001B" w:tentative="1">
      <w:start w:val="1"/>
      <w:numFmt w:val="lowerRoman"/>
      <w:lvlText w:val="%9."/>
      <w:lvlJc w:val="right"/>
      <w:pPr>
        <w:tabs>
          <w:tab w:val="num" w:pos="4326"/>
        </w:tabs>
        <w:ind w:left="4326" w:hanging="480"/>
      </w:pPr>
    </w:lvl>
  </w:abstractNum>
  <w:abstractNum w:abstractNumId="13" w15:restartNumberingAfterBreak="0">
    <w:nsid w:val="4BA370D9"/>
    <w:multiLevelType w:val="singleLevel"/>
    <w:tmpl w:val="0E121E32"/>
    <w:lvl w:ilvl="0">
      <w:start w:val="1"/>
      <w:numFmt w:val="lowerLetter"/>
      <w:lvlText w:val="%1."/>
      <w:lvlJc w:val="left"/>
      <w:pPr>
        <w:tabs>
          <w:tab w:val="num" w:pos="1065"/>
        </w:tabs>
        <w:ind w:left="1065" w:hanging="405"/>
      </w:pPr>
      <w:rPr>
        <w:rFonts w:hint="eastAsia"/>
      </w:rPr>
    </w:lvl>
  </w:abstractNum>
  <w:abstractNum w:abstractNumId="14" w15:restartNumberingAfterBreak="0">
    <w:nsid w:val="50FD52A7"/>
    <w:multiLevelType w:val="hybridMultilevel"/>
    <w:tmpl w:val="40904626"/>
    <w:lvl w:ilvl="0" w:tplc="A24491C8">
      <w:numFmt w:val="bullet"/>
      <w:lvlText w:val="‧"/>
      <w:lvlJc w:val="left"/>
      <w:pPr>
        <w:tabs>
          <w:tab w:val="num" w:pos="810"/>
        </w:tabs>
        <w:ind w:left="810" w:hanging="360"/>
      </w:pPr>
      <w:rPr>
        <w:rFonts w:ascii="新細明體" w:eastAsia="新細明體" w:hAnsi="Times New Roman" w:cs="Times New Roman" w:hint="eastAsia"/>
      </w:rPr>
    </w:lvl>
    <w:lvl w:ilvl="1" w:tplc="04090003" w:tentative="1">
      <w:start w:val="1"/>
      <w:numFmt w:val="bullet"/>
      <w:lvlText w:val=""/>
      <w:lvlJc w:val="left"/>
      <w:pPr>
        <w:tabs>
          <w:tab w:val="num" w:pos="1410"/>
        </w:tabs>
        <w:ind w:left="1410" w:hanging="480"/>
      </w:pPr>
      <w:rPr>
        <w:rFonts w:ascii="Wingdings" w:hAnsi="Wingdings" w:hint="default"/>
      </w:rPr>
    </w:lvl>
    <w:lvl w:ilvl="2" w:tplc="04090005" w:tentative="1">
      <w:start w:val="1"/>
      <w:numFmt w:val="bullet"/>
      <w:lvlText w:val=""/>
      <w:lvlJc w:val="left"/>
      <w:pPr>
        <w:tabs>
          <w:tab w:val="num" w:pos="1890"/>
        </w:tabs>
        <w:ind w:left="1890" w:hanging="480"/>
      </w:pPr>
      <w:rPr>
        <w:rFonts w:ascii="Wingdings" w:hAnsi="Wingdings" w:hint="default"/>
      </w:rPr>
    </w:lvl>
    <w:lvl w:ilvl="3" w:tplc="04090001" w:tentative="1">
      <w:start w:val="1"/>
      <w:numFmt w:val="bullet"/>
      <w:lvlText w:val=""/>
      <w:lvlJc w:val="left"/>
      <w:pPr>
        <w:tabs>
          <w:tab w:val="num" w:pos="2370"/>
        </w:tabs>
        <w:ind w:left="2370" w:hanging="480"/>
      </w:pPr>
      <w:rPr>
        <w:rFonts w:ascii="Wingdings" w:hAnsi="Wingdings" w:hint="default"/>
      </w:rPr>
    </w:lvl>
    <w:lvl w:ilvl="4" w:tplc="04090003" w:tentative="1">
      <w:start w:val="1"/>
      <w:numFmt w:val="bullet"/>
      <w:lvlText w:val=""/>
      <w:lvlJc w:val="left"/>
      <w:pPr>
        <w:tabs>
          <w:tab w:val="num" w:pos="2850"/>
        </w:tabs>
        <w:ind w:left="2850" w:hanging="480"/>
      </w:pPr>
      <w:rPr>
        <w:rFonts w:ascii="Wingdings" w:hAnsi="Wingdings" w:hint="default"/>
      </w:rPr>
    </w:lvl>
    <w:lvl w:ilvl="5" w:tplc="04090005" w:tentative="1">
      <w:start w:val="1"/>
      <w:numFmt w:val="bullet"/>
      <w:lvlText w:val=""/>
      <w:lvlJc w:val="left"/>
      <w:pPr>
        <w:tabs>
          <w:tab w:val="num" w:pos="3330"/>
        </w:tabs>
        <w:ind w:left="3330" w:hanging="480"/>
      </w:pPr>
      <w:rPr>
        <w:rFonts w:ascii="Wingdings" w:hAnsi="Wingdings" w:hint="default"/>
      </w:rPr>
    </w:lvl>
    <w:lvl w:ilvl="6" w:tplc="04090001" w:tentative="1">
      <w:start w:val="1"/>
      <w:numFmt w:val="bullet"/>
      <w:lvlText w:val=""/>
      <w:lvlJc w:val="left"/>
      <w:pPr>
        <w:tabs>
          <w:tab w:val="num" w:pos="3810"/>
        </w:tabs>
        <w:ind w:left="3810" w:hanging="480"/>
      </w:pPr>
      <w:rPr>
        <w:rFonts w:ascii="Wingdings" w:hAnsi="Wingdings" w:hint="default"/>
      </w:rPr>
    </w:lvl>
    <w:lvl w:ilvl="7" w:tplc="04090003" w:tentative="1">
      <w:start w:val="1"/>
      <w:numFmt w:val="bullet"/>
      <w:lvlText w:val=""/>
      <w:lvlJc w:val="left"/>
      <w:pPr>
        <w:tabs>
          <w:tab w:val="num" w:pos="4290"/>
        </w:tabs>
        <w:ind w:left="4290" w:hanging="480"/>
      </w:pPr>
      <w:rPr>
        <w:rFonts w:ascii="Wingdings" w:hAnsi="Wingdings" w:hint="default"/>
      </w:rPr>
    </w:lvl>
    <w:lvl w:ilvl="8" w:tplc="04090005" w:tentative="1">
      <w:start w:val="1"/>
      <w:numFmt w:val="bullet"/>
      <w:lvlText w:val=""/>
      <w:lvlJc w:val="left"/>
      <w:pPr>
        <w:tabs>
          <w:tab w:val="num" w:pos="4770"/>
        </w:tabs>
        <w:ind w:left="4770" w:hanging="480"/>
      </w:pPr>
      <w:rPr>
        <w:rFonts w:ascii="Wingdings" w:hAnsi="Wingdings" w:hint="default"/>
      </w:rPr>
    </w:lvl>
  </w:abstractNum>
  <w:abstractNum w:abstractNumId="15" w15:restartNumberingAfterBreak="0">
    <w:nsid w:val="575931EA"/>
    <w:multiLevelType w:val="hybridMultilevel"/>
    <w:tmpl w:val="447EE976"/>
    <w:lvl w:ilvl="0" w:tplc="796E1120">
      <w:start w:val="1"/>
      <w:numFmt w:val="decimal"/>
      <w:lvlText w:val="%1."/>
      <w:lvlJc w:val="left"/>
      <w:pPr>
        <w:tabs>
          <w:tab w:val="num" w:pos="1860"/>
        </w:tabs>
        <w:ind w:left="1860" w:hanging="360"/>
      </w:pPr>
      <w:rPr>
        <w:rFonts w:hint="default"/>
      </w:rPr>
    </w:lvl>
    <w:lvl w:ilvl="1" w:tplc="04090019" w:tentative="1">
      <w:start w:val="1"/>
      <w:numFmt w:val="ideographTraditional"/>
      <w:lvlText w:val="%2、"/>
      <w:lvlJc w:val="left"/>
      <w:pPr>
        <w:tabs>
          <w:tab w:val="num" w:pos="2460"/>
        </w:tabs>
        <w:ind w:left="2460" w:hanging="480"/>
      </w:pPr>
    </w:lvl>
    <w:lvl w:ilvl="2" w:tplc="0409001B" w:tentative="1">
      <w:start w:val="1"/>
      <w:numFmt w:val="lowerRoman"/>
      <w:lvlText w:val="%3."/>
      <w:lvlJc w:val="right"/>
      <w:pPr>
        <w:tabs>
          <w:tab w:val="num" w:pos="2940"/>
        </w:tabs>
        <w:ind w:left="2940" w:hanging="480"/>
      </w:pPr>
    </w:lvl>
    <w:lvl w:ilvl="3" w:tplc="0409000F" w:tentative="1">
      <w:start w:val="1"/>
      <w:numFmt w:val="decimal"/>
      <w:lvlText w:val="%4."/>
      <w:lvlJc w:val="left"/>
      <w:pPr>
        <w:tabs>
          <w:tab w:val="num" w:pos="3420"/>
        </w:tabs>
        <w:ind w:left="3420" w:hanging="480"/>
      </w:pPr>
    </w:lvl>
    <w:lvl w:ilvl="4" w:tplc="04090019" w:tentative="1">
      <w:start w:val="1"/>
      <w:numFmt w:val="ideographTraditional"/>
      <w:lvlText w:val="%5、"/>
      <w:lvlJc w:val="left"/>
      <w:pPr>
        <w:tabs>
          <w:tab w:val="num" w:pos="3900"/>
        </w:tabs>
        <w:ind w:left="3900" w:hanging="480"/>
      </w:pPr>
    </w:lvl>
    <w:lvl w:ilvl="5" w:tplc="0409001B" w:tentative="1">
      <w:start w:val="1"/>
      <w:numFmt w:val="lowerRoman"/>
      <w:lvlText w:val="%6."/>
      <w:lvlJc w:val="right"/>
      <w:pPr>
        <w:tabs>
          <w:tab w:val="num" w:pos="4380"/>
        </w:tabs>
        <w:ind w:left="4380" w:hanging="480"/>
      </w:pPr>
    </w:lvl>
    <w:lvl w:ilvl="6" w:tplc="0409000F" w:tentative="1">
      <w:start w:val="1"/>
      <w:numFmt w:val="decimal"/>
      <w:lvlText w:val="%7."/>
      <w:lvlJc w:val="left"/>
      <w:pPr>
        <w:tabs>
          <w:tab w:val="num" w:pos="4860"/>
        </w:tabs>
        <w:ind w:left="4860" w:hanging="480"/>
      </w:pPr>
    </w:lvl>
    <w:lvl w:ilvl="7" w:tplc="04090019" w:tentative="1">
      <w:start w:val="1"/>
      <w:numFmt w:val="ideographTraditional"/>
      <w:lvlText w:val="%8、"/>
      <w:lvlJc w:val="left"/>
      <w:pPr>
        <w:tabs>
          <w:tab w:val="num" w:pos="5340"/>
        </w:tabs>
        <w:ind w:left="5340" w:hanging="480"/>
      </w:pPr>
    </w:lvl>
    <w:lvl w:ilvl="8" w:tplc="0409001B" w:tentative="1">
      <w:start w:val="1"/>
      <w:numFmt w:val="lowerRoman"/>
      <w:lvlText w:val="%9."/>
      <w:lvlJc w:val="right"/>
      <w:pPr>
        <w:tabs>
          <w:tab w:val="num" w:pos="5820"/>
        </w:tabs>
        <w:ind w:left="5820" w:hanging="480"/>
      </w:pPr>
    </w:lvl>
  </w:abstractNum>
  <w:abstractNum w:abstractNumId="16" w15:restartNumberingAfterBreak="0">
    <w:nsid w:val="68025A4C"/>
    <w:multiLevelType w:val="singleLevel"/>
    <w:tmpl w:val="D2A0E22A"/>
    <w:lvl w:ilvl="0">
      <w:start w:val="1"/>
      <w:numFmt w:val="lowerLetter"/>
      <w:lvlText w:val="%1."/>
      <w:lvlJc w:val="left"/>
      <w:pPr>
        <w:tabs>
          <w:tab w:val="num" w:pos="1065"/>
        </w:tabs>
        <w:ind w:left="1065" w:hanging="405"/>
      </w:pPr>
      <w:rPr>
        <w:rFonts w:hint="eastAsia"/>
      </w:rPr>
    </w:lvl>
  </w:abstractNum>
  <w:abstractNum w:abstractNumId="17" w15:restartNumberingAfterBreak="0">
    <w:nsid w:val="6CE90157"/>
    <w:multiLevelType w:val="hybridMultilevel"/>
    <w:tmpl w:val="645EFB00"/>
    <w:lvl w:ilvl="0" w:tplc="05A280DA">
      <w:start w:val="1"/>
      <w:numFmt w:val="ideographLegalTraditional"/>
      <w:lvlText w:val="%1、"/>
      <w:lvlJc w:val="left"/>
      <w:pPr>
        <w:tabs>
          <w:tab w:val="num" w:pos="480"/>
        </w:tabs>
        <w:ind w:left="480" w:hanging="480"/>
      </w:pPr>
      <w:rPr>
        <w:rFonts w:hint="eastAsia"/>
      </w:rPr>
    </w:lvl>
    <w:lvl w:ilvl="1" w:tplc="EC2606BC">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26A22AA"/>
    <w:multiLevelType w:val="hybridMultilevel"/>
    <w:tmpl w:val="2C309A7E"/>
    <w:lvl w:ilvl="0" w:tplc="48F8B43E">
      <w:start w:val="1"/>
      <w:numFmt w:val="decimal"/>
      <w:lvlText w:val="%1."/>
      <w:lvlJc w:val="left"/>
      <w:pPr>
        <w:tabs>
          <w:tab w:val="num" w:pos="940"/>
        </w:tabs>
        <w:ind w:left="940" w:hanging="54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9" w15:restartNumberingAfterBreak="0">
    <w:nsid w:val="7BD563FD"/>
    <w:multiLevelType w:val="hybridMultilevel"/>
    <w:tmpl w:val="5556502A"/>
    <w:lvl w:ilvl="0" w:tplc="335A7C3E">
      <w:start w:val="1"/>
      <w:numFmt w:val="taiwaneseCountingThousand"/>
      <w:lvlText w:val="%1、"/>
      <w:lvlJc w:val="left"/>
      <w:pPr>
        <w:tabs>
          <w:tab w:val="num" w:pos="840"/>
        </w:tabs>
        <w:ind w:left="840" w:hanging="390"/>
      </w:pPr>
      <w:rPr>
        <w:rFonts w:hint="default"/>
      </w:rPr>
    </w:lvl>
    <w:lvl w:ilvl="1" w:tplc="D8FCCD2A">
      <w:start w:val="1"/>
      <w:numFmt w:val="decimal"/>
      <w:lvlText w:val="%2."/>
      <w:lvlJc w:val="left"/>
      <w:pPr>
        <w:tabs>
          <w:tab w:val="num" w:pos="1470"/>
        </w:tabs>
        <w:ind w:left="1470" w:hanging="540"/>
      </w:pPr>
      <w:rPr>
        <w:rFonts w:hint="default"/>
      </w:r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20" w15:restartNumberingAfterBreak="0">
    <w:nsid w:val="7CC01263"/>
    <w:multiLevelType w:val="hybridMultilevel"/>
    <w:tmpl w:val="30D258FA"/>
    <w:lvl w:ilvl="0" w:tplc="2D6CD3A8">
      <w:start w:val="1"/>
      <w:numFmt w:val="decimal"/>
      <w:lvlText w:val="%1."/>
      <w:lvlJc w:val="left"/>
      <w:pPr>
        <w:tabs>
          <w:tab w:val="num" w:pos="0"/>
        </w:tabs>
        <w:ind w:left="0" w:hanging="360"/>
      </w:pPr>
      <w:rPr>
        <w:rFonts w:ascii="Times New Roman" w:eastAsia="華康仿宋體W6"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num w:numId="1">
    <w:abstractNumId w:val="6"/>
  </w:num>
  <w:num w:numId="2">
    <w:abstractNumId w:val="7"/>
  </w:num>
  <w:num w:numId="3">
    <w:abstractNumId w:val="17"/>
  </w:num>
  <w:num w:numId="4">
    <w:abstractNumId w:val="9"/>
  </w:num>
  <w:num w:numId="5">
    <w:abstractNumId w:val="3"/>
  </w:num>
  <w:num w:numId="6">
    <w:abstractNumId w:val="13"/>
  </w:num>
  <w:num w:numId="7">
    <w:abstractNumId w:val="16"/>
  </w:num>
  <w:num w:numId="8">
    <w:abstractNumId w:val="2"/>
  </w:num>
  <w:num w:numId="9">
    <w:abstractNumId w:val="1"/>
  </w:num>
  <w:num w:numId="10">
    <w:abstractNumId w:val="8"/>
  </w:num>
  <w:num w:numId="11">
    <w:abstractNumId w:val="10"/>
  </w:num>
  <w:num w:numId="12">
    <w:abstractNumId w:val="11"/>
  </w:num>
  <w:num w:numId="13">
    <w:abstractNumId w:val="12"/>
  </w:num>
  <w:num w:numId="14">
    <w:abstractNumId w:val="0"/>
  </w:num>
  <w:num w:numId="15">
    <w:abstractNumId w:val="5"/>
  </w:num>
  <w:num w:numId="16">
    <w:abstractNumId w:val="20"/>
  </w:num>
  <w:num w:numId="17">
    <w:abstractNumId w:val="14"/>
  </w:num>
  <w:num w:numId="18">
    <w:abstractNumId w:val="19"/>
  </w:num>
  <w:num w:numId="19">
    <w:abstractNumId w:val="15"/>
  </w:num>
  <w:num w:numId="20">
    <w:abstractNumId w:val="4"/>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AE"/>
    <w:rsid w:val="002D1830"/>
    <w:rsid w:val="00703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3F845-318F-4C9F-BE78-23F69D9F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kern w:val="2"/>
      <w:sz w:val="24"/>
      <w:szCs w:val="24"/>
    </w:rPr>
  </w:style>
  <w:style w:type="paragraph" w:styleId="1">
    <w:name w:val="heading 1"/>
    <w:basedOn w:val="a"/>
    <w:next w:val="a"/>
    <w:qFormat/>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pPr>
      <w:keepNext/>
      <w:numPr>
        <w:ilvl w:val="3"/>
        <w:numId w:val="1"/>
      </w:numPr>
      <w:spacing w:line="720" w:lineRule="auto"/>
      <w:outlineLvl w:val="3"/>
    </w:pPr>
    <w:rPr>
      <w:rFonts w:ascii="Arial" w:hAnsi="Arial"/>
      <w:sz w:val="36"/>
      <w:szCs w:val="36"/>
    </w:rPr>
  </w:style>
  <w:style w:type="paragraph" w:styleId="5">
    <w:name w:val="heading 5"/>
    <w:basedOn w:val="a"/>
    <w:next w:val="a"/>
    <w:qFormat/>
    <w:pPr>
      <w:keepNext/>
      <w:numPr>
        <w:ilvl w:val="4"/>
        <w:numId w:val="1"/>
      </w:numPr>
      <w:spacing w:line="720" w:lineRule="auto"/>
      <w:ind w:leftChars="200"/>
      <w:outlineLvl w:val="4"/>
    </w:pPr>
    <w:rPr>
      <w:rFonts w:ascii="Arial" w:hAnsi="Arial"/>
      <w:b/>
      <w:bCs/>
      <w:sz w:val="36"/>
      <w:szCs w:val="36"/>
    </w:rPr>
  </w:style>
  <w:style w:type="paragraph" w:styleId="6">
    <w:name w:val="heading 6"/>
    <w:basedOn w:val="a"/>
    <w:next w:val="a"/>
    <w:qFormat/>
    <w:pPr>
      <w:keepNext/>
      <w:numPr>
        <w:ilvl w:val="5"/>
        <w:numId w:val="1"/>
      </w:numPr>
      <w:spacing w:line="720" w:lineRule="auto"/>
      <w:ind w:leftChars="200"/>
      <w:outlineLvl w:val="5"/>
    </w:pPr>
    <w:rPr>
      <w:rFonts w:ascii="Arial" w:hAnsi="Arial"/>
      <w:sz w:val="36"/>
      <w:szCs w:val="36"/>
    </w:rPr>
  </w:style>
  <w:style w:type="paragraph" w:styleId="7">
    <w:name w:val="heading 7"/>
    <w:basedOn w:val="a"/>
    <w:next w:val="a"/>
    <w:qFormat/>
    <w:pPr>
      <w:keepNext/>
      <w:numPr>
        <w:ilvl w:val="6"/>
        <w:numId w:val="1"/>
      </w:numPr>
      <w:spacing w:line="720" w:lineRule="auto"/>
      <w:ind w:leftChars="400"/>
      <w:outlineLvl w:val="6"/>
    </w:pPr>
    <w:rPr>
      <w:rFonts w:ascii="Arial" w:hAnsi="Arial"/>
      <w:b/>
      <w:bCs/>
      <w:sz w:val="36"/>
      <w:szCs w:val="36"/>
    </w:rPr>
  </w:style>
  <w:style w:type="paragraph" w:styleId="8">
    <w:name w:val="heading 8"/>
    <w:basedOn w:val="a"/>
    <w:next w:val="a"/>
    <w:qFormat/>
    <w:pPr>
      <w:keepNext/>
      <w:numPr>
        <w:ilvl w:val="7"/>
        <w:numId w:val="1"/>
      </w:numPr>
      <w:spacing w:line="720" w:lineRule="auto"/>
      <w:ind w:leftChars="400"/>
      <w:outlineLvl w:val="7"/>
    </w:pPr>
    <w:rPr>
      <w:rFonts w:ascii="Arial" w:hAnsi="Arial"/>
      <w:sz w:val="36"/>
      <w:szCs w:val="36"/>
    </w:rPr>
  </w:style>
  <w:style w:type="paragraph" w:styleId="9">
    <w:name w:val="heading 9"/>
    <w:basedOn w:val="a"/>
    <w:next w:val="a"/>
    <w:qFormat/>
    <w:pPr>
      <w:keepNext/>
      <w:numPr>
        <w:ilvl w:val="8"/>
        <w:numId w:val="1"/>
      </w:numPr>
      <w:spacing w:line="720" w:lineRule="auto"/>
      <w:ind w:leftChars="400"/>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jc w:val="left"/>
    </w:pPr>
    <w:rPr>
      <w:sz w:val="20"/>
      <w:szCs w:val="20"/>
    </w:rPr>
  </w:style>
  <w:style w:type="character" w:styleId="a6">
    <w:name w:val="footnote reference"/>
    <w:basedOn w:val="a0"/>
    <w:semiHidden/>
    <w:rPr>
      <w:vertAlign w:val="superscript"/>
    </w:rPr>
  </w:style>
  <w:style w:type="character" w:styleId="a7">
    <w:name w:val="Hyperlink"/>
    <w:basedOn w:val="a0"/>
    <w:semiHidden/>
    <w:rPr>
      <w:color w:val="0000FF"/>
      <w:u w:val="single"/>
    </w:rPr>
  </w:style>
  <w:style w:type="paragraph" w:styleId="a8">
    <w:name w:val="annotation text"/>
    <w:basedOn w:val="a"/>
    <w:semiHidden/>
    <w:pPr>
      <w:ind w:firstLineChars="0" w:firstLine="0"/>
      <w:jc w:val="left"/>
    </w:pPr>
    <w:rPr>
      <w:szCs w:val="20"/>
    </w:rPr>
  </w:style>
  <w:style w:type="paragraph" w:styleId="a9">
    <w:name w:val="Block Text"/>
    <w:basedOn w:val="a"/>
    <w:semiHidden/>
    <w:pPr>
      <w:spacing w:line="360" w:lineRule="auto"/>
      <w:ind w:left="540" w:right="386" w:firstLineChars="0" w:firstLine="480"/>
      <w:jc w:val="left"/>
    </w:pPr>
    <w:rPr>
      <w:rFonts w:eastAsia="標楷體"/>
      <w:szCs w:val="20"/>
    </w:rPr>
  </w:style>
  <w:style w:type="paragraph" w:styleId="aa">
    <w:name w:val="Body Text Indent"/>
    <w:basedOn w:val="a"/>
    <w:semiHidden/>
    <w:pPr>
      <w:widowControl/>
      <w:tabs>
        <w:tab w:val="left" w:pos="1418"/>
      </w:tabs>
      <w:autoSpaceDE w:val="0"/>
      <w:autoSpaceDN w:val="0"/>
      <w:ind w:firstLineChars="0" w:firstLine="0"/>
      <w:jc w:val="left"/>
    </w:pPr>
    <w:rPr>
      <w:b/>
      <w:kern w:val="0"/>
      <w:sz w:val="22"/>
      <w:szCs w:val="20"/>
    </w:rPr>
  </w:style>
  <w:style w:type="paragraph" w:styleId="ab">
    <w:name w:val="header"/>
    <w:basedOn w:val="a"/>
    <w:semiHidden/>
    <w:pPr>
      <w:tabs>
        <w:tab w:val="center" w:pos="4153"/>
        <w:tab w:val="right" w:pos="8306"/>
      </w:tabs>
      <w:snapToGrid w:val="0"/>
    </w:pPr>
    <w:rPr>
      <w:sz w:val="20"/>
      <w:szCs w:val="20"/>
    </w:rPr>
  </w:style>
  <w:style w:type="paragraph" w:styleId="20">
    <w:name w:val="Body Text Indent 2"/>
    <w:basedOn w:val="a"/>
    <w:semiHidden/>
    <w:pPr>
      <w:ind w:left="440" w:firstLineChars="0" w:hanging="240"/>
    </w:pPr>
    <w:rPr>
      <w:rFonts w:ascii="標楷體" w:eastAsia="標楷體"/>
    </w:rPr>
  </w:style>
  <w:style w:type="paragraph" w:styleId="30">
    <w:name w:val="Body Text Indent 3"/>
    <w:basedOn w:val="a"/>
    <w:semiHidden/>
    <w:pPr>
      <w:ind w:firstLineChars="0" w:firstLine="240"/>
    </w:pPr>
    <w:rPr>
      <w:rFonts w:ascii="標楷體"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binet-office.gov.uk/civilservice/managementcode/csm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4617</Words>
  <Characters>26319</Characters>
  <Application>Microsoft Office Word</Application>
  <DocSecurity>0</DocSecurity>
  <Lines>219</Lines>
  <Paragraphs>61</Paragraphs>
  <ScaleCrop>false</ScaleCrop>
  <Company>NTU</Company>
  <LinksUpToDate>false</LinksUpToDate>
  <CharactersWithSpaces>30875</CharactersWithSpaces>
  <SharedDoc>false</SharedDoc>
  <HLinks>
    <vt:vector size="6" baseType="variant">
      <vt:variant>
        <vt:i4>4325395</vt:i4>
      </vt:variant>
      <vt:variant>
        <vt:i4>0</vt:i4>
      </vt:variant>
      <vt:variant>
        <vt:i4>0</vt:i4>
      </vt:variant>
      <vt:variant>
        <vt:i4>5</vt:i4>
      </vt:variant>
      <vt:variant>
        <vt:lpwstr>http://www.cabinet-office.gov.uk/civilservice/managementcode/csmc.pdf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dc:title>
  <dc:subject/>
  <dc:creator>Lin</dc:creator>
  <cp:keywords/>
  <dc:description/>
  <cp:lastModifiedBy>卓卿雲</cp:lastModifiedBy>
  <cp:revision>2</cp:revision>
  <cp:lastPrinted>2002-11-25T06:17:00Z</cp:lastPrinted>
  <dcterms:created xsi:type="dcterms:W3CDTF">2021-09-27T02:54:00Z</dcterms:created>
  <dcterms:modified xsi:type="dcterms:W3CDTF">2021-09-27T02:54:00Z</dcterms:modified>
</cp:coreProperties>
</file>