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645DA">
      <w:pPr>
        <w:spacing w:line="360" w:lineRule="auto"/>
        <w:ind w:firstLine="640"/>
        <w:jc w:val="center"/>
        <w:rPr>
          <w:rFonts w:ascii="新細明體" w:hint="eastAsia"/>
          <w:sz w:val="32"/>
        </w:rPr>
      </w:pPr>
      <w:bookmarkStart w:id="0" w:name="_GoBack"/>
      <w:bookmarkEnd w:id="0"/>
      <w:r>
        <w:rPr>
          <w:rFonts w:ascii="新細明體" w:hint="eastAsia"/>
          <w:sz w:val="32"/>
          <w:shd w:val="pct15" w:color="auto" w:fill="FFFFFF"/>
        </w:rPr>
        <w:t>公務人員因公涉訟輔助之研究</w:t>
      </w:r>
    </w:p>
    <w:p w:rsidR="00000000" w:rsidRDefault="00B645DA">
      <w:pPr>
        <w:pStyle w:val="1"/>
        <w:numPr>
          <w:ilvl w:val="0"/>
          <w:numId w:val="0"/>
        </w:numPr>
        <w:spacing w:line="360" w:lineRule="auto"/>
        <w:ind w:leftChars="200" w:left="480"/>
        <w:jc w:val="center"/>
        <w:rPr>
          <w:rFonts w:ascii="新細明體" w:hint="eastAsia"/>
          <w:b w:val="0"/>
          <w:sz w:val="32"/>
          <w:szCs w:val="32"/>
        </w:rPr>
      </w:pPr>
      <w:r>
        <w:rPr>
          <w:rFonts w:ascii="新細明體" w:hint="eastAsia"/>
          <w:b w:val="0"/>
          <w:sz w:val="32"/>
          <w:szCs w:val="32"/>
        </w:rPr>
        <w:t>第一章</w:t>
      </w:r>
      <w:r>
        <w:rPr>
          <w:rFonts w:ascii="新細明體" w:hint="eastAsia"/>
          <w:b w:val="0"/>
          <w:sz w:val="32"/>
          <w:szCs w:val="32"/>
        </w:rPr>
        <w:t xml:space="preserve"> </w:t>
      </w:r>
      <w:r>
        <w:rPr>
          <w:rFonts w:ascii="新細明體" w:hint="eastAsia"/>
          <w:b w:val="0"/>
          <w:sz w:val="32"/>
          <w:szCs w:val="32"/>
        </w:rPr>
        <w:t>緒論</w:t>
      </w:r>
    </w:p>
    <w:p w:rsidR="00000000" w:rsidRDefault="00B645DA">
      <w:pPr>
        <w:numPr>
          <w:ilvl w:val="1"/>
          <w:numId w:val="1"/>
        </w:numPr>
        <w:spacing w:line="360" w:lineRule="auto"/>
        <w:ind w:firstLineChars="0"/>
        <w:jc w:val="center"/>
        <w:rPr>
          <w:rFonts w:ascii="新細明體" w:hint="eastAsia"/>
          <w:sz w:val="28"/>
          <w:szCs w:val="28"/>
        </w:rPr>
      </w:pPr>
      <w:r>
        <w:rPr>
          <w:rFonts w:ascii="新細明體" w:hint="eastAsia"/>
          <w:sz w:val="28"/>
          <w:szCs w:val="28"/>
        </w:rPr>
        <w:t>研究動機與目的</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公務員身處現代之風險社會（</w:t>
      </w:r>
      <w:r>
        <w:rPr>
          <w:rFonts w:ascii="新細明體" w:hint="eastAsia"/>
        </w:rPr>
        <w:t>die Risikogesellschaft</w:t>
      </w:r>
      <w:r>
        <w:rPr>
          <w:rFonts w:ascii="新細明體" w:hint="eastAsia"/>
        </w:rPr>
        <w:t>），於其執行職務之際，每人皆有可能遭遇訴訟上或法律上之風險，這些風險包括有公務員不法侵害人民之權益；或相反的，人民也可能不法侵害公務員之權益。導致此種不法侵害之背後原因則不勝枚舉，諸如：大量科技使用時之不注意，法令過度細緻分殊或公務員（人民）之故意或重大過失所致等等皆有可能致此種風險。國家於這種情形下，基於公務員乃國家手足之延長法理，勢必無法也不能袖手旁觀，從而，國家積極去</w:t>
      </w:r>
      <w:r>
        <w:rPr>
          <w:rFonts w:ascii="新細明體" w:hint="eastAsia"/>
        </w:rPr>
        <w:t>扮演著保險人之角色，承擔起公務員風險之責任，乃有「公務員因公涉訟輔助制度」之源起與建構。</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按我國公務人員保障法第十三條雖有規定：「公務人員依法執行職務涉訟或遭受侵害時，其服務機關應延聘律師為其辯護及提供法律上之協助（第一項）。」並據此訂有「公務人員因公涉訟輔助辦法」共十條，俾利執行。但是，在事實上之成效，則似甚為有限。一方面似因公務人員普遍不甚瞭解此一制度的可用性；另外一方面也似因行政機關在拮据有限之機關預算下，亦不便多鼓勵公務員多利用此一避險工具。影響所及，此種涉訟輔助制度性之保障，似未發揮當初預</w:t>
      </w:r>
      <w:r>
        <w:rPr>
          <w:rFonts w:ascii="新細明體" w:hint="eastAsia"/>
        </w:rPr>
        <w:t>設之功能。公務員因公涉訟時，需自求多福，上焉者自聘律師為其法定代理人代為處理涉訟事件，下焉者則單槍匹馬，個人獨自應付處理龐大且冗長繁雜之涉訟事務，致影響公務員戮力從公之熱忱，也連帶影響行政執行效力與機關行事外部魄力，公務員心態上也易形成保守消極，不易具有開拓性之主動積極，勇於任事之態度。在實際所生涉訟案例中，亦不乏可見涉訟後之公務員，一改以前果斷之行事風格，變得心灰意冷，不願有所創新作為者。</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據此，基於探究我國因公涉訟制度成效不彰的制度性背後因素，並尋求其解</w:t>
      </w:r>
      <w:r>
        <w:rPr>
          <w:rFonts w:ascii="新細明體" w:hint="eastAsia"/>
        </w:rPr>
        <w:lastRenderedPageBreak/>
        <w:t>決之道的動機，乃受考試院公務人員保障暨培訓</w:t>
      </w:r>
      <w:r>
        <w:rPr>
          <w:rFonts w:ascii="新細明體" w:hint="eastAsia"/>
        </w:rPr>
        <w:t>委員會之委託，展開本研究計畫之撰寫，希望透過制度性的改善，能夠使得我國因公涉訟制度趨向合理化、有效化之設計，進而能夠促使公務員勇於任事的風格，逐漸改變目前公務員較為保守（避險）的行事風格，營造有溫暖有人性及有效率的公務員制度。</w:t>
      </w:r>
    </w:p>
    <w:p w:rsidR="00000000" w:rsidRDefault="00B645DA">
      <w:pPr>
        <w:spacing w:line="360" w:lineRule="auto"/>
        <w:ind w:firstLineChars="0" w:firstLine="0"/>
        <w:rPr>
          <w:rFonts w:ascii="新細明體" w:hint="eastAsia"/>
        </w:rPr>
      </w:pPr>
    </w:p>
    <w:p w:rsidR="00000000" w:rsidRDefault="00B645DA">
      <w:pPr>
        <w:numPr>
          <w:ilvl w:val="1"/>
          <w:numId w:val="1"/>
        </w:numPr>
        <w:spacing w:line="360" w:lineRule="auto"/>
        <w:ind w:firstLineChars="0"/>
        <w:jc w:val="center"/>
        <w:rPr>
          <w:rFonts w:ascii="新細明體" w:hint="eastAsia"/>
          <w:sz w:val="28"/>
          <w:szCs w:val="28"/>
        </w:rPr>
      </w:pPr>
      <w:r>
        <w:rPr>
          <w:rFonts w:ascii="新細明體" w:hint="eastAsia"/>
          <w:sz w:val="28"/>
          <w:szCs w:val="28"/>
        </w:rPr>
        <w:t>研究架構與方法</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本研究計畫共分成六章，除第一章緒論及最後一章結論外，第二章為外國公務員因公涉訟法制之介紹，為集中討論起見，僅集中於英國、日本及德國三國制度之說明，希望藉助他山之石，彌補並完備化制度上之基本內容。第三章則針對我國公務人員因公涉訟制度之主要課題進行逐項討論，尤其</w:t>
      </w:r>
      <w:r>
        <w:rPr>
          <w:rFonts w:ascii="新細明體" w:hint="eastAsia"/>
        </w:rPr>
        <w:t>從學理上及實務解釋上之瑕疵，提出研究計畫之修正構想，充當第五章修改條文之基礎理論。第四章則透過委託機關行文給全國各機關所為問卷調查之分析，擬與第三章學理上之討論，相互印證配合研究，以檢討實然面問題是否與學理相似。第五章則提出因公涉訟輔助辦法之修正條文，並以法制作業之體例，分成總說明，條文對照表及說明二部份，進行細緻之檢討及修法具體建議。最後一章則提出本計畫簡短結論，呼籲並建議提昇本制度之位階，以長期解決因以行政命令位階規範，難以突破法律結構性限制之困窘，尤其是「法律保留原則」之限制。</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本研究計畫之研</w:t>
      </w:r>
      <w:r>
        <w:rPr>
          <w:rFonts w:ascii="新細明體" w:hint="eastAsia"/>
        </w:rPr>
        <w:t>究方法除「文獻分析法」外，另外尚有「問卷調查法」（第四章）及外國法之比較方法（第二章），並以歸納法貫穿各章節間，綜合彙整各方意見後，最後並於九月上旬舉行一場實務及學者專家座談會，集思廣益，共同凝聚思考菁華，有助於修正並確定我國現行因公涉訟制度不完備之地方。</w:t>
      </w:r>
    </w:p>
    <w:p w:rsidR="00000000" w:rsidRDefault="00B645DA">
      <w:pPr>
        <w:spacing w:line="360" w:lineRule="auto"/>
        <w:ind w:firstLineChars="0" w:firstLine="0"/>
        <w:rPr>
          <w:rFonts w:ascii="新細明體" w:hint="eastAsia"/>
        </w:rPr>
      </w:pPr>
    </w:p>
    <w:p w:rsidR="00000000" w:rsidRDefault="00B645DA">
      <w:pPr>
        <w:numPr>
          <w:ilvl w:val="1"/>
          <w:numId w:val="1"/>
        </w:numPr>
        <w:spacing w:line="360" w:lineRule="auto"/>
        <w:ind w:firstLineChars="0"/>
        <w:jc w:val="center"/>
        <w:rPr>
          <w:rFonts w:ascii="新細明體" w:hint="eastAsia"/>
          <w:sz w:val="28"/>
          <w:szCs w:val="28"/>
        </w:rPr>
      </w:pPr>
      <w:r>
        <w:rPr>
          <w:rFonts w:ascii="新細明體" w:hint="eastAsia"/>
          <w:sz w:val="28"/>
          <w:szCs w:val="28"/>
        </w:rPr>
        <w:t>研究團隊與工作分配</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本研究計畫必須在極短時間及有限之經費下提出研究成果，所以研究團隊成員之選擇及分工即非常精簡。計畫主持人台大法律系林明鏘教授除綜合掌控計畫</w:t>
      </w:r>
      <w:r>
        <w:rPr>
          <w:rFonts w:ascii="新細明體" w:hint="eastAsia"/>
        </w:rPr>
        <w:lastRenderedPageBreak/>
        <w:t>進度，協調團隊分工及主持團隊討論外，並負責第一章、第二章（德國法部份）、第三章及第六章內</w:t>
      </w:r>
      <w:r>
        <w:rPr>
          <w:rFonts w:ascii="新細明體" w:hint="eastAsia"/>
        </w:rPr>
        <w:t>容之撰寫，並參與第五章之具體內容形成。協同主持人台大法律學系助理教授許士宦博士則負責第二章的本法之部份，並協助第五章具體條文之建議及修飾文字。研究員侯慶辰律師（台大法研所碩士）則負責第二章英國法部份及第四章問卷資料分析，第五章對共同討論形成之共識修正條文文字。助理沈佩佩小姐（台大法律學系法學士）則負責第四章問卷之統計資料整理分析，專家學者座談會會議記錄以及一切對外聯絡行政事宜。</w:t>
      </w:r>
    </w:p>
    <w:p w:rsidR="00000000" w:rsidRDefault="00B645DA">
      <w:pPr>
        <w:spacing w:line="360" w:lineRule="auto"/>
        <w:ind w:firstLineChars="0" w:firstLine="0"/>
        <w:rPr>
          <w:rFonts w:ascii="新細明體" w:hint="eastAsia"/>
        </w:rPr>
      </w:pPr>
    </w:p>
    <w:p w:rsidR="00000000" w:rsidRDefault="00B645DA">
      <w:pPr>
        <w:numPr>
          <w:ilvl w:val="1"/>
          <w:numId w:val="1"/>
        </w:numPr>
        <w:spacing w:line="360" w:lineRule="auto"/>
        <w:ind w:firstLineChars="0"/>
        <w:jc w:val="center"/>
        <w:rPr>
          <w:rFonts w:ascii="新細明體" w:hint="eastAsia"/>
          <w:sz w:val="28"/>
          <w:szCs w:val="28"/>
        </w:rPr>
      </w:pPr>
      <w:r>
        <w:rPr>
          <w:rFonts w:ascii="新細明體" w:hint="eastAsia"/>
          <w:sz w:val="28"/>
          <w:szCs w:val="28"/>
        </w:rPr>
        <w:t>文獻回顧與選擇分析</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我國文獻討論因公涉訟制度者，除吳庚主持，《公務人員保障法制問題之研究》，保訓會委託研究計劃，民國</w:t>
      </w:r>
      <w:r>
        <w:rPr>
          <w:rFonts w:ascii="新細明體" w:hint="eastAsia"/>
        </w:rPr>
        <w:t>87</w:t>
      </w:r>
      <w:r>
        <w:rPr>
          <w:rFonts w:ascii="新細明體" w:hint="eastAsia"/>
        </w:rPr>
        <w:t>年</w:t>
      </w:r>
      <w:r>
        <w:rPr>
          <w:rFonts w:ascii="新細明體" w:hint="eastAsia"/>
        </w:rPr>
        <w:t>3</w:t>
      </w:r>
      <w:r>
        <w:rPr>
          <w:rFonts w:ascii="新細明體" w:hint="eastAsia"/>
        </w:rPr>
        <w:t>月，及周世珍之博士論文《公務人員保障制度之理論與實際》，台北大學博士論文，民國</w:t>
      </w:r>
      <w:r>
        <w:rPr>
          <w:rFonts w:ascii="新細明體" w:hint="eastAsia"/>
        </w:rPr>
        <w:t>90</w:t>
      </w:r>
      <w:r>
        <w:rPr>
          <w:rFonts w:ascii="新細明體" w:hint="eastAsia"/>
        </w:rPr>
        <w:t>年</w:t>
      </w:r>
      <w:r>
        <w:rPr>
          <w:rFonts w:ascii="新細明體" w:hint="eastAsia"/>
        </w:rPr>
        <w:t>1</w:t>
      </w:r>
      <w:r>
        <w:rPr>
          <w:rFonts w:ascii="新細明體" w:hint="eastAsia"/>
        </w:rPr>
        <w:t>月（未出版）少數幾頁討論外，並無其他專論或單篇學術文章可供參考，也因此國外文獻資料之介紹，對我國頗具有相當之補充性及啟發性。</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在外國法之選擇方面，雖英國法及法國法上皆有因公涉訟輔助之相關細緻規定，但是法國法資料研究團隊無法直接閱讀，故忍痛割愛，至於日本及德國公務員法上雖無公務員因公涉訟輔助之條文，但是其對一般人民之訴訟輔助制度相對發達，所以，本研究計畫乃針對日本法及德國法上一般性之「訴訟輔助制度」加以分析介紹，</w:t>
      </w:r>
      <w:r>
        <w:rPr>
          <w:rFonts w:ascii="新細明體" w:hint="eastAsia"/>
        </w:rPr>
        <w:t>當對本質頗多類似之公務人員因公涉訟制度，有所啟示作用。更何況，適用一般人民之「法律扶助法」草案，業於我國立法院審議中，待其完成三讀程序以後，定會對公務人員因公涉訟制度產生一定之影響，所以本研究計畫之研究範圍於此種例外情形下，有超越公務員法之範圍，於此合先敘明。</w:t>
      </w:r>
    </w:p>
    <w:p w:rsidR="00000000" w:rsidRDefault="00B645DA">
      <w:pPr>
        <w:spacing w:line="360" w:lineRule="auto"/>
        <w:ind w:firstLineChars="0" w:firstLine="0"/>
        <w:rPr>
          <w:rFonts w:ascii="新細明體" w:hint="eastAsia"/>
        </w:rPr>
      </w:pPr>
    </w:p>
    <w:p w:rsidR="00000000" w:rsidRDefault="00B645DA">
      <w:pPr>
        <w:numPr>
          <w:ilvl w:val="1"/>
          <w:numId w:val="1"/>
        </w:numPr>
        <w:spacing w:line="360" w:lineRule="auto"/>
        <w:ind w:firstLineChars="0"/>
        <w:jc w:val="center"/>
        <w:rPr>
          <w:rFonts w:ascii="新細明體" w:hint="eastAsia"/>
          <w:sz w:val="28"/>
          <w:szCs w:val="28"/>
        </w:rPr>
      </w:pPr>
      <w:r>
        <w:rPr>
          <w:rFonts w:ascii="新細明體" w:hint="eastAsia"/>
          <w:sz w:val="28"/>
          <w:szCs w:val="28"/>
        </w:rPr>
        <w:t>研究範圍與目標</w:t>
      </w:r>
    </w:p>
    <w:p w:rsidR="00000000" w:rsidRDefault="00B645DA">
      <w:pPr>
        <w:spacing w:line="360" w:lineRule="auto"/>
        <w:ind w:firstLineChars="0" w:firstLine="0"/>
        <w:rPr>
          <w:rFonts w:ascii="新細明體" w:hint="eastAsia"/>
        </w:rPr>
      </w:pPr>
      <w:r>
        <w:rPr>
          <w:rFonts w:ascii="新細明體" w:hint="eastAsia"/>
        </w:rPr>
        <w:t xml:space="preserve">    </w:t>
      </w:r>
      <w:r>
        <w:rPr>
          <w:rFonts w:ascii="新細明體" w:hint="eastAsia"/>
        </w:rPr>
        <w:t>本研究計畫之研究範圍原則上以公務人員保障法第十三條及公務人員因公</w:t>
      </w:r>
      <w:r>
        <w:rPr>
          <w:rFonts w:ascii="新細明體" w:hint="eastAsia"/>
        </w:rPr>
        <w:lastRenderedPageBreak/>
        <w:t>涉訟輔助辦法所規定之內容為核心，其內容包含有：</w:t>
      </w:r>
    </w:p>
    <w:p w:rsidR="00000000" w:rsidRDefault="00B645DA">
      <w:pPr>
        <w:numPr>
          <w:ilvl w:val="2"/>
          <w:numId w:val="1"/>
        </w:numPr>
        <w:spacing w:line="360" w:lineRule="auto"/>
        <w:ind w:firstLineChars="0"/>
        <w:rPr>
          <w:rFonts w:ascii="新細明體" w:hint="eastAsia"/>
        </w:rPr>
      </w:pPr>
      <w:r>
        <w:rPr>
          <w:rFonts w:ascii="新細明體" w:hint="eastAsia"/>
        </w:rPr>
        <w:t>適用輔助之對象；</w:t>
      </w:r>
    </w:p>
    <w:p w:rsidR="00000000" w:rsidRDefault="00B645DA">
      <w:pPr>
        <w:numPr>
          <w:ilvl w:val="2"/>
          <w:numId w:val="1"/>
        </w:numPr>
        <w:spacing w:line="360" w:lineRule="auto"/>
        <w:ind w:firstLineChars="0"/>
        <w:rPr>
          <w:rFonts w:ascii="新細明體" w:hint="eastAsia"/>
        </w:rPr>
      </w:pPr>
      <w:r>
        <w:rPr>
          <w:rFonts w:ascii="新細明體" w:hint="eastAsia"/>
        </w:rPr>
        <w:t>因公涉訟之訴訟程序範圍為何問題；</w:t>
      </w:r>
    </w:p>
    <w:p w:rsidR="00000000" w:rsidRDefault="00B645DA">
      <w:pPr>
        <w:numPr>
          <w:ilvl w:val="2"/>
          <w:numId w:val="1"/>
        </w:numPr>
        <w:spacing w:line="360" w:lineRule="auto"/>
        <w:ind w:firstLineChars="0"/>
        <w:rPr>
          <w:rFonts w:ascii="新細明體" w:hint="eastAsia"/>
        </w:rPr>
      </w:pPr>
      <w:r>
        <w:rPr>
          <w:rFonts w:ascii="新細明體" w:hint="eastAsia"/>
        </w:rPr>
        <w:t>「因公涉訟」，何謂「因公」如何認定問題；</w:t>
      </w:r>
    </w:p>
    <w:p w:rsidR="00000000" w:rsidRDefault="00B645DA">
      <w:pPr>
        <w:numPr>
          <w:ilvl w:val="2"/>
          <w:numId w:val="1"/>
        </w:numPr>
        <w:spacing w:line="360" w:lineRule="auto"/>
        <w:ind w:firstLineChars="0"/>
        <w:rPr>
          <w:rFonts w:ascii="新細明體" w:hint="eastAsia"/>
        </w:rPr>
      </w:pPr>
      <w:r>
        <w:rPr>
          <w:rFonts w:ascii="新細明體" w:hint="eastAsia"/>
        </w:rPr>
        <w:t>若判決事後認非因公</w:t>
      </w:r>
      <w:r>
        <w:rPr>
          <w:rFonts w:ascii="新細明體" w:hint="eastAsia"/>
        </w:rPr>
        <w:t>時，已輔助部分如何回復原狀問題；</w:t>
      </w:r>
    </w:p>
    <w:p w:rsidR="00000000" w:rsidRDefault="00B645DA">
      <w:pPr>
        <w:numPr>
          <w:ilvl w:val="2"/>
          <w:numId w:val="1"/>
        </w:numPr>
        <w:spacing w:line="360" w:lineRule="auto"/>
        <w:ind w:firstLineChars="0"/>
        <w:rPr>
          <w:rFonts w:ascii="新細明體" w:hint="eastAsia"/>
        </w:rPr>
      </w:pPr>
      <w:r>
        <w:rPr>
          <w:rFonts w:ascii="新細明體" w:hint="eastAsia"/>
        </w:rPr>
        <w:t>代為延聘律師應如何設計問題；</w:t>
      </w:r>
    </w:p>
    <w:p w:rsidR="00000000" w:rsidRDefault="00B645DA">
      <w:pPr>
        <w:numPr>
          <w:ilvl w:val="2"/>
          <w:numId w:val="1"/>
        </w:numPr>
        <w:spacing w:line="360" w:lineRule="auto"/>
        <w:ind w:firstLineChars="0"/>
        <w:rPr>
          <w:rFonts w:ascii="新細明體" w:hint="eastAsia"/>
        </w:rPr>
      </w:pPr>
      <w:r>
        <w:rPr>
          <w:rFonts w:ascii="新細明體" w:hint="eastAsia"/>
        </w:rPr>
        <w:t>請求協助時效問題；</w:t>
      </w:r>
    </w:p>
    <w:p w:rsidR="00000000" w:rsidRDefault="00B645DA">
      <w:pPr>
        <w:numPr>
          <w:ilvl w:val="2"/>
          <w:numId w:val="1"/>
        </w:numPr>
        <w:spacing w:line="360" w:lineRule="auto"/>
        <w:ind w:firstLineChars="0"/>
        <w:rPr>
          <w:rFonts w:ascii="新細明體" w:hint="eastAsia"/>
        </w:rPr>
      </w:pPr>
      <w:r>
        <w:rPr>
          <w:rFonts w:ascii="新細明體" w:hint="eastAsia"/>
        </w:rPr>
        <w:t>法律上協助是否宜擴大及於「金錢上協助？」問題；</w:t>
      </w:r>
    </w:p>
    <w:p w:rsidR="00000000" w:rsidRDefault="00B645DA">
      <w:pPr>
        <w:numPr>
          <w:ilvl w:val="2"/>
          <w:numId w:val="1"/>
        </w:numPr>
        <w:spacing w:line="360" w:lineRule="auto"/>
        <w:ind w:firstLineChars="0"/>
        <w:rPr>
          <w:rFonts w:ascii="新細明體" w:hint="eastAsia"/>
        </w:rPr>
      </w:pPr>
      <w:r>
        <w:rPr>
          <w:rFonts w:ascii="新細明體" w:hint="eastAsia"/>
        </w:rPr>
        <w:t>輔助後對公務員之求償規定是否保留問題；</w:t>
      </w:r>
    </w:p>
    <w:p w:rsidR="00000000" w:rsidRDefault="00B645DA">
      <w:pPr>
        <w:numPr>
          <w:ilvl w:val="2"/>
          <w:numId w:val="1"/>
        </w:numPr>
        <w:spacing w:line="360" w:lineRule="auto"/>
        <w:ind w:firstLineChars="0"/>
        <w:rPr>
          <w:rFonts w:ascii="新細明體" w:hint="eastAsia"/>
        </w:rPr>
      </w:pPr>
      <w:r>
        <w:rPr>
          <w:rFonts w:ascii="新細明體" w:hint="eastAsia"/>
        </w:rPr>
        <w:t>應否增設申請與許可之正當程序規定問題；</w:t>
      </w:r>
    </w:p>
    <w:p w:rsidR="00000000" w:rsidRDefault="00B645DA">
      <w:pPr>
        <w:snapToGrid w:val="0"/>
        <w:spacing w:line="360" w:lineRule="auto"/>
        <w:ind w:firstLineChars="0" w:firstLine="0"/>
        <w:rPr>
          <w:rFonts w:ascii="新細明體" w:hint="eastAsia"/>
        </w:rPr>
      </w:pPr>
      <w:r>
        <w:rPr>
          <w:rFonts w:ascii="新細明體" w:hint="eastAsia"/>
        </w:rPr>
        <w:t xml:space="preserve">    </w:t>
      </w:r>
      <w:r>
        <w:rPr>
          <w:rFonts w:ascii="新細明體" w:hint="eastAsia"/>
        </w:rPr>
        <w:t>而研究目標則為提出具體修正條文，俾委託機關即時可以採為立法或修法之用。</w:t>
      </w: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000000" w:rsidRDefault="00B645DA">
      <w:pPr>
        <w:snapToGrid w:val="0"/>
        <w:spacing w:line="360" w:lineRule="auto"/>
        <w:ind w:firstLineChars="0" w:firstLine="0"/>
        <w:jc w:val="center"/>
        <w:rPr>
          <w:rFonts w:ascii="新細明體" w:hint="eastAsia"/>
        </w:rPr>
      </w:pPr>
    </w:p>
    <w:p w:rsidR="00B645DA" w:rsidRDefault="00B645DA">
      <w:pPr>
        <w:snapToGrid w:val="0"/>
        <w:spacing w:line="360" w:lineRule="auto"/>
        <w:ind w:firstLineChars="0" w:firstLine="0"/>
        <w:jc w:val="center"/>
        <w:rPr>
          <w:rFonts w:ascii="新細明體" w:hint="eastAsia"/>
        </w:rPr>
      </w:pPr>
    </w:p>
    <w:sectPr w:rsidR="00B645D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5DA" w:rsidRDefault="00B645DA">
      <w:pPr>
        <w:ind w:firstLine="480"/>
      </w:pPr>
      <w:r>
        <w:separator/>
      </w:r>
    </w:p>
  </w:endnote>
  <w:endnote w:type="continuationSeparator" w:id="0">
    <w:p w:rsidR="00B645DA" w:rsidRDefault="00B645D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45DA">
    <w:pPr>
      <w:pStyle w:val="a3"/>
      <w:framePr w:wrap="around" w:vAnchor="text" w:hAnchor="margin" w:xAlign="center" w:y="1"/>
      <w:ind w:firstLine="400"/>
      <w:rPr>
        <w:rStyle w:val="a4"/>
      </w:rPr>
    </w:pPr>
    <w:r>
      <w:rPr>
        <w:rStyle w:val="a4"/>
      </w:rPr>
      <w:fldChar w:fldCharType="begin"/>
    </w:r>
    <w:r>
      <w:rPr>
        <w:rStyle w:val="a4"/>
      </w:rPr>
      <w:instrText xml:space="preserve">PAGE  </w:instrText>
    </w:r>
    <w:r>
      <w:rPr>
        <w:rStyle w:val="a4"/>
      </w:rPr>
      <w:fldChar w:fldCharType="end"/>
    </w:r>
  </w:p>
  <w:p w:rsidR="00000000" w:rsidRDefault="00B645DA">
    <w:pPr>
      <w:pStyle w:val="a3"/>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45DA">
    <w:pPr>
      <w:pStyle w:val="a3"/>
      <w:framePr w:wrap="around" w:vAnchor="text" w:hAnchor="margin" w:xAlign="center" w:y="1"/>
      <w:ind w:firstLine="400"/>
      <w:rPr>
        <w:rStyle w:val="a4"/>
      </w:rPr>
    </w:pPr>
    <w:r>
      <w:rPr>
        <w:rStyle w:val="a4"/>
      </w:rPr>
      <w:fldChar w:fldCharType="begin"/>
    </w:r>
    <w:r>
      <w:rPr>
        <w:rStyle w:val="a4"/>
      </w:rPr>
      <w:instrText xml:space="preserve">PAGE  </w:instrText>
    </w:r>
    <w:r>
      <w:rPr>
        <w:rStyle w:val="a4"/>
      </w:rPr>
      <w:fldChar w:fldCharType="separate"/>
    </w:r>
    <w:r w:rsidR="00C71B0C">
      <w:rPr>
        <w:rStyle w:val="a4"/>
        <w:noProof/>
      </w:rPr>
      <w:t>1</w:t>
    </w:r>
    <w:r>
      <w:rPr>
        <w:rStyle w:val="a4"/>
      </w:rPr>
      <w:fldChar w:fldCharType="end"/>
    </w:r>
  </w:p>
  <w:p w:rsidR="00000000" w:rsidRDefault="00B645DA">
    <w:pPr>
      <w:pStyle w:val="a3"/>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45DA">
    <w:pPr>
      <w:pStyle w:val="a3"/>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5DA" w:rsidRDefault="00B645DA">
      <w:pPr>
        <w:ind w:firstLine="480"/>
      </w:pPr>
      <w:r>
        <w:separator/>
      </w:r>
    </w:p>
  </w:footnote>
  <w:footnote w:type="continuationSeparator" w:id="0">
    <w:p w:rsidR="00B645DA" w:rsidRDefault="00B645DA">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45DA">
    <w:pPr>
      <w:pStyle w:val="ab"/>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45DA">
    <w:pPr>
      <w:pStyle w:val="ab"/>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45DA">
    <w:pPr>
      <w:pStyle w:val="ab"/>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1D1B"/>
    <w:multiLevelType w:val="multilevel"/>
    <w:tmpl w:val="04090027"/>
    <w:lvl w:ilvl="0">
      <w:start w:val="1"/>
      <w:numFmt w:val="decimalFullWidth"/>
      <w:pStyle w:val="1"/>
      <w:suff w:val="nothing"/>
      <w:lvlText w:val="第%1章"/>
      <w:lvlJc w:val="left"/>
      <w:pPr>
        <w:tabs>
          <w:tab w:val="num" w:pos="720"/>
        </w:tabs>
        <w:ind w:left="425" w:hanging="425"/>
      </w:pPr>
    </w:lvl>
    <w:lvl w:ilvl="1">
      <w:start w:val="1"/>
      <w:numFmt w:val="decimalFullWidth"/>
      <w:pStyle w:val="2"/>
      <w:suff w:val="nothing"/>
      <w:lvlText w:val="第%2節"/>
      <w:lvlJc w:val="left"/>
      <w:pPr>
        <w:tabs>
          <w:tab w:val="num" w:pos="1145"/>
        </w:tabs>
        <w:ind w:left="992" w:hanging="567"/>
      </w:pPr>
    </w:lvl>
    <w:lvl w:ilvl="2">
      <w:start w:val="1"/>
      <w:numFmt w:val="decimalFullWidth"/>
      <w:pStyle w:val="3"/>
      <w:suff w:val="nothing"/>
      <w:lvlText w:val="第%3項"/>
      <w:lvlJc w:val="left"/>
      <w:pPr>
        <w:tabs>
          <w:tab w:val="num" w:pos="1571"/>
        </w:tabs>
        <w:ind w:left="1418" w:hanging="567"/>
      </w:pPr>
    </w:lvl>
    <w:lvl w:ilvl="3">
      <w:start w:val="1"/>
      <w:numFmt w:val="none"/>
      <w:pStyle w:val="4"/>
      <w:suff w:val="nothing"/>
      <w:lvlText w:val=""/>
      <w:lvlJc w:val="left"/>
      <w:pPr>
        <w:tabs>
          <w:tab w:val="num" w:pos="1984"/>
        </w:tabs>
        <w:ind w:left="1984" w:hanging="708"/>
      </w:pPr>
    </w:lvl>
    <w:lvl w:ilvl="4">
      <w:start w:val="1"/>
      <w:numFmt w:val="none"/>
      <w:pStyle w:val="5"/>
      <w:suff w:val="nothing"/>
      <w:lvlText w:val=""/>
      <w:lvlJc w:val="left"/>
      <w:pPr>
        <w:tabs>
          <w:tab w:val="num" w:pos="2551"/>
        </w:tabs>
        <w:ind w:left="2551" w:hanging="850"/>
      </w:pPr>
    </w:lvl>
    <w:lvl w:ilvl="5">
      <w:start w:val="1"/>
      <w:numFmt w:val="none"/>
      <w:pStyle w:val="6"/>
      <w:suff w:val="nothing"/>
      <w:lvlText w:val=""/>
      <w:lvlJc w:val="left"/>
      <w:pPr>
        <w:tabs>
          <w:tab w:val="num" w:pos="3260"/>
        </w:tabs>
        <w:ind w:left="3260" w:hanging="1134"/>
      </w:pPr>
    </w:lvl>
    <w:lvl w:ilvl="6">
      <w:start w:val="1"/>
      <w:numFmt w:val="none"/>
      <w:pStyle w:val="7"/>
      <w:suff w:val="nothing"/>
      <w:lvlText w:val=""/>
      <w:lvlJc w:val="left"/>
      <w:pPr>
        <w:tabs>
          <w:tab w:val="num" w:pos="3827"/>
        </w:tabs>
        <w:ind w:left="3827" w:hanging="1276"/>
      </w:pPr>
    </w:lvl>
    <w:lvl w:ilvl="7">
      <w:start w:val="1"/>
      <w:numFmt w:val="none"/>
      <w:pStyle w:val="8"/>
      <w:suff w:val="nothing"/>
      <w:lvlText w:val=""/>
      <w:lvlJc w:val="left"/>
      <w:pPr>
        <w:tabs>
          <w:tab w:val="num" w:pos="4394"/>
        </w:tabs>
        <w:ind w:left="4394" w:hanging="1418"/>
      </w:pPr>
    </w:lvl>
    <w:lvl w:ilvl="8">
      <w:start w:val="1"/>
      <w:numFmt w:val="none"/>
      <w:pStyle w:val="9"/>
      <w:suff w:val="nothing"/>
      <w:lvlText w:val=""/>
      <w:lvlJc w:val="left"/>
      <w:pPr>
        <w:tabs>
          <w:tab w:val="num" w:pos="5102"/>
        </w:tabs>
        <w:ind w:left="5102" w:hanging="1700"/>
      </w:pPr>
    </w:lvl>
  </w:abstractNum>
  <w:abstractNum w:abstractNumId="1" w15:restartNumberingAfterBreak="0">
    <w:nsid w:val="4FE36BB1"/>
    <w:multiLevelType w:val="hybridMultilevel"/>
    <w:tmpl w:val="2EA86714"/>
    <w:lvl w:ilvl="0" w:tplc="89BEC3B2">
      <w:start w:val="1"/>
      <w:numFmt w:val="taiwaneseCountingThousand"/>
      <w:lvlText w:val="第%1章"/>
      <w:lvlJc w:val="left"/>
      <w:pPr>
        <w:tabs>
          <w:tab w:val="num" w:pos="960"/>
        </w:tabs>
        <w:ind w:left="960" w:hanging="960"/>
      </w:pPr>
      <w:rPr>
        <w:rFonts w:hint="eastAsia"/>
      </w:rPr>
    </w:lvl>
    <w:lvl w:ilvl="1" w:tplc="955462C8">
      <w:start w:val="1"/>
      <w:numFmt w:val="taiwaneseCountingThousand"/>
      <w:lvlText w:val="第%2節"/>
      <w:lvlJc w:val="left"/>
      <w:pPr>
        <w:tabs>
          <w:tab w:val="num" w:pos="1440"/>
        </w:tabs>
        <w:ind w:left="1440" w:hanging="960"/>
      </w:pPr>
      <w:rPr>
        <w:rFonts w:hint="eastAsia"/>
      </w:rPr>
    </w:lvl>
    <w:lvl w:ilvl="2" w:tplc="F45E60D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2"/>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0C"/>
    <w:rsid w:val="00B645DA"/>
    <w:rsid w:val="00C71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DA008-FF4E-4B05-8495-12E4453D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kern w:val="2"/>
      <w:sz w:val="24"/>
      <w:szCs w:val="24"/>
    </w:rPr>
  </w:style>
  <w:style w:type="paragraph" w:styleId="1">
    <w:name w:val="heading 1"/>
    <w:basedOn w:val="a"/>
    <w:next w:val="a"/>
    <w:qFormat/>
    <w:pPr>
      <w:keepNext/>
      <w:numPr>
        <w:numId w:val="2"/>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2"/>
      </w:numPr>
      <w:spacing w:line="720" w:lineRule="auto"/>
      <w:outlineLvl w:val="1"/>
    </w:pPr>
    <w:rPr>
      <w:rFonts w:ascii="Arial" w:hAnsi="Arial"/>
      <w:b/>
      <w:bCs/>
      <w:sz w:val="48"/>
      <w:szCs w:val="48"/>
    </w:rPr>
  </w:style>
  <w:style w:type="paragraph" w:styleId="3">
    <w:name w:val="heading 3"/>
    <w:basedOn w:val="a"/>
    <w:next w:val="a"/>
    <w:qFormat/>
    <w:pPr>
      <w:keepNext/>
      <w:numPr>
        <w:ilvl w:val="2"/>
        <w:numId w:val="2"/>
      </w:numPr>
      <w:spacing w:line="720" w:lineRule="auto"/>
      <w:outlineLvl w:val="2"/>
    </w:pPr>
    <w:rPr>
      <w:rFonts w:ascii="Arial" w:hAnsi="Arial"/>
      <w:b/>
      <w:bCs/>
      <w:sz w:val="36"/>
      <w:szCs w:val="36"/>
    </w:rPr>
  </w:style>
  <w:style w:type="paragraph" w:styleId="4">
    <w:name w:val="heading 4"/>
    <w:basedOn w:val="a"/>
    <w:next w:val="a"/>
    <w:qFormat/>
    <w:pPr>
      <w:keepNext/>
      <w:numPr>
        <w:ilvl w:val="3"/>
        <w:numId w:val="2"/>
      </w:numPr>
      <w:spacing w:line="720" w:lineRule="auto"/>
      <w:outlineLvl w:val="3"/>
    </w:pPr>
    <w:rPr>
      <w:rFonts w:ascii="Arial" w:hAnsi="Arial"/>
      <w:sz w:val="36"/>
      <w:szCs w:val="36"/>
    </w:rPr>
  </w:style>
  <w:style w:type="paragraph" w:styleId="5">
    <w:name w:val="heading 5"/>
    <w:basedOn w:val="a"/>
    <w:next w:val="a"/>
    <w:qFormat/>
    <w:pPr>
      <w:keepNext/>
      <w:numPr>
        <w:ilvl w:val="4"/>
        <w:numId w:val="2"/>
      </w:numPr>
      <w:spacing w:line="720" w:lineRule="auto"/>
      <w:ind w:leftChars="200"/>
      <w:outlineLvl w:val="4"/>
    </w:pPr>
    <w:rPr>
      <w:rFonts w:ascii="Arial" w:hAnsi="Arial"/>
      <w:b/>
      <w:bCs/>
      <w:sz w:val="36"/>
      <w:szCs w:val="36"/>
    </w:rPr>
  </w:style>
  <w:style w:type="paragraph" w:styleId="6">
    <w:name w:val="heading 6"/>
    <w:basedOn w:val="a"/>
    <w:next w:val="a"/>
    <w:qFormat/>
    <w:pPr>
      <w:keepNext/>
      <w:numPr>
        <w:ilvl w:val="5"/>
        <w:numId w:val="2"/>
      </w:numPr>
      <w:spacing w:line="720" w:lineRule="auto"/>
      <w:ind w:leftChars="200"/>
      <w:outlineLvl w:val="5"/>
    </w:pPr>
    <w:rPr>
      <w:rFonts w:ascii="Arial" w:hAnsi="Arial"/>
      <w:sz w:val="36"/>
      <w:szCs w:val="36"/>
    </w:rPr>
  </w:style>
  <w:style w:type="paragraph" w:styleId="7">
    <w:name w:val="heading 7"/>
    <w:basedOn w:val="a"/>
    <w:next w:val="a"/>
    <w:qFormat/>
    <w:pPr>
      <w:keepNext/>
      <w:numPr>
        <w:ilvl w:val="6"/>
        <w:numId w:val="2"/>
      </w:numPr>
      <w:spacing w:line="720" w:lineRule="auto"/>
      <w:ind w:leftChars="400"/>
      <w:outlineLvl w:val="6"/>
    </w:pPr>
    <w:rPr>
      <w:rFonts w:ascii="Arial" w:hAnsi="Arial"/>
      <w:b/>
      <w:bCs/>
      <w:sz w:val="36"/>
      <w:szCs w:val="36"/>
    </w:rPr>
  </w:style>
  <w:style w:type="paragraph" w:styleId="8">
    <w:name w:val="heading 8"/>
    <w:basedOn w:val="a"/>
    <w:next w:val="a"/>
    <w:qFormat/>
    <w:pPr>
      <w:keepNext/>
      <w:numPr>
        <w:ilvl w:val="7"/>
        <w:numId w:val="2"/>
      </w:numPr>
      <w:spacing w:line="720" w:lineRule="auto"/>
      <w:ind w:leftChars="400"/>
      <w:outlineLvl w:val="7"/>
    </w:pPr>
    <w:rPr>
      <w:rFonts w:ascii="Arial" w:hAnsi="Arial"/>
      <w:sz w:val="36"/>
      <w:szCs w:val="36"/>
    </w:rPr>
  </w:style>
  <w:style w:type="paragraph" w:styleId="9">
    <w:name w:val="heading 9"/>
    <w:basedOn w:val="a"/>
    <w:next w:val="a"/>
    <w:qFormat/>
    <w:pPr>
      <w:keepNext/>
      <w:numPr>
        <w:ilvl w:val="8"/>
        <w:numId w:val="2"/>
      </w:numPr>
      <w:spacing w:line="720" w:lineRule="auto"/>
      <w:ind w:leftChars="400"/>
      <w:outlineLvl w:val="8"/>
    </w:pPr>
    <w:rPr>
      <w:rFonts w:ascii="Arial" w:hAnsi="Arial"/>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footnote text"/>
    <w:basedOn w:val="a"/>
    <w:semiHidden/>
    <w:pPr>
      <w:snapToGrid w:val="0"/>
      <w:jc w:val="left"/>
    </w:pPr>
    <w:rPr>
      <w:sz w:val="20"/>
      <w:szCs w:val="20"/>
    </w:rPr>
  </w:style>
  <w:style w:type="character" w:styleId="a6">
    <w:name w:val="footnote reference"/>
    <w:basedOn w:val="a0"/>
    <w:semiHidden/>
    <w:rPr>
      <w:vertAlign w:val="superscript"/>
    </w:rPr>
  </w:style>
  <w:style w:type="character" w:styleId="a7">
    <w:name w:val="Hyperlink"/>
    <w:basedOn w:val="a0"/>
    <w:semiHidden/>
    <w:rPr>
      <w:color w:val="0000FF"/>
      <w:u w:val="single"/>
    </w:rPr>
  </w:style>
  <w:style w:type="paragraph" w:styleId="a8">
    <w:name w:val="annotation text"/>
    <w:basedOn w:val="a"/>
    <w:semiHidden/>
    <w:pPr>
      <w:ind w:firstLineChars="0" w:firstLine="0"/>
      <w:jc w:val="left"/>
    </w:pPr>
    <w:rPr>
      <w:szCs w:val="20"/>
    </w:rPr>
  </w:style>
  <w:style w:type="paragraph" w:styleId="a9">
    <w:name w:val="Block Text"/>
    <w:basedOn w:val="a"/>
    <w:semiHidden/>
    <w:pPr>
      <w:spacing w:line="360" w:lineRule="auto"/>
      <w:ind w:left="540" w:right="386" w:firstLineChars="0" w:firstLine="480"/>
      <w:jc w:val="left"/>
    </w:pPr>
    <w:rPr>
      <w:rFonts w:eastAsia="標楷體"/>
      <w:szCs w:val="20"/>
    </w:rPr>
  </w:style>
  <w:style w:type="paragraph" w:styleId="aa">
    <w:name w:val="Body Text Indent"/>
    <w:basedOn w:val="a"/>
    <w:semiHidden/>
    <w:pPr>
      <w:widowControl/>
      <w:tabs>
        <w:tab w:val="left" w:pos="1418"/>
      </w:tabs>
      <w:autoSpaceDE w:val="0"/>
      <w:autoSpaceDN w:val="0"/>
      <w:ind w:firstLineChars="0" w:firstLine="0"/>
      <w:jc w:val="left"/>
    </w:pPr>
    <w:rPr>
      <w:b/>
      <w:kern w:val="0"/>
      <w:sz w:val="22"/>
      <w:szCs w:val="20"/>
    </w:rPr>
  </w:style>
  <w:style w:type="paragraph" w:styleId="ab">
    <w:name w:val="header"/>
    <w:basedOn w:val="a"/>
    <w:semiHidden/>
    <w:pPr>
      <w:tabs>
        <w:tab w:val="center" w:pos="4153"/>
        <w:tab w:val="right" w:pos="8306"/>
      </w:tabs>
      <w:snapToGrid w:val="0"/>
    </w:pPr>
    <w:rPr>
      <w:sz w:val="20"/>
      <w:szCs w:val="20"/>
    </w:rPr>
  </w:style>
  <w:style w:type="paragraph" w:styleId="20">
    <w:name w:val="Body Text Indent 2"/>
    <w:basedOn w:val="a"/>
    <w:semiHidden/>
    <w:pPr>
      <w:ind w:left="440" w:firstLineChars="0" w:hanging="240"/>
    </w:pPr>
    <w:rPr>
      <w:rFonts w:ascii="標楷體" w:eastAsia="標楷體"/>
    </w:rPr>
  </w:style>
  <w:style w:type="paragraph" w:styleId="30">
    <w:name w:val="Body Text Indent 3"/>
    <w:basedOn w:val="a"/>
    <w:semiHidden/>
    <w:pPr>
      <w:ind w:firstLineChars="0" w:firstLine="240"/>
    </w:pPr>
    <w:rPr>
      <w:rFonts w:ascii="標楷體" w:eastAsia="標楷體"/>
    </w:rPr>
  </w:style>
  <w:style w:type="character" w:styleId="ac">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2098</Characters>
  <Application>Microsoft Office Word</Application>
  <DocSecurity>0</DocSecurity>
  <Lines>17</Lines>
  <Paragraphs>4</Paragraphs>
  <ScaleCrop>false</ScaleCrop>
  <Company>NTU</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subject/>
  <dc:creator>Lin</dc:creator>
  <cp:keywords/>
  <dc:description/>
  <cp:lastModifiedBy>卓卿雲</cp:lastModifiedBy>
  <cp:revision>2</cp:revision>
  <cp:lastPrinted>2002-11-25T06:17:00Z</cp:lastPrinted>
  <dcterms:created xsi:type="dcterms:W3CDTF">2021-09-27T02:54:00Z</dcterms:created>
  <dcterms:modified xsi:type="dcterms:W3CDTF">2021-09-27T02:54:00Z</dcterms:modified>
</cp:coreProperties>
</file>