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7CC1">
      <w:pPr>
        <w:pStyle w:val="1"/>
        <w:rPr>
          <w:rFonts w:hint="eastAsia"/>
        </w:rPr>
      </w:pPr>
      <w:bookmarkStart w:id="0" w:name="_Toc535245912"/>
      <w:bookmarkStart w:id="1" w:name="_GoBack"/>
      <w:bookmarkEnd w:id="1"/>
      <w:r>
        <w:rPr>
          <w:rFonts w:hint="eastAsia"/>
        </w:rPr>
        <w:t>第二章</w:t>
      </w:r>
      <w:r>
        <w:rPr>
          <w:rFonts w:hint="eastAsia"/>
        </w:rPr>
        <w:t xml:space="preserve">  </w:t>
      </w:r>
      <w:r>
        <w:rPr>
          <w:rFonts w:hint="eastAsia"/>
        </w:rPr>
        <w:t>德國公務人員行政中立之保障</w:t>
      </w:r>
      <w:bookmarkEnd w:id="0"/>
    </w:p>
    <w:p w:rsidR="00000000" w:rsidRDefault="00917CC1">
      <w:pPr>
        <w:pStyle w:val="2"/>
        <w:rPr>
          <w:rFonts w:hint="eastAsia"/>
        </w:rPr>
      </w:pPr>
      <w:bookmarkStart w:id="2" w:name="_Toc535245913"/>
      <w:r>
        <w:rPr>
          <w:rFonts w:hint="eastAsia"/>
        </w:rPr>
        <w:t>第一節</w:t>
      </w:r>
      <w:r>
        <w:rPr>
          <w:rFonts w:hint="eastAsia"/>
        </w:rPr>
        <w:t xml:space="preserve"> </w:t>
      </w:r>
      <w:r>
        <w:rPr>
          <w:rFonts w:hint="eastAsia"/>
        </w:rPr>
        <w:t>前言</w:t>
      </w:r>
      <w:bookmarkEnd w:id="2"/>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本研究報告之目的在於說明德國法上對公務人員之中立性之要求</w:t>
      </w:r>
      <w:r>
        <w:rPr>
          <w:rFonts w:ascii="新細明體" w:hAnsi="新細明體"/>
          <w:color w:val="000000"/>
          <w:lang w:val="de-DE"/>
        </w:rPr>
        <w:t>(</w:t>
      </w:r>
      <w:r>
        <w:rPr>
          <w:rFonts w:ascii="新細明體" w:hAnsi="新細明體" w:hint="eastAsia"/>
          <w:color w:val="000000"/>
          <w:lang w:val="de-DE"/>
        </w:rPr>
        <w:t>第三節</w:t>
      </w:r>
      <w:r>
        <w:rPr>
          <w:rFonts w:ascii="新細明體" w:hAnsi="新細明體"/>
          <w:color w:val="000000"/>
          <w:lang w:val="de-DE"/>
        </w:rPr>
        <w:t>)</w:t>
      </w:r>
      <w:r>
        <w:rPr>
          <w:rFonts w:ascii="新細明體" w:hAnsi="新細明體" w:hint="eastAsia"/>
          <w:color w:val="000000"/>
          <w:lang w:val="de-DE"/>
        </w:rPr>
        <w:t>及相應之對公務人員政治活動之規範</w:t>
      </w:r>
      <w:r>
        <w:rPr>
          <w:rFonts w:ascii="新細明體" w:hAnsi="新細明體"/>
          <w:color w:val="000000"/>
          <w:lang w:val="de-DE"/>
        </w:rPr>
        <w:t>(</w:t>
      </w:r>
      <w:r>
        <w:rPr>
          <w:rFonts w:ascii="新細明體" w:hAnsi="新細明體" w:hint="eastAsia"/>
          <w:color w:val="000000"/>
          <w:lang w:val="de-DE"/>
        </w:rPr>
        <w:t>第四節</w:t>
      </w:r>
      <w:r>
        <w:rPr>
          <w:rFonts w:ascii="新細明體" w:hAnsi="新細明體"/>
          <w:color w:val="000000"/>
          <w:lang w:val="de-DE"/>
        </w:rPr>
        <w:t>)</w:t>
      </w:r>
      <w:r>
        <w:rPr>
          <w:rFonts w:ascii="新細明體" w:hAnsi="新細明體" w:hint="eastAsia"/>
          <w:color w:val="000000"/>
          <w:lang w:val="de-DE"/>
        </w:rPr>
        <w:t>，並以問題思維之方式提出由德國法可供我國參酌之處</w:t>
      </w:r>
      <w:r>
        <w:rPr>
          <w:rFonts w:ascii="新細明體" w:hAnsi="新細明體"/>
          <w:color w:val="000000"/>
          <w:lang w:val="de-DE"/>
        </w:rPr>
        <w:t>(</w:t>
      </w:r>
      <w:r>
        <w:rPr>
          <w:rFonts w:ascii="新細明體" w:hAnsi="新細明體" w:hint="eastAsia"/>
          <w:color w:val="000000"/>
          <w:lang w:val="de-DE"/>
        </w:rPr>
        <w:t>第五節</w:t>
      </w:r>
      <w:r>
        <w:rPr>
          <w:rFonts w:ascii="新細明體" w:hAnsi="新細明體"/>
          <w:color w:val="000000"/>
          <w:lang w:val="de-DE"/>
        </w:rPr>
        <w:t>)</w:t>
      </w:r>
      <w:r>
        <w:rPr>
          <w:rFonts w:ascii="新細明體" w:hAnsi="新細明體" w:hint="eastAsia"/>
          <w:color w:val="000000"/>
          <w:lang w:val="de-DE"/>
        </w:rPr>
        <w:t>。另先就德國之公務人員制度作</w:t>
      </w:r>
      <w:proofErr w:type="gramStart"/>
      <w:r>
        <w:rPr>
          <w:rFonts w:ascii="新細明體" w:hAnsi="新細明體" w:hint="eastAsia"/>
          <w:color w:val="000000"/>
          <w:lang w:val="de-DE"/>
        </w:rPr>
        <w:t>一</w:t>
      </w:r>
      <w:proofErr w:type="gramEnd"/>
      <w:r>
        <w:rPr>
          <w:rFonts w:ascii="新細明體" w:hAnsi="新細明體" w:hint="eastAsia"/>
          <w:color w:val="000000"/>
          <w:lang w:val="de-DE"/>
        </w:rPr>
        <w:t>概觀</w:t>
      </w:r>
      <w:r>
        <w:rPr>
          <w:rFonts w:ascii="新細明體" w:hAnsi="新細明體"/>
          <w:color w:val="000000"/>
          <w:lang w:val="de-DE"/>
        </w:rPr>
        <w:t>(</w:t>
      </w:r>
      <w:r>
        <w:rPr>
          <w:rFonts w:ascii="新細明體" w:hAnsi="新細明體" w:hint="eastAsia"/>
          <w:color w:val="000000"/>
          <w:lang w:val="de-DE"/>
        </w:rPr>
        <w:t>第二節</w:t>
      </w:r>
      <w:r>
        <w:rPr>
          <w:rFonts w:ascii="新細明體" w:hAnsi="新細明體"/>
          <w:color w:val="000000"/>
          <w:lang w:val="de-DE"/>
        </w:rPr>
        <w:t>)</w:t>
      </w:r>
      <w:r>
        <w:rPr>
          <w:rFonts w:ascii="新細明體" w:hAnsi="新細明體" w:hint="eastAsia"/>
          <w:color w:val="000000"/>
          <w:lang w:val="de-DE"/>
        </w:rPr>
        <w:t>，以作為進入本課題前之基本理解。</w:t>
      </w:r>
    </w:p>
    <w:p w:rsidR="00000000" w:rsidRDefault="00917CC1">
      <w:pPr>
        <w:jc w:val="both"/>
        <w:rPr>
          <w:rFonts w:ascii="新細明體" w:hAnsi="新細明體" w:hint="eastAsia"/>
          <w:color w:val="000000"/>
          <w:lang w:val="de-DE"/>
        </w:rPr>
      </w:pPr>
    </w:p>
    <w:p w:rsidR="00000000" w:rsidRDefault="00917CC1">
      <w:pPr>
        <w:pStyle w:val="2"/>
        <w:rPr>
          <w:rFonts w:hint="eastAsia"/>
        </w:rPr>
      </w:pPr>
      <w:bookmarkStart w:id="3" w:name="_Toc535245914"/>
      <w:r>
        <w:rPr>
          <w:rFonts w:hint="eastAsia"/>
        </w:rPr>
        <w:t>第二節</w:t>
      </w:r>
      <w:r>
        <w:rPr>
          <w:rFonts w:hint="eastAsia"/>
        </w:rPr>
        <w:t xml:space="preserve"> </w:t>
      </w:r>
      <w:r>
        <w:rPr>
          <w:rFonts w:hint="eastAsia"/>
        </w:rPr>
        <w:t>公務人員</w:t>
      </w:r>
      <w:bookmarkEnd w:id="3"/>
    </w:p>
    <w:p w:rsidR="00000000" w:rsidRDefault="00917CC1">
      <w:pPr>
        <w:pStyle w:val="3"/>
        <w:rPr>
          <w:rFonts w:hint="eastAsia"/>
        </w:rPr>
      </w:pPr>
      <w:bookmarkStart w:id="4" w:name="_Toc535245915"/>
      <w:r>
        <w:rPr>
          <w:rFonts w:hint="eastAsia"/>
        </w:rPr>
        <w:t>壹、概念</w:t>
      </w:r>
      <w:bookmarkEnd w:id="4"/>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公務人員乃執行公務之人。</w:t>
      </w:r>
      <w:r>
        <w:rPr>
          <w:rStyle w:val="a6"/>
          <w:rFonts w:ascii="新細明體" w:hAnsi="新細明體"/>
          <w:color w:val="000000"/>
          <w:lang w:val="de-DE"/>
        </w:rPr>
        <w:footnoteReference w:id="1"/>
      </w:r>
      <w:r>
        <w:rPr>
          <w:rFonts w:ascii="新細明體" w:hAnsi="新細明體" w:hint="eastAsia"/>
          <w:color w:val="000000"/>
          <w:lang w:val="de-DE"/>
        </w:rPr>
        <w:t>對於何謂「公務」，並無統一之定義，惟一般係從形式上來理解此一概念：所謂公務乃指於公法人中所具有之職位中之活動。對此甚具參考價值者乃是</w:t>
      </w:r>
      <w:r>
        <w:rPr>
          <w:rFonts w:ascii="新細明體" w:hAnsi="新細明體"/>
          <w:color w:val="000000"/>
          <w:lang w:val="de-DE"/>
        </w:rPr>
        <w:t>1980</w:t>
      </w:r>
      <w:r>
        <w:rPr>
          <w:rFonts w:ascii="新細明體" w:hAnsi="新細明體" w:hint="eastAsia"/>
          <w:color w:val="000000"/>
          <w:lang w:val="de-DE"/>
        </w:rPr>
        <w:t>年</w:t>
      </w:r>
      <w:r>
        <w:rPr>
          <w:rFonts w:ascii="新細明體" w:hAnsi="新細明體"/>
          <w:color w:val="000000"/>
          <w:lang w:val="de-DE"/>
        </w:rPr>
        <w:t>4</w:t>
      </w:r>
      <w:r>
        <w:rPr>
          <w:rFonts w:ascii="新細明體" w:hAnsi="新細明體" w:hint="eastAsia"/>
          <w:color w:val="000000"/>
          <w:lang w:val="de-DE"/>
        </w:rPr>
        <w:t>月</w:t>
      </w:r>
      <w:r>
        <w:rPr>
          <w:rFonts w:ascii="新細明體" w:hAnsi="新細明體"/>
          <w:color w:val="000000"/>
          <w:lang w:val="de-DE"/>
        </w:rPr>
        <w:t>11</w:t>
      </w:r>
      <w:r>
        <w:rPr>
          <w:rFonts w:ascii="新細明體" w:hAnsi="新細明體" w:hint="eastAsia"/>
          <w:color w:val="000000"/>
          <w:lang w:val="de-DE"/>
        </w:rPr>
        <w:t>日之「工作保障法」</w:t>
      </w:r>
      <w:r>
        <w:rPr>
          <w:rFonts w:ascii="新細明體" w:hAnsi="新細明體"/>
          <w:color w:val="000000"/>
          <w:lang w:val="de-DE"/>
        </w:rPr>
        <w:t>(Arbeitsplatzschutzgesetz)</w:t>
      </w: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項，依其規定公務係指「在聯邦、</w:t>
      </w:r>
      <w:proofErr w:type="gramStart"/>
      <w:r>
        <w:rPr>
          <w:rFonts w:ascii="新細明體" w:hAnsi="新細明體" w:hint="eastAsia"/>
          <w:color w:val="000000"/>
          <w:lang w:val="de-DE"/>
        </w:rPr>
        <w:t>邦</w:t>
      </w:r>
      <w:proofErr w:type="gramEnd"/>
      <w:r>
        <w:rPr>
          <w:rFonts w:ascii="新細明體" w:hAnsi="新細明體" w:hint="eastAsia"/>
          <w:color w:val="000000"/>
          <w:lang w:val="de-DE"/>
        </w:rPr>
        <w:t>、鄉鎮或其他公法社團、財團、營造物或該等團體之聯盟</w:t>
      </w:r>
      <w:proofErr w:type="gramStart"/>
      <w:r>
        <w:rPr>
          <w:rFonts w:ascii="新細明體" w:hAnsi="新細明體" w:hint="eastAsia"/>
          <w:color w:val="000000"/>
          <w:lang w:val="de-DE"/>
        </w:rPr>
        <w:t>裏</w:t>
      </w:r>
      <w:proofErr w:type="gramEnd"/>
      <w:r>
        <w:rPr>
          <w:rFonts w:ascii="新細明體" w:hAnsi="新細明體" w:hint="eastAsia"/>
          <w:color w:val="000000"/>
          <w:lang w:val="de-DE"/>
        </w:rPr>
        <w:t>之職位中之活動」「但在公法之宗教團體及其聯盟中之活動則不屬之」。</w:t>
      </w:r>
      <w:r>
        <w:rPr>
          <w:rStyle w:val="a6"/>
          <w:rFonts w:ascii="新細明體" w:hAnsi="新細明體"/>
          <w:color w:val="000000"/>
          <w:lang w:val="de-DE"/>
        </w:rPr>
        <w:footnoteReference w:id="2"/>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「公務人員」此一概念視所涉及之規範而有不同內涵。</w:t>
      </w:r>
      <w:proofErr w:type="gramStart"/>
      <w:r>
        <w:rPr>
          <w:rFonts w:ascii="新細明體" w:hAnsi="新細明體" w:hint="eastAsia"/>
          <w:color w:val="000000"/>
          <w:lang w:val="de-DE"/>
        </w:rPr>
        <w:t>惟</w:t>
      </w:r>
      <w:proofErr w:type="gramEnd"/>
      <w:r>
        <w:rPr>
          <w:rFonts w:ascii="新細明體" w:hAnsi="新細明體" w:hint="eastAsia"/>
          <w:color w:val="000000"/>
          <w:lang w:val="de-DE"/>
        </w:rPr>
        <w:t>大致上還是可以歸納出其一般性之概念特徵：</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公務人員執行公務乃是其職業上之行為。</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公務人員乃是其「勤務主」</w:t>
      </w:r>
      <w:r>
        <w:rPr>
          <w:rFonts w:ascii="新細明體" w:hAnsi="新細明體"/>
          <w:color w:val="000000"/>
          <w:lang w:val="de-DE"/>
        </w:rPr>
        <w:t>(Dienstherr)</w:t>
      </w:r>
      <w:r>
        <w:rPr>
          <w:rStyle w:val="a6"/>
          <w:rFonts w:ascii="新細明體" w:hAnsi="新細明體"/>
          <w:color w:val="000000"/>
          <w:lang w:val="de-DE"/>
        </w:rPr>
        <w:footnoteReference w:id="3"/>
      </w:r>
      <w:r>
        <w:rPr>
          <w:rFonts w:ascii="新細明體" w:hAnsi="新細明體" w:hint="eastAsia"/>
          <w:color w:val="000000"/>
          <w:lang w:val="de-DE"/>
        </w:rPr>
        <w:t>之組織編制內之人員。</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lastRenderedPageBreak/>
        <w:t>由以上之特徵已可以作一些區分。例如，榮譽職人員、服兵役及替代役</w:t>
      </w:r>
      <w:r>
        <w:rPr>
          <w:rFonts w:ascii="新細明體" w:hAnsi="新細明體" w:hint="eastAsia"/>
          <w:color w:val="000000"/>
          <w:lang w:val="de-DE"/>
        </w:rPr>
        <w:t>之人員皆非公務人員。受委託行使公權力者亦非公務人員。國會議員乃是民意代表</w:t>
      </w:r>
      <w:r>
        <w:rPr>
          <w:rFonts w:ascii="新細明體" w:hAnsi="新細明體"/>
          <w:color w:val="000000"/>
          <w:lang w:val="de-DE"/>
        </w:rPr>
        <w:t>(Mandat)</w:t>
      </w:r>
      <w:r>
        <w:rPr>
          <w:rFonts w:ascii="新細明體" w:hAnsi="新細明體" w:hint="eastAsia"/>
          <w:color w:val="000000"/>
          <w:lang w:val="de-DE"/>
        </w:rPr>
        <w:t>，亦非公務人員。</w:t>
      </w:r>
      <w:proofErr w:type="gramStart"/>
      <w:r>
        <w:rPr>
          <w:rFonts w:ascii="新細明體" w:hAnsi="新細明體" w:hint="eastAsia"/>
          <w:color w:val="000000"/>
          <w:lang w:val="de-DE"/>
        </w:rPr>
        <w:t>此外，</w:t>
      </w:r>
      <w:proofErr w:type="gramEnd"/>
      <w:r>
        <w:rPr>
          <w:rFonts w:ascii="新細明體" w:hAnsi="新細明體" w:hint="eastAsia"/>
          <w:color w:val="000000"/>
          <w:lang w:val="de-DE"/>
        </w:rPr>
        <w:t>地方自治在國家功能的劃分中屬於行政，因此鄉鎮議會中之代表並非國會議員，不受言論免責權之保障，惟儘管如此，鄉鎮議會之代表仍非公務人員。</w:t>
      </w:r>
      <w:r>
        <w:rPr>
          <w:rStyle w:val="a6"/>
          <w:rFonts w:ascii="新細明體" w:hAnsi="新細明體"/>
          <w:color w:val="000000"/>
          <w:lang w:val="de-DE"/>
        </w:rPr>
        <w:footnoteReference w:id="4"/>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符合以上概念特徵之人員主要有「</w:t>
      </w:r>
      <w:r>
        <w:rPr>
          <w:rFonts w:ascii="新細明體" w:hAnsi="新細明體"/>
          <w:color w:val="000000"/>
          <w:lang w:val="de-DE"/>
        </w:rPr>
        <w:t>(</w:t>
      </w:r>
      <w:r>
        <w:rPr>
          <w:rFonts w:ascii="新細明體" w:hAnsi="新細明體" w:hint="eastAsia"/>
          <w:color w:val="000000"/>
          <w:lang w:val="de-DE"/>
        </w:rPr>
        <w:t>職業</w:t>
      </w:r>
      <w:r>
        <w:rPr>
          <w:rFonts w:ascii="新細明體" w:hAnsi="新細明體"/>
          <w:color w:val="000000"/>
          <w:lang w:val="de-DE"/>
        </w:rPr>
        <w:t>)</w:t>
      </w:r>
      <w:r>
        <w:rPr>
          <w:rFonts w:ascii="新細明體" w:hAnsi="新細明體" w:hint="eastAsia"/>
          <w:color w:val="000000"/>
          <w:lang w:val="de-DE"/>
        </w:rPr>
        <w:t>公務員」</w:t>
      </w:r>
      <w:r>
        <w:rPr>
          <w:rFonts w:ascii="新細明體" w:hAnsi="新細明體"/>
          <w:color w:val="000000"/>
          <w:lang w:val="de-DE"/>
        </w:rPr>
        <w:t>(Berufsbeamten)</w:t>
      </w:r>
      <w:r>
        <w:rPr>
          <w:rStyle w:val="a6"/>
          <w:rFonts w:ascii="新細明體" w:hAnsi="新細明體"/>
          <w:color w:val="000000"/>
          <w:lang w:val="de-DE"/>
        </w:rPr>
        <w:footnoteReference w:id="5"/>
      </w:r>
      <w:r>
        <w:rPr>
          <w:rFonts w:ascii="新細明體" w:hAnsi="新細明體" w:hint="eastAsia"/>
          <w:color w:val="000000"/>
          <w:lang w:val="de-DE"/>
        </w:rPr>
        <w:t>、「</w:t>
      </w:r>
      <w:r>
        <w:rPr>
          <w:rFonts w:ascii="新細明體" w:hAnsi="新細明體"/>
          <w:color w:val="000000"/>
          <w:lang w:val="de-DE"/>
        </w:rPr>
        <w:t>(</w:t>
      </w:r>
      <w:r>
        <w:rPr>
          <w:rFonts w:ascii="新細明體" w:hAnsi="新細明體" w:hint="eastAsia"/>
          <w:color w:val="000000"/>
          <w:lang w:val="de-DE"/>
        </w:rPr>
        <w:t>職業</w:t>
      </w:r>
      <w:r>
        <w:rPr>
          <w:rFonts w:ascii="新細明體" w:hAnsi="新細明體"/>
          <w:color w:val="000000"/>
          <w:lang w:val="de-DE"/>
        </w:rPr>
        <w:t>)</w:t>
      </w:r>
      <w:r>
        <w:rPr>
          <w:rFonts w:ascii="新細明體" w:hAnsi="新細明體" w:hint="eastAsia"/>
          <w:color w:val="000000"/>
          <w:lang w:val="de-DE"/>
        </w:rPr>
        <w:t>法官」</w:t>
      </w:r>
      <w:r>
        <w:rPr>
          <w:rFonts w:ascii="新細明體" w:hAnsi="新細明體"/>
          <w:color w:val="000000"/>
          <w:lang w:val="de-DE"/>
        </w:rPr>
        <w:t>(Berufsrichter)</w:t>
      </w:r>
      <w:r>
        <w:rPr>
          <w:rFonts w:ascii="新細明體" w:hAnsi="新細明體" w:hint="eastAsia"/>
          <w:color w:val="000000"/>
          <w:lang w:val="de-DE"/>
        </w:rPr>
        <w:t>、「</w:t>
      </w:r>
      <w:r>
        <w:rPr>
          <w:rFonts w:ascii="新細明體" w:hAnsi="新細明體"/>
          <w:color w:val="000000"/>
          <w:lang w:val="de-DE"/>
        </w:rPr>
        <w:t>(</w:t>
      </w:r>
      <w:r>
        <w:rPr>
          <w:rFonts w:ascii="新細明體" w:hAnsi="新細明體" w:hint="eastAsia"/>
          <w:color w:val="000000"/>
          <w:lang w:val="de-DE"/>
        </w:rPr>
        <w:t>職業</w:t>
      </w:r>
      <w:r>
        <w:rPr>
          <w:rFonts w:ascii="新細明體" w:hAnsi="新細明體"/>
          <w:color w:val="000000"/>
          <w:lang w:val="de-DE"/>
        </w:rPr>
        <w:t>)</w:t>
      </w:r>
      <w:r>
        <w:rPr>
          <w:rFonts w:ascii="新細明體" w:hAnsi="新細明體" w:hint="eastAsia"/>
          <w:color w:val="000000"/>
          <w:lang w:val="de-DE"/>
        </w:rPr>
        <w:t>軍人」</w:t>
      </w:r>
      <w:r>
        <w:rPr>
          <w:rFonts w:ascii="新細明體" w:hAnsi="新細明體"/>
          <w:color w:val="000000"/>
          <w:lang w:val="de-DE"/>
        </w:rPr>
        <w:t>(Berufssoldaten)</w:t>
      </w:r>
      <w:r>
        <w:rPr>
          <w:rFonts w:ascii="新細明體" w:hAnsi="新細明體" w:hint="eastAsia"/>
          <w:color w:val="000000"/>
          <w:lang w:val="de-DE"/>
        </w:rPr>
        <w:t>及「職員與勞工」</w:t>
      </w:r>
      <w:r>
        <w:rPr>
          <w:rFonts w:ascii="新細明體" w:hAnsi="新細明體"/>
          <w:color w:val="000000"/>
          <w:lang w:val="de-DE"/>
        </w:rPr>
        <w:t>(Angestellten und Arbeiter im öff</w:t>
      </w:r>
      <w:r>
        <w:rPr>
          <w:rFonts w:ascii="新細明體" w:hAnsi="新細明體"/>
          <w:color w:val="000000"/>
          <w:lang w:val="de-DE"/>
        </w:rPr>
        <w:t>entlichen Dienst)</w:t>
      </w:r>
      <w:r>
        <w:rPr>
          <w:rFonts w:ascii="新細明體" w:hAnsi="新細明體" w:hint="eastAsia"/>
          <w:color w:val="000000"/>
          <w:lang w:val="de-DE"/>
        </w:rPr>
        <w:t>。廣義之公務人員包括此四下位類型；狹義之公務人員則僅包括公務員及職員、勞工。</w:t>
      </w:r>
      <w:r>
        <w:rPr>
          <w:rStyle w:val="a6"/>
          <w:rFonts w:ascii="新細明體" w:hAnsi="新細明體"/>
          <w:color w:val="000000"/>
          <w:lang w:val="de-DE"/>
        </w:rPr>
        <w:footnoteReference w:id="6"/>
      </w:r>
      <w:r>
        <w:rPr>
          <w:rFonts w:ascii="新細明體" w:hAnsi="新細明體" w:hint="eastAsia"/>
          <w:color w:val="000000"/>
          <w:lang w:val="de-DE"/>
        </w:rPr>
        <w:t>本文的討論對象為狹義之公務人員，但關於法官與軍人部分有參考價值者亦會附帶提及。</w:t>
      </w:r>
    </w:p>
    <w:p w:rsidR="00000000" w:rsidRDefault="00917CC1">
      <w:pPr>
        <w:jc w:val="both"/>
        <w:rPr>
          <w:rFonts w:ascii="新細明體" w:hAnsi="新細明體" w:hint="eastAsia"/>
          <w:color w:val="000000"/>
          <w:lang w:val="de-DE"/>
        </w:rPr>
      </w:pPr>
    </w:p>
    <w:p w:rsidR="00000000" w:rsidRDefault="00917CC1">
      <w:pPr>
        <w:pStyle w:val="3"/>
        <w:rPr>
          <w:rFonts w:hint="eastAsia"/>
        </w:rPr>
      </w:pPr>
      <w:bookmarkStart w:id="5" w:name="_Toc535245916"/>
      <w:r>
        <w:rPr>
          <w:rFonts w:hint="eastAsia"/>
        </w:rPr>
        <w:t>貳、職業公務員制度之憲法保障</w:t>
      </w:r>
      <w:bookmarkEnd w:id="5"/>
    </w:p>
    <w:p w:rsidR="00000000" w:rsidRDefault="00917CC1">
      <w:pPr>
        <w:pStyle w:val="4"/>
        <w:rPr>
          <w:rFonts w:hint="eastAsia"/>
        </w:rPr>
      </w:pPr>
      <w:bookmarkStart w:id="6" w:name="_Toc535245917"/>
      <w:r>
        <w:rPr>
          <w:rFonts w:hint="eastAsia"/>
        </w:rPr>
        <w:t>一、基本法對於公務人員制度之基本決定</w:t>
      </w:r>
      <w:bookmarkEnd w:id="6"/>
    </w:p>
    <w:p w:rsidR="00000000" w:rsidRDefault="00917CC1">
      <w:pPr>
        <w:rPr>
          <w:rFonts w:ascii="新細明體" w:hAnsi="新細明體" w:hint="eastAsia"/>
        </w:rPr>
      </w:pP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德國基本法對於公務人員制度之基本決定乃是基本法第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項所規定之「功能保留」：「國家之經常性任務中涉及高權之行使者，原則上應委由處於公法上勤務與忠誠關係之公務人員為之。」及第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項：「關於公務員</w:t>
      </w:r>
      <w:r>
        <w:rPr>
          <w:rStyle w:val="a6"/>
          <w:rFonts w:ascii="新細明體" w:hAnsi="新細明體"/>
          <w:color w:val="000000"/>
          <w:lang w:val="de-DE"/>
        </w:rPr>
        <w:footnoteReference w:id="7"/>
      </w:r>
      <w:r>
        <w:rPr>
          <w:rFonts w:ascii="新細明體" w:hAnsi="新細明體" w:hint="eastAsia"/>
          <w:color w:val="000000"/>
          <w:lang w:val="de-DE"/>
        </w:rPr>
        <w:t>之法律，應斟酌職業公務員制度之傳統</w:t>
      </w:r>
      <w:r>
        <w:rPr>
          <w:rFonts w:ascii="新細明體" w:hAnsi="新細明體" w:hint="eastAsia"/>
          <w:color w:val="000000"/>
          <w:lang w:val="de-DE"/>
        </w:rPr>
        <w:t>原則。」由此二規定表達出兩項要點：雙軌之公務人員制度</w:t>
      </w:r>
      <w:r>
        <w:rPr>
          <w:rFonts w:ascii="新細明體" w:hAnsi="新細明體"/>
          <w:color w:val="000000"/>
          <w:lang w:val="de-DE"/>
        </w:rPr>
        <w:t>(Die Zweispurigkeit des öffentlichen Dienstes)</w:t>
      </w:r>
      <w:r>
        <w:rPr>
          <w:rFonts w:ascii="新細明體" w:hAnsi="新細明體" w:hint="eastAsia"/>
          <w:color w:val="000000"/>
          <w:lang w:val="de-DE"/>
        </w:rPr>
        <w:t>及對公務員制度之傳統的重視。</w:t>
      </w:r>
    </w:p>
    <w:p w:rsidR="00000000" w:rsidRDefault="00917CC1">
      <w:pPr>
        <w:jc w:val="both"/>
        <w:rPr>
          <w:rFonts w:ascii="新細明體" w:hAnsi="新細明體" w:hint="eastAsia"/>
          <w:color w:val="000000"/>
          <w:lang w:val="de-DE"/>
        </w:rPr>
      </w:pPr>
    </w:p>
    <w:p w:rsidR="00000000" w:rsidRDefault="00917CC1">
      <w:pPr>
        <w:pStyle w:val="5"/>
        <w:rPr>
          <w:rFonts w:hint="eastAsia"/>
        </w:rPr>
      </w:pPr>
      <w:bookmarkStart w:id="7" w:name="_Toc535245918"/>
      <w:r>
        <w:rPr>
          <w:rFonts w:hint="eastAsia"/>
        </w:rPr>
        <w:lastRenderedPageBreak/>
        <w:t>（一）雙軌之公務人員體制</w:t>
      </w:r>
      <w:bookmarkEnd w:id="7"/>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項所規定之功能保留預設了一個雙軌的公務人員體制，亦即與勤務主處於公法上勤務與忠誠關係之職</w:t>
      </w:r>
      <w:r>
        <w:rPr>
          <w:rFonts w:ascii="新細明體" w:hAnsi="新細明體" w:hint="eastAsia"/>
          <w:color w:val="000000"/>
        </w:rPr>
        <w:t>業</w:t>
      </w:r>
      <w:r>
        <w:rPr>
          <w:rFonts w:ascii="新細明體" w:hAnsi="新細明體" w:hint="eastAsia"/>
          <w:color w:val="000000"/>
          <w:lang w:val="de-DE"/>
        </w:rPr>
        <w:t>公務員與處於私法上勞動關係之勞工與職員</w:t>
      </w:r>
      <w:r>
        <w:rPr>
          <w:rStyle w:val="a6"/>
          <w:rFonts w:ascii="新細明體" w:hAnsi="新細明體"/>
          <w:color w:val="000000"/>
          <w:lang w:val="de-DE"/>
        </w:rPr>
        <w:footnoteReference w:id="8"/>
      </w:r>
      <w:r>
        <w:rPr>
          <w:rFonts w:ascii="新細明體" w:hAnsi="新細明體" w:hint="eastAsia"/>
          <w:color w:val="000000"/>
          <w:lang w:val="de-DE"/>
        </w:rPr>
        <w:t>。</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公務員關係為公法上之任職與忠誠關係，此不僅見於基本法第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項，也於「聯邦公務員法」</w:t>
      </w:r>
      <w:r>
        <w:rPr>
          <w:rFonts w:ascii="新細明體" w:hAnsi="新細明體"/>
          <w:color w:val="000000"/>
          <w:lang w:val="de-DE"/>
        </w:rPr>
        <w:t>(Bundesbeamtengesetz; BBG)</w:t>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項及「公務員基準法」</w:t>
      </w:r>
      <w:r>
        <w:rPr>
          <w:rFonts w:ascii="新細明體" w:hAnsi="新細明體"/>
          <w:color w:val="000000"/>
          <w:lang w:val="de-DE"/>
        </w:rPr>
        <w:t xml:space="preserve">(Rahmengesetz zur Vereinheitlichung des Beamtenrechts; Beamtenrechtsrahmengesetz </w:t>
      </w:r>
      <w:proofErr w:type="gramStart"/>
      <w:r>
        <w:rPr>
          <w:rFonts w:ascii="新細明體" w:hAnsi="新細明體"/>
          <w:color w:val="000000"/>
          <w:lang w:val="de-DE"/>
        </w:rPr>
        <w:t>–</w:t>
      </w:r>
      <w:proofErr w:type="gramEnd"/>
      <w:r>
        <w:rPr>
          <w:rFonts w:ascii="新細明體" w:hAnsi="新細明體"/>
          <w:color w:val="000000"/>
          <w:lang w:val="de-DE"/>
        </w:rPr>
        <w:t xml:space="preserve"> BRRG)</w:t>
      </w:r>
      <w:r>
        <w:rPr>
          <w:rStyle w:val="a6"/>
          <w:rFonts w:ascii="新細明體" w:hAnsi="新細明體"/>
          <w:color w:val="000000"/>
          <w:lang w:val="de-DE"/>
        </w:rPr>
        <w:footnoteReference w:id="9"/>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項明白確定下來。此一關係</w:t>
      </w:r>
      <w:proofErr w:type="gramStart"/>
      <w:r>
        <w:rPr>
          <w:rFonts w:ascii="新細明體" w:hAnsi="新細明體" w:hint="eastAsia"/>
          <w:color w:val="000000"/>
          <w:lang w:val="de-DE"/>
        </w:rPr>
        <w:t>係</w:t>
      </w:r>
      <w:proofErr w:type="gramEnd"/>
      <w:r>
        <w:rPr>
          <w:rFonts w:ascii="新細明體" w:hAnsi="新細明體" w:hint="eastAsia"/>
          <w:color w:val="000000"/>
          <w:lang w:val="de-DE"/>
        </w:rPr>
        <w:t>經由勤務主之任命行為</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行政處分</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而成立之特別的法律關係</w:t>
      </w:r>
      <w:r>
        <w:rPr>
          <w:rStyle w:val="a6"/>
          <w:rFonts w:ascii="新細明體" w:hAnsi="新細明體"/>
          <w:color w:val="000000"/>
          <w:lang w:val="de-DE"/>
        </w:rPr>
        <w:footnoteReference w:id="10"/>
      </w:r>
      <w:r>
        <w:rPr>
          <w:rFonts w:ascii="新細明體" w:hAnsi="新細明體" w:hint="eastAsia"/>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如果不再沿用「特別權力關係」此一用語。其特色在於雙方之忠誠義務。從勤務主的角度來看，其</w:t>
      </w:r>
      <w:r>
        <w:rPr>
          <w:rFonts w:ascii="新細明體" w:hAnsi="新細明體" w:hint="eastAsia"/>
          <w:color w:val="000000"/>
        </w:rPr>
        <w:t>對於公務員及其家庭負有照顧與保護義務</w:t>
      </w:r>
      <w:r>
        <w:rPr>
          <w:rFonts w:ascii="新細明體" w:hAnsi="新細明體"/>
          <w:color w:val="000000"/>
          <w:lang w:val="de-DE"/>
        </w:rPr>
        <w:t>(Fürsorge- und Schutzpflicht)</w:t>
      </w:r>
      <w:r>
        <w:rPr>
          <w:rFonts w:ascii="新細明體" w:hAnsi="新細明體" w:hint="eastAsia"/>
          <w:color w:val="000000"/>
          <w:lang w:val="de-DE"/>
        </w:rPr>
        <w:t>。此一照顧與保護義務</w:t>
      </w:r>
      <w:r>
        <w:rPr>
          <w:rFonts w:ascii="新細明體" w:hAnsi="新細明體" w:hint="eastAsia"/>
          <w:color w:val="000000"/>
          <w:lang w:val="de-DE"/>
        </w:rPr>
        <w:t>屬於職業公務員制度之傳統原則，並已於現行之公務員法上落實下來</w:t>
      </w:r>
      <w:r>
        <w:rPr>
          <w:rFonts w:ascii="新細明體" w:hAnsi="新細明體"/>
          <w:color w:val="000000"/>
          <w:lang w:val="de-DE"/>
        </w:rPr>
        <w:t>(§ 79 BBG</w:t>
      </w:r>
      <w:r>
        <w:rPr>
          <w:rFonts w:ascii="新細明體" w:hAnsi="新細明體" w:hint="eastAsia"/>
          <w:color w:val="000000"/>
          <w:lang w:val="de-DE"/>
        </w:rPr>
        <w:t>；</w:t>
      </w:r>
      <w:r>
        <w:rPr>
          <w:rFonts w:ascii="新細明體" w:hAnsi="新細明體"/>
          <w:color w:val="000000"/>
          <w:lang w:val="de-DE"/>
        </w:rPr>
        <w:t>§ 48 BRRG)</w:t>
      </w:r>
      <w:r>
        <w:rPr>
          <w:rFonts w:ascii="新細明體" w:hAnsi="新細明體" w:hint="eastAsia"/>
          <w:color w:val="000000"/>
          <w:lang w:val="de-DE"/>
        </w:rPr>
        <w:t>。從公務員的角度來看，除了對基本法下自由民主之基本秩序的憲法忠誠義務</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2 BRRG)</w:t>
      </w:r>
      <w:r>
        <w:rPr>
          <w:rFonts w:ascii="新細明體" w:hAnsi="新細明體" w:hint="eastAsia"/>
          <w:color w:val="000000"/>
          <w:lang w:val="de-DE"/>
        </w:rPr>
        <w:t>外，公務員基於其為全體國民服務之公僕身份必須不偏不倚地、適當地履行其任務，於執行職務時應考慮公眾之福祉</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1 BRRG)</w:t>
      </w:r>
      <w:r>
        <w:rPr>
          <w:rFonts w:ascii="新細明體" w:hAnsi="新細明體" w:hint="eastAsia"/>
          <w:color w:val="000000"/>
          <w:lang w:val="de-DE"/>
        </w:rPr>
        <w:t>，而且不分職務內、外之行為都必須適於維持其職業上所必要之尊重與信賴</w:t>
      </w:r>
      <w:r>
        <w:rPr>
          <w:rFonts w:ascii="新細明體" w:hAnsi="新細明體"/>
          <w:color w:val="000000"/>
          <w:lang w:val="de-DE"/>
        </w:rPr>
        <w:t>(§ 54 BBG</w:t>
      </w:r>
      <w:r>
        <w:rPr>
          <w:rFonts w:ascii="新細明體" w:hAnsi="新細明體" w:hint="eastAsia"/>
          <w:color w:val="000000"/>
          <w:lang w:val="de-DE"/>
        </w:rPr>
        <w:t>；</w:t>
      </w:r>
      <w:r>
        <w:rPr>
          <w:rFonts w:ascii="新細明體" w:hAnsi="新細明體"/>
          <w:color w:val="000000"/>
          <w:lang w:val="de-DE"/>
        </w:rPr>
        <w:t>§ 36 BRRG)</w:t>
      </w:r>
      <w:r>
        <w:rPr>
          <w:rFonts w:ascii="新細明體" w:hAnsi="新細明體" w:hint="eastAsia"/>
          <w:color w:val="000000"/>
          <w:lang w:val="de-DE"/>
        </w:rPr>
        <w:t>。</w:t>
      </w:r>
      <w:r>
        <w:rPr>
          <w:rStyle w:val="a6"/>
          <w:rFonts w:ascii="新細明體" w:hAnsi="新細明體"/>
          <w:color w:val="000000"/>
          <w:lang w:val="de-DE"/>
        </w:rPr>
        <w:footnoteReference w:id="11"/>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w:t>
      </w:r>
      <w:r>
        <w:rPr>
          <w:rFonts w:ascii="新細明體" w:hAnsi="新細明體" w:hint="eastAsia"/>
          <w:color w:val="000000"/>
          <w:lang w:val="de-DE"/>
        </w:rPr>
        <w:t>員中之另一軌，職員與勞工，與其勤務主間之關係為私法上之勞動關係。勞動關係中之主要內容並非完全取決於各別的勞動契約，而毋寧是取決於雇主與工會間之「團體協約」</w:t>
      </w:r>
      <w:r>
        <w:rPr>
          <w:rFonts w:ascii="新細明體" w:hAnsi="新細明體"/>
          <w:color w:val="000000"/>
          <w:lang w:val="de-DE"/>
        </w:rPr>
        <w:t>(Tarifsvertrag)</w:t>
      </w:r>
      <w:r>
        <w:rPr>
          <w:rFonts w:ascii="新細明體" w:hAnsi="新細明體" w:hint="eastAsia"/>
          <w:color w:val="000000"/>
          <w:lang w:val="de-DE"/>
        </w:rPr>
        <w:t>。對於聯邦、各</w:t>
      </w:r>
      <w:proofErr w:type="gramStart"/>
      <w:r>
        <w:rPr>
          <w:rFonts w:ascii="新細明體" w:hAnsi="新細明體" w:hint="eastAsia"/>
          <w:color w:val="000000"/>
          <w:lang w:val="de-DE"/>
        </w:rPr>
        <w:t>邦</w:t>
      </w:r>
      <w:proofErr w:type="gramEnd"/>
      <w:r>
        <w:rPr>
          <w:rFonts w:ascii="新細明體" w:hAnsi="新細明體" w:hint="eastAsia"/>
          <w:color w:val="000000"/>
          <w:lang w:val="de-DE"/>
        </w:rPr>
        <w:t>及鄉鎮中之勞動者</w:t>
      </w:r>
      <w:r>
        <w:rPr>
          <w:rFonts w:ascii="新細明體" w:hAnsi="新細明體"/>
          <w:color w:val="000000"/>
          <w:lang w:val="de-DE"/>
        </w:rPr>
        <w:t>(Arbeitnehmer)</w:t>
      </w:r>
      <w:r>
        <w:rPr>
          <w:rStyle w:val="a6"/>
          <w:rFonts w:ascii="新細明體" w:hAnsi="新細明體"/>
          <w:color w:val="000000"/>
          <w:lang w:val="de-DE"/>
        </w:rPr>
        <w:footnoteReference w:id="12"/>
      </w:r>
      <w:r>
        <w:rPr>
          <w:rFonts w:ascii="新細明體" w:hAnsi="新細明體" w:hint="eastAsia"/>
          <w:color w:val="000000"/>
          <w:lang w:val="de-DE"/>
        </w:rPr>
        <w:t>，乃是適用與</w:t>
      </w:r>
      <w:r>
        <w:rPr>
          <w:rFonts w:ascii="新細明體" w:hAnsi="新細明體"/>
          <w:color w:val="000000"/>
          <w:lang w:val="de-DE"/>
        </w:rPr>
        <w:t>1961</w:t>
      </w:r>
      <w:r>
        <w:rPr>
          <w:rFonts w:ascii="新細明體" w:hAnsi="新細明體" w:hint="eastAsia"/>
          <w:color w:val="000000"/>
          <w:lang w:val="de-DE"/>
        </w:rPr>
        <w:t>年</w:t>
      </w:r>
      <w:r>
        <w:rPr>
          <w:rFonts w:ascii="新細明體" w:hAnsi="新細明體"/>
          <w:color w:val="000000"/>
          <w:lang w:val="de-DE"/>
        </w:rPr>
        <w:t>2</w:t>
      </w:r>
      <w:r>
        <w:rPr>
          <w:rFonts w:ascii="新細明體" w:hAnsi="新細明體" w:hint="eastAsia"/>
          <w:color w:val="000000"/>
          <w:lang w:val="de-DE"/>
        </w:rPr>
        <w:t>月</w:t>
      </w:r>
      <w:r>
        <w:rPr>
          <w:rFonts w:ascii="新細明體" w:hAnsi="新細明體"/>
          <w:color w:val="000000"/>
          <w:lang w:val="de-DE"/>
        </w:rPr>
        <w:t>13</w:t>
      </w:r>
      <w:r>
        <w:rPr>
          <w:rFonts w:ascii="新細明體" w:hAnsi="新細明體" w:hint="eastAsia"/>
          <w:color w:val="000000"/>
          <w:lang w:val="de-DE"/>
        </w:rPr>
        <w:t>日成立之「聯邦職員團體協約」</w:t>
      </w:r>
      <w:r>
        <w:rPr>
          <w:rFonts w:ascii="新細明體" w:hAnsi="新細明體"/>
          <w:color w:val="000000"/>
          <w:lang w:val="de-DE"/>
        </w:rPr>
        <w:t>(Bundes-Angestelltentarifvertrag; BAT)</w:t>
      </w:r>
      <w:r>
        <w:rPr>
          <w:rFonts w:ascii="新細明體" w:hAnsi="新細明體" w:hint="eastAsia"/>
          <w:color w:val="000000"/>
          <w:lang w:val="de-DE"/>
        </w:rPr>
        <w:t>。團體協約之內容可以不必考慮職業公務員制度之傳統原則，亦即基本法上對於公務員制度所採取之取向於傳統的規範架構在此並無拘束力。</w:t>
      </w:r>
      <w:r>
        <w:rPr>
          <w:rStyle w:val="a6"/>
          <w:rFonts w:ascii="新細明體" w:hAnsi="新細明體"/>
          <w:color w:val="000000"/>
          <w:lang w:val="de-DE"/>
        </w:rPr>
        <w:footnoteReference w:id="13"/>
      </w:r>
      <w:r>
        <w:rPr>
          <w:rFonts w:ascii="新細明體" w:hAnsi="新細明體" w:hint="eastAsia"/>
          <w:color w:val="000000"/>
          <w:lang w:val="de-DE"/>
        </w:rPr>
        <w:t>不過，</w:t>
      </w:r>
      <w:r>
        <w:rPr>
          <w:rFonts w:ascii="新細明體" w:hAnsi="新細明體" w:hint="eastAsia"/>
          <w:color w:val="000000"/>
          <w:lang w:val="de-DE"/>
        </w:rPr>
        <w:t>事實上團體協約之內容受公務員法之影響甚巨。</w:t>
      </w:r>
      <w:r>
        <w:rPr>
          <w:rStyle w:val="a6"/>
          <w:rFonts w:ascii="新細明體" w:hAnsi="新細明體"/>
          <w:color w:val="000000"/>
          <w:lang w:val="de-DE"/>
        </w:rPr>
        <w:footnoteReference w:id="14"/>
      </w:r>
    </w:p>
    <w:p w:rsidR="00000000" w:rsidRDefault="00917CC1">
      <w:pPr>
        <w:jc w:val="both"/>
        <w:rPr>
          <w:rFonts w:ascii="新細明體" w:hAnsi="新細明體" w:hint="eastAsia"/>
          <w:color w:val="000000"/>
          <w:lang w:val="de-DE"/>
        </w:rPr>
      </w:pPr>
    </w:p>
    <w:p w:rsidR="00000000" w:rsidRDefault="00917CC1">
      <w:pPr>
        <w:pStyle w:val="5"/>
        <w:rPr>
          <w:rFonts w:hint="eastAsia"/>
        </w:rPr>
      </w:pPr>
      <w:bookmarkStart w:id="8" w:name="_Toc535245919"/>
      <w:r>
        <w:br w:type="page"/>
      </w:r>
      <w:r>
        <w:rPr>
          <w:rFonts w:hint="eastAsia"/>
        </w:rPr>
        <w:lastRenderedPageBreak/>
        <w:t>（二）基本法與公務員制度之傳統</w:t>
      </w:r>
      <w:bookmarkEnd w:id="8"/>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透過基本法第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制憲者表達出了其想要維持一個傳統的公務員制度之意圖。早在三十年戰爭之後，德國公務員制度便已逐漸形成。在此之前以「私法關係」為基礎之領主與家臣間之關係逐漸轉變為公法上之一種特別的效忠關係。</w:t>
      </w:r>
      <w:r>
        <w:rPr>
          <w:rFonts w:ascii="新細明體" w:hAnsi="新細明體"/>
          <w:color w:val="000000"/>
          <w:lang w:val="de-DE"/>
        </w:rPr>
        <w:t>1794</w:t>
      </w:r>
      <w:r>
        <w:rPr>
          <w:rFonts w:ascii="新細明體" w:hAnsi="新細明體" w:hint="eastAsia"/>
          <w:color w:val="000000"/>
          <w:lang w:val="de-DE"/>
        </w:rPr>
        <w:t>年之普魯士一般</w:t>
      </w:r>
      <w:proofErr w:type="gramStart"/>
      <w:r>
        <w:rPr>
          <w:rFonts w:ascii="新細明體" w:hAnsi="新細明體" w:hint="eastAsia"/>
          <w:color w:val="000000"/>
          <w:lang w:val="de-DE"/>
        </w:rPr>
        <w:t>邦</w:t>
      </w:r>
      <w:proofErr w:type="gramEnd"/>
      <w:r>
        <w:rPr>
          <w:rFonts w:ascii="新細明體" w:hAnsi="新細明體" w:hint="eastAsia"/>
          <w:color w:val="000000"/>
          <w:lang w:val="de-DE"/>
        </w:rPr>
        <w:t>法</w:t>
      </w:r>
      <w:r>
        <w:rPr>
          <w:rFonts w:ascii="新細明體" w:hAnsi="新細明體"/>
          <w:color w:val="000000"/>
          <w:lang w:val="de-DE"/>
        </w:rPr>
        <w:t>(Preußische Allgemeine Landrecht)</w:t>
      </w:r>
      <w:r>
        <w:rPr>
          <w:rFonts w:ascii="新細明體" w:hAnsi="新細明體" w:hint="eastAsia"/>
          <w:color w:val="000000"/>
          <w:lang w:val="de-DE"/>
        </w:rPr>
        <w:t>便已確定公務員關係為公法關係。而在二十世紀初，對於公務員關係之發生也從公法契約說轉變為基於單方任命行為之行政處分</w:t>
      </w:r>
      <w:r>
        <w:rPr>
          <w:rFonts w:ascii="新細明體" w:hAnsi="新細明體" w:hint="eastAsia"/>
          <w:color w:val="000000"/>
          <w:lang w:val="de-DE"/>
        </w:rPr>
        <w:t>說。這種轉變大致上與「現代國家」之形成有關。「現代國家」係以「主權」為要素之國家概念。「主權為惟一的、最高的」，這種講法其實反映了現代國家形成過程中權力集中之情形。亦即以往權力分散於各地封建領主、貴族、騎士及教會等等之多角結構轉變為由君主壟斷權力。因此，以人民、領土及主權為概念要素之現代國家乃得以自成一個整體。與此伴隨而生的乃是行政範圍的擴大，從而君主需要一個對其效忠之公務員團體以推行其行政業務。</w:t>
      </w:r>
      <w:r>
        <w:rPr>
          <w:rStyle w:val="a6"/>
          <w:rFonts w:ascii="新細明體" w:hAnsi="新細明體"/>
          <w:color w:val="000000"/>
          <w:lang w:val="de-DE"/>
        </w:rPr>
        <w:footnoteReference w:id="15"/>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隨著民主化及社會主義之興起，是否要繼續維持一個與國家處於公法上任職與忠誠關係之公務員團體，已非無疑問</w:t>
      </w:r>
      <w:r>
        <w:rPr>
          <w:rFonts w:ascii="新細明體" w:hAnsi="新細明體" w:hint="eastAsia"/>
          <w:color w:val="000000"/>
          <w:lang w:val="de-DE"/>
        </w:rPr>
        <w:t>。在威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憲法制定前，當時的公務員已相當擔心在</w:t>
      </w:r>
      <w:r>
        <w:rPr>
          <w:rFonts w:ascii="新細明體" w:hAnsi="新細明體"/>
          <w:color w:val="000000"/>
          <w:lang w:val="de-DE"/>
        </w:rPr>
        <w:t>1918</w:t>
      </w:r>
      <w:r>
        <w:rPr>
          <w:rFonts w:ascii="新細明體" w:hAnsi="新細明體" w:hint="eastAsia"/>
          <w:color w:val="000000"/>
          <w:lang w:val="de-DE"/>
        </w:rPr>
        <w:t>年之</w:t>
      </w:r>
      <w:r>
        <w:rPr>
          <w:rFonts w:ascii="新細明體" w:hAnsi="新細明體"/>
          <w:color w:val="000000"/>
          <w:lang w:val="de-DE"/>
        </w:rPr>
        <w:t>11</w:t>
      </w:r>
      <w:r>
        <w:rPr>
          <w:rFonts w:ascii="新細明體" w:hAnsi="新細明體" w:hint="eastAsia"/>
          <w:color w:val="000000"/>
          <w:lang w:val="de-DE"/>
        </w:rPr>
        <w:t>月革命取得政權之社會民主黨會取消終身職保障之公務員制度，而代之以由人民直接選舉公務員。</w:t>
      </w:r>
      <w:r>
        <w:rPr>
          <w:rStyle w:val="a6"/>
          <w:rFonts w:ascii="新細明體" w:hAnsi="新細明體"/>
          <w:color w:val="000000"/>
          <w:lang w:val="de-DE"/>
        </w:rPr>
        <w:footnoteReference w:id="16"/>
      </w:r>
      <w:r>
        <w:rPr>
          <w:rFonts w:ascii="新細明體" w:hAnsi="新細明體" w:hint="eastAsia"/>
          <w:color w:val="000000"/>
          <w:lang w:val="de-DE"/>
        </w:rPr>
        <w:t>不過此一憂慮並未成為現實。威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憲法於第</w:t>
      </w:r>
      <w:r>
        <w:rPr>
          <w:rFonts w:ascii="新細明體" w:hAnsi="新細明體"/>
          <w:color w:val="000000"/>
          <w:lang w:val="de-DE"/>
        </w:rPr>
        <w:t>128</w:t>
      </w:r>
      <w:r>
        <w:rPr>
          <w:rFonts w:ascii="新細明體" w:hAnsi="新細明體" w:hint="eastAsia"/>
          <w:color w:val="000000"/>
          <w:lang w:val="de-DE"/>
        </w:rPr>
        <w:t>條第三項雖規定「公務員關係之基礎以帝國法律定之。」而未明白表示要維持一個傳統的公務員制度，但第</w:t>
      </w:r>
      <w:r>
        <w:rPr>
          <w:rFonts w:ascii="新細明體" w:hAnsi="新細明體"/>
          <w:color w:val="000000"/>
          <w:lang w:val="de-DE"/>
        </w:rPr>
        <w:t>129</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項規定「除法律另有規定外，公務員之任用為終身職」且「公務員之既得權利不得侵犯」，顯然威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憲法並無意取消既存之公務員制度。</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相同的問題也成為基本法制定時制憲者考慮之重點。在二次大戰後初期關於是否再度引入職業公</w:t>
      </w:r>
      <w:r>
        <w:rPr>
          <w:rFonts w:ascii="新細明體" w:hAnsi="新細明體" w:hint="eastAsia"/>
          <w:color w:val="000000"/>
          <w:lang w:val="de-DE"/>
        </w:rPr>
        <w:t>務員制度存有爭議。在西方佔領區，佔領軍政府之意願及</w:t>
      </w:r>
      <w:r>
        <w:rPr>
          <w:rFonts w:ascii="新細明體" w:hAnsi="新細明體"/>
          <w:color w:val="000000"/>
          <w:lang w:val="de-DE"/>
        </w:rPr>
        <w:t>Hessen</w:t>
      </w:r>
      <w:r>
        <w:rPr>
          <w:rFonts w:ascii="新細明體" w:hAnsi="新細明體" w:hint="eastAsia"/>
          <w:color w:val="000000"/>
          <w:lang w:val="de-DE"/>
        </w:rPr>
        <w:t>、</w:t>
      </w:r>
      <w:r>
        <w:rPr>
          <w:rFonts w:ascii="新細明體" w:hAnsi="新細明體"/>
          <w:color w:val="000000"/>
          <w:lang w:val="de-DE"/>
        </w:rPr>
        <w:t>Groß-Berlin</w:t>
      </w:r>
      <w:r>
        <w:rPr>
          <w:rFonts w:ascii="新細明體" w:hAnsi="新細明體" w:hint="eastAsia"/>
          <w:color w:val="000000"/>
          <w:lang w:val="de-DE"/>
        </w:rPr>
        <w:t>及</w:t>
      </w:r>
      <w:r>
        <w:rPr>
          <w:rFonts w:ascii="新細明體" w:hAnsi="新細明體"/>
          <w:color w:val="000000"/>
          <w:lang w:val="de-DE"/>
        </w:rPr>
        <w:t>Bremen</w:t>
      </w:r>
      <w:r>
        <w:rPr>
          <w:rFonts w:ascii="新細明體" w:hAnsi="新細明體" w:hint="eastAsia"/>
          <w:color w:val="000000"/>
          <w:lang w:val="de-DE"/>
        </w:rPr>
        <w:t>等</w:t>
      </w:r>
      <w:proofErr w:type="gramStart"/>
      <w:r>
        <w:rPr>
          <w:rFonts w:ascii="新細明體" w:hAnsi="新細明體" w:hint="eastAsia"/>
          <w:color w:val="000000"/>
          <w:lang w:val="de-DE"/>
        </w:rPr>
        <w:t>邦</w:t>
      </w:r>
      <w:proofErr w:type="gramEnd"/>
      <w:r>
        <w:rPr>
          <w:rFonts w:ascii="新細明體" w:hAnsi="新細明體" w:hint="eastAsia"/>
          <w:color w:val="000000"/>
          <w:lang w:val="de-DE"/>
        </w:rPr>
        <w:t>之憲法乃是要建立一個以勞動法為基礎之統一的公務人員法制，但南德各邦之憲法則保障職業公務員制度；在蘇聯佔領區及隨後成立之「東德」</w:t>
      </w:r>
      <w:r>
        <w:rPr>
          <w:rFonts w:ascii="新細明體" w:hAnsi="新細明體"/>
          <w:color w:val="000000"/>
          <w:lang w:val="de-DE"/>
        </w:rPr>
        <w:t>(Deutsche Demokratische Republik; DDR)</w:t>
      </w:r>
      <w:r>
        <w:rPr>
          <w:rFonts w:ascii="新細明體" w:hAnsi="新細明體" w:hint="eastAsia"/>
          <w:color w:val="000000"/>
          <w:lang w:val="de-DE"/>
        </w:rPr>
        <w:t>則不再維持公務員制度，所有在國家機關內之人員皆適用勞動法。</w:t>
      </w:r>
      <w:r>
        <w:rPr>
          <w:rStyle w:val="a6"/>
          <w:rFonts w:ascii="新細明體" w:hAnsi="新細明體"/>
          <w:color w:val="000000"/>
          <w:lang w:val="de-DE"/>
        </w:rPr>
        <w:footnoteReference w:id="17"/>
      </w:r>
      <w:r>
        <w:rPr>
          <w:rFonts w:ascii="新細明體" w:hAnsi="新細明體" w:hint="eastAsia"/>
          <w:color w:val="000000"/>
          <w:lang w:val="de-DE"/>
        </w:rPr>
        <w:t>面臨這樣的情況，基本法的制定者</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「國會委員會」</w:t>
      </w:r>
      <w:r>
        <w:rPr>
          <w:rFonts w:ascii="新細明體" w:hAnsi="新細明體"/>
          <w:color w:val="000000"/>
          <w:lang w:val="de-DE"/>
        </w:rPr>
        <w:t>(Der Parlamentarische Rat)</w:t>
      </w:r>
      <w:r>
        <w:rPr>
          <w:rFonts w:ascii="新細明體" w:hAnsi="新細明體" w:hint="eastAsia"/>
          <w:color w:val="000000"/>
          <w:lang w:val="de-DE"/>
        </w:rPr>
        <w:t>所作之決定是一方面維持職業公務員制度之傳統，</w:t>
      </w:r>
      <w:r>
        <w:rPr>
          <w:rFonts w:ascii="新細明體" w:hAnsi="新細明體" w:hint="eastAsia"/>
          <w:color w:val="000000"/>
          <w:lang w:val="de-DE"/>
        </w:rPr>
        <w:t>另一方面則允許一個雙軌的公務人員體制存在，這一方面固然是顧及境內各</w:t>
      </w:r>
      <w:proofErr w:type="gramStart"/>
      <w:r>
        <w:rPr>
          <w:rFonts w:ascii="新細明體" w:hAnsi="新細明體" w:hint="eastAsia"/>
          <w:color w:val="000000"/>
          <w:lang w:val="de-DE"/>
        </w:rPr>
        <w:t>邦</w:t>
      </w:r>
      <w:proofErr w:type="gramEnd"/>
      <w:r>
        <w:rPr>
          <w:rFonts w:ascii="新細明體" w:hAnsi="新細明體" w:hint="eastAsia"/>
          <w:color w:val="000000"/>
          <w:lang w:val="de-DE"/>
        </w:rPr>
        <w:t>之差異性，另一方面也是刻意採取與東德不同作法，以作為突顯雙方制度差異之象徵。</w:t>
      </w:r>
      <w:r>
        <w:rPr>
          <w:rStyle w:val="a6"/>
          <w:rFonts w:ascii="新細明體" w:hAnsi="新細明體"/>
          <w:color w:val="000000"/>
          <w:lang w:val="de-DE"/>
        </w:rPr>
        <w:footnoteReference w:id="18"/>
      </w:r>
    </w:p>
    <w:p w:rsidR="00000000" w:rsidRDefault="00917CC1">
      <w:pPr>
        <w:jc w:val="both"/>
        <w:rPr>
          <w:rFonts w:ascii="新細明體" w:hAnsi="新細明體" w:hint="eastAsia"/>
          <w:color w:val="000000"/>
          <w:lang w:val="de-DE"/>
        </w:rPr>
      </w:pPr>
    </w:p>
    <w:p w:rsidR="00000000" w:rsidRDefault="00917CC1">
      <w:pPr>
        <w:pStyle w:val="4"/>
        <w:rPr>
          <w:rFonts w:hint="eastAsia"/>
          <w:b/>
          <w:bCs/>
        </w:rPr>
      </w:pPr>
      <w:bookmarkStart w:id="9" w:name="_Toc535245920"/>
      <w:r>
        <w:br w:type="page"/>
      </w:r>
      <w:r>
        <w:rPr>
          <w:rFonts w:hint="eastAsia"/>
        </w:rPr>
        <w:lastRenderedPageBreak/>
        <w:t>二、基本法對於公務員制度之制度性保障</w:t>
      </w:r>
      <w:bookmarkEnd w:id="9"/>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項預設了一個既存之公務員制度，且經由第</w:t>
      </w:r>
      <w:r>
        <w:rPr>
          <w:rFonts w:ascii="新細明體" w:hAnsi="新細明體"/>
          <w:color w:val="000000"/>
          <w:lang w:val="de-DE"/>
        </w:rPr>
        <w:t>5</w:t>
      </w:r>
      <w:r>
        <w:rPr>
          <w:rFonts w:ascii="新細明體" w:hAnsi="新細明體" w:hint="eastAsia"/>
          <w:color w:val="000000"/>
          <w:lang w:val="de-DE"/>
        </w:rPr>
        <w:t>項所規定之立法者對於公務員制度之傳統原則之「斟酌義務」，確立了對公務員制度之結構的制度性保障：</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雖然對於基本法第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項是否被包括在基本法</w:t>
      </w:r>
      <w:r>
        <w:rPr>
          <w:rFonts w:ascii="新細明體" w:hAnsi="新細明體"/>
          <w:color w:val="000000"/>
          <w:lang w:val="de-DE"/>
        </w:rPr>
        <w:t>79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項所規定之不得以修憲變更之永續條款內，尚存有爭論</w:t>
      </w:r>
      <w:r>
        <w:rPr>
          <w:rStyle w:val="a6"/>
          <w:rFonts w:ascii="新細明體" w:hAnsi="新細明體"/>
          <w:color w:val="000000"/>
          <w:lang w:val="de-DE"/>
        </w:rPr>
        <w:footnoteReference w:id="19"/>
      </w:r>
      <w:r>
        <w:rPr>
          <w:rFonts w:ascii="新細明體" w:hAnsi="新細明體" w:hint="eastAsia"/>
          <w:color w:val="000000"/>
          <w:lang w:val="de-DE"/>
        </w:rPr>
        <w:t>，但無論如何可以確定的是，如果沒有透過修憲</w:t>
      </w:r>
      <w:r>
        <w:rPr>
          <w:rFonts w:ascii="新細明體" w:hAnsi="新細明體" w:hint="eastAsia"/>
          <w:color w:val="000000"/>
          <w:lang w:val="de-DE"/>
        </w:rPr>
        <w:t>程序，立法者不得廢棄公務員制度。</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項對公務員制度之制度性保障構成立法之界限。在此所涉及的難題是，到底立法者被拘束到什麼程度？儘管時代變遷，立法者是否亦完全不得背離公務員制度之傳統？基本法第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項所規定的「斟酌</w:t>
      </w:r>
      <w:r>
        <w:rPr>
          <w:rFonts w:ascii="新細明體" w:hAnsi="新細明體"/>
          <w:color w:val="000000"/>
          <w:lang w:val="de-DE"/>
        </w:rPr>
        <w:t>(Berücksichtigung)</w:t>
      </w:r>
      <w:r>
        <w:rPr>
          <w:rFonts w:ascii="新細明體" w:hAnsi="新細明體" w:hint="eastAsia"/>
          <w:color w:val="000000"/>
          <w:lang w:val="de-DE"/>
        </w:rPr>
        <w:t>義務」，一般認為立法者所受之拘束輕於「尊重」</w:t>
      </w:r>
      <w:r>
        <w:rPr>
          <w:rFonts w:ascii="新細明體" w:hAnsi="新細明體"/>
          <w:color w:val="000000"/>
          <w:lang w:val="de-DE"/>
        </w:rPr>
        <w:t>(Beachtung)</w:t>
      </w:r>
      <w:r>
        <w:rPr>
          <w:rFonts w:ascii="新細明體" w:hAnsi="新細明體" w:hint="eastAsia"/>
          <w:color w:val="000000"/>
          <w:lang w:val="de-DE"/>
        </w:rPr>
        <w:t>，但比「衡量」</w:t>
      </w:r>
      <w:r>
        <w:rPr>
          <w:rFonts w:ascii="新細明體" w:hAnsi="新細明體"/>
          <w:color w:val="000000"/>
          <w:lang w:val="de-DE"/>
        </w:rPr>
        <w:t>(Erwägung)</w:t>
      </w:r>
      <w:r>
        <w:rPr>
          <w:rFonts w:ascii="新細明體" w:hAnsi="新細明體" w:hint="eastAsia"/>
          <w:color w:val="000000"/>
          <w:lang w:val="de-DE"/>
        </w:rPr>
        <w:t>為高。</w:t>
      </w:r>
      <w:r>
        <w:rPr>
          <w:rStyle w:val="a6"/>
          <w:rFonts w:ascii="新細明體" w:hAnsi="新細明體"/>
          <w:color w:val="000000"/>
          <w:lang w:val="de-DE"/>
        </w:rPr>
        <w:footnoteReference w:id="20"/>
      </w:r>
      <w:r>
        <w:rPr>
          <w:rFonts w:ascii="新細明體" w:hAnsi="新細明體" w:hint="eastAsia"/>
          <w:color w:val="000000"/>
          <w:lang w:val="de-DE"/>
        </w:rPr>
        <w:t>聯邦憲法法院認為制憲者採取這種比較節制的規定方式乃在於給予立法機關廣泛的餘地以便公務員法之繼續發展。</w:t>
      </w:r>
      <w:r>
        <w:rPr>
          <w:rStyle w:val="a6"/>
          <w:rFonts w:ascii="新細明體" w:hAnsi="新細明體"/>
          <w:color w:val="000000"/>
          <w:lang w:val="de-DE"/>
        </w:rPr>
        <w:footnoteReference w:id="21"/>
      </w:r>
      <w:r>
        <w:rPr>
          <w:rFonts w:ascii="新細明體" w:hAnsi="新細明體" w:hint="eastAsia"/>
          <w:color w:val="000000"/>
          <w:lang w:val="de-DE"/>
        </w:rPr>
        <w:t>不過聯邦憲法法院在另一方面也</w:t>
      </w:r>
      <w:r>
        <w:rPr>
          <w:rFonts w:ascii="新細明體" w:hAnsi="新細明體" w:hint="eastAsia"/>
          <w:color w:val="000000"/>
          <w:lang w:val="de-DE"/>
        </w:rPr>
        <w:t>將公務員制度之傳統原則區分為應予「斟酌」之傳統原則與應予「尊重」之特別重要的傳統原則。</w:t>
      </w:r>
      <w:r>
        <w:rPr>
          <w:rStyle w:val="a6"/>
          <w:rFonts w:ascii="新細明體" w:hAnsi="新細明體"/>
          <w:color w:val="000000"/>
          <w:lang w:val="de-DE"/>
        </w:rPr>
        <w:footnoteReference w:id="22"/>
      </w:r>
      <w:r>
        <w:rPr>
          <w:rFonts w:ascii="新細明體" w:hAnsi="新細明體" w:hint="eastAsia"/>
          <w:color w:val="000000"/>
          <w:lang w:val="de-DE"/>
        </w:rPr>
        <w:t>此一超越文義之區分提供了對於公務員制度之結構保障。換言之，為了因應時代的轉變立法者固然可以作必要的調整，但只要並非依循修憲程序</w:t>
      </w:r>
      <w:r>
        <w:rPr>
          <w:rFonts w:ascii="新細明體" w:hAnsi="新細明體"/>
          <w:color w:val="000000"/>
          <w:lang w:val="de-DE"/>
        </w:rPr>
        <w:t>(</w:t>
      </w:r>
      <w:r>
        <w:rPr>
          <w:rFonts w:ascii="新細明體" w:hAnsi="新細明體" w:hint="eastAsia"/>
          <w:color w:val="000000"/>
          <w:lang w:val="de-DE"/>
        </w:rPr>
        <w:t>暫不考慮是否逾越修憲界限</w:t>
      </w:r>
      <w:r>
        <w:rPr>
          <w:rFonts w:ascii="新細明體" w:hAnsi="新細明體"/>
          <w:color w:val="000000"/>
          <w:lang w:val="de-DE"/>
        </w:rPr>
        <w:t>)</w:t>
      </w:r>
      <w:r>
        <w:rPr>
          <w:rFonts w:ascii="新細明體" w:hAnsi="新細明體" w:hint="eastAsia"/>
          <w:color w:val="000000"/>
          <w:lang w:val="de-DE"/>
        </w:rPr>
        <w:t>，立法者不得改變公務員制度之結構。</w:t>
      </w:r>
      <w:r>
        <w:rPr>
          <w:rStyle w:val="a6"/>
          <w:rFonts w:ascii="新細明體" w:hAnsi="新細明體"/>
          <w:color w:val="000000"/>
          <w:lang w:val="de-DE"/>
        </w:rPr>
        <w:footnoteReference w:id="23"/>
      </w:r>
    </w:p>
    <w:p w:rsidR="00000000" w:rsidRDefault="00917CC1">
      <w:pPr>
        <w:ind w:left="240" w:hangingChars="100" w:hanging="240"/>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在這個受基本法結構保障之職業公務員制度中，公務員基於其為國民全體服務之地位之政治中立性乃是「職業公務員制度之法律上的建構原則」</w:t>
      </w:r>
      <w:r>
        <w:rPr>
          <w:rStyle w:val="a6"/>
          <w:rFonts w:ascii="新細明體" w:hAnsi="新細明體"/>
          <w:color w:val="000000"/>
          <w:lang w:val="de-DE"/>
        </w:rPr>
        <w:footnoteReference w:id="24"/>
      </w:r>
      <w:r>
        <w:rPr>
          <w:rFonts w:ascii="新細明體" w:hAnsi="新細明體" w:hint="eastAsia"/>
          <w:color w:val="000000"/>
          <w:lang w:val="de-DE"/>
        </w:rPr>
        <w:t>，而為以下討論之重點。</w:t>
      </w:r>
    </w:p>
    <w:p w:rsidR="00000000" w:rsidRDefault="00917CC1">
      <w:pPr>
        <w:jc w:val="both"/>
        <w:rPr>
          <w:rFonts w:ascii="新細明體" w:hAnsi="新細明體" w:hint="eastAsia"/>
          <w:color w:val="000000"/>
          <w:lang w:val="de-DE"/>
        </w:rPr>
      </w:pPr>
    </w:p>
    <w:p w:rsidR="00000000" w:rsidRDefault="00917CC1">
      <w:pPr>
        <w:pStyle w:val="2"/>
        <w:rPr>
          <w:rFonts w:hint="eastAsia"/>
        </w:rPr>
      </w:pPr>
      <w:r>
        <w:br w:type="page"/>
      </w:r>
      <w:bookmarkStart w:id="10" w:name="_Toc535245921"/>
      <w:r>
        <w:rPr>
          <w:rFonts w:hint="eastAsia"/>
        </w:rPr>
        <w:lastRenderedPageBreak/>
        <w:t>第三節</w:t>
      </w:r>
      <w:r>
        <w:rPr>
          <w:rFonts w:hint="eastAsia"/>
        </w:rPr>
        <w:t xml:space="preserve">  </w:t>
      </w:r>
      <w:r>
        <w:rPr>
          <w:rFonts w:hint="eastAsia"/>
        </w:rPr>
        <w:t>公務</w:t>
      </w:r>
      <w:r>
        <w:t>(</w:t>
      </w:r>
      <w:r>
        <w:rPr>
          <w:rFonts w:hint="eastAsia"/>
        </w:rPr>
        <w:t>人</w:t>
      </w:r>
      <w:r>
        <w:t>)</w:t>
      </w:r>
      <w:r>
        <w:rPr>
          <w:rFonts w:hint="eastAsia"/>
        </w:rPr>
        <w:t>員</w:t>
      </w:r>
      <w:r>
        <w:rPr>
          <w:rStyle w:val="a6"/>
        </w:rPr>
        <w:footnoteReference w:id="25"/>
      </w:r>
      <w:r>
        <w:rPr>
          <w:rFonts w:hint="eastAsia"/>
        </w:rPr>
        <w:t>之政治中立</w:t>
      </w:r>
      <w:bookmarkEnd w:id="10"/>
    </w:p>
    <w:p w:rsidR="00000000" w:rsidRDefault="00917CC1">
      <w:pPr>
        <w:pStyle w:val="3"/>
        <w:rPr>
          <w:rFonts w:hint="eastAsia"/>
          <w:lang w:val="de-DE"/>
        </w:rPr>
      </w:pPr>
      <w:bookmarkStart w:id="11" w:name="_Toc535245922"/>
      <w:r>
        <w:rPr>
          <w:rFonts w:hint="eastAsia"/>
        </w:rPr>
        <w:t>壹、「中立」概念</w:t>
      </w:r>
      <w:bookmarkEnd w:id="11"/>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「中立</w:t>
      </w:r>
      <w:r>
        <w:rPr>
          <w:rFonts w:ascii="新細明體" w:hAnsi="新細明體" w:hint="eastAsia"/>
          <w:color w:val="000000"/>
          <w:lang w:val="de-DE"/>
        </w:rPr>
        <w:t>」概念在一些不同的脈絡中被使用，例如國際法上的「中立」國、國家的「中立」或本文所討論之公務員的「中立」等等。同時，「中立」也是一個很模糊的概念。對於此一模糊之概念，</w:t>
      </w:r>
      <w:r>
        <w:rPr>
          <w:rFonts w:ascii="新細明體" w:hAnsi="新細明體"/>
          <w:color w:val="000000"/>
          <w:lang w:val="de-DE"/>
        </w:rPr>
        <w:t>Carl Schmitt</w:t>
      </w:r>
      <w:r>
        <w:rPr>
          <w:rFonts w:ascii="新細明體" w:hAnsi="新細明體" w:hint="eastAsia"/>
          <w:color w:val="000000"/>
          <w:lang w:val="de-DE"/>
        </w:rPr>
        <w:t>曾針對國家之內政上的中立提出體系性的整理，甚具參考價值：</w:t>
      </w:r>
    </w:p>
    <w:p w:rsidR="00000000" w:rsidRDefault="00917CC1" w:rsidP="00917CC1">
      <w:pPr>
        <w:numPr>
          <w:ilvl w:val="0"/>
          <w:numId w:val="4"/>
        </w:numPr>
        <w:jc w:val="both"/>
        <w:rPr>
          <w:rFonts w:ascii="新細明體" w:hAnsi="新細明體" w:hint="eastAsia"/>
          <w:color w:val="000000"/>
          <w:lang w:val="de-DE"/>
        </w:rPr>
      </w:pPr>
      <w:r>
        <w:rPr>
          <w:rFonts w:ascii="新細明體" w:hAnsi="新細明體" w:hint="eastAsia"/>
          <w:color w:val="000000"/>
          <w:lang w:val="de-DE"/>
        </w:rPr>
        <w:t>消極的中立概念，亦即不作政治決定之「中立」：</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不干涉、不關心；</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工具性的國家觀，亦即認為國家乃是依據客觀之計算而運轉之工技上的器具，任何人都有相同的使用機會；</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參與國家意志形成之相同機會；</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平等</w:t>
      </w:r>
      <w:r>
        <w:rPr>
          <w:rFonts w:ascii="新細明體" w:hAnsi="新細明體"/>
          <w:color w:val="000000"/>
          <w:lang w:val="de-DE"/>
        </w:rPr>
        <w:t>(Parität)</w:t>
      </w:r>
      <w:r>
        <w:rPr>
          <w:rFonts w:ascii="新細明體" w:hAnsi="新細明體" w:hint="eastAsia"/>
          <w:color w:val="000000"/>
          <w:lang w:val="de-DE"/>
        </w:rPr>
        <w:t>，亦即利益或其他國家給付之給予，所有在考慮範圍內之團體</w:t>
      </w:r>
      <w:r>
        <w:rPr>
          <w:rFonts w:ascii="新細明體" w:hAnsi="新細明體" w:hint="eastAsia"/>
          <w:color w:val="000000"/>
          <w:lang w:val="de-DE"/>
        </w:rPr>
        <w:t>或路線在相同的條件且基於相同的考慮下獲得相同的許可。</w:t>
      </w:r>
    </w:p>
    <w:p w:rsidR="00000000" w:rsidRDefault="00917CC1" w:rsidP="00917CC1">
      <w:pPr>
        <w:numPr>
          <w:ilvl w:val="0"/>
          <w:numId w:val="4"/>
        </w:numPr>
        <w:jc w:val="both"/>
        <w:rPr>
          <w:rFonts w:ascii="新細明體" w:hAnsi="新細明體" w:hint="eastAsia"/>
          <w:color w:val="000000"/>
          <w:lang w:val="de-DE"/>
        </w:rPr>
      </w:pPr>
      <w:r>
        <w:rPr>
          <w:rFonts w:ascii="新細明體" w:hAnsi="新細明體" w:hint="eastAsia"/>
          <w:color w:val="000000"/>
          <w:lang w:val="de-DE"/>
        </w:rPr>
        <w:t>積極的中立概念，即作政治決定之「中立」：</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在一個已受承認之規範之基礎上的客觀性；</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以一個非追求自我利益之專家為基礎之中立性；</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藉由「中立」可以表達出一個將互相對立之團體包含進來，</w:t>
      </w:r>
      <w:proofErr w:type="gramStart"/>
      <w:r>
        <w:rPr>
          <w:rFonts w:ascii="新細明體" w:hAnsi="新細明體" w:hint="eastAsia"/>
          <w:color w:val="000000"/>
          <w:lang w:val="de-DE"/>
        </w:rPr>
        <w:t>且從而</w:t>
      </w:r>
      <w:proofErr w:type="gramEnd"/>
      <w:r>
        <w:rPr>
          <w:rFonts w:ascii="新細明體" w:hAnsi="新細明體" w:hint="eastAsia"/>
          <w:color w:val="000000"/>
          <w:lang w:val="de-DE"/>
        </w:rPr>
        <w:t>將此一對立相對化之單位或整體；</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局外人之中立性，此一局外人以第三者之身分在必要時可以由外影響決定，並從而影響一個整體。</w:t>
      </w:r>
      <w:r>
        <w:rPr>
          <w:rStyle w:val="a6"/>
          <w:rFonts w:ascii="新細明體" w:hAnsi="新細明體"/>
          <w:color w:val="000000"/>
          <w:lang w:val="de-DE"/>
        </w:rPr>
        <w:footnoteReference w:id="26"/>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此兩組「中立」概念與</w:t>
      </w:r>
      <w:r>
        <w:rPr>
          <w:rFonts w:ascii="新細明體" w:hAnsi="新細明體"/>
          <w:color w:val="000000"/>
          <w:lang w:val="de-DE"/>
        </w:rPr>
        <w:t>Carl Schmitt</w:t>
      </w:r>
      <w:r>
        <w:rPr>
          <w:rFonts w:ascii="新細明體" w:hAnsi="新細明體" w:hint="eastAsia"/>
          <w:color w:val="000000"/>
          <w:lang w:val="de-DE"/>
        </w:rPr>
        <w:t>之國家觀有關，重點在於面臨威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共和這樣不穩定的政黨國家、面臨當時的多元主義，如何重新整合？國家應持怎</w:t>
      </w:r>
      <w:r>
        <w:rPr>
          <w:rFonts w:ascii="新細明體" w:hAnsi="新細明體" w:hint="eastAsia"/>
          <w:color w:val="000000"/>
          <w:lang w:val="de-DE"/>
        </w:rPr>
        <w:t>樣之立場？</w:t>
      </w:r>
      <w:r>
        <w:rPr>
          <w:rStyle w:val="a6"/>
          <w:rFonts w:ascii="新細明體" w:hAnsi="新細明體"/>
          <w:color w:val="000000"/>
          <w:lang w:val="de-DE"/>
        </w:rPr>
        <w:footnoteReference w:id="27"/>
      </w:r>
      <w:r>
        <w:rPr>
          <w:rFonts w:ascii="新細明體" w:hAnsi="新細明體" w:hint="eastAsia"/>
          <w:color w:val="000000"/>
          <w:lang w:val="de-DE"/>
        </w:rPr>
        <w:t>這樣的問題脈絡並非本文關注之重點，且對於「中立」概念也要在較具體之事物脈絡中才能獲得進一步的了解，但無論如何，作為一組分析工具</w:t>
      </w:r>
      <w:r>
        <w:rPr>
          <w:rFonts w:ascii="新細明體" w:hAnsi="新細明體"/>
          <w:color w:val="000000"/>
          <w:lang w:val="de-DE"/>
        </w:rPr>
        <w:t>Carl Schmitt</w:t>
      </w:r>
      <w:r>
        <w:rPr>
          <w:rFonts w:ascii="新細明體" w:hAnsi="新細明體" w:hint="eastAsia"/>
          <w:color w:val="000000"/>
          <w:lang w:val="de-DE"/>
        </w:rPr>
        <w:t>所提出之對中立概念之分析提供了對此概念之初步理解與概觀。以下我們將進入「公務員中立」之概念，而如我們所將知道的，此一概念與</w:t>
      </w:r>
      <w:r>
        <w:rPr>
          <w:rFonts w:ascii="新細明體" w:hAnsi="新細明體"/>
          <w:color w:val="000000"/>
          <w:lang w:val="de-DE"/>
        </w:rPr>
        <w:t>Carl Schmitt</w:t>
      </w:r>
      <w:r>
        <w:rPr>
          <w:rFonts w:ascii="新細明體" w:hAnsi="新細明體" w:hint="eastAsia"/>
          <w:color w:val="000000"/>
          <w:lang w:val="de-DE"/>
        </w:rPr>
        <w:t>所面對之「政黨國家」、「多元主義」習習相關。</w:t>
      </w:r>
    </w:p>
    <w:p w:rsidR="00000000" w:rsidRDefault="00917CC1">
      <w:pPr>
        <w:jc w:val="both"/>
        <w:rPr>
          <w:rFonts w:ascii="新細明體" w:hAnsi="新細明體"/>
          <w:color w:val="000000"/>
          <w:lang w:val="de-DE"/>
        </w:rPr>
      </w:pPr>
    </w:p>
    <w:p w:rsidR="00000000" w:rsidRDefault="00917CC1">
      <w:pPr>
        <w:pStyle w:val="3"/>
        <w:rPr>
          <w:rFonts w:hint="eastAsia"/>
        </w:rPr>
      </w:pPr>
      <w:bookmarkStart w:id="12" w:name="_Toc535245923"/>
      <w:r>
        <w:br w:type="page"/>
      </w:r>
      <w:r>
        <w:rPr>
          <w:rFonts w:hint="eastAsia"/>
        </w:rPr>
        <w:lastRenderedPageBreak/>
        <w:t>貳、「公務員之中立性」：概念變遷</w:t>
      </w:r>
      <w:bookmarkEnd w:id="12"/>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公務員政治中立之概念早在君主立憲之憲法模式中即已出現。在君主立憲之憲法模式中君主以及隸屬於其下之公務員乃是「公益</w:t>
      </w:r>
      <w:r>
        <w:rPr>
          <w:rFonts w:ascii="新細明體" w:hAnsi="新細明體" w:hint="eastAsia"/>
          <w:color w:val="000000"/>
          <w:lang w:val="de-DE"/>
        </w:rPr>
        <w:t>」的代表，因此，其乃是超越於社會上之個別利益之上的，它乃是「超越黨派的」。此一理論是以傳統之「國家與社會區分」為其基調，亦即君主乃代表國家、代表公益，而國會則代表社會，反映多元利益之競逐。在這個意義下，強調向君主效忠之公務員超越黨派、是公益的代表人，其實是違反民主的。如果依照代議民主理論，則只有由國會所制定之具民主正當性之法律才是公益的反映，因此，所謂公務員之中立應該理解為公務員之受法律拘束性。此一觀點在</w:t>
      </w:r>
      <w:r>
        <w:rPr>
          <w:rFonts w:ascii="新細明體" w:hAnsi="新細明體"/>
          <w:color w:val="000000"/>
          <w:lang w:val="de-DE"/>
        </w:rPr>
        <w:t>1873</w:t>
      </w:r>
      <w:r>
        <w:rPr>
          <w:rFonts w:ascii="新細明體" w:hAnsi="新細明體" w:hint="eastAsia"/>
          <w:color w:val="000000"/>
          <w:lang w:val="de-DE"/>
        </w:rPr>
        <w:t>年的「帝國公務員法」中獲得確認，依其規定公務員應符合憲法與法律地執行其職務。但無論如何，在君權與</w:t>
      </w:r>
      <w:r>
        <w:rPr>
          <w:rFonts w:ascii="新細明體" w:hAnsi="新細明體" w:hint="eastAsia"/>
          <w:color w:val="000000"/>
          <w:lang w:val="de-DE"/>
        </w:rPr>
        <w:t>國會並立的政治二元體制下，公務員乃是夾在向君主效忠與法律拘束之間。</w:t>
      </w:r>
      <w:r>
        <w:rPr>
          <w:rStyle w:val="a6"/>
          <w:rFonts w:ascii="新細明體" w:hAnsi="新細明體"/>
          <w:color w:val="000000"/>
          <w:lang w:val="de-DE"/>
        </w:rPr>
        <w:footnoteReference w:id="28"/>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進入民主體制以後，君權與國會的對立消失了，接著面臨的問題是公務員之政治效忠及在民主的政黨國家中對公務員之功能期待等問題。關於政治效忠可以區分兩個層次，即政治信念或意識形態層面及對政府之效忠。對於政治信念，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憲法與基本法態度不同。威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項保障公務員之政治信念自由；在基本法下則要求公務員要「以其全部行為擁護基本法之自由民主的基本秩序」</w:t>
      </w:r>
      <w:r>
        <w:rPr>
          <w:rFonts w:ascii="新細明體" w:hAnsi="新細明體"/>
          <w:color w:val="000000"/>
          <w:lang w:val="de-DE"/>
        </w:rPr>
        <w:t>(§§ 52 II BBG; 35 I S. 3 BRRG)</w:t>
      </w:r>
      <w:r>
        <w:rPr>
          <w:rFonts w:ascii="新細明體" w:hAnsi="新細明體" w:hint="eastAsia"/>
          <w:color w:val="000000"/>
          <w:lang w:val="de-DE"/>
        </w:rPr>
        <w:t>。在這個意義下可以說，公</w:t>
      </w:r>
      <w:r>
        <w:rPr>
          <w:rFonts w:ascii="新細明體" w:hAnsi="新細明體" w:hint="eastAsia"/>
          <w:color w:val="000000"/>
          <w:lang w:val="de-DE"/>
        </w:rPr>
        <w:t>務員在基本法下並不享有政治信念之中立性。更進一步來說，以往基於區分「國家」與「國家形式」之觀念而認為，儘管國家形式改變</w:t>
      </w:r>
      <w:r>
        <w:rPr>
          <w:rFonts w:ascii="新細明體" w:hAnsi="新細明體" w:hint="eastAsia"/>
          <w:color w:val="000000"/>
        </w:rPr>
        <w:t>，</w:t>
      </w:r>
      <w:r>
        <w:rPr>
          <w:rFonts w:ascii="新細明體" w:hAnsi="新細明體" w:hint="eastAsia"/>
          <w:color w:val="000000"/>
          <w:lang w:val="de-DE"/>
        </w:rPr>
        <w:t>公務員關係不受影響，但在基本法下所被承認之國家形式只有民主共和國，因此在基本法秩序下公務員對於國家形式之</w:t>
      </w:r>
      <w:proofErr w:type="gramStart"/>
      <w:r>
        <w:rPr>
          <w:rFonts w:ascii="新細明體" w:hAnsi="新細明體" w:hint="eastAsia"/>
          <w:color w:val="000000"/>
          <w:lang w:val="de-DE"/>
        </w:rPr>
        <w:t>中立性乃不</w:t>
      </w:r>
      <w:proofErr w:type="gramEnd"/>
      <w:r>
        <w:rPr>
          <w:rFonts w:ascii="新細明體" w:hAnsi="新細明體" w:hint="eastAsia"/>
          <w:color w:val="000000"/>
          <w:lang w:val="de-DE"/>
        </w:rPr>
        <w:t>被接受。</w:t>
      </w:r>
      <w:r>
        <w:rPr>
          <w:rStyle w:val="a6"/>
          <w:rFonts w:ascii="新細明體" w:hAnsi="新細明體"/>
          <w:color w:val="000000"/>
          <w:lang w:val="de-DE"/>
        </w:rPr>
        <w:footnoteReference w:id="29"/>
      </w:r>
      <w:r>
        <w:rPr>
          <w:rFonts w:ascii="新細明體" w:hAnsi="新細明體" w:hint="eastAsia"/>
          <w:color w:val="000000"/>
          <w:lang w:val="de-DE"/>
        </w:rPr>
        <w:t>至於對政府的效忠問題，與在民主的政黨國家中對公務員之功能期待問題相關，以下一併討論。</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項規定「公務員為國民全體，而非為政黨服務。」由這一規定可以看出威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憲法仍然強調公務員之超越黨派之中立地位。在基本法下，由威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憲法此一規定所要求之公務員的</w:t>
      </w:r>
      <w:r>
        <w:rPr>
          <w:rFonts w:ascii="新細明體" w:hAnsi="新細明體" w:hint="eastAsia"/>
          <w:color w:val="000000"/>
          <w:lang w:val="de-DE"/>
        </w:rPr>
        <w:t>中立性也被承認為職業公務員制度之傳統原則</w:t>
      </w:r>
      <w:r>
        <w:rPr>
          <w:rStyle w:val="a6"/>
          <w:rFonts w:ascii="新細明體" w:hAnsi="新細明體"/>
          <w:color w:val="000000"/>
          <w:lang w:val="de-DE"/>
        </w:rPr>
        <w:footnoteReference w:id="30"/>
      </w:r>
      <w:r>
        <w:rPr>
          <w:rFonts w:ascii="新細明體" w:hAnsi="新細明體" w:hint="eastAsia"/>
          <w:color w:val="000000"/>
          <w:lang w:val="de-DE"/>
        </w:rPr>
        <w:t>，並且於公務員法中再次確認：「公務員為國民全體，而非為政黨服務。其應</w:t>
      </w:r>
      <w:proofErr w:type="gramStart"/>
      <w:r>
        <w:rPr>
          <w:rFonts w:ascii="新細明體" w:hAnsi="新細明體" w:hint="eastAsia"/>
          <w:color w:val="000000"/>
          <w:lang w:val="de-DE"/>
        </w:rPr>
        <w:t>不</w:t>
      </w:r>
      <w:proofErr w:type="gramEnd"/>
      <w:r>
        <w:rPr>
          <w:rFonts w:ascii="新細明體" w:hAnsi="新細明體" w:hint="eastAsia"/>
          <w:color w:val="000000"/>
          <w:lang w:val="de-DE"/>
        </w:rPr>
        <w:t>偏私且適當地履行其任務，且其職務之執行必須考慮公眾之福祉。」</w:t>
      </w:r>
      <w:r>
        <w:rPr>
          <w:rFonts w:ascii="新細明體" w:hAnsi="新細明體"/>
          <w:color w:val="000000"/>
          <w:lang w:val="de-DE"/>
        </w:rPr>
        <w:t>(§§ 52 I BBG; 35 I BRRG)</w:t>
      </w:r>
      <w:r>
        <w:rPr>
          <w:rFonts w:ascii="新細明體" w:hAnsi="新細明體" w:hint="eastAsia"/>
          <w:color w:val="000000"/>
          <w:lang w:val="de-DE"/>
        </w:rPr>
        <w:t>由這些規定來看，對公務員制度之理解與在君主立憲之憲法模式下似乎並無太大的不同，儘管君權與國會之二元對立已不再存在。這其中之癥結在於在民主體制下對於公務員制度之功能期待。與此有關之出發點乃是上文中所提到之</w:t>
      </w:r>
      <w:r>
        <w:rPr>
          <w:rFonts w:ascii="新細明體" w:hAnsi="新細明體"/>
          <w:color w:val="000000"/>
          <w:lang w:val="de-DE"/>
        </w:rPr>
        <w:t>Carl Schmitt</w:t>
      </w:r>
      <w:r>
        <w:rPr>
          <w:rFonts w:ascii="新細明體" w:hAnsi="新細明體" w:hint="eastAsia"/>
          <w:color w:val="000000"/>
          <w:lang w:val="de-DE"/>
        </w:rPr>
        <w:t>所面對之不穩定的政黨國家：威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共和。面臨內閣更迭頻繁之威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共和，職</w:t>
      </w:r>
      <w:r>
        <w:rPr>
          <w:rFonts w:ascii="新細明體" w:hAnsi="新細明體" w:hint="eastAsia"/>
          <w:color w:val="000000"/>
          <w:lang w:val="de-DE"/>
        </w:rPr>
        <w:t>業公務員制度乃被期待為一穩定的機制。代表性之見解為</w:t>
      </w:r>
      <w:r>
        <w:rPr>
          <w:rFonts w:ascii="新細明體" w:hAnsi="新細明體"/>
          <w:color w:val="000000"/>
          <w:lang w:val="de-DE"/>
        </w:rPr>
        <w:t>Arnold Köttgen</w:t>
      </w:r>
      <w:r>
        <w:rPr>
          <w:rFonts w:ascii="新細明體" w:hAnsi="新細明體" w:hint="eastAsia"/>
          <w:color w:val="000000"/>
          <w:lang w:val="de-DE"/>
        </w:rPr>
        <w:t>於</w:t>
      </w:r>
      <w:r>
        <w:rPr>
          <w:rFonts w:ascii="新細明體" w:hAnsi="新細明體"/>
          <w:color w:val="000000"/>
          <w:lang w:val="de-DE"/>
        </w:rPr>
        <w:t>1928</w:t>
      </w:r>
      <w:r>
        <w:rPr>
          <w:rFonts w:ascii="新細明體" w:hAnsi="新細明體" w:hint="eastAsia"/>
          <w:color w:val="000000"/>
          <w:lang w:val="de-DE"/>
        </w:rPr>
        <w:t>年之名著「德國之職業公務員制度與</w:t>
      </w:r>
      <w:r>
        <w:rPr>
          <w:rFonts w:ascii="新細明體" w:hAnsi="新細明體" w:hint="eastAsia"/>
          <w:color w:val="000000"/>
          <w:lang w:val="de-DE"/>
        </w:rPr>
        <w:lastRenderedPageBreak/>
        <w:t>國會民主」</w:t>
      </w:r>
      <w:r>
        <w:rPr>
          <w:rFonts w:ascii="新細明體" w:hAnsi="新細明體"/>
          <w:color w:val="000000"/>
          <w:lang w:val="de-DE"/>
        </w:rPr>
        <w:t>(Das deutsche Berufsbeamtentum und die parlamentarische Demokratie)</w:t>
      </w:r>
      <w:r>
        <w:rPr>
          <w:rFonts w:ascii="新細明體" w:hAnsi="新細明體" w:hint="eastAsia"/>
          <w:color w:val="000000"/>
          <w:lang w:val="de-DE"/>
        </w:rPr>
        <w:t>。</w:t>
      </w:r>
      <w:r>
        <w:rPr>
          <w:rFonts w:ascii="新細明體" w:hAnsi="新細明體" w:hint="eastAsia"/>
          <w:color w:val="000000"/>
          <w:lang w:val="de-DE"/>
        </w:rPr>
        <w:t>Köttgen</w:t>
      </w:r>
      <w:r>
        <w:rPr>
          <w:rFonts w:ascii="新細明體" w:hAnsi="新細明體" w:hint="eastAsia"/>
          <w:color w:val="000000"/>
          <w:lang w:val="de-DE"/>
        </w:rPr>
        <w:t>首先對於國家機關依其性質區分出「穩定」及「不穩定」之國家元素。由於威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共和頻繁之內閣更迭，</w:t>
      </w:r>
      <w:r>
        <w:rPr>
          <w:rFonts w:ascii="新細明體" w:hAnsi="新細明體"/>
          <w:color w:val="000000"/>
          <w:lang w:val="de-DE"/>
        </w:rPr>
        <w:t>Köttgen</w:t>
      </w:r>
      <w:r>
        <w:rPr>
          <w:rFonts w:ascii="新細明體" w:hAnsi="新細明體" w:hint="eastAsia"/>
          <w:color w:val="000000"/>
          <w:lang w:val="de-DE"/>
        </w:rPr>
        <w:t>認為國會的政府體系特別需要穩定，而透過對公務員</w:t>
      </w:r>
      <w:r>
        <w:rPr>
          <w:rFonts w:ascii="新細明體" w:hAnsi="新細明體"/>
          <w:color w:val="000000"/>
          <w:lang w:val="de-DE"/>
        </w:rPr>
        <w:t>(</w:t>
      </w:r>
      <w:r>
        <w:rPr>
          <w:rFonts w:ascii="新細明體" w:hAnsi="新細明體" w:hint="eastAsia"/>
          <w:color w:val="000000"/>
          <w:lang w:val="de-DE"/>
        </w:rPr>
        <w:t>政黨</w:t>
      </w:r>
      <w:r>
        <w:rPr>
          <w:rFonts w:ascii="新細明體" w:hAnsi="新細明體"/>
          <w:color w:val="000000"/>
          <w:lang w:val="de-DE"/>
        </w:rPr>
        <w:t>)</w:t>
      </w:r>
      <w:r>
        <w:rPr>
          <w:rFonts w:ascii="新細明體" w:hAnsi="新細明體" w:hint="eastAsia"/>
          <w:color w:val="000000"/>
          <w:lang w:val="de-DE"/>
        </w:rPr>
        <w:t>政治中立性的確認，可以擔保行政之穩定性。「政治中立性在一定程度內為行政創造</w:t>
      </w:r>
      <w:r>
        <w:rPr>
          <w:rFonts w:ascii="新細明體" w:hAnsi="新細明體" w:hint="eastAsia"/>
          <w:color w:val="000000"/>
          <w:lang w:val="de-DE"/>
        </w:rPr>
        <w:t>了面對政治影響之自主性。」「在君權這個國家政策上的穩定元素消失後，可以說職業公務員制度乃是君主制所留下來的遺產。」由這個職業「所形成之相對於流動的政治力之相反地位，使得官僚制成為政黨以外之自主的政治力中心」。</w:t>
      </w:r>
      <w:r>
        <w:rPr>
          <w:rStyle w:val="a6"/>
          <w:rFonts w:ascii="新細明體" w:hAnsi="新細明體"/>
          <w:color w:val="000000"/>
          <w:lang w:val="de-DE"/>
        </w:rPr>
        <w:footnoteReference w:id="31"/>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儘管政治形勢已大不相同，此一對公務員制度之功能期待在基本法秩序下也延續下來：「連結到德國之行政傳統，基本法乃是將職業公務員制度認定為基於實務知識、專業給付及忠誠地義務履行而建立之制度，藉此以確保穩定之行政，並從而構成對於形成國家生活之政治力之平衡因素。」</w:t>
      </w:r>
      <w:r>
        <w:rPr>
          <w:rStyle w:val="a6"/>
          <w:rFonts w:ascii="新細明體" w:hAnsi="新細明體"/>
          <w:color w:val="000000"/>
          <w:lang w:val="de-DE"/>
        </w:rPr>
        <w:footnoteReference w:id="32"/>
      </w:r>
      <w:r>
        <w:rPr>
          <w:rFonts w:ascii="新細明體" w:hAnsi="新細明體" w:hint="eastAsia"/>
          <w:color w:val="000000"/>
          <w:lang w:val="de-DE"/>
        </w:rPr>
        <w:t>公務員制度之意義乃在於「國家之穩定化</w:t>
      </w:r>
      <w:r>
        <w:rPr>
          <w:rFonts w:ascii="新細明體" w:hAnsi="新細明體" w:hint="eastAsia"/>
          <w:color w:val="000000"/>
          <w:lang w:val="de-DE"/>
        </w:rPr>
        <w:t>」；公務員之特殊的憲法地位之所以得以正當化，乃是因為有必要維護公務員「相對於彼此衝突之各別利益之內在的中立性」。</w:t>
      </w:r>
      <w:r>
        <w:rPr>
          <w:rStyle w:val="a6"/>
          <w:rFonts w:ascii="新細明體" w:hAnsi="新細明體"/>
          <w:color w:val="000000"/>
          <w:lang w:val="de-DE"/>
        </w:rPr>
        <w:footnoteReference w:id="33"/>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由這些概念軌跡來看，似乎在民主體制下之公務員中立性概念與在君主立憲之憲法模式下之中立性概念差相彷彿。以下也許可以模仿</w:t>
      </w:r>
      <w:r>
        <w:rPr>
          <w:rFonts w:ascii="新細明體" w:hAnsi="新細明體"/>
          <w:color w:val="000000"/>
          <w:lang w:val="de-DE"/>
        </w:rPr>
        <w:t>Carl Schmitt</w:t>
      </w:r>
      <w:r>
        <w:rPr>
          <w:rFonts w:ascii="新細明體" w:hAnsi="新細明體" w:hint="eastAsia"/>
          <w:color w:val="000000"/>
          <w:lang w:val="de-DE"/>
        </w:rPr>
        <w:t>擬出一些關於中立性概念之重點：</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距離，亦即公務員必須與政黨、政治力、各別的政治利益等等保持距離，不能與彼等等同。</w:t>
      </w:r>
      <w:r>
        <w:rPr>
          <w:rStyle w:val="a6"/>
          <w:rFonts w:ascii="新細明體" w:hAnsi="新細明體"/>
          <w:color w:val="000000"/>
          <w:lang w:val="de-DE"/>
        </w:rPr>
        <w:footnoteReference w:id="34"/>
      </w:r>
      <w:r>
        <w:rPr>
          <w:rFonts w:ascii="新細明體" w:hAnsi="新細明體" w:hint="eastAsia"/>
          <w:color w:val="000000"/>
          <w:lang w:val="de-DE"/>
        </w:rPr>
        <w:t>這個保持距離之要求也包括公務員不受政黨、政治力指示之拘束。</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對於公務員制度之工具觀，亦即將公務員看成工具性之行政機器。連結到此工具觀者</w:t>
      </w:r>
      <w:r>
        <w:rPr>
          <w:rFonts w:ascii="新細明體" w:hAnsi="新細明體" w:hint="eastAsia"/>
          <w:color w:val="000000"/>
          <w:lang w:val="de-DE"/>
        </w:rPr>
        <w:t>乃是工具對使用者之開放性、平等性。因此，前述之「距離」亦可理解為「行政機器」不得為特定政黨、政治力所壟斷，或用以追求個別之特殊政治利益。中立性在這個意義下也可理解為「禁止特權」。</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在開放、使用機會平等</w:t>
      </w:r>
      <w:proofErr w:type="gramStart"/>
      <w:r>
        <w:rPr>
          <w:rFonts w:ascii="新細明體" w:hAnsi="新細明體" w:hint="eastAsia"/>
          <w:color w:val="000000"/>
          <w:lang w:val="de-DE"/>
        </w:rPr>
        <w:t>等</w:t>
      </w:r>
      <w:proofErr w:type="gramEnd"/>
      <w:r>
        <w:rPr>
          <w:rFonts w:ascii="新細明體" w:hAnsi="新細明體" w:hint="eastAsia"/>
          <w:color w:val="000000"/>
          <w:lang w:val="de-DE"/>
        </w:rPr>
        <w:t>意義下之中立性，勢必要面臨「如何」開放之問題。此一問題在君主立憲之憲法模式下不會出現，因為行政機器乃是歸屬在君權之下，而君主是「超越黨派的」，因此不會有行政機器之競逐問題。在民主體制下，對行政機器之政治領導權乃取決於政治過程，贏得選舉者即贏得政權、贏得對行政機器之領導權。</w:t>
      </w:r>
      <w:r>
        <w:rPr>
          <w:rStyle w:val="a6"/>
          <w:rFonts w:ascii="新細明體" w:hAnsi="新細明體"/>
          <w:color w:val="000000"/>
          <w:lang w:val="de-DE"/>
        </w:rPr>
        <w:footnoteReference w:id="35"/>
      </w:r>
      <w:r>
        <w:rPr>
          <w:rFonts w:ascii="新細明體" w:hAnsi="新細明體" w:hint="eastAsia"/>
          <w:color w:val="000000"/>
          <w:lang w:val="de-DE"/>
        </w:rPr>
        <w:t>因此以往對於君主之效忠乃轉變為對合法</w:t>
      </w:r>
      <w:r>
        <w:rPr>
          <w:rFonts w:ascii="新細明體" w:hAnsi="新細明體" w:hint="eastAsia"/>
          <w:color w:val="000000"/>
          <w:lang w:val="de-DE"/>
        </w:rPr>
        <w:t>產生之政府之效忠。在這個意義上來說，所謂公務員之政治</w:t>
      </w:r>
      <w:proofErr w:type="gramStart"/>
      <w:r>
        <w:rPr>
          <w:rFonts w:ascii="新細明體" w:hAnsi="新細明體" w:hint="eastAsia"/>
          <w:color w:val="000000"/>
          <w:lang w:val="de-DE"/>
        </w:rPr>
        <w:t>中立性乃指</w:t>
      </w:r>
      <w:proofErr w:type="gramEnd"/>
      <w:r>
        <w:rPr>
          <w:rFonts w:ascii="新細明體" w:hAnsi="新細明體" w:hint="eastAsia"/>
          <w:color w:val="000000"/>
          <w:lang w:val="de-DE"/>
        </w:rPr>
        <w:t>「願</w:t>
      </w:r>
      <w:r>
        <w:rPr>
          <w:rFonts w:ascii="新細明體" w:hAnsi="新細明體" w:hint="eastAsia"/>
          <w:color w:val="000000"/>
          <w:lang w:val="de-DE"/>
        </w:rPr>
        <w:lastRenderedPageBreak/>
        <w:t>意對於任何合法產生之政府效忠之態度」。</w:t>
      </w:r>
      <w:r>
        <w:rPr>
          <w:rStyle w:val="a6"/>
          <w:rFonts w:ascii="新細明體" w:hAnsi="新細明體"/>
          <w:color w:val="000000"/>
          <w:lang w:val="de-DE"/>
        </w:rPr>
        <w:footnoteReference w:id="36"/>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由上所述，產生「距離」與「效忠」概念之調和問題。所謂「距離」是否包括對於政府之距離？由</w:t>
      </w:r>
      <w:r>
        <w:rPr>
          <w:rFonts w:ascii="新細明體" w:hAnsi="新細明體"/>
          <w:color w:val="000000"/>
          <w:lang w:val="de-DE"/>
        </w:rPr>
        <w:t>Köttgen</w:t>
      </w:r>
      <w:r>
        <w:rPr>
          <w:rFonts w:ascii="新細明體" w:hAnsi="新細明體" w:hint="eastAsia"/>
          <w:color w:val="000000"/>
          <w:lang w:val="de-DE"/>
        </w:rPr>
        <w:t>所主張之公務員相對於政治力之自主性，似乎可以引申到這一點上。在此要特別考慮的是公務員與行政之受法律拘束性。如果公務員之工作乃是單純的法律執行，似乎可以認為公務員對於政府也應保持距離，因為政府對於公務員以職務監督之形式所進行之領導，也不能要求公務員違反法律。然而，行政並非單純地執行法律。不論是不確定法律概</w:t>
      </w:r>
      <w:r>
        <w:rPr>
          <w:rFonts w:ascii="新細明體" w:hAnsi="新細明體" w:hint="eastAsia"/>
          <w:color w:val="000000"/>
          <w:lang w:val="de-DE"/>
        </w:rPr>
        <w:t>念或裁量條款都使得行政決定並非單純地執行法律，而往往是政治決定。在此</w:t>
      </w:r>
      <w:proofErr w:type="gramStart"/>
      <w:r>
        <w:rPr>
          <w:rFonts w:ascii="新細明體" w:hAnsi="新細明體" w:hint="eastAsia"/>
          <w:color w:val="000000"/>
          <w:lang w:val="de-DE"/>
        </w:rPr>
        <w:t>一</w:t>
      </w:r>
      <w:proofErr w:type="gramEnd"/>
      <w:r>
        <w:rPr>
          <w:rFonts w:ascii="新細明體" w:hAnsi="新細明體" w:hint="eastAsia"/>
          <w:color w:val="000000"/>
          <w:lang w:val="de-DE"/>
        </w:rPr>
        <w:t>範圍內，政府不論是透過個別的指示或一般性之判斷與裁量規則之擬定，都可以要求公務員貫徹其意志。</w:t>
      </w:r>
      <w:proofErr w:type="gramStart"/>
      <w:r>
        <w:rPr>
          <w:rFonts w:ascii="新細明體" w:hAnsi="新細明體" w:hint="eastAsia"/>
          <w:color w:val="000000"/>
          <w:lang w:val="de-DE"/>
        </w:rPr>
        <w:t>此外，</w:t>
      </w:r>
      <w:proofErr w:type="gramEnd"/>
      <w:r>
        <w:rPr>
          <w:rFonts w:ascii="新細明體" w:hAnsi="新細明體" w:hint="eastAsia"/>
          <w:color w:val="000000"/>
          <w:lang w:val="de-DE"/>
        </w:rPr>
        <w:t>公務員之工作也不僅是適用法律，例如法案擬定之所有相關作業，政府當然可以要求公務員配合。因此，公務員對於政府原則上乃無距離可言。</w:t>
      </w:r>
      <w:r>
        <w:rPr>
          <w:rStyle w:val="a6"/>
          <w:rFonts w:ascii="新細明體" w:hAnsi="新細明體"/>
          <w:color w:val="000000"/>
          <w:lang w:val="de-DE"/>
        </w:rPr>
        <w:footnoteReference w:id="37"/>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公務員政治中立之核心意義在於前述「願意對於任何合法產生之政府效忠之態度」，惟對公務員中立之要求乃並不止於「政治中立」，還包括其履行行政任務時之中立。以聯邦公務員法第</w:t>
      </w:r>
      <w:r>
        <w:rPr>
          <w:rFonts w:ascii="新細明體" w:hAnsi="新細明體"/>
          <w:color w:val="000000"/>
          <w:lang w:val="de-DE"/>
        </w:rPr>
        <w:t>52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項之規定來看，其第</w:t>
      </w:r>
      <w:r>
        <w:rPr>
          <w:rFonts w:ascii="新細明體" w:hAnsi="新細明體"/>
          <w:color w:val="000000"/>
          <w:lang w:val="de-DE"/>
        </w:rPr>
        <w:t>1</w:t>
      </w:r>
      <w:r>
        <w:rPr>
          <w:rFonts w:ascii="新細明體" w:hAnsi="新細明體" w:hint="eastAsia"/>
          <w:color w:val="000000"/>
          <w:lang w:val="de-DE"/>
        </w:rPr>
        <w:t>句規定「公務員為國民</w:t>
      </w:r>
      <w:r>
        <w:rPr>
          <w:rFonts w:ascii="新細明體" w:hAnsi="新細明體" w:hint="eastAsia"/>
          <w:color w:val="000000"/>
          <w:lang w:val="de-DE"/>
        </w:rPr>
        <w:t>全體，而非為政黨服務」乃是要求公務員之政治中立，且此政治中立義務可解釋為公務員對於任何合法產生之政府之效忠義務</w:t>
      </w:r>
      <w:r>
        <w:rPr>
          <w:rStyle w:val="a6"/>
          <w:rFonts w:ascii="新細明體" w:hAnsi="新細明體"/>
          <w:color w:val="000000"/>
          <w:lang w:val="de-DE"/>
        </w:rPr>
        <w:footnoteReference w:id="38"/>
      </w:r>
      <w:r>
        <w:rPr>
          <w:rFonts w:ascii="新細明體" w:hAnsi="新細明體" w:hint="eastAsia"/>
          <w:color w:val="000000"/>
          <w:lang w:val="de-DE"/>
        </w:rPr>
        <w:t>；至於第</w:t>
      </w:r>
      <w:r>
        <w:rPr>
          <w:rFonts w:ascii="新細明體" w:hAnsi="新細明體"/>
          <w:color w:val="000000"/>
          <w:lang w:val="de-DE"/>
        </w:rPr>
        <w:t>2</w:t>
      </w:r>
      <w:r>
        <w:rPr>
          <w:rFonts w:ascii="新細明體" w:hAnsi="新細明體" w:hint="eastAsia"/>
          <w:color w:val="000000"/>
          <w:lang w:val="de-DE"/>
        </w:rPr>
        <w:t>句與第</w:t>
      </w:r>
      <w:r>
        <w:rPr>
          <w:rFonts w:ascii="新細明體" w:hAnsi="新細明體"/>
          <w:color w:val="000000"/>
          <w:lang w:val="de-DE"/>
        </w:rPr>
        <w:t>3</w:t>
      </w:r>
      <w:r>
        <w:rPr>
          <w:rFonts w:ascii="新細明體" w:hAnsi="新細明體" w:hint="eastAsia"/>
          <w:color w:val="000000"/>
          <w:lang w:val="de-DE"/>
        </w:rPr>
        <w:t>句規定「其應</w:t>
      </w:r>
      <w:proofErr w:type="gramStart"/>
      <w:r>
        <w:rPr>
          <w:rFonts w:ascii="新細明體" w:hAnsi="新細明體" w:hint="eastAsia"/>
          <w:color w:val="000000"/>
          <w:lang w:val="de-DE"/>
        </w:rPr>
        <w:t>不</w:t>
      </w:r>
      <w:proofErr w:type="gramEnd"/>
      <w:r>
        <w:rPr>
          <w:rFonts w:ascii="新細明體" w:hAnsi="新細明體" w:hint="eastAsia"/>
          <w:color w:val="000000"/>
          <w:lang w:val="de-DE"/>
        </w:rPr>
        <w:t>偏私且適當地履行其任務，且其職務之執行必須考慮公眾之福祉」則為任務履行上之中立性。在此所要求之中立性乃是要求公務員</w:t>
      </w:r>
      <w:proofErr w:type="gramStart"/>
      <w:r>
        <w:rPr>
          <w:rFonts w:ascii="新細明體" w:hAnsi="新細明體" w:hint="eastAsia"/>
          <w:color w:val="000000"/>
          <w:lang w:val="de-DE"/>
        </w:rPr>
        <w:t>不</w:t>
      </w:r>
      <w:proofErr w:type="gramEnd"/>
      <w:r>
        <w:rPr>
          <w:rFonts w:ascii="新細明體" w:hAnsi="新細明體" w:hint="eastAsia"/>
          <w:color w:val="000000"/>
          <w:lang w:val="de-DE"/>
        </w:rPr>
        <w:t>偏頗地、客觀地履行其職務</w:t>
      </w:r>
      <w:r>
        <w:rPr>
          <w:rStyle w:val="a6"/>
          <w:rFonts w:ascii="新細明體" w:hAnsi="新細明體"/>
          <w:color w:val="000000"/>
          <w:lang w:val="de-DE"/>
        </w:rPr>
        <w:footnoteReference w:id="39"/>
      </w:r>
      <w:r>
        <w:rPr>
          <w:rFonts w:ascii="新細明體" w:hAnsi="新細明體" w:hint="eastAsia"/>
          <w:color w:val="000000"/>
          <w:lang w:val="de-DE"/>
        </w:rPr>
        <w:t>。在此所涉及之案型可分為兩類。首先乃是要求「距離」，亦即要求公務員與其決定之當事人間應保持距離。從行政程序法</w:t>
      </w:r>
      <w:r>
        <w:rPr>
          <w:rFonts w:ascii="新細明體" w:hAnsi="新細明體"/>
          <w:color w:val="000000"/>
          <w:lang w:val="de-DE"/>
        </w:rPr>
        <w:t>(Verwaltungsverfahrensgesetz; VwVfG)</w:t>
      </w:r>
      <w:r>
        <w:rPr>
          <w:rFonts w:ascii="新細明體" w:hAnsi="新細明體" w:hint="eastAsia"/>
          <w:color w:val="000000"/>
          <w:lang w:val="de-DE"/>
        </w:rPr>
        <w:t>第</w:t>
      </w:r>
      <w:r>
        <w:rPr>
          <w:rFonts w:ascii="新細明體" w:hAnsi="新細明體"/>
          <w:color w:val="000000"/>
          <w:lang w:val="de-DE"/>
        </w:rPr>
        <w:t>20</w:t>
      </w:r>
      <w:r>
        <w:rPr>
          <w:rFonts w:ascii="新細明體" w:hAnsi="新細明體" w:hint="eastAsia"/>
          <w:color w:val="000000"/>
          <w:lang w:val="de-DE"/>
        </w:rPr>
        <w:t>條所規定之公務員須絕對迴避之事由來看，其</w:t>
      </w:r>
      <w:r>
        <w:rPr>
          <w:rFonts w:ascii="新細明體" w:hAnsi="新細明體" w:hint="eastAsia"/>
          <w:color w:val="000000"/>
          <w:lang w:val="de-DE"/>
        </w:rPr>
        <w:t>理由即在於公務員與其決定之當事人利益相關，欠缺距離。另一類則是避免公務員由於成見而無法公正地履行職務，因此於公務員有偏頗之虞</w:t>
      </w:r>
      <w:r>
        <w:rPr>
          <w:rStyle w:val="a6"/>
          <w:rFonts w:ascii="新細明體" w:hAnsi="新細明體"/>
          <w:color w:val="000000"/>
          <w:lang w:val="de-DE"/>
        </w:rPr>
        <w:footnoteReference w:id="40"/>
      </w:r>
      <w:r>
        <w:rPr>
          <w:rFonts w:ascii="新細明體" w:hAnsi="新細明體" w:hint="eastAsia"/>
          <w:color w:val="000000"/>
          <w:lang w:val="de-DE"/>
        </w:rPr>
        <w:t>時可要求其迴避</w:t>
      </w:r>
      <w:r>
        <w:rPr>
          <w:rFonts w:ascii="新細明體" w:hAnsi="新細明體"/>
          <w:color w:val="000000"/>
          <w:lang w:val="de-DE"/>
        </w:rPr>
        <w:t>(§ 21 I VwVfG)</w:t>
      </w:r>
      <w:r>
        <w:rPr>
          <w:rFonts w:ascii="新細明體" w:hAnsi="新細明體" w:hint="eastAsia"/>
          <w:color w:val="000000"/>
          <w:lang w:val="de-DE"/>
        </w:rPr>
        <w:t>。</w:t>
      </w:r>
    </w:p>
    <w:p w:rsidR="00000000" w:rsidRDefault="00917CC1" w:rsidP="00917CC1">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公務員之</w:t>
      </w:r>
      <w:proofErr w:type="gramStart"/>
      <w:r>
        <w:rPr>
          <w:rFonts w:ascii="新細明體" w:hAnsi="新細明體" w:hint="eastAsia"/>
          <w:color w:val="000000"/>
          <w:lang w:val="de-DE"/>
        </w:rPr>
        <w:t>中立性除包括</w:t>
      </w:r>
      <w:proofErr w:type="gramEnd"/>
      <w:r>
        <w:rPr>
          <w:rFonts w:ascii="新細明體" w:hAnsi="新細明體" w:hint="eastAsia"/>
          <w:color w:val="000000"/>
          <w:lang w:val="de-DE"/>
        </w:rPr>
        <w:t>前述之「政治中立」及「行政任務履行之中立」外，也可能基於中立性之要求而正當化對公務員政治活動之限制。對此於以下進一步加以說明。</w:t>
      </w:r>
    </w:p>
    <w:p w:rsidR="00000000" w:rsidRDefault="00917CC1">
      <w:pPr>
        <w:jc w:val="both"/>
        <w:rPr>
          <w:rFonts w:ascii="新細明體" w:hAnsi="新細明體" w:hint="eastAsia"/>
          <w:color w:val="000000"/>
          <w:lang w:val="de-DE"/>
        </w:rPr>
      </w:pPr>
    </w:p>
    <w:p w:rsidR="00000000" w:rsidRDefault="00917CC1">
      <w:pPr>
        <w:pStyle w:val="2"/>
        <w:rPr>
          <w:rFonts w:hint="eastAsia"/>
        </w:rPr>
      </w:pPr>
      <w:bookmarkStart w:id="13" w:name="_Toc535245924"/>
      <w:r>
        <w:br w:type="page"/>
      </w:r>
      <w:r>
        <w:rPr>
          <w:rFonts w:hint="eastAsia"/>
        </w:rPr>
        <w:lastRenderedPageBreak/>
        <w:t>第四節</w:t>
      </w:r>
      <w:r>
        <w:rPr>
          <w:rFonts w:hint="eastAsia"/>
        </w:rPr>
        <w:t xml:space="preserve">  </w:t>
      </w:r>
      <w:r>
        <w:rPr>
          <w:rFonts w:hint="eastAsia"/>
        </w:rPr>
        <w:t>公務人員之政治活動</w:t>
      </w:r>
      <w:bookmarkEnd w:id="13"/>
    </w:p>
    <w:p w:rsidR="00000000" w:rsidRDefault="00917CC1">
      <w:pPr>
        <w:pStyle w:val="3"/>
        <w:rPr>
          <w:rFonts w:hint="eastAsia"/>
        </w:rPr>
      </w:pPr>
      <w:bookmarkStart w:id="14" w:name="_Toc535245925"/>
      <w:r>
        <w:rPr>
          <w:rFonts w:hint="eastAsia"/>
        </w:rPr>
        <w:t>壹、公務員關係與基本權</w:t>
      </w:r>
      <w:bookmarkEnd w:id="14"/>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公務員關係向來被認為是所謂「特別權力關係」</w:t>
      </w:r>
      <w:proofErr w:type="gramStart"/>
      <w:r>
        <w:rPr>
          <w:rFonts w:ascii="新細明體" w:hAnsi="新細明體" w:hint="eastAsia"/>
          <w:color w:val="000000"/>
          <w:lang w:val="de-DE"/>
        </w:rPr>
        <w:t>之典例</w:t>
      </w:r>
      <w:proofErr w:type="gramEnd"/>
      <w:r>
        <w:rPr>
          <w:rFonts w:ascii="新細明體" w:hAnsi="新細明體" w:hint="eastAsia"/>
          <w:color w:val="000000"/>
          <w:lang w:val="de-DE"/>
        </w:rPr>
        <w:t>。古典之特別權力關係理論</w:t>
      </w:r>
      <w:r>
        <w:rPr>
          <w:rStyle w:val="a6"/>
          <w:rFonts w:ascii="新細明體" w:hAnsi="新細明體"/>
          <w:color w:val="000000"/>
          <w:lang w:val="de-DE"/>
        </w:rPr>
        <w:footnoteReference w:id="41"/>
      </w:r>
      <w:r>
        <w:rPr>
          <w:rFonts w:ascii="新細明體" w:hAnsi="新細明體" w:hint="eastAsia"/>
          <w:color w:val="000000"/>
          <w:lang w:val="de-DE"/>
        </w:rPr>
        <w:t>乃是十九世紀末主要由</w:t>
      </w:r>
      <w:r>
        <w:rPr>
          <w:rFonts w:ascii="新細明體" w:hAnsi="新細明體"/>
          <w:color w:val="000000"/>
          <w:lang w:val="de-DE"/>
        </w:rPr>
        <w:t xml:space="preserve">Paul Laband </w:t>
      </w:r>
      <w:r>
        <w:rPr>
          <w:rFonts w:ascii="新細明體" w:hAnsi="新細明體" w:hint="eastAsia"/>
          <w:color w:val="000000"/>
          <w:lang w:val="de-DE"/>
        </w:rPr>
        <w:t>及</w:t>
      </w:r>
      <w:r>
        <w:rPr>
          <w:rFonts w:ascii="新細明體" w:hAnsi="新細明體"/>
          <w:color w:val="000000"/>
          <w:lang w:val="de-DE"/>
        </w:rPr>
        <w:t>Ott</w:t>
      </w:r>
      <w:r>
        <w:rPr>
          <w:rFonts w:ascii="新細明體" w:hAnsi="新細明體"/>
          <w:color w:val="000000"/>
          <w:lang w:val="de-DE"/>
        </w:rPr>
        <w:t>o Mayer</w:t>
      </w:r>
      <w:r>
        <w:rPr>
          <w:rFonts w:ascii="新細明體" w:hAnsi="新細明體" w:hint="eastAsia"/>
          <w:color w:val="000000"/>
          <w:lang w:val="de-DE"/>
        </w:rPr>
        <w:t>所建立之理論，用以說明在人民與國家間之「一般權力關係」之外一定範圍內之個人，如公務員、學生、受刑人等等與</w:t>
      </w:r>
      <w:proofErr w:type="gramStart"/>
      <w:r>
        <w:rPr>
          <w:rFonts w:ascii="新細明體" w:hAnsi="新細明體" w:hint="eastAsia"/>
          <w:color w:val="000000"/>
          <w:lang w:val="de-DE"/>
        </w:rPr>
        <w:t>國家間所處</w:t>
      </w:r>
      <w:proofErr w:type="gramEnd"/>
      <w:r>
        <w:rPr>
          <w:rFonts w:ascii="新細明體" w:hAnsi="新細明體" w:hint="eastAsia"/>
          <w:color w:val="000000"/>
          <w:lang w:val="de-DE"/>
        </w:rPr>
        <w:t>之特別關係。在此</w:t>
      </w:r>
      <w:proofErr w:type="gramStart"/>
      <w:r>
        <w:rPr>
          <w:rFonts w:ascii="新細明體" w:hAnsi="新細明體" w:hint="eastAsia"/>
          <w:color w:val="000000"/>
          <w:lang w:val="de-DE"/>
        </w:rPr>
        <w:t>一</w:t>
      </w:r>
      <w:proofErr w:type="gramEnd"/>
      <w:r>
        <w:rPr>
          <w:rFonts w:ascii="新細明體" w:hAnsi="新細明體" w:hint="eastAsia"/>
          <w:color w:val="000000"/>
          <w:lang w:val="de-DE"/>
        </w:rPr>
        <w:t>關係中不受法的支配</w:t>
      </w:r>
      <w:r>
        <w:rPr>
          <w:rStyle w:val="a6"/>
          <w:rFonts w:ascii="新細明體" w:hAnsi="新細明體"/>
          <w:color w:val="000000"/>
          <w:lang w:val="de-DE"/>
        </w:rPr>
        <w:footnoteReference w:id="42"/>
      </w:r>
      <w:r>
        <w:rPr>
          <w:rFonts w:ascii="新細明體" w:hAnsi="新細明體" w:hint="eastAsia"/>
          <w:color w:val="000000"/>
          <w:lang w:val="de-DE"/>
        </w:rPr>
        <w:t>，亦即不適用法律保留原則與基本權，也無權利保護機制。</w:t>
      </w:r>
      <w:r>
        <w:rPr>
          <w:rStyle w:val="a6"/>
          <w:rFonts w:ascii="新細明體" w:hAnsi="新細明體"/>
          <w:color w:val="000000"/>
          <w:lang w:val="de-DE"/>
        </w:rPr>
        <w:footnoteReference w:id="43"/>
      </w:r>
      <w:r>
        <w:rPr>
          <w:rFonts w:ascii="新細明體" w:hAnsi="新細明體" w:hint="eastAsia"/>
          <w:color w:val="000000"/>
          <w:lang w:val="de-DE"/>
        </w:rPr>
        <w:t>此一理論再連結所謂之「不滲透理論」</w:t>
      </w:r>
      <w:r>
        <w:rPr>
          <w:rFonts w:ascii="新細明體" w:hAnsi="新細明體"/>
          <w:color w:val="000000"/>
          <w:lang w:val="de-DE"/>
        </w:rPr>
        <w:t>(Impermeabilitätslehre)</w:t>
      </w:r>
      <w:r>
        <w:rPr>
          <w:rFonts w:ascii="新細明體" w:hAnsi="新細明體" w:hint="eastAsia"/>
          <w:color w:val="000000"/>
          <w:lang w:val="de-DE"/>
        </w:rPr>
        <w:t>成為在公務員關係中公務員不得主張基本權的主要論據。</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所謂「不滲透理論」</w:t>
      </w:r>
      <w:r>
        <w:rPr>
          <w:rStyle w:val="a6"/>
          <w:rFonts w:ascii="新細明體" w:hAnsi="新細明體"/>
          <w:color w:val="000000"/>
          <w:lang w:val="de-DE"/>
        </w:rPr>
        <w:footnoteReference w:id="44"/>
      </w:r>
      <w:r>
        <w:rPr>
          <w:rFonts w:ascii="新細明體" w:hAnsi="新細明體" w:hint="eastAsia"/>
          <w:color w:val="000000"/>
          <w:lang w:val="de-DE"/>
        </w:rPr>
        <w:t>乃起源於</w:t>
      </w:r>
      <w:r>
        <w:rPr>
          <w:rFonts w:ascii="新細明體" w:hAnsi="新細明體"/>
          <w:color w:val="000000"/>
          <w:lang w:val="de-DE"/>
        </w:rPr>
        <w:t>Laband</w:t>
      </w:r>
      <w:r>
        <w:rPr>
          <w:rFonts w:ascii="新細明體" w:hAnsi="新細明體" w:hint="eastAsia"/>
          <w:color w:val="000000"/>
          <w:lang w:val="de-DE"/>
        </w:rPr>
        <w:t>及</w:t>
      </w:r>
      <w:r>
        <w:rPr>
          <w:rFonts w:ascii="新細明體" w:hAnsi="新細明體"/>
          <w:color w:val="000000"/>
          <w:lang w:val="de-DE"/>
        </w:rPr>
        <w:t>Georg Jellinek</w:t>
      </w:r>
      <w:r>
        <w:rPr>
          <w:rFonts w:ascii="新細明體" w:hAnsi="新細明體" w:hint="eastAsia"/>
          <w:color w:val="000000"/>
          <w:lang w:val="de-DE"/>
        </w:rPr>
        <w:t>，其出發點乃是認為國家具有法人格。國家乃是法人，由法律觀點</w:t>
      </w:r>
      <w:proofErr w:type="gramStart"/>
      <w:r>
        <w:rPr>
          <w:rFonts w:ascii="新細明體" w:hAnsi="新細明體" w:hint="eastAsia"/>
          <w:color w:val="000000"/>
          <w:lang w:val="de-DE"/>
        </w:rPr>
        <w:t>來看乃具有</w:t>
      </w:r>
      <w:proofErr w:type="gramEnd"/>
      <w:r>
        <w:rPr>
          <w:rFonts w:ascii="新細明體" w:hAnsi="新細明體" w:hint="eastAsia"/>
          <w:color w:val="000000"/>
          <w:lang w:val="de-DE"/>
        </w:rPr>
        <w:t>人格，此一看法</w:t>
      </w:r>
      <w:r>
        <w:rPr>
          <w:rFonts w:ascii="新細明體" w:hAnsi="新細明體" w:hint="eastAsia"/>
          <w:color w:val="000000"/>
          <w:lang w:val="de-DE"/>
        </w:rPr>
        <w:t>在今日來看固已屬當然，但在十九世紀乃是意見鬥爭後的產物。爭論的重點在於君主</w:t>
      </w:r>
      <w:r>
        <w:rPr>
          <w:rFonts w:ascii="新細明體" w:hAnsi="新細明體"/>
          <w:color w:val="000000"/>
          <w:lang w:val="de-DE"/>
        </w:rPr>
        <w:t>(Monarch)</w:t>
      </w:r>
      <w:r>
        <w:rPr>
          <w:rFonts w:ascii="新細明體" w:hAnsi="新細明體" w:hint="eastAsia"/>
          <w:color w:val="000000"/>
          <w:lang w:val="de-DE"/>
        </w:rPr>
        <w:t>的法律地位。國家之法人格理論強調國家具有法人格，統治權的主體乃是國家而非君主，君主只是國家這個法人的機關。「不滲透理論」的另一個重點乃是關於「法規範」</w:t>
      </w:r>
      <w:r>
        <w:rPr>
          <w:rFonts w:ascii="新細明體" w:hAnsi="新細明體"/>
          <w:color w:val="000000"/>
          <w:lang w:val="de-DE"/>
        </w:rPr>
        <w:t>(Rechtssatz)</w:t>
      </w:r>
      <w:r>
        <w:rPr>
          <w:rFonts w:ascii="新細明體" w:hAnsi="新細明體" w:hint="eastAsia"/>
          <w:color w:val="000000"/>
          <w:lang w:val="de-DE"/>
        </w:rPr>
        <w:t>的概念：法規範乃是存於權利主體間之行為規範。此一概念聯結國家之法人格理論便能很輕易地導出：國家與其機關及機關構成員</w:t>
      </w:r>
      <w:r>
        <w:rPr>
          <w:rFonts w:ascii="新細明體" w:hAnsi="新細明體"/>
          <w:color w:val="000000"/>
          <w:lang w:val="de-DE"/>
        </w:rPr>
        <w:t>(Organwalter)</w:t>
      </w:r>
      <w:proofErr w:type="gramStart"/>
      <w:r>
        <w:rPr>
          <w:rFonts w:ascii="新細明體" w:hAnsi="新細明體" w:hint="eastAsia"/>
          <w:color w:val="000000"/>
          <w:lang w:val="de-DE"/>
        </w:rPr>
        <w:t>間的關係</w:t>
      </w:r>
      <w:proofErr w:type="gramEnd"/>
      <w:r>
        <w:rPr>
          <w:rFonts w:ascii="新細明體" w:hAnsi="新細明體" w:hint="eastAsia"/>
          <w:color w:val="000000"/>
          <w:lang w:val="de-DE"/>
        </w:rPr>
        <w:t>並非法律關係，其相關的規範並非法規範。在概念</w:t>
      </w:r>
      <w:proofErr w:type="gramStart"/>
      <w:r>
        <w:rPr>
          <w:rFonts w:ascii="新細明體" w:hAnsi="新細明體" w:hint="eastAsia"/>
          <w:color w:val="000000"/>
          <w:lang w:val="de-DE"/>
        </w:rPr>
        <w:t>上從而</w:t>
      </w:r>
      <w:proofErr w:type="gramEnd"/>
      <w:r>
        <w:rPr>
          <w:rFonts w:ascii="新細明體" w:hAnsi="新細明體" w:hint="eastAsia"/>
          <w:color w:val="000000"/>
          <w:lang w:val="de-DE"/>
        </w:rPr>
        <w:t>區分出「外部關係」與「內部關係」，而且此一區分被</w:t>
      </w:r>
      <w:r>
        <w:rPr>
          <w:rFonts w:ascii="新細明體" w:hAnsi="新細明體" w:hint="eastAsia"/>
          <w:color w:val="000000"/>
          <w:lang w:val="de-DE"/>
        </w:rPr>
        <w:t>等同於「法領域」與「法外領域」。</w:t>
      </w:r>
      <w:r>
        <w:rPr>
          <w:rStyle w:val="a6"/>
          <w:rFonts w:ascii="新細明體" w:hAnsi="新細明體"/>
          <w:color w:val="000000"/>
          <w:lang w:val="de-DE"/>
        </w:rPr>
        <w:footnoteReference w:id="45"/>
      </w:r>
      <w:r>
        <w:rPr>
          <w:rFonts w:ascii="新細明體" w:hAnsi="新細明體" w:hint="eastAsia"/>
          <w:color w:val="000000"/>
          <w:lang w:val="de-DE"/>
        </w:rPr>
        <w:t>此一「不滲透理論」其實有其時代背景。由於「法規範」在概念上被等同於「實質意義的法律」</w:t>
      </w:r>
      <w:r>
        <w:rPr>
          <w:rFonts w:ascii="新細明體" w:hAnsi="新細明體"/>
          <w:color w:val="000000"/>
          <w:lang w:val="de-DE"/>
        </w:rPr>
        <w:t>(materielles Gesetz)</w:t>
      </w:r>
      <w:r>
        <w:rPr>
          <w:rFonts w:ascii="新細明體" w:hAnsi="新細明體" w:hint="eastAsia"/>
          <w:color w:val="000000"/>
          <w:lang w:val="de-DE"/>
        </w:rPr>
        <w:t>，因此將「內部關係」看作是「法外領域」無異於創造出一個國會無法介入的領域，從而維持了君主對於行政部門的</w:t>
      </w:r>
      <w:proofErr w:type="gramStart"/>
      <w:r>
        <w:rPr>
          <w:rFonts w:ascii="新細明體" w:hAnsi="新細明體" w:hint="eastAsia"/>
          <w:color w:val="000000"/>
          <w:lang w:val="de-DE"/>
        </w:rPr>
        <w:t>規</w:t>
      </w:r>
      <w:proofErr w:type="gramEnd"/>
      <w:r>
        <w:rPr>
          <w:rFonts w:ascii="新細明體" w:hAnsi="新細明體" w:hint="eastAsia"/>
          <w:color w:val="000000"/>
          <w:lang w:val="de-DE"/>
        </w:rPr>
        <w:t>制特權。相當程度內反映了從君主專制國家過度到君主立憲國家之時代需求。</w:t>
      </w:r>
      <w:r>
        <w:rPr>
          <w:rStyle w:val="a6"/>
          <w:rFonts w:ascii="新細明體" w:hAnsi="新細明體"/>
          <w:color w:val="000000"/>
          <w:lang w:val="de-DE"/>
        </w:rPr>
        <w:footnoteReference w:id="46"/>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二次大戰後德國對特別權力關係理論持續地進行反省，自聯邦憲法法院之「受刑人判決」以來，在所謂之特別權力關係中亦得主張基本權，在今日</w:t>
      </w:r>
      <w:proofErr w:type="gramStart"/>
      <w:r>
        <w:rPr>
          <w:rFonts w:ascii="新細明體" w:hAnsi="新細明體" w:hint="eastAsia"/>
          <w:color w:val="000000"/>
          <w:lang w:val="de-DE"/>
        </w:rPr>
        <w:t>可說已無異議</w:t>
      </w:r>
      <w:proofErr w:type="gramEnd"/>
      <w:r>
        <w:rPr>
          <w:rFonts w:ascii="新細明體" w:hAnsi="新細明體" w:hint="eastAsia"/>
          <w:color w:val="000000"/>
          <w:lang w:val="de-DE"/>
        </w:rPr>
        <w:t>。有爭議的只是在傳統被認為屬特</w:t>
      </w:r>
      <w:r>
        <w:rPr>
          <w:rFonts w:ascii="新細明體" w:hAnsi="新細明體" w:hint="eastAsia"/>
          <w:color w:val="000000"/>
          <w:lang w:val="de-DE"/>
        </w:rPr>
        <w:t>別權力關係之各領域內基本權的行</w:t>
      </w:r>
      <w:r>
        <w:rPr>
          <w:rFonts w:ascii="新細明體" w:hAnsi="新細明體" w:hint="eastAsia"/>
          <w:color w:val="000000"/>
          <w:lang w:val="de-DE"/>
        </w:rPr>
        <w:lastRenderedPageBreak/>
        <w:t>使、限制、限制的依據及限度等等進一步的細部問題。特別權力關係被納入基本權理論的討論脈絡中，主要的討論重點在於針對各該相關領域，是否得以某種「特別關係」作為限制基本權之依據？如果可以，這種依據屬何種性質？</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關於基本權之限制，一個基本的出發點是：由於</w:t>
      </w:r>
      <w:proofErr w:type="gramStart"/>
      <w:r>
        <w:rPr>
          <w:rFonts w:ascii="新細明體" w:hAnsi="新細明體" w:hint="eastAsia"/>
          <w:color w:val="000000"/>
          <w:lang w:val="de-DE"/>
        </w:rPr>
        <w:t>基本權具憲法</w:t>
      </w:r>
      <w:proofErr w:type="gramEnd"/>
      <w:r>
        <w:rPr>
          <w:rFonts w:ascii="新細明體" w:hAnsi="新細明體" w:hint="eastAsia"/>
          <w:color w:val="000000"/>
          <w:lang w:val="de-DE"/>
        </w:rPr>
        <w:t>位階，因此限制基本權之依據也必須具有憲法位階</w:t>
      </w:r>
      <w:r>
        <w:rPr>
          <w:rStyle w:val="a6"/>
          <w:rFonts w:ascii="新細明體" w:hAnsi="新細明體"/>
          <w:color w:val="000000"/>
          <w:lang w:val="de-DE"/>
        </w:rPr>
        <w:footnoteReference w:id="47"/>
      </w:r>
      <w:r>
        <w:rPr>
          <w:rFonts w:ascii="新細明體" w:hAnsi="新細明體" w:hint="eastAsia"/>
          <w:color w:val="000000"/>
          <w:lang w:val="de-DE"/>
        </w:rPr>
        <w:t>。換言之，該限制如果不是憲法上的直接限制</w:t>
      </w:r>
      <w:r>
        <w:rPr>
          <w:rStyle w:val="a6"/>
          <w:rFonts w:ascii="新細明體" w:hAnsi="新細明體"/>
          <w:color w:val="000000"/>
          <w:lang w:val="de-DE"/>
        </w:rPr>
        <w:footnoteReference w:id="48"/>
      </w:r>
      <w:r>
        <w:rPr>
          <w:rFonts w:ascii="新細明體" w:hAnsi="新細明體" w:hint="eastAsia"/>
          <w:color w:val="000000"/>
          <w:lang w:val="de-DE"/>
        </w:rPr>
        <w:t>，就必須是基於憲法的授權</w:t>
      </w:r>
      <w:r>
        <w:rPr>
          <w:rStyle w:val="a6"/>
          <w:rFonts w:ascii="新細明體" w:hAnsi="新細明體"/>
          <w:color w:val="000000"/>
          <w:lang w:val="de-DE"/>
        </w:rPr>
        <w:footnoteReference w:id="49"/>
      </w:r>
      <w:r>
        <w:rPr>
          <w:rFonts w:ascii="新細明體" w:hAnsi="新細明體" w:hint="eastAsia"/>
          <w:color w:val="000000"/>
          <w:lang w:val="de-DE"/>
        </w:rPr>
        <w:t>。因此，關於特別權力關係中的基本權限制問題，其關注的重點就在於是否能</w:t>
      </w:r>
      <w:r>
        <w:rPr>
          <w:rFonts w:ascii="新細明體" w:hAnsi="新細明體"/>
          <w:color w:val="000000"/>
          <w:lang w:val="de-DE"/>
        </w:rPr>
        <w:t>(</w:t>
      </w:r>
      <w:r>
        <w:rPr>
          <w:rFonts w:ascii="新細明體" w:hAnsi="新細明體" w:hint="eastAsia"/>
          <w:color w:val="000000"/>
          <w:lang w:val="de-DE"/>
        </w:rPr>
        <w:t>以及如何</w:t>
      </w:r>
      <w:r>
        <w:rPr>
          <w:rFonts w:ascii="新細明體" w:hAnsi="新細明體"/>
          <w:color w:val="000000"/>
          <w:lang w:val="de-DE"/>
        </w:rPr>
        <w:t>)</w:t>
      </w:r>
      <w:r>
        <w:rPr>
          <w:rFonts w:ascii="新細明體" w:hAnsi="新細明體" w:hint="eastAsia"/>
          <w:color w:val="000000"/>
          <w:lang w:val="de-DE"/>
        </w:rPr>
        <w:t>找出一個限制基本權的憲</w:t>
      </w:r>
      <w:r>
        <w:rPr>
          <w:rFonts w:ascii="新細明體" w:hAnsi="新細明體" w:hint="eastAsia"/>
          <w:color w:val="000000"/>
          <w:lang w:val="de-DE"/>
        </w:rPr>
        <w:t>法基礎。</w:t>
      </w:r>
      <w:r>
        <w:rPr>
          <w:rStyle w:val="a6"/>
          <w:rFonts w:ascii="新細明體" w:hAnsi="新細明體"/>
          <w:color w:val="000000"/>
          <w:lang w:val="de-DE"/>
        </w:rPr>
        <w:footnoteReference w:id="50"/>
      </w:r>
      <w:r>
        <w:rPr>
          <w:rFonts w:ascii="新細明體" w:hAnsi="新細明體" w:hint="eastAsia"/>
          <w:color w:val="000000"/>
          <w:lang w:val="de-DE"/>
        </w:rPr>
        <w:t>一個學說上的努力方向乃是從基本法上的規定去尋求，只要基本法上有提及的，就解釋為是受憲法保障之法益，而得作為限制基本權之授權依據，例如針對公務員係以基本法第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項所規定之公務員制度作為限制基本權之依據，至於限制受刑人基本權之憲法依據則是第</w:t>
      </w:r>
      <w:r>
        <w:rPr>
          <w:rFonts w:ascii="新細明體" w:hAnsi="新細明體"/>
          <w:color w:val="000000"/>
          <w:lang w:val="de-DE"/>
        </w:rPr>
        <w:t>74</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款所提及之刑事執行。</w:t>
      </w:r>
      <w:r>
        <w:rPr>
          <w:rStyle w:val="a6"/>
          <w:rFonts w:ascii="新細明體" w:hAnsi="新細明體"/>
          <w:color w:val="000000"/>
          <w:lang w:val="de-DE"/>
        </w:rPr>
        <w:footnoteReference w:id="51"/>
      </w:r>
      <w:r>
        <w:rPr>
          <w:rFonts w:ascii="新細明體" w:hAnsi="新細明體" w:hint="eastAsia"/>
          <w:color w:val="000000"/>
          <w:lang w:val="de-DE"/>
        </w:rPr>
        <w:t>將基本法第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項解釋為特別的法律保留條款固然在學說上普遍地被接受</w:t>
      </w:r>
      <w:r>
        <w:rPr>
          <w:rStyle w:val="a6"/>
          <w:rFonts w:ascii="新細明體" w:hAnsi="新細明體"/>
          <w:color w:val="000000"/>
          <w:lang w:val="de-DE"/>
        </w:rPr>
        <w:footnoteReference w:id="52"/>
      </w:r>
      <w:r>
        <w:rPr>
          <w:rFonts w:ascii="新細明體" w:hAnsi="新細明體" w:hint="eastAsia"/>
          <w:color w:val="000000"/>
          <w:lang w:val="de-DE"/>
        </w:rPr>
        <w:t>，但基本法第</w:t>
      </w:r>
      <w:r>
        <w:rPr>
          <w:rFonts w:ascii="新細明體" w:hAnsi="新細明體"/>
          <w:color w:val="000000"/>
          <w:lang w:val="de-DE"/>
        </w:rPr>
        <w:t>74</w:t>
      </w:r>
      <w:r>
        <w:rPr>
          <w:rFonts w:ascii="新細明體" w:hAnsi="新細明體" w:hint="eastAsia"/>
          <w:color w:val="000000"/>
          <w:lang w:val="de-DE"/>
        </w:rPr>
        <w:t>條乃是關於聯邦與各</w:t>
      </w:r>
      <w:proofErr w:type="gramStart"/>
      <w:r>
        <w:rPr>
          <w:rFonts w:ascii="新細明體" w:hAnsi="新細明體" w:hint="eastAsia"/>
          <w:color w:val="000000"/>
          <w:lang w:val="de-DE"/>
        </w:rPr>
        <w:t>邦</w:t>
      </w:r>
      <w:proofErr w:type="gramEnd"/>
      <w:r>
        <w:rPr>
          <w:rFonts w:ascii="新細明體" w:hAnsi="新細明體" w:hint="eastAsia"/>
          <w:color w:val="000000"/>
          <w:lang w:val="de-DE"/>
        </w:rPr>
        <w:t>立法權限劃分之規定，因此僅以其提到刑事執行就作為限制受刑人基本權的憲法基礎，實屬牽強</w:t>
      </w:r>
      <w:r>
        <w:rPr>
          <w:rStyle w:val="a6"/>
          <w:rFonts w:ascii="新細明體" w:hAnsi="新細明體"/>
          <w:color w:val="000000"/>
          <w:lang w:val="de-DE"/>
        </w:rPr>
        <w:footnoteReference w:id="53"/>
      </w:r>
      <w:r>
        <w:rPr>
          <w:rFonts w:ascii="新細明體" w:hAnsi="新細明體" w:hint="eastAsia"/>
          <w:color w:val="000000"/>
          <w:lang w:val="de-DE"/>
        </w:rPr>
        <w:t>。</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德國聯邦憲法法院</w:t>
      </w:r>
      <w:r>
        <w:rPr>
          <w:rFonts w:ascii="新細明體" w:hAnsi="新細明體" w:hint="eastAsia"/>
          <w:color w:val="000000"/>
          <w:lang w:val="de-DE"/>
        </w:rPr>
        <w:t>在「受刑人判決」中之見解則是從基本法之價值秩序</w:t>
      </w:r>
      <w:r>
        <w:rPr>
          <w:rFonts w:ascii="新細明體" w:hAnsi="新細明體"/>
          <w:color w:val="000000"/>
          <w:lang w:val="de-DE"/>
        </w:rPr>
        <w:t>(wertgebundene Ordnung; Wertordnung)</w:t>
      </w:r>
      <w:r>
        <w:rPr>
          <w:rFonts w:ascii="新細明體" w:hAnsi="新細明體" w:hint="eastAsia"/>
          <w:color w:val="000000"/>
          <w:lang w:val="de-DE"/>
        </w:rPr>
        <w:t>出發：「只有當為了達成基本法的價值秩序所涵</w:t>
      </w:r>
      <w:proofErr w:type="gramStart"/>
      <w:r>
        <w:rPr>
          <w:rFonts w:ascii="新細明體" w:hAnsi="新細明體" w:hint="eastAsia"/>
          <w:color w:val="000000"/>
          <w:lang w:val="de-DE"/>
        </w:rPr>
        <w:t>括</w:t>
      </w:r>
      <w:proofErr w:type="gramEnd"/>
      <w:r>
        <w:rPr>
          <w:rFonts w:ascii="新細明體" w:hAnsi="新細明體" w:hint="eastAsia"/>
          <w:color w:val="000000"/>
          <w:lang w:val="de-DE"/>
        </w:rPr>
        <w:t>之與社會共同體相關之目的所必要，而且限制之形式符合憲法的要求，才可以考慮限制基本權。對於受刑人基本權之限制因此必須以法律為之或基於法律之授權。」</w:t>
      </w:r>
      <w:r>
        <w:rPr>
          <w:rStyle w:val="a6"/>
          <w:rFonts w:ascii="新細明體" w:hAnsi="新細明體"/>
          <w:color w:val="000000"/>
          <w:lang w:val="de-DE"/>
        </w:rPr>
        <w:footnoteReference w:id="54"/>
      </w:r>
      <w:r>
        <w:rPr>
          <w:rFonts w:ascii="新細明體" w:hAnsi="新細明體" w:hint="eastAsia"/>
          <w:color w:val="000000"/>
          <w:lang w:val="de-DE"/>
        </w:rPr>
        <w:t>從此</w:t>
      </w:r>
      <w:proofErr w:type="gramStart"/>
      <w:r>
        <w:rPr>
          <w:rFonts w:ascii="新細明體" w:hAnsi="新細明體" w:hint="eastAsia"/>
          <w:color w:val="000000"/>
          <w:lang w:val="de-DE"/>
        </w:rPr>
        <w:t>一</w:t>
      </w:r>
      <w:proofErr w:type="gramEnd"/>
      <w:r>
        <w:rPr>
          <w:rFonts w:ascii="新細明體" w:hAnsi="新細明體" w:hint="eastAsia"/>
          <w:color w:val="000000"/>
          <w:lang w:val="de-DE"/>
        </w:rPr>
        <w:t>見解可以區分出對於限制基本權之兩個層面上的要求：在實質層面上，限制基本權所欲達成之目的必須為基本法之價值秩序所涵</w:t>
      </w:r>
      <w:proofErr w:type="gramStart"/>
      <w:r>
        <w:rPr>
          <w:rFonts w:ascii="新細明體" w:hAnsi="新細明體" w:hint="eastAsia"/>
          <w:color w:val="000000"/>
          <w:lang w:val="de-DE"/>
        </w:rPr>
        <w:t>括</w:t>
      </w:r>
      <w:proofErr w:type="gramEnd"/>
      <w:r>
        <w:rPr>
          <w:rFonts w:ascii="新細明體" w:hAnsi="新細明體" w:hint="eastAsia"/>
          <w:color w:val="000000"/>
          <w:lang w:val="de-DE"/>
        </w:rPr>
        <w:t>，簡單地說就是必須是受憲法保障之法益；在形式層面上，限制基本權之形式必須符合憲法的要</w:t>
      </w:r>
      <w:r>
        <w:rPr>
          <w:rFonts w:ascii="新細明體" w:hAnsi="新細明體" w:hint="eastAsia"/>
          <w:color w:val="000000"/>
          <w:lang w:val="de-DE"/>
        </w:rPr>
        <w:t>求，亦即須以法律為之或基於法律之授權</w:t>
      </w:r>
      <w:r>
        <w:rPr>
          <w:rFonts w:ascii="新細明體" w:hAnsi="新細明體"/>
          <w:color w:val="000000"/>
          <w:lang w:val="de-DE"/>
        </w:rPr>
        <w:t>(</w:t>
      </w:r>
      <w:r>
        <w:rPr>
          <w:rFonts w:ascii="新細明體" w:hAnsi="新細明體" w:hint="eastAsia"/>
          <w:color w:val="000000"/>
          <w:lang w:val="de-DE"/>
        </w:rPr>
        <w:t>法律保留</w:t>
      </w:r>
      <w:r>
        <w:rPr>
          <w:rFonts w:ascii="新細明體" w:hAnsi="新細明體"/>
          <w:color w:val="000000"/>
          <w:lang w:val="de-DE"/>
        </w:rPr>
        <w:t>)</w:t>
      </w:r>
      <w:r>
        <w:rPr>
          <w:rFonts w:ascii="新細明體" w:hAnsi="新細明體" w:hint="eastAsia"/>
          <w:color w:val="000000"/>
          <w:lang w:val="de-DE"/>
        </w:rPr>
        <w:t>。德國基本法上對於基本權係透過不同的法律保留形態來加以保障：</w:t>
      </w:r>
      <w:r>
        <w:rPr>
          <w:rFonts w:ascii="新細明體" w:hAnsi="新細明體"/>
          <w:color w:val="000000"/>
          <w:lang w:val="de-DE"/>
        </w:rPr>
        <w:t>1).</w:t>
      </w:r>
      <w:r>
        <w:rPr>
          <w:rFonts w:ascii="新細明體" w:hAnsi="新細明體" w:hint="eastAsia"/>
          <w:color w:val="000000"/>
          <w:lang w:val="de-DE"/>
        </w:rPr>
        <w:t>無法律保留規定之基本權，如宗教自由</w:t>
      </w:r>
      <w:r>
        <w:rPr>
          <w:rFonts w:ascii="新細明體" w:hAnsi="新細明體"/>
          <w:color w:val="000000"/>
          <w:lang w:val="de-DE"/>
        </w:rPr>
        <w:t>(</w:t>
      </w:r>
      <w:r>
        <w:rPr>
          <w:rFonts w:ascii="新細明體" w:hAnsi="新細明體" w:hint="eastAsia"/>
          <w:color w:val="000000"/>
          <w:lang w:val="de-DE"/>
        </w:rPr>
        <w:t>Art</w:t>
      </w:r>
      <w:r>
        <w:rPr>
          <w:rFonts w:ascii="新細明體" w:hAnsi="新細明體"/>
          <w:color w:val="000000"/>
          <w:lang w:val="de-DE"/>
        </w:rPr>
        <w:t>. 4 I GG)</w:t>
      </w:r>
      <w:r>
        <w:rPr>
          <w:rFonts w:ascii="新細明體" w:hAnsi="新細明體" w:hint="eastAsia"/>
          <w:color w:val="000000"/>
          <w:lang w:val="de-DE"/>
        </w:rPr>
        <w:t>；</w:t>
      </w:r>
      <w:r>
        <w:rPr>
          <w:rFonts w:ascii="新細明體" w:hAnsi="新細明體"/>
          <w:color w:val="000000"/>
          <w:lang w:val="de-DE"/>
        </w:rPr>
        <w:t>2).</w:t>
      </w:r>
      <w:r>
        <w:rPr>
          <w:rFonts w:ascii="新細明體" w:hAnsi="新細明體" w:hint="eastAsia"/>
          <w:color w:val="000000"/>
          <w:lang w:val="de-DE"/>
        </w:rPr>
        <w:t>單純的法律保留，例如對室外集會得以法律或基於法律之授權而加以限制</w:t>
      </w:r>
      <w:r>
        <w:rPr>
          <w:rFonts w:ascii="新細明體" w:hAnsi="新細明體"/>
          <w:color w:val="000000"/>
          <w:lang w:val="de-DE"/>
        </w:rPr>
        <w:t>(Art. 8 II GG)</w:t>
      </w:r>
      <w:r>
        <w:rPr>
          <w:rFonts w:ascii="新細明體" w:hAnsi="新細明體" w:hint="eastAsia"/>
          <w:color w:val="000000"/>
          <w:lang w:val="de-DE"/>
        </w:rPr>
        <w:t>；</w:t>
      </w:r>
      <w:r>
        <w:rPr>
          <w:rFonts w:ascii="新細明體" w:hAnsi="新細明體"/>
          <w:color w:val="000000"/>
          <w:lang w:val="de-DE"/>
        </w:rPr>
        <w:t>3).</w:t>
      </w:r>
      <w:r>
        <w:rPr>
          <w:rFonts w:ascii="新細明體" w:hAnsi="新細明體" w:hint="eastAsia"/>
          <w:color w:val="000000"/>
          <w:lang w:val="de-DE"/>
        </w:rPr>
        <w:t>特別的法律保留，例如對於言論自由的限制必須是「一般法律」</w:t>
      </w:r>
      <w:r>
        <w:rPr>
          <w:rFonts w:ascii="新細明體" w:hAnsi="新細明體"/>
          <w:color w:val="000000"/>
          <w:lang w:val="de-DE"/>
        </w:rPr>
        <w:t>(Art. 5 I GG)</w:t>
      </w:r>
      <w:r>
        <w:rPr>
          <w:rFonts w:ascii="新細明體" w:hAnsi="新細明體" w:hint="eastAsia"/>
          <w:color w:val="000000"/>
          <w:lang w:val="de-DE"/>
        </w:rPr>
        <w:t>。</w:t>
      </w:r>
      <w:r>
        <w:rPr>
          <w:rStyle w:val="a6"/>
          <w:rFonts w:ascii="新細明體" w:hAnsi="新細明體"/>
          <w:color w:val="000000"/>
          <w:lang w:val="de-DE"/>
        </w:rPr>
        <w:footnoteReference w:id="55"/>
      </w:r>
      <w:r>
        <w:rPr>
          <w:rFonts w:ascii="新細明體" w:hAnsi="新細明體" w:hint="eastAsia"/>
          <w:color w:val="000000"/>
          <w:lang w:val="de-DE"/>
        </w:rPr>
        <w:t>在無法律保留規定之基本權，基本法上雖無法律保留條款，但基於實務上發展出來的「內在界限」理論，在基本權衝突的情形，仍承認該等基本權應有其內在界限，</w:t>
      </w:r>
      <w:r>
        <w:rPr>
          <w:rFonts w:ascii="新細明體" w:hAnsi="新細明體" w:hint="eastAsia"/>
          <w:color w:val="000000"/>
          <w:lang w:val="de-DE"/>
        </w:rPr>
        <w:t>惟此一內在界限之具體</w:t>
      </w:r>
      <w:r>
        <w:rPr>
          <w:rFonts w:ascii="新細明體" w:hAnsi="新細明體" w:hint="eastAsia"/>
          <w:color w:val="000000"/>
          <w:lang w:val="de-DE"/>
        </w:rPr>
        <w:lastRenderedPageBreak/>
        <w:t>化應由立法者以立法為之。</w:t>
      </w:r>
      <w:r>
        <w:rPr>
          <w:rStyle w:val="a6"/>
          <w:rFonts w:ascii="新細明體" w:hAnsi="新細明體"/>
          <w:color w:val="000000"/>
          <w:lang w:val="de-DE"/>
        </w:rPr>
        <w:footnoteReference w:id="56"/>
      </w:r>
      <w:r>
        <w:rPr>
          <w:rFonts w:ascii="新細明體" w:hAnsi="新細明體" w:hint="eastAsia"/>
          <w:color w:val="000000"/>
          <w:lang w:val="de-DE"/>
        </w:rPr>
        <w:t>此一內在界限理論事實上承認了對於基本權之限制在憲法上存有不成文之依據。</w:t>
      </w:r>
      <w:r>
        <w:rPr>
          <w:rStyle w:val="a6"/>
          <w:rFonts w:ascii="新細明體" w:hAnsi="新細明體"/>
          <w:color w:val="000000"/>
          <w:lang w:val="de-DE"/>
        </w:rPr>
        <w:footnoteReference w:id="57"/>
      </w:r>
      <w:r>
        <w:rPr>
          <w:rFonts w:ascii="新細明體" w:hAnsi="新細明體" w:hint="eastAsia"/>
          <w:color w:val="000000"/>
          <w:lang w:val="de-DE"/>
        </w:rPr>
        <w:t>將上述聯邦憲法法院在「受刑人判決」中之見解放到這個基本權限制的理論脈絡中來觀察，可以發現聯邦憲法法院遵循了與內在界限理論類似的思維脈絡，基於基本法之價值秩序而承認「與社會共同體有關之目的」為憲法所追求之法益而得作為限制基本權之非成文的憲法基礎。然而，傳統上被認為屬於特別權力關係之各領域恐怕不難被解釋為「與社會共同體有關之目的」吧！因此也難怪學說上有將特別權力關係解釋為基本權的內在界限者</w:t>
      </w:r>
      <w:r>
        <w:rPr>
          <w:rStyle w:val="a6"/>
          <w:rFonts w:ascii="新細明體" w:hAnsi="新細明體"/>
          <w:color w:val="000000"/>
          <w:lang w:val="de-DE"/>
        </w:rPr>
        <w:footnoteReference w:id="58"/>
      </w:r>
      <w:r>
        <w:rPr>
          <w:rFonts w:ascii="新細明體" w:hAnsi="新細明體" w:hint="eastAsia"/>
          <w:color w:val="000000"/>
          <w:lang w:val="de-DE"/>
        </w:rPr>
        <w:t>。不</w:t>
      </w:r>
      <w:r>
        <w:rPr>
          <w:rFonts w:ascii="新細明體" w:hAnsi="新細明體" w:hint="eastAsia"/>
          <w:color w:val="000000"/>
          <w:lang w:val="de-DE"/>
        </w:rPr>
        <w:t>過，這樣的見解也難免要被批評為「特別權力關係理論之復活」。</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不論傳統的「特別權力關係」或後來提出之「特別地位」、「特別拘束」或「特別法律關係」等等都嘗試以一個統一的概念框架來涵蓋數個行為領域。然而，這些相關領域性質不盡相同，其間所涉及的基本權行使與限制問題也未必能統一處理。尤其公務員關係相較於其他如監獄、學校等領域，性質上尤屬特別。此一特別之處在於到今日仍</w:t>
      </w:r>
      <w:proofErr w:type="gramStart"/>
      <w:r>
        <w:rPr>
          <w:rFonts w:ascii="新細明體" w:hAnsi="新細明體" w:hint="eastAsia"/>
          <w:color w:val="000000"/>
          <w:lang w:val="de-DE"/>
        </w:rPr>
        <w:t>未完全棄絕</w:t>
      </w:r>
      <w:proofErr w:type="gramEnd"/>
      <w:r>
        <w:rPr>
          <w:rFonts w:ascii="新細明體" w:hAnsi="新細明體" w:hint="eastAsia"/>
          <w:color w:val="000000"/>
          <w:lang w:val="de-DE"/>
        </w:rPr>
        <w:t>之「不滲透理論」：公務員以機關構成員或職務擔當者之身份所為之執行職務的行為，其效果乃是歸屬於其職務主，因此此一行為是否屬於公務員行使其基</w:t>
      </w:r>
      <w:r>
        <w:rPr>
          <w:rFonts w:ascii="新細明體" w:hAnsi="新細明體" w:hint="eastAsia"/>
          <w:color w:val="000000"/>
          <w:lang w:val="de-DE"/>
        </w:rPr>
        <w:t>本權的行為便有疑問。例如，檢察官就其偵查之案件接受記者訪問，公開地表示其意見，此乃執行職務之行為，並非個人行使其言論自由之行為。</w:t>
      </w:r>
      <w:r>
        <w:rPr>
          <w:rStyle w:val="a6"/>
          <w:rFonts w:ascii="新細明體" w:hAnsi="新細明體"/>
          <w:color w:val="000000"/>
          <w:lang w:val="de-DE"/>
        </w:rPr>
        <w:footnoteReference w:id="59"/>
      </w:r>
      <w:r>
        <w:rPr>
          <w:rFonts w:ascii="新細明體" w:hAnsi="新細明體" w:hint="eastAsia"/>
          <w:color w:val="000000"/>
          <w:lang w:val="de-DE"/>
        </w:rPr>
        <w:t>此一伴隨著國家人格之承認所產生之行為效果歸屬之問題，為其他亦被認為屬於特別權力關係之領域所無。因此，在公務員關係中於何等範圍內得主張基本權，較之其他領域乃更為難以判定。</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color w:val="000000"/>
          <w:lang w:val="de-DE"/>
        </w:rPr>
        <w:t>Ule</w:t>
      </w:r>
      <w:r>
        <w:rPr>
          <w:rFonts w:ascii="新細明體" w:hAnsi="新細明體" w:hint="eastAsia"/>
          <w:color w:val="000000"/>
          <w:lang w:val="de-DE"/>
        </w:rPr>
        <w:t>所提出之著名的「基礎關係」與「經營關係」之區分</w:t>
      </w:r>
      <w:r>
        <w:rPr>
          <w:rStyle w:val="a6"/>
          <w:rFonts w:ascii="新細明體" w:hAnsi="新細明體"/>
          <w:color w:val="000000"/>
          <w:lang w:val="de-DE"/>
        </w:rPr>
        <w:footnoteReference w:id="60"/>
      </w:r>
      <w:r>
        <w:rPr>
          <w:rFonts w:ascii="新細明體" w:hAnsi="新細明體" w:hint="eastAsia"/>
          <w:color w:val="000000"/>
          <w:lang w:val="de-DE"/>
        </w:rPr>
        <w:t>雖是針對整個特別權力關係，而非只針對公務員關係，但其所欲解決之</w:t>
      </w:r>
      <w:proofErr w:type="gramStart"/>
      <w:r>
        <w:rPr>
          <w:rFonts w:ascii="新細明體" w:hAnsi="新細明體" w:hint="eastAsia"/>
          <w:color w:val="000000"/>
          <w:lang w:val="de-DE"/>
        </w:rPr>
        <w:t>問題顯即係</w:t>
      </w:r>
      <w:proofErr w:type="gramEnd"/>
      <w:r>
        <w:rPr>
          <w:rFonts w:ascii="新細明體" w:hAnsi="新細明體" w:hint="eastAsia"/>
          <w:color w:val="000000"/>
          <w:lang w:val="de-DE"/>
        </w:rPr>
        <w:t>這裡所遭遇之基本權行使範圍之問題。此一區分雖曾取得通說之地位，但隨著「受刑人判</w:t>
      </w:r>
      <w:r>
        <w:rPr>
          <w:rFonts w:ascii="新細明體" w:hAnsi="新細明體" w:hint="eastAsia"/>
          <w:color w:val="000000"/>
          <w:lang w:val="de-DE"/>
        </w:rPr>
        <w:t>決」以來之「告別特別權力關係」之聲浪，此一區分</w:t>
      </w:r>
      <w:proofErr w:type="gramStart"/>
      <w:r>
        <w:rPr>
          <w:rFonts w:ascii="新細明體" w:hAnsi="新細明體" w:hint="eastAsia"/>
          <w:color w:val="000000"/>
          <w:lang w:val="de-DE"/>
        </w:rPr>
        <w:t>也迭受批評</w:t>
      </w:r>
      <w:proofErr w:type="gramEnd"/>
      <w:r>
        <w:rPr>
          <w:rFonts w:ascii="新細明體" w:hAnsi="新細明體" w:hint="eastAsia"/>
          <w:color w:val="000000"/>
          <w:lang w:val="de-DE"/>
        </w:rPr>
        <w:t>，蓋在「經營關係」中仍然有基本權侵害之問題，以致於在「告別特別權力關係」的同時也有告別</w:t>
      </w:r>
      <w:r>
        <w:rPr>
          <w:rFonts w:ascii="新細明體" w:hAnsi="新細明體"/>
          <w:color w:val="000000"/>
          <w:lang w:val="de-DE"/>
        </w:rPr>
        <w:t>Ule</w:t>
      </w:r>
      <w:r>
        <w:rPr>
          <w:rFonts w:ascii="新細明體" w:hAnsi="新細明體" w:hint="eastAsia"/>
          <w:color w:val="000000"/>
          <w:lang w:val="de-DE"/>
        </w:rPr>
        <w:t>理論的呼聲。</w:t>
      </w:r>
      <w:r>
        <w:rPr>
          <w:rStyle w:val="a6"/>
          <w:rFonts w:ascii="新細明體" w:hAnsi="新細明體"/>
          <w:color w:val="000000"/>
          <w:lang w:val="de-DE"/>
        </w:rPr>
        <w:footnoteReference w:id="61"/>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color w:val="000000"/>
          <w:lang w:val="de-DE"/>
        </w:rPr>
        <w:t>Ule</w:t>
      </w:r>
      <w:r>
        <w:rPr>
          <w:rFonts w:ascii="新細明體" w:hAnsi="新細明體" w:hint="eastAsia"/>
          <w:color w:val="000000"/>
          <w:lang w:val="de-DE"/>
        </w:rPr>
        <w:t>此一區分「基礎關係」與「經營關係」之理論雖然飽受批評，但此一理論所揭示的方向可以說還是被維持。詳言之，在基本權總論中所關注之「保障領域」、「基本權干預」、「限制」及「限制之界限」等等抽象概念</w:t>
      </w:r>
      <w:proofErr w:type="gramStart"/>
      <w:r>
        <w:rPr>
          <w:rFonts w:ascii="新細明體" w:hAnsi="新細明體" w:hint="eastAsia"/>
          <w:color w:val="000000"/>
          <w:lang w:val="de-DE"/>
        </w:rPr>
        <w:t>必須扣聯到</w:t>
      </w:r>
      <w:proofErr w:type="gramEnd"/>
      <w:r>
        <w:rPr>
          <w:rFonts w:ascii="新細明體" w:hAnsi="新細明體" w:hint="eastAsia"/>
          <w:color w:val="000000"/>
          <w:lang w:val="de-DE"/>
        </w:rPr>
        <w:t>具體的事物領域才能得其骨肉，因此針對個別的事物領域發展進一步的概念或原則乃是法學發展上所常見的努力方向。「基礎關係」與「經營關係」之區</w:t>
      </w:r>
      <w:r>
        <w:rPr>
          <w:rFonts w:ascii="新細明體" w:hAnsi="新細明體" w:hint="eastAsia"/>
          <w:color w:val="000000"/>
          <w:lang w:val="de-DE"/>
        </w:rPr>
        <w:t>分及對此一區分之批評可以放在這個脈絡下來理解：這個區分反映上述的理論脈絡，</w:t>
      </w:r>
      <w:r>
        <w:rPr>
          <w:rFonts w:ascii="新細明體" w:hAnsi="新細明體" w:hint="eastAsia"/>
          <w:color w:val="000000"/>
          <w:lang w:val="de-DE"/>
        </w:rPr>
        <w:lastRenderedPageBreak/>
        <w:t>從而其理論方向值得維持，但此一區分本身由於未提供</w:t>
      </w:r>
      <w:proofErr w:type="gramStart"/>
      <w:r>
        <w:rPr>
          <w:rFonts w:ascii="新細明體" w:hAnsi="新細明體" w:hint="eastAsia"/>
          <w:color w:val="000000"/>
          <w:lang w:val="de-DE"/>
        </w:rPr>
        <w:t>清楚的判準</w:t>
      </w:r>
      <w:proofErr w:type="gramEnd"/>
      <w:r>
        <w:rPr>
          <w:rStyle w:val="a6"/>
          <w:rFonts w:ascii="新細明體" w:hAnsi="新細明體"/>
          <w:color w:val="000000"/>
          <w:lang w:val="de-DE"/>
        </w:rPr>
        <w:footnoteReference w:id="62"/>
      </w:r>
      <w:r>
        <w:rPr>
          <w:rFonts w:ascii="新細明體" w:hAnsi="新細明體" w:hint="eastAsia"/>
          <w:color w:val="000000"/>
          <w:lang w:val="de-DE"/>
        </w:rPr>
        <w:t>，而且尚未能適當地描繪出相關領域中的基本權行使與限制之輪廓，因而受到批評。</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循著與</w:t>
      </w:r>
      <w:r>
        <w:rPr>
          <w:rFonts w:ascii="新細明體" w:hAnsi="新細明體"/>
          <w:color w:val="000000"/>
          <w:lang w:val="de-DE"/>
        </w:rPr>
        <w:t>Ule</w:t>
      </w:r>
      <w:r>
        <w:rPr>
          <w:rFonts w:ascii="新細明體" w:hAnsi="新細明體" w:hint="eastAsia"/>
          <w:color w:val="000000"/>
          <w:lang w:val="de-DE"/>
        </w:rPr>
        <w:t>之理論相同的理論方向，但特別針對公務員關係所提出之替代理論乃是區分「職務關係」（</w:t>
      </w:r>
      <w:r>
        <w:rPr>
          <w:rFonts w:ascii="新細明體" w:hAnsi="新細明體"/>
          <w:color w:val="000000"/>
          <w:lang w:val="de-DE"/>
        </w:rPr>
        <w:t>Amtsverhältnis</w:t>
      </w:r>
      <w:r>
        <w:rPr>
          <w:rFonts w:ascii="新細明體" w:hAnsi="新細明體" w:hint="eastAsia"/>
          <w:color w:val="000000"/>
          <w:lang w:val="de-DE"/>
        </w:rPr>
        <w:t>）、「任職關係」（</w:t>
      </w:r>
      <w:r>
        <w:rPr>
          <w:rFonts w:ascii="新細明體" w:hAnsi="新細明體"/>
          <w:color w:val="000000"/>
          <w:lang w:val="de-DE"/>
        </w:rPr>
        <w:t>Dienstverhältnis</w:t>
      </w:r>
      <w:r>
        <w:rPr>
          <w:rFonts w:ascii="新細明體" w:hAnsi="新細明體" w:hint="eastAsia"/>
          <w:color w:val="000000"/>
          <w:lang w:val="de-DE"/>
        </w:rPr>
        <w:t>）及「私人領域」：</w:t>
      </w:r>
      <w:r>
        <w:rPr>
          <w:rStyle w:val="a6"/>
          <w:rFonts w:ascii="新細明體" w:hAnsi="新細明體"/>
          <w:color w:val="000000"/>
          <w:lang w:val="de-DE"/>
        </w:rPr>
        <w:footnoteReference w:id="63"/>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「職務關係」：公務員執行其職務時乃是以職務執行人</w:t>
      </w:r>
      <w:r>
        <w:rPr>
          <w:rFonts w:ascii="新細明體" w:hAnsi="新細明體"/>
          <w:color w:val="000000"/>
          <w:lang w:val="de-DE"/>
        </w:rPr>
        <w:t>(Amtswalter)</w:t>
      </w:r>
      <w:r>
        <w:rPr>
          <w:rFonts w:ascii="新細明體" w:hAnsi="新細明體" w:hint="eastAsia"/>
          <w:color w:val="000000"/>
          <w:lang w:val="de-DE"/>
        </w:rPr>
        <w:t>之身分從事活動，從而是國家組織</w:t>
      </w:r>
      <w:r>
        <w:rPr>
          <w:rFonts w:ascii="新細明體" w:hAnsi="新細明體" w:hint="eastAsia"/>
          <w:color w:val="000000"/>
          <w:lang w:val="de-DE"/>
        </w:rPr>
        <w:t>之一環，為受基本權拘束之義務人，而非得行使基本權之權利主體。公務員執行職務之行為既非屬以基本權主體之身分行使其基本權之行為，對該行為所發之命令或指示從而並非對基本權之干預。</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「私人領域」：公務員以私人或國民之身分所為之行為</w:t>
      </w:r>
      <w:r>
        <w:rPr>
          <w:rStyle w:val="a6"/>
          <w:rFonts w:ascii="新細明體" w:hAnsi="新細明體"/>
          <w:color w:val="000000"/>
          <w:lang w:val="de-DE"/>
        </w:rPr>
        <w:footnoteReference w:id="64"/>
      </w:r>
      <w:r>
        <w:rPr>
          <w:rFonts w:ascii="新細明體" w:hAnsi="新細明體" w:hint="eastAsia"/>
          <w:color w:val="000000"/>
          <w:lang w:val="de-DE"/>
        </w:rPr>
        <w:t>，乃是基於其基本權主體之身分而行使其基本權，應受到與其他國民一樣相同的保障。這裡所謂相同的保障係指對公務員基本權之限制與對其他國民之限制一樣，都必須具有正當化基礎，而且不得違反憲法為節制國家權力所設之界限。至於公務員之基本權因公務員身分而在具體情況下受到較諸一般國民嚴格之限制，並不當然違</w:t>
      </w:r>
      <w:r>
        <w:rPr>
          <w:rFonts w:ascii="新細明體" w:hAnsi="新細明體" w:hint="eastAsia"/>
          <w:color w:val="000000"/>
          <w:lang w:val="de-DE"/>
        </w:rPr>
        <w:t>憲，仍應視該限制是否具正當化基礎及是否逾越限制之界限而定。對公務員基本權之特殊限制之憲法依據，如前所述，乃是基本法第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「任職關係」：任職關係乃是公務員基於其身分而與國家間之關係。勞工</w:t>
      </w:r>
      <w:r>
        <w:rPr>
          <w:rFonts w:ascii="新細明體" w:hAnsi="新細明體"/>
          <w:color w:val="000000"/>
          <w:lang w:val="de-DE"/>
        </w:rPr>
        <w:t>/</w:t>
      </w:r>
      <w:r>
        <w:rPr>
          <w:rFonts w:ascii="新細明體" w:hAnsi="新細明體" w:hint="eastAsia"/>
          <w:color w:val="000000"/>
          <w:lang w:val="de-DE"/>
        </w:rPr>
        <w:t>職員與國家間之任職關係</w:t>
      </w:r>
      <w:proofErr w:type="gramStart"/>
      <w:r>
        <w:rPr>
          <w:rFonts w:ascii="新細明體" w:hAnsi="新細明體" w:hint="eastAsia"/>
          <w:color w:val="000000"/>
          <w:lang w:val="de-DE"/>
        </w:rPr>
        <w:t>係</w:t>
      </w:r>
      <w:proofErr w:type="gramEnd"/>
      <w:r>
        <w:rPr>
          <w:rFonts w:ascii="新細明體" w:hAnsi="新細明體" w:hint="eastAsia"/>
          <w:color w:val="000000"/>
          <w:lang w:val="de-DE"/>
        </w:rPr>
        <w:t>受職業自由所保障；公務員與</w:t>
      </w:r>
      <w:proofErr w:type="gramStart"/>
      <w:r>
        <w:rPr>
          <w:rFonts w:ascii="新細明體" w:hAnsi="新細明體" w:hint="eastAsia"/>
          <w:color w:val="000000"/>
          <w:lang w:val="de-DE"/>
        </w:rPr>
        <w:t>國家間則是</w:t>
      </w:r>
      <w:proofErr w:type="gramEnd"/>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項所特別規定之公法上之任職與忠誠關係。在這個意義上，基本法第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項可以認為是職業自由之特別法。公務人員之任職關係因此可認為分別受職業自由及基本法第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項所保障之個人的法律地位</w:t>
      </w:r>
      <w:r>
        <w:rPr>
          <w:rFonts w:ascii="新細明體" w:hAnsi="新細明體"/>
          <w:color w:val="000000"/>
          <w:lang w:val="de-DE"/>
        </w:rPr>
        <w:t>(persönliche Rechtsstellu</w:t>
      </w:r>
      <w:r>
        <w:rPr>
          <w:rFonts w:ascii="新細明體" w:hAnsi="新細明體"/>
          <w:color w:val="000000"/>
          <w:lang w:val="de-DE"/>
        </w:rPr>
        <w:t>ng)</w:t>
      </w: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項所保障之個人的法律地位乃是主觀的、類似於基本權之權利，於受到國家侵害時公務員得提起憲法訴願以尋求救濟。</w:t>
      </w:r>
    </w:p>
    <w:p w:rsidR="00000000" w:rsidRDefault="00917CC1">
      <w:pPr>
        <w:jc w:val="both"/>
        <w:rPr>
          <w:rFonts w:ascii="新細明體" w:hAnsi="新細明體" w:hint="eastAsia"/>
          <w:color w:val="000000"/>
          <w:lang w:val="de-DE"/>
        </w:rPr>
      </w:pPr>
    </w:p>
    <w:p w:rsidR="00000000" w:rsidRDefault="00917CC1">
      <w:pPr>
        <w:pStyle w:val="3"/>
        <w:rPr>
          <w:rFonts w:hint="eastAsia"/>
        </w:rPr>
      </w:pPr>
      <w:bookmarkStart w:id="15" w:name="_Toc535245926"/>
      <w:r>
        <w:rPr>
          <w:rFonts w:hint="eastAsia"/>
        </w:rPr>
        <w:t>貳、公務人員政治活動自由之保障與限制之憲法基礎</w:t>
      </w:r>
      <w:bookmarkEnd w:id="15"/>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之政治活動屬於上述之「私人領域」，公務人員與其他國民相同，享有受憲法保障之政治活動自由，亦即享有言論、集會、遊行、結社、政黨活動及參政等等權利。不過，在以上的討論中也已經提到，基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lastRenderedPageBreak/>
        <w:t>5</w:t>
      </w:r>
      <w:r>
        <w:rPr>
          <w:rFonts w:ascii="新細明體" w:hAnsi="新細明體" w:hint="eastAsia"/>
          <w:color w:val="000000"/>
          <w:lang w:val="de-DE"/>
        </w:rPr>
        <w:t>項對於公務員制度之結構性保障，使得公務員處於一種特殊之憲法地位，其一方面受到特別的照顧，但另一方面也受到特別的限制。</w:t>
      </w:r>
      <w:r>
        <w:rPr>
          <w:rFonts w:ascii="新細明體" w:hAnsi="新細明體" w:hint="eastAsia"/>
          <w:color w:val="000000"/>
          <w:lang w:val="de-DE"/>
        </w:rPr>
        <w:t>這種特殊地位由於基本法第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項而受到類似基本權之保障，但另一方面，其所涵</w:t>
      </w:r>
      <w:proofErr w:type="gramStart"/>
      <w:r>
        <w:rPr>
          <w:rFonts w:ascii="新細明體" w:hAnsi="新細明體" w:hint="eastAsia"/>
          <w:color w:val="000000"/>
          <w:lang w:val="de-DE"/>
        </w:rPr>
        <w:t>蘊</w:t>
      </w:r>
      <w:proofErr w:type="gramEnd"/>
      <w:r>
        <w:rPr>
          <w:rFonts w:ascii="新細明體" w:hAnsi="新細明體" w:hint="eastAsia"/>
          <w:color w:val="000000"/>
          <w:lang w:val="de-DE"/>
        </w:rPr>
        <w:t>之特別限制也構成對公務員其他基本權之限制基礎。因此，基本法第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固然對公務員提供類似基本權之保障，但同時也是對於其他基本權之特別的法律保留條款。不過，基本法上對其他基本權之特別保障仍應遵守。例如對公務員政治活動自由之限制涉及言論自由者，該限制必須是基本法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項所規定之「一般法律」。</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關於公務員之政治活動不論保障或限制都以基本法第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項為依據，亦即對公務員政治活動之保障與限制都屬於德國職業公務員制度之傳</w:t>
      </w:r>
      <w:r>
        <w:rPr>
          <w:rFonts w:ascii="新細明體" w:hAnsi="新細明體" w:hint="eastAsia"/>
          <w:color w:val="000000"/>
          <w:lang w:val="de-DE"/>
        </w:rPr>
        <w:t>統原則。因此以下有必要進入德國公務員政治活動的歷史脈絡。</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德國公務員參與政治活動起源甚早，在</w:t>
      </w:r>
      <w:r>
        <w:rPr>
          <w:rFonts w:ascii="新細明體" w:hAnsi="新細明體"/>
          <w:color w:val="000000"/>
          <w:lang w:val="de-DE"/>
        </w:rPr>
        <w:t>1871</w:t>
      </w:r>
      <w:r>
        <w:rPr>
          <w:rFonts w:ascii="新細明體" w:hAnsi="新細明體" w:hint="eastAsia"/>
          <w:color w:val="000000"/>
          <w:lang w:val="de-DE"/>
        </w:rPr>
        <w:t>年建立德意志帝國之前公務員參與政治生活已相當活</w:t>
      </w:r>
      <w:proofErr w:type="gramStart"/>
      <w:r>
        <w:rPr>
          <w:rFonts w:ascii="新細明體" w:hAnsi="新細明體" w:hint="eastAsia"/>
          <w:color w:val="000000"/>
          <w:lang w:val="de-DE"/>
        </w:rPr>
        <w:t>躍</w:t>
      </w:r>
      <w:proofErr w:type="gramEnd"/>
      <w:r>
        <w:rPr>
          <w:rStyle w:val="a6"/>
          <w:rFonts w:ascii="新細明體" w:hAnsi="新細明體"/>
          <w:color w:val="000000"/>
          <w:lang w:val="de-DE"/>
        </w:rPr>
        <w:footnoteReference w:id="65"/>
      </w:r>
      <w:r>
        <w:rPr>
          <w:rFonts w:ascii="新細明體" w:hAnsi="新細明體" w:hint="eastAsia"/>
          <w:color w:val="000000"/>
          <w:lang w:val="de-DE"/>
        </w:rPr>
        <w:t>，而反映為當時議會中之「名門望族結構」</w:t>
      </w:r>
      <w:r>
        <w:rPr>
          <w:rFonts w:ascii="新細明體" w:hAnsi="新細明體"/>
          <w:color w:val="000000"/>
          <w:lang w:val="de-DE"/>
        </w:rPr>
        <w:t>(Hororatiorenstruktur)</w:t>
      </w:r>
      <w:r>
        <w:rPr>
          <w:rFonts w:ascii="新細明體" w:hAnsi="新細明體" w:hint="eastAsia"/>
          <w:color w:val="000000"/>
          <w:lang w:val="de-DE"/>
        </w:rPr>
        <w:t>。</w:t>
      </w:r>
      <w:r>
        <w:rPr>
          <w:rStyle w:val="a6"/>
          <w:rFonts w:ascii="新細明體" w:hAnsi="新細明體"/>
          <w:color w:val="000000"/>
          <w:lang w:val="de-DE"/>
        </w:rPr>
        <w:footnoteReference w:id="66"/>
      </w:r>
      <w:r>
        <w:rPr>
          <w:rFonts w:ascii="新細明體" w:hAnsi="新細明體" w:hint="eastAsia"/>
          <w:color w:val="000000"/>
          <w:lang w:val="de-DE"/>
        </w:rPr>
        <w:t>不過基於對君主之忠誠義務，公務員之政治活動自由受有限制。雖然自</w:t>
      </w:r>
      <w:r>
        <w:rPr>
          <w:rFonts w:ascii="新細明體" w:hAnsi="新細明體"/>
          <w:color w:val="000000"/>
          <w:lang w:val="de-DE"/>
        </w:rPr>
        <w:t>18</w:t>
      </w:r>
      <w:r>
        <w:rPr>
          <w:rFonts w:ascii="新細明體" w:hAnsi="新細明體" w:hint="eastAsia"/>
          <w:color w:val="000000"/>
          <w:lang w:val="de-DE"/>
        </w:rPr>
        <w:t>世紀末以來公務員已不再是地方諸侯之私人部屬，而是國家之公僕，而且君主也已被認為是國家機關，而不再是主權者，但公務員效忠的對象仍然不是「君主」這個制度，而是擔任君主的該個人。基於對君主之忠誠義務，公務員之</w:t>
      </w:r>
      <w:r>
        <w:rPr>
          <w:rFonts w:ascii="新細明體" w:hAnsi="新細明體" w:hint="eastAsia"/>
          <w:color w:val="000000"/>
          <w:lang w:val="de-DE"/>
        </w:rPr>
        <w:t>政治活動如反對政府之政策，即可能受到懲戒。</w:t>
      </w:r>
      <w:r>
        <w:rPr>
          <w:rStyle w:val="a6"/>
          <w:rFonts w:ascii="新細明體" w:hAnsi="新細明體"/>
          <w:color w:val="000000"/>
          <w:lang w:val="de-DE"/>
        </w:rPr>
        <w:footnoteReference w:id="67"/>
      </w:r>
      <w:r>
        <w:rPr>
          <w:rFonts w:ascii="新細明體" w:hAnsi="新細明體" w:hint="eastAsia"/>
          <w:color w:val="000000"/>
          <w:lang w:val="de-DE"/>
        </w:rPr>
        <w:t>不過，在帝國建立之後大致上已可以確定，公務員公開地表達其反對政府的立場，不再會受到懲戒，只要其維持對公勤務之擁有者充分的尊重，且不失客觀地以符合公務員身分之慎重的表達形式為之。</w:t>
      </w:r>
      <w:r>
        <w:rPr>
          <w:rStyle w:val="a6"/>
          <w:rFonts w:ascii="新細明體" w:hAnsi="新細明體"/>
          <w:color w:val="000000"/>
          <w:lang w:val="de-DE"/>
        </w:rPr>
        <w:footnoteReference w:id="68"/>
      </w:r>
      <w:proofErr w:type="gramStart"/>
      <w:r>
        <w:rPr>
          <w:rFonts w:ascii="新細明體" w:hAnsi="新細明體" w:hint="eastAsia"/>
          <w:color w:val="000000"/>
          <w:lang w:val="de-DE"/>
        </w:rPr>
        <w:t>惟</w:t>
      </w:r>
      <w:proofErr w:type="gramEnd"/>
      <w:r>
        <w:rPr>
          <w:rFonts w:ascii="新細明體" w:hAnsi="新細明體" w:hint="eastAsia"/>
          <w:color w:val="000000"/>
          <w:lang w:val="de-DE"/>
        </w:rPr>
        <w:t>公務員支持對抗現存法秩序或國家秩序之政治路線，則仍被禁止。在當時這主要是針對社會民主黨，公務員只要加入社會民主黨即會受到懲戒。</w:t>
      </w:r>
      <w:proofErr w:type="gramStart"/>
      <w:r>
        <w:rPr>
          <w:rFonts w:ascii="新細明體" w:hAnsi="新細明體" w:hint="eastAsia"/>
          <w:color w:val="000000"/>
          <w:lang w:val="de-DE"/>
        </w:rPr>
        <w:t>一</w:t>
      </w:r>
      <w:proofErr w:type="gramEnd"/>
      <w:r>
        <w:rPr>
          <w:rFonts w:ascii="新細明體" w:hAnsi="新細明體" w:hint="eastAsia"/>
          <w:color w:val="000000"/>
          <w:lang w:val="de-DE"/>
        </w:rPr>
        <w:t>直到第一次世界大戰，當時不論政府、懲戒法院或學說上都堅持公務員只能加入接受憲法原則</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特別是君主國之國家形式</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之政黨。</w:t>
      </w:r>
      <w:r>
        <w:rPr>
          <w:rStyle w:val="a6"/>
          <w:rFonts w:ascii="新細明體" w:hAnsi="新細明體"/>
          <w:color w:val="000000"/>
          <w:lang w:val="de-DE"/>
        </w:rPr>
        <w:footnoteReference w:id="69"/>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就在君主政體崩潰</w:t>
      </w:r>
      <w:proofErr w:type="gramStart"/>
      <w:r>
        <w:rPr>
          <w:rFonts w:ascii="新細明體" w:hAnsi="新細明體" w:hint="eastAsia"/>
          <w:color w:val="000000"/>
          <w:lang w:val="de-DE"/>
        </w:rPr>
        <w:t>前夕，</w:t>
      </w:r>
      <w:proofErr w:type="gramEnd"/>
      <w:r>
        <w:rPr>
          <w:rFonts w:ascii="新細明體" w:hAnsi="新細明體" w:hint="eastAsia"/>
          <w:color w:val="000000"/>
          <w:lang w:val="de-DE"/>
        </w:rPr>
        <w:t>由</w:t>
      </w:r>
      <w:r>
        <w:rPr>
          <w:rFonts w:ascii="新細明體" w:hAnsi="新細明體" w:hint="eastAsia"/>
          <w:color w:val="000000"/>
          <w:lang w:val="de-DE"/>
        </w:rPr>
        <w:t>於當時的普魯士內政部長</w:t>
      </w:r>
      <w:r>
        <w:rPr>
          <w:rFonts w:ascii="新細明體" w:hAnsi="新細明體"/>
          <w:color w:val="000000"/>
          <w:lang w:val="de-DE"/>
        </w:rPr>
        <w:t>Drews</w:t>
      </w:r>
      <w:r>
        <w:rPr>
          <w:rFonts w:ascii="新細明體" w:hAnsi="新細明體" w:hint="eastAsia"/>
          <w:color w:val="000000"/>
          <w:lang w:val="de-DE"/>
        </w:rPr>
        <w:t>於</w:t>
      </w:r>
      <w:r>
        <w:rPr>
          <w:rFonts w:ascii="新細明體" w:hAnsi="新細明體"/>
          <w:color w:val="000000"/>
          <w:lang w:val="de-DE"/>
        </w:rPr>
        <w:t>1917</w:t>
      </w:r>
      <w:r>
        <w:rPr>
          <w:rFonts w:ascii="新細明體" w:hAnsi="新細明體" w:hint="eastAsia"/>
          <w:color w:val="000000"/>
          <w:lang w:val="de-DE"/>
        </w:rPr>
        <w:t>年</w:t>
      </w:r>
      <w:r>
        <w:rPr>
          <w:rFonts w:ascii="新細明體" w:hAnsi="新細明體"/>
          <w:color w:val="000000"/>
          <w:lang w:val="de-DE"/>
        </w:rPr>
        <w:t>10</w:t>
      </w:r>
      <w:r>
        <w:rPr>
          <w:rFonts w:ascii="新細明體" w:hAnsi="新細明體" w:hint="eastAsia"/>
          <w:color w:val="000000"/>
          <w:lang w:val="de-DE"/>
        </w:rPr>
        <w:t>月針對公務員加入「祖國黨」</w:t>
      </w:r>
      <w:r>
        <w:rPr>
          <w:rFonts w:ascii="新細明體" w:hAnsi="新細明體"/>
          <w:color w:val="000000"/>
          <w:lang w:val="de-DE"/>
        </w:rPr>
        <w:t>(Vaterlandspartei)</w:t>
      </w:r>
      <w:r>
        <w:rPr>
          <w:rFonts w:ascii="新細明體" w:hAnsi="新細明體" w:hint="eastAsia"/>
          <w:color w:val="000000"/>
          <w:lang w:val="de-DE"/>
        </w:rPr>
        <w:t>加以批評，在普魯士眾議院中引起對公務員政治活動問題之熱烈討論。</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6</w:t>
      </w:r>
      <w:r>
        <w:rPr>
          <w:rFonts w:ascii="新細明體" w:hAnsi="新細明體" w:hint="eastAsia"/>
          <w:color w:val="000000"/>
          <w:lang w:val="de-DE"/>
        </w:rPr>
        <w:t>月普魯士眾議院要求普魯士政府擬定關於公務員政治義務之法律規定，而且在過度期間發布命令以確保公務員之政治活動權，但不允許公務員為其政黨政治上之目的而濫用其職務上之權力。普魯士政府於</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10</w:t>
      </w:r>
      <w:r>
        <w:rPr>
          <w:rFonts w:ascii="新細明體" w:hAnsi="新細明體" w:hint="eastAsia"/>
          <w:color w:val="000000"/>
          <w:lang w:val="de-DE"/>
        </w:rPr>
        <w:t>月</w:t>
      </w:r>
      <w:r>
        <w:rPr>
          <w:rFonts w:ascii="新細明體" w:hAnsi="新細明體"/>
          <w:color w:val="000000"/>
          <w:lang w:val="de-DE"/>
        </w:rPr>
        <w:t>21</w:t>
      </w:r>
      <w:r>
        <w:rPr>
          <w:rFonts w:ascii="新細明體" w:hAnsi="新細明體" w:hint="eastAsia"/>
          <w:color w:val="000000"/>
          <w:lang w:val="de-DE"/>
        </w:rPr>
        <w:t>日發布公告</w:t>
      </w:r>
      <w:r>
        <w:rPr>
          <w:rFonts w:ascii="新細明體" w:hAnsi="新細明體"/>
          <w:color w:val="000000"/>
          <w:lang w:val="de-DE"/>
        </w:rPr>
        <w:t>(Erlaß)</w:t>
      </w:r>
      <w:r>
        <w:rPr>
          <w:rFonts w:ascii="新細明體" w:hAnsi="新細明體" w:hint="eastAsia"/>
          <w:color w:val="000000"/>
          <w:lang w:val="de-DE"/>
        </w:rPr>
        <w:t>：</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公務員亦享有普魯士憲法所保障之國民權，故其亦享有政治信念自由；基於此一原則，公務員可以加入任何政黨或結</w:t>
      </w:r>
      <w:r>
        <w:rPr>
          <w:rFonts w:ascii="新細明體" w:hAnsi="新細明體" w:hint="eastAsia"/>
          <w:color w:val="000000"/>
          <w:lang w:val="de-DE"/>
        </w:rPr>
        <w:t>社，只要該等政黨或社團不以危害帝國或一個國家之存續為目標。</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lastRenderedPageBreak/>
        <w:t>公務員之公開的政治活動原則上是自由的，僅於經由法律之規定且基於其職務地位之本質，始得限制之。公務員基於其職務之本質負有節制義務，特別是其政治活動不得導致其執行職務之公正性受到懷疑。</w:t>
      </w:r>
      <w:r>
        <w:rPr>
          <w:rStyle w:val="a6"/>
          <w:rFonts w:ascii="新細明體" w:hAnsi="新細明體"/>
          <w:color w:val="000000"/>
          <w:lang w:val="de-DE"/>
        </w:rPr>
        <w:footnoteReference w:id="70"/>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color w:val="000000"/>
          <w:lang w:val="de-DE"/>
        </w:rPr>
        <w:t>1918</w:t>
      </w:r>
      <w:r>
        <w:rPr>
          <w:rFonts w:ascii="新細明體" w:hAnsi="新細明體" w:hint="eastAsia"/>
          <w:color w:val="000000"/>
          <w:lang w:val="de-DE"/>
        </w:rPr>
        <w:t>年之</w:t>
      </w:r>
      <w:r>
        <w:rPr>
          <w:rFonts w:ascii="新細明體" w:hAnsi="新細明體"/>
          <w:color w:val="000000"/>
          <w:lang w:val="de-DE"/>
        </w:rPr>
        <w:t>11</w:t>
      </w:r>
      <w:r>
        <w:rPr>
          <w:rFonts w:ascii="新細明體" w:hAnsi="新細明體" w:hint="eastAsia"/>
          <w:color w:val="000000"/>
          <w:lang w:val="de-DE"/>
        </w:rPr>
        <w:t>月革命以後，德國進入威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共和。針對公務員政治參與之問題，威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憲法於第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項規定：「所有公務員之政治信念自由與結社自由受保障。」另外於第</w:t>
      </w:r>
      <w:r>
        <w:rPr>
          <w:rFonts w:ascii="新細明體" w:hAnsi="新細明體"/>
          <w:color w:val="000000"/>
          <w:lang w:val="de-DE"/>
        </w:rPr>
        <w:t>118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項關於言論自由的規定中，於第</w:t>
      </w:r>
      <w:r>
        <w:rPr>
          <w:rFonts w:ascii="新細明體" w:hAnsi="新細明體"/>
          <w:color w:val="000000"/>
          <w:lang w:val="de-DE"/>
        </w:rPr>
        <w:t>2</w:t>
      </w:r>
      <w:r>
        <w:rPr>
          <w:rFonts w:ascii="新細明體" w:hAnsi="新細明體" w:hint="eastAsia"/>
          <w:color w:val="000000"/>
          <w:lang w:val="de-DE"/>
        </w:rPr>
        <w:t>句規定：「不得因勞動或任用關係而阻礙言論自由之行使，且任何人</w:t>
      </w:r>
      <w:r>
        <w:rPr>
          <w:rFonts w:ascii="新細明體" w:hAnsi="新細明體" w:hint="eastAsia"/>
          <w:color w:val="000000"/>
          <w:lang w:val="de-DE"/>
        </w:rPr>
        <w:t>不得因行使其言論自由而受到歧視。」由於公務員關係屬於這裡所稱之「任用關係」，因此威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憲法第</w:t>
      </w:r>
      <w:r>
        <w:rPr>
          <w:rFonts w:ascii="新細明體" w:hAnsi="新細明體"/>
          <w:color w:val="000000"/>
          <w:lang w:val="de-DE"/>
        </w:rPr>
        <w:t>118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句之規定乃適用於公務員。由此二規定可以看出，制憲者有意告別在君主時期的作法，而賦予公務員與其他國民一樣有支持任何政治觀之自由，包括以合法的方式重新建構合憲秩序之自由。</w:t>
      </w:r>
      <w:r>
        <w:rPr>
          <w:rStyle w:val="a6"/>
          <w:rFonts w:ascii="新細明體" w:hAnsi="新細明體"/>
          <w:color w:val="000000"/>
          <w:lang w:val="de-DE"/>
        </w:rPr>
        <w:footnoteReference w:id="71"/>
      </w:r>
      <w:r>
        <w:rPr>
          <w:rFonts w:ascii="新細明體" w:hAnsi="新細明體" w:hint="eastAsia"/>
          <w:color w:val="000000"/>
          <w:lang w:val="de-DE"/>
        </w:rPr>
        <w:t>此一改變有其政治背景：</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社會民主黨由以往的國家敵人變成執政黨，自然有意調整公務員與政治之關係。早在</w:t>
      </w:r>
      <w:r>
        <w:rPr>
          <w:rFonts w:ascii="新細明體" w:hAnsi="新細明體"/>
          <w:color w:val="000000"/>
          <w:lang w:val="de-DE"/>
        </w:rPr>
        <w:t>11</w:t>
      </w:r>
      <w:r>
        <w:rPr>
          <w:rFonts w:ascii="新細明體" w:hAnsi="新細明體" w:hint="eastAsia"/>
          <w:color w:val="000000"/>
          <w:lang w:val="de-DE"/>
        </w:rPr>
        <w:t>月革命初期，人民代表會議</w:t>
      </w:r>
      <w:r>
        <w:rPr>
          <w:rFonts w:ascii="新細明體" w:hAnsi="新細明體"/>
          <w:color w:val="000000"/>
          <w:lang w:val="de-DE"/>
        </w:rPr>
        <w:t>(Der Rat der Volksbeauftragten)</w:t>
      </w:r>
      <w:r>
        <w:rPr>
          <w:rFonts w:ascii="新細明體" w:hAnsi="新細明體" w:hint="eastAsia"/>
          <w:color w:val="000000"/>
          <w:lang w:val="de-DE"/>
        </w:rPr>
        <w:t>於</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12</w:t>
      </w:r>
      <w:r>
        <w:rPr>
          <w:rFonts w:ascii="新細明體" w:hAnsi="新細明體" w:hint="eastAsia"/>
          <w:color w:val="000000"/>
          <w:lang w:val="de-DE"/>
        </w:rPr>
        <w:t>日對「德意志人民」之宣言中</w:t>
      </w:r>
      <w:r>
        <w:rPr>
          <w:rFonts w:ascii="新細明體" w:hAnsi="新細明體" w:hint="eastAsia"/>
          <w:color w:val="000000"/>
          <w:lang w:val="de-DE"/>
        </w:rPr>
        <w:t>便已宣稱，任何以文字、圖畫之言論表達都毫無限制地自由，且結社與集會自由不再受有限制，「即使公務員與國家勞工也不例外」。在制憲之國民大會</w:t>
      </w:r>
      <w:r>
        <w:rPr>
          <w:rFonts w:ascii="新細明體" w:hAnsi="新細明體"/>
          <w:color w:val="000000"/>
          <w:lang w:val="de-DE"/>
        </w:rPr>
        <w:t>(Nationalversammung)</w:t>
      </w:r>
      <w:r>
        <w:rPr>
          <w:rFonts w:ascii="新細明體" w:hAnsi="新細明體" w:hint="eastAsia"/>
          <w:color w:val="000000"/>
          <w:lang w:val="de-DE"/>
        </w:rPr>
        <w:t>選舉之前，當時的普魯士政府於</w:t>
      </w:r>
      <w:r>
        <w:rPr>
          <w:rFonts w:ascii="新細明體" w:hAnsi="新細明體"/>
          <w:color w:val="000000"/>
          <w:lang w:val="de-DE"/>
        </w:rPr>
        <w:t>1919</w:t>
      </w:r>
      <w:r>
        <w:rPr>
          <w:rFonts w:ascii="新細明體" w:hAnsi="新細明體" w:hint="eastAsia"/>
          <w:color w:val="000000"/>
          <w:lang w:val="de-DE"/>
        </w:rPr>
        <w:t>年</w:t>
      </w:r>
      <w:r>
        <w:rPr>
          <w:rFonts w:ascii="新細明體" w:hAnsi="新細明體"/>
          <w:color w:val="000000"/>
          <w:lang w:val="de-DE"/>
        </w:rPr>
        <w:t>1</w:t>
      </w:r>
      <w:r>
        <w:rPr>
          <w:rFonts w:ascii="新細明體" w:hAnsi="新細明體" w:hint="eastAsia"/>
          <w:color w:val="000000"/>
          <w:lang w:val="de-DE"/>
        </w:rPr>
        <w:t>月</w:t>
      </w:r>
      <w:r>
        <w:rPr>
          <w:rFonts w:ascii="新細明體" w:hAnsi="新細明體"/>
          <w:color w:val="000000"/>
          <w:lang w:val="de-DE"/>
        </w:rPr>
        <w:t>9</w:t>
      </w:r>
      <w:r>
        <w:rPr>
          <w:rFonts w:ascii="新細明體" w:hAnsi="新細明體" w:hint="eastAsia"/>
          <w:color w:val="000000"/>
          <w:lang w:val="de-DE"/>
        </w:rPr>
        <w:t>日再次以公告確認，公務員不僅有自由投票之權，且其職務外任何符合其信念之政治活動都是自由的。</w:t>
      </w:r>
      <w:r>
        <w:rPr>
          <w:rStyle w:val="a6"/>
          <w:rFonts w:ascii="新細明體" w:hAnsi="新細明體"/>
          <w:color w:val="000000"/>
          <w:lang w:val="de-DE"/>
        </w:rPr>
        <w:footnoteReference w:id="72"/>
      </w:r>
      <w:r>
        <w:rPr>
          <w:rFonts w:ascii="新細明體" w:hAnsi="新細明體" w:hint="eastAsia"/>
          <w:color w:val="000000"/>
          <w:lang w:val="de-DE"/>
        </w:rPr>
        <w:t>不過由於公務員對於社會民主黨有所疑慮，普魯士政府擔心公務員會濫用職務以影響選舉，因此於公告中也強調：「公務員從事政治活動時應遵守基於其職務執行之公正性所應有之界限。政治活動與職務活動之結合理所當然為違法</w:t>
      </w:r>
      <w:r>
        <w:rPr>
          <w:rFonts w:ascii="新細明體" w:hAnsi="新細明體" w:hint="eastAsia"/>
          <w:color w:val="000000"/>
          <w:lang w:val="de-DE"/>
        </w:rPr>
        <w:t>。特別是主管不得濫用其地位而影響下屬之政治信念與活動。與維護公務員投票自由一樣理所當然的是，公務員不得利用其所掌握之職務上或社會上之力量以影響選民之投票行為。</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儘管社會民主黨以其作為表達對公務員政治自由之尊重，但仍然難以消除公務員對於這個以往之「國家敵人」的疑慮。特別是由於社會民主黨於</w:t>
      </w:r>
      <w:r>
        <w:rPr>
          <w:rFonts w:ascii="新細明體" w:hAnsi="新細明體"/>
          <w:color w:val="000000"/>
          <w:lang w:val="de-DE"/>
        </w:rPr>
        <w:t>1891</w:t>
      </w:r>
      <w:r>
        <w:rPr>
          <w:rFonts w:ascii="新細明體" w:hAnsi="新細明體" w:hint="eastAsia"/>
          <w:color w:val="000000"/>
          <w:lang w:val="de-DE"/>
        </w:rPr>
        <w:t>年之「埃福特綱領」</w:t>
      </w:r>
      <w:r>
        <w:rPr>
          <w:rFonts w:ascii="新細明體" w:hAnsi="新細明體"/>
          <w:color w:val="000000"/>
          <w:lang w:val="de-DE"/>
        </w:rPr>
        <w:t>(Erfurter Programm)</w:t>
      </w:r>
      <w:r>
        <w:rPr>
          <w:rFonts w:ascii="新細明體" w:hAnsi="新細明體" w:hint="eastAsia"/>
          <w:color w:val="000000"/>
          <w:lang w:val="de-DE"/>
        </w:rPr>
        <w:t>中明白主張「政府機關由人民選舉」，在此所指的並不只是政府的國會化，還包括「從</w:t>
      </w:r>
      <w:proofErr w:type="gramStart"/>
      <w:r>
        <w:rPr>
          <w:rFonts w:ascii="新細明體" w:hAnsi="新細明體" w:hint="eastAsia"/>
          <w:color w:val="000000"/>
          <w:lang w:val="de-DE"/>
        </w:rPr>
        <w:t>最</w:t>
      </w:r>
      <w:proofErr w:type="gramEnd"/>
      <w:r>
        <w:rPr>
          <w:rFonts w:ascii="新細明體" w:hAnsi="新細明體" w:hint="eastAsia"/>
          <w:color w:val="000000"/>
          <w:lang w:val="de-DE"/>
        </w:rPr>
        <w:t>高層到</w:t>
      </w:r>
      <w:proofErr w:type="gramStart"/>
      <w:r>
        <w:rPr>
          <w:rFonts w:ascii="新細明體" w:hAnsi="新細明體" w:hint="eastAsia"/>
          <w:color w:val="000000"/>
          <w:lang w:val="de-DE"/>
        </w:rPr>
        <w:t>最</w:t>
      </w:r>
      <w:proofErr w:type="gramEnd"/>
      <w:r>
        <w:rPr>
          <w:rFonts w:ascii="新細明體" w:hAnsi="新細明體" w:hint="eastAsia"/>
          <w:color w:val="000000"/>
          <w:lang w:val="de-DE"/>
        </w:rPr>
        <w:t>底層」所有公務員由人民直接選舉。因此公務員擔心在社會民主黨上台後會取消對於公</w:t>
      </w:r>
      <w:r>
        <w:rPr>
          <w:rFonts w:ascii="新細明體" w:hAnsi="新細明體" w:hint="eastAsia"/>
          <w:color w:val="000000"/>
          <w:lang w:val="de-DE"/>
        </w:rPr>
        <w:t>務員之終身保障。公務員團體聯盟在</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14</w:t>
      </w:r>
      <w:r>
        <w:rPr>
          <w:rFonts w:ascii="新細明體" w:hAnsi="新細明體" w:hint="eastAsia"/>
          <w:color w:val="000000"/>
          <w:lang w:val="de-DE"/>
        </w:rPr>
        <w:t>日所作的一個公開決議中即宣稱，公務員願意為革命政府在公益職務上效力，但要求革命政府承諾保障公務員依法律及契約所已取得之權利，以作為對待給付。簡言之，由於國體的變革及社會民主黨上台之</w:t>
      </w:r>
      <w:proofErr w:type="gramStart"/>
      <w:r>
        <w:rPr>
          <w:rFonts w:ascii="新細明體" w:hAnsi="新細明體" w:hint="eastAsia"/>
          <w:color w:val="000000"/>
          <w:lang w:val="de-DE"/>
        </w:rPr>
        <w:t>衝</w:t>
      </w:r>
      <w:proofErr w:type="gramEnd"/>
      <w:r>
        <w:rPr>
          <w:rFonts w:ascii="新細明體" w:hAnsi="新細明體" w:hint="eastAsia"/>
          <w:color w:val="000000"/>
          <w:lang w:val="de-DE"/>
        </w:rPr>
        <w:t>激，使得威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憲法制定時關於是否維持職業公務員制度及公務員權利之保障問題成為重要課題。德國公務員聯盟</w:t>
      </w:r>
      <w:r>
        <w:rPr>
          <w:rFonts w:ascii="新細明體" w:hAnsi="新細明體"/>
          <w:color w:val="000000"/>
          <w:lang w:val="de-DE"/>
        </w:rPr>
        <w:t>(Der Deutsche Beamtenbund)</w:t>
      </w:r>
      <w:r>
        <w:rPr>
          <w:rFonts w:ascii="新細明體" w:hAnsi="新細明體" w:hint="eastAsia"/>
          <w:color w:val="000000"/>
          <w:lang w:val="de-DE"/>
        </w:rPr>
        <w:t>於制憲過程中亦從事遊說。在</w:t>
      </w:r>
      <w:r>
        <w:rPr>
          <w:rFonts w:ascii="新細明體" w:hAnsi="新細明體"/>
          <w:color w:val="000000"/>
          <w:lang w:val="de-DE"/>
        </w:rPr>
        <w:t>1919</w:t>
      </w:r>
      <w:r>
        <w:rPr>
          <w:rFonts w:ascii="新細明體" w:hAnsi="新細明體" w:hint="eastAsia"/>
          <w:color w:val="000000"/>
          <w:lang w:val="de-DE"/>
        </w:rPr>
        <w:t>年</w:t>
      </w:r>
      <w:r>
        <w:rPr>
          <w:rFonts w:ascii="新細明體" w:hAnsi="新細明體"/>
          <w:color w:val="000000"/>
          <w:lang w:val="de-DE"/>
        </w:rPr>
        <w:t>3</w:t>
      </w:r>
      <w:r>
        <w:rPr>
          <w:rFonts w:ascii="新細明體" w:hAnsi="新細明體" w:hint="eastAsia"/>
          <w:color w:val="000000"/>
          <w:lang w:val="de-DE"/>
        </w:rPr>
        <w:t>月</w:t>
      </w:r>
      <w:r>
        <w:rPr>
          <w:rFonts w:ascii="新細明體" w:hAnsi="新細明體"/>
          <w:color w:val="000000"/>
          <w:lang w:val="de-DE"/>
        </w:rPr>
        <w:t>18</w:t>
      </w:r>
      <w:r>
        <w:rPr>
          <w:rFonts w:ascii="新細明體" w:hAnsi="新細明體" w:hint="eastAsia"/>
          <w:color w:val="000000"/>
          <w:lang w:val="de-DE"/>
        </w:rPr>
        <w:t>日在威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lastRenderedPageBreak/>
        <w:t>舉行了德國公務員聯盟之代表與國民大會憲法委員會之成員間之會談，其間德國公務員</w:t>
      </w:r>
      <w:r>
        <w:rPr>
          <w:rFonts w:ascii="新細明體" w:hAnsi="新細明體" w:hint="eastAsia"/>
          <w:color w:val="000000"/>
          <w:lang w:val="de-DE"/>
        </w:rPr>
        <w:t>聯盟之發言人強調，維持職業公務員制度，並且在憲法上將公務員之基本權利確定下來，並不單單是為了維護直接關係人之利益，也是對於在民主國家中行政活動的執行所迫切需要。</w:t>
      </w:r>
      <w:r>
        <w:rPr>
          <w:rStyle w:val="a6"/>
          <w:rFonts w:ascii="新細明體" w:hAnsi="新細明體"/>
          <w:color w:val="000000"/>
          <w:lang w:val="de-DE"/>
        </w:rPr>
        <w:footnoteReference w:id="73"/>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由於威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項對公務員政治信念自由及結社自由之保障，在威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初期普遍接受公務員在職務外應享有與其他國民相同之政治活動自由，但此一法律意見很快地就發生轉變。在帝國時期於</w:t>
      </w:r>
      <w:r>
        <w:rPr>
          <w:rFonts w:ascii="新細明體" w:hAnsi="新細明體"/>
          <w:color w:val="000000"/>
          <w:lang w:val="de-DE"/>
        </w:rPr>
        <w:t>1873</w:t>
      </w:r>
      <w:r>
        <w:rPr>
          <w:rFonts w:ascii="新細明體" w:hAnsi="新細明體" w:hint="eastAsia"/>
          <w:color w:val="000000"/>
          <w:lang w:val="de-DE"/>
        </w:rPr>
        <w:t>年</w:t>
      </w:r>
      <w:r>
        <w:rPr>
          <w:rFonts w:ascii="新細明體" w:hAnsi="新細明體"/>
          <w:color w:val="000000"/>
          <w:lang w:val="de-DE"/>
        </w:rPr>
        <w:t>3</w:t>
      </w:r>
      <w:r>
        <w:rPr>
          <w:rFonts w:ascii="新細明體" w:hAnsi="新細明體" w:hint="eastAsia"/>
          <w:color w:val="000000"/>
          <w:lang w:val="de-DE"/>
        </w:rPr>
        <w:t>月</w:t>
      </w:r>
      <w:r>
        <w:rPr>
          <w:rFonts w:ascii="新細明體" w:hAnsi="新細明體"/>
          <w:color w:val="000000"/>
          <w:lang w:val="de-DE"/>
        </w:rPr>
        <w:t>31</w:t>
      </w:r>
      <w:r>
        <w:rPr>
          <w:rFonts w:ascii="新細明體" w:hAnsi="新細明體" w:hint="eastAsia"/>
          <w:color w:val="000000"/>
          <w:lang w:val="de-DE"/>
        </w:rPr>
        <w:t>日所制定之帝國公務員法第</w:t>
      </w:r>
      <w:r>
        <w:rPr>
          <w:rFonts w:ascii="新細明體" w:hAnsi="新細明體"/>
          <w:color w:val="000000"/>
          <w:lang w:val="de-DE"/>
        </w:rPr>
        <w:t>10</w:t>
      </w:r>
      <w:r>
        <w:rPr>
          <w:rFonts w:ascii="新細明體" w:hAnsi="新細明體" w:hint="eastAsia"/>
          <w:color w:val="000000"/>
          <w:lang w:val="de-DE"/>
        </w:rPr>
        <w:t>條規定：「任何帝國公務員皆有義務依其良心符合憲法與法律地執行其所受託付之職務，並且以其職務內、外之行為適切地表現出其</w:t>
      </w:r>
      <w:r>
        <w:rPr>
          <w:rFonts w:ascii="新細明體" w:hAnsi="新細明體" w:hint="eastAsia"/>
          <w:color w:val="000000"/>
          <w:lang w:val="de-DE"/>
        </w:rPr>
        <w:t>職業上所應有之尊嚴。」此一規定於威瑪時期仍繼續適用，普魯士高等行政法院及帝國懲戒法院並且依據威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係為國民全體，而非為黨派服務」而一致認為，公務員原則上與革命前一樣，於行使其基本權，特別是言論自由及職務外之政治活動時，除應遵守適用於所有人之法律外，也要服從懲戒法上之特別限制。與此一意見轉變有關之</w:t>
      </w:r>
      <w:proofErr w:type="gramStart"/>
      <w:r>
        <w:rPr>
          <w:rFonts w:ascii="新細明體" w:hAnsi="新細明體" w:hint="eastAsia"/>
          <w:color w:val="000000"/>
          <w:lang w:val="de-DE"/>
        </w:rPr>
        <w:t>一</w:t>
      </w:r>
      <w:proofErr w:type="gramEnd"/>
      <w:r>
        <w:rPr>
          <w:rFonts w:ascii="新細明體" w:hAnsi="新細明體" w:hint="eastAsia"/>
          <w:color w:val="000000"/>
          <w:lang w:val="de-DE"/>
        </w:rPr>
        <w:t>重要因素在於當時很多公務員對於威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共和持敵對的態度，因此使得公務員之憲法忠誠義務及從事政治活動時之節制義務顯得有所必要。帝國政府因此於</w:t>
      </w:r>
      <w:r>
        <w:rPr>
          <w:rFonts w:ascii="新細明體" w:hAnsi="新細明體"/>
          <w:color w:val="000000"/>
          <w:lang w:val="de-DE"/>
        </w:rPr>
        <w:t>1922</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31</w:t>
      </w:r>
      <w:r>
        <w:rPr>
          <w:rFonts w:ascii="新細明體" w:hAnsi="新細明體" w:hint="eastAsia"/>
          <w:color w:val="000000"/>
          <w:lang w:val="de-DE"/>
        </w:rPr>
        <w:t>日制定「為保護共和國目的之公務員義</w:t>
      </w:r>
      <w:r>
        <w:rPr>
          <w:rFonts w:ascii="新細明體" w:hAnsi="新細明體" w:hint="eastAsia"/>
          <w:color w:val="000000"/>
          <w:lang w:val="de-DE"/>
        </w:rPr>
        <w:t>務法」</w:t>
      </w:r>
      <w:r>
        <w:rPr>
          <w:rFonts w:ascii="新細明體" w:hAnsi="新細明體" w:hint="eastAsia"/>
          <w:color w:val="000000"/>
          <w:lang w:val="de-DE"/>
        </w:rPr>
        <w:t>(</w:t>
      </w:r>
      <w:r>
        <w:rPr>
          <w:rFonts w:ascii="新細明體" w:hAnsi="新細明體"/>
          <w:color w:val="000000"/>
          <w:lang w:val="de-DE"/>
        </w:rPr>
        <w:t>Gesetz über die Pflichten der Beamten zum Schutz der Republik</w:t>
      </w:r>
      <w:r>
        <w:rPr>
          <w:rFonts w:ascii="新細明體" w:hAnsi="新細明體" w:hint="eastAsia"/>
          <w:color w:val="000000"/>
          <w:lang w:val="de-DE"/>
        </w:rPr>
        <w:t>)</w:t>
      </w:r>
      <w:r>
        <w:rPr>
          <w:rFonts w:ascii="新細明體" w:hAnsi="新細明體" w:hint="eastAsia"/>
          <w:color w:val="000000"/>
          <w:lang w:val="de-DE"/>
        </w:rPr>
        <w:t>，之後並</w:t>
      </w:r>
      <w:proofErr w:type="gramStart"/>
      <w:r>
        <w:rPr>
          <w:rFonts w:ascii="新細明體" w:hAnsi="新細明體" w:hint="eastAsia"/>
          <w:color w:val="000000"/>
          <w:lang w:val="de-DE"/>
        </w:rPr>
        <w:t>將之補入前述</w:t>
      </w:r>
      <w:proofErr w:type="gramEnd"/>
      <w:r>
        <w:rPr>
          <w:rFonts w:ascii="新細明體" w:hAnsi="新細明體" w:hint="eastAsia"/>
          <w:color w:val="000000"/>
          <w:lang w:val="de-DE"/>
        </w:rPr>
        <w:t>之帝國公務員法，成為第</w:t>
      </w:r>
      <w:r>
        <w:rPr>
          <w:rFonts w:ascii="新細明體" w:hAnsi="新細明體"/>
          <w:color w:val="000000"/>
          <w:lang w:val="de-DE"/>
        </w:rPr>
        <w:t>10a</w:t>
      </w:r>
      <w:r>
        <w:rPr>
          <w:rFonts w:ascii="新細明體" w:hAnsi="新細明體" w:hint="eastAsia"/>
          <w:color w:val="000000"/>
          <w:lang w:val="de-DE"/>
        </w:rPr>
        <w:t>條。依其規定，帝國公務員負有義務以其整體行為支持憲法所規定之共和的國家權力，並且其不得從事任何與其帝國公務員之地位不相符合之行為，特別是濫用其職務或其職務上主管之設施以尋求改變憲法所規定之共和的國家形式。</w:t>
      </w:r>
      <w:r>
        <w:rPr>
          <w:rStyle w:val="a6"/>
          <w:rFonts w:ascii="新細明體" w:hAnsi="新細明體"/>
          <w:color w:val="000000"/>
          <w:lang w:val="de-DE"/>
        </w:rPr>
        <w:footnoteReference w:id="74"/>
      </w:r>
      <w:r>
        <w:rPr>
          <w:rFonts w:ascii="新細明體" w:hAnsi="新細明體" w:hint="eastAsia"/>
          <w:color w:val="000000"/>
          <w:lang w:val="de-DE"/>
        </w:rPr>
        <w:t>在帝國公務員法第</w:t>
      </w:r>
      <w:r>
        <w:rPr>
          <w:rFonts w:ascii="新細明體" w:hAnsi="新細明體"/>
          <w:color w:val="000000"/>
          <w:lang w:val="de-DE"/>
        </w:rPr>
        <w:t>10a</w:t>
      </w:r>
      <w:r>
        <w:rPr>
          <w:rFonts w:ascii="新細明體" w:hAnsi="新細明體" w:hint="eastAsia"/>
          <w:color w:val="000000"/>
          <w:lang w:val="de-DE"/>
        </w:rPr>
        <w:t>條制定之後，對於公務員職務外之政治活動是否應受到特別之限制，雖仍存有爭議，但學說與實務上壓倒性之多數見解</w:t>
      </w:r>
      <w:r>
        <w:rPr>
          <w:rFonts w:ascii="新細明體" w:hAnsi="新細明體" w:hint="eastAsia"/>
          <w:color w:val="000000"/>
          <w:lang w:val="de-DE"/>
        </w:rPr>
        <w:t>還是認為，基於公務員公法上任職關係之「本質」及公務員「為國民全體服務」之地位，可以導出公務員從事政治活動時之特別義務。懲戒法院也一直堅持其一貫之見解而認為，公務員在行使其政治權利時必須遵守依其為國民全體服務之地位及職務上之尊嚴所要求之慎重與節制義務。</w:t>
      </w:r>
      <w:r>
        <w:rPr>
          <w:rStyle w:val="a6"/>
          <w:rFonts w:ascii="新細明體" w:hAnsi="新細明體"/>
          <w:color w:val="000000"/>
          <w:lang w:val="de-DE"/>
        </w:rPr>
        <w:footnoteReference w:id="75"/>
      </w:r>
    </w:p>
    <w:p w:rsidR="00000000" w:rsidRDefault="00917CC1">
      <w:pPr>
        <w:jc w:val="both"/>
        <w:rPr>
          <w:rFonts w:ascii="新細明體" w:hAnsi="新細明體"/>
          <w:color w:val="000000"/>
        </w:rPr>
      </w:pPr>
      <w:r>
        <w:rPr>
          <w:rFonts w:ascii="新細明體" w:hAnsi="新細明體" w:hint="eastAsia"/>
          <w:color w:val="000000"/>
          <w:lang w:val="de-DE"/>
        </w:rPr>
        <w:t xml:space="preserve">    </w:t>
      </w:r>
      <w:r>
        <w:rPr>
          <w:rFonts w:ascii="新細明體" w:hAnsi="新細明體" w:hint="eastAsia"/>
          <w:color w:val="000000"/>
          <w:lang w:val="de-DE"/>
        </w:rPr>
        <w:t>由以上對於公務員政治活動之歷史脈絡的粗略觀察，可以看出德國公務員制度之傳統對於公務員政治活動之立場乃是，一方面保障其政治活動自由，但另一方面也基於其公務員身分而賦與相對於一般國民之特別的憲法忠誠義務及從事政治活動時之慎重與節制義務。關於基本法第</w:t>
      </w:r>
      <w:r>
        <w:rPr>
          <w:rFonts w:ascii="新細明體" w:hAnsi="新細明體"/>
          <w:color w:val="000000"/>
          <w:lang w:val="de-DE"/>
        </w:rPr>
        <w:t>33</w:t>
      </w:r>
      <w:r>
        <w:rPr>
          <w:rFonts w:ascii="新細明體" w:hAnsi="新細明體" w:hint="eastAsia"/>
          <w:color w:val="000000"/>
          <w:lang w:val="de-DE"/>
        </w:rPr>
        <w:t>條</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所規定之「職業公務員制度之傳統原則」到底包括哪些，德國聯邦憲法法院之一貫立場雖是認為並非所有傳統的公務員法上的規定都包括在內，而必須是「結構性原則之核心領域，且該等原則必須是為一般或絕大多數所接受之歷經長久時間形成之原則，最起碼必須是威</w:t>
      </w:r>
      <w:proofErr w:type="gramStart"/>
      <w:r>
        <w:rPr>
          <w:rFonts w:ascii="新細明體" w:hAnsi="新細明體" w:hint="eastAsia"/>
          <w:color w:val="000000"/>
          <w:lang w:val="de-DE"/>
        </w:rPr>
        <w:t>瑪</w:t>
      </w:r>
      <w:proofErr w:type="gramEnd"/>
      <w:r>
        <w:rPr>
          <w:rFonts w:ascii="新細明體" w:hAnsi="新細明體" w:hint="eastAsia"/>
          <w:color w:val="000000"/>
          <w:lang w:val="de-DE"/>
        </w:rPr>
        <w:t>憲法所承認為具有拘束性且加以保障之原則」</w:t>
      </w:r>
      <w:r>
        <w:rPr>
          <w:rStyle w:val="a6"/>
          <w:rFonts w:ascii="新細明體" w:hAnsi="新細明體"/>
          <w:color w:val="000000"/>
          <w:lang w:val="de-DE"/>
        </w:rPr>
        <w:footnoteReference w:id="76"/>
      </w:r>
      <w:r>
        <w:rPr>
          <w:rFonts w:ascii="新細明體" w:hAnsi="新細明體" w:hint="eastAsia"/>
          <w:color w:val="000000"/>
          <w:lang w:val="de-DE"/>
        </w:rPr>
        <w:t>，但聯邦憲法</w:t>
      </w:r>
      <w:r>
        <w:rPr>
          <w:rFonts w:ascii="新細明體" w:hAnsi="新細明體" w:hint="eastAsia"/>
          <w:color w:val="000000"/>
          <w:lang w:val="de-DE"/>
        </w:rPr>
        <w:lastRenderedPageBreak/>
        <w:t>法院明白承認公務員對於國家與憲法之政治忠誠義務屬於基本法第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項之「職業公務員制度之傳統原則」</w:t>
      </w:r>
      <w:r>
        <w:rPr>
          <w:rStyle w:val="a6"/>
          <w:rFonts w:ascii="新細明體" w:hAnsi="新細明體"/>
          <w:color w:val="000000"/>
          <w:lang w:val="de-DE"/>
        </w:rPr>
        <w:footnoteReference w:id="77"/>
      </w:r>
      <w:r>
        <w:rPr>
          <w:rFonts w:ascii="新細明體" w:hAnsi="新細明體" w:hint="eastAsia"/>
          <w:color w:val="000000"/>
          <w:lang w:val="de-DE"/>
        </w:rPr>
        <w:t>，並且認為，公務員之政治言論僅於其不違反基本法第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項所要求之政治忠誠義務時，在</w:t>
      </w:r>
      <w:proofErr w:type="gramStart"/>
      <w:r>
        <w:rPr>
          <w:rFonts w:ascii="新細明體" w:hAnsi="新細明體" w:hint="eastAsia"/>
          <w:color w:val="000000"/>
          <w:lang w:val="de-DE"/>
        </w:rPr>
        <w:t>憲法上始為</w:t>
      </w:r>
      <w:proofErr w:type="gramEnd"/>
      <w:r>
        <w:rPr>
          <w:rFonts w:ascii="新細明體" w:hAnsi="新細明體" w:hint="eastAsia"/>
          <w:color w:val="000000"/>
          <w:lang w:val="de-DE"/>
        </w:rPr>
        <w:t>基本法第</w:t>
      </w:r>
      <w:r>
        <w:rPr>
          <w:rFonts w:ascii="新細明體" w:hAnsi="新細明體"/>
          <w:color w:val="000000"/>
          <w:lang w:val="de-DE"/>
        </w:rPr>
        <w:t>5</w:t>
      </w:r>
      <w:r>
        <w:rPr>
          <w:rFonts w:ascii="新細明體" w:hAnsi="新細明體" w:hint="eastAsia"/>
          <w:color w:val="000000"/>
          <w:lang w:val="de-DE"/>
        </w:rPr>
        <w:t>條所涵</w:t>
      </w:r>
      <w:r>
        <w:rPr>
          <w:rFonts w:ascii="新細明體" w:hAnsi="新細明體" w:hint="eastAsia"/>
          <w:color w:val="000000"/>
          <w:lang w:val="de-DE"/>
        </w:rPr>
        <w:t>蓋。「在這個意義上，基本法第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項所涵蓋之公務員法與懲戒法上之規定為基本法第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項所稱之一般法律」。</w:t>
      </w:r>
      <w:r>
        <w:rPr>
          <w:rStyle w:val="a6"/>
          <w:rFonts w:ascii="新細明體" w:hAnsi="新細明體"/>
          <w:color w:val="000000"/>
          <w:lang w:val="de-DE"/>
        </w:rPr>
        <w:footnoteReference w:id="78"/>
      </w:r>
      <w:r>
        <w:rPr>
          <w:rFonts w:ascii="新細明體" w:hAnsi="新細明體" w:hint="eastAsia"/>
          <w:color w:val="000000"/>
          <w:lang w:val="de-DE"/>
        </w:rPr>
        <w:t>公務員從事政治活動時之慎重及節制義務雖未被明白承認為「職業公務員制度之傳統原則」</w:t>
      </w:r>
      <w:r>
        <w:rPr>
          <w:rStyle w:val="a6"/>
          <w:rFonts w:ascii="新細明體" w:hAnsi="新細明體"/>
          <w:color w:val="000000"/>
          <w:lang w:val="de-DE"/>
        </w:rPr>
        <w:footnoteReference w:id="79"/>
      </w:r>
      <w:r>
        <w:rPr>
          <w:rFonts w:ascii="新細明體" w:hAnsi="新細明體" w:hint="eastAsia"/>
          <w:color w:val="000000"/>
          <w:lang w:val="de-DE"/>
        </w:rPr>
        <w:t>，但聯邦行政法院於其判決中引用聯邦憲法法院上開判決，惟將文句修改為「公務員之政治言論僅於其不違反基本法第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項所要求之公務員基於其任職與忠誠關係所要求之特別義務時，始為基本法第</w:t>
      </w:r>
      <w:r>
        <w:rPr>
          <w:rFonts w:ascii="新細明體" w:hAnsi="新細明體"/>
          <w:color w:val="000000"/>
          <w:lang w:val="de-DE"/>
        </w:rPr>
        <w:t>5</w:t>
      </w:r>
      <w:r>
        <w:rPr>
          <w:rFonts w:ascii="新細明體" w:hAnsi="新細明體" w:hint="eastAsia"/>
          <w:color w:val="000000"/>
          <w:lang w:val="de-DE"/>
        </w:rPr>
        <w:t>條所涵蓋」。由文句的轉折已可清楚地看出由基本法第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項所導出之對公務員言論自由之限制，並不只限於政治忠誠義務。聯邦行政法院強調，</w:t>
      </w:r>
      <w:r>
        <w:rPr>
          <w:rFonts w:ascii="新細明體" w:hAnsi="新細明體" w:hint="eastAsia"/>
          <w:color w:val="000000"/>
          <w:lang w:val="de-DE"/>
        </w:rPr>
        <w:t>要維護一個能發揮功能之公務員制度，職務執行之政治中立性及公眾對此一中立性之信賴不得受到危害或甚至只是被懷疑。因此聯邦行政法院認為，公務員於政治活動時所應遵守之慎重與節制義務</w:t>
      </w:r>
      <w:r>
        <w:rPr>
          <w:rStyle w:val="a6"/>
          <w:rFonts w:ascii="新細明體" w:hAnsi="新細明體"/>
          <w:color w:val="000000"/>
          <w:lang w:val="de-DE"/>
        </w:rPr>
        <w:footnoteReference w:id="80"/>
      </w:r>
      <w:r>
        <w:rPr>
          <w:rFonts w:ascii="新細明體" w:hAnsi="新細明體" w:hint="eastAsia"/>
          <w:color w:val="000000"/>
          <w:lang w:val="de-DE"/>
        </w:rPr>
        <w:t>，乃是基本法第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項之「具體化」</w:t>
      </w:r>
      <w:r>
        <w:rPr>
          <w:rStyle w:val="a6"/>
          <w:rFonts w:ascii="新細明體" w:hAnsi="新細明體"/>
          <w:color w:val="000000"/>
          <w:lang w:val="de-DE"/>
        </w:rPr>
        <w:footnoteReference w:id="81"/>
      </w:r>
      <w:r>
        <w:rPr>
          <w:rFonts w:ascii="新細明體" w:hAnsi="新細明體" w:hint="eastAsia"/>
          <w:color w:val="000000"/>
          <w:lang w:val="de-DE"/>
        </w:rPr>
        <w:t>，構成對公務員言論自由之合法限制。</w:t>
      </w:r>
      <w:r>
        <w:rPr>
          <w:rStyle w:val="a6"/>
          <w:rFonts w:ascii="新細明體" w:hAnsi="新細明體"/>
          <w:color w:val="000000"/>
          <w:lang w:val="de-DE"/>
        </w:rPr>
        <w:footnoteReference w:id="82"/>
      </w:r>
    </w:p>
    <w:p w:rsidR="00000000" w:rsidRDefault="00917CC1">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針對軍人之政治活動基本法於</w:t>
      </w:r>
      <w:r>
        <w:rPr>
          <w:rFonts w:ascii="新細明體" w:hAnsi="新細明體"/>
          <w:color w:val="000000"/>
          <w:lang w:val="de-DE"/>
        </w:rPr>
        <w:t>1956</w:t>
      </w:r>
      <w:r>
        <w:rPr>
          <w:rFonts w:ascii="新細明體" w:hAnsi="新細明體" w:hint="eastAsia"/>
          <w:color w:val="000000"/>
          <w:lang w:val="de-DE"/>
        </w:rPr>
        <w:t>年所新增之第</w:t>
      </w:r>
      <w:r>
        <w:rPr>
          <w:rFonts w:ascii="新細明體" w:hAnsi="新細明體"/>
          <w:color w:val="000000"/>
          <w:lang w:val="de-DE"/>
        </w:rPr>
        <w:t>17a</w:t>
      </w:r>
      <w:r>
        <w:rPr>
          <w:rFonts w:ascii="新細明體" w:hAnsi="新細明體" w:hint="eastAsia"/>
          <w:color w:val="000000"/>
          <w:lang w:val="de-DE"/>
        </w:rPr>
        <w:t>條提供了特別之限制依據。基本法第</w:t>
      </w:r>
      <w:r>
        <w:rPr>
          <w:rFonts w:ascii="新細明體" w:hAnsi="新細明體"/>
          <w:color w:val="000000"/>
          <w:lang w:val="de-DE"/>
        </w:rPr>
        <w:t>17a</w:t>
      </w:r>
      <w:r>
        <w:rPr>
          <w:rFonts w:ascii="新細明體" w:hAnsi="新細明體" w:hint="eastAsia"/>
          <w:color w:val="000000"/>
          <w:lang w:val="de-DE"/>
        </w:rPr>
        <w:t>條本身並非基本權條款，而是特別之法律保留條款，依其規定得以法律限制軍人之言論發表自由、集會自由及請願權等等。此一規定其實預設了軍人亦享有受憲法保障之政治活動自由，</w:t>
      </w:r>
      <w:r>
        <w:rPr>
          <w:rFonts w:ascii="新細明體" w:hAnsi="新細明體" w:hint="eastAsia"/>
          <w:color w:val="000000"/>
          <w:lang w:val="de-DE"/>
        </w:rPr>
        <w:t>由於此一規定尚早於聯邦憲法法院之「受刑人判決」，因此</w:t>
      </w:r>
      <w:proofErr w:type="gramStart"/>
      <w:r>
        <w:rPr>
          <w:rFonts w:ascii="新細明體" w:hAnsi="新細明體" w:hint="eastAsia"/>
          <w:color w:val="000000"/>
          <w:lang w:val="de-DE"/>
        </w:rPr>
        <w:t>此</w:t>
      </w:r>
      <w:proofErr w:type="gramEnd"/>
      <w:r>
        <w:rPr>
          <w:rFonts w:ascii="新細明體" w:hAnsi="新細明體" w:hint="eastAsia"/>
          <w:color w:val="000000"/>
          <w:lang w:val="de-DE"/>
        </w:rPr>
        <w:t>規定可以看作是解構特別權力關係理論之一個象徵。</w:t>
      </w:r>
      <w:r>
        <w:rPr>
          <w:rStyle w:val="a6"/>
          <w:rFonts w:ascii="新細明體" w:hAnsi="新細明體"/>
          <w:color w:val="000000"/>
          <w:lang w:val="de-DE"/>
        </w:rPr>
        <w:footnoteReference w:id="83"/>
      </w:r>
      <w:r>
        <w:rPr>
          <w:rFonts w:ascii="新細明體" w:hAnsi="新細明體" w:hint="eastAsia"/>
          <w:color w:val="000000"/>
          <w:lang w:val="de-DE"/>
        </w:rPr>
        <w:t>特別值得注意的是，由於基本法第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項所規定之職業公務員制度之傳統原則並不包括職業軍人，所以對於軍人基本權之特別的限制依據乃是基本法第</w:t>
      </w:r>
      <w:r>
        <w:rPr>
          <w:rFonts w:ascii="新細明體" w:hAnsi="新細明體"/>
          <w:color w:val="000000"/>
          <w:lang w:val="de-DE"/>
        </w:rPr>
        <w:t>17a</w:t>
      </w:r>
      <w:r>
        <w:rPr>
          <w:rFonts w:ascii="新細明體" w:hAnsi="新細明體" w:hint="eastAsia"/>
          <w:color w:val="000000"/>
          <w:lang w:val="de-DE"/>
        </w:rPr>
        <w:t>條，而非第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w:t>
      </w:r>
      <w:r>
        <w:rPr>
          <w:rStyle w:val="a6"/>
          <w:rFonts w:ascii="新細明體" w:hAnsi="新細明體"/>
          <w:color w:val="000000"/>
          <w:lang w:val="de-DE"/>
        </w:rPr>
        <w:footnoteReference w:id="84"/>
      </w:r>
    </w:p>
    <w:p w:rsidR="00000000" w:rsidRDefault="00917CC1">
      <w:pPr>
        <w:jc w:val="both"/>
        <w:rPr>
          <w:rFonts w:ascii="新細明體" w:hAnsi="新細明體" w:hint="eastAsia"/>
          <w:color w:val="000000"/>
          <w:lang w:val="de-DE"/>
        </w:rPr>
      </w:pPr>
    </w:p>
    <w:p w:rsidR="00000000" w:rsidRDefault="00917CC1">
      <w:pPr>
        <w:pStyle w:val="3"/>
        <w:rPr>
          <w:rFonts w:hint="eastAsia"/>
          <w:lang w:val="de-DE"/>
        </w:rPr>
      </w:pPr>
      <w:bookmarkStart w:id="16" w:name="_Toc535245927"/>
      <w:r>
        <w:rPr>
          <w:rFonts w:hint="eastAsia"/>
        </w:rPr>
        <w:lastRenderedPageBreak/>
        <w:t>參、慎重與節制義務</w:t>
      </w:r>
      <w:bookmarkEnd w:id="16"/>
    </w:p>
    <w:p w:rsidR="00000000" w:rsidRDefault="00917CC1">
      <w:pPr>
        <w:pStyle w:val="4"/>
        <w:rPr>
          <w:rFonts w:hint="eastAsia"/>
        </w:rPr>
      </w:pPr>
      <w:bookmarkStart w:id="17" w:name="_Toc535245928"/>
      <w:r>
        <w:rPr>
          <w:rFonts w:hint="eastAsia"/>
        </w:rPr>
        <w:t>一、一般說明</w:t>
      </w:r>
      <w:bookmarkEnd w:id="17"/>
    </w:p>
    <w:p w:rsidR="00000000" w:rsidRDefault="00917CC1">
      <w:pPr>
        <w:jc w:val="both"/>
        <w:rPr>
          <w:rFonts w:ascii="新細明體" w:hAnsi="新細明體"/>
          <w:color w:val="000000"/>
        </w:rPr>
      </w:pPr>
      <w:r>
        <w:rPr>
          <w:rFonts w:ascii="新細明體" w:hAnsi="新細明體" w:hint="eastAsia"/>
          <w:color w:val="000000"/>
          <w:lang w:val="de-DE"/>
        </w:rPr>
        <w:t xml:space="preserve">    </w:t>
      </w:r>
      <w:r>
        <w:rPr>
          <w:rFonts w:ascii="新細明體" w:hAnsi="新細明體" w:hint="eastAsia"/>
          <w:color w:val="000000"/>
          <w:lang w:val="de-DE"/>
        </w:rPr>
        <w:t>公務員從事政治活動時之慎重與節制義務規定於聯邦公務員法第</w:t>
      </w:r>
      <w:r>
        <w:rPr>
          <w:rFonts w:ascii="新細明體" w:hAnsi="新細明體"/>
          <w:color w:val="000000"/>
          <w:lang w:val="de-DE"/>
        </w:rPr>
        <w:t>53</w:t>
      </w:r>
      <w:r>
        <w:rPr>
          <w:rFonts w:ascii="新細明體" w:hAnsi="新細明體" w:hint="eastAsia"/>
          <w:color w:val="000000"/>
          <w:lang w:val="de-DE"/>
        </w:rPr>
        <w:t>條及公務員基準法第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項：「公務員從事政治活動時，應遵守基於其為國民全體服務之地位及其職務上義務之考慮所導出之慎重與節制義務。」</w:t>
      </w:r>
      <w:r>
        <w:rPr>
          <w:rFonts w:ascii="新細明體" w:hAnsi="新細明體" w:hint="eastAsia"/>
          <w:color w:val="000000"/>
          <w:lang w:val="de-DE"/>
        </w:rPr>
        <w:t>由以上之歷史觀察中已可得知，此一慎重與節制義務雖已常被提到，但在公務員法上明文規定，倒是創舉。關於公務員之職務外行為向來是適用前述於帝國公務員法第</w:t>
      </w:r>
      <w:r>
        <w:rPr>
          <w:rFonts w:ascii="新細明體" w:hAnsi="新細明體"/>
          <w:color w:val="000000"/>
          <w:lang w:val="de-DE"/>
        </w:rPr>
        <w:t>10</w:t>
      </w:r>
      <w:r>
        <w:rPr>
          <w:rFonts w:ascii="新細明體" w:hAnsi="新細明體" w:hint="eastAsia"/>
          <w:color w:val="000000"/>
          <w:lang w:val="de-DE"/>
        </w:rPr>
        <w:t>條規定之「尊嚴條款」；此一條款並且於聯邦公務員法第</w:t>
      </w:r>
      <w:r>
        <w:rPr>
          <w:rFonts w:ascii="新細明體" w:hAnsi="新細明體"/>
          <w:color w:val="000000"/>
          <w:lang w:val="de-DE"/>
        </w:rPr>
        <w:t>54</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句及公務員基準法第</w:t>
      </w:r>
      <w:r>
        <w:rPr>
          <w:rFonts w:ascii="新細明體" w:hAnsi="新細明體"/>
          <w:color w:val="000000"/>
          <w:lang w:val="de-DE"/>
        </w:rPr>
        <w:t>36</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句</w:t>
      </w:r>
      <w:r>
        <w:rPr>
          <w:rStyle w:val="a6"/>
          <w:rFonts w:ascii="新細明體" w:hAnsi="新細明體"/>
          <w:color w:val="000000"/>
          <w:lang w:val="de-DE"/>
        </w:rPr>
        <w:footnoteReference w:id="85"/>
      </w:r>
      <w:r>
        <w:rPr>
          <w:rFonts w:ascii="新細明體" w:hAnsi="新細明體" w:hint="eastAsia"/>
          <w:color w:val="000000"/>
          <w:lang w:val="de-DE"/>
        </w:rPr>
        <w:t>繼續維持下來，成為公務員行為義務之一般條款。關於聯邦公務員是否違反其職務義務，在審查第</w:t>
      </w:r>
      <w:r>
        <w:rPr>
          <w:rFonts w:ascii="新細明體" w:hAnsi="新細明體"/>
          <w:color w:val="000000"/>
          <w:lang w:val="de-DE"/>
        </w:rPr>
        <w:t>52</w:t>
      </w:r>
      <w:r>
        <w:rPr>
          <w:rFonts w:ascii="新細明體" w:hAnsi="新細明體" w:hint="eastAsia"/>
          <w:color w:val="000000"/>
          <w:lang w:val="de-DE"/>
        </w:rPr>
        <w:t>條以下之特別的義務條款而認為並無違反時，仍應繼續審查其是否違反「尊嚴條款」此一一般義務條款。</w:t>
      </w:r>
      <w:r>
        <w:rPr>
          <w:rStyle w:val="a6"/>
          <w:rFonts w:ascii="新細明體" w:hAnsi="新細明體"/>
          <w:color w:val="000000"/>
          <w:lang w:val="de-DE"/>
        </w:rPr>
        <w:footnoteReference w:id="86"/>
      </w:r>
      <w:r>
        <w:rPr>
          <w:rFonts w:ascii="新細明體" w:hAnsi="新細明體" w:hint="eastAsia"/>
          <w:color w:val="000000"/>
          <w:lang w:val="de-DE"/>
        </w:rPr>
        <w:t>在「尊嚴條款」之外另就政治活動加以規範，顯然與納粹經驗有關。在</w:t>
      </w:r>
      <w:r>
        <w:rPr>
          <w:rFonts w:ascii="新細明體" w:hAnsi="新細明體"/>
          <w:color w:val="000000"/>
          <w:lang w:val="de-DE"/>
        </w:rPr>
        <w:t>1953</w:t>
      </w:r>
      <w:r>
        <w:rPr>
          <w:rFonts w:ascii="新細明體" w:hAnsi="新細明體" w:hint="eastAsia"/>
          <w:color w:val="000000"/>
          <w:lang w:val="de-DE"/>
        </w:rPr>
        <w:t>年制定聯邦公務員</w:t>
      </w:r>
      <w:r>
        <w:rPr>
          <w:rFonts w:ascii="新細明體" w:hAnsi="新細明體" w:hint="eastAsia"/>
          <w:color w:val="000000"/>
          <w:lang w:val="de-DE"/>
        </w:rPr>
        <w:t>法時，政府草案中曾試圖禁止公務員公開地以政黨的積極支持者之姿態出現，但並未為國會所接受</w:t>
      </w:r>
      <w:r>
        <w:rPr>
          <w:rStyle w:val="a6"/>
          <w:rFonts w:ascii="新細明體" w:hAnsi="新細明體"/>
          <w:color w:val="000000"/>
          <w:lang w:val="de-DE"/>
        </w:rPr>
        <w:footnoteReference w:id="87"/>
      </w:r>
      <w:r>
        <w:rPr>
          <w:rFonts w:ascii="新細明體" w:hAnsi="新細明體" w:hint="eastAsia"/>
          <w:color w:val="000000"/>
          <w:lang w:val="de-DE"/>
        </w:rPr>
        <w:t>，而修改為現行條文。</w:t>
      </w:r>
    </w:p>
    <w:p w:rsidR="00000000" w:rsidRDefault="00917CC1">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聯邦公務員法第</w:t>
      </w:r>
      <w:r>
        <w:rPr>
          <w:rFonts w:ascii="新細明體" w:hAnsi="新細明體"/>
          <w:color w:val="000000"/>
          <w:lang w:val="de-DE"/>
        </w:rPr>
        <w:t>53</w:t>
      </w:r>
      <w:r>
        <w:rPr>
          <w:rFonts w:ascii="新細明體" w:hAnsi="新細明體" w:hint="eastAsia"/>
          <w:color w:val="000000"/>
          <w:lang w:val="de-DE"/>
        </w:rPr>
        <w:t>條所確定下來之慎重與節制義務成為之後立法的典範。不僅</w:t>
      </w:r>
      <w:r>
        <w:rPr>
          <w:rFonts w:ascii="新細明體" w:hAnsi="新細明體"/>
          <w:color w:val="000000"/>
          <w:lang w:val="de-DE"/>
        </w:rPr>
        <w:t>1957</w:t>
      </w:r>
      <w:r>
        <w:rPr>
          <w:rFonts w:ascii="新細明體" w:hAnsi="新細明體" w:hint="eastAsia"/>
          <w:color w:val="000000"/>
          <w:lang w:val="de-DE"/>
        </w:rPr>
        <w:t>年制定之公務員基準法，各</w:t>
      </w:r>
      <w:proofErr w:type="gramStart"/>
      <w:r>
        <w:rPr>
          <w:rFonts w:ascii="新細明體" w:hAnsi="新細明體" w:hint="eastAsia"/>
          <w:color w:val="000000"/>
          <w:lang w:val="de-DE"/>
        </w:rPr>
        <w:t>邦</w:t>
      </w:r>
      <w:proofErr w:type="gramEnd"/>
      <w:r>
        <w:rPr>
          <w:rFonts w:ascii="新細明體" w:hAnsi="新細明體" w:hint="eastAsia"/>
          <w:color w:val="000000"/>
          <w:lang w:val="de-DE"/>
        </w:rPr>
        <w:t>的公務員法也多有相同的規定</w:t>
      </w:r>
      <w:r>
        <w:rPr>
          <w:rStyle w:val="a6"/>
          <w:rFonts w:ascii="新細明體" w:hAnsi="新細明體"/>
          <w:color w:val="000000"/>
          <w:lang w:val="de-DE"/>
        </w:rPr>
        <w:footnoteReference w:id="88"/>
      </w:r>
      <w:r>
        <w:rPr>
          <w:rFonts w:ascii="新細明體" w:hAnsi="新細明體" w:hint="eastAsia"/>
          <w:color w:val="000000"/>
          <w:lang w:val="de-DE"/>
        </w:rPr>
        <w:t>。法官法第</w:t>
      </w:r>
      <w:r>
        <w:rPr>
          <w:rFonts w:ascii="新細明體" w:hAnsi="新細明體"/>
          <w:color w:val="000000"/>
          <w:lang w:val="de-DE"/>
        </w:rPr>
        <w:t>39</w:t>
      </w:r>
      <w:r>
        <w:rPr>
          <w:rFonts w:ascii="新細明體" w:hAnsi="新細明體" w:hint="eastAsia"/>
          <w:color w:val="000000"/>
          <w:lang w:val="de-DE"/>
        </w:rPr>
        <w:t>條</w:t>
      </w:r>
      <w:r>
        <w:rPr>
          <w:rStyle w:val="a6"/>
          <w:rFonts w:ascii="新細明體" w:hAnsi="新細明體"/>
          <w:color w:val="000000"/>
          <w:lang w:val="de-DE"/>
        </w:rPr>
        <w:footnoteReference w:id="89"/>
      </w:r>
      <w:r>
        <w:rPr>
          <w:rFonts w:ascii="新細明體" w:hAnsi="新細明體" w:hint="eastAsia"/>
          <w:color w:val="000000"/>
          <w:lang w:val="de-DE"/>
        </w:rPr>
        <w:t>規定：「法官在職務內、外之行為，也包括其從事政治活動時，不得危及對其獨立性之信賴。」此規定雖未明白提及慎重與節制義務，但亦被解釋為法官於政治活動時也負有此等義務。</w:t>
      </w:r>
      <w:r>
        <w:rPr>
          <w:rStyle w:val="a6"/>
          <w:rFonts w:ascii="新細明體" w:hAnsi="新細明體"/>
          <w:color w:val="000000"/>
          <w:lang w:val="de-DE"/>
        </w:rPr>
        <w:footnoteReference w:id="90"/>
      </w:r>
      <w:r>
        <w:rPr>
          <w:rFonts w:ascii="新細明體" w:hAnsi="新細明體" w:hint="eastAsia"/>
          <w:color w:val="000000"/>
          <w:lang w:val="de-DE"/>
        </w:rPr>
        <w:t>在職員與勞工方面，「聯邦職員團體協約」</w:t>
      </w:r>
      <w:r>
        <w:rPr>
          <w:rFonts w:ascii="新細明體" w:hAnsi="新細明體"/>
          <w:color w:val="000000"/>
          <w:lang w:val="de-DE"/>
        </w:rPr>
        <w:t>(Bundes-Angestelltent</w:t>
      </w:r>
      <w:r>
        <w:rPr>
          <w:rFonts w:ascii="新細明體" w:hAnsi="新細明體"/>
          <w:color w:val="000000"/>
          <w:lang w:val="de-DE"/>
        </w:rPr>
        <w:t>arifvertrag; BAT)</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句規定：「職員應如公務員所受期待者一般，而從事其行為。」關於此一規定之主要爭議在於：此一規定是否已規定了職員之行為義務？以政治活動為例，聯邦職員是否已因此</w:t>
      </w:r>
      <w:proofErr w:type="gramStart"/>
      <w:r>
        <w:rPr>
          <w:rFonts w:ascii="新細明體" w:hAnsi="新細明體" w:hint="eastAsia"/>
          <w:color w:val="000000"/>
          <w:lang w:val="de-DE"/>
        </w:rPr>
        <w:t>一</w:t>
      </w:r>
      <w:proofErr w:type="gramEnd"/>
      <w:r>
        <w:rPr>
          <w:rFonts w:ascii="新細明體" w:hAnsi="新細明體" w:hint="eastAsia"/>
          <w:color w:val="000000"/>
          <w:lang w:val="de-DE"/>
        </w:rPr>
        <w:t>規定而負有某行為義務？若是，則當然必須進一步確定，其負有何等義務；</w:t>
      </w:r>
      <w:proofErr w:type="gramStart"/>
      <w:r>
        <w:rPr>
          <w:rFonts w:ascii="新細明體" w:hAnsi="新細明體" w:hint="eastAsia"/>
          <w:color w:val="000000"/>
          <w:lang w:val="de-DE"/>
        </w:rPr>
        <w:t>若為否</w:t>
      </w:r>
      <w:proofErr w:type="gramEnd"/>
      <w:r>
        <w:rPr>
          <w:rFonts w:ascii="新細明體" w:hAnsi="新細明體" w:hint="eastAsia"/>
          <w:color w:val="000000"/>
          <w:lang w:val="de-DE"/>
        </w:rPr>
        <w:t>，則聯邦職員所應負之義務便應由人事委員會</w:t>
      </w:r>
      <w:r>
        <w:rPr>
          <w:rFonts w:ascii="新細明體" w:hAnsi="新細明體"/>
          <w:color w:val="000000"/>
          <w:lang w:val="de-DE"/>
        </w:rPr>
        <w:t>(Personalrat)</w:t>
      </w:r>
      <w:r>
        <w:rPr>
          <w:rFonts w:ascii="新細明體" w:hAnsi="新細明體" w:hint="eastAsia"/>
          <w:color w:val="000000"/>
          <w:lang w:val="de-DE"/>
        </w:rPr>
        <w:t>與雇主以協議來決定。對此，聯邦勞動法院認為，聯邦職員團體協約第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句之規定並非不完全，從而有待補充之框架規定，而是關於行為義務之一般條款。此一一般條款與其他一</w:t>
      </w:r>
      <w:r>
        <w:rPr>
          <w:rFonts w:ascii="新細明體" w:hAnsi="新細明體" w:hint="eastAsia"/>
          <w:color w:val="000000"/>
          <w:lang w:val="de-DE"/>
        </w:rPr>
        <w:t>般條款如誠實信用、公序</w:t>
      </w:r>
      <w:proofErr w:type="gramStart"/>
      <w:r>
        <w:rPr>
          <w:rFonts w:ascii="新細明體" w:hAnsi="新細明體" w:hint="eastAsia"/>
          <w:color w:val="000000"/>
          <w:lang w:val="de-DE"/>
        </w:rPr>
        <w:t>良俗等並</w:t>
      </w:r>
      <w:proofErr w:type="gramEnd"/>
      <w:r>
        <w:rPr>
          <w:rFonts w:ascii="新細明體" w:hAnsi="新細明體" w:hint="eastAsia"/>
          <w:color w:val="000000"/>
          <w:lang w:val="de-DE"/>
        </w:rPr>
        <w:t>無不同，其進一步之確定皆屬於法律問題，應由法院透過解釋而決定，而非應經由人事委員會之參與而加以補充。聯邦勞動法院並且進一步認為，此一規定所規範之行為義務包括從事政治</w:t>
      </w:r>
      <w:r>
        <w:rPr>
          <w:rFonts w:ascii="新細明體" w:hAnsi="新細明體" w:hint="eastAsia"/>
          <w:color w:val="000000"/>
          <w:lang w:val="de-DE"/>
        </w:rPr>
        <w:lastRenderedPageBreak/>
        <w:t>活動時之慎重與節制義務。「由於所有的公職人員，包括公務員與職員，都不是為特定政黨或政治團體服務，因此慎重與節制義務乃是適用於所有公務人員之一般原則，從而也包括與國家處於私法上勞動關係之人員。」</w:t>
      </w:r>
      <w:r>
        <w:rPr>
          <w:rStyle w:val="a6"/>
          <w:rFonts w:ascii="新細明體" w:hAnsi="新細明體"/>
          <w:color w:val="000000"/>
          <w:lang w:val="de-DE"/>
        </w:rPr>
        <w:footnoteReference w:id="91"/>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慎重與節制義務性質上屬職務法上之義務，違反此一義務可能構成「失職」</w:t>
      </w:r>
      <w:r>
        <w:rPr>
          <w:rFonts w:ascii="新細明體" w:hAnsi="新細明體"/>
          <w:color w:val="000000"/>
          <w:lang w:val="de-DE"/>
        </w:rPr>
        <w:t>(Dienstvergehen)</w:t>
      </w:r>
      <w:r>
        <w:rPr>
          <w:rFonts w:ascii="新細明體" w:hAnsi="新細明體" w:hint="eastAsia"/>
          <w:color w:val="000000"/>
          <w:lang w:val="de-DE"/>
        </w:rPr>
        <w:t>，而成為受懲戒之</w:t>
      </w:r>
      <w:r>
        <w:rPr>
          <w:rFonts w:ascii="新細明體" w:hAnsi="新細明體" w:hint="eastAsia"/>
          <w:color w:val="000000"/>
          <w:lang w:val="de-DE"/>
        </w:rPr>
        <w:t>事由。關於懲戒，在德國法上係將其實體法與程序法在不同法典分別規定。以聯邦公務員法為例，懲戒之實體法是規定於聯邦公務員法，懲戒程序則規定於聯邦懲戒法</w:t>
      </w:r>
      <w:r>
        <w:rPr>
          <w:rFonts w:ascii="新細明體" w:hAnsi="新細明體"/>
          <w:color w:val="000000"/>
          <w:lang w:val="de-DE"/>
        </w:rPr>
        <w:t>(Bundesdisziplinarordnung; BDO)</w:t>
      </w:r>
      <w:r>
        <w:rPr>
          <w:rFonts w:ascii="新細明體" w:hAnsi="新細明體" w:hint="eastAsia"/>
          <w:color w:val="000000"/>
          <w:lang w:val="de-DE"/>
        </w:rPr>
        <w:t>。在實體法上對於應受懲戒之行為並未如刑法般列出不同之具體的構成要件，而是僅以一個「失職」條款：聯邦公務員法第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項；公務員基準法第</w:t>
      </w:r>
      <w:r>
        <w:rPr>
          <w:rFonts w:ascii="新細明體" w:hAnsi="新細明體"/>
          <w:color w:val="000000"/>
          <w:lang w:val="de-DE"/>
        </w:rPr>
        <w:t>45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項，來加以規範。在</w:t>
      </w:r>
      <w:r>
        <w:rPr>
          <w:rFonts w:ascii="新細明體" w:hAnsi="新細明體"/>
          <w:color w:val="000000"/>
          <w:lang w:val="de-DE"/>
        </w:rPr>
        <w:t>1967</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20</w:t>
      </w:r>
      <w:r>
        <w:rPr>
          <w:rFonts w:ascii="新細明體" w:hAnsi="新細明體" w:hint="eastAsia"/>
          <w:color w:val="000000"/>
          <w:lang w:val="de-DE"/>
        </w:rPr>
        <w:t>日修正聯邦公務員法第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項之前，原條文規定：「公務員</w:t>
      </w:r>
      <w:proofErr w:type="gramStart"/>
      <w:r>
        <w:rPr>
          <w:rFonts w:ascii="新細明體" w:hAnsi="新細明體" w:hint="eastAsia"/>
          <w:color w:val="000000"/>
          <w:lang w:val="de-DE"/>
        </w:rPr>
        <w:t>有責地違反</w:t>
      </w:r>
      <w:proofErr w:type="gramEnd"/>
      <w:r>
        <w:rPr>
          <w:rFonts w:ascii="新細明體" w:hAnsi="新細明體" w:hint="eastAsia"/>
          <w:color w:val="000000"/>
          <w:lang w:val="de-DE"/>
        </w:rPr>
        <w:t>其義務者，構成失職。」由此可以很明顯地區分出「有責性」</w:t>
      </w:r>
      <w:r>
        <w:rPr>
          <w:rFonts w:ascii="新細明體" w:hAnsi="新細明體" w:hint="eastAsia"/>
          <w:color w:val="000000"/>
          <w:lang w:val="de-DE"/>
        </w:rPr>
        <w:t>及「義務違反」之主、客觀構成要件。此所謂之「義務」係指聯邦公務員法第</w:t>
      </w:r>
      <w:r>
        <w:rPr>
          <w:rFonts w:ascii="新細明體" w:hAnsi="新細明體"/>
          <w:color w:val="000000"/>
          <w:lang w:val="de-DE"/>
        </w:rPr>
        <w:t>52</w:t>
      </w:r>
      <w:r>
        <w:rPr>
          <w:rFonts w:ascii="新細明體" w:hAnsi="新細明體" w:hint="eastAsia"/>
          <w:color w:val="000000"/>
          <w:lang w:val="de-DE"/>
        </w:rPr>
        <w:t>條以下所規定之義務。前述之一般義務條款</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尊嚴條款，因此可認為是失職之「基本構成要件」。</w:t>
      </w:r>
      <w:r>
        <w:rPr>
          <w:rStyle w:val="a6"/>
          <w:rFonts w:ascii="新細明體" w:hAnsi="新細明體"/>
          <w:color w:val="000000"/>
          <w:lang w:val="de-DE"/>
        </w:rPr>
        <w:footnoteReference w:id="92"/>
      </w:r>
      <w:r>
        <w:rPr>
          <w:rFonts w:ascii="新細明體" w:hAnsi="新細明體" w:hint="eastAsia"/>
          <w:color w:val="000000"/>
          <w:lang w:val="de-DE"/>
        </w:rPr>
        <w:t>由於聯邦公務員法第</w:t>
      </w:r>
      <w:r>
        <w:rPr>
          <w:rFonts w:ascii="新細明體" w:hAnsi="新細明體"/>
          <w:color w:val="000000"/>
          <w:lang w:val="de-DE"/>
        </w:rPr>
        <w:t>54</w:t>
      </w:r>
      <w:r>
        <w:rPr>
          <w:rFonts w:ascii="新細明體" w:hAnsi="新細明體" w:hint="eastAsia"/>
          <w:color w:val="000000"/>
          <w:lang w:val="de-DE"/>
        </w:rPr>
        <w:t>條所規定之尊嚴條款要求公務員之所有行為，即不分職務內、外都必須維護其職業所要求之尊嚴，因此任何義務違反行為，即使是職務外行為，也可能構成失職。</w:t>
      </w:r>
      <w:r>
        <w:rPr>
          <w:rFonts w:ascii="新細明體" w:hAnsi="新細明體"/>
          <w:color w:val="000000"/>
          <w:lang w:val="de-DE"/>
        </w:rPr>
        <w:t>1967</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20</w:t>
      </w:r>
      <w:r>
        <w:rPr>
          <w:rFonts w:ascii="新細明體" w:hAnsi="新細明體" w:hint="eastAsia"/>
          <w:color w:val="000000"/>
          <w:lang w:val="de-DE"/>
        </w:rPr>
        <w:t>日之修法主要是引進第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句：「公務員之職務外行為，如依個案狀態在特別之限度內顯示出足以嚴重影響對於其職務之尊重與信賴或公務員之威望者，為失職行為。」依此，</w:t>
      </w:r>
      <w:r>
        <w:rPr>
          <w:rFonts w:ascii="新細明體" w:hAnsi="新細明體" w:hint="eastAsia"/>
          <w:color w:val="000000"/>
          <w:lang w:val="de-DE"/>
        </w:rPr>
        <w:t>並非所有公務員在職務外之義務違反行為都會構成失職。</w:t>
      </w:r>
      <w:r>
        <w:rPr>
          <w:rStyle w:val="a6"/>
          <w:rFonts w:ascii="新細明體" w:hAnsi="新細明體"/>
          <w:color w:val="000000"/>
          <w:lang w:val="de-DE"/>
        </w:rPr>
        <w:footnoteReference w:id="93"/>
      </w:r>
      <w:r>
        <w:rPr>
          <w:rFonts w:ascii="新細明體" w:hAnsi="新細明體" w:hint="eastAsia"/>
          <w:color w:val="000000"/>
          <w:lang w:val="de-DE"/>
        </w:rPr>
        <w:t>由於政治活動為職務外行為，因此此一針對「失職」概念適用對象之</w:t>
      </w:r>
      <w:proofErr w:type="gramStart"/>
      <w:r>
        <w:rPr>
          <w:rFonts w:ascii="新細明體" w:hAnsi="新細明體" w:hint="eastAsia"/>
          <w:color w:val="000000"/>
          <w:lang w:val="de-DE"/>
        </w:rPr>
        <w:t>限縮亦適用</w:t>
      </w:r>
      <w:proofErr w:type="gramEnd"/>
      <w:r>
        <w:rPr>
          <w:rFonts w:ascii="新細明體" w:hAnsi="新細明體" w:hint="eastAsia"/>
          <w:color w:val="000000"/>
          <w:lang w:val="de-DE"/>
        </w:rPr>
        <w:t>於違反慎重與節制義務之情形。</w:t>
      </w:r>
      <w:r>
        <w:rPr>
          <w:rStyle w:val="a6"/>
          <w:rFonts w:ascii="新細明體" w:hAnsi="新細明體"/>
          <w:color w:val="000000"/>
          <w:lang w:val="de-DE"/>
        </w:rPr>
        <w:footnoteReference w:id="94"/>
      </w:r>
    </w:p>
    <w:p w:rsidR="00000000" w:rsidRDefault="00917CC1">
      <w:pPr>
        <w:jc w:val="both"/>
        <w:rPr>
          <w:rFonts w:ascii="新細明體" w:hAnsi="新細明體" w:hint="eastAsia"/>
          <w:color w:val="000000"/>
        </w:rPr>
      </w:pPr>
      <w:r>
        <w:rPr>
          <w:rFonts w:ascii="新細明體" w:hAnsi="新細明體" w:hint="eastAsia"/>
          <w:color w:val="000000"/>
          <w:lang w:val="de-DE"/>
        </w:rPr>
        <w:t xml:space="preserve">    </w:t>
      </w:r>
      <w:r>
        <w:rPr>
          <w:rFonts w:ascii="新細明體" w:hAnsi="新細明體" w:hint="eastAsia"/>
          <w:color w:val="000000"/>
          <w:lang w:val="de-DE"/>
        </w:rPr>
        <w:t>為了督促公務員履行其職務義務</w:t>
      </w:r>
      <w:r>
        <w:rPr>
          <w:rFonts w:ascii="新細明體" w:hAnsi="新細明體" w:hint="eastAsia"/>
          <w:color w:val="000000"/>
        </w:rPr>
        <w:t>，主管長官也可以施以職務監督措施。在此值得注意的是，針對職務外行為固然也可為職務監督，以</w:t>
      </w:r>
      <w:r>
        <w:rPr>
          <w:rFonts w:ascii="新細明體" w:hAnsi="新細明體" w:hint="eastAsia"/>
          <w:color w:val="000000"/>
          <w:lang w:val="de-DE"/>
        </w:rPr>
        <w:t>督促公務員履行其職務義務</w:t>
      </w:r>
      <w:r>
        <w:rPr>
          <w:rFonts w:ascii="新細明體" w:hAnsi="新細明體" w:hint="eastAsia"/>
          <w:color w:val="000000"/>
        </w:rPr>
        <w:t>，但該職務監督措施本身就算是輕微地警告，要求公務員以後從事政治活動時應遵守慎重與節制義務，也屬對基本權之干預，從而可認定為行政處分，受職務監督之公務員對之可提起行政訴訟。</w:t>
      </w:r>
      <w:r>
        <w:rPr>
          <w:rStyle w:val="a6"/>
          <w:rFonts w:ascii="新細明體" w:hAnsi="新細明體"/>
          <w:color w:val="000000"/>
        </w:rPr>
        <w:footnoteReference w:id="95"/>
      </w:r>
    </w:p>
    <w:p w:rsidR="00000000" w:rsidRDefault="00917CC1">
      <w:pPr>
        <w:jc w:val="both"/>
        <w:rPr>
          <w:rFonts w:ascii="新細明體" w:hAnsi="新細明體" w:hint="eastAsia"/>
          <w:color w:val="000000"/>
        </w:rPr>
      </w:pPr>
    </w:p>
    <w:p w:rsidR="00000000" w:rsidRDefault="00917CC1">
      <w:pPr>
        <w:pStyle w:val="4"/>
        <w:rPr>
          <w:rFonts w:hint="eastAsia"/>
        </w:rPr>
      </w:pPr>
      <w:bookmarkStart w:id="18" w:name="_Toc535245929"/>
      <w:r>
        <w:rPr>
          <w:rFonts w:hint="eastAsia"/>
        </w:rPr>
        <w:t>二、構成要件</w:t>
      </w:r>
      <w:bookmarkEnd w:id="18"/>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關於「慎重與</w:t>
      </w:r>
      <w:r>
        <w:rPr>
          <w:rFonts w:ascii="新細明體" w:hAnsi="新細明體" w:hint="eastAsia"/>
          <w:color w:val="000000"/>
          <w:lang w:val="de-DE"/>
        </w:rPr>
        <w:t>節制條款」之解釋與適用，德國實務上一貫之見解認為，「慎重與節制條款」固然是公務員政治基本權之限制條款，但此一條款之解釋與適用也必須受其所限制之基本權所節制，基本權與限制基本權之法律從而乃是相互影響。在個案中因此必須就公務員之政治基本權與其基於公務員身分之職務與</w:t>
      </w:r>
      <w:r>
        <w:rPr>
          <w:rFonts w:ascii="新細明體" w:hAnsi="新細明體" w:hint="eastAsia"/>
          <w:color w:val="000000"/>
          <w:lang w:val="de-DE"/>
        </w:rPr>
        <w:lastRenderedPageBreak/>
        <w:t>忠誠義務加入衡量。</w:t>
      </w:r>
      <w:r>
        <w:rPr>
          <w:rStyle w:val="a6"/>
          <w:rFonts w:ascii="新細明體" w:hAnsi="新細明體"/>
          <w:color w:val="000000"/>
          <w:lang w:val="de-DE"/>
        </w:rPr>
        <w:footnoteReference w:id="96"/>
      </w:r>
      <w:r>
        <w:rPr>
          <w:rFonts w:ascii="新細明體" w:hAnsi="新細明體" w:hint="eastAsia"/>
          <w:color w:val="000000"/>
          <w:lang w:val="de-DE"/>
        </w:rPr>
        <w:t>由於「慎重與節制條款」本身乃是相當不明確之概括條款，再加上個案中為利益衡量之必要性，因此有必要就實際案例來觀察此一條款之具體化。法條之具體化脫離不了構成要件之解釋，因此以下以案例取向之構成要件分析來進一步了解「慎重與節制條款」。</w:t>
      </w:r>
    </w:p>
    <w:p w:rsidR="00000000" w:rsidRDefault="00917CC1">
      <w:pPr>
        <w:jc w:val="both"/>
        <w:rPr>
          <w:rFonts w:ascii="新細明體" w:hAnsi="新細明體" w:hint="eastAsia"/>
          <w:color w:val="000000"/>
          <w:lang w:val="de-DE"/>
        </w:rPr>
      </w:pPr>
    </w:p>
    <w:p w:rsidR="00000000" w:rsidRDefault="00917CC1">
      <w:pPr>
        <w:pStyle w:val="5"/>
        <w:rPr>
          <w:rFonts w:hint="eastAsia"/>
        </w:rPr>
      </w:pPr>
      <w:bookmarkStart w:id="19" w:name="_Toc535245930"/>
      <w:r>
        <w:rPr>
          <w:rFonts w:hint="eastAsia"/>
        </w:rPr>
        <w:t>（一）政治活動時</w:t>
      </w:r>
      <w:bookmarkEnd w:id="19"/>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公務員從事「政治活動時」負有慎重與節制義務。對於「政治活動」很難清楚地加以定義</w:t>
      </w:r>
      <w:r>
        <w:rPr>
          <w:rFonts w:ascii="新細明體" w:hAnsi="新細明體" w:hint="eastAsia"/>
          <w:color w:val="000000"/>
        </w:rPr>
        <w:t>，這主要是由於「政治」概念本身就很難掌握。大致上來說，「政治」通常被理解為與公共事務、公共生活或與權力的爭取或行使有關。</w:t>
      </w:r>
      <w:r>
        <w:rPr>
          <w:rStyle w:val="a6"/>
          <w:rFonts w:ascii="新細明體" w:hAnsi="新細明體"/>
          <w:color w:val="000000"/>
        </w:rPr>
        <w:footnoteReference w:id="97"/>
      </w:r>
      <w:r>
        <w:rPr>
          <w:rFonts w:ascii="新細明體" w:hAnsi="新細明體" w:hint="eastAsia"/>
          <w:color w:val="000000"/>
        </w:rPr>
        <w:t>不過</w:t>
      </w:r>
      <w:r>
        <w:rPr>
          <w:rFonts w:ascii="新細明體" w:hAnsi="新細明體" w:hint="eastAsia"/>
          <w:color w:val="000000"/>
          <w:lang w:val="de-DE"/>
        </w:rPr>
        <w:t>，在此所謂之政治活動不能單純依法律外的觀點，例如政治學的觀點來決定，而必須考慮本條款之規範目的。</w:t>
      </w:r>
      <w:r>
        <w:rPr>
          <w:rStyle w:val="a6"/>
          <w:rFonts w:ascii="新細明體" w:hAnsi="新細明體"/>
          <w:color w:val="000000"/>
          <w:lang w:val="de-DE"/>
        </w:rPr>
        <w:footnoteReference w:id="98"/>
      </w:r>
      <w:r>
        <w:rPr>
          <w:rFonts w:ascii="新細明體" w:hAnsi="新細明體" w:hint="eastAsia"/>
          <w:color w:val="000000"/>
          <w:lang w:val="de-DE"/>
        </w:rPr>
        <w:t>因此，公務員執行職務之行為雖必然與公共事務有關，而且也涉及權力之行使，卻不得解釋為此所謂之政治活動，蓋慎重與節制條款所要規範的，顯然是公務員以私人身分參與政治生活之活動。但此一區分卻也</w:t>
      </w:r>
      <w:r>
        <w:rPr>
          <w:rFonts w:ascii="新細明體" w:hAnsi="新細明體" w:hint="eastAsia"/>
          <w:color w:val="000000"/>
          <w:lang w:val="de-DE"/>
        </w:rPr>
        <w:t>不排除政治活動可能發生於執行職務過程中</w:t>
      </w:r>
      <w:r>
        <w:rPr>
          <w:rStyle w:val="a6"/>
          <w:rFonts w:ascii="新細明體" w:hAnsi="新細明體"/>
          <w:color w:val="000000"/>
          <w:lang w:val="de-DE"/>
        </w:rPr>
        <w:footnoteReference w:id="99"/>
      </w:r>
      <w:r>
        <w:rPr>
          <w:rFonts w:ascii="新細明體" w:hAnsi="新細明體" w:hint="eastAsia"/>
          <w:color w:val="000000"/>
          <w:lang w:val="de-DE"/>
        </w:rPr>
        <w:t>或在上班時間中。</w:t>
      </w:r>
    </w:p>
    <w:p w:rsidR="00000000" w:rsidRDefault="00917CC1">
      <w:pPr>
        <w:jc w:val="both"/>
        <w:rPr>
          <w:rFonts w:ascii="新細明體" w:hAnsi="新細明體"/>
          <w:color w:val="000000"/>
        </w:rPr>
      </w:pPr>
      <w:r>
        <w:rPr>
          <w:rFonts w:ascii="新細明體" w:hAnsi="新細明體" w:hint="eastAsia"/>
          <w:color w:val="000000"/>
          <w:lang w:val="de-DE"/>
        </w:rPr>
        <w:t xml:space="preserve">    </w:t>
      </w:r>
      <w:r>
        <w:rPr>
          <w:rFonts w:ascii="新細明體" w:hAnsi="新細明體" w:hint="eastAsia"/>
          <w:color w:val="000000"/>
          <w:lang w:val="de-DE"/>
        </w:rPr>
        <w:t>由於慎重與節制義務條款之基本精神並非要一般性地禁止公務員之政治或政黨活動，反而原則上許可才是立法意旨所在，因此解釋慎重與節制義務時不應將其解釋為，公務員在政治生活中應保持中立的姿態</w:t>
      </w:r>
      <w:r>
        <w:rPr>
          <w:rStyle w:val="a6"/>
          <w:rFonts w:ascii="新細明體" w:hAnsi="新細明體"/>
          <w:color w:val="000000"/>
          <w:lang w:val="de-DE"/>
        </w:rPr>
        <w:footnoteReference w:id="100"/>
      </w:r>
      <w:r>
        <w:rPr>
          <w:rFonts w:ascii="新細明體" w:hAnsi="新細明體" w:hint="eastAsia"/>
          <w:color w:val="000000"/>
          <w:lang w:val="de-DE"/>
        </w:rPr>
        <w:t>。所以公務員公開地表達其政黨支持之意向，如</w:t>
      </w:r>
      <w:r>
        <w:rPr>
          <w:rFonts w:ascii="新細明體" w:hAnsi="新細明體" w:hint="eastAsia"/>
          <w:color w:val="000000"/>
        </w:rPr>
        <w:t>與政黨政治有關之活動</w:t>
      </w:r>
      <w:r>
        <w:rPr>
          <w:rFonts w:ascii="新細明體" w:hAnsi="新細明體" w:hint="eastAsia"/>
          <w:color w:val="000000"/>
          <w:lang w:val="de-DE"/>
        </w:rPr>
        <w:t>，從參選、助選、選舉投票到加入政黨或政治團體及所有之政黨活動皆為法律所允許之政治活動。公務員加入</w:t>
      </w:r>
      <w:proofErr w:type="gramStart"/>
      <w:r>
        <w:rPr>
          <w:rFonts w:ascii="新細明體" w:hAnsi="新細明體" w:hint="eastAsia"/>
          <w:color w:val="000000"/>
          <w:lang w:val="de-DE"/>
        </w:rPr>
        <w:t>違</w:t>
      </w:r>
      <w:proofErr w:type="gramEnd"/>
      <w:r>
        <w:rPr>
          <w:rFonts w:ascii="新細明體" w:hAnsi="新細明體" w:hint="eastAsia"/>
          <w:color w:val="000000"/>
          <w:lang w:val="de-DE"/>
        </w:rPr>
        <w:t>憲政黨，並積極地從事活動，則違反其政治忠誠義務，並無疑問。但如公務員只是消極的黨員，或該政黨雖是敵視國家</w:t>
      </w:r>
      <w:r>
        <w:rPr>
          <w:rFonts w:ascii="新細明體" w:hAnsi="新細明體" w:hint="eastAsia"/>
          <w:color w:val="000000"/>
          <w:lang w:val="de-DE"/>
        </w:rPr>
        <w:t>或憲法，但尚未被宣告違憲，則公務員是否違反其政治忠誠義務，尚難斷言。</w:t>
      </w:r>
      <w:proofErr w:type="gramStart"/>
      <w:r>
        <w:rPr>
          <w:rFonts w:ascii="新細明體" w:hAnsi="新細明體" w:hint="eastAsia"/>
          <w:color w:val="000000"/>
          <w:lang w:val="de-DE"/>
        </w:rPr>
        <w:t>惟</w:t>
      </w:r>
      <w:proofErr w:type="gramEnd"/>
      <w:r>
        <w:rPr>
          <w:rFonts w:ascii="新細明體" w:hAnsi="新細明體" w:hint="eastAsia"/>
          <w:color w:val="000000"/>
          <w:lang w:val="de-DE"/>
        </w:rPr>
        <w:t>就算可認為尚未違反政治忠誠義務，仍應考慮其是否違反慎重與節制義務。</w:t>
      </w:r>
      <w:r>
        <w:rPr>
          <w:rStyle w:val="a6"/>
          <w:rFonts w:ascii="新細明體" w:hAnsi="新細明體"/>
          <w:color w:val="000000"/>
          <w:lang w:val="de-DE"/>
        </w:rPr>
        <w:footnoteReference w:id="101"/>
      </w:r>
    </w:p>
    <w:p w:rsidR="00000000" w:rsidRDefault="00917CC1">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政治活動也包括與政黨政治無直接關聯之活動。首先值得注意的是公務員之工會活動。基本法第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句所保障之為維護及促進勞動及經濟條件之結社自由，亦及於公務員。</w:t>
      </w:r>
      <w:r>
        <w:rPr>
          <w:rStyle w:val="a6"/>
          <w:rFonts w:ascii="新細明體" w:hAnsi="新細明體"/>
          <w:color w:val="000000"/>
          <w:lang w:val="de-DE"/>
        </w:rPr>
        <w:footnoteReference w:id="102"/>
      </w:r>
      <w:r>
        <w:rPr>
          <w:rFonts w:ascii="新細明體" w:hAnsi="新細明體" w:hint="eastAsia"/>
          <w:color w:val="000000"/>
          <w:lang w:val="de-DE"/>
        </w:rPr>
        <w:t>聯邦公務員法第</w:t>
      </w:r>
      <w:r>
        <w:rPr>
          <w:rFonts w:ascii="新細明體" w:hAnsi="新細明體"/>
          <w:color w:val="000000"/>
          <w:lang w:val="de-DE"/>
        </w:rPr>
        <w:t>91</w:t>
      </w:r>
      <w:r>
        <w:rPr>
          <w:rFonts w:ascii="新細明體" w:hAnsi="新細明體" w:hint="eastAsia"/>
          <w:color w:val="000000"/>
          <w:lang w:val="de-DE"/>
        </w:rPr>
        <w:t>條及公務員基準法第</w:t>
      </w:r>
      <w:r>
        <w:rPr>
          <w:rFonts w:ascii="新細明體" w:hAnsi="新細明體"/>
          <w:color w:val="000000"/>
          <w:lang w:val="de-DE"/>
        </w:rPr>
        <w:t>57</w:t>
      </w:r>
      <w:r>
        <w:rPr>
          <w:rFonts w:ascii="新細明體" w:hAnsi="新細明體" w:hint="eastAsia"/>
          <w:color w:val="000000"/>
          <w:lang w:val="de-DE"/>
        </w:rPr>
        <w:t>條因此明文保障公務員組織工會或職業聯盟之權，並且規定公務員不得因其工會或職業聯盟之活動而受處罰或受到歧視。此一保障聯結到慎重與節制義務，便會產生一項疑問：如果工會</w:t>
      </w:r>
      <w:r>
        <w:rPr>
          <w:rFonts w:ascii="新細明體" w:hAnsi="新細明體" w:hint="eastAsia"/>
          <w:color w:val="000000"/>
          <w:lang w:val="de-DE"/>
        </w:rPr>
        <w:t>活動也屬於政治活動，則是否也要受到慎重與節制義務之限制？如果因違反慎重與節制義務而受懲戒，是否抵觸不得因工會活動而受處罰之規定？對此學說上認為主要爭點並非「工會活動是否屬於政治活動」這樣的問題，而是「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項所保障之勞工團結權是否包括政治性之工</w:t>
      </w:r>
      <w:r>
        <w:rPr>
          <w:rFonts w:ascii="新細明體" w:hAnsi="新細明體" w:hint="eastAsia"/>
          <w:color w:val="000000"/>
          <w:lang w:val="de-DE"/>
        </w:rPr>
        <w:lastRenderedPageBreak/>
        <w:t>會活動？」就此應區分情形而論：</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公務員基於其另外之政治目的而行使其團結權，例如在行政機關內呼籲怠工</w:t>
      </w:r>
      <w:r>
        <w:rPr>
          <w:rFonts w:ascii="新細明體" w:hAnsi="新細明體"/>
          <w:color w:val="000000"/>
          <w:lang w:val="de-DE"/>
        </w:rPr>
        <w:t>(Dienstunterbrechung)</w:t>
      </w:r>
      <w:r>
        <w:rPr>
          <w:rFonts w:ascii="新細明體" w:hAnsi="新細明體" w:hint="eastAsia"/>
          <w:color w:val="000000"/>
          <w:lang w:val="de-DE"/>
        </w:rPr>
        <w:t>以抗議核飛彈之設置，則不受基本法第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項所保障，而只涉及慎重與節制義務；</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在團結任務範圍內之行為，即有可能因團結權</w:t>
      </w:r>
      <w:r>
        <w:rPr>
          <w:rFonts w:ascii="新細明體" w:hAnsi="新細明體" w:hint="eastAsia"/>
          <w:color w:val="000000"/>
          <w:lang w:val="de-DE"/>
        </w:rPr>
        <w:t>之特別保障而被認定為合法。在此須進一步區分所涉及者是否政治活動。例如工會代表以貶抑的態度批評其部門主管，雖可能違反聯邦公務員法第</w:t>
      </w:r>
      <w:r>
        <w:rPr>
          <w:rFonts w:ascii="新細明體" w:hAnsi="新細明體"/>
          <w:color w:val="000000"/>
          <w:lang w:val="de-DE"/>
        </w:rPr>
        <w:t>54</w:t>
      </w:r>
      <w:r>
        <w:rPr>
          <w:rFonts w:ascii="新細明體" w:hAnsi="新細明體" w:hint="eastAsia"/>
          <w:color w:val="000000"/>
          <w:lang w:val="de-DE"/>
        </w:rPr>
        <w:t>條之尊嚴條款，但因其並非政治性的活動，而與慎重與節制義務無涉。但在團結任務範圍內之課題如屬政治課題，例如在法律政策上公開地主張公務員應有罷工權，則有可能涉及慎重與節制義務及基本法第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項所保障之團結權間之衝突，而必須從事利益衡量。在這個衡量中，憲法對於勞工團結權之特別保障，應特別予以斟酌。</w:t>
      </w:r>
      <w:r>
        <w:rPr>
          <w:rStyle w:val="a6"/>
          <w:rFonts w:ascii="新細明體" w:hAnsi="新細明體"/>
          <w:color w:val="000000"/>
          <w:lang w:val="de-DE"/>
        </w:rPr>
        <w:footnoteReference w:id="103"/>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與政黨政治無直接關聯之政治活動還包括在公共生活中對政治議題之參與，</w:t>
      </w:r>
      <w:proofErr w:type="gramStart"/>
      <w:r>
        <w:rPr>
          <w:rFonts w:ascii="新細明體" w:hAnsi="新細明體" w:hint="eastAsia"/>
          <w:color w:val="000000"/>
          <w:lang w:val="de-DE"/>
        </w:rPr>
        <w:t>這常表現</w:t>
      </w:r>
      <w:proofErr w:type="gramEnd"/>
      <w:r>
        <w:rPr>
          <w:rFonts w:ascii="新細明體" w:hAnsi="新細明體" w:hint="eastAsia"/>
          <w:color w:val="000000"/>
          <w:lang w:val="de-DE"/>
        </w:rPr>
        <w:t>於結社、參與集會、示威遊行或發表言論。公務員是否違反其慎重與節制義務，在實務上經常發生在此一案型。以下介紹一些例子：</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在執行職務中佩帶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：德國在</w:t>
      </w:r>
      <w:r>
        <w:rPr>
          <w:rFonts w:ascii="新細明體" w:hAnsi="新細明體"/>
          <w:color w:val="000000"/>
          <w:lang w:val="de-DE"/>
        </w:rPr>
        <w:t>1977</w:t>
      </w:r>
      <w:r>
        <w:rPr>
          <w:rFonts w:ascii="新細明體" w:hAnsi="新細明體" w:hint="eastAsia"/>
          <w:color w:val="000000"/>
          <w:lang w:val="de-DE"/>
        </w:rPr>
        <w:t>年初對於核能的和平用途有熱烈的討論。當時就有一些教師在課堂上佩帶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：一種圓形標章，黃底，上有紅日及文字：「核能？不了，謝謝」。</w:t>
      </w:r>
      <w:r>
        <w:rPr>
          <w:rFonts w:ascii="新細明體" w:hAnsi="新細明體"/>
          <w:color w:val="000000"/>
          <w:lang w:val="de-DE"/>
        </w:rPr>
        <w:t>1977</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4</w:t>
      </w:r>
      <w:r>
        <w:rPr>
          <w:rFonts w:ascii="新細明體" w:hAnsi="新細明體" w:hint="eastAsia"/>
          <w:color w:val="000000"/>
          <w:lang w:val="de-DE"/>
        </w:rPr>
        <w:t>日在漢堡之一位教師被其校長禁止佩帶此種標章。針對此一禁止，該教師於</w:t>
      </w:r>
      <w:proofErr w:type="gramStart"/>
      <w:r>
        <w:rPr>
          <w:rFonts w:ascii="新細明體" w:hAnsi="新細明體" w:hint="eastAsia"/>
          <w:color w:val="000000"/>
          <w:lang w:val="de-DE"/>
        </w:rPr>
        <w:t>踐行</w:t>
      </w:r>
      <w:proofErr w:type="gramEnd"/>
      <w:r>
        <w:rPr>
          <w:rFonts w:ascii="新細明體" w:hAnsi="新細明體" w:hint="eastAsia"/>
          <w:color w:val="000000"/>
          <w:lang w:val="de-DE"/>
        </w:rPr>
        <w:t>異議程序後提起行政訴訟，雖獲得勝訴，但上訴審之高等法院及之後的聯邦行政法院皆認為教師在課堂上佩帶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違反慎重與節制義務。</w:t>
      </w:r>
      <w:r>
        <w:rPr>
          <w:rStyle w:val="a6"/>
          <w:rFonts w:ascii="新細明體" w:hAnsi="新細明體"/>
          <w:color w:val="000000"/>
          <w:lang w:val="de-DE"/>
        </w:rPr>
        <w:footnoteReference w:id="104"/>
      </w:r>
      <w:r>
        <w:rPr>
          <w:rFonts w:ascii="新細明體" w:hAnsi="新細明體" w:hint="eastAsia"/>
          <w:color w:val="000000"/>
          <w:lang w:val="de-DE"/>
        </w:rPr>
        <w:t>本案中之</w:t>
      </w:r>
      <w:r>
        <w:rPr>
          <w:rFonts w:ascii="新細明體" w:hAnsi="新細明體" w:hint="eastAsia"/>
          <w:color w:val="000000"/>
          <w:lang w:val="de-DE"/>
        </w:rPr>
        <w:t>教師具有公務員身分，但在具職員身分之教師也有相同之案例。同樣是</w:t>
      </w:r>
      <w:r>
        <w:rPr>
          <w:rFonts w:ascii="新細明體" w:hAnsi="新細明體"/>
          <w:color w:val="000000"/>
          <w:lang w:val="de-DE"/>
        </w:rPr>
        <w:t>1977</w:t>
      </w:r>
      <w:r>
        <w:rPr>
          <w:rFonts w:ascii="新細明體" w:hAnsi="新細明體" w:hint="eastAsia"/>
          <w:color w:val="000000"/>
          <w:lang w:val="de-DE"/>
        </w:rPr>
        <w:t>年、漢堡，一位具職員身分之教師也被其校長禁止其於課堂上佩帶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。如前所述，聯邦勞動法院認為基於「聯邦職員團體協約」第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項，職員於從事政治活動時亦負有慎重與節制義務</w:t>
      </w:r>
      <w:r>
        <w:rPr>
          <w:rFonts w:ascii="新細明體" w:hAnsi="新細明體"/>
          <w:color w:val="000000"/>
          <w:lang w:val="de-DE"/>
        </w:rPr>
        <w:t>,</w:t>
      </w:r>
      <w:r>
        <w:rPr>
          <w:rFonts w:ascii="新細明體" w:hAnsi="新細明體" w:hint="eastAsia"/>
          <w:color w:val="000000"/>
          <w:lang w:val="de-DE"/>
        </w:rPr>
        <w:t>。而且，聯邦勞動法院亦認為在課堂上佩帶反</w:t>
      </w:r>
      <w:proofErr w:type="gramStart"/>
      <w:r>
        <w:rPr>
          <w:rFonts w:ascii="新細明體" w:hAnsi="新細明體" w:hint="eastAsia"/>
          <w:color w:val="000000"/>
          <w:lang w:val="de-DE"/>
        </w:rPr>
        <w:t>核標章乃</w:t>
      </w:r>
      <w:proofErr w:type="gramEnd"/>
      <w:r>
        <w:rPr>
          <w:rFonts w:ascii="新細明體" w:hAnsi="新細明體" w:hint="eastAsia"/>
          <w:color w:val="000000"/>
          <w:lang w:val="de-DE"/>
        </w:rPr>
        <w:t>違反慎重與節制義務。</w:t>
      </w:r>
      <w:r>
        <w:rPr>
          <w:rStyle w:val="a6"/>
          <w:rFonts w:ascii="新細明體" w:hAnsi="新細明體"/>
          <w:color w:val="000000"/>
          <w:lang w:val="de-DE"/>
        </w:rPr>
        <w:footnoteReference w:id="105"/>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公開連署反對設置核飛彈：</w:t>
      </w:r>
      <w:r>
        <w:rPr>
          <w:rFonts w:ascii="新細明體" w:hAnsi="新細明體"/>
          <w:color w:val="000000"/>
          <w:lang w:val="de-DE"/>
        </w:rPr>
        <w:t>1983</w:t>
      </w:r>
      <w:r>
        <w:rPr>
          <w:rFonts w:ascii="新細明體" w:hAnsi="新細明體" w:hint="eastAsia"/>
          <w:color w:val="000000"/>
          <w:lang w:val="de-DE"/>
        </w:rPr>
        <w:t>年</w:t>
      </w:r>
      <w:r>
        <w:rPr>
          <w:rFonts w:ascii="新細明體" w:hAnsi="新細明體"/>
          <w:color w:val="000000"/>
          <w:lang w:val="de-DE"/>
        </w:rPr>
        <w:t>8</w:t>
      </w:r>
      <w:r>
        <w:rPr>
          <w:rFonts w:ascii="新細明體" w:hAnsi="新細明體" w:hint="eastAsia"/>
          <w:color w:val="000000"/>
          <w:lang w:val="de-DE"/>
        </w:rPr>
        <w:t>月</w:t>
      </w:r>
      <w:r>
        <w:rPr>
          <w:rFonts w:ascii="新細明體" w:hAnsi="新細明體"/>
          <w:color w:val="000000"/>
          <w:lang w:val="de-DE"/>
        </w:rPr>
        <w:t>6</w:t>
      </w:r>
      <w:r>
        <w:rPr>
          <w:rFonts w:ascii="新細明體" w:hAnsi="新細明體" w:hint="eastAsia"/>
          <w:color w:val="000000"/>
          <w:lang w:val="de-DE"/>
        </w:rPr>
        <w:t>日</w:t>
      </w:r>
      <w:r>
        <w:rPr>
          <w:rFonts w:ascii="新細明體" w:hAnsi="新細明體"/>
          <w:color w:val="000000"/>
          <w:lang w:val="de-DE"/>
        </w:rPr>
        <w:t>Lübeck</w:t>
      </w:r>
      <w:r>
        <w:rPr>
          <w:rFonts w:ascii="新細明體" w:hAnsi="新細明體" w:hint="eastAsia"/>
          <w:color w:val="000000"/>
          <w:lang w:val="de-DE"/>
        </w:rPr>
        <w:t>地方法院的一個庭長與其他</w:t>
      </w:r>
      <w:r>
        <w:rPr>
          <w:rFonts w:ascii="新細明體" w:hAnsi="新細明體"/>
          <w:color w:val="000000"/>
          <w:lang w:val="de-DE"/>
        </w:rPr>
        <w:t>34</w:t>
      </w:r>
      <w:r>
        <w:rPr>
          <w:rFonts w:ascii="新細明體" w:hAnsi="新細明體" w:hint="eastAsia"/>
          <w:color w:val="000000"/>
          <w:lang w:val="de-DE"/>
        </w:rPr>
        <w:t>個法官及檢察官共同連署，以「</w:t>
      </w:r>
      <w:r>
        <w:rPr>
          <w:rFonts w:ascii="新細明體" w:hAnsi="新細明體"/>
          <w:color w:val="000000"/>
          <w:lang w:val="de-DE"/>
        </w:rPr>
        <w:t>Lübeck</w:t>
      </w:r>
      <w:r>
        <w:rPr>
          <w:rFonts w:ascii="新細明體" w:hAnsi="新細明體" w:hint="eastAsia"/>
          <w:color w:val="000000"/>
          <w:lang w:val="de-DE"/>
        </w:rPr>
        <w:t>地區</w:t>
      </w:r>
      <w:r>
        <w:rPr>
          <w:rFonts w:ascii="新細明體" w:hAnsi="新細明體"/>
          <w:color w:val="000000"/>
          <w:lang w:val="de-DE"/>
        </w:rPr>
        <w:t>35</w:t>
      </w:r>
      <w:r>
        <w:rPr>
          <w:rFonts w:ascii="新細明體" w:hAnsi="新細明體" w:hint="eastAsia"/>
          <w:color w:val="000000"/>
          <w:lang w:val="de-DE"/>
        </w:rPr>
        <w:t>位法官與檢察官反對設置核彈」為標題，在報上發表聲明，反對在德國境內</w:t>
      </w:r>
      <w:r>
        <w:rPr>
          <w:rFonts w:ascii="新細明體" w:hAnsi="新細明體" w:hint="eastAsia"/>
          <w:color w:val="000000"/>
          <w:lang w:val="de-DE"/>
        </w:rPr>
        <w:t>設置潘興二號飛彈。在該聲明發表之前</w:t>
      </w:r>
      <w:r>
        <w:rPr>
          <w:rFonts w:ascii="新細明體" w:hAnsi="新細明體"/>
          <w:color w:val="000000"/>
          <w:lang w:val="de-DE"/>
        </w:rPr>
        <w:t>(</w:t>
      </w:r>
      <w:r>
        <w:rPr>
          <w:rFonts w:ascii="新細明體" w:hAnsi="新細明體" w:hint="eastAsia"/>
          <w:color w:val="000000"/>
          <w:lang w:val="de-DE"/>
        </w:rPr>
        <w:t>同年</w:t>
      </w:r>
      <w:r>
        <w:rPr>
          <w:rFonts w:ascii="新細明體" w:hAnsi="新細明體"/>
          <w:color w:val="000000"/>
          <w:lang w:val="de-DE"/>
        </w:rPr>
        <w:t>8</w:t>
      </w:r>
      <w:r>
        <w:rPr>
          <w:rFonts w:ascii="新細明體" w:hAnsi="新細明體" w:hint="eastAsia"/>
          <w:color w:val="000000"/>
          <w:lang w:val="de-DE"/>
        </w:rPr>
        <w:t>月</w:t>
      </w:r>
      <w:r>
        <w:rPr>
          <w:rFonts w:ascii="新細明體" w:hAnsi="新細明體"/>
          <w:color w:val="000000"/>
          <w:lang w:val="de-DE"/>
        </w:rPr>
        <w:t>2</w:t>
      </w:r>
      <w:r>
        <w:rPr>
          <w:rFonts w:ascii="新細明體" w:hAnsi="新細明體" w:hint="eastAsia"/>
          <w:color w:val="000000"/>
          <w:lang w:val="de-DE"/>
        </w:rPr>
        <w:t>日</w:t>
      </w:r>
      <w:r>
        <w:rPr>
          <w:rFonts w:ascii="新細明體" w:hAnsi="新細明體"/>
          <w:color w:val="000000"/>
          <w:lang w:val="de-DE"/>
        </w:rPr>
        <w:t>)</w:t>
      </w:r>
      <w:r>
        <w:rPr>
          <w:rFonts w:ascii="新細明體" w:hAnsi="新細明體" w:hint="eastAsia"/>
          <w:color w:val="000000"/>
          <w:lang w:val="de-DE"/>
        </w:rPr>
        <w:t>，該法院之院長已經表示，該聲明違反法官於政治活動時之節制義務。聲明發表之後，該院長對該庭長施以警告</w:t>
      </w:r>
      <w:r>
        <w:rPr>
          <w:rFonts w:ascii="新細明體" w:hAnsi="新細明體"/>
          <w:color w:val="000000"/>
          <w:lang w:val="de-DE"/>
        </w:rPr>
        <w:t>(Ermahnung)</w:t>
      </w:r>
      <w:r>
        <w:rPr>
          <w:rFonts w:ascii="新細明體" w:hAnsi="新細明體" w:hint="eastAsia"/>
          <w:color w:val="000000"/>
          <w:lang w:val="de-DE"/>
        </w:rPr>
        <w:t>：以後應遵守從事政治活動時法律所要求之慎重與節制義務。針對此一職務監督措施，該庭長提起行政訴訟。對此聯邦行政法院認為此一公開的意見表達違反慎重與節制義務。</w:t>
      </w:r>
      <w:r>
        <w:rPr>
          <w:rStyle w:val="a6"/>
          <w:rFonts w:ascii="新細明體" w:hAnsi="新細明體"/>
          <w:color w:val="000000"/>
          <w:lang w:val="de-DE"/>
        </w:rPr>
        <w:footnoteReference w:id="106"/>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lastRenderedPageBreak/>
        <w:t>在以下對慎重與節制義務條款之構成要件作進一步的分析之前，在此對於意見表達部分所要考慮的是，是否所有的言論表達都是政治活動？對此可先參考「軍人法」</w:t>
      </w:r>
      <w:r>
        <w:rPr>
          <w:rFonts w:ascii="新細明體" w:hAnsi="新細明體"/>
          <w:color w:val="000000"/>
          <w:lang w:val="de-DE"/>
        </w:rPr>
        <w:t>(Soldatengesetz; Sol</w:t>
      </w:r>
      <w:r>
        <w:rPr>
          <w:rFonts w:ascii="新細明體" w:hAnsi="新細明體"/>
          <w:color w:val="000000"/>
          <w:lang w:val="de-DE"/>
        </w:rPr>
        <w:t>dG)</w:t>
      </w: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項之規定「軍人在職務中不得從事政治活動，但軍人與同袍交談中表達其意見之權利不受影響」。在此政治活動與單純之言論間之區別，顯然為重點所在。聯邦行政法院在一項關於軍人將與前述</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相同內容之海報張貼在軍車上之判決中即表示，並非所有政治言論都是軍人法第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項之政治活動。不過，對於此二者如何區分，聯邦行政法院並未提供一般性之判</w:t>
      </w:r>
      <w:proofErr w:type="gramStart"/>
      <w:r>
        <w:rPr>
          <w:rFonts w:ascii="新細明體" w:hAnsi="新細明體" w:hint="eastAsia"/>
          <w:color w:val="000000"/>
          <w:lang w:val="de-DE"/>
        </w:rPr>
        <w:t>準</w:t>
      </w:r>
      <w:proofErr w:type="gramEnd"/>
      <w:r>
        <w:rPr>
          <w:rFonts w:ascii="新細明體" w:hAnsi="新細明體" w:hint="eastAsia"/>
          <w:color w:val="000000"/>
          <w:lang w:val="de-DE"/>
        </w:rPr>
        <w:t>。</w:t>
      </w:r>
      <w:proofErr w:type="gramStart"/>
      <w:r>
        <w:rPr>
          <w:rFonts w:ascii="新細明體" w:hAnsi="新細明體" w:hint="eastAsia"/>
          <w:color w:val="000000"/>
          <w:lang w:val="de-DE"/>
        </w:rPr>
        <w:t>惟</w:t>
      </w:r>
      <w:proofErr w:type="gramEnd"/>
      <w:r>
        <w:rPr>
          <w:rFonts w:ascii="新細明體" w:hAnsi="新細明體" w:hint="eastAsia"/>
          <w:color w:val="000000"/>
          <w:lang w:val="de-DE"/>
        </w:rPr>
        <w:t>針對在軍車上張貼反核海報，聯邦行政法院認為此海報乃是具一定內容之宣傳品，其散播乃在追求一定的政治效果。</w:t>
      </w:r>
      <w:r>
        <w:rPr>
          <w:rStyle w:val="a6"/>
          <w:rFonts w:ascii="新細明體" w:hAnsi="新細明體"/>
          <w:color w:val="000000"/>
          <w:lang w:val="de-DE"/>
        </w:rPr>
        <w:footnoteReference w:id="107"/>
      </w:r>
      <w:r>
        <w:rPr>
          <w:rFonts w:ascii="新細明體" w:hAnsi="新細明體" w:hint="eastAsia"/>
          <w:color w:val="000000"/>
          <w:lang w:val="de-DE"/>
        </w:rPr>
        <w:t>在上述教師佩帶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之例中，聯邦勞動法院與聯邦行政法院</w:t>
      </w:r>
      <w:r>
        <w:rPr>
          <w:rFonts w:ascii="新細明體" w:hAnsi="新細明體" w:hint="eastAsia"/>
          <w:color w:val="000000"/>
          <w:lang w:val="de-DE"/>
        </w:rPr>
        <w:t>提出了更為</w:t>
      </w:r>
      <w:proofErr w:type="gramStart"/>
      <w:r>
        <w:rPr>
          <w:rFonts w:ascii="新細明體" w:hAnsi="新細明體" w:hint="eastAsia"/>
          <w:color w:val="000000"/>
          <w:lang w:val="de-DE"/>
        </w:rPr>
        <w:t>清楚的</w:t>
      </w:r>
      <w:proofErr w:type="gramEnd"/>
      <w:r>
        <w:rPr>
          <w:rFonts w:ascii="新細明體" w:hAnsi="新細明體" w:hint="eastAsia"/>
          <w:color w:val="000000"/>
          <w:lang w:val="de-DE"/>
        </w:rPr>
        <w:t>說理：「</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之佩帶者經由其行為明白表達出其反對核能和平用途之立場，亦即其乃是對於一項在社會上非常具爭議性之重大政策問題表達其立場。其行為乃超出政治意見的單純表達，而成為追求一定政治目的之訴求。」</w:t>
      </w:r>
      <w:r>
        <w:rPr>
          <w:rStyle w:val="a6"/>
          <w:rFonts w:ascii="新細明體" w:hAnsi="新細明體"/>
          <w:color w:val="000000"/>
          <w:lang w:val="de-DE"/>
        </w:rPr>
        <w:footnoteReference w:id="108"/>
      </w:r>
      <w:r>
        <w:rPr>
          <w:rFonts w:ascii="新細明體" w:hAnsi="新細明體" w:hint="eastAsia"/>
          <w:color w:val="000000"/>
          <w:lang w:val="de-DE"/>
        </w:rPr>
        <w:t>由此</w:t>
      </w:r>
      <w:proofErr w:type="gramStart"/>
      <w:r>
        <w:rPr>
          <w:rFonts w:ascii="新細明體" w:hAnsi="新細明體" w:hint="eastAsia"/>
          <w:color w:val="000000"/>
          <w:lang w:val="de-DE"/>
        </w:rPr>
        <w:t>一</w:t>
      </w:r>
      <w:proofErr w:type="gramEnd"/>
      <w:r>
        <w:rPr>
          <w:rFonts w:ascii="新細明體" w:hAnsi="新細明體" w:hint="eastAsia"/>
          <w:color w:val="000000"/>
          <w:lang w:val="de-DE"/>
        </w:rPr>
        <w:t>見解似乎顯示出，所謂的政治「活動」並非單純的行為，而必須具備某種特質，亦即具目的性地參與政治意見的競逐，因此它通常是積極性的、宣傳性的或甚或煽動性的。</w:t>
      </w:r>
      <w:r>
        <w:rPr>
          <w:rStyle w:val="a6"/>
          <w:rFonts w:ascii="新細明體" w:hAnsi="新細明體"/>
          <w:color w:val="000000"/>
          <w:lang w:val="de-DE"/>
        </w:rPr>
        <w:footnoteReference w:id="109"/>
      </w:r>
    </w:p>
    <w:p w:rsidR="00000000" w:rsidRDefault="00917CC1">
      <w:pPr>
        <w:jc w:val="both"/>
        <w:rPr>
          <w:rFonts w:ascii="新細明體" w:hAnsi="新細明體" w:hint="eastAsia"/>
          <w:color w:val="000000"/>
          <w:lang w:val="de-DE"/>
        </w:rPr>
      </w:pPr>
    </w:p>
    <w:p w:rsidR="00000000" w:rsidRDefault="00917CC1">
      <w:pPr>
        <w:pStyle w:val="5"/>
        <w:rPr>
          <w:rFonts w:hint="eastAsia"/>
        </w:rPr>
      </w:pPr>
      <w:bookmarkStart w:id="20" w:name="_Toc535245931"/>
      <w:r>
        <w:rPr>
          <w:rFonts w:hint="eastAsia"/>
        </w:rPr>
        <w:t>（二）基於為全體國民服務之地位及職務義務之考慮</w:t>
      </w:r>
      <w:bookmarkEnd w:id="20"/>
    </w:p>
    <w:p w:rsidR="00000000" w:rsidRDefault="00917CC1">
      <w:pPr>
        <w:pStyle w:val="6"/>
      </w:pPr>
      <w:bookmarkStart w:id="21" w:name="_Toc535245932"/>
      <w:r>
        <w:rPr>
          <w:rFonts w:hint="eastAsia"/>
        </w:rPr>
        <w:t>1</w:t>
      </w:r>
      <w:r>
        <w:rPr>
          <w:rFonts w:hint="eastAsia"/>
        </w:rPr>
        <w:t>、類型區分</w:t>
      </w:r>
      <w:bookmarkEnd w:id="21"/>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慎重與節制條款要求公務員於從事政治活動時，應遵守「基於為全體國民</w:t>
      </w:r>
      <w:r>
        <w:rPr>
          <w:rFonts w:ascii="新細明體" w:hAnsi="新細明體" w:hint="eastAsia"/>
          <w:color w:val="000000"/>
          <w:lang w:val="de-DE"/>
        </w:rPr>
        <w:t>服務之地位及職務義務之考慮」所導出之慎重與節制義務。對此要考慮的是，「為全體國民服務之地位」及「職務義務」是否為兩個獨立的範疇？此一問題之爭點在於所謂「基於為全體國民服務地位之考慮」是否指單從公務員地位本身，完全不考慮對具體職務執行之影響，即可導出對其政治活動之限制？從條文用語來看似乎很清楚地區分基於公務員地位本身之義務及基於職務之執行所生之義務，但在解釋上卻非沒有任何疑慮。先從字面來看，如果比較慎重與節制條款與法官法第</w:t>
      </w:r>
      <w:r>
        <w:rPr>
          <w:rFonts w:ascii="新細明體" w:hAnsi="新細明體"/>
          <w:color w:val="000000"/>
          <w:lang w:val="de-DE"/>
        </w:rPr>
        <w:t>39</w:t>
      </w:r>
      <w:r>
        <w:rPr>
          <w:rFonts w:ascii="新細明體" w:hAnsi="新細明體" w:hint="eastAsia"/>
          <w:color w:val="000000"/>
          <w:lang w:val="de-DE"/>
        </w:rPr>
        <w:t>條，可以看出明顯的差別。法官法第</w:t>
      </w:r>
      <w:r>
        <w:rPr>
          <w:rFonts w:ascii="新細明體" w:hAnsi="新細明體"/>
          <w:color w:val="000000"/>
          <w:lang w:val="de-DE"/>
        </w:rPr>
        <w:t>39</w:t>
      </w:r>
      <w:r>
        <w:rPr>
          <w:rFonts w:ascii="新細明體" w:hAnsi="新細明體" w:hint="eastAsia"/>
          <w:color w:val="000000"/>
          <w:lang w:val="de-DE"/>
        </w:rPr>
        <w:t>條規定「法官不分職務內、外，也包括從事政治活動時</w:t>
      </w:r>
      <w:r>
        <w:rPr>
          <w:rFonts w:ascii="新細明體" w:hAnsi="新細明體" w:hint="eastAsia"/>
          <w:color w:val="000000"/>
          <w:lang w:val="de-DE"/>
        </w:rPr>
        <w:t>，其行為不得損及對其獨立性之信賴。」似乎對法官政治活動之限制必須是為了維護法官功能之充分發揮。如果貫徹這種功能取向的解釋，則對公務員政治活動的限制也可作相同解釋。蓋限制公務員政治活動之憲法基礎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項，而依此規定所得以限制公務員之基本權者，必須是為維護一個能正常發揮功能之公務員制度之所必要。依照此一意旨來解釋慎重與節制條款，則所謂基於公務員地位所導出之對其政治活動之</w:t>
      </w:r>
      <w:r>
        <w:rPr>
          <w:rFonts w:ascii="新細明體" w:hAnsi="新細明體" w:hint="eastAsia"/>
          <w:color w:val="000000"/>
          <w:lang w:val="de-DE"/>
        </w:rPr>
        <w:lastRenderedPageBreak/>
        <w:t>限制必須具有職務關聯性，</w:t>
      </w:r>
      <w:proofErr w:type="gramStart"/>
      <w:r>
        <w:rPr>
          <w:rFonts w:ascii="新細明體" w:hAnsi="新細明體" w:hint="eastAsia"/>
          <w:color w:val="000000"/>
          <w:lang w:val="de-DE"/>
        </w:rPr>
        <w:t>亦即須其政治</w:t>
      </w:r>
      <w:proofErr w:type="gramEnd"/>
      <w:r>
        <w:rPr>
          <w:rFonts w:ascii="新細明體" w:hAnsi="新細明體" w:hint="eastAsia"/>
          <w:color w:val="000000"/>
          <w:lang w:val="de-DE"/>
        </w:rPr>
        <w:t>活動影響職務之執行始得加以限制，例如因其政治活動而使得人民無法信賴其會中立、公正地執行職務。</w:t>
      </w:r>
      <w:r>
        <w:rPr>
          <w:rFonts w:ascii="新細明體" w:hAnsi="新細明體" w:hint="eastAsia"/>
          <w:color w:val="000000"/>
          <w:lang w:val="de-DE"/>
        </w:rPr>
        <w:t>這種對公務員中立、公正之信賴乃是基於公務員地位之一般性的要求，而非基於個別職務義務之考慮。此種對基於公務員地位所導出之慎重與節制義務之限縮解釋，其意義在關聯到「尊嚴條款」</w:t>
      </w:r>
      <w:r>
        <w:rPr>
          <w:rFonts w:ascii="新細明體" w:hAnsi="新細明體"/>
          <w:color w:val="000000"/>
          <w:lang w:val="de-DE"/>
        </w:rPr>
        <w:t>(§§ 54 BBG; 36 BRRG)</w:t>
      </w:r>
      <w:r>
        <w:rPr>
          <w:rFonts w:ascii="新細明體" w:hAnsi="新細明體" w:hint="eastAsia"/>
          <w:color w:val="000000"/>
          <w:lang w:val="de-DE"/>
        </w:rPr>
        <w:t>時會更清楚地顯示出來。可遠溯至</w:t>
      </w:r>
      <w:r>
        <w:rPr>
          <w:rFonts w:ascii="新細明體" w:hAnsi="新細明體"/>
          <w:color w:val="000000"/>
          <w:lang w:val="de-DE"/>
        </w:rPr>
        <w:t>1873</w:t>
      </w:r>
      <w:r>
        <w:rPr>
          <w:rFonts w:ascii="新細明體" w:hAnsi="新細明體" w:hint="eastAsia"/>
          <w:color w:val="000000"/>
          <w:lang w:val="de-DE"/>
        </w:rPr>
        <w:t>年之帝國公務員法第</w:t>
      </w:r>
      <w:r>
        <w:rPr>
          <w:rFonts w:ascii="新細明體" w:hAnsi="新細明體"/>
          <w:color w:val="000000"/>
          <w:lang w:val="de-DE"/>
        </w:rPr>
        <w:t>10</w:t>
      </w:r>
      <w:r>
        <w:rPr>
          <w:rFonts w:ascii="新細明體" w:hAnsi="新細明體" w:hint="eastAsia"/>
          <w:color w:val="000000"/>
          <w:lang w:val="de-DE"/>
        </w:rPr>
        <w:t>條之「尊嚴條款」</w:t>
      </w:r>
      <w:proofErr w:type="gramStart"/>
      <w:r>
        <w:rPr>
          <w:rFonts w:ascii="新細明體" w:hAnsi="新細明體" w:hint="eastAsia"/>
          <w:color w:val="000000"/>
          <w:lang w:val="de-DE"/>
        </w:rPr>
        <w:t>可以說是基於</w:t>
      </w:r>
      <w:proofErr w:type="gramEnd"/>
      <w:r>
        <w:rPr>
          <w:rFonts w:ascii="新細明體" w:hAnsi="新細明體" w:hint="eastAsia"/>
          <w:color w:val="000000"/>
          <w:lang w:val="de-DE"/>
        </w:rPr>
        <w:t>公務員地位所導出之一般義務的核心規定。將「尊嚴條款」之精神貫徹到「慎重與節制條款」，便會認為公務員於從事政治活動</w:t>
      </w:r>
      <w:proofErr w:type="gramStart"/>
      <w:r>
        <w:rPr>
          <w:rFonts w:ascii="新細明體" w:hAnsi="新細明體" w:hint="eastAsia"/>
          <w:color w:val="000000"/>
          <w:lang w:val="de-DE"/>
        </w:rPr>
        <w:t>時跟為其他</w:t>
      </w:r>
      <w:proofErr w:type="gramEnd"/>
      <w:r>
        <w:rPr>
          <w:rFonts w:ascii="新細明體" w:hAnsi="新細明體" w:hint="eastAsia"/>
          <w:color w:val="000000"/>
          <w:lang w:val="de-DE"/>
        </w:rPr>
        <w:t>職務外行為一樣，皆必須是適於其職業上所要求之尊重與信賴的行為。不過，限縮解釋論者則認為，既然</w:t>
      </w:r>
      <w:r>
        <w:rPr>
          <w:rFonts w:ascii="新細明體" w:hAnsi="新細明體" w:hint="eastAsia"/>
          <w:color w:val="000000"/>
          <w:lang w:val="de-DE"/>
        </w:rPr>
        <w:t>立法者在「慎重與節制條款」所作之基本決定乃是原則上允許公務員之政治活動，則不應再依循「尊嚴條款」之精神而對公務員之政治活動作進一步之限制，因此應只限於政治活動影響其功能之正常發揮時才限制之。</w:t>
      </w:r>
      <w:r>
        <w:rPr>
          <w:rStyle w:val="a6"/>
          <w:rFonts w:ascii="新細明體" w:hAnsi="新細明體"/>
          <w:color w:val="000000"/>
          <w:lang w:val="de-DE"/>
        </w:rPr>
        <w:footnoteReference w:id="110"/>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限縮解釋論並未被普遍地接受。首先，法官法第</w:t>
      </w:r>
      <w:r>
        <w:rPr>
          <w:rFonts w:ascii="新細明體" w:hAnsi="新細明體"/>
          <w:color w:val="000000"/>
          <w:lang w:val="de-DE"/>
        </w:rPr>
        <w:t>39</w:t>
      </w:r>
      <w:r>
        <w:rPr>
          <w:rFonts w:ascii="新細明體" w:hAnsi="新細明體" w:hint="eastAsia"/>
          <w:color w:val="000000"/>
          <w:lang w:val="de-DE"/>
        </w:rPr>
        <w:t>條就並未如其字面那樣解釋為法官之政治活動僅於危及對其獨立性之信賴時才受限制。在上述之</w:t>
      </w:r>
      <w:r>
        <w:rPr>
          <w:rFonts w:ascii="新細明體" w:hAnsi="新細明體"/>
          <w:color w:val="000000"/>
          <w:lang w:val="de-DE"/>
        </w:rPr>
        <w:t>Lübeck</w:t>
      </w:r>
      <w:r>
        <w:rPr>
          <w:rFonts w:ascii="新細明體" w:hAnsi="新細明體" w:hint="eastAsia"/>
          <w:color w:val="000000"/>
          <w:lang w:val="de-DE"/>
        </w:rPr>
        <w:t>法官連署反對設置核飛彈一案中，聯邦行政法院認為法官在連署中註明其職銜乃是濫用對其地位之尊重與信賴以增加其政治言論之份量乃違反其從事政治活動時之慎重與節制義務</w:t>
      </w:r>
      <w:r>
        <w:rPr>
          <w:rStyle w:val="a6"/>
          <w:rFonts w:ascii="新細明體" w:hAnsi="新細明體"/>
          <w:color w:val="000000"/>
          <w:lang w:val="de-DE"/>
        </w:rPr>
        <w:footnoteReference w:id="111"/>
      </w:r>
      <w:r>
        <w:rPr>
          <w:rFonts w:ascii="新細明體" w:hAnsi="新細明體" w:hint="eastAsia"/>
          <w:color w:val="000000"/>
          <w:lang w:val="de-DE"/>
        </w:rPr>
        <w:t>。顯然法官</w:t>
      </w:r>
      <w:r>
        <w:rPr>
          <w:rFonts w:ascii="新細明體" w:hAnsi="新細明體" w:hint="eastAsia"/>
          <w:color w:val="000000"/>
          <w:lang w:val="de-DE"/>
        </w:rPr>
        <w:t>法第</w:t>
      </w:r>
      <w:r>
        <w:rPr>
          <w:rFonts w:ascii="新細明體" w:hAnsi="新細明體"/>
          <w:color w:val="000000"/>
          <w:lang w:val="de-DE"/>
        </w:rPr>
        <w:t>39</w:t>
      </w:r>
      <w:r>
        <w:rPr>
          <w:rFonts w:ascii="新細明體" w:hAnsi="新細明體" w:hint="eastAsia"/>
          <w:color w:val="000000"/>
          <w:lang w:val="de-DE"/>
        </w:rPr>
        <w:t>條所規定之「不得損及對其獨立性之信賴」並未被解釋為一定要有「職務執行之關聯性」。其次要進一步考慮的是，如何才能維護「功能正常之公務員制度」，根本不清楚。「尊嚴條款」中稱「職業所要求之尊重與信賴」無異於宣稱，人民對公務員之尊重與信賴乃是一個要正常發揮功能之公務員制度所必要。因此，除非「尊嚴條款」本身之合憲性被否定，否則將「尊嚴條款」之精神貫徹到「慎重與節制條款」並無不可，況且如此解釋與「慎重與節制條款」之</w:t>
      </w:r>
      <w:proofErr w:type="gramStart"/>
      <w:r>
        <w:rPr>
          <w:rFonts w:ascii="新細明體" w:hAnsi="新細明體" w:hint="eastAsia"/>
          <w:color w:val="000000"/>
          <w:lang w:val="de-DE"/>
        </w:rPr>
        <w:t>文義反貼切</w:t>
      </w:r>
      <w:proofErr w:type="gramEnd"/>
      <w:r>
        <w:rPr>
          <w:rFonts w:ascii="新細明體" w:hAnsi="新細明體" w:hint="eastAsia"/>
          <w:color w:val="000000"/>
          <w:lang w:val="de-DE"/>
        </w:rPr>
        <w:t>些。因此本文以下仍將基於公務員地位與基於其職務義務之考慮區分無兩個獨立的範疇而分別討論。</w:t>
      </w:r>
    </w:p>
    <w:p w:rsidR="00000000" w:rsidRDefault="00917CC1">
      <w:pPr>
        <w:jc w:val="both"/>
        <w:rPr>
          <w:rFonts w:ascii="新細明體" w:hAnsi="新細明體" w:hint="eastAsia"/>
          <w:color w:val="000000"/>
          <w:lang w:val="de-DE"/>
        </w:rPr>
      </w:pPr>
    </w:p>
    <w:p w:rsidR="00000000" w:rsidRDefault="00917CC1">
      <w:pPr>
        <w:pStyle w:val="6"/>
        <w:rPr>
          <w:rFonts w:hint="eastAsia"/>
        </w:rPr>
      </w:pPr>
      <w:bookmarkStart w:id="22" w:name="_Toc535245933"/>
      <w:r>
        <w:rPr>
          <w:rFonts w:hint="eastAsia"/>
        </w:rPr>
        <w:t>2</w:t>
      </w:r>
      <w:r>
        <w:rPr>
          <w:rFonts w:hint="eastAsia"/>
        </w:rPr>
        <w:t>、基於公務員地位之考慮所導出之慎重、節制義務</w:t>
      </w:r>
      <w:bookmarkEnd w:id="22"/>
    </w:p>
    <w:p w:rsidR="00000000" w:rsidRDefault="00917CC1">
      <w:pPr>
        <w:pStyle w:val="7"/>
        <w:rPr>
          <w:rFonts w:ascii="新細明體" w:hAnsi="新細明體"/>
          <w:color w:val="000000"/>
          <w:sz w:val="24"/>
        </w:rPr>
      </w:pPr>
      <w:r>
        <w:rPr>
          <w:rFonts w:ascii="新細明體" w:hAnsi="新細明體" w:hint="eastAsia"/>
          <w:color w:val="000000"/>
          <w:sz w:val="24"/>
        </w:rPr>
        <w:t>（</w:t>
      </w:r>
      <w:r>
        <w:rPr>
          <w:rFonts w:ascii="新細明體" w:hAnsi="新細明體" w:hint="eastAsia"/>
          <w:color w:val="000000"/>
          <w:sz w:val="24"/>
        </w:rPr>
        <w:t>1</w:t>
      </w:r>
      <w:r>
        <w:rPr>
          <w:rFonts w:ascii="新細明體" w:hAnsi="新細明體" w:hint="eastAsia"/>
          <w:color w:val="000000"/>
          <w:sz w:val="24"/>
        </w:rPr>
        <w:t>）</w:t>
      </w:r>
      <w:r>
        <w:rPr>
          <w:rFonts w:ascii="新細明體" w:hAnsi="新細明體" w:hint="eastAsia"/>
          <w:color w:val="000000"/>
          <w:sz w:val="24"/>
          <w:lang w:val="de-DE"/>
        </w:rPr>
        <w:t>公務員之政治中立與慎重、節制義務</w:t>
      </w:r>
    </w:p>
    <w:p w:rsidR="00000000" w:rsidRDefault="00917CC1">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基於公務員為全體國民服務之地位，首先須納入考慮者，無疑地為公務員之政治中立性。對此要注意的是，慎重與節制條款之基本出發點的乃是允許公務員從事政治活動。換言之，在中立性之要求下所談到的「保持距離」、「不得</w:t>
      </w:r>
      <w:r>
        <w:rPr>
          <w:rFonts w:ascii="新細明體" w:hAnsi="新細明體"/>
          <w:color w:val="000000"/>
          <w:lang w:val="de-DE"/>
        </w:rPr>
        <w:t>(</w:t>
      </w:r>
      <w:r>
        <w:rPr>
          <w:rFonts w:ascii="新細明體" w:hAnsi="新細明體" w:hint="eastAsia"/>
          <w:color w:val="000000"/>
          <w:lang w:val="de-DE"/>
        </w:rPr>
        <w:t>被</w:t>
      </w:r>
      <w:r>
        <w:rPr>
          <w:rFonts w:ascii="新細明體" w:hAnsi="新細明體"/>
          <w:color w:val="000000"/>
          <w:lang w:val="de-DE"/>
        </w:rPr>
        <w:t>)</w:t>
      </w:r>
      <w:r>
        <w:rPr>
          <w:rFonts w:ascii="新細明體" w:hAnsi="新細明體" w:hint="eastAsia"/>
          <w:color w:val="000000"/>
          <w:lang w:val="de-DE"/>
        </w:rPr>
        <w:t>等同」等等，在公務員從事政治活動時並未被嚴格要求。也就是說，公務員可以有其政治認同或屬性，而且公務員透過政治活動表達其政治認同與屬性，</w:t>
      </w:r>
      <w:r>
        <w:rPr>
          <w:rFonts w:ascii="新細明體" w:hAnsi="新細明體" w:hint="eastAsia"/>
          <w:color w:val="000000"/>
          <w:lang w:val="de-DE"/>
        </w:rPr>
        <w:lastRenderedPageBreak/>
        <w:t>乃是慎重與節制條款所允許。</w:t>
      </w:r>
      <w:r>
        <w:rPr>
          <w:rStyle w:val="a6"/>
          <w:rFonts w:ascii="新細明體" w:hAnsi="新細明體"/>
          <w:color w:val="000000"/>
          <w:lang w:val="de-DE"/>
        </w:rPr>
        <w:footnoteReference w:id="112"/>
      </w:r>
      <w:r>
        <w:rPr>
          <w:rFonts w:ascii="新細明體" w:hAnsi="新細明體" w:hint="eastAsia"/>
          <w:color w:val="000000"/>
          <w:lang w:val="de-DE"/>
        </w:rPr>
        <w:t>慎重與節制條款並未要求公務員於從事政治活動</w:t>
      </w:r>
      <w:r>
        <w:rPr>
          <w:rFonts w:ascii="新細明體" w:hAnsi="新細明體" w:hint="eastAsia"/>
          <w:color w:val="000000"/>
          <w:lang w:val="de-DE"/>
        </w:rPr>
        <w:t>時必須與政治力保持距離，也未要求公務員不得具有政治屬性。慎重與節制條款甚至並未要求公務員只能消極地參與政治。政治參與之最積極的形式大約無過於參選，但即使對於如此積極的政治參與形式，德國公務員法上也未予禁止，反而賦予公務員請求特別假之權以應付選戰。</w:t>
      </w:r>
      <w:r>
        <w:rPr>
          <w:rStyle w:val="a6"/>
          <w:rFonts w:ascii="新細明體" w:hAnsi="新細明體"/>
          <w:color w:val="000000"/>
          <w:lang w:val="de-DE"/>
        </w:rPr>
        <w:footnoteReference w:id="113"/>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然而，基於公務員中立地位之考慮所導出之慎重與節制義務所要求者為何？可以確定的是，公務員將其行政資源轉為政治資源</w:t>
      </w:r>
      <w:proofErr w:type="gramStart"/>
      <w:r>
        <w:rPr>
          <w:rFonts w:ascii="新細明體" w:hAnsi="新細明體" w:hint="eastAsia"/>
          <w:color w:val="000000"/>
          <w:lang w:val="de-DE"/>
        </w:rPr>
        <w:t>乃是乃是</w:t>
      </w:r>
      <w:proofErr w:type="gramEnd"/>
      <w:r>
        <w:rPr>
          <w:rFonts w:ascii="新細明體" w:hAnsi="新細明體" w:hint="eastAsia"/>
          <w:color w:val="000000"/>
          <w:lang w:val="de-DE"/>
        </w:rPr>
        <w:t>對其中立地位之嚴重侵犯。前面曾提到之公務員對政府之效忠不應被誤解為對政黨的效忠。固然執政黨之施政綱要可以透過其對於公務員之政治領導而獲得</w:t>
      </w:r>
      <w:r>
        <w:rPr>
          <w:rFonts w:ascii="新細明體" w:hAnsi="新細明體" w:hint="eastAsia"/>
          <w:color w:val="000000"/>
          <w:lang w:val="de-DE"/>
        </w:rPr>
        <w:t>貫徹，但執政黨不得將行政機器據為己有以作為其於政治過程中爭取政治支持之資源。基於此一對公務員政治中立之要求可以導出，固然公務員得有其政治認同與政治屬性，而且也可以經由其政治活動表達其政治立場，但其行為如引起公眾對其職務執行之中立、公正性有所懷疑，則無法期待行政機器可以正常地發揮功能。</w:t>
      </w:r>
      <w:r>
        <w:rPr>
          <w:rStyle w:val="a6"/>
          <w:rFonts w:ascii="新細明體" w:hAnsi="新細明體"/>
          <w:color w:val="000000"/>
          <w:lang w:val="de-DE"/>
        </w:rPr>
        <w:footnoteReference w:id="114"/>
      </w:r>
      <w:r>
        <w:rPr>
          <w:rFonts w:ascii="新細明體" w:hAnsi="新細明體" w:hint="eastAsia"/>
          <w:color w:val="000000"/>
          <w:lang w:val="de-DE"/>
        </w:rPr>
        <w:t>在此意義下可以說，慎重與節制條款之保護法益乃是公眾對公務員執行職務之中立性、公正性之信賴。</w:t>
      </w:r>
      <w:r>
        <w:rPr>
          <w:rStyle w:val="a6"/>
          <w:rFonts w:ascii="新細明體" w:hAnsi="新細明體"/>
          <w:color w:val="000000"/>
          <w:lang w:val="de-DE"/>
        </w:rPr>
        <w:footnoteReference w:id="115"/>
      </w:r>
      <w:r>
        <w:rPr>
          <w:rFonts w:ascii="新細明體" w:hAnsi="新細明體" w:hint="eastAsia"/>
          <w:color w:val="000000"/>
          <w:lang w:val="de-DE"/>
        </w:rPr>
        <w:t>不過，公務員之政治活動是否危及對其職務執行之中立、公正性之信賴，必須就個案視其是否有進一步的狀況足以引起此等懷疑而定。公務員之政黨政治</w:t>
      </w:r>
      <w:r>
        <w:rPr>
          <w:rFonts w:ascii="新細明體" w:hAnsi="新細明體" w:hint="eastAsia"/>
          <w:color w:val="000000"/>
          <w:lang w:val="de-DE"/>
        </w:rPr>
        <w:t>活動如沒有進一步之特殊狀況，則原則上不被認為會引起對其中立與公正性之懷疑。</w:t>
      </w:r>
      <w:r>
        <w:rPr>
          <w:rStyle w:val="a6"/>
          <w:rFonts w:ascii="新細明體" w:hAnsi="新細明體"/>
          <w:color w:val="000000"/>
          <w:lang w:val="de-DE"/>
        </w:rPr>
        <w:footnoteReference w:id="116"/>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基於公務員之中立地位所導出之慎重與節制義務，還須考慮公務員對於政府之忠誠義務。依上所述，公務員政治中立之核心意義在於公務員願意對於任何合法產生政府效忠之態度，因此公務員不得阻礙政府之施政。在職務執行上，公務員必須服從政府之政治領導；在職務外之行為，特別是從事政治活動時，亦不得阻礙政府之施政</w:t>
      </w:r>
      <w:r>
        <w:rPr>
          <w:rStyle w:val="a6"/>
          <w:rFonts w:ascii="新細明體" w:hAnsi="新細明體"/>
          <w:color w:val="000000"/>
          <w:lang w:val="de-DE"/>
        </w:rPr>
        <w:footnoteReference w:id="117"/>
      </w:r>
      <w:r>
        <w:rPr>
          <w:rFonts w:ascii="新細明體" w:hAnsi="新細明體" w:hint="eastAsia"/>
          <w:color w:val="000000"/>
          <w:lang w:val="de-DE"/>
        </w:rPr>
        <w:t>。例如，</w:t>
      </w:r>
      <w:r>
        <w:rPr>
          <w:rFonts w:ascii="新細明體" w:hAnsi="新細明體"/>
          <w:color w:val="000000"/>
          <w:lang w:val="de-DE"/>
        </w:rPr>
        <w:t>1988</w:t>
      </w:r>
      <w:r>
        <w:rPr>
          <w:rFonts w:ascii="新細明體" w:hAnsi="新細明體" w:hint="eastAsia"/>
          <w:color w:val="000000"/>
          <w:lang w:val="de-DE"/>
        </w:rPr>
        <w:t>年</w:t>
      </w:r>
      <w:r>
        <w:rPr>
          <w:rFonts w:ascii="新細明體" w:hAnsi="新細明體"/>
          <w:color w:val="000000"/>
          <w:lang w:val="de-DE"/>
        </w:rPr>
        <w:t>Baden-Württenberg</w:t>
      </w:r>
      <w:proofErr w:type="gramStart"/>
      <w:r>
        <w:rPr>
          <w:rFonts w:ascii="新細明體" w:hAnsi="新細明體" w:hint="eastAsia"/>
          <w:color w:val="000000"/>
          <w:lang w:val="de-DE"/>
        </w:rPr>
        <w:t>邦</w:t>
      </w:r>
      <w:proofErr w:type="gramEnd"/>
      <w:r>
        <w:rPr>
          <w:rFonts w:ascii="新細明體" w:hAnsi="新細明體" w:hint="eastAsia"/>
          <w:color w:val="000000"/>
          <w:lang w:val="de-DE"/>
        </w:rPr>
        <w:t>政府發布一個公告，擬將依據與教師間之團體協約所定之縮短工時轉為三個額外放假日</w:t>
      </w:r>
      <w:r>
        <w:rPr>
          <w:rFonts w:ascii="新細明體" w:hAnsi="新細明體" w:hint="eastAsia"/>
          <w:color w:val="000000"/>
          <w:lang w:val="de-DE"/>
        </w:rPr>
        <w:t>，針對此一政策，某高中於</w:t>
      </w:r>
      <w:r>
        <w:rPr>
          <w:rFonts w:ascii="新細明體" w:hAnsi="新細明體"/>
          <w:color w:val="000000"/>
          <w:lang w:val="de-DE"/>
        </w:rPr>
        <w:t>1989</w:t>
      </w:r>
      <w:r>
        <w:rPr>
          <w:rFonts w:ascii="新細明體" w:hAnsi="新細明體" w:hint="eastAsia"/>
          <w:color w:val="000000"/>
          <w:lang w:val="de-DE"/>
        </w:rPr>
        <w:t>年</w:t>
      </w:r>
      <w:r>
        <w:rPr>
          <w:rFonts w:ascii="新細明體" w:hAnsi="新細明體"/>
          <w:color w:val="000000"/>
          <w:lang w:val="de-DE"/>
        </w:rPr>
        <w:t>1</w:t>
      </w:r>
      <w:r>
        <w:rPr>
          <w:rFonts w:ascii="新細明體" w:hAnsi="新細明體" w:hint="eastAsia"/>
          <w:color w:val="000000"/>
          <w:lang w:val="de-DE"/>
        </w:rPr>
        <w:t>月</w:t>
      </w:r>
      <w:r>
        <w:rPr>
          <w:rFonts w:ascii="新細明體" w:hAnsi="新細明體"/>
          <w:color w:val="000000"/>
          <w:lang w:val="de-DE"/>
        </w:rPr>
        <w:t>22</w:t>
      </w:r>
      <w:r>
        <w:rPr>
          <w:rFonts w:ascii="新細明體" w:hAnsi="新細明體" w:hint="eastAsia"/>
          <w:color w:val="000000"/>
          <w:lang w:val="de-DE"/>
        </w:rPr>
        <w:t>日召開人事大會</w:t>
      </w:r>
      <w:r>
        <w:rPr>
          <w:rFonts w:ascii="新細明體" w:hAnsi="新細明體"/>
          <w:color w:val="000000"/>
          <w:lang w:val="de-DE"/>
        </w:rPr>
        <w:t>(Personalversammlung)</w:t>
      </w:r>
      <w:r>
        <w:rPr>
          <w:rFonts w:ascii="新細明體" w:hAnsi="新細明體" w:hint="eastAsia"/>
          <w:color w:val="000000"/>
          <w:lang w:val="de-DE"/>
        </w:rPr>
        <w:t>，於會中決議反對此一政策，並寄發信函給學生家長以尋求支持，信函內容如下：</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「本高中之同僚於</w:t>
      </w:r>
      <w:r>
        <w:rPr>
          <w:rFonts w:ascii="新細明體" w:hAnsi="新細明體"/>
          <w:color w:val="000000"/>
          <w:lang w:val="de-DE"/>
        </w:rPr>
        <w:t>1</w:t>
      </w:r>
      <w:r>
        <w:rPr>
          <w:rFonts w:ascii="新細明體" w:hAnsi="新細明體" w:hint="eastAsia"/>
          <w:color w:val="000000"/>
          <w:lang w:val="de-DE"/>
        </w:rPr>
        <w:t>月</w:t>
      </w:r>
      <w:r>
        <w:rPr>
          <w:rFonts w:ascii="新細明體" w:hAnsi="新細明體"/>
          <w:color w:val="000000"/>
          <w:lang w:val="de-DE"/>
        </w:rPr>
        <w:t>22</w:t>
      </w:r>
      <w:r>
        <w:rPr>
          <w:rFonts w:ascii="新細明體" w:hAnsi="新細明體" w:hint="eastAsia"/>
          <w:color w:val="000000"/>
          <w:lang w:val="de-DE"/>
        </w:rPr>
        <w:t>日召開人事大會商討如何適當地因應</w:t>
      </w:r>
      <w:proofErr w:type="gramStart"/>
      <w:r>
        <w:rPr>
          <w:rFonts w:ascii="新細明體" w:hAnsi="新細明體" w:hint="eastAsia"/>
          <w:color w:val="000000"/>
          <w:lang w:val="de-DE"/>
        </w:rPr>
        <w:t>邦</w:t>
      </w:r>
      <w:proofErr w:type="gramEnd"/>
      <w:r>
        <w:rPr>
          <w:rFonts w:ascii="新細明體" w:hAnsi="新細明體" w:hint="eastAsia"/>
          <w:color w:val="000000"/>
          <w:lang w:val="de-DE"/>
        </w:rPr>
        <w:t>政府之決議。會中決定，完全停止課程外之學校活動</w:t>
      </w:r>
      <w:r>
        <w:rPr>
          <w:rFonts w:ascii="新細明體" w:hAnsi="新細明體"/>
          <w:color w:val="000000"/>
          <w:lang w:val="de-DE"/>
        </w:rPr>
        <w:t>(</w:t>
      </w:r>
      <w:r>
        <w:rPr>
          <w:rFonts w:ascii="新細明體" w:hAnsi="新細明體" w:hint="eastAsia"/>
          <w:color w:val="000000"/>
          <w:lang w:val="de-DE"/>
        </w:rPr>
        <w:t>如參觀博物館、學生之體育特訓、學校之慶典等等</w:t>
      </w:r>
      <w:r>
        <w:rPr>
          <w:rFonts w:ascii="新細明體" w:hAnsi="新細明體"/>
          <w:color w:val="000000"/>
          <w:lang w:val="de-DE"/>
        </w:rPr>
        <w:t>)</w:t>
      </w:r>
      <w:r>
        <w:rPr>
          <w:rFonts w:ascii="新細明體" w:hAnsi="新細明體" w:hint="eastAsia"/>
          <w:color w:val="000000"/>
          <w:lang w:val="de-DE"/>
        </w:rPr>
        <w:t>對我們</w:t>
      </w:r>
      <w:proofErr w:type="gramStart"/>
      <w:r>
        <w:rPr>
          <w:rFonts w:ascii="新細明體" w:hAnsi="新細明體" w:hint="eastAsia"/>
          <w:color w:val="000000"/>
          <w:lang w:val="de-DE"/>
        </w:rPr>
        <w:t>來說是可能</w:t>
      </w:r>
      <w:proofErr w:type="gramEnd"/>
      <w:r>
        <w:rPr>
          <w:rFonts w:ascii="新細明體" w:hAnsi="新細明體" w:hint="eastAsia"/>
          <w:color w:val="000000"/>
          <w:lang w:val="de-DE"/>
        </w:rPr>
        <w:t>的，但在目前的狀態下我們還不擬採取這樣之抗爭形式。相反地，我們希望其他的抗爭形式也能有效。而且我們也希望您能支</w:t>
      </w:r>
      <w:r>
        <w:rPr>
          <w:rFonts w:ascii="新細明體" w:hAnsi="新細明體" w:hint="eastAsia"/>
          <w:color w:val="000000"/>
          <w:lang w:val="de-DE"/>
        </w:rPr>
        <w:lastRenderedPageBreak/>
        <w:t>持我們的懇求</w:t>
      </w:r>
      <w:r>
        <w:rPr>
          <w:rFonts w:ascii="新細明體" w:hAnsi="新細明體"/>
          <w:color w:val="000000"/>
          <w:lang w:val="de-DE"/>
        </w:rPr>
        <w:t>(</w:t>
      </w:r>
      <w:r>
        <w:rPr>
          <w:rFonts w:ascii="新細明體" w:hAnsi="新細明體" w:hint="eastAsia"/>
          <w:color w:val="000000"/>
          <w:lang w:val="de-DE"/>
        </w:rPr>
        <w:t>而且這也是貴子弟的懇求</w:t>
      </w:r>
      <w:r>
        <w:rPr>
          <w:rFonts w:ascii="新細明體" w:hAnsi="新細明體"/>
          <w:color w:val="000000"/>
          <w:lang w:val="de-DE"/>
        </w:rPr>
        <w:t>)</w:t>
      </w:r>
      <w:r>
        <w:rPr>
          <w:rFonts w:ascii="新細明體" w:hAnsi="新細明體" w:hint="eastAsia"/>
          <w:color w:val="000000"/>
          <w:lang w:val="de-DE"/>
        </w:rPr>
        <w:t>。</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您絕對能夠支持學校團</w:t>
      </w:r>
      <w:r>
        <w:rPr>
          <w:rFonts w:ascii="新細明體" w:hAnsi="新細明體" w:hint="eastAsia"/>
          <w:color w:val="000000"/>
          <w:lang w:val="de-DE"/>
        </w:rPr>
        <w:t>體協約之落實</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以致函給</w:t>
      </w:r>
      <w:proofErr w:type="gramStart"/>
      <w:r>
        <w:rPr>
          <w:rFonts w:ascii="新細明體" w:hAnsi="新細明體" w:hint="eastAsia"/>
          <w:color w:val="000000"/>
          <w:lang w:val="de-DE"/>
        </w:rPr>
        <w:t>邦</w:t>
      </w:r>
      <w:proofErr w:type="gramEnd"/>
      <w:r>
        <w:rPr>
          <w:rFonts w:ascii="新細明體" w:hAnsi="新細明體" w:hint="eastAsia"/>
          <w:color w:val="000000"/>
          <w:lang w:val="de-DE"/>
        </w:rPr>
        <w:t>政府之形式，例如透過整體家長會之自發行動或公開地表示態度。我們請求您如此地支持我們。」</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對於人事大會此一決議，人事委員會</w:t>
      </w:r>
      <w:r>
        <w:rPr>
          <w:rFonts w:ascii="新細明體" w:hAnsi="新細明體"/>
          <w:color w:val="000000"/>
          <w:lang w:val="de-DE"/>
        </w:rPr>
        <w:t>(Personalrat)</w:t>
      </w:r>
      <w:r>
        <w:rPr>
          <w:rFonts w:ascii="新細明體" w:hAnsi="新細明體" w:hint="eastAsia"/>
          <w:color w:val="000000"/>
          <w:lang w:val="de-DE"/>
        </w:rPr>
        <w:t>之所有成員都簽名表示贊成，其中一名成員因此而受到懲戒。在本案中，</w:t>
      </w:r>
      <w:r>
        <w:rPr>
          <w:rFonts w:ascii="新細明體" w:hAnsi="新細明體"/>
          <w:color w:val="000000"/>
          <w:lang w:val="de-DE"/>
        </w:rPr>
        <w:t>Baden-Württenberg</w:t>
      </w:r>
      <w:r>
        <w:rPr>
          <w:rFonts w:ascii="新細明體" w:hAnsi="新細明體" w:hint="eastAsia"/>
          <w:color w:val="000000"/>
          <w:lang w:val="de-DE"/>
        </w:rPr>
        <w:t>行政法院認為，</w:t>
      </w:r>
      <w:proofErr w:type="gramStart"/>
      <w:r>
        <w:rPr>
          <w:rFonts w:ascii="新細明體" w:hAnsi="新細明體" w:hint="eastAsia"/>
          <w:color w:val="000000"/>
          <w:lang w:val="de-DE"/>
        </w:rPr>
        <w:t>由該致家長</w:t>
      </w:r>
      <w:proofErr w:type="gramEnd"/>
      <w:r>
        <w:rPr>
          <w:rFonts w:ascii="新細明體" w:hAnsi="新細明體" w:hint="eastAsia"/>
          <w:color w:val="000000"/>
          <w:lang w:val="de-DE"/>
        </w:rPr>
        <w:t>信函之文字脈絡來看，由於該信函中表示可能停止所有課程外之學校活動，只是「目的</w:t>
      </w:r>
      <w:r>
        <w:rPr>
          <w:rFonts w:ascii="新細明體" w:hAnsi="新細明體"/>
          <w:color w:val="000000"/>
          <w:lang w:val="de-DE"/>
        </w:rPr>
        <w:t>…</w:t>
      </w:r>
      <w:r>
        <w:rPr>
          <w:rFonts w:ascii="新細明體" w:hAnsi="新細明體" w:hint="eastAsia"/>
          <w:color w:val="000000"/>
          <w:lang w:val="de-DE"/>
        </w:rPr>
        <w:t>還不擬採取」罷了，因此家長受有壓力去支持其訴求。而且其訴求乃是希望家長對</w:t>
      </w:r>
      <w:proofErr w:type="gramStart"/>
      <w:r>
        <w:rPr>
          <w:rFonts w:ascii="新細明體" w:hAnsi="新細明體" w:hint="eastAsia"/>
          <w:color w:val="000000"/>
          <w:lang w:val="de-DE"/>
        </w:rPr>
        <w:t>邦</w:t>
      </w:r>
      <w:proofErr w:type="gramEnd"/>
      <w:r>
        <w:rPr>
          <w:rFonts w:ascii="新細明體" w:hAnsi="新細明體" w:hint="eastAsia"/>
          <w:color w:val="000000"/>
          <w:lang w:val="de-DE"/>
        </w:rPr>
        <w:t>政府施壓。</w:t>
      </w:r>
      <w:r>
        <w:rPr>
          <w:rFonts w:ascii="新細明體" w:hAnsi="新細明體"/>
          <w:color w:val="000000"/>
          <w:lang w:val="de-DE"/>
        </w:rPr>
        <w:t>Baden-Württenberg</w:t>
      </w:r>
      <w:r>
        <w:rPr>
          <w:rFonts w:ascii="新細明體" w:hAnsi="新細明體" w:hint="eastAsia"/>
          <w:color w:val="000000"/>
          <w:lang w:val="de-DE"/>
        </w:rPr>
        <w:t>行政法院強調，重點不</w:t>
      </w:r>
      <w:r>
        <w:rPr>
          <w:rFonts w:ascii="新細明體" w:hAnsi="新細明體" w:hint="eastAsia"/>
          <w:color w:val="000000"/>
          <w:lang w:val="de-DE"/>
        </w:rPr>
        <w:t>在於其訴求實現的範圍有多少，而在於此訴求本身就表達出其不忠誠，因此違反慎重與節制義務。</w:t>
      </w:r>
      <w:r>
        <w:rPr>
          <w:rStyle w:val="a6"/>
          <w:rFonts w:ascii="新細明體" w:hAnsi="新細明體"/>
          <w:color w:val="000000"/>
          <w:lang w:val="de-DE"/>
        </w:rPr>
        <w:footnoteReference w:id="118"/>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不過，學說與實務上也一致認為，慎重與節制條款並不禁止公務員批評政府。</w:t>
      </w:r>
      <w:r>
        <w:rPr>
          <w:rStyle w:val="a6"/>
          <w:rFonts w:ascii="新細明體" w:hAnsi="新細明體"/>
          <w:color w:val="000000"/>
          <w:lang w:val="de-DE"/>
        </w:rPr>
        <w:footnoteReference w:id="119"/>
      </w:r>
      <w:r>
        <w:rPr>
          <w:rFonts w:ascii="新細明體" w:hAnsi="新細明體" w:hint="eastAsia"/>
          <w:color w:val="000000"/>
          <w:lang w:val="de-DE"/>
        </w:rPr>
        <w:t>換句話說，儘管依據公務員之政治中立性公務員必須對於任何合法產生之政府效忠，服從其政治領導，但並不要求公務員在職務外之政治活動亦附和政府之意見。公務員在從事政治活動時可以批評、反對政府之施政，或甚至要求其主管部門之部長下台</w:t>
      </w:r>
      <w:r>
        <w:rPr>
          <w:rStyle w:val="a6"/>
          <w:rFonts w:ascii="新細明體" w:hAnsi="新細明體"/>
          <w:color w:val="000000"/>
          <w:lang w:val="de-DE"/>
        </w:rPr>
        <w:footnoteReference w:id="120"/>
      </w:r>
      <w:r>
        <w:rPr>
          <w:rFonts w:ascii="新細明體" w:hAnsi="新細明體" w:hint="eastAsia"/>
          <w:color w:val="000000"/>
          <w:lang w:val="de-DE"/>
        </w:rPr>
        <w:t>。由此衍生之問題在於，既然公務員在從事政治活動時可以批評、反對政府之施政，那麼基於公務員必須對政府效忠之考慮所導出之對其政</w:t>
      </w:r>
      <w:r>
        <w:rPr>
          <w:rFonts w:ascii="新細明體" w:hAnsi="新細明體" w:hint="eastAsia"/>
          <w:color w:val="000000"/>
          <w:lang w:val="de-DE"/>
        </w:rPr>
        <w:t>治活動之限制到底為何？對此學說上所提出之見解著眼於政府對於公務員忠誠之信賴。例如一個負責擬定法案之公務員在政治決定作成之前就對外發表言論反對政府之政策立場，在此情形即因其政治活動所顯現之偏頗之虞使得政府對其無法信賴，而可認為違反慎重與節制義務。</w:t>
      </w:r>
      <w:r>
        <w:rPr>
          <w:rStyle w:val="a6"/>
          <w:rFonts w:ascii="新細明體" w:hAnsi="新細明體"/>
          <w:color w:val="000000"/>
          <w:lang w:val="de-DE"/>
        </w:rPr>
        <w:footnoteReference w:id="121"/>
      </w:r>
    </w:p>
    <w:p w:rsidR="00000000" w:rsidRDefault="00917CC1">
      <w:pPr>
        <w:pStyle w:val="7"/>
        <w:ind w:firstLineChars="100" w:firstLine="240"/>
        <w:rPr>
          <w:rFonts w:ascii="新細明體" w:hAnsi="新細明體"/>
          <w:color w:val="000000"/>
          <w:sz w:val="24"/>
        </w:rPr>
      </w:pPr>
      <w:r>
        <w:rPr>
          <w:rFonts w:ascii="新細明體" w:hAnsi="新細明體" w:hint="eastAsia"/>
          <w:color w:val="000000"/>
          <w:sz w:val="24"/>
          <w:lang w:val="de-DE"/>
        </w:rPr>
        <w:t>（</w:t>
      </w:r>
      <w:r>
        <w:rPr>
          <w:rFonts w:ascii="新細明體" w:hAnsi="新細明體" w:hint="eastAsia"/>
          <w:color w:val="000000"/>
          <w:sz w:val="24"/>
          <w:lang w:val="de-DE"/>
        </w:rPr>
        <w:t>2</w:t>
      </w:r>
      <w:r>
        <w:rPr>
          <w:rFonts w:ascii="新細明體" w:hAnsi="新細明體" w:hint="eastAsia"/>
          <w:color w:val="000000"/>
          <w:sz w:val="24"/>
          <w:lang w:val="de-DE"/>
        </w:rPr>
        <w:t>）「尊嚴條款」與「慎重與節制條款」</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尊嚴條款」與「慎重與節制條款」之關係其問題在於，在何種情形公務員之政治活動會被認為危及其職業所要求之尊重與信賴，並因此而被認為違反慎重與節制義務。在此所涉及者乃是「尊嚴條款」與「慎重與節制條款」是否追求一個特定</w:t>
      </w:r>
      <w:r>
        <w:rPr>
          <w:rFonts w:ascii="新細明體" w:hAnsi="新細明體" w:hint="eastAsia"/>
          <w:color w:val="000000"/>
          <w:lang w:val="de-DE"/>
        </w:rPr>
        <w:t>之公務員形象，亦即一個舉止得宜、符合禮節之公務員？以下我們分別案型來加以觀察。</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首先值得考慮的是煽動性之政治活動是否違反慎重與節制義務。如前所述，政治活動乃是具目的性地參與政治意見的競逐，因此它通常是積極性的、宣傳性的或甚至是煽動性的。問題在於所謂的「慎重與節制」是否要求公務員在從事政治活動時應採取比較「理性」的態度，而避免激烈、尖銳、具煽動性之行為方式。針對此一問題，學說上認為激烈、尖銳或煽動性之言論尚不足以被認定為違反慎重與節制義務，必須是侮辱性、詆毀性之言論始足當之。</w:t>
      </w:r>
      <w:r>
        <w:rPr>
          <w:rStyle w:val="a6"/>
          <w:rFonts w:ascii="新細明體" w:hAnsi="新細明體"/>
          <w:color w:val="000000"/>
          <w:lang w:val="de-DE"/>
        </w:rPr>
        <w:footnoteReference w:id="122"/>
      </w:r>
      <w:r>
        <w:rPr>
          <w:rFonts w:ascii="新細明體" w:hAnsi="新細明體" w:hint="eastAsia"/>
          <w:color w:val="000000"/>
          <w:lang w:val="de-DE"/>
        </w:rPr>
        <w:t>惟</w:t>
      </w:r>
      <w:r>
        <w:rPr>
          <w:rFonts w:ascii="新細明體" w:hAnsi="新細明體"/>
          <w:color w:val="000000"/>
          <w:lang w:val="de-DE"/>
        </w:rPr>
        <w:lastRenderedPageBreak/>
        <w:t>Mannheim</w:t>
      </w:r>
      <w:r>
        <w:rPr>
          <w:rFonts w:ascii="新細明體" w:hAnsi="新細明體" w:hint="eastAsia"/>
          <w:color w:val="000000"/>
          <w:lang w:val="de-DE"/>
        </w:rPr>
        <w:t>行政法</w:t>
      </w:r>
      <w:r>
        <w:rPr>
          <w:rFonts w:ascii="新細明體" w:hAnsi="新細明體" w:hint="eastAsia"/>
          <w:color w:val="000000"/>
          <w:lang w:val="de-DE"/>
        </w:rPr>
        <w:t>院在一個關於老師於畢業典禮中批評校方的案例中認為，老師固然可以公開地批評校方之弊病，但在表達方式上則受有限制，亦即在表達形式上應該慎重，避免不客觀之爭辯或有所越軌。</w:t>
      </w:r>
      <w:r>
        <w:rPr>
          <w:rFonts w:ascii="新細明體" w:hAnsi="新細明體"/>
          <w:color w:val="000000"/>
          <w:lang w:val="de-DE"/>
        </w:rPr>
        <w:t>Mannheim</w:t>
      </w:r>
      <w:r>
        <w:rPr>
          <w:rFonts w:ascii="新細明體" w:hAnsi="新細明體" w:hint="eastAsia"/>
          <w:color w:val="000000"/>
          <w:lang w:val="de-DE"/>
        </w:rPr>
        <w:t>行政法院認為，毫無節制之言論表達會危及其教育工作所必要之尊重與信賴。</w:t>
      </w:r>
      <w:r>
        <w:rPr>
          <w:rStyle w:val="a6"/>
          <w:rFonts w:ascii="新細明體" w:hAnsi="新細明體"/>
          <w:color w:val="000000"/>
          <w:lang w:val="de-DE"/>
        </w:rPr>
        <w:footnoteReference w:id="123"/>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單純以言論形式出現之政治活動之後要檢討的是具有進一步行動之政治活動。典型之例子如前面提過之佩帶政治性標章或張貼政治海報、散發傳單、刊登政治廣告，或甚至參與示威活動等等。跟前述之煽動性言論比起來，這種具進一步行動之政治活動乃是企圖引起更強烈或更廣泛之政</w:t>
      </w:r>
      <w:r>
        <w:rPr>
          <w:rFonts w:ascii="新細明體" w:hAnsi="新細明體" w:hint="eastAsia"/>
          <w:color w:val="000000"/>
          <w:lang w:val="de-DE"/>
        </w:rPr>
        <w:t>治支持。</w:t>
      </w:r>
      <w:r>
        <w:rPr>
          <w:rStyle w:val="a6"/>
          <w:rFonts w:ascii="新細明體" w:hAnsi="新細明體"/>
          <w:color w:val="000000"/>
          <w:lang w:val="de-DE"/>
        </w:rPr>
        <w:footnoteReference w:id="124"/>
      </w:r>
      <w:r>
        <w:rPr>
          <w:rFonts w:ascii="新細明體" w:hAnsi="新細明體" w:hint="eastAsia"/>
          <w:color w:val="000000"/>
          <w:lang w:val="de-DE"/>
        </w:rPr>
        <w:t>在前述之佩帶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及連署反對設置核飛彈之案例中，聯邦行政法院都並未單純以此等行動本身就認定違反慎重與節制義務，而是基於進一步之考量。其中佩帶反核徽章案所涉及的是，此等行為發生於職務執行當中，對職務之執行有所影響，對此將於稍後再進行討論。至於連署反對設置核飛彈一案乃涉及職務地位之濫用，為接著所要討論之重點。</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「職務地位之濫用」與「所職掌權限或資源之濫用」應加以區分，後者之違反慎重與節制義務或職務執行上之中立或公正義務，可以說毫無疑問。與濫用具體之職掌權限或資源不同，此所謂「職務地位之濫用」</w:t>
      </w:r>
      <w:r>
        <w:rPr>
          <w:rFonts w:ascii="新細明體" w:hAnsi="新細明體" w:hint="eastAsia"/>
          <w:color w:val="000000"/>
          <w:lang w:val="de-DE"/>
        </w:rPr>
        <w:t>所涉及的乃是抽象之職務地位本身的濫用，在具體個案中則主要涉及在政治活動中的職銜使用問題。依據聯邦公務員法第</w:t>
      </w:r>
      <w:r>
        <w:rPr>
          <w:rFonts w:ascii="新細明體" w:hAnsi="新細明體"/>
          <w:color w:val="000000"/>
          <w:lang w:val="de-DE"/>
        </w:rPr>
        <w:t>81</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句之規定，即使在職務外聯邦公務員也可以使用其職銜。問題在於，在職務外使用職銜是否、或於何等情形可被認為是濫用。早在帝國懲戒庭</w:t>
      </w:r>
      <w:r>
        <w:rPr>
          <w:rFonts w:ascii="新細明體" w:hAnsi="新細明體"/>
          <w:color w:val="000000"/>
          <w:lang w:val="de-DE"/>
        </w:rPr>
        <w:t>(Reichdienststrafhof; RDStH)</w:t>
      </w:r>
      <w:r>
        <w:rPr>
          <w:rFonts w:ascii="新細明體" w:hAnsi="新細明體" w:hint="eastAsia"/>
          <w:color w:val="000000"/>
          <w:lang w:val="de-DE"/>
        </w:rPr>
        <w:t>已有案例顯示出在職務外濫用職銜之可能性：警察</w:t>
      </w:r>
      <w:proofErr w:type="gramStart"/>
      <w:r>
        <w:rPr>
          <w:rFonts w:ascii="新細明體" w:hAnsi="新細明體" w:hint="eastAsia"/>
          <w:color w:val="000000"/>
          <w:lang w:val="de-DE"/>
        </w:rPr>
        <w:t>身著</w:t>
      </w:r>
      <w:proofErr w:type="gramEnd"/>
      <w:r>
        <w:rPr>
          <w:rFonts w:ascii="新細明體" w:hAnsi="新細明體" w:hint="eastAsia"/>
          <w:color w:val="000000"/>
          <w:lang w:val="de-DE"/>
        </w:rPr>
        <w:t>制服去向積欠借款已久之債務人催討欠款。</w:t>
      </w:r>
      <w:r>
        <w:rPr>
          <w:rStyle w:val="a6"/>
          <w:rFonts w:ascii="新細明體" w:hAnsi="新細明體"/>
          <w:color w:val="000000"/>
          <w:lang w:val="de-DE"/>
        </w:rPr>
        <w:footnoteReference w:id="125"/>
      </w:r>
      <w:r>
        <w:rPr>
          <w:rFonts w:ascii="新細明體" w:hAnsi="新細明體" w:hint="eastAsia"/>
          <w:color w:val="000000"/>
          <w:lang w:val="de-DE"/>
        </w:rPr>
        <w:t>在政治活動方面，聯邦行政法院在上述法官連署反對設置核飛彈一案中表示：「基於法官職務所要求之慎重與節制義務，在法官職務與參與</w:t>
      </w:r>
      <w:r>
        <w:rPr>
          <w:rFonts w:ascii="新細明體" w:hAnsi="新細明體" w:hint="eastAsia"/>
          <w:color w:val="000000"/>
          <w:lang w:val="de-DE"/>
        </w:rPr>
        <w:t>政治意見爭論之間應有明確之劃分。法官在發表其私人意見之時，不應使人誤以為他在發表職務上之意見。如果法官為了在政治論爭中更受矚目或更有效地貫徹其政治意見而很突顯地使用其職務或與職務相連結之威望與信賴，則亦違反基於法官職務所導出之義務。」在本案中法官與檢察官在其連署之聲明的標題就突顯出</w:t>
      </w:r>
      <w:r>
        <w:rPr>
          <w:rFonts w:ascii="新細明體" w:hAnsi="新細明體"/>
          <w:color w:val="000000"/>
          <w:lang w:val="de-DE"/>
        </w:rPr>
        <w:t>(</w:t>
      </w:r>
      <w:r>
        <w:rPr>
          <w:rFonts w:ascii="新細明體" w:hAnsi="新細明體" w:hint="eastAsia"/>
          <w:color w:val="000000"/>
          <w:lang w:val="de-DE"/>
        </w:rPr>
        <w:t>是</w:t>
      </w:r>
      <w:r>
        <w:rPr>
          <w:rFonts w:ascii="新細明體" w:hAnsi="新細明體"/>
          <w:color w:val="000000"/>
          <w:lang w:val="de-DE"/>
        </w:rPr>
        <w:t>)</w:t>
      </w:r>
      <w:r>
        <w:rPr>
          <w:rFonts w:ascii="新細明體" w:hAnsi="新細明體" w:hint="eastAsia"/>
          <w:color w:val="000000"/>
          <w:lang w:val="de-DE"/>
        </w:rPr>
        <w:t>「法官」與「檢察官」反對設置核飛彈，聯邦行政法院認為，其目的在於「賦與其政治意見更大之意義與更高之說服力」。由於彼等「將其法官職務與私人領域加以連結」，因此「與其身為法官之職務義務不相符合」。</w:t>
      </w:r>
      <w:r>
        <w:rPr>
          <w:rStyle w:val="a6"/>
          <w:rFonts w:ascii="新細明體" w:hAnsi="新細明體"/>
          <w:color w:val="000000"/>
          <w:lang w:val="de-DE"/>
        </w:rPr>
        <w:footnoteReference w:id="126"/>
      </w:r>
    </w:p>
    <w:p w:rsidR="00000000" w:rsidRDefault="00917CC1">
      <w:pPr>
        <w:jc w:val="both"/>
        <w:rPr>
          <w:rFonts w:ascii="新細明體" w:hAnsi="新細明體" w:hint="eastAsia"/>
          <w:color w:val="000000"/>
          <w:lang w:val="de-DE"/>
        </w:rPr>
      </w:pPr>
    </w:p>
    <w:p w:rsidR="00000000" w:rsidRDefault="00917CC1">
      <w:pPr>
        <w:pStyle w:val="6"/>
        <w:ind w:firstLineChars="100" w:firstLine="280"/>
      </w:pPr>
      <w:bookmarkStart w:id="23" w:name="_Toc535245934"/>
      <w:r>
        <w:rPr>
          <w:rFonts w:hint="eastAsia"/>
        </w:rPr>
        <w:t>3</w:t>
      </w:r>
      <w:r>
        <w:rPr>
          <w:rFonts w:hint="eastAsia"/>
        </w:rPr>
        <w:t>、基於職務義務之考慮所導</w:t>
      </w:r>
      <w:r>
        <w:rPr>
          <w:rFonts w:hint="eastAsia"/>
        </w:rPr>
        <w:t>出之慎重與節制義務</w:t>
      </w:r>
      <w:bookmarkEnd w:id="23"/>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在基於職務義務之考慮所導出之慎重與節制義務所涉及的是，公務員是否由於其政治活動而違反個別、具體之職務義務。公務員在從事政治活動時，依</w:t>
      </w:r>
      <w:r>
        <w:rPr>
          <w:rFonts w:ascii="新細明體" w:hAnsi="新細明體" w:hint="eastAsia"/>
          <w:color w:val="000000"/>
          <w:lang w:val="de-DE"/>
        </w:rPr>
        <w:lastRenderedPageBreak/>
        <w:t>其行為態樣可能違反各式各樣之職務義務。例如，在政治活動中公務員可能將其職務秘密洩露出去而違反保密義務</w:t>
      </w:r>
      <w:r>
        <w:rPr>
          <w:rFonts w:ascii="新細明體" w:hAnsi="新細明體"/>
          <w:color w:val="000000"/>
          <w:lang w:val="de-DE"/>
        </w:rPr>
        <w:t>(§§ 61 I S. 1 BBG; 39 I S. 1 BRRG)</w:t>
      </w:r>
      <w:r>
        <w:rPr>
          <w:rFonts w:ascii="新細明體" w:hAnsi="新細明體" w:hint="eastAsia"/>
          <w:color w:val="000000"/>
          <w:lang w:val="de-DE"/>
        </w:rPr>
        <w:t>，或違反命令而</w:t>
      </w:r>
      <w:proofErr w:type="gramStart"/>
      <w:r>
        <w:rPr>
          <w:rFonts w:ascii="新細明體" w:hAnsi="新細明體" w:hint="eastAsia"/>
          <w:color w:val="000000"/>
          <w:lang w:val="de-DE"/>
        </w:rPr>
        <w:t>身著</w:t>
      </w:r>
      <w:proofErr w:type="gramEnd"/>
      <w:r>
        <w:rPr>
          <w:rFonts w:ascii="新細明體" w:hAnsi="新細明體" w:hint="eastAsia"/>
          <w:color w:val="000000"/>
          <w:lang w:val="de-DE"/>
        </w:rPr>
        <w:t>制服參加政治集會以致違反服從義務</w:t>
      </w:r>
      <w:r>
        <w:rPr>
          <w:rFonts w:ascii="新細明體" w:hAnsi="新細明體"/>
          <w:color w:val="000000"/>
          <w:lang w:val="de-DE"/>
        </w:rPr>
        <w:t>(§§ 55 S. 2 BBG; 37 S. 2 BRRG)</w:t>
      </w:r>
      <w:r>
        <w:rPr>
          <w:rFonts w:ascii="新細明體" w:hAnsi="新細明體" w:hint="eastAsia"/>
          <w:color w:val="000000"/>
          <w:lang w:val="de-DE"/>
        </w:rPr>
        <w:t>等等</w:t>
      </w:r>
      <w:r>
        <w:rPr>
          <w:rStyle w:val="a6"/>
          <w:rFonts w:ascii="新細明體" w:hAnsi="新細明體"/>
          <w:color w:val="000000"/>
          <w:lang w:val="de-DE"/>
        </w:rPr>
        <w:footnoteReference w:id="127"/>
      </w:r>
      <w:r>
        <w:rPr>
          <w:rFonts w:ascii="新細明體" w:hAnsi="新細明體" w:hint="eastAsia"/>
          <w:color w:val="000000"/>
          <w:lang w:val="de-DE"/>
        </w:rPr>
        <w:t>。其中最受矚目之問題乃是因其政治活動致違反職務執行義務，亦即在職務執</w:t>
      </w:r>
      <w:r>
        <w:rPr>
          <w:rFonts w:ascii="新細明體" w:hAnsi="新細明體" w:hint="eastAsia"/>
          <w:color w:val="000000"/>
          <w:lang w:val="de-DE"/>
        </w:rPr>
        <w:t>行中之政治活動問題。</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職務執行中之政治活動問題，首先要確定的是，公務員並非單純之「職務執行機器」，即使是在執行職務當中，他仍然是具有個人需求、思想及感覺的人。因此即使是在職務執行中不僅可能存有，也應該容許有公務員從事政治活動之空間，只要其政治活動不致妨礙職務之執行。</w:t>
      </w:r>
      <w:r>
        <w:rPr>
          <w:rStyle w:val="a6"/>
          <w:rFonts w:ascii="新細明體" w:hAnsi="新細明體"/>
          <w:color w:val="000000"/>
          <w:lang w:val="de-DE"/>
        </w:rPr>
        <w:footnoteReference w:id="128"/>
      </w:r>
      <w:r>
        <w:rPr>
          <w:rFonts w:ascii="新細明體" w:hAnsi="新細明體" w:hint="eastAsia"/>
          <w:color w:val="000000"/>
          <w:lang w:val="de-DE"/>
        </w:rPr>
        <w:t>即使在軍中，聯邦憲法法院仍然認為可以針對現實之政治問題公開地進行討論，只要職務之執行</w:t>
      </w:r>
      <w:proofErr w:type="gramStart"/>
      <w:r>
        <w:rPr>
          <w:rFonts w:ascii="新細明體" w:hAnsi="新細明體" w:hint="eastAsia"/>
          <w:color w:val="000000"/>
          <w:lang w:val="de-DE"/>
        </w:rPr>
        <w:t>不</w:t>
      </w:r>
      <w:proofErr w:type="gramEnd"/>
      <w:r>
        <w:rPr>
          <w:rFonts w:ascii="新細明體" w:hAnsi="新細明體" w:hint="eastAsia"/>
          <w:color w:val="000000"/>
          <w:lang w:val="de-DE"/>
        </w:rPr>
        <w:t>因此而受妨礙；而且長官也可以參與此種討論，問題只在於其是否逾越其界限。</w:t>
      </w:r>
      <w:r>
        <w:rPr>
          <w:rStyle w:val="a6"/>
          <w:rFonts w:ascii="新細明體" w:hAnsi="新細明體"/>
          <w:color w:val="000000"/>
          <w:lang w:val="de-DE"/>
        </w:rPr>
        <w:footnoteReference w:id="129"/>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當然，職務執行中之政治活動是否對於職務之執行有所妨礙，必須就個案</w:t>
      </w:r>
      <w:r>
        <w:rPr>
          <w:rFonts w:ascii="新細明體" w:hAnsi="新細明體" w:hint="eastAsia"/>
          <w:color w:val="000000"/>
          <w:lang w:val="de-DE"/>
        </w:rPr>
        <w:t>依職務之性質分別情形來加以認定。對此，以下以前述教師佩帶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之例來加以說明。如前所述，教師在上課中佩帶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乃是宣傳其政治主張，並且企圖爭取對其政治主張之支持，乃是</w:t>
      </w:r>
      <w:proofErr w:type="gramStart"/>
      <w:r>
        <w:rPr>
          <w:rFonts w:ascii="新細明體" w:hAnsi="新細明體" w:hint="eastAsia"/>
          <w:color w:val="000000"/>
          <w:lang w:val="de-DE"/>
        </w:rPr>
        <w:t>一</w:t>
      </w:r>
      <w:proofErr w:type="gramEnd"/>
      <w:r>
        <w:rPr>
          <w:rFonts w:ascii="新細明體" w:hAnsi="新細明體" w:hint="eastAsia"/>
          <w:color w:val="000000"/>
          <w:lang w:val="de-DE"/>
        </w:rPr>
        <w:t>政治活動。換言之，本案並非關於教師之授課內容涉及政治問題或政治觀點之問題，因此與教師之教學自由與行政中立間之權衡無關，而是其政治活動是否違反慎重與節制義務之問題。</w:t>
      </w:r>
      <w:r>
        <w:rPr>
          <w:rStyle w:val="a6"/>
          <w:rFonts w:ascii="新細明體" w:hAnsi="新細明體"/>
          <w:color w:val="000000"/>
          <w:lang w:val="de-DE"/>
        </w:rPr>
        <w:footnoteReference w:id="130"/>
      </w:r>
      <w:r>
        <w:rPr>
          <w:rFonts w:ascii="新細明體" w:hAnsi="新細明體" w:hint="eastAsia"/>
          <w:color w:val="000000"/>
          <w:lang w:val="de-DE"/>
        </w:rPr>
        <w:t>關於教師是否可以將其個人之政治意見帶進其教學過程中</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color w:val="000000"/>
          <w:lang w:val="de-DE"/>
        </w:rPr>
        <w:t xml:space="preserve"> </w:t>
      </w:r>
      <w:r>
        <w:rPr>
          <w:rFonts w:ascii="新細明體" w:hAnsi="新細明體" w:hint="eastAsia"/>
          <w:color w:val="000000"/>
          <w:lang w:val="de-DE"/>
        </w:rPr>
        <w:t>不論是執行其職務之教學行為或職務執行過程中之政治活動</w:t>
      </w:r>
      <w:r>
        <w:rPr>
          <w:rFonts w:ascii="新細明體" w:hAnsi="新細明體"/>
          <w:color w:val="000000"/>
          <w:lang w:val="de-DE"/>
        </w:rPr>
        <w:t xml:space="preserve"> </w:t>
      </w:r>
      <w:proofErr w:type="gramStart"/>
      <w:r>
        <w:rPr>
          <w:rFonts w:ascii="新細明體" w:hAnsi="新細明體"/>
          <w:color w:val="000000"/>
          <w:lang w:val="de-DE"/>
        </w:rPr>
        <w:t>–</w:t>
      </w:r>
      <w:proofErr w:type="gramEnd"/>
      <w:r>
        <w:rPr>
          <w:rFonts w:ascii="新細明體" w:hAnsi="新細明體" w:hint="eastAsia"/>
          <w:color w:val="000000"/>
          <w:lang w:val="de-DE"/>
        </w:rPr>
        <w:t>，聯邦勞動法院認為即使是在教學過程中，教師也無須隱藏其政治意見</w:t>
      </w:r>
      <w:r>
        <w:rPr>
          <w:rStyle w:val="a6"/>
          <w:rFonts w:ascii="新細明體" w:hAnsi="新細明體"/>
          <w:color w:val="000000"/>
          <w:lang w:val="de-DE"/>
        </w:rPr>
        <w:footnoteReference w:id="131"/>
      </w:r>
      <w:r>
        <w:rPr>
          <w:rFonts w:ascii="新細明體" w:hAnsi="新細明體" w:hint="eastAsia"/>
          <w:color w:val="000000"/>
          <w:lang w:val="de-DE"/>
        </w:rPr>
        <w:t>，但以諸如佩帶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這種方式去影響學生政治觀點之形成，則不論聯邦勞動法院或聯邦行政法院皆認為違反慎重與節制義務：</w:t>
      </w:r>
      <w:r>
        <w:rPr>
          <w:rStyle w:val="a6"/>
          <w:rFonts w:ascii="新細明體" w:hAnsi="新細明體"/>
          <w:color w:val="000000"/>
          <w:lang w:val="de-DE"/>
        </w:rPr>
        <w:footnoteReference w:id="132"/>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從實現教育任務之角度來看，學校教育之目的在養成學生獨立思考、判斷及行為之能力以及對於國家、社會之責任感。因此，學校應該幫助學生養成能認識社會上之衝突及針對衝突就事論事地進行辯論之能力。教師從而應該在課堂上引進政治課題時客觀地、謹慎地且均衡地敘述各方意見之理由及反方理由。在這個過程中，教師固然無須隱藏其個人之政治意見，但教師不得引起學生覺得老師期待他們附和老師意見之印象。從這個基本要求來看，教</w:t>
      </w:r>
      <w:r>
        <w:rPr>
          <w:rFonts w:ascii="新細明體" w:hAnsi="新細明體" w:hint="eastAsia"/>
          <w:color w:val="000000"/>
          <w:lang w:val="de-DE"/>
        </w:rPr>
        <w:t>師在課堂上佩帶</w:t>
      </w:r>
      <w:proofErr w:type="gramStart"/>
      <w:r>
        <w:rPr>
          <w:rFonts w:ascii="新細明體" w:hAnsi="新細明體" w:hint="eastAsia"/>
          <w:color w:val="000000"/>
          <w:lang w:val="de-DE"/>
        </w:rPr>
        <w:t>反核標章</w:t>
      </w:r>
      <w:proofErr w:type="gramEnd"/>
      <w:r>
        <w:rPr>
          <w:rFonts w:ascii="新細明體" w:hAnsi="新細明體" w:hint="eastAsia"/>
          <w:color w:val="000000"/>
          <w:lang w:val="de-DE"/>
        </w:rPr>
        <w:t>乃是教師個人之政治意見，同時也是企圖爭取意見認同之政治活動，學生在課堂上不斷地面對老師此一政治意見，卻並未也沒有機會針對核能之和平用途之正反意見進行討論。基於學生與教師間特別緊密之關係及教師對於學生自然會具有之權威，學生極可能因此而在特定之政治觀點上受教師影響，情緒性地支持特定政治觀點，而不是基於理性的思考與</w:t>
      </w:r>
      <w:r>
        <w:rPr>
          <w:rFonts w:ascii="新細明體" w:hAnsi="新細明體" w:hint="eastAsia"/>
          <w:color w:val="000000"/>
          <w:lang w:val="de-DE"/>
        </w:rPr>
        <w:lastRenderedPageBreak/>
        <w:t>判斷。</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從父母教育權之角度來看，基本法第</w:t>
      </w:r>
      <w:r>
        <w:rPr>
          <w:rFonts w:ascii="新細明體" w:hAnsi="新細明體"/>
          <w:color w:val="000000"/>
          <w:lang w:val="de-DE"/>
        </w:rPr>
        <w:t>6</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句賦予父母優先於其他教育主體教育其子女之地位，因此如果父母必須擔心其子女針對社會上之衝突在學校受到單方面之「思想改造」</w:t>
      </w:r>
      <w:r>
        <w:rPr>
          <w:rFonts w:ascii="新細明體" w:hAnsi="新細明體"/>
          <w:color w:val="000000"/>
          <w:lang w:val="de-DE"/>
        </w:rPr>
        <w:t>(Ind</w:t>
      </w:r>
      <w:r>
        <w:rPr>
          <w:rFonts w:ascii="新細明體" w:hAnsi="新細明體"/>
          <w:color w:val="000000"/>
          <w:lang w:val="de-DE"/>
        </w:rPr>
        <w:t>oktrination)</w:t>
      </w:r>
      <w:r>
        <w:rPr>
          <w:rFonts w:ascii="新細明體" w:hAnsi="新細明體" w:hint="eastAsia"/>
          <w:color w:val="000000"/>
          <w:lang w:val="de-DE"/>
        </w:rPr>
        <w:t>並因此影響到其自己對子女之教育，則是與憲法上對父母教育權之保障不相符合。國家因此負有義務要確保學校之中立性，才能顧及在多元社會中各式各樣之父母之觀點，也從而必須禁絕來自教師之單方面的政治宣傳，否則父母對於學校之客觀性與政治中立性之信賴便將因此而動搖。</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p>
    <w:p w:rsidR="00000000" w:rsidRDefault="00917CC1">
      <w:pPr>
        <w:pStyle w:val="3"/>
        <w:rPr>
          <w:rFonts w:hint="eastAsia"/>
        </w:rPr>
      </w:pPr>
      <w:bookmarkStart w:id="24" w:name="_Toc535245935"/>
      <w:r>
        <w:br w:type="page"/>
      </w:r>
      <w:r>
        <w:rPr>
          <w:rFonts w:hint="eastAsia"/>
        </w:rPr>
        <w:lastRenderedPageBreak/>
        <w:t>肆、軍人之政治活動</w:t>
      </w:r>
      <w:bookmarkEnd w:id="24"/>
    </w:p>
    <w:p w:rsidR="00000000" w:rsidRDefault="00917CC1">
      <w:pPr>
        <w:pStyle w:val="4"/>
        <w:rPr>
          <w:rFonts w:hint="eastAsia"/>
        </w:rPr>
      </w:pPr>
      <w:bookmarkStart w:id="25" w:name="_Toc535245936"/>
      <w:r>
        <w:rPr>
          <w:rFonts w:hint="eastAsia"/>
        </w:rPr>
        <w:t>一、相關規定</w:t>
      </w:r>
      <w:bookmarkEnd w:id="25"/>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基於軍人之特殊性，德國法上對於軍人政治活動之限制，較諸其他公務人員顯得較為嚴厲，也規定得比較具體。相關之規定包括：</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軍人法</w:t>
      </w:r>
      <w:r>
        <w:rPr>
          <w:rFonts w:ascii="新細明體" w:hAnsi="新細明體"/>
          <w:color w:val="000000"/>
          <w:lang w:val="de-DE"/>
        </w:rPr>
        <w:t>(Soldatengesetz; SG)</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條「軍人應尊重基</w:t>
      </w:r>
      <w:r>
        <w:rPr>
          <w:rFonts w:ascii="新細明體" w:hAnsi="新細明體" w:hint="eastAsia"/>
          <w:color w:val="000000"/>
          <w:lang w:val="de-DE"/>
        </w:rPr>
        <w:t>本法下之自由民主之基本秩序，並以其全部行為致力於此基本秩序之維持」；</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項「軍官與士官於職務內、外發表言論時，為維護其身為長官之信賴，應保持必要之節制」；</w:t>
      </w:r>
    </w:p>
    <w:p w:rsidR="00000000" w:rsidRDefault="00917CC1" w:rsidP="00917CC1">
      <w:pPr>
        <w:numPr>
          <w:ilvl w:val="0"/>
          <w:numId w:val="1"/>
        </w:numPr>
        <w:jc w:val="both"/>
        <w:rPr>
          <w:rFonts w:ascii="新細明體" w:hAnsi="新細明體"/>
          <w:color w:val="000000"/>
          <w:lang w:val="de-DE"/>
        </w:rPr>
      </w:pPr>
      <w:r>
        <w:rPr>
          <w:rFonts w:ascii="新細明體" w:hAnsi="新細明體" w:hint="eastAsia"/>
          <w:color w:val="000000"/>
          <w:lang w:val="de-DE"/>
        </w:rPr>
        <w:t>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項「軍人在職務中不得從事有利或不利於特定政治路線之活動。軍人與同袍交談中表達自己意見之權利不受影響」；第</w:t>
      </w:r>
      <w:r>
        <w:rPr>
          <w:rFonts w:ascii="新細明體" w:hAnsi="新細明體"/>
          <w:color w:val="000000"/>
          <w:lang w:val="de-DE"/>
        </w:rPr>
        <w:t>2</w:t>
      </w:r>
      <w:r>
        <w:rPr>
          <w:rFonts w:ascii="新細明體" w:hAnsi="新細明體" w:hint="eastAsia"/>
          <w:color w:val="000000"/>
          <w:lang w:val="de-DE"/>
        </w:rPr>
        <w:t>項「在營區或軍事設施中於休閒時間之自由發表意見之權利，以同袍間之基本規則為其界限。軍人應注意其行為以免共同職務受到嚴重干擾。軍人特別不得以政治團體之宣傳員身分演講或散播文字為政治團體宣傳，或者以政治組織之代表者身分從事工作</w:t>
      </w:r>
      <w:r>
        <w:rPr>
          <w:rFonts w:ascii="新細明體" w:hAnsi="新細明體" w:hint="eastAsia"/>
          <w:color w:val="000000"/>
          <w:lang w:val="de-DE"/>
        </w:rPr>
        <w:t>。軍人相互間之尊重不得被危及。」；第</w:t>
      </w:r>
      <w:r>
        <w:rPr>
          <w:rFonts w:ascii="新細明體" w:hAnsi="新細明體"/>
          <w:color w:val="000000"/>
          <w:lang w:val="de-DE"/>
        </w:rPr>
        <w:t>3</w:t>
      </w:r>
      <w:r>
        <w:rPr>
          <w:rFonts w:ascii="新細明體" w:hAnsi="新細明體" w:hint="eastAsia"/>
          <w:color w:val="000000"/>
          <w:lang w:val="de-DE"/>
        </w:rPr>
        <w:t>項「軍人參加政治活動時</w:t>
      </w:r>
      <w:proofErr w:type="gramStart"/>
      <w:r>
        <w:rPr>
          <w:rFonts w:ascii="新細明體" w:hAnsi="新細明體" w:hint="eastAsia"/>
          <w:color w:val="000000"/>
          <w:lang w:val="de-DE"/>
        </w:rPr>
        <w:t>不得著</w:t>
      </w:r>
      <w:proofErr w:type="gramEnd"/>
      <w:r>
        <w:rPr>
          <w:rFonts w:ascii="新細明體" w:hAnsi="新細明體" w:hint="eastAsia"/>
          <w:color w:val="000000"/>
          <w:lang w:val="de-DE"/>
        </w:rPr>
        <w:t>軍服」；第</w:t>
      </w:r>
      <w:r>
        <w:rPr>
          <w:rFonts w:ascii="新細明體" w:hAnsi="新細明體"/>
          <w:color w:val="000000"/>
          <w:lang w:val="de-DE"/>
        </w:rPr>
        <w:t>4</w:t>
      </w:r>
      <w:r>
        <w:rPr>
          <w:rFonts w:ascii="新細明體" w:hAnsi="新細明體" w:hint="eastAsia"/>
          <w:color w:val="000000"/>
          <w:lang w:val="de-DE"/>
        </w:rPr>
        <w:t>項「具有長官身分之軍人不得為了贊成或反對</w:t>
      </w:r>
      <w:proofErr w:type="gramStart"/>
      <w:r>
        <w:rPr>
          <w:rFonts w:ascii="新細明體" w:hAnsi="新細明體" w:hint="eastAsia"/>
          <w:color w:val="000000"/>
          <w:lang w:val="de-DE"/>
        </w:rPr>
        <w:t>一</w:t>
      </w:r>
      <w:proofErr w:type="gramEnd"/>
      <w:r>
        <w:rPr>
          <w:rFonts w:ascii="新細明體" w:hAnsi="新細明體" w:hint="eastAsia"/>
          <w:color w:val="000000"/>
          <w:lang w:val="de-DE"/>
        </w:rPr>
        <w:t>政治意見而影響其部屬」；</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17</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項「軍人之行為應符合對聯邦國防軍之威望及其軍人身分所必須之尊重與信賴」</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由以上之規定可以看出軍人法中對於軍人政治活動之規範乃是階層性地區分類型而予以不同程度之限制</w:t>
      </w:r>
      <w:r>
        <w:rPr>
          <w:rStyle w:val="a6"/>
          <w:rFonts w:ascii="新細明體" w:hAnsi="新細明體"/>
          <w:color w:val="000000"/>
          <w:lang w:val="de-DE"/>
        </w:rPr>
        <w:footnoteReference w:id="133"/>
      </w:r>
      <w:r>
        <w:rPr>
          <w:rFonts w:ascii="新細明體" w:hAnsi="新細明體" w:hint="eastAsia"/>
          <w:color w:val="000000"/>
          <w:lang w:val="de-DE"/>
        </w:rPr>
        <w:t>：</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在執行職務中軍人之政治活動受到最嚴格之限制，原則上不得從事政治活動，惟同袍間交談而發表意見之權利則不受影響。</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在休閒時間中，但在營區或軍事設施之內，軍人可以有較寬之政治活動空間，</w:t>
      </w:r>
      <w:r>
        <w:rPr>
          <w:rFonts w:ascii="新細明體" w:hAnsi="新細明體" w:hint="eastAsia"/>
          <w:color w:val="000000"/>
          <w:lang w:val="de-DE"/>
        </w:rPr>
        <w:t>因此在執行職務中被禁止之政治活動在此未必被禁止。此範圍內之政治活動係以同袍間之基本規則為其界限，顯見此規定之保護法益在於同袍情誼與相互之尊重，</w:t>
      </w:r>
      <w:proofErr w:type="gramStart"/>
      <w:r>
        <w:rPr>
          <w:rFonts w:ascii="新細明體" w:hAnsi="新細明體" w:hint="eastAsia"/>
          <w:color w:val="000000"/>
          <w:lang w:val="de-DE"/>
        </w:rPr>
        <w:t>蓋此為</w:t>
      </w:r>
      <w:proofErr w:type="gramEnd"/>
      <w:r>
        <w:rPr>
          <w:rFonts w:ascii="新細明體" w:hAnsi="新細明體" w:hint="eastAsia"/>
          <w:color w:val="000000"/>
          <w:lang w:val="de-DE"/>
        </w:rPr>
        <w:t>維持紀律與軍隊之戰鬥力之必要條件。第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句所禁止軍人以演講或散播文字為政治團體宣傳，或者以政治組織之代表者身分從事工作，乃是立法者所列舉出之嚴重干擾同袍關係及其相互尊重之典型。</w:t>
      </w:r>
      <w:r>
        <w:rPr>
          <w:rStyle w:val="a6"/>
          <w:rFonts w:ascii="新細明體" w:hAnsi="新細明體"/>
          <w:color w:val="000000"/>
          <w:lang w:val="de-DE"/>
        </w:rPr>
        <w:footnoteReference w:id="134"/>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在休閒時間中，而且也在營區或軍事設施之外，則軍人有最寬之政治活動空間，除了受到與公務員法上之「尊嚴條款」類似之限制外，基於軍人身分所受之特別限制僅限於不得穿軍服而參加政治活</w:t>
      </w:r>
      <w:r>
        <w:rPr>
          <w:rFonts w:ascii="新細明體" w:hAnsi="新細明體" w:hint="eastAsia"/>
          <w:color w:val="000000"/>
          <w:lang w:val="de-DE"/>
        </w:rPr>
        <w:t>動。</w:t>
      </w:r>
    </w:p>
    <w:p w:rsidR="00000000" w:rsidRDefault="00917CC1">
      <w:pPr>
        <w:pStyle w:val="4"/>
        <w:rPr>
          <w:rFonts w:hint="eastAsia"/>
        </w:rPr>
      </w:pPr>
      <w:bookmarkStart w:id="26" w:name="_Toc535245937"/>
      <w:r>
        <w:br w:type="page"/>
      </w:r>
      <w:r>
        <w:rPr>
          <w:rFonts w:hint="eastAsia"/>
        </w:rPr>
        <w:lastRenderedPageBreak/>
        <w:t>二、案例與問題</w:t>
      </w:r>
      <w:bookmarkEnd w:id="26"/>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除了前述軍人於軍車上張貼反核海報之例</w:t>
      </w:r>
      <w:r>
        <w:rPr>
          <w:rFonts w:ascii="新細明體" w:hAnsi="新細明體"/>
          <w:color w:val="000000"/>
          <w:lang w:val="de-DE"/>
        </w:rPr>
        <w:t>(</w:t>
      </w:r>
      <w:r>
        <w:rPr>
          <w:rFonts w:ascii="新細明體" w:hAnsi="新細明體" w:hint="eastAsia"/>
          <w:color w:val="000000"/>
          <w:lang w:val="de-DE"/>
        </w:rPr>
        <w:t>案例</w:t>
      </w:r>
      <w:proofErr w:type="gramStart"/>
      <w:r>
        <w:rPr>
          <w:rFonts w:ascii="新細明體" w:hAnsi="新細明體" w:hint="eastAsia"/>
          <w:color w:val="000000"/>
          <w:lang w:val="de-DE"/>
        </w:rPr>
        <w:t>一</w:t>
      </w:r>
      <w:proofErr w:type="gramEnd"/>
      <w:r>
        <w:rPr>
          <w:rFonts w:ascii="新細明體" w:hAnsi="新細明體"/>
          <w:color w:val="000000"/>
          <w:lang w:val="de-DE"/>
        </w:rPr>
        <w:t>)</w:t>
      </w:r>
      <w:r>
        <w:rPr>
          <w:rFonts w:ascii="新細明體" w:hAnsi="新細明體" w:hint="eastAsia"/>
          <w:color w:val="000000"/>
          <w:lang w:val="de-DE"/>
        </w:rPr>
        <w:t>，以下再舉兩個實例來觀察對於軍人政治活動之相關規定之適用情形。</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案例二</w:t>
      </w:r>
      <w:r>
        <w:rPr>
          <w:rStyle w:val="a6"/>
          <w:rFonts w:ascii="新細明體" w:hAnsi="新細明體"/>
          <w:color w:val="000000"/>
          <w:lang w:val="de-DE"/>
        </w:rPr>
        <w:footnoteReference w:id="135"/>
      </w:r>
      <w:r>
        <w:rPr>
          <w:rFonts w:ascii="新細明體" w:hAnsi="新細明體" w:hint="eastAsia"/>
          <w:color w:val="000000"/>
          <w:lang w:val="de-DE"/>
        </w:rPr>
        <w:t>：</w:t>
      </w:r>
    </w:p>
    <w:p w:rsidR="00000000" w:rsidRDefault="00917CC1">
      <w:pPr>
        <w:jc w:val="both"/>
        <w:rPr>
          <w:rFonts w:ascii="新細明體" w:hAnsi="新細明體" w:hint="eastAsia"/>
          <w:color w:val="000000"/>
          <w:lang w:val="de-DE"/>
        </w:rPr>
      </w:pPr>
      <w:r>
        <w:rPr>
          <w:rFonts w:ascii="新細明體" w:hAnsi="新細明體"/>
          <w:color w:val="000000"/>
          <w:lang w:val="de-DE"/>
        </w:rPr>
        <w:t>1964</w:t>
      </w:r>
      <w:r>
        <w:rPr>
          <w:rFonts w:ascii="新細明體" w:hAnsi="新細明體" w:hint="eastAsia"/>
          <w:color w:val="000000"/>
          <w:lang w:val="de-DE"/>
        </w:rPr>
        <w:t>年</w:t>
      </w:r>
      <w:r>
        <w:rPr>
          <w:rFonts w:ascii="新細明體" w:hAnsi="新細明體"/>
          <w:color w:val="000000"/>
          <w:lang w:val="de-DE"/>
        </w:rPr>
        <w:t>10</w:t>
      </w:r>
      <w:r>
        <w:rPr>
          <w:rFonts w:ascii="新細明體" w:hAnsi="新細明體" w:hint="eastAsia"/>
          <w:color w:val="000000"/>
          <w:lang w:val="de-DE"/>
        </w:rPr>
        <w:t>月</w:t>
      </w:r>
      <w:r>
        <w:rPr>
          <w:rFonts w:ascii="新細明體" w:hAnsi="新細明體"/>
          <w:color w:val="000000"/>
          <w:lang w:val="de-DE"/>
        </w:rPr>
        <w:t>1</w:t>
      </w:r>
      <w:r>
        <w:rPr>
          <w:rFonts w:ascii="新細明體" w:hAnsi="新細明體" w:hint="eastAsia"/>
          <w:color w:val="000000"/>
          <w:lang w:val="de-DE"/>
        </w:rPr>
        <w:t>日一位軍官於上班時間內，在其辦公室與其下屬談論學生運動、大眾傳播媒體及健康與教育政策等政治話題。因這次談話此一軍官受到懲戒，主管長官向軍事法院請求懲戒該軍官之理由是其企圖影響下屬之政治觀點，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項之規定。在談話中他特別提到「在德國及聯邦國防軍中，言論自由受到壓制。針對信件及電話檢查並無法律救濟手段。整體來說，在德國無社會</w:t>
      </w:r>
      <w:r>
        <w:rPr>
          <w:rFonts w:ascii="新細明體" w:hAnsi="新細明體" w:hint="eastAsia"/>
          <w:color w:val="000000"/>
          <w:lang w:val="de-DE"/>
        </w:rPr>
        <w:t>正義可言。」而且，以前他也曾多次表示，如果將國防武力投入在內政事務上，在這個任務範圍內他將不遵守合法之命令。因此其言論也被認為違反節制義務。</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案例三</w:t>
      </w:r>
      <w:r>
        <w:rPr>
          <w:rStyle w:val="a6"/>
          <w:rFonts w:ascii="新細明體" w:hAnsi="新細明體"/>
          <w:color w:val="000000"/>
          <w:lang w:val="de-DE"/>
        </w:rPr>
        <w:footnoteReference w:id="136"/>
      </w:r>
      <w:r>
        <w:rPr>
          <w:rFonts w:ascii="新細明體" w:hAnsi="新細明體" w:hint="eastAsia"/>
          <w:color w:val="000000"/>
          <w:lang w:val="de-DE"/>
        </w:rPr>
        <w:t>：</w:t>
      </w:r>
    </w:p>
    <w:p w:rsidR="00000000" w:rsidRDefault="00917CC1">
      <w:pPr>
        <w:jc w:val="both"/>
        <w:rPr>
          <w:rFonts w:ascii="新細明體" w:hAnsi="新細明體" w:hint="eastAsia"/>
          <w:b/>
          <w:i/>
          <w:color w:val="000000"/>
          <w:lang w:val="de-DE"/>
        </w:rPr>
      </w:pPr>
      <w:r>
        <w:rPr>
          <w:rFonts w:ascii="新細明體" w:hAnsi="新細明體" w:hint="eastAsia"/>
          <w:color w:val="000000"/>
          <w:lang w:val="de-DE"/>
        </w:rPr>
        <w:t>在</w:t>
      </w:r>
      <w:r>
        <w:rPr>
          <w:rFonts w:ascii="新細明體" w:hAnsi="新細明體"/>
          <w:color w:val="000000"/>
          <w:lang w:val="de-DE"/>
        </w:rPr>
        <w:t>1976</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13</w:t>
      </w:r>
      <w:r>
        <w:rPr>
          <w:rFonts w:ascii="新細明體" w:hAnsi="新細明體" w:hint="eastAsia"/>
          <w:color w:val="000000"/>
          <w:lang w:val="de-DE"/>
        </w:rPr>
        <w:t>日於「共產人民報」</w:t>
      </w:r>
      <w:r>
        <w:rPr>
          <w:rFonts w:ascii="新細明體" w:hAnsi="新細明體"/>
          <w:color w:val="000000"/>
          <w:lang w:val="de-DE"/>
        </w:rPr>
        <w:t>(Die Kommunistische Volkszeitung)</w:t>
      </w:r>
      <w:r>
        <w:rPr>
          <w:rFonts w:ascii="新細明體" w:hAnsi="新細明體" w:hint="eastAsia"/>
          <w:color w:val="000000"/>
          <w:lang w:val="de-DE"/>
        </w:rPr>
        <w:t>上刊登了一份駐紮在</w:t>
      </w:r>
      <w:r>
        <w:rPr>
          <w:rFonts w:ascii="新細明體" w:hAnsi="新細明體"/>
          <w:color w:val="000000"/>
          <w:lang w:val="de-DE"/>
        </w:rPr>
        <w:t>Immendingen</w:t>
      </w:r>
      <w:r>
        <w:rPr>
          <w:rFonts w:ascii="新細明體" w:hAnsi="新細明體" w:hint="eastAsia"/>
          <w:color w:val="000000"/>
          <w:lang w:val="de-DE"/>
        </w:rPr>
        <w:t>軍營中之軍人對於</w:t>
      </w:r>
      <w:r>
        <w:rPr>
          <w:rFonts w:ascii="新細明體" w:hAnsi="新細明體"/>
          <w:color w:val="000000"/>
          <w:lang w:val="de-DE"/>
        </w:rPr>
        <w:t>Kaiserstuhl</w:t>
      </w:r>
      <w:r>
        <w:rPr>
          <w:rFonts w:ascii="新細明體" w:hAnsi="新細明體" w:hint="eastAsia"/>
          <w:color w:val="000000"/>
          <w:lang w:val="de-DE"/>
        </w:rPr>
        <w:t>之居民之請求書：「我們，駐紮在</w:t>
      </w:r>
      <w:r>
        <w:rPr>
          <w:rFonts w:ascii="新細明體" w:hAnsi="新細明體"/>
          <w:color w:val="000000"/>
          <w:lang w:val="de-DE"/>
        </w:rPr>
        <w:t>Immendingen</w:t>
      </w:r>
      <w:r>
        <w:rPr>
          <w:rFonts w:ascii="新細明體" w:hAnsi="新細明體" w:hint="eastAsia"/>
          <w:color w:val="000000"/>
          <w:lang w:val="de-DE"/>
        </w:rPr>
        <w:t>之軍人，乃是與您們對於在</w:t>
      </w:r>
      <w:r>
        <w:rPr>
          <w:rFonts w:ascii="新細明體" w:hAnsi="新細明體"/>
          <w:color w:val="000000"/>
          <w:lang w:val="de-DE"/>
        </w:rPr>
        <w:t>Wyhl</w:t>
      </w:r>
      <w:r>
        <w:rPr>
          <w:rFonts w:ascii="新細明體" w:hAnsi="新細明體" w:hint="eastAsia"/>
          <w:color w:val="000000"/>
          <w:lang w:val="de-DE"/>
        </w:rPr>
        <w:t>興建核電廠之堅忍的抵抗緊密地團結在一起。我們之中有很多人是來自因預計或已興建核電廠而使得生</w:t>
      </w:r>
      <w:r>
        <w:rPr>
          <w:rFonts w:ascii="新細明體" w:hAnsi="新細明體" w:hint="eastAsia"/>
          <w:color w:val="000000"/>
          <w:lang w:val="de-DE"/>
        </w:rPr>
        <w:t>活條件受到威脅之地區。在</w:t>
      </w:r>
      <w:r>
        <w:rPr>
          <w:rFonts w:ascii="新細明體" w:hAnsi="新細明體"/>
          <w:color w:val="000000"/>
          <w:lang w:val="de-DE"/>
        </w:rPr>
        <w:t>Brockdorf</w:t>
      </w:r>
      <w:r>
        <w:rPr>
          <w:rFonts w:ascii="新細明體" w:hAnsi="新細明體" w:hint="eastAsia"/>
          <w:color w:val="000000"/>
          <w:lang w:val="de-DE"/>
        </w:rPr>
        <w:t>我們已可看見，國家運用警察或軍隊所可使用的所有手段來違反人民意志地貫徹核電企業之商業利益。警察與保安人員以警棒、水龍、毒氣及馬來對待示威者。建築工地被以蛇籠、圍牆保護起來。在</w:t>
      </w:r>
      <w:r>
        <w:rPr>
          <w:rFonts w:ascii="新細明體" w:hAnsi="新細明體"/>
          <w:color w:val="000000"/>
          <w:lang w:val="de-DE"/>
        </w:rPr>
        <w:t>Wyhl</w:t>
      </w:r>
      <w:r>
        <w:rPr>
          <w:rFonts w:ascii="新細明體" w:hAnsi="新細明體" w:hint="eastAsia"/>
          <w:color w:val="000000"/>
          <w:lang w:val="de-DE"/>
        </w:rPr>
        <w:t>也有更多的跡象顯示出國家打算以軍隊來終結居民的抵抗，甚至在建築工地已可看見聯邦國防軍及聯邦邊境警察。我們軍人聲明，我們不會為了這個骯髒的工廠而介入。我們要求你們，</w:t>
      </w:r>
      <w:proofErr w:type="gramStart"/>
      <w:r>
        <w:rPr>
          <w:rFonts w:ascii="新細明體" w:hAnsi="新細明體" w:hint="eastAsia"/>
          <w:color w:val="000000"/>
          <w:lang w:val="de-DE"/>
        </w:rPr>
        <w:t>在邦</w:t>
      </w:r>
      <w:proofErr w:type="gramEnd"/>
      <w:r>
        <w:rPr>
          <w:rFonts w:ascii="新細明體" w:hAnsi="新細明體" w:hint="eastAsia"/>
          <w:color w:val="000000"/>
          <w:lang w:val="de-DE"/>
        </w:rPr>
        <w:t>政府之計劃前搶先一步，並且自己佔領建築工地。</w:t>
      </w:r>
      <w:r>
        <w:rPr>
          <w:rFonts w:ascii="新細明體" w:hAnsi="新細明體" w:hint="eastAsia"/>
          <w:b/>
          <w:i/>
          <w:color w:val="000000"/>
          <w:lang w:val="de-DE"/>
        </w:rPr>
        <w:t>在</w:t>
      </w:r>
      <w:r>
        <w:rPr>
          <w:rFonts w:ascii="新細明體" w:hAnsi="新細明體"/>
          <w:b/>
          <w:i/>
          <w:color w:val="000000"/>
          <w:lang w:val="de-DE"/>
        </w:rPr>
        <w:t>Wyhl</w:t>
      </w:r>
      <w:r>
        <w:rPr>
          <w:rFonts w:ascii="新細明體" w:hAnsi="新細明體" w:hint="eastAsia"/>
          <w:b/>
          <w:i/>
          <w:color w:val="000000"/>
          <w:lang w:val="de-DE"/>
        </w:rPr>
        <w:t>不要有核電廠，在別的地方也不要有！</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在兩天之中，駐紮在</w:t>
      </w:r>
      <w:r>
        <w:rPr>
          <w:rFonts w:ascii="新細明體" w:hAnsi="新細明體"/>
          <w:color w:val="000000"/>
          <w:lang w:val="de-DE"/>
        </w:rPr>
        <w:t>Immendi</w:t>
      </w:r>
      <w:r>
        <w:rPr>
          <w:rFonts w:ascii="新細明體" w:hAnsi="新細明體"/>
          <w:color w:val="000000"/>
          <w:lang w:val="de-DE"/>
        </w:rPr>
        <w:t>ngen</w:t>
      </w:r>
      <w:r>
        <w:rPr>
          <w:rFonts w:ascii="新細明體" w:hAnsi="新細明體" w:hint="eastAsia"/>
          <w:color w:val="000000"/>
          <w:lang w:val="de-DE"/>
        </w:rPr>
        <w:t>之</w:t>
      </w:r>
      <w:r>
        <w:rPr>
          <w:rFonts w:ascii="新細明體" w:hAnsi="新細明體"/>
          <w:color w:val="000000"/>
          <w:lang w:val="de-DE"/>
        </w:rPr>
        <w:t>4. / 292</w:t>
      </w:r>
      <w:r>
        <w:rPr>
          <w:rFonts w:ascii="新細明體" w:hAnsi="新細明體" w:hint="eastAsia"/>
          <w:color w:val="000000"/>
          <w:lang w:val="de-DE"/>
        </w:rPr>
        <w:t>連有</w:t>
      </w:r>
      <w:r>
        <w:rPr>
          <w:rFonts w:ascii="新細明體" w:hAnsi="新細明體"/>
          <w:color w:val="000000"/>
          <w:lang w:val="de-DE"/>
        </w:rPr>
        <w:t>30</w:t>
      </w:r>
      <w:r>
        <w:rPr>
          <w:rFonts w:ascii="新細明體" w:hAnsi="新細明體" w:hint="eastAsia"/>
          <w:color w:val="000000"/>
          <w:lang w:val="de-DE"/>
        </w:rPr>
        <w:t>個軍人，亦即連隊中的多數，簽署了此一請求書。」</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在</w:t>
      </w:r>
      <w:r>
        <w:rPr>
          <w:rFonts w:ascii="新細明體" w:hAnsi="新細明體"/>
          <w:color w:val="000000"/>
          <w:lang w:val="de-DE"/>
        </w:rPr>
        <w:t>1976</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29</w:t>
      </w:r>
      <w:r>
        <w:rPr>
          <w:rFonts w:ascii="新細明體" w:hAnsi="新細明體" w:hint="eastAsia"/>
          <w:color w:val="000000"/>
          <w:lang w:val="de-DE"/>
        </w:rPr>
        <w:t>日</w:t>
      </w:r>
      <w:r>
        <w:rPr>
          <w:rFonts w:ascii="新細明體" w:hAnsi="新細明體"/>
          <w:color w:val="000000"/>
          <w:lang w:val="de-DE"/>
        </w:rPr>
        <w:t>292</w:t>
      </w:r>
      <w:r>
        <w:rPr>
          <w:rFonts w:ascii="新細明體" w:hAnsi="新細明體" w:hint="eastAsia"/>
          <w:color w:val="000000"/>
          <w:lang w:val="de-DE"/>
        </w:rPr>
        <w:t>營營長對</w:t>
      </w:r>
      <w:proofErr w:type="gramStart"/>
      <w:r>
        <w:rPr>
          <w:rFonts w:ascii="新細明體" w:hAnsi="新細明體" w:hint="eastAsia"/>
          <w:color w:val="000000"/>
          <w:lang w:val="de-DE"/>
        </w:rPr>
        <w:t>一個服</w:t>
      </w:r>
      <w:proofErr w:type="gramEnd"/>
      <w:r>
        <w:rPr>
          <w:rFonts w:ascii="新細明體" w:hAnsi="新細明體" w:hint="eastAsia"/>
          <w:color w:val="000000"/>
          <w:lang w:val="de-DE"/>
        </w:rPr>
        <w:t>義務役之二等兵施行懲戒，理由是該二等兵在</w:t>
      </w:r>
      <w:r>
        <w:rPr>
          <w:rFonts w:ascii="新細明體" w:hAnsi="新細明體"/>
          <w:color w:val="000000"/>
          <w:lang w:val="de-DE"/>
        </w:rPr>
        <w:t>11</w:t>
      </w:r>
      <w:r>
        <w:rPr>
          <w:rFonts w:ascii="新細明體" w:hAnsi="新細明體" w:hint="eastAsia"/>
          <w:color w:val="000000"/>
          <w:lang w:val="de-DE"/>
        </w:rPr>
        <w:t>月初煽動其他軍人聲明反對在</w:t>
      </w:r>
      <w:r>
        <w:rPr>
          <w:rFonts w:ascii="新細明體" w:hAnsi="新細明體"/>
          <w:color w:val="000000"/>
          <w:lang w:val="de-DE"/>
        </w:rPr>
        <w:t>Wyhl</w:t>
      </w:r>
      <w:r>
        <w:rPr>
          <w:rFonts w:ascii="新細明體" w:hAnsi="新細明體" w:hint="eastAsia"/>
          <w:color w:val="000000"/>
          <w:lang w:val="de-DE"/>
        </w:rPr>
        <w:t>興建核電廠，而且簽署其攜帶之前述請求書，以此來影響其他軍人之政治路線。</w:t>
      </w:r>
    </w:p>
    <w:p w:rsidR="00000000" w:rsidRDefault="00917CC1">
      <w:pPr>
        <w:jc w:val="both"/>
        <w:rPr>
          <w:rFonts w:ascii="新細明體" w:hAnsi="新細明體" w:hint="eastAsia"/>
          <w:color w:val="000000"/>
          <w:lang w:val="de-DE"/>
        </w:rPr>
      </w:pPr>
    </w:p>
    <w:p w:rsidR="00000000" w:rsidRDefault="00917CC1">
      <w:pPr>
        <w:pStyle w:val="5"/>
        <w:rPr>
          <w:rFonts w:hint="eastAsia"/>
        </w:rPr>
      </w:pPr>
      <w:bookmarkStart w:id="27" w:name="_Toc535245938"/>
      <w:r>
        <w:rPr>
          <w:lang w:val="de-DE"/>
        </w:rPr>
        <w:br w:type="page"/>
      </w:r>
      <w:r>
        <w:rPr>
          <w:rFonts w:hint="eastAsia"/>
        </w:rPr>
        <w:lastRenderedPageBreak/>
        <w:t>（一）執行職務中之政治活動</w:t>
      </w:r>
      <w:bookmarkEnd w:id="27"/>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如前所述，在執行職務中軍人原則上不得從事政治活動，惟同袍間交談而發表意見之權利則不受影響</w:t>
      </w:r>
      <w:r>
        <w:rPr>
          <w:rFonts w:ascii="新細明體" w:hAnsi="新細明體"/>
          <w:color w:val="000000"/>
          <w:lang w:val="de-DE"/>
        </w:rPr>
        <w:t>(§ 15 I SG)</w:t>
      </w:r>
      <w:r>
        <w:rPr>
          <w:rFonts w:ascii="新細明體" w:hAnsi="新細明體" w:hint="eastAsia"/>
          <w:color w:val="000000"/>
          <w:lang w:val="de-DE"/>
        </w:rPr>
        <w:t>，因此如何區分軍人法第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項所禁止之政治活動及所允許之同袍間之意見交流，便成為問</w:t>
      </w:r>
      <w:r>
        <w:rPr>
          <w:rFonts w:ascii="新細明體" w:hAnsi="新細明體" w:hint="eastAsia"/>
          <w:color w:val="000000"/>
          <w:lang w:val="de-DE"/>
        </w:rPr>
        <w:t>題所在。對此一問題，聯邦行政法院於在軍車上張貼反核海報一案中認為：</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一個行為是否可認定為本條款所規定之政治活動，並非取決於像政治學等法律外之觀點，而是應依其保護目的來加以決定。本條款之保護目的為同袍關係及其相互間之尊重，此為確保紀律之維持與軍隊之戰鬥力不可或缺之條件。</w:t>
      </w:r>
    </w:p>
    <w:p w:rsidR="00000000" w:rsidRDefault="00917CC1" w:rsidP="00917CC1">
      <w:pPr>
        <w:numPr>
          <w:ilvl w:val="0"/>
          <w:numId w:val="1"/>
        </w:numPr>
        <w:jc w:val="both"/>
        <w:rPr>
          <w:rFonts w:ascii="新細明體" w:hAnsi="新細明體" w:hint="eastAsia"/>
          <w:color w:val="000000"/>
        </w:rPr>
      </w:pPr>
      <w:r>
        <w:rPr>
          <w:rFonts w:ascii="新細明體" w:hAnsi="新細明體" w:hint="eastAsia"/>
          <w:color w:val="000000"/>
        </w:rPr>
        <w:t>對於本條款所定政治活動在認定上之明確界限</w:t>
      </w:r>
      <w:r>
        <w:rPr>
          <w:rFonts w:ascii="新細明體" w:hAnsi="新細明體" w:hint="eastAsia"/>
          <w:color w:val="000000"/>
          <w:lang w:val="de-DE"/>
        </w:rPr>
        <w:t>，在此可暫存而不論，但某一行為在一般意義上雖屬「政治」活動，惟其社會意義輕微或不會引起熱烈討論，而不致觸及本條款之保護法益，則可確定應排除在本條款所定之政治活動之外。</w:t>
      </w:r>
    </w:p>
    <w:p w:rsidR="00000000" w:rsidRDefault="00917CC1" w:rsidP="00917CC1">
      <w:pPr>
        <w:numPr>
          <w:ilvl w:val="0"/>
          <w:numId w:val="1"/>
        </w:numPr>
        <w:jc w:val="both"/>
        <w:rPr>
          <w:rFonts w:ascii="新細明體" w:hAnsi="新細明體" w:hint="eastAsia"/>
          <w:color w:val="000000"/>
        </w:rPr>
      </w:pPr>
      <w:r>
        <w:rPr>
          <w:rFonts w:ascii="新細明體" w:hAnsi="新細明體" w:hint="eastAsia"/>
          <w:color w:val="000000"/>
          <w:lang w:val="de-DE"/>
        </w:rPr>
        <w:t>相反地，對於德國及其人民之未來有重</w:t>
      </w:r>
      <w:r>
        <w:rPr>
          <w:rFonts w:ascii="新細明體" w:hAnsi="新細明體" w:hint="eastAsia"/>
          <w:color w:val="000000"/>
          <w:lang w:val="de-DE"/>
        </w:rPr>
        <w:t>大意義之問題，且對其在政黨內、外很激烈地、毫無妥協地進行爭論，正、反方對立之立場無可調停，則可確定會危及同袍關係及軍隊中之相互尊重。</w:t>
      </w:r>
    </w:p>
    <w:p w:rsidR="00000000" w:rsidRDefault="00917CC1" w:rsidP="00917CC1">
      <w:pPr>
        <w:numPr>
          <w:ilvl w:val="0"/>
          <w:numId w:val="1"/>
        </w:numPr>
        <w:jc w:val="both"/>
        <w:rPr>
          <w:rFonts w:ascii="新細明體" w:hAnsi="新細明體" w:hint="eastAsia"/>
          <w:color w:val="000000"/>
        </w:rPr>
      </w:pPr>
      <w:r>
        <w:rPr>
          <w:rFonts w:ascii="新細明體" w:hAnsi="新細明體" w:hint="eastAsia"/>
          <w:color w:val="000000"/>
          <w:lang w:val="de-DE"/>
        </w:rPr>
        <w:t>核能問題乃是目前對於經濟與環境之未來十分具爭議性之基本決定，因此與其相關之行為或言論屬於軍人法第</w:t>
      </w:r>
      <w:r>
        <w:rPr>
          <w:rFonts w:ascii="新細明體" w:hAnsi="新細明體"/>
          <w:color w:val="000000"/>
          <w:lang w:val="de-DE"/>
        </w:rPr>
        <w:t>15</w:t>
      </w:r>
      <w:r>
        <w:rPr>
          <w:rFonts w:ascii="新細明體" w:hAnsi="新細明體" w:hint="eastAsia"/>
          <w:color w:val="000000"/>
          <w:lang w:val="de-DE"/>
        </w:rPr>
        <w:t>條所定之「政治」。</w:t>
      </w:r>
    </w:p>
    <w:p w:rsidR="00000000" w:rsidRDefault="00917CC1">
      <w:pPr>
        <w:jc w:val="both"/>
        <w:rPr>
          <w:rFonts w:ascii="新細明體" w:hAnsi="新細明體" w:hint="eastAsia"/>
          <w:color w:val="000000"/>
          <w:lang w:val="de-DE"/>
        </w:rPr>
      </w:pPr>
    </w:p>
    <w:p w:rsidR="00000000" w:rsidRDefault="00917CC1">
      <w:pPr>
        <w:pStyle w:val="5"/>
        <w:rPr>
          <w:rFonts w:hint="eastAsia"/>
          <w:color w:val="000000"/>
        </w:rPr>
      </w:pPr>
      <w:bookmarkStart w:id="28" w:name="_Toc535245939"/>
      <w:r>
        <w:rPr>
          <w:rFonts w:hint="eastAsia"/>
        </w:rPr>
        <w:t>（二）</w:t>
      </w:r>
      <w:r>
        <w:rPr>
          <w:rFonts w:hint="eastAsia"/>
        </w:rPr>
        <w:t xml:space="preserve"> </w:t>
      </w:r>
      <w:r>
        <w:rPr>
          <w:rFonts w:hint="eastAsia"/>
        </w:rPr>
        <w:t>於休閒時間中在營區或軍事設施內之政治活動</w:t>
      </w:r>
      <w:bookmarkEnd w:id="28"/>
    </w:p>
    <w:p w:rsidR="00000000" w:rsidRDefault="00917CC1">
      <w:pPr>
        <w:pStyle w:val="6"/>
      </w:pPr>
      <w:bookmarkStart w:id="29" w:name="_Toc535245940"/>
      <w:r>
        <w:rPr>
          <w:rFonts w:hint="eastAsia"/>
        </w:rPr>
        <w:t>1</w:t>
      </w:r>
      <w:r>
        <w:rPr>
          <w:rFonts w:hint="eastAsia"/>
        </w:rPr>
        <w:t>、軍人法第</w:t>
      </w:r>
      <w:r>
        <w:t>15</w:t>
      </w:r>
      <w:r>
        <w:rPr>
          <w:rFonts w:hint="eastAsia"/>
        </w:rPr>
        <w:t>條第</w:t>
      </w:r>
      <w:r>
        <w:t>2</w:t>
      </w:r>
      <w:r>
        <w:rPr>
          <w:rFonts w:hint="eastAsia"/>
        </w:rPr>
        <w:t>項</w:t>
      </w:r>
      <w:bookmarkEnd w:id="29"/>
    </w:p>
    <w:p w:rsidR="00000000" w:rsidRDefault="00917CC1">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在案例</w:t>
      </w:r>
      <w:proofErr w:type="gramStart"/>
      <w:r>
        <w:rPr>
          <w:rFonts w:ascii="新細明體" w:hAnsi="新細明體" w:hint="eastAsia"/>
          <w:color w:val="000000"/>
          <w:lang w:val="de-DE"/>
        </w:rPr>
        <w:t>一</w:t>
      </w:r>
      <w:proofErr w:type="gramEnd"/>
      <w:r>
        <w:rPr>
          <w:rFonts w:ascii="新細明體" w:hAnsi="新細明體" w:hint="eastAsia"/>
          <w:color w:val="000000"/>
          <w:lang w:val="de-DE"/>
        </w:rPr>
        <w:t>與案例三中都涉及軍人法第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項之適用問題。對此，以下歸納聯邦憲法法院之見解：</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聯邦憲法法院首先肯認軍人法第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項之合憲性。關於軍人法第</w:t>
      </w:r>
      <w:r>
        <w:rPr>
          <w:rFonts w:ascii="新細明體" w:hAnsi="新細明體"/>
          <w:color w:val="000000"/>
          <w:lang w:val="de-DE"/>
        </w:rPr>
        <w:t>15</w:t>
      </w:r>
      <w:r>
        <w:rPr>
          <w:rFonts w:ascii="新細明體" w:hAnsi="新細明體" w:hint="eastAsia"/>
          <w:color w:val="000000"/>
          <w:lang w:val="de-DE"/>
        </w:rPr>
        <w:t>條之合憲性，主</w:t>
      </w:r>
      <w:r>
        <w:rPr>
          <w:rFonts w:ascii="新細明體" w:hAnsi="新細明體" w:hint="eastAsia"/>
          <w:color w:val="000000"/>
          <w:lang w:val="de-DE"/>
        </w:rPr>
        <w:t>要之爭議點在於該規定並未指明受限制之基本權之條款，是否違反基本法第</w:t>
      </w:r>
      <w:r>
        <w:rPr>
          <w:rFonts w:ascii="新細明體" w:hAnsi="新細明體"/>
          <w:color w:val="000000"/>
          <w:lang w:val="de-DE"/>
        </w:rPr>
        <w:t>19</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句指明條款之要求</w:t>
      </w:r>
      <w:r>
        <w:rPr>
          <w:rStyle w:val="a6"/>
          <w:rFonts w:ascii="新細明體" w:hAnsi="新細明體"/>
          <w:color w:val="000000"/>
          <w:lang w:val="de-DE"/>
        </w:rPr>
        <w:footnoteReference w:id="137"/>
      </w:r>
      <w:r>
        <w:rPr>
          <w:rFonts w:ascii="新細明體" w:hAnsi="新細明體" w:hint="eastAsia"/>
          <w:color w:val="000000"/>
          <w:lang w:val="de-DE"/>
        </w:rPr>
        <w:t>？由於聯邦憲法法院之一貫見解認為指明條款之要求不適用於基本法第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項所定之「一般法律」，而軍人法第</w:t>
      </w:r>
      <w:r>
        <w:rPr>
          <w:rFonts w:ascii="新細明體" w:hAnsi="新細明體"/>
          <w:color w:val="000000"/>
          <w:lang w:val="de-DE"/>
        </w:rPr>
        <w:t>15</w:t>
      </w:r>
      <w:r>
        <w:rPr>
          <w:rFonts w:ascii="新細明體" w:hAnsi="新細明體" w:hint="eastAsia"/>
          <w:color w:val="000000"/>
          <w:lang w:val="de-DE"/>
        </w:rPr>
        <w:t>條之憲法依據是基本法第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項，因此爭議之重點在基本法第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項與第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項間之關係。針對軍人法第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項之合憲性問題，聯邦憲法法院認為，關於指明條款之問題，應依基本法第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項之意義與目的來探求其答案。由於基本法第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項乃</w:t>
      </w:r>
      <w:r>
        <w:rPr>
          <w:rFonts w:ascii="新細明體" w:hAnsi="新細明體" w:hint="eastAsia"/>
          <w:color w:val="000000"/>
          <w:lang w:val="de-DE"/>
        </w:rPr>
        <w:lastRenderedPageBreak/>
        <w:t>是於</w:t>
      </w:r>
      <w:r>
        <w:rPr>
          <w:rFonts w:ascii="新細明體" w:hAnsi="新細明體"/>
          <w:color w:val="000000"/>
          <w:lang w:val="de-DE"/>
        </w:rPr>
        <w:t>1956</w:t>
      </w:r>
      <w:r>
        <w:rPr>
          <w:rFonts w:ascii="新細明體" w:hAnsi="新細明體" w:hint="eastAsia"/>
          <w:color w:val="000000"/>
          <w:lang w:val="de-DE"/>
        </w:rPr>
        <w:t>增訂的，因此聯邦憲法法院認為立法目的很</w:t>
      </w:r>
      <w:r>
        <w:rPr>
          <w:rFonts w:ascii="新細明體" w:hAnsi="新細明體" w:hint="eastAsia"/>
          <w:color w:val="000000"/>
          <w:lang w:val="de-DE"/>
        </w:rPr>
        <w:t>清楚地在於為確保軍隊戰鬥力之有效性，有必要使軍人之基本權受到較嚴格之限制。因此，如依之前之規定並不適用指明條款之要求，則沒有理由因第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項之增定而反須適用指明條款之要求。從而只要軍人法第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項屬於基本法第</w:t>
      </w:r>
      <w:r>
        <w:rPr>
          <w:rFonts w:ascii="新細明體" w:hAnsi="新細明體"/>
          <w:color w:val="000000"/>
          <w:lang w:val="de-DE"/>
        </w:rPr>
        <w:t>5</w:t>
      </w:r>
      <w:r>
        <w:rPr>
          <w:rFonts w:ascii="新細明體" w:hAnsi="新細明體" w:hint="eastAsia"/>
          <w:color w:val="000000"/>
          <w:lang w:val="de-DE"/>
        </w:rPr>
        <w:t>條</w:t>
      </w:r>
      <w:r>
        <w:rPr>
          <w:rFonts w:ascii="新細明體" w:hAnsi="新細明體"/>
          <w:color w:val="000000"/>
          <w:lang w:val="de-DE"/>
        </w:rPr>
        <w:t>2</w:t>
      </w:r>
      <w:r>
        <w:rPr>
          <w:rFonts w:ascii="新細明體" w:hAnsi="新細明體" w:hint="eastAsia"/>
          <w:color w:val="000000"/>
          <w:lang w:val="de-DE"/>
        </w:rPr>
        <w:t>項之「一般法律」，即無指明條款之要求適用之餘地，儘管其形式上係以基本法第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項為依據。由於聯邦憲法法院一貫之見解認為所謂「一般法律」係指為保障某優先於言論自由之法益，而非針對特定言論本身之法律，而軍人法第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項並非專為限制特定言論之法律，</w:t>
      </w:r>
      <w:proofErr w:type="gramStart"/>
      <w:r>
        <w:rPr>
          <w:rFonts w:ascii="新細明體" w:hAnsi="新細明體" w:hint="eastAsia"/>
          <w:color w:val="000000"/>
          <w:lang w:val="de-DE"/>
        </w:rPr>
        <w:t>故被肯認為</w:t>
      </w:r>
      <w:proofErr w:type="gramEnd"/>
      <w:r>
        <w:rPr>
          <w:rFonts w:ascii="新細明體" w:hAnsi="新細明體" w:hint="eastAsia"/>
          <w:color w:val="000000"/>
          <w:lang w:val="de-DE"/>
        </w:rPr>
        <w:t>「一般法律」，從而無須指明</w:t>
      </w:r>
      <w:r>
        <w:rPr>
          <w:rFonts w:ascii="新細明體" w:hAnsi="新細明體" w:hint="eastAsia"/>
          <w:color w:val="000000"/>
          <w:lang w:val="de-DE"/>
        </w:rPr>
        <w:t>受限制基本權之條款，其合憲性並因此而被肯定。</w:t>
      </w:r>
      <w:r>
        <w:rPr>
          <w:rStyle w:val="a6"/>
          <w:rFonts w:ascii="新細明體" w:hAnsi="新細明體"/>
          <w:color w:val="000000"/>
          <w:lang w:val="de-DE"/>
        </w:rPr>
        <w:footnoteReference w:id="138"/>
      </w:r>
      <w:r>
        <w:rPr>
          <w:rFonts w:ascii="新細明體" w:hAnsi="新細明體" w:hint="eastAsia"/>
          <w:color w:val="000000"/>
          <w:lang w:val="de-DE"/>
        </w:rPr>
        <w:t>基於同樣之理由，在案例三中聯邦憲法法院也肯認軍人法第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項之合憲性。</w:t>
      </w:r>
      <w:r>
        <w:rPr>
          <w:rStyle w:val="a6"/>
          <w:rFonts w:ascii="新細明體" w:hAnsi="新細明體"/>
          <w:color w:val="000000"/>
          <w:lang w:val="de-DE"/>
        </w:rPr>
        <w:footnoteReference w:id="139"/>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項為得限制言論自由之「一般法律」，但其解釋與適用仍應充分考慮言論自由之保障，因此在個案中應就言論自由與軍人法第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項之保護法益為利益衡量。本條款之保護</w:t>
      </w:r>
      <w:proofErr w:type="gramStart"/>
      <w:r>
        <w:rPr>
          <w:rFonts w:ascii="新細明體" w:hAnsi="新細明體" w:hint="eastAsia"/>
          <w:color w:val="000000"/>
          <w:lang w:val="de-DE"/>
        </w:rPr>
        <w:t>法益乃為</w:t>
      </w:r>
      <w:proofErr w:type="gramEnd"/>
      <w:r>
        <w:rPr>
          <w:rFonts w:ascii="新細明體" w:hAnsi="新細明體" w:hint="eastAsia"/>
          <w:color w:val="000000"/>
          <w:lang w:val="de-DE"/>
        </w:rPr>
        <w:t>確保紀律之維持與軍隊之戰鬥力所不可或缺之同袍關係及其相互間之尊重。軍人法第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句列舉了會危及同袍關係及其相互間之尊重之</w:t>
      </w:r>
      <w:proofErr w:type="gramStart"/>
      <w:r>
        <w:rPr>
          <w:rFonts w:ascii="新細明體" w:hAnsi="新細明體" w:hint="eastAsia"/>
          <w:color w:val="000000"/>
          <w:lang w:val="de-DE"/>
        </w:rPr>
        <w:t>典型，</w:t>
      </w:r>
      <w:proofErr w:type="gramEnd"/>
      <w:r>
        <w:rPr>
          <w:rFonts w:ascii="新細明體" w:hAnsi="新細明體" w:hint="eastAsia"/>
          <w:color w:val="000000"/>
          <w:lang w:val="de-DE"/>
        </w:rPr>
        <w:t>但此一列舉並未窮盡其可能性，其他危及同袍關係及其相互間之尊重之行為亦在</w:t>
      </w:r>
      <w:r>
        <w:rPr>
          <w:rFonts w:ascii="新細明體" w:hAnsi="新細明體" w:hint="eastAsia"/>
          <w:color w:val="000000"/>
          <w:lang w:val="de-DE"/>
        </w:rPr>
        <w:t>禁止之列。</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關於言論自由與軍人法第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項之保護法益間之衡量，在案例三中，聯邦憲法法院強調，在休閒時間中任何違反同袍之自由意志而強將之拉進政治爭論中之行為，乃是軍人法第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項所欲禁止的。在此特別要考慮到，在軍營中軍人之生活並不像一般人那樣可以彼此隔絕，因此其私人領域就只有在很困難之條件下才有辦法受到保障；軍人依基本法第</w:t>
      </w:r>
      <w:r>
        <w:rPr>
          <w:rFonts w:ascii="新細明體" w:hAnsi="新細明體"/>
          <w:color w:val="000000"/>
          <w:lang w:val="de-DE"/>
        </w:rPr>
        <w:t>1</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項及第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項所受保障之私人領域及享受安寧之權利特別容易受到侵害，也因此有特別加以保障之必要。因此，在從事利益衡量時不應只考慮到言論自由之保障而對軍人法第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項為嚴格</w:t>
      </w:r>
      <w:r>
        <w:rPr>
          <w:rFonts w:ascii="新細明體" w:hAnsi="新細明體" w:hint="eastAsia"/>
          <w:color w:val="000000"/>
          <w:lang w:val="de-DE"/>
        </w:rPr>
        <w:t>解釋。相反地，基於軍隊生活之特殊性，毋寧應對於其他人之不受來自其同袍違反其自由意志之請求或影響之權利予以相同程度之考量。在對於所有相關聯之基本權為綜合考量下，在休閒</w:t>
      </w:r>
      <w:proofErr w:type="gramStart"/>
      <w:r>
        <w:rPr>
          <w:rFonts w:ascii="新細明體" w:hAnsi="新細明體" w:hint="eastAsia"/>
          <w:color w:val="000000"/>
          <w:lang w:val="de-DE"/>
        </w:rPr>
        <w:t>時間內但在</w:t>
      </w:r>
      <w:proofErr w:type="gramEnd"/>
      <w:r>
        <w:rPr>
          <w:rFonts w:ascii="新細明體" w:hAnsi="新細明體" w:hint="eastAsia"/>
          <w:color w:val="000000"/>
          <w:lang w:val="de-DE"/>
        </w:rPr>
        <w:t>營區及軍事設施中對於政治活動於一定程度內予以一般之限制，以便可能的爭論在一開始就得以禁絕，乃是可容許的。</w:t>
      </w:r>
      <w:r>
        <w:rPr>
          <w:rStyle w:val="a6"/>
          <w:rFonts w:ascii="新細明體" w:hAnsi="新細明體"/>
          <w:color w:val="000000"/>
          <w:lang w:val="de-DE"/>
        </w:rPr>
        <w:footnoteReference w:id="140"/>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在案例</w:t>
      </w:r>
      <w:proofErr w:type="gramStart"/>
      <w:r>
        <w:rPr>
          <w:rFonts w:ascii="新細明體" w:hAnsi="新細明體" w:hint="eastAsia"/>
          <w:color w:val="000000"/>
          <w:lang w:val="de-DE"/>
        </w:rPr>
        <w:t>一</w:t>
      </w:r>
      <w:proofErr w:type="gramEnd"/>
      <w:r>
        <w:rPr>
          <w:rFonts w:ascii="新細明體" w:hAnsi="新細明體" w:hint="eastAsia"/>
          <w:color w:val="000000"/>
          <w:lang w:val="de-DE"/>
        </w:rPr>
        <w:t>中，反核海報之張貼乃是為政治團體宣傳，問題在於其是否違反軍人法第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句之規定。對此聯邦行政法院強調，在政治意見形成之領域中有非常多樣之「宣傳」種類與方式，即使是在軍人法第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句所容許之同袍間之交談，</w:t>
      </w:r>
      <w:r>
        <w:rPr>
          <w:rFonts w:ascii="新細明體" w:hAnsi="新細明體" w:hint="eastAsia"/>
          <w:color w:val="000000"/>
          <w:lang w:val="de-DE"/>
        </w:rPr>
        <w:t>也可能顯露出爭取對自己政治意見之認同的意圖。由於立法者顯然有意賦予軍人在休閒時間中比執行職務時更寬之政治活動空間，因此要該當軍人法第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句所規定之「宣傳員」，其</w:t>
      </w:r>
      <w:r>
        <w:rPr>
          <w:rFonts w:ascii="新細明體" w:hAnsi="新細明體" w:hint="eastAsia"/>
          <w:color w:val="000000"/>
          <w:lang w:val="de-DE"/>
        </w:rPr>
        <w:lastRenderedPageBreak/>
        <w:t>行為必須比「有利或不利於某政治路線而從事活動」更進一步之行為。不過，聯邦行政法院認為，在軍車上張貼反核海報明顯是已逾越界限之宣傳行為，因為將軍車利用為宣傳工具，可以達成比個人之談話遠為明顯之散播效果。此種宣傳之散播效果與演講或散播文字相當。</w:t>
      </w:r>
      <w:proofErr w:type="gramStart"/>
      <w:r>
        <w:rPr>
          <w:rFonts w:ascii="新細明體" w:hAnsi="新細明體" w:hint="eastAsia"/>
          <w:color w:val="000000"/>
          <w:lang w:val="de-DE"/>
        </w:rPr>
        <w:t>此外，</w:t>
      </w:r>
      <w:proofErr w:type="gramEnd"/>
      <w:r>
        <w:rPr>
          <w:rFonts w:ascii="新細明體" w:hAnsi="新細明體" w:hint="eastAsia"/>
          <w:color w:val="000000"/>
          <w:lang w:val="de-DE"/>
        </w:rPr>
        <w:t>聯邦行政法院也強調，解釋軍人法第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句之解釋與適用必須考量憲法對言論自由之保障，但</w:t>
      </w:r>
      <w:r>
        <w:rPr>
          <w:rFonts w:ascii="新細明體" w:hAnsi="新細明體" w:hint="eastAsia"/>
          <w:color w:val="000000"/>
          <w:lang w:val="de-DE"/>
        </w:rPr>
        <w:t>言論自由並不具有絕對之地位，基於在社會中進行之共同生活，個人之權利可以為了他人之權利或公眾之利益而受限制。軍人法第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句乃是列舉會危及同袍關係及其相互間之尊重之</w:t>
      </w:r>
      <w:proofErr w:type="gramStart"/>
      <w:r>
        <w:rPr>
          <w:rFonts w:ascii="新細明體" w:hAnsi="新細明體" w:hint="eastAsia"/>
          <w:color w:val="000000"/>
          <w:lang w:val="de-DE"/>
        </w:rPr>
        <w:t>典型，</w:t>
      </w:r>
      <w:proofErr w:type="gramEnd"/>
      <w:r>
        <w:rPr>
          <w:rFonts w:ascii="新細明體" w:hAnsi="新細明體" w:hint="eastAsia"/>
          <w:color w:val="000000"/>
          <w:lang w:val="de-DE"/>
        </w:rPr>
        <w:t>此一條款之解釋僅視其所規定之行為態樣是否出現為已足，不以發生具體損害為必要。對於一個對抗危險之規定，即使其觸及基本權之保障領域，聯邦行政法院認為未必違憲。如果立法者於利益衡量時將某一受保障之公益估得遠比受限制之個人基本權高，以致於其認為對保護法益之抽象危險以足以作為限制個人基本權之理由，其並未脫離基本法之精神。由於在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句之外，軍人仍享有足夠寬廣之言論表達空間，因此為了公益的理由要求其放棄軍人法第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句所禁止之行為可能性，乃是合理的。</w:t>
      </w:r>
      <w:r>
        <w:rPr>
          <w:rStyle w:val="a6"/>
          <w:rFonts w:ascii="新細明體" w:hAnsi="新細明體"/>
          <w:color w:val="000000"/>
          <w:lang w:val="de-DE"/>
        </w:rPr>
        <w:footnoteReference w:id="141"/>
      </w:r>
    </w:p>
    <w:p w:rsidR="00000000" w:rsidRDefault="00917CC1">
      <w:pPr>
        <w:jc w:val="both"/>
        <w:rPr>
          <w:rFonts w:ascii="新細明體" w:hAnsi="新細明體" w:hint="eastAsia"/>
          <w:color w:val="000000"/>
          <w:lang w:val="de-DE"/>
        </w:rPr>
      </w:pPr>
    </w:p>
    <w:p w:rsidR="00000000" w:rsidRDefault="00917CC1">
      <w:pPr>
        <w:pStyle w:val="6"/>
        <w:rPr>
          <w:rFonts w:hint="eastAsia"/>
        </w:rPr>
      </w:pPr>
      <w:bookmarkStart w:id="30" w:name="_Toc535245941"/>
      <w:r>
        <w:rPr>
          <w:rFonts w:hint="eastAsia"/>
        </w:rPr>
        <w:t>2</w:t>
      </w:r>
      <w:r>
        <w:rPr>
          <w:rFonts w:hint="eastAsia"/>
        </w:rPr>
        <w:t>、軍人法第</w:t>
      </w:r>
      <w:r>
        <w:t>10</w:t>
      </w:r>
      <w:r>
        <w:rPr>
          <w:rFonts w:hint="eastAsia"/>
        </w:rPr>
        <w:t>條第</w:t>
      </w:r>
      <w:r>
        <w:t>6</w:t>
      </w:r>
      <w:r>
        <w:rPr>
          <w:rFonts w:hint="eastAsia"/>
        </w:rPr>
        <w:t>項</w:t>
      </w:r>
      <w:bookmarkEnd w:id="30"/>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在案例二中，主管長官向軍事法院請求懲戒該軍官之理由是其企圖影響下屬之政治觀點，違反軍人法第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項之規定。對於此一申請，軍事法院院長於</w:t>
      </w:r>
      <w:r>
        <w:rPr>
          <w:rFonts w:ascii="新細明體" w:hAnsi="新細明體"/>
          <w:color w:val="000000"/>
          <w:lang w:val="de-DE"/>
        </w:rPr>
        <w:t>1968</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22</w:t>
      </w:r>
      <w:r>
        <w:rPr>
          <w:rFonts w:ascii="新細明體" w:hAnsi="新細明體" w:hint="eastAsia"/>
          <w:color w:val="000000"/>
          <w:lang w:val="de-DE"/>
        </w:rPr>
        <w:t>日予以駁回，理由在於「並無違反軍人法第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項之情形，該軍官在討論過程中並未企圖使用其『職位上之優勢』。軍階上之差別在以平等地位所進行之交談中並不重要。」對於此一決定，主管長官</w:t>
      </w:r>
      <w:r>
        <w:rPr>
          <w:rFonts w:ascii="新細明體" w:hAnsi="新細明體" w:hint="eastAsia"/>
          <w:color w:val="000000"/>
          <w:lang w:val="de-DE"/>
        </w:rPr>
        <w:t>提起異議，軍事法院認為該軍官違反節制義務，從而應受懲戒。軍事法院首先強調，其無法獲得切確之心證可認為該軍官於討論中為支持某政治路線而從事活動，或以長官身分企圖影響下屬之政治意見，因此並未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及第</w:t>
      </w:r>
      <w:r>
        <w:rPr>
          <w:rFonts w:ascii="新細明體" w:hAnsi="新細明體"/>
          <w:color w:val="000000"/>
          <w:lang w:val="de-DE"/>
        </w:rPr>
        <w:t>4</w:t>
      </w:r>
      <w:r>
        <w:rPr>
          <w:rFonts w:ascii="新細明體" w:hAnsi="新細明體" w:hint="eastAsia"/>
          <w:color w:val="000000"/>
          <w:lang w:val="de-DE"/>
        </w:rPr>
        <w:t>項。不過，該軍官違反同法第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節制義務。「依此一規定，軍官或士官在與其下屬談論政治問題時，負有節制義務。為了維護長官之權威，其對於下屬不得表達對於特定政治意見之立場。」由於由交談之整體行為來看，軍事法院認為該軍官在與下屬之交談中採取了支持所謂國會外之反對立場，因此違反節制義務。</w:t>
      </w: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在本案中，聯邦憲法法院首先依據與前述關於審查軍人法第</w:t>
      </w:r>
      <w:r>
        <w:rPr>
          <w:rFonts w:ascii="新細明體" w:hAnsi="新細明體"/>
          <w:color w:val="000000"/>
          <w:lang w:val="de-DE"/>
        </w:rPr>
        <w:t>15</w:t>
      </w:r>
      <w:r>
        <w:rPr>
          <w:rFonts w:ascii="新細明體" w:hAnsi="新細明體" w:hint="eastAsia"/>
          <w:color w:val="000000"/>
          <w:lang w:val="de-DE"/>
        </w:rPr>
        <w:t>條合憲性之相同</w:t>
      </w:r>
      <w:proofErr w:type="gramStart"/>
      <w:r>
        <w:rPr>
          <w:rFonts w:ascii="新細明體" w:hAnsi="新細明體" w:hint="eastAsia"/>
          <w:color w:val="000000"/>
          <w:lang w:val="de-DE"/>
        </w:rPr>
        <w:t>理由而肯認</w:t>
      </w:r>
      <w:proofErr w:type="gramEnd"/>
      <w:r>
        <w:rPr>
          <w:rFonts w:ascii="新細明體" w:hAnsi="新細明體" w:hint="eastAsia"/>
          <w:color w:val="000000"/>
          <w:lang w:val="de-DE"/>
        </w:rPr>
        <w:t>軍人法第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項之合憲性。進一步審查之重點在於本條款之解釋與適用時與言論自由間之權衡問題。</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聯邦憲法法院首先支持軍事法院認為在本案中並未違反軍人法第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及第</w:t>
      </w:r>
      <w:r>
        <w:rPr>
          <w:rFonts w:ascii="新細明體" w:hAnsi="新細明體"/>
          <w:color w:val="000000"/>
          <w:lang w:val="de-DE"/>
        </w:rPr>
        <w:t>4</w:t>
      </w:r>
      <w:r>
        <w:rPr>
          <w:rFonts w:ascii="新細明體" w:hAnsi="新細明體" w:hint="eastAsia"/>
          <w:color w:val="000000"/>
          <w:lang w:val="de-DE"/>
        </w:rPr>
        <w:t>項之見解，「藉此，為軍人之自由發表政治言論打開了寬廣之空間，而且也對於在自由秩序中具建構性意義之言論自由給予了充分的考慮。」</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lastRenderedPageBreak/>
        <w:t>聯邦憲法法院也支持在本案中以軍人法第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項來劃定軍人言論自由之界限。對於本條款與同法第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項之差別，聯邦憲法法院認為「第</w:t>
      </w:r>
      <w:r>
        <w:rPr>
          <w:rFonts w:ascii="新細明體" w:hAnsi="新細明體"/>
          <w:color w:val="000000"/>
          <w:lang w:val="de-DE"/>
        </w:rPr>
        <w:t>15</w:t>
      </w:r>
      <w:r>
        <w:rPr>
          <w:rFonts w:ascii="新細明體" w:hAnsi="新細明體" w:hint="eastAsia"/>
          <w:color w:val="000000"/>
          <w:lang w:val="de-DE"/>
        </w:rPr>
        <w:t>條</w:t>
      </w:r>
      <w:r>
        <w:rPr>
          <w:rFonts w:ascii="新細明體" w:hAnsi="新細明體" w:hint="eastAsia"/>
          <w:color w:val="000000"/>
          <w:lang w:val="de-DE"/>
        </w:rPr>
        <w:t>第</w:t>
      </w:r>
      <w:r>
        <w:rPr>
          <w:rFonts w:ascii="新細明體" w:hAnsi="新細明體"/>
          <w:color w:val="000000"/>
          <w:lang w:val="de-DE"/>
        </w:rPr>
        <w:t>4</w:t>
      </w:r>
      <w:r>
        <w:rPr>
          <w:rFonts w:ascii="新細明體" w:hAnsi="新細明體" w:hint="eastAsia"/>
          <w:color w:val="000000"/>
          <w:lang w:val="de-DE"/>
        </w:rPr>
        <w:t>項之目的在於保障軍人對抗其上級之違法的政治影響；第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項則在阻止長官本身葬送其權威」，因此，第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項之適用可能性不受第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項所影響。</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關於身為長官之權威，聯邦憲法法院認為，長官應為其下屬之表率，才足以</w:t>
      </w:r>
      <w:proofErr w:type="gramStart"/>
      <w:r>
        <w:rPr>
          <w:rFonts w:ascii="新細明體" w:hAnsi="新細明體" w:hint="eastAsia"/>
          <w:color w:val="000000"/>
          <w:lang w:val="de-DE"/>
        </w:rPr>
        <w:t>正當化其權威</w:t>
      </w:r>
      <w:proofErr w:type="gramEnd"/>
      <w:r>
        <w:rPr>
          <w:rFonts w:ascii="新細明體" w:hAnsi="新細明體" w:hint="eastAsia"/>
          <w:color w:val="000000"/>
          <w:lang w:val="de-DE"/>
        </w:rPr>
        <w:t>。不過在本案中對於第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項之解釋，聯邦憲法法院並不支持軍事法院以「對特定政治意見表達立場」</w:t>
      </w:r>
      <w:proofErr w:type="gramStart"/>
      <w:r>
        <w:rPr>
          <w:rFonts w:ascii="新細明體" w:hAnsi="新細明體" w:hint="eastAsia"/>
          <w:color w:val="000000"/>
          <w:lang w:val="de-DE"/>
        </w:rPr>
        <w:t>來作</w:t>
      </w:r>
      <w:proofErr w:type="gramEnd"/>
      <w:r>
        <w:rPr>
          <w:rFonts w:ascii="新細明體" w:hAnsi="新細明體" w:hint="eastAsia"/>
          <w:color w:val="000000"/>
          <w:lang w:val="de-DE"/>
        </w:rPr>
        <w:t>為違反節制義務之理由。聯邦憲法法院以基本法之防衛性民主出發而強調，以全部之行為來支撐自由民主之基本秩序之維護乃是軍人之基本義務，而在此</w:t>
      </w:r>
      <w:proofErr w:type="gramStart"/>
      <w:r>
        <w:rPr>
          <w:rFonts w:ascii="新細明體" w:hAnsi="新細明體" w:hint="eastAsia"/>
          <w:color w:val="000000"/>
          <w:lang w:val="de-DE"/>
        </w:rPr>
        <w:t>一</w:t>
      </w:r>
      <w:proofErr w:type="gramEnd"/>
      <w:r>
        <w:rPr>
          <w:rFonts w:ascii="新細明體" w:hAnsi="新細明體" w:hint="eastAsia"/>
          <w:color w:val="000000"/>
          <w:lang w:val="de-DE"/>
        </w:rPr>
        <w:t>基本義務之實踐上，長官應為其下屬之表率。基</w:t>
      </w:r>
      <w:r>
        <w:rPr>
          <w:rFonts w:ascii="新細明體" w:hAnsi="新細明體" w:hint="eastAsia"/>
          <w:color w:val="000000"/>
          <w:lang w:val="de-DE"/>
        </w:rPr>
        <w:t>於此一憲法上之價值秩序與言論自由之權衡，可認為軍官或士官如於政治討論中質疑自由秩序，則違反其節制義務。在本案中，由於該軍官在與其下屬之交談中曾表示「警察以武力壓制示威」、「在德國人們無法自由表達意見」，聯邦憲法法院認為其不僅質疑了法治國秩序，也對自由民主之基本秩序加以毀謗，因此違反其節制義務。</w:t>
      </w:r>
      <w:r>
        <w:rPr>
          <w:rStyle w:val="a6"/>
          <w:rFonts w:ascii="新細明體" w:hAnsi="新細明體"/>
          <w:color w:val="000000"/>
          <w:lang w:val="de-DE"/>
        </w:rPr>
        <w:footnoteReference w:id="142"/>
      </w:r>
    </w:p>
    <w:p w:rsidR="00000000" w:rsidRDefault="00917CC1">
      <w:pPr>
        <w:jc w:val="both"/>
        <w:rPr>
          <w:rFonts w:ascii="新細明體" w:hAnsi="新細明體" w:hint="eastAsia"/>
          <w:color w:val="000000"/>
          <w:lang w:val="de-DE"/>
        </w:rPr>
      </w:pPr>
    </w:p>
    <w:p w:rsidR="00000000" w:rsidRDefault="00917CC1">
      <w:pPr>
        <w:pStyle w:val="2"/>
      </w:pPr>
      <w:bookmarkStart w:id="31" w:name="_Toc535245942"/>
      <w:r>
        <w:rPr>
          <w:rFonts w:hint="eastAsia"/>
        </w:rPr>
        <w:t>第五節</w:t>
      </w:r>
      <w:r>
        <w:rPr>
          <w:rFonts w:hint="eastAsia"/>
        </w:rPr>
        <w:t xml:space="preserve"> </w:t>
      </w:r>
      <w:r>
        <w:rPr>
          <w:rFonts w:hint="eastAsia"/>
        </w:rPr>
        <w:t>結語</w:t>
      </w:r>
      <w:bookmarkEnd w:id="31"/>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以上對於德國法之觀察可以粗略歸納出幾個重點：</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公務員中立之概念：對於公務員中立性之要求包括政治中立</w:t>
      </w:r>
      <w:r>
        <w:rPr>
          <w:rFonts w:ascii="新細明體" w:hAnsi="新細明體"/>
          <w:color w:val="000000"/>
          <w:lang w:val="de-DE"/>
        </w:rPr>
        <w:t>(§§ 52 I S. 1 BBG; 35 I S. 1 BRRG)</w:t>
      </w:r>
      <w:r>
        <w:rPr>
          <w:rFonts w:ascii="新細明體" w:hAnsi="新細明體" w:hint="eastAsia"/>
          <w:color w:val="000000"/>
          <w:lang w:val="de-DE"/>
        </w:rPr>
        <w:t>及職務執行上之中立性</w:t>
      </w:r>
      <w:r>
        <w:rPr>
          <w:rFonts w:ascii="新細明體" w:hAnsi="新細明體"/>
          <w:color w:val="000000"/>
          <w:lang w:val="de-DE"/>
        </w:rPr>
        <w:t>(§</w:t>
      </w:r>
      <w:r>
        <w:rPr>
          <w:rFonts w:ascii="新細明體" w:hAnsi="新細明體"/>
          <w:color w:val="000000"/>
          <w:lang w:val="de-DE"/>
        </w:rPr>
        <w:t>§ 52 I S. 2 BBG; 35 I S. 2 BRRG)</w:t>
      </w:r>
      <w:r>
        <w:rPr>
          <w:rFonts w:ascii="新細明體" w:hAnsi="新細明體" w:hint="eastAsia"/>
          <w:color w:val="000000"/>
          <w:lang w:val="de-DE"/>
        </w:rPr>
        <w:t>，前者要求公務員對於任何合法產生之政府效忠，後者則是要求公務員履行行政任務時必須公正、中立，因此也可稱為「行政中立」。對於公務員之中立性，在德國法上所表現出來之基本性格乃是公務員之職務義務，換言之乃是義務取向而非保障取向。並無特設之組織或程序來保障公務員之中立性。如果勉強要找出些許保障之意涵，可以將視角放在「慎重與節制條款」上，在該條款中人民對公務員中立性之信賴為其保護法益，但對於公務員而言，乃是對其行為之限制而非保障。</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公務員之中立性與政治活</w:t>
      </w:r>
      <w:r>
        <w:rPr>
          <w:rFonts w:ascii="新細明體" w:hAnsi="新細明體" w:hint="eastAsia"/>
          <w:color w:val="000000"/>
          <w:lang w:val="de-DE"/>
        </w:rPr>
        <w:t>動：為了確保公務員制度能正常發揮其功能，不僅公務員必須保持中立，也必須維護人民對其中立性之信賴。因此公務員不分職務內、外之行為都必須注意，避免損及人民對其中立性之信賴。此一信賴乃是「慎重與節制條款」之保護法益，足以正當化對公務員政治活動之限制。不過必須注意的是，對公務員中立性之信賴並非限制公務員政治活動之惟一的正當化事由。經由「慎重與節制條款」所規定之「基於公務員為國民全體服務之地位及職務義務之考慮」使得對公務員政治活動之限制與「尊嚴條款」</w:t>
      </w:r>
      <w:r>
        <w:rPr>
          <w:rFonts w:ascii="新細明體" w:hAnsi="新細明體" w:hint="eastAsia"/>
          <w:color w:val="000000"/>
          <w:lang w:val="de-DE"/>
        </w:rPr>
        <w:lastRenderedPageBreak/>
        <w:t>及其他職務義務連結起來，而不只是為了維護人民對公務員中立性之信賴。</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對於「慎重與節制條款」首先要注意的是，其乃職務法上之義務條款。換句話說，為了維護人民對公務員中立性之信賴及一定之公務員形象，在德國法上並未採取刑事制裁之手段，而是以</w:t>
      </w:r>
      <w:proofErr w:type="gramStart"/>
      <w:r>
        <w:rPr>
          <w:rFonts w:ascii="新細明體" w:hAnsi="新細明體" w:hint="eastAsia"/>
          <w:color w:val="000000"/>
          <w:lang w:val="de-DE"/>
        </w:rPr>
        <w:t>懲戒罰來擔保</w:t>
      </w:r>
      <w:proofErr w:type="gramEnd"/>
      <w:r>
        <w:rPr>
          <w:rFonts w:ascii="新細明體" w:hAnsi="新細明體" w:hint="eastAsia"/>
          <w:color w:val="000000"/>
          <w:lang w:val="de-DE"/>
        </w:rPr>
        <w:t>職務義務之履行。其次，對於公務員政治活動之限制，在立法上並未為明確詳盡之規定，而是</w:t>
      </w:r>
      <w:proofErr w:type="gramStart"/>
      <w:r>
        <w:rPr>
          <w:rFonts w:ascii="新細明體" w:hAnsi="新細明體" w:hint="eastAsia"/>
          <w:color w:val="000000"/>
          <w:lang w:val="de-DE"/>
        </w:rPr>
        <w:t>採</w:t>
      </w:r>
      <w:proofErr w:type="gramEnd"/>
      <w:r>
        <w:rPr>
          <w:rFonts w:ascii="新細明體" w:hAnsi="新細明體" w:hint="eastAsia"/>
          <w:color w:val="000000"/>
          <w:lang w:val="de-DE"/>
        </w:rPr>
        <w:t>行「慎重與節制條款」這樣之概括條款，使得公務員政治活動之明確界限必須依賴實務經驗之累積。</w:t>
      </w:r>
    </w:p>
    <w:p w:rsidR="00000000" w:rsidRDefault="00917CC1">
      <w:pPr>
        <w:jc w:val="both"/>
        <w:rPr>
          <w:rFonts w:ascii="新細明體" w:hAnsi="新細明體" w:hint="eastAsia"/>
          <w:color w:val="000000"/>
          <w:lang w:val="de-DE"/>
        </w:rPr>
      </w:pPr>
    </w:p>
    <w:p w:rsidR="00000000" w:rsidRDefault="00917CC1">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從比較法的角度去關注德國法對於我國之相關立法有何值得參考之處，為本研究之目的。對此本文以為可以以問題思維之方式提出一些關注之焦點：</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「特別權力關係」之進</w:t>
      </w:r>
      <w:r>
        <w:rPr>
          <w:rFonts w:ascii="新細明體" w:hAnsi="新細明體" w:hint="eastAsia"/>
          <w:color w:val="000000"/>
          <w:lang w:val="de-DE"/>
        </w:rPr>
        <w:t>一步檢討：比較德國與臺灣對於「特別權力關係」之反省，以公務員為例，一個顯著的差別在於對公務員私人領域之基本權保障。如果將焦點只擺在服公職權利之保障上，則所謂「重大影響理論」之合理性比較能被接受，但對於公務員職務外於私人領域內之行為之限制是否也要以「重大影響」</w:t>
      </w:r>
      <w:proofErr w:type="gramStart"/>
      <w:r>
        <w:rPr>
          <w:rFonts w:ascii="新細明體" w:hAnsi="新細明體" w:hint="eastAsia"/>
          <w:color w:val="000000"/>
          <w:lang w:val="de-DE"/>
        </w:rPr>
        <w:t>來作</w:t>
      </w:r>
      <w:proofErr w:type="gramEnd"/>
      <w:r>
        <w:rPr>
          <w:rFonts w:ascii="新細明體" w:hAnsi="新細明體" w:hint="eastAsia"/>
          <w:color w:val="000000"/>
          <w:lang w:val="de-DE"/>
        </w:rPr>
        <w:t>為是否予以保障之判</w:t>
      </w:r>
      <w:proofErr w:type="gramStart"/>
      <w:r>
        <w:rPr>
          <w:rFonts w:ascii="新細明體" w:hAnsi="新細明體" w:hint="eastAsia"/>
          <w:color w:val="000000"/>
          <w:lang w:val="de-DE"/>
        </w:rPr>
        <w:t>準</w:t>
      </w:r>
      <w:proofErr w:type="gramEnd"/>
      <w:r>
        <w:rPr>
          <w:rFonts w:ascii="新細明體" w:hAnsi="新細明體" w:hint="eastAsia"/>
          <w:color w:val="000000"/>
          <w:lang w:val="de-DE"/>
        </w:rPr>
        <w:t>，便有進一步反省之必要。</w:t>
      </w:r>
    </w:p>
    <w:p w:rsidR="00000000" w:rsidRDefault="00917CC1" w:rsidP="00917CC1">
      <w:pPr>
        <w:numPr>
          <w:ilvl w:val="0"/>
          <w:numId w:val="1"/>
        </w:numPr>
        <w:jc w:val="both"/>
        <w:rPr>
          <w:rFonts w:ascii="新細明體" w:hAnsi="新細明體" w:hint="eastAsia"/>
          <w:color w:val="000000"/>
          <w:lang w:val="de-DE"/>
        </w:rPr>
      </w:pPr>
      <w:r>
        <w:rPr>
          <w:rFonts w:ascii="新細明體" w:hAnsi="新細明體" w:hint="eastAsia"/>
          <w:color w:val="000000"/>
          <w:lang w:val="de-DE"/>
        </w:rPr>
        <w:t>規範對象：在德國法上「政治中立」、「行政中立」及「公務員之政治活動」等</w:t>
      </w:r>
      <w:proofErr w:type="gramStart"/>
      <w:r>
        <w:rPr>
          <w:rFonts w:ascii="新細明體" w:hAnsi="新細明體" w:hint="eastAsia"/>
          <w:color w:val="000000"/>
          <w:lang w:val="de-DE"/>
        </w:rPr>
        <w:t>可以說是處在</w:t>
      </w:r>
      <w:proofErr w:type="gramEnd"/>
      <w:r>
        <w:rPr>
          <w:rFonts w:ascii="新細明體" w:hAnsi="新細明體" w:hint="eastAsia"/>
          <w:color w:val="000000"/>
          <w:lang w:val="de-DE"/>
        </w:rPr>
        <w:t>不同的問題脈絡上，也從而在不同的層次上被解決。例如關於「行政中立」之問題，視其違反程度及個別之行為</w:t>
      </w:r>
      <w:proofErr w:type="gramStart"/>
      <w:r>
        <w:rPr>
          <w:rFonts w:ascii="新細明體" w:hAnsi="新細明體" w:hint="eastAsia"/>
          <w:color w:val="000000"/>
          <w:lang w:val="de-DE"/>
        </w:rPr>
        <w:t>態樣而可能</w:t>
      </w:r>
      <w:proofErr w:type="gramEnd"/>
      <w:r>
        <w:rPr>
          <w:rFonts w:ascii="新細明體" w:hAnsi="新細明體" w:hint="eastAsia"/>
          <w:color w:val="000000"/>
          <w:lang w:val="de-DE"/>
        </w:rPr>
        <w:t>涉及刑事處罰、</w:t>
      </w:r>
      <w:r>
        <w:rPr>
          <w:rFonts w:ascii="新細明體" w:hAnsi="新細明體" w:hint="eastAsia"/>
          <w:color w:val="000000"/>
          <w:lang w:val="de-DE"/>
        </w:rPr>
        <w:t>懲戒、職務監督或個案決定中之迴避問題，而「公務員之政治活動」則停留在職務法上及個案中之迴避問題。簡言之，規範對象之確定以及隨之而來之保護法益之確定為相關規範之基本出發點。</w:t>
      </w:r>
    </w:p>
    <w:p w:rsidR="00000000" w:rsidRDefault="00917CC1" w:rsidP="00917CC1">
      <w:pPr>
        <w:numPr>
          <w:ilvl w:val="0"/>
          <w:numId w:val="1"/>
        </w:numPr>
        <w:jc w:val="both"/>
        <w:rPr>
          <w:rFonts w:ascii="新細明體" w:hAnsi="新細明體" w:hint="eastAsia"/>
          <w:color w:val="000000"/>
          <w:lang w:val="de-DE"/>
        </w:rPr>
      </w:pPr>
      <w:proofErr w:type="gramStart"/>
      <w:r>
        <w:rPr>
          <w:rFonts w:ascii="新細明體" w:hAnsi="新細明體" w:hint="eastAsia"/>
          <w:color w:val="000000"/>
          <w:lang w:val="de-DE"/>
        </w:rPr>
        <w:t>規</w:t>
      </w:r>
      <w:proofErr w:type="gramEnd"/>
      <w:r>
        <w:rPr>
          <w:rFonts w:ascii="新細明體" w:hAnsi="新細明體" w:hint="eastAsia"/>
          <w:color w:val="000000"/>
          <w:lang w:val="de-DE"/>
        </w:rPr>
        <w:t>制手段：由上面之說明已可看出規範公務員之中立性及其政治活動在制度連結上之多重可能性。在此要特別考慮的是刑事處罰與懲戒罰間之手段選擇問題。在這個問題中顯然會涉及保護法益與手段選擇之連結問題，亦即目的</w:t>
      </w:r>
      <w:r>
        <w:rPr>
          <w:rFonts w:ascii="新細明體" w:hAnsi="新細明體"/>
          <w:color w:val="000000"/>
          <w:lang w:val="de-DE"/>
        </w:rPr>
        <w:t>-</w:t>
      </w:r>
      <w:r>
        <w:rPr>
          <w:rFonts w:ascii="新細明體" w:hAnsi="新細明體" w:hint="eastAsia"/>
          <w:color w:val="000000"/>
          <w:lang w:val="de-DE"/>
        </w:rPr>
        <w:t>手段之連結，從而是是否符合比例原則之問題。如果規範之對象是公務員之政治活動，那麼，以刑事處罰為手段是否過度？在德國法上對於公務員政治活動加以</w:t>
      </w:r>
      <w:r>
        <w:rPr>
          <w:rFonts w:ascii="新細明體" w:hAnsi="新細明體" w:hint="eastAsia"/>
          <w:color w:val="000000"/>
          <w:lang w:val="de-DE"/>
        </w:rPr>
        <w:t>限制之基本出發點乃在於將之視為公務員因其職業上之特殊性所加之特殊限制，其目的乃在於確保公務員制度可以正常發揮功能，其著眼點乃是將之判定為職業內之行為規範，因此</w:t>
      </w:r>
      <w:proofErr w:type="gramStart"/>
      <w:r>
        <w:rPr>
          <w:rFonts w:ascii="新細明體" w:hAnsi="新細明體" w:hint="eastAsia"/>
          <w:color w:val="000000"/>
          <w:lang w:val="de-DE"/>
        </w:rPr>
        <w:t>此</w:t>
      </w:r>
      <w:proofErr w:type="gramEnd"/>
      <w:r>
        <w:rPr>
          <w:rFonts w:ascii="新細明體" w:hAnsi="新細明體" w:hint="eastAsia"/>
          <w:color w:val="000000"/>
          <w:lang w:val="de-DE"/>
        </w:rPr>
        <w:t>行為規範之違反亦僅施以懲戒罰。因此，如果在手段選擇上考慮採用刑事處罰，那麼對於規範之行為態樣與保護</w:t>
      </w:r>
      <w:proofErr w:type="gramStart"/>
      <w:r>
        <w:rPr>
          <w:rFonts w:ascii="新細明體" w:hAnsi="新細明體" w:hint="eastAsia"/>
          <w:color w:val="000000"/>
          <w:lang w:val="de-DE"/>
        </w:rPr>
        <w:t>法益便有</w:t>
      </w:r>
      <w:proofErr w:type="gramEnd"/>
      <w:r>
        <w:rPr>
          <w:rFonts w:ascii="新細明體" w:hAnsi="新細明體" w:hint="eastAsia"/>
          <w:color w:val="000000"/>
          <w:lang w:val="de-DE"/>
        </w:rPr>
        <w:t>多加謹慎斟酌之必要。到底如何形態之政治活動值得以刑罰來加以制裁？人民對公務員中立性之信賴是否已經是值得以刑罰加以保障之法益？如果還不是，那麼是否有什麼更進一步之法益值得以刑罰來加以保障？在德國法上係以職務法來規範公務員之政治活動，在最嚴重之情況下</w:t>
      </w:r>
      <w:r>
        <w:rPr>
          <w:rFonts w:ascii="新細明體" w:hAnsi="新細明體" w:hint="eastAsia"/>
          <w:color w:val="000000"/>
          <w:lang w:val="de-DE"/>
        </w:rPr>
        <w:t>亦僅使其去職，而未施以刑事制裁，其背後之衡量對於面臨手段選擇問題之我國而言，值得深思。</w:t>
      </w:r>
    </w:p>
    <w:p w:rsidR="00000000" w:rsidRDefault="00917CC1" w:rsidP="00917CC1">
      <w:pPr>
        <w:numPr>
          <w:ilvl w:val="0"/>
          <w:numId w:val="1"/>
        </w:numPr>
        <w:jc w:val="both"/>
        <w:rPr>
          <w:rFonts w:ascii="新細明體" w:hAnsi="新細明體" w:hint="eastAsia"/>
          <w:color w:val="000000"/>
        </w:rPr>
      </w:pPr>
      <w:r>
        <w:rPr>
          <w:rFonts w:ascii="新細明體" w:hAnsi="新細明體" w:hint="eastAsia"/>
          <w:color w:val="000000"/>
        </w:rPr>
        <w:t>規範密度：關於規範密度之問題一般是以對基本權之影響程度來要求規範密度之高低，所涉及的是一個法律合憲性之審查問題。對於此一問題德國聯邦</w:t>
      </w:r>
      <w:r>
        <w:rPr>
          <w:rFonts w:ascii="新細明體" w:hAnsi="新細明體" w:hint="eastAsia"/>
          <w:color w:val="000000"/>
        </w:rPr>
        <w:lastRenderedPageBreak/>
        <w:t>憲法法院於「受刑人判決」中認為，對於受刑人之基本權利應容許以一般條款來加以限制</w:t>
      </w:r>
      <w:r>
        <w:rPr>
          <w:rStyle w:val="a6"/>
          <w:rFonts w:ascii="新細明體" w:hAnsi="新細明體"/>
          <w:color w:val="000000"/>
          <w:lang w:val="de-DE"/>
        </w:rPr>
        <w:footnoteReference w:id="143"/>
      </w:r>
      <w:r>
        <w:rPr>
          <w:rFonts w:ascii="新細明體" w:hAnsi="新細明體" w:hint="eastAsia"/>
          <w:color w:val="000000"/>
        </w:rPr>
        <w:t>。學說上取代「特別權力關係」此一用語所提出之「特別地位關係」也接受此一見解，並且在其被引進我國後也並未受到質疑</w:t>
      </w:r>
      <w:r>
        <w:rPr>
          <w:rStyle w:val="a6"/>
          <w:rFonts w:ascii="新細明體" w:hAnsi="新細明體"/>
          <w:color w:val="000000"/>
          <w:lang w:val="de-DE"/>
        </w:rPr>
        <w:footnoteReference w:id="144"/>
      </w:r>
      <w:r>
        <w:rPr>
          <w:rFonts w:ascii="新細明體" w:hAnsi="新細明體" w:hint="eastAsia"/>
          <w:color w:val="000000"/>
        </w:rPr>
        <w:t>。在肯定概括條款之合憲性之前提下，在此所關心的是，從法律政策的角度來考慮規範密度之問題，亦即對於公務</w:t>
      </w:r>
      <w:r>
        <w:rPr>
          <w:rFonts w:ascii="新細明體" w:hAnsi="新細明體" w:hint="eastAsia"/>
          <w:color w:val="000000"/>
        </w:rPr>
        <w:t>員政治活動之限制應規定的什麼程度之問題。由以上對於德國法之介紹，我們已經知道對於公務員之政治活動，在德國法上是以一個概括條款來加以規範。我們是否也要採取相同的作法？在進一步討論此一問題之前須先注意的是，規範密度之問題與</w:t>
      </w:r>
      <w:proofErr w:type="gramStart"/>
      <w:r>
        <w:rPr>
          <w:rFonts w:ascii="新細明體" w:hAnsi="新細明體" w:hint="eastAsia"/>
          <w:color w:val="000000"/>
        </w:rPr>
        <w:t>規</w:t>
      </w:r>
      <w:proofErr w:type="gramEnd"/>
      <w:r>
        <w:rPr>
          <w:rFonts w:ascii="新細明體" w:hAnsi="新細明體" w:hint="eastAsia"/>
          <w:color w:val="000000"/>
        </w:rPr>
        <w:t>制手段之選擇亦有關聯，如果採取的是刑事處罰之手段，則概括條款之合憲性肯定會有問題，所以在此乃是以採取懲戒罰之手段為討論之前提。從立法政策的角度來考慮規範密度之問題，必須確定不同規範密度所能發揮之功能。一個詳細規定之好處在於</w:t>
      </w:r>
      <w:proofErr w:type="gramStart"/>
      <w:r>
        <w:rPr>
          <w:rFonts w:ascii="新細明體" w:hAnsi="新細明體" w:hint="eastAsia"/>
          <w:color w:val="000000"/>
        </w:rPr>
        <w:t>清楚、</w:t>
      </w:r>
      <w:proofErr w:type="gramEnd"/>
      <w:r>
        <w:rPr>
          <w:rFonts w:ascii="新細明體" w:hAnsi="新細明體" w:hint="eastAsia"/>
          <w:color w:val="000000"/>
        </w:rPr>
        <w:t>可預期，從裁判規範之角度來看則還包括裁判者說理負擔之降低；缺點在</w:t>
      </w:r>
      <w:r>
        <w:rPr>
          <w:rFonts w:ascii="新細明體" w:hAnsi="新細明體" w:hint="eastAsia"/>
          <w:color w:val="000000"/>
        </w:rPr>
        <w:t>於容易掛一漏萬，而且高密度之規定必須以對於規範對象之可能之行為</w:t>
      </w:r>
      <w:proofErr w:type="gramStart"/>
      <w:r>
        <w:rPr>
          <w:rFonts w:ascii="新細明體" w:hAnsi="新細明體" w:hint="eastAsia"/>
          <w:color w:val="000000"/>
        </w:rPr>
        <w:t>態樣及其他</w:t>
      </w:r>
      <w:proofErr w:type="gramEnd"/>
      <w:r>
        <w:rPr>
          <w:rFonts w:ascii="新細明體" w:hAnsi="新細明體" w:hint="eastAsia"/>
          <w:color w:val="000000"/>
        </w:rPr>
        <w:t>相關資訊之充分掌握為前提，始能擔保規範之品質，此一前提是否具備或是否可能具備，應為考量是否採取高密度規定之重點。概括條款之好處在於不致掛一漏萬，而且也有透過實務操作累積經驗之好處；缺點當然在於不夠</w:t>
      </w:r>
      <w:proofErr w:type="gramStart"/>
      <w:r>
        <w:rPr>
          <w:rFonts w:ascii="新細明體" w:hAnsi="新細明體" w:hint="eastAsia"/>
          <w:color w:val="000000"/>
        </w:rPr>
        <w:t>清楚，</w:t>
      </w:r>
      <w:proofErr w:type="gramEnd"/>
      <w:r>
        <w:rPr>
          <w:rFonts w:ascii="新細明體" w:hAnsi="新細明體" w:hint="eastAsia"/>
          <w:color w:val="000000"/>
        </w:rPr>
        <w:t>而且概括條款要操作良好必須具備很多制度上之前提：在操作概括條款時法官之說理負擔不論質或量都加重，法官必須具備優秀之說理及區辨能力才能擔負概括條款之具體化工作，此一工作也同時是對學術界之挑戰，但更重要的是人民對司法體系之信賴及循司法途徑以解</w:t>
      </w:r>
      <w:r>
        <w:rPr>
          <w:rFonts w:ascii="新細明體" w:hAnsi="新細明體" w:hint="eastAsia"/>
          <w:color w:val="000000"/>
        </w:rPr>
        <w:t>決問題之文化，否則在欠缺案例之情形下，自然說不上概括條款之具體化。</w:t>
      </w: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000000" w:rsidRDefault="00917CC1">
      <w:pPr>
        <w:jc w:val="both"/>
        <w:rPr>
          <w:rFonts w:ascii="新細明體" w:hAnsi="新細明體" w:hint="eastAsia"/>
          <w:color w:val="000000"/>
        </w:rPr>
      </w:pPr>
    </w:p>
    <w:p w:rsidR="00917CC1" w:rsidRDefault="00917CC1">
      <w:pPr>
        <w:rPr>
          <w:rFonts w:hint="eastAsia"/>
          <w:lang w:val="de-DE"/>
        </w:rPr>
      </w:pPr>
      <w:bookmarkStart w:id="32" w:name="_Toc535245943"/>
      <w:r>
        <w:br w:type="page"/>
      </w:r>
      <w:bookmarkEnd w:id="32"/>
    </w:p>
    <w:sectPr w:rsidR="00917CC1">
      <w:footerReference w:type="even" r:id="rId7"/>
      <w:foot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C1" w:rsidRDefault="00917CC1">
      <w:r>
        <w:separator/>
      </w:r>
    </w:p>
  </w:endnote>
  <w:endnote w:type="continuationSeparator" w:id="0">
    <w:p w:rsidR="00917CC1" w:rsidRDefault="0091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7CC1">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000" w:rsidRDefault="00917C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7CC1">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E0BF3">
      <w:rPr>
        <w:rStyle w:val="af3"/>
        <w:noProof/>
      </w:rPr>
      <w:t>21</w:t>
    </w:r>
    <w:r>
      <w:rPr>
        <w:rStyle w:val="af3"/>
      </w:rPr>
      <w:fldChar w:fldCharType="end"/>
    </w:r>
  </w:p>
  <w:p w:rsidR="00000000" w:rsidRDefault="00917C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C1" w:rsidRDefault="00917CC1">
      <w:r>
        <w:separator/>
      </w:r>
    </w:p>
  </w:footnote>
  <w:footnote w:type="continuationSeparator" w:id="0">
    <w:p w:rsidR="00917CC1" w:rsidRDefault="00917CC1">
      <w:r>
        <w:continuationSeparator/>
      </w:r>
    </w:p>
  </w:footnote>
  <w:footnote w:id="1">
    <w:p w:rsidR="00000000" w:rsidRDefault="00917CC1">
      <w:pPr>
        <w:pStyle w:val="a7"/>
        <w:rPr>
          <w:rFonts w:hint="eastAsia"/>
          <w:lang w:val="de-DE"/>
        </w:rPr>
      </w:pPr>
      <w:r>
        <w:rPr>
          <w:rStyle w:val="a6"/>
        </w:rPr>
        <w:footnoteRef/>
      </w:r>
      <w:r>
        <w:t xml:space="preserve"> </w:t>
      </w:r>
      <w:r>
        <w:rPr>
          <w:rFonts w:hint="eastAsia"/>
        </w:rPr>
        <w:t>關於公務與公務人員</w:t>
      </w:r>
      <w:r>
        <w:rPr>
          <w:rFonts w:hint="eastAsia"/>
          <w:lang w:val="de-DE"/>
        </w:rPr>
        <w:t>，在德國法中一個關鍵性的概念是</w:t>
      </w:r>
      <w:r>
        <w:rPr>
          <w:lang w:val="de-DE"/>
        </w:rPr>
        <w:t>„der öffentliche Dienst“</w:t>
      </w:r>
      <w:r>
        <w:rPr>
          <w:rFonts w:hint="eastAsia"/>
          <w:lang w:val="de-DE"/>
        </w:rPr>
        <w:t>。此一概念之使用並不統一，可能被使用來指稱公務，但亦可能被使用來指稱執行公務之人員。</w:t>
      </w:r>
      <w:r>
        <w:rPr>
          <w:lang w:val="de-DE"/>
        </w:rPr>
        <w:t>Vgl. Stern, 1984, S. 338 ff.</w:t>
      </w:r>
      <w:r>
        <w:rPr>
          <w:rFonts w:hint="eastAsia"/>
          <w:lang w:val="de-DE"/>
        </w:rPr>
        <w:t>。不過，對於後者稱為執行公務之「人員」，其實還不夠精確。在此所涉及的其實不是個別的「人員」，而是「職業」。</w:t>
      </w:r>
      <w:r>
        <w:rPr>
          <w:lang w:val="de-DE"/>
        </w:rPr>
        <w:t>Vgl. Isensee, 1995, Rn. 2</w:t>
      </w:r>
      <w:r>
        <w:rPr>
          <w:rFonts w:hint="eastAsia"/>
          <w:lang w:val="de-DE"/>
        </w:rPr>
        <w:t>。在這個意義下</w:t>
      </w:r>
      <w:r>
        <w:rPr>
          <w:rFonts w:hint="eastAsia"/>
          <w:lang w:val="de-DE"/>
        </w:rPr>
        <w:t>，將</w:t>
      </w:r>
      <w:r>
        <w:rPr>
          <w:lang w:val="de-DE"/>
        </w:rPr>
        <w:t>„der öffentliche Dienst“</w:t>
      </w:r>
      <w:r>
        <w:rPr>
          <w:rFonts w:hint="eastAsia"/>
          <w:lang w:val="de-DE"/>
        </w:rPr>
        <w:t>翻譯為「公職」本來是比較貼切的，但由於「公職」在國內已有一定的使用脈絡，為避免誤解故還是翻譯為「公務人員」。總而言之，</w:t>
      </w:r>
      <w:r>
        <w:rPr>
          <w:lang w:val="de-DE"/>
        </w:rPr>
        <w:t>„der öffentliche Dienst“</w:t>
      </w:r>
      <w:r>
        <w:rPr>
          <w:rFonts w:hint="eastAsia"/>
          <w:lang w:val="de-DE"/>
        </w:rPr>
        <w:t>此一概念，在本文中將視其脈絡而分別翻譯為「公務」或「公務人員」。</w:t>
      </w:r>
    </w:p>
  </w:footnote>
  <w:footnote w:id="2">
    <w:p w:rsidR="00000000" w:rsidRDefault="00917CC1">
      <w:pPr>
        <w:pStyle w:val="a7"/>
        <w:rPr>
          <w:rFonts w:hint="eastAsia"/>
          <w:lang w:val="de-DE"/>
        </w:rPr>
      </w:pPr>
      <w:r>
        <w:rPr>
          <w:rStyle w:val="a6"/>
        </w:rPr>
        <w:footnoteRef/>
      </w:r>
      <w:r>
        <w:rPr>
          <w:lang w:val="de-DE"/>
        </w:rPr>
        <w:t xml:space="preserve"> </w:t>
      </w:r>
      <w:r>
        <w:rPr>
          <w:lang w:val="de-DE"/>
        </w:rPr>
        <w:t>Stern, a. a. O., S. 339</w:t>
      </w:r>
      <w:r>
        <w:rPr>
          <w:rFonts w:hint="eastAsia"/>
          <w:lang w:val="de-DE"/>
        </w:rPr>
        <w:t>。</w:t>
      </w:r>
    </w:p>
  </w:footnote>
  <w:footnote w:id="3">
    <w:p w:rsidR="00000000" w:rsidRDefault="00917CC1">
      <w:pPr>
        <w:pStyle w:val="a7"/>
        <w:rPr>
          <w:rFonts w:hint="eastAsia"/>
          <w:lang w:val="de-DE"/>
        </w:rPr>
      </w:pPr>
      <w:r>
        <w:rPr>
          <w:rStyle w:val="a6"/>
        </w:rPr>
        <w:footnoteRef/>
      </w:r>
      <w:r>
        <w:t xml:space="preserve"> </w:t>
      </w:r>
      <w:r>
        <w:rPr>
          <w:rFonts w:hint="eastAsia"/>
        </w:rPr>
        <w:t>勤務主為有權擁有公務員之高權主體</w:t>
      </w:r>
      <w:r>
        <w:rPr>
          <w:rFonts w:hint="eastAsia"/>
          <w:lang w:val="de-DE"/>
        </w:rPr>
        <w:t>，從而其得以其單方之行為</w:t>
      </w:r>
      <w:r>
        <w:rPr>
          <w:lang w:val="de-DE"/>
        </w:rPr>
        <w:t>(</w:t>
      </w:r>
      <w:r>
        <w:rPr>
          <w:rFonts w:hint="eastAsia"/>
          <w:lang w:val="de-DE"/>
        </w:rPr>
        <w:t>行政處分</w:t>
      </w:r>
      <w:r>
        <w:rPr>
          <w:lang w:val="de-DE"/>
        </w:rPr>
        <w:t>)</w:t>
      </w:r>
      <w:r>
        <w:rPr>
          <w:rFonts w:hint="eastAsia"/>
          <w:lang w:val="de-DE"/>
        </w:rPr>
        <w:t>成立公務員關係。勤務主包括聯邦、各</w:t>
      </w:r>
      <w:proofErr w:type="gramStart"/>
      <w:r>
        <w:rPr>
          <w:rFonts w:hint="eastAsia"/>
          <w:lang w:val="de-DE"/>
        </w:rPr>
        <w:t>邦</w:t>
      </w:r>
      <w:proofErr w:type="gramEnd"/>
      <w:r>
        <w:rPr>
          <w:rFonts w:hint="eastAsia"/>
          <w:lang w:val="de-DE"/>
        </w:rPr>
        <w:t>、鄉鎮、鄉鎮聯盟及其他公法社團、財團或營造物等等</w:t>
      </w:r>
      <w:r>
        <w:rPr>
          <w:lang w:val="de-DE"/>
        </w:rPr>
        <w:t>(§ 121 BR</w:t>
      </w:r>
      <w:r>
        <w:rPr>
          <w:lang w:val="de-DE"/>
        </w:rPr>
        <w:t>RG)</w:t>
      </w:r>
      <w:r>
        <w:rPr>
          <w:rFonts w:hint="eastAsia"/>
          <w:lang w:val="de-DE"/>
        </w:rPr>
        <w:t>。參：</w:t>
      </w:r>
      <w:r>
        <w:rPr>
          <w:lang w:val="de-DE"/>
        </w:rPr>
        <w:t>Wagner</w:t>
      </w:r>
      <w:r>
        <w:rPr>
          <w:rFonts w:hint="eastAsia"/>
          <w:lang w:val="de-DE"/>
        </w:rPr>
        <w:t>,</w:t>
      </w:r>
      <w:r>
        <w:rPr>
          <w:lang w:val="de-DE"/>
        </w:rPr>
        <w:t xml:space="preserve"> 1997, S. 41</w:t>
      </w:r>
      <w:r>
        <w:rPr>
          <w:rFonts w:hint="eastAsia"/>
          <w:lang w:val="de-DE"/>
        </w:rPr>
        <w:t>。</w:t>
      </w:r>
    </w:p>
  </w:footnote>
  <w:footnote w:id="4">
    <w:p w:rsidR="00000000" w:rsidRDefault="00917CC1">
      <w:pPr>
        <w:pStyle w:val="a7"/>
        <w:rPr>
          <w:rFonts w:hint="eastAsia"/>
          <w:lang w:val="de-DE"/>
        </w:rPr>
      </w:pPr>
      <w:r>
        <w:rPr>
          <w:rStyle w:val="a6"/>
        </w:rPr>
        <w:footnoteRef/>
      </w:r>
      <w:r>
        <w:t xml:space="preserve"> </w:t>
      </w:r>
      <w:r>
        <w:rPr>
          <w:lang w:val="de-DE"/>
        </w:rPr>
        <w:t>Kunig, 1995, Rn. 8</w:t>
      </w:r>
      <w:r>
        <w:rPr>
          <w:rFonts w:hint="eastAsia"/>
          <w:lang w:val="de-DE"/>
        </w:rPr>
        <w:t>。</w:t>
      </w:r>
    </w:p>
  </w:footnote>
  <w:footnote w:id="5">
    <w:p w:rsidR="00000000" w:rsidRDefault="00917CC1">
      <w:pPr>
        <w:pStyle w:val="a7"/>
        <w:rPr>
          <w:rFonts w:hint="eastAsia"/>
        </w:rPr>
      </w:pPr>
      <w:r>
        <w:rPr>
          <w:rStyle w:val="a6"/>
        </w:rPr>
        <w:footnoteRef/>
      </w:r>
      <w:r>
        <w:t xml:space="preserve"> </w:t>
      </w:r>
      <w:r>
        <w:rPr>
          <w:rFonts w:hint="eastAsia"/>
        </w:rPr>
        <w:t>「公務員」概念在不同法領域也會有不同之意涵。大致上可區分為：</w:t>
      </w:r>
    </w:p>
    <w:p w:rsidR="00000000" w:rsidRDefault="00917CC1" w:rsidP="00917CC1">
      <w:pPr>
        <w:pStyle w:val="a7"/>
        <w:numPr>
          <w:ilvl w:val="0"/>
          <w:numId w:val="3"/>
        </w:numPr>
        <w:rPr>
          <w:rFonts w:hint="eastAsia"/>
          <w:lang w:val="de-DE"/>
        </w:rPr>
      </w:pPr>
      <w:r>
        <w:rPr>
          <w:rFonts w:hint="eastAsia"/>
          <w:lang w:val="de-DE"/>
        </w:rPr>
        <w:t>國家法</w:t>
      </w:r>
      <w:r>
        <w:rPr>
          <w:lang w:val="de-DE"/>
        </w:rPr>
        <w:t>(</w:t>
      </w:r>
      <w:r>
        <w:rPr>
          <w:rFonts w:hint="eastAsia"/>
          <w:lang w:val="de-DE"/>
        </w:rPr>
        <w:t>或公務員法</w:t>
      </w:r>
      <w:r>
        <w:rPr>
          <w:lang w:val="de-DE"/>
        </w:rPr>
        <w:t>)</w:t>
      </w:r>
      <w:r>
        <w:rPr>
          <w:rFonts w:hint="eastAsia"/>
          <w:lang w:val="de-DE"/>
        </w:rPr>
        <w:t>上之公務員：國家法上之公務員概念主要是由基本法第</w:t>
      </w:r>
      <w:r>
        <w:rPr>
          <w:lang w:val="de-DE"/>
        </w:rPr>
        <w:t>33</w:t>
      </w:r>
      <w:r>
        <w:rPr>
          <w:rFonts w:hint="eastAsia"/>
          <w:lang w:val="de-DE"/>
        </w:rPr>
        <w:t>條第</w:t>
      </w:r>
      <w:r>
        <w:rPr>
          <w:lang w:val="de-DE"/>
        </w:rPr>
        <w:t>4</w:t>
      </w:r>
      <w:r>
        <w:rPr>
          <w:rFonts w:hint="eastAsia"/>
          <w:lang w:val="de-DE"/>
        </w:rPr>
        <w:t>、第</w:t>
      </w:r>
      <w:r>
        <w:rPr>
          <w:lang w:val="de-DE"/>
        </w:rPr>
        <w:t>5</w:t>
      </w:r>
      <w:r>
        <w:rPr>
          <w:rFonts w:hint="eastAsia"/>
          <w:lang w:val="de-DE"/>
        </w:rPr>
        <w:t>項所確定，並在公務員法中落實下來。依其規定，公務員為處於公法上任職與忠誠關係之人；</w:t>
      </w:r>
    </w:p>
    <w:p w:rsidR="00000000" w:rsidRDefault="00917CC1" w:rsidP="00917CC1">
      <w:pPr>
        <w:pStyle w:val="a7"/>
        <w:numPr>
          <w:ilvl w:val="0"/>
          <w:numId w:val="3"/>
        </w:numPr>
        <w:rPr>
          <w:rFonts w:hint="eastAsia"/>
          <w:lang w:val="de-DE"/>
        </w:rPr>
      </w:pPr>
      <w:r>
        <w:rPr>
          <w:rFonts w:hint="eastAsia"/>
          <w:lang w:val="de-DE"/>
        </w:rPr>
        <w:t>責任法上之公務員：責任法上之公務員乃依基本法第</w:t>
      </w:r>
      <w:r>
        <w:rPr>
          <w:lang w:val="de-DE"/>
        </w:rPr>
        <w:t>34</w:t>
      </w:r>
      <w:r>
        <w:rPr>
          <w:rFonts w:hint="eastAsia"/>
          <w:lang w:val="de-DE"/>
        </w:rPr>
        <w:t>條第</w:t>
      </w:r>
      <w:r>
        <w:rPr>
          <w:lang w:val="de-DE"/>
        </w:rPr>
        <w:t>1</w:t>
      </w:r>
      <w:r>
        <w:rPr>
          <w:rFonts w:hint="eastAsia"/>
          <w:lang w:val="de-DE"/>
        </w:rPr>
        <w:t>句連結民法第</w:t>
      </w:r>
      <w:r>
        <w:rPr>
          <w:lang w:val="de-DE"/>
        </w:rPr>
        <w:t>839</w:t>
      </w:r>
      <w:r>
        <w:rPr>
          <w:rFonts w:hint="eastAsia"/>
          <w:lang w:val="de-DE"/>
        </w:rPr>
        <w:t>條第</w:t>
      </w:r>
      <w:r>
        <w:rPr>
          <w:lang w:val="de-DE"/>
        </w:rPr>
        <w:t>1</w:t>
      </w:r>
      <w:r>
        <w:rPr>
          <w:rFonts w:hint="eastAsia"/>
          <w:lang w:val="de-DE"/>
        </w:rPr>
        <w:t>、第</w:t>
      </w:r>
      <w:r>
        <w:rPr>
          <w:lang w:val="de-DE"/>
        </w:rPr>
        <w:t>2</w:t>
      </w:r>
      <w:r>
        <w:rPr>
          <w:rFonts w:hint="eastAsia"/>
          <w:lang w:val="de-DE"/>
        </w:rPr>
        <w:t>項國家因其行為應負損害賠償責任之人。在此重要的是一定公共職務之執行，而不問是否與國家間存有公法</w:t>
      </w:r>
      <w:r>
        <w:rPr>
          <w:rFonts w:hint="eastAsia"/>
          <w:lang w:val="de-DE"/>
        </w:rPr>
        <w:t>上之任職與忠誠關係。因此在國家法上之公務員之外，不論是法官、職員、勞工或甚至受委託行使公權力者等等，皆為責任法上之公務員。</w:t>
      </w:r>
    </w:p>
    <w:p w:rsidR="00000000" w:rsidRDefault="00917CC1" w:rsidP="00917CC1">
      <w:pPr>
        <w:pStyle w:val="a7"/>
        <w:numPr>
          <w:ilvl w:val="0"/>
          <w:numId w:val="3"/>
        </w:numPr>
        <w:rPr>
          <w:rFonts w:hint="eastAsia"/>
          <w:lang w:val="de-DE"/>
        </w:rPr>
      </w:pPr>
      <w:r>
        <w:rPr>
          <w:rFonts w:hint="eastAsia"/>
          <w:lang w:val="de-DE"/>
        </w:rPr>
        <w:t>刑法上之公務員：依據刑法第</w:t>
      </w:r>
      <w:r>
        <w:rPr>
          <w:lang w:val="de-DE"/>
        </w:rPr>
        <w:t>11</w:t>
      </w:r>
      <w:r>
        <w:rPr>
          <w:rFonts w:hint="eastAsia"/>
          <w:lang w:val="de-DE"/>
        </w:rPr>
        <w:t>條第</w:t>
      </w:r>
      <w:r>
        <w:rPr>
          <w:lang w:val="de-DE"/>
        </w:rPr>
        <w:t>1</w:t>
      </w:r>
      <w:r>
        <w:rPr>
          <w:rFonts w:hint="eastAsia"/>
          <w:lang w:val="de-DE"/>
        </w:rPr>
        <w:t>項第</w:t>
      </w:r>
      <w:r>
        <w:rPr>
          <w:lang w:val="de-DE"/>
        </w:rPr>
        <w:t>2</w:t>
      </w:r>
      <w:r>
        <w:rPr>
          <w:rFonts w:hint="eastAsia"/>
          <w:lang w:val="de-DE"/>
        </w:rPr>
        <w:t>至</w:t>
      </w:r>
      <w:r>
        <w:rPr>
          <w:lang w:val="de-DE"/>
        </w:rPr>
        <w:t>4</w:t>
      </w:r>
      <w:r>
        <w:rPr>
          <w:rFonts w:hint="eastAsia"/>
          <w:lang w:val="de-DE"/>
        </w:rPr>
        <w:t>款之規定，刑法上之公務員為「職務主體」、「法官」及「對於公務負有特殊義務者」。此所謂之「職務主體」除國家法上之公務員及法官之外，還包括與國家處於「其他公法上職務關係」或其他被任命以履行公行政任務之人。</w:t>
      </w:r>
    </w:p>
    <w:p w:rsidR="00000000" w:rsidRDefault="00917CC1">
      <w:pPr>
        <w:pStyle w:val="a7"/>
        <w:rPr>
          <w:rFonts w:hint="eastAsia"/>
          <w:lang w:val="de-DE"/>
        </w:rPr>
      </w:pPr>
      <w:r>
        <w:rPr>
          <w:lang w:val="de-DE"/>
        </w:rPr>
        <w:t>Vgl. Kunig, 1995, Rn. 56 ff.</w:t>
      </w:r>
      <w:r>
        <w:rPr>
          <w:rFonts w:hint="eastAsia"/>
          <w:lang w:val="de-DE"/>
        </w:rPr>
        <w:t>。</w:t>
      </w:r>
    </w:p>
  </w:footnote>
  <w:footnote w:id="6">
    <w:p w:rsidR="00000000" w:rsidRDefault="00917CC1">
      <w:pPr>
        <w:pStyle w:val="a7"/>
        <w:rPr>
          <w:rFonts w:hint="eastAsia"/>
          <w:lang w:val="de-DE"/>
        </w:rPr>
      </w:pPr>
      <w:r>
        <w:rPr>
          <w:rStyle w:val="a6"/>
        </w:rPr>
        <w:footnoteRef/>
      </w:r>
      <w:r>
        <w:rPr>
          <w:lang w:val="de-DE"/>
        </w:rPr>
        <w:t xml:space="preserve"> </w:t>
      </w:r>
      <w:r>
        <w:rPr>
          <w:lang w:val="de-DE"/>
        </w:rPr>
        <w:t>Stern, 1984, S. 340</w:t>
      </w:r>
      <w:r>
        <w:rPr>
          <w:rFonts w:hint="eastAsia"/>
          <w:lang w:val="de-DE"/>
        </w:rPr>
        <w:t>。</w:t>
      </w:r>
    </w:p>
  </w:footnote>
  <w:footnote w:id="7">
    <w:p w:rsidR="00000000" w:rsidRDefault="00917CC1">
      <w:pPr>
        <w:pStyle w:val="a7"/>
        <w:rPr>
          <w:rFonts w:hint="eastAsia"/>
          <w:lang w:val="de-DE"/>
        </w:rPr>
      </w:pPr>
      <w:r>
        <w:rPr>
          <w:rStyle w:val="a6"/>
        </w:rPr>
        <w:footnoteRef/>
      </w:r>
      <w:r>
        <w:rPr>
          <w:lang w:val="de-DE"/>
        </w:rPr>
        <w:t xml:space="preserve"> </w:t>
      </w:r>
      <w:r>
        <w:rPr>
          <w:rFonts w:hint="eastAsia"/>
        </w:rPr>
        <w:t>條文用語是</w:t>
      </w:r>
      <w:r>
        <w:rPr>
          <w:lang w:val="de-DE"/>
        </w:rPr>
        <w:t>„Das Recht</w:t>
      </w:r>
      <w:r>
        <w:rPr>
          <w:lang w:val="de-DE"/>
        </w:rPr>
        <w:t xml:space="preserve"> des öffentlichen Dienstes“</w:t>
      </w:r>
      <w:r>
        <w:rPr>
          <w:rFonts w:hint="eastAsia"/>
          <w:lang w:val="de-DE"/>
        </w:rPr>
        <w:t>，惟此所提到之</w:t>
      </w:r>
      <w:r>
        <w:rPr>
          <w:lang w:val="de-DE"/>
        </w:rPr>
        <w:t>„des öffentlichen Dienstes“</w:t>
      </w:r>
      <w:r>
        <w:rPr>
          <w:rFonts w:hint="eastAsia"/>
          <w:lang w:val="de-DE"/>
        </w:rPr>
        <w:t>解釋上僅指公務員，而不包括職員與勞工。</w:t>
      </w:r>
      <w:r>
        <w:rPr>
          <w:lang w:val="de-DE"/>
        </w:rPr>
        <w:t>Vgl. Kunig, 1995, Rn. 4</w:t>
      </w:r>
      <w:r>
        <w:rPr>
          <w:rFonts w:hint="eastAsia"/>
          <w:lang w:val="de-DE"/>
        </w:rPr>
        <w:t>。</w:t>
      </w:r>
    </w:p>
  </w:footnote>
  <w:footnote w:id="8">
    <w:p w:rsidR="00000000" w:rsidRDefault="00917CC1">
      <w:pPr>
        <w:pStyle w:val="a7"/>
        <w:rPr>
          <w:rFonts w:hint="eastAsia"/>
          <w:lang w:val="de-DE"/>
        </w:rPr>
      </w:pPr>
      <w:r>
        <w:rPr>
          <w:rStyle w:val="a6"/>
        </w:rPr>
        <w:footnoteRef/>
      </w:r>
      <w:r>
        <w:rPr>
          <w:lang w:val="de-DE"/>
        </w:rPr>
        <w:t xml:space="preserve"> </w:t>
      </w:r>
      <w:r>
        <w:rPr>
          <w:lang w:val="de-DE"/>
        </w:rPr>
        <w:t>Battis, 1996, Rn. 45</w:t>
      </w:r>
      <w:r>
        <w:rPr>
          <w:rFonts w:hint="eastAsia"/>
        </w:rPr>
        <w:t>。</w:t>
      </w:r>
    </w:p>
  </w:footnote>
  <w:footnote w:id="9">
    <w:p w:rsidR="00000000" w:rsidRDefault="00917CC1">
      <w:pPr>
        <w:pStyle w:val="a7"/>
        <w:rPr>
          <w:rFonts w:hint="eastAsia"/>
          <w:lang w:val="de-DE"/>
        </w:rPr>
      </w:pPr>
      <w:r>
        <w:rPr>
          <w:rStyle w:val="a6"/>
        </w:rPr>
        <w:footnoteRef/>
      </w:r>
      <w:r>
        <w:rPr>
          <w:lang w:val="de-DE"/>
        </w:rPr>
        <w:t xml:space="preserve"> „Beamtenrechtsrahmengesetz”</w:t>
      </w:r>
      <w:r>
        <w:rPr>
          <w:rFonts w:hint="eastAsia"/>
        </w:rPr>
        <w:t>性質上為聯邦依據基本法第</w:t>
      </w:r>
      <w:r>
        <w:rPr>
          <w:lang w:val="de-DE"/>
        </w:rPr>
        <w:t>75</w:t>
      </w:r>
      <w:r>
        <w:rPr>
          <w:rFonts w:hint="eastAsia"/>
          <w:lang w:val="de-DE"/>
        </w:rPr>
        <w:t>條第</w:t>
      </w:r>
      <w:r>
        <w:rPr>
          <w:lang w:val="de-DE"/>
        </w:rPr>
        <w:t>1</w:t>
      </w:r>
      <w:r>
        <w:rPr>
          <w:rFonts w:hint="eastAsia"/>
          <w:lang w:val="de-DE"/>
        </w:rPr>
        <w:t>項第</w:t>
      </w:r>
      <w:r>
        <w:rPr>
          <w:lang w:val="de-DE"/>
        </w:rPr>
        <w:t>1</w:t>
      </w:r>
      <w:r>
        <w:rPr>
          <w:rFonts w:hint="eastAsia"/>
          <w:lang w:val="de-DE"/>
        </w:rPr>
        <w:t>款</w:t>
      </w:r>
      <w:r>
        <w:rPr>
          <w:rFonts w:hint="eastAsia"/>
        </w:rPr>
        <w:t>所制定之「框架立法」</w:t>
      </w:r>
      <w:r>
        <w:rPr>
          <w:rFonts w:hint="eastAsia"/>
          <w:lang w:val="de-DE"/>
        </w:rPr>
        <w:t>，為各邦之公務員立法設定框架以確保各邦公務員立法在基本原則上之一致性。</w:t>
      </w:r>
      <w:r>
        <w:rPr>
          <w:lang w:val="de-DE"/>
        </w:rPr>
        <w:t>Vgl. Stern, 1984, S. 368</w:t>
      </w:r>
      <w:r>
        <w:rPr>
          <w:rFonts w:hint="eastAsia"/>
          <w:lang w:val="de-DE"/>
        </w:rPr>
        <w:t>。因此從字面上直</w:t>
      </w:r>
      <w:r>
        <w:rPr>
          <w:rFonts w:hint="eastAsia"/>
          <w:lang w:val="de-DE"/>
        </w:rPr>
        <w:t>譯則為「公務員法之框架法」，但稍為累贅，故本文依其</w:t>
      </w:r>
      <w:proofErr w:type="gramStart"/>
      <w:r>
        <w:rPr>
          <w:rFonts w:hint="eastAsia"/>
          <w:lang w:val="de-DE"/>
        </w:rPr>
        <w:t>意涵譯為</w:t>
      </w:r>
      <w:proofErr w:type="gramEnd"/>
      <w:r>
        <w:rPr>
          <w:rFonts w:hint="eastAsia"/>
        </w:rPr>
        <w:t>「公務員基準法」。</w:t>
      </w:r>
    </w:p>
  </w:footnote>
  <w:footnote w:id="10">
    <w:p w:rsidR="00000000" w:rsidRDefault="00917CC1">
      <w:pPr>
        <w:pStyle w:val="a7"/>
        <w:rPr>
          <w:rFonts w:hint="eastAsia"/>
          <w:lang w:val="de-DE"/>
        </w:rPr>
      </w:pPr>
      <w:r>
        <w:rPr>
          <w:rStyle w:val="a6"/>
        </w:rPr>
        <w:footnoteRef/>
      </w:r>
      <w:r>
        <w:rPr>
          <w:lang w:val="de-DE"/>
        </w:rPr>
        <w:t xml:space="preserve"> </w:t>
      </w:r>
      <w:r>
        <w:rPr>
          <w:lang w:val="de-DE"/>
        </w:rPr>
        <w:t xml:space="preserve">Vgl. Kunig, 1995, Rn. 68 </w:t>
      </w:r>
      <w:r>
        <w:rPr>
          <w:rFonts w:hint="eastAsia"/>
          <w:lang w:val="de-DE"/>
        </w:rPr>
        <w:t>。</w:t>
      </w:r>
    </w:p>
  </w:footnote>
  <w:footnote w:id="11">
    <w:p w:rsidR="00000000" w:rsidRDefault="00917CC1">
      <w:pPr>
        <w:pStyle w:val="a7"/>
        <w:rPr>
          <w:rFonts w:hint="eastAsia"/>
        </w:rPr>
      </w:pPr>
      <w:r>
        <w:rPr>
          <w:rStyle w:val="a6"/>
        </w:rPr>
        <w:footnoteRef/>
      </w:r>
      <w:r>
        <w:t xml:space="preserve"> Battis, 1997, § 2 Rn. 4</w:t>
      </w:r>
      <w:r>
        <w:rPr>
          <w:rFonts w:hint="eastAsia"/>
          <w:lang w:val="de-DE"/>
        </w:rPr>
        <w:t>。</w:t>
      </w:r>
    </w:p>
  </w:footnote>
  <w:footnote w:id="12">
    <w:p w:rsidR="00000000" w:rsidRDefault="00917CC1">
      <w:pPr>
        <w:pStyle w:val="a7"/>
        <w:rPr>
          <w:rFonts w:hint="eastAsia"/>
          <w:lang w:val="de-DE"/>
        </w:rPr>
      </w:pPr>
      <w:r>
        <w:rPr>
          <w:rStyle w:val="a6"/>
        </w:rPr>
        <w:footnoteRef/>
      </w:r>
      <w:r>
        <w:t xml:space="preserve"> </w:t>
      </w:r>
      <w:r>
        <w:rPr>
          <w:rFonts w:hint="eastAsia"/>
        </w:rPr>
        <w:t>「勞動者」</w:t>
      </w:r>
      <w:r>
        <w:t>(Arbeitnehmer)</w:t>
      </w:r>
      <w:r>
        <w:rPr>
          <w:rFonts w:hint="eastAsia"/>
          <w:lang w:val="de-DE"/>
        </w:rPr>
        <w:t>為「勞工」</w:t>
      </w:r>
      <w:r>
        <w:t>(Arbeiter)</w:t>
      </w:r>
      <w:r>
        <w:rPr>
          <w:rFonts w:hint="eastAsia"/>
          <w:lang w:val="de-DE"/>
        </w:rPr>
        <w:t>與「職員」</w:t>
      </w:r>
      <w:r>
        <w:t>(Angestellter)</w:t>
      </w:r>
      <w:r>
        <w:rPr>
          <w:rFonts w:hint="eastAsia"/>
          <w:lang w:val="de-DE"/>
        </w:rPr>
        <w:t>之上位概念。「聯邦職員團體協約」</w:t>
      </w:r>
      <w:proofErr w:type="gramStart"/>
      <w:r>
        <w:rPr>
          <w:rFonts w:hint="eastAsia"/>
          <w:lang w:val="de-DE"/>
        </w:rPr>
        <w:t>雖冠以</w:t>
      </w:r>
      <w:proofErr w:type="gramEnd"/>
      <w:r>
        <w:rPr>
          <w:rFonts w:hint="eastAsia"/>
          <w:lang w:val="de-DE"/>
        </w:rPr>
        <w:t>「職員」之名</w:t>
      </w:r>
      <w:r>
        <w:rPr>
          <w:rFonts w:hint="eastAsia"/>
        </w:rPr>
        <w:t>，</w:t>
      </w:r>
      <w:r>
        <w:rPr>
          <w:rFonts w:hint="eastAsia"/>
          <w:lang w:val="de-DE"/>
        </w:rPr>
        <w:t>但適用對象不限於職員</w:t>
      </w:r>
      <w:r>
        <w:rPr>
          <w:rFonts w:hint="eastAsia"/>
        </w:rPr>
        <w:t>，</w:t>
      </w:r>
      <w:r>
        <w:rPr>
          <w:rFonts w:hint="eastAsia"/>
          <w:lang w:val="de-DE"/>
        </w:rPr>
        <w:t>而亦包括勞工。</w:t>
      </w:r>
      <w:r>
        <w:rPr>
          <w:lang w:val="de-DE"/>
        </w:rPr>
        <w:t>Vgl. Dittmaier / Rubenbauer, 1992, § 2 Rn. 2</w:t>
      </w:r>
      <w:r>
        <w:rPr>
          <w:rFonts w:hint="eastAsia"/>
          <w:lang w:val="de-DE"/>
        </w:rPr>
        <w:t>。</w:t>
      </w:r>
    </w:p>
  </w:footnote>
  <w:footnote w:id="13">
    <w:p w:rsidR="00000000" w:rsidRDefault="00917CC1">
      <w:pPr>
        <w:pStyle w:val="a7"/>
        <w:rPr>
          <w:rFonts w:hint="eastAsia"/>
          <w:lang w:val="de-DE"/>
        </w:rPr>
      </w:pPr>
      <w:r>
        <w:rPr>
          <w:rStyle w:val="a6"/>
        </w:rPr>
        <w:footnoteRef/>
      </w:r>
      <w:r>
        <w:rPr>
          <w:lang w:val="de-DE"/>
        </w:rPr>
        <w:t xml:space="preserve"> </w:t>
      </w:r>
      <w:r>
        <w:rPr>
          <w:lang w:val="de-DE"/>
        </w:rPr>
        <w:t>Kunig, 1995, R</w:t>
      </w:r>
      <w:r>
        <w:rPr>
          <w:lang w:val="de-DE"/>
        </w:rPr>
        <w:t>n. 186</w:t>
      </w:r>
      <w:r>
        <w:rPr>
          <w:rFonts w:hint="eastAsia"/>
          <w:lang w:val="de-DE"/>
        </w:rPr>
        <w:t>。</w:t>
      </w:r>
    </w:p>
  </w:footnote>
  <w:footnote w:id="14">
    <w:p w:rsidR="00000000" w:rsidRDefault="00917CC1">
      <w:pPr>
        <w:pStyle w:val="a7"/>
        <w:rPr>
          <w:rFonts w:hint="eastAsia"/>
          <w:lang w:val="de-DE"/>
        </w:rPr>
      </w:pPr>
      <w:r>
        <w:rPr>
          <w:rStyle w:val="a6"/>
        </w:rPr>
        <w:footnoteRef/>
      </w:r>
      <w:r>
        <w:rPr>
          <w:lang w:val="de-DE"/>
        </w:rPr>
        <w:t xml:space="preserve"> </w:t>
      </w:r>
      <w:r>
        <w:rPr>
          <w:lang w:val="de-DE"/>
        </w:rPr>
        <w:t>Stern, 1984, S. 341</w:t>
      </w:r>
      <w:r>
        <w:rPr>
          <w:rFonts w:hint="eastAsia"/>
          <w:lang w:val="de-DE"/>
        </w:rPr>
        <w:t>。</w:t>
      </w:r>
    </w:p>
  </w:footnote>
  <w:footnote w:id="15">
    <w:p w:rsidR="00000000" w:rsidRDefault="00917CC1">
      <w:pPr>
        <w:pStyle w:val="a7"/>
        <w:rPr>
          <w:rFonts w:hint="eastAsia"/>
          <w:lang w:val="de-DE"/>
        </w:rPr>
      </w:pPr>
      <w:r>
        <w:rPr>
          <w:rStyle w:val="a6"/>
        </w:rPr>
        <w:footnoteRef/>
      </w:r>
      <w:r>
        <w:rPr>
          <w:lang w:val="de-DE"/>
        </w:rPr>
        <w:t xml:space="preserve"> </w:t>
      </w:r>
      <w:r>
        <w:rPr>
          <w:rFonts w:hint="eastAsia"/>
        </w:rPr>
        <w:t>關於公務員制度之發展</w:t>
      </w:r>
      <w:r>
        <w:rPr>
          <w:rFonts w:hint="eastAsia"/>
          <w:lang w:val="de-DE"/>
        </w:rPr>
        <w:t>，</w:t>
      </w:r>
      <w:r>
        <w:rPr>
          <w:lang w:val="de-DE"/>
        </w:rPr>
        <w:t xml:space="preserve">vgl. </w:t>
      </w:r>
      <w:r>
        <w:rPr>
          <w:lang w:val="de-DE"/>
        </w:rPr>
        <w:t>Stern, 1984, S. 364 ff.</w:t>
      </w:r>
      <w:r>
        <w:rPr>
          <w:rFonts w:hint="eastAsia"/>
          <w:lang w:val="de-DE"/>
        </w:rPr>
        <w:t>；關於國家之演變，</w:t>
      </w:r>
      <w:r>
        <w:rPr>
          <w:lang w:val="de-DE"/>
        </w:rPr>
        <w:t>vgl. Grimm,1987</w:t>
      </w:r>
      <w:r>
        <w:rPr>
          <w:rFonts w:hint="eastAsia"/>
          <w:lang w:val="de-DE"/>
        </w:rPr>
        <w:t>。</w:t>
      </w:r>
    </w:p>
  </w:footnote>
  <w:footnote w:id="16">
    <w:p w:rsidR="00000000" w:rsidRDefault="00917CC1">
      <w:pPr>
        <w:pStyle w:val="a7"/>
        <w:rPr>
          <w:rFonts w:hint="eastAsia"/>
          <w:lang w:val="de-DE"/>
        </w:rPr>
      </w:pPr>
      <w:r>
        <w:rPr>
          <w:rStyle w:val="a6"/>
        </w:rPr>
        <w:footnoteRef/>
      </w:r>
      <w:r>
        <w:rPr>
          <w:lang w:val="de-DE"/>
        </w:rPr>
        <w:t xml:space="preserve"> </w:t>
      </w:r>
      <w:r>
        <w:rPr>
          <w:rFonts w:hint="eastAsia"/>
        </w:rPr>
        <w:t>詳見下述四、</w:t>
      </w:r>
      <w:r>
        <w:rPr>
          <w:lang w:val="de-DE"/>
        </w:rPr>
        <w:t>2</w:t>
      </w:r>
      <w:r>
        <w:rPr>
          <w:rFonts w:hint="eastAsia"/>
          <w:lang w:val="de-DE"/>
        </w:rPr>
        <w:t>。</w:t>
      </w:r>
    </w:p>
  </w:footnote>
  <w:footnote w:id="17">
    <w:p w:rsidR="00000000" w:rsidRDefault="00917CC1">
      <w:pPr>
        <w:pStyle w:val="a7"/>
        <w:rPr>
          <w:rFonts w:hint="eastAsia"/>
          <w:lang w:val="de-DE"/>
        </w:rPr>
      </w:pPr>
      <w:r>
        <w:rPr>
          <w:rStyle w:val="a6"/>
        </w:rPr>
        <w:footnoteRef/>
      </w:r>
      <w:r>
        <w:rPr>
          <w:lang w:val="de-DE"/>
        </w:rPr>
        <w:t xml:space="preserve"> </w:t>
      </w:r>
      <w:r>
        <w:rPr>
          <w:lang w:val="de-DE"/>
        </w:rPr>
        <w:t>Battis, 1997, Einleitung, Rn. 5</w:t>
      </w:r>
      <w:r>
        <w:rPr>
          <w:rFonts w:hint="eastAsia"/>
          <w:lang w:val="de-DE"/>
        </w:rPr>
        <w:t>。更為詳細之介紹，</w:t>
      </w:r>
      <w:r>
        <w:rPr>
          <w:lang w:val="de-DE"/>
        </w:rPr>
        <w:t>vgl. Baltes, 1973, S. 56 ff.</w:t>
      </w:r>
      <w:r>
        <w:rPr>
          <w:rFonts w:hint="eastAsia"/>
          <w:lang w:val="de-DE"/>
        </w:rPr>
        <w:t>。</w:t>
      </w:r>
    </w:p>
  </w:footnote>
  <w:footnote w:id="18">
    <w:p w:rsidR="00000000" w:rsidRDefault="00917CC1">
      <w:pPr>
        <w:pStyle w:val="a7"/>
        <w:rPr>
          <w:rFonts w:hint="eastAsia"/>
          <w:lang w:val="de-DE"/>
        </w:rPr>
      </w:pPr>
      <w:r>
        <w:rPr>
          <w:rStyle w:val="a6"/>
        </w:rPr>
        <w:footnoteRef/>
      </w:r>
      <w:r>
        <w:t xml:space="preserve"> </w:t>
      </w:r>
      <w:r>
        <w:rPr>
          <w:lang w:val="de-DE"/>
        </w:rPr>
        <w:t>Baltes, a. a. O., S. 66 ff.</w:t>
      </w:r>
      <w:r>
        <w:rPr>
          <w:rFonts w:hint="eastAsia"/>
          <w:lang w:val="de-DE"/>
        </w:rPr>
        <w:t>。</w:t>
      </w:r>
    </w:p>
  </w:footnote>
  <w:footnote w:id="19">
    <w:p w:rsidR="00000000" w:rsidRDefault="00917CC1">
      <w:pPr>
        <w:pStyle w:val="a7"/>
        <w:rPr>
          <w:rFonts w:hint="eastAsia"/>
          <w:lang w:val="de-DE"/>
        </w:rPr>
      </w:pPr>
      <w:r>
        <w:rPr>
          <w:rStyle w:val="a6"/>
        </w:rPr>
        <w:footnoteRef/>
      </w:r>
      <w:r>
        <w:t xml:space="preserve"> </w:t>
      </w:r>
      <w:r>
        <w:rPr>
          <w:lang w:val="de-DE"/>
        </w:rPr>
        <w:t>Stern, 1984, S. 352</w:t>
      </w:r>
      <w:r>
        <w:rPr>
          <w:rFonts w:hint="eastAsia"/>
          <w:lang w:val="de-DE"/>
        </w:rPr>
        <w:t>。</w:t>
      </w:r>
    </w:p>
  </w:footnote>
  <w:footnote w:id="20">
    <w:p w:rsidR="00000000" w:rsidRDefault="00917CC1">
      <w:pPr>
        <w:pStyle w:val="a7"/>
        <w:rPr>
          <w:rFonts w:hint="eastAsia"/>
        </w:rPr>
      </w:pPr>
      <w:r>
        <w:rPr>
          <w:rStyle w:val="a6"/>
        </w:rPr>
        <w:footnoteRef/>
      </w:r>
      <w:r>
        <w:t xml:space="preserve"> Battis, 1997, § 2 R</w:t>
      </w:r>
      <w:r>
        <w:t>n. 7</w:t>
      </w:r>
      <w:r>
        <w:rPr>
          <w:rFonts w:hint="eastAsia"/>
          <w:lang w:val="de-DE"/>
        </w:rPr>
        <w:t>。</w:t>
      </w:r>
    </w:p>
  </w:footnote>
  <w:footnote w:id="21">
    <w:p w:rsidR="00000000" w:rsidRDefault="00917CC1">
      <w:pPr>
        <w:pStyle w:val="a7"/>
        <w:rPr>
          <w:rFonts w:hint="eastAsia"/>
          <w:lang w:val="de-DE"/>
        </w:rPr>
      </w:pPr>
      <w:r>
        <w:rPr>
          <w:rStyle w:val="a6"/>
        </w:rPr>
        <w:footnoteRef/>
      </w:r>
      <w:r>
        <w:rPr>
          <w:lang w:val="de-DE"/>
        </w:rPr>
        <w:t xml:space="preserve"> BVerfGE 7, 155 (162)</w:t>
      </w:r>
      <w:r>
        <w:rPr>
          <w:rFonts w:hint="eastAsia"/>
          <w:lang w:val="de-DE"/>
        </w:rPr>
        <w:t>。</w:t>
      </w:r>
    </w:p>
  </w:footnote>
  <w:footnote w:id="22">
    <w:p w:rsidR="00000000" w:rsidRDefault="00917CC1">
      <w:pPr>
        <w:pStyle w:val="a7"/>
        <w:rPr>
          <w:rFonts w:hint="eastAsia"/>
          <w:lang w:val="de-DE"/>
        </w:rPr>
      </w:pPr>
      <w:r>
        <w:rPr>
          <w:rStyle w:val="a6"/>
        </w:rPr>
        <w:footnoteRef/>
      </w:r>
      <w:r>
        <w:rPr>
          <w:lang w:val="de-DE"/>
        </w:rPr>
        <w:t xml:space="preserve"> </w:t>
      </w:r>
      <w:r>
        <w:rPr>
          <w:lang w:val="de-DE"/>
        </w:rPr>
        <w:t>Vgl. Lecheler, 1988, Rn. 67; Battis, 1997, § 2 Rn. 7</w:t>
      </w:r>
      <w:r>
        <w:rPr>
          <w:rFonts w:hint="eastAsia"/>
          <w:lang w:val="de-DE"/>
        </w:rPr>
        <w:t>。。</w:t>
      </w:r>
    </w:p>
  </w:footnote>
  <w:footnote w:id="23">
    <w:p w:rsidR="00000000" w:rsidRDefault="00917CC1">
      <w:pPr>
        <w:pStyle w:val="a7"/>
        <w:rPr>
          <w:rFonts w:hint="eastAsia"/>
          <w:lang w:val="de-DE"/>
        </w:rPr>
      </w:pPr>
      <w:r>
        <w:rPr>
          <w:rStyle w:val="a6"/>
        </w:rPr>
        <w:footnoteRef/>
      </w:r>
      <w:r>
        <w:rPr>
          <w:lang w:val="de-DE"/>
        </w:rPr>
        <w:t xml:space="preserve"> </w:t>
      </w:r>
      <w:r>
        <w:rPr>
          <w:lang w:val="de-DE"/>
        </w:rPr>
        <w:t>Vgl. Isensee, 1995, Rn. 62; Battis, 1997, § 2 Rn. 7; Lecheler, a. a. O.</w:t>
      </w:r>
      <w:r>
        <w:rPr>
          <w:rFonts w:hint="eastAsia"/>
          <w:lang w:val="de-DE"/>
        </w:rPr>
        <w:t>。</w:t>
      </w:r>
    </w:p>
  </w:footnote>
  <w:footnote w:id="24">
    <w:p w:rsidR="00000000" w:rsidRDefault="00917CC1">
      <w:pPr>
        <w:pStyle w:val="a7"/>
        <w:rPr>
          <w:rFonts w:hint="eastAsia"/>
          <w:lang w:val="de-DE"/>
        </w:rPr>
      </w:pPr>
      <w:r>
        <w:rPr>
          <w:rStyle w:val="a6"/>
        </w:rPr>
        <w:footnoteRef/>
      </w:r>
      <w:r>
        <w:t xml:space="preserve"> </w:t>
      </w:r>
      <w:r>
        <w:rPr>
          <w:lang w:val="de-DE"/>
        </w:rPr>
        <w:t>Schlaich, 1972, S. 45</w:t>
      </w:r>
      <w:r>
        <w:rPr>
          <w:rFonts w:hint="eastAsia"/>
          <w:lang w:val="de-DE"/>
        </w:rPr>
        <w:t>。</w:t>
      </w:r>
    </w:p>
  </w:footnote>
  <w:footnote w:id="25">
    <w:p w:rsidR="00000000" w:rsidRDefault="00917CC1">
      <w:pPr>
        <w:pStyle w:val="a7"/>
        <w:rPr>
          <w:rFonts w:hint="eastAsia"/>
          <w:lang w:val="de-DE"/>
        </w:rPr>
      </w:pPr>
      <w:r>
        <w:rPr>
          <w:rStyle w:val="a6"/>
        </w:rPr>
        <w:footnoteRef/>
      </w:r>
      <w:r>
        <w:t xml:space="preserve"> </w:t>
      </w:r>
      <w:r>
        <w:rPr>
          <w:rFonts w:hint="eastAsia"/>
        </w:rPr>
        <w:t>不只是公務員</w:t>
      </w:r>
      <w:r>
        <w:rPr>
          <w:rFonts w:hint="eastAsia"/>
          <w:lang w:val="de-DE"/>
        </w:rPr>
        <w:t>，而是所有的公務人員，亦即包括職員及勞工都必須保持政治中立。</w:t>
      </w:r>
      <w:r>
        <w:rPr>
          <w:rFonts w:hint="eastAsia"/>
        </w:rPr>
        <w:t>V</w:t>
      </w:r>
      <w:r>
        <w:t>gl. Wagner, 1987, S. 65 Fn. 1</w:t>
      </w:r>
      <w:r>
        <w:rPr>
          <w:rFonts w:hint="eastAsia"/>
          <w:lang w:val="de-DE"/>
        </w:rPr>
        <w:t>。</w:t>
      </w:r>
      <w:r>
        <w:rPr>
          <w:rFonts w:hint="eastAsia"/>
          <w:lang w:val="de-DE"/>
        </w:rPr>
        <w:t>不過，由於絕大多數的討論都集中在公務員之特殊地位上，故以下為論述之方便只就公務員而論。</w:t>
      </w:r>
    </w:p>
  </w:footnote>
  <w:footnote w:id="26">
    <w:p w:rsidR="00000000" w:rsidRDefault="00917CC1">
      <w:pPr>
        <w:pStyle w:val="a7"/>
        <w:rPr>
          <w:rFonts w:hint="eastAsia"/>
          <w:lang w:val="de-DE"/>
        </w:rPr>
      </w:pPr>
      <w:r>
        <w:rPr>
          <w:rStyle w:val="a6"/>
        </w:rPr>
        <w:footnoteRef/>
      </w:r>
      <w:r>
        <w:rPr>
          <w:lang w:val="de-DE"/>
        </w:rPr>
        <w:t xml:space="preserve"> </w:t>
      </w:r>
      <w:r>
        <w:rPr>
          <w:rFonts w:hint="eastAsia"/>
          <w:lang w:val="de-DE"/>
        </w:rPr>
        <w:t>Schmitt,</w:t>
      </w:r>
      <w:r>
        <w:rPr>
          <w:lang w:val="de-DE"/>
        </w:rPr>
        <w:t xml:space="preserve"> Der Hüter der Verfassung, 1931, S. 111 ff.</w:t>
      </w:r>
      <w:r>
        <w:rPr>
          <w:rFonts w:hint="eastAsia"/>
        </w:rPr>
        <w:t>。引</w:t>
      </w:r>
      <w:proofErr w:type="gramStart"/>
      <w:r>
        <w:rPr>
          <w:rFonts w:hint="eastAsia"/>
        </w:rPr>
        <w:t>自</w:t>
      </w:r>
      <w:proofErr w:type="gramEnd"/>
      <w:r>
        <w:rPr>
          <w:rFonts w:hint="eastAsia"/>
        </w:rPr>
        <w:t>：</w:t>
      </w:r>
      <w:r>
        <w:rPr>
          <w:lang w:val="de-DE"/>
        </w:rPr>
        <w:t>Schlaich, 1972, S. 5 f.</w:t>
      </w:r>
      <w:r>
        <w:rPr>
          <w:rFonts w:hint="eastAsia"/>
          <w:lang w:val="de-DE"/>
        </w:rPr>
        <w:t>。</w:t>
      </w:r>
    </w:p>
  </w:footnote>
  <w:footnote w:id="27">
    <w:p w:rsidR="00000000" w:rsidRDefault="00917CC1">
      <w:pPr>
        <w:pStyle w:val="a7"/>
        <w:rPr>
          <w:rFonts w:hint="eastAsia"/>
          <w:lang w:val="de-DE"/>
        </w:rPr>
      </w:pPr>
      <w:r>
        <w:rPr>
          <w:rStyle w:val="a6"/>
        </w:rPr>
        <w:footnoteRef/>
      </w:r>
      <w:r>
        <w:rPr>
          <w:lang w:val="de-DE"/>
        </w:rPr>
        <w:t xml:space="preserve"> </w:t>
      </w:r>
      <w:r>
        <w:rPr>
          <w:lang w:val="de-DE"/>
        </w:rPr>
        <w:t>Vgl. Schlaich, a. a. O., S. 8 ff.</w:t>
      </w:r>
      <w:r>
        <w:rPr>
          <w:rFonts w:hint="eastAsia"/>
          <w:lang w:val="de-DE"/>
        </w:rPr>
        <w:t>。</w:t>
      </w:r>
    </w:p>
  </w:footnote>
  <w:footnote w:id="28">
    <w:p w:rsidR="00000000" w:rsidRDefault="00917CC1">
      <w:pPr>
        <w:pStyle w:val="a7"/>
        <w:rPr>
          <w:rFonts w:hint="eastAsia"/>
          <w:lang w:val="de-DE"/>
        </w:rPr>
      </w:pPr>
      <w:r>
        <w:rPr>
          <w:rStyle w:val="a6"/>
        </w:rPr>
        <w:footnoteRef/>
      </w:r>
      <w:r>
        <w:rPr>
          <w:lang w:val="de-DE"/>
        </w:rPr>
        <w:t xml:space="preserve"> </w:t>
      </w:r>
      <w:r>
        <w:rPr>
          <w:lang w:val="de-DE"/>
        </w:rPr>
        <w:t>Vgl. Schlaich, a. a. O., S. 48 ff.; Wagner, 1987, S. 65 f.</w:t>
      </w:r>
      <w:r>
        <w:rPr>
          <w:rFonts w:hint="eastAsia"/>
          <w:lang w:val="de-DE"/>
        </w:rPr>
        <w:t>。</w:t>
      </w:r>
    </w:p>
  </w:footnote>
  <w:footnote w:id="29">
    <w:p w:rsidR="00000000" w:rsidRDefault="00917CC1">
      <w:pPr>
        <w:pStyle w:val="a7"/>
        <w:rPr>
          <w:rFonts w:hint="eastAsia"/>
          <w:lang w:val="de-DE"/>
        </w:rPr>
      </w:pPr>
      <w:r>
        <w:rPr>
          <w:rStyle w:val="a6"/>
        </w:rPr>
        <w:footnoteRef/>
      </w:r>
      <w:r>
        <w:rPr>
          <w:lang w:val="de-DE"/>
        </w:rPr>
        <w:t xml:space="preserve"> </w:t>
      </w:r>
      <w:r>
        <w:rPr>
          <w:lang w:val="de-DE"/>
        </w:rPr>
        <w:t>Schlaich, a. a. O., S. 50 f.</w:t>
      </w:r>
      <w:r>
        <w:rPr>
          <w:rFonts w:hint="eastAsia"/>
          <w:lang w:val="de-DE"/>
        </w:rPr>
        <w:t>。</w:t>
      </w:r>
    </w:p>
  </w:footnote>
  <w:footnote w:id="30">
    <w:p w:rsidR="00000000" w:rsidRDefault="00917CC1">
      <w:pPr>
        <w:pStyle w:val="a7"/>
        <w:rPr>
          <w:rFonts w:hint="eastAsia"/>
          <w:lang w:val="de-DE"/>
        </w:rPr>
      </w:pPr>
      <w:r>
        <w:rPr>
          <w:rStyle w:val="a6"/>
        </w:rPr>
        <w:footnoteRef/>
      </w:r>
      <w:r>
        <w:rPr>
          <w:lang w:val="de-DE"/>
        </w:rPr>
        <w:t xml:space="preserve"> BVerfGE 7, 155 (162)</w:t>
      </w:r>
      <w:r>
        <w:rPr>
          <w:rFonts w:hint="eastAsia"/>
          <w:lang w:val="de-DE"/>
        </w:rPr>
        <w:t>。</w:t>
      </w:r>
    </w:p>
  </w:footnote>
  <w:footnote w:id="31">
    <w:p w:rsidR="00000000" w:rsidRDefault="00917CC1">
      <w:pPr>
        <w:pStyle w:val="a7"/>
        <w:rPr>
          <w:rFonts w:hint="eastAsia"/>
          <w:lang w:val="de-DE"/>
        </w:rPr>
      </w:pPr>
      <w:r>
        <w:rPr>
          <w:rStyle w:val="a6"/>
        </w:rPr>
        <w:footnoteRef/>
      </w:r>
      <w:r>
        <w:rPr>
          <w:lang w:val="de-DE"/>
        </w:rPr>
        <w:t xml:space="preserve"> </w:t>
      </w:r>
      <w:r>
        <w:rPr>
          <w:lang w:val="de-DE"/>
        </w:rPr>
        <w:t>Schlaich, 1972, S. 47 f.</w:t>
      </w:r>
      <w:r>
        <w:rPr>
          <w:rFonts w:hint="eastAsia"/>
          <w:lang w:val="de-DE"/>
        </w:rPr>
        <w:t>。</w:t>
      </w:r>
    </w:p>
  </w:footnote>
  <w:footnote w:id="32">
    <w:p w:rsidR="00000000" w:rsidRDefault="00917CC1">
      <w:pPr>
        <w:pStyle w:val="a7"/>
        <w:rPr>
          <w:rFonts w:hint="eastAsia"/>
          <w:lang w:val="de-DE"/>
        </w:rPr>
      </w:pPr>
      <w:r>
        <w:rPr>
          <w:rStyle w:val="a6"/>
        </w:rPr>
        <w:footnoteRef/>
      </w:r>
      <w:r>
        <w:rPr>
          <w:lang w:val="de-DE"/>
        </w:rPr>
        <w:t xml:space="preserve"> BVerfGE 7, 155 (162)</w:t>
      </w:r>
      <w:r>
        <w:rPr>
          <w:rFonts w:hint="eastAsia"/>
          <w:lang w:val="de-DE"/>
        </w:rPr>
        <w:t>。</w:t>
      </w:r>
    </w:p>
  </w:footnote>
  <w:footnote w:id="33">
    <w:p w:rsidR="00000000" w:rsidRDefault="00917CC1">
      <w:pPr>
        <w:pStyle w:val="a7"/>
        <w:rPr>
          <w:rFonts w:hint="eastAsia"/>
          <w:lang w:val="de-DE"/>
        </w:rPr>
      </w:pPr>
      <w:r>
        <w:rPr>
          <w:rStyle w:val="a6"/>
        </w:rPr>
        <w:footnoteRef/>
      </w:r>
      <w:r>
        <w:rPr>
          <w:lang w:val="de-DE"/>
        </w:rPr>
        <w:t xml:space="preserve"> </w:t>
      </w:r>
      <w:r>
        <w:rPr>
          <w:lang w:val="de-DE"/>
        </w:rPr>
        <w:t>A. a. O., S. 163</w:t>
      </w:r>
      <w:r>
        <w:rPr>
          <w:rFonts w:hint="eastAsia"/>
          <w:lang w:val="de-DE"/>
        </w:rPr>
        <w:t>。</w:t>
      </w:r>
    </w:p>
  </w:footnote>
  <w:footnote w:id="34">
    <w:p w:rsidR="00000000" w:rsidRDefault="00917CC1">
      <w:pPr>
        <w:pStyle w:val="a7"/>
        <w:rPr>
          <w:rFonts w:hint="eastAsia"/>
          <w:lang w:val="de-DE"/>
        </w:rPr>
      </w:pPr>
      <w:r>
        <w:rPr>
          <w:rStyle w:val="a6"/>
        </w:rPr>
        <w:footnoteRef/>
      </w:r>
      <w:r>
        <w:t xml:space="preserve"> </w:t>
      </w:r>
      <w:r>
        <w:rPr>
          <w:rFonts w:hint="eastAsia"/>
        </w:rPr>
        <w:t>國家對於宗教的必須保持中立</w:t>
      </w:r>
      <w:r>
        <w:rPr>
          <w:rFonts w:hint="eastAsia"/>
          <w:lang w:val="de-DE"/>
        </w:rPr>
        <w:t>，從而不得成立「國教」，此一論據可以充分地說明此所稱之</w:t>
      </w:r>
      <w:r>
        <w:rPr>
          <w:rFonts w:hint="eastAsia"/>
        </w:rPr>
        <w:t>「不得等同」的要求。</w:t>
      </w:r>
      <w:r>
        <w:rPr>
          <w:lang w:val="de-DE"/>
        </w:rPr>
        <w:t>Vgl. Schlaich, 1972, S. 21 f.</w:t>
      </w:r>
      <w:r>
        <w:rPr>
          <w:rFonts w:hint="eastAsia"/>
          <w:lang w:val="de-DE"/>
        </w:rPr>
        <w:t>。</w:t>
      </w:r>
      <w:r>
        <w:rPr>
          <w:rFonts w:hint="eastAsia"/>
        </w:rPr>
        <w:t>在公務員之中立性方面</w:t>
      </w:r>
      <w:r>
        <w:rPr>
          <w:rFonts w:hint="eastAsia"/>
          <w:lang w:val="de-DE"/>
        </w:rPr>
        <w:t>，也許以往可以聽得到的批評「法院是國民黨開的」可以說明何謂「欠缺距離」。</w:t>
      </w:r>
    </w:p>
  </w:footnote>
  <w:footnote w:id="35">
    <w:p w:rsidR="00000000" w:rsidRDefault="00917CC1">
      <w:pPr>
        <w:pStyle w:val="a7"/>
        <w:rPr>
          <w:rFonts w:hint="eastAsia"/>
          <w:lang w:val="de-DE"/>
        </w:rPr>
      </w:pPr>
      <w:r>
        <w:rPr>
          <w:rStyle w:val="a6"/>
        </w:rPr>
        <w:footnoteRef/>
      </w:r>
      <w:r>
        <w:t xml:space="preserve"> </w:t>
      </w:r>
      <w:r>
        <w:rPr>
          <w:rFonts w:hint="eastAsia"/>
        </w:rPr>
        <w:t>在公務員制度之</w:t>
      </w:r>
      <w:proofErr w:type="gramStart"/>
      <w:r>
        <w:rPr>
          <w:rFonts w:hint="eastAsia"/>
        </w:rPr>
        <w:t>工具觀下</w:t>
      </w:r>
      <w:proofErr w:type="gramEnd"/>
      <w:r>
        <w:rPr>
          <w:rFonts w:hint="eastAsia"/>
          <w:lang w:val="de-DE"/>
        </w:rPr>
        <w:t>，行政機器不只可為民主政府所用，卻</w:t>
      </w:r>
      <w:r>
        <w:rPr>
          <w:rFonts w:hint="eastAsia"/>
          <w:lang w:val="de-DE"/>
        </w:rPr>
        <w:t>也很容易與法西斯獨裁相結合。因此有認為德國於君主立憲時期所形成之具超越黨派性之公務員很輕易地就與納粹獨裁結合。</w:t>
      </w:r>
      <w:r>
        <w:t>Vgl. Wagner, 1987, S. 66</w:t>
      </w:r>
      <w:r>
        <w:rPr>
          <w:rFonts w:hint="eastAsia"/>
          <w:lang w:val="de-DE"/>
        </w:rPr>
        <w:t>。在基本法下，由於要求公務員對於國家與憲法之忠誠義務，因此對於公務員制度並非持純粹工具觀之立場。</w:t>
      </w:r>
    </w:p>
  </w:footnote>
  <w:footnote w:id="36">
    <w:p w:rsidR="00000000" w:rsidRDefault="00917CC1">
      <w:pPr>
        <w:pStyle w:val="a7"/>
        <w:rPr>
          <w:rFonts w:hint="eastAsia"/>
          <w:lang w:val="de-DE"/>
        </w:rPr>
      </w:pPr>
      <w:r>
        <w:rPr>
          <w:rStyle w:val="a6"/>
        </w:rPr>
        <w:footnoteRef/>
      </w:r>
      <w:r>
        <w:rPr>
          <w:lang w:val="de-DE"/>
        </w:rPr>
        <w:t xml:space="preserve"> </w:t>
      </w:r>
      <w:r>
        <w:rPr>
          <w:lang w:val="de-DE"/>
        </w:rPr>
        <w:t>Vgl. Battis, 1997, § 52 Rn. 3; BayVerfGH, BayVBl. 1985, 175</w:t>
      </w:r>
      <w:r>
        <w:rPr>
          <w:rFonts w:hint="eastAsia"/>
          <w:lang w:val="de-DE"/>
        </w:rPr>
        <w:t>。</w:t>
      </w:r>
    </w:p>
  </w:footnote>
  <w:footnote w:id="37">
    <w:p w:rsidR="00000000" w:rsidRDefault="00917CC1">
      <w:pPr>
        <w:pStyle w:val="a7"/>
        <w:rPr>
          <w:rFonts w:hint="eastAsia"/>
          <w:lang w:val="de-DE"/>
        </w:rPr>
      </w:pPr>
      <w:r>
        <w:rPr>
          <w:rStyle w:val="a6"/>
        </w:rPr>
        <w:footnoteRef/>
      </w:r>
      <w:r>
        <w:rPr>
          <w:lang w:val="de-DE"/>
        </w:rPr>
        <w:t xml:space="preserve"> </w:t>
      </w:r>
      <w:r>
        <w:rPr>
          <w:lang w:val="de-DE"/>
        </w:rPr>
        <w:t>Vgl. Baltes, 1973, S. 19 ff.</w:t>
      </w:r>
      <w:r>
        <w:rPr>
          <w:rFonts w:hint="eastAsia"/>
          <w:lang w:val="de-DE"/>
        </w:rPr>
        <w:t>。</w:t>
      </w:r>
    </w:p>
  </w:footnote>
  <w:footnote w:id="38">
    <w:p w:rsidR="00000000" w:rsidRDefault="00917CC1">
      <w:pPr>
        <w:pStyle w:val="a7"/>
        <w:rPr>
          <w:rFonts w:hint="eastAsia"/>
          <w:lang w:val="de-DE"/>
        </w:rPr>
      </w:pPr>
      <w:r>
        <w:rPr>
          <w:rStyle w:val="a6"/>
        </w:rPr>
        <w:footnoteRef/>
      </w:r>
      <w:r>
        <w:t xml:space="preserve"> </w:t>
      </w:r>
      <w:r>
        <w:rPr>
          <w:lang w:val="de-DE"/>
        </w:rPr>
        <w:t>Weiß, 1988, S. 117</w:t>
      </w:r>
      <w:r>
        <w:rPr>
          <w:rFonts w:hint="eastAsia"/>
          <w:lang w:val="de-DE"/>
        </w:rPr>
        <w:t>。</w:t>
      </w:r>
    </w:p>
  </w:footnote>
  <w:footnote w:id="39">
    <w:p w:rsidR="00000000" w:rsidRDefault="00917CC1">
      <w:pPr>
        <w:pStyle w:val="a7"/>
        <w:rPr>
          <w:rFonts w:hint="eastAsia"/>
          <w:lang w:val="de-DE"/>
        </w:rPr>
      </w:pPr>
      <w:r>
        <w:rPr>
          <w:rStyle w:val="a6"/>
        </w:rPr>
        <w:footnoteRef/>
      </w:r>
      <w:r>
        <w:t xml:space="preserve"> </w:t>
      </w:r>
      <w:r>
        <w:rPr>
          <w:lang w:val="de-DE"/>
        </w:rPr>
        <w:t>Battis</w:t>
      </w:r>
      <w:r>
        <w:rPr>
          <w:rFonts w:hint="eastAsia"/>
          <w:lang w:val="de-DE"/>
        </w:rPr>
        <w:t>強調，</w:t>
      </w:r>
      <w:r>
        <w:rPr>
          <w:rFonts w:hint="eastAsia"/>
          <w:lang w:val="de-DE"/>
        </w:rPr>
        <w:t>公務員在行政任務履行上之中立性在概念上應與政治中立嚴格區分。</w:t>
      </w:r>
      <w:r>
        <w:rPr>
          <w:lang w:val="de-DE"/>
        </w:rPr>
        <w:t>Vgl. ders., 1997, § 52 Rn. 6</w:t>
      </w:r>
      <w:r>
        <w:rPr>
          <w:rFonts w:hint="eastAsia"/>
          <w:lang w:val="de-DE"/>
        </w:rPr>
        <w:t>。</w:t>
      </w:r>
    </w:p>
  </w:footnote>
  <w:footnote w:id="40">
    <w:p w:rsidR="00000000" w:rsidRDefault="00917CC1">
      <w:pPr>
        <w:pStyle w:val="a7"/>
        <w:rPr>
          <w:rFonts w:hint="eastAsia"/>
          <w:lang w:val="de-DE"/>
        </w:rPr>
      </w:pPr>
      <w:r>
        <w:rPr>
          <w:rStyle w:val="a6"/>
        </w:rPr>
        <w:footnoteRef/>
      </w:r>
      <w:r>
        <w:t xml:space="preserve"> </w:t>
      </w:r>
      <w:r>
        <w:rPr>
          <w:rFonts w:hint="eastAsia"/>
        </w:rPr>
        <w:t>關於「偏頗之虞」之進一步說明</w:t>
      </w:r>
      <w:r>
        <w:rPr>
          <w:rFonts w:hint="eastAsia"/>
          <w:lang w:val="de-DE"/>
        </w:rPr>
        <w:t>，請參：</w:t>
      </w:r>
      <w:proofErr w:type="gramStart"/>
      <w:r>
        <w:rPr>
          <w:rFonts w:hint="eastAsia"/>
          <w:lang w:val="de-DE"/>
        </w:rPr>
        <w:t>張桐銳，</w:t>
      </w:r>
      <w:proofErr w:type="gramEnd"/>
      <w:r>
        <w:rPr>
          <w:lang w:val="de-DE"/>
        </w:rPr>
        <w:t>1992</w:t>
      </w:r>
      <w:r>
        <w:rPr>
          <w:rFonts w:hint="eastAsia"/>
          <w:lang w:val="de-DE"/>
        </w:rPr>
        <w:t>，頁</w:t>
      </w:r>
      <w:r>
        <w:rPr>
          <w:lang w:val="de-DE"/>
        </w:rPr>
        <w:t>76</w:t>
      </w:r>
      <w:r>
        <w:rPr>
          <w:rFonts w:hint="eastAsia"/>
          <w:lang w:val="de-DE"/>
        </w:rPr>
        <w:t>以下。</w:t>
      </w:r>
    </w:p>
  </w:footnote>
  <w:footnote w:id="41">
    <w:p w:rsidR="00000000" w:rsidRDefault="00917CC1">
      <w:pPr>
        <w:pStyle w:val="a7"/>
        <w:rPr>
          <w:rFonts w:hint="eastAsia"/>
          <w:lang w:val="de-DE"/>
        </w:rPr>
      </w:pPr>
      <w:r>
        <w:rPr>
          <w:rStyle w:val="a6"/>
        </w:rPr>
        <w:footnoteRef/>
      </w:r>
      <w:r>
        <w:rPr>
          <w:lang w:val="de-DE"/>
        </w:rPr>
        <w:t xml:space="preserve"> </w:t>
      </w:r>
      <w:r>
        <w:rPr>
          <w:rFonts w:hint="eastAsia"/>
        </w:rPr>
        <w:t>關於古典之特別權力關係理論</w:t>
      </w:r>
      <w:r>
        <w:rPr>
          <w:rFonts w:hint="eastAsia"/>
          <w:lang w:val="de-DE"/>
        </w:rPr>
        <w:t>，國內</w:t>
      </w:r>
      <w:proofErr w:type="gramStart"/>
      <w:r>
        <w:rPr>
          <w:rFonts w:hint="eastAsia"/>
          <w:lang w:val="de-DE"/>
        </w:rPr>
        <w:t>論述已豐</w:t>
      </w:r>
      <w:proofErr w:type="gramEnd"/>
      <w:r>
        <w:rPr>
          <w:rFonts w:hint="eastAsia"/>
          <w:lang w:val="de-DE"/>
        </w:rPr>
        <w:t>，在此不再詳述。請參：翁岳生，</w:t>
      </w:r>
      <w:r>
        <w:rPr>
          <w:lang w:val="de-DE"/>
        </w:rPr>
        <w:t>1985</w:t>
      </w:r>
      <w:r>
        <w:rPr>
          <w:rFonts w:hint="eastAsia"/>
          <w:lang w:val="de-DE"/>
        </w:rPr>
        <w:t>，頁</w:t>
      </w:r>
      <w:r>
        <w:rPr>
          <w:lang w:val="de-DE"/>
        </w:rPr>
        <w:t>131</w:t>
      </w:r>
      <w:r>
        <w:rPr>
          <w:rFonts w:hint="eastAsia"/>
          <w:lang w:val="de-DE"/>
        </w:rPr>
        <w:t>以下；吳庚，</w:t>
      </w:r>
      <w:r>
        <w:rPr>
          <w:lang w:val="de-DE"/>
        </w:rPr>
        <w:t>1996</w:t>
      </w:r>
      <w:r>
        <w:rPr>
          <w:rFonts w:hint="eastAsia"/>
          <w:lang w:val="de-DE"/>
        </w:rPr>
        <w:t>，頁</w:t>
      </w:r>
      <w:r>
        <w:rPr>
          <w:lang w:val="de-DE"/>
        </w:rPr>
        <w:t>192</w:t>
      </w:r>
      <w:r>
        <w:rPr>
          <w:rFonts w:hint="eastAsia"/>
          <w:lang w:val="de-DE"/>
        </w:rPr>
        <w:t>以下。</w:t>
      </w:r>
    </w:p>
  </w:footnote>
  <w:footnote w:id="42">
    <w:p w:rsidR="00000000" w:rsidRDefault="00917CC1">
      <w:pPr>
        <w:pStyle w:val="a7"/>
        <w:rPr>
          <w:rFonts w:hint="eastAsia"/>
          <w:lang w:val="de-DE"/>
        </w:rPr>
      </w:pPr>
      <w:r>
        <w:rPr>
          <w:rStyle w:val="a6"/>
        </w:rPr>
        <w:footnoteRef/>
      </w:r>
      <w:r>
        <w:t xml:space="preserve"> </w:t>
      </w:r>
      <w:r>
        <w:rPr>
          <w:rFonts w:hint="eastAsia"/>
        </w:rPr>
        <w:t>不過</w:t>
      </w:r>
      <w:r>
        <w:rPr>
          <w:rFonts w:hint="eastAsia"/>
          <w:lang w:val="de-DE"/>
        </w:rPr>
        <w:t>，</w:t>
      </w:r>
      <w:r>
        <w:rPr>
          <w:lang w:val="de-DE"/>
        </w:rPr>
        <w:t>Paul Laband</w:t>
      </w:r>
      <w:r>
        <w:rPr>
          <w:rFonts w:hint="eastAsia"/>
          <w:lang w:val="de-DE"/>
        </w:rPr>
        <w:t>雖以封建領主與家臣的關係來說明公務員關係並從而認為其非私法上的契約關係，但並未主張此一關係不受法律拘束。將特別權力關係解為不受法的支配，主要是由</w:t>
      </w:r>
      <w:r>
        <w:rPr>
          <w:lang w:val="de-DE"/>
        </w:rPr>
        <w:t>Otto Ma</w:t>
      </w:r>
      <w:r>
        <w:rPr>
          <w:lang w:val="de-DE"/>
        </w:rPr>
        <w:t>yer</w:t>
      </w:r>
      <w:r>
        <w:rPr>
          <w:rFonts w:hint="eastAsia"/>
          <w:lang w:val="de-DE"/>
        </w:rPr>
        <w:t>所建構。參：</w:t>
      </w:r>
      <w:r>
        <w:rPr>
          <w:lang w:val="de-DE"/>
        </w:rPr>
        <w:t>Schnapp, 1977, S. 55</w:t>
      </w:r>
      <w:r>
        <w:rPr>
          <w:rFonts w:hint="eastAsia"/>
          <w:lang w:val="de-DE"/>
        </w:rPr>
        <w:t>。</w:t>
      </w:r>
    </w:p>
  </w:footnote>
  <w:footnote w:id="43">
    <w:p w:rsidR="00000000" w:rsidRDefault="00917CC1">
      <w:pPr>
        <w:pStyle w:val="a7"/>
        <w:rPr>
          <w:rFonts w:hint="eastAsia"/>
          <w:lang w:val="de-DE"/>
        </w:rPr>
      </w:pPr>
      <w:r>
        <w:rPr>
          <w:rStyle w:val="a6"/>
        </w:rPr>
        <w:footnoteRef/>
      </w:r>
      <w:r>
        <w:t xml:space="preserve"> </w:t>
      </w:r>
      <w:r>
        <w:rPr>
          <w:lang w:val="de-DE"/>
        </w:rPr>
        <w:t>Vgl. Maurer, 1994, § 8 Rn. 27</w:t>
      </w:r>
      <w:r>
        <w:rPr>
          <w:rFonts w:hint="eastAsia"/>
          <w:lang w:val="de-DE"/>
        </w:rPr>
        <w:t>。</w:t>
      </w:r>
    </w:p>
  </w:footnote>
  <w:footnote w:id="44">
    <w:p w:rsidR="00000000" w:rsidRDefault="00917CC1">
      <w:pPr>
        <w:pStyle w:val="a7"/>
        <w:rPr>
          <w:rFonts w:hint="eastAsia"/>
          <w:lang w:val="de-DE"/>
        </w:rPr>
      </w:pPr>
      <w:r>
        <w:rPr>
          <w:rStyle w:val="a6"/>
        </w:rPr>
        <w:footnoteRef/>
      </w:r>
      <w:r>
        <w:rPr>
          <w:lang w:val="de-DE"/>
        </w:rPr>
        <w:t xml:space="preserve"> </w:t>
      </w:r>
      <w:r>
        <w:rPr>
          <w:rFonts w:hint="eastAsia"/>
        </w:rPr>
        <w:t>關於</w:t>
      </w:r>
      <w:r>
        <w:rPr>
          <w:rFonts w:hint="eastAsia"/>
          <w:lang w:val="de-DE"/>
        </w:rPr>
        <w:t>「不滲透理論」，參：</w:t>
      </w:r>
      <w:r>
        <w:rPr>
          <w:lang w:val="de-DE"/>
        </w:rPr>
        <w:t>Rupp, 1965, S. 19 ff.</w:t>
      </w:r>
      <w:r>
        <w:rPr>
          <w:rFonts w:hint="eastAsia"/>
          <w:lang w:val="de-DE"/>
        </w:rPr>
        <w:t>。</w:t>
      </w:r>
    </w:p>
  </w:footnote>
  <w:footnote w:id="45">
    <w:p w:rsidR="00000000" w:rsidRDefault="00917CC1">
      <w:pPr>
        <w:pStyle w:val="a7"/>
        <w:rPr>
          <w:rFonts w:hint="eastAsia"/>
          <w:lang w:val="de-DE"/>
        </w:rPr>
      </w:pPr>
      <w:r>
        <w:rPr>
          <w:rStyle w:val="a6"/>
        </w:rPr>
        <w:footnoteRef/>
      </w:r>
      <w:r>
        <w:rPr>
          <w:lang w:val="de-DE"/>
        </w:rPr>
        <w:t xml:space="preserve"> </w:t>
      </w:r>
      <w:r>
        <w:rPr>
          <w:rFonts w:hint="eastAsia"/>
        </w:rPr>
        <w:t>此一理論直到今日遺</w:t>
      </w:r>
      <w:proofErr w:type="gramStart"/>
      <w:r>
        <w:rPr>
          <w:rFonts w:hint="eastAsia"/>
        </w:rPr>
        <w:t>緒</w:t>
      </w:r>
      <w:proofErr w:type="gramEnd"/>
      <w:r>
        <w:rPr>
          <w:rFonts w:hint="eastAsia"/>
        </w:rPr>
        <w:t>猶存。德國行政程序法第</w:t>
      </w:r>
      <w:r>
        <w:rPr>
          <w:lang w:val="de-DE"/>
        </w:rPr>
        <w:t>35</w:t>
      </w:r>
      <w:r>
        <w:rPr>
          <w:rFonts w:hint="eastAsia"/>
          <w:lang w:val="de-DE"/>
        </w:rPr>
        <w:t>條對於行政處分概念之界定謂：直接「對外」發生法律效果，顯然還維持「</w:t>
      </w:r>
      <w:proofErr w:type="gramStart"/>
      <w:r>
        <w:rPr>
          <w:rFonts w:hint="eastAsia"/>
          <w:lang w:val="de-DE"/>
        </w:rPr>
        <w:t>內部」</w:t>
      </w:r>
      <w:proofErr w:type="gramEnd"/>
      <w:r>
        <w:rPr>
          <w:rFonts w:hint="eastAsia"/>
          <w:lang w:val="de-DE"/>
        </w:rPr>
        <w:t>、「</w:t>
      </w:r>
      <w:proofErr w:type="gramStart"/>
      <w:r>
        <w:rPr>
          <w:rFonts w:hint="eastAsia"/>
          <w:lang w:val="de-DE"/>
        </w:rPr>
        <w:t>外部」</w:t>
      </w:r>
      <w:proofErr w:type="gramEnd"/>
      <w:r>
        <w:rPr>
          <w:rFonts w:hint="eastAsia"/>
          <w:lang w:val="de-DE"/>
        </w:rPr>
        <w:t>之區分，雖然對「</w:t>
      </w:r>
      <w:proofErr w:type="gramStart"/>
      <w:r>
        <w:rPr>
          <w:rFonts w:hint="eastAsia"/>
          <w:lang w:val="de-DE"/>
        </w:rPr>
        <w:t>內部」</w:t>
      </w:r>
      <w:proofErr w:type="gramEnd"/>
      <w:r>
        <w:rPr>
          <w:rFonts w:hint="eastAsia"/>
          <w:lang w:val="de-DE"/>
        </w:rPr>
        <w:t>、「</w:t>
      </w:r>
      <w:proofErr w:type="gramStart"/>
      <w:r>
        <w:rPr>
          <w:rFonts w:hint="eastAsia"/>
          <w:lang w:val="de-DE"/>
        </w:rPr>
        <w:t>外部」</w:t>
      </w:r>
      <w:proofErr w:type="gramEnd"/>
      <w:r>
        <w:rPr>
          <w:rFonts w:hint="eastAsia"/>
          <w:lang w:val="de-DE"/>
        </w:rPr>
        <w:t>之解釋已與古典的「不滲透理論」不同。</w:t>
      </w:r>
    </w:p>
  </w:footnote>
  <w:footnote w:id="46">
    <w:p w:rsidR="00000000" w:rsidRDefault="00917CC1">
      <w:pPr>
        <w:pStyle w:val="a7"/>
        <w:rPr>
          <w:rFonts w:hint="eastAsia"/>
        </w:rPr>
      </w:pPr>
      <w:r>
        <w:rPr>
          <w:rStyle w:val="a6"/>
        </w:rPr>
        <w:footnoteRef/>
      </w:r>
      <w:r>
        <w:t xml:space="preserve"> </w:t>
      </w:r>
      <w:r>
        <w:rPr>
          <w:rFonts w:hint="eastAsia"/>
        </w:rPr>
        <w:t>關於</w:t>
      </w:r>
      <w:r>
        <w:rPr>
          <w:rFonts w:hint="eastAsia"/>
          <w:lang w:val="de-DE"/>
        </w:rPr>
        <w:t>「不滲透理論」之時代背景，參：</w:t>
      </w:r>
      <w:r>
        <w:rPr>
          <w:lang w:val="de-DE"/>
        </w:rPr>
        <w:t>Schnapp, 1977, S. 66 ff.</w:t>
      </w:r>
      <w:r>
        <w:rPr>
          <w:rFonts w:hint="eastAsia"/>
          <w:lang w:val="de-DE"/>
        </w:rPr>
        <w:t>。</w:t>
      </w:r>
    </w:p>
  </w:footnote>
  <w:footnote w:id="47">
    <w:p w:rsidR="00000000" w:rsidRDefault="00917CC1">
      <w:pPr>
        <w:pStyle w:val="a7"/>
        <w:rPr>
          <w:rFonts w:hint="eastAsia"/>
          <w:lang w:val="de-DE"/>
        </w:rPr>
      </w:pPr>
      <w:r>
        <w:rPr>
          <w:rStyle w:val="a6"/>
        </w:rPr>
        <w:footnoteRef/>
      </w:r>
      <w:r>
        <w:rPr>
          <w:lang w:val="de-DE"/>
        </w:rPr>
        <w:t xml:space="preserve"> </w:t>
      </w:r>
      <w:r>
        <w:rPr>
          <w:lang w:val="de-DE"/>
        </w:rPr>
        <w:t>Vgl. He</w:t>
      </w:r>
      <w:r>
        <w:rPr>
          <w:lang w:val="de-DE"/>
        </w:rPr>
        <w:t>sse, 1995, § 10, Rn. 325; Alexy</w:t>
      </w:r>
      <w:r>
        <w:rPr>
          <w:rFonts w:hint="eastAsia"/>
          <w:lang w:val="de-DE"/>
        </w:rPr>
        <w:t>,</w:t>
      </w:r>
      <w:r>
        <w:rPr>
          <w:lang w:val="de-DE"/>
        </w:rPr>
        <w:t xml:space="preserve"> 1994, S. 258</w:t>
      </w:r>
      <w:r>
        <w:rPr>
          <w:rFonts w:hint="eastAsia"/>
          <w:lang w:val="de-DE"/>
        </w:rPr>
        <w:t>。</w:t>
      </w:r>
    </w:p>
  </w:footnote>
  <w:footnote w:id="48">
    <w:p w:rsidR="00000000" w:rsidRDefault="00917CC1">
      <w:pPr>
        <w:pStyle w:val="a7"/>
        <w:rPr>
          <w:rFonts w:hint="eastAsia"/>
          <w:lang w:val="de-DE"/>
        </w:rPr>
      </w:pPr>
      <w:r>
        <w:rPr>
          <w:rStyle w:val="a6"/>
        </w:rPr>
        <w:footnoteRef/>
      </w:r>
      <w:r>
        <w:t xml:space="preserve"> </w:t>
      </w:r>
      <w:r>
        <w:rPr>
          <w:rFonts w:hint="eastAsia"/>
        </w:rPr>
        <w:t>例如吾國憲法第</w:t>
      </w:r>
      <w:r>
        <w:rPr>
          <w:lang w:val="de-DE"/>
        </w:rPr>
        <w:t>75</w:t>
      </w:r>
      <w:r>
        <w:rPr>
          <w:rFonts w:hint="eastAsia"/>
          <w:lang w:val="de-DE"/>
        </w:rPr>
        <w:t>條禁止立法委員兼任官吏，即可認為是憲法對公務員被選舉權之直接限制。</w:t>
      </w:r>
      <w:proofErr w:type="gramStart"/>
      <w:r>
        <w:rPr>
          <w:rFonts w:hint="eastAsia"/>
          <w:lang w:val="de-DE"/>
        </w:rPr>
        <w:t>詳參</w:t>
      </w:r>
      <w:proofErr w:type="gramEnd"/>
      <w:r>
        <w:rPr>
          <w:rFonts w:hint="eastAsia"/>
          <w:lang w:val="de-DE"/>
        </w:rPr>
        <w:t>：</w:t>
      </w:r>
      <w:proofErr w:type="gramStart"/>
      <w:r>
        <w:rPr>
          <w:rFonts w:hint="eastAsia"/>
          <w:lang w:val="de-DE"/>
        </w:rPr>
        <w:t>張桐銳，</w:t>
      </w:r>
      <w:proofErr w:type="gramEnd"/>
      <w:r>
        <w:rPr>
          <w:lang w:val="de-DE"/>
        </w:rPr>
        <w:t>1992</w:t>
      </w:r>
      <w:r>
        <w:rPr>
          <w:rFonts w:hint="eastAsia"/>
          <w:lang w:val="de-DE"/>
        </w:rPr>
        <w:t>，頁</w:t>
      </w:r>
      <w:r>
        <w:rPr>
          <w:lang w:val="de-DE"/>
        </w:rPr>
        <w:t>122</w:t>
      </w:r>
      <w:r>
        <w:rPr>
          <w:rFonts w:hint="eastAsia"/>
          <w:lang w:val="de-DE"/>
        </w:rPr>
        <w:t>以下。</w:t>
      </w:r>
    </w:p>
  </w:footnote>
  <w:footnote w:id="49">
    <w:p w:rsidR="00000000" w:rsidRDefault="00917CC1">
      <w:pPr>
        <w:pStyle w:val="a7"/>
        <w:rPr>
          <w:rFonts w:hint="eastAsia"/>
          <w:lang w:val="de-DE"/>
        </w:rPr>
      </w:pPr>
      <w:r>
        <w:rPr>
          <w:rStyle w:val="a6"/>
        </w:rPr>
        <w:footnoteRef/>
      </w:r>
      <w:r>
        <w:t xml:space="preserve"> </w:t>
      </w:r>
      <w:r>
        <w:rPr>
          <w:rFonts w:hint="eastAsia"/>
        </w:rPr>
        <w:t>吾國憲法第</w:t>
      </w:r>
      <w:r>
        <w:rPr>
          <w:lang w:val="de-DE"/>
        </w:rPr>
        <w:t>23</w:t>
      </w:r>
      <w:r>
        <w:rPr>
          <w:rFonts w:hint="eastAsia"/>
          <w:lang w:val="de-DE"/>
        </w:rPr>
        <w:t>條便是憲法上限制基本權之授權條款。</w:t>
      </w:r>
    </w:p>
  </w:footnote>
  <w:footnote w:id="50">
    <w:p w:rsidR="00000000" w:rsidRDefault="00917CC1">
      <w:pPr>
        <w:pStyle w:val="a7"/>
        <w:rPr>
          <w:rFonts w:hint="eastAsia"/>
          <w:lang w:val="de-DE"/>
        </w:rPr>
      </w:pPr>
      <w:r>
        <w:rPr>
          <w:rStyle w:val="a6"/>
        </w:rPr>
        <w:footnoteRef/>
      </w:r>
      <w:r>
        <w:t xml:space="preserve"> </w:t>
      </w:r>
      <w:r>
        <w:rPr>
          <w:rFonts w:hint="eastAsia"/>
        </w:rPr>
        <w:t>學說上雖提出的所謂「特別身份」、「特別拘束」或「特別法律關係」等等來取代「特別權力關係」</w:t>
      </w:r>
      <w:r>
        <w:rPr>
          <w:rFonts w:hint="eastAsia"/>
          <w:lang w:val="de-DE"/>
        </w:rPr>
        <w:t>，但涉及的只是標籤，在實質內容方面面臨的問題則無不同。參：</w:t>
      </w:r>
      <w:r>
        <w:rPr>
          <w:lang w:val="de-DE"/>
        </w:rPr>
        <w:t>Battis, 1997, § 2, Rn. 12</w:t>
      </w:r>
      <w:r>
        <w:rPr>
          <w:rFonts w:hint="eastAsia"/>
          <w:lang w:val="de-DE"/>
        </w:rPr>
        <w:t>。在用語上甚至還有為</w:t>
      </w:r>
      <w:r>
        <w:rPr>
          <w:rFonts w:hint="eastAsia"/>
        </w:rPr>
        <w:t>「特別權力關係」</w:t>
      </w:r>
      <w:r>
        <w:rPr>
          <w:rFonts w:hint="eastAsia"/>
        </w:rPr>
        <w:t>辯護</w:t>
      </w:r>
      <w:r>
        <w:rPr>
          <w:rFonts w:hint="eastAsia"/>
          <w:lang w:val="de-DE"/>
        </w:rPr>
        <w:t>，認為此一用語並無不當。參：</w:t>
      </w:r>
      <w:r>
        <w:rPr>
          <w:lang w:val="de-DE"/>
        </w:rPr>
        <w:t>Merten, 1985, S. 53 ff.</w:t>
      </w:r>
      <w:r>
        <w:rPr>
          <w:rFonts w:hint="eastAsia"/>
          <w:lang w:val="de-DE"/>
        </w:rPr>
        <w:t>。</w:t>
      </w:r>
    </w:p>
  </w:footnote>
  <w:footnote w:id="51">
    <w:p w:rsidR="00000000" w:rsidRDefault="00917CC1">
      <w:pPr>
        <w:pStyle w:val="a7"/>
        <w:rPr>
          <w:rFonts w:hint="eastAsia"/>
          <w:lang w:val="de-DE"/>
        </w:rPr>
      </w:pPr>
      <w:r>
        <w:rPr>
          <w:rStyle w:val="a6"/>
        </w:rPr>
        <w:footnoteRef/>
      </w:r>
      <w:r>
        <w:t xml:space="preserve"> </w:t>
      </w:r>
      <w:r>
        <w:rPr>
          <w:lang w:val="de-DE"/>
        </w:rPr>
        <w:t>Vgl. Hesse, 1995, § 10, Rn. 323</w:t>
      </w:r>
      <w:r>
        <w:rPr>
          <w:rFonts w:hint="eastAsia"/>
          <w:lang w:val="de-DE"/>
        </w:rPr>
        <w:t>。</w:t>
      </w:r>
    </w:p>
  </w:footnote>
  <w:footnote w:id="52">
    <w:p w:rsidR="00000000" w:rsidRDefault="00917CC1">
      <w:pPr>
        <w:pStyle w:val="a7"/>
        <w:rPr>
          <w:rFonts w:hint="eastAsia"/>
          <w:lang w:val="de-DE"/>
        </w:rPr>
      </w:pPr>
      <w:r>
        <w:rPr>
          <w:rStyle w:val="a6"/>
        </w:rPr>
        <w:footnoteRef/>
      </w:r>
      <w:r>
        <w:t xml:space="preserve"> Vgl. </w:t>
      </w:r>
      <w:r>
        <w:rPr>
          <w:lang w:val="de-DE"/>
        </w:rPr>
        <w:t>Leuze, 1998, S. 190</w:t>
      </w:r>
      <w:r>
        <w:rPr>
          <w:rFonts w:hint="eastAsia"/>
          <w:lang w:val="de-DE"/>
        </w:rPr>
        <w:t>。</w:t>
      </w:r>
    </w:p>
  </w:footnote>
  <w:footnote w:id="53">
    <w:p w:rsidR="00000000" w:rsidRDefault="00917CC1">
      <w:pPr>
        <w:pStyle w:val="a7"/>
        <w:rPr>
          <w:rFonts w:hint="eastAsia"/>
          <w:lang w:val="de-DE"/>
        </w:rPr>
      </w:pPr>
      <w:r>
        <w:rPr>
          <w:rStyle w:val="a6"/>
        </w:rPr>
        <w:footnoteRef/>
      </w:r>
      <w:r>
        <w:t xml:space="preserve"> </w:t>
      </w:r>
      <w:r>
        <w:rPr>
          <w:lang w:val="de-DE"/>
        </w:rPr>
        <w:t>Merten, 1985, S. 67 f.</w:t>
      </w:r>
      <w:r>
        <w:rPr>
          <w:rFonts w:hint="eastAsia"/>
          <w:lang w:val="de-DE"/>
        </w:rPr>
        <w:t>。</w:t>
      </w:r>
    </w:p>
  </w:footnote>
  <w:footnote w:id="54">
    <w:p w:rsidR="00000000" w:rsidRDefault="00917CC1">
      <w:pPr>
        <w:pStyle w:val="a7"/>
        <w:rPr>
          <w:rFonts w:hint="eastAsia"/>
          <w:lang w:val="de-DE"/>
        </w:rPr>
      </w:pPr>
      <w:r>
        <w:rPr>
          <w:rStyle w:val="a6"/>
        </w:rPr>
        <w:footnoteRef/>
      </w:r>
      <w:r>
        <w:t xml:space="preserve"> </w:t>
      </w:r>
      <w:r>
        <w:rPr>
          <w:lang w:val="de-DE"/>
        </w:rPr>
        <w:t>BVerfGE 33, 11</w:t>
      </w:r>
      <w:r>
        <w:rPr>
          <w:rFonts w:hint="eastAsia"/>
          <w:lang w:val="de-DE"/>
        </w:rPr>
        <w:t>。</w:t>
      </w:r>
    </w:p>
  </w:footnote>
  <w:footnote w:id="55">
    <w:p w:rsidR="00000000" w:rsidRDefault="00917CC1">
      <w:pPr>
        <w:pStyle w:val="a7"/>
        <w:rPr>
          <w:rFonts w:hint="eastAsia"/>
          <w:lang w:val="de-DE"/>
        </w:rPr>
      </w:pPr>
      <w:r>
        <w:rPr>
          <w:rStyle w:val="a6"/>
        </w:rPr>
        <w:footnoteRef/>
      </w:r>
      <w:r>
        <w:t xml:space="preserve"> </w:t>
      </w:r>
      <w:r>
        <w:rPr>
          <w:rFonts w:hint="eastAsia"/>
        </w:rPr>
        <w:t>國內文獻請參：陳新民</w:t>
      </w:r>
      <w:r>
        <w:rPr>
          <w:rFonts w:hint="eastAsia"/>
          <w:lang w:val="de-DE"/>
        </w:rPr>
        <w:t>，</w:t>
      </w:r>
      <w:r>
        <w:rPr>
          <w:lang w:val="de-DE"/>
        </w:rPr>
        <w:t>1990</w:t>
      </w:r>
      <w:r>
        <w:rPr>
          <w:rFonts w:hint="eastAsia"/>
          <w:lang w:val="de-DE"/>
        </w:rPr>
        <w:t>，頁</w:t>
      </w:r>
      <w:r>
        <w:rPr>
          <w:lang w:val="de-DE"/>
        </w:rPr>
        <w:t>203</w:t>
      </w:r>
      <w:r>
        <w:rPr>
          <w:rFonts w:hint="eastAsia"/>
          <w:lang w:val="de-DE"/>
        </w:rPr>
        <w:t>以下。</w:t>
      </w:r>
    </w:p>
  </w:footnote>
  <w:footnote w:id="56">
    <w:p w:rsidR="00000000" w:rsidRDefault="00917CC1">
      <w:pPr>
        <w:pStyle w:val="a7"/>
        <w:rPr>
          <w:rFonts w:hint="eastAsia"/>
        </w:rPr>
      </w:pPr>
      <w:r>
        <w:rPr>
          <w:rStyle w:val="a6"/>
        </w:rPr>
        <w:footnoteRef/>
      </w:r>
      <w:r>
        <w:t xml:space="preserve"> Vgl. Pieroth / Schlink, 1997, § 6, Rn. 314 ff.</w:t>
      </w:r>
      <w:r>
        <w:rPr>
          <w:rFonts w:hint="eastAsia"/>
          <w:lang w:val="de-DE"/>
        </w:rPr>
        <w:t>。</w:t>
      </w:r>
    </w:p>
  </w:footnote>
  <w:footnote w:id="57">
    <w:p w:rsidR="00000000" w:rsidRDefault="00917CC1">
      <w:pPr>
        <w:pStyle w:val="a7"/>
        <w:rPr>
          <w:rFonts w:hint="eastAsia"/>
        </w:rPr>
      </w:pPr>
      <w:r>
        <w:rPr>
          <w:rStyle w:val="a6"/>
        </w:rPr>
        <w:footnoteRef/>
      </w:r>
      <w:r>
        <w:t xml:space="preserve"> Vgl. Alexy, 1994, S. 262</w:t>
      </w:r>
      <w:r>
        <w:rPr>
          <w:rFonts w:hint="eastAsia"/>
          <w:lang w:val="de-DE"/>
        </w:rPr>
        <w:t>。</w:t>
      </w:r>
    </w:p>
  </w:footnote>
  <w:footnote w:id="58">
    <w:p w:rsidR="00000000" w:rsidRDefault="00917CC1">
      <w:pPr>
        <w:pStyle w:val="a7"/>
        <w:rPr>
          <w:rFonts w:hint="eastAsia"/>
          <w:lang w:val="de-DE"/>
        </w:rPr>
      </w:pPr>
      <w:r>
        <w:rPr>
          <w:rStyle w:val="a6"/>
        </w:rPr>
        <w:footnoteRef/>
      </w:r>
      <w:r>
        <w:rPr>
          <w:lang w:val="de-DE"/>
        </w:rPr>
        <w:t xml:space="preserve"> </w:t>
      </w:r>
      <w:r>
        <w:rPr>
          <w:rFonts w:hint="eastAsia"/>
          <w:lang w:val="de-DE"/>
        </w:rPr>
        <w:t>Me</w:t>
      </w:r>
      <w:r>
        <w:rPr>
          <w:rFonts w:hint="eastAsia"/>
          <w:lang w:val="de-DE"/>
        </w:rPr>
        <w:t>rten,</w:t>
      </w:r>
      <w:r>
        <w:rPr>
          <w:lang w:val="de-DE"/>
        </w:rPr>
        <w:t xml:space="preserve"> 1985, S. 65 ff.</w:t>
      </w:r>
      <w:r>
        <w:rPr>
          <w:rFonts w:hint="eastAsia"/>
        </w:rPr>
        <w:t>。</w:t>
      </w:r>
    </w:p>
  </w:footnote>
  <w:footnote w:id="59">
    <w:p w:rsidR="00000000" w:rsidRDefault="00917CC1">
      <w:pPr>
        <w:pStyle w:val="a7"/>
        <w:rPr>
          <w:rFonts w:hint="eastAsia"/>
          <w:lang w:val="de-DE"/>
        </w:rPr>
      </w:pPr>
      <w:r>
        <w:rPr>
          <w:rStyle w:val="a6"/>
        </w:rPr>
        <w:footnoteRef/>
      </w:r>
      <w:r>
        <w:rPr>
          <w:lang w:val="de-DE"/>
        </w:rPr>
        <w:t xml:space="preserve"> </w:t>
      </w:r>
      <w:r>
        <w:rPr>
          <w:lang w:val="de-DE"/>
        </w:rPr>
        <w:t>Vgl. Isensee, 1995, § 32, Rn. 85</w:t>
      </w:r>
      <w:r>
        <w:rPr>
          <w:rFonts w:hint="eastAsia"/>
          <w:lang w:val="de-DE"/>
        </w:rPr>
        <w:t>。</w:t>
      </w:r>
    </w:p>
  </w:footnote>
  <w:footnote w:id="60">
    <w:p w:rsidR="00000000" w:rsidRDefault="00917CC1">
      <w:pPr>
        <w:pStyle w:val="a7"/>
        <w:rPr>
          <w:rFonts w:hint="eastAsia"/>
          <w:lang w:val="de-DE"/>
        </w:rPr>
      </w:pPr>
      <w:r>
        <w:rPr>
          <w:rStyle w:val="a6"/>
        </w:rPr>
        <w:footnoteRef/>
      </w:r>
      <w:r>
        <w:rPr>
          <w:lang w:val="de-DE"/>
        </w:rPr>
        <w:t xml:space="preserve"> </w:t>
      </w:r>
      <w:r>
        <w:rPr>
          <w:rFonts w:hint="eastAsia"/>
        </w:rPr>
        <w:t>參</w:t>
      </w:r>
      <w:r>
        <w:rPr>
          <w:rFonts w:hint="eastAsia"/>
          <w:lang w:val="de-DE"/>
        </w:rPr>
        <w:t>：</w:t>
      </w:r>
      <w:r>
        <w:rPr>
          <w:rFonts w:hint="eastAsia"/>
        </w:rPr>
        <w:t>翁岳生</w:t>
      </w:r>
      <w:r>
        <w:rPr>
          <w:rFonts w:hint="eastAsia"/>
          <w:lang w:val="de-DE"/>
        </w:rPr>
        <w:t>，頁</w:t>
      </w:r>
      <w:r>
        <w:rPr>
          <w:lang w:val="de-DE"/>
        </w:rPr>
        <w:t>143</w:t>
      </w:r>
      <w:r>
        <w:rPr>
          <w:rFonts w:hint="eastAsia"/>
          <w:lang w:val="de-DE"/>
        </w:rPr>
        <w:t>以下。</w:t>
      </w:r>
    </w:p>
  </w:footnote>
  <w:footnote w:id="61">
    <w:p w:rsidR="00000000" w:rsidRDefault="00917CC1">
      <w:pPr>
        <w:pStyle w:val="a7"/>
        <w:rPr>
          <w:rFonts w:hint="eastAsia"/>
          <w:lang w:val="de-DE"/>
        </w:rPr>
      </w:pPr>
      <w:r>
        <w:rPr>
          <w:rStyle w:val="a6"/>
        </w:rPr>
        <w:footnoteRef/>
      </w:r>
      <w:r>
        <w:rPr>
          <w:lang w:val="de-DE"/>
        </w:rPr>
        <w:t xml:space="preserve"> </w:t>
      </w:r>
      <w:r>
        <w:rPr>
          <w:rFonts w:hint="eastAsia"/>
        </w:rPr>
        <w:t>關於</w:t>
      </w:r>
      <w:r>
        <w:rPr>
          <w:lang w:val="de-DE"/>
        </w:rPr>
        <w:t>Ule</w:t>
      </w:r>
      <w:r>
        <w:rPr>
          <w:rFonts w:hint="eastAsia"/>
          <w:lang w:val="de-DE"/>
        </w:rPr>
        <w:t>理論評價之整理，參：</w:t>
      </w:r>
      <w:r>
        <w:rPr>
          <w:lang w:val="de-DE"/>
        </w:rPr>
        <w:t>Püttner, 1987, S. 190 ff.</w:t>
      </w:r>
      <w:r>
        <w:rPr>
          <w:rFonts w:hint="eastAsia"/>
          <w:lang w:val="de-DE"/>
        </w:rPr>
        <w:t>。</w:t>
      </w:r>
      <w:r>
        <w:rPr>
          <w:lang w:val="de-DE"/>
        </w:rPr>
        <w:t>Püttner</w:t>
      </w:r>
      <w:r>
        <w:rPr>
          <w:rFonts w:hint="eastAsia"/>
          <w:lang w:val="de-DE"/>
        </w:rPr>
        <w:t>於本文中在面臨對</w:t>
      </w:r>
      <w:r>
        <w:rPr>
          <w:lang w:val="de-DE"/>
        </w:rPr>
        <w:t>Ule</w:t>
      </w:r>
      <w:r>
        <w:rPr>
          <w:rFonts w:hint="eastAsia"/>
          <w:lang w:val="de-DE"/>
        </w:rPr>
        <w:t>理論的眾多批判下，嘗試重新肯定</w:t>
      </w:r>
      <w:r>
        <w:rPr>
          <w:lang w:val="de-DE"/>
        </w:rPr>
        <w:t>Ule</w:t>
      </w:r>
      <w:r>
        <w:rPr>
          <w:rFonts w:hint="eastAsia"/>
          <w:lang w:val="de-DE"/>
        </w:rPr>
        <w:t>之理論。不過，時至今日，關於特別權力關係之討論，已不再以</w:t>
      </w:r>
      <w:r>
        <w:rPr>
          <w:lang w:val="de-DE"/>
        </w:rPr>
        <w:t>Ule</w:t>
      </w:r>
      <w:r>
        <w:rPr>
          <w:rFonts w:hint="eastAsia"/>
          <w:lang w:val="de-DE"/>
        </w:rPr>
        <w:t>之理論作為基調，已屬確定。</w:t>
      </w:r>
    </w:p>
  </w:footnote>
  <w:footnote w:id="62">
    <w:p w:rsidR="00000000" w:rsidRDefault="00917CC1">
      <w:pPr>
        <w:pStyle w:val="a7"/>
        <w:rPr>
          <w:rFonts w:hint="eastAsia"/>
          <w:lang w:val="de-DE"/>
        </w:rPr>
      </w:pPr>
      <w:r>
        <w:rPr>
          <w:rStyle w:val="a6"/>
        </w:rPr>
        <w:footnoteRef/>
      </w:r>
      <w:r>
        <w:rPr>
          <w:lang w:val="de-DE"/>
        </w:rPr>
        <w:t xml:space="preserve"> </w:t>
      </w:r>
      <w:r>
        <w:rPr>
          <w:lang w:val="de-DE"/>
        </w:rPr>
        <w:t>Vgl. Erichsen, 1998, § 12 Rn. 40</w:t>
      </w:r>
      <w:r>
        <w:rPr>
          <w:rFonts w:hint="eastAsia"/>
          <w:lang w:val="de-DE"/>
        </w:rPr>
        <w:t>。</w:t>
      </w:r>
    </w:p>
  </w:footnote>
  <w:footnote w:id="63">
    <w:p w:rsidR="00000000" w:rsidRDefault="00917CC1">
      <w:pPr>
        <w:pStyle w:val="a7"/>
        <w:rPr>
          <w:rFonts w:hint="eastAsia"/>
          <w:lang w:val="de-DE"/>
        </w:rPr>
      </w:pPr>
      <w:r>
        <w:rPr>
          <w:rStyle w:val="a6"/>
        </w:rPr>
        <w:footnoteRef/>
      </w:r>
      <w:r>
        <w:rPr>
          <w:lang w:val="de-DE"/>
        </w:rPr>
        <w:t xml:space="preserve"> </w:t>
      </w:r>
      <w:r>
        <w:rPr>
          <w:lang w:val="de-DE"/>
        </w:rPr>
        <w:t>Vgl. Isensee, 1995,</w:t>
      </w:r>
      <w:r>
        <w:rPr>
          <w:lang w:val="de-DE"/>
        </w:rPr>
        <w:t xml:space="preserve"> § 32 Rn. 81 ff.; Schnapp, 1977, S. 275 ff.; Leuze, 1998, S. 188 ff.</w:t>
      </w:r>
      <w:r>
        <w:rPr>
          <w:rFonts w:hint="eastAsia"/>
          <w:lang w:val="de-DE"/>
        </w:rPr>
        <w:t>。</w:t>
      </w:r>
    </w:p>
  </w:footnote>
  <w:footnote w:id="64">
    <w:p w:rsidR="00000000" w:rsidRDefault="00917CC1">
      <w:pPr>
        <w:pStyle w:val="a7"/>
        <w:rPr>
          <w:rFonts w:hint="eastAsia"/>
          <w:lang w:val="de-DE"/>
        </w:rPr>
      </w:pPr>
      <w:r>
        <w:rPr>
          <w:rStyle w:val="a6"/>
        </w:rPr>
        <w:footnoteRef/>
      </w:r>
      <w:r>
        <w:t xml:space="preserve"> </w:t>
      </w:r>
      <w:r>
        <w:rPr>
          <w:rFonts w:hint="eastAsia"/>
        </w:rPr>
        <w:t>公務員以私人或國民之身分所為之行為</w:t>
      </w:r>
      <w:r>
        <w:rPr>
          <w:rFonts w:hint="eastAsia"/>
          <w:lang w:val="de-DE"/>
        </w:rPr>
        <w:t>，不一定在下班後，在上班時間亦有可能。例如在上班時間向同事宣導某政治理念。此等行為為其基本權行使行為並無疑問，有爭議者在於其容許性，在此所涉及者乃基本權限制之問題。</w:t>
      </w:r>
    </w:p>
  </w:footnote>
  <w:footnote w:id="65">
    <w:p w:rsidR="00000000" w:rsidRDefault="00917CC1">
      <w:pPr>
        <w:pStyle w:val="a7"/>
        <w:rPr>
          <w:rFonts w:hint="eastAsia"/>
        </w:rPr>
      </w:pPr>
      <w:r>
        <w:rPr>
          <w:rStyle w:val="a6"/>
        </w:rPr>
        <w:footnoteRef/>
      </w:r>
      <w:r>
        <w:t xml:space="preserve"> Battis, 1997, § 53 Rn. 2</w:t>
      </w:r>
      <w:r>
        <w:rPr>
          <w:rFonts w:hint="eastAsia"/>
          <w:lang w:val="de-DE"/>
        </w:rPr>
        <w:t>。</w:t>
      </w:r>
    </w:p>
  </w:footnote>
  <w:footnote w:id="66">
    <w:p w:rsidR="00000000" w:rsidRDefault="00917CC1">
      <w:pPr>
        <w:pStyle w:val="a7"/>
        <w:rPr>
          <w:rFonts w:hint="eastAsia"/>
          <w:lang w:val="de-DE"/>
        </w:rPr>
      </w:pPr>
      <w:r>
        <w:rPr>
          <w:rStyle w:val="a6"/>
        </w:rPr>
        <w:footnoteRef/>
      </w:r>
      <w:r>
        <w:t xml:space="preserve"> </w:t>
      </w:r>
      <w:r>
        <w:rPr>
          <w:rFonts w:hint="eastAsia"/>
        </w:rPr>
        <w:t>參：</w:t>
      </w:r>
      <w:proofErr w:type="gramStart"/>
      <w:r>
        <w:rPr>
          <w:rFonts w:hint="eastAsia"/>
        </w:rPr>
        <w:t>張桐銳</w:t>
      </w:r>
      <w:r>
        <w:rPr>
          <w:rFonts w:hint="eastAsia"/>
          <w:lang w:val="de-DE"/>
        </w:rPr>
        <w:t>，</w:t>
      </w:r>
      <w:proofErr w:type="gramEnd"/>
      <w:r>
        <w:rPr>
          <w:lang w:val="de-DE"/>
        </w:rPr>
        <w:t>1992</w:t>
      </w:r>
      <w:r>
        <w:rPr>
          <w:rFonts w:hint="eastAsia"/>
          <w:lang w:val="de-DE"/>
        </w:rPr>
        <w:t>，頁</w:t>
      </w:r>
      <w:r>
        <w:rPr>
          <w:lang w:val="de-DE"/>
        </w:rPr>
        <w:t>14</w:t>
      </w:r>
      <w:r>
        <w:rPr>
          <w:rFonts w:hint="eastAsia"/>
          <w:lang w:val="de-DE"/>
        </w:rPr>
        <w:t>以下。</w:t>
      </w:r>
    </w:p>
  </w:footnote>
  <w:footnote w:id="67">
    <w:p w:rsidR="00000000" w:rsidRDefault="00917CC1">
      <w:pPr>
        <w:pStyle w:val="a7"/>
        <w:rPr>
          <w:lang w:val="de-DE"/>
        </w:rPr>
      </w:pPr>
      <w:r>
        <w:rPr>
          <w:rStyle w:val="a6"/>
        </w:rPr>
        <w:footnoteRef/>
      </w:r>
      <w:r>
        <w:rPr>
          <w:lang w:val="de-DE"/>
        </w:rPr>
        <w:t xml:space="preserve"> </w:t>
      </w:r>
      <w:r>
        <w:rPr>
          <w:lang w:val="de-DE"/>
        </w:rPr>
        <w:t>Schmahl, 1977, S. 20.</w:t>
      </w:r>
    </w:p>
  </w:footnote>
  <w:footnote w:id="68">
    <w:p w:rsidR="00000000" w:rsidRDefault="00917CC1">
      <w:pPr>
        <w:pStyle w:val="a7"/>
        <w:rPr>
          <w:rFonts w:hint="eastAsia"/>
          <w:lang w:val="de-DE"/>
        </w:rPr>
      </w:pPr>
      <w:r>
        <w:rPr>
          <w:rStyle w:val="a6"/>
        </w:rPr>
        <w:footnoteRef/>
      </w:r>
      <w:r>
        <w:rPr>
          <w:lang w:val="de-DE"/>
        </w:rPr>
        <w:t xml:space="preserve"> </w:t>
      </w:r>
      <w:r>
        <w:rPr>
          <w:lang w:val="de-DE"/>
        </w:rPr>
        <w:t xml:space="preserve">A. a. O., </w:t>
      </w:r>
      <w:r>
        <w:rPr>
          <w:lang w:val="de-DE"/>
        </w:rPr>
        <w:t>S. 23</w:t>
      </w:r>
      <w:r>
        <w:rPr>
          <w:rFonts w:hint="eastAsia"/>
          <w:lang w:val="de-DE"/>
        </w:rPr>
        <w:t>。</w:t>
      </w:r>
    </w:p>
  </w:footnote>
  <w:footnote w:id="69">
    <w:p w:rsidR="00000000" w:rsidRDefault="00917CC1">
      <w:pPr>
        <w:pStyle w:val="a7"/>
        <w:rPr>
          <w:rFonts w:hint="eastAsia"/>
        </w:rPr>
      </w:pPr>
      <w:r>
        <w:rPr>
          <w:rStyle w:val="a6"/>
        </w:rPr>
        <w:footnoteRef/>
      </w:r>
      <w:r>
        <w:t xml:space="preserve"> Vgl. a. a. O.</w:t>
      </w:r>
      <w:r>
        <w:rPr>
          <w:rFonts w:hint="eastAsia"/>
        </w:rPr>
        <w:t>，</w:t>
      </w:r>
      <w:r>
        <w:t xml:space="preserve"> S 23 ff.</w:t>
      </w:r>
      <w:r>
        <w:rPr>
          <w:rFonts w:hint="eastAsia"/>
        </w:rPr>
        <w:t>。</w:t>
      </w:r>
    </w:p>
  </w:footnote>
  <w:footnote w:id="70">
    <w:p w:rsidR="00000000" w:rsidRDefault="00917CC1">
      <w:pPr>
        <w:pStyle w:val="a7"/>
        <w:rPr>
          <w:rFonts w:hint="eastAsia"/>
        </w:rPr>
      </w:pPr>
      <w:r>
        <w:rPr>
          <w:rStyle w:val="a6"/>
        </w:rPr>
        <w:footnoteRef/>
      </w:r>
      <w:r>
        <w:t xml:space="preserve"> A. a. O.</w:t>
      </w:r>
      <w:r>
        <w:rPr>
          <w:rFonts w:hint="eastAsia"/>
        </w:rPr>
        <w:t>,</w:t>
      </w:r>
      <w:r>
        <w:t xml:space="preserve"> S. 27 ff.</w:t>
      </w:r>
      <w:r>
        <w:rPr>
          <w:rFonts w:hint="eastAsia"/>
          <w:lang w:val="de-DE"/>
        </w:rPr>
        <w:t>。</w:t>
      </w:r>
    </w:p>
  </w:footnote>
  <w:footnote w:id="71">
    <w:p w:rsidR="00000000" w:rsidRDefault="00917CC1">
      <w:pPr>
        <w:pStyle w:val="a7"/>
        <w:rPr>
          <w:rFonts w:hint="eastAsia"/>
        </w:rPr>
      </w:pPr>
      <w:r>
        <w:rPr>
          <w:rStyle w:val="a6"/>
        </w:rPr>
        <w:footnoteRef/>
      </w:r>
      <w:r>
        <w:t xml:space="preserve"> A. a. O., S. 41</w:t>
      </w:r>
      <w:r>
        <w:rPr>
          <w:rFonts w:hint="eastAsia"/>
          <w:lang w:val="de-DE"/>
        </w:rPr>
        <w:t>。</w:t>
      </w:r>
    </w:p>
  </w:footnote>
  <w:footnote w:id="72">
    <w:p w:rsidR="00000000" w:rsidRDefault="00917CC1">
      <w:pPr>
        <w:pStyle w:val="a7"/>
        <w:rPr>
          <w:rFonts w:hint="eastAsia"/>
        </w:rPr>
      </w:pPr>
      <w:r>
        <w:rPr>
          <w:rStyle w:val="a6"/>
        </w:rPr>
        <w:footnoteRef/>
      </w:r>
      <w:r>
        <w:t xml:space="preserve"> A. a. O., S. 33</w:t>
      </w:r>
      <w:r>
        <w:rPr>
          <w:rFonts w:hint="eastAsia"/>
          <w:lang w:val="de-DE"/>
        </w:rPr>
        <w:t>。</w:t>
      </w:r>
    </w:p>
  </w:footnote>
  <w:footnote w:id="73">
    <w:p w:rsidR="00000000" w:rsidRDefault="00917CC1">
      <w:pPr>
        <w:pStyle w:val="a7"/>
        <w:rPr>
          <w:rFonts w:hint="eastAsia"/>
        </w:rPr>
      </w:pPr>
      <w:r>
        <w:rPr>
          <w:rStyle w:val="a6"/>
        </w:rPr>
        <w:footnoteRef/>
      </w:r>
      <w:r>
        <w:t xml:space="preserve"> A. a. O., S. 35 ff.</w:t>
      </w:r>
      <w:r>
        <w:rPr>
          <w:rFonts w:hint="eastAsia"/>
          <w:lang w:val="de-DE"/>
        </w:rPr>
        <w:t>。</w:t>
      </w:r>
    </w:p>
  </w:footnote>
  <w:footnote w:id="74">
    <w:p w:rsidR="00000000" w:rsidRDefault="00917CC1">
      <w:pPr>
        <w:pStyle w:val="a7"/>
        <w:rPr>
          <w:rFonts w:hint="eastAsia"/>
        </w:rPr>
      </w:pPr>
      <w:r>
        <w:rPr>
          <w:rStyle w:val="a6"/>
        </w:rPr>
        <w:footnoteRef/>
      </w:r>
      <w:r>
        <w:t xml:space="preserve"> A. a. O., S. 55 ff.</w:t>
      </w:r>
      <w:r>
        <w:rPr>
          <w:rFonts w:hint="eastAsia"/>
          <w:lang w:val="de-DE"/>
        </w:rPr>
        <w:t>。</w:t>
      </w:r>
    </w:p>
  </w:footnote>
  <w:footnote w:id="75">
    <w:p w:rsidR="00000000" w:rsidRDefault="00917CC1">
      <w:pPr>
        <w:pStyle w:val="a7"/>
        <w:rPr>
          <w:rFonts w:hint="eastAsia"/>
        </w:rPr>
      </w:pPr>
      <w:r>
        <w:rPr>
          <w:rStyle w:val="a6"/>
        </w:rPr>
        <w:footnoteRef/>
      </w:r>
      <w:r>
        <w:t xml:space="preserve"> A. a. O., S. 72 ff.</w:t>
      </w:r>
      <w:r>
        <w:rPr>
          <w:rFonts w:hint="eastAsia"/>
          <w:lang w:val="de-DE"/>
        </w:rPr>
        <w:t>。</w:t>
      </w:r>
    </w:p>
  </w:footnote>
  <w:footnote w:id="76">
    <w:p w:rsidR="00000000" w:rsidRDefault="00917CC1">
      <w:pPr>
        <w:pStyle w:val="a7"/>
        <w:rPr>
          <w:rFonts w:hint="eastAsia"/>
        </w:rPr>
      </w:pPr>
      <w:r>
        <w:rPr>
          <w:rStyle w:val="a6"/>
        </w:rPr>
        <w:footnoteRef/>
      </w:r>
      <w:r>
        <w:t xml:space="preserve"> Battis, 1997, § 2 Rn. 7</w:t>
      </w:r>
      <w:r>
        <w:rPr>
          <w:rFonts w:hint="eastAsia"/>
          <w:lang w:val="de-DE"/>
        </w:rPr>
        <w:t>。</w:t>
      </w:r>
    </w:p>
  </w:footnote>
  <w:footnote w:id="77">
    <w:p w:rsidR="00000000" w:rsidRDefault="00917CC1">
      <w:pPr>
        <w:pStyle w:val="a7"/>
        <w:rPr>
          <w:rFonts w:hint="eastAsia"/>
        </w:rPr>
      </w:pPr>
      <w:r>
        <w:rPr>
          <w:rStyle w:val="a6"/>
        </w:rPr>
        <w:footnoteRef/>
      </w:r>
      <w:r>
        <w:t xml:space="preserve"> BVerfGE 39, 334 (346 f.)</w:t>
      </w:r>
      <w:r>
        <w:rPr>
          <w:rFonts w:hint="eastAsia"/>
          <w:lang w:val="de-DE"/>
        </w:rPr>
        <w:t>。</w:t>
      </w:r>
    </w:p>
  </w:footnote>
  <w:footnote w:id="78">
    <w:p w:rsidR="00000000" w:rsidRDefault="00917CC1">
      <w:pPr>
        <w:pStyle w:val="a7"/>
        <w:rPr>
          <w:rFonts w:hint="eastAsia"/>
        </w:rPr>
      </w:pPr>
      <w:r>
        <w:rPr>
          <w:rStyle w:val="a6"/>
        </w:rPr>
        <w:footnoteRef/>
      </w:r>
      <w:r>
        <w:t xml:space="preserve"> A. a. O., S. 367</w:t>
      </w:r>
      <w:r>
        <w:rPr>
          <w:rFonts w:hint="eastAsia"/>
          <w:lang w:val="de-DE"/>
        </w:rPr>
        <w:t>。</w:t>
      </w:r>
    </w:p>
  </w:footnote>
  <w:footnote w:id="79">
    <w:p w:rsidR="00000000" w:rsidRDefault="00917CC1">
      <w:pPr>
        <w:pStyle w:val="a7"/>
        <w:rPr>
          <w:rFonts w:hint="eastAsia"/>
          <w:lang w:val="de-DE"/>
        </w:rPr>
      </w:pPr>
      <w:r>
        <w:rPr>
          <w:rStyle w:val="a6"/>
        </w:rPr>
        <w:footnoteRef/>
      </w:r>
      <w:r>
        <w:t xml:space="preserve"> Weiß</w:t>
      </w:r>
      <w:r>
        <w:rPr>
          <w:rFonts w:hint="eastAsia"/>
        </w:rPr>
        <w:t>認為</w:t>
      </w:r>
      <w:r>
        <w:rPr>
          <w:rFonts w:hint="eastAsia"/>
          <w:lang w:val="de-DE"/>
        </w:rPr>
        <w:t>，慎重與節制義務本</w:t>
      </w:r>
      <w:r>
        <w:rPr>
          <w:rFonts w:hint="eastAsia"/>
          <w:lang w:val="de-DE"/>
        </w:rPr>
        <w:t>身雖非屬職業公務員制度之傳統原則，但公務員法中關於慎重與節制義務之條款中所包含的基本思想，亦即公務員受到廣泛的政治自由保障，僅於職業上所必要的限度內受到限制，乃是根源於威瑪憲法第</w:t>
      </w:r>
      <w:r>
        <w:rPr>
          <w:lang w:val="de-DE"/>
        </w:rPr>
        <w:t>130</w:t>
      </w:r>
      <w:r>
        <w:rPr>
          <w:rFonts w:hint="eastAsia"/>
          <w:lang w:val="de-DE"/>
        </w:rPr>
        <w:t>條第</w:t>
      </w:r>
      <w:r>
        <w:rPr>
          <w:lang w:val="de-DE"/>
        </w:rPr>
        <w:t>2</w:t>
      </w:r>
      <w:r>
        <w:rPr>
          <w:rFonts w:hint="eastAsia"/>
          <w:lang w:val="de-DE"/>
        </w:rPr>
        <w:t>項所保障之政治信念自由之傳統原則。</w:t>
      </w:r>
      <w:r>
        <w:rPr>
          <w:lang w:val="de-DE"/>
        </w:rPr>
        <w:t>Vgl. ders., 1988, S. 111</w:t>
      </w:r>
      <w:r>
        <w:rPr>
          <w:rFonts w:hint="eastAsia"/>
          <w:lang w:val="de-DE"/>
        </w:rPr>
        <w:t>。</w:t>
      </w:r>
    </w:p>
  </w:footnote>
  <w:footnote w:id="80">
    <w:p w:rsidR="00000000" w:rsidRDefault="00917CC1">
      <w:pPr>
        <w:pStyle w:val="a7"/>
        <w:rPr>
          <w:rFonts w:hint="eastAsia"/>
        </w:rPr>
      </w:pPr>
      <w:r>
        <w:rPr>
          <w:rStyle w:val="a6"/>
        </w:rPr>
        <w:footnoteRef/>
      </w:r>
      <w:r>
        <w:t xml:space="preserve"> </w:t>
      </w:r>
      <w:r>
        <w:rPr>
          <w:rFonts w:hint="eastAsia"/>
        </w:rPr>
        <w:t>在本案中受審查之對象乃是漢堡公務員法第</w:t>
      </w:r>
      <w:r>
        <w:rPr>
          <w:lang w:val="de-DE"/>
        </w:rPr>
        <w:t>58</w:t>
      </w:r>
      <w:r>
        <w:rPr>
          <w:rFonts w:hint="eastAsia"/>
          <w:lang w:val="de-DE"/>
        </w:rPr>
        <w:t>條，其內容</w:t>
      </w:r>
      <w:r>
        <w:rPr>
          <w:rFonts w:hint="eastAsia"/>
        </w:rPr>
        <w:t>與聯邦公務員法第</w:t>
      </w:r>
      <w:r>
        <w:rPr>
          <w:lang w:val="de-DE"/>
        </w:rPr>
        <w:t>53</w:t>
      </w:r>
      <w:r>
        <w:rPr>
          <w:rFonts w:hint="eastAsia"/>
          <w:lang w:val="de-DE"/>
        </w:rPr>
        <w:t>條一樣，皆規定公務員於政治活動時之慎重與節制義務。</w:t>
      </w:r>
    </w:p>
  </w:footnote>
  <w:footnote w:id="81">
    <w:p w:rsidR="00000000" w:rsidRDefault="00917CC1">
      <w:pPr>
        <w:pStyle w:val="a7"/>
        <w:rPr>
          <w:rFonts w:hint="eastAsia"/>
        </w:rPr>
      </w:pPr>
      <w:r>
        <w:rPr>
          <w:rStyle w:val="a6"/>
        </w:rPr>
        <w:footnoteRef/>
      </w:r>
      <w:r>
        <w:t xml:space="preserve"> BVerwGE 84, 292 (297)</w:t>
      </w:r>
      <w:r>
        <w:rPr>
          <w:rFonts w:hint="eastAsia"/>
          <w:lang w:val="de-DE"/>
        </w:rPr>
        <w:t>。</w:t>
      </w:r>
    </w:p>
  </w:footnote>
  <w:footnote w:id="82">
    <w:p w:rsidR="00000000" w:rsidRDefault="00917CC1">
      <w:pPr>
        <w:pStyle w:val="a7"/>
        <w:rPr>
          <w:rFonts w:hint="eastAsia"/>
        </w:rPr>
      </w:pPr>
      <w:r>
        <w:rPr>
          <w:rStyle w:val="a6"/>
        </w:rPr>
        <w:footnoteRef/>
      </w:r>
      <w:r>
        <w:t xml:space="preserve"> A. a. O., S. 294</w:t>
      </w:r>
      <w:r>
        <w:rPr>
          <w:rFonts w:hint="eastAsia"/>
          <w:lang w:val="de-DE"/>
        </w:rPr>
        <w:t>。</w:t>
      </w:r>
    </w:p>
  </w:footnote>
  <w:footnote w:id="83">
    <w:p w:rsidR="00000000" w:rsidRDefault="00917CC1">
      <w:pPr>
        <w:pStyle w:val="a7"/>
        <w:rPr>
          <w:rFonts w:hint="eastAsia"/>
        </w:rPr>
      </w:pPr>
      <w:r>
        <w:rPr>
          <w:rStyle w:val="a6"/>
        </w:rPr>
        <w:footnoteRef/>
      </w:r>
      <w:r>
        <w:t xml:space="preserve"> Kokott,</w:t>
      </w:r>
      <w:r>
        <w:t xml:space="preserve"> 1999, Rn. 3</w:t>
      </w:r>
      <w:r>
        <w:rPr>
          <w:rFonts w:hint="eastAsia"/>
          <w:lang w:val="de-DE"/>
        </w:rPr>
        <w:t>。</w:t>
      </w:r>
    </w:p>
  </w:footnote>
  <w:footnote w:id="84">
    <w:p w:rsidR="00000000" w:rsidRDefault="00917CC1">
      <w:pPr>
        <w:pStyle w:val="a7"/>
        <w:rPr>
          <w:rFonts w:hint="eastAsia"/>
        </w:rPr>
      </w:pPr>
      <w:r>
        <w:rPr>
          <w:rStyle w:val="a6"/>
        </w:rPr>
        <w:footnoteRef/>
      </w:r>
      <w:r>
        <w:t xml:space="preserve"> A. a. O., Rn. 14</w:t>
      </w:r>
      <w:r>
        <w:rPr>
          <w:rFonts w:hint="eastAsia"/>
          <w:lang w:val="de-DE"/>
        </w:rPr>
        <w:t>。</w:t>
      </w:r>
    </w:p>
  </w:footnote>
  <w:footnote w:id="85">
    <w:p w:rsidR="00000000" w:rsidRDefault="00917CC1">
      <w:pPr>
        <w:pStyle w:val="a7"/>
        <w:rPr>
          <w:rFonts w:hint="eastAsia"/>
          <w:lang w:val="de-DE"/>
        </w:rPr>
      </w:pPr>
      <w:r>
        <w:rPr>
          <w:rStyle w:val="a6"/>
        </w:rPr>
        <w:footnoteRef/>
      </w:r>
      <w:r>
        <w:t xml:space="preserve"> </w:t>
      </w:r>
      <w:r>
        <w:rPr>
          <w:rFonts w:hint="eastAsia"/>
        </w:rPr>
        <w:t>聯邦公務員法第</w:t>
      </w:r>
      <w:r>
        <w:rPr>
          <w:lang w:val="de-DE"/>
        </w:rPr>
        <w:t>54</w:t>
      </w:r>
      <w:r>
        <w:rPr>
          <w:rFonts w:hint="eastAsia"/>
          <w:lang w:val="de-DE"/>
        </w:rPr>
        <w:t>條第</w:t>
      </w:r>
      <w:r>
        <w:rPr>
          <w:lang w:val="de-DE"/>
        </w:rPr>
        <w:t>3</w:t>
      </w:r>
      <w:r>
        <w:rPr>
          <w:rFonts w:hint="eastAsia"/>
          <w:lang w:val="de-DE"/>
        </w:rPr>
        <w:t>句，公務員法第</w:t>
      </w:r>
      <w:r>
        <w:rPr>
          <w:lang w:val="de-DE"/>
        </w:rPr>
        <w:t>36</w:t>
      </w:r>
      <w:r>
        <w:rPr>
          <w:rFonts w:hint="eastAsia"/>
          <w:lang w:val="de-DE"/>
        </w:rPr>
        <w:t>條第</w:t>
      </w:r>
      <w:r>
        <w:rPr>
          <w:lang w:val="de-DE"/>
        </w:rPr>
        <w:t>3</w:t>
      </w:r>
      <w:r>
        <w:rPr>
          <w:rFonts w:hint="eastAsia"/>
          <w:lang w:val="de-DE"/>
        </w:rPr>
        <w:t>句規定：「公務員職務內、外之行為都必須是符合其職業所要求之尊重與信賴之適切行為。</w:t>
      </w:r>
    </w:p>
  </w:footnote>
  <w:footnote w:id="86">
    <w:p w:rsidR="00000000" w:rsidRDefault="00917CC1">
      <w:pPr>
        <w:pStyle w:val="a7"/>
        <w:rPr>
          <w:rFonts w:hint="eastAsia"/>
          <w:lang w:val="de-DE"/>
        </w:rPr>
      </w:pPr>
      <w:r>
        <w:rPr>
          <w:rStyle w:val="a6"/>
        </w:rPr>
        <w:footnoteRef/>
      </w:r>
      <w:r>
        <w:rPr>
          <w:lang w:val="de-DE"/>
        </w:rPr>
        <w:t xml:space="preserve"> </w:t>
      </w:r>
      <w:r>
        <w:rPr>
          <w:lang w:val="de-DE"/>
        </w:rPr>
        <w:t>Weiß, 1971, S. 50</w:t>
      </w:r>
      <w:r>
        <w:rPr>
          <w:rFonts w:hint="eastAsia"/>
          <w:lang w:val="de-DE"/>
        </w:rPr>
        <w:t>。</w:t>
      </w:r>
    </w:p>
  </w:footnote>
  <w:footnote w:id="87">
    <w:p w:rsidR="00000000" w:rsidRDefault="00917CC1">
      <w:pPr>
        <w:pStyle w:val="a7"/>
        <w:rPr>
          <w:rFonts w:hint="eastAsia"/>
          <w:lang w:val="de-DE"/>
        </w:rPr>
      </w:pPr>
      <w:r>
        <w:rPr>
          <w:rStyle w:val="a6"/>
        </w:rPr>
        <w:footnoteRef/>
      </w:r>
      <w:r>
        <w:rPr>
          <w:lang w:val="de-DE"/>
        </w:rPr>
        <w:t xml:space="preserve"> </w:t>
      </w:r>
      <w:r>
        <w:rPr>
          <w:lang w:val="de-DE"/>
        </w:rPr>
        <w:t>Frowein, 1967, S. 18, Fn. 49</w:t>
      </w:r>
      <w:r>
        <w:rPr>
          <w:rFonts w:hint="eastAsia"/>
          <w:lang w:val="de-DE"/>
        </w:rPr>
        <w:t>。</w:t>
      </w:r>
    </w:p>
  </w:footnote>
  <w:footnote w:id="88">
    <w:p w:rsidR="00000000" w:rsidRDefault="00917CC1">
      <w:pPr>
        <w:pStyle w:val="a7"/>
        <w:rPr>
          <w:rFonts w:hint="eastAsia"/>
          <w:lang w:val="de-DE"/>
        </w:rPr>
      </w:pPr>
      <w:r>
        <w:rPr>
          <w:rStyle w:val="a6"/>
        </w:rPr>
        <w:footnoteRef/>
      </w:r>
      <w:r>
        <w:rPr>
          <w:lang w:val="de-DE"/>
        </w:rPr>
        <w:t xml:space="preserve"> </w:t>
      </w:r>
      <w:r>
        <w:rPr>
          <w:lang w:val="de-DE"/>
        </w:rPr>
        <w:t>Vgl. Weiß, 1988, S. 109, Fn. 2</w:t>
      </w:r>
      <w:r>
        <w:rPr>
          <w:rFonts w:hint="eastAsia"/>
          <w:lang w:val="de-DE"/>
        </w:rPr>
        <w:t>。</w:t>
      </w:r>
    </w:p>
  </w:footnote>
  <w:footnote w:id="89">
    <w:p w:rsidR="00000000" w:rsidRDefault="00917CC1">
      <w:pPr>
        <w:pStyle w:val="a7"/>
        <w:rPr>
          <w:rFonts w:hint="eastAsia"/>
          <w:lang w:val="de-DE"/>
        </w:rPr>
      </w:pPr>
      <w:r>
        <w:rPr>
          <w:rStyle w:val="a6"/>
        </w:rPr>
        <w:footnoteRef/>
      </w:r>
      <w:r>
        <w:t xml:space="preserve"> </w:t>
      </w:r>
      <w:r>
        <w:rPr>
          <w:rFonts w:hint="eastAsia"/>
        </w:rPr>
        <w:t>關於法官法第</w:t>
      </w:r>
      <w:r>
        <w:rPr>
          <w:lang w:val="de-DE"/>
        </w:rPr>
        <w:t>39</w:t>
      </w:r>
      <w:r>
        <w:rPr>
          <w:rFonts w:hint="eastAsia"/>
          <w:lang w:val="de-DE"/>
        </w:rPr>
        <w:t>條立法過程之進一步介紹，參：</w:t>
      </w:r>
      <w:proofErr w:type="gramStart"/>
      <w:r>
        <w:rPr>
          <w:rFonts w:hint="eastAsia"/>
          <w:lang w:val="de-DE"/>
        </w:rPr>
        <w:t>張桐銳，</w:t>
      </w:r>
      <w:proofErr w:type="gramEnd"/>
      <w:r>
        <w:rPr>
          <w:lang w:val="de-DE"/>
        </w:rPr>
        <w:t>1992</w:t>
      </w:r>
      <w:r>
        <w:rPr>
          <w:rFonts w:hint="eastAsia"/>
          <w:lang w:val="de-DE"/>
        </w:rPr>
        <w:t>，頁</w:t>
      </w:r>
      <w:r>
        <w:rPr>
          <w:lang w:val="de-DE"/>
        </w:rPr>
        <w:t>26</w:t>
      </w:r>
      <w:r>
        <w:rPr>
          <w:rFonts w:hint="eastAsia"/>
          <w:lang w:val="de-DE"/>
        </w:rPr>
        <w:t>以下。</w:t>
      </w:r>
    </w:p>
  </w:footnote>
  <w:footnote w:id="90">
    <w:p w:rsidR="00000000" w:rsidRDefault="00917CC1">
      <w:pPr>
        <w:pStyle w:val="a7"/>
        <w:rPr>
          <w:rFonts w:hint="eastAsia"/>
          <w:lang w:val="de-DE"/>
        </w:rPr>
      </w:pPr>
      <w:r>
        <w:rPr>
          <w:rStyle w:val="a6"/>
        </w:rPr>
        <w:footnoteRef/>
      </w:r>
      <w:r>
        <w:rPr>
          <w:lang w:val="de-DE"/>
        </w:rPr>
        <w:t xml:space="preserve"> </w:t>
      </w:r>
      <w:r>
        <w:rPr>
          <w:lang w:val="de-DE"/>
        </w:rPr>
        <w:t>Vgl. BVerwGE 78, 216 (219)</w:t>
      </w:r>
      <w:r>
        <w:rPr>
          <w:lang w:val="de-DE"/>
        </w:rPr>
        <w:t>; Schmidt-Räntsch, 1995, § 39 Rn. 4 ff.</w:t>
      </w:r>
      <w:r>
        <w:rPr>
          <w:rFonts w:hint="eastAsia"/>
          <w:lang w:val="de-DE"/>
        </w:rPr>
        <w:t>。</w:t>
      </w:r>
    </w:p>
  </w:footnote>
  <w:footnote w:id="91">
    <w:p w:rsidR="00000000" w:rsidRDefault="00917CC1">
      <w:pPr>
        <w:pStyle w:val="a7"/>
        <w:rPr>
          <w:rFonts w:hint="eastAsia"/>
          <w:lang w:val="de-DE"/>
        </w:rPr>
      </w:pPr>
      <w:r>
        <w:rPr>
          <w:rStyle w:val="a6"/>
        </w:rPr>
        <w:footnoteRef/>
      </w:r>
      <w:r>
        <w:rPr>
          <w:lang w:val="de-DE"/>
        </w:rPr>
        <w:t xml:space="preserve"> </w:t>
      </w:r>
      <w:r>
        <w:rPr>
          <w:lang w:val="de-DE"/>
        </w:rPr>
        <w:t>BAG, NJW 1982, S. 2888 f.</w:t>
      </w:r>
      <w:r>
        <w:rPr>
          <w:rFonts w:hint="eastAsia"/>
          <w:lang w:val="de-DE"/>
        </w:rPr>
        <w:t>。</w:t>
      </w:r>
    </w:p>
  </w:footnote>
  <w:footnote w:id="92">
    <w:p w:rsidR="00000000" w:rsidRDefault="00917CC1">
      <w:pPr>
        <w:pStyle w:val="a7"/>
        <w:rPr>
          <w:rFonts w:hint="eastAsia"/>
          <w:lang w:val="de-DE"/>
        </w:rPr>
      </w:pPr>
      <w:r>
        <w:rPr>
          <w:rStyle w:val="a6"/>
        </w:rPr>
        <w:footnoteRef/>
      </w:r>
      <w:r>
        <w:rPr>
          <w:lang w:val="de-DE"/>
        </w:rPr>
        <w:t xml:space="preserve"> </w:t>
      </w:r>
      <w:r>
        <w:rPr>
          <w:lang w:val="de-DE"/>
        </w:rPr>
        <w:t>Weiß, 1971, S. 50</w:t>
      </w:r>
      <w:r>
        <w:rPr>
          <w:rFonts w:hint="eastAsia"/>
          <w:lang w:val="de-DE"/>
        </w:rPr>
        <w:t>。</w:t>
      </w:r>
    </w:p>
  </w:footnote>
  <w:footnote w:id="93">
    <w:p w:rsidR="00000000" w:rsidRDefault="00917CC1">
      <w:pPr>
        <w:pStyle w:val="a7"/>
        <w:rPr>
          <w:rFonts w:hint="eastAsia"/>
        </w:rPr>
      </w:pPr>
      <w:r>
        <w:rPr>
          <w:rStyle w:val="a6"/>
        </w:rPr>
        <w:footnoteRef/>
      </w:r>
      <w:r>
        <w:t xml:space="preserve"> Battis, 1997, § 77 Rn. 9</w:t>
      </w:r>
      <w:r>
        <w:rPr>
          <w:rFonts w:hint="eastAsia"/>
          <w:lang w:val="de-DE"/>
        </w:rPr>
        <w:t>。</w:t>
      </w:r>
    </w:p>
  </w:footnote>
  <w:footnote w:id="94">
    <w:p w:rsidR="00000000" w:rsidRDefault="00917CC1">
      <w:pPr>
        <w:pStyle w:val="a7"/>
        <w:rPr>
          <w:rFonts w:hint="eastAsia"/>
          <w:lang w:val="de-DE"/>
        </w:rPr>
      </w:pPr>
      <w:r>
        <w:rPr>
          <w:rStyle w:val="a6"/>
        </w:rPr>
        <w:footnoteRef/>
      </w:r>
      <w:r>
        <w:rPr>
          <w:lang w:val="de-DE"/>
        </w:rPr>
        <w:t xml:space="preserve"> </w:t>
      </w:r>
      <w:r>
        <w:rPr>
          <w:lang w:val="de-DE"/>
        </w:rPr>
        <w:t>Weiß, 1988, S. 116</w:t>
      </w:r>
      <w:r>
        <w:rPr>
          <w:rFonts w:hint="eastAsia"/>
          <w:lang w:val="de-DE"/>
        </w:rPr>
        <w:t>。</w:t>
      </w:r>
    </w:p>
  </w:footnote>
  <w:footnote w:id="95">
    <w:p w:rsidR="00000000" w:rsidRDefault="00917CC1">
      <w:pPr>
        <w:pStyle w:val="a7"/>
        <w:rPr>
          <w:rFonts w:hint="eastAsia"/>
          <w:lang w:val="de-DE"/>
        </w:rPr>
      </w:pPr>
      <w:r>
        <w:rPr>
          <w:rStyle w:val="a6"/>
        </w:rPr>
        <w:footnoteRef/>
      </w:r>
      <w:r>
        <w:rPr>
          <w:lang w:val="de-DE"/>
        </w:rPr>
        <w:t xml:space="preserve"> BVerwGE 78, 216 f.</w:t>
      </w:r>
      <w:r>
        <w:rPr>
          <w:rFonts w:hint="eastAsia"/>
        </w:rPr>
        <w:t>。</w:t>
      </w:r>
    </w:p>
  </w:footnote>
  <w:footnote w:id="96">
    <w:p w:rsidR="00000000" w:rsidRDefault="00917CC1">
      <w:pPr>
        <w:pStyle w:val="a7"/>
        <w:rPr>
          <w:rFonts w:hint="eastAsia"/>
          <w:lang w:val="de-DE"/>
        </w:rPr>
      </w:pPr>
      <w:r>
        <w:rPr>
          <w:rStyle w:val="a6"/>
        </w:rPr>
        <w:footnoteRef/>
      </w:r>
      <w:r>
        <w:rPr>
          <w:lang w:val="de-DE"/>
        </w:rPr>
        <w:t xml:space="preserve"> BVerwGE 78, 216 (221); BVerwGE 84, 292 (294)</w:t>
      </w:r>
      <w:r>
        <w:rPr>
          <w:rFonts w:hint="eastAsia"/>
          <w:lang w:val="de-DE"/>
        </w:rPr>
        <w:t>。</w:t>
      </w:r>
    </w:p>
  </w:footnote>
  <w:footnote w:id="97">
    <w:p w:rsidR="00000000" w:rsidRDefault="00917CC1">
      <w:pPr>
        <w:pStyle w:val="a7"/>
        <w:rPr>
          <w:rFonts w:hint="eastAsia"/>
          <w:lang w:val="de-DE"/>
        </w:rPr>
      </w:pPr>
      <w:r>
        <w:rPr>
          <w:rStyle w:val="a6"/>
        </w:rPr>
        <w:footnoteRef/>
      </w:r>
      <w:r>
        <w:rPr>
          <w:lang w:val="de-DE"/>
        </w:rPr>
        <w:t xml:space="preserve"> </w:t>
      </w:r>
      <w:r>
        <w:rPr>
          <w:lang w:val="de-DE"/>
        </w:rPr>
        <w:t>Weiß, 1988, S. 114</w:t>
      </w:r>
      <w:r>
        <w:rPr>
          <w:rFonts w:hint="eastAsia"/>
          <w:lang w:val="de-DE"/>
        </w:rPr>
        <w:t>；</w:t>
      </w:r>
      <w:proofErr w:type="gramStart"/>
      <w:r>
        <w:rPr>
          <w:rFonts w:hint="eastAsia"/>
          <w:lang w:val="de-DE"/>
        </w:rPr>
        <w:t>張桐銳，</w:t>
      </w:r>
      <w:proofErr w:type="gramEnd"/>
      <w:r>
        <w:rPr>
          <w:lang w:val="de-DE"/>
        </w:rPr>
        <w:t>1992</w:t>
      </w:r>
      <w:r>
        <w:rPr>
          <w:rFonts w:hint="eastAsia"/>
          <w:lang w:val="de-DE"/>
        </w:rPr>
        <w:t>，頁</w:t>
      </w:r>
      <w:r>
        <w:rPr>
          <w:lang w:val="de-DE"/>
        </w:rPr>
        <w:t>3</w:t>
      </w:r>
      <w:r>
        <w:rPr>
          <w:rFonts w:hint="eastAsia"/>
          <w:lang w:val="de-DE"/>
        </w:rPr>
        <w:t>以下。</w:t>
      </w:r>
    </w:p>
  </w:footnote>
  <w:footnote w:id="98">
    <w:p w:rsidR="00000000" w:rsidRDefault="00917CC1">
      <w:pPr>
        <w:pStyle w:val="a7"/>
        <w:rPr>
          <w:rFonts w:hint="eastAsia"/>
          <w:lang w:val="de-DE"/>
        </w:rPr>
      </w:pPr>
      <w:r>
        <w:rPr>
          <w:rStyle w:val="a6"/>
        </w:rPr>
        <w:footnoteRef/>
      </w:r>
      <w:r>
        <w:rPr>
          <w:lang w:val="de-DE"/>
        </w:rPr>
        <w:t xml:space="preserve"> </w:t>
      </w:r>
      <w:r>
        <w:rPr>
          <w:lang w:val="de-DE"/>
        </w:rPr>
        <w:t>BVerwG,</w:t>
      </w:r>
      <w:r>
        <w:rPr>
          <w:lang w:val="de-DE"/>
        </w:rPr>
        <w:t xml:space="preserve"> NJW 1982, S. 118</w:t>
      </w:r>
      <w:r>
        <w:rPr>
          <w:rFonts w:hint="eastAsia"/>
          <w:lang w:val="de-DE"/>
        </w:rPr>
        <w:t>。</w:t>
      </w:r>
    </w:p>
  </w:footnote>
  <w:footnote w:id="99">
    <w:p w:rsidR="00000000" w:rsidRDefault="00917CC1">
      <w:pPr>
        <w:pStyle w:val="a7"/>
        <w:rPr>
          <w:rFonts w:hint="eastAsia"/>
          <w:lang w:val="de-DE"/>
        </w:rPr>
      </w:pPr>
      <w:r>
        <w:rPr>
          <w:rStyle w:val="a6"/>
        </w:rPr>
        <w:footnoteRef/>
      </w:r>
      <w:r>
        <w:rPr>
          <w:lang w:val="de-DE"/>
        </w:rPr>
        <w:t xml:space="preserve"> </w:t>
      </w:r>
      <w:r>
        <w:rPr>
          <w:rFonts w:hint="eastAsia"/>
        </w:rPr>
        <w:t>參下述「於執行職務中佩帶</w:t>
      </w:r>
      <w:proofErr w:type="gramStart"/>
      <w:r>
        <w:rPr>
          <w:rFonts w:hint="eastAsia"/>
        </w:rPr>
        <w:t>反核標章</w:t>
      </w:r>
      <w:proofErr w:type="gramEnd"/>
      <w:r>
        <w:rPr>
          <w:rFonts w:hint="eastAsia"/>
        </w:rPr>
        <w:t>」之例。</w:t>
      </w:r>
    </w:p>
  </w:footnote>
  <w:footnote w:id="100">
    <w:p w:rsidR="00000000" w:rsidRDefault="00917CC1">
      <w:pPr>
        <w:pStyle w:val="a7"/>
        <w:rPr>
          <w:rFonts w:hint="eastAsia"/>
          <w:lang w:val="de-DE"/>
        </w:rPr>
      </w:pPr>
      <w:r>
        <w:rPr>
          <w:rStyle w:val="a6"/>
        </w:rPr>
        <w:footnoteRef/>
      </w:r>
      <w:r>
        <w:rPr>
          <w:lang w:val="de-DE"/>
        </w:rPr>
        <w:t xml:space="preserve"> </w:t>
      </w:r>
      <w:r>
        <w:rPr>
          <w:lang w:val="de-DE"/>
        </w:rPr>
        <w:t>Frowein, 1967, S. 18</w:t>
      </w:r>
      <w:r>
        <w:rPr>
          <w:rFonts w:hint="eastAsia"/>
          <w:lang w:val="de-DE"/>
        </w:rPr>
        <w:t>。</w:t>
      </w:r>
    </w:p>
  </w:footnote>
  <w:footnote w:id="101">
    <w:p w:rsidR="00000000" w:rsidRDefault="00917CC1">
      <w:pPr>
        <w:pStyle w:val="a7"/>
        <w:rPr>
          <w:rFonts w:hint="eastAsia"/>
          <w:lang w:val="de-DE"/>
        </w:rPr>
      </w:pPr>
      <w:r>
        <w:rPr>
          <w:rStyle w:val="a6"/>
        </w:rPr>
        <w:footnoteRef/>
      </w:r>
      <w:r>
        <w:rPr>
          <w:lang w:val="de-DE"/>
        </w:rPr>
        <w:t xml:space="preserve"> </w:t>
      </w:r>
      <w:r>
        <w:rPr>
          <w:lang w:val="de-DE"/>
        </w:rPr>
        <w:t>Weiß, 1988, S. 114</w:t>
      </w:r>
      <w:r>
        <w:rPr>
          <w:rFonts w:hint="eastAsia"/>
          <w:lang w:val="de-DE"/>
        </w:rPr>
        <w:t>。</w:t>
      </w:r>
    </w:p>
  </w:footnote>
  <w:footnote w:id="102">
    <w:p w:rsidR="00000000" w:rsidRDefault="00917CC1">
      <w:pPr>
        <w:pStyle w:val="a7"/>
        <w:rPr>
          <w:rFonts w:hint="eastAsia"/>
        </w:rPr>
      </w:pPr>
      <w:r>
        <w:rPr>
          <w:rStyle w:val="a6"/>
        </w:rPr>
        <w:footnoteRef/>
      </w:r>
      <w:r>
        <w:t xml:space="preserve"> Battis, 1997, § 91 Rn. 2</w:t>
      </w:r>
      <w:r>
        <w:rPr>
          <w:rFonts w:hint="eastAsia"/>
          <w:lang w:val="de-DE"/>
        </w:rPr>
        <w:t>。</w:t>
      </w:r>
    </w:p>
  </w:footnote>
  <w:footnote w:id="103">
    <w:p w:rsidR="00000000" w:rsidRDefault="00917CC1">
      <w:pPr>
        <w:pStyle w:val="a7"/>
        <w:rPr>
          <w:rFonts w:hint="eastAsia"/>
          <w:lang w:val="de-DE"/>
        </w:rPr>
      </w:pPr>
      <w:r>
        <w:rPr>
          <w:rStyle w:val="a6"/>
        </w:rPr>
        <w:footnoteRef/>
      </w:r>
      <w:r>
        <w:rPr>
          <w:lang w:val="de-DE"/>
        </w:rPr>
        <w:t xml:space="preserve"> </w:t>
      </w:r>
      <w:r>
        <w:rPr>
          <w:lang w:val="de-DE"/>
        </w:rPr>
        <w:t>Weiß, 1988, S. 112 f.</w:t>
      </w:r>
      <w:r>
        <w:rPr>
          <w:rFonts w:hint="eastAsia"/>
          <w:lang w:val="de-DE"/>
        </w:rPr>
        <w:t>。</w:t>
      </w:r>
    </w:p>
  </w:footnote>
  <w:footnote w:id="104">
    <w:p w:rsidR="00000000" w:rsidRDefault="00917CC1">
      <w:pPr>
        <w:pStyle w:val="a7"/>
        <w:rPr>
          <w:rFonts w:hint="eastAsia"/>
          <w:lang w:val="de-DE"/>
        </w:rPr>
      </w:pPr>
      <w:r>
        <w:rPr>
          <w:rStyle w:val="a6"/>
        </w:rPr>
        <w:footnoteRef/>
      </w:r>
      <w:r>
        <w:rPr>
          <w:lang w:val="de-DE"/>
        </w:rPr>
        <w:t xml:space="preserve"> BVerwGE 84, 292 ff.</w:t>
      </w:r>
      <w:r>
        <w:rPr>
          <w:rFonts w:hint="eastAsia"/>
          <w:lang w:val="de-DE"/>
        </w:rPr>
        <w:t>。</w:t>
      </w:r>
    </w:p>
  </w:footnote>
  <w:footnote w:id="105">
    <w:p w:rsidR="00000000" w:rsidRDefault="00917CC1">
      <w:pPr>
        <w:pStyle w:val="a7"/>
        <w:rPr>
          <w:rFonts w:hint="eastAsia"/>
          <w:lang w:val="de-DE"/>
        </w:rPr>
      </w:pPr>
      <w:r>
        <w:rPr>
          <w:rStyle w:val="a6"/>
        </w:rPr>
        <w:footnoteRef/>
      </w:r>
      <w:r>
        <w:rPr>
          <w:lang w:val="de-DE"/>
        </w:rPr>
        <w:t xml:space="preserve"> BAG, NJW 1982, 2888 ff.</w:t>
      </w:r>
      <w:r>
        <w:rPr>
          <w:rFonts w:hint="eastAsia"/>
          <w:lang w:val="de-DE"/>
        </w:rPr>
        <w:t>。</w:t>
      </w:r>
    </w:p>
  </w:footnote>
  <w:footnote w:id="106">
    <w:p w:rsidR="00000000" w:rsidRDefault="00917CC1">
      <w:pPr>
        <w:pStyle w:val="a7"/>
        <w:rPr>
          <w:rFonts w:hint="eastAsia"/>
          <w:lang w:val="de-DE"/>
        </w:rPr>
      </w:pPr>
      <w:r>
        <w:rPr>
          <w:rStyle w:val="a6"/>
        </w:rPr>
        <w:footnoteRef/>
      </w:r>
      <w:r>
        <w:rPr>
          <w:lang w:val="de-DE"/>
        </w:rPr>
        <w:t xml:space="preserve"> BVerwGE 78, 216 ff.</w:t>
      </w:r>
      <w:r>
        <w:rPr>
          <w:rFonts w:hint="eastAsia"/>
          <w:lang w:val="de-DE"/>
        </w:rPr>
        <w:t>。</w:t>
      </w:r>
    </w:p>
  </w:footnote>
  <w:footnote w:id="107">
    <w:p w:rsidR="00000000" w:rsidRDefault="00917CC1">
      <w:pPr>
        <w:pStyle w:val="a7"/>
        <w:rPr>
          <w:rFonts w:hint="eastAsia"/>
          <w:lang w:val="de-DE"/>
        </w:rPr>
      </w:pPr>
      <w:r>
        <w:rPr>
          <w:rStyle w:val="a6"/>
        </w:rPr>
        <w:footnoteRef/>
      </w:r>
      <w:r>
        <w:rPr>
          <w:lang w:val="de-DE"/>
        </w:rPr>
        <w:t xml:space="preserve"> BVerwG, NJW 1982, 118</w:t>
      </w:r>
      <w:r>
        <w:rPr>
          <w:rFonts w:hint="eastAsia"/>
          <w:lang w:val="de-DE"/>
        </w:rPr>
        <w:t>。</w:t>
      </w:r>
    </w:p>
  </w:footnote>
  <w:footnote w:id="108">
    <w:p w:rsidR="00000000" w:rsidRDefault="00917CC1">
      <w:pPr>
        <w:pStyle w:val="a7"/>
        <w:rPr>
          <w:rFonts w:hint="eastAsia"/>
          <w:lang w:val="de-DE"/>
        </w:rPr>
      </w:pPr>
      <w:r>
        <w:rPr>
          <w:rStyle w:val="a6"/>
        </w:rPr>
        <w:footnoteRef/>
      </w:r>
      <w:r>
        <w:rPr>
          <w:lang w:val="de-DE"/>
        </w:rPr>
        <w:t xml:space="preserve"> BVerwGE 84, 292</w:t>
      </w:r>
      <w:r>
        <w:rPr>
          <w:lang w:val="de-DE"/>
        </w:rPr>
        <w:t xml:space="preserve"> (295); BAG, NJW 1982, 2889</w:t>
      </w:r>
      <w:r>
        <w:rPr>
          <w:rFonts w:hint="eastAsia"/>
          <w:lang w:val="de-DE"/>
        </w:rPr>
        <w:t>。</w:t>
      </w:r>
    </w:p>
  </w:footnote>
  <w:footnote w:id="109">
    <w:p w:rsidR="00000000" w:rsidRDefault="00917CC1">
      <w:pPr>
        <w:pStyle w:val="a7"/>
        <w:rPr>
          <w:rFonts w:hint="eastAsia"/>
          <w:lang w:val="de-DE"/>
        </w:rPr>
      </w:pPr>
      <w:r>
        <w:rPr>
          <w:rStyle w:val="a6"/>
        </w:rPr>
        <w:footnoteRef/>
      </w:r>
      <w:r>
        <w:rPr>
          <w:lang w:val="de-DE"/>
        </w:rPr>
        <w:t xml:space="preserve"> </w:t>
      </w:r>
      <w:r>
        <w:rPr>
          <w:lang w:val="de-DE"/>
        </w:rPr>
        <w:t>Weiß, 1988, S. 115</w:t>
      </w:r>
      <w:r>
        <w:rPr>
          <w:rFonts w:hint="eastAsia"/>
          <w:lang w:val="de-DE"/>
        </w:rPr>
        <w:t>。</w:t>
      </w:r>
    </w:p>
  </w:footnote>
  <w:footnote w:id="110">
    <w:p w:rsidR="00000000" w:rsidRDefault="00917CC1">
      <w:pPr>
        <w:pStyle w:val="a7"/>
        <w:rPr>
          <w:rFonts w:hint="eastAsia"/>
          <w:lang w:val="de-DE"/>
        </w:rPr>
      </w:pPr>
      <w:r>
        <w:rPr>
          <w:rStyle w:val="a6"/>
        </w:rPr>
        <w:footnoteRef/>
      </w:r>
      <w:r>
        <w:rPr>
          <w:lang w:val="de-DE"/>
        </w:rPr>
        <w:t xml:space="preserve"> </w:t>
      </w:r>
      <w:r>
        <w:rPr>
          <w:lang w:val="de-DE"/>
        </w:rPr>
        <w:t>Vgl. Frowein, 1967, S. 20 ff.</w:t>
      </w:r>
      <w:r>
        <w:rPr>
          <w:rFonts w:hint="eastAsia"/>
          <w:lang w:val="de-DE"/>
        </w:rPr>
        <w:t>。</w:t>
      </w:r>
    </w:p>
  </w:footnote>
  <w:footnote w:id="111">
    <w:p w:rsidR="00000000" w:rsidRDefault="00917CC1">
      <w:pPr>
        <w:pStyle w:val="a7"/>
        <w:rPr>
          <w:rFonts w:hint="eastAsia"/>
          <w:lang w:val="de-DE"/>
        </w:rPr>
      </w:pPr>
      <w:r>
        <w:rPr>
          <w:rStyle w:val="a6"/>
        </w:rPr>
        <w:footnoteRef/>
      </w:r>
      <w:r>
        <w:rPr>
          <w:lang w:val="de-DE"/>
        </w:rPr>
        <w:t xml:space="preserve"> BVerwGE 78, 216 (222)</w:t>
      </w:r>
      <w:r>
        <w:rPr>
          <w:rFonts w:hint="eastAsia"/>
          <w:lang w:val="de-DE"/>
        </w:rPr>
        <w:t>。</w:t>
      </w:r>
    </w:p>
  </w:footnote>
  <w:footnote w:id="112">
    <w:p w:rsidR="00000000" w:rsidRDefault="00917CC1">
      <w:pPr>
        <w:pStyle w:val="a7"/>
        <w:rPr>
          <w:rFonts w:hint="eastAsia"/>
          <w:lang w:val="de-DE"/>
        </w:rPr>
      </w:pPr>
      <w:r>
        <w:rPr>
          <w:rStyle w:val="a6"/>
        </w:rPr>
        <w:footnoteRef/>
      </w:r>
      <w:r>
        <w:rPr>
          <w:lang w:val="de-DE"/>
        </w:rPr>
        <w:t xml:space="preserve"> BVerwGE 78, 216 (221)</w:t>
      </w:r>
      <w:r>
        <w:rPr>
          <w:rFonts w:hint="eastAsia"/>
          <w:lang w:val="de-DE"/>
        </w:rPr>
        <w:t>。</w:t>
      </w:r>
    </w:p>
  </w:footnote>
  <w:footnote w:id="113">
    <w:p w:rsidR="00000000" w:rsidRDefault="00917CC1">
      <w:pPr>
        <w:pStyle w:val="a7"/>
        <w:rPr>
          <w:rFonts w:hint="eastAsia"/>
          <w:lang w:val="de-DE"/>
        </w:rPr>
      </w:pPr>
      <w:r>
        <w:rPr>
          <w:rStyle w:val="a6"/>
        </w:rPr>
        <w:footnoteRef/>
      </w:r>
      <w:r>
        <w:t xml:space="preserve"> </w:t>
      </w:r>
      <w:r>
        <w:rPr>
          <w:rFonts w:hint="eastAsia"/>
        </w:rPr>
        <w:t>基本法第</w:t>
      </w:r>
      <w:r>
        <w:rPr>
          <w:lang w:val="de-DE"/>
        </w:rPr>
        <w:t>48</w:t>
      </w:r>
      <w:r>
        <w:rPr>
          <w:rFonts w:hint="eastAsia"/>
          <w:lang w:val="de-DE"/>
        </w:rPr>
        <w:t>條第</w:t>
      </w:r>
      <w:r>
        <w:rPr>
          <w:lang w:val="de-DE"/>
        </w:rPr>
        <w:t>1</w:t>
      </w:r>
      <w:r>
        <w:rPr>
          <w:rFonts w:hint="eastAsia"/>
          <w:lang w:val="de-DE"/>
        </w:rPr>
        <w:t>項規定：「欲爭取聯邦議會席次者，有請求為準備選舉所必須之休假之權。」針對公務員之更具體之規定為「公務員同意接受提名為德國聯邦議會或各</w:t>
      </w:r>
      <w:proofErr w:type="gramStart"/>
      <w:r>
        <w:rPr>
          <w:rFonts w:hint="eastAsia"/>
          <w:lang w:val="de-DE"/>
        </w:rPr>
        <w:t>邦</w:t>
      </w:r>
      <w:proofErr w:type="gramEnd"/>
      <w:r>
        <w:rPr>
          <w:rFonts w:hint="eastAsia"/>
          <w:lang w:val="de-DE"/>
        </w:rPr>
        <w:t>議會議員選舉之候選人者，在投票日前兩</w:t>
      </w:r>
      <w:proofErr w:type="gramStart"/>
      <w:r>
        <w:rPr>
          <w:rFonts w:hint="eastAsia"/>
          <w:lang w:val="de-DE"/>
        </w:rPr>
        <w:t>個</w:t>
      </w:r>
      <w:proofErr w:type="gramEnd"/>
      <w:r>
        <w:rPr>
          <w:rFonts w:hint="eastAsia"/>
          <w:lang w:val="de-DE"/>
        </w:rPr>
        <w:t>月內得申請為準備選舉所必須之無支薪休假。」</w:t>
      </w:r>
      <w:r>
        <w:rPr>
          <w:lang w:val="de-DE"/>
        </w:rPr>
        <w:t>(§ 8</w:t>
      </w:r>
      <w:r>
        <w:rPr>
          <w:lang w:val="de-DE"/>
        </w:rPr>
        <w:t>9 II S. 2 BBG)</w:t>
      </w:r>
      <w:r>
        <w:rPr>
          <w:rFonts w:hint="eastAsia"/>
          <w:lang w:val="de-DE"/>
        </w:rPr>
        <w:t>。</w:t>
      </w:r>
    </w:p>
  </w:footnote>
  <w:footnote w:id="114">
    <w:p w:rsidR="00000000" w:rsidRDefault="00917CC1">
      <w:pPr>
        <w:pStyle w:val="a7"/>
        <w:rPr>
          <w:rFonts w:hint="eastAsia"/>
          <w:lang w:val="de-DE"/>
        </w:rPr>
      </w:pPr>
      <w:r>
        <w:rPr>
          <w:rStyle w:val="a6"/>
        </w:rPr>
        <w:footnoteRef/>
      </w:r>
      <w:r>
        <w:rPr>
          <w:lang w:val="de-DE"/>
        </w:rPr>
        <w:t xml:space="preserve"> </w:t>
      </w:r>
      <w:r>
        <w:rPr>
          <w:lang w:val="de-DE"/>
        </w:rPr>
        <w:t>Weiß, 1988, S. 118</w:t>
      </w:r>
      <w:r>
        <w:rPr>
          <w:rFonts w:hint="eastAsia"/>
          <w:lang w:val="de-DE"/>
        </w:rPr>
        <w:t>。</w:t>
      </w:r>
    </w:p>
  </w:footnote>
  <w:footnote w:id="115">
    <w:p w:rsidR="00000000" w:rsidRDefault="00917CC1">
      <w:pPr>
        <w:pStyle w:val="a7"/>
        <w:rPr>
          <w:rFonts w:hint="eastAsia"/>
          <w:lang w:val="de-DE"/>
        </w:rPr>
      </w:pPr>
      <w:r>
        <w:rPr>
          <w:rStyle w:val="a6"/>
        </w:rPr>
        <w:footnoteRef/>
      </w:r>
      <w:r>
        <w:rPr>
          <w:lang w:val="de-DE"/>
        </w:rPr>
        <w:t xml:space="preserve"> </w:t>
      </w:r>
      <w:r>
        <w:rPr>
          <w:lang w:val="de-DE"/>
        </w:rPr>
        <w:t>Frowein, 1967, S. 27</w:t>
      </w:r>
      <w:r>
        <w:rPr>
          <w:rFonts w:hint="eastAsia"/>
          <w:lang w:val="de-DE"/>
        </w:rPr>
        <w:t>。</w:t>
      </w:r>
    </w:p>
  </w:footnote>
  <w:footnote w:id="116">
    <w:p w:rsidR="00000000" w:rsidRDefault="00917CC1">
      <w:pPr>
        <w:pStyle w:val="a7"/>
        <w:rPr>
          <w:rFonts w:hint="eastAsia"/>
          <w:lang w:val="de-DE"/>
        </w:rPr>
      </w:pPr>
      <w:r>
        <w:rPr>
          <w:rStyle w:val="a6"/>
        </w:rPr>
        <w:footnoteRef/>
      </w:r>
      <w:r>
        <w:rPr>
          <w:lang w:val="de-DE"/>
        </w:rPr>
        <w:t xml:space="preserve"> BVerwGE 78, 216 (221 f.)</w:t>
      </w:r>
      <w:r>
        <w:rPr>
          <w:rFonts w:hint="eastAsia"/>
          <w:lang w:val="de-DE"/>
        </w:rPr>
        <w:t>。</w:t>
      </w:r>
    </w:p>
  </w:footnote>
  <w:footnote w:id="117">
    <w:p w:rsidR="00000000" w:rsidRDefault="00917CC1">
      <w:pPr>
        <w:pStyle w:val="a7"/>
        <w:rPr>
          <w:rFonts w:hint="eastAsia"/>
          <w:lang w:val="de-DE"/>
        </w:rPr>
      </w:pPr>
      <w:r>
        <w:rPr>
          <w:rStyle w:val="a6"/>
        </w:rPr>
        <w:footnoteRef/>
      </w:r>
      <w:r>
        <w:rPr>
          <w:lang w:val="de-DE"/>
        </w:rPr>
        <w:t xml:space="preserve"> </w:t>
      </w:r>
      <w:r>
        <w:rPr>
          <w:lang w:val="de-DE"/>
        </w:rPr>
        <w:t>Weiß, 1988, S. 117</w:t>
      </w:r>
      <w:r>
        <w:rPr>
          <w:rFonts w:hint="eastAsia"/>
          <w:lang w:val="de-DE"/>
        </w:rPr>
        <w:t>。</w:t>
      </w:r>
    </w:p>
  </w:footnote>
  <w:footnote w:id="118">
    <w:p w:rsidR="00000000" w:rsidRDefault="00917CC1">
      <w:pPr>
        <w:pStyle w:val="a7"/>
        <w:rPr>
          <w:rFonts w:hint="eastAsia"/>
        </w:rPr>
      </w:pPr>
      <w:r>
        <w:rPr>
          <w:rStyle w:val="a6"/>
        </w:rPr>
        <w:footnoteRef/>
      </w:r>
      <w:r>
        <w:t xml:space="preserve"> VGH Bad-Württ., VBlBW 1993, S. 386 ff.</w:t>
      </w:r>
      <w:r>
        <w:rPr>
          <w:rFonts w:hint="eastAsia"/>
          <w:lang w:val="de-DE"/>
        </w:rPr>
        <w:t>。</w:t>
      </w:r>
    </w:p>
  </w:footnote>
  <w:footnote w:id="119">
    <w:p w:rsidR="00000000" w:rsidRDefault="00917CC1">
      <w:pPr>
        <w:pStyle w:val="a7"/>
      </w:pPr>
      <w:r>
        <w:rPr>
          <w:rStyle w:val="a6"/>
        </w:rPr>
        <w:footnoteRef/>
      </w:r>
      <w:r>
        <w:t xml:space="preserve"> Battis, 1997, § 53 Rn. 3; BVerwGE 78, 216 (221).</w:t>
      </w:r>
    </w:p>
  </w:footnote>
  <w:footnote w:id="120">
    <w:p w:rsidR="00000000" w:rsidRDefault="00917CC1">
      <w:pPr>
        <w:pStyle w:val="a7"/>
        <w:rPr>
          <w:rFonts w:hint="eastAsia"/>
        </w:rPr>
      </w:pPr>
      <w:r>
        <w:rPr>
          <w:rStyle w:val="a6"/>
        </w:rPr>
        <w:footnoteRef/>
      </w:r>
      <w:r>
        <w:t xml:space="preserve"> BVerwG, NJW 1978, 2109</w:t>
      </w:r>
      <w:r>
        <w:rPr>
          <w:rFonts w:hint="eastAsia"/>
        </w:rPr>
        <w:t>。</w:t>
      </w:r>
    </w:p>
  </w:footnote>
  <w:footnote w:id="121">
    <w:p w:rsidR="00000000" w:rsidRDefault="00917CC1">
      <w:pPr>
        <w:pStyle w:val="a7"/>
        <w:rPr>
          <w:rFonts w:hint="eastAsia"/>
        </w:rPr>
      </w:pPr>
      <w:r>
        <w:rPr>
          <w:rStyle w:val="a6"/>
        </w:rPr>
        <w:footnoteRef/>
      </w:r>
      <w:r>
        <w:t xml:space="preserve"> Vgl. Frowein, 1967, S. </w:t>
      </w:r>
      <w:r>
        <w:t>25 ff.</w:t>
      </w:r>
      <w:r>
        <w:rPr>
          <w:rFonts w:hint="eastAsia"/>
          <w:lang w:val="de-DE"/>
        </w:rPr>
        <w:t>。</w:t>
      </w:r>
    </w:p>
  </w:footnote>
  <w:footnote w:id="122">
    <w:p w:rsidR="00000000" w:rsidRDefault="00917CC1">
      <w:pPr>
        <w:pStyle w:val="a7"/>
        <w:rPr>
          <w:rFonts w:hint="eastAsia"/>
          <w:lang w:val="de-DE"/>
        </w:rPr>
      </w:pPr>
      <w:r>
        <w:rPr>
          <w:rStyle w:val="a6"/>
        </w:rPr>
        <w:footnoteRef/>
      </w:r>
      <w:r>
        <w:rPr>
          <w:lang w:val="de-DE"/>
        </w:rPr>
        <w:t xml:space="preserve"> </w:t>
      </w:r>
      <w:r>
        <w:rPr>
          <w:lang w:val="de-DE"/>
        </w:rPr>
        <w:t>Weiß, 1988, S. 118</w:t>
      </w:r>
      <w:r>
        <w:rPr>
          <w:rFonts w:hint="eastAsia"/>
          <w:lang w:val="de-DE"/>
        </w:rPr>
        <w:t>。</w:t>
      </w:r>
    </w:p>
  </w:footnote>
  <w:footnote w:id="123">
    <w:p w:rsidR="00000000" w:rsidRDefault="00917CC1">
      <w:pPr>
        <w:pStyle w:val="a7"/>
        <w:rPr>
          <w:rFonts w:hint="eastAsia"/>
          <w:lang w:val="de-DE"/>
        </w:rPr>
      </w:pPr>
      <w:r>
        <w:rPr>
          <w:rStyle w:val="a6"/>
        </w:rPr>
        <w:footnoteRef/>
      </w:r>
      <w:r>
        <w:rPr>
          <w:lang w:val="de-DE"/>
        </w:rPr>
        <w:t xml:space="preserve"> </w:t>
      </w:r>
      <w:r>
        <w:rPr>
          <w:lang w:val="de-DE"/>
        </w:rPr>
        <w:t>VGH Mannheim, NJW 1985, S. 1662</w:t>
      </w:r>
      <w:r>
        <w:rPr>
          <w:rFonts w:hint="eastAsia"/>
          <w:lang w:val="de-DE"/>
        </w:rPr>
        <w:t>。</w:t>
      </w:r>
    </w:p>
  </w:footnote>
  <w:footnote w:id="124">
    <w:p w:rsidR="00000000" w:rsidRDefault="00917CC1">
      <w:pPr>
        <w:pStyle w:val="a7"/>
        <w:rPr>
          <w:rFonts w:hint="eastAsia"/>
          <w:lang w:val="de-DE"/>
        </w:rPr>
      </w:pPr>
      <w:r>
        <w:rPr>
          <w:rStyle w:val="a6"/>
        </w:rPr>
        <w:footnoteRef/>
      </w:r>
      <w:r>
        <w:rPr>
          <w:lang w:val="de-DE"/>
        </w:rPr>
        <w:t xml:space="preserve"> </w:t>
      </w:r>
      <w:r>
        <w:rPr>
          <w:lang w:val="de-DE"/>
        </w:rPr>
        <w:t>Weiß, 1988, S. 119</w:t>
      </w:r>
      <w:r>
        <w:rPr>
          <w:rFonts w:hint="eastAsia"/>
          <w:lang w:val="de-DE"/>
        </w:rPr>
        <w:t>。</w:t>
      </w:r>
    </w:p>
  </w:footnote>
  <w:footnote w:id="125">
    <w:p w:rsidR="00000000" w:rsidRDefault="00917CC1">
      <w:pPr>
        <w:pStyle w:val="a7"/>
        <w:rPr>
          <w:rFonts w:hint="eastAsia"/>
          <w:lang w:val="de-DE"/>
        </w:rPr>
      </w:pPr>
      <w:r>
        <w:rPr>
          <w:rStyle w:val="a6"/>
        </w:rPr>
        <w:footnoteRef/>
      </w:r>
      <w:r>
        <w:rPr>
          <w:lang w:val="de-DE"/>
        </w:rPr>
        <w:t xml:space="preserve"> </w:t>
      </w:r>
      <w:r>
        <w:rPr>
          <w:lang w:val="de-DE"/>
        </w:rPr>
        <w:t>Vgl. Weiß, a. a. O.</w:t>
      </w:r>
      <w:r>
        <w:rPr>
          <w:rFonts w:hint="eastAsia"/>
          <w:lang w:val="de-DE"/>
        </w:rPr>
        <w:t>。</w:t>
      </w:r>
    </w:p>
  </w:footnote>
  <w:footnote w:id="126">
    <w:p w:rsidR="00000000" w:rsidRDefault="00917CC1">
      <w:pPr>
        <w:pStyle w:val="a7"/>
        <w:rPr>
          <w:rFonts w:hint="eastAsia"/>
          <w:lang w:val="de-DE"/>
        </w:rPr>
      </w:pPr>
      <w:r>
        <w:rPr>
          <w:rStyle w:val="a6"/>
        </w:rPr>
        <w:footnoteRef/>
      </w:r>
      <w:r>
        <w:rPr>
          <w:lang w:val="de-DE"/>
        </w:rPr>
        <w:t xml:space="preserve"> BVerwGE 78, 216 (222)</w:t>
      </w:r>
      <w:r>
        <w:rPr>
          <w:rFonts w:hint="eastAsia"/>
          <w:lang w:val="de-DE"/>
        </w:rPr>
        <w:t>。</w:t>
      </w:r>
    </w:p>
  </w:footnote>
  <w:footnote w:id="127">
    <w:p w:rsidR="00000000" w:rsidRDefault="00917CC1">
      <w:pPr>
        <w:pStyle w:val="a7"/>
        <w:rPr>
          <w:rFonts w:hint="eastAsia"/>
          <w:lang w:val="de-DE"/>
        </w:rPr>
      </w:pPr>
      <w:r>
        <w:rPr>
          <w:rStyle w:val="a6"/>
        </w:rPr>
        <w:footnoteRef/>
      </w:r>
      <w:r>
        <w:rPr>
          <w:lang w:val="de-DE"/>
        </w:rPr>
        <w:t xml:space="preserve"> </w:t>
      </w:r>
      <w:r>
        <w:rPr>
          <w:lang w:val="de-DE"/>
        </w:rPr>
        <w:t>Vgl. Weiß, 1988, S. 120</w:t>
      </w:r>
      <w:r>
        <w:rPr>
          <w:rFonts w:hint="eastAsia"/>
          <w:lang w:val="de-DE"/>
        </w:rPr>
        <w:t>。</w:t>
      </w:r>
    </w:p>
  </w:footnote>
  <w:footnote w:id="128">
    <w:p w:rsidR="00000000" w:rsidRDefault="00917CC1">
      <w:pPr>
        <w:pStyle w:val="a7"/>
        <w:rPr>
          <w:rFonts w:hint="eastAsia"/>
          <w:lang w:val="de-DE"/>
        </w:rPr>
      </w:pPr>
      <w:r>
        <w:rPr>
          <w:rStyle w:val="a6"/>
        </w:rPr>
        <w:footnoteRef/>
      </w:r>
      <w:r>
        <w:rPr>
          <w:lang w:val="de-DE"/>
        </w:rPr>
        <w:t xml:space="preserve"> </w:t>
      </w:r>
      <w:r>
        <w:rPr>
          <w:lang w:val="de-DE"/>
        </w:rPr>
        <w:t>Frowein, 1967, S. 28</w:t>
      </w:r>
      <w:r>
        <w:rPr>
          <w:rFonts w:hint="eastAsia"/>
          <w:lang w:val="de-DE"/>
        </w:rPr>
        <w:t>。</w:t>
      </w:r>
    </w:p>
  </w:footnote>
  <w:footnote w:id="129">
    <w:p w:rsidR="00000000" w:rsidRDefault="00917CC1">
      <w:pPr>
        <w:pStyle w:val="a7"/>
        <w:rPr>
          <w:rFonts w:hint="eastAsia"/>
          <w:lang w:val="de-DE"/>
        </w:rPr>
      </w:pPr>
      <w:r>
        <w:rPr>
          <w:rStyle w:val="a6"/>
        </w:rPr>
        <w:footnoteRef/>
      </w:r>
      <w:r>
        <w:rPr>
          <w:lang w:val="de-DE"/>
        </w:rPr>
        <w:t xml:space="preserve"> BVerfGE 28, 36 (49)</w:t>
      </w:r>
      <w:r>
        <w:rPr>
          <w:rFonts w:hint="eastAsia"/>
          <w:lang w:val="de-DE"/>
        </w:rPr>
        <w:t>。</w:t>
      </w:r>
    </w:p>
  </w:footnote>
  <w:footnote w:id="130">
    <w:p w:rsidR="00000000" w:rsidRDefault="00917CC1">
      <w:pPr>
        <w:pStyle w:val="a7"/>
        <w:rPr>
          <w:rFonts w:hint="eastAsia"/>
          <w:lang w:val="de-DE"/>
        </w:rPr>
      </w:pPr>
      <w:r>
        <w:rPr>
          <w:rStyle w:val="a6"/>
        </w:rPr>
        <w:footnoteRef/>
      </w:r>
      <w:r>
        <w:rPr>
          <w:lang w:val="de-DE"/>
        </w:rPr>
        <w:t xml:space="preserve"> BVerwGE 84, 292 (298)</w:t>
      </w:r>
      <w:r>
        <w:rPr>
          <w:rFonts w:hint="eastAsia"/>
          <w:lang w:val="de-DE"/>
        </w:rPr>
        <w:t>。</w:t>
      </w:r>
    </w:p>
  </w:footnote>
  <w:footnote w:id="131">
    <w:p w:rsidR="00000000" w:rsidRDefault="00917CC1">
      <w:pPr>
        <w:pStyle w:val="a7"/>
        <w:rPr>
          <w:rFonts w:hint="eastAsia"/>
          <w:lang w:val="de-DE"/>
        </w:rPr>
      </w:pPr>
      <w:r>
        <w:rPr>
          <w:rStyle w:val="a6"/>
        </w:rPr>
        <w:footnoteRef/>
      </w:r>
      <w:r>
        <w:rPr>
          <w:lang w:val="de-DE"/>
        </w:rPr>
        <w:t xml:space="preserve"> </w:t>
      </w:r>
      <w:r>
        <w:rPr>
          <w:lang w:val="de-DE"/>
        </w:rPr>
        <w:t>BAG, NJW 1982, S. 28</w:t>
      </w:r>
      <w:r>
        <w:rPr>
          <w:lang w:val="de-DE"/>
        </w:rPr>
        <w:t>89 f.</w:t>
      </w:r>
      <w:r>
        <w:rPr>
          <w:rFonts w:hint="eastAsia"/>
          <w:lang w:val="de-DE"/>
        </w:rPr>
        <w:t>。</w:t>
      </w:r>
    </w:p>
  </w:footnote>
  <w:footnote w:id="132">
    <w:p w:rsidR="00000000" w:rsidRDefault="00917CC1">
      <w:pPr>
        <w:pStyle w:val="a7"/>
        <w:rPr>
          <w:rFonts w:hint="eastAsia"/>
          <w:lang w:val="de-DE"/>
        </w:rPr>
      </w:pPr>
      <w:r>
        <w:rPr>
          <w:rStyle w:val="a6"/>
        </w:rPr>
        <w:footnoteRef/>
      </w:r>
      <w:r>
        <w:rPr>
          <w:lang w:val="de-DE"/>
        </w:rPr>
        <w:t xml:space="preserve"> </w:t>
      </w:r>
      <w:r>
        <w:rPr>
          <w:lang w:val="de-DE"/>
        </w:rPr>
        <w:t>BVerwGE 84, 292 (295 ff.); BAG, NJW 1982, S. 2889 f.</w:t>
      </w:r>
      <w:r>
        <w:rPr>
          <w:rFonts w:hint="eastAsia"/>
          <w:lang w:val="de-DE"/>
        </w:rPr>
        <w:t>。</w:t>
      </w:r>
    </w:p>
  </w:footnote>
  <w:footnote w:id="133">
    <w:p w:rsidR="00000000" w:rsidRDefault="00917CC1">
      <w:pPr>
        <w:pStyle w:val="a7"/>
        <w:rPr>
          <w:rFonts w:hint="eastAsia"/>
          <w:lang w:val="de-DE"/>
        </w:rPr>
      </w:pPr>
      <w:r>
        <w:rPr>
          <w:rStyle w:val="a6"/>
        </w:rPr>
        <w:footnoteRef/>
      </w:r>
      <w:r>
        <w:rPr>
          <w:lang w:val="de-DE"/>
        </w:rPr>
        <w:t xml:space="preserve"> </w:t>
      </w:r>
      <w:r>
        <w:rPr>
          <w:lang w:val="de-DE"/>
        </w:rPr>
        <w:t>Abweichende Meinung des Richters Dr. Rottmann zum Beschluß des Zweiten Senats vom 2. März 1977, BVerfGE 44, 197 (205 f.); BVerwG, NJW 1982, S. 119</w:t>
      </w:r>
      <w:r>
        <w:rPr>
          <w:rFonts w:hint="eastAsia"/>
          <w:lang w:val="de-DE"/>
        </w:rPr>
        <w:t>。</w:t>
      </w:r>
    </w:p>
  </w:footnote>
  <w:footnote w:id="134">
    <w:p w:rsidR="00000000" w:rsidRDefault="00917CC1">
      <w:pPr>
        <w:pStyle w:val="a7"/>
        <w:rPr>
          <w:rFonts w:hint="eastAsia"/>
          <w:lang w:val="de-DE"/>
        </w:rPr>
      </w:pPr>
      <w:r>
        <w:rPr>
          <w:rStyle w:val="a6"/>
        </w:rPr>
        <w:footnoteRef/>
      </w:r>
      <w:r>
        <w:rPr>
          <w:lang w:val="de-DE"/>
        </w:rPr>
        <w:t xml:space="preserve"> BVerfGE 44, 197 (203)</w:t>
      </w:r>
      <w:r>
        <w:rPr>
          <w:rFonts w:hint="eastAsia"/>
          <w:lang w:val="de-DE"/>
        </w:rPr>
        <w:t>。</w:t>
      </w:r>
    </w:p>
  </w:footnote>
  <w:footnote w:id="135">
    <w:p w:rsidR="00000000" w:rsidRDefault="00917CC1">
      <w:pPr>
        <w:pStyle w:val="a7"/>
        <w:rPr>
          <w:rFonts w:hint="eastAsia"/>
          <w:lang w:val="de-DE"/>
        </w:rPr>
      </w:pPr>
      <w:r>
        <w:rPr>
          <w:rStyle w:val="a6"/>
        </w:rPr>
        <w:footnoteRef/>
      </w:r>
      <w:r>
        <w:rPr>
          <w:lang w:val="de-DE"/>
        </w:rPr>
        <w:t xml:space="preserve"> BVerfGE 28, 37 f</w:t>
      </w:r>
      <w:r>
        <w:rPr>
          <w:lang w:val="de-DE"/>
        </w:rPr>
        <w:t>f.</w:t>
      </w:r>
      <w:r>
        <w:rPr>
          <w:rFonts w:hint="eastAsia"/>
          <w:lang w:val="de-DE"/>
        </w:rPr>
        <w:t>。</w:t>
      </w:r>
    </w:p>
  </w:footnote>
  <w:footnote w:id="136">
    <w:p w:rsidR="00000000" w:rsidRDefault="00917CC1">
      <w:pPr>
        <w:pStyle w:val="a7"/>
        <w:rPr>
          <w:rFonts w:hint="eastAsia"/>
          <w:lang w:val="de-DE"/>
        </w:rPr>
      </w:pPr>
      <w:r>
        <w:rPr>
          <w:rStyle w:val="a6"/>
        </w:rPr>
        <w:footnoteRef/>
      </w:r>
      <w:r>
        <w:t xml:space="preserve"> </w:t>
      </w:r>
      <w:r>
        <w:rPr>
          <w:lang w:val="de-DE"/>
        </w:rPr>
        <w:t>BVerfGE 44, 197 ff.</w:t>
      </w:r>
      <w:r>
        <w:rPr>
          <w:rFonts w:hint="eastAsia"/>
          <w:lang w:val="de-DE"/>
        </w:rPr>
        <w:t>。</w:t>
      </w:r>
    </w:p>
  </w:footnote>
  <w:footnote w:id="137">
    <w:p w:rsidR="00000000" w:rsidRDefault="00917CC1">
      <w:pPr>
        <w:pStyle w:val="a7"/>
        <w:rPr>
          <w:rFonts w:hint="eastAsia"/>
          <w:lang w:val="de-DE"/>
        </w:rPr>
      </w:pPr>
      <w:r>
        <w:rPr>
          <w:rStyle w:val="a6"/>
        </w:rPr>
        <w:footnoteRef/>
      </w:r>
      <w:r>
        <w:t xml:space="preserve"> </w:t>
      </w:r>
      <w:r>
        <w:rPr>
          <w:rFonts w:hint="eastAsia"/>
        </w:rPr>
        <w:t>基本法第</w:t>
      </w:r>
      <w:r>
        <w:rPr>
          <w:lang w:val="de-DE"/>
        </w:rPr>
        <w:t>19</w:t>
      </w:r>
      <w:r>
        <w:rPr>
          <w:rFonts w:hint="eastAsia"/>
          <w:lang w:val="de-DE"/>
        </w:rPr>
        <w:t>條第</w:t>
      </w:r>
      <w:r>
        <w:rPr>
          <w:lang w:val="de-DE"/>
        </w:rPr>
        <w:t>1</w:t>
      </w:r>
      <w:r>
        <w:rPr>
          <w:rFonts w:hint="eastAsia"/>
          <w:lang w:val="de-DE"/>
        </w:rPr>
        <w:t>項：「依基本法之規定對於基本權得以法律或依據法律限制之者，該法律應為一般性之規定，不得僅適用於個案。該法律應指明基本權之條款。」</w:t>
      </w:r>
    </w:p>
  </w:footnote>
  <w:footnote w:id="138">
    <w:p w:rsidR="00000000" w:rsidRDefault="00917CC1">
      <w:pPr>
        <w:pStyle w:val="a7"/>
        <w:rPr>
          <w:rFonts w:hint="eastAsia"/>
          <w:lang w:val="de-DE"/>
        </w:rPr>
      </w:pPr>
      <w:r>
        <w:rPr>
          <w:rStyle w:val="a6"/>
        </w:rPr>
        <w:footnoteRef/>
      </w:r>
      <w:r>
        <w:rPr>
          <w:lang w:val="de-DE"/>
        </w:rPr>
        <w:t xml:space="preserve"> BVerfGE 28, 282 (289 ff.)</w:t>
      </w:r>
      <w:r>
        <w:rPr>
          <w:rFonts w:hint="eastAsia"/>
          <w:lang w:val="de-DE"/>
        </w:rPr>
        <w:t>。</w:t>
      </w:r>
    </w:p>
  </w:footnote>
  <w:footnote w:id="139">
    <w:p w:rsidR="00000000" w:rsidRDefault="00917CC1">
      <w:pPr>
        <w:pStyle w:val="a7"/>
        <w:rPr>
          <w:rFonts w:hint="eastAsia"/>
          <w:lang w:val="de-DE"/>
        </w:rPr>
      </w:pPr>
      <w:r>
        <w:rPr>
          <w:rStyle w:val="a6"/>
        </w:rPr>
        <w:footnoteRef/>
      </w:r>
      <w:r>
        <w:rPr>
          <w:lang w:val="de-DE"/>
        </w:rPr>
        <w:t xml:space="preserve"> BVerfGE 44, 197 (201 f.)</w:t>
      </w:r>
      <w:r>
        <w:rPr>
          <w:rFonts w:hint="eastAsia"/>
          <w:lang w:val="de-DE"/>
        </w:rPr>
        <w:t>。</w:t>
      </w:r>
    </w:p>
  </w:footnote>
  <w:footnote w:id="140">
    <w:p w:rsidR="00000000" w:rsidRDefault="00917CC1">
      <w:pPr>
        <w:pStyle w:val="a7"/>
        <w:rPr>
          <w:rFonts w:hint="eastAsia"/>
        </w:rPr>
      </w:pPr>
      <w:r>
        <w:rPr>
          <w:rStyle w:val="a6"/>
        </w:rPr>
        <w:footnoteRef/>
      </w:r>
      <w:r>
        <w:t xml:space="preserve"> A. a. O., S. 203 f.</w:t>
      </w:r>
      <w:r>
        <w:rPr>
          <w:rFonts w:hint="eastAsia"/>
          <w:lang w:val="de-DE"/>
        </w:rPr>
        <w:t>。</w:t>
      </w:r>
    </w:p>
  </w:footnote>
  <w:footnote w:id="141">
    <w:p w:rsidR="00000000" w:rsidRDefault="00917CC1">
      <w:pPr>
        <w:pStyle w:val="a7"/>
        <w:rPr>
          <w:rFonts w:hint="eastAsia"/>
        </w:rPr>
      </w:pPr>
      <w:r>
        <w:rPr>
          <w:rStyle w:val="a6"/>
        </w:rPr>
        <w:footnoteRef/>
      </w:r>
      <w:r>
        <w:t xml:space="preserve"> BVerwG, NJW 1982, S. 119 f.</w:t>
      </w:r>
      <w:r>
        <w:rPr>
          <w:rFonts w:hint="eastAsia"/>
          <w:lang w:val="de-DE"/>
        </w:rPr>
        <w:t>。</w:t>
      </w:r>
    </w:p>
  </w:footnote>
  <w:footnote w:id="142">
    <w:p w:rsidR="00000000" w:rsidRDefault="00917CC1">
      <w:pPr>
        <w:pStyle w:val="a7"/>
        <w:rPr>
          <w:rFonts w:hint="eastAsia"/>
        </w:rPr>
      </w:pPr>
      <w:r>
        <w:rPr>
          <w:rStyle w:val="a6"/>
        </w:rPr>
        <w:footnoteRef/>
      </w:r>
      <w:r>
        <w:t xml:space="preserve"> BVerfGE 28, 37 (40 ff.)</w:t>
      </w:r>
      <w:r>
        <w:rPr>
          <w:rFonts w:hint="eastAsia"/>
          <w:lang w:val="de-DE"/>
        </w:rPr>
        <w:t>。</w:t>
      </w:r>
    </w:p>
  </w:footnote>
  <w:footnote w:id="143">
    <w:p w:rsidR="00000000" w:rsidRDefault="00917CC1">
      <w:pPr>
        <w:pStyle w:val="a7"/>
        <w:rPr>
          <w:rFonts w:hint="eastAsia"/>
        </w:rPr>
      </w:pPr>
      <w:r>
        <w:rPr>
          <w:rStyle w:val="a6"/>
        </w:rPr>
        <w:footnoteRef/>
      </w:r>
      <w:r>
        <w:t xml:space="preserve"> BVerfGE 33, 1</w:t>
      </w:r>
      <w:r>
        <w:t xml:space="preserve"> (11)</w:t>
      </w:r>
      <w:r>
        <w:rPr>
          <w:rFonts w:hint="eastAsia"/>
          <w:lang w:val="de-DE"/>
        </w:rPr>
        <w:t>。</w:t>
      </w:r>
    </w:p>
  </w:footnote>
  <w:footnote w:id="144">
    <w:p w:rsidR="00000000" w:rsidRDefault="00917CC1">
      <w:pPr>
        <w:pStyle w:val="a7"/>
        <w:rPr>
          <w:rFonts w:hint="eastAsia"/>
          <w:lang w:val="de-DE"/>
        </w:rPr>
      </w:pPr>
      <w:r>
        <w:rPr>
          <w:rStyle w:val="a6"/>
        </w:rPr>
        <w:footnoteRef/>
      </w:r>
      <w:r>
        <w:t xml:space="preserve"> </w:t>
      </w:r>
      <w:r>
        <w:rPr>
          <w:rFonts w:hint="eastAsia"/>
          <w:lang w:val="de-DE"/>
        </w:rPr>
        <w:t>參：許宗力，</w:t>
      </w:r>
      <w:r>
        <w:rPr>
          <w:lang w:val="de-DE"/>
        </w:rPr>
        <w:t>2000</w:t>
      </w:r>
      <w:r>
        <w:rPr>
          <w:rFonts w:hint="eastAsia"/>
          <w:lang w:val="de-DE"/>
        </w:rPr>
        <w:t>，頁</w:t>
      </w:r>
      <w:r>
        <w:rPr>
          <w:lang w:val="de-DE"/>
        </w:rPr>
        <w:t>559</w:t>
      </w:r>
      <w:r>
        <w:rPr>
          <w:rFonts w:hint="eastAsia"/>
          <w:lang w:val="de-DE"/>
        </w:rPr>
        <w:t>。</w:t>
      </w:r>
    </w:p>
    <w:p w:rsidR="00000000" w:rsidRDefault="00917CC1">
      <w:pPr>
        <w:pStyle w:val="a7"/>
        <w:rPr>
          <w:rFonts w:hint="eastAsia"/>
          <w:lang w:val="de-DE"/>
        </w:rPr>
      </w:pPr>
    </w:p>
    <w:p w:rsidR="00000000" w:rsidRDefault="00917CC1">
      <w:pPr>
        <w:pStyle w:val="a7"/>
        <w:rPr>
          <w:rFonts w:hint="eastAsia"/>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4B4255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04CA198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78C3CAE"/>
    <w:multiLevelType w:val="singleLevel"/>
    <w:tmpl w:val="1DF81F44"/>
    <w:lvl w:ilvl="0">
      <w:numFmt w:val="bullet"/>
      <w:lvlText w:val="-"/>
      <w:lvlJc w:val="left"/>
      <w:pPr>
        <w:tabs>
          <w:tab w:val="num" w:pos="360"/>
        </w:tabs>
        <w:ind w:left="360" w:hanging="360"/>
      </w:pPr>
      <w:rPr>
        <w:rFonts w:ascii="Times New Roman" w:eastAsia="新細明體" w:hAnsi="Times New Roman" w:hint="default"/>
      </w:rPr>
    </w:lvl>
  </w:abstractNum>
  <w:abstractNum w:abstractNumId="3" w15:restartNumberingAfterBreak="0">
    <w:nsid w:val="1C872CFD"/>
    <w:multiLevelType w:val="singleLevel"/>
    <w:tmpl w:val="2528E248"/>
    <w:lvl w:ilvl="0">
      <w:numFmt w:val="bullet"/>
      <w:lvlText w:val="-"/>
      <w:lvlJc w:val="left"/>
      <w:pPr>
        <w:tabs>
          <w:tab w:val="num" w:pos="360"/>
        </w:tabs>
        <w:ind w:left="360" w:hanging="360"/>
      </w:pPr>
      <w:rPr>
        <w:rFonts w:ascii="Times New Roman" w:eastAsia="新細明體" w:hAnsi="Times New Roman" w:hint="default"/>
      </w:rPr>
    </w:lvl>
  </w:abstractNum>
  <w:abstractNum w:abstractNumId="4" w15:restartNumberingAfterBreak="0">
    <w:nsid w:val="226C4F0F"/>
    <w:multiLevelType w:val="singleLevel"/>
    <w:tmpl w:val="4DECD538"/>
    <w:lvl w:ilvl="0">
      <w:start w:val="1"/>
      <w:numFmt w:val="upperRoman"/>
      <w:lvlText w:val="%1."/>
      <w:lvlJc w:val="left"/>
      <w:pPr>
        <w:tabs>
          <w:tab w:val="num" w:pos="255"/>
        </w:tabs>
        <w:ind w:left="255" w:hanging="255"/>
      </w:pPr>
      <w:rPr>
        <w:rFonts w:hint="default"/>
      </w:rPr>
    </w:lvl>
  </w:abstractNum>
  <w:abstractNum w:abstractNumId="5" w15:restartNumberingAfterBreak="0">
    <w:nsid w:val="409C7007"/>
    <w:multiLevelType w:val="singleLevel"/>
    <w:tmpl w:val="1EA4BB70"/>
    <w:lvl w:ilvl="0">
      <w:numFmt w:val="bullet"/>
      <w:lvlText w:val="-"/>
      <w:lvlJc w:val="left"/>
      <w:pPr>
        <w:tabs>
          <w:tab w:val="num" w:pos="360"/>
        </w:tabs>
        <w:ind w:left="360" w:hanging="360"/>
      </w:pPr>
      <w:rPr>
        <w:rFonts w:ascii="Times New Roman" w:eastAsia="新細明體" w:hAnsi="Times New Roman"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F3"/>
    <w:rsid w:val="005E0BF3"/>
    <w:rsid w:val="00917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72CCF-460C-42F1-BA2A-E9290EB0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autoRedefine/>
    <w:qFormat/>
    <w:pPr>
      <w:keepNext/>
      <w:spacing w:before="180" w:after="180" w:line="720" w:lineRule="auto"/>
      <w:outlineLvl w:val="0"/>
    </w:pPr>
    <w:rPr>
      <w:rFonts w:ascii="新細明體" w:hAnsi="新細明體"/>
      <w:b/>
      <w:bCs/>
      <w:color w:val="000000"/>
      <w:kern w:val="52"/>
      <w:sz w:val="52"/>
      <w:szCs w:val="52"/>
      <w:lang w:val="de-DE"/>
    </w:rPr>
  </w:style>
  <w:style w:type="paragraph" w:styleId="2">
    <w:name w:val="heading 2"/>
    <w:basedOn w:val="a"/>
    <w:next w:val="a"/>
    <w:autoRedefine/>
    <w:qFormat/>
    <w:pPr>
      <w:keepNext/>
      <w:spacing w:after="180" w:line="720" w:lineRule="auto"/>
      <w:outlineLvl w:val="1"/>
    </w:pPr>
    <w:rPr>
      <w:rFonts w:ascii="新細明體" w:hAnsi="新細明體"/>
      <w:b/>
      <w:bCs/>
      <w:color w:val="000000"/>
      <w:sz w:val="48"/>
      <w:lang w:val="de-DE"/>
    </w:rPr>
  </w:style>
  <w:style w:type="paragraph" w:styleId="3">
    <w:name w:val="heading 3"/>
    <w:basedOn w:val="a"/>
    <w:next w:val="a"/>
    <w:autoRedefine/>
    <w:qFormat/>
    <w:pPr>
      <w:keepNext/>
      <w:spacing w:after="180"/>
      <w:outlineLvl w:val="2"/>
    </w:pPr>
    <w:rPr>
      <w:rFonts w:ascii="新細明體" w:hAnsi="新細明體"/>
      <w:b/>
      <w:bCs/>
      <w:color w:val="000000"/>
      <w:sz w:val="36"/>
      <w:szCs w:val="36"/>
    </w:rPr>
  </w:style>
  <w:style w:type="paragraph" w:styleId="4">
    <w:name w:val="heading 4"/>
    <w:basedOn w:val="a"/>
    <w:next w:val="a"/>
    <w:autoRedefine/>
    <w:qFormat/>
    <w:pPr>
      <w:keepNext/>
      <w:adjustRightInd/>
      <w:spacing w:line="720" w:lineRule="auto"/>
      <w:textAlignment w:val="auto"/>
      <w:outlineLvl w:val="3"/>
    </w:pPr>
    <w:rPr>
      <w:rFonts w:ascii="新細明體" w:hAnsi="新細明體"/>
      <w:color w:val="000000"/>
      <w:kern w:val="0"/>
      <w:sz w:val="36"/>
      <w:szCs w:val="36"/>
    </w:rPr>
  </w:style>
  <w:style w:type="paragraph" w:styleId="5">
    <w:name w:val="heading 5"/>
    <w:basedOn w:val="a"/>
    <w:next w:val="a"/>
    <w:autoRedefine/>
    <w:qFormat/>
    <w:pPr>
      <w:keepNext/>
      <w:adjustRightInd/>
      <w:textAlignment w:val="auto"/>
      <w:outlineLvl w:val="4"/>
    </w:pPr>
    <w:rPr>
      <w:rFonts w:ascii="新細明體" w:hAnsi="新細明體"/>
      <w:b/>
      <w:sz w:val="36"/>
      <w:szCs w:val="36"/>
    </w:rPr>
  </w:style>
  <w:style w:type="paragraph" w:styleId="6">
    <w:name w:val="heading 6"/>
    <w:basedOn w:val="a"/>
    <w:next w:val="a"/>
    <w:autoRedefine/>
    <w:qFormat/>
    <w:pPr>
      <w:keepNext/>
      <w:adjustRightInd/>
      <w:ind w:left="281"/>
      <w:textAlignment w:val="auto"/>
      <w:outlineLvl w:val="5"/>
    </w:pPr>
    <w:rPr>
      <w:rFonts w:ascii="新細明體" w:hAnsi="新細明體"/>
      <w:color w:val="000000"/>
      <w:sz w:val="28"/>
      <w:szCs w:val="36"/>
    </w:rPr>
  </w:style>
  <w:style w:type="paragraph" w:styleId="7">
    <w:name w:val="heading 7"/>
    <w:basedOn w:val="a"/>
    <w:next w:val="a"/>
    <w:qFormat/>
    <w:pPr>
      <w:keepNext/>
      <w:adjustRightInd/>
      <w:spacing w:line="720" w:lineRule="auto"/>
      <w:textAlignment w:val="auto"/>
      <w:outlineLvl w:val="6"/>
    </w:pPr>
    <w:rPr>
      <w:rFonts w:ascii="Arial" w:hAnsi="Arial"/>
      <w:b/>
      <w:bCs/>
      <w:sz w:val="36"/>
      <w:szCs w:val="36"/>
    </w:rPr>
  </w:style>
  <w:style w:type="paragraph" w:styleId="8">
    <w:name w:val="heading 8"/>
    <w:basedOn w:val="a"/>
    <w:next w:val="a"/>
    <w:qFormat/>
    <w:pPr>
      <w:keepNext/>
      <w:adjustRightInd/>
      <w:spacing w:line="720" w:lineRule="auto"/>
      <w:textAlignment w:val="auto"/>
      <w:outlineLvl w:val="7"/>
    </w:pPr>
    <w:rPr>
      <w:rFonts w:ascii="Arial" w:hAnsi="Arial"/>
      <w:sz w:val="36"/>
      <w:szCs w:val="36"/>
    </w:rPr>
  </w:style>
  <w:style w:type="paragraph" w:styleId="9">
    <w:name w:val="heading 9"/>
    <w:basedOn w:val="a"/>
    <w:next w:val="a"/>
    <w:qFormat/>
    <w:pPr>
      <w:keepNext/>
      <w:adjustRightInd/>
      <w:spacing w:line="720" w:lineRule="auto"/>
      <w:textAlignment w:val="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left="540" w:hanging="540"/>
      <w:jc w:val="both"/>
    </w:pPr>
    <w:rPr>
      <w:rFonts w:ascii="標楷體" w:eastAsia="標楷體"/>
    </w:rPr>
  </w:style>
  <w:style w:type="paragraph" w:styleId="a3">
    <w:name w:val="Date"/>
    <w:basedOn w:val="a"/>
    <w:next w:val="a"/>
    <w:semiHidden/>
    <w:pPr>
      <w:jc w:val="right"/>
    </w:pPr>
    <w:rPr>
      <w:rFonts w:eastAsia="標楷體"/>
      <w:sz w:val="28"/>
      <w:lang w:val="de-DE"/>
    </w:rPr>
  </w:style>
  <w:style w:type="paragraph" w:styleId="a4">
    <w:name w:val="Title"/>
    <w:basedOn w:val="a"/>
    <w:qFormat/>
    <w:pPr>
      <w:adjustRightInd/>
      <w:jc w:val="center"/>
      <w:textAlignment w:val="auto"/>
    </w:pPr>
    <w:rPr>
      <w:sz w:val="28"/>
    </w:rPr>
  </w:style>
  <w:style w:type="character" w:styleId="a5">
    <w:name w:val="Hyperlink"/>
    <w:basedOn w:val="a0"/>
    <w:semiHidden/>
    <w:rPr>
      <w:color w:val="0000FF"/>
      <w:u w:val="single"/>
    </w:rPr>
  </w:style>
  <w:style w:type="character" w:styleId="a6">
    <w:name w:val="footnote reference"/>
    <w:basedOn w:val="a0"/>
    <w:semiHidden/>
    <w:rPr>
      <w:vertAlign w:val="superscript"/>
    </w:rPr>
  </w:style>
  <w:style w:type="paragraph" w:styleId="a7">
    <w:name w:val="footnote text"/>
    <w:basedOn w:val="a"/>
    <w:semiHidden/>
    <w:pPr>
      <w:adjustRightInd/>
      <w:snapToGrid w:val="0"/>
      <w:textAlignment w:val="auto"/>
    </w:pPr>
    <w:rPr>
      <w:sz w:val="20"/>
    </w:rPr>
  </w:style>
  <w:style w:type="paragraph" w:styleId="a8">
    <w:name w:val="Body Text"/>
    <w:basedOn w:val="a"/>
    <w:semiHidden/>
    <w:pPr>
      <w:widowControl/>
      <w:adjustRightInd/>
      <w:textAlignment w:val="auto"/>
    </w:pPr>
    <w:rPr>
      <w:rFonts w:ascii="Verdana" w:hAnsi="Verdana"/>
      <w:noProof/>
      <w:kern w:val="0"/>
      <w:sz w:val="20"/>
    </w:rPr>
  </w:style>
  <w:style w:type="character" w:styleId="a9">
    <w:name w:val="FollowedHyperlink"/>
    <w:basedOn w:val="a0"/>
    <w:semiHidden/>
    <w:rPr>
      <w:color w:val="800080"/>
      <w:u w:val="single"/>
    </w:rPr>
  </w:style>
  <w:style w:type="paragraph" w:styleId="aa">
    <w:name w:val="footer"/>
    <w:basedOn w:val="a"/>
    <w:semiHidden/>
    <w:pPr>
      <w:tabs>
        <w:tab w:val="center" w:pos="4320"/>
        <w:tab w:val="right" w:pos="8640"/>
      </w:tabs>
      <w:adjustRightInd/>
      <w:snapToGrid w:val="0"/>
      <w:textAlignment w:val="auto"/>
    </w:pPr>
    <w:rPr>
      <w:sz w:val="20"/>
    </w:rPr>
  </w:style>
  <w:style w:type="paragraph" w:styleId="ab">
    <w:name w:val="header"/>
    <w:basedOn w:val="a"/>
    <w:semiHidden/>
    <w:pPr>
      <w:tabs>
        <w:tab w:val="center" w:pos="4320"/>
        <w:tab w:val="right" w:pos="8640"/>
      </w:tabs>
      <w:adjustRightInd/>
      <w:snapToGrid w:val="0"/>
      <w:textAlignment w:val="auto"/>
    </w:pPr>
    <w:rPr>
      <w:sz w:val="20"/>
    </w:rPr>
  </w:style>
  <w:style w:type="character" w:customStyle="1" w:styleId="term">
    <w:name w:val="term"/>
    <w:basedOn w:val="a0"/>
  </w:style>
  <w:style w:type="paragraph" w:styleId="10">
    <w:name w:val="toc 1"/>
    <w:basedOn w:val="a"/>
    <w:next w:val="a"/>
    <w:autoRedefine/>
    <w:semiHidden/>
    <w:pPr>
      <w:adjustRightInd/>
      <w:textAlignment w:val="auto"/>
    </w:pPr>
  </w:style>
  <w:style w:type="paragraph" w:styleId="ac">
    <w:name w:val="Body Text Indent"/>
    <w:basedOn w:val="a"/>
    <w:semiHidden/>
    <w:pPr>
      <w:widowControl/>
      <w:adjustRightInd/>
      <w:spacing w:afterLines="50" w:after="180"/>
      <w:ind w:firstLineChars="200" w:firstLine="480"/>
      <w:jc w:val="both"/>
      <w:textAlignment w:val="auto"/>
    </w:pPr>
    <w:rPr>
      <w:szCs w:val="24"/>
    </w:rPr>
  </w:style>
  <w:style w:type="paragraph" w:styleId="Web">
    <w:name w:val="Normal (Web)"/>
    <w:basedOn w:val="a"/>
    <w:semiHidden/>
    <w:pPr>
      <w:widowControl/>
      <w:adjustRightInd/>
      <w:spacing w:before="100" w:beforeAutospacing="1" w:after="100" w:afterAutospacing="1" w:line="360" w:lineRule="auto"/>
      <w:textAlignment w:val="auto"/>
    </w:pPr>
    <w:rPr>
      <w:rFonts w:ascii="新細明體" w:hAnsi="新細明體"/>
      <w:kern w:val="0"/>
      <w:szCs w:val="24"/>
    </w:rPr>
  </w:style>
  <w:style w:type="paragraph" w:styleId="20">
    <w:name w:val="Body Text Indent 2"/>
    <w:basedOn w:val="a"/>
    <w:semiHidden/>
    <w:pPr>
      <w:widowControl/>
      <w:adjustRightInd/>
      <w:spacing w:afterLines="50" w:after="180"/>
      <w:ind w:left="480" w:hangingChars="200" w:hanging="480"/>
      <w:jc w:val="both"/>
      <w:textAlignment w:val="auto"/>
    </w:pPr>
    <w:rPr>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Courier New"/>
      <w:kern w:val="0"/>
      <w:sz w:val="20"/>
    </w:rPr>
  </w:style>
  <w:style w:type="paragraph" w:styleId="ad">
    <w:name w:val="Plain Text"/>
    <w:basedOn w:val="a"/>
    <w:semiHidden/>
    <w:pPr>
      <w:adjustRightInd/>
      <w:textAlignment w:val="auto"/>
    </w:pPr>
    <w:rPr>
      <w:rFonts w:ascii="細明體" w:eastAsia="細明體" w:hAnsi="Courier New"/>
    </w:rPr>
  </w:style>
  <w:style w:type="character" w:styleId="ae">
    <w:name w:val="Strong"/>
    <w:basedOn w:val="a0"/>
    <w:qFormat/>
    <w:rPr>
      <w:b/>
      <w:bCs/>
    </w:rPr>
  </w:style>
  <w:style w:type="character" w:customStyle="1" w:styleId="title1">
    <w:name w:val="title1"/>
    <w:basedOn w:val="a0"/>
    <w:rPr>
      <w:rFonts w:ascii="標楷體" w:eastAsia="標楷體" w:hAnsi="標楷體" w:hint="eastAsia"/>
      <w:color w:val="834303"/>
      <w:sz w:val="28"/>
      <w:szCs w:val="28"/>
    </w:rPr>
  </w:style>
  <w:style w:type="character" w:customStyle="1" w:styleId="bodystr1">
    <w:name w:val="bodystr1"/>
    <w:basedOn w:val="a0"/>
    <w:rPr>
      <w:rFonts w:ascii="Arial" w:hAnsi="Arial" w:cs="Arial" w:hint="default"/>
      <w:sz w:val="20"/>
      <w:szCs w:val="20"/>
    </w:rPr>
  </w:style>
  <w:style w:type="character" w:customStyle="1" w:styleId="titlestr1">
    <w:name w:val="titlestr1"/>
    <w:basedOn w:val="a0"/>
    <w:rPr>
      <w:rFonts w:ascii="Arial" w:hAnsi="Arial" w:cs="Arial" w:hint="default"/>
      <w:sz w:val="24"/>
      <w:szCs w:val="24"/>
    </w:rPr>
  </w:style>
  <w:style w:type="paragraph" w:styleId="af">
    <w:name w:val="List Bullet"/>
    <w:basedOn w:val="a"/>
    <w:autoRedefine/>
    <w:semiHidden/>
    <w:pPr>
      <w:numPr>
        <w:numId w:val="5"/>
      </w:numPr>
      <w:adjustRightInd/>
      <w:textAlignment w:val="auto"/>
    </w:pPr>
    <w:rPr>
      <w:szCs w:val="24"/>
    </w:rPr>
  </w:style>
  <w:style w:type="paragraph" w:styleId="21">
    <w:name w:val="List Bullet 2"/>
    <w:basedOn w:val="a"/>
    <w:autoRedefine/>
    <w:semiHidden/>
    <w:pPr>
      <w:numPr>
        <w:numId w:val="6"/>
      </w:numPr>
      <w:adjustRightInd/>
      <w:textAlignment w:val="auto"/>
    </w:pPr>
    <w:rPr>
      <w:szCs w:val="24"/>
    </w:rPr>
  </w:style>
  <w:style w:type="paragraph" w:customStyle="1" w:styleId="af0">
    <w:name w:val="寄件者簡短地址"/>
    <w:basedOn w:val="a"/>
    <w:pPr>
      <w:adjustRightInd/>
      <w:textAlignment w:val="auto"/>
    </w:pPr>
    <w:rPr>
      <w:szCs w:val="24"/>
    </w:rPr>
  </w:style>
  <w:style w:type="paragraph" w:customStyle="1" w:styleId="PPLine">
    <w:name w:val="PP Line"/>
    <w:basedOn w:val="af1"/>
  </w:style>
  <w:style w:type="paragraph" w:styleId="af1">
    <w:name w:val="Signature"/>
    <w:basedOn w:val="a"/>
    <w:semiHidden/>
    <w:pPr>
      <w:adjustRightInd/>
      <w:ind w:leftChars="1800" w:left="100"/>
      <w:textAlignment w:val="auto"/>
    </w:pPr>
    <w:rPr>
      <w:szCs w:val="24"/>
    </w:rPr>
  </w:style>
  <w:style w:type="paragraph" w:customStyle="1" w:styleId="af2">
    <w:name w:val="地址內名稱"/>
    <w:basedOn w:val="a"/>
    <w:pPr>
      <w:adjustRightInd/>
      <w:textAlignment w:val="auto"/>
    </w:pPr>
    <w:rPr>
      <w:szCs w:val="24"/>
    </w:rPr>
  </w:style>
  <w:style w:type="character" w:styleId="af3">
    <w:name w:val="page number"/>
    <w:basedOn w:val="a0"/>
    <w:semiHidden/>
  </w:style>
  <w:style w:type="paragraph" w:styleId="22">
    <w:name w:val="toc 2"/>
    <w:basedOn w:val="a"/>
    <w:next w:val="a"/>
    <w:autoRedefine/>
    <w:semiHidden/>
    <w:pPr>
      <w:ind w:leftChars="200" w:left="480"/>
    </w:pPr>
  </w:style>
  <w:style w:type="paragraph" w:styleId="30">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0">
    <w:name w:val="toc 6"/>
    <w:basedOn w:val="a"/>
    <w:next w:val="a"/>
    <w:autoRedefine/>
    <w:semiHidden/>
    <w:pPr>
      <w:ind w:leftChars="1000" w:left="2400"/>
    </w:pPr>
  </w:style>
  <w:style w:type="paragraph" w:styleId="70">
    <w:name w:val="toc 7"/>
    <w:basedOn w:val="a"/>
    <w:next w:val="a"/>
    <w:autoRedefine/>
    <w:semiHidden/>
    <w:pPr>
      <w:ind w:leftChars="1200" w:left="2880"/>
    </w:pPr>
  </w:style>
  <w:style w:type="paragraph" w:styleId="80">
    <w:name w:val="toc 8"/>
    <w:basedOn w:val="a"/>
    <w:next w:val="a"/>
    <w:autoRedefine/>
    <w:semiHidden/>
    <w:pPr>
      <w:ind w:leftChars="1400" w:left="3360"/>
    </w:pPr>
  </w:style>
  <w:style w:type="paragraph" w:styleId="90">
    <w:name w:val="toc 9"/>
    <w:basedOn w:val="a"/>
    <w:next w:val="a"/>
    <w:autoRedefine/>
    <w:semiHidden/>
    <w:pPr>
      <w:ind w:leftChars="1600" w:left="3840"/>
    </w:pPr>
  </w:style>
  <w:style w:type="paragraph" w:styleId="31">
    <w:name w:val="Body Text Indent 3"/>
    <w:basedOn w:val="a"/>
    <w:semiHidden/>
    <w:pPr>
      <w:adjustRightInd/>
      <w:spacing w:line="240" w:lineRule="atLeast"/>
      <w:ind w:leftChars="333" w:left="799" w:firstLineChars="100" w:firstLine="240"/>
      <w:textAlignment w:val="auto"/>
    </w:pPr>
    <w:rPr>
      <w:rFonts w:ascii="新細明體" w:hAnsi="新細明體"/>
      <w:color w:val="000000"/>
      <w:szCs w:val="24"/>
    </w:rPr>
  </w:style>
  <w:style w:type="paragraph" w:styleId="af4">
    <w:name w:val="annotation text"/>
    <w:basedOn w:val="a"/>
    <w:semiHidden/>
    <w:pPr>
      <w:adjustRightInd/>
      <w:textAlignment w:val="auto"/>
    </w:pPr>
    <w:rPr>
      <w:szCs w:val="24"/>
    </w:rPr>
  </w:style>
  <w:style w:type="paragraph" w:styleId="23">
    <w:name w:val="Body Text 2"/>
    <w:basedOn w:val="a"/>
    <w:semiHidden/>
    <w:pPr>
      <w:adjustRightInd/>
      <w:spacing w:line="0" w:lineRule="atLeast"/>
      <w:textAlignment w:val="auto"/>
    </w:pPr>
    <w:rPr>
      <w:sz w:val="20"/>
    </w:rPr>
  </w:style>
  <w:style w:type="paragraph" w:styleId="af5">
    <w:name w:val="List"/>
    <w:basedOn w:val="a"/>
    <w:semiHidden/>
    <w:pPr>
      <w:adjustRightInd/>
      <w:ind w:leftChars="200" w:left="100" w:hangingChars="200" w:hanging="200"/>
      <w:textAlignment w:val="auto"/>
    </w:pPr>
    <w:rPr>
      <w:szCs w:val="24"/>
    </w:rPr>
  </w:style>
  <w:style w:type="paragraph" w:styleId="24">
    <w:name w:val="List 2"/>
    <w:basedOn w:val="a"/>
    <w:semiHidden/>
    <w:pPr>
      <w:adjustRightInd/>
      <w:ind w:leftChars="400" w:left="100" w:hangingChars="200" w:hanging="200"/>
      <w:textAlignment w:val="auto"/>
    </w:pPr>
    <w:rPr>
      <w:szCs w:val="24"/>
    </w:rPr>
  </w:style>
  <w:style w:type="paragraph" w:styleId="32">
    <w:name w:val="List 3"/>
    <w:basedOn w:val="a"/>
    <w:semiHidden/>
    <w:pPr>
      <w:adjustRightInd/>
      <w:ind w:leftChars="600" w:left="100" w:hangingChars="200" w:hanging="200"/>
      <w:textAlignment w:val="auto"/>
    </w:pPr>
    <w:rPr>
      <w:szCs w:val="24"/>
    </w:rPr>
  </w:style>
  <w:style w:type="paragraph" w:styleId="41">
    <w:name w:val="List 4"/>
    <w:basedOn w:val="a"/>
    <w:semiHidden/>
    <w:pPr>
      <w:adjustRightInd/>
      <w:ind w:leftChars="800" w:left="100" w:hangingChars="200" w:hanging="200"/>
      <w:textAlignment w:val="auto"/>
    </w:pPr>
    <w:rPr>
      <w:szCs w:val="24"/>
    </w:rPr>
  </w:style>
  <w:style w:type="paragraph" w:styleId="51">
    <w:name w:val="List 5"/>
    <w:basedOn w:val="a"/>
    <w:semiHidden/>
    <w:pPr>
      <w:adjustRightInd/>
      <w:ind w:leftChars="1000" w:left="100" w:hangingChars="200" w:hanging="200"/>
      <w:textAlignment w:val="auto"/>
    </w:pPr>
    <w:rPr>
      <w:szCs w:val="24"/>
    </w:rPr>
  </w:style>
  <w:style w:type="paragraph" w:styleId="af6">
    <w:name w:val="List Continue"/>
    <w:basedOn w:val="a"/>
    <w:semiHidden/>
    <w:pPr>
      <w:adjustRightInd/>
      <w:spacing w:after="120"/>
      <w:ind w:leftChars="200" w:left="480"/>
      <w:textAlignment w:val="auto"/>
    </w:pPr>
    <w:rPr>
      <w:szCs w:val="24"/>
    </w:rPr>
  </w:style>
  <w:style w:type="paragraph" w:styleId="25">
    <w:name w:val="List Continue 2"/>
    <w:basedOn w:val="a"/>
    <w:semiHidden/>
    <w:pPr>
      <w:adjustRightInd/>
      <w:spacing w:after="120"/>
      <w:ind w:leftChars="400" w:left="960"/>
      <w:textAlignment w:val="auto"/>
    </w:pPr>
    <w:rPr>
      <w:szCs w:val="24"/>
    </w:rPr>
  </w:style>
  <w:style w:type="paragraph" w:styleId="33">
    <w:name w:val="List Continue 3"/>
    <w:basedOn w:val="a"/>
    <w:semiHidden/>
    <w:pPr>
      <w:adjustRightInd/>
      <w:spacing w:after="120"/>
      <w:ind w:leftChars="600" w:left="1440"/>
      <w:textAlignment w:val="auto"/>
    </w:pPr>
    <w:rPr>
      <w:szCs w:val="24"/>
    </w:rPr>
  </w:style>
  <w:style w:type="paragraph" w:styleId="52">
    <w:name w:val="List Continue 5"/>
    <w:basedOn w:val="a"/>
    <w:semiHidden/>
    <w:pPr>
      <w:adjustRightInd/>
      <w:spacing w:after="120"/>
      <w:ind w:leftChars="1000" w:left="2400"/>
      <w:textAlignment w:val="auto"/>
    </w:pPr>
    <w:rPr>
      <w:szCs w:val="24"/>
    </w:rPr>
  </w:style>
  <w:style w:type="paragraph" w:styleId="af7">
    <w:name w:val="Normal Indent"/>
    <w:basedOn w:val="a"/>
    <w:semiHidden/>
    <w:pPr>
      <w:adjustRightInd/>
      <w:ind w:leftChars="200"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5127</Words>
  <Characters>29228</Characters>
  <Application>Microsoft Office Word</Application>
  <DocSecurity>0</DocSecurity>
  <Lines>243</Lines>
  <Paragraphs>68</Paragraphs>
  <ScaleCrop>false</ScaleCrop>
  <Company>楊氏一族</Company>
  <LinksUpToDate>false</LinksUpToDate>
  <CharactersWithSpaces>34287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委員會的專業化</dc:title>
  <dc:subject/>
  <dc:creator>In-Chin Chen</dc:creator>
  <cp:keywords/>
  <dc:description/>
  <cp:lastModifiedBy>卓卿雲</cp:lastModifiedBy>
  <cp:revision>2</cp:revision>
  <cp:lastPrinted>2001-07-15T02:17:00Z</cp:lastPrinted>
  <dcterms:created xsi:type="dcterms:W3CDTF">2021-09-22T11:01:00Z</dcterms:created>
  <dcterms:modified xsi:type="dcterms:W3CDTF">2021-09-22T11:01:00Z</dcterms:modified>
</cp:coreProperties>
</file>