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061B">
      <w:pPr>
        <w:pStyle w:val="1"/>
        <w:rPr>
          <w:rFonts w:hint="eastAsia"/>
        </w:rPr>
      </w:pPr>
      <w:bookmarkStart w:id="0" w:name="_Toc535245907"/>
      <w:bookmarkStart w:id="1" w:name="_GoBack"/>
      <w:bookmarkEnd w:id="1"/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導論</w:t>
      </w:r>
      <w:bookmarkEnd w:id="0"/>
    </w:p>
    <w:p w:rsidR="00000000" w:rsidRDefault="005A061B">
      <w:pPr>
        <w:pStyle w:val="2"/>
        <w:rPr>
          <w:rFonts w:hint="eastAsia"/>
        </w:rPr>
      </w:pPr>
      <w:bookmarkStart w:id="2" w:name="_Toc535245908"/>
      <w:r>
        <w:rPr>
          <w:rFonts w:hint="eastAsia"/>
        </w:rPr>
        <w:t>第一節</w:t>
      </w:r>
      <w:r>
        <w:rPr>
          <w:rFonts w:hint="eastAsia"/>
        </w:rPr>
        <w:t xml:space="preserve">  </w:t>
      </w:r>
      <w:r>
        <w:rPr>
          <w:rFonts w:hint="eastAsia"/>
        </w:rPr>
        <w:t>研究緣起與目的</w:t>
      </w:r>
      <w:bookmarkEnd w:id="2"/>
    </w:p>
    <w:p w:rsidR="00000000" w:rsidRDefault="005A061B">
      <w:pPr>
        <w:numPr>
          <w:ilvl w:val="12"/>
          <w:numId w:val="0"/>
        </w:numPr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在先進民主國家中，行政中立之概念經過法治實踐，率皆已經內化成為政治文化的</w:t>
      </w:r>
      <w:proofErr w:type="gramStart"/>
      <w:r>
        <w:rPr>
          <w:rFonts w:ascii="新細明體" w:hAnsi="新細明體" w:hint="eastAsia"/>
          <w:color w:val="000000"/>
        </w:rPr>
        <w:t>一</w:t>
      </w:r>
      <w:proofErr w:type="gramEnd"/>
      <w:r>
        <w:rPr>
          <w:rFonts w:ascii="新細明體" w:hAnsi="新細明體" w:hint="eastAsia"/>
          <w:color w:val="000000"/>
        </w:rPr>
        <w:t>部份，而普遍成為一種公務人員共同信守之行為規範。至於我國，由於過去長期</w:t>
      </w:r>
      <w:proofErr w:type="gramStart"/>
      <w:r>
        <w:rPr>
          <w:rFonts w:ascii="新細明體" w:hAnsi="新細明體" w:hint="eastAsia"/>
          <w:color w:val="000000"/>
        </w:rPr>
        <w:t>一</w:t>
      </w:r>
      <w:proofErr w:type="gramEnd"/>
      <w:r>
        <w:rPr>
          <w:rFonts w:ascii="新細明體" w:hAnsi="新細明體" w:hint="eastAsia"/>
          <w:color w:val="000000"/>
        </w:rPr>
        <w:t>黨獨大，執政五十幾年，公務員對於行政中立之觀念相對較為淡泊。隨著解嚴、開放黨禁、終止戡亂時期，政治生態急劇變化，政黨政治之運作日漸成形，尤其自政黨輪替之後，建立公務人員行政中立之制度保障更形迫切。考試院因應我國民主政治之發展趨勢，曾擬定「公務人員行政中立法草案」，於</w:t>
      </w:r>
      <w:r>
        <w:rPr>
          <w:rFonts w:ascii="新細明體" w:hAnsi="新細明體"/>
          <w:color w:val="000000"/>
        </w:rPr>
        <w:t>1994</w:t>
      </w:r>
      <w:r>
        <w:rPr>
          <w:rFonts w:ascii="新細明體" w:hAnsi="新細明體" w:hint="eastAsia"/>
          <w:color w:val="000000"/>
        </w:rPr>
        <w:t>年</w:t>
      </w:r>
      <w:r>
        <w:rPr>
          <w:rFonts w:ascii="新細明體" w:hAnsi="新細明體"/>
          <w:color w:val="000000"/>
        </w:rPr>
        <w:t>12</w:t>
      </w:r>
      <w:r>
        <w:rPr>
          <w:rFonts w:ascii="新細明體" w:hAnsi="新細明體" w:hint="eastAsia"/>
          <w:color w:val="000000"/>
        </w:rPr>
        <w:t>月</w:t>
      </w:r>
      <w:r>
        <w:rPr>
          <w:rFonts w:ascii="新細明體" w:hAnsi="新細明體"/>
          <w:color w:val="000000"/>
        </w:rPr>
        <w:t>30</w:t>
      </w:r>
      <w:r>
        <w:rPr>
          <w:rFonts w:ascii="新細明體" w:hAnsi="新細明體" w:hint="eastAsia"/>
          <w:color w:val="000000"/>
        </w:rPr>
        <w:t>日函請立法院審議。</w:t>
      </w:r>
      <w:proofErr w:type="gramStart"/>
      <w:r>
        <w:rPr>
          <w:rFonts w:ascii="新細明體" w:hAnsi="新細明體" w:hint="eastAsia"/>
          <w:color w:val="000000"/>
        </w:rPr>
        <w:t>嗣</w:t>
      </w:r>
      <w:proofErr w:type="gramEnd"/>
      <w:r>
        <w:rPr>
          <w:rFonts w:ascii="新細明體" w:hAnsi="新細明體" w:hint="eastAsia"/>
          <w:color w:val="000000"/>
        </w:rPr>
        <w:t>立法院法制</w:t>
      </w:r>
      <w:r>
        <w:rPr>
          <w:rFonts w:ascii="新細明體" w:hAnsi="新細明體" w:hint="eastAsia"/>
          <w:color w:val="000000"/>
        </w:rPr>
        <w:t>委員會於</w:t>
      </w:r>
      <w:r>
        <w:rPr>
          <w:rFonts w:ascii="新細明體" w:hAnsi="新細明體"/>
          <w:color w:val="000000"/>
        </w:rPr>
        <w:t>1995</w:t>
      </w:r>
      <w:r>
        <w:rPr>
          <w:rFonts w:ascii="新細明體" w:hAnsi="新細明體" w:hint="eastAsia"/>
          <w:color w:val="000000"/>
        </w:rPr>
        <w:t>年三月及十月完成答</w:t>
      </w:r>
      <w:proofErr w:type="gramStart"/>
      <w:r>
        <w:rPr>
          <w:rFonts w:ascii="新細明體" w:hAnsi="新細明體" w:hint="eastAsia"/>
          <w:color w:val="000000"/>
        </w:rPr>
        <w:t>詢</w:t>
      </w:r>
      <w:proofErr w:type="gramEnd"/>
      <w:r>
        <w:rPr>
          <w:rFonts w:ascii="新細明體" w:hAnsi="新細明體" w:hint="eastAsia"/>
          <w:color w:val="000000"/>
        </w:rPr>
        <w:t>及大體討論，並決議</w:t>
      </w:r>
      <w:proofErr w:type="gramStart"/>
      <w:r>
        <w:rPr>
          <w:rFonts w:ascii="新細明體" w:hAnsi="新細明體" w:hint="eastAsia"/>
          <w:color w:val="000000"/>
        </w:rPr>
        <w:t>俟</w:t>
      </w:r>
      <w:proofErr w:type="gramEnd"/>
      <w:r>
        <w:rPr>
          <w:rFonts w:ascii="新細明體" w:hAnsi="新細明體" w:hint="eastAsia"/>
          <w:color w:val="000000"/>
        </w:rPr>
        <w:t>政務人員法草案送達後，再行</w:t>
      </w:r>
      <w:proofErr w:type="gramStart"/>
      <w:r>
        <w:rPr>
          <w:rFonts w:ascii="新細明體" w:hAnsi="新細明體" w:hint="eastAsia"/>
          <w:color w:val="000000"/>
        </w:rPr>
        <w:t>併</w:t>
      </w:r>
      <w:proofErr w:type="gramEnd"/>
      <w:r>
        <w:rPr>
          <w:rFonts w:ascii="新細明體" w:hAnsi="新細明體" w:hint="eastAsia"/>
          <w:color w:val="000000"/>
        </w:rPr>
        <w:t>案審查。</w:t>
      </w:r>
    </w:p>
    <w:p w:rsidR="00000000" w:rsidRDefault="005A061B">
      <w:pPr>
        <w:numPr>
          <w:ilvl w:val="12"/>
          <w:numId w:val="0"/>
        </w:numPr>
        <w:ind w:firstLineChars="200" w:firstLine="480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/>
          <w:color w:val="000000"/>
        </w:rPr>
        <w:t>1996</w:t>
      </w:r>
      <w:r>
        <w:rPr>
          <w:rFonts w:ascii="新細明體" w:hAnsi="新細明體" w:hint="eastAsia"/>
          <w:color w:val="000000"/>
        </w:rPr>
        <w:t>年</w:t>
      </w:r>
      <w:r>
        <w:rPr>
          <w:rFonts w:ascii="新細明體" w:hAnsi="新細明體"/>
          <w:color w:val="000000"/>
        </w:rPr>
        <w:t>11</w:t>
      </w:r>
      <w:r>
        <w:rPr>
          <w:rFonts w:ascii="新細明體" w:hAnsi="新細明體" w:hint="eastAsia"/>
          <w:color w:val="000000"/>
        </w:rPr>
        <w:t>月</w:t>
      </w:r>
      <w:r>
        <w:rPr>
          <w:rFonts w:ascii="新細明體" w:hAnsi="新細明體"/>
          <w:color w:val="000000"/>
        </w:rPr>
        <w:t>7</w:t>
      </w:r>
      <w:r>
        <w:rPr>
          <w:rFonts w:ascii="新細明體" w:hAnsi="新細明體" w:hint="eastAsia"/>
          <w:color w:val="000000"/>
        </w:rPr>
        <w:t>日，前開委員會復將考試院版本及黃昭輝委員、林濁水委員等所提「公務人員行政中立法草案」與黃爾</w:t>
      </w:r>
      <w:proofErr w:type="gramStart"/>
      <w:r>
        <w:rPr>
          <w:rFonts w:ascii="新細明體" w:hAnsi="新細明體" w:hint="eastAsia"/>
          <w:color w:val="000000"/>
        </w:rPr>
        <w:t>璇</w:t>
      </w:r>
      <w:proofErr w:type="gramEnd"/>
      <w:r>
        <w:rPr>
          <w:rFonts w:ascii="新細明體" w:hAnsi="新細明體" w:hint="eastAsia"/>
          <w:color w:val="000000"/>
        </w:rPr>
        <w:t>委員所提「政治中立法」草案等四種版本</w:t>
      </w:r>
      <w:proofErr w:type="gramStart"/>
      <w:r>
        <w:rPr>
          <w:rFonts w:ascii="新細明體" w:hAnsi="新細明體" w:hint="eastAsia"/>
          <w:color w:val="000000"/>
        </w:rPr>
        <w:t>併</w:t>
      </w:r>
      <w:proofErr w:type="gramEnd"/>
      <w:r>
        <w:rPr>
          <w:rFonts w:ascii="新細明體" w:hAnsi="新細明體" w:hint="eastAsia"/>
          <w:color w:val="000000"/>
        </w:rPr>
        <w:t>案審查、進行逐條討論。其後再經歷同年月</w:t>
      </w:r>
      <w:r>
        <w:rPr>
          <w:rFonts w:ascii="新細明體" w:hAnsi="新細明體"/>
          <w:color w:val="000000"/>
        </w:rPr>
        <w:t>23</w:t>
      </w:r>
      <w:r>
        <w:rPr>
          <w:rFonts w:ascii="新細明體" w:hAnsi="新細明體" w:hint="eastAsia"/>
          <w:color w:val="000000"/>
        </w:rPr>
        <w:t>日、</w:t>
      </w:r>
      <w:r>
        <w:rPr>
          <w:rFonts w:ascii="新細明體" w:hAnsi="新細明體"/>
          <w:color w:val="000000"/>
        </w:rPr>
        <w:t>28</w:t>
      </w:r>
      <w:r>
        <w:rPr>
          <w:rFonts w:ascii="新細明體" w:hAnsi="新細明體" w:hint="eastAsia"/>
          <w:color w:val="000000"/>
        </w:rPr>
        <w:t>日、</w:t>
      </w:r>
      <w:r>
        <w:rPr>
          <w:rFonts w:ascii="新細明體" w:hAnsi="新細明體"/>
          <w:color w:val="000000"/>
        </w:rPr>
        <w:t>11</w:t>
      </w:r>
      <w:r>
        <w:rPr>
          <w:rFonts w:ascii="新細明體" w:hAnsi="新細明體" w:hint="eastAsia"/>
          <w:color w:val="000000"/>
        </w:rPr>
        <w:t>月</w:t>
      </w:r>
      <w:r>
        <w:rPr>
          <w:rFonts w:ascii="新細明體" w:hAnsi="新細明體"/>
          <w:color w:val="000000"/>
        </w:rPr>
        <w:t>18</w:t>
      </w:r>
      <w:r>
        <w:rPr>
          <w:rFonts w:ascii="新細明體" w:hAnsi="新細明體" w:hint="eastAsia"/>
          <w:color w:val="000000"/>
        </w:rPr>
        <w:t>日陸續討論，由於與會委員之基本立場多傾向支持黃爾</w:t>
      </w:r>
      <w:proofErr w:type="gramStart"/>
      <w:r>
        <w:rPr>
          <w:rFonts w:ascii="新細明體" w:hAnsi="新細明體" w:hint="eastAsia"/>
          <w:color w:val="000000"/>
        </w:rPr>
        <w:t>璇</w:t>
      </w:r>
      <w:proofErr w:type="gramEnd"/>
      <w:r>
        <w:rPr>
          <w:rFonts w:ascii="新細明體" w:hAnsi="新細明體" w:hint="eastAsia"/>
          <w:color w:val="000000"/>
        </w:rPr>
        <w:t>委員就其版本所提之修正動議，因此大部份條文在經協商後仍無共識之情況下，除將法案名稱改為「政治中立法」外，並已完成全部條文審查。</w:t>
      </w:r>
    </w:p>
    <w:p w:rsidR="00000000" w:rsidRDefault="005A061B">
      <w:pPr>
        <w:numPr>
          <w:ilvl w:val="12"/>
          <w:numId w:val="0"/>
        </w:numPr>
        <w:ind w:firstLineChars="200" w:firstLine="480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基於國會屆期不連續原則，上述</w:t>
      </w:r>
      <w:r>
        <w:rPr>
          <w:rFonts w:ascii="新細明體" w:hAnsi="新細明體" w:hint="eastAsia"/>
          <w:color w:val="000000"/>
        </w:rPr>
        <w:t>條文對現在的立法運作並無任何拘束力。但討論的過程所呈現出的差異，仍足以做為立法院重新審議時的重要參考。重大的爭議如下：</w:t>
      </w:r>
    </w:p>
    <w:p w:rsidR="00000000" w:rsidRDefault="005A061B" w:rsidP="005A061B">
      <w:pPr>
        <w:numPr>
          <w:ilvl w:val="0"/>
          <w:numId w:val="1"/>
        </w:numPr>
        <w:tabs>
          <w:tab w:val="clear" w:pos="1411"/>
          <w:tab w:val="num" w:pos="900"/>
        </w:tabs>
        <w:ind w:hanging="871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如果立法，應採用「公務人員行政中立法」或「政治中立法」？</w:t>
      </w:r>
    </w:p>
    <w:p w:rsidR="00000000" w:rsidRDefault="005A061B" w:rsidP="005A061B">
      <w:pPr>
        <w:numPr>
          <w:ilvl w:val="0"/>
          <w:numId w:val="1"/>
        </w:numPr>
        <w:tabs>
          <w:tab w:val="clear" w:pos="1411"/>
          <w:tab w:val="num" w:pos="900"/>
        </w:tabs>
        <w:ind w:left="900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政治中立法適用之對象應包含那些人？政務人員、軍人、教師、軍職人員、公營事業人員是否應該規範其政治活動？</w:t>
      </w:r>
    </w:p>
    <w:p w:rsidR="00000000" w:rsidRDefault="005A061B" w:rsidP="005A061B">
      <w:pPr>
        <w:numPr>
          <w:ilvl w:val="0"/>
          <w:numId w:val="1"/>
        </w:numPr>
        <w:tabs>
          <w:tab w:val="clear" w:pos="1411"/>
          <w:tab w:val="num" w:pos="900"/>
        </w:tabs>
        <w:ind w:left="900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公務人員參與政治活動應如何限制？可否兼任黨職？</w:t>
      </w:r>
    </w:p>
    <w:p w:rsidR="00000000" w:rsidRDefault="005A061B" w:rsidP="005A061B">
      <w:pPr>
        <w:numPr>
          <w:ilvl w:val="0"/>
          <w:numId w:val="1"/>
        </w:numPr>
        <w:tabs>
          <w:tab w:val="clear" w:pos="1411"/>
          <w:tab w:val="num" w:pos="900"/>
        </w:tabs>
        <w:ind w:left="900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公務人員若登記為公職人員候選人，應如何請假？</w:t>
      </w:r>
    </w:p>
    <w:p w:rsidR="00000000" w:rsidRDefault="005A061B" w:rsidP="005A061B">
      <w:pPr>
        <w:numPr>
          <w:ilvl w:val="0"/>
          <w:numId w:val="1"/>
        </w:numPr>
        <w:tabs>
          <w:tab w:val="clear" w:pos="1411"/>
          <w:tab w:val="num" w:pos="900"/>
        </w:tabs>
        <w:ind w:left="900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教師在學校宣揚其政治理念應如何規範？</w:t>
      </w:r>
    </w:p>
    <w:p w:rsidR="00000000" w:rsidRDefault="005A061B" w:rsidP="005A061B">
      <w:pPr>
        <w:numPr>
          <w:ilvl w:val="0"/>
          <w:numId w:val="1"/>
        </w:numPr>
        <w:tabs>
          <w:tab w:val="clear" w:pos="1411"/>
          <w:tab w:val="num" w:pos="900"/>
        </w:tabs>
        <w:ind w:left="900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違反行政中立之規定者，應處以懲戒罰或刑事罰？</w:t>
      </w:r>
    </w:p>
    <w:p w:rsidR="00000000" w:rsidRDefault="005A061B">
      <w:pPr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 xml:space="preserve">    </w:t>
      </w:r>
      <w:r>
        <w:rPr>
          <w:rFonts w:ascii="新細明體" w:hAnsi="新細明體" w:hint="eastAsia"/>
          <w:color w:val="000000"/>
        </w:rPr>
        <w:t>以上問題乃五年前時空之下所面對的問題，如今政</w:t>
      </w:r>
      <w:r>
        <w:rPr>
          <w:rFonts w:ascii="新細明體" w:hAnsi="新細明體" w:hint="eastAsia"/>
          <w:color w:val="000000"/>
        </w:rPr>
        <w:t>黨輪替，政黨政治又有新的面貌，如何在我國面臨政治與經濟雙重結構轉型的時刻，使公務員真正成為全體國民公僕，國家公器不受黨派濫用，公務員個人的參政權利獲得確保，乃是國家社會能否永續發展不得不認真面對的問題。本研究希望能藉由對德國、美國與日本等民主先進國家管制公務人員參與政治活動經驗之研究，以及目前我國實際遇到的案件之分析，以前述考試院與立法院法制委員會的立法草</w:t>
      </w:r>
      <w:r>
        <w:rPr>
          <w:rFonts w:ascii="新細明體" w:hAnsi="新細明體" w:hint="eastAsia"/>
          <w:color w:val="000000"/>
        </w:rPr>
        <w:lastRenderedPageBreak/>
        <w:t>案為參考座標，提出我國規範公務人員參與政治活動之建議。</w:t>
      </w:r>
    </w:p>
    <w:p w:rsidR="00000000" w:rsidRDefault="005A061B">
      <w:pPr>
        <w:pStyle w:val="2"/>
        <w:rPr>
          <w:rFonts w:hint="eastAsia"/>
        </w:rPr>
      </w:pPr>
      <w:bookmarkStart w:id="3" w:name="_Toc535245909"/>
      <w:r>
        <w:rPr>
          <w:rFonts w:hint="eastAsia"/>
        </w:rPr>
        <w:t>第二節</w:t>
      </w:r>
      <w:r>
        <w:rPr>
          <w:rFonts w:hint="eastAsia"/>
        </w:rPr>
        <w:t xml:space="preserve">  </w:t>
      </w:r>
      <w:r>
        <w:rPr>
          <w:rFonts w:hint="eastAsia"/>
        </w:rPr>
        <w:t>研究方法與步驟</w:t>
      </w:r>
      <w:bookmarkEnd w:id="3"/>
    </w:p>
    <w:p w:rsidR="00000000" w:rsidRDefault="005A061B">
      <w:pPr>
        <w:pStyle w:val="3"/>
        <w:rPr>
          <w:rFonts w:hint="eastAsia"/>
          <w:lang w:val="de-DE"/>
        </w:rPr>
      </w:pPr>
      <w:bookmarkStart w:id="4" w:name="_Toc535245910"/>
      <w:r>
        <w:rPr>
          <w:rFonts w:hint="eastAsia"/>
        </w:rPr>
        <w:t>壹、研究方法</w:t>
      </w:r>
      <w:bookmarkEnd w:id="4"/>
    </w:p>
    <w:p w:rsidR="00000000" w:rsidRDefault="005A061B">
      <w:pPr>
        <w:numPr>
          <w:ilvl w:val="12"/>
          <w:numId w:val="0"/>
        </w:numPr>
        <w:ind w:firstLineChars="200" w:firstLine="480"/>
        <w:jc w:val="both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</w:rPr>
        <w:t>本計劃在研究方法上，相當依賴比較法的經驗。主要將比較研究對</w:t>
      </w:r>
      <w:r>
        <w:rPr>
          <w:rFonts w:ascii="新細明體" w:hAnsi="新細明體" w:hint="eastAsia"/>
          <w:color w:val="000000"/>
        </w:rPr>
        <w:t>我國法制全盤影響的德國，對一般國民法意識潛移默化的美國，政治發展經驗與我國相</w:t>
      </w:r>
      <w:proofErr w:type="gramStart"/>
      <w:r>
        <w:rPr>
          <w:rFonts w:ascii="新細明體" w:hAnsi="新細明體" w:hint="eastAsia"/>
          <w:color w:val="000000"/>
        </w:rPr>
        <w:t>彷</w:t>
      </w:r>
      <w:proofErr w:type="gramEnd"/>
      <w:r>
        <w:rPr>
          <w:rFonts w:ascii="新細明體" w:hAnsi="新細明體" w:hint="eastAsia"/>
          <w:color w:val="000000"/>
        </w:rPr>
        <w:t>之日本等國制度，作為提出立法建言之參考。比較法有宏觀的比較與微觀的比較，惟兩者不可切割。在引述這些民主憲政國家的經驗，做為參考之前，有必要對於各國對政黨政治，公務員的角色，政黨與公務員的關係等等做宏觀的概述，以免見樹不見林。例如，德國的政治向來以政黨政治為運作的重心，日本的官僚體制在政治決策上佔據重要的位置，美國則有濃厚的自由主義傳統等等。同樣的，在提出建言時，也比須切中我國特有的歷史經驗，符合我國政治轉型的要求。</w:t>
      </w:r>
    </w:p>
    <w:p w:rsidR="00000000" w:rsidRDefault="005A061B">
      <w:pPr>
        <w:numPr>
          <w:ilvl w:val="12"/>
          <w:numId w:val="0"/>
        </w:numPr>
        <w:jc w:val="both"/>
        <w:rPr>
          <w:rFonts w:ascii="新細明體" w:hAnsi="新細明體" w:hint="eastAsia"/>
          <w:color w:val="000000"/>
        </w:rPr>
      </w:pPr>
    </w:p>
    <w:p w:rsidR="00000000" w:rsidRDefault="005A061B">
      <w:pPr>
        <w:pStyle w:val="3"/>
        <w:rPr>
          <w:rFonts w:hint="eastAsia"/>
        </w:rPr>
      </w:pPr>
      <w:bookmarkStart w:id="5" w:name="_Toc535245911"/>
      <w:r>
        <w:rPr>
          <w:rFonts w:hint="eastAsia"/>
        </w:rPr>
        <w:t>貳、研究步驟</w:t>
      </w:r>
      <w:bookmarkEnd w:id="5"/>
    </w:p>
    <w:p w:rsidR="00000000" w:rsidRDefault="005A061B">
      <w:pPr>
        <w:numPr>
          <w:ilvl w:val="12"/>
          <w:numId w:val="0"/>
        </w:numPr>
        <w:ind w:firstLineChars="200" w:firstLine="480"/>
        <w:jc w:val="both"/>
        <w:rPr>
          <w:rFonts w:ascii="新細明體" w:hAnsi="新細明體" w:hint="eastAsia"/>
          <w:color w:val="000000"/>
          <w:lang w:val="de-DE"/>
        </w:rPr>
      </w:pPr>
      <w:r>
        <w:rPr>
          <w:rFonts w:ascii="新細明體" w:hAnsi="新細明體" w:hint="eastAsia"/>
          <w:color w:val="000000"/>
        </w:rPr>
        <w:t>由於本研究計畫執行期間僅只五個月，因此計畫之進行勢必較為匆促。茲簡單說明如下。首先在第一階段的前三</w:t>
      </w:r>
      <w:proofErr w:type="gramStart"/>
      <w:r>
        <w:rPr>
          <w:rFonts w:ascii="新細明體" w:hAnsi="新細明體" w:hint="eastAsia"/>
          <w:color w:val="000000"/>
        </w:rPr>
        <w:t>個</w:t>
      </w:r>
      <w:proofErr w:type="gramEnd"/>
      <w:r>
        <w:rPr>
          <w:rFonts w:ascii="新細明體" w:hAnsi="新細明體" w:hint="eastAsia"/>
          <w:color w:val="000000"/>
        </w:rPr>
        <w:t>月內蒐集，整理，分析德國、美國與日本及我國有關</w:t>
      </w:r>
      <w:r>
        <w:rPr>
          <w:rFonts w:ascii="新細明體" w:hAnsi="新細明體" w:hint="eastAsia"/>
          <w:color w:val="000000"/>
          <w:lang w:val="de-DE"/>
        </w:rPr>
        <w:t>公務人員行政中立保障之相關法規、判決與文獻，並初步</w:t>
      </w:r>
      <w:proofErr w:type="gramStart"/>
      <w:r>
        <w:rPr>
          <w:rFonts w:ascii="新細明體" w:hAnsi="新細明體" w:hint="eastAsia"/>
          <w:color w:val="000000"/>
          <w:lang w:val="de-DE"/>
        </w:rPr>
        <w:t>釐</w:t>
      </w:r>
      <w:proofErr w:type="gramEnd"/>
      <w:r>
        <w:rPr>
          <w:rFonts w:ascii="新細明體" w:hAnsi="新細明體" w:hint="eastAsia"/>
          <w:color w:val="000000"/>
          <w:lang w:val="de-DE"/>
        </w:rPr>
        <w:t>清各國面對的主要問題。在第二階段則將由研究團隊分工合作提出內部研究報告，最後再集思廣益，針對我國的問題，提出立法或修法上，應考慮的問題。並向委託單位提出報告。</w:t>
      </w:r>
    </w:p>
    <w:p w:rsidR="00000000" w:rsidRDefault="005A061B">
      <w:pPr>
        <w:numPr>
          <w:ilvl w:val="12"/>
          <w:numId w:val="0"/>
        </w:numPr>
        <w:ind w:firstLineChars="200" w:firstLine="480"/>
        <w:jc w:val="both"/>
        <w:rPr>
          <w:rFonts w:ascii="新細明體" w:hAnsi="新細明體" w:hint="eastAsia"/>
          <w:color w:val="000000"/>
          <w:lang w:val="de-DE"/>
        </w:rPr>
      </w:pPr>
      <w:r>
        <w:rPr>
          <w:rFonts w:ascii="新細明體" w:hAnsi="新細明體" w:hint="eastAsia"/>
          <w:color w:val="000000"/>
          <w:lang w:val="de-DE"/>
        </w:rPr>
        <w:t>本研究計畫參酌前述之研究背景，第二章將對德國公務人員行政中立之保障做深入研究，緊接著第三章將從美國法的角度，對公務人員參與政治活動的限制做系統性的分析，</w:t>
      </w:r>
      <w:r>
        <w:rPr>
          <w:rFonts w:ascii="新細明體" w:hAnsi="新細明體" w:hint="eastAsia"/>
          <w:color w:val="000000"/>
          <w:lang w:val="de-DE"/>
        </w:rPr>
        <w:t>第四章則對日本法如何規範公務人員的行政中立，做批判性的引</w:t>
      </w:r>
      <w:proofErr w:type="gramStart"/>
      <w:r>
        <w:rPr>
          <w:rFonts w:ascii="新細明體" w:hAnsi="新細明體" w:hint="eastAsia"/>
          <w:color w:val="000000"/>
          <w:lang w:val="de-DE"/>
        </w:rPr>
        <w:t>介</w:t>
      </w:r>
      <w:proofErr w:type="gramEnd"/>
      <w:r>
        <w:rPr>
          <w:rFonts w:ascii="新細明體" w:hAnsi="新細明體" w:hint="eastAsia"/>
          <w:color w:val="000000"/>
          <w:lang w:val="de-DE"/>
        </w:rPr>
        <w:t>。在這樣的基礎之上，第五章將對我國公務人員行政中立問題，提出建設性的批判，並針對目前各種規範公務人員參與政治活動的法律草案，做系統性的比較，並提出本研究計畫的相對法律草案，供委託單位做參考。</w:t>
      </w:r>
    </w:p>
    <w:p w:rsidR="005A061B" w:rsidRDefault="005A061B">
      <w:pPr>
        <w:numPr>
          <w:ilvl w:val="12"/>
          <w:numId w:val="0"/>
        </w:numPr>
        <w:ind w:firstLineChars="200" w:firstLine="480"/>
        <w:jc w:val="both"/>
        <w:rPr>
          <w:rFonts w:ascii="新細明體" w:hAnsi="新細明體"/>
          <w:color w:val="000000"/>
          <w:lang w:val="de-DE"/>
        </w:rPr>
      </w:pPr>
    </w:p>
    <w:sectPr w:rsidR="005A061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1B" w:rsidRDefault="005A061B">
      <w:r>
        <w:separator/>
      </w:r>
    </w:p>
  </w:endnote>
  <w:endnote w:type="continuationSeparator" w:id="0">
    <w:p w:rsidR="005A061B" w:rsidRDefault="005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061B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00000" w:rsidRDefault="005A06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061B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65357">
      <w:rPr>
        <w:rStyle w:val="af3"/>
        <w:noProof/>
      </w:rPr>
      <w:t>2</w:t>
    </w:r>
    <w:r>
      <w:rPr>
        <w:rStyle w:val="af3"/>
      </w:rPr>
      <w:fldChar w:fldCharType="end"/>
    </w:r>
  </w:p>
  <w:p w:rsidR="00000000" w:rsidRDefault="005A06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1B" w:rsidRDefault="005A061B">
      <w:r>
        <w:separator/>
      </w:r>
    </w:p>
  </w:footnote>
  <w:footnote w:type="continuationSeparator" w:id="0">
    <w:p w:rsidR="005A061B" w:rsidRDefault="005A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4B4255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CA198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3B14ABD"/>
    <w:multiLevelType w:val="hybridMultilevel"/>
    <w:tmpl w:val="7B56F862"/>
    <w:lvl w:ilvl="0" w:tplc="0FD8458C">
      <w:start w:val="1"/>
      <w:numFmt w:val="decimal"/>
      <w:lvlText w:val="%1、"/>
      <w:lvlJc w:val="left"/>
      <w:pPr>
        <w:tabs>
          <w:tab w:val="num" w:pos="1411"/>
        </w:tabs>
        <w:ind w:left="14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1"/>
        </w:tabs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1"/>
        </w:tabs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1"/>
        </w:tabs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1"/>
        </w:tabs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1"/>
        </w:tabs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1"/>
        </w:tabs>
        <w:ind w:left="5371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57"/>
    <w:rsid w:val="005A061B"/>
    <w:rsid w:val="00A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6F2E7-DF79-424E-9765-247ABB6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pPr>
      <w:keepNext/>
      <w:spacing w:before="180" w:after="180" w:line="720" w:lineRule="auto"/>
      <w:outlineLvl w:val="0"/>
    </w:pPr>
    <w:rPr>
      <w:rFonts w:ascii="新細明體" w:hAnsi="新細明體"/>
      <w:b/>
      <w:bCs/>
      <w:color w:val="000000"/>
      <w:kern w:val="52"/>
      <w:sz w:val="52"/>
      <w:szCs w:val="52"/>
      <w:lang w:val="de-DE"/>
    </w:rPr>
  </w:style>
  <w:style w:type="paragraph" w:styleId="2">
    <w:name w:val="heading 2"/>
    <w:basedOn w:val="a"/>
    <w:next w:val="a"/>
    <w:autoRedefine/>
    <w:qFormat/>
    <w:pPr>
      <w:keepNext/>
      <w:spacing w:after="180" w:line="720" w:lineRule="auto"/>
      <w:outlineLvl w:val="1"/>
    </w:pPr>
    <w:rPr>
      <w:rFonts w:ascii="新細明體" w:hAnsi="新細明體"/>
      <w:b/>
      <w:bCs/>
      <w:color w:val="000000"/>
      <w:sz w:val="48"/>
      <w:lang w:val="de-DE"/>
    </w:rPr>
  </w:style>
  <w:style w:type="paragraph" w:styleId="3">
    <w:name w:val="heading 3"/>
    <w:basedOn w:val="a"/>
    <w:next w:val="a"/>
    <w:autoRedefine/>
    <w:qFormat/>
    <w:pPr>
      <w:keepNext/>
      <w:spacing w:after="180"/>
      <w:outlineLvl w:val="2"/>
    </w:pPr>
    <w:rPr>
      <w:rFonts w:ascii="新細明體" w:hAnsi="新細明體"/>
      <w:b/>
      <w:bCs/>
      <w:color w:val="000000"/>
      <w:sz w:val="36"/>
      <w:szCs w:val="36"/>
    </w:rPr>
  </w:style>
  <w:style w:type="paragraph" w:styleId="4">
    <w:name w:val="heading 4"/>
    <w:basedOn w:val="a"/>
    <w:next w:val="a"/>
    <w:autoRedefine/>
    <w:qFormat/>
    <w:pPr>
      <w:keepNext/>
      <w:adjustRightInd/>
      <w:spacing w:line="720" w:lineRule="auto"/>
      <w:textAlignment w:val="auto"/>
      <w:outlineLvl w:val="3"/>
    </w:pPr>
    <w:rPr>
      <w:rFonts w:ascii="新細明體" w:hAnsi="新細明體"/>
      <w:color w:val="000000"/>
      <w:kern w:val="0"/>
      <w:sz w:val="36"/>
      <w:szCs w:val="36"/>
    </w:rPr>
  </w:style>
  <w:style w:type="paragraph" w:styleId="5">
    <w:name w:val="heading 5"/>
    <w:basedOn w:val="a"/>
    <w:next w:val="a"/>
    <w:autoRedefine/>
    <w:qFormat/>
    <w:pPr>
      <w:keepNext/>
      <w:adjustRightInd/>
      <w:textAlignment w:val="auto"/>
      <w:outlineLvl w:val="4"/>
    </w:pPr>
    <w:rPr>
      <w:rFonts w:ascii="新細明體" w:hAnsi="新細明體"/>
      <w:b/>
      <w:sz w:val="36"/>
      <w:szCs w:val="36"/>
    </w:rPr>
  </w:style>
  <w:style w:type="paragraph" w:styleId="6">
    <w:name w:val="heading 6"/>
    <w:basedOn w:val="a"/>
    <w:next w:val="a"/>
    <w:autoRedefine/>
    <w:qFormat/>
    <w:pPr>
      <w:keepNext/>
      <w:adjustRightInd/>
      <w:ind w:left="281"/>
      <w:textAlignment w:val="auto"/>
      <w:outlineLvl w:val="5"/>
    </w:pPr>
    <w:rPr>
      <w:rFonts w:ascii="新細明體" w:hAnsi="新細明體"/>
      <w:color w:val="000000"/>
      <w:sz w:val="28"/>
      <w:szCs w:val="36"/>
    </w:rPr>
  </w:style>
  <w:style w:type="paragraph" w:styleId="7">
    <w:name w:val="heading 7"/>
    <w:basedOn w:val="a"/>
    <w:next w:val="a"/>
    <w:qFormat/>
    <w:pPr>
      <w:keepNext/>
      <w:adjustRightInd/>
      <w:spacing w:line="720" w:lineRule="auto"/>
      <w:textAlignment w:val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adjustRightInd/>
      <w:spacing w:line="720" w:lineRule="auto"/>
      <w:textAlignment w:val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adjustRightInd/>
      <w:spacing w:line="720" w:lineRule="auto"/>
      <w:textAlignment w:val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ind w:left="540" w:hanging="540"/>
      <w:jc w:val="both"/>
    </w:pPr>
    <w:rPr>
      <w:rFonts w:ascii="標楷體" w:eastAsia="標楷體"/>
    </w:rPr>
  </w:style>
  <w:style w:type="paragraph" w:styleId="a3">
    <w:name w:val="Date"/>
    <w:basedOn w:val="a"/>
    <w:next w:val="a"/>
    <w:semiHidden/>
    <w:pPr>
      <w:jc w:val="right"/>
    </w:pPr>
    <w:rPr>
      <w:rFonts w:eastAsia="標楷體"/>
      <w:sz w:val="28"/>
      <w:lang w:val="de-DE"/>
    </w:rPr>
  </w:style>
  <w:style w:type="paragraph" w:styleId="a4">
    <w:name w:val="Title"/>
    <w:basedOn w:val="a"/>
    <w:qFormat/>
    <w:pPr>
      <w:adjustRightInd/>
      <w:jc w:val="center"/>
      <w:textAlignment w:val="auto"/>
    </w:pPr>
    <w:rPr>
      <w:sz w:val="28"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pPr>
      <w:adjustRightInd/>
      <w:snapToGrid w:val="0"/>
      <w:textAlignment w:val="auto"/>
    </w:pPr>
    <w:rPr>
      <w:sz w:val="20"/>
    </w:rPr>
  </w:style>
  <w:style w:type="paragraph" w:styleId="a8">
    <w:name w:val="Body Text"/>
    <w:basedOn w:val="a"/>
    <w:semiHidden/>
    <w:pPr>
      <w:widowControl/>
      <w:adjustRightInd/>
      <w:textAlignment w:val="auto"/>
    </w:pPr>
    <w:rPr>
      <w:rFonts w:ascii="Verdana" w:hAnsi="Verdana"/>
      <w:noProof/>
      <w:kern w:val="0"/>
      <w:sz w:val="20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footer"/>
    <w:basedOn w:val="a"/>
    <w:semiHidden/>
    <w:pPr>
      <w:tabs>
        <w:tab w:val="center" w:pos="4320"/>
        <w:tab w:val="right" w:pos="8640"/>
      </w:tabs>
      <w:adjustRightInd/>
      <w:snapToGrid w:val="0"/>
      <w:textAlignment w:val="auto"/>
    </w:pPr>
    <w:rPr>
      <w:sz w:val="20"/>
    </w:rPr>
  </w:style>
  <w:style w:type="paragraph" w:styleId="ab">
    <w:name w:val="header"/>
    <w:basedOn w:val="a"/>
    <w:semiHidden/>
    <w:pPr>
      <w:tabs>
        <w:tab w:val="center" w:pos="4320"/>
        <w:tab w:val="right" w:pos="8640"/>
      </w:tabs>
      <w:adjustRightInd/>
      <w:snapToGrid w:val="0"/>
      <w:textAlignment w:val="auto"/>
    </w:pPr>
    <w:rPr>
      <w:sz w:val="20"/>
    </w:rPr>
  </w:style>
  <w:style w:type="character" w:customStyle="1" w:styleId="term">
    <w:name w:val="term"/>
    <w:basedOn w:val="a0"/>
  </w:style>
  <w:style w:type="paragraph" w:styleId="10">
    <w:name w:val="toc 1"/>
    <w:basedOn w:val="a"/>
    <w:next w:val="a"/>
    <w:autoRedefine/>
    <w:semiHidden/>
    <w:pPr>
      <w:adjustRightInd/>
      <w:textAlignment w:val="auto"/>
    </w:pPr>
  </w:style>
  <w:style w:type="paragraph" w:styleId="ac">
    <w:name w:val="Body Text Indent"/>
    <w:basedOn w:val="a"/>
    <w:semiHidden/>
    <w:pPr>
      <w:widowControl/>
      <w:adjustRightInd/>
      <w:spacing w:afterLines="50" w:after="180"/>
      <w:ind w:firstLineChars="200" w:firstLine="480"/>
      <w:jc w:val="both"/>
      <w:textAlignment w:val="auto"/>
    </w:pPr>
    <w:rPr>
      <w:szCs w:val="24"/>
    </w:rPr>
  </w:style>
  <w:style w:type="paragraph" w:styleId="Web">
    <w:name w:val="Normal (Web)"/>
    <w:basedOn w:val="a"/>
    <w:semiHidden/>
    <w:pPr>
      <w:widowControl/>
      <w:adjustRightInd/>
      <w:spacing w:before="100" w:beforeAutospacing="1" w:after="100" w:afterAutospacing="1" w:line="360" w:lineRule="auto"/>
      <w:textAlignment w:val="auto"/>
    </w:pPr>
    <w:rPr>
      <w:rFonts w:ascii="新細明體" w:hAnsi="新細明體"/>
      <w:kern w:val="0"/>
      <w:szCs w:val="24"/>
    </w:rPr>
  </w:style>
  <w:style w:type="paragraph" w:styleId="20">
    <w:name w:val="Body Text Indent 2"/>
    <w:basedOn w:val="a"/>
    <w:semiHidden/>
    <w:pPr>
      <w:widowControl/>
      <w:adjustRightInd/>
      <w:spacing w:afterLines="50" w:after="180"/>
      <w:ind w:left="480" w:hangingChars="200" w:hanging="480"/>
      <w:jc w:val="both"/>
      <w:textAlignment w:val="auto"/>
    </w:pPr>
    <w:rPr>
      <w:szCs w:val="24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Courier New"/>
      <w:kern w:val="0"/>
      <w:sz w:val="20"/>
    </w:rPr>
  </w:style>
  <w:style w:type="paragraph" w:styleId="ad">
    <w:name w:val="Plain Text"/>
    <w:basedOn w:val="a"/>
    <w:semiHidden/>
    <w:pPr>
      <w:adjustRightInd/>
      <w:textAlignment w:val="auto"/>
    </w:pPr>
    <w:rPr>
      <w:rFonts w:ascii="細明體" w:eastAsia="細明體" w:hAnsi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title1">
    <w:name w:val="title1"/>
    <w:basedOn w:val="a0"/>
    <w:rPr>
      <w:rFonts w:ascii="標楷體" w:eastAsia="標楷體" w:hAnsi="標楷體" w:hint="eastAsia"/>
      <w:color w:val="834303"/>
      <w:sz w:val="28"/>
      <w:szCs w:val="28"/>
    </w:rPr>
  </w:style>
  <w:style w:type="character" w:customStyle="1" w:styleId="bodystr1">
    <w:name w:val="bodystr1"/>
    <w:basedOn w:val="a0"/>
    <w:rPr>
      <w:rFonts w:ascii="Arial" w:hAnsi="Arial" w:cs="Arial" w:hint="default"/>
      <w:sz w:val="20"/>
      <w:szCs w:val="20"/>
    </w:rPr>
  </w:style>
  <w:style w:type="character" w:customStyle="1" w:styleId="titlestr1">
    <w:name w:val="titlestr1"/>
    <w:basedOn w:val="a0"/>
    <w:rPr>
      <w:rFonts w:ascii="Arial" w:hAnsi="Arial" w:cs="Arial" w:hint="default"/>
      <w:sz w:val="24"/>
      <w:szCs w:val="24"/>
    </w:rPr>
  </w:style>
  <w:style w:type="paragraph" w:styleId="af">
    <w:name w:val="List Bullet"/>
    <w:basedOn w:val="a"/>
    <w:autoRedefine/>
    <w:semiHidden/>
    <w:pPr>
      <w:numPr>
        <w:numId w:val="2"/>
      </w:numPr>
      <w:adjustRightInd/>
      <w:textAlignment w:val="auto"/>
    </w:pPr>
    <w:rPr>
      <w:szCs w:val="24"/>
    </w:rPr>
  </w:style>
  <w:style w:type="paragraph" w:styleId="21">
    <w:name w:val="List Bullet 2"/>
    <w:basedOn w:val="a"/>
    <w:autoRedefine/>
    <w:semiHidden/>
    <w:pPr>
      <w:numPr>
        <w:numId w:val="3"/>
      </w:numPr>
      <w:adjustRightInd/>
      <w:textAlignment w:val="auto"/>
    </w:pPr>
    <w:rPr>
      <w:szCs w:val="24"/>
    </w:rPr>
  </w:style>
  <w:style w:type="paragraph" w:customStyle="1" w:styleId="af0">
    <w:name w:val="寄件者簡短地址"/>
    <w:basedOn w:val="a"/>
    <w:pPr>
      <w:adjustRightInd/>
      <w:textAlignment w:val="auto"/>
    </w:pPr>
    <w:rPr>
      <w:szCs w:val="24"/>
    </w:rPr>
  </w:style>
  <w:style w:type="paragraph" w:customStyle="1" w:styleId="PPLine">
    <w:name w:val="PP Line"/>
    <w:basedOn w:val="af1"/>
  </w:style>
  <w:style w:type="paragraph" w:styleId="af1">
    <w:name w:val="Signature"/>
    <w:basedOn w:val="a"/>
    <w:semiHidden/>
    <w:pPr>
      <w:adjustRightInd/>
      <w:ind w:leftChars="1800" w:left="100"/>
      <w:textAlignment w:val="auto"/>
    </w:pPr>
    <w:rPr>
      <w:szCs w:val="24"/>
    </w:rPr>
  </w:style>
  <w:style w:type="paragraph" w:customStyle="1" w:styleId="af2">
    <w:name w:val="地址內名稱"/>
    <w:basedOn w:val="a"/>
    <w:pPr>
      <w:adjustRightInd/>
      <w:textAlignment w:val="auto"/>
    </w:pPr>
    <w:rPr>
      <w:szCs w:val="24"/>
    </w:rPr>
  </w:style>
  <w:style w:type="character" w:styleId="af3">
    <w:name w:val="page number"/>
    <w:basedOn w:val="a0"/>
    <w:semiHidden/>
  </w:style>
  <w:style w:type="paragraph" w:styleId="22">
    <w:name w:val="toc 2"/>
    <w:basedOn w:val="a"/>
    <w:next w:val="a"/>
    <w:autoRedefine/>
    <w:semiHidden/>
    <w:pPr>
      <w:ind w:leftChars="200" w:left="480"/>
    </w:pPr>
  </w:style>
  <w:style w:type="paragraph" w:styleId="30">
    <w:name w:val="toc 3"/>
    <w:basedOn w:val="a"/>
    <w:next w:val="a"/>
    <w:autoRedefine/>
    <w:semiHidden/>
    <w:pPr>
      <w:ind w:leftChars="400" w:left="960"/>
    </w:p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0">
    <w:name w:val="toc 5"/>
    <w:basedOn w:val="a"/>
    <w:next w:val="a"/>
    <w:autoRedefine/>
    <w:semiHidden/>
    <w:pPr>
      <w:ind w:leftChars="800" w:left="1920"/>
    </w:pPr>
  </w:style>
  <w:style w:type="paragraph" w:styleId="60">
    <w:name w:val="toc 6"/>
    <w:basedOn w:val="a"/>
    <w:next w:val="a"/>
    <w:autoRedefine/>
    <w:semiHidden/>
    <w:pPr>
      <w:ind w:leftChars="1000" w:left="2400"/>
    </w:pPr>
  </w:style>
  <w:style w:type="paragraph" w:styleId="70">
    <w:name w:val="toc 7"/>
    <w:basedOn w:val="a"/>
    <w:next w:val="a"/>
    <w:autoRedefine/>
    <w:semiHidden/>
    <w:pPr>
      <w:ind w:leftChars="1200" w:left="2880"/>
    </w:pPr>
  </w:style>
  <w:style w:type="paragraph" w:styleId="80">
    <w:name w:val="toc 8"/>
    <w:basedOn w:val="a"/>
    <w:next w:val="a"/>
    <w:autoRedefine/>
    <w:semiHidden/>
    <w:pPr>
      <w:ind w:leftChars="1400" w:left="3360"/>
    </w:pPr>
  </w:style>
  <w:style w:type="paragraph" w:styleId="90">
    <w:name w:val="toc 9"/>
    <w:basedOn w:val="a"/>
    <w:next w:val="a"/>
    <w:autoRedefine/>
    <w:semiHidden/>
    <w:pPr>
      <w:ind w:leftChars="1600" w:left="3840"/>
    </w:pPr>
  </w:style>
  <w:style w:type="paragraph" w:styleId="31">
    <w:name w:val="Body Text Indent 3"/>
    <w:basedOn w:val="a"/>
    <w:semiHidden/>
    <w:pPr>
      <w:adjustRightInd/>
      <w:spacing w:line="240" w:lineRule="atLeast"/>
      <w:ind w:leftChars="333" w:left="799" w:firstLineChars="100" w:firstLine="240"/>
      <w:textAlignment w:val="auto"/>
    </w:pPr>
    <w:rPr>
      <w:rFonts w:ascii="新細明體" w:hAnsi="新細明體"/>
      <w:color w:val="000000"/>
      <w:szCs w:val="24"/>
    </w:rPr>
  </w:style>
  <w:style w:type="paragraph" w:styleId="af4">
    <w:name w:val="annotation text"/>
    <w:basedOn w:val="a"/>
    <w:semiHidden/>
    <w:pPr>
      <w:adjustRightInd/>
      <w:textAlignment w:val="auto"/>
    </w:pPr>
    <w:rPr>
      <w:szCs w:val="24"/>
    </w:rPr>
  </w:style>
  <w:style w:type="paragraph" w:styleId="23">
    <w:name w:val="Body Text 2"/>
    <w:basedOn w:val="a"/>
    <w:semiHidden/>
    <w:pPr>
      <w:adjustRightInd/>
      <w:spacing w:line="0" w:lineRule="atLeast"/>
      <w:textAlignment w:val="auto"/>
    </w:pPr>
    <w:rPr>
      <w:sz w:val="20"/>
    </w:rPr>
  </w:style>
  <w:style w:type="paragraph" w:styleId="af5">
    <w:name w:val="List"/>
    <w:basedOn w:val="a"/>
    <w:semiHidden/>
    <w:pPr>
      <w:adjustRightInd/>
      <w:ind w:leftChars="200" w:left="100" w:hangingChars="200" w:hanging="200"/>
      <w:textAlignment w:val="auto"/>
    </w:pPr>
    <w:rPr>
      <w:szCs w:val="24"/>
    </w:rPr>
  </w:style>
  <w:style w:type="paragraph" w:styleId="24">
    <w:name w:val="List 2"/>
    <w:basedOn w:val="a"/>
    <w:semiHidden/>
    <w:pPr>
      <w:adjustRightInd/>
      <w:ind w:leftChars="400" w:left="100" w:hangingChars="200" w:hanging="200"/>
      <w:textAlignment w:val="auto"/>
    </w:pPr>
    <w:rPr>
      <w:szCs w:val="24"/>
    </w:rPr>
  </w:style>
  <w:style w:type="paragraph" w:styleId="32">
    <w:name w:val="List 3"/>
    <w:basedOn w:val="a"/>
    <w:semiHidden/>
    <w:pPr>
      <w:adjustRightInd/>
      <w:ind w:leftChars="600" w:left="100" w:hangingChars="200" w:hanging="200"/>
      <w:textAlignment w:val="auto"/>
    </w:pPr>
    <w:rPr>
      <w:szCs w:val="24"/>
    </w:rPr>
  </w:style>
  <w:style w:type="paragraph" w:styleId="41">
    <w:name w:val="List 4"/>
    <w:basedOn w:val="a"/>
    <w:semiHidden/>
    <w:pPr>
      <w:adjustRightInd/>
      <w:ind w:leftChars="800" w:left="100" w:hangingChars="200" w:hanging="200"/>
      <w:textAlignment w:val="auto"/>
    </w:pPr>
    <w:rPr>
      <w:szCs w:val="24"/>
    </w:rPr>
  </w:style>
  <w:style w:type="paragraph" w:styleId="51">
    <w:name w:val="List 5"/>
    <w:basedOn w:val="a"/>
    <w:semiHidden/>
    <w:pPr>
      <w:adjustRightInd/>
      <w:ind w:leftChars="1000" w:left="100" w:hangingChars="200" w:hanging="200"/>
      <w:textAlignment w:val="auto"/>
    </w:pPr>
    <w:rPr>
      <w:szCs w:val="24"/>
    </w:rPr>
  </w:style>
  <w:style w:type="paragraph" w:styleId="af6">
    <w:name w:val="List Continue"/>
    <w:basedOn w:val="a"/>
    <w:semiHidden/>
    <w:pPr>
      <w:adjustRightInd/>
      <w:spacing w:after="120"/>
      <w:ind w:leftChars="200" w:left="480"/>
      <w:textAlignment w:val="auto"/>
    </w:pPr>
    <w:rPr>
      <w:szCs w:val="24"/>
    </w:rPr>
  </w:style>
  <w:style w:type="paragraph" w:styleId="25">
    <w:name w:val="List Continue 2"/>
    <w:basedOn w:val="a"/>
    <w:semiHidden/>
    <w:pPr>
      <w:adjustRightInd/>
      <w:spacing w:after="120"/>
      <w:ind w:leftChars="400" w:left="960"/>
      <w:textAlignment w:val="auto"/>
    </w:pPr>
    <w:rPr>
      <w:szCs w:val="24"/>
    </w:rPr>
  </w:style>
  <w:style w:type="paragraph" w:styleId="33">
    <w:name w:val="List Continue 3"/>
    <w:basedOn w:val="a"/>
    <w:semiHidden/>
    <w:pPr>
      <w:adjustRightInd/>
      <w:spacing w:after="120"/>
      <w:ind w:leftChars="600" w:left="1440"/>
      <w:textAlignment w:val="auto"/>
    </w:pPr>
    <w:rPr>
      <w:szCs w:val="24"/>
    </w:rPr>
  </w:style>
  <w:style w:type="paragraph" w:styleId="52">
    <w:name w:val="List Continue 5"/>
    <w:basedOn w:val="a"/>
    <w:semiHidden/>
    <w:pPr>
      <w:adjustRightInd/>
      <w:spacing w:after="120"/>
      <w:ind w:leftChars="1000" w:left="2400"/>
      <w:textAlignment w:val="auto"/>
    </w:pPr>
    <w:rPr>
      <w:szCs w:val="24"/>
    </w:rPr>
  </w:style>
  <w:style w:type="paragraph" w:styleId="af7">
    <w:name w:val="Normal Indent"/>
    <w:basedOn w:val="a"/>
    <w:semiHidden/>
    <w:pPr>
      <w:adjustRightInd/>
      <w:ind w:leftChars="200" w:left="48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楊氏一族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委員會的專業化</dc:title>
  <dc:subject/>
  <dc:creator>In-Chin Chen</dc:creator>
  <cp:keywords/>
  <dc:description/>
  <cp:lastModifiedBy>卓卿雲</cp:lastModifiedBy>
  <cp:revision>2</cp:revision>
  <cp:lastPrinted>2001-07-15T02:17:00Z</cp:lastPrinted>
  <dcterms:created xsi:type="dcterms:W3CDTF">2021-09-22T11:01:00Z</dcterms:created>
  <dcterms:modified xsi:type="dcterms:W3CDTF">2021-09-22T11:01:00Z</dcterms:modified>
</cp:coreProperties>
</file>