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00C4D">
      <w:pPr>
        <w:spacing w:line="360" w:lineRule="auto"/>
        <w:jc w:val="center"/>
        <w:rPr>
          <w:rFonts w:ascii="新細明體" w:hAnsi="新細明體" w:hint="eastAsia"/>
          <w:b/>
          <w:sz w:val="28"/>
          <w:szCs w:val="28"/>
        </w:rPr>
      </w:pPr>
      <w:r>
        <w:rPr>
          <w:rFonts w:ascii="新細明體" w:hAnsi="新細明體" w:hint="eastAsia"/>
          <w:b/>
          <w:sz w:val="28"/>
          <w:szCs w:val="28"/>
        </w:rPr>
        <w:t>「信賴保護原則在公務人員保障事件的適用」研究計畫目錄</w:t>
      </w:r>
    </w:p>
    <w:p w:rsidR="00000000" w:rsidRDefault="00400C4D">
      <w:pPr>
        <w:spacing w:line="360" w:lineRule="auto"/>
        <w:rPr>
          <w:rFonts w:ascii="新細明體" w:hAnsi="新細明體" w:hint="eastAsia"/>
          <w:b/>
          <w:sz w:val="28"/>
          <w:szCs w:val="28"/>
        </w:rPr>
      </w:pPr>
    </w:p>
    <w:p w:rsidR="00000000" w:rsidRDefault="00400C4D">
      <w:pPr>
        <w:spacing w:line="360" w:lineRule="auto"/>
        <w:jc w:val="distribute"/>
        <w:rPr>
          <w:rFonts w:ascii="新細明體" w:hAnsi="新細明體" w:hint="eastAsia"/>
        </w:rPr>
      </w:pPr>
      <w:r>
        <w:rPr>
          <w:rFonts w:ascii="新細明體" w:hAnsi="新細明體" w:hint="eastAsia"/>
          <w:b/>
          <w:sz w:val="28"/>
          <w:szCs w:val="28"/>
        </w:rPr>
        <w:t>中文摘要</w:t>
      </w:r>
      <w:r>
        <w:rPr>
          <w:rFonts w:ascii="新細明體" w:hAnsi="新細明體"/>
        </w:rPr>
        <w:t>…………………………………………………………………</w:t>
      </w:r>
      <w:r>
        <w:t>5</w:t>
      </w:r>
    </w:p>
    <w:p w:rsidR="00000000" w:rsidRDefault="00400C4D">
      <w:pPr>
        <w:spacing w:line="360" w:lineRule="auto"/>
        <w:jc w:val="distribute"/>
        <w:rPr>
          <w:rFonts w:ascii="新細明體" w:hAnsi="新細明體" w:hint="eastAsia"/>
        </w:rPr>
      </w:pPr>
      <w:r>
        <w:rPr>
          <w:rFonts w:ascii="新細明體" w:hAnsi="新細明體" w:hint="eastAsia"/>
          <w:b/>
          <w:sz w:val="28"/>
          <w:szCs w:val="28"/>
        </w:rPr>
        <w:t>英文摘要</w:t>
      </w:r>
      <w:r>
        <w:rPr>
          <w:rFonts w:ascii="新細明體" w:hAnsi="新細明體"/>
        </w:rPr>
        <w:t>…………………………………………………………………</w:t>
      </w:r>
      <w:r>
        <w:t>6</w:t>
      </w:r>
    </w:p>
    <w:p w:rsidR="00000000" w:rsidRDefault="00400C4D">
      <w:pPr>
        <w:spacing w:line="360" w:lineRule="auto"/>
        <w:rPr>
          <w:rFonts w:ascii="新細明體" w:hAnsi="新細明體" w:hint="eastAsia"/>
          <w:b/>
          <w:sz w:val="28"/>
          <w:szCs w:val="28"/>
        </w:rPr>
      </w:pPr>
    </w:p>
    <w:p w:rsidR="00000000" w:rsidRDefault="00400C4D">
      <w:pPr>
        <w:spacing w:line="360" w:lineRule="auto"/>
        <w:jc w:val="distribute"/>
        <w:rPr>
          <w:rFonts w:ascii="新細明體" w:hAnsi="新細明體" w:hint="eastAsia"/>
        </w:rPr>
      </w:pPr>
      <w:r>
        <w:rPr>
          <w:rFonts w:ascii="新細明體" w:hAnsi="新細明體" w:hint="eastAsia"/>
          <w:b/>
          <w:sz w:val="28"/>
          <w:szCs w:val="28"/>
        </w:rPr>
        <w:t>第一章</w:t>
      </w:r>
      <w:r>
        <w:rPr>
          <w:rFonts w:ascii="新細明體" w:hAnsi="新細明體" w:hint="eastAsia"/>
          <w:b/>
          <w:sz w:val="28"/>
          <w:szCs w:val="28"/>
        </w:rPr>
        <w:t xml:space="preserve"> </w:t>
      </w:r>
      <w:r>
        <w:rPr>
          <w:rFonts w:ascii="新細明體" w:hAnsi="新細明體" w:hint="eastAsia"/>
          <w:b/>
          <w:sz w:val="28"/>
          <w:szCs w:val="28"/>
        </w:rPr>
        <w:t>研究主題與研究計畫的安排</w:t>
      </w:r>
      <w:r>
        <w:rPr>
          <w:rFonts w:ascii="新細明體" w:hAnsi="新細明體"/>
        </w:rPr>
        <w:t>…………………………………</w:t>
      </w:r>
      <w:r>
        <w:t>8</w:t>
      </w:r>
    </w:p>
    <w:p w:rsidR="00000000" w:rsidRDefault="00400C4D">
      <w:pPr>
        <w:spacing w:line="360" w:lineRule="auto"/>
        <w:rPr>
          <w:rFonts w:ascii="新細明體" w:hAnsi="新細明體" w:hint="eastAsia"/>
          <w:b/>
        </w:rPr>
      </w:pPr>
    </w:p>
    <w:p w:rsidR="00000000" w:rsidRDefault="00400C4D">
      <w:pPr>
        <w:spacing w:line="360" w:lineRule="auto"/>
        <w:jc w:val="distribute"/>
        <w:rPr>
          <w:rFonts w:ascii="新細明體" w:hAnsi="新細明體" w:hint="eastAsia"/>
        </w:rPr>
      </w:pPr>
      <w:r>
        <w:rPr>
          <w:rFonts w:ascii="新細明體" w:hAnsi="新細明體" w:hint="eastAsia"/>
          <w:b/>
          <w:sz w:val="28"/>
          <w:szCs w:val="28"/>
        </w:rPr>
        <w:t>第二章</w:t>
      </w:r>
      <w:r>
        <w:rPr>
          <w:rFonts w:ascii="新細明體" w:hAnsi="新細明體" w:hint="eastAsia"/>
          <w:b/>
          <w:sz w:val="28"/>
          <w:szCs w:val="28"/>
        </w:rPr>
        <w:t xml:space="preserve"> </w:t>
      </w:r>
      <w:r>
        <w:rPr>
          <w:rFonts w:ascii="新細明體" w:hAnsi="新細明體" w:hint="eastAsia"/>
          <w:b/>
          <w:sz w:val="28"/>
          <w:szCs w:val="28"/>
        </w:rPr>
        <w:t>保訓會相關決定與行政法院相關裁判的檢視</w:t>
      </w:r>
      <w:r>
        <w:rPr>
          <w:rFonts w:ascii="新細明體" w:hAnsi="新細明體"/>
        </w:rPr>
        <w:t>………………</w:t>
      </w:r>
      <w:r>
        <w:t>10</w:t>
      </w:r>
    </w:p>
    <w:p w:rsidR="00000000" w:rsidRDefault="00400C4D">
      <w:pPr>
        <w:spacing w:line="360" w:lineRule="auto"/>
        <w:rPr>
          <w:rFonts w:ascii="新細明體" w:hAnsi="新細明體" w:hint="eastAsia"/>
          <w:b/>
          <w:sz w:val="28"/>
          <w:szCs w:val="28"/>
        </w:rPr>
      </w:pPr>
    </w:p>
    <w:p w:rsidR="00000000" w:rsidRDefault="00400C4D">
      <w:pPr>
        <w:spacing w:line="360" w:lineRule="auto"/>
        <w:jc w:val="right"/>
        <w:rPr>
          <w:rFonts w:ascii="新細明體" w:hAnsi="新細明體" w:hint="eastAsia"/>
        </w:rPr>
      </w:pPr>
      <w:r>
        <w:rPr>
          <w:rFonts w:ascii="新細明體" w:hAnsi="新細明體" w:hint="eastAsia"/>
          <w:b/>
        </w:rPr>
        <w:t>第一節</w:t>
      </w:r>
      <w:r>
        <w:rPr>
          <w:rFonts w:ascii="新細明體" w:hAnsi="新細明體" w:hint="eastAsia"/>
          <w:b/>
        </w:rPr>
        <w:t xml:space="preserve"> </w:t>
      </w:r>
      <w:r>
        <w:rPr>
          <w:rFonts w:ascii="新細明體" w:hAnsi="新細明體" w:hint="eastAsia"/>
          <w:b/>
        </w:rPr>
        <w:t>保訓會與信賴保護原則相關決定的分類與檢討</w:t>
      </w:r>
      <w:r>
        <w:rPr>
          <w:rFonts w:ascii="新細明體" w:hAnsi="新細明體"/>
        </w:rPr>
        <w:t>…………………………</w:t>
      </w:r>
      <w:r>
        <w:t>10</w:t>
      </w:r>
    </w:p>
    <w:p w:rsidR="00000000" w:rsidRDefault="00400C4D">
      <w:pPr>
        <w:pStyle w:val="HTML"/>
        <w:spacing w:line="360" w:lineRule="auto"/>
        <w:rPr>
          <w:rFonts w:ascii="新細明體" w:eastAsia="新細明體" w:hAnsi="新細明體" w:hint="eastAsia"/>
          <w:b/>
        </w:rPr>
      </w:pPr>
    </w:p>
    <w:p w:rsidR="00000000" w:rsidRDefault="00400C4D">
      <w:pPr>
        <w:spacing w:line="360" w:lineRule="auto"/>
        <w:jc w:val="distribute"/>
        <w:rPr>
          <w:rFonts w:ascii="新細明體" w:hAnsi="新細明體"/>
          <w:sz w:val="28"/>
          <w:szCs w:val="28"/>
        </w:rPr>
      </w:pPr>
      <w:r>
        <w:rPr>
          <w:rFonts w:ascii="新細明體" w:hAnsi="新細明體" w:hint="eastAsia"/>
        </w:rPr>
        <w:t>一、對主張信賴保護之要件的一般性說明</w:t>
      </w:r>
      <w:r>
        <w:rPr>
          <w:rFonts w:ascii="新細明體" w:hAnsi="新細明體"/>
        </w:rPr>
        <w:t>…………………………………………</w:t>
      </w:r>
      <w:r>
        <w:t>10</w:t>
      </w:r>
    </w:p>
    <w:p w:rsidR="00000000" w:rsidRDefault="00400C4D">
      <w:pPr>
        <w:spacing w:line="360" w:lineRule="auto"/>
        <w:rPr>
          <w:rFonts w:ascii="新細明體" w:hAnsi="新細明體" w:hint="eastAsia"/>
        </w:rPr>
      </w:pPr>
      <w:r>
        <w:rPr>
          <w:rFonts w:ascii="新細明體" w:hAnsi="新細明體" w:hint="eastAsia"/>
        </w:rPr>
        <w:t>二、因法規變更影響當事人權益的第一種處理類型：強調</w:t>
      </w:r>
      <w:r>
        <w:rPr>
          <w:rFonts w:ascii="新細明體" w:hAnsi="新細明體" w:hint="eastAsia"/>
        </w:rPr>
        <w:t>「信賴表現」的要件</w:t>
      </w:r>
    </w:p>
    <w:p w:rsidR="00000000" w:rsidRDefault="00400C4D">
      <w:pPr>
        <w:spacing w:line="360" w:lineRule="auto"/>
        <w:ind w:firstLineChars="200" w:firstLine="480"/>
        <w:jc w:val="distribute"/>
        <w:rPr>
          <w:rFonts w:ascii="新細明體" w:hAnsi="新細明體" w:hint="eastAsia"/>
        </w:rPr>
      </w:pPr>
      <w:r>
        <w:rPr>
          <w:rFonts w:ascii="新細明體" w:hAnsi="新細明體"/>
        </w:rPr>
        <w:t>…………………………………………………………………………………</w:t>
      </w:r>
      <w:r>
        <w:t>11</w:t>
      </w:r>
    </w:p>
    <w:p w:rsidR="00000000" w:rsidRDefault="00400C4D">
      <w:pPr>
        <w:spacing w:line="360" w:lineRule="auto"/>
        <w:ind w:left="540" w:hangingChars="225" w:hanging="540"/>
        <w:rPr>
          <w:rFonts w:ascii="新細明體" w:hAnsi="新細明體" w:hint="eastAsia"/>
        </w:rPr>
      </w:pPr>
      <w:r>
        <w:rPr>
          <w:rFonts w:ascii="新細明體" w:hAnsi="新細明體" w:hint="eastAsia"/>
        </w:rPr>
        <w:t>三、因法規變更影響當事人權益的第二種處理類型：區分信賴利益與期待利益</w:t>
      </w:r>
    </w:p>
    <w:p w:rsidR="00000000" w:rsidRDefault="00400C4D">
      <w:pPr>
        <w:spacing w:line="360" w:lineRule="auto"/>
        <w:jc w:val="distribute"/>
        <w:rPr>
          <w:rFonts w:ascii="新細明體" w:hAnsi="新細明體" w:hint="eastAsia"/>
        </w:rPr>
      </w:pPr>
      <w:r>
        <w:rPr>
          <w:rFonts w:ascii="新細明體" w:hAnsi="新細明體" w:hint="eastAsia"/>
        </w:rPr>
        <w:t xml:space="preserve">    </w:t>
      </w:r>
      <w:r>
        <w:rPr>
          <w:rFonts w:ascii="新細明體" w:hAnsi="新細明體"/>
        </w:rPr>
        <w:t>…………………………………………………………………………………</w:t>
      </w:r>
      <w:r>
        <w:t>15</w:t>
      </w:r>
    </w:p>
    <w:p w:rsidR="00000000" w:rsidRDefault="00400C4D">
      <w:pPr>
        <w:spacing w:line="360" w:lineRule="auto"/>
        <w:rPr>
          <w:rFonts w:ascii="新細明體" w:hAnsi="新細明體" w:hint="eastAsia"/>
        </w:rPr>
      </w:pPr>
      <w:r>
        <w:rPr>
          <w:rFonts w:ascii="新細明體" w:hAnsi="新細明體" w:hint="eastAsia"/>
        </w:rPr>
        <w:t>四、因法規變更影響當事人權益的第三種處理類型：法律不溯既往的論述案例</w:t>
      </w:r>
    </w:p>
    <w:p w:rsidR="00000000" w:rsidRDefault="00400C4D">
      <w:pPr>
        <w:spacing w:line="360" w:lineRule="auto"/>
        <w:ind w:firstLineChars="200" w:firstLine="480"/>
        <w:jc w:val="distribute"/>
        <w:rPr>
          <w:rFonts w:ascii="新細明體" w:hAnsi="新細明體" w:hint="eastAsia"/>
        </w:rPr>
      </w:pPr>
      <w:r>
        <w:rPr>
          <w:rFonts w:ascii="新細明體" w:hAnsi="新細明體"/>
        </w:rPr>
        <w:t>…………………………………………………………………………………</w:t>
      </w:r>
      <w:r>
        <w:t>19</w:t>
      </w:r>
    </w:p>
    <w:p w:rsidR="00000000" w:rsidRDefault="00400C4D">
      <w:pPr>
        <w:spacing w:line="360" w:lineRule="auto"/>
        <w:ind w:left="540" w:hangingChars="225" w:hanging="540"/>
        <w:jc w:val="distribute"/>
        <w:rPr>
          <w:rFonts w:ascii="新細明體" w:hAnsi="新細明體" w:hint="eastAsia"/>
        </w:rPr>
      </w:pPr>
      <w:r>
        <w:rPr>
          <w:rFonts w:ascii="新細明體" w:hAnsi="新細明體" w:hint="eastAsia"/>
        </w:rPr>
        <w:t>五、處理撤銷授益性行政處分的第一種類型：以未具備「信賴表現」為理由否定信賴保護的主張</w:t>
      </w:r>
      <w:r>
        <w:rPr>
          <w:rFonts w:ascii="新細明體" w:hAnsi="新細明體"/>
        </w:rPr>
        <w:t>………………………………………………………………</w:t>
      </w:r>
      <w:r>
        <w:t>20</w:t>
      </w:r>
    </w:p>
    <w:p w:rsidR="00000000" w:rsidRDefault="00400C4D">
      <w:pPr>
        <w:spacing w:line="360" w:lineRule="auto"/>
        <w:ind w:left="540" w:hangingChars="225" w:hanging="540"/>
        <w:jc w:val="distribute"/>
        <w:rPr>
          <w:rFonts w:ascii="新細明體" w:hAnsi="新細明體" w:hint="eastAsia"/>
        </w:rPr>
      </w:pPr>
      <w:r>
        <w:rPr>
          <w:rFonts w:ascii="新細明體" w:hAnsi="新細明體" w:hint="eastAsia"/>
        </w:rPr>
        <w:t>六</w:t>
      </w:r>
      <w:r>
        <w:rPr>
          <w:rFonts w:ascii="新細明體" w:hAnsi="新細明體" w:hint="eastAsia"/>
        </w:rPr>
        <w:t>、處理撤銷授益性行政處分的第二種類型：因當事人具有信賴不值得保護的事由駁回其信賴保護的主張</w:t>
      </w:r>
      <w:r>
        <w:rPr>
          <w:rFonts w:ascii="新細明體" w:hAnsi="新細明體"/>
        </w:rPr>
        <w:t>……………………………………………</w:t>
      </w:r>
      <w:r>
        <w:t>22</w:t>
      </w:r>
    </w:p>
    <w:p w:rsidR="00000000" w:rsidRDefault="00400C4D">
      <w:pPr>
        <w:spacing w:line="360" w:lineRule="auto"/>
        <w:ind w:left="540" w:hangingChars="225" w:hanging="540"/>
        <w:jc w:val="distribute"/>
        <w:rPr>
          <w:rFonts w:ascii="新細明體" w:hAnsi="新細明體" w:hint="eastAsia"/>
        </w:rPr>
      </w:pPr>
      <w:r>
        <w:rPr>
          <w:rFonts w:ascii="新細明體" w:hAnsi="新細明體" w:hint="eastAsia"/>
        </w:rPr>
        <w:t>七、處理撤銷授益性行政處分的第三種類型：以撤銷所欲維護之公益大於信賴利</w:t>
      </w:r>
      <w:r>
        <w:rPr>
          <w:rFonts w:ascii="新細明體" w:hAnsi="新細明體" w:hint="eastAsia"/>
        </w:rPr>
        <w:lastRenderedPageBreak/>
        <w:t>益為理由駁回當事人信賴保護的主張</w:t>
      </w:r>
      <w:r>
        <w:rPr>
          <w:rFonts w:ascii="新細明體" w:hAnsi="新細明體"/>
        </w:rPr>
        <w:t>…………………………………</w:t>
      </w:r>
      <w:r>
        <w:t>24</w:t>
      </w:r>
    </w:p>
    <w:p w:rsidR="00000000" w:rsidRDefault="00400C4D">
      <w:pPr>
        <w:spacing w:line="360" w:lineRule="auto"/>
        <w:ind w:left="540" w:hangingChars="225" w:hanging="540"/>
        <w:jc w:val="distribute"/>
        <w:rPr>
          <w:rFonts w:ascii="新細明體" w:hAnsi="新細明體" w:hint="eastAsia"/>
        </w:rPr>
      </w:pPr>
      <w:r>
        <w:rPr>
          <w:rFonts w:ascii="新細明體" w:hAnsi="新細明體" w:hint="eastAsia"/>
        </w:rPr>
        <w:t>八、縱無法律授權，撤銷授益性行政處分時，行政機關得以行政處分命相對人返還其基於被撤銷之行政處分所受領之給付</w:t>
      </w:r>
      <w:r>
        <w:rPr>
          <w:rFonts w:ascii="新細明體" w:hAnsi="新細明體"/>
        </w:rPr>
        <w:t>……………………………</w:t>
      </w:r>
      <w:r>
        <w:t>25</w:t>
      </w:r>
    </w:p>
    <w:p w:rsidR="00000000" w:rsidRDefault="00400C4D">
      <w:pPr>
        <w:spacing w:line="360" w:lineRule="auto"/>
        <w:jc w:val="distribute"/>
        <w:rPr>
          <w:rFonts w:ascii="新細明體" w:hAnsi="新細明體" w:hint="eastAsia"/>
        </w:rPr>
      </w:pPr>
      <w:r>
        <w:rPr>
          <w:rFonts w:ascii="新細明體" w:hAnsi="新細明體" w:hint="eastAsia"/>
        </w:rPr>
        <w:t>九、藉由解釋法定得廢止事由，證立廢止授益性行政處分的正當性</w:t>
      </w:r>
      <w:r>
        <w:rPr>
          <w:rFonts w:ascii="新細明體" w:hAnsi="新細明體"/>
        </w:rPr>
        <w:t>…………</w:t>
      </w:r>
      <w:r>
        <w:t>26</w:t>
      </w:r>
    </w:p>
    <w:p w:rsidR="00000000" w:rsidRDefault="00400C4D">
      <w:pPr>
        <w:spacing w:line="360" w:lineRule="auto"/>
        <w:jc w:val="distribute"/>
        <w:rPr>
          <w:rFonts w:ascii="新細明體" w:hAnsi="新細明體" w:hint="eastAsia"/>
        </w:rPr>
      </w:pPr>
      <w:r>
        <w:rPr>
          <w:rFonts w:ascii="新細明體" w:hAnsi="新細明體" w:hint="eastAsia"/>
        </w:rPr>
        <w:t>十、小結：保訓會與信賴保護原則相關決定顯示</w:t>
      </w:r>
      <w:r>
        <w:rPr>
          <w:rFonts w:ascii="新細明體" w:hAnsi="新細明體" w:hint="eastAsia"/>
        </w:rPr>
        <w:t>的疑義</w:t>
      </w:r>
      <w:r>
        <w:rPr>
          <w:rFonts w:ascii="新細明體" w:hAnsi="新細明體"/>
          <w:sz w:val="28"/>
          <w:szCs w:val="28"/>
        </w:rPr>
        <w:t>………………………</w:t>
      </w:r>
      <w:r>
        <w:t>29</w:t>
      </w:r>
    </w:p>
    <w:p w:rsidR="00000000" w:rsidRDefault="00400C4D">
      <w:pPr>
        <w:pStyle w:val="HTML"/>
        <w:spacing w:line="360" w:lineRule="auto"/>
        <w:rPr>
          <w:rFonts w:ascii="新細明體" w:eastAsia="新細明體" w:hAnsi="新細明體" w:hint="eastAsia"/>
          <w:b/>
        </w:rPr>
      </w:pPr>
    </w:p>
    <w:p w:rsidR="00000000" w:rsidRDefault="00400C4D">
      <w:pPr>
        <w:pStyle w:val="HTML"/>
        <w:spacing w:line="360" w:lineRule="auto"/>
        <w:jc w:val="distribute"/>
        <w:rPr>
          <w:rFonts w:ascii="新細明體" w:eastAsia="新細明體" w:hAnsi="新細明體" w:hint="eastAsia"/>
          <w:b/>
        </w:rPr>
      </w:pPr>
      <w:r>
        <w:rPr>
          <w:rFonts w:ascii="新細明體" w:eastAsia="新細明體" w:hAnsi="新細明體" w:hint="eastAsia"/>
          <w:b/>
        </w:rPr>
        <w:t>第二節</w:t>
      </w:r>
      <w:r>
        <w:rPr>
          <w:rFonts w:ascii="新細明體" w:eastAsia="新細明體" w:hAnsi="新細明體" w:hint="eastAsia"/>
          <w:b/>
        </w:rPr>
        <w:t xml:space="preserve"> </w:t>
      </w:r>
      <w:r>
        <w:rPr>
          <w:rFonts w:ascii="新細明體" w:eastAsia="新細明體" w:hAnsi="新細明體" w:hint="eastAsia"/>
          <w:b/>
        </w:rPr>
        <w:t>行政法院與信賴保護原則相關裁判的檢討</w:t>
      </w:r>
      <w:r>
        <w:rPr>
          <w:rFonts w:ascii="新細明體" w:eastAsia="新細明體" w:hAnsi="新細明體"/>
        </w:rPr>
        <w:t>………………………</w:t>
      </w:r>
      <w:r>
        <w:rPr>
          <w:rFonts w:ascii="Times New Roman" w:eastAsia="新細明體" w:hAnsi="Times New Roman"/>
        </w:rPr>
        <w:t>31</w:t>
      </w:r>
    </w:p>
    <w:p w:rsidR="00000000" w:rsidRDefault="00400C4D">
      <w:pPr>
        <w:pStyle w:val="HTML"/>
        <w:spacing w:line="360" w:lineRule="auto"/>
        <w:rPr>
          <w:rFonts w:ascii="新細明體" w:eastAsia="新細明體" w:hAnsi="新細明體" w:hint="eastAsia"/>
          <w:b/>
        </w:rPr>
      </w:pPr>
    </w:p>
    <w:p w:rsidR="00000000" w:rsidRDefault="00400C4D">
      <w:pPr>
        <w:spacing w:line="360" w:lineRule="auto"/>
        <w:jc w:val="distribute"/>
        <w:rPr>
          <w:rFonts w:ascii="新細明體" w:hAnsi="新細明體" w:hint="eastAsia"/>
        </w:rPr>
      </w:pPr>
      <w:r>
        <w:rPr>
          <w:rFonts w:ascii="新細明體" w:hAnsi="新細明體" w:hint="eastAsia"/>
          <w:b/>
          <w:sz w:val="28"/>
          <w:szCs w:val="28"/>
        </w:rPr>
        <w:t>第三章</w:t>
      </w:r>
      <w:r>
        <w:rPr>
          <w:rFonts w:ascii="新細明體" w:hAnsi="新細明體" w:hint="eastAsia"/>
          <w:b/>
          <w:sz w:val="28"/>
          <w:szCs w:val="28"/>
        </w:rPr>
        <w:t xml:space="preserve"> </w:t>
      </w:r>
      <w:r>
        <w:rPr>
          <w:rFonts w:ascii="新細明體" w:hAnsi="新細明體" w:hint="eastAsia"/>
          <w:b/>
          <w:sz w:val="28"/>
          <w:szCs w:val="28"/>
        </w:rPr>
        <w:t>因法規範變更衍生之信賴保護疑義的處理</w:t>
      </w:r>
      <w:r>
        <w:rPr>
          <w:rFonts w:ascii="新細明體" w:hAnsi="新細明體"/>
        </w:rPr>
        <w:t>………………</w:t>
      </w:r>
      <w:r>
        <w:t>36</w:t>
      </w:r>
    </w:p>
    <w:p w:rsidR="00000000" w:rsidRDefault="00400C4D">
      <w:pPr>
        <w:spacing w:line="360" w:lineRule="auto"/>
        <w:rPr>
          <w:rFonts w:ascii="新細明體" w:hAnsi="新細明體" w:hint="eastAsia"/>
          <w:b/>
        </w:rPr>
      </w:pPr>
    </w:p>
    <w:p w:rsidR="00000000" w:rsidRDefault="00400C4D">
      <w:pPr>
        <w:spacing w:line="360" w:lineRule="auto"/>
        <w:jc w:val="distribute"/>
        <w:rPr>
          <w:rFonts w:ascii="新細明體" w:hAnsi="新細明體" w:hint="eastAsia"/>
          <w:b/>
          <w:sz w:val="28"/>
          <w:szCs w:val="28"/>
        </w:rPr>
      </w:pPr>
      <w:r>
        <w:rPr>
          <w:rFonts w:ascii="新細明體" w:hAnsi="新細明體" w:hint="eastAsia"/>
          <w:b/>
        </w:rPr>
        <w:t>第一節</w:t>
      </w:r>
      <w:r>
        <w:rPr>
          <w:rFonts w:ascii="新細明體" w:hAnsi="新細明體" w:hint="eastAsia"/>
          <w:b/>
        </w:rPr>
        <w:t xml:space="preserve"> </w:t>
      </w:r>
      <w:r>
        <w:rPr>
          <w:rFonts w:ascii="新細明體" w:hAnsi="新細明體" w:hint="eastAsia"/>
          <w:b/>
        </w:rPr>
        <w:t>司法院大法官與信賴保護原則相關解釋的評析</w:t>
      </w:r>
      <w:r>
        <w:rPr>
          <w:rFonts w:ascii="新細明體" w:hAnsi="新細明體"/>
        </w:rPr>
        <w:t>…………………</w:t>
      </w:r>
      <w:r>
        <w:t>36</w:t>
      </w:r>
    </w:p>
    <w:p w:rsidR="00000000" w:rsidRDefault="00400C4D">
      <w:pPr>
        <w:spacing w:line="360" w:lineRule="auto"/>
        <w:rPr>
          <w:rFonts w:ascii="新細明體" w:hAnsi="新細明體" w:hint="eastAsia"/>
          <w:b/>
        </w:rPr>
      </w:pPr>
    </w:p>
    <w:p w:rsidR="00000000" w:rsidRDefault="00400C4D">
      <w:pPr>
        <w:spacing w:line="360" w:lineRule="auto"/>
        <w:ind w:left="540" w:hangingChars="225" w:hanging="540"/>
        <w:jc w:val="distribute"/>
        <w:rPr>
          <w:rFonts w:ascii="新細明體" w:hAnsi="新細明體" w:hint="eastAsia"/>
        </w:rPr>
      </w:pPr>
      <w:r>
        <w:rPr>
          <w:rFonts w:ascii="新細明體" w:hAnsi="新細明體" w:hint="eastAsia"/>
        </w:rPr>
        <w:t>一、釋字第五二五號解釋</w:t>
      </w:r>
      <w:r>
        <w:rPr>
          <w:rFonts w:ascii="新細明體" w:hAnsi="新細明體"/>
        </w:rPr>
        <w:t>………………………………………………………</w:t>
      </w:r>
      <w:r>
        <w:t>36</w:t>
      </w:r>
    </w:p>
    <w:p w:rsidR="00000000" w:rsidRDefault="0040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cs="新細明體" w:hint="eastAsia"/>
          <w:kern w:val="0"/>
        </w:rPr>
      </w:pPr>
      <w:r>
        <w:rPr>
          <w:rFonts w:ascii="新細明體" w:hAnsi="新細明體" w:cs="新細明體" w:hint="eastAsia"/>
          <w:kern w:val="0"/>
        </w:rPr>
        <w:t>二、釋字第五二九號解釋與釋字第五三八號解釋</w:t>
      </w:r>
      <w:r>
        <w:rPr>
          <w:rFonts w:ascii="新細明體" w:hAnsi="新細明體" w:cs="新細明體"/>
          <w:kern w:val="0"/>
        </w:rPr>
        <w:t>……………………………</w:t>
      </w:r>
      <w:r>
        <w:rPr>
          <w:kern w:val="0"/>
        </w:rPr>
        <w:t>39</w:t>
      </w:r>
    </w:p>
    <w:p w:rsidR="00000000" w:rsidRDefault="0040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cs="新細明體" w:hint="eastAsia"/>
          <w:kern w:val="0"/>
        </w:rPr>
      </w:pPr>
      <w:r>
        <w:rPr>
          <w:rFonts w:ascii="新細明體" w:hAnsi="新細明體" w:cs="新細明體" w:hint="eastAsia"/>
          <w:kern w:val="0"/>
        </w:rPr>
        <w:t>三、釋字第</w:t>
      </w:r>
      <w:r>
        <w:rPr>
          <w:rFonts w:ascii="新細明體" w:hAnsi="新細明體" w:hint="eastAsia"/>
          <w:kern w:val="0"/>
        </w:rPr>
        <w:t>五七四</w:t>
      </w:r>
      <w:r>
        <w:rPr>
          <w:rFonts w:ascii="新細明體" w:hAnsi="新細明體" w:cs="新細明體" w:hint="eastAsia"/>
          <w:kern w:val="0"/>
        </w:rPr>
        <w:t>號解釋</w:t>
      </w:r>
      <w:r>
        <w:rPr>
          <w:rFonts w:ascii="新細明體" w:hAnsi="新細明體"/>
        </w:rPr>
        <w:t>………………………………………………………</w:t>
      </w:r>
      <w:r>
        <w:t>40</w:t>
      </w:r>
    </w:p>
    <w:p w:rsidR="00000000" w:rsidRDefault="0040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cs="細明體" w:hint="eastAsia"/>
          <w:kern w:val="0"/>
        </w:rPr>
      </w:pPr>
      <w:r>
        <w:rPr>
          <w:rFonts w:ascii="新細明體" w:hAnsi="新細明體" w:cs="細明體" w:hint="eastAsia"/>
          <w:kern w:val="0"/>
        </w:rPr>
        <w:t>四、釋字第五七五號解釋</w:t>
      </w:r>
      <w:r>
        <w:rPr>
          <w:rFonts w:ascii="新細明體" w:hAnsi="新細明體"/>
        </w:rPr>
        <w:t>………………………………………………………</w:t>
      </w:r>
      <w:r>
        <w:t>4</w:t>
      </w:r>
      <w:r>
        <w:t>5</w:t>
      </w:r>
    </w:p>
    <w:p w:rsidR="00000000" w:rsidRDefault="0040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cs="細明體" w:hint="eastAsia"/>
          <w:kern w:val="0"/>
        </w:rPr>
      </w:pPr>
      <w:r>
        <w:rPr>
          <w:rFonts w:ascii="新細明體" w:hAnsi="新細明體" w:cs="細明體" w:hint="eastAsia"/>
          <w:kern w:val="0"/>
        </w:rPr>
        <w:t>五、釋字第五七七號解釋</w:t>
      </w:r>
      <w:r>
        <w:rPr>
          <w:rFonts w:ascii="新細明體" w:hAnsi="新細明體"/>
        </w:rPr>
        <w:t>………………………………………………………</w:t>
      </w:r>
      <w:r>
        <w:t>46</w:t>
      </w:r>
    </w:p>
    <w:p w:rsidR="00000000" w:rsidRDefault="0040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cs="細明體" w:hint="eastAsia"/>
          <w:kern w:val="0"/>
        </w:rPr>
      </w:pPr>
      <w:r>
        <w:rPr>
          <w:rFonts w:ascii="新細明體" w:hAnsi="新細明體" w:cs="細明體" w:hint="eastAsia"/>
          <w:kern w:val="0"/>
        </w:rPr>
        <w:t>六、釋字第五八九號解釋</w:t>
      </w:r>
      <w:r>
        <w:rPr>
          <w:rFonts w:ascii="新細明體" w:hAnsi="新細明體"/>
        </w:rPr>
        <w:t>………………………………………………………</w:t>
      </w:r>
      <w:r>
        <w:t>48</w:t>
      </w:r>
    </w:p>
    <w:p w:rsidR="00000000" w:rsidRDefault="0040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cs="細明體" w:hint="eastAsia"/>
          <w:color w:val="000000"/>
          <w:kern w:val="0"/>
        </w:rPr>
      </w:pPr>
      <w:r>
        <w:rPr>
          <w:rFonts w:ascii="新細明體" w:hAnsi="新細明體" w:cs="細明體" w:hint="eastAsia"/>
          <w:color w:val="000000"/>
          <w:kern w:val="0"/>
        </w:rPr>
        <w:t>七、釋字第六０五號解釋</w:t>
      </w:r>
      <w:r>
        <w:rPr>
          <w:rFonts w:ascii="新細明體" w:hAnsi="新細明體"/>
        </w:rPr>
        <w:t>………………………………………………………</w:t>
      </w:r>
      <w:r>
        <w:t>50</w:t>
      </w:r>
    </w:p>
    <w:p w:rsidR="00000000" w:rsidRDefault="00400C4D">
      <w:pPr>
        <w:spacing w:line="360" w:lineRule="auto"/>
        <w:rPr>
          <w:rFonts w:ascii="新細明體" w:hAnsi="新細明體" w:hint="eastAsia"/>
          <w:b/>
        </w:rPr>
      </w:pPr>
    </w:p>
    <w:p w:rsidR="00000000" w:rsidRDefault="00400C4D">
      <w:pPr>
        <w:spacing w:line="360" w:lineRule="auto"/>
        <w:jc w:val="distribute"/>
        <w:rPr>
          <w:rFonts w:ascii="新細明體" w:hAnsi="新細明體" w:hint="eastAsia"/>
          <w:b/>
        </w:rPr>
      </w:pPr>
      <w:r>
        <w:rPr>
          <w:rFonts w:ascii="新細明體" w:hAnsi="新細明體" w:hint="eastAsia"/>
          <w:b/>
        </w:rPr>
        <w:t>第二節</w:t>
      </w:r>
      <w:r>
        <w:rPr>
          <w:rFonts w:ascii="新細明體" w:hAnsi="新細明體" w:hint="eastAsia"/>
          <w:b/>
        </w:rPr>
        <w:t xml:space="preserve"> </w:t>
      </w:r>
      <w:r>
        <w:rPr>
          <w:rFonts w:ascii="新細明體" w:hAnsi="新細明體" w:cs="細明體" w:hint="eastAsia"/>
          <w:b/>
          <w:kern w:val="0"/>
        </w:rPr>
        <w:t>藉由檢視司法院大法官相關解釋顯示的探討進路</w:t>
      </w:r>
      <w:r>
        <w:rPr>
          <w:rFonts w:ascii="新細明體" w:hAnsi="新細明體" w:cs="細明體"/>
          <w:kern w:val="0"/>
        </w:rPr>
        <w:t>……………………</w:t>
      </w:r>
      <w:r>
        <w:rPr>
          <w:kern w:val="0"/>
        </w:rPr>
        <w:t>58</w:t>
      </w:r>
    </w:p>
    <w:p w:rsidR="00000000" w:rsidRDefault="00400C4D">
      <w:pPr>
        <w:spacing w:line="360" w:lineRule="auto"/>
        <w:rPr>
          <w:rFonts w:ascii="新細明體" w:hAnsi="新細明體" w:hint="eastAsia"/>
          <w:b/>
        </w:rPr>
      </w:pPr>
    </w:p>
    <w:p w:rsidR="00000000" w:rsidRDefault="00400C4D">
      <w:pPr>
        <w:spacing w:line="360" w:lineRule="auto"/>
        <w:jc w:val="distribute"/>
        <w:rPr>
          <w:rFonts w:ascii="新細明體" w:hAnsi="新細明體" w:hint="eastAsia"/>
          <w:b/>
        </w:rPr>
      </w:pPr>
      <w:r>
        <w:rPr>
          <w:rFonts w:ascii="新細明體" w:hAnsi="新細明體" w:hint="eastAsia"/>
          <w:b/>
        </w:rPr>
        <w:t>第三節</w:t>
      </w:r>
      <w:r>
        <w:rPr>
          <w:rFonts w:ascii="新細明體" w:hAnsi="新細明體" w:hint="eastAsia"/>
          <w:b/>
        </w:rPr>
        <w:t xml:space="preserve"> </w:t>
      </w:r>
      <w:r>
        <w:rPr>
          <w:rFonts w:ascii="新細明體" w:hAnsi="新細明體" w:hint="eastAsia"/>
          <w:b/>
        </w:rPr>
        <w:t>我國公法學理對信賴保護原則的論述</w:t>
      </w:r>
      <w:r>
        <w:rPr>
          <w:rFonts w:ascii="新細明體" w:hAnsi="新細明體" w:cs="細明體"/>
          <w:kern w:val="0"/>
        </w:rPr>
        <w:t>…………………………………</w:t>
      </w:r>
      <w:r>
        <w:rPr>
          <w:kern w:val="0"/>
        </w:rPr>
        <w:t>61</w:t>
      </w:r>
    </w:p>
    <w:p w:rsidR="00000000" w:rsidRDefault="00400C4D">
      <w:pPr>
        <w:spacing w:line="360" w:lineRule="auto"/>
        <w:rPr>
          <w:rFonts w:ascii="新細明體" w:hAnsi="新細明體" w:hint="eastAsia"/>
          <w:b/>
        </w:rPr>
      </w:pPr>
    </w:p>
    <w:p w:rsidR="00000000" w:rsidRDefault="00400C4D">
      <w:pPr>
        <w:pStyle w:val="HTML"/>
        <w:spacing w:line="360" w:lineRule="auto"/>
        <w:jc w:val="distribute"/>
        <w:rPr>
          <w:rFonts w:ascii="新細明體" w:eastAsia="新細明體" w:hAnsi="新細明體" w:hint="eastAsia"/>
        </w:rPr>
      </w:pPr>
      <w:r>
        <w:rPr>
          <w:rFonts w:ascii="新細明體" w:eastAsia="新細明體" w:hAnsi="新細明體" w:hint="eastAsia"/>
        </w:rPr>
        <w:t>一、我國公法學理對信賴保護原則的界定與對其憲法基礎的說明</w:t>
      </w:r>
      <w:r>
        <w:rPr>
          <w:rFonts w:ascii="新細明體" w:eastAsia="新細明體" w:hAnsi="新細明體"/>
        </w:rPr>
        <w:t>……………</w:t>
      </w:r>
      <w:r>
        <w:rPr>
          <w:rFonts w:ascii="Times New Roman" w:eastAsia="新細明體" w:hAnsi="Times New Roman"/>
        </w:rPr>
        <w:t>61</w:t>
      </w:r>
    </w:p>
    <w:p w:rsidR="00000000" w:rsidRDefault="00400C4D">
      <w:pPr>
        <w:pStyle w:val="HTML"/>
        <w:spacing w:line="360" w:lineRule="auto"/>
        <w:jc w:val="distribute"/>
        <w:rPr>
          <w:rFonts w:ascii="新細明體" w:eastAsia="新細明體" w:hAnsi="新細明體" w:hint="eastAsia"/>
        </w:rPr>
      </w:pPr>
      <w:r>
        <w:rPr>
          <w:rFonts w:ascii="新細明體" w:eastAsia="新細明體" w:hAnsi="新細明體" w:hint="eastAsia"/>
        </w:rPr>
        <w:lastRenderedPageBreak/>
        <w:t>二、依循法律不溯既往原則的論述模型</w:t>
      </w:r>
      <w:r>
        <w:rPr>
          <w:rFonts w:ascii="新細明體" w:eastAsia="新細明體" w:hAnsi="新細明體"/>
        </w:rPr>
        <w:t>…………………………………………</w:t>
      </w:r>
      <w:r>
        <w:rPr>
          <w:rFonts w:ascii="Times New Roman" w:eastAsia="新細明體" w:hAnsi="Times New Roman"/>
        </w:rPr>
        <w:t>63</w:t>
      </w:r>
    </w:p>
    <w:p w:rsidR="00000000" w:rsidRDefault="00400C4D">
      <w:pPr>
        <w:pStyle w:val="HTML"/>
        <w:spacing w:line="360" w:lineRule="auto"/>
        <w:jc w:val="distribute"/>
        <w:rPr>
          <w:rFonts w:ascii="新細明體" w:eastAsia="新細明體" w:hAnsi="新細明體" w:hint="eastAsia"/>
        </w:rPr>
      </w:pPr>
      <w:r>
        <w:rPr>
          <w:rFonts w:ascii="新細明體" w:eastAsia="新細明體" w:hAnsi="新細明體" w:hint="eastAsia"/>
        </w:rPr>
        <w:t>三、</w:t>
      </w:r>
      <w:r>
        <w:rPr>
          <w:rFonts w:ascii="新細明體" w:eastAsia="新細明體" w:hAnsi="新細明體" w:hint="eastAsia"/>
        </w:rPr>
        <w:t>根據信賴保護原則之適用要件的論述模型</w:t>
      </w:r>
      <w:r>
        <w:rPr>
          <w:rFonts w:ascii="新細明體" w:eastAsia="新細明體" w:hAnsi="新細明體"/>
        </w:rPr>
        <w:t>…………………………………</w:t>
      </w:r>
      <w:r>
        <w:rPr>
          <w:rFonts w:ascii="Times New Roman" w:eastAsia="新細明體" w:hAnsi="Times New Roman"/>
        </w:rPr>
        <w:t>65</w:t>
      </w:r>
    </w:p>
    <w:p w:rsidR="00000000" w:rsidRDefault="00400C4D">
      <w:pPr>
        <w:spacing w:line="360" w:lineRule="auto"/>
        <w:rPr>
          <w:rFonts w:ascii="新細明體" w:hAnsi="新細明體" w:hint="eastAsia"/>
          <w:b/>
        </w:rPr>
      </w:pPr>
    </w:p>
    <w:p w:rsidR="00000000" w:rsidRDefault="00400C4D">
      <w:pPr>
        <w:spacing w:line="360" w:lineRule="auto"/>
        <w:jc w:val="distribute"/>
        <w:rPr>
          <w:rFonts w:ascii="新細明體" w:hAnsi="新細明體" w:hint="eastAsia"/>
          <w:b/>
        </w:rPr>
      </w:pPr>
      <w:r>
        <w:rPr>
          <w:rFonts w:ascii="新細明體" w:hAnsi="新細明體" w:cs="新細明體" w:hint="eastAsia"/>
          <w:b/>
          <w:kern w:val="0"/>
        </w:rPr>
        <w:t>第四節</w:t>
      </w:r>
      <w:r>
        <w:rPr>
          <w:rFonts w:ascii="新細明體" w:hAnsi="新細明體" w:cs="新細明體" w:hint="eastAsia"/>
          <w:b/>
          <w:kern w:val="0"/>
        </w:rPr>
        <w:t xml:space="preserve"> </w:t>
      </w:r>
      <w:r>
        <w:rPr>
          <w:rFonts w:ascii="新細明體" w:hAnsi="新細明體" w:cs="新細明體" w:hint="eastAsia"/>
          <w:b/>
          <w:kern w:val="0"/>
        </w:rPr>
        <w:t>德國憲法裁判、公法學理對信賴保護原則的具體化</w:t>
      </w:r>
      <w:r>
        <w:rPr>
          <w:rFonts w:ascii="新細明體" w:hAnsi="新細明體" w:cs="新細明體"/>
          <w:kern w:val="0"/>
        </w:rPr>
        <w:t>……………………</w:t>
      </w:r>
      <w:r>
        <w:rPr>
          <w:kern w:val="0"/>
        </w:rPr>
        <w:t>70</w:t>
      </w:r>
    </w:p>
    <w:p w:rsidR="00000000" w:rsidRDefault="00400C4D">
      <w:pPr>
        <w:spacing w:line="360" w:lineRule="auto"/>
        <w:rPr>
          <w:rFonts w:ascii="新細明體" w:hAnsi="新細明體" w:hint="eastAsia"/>
          <w:b/>
        </w:rPr>
      </w:pPr>
    </w:p>
    <w:p w:rsidR="00000000" w:rsidRDefault="0040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hint="eastAsia"/>
          <w:kern w:val="0"/>
        </w:rPr>
      </w:pPr>
      <w:r>
        <w:rPr>
          <w:rFonts w:ascii="新細明體" w:hAnsi="新細明體" w:hint="eastAsia"/>
          <w:kern w:val="0"/>
        </w:rPr>
        <w:t>一</w:t>
      </w:r>
      <w:r>
        <w:rPr>
          <w:rFonts w:ascii="新細明體" w:hAnsi="新細明體"/>
          <w:kern w:val="0"/>
        </w:rPr>
        <w:t>、信賴保護原則的法理基礎</w:t>
      </w:r>
      <w:r>
        <w:rPr>
          <w:rFonts w:ascii="新細明體" w:hAnsi="新細明體"/>
          <w:kern w:val="0"/>
        </w:rPr>
        <w:t>……………………………………………………</w:t>
      </w:r>
      <w:r>
        <w:rPr>
          <w:kern w:val="0"/>
        </w:rPr>
        <w:t>70</w:t>
      </w:r>
    </w:p>
    <w:p w:rsidR="00000000" w:rsidRDefault="0040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新細明體" w:hAnsi="新細明體" w:hint="eastAsia"/>
          <w:kern w:val="0"/>
        </w:rPr>
      </w:pPr>
      <w:r>
        <w:rPr>
          <w:rFonts w:ascii="新細明體" w:hAnsi="新細明體" w:hint="eastAsia"/>
          <w:kern w:val="0"/>
        </w:rPr>
        <w:t>二、以法規範為信賴基礎之信賴保護的探討</w:t>
      </w:r>
      <w:r>
        <w:rPr>
          <w:rFonts w:ascii="新細明體" w:hAnsi="新細明體"/>
          <w:kern w:val="0"/>
        </w:rPr>
        <w:t>……………………………………</w:t>
      </w:r>
      <w:r>
        <w:rPr>
          <w:kern w:val="0"/>
        </w:rPr>
        <w:t>74</w:t>
      </w:r>
    </w:p>
    <w:p w:rsidR="00000000" w:rsidRDefault="00400C4D">
      <w:pPr>
        <w:spacing w:line="360" w:lineRule="auto"/>
        <w:rPr>
          <w:rFonts w:ascii="新細明體" w:hAnsi="新細明體" w:hint="eastAsia"/>
          <w:b/>
        </w:rPr>
      </w:pPr>
    </w:p>
    <w:p w:rsidR="00000000" w:rsidRDefault="00400C4D">
      <w:pPr>
        <w:spacing w:line="360" w:lineRule="auto"/>
        <w:rPr>
          <w:rFonts w:hAnsi="新細明體" w:hint="eastAsia"/>
          <w:b/>
        </w:rPr>
      </w:pPr>
      <w:r>
        <w:rPr>
          <w:rFonts w:hAnsi="新細明體"/>
          <w:b/>
        </w:rPr>
        <w:t>第五節</w:t>
      </w:r>
      <w:r>
        <w:rPr>
          <w:b/>
        </w:rPr>
        <w:t xml:space="preserve"> </w:t>
      </w:r>
      <w:r>
        <w:rPr>
          <w:rFonts w:hAnsi="新細明體"/>
          <w:b/>
        </w:rPr>
        <w:t>本文之建議的案例運用：以銓敘部增訂公保優存要點第</w:t>
      </w:r>
      <w:r>
        <w:rPr>
          <w:b/>
        </w:rPr>
        <w:t>3</w:t>
      </w:r>
      <w:r>
        <w:rPr>
          <w:rFonts w:hAnsi="新細明體"/>
          <w:b/>
        </w:rPr>
        <w:t>點之</w:t>
      </w:r>
      <w:r>
        <w:rPr>
          <w:b/>
        </w:rPr>
        <w:t>1</w:t>
      </w:r>
      <w:r>
        <w:rPr>
          <w:rFonts w:hAnsi="新細明體"/>
          <w:b/>
        </w:rPr>
        <w:t>為例</w:t>
      </w:r>
    </w:p>
    <w:p w:rsidR="00000000" w:rsidRDefault="00400C4D">
      <w:pPr>
        <w:spacing w:line="360" w:lineRule="auto"/>
        <w:jc w:val="distribute"/>
        <w:rPr>
          <w:rFonts w:ascii="新細明體" w:hAnsi="新細明體" w:hint="eastAsia"/>
        </w:rPr>
      </w:pPr>
      <w:r>
        <w:rPr>
          <w:rFonts w:hint="eastAsia"/>
          <w:b/>
        </w:rPr>
        <w:t xml:space="preserve">       </w:t>
      </w:r>
      <w:r>
        <w:rPr>
          <w:rFonts w:ascii="新細明體" w:hAnsi="新細明體"/>
        </w:rPr>
        <w:t>………………………………………………………………………………</w:t>
      </w:r>
      <w:r>
        <w:t>84</w:t>
      </w:r>
    </w:p>
    <w:p w:rsidR="00000000" w:rsidRDefault="00400C4D">
      <w:pPr>
        <w:spacing w:line="360" w:lineRule="auto"/>
        <w:rPr>
          <w:rFonts w:ascii="新細明體" w:hAnsi="新細明體" w:hint="eastAsia"/>
          <w:b/>
        </w:rPr>
      </w:pPr>
    </w:p>
    <w:p w:rsidR="00000000" w:rsidRDefault="00400C4D">
      <w:pPr>
        <w:spacing w:line="360" w:lineRule="auto"/>
        <w:jc w:val="distribute"/>
        <w:rPr>
          <w:rFonts w:ascii="新細明體" w:hAnsi="新細明體" w:hint="eastAsia"/>
          <w:b/>
          <w:sz w:val="28"/>
          <w:szCs w:val="28"/>
        </w:rPr>
      </w:pPr>
      <w:r>
        <w:rPr>
          <w:rFonts w:ascii="新細明體" w:hAnsi="新細明體" w:hint="eastAsia"/>
          <w:b/>
          <w:sz w:val="28"/>
          <w:szCs w:val="28"/>
        </w:rPr>
        <w:t>第四章</w:t>
      </w:r>
      <w:r>
        <w:rPr>
          <w:rFonts w:ascii="新細明體" w:hAnsi="新細明體" w:hint="eastAsia"/>
          <w:b/>
          <w:sz w:val="28"/>
          <w:szCs w:val="28"/>
        </w:rPr>
        <w:t xml:space="preserve"> </w:t>
      </w:r>
      <w:r>
        <w:rPr>
          <w:rFonts w:ascii="新細明體" w:hAnsi="新細明體" w:hint="eastAsia"/>
          <w:b/>
          <w:sz w:val="28"/>
          <w:szCs w:val="28"/>
        </w:rPr>
        <w:t>廢棄授益性行政處分衍生之信賴保護問題的處理</w:t>
      </w:r>
      <w:r>
        <w:rPr>
          <w:rFonts w:ascii="新細明體" w:hAnsi="新細明體"/>
          <w:kern w:val="0"/>
        </w:rPr>
        <w:t>…………</w:t>
      </w:r>
      <w:r>
        <w:rPr>
          <w:kern w:val="0"/>
        </w:rPr>
        <w:t>88</w:t>
      </w:r>
    </w:p>
    <w:p w:rsidR="00000000" w:rsidRDefault="00400C4D">
      <w:pPr>
        <w:spacing w:line="360" w:lineRule="auto"/>
        <w:rPr>
          <w:rFonts w:ascii="新細明體" w:hAnsi="新細明體" w:hint="eastAsia"/>
          <w:b/>
        </w:rPr>
      </w:pPr>
    </w:p>
    <w:p w:rsidR="00000000" w:rsidRDefault="00400C4D">
      <w:pPr>
        <w:spacing w:line="360" w:lineRule="auto"/>
        <w:jc w:val="distribute"/>
        <w:rPr>
          <w:rFonts w:ascii="新細明體" w:hAnsi="新細明體" w:hint="eastAsia"/>
          <w:b/>
        </w:rPr>
      </w:pPr>
      <w:r>
        <w:rPr>
          <w:rFonts w:ascii="新細明體" w:hAnsi="新細明體" w:hint="eastAsia"/>
          <w:b/>
        </w:rPr>
        <w:t>第</w:t>
      </w:r>
      <w:r>
        <w:rPr>
          <w:rFonts w:ascii="新細明體" w:hAnsi="新細明體" w:hint="eastAsia"/>
          <w:b/>
        </w:rPr>
        <w:t>一節</w:t>
      </w:r>
      <w:r>
        <w:rPr>
          <w:rFonts w:ascii="新細明體" w:hAnsi="新細明體" w:hint="eastAsia"/>
          <w:b/>
        </w:rPr>
        <w:t xml:space="preserve"> </w:t>
      </w:r>
      <w:r>
        <w:rPr>
          <w:rFonts w:ascii="新細明體" w:hAnsi="新細明體" w:hint="eastAsia"/>
          <w:b/>
        </w:rPr>
        <w:t>德國廢棄行政處分之法律規範的發展</w:t>
      </w:r>
      <w:r>
        <w:rPr>
          <w:rFonts w:ascii="新細明體" w:hAnsi="新細明體"/>
          <w:kern w:val="0"/>
        </w:rPr>
        <w:t>…………………………………</w:t>
      </w:r>
      <w:r>
        <w:rPr>
          <w:kern w:val="0"/>
        </w:rPr>
        <w:t>88</w:t>
      </w:r>
    </w:p>
    <w:p w:rsidR="00000000" w:rsidRDefault="00400C4D">
      <w:pPr>
        <w:spacing w:line="360" w:lineRule="auto"/>
        <w:rPr>
          <w:rFonts w:ascii="新細明體" w:hAnsi="新細明體" w:hint="eastAsia"/>
          <w:b/>
        </w:rPr>
      </w:pPr>
    </w:p>
    <w:p w:rsidR="00000000" w:rsidRDefault="00400C4D">
      <w:pPr>
        <w:spacing w:line="360" w:lineRule="auto"/>
        <w:rPr>
          <w:rFonts w:ascii="新細明體" w:hAnsi="新細明體" w:hint="eastAsia"/>
          <w:b/>
        </w:rPr>
      </w:pPr>
      <w:r>
        <w:rPr>
          <w:rFonts w:ascii="新細明體" w:hAnsi="新細明體" w:hint="eastAsia"/>
          <w:b/>
        </w:rPr>
        <w:t>第二節</w:t>
      </w:r>
      <w:r>
        <w:rPr>
          <w:rFonts w:ascii="新細明體" w:hAnsi="新細明體" w:hint="eastAsia"/>
          <w:b/>
        </w:rPr>
        <w:t xml:space="preserve"> </w:t>
      </w:r>
      <w:r>
        <w:rPr>
          <w:rFonts w:ascii="新細明體" w:hAnsi="新細明體" w:hint="eastAsia"/>
          <w:b/>
        </w:rPr>
        <w:t>廢棄行政處分的共通問題：「合法性」與「授益性」概念的釐清</w:t>
      </w:r>
    </w:p>
    <w:p w:rsidR="00000000" w:rsidRDefault="00400C4D">
      <w:pPr>
        <w:spacing w:line="360" w:lineRule="auto"/>
        <w:ind w:firstLineChars="350" w:firstLine="840"/>
        <w:jc w:val="distribute"/>
        <w:rPr>
          <w:rFonts w:ascii="新細明體" w:hAnsi="新細明體" w:hint="eastAsia"/>
        </w:rPr>
      </w:pPr>
      <w:r>
        <w:rPr>
          <w:rFonts w:ascii="新細明體" w:hAnsi="新細明體"/>
        </w:rPr>
        <w:t>……………………………………………………………………………</w:t>
      </w:r>
      <w:r>
        <w:t>90</w:t>
      </w:r>
    </w:p>
    <w:p w:rsidR="00000000" w:rsidRDefault="00400C4D">
      <w:pPr>
        <w:spacing w:line="360" w:lineRule="auto"/>
        <w:rPr>
          <w:rFonts w:ascii="新細明體" w:hAnsi="新細明體" w:hint="eastAsia"/>
          <w:b/>
        </w:rPr>
      </w:pPr>
    </w:p>
    <w:p w:rsidR="00000000" w:rsidRDefault="00400C4D">
      <w:pPr>
        <w:spacing w:line="360" w:lineRule="auto"/>
        <w:jc w:val="distribute"/>
        <w:rPr>
          <w:rFonts w:ascii="新細明體" w:hAnsi="新細明體" w:hint="eastAsia"/>
        </w:rPr>
      </w:pPr>
      <w:r>
        <w:rPr>
          <w:rFonts w:ascii="新細明體" w:hAnsi="新細明體" w:hint="eastAsia"/>
        </w:rPr>
        <w:t>一、行政處分之「合法性」的認定判準</w:t>
      </w:r>
      <w:r>
        <w:rPr>
          <w:rFonts w:ascii="新細明體" w:hAnsi="新細明體"/>
        </w:rPr>
        <w:t>…………………………………………</w:t>
      </w:r>
      <w:r>
        <w:t>90</w:t>
      </w:r>
    </w:p>
    <w:p w:rsidR="00000000" w:rsidRDefault="00400C4D">
      <w:pPr>
        <w:spacing w:line="360" w:lineRule="auto"/>
        <w:jc w:val="distribute"/>
        <w:rPr>
          <w:rFonts w:ascii="新細明體" w:hAnsi="新細明體" w:hint="eastAsia"/>
        </w:rPr>
      </w:pPr>
      <w:r>
        <w:rPr>
          <w:rFonts w:ascii="新細明體" w:hAnsi="新細明體" w:hint="eastAsia"/>
        </w:rPr>
        <w:t>二、授益性行政處分的判定</w:t>
      </w:r>
      <w:r>
        <w:rPr>
          <w:rFonts w:ascii="新細明體" w:hAnsi="新細明體"/>
        </w:rPr>
        <w:t>………………………………………………………</w:t>
      </w:r>
      <w:r>
        <w:t>91</w:t>
      </w:r>
    </w:p>
    <w:p w:rsidR="00000000" w:rsidRDefault="00400C4D">
      <w:pPr>
        <w:spacing w:line="360" w:lineRule="auto"/>
        <w:rPr>
          <w:rFonts w:ascii="新細明體" w:hAnsi="新細明體" w:hint="eastAsia"/>
          <w:b/>
        </w:rPr>
      </w:pPr>
    </w:p>
    <w:p w:rsidR="00000000" w:rsidRDefault="00400C4D">
      <w:pPr>
        <w:spacing w:line="360" w:lineRule="auto"/>
        <w:rPr>
          <w:rFonts w:ascii="新細明體" w:hAnsi="新細明體" w:hint="eastAsia"/>
          <w:b/>
        </w:rPr>
      </w:pPr>
      <w:r>
        <w:rPr>
          <w:rFonts w:ascii="新細明體" w:hAnsi="新細明體" w:hint="eastAsia"/>
          <w:b/>
        </w:rPr>
        <w:t>第三節</w:t>
      </w:r>
      <w:r>
        <w:rPr>
          <w:rFonts w:ascii="新細明體" w:hAnsi="新細明體" w:hint="eastAsia"/>
          <w:b/>
        </w:rPr>
        <w:t xml:space="preserve"> </w:t>
      </w:r>
      <w:r>
        <w:rPr>
          <w:rFonts w:ascii="新細明體" w:hAnsi="新細明體" w:hint="eastAsia"/>
          <w:b/>
        </w:rPr>
        <w:t>廢止授益性行政處分的主要困難：法定廢止事由之意涵的闡明</w:t>
      </w:r>
    </w:p>
    <w:p w:rsidR="00000000" w:rsidRDefault="00400C4D">
      <w:pPr>
        <w:spacing w:line="360" w:lineRule="auto"/>
        <w:ind w:firstLineChars="350" w:firstLine="840"/>
        <w:jc w:val="distribute"/>
        <w:rPr>
          <w:rFonts w:ascii="新細明體" w:hAnsi="新細明體" w:hint="eastAsia"/>
        </w:rPr>
      </w:pPr>
      <w:r>
        <w:rPr>
          <w:rFonts w:ascii="新細明體" w:hAnsi="新細明體"/>
        </w:rPr>
        <w:t>……………………………………………………………………………</w:t>
      </w:r>
      <w:r>
        <w:t>93</w:t>
      </w:r>
    </w:p>
    <w:p w:rsidR="00000000" w:rsidRDefault="00400C4D">
      <w:pPr>
        <w:spacing w:line="360" w:lineRule="auto"/>
        <w:jc w:val="distribute"/>
        <w:rPr>
          <w:rFonts w:ascii="新細明體" w:hAnsi="新細明體" w:hint="eastAsia"/>
          <w:b/>
        </w:rPr>
      </w:pPr>
      <w:r>
        <w:rPr>
          <w:rFonts w:ascii="新細明體" w:hAnsi="新細明體" w:hint="eastAsia"/>
          <w:b/>
        </w:rPr>
        <w:t>第四節</w:t>
      </w:r>
      <w:r>
        <w:rPr>
          <w:rFonts w:ascii="新細明體" w:hAnsi="新細明體" w:hint="eastAsia"/>
          <w:b/>
        </w:rPr>
        <w:t xml:space="preserve"> </w:t>
      </w:r>
      <w:r>
        <w:rPr>
          <w:rFonts w:ascii="新細明體" w:hAnsi="新細明體" w:hint="eastAsia"/>
          <w:b/>
        </w:rPr>
        <w:t>撤銷授益性行政處分的主要疑</w:t>
      </w:r>
      <w:r>
        <w:rPr>
          <w:rFonts w:ascii="新細明體" w:hAnsi="新細明體" w:hint="eastAsia"/>
          <w:b/>
        </w:rPr>
        <w:t>義</w:t>
      </w:r>
      <w:r>
        <w:rPr>
          <w:rFonts w:ascii="新細明體" w:hAnsi="新細明體"/>
        </w:rPr>
        <w:t>………………………………………</w:t>
      </w:r>
      <w:r>
        <w:t>95</w:t>
      </w:r>
    </w:p>
    <w:p w:rsidR="00000000" w:rsidRDefault="00400C4D">
      <w:pPr>
        <w:spacing w:line="360" w:lineRule="auto"/>
        <w:rPr>
          <w:rFonts w:ascii="新細明體" w:hAnsi="新細明體" w:hint="eastAsia"/>
          <w:b/>
        </w:rPr>
      </w:pPr>
    </w:p>
    <w:p w:rsidR="00000000" w:rsidRDefault="00400C4D">
      <w:pPr>
        <w:spacing w:line="360" w:lineRule="auto"/>
        <w:jc w:val="distribute"/>
        <w:rPr>
          <w:rFonts w:ascii="新細明體" w:hAnsi="新細明體" w:hint="eastAsia"/>
        </w:rPr>
      </w:pPr>
      <w:r>
        <w:rPr>
          <w:rFonts w:ascii="新細明體" w:hAnsi="新細明體" w:hint="eastAsia"/>
        </w:rPr>
        <w:lastRenderedPageBreak/>
        <w:t>一、法定不值得保護之事由的進一步闡述</w:t>
      </w:r>
      <w:r>
        <w:rPr>
          <w:rFonts w:ascii="新細明體" w:hAnsi="新細明體"/>
        </w:rPr>
        <w:t>……………………………………</w:t>
      </w:r>
      <w:r>
        <w:t>95</w:t>
      </w:r>
    </w:p>
    <w:p w:rsidR="00000000" w:rsidRDefault="00400C4D">
      <w:pPr>
        <w:spacing w:line="360" w:lineRule="auto"/>
        <w:rPr>
          <w:rFonts w:ascii="新細明體" w:hAnsi="新細明體" w:hint="eastAsia"/>
        </w:rPr>
      </w:pPr>
      <w:r>
        <w:rPr>
          <w:rFonts w:ascii="新細明體" w:hAnsi="新細明體" w:hint="eastAsia"/>
        </w:rPr>
        <w:t>二、撤銷以金錢、可分物之給付為內容或賦予此等給付以前提的行政處分</w:t>
      </w:r>
    </w:p>
    <w:p w:rsidR="00000000" w:rsidRDefault="00400C4D">
      <w:pPr>
        <w:spacing w:line="360" w:lineRule="auto"/>
        <w:jc w:val="distribute"/>
        <w:rPr>
          <w:rFonts w:ascii="新細明體" w:hAnsi="新細明體" w:hint="eastAsia"/>
        </w:rPr>
      </w:pPr>
      <w:r>
        <w:rPr>
          <w:rFonts w:ascii="新細明體" w:hAnsi="新細明體" w:hint="eastAsia"/>
        </w:rPr>
        <w:t xml:space="preserve">    </w:t>
      </w:r>
      <w:r>
        <w:rPr>
          <w:rFonts w:ascii="新細明體" w:hAnsi="新細明體"/>
        </w:rPr>
        <w:t>…………………………………………………………………………………</w:t>
      </w:r>
      <w:r>
        <w:t>97</w:t>
      </w:r>
    </w:p>
    <w:p w:rsidR="00000000" w:rsidRDefault="00400C4D">
      <w:pPr>
        <w:spacing w:line="360" w:lineRule="auto"/>
        <w:jc w:val="distribute"/>
        <w:rPr>
          <w:rFonts w:ascii="新細明體" w:hAnsi="新細明體" w:hint="eastAsia"/>
          <w:color w:val="000000"/>
        </w:rPr>
      </w:pPr>
      <w:r>
        <w:rPr>
          <w:rFonts w:ascii="新細明體" w:hAnsi="新細明體" w:hint="eastAsia"/>
          <w:color w:val="000000"/>
        </w:rPr>
        <w:t>三、非關金錢或可分物給付之授益性行政處分的撤銷</w:t>
      </w:r>
      <w:r>
        <w:rPr>
          <w:rFonts w:ascii="新細明體" w:hAnsi="新細明體"/>
          <w:color w:val="000000"/>
        </w:rPr>
        <w:t>……………………………</w:t>
      </w:r>
      <w:r>
        <w:rPr>
          <w:color w:val="000000"/>
        </w:rPr>
        <w:t>98</w:t>
      </w:r>
    </w:p>
    <w:p w:rsidR="00000000" w:rsidRDefault="00400C4D">
      <w:pPr>
        <w:spacing w:line="360" w:lineRule="auto"/>
        <w:rPr>
          <w:rFonts w:ascii="新細明體" w:hAnsi="新細明體" w:hint="eastAsia"/>
        </w:rPr>
      </w:pPr>
      <w:r>
        <w:rPr>
          <w:rFonts w:ascii="新細明體" w:hAnsi="新細明體" w:hint="eastAsia"/>
        </w:rPr>
        <w:t>四、存在撤銷事由對行政機關的意義：撤銷的義務或撤銷的裁量？</w:t>
      </w:r>
    </w:p>
    <w:p w:rsidR="00000000" w:rsidRDefault="00400C4D">
      <w:pPr>
        <w:spacing w:line="360" w:lineRule="auto"/>
        <w:jc w:val="distribute"/>
        <w:rPr>
          <w:rFonts w:ascii="新細明體" w:hAnsi="新細明體" w:hint="eastAsia"/>
        </w:rPr>
      </w:pPr>
      <w:r>
        <w:rPr>
          <w:rFonts w:ascii="新細明體" w:hAnsi="新細明體" w:hint="eastAsia"/>
        </w:rPr>
        <w:t xml:space="preserve">    </w:t>
      </w:r>
      <w:r>
        <w:rPr>
          <w:rFonts w:ascii="新細明體" w:hAnsi="新細明體"/>
        </w:rPr>
        <w:t>…………………</w:t>
      </w:r>
      <w:bookmarkStart w:id="0" w:name="_GoBack"/>
      <w:bookmarkEnd w:id="0"/>
      <w:r>
        <w:rPr>
          <w:rFonts w:ascii="新細明體" w:hAnsi="新細明體"/>
        </w:rPr>
        <w:t>………………………………………………………………</w:t>
      </w:r>
      <w:r>
        <w:t>99</w:t>
      </w:r>
    </w:p>
    <w:p w:rsidR="00000000" w:rsidRDefault="00400C4D">
      <w:pPr>
        <w:spacing w:line="360" w:lineRule="auto"/>
        <w:jc w:val="distribute"/>
        <w:rPr>
          <w:rFonts w:ascii="新細明體" w:hAnsi="新細明體" w:hint="eastAsia"/>
        </w:rPr>
      </w:pPr>
      <w:r>
        <w:rPr>
          <w:rFonts w:ascii="新細明體" w:hAnsi="新細明體" w:hint="eastAsia"/>
        </w:rPr>
        <w:t>五、行政機關撤銷授益性行政處分的法律效果</w:t>
      </w:r>
      <w:r>
        <w:rPr>
          <w:rFonts w:ascii="新細明體" w:hAnsi="新細明體"/>
        </w:rPr>
        <w:t>……………</w:t>
      </w:r>
      <w:r>
        <w:rPr>
          <w:rFonts w:ascii="新細明體" w:hAnsi="新細明體"/>
        </w:rPr>
        <w:t>………………………</w:t>
      </w:r>
      <w:r>
        <w:t>99</w:t>
      </w:r>
    </w:p>
    <w:p w:rsidR="00000000" w:rsidRDefault="00400C4D">
      <w:pPr>
        <w:spacing w:line="360" w:lineRule="auto"/>
        <w:rPr>
          <w:rFonts w:ascii="新細明體" w:hAnsi="新細明體" w:hint="eastAsia"/>
          <w:b/>
        </w:rPr>
      </w:pPr>
    </w:p>
    <w:p w:rsidR="00000000" w:rsidRDefault="00400C4D">
      <w:pPr>
        <w:spacing w:line="360" w:lineRule="auto"/>
        <w:jc w:val="distribute"/>
        <w:rPr>
          <w:rFonts w:ascii="新細明體" w:hAnsi="新細明體" w:hint="eastAsia"/>
          <w:b/>
          <w:sz w:val="28"/>
          <w:szCs w:val="28"/>
        </w:rPr>
      </w:pPr>
      <w:r>
        <w:rPr>
          <w:rFonts w:ascii="新細明體" w:hAnsi="新細明體" w:hint="eastAsia"/>
          <w:b/>
          <w:sz w:val="28"/>
          <w:szCs w:val="28"/>
        </w:rPr>
        <w:t>第五章</w:t>
      </w:r>
      <w:r>
        <w:rPr>
          <w:rFonts w:ascii="新細明體" w:hAnsi="新細明體" w:hint="eastAsia"/>
          <w:b/>
          <w:sz w:val="28"/>
          <w:szCs w:val="28"/>
        </w:rPr>
        <w:t xml:space="preserve"> </w:t>
      </w:r>
      <w:r>
        <w:rPr>
          <w:rFonts w:ascii="新細明體" w:hAnsi="新細明體" w:hint="eastAsia"/>
          <w:b/>
          <w:sz w:val="28"/>
          <w:szCs w:val="28"/>
        </w:rPr>
        <w:t>對保訓會的具體建議：代結論</w:t>
      </w:r>
      <w:r>
        <w:rPr>
          <w:rFonts w:ascii="新細明體" w:hAnsi="新細明體"/>
        </w:rPr>
        <w:t>………………………………</w:t>
      </w:r>
      <w:r>
        <w:t>103</w:t>
      </w:r>
    </w:p>
    <w:p w:rsidR="00000000" w:rsidRDefault="00400C4D">
      <w:pPr>
        <w:spacing w:line="360" w:lineRule="auto"/>
        <w:rPr>
          <w:rFonts w:ascii="新細明體" w:hAnsi="新細明體" w:hint="eastAsia"/>
          <w:b/>
          <w:sz w:val="28"/>
          <w:szCs w:val="28"/>
        </w:rPr>
      </w:pPr>
    </w:p>
    <w:p w:rsidR="00400C4D" w:rsidRDefault="00400C4D">
      <w:pPr>
        <w:spacing w:line="360" w:lineRule="auto"/>
        <w:jc w:val="distribute"/>
        <w:rPr>
          <w:rFonts w:ascii="新細明體" w:hAnsi="新細明體" w:hint="eastAsia"/>
          <w:b/>
          <w:sz w:val="28"/>
          <w:szCs w:val="28"/>
        </w:rPr>
      </w:pPr>
      <w:r>
        <w:rPr>
          <w:rFonts w:ascii="新細明體" w:hAnsi="新細明體" w:hint="eastAsia"/>
          <w:b/>
          <w:sz w:val="28"/>
          <w:szCs w:val="28"/>
        </w:rPr>
        <w:t>參考文獻</w:t>
      </w:r>
      <w:r>
        <w:rPr>
          <w:rFonts w:ascii="新細明體" w:hAnsi="新細明體"/>
        </w:rPr>
        <w:t>………………………………………………………………</w:t>
      </w:r>
      <w:r>
        <w:t>107</w:t>
      </w:r>
    </w:p>
    <w:sectPr w:rsidR="00400C4D">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4D" w:rsidRDefault="00400C4D">
      <w:r>
        <w:separator/>
      </w:r>
    </w:p>
  </w:endnote>
  <w:endnote w:type="continuationSeparator" w:id="0">
    <w:p w:rsidR="00400C4D" w:rsidRDefault="0040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00C4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00000" w:rsidRDefault="00400C4D">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00C4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3739A3">
      <w:rPr>
        <w:rStyle w:val="a4"/>
        <w:noProof/>
      </w:rPr>
      <w:t>4</w:t>
    </w:r>
    <w:r>
      <w:rPr>
        <w:rStyle w:val="a4"/>
      </w:rPr>
      <w:fldChar w:fldCharType="end"/>
    </w:r>
  </w:p>
  <w:p w:rsidR="00000000" w:rsidRDefault="00400C4D">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4D" w:rsidRDefault="00400C4D">
      <w:r>
        <w:separator/>
      </w:r>
    </w:p>
  </w:footnote>
  <w:footnote w:type="continuationSeparator" w:id="0">
    <w:p w:rsidR="00400C4D" w:rsidRDefault="00400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D79"/>
    <w:multiLevelType w:val="hybridMultilevel"/>
    <w:tmpl w:val="27DA52AA"/>
    <w:lvl w:ilvl="0" w:tplc="04090015">
      <w:start w:val="1"/>
      <w:numFmt w:val="taiwaneseCountingThousand"/>
      <w:lvlText w:val="%1、"/>
      <w:lvlJc w:val="left"/>
      <w:pPr>
        <w:tabs>
          <w:tab w:val="num" w:pos="480"/>
        </w:tabs>
        <w:ind w:left="480" w:hanging="480"/>
      </w:pPr>
      <w:rPr>
        <w:rFonts w:hint="default"/>
      </w:rPr>
    </w:lvl>
    <w:lvl w:ilvl="1" w:tplc="C68C865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CB3E22"/>
    <w:multiLevelType w:val="hybridMultilevel"/>
    <w:tmpl w:val="6E3E9AAA"/>
    <w:lvl w:ilvl="0" w:tplc="AA8AF9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2132D1"/>
    <w:multiLevelType w:val="hybridMultilevel"/>
    <w:tmpl w:val="9A285D4E"/>
    <w:lvl w:ilvl="0" w:tplc="BB148916">
      <w:start w:val="1"/>
      <w:numFmt w:val="ideographLegalTraditional"/>
      <w:lvlText w:val="%1、"/>
      <w:lvlJc w:val="left"/>
      <w:pPr>
        <w:tabs>
          <w:tab w:val="num" w:pos="480"/>
        </w:tabs>
        <w:ind w:left="480" w:hanging="480"/>
      </w:pPr>
      <w:rPr>
        <w:rFonts w:ascii="新細明體" w:eastAsia="細明體" w:hAnsi="新細明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A213A7"/>
    <w:multiLevelType w:val="hybridMultilevel"/>
    <w:tmpl w:val="419A02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AE5B09"/>
    <w:multiLevelType w:val="hybridMultilevel"/>
    <w:tmpl w:val="5D004568"/>
    <w:lvl w:ilvl="0" w:tplc="CE46DE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2158ED"/>
    <w:multiLevelType w:val="hybridMultilevel"/>
    <w:tmpl w:val="30A8FF2C"/>
    <w:lvl w:ilvl="0" w:tplc="9D74EB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2B01BD"/>
    <w:multiLevelType w:val="hybridMultilevel"/>
    <w:tmpl w:val="B6AEE9F4"/>
    <w:lvl w:ilvl="0" w:tplc="04090015">
      <w:start w:val="1"/>
      <w:numFmt w:val="taiwaneseCountingThousand"/>
      <w:lvlText w:val="%1、"/>
      <w:lvlJc w:val="left"/>
      <w:pPr>
        <w:tabs>
          <w:tab w:val="num" w:pos="480"/>
        </w:tabs>
        <w:ind w:left="480" w:hanging="480"/>
      </w:pPr>
      <w:rPr>
        <w:rFonts w:hint="default"/>
      </w:rPr>
    </w:lvl>
    <w:lvl w:ilvl="1" w:tplc="FB441F2A">
      <w:start w:val="4"/>
      <w:numFmt w:val="taiwaneseCountingThousand"/>
      <w:lvlText w:val="第%2章"/>
      <w:lvlJc w:val="left"/>
      <w:pPr>
        <w:tabs>
          <w:tab w:val="num" w:pos="1440"/>
        </w:tabs>
        <w:ind w:left="1440" w:hanging="9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A3"/>
    <w:rsid w:val="003739A3"/>
    <w:rsid w:val="00400C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1D727-7A78-42B7-867C-8218BB87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pPr>
    <w:rPr>
      <w:sz w:val="20"/>
      <w:szCs w:val="20"/>
    </w:rPr>
  </w:style>
  <w:style w:type="character" w:styleId="a6">
    <w:name w:val="footnote reference"/>
    <w:basedOn w:val="a0"/>
    <w:semiHidden/>
    <w:rPr>
      <w:vertAlign w:val="superscript"/>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1810</Characters>
  <Application>Microsoft Office Word</Application>
  <DocSecurity>0</DocSecurity>
  <Lines>15</Lines>
  <Paragraphs>4</Paragraphs>
  <ScaleCrop>false</ScaleCrop>
  <Company>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研究主題與研究計畫的安排</dc:title>
  <dc:subject/>
  <dc:creator>Ai-Er Chen</dc:creator>
  <cp:keywords/>
  <dc:description/>
  <cp:lastModifiedBy>卓卿雲</cp:lastModifiedBy>
  <cp:revision>2</cp:revision>
  <cp:lastPrinted>2006-11-20T12:18:00Z</cp:lastPrinted>
  <dcterms:created xsi:type="dcterms:W3CDTF">2021-09-22T10:31:00Z</dcterms:created>
  <dcterms:modified xsi:type="dcterms:W3CDTF">2021-09-22T10:31:00Z</dcterms:modified>
</cp:coreProperties>
</file>