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5D" w:rsidRDefault="00AA7FE2">
      <w:pPr>
        <w:spacing w:line="360" w:lineRule="auto"/>
        <w:rPr>
          <w:rFonts w:ascii="標楷體" w:eastAsia="標楷體" w:hAnsi="標楷體"/>
          <w:b/>
        </w:rPr>
      </w:pPr>
      <w:r>
        <w:rPr>
          <w:rFonts w:ascii="標楷體" w:eastAsia="標楷體" w:hAnsi="標楷體" w:hint="eastAsia"/>
          <w:b/>
        </w:rPr>
        <w:t>第五章  對保訓會的具體建議：代結論</w:t>
      </w:r>
    </w:p>
    <w:p w:rsidR="00F2285D" w:rsidRDefault="00F2285D">
      <w:pPr>
        <w:spacing w:line="360" w:lineRule="auto"/>
        <w:rPr>
          <w:rFonts w:ascii="新細明體" w:hAnsi="新細明體"/>
        </w:rPr>
      </w:pPr>
    </w:p>
    <w:p w:rsidR="00F2285D" w:rsidRDefault="00AA7FE2" w:rsidP="008D1A49">
      <w:pPr>
        <w:overflowPunct w:val="0"/>
        <w:spacing w:line="360" w:lineRule="auto"/>
        <w:jc w:val="both"/>
        <w:rPr>
          <w:rFonts w:ascii="新細明體" w:hAnsi="新細明體"/>
        </w:rPr>
      </w:pPr>
      <w:bookmarkStart w:id="0" w:name="_GoBack"/>
      <w:r>
        <w:rPr>
          <w:rFonts w:ascii="新細明體" w:hAnsi="新細明體" w:hint="eastAsia"/>
        </w:rPr>
        <w:t xml:space="preserve">    最後應該回到本研究案的目標</w:t>
      </w:r>
      <w:proofErr w:type="gramStart"/>
      <w:r>
        <w:rPr>
          <w:rFonts w:ascii="新細明體" w:hAnsi="新細明體" w:hint="eastAsia"/>
        </w:rPr>
        <w:t>―</w:t>
      </w:r>
      <w:proofErr w:type="gramEnd"/>
      <w:r>
        <w:rPr>
          <w:rFonts w:ascii="新細明體" w:hAnsi="新細明體" w:hint="eastAsia"/>
        </w:rPr>
        <w:t>對保訓會審理公務人員保障事件，就關於與信賴保護原則有關的問題，特別是前文整理之相關決定裡已顯示的疑義，提供具體的建議：</w:t>
      </w:r>
    </w:p>
    <w:p w:rsidR="00F2285D" w:rsidRDefault="00F2285D" w:rsidP="008D1A49">
      <w:pPr>
        <w:overflowPunct w:val="0"/>
        <w:spacing w:line="360" w:lineRule="auto"/>
        <w:jc w:val="both"/>
        <w:rPr>
          <w:rFonts w:ascii="新細明體" w:hAnsi="新細明體"/>
        </w:rPr>
      </w:pPr>
    </w:p>
    <w:p w:rsidR="00F2285D" w:rsidRDefault="00AA7FE2" w:rsidP="008D1A49">
      <w:pPr>
        <w:numPr>
          <w:ilvl w:val="0"/>
          <w:numId w:val="7"/>
        </w:numPr>
        <w:overflowPunct w:val="0"/>
        <w:spacing w:line="360" w:lineRule="auto"/>
        <w:jc w:val="both"/>
      </w:pPr>
      <w:r>
        <w:rPr>
          <w:rFonts w:hint="eastAsia"/>
        </w:rPr>
        <w:t>就信賴保護原則本身，應強調其憲法基礎為：作為法治國原則之子原則的法安定性；據此，國民應能預見國家可能對他採取的侵害行為，能據此作相應的安排，尤其應保護國民對現行法秩序的信賴。</w:t>
      </w:r>
    </w:p>
    <w:p w:rsidR="00F2285D" w:rsidRDefault="00F2285D" w:rsidP="008D1A49">
      <w:pPr>
        <w:overflowPunct w:val="0"/>
        <w:spacing w:line="360" w:lineRule="auto"/>
        <w:jc w:val="both"/>
      </w:pPr>
    </w:p>
    <w:p w:rsidR="00F2285D" w:rsidRDefault="00AA7FE2" w:rsidP="008D1A49">
      <w:pPr>
        <w:numPr>
          <w:ilvl w:val="0"/>
          <w:numId w:val="7"/>
        </w:numPr>
        <w:overflowPunct w:val="0"/>
        <w:spacing w:line="360" w:lineRule="auto"/>
        <w:jc w:val="both"/>
      </w:pPr>
      <w:r>
        <w:rPr>
          <w:rFonts w:hint="eastAsia"/>
        </w:rPr>
        <w:t>然而，因人民信賴國家法秩序的基礎不同，信賴保護原則將會有不同的具體化形塑，配合信賴基礎的不同特質，發展出保護人民之信賴的不同法律效果。</w:t>
      </w:r>
    </w:p>
    <w:p w:rsidR="00F2285D" w:rsidRDefault="00F2285D" w:rsidP="008D1A49">
      <w:pPr>
        <w:overflowPunct w:val="0"/>
        <w:spacing w:line="360" w:lineRule="auto"/>
        <w:jc w:val="both"/>
      </w:pPr>
    </w:p>
    <w:p w:rsidR="00F2285D" w:rsidRDefault="00AA7FE2" w:rsidP="008D1A49">
      <w:pPr>
        <w:numPr>
          <w:ilvl w:val="0"/>
          <w:numId w:val="7"/>
        </w:numPr>
        <w:overflowPunct w:val="0"/>
        <w:spacing w:line="360" w:lineRule="auto"/>
        <w:jc w:val="both"/>
      </w:pPr>
      <w:r>
        <w:rPr>
          <w:rFonts w:hint="eastAsia"/>
        </w:rPr>
        <w:t>在因法規衍生之信賴保護的問題，行政與裁判實務樂於援引的司法院大法官釋字第</w:t>
      </w:r>
      <w:r>
        <w:rPr>
          <w:rFonts w:hint="eastAsia"/>
        </w:rPr>
        <w:t>525</w:t>
      </w:r>
      <w:r>
        <w:rPr>
          <w:rFonts w:hint="eastAsia"/>
        </w:rPr>
        <w:t>號、第</w:t>
      </w:r>
      <w:r>
        <w:rPr>
          <w:rFonts w:hint="eastAsia"/>
        </w:rPr>
        <w:t>605</w:t>
      </w:r>
      <w:r>
        <w:rPr>
          <w:rFonts w:hint="eastAsia"/>
        </w:rPr>
        <w:t>號解釋，有其難以克服的缺憾。尤其對如何才能滿足「客觀上具體表現其信賴之行為」的要件，此類大法官解釋未能提供明確的判</w:t>
      </w:r>
      <w:proofErr w:type="gramStart"/>
      <w:r>
        <w:rPr>
          <w:rFonts w:hint="eastAsia"/>
        </w:rPr>
        <w:t>準</w:t>
      </w:r>
      <w:proofErr w:type="gramEnd"/>
      <w:r>
        <w:rPr>
          <w:rFonts w:hint="eastAsia"/>
        </w:rPr>
        <w:t>，而保訓會的認定通常過於嚴格。</w:t>
      </w:r>
      <w:proofErr w:type="gramStart"/>
      <w:r>
        <w:rPr>
          <w:rFonts w:hint="eastAsia"/>
        </w:rPr>
        <w:t>此外，</w:t>
      </w:r>
      <w:proofErr w:type="gramEnd"/>
      <w:r>
        <w:rPr>
          <w:rFonts w:hint="eastAsia"/>
        </w:rPr>
        <w:t>此類解釋使人民能否對法規範主張信賴保護，取決於其個人情境</w:t>
      </w:r>
      <w:proofErr w:type="gramStart"/>
      <w:r>
        <w:rPr>
          <w:rFonts w:ascii="新細明體" w:hAnsi="新細明體" w:hint="eastAsia"/>
        </w:rPr>
        <w:t>―</w:t>
      </w:r>
      <w:proofErr w:type="gramEnd"/>
      <w:r>
        <w:rPr>
          <w:rFonts w:hint="eastAsia"/>
        </w:rPr>
        <w:t>是否有「客觀上具體表現其信賴之行為」？是否有不值得保護的情事？其勢將影響法規範一般、抽象的拘束力。實有未當。</w:t>
      </w:r>
    </w:p>
    <w:p w:rsidR="00F2285D" w:rsidRDefault="00F2285D" w:rsidP="008D1A49">
      <w:pPr>
        <w:overflowPunct w:val="0"/>
        <w:spacing w:line="360" w:lineRule="auto"/>
        <w:jc w:val="both"/>
      </w:pPr>
    </w:p>
    <w:p w:rsidR="00F2285D" w:rsidRDefault="00AA7FE2" w:rsidP="008D1A49">
      <w:pPr>
        <w:numPr>
          <w:ilvl w:val="0"/>
          <w:numId w:val="7"/>
        </w:numPr>
        <w:overflowPunct w:val="0"/>
        <w:spacing w:line="360" w:lineRule="auto"/>
        <w:jc w:val="both"/>
      </w:pPr>
      <w:r>
        <w:rPr>
          <w:rFonts w:hint="eastAsia"/>
        </w:rPr>
        <w:t>司法院大法官釋字第</w:t>
      </w:r>
      <w:r>
        <w:rPr>
          <w:rFonts w:hint="eastAsia"/>
        </w:rPr>
        <w:t>575</w:t>
      </w:r>
      <w:r>
        <w:rPr>
          <w:rFonts w:hint="eastAsia"/>
        </w:rPr>
        <w:t>號解釋則別</w:t>
      </w:r>
      <w:proofErr w:type="gramStart"/>
      <w:r>
        <w:rPr>
          <w:rFonts w:hint="eastAsia"/>
        </w:rPr>
        <w:t>闢</w:t>
      </w:r>
      <w:proofErr w:type="gramEnd"/>
      <w:r>
        <w:rPr>
          <w:rFonts w:hint="eastAsia"/>
        </w:rPr>
        <w:t>蹊徑，由法規範變更影響的基本權出發，要求應採取適當的緩和措施；釋字第</w:t>
      </w:r>
      <w:r>
        <w:rPr>
          <w:rFonts w:hint="eastAsia"/>
        </w:rPr>
        <w:t>574</w:t>
      </w:r>
      <w:r>
        <w:rPr>
          <w:rFonts w:hint="eastAsia"/>
        </w:rPr>
        <w:t>號、第</w:t>
      </w:r>
      <w:r>
        <w:rPr>
          <w:rFonts w:hint="eastAsia"/>
        </w:rPr>
        <w:t>577</w:t>
      </w:r>
      <w:r>
        <w:rPr>
          <w:rFonts w:hint="eastAsia"/>
        </w:rPr>
        <w:t>號解釋則區分真正溯及既往與</w:t>
      </w:r>
      <w:proofErr w:type="gramStart"/>
      <w:r>
        <w:rPr>
          <w:rFonts w:hint="eastAsia"/>
        </w:rPr>
        <w:t>不</w:t>
      </w:r>
      <w:proofErr w:type="gramEnd"/>
      <w:r>
        <w:rPr>
          <w:rFonts w:hint="eastAsia"/>
        </w:rPr>
        <w:t>真正溯及既往，認定前者原則上不容許，後者則原則上容許，僅於例外導致人民權益嚴重損害時，應採取補救措施。凡此作法，更能符合憲法維護基本權、法秩序的安定，但又兼顧法秩序彈性的要求。本文建議：</w:t>
      </w:r>
      <w:r>
        <w:rPr>
          <w:rFonts w:hint="eastAsia"/>
        </w:rPr>
        <w:lastRenderedPageBreak/>
        <w:t>在法規變更影響人民之基本權時，應審查其是否符合比例原則；在法規變更未影響基本權時，則得獨立以法律</w:t>
      </w:r>
      <w:proofErr w:type="gramStart"/>
      <w:r>
        <w:rPr>
          <w:rFonts w:hint="eastAsia"/>
        </w:rPr>
        <w:t>不</w:t>
      </w:r>
      <w:proofErr w:type="gramEnd"/>
      <w:r>
        <w:rPr>
          <w:rFonts w:hint="eastAsia"/>
        </w:rPr>
        <w:t>溯既往原則為審查依據。決定法規變更是否符合比例原則時，依序應審查</w:t>
      </w:r>
      <w:r>
        <w:rPr>
          <w:rFonts w:hint="eastAsia"/>
        </w:rPr>
        <w:t>(1)</w:t>
      </w:r>
      <w:r>
        <w:rPr>
          <w:rFonts w:hint="eastAsia"/>
        </w:rPr>
        <w:t>法規變更是否有助於（藉此擬追求之）目的的達成；</w:t>
      </w:r>
      <w:r>
        <w:rPr>
          <w:rFonts w:hint="eastAsia"/>
        </w:rPr>
        <w:t>(2)</w:t>
      </w:r>
      <w:r>
        <w:rPr>
          <w:rFonts w:hint="eastAsia"/>
        </w:rPr>
        <w:t>在多數同樣能達成目的之方法中，所採取之法規變更的方法是否屬對人民之基本權損害最小者；</w:t>
      </w:r>
      <w:r>
        <w:rPr>
          <w:rFonts w:hint="eastAsia"/>
        </w:rPr>
        <w:t>(3)</w:t>
      </w:r>
      <w:r>
        <w:rPr>
          <w:rFonts w:hint="eastAsia"/>
        </w:rPr>
        <w:t>法規變更造成之損害是否與欲達成之目的顯失均衡</w:t>
      </w:r>
      <w:r>
        <w:rPr>
          <w:rStyle w:val="a6"/>
        </w:rPr>
        <w:footnoteReference w:id="1"/>
      </w:r>
      <w:r>
        <w:rPr>
          <w:rFonts w:hint="eastAsia"/>
        </w:rPr>
        <w:t>。以法律</w:t>
      </w:r>
      <w:proofErr w:type="gramStart"/>
      <w:r>
        <w:rPr>
          <w:rFonts w:hint="eastAsia"/>
        </w:rPr>
        <w:t>不</w:t>
      </w:r>
      <w:proofErr w:type="gramEnd"/>
      <w:r>
        <w:rPr>
          <w:rFonts w:hint="eastAsia"/>
        </w:rPr>
        <w:t>溯既往原則為審查依據時，在真正溯及既往時，原則上不許；在</w:t>
      </w:r>
      <w:proofErr w:type="gramStart"/>
      <w:r>
        <w:rPr>
          <w:rFonts w:hint="eastAsia"/>
        </w:rPr>
        <w:t>不</w:t>
      </w:r>
      <w:proofErr w:type="gramEnd"/>
      <w:r>
        <w:rPr>
          <w:rFonts w:hint="eastAsia"/>
        </w:rPr>
        <w:t>真正溯及既往時，原則上容許，例外於嚴重影響人民權益時，則應採取補救措施。</w:t>
      </w:r>
    </w:p>
    <w:p w:rsidR="00F2285D" w:rsidRDefault="00F2285D" w:rsidP="008D1A49">
      <w:pPr>
        <w:overflowPunct w:val="0"/>
        <w:spacing w:line="360" w:lineRule="auto"/>
        <w:jc w:val="both"/>
      </w:pPr>
    </w:p>
    <w:p w:rsidR="00F2285D" w:rsidRDefault="00AA7FE2" w:rsidP="008D1A49">
      <w:pPr>
        <w:numPr>
          <w:ilvl w:val="0"/>
          <w:numId w:val="7"/>
        </w:numPr>
        <w:overflowPunct w:val="0"/>
        <w:spacing w:line="360" w:lineRule="auto"/>
        <w:jc w:val="both"/>
      </w:pPr>
      <w:r>
        <w:rPr>
          <w:rFonts w:hint="eastAsia"/>
        </w:rPr>
        <w:t>在以</w:t>
      </w:r>
      <w:proofErr w:type="gramStart"/>
      <w:r>
        <w:rPr>
          <w:rFonts w:hint="eastAsia"/>
        </w:rPr>
        <w:t>授益性行政處分</w:t>
      </w:r>
      <w:proofErr w:type="gramEnd"/>
      <w:r>
        <w:rPr>
          <w:rFonts w:hint="eastAsia"/>
        </w:rPr>
        <w:t>為信賴基礎的情形，首先應該強調：立法者就此種情形的信賴保護既然已經以法律（特別是行政程序法）加以安排，法適用機關（無論是行政或司法機關）即應本於尊重立法形塑的權限，嚴謹適用相關法規範，不宜夾雜援引</w:t>
      </w:r>
      <w:proofErr w:type="gramStart"/>
      <w:r>
        <w:rPr>
          <w:rFonts w:ascii="新細明體" w:hAnsi="新細明體" w:hint="eastAsia"/>
        </w:rPr>
        <w:t>―</w:t>
      </w:r>
      <w:proofErr w:type="gramEnd"/>
      <w:r>
        <w:rPr>
          <w:rFonts w:ascii="新細明體" w:hAnsi="新細明體" w:hint="eastAsia"/>
        </w:rPr>
        <w:t>其實已經法律明文化的</w:t>
      </w:r>
      <w:proofErr w:type="gramStart"/>
      <w:r>
        <w:rPr>
          <w:rFonts w:ascii="新細明體" w:hAnsi="新細明體" w:hint="eastAsia"/>
        </w:rPr>
        <w:t>―</w:t>
      </w:r>
      <w:proofErr w:type="gramEnd"/>
      <w:r>
        <w:rPr>
          <w:rFonts w:ascii="新細明體" w:hAnsi="新細明體" w:hint="eastAsia"/>
        </w:rPr>
        <w:t>所謂主張信賴保護的一般要件。</w:t>
      </w:r>
    </w:p>
    <w:p w:rsidR="00F2285D" w:rsidRDefault="00F2285D" w:rsidP="008D1A49">
      <w:pPr>
        <w:overflowPunct w:val="0"/>
        <w:spacing w:line="360" w:lineRule="auto"/>
        <w:jc w:val="both"/>
      </w:pPr>
    </w:p>
    <w:p w:rsidR="00F2285D" w:rsidRDefault="00AA7FE2" w:rsidP="008D1A49">
      <w:pPr>
        <w:numPr>
          <w:ilvl w:val="0"/>
          <w:numId w:val="7"/>
        </w:numPr>
        <w:overflowPunct w:val="0"/>
        <w:spacing w:line="360" w:lineRule="auto"/>
        <w:jc w:val="both"/>
      </w:pPr>
      <w:r>
        <w:rPr>
          <w:rFonts w:ascii="新細明體" w:hAnsi="新細明體" w:hint="eastAsia"/>
        </w:rPr>
        <w:t>檢視前揭（再）復審決定、行政法院裁判可以發現，行政與司法實務對行政程序法所定，法定得廢止事由、信賴不值得保護的事由，其解釋未盡符合立法者原本擬藉此兼顧人民信賴保護的本旨。其過度從寬認定此等事由的存在；在權衡人民的信賴利益與撤銷違法行政處分所欲維護的公益時，對信賴利益的論列簡約，對所欲維護的公益作過度抽象的論斷（動輒以相關之整體法秩序的維護作為藉撤銷決定所欲維護的公益）；在認定公益大於信賴利益時，又忽略行政程序法第</w:t>
      </w:r>
      <w:r>
        <w:t>120</w:t>
      </w:r>
      <w:r>
        <w:rPr>
          <w:rFonts w:ascii="新細明體" w:hAnsi="新細明體" w:hint="eastAsia"/>
        </w:rPr>
        <w:t>條損失補償的規定。最後，保訓會傾向於嚴格要求，主張信賴保護者應有「信賴表現」。凡此，都有未能充分體現行政程序法相關規定擬兼顧人民信賴保護的意旨之嫌。本研究第四章對行政程序法相關要件作比較細膩的說明，希望能提供未來審理相關事件的參考。為便參考，</w:t>
      </w:r>
      <w:proofErr w:type="gramStart"/>
      <w:r>
        <w:rPr>
          <w:rFonts w:ascii="新細明體" w:hAnsi="新細明體" w:hint="eastAsia"/>
        </w:rPr>
        <w:t>爰</w:t>
      </w:r>
      <w:proofErr w:type="gramEnd"/>
      <w:r>
        <w:rPr>
          <w:rFonts w:ascii="新細明體" w:hAnsi="新細明體" w:hint="eastAsia"/>
        </w:rPr>
        <w:t>將</w:t>
      </w:r>
      <w:r>
        <w:rPr>
          <w:rFonts w:ascii="新細明體" w:hAnsi="新細明體" w:hint="eastAsia"/>
        </w:rPr>
        <w:lastRenderedPageBreak/>
        <w:t>重要界定分點整理如下：</w:t>
      </w:r>
    </w:p>
    <w:p w:rsidR="00F2285D" w:rsidRDefault="00AA7FE2" w:rsidP="008D1A49">
      <w:pPr>
        <w:overflowPunct w:val="0"/>
        <w:spacing w:line="360" w:lineRule="auto"/>
        <w:ind w:leftChars="150" w:left="720" w:hangingChars="150" w:hanging="360"/>
        <w:jc w:val="both"/>
      </w:pPr>
      <w:r>
        <w:rPr>
          <w:rFonts w:hint="eastAsia"/>
        </w:rPr>
        <w:t xml:space="preserve">(1) </w:t>
      </w:r>
      <w:r>
        <w:rPr>
          <w:rFonts w:hint="eastAsia"/>
        </w:rPr>
        <w:t>關於法定得廢止事由，應留意：即使行政處分合法附加廢止保留，行政機關亦不能恣意廢止</w:t>
      </w:r>
      <w:proofErr w:type="gramStart"/>
      <w:r>
        <w:rPr>
          <w:rFonts w:hint="eastAsia"/>
        </w:rPr>
        <w:t>授益性行政處分</w:t>
      </w:r>
      <w:proofErr w:type="gramEnd"/>
      <w:r>
        <w:rPr>
          <w:rFonts w:hint="eastAsia"/>
        </w:rPr>
        <w:t>，</w:t>
      </w:r>
      <w:proofErr w:type="gramStart"/>
      <w:r>
        <w:rPr>
          <w:rFonts w:hint="eastAsia"/>
        </w:rPr>
        <w:t>仍須別有正當化該廢止</w:t>
      </w:r>
      <w:proofErr w:type="gramEnd"/>
      <w:r>
        <w:rPr>
          <w:rFonts w:hint="eastAsia"/>
        </w:rPr>
        <w:t>決定的理由存在，始得為之；在當事人未履行行政處分之負擔時，依比例原則，在可能範圍內，仍應先採取侵害較小的手段（例如以行政強制貫徹其義務），而非逕自廢止</w:t>
      </w:r>
      <w:proofErr w:type="gramStart"/>
      <w:r>
        <w:rPr>
          <w:rFonts w:hint="eastAsia"/>
        </w:rPr>
        <w:t>授益性行政處分</w:t>
      </w:r>
      <w:proofErr w:type="gramEnd"/>
      <w:r>
        <w:rPr>
          <w:rFonts w:hint="eastAsia"/>
        </w:rPr>
        <w:t>；以行政處分所依據之法規變更為理由廢止</w:t>
      </w:r>
      <w:proofErr w:type="gramStart"/>
      <w:r>
        <w:rPr>
          <w:rFonts w:hint="eastAsia"/>
        </w:rPr>
        <w:t>授益性行政處分</w:t>
      </w:r>
      <w:proofErr w:type="gramEnd"/>
      <w:r>
        <w:rPr>
          <w:rFonts w:hint="eastAsia"/>
        </w:rPr>
        <w:t>時，不包含行政規則的變更。</w:t>
      </w:r>
    </w:p>
    <w:p w:rsidR="00F2285D" w:rsidRDefault="00AA7FE2" w:rsidP="008D1A49">
      <w:pPr>
        <w:overflowPunct w:val="0"/>
        <w:spacing w:line="360" w:lineRule="auto"/>
        <w:ind w:leftChars="150" w:left="720" w:hangingChars="150" w:hanging="360"/>
        <w:jc w:val="both"/>
      </w:pPr>
      <w:r>
        <w:rPr>
          <w:rFonts w:hint="eastAsia"/>
        </w:rPr>
        <w:t>(2)</w:t>
      </w:r>
      <w:r>
        <w:rPr>
          <w:rFonts w:hint="eastAsia"/>
        </w:rPr>
        <w:t>關於法定信賴不值得保護的事由，應留意：在因詐欺、脅迫或賄賂而取得行政處分的情形，受益人的詐欺、脅迫或賄賂對行政處分的作成與其</w:t>
      </w:r>
      <w:proofErr w:type="gramStart"/>
      <w:r>
        <w:rPr>
          <w:rFonts w:hint="eastAsia"/>
        </w:rPr>
        <w:t>違法性須具有</w:t>
      </w:r>
      <w:proofErr w:type="gramEnd"/>
      <w:r>
        <w:rPr>
          <w:rFonts w:hint="eastAsia"/>
        </w:rPr>
        <w:t>因果關係；在援用對重要事項提供不正確或不完整的資料而取得行政處分的事由時，相關資料就行政處分的作成應具有必要性，提供相關資料屬於受益人的責任範圍，且受益人提供有瑕疵之資料與行政處分之</w:t>
      </w:r>
      <w:proofErr w:type="gramStart"/>
      <w:r>
        <w:rPr>
          <w:rFonts w:hint="eastAsia"/>
        </w:rPr>
        <w:t>作成間須具有</w:t>
      </w:r>
      <w:proofErr w:type="gramEnd"/>
      <w:r>
        <w:rPr>
          <w:rFonts w:hint="eastAsia"/>
        </w:rPr>
        <w:t>因果關係；最後，受益人是否「因重大過失」不知行政處分違法，取決於，依個案情境，受益人是否特別嚴重地違反必要的注意義務。</w:t>
      </w:r>
    </w:p>
    <w:p w:rsidR="00F2285D" w:rsidRDefault="00AA7FE2" w:rsidP="008D1A49">
      <w:pPr>
        <w:overflowPunct w:val="0"/>
        <w:spacing w:line="360" w:lineRule="auto"/>
        <w:ind w:leftChars="150" w:left="720" w:hangingChars="150" w:hanging="360"/>
        <w:jc w:val="both"/>
      </w:pPr>
      <w:r>
        <w:rPr>
          <w:rFonts w:hint="eastAsia"/>
        </w:rPr>
        <w:t>(3)</w:t>
      </w:r>
      <w:r>
        <w:rPr>
          <w:rFonts w:hint="eastAsia"/>
        </w:rPr>
        <w:t>在</w:t>
      </w:r>
      <w:r>
        <w:rPr>
          <w:rFonts w:ascii="新細明體" w:hAnsi="新細明體" w:hint="eastAsia"/>
          <w:color w:val="000000"/>
        </w:rPr>
        <w:t>權衡人民的信賴利益與國家撤銷違法</w:t>
      </w:r>
      <w:proofErr w:type="gramStart"/>
      <w:r>
        <w:rPr>
          <w:rFonts w:ascii="新細明體" w:hAnsi="新細明體" w:hint="eastAsia"/>
          <w:color w:val="000000"/>
        </w:rPr>
        <w:t>授益性行政處分</w:t>
      </w:r>
      <w:proofErr w:type="gramEnd"/>
      <w:r>
        <w:rPr>
          <w:rFonts w:ascii="新細明體" w:hAnsi="新細明體" w:hint="eastAsia"/>
          <w:color w:val="000000"/>
        </w:rPr>
        <w:t>的公益時</w:t>
      </w:r>
      <w:r>
        <w:rPr>
          <w:rFonts w:hint="eastAsia"/>
          <w:color w:val="000000"/>
        </w:rPr>
        <w:t>，就前者尤其應考量受益人人格上與經濟上的關係，尤其相關給付是否為其生存的基礎；後者涉及的非僅形式性地貫徹依法律行政，毋寧應考量藉法律追求之公益的實現。</w:t>
      </w:r>
    </w:p>
    <w:p w:rsidR="00F2285D" w:rsidRDefault="00F2285D" w:rsidP="008D1A49">
      <w:pPr>
        <w:overflowPunct w:val="0"/>
        <w:spacing w:line="360" w:lineRule="auto"/>
        <w:jc w:val="both"/>
      </w:pPr>
    </w:p>
    <w:p w:rsidR="00F2285D" w:rsidRDefault="00AA7FE2" w:rsidP="008D1A49">
      <w:pPr>
        <w:numPr>
          <w:ilvl w:val="0"/>
          <w:numId w:val="7"/>
        </w:numPr>
        <w:overflowPunct w:val="0"/>
        <w:spacing w:line="360" w:lineRule="auto"/>
        <w:jc w:val="both"/>
      </w:pPr>
      <w:r>
        <w:rPr>
          <w:rFonts w:hAnsi="新細明體"/>
        </w:rPr>
        <w:t>行政程序法第</w:t>
      </w:r>
      <w:r>
        <w:t>121</w:t>
      </w:r>
      <w:r>
        <w:rPr>
          <w:rFonts w:hAnsi="新細明體"/>
        </w:rPr>
        <w:t>條、第</w:t>
      </w:r>
      <w:r>
        <w:t>124</w:t>
      </w:r>
      <w:r>
        <w:rPr>
          <w:rFonts w:hAnsi="新細明體"/>
        </w:rPr>
        <w:t>條</w:t>
      </w:r>
      <w:r>
        <w:rPr>
          <w:rFonts w:hAnsi="新細明體" w:hint="eastAsia"/>
        </w:rPr>
        <w:t>分別對行政機關行使撤銷、廢止</w:t>
      </w:r>
      <w:proofErr w:type="gramStart"/>
      <w:r>
        <w:rPr>
          <w:rFonts w:hAnsi="新細明體" w:hint="eastAsia"/>
        </w:rPr>
        <w:t>授益性行政處分</w:t>
      </w:r>
      <w:proofErr w:type="gramEnd"/>
      <w:r>
        <w:rPr>
          <w:rFonts w:hAnsi="新細明體" w:hint="eastAsia"/>
        </w:rPr>
        <w:t>的權限訂有二年的除斥</w:t>
      </w:r>
      <w:proofErr w:type="gramStart"/>
      <w:r>
        <w:rPr>
          <w:rFonts w:hAnsi="新細明體" w:hint="eastAsia"/>
        </w:rPr>
        <w:t>期間，</w:t>
      </w:r>
      <w:proofErr w:type="gramEnd"/>
      <w:r>
        <w:rPr>
          <w:rFonts w:hAnsi="新細明體" w:hint="eastAsia"/>
        </w:rPr>
        <w:t>此一除斥期間的起算分別取決於「知有撤銷原因時」、「知有廢止原因時」。本文認為，為使</w:t>
      </w:r>
      <w:r>
        <w:rPr>
          <w:rFonts w:hint="eastAsia"/>
        </w:rPr>
        <w:t>行政機關能就撤銷、廢止為適法決定，前述條文所稱「知有撤銷原因」、「知有廢止原因」，其認識範圍應及於所有與撤銷、廢止有關的事實，包括與為裁量、利益權衡有關的事實。</w:t>
      </w:r>
    </w:p>
    <w:p w:rsidR="00F2285D" w:rsidRDefault="00F2285D" w:rsidP="008D1A49">
      <w:pPr>
        <w:overflowPunct w:val="0"/>
        <w:spacing w:line="360" w:lineRule="auto"/>
        <w:jc w:val="both"/>
      </w:pPr>
    </w:p>
    <w:p w:rsidR="00AA7FE2" w:rsidRDefault="00AA7FE2" w:rsidP="008D1A49">
      <w:pPr>
        <w:numPr>
          <w:ilvl w:val="0"/>
          <w:numId w:val="7"/>
        </w:numPr>
        <w:overflowPunct w:val="0"/>
        <w:spacing w:line="360" w:lineRule="auto"/>
        <w:jc w:val="both"/>
      </w:pPr>
      <w:r>
        <w:rPr>
          <w:rFonts w:hint="eastAsia"/>
        </w:rPr>
        <w:t>就撤銷</w:t>
      </w:r>
      <w:proofErr w:type="gramStart"/>
      <w:r>
        <w:rPr>
          <w:rFonts w:hint="eastAsia"/>
        </w:rPr>
        <w:t>授益性行政處分</w:t>
      </w:r>
      <w:proofErr w:type="gramEnd"/>
      <w:r>
        <w:rPr>
          <w:rFonts w:hint="eastAsia"/>
        </w:rPr>
        <w:t>，因我國行政程序法未如德國聯邦行政程序法一般，</w:t>
      </w:r>
      <w:r>
        <w:rPr>
          <w:rFonts w:hint="eastAsia"/>
        </w:rPr>
        <w:lastRenderedPageBreak/>
        <w:t>區分</w:t>
      </w:r>
      <w:proofErr w:type="gramStart"/>
      <w:r>
        <w:rPr>
          <w:rFonts w:hint="eastAsia"/>
        </w:rPr>
        <w:t>授益性行政處分</w:t>
      </w:r>
      <w:proofErr w:type="gramEnd"/>
      <w:r>
        <w:rPr>
          <w:rFonts w:hint="eastAsia"/>
        </w:rPr>
        <w:t>的內容是否涉及金錢或</w:t>
      </w:r>
      <w:proofErr w:type="gramStart"/>
      <w:r>
        <w:rPr>
          <w:rFonts w:hint="eastAsia"/>
        </w:rPr>
        <w:t>可分物的</w:t>
      </w:r>
      <w:proofErr w:type="gramEnd"/>
      <w:r>
        <w:rPr>
          <w:rFonts w:hint="eastAsia"/>
        </w:rPr>
        <w:t>給付而為不同的處理，實務上似乎因此發生適用法規範的疑義。本文認為，法適用機關仍應嚴謹適用行政程序法的相關規範。事實上，本於相關法規範所賦予的彈性，仍能兼顧涉及金錢或</w:t>
      </w:r>
      <w:proofErr w:type="gramStart"/>
      <w:r>
        <w:rPr>
          <w:rFonts w:hint="eastAsia"/>
        </w:rPr>
        <w:t>可分物之</w:t>
      </w:r>
      <w:proofErr w:type="gramEnd"/>
      <w:r>
        <w:rPr>
          <w:rFonts w:hint="eastAsia"/>
        </w:rPr>
        <w:t>給付的行政處分特質。例如，在判斷受益人是否「信賴授予利益之行政處分」（行政程序法第</w:t>
      </w:r>
      <w:r>
        <w:rPr>
          <w:rFonts w:hint="eastAsia"/>
        </w:rPr>
        <w:t>117</w:t>
      </w:r>
      <w:r>
        <w:rPr>
          <w:rFonts w:hint="eastAsia"/>
        </w:rPr>
        <w:t>條第</w:t>
      </w:r>
      <w:r>
        <w:rPr>
          <w:rFonts w:hint="eastAsia"/>
        </w:rPr>
        <w:t>2</w:t>
      </w:r>
      <w:r>
        <w:rPr>
          <w:rFonts w:hint="eastAsia"/>
        </w:rPr>
        <w:t>款）時，得考量受益人是否已消費其受領之給付或者，已作出不能或難以回復之財產上處置。在認定受益人的信賴並無不值得保護的情事，而基於公益考量又有必要撤銷</w:t>
      </w:r>
      <w:proofErr w:type="gramStart"/>
      <w:r>
        <w:rPr>
          <w:rFonts w:hint="eastAsia"/>
        </w:rPr>
        <w:t>此授益性</w:t>
      </w:r>
      <w:proofErr w:type="gramEnd"/>
      <w:r>
        <w:rPr>
          <w:rFonts w:hint="eastAsia"/>
        </w:rPr>
        <w:t>行政處分時，行政機關得依行政程序法第</w:t>
      </w:r>
      <w:r>
        <w:rPr>
          <w:rFonts w:hint="eastAsia"/>
        </w:rPr>
        <w:t>118</w:t>
      </w:r>
      <w:r>
        <w:rPr>
          <w:rFonts w:hint="eastAsia"/>
        </w:rPr>
        <w:t>條，為「避免受益人財產上之損失」，另定被撤銷之</w:t>
      </w:r>
      <w:proofErr w:type="gramStart"/>
      <w:r>
        <w:rPr>
          <w:rFonts w:hint="eastAsia"/>
        </w:rPr>
        <w:t>授益性行政處分</w:t>
      </w:r>
      <w:proofErr w:type="gramEnd"/>
      <w:r>
        <w:rPr>
          <w:rFonts w:hint="eastAsia"/>
        </w:rPr>
        <w:t>的失效日期；如是，受益人亦無庸依行政程序法第</w:t>
      </w:r>
      <w:r>
        <w:rPr>
          <w:rFonts w:hint="eastAsia"/>
        </w:rPr>
        <w:t>127</w:t>
      </w:r>
      <w:r>
        <w:rPr>
          <w:rFonts w:hint="eastAsia"/>
        </w:rPr>
        <w:t>條所定，返還其基於</w:t>
      </w:r>
      <w:proofErr w:type="gramStart"/>
      <w:r>
        <w:rPr>
          <w:rFonts w:hint="eastAsia"/>
        </w:rPr>
        <w:t>授益性行政處分</w:t>
      </w:r>
      <w:proofErr w:type="gramEnd"/>
      <w:r>
        <w:rPr>
          <w:rFonts w:hint="eastAsia"/>
        </w:rPr>
        <w:t>受領之給付。</w:t>
      </w:r>
      <w:bookmarkEnd w:id="0"/>
    </w:p>
    <w:sectPr w:rsidR="00AA7FE2">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4C" w:rsidRDefault="0035384C">
      <w:r>
        <w:separator/>
      </w:r>
    </w:p>
  </w:endnote>
  <w:endnote w:type="continuationSeparator" w:id="0">
    <w:p w:rsidR="0035384C" w:rsidRDefault="0035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D" w:rsidRDefault="00AA7FE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F2285D" w:rsidRDefault="00F2285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5D" w:rsidRDefault="00AA7FE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8D1A49">
      <w:rPr>
        <w:rStyle w:val="a4"/>
        <w:noProof/>
      </w:rPr>
      <w:t>3</w:t>
    </w:r>
    <w:r>
      <w:rPr>
        <w:rStyle w:val="a4"/>
      </w:rPr>
      <w:fldChar w:fldCharType="end"/>
    </w:r>
  </w:p>
  <w:p w:rsidR="00F2285D" w:rsidRDefault="00F2285D">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4C" w:rsidRDefault="0035384C">
      <w:r>
        <w:separator/>
      </w:r>
    </w:p>
  </w:footnote>
  <w:footnote w:type="continuationSeparator" w:id="0">
    <w:p w:rsidR="0035384C" w:rsidRDefault="0035384C">
      <w:r>
        <w:continuationSeparator/>
      </w:r>
    </w:p>
  </w:footnote>
  <w:footnote w:id="1">
    <w:p w:rsidR="00F2285D" w:rsidRDefault="00AA7FE2">
      <w:pPr>
        <w:pStyle w:val="a5"/>
      </w:pPr>
      <w:r>
        <w:rPr>
          <w:rStyle w:val="a6"/>
        </w:rPr>
        <w:footnoteRef/>
      </w:r>
      <w:r>
        <w:t xml:space="preserve"> </w:t>
      </w:r>
      <w:r>
        <w:rPr>
          <w:rFonts w:hint="eastAsia"/>
        </w:rPr>
        <w:t>參見行政程序法第</w:t>
      </w:r>
      <w:r>
        <w:rPr>
          <w:rFonts w:hint="eastAsia"/>
        </w:rPr>
        <w:t>7</w:t>
      </w:r>
      <w:r>
        <w:rPr>
          <w:rFonts w:hint="eastAsia"/>
        </w:rPr>
        <w:t>條的規定。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38"/>
    <w:rsid w:val="0035384C"/>
    <w:rsid w:val="00882A38"/>
    <w:rsid w:val="008D1A49"/>
    <w:rsid w:val="00AA7FE2"/>
    <w:rsid w:val="00F22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D3209-6502-4C04-A708-EB50A3A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2060</Characters>
  <Application>Microsoft Office Word</Application>
  <DocSecurity>0</DocSecurity>
  <Lines>17</Lines>
  <Paragraphs>4</Paragraphs>
  <ScaleCrop>false</ScaleCrop>
  <Company>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3</cp:revision>
  <cp:lastPrinted>2006-11-20T12:18:00Z</cp:lastPrinted>
  <dcterms:created xsi:type="dcterms:W3CDTF">2021-09-22T10:25:00Z</dcterms:created>
  <dcterms:modified xsi:type="dcterms:W3CDTF">2021-09-22T10:27:00Z</dcterms:modified>
</cp:coreProperties>
</file>