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3C20" w:rsidP="002E7993">
      <w:pPr>
        <w:overflowPunct w:val="0"/>
        <w:spacing w:line="360" w:lineRule="auto"/>
        <w:jc w:val="both"/>
        <w:rPr>
          <w:rFonts w:ascii="標楷體" w:eastAsia="標楷體" w:hAnsi="標楷體" w:hint="eastAsia"/>
          <w:b/>
          <w:sz w:val="28"/>
          <w:szCs w:val="28"/>
        </w:rPr>
      </w:pPr>
      <w:bookmarkStart w:id="0" w:name="_GoBack"/>
      <w:r>
        <w:rPr>
          <w:rFonts w:ascii="標楷體" w:eastAsia="標楷體" w:hAnsi="標楷體" w:hint="eastAsia"/>
          <w:b/>
          <w:sz w:val="28"/>
          <w:szCs w:val="28"/>
        </w:rPr>
        <w:t>研究計畫中文摘要</w:t>
      </w:r>
    </w:p>
    <w:p w:rsidR="00000000" w:rsidRDefault="00AA3C20" w:rsidP="002E7993">
      <w:pPr>
        <w:overflowPunct w:val="0"/>
        <w:spacing w:line="360" w:lineRule="auto"/>
        <w:jc w:val="both"/>
        <w:rPr>
          <w:rFonts w:hint="eastAsia"/>
        </w:rPr>
      </w:pPr>
    </w:p>
    <w:p w:rsidR="00000000" w:rsidRDefault="00AA3C20" w:rsidP="002E7993">
      <w:pPr>
        <w:overflowPunct w:val="0"/>
        <w:spacing w:line="360" w:lineRule="auto"/>
        <w:ind w:firstLineChars="200" w:firstLine="480"/>
        <w:jc w:val="both"/>
        <w:rPr>
          <w:rFonts w:hint="eastAsia"/>
        </w:rPr>
      </w:pPr>
      <w:r>
        <w:rPr>
          <w:rFonts w:hint="eastAsia"/>
        </w:rPr>
        <w:t>本研究計畫的目標在於：更精確掌握信賴保護原則的意義，以便檢討此一原則在公務人員保障事件迄今之適用實務的妥當性，並就保訓會將來之援用此一原則，提供確切、具體的建議。</w:t>
      </w:r>
    </w:p>
    <w:p w:rsidR="00000000" w:rsidRDefault="00AA3C20" w:rsidP="002E7993">
      <w:pPr>
        <w:overflowPunct w:val="0"/>
        <w:spacing w:line="360" w:lineRule="auto"/>
        <w:jc w:val="both"/>
        <w:rPr>
          <w:rFonts w:hint="eastAsia"/>
        </w:rPr>
      </w:pPr>
    </w:p>
    <w:p w:rsidR="00000000" w:rsidRDefault="00AA3C20" w:rsidP="002E7993">
      <w:pPr>
        <w:overflowPunct w:val="0"/>
        <w:spacing w:line="360" w:lineRule="auto"/>
        <w:ind w:firstLineChars="200" w:firstLine="480"/>
        <w:jc w:val="both"/>
        <w:rPr>
          <w:rFonts w:hint="eastAsia"/>
        </w:rPr>
      </w:pPr>
      <w:r>
        <w:rPr>
          <w:rFonts w:hint="eastAsia"/>
        </w:rPr>
        <w:t>檢討保訓會相關決定之後會發現，公務人員保障事件中援用信賴保護原則的情況主要有二：因法規變更而主張信賴保護以及，因行政機關廢棄</w:t>
      </w:r>
      <w:proofErr w:type="gramStart"/>
      <w:r>
        <w:rPr>
          <w:rFonts w:hint="eastAsia"/>
        </w:rPr>
        <w:t>授益性行政處分</w:t>
      </w:r>
      <w:proofErr w:type="gramEnd"/>
      <w:r>
        <w:rPr>
          <w:rFonts w:hint="eastAsia"/>
        </w:rPr>
        <w:t>而主張信賴保護。信賴保護原則在此二種案件類型分別有其不同的具體化型態，不宜混淆。</w:t>
      </w:r>
    </w:p>
    <w:p w:rsidR="00000000" w:rsidRDefault="00AA3C20" w:rsidP="002E7993">
      <w:pPr>
        <w:overflowPunct w:val="0"/>
        <w:spacing w:line="360" w:lineRule="auto"/>
        <w:jc w:val="both"/>
        <w:rPr>
          <w:rFonts w:hint="eastAsia"/>
        </w:rPr>
      </w:pPr>
    </w:p>
    <w:p w:rsidR="00000000" w:rsidRDefault="00AA3C20" w:rsidP="002E7993">
      <w:pPr>
        <w:overflowPunct w:val="0"/>
        <w:spacing w:line="360" w:lineRule="auto"/>
        <w:ind w:firstLineChars="200" w:firstLine="480"/>
        <w:jc w:val="both"/>
        <w:rPr>
          <w:rFonts w:hint="eastAsia"/>
        </w:rPr>
      </w:pPr>
      <w:r>
        <w:rPr>
          <w:rFonts w:hint="eastAsia"/>
        </w:rPr>
        <w:t>關於因法規變更而主張信賴保護的情況，司法院大法官</w:t>
      </w:r>
      <w:proofErr w:type="gramStart"/>
      <w:r>
        <w:rPr>
          <w:rFonts w:hint="eastAsia"/>
        </w:rPr>
        <w:t>雖著</w:t>
      </w:r>
      <w:proofErr w:type="gramEnd"/>
      <w:r>
        <w:rPr>
          <w:rFonts w:hint="eastAsia"/>
        </w:rPr>
        <w:t>有多號解釋處理此一議題，但其迄今仍未能獲致明確、穩定</w:t>
      </w:r>
      <w:r>
        <w:rPr>
          <w:rFonts w:hint="eastAsia"/>
        </w:rPr>
        <w:t>的解決方向。本研究對此提出的具體建議如下：在法規變更涉及基本權的限制時，應審查此一變更是否違反比例原則，並於比例原則的審查框架中考量時間變更的因素；在法規變更涉及基本權以外的權益時，則以法律</w:t>
      </w:r>
      <w:proofErr w:type="gramStart"/>
      <w:r>
        <w:rPr>
          <w:rFonts w:hint="eastAsia"/>
        </w:rPr>
        <w:t>不</w:t>
      </w:r>
      <w:proofErr w:type="gramEnd"/>
      <w:r>
        <w:rPr>
          <w:rFonts w:hint="eastAsia"/>
        </w:rPr>
        <w:t>溯既往原則作為審查模型。</w:t>
      </w:r>
    </w:p>
    <w:p w:rsidR="00000000" w:rsidRDefault="00AA3C20" w:rsidP="002E7993">
      <w:pPr>
        <w:overflowPunct w:val="0"/>
        <w:spacing w:line="360" w:lineRule="auto"/>
        <w:jc w:val="both"/>
        <w:rPr>
          <w:rFonts w:hint="eastAsia"/>
        </w:rPr>
      </w:pPr>
    </w:p>
    <w:p w:rsidR="00000000" w:rsidRDefault="00AA3C20" w:rsidP="002E7993">
      <w:pPr>
        <w:overflowPunct w:val="0"/>
        <w:spacing w:line="360" w:lineRule="auto"/>
        <w:ind w:firstLineChars="200" w:firstLine="480"/>
        <w:jc w:val="both"/>
        <w:rPr>
          <w:rFonts w:hint="eastAsia"/>
        </w:rPr>
      </w:pPr>
      <w:r>
        <w:rPr>
          <w:rFonts w:hint="eastAsia"/>
        </w:rPr>
        <w:t>如因行政機關廢棄</w:t>
      </w:r>
      <w:proofErr w:type="gramStart"/>
      <w:r>
        <w:rPr>
          <w:rFonts w:hint="eastAsia"/>
        </w:rPr>
        <w:t>授益性行政處分</w:t>
      </w:r>
      <w:proofErr w:type="gramEnd"/>
      <w:r>
        <w:rPr>
          <w:rFonts w:hint="eastAsia"/>
        </w:rPr>
        <w:t>而主張信賴保護，則因行政程序法已</w:t>
      </w:r>
      <w:proofErr w:type="gramStart"/>
      <w:r>
        <w:rPr>
          <w:rFonts w:hint="eastAsia"/>
        </w:rPr>
        <w:t>就授益性</w:t>
      </w:r>
      <w:proofErr w:type="gramEnd"/>
      <w:r>
        <w:rPr>
          <w:rFonts w:hint="eastAsia"/>
        </w:rPr>
        <w:t>行政處分的撤銷、廢止作相關的規範，自應回歸相關規定，在確切掌握相關規定權衡法秩序變動或回復合法狀態之公益要求以及，人民信賴</w:t>
      </w:r>
      <w:proofErr w:type="gramStart"/>
      <w:r>
        <w:rPr>
          <w:rFonts w:hint="eastAsia"/>
        </w:rPr>
        <w:t>授益性行政處分</w:t>
      </w:r>
      <w:proofErr w:type="gramEnd"/>
      <w:r>
        <w:rPr>
          <w:rFonts w:hint="eastAsia"/>
        </w:rPr>
        <w:t>之保障的意旨下，精確地適用相關規定。</w:t>
      </w:r>
    </w:p>
    <w:p w:rsidR="00000000" w:rsidRDefault="00AA3C20" w:rsidP="002E7993">
      <w:pPr>
        <w:overflowPunct w:val="0"/>
        <w:spacing w:line="360" w:lineRule="auto"/>
        <w:jc w:val="both"/>
        <w:rPr>
          <w:rFonts w:hint="eastAsia"/>
        </w:rPr>
      </w:pPr>
    </w:p>
    <w:p w:rsidR="00AA3C20" w:rsidRDefault="00AA3C20" w:rsidP="002E7993">
      <w:pPr>
        <w:overflowPunct w:val="0"/>
        <w:jc w:val="both"/>
        <w:rPr>
          <w:rFonts w:hint="eastAsia"/>
        </w:rPr>
      </w:pPr>
      <w:r>
        <w:rPr>
          <w:rFonts w:hint="eastAsia"/>
        </w:rPr>
        <w:t>應一併提及者，考量到我國憲法學、行政程序法行政</w:t>
      </w:r>
      <w:r>
        <w:rPr>
          <w:rFonts w:hint="eastAsia"/>
        </w:rPr>
        <w:t>處分相關規定受德國法學的深刻影響，本研究計畫在外國法制的比較上主要取向於德國法制。</w:t>
      </w:r>
      <w:bookmarkEnd w:id="0"/>
    </w:p>
    <w:sectPr w:rsidR="00AA3C20">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20" w:rsidRDefault="00AA3C20">
      <w:r>
        <w:separator/>
      </w:r>
    </w:p>
  </w:endnote>
  <w:endnote w:type="continuationSeparator" w:id="0">
    <w:p w:rsidR="00AA3C20" w:rsidRDefault="00AA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A3C2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AA3C2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A3C20">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2E7993">
      <w:rPr>
        <w:rStyle w:val="a4"/>
        <w:noProof/>
      </w:rPr>
      <w:t>1</w:t>
    </w:r>
    <w:r>
      <w:rPr>
        <w:rStyle w:val="a4"/>
      </w:rPr>
      <w:fldChar w:fldCharType="end"/>
    </w:r>
  </w:p>
  <w:p w:rsidR="00000000" w:rsidRDefault="00AA3C2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20" w:rsidRDefault="00AA3C20">
      <w:r>
        <w:separator/>
      </w:r>
    </w:p>
  </w:footnote>
  <w:footnote w:type="continuationSeparator" w:id="0">
    <w:p w:rsidR="00AA3C20" w:rsidRDefault="00AA3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93"/>
    <w:rsid w:val="002E7993"/>
    <w:rsid w:val="00AA3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8166B-8BED-4CC8-B784-738FDFCF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Company>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2</cp:revision>
  <cp:lastPrinted>2006-11-20T12:18:00Z</cp:lastPrinted>
  <dcterms:created xsi:type="dcterms:W3CDTF">2021-09-22T10:31:00Z</dcterms:created>
  <dcterms:modified xsi:type="dcterms:W3CDTF">2021-09-22T10:31:00Z</dcterms:modified>
</cp:coreProperties>
</file>