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bookmarkStart w:id="0" w:name="_GoBack"/>
      <w:r>
        <w:rPr>
          <w:rFonts w:ascii="標楷體" w:eastAsia="標楷體" w:hAnsi="標楷體" w:hint="eastAsia"/>
          <w:b/>
        </w:rPr>
        <w:t>第三章</w:t>
      </w:r>
      <w:r>
        <w:rPr>
          <w:rFonts w:ascii="標楷體" w:eastAsia="標楷體" w:hAnsi="標楷體" w:hint="eastAsia"/>
          <w:b/>
        </w:rPr>
        <w:t xml:space="preserve">  </w:t>
      </w:r>
      <w:r>
        <w:rPr>
          <w:rFonts w:ascii="標楷體" w:eastAsia="標楷體" w:hAnsi="標楷體" w:hint="eastAsia"/>
          <w:b/>
        </w:rPr>
        <w:t>因法規範變更衍生之信賴保護疑義的處理</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r>
        <w:rPr>
          <w:rFonts w:ascii="標楷體" w:eastAsia="標楷體" w:hAnsi="標楷體" w:hint="eastAsia"/>
          <w:b/>
        </w:rPr>
        <w:t>第一節</w:t>
      </w:r>
      <w:r>
        <w:rPr>
          <w:rFonts w:ascii="標楷體" w:eastAsia="標楷體" w:hAnsi="標楷體" w:hint="eastAsia"/>
          <w:b/>
        </w:rPr>
        <w:t xml:space="preserve"> </w:t>
      </w:r>
      <w:r>
        <w:rPr>
          <w:rFonts w:ascii="標楷體" w:eastAsia="標楷體" w:hAnsi="標楷體" w:hint="eastAsia"/>
          <w:b/>
        </w:rPr>
        <w:t>司法院大法官與信賴保護原則相關解釋的評析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r>
        <w:rPr>
          <w:rFonts w:ascii="標楷體" w:eastAsia="標楷體" w:hAnsi="標楷體" w:hint="eastAsia"/>
          <w:b/>
        </w:rPr>
        <w:t>一、釋字第五二五號解釋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r>
        <w:rPr>
          <w:rFonts w:hint="eastAsia"/>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kern w:val="0"/>
        </w:rPr>
      </w:pPr>
      <w:r>
        <w:rPr>
          <w:rFonts w:hint="eastAsia"/>
        </w:rPr>
        <w:t>司法院大法官關於信賴保護原則的解釋，作較深入論述的近年解釋首推釋字第</w:t>
      </w:r>
      <w:r>
        <w:rPr>
          <w:rFonts w:hint="eastAsia"/>
        </w:rPr>
        <w:t>525</w:t>
      </w:r>
      <w:r>
        <w:rPr>
          <w:rFonts w:hint="eastAsia"/>
        </w:rPr>
        <w:t>號解釋。本號解釋理由書先是指出</w:t>
      </w:r>
      <w:r>
        <w:rPr>
          <w:rFonts w:ascii="標楷體" w:eastAsia="標楷體" w:hAnsi="標楷體" w:hint="eastAsia"/>
          <w:b/>
        </w:rPr>
        <w:t>信賴保護原則的法理基礎</w:t>
      </w:r>
      <w:r>
        <w:rPr>
          <w:rFonts w:hint="eastAsia"/>
        </w:rPr>
        <w:t>在於：「</w:t>
      </w:r>
      <w:r>
        <w:rPr>
          <w:rFonts w:ascii="新細明體" w:hAnsi="新細明體" w:cs="細明體"/>
          <w:kern w:val="0"/>
        </w:rPr>
        <w:t>法治國為憲法基本原則之一，法治國原則首重人民權利之維護、法秩</w:t>
      </w:r>
      <w:r>
        <w:rPr>
          <w:rFonts w:ascii="新細明體" w:hAnsi="新細明體" w:cs="新細明體"/>
          <w:kern w:val="0"/>
        </w:rPr>
        <w:t>序之安定及誠實信用原則之遵守</w:t>
      </w:r>
      <w:r>
        <w:rPr>
          <w:rFonts w:ascii="新細明體" w:hAnsi="新細明體" w:cs="細明體"/>
          <w:kern w:val="0"/>
        </w:rPr>
        <w:t>。人民對公權力行使結果所生之合理信賴</w:t>
      </w:r>
      <w:r>
        <w:rPr>
          <w:rFonts w:ascii="新細明體" w:hAnsi="新細明體" w:cs="新細明體"/>
          <w:kern w:val="0"/>
        </w:rPr>
        <w:t>，法律自應予以適當保障</w:t>
      </w:r>
      <w:r>
        <w:rPr>
          <w:rFonts w:hint="eastAsia"/>
        </w:rPr>
        <w:t>」。本號解釋的第二項論述重點則係，</w:t>
      </w:r>
      <w:r>
        <w:rPr>
          <w:rFonts w:ascii="標楷體" w:eastAsia="標楷體" w:hAnsi="標楷體" w:hint="eastAsia"/>
          <w:b/>
        </w:rPr>
        <w:t>行政法規廢止或變更</w:t>
      </w:r>
      <w:proofErr w:type="gramStart"/>
      <w:r>
        <w:rPr>
          <w:rFonts w:ascii="標楷體" w:eastAsia="標楷體" w:hAnsi="標楷體" w:hint="eastAsia"/>
          <w:b/>
        </w:rPr>
        <w:t>原則上均有信賴</w:t>
      </w:r>
      <w:proofErr w:type="gramEnd"/>
      <w:r>
        <w:rPr>
          <w:rFonts w:ascii="標楷體" w:eastAsia="標楷體" w:hAnsi="標楷體" w:hint="eastAsia"/>
          <w:b/>
        </w:rPr>
        <w:t>保護原則之適用</w:t>
      </w:r>
      <w:r>
        <w:rPr>
          <w:rFonts w:hint="eastAsia"/>
        </w:rPr>
        <w:t>：</w:t>
      </w:r>
      <w:r>
        <w:rPr>
          <w:rFonts w:ascii="新細明體" w:hAnsi="新細明體" w:cs="細明體" w:hint="eastAsia"/>
          <w:kern w:val="0"/>
        </w:rPr>
        <w:t>「</w:t>
      </w:r>
      <w:r>
        <w:rPr>
          <w:rFonts w:ascii="新細明體" w:hAnsi="新細明體" w:cs="細明體"/>
          <w:kern w:val="0"/>
        </w:rPr>
        <w:t>行</w:t>
      </w:r>
      <w:r>
        <w:rPr>
          <w:rFonts w:ascii="新細明體" w:hAnsi="新細明體" w:cs="細明體"/>
          <w:kern w:val="0"/>
        </w:rPr>
        <w:t>政法規（包括法規命令、解釋性或裁量性行政規則）之廢止或變更，於人民權利之影響，並不亞於前述行政程序法所規範行政處分之撤銷或廢止，故行政法規</w:t>
      </w:r>
      <w:r>
        <w:rPr>
          <w:rFonts w:ascii="新細明體" w:hAnsi="新細明體" w:cs="細明體"/>
          <w:kern w:val="0"/>
          <w:u w:val="single"/>
        </w:rPr>
        <w:t>除預先定有施行期間或經有權機關認定係因情事變遷而停止適用，不生信賴保護問題</w:t>
      </w:r>
      <w:r>
        <w:rPr>
          <w:rFonts w:ascii="新細明體" w:hAnsi="新細明體" w:cs="細明體"/>
          <w:kern w:val="0"/>
        </w:rPr>
        <w:t>外，制定或發布法規之機關固得依法定程序予以修改</w:t>
      </w:r>
      <w:r>
        <w:rPr>
          <w:rFonts w:ascii="新細明體" w:hAnsi="新細明體" w:cs="新細明體"/>
          <w:kern w:val="0"/>
        </w:rPr>
        <w:t>或廢止，惟應兼顧規範對象值得保護之信賴利益，而給予適當保障</w:t>
      </w:r>
      <w:r>
        <w:rPr>
          <w:rFonts w:ascii="新細明體" w:hAnsi="新細明體" w:cs="新細明體" w:hint="eastAsia"/>
          <w:kern w:val="0"/>
        </w:rPr>
        <w:t>」；解釋理由書</w:t>
      </w:r>
      <w:proofErr w:type="gramStart"/>
      <w:r>
        <w:rPr>
          <w:rFonts w:ascii="新細明體" w:hAnsi="新細明體" w:cs="新細明體" w:hint="eastAsia"/>
          <w:kern w:val="0"/>
        </w:rPr>
        <w:t>第二段更明確</w:t>
      </w:r>
      <w:proofErr w:type="gramEnd"/>
      <w:r>
        <w:rPr>
          <w:rFonts w:ascii="新細明體" w:hAnsi="新細明體" w:cs="新細明體" w:hint="eastAsia"/>
          <w:kern w:val="0"/>
        </w:rPr>
        <w:t>表達此意旨：「</w:t>
      </w:r>
      <w:r>
        <w:rPr>
          <w:rFonts w:ascii="新細明體" w:hAnsi="新細明體" w:cs="細明體"/>
          <w:kern w:val="0"/>
        </w:rPr>
        <w:t>制定或發布法規之機關基於公益之考量，即社會整體利益優先於法規適用對象之個別利益時，自得依法定程序停止法規適用或修改其內容，若因此使人民出於信賴先前法規繼續施</w:t>
      </w:r>
      <w:r>
        <w:rPr>
          <w:rFonts w:ascii="新細明體" w:hAnsi="新細明體" w:cs="細明體"/>
          <w:kern w:val="0"/>
        </w:rPr>
        <w:t>行，而有因信賴所生之實體法上利益受損害者，倘現有法規中無相關補救規定可資援用時</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，基於信賴之保護，制定或發布法規之機關應採取合理之</w:t>
      </w:r>
      <w:r>
        <w:rPr>
          <w:rFonts w:ascii="新細明體" w:hAnsi="新細明體" w:cs="新細明體"/>
          <w:kern w:val="0"/>
        </w:rPr>
        <w:t>補救措施或訂定過渡期間之條款，</w:t>
      </w:r>
      <w:proofErr w:type="gramStart"/>
      <w:r>
        <w:rPr>
          <w:rFonts w:ascii="新細明體" w:hAnsi="新細明體" w:cs="新細明體"/>
          <w:kern w:val="0"/>
        </w:rPr>
        <w:t>俾</w:t>
      </w:r>
      <w:proofErr w:type="gramEnd"/>
      <w:r>
        <w:rPr>
          <w:rFonts w:ascii="新細明體" w:hAnsi="新細明體" w:cs="新細明體"/>
          <w:kern w:val="0"/>
        </w:rPr>
        <w:t>減輕損害</w:t>
      </w:r>
      <w:r>
        <w:rPr>
          <w:rFonts w:ascii="新細明體" w:hAnsi="新細明體" w:cs="新細明體" w:hint="eastAsia"/>
          <w:kern w:val="0"/>
        </w:rPr>
        <w:t>」。本號解釋的第三項重點是指出，</w:t>
      </w:r>
      <w:r>
        <w:rPr>
          <w:rFonts w:ascii="標楷體" w:eastAsia="標楷體" w:hAnsi="標楷體" w:cs="新細明體" w:hint="eastAsia"/>
          <w:b/>
          <w:kern w:val="0"/>
        </w:rPr>
        <w:t>人民不得主張信賴保護的情形</w:t>
      </w:r>
      <w:r>
        <w:rPr>
          <w:rFonts w:ascii="新細明體" w:hAnsi="新細明體" w:cs="新細明體" w:hint="eastAsia"/>
          <w:kern w:val="0"/>
        </w:rPr>
        <w:t>：「</w:t>
      </w:r>
      <w:r>
        <w:rPr>
          <w:rFonts w:ascii="新細明體" w:hAnsi="新細明體" w:cs="細明體"/>
          <w:kern w:val="0"/>
        </w:rPr>
        <w:t>一、經廢止或變更之法規有重大明顯違反上位規範情形者；二、相關法規（如各種解釋性、裁量性之函釋）係因主張權益受害者以不正當方法或提供不正確資料而發布，</w:t>
      </w:r>
      <w:r>
        <w:rPr>
          <w:rFonts w:ascii="新細明體" w:hAnsi="新細明體" w:cs="細明體"/>
          <w:kern w:val="0"/>
        </w:rPr>
        <w:lastRenderedPageBreak/>
        <w:t>其信賴顯有瑕疵不值得保護者；三、純屬法規適用對象主觀之願望或期待而未有表現已生信賴之事實者，蓋任何法規皆非永久不能改變，法規未來可</w:t>
      </w:r>
      <w:r>
        <w:rPr>
          <w:rFonts w:ascii="新細明體" w:hAnsi="新細明體" w:cs="細明體"/>
          <w:kern w:val="0"/>
        </w:rPr>
        <w:t>能修改或廢止，受規範</w:t>
      </w:r>
      <w:r>
        <w:rPr>
          <w:rFonts w:ascii="新細明體" w:hAnsi="新細明體" w:cs="新細明體"/>
          <w:kern w:val="0"/>
        </w:rPr>
        <w:t>之對象並非毫無預見，故必須有客觀上具體表現信賴之行為，始足當之</w:t>
      </w:r>
      <w:r>
        <w:rPr>
          <w:rFonts w:ascii="新細明體" w:hAnsi="新細明體" w:cs="新細明體" w:hint="eastAsia"/>
          <w:kern w:val="0"/>
        </w:rPr>
        <w:t>」。本件作為信賴基礎的公權力行為是一件嗣後被認定</w:t>
      </w:r>
      <w:r>
        <w:rPr>
          <w:rFonts w:ascii="標楷體" w:eastAsia="標楷體" w:hAnsi="標楷體" w:cs="新細明體" w:hint="eastAsia"/>
          <w:b/>
          <w:kern w:val="0"/>
        </w:rPr>
        <w:t>違反法律意旨的函釋</w:t>
      </w:r>
      <w:r>
        <w:rPr>
          <w:rFonts w:ascii="新細明體" w:hAnsi="新細明體" w:cs="新細明體" w:hint="eastAsia"/>
          <w:kern w:val="0"/>
        </w:rPr>
        <w:t>，就此，本號解釋認其</w:t>
      </w:r>
      <w:r>
        <w:rPr>
          <w:rFonts w:ascii="標楷體" w:eastAsia="標楷體" w:hAnsi="標楷體" w:cs="新細明體" w:hint="eastAsia"/>
          <w:b/>
          <w:kern w:val="0"/>
        </w:rPr>
        <w:t>仍得為信賴基礎</w:t>
      </w:r>
      <w:r>
        <w:rPr>
          <w:rFonts w:ascii="新細明體" w:hAnsi="新細明體" w:cs="新細明體" w:hint="eastAsia"/>
          <w:kern w:val="0"/>
        </w:rPr>
        <w:t>，惟</w:t>
      </w:r>
      <w:r>
        <w:rPr>
          <w:rFonts w:ascii="標楷體" w:eastAsia="標楷體" w:hAnsi="標楷體" w:cs="新細明體" w:hint="eastAsia"/>
          <w:b/>
          <w:kern w:val="0"/>
        </w:rPr>
        <w:t>以人民欠缺表現信賴行為作為論據駁回其主張</w:t>
      </w:r>
      <w:r>
        <w:rPr>
          <w:rFonts w:ascii="新細明體" w:hAnsi="新細明體" w:cs="新細明體" w:hint="eastAsia"/>
          <w:kern w:val="0"/>
        </w:rPr>
        <w:t>：「</w:t>
      </w:r>
      <w:r>
        <w:rPr>
          <w:rFonts w:ascii="新細明體" w:hAnsi="新細明體" w:cs="細明體"/>
          <w:kern w:val="0"/>
        </w:rPr>
        <w:t>銓敘部七十六年六月四日發布之上開函件，雖得為信賴之基礎，惟</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與法律之規定既不一致，自不能預期其永久實施，除已有客觀上具體表現信賴之行為者外，尚不能因比敘措施廢止即主張其有信賴利益之損失。就本件而言，</w:t>
      </w:r>
      <w:r>
        <w:rPr>
          <w:rFonts w:ascii="新細明體" w:hAnsi="新細明體" w:cs="細明體"/>
          <w:kern w:val="0"/>
          <w:u w:val="single"/>
        </w:rPr>
        <w:t>參與轉任公職考試或取得申請比敘資格，乃表現其服役之初即對應考試服公職可獲優待具有信</w:t>
      </w:r>
      <w:r>
        <w:rPr>
          <w:rFonts w:ascii="新細明體" w:hAnsi="新細明體" w:cs="細明體"/>
          <w:kern w:val="0"/>
          <w:u w:val="single"/>
        </w:rPr>
        <w:t>賴之客觀具體行為。是以於停止適用時，尚未應考試及格亦未取得公務人員任用資格者</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w:t>
      </w:r>
      <w:r>
        <w:rPr>
          <w:rFonts w:ascii="新細明體" w:hAnsi="新細明體" w:cs="細明體"/>
          <w:kern w:val="0"/>
          <w:u w:val="single"/>
        </w:rPr>
        <w:t>難謂法規廢止時已有客觀上信賴事實之具體表現</w:t>
      </w:r>
      <w:r>
        <w:rPr>
          <w:rFonts w:ascii="新細明體" w:hAnsi="新細明體" w:cs="細明體"/>
          <w:kern w:val="0"/>
        </w:rPr>
        <w:t>，即</w:t>
      </w:r>
      <w:r>
        <w:rPr>
          <w:rFonts w:ascii="新細明體" w:hAnsi="新細明體" w:cs="新細明體"/>
          <w:kern w:val="0"/>
        </w:rPr>
        <w:t>無主張信賴保護之餘地</w:t>
      </w:r>
      <w:r>
        <w:rPr>
          <w:rFonts w:ascii="新細明體" w:hAnsi="新細明體" w:cs="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檢視本號解釋前揭要旨，除說理不無曖昧外，結論亦不無可疑。其說理曖昧之處首先表現在，</w:t>
      </w:r>
      <w:r>
        <w:rPr>
          <w:rFonts w:ascii="標楷體" w:eastAsia="標楷體" w:hAnsi="標楷體" w:cs="新細明體" w:hint="eastAsia"/>
          <w:b/>
          <w:kern w:val="0"/>
        </w:rPr>
        <w:t>對信賴保護原則之法理基礎的交代方式</w:t>
      </w:r>
      <w:r>
        <w:rPr>
          <w:rFonts w:ascii="新細明體" w:hAnsi="新細明體" w:cs="新細明體" w:hint="eastAsia"/>
          <w:kern w:val="0"/>
        </w:rPr>
        <w:t>。看來大法官以法治國原則作為信賴保護原則的憲法基礎，但又以「</w:t>
      </w:r>
      <w:r>
        <w:rPr>
          <w:rFonts w:ascii="新細明體" w:hAnsi="新細明體" w:cs="細明體"/>
          <w:kern w:val="0"/>
        </w:rPr>
        <w:t>人民權利之維護、法秩</w:t>
      </w:r>
      <w:r>
        <w:rPr>
          <w:rFonts w:ascii="新細明體" w:hAnsi="新細明體" w:cs="新細明體"/>
          <w:kern w:val="0"/>
        </w:rPr>
        <w:t>序之安定及誠實信用原則</w:t>
      </w:r>
      <w:r>
        <w:rPr>
          <w:rFonts w:ascii="新細明體" w:hAnsi="新細明體" w:cs="新細明體" w:hint="eastAsia"/>
          <w:kern w:val="0"/>
        </w:rPr>
        <w:t>」作為支撐信賴保護原則的，法治國原則之子原則。然而，此三者作為信賴保護原則的法理基礎，對信賴保護原則的運用有無差異？例如</w:t>
      </w:r>
      <w:r>
        <w:rPr>
          <w:rFonts w:ascii="新細明體" w:hAnsi="新細明體" w:cs="新細明體" w:hint="eastAsia"/>
          <w:kern w:val="0"/>
        </w:rPr>
        <w:t>，對信賴基礎、不能主張信賴保護之情形、有無信賴行為的認定是否因其法理基礎不同而有異？</w:t>
      </w:r>
      <w:proofErr w:type="gramStart"/>
      <w:r>
        <w:rPr>
          <w:rFonts w:ascii="新細明體" w:hAnsi="新細明體" w:cs="新細明體" w:hint="eastAsia"/>
          <w:kern w:val="0"/>
        </w:rPr>
        <w:t>大法官均未進一步</w:t>
      </w:r>
      <w:proofErr w:type="gramEnd"/>
      <w:r>
        <w:rPr>
          <w:rFonts w:ascii="新細明體" w:hAnsi="新細明體" w:cs="新細明體" w:hint="eastAsia"/>
          <w:kern w:val="0"/>
        </w:rPr>
        <w:t>說明。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其結論可疑</w:t>
      </w:r>
      <w:proofErr w:type="gramStart"/>
      <w:r>
        <w:rPr>
          <w:rFonts w:ascii="新細明體" w:hAnsi="新細明體" w:cs="新細明體" w:hint="eastAsia"/>
          <w:kern w:val="0"/>
        </w:rPr>
        <w:t>之處首先是</w:t>
      </w:r>
      <w:proofErr w:type="gramEnd"/>
      <w:r>
        <w:rPr>
          <w:rFonts w:ascii="新細明體" w:hAnsi="新細明體" w:cs="新細明體" w:hint="eastAsia"/>
          <w:kern w:val="0"/>
        </w:rPr>
        <w:t>：本件解釋認定，</w:t>
      </w:r>
      <w:r>
        <w:rPr>
          <w:rFonts w:ascii="標楷體" w:eastAsia="標楷體" w:hAnsi="標楷體" w:cs="新細明體" w:hint="eastAsia"/>
          <w:b/>
          <w:kern w:val="0"/>
        </w:rPr>
        <w:t>凡行政法規有變更、廢止之情形</w:t>
      </w:r>
      <w:r>
        <w:rPr>
          <w:rFonts w:ascii="新細明體" w:hAnsi="新細明體" w:cs="新細明體" w:hint="eastAsia"/>
          <w:kern w:val="0"/>
        </w:rPr>
        <w:t>，即使「社會整體利益優先於法規適用對象之個別利益」，「人民出於信賴先前法規繼續施行，而有因信賴所生之實體法上利益受損害者」，「</w:t>
      </w:r>
      <w:r>
        <w:rPr>
          <w:rFonts w:ascii="標楷體" w:eastAsia="標楷體" w:hAnsi="標楷體" w:cs="新細明體" w:hint="eastAsia"/>
          <w:b/>
          <w:kern w:val="0"/>
        </w:rPr>
        <w:t>基於信賴保護，制</w:t>
      </w:r>
      <w:r>
        <w:rPr>
          <w:rFonts w:ascii="標楷體" w:eastAsia="標楷體" w:hAnsi="標楷體" w:cs="新細明體" w:hint="eastAsia"/>
          <w:b/>
          <w:kern w:val="0"/>
        </w:rPr>
        <w:lastRenderedPageBreak/>
        <w:t>定或發布法規之機關應採取合理之補救措施</w:t>
      </w:r>
      <w:r>
        <w:rPr>
          <w:rFonts w:ascii="新細明體" w:hAnsi="新細明體" w:cs="新細明體" w:hint="eastAsia"/>
          <w:kern w:val="0"/>
        </w:rPr>
        <w:t>」。其是否過度限制立法機關立法調整之空間？在情事變遷劇烈的當代，假定當下法秩序原則上應繼續施行的出發點是否妥適？</w:t>
      </w:r>
      <w:r>
        <w:rPr>
          <w:rFonts w:hint="eastAsia"/>
        </w:rPr>
        <w:t>德國前聯邦憲法法院院長</w:t>
      </w:r>
      <w:r>
        <w:rPr>
          <w:rFonts w:hint="eastAsia"/>
        </w:rPr>
        <w:t>Ernst Benda</w:t>
      </w:r>
      <w:r>
        <w:rPr>
          <w:rFonts w:hint="eastAsia"/>
        </w:rPr>
        <w:t>就</w:t>
      </w:r>
      <w:r>
        <w:rPr>
          <w:rFonts w:hint="eastAsia"/>
        </w:rPr>
        <w:t>強調，以積極形塑社會為已任的國家，其不僅要維繫內部與外部安全，更有權也有義務，在經濟、社會秩序的場域裡積極活動；如是，就不可能讓其一旦介入規定者就此不容變動。在感受到有問題的範圍裡，立法必須介入</w:t>
      </w:r>
      <w:proofErr w:type="gramStart"/>
      <w:r>
        <w:rPr>
          <w:rFonts w:hint="eastAsia"/>
        </w:rPr>
        <w:t>規</w:t>
      </w:r>
      <w:proofErr w:type="gramEnd"/>
      <w:r>
        <w:rPr>
          <w:rFonts w:hint="eastAsia"/>
        </w:rPr>
        <w:t>整。在如斯的社會法治國裡，信賴保護的理解與自由的法治國不同。假使一旦被賦予的法律地位因此就享有憲法層次的，不容克服的存續保障的話，國家將因此陷於僵固</w:t>
      </w:r>
      <w:r>
        <w:rPr>
          <w:kern w:val="0"/>
          <w:vertAlign w:val="superscript"/>
        </w:rPr>
        <w:footnoteReference w:id="1"/>
      </w:r>
      <w:r>
        <w:rPr>
          <w:rFonts w:hint="eastAsia"/>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其結論可疑之處尤其在於：其</w:t>
      </w:r>
      <w:r>
        <w:rPr>
          <w:rFonts w:ascii="標楷體" w:eastAsia="標楷體" w:hAnsi="標楷體" w:cs="新細明體" w:hint="eastAsia"/>
          <w:b/>
          <w:kern w:val="0"/>
        </w:rPr>
        <w:t>並未區分信賴基礎的不同，相應決定信賴保護的方式</w:t>
      </w:r>
      <w:r>
        <w:rPr>
          <w:rStyle w:val="a6"/>
          <w:rFonts w:eastAsia="標楷體"/>
          <w:kern w:val="0"/>
        </w:rPr>
        <w:footnoteReference w:id="2"/>
      </w:r>
      <w:r>
        <w:rPr>
          <w:rFonts w:ascii="新細明體" w:hAnsi="新細明體" w:cs="新細明體" w:hint="eastAsia"/>
          <w:kern w:val="0"/>
        </w:rPr>
        <w:t>。具體而言，大法官忽略，法規範的拘束力應作一般抽象性的決定</w:t>
      </w:r>
      <w:r>
        <w:rPr>
          <w:kern w:val="0"/>
          <w:vertAlign w:val="superscript"/>
        </w:rPr>
        <w:footnoteReference w:id="3"/>
      </w:r>
      <w:r>
        <w:rPr>
          <w:rFonts w:ascii="新細明體" w:hAnsi="新細明體" w:cs="新細明體" w:hint="eastAsia"/>
          <w:kern w:val="0"/>
        </w:rPr>
        <w:t>，而不能取決於其是否「係因</w:t>
      </w:r>
      <w:r>
        <w:rPr>
          <w:rFonts w:ascii="新細明體" w:hAnsi="新細明體" w:cs="新細明體" w:hint="eastAsia"/>
          <w:kern w:val="0"/>
        </w:rPr>
        <w:t>主張權益受害者以不正當方法或提供不正確資料而發布」，或當事人是否有「客觀上具體表現信賴之行為」。劉鐵錚大法官針對本號解釋所提不同意見書進一步</w:t>
      </w:r>
      <w:proofErr w:type="gramStart"/>
      <w:r>
        <w:rPr>
          <w:rFonts w:ascii="新細明體" w:hAnsi="新細明體" w:cs="新細明體" w:hint="eastAsia"/>
          <w:kern w:val="0"/>
        </w:rPr>
        <w:t>凸</w:t>
      </w:r>
      <w:proofErr w:type="gramEnd"/>
      <w:r>
        <w:rPr>
          <w:rFonts w:ascii="新細明體" w:hAnsi="新細明體" w:cs="新細明體" w:hint="eastAsia"/>
          <w:kern w:val="0"/>
        </w:rPr>
        <w:t>顯，</w:t>
      </w:r>
      <w:r>
        <w:rPr>
          <w:rFonts w:ascii="標楷體" w:eastAsia="標楷體" w:hAnsi="標楷體" w:cs="新細明體" w:hint="eastAsia"/>
          <w:b/>
          <w:kern w:val="0"/>
        </w:rPr>
        <w:t>信賴基礎是行政法規</w:t>
      </w:r>
      <w:r>
        <w:rPr>
          <w:rFonts w:ascii="新細明體" w:hAnsi="新細明體" w:cs="新細明體" w:hint="eastAsia"/>
          <w:kern w:val="0"/>
        </w:rPr>
        <w:t>（按認「行政法規」的概念包含「行政規則」，本身已不無可議）</w:t>
      </w:r>
      <w:r>
        <w:rPr>
          <w:rFonts w:ascii="標楷體" w:eastAsia="標楷體" w:hAnsi="標楷體" w:cs="新細明體" w:hint="eastAsia"/>
          <w:b/>
          <w:kern w:val="0"/>
        </w:rPr>
        <w:t>時，論斷「信賴行為」</w:t>
      </w:r>
      <w:proofErr w:type="gramStart"/>
      <w:r>
        <w:rPr>
          <w:rFonts w:ascii="標楷體" w:eastAsia="標楷體" w:hAnsi="標楷體" w:cs="新細明體" w:hint="eastAsia"/>
          <w:b/>
          <w:kern w:val="0"/>
        </w:rPr>
        <w:t>存否的</w:t>
      </w:r>
      <w:proofErr w:type="gramEnd"/>
      <w:r>
        <w:rPr>
          <w:rFonts w:ascii="標楷體" w:eastAsia="標楷體" w:hAnsi="標楷體" w:cs="新細明體" w:hint="eastAsia"/>
          <w:b/>
          <w:kern w:val="0"/>
        </w:rPr>
        <w:t>困難</w:t>
      </w:r>
      <w:proofErr w:type="gramStart"/>
      <w:r>
        <w:rPr>
          <w:rFonts w:ascii="新細明體" w:hAnsi="新細明體" w:cs="新細明體" w:hint="eastAsia"/>
          <w:kern w:val="0"/>
        </w:rPr>
        <w:t>―</w:t>
      </w:r>
      <w:proofErr w:type="gramEnd"/>
      <w:r>
        <w:rPr>
          <w:rFonts w:ascii="新細明體" w:hAnsi="新細明體" w:cs="新細明體" w:hint="eastAsia"/>
          <w:kern w:val="0"/>
        </w:rPr>
        <w:t>多數大法官認定，「就本件而言，參與轉任公職考試或取得申請比敘資格，乃表現其服役之初即對應考試服公職可獲優待具有信賴之客觀具體行為」；相對於此，劉大法官則認為，「大專畢業生應召入伍，因信賴該函令，從而志願轉服四年制預備軍官役，並依法退伍者，即為信賴事實之具體表</w:t>
      </w:r>
      <w:r>
        <w:rPr>
          <w:rFonts w:ascii="新細明體" w:hAnsi="新細明體" w:cs="新細明體" w:hint="eastAsia"/>
          <w:kern w:val="0"/>
        </w:rPr>
        <w:t>現」。依筆者之見，所以產生歧異，原因無他，蓋其並非取決於個案當事人是否確已利用作為信賴基礎之具</w:t>
      </w:r>
      <w:r>
        <w:rPr>
          <w:rFonts w:ascii="新細明體" w:hAnsi="新細明體" w:cs="新細明體" w:hint="eastAsia"/>
          <w:kern w:val="0"/>
        </w:rPr>
        <w:lastRenderedPageBreak/>
        <w:t>體公權力行為，毋寧只能作抽象因果關係的推理，而就相當因果關係有無的判斷，意見自然有別</w:t>
      </w:r>
      <w:r>
        <w:rPr>
          <w:kern w:val="0"/>
          <w:vertAlign w:val="superscript"/>
        </w:rPr>
        <w:footnoteReference w:id="4"/>
      </w:r>
      <w:r>
        <w:rPr>
          <w:rFonts w:ascii="新細明體" w:hAnsi="新細明體" w:cs="新細明體" w:hint="eastAsia"/>
          <w:kern w:val="0"/>
        </w:rPr>
        <w:t>。</w:t>
      </w:r>
      <w:r>
        <w:rPr>
          <w:rFonts w:hint="eastAsia"/>
        </w:rPr>
        <w:t>.</w:t>
      </w:r>
      <w:r>
        <w:rPr>
          <w:rFonts w:hint="eastAsia"/>
        </w:rPr>
        <w:t>德國學者</w:t>
      </w:r>
      <w:r>
        <w:rPr>
          <w:rFonts w:hint="eastAsia"/>
        </w:rPr>
        <w:t>Hartmut Maurer</w:t>
      </w:r>
      <w:r>
        <w:rPr>
          <w:rFonts w:hint="eastAsia"/>
        </w:rPr>
        <w:t>就明確指出，在撤銷授益性行政處分的情形，因為是賦予特定人具體利益，自然能逐案審查，具體個案中的受益人是否確有信賴事實，其信賴是否值得保護。而因為法律具有一般抽象的性質，在審查信賴是否值得保護時，自然不能取向於個別國民，毋寧應一般化、類型化地取決於受法律影響之團體中的平均人。因此，在探討法律溯</w:t>
      </w:r>
      <w:r>
        <w:rPr>
          <w:rFonts w:hint="eastAsia"/>
        </w:rPr>
        <w:t>及的問題時，只能作「</w:t>
      </w:r>
      <w:r>
        <w:rPr>
          <w:rFonts w:ascii="標楷體" w:eastAsia="標楷體" w:hAnsi="標楷體" w:hint="eastAsia"/>
          <w:b/>
        </w:rPr>
        <w:t>人民得否信賴</w:t>
      </w:r>
      <w:r>
        <w:rPr>
          <w:rFonts w:hint="eastAsia"/>
        </w:rPr>
        <w:t>先前法律之繼續存立」的提問</w:t>
      </w:r>
      <w:r>
        <w:rPr>
          <w:vertAlign w:val="superscript"/>
        </w:rPr>
        <w:footnoteReference w:id="5"/>
      </w:r>
      <w:r>
        <w:rPr>
          <w:rFonts w:hint="eastAsia"/>
        </w:rPr>
        <w:t>，而非如大法官所論的，取決於</w:t>
      </w:r>
      <w:r>
        <w:rPr>
          <w:rFonts w:ascii="新細明體" w:hAnsi="新細明體" w:cs="新細明體" w:hint="eastAsia"/>
          <w:kern w:val="0"/>
        </w:rPr>
        <w:t>當事人是否有「客觀上具體表現信賴之行為」</w:t>
      </w:r>
      <w:r>
        <w:rPr>
          <w:rFonts w:hint="eastAsia"/>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標楷體" w:eastAsia="標楷體" w:hAnsi="標楷體" w:cs="新細明體" w:hint="eastAsia"/>
          <w:b/>
          <w:kern w:val="0"/>
        </w:rPr>
        <w:t>二、釋字第五二九號解釋與釋字第五三八號解釋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 xml:space="preserve">    </w:t>
      </w:r>
      <w:r>
        <w:rPr>
          <w:rFonts w:ascii="新細明體" w:hAnsi="新細明體" w:cs="新細明體" w:hint="eastAsia"/>
          <w:kern w:val="0"/>
        </w:rPr>
        <w:t>釋字第</w:t>
      </w:r>
      <w:r>
        <w:rPr>
          <w:kern w:val="0"/>
        </w:rPr>
        <w:t>529</w:t>
      </w:r>
      <w:r>
        <w:rPr>
          <w:rFonts w:ascii="新細明體" w:hAnsi="新細明體" w:cs="新細明體" w:hint="eastAsia"/>
          <w:kern w:val="0"/>
        </w:rPr>
        <w:t>號解釋理由書一開始就引述釋字第</w:t>
      </w:r>
      <w:r>
        <w:rPr>
          <w:kern w:val="0"/>
        </w:rPr>
        <w:t>525</w:t>
      </w:r>
      <w:r>
        <w:rPr>
          <w:rFonts w:ascii="新細明體" w:hAnsi="新細明體" w:cs="新細明體" w:hint="eastAsia"/>
          <w:kern w:val="0"/>
        </w:rPr>
        <w:t>號解釋的意旨，認定</w:t>
      </w:r>
      <w:r>
        <w:rPr>
          <w:rFonts w:ascii="標楷體" w:eastAsia="標楷體" w:hAnsi="標楷體" w:cs="新細明體" w:hint="eastAsia"/>
          <w:b/>
          <w:kern w:val="0"/>
        </w:rPr>
        <w:t>行政法規依法定程序修改或廢止時，原則上應兼顧規範對象信賴利益之保護</w:t>
      </w:r>
      <w:r>
        <w:rPr>
          <w:rFonts w:ascii="新細明體" w:hAnsi="新細明體" w:cs="新細明體" w:hint="eastAsia"/>
          <w:kern w:val="0"/>
        </w:rPr>
        <w:t>。大法官將前揭意旨適用於本件，認「</w:t>
      </w:r>
      <w:r>
        <w:rPr>
          <w:rFonts w:ascii="新細明體" w:hAnsi="新細明體" w:cs="細明體"/>
          <w:kern w:val="0"/>
        </w:rPr>
        <w:t>金馬地區役齡男子如已符合廢止前該辦法</w:t>
      </w:r>
      <w:proofErr w:type="gramStart"/>
      <w:r>
        <w:rPr>
          <w:rFonts w:ascii="新細明體" w:hAnsi="新細明體" w:cs="細明體" w:hint="eastAsia"/>
          <w:kern w:val="0"/>
        </w:rPr>
        <w:t>〔</w:t>
      </w:r>
      <w:proofErr w:type="gramEnd"/>
      <w:r>
        <w:rPr>
          <w:rFonts w:ascii="新細明體" w:hAnsi="新細明體" w:cs="細明體" w:hint="eastAsia"/>
          <w:kern w:val="0"/>
        </w:rPr>
        <w:t>按係：金馬地區役齡男子檢定</w:t>
      </w:r>
      <w:proofErr w:type="gramStart"/>
      <w:r>
        <w:rPr>
          <w:rFonts w:ascii="新細明體" w:hAnsi="新細明體" w:cs="細明體" w:hint="eastAsia"/>
          <w:kern w:val="0"/>
        </w:rPr>
        <w:t>為已訓乙種</w:t>
      </w:r>
      <w:proofErr w:type="gramEnd"/>
      <w:r>
        <w:rPr>
          <w:rFonts w:ascii="新細明體" w:hAnsi="新細明體" w:cs="細明體" w:hint="eastAsia"/>
          <w:kern w:val="0"/>
        </w:rPr>
        <w:t>國民兵實施辦法</w:t>
      </w:r>
      <w:r>
        <w:rPr>
          <w:kern w:val="0"/>
          <w:vertAlign w:val="superscript"/>
        </w:rPr>
        <w:footnoteReference w:id="6"/>
      </w:r>
      <w:proofErr w:type="gramStart"/>
      <w:r>
        <w:rPr>
          <w:rFonts w:ascii="新細明體" w:hAnsi="新細明體" w:cs="細明體" w:hint="eastAsia"/>
          <w:kern w:val="0"/>
        </w:rPr>
        <w:t>〕</w:t>
      </w:r>
      <w:proofErr w:type="gramEnd"/>
      <w:r>
        <w:rPr>
          <w:rFonts w:ascii="新細明體" w:hAnsi="新細明體" w:cs="細明體"/>
          <w:kern w:val="0"/>
        </w:rPr>
        <w:t>第二條第一項第二款及同條第二項之要件者</w:t>
      </w:r>
      <w:proofErr w:type="gramStart"/>
      <w:r>
        <w:rPr>
          <w:rFonts w:ascii="新細明體" w:hAnsi="新細明體" w:cs="細明體" w:hint="eastAsia"/>
          <w:kern w:val="0"/>
        </w:rPr>
        <w:t>〔</w:t>
      </w:r>
      <w:proofErr w:type="gramEnd"/>
      <w:r>
        <w:rPr>
          <w:rFonts w:ascii="新細明體" w:hAnsi="新細明體" w:cs="細明體" w:hint="eastAsia"/>
          <w:kern w:val="0"/>
        </w:rPr>
        <w:t>按係：實</w:t>
      </w:r>
      <w:r>
        <w:rPr>
          <w:rFonts w:ascii="新細明體" w:hAnsi="新細明體" w:cs="細明體" w:hint="eastAsia"/>
          <w:kern w:val="0"/>
        </w:rPr>
        <w:t>際接受各該地區軍事訓練或民防基本訓練（自衛隊訓練）</w:t>
      </w:r>
      <w:proofErr w:type="gramStart"/>
      <w:r>
        <w:rPr>
          <w:rFonts w:ascii="新細明體" w:hAnsi="新細明體" w:cs="細明體" w:hint="eastAsia"/>
          <w:kern w:val="0"/>
        </w:rPr>
        <w:t>並服勤務〕</w:t>
      </w:r>
      <w:proofErr w:type="gramEnd"/>
      <w:r>
        <w:rPr>
          <w:rFonts w:ascii="新細明體" w:hAnsi="新細明體" w:cs="細明體"/>
          <w:kern w:val="0"/>
        </w:rPr>
        <w:t>，</w:t>
      </w:r>
      <w:proofErr w:type="gramStart"/>
      <w:r>
        <w:rPr>
          <w:rFonts w:ascii="新細明體" w:hAnsi="新細明體" w:cs="細明體"/>
          <w:kern w:val="0"/>
          <w:u w:val="single"/>
        </w:rPr>
        <w:t>原得於</w:t>
      </w:r>
      <w:proofErr w:type="gramEnd"/>
      <w:r>
        <w:rPr>
          <w:rFonts w:ascii="新細明體" w:hAnsi="新細明體" w:cs="細明體"/>
          <w:kern w:val="0"/>
          <w:u w:val="single"/>
        </w:rPr>
        <w:t>其他要件具備時依法請求檢定</w:t>
      </w:r>
      <w:proofErr w:type="gramStart"/>
      <w:r>
        <w:rPr>
          <w:rFonts w:ascii="新細明體" w:hAnsi="新細明體" w:cs="細明體"/>
          <w:kern w:val="0"/>
          <w:u w:val="single"/>
        </w:rPr>
        <w:t>為已訓乙種</w:t>
      </w:r>
      <w:proofErr w:type="gramEnd"/>
      <w:r>
        <w:rPr>
          <w:rFonts w:ascii="新細明體" w:hAnsi="新細明體" w:cs="細明體"/>
          <w:kern w:val="0"/>
          <w:u w:val="single"/>
        </w:rPr>
        <w:t>國民兵</w:t>
      </w:r>
      <w:r>
        <w:rPr>
          <w:rFonts w:ascii="新細明體" w:hAnsi="新細明體" w:cs="細明體"/>
          <w:kern w:val="0"/>
        </w:rPr>
        <w:t>，惟上開辦法經主管機關予以廢止時，對於尚未及申請檢定之人，其法律地位因而喪失，故基於</w:t>
      </w:r>
      <w:r>
        <w:rPr>
          <w:rFonts w:ascii="新細明體" w:hAnsi="新細明體" w:cs="新細明體"/>
          <w:kern w:val="0"/>
        </w:rPr>
        <w:t>此項法律地位之信賴即應予以保護</w:t>
      </w:r>
      <w:r>
        <w:rPr>
          <w:rFonts w:ascii="新細明體" w:hAnsi="新細明體" w:cs="新細明體" w:hint="eastAsia"/>
          <w:kern w:val="0"/>
        </w:rPr>
        <w:t>」，並據此宣告國防部、內政部與</w:t>
      </w:r>
      <w:r>
        <w:rPr>
          <w:rFonts w:ascii="新細明體" w:hAnsi="新細明體" w:cs="新細明體" w:hint="eastAsia"/>
          <w:kern w:val="0"/>
        </w:rPr>
        <w:lastRenderedPageBreak/>
        <w:t>行政院相關函釋，「</w:t>
      </w:r>
      <w:r>
        <w:rPr>
          <w:rFonts w:ascii="新細明體" w:hAnsi="新細明體" w:cs="細明體"/>
          <w:kern w:val="0"/>
        </w:rPr>
        <w:t>不問是否符合檢定</w:t>
      </w:r>
      <w:proofErr w:type="gramStart"/>
      <w:r>
        <w:rPr>
          <w:rFonts w:ascii="新細明體" w:hAnsi="新細明體" w:cs="細明體"/>
          <w:kern w:val="0"/>
        </w:rPr>
        <w:t>為已訓乙種</w:t>
      </w:r>
      <w:proofErr w:type="gramEnd"/>
      <w:r>
        <w:rPr>
          <w:rFonts w:ascii="新細明體" w:hAnsi="新細明體" w:cs="細明體"/>
          <w:kern w:val="0"/>
        </w:rPr>
        <w:t>國民兵要件，</w:t>
      </w:r>
      <w:proofErr w:type="gramStart"/>
      <w:r>
        <w:rPr>
          <w:rFonts w:ascii="新細明體" w:hAnsi="新細明體" w:cs="細明體"/>
          <w:kern w:val="0"/>
        </w:rPr>
        <w:t>而概以</w:t>
      </w:r>
      <w:proofErr w:type="gramEnd"/>
      <w:r>
        <w:rPr>
          <w:rFonts w:ascii="新細明體" w:hAnsi="新細明體" w:cs="細明體"/>
          <w:kern w:val="0"/>
        </w:rPr>
        <w:t>六十四年次男子為金馬地區開始徵兵之對象部分，</w:t>
      </w:r>
      <w:r>
        <w:rPr>
          <w:rFonts w:ascii="新細明體" w:hAnsi="新細明體" w:cs="新細明體"/>
          <w:kern w:val="0"/>
        </w:rPr>
        <w:t>基於信賴保護原則，應不予適用</w:t>
      </w:r>
      <w:r>
        <w:rPr>
          <w:rFonts w:ascii="新細明體" w:hAnsi="新細明體" w:cs="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細明體" w:hint="eastAsia"/>
          <w:kern w:val="0"/>
        </w:rPr>
        <w:t xml:space="preserve">    </w:t>
      </w:r>
      <w:r>
        <w:rPr>
          <w:rFonts w:ascii="新細明體" w:hAnsi="新細明體" w:cs="細明體" w:hint="eastAsia"/>
          <w:kern w:val="0"/>
        </w:rPr>
        <w:t>釋字第</w:t>
      </w:r>
      <w:r>
        <w:rPr>
          <w:kern w:val="0"/>
        </w:rPr>
        <w:t>538</w:t>
      </w:r>
      <w:r>
        <w:rPr>
          <w:rFonts w:ascii="新細明體" w:hAnsi="新細明體" w:cs="細明體" w:hint="eastAsia"/>
          <w:kern w:val="0"/>
        </w:rPr>
        <w:t>號解釋同樣</w:t>
      </w:r>
      <w:r>
        <w:rPr>
          <w:rFonts w:ascii="新細明體" w:hAnsi="新細明體" w:cs="新細明體" w:hint="eastAsia"/>
          <w:kern w:val="0"/>
        </w:rPr>
        <w:t>引述釋字第</w:t>
      </w:r>
      <w:r>
        <w:rPr>
          <w:kern w:val="0"/>
        </w:rPr>
        <w:t>525</w:t>
      </w:r>
      <w:r>
        <w:rPr>
          <w:rFonts w:ascii="新細明體" w:hAnsi="新細明體" w:cs="新細明體" w:hint="eastAsia"/>
          <w:kern w:val="0"/>
        </w:rPr>
        <w:t>號解釋的意旨，一般性地認定，「</w:t>
      </w:r>
      <w:r>
        <w:rPr>
          <w:rFonts w:ascii="新細明體" w:hAnsi="新細明體" w:cs="細明體"/>
          <w:kern w:val="0"/>
        </w:rPr>
        <w:t>行政法規公布施行後，</w:t>
      </w:r>
      <w:r>
        <w:rPr>
          <w:rFonts w:ascii="標楷體" w:eastAsia="標楷體" w:hAnsi="標楷體" w:cs="細明體"/>
          <w:b/>
          <w:kern w:val="0"/>
        </w:rPr>
        <w:t>制定或發布法規之機關</w:t>
      </w:r>
      <w:r>
        <w:rPr>
          <w:rFonts w:ascii="標楷體" w:eastAsia="標楷體" w:hAnsi="標楷體" w:cs="細明體"/>
          <w:b/>
          <w:kern w:val="0"/>
        </w:rPr>
        <w:t>依法定程序予以修改或</w:t>
      </w:r>
      <w:r>
        <w:rPr>
          <w:rFonts w:ascii="標楷體" w:eastAsia="標楷體" w:hAnsi="標楷體" w:cs="新細明體"/>
          <w:b/>
          <w:kern w:val="0"/>
        </w:rPr>
        <w:t>廢止時，應兼顧規範對象信賴利益之保護</w:t>
      </w:r>
      <w:r>
        <w:rPr>
          <w:rFonts w:ascii="新細明體" w:hAnsi="新細明體" w:cs="新細明體" w:hint="eastAsia"/>
          <w:kern w:val="0"/>
        </w:rPr>
        <w:t>」。惟因營造業管理規則相關規定「</w:t>
      </w:r>
      <w:r>
        <w:rPr>
          <w:rFonts w:ascii="新細明體" w:hAnsi="新細明體" w:cs="細明體"/>
          <w:kern w:val="0"/>
        </w:rPr>
        <w:t>不僅設有適用營造業管理規則之過渡期間，以為緩衝，並准予依該管理規則規定換領登記證書之方式辦理，</w:t>
      </w:r>
      <w:r>
        <w:rPr>
          <w:rFonts w:ascii="新細明體" w:hAnsi="新細明體" w:cs="細明體"/>
          <w:kern w:val="0"/>
          <w:u w:val="single"/>
        </w:rPr>
        <w:t>所定</w:t>
      </w:r>
      <w:proofErr w:type="gramStart"/>
      <w:r>
        <w:rPr>
          <w:rFonts w:ascii="新細明體" w:hAnsi="新細明體" w:cs="細明體"/>
          <w:kern w:val="0"/>
          <w:u w:val="single"/>
        </w:rPr>
        <w:t>過渡期間復無恣意</w:t>
      </w:r>
      <w:proofErr w:type="gramEnd"/>
      <w:r>
        <w:rPr>
          <w:rFonts w:ascii="新細明體" w:hAnsi="新細明體" w:cs="細明體"/>
          <w:kern w:val="0"/>
          <w:u w:val="single"/>
        </w:rPr>
        <w:t>裁量或顯非合</w:t>
      </w:r>
      <w:r>
        <w:rPr>
          <w:rFonts w:ascii="新細明體" w:hAnsi="新細明體" w:cs="新細明體"/>
          <w:kern w:val="0"/>
          <w:u w:val="single"/>
        </w:rPr>
        <w:t>理之情形，已兼顧此等營造業信賴利益之保護</w:t>
      </w:r>
      <w:r>
        <w:rPr>
          <w:rFonts w:ascii="新細明體" w:hAnsi="新細明體" w:cs="新細明體" w:hint="eastAsia"/>
          <w:kern w:val="0"/>
        </w:rPr>
        <w:t>」，故並未違反憲法有關人民權利保障之規定。</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 xml:space="preserve">    </w:t>
      </w:r>
      <w:r>
        <w:rPr>
          <w:rFonts w:ascii="新細明體" w:hAnsi="新細明體" w:cs="新細明體" w:hint="eastAsia"/>
          <w:kern w:val="0"/>
        </w:rPr>
        <w:t>按前揭兩號解釋均引述釋字第</w:t>
      </w:r>
      <w:r>
        <w:rPr>
          <w:kern w:val="0"/>
        </w:rPr>
        <w:t>525</w:t>
      </w:r>
      <w:r>
        <w:rPr>
          <w:rFonts w:ascii="新細明體" w:hAnsi="新細明體" w:cs="新細明體" w:hint="eastAsia"/>
          <w:kern w:val="0"/>
        </w:rPr>
        <w:t>號解釋，一般性地承認，凡行政法規有修改、廢止之情形人民</w:t>
      </w:r>
      <w:proofErr w:type="gramStart"/>
      <w:r>
        <w:rPr>
          <w:rFonts w:ascii="新細明體" w:hAnsi="新細明體" w:cs="新細明體" w:hint="eastAsia"/>
          <w:kern w:val="0"/>
        </w:rPr>
        <w:t>原則上均得主張</w:t>
      </w:r>
      <w:proofErr w:type="gramEnd"/>
      <w:r>
        <w:rPr>
          <w:rFonts w:ascii="新細明體" w:hAnsi="新細明體" w:cs="新細明體" w:hint="eastAsia"/>
          <w:kern w:val="0"/>
        </w:rPr>
        <w:t>信賴保護，其衍生之疑義已如前述，無庸贅述。兩號解釋衍生的進一步疑義分別是：</w:t>
      </w:r>
      <w:r>
        <w:rPr>
          <w:rFonts w:ascii="標楷體" w:eastAsia="標楷體" w:hAnsi="標楷體" w:cs="新細明體" w:hint="eastAsia"/>
          <w:b/>
          <w:kern w:val="0"/>
        </w:rPr>
        <w:t>在法規範變遷</w:t>
      </w:r>
      <w:r>
        <w:rPr>
          <w:rFonts w:ascii="標楷體" w:eastAsia="標楷體" w:hAnsi="標楷體" w:cs="新細明體" w:hint="eastAsia"/>
          <w:b/>
          <w:kern w:val="0"/>
        </w:rPr>
        <w:t>之際，必須居於何等地位始得主張信賴保護</w:t>
      </w:r>
      <w:proofErr w:type="gramStart"/>
      <w:r>
        <w:rPr>
          <w:rFonts w:ascii="新細明體" w:hAnsi="新細明體" w:cs="新細明體" w:hint="eastAsia"/>
          <w:kern w:val="0"/>
        </w:rPr>
        <w:t>（</w:t>
      </w:r>
      <w:proofErr w:type="gramEnd"/>
      <w:r>
        <w:rPr>
          <w:rFonts w:ascii="新細明體" w:hAnsi="新細明體" w:cs="新細明體" w:hint="eastAsia"/>
          <w:kern w:val="0"/>
        </w:rPr>
        <w:t>何以係以</w:t>
      </w:r>
      <w:r>
        <w:rPr>
          <w:rFonts w:ascii="新細明體" w:hAnsi="新細明體" w:cs="細明體"/>
          <w:kern w:val="0"/>
        </w:rPr>
        <w:t>符合廢止前</w:t>
      </w:r>
      <w:r>
        <w:rPr>
          <w:rFonts w:ascii="新細明體" w:hAnsi="新細明體" w:cs="細明體" w:hint="eastAsia"/>
          <w:kern w:val="0"/>
        </w:rPr>
        <w:t>金馬地區役齡男子檢定為已訓乙種國民兵實施辦法</w:t>
      </w:r>
      <w:r>
        <w:rPr>
          <w:rFonts w:ascii="新細明體" w:hAnsi="新細明體" w:cs="細明體"/>
          <w:kern w:val="0"/>
        </w:rPr>
        <w:t>第二條第一項第二款及同條第二項之要件</w:t>
      </w:r>
      <w:r>
        <w:rPr>
          <w:rFonts w:ascii="新細明體" w:hAnsi="新細明體" w:cs="細明體" w:hint="eastAsia"/>
          <w:kern w:val="0"/>
        </w:rPr>
        <w:t>，「其他要件」的具備與否則非重點？</w:t>
      </w:r>
      <w:r>
        <w:rPr>
          <w:rFonts w:ascii="新細明體" w:hAnsi="新細明體" w:cs="新細明體" w:hint="eastAsia"/>
          <w:kern w:val="0"/>
        </w:rPr>
        <w:t>）以及，</w:t>
      </w:r>
      <w:r>
        <w:rPr>
          <w:rFonts w:ascii="標楷體" w:eastAsia="標楷體" w:hAnsi="標楷體" w:cs="新細明體" w:hint="eastAsia"/>
          <w:b/>
          <w:kern w:val="0"/>
        </w:rPr>
        <w:t>如何認定採取之補救措施尚屬合理</w:t>
      </w:r>
      <w:proofErr w:type="gramStart"/>
      <w:r>
        <w:rPr>
          <w:rFonts w:ascii="新細明體" w:hAnsi="新細明體" w:cs="新細明體" w:hint="eastAsia"/>
          <w:kern w:val="0"/>
        </w:rPr>
        <w:t>（</w:t>
      </w:r>
      <w:proofErr w:type="gramEnd"/>
      <w:r>
        <w:rPr>
          <w:rFonts w:ascii="新細明體" w:hAnsi="新細明體" w:cs="新細明體" w:hint="eastAsia"/>
          <w:kern w:val="0"/>
        </w:rPr>
        <w:t>是否只須「無恣意裁量或顯非合理之情形」，即為已足？）。</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標楷體" w:eastAsia="標楷體" w:hAnsi="標楷體" w:cs="新細明體" w:hint="eastAsia"/>
          <w:b/>
          <w:kern w:val="0"/>
        </w:rPr>
        <w:t>三、釋字第</w:t>
      </w:r>
      <w:r>
        <w:rPr>
          <w:rFonts w:ascii="標楷體" w:eastAsia="標楷體" w:hAnsi="標楷體" w:hint="eastAsia"/>
          <w:b/>
          <w:kern w:val="0"/>
        </w:rPr>
        <w:t>五七四</w:t>
      </w:r>
      <w:r>
        <w:rPr>
          <w:rFonts w:ascii="標楷體" w:eastAsia="標楷體" w:hAnsi="標楷體" w:cs="新細明體" w:hint="eastAsia"/>
          <w:b/>
          <w:kern w:val="0"/>
        </w:rPr>
        <w:t>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hint="eastAsia"/>
          <w:kern w:val="0"/>
        </w:rPr>
        <w:t xml:space="preserve">    </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hint="eastAsia"/>
          <w:kern w:val="0"/>
        </w:rPr>
        <w:t>現任大法官首次在釋字第</w:t>
      </w:r>
      <w:r>
        <w:rPr>
          <w:kern w:val="0"/>
        </w:rPr>
        <w:t>574</w:t>
      </w:r>
      <w:r>
        <w:rPr>
          <w:rFonts w:hint="eastAsia"/>
          <w:kern w:val="0"/>
        </w:rPr>
        <w:t>號解釋對信賴保護原則作深入的探討，其與前揭三號解釋之間的關係，誠宜留意。在本號解釋，大法官直接將</w:t>
      </w:r>
      <w:r>
        <w:rPr>
          <w:rFonts w:ascii="標楷體" w:eastAsia="標楷體" w:hAnsi="標楷體" w:hint="eastAsia"/>
          <w:b/>
          <w:kern w:val="0"/>
        </w:rPr>
        <w:t>信賴保護的法理</w:t>
      </w:r>
      <w:r>
        <w:rPr>
          <w:rFonts w:ascii="標楷體" w:eastAsia="標楷體" w:hAnsi="標楷體" w:hint="eastAsia"/>
          <w:b/>
          <w:kern w:val="0"/>
        </w:rPr>
        <w:lastRenderedPageBreak/>
        <w:t>基礎</w:t>
      </w:r>
      <w:r>
        <w:rPr>
          <w:rFonts w:hint="eastAsia"/>
          <w:kern w:val="0"/>
        </w:rPr>
        <w:t>訴諸法治國原則：「</w:t>
      </w:r>
      <w:r>
        <w:rPr>
          <w:rFonts w:cs="細明體"/>
          <w:kern w:val="0"/>
        </w:rPr>
        <w:t>法治國原則為憲法之基本原則，首</w:t>
      </w:r>
      <w:r>
        <w:rPr>
          <w:rFonts w:cs="細明體"/>
          <w:kern w:val="0"/>
        </w:rPr>
        <w:t>重人民權利之維護、法秩序之安定</w:t>
      </w:r>
      <w:r>
        <w:rPr>
          <w:kern w:val="0"/>
        </w:rPr>
        <w:t>及信賴保護原則之遵守</w:t>
      </w:r>
      <w:r>
        <w:rPr>
          <w:rFonts w:hint="eastAsia"/>
          <w:kern w:val="0"/>
        </w:rPr>
        <w:t>」。</w:t>
      </w:r>
      <w:proofErr w:type="gramStart"/>
      <w:r>
        <w:rPr>
          <w:rFonts w:hint="eastAsia"/>
          <w:kern w:val="0"/>
        </w:rPr>
        <w:t>此外，</w:t>
      </w:r>
      <w:proofErr w:type="gramEnd"/>
      <w:r>
        <w:rPr>
          <w:rFonts w:hint="eastAsia"/>
          <w:kern w:val="0"/>
        </w:rPr>
        <w:t>其</w:t>
      </w:r>
      <w:r>
        <w:rPr>
          <w:rFonts w:ascii="標楷體" w:eastAsia="標楷體" w:hAnsi="標楷體"/>
          <w:b/>
          <w:kern w:val="0"/>
        </w:rPr>
        <w:t>轉向援用法律</w:t>
      </w:r>
      <w:proofErr w:type="gramStart"/>
      <w:r>
        <w:rPr>
          <w:rFonts w:ascii="標楷體" w:eastAsia="標楷體" w:hAnsi="標楷體"/>
          <w:b/>
          <w:kern w:val="0"/>
        </w:rPr>
        <w:t>不</w:t>
      </w:r>
      <w:proofErr w:type="gramEnd"/>
      <w:r>
        <w:rPr>
          <w:rFonts w:ascii="標楷體" w:eastAsia="標楷體" w:hAnsi="標楷體"/>
          <w:b/>
          <w:kern w:val="0"/>
        </w:rPr>
        <w:t>溯既往原則來處理法規範修改與人民信賴保護之關係</w:t>
      </w:r>
      <w:r>
        <w:rPr>
          <w:rFonts w:hint="eastAsia"/>
          <w:kern w:val="0"/>
        </w:rPr>
        <w:t>：「</w:t>
      </w:r>
      <w:r>
        <w:rPr>
          <w:rFonts w:cs="細明體"/>
          <w:kern w:val="0"/>
        </w:rPr>
        <w:t>法律一旦發生變動，除法律有溯及適用之特別規定者外，原則上係自法律公布生效日起，向將來發生效力。</w:t>
      </w:r>
      <w:proofErr w:type="gramStart"/>
      <w:r>
        <w:rPr>
          <w:rFonts w:cs="細明體"/>
          <w:kern w:val="0"/>
        </w:rPr>
        <w:t>惟</w:t>
      </w:r>
      <w:proofErr w:type="gramEnd"/>
      <w:r>
        <w:rPr>
          <w:rFonts w:cs="細明體"/>
          <w:kern w:val="0"/>
        </w:rPr>
        <w:t>人類生活有其連續性，因此</w:t>
      </w:r>
      <w:r>
        <w:rPr>
          <w:rFonts w:cs="細明體"/>
          <w:kern w:val="0"/>
          <w:u w:val="single"/>
        </w:rPr>
        <w:t>新法雖無溯及效力，而係適用於新法生效後始完全實現之構成要件事實，然對人民依舊法所建立之生活秩序，仍難免發生影響</w:t>
      </w:r>
      <w:r>
        <w:rPr>
          <w:rFonts w:cs="細明體"/>
          <w:kern w:val="0"/>
        </w:rPr>
        <w:t>。此時立法者於不違反法律平等適用之原則下，固有其自由形成空間。惟</w:t>
      </w:r>
      <w:r>
        <w:rPr>
          <w:rFonts w:cs="細明體"/>
          <w:kern w:val="0"/>
          <w:u w:val="single"/>
        </w:rPr>
        <w:t>如人民依該修正前法律已取得之權益及因此所生之合理信賴，因該法律修正而向將來受不利影響者，立法</w:t>
      </w:r>
      <w:r>
        <w:rPr>
          <w:rFonts w:cs="細明體"/>
          <w:kern w:val="0"/>
          <w:u w:val="single"/>
        </w:rPr>
        <w:t>者即應制定過渡條款，</w:t>
      </w:r>
      <w:r>
        <w:rPr>
          <w:rFonts w:cs="細明體"/>
          <w:kern w:val="0"/>
        </w:rPr>
        <w:t>以適度排除新法於生效後之適用，</w:t>
      </w:r>
      <w:r>
        <w:rPr>
          <w:rFonts w:cs="細明體"/>
          <w:kern w:val="0"/>
          <w:u w:val="single"/>
        </w:rPr>
        <w:t>或採取其他合理之補救措施，</w:t>
      </w:r>
      <w:proofErr w:type="gramStart"/>
      <w:r>
        <w:rPr>
          <w:rFonts w:cs="細明體"/>
          <w:kern w:val="0"/>
          <w:u w:val="single"/>
        </w:rPr>
        <w:t>俾</w:t>
      </w:r>
      <w:proofErr w:type="gramEnd"/>
      <w:r>
        <w:rPr>
          <w:rFonts w:cs="細明體"/>
          <w:kern w:val="0"/>
          <w:u w:val="single"/>
        </w:rPr>
        <w:t>符法治國之法安定性原</w:t>
      </w:r>
      <w:r>
        <w:rPr>
          <w:kern w:val="0"/>
          <w:u w:val="single"/>
        </w:rPr>
        <w:t>則及信賴保護原則</w:t>
      </w:r>
      <w:r>
        <w:rPr>
          <w:rFonts w:hint="eastAsia"/>
          <w:kern w:val="0"/>
        </w:rPr>
        <w:t>」。就本件，大法官認定，</w:t>
      </w:r>
      <w:r>
        <w:rPr>
          <w:rFonts w:hint="eastAsia"/>
        </w:rPr>
        <w:t>「</w:t>
      </w:r>
      <w:r>
        <w:t>雖同屬訴訟事件之訴訟</w:t>
      </w:r>
      <w:proofErr w:type="gramStart"/>
      <w:r>
        <w:t>規</w:t>
      </w:r>
      <w:proofErr w:type="gramEnd"/>
      <w:r>
        <w:t>畫自新法生效後向將來受到影響之情形，如第二審判決係在新法公布之前所為，當事人依修正前民事訴訟法第四百六十六條第一項規定，</w:t>
      </w:r>
      <w:proofErr w:type="gramStart"/>
      <w:r>
        <w:t>原得提起</w:t>
      </w:r>
      <w:proofErr w:type="gramEnd"/>
      <w:r>
        <w:t>第三審上訴而尚未提起，於上訴期間進行中，法律修正生效後始提起第三審上訴者，若第二審法院或第三審法院依裁定時之新法，以上訴所得受之利益未逾新法所定數額而駁回其上訴時，勢必</w:t>
      </w:r>
      <w:r>
        <w:rPr>
          <w:u w:val="single"/>
        </w:rPr>
        <w:t>侵害當事人依修正前民事訴訟法第四百六十六條第一項規定原</w:t>
      </w:r>
      <w:r>
        <w:rPr>
          <w:u w:val="single"/>
        </w:rPr>
        <w:t>已取得之上訴第三審權益，及因此所生之合理信賴</w:t>
      </w:r>
      <w:r>
        <w:t>。此時，立法者若未制定過渡條款，以排除該修正規定於生效後對上開情況之適用，即有因違反信賴保護原則而違憲之虞。民事訴訟法施行法第八條規定：</w:t>
      </w:r>
      <w:r>
        <w:rPr>
          <w:rFonts w:hint="eastAsia"/>
        </w:rPr>
        <w:t>『</w:t>
      </w:r>
      <w:r>
        <w:t>修正民事訴訟法施行前所為之判決，依第四百六十六條所定不得上訴之額數，於修正民事訴訟法施行後有增加時，而依增加前之法令許之者，仍得上訴。</w:t>
      </w:r>
      <w:r>
        <w:rPr>
          <w:rFonts w:hint="eastAsia"/>
        </w:rPr>
        <w:t>』</w:t>
      </w:r>
      <w:r>
        <w:t>係</w:t>
      </w:r>
      <w:proofErr w:type="gramStart"/>
      <w:r>
        <w:t>立法者審酌</w:t>
      </w:r>
      <w:proofErr w:type="gramEnd"/>
      <w:r>
        <w:t>民事訴訟之性質，以及第三審為法律審之功能，並為特別保護依修正前民事訴訟法第四百六十六條第一項規定曾經取得上訴第三審權利當事人之既得利益，所制定之過渡條款，既未逾越其制定法律過渡條款之</w:t>
      </w:r>
      <w:r>
        <w:t>自由形成範圍，與法治國之信賴保護原則自亦無違背</w:t>
      </w:r>
      <w:r>
        <w:rPr>
          <w:rFonts w:hint="eastAsia"/>
        </w:rPr>
        <w:t>」</w:t>
      </w:r>
      <w:r>
        <w:t>。</w:t>
      </w:r>
      <w:r>
        <w:rPr>
          <w:rFonts w:ascii="新細明體" w:hAnsi="新細明體" w:cs="新細明體" w:hint="eastAsia"/>
          <w:kern w:val="0"/>
        </w:rPr>
        <w:t>針對本號解釋，許玉秀、許宗力大法官分別提出「部分協同意見書」、「協同意見書」。</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lastRenderedPageBreak/>
        <w:t>許玉秀大法官首先嘗試</w:t>
      </w:r>
      <w:proofErr w:type="gramStart"/>
      <w:r>
        <w:rPr>
          <w:rFonts w:ascii="新細明體" w:hAnsi="新細明體" w:cs="新細明體" w:hint="eastAsia"/>
          <w:kern w:val="0"/>
        </w:rPr>
        <w:t>釐</w:t>
      </w:r>
      <w:proofErr w:type="gramEnd"/>
      <w:r>
        <w:rPr>
          <w:rFonts w:ascii="新細明體" w:hAnsi="新細明體" w:cs="新細明體" w:hint="eastAsia"/>
          <w:kern w:val="0"/>
        </w:rPr>
        <w:t>清本號解釋援引為論述基礎之「</w:t>
      </w:r>
      <w:r>
        <w:rPr>
          <w:rFonts w:ascii="標楷體" w:eastAsia="標楷體" w:hAnsi="標楷體" w:cs="新細明體" w:hint="eastAsia"/>
          <w:b/>
          <w:kern w:val="0"/>
        </w:rPr>
        <w:t>法律</w:t>
      </w:r>
      <w:proofErr w:type="gramStart"/>
      <w:r>
        <w:rPr>
          <w:rFonts w:ascii="標楷體" w:eastAsia="標楷體" w:hAnsi="標楷體" w:cs="新細明體" w:hint="eastAsia"/>
          <w:b/>
          <w:kern w:val="0"/>
        </w:rPr>
        <w:t>不</w:t>
      </w:r>
      <w:proofErr w:type="gramEnd"/>
      <w:r>
        <w:rPr>
          <w:rFonts w:ascii="標楷體" w:eastAsia="標楷體" w:hAnsi="標楷體" w:cs="新細明體" w:hint="eastAsia"/>
          <w:b/>
          <w:kern w:val="0"/>
        </w:rPr>
        <w:t>溯既往、信賴保護與法安定性三項原則之間的關係</w:t>
      </w:r>
      <w:r>
        <w:rPr>
          <w:rFonts w:ascii="新細明體" w:hAnsi="新細明體" w:cs="新細明體" w:hint="eastAsia"/>
          <w:kern w:val="0"/>
        </w:rPr>
        <w:t>」。其正確但理據曖昧地指出，法</w:t>
      </w:r>
      <w:proofErr w:type="gramStart"/>
      <w:r>
        <w:rPr>
          <w:rFonts w:ascii="新細明體" w:hAnsi="新細明體" w:cs="新細明體" w:hint="eastAsia"/>
          <w:kern w:val="0"/>
        </w:rPr>
        <w:t>安定性屬客觀</w:t>
      </w:r>
      <w:proofErr w:type="gramEnd"/>
      <w:r>
        <w:rPr>
          <w:rFonts w:ascii="新細明體" w:hAnsi="新細明體" w:cs="新細明體" w:hint="eastAsia"/>
          <w:kern w:val="0"/>
        </w:rPr>
        <w:t>法秩序，而信賴保護則偏向主觀權利保障的面向。尤其重要得是，許大法官正確指出，信賴保護原則一方面有維繫法秩序的功能，惟其亦可能導致法秩序的僵化：「</w:t>
      </w:r>
      <w:r>
        <w:rPr>
          <w:rFonts w:ascii="新細明體" w:hAnsi="新細明體" w:cs="細明體"/>
          <w:kern w:val="0"/>
        </w:rPr>
        <w:t>如果不能信賴法秩序的持續有效，就不會產生對法的信賴，也就不會有遵守法律的意願，那麼法秩序就會崩</w:t>
      </w:r>
      <w:r>
        <w:rPr>
          <w:rFonts w:ascii="新細明體" w:hAnsi="新細明體" w:cs="細明體"/>
          <w:kern w:val="0"/>
        </w:rPr>
        <w:t>解。但是法律的更新是法秩序中的常態，對於法秩序持續有效的信賴，在個案中必須是特別有</w:t>
      </w:r>
      <w:r>
        <w:rPr>
          <w:rFonts w:ascii="新細明體" w:hAnsi="新細明體" w:cs="新細明體"/>
          <w:kern w:val="0"/>
        </w:rPr>
        <w:t>保護必要的利益，方才能成為個案阻止法律溯及既往的依據</w:t>
      </w:r>
      <w:r>
        <w:rPr>
          <w:rFonts w:ascii="新細明體" w:hAnsi="新細明體" w:cs="新細明體" w:hint="eastAsia"/>
          <w:kern w:val="0"/>
        </w:rPr>
        <w:t>」。然而，其就前揭三項原則之關係的下述結論令人難解：「</w:t>
      </w:r>
      <w:proofErr w:type="gramStart"/>
      <w:r>
        <w:rPr>
          <w:rFonts w:ascii="新細明體" w:hAnsi="新細明體" w:cs="細明體"/>
          <w:kern w:val="0"/>
        </w:rPr>
        <w:t>不</w:t>
      </w:r>
      <w:proofErr w:type="gramEnd"/>
      <w:r>
        <w:rPr>
          <w:rFonts w:ascii="新細明體" w:hAnsi="新細明體" w:cs="細明體"/>
          <w:kern w:val="0"/>
        </w:rPr>
        <w:t>溯</w:t>
      </w:r>
      <w:proofErr w:type="gramStart"/>
      <w:r>
        <w:rPr>
          <w:rFonts w:ascii="新細明體" w:hAnsi="新細明體" w:cs="細明體"/>
          <w:kern w:val="0"/>
        </w:rPr>
        <w:t>既往是法</w:t>
      </w:r>
      <w:proofErr w:type="gramEnd"/>
      <w:r>
        <w:rPr>
          <w:rFonts w:ascii="新細明體" w:hAnsi="新細明體" w:cs="細明體"/>
          <w:kern w:val="0"/>
        </w:rPr>
        <w:t>安定原則的當然結論，必定是基於信賴保護的目的考量，方才得有例外，亦即法安定原則決定法律</w:t>
      </w:r>
      <w:proofErr w:type="gramStart"/>
      <w:r>
        <w:rPr>
          <w:rFonts w:ascii="新細明體" w:hAnsi="新細明體" w:cs="細明體"/>
          <w:kern w:val="0"/>
        </w:rPr>
        <w:t>不</w:t>
      </w:r>
      <w:proofErr w:type="gramEnd"/>
      <w:r>
        <w:rPr>
          <w:rFonts w:ascii="新細明體" w:hAnsi="新細明體" w:cs="細明體"/>
          <w:kern w:val="0"/>
        </w:rPr>
        <w:t>溯及既往，而信賴保護原則調節法律</w:t>
      </w:r>
      <w:proofErr w:type="gramStart"/>
      <w:r>
        <w:rPr>
          <w:rFonts w:ascii="新細明體" w:hAnsi="新細明體" w:cs="細明體"/>
          <w:kern w:val="0"/>
        </w:rPr>
        <w:t>不</w:t>
      </w:r>
      <w:proofErr w:type="gramEnd"/>
      <w:r>
        <w:rPr>
          <w:rFonts w:ascii="新細明體" w:hAnsi="新細明體" w:cs="細明體"/>
          <w:kern w:val="0"/>
        </w:rPr>
        <w:t>溯及既往的適用範圍。例如在藉由過渡條款或例外條款限縮</w:t>
      </w:r>
      <w:proofErr w:type="gramStart"/>
      <w:r>
        <w:rPr>
          <w:rFonts w:ascii="新細明體" w:hAnsi="新細明體" w:cs="細明體"/>
          <w:kern w:val="0"/>
        </w:rPr>
        <w:t>不</w:t>
      </w:r>
      <w:proofErr w:type="gramEnd"/>
      <w:r>
        <w:rPr>
          <w:rFonts w:ascii="新細明體" w:hAnsi="新細明體" w:cs="細明體"/>
          <w:kern w:val="0"/>
        </w:rPr>
        <w:t>溯既往原則的適用範圍時，可以區分對實質法秩序或實證法秩序的信賴，對實質法秩序的信賴，可以只設</w:t>
      </w:r>
      <w:r>
        <w:rPr>
          <w:rFonts w:ascii="新細明體" w:hAnsi="新細明體" w:cs="新細明體"/>
          <w:kern w:val="0"/>
        </w:rPr>
        <w:t>定落日條款，給予緩衝調整</w:t>
      </w:r>
      <w:proofErr w:type="gramStart"/>
      <w:r>
        <w:rPr>
          <w:rFonts w:ascii="新細明體" w:hAnsi="新細明體" w:cs="新細明體"/>
          <w:kern w:val="0"/>
        </w:rPr>
        <w:t>期間，</w:t>
      </w:r>
      <w:proofErr w:type="gramEnd"/>
      <w:r>
        <w:rPr>
          <w:rFonts w:ascii="新細明體" w:hAnsi="新細明體" w:cs="新細明體"/>
          <w:kern w:val="0"/>
        </w:rPr>
        <w:t>而不必對於過去</w:t>
      </w:r>
      <w:r>
        <w:rPr>
          <w:rFonts w:ascii="新細明體" w:hAnsi="新細明體" w:cs="新細明體"/>
          <w:kern w:val="0"/>
        </w:rPr>
        <w:t>的事實例外</w:t>
      </w:r>
      <w:proofErr w:type="gramStart"/>
      <w:r>
        <w:rPr>
          <w:rFonts w:ascii="新細明體" w:hAnsi="新細明體" w:cs="新細明體"/>
          <w:kern w:val="0"/>
        </w:rPr>
        <w:t>不</w:t>
      </w:r>
      <w:proofErr w:type="gramEnd"/>
      <w:r>
        <w:rPr>
          <w:rFonts w:ascii="新細明體" w:hAnsi="新細明體" w:cs="新細明體"/>
          <w:kern w:val="0"/>
        </w:rPr>
        <w:t>溯及</w:t>
      </w:r>
      <w:r>
        <w:rPr>
          <w:rFonts w:ascii="新細明體" w:hAnsi="新細明體" w:cs="新細明體" w:hint="eastAsia"/>
          <w:kern w:val="0"/>
        </w:rPr>
        <w:t>」。</w:t>
      </w:r>
      <w:proofErr w:type="gramStart"/>
      <w:r>
        <w:rPr>
          <w:rFonts w:ascii="新細明體" w:hAnsi="新細明體" w:cs="新細明體" w:hint="eastAsia"/>
          <w:kern w:val="0"/>
        </w:rPr>
        <w:t>此外，</w:t>
      </w:r>
      <w:proofErr w:type="gramEnd"/>
      <w:r>
        <w:rPr>
          <w:rFonts w:ascii="新細明體" w:hAnsi="新細明體" w:cs="新細明體" w:hint="eastAsia"/>
          <w:kern w:val="0"/>
        </w:rPr>
        <w:t>許大法官並</w:t>
      </w:r>
      <w:r>
        <w:rPr>
          <w:rFonts w:ascii="標楷體" w:eastAsia="標楷體" w:hAnsi="標楷體" w:cs="新細明體" w:hint="eastAsia"/>
          <w:b/>
          <w:kern w:val="0"/>
        </w:rPr>
        <w:t>引</w:t>
      </w:r>
      <w:proofErr w:type="gramStart"/>
      <w:r>
        <w:rPr>
          <w:rFonts w:ascii="標楷體" w:eastAsia="標楷體" w:hAnsi="標楷體" w:cs="新細明體" w:hint="eastAsia"/>
          <w:b/>
          <w:kern w:val="0"/>
        </w:rPr>
        <w:t>介</w:t>
      </w:r>
      <w:proofErr w:type="gramEnd"/>
      <w:r>
        <w:rPr>
          <w:rFonts w:ascii="標楷體" w:eastAsia="標楷體" w:hAnsi="標楷體" w:cs="新細明體" w:hint="eastAsia"/>
          <w:b/>
          <w:kern w:val="0"/>
        </w:rPr>
        <w:t>德國學理對</w:t>
      </w:r>
      <w:proofErr w:type="gramStart"/>
      <w:r>
        <w:rPr>
          <w:rFonts w:ascii="標楷體" w:eastAsia="標楷體" w:hAnsi="標楷體" w:cs="新細明體" w:hint="eastAsia"/>
          <w:b/>
          <w:kern w:val="0"/>
        </w:rPr>
        <w:t>不</w:t>
      </w:r>
      <w:proofErr w:type="gramEnd"/>
      <w:r>
        <w:rPr>
          <w:rFonts w:ascii="標楷體" w:eastAsia="標楷體" w:hAnsi="標楷體" w:cs="新細明體" w:hint="eastAsia"/>
          <w:b/>
          <w:kern w:val="0"/>
        </w:rPr>
        <w:t>溯既往原則的說明方式</w:t>
      </w:r>
      <w:r>
        <w:rPr>
          <w:rFonts w:ascii="新細明體" w:hAnsi="新細明體" w:cs="新細明體" w:hint="eastAsia"/>
          <w:kern w:val="0"/>
        </w:rPr>
        <w:t>：</w:t>
      </w:r>
      <w:r>
        <w:rPr>
          <w:rFonts w:ascii="新細明體" w:hAnsi="新細明體" w:cs="細明體" w:hint="eastAsia"/>
          <w:kern w:val="0"/>
        </w:rPr>
        <w:t>「</w:t>
      </w:r>
      <w:r>
        <w:rPr>
          <w:rFonts w:ascii="新細明體" w:hAnsi="新細明體" w:cs="細明體"/>
          <w:kern w:val="0"/>
        </w:rPr>
        <w:t>德國學理上將</w:t>
      </w:r>
      <w:proofErr w:type="gramStart"/>
      <w:r>
        <w:rPr>
          <w:rFonts w:ascii="新細明體" w:hAnsi="新細明體" w:cs="細明體"/>
          <w:kern w:val="0"/>
        </w:rPr>
        <w:t>不</w:t>
      </w:r>
      <w:proofErr w:type="gramEnd"/>
      <w:r>
        <w:rPr>
          <w:rFonts w:ascii="新細明體" w:hAnsi="新細明體" w:cs="細明體"/>
          <w:kern w:val="0"/>
        </w:rPr>
        <w:t>溯既往原則分成三個等級，第一個等級是刑法上罪刑法定原則所衍生的絕對</w:t>
      </w:r>
      <w:proofErr w:type="gramStart"/>
      <w:r>
        <w:rPr>
          <w:rFonts w:ascii="新細明體" w:hAnsi="新細明體" w:cs="細明體"/>
          <w:kern w:val="0"/>
        </w:rPr>
        <w:t>不</w:t>
      </w:r>
      <w:proofErr w:type="gramEnd"/>
      <w:r>
        <w:rPr>
          <w:rFonts w:ascii="新細明體" w:hAnsi="新細明體" w:cs="細明體"/>
          <w:kern w:val="0"/>
        </w:rPr>
        <w:t>溯既往原則，第二和第三</w:t>
      </w:r>
      <w:proofErr w:type="gramStart"/>
      <w:r>
        <w:rPr>
          <w:rFonts w:ascii="新細明體" w:hAnsi="新細明體" w:cs="細明體"/>
          <w:kern w:val="0"/>
        </w:rPr>
        <w:t>個</w:t>
      </w:r>
      <w:proofErr w:type="gramEnd"/>
      <w:r>
        <w:rPr>
          <w:rFonts w:ascii="新細明體" w:hAnsi="新細明體" w:cs="細明體"/>
          <w:kern w:val="0"/>
        </w:rPr>
        <w:t>等級是適用於刑法以外其他法律領域的真正與</w:t>
      </w:r>
      <w:proofErr w:type="gramStart"/>
      <w:r>
        <w:rPr>
          <w:rFonts w:ascii="新細明體" w:hAnsi="新細明體" w:cs="細明體"/>
          <w:kern w:val="0"/>
        </w:rPr>
        <w:t>不</w:t>
      </w:r>
      <w:proofErr w:type="gramEnd"/>
      <w:r>
        <w:rPr>
          <w:rFonts w:ascii="新細明體" w:hAnsi="新細明體" w:cs="細明體"/>
          <w:kern w:val="0"/>
        </w:rPr>
        <w:t>真正溯及既往原則。第一個等級的</w:t>
      </w:r>
      <w:proofErr w:type="gramStart"/>
      <w:r>
        <w:rPr>
          <w:rFonts w:ascii="新細明體" w:hAnsi="新細明體" w:cs="細明體"/>
          <w:kern w:val="0"/>
        </w:rPr>
        <w:t>不</w:t>
      </w:r>
      <w:proofErr w:type="gramEnd"/>
      <w:r>
        <w:rPr>
          <w:rFonts w:ascii="新細明體" w:hAnsi="新細明體" w:cs="細明體"/>
          <w:kern w:val="0"/>
        </w:rPr>
        <w:t>溯及既往沒有例外</w:t>
      </w:r>
      <w:r>
        <w:rPr>
          <w:kern w:val="0"/>
          <w:vertAlign w:val="superscript"/>
        </w:rPr>
        <w:footnoteReference w:id="7"/>
      </w:r>
      <w:r>
        <w:rPr>
          <w:rFonts w:ascii="新細明體" w:hAnsi="新細明體" w:cs="細明體"/>
          <w:kern w:val="0"/>
        </w:rPr>
        <w:t>；第二</w:t>
      </w:r>
      <w:proofErr w:type="gramStart"/>
      <w:r>
        <w:rPr>
          <w:rFonts w:ascii="新細明體" w:hAnsi="新細明體" w:cs="細明體"/>
          <w:kern w:val="0"/>
        </w:rPr>
        <w:t>個</w:t>
      </w:r>
      <w:proofErr w:type="gramEnd"/>
      <w:r>
        <w:rPr>
          <w:rFonts w:ascii="新細明體" w:hAnsi="新細明體" w:cs="細明體"/>
          <w:kern w:val="0"/>
        </w:rPr>
        <w:t>等級的真正溯及既往所針對的是新法生效前已取得的權益，原則上違憲，例外合憲</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；第三</w:t>
      </w:r>
      <w:proofErr w:type="gramStart"/>
      <w:r>
        <w:rPr>
          <w:rFonts w:ascii="新細明體" w:hAnsi="新細明體" w:cs="細明體"/>
          <w:kern w:val="0"/>
        </w:rPr>
        <w:t>個</w:t>
      </w:r>
      <w:proofErr w:type="gramEnd"/>
      <w:r>
        <w:rPr>
          <w:rFonts w:ascii="新細明體" w:hAnsi="新細明體" w:cs="細明體"/>
          <w:kern w:val="0"/>
        </w:rPr>
        <w:t>等級的</w:t>
      </w:r>
      <w:proofErr w:type="gramStart"/>
      <w:r>
        <w:rPr>
          <w:rFonts w:ascii="新細明體" w:hAnsi="新細明體" w:cs="細明體"/>
          <w:kern w:val="0"/>
        </w:rPr>
        <w:t>不</w:t>
      </w:r>
      <w:proofErr w:type="gramEnd"/>
      <w:r>
        <w:rPr>
          <w:rFonts w:ascii="新細明體" w:hAnsi="新細明體" w:cs="細明體"/>
          <w:kern w:val="0"/>
        </w:rPr>
        <w:t>真正溯及既往所針對的是自新法生效前持續存在至新法生效時的既得權益事實，如逕行適用新法，原則上合憲，例外違憲</w:t>
      </w:r>
      <w:r>
        <w:rPr>
          <w:rFonts w:ascii="新細明體" w:hAnsi="新細明體" w:cs="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新細明體" w:hint="eastAsia"/>
          <w:kern w:val="0"/>
        </w:rPr>
        <w:t xml:space="preserve">    </w:t>
      </w:r>
      <w:r>
        <w:rPr>
          <w:rFonts w:ascii="新細明體" w:hAnsi="新細明體" w:cs="新細明體" w:hint="eastAsia"/>
          <w:kern w:val="0"/>
        </w:rPr>
        <w:t>許宗力大法官看來</w:t>
      </w:r>
      <w:r>
        <w:rPr>
          <w:rFonts w:ascii="新細明體" w:hAnsi="新細明體" w:cs="新細明體" w:hint="eastAsia"/>
          <w:kern w:val="0"/>
        </w:rPr>
        <w:t>比較不傾向，依法律</w:t>
      </w:r>
      <w:proofErr w:type="gramStart"/>
      <w:r>
        <w:rPr>
          <w:rFonts w:ascii="新細明體" w:hAnsi="新細明體" w:cs="新細明體" w:hint="eastAsia"/>
          <w:kern w:val="0"/>
        </w:rPr>
        <w:t>不</w:t>
      </w:r>
      <w:proofErr w:type="gramEnd"/>
      <w:r>
        <w:rPr>
          <w:rFonts w:ascii="新細明體" w:hAnsi="新細明體" w:cs="新細明體" w:hint="eastAsia"/>
          <w:kern w:val="0"/>
        </w:rPr>
        <w:t>溯既往原則來檢討法律修正與人民信賴保護之關係的進路，他似乎</w:t>
      </w:r>
      <w:r>
        <w:rPr>
          <w:rFonts w:ascii="標楷體" w:eastAsia="標楷體" w:hAnsi="標楷體" w:cs="新細明體" w:hint="eastAsia"/>
          <w:b/>
          <w:kern w:val="0"/>
        </w:rPr>
        <w:t>偏向「既得權」與「期待權」的理論</w:t>
      </w:r>
      <w:r>
        <w:rPr>
          <w:rFonts w:ascii="新細明體" w:hAnsi="新細明體" w:cs="新細明體" w:hint="eastAsia"/>
          <w:kern w:val="0"/>
        </w:rPr>
        <w:t>。他首先</w:t>
      </w:r>
      <w:proofErr w:type="gramStart"/>
      <w:r>
        <w:rPr>
          <w:rFonts w:ascii="新細明體" w:hAnsi="新細明體" w:cs="新細明體" w:hint="eastAsia"/>
          <w:kern w:val="0"/>
        </w:rPr>
        <w:t>―</w:t>
      </w:r>
      <w:proofErr w:type="gramEnd"/>
      <w:r>
        <w:rPr>
          <w:rFonts w:ascii="新細明體" w:hAnsi="新細明體" w:cs="新細明體" w:hint="eastAsia"/>
          <w:kern w:val="0"/>
        </w:rPr>
        <w:lastRenderedPageBreak/>
        <w:t>立場上更接近前揭三號解釋地</w:t>
      </w:r>
      <w:proofErr w:type="gramStart"/>
      <w:r>
        <w:rPr>
          <w:rFonts w:ascii="新細明體" w:hAnsi="新細明體" w:cs="新細明體" w:hint="eastAsia"/>
          <w:kern w:val="0"/>
        </w:rPr>
        <w:t>―</w:t>
      </w:r>
      <w:proofErr w:type="gramEnd"/>
      <w:r>
        <w:rPr>
          <w:rFonts w:ascii="新細明體" w:hAnsi="新細明體" w:cs="新細明體" w:hint="eastAsia"/>
          <w:kern w:val="0"/>
        </w:rPr>
        <w:t>認定，「</w:t>
      </w:r>
      <w:r>
        <w:rPr>
          <w:rFonts w:ascii="新細明體" w:hAnsi="新細明體" w:cs="細明體"/>
          <w:kern w:val="0"/>
        </w:rPr>
        <w:t>凡法律修改，即便向將來發生效力，只要對發生於舊法時代，於新法公布生效時</w:t>
      </w:r>
      <w:r>
        <w:rPr>
          <w:rFonts w:ascii="新細明體" w:hAnsi="新細明體" w:cs="新細明體"/>
          <w:kern w:val="0"/>
        </w:rPr>
        <w:t>仍未完結的連續性事實關係，產生不利影響，就會有信賴保護問題</w:t>
      </w:r>
      <w:r>
        <w:rPr>
          <w:rFonts w:ascii="新細明體" w:hAnsi="新細明體" w:cs="新細明體" w:hint="eastAsia"/>
          <w:kern w:val="0"/>
        </w:rPr>
        <w:t>」。繼而發展其「既得權」與「期待權」的論述：「</w:t>
      </w:r>
      <w:r>
        <w:rPr>
          <w:rFonts w:ascii="細明體" w:eastAsia="細明體" w:hAnsi="細明體" w:cs="細明體"/>
          <w:kern w:val="0"/>
        </w:rPr>
        <w:t>本席同意，人民</w:t>
      </w:r>
      <w:r>
        <w:rPr>
          <w:rFonts w:ascii="細明體" w:eastAsia="細明體" w:hAnsi="細明體" w:cs="細明體" w:hint="eastAsia"/>
          <w:kern w:val="0"/>
        </w:rPr>
        <w:t>『</w:t>
      </w:r>
      <w:r>
        <w:rPr>
          <w:rFonts w:ascii="細明體" w:eastAsia="細明體" w:hAnsi="細明體" w:cs="細明體"/>
          <w:kern w:val="0"/>
        </w:rPr>
        <w:t>依舊法已取得之權益</w:t>
      </w:r>
      <w:r>
        <w:rPr>
          <w:rFonts w:ascii="細明體" w:eastAsia="細明體" w:hAnsi="細明體" w:cs="細明體" w:hint="eastAsia"/>
          <w:kern w:val="0"/>
        </w:rPr>
        <w:t>』</w:t>
      </w:r>
      <w:r>
        <w:rPr>
          <w:rFonts w:ascii="細明體" w:eastAsia="細明體" w:hAnsi="細明體" w:cs="細明體"/>
          <w:kern w:val="0"/>
        </w:rPr>
        <w:t>（既得權）因法律修正受到不利影響時，有信賴保護原則之適用。</w:t>
      </w:r>
      <w:proofErr w:type="gramStart"/>
      <w:r>
        <w:rPr>
          <w:rFonts w:ascii="細明體" w:eastAsia="細明體" w:hAnsi="細明體" w:cs="細明體"/>
          <w:kern w:val="0"/>
        </w:rPr>
        <w:t>惟</w:t>
      </w:r>
      <w:proofErr w:type="gramEnd"/>
      <w:r>
        <w:rPr>
          <w:rFonts w:ascii="細明體" w:eastAsia="細明體" w:hAnsi="細明體" w:cs="細明體"/>
          <w:kern w:val="0"/>
        </w:rPr>
        <w:t>信賴保護原則的適用範圍絕非僅止於此，因</w:t>
      </w:r>
      <w:r>
        <w:rPr>
          <w:rFonts w:ascii="細明體" w:eastAsia="細明體" w:hAnsi="細明體" w:cs="細明體" w:hint="eastAsia"/>
          <w:kern w:val="0"/>
        </w:rPr>
        <w:t>『</w:t>
      </w:r>
      <w:r>
        <w:rPr>
          <w:rFonts w:ascii="細明體" w:eastAsia="細明體" w:hAnsi="細明體" w:cs="細明體"/>
          <w:kern w:val="0"/>
        </w:rPr>
        <w:t>依舊</w:t>
      </w:r>
      <w:r>
        <w:rPr>
          <w:rFonts w:ascii="細明體" w:eastAsia="細明體" w:hAnsi="細明體" w:cs="細明體"/>
          <w:kern w:val="0"/>
        </w:rPr>
        <w:t xml:space="preserve">    </w:t>
      </w:r>
      <w:r>
        <w:rPr>
          <w:rFonts w:ascii="細明體" w:eastAsia="細明體" w:hAnsi="細明體" w:cs="細明體"/>
          <w:kern w:val="0"/>
        </w:rPr>
        <w:t>法</w:t>
      </w:r>
      <w:r>
        <w:rPr>
          <w:rFonts w:ascii="標楷體" w:eastAsia="標楷體" w:hAnsi="標楷體" w:cs="細明體"/>
          <w:b/>
          <w:kern w:val="0"/>
        </w:rPr>
        <w:t>已取得之權益</w:t>
      </w:r>
      <w:r>
        <w:rPr>
          <w:rFonts w:ascii="細明體" w:eastAsia="細明體" w:hAnsi="細明體" w:cs="細明體" w:hint="eastAsia"/>
          <w:kern w:val="0"/>
        </w:rPr>
        <w:t>』</w:t>
      </w:r>
      <w:r>
        <w:rPr>
          <w:rFonts w:ascii="細明體" w:eastAsia="細明體" w:hAnsi="細明體" w:cs="細明體"/>
          <w:kern w:val="0"/>
        </w:rPr>
        <w:t>受新法影響的情形，</w:t>
      </w:r>
      <w:r>
        <w:rPr>
          <w:rFonts w:ascii="細明體" w:eastAsia="細明體" w:hAnsi="細明體" w:cs="細明體"/>
          <w:kern w:val="0"/>
        </w:rPr>
        <w:t>與法律的真正溯及</w:t>
      </w:r>
      <w:proofErr w:type="gramStart"/>
      <w:r>
        <w:rPr>
          <w:rFonts w:ascii="細明體" w:eastAsia="細明體" w:hAnsi="細明體" w:cs="細明體"/>
          <w:kern w:val="0"/>
        </w:rPr>
        <w:t>既往幾無</w:t>
      </w:r>
      <w:proofErr w:type="gramEnd"/>
      <w:r>
        <w:rPr>
          <w:rFonts w:ascii="細明體" w:eastAsia="細明體" w:hAnsi="細明體" w:cs="細明體"/>
          <w:kern w:val="0"/>
        </w:rPr>
        <w:t>二致，實務出現的情形極少，較常見者反是</w:t>
      </w:r>
      <w:r>
        <w:rPr>
          <w:rFonts w:ascii="細明體" w:eastAsia="細明體" w:hAnsi="細明體" w:cs="細明體" w:hint="eastAsia"/>
          <w:kern w:val="0"/>
        </w:rPr>
        <w:t>『</w:t>
      </w:r>
      <w:r>
        <w:rPr>
          <w:rFonts w:ascii="細明體" w:eastAsia="細明體" w:hAnsi="細明體" w:cs="細明體"/>
          <w:kern w:val="0"/>
        </w:rPr>
        <w:t>依舊法</w:t>
      </w:r>
      <w:r>
        <w:rPr>
          <w:rFonts w:ascii="標楷體" w:eastAsia="標楷體" w:hAnsi="標楷體" w:cs="細明體"/>
          <w:b/>
          <w:kern w:val="0"/>
        </w:rPr>
        <w:t>預期可以取得之權益</w:t>
      </w:r>
      <w:r>
        <w:rPr>
          <w:rFonts w:ascii="細明體" w:eastAsia="細明體" w:hAnsi="細明體" w:cs="細明體" w:hint="eastAsia"/>
          <w:kern w:val="0"/>
        </w:rPr>
        <w:t>』</w:t>
      </w:r>
      <w:r>
        <w:rPr>
          <w:rFonts w:ascii="細明體" w:eastAsia="細明體" w:hAnsi="細明體" w:cs="細明體"/>
          <w:kern w:val="0"/>
        </w:rPr>
        <w:t>受新法影響的情形。如果信賴保護原則只保護</w:t>
      </w:r>
      <w:r>
        <w:rPr>
          <w:rFonts w:ascii="細明體" w:eastAsia="細明體" w:hAnsi="細明體" w:cs="細明體" w:hint="eastAsia"/>
          <w:kern w:val="0"/>
        </w:rPr>
        <w:t>『</w:t>
      </w:r>
      <w:r>
        <w:rPr>
          <w:rFonts w:ascii="細明體" w:eastAsia="細明體" w:hAnsi="細明體" w:cs="細明體"/>
          <w:kern w:val="0"/>
        </w:rPr>
        <w:t>依舊法已取得之權益</w:t>
      </w:r>
      <w:r>
        <w:rPr>
          <w:rFonts w:ascii="細明體" w:eastAsia="細明體" w:hAnsi="細明體" w:cs="細明體" w:hint="eastAsia"/>
          <w:kern w:val="0"/>
        </w:rPr>
        <w:t>』</w:t>
      </w:r>
      <w:r>
        <w:rPr>
          <w:rFonts w:ascii="細明體" w:eastAsia="細明體" w:hAnsi="細明體" w:cs="細明體"/>
          <w:kern w:val="0"/>
        </w:rPr>
        <w:t>，而不及</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，勢必大幅失去其存在意義。然是否只要是</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，就一律有信賴保護原則之適用？則又不盡然。究應如何認定有信賴保護原則適用之</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之存在，固須綜合考量各種相關因素，難以一概而論，惟該預期可以取得之權益，依舊法規定所必須具備之要件之實現程度如何，應是一個共通的、基本的檢驗判</w:t>
      </w:r>
      <w:proofErr w:type="gramStart"/>
      <w:r>
        <w:rPr>
          <w:rFonts w:ascii="細明體" w:eastAsia="細明體" w:hAnsi="細明體" w:cs="細明體"/>
          <w:kern w:val="0"/>
        </w:rPr>
        <w:t>準</w:t>
      </w:r>
      <w:proofErr w:type="gramEnd"/>
      <w:r>
        <w:rPr>
          <w:rFonts w:ascii="細明體" w:eastAsia="細明體" w:hAnsi="細明體" w:cs="細明體"/>
          <w:kern w:val="0"/>
        </w:rPr>
        <w:t>。</w:t>
      </w:r>
      <w:proofErr w:type="gramStart"/>
      <w:r>
        <w:rPr>
          <w:rFonts w:ascii="細明體" w:eastAsia="細明體" w:hAnsi="細明體" w:cs="細明體"/>
          <w:kern w:val="0"/>
        </w:rPr>
        <w:t>準</w:t>
      </w:r>
      <w:proofErr w:type="gramEnd"/>
      <w:r>
        <w:rPr>
          <w:rFonts w:ascii="細明體" w:eastAsia="細明體" w:hAnsi="細明體" w:cs="細明體"/>
          <w:kern w:val="0"/>
        </w:rPr>
        <w:t>此，則重</w:t>
      </w:r>
      <w:r>
        <w:rPr>
          <w:rFonts w:ascii="細明體" w:eastAsia="細明體" w:hAnsi="細明體" w:cs="細明體"/>
          <w:kern w:val="0"/>
        </w:rPr>
        <w:t>要的要件是否已經具備？尚未具備之要件是否在客觀上可以合理期待其實現？或是經過當事人繼續施以主觀努力後，該要件有實現可能性？等等，都是吾人個案判斷上所不能忽</w:t>
      </w:r>
      <w:r>
        <w:rPr>
          <w:rFonts w:ascii="新細明體" w:hAnsi="新細明體" w:cs="新細明體"/>
          <w:kern w:val="0"/>
        </w:rPr>
        <w:t>視之考量因素</w:t>
      </w:r>
      <w:r>
        <w:rPr>
          <w:rFonts w:ascii="新細明體" w:hAnsi="新細明體" w:cs="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ascii="新細明體" w:eastAsia="細明體" w:hAnsi="新細明體" w:cs="新細明體" w:hint="eastAsia"/>
          <w:kern w:val="0"/>
        </w:rPr>
        <w:t xml:space="preserve">    </w:t>
      </w:r>
      <w:r>
        <w:rPr>
          <w:rFonts w:hAnsi="新細明體"/>
          <w:kern w:val="0"/>
        </w:rPr>
        <w:t>筆者認為，釋字第</w:t>
      </w:r>
      <w:r>
        <w:rPr>
          <w:kern w:val="0"/>
        </w:rPr>
        <w:t>574</w:t>
      </w:r>
      <w:r>
        <w:rPr>
          <w:rFonts w:hAnsi="新細明體"/>
          <w:kern w:val="0"/>
        </w:rPr>
        <w:t>號解釋最重要的意義在於：相較於先前三號解釋，本號解釋</w:t>
      </w:r>
      <w:r>
        <w:rPr>
          <w:rFonts w:eastAsia="標楷體" w:hAnsi="標楷體"/>
          <w:b/>
          <w:kern w:val="0"/>
        </w:rPr>
        <w:t>就法規範變更與信賴保護原則的關係</w:t>
      </w:r>
      <w:r>
        <w:rPr>
          <w:rFonts w:hAnsi="新細明體"/>
          <w:b/>
          <w:kern w:val="0"/>
        </w:rPr>
        <w:t>，</w:t>
      </w:r>
      <w:r>
        <w:rPr>
          <w:rFonts w:hAnsi="新細明體"/>
          <w:kern w:val="0"/>
        </w:rPr>
        <w:t>正確地</w:t>
      </w:r>
      <w:r>
        <w:rPr>
          <w:rFonts w:eastAsia="標楷體" w:hAnsi="標楷體"/>
          <w:b/>
          <w:kern w:val="0"/>
        </w:rPr>
        <w:t>不再片面強調後者</w:t>
      </w:r>
      <w:r>
        <w:rPr>
          <w:rFonts w:hAnsi="新細明體"/>
          <w:kern w:val="0"/>
        </w:rPr>
        <w:t>，毋寧</w:t>
      </w:r>
      <w:r>
        <w:rPr>
          <w:rFonts w:eastAsia="標楷體" w:hAnsi="標楷體"/>
          <w:b/>
          <w:kern w:val="0"/>
        </w:rPr>
        <w:t>同時指出立法者應享有之自由形成空間</w:t>
      </w:r>
      <w:r>
        <w:rPr>
          <w:rFonts w:hAnsi="新細明體"/>
          <w:kern w:val="0"/>
        </w:rPr>
        <w:t>。具體而言，僅於「人民依該修正前法律已取得之權益及因此所生之合理信賴，因該法律修正而向將來受不利影響者」，立法者始有制定過渡條款或採取其他合理</w:t>
      </w:r>
      <w:r>
        <w:rPr>
          <w:rFonts w:hAnsi="新細明體"/>
          <w:kern w:val="0"/>
        </w:rPr>
        <w:t>之補救措施的義務。然而，應</w:t>
      </w:r>
      <w:r>
        <w:rPr>
          <w:rFonts w:eastAsia="標楷體" w:hAnsi="標楷體"/>
          <w:b/>
          <w:kern w:val="0"/>
        </w:rPr>
        <w:t>如何劃定「人民依該修正前法律已取得之權益及因此所生之合理信賴」的範圍</w:t>
      </w:r>
      <w:r>
        <w:rPr>
          <w:rFonts w:hAnsi="新細明體"/>
          <w:kern w:val="0"/>
        </w:rPr>
        <w:t>？就此，本號解釋並未提供進一步的認定標準。本號解釋另一值得留意之點在於，</w:t>
      </w:r>
      <w:r>
        <w:rPr>
          <w:rFonts w:eastAsia="標楷體" w:hAnsi="標楷體"/>
          <w:b/>
          <w:kern w:val="0"/>
        </w:rPr>
        <w:t>信賴保護原則</w:t>
      </w:r>
      <w:r>
        <w:rPr>
          <w:rFonts w:eastAsia="標楷體" w:hAnsi="標楷體"/>
          <w:b/>
          <w:kern w:val="0"/>
        </w:rPr>
        <w:lastRenderedPageBreak/>
        <w:t>之法理基礎的悄然變遷</w:t>
      </w:r>
      <w:r>
        <w:rPr>
          <w:rFonts w:hAnsi="新細明體"/>
          <w:kern w:val="0"/>
        </w:rPr>
        <w:t>。相</w:t>
      </w:r>
      <w:proofErr w:type="gramStart"/>
      <w:r>
        <w:rPr>
          <w:rFonts w:hAnsi="新細明體"/>
          <w:kern w:val="0"/>
        </w:rPr>
        <w:t>較於釋字</w:t>
      </w:r>
      <w:proofErr w:type="gramEnd"/>
      <w:r>
        <w:rPr>
          <w:rFonts w:hAnsi="新細明體"/>
          <w:kern w:val="0"/>
        </w:rPr>
        <w:t>第</w:t>
      </w:r>
      <w:r>
        <w:rPr>
          <w:kern w:val="0"/>
        </w:rPr>
        <w:t>525</w:t>
      </w:r>
      <w:r>
        <w:rPr>
          <w:rFonts w:hAnsi="新細明體"/>
          <w:kern w:val="0"/>
        </w:rPr>
        <w:t>號解釋地將信賴保護原則概括地訴諸</w:t>
      </w:r>
      <w:proofErr w:type="gramStart"/>
      <w:r>
        <w:rPr>
          <w:kern w:val="0"/>
        </w:rPr>
        <w:t>―</w:t>
      </w:r>
      <w:proofErr w:type="gramEnd"/>
      <w:r>
        <w:rPr>
          <w:rFonts w:hAnsi="新細明體"/>
          <w:kern w:val="0"/>
        </w:rPr>
        <w:t>作為法治國原則之子原則的</w:t>
      </w:r>
      <w:proofErr w:type="gramStart"/>
      <w:r>
        <w:rPr>
          <w:kern w:val="0"/>
        </w:rPr>
        <w:t>―</w:t>
      </w:r>
      <w:proofErr w:type="gramEnd"/>
      <w:r>
        <w:rPr>
          <w:rFonts w:hAnsi="新細明體"/>
          <w:kern w:val="0"/>
        </w:rPr>
        <w:t>「人民權利之維護、法秩序之安定及誠實信用原則」，本號解釋</w:t>
      </w:r>
      <w:proofErr w:type="gramStart"/>
      <w:r>
        <w:rPr>
          <w:rFonts w:hAnsi="新細明體"/>
          <w:kern w:val="0"/>
        </w:rPr>
        <w:t>逕</w:t>
      </w:r>
      <w:proofErr w:type="gramEnd"/>
      <w:r>
        <w:rPr>
          <w:rFonts w:hAnsi="新細明體"/>
          <w:kern w:val="0"/>
        </w:rPr>
        <w:t>以信賴保護原則為法治國原則的子原則，且將之與「人民權利之維護、法秩序之安定」的要求並列。此種轉變之意義為何？大法官並未加以說明。許玉秀大法官於其部分協同意見書中指出，「釋字第五</w:t>
      </w:r>
      <w:r>
        <w:rPr>
          <w:rFonts w:hAnsi="新細明體"/>
          <w:kern w:val="0"/>
        </w:rPr>
        <w:t>二五號解釋提及的誠實信用原則，則導源於契約論，是締結契約的前提要件，國民賦予國家權力的前提是國家會誠實守信，因此在德國基本法第二十條的架構下，誠實信用原則應該屬於民主原則而不是法治國原則的範疇」</w:t>
      </w:r>
      <w:r>
        <w:rPr>
          <w:rFonts w:hAnsi="新細明體" w:hint="eastAsia"/>
          <w:kern w:val="0"/>
        </w:rPr>
        <w:t>；然而，多數大法官是否確實因此考量而捨棄以誠實信用原則為論述基礎，仍不明瞭。</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hAnsi="新細明體" w:hint="eastAsia"/>
          <w:kern w:val="0"/>
        </w:rPr>
        <w:t xml:space="preserve">    </w:t>
      </w:r>
      <w:r>
        <w:rPr>
          <w:rFonts w:ascii="新細明體" w:hAnsi="新細明體" w:hint="eastAsia"/>
          <w:kern w:val="0"/>
        </w:rPr>
        <w:t>許玉秀大法官的部分協同意見書雖然嘗試</w:t>
      </w:r>
      <w:proofErr w:type="gramStart"/>
      <w:r>
        <w:rPr>
          <w:rFonts w:ascii="新細明體" w:hAnsi="新細明體" w:hint="eastAsia"/>
          <w:kern w:val="0"/>
        </w:rPr>
        <w:t>釐</w:t>
      </w:r>
      <w:proofErr w:type="gramEnd"/>
      <w:r>
        <w:rPr>
          <w:rFonts w:ascii="新細明體" w:hAnsi="新細明體" w:hint="eastAsia"/>
          <w:kern w:val="0"/>
        </w:rPr>
        <w:t>清</w:t>
      </w:r>
      <w:r>
        <w:rPr>
          <w:rFonts w:ascii="新細明體" w:hAnsi="新細明體" w:cs="新細明體" w:hint="eastAsia"/>
          <w:kern w:val="0"/>
        </w:rPr>
        <w:t>「</w:t>
      </w:r>
      <w:r>
        <w:rPr>
          <w:rFonts w:ascii="標楷體" w:eastAsia="標楷體" w:hAnsi="標楷體" w:cs="新細明體" w:hint="eastAsia"/>
          <w:b/>
          <w:kern w:val="0"/>
        </w:rPr>
        <w:t>法律</w:t>
      </w:r>
      <w:proofErr w:type="gramStart"/>
      <w:r>
        <w:rPr>
          <w:rFonts w:ascii="標楷體" w:eastAsia="標楷體" w:hAnsi="標楷體" w:cs="新細明體" w:hint="eastAsia"/>
          <w:b/>
          <w:kern w:val="0"/>
        </w:rPr>
        <w:t>不</w:t>
      </w:r>
      <w:proofErr w:type="gramEnd"/>
      <w:r>
        <w:rPr>
          <w:rFonts w:ascii="標楷體" w:eastAsia="標楷體" w:hAnsi="標楷體" w:cs="新細明體" w:hint="eastAsia"/>
          <w:b/>
          <w:kern w:val="0"/>
        </w:rPr>
        <w:t>溯既往、信賴保護與法安定性三項原則之間的關係</w:t>
      </w:r>
      <w:r>
        <w:rPr>
          <w:rFonts w:ascii="新細明體" w:hAnsi="新細明體" w:cs="新細明體" w:hint="eastAsia"/>
          <w:kern w:val="0"/>
        </w:rPr>
        <w:t>」，惟其結論令人難解，已如前述；就此，似應與信賴保護原則之法理基礎究竟何在的問題一併檢討。</w:t>
      </w:r>
      <w:proofErr w:type="gramStart"/>
      <w:r>
        <w:rPr>
          <w:rFonts w:ascii="新細明體" w:hAnsi="新細明體" w:cs="新細明體" w:hint="eastAsia"/>
          <w:kern w:val="0"/>
        </w:rPr>
        <w:t>蓋許大法官</w:t>
      </w:r>
      <w:proofErr w:type="gramEnd"/>
      <w:r>
        <w:rPr>
          <w:rFonts w:ascii="新細明體" w:hAnsi="新細明體" w:cs="新細明體" w:hint="eastAsia"/>
          <w:kern w:val="0"/>
        </w:rPr>
        <w:t>原本就是有</w:t>
      </w:r>
      <w:proofErr w:type="gramStart"/>
      <w:r>
        <w:rPr>
          <w:rFonts w:ascii="新細明體" w:hAnsi="新細明體" w:cs="新細明體" w:hint="eastAsia"/>
          <w:kern w:val="0"/>
        </w:rPr>
        <w:t>鑑</w:t>
      </w:r>
      <w:proofErr w:type="gramEnd"/>
      <w:r>
        <w:rPr>
          <w:rFonts w:ascii="新細明體" w:hAnsi="新細明體" w:cs="新細明體" w:hint="eastAsia"/>
          <w:kern w:val="0"/>
        </w:rPr>
        <w:t>於大法官先前之解釋以此等原</w:t>
      </w:r>
      <w:r>
        <w:rPr>
          <w:rFonts w:ascii="新細明體" w:hAnsi="新細明體" w:cs="新細明體" w:hint="eastAsia"/>
          <w:kern w:val="0"/>
        </w:rPr>
        <w:t>則為信賴保護之論述基礎，期待強化此等論述方式而為前揭嘗試。</w:t>
      </w:r>
      <w:proofErr w:type="gramStart"/>
      <w:r>
        <w:rPr>
          <w:rFonts w:ascii="新細明體" w:hAnsi="新細明體" w:cs="新細明體" w:hint="eastAsia"/>
          <w:kern w:val="0"/>
        </w:rPr>
        <w:t>此外，有鑑</w:t>
      </w:r>
      <w:proofErr w:type="gramEnd"/>
      <w:r>
        <w:rPr>
          <w:rFonts w:ascii="新細明體" w:hAnsi="新細明體" w:cs="新細明體" w:hint="eastAsia"/>
          <w:kern w:val="0"/>
        </w:rPr>
        <w:t>於本號解釋多數大法官僅曖昧地區分真正溯及既往、</w:t>
      </w:r>
      <w:proofErr w:type="gramStart"/>
      <w:r>
        <w:rPr>
          <w:rFonts w:ascii="新細明體" w:hAnsi="新細明體" w:cs="新細明體" w:hint="eastAsia"/>
          <w:kern w:val="0"/>
        </w:rPr>
        <w:t>不</w:t>
      </w:r>
      <w:proofErr w:type="gramEnd"/>
      <w:r>
        <w:rPr>
          <w:rFonts w:ascii="新細明體" w:hAnsi="新細明體" w:cs="新細明體" w:hint="eastAsia"/>
          <w:kern w:val="0"/>
        </w:rPr>
        <w:t>真正溯及既往（「</w:t>
      </w:r>
      <w:r>
        <w:rPr>
          <w:rFonts w:ascii="新細明體" w:hAnsi="新細明體" w:cs="細明體"/>
          <w:kern w:val="0"/>
        </w:rPr>
        <w:t>溯及適用之特別規定</w:t>
      </w:r>
      <w:r>
        <w:rPr>
          <w:rFonts w:ascii="新細明體" w:hAnsi="新細明體" w:cs="新細明體" w:hint="eastAsia"/>
          <w:kern w:val="0"/>
        </w:rPr>
        <w:t>」、「</w:t>
      </w:r>
      <w:r>
        <w:rPr>
          <w:rFonts w:ascii="新細明體" w:hAnsi="新細明體" w:cs="細明體"/>
          <w:kern w:val="0"/>
        </w:rPr>
        <w:t>雖無溯及效力，而係適用於新法生效後始完全實現之構成要件事實，然對人民依舊法所建立之生活秩序，仍難免發生影響</w:t>
      </w:r>
      <w:r>
        <w:rPr>
          <w:rFonts w:ascii="新細明體" w:hAnsi="新細明體" w:cs="新細明體" w:hint="eastAsia"/>
          <w:kern w:val="0"/>
        </w:rPr>
        <w:t>」），許大法官粗略地引</w:t>
      </w:r>
      <w:proofErr w:type="gramStart"/>
      <w:r>
        <w:rPr>
          <w:rFonts w:ascii="新細明體" w:hAnsi="新細明體" w:cs="新細明體" w:hint="eastAsia"/>
          <w:kern w:val="0"/>
        </w:rPr>
        <w:t>介</w:t>
      </w:r>
      <w:proofErr w:type="gramEnd"/>
      <w:r>
        <w:rPr>
          <w:rFonts w:ascii="新細明體" w:hAnsi="新細明體" w:cs="新細明體" w:hint="eastAsia"/>
          <w:kern w:val="0"/>
        </w:rPr>
        <w:t>了</w:t>
      </w:r>
      <w:r>
        <w:rPr>
          <w:rFonts w:ascii="標楷體" w:eastAsia="標楷體" w:hAnsi="標楷體" w:cs="新細明體" w:hint="eastAsia"/>
          <w:b/>
          <w:kern w:val="0"/>
        </w:rPr>
        <w:t>德國學理上關於法律</w:t>
      </w:r>
      <w:proofErr w:type="gramStart"/>
      <w:r>
        <w:rPr>
          <w:rFonts w:ascii="標楷體" w:eastAsia="標楷體" w:hAnsi="標楷體" w:cs="新細明體" w:hint="eastAsia"/>
          <w:b/>
          <w:kern w:val="0"/>
        </w:rPr>
        <w:t>不</w:t>
      </w:r>
      <w:proofErr w:type="gramEnd"/>
      <w:r>
        <w:rPr>
          <w:rFonts w:ascii="標楷體" w:eastAsia="標楷體" w:hAnsi="標楷體" w:cs="新細明體" w:hint="eastAsia"/>
          <w:b/>
          <w:kern w:val="0"/>
        </w:rPr>
        <w:t>溯及既往的論述</w:t>
      </w:r>
      <w:r>
        <w:rPr>
          <w:rFonts w:ascii="新細明體" w:hAnsi="新細明體" w:cs="新細明體" w:hint="eastAsia"/>
          <w:kern w:val="0"/>
        </w:rPr>
        <w:t>；其意圖提供多數意見較為堅實之理論基礎的用心，誠可肯定，惟</w:t>
      </w:r>
      <w:proofErr w:type="gramStart"/>
      <w:r>
        <w:rPr>
          <w:rFonts w:ascii="新細明體" w:hAnsi="新細明體" w:cs="新細明體" w:hint="eastAsia"/>
          <w:kern w:val="0"/>
        </w:rPr>
        <w:t>囿</w:t>
      </w:r>
      <w:proofErr w:type="gramEnd"/>
      <w:r>
        <w:rPr>
          <w:rFonts w:ascii="新細明體" w:hAnsi="新細明體" w:cs="新細明體" w:hint="eastAsia"/>
          <w:kern w:val="0"/>
        </w:rPr>
        <w:t>於「部分協同意見書」的形式，其說理自難期詳盡，為更清晰掌握相關劃分與劃分之意義，自</w:t>
      </w:r>
      <w:r>
        <w:rPr>
          <w:rFonts w:ascii="標楷體" w:eastAsia="標楷體" w:hAnsi="標楷體" w:cs="新細明體" w:hint="eastAsia"/>
          <w:b/>
          <w:kern w:val="0"/>
        </w:rPr>
        <w:t>尚須作進一步的申論</w:t>
      </w:r>
      <w:r>
        <w:rPr>
          <w:rFonts w:ascii="新細明體" w:eastAsia="細明體" w:hAnsi="新細明體" w:cs="新細明體" w:hint="eastAsia"/>
          <w:kern w:val="0"/>
        </w:rPr>
        <w:t>。許宗力大法官之基本出發點</w:t>
      </w:r>
      <w:proofErr w:type="gramStart"/>
      <w:r>
        <w:rPr>
          <w:rFonts w:ascii="細明體" w:eastAsia="細明體" w:hAnsi="細明體" w:cs="新細明體" w:hint="eastAsia"/>
          <w:kern w:val="0"/>
        </w:rPr>
        <w:t>―</w:t>
      </w:r>
      <w:proofErr w:type="gramEnd"/>
      <w:r>
        <w:rPr>
          <w:rFonts w:ascii="新細明體" w:hAnsi="新細明體" w:cs="細明體" w:hint="eastAsia"/>
          <w:kern w:val="0"/>
        </w:rPr>
        <w:t>行</w:t>
      </w:r>
      <w:r>
        <w:rPr>
          <w:rFonts w:ascii="新細明體" w:hAnsi="新細明體" w:cs="細明體" w:hint="eastAsia"/>
          <w:kern w:val="0"/>
        </w:rPr>
        <w:t>政法規修正</w:t>
      </w:r>
      <w:proofErr w:type="gramStart"/>
      <w:r>
        <w:rPr>
          <w:rFonts w:ascii="新細明體" w:hAnsi="新細明體" w:cs="細明體" w:hint="eastAsia"/>
          <w:kern w:val="0"/>
        </w:rPr>
        <w:t>原則上均有信賴</w:t>
      </w:r>
      <w:proofErr w:type="gramEnd"/>
      <w:r>
        <w:rPr>
          <w:rFonts w:ascii="新細明體" w:hAnsi="新細明體" w:cs="細明體" w:hint="eastAsia"/>
          <w:kern w:val="0"/>
        </w:rPr>
        <w:t>保護原則之適用，其不無可疑已如前述外，其</w:t>
      </w:r>
      <w:r>
        <w:rPr>
          <w:rFonts w:ascii="標楷體" w:eastAsia="標楷體" w:hAnsi="標楷體" w:cs="細明體" w:hint="eastAsia"/>
          <w:b/>
          <w:kern w:val="0"/>
        </w:rPr>
        <w:t>以「既得權」與「期待權」</w:t>
      </w:r>
      <w:proofErr w:type="gramStart"/>
      <w:r>
        <w:rPr>
          <w:rFonts w:ascii="標楷體" w:eastAsia="標楷體" w:hAnsi="標楷體" w:cs="細明體" w:hint="eastAsia"/>
          <w:b/>
          <w:kern w:val="0"/>
        </w:rPr>
        <w:t>之存否作為</w:t>
      </w:r>
      <w:proofErr w:type="gramEnd"/>
      <w:r>
        <w:rPr>
          <w:rFonts w:ascii="標楷體" w:eastAsia="標楷體" w:hAnsi="標楷體" w:cs="細明體" w:hint="eastAsia"/>
          <w:b/>
          <w:kern w:val="0"/>
        </w:rPr>
        <w:t>信賴是否值得保護之認定標準的作法，亦不無可疑</w:t>
      </w:r>
      <w:r>
        <w:rPr>
          <w:rFonts w:ascii="新細明體" w:hAnsi="新細明體" w:cs="細明體" w:hint="eastAsia"/>
          <w:kern w:val="0"/>
        </w:rPr>
        <w:t>。蓋其一方面並未論述，以源自民事法之「既得權」、「期待權」等制度作為判定立法者有規定過渡條款、採取補救措施之義務的判</w:t>
      </w:r>
      <w:proofErr w:type="gramStart"/>
      <w:r>
        <w:rPr>
          <w:rFonts w:ascii="新細明體" w:hAnsi="新細明體" w:cs="細明體" w:hint="eastAsia"/>
          <w:kern w:val="0"/>
        </w:rPr>
        <w:t>準</w:t>
      </w:r>
      <w:proofErr w:type="gramEnd"/>
      <w:r>
        <w:rPr>
          <w:rFonts w:ascii="新細明體" w:hAnsi="新細明體" w:cs="細明體" w:hint="eastAsia"/>
          <w:kern w:val="0"/>
        </w:rPr>
        <w:t>，其憲法基礎何在？</w:t>
      </w:r>
      <w:proofErr w:type="gramStart"/>
      <w:r>
        <w:rPr>
          <w:rFonts w:ascii="新細明體" w:hAnsi="新細明體" w:cs="細明體" w:hint="eastAsia"/>
          <w:kern w:val="0"/>
        </w:rPr>
        <w:t>此外，</w:t>
      </w:r>
      <w:proofErr w:type="gramEnd"/>
      <w:r>
        <w:rPr>
          <w:rFonts w:ascii="新細明體" w:hAnsi="新細明體" w:cs="細明體" w:hint="eastAsia"/>
          <w:kern w:val="0"/>
        </w:rPr>
        <w:t>此一論述方式，似片面強調人民對既存法秩序的信賴，而未慮及立法者配合時代發展的自由形成空間。</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四、釋字第五七五號解釋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本號解釋的重要意義在於：其</w:t>
      </w:r>
      <w:r>
        <w:rPr>
          <w:rFonts w:ascii="標楷體" w:eastAsia="標楷體" w:hAnsi="標楷體" w:cs="細明體" w:hint="eastAsia"/>
          <w:b/>
          <w:kern w:val="0"/>
        </w:rPr>
        <w:t>並未訴諸抽象的信賴保護原則，毋寧係以基本權保障作為論述基</w:t>
      </w:r>
      <w:r>
        <w:rPr>
          <w:rFonts w:ascii="標楷體" w:eastAsia="標楷體" w:hAnsi="標楷體" w:cs="細明體" w:hint="eastAsia"/>
          <w:b/>
          <w:kern w:val="0"/>
        </w:rPr>
        <w:t>礎</w:t>
      </w:r>
      <w:r>
        <w:rPr>
          <w:rFonts w:ascii="新細明體" w:hAnsi="新細明體" w:cs="細明體" w:hint="eastAsia"/>
          <w:kern w:val="0"/>
        </w:rPr>
        <w:t>：「</w:t>
      </w:r>
      <w:r>
        <w:rPr>
          <w:rFonts w:ascii="新細明體" w:hAnsi="新細明體" w:cs="細明體"/>
          <w:kern w:val="0"/>
        </w:rPr>
        <w:t>憲法第十八條規定人民有服公職之權利，旨在保障人民有依法令從事於公務，暨由此衍生享有之身分保障、俸給與退休金等權利。</w:t>
      </w:r>
      <w:r>
        <w:rPr>
          <w:rFonts w:ascii="新細明體" w:hAnsi="新細明體" w:cs="細明體"/>
          <w:kern w:val="0"/>
          <w:u w:val="single"/>
        </w:rPr>
        <w:t>機關因改組、解散或</w:t>
      </w:r>
      <w:proofErr w:type="gramStart"/>
      <w:r>
        <w:rPr>
          <w:rFonts w:ascii="新細明體" w:hAnsi="新細明體" w:cs="細明體"/>
          <w:kern w:val="0"/>
          <w:u w:val="single"/>
        </w:rPr>
        <w:t>改隸致對</w:t>
      </w:r>
      <w:proofErr w:type="gramEnd"/>
      <w:r>
        <w:rPr>
          <w:rFonts w:ascii="新細明體" w:hAnsi="新細明體" w:cs="細明體"/>
          <w:kern w:val="0"/>
          <w:u w:val="single"/>
        </w:rPr>
        <w:t>公務人員之憲法所保障服公職之權利產生重大不利影響，應設適度過渡條款或其他緩和措施</w:t>
      </w:r>
      <w:r>
        <w:rPr>
          <w:rFonts w:ascii="新細明體" w:hAnsi="新細明體" w:cs="細明體"/>
          <w:kern w:val="0"/>
        </w:rPr>
        <w:t>，以資兼顧</w:t>
      </w:r>
      <w:r>
        <w:rPr>
          <w:rFonts w:ascii="新細明體" w:hAnsi="新細明體" w:cs="細明體" w:hint="eastAsia"/>
          <w:kern w:val="0"/>
        </w:rPr>
        <w:t>」。</w:t>
      </w:r>
      <w:r>
        <w:rPr>
          <w:rFonts w:ascii="標楷體" w:eastAsia="標楷體" w:hAnsi="標楷體" w:cs="細明體" w:hint="eastAsia"/>
          <w:b/>
          <w:kern w:val="0"/>
        </w:rPr>
        <w:t>因以基本權的保障為論據，限制此基本權之公權力措施的合憲性即取決於比例原則</w:t>
      </w:r>
      <w:r>
        <w:rPr>
          <w:rFonts w:ascii="新細明體" w:hAnsi="新細明體" w:cs="細明體" w:hint="eastAsia"/>
          <w:kern w:val="0"/>
        </w:rPr>
        <w:t>：「</w:t>
      </w:r>
      <w:r>
        <w:rPr>
          <w:rFonts w:ascii="新細明體" w:hAnsi="新細明體" w:cs="細明體"/>
          <w:kern w:val="0"/>
        </w:rPr>
        <w:t>中華民國六十二年七月十七日修正公布之戶籍法第七條第二項規定：</w:t>
      </w:r>
      <w:r>
        <w:rPr>
          <w:rFonts w:ascii="新細明體" w:hAnsi="新細明體" w:cs="細明體" w:hint="eastAsia"/>
          <w:kern w:val="0"/>
        </w:rPr>
        <w:t>『</w:t>
      </w:r>
      <w:r>
        <w:rPr>
          <w:rFonts w:ascii="新細明體" w:hAnsi="新細明體" w:cs="細明體"/>
          <w:kern w:val="0"/>
        </w:rPr>
        <w:t>動員戡亂時期，戶政事務所得經行政院核准，隸屬直轄市、縣警察機關；其辦法由行政院定之。</w:t>
      </w:r>
      <w:r>
        <w:rPr>
          <w:rFonts w:ascii="新細明體" w:hAnsi="新細明體" w:cs="細明體" w:hint="eastAsia"/>
          <w:kern w:val="0"/>
        </w:rPr>
        <w:t>』</w:t>
      </w:r>
      <w:r>
        <w:rPr>
          <w:rFonts w:ascii="新細明體" w:hAnsi="新細明體" w:cs="細明體"/>
          <w:kern w:val="0"/>
        </w:rPr>
        <w:t>為因應動員戡亂時期之終止，</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修正公布之戶籍法第</w:t>
      </w:r>
      <w:r>
        <w:rPr>
          <w:rFonts w:ascii="新細明體" w:hAnsi="新細明體" w:cs="細明體"/>
          <w:kern w:val="0"/>
        </w:rPr>
        <w:t>七條將上開規定刪除，並修正同條第一項及該法施行細則第三條，回復戶警分立制度，乃配合國家憲政秩序回歸正常體制所為機關組織之調整。戶政單位回歸民政系統後，戶政人員之任用，自應依公務人員任用法、各戶政單位員額編制表及相關人事法令規定為之。原辦理戶政業務之警察人員，其不具一般公務人員資格者，即不得留任，顯已對該等人員服公職權利產生重大不利影響。為謀緩和，內政部</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實施之</w:t>
      </w:r>
      <w:r>
        <w:rPr>
          <w:rFonts w:ascii="新細明體" w:hAnsi="新細明體" w:cs="細明體" w:hint="eastAsia"/>
          <w:kern w:val="0"/>
        </w:rPr>
        <w:t>『</w:t>
      </w:r>
      <w:r>
        <w:rPr>
          <w:rFonts w:ascii="新細明體" w:hAnsi="新細明體" w:cs="細明體"/>
          <w:kern w:val="0"/>
        </w:rPr>
        <w:t>戶警分立實施方案</w:t>
      </w:r>
      <w:r>
        <w:rPr>
          <w:rFonts w:ascii="新細明體" w:hAnsi="新細明體" w:cs="細明體" w:hint="eastAsia"/>
          <w:kern w:val="0"/>
        </w:rPr>
        <w:t>』</w:t>
      </w:r>
      <w:r>
        <w:rPr>
          <w:rFonts w:ascii="新細明體" w:hAnsi="新細明體" w:cs="細明體"/>
          <w:kern w:val="0"/>
        </w:rPr>
        <w:t>，使原辦理戶政業務之警政人員或可於五年內留任原職或回任警職；或可不受考試資格限制而</w:t>
      </w:r>
      <w:proofErr w:type="gramStart"/>
      <w:r>
        <w:rPr>
          <w:rFonts w:ascii="新細明體" w:hAnsi="新細明體" w:cs="細明體"/>
          <w:kern w:val="0"/>
        </w:rPr>
        <w:t>換敘轉</w:t>
      </w:r>
      <w:proofErr w:type="gramEnd"/>
      <w:r>
        <w:rPr>
          <w:rFonts w:ascii="新細明體" w:hAnsi="新細明體" w:cs="細明體"/>
          <w:kern w:val="0"/>
        </w:rPr>
        <w:t>任為一般公務人員，已充分考量當事人之意願</w:t>
      </w:r>
      <w:r>
        <w:rPr>
          <w:rFonts w:ascii="新細明體" w:hAnsi="新細明體" w:cs="細明體"/>
          <w:kern w:val="0"/>
        </w:rPr>
        <w:t>、權益及重新調整其工作環境所必要之期限，應認國家已選擇對相關公務員之權利限制最少、亦不至於耗費過度行政成本之方式以實現戶警分立。</w:t>
      </w:r>
      <w:r>
        <w:rPr>
          <w:rFonts w:ascii="新細明體" w:hAnsi="新細明體" w:cs="細明體"/>
          <w:kern w:val="0"/>
          <w:u w:val="single"/>
        </w:rPr>
        <w:t>當事人就職缺之期待，縱不能盡如其意，相對於回復戶警分立制度之重要性與必要性，其所受之不利影響，或屬輕微，或為尊重當事人個人意願之結果，並未逾越期待可能性之範圍，與法治國家比例原則之要求，尚屬相符</w:t>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新細明體" w:hAnsi="新細明體" w:cs="細明體" w:hint="eastAsia"/>
          <w:kern w:val="0"/>
        </w:rPr>
        <w:t xml:space="preserve">    </w:t>
      </w:r>
      <w:r>
        <w:rPr>
          <w:rFonts w:ascii="新細明體" w:hAnsi="新細明體" w:cs="細明體" w:hint="eastAsia"/>
          <w:kern w:val="0"/>
        </w:rPr>
        <w:t>釋字第</w:t>
      </w:r>
      <w:r>
        <w:rPr>
          <w:kern w:val="0"/>
        </w:rPr>
        <w:t>575</w:t>
      </w:r>
      <w:r>
        <w:rPr>
          <w:rFonts w:ascii="新細明體" w:hAnsi="新細明體" w:cs="細明體" w:hint="eastAsia"/>
          <w:kern w:val="0"/>
        </w:rPr>
        <w:t>號解釋的重要意義既然</w:t>
      </w:r>
      <w:proofErr w:type="gramStart"/>
      <w:r>
        <w:rPr>
          <w:rFonts w:ascii="新細明體" w:hAnsi="新細明體" w:cs="細明體" w:hint="eastAsia"/>
          <w:kern w:val="0"/>
        </w:rPr>
        <w:t>―</w:t>
      </w:r>
      <w:proofErr w:type="gramEnd"/>
      <w:r>
        <w:rPr>
          <w:rFonts w:ascii="新細明體" w:hAnsi="新細明體" w:cs="細明體" w:hint="eastAsia"/>
          <w:kern w:val="0"/>
        </w:rPr>
        <w:t>如前所述地</w:t>
      </w:r>
      <w:proofErr w:type="gramStart"/>
      <w:r>
        <w:rPr>
          <w:rFonts w:ascii="新細明體" w:hAnsi="新細明體" w:cs="細明體" w:hint="eastAsia"/>
          <w:kern w:val="0"/>
        </w:rPr>
        <w:t>―</w:t>
      </w:r>
      <w:proofErr w:type="gramEnd"/>
      <w:r>
        <w:rPr>
          <w:rFonts w:ascii="新細明體" w:hAnsi="新細明體" w:cs="細明體" w:hint="eastAsia"/>
          <w:kern w:val="0"/>
        </w:rPr>
        <w:t>在於，不訴諸信賴保護原則，而</w:t>
      </w:r>
      <w:proofErr w:type="gramStart"/>
      <w:r>
        <w:rPr>
          <w:rFonts w:ascii="新細明體" w:hAnsi="新細明體" w:cs="細明體" w:hint="eastAsia"/>
          <w:kern w:val="0"/>
        </w:rPr>
        <w:t>逕</w:t>
      </w:r>
      <w:proofErr w:type="gramEnd"/>
      <w:r>
        <w:rPr>
          <w:rFonts w:ascii="新細明體" w:hAnsi="新細明體" w:cs="細明體" w:hint="eastAsia"/>
          <w:kern w:val="0"/>
        </w:rPr>
        <w:t>以基本權的維護作為立論基礎，因此衍生的問題即係：</w:t>
      </w:r>
      <w:r>
        <w:rPr>
          <w:rFonts w:ascii="標楷體" w:eastAsia="標楷體" w:hAnsi="標楷體" w:cs="細明體" w:hint="eastAsia"/>
          <w:b/>
          <w:kern w:val="0"/>
        </w:rPr>
        <w:t>因法規範變更影響人民權益時，究應</w:t>
      </w:r>
      <w:r>
        <w:rPr>
          <w:rFonts w:ascii="標楷體" w:eastAsia="標楷體" w:hAnsi="標楷體" w:cs="細明體" w:hint="eastAsia"/>
          <w:b/>
          <w:kern w:val="0"/>
        </w:rPr>
        <w:t>以抽象的信賴保護原則，抑或以事件牽涉之相關基本權作為審查基準？二者之間的關係如何？</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五、釋字第五七七號解釋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本號解釋大體</w:t>
      </w:r>
      <w:r>
        <w:rPr>
          <w:rFonts w:ascii="標楷體" w:eastAsia="標楷體" w:hAnsi="標楷體" w:cs="細明體" w:hint="eastAsia"/>
          <w:b/>
          <w:kern w:val="0"/>
        </w:rPr>
        <w:t>依循法律</w:t>
      </w:r>
      <w:proofErr w:type="gramStart"/>
      <w:r>
        <w:rPr>
          <w:rFonts w:ascii="標楷體" w:eastAsia="標楷體" w:hAnsi="標楷體" w:cs="細明體" w:hint="eastAsia"/>
          <w:b/>
          <w:kern w:val="0"/>
        </w:rPr>
        <w:t>不</w:t>
      </w:r>
      <w:proofErr w:type="gramEnd"/>
      <w:r>
        <w:rPr>
          <w:rFonts w:ascii="標楷體" w:eastAsia="標楷體" w:hAnsi="標楷體" w:cs="細明體" w:hint="eastAsia"/>
          <w:b/>
          <w:kern w:val="0"/>
        </w:rPr>
        <w:t>溯既往原則的論述架構</w:t>
      </w:r>
      <w:r>
        <w:rPr>
          <w:rFonts w:ascii="新細明體" w:hAnsi="新細明體" w:cs="細明體" w:hint="eastAsia"/>
          <w:kern w:val="0"/>
        </w:rPr>
        <w:t>，檢討立法課予</w:t>
      </w:r>
      <w:proofErr w:type="gramStart"/>
      <w:r>
        <w:rPr>
          <w:rFonts w:ascii="新細明體" w:hAnsi="新細明體" w:cs="細明體" w:hint="eastAsia"/>
          <w:kern w:val="0"/>
        </w:rPr>
        <w:t>菸</w:t>
      </w:r>
      <w:proofErr w:type="gramEnd"/>
      <w:r>
        <w:rPr>
          <w:rFonts w:ascii="新細明體" w:hAnsi="新細明體" w:cs="細明體" w:hint="eastAsia"/>
          <w:kern w:val="0"/>
        </w:rPr>
        <w:t>品標示義務時，立法者應如何兼顧受規範者之權益：「</w:t>
      </w:r>
      <w:r>
        <w:rPr>
          <w:rFonts w:ascii="新細明體" w:hAnsi="新細明體" w:cs="細明體"/>
          <w:kern w:val="0"/>
          <w:u w:val="single"/>
        </w:rPr>
        <w:t>新訂生效之法規，對於法規生效前</w:t>
      </w:r>
      <w:r>
        <w:rPr>
          <w:rFonts w:ascii="新細明體" w:hAnsi="新細明體" w:cs="細明體" w:hint="eastAsia"/>
          <w:kern w:val="0"/>
          <w:u w:val="single"/>
        </w:rPr>
        <w:t>『</w:t>
      </w:r>
      <w:r>
        <w:rPr>
          <w:rFonts w:ascii="新細明體" w:hAnsi="新細明體" w:cs="細明體"/>
          <w:kern w:val="0"/>
          <w:u w:val="single"/>
        </w:rPr>
        <w:t>已發生事件</w:t>
      </w:r>
      <w:r>
        <w:rPr>
          <w:rFonts w:ascii="新細明體" w:hAnsi="新細明體" w:cs="細明體" w:hint="eastAsia"/>
          <w:kern w:val="0"/>
          <w:u w:val="single"/>
        </w:rPr>
        <w:t>』</w:t>
      </w:r>
      <w:r>
        <w:rPr>
          <w:rFonts w:ascii="新細明體" w:hAnsi="新細明體" w:cs="細明體"/>
          <w:kern w:val="0"/>
          <w:u w:val="single"/>
        </w:rPr>
        <w:t>，原則上不得適用，是謂法律適用上之</w:t>
      </w:r>
      <w:proofErr w:type="gramStart"/>
      <w:r>
        <w:rPr>
          <w:rFonts w:ascii="新細明體" w:hAnsi="新細明體" w:cs="細明體"/>
          <w:kern w:val="0"/>
          <w:u w:val="single"/>
        </w:rPr>
        <w:t>不</w:t>
      </w:r>
      <w:proofErr w:type="gramEnd"/>
      <w:r>
        <w:rPr>
          <w:rFonts w:ascii="新細明體" w:hAnsi="新細明體" w:cs="細明體"/>
          <w:kern w:val="0"/>
          <w:u w:val="single"/>
        </w:rPr>
        <w:t>溯既往原則</w:t>
      </w:r>
      <w:r>
        <w:rPr>
          <w:rFonts w:ascii="新細明體" w:hAnsi="新細明體" w:cs="細明體"/>
          <w:kern w:val="0"/>
        </w:rPr>
        <w:t>。所謂</w:t>
      </w:r>
      <w:r>
        <w:rPr>
          <w:rFonts w:ascii="新細明體" w:hAnsi="新細明體" w:cs="細明體" w:hint="eastAsia"/>
          <w:kern w:val="0"/>
        </w:rPr>
        <w:t>『</w:t>
      </w:r>
      <w:r>
        <w:rPr>
          <w:rFonts w:ascii="新細明體" w:hAnsi="新細明體" w:cs="細明體"/>
          <w:kern w:val="0"/>
        </w:rPr>
        <w:t>事件</w:t>
      </w:r>
      <w:r>
        <w:rPr>
          <w:rFonts w:ascii="新細明體" w:hAnsi="新細明體" w:cs="細明體" w:hint="eastAsia"/>
          <w:kern w:val="0"/>
        </w:rPr>
        <w:t>』</w:t>
      </w:r>
      <w:r>
        <w:rPr>
          <w:rFonts w:ascii="新細明體" w:hAnsi="新細明體" w:cs="細明體"/>
          <w:kern w:val="0"/>
        </w:rPr>
        <w:t>，指符合特定法規構成要件之全部法律事實；所謂</w:t>
      </w:r>
      <w:r>
        <w:rPr>
          <w:rFonts w:ascii="新細明體" w:hAnsi="新細明體" w:cs="細明體" w:hint="eastAsia"/>
          <w:kern w:val="0"/>
        </w:rPr>
        <w:t>『</w:t>
      </w:r>
      <w:r>
        <w:rPr>
          <w:rFonts w:ascii="新細明體" w:hAnsi="新細明體" w:cs="細明體"/>
          <w:kern w:val="0"/>
        </w:rPr>
        <w:t>發生</w:t>
      </w:r>
      <w:r>
        <w:rPr>
          <w:rFonts w:ascii="新細明體" w:hAnsi="新細明體" w:cs="細明體" w:hint="eastAsia"/>
          <w:kern w:val="0"/>
        </w:rPr>
        <w:t>』</w:t>
      </w:r>
      <w:r>
        <w:rPr>
          <w:rFonts w:ascii="新細明體" w:hAnsi="新細明體" w:cs="細明體"/>
          <w:kern w:val="0"/>
        </w:rPr>
        <w:t>，指該全部法律事實在現實生活中完全具體實現而言。</w:t>
      </w:r>
      <w:proofErr w:type="gramStart"/>
      <w:r>
        <w:rPr>
          <w:rFonts w:ascii="新細明體" w:hAnsi="新細明體" w:cs="細明體"/>
          <w:kern w:val="0"/>
        </w:rPr>
        <w:t>菸</w:t>
      </w:r>
      <w:proofErr w:type="gramEnd"/>
      <w:r>
        <w:rPr>
          <w:rFonts w:ascii="新細明體" w:hAnsi="新細明體" w:cs="細明體"/>
          <w:kern w:val="0"/>
        </w:rPr>
        <w:t>害防制法第八條第一項及第二十一條規定之</w:t>
      </w:r>
      <w:proofErr w:type="gramStart"/>
      <w:r>
        <w:rPr>
          <w:rFonts w:ascii="新細明體" w:hAnsi="新細明體" w:cs="細明體"/>
          <w:kern w:val="0"/>
          <w:u w:val="single"/>
        </w:rPr>
        <w:t>菸</w:t>
      </w:r>
      <w:proofErr w:type="gramEnd"/>
      <w:r>
        <w:rPr>
          <w:rFonts w:ascii="新細明體" w:hAnsi="新細明體" w:cs="細明體"/>
          <w:kern w:val="0"/>
          <w:u w:val="single"/>
        </w:rPr>
        <w:t>品標示義務及責任，僅適</w:t>
      </w:r>
      <w:r>
        <w:rPr>
          <w:rFonts w:ascii="新細明體" w:hAnsi="新細明體" w:cs="細明體"/>
          <w:kern w:val="0"/>
          <w:u w:val="single"/>
        </w:rPr>
        <w:t>用於該法公布施行後之</w:t>
      </w:r>
      <w:proofErr w:type="gramStart"/>
      <w:r>
        <w:rPr>
          <w:rFonts w:ascii="新細明體" w:hAnsi="新細明體" w:cs="細明體"/>
          <w:kern w:val="0"/>
          <w:u w:val="single"/>
        </w:rPr>
        <w:t>菸</w:t>
      </w:r>
      <w:proofErr w:type="gramEnd"/>
      <w:r>
        <w:rPr>
          <w:rFonts w:ascii="新細明體" w:hAnsi="新細明體" w:cs="細明體"/>
          <w:kern w:val="0"/>
          <w:u w:val="single"/>
        </w:rPr>
        <w:t>品標示事件</w:t>
      </w:r>
      <w:r>
        <w:rPr>
          <w:rFonts w:ascii="新細明體" w:hAnsi="新細明體" w:cs="細明體"/>
          <w:kern w:val="0"/>
        </w:rPr>
        <w:t>，並未規定</w:t>
      </w:r>
      <w:proofErr w:type="gramStart"/>
      <w:r>
        <w:rPr>
          <w:rFonts w:ascii="新細明體" w:hAnsi="新細明體" w:cs="細明體"/>
          <w:kern w:val="0"/>
        </w:rPr>
        <w:t>菸</w:t>
      </w:r>
      <w:proofErr w:type="gramEnd"/>
      <w:r>
        <w:rPr>
          <w:rFonts w:ascii="新細明體" w:hAnsi="新細明體" w:cs="細明體"/>
          <w:kern w:val="0"/>
        </w:rPr>
        <w:t>品業者於該法施行前亦有標示義務，</w:t>
      </w:r>
      <w:r>
        <w:rPr>
          <w:rFonts w:ascii="新細明體" w:hAnsi="新細明體" w:cs="細明體"/>
          <w:kern w:val="0"/>
          <w:u w:val="single"/>
        </w:rPr>
        <w:t>無法律溯及適用情形，自</w:t>
      </w:r>
      <w:proofErr w:type="gramStart"/>
      <w:r>
        <w:rPr>
          <w:rFonts w:ascii="新細明體" w:hAnsi="新細明體" w:cs="細明體"/>
          <w:kern w:val="0"/>
          <w:u w:val="single"/>
        </w:rPr>
        <w:t>難謂因法律</w:t>
      </w:r>
      <w:proofErr w:type="gramEnd"/>
      <w:r>
        <w:rPr>
          <w:rFonts w:ascii="新細明體" w:hAnsi="新細明體" w:cs="細明體"/>
          <w:kern w:val="0"/>
          <w:u w:val="single"/>
        </w:rPr>
        <w:t>溯及適用而侵害人民之財產權</w:t>
      </w:r>
      <w:r>
        <w:rPr>
          <w:rFonts w:ascii="新細明體" w:hAnsi="新細明體" w:cs="細明體"/>
          <w:kern w:val="0"/>
        </w:rPr>
        <w:t>。至立法者對於新訂法規構成要件各項特徵相關之過去單一事實，譬如作為</w:t>
      </w:r>
      <w:proofErr w:type="gramStart"/>
      <w:r>
        <w:rPr>
          <w:rFonts w:ascii="新細明體" w:hAnsi="新細明體" w:cs="細明體"/>
          <w:kern w:val="0"/>
        </w:rPr>
        <w:t>菸</w:t>
      </w:r>
      <w:proofErr w:type="gramEnd"/>
      <w:r>
        <w:rPr>
          <w:rFonts w:ascii="新細明體" w:hAnsi="新細明體" w:cs="細明體"/>
          <w:kern w:val="0"/>
        </w:rPr>
        <w:t>品標示規範標的物之</w:t>
      </w:r>
      <w:proofErr w:type="gramStart"/>
      <w:r>
        <w:rPr>
          <w:rFonts w:ascii="新細明體" w:hAnsi="新細明體" w:cs="細明體"/>
          <w:kern w:val="0"/>
        </w:rPr>
        <w:t>菸</w:t>
      </w:r>
      <w:proofErr w:type="gramEnd"/>
      <w:r>
        <w:rPr>
          <w:rFonts w:ascii="新細明體" w:hAnsi="新細明體" w:cs="細明體"/>
          <w:kern w:val="0"/>
        </w:rPr>
        <w:t>品，於何時製造、何時進口、何時進入銷售通路，認為有特別保護之必要者，則應於兼顧公益之前提下，以過渡條款明文規定排除或延緩新法對之適用。</w:t>
      </w:r>
      <w:r>
        <w:rPr>
          <w:rFonts w:ascii="新細明體" w:hAnsi="新細明體" w:cs="細明體"/>
          <w:kern w:val="0"/>
          <w:u w:val="single"/>
        </w:rPr>
        <w:t>惟對該法施行前，已進入銷售通路，尚未售出之</w:t>
      </w:r>
      <w:proofErr w:type="gramStart"/>
      <w:r>
        <w:rPr>
          <w:rFonts w:ascii="新細明體" w:hAnsi="新細明體" w:cs="細明體"/>
          <w:kern w:val="0"/>
          <w:u w:val="single"/>
        </w:rPr>
        <w:t>菸</w:t>
      </w:r>
      <w:proofErr w:type="gramEnd"/>
      <w:r>
        <w:rPr>
          <w:rFonts w:ascii="新細明體" w:hAnsi="新細明體" w:cs="細明體"/>
          <w:kern w:val="0"/>
          <w:u w:val="single"/>
        </w:rPr>
        <w:t>品，如亦要求須於該法施行時已履行完畢法定標示義務，勢必對</w:t>
      </w:r>
      <w:proofErr w:type="gramStart"/>
      <w:r>
        <w:rPr>
          <w:rFonts w:ascii="新細明體" w:hAnsi="新細明體" w:cs="細明體"/>
          <w:kern w:val="0"/>
          <w:u w:val="single"/>
        </w:rPr>
        <w:t>菸</w:t>
      </w:r>
      <w:proofErr w:type="gramEnd"/>
      <w:r>
        <w:rPr>
          <w:rFonts w:ascii="新細明體" w:hAnsi="新細明體" w:cs="細明體"/>
          <w:kern w:val="0"/>
          <w:u w:val="single"/>
        </w:rPr>
        <w:t>品業者造成不可預期之財產權損害，故為保障人民之信賴利益</w:t>
      </w:r>
      <w:r>
        <w:rPr>
          <w:rFonts w:ascii="新細明體" w:hAnsi="新細明體" w:cs="細明體"/>
          <w:kern w:val="0"/>
          <w:u w:val="single"/>
        </w:rPr>
        <w:t>，立法者對於此種</w:t>
      </w:r>
      <w:proofErr w:type="gramStart"/>
      <w:r>
        <w:rPr>
          <w:rFonts w:ascii="新細明體" w:hAnsi="新細明體" w:cs="細明體"/>
          <w:kern w:val="0"/>
          <w:u w:val="single"/>
        </w:rPr>
        <w:t>菸</w:t>
      </w:r>
      <w:proofErr w:type="gramEnd"/>
      <w:r>
        <w:rPr>
          <w:rFonts w:ascii="新細明體" w:hAnsi="新細明體" w:cs="細明體"/>
          <w:kern w:val="0"/>
          <w:u w:val="single"/>
        </w:rPr>
        <w:t>品，則有制定過渡條款之義務</w:t>
      </w:r>
      <w:r>
        <w:rPr>
          <w:rFonts w:ascii="新細明體" w:hAnsi="新細明體" w:cs="細明體"/>
          <w:kern w:val="0"/>
        </w:rPr>
        <w:t>。八十六年三月十九日公布之</w:t>
      </w:r>
      <w:proofErr w:type="gramStart"/>
      <w:r>
        <w:rPr>
          <w:rFonts w:ascii="新細明體" w:hAnsi="新細明體" w:cs="細明體"/>
          <w:kern w:val="0"/>
        </w:rPr>
        <w:t>菸</w:t>
      </w:r>
      <w:proofErr w:type="gramEnd"/>
      <w:r>
        <w:rPr>
          <w:rFonts w:ascii="新細明體" w:hAnsi="新細明體" w:cs="細明體"/>
          <w:kern w:val="0"/>
        </w:rPr>
        <w:t>害防制法第三十條規定</w:t>
      </w:r>
      <w:r>
        <w:rPr>
          <w:rFonts w:ascii="新細明體" w:hAnsi="新細明體" w:cs="細明體" w:hint="eastAsia"/>
          <w:kern w:val="0"/>
        </w:rPr>
        <w:lastRenderedPageBreak/>
        <w:t>『</w:t>
      </w:r>
      <w:r>
        <w:rPr>
          <w:rFonts w:ascii="新細明體" w:hAnsi="新細明體" w:cs="細明體"/>
          <w:kern w:val="0"/>
        </w:rPr>
        <w:t>本法自公布後六</w:t>
      </w:r>
      <w:proofErr w:type="gramStart"/>
      <w:r>
        <w:rPr>
          <w:rFonts w:ascii="新細明體" w:hAnsi="新細明體" w:cs="細明體"/>
          <w:kern w:val="0"/>
        </w:rPr>
        <w:t>個</w:t>
      </w:r>
      <w:proofErr w:type="gramEnd"/>
      <w:r>
        <w:rPr>
          <w:rFonts w:ascii="新細明體" w:hAnsi="新細明體" w:cs="細明體"/>
          <w:kern w:val="0"/>
        </w:rPr>
        <w:t>月施行</w:t>
      </w:r>
      <w:r>
        <w:rPr>
          <w:rFonts w:ascii="新細明體" w:hAnsi="新細明體" w:cs="細明體" w:hint="eastAsia"/>
          <w:kern w:val="0"/>
        </w:rPr>
        <w:t>』</w:t>
      </w:r>
      <w:r>
        <w:rPr>
          <w:rFonts w:ascii="新細明體" w:hAnsi="新細明體" w:cs="細明體"/>
          <w:kern w:val="0"/>
        </w:rPr>
        <w:t>，使</w:t>
      </w:r>
      <w:proofErr w:type="gramStart"/>
      <w:r>
        <w:rPr>
          <w:rFonts w:ascii="新細明體" w:hAnsi="新細明體" w:cs="細明體"/>
          <w:kern w:val="0"/>
        </w:rPr>
        <w:t>菸</w:t>
      </w:r>
      <w:proofErr w:type="gramEnd"/>
      <w:r>
        <w:rPr>
          <w:rFonts w:ascii="新細明體" w:hAnsi="新細明體" w:cs="細明體"/>
          <w:kern w:val="0"/>
        </w:rPr>
        <w:t>品業者對於該法制定生效前已進入銷售通路之</w:t>
      </w:r>
      <w:proofErr w:type="gramStart"/>
      <w:r>
        <w:rPr>
          <w:rFonts w:ascii="新細明體" w:hAnsi="新細明體" w:cs="細明體"/>
          <w:kern w:val="0"/>
        </w:rPr>
        <w:t>菸</w:t>
      </w:r>
      <w:proofErr w:type="gramEnd"/>
      <w:r>
        <w:rPr>
          <w:rFonts w:ascii="新細明體" w:hAnsi="新細明體" w:cs="細明體"/>
          <w:kern w:val="0"/>
        </w:rPr>
        <w:t>品，得及時就其法定標示義務預作準備，不致因法律變更而立即遭受</w:t>
      </w:r>
      <w:proofErr w:type="gramStart"/>
      <w:r>
        <w:rPr>
          <w:rFonts w:ascii="新細明體" w:hAnsi="新細明體" w:cs="細明體"/>
          <w:kern w:val="0"/>
        </w:rPr>
        <w:t>不</w:t>
      </w:r>
      <w:proofErr w:type="gramEnd"/>
      <w:r>
        <w:rPr>
          <w:rFonts w:ascii="新細明體" w:hAnsi="新細明體" w:cs="細明體"/>
          <w:kern w:val="0"/>
        </w:rPr>
        <w:t>利益，而六個月期限，亦尚不致使維護國民健康之立法目的難以現，此項過渡期間之規定，符合法治國家信賴保護原則之要求</w:t>
      </w:r>
      <w:r>
        <w:rPr>
          <w:rFonts w:ascii="新細明體" w:hAnsi="新細明體" w:cs="細明體" w:hint="eastAsia"/>
          <w:kern w:val="0"/>
        </w:rPr>
        <w:t>」。</w:t>
      </w:r>
      <w:proofErr w:type="gramStart"/>
      <w:r>
        <w:rPr>
          <w:rFonts w:ascii="新細明體" w:hAnsi="新細明體" w:cs="細明體" w:hint="eastAsia"/>
          <w:kern w:val="0"/>
        </w:rPr>
        <w:t>此外，</w:t>
      </w:r>
      <w:proofErr w:type="gramEnd"/>
      <w:r>
        <w:rPr>
          <w:rFonts w:ascii="新細明體" w:hAnsi="新細明體" w:cs="細明體" w:hint="eastAsia"/>
          <w:kern w:val="0"/>
        </w:rPr>
        <w:t>大法官在本號</w:t>
      </w:r>
      <w:proofErr w:type="gramStart"/>
      <w:r>
        <w:rPr>
          <w:rFonts w:ascii="新細明體" w:hAnsi="新細明體" w:cs="細明體" w:hint="eastAsia"/>
          <w:kern w:val="0"/>
        </w:rPr>
        <w:t>解釋似係</w:t>
      </w:r>
      <w:r>
        <w:rPr>
          <w:rFonts w:ascii="標楷體" w:eastAsia="標楷體" w:hAnsi="標楷體" w:cs="細明體" w:hint="eastAsia"/>
          <w:b/>
          <w:kern w:val="0"/>
        </w:rPr>
        <w:t>以</w:t>
      </w:r>
      <w:proofErr w:type="gramEnd"/>
      <w:r>
        <w:rPr>
          <w:rFonts w:ascii="標楷體" w:eastAsia="標楷體" w:hAnsi="標楷體" w:cs="細明體" w:hint="eastAsia"/>
          <w:b/>
          <w:kern w:val="0"/>
        </w:rPr>
        <w:t>法律</w:t>
      </w:r>
      <w:proofErr w:type="gramStart"/>
      <w:r>
        <w:rPr>
          <w:rFonts w:ascii="標楷體" w:eastAsia="標楷體" w:hAnsi="標楷體" w:cs="細明體" w:hint="eastAsia"/>
          <w:b/>
          <w:kern w:val="0"/>
        </w:rPr>
        <w:t>不</w:t>
      </w:r>
      <w:proofErr w:type="gramEnd"/>
      <w:r>
        <w:rPr>
          <w:rFonts w:ascii="標楷體" w:eastAsia="標楷體" w:hAnsi="標楷體" w:cs="細明體" w:hint="eastAsia"/>
          <w:b/>
          <w:kern w:val="0"/>
        </w:rPr>
        <w:t>溯既往原則作為審查立法行為是否侵害財產權的獨立依據</w:t>
      </w:r>
      <w:r>
        <w:rPr>
          <w:rFonts w:ascii="新細明體" w:hAnsi="新細明體" w:cs="細明體" w:hint="eastAsia"/>
          <w:kern w:val="0"/>
        </w:rPr>
        <w:t>。蓋其已先認定，「</w:t>
      </w:r>
      <w:r>
        <w:rPr>
          <w:rFonts w:ascii="新細明體" w:hAnsi="新細明體" w:cs="細明體"/>
          <w:kern w:val="0"/>
        </w:rPr>
        <w:t>於</w:t>
      </w:r>
      <w:proofErr w:type="gramStart"/>
      <w:r>
        <w:rPr>
          <w:rFonts w:ascii="新細明體" w:hAnsi="新細明體" w:cs="細明體"/>
          <w:kern w:val="0"/>
        </w:rPr>
        <w:t>菸</w:t>
      </w:r>
      <w:proofErr w:type="gramEnd"/>
      <w:r>
        <w:rPr>
          <w:rFonts w:ascii="新細明體" w:hAnsi="新細明體" w:cs="細明體"/>
          <w:kern w:val="0"/>
        </w:rPr>
        <w:t>品容器上應為前開一定之標示，縱屬對</w:t>
      </w:r>
      <w:proofErr w:type="gramStart"/>
      <w:r>
        <w:rPr>
          <w:rFonts w:ascii="新細明體" w:hAnsi="新細明體" w:cs="細明體"/>
          <w:kern w:val="0"/>
        </w:rPr>
        <w:t>菸</w:t>
      </w:r>
      <w:proofErr w:type="gramEnd"/>
      <w:r>
        <w:rPr>
          <w:rFonts w:ascii="新細明體" w:hAnsi="新細明體" w:cs="細明體"/>
          <w:kern w:val="0"/>
        </w:rPr>
        <w:t>品業者財產權有所限制，但該項</w:t>
      </w:r>
      <w:r>
        <w:rPr>
          <w:rFonts w:ascii="新細明體" w:hAnsi="新細明體" w:cs="細明體"/>
          <w:kern w:val="0"/>
        </w:rPr>
        <w:t>標示因</w:t>
      </w:r>
      <w:proofErr w:type="gramStart"/>
      <w:r>
        <w:rPr>
          <w:rFonts w:ascii="新細明體" w:hAnsi="新細明體" w:cs="細明體"/>
          <w:kern w:val="0"/>
        </w:rPr>
        <w:t>攸</w:t>
      </w:r>
      <w:proofErr w:type="gramEnd"/>
      <w:r>
        <w:rPr>
          <w:rFonts w:ascii="新細明體" w:hAnsi="新細明體" w:cs="細明體"/>
          <w:kern w:val="0"/>
        </w:rPr>
        <w:t>關國民健康，並可提供商品內容之必要訊息，符合從事商業之誠實信用原則與透明性原則，乃</w:t>
      </w:r>
      <w:proofErr w:type="gramStart"/>
      <w:r>
        <w:rPr>
          <w:rFonts w:ascii="新細明體" w:hAnsi="新細明體" w:cs="細明體"/>
          <w:kern w:val="0"/>
        </w:rPr>
        <w:t>菸</w:t>
      </w:r>
      <w:proofErr w:type="gramEnd"/>
      <w:r>
        <w:rPr>
          <w:rFonts w:ascii="新細明體" w:hAnsi="新細明體" w:cs="細明體"/>
          <w:kern w:val="0"/>
        </w:rPr>
        <w:t>品財產權所具有之社會義務，且所受限制尚屬輕微，未逾越社會義務所應忍受之範圍，與憲法保障人民財產權之規定，並無違背</w:t>
      </w:r>
      <w:r>
        <w:rPr>
          <w:rFonts w:ascii="新細明體" w:hAnsi="新細明體" w:cs="細明體" w:hint="eastAsia"/>
          <w:kern w:val="0"/>
        </w:rPr>
        <w:t>」；</w:t>
      </w:r>
      <w:proofErr w:type="gramStart"/>
      <w:r>
        <w:rPr>
          <w:rFonts w:ascii="新細明體" w:hAnsi="新細明體" w:cs="細明體" w:hint="eastAsia"/>
          <w:kern w:val="0"/>
        </w:rPr>
        <w:t>嗣又別依前述</w:t>
      </w:r>
      <w:proofErr w:type="gramEnd"/>
      <w:r>
        <w:rPr>
          <w:rFonts w:ascii="新細明體" w:hAnsi="新細明體" w:cs="細明體" w:hint="eastAsia"/>
          <w:kern w:val="0"/>
        </w:rPr>
        <w:t>法律</w:t>
      </w:r>
      <w:proofErr w:type="gramStart"/>
      <w:r>
        <w:rPr>
          <w:rFonts w:ascii="新細明體" w:hAnsi="新細明體" w:cs="細明體" w:hint="eastAsia"/>
          <w:kern w:val="0"/>
        </w:rPr>
        <w:t>不</w:t>
      </w:r>
      <w:proofErr w:type="gramEnd"/>
      <w:r>
        <w:rPr>
          <w:rFonts w:ascii="新細明體" w:hAnsi="新細明體" w:cs="細明體" w:hint="eastAsia"/>
          <w:kern w:val="0"/>
        </w:rPr>
        <w:t>溯既往原則之理據審查並認定，「</w:t>
      </w:r>
      <w:proofErr w:type="gramStart"/>
      <w:r>
        <w:rPr>
          <w:rFonts w:ascii="新細明體" w:hAnsi="新細明體" w:cs="細明體"/>
          <w:kern w:val="0"/>
        </w:rPr>
        <w:t>菸</w:t>
      </w:r>
      <w:proofErr w:type="gramEnd"/>
      <w:r>
        <w:rPr>
          <w:rFonts w:ascii="新細明體" w:hAnsi="新細明體" w:cs="細明體"/>
          <w:kern w:val="0"/>
        </w:rPr>
        <w:t>品標示義務及責任，僅適用於該法公布施行後之</w:t>
      </w:r>
      <w:proofErr w:type="gramStart"/>
      <w:r>
        <w:rPr>
          <w:rFonts w:ascii="新細明體" w:hAnsi="新細明體" w:cs="細明體"/>
          <w:kern w:val="0"/>
        </w:rPr>
        <w:t>菸</w:t>
      </w:r>
      <w:proofErr w:type="gramEnd"/>
      <w:r>
        <w:rPr>
          <w:rFonts w:ascii="新細明體" w:hAnsi="新細明體" w:cs="細明體"/>
          <w:kern w:val="0"/>
        </w:rPr>
        <w:t>品標示事件，並未規定</w:t>
      </w:r>
      <w:proofErr w:type="gramStart"/>
      <w:r>
        <w:rPr>
          <w:rFonts w:ascii="新細明體" w:hAnsi="新細明體" w:cs="細明體"/>
          <w:kern w:val="0"/>
        </w:rPr>
        <w:t>菸</w:t>
      </w:r>
      <w:proofErr w:type="gramEnd"/>
      <w:r>
        <w:rPr>
          <w:rFonts w:ascii="新細明體" w:hAnsi="新細明體" w:cs="細明體"/>
          <w:kern w:val="0"/>
        </w:rPr>
        <w:t>品業者於該法施行前亦有標示義務，無法律溯及適用情形，自</w:t>
      </w:r>
      <w:proofErr w:type="gramStart"/>
      <w:r>
        <w:rPr>
          <w:rFonts w:ascii="新細明體" w:hAnsi="新細明體" w:cs="細明體"/>
          <w:kern w:val="0"/>
        </w:rPr>
        <w:t>難謂因法律</w:t>
      </w:r>
      <w:proofErr w:type="gramEnd"/>
      <w:r>
        <w:rPr>
          <w:rFonts w:ascii="新細明體" w:hAnsi="新細明體" w:cs="細明體"/>
          <w:kern w:val="0"/>
        </w:rPr>
        <w:t>溯及適用而侵害人民之財產權</w:t>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許玉秀大法官對本號解釋提出之的協同意見書</w:t>
      </w:r>
      <w:r>
        <w:rPr>
          <w:rFonts w:ascii="標楷體" w:eastAsia="標楷體" w:hAnsi="標楷體" w:cs="細明體" w:hint="eastAsia"/>
          <w:b/>
          <w:kern w:val="0"/>
        </w:rPr>
        <w:t>對法律溯及既往的概念提出「不同的論述方式」</w:t>
      </w:r>
      <w:r>
        <w:rPr>
          <w:rFonts w:ascii="新細明體" w:hAnsi="新細明體" w:cs="細明體" w:hint="eastAsia"/>
          <w:kern w:val="0"/>
        </w:rPr>
        <w:t>。其指出，「</w:t>
      </w:r>
      <w:r>
        <w:rPr>
          <w:rFonts w:ascii="新細明體" w:hAnsi="新細明體" w:cs="細明體"/>
          <w:kern w:val="0"/>
        </w:rPr>
        <w:t>多數意見解釋理由書認為法律的新定或變更，原則上</w:t>
      </w:r>
      <w:proofErr w:type="gramStart"/>
      <w:r>
        <w:rPr>
          <w:rFonts w:ascii="新細明體" w:hAnsi="新細明體" w:cs="細明體"/>
          <w:kern w:val="0"/>
        </w:rPr>
        <w:t>不</w:t>
      </w:r>
      <w:proofErr w:type="gramEnd"/>
      <w:r>
        <w:rPr>
          <w:rFonts w:ascii="新細明體" w:hAnsi="新細明體" w:cs="細明體"/>
          <w:kern w:val="0"/>
        </w:rPr>
        <w:t>溯及既往，</w:t>
      </w:r>
      <w:proofErr w:type="gramStart"/>
      <w:r>
        <w:rPr>
          <w:rFonts w:ascii="新細明體" w:hAnsi="新細明體" w:cs="細明體"/>
          <w:kern w:val="0"/>
        </w:rPr>
        <w:t>菸</w:t>
      </w:r>
      <w:proofErr w:type="gramEnd"/>
      <w:r>
        <w:rPr>
          <w:rFonts w:ascii="新細明體" w:hAnsi="新細明體" w:cs="細明體"/>
          <w:kern w:val="0"/>
        </w:rPr>
        <w:t>害防制法</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並未規定</w:t>
      </w:r>
      <w:proofErr w:type="gramStart"/>
      <w:r>
        <w:rPr>
          <w:rFonts w:ascii="新細明體" w:hAnsi="新細明體" w:cs="細明體"/>
          <w:kern w:val="0"/>
        </w:rPr>
        <w:t>菸</w:t>
      </w:r>
      <w:proofErr w:type="gramEnd"/>
      <w:r>
        <w:rPr>
          <w:rFonts w:ascii="新細明體" w:hAnsi="新細明體" w:cs="細明體"/>
          <w:kern w:val="0"/>
        </w:rPr>
        <w:t>品業者於該法施行前亦有標示義務，故無法律溯及既往之情形</w:t>
      </w:r>
      <w:r>
        <w:rPr>
          <w:rFonts w:ascii="新細明體" w:hAnsi="新細明體" w:cs="細明體" w:hint="eastAsia"/>
          <w:kern w:val="0"/>
        </w:rPr>
        <w:t>」；惟其認「</w:t>
      </w:r>
      <w:r>
        <w:rPr>
          <w:rFonts w:ascii="新細明體" w:hAnsi="新細明體" w:cs="細明體"/>
          <w:kern w:val="0"/>
        </w:rPr>
        <w:t>法律</w:t>
      </w:r>
      <w:proofErr w:type="gramStart"/>
      <w:r>
        <w:rPr>
          <w:rFonts w:ascii="新細明體" w:hAnsi="新細明體" w:cs="細明體"/>
          <w:kern w:val="0"/>
        </w:rPr>
        <w:t>雖未溯及</w:t>
      </w:r>
      <w:proofErr w:type="gramEnd"/>
      <w:r>
        <w:rPr>
          <w:rFonts w:ascii="新細明體" w:hAnsi="新細明體" w:cs="細明體"/>
          <w:kern w:val="0"/>
        </w:rPr>
        <w:t>既往，立法者仍可斟酌制定過渡條款以保護信賴，實屬互相矛盾的論述</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過渡或例外條款存在的前提，其實是法律溯及既往而非法律</w:t>
      </w:r>
      <w:proofErr w:type="gramStart"/>
      <w:r>
        <w:rPr>
          <w:rFonts w:ascii="新細明體" w:hAnsi="新細明體" w:cs="細明體"/>
          <w:kern w:val="0"/>
        </w:rPr>
        <w:t>不</w:t>
      </w:r>
      <w:proofErr w:type="gramEnd"/>
      <w:r>
        <w:rPr>
          <w:rFonts w:ascii="新細明體" w:hAnsi="新細明體" w:cs="細明體"/>
          <w:kern w:val="0"/>
        </w:rPr>
        <w:t>溯既往</w:t>
      </w:r>
      <w:r>
        <w:rPr>
          <w:rFonts w:ascii="新細明體" w:hAnsi="新細明體" w:cs="細明體" w:hint="eastAsia"/>
          <w:kern w:val="0"/>
        </w:rPr>
        <w:t>」。最後並主張，「</w:t>
      </w:r>
      <w:r>
        <w:rPr>
          <w:rFonts w:ascii="新細明體" w:hAnsi="新細明體" w:cs="細明體"/>
          <w:kern w:val="0"/>
        </w:rPr>
        <w:t>新法規之新訂或修正，旨在改變既有之法律秩序，為貫徹新法之目的，原則上不禁止回溯適用。</w:t>
      </w:r>
      <w:proofErr w:type="gramStart"/>
      <w:r>
        <w:rPr>
          <w:rFonts w:ascii="新細明體" w:hAnsi="新細明體" w:cs="細明體"/>
          <w:kern w:val="0"/>
        </w:rPr>
        <w:t>惟</w:t>
      </w:r>
      <w:proofErr w:type="gramEnd"/>
      <w:r>
        <w:rPr>
          <w:rFonts w:ascii="新細明體" w:hAnsi="新細明體" w:cs="細明體"/>
          <w:kern w:val="0"/>
        </w:rPr>
        <w:t>立法者認為有特別保障人民於既有法律</w:t>
      </w:r>
      <w:proofErr w:type="gramStart"/>
      <w:r>
        <w:rPr>
          <w:rFonts w:ascii="新細明體" w:hAnsi="新細明體" w:cs="細明體"/>
          <w:kern w:val="0"/>
        </w:rPr>
        <w:t>秩</w:t>
      </w:r>
      <w:proofErr w:type="gramEnd"/>
      <w:r>
        <w:rPr>
          <w:rFonts w:ascii="新細明體" w:hAnsi="新細明體" w:cs="細明體"/>
          <w:kern w:val="0"/>
        </w:rPr>
        <w:t>所享有較有利法律地位之必要者，則得以法律明文規定排除或延緩新法之適用</w:t>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lastRenderedPageBreak/>
        <w:t xml:space="preserve">    </w:t>
      </w:r>
      <w:r>
        <w:rPr>
          <w:rFonts w:ascii="新細明體" w:hAnsi="新細明體" w:cs="細明體" w:hint="eastAsia"/>
          <w:kern w:val="0"/>
        </w:rPr>
        <w:t>大法官嘗試在本號解釋進一步</w:t>
      </w:r>
      <w:proofErr w:type="gramStart"/>
      <w:r>
        <w:rPr>
          <w:rFonts w:ascii="新細明體" w:hAnsi="新細明體" w:cs="細明體" w:hint="eastAsia"/>
          <w:kern w:val="0"/>
        </w:rPr>
        <w:t>釐</w:t>
      </w:r>
      <w:proofErr w:type="gramEnd"/>
      <w:r>
        <w:rPr>
          <w:rFonts w:ascii="新細明體" w:hAnsi="新細明體" w:cs="細明體" w:hint="eastAsia"/>
          <w:kern w:val="0"/>
        </w:rPr>
        <w:t>清</w:t>
      </w:r>
      <w:proofErr w:type="gramStart"/>
      <w:r>
        <w:rPr>
          <w:rFonts w:ascii="新細明體" w:hAnsi="新細明體" w:cs="細明體" w:hint="eastAsia"/>
          <w:kern w:val="0"/>
        </w:rPr>
        <w:t>―</w:t>
      </w:r>
      <w:proofErr w:type="gramEnd"/>
      <w:r>
        <w:rPr>
          <w:rFonts w:ascii="新細明體" w:hAnsi="新細明體" w:cs="細明體" w:hint="eastAsia"/>
          <w:kern w:val="0"/>
        </w:rPr>
        <w:t>作為審查基準之</w:t>
      </w:r>
      <w:proofErr w:type="gramStart"/>
      <w:r>
        <w:rPr>
          <w:rFonts w:ascii="新細明體" w:hAnsi="新細明體" w:cs="細明體" w:hint="eastAsia"/>
          <w:kern w:val="0"/>
        </w:rPr>
        <w:t>―</w:t>
      </w:r>
      <w:proofErr w:type="gramEnd"/>
      <w:r>
        <w:rPr>
          <w:rFonts w:ascii="標楷體" w:eastAsia="標楷體" w:hAnsi="標楷體" w:cs="細明體" w:hint="eastAsia"/>
          <w:b/>
          <w:kern w:val="0"/>
        </w:rPr>
        <w:t>法律</w:t>
      </w:r>
      <w:proofErr w:type="gramStart"/>
      <w:r>
        <w:rPr>
          <w:rFonts w:ascii="標楷體" w:eastAsia="標楷體" w:hAnsi="標楷體" w:cs="細明體" w:hint="eastAsia"/>
          <w:b/>
          <w:kern w:val="0"/>
        </w:rPr>
        <w:t>不</w:t>
      </w:r>
      <w:proofErr w:type="gramEnd"/>
      <w:r>
        <w:rPr>
          <w:rFonts w:ascii="標楷體" w:eastAsia="標楷體" w:hAnsi="標楷體" w:cs="細明體" w:hint="eastAsia"/>
          <w:b/>
          <w:kern w:val="0"/>
        </w:rPr>
        <w:t>溯既往原則本身的意涵</w:t>
      </w:r>
      <w:r>
        <w:rPr>
          <w:rFonts w:ascii="新細明體" w:hAnsi="新細明體" w:cs="細明體" w:hint="eastAsia"/>
          <w:kern w:val="0"/>
        </w:rPr>
        <w:t>；於此，</w:t>
      </w:r>
      <w:proofErr w:type="gramStart"/>
      <w:r>
        <w:rPr>
          <w:rFonts w:ascii="新細明體" w:hAnsi="新細明體" w:cs="細明體" w:hint="eastAsia"/>
          <w:kern w:val="0"/>
        </w:rPr>
        <w:t>大法官似係以</w:t>
      </w:r>
      <w:proofErr w:type="gramEnd"/>
      <w:r>
        <w:rPr>
          <w:rFonts w:ascii="新細明體" w:hAnsi="新細明體" w:cs="細明體" w:hint="eastAsia"/>
          <w:kern w:val="0"/>
        </w:rPr>
        <w:t>法律效果是否在法規範公布施行後始行發生，作為認定是否構成</w:t>
      </w:r>
      <w:r>
        <w:rPr>
          <w:rFonts w:ascii="新細明體" w:hAnsi="新細明體" w:cs="細明體"/>
          <w:kern w:val="0"/>
        </w:rPr>
        <w:t>法律溯及適用</w:t>
      </w:r>
      <w:r>
        <w:rPr>
          <w:rFonts w:ascii="新細明體" w:hAnsi="新細明體" w:cs="細明體" w:hint="eastAsia"/>
          <w:kern w:val="0"/>
        </w:rPr>
        <w:t>的標準。然而，縱使非屬如斯理解之法律溯及適用的情形，如新法立即施行將「</w:t>
      </w:r>
      <w:r>
        <w:rPr>
          <w:rFonts w:ascii="新細明體" w:hAnsi="新細明體" w:cs="細明體"/>
          <w:kern w:val="0"/>
        </w:rPr>
        <w:t>造成不可預期之</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損害</w:t>
      </w:r>
      <w:r>
        <w:rPr>
          <w:rFonts w:ascii="新細明體" w:hAnsi="新細明體" w:cs="細明體" w:hint="eastAsia"/>
          <w:kern w:val="0"/>
        </w:rPr>
        <w:t>」時，「</w:t>
      </w:r>
      <w:r>
        <w:rPr>
          <w:rFonts w:ascii="新細明體" w:hAnsi="新細明體" w:cs="細明體"/>
          <w:kern w:val="0"/>
        </w:rPr>
        <w:t>為保障人民之信賴利益</w:t>
      </w:r>
      <w:r>
        <w:rPr>
          <w:rFonts w:ascii="新細明體" w:hAnsi="新細明體" w:cs="細明體" w:hint="eastAsia"/>
          <w:kern w:val="0"/>
        </w:rPr>
        <w:t>」</w:t>
      </w:r>
      <w:r>
        <w:rPr>
          <w:rFonts w:ascii="新細明體" w:hAnsi="新細明體" w:cs="細明體"/>
          <w:kern w:val="0"/>
        </w:rPr>
        <w:t>，立法者</w:t>
      </w:r>
      <w:r>
        <w:rPr>
          <w:rFonts w:ascii="新細明體" w:hAnsi="新細明體" w:cs="細明體" w:hint="eastAsia"/>
          <w:kern w:val="0"/>
        </w:rPr>
        <w:t>仍</w:t>
      </w:r>
      <w:r>
        <w:rPr>
          <w:rFonts w:ascii="新細明體" w:hAnsi="新細明體" w:cs="細明體"/>
          <w:kern w:val="0"/>
        </w:rPr>
        <w:t>有制定過渡條款之義務</w:t>
      </w:r>
      <w:r>
        <w:rPr>
          <w:rFonts w:ascii="新細明體" w:hAnsi="新細明體" w:cs="細明體" w:hint="eastAsia"/>
          <w:kern w:val="0"/>
        </w:rPr>
        <w:t>。就本件而言，大法官認定，「</w:t>
      </w:r>
      <w:r>
        <w:rPr>
          <w:rFonts w:ascii="新細明體" w:hAnsi="新細明體" w:cs="細明體"/>
          <w:kern w:val="0"/>
        </w:rPr>
        <w:t>對該法施行前，已進入銷售通路，尚未售出之</w:t>
      </w:r>
      <w:proofErr w:type="gramStart"/>
      <w:r>
        <w:rPr>
          <w:rFonts w:ascii="新細明體" w:hAnsi="新細明體" w:cs="細明體"/>
          <w:kern w:val="0"/>
        </w:rPr>
        <w:t>菸</w:t>
      </w:r>
      <w:proofErr w:type="gramEnd"/>
      <w:r>
        <w:rPr>
          <w:rFonts w:ascii="新細明體" w:hAnsi="新細明體" w:cs="細明體"/>
          <w:kern w:val="0"/>
        </w:rPr>
        <w:t>品，如亦要求須於該法施行時已履行完畢法定標示義務，勢必對</w:t>
      </w:r>
      <w:proofErr w:type="gramStart"/>
      <w:r>
        <w:rPr>
          <w:rFonts w:ascii="新細明體" w:hAnsi="新細明體" w:cs="細明體"/>
          <w:kern w:val="0"/>
        </w:rPr>
        <w:t>菸</w:t>
      </w:r>
      <w:proofErr w:type="gramEnd"/>
      <w:r>
        <w:rPr>
          <w:rFonts w:ascii="新細明體" w:hAnsi="新細明體" w:cs="細明體"/>
          <w:kern w:val="0"/>
        </w:rPr>
        <w:t>品業者造成不可預期之財產權損害</w:t>
      </w:r>
      <w:r>
        <w:rPr>
          <w:rFonts w:ascii="新細明體" w:hAnsi="新細明體" w:cs="細明體" w:hint="eastAsia"/>
          <w:kern w:val="0"/>
        </w:rPr>
        <w:t>」。然而，</w:t>
      </w:r>
      <w:r>
        <w:rPr>
          <w:rFonts w:ascii="標楷體" w:eastAsia="標楷體" w:hAnsi="標楷體" w:cs="細明體" w:hint="eastAsia"/>
          <w:b/>
          <w:kern w:val="0"/>
        </w:rPr>
        <w:t>何</w:t>
      </w:r>
      <w:r>
        <w:rPr>
          <w:rFonts w:ascii="標楷體" w:eastAsia="標楷體" w:hAnsi="標楷體" w:cs="細明體" w:hint="eastAsia"/>
          <w:b/>
          <w:kern w:val="0"/>
        </w:rPr>
        <w:t>以應以「造成不可預期之損害」作為認定有無制定過渡條款之義務的判</w:t>
      </w:r>
      <w:proofErr w:type="gramStart"/>
      <w:r>
        <w:rPr>
          <w:rFonts w:ascii="標楷體" w:eastAsia="標楷體" w:hAnsi="標楷體" w:cs="細明體" w:hint="eastAsia"/>
          <w:b/>
          <w:kern w:val="0"/>
        </w:rPr>
        <w:t>準</w:t>
      </w:r>
      <w:proofErr w:type="gramEnd"/>
      <w:r>
        <w:rPr>
          <w:rFonts w:ascii="標楷體" w:eastAsia="標楷體" w:hAnsi="標楷體" w:cs="細明體" w:hint="eastAsia"/>
          <w:b/>
          <w:kern w:val="0"/>
        </w:rPr>
        <w:t>？</w:t>
      </w:r>
      <w:r>
        <w:rPr>
          <w:rFonts w:ascii="新細明體" w:hAnsi="新細明體" w:cs="細明體" w:hint="eastAsia"/>
          <w:kern w:val="0"/>
        </w:rPr>
        <w:t>大法官並未說明其論斷之依據。最後，大法官偏離釋字第</w:t>
      </w:r>
      <w:r>
        <w:rPr>
          <w:kern w:val="0"/>
        </w:rPr>
        <w:t>575</w:t>
      </w:r>
      <w:r>
        <w:rPr>
          <w:rFonts w:ascii="新細明體" w:hAnsi="新細明體" w:cs="細明體" w:hint="eastAsia"/>
          <w:kern w:val="0"/>
        </w:rPr>
        <w:t>號解釋的作法，</w:t>
      </w:r>
      <w:r>
        <w:rPr>
          <w:rFonts w:ascii="標楷體" w:eastAsia="標楷體" w:hAnsi="標楷體" w:cs="細明體" w:hint="eastAsia"/>
          <w:b/>
          <w:kern w:val="0"/>
        </w:rPr>
        <w:t>以法律</w:t>
      </w:r>
      <w:proofErr w:type="gramStart"/>
      <w:r>
        <w:rPr>
          <w:rFonts w:ascii="標楷體" w:eastAsia="標楷體" w:hAnsi="標楷體" w:cs="細明體" w:hint="eastAsia"/>
          <w:b/>
          <w:kern w:val="0"/>
        </w:rPr>
        <w:t>不</w:t>
      </w:r>
      <w:proofErr w:type="gramEnd"/>
      <w:r>
        <w:rPr>
          <w:rFonts w:ascii="標楷體" w:eastAsia="標楷體" w:hAnsi="標楷體" w:cs="細明體" w:hint="eastAsia"/>
          <w:b/>
          <w:kern w:val="0"/>
        </w:rPr>
        <w:t>溯既往原則作為</w:t>
      </w:r>
      <w:proofErr w:type="gramStart"/>
      <w:r>
        <w:rPr>
          <w:rFonts w:ascii="標楷體" w:eastAsia="標楷體" w:hAnsi="標楷體" w:cs="細明體" w:hint="eastAsia"/>
          <w:b/>
          <w:kern w:val="0"/>
        </w:rPr>
        <w:t>―</w:t>
      </w:r>
      <w:proofErr w:type="gramEnd"/>
      <w:r>
        <w:rPr>
          <w:rFonts w:ascii="標楷體" w:eastAsia="標楷體" w:hAnsi="標楷體" w:cs="細明體" w:hint="eastAsia"/>
          <w:b/>
          <w:kern w:val="0"/>
        </w:rPr>
        <w:t>相關基本權之外的</w:t>
      </w:r>
      <w:proofErr w:type="gramStart"/>
      <w:r>
        <w:rPr>
          <w:rFonts w:ascii="標楷體" w:eastAsia="標楷體" w:hAnsi="標楷體" w:cs="細明體" w:hint="eastAsia"/>
          <w:b/>
          <w:kern w:val="0"/>
        </w:rPr>
        <w:t>―</w:t>
      </w:r>
      <w:proofErr w:type="gramEnd"/>
      <w:r>
        <w:rPr>
          <w:rFonts w:ascii="標楷體" w:eastAsia="標楷體" w:hAnsi="標楷體" w:cs="細明體" w:hint="eastAsia"/>
          <w:b/>
          <w:kern w:val="0"/>
        </w:rPr>
        <w:t>獨立審查公權力行為的基準，其考量為何</w:t>
      </w:r>
      <w:r>
        <w:rPr>
          <w:rFonts w:ascii="新細明體" w:hAnsi="新細明體" w:cs="細明體" w:hint="eastAsia"/>
          <w:kern w:val="0"/>
        </w:rPr>
        <w:t>，亦未見說明。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許玉秀大法官</w:t>
      </w:r>
      <w:r>
        <w:rPr>
          <w:rFonts w:ascii="標楷體" w:eastAsia="標楷體" w:hAnsi="標楷體" w:cs="細明體" w:hint="eastAsia"/>
          <w:b/>
          <w:kern w:val="0"/>
        </w:rPr>
        <w:t>對法律溯及既往的概念理解與多數意見顯然有別</w:t>
      </w:r>
      <w:r>
        <w:rPr>
          <w:rFonts w:ascii="新細明體" w:hAnsi="新細明體" w:cs="細明體" w:hint="eastAsia"/>
          <w:kern w:val="0"/>
        </w:rPr>
        <w:t>。其</w:t>
      </w:r>
      <w:proofErr w:type="gramStart"/>
      <w:r>
        <w:rPr>
          <w:rFonts w:ascii="新細明體" w:hAnsi="新細明體" w:cs="細明體" w:hint="eastAsia"/>
          <w:kern w:val="0"/>
        </w:rPr>
        <w:t>提出之溯及</w:t>
      </w:r>
      <w:proofErr w:type="gramEnd"/>
      <w:r>
        <w:rPr>
          <w:rFonts w:ascii="新細明體" w:hAnsi="新細明體" w:cs="細明體" w:hint="eastAsia"/>
          <w:kern w:val="0"/>
        </w:rPr>
        <w:t>適用之許可性的認定方式，自亦不同。</w:t>
      </w:r>
      <w:proofErr w:type="gramStart"/>
      <w:r>
        <w:rPr>
          <w:rFonts w:ascii="新細明體" w:hAnsi="新細明體" w:cs="細明體" w:hint="eastAsia"/>
          <w:kern w:val="0"/>
        </w:rPr>
        <w:t>然則，</w:t>
      </w:r>
      <w:proofErr w:type="gramEnd"/>
      <w:r>
        <w:rPr>
          <w:rFonts w:ascii="新細明體" w:hAnsi="新細明體" w:cs="細明體" w:hint="eastAsia"/>
          <w:kern w:val="0"/>
        </w:rPr>
        <w:t>究以何者為是？</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六、釋字第五八九號解釋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kern w:val="0"/>
        </w:rPr>
      </w:pPr>
      <w:r>
        <w:rPr>
          <w:rFonts w:ascii="新細明體" w:hAnsi="新細明體" w:cs="細明體" w:hint="eastAsia"/>
          <w:kern w:val="0"/>
        </w:rPr>
        <w:t xml:space="preserve">    </w:t>
      </w:r>
      <w:r>
        <w:rPr>
          <w:rFonts w:ascii="新細明體" w:hAnsi="新細明體" w:cs="細明體" w:hint="eastAsia"/>
          <w:kern w:val="0"/>
        </w:rPr>
        <w:t>對法規修改、廢止與人民信賴保護的關係，本號解釋</w:t>
      </w:r>
      <w:r>
        <w:rPr>
          <w:rFonts w:ascii="標楷體" w:eastAsia="標楷體" w:hAnsi="標楷體" w:cs="細明體" w:hint="eastAsia"/>
          <w:b/>
          <w:kern w:val="0"/>
        </w:rPr>
        <w:t>大體回歸</w:t>
      </w:r>
      <w:r>
        <w:rPr>
          <w:rFonts w:ascii="新細明體" w:hAnsi="新細明體" w:cs="細明體" w:hint="eastAsia"/>
          <w:kern w:val="0"/>
        </w:rPr>
        <w:t>前屆大法官在</w:t>
      </w:r>
      <w:r>
        <w:rPr>
          <w:rFonts w:eastAsia="標楷體" w:hAnsi="標楷體"/>
          <w:b/>
          <w:kern w:val="0"/>
        </w:rPr>
        <w:t>釋字第</w:t>
      </w:r>
      <w:r>
        <w:rPr>
          <w:rFonts w:eastAsia="標楷體"/>
          <w:b/>
          <w:kern w:val="0"/>
        </w:rPr>
        <w:t>525</w:t>
      </w:r>
      <w:r>
        <w:rPr>
          <w:rFonts w:eastAsia="標楷體" w:hAnsi="標楷體"/>
          <w:b/>
          <w:kern w:val="0"/>
        </w:rPr>
        <w:t>號解釋</w:t>
      </w:r>
      <w:r>
        <w:rPr>
          <w:rFonts w:ascii="新細明體" w:hAnsi="新細明體" w:cs="細明體" w:hint="eastAsia"/>
          <w:kern w:val="0"/>
        </w:rPr>
        <w:t>表達的立場：「</w:t>
      </w:r>
      <w:r>
        <w:rPr>
          <w:rFonts w:ascii="新細明體" w:hAnsi="新細明體" w:cs="細明體"/>
          <w:kern w:val="0"/>
        </w:rPr>
        <w:t>法</w:t>
      </w:r>
      <w:r>
        <w:rPr>
          <w:rFonts w:ascii="新細明體" w:hAnsi="新細明體" w:cs="細明體"/>
          <w:kern w:val="0"/>
        </w:rPr>
        <w:t>治國原則為憲法之基本原則，首重人民權利之維護、法秩序之安定及信賴保護原則之遵守。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法律上利益受損害，應採取合理之補救措施，或訂定過渡期間之條款，以減輕其損害或</w:t>
      </w:r>
      <w:r>
        <w:rPr>
          <w:rFonts w:ascii="新細明體" w:hAnsi="新細明體" w:cs="細明體"/>
          <w:kern w:val="0"/>
        </w:rPr>
        <w:lastRenderedPageBreak/>
        <w:t>避免影響其依法所取得之法律上地位，方符憲法公益與私益平衡之意旨。受規範對象如已在因法規施行而產生信賴基礎之存續期間內，對構成信</w:t>
      </w:r>
      <w:r>
        <w:rPr>
          <w:rFonts w:ascii="新細明體" w:hAnsi="新細明體" w:cs="細明體"/>
          <w:kern w:val="0"/>
        </w:rPr>
        <w:t>賴要件之事實，有客觀上具體表現之行為，且有值得保護之利益者，即應受信賴保護原則之保障（本院釋字第五二五號解釋參照）</w:t>
      </w:r>
      <w:r>
        <w:rPr>
          <w:rFonts w:ascii="新細明體" w:hAnsi="新細明體" w:cs="細明體" w:hint="eastAsia"/>
          <w:kern w:val="0"/>
        </w:rPr>
        <w:t>」。但本號解釋則提示，</w:t>
      </w:r>
      <w:r>
        <w:rPr>
          <w:rFonts w:ascii="標楷體" w:eastAsia="標楷體" w:hAnsi="標楷體" w:cs="細明體" w:hint="eastAsia"/>
          <w:b/>
          <w:kern w:val="0"/>
        </w:rPr>
        <w:t>考量保障信賴利益的方式時，應斟酌權衡之因素</w:t>
      </w:r>
      <w:r>
        <w:rPr>
          <w:rFonts w:ascii="新細明體" w:hAnsi="新細明體" w:cs="細明體" w:hint="eastAsia"/>
          <w:kern w:val="0"/>
        </w:rPr>
        <w:t>：「</w:t>
      </w:r>
      <w:r>
        <w:rPr>
          <w:rFonts w:ascii="新細明體" w:hAnsi="新細明體" w:cs="細明體"/>
          <w:kern w:val="0"/>
        </w:rPr>
        <w:t>至於如何保障其信賴利益，究係採取減輕或避免其損害，或避免影響其依法所取得法律上地位等方法，則</w:t>
      </w:r>
      <w:proofErr w:type="gramStart"/>
      <w:r>
        <w:rPr>
          <w:rFonts w:ascii="新細明體" w:hAnsi="新細明體" w:cs="細明體"/>
          <w:kern w:val="0"/>
        </w:rPr>
        <w:t>須衡酌法</w:t>
      </w:r>
      <w:proofErr w:type="gramEnd"/>
      <w:r>
        <w:rPr>
          <w:rFonts w:ascii="新細明體" w:hAnsi="新細明體" w:cs="細明體"/>
          <w:kern w:val="0"/>
        </w:rPr>
        <w:t>秩序變動所追求之政策目的、國家財政負擔能力等公益因素及信賴利益之輕重、信賴利益所依據之基礎法規所表現之意義與價值等為合理之規定</w:t>
      </w:r>
      <w:r>
        <w:rPr>
          <w:rFonts w:ascii="新細明體" w:hAnsi="新細明體" w:cs="細明體" w:hint="eastAsia"/>
          <w:kern w:val="0"/>
        </w:rPr>
        <w:t>」。適用到本件，大法官認定，「</w:t>
      </w:r>
      <w:r>
        <w:rPr>
          <w:rFonts w:ascii="新細明體" w:hAnsi="新細明體" w:cs="細明體"/>
          <w:kern w:val="0"/>
        </w:rPr>
        <w:t>如</w:t>
      </w:r>
      <w:r>
        <w:rPr>
          <w:rFonts w:ascii="新細明體" w:hAnsi="新細明體" w:cs="細明體"/>
          <w:kern w:val="0"/>
          <w:u w:val="single"/>
        </w:rPr>
        <w:t>信賴利益所依據之基礎法規，其作用不僅在保障私人利益之法律地位而已，更具有</w:t>
      </w:r>
      <w:r>
        <w:rPr>
          <w:rFonts w:ascii="新細明體" w:hAnsi="新細明體" w:cs="細明體"/>
          <w:kern w:val="0"/>
          <w:u w:val="single"/>
        </w:rPr>
        <w:t>藉該法律地位之保障以實現公益之目的者，則因該基礎法規之變動所涉及信賴利益之保護，即應強化以避免其受損害</w:t>
      </w:r>
      <w:r>
        <w:rPr>
          <w:rFonts w:ascii="新細明體" w:hAnsi="新細明體" w:cs="細明體"/>
          <w:kern w:val="0"/>
        </w:rPr>
        <w:t>，</w:t>
      </w:r>
      <w:proofErr w:type="gramStart"/>
      <w:r>
        <w:rPr>
          <w:rFonts w:ascii="新細明體" w:hAnsi="新細明體" w:cs="細明體"/>
          <w:kern w:val="0"/>
        </w:rPr>
        <w:t>俾</w:t>
      </w:r>
      <w:proofErr w:type="gramEnd"/>
      <w:r>
        <w:rPr>
          <w:rFonts w:ascii="新細明體" w:hAnsi="新細明體" w:cs="細明體"/>
          <w:kern w:val="0"/>
        </w:rPr>
        <w:t>使該基礎法規所欲實現之公益目的，亦得確保</w:t>
      </w:r>
      <w:r>
        <w:rPr>
          <w:rFonts w:ascii="新細明體" w:hAnsi="新細明體" w:cs="細明體" w:hint="eastAsia"/>
          <w:kern w:val="0"/>
        </w:rPr>
        <w:t>」</w:t>
      </w:r>
      <w:r>
        <w:rPr>
          <w:rFonts w:ascii="新細明體" w:hAnsi="新細明體" w:cs="細明體"/>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color w:val="000000"/>
          <w:kern w:val="0"/>
        </w:rPr>
      </w:pPr>
      <w:r>
        <w:rPr>
          <w:rFonts w:ascii="新細明體" w:hAnsi="新細明體" w:cs="細明體" w:hint="eastAsia"/>
          <w:kern w:val="0"/>
        </w:rPr>
        <w:t xml:space="preserve">    </w:t>
      </w:r>
      <w:r>
        <w:rPr>
          <w:rFonts w:hAnsi="新細明體"/>
          <w:kern w:val="0"/>
        </w:rPr>
        <w:t>在處理法規</w:t>
      </w:r>
      <w:r>
        <w:rPr>
          <w:rFonts w:hAnsi="新細明體" w:hint="eastAsia"/>
          <w:kern w:val="0"/>
        </w:rPr>
        <w:t>範</w:t>
      </w:r>
      <w:r>
        <w:rPr>
          <w:rFonts w:hAnsi="新細明體"/>
          <w:kern w:val="0"/>
        </w:rPr>
        <w:t>變更與信賴利益的關係上，本號解釋既然回歸釋字第</w:t>
      </w:r>
      <w:r>
        <w:rPr>
          <w:kern w:val="0"/>
        </w:rPr>
        <w:t>525</w:t>
      </w:r>
      <w:r>
        <w:rPr>
          <w:rFonts w:hAnsi="新細明體"/>
          <w:kern w:val="0"/>
        </w:rPr>
        <w:t>號解釋的立場，對後者的疑慮，自亦適用於本號解釋。具體地說，其認定</w:t>
      </w:r>
      <w:r>
        <w:rPr>
          <w:rFonts w:ascii="標楷體" w:eastAsia="標楷體" w:hAnsi="標楷體"/>
          <w:b/>
          <w:kern w:val="0"/>
        </w:rPr>
        <w:t>凡行政法規有變更、廢止之情形，</w:t>
      </w:r>
      <w:proofErr w:type="gramStart"/>
      <w:r>
        <w:rPr>
          <w:rFonts w:ascii="標楷體" w:eastAsia="標楷體" w:hAnsi="標楷體"/>
          <w:b/>
          <w:kern w:val="0"/>
        </w:rPr>
        <w:t>原則上均將衍生</w:t>
      </w:r>
      <w:proofErr w:type="gramEnd"/>
      <w:r>
        <w:rPr>
          <w:rFonts w:ascii="標楷體" w:eastAsia="標楷體" w:hAnsi="標楷體"/>
          <w:b/>
          <w:kern w:val="0"/>
        </w:rPr>
        <w:t>信賴保護的問題</w:t>
      </w:r>
      <w:r>
        <w:rPr>
          <w:rFonts w:hAnsi="新細明體"/>
          <w:kern w:val="0"/>
        </w:rPr>
        <w:t>以及，</w:t>
      </w:r>
      <w:r>
        <w:rPr>
          <w:rFonts w:hAnsi="新細明體" w:hint="eastAsia"/>
          <w:kern w:val="0"/>
        </w:rPr>
        <w:t>其</w:t>
      </w:r>
      <w:r>
        <w:rPr>
          <w:rFonts w:ascii="標楷體" w:eastAsia="標楷體" w:hAnsi="標楷體"/>
          <w:b/>
          <w:kern w:val="0"/>
        </w:rPr>
        <w:t>並未區分信賴基礎的不同相應決定信賴保護的方式</w:t>
      </w:r>
      <w:r>
        <w:rPr>
          <w:rFonts w:hAnsi="新細明體"/>
          <w:kern w:val="0"/>
        </w:rPr>
        <w:t>，</w:t>
      </w:r>
      <w:r>
        <w:rPr>
          <w:rFonts w:hAnsi="新細明體" w:hint="eastAsia"/>
          <w:kern w:val="0"/>
        </w:rPr>
        <w:t>前者</w:t>
      </w:r>
      <w:r>
        <w:rPr>
          <w:rFonts w:hAnsi="新細明體"/>
          <w:kern w:val="0"/>
        </w:rPr>
        <w:t>可能導致過度限制立法機關</w:t>
      </w:r>
      <w:r>
        <w:rPr>
          <w:rFonts w:hAnsi="新細明體" w:hint="eastAsia"/>
          <w:kern w:val="0"/>
        </w:rPr>
        <w:t>的</w:t>
      </w:r>
      <w:r>
        <w:rPr>
          <w:rFonts w:hAnsi="新細明體"/>
          <w:kern w:val="0"/>
        </w:rPr>
        <w:t>立法調整空間，</w:t>
      </w:r>
      <w:r>
        <w:rPr>
          <w:rFonts w:hAnsi="新細明體" w:hint="eastAsia"/>
          <w:kern w:val="0"/>
        </w:rPr>
        <w:t>後者則</w:t>
      </w:r>
      <w:r>
        <w:rPr>
          <w:rFonts w:hAnsi="新細明體"/>
          <w:kern w:val="0"/>
        </w:rPr>
        <w:t>忽略法規範的拘束力應作一般抽象性的決定而不</w:t>
      </w:r>
      <w:r>
        <w:rPr>
          <w:rFonts w:hAnsi="新細明體"/>
          <w:kern w:val="0"/>
        </w:rPr>
        <w:t>能取決於當事人是否有「客觀上具體表現其因信賴而生之法律上利益受損害」</w:t>
      </w:r>
      <w:r>
        <w:rPr>
          <w:kern w:val="0"/>
          <w:vertAlign w:val="superscript"/>
        </w:rPr>
        <w:footnoteReference w:id="8"/>
      </w:r>
      <w:r>
        <w:rPr>
          <w:rFonts w:hAnsi="新細明體"/>
          <w:kern w:val="0"/>
        </w:rPr>
        <w:t>。然而，與釋字第</w:t>
      </w:r>
      <w:r>
        <w:rPr>
          <w:kern w:val="0"/>
        </w:rPr>
        <w:lastRenderedPageBreak/>
        <w:t>525</w:t>
      </w:r>
      <w:r>
        <w:rPr>
          <w:rFonts w:hAnsi="新細明體"/>
          <w:kern w:val="0"/>
        </w:rPr>
        <w:t>號解釋不同，本號解釋維持釋字第</w:t>
      </w:r>
      <w:r>
        <w:rPr>
          <w:kern w:val="0"/>
        </w:rPr>
        <w:t>574</w:t>
      </w:r>
      <w:r>
        <w:rPr>
          <w:rFonts w:hAnsi="新細明體"/>
          <w:kern w:val="0"/>
        </w:rPr>
        <w:t>號解釋以來的見解，直接將</w:t>
      </w:r>
      <w:r>
        <w:rPr>
          <w:rFonts w:ascii="標楷體" w:eastAsia="標楷體" w:hAnsi="標楷體"/>
          <w:b/>
          <w:kern w:val="0"/>
        </w:rPr>
        <w:t>信賴保護的法理基礎</w:t>
      </w:r>
      <w:r>
        <w:rPr>
          <w:rFonts w:hAnsi="新細明體"/>
          <w:kern w:val="0"/>
        </w:rPr>
        <w:t>訴諸法治國原則：「法治國原則為憲法之基本原則，首重人民權利之維護、法秩序之安定及信賴保護原則之遵守」。本件解釋別出心裁的部分主要在於，</w:t>
      </w:r>
      <w:r>
        <w:rPr>
          <w:rFonts w:ascii="標楷體" w:eastAsia="標楷體" w:hAnsi="標楷體"/>
          <w:b/>
          <w:kern w:val="0"/>
        </w:rPr>
        <w:t>對保障信賴利益之方式的論述</w:t>
      </w:r>
      <w:proofErr w:type="gramStart"/>
      <w:r>
        <w:rPr>
          <w:kern w:val="0"/>
        </w:rPr>
        <w:t>―</w:t>
      </w:r>
      <w:r>
        <w:rPr>
          <w:rFonts w:hAnsi="新細明體"/>
          <w:kern w:val="0"/>
        </w:rPr>
        <w:t>其似</w:t>
      </w:r>
      <w:proofErr w:type="gramEnd"/>
      <w:r>
        <w:rPr>
          <w:rFonts w:hAnsi="新細明體"/>
          <w:kern w:val="0"/>
        </w:rPr>
        <w:t>傾向應權衡相關的公私利益（衡酌法秩序變動所追求之政策目的、國家財政負擔能力等公益以及，信賴利益之輕重、信賴利益所依據之基礎法規所表現之意義與價值）；</w:t>
      </w:r>
      <w:r>
        <w:rPr>
          <w:rFonts w:ascii="標楷體" w:eastAsia="標楷體" w:hAnsi="標楷體"/>
          <w:b/>
          <w:kern w:val="0"/>
        </w:rPr>
        <w:t>此一顯然受比例原則影響的權衡</w:t>
      </w:r>
      <w:r>
        <w:rPr>
          <w:rFonts w:ascii="標楷體" w:eastAsia="標楷體" w:hAnsi="標楷體"/>
          <w:b/>
          <w:kern w:val="0"/>
        </w:rPr>
        <w:t>方式與信賴保護之法理基礎之間的關係如何？</w:t>
      </w:r>
      <w:r>
        <w:rPr>
          <w:rFonts w:hAnsi="新細明體"/>
          <w:kern w:val="0"/>
        </w:rPr>
        <w:t>未見說明。考量到本號解釋特別突顯「信賴利益所依據之基礎法規所表現之意義與價值」一</w:t>
      </w:r>
      <w:proofErr w:type="gramStart"/>
      <w:r>
        <w:rPr>
          <w:rFonts w:hAnsi="新細明體"/>
          <w:kern w:val="0"/>
        </w:rPr>
        <w:t>點</w:t>
      </w:r>
      <w:proofErr w:type="gramEnd"/>
      <w:r>
        <w:rPr>
          <w:kern w:val="0"/>
          <w:vertAlign w:val="superscript"/>
        </w:rPr>
        <w:footnoteReference w:id="9"/>
      </w:r>
      <w:r>
        <w:rPr>
          <w:rFonts w:hAnsi="新細明體"/>
          <w:kern w:val="0"/>
        </w:rPr>
        <w:t>，尤有必要</w:t>
      </w:r>
      <w:proofErr w:type="gramStart"/>
      <w:r>
        <w:rPr>
          <w:rFonts w:hAnsi="新細明體"/>
          <w:kern w:val="0"/>
        </w:rPr>
        <w:t>釐</w:t>
      </w:r>
      <w:proofErr w:type="gramEnd"/>
      <w:r>
        <w:rPr>
          <w:rFonts w:hAnsi="新細明體"/>
          <w:kern w:val="0"/>
        </w:rPr>
        <w:t>清</w:t>
      </w:r>
      <w:r>
        <w:rPr>
          <w:rFonts w:hAnsi="新細明體" w:hint="eastAsia"/>
          <w:kern w:val="0"/>
        </w:rPr>
        <w:t>此種</w:t>
      </w:r>
      <w:r>
        <w:rPr>
          <w:rFonts w:hAnsi="新細明體"/>
          <w:kern w:val="0"/>
        </w:rPr>
        <w:t>權衡方式與信賴保護基礎之間的關係，否則將據何以劃定，應列入權衡的因素</w:t>
      </w:r>
      <w:r>
        <w:rPr>
          <w:rFonts w:hAnsi="新細明體"/>
          <w:color w:val="000000"/>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細明體" w:eastAsia="細明體" w:hAnsi="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color w:val="000000"/>
          <w:kern w:val="0"/>
        </w:rPr>
      </w:pPr>
      <w:r>
        <w:rPr>
          <w:rFonts w:ascii="標楷體" w:eastAsia="標楷體" w:hAnsi="標楷體" w:cs="細明體" w:hint="eastAsia"/>
          <w:b/>
          <w:color w:val="000000"/>
          <w:kern w:val="0"/>
        </w:rPr>
        <w:t>七、釋字第六０五號解釋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細明體" w:eastAsia="細明體" w:hAnsi="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t>（一）解釋要旨</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t xml:space="preserve">    </w:t>
      </w:r>
      <w:r>
        <w:rPr>
          <w:rFonts w:ascii="新細明體" w:hAnsi="新細明體" w:cs="細明體" w:hint="eastAsia"/>
          <w:kern w:val="0"/>
        </w:rPr>
        <w:t>針對民國</w:t>
      </w:r>
      <w:r>
        <w:rPr>
          <w:rFonts w:ascii="新細明體" w:hAnsi="新細明體" w:cs="細明體"/>
          <w:kern w:val="0"/>
        </w:rPr>
        <w:t>八十八年</w:t>
      </w:r>
      <w:r>
        <w:rPr>
          <w:rFonts w:ascii="新細明體" w:hAnsi="新細明體" w:cs="細明體" w:hint="eastAsia"/>
          <w:kern w:val="0"/>
        </w:rPr>
        <w:t>公務人員俸給法</w:t>
      </w:r>
      <w:r>
        <w:rPr>
          <w:rFonts w:ascii="新細明體" w:hAnsi="新細明體" w:cs="細明體"/>
          <w:kern w:val="0"/>
        </w:rPr>
        <w:t>施行細則第十五條第三項修正規定，</w:t>
      </w:r>
      <w:r>
        <w:rPr>
          <w:rFonts w:ascii="新細明體" w:hAnsi="新細明體" w:cs="細明體" w:hint="eastAsia"/>
          <w:kern w:val="0"/>
        </w:rPr>
        <w:t>「</w:t>
      </w:r>
      <w:r>
        <w:rPr>
          <w:rFonts w:ascii="新細明體" w:hAnsi="新細明體" w:cs="細明體"/>
          <w:kern w:val="0"/>
        </w:rPr>
        <w:t>使公務人員原任聘用人員年資，依八十四年及八十七年施行細則第十五條第二項、第三項規定，得按年提敘</w:t>
      </w:r>
      <w:proofErr w:type="gramStart"/>
      <w:r>
        <w:rPr>
          <w:rFonts w:ascii="新細明體" w:hAnsi="新細明體" w:cs="細明體"/>
          <w:kern w:val="0"/>
        </w:rPr>
        <w:t>俸</w:t>
      </w:r>
      <w:proofErr w:type="gramEnd"/>
      <w:r>
        <w:rPr>
          <w:rFonts w:ascii="新細明體" w:hAnsi="新細明體" w:cs="細明體"/>
          <w:kern w:val="0"/>
        </w:rPr>
        <w:t>級至年功</w:t>
      </w:r>
      <w:proofErr w:type="gramStart"/>
      <w:r>
        <w:rPr>
          <w:rFonts w:ascii="新細明體" w:hAnsi="新細明體" w:cs="細明體"/>
          <w:kern w:val="0"/>
        </w:rPr>
        <w:t>俸</w:t>
      </w:r>
      <w:proofErr w:type="gramEnd"/>
      <w:r>
        <w:rPr>
          <w:rFonts w:ascii="新細明體" w:hAnsi="新細明體" w:cs="細明體"/>
          <w:kern w:val="0"/>
        </w:rPr>
        <w:t>最高級者，僅得提敘至本</w:t>
      </w:r>
      <w:proofErr w:type="gramStart"/>
      <w:r>
        <w:rPr>
          <w:rFonts w:ascii="新細明體" w:hAnsi="新細明體" w:cs="細明體"/>
          <w:kern w:val="0"/>
        </w:rPr>
        <w:t>俸</w:t>
      </w:r>
      <w:proofErr w:type="gramEnd"/>
      <w:r>
        <w:rPr>
          <w:rFonts w:ascii="新細明體" w:hAnsi="新細明體" w:cs="細明體"/>
          <w:kern w:val="0"/>
        </w:rPr>
        <w:t>最高級為止</w:t>
      </w:r>
      <w:r>
        <w:rPr>
          <w:rFonts w:ascii="新細明體" w:hAnsi="新細明體" w:cs="細明體" w:hint="eastAsia"/>
          <w:kern w:val="0"/>
        </w:rPr>
        <w:t>」，</w:t>
      </w:r>
      <w:r>
        <w:rPr>
          <w:rFonts w:ascii="新細明體" w:hAnsi="新細明體" w:cs="細明體" w:hint="eastAsia"/>
          <w:kern w:val="0"/>
        </w:rPr>
        <w:lastRenderedPageBreak/>
        <w:t>是否有違信賴保護，</w:t>
      </w:r>
      <w:r>
        <w:rPr>
          <w:rFonts w:ascii="新細明體" w:hAnsi="新細明體" w:cs="細明體" w:hint="eastAsia"/>
          <w:color w:val="000000"/>
          <w:kern w:val="0"/>
        </w:rPr>
        <w:t>本號解釋首先明白指</w:t>
      </w:r>
      <w:r>
        <w:rPr>
          <w:rFonts w:ascii="新細明體" w:hAnsi="新細明體" w:cs="細明體" w:hint="eastAsia"/>
          <w:color w:val="000000"/>
          <w:kern w:val="0"/>
        </w:rPr>
        <w:t>出，</w:t>
      </w:r>
      <w:r>
        <w:rPr>
          <w:rFonts w:ascii="標楷體" w:eastAsia="標楷體" w:hAnsi="標楷體" w:cs="細明體" w:hint="eastAsia"/>
          <w:b/>
          <w:color w:val="000000"/>
          <w:kern w:val="0"/>
        </w:rPr>
        <w:t>即使無關憲法基本權的保障，人民依法規取得之利益仍應有信賴保護原則之適用</w:t>
      </w:r>
      <w:r>
        <w:rPr>
          <w:rFonts w:ascii="新細明體" w:hAnsi="新細明體" w:cs="細明體" w:hint="eastAsia"/>
          <w:color w:val="000000"/>
          <w:kern w:val="0"/>
        </w:rPr>
        <w:t>：「</w:t>
      </w:r>
      <w:r>
        <w:rPr>
          <w:rFonts w:ascii="新細明體" w:hAnsi="新細明體" w:cs="細明體"/>
          <w:kern w:val="0"/>
        </w:rPr>
        <w:t>憲法第十八條規定人民有服公職之權利，旨在保障人民有依法令從事於公務，暨由此衍生享有之身分保障、俸給與退休金等權利。公務人員依法銓敘取得之官等</w:t>
      </w:r>
      <w:proofErr w:type="gramStart"/>
      <w:r>
        <w:rPr>
          <w:rFonts w:ascii="新細明體" w:hAnsi="新細明體" w:cs="細明體"/>
          <w:kern w:val="0"/>
        </w:rPr>
        <w:t>俸</w:t>
      </w:r>
      <w:proofErr w:type="gramEnd"/>
      <w:r>
        <w:rPr>
          <w:rFonts w:ascii="新細明體" w:hAnsi="新細明體" w:cs="細明體"/>
          <w:kern w:val="0"/>
        </w:rPr>
        <w:t>級，基於憲法上服公職之權利，受制度性保障</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，惟其俸給銓敘權利之取得，係以取得公務人員任用法上之公務人員資格為前提。</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聘用無須資格，無官等職等、無法定</w:t>
      </w:r>
      <w:proofErr w:type="gramStart"/>
      <w:r>
        <w:rPr>
          <w:rFonts w:ascii="新細明體" w:hAnsi="新細明體" w:cs="細明體"/>
          <w:kern w:val="0"/>
        </w:rPr>
        <w:t>之官稱或</w:t>
      </w:r>
      <w:proofErr w:type="gramEnd"/>
      <w:r>
        <w:rPr>
          <w:rFonts w:ascii="新細明體" w:hAnsi="新細明體" w:cs="細明體"/>
          <w:kern w:val="0"/>
        </w:rPr>
        <w:t>職稱，亦</w:t>
      </w:r>
      <w:proofErr w:type="gramStart"/>
      <w:r>
        <w:rPr>
          <w:rFonts w:ascii="新細明體" w:hAnsi="新細明體" w:cs="細明體"/>
          <w:kern w:val="0"/>
        </w:rPr>
        <w:t>不</w:t>
      </w:r>
      <w:proofErr w:type="gramEnd"/>
      <w:r>
        <w:rPr>
          <w:rFonts w:ascii="新細明體" w:hAnsi="新細明體" w:cs="細明體"/>
          <w:kern w:val="0"/>
        </w:rPr>
        <w:t>敘</w:t>
      </w:r>
      <w:proofErr w:type="gramStart"/>
      <w:r>
        <w:rPr>
          <w:rFonts w:ascii="新細明體" w:hAnsi="新細明體" w:cs="細明體"/>
          <w:kern w:val="0"/>
        </w:rPr>
        <w:t>俸</w:t>
      </w:r>
      <w:proofErr w:type="gramEnd"/>
      <w:r>
        <w:rPr>
          <w:rFonts w:ascii="新細明體" w:hAnsi="新細明體" w:cs="細明體"/>
          <w:kern w:val="0"/>
        </w:rPr>
        <w:t>。因其無公務人員任用資格，依聘用條例第六條，特別明定其不適用公務人員俸給法、退休法、撫</w:t>
      </w:r>
      <w:proofErr w:type="gramStart"/>
      <w:r>
        <w:rPr>
          <w:rFonts w:ascii="新細明體" w:hAnsi="新細明體" w:cs="細明體"/>
          <w:kern w:val="0"/>
        </w:rPr>
        <w:t>卹</w:t>
      </w:r>
      <w:proofErr w:type="gramEnd"/>
      <w:r>
        <w:rPr>
          <w:rFonts w:ascii="新細明體" w:hAnsi="新細明體" w:cs="細明體"/>
          <w:kern w:val="0"/>
        </w:rPr>
        <w:t>法，無由主張公務人員俸給銓敘之</w:t>
      </w:r>
      <w:r>
        <w:rPr>
          <w:rFonts w:ascii="新細明體" w:hAnsi="新細明體" w:cs="細明體"/>
          <w:kern w:val="0"/>
        </w:rPr>
        <w:t>權利</w:t>
      </w:r>
      <w:r>
        <w:rPr>
          <w:rFonts w:ascii="新細明體" w:hAnsi="新細明體" w:cs="細明體" w:hint="eastAsia"/>
          <w:color w:val="000000"/>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color w:val="000000"/>
          <w:kern w:val="0"/>
        </w:rPr>
      </w:pPr>
      <w:r>
        <w:rPr>
          <w:rFonts w:ascii="新細明體" w:hAnsi="新細明體" w:cs="細明體" w:hint="eastAsia"/>
          <w:color w:val="000000"/>
          <w:kern w:val="0"/>
        </w:rPr>
        <w:t>至於</w:t>
      </w:r>
      <w:r>
        <w:rPr>
          <w:rFonts w:ascii="標楷體" w:eastAsia="標楷體" w:hAnsi="標楷體" w:cs="細明體" w:hint="eastAsia"/>
          <w:b/>
          <w:color w:val="000000"/>
          <w:kern w:val="0"/>
        </w:rPr>
        <w:t>對信賴保護原則的操作</w:t>
      </w:r>
      <w:r>
        <w:rPr>
          <w:rFonts w:ascii="新細明體" w:hAnsi="新細明體" w:cs="細明體" w:hint="eastAsia"/>
          <w:color w:val="000000"/>
          <w:kern w:val="0"/>
        </w:rPr>
        <w:t>，本號解釋亦</w:t>
      </w:r>
      <w:r>
        <w:rPr>
          <w:rFonts w:eastAsia="標楷體" w:hAnsi="標楷體"/>
          <w:b/>
          <w:color w:val="000000"/>
          <w:kern w:val="0"/>
        </w:rPr>
        <w:t>大體依循釋字第</w:t>
      </w:r>
      <w:r>
        <w:rPr>
          <w:rFonts w:eastAsia="標楷體"/>
          <w:b/>
          <w:color w:val="000000"/>
          <w:kern w:val="0"/>
        </w:rPr>
        <w:t>525</w:t>
      </w:r>
      <w:r>
        <w:rPr>
          <w:rFonts w:eastAsia="標楷體" w:hAnsi="標楷體"/>
          <w:b/>
          <w:color w:val="000000"/>
          <w:kern w:val="0"/>
        </w:rPr>
        <w:t>號解釋的作法</w:t>
      </w:r>
      <w:r>
        <w:rPr>
          <w:rFonts w:ascii="新細明體" w:hAnsi="新細明體" w:cs="細明體" w:hint="eastAsia"/>
          <w:color w:val="000000"/>
          <w:kern w:val="0"/>
        </w:rPr>
        <w:t>：「</w:t>
      </w:r>
      <w:r>
        <w:rPr>
          <w:rFonts w:ascii="新細明體" w:hAnsi="新細明體" w:cs="細明體"/>
          <w:kern w:val="0"/>
        </w:rPr>
        <w:t>任何行政法規皆不能預期其永久實施，然行政法規發布施行後，訂定或發布法規之機關依法定程序予以修改，應兼顧規範對象信賴利益之保護。其因公益之必要修正法規之內容，如人民因信賴舊法規而有客觀上具體表現信賴之行為，並因法規修正，使其依舊法規已取得之權益，與依舊法規預期可以取得之利益受損害者，應針對人民該利益所受之損害，採取合理之補救措施，或訂定合理之過渡條款，</w:t>
      </w:r>
      <w:proofErr w:type="gramStart"/>
      <w:r>
        <w:rPr>
          <w:rFonts w:ascii="新細明體" w:hAnsi="新細明體" w:cs="細明體"/>
          <w:kern w:val="0"/>
        </w:rPr>
        <w:t>俾</w:t>
      </w:r>
      <w:proofErr w:type="gramEnd"/>
      <w:r>
        <w:rPr>
          <w:rFonts w:ascii="新細明體" w:hAnsi="新細明體" w:cs="細明體"/>
          <w:kern w:val="0"/>
        </w:rPr>
        <w:t>減輕損害，以符憲法保障人民權利意旨。</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至經廢止或變更之法規有重大明顯違反</w:t>
      </w:r>
      <w:r>
        <w:rPr>
          <w:rFonts w:ascii="新細明體" w:hAnsi="新細明體" w:cs="細明體"/>
          <w:kern w:val="0"/>
        </w:rPr>
        <w:t>上位規範情形，或法規（如解釋性、裁量性之行政規則）係因主張權益受害者以不正當方法或提供不正確資料而發布者，其信賴即不值得保護（本院釋字第五二五號解釋意旨參照）</w:t>
      </w:r>
      <w:r>
        <w:rPr>
          <w:rFonts w:ascii="新細明體" w:hAnsi="新細明體" w:cs="細明體" w:hint="eastAsia"/>
          <w:color w:val="000000"/>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color w:val="000000"/>
          <w:kern w:val="0"/>
        </w:rPr>
      </w:pPr>
      <w:r>
        <w:rPr>
          <w:rFonts w:ascii="新細明體" w:hAnsi="新細明體" w:cs="細明體" w:hint="eastAsia"/>
          <w:color w:val="000000"/>
          <w:kern w:val="0"/>
        </w:rPr>
        <w:t>特別值得留意的是，許宗力大法官在釋字第</w:t>
      </w:r>
      <w:r>
        <w:rPr>
          <w:color w:val="000000"/>
          <w:kern w:val="0"/>
        </w:rPr>
        <w:t>574</w:t>
      </w:r>
      <w:r>
        <w:rPr>
          <w:rFonts w:ascii="新細明體" w:hAnsi="新細明體" w:cs="細明體" w:hint="eastAsia"/>
          <w:color w:val="000000"/>
          <w:kern w:val="0"/>
        </w:rPr>
        <w:t>號解釋之協同意見書中提出的，</w:t>
      </w:r>
      <w:r>
        <w:rPr>
          <w:rFonts w:ascii="標楷體" w:eastAsia="標楷體" w:hAnsi="標楷體" w:cs="細明體" w:hint="eastAsia"/>
          <w:b/>
          <w:color w:val="000000"/>
          <w:kern w:val="0"/>
        </w:rPr>
        <w:t>取向「期待權」理論來判斷信賴是否值得保護的判</w:t>
      </w:r>
      <w:proofErr w:type="gramStart"/>
      <w:r>
        <w:rPr>
          <w:rFonts w:ascii="標楷體" w:eastAsia="標楷體" w:hAnsi="標楷體" w:cs="細明體" w:hint="eastAsia"/>
          <w:b/>
          <w:color w:val="000000"/>
          <w:kern w:val="0"/>
        </w:rPr>
        <w:t>準</w:t>
      </w:r>
      <w:proofErr w:type="gramEnd"/>
      <w:r>
        <w:rPr>
          <w:rFonts w:ascii="新細明體" w:hAnsi="新細明體" w:cs="細明體" w:hint="eastAsia"/>
          <w:color w:val="000000"/>
          <w:kern w:val="0"/>
        </w:rPr>
        <w:t>，在本件解釋中得以貫徹：「</w:t>
      </w:r>
      <w:r>
        <w:rPr>
          <w:rFonts w:ascii="新細明體" w:hAnsi="新細明體" w:cs="細明體"/>
          <w:kern w:val="0"/>
        </w:rPr>
        <w:t>惟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w:t>
      </w:r>
      <w:r>
        <w:rPr>
          <w:rFonts w:ascii="新細明體" w:hAnsi="新細明體" w:cs="細明體"/>
          <w:kern w:val="0"/>
        </w:rPr>
        <w:t>，該要件有實現之可能等因素決定之。</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人民如信賴八十四年及八十七年施行細</w:t>
      </w:r>
      <w:r>
        <w:rPr>
          <w:rFonts w:ascii="新細明體" w:hAnsi="新細明體" w:cs="細明體"/>
          <w:kern w:val="0"/>
        </w:rPr>
        <w:lastRenderedPageBreak/>
        <w:t>則第十五條第二項、第三項規定，而</w:t>
      </w:r>
      <w:r>
        <w:rPr>
          <w:rFonts w:ascii="新細明體" w:hAnsi="新細明體" w:cs="細明體"/>
          <w:kern w:val="0"/>
          <w:u w:val="single"/>
        </w:rPr>
        <w:t>於八十八年施行細則修正前應公務人員高等考試，並筆試及格，開始接受實務訓練，預期於取得公務人員任用資格而實任公務人員職務時，依八十八年修正前之施行細則申請並取得提敘年資之權益，因屬客觀上可以合理期待其實現，故非不得主張信賴保護</w:t>
      </w:r>
      <w:r>
        <w:rPr>
          <w:rFonts w:ascii="新細明體" w:hAnsi="新細明體" w:cs="細明體" w:hint="eastAsia"/>
          <w:color w:val="000000"/>
          <w:kern w:val="0"/>
        </w:rPr>
        <w:t>」。然而，大法官將前述標準運用到本件基礎案例時，似</w:t>
      </w:r>
      <w:r>
        <w:rPr>
          <w:rFonts w:ascii="標楷體" w:eastAsia="標楷體" w:hAnsi="標楷體" w:cs="細明體" w:hint="eastAsia"/>
          <w:b/>
          <w:color w:val="000000"/>
          <w:kern w:val="0"/>
        </w:rPr>
        <w:t>又基於比例原則的考量</w:t>
      </w:r>
      <w:r>
        <w:rPr>
          <w:color w:val="000000"/>
          <w:kern w:val="0"/>
          <w:vertAlign w:val="superscript"/>
        </w:rPr>
        <w:footnoteReference w:id="10"/>
      </w:r>
      <w:r>
        <w:rPr>
          <w:rFonts w:ascii="標楷體" w:eastAsia="標楷體" w:hAnsi="標楷體" w:cs="細明體" w:hint="eastAsia"/>
          <w:b/>
          <w:color w:val="000000"/>
          <w:kern w:val="0"/>
        </w:rPr>
        <w:t>對已得主張信賴保護之「期待權」加以限制</w:t>
      </w:r>
      <w:r>
        <w:rPr>
          <w:rFonts w:ascii="新細明體" w:hAnsi="新細明體" w:cs="細明體" w:hint="eastAsia"/>
          <w:color w:val="000000"/>
          <w:kern w:val="0"/>
        </w:rPr>
        <w:t>：「</w:t>
      </w:r>
      <w:r>
        <w:rPr>
          <w:rFonts w:ascii="新細明體" w:hAnsi="新細明體" w:cs="細明體"/>
          <w:kern w:val="0"/>
        </w:rPr>
        <w:t>八十八年施行細則為特別保護依修正前法規已可合理</w:t>
      </w:r>
      <w:proofErr w:type="gramStart"/>
      <w:r>
        <w:rPr>
          <w:rFonts w:ascii="新細明體" w:hAnsi="新細明體" w:cs="細明體"/>
          <w:kern w:val="0"/>
        </w:rPr>
        <w:t>期待其提敘</w:t>
      </w:r>
      <w:proofErr w:type="gramEnd"/>
      <w:r>
        <w:rPr>
          <w:rFonts w:ascii="新細明體" w:hAnsi="新細明體" w:cs="細明體"/>
          <w:kern w:val="0"/>
        </w:rPr>
        <w:t>權益者之既得利</w:t>
      </w:r>
      <w:r>
        <w:rPr>
          <w:rFonts w:ascii="新細明體" w:hAnsi="新細明體" w:cs="細明體"/>
          <w:kern w:val="0"/>
        </w:rPr>
        <w:t>益，</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乃以指定施行日期方式，訂定過渡條款，</w:t>
      </w:r>
      <w:proofErr w:type="gramStart"/>
      <w:r>
        <w:rPr>
          <w:rFonts w:ascii="新細明體" w:hAnsi="新細明體" w:cs="細明體"/>
          <w:kern w:val="0"/>
        </w:rPr>
        <w:t>俾</w:t>
      </w:r>
      <w:proofErr w:type="gramEnd"/>
      <w:r>
        <w:rPr>
          <w:rFonts w:ascii="新細明體" w:hAnsi="新細明體" w:cs="細明體"/>
          <w:kern w:val="0"/>
        </w:rPr>
        <w:t>使新施行細則生效前，已依法取得公務人員任用資格，但尚未辦理</w:t>
      </w:r>
      <w:proofErr w:type="gramStart"/>
      <w:r>
        <w:rPr>
          <w:rFonts w:ascii="新細明體" w:hAnsi="新細明體" w:cs="細明體"/>
          <w:kern w:val="0"/>
        </w:rPr>
        <w:t>提敘者</w:t>
      </w:r>
      <w:proofErr w:type="gramEnd"/>
      <w:r>
        <w:rPr>
          <w:rFonts w:ascii="新細明體" w:hAnsi="新細明體" w:cs="細明體"/>
          <w:kern w:val="0"/>
        </w:rPr>
        <w:t>，得及時辦理</w:t>
      </w:r>
      <w:proofErr w:type="gramStart"/>
      <w:r>
        <w:rPr>
          <w:rFonts w:ascii="新細明體" w:hAnsi="新細明體" w:cs="細明體"/>
          <w:kern w:val="0"/>
        </w:rPr>
        <w:t>俸級提</w:t>
      </w:r>
      <w:proofErr w:type="gramEnd"/>
      <w:r>
        <w:rPr>
          <w:rFonts w:ascii="新細明體" w:hAnsi="新細明體" w:cs="細明體"/>
          <w:kern w:val="0"/>
        </w:rPr>
        <w:t>敘，同時使部分已應公務人員考試筆試及格，於過渡期間受訓期滿，而取得公務人員任用資格之人員，亦得依舊施行細則之規定辦理</w:t>
      </w:r>
      <w:proofErr w:type="gramStart"/>
      <w:r>
        <w:rPr>
          <w:rFonts w:ascii="新細明體" w:hAnsi="新細明體" w:cs="細明體"/>
          <w:kern w:val="0"/>
        </w:rPr>
        <w:t>俸級提</w:t>
      </w:r>
      <w:proofErr w:type="gramEnd"/>
      <w:r>
        <w:rPr>
          <w:rFonts w:ascii="新細明體" w:hAnsi="新細明體" w:cs="細明體"/>
          <w:kern w:val="0"/>
        </w:rPr>
        <w:t>敘，以保障其權益，雖</w:t>
      </w:r>
      <w:r>
        <w:rPr>
          <w:rFonts w:ascii="新細明體" w:hAnsi="新細明體" w:cs="細明體"/>
          <w:kern w:val="0"/>
          <w:u w:val="single"/>
        </w:rPr>
        <w:t>仍有部分已考試及格、尚未受訓期滿人員，因未能及時於過渡期間取得公務人員任用資格，而未能同享</w:t>
      </w:r>
      <w:proofErr w:type="gramStart"/>
      <w:r>
        <w:rPr>
          <w:rFonts w:ascii="新細明體" w:hAnsi="新細明體" w:cs="細明體"/>
          <w:kern w:val="0"/>
          <w:u w:val="single"/>
        </w:rPr>
        <w:t>俸級提</w:t>
      </w:r>
      <w:proofErr w:type="gramEnd"/>
      <w:r>
        <w:rPr>
          <w:rFonts w:ascii="新細明體" w:hAnsi="新細明體" w:cs="細明體"/>
          <w:kern w:val="0"/>
          <w:u w:val="single"/>
        </w:rPr>
        <w:t>敘之利益，對其權益之保護未</w:t>
      </w:r>
      <w:proofErr w:type="gramStart"/>
      <w:r>
        <w:rPr>
          <w:rFonts w:ascii="新細明體" w:hAnsi="新細明體" w:cs="細明體"/>
          <w:kern w:val="0"/>
          <w:u w:val="single"/>
        </w:rPr>
        <w:t>臻</w:t>
      </w:r>
      <w:proofErr w:type="gramEnd"/>
      <w:r>
        <w:rPr>
          <w:rFonts w:ascii="新細明體" w:hAnsi="新細明體" w:cs="細明體"/>
          <w:kern w:val="0"/>
          <w:u w:val="single"/>
        </w:rPr>
        <w:t>周詳</w:t>
      </w:r>
      <w:r>
        <w:rPr>
          <w:rFonts w:ascii="新細明體" w:hAnsi="新細明體" w:cs="細明體"/>
          <w:kern w:val="0"/>
        </w:rPr>
        <w:t>，惟為避免修法所追求公益目的遲未能實現，過渡期間本不宜過長，而新法規之修正本質上為正常文官制度外優惠措施之縮減，衡</w:t>
      </w:r>
      <w:r>
        <w:rPr>
          <w:rFonts w:ascii="新細明體" w:hAnsi="新細明體" w:cs="細明體"/>
          <w:kern w:val="0"/>
        </w:rPr>
        <w:t>諸人民依舊法規本可預期得提敘</w:t>
      </w:r>
      <w:proofErr w:type="gramStart"/>
      <w:r>
        <w:rPr>
          <w:rFonts w:ascii="新細明體" w:hAnsi="新細明體" w:cs="細明體"/>
          <w:kern w:val="0"/>
        </w:rPr>
        <w:t>俸</w:t>
      </w:r>
      <w:proofErr w:type="gramEnd"/>
      <w:r>
        <w:rPr>
          <w:rFonts w:ascii="新細明體" w:hAnsi="新細明體" w:cs="細明體"/>
          <w:kern w:val="0"/>
        </w:rPr>
        <w:t>級至年功</w:t>
      </w:r>
      <w:proofErr w:type="gramStart"/>
      <w:r>
        <w:rPr>
          <w:rFonts w:ascii="新細明體" w:hAnsi="新細明體" w:cs="細明體"/>
          <w:kern w:val="0"/>
        </w:rPr>
        <w:t>俸</w:t>
      </w:r>
      <w:proofErr w:type="gramEnd"/>
      <w:r>
        <w:rPr>
          <w:rFonts w:ascii="新細明體" w:hAnsi="新細明體" w:cs="細明體"/>
          <w:kern w:val="0"/>
        </w:rPr>
        <w:t>最高級，而依新施行細則只得提敘至本</w:t>
      </w:r>
      <w:proofErr w:type="gramStart"/>
      <w:r>
        <w:rPr>
          <w:rFonts w:ascii="新細明體" w:hAnsi="新細明體" w:cs="細明體"/>
          <w:kern w:val="0"/>
        </w:rPr>
        <w:t>俸</w:t>
      </w:r>
      <w:proofErr w:type="gramEnd"/>
      <w:r>
        <w:rPr>
          <w:rFonts w:ascii="新細明體" w:hAnsi="新細明體" w:cs="細明體"/>
          <w:kern w:val="0"/>
        </w:rPr>
        <w:t>最高級所損失之利益，與主管機關為建立公平合理之公務人員年功</w:t>
      </w:r>
      <w:proofErr w:type="gramStart"/>
      <w:r>
        <w:rPr>
          <w:rFonts w:ascii="新細明體" w:hAnsi="新細明體" w:cs="細明體"/>
          <w:kern w:val="0"/>
        </w:rPr>
        <w:t>俸</w:t>
      </w:r>
      <w:proofErr w:type="gramEnd"/>
      <w:r>
        <w:rPr>
          <w:rFonts w:ascii="新細明體" w:hAnsi="新細明體" w:cs="細明體"/>
          <w:kern w:val="0"/>
        </w:rPr>
        <w:t>制度所欲維護之公益，新施行細則以八十九年一月十五日之特定日期為施行日期之過渡條款規定，尚屬合理，與憲法上之信賴保護原則及平等</w:t>
      </w:r>
      <w:proofErr w:type="gramStart"/>
      <w:r>
        <w:rPr>
          <w:rFonts w:ascii="新細明體" w:hAnsi="新細明體" w:cs="細明體"/>
          <w:kern w:val="0"/>
        </w:rPr>
        <w:t>原則均尚無</w:t>
      </w:r>
      <w:proofErr w:type="gramEnd"/>
      <w:r>
        <w:rPr>
          <w:rFonts w:ascii="新細明體" w:hAnsi="新細明體" w:cs="細明體"/>
          <w:kern w:val="0"/>
        </w:rPr>
        <w:t>違背</w:t>
      </w:r>
      <w:r>
        <w:rPr>
          <w:rFonts w:ascii="新細明體" w:hAnsi="新細明體" w:cs="細明體" w:hint="eastAsia"/>
          <w:color w:val="000000"/>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color w:val="000000"/>
          <w:kern w:val="0"/>
        </w:rPr>
        <w:t xml:space="preserve">    </w:t>
      </w:r>
      <w:r>
        <w:rPr>
          <w:rFonts w:ascii="新細明體" w:hAnsi="新細明體" w:cs="細明體" w:hint="eastAsia"/>
          <w:color w:val="000000"/>
          <w:kern w:val="0"/>
        </w:rPr>
        <w:t>對本號解釋，曾有田大法官「就所涉法律</w:t>
      </w:r>
      <w:proofErr w:type="gramStart"/>
      <w:r>
        <w:rPr>
          <w:rFonts w:ascii="新細明體" w:hAnsi="新細明體" w:cs="細明體" w:hint="eastAsia"/>
          <w:color w:val="000000"/>
          <w:kern w:val="0"/>
        </w:rPr>
        <w:t>不</w:t>
      </w:r>
      <w:proofErr w:type="gramEnd"/>
      <w:r>
        <w:rPr>
          <w:rFonts w:ascii="新細明體" w:hAnsi="新細明體" w:cs="細明體" w:hint="eastAsia"/>
          <w:color w:val="000000"/>
          <w:kern w:val="0"/>
        </w:rPr>
        <w:t>溯及既往原則問題」提出協同意見書。其強調，</w:t>
      </w:r>
      <w:r>
        <w:rPr>
          <w:rFonts w:ascii="新細明體" w:hAnsi="新細明體" w:cs="細明體" w:hint="eastAsia"/>
          <w:kern w:val="0"/>
        </w:rPr>
        <w:t>「</w:t>
      </w:r>
      <w:r>
        <w:rPr>
          <w:rFonts w:ascii="標楷體" w:eastAsia="標楷體" w:hAnsi="標楷體" w:cs="細明體" w:hint="eastAsia"/>
          <w:b/>
          <w:kern w:val="0"/>
        </w:rPr>
        <w:t>『</w:t>
      </w:r>
      <w:r>
        <w:rPr>
          <w:rFonts w:ascii="標楷體" w:eastAsia="標楷體" w:hAnsi="標楷體" w:cs="細明體"/>
          <w:b/>
          <w:kern w:val="0"/>
        </w:rPr>
        <w:t>法律溯及既往</w:t>
      </w:r>
      <w:r>
        <w:rPr>
          <w:rFonts w:ascii="標楷體" w:eastAsia="標楷體" w:hAnsi="標楷體" w:cs="細明體" w:hint="eastAsia"/>
          <w:b/>
          <w:kern w:val="0"/>
        </w:rPr>
        <w:t>』</w:t>
      </w:r>
      <w:r>
        <w:rPr>
          <w:rFonts w:ascii="標楷體" w:eastAsia="標楷體" w:hAnsi="標楷體" w:cs="細明體"/>
          <w:b/>
          <w:kern w:val="0"/>
        </w:rPr>
        <w:t>之概念應僅限於法律回溯對施行日期前已完結之事實生效，至</w:t>
      </w:r>
      <w:r>
        <w:rPr>
          <w:rFonts w:ascii="新細明體" w:hAnsi="新細明體" w:cs="細明體"/>
          <w:kern w:val="0"/>
        </w:rPr>
        <w:t>學術上所謂</w:t>
      </w:r>
      <w:r>
        <w:rPr>
          <w:rFonts w:ascii="標楷體" w:eastAsia="標楷體" w:hAnsi="標楷體" w:cs="細明體" w:hint="eastAsia"/>
          <w:b/>
          <w:kern w:val="0"/>
        </w:rPr>
        <w:t>『</w:t>
      </w:r>
      <w:proofErr w:type="gramStart"/>
      <w:r>
        <w:rPr>
          <w:rFonts w:ascii="標楷體" w:eastAsia="標楷體" w:hAnsi="標楷體" w:cs="細明體"/>
          <w:b/>
          <w:kern w:val="0"/>
        </w:rPr>
        <w:t>不</w:t>
      </w:r>
      <w:proofErr w:type="gramEnd"/>
      <w:r>
        <w:rPr>
          <w:rFonts w:ascii="標楷體" w:eastAsia="標楷體" w:hAnsi="標楷體" w:cs="細明體"/>
          <w:b/>
          <w:kern w:val="0"/>
        </w:rPr>
        <w:t>真正溯及既往</w:t>
      </w:r>
      <w:r>
        <w:rPr>
          <w:rFonts w:ascii="標楷體" w:eastAsia="標楷體" w:hAnsi="標楷體" w:cs="細明體" w:hint="eastAsia"/>
          <w:b/>
          <w:kern w:val="0"/>
        </w:rPr>
        <w:t>』</w:t>
      </w:r>
      <w:r>
        <w:rPr>
          <w:rFonts w:ascii="新細明體" w:hAnsi="新細明體" w:cs="細明體"/>
          <w:kern w:val="0"/>
        </w:rPr>
        <w:t>或</w:t>
      </w:r>
      <w:r>
        <w:rPr>
          <w:rFonts w:ascii="新細明體" w:hAnsi="新細明體" w:cs="細明體" w:hint="eastAsia"/>
          <w:kern w:val="0"/>
        </w:rPr>
        <w:t>『</w:t>
      </w:r>
      <w:r>
        <w:rPr>
          <w:rFonts w:ascii="新細明體" w:hAnsi="新細明體" w:cs="細明體"/>
          <w:kern w:val="0"/>
        </w:rPr>
        <w:t>法律事實之回溯連結」</w:t>
      </w:r>
      <w:r>
        <w:rPr>
          <w:rFonts w:ascii="新細明體" w:hAnsi="新細明體" w:cs="細明體" w:hint="eastAsia"/>
          <w:kern w:val="0"/>
        </w:rPr>
        <w:t>』</w:t>
      </w:r>
      <w:r>
        <w:rPr>
          <w:rFonts w:ascii="新細明體" w:hAnsi="新細明體" w:cs="細明體"/>
          <w:kern w:val="0"/>
        </w:rPr>
        <w:lastRenderedPageBreak/>
        <w:t>類型，</w:t>
      </w:r>
      <w:r>
        <w:rPr>
          <w:rFonts w:ascii="標楷體" w:eastAsia="標楷體" w:hAnsi="標楷體" w:cs="細明體"/>
          <w:b/>
          <w:kern w:val="0"/>
        </w:rPr>
        <w:t>應依</w:t>
      </w:r>
      <w:r>
        <w:rPr>
          <w:rFonts w:ascii="標楷體" w:eastAsia="標楷體" w:hAnsi="標楷體" w:cs="細明體" w:hint="eastAsia"/>
          <w:b/>
          <w:kern w:val="0"/>
        </w:rPr>
        <w:t>『</w:t>
      </w:r>
      <w:r>
        <w:rPr>
          <w:rFonts w:ascii="標楷體" w:eastAsia="標楷體" w:hAnsi="標楷體" w:cs="細明體"/>
          <w:b/>
          <w:kern w:val="0"/>
        </w:rPr>
        <w:t>信賴</w:t>
      </w:r>
      <w:r>
        <w:rPr>
          <w:rFonts w:ascii="標楷體" w:eastAsia="標楷體" w:hAnsi="標楷體" w:cs="細明體"/>
          <w:b/>
          <w:kern w:val="0"/>
        </w:rPr>
        <w:t>保護原則</w:t>
      </w:r>
      <w:r>
        <w:rPr>
          <w:rFonts w:ascii="標楷體" w:eastAsia="標楷體" w:hAnsi="標楷體" w:cs="細明體" w:hint="eastAsia"/>
          <w:b/>
          <w:kern w:val="0"/>
        </w:rPr>
        <w:t>』</w:t>
      </w:r>
      <w:r>
        <w:rPr>
          <w:rFonts w:ascii="標楷體" w:eastAsia="標楷體" w:hAnsi="標楷體" w:cs="細明體"/>
          <w:b/>
          <w:kern w:val="0"/>
        </w:rPr>
        <w:t>予以審查</w:t>
      </w:r>
      <w:r>
        <w:rPr>
          <w:rFonts w:ascii="新細明體" w:hAnsi="新細明體" w:cs="細明體" w:hint="eastAsia"/>
          <w:kern w:val="0"/>
        </w:rPr>
        <w:t>」：「</w:t>
      </w:r>
      <w:r>
        <w:rPr>
          <w:rFonts w:hAnsi="新細明體"/>
          <w:kern w:val="0"/>
        </w:rPr>
        <w:t>法律</w:t>
      </w:r>
      <w:proofErr w:type="gramStart"/>
      <w:r>
        <w:rPr>
          <w:rFonts w:hAnsi="新細明體"/>
          <w:kern w:val="0"/>
        </w:rPr>
        <w:t>不</w:t>
      </w:r>
      <w:proofErr w:type="gramEnd"/>
      <w:r>
        <w:rPr>
          <w:rFonts w:hAnsi="新細明體"/>
          <w:kern w:val="0"/>
        </w:rPr>
        <w:t>溯及既往原則</w:t>
      </w:r>
      <w:r>
        <w:rPr>
          <w:kern w:val="0"/>
        </w:rPr>
        <w:t>…</w:t>
      </w:r>
      <w:proofErr w:type="gramStart"/>
      <w:r>
        <w:rPr>
          <w:kern w:val="0"/>
        </w:rPr>
        <w:t>…</w:t>
      </w:r>
      <w:proofErr w:type="gramEnd"/>
      <w:r>
        <w:rPr>
          <w:rFonts w:hAnsi="新細明體"/>
          <w:kern w:val="0"/>
        </w:rPr>
        <w:t>乃指人民按行為時法律所創設之秩序規範決定其舉措，因為在法治國家，不能期待人民於現在行為時遵守未來制訂之法令，此為法治國家基本原則之</w:t>
      </w:r>
      <w:proofErr w:type="gramStart"/>
      <w:r>
        <w:rPr>
          <w:rFonts w:hAnsi="新細明體"/>
          <w:kern w:val="0"/>
        </w:rPr>
        <w:t>一</w:t>
      </w:r>
      <w:proofErr w:type="gramEnd"/>
      <w:r>
        <w:rPr>
          <w:rFonts w:hAnsi="新細明體"/>
          <w:kern w:val="0"/>
        </w:rPr>
        <w:t>。依此原則，法律僅能於制訂後向未來生效，不得溯及既往對已完結之事實發生規範效力，原則上亦不容許國家經由立法對於既已完結之事實，重新給予法律評價</w:t>
      </w:r>
      <w:r>
        <w:rPr>
          <w:kern w:val="0"/>
        </w:rPr>
        <w:t>…</w:t>
      </w:r>
      <w:proofErr w:type="gramStart"/>
      <w:r>
        <w:rPr>
          <w:kern w:val="0"/>
        </w:rPr>
        <w:t>…</w:t>
      </w:r>
      <w:proofErr w:type="gramEnd"/>
      <w:r>
        <w:rPr>
          <w:rFonts w:hAnsi="新細明體"/>
          <w:kern w:val="0"/>
        </w:rPr>
        <w:t>，否則即與『信賴保護原則』</w:t>
      </w:r>
      <w:r>
        <w:rPr>
          <w:kern w:val="0"/>
        </w:rPr>
        <w:t>…</w:t>
      </w:r>
      <w:proofErr w:type="gramStart"/>
      <w:r>
        <w:rPr>
          <w:kern w:val="0"/>
        </w:rPr>
        <w:t>…</w:t>
      </w:r>
      <w:proofErr w:type="gramEnd"/>
      <w:r>
        <w:rPr>
          <w:rFonts w:hAnsi="新細明體"/>
          <w:kern w:val="0"/>
        </w:rPr>
        <w:t>相牴觸。故法律</w:t>
      </w:r>
      <w:proofErr w:type="gramStart"/>
      <w:r>
        <w:rPr>
          <w:rFonts w:hAnsi="新細明體"/>
          <w:kern w:val="0"/>
        </w:rPr>
        <w:t>不</w:t>
      </w:r>
      <w:proofErr w:type="gramEnd"/>
      <w:r>
        <w:rPr>
          <w:rFonts w:hAnsi="新細明體"/>
          <w:kern w:val="0"/>
        </w:rPr>
        <w:t>溯及既往原則乃法治國原則底下，基於法律安定性及信賴保護之要求，而為憲法上拘束立法、行政及司法機關之基本原則，</w:t>
      </w:r>
      <w:proofErr w:type="gramStart"/>
      <w:r>
        <w:rPr>
          <w:rFonts w:hAnsi="新細明體"/>
          <w:kern w:val="0"/>
        </w:rPr>
        <w:t>毋待憲法</w:t>
      </w:r>
      <w:proofErr w:type="gramEnd"/>
      <w:r>
        <w:rPr>
          <w:rFonts w:hAnsi="新細明體"/>
          <w:kern w:val="0"/>
        </w:rPr>
        <w:t>明文」</w:t>
      </w:r>
      <w:r>
        <w:rPr>
          <w:rFonts w:hAnsi="新細明體" w:hint="eastAsia"/>
          <w:kern w:val="0"/>
        </w:rPr>
        <w:t>；</w:t>
      </w:r>
      <w:r>
        <w:rPr>
          <w:rFonts w:ascii="新細明體" w:hAnsi="新細明體" w:cs="細明體" w:hint="eastAsia"/>
          <w:kern w:val="0"/>
        </w:rPr>
        <w:t>「</w:t>
      </w:r>
      <w:r>
        <w:rPr>
          <w:rFonts w:ascii="新細明體" w:hAnsi="新細明體" w:cs="細明體"/>
          <w:kern w:val="0"/>
          <w:u w:val="single"/>
        </w:rPr>
        <w:t>所謂</w:t>
      </w:r>
      <w:r>
        <w:rPr>
          <w:rFonts w:ascii="新細明體" w:hAnsi="新細明體" w:cs="細明體" w:hint="eastAsia"/>
          <w:kern w:val="0"/>
          <w:u w:val="single"/>
        </w:rPr>
        <w:t>『</w:t>
      </w:r>
      <w:r>
        <w:rPr>
          <w:rFonts w:ascii="新細明體" w:hAnsi="新細明體" w:cs="細明體"/>
          <w:kern w:val="0"/>
          <w:u w:val="single"/>
        </w:rPr>
        <w:t>真正溯及既</w:t>
      </w:r>
      <w:r>
        <w:rPr>
          <w:rFonts w:ascii="新細明體" w:hAnsi="新細明體" w:cs="細明體"/>
          <w:kern w:val="0"/>
          <w:u w:val="single"/>
        </w:rPr>
        <w:t>往</w:t>
      </w:r>
      <w:r>
        <w:rPr>
          <w:rFonts w:ascii="新細明體" w:hAnsi="新細明體" w:cs="細明體" w:hint="eastAsia"/>
          <w:kern w:val="0"/>
          <w:u w:val="single"/>
        </w:rPr>
        <w:t>』</w:t>
      </w:r>
      <w:r>
        <w:rPr>
          <w:rFonts w:ascii="新細明體" w:hAnsi="新細明體" w:cs="細明體"/>
          <w:kern w:val="0"/>
          <w:u w:val="single"/>
        </w:rPr>
        <w:t>或</w:t>
      </w:r>
      <w:r>
        <w:rPr>
          <w:rFonts w:ascii="新細明體" w:hAnsi="新細明體" w:cs="細明體" w:hint="eastAsia"/>
          <w:kern w:val="0"/>
          <w:u w:val="single"/>
        </w:rPr>
        <w:t>『</w:t>
      </w:r>
      <w:r>
        <w:rPr>
          <w:rFonts w:ascii="新細明體" w:hAnsi="新細明體" w:cs="細明體"/>
          <w:kern w:val="0"/>
          <w:u w:val="single"/>
        </w:rPr>
        <w:t>法律</w:t>
      </w:r>
      <w:proofErr w:type="gramStart"/>
      <w:r>
        <w:rPr>
          <w:rFonts w:ascii="新細明體" w:hAnsi="新細明體" w:cs="細明體"/>
          <w:kern w:val="0"/>
          <w:u w:val="single"/>
        </w:rPr>
        <w:t>效果之溯及</w:t>
      </w:r>
      <w:proofErr w:type="gramEnd"/>
      <w:r>
        <w:rPr>
          <w:rFonts w:ascii="新細明體" w:hAnsi="新細明體" w:cs="細明體"/>
          <w:kern w:val="0"/>
          <w:u w:val="single"/>
        </w:rPr>
        <w:t>生效</w:t>
      </w:r>
      <w:r>
        <w:rPr>
          <w:rFonts w:ascii="新細明體" w:hAnsi="新細明體" w:cs="細明體" w:hint="eastAsia"/>
          <w:kern w:val="0"/>
          <w:u w:val="single"/>
        </w:rPr>
        <w:t>』</w:t>
      </w:r>
      <w:r>
        <w:rPr>
          <w:rFonts w:ascii="新細明體" w:hAnsi="新細明體" w:cs="細明體"/>
          <w:kern w:val="0"/>
          <w:u w:val="single"/>
        </w:rPr>
        <w:t>，即上述法律</w:t>
      </w:r>
      <w:proofErr w:type="gramStart"/>
      <w:r>
        <w:rPr>
          <w:rFonts w:ascii="新細明體" w:hAnsi="新細明體" w:cs="細明體"/>
          <w:kern w:val="0"/>
          <w:u w:val="single"/>
        </w:rPr>
        <w:t>不</w:t>
      </w:r>
      <w:proofErr w:type="gramEnd"/>
      <w:r>
        <w:rPr>
          <w:rFonts w:ascii="新細明體" w:hAnsi="新細明體" w:cs="細明體"/>
          <w:kern w:val="0"/>
          <w:u w:val="single"/>
        </w:rPr>
        <w:t>溯及既往原則所擬處理之類型</w:t>
      </w:r>
      <w:r>
        <w:rPr>
          <w:rFonts w:ascii="新細明體" w:hAnsi="新細明體" w:cs="細明體"/>
          <w:kern w:val="0"/>
        </w:rPr>
        <w:t>，</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指法令公布施行後，回溯對前已完結之事實回溯生效</w:t>
      </w:r>
      <w:r>
        <w:rPr>
          <w:rFonts w:ascii="新細明體" w:hAnsi="新細明體" w:cs="細明體" w:hint="eastAsia"/>
          <w:kern w:val="0"/>
        </w:rPr>
        <w:t>」，「</w:t>
      </w:r>
      <w:r>
        <w:rPr>
          <w:rFonts w:ascii="新細明體" w:hAnsi="新細明體" w:cs="細明體"/>
          <w:kern w:val="0"/>
        </w:rPr>
        <w:t>倘法令之適用範圍回溯至其生效日期前已完結之事實，則人民對於先前法秩序之信賴勢必遭受破壞，甚至原屬合法之行為，因嗣後法令之制訂或修正，而使之在法律上重新被評價為違法行為，進而可能遭受不可預期之法律制裁，故此種情形有違前述法律</w:t>
      </w:r>
      <w:proofErr w:type="gramStart"/>
      <w:r>
        <w:rPr>
          <w:rFonts w:ascii="新細明體" w:hAnsi="新細明體" w:cs="細明體"/>
          <w:kern w:val="0"/>
        </w:rPr>
        <w:t>不</w:t>
      </w:r>
      <w:proofErr w:type="gramEnd"/>
      <w:r>
        <w:rPr>
          <w:rFonts w:ascii="新細明體" w:hAnsi="新細明體" w:cs="細明體"/>
          <w:kern w:val="0"/>
        </w:rPr>
        <w:t>溯及既往原則。至於僅向將來生效之法律，因對於先前已確定之法律關係或已完結之事實並無影響，故無違反法律</w:t>
      </w:r>
      <w:proofErr w:type="gramStart"/>
      <w:r>
        <w:rPr>
          <w:rFonts w:ascii="新細明體" w:hAnsi="新細明體" w:cs="細明體"/>
          <w:kern w:val="0"/>
        </w:rPr>
        <w:t>不</w:t>
      </w:r>
      <w:proofErr w:type="gramEnd"/>
      <w:r>
        <w:rPr>
          <w:rFonts w:ascii="新細明體" w:hAnsi="新細明體" w:cs="細明體"/>
          <w:kern w:val="0"/>
        </w:rPr>
        <w:t>溯及既往原則之疑慮</w:t>
      </w:r>
      <w:r>
        <w:rPr>
          <w:rFonts w:ascii="新細明體" w:hAnsi="新細明體" w:cs="細明體" w:hint="eastAsia"/>
          <w:kern w:val="0"/>
        </w:rPr>
        <w:t>」；「</w:t>
      </w:r>
      <w:r>
        <w:rPr>
          <w:rFonts w:ascii="新細明體" w:hAnsi="新細明體" w:cs="細明體"/>
          <w:kern w:val="0"/>
        </w:rPr>
        <w:t>倘若人民在新法令公布、施行前，基於對</w:t>
      </w:r>
      <w:r>
        <w:rPr>
          <w:rFonts w:ascii="新細明體" w:hAnsi="新細明體" w:cs="細明體"/>
          <w:kern w:val="0"/>
        </w:rPr>
        <w:t>舊法令所創設秩序之信賴，已開始表現具體之行為，期待在將來法律關係確定或事實完結後能獲得一定之利益，則新公布之</w:t>
      </w:r>
      <w:proofErr w:type="gramStart"/>
      <w:r>
        <w:rPr>
          <w:rFonts w:ascii="新細明體" w:hAnsi="新細明體" w:cs="細明體"/>
          <w:kern w:val="0"/>
        </w:rPr>
        <w:t>法令若減損</w:t>
      </w:r>
      <w:proofErr w:type="gramEnd"/>
      <w:r>
        <w:rPr>
          <w:rFonts w:ascii="新細明體" w:hAnsi="新細明體" w:cs="細明體"/>
          <w:kern w:val="0"/>
        </w:rPr>
        <w:t>人民未來具體利益之實現可能性，亦可能導致人民因信賴舊法秩序而遭受權益損害之態樣。此與前述法律溯及生效可能對人民產生相類似之侵害結果，故學者引</w:t>
      </w:r>
      <w:proofErr w:type="gramStart"/>
      <w:r>
        <w:rPr>
          <w:rFonts w:ascii="新細明體" w:hAnsi="新細明體" w:cs="細明體"/>
          <w:kern w:val="0"/>
        </w:rPr>
        <w:t>介</w:t>
      </w:r>
      <w:proofErr w:type="gramEnd"/>
      <w:r>
        <w:rPr>
          <w:rFonts w:ascii="新細明體" w:hAnsi="新細明體" w:cs="細明體"/>
          <w:kern w:val="0"/>
        </w:rPr>
        <w:t>德國聯邦憲法法院所創設之</w:t>
      </w:r>
      <w:r>
        <w:rPr>
          <w:rFonts w:ascii="新細明體" w:hAnsi="新細明體" w:cs="細明體" w:hint="eastAsia"/>
          <w:kern w:val="0"/>
          <w:u w:val="single"/>
        </w:rPr>
        <w:t>『</w:t>
      </w:r>
      <w:proofErr w:type="gramStart"/>
      <w:r>
        <w:rPr>
          <w:rFonts w:ascii="新細明體" w:hAnsi="新細明體" w:cs="細明體"/>
          <w:kern w:val="0"/>
          <w:u w:val="single"/>
        </w:rPr>
        <w:t>不</w:t>
      </w:r>
      <w:proofErr w:type="gramEnd"/>
      <w:r>
        <w:rPr>
          <w:rFonts w:ascii="新細明體" w:hAnsi="新細明體" w:cs="細明體"/>
          <w:kern w:val="0"/>
          <w:u w:val="single"/>
        </w:rPr>
        <w:t>真正溯及既往</w:t>
      </w:r>
      <w:r>
        <w:rPr>
          <w:rFonts w:ascii="新細明體" w:hAnsi="新細明體" w:cs="細明體" w:hint="eastAsia"/>
          <w:kern w:val="0"/>
          <w:u w:val="single"/>
        </w:rPr>
        <w:t>』</w:t>
      </w:r>
      <w:r>
        <w:rPr>
          <w:rFonts w:ascii="新細明體" w:hAnsi="新細明體" w:cs="細明體"/>
          <w:kern w:val="0"/>
          <w:u w:val="single"/>
        </w:rPr>
        <w:t>或</w:t>
      </w:r>
      <w:r>
        <w:rPr>
          <w:rFonts w:ascii="新細明體" w:hAnsi="新細明體" w:cs="細明體" w:hint="eastAsia"/>
          <w:kern w:val="0"/>
          <w:u w:val="single"/>
        </w:rPr>
        <w:t>『</w:t>
      </w:r>
      <w:r>
        <w:rPr>
          <w:rFonts w:ascii="新細明體" w:hAnsi="新細明體" w:cs="細明體"/>
          <w:kern w:val="0"/>
          <w:u w:val="single"/>
        </w:rPr>
        <w:t>法律事實之回溯連結</w:t>
      </w:r>
      <w:r>
        <w:rPr>
          <w:rFonts w:ascii="新細明體" w:hAnsi="新細明體" w:cs="細明體" w:hint="eastAsia"/>
          <w:kern w:val="0"/>
          <w:u w:val="single"/>
        </w:rPr>
        <w:t>』</w:t>
      </w:r>
      <w:r>
        <w:rPr>
          <w:rFonts w:ascii="新細明體" w:hAnsi="新細明體" w:cs="細明體"/>
          <w:kern w:val="0"/>
          <w:u w:val="single"/>
        </w:rPr>
        <w:t>概念</w:t>
      </w:r>
      <w:r>
        <w:rPr>
          <w:rFonts w:ascii="新細明體" w:hAnsi="新細明體" w:cs="細明體"/>
          <w:kern w:val="0"/>
        </w:rPr>
        <w:t>，以肆應此種法律爭議狀態</w:t>
      </w:r>
      <w:r>
        <w:rPr>
          <w:rFonts w:ascii="新細明體" w:hAnsi="新細明體" w:cs="細明體" w:hint="eastAsia"/>
          <w:kern w:val="0"/>
        </w:rPr>
        <w:t>」。最後並認為，「</w:t>
      </w:r>
      <w:r>
        <w:rPr>
          <w:rFonts w:ascii="新細明體" w:hAnsi="新細明體" w:cs="細明體"/>
          <w:kern w:val="0"/>
        </w:rPr>
        <w:t>人民因法令變動致其信賴先前法秩序及由此衍生之期待利益受有影響者，大法官</w:t>
      </w:r>
      <w:proofErr w:type="gramStart"/>
      <w:r>
        <w:rPr>
          <w:rFonts w:ascii="新細明體" w:hAnsi="新細明體" w:cs="細明體"/>
          <w:kern w:val="0"/>
        </w:rPr>
        <w:t>釋憲概以</w:t>
      </w:r>
      <w:proofErr w:type="gramEnd"/>
      <w:r>
        <w:rPr>
          <w:rFonts w:ascii="新細明體" w:hAnsi="新細明體" w:cs="細明體" w:hint="eastAsia"/>
          <w:kern w:val="0"/>
        </w:rPr>
        <w:t>『</w:t>
      </w:r>
      <w:r>
        <w:rPr>
          <w:rFonts w:ascii="新細明體" w:hAnsi="新細明體" w:cs="細明體"/>
          <w:kern w:val="0"/>
        </w:rPr>
        <w:t>信賴保護原則</w:t>
      </w:r>
      <w:r>
        <w:rPr>
          <w:rFonts w:ascii="新細明體" w:hAnsi="新細明體" w:cs="細明體" w:hint="eastAsia"/>
          <w:kern w:val="0"/>
        </w:rPr>
        <w:t>』</w:t>
      </w:r>
      <w:r>
        <w:rPr>
          <w:rFonts w:ascii="新細明體" w:hAnsi="新細明體" w:cs="細明體"/>
          <w:kern w:val="0"/>
        </w:rPr>
        <w:t>予以審查</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w:t>
      </w:r>
      <w:proofErr w:type="gramStart"/>
      <w:r>
        <w:rPr>
          <w:rFonts w:ascii="新細明體" w:hAnsi="新細明體" w:cs="細明體"/>
          <w:kern w:val="0"/>
        </w:rPr>
        <w:t>均足貫徹</w:t>
      </w:r>
      <w:proofErr w:type="gramEnd"/>
      <w:r>
        <w:rPr>
          <w:rFonts w:ascii="新細明體" w:hAnsi="新細明體" w:cs="細明體"/>
          <w:kern w:val="0"/>
        </w:rPr>
        <w:t>憲法保障人民基本權利之意</w:t>
      </w:r>
      <w:r>
        <w:rPr>
          <w:rFonts w:ascii="新細明體" w:hAnsi="新細明體" w:cs="細明體"/>
          <w:kern w:val="0"/>
        </w:rPr>
        <w:t>旨，故於既有之</w:t>
      </w:r>
      <w:r>
        <w:rPr>
          <w:rFonts w:ascii="新細明體" w:hAnsi="新細明體" w:cs="細明體" w:hint="eastAsia"/>
          <w:kern w:val="0"/>
        </w:rPr>
        <w:t>『</w:t>
      </w:r>
      <w:r>
        <w:rPr>
          <w:rFonts w:ascii="新細明體" w:hAnsi="新細明體" w:cs="細明體"/>
          <w:kern w:val="0"/>
        </w:rPr>
        <w:t>法律</w:t>
      </w:r>
      <w:proofErr w:type="gramStart"/>
      <w:r>
        <w:rPr>
          <w:rFonts w:ascii="新細明體" w:hAnsi="新細明體" w:cs="細明體"/>
          <w:kern w:val="0"/>
        </w:rPr>
        <w:t>不</w:t>
      </w:r>
      <w:proofErr w:type="gramEnd"/>
      <w:r>
        <w:rPr>
          <w:rFonts w:ascii="新細明體" w:hAnsi="新細明體" w:cs="細明體"/>
          <w:kern w:val="0"/>
        </w:rPr>
        <w:t>溯及既往原則</w:t>
      </w:r>
      <w:r>
        <w:rPr>
          <w:rFonts w:ascii="新細明體" w:hAnsi="新細明體" w:cs="細明體" w:hint="eastAsia"/>
          <w:kern w:val="0"/>
        </w:rPr>
        <w:t>』</w:t>
      </w:r>
      <w:r>
        <w:rPr>
          <w:rFonts w:ascii="新細明體" w:hAnsi="新細明體" w:cs="細明體"/>
          <w:kern w:val="0"/>
        </w:rPr>
        <w:t>與</w:t>
      </w:r>
      <w:r>
        <w:rPr>
          <w:rFonts w:ascii="新細明體" w:hAnsi="新細明體" w:cs="細明體" w:hint="eastAsia"/>
          <w:kern w:val="0"/>
        </w:rPr>
        <w:t>『</w:t>
      </w:r>
      <w:r>
        <w:rPr>
          <w:rFonts w:ascii="新細明體" w:hAnsi="新細明體" w:cs="細明體"/>
          <w:kern w:val="0"/>
        </w:rPr>
        <w:t>信賴保護原則</w:t>
      </w:r>
      <w:r>
        <w:rPr>
          <w:rFonts w:ascii="新細明體" w:hAnsi="新細明體" w:cs="細明體" w:hint="eastAsia"/>
          <w:kern w:val="0"/>
        </w:rPr>
        <w:t>』</w:t>
      </w:r>
      <w:r>
        <w:rPr>
          <w:rFonts w:ascii="新細明體" w:hAnsi="新細明體" w:cs="細明體"/>
          <w:kern w:val="0"/>
        </w:rPr>
        <w:t>外，</w:t>
      </w:r>
      <w:r>
        <w:rPr>
          <w:rFonts w:ascii="標楷體" w:eastAsia="標楷體" w:hAnsi="標楷體" w:cs="細明體"/>
          <w:b/>
          <w:kern w:val="0"/>
        </w:rPr>
        <w:t>另行援用</w:t>
      </w:r>
      <w:r>
        <w:rPr>
          <w:rFonts w:ascii="標楷體" w:eastAsia="標楷體" w:hAnsi="標楷體" w:cs="細明體" w:hint="eastAsia"/>
          <w:b/>
          <w:kern w:val="0"/>
        </w:rPr>
        <w:t>『</w:t>
      </w:r>
      <w:proofErr w:type="gramStart"/>
      <w:r>
        <w:rPr>
          <w:rFonts w:ascii="標楷體" w:eastAsia="標楷體" w:hAnsi="標楷體" w:cs="細明體"/>
          <w:b/>
          <w:kern w:val="0"/>
        </w:rPr>
        <w:t>不</w:t>
      </w:r>
      <w:proofErr w:type="gramEnd"/>
      <w:r>
        <w:rPr>
          <w:rFonts w:ascii="標楷體" w:eastAsia="標楷體" w:hAnsi="標楷體" w:cs="細明體"/>
          <w:b/>
          <w:kern w:val="0"/>
        </w:rPr>
        <w:t>真正溯及既往</w:t>
      </w:r>
      <w:r>
        <w:rPr>
          <w:rFonts w:ascii="標楷體" w:eastAsia="標楷體" w:hAnsi="標楷體" w:cs="細明體" w:hint="eastAsia"/>
          <w:b/>
          <w:kern w:val="0"/>
        </w:rPr>
        <w:t>』</w:t>
      </w:r>
      <w:r>
        <w:rPr>
          <w:rFonts w:ascii="標楷體" w:eastAsia="標楷體" w:hAnsi="標楷體" w:cs="細明體"/>
          <w:b/>
          <w:kern w:val="0"/>
        </w:rPr>
        <w:t>或</w:t>
      </w:r>
      <w:r>
        <w:rPr>
          <w:rFonts w:ascii="標楷體" w:eastAsia="標楷體" w:hAnsi="標楷體" w:cs="細明體" w:hint="eastAsia"/>
          <w:b/>
          <w:kern w:val="0"/>
        </w:rPr>
        <w:t>『</w:t>
      </w:r>
      <w:r>
        <w:rPr>
          <w:rFonts w:ascii="標楷體" w:eastAsia="標楷體" w:hAnsi="標楷體" w:cs="細明體"/>
          <w:b/>
          <w:kern w:val="0"/>
        </w:rPr>
        <w:t>法律事實之回溯連結</w:t>
      </w:r>
      <w:r>
        <w:rPr>
          <w:rFonts w:ascii="標楷體" w:eastAsia="標楷體" w:hAnsi="標楷體" w:cs="細明體" w:hint="eastAsia"/>
          <w:b/>
          <w:kern w:val="0"/>
        </w:rPr>
        <w:t>』</w:t>
      </w:r>
      <w:r>
        <w:rPr>
          <w:rFonts w:ascii="標楷體" w:eastAsia="標楷體" w:hAnsi="標楷體" w:cs="細明體"/>
          <w:b/>
          <w:kern w:val="0"/>
        </w:rPr>
        <w:t>等概念，似屬多餘</w:t>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lastRenderedPageBreak/>
        <w:t xml:space="preserve">    </w:t>
      </w:r>
      <w:r>
        <w:rPr>
          <w:rFonts w:ascii="新細明體" w:hAnsi="新細明體" w:cs="細明體" w:hint="eastAsia"/>
          <w:kern w:val="0"/>
        </w:rPr>
        <w:t>許玉秀大法官對本號解釋提出之協同意見書先是特別強調，</w:t>
      </w:r>
      <w:r>
        <w:rPr>
          <w:rFonts w:ascii="標楷體" w:eastAsia="標楷體" w:hAnsi="標楷體" w:cs="細明體" w:hint="eastAsia"/>
          <w:b/>
          <w:kern w:val="0"/>
        </w:rPr>
        <w:t>信賴保護原則與平等原則及比例原則的關係</w:t>
      </w:r>
      <w:r>
        <w:rPr>
          <w:rFonts w:ascii="新細明體" w:hAnsi="新細明體" w:cs="細明體" w:hint="eastAsia"/>
          <w:kern w:val="0"/>
        </w:rPr>
        <w:t>：「</w:t>
      </w:r>
      <w:proofErr w:type="gramStart"/>
      <w:r>
        <w:rPr>
          <w:rFonts w:ascii="新細明體" w:hAnsi="新細明體" w:cs="細明體"/>
          <w:kern w:val="0"/>
        </w:rPr>
        <w:t>就系爭</w:t>
      </w:r>
      <w:proofErr w:type="gramEnd"/>
      <w:r>
        <w:rPr>
          <w:rFonts w:ascii="新細明體" w:hAnsi="新細明體" w:cs="細明體"/>
          <w:kern w:val="0"/>
        </w:rPr>
        <w:t>修正條文而言，究竟是否必須設置過渡條款，以保護某些已經存在的法律上有利地位，的確只要比較公益與私益的保護必要性，以及彼此損益消長是否妥當，但是</w:t>
      </w:r>
      <w:proofErr w:type="gramStart"/>
      <w:r>
        <w:rPr>
          <w:rFonts w:ascii="新細明體" w:hAnsi="新細明體" w:cs="細明體"/>
          <w:kern w:val="0"/>
        </w:rPr>
        <w:t>既然系</w:t>
      </w:r>
      <w:proofErr w:type="gramEnd"/>
      <w:r>
        <w:rPr>
          <w:rFonts w:ascii="新細明體" w:hAnsi="新細明體" w:cs="細明體"/>
          <w:kern w:val="0"/>
        </w:rPr>
        <w:t>爭過渡條款已經規定修正條文施行的過渡準備</w:t>
      </w:r>
      <w:proofErr w:type="gramStart"/>
      <w:r>
        <w:rPr>
          <w:rFonts w:ascii="新細明體" w:hAnsi="新細明體" w:cs="細明體"/>
          <w:kern w:val="0"/>
        </w:rPr>
        <w:t>期間，</w:t>
      </w:r>
      <w:proofErr w:type="gramEnd"/>
      <w:r>
        <w:rPr>
          <w:rFonts w:ascii="新細明體" w:hAnsi="新細明體" w:cs="細明體"/>
          <w:kern w:val="0"/>
        </w:rPr>
        <w:t>是否需要設置過渡條款的問題即不存在，由於該過渡期間規定限制了保護範圍，所以對於</w:t>
      </w:r>
      <w:r>
        <w:rPr>
          <w:rFonts w:ascii="新細明體" w:hAnsi="新細明體" w:cs="細明體"/>
          <w:kern w:val="0"/>
        </w:rPr>
        <w:t>沒有受到保護的對象，既是與信賴保護原則有所牴觸的問題，也是牴觸平等原則的問題。</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u w:val="single"/>
        </w:rPr>
        <w:t>表面上看起來，信賴保護原則有自己獨立的審查內涵，與平等原則及比例原則無涉，其實審查信賴保護是否必要，以及信賴保護程度或範圍是否合理時，正是在依比例原則及平等原則審查信賴保護原則。在每</w:t>
      </w:r>
      <w:proofErr w:type="gramStart"/>
      <w:r>
        <w:rPr>
          <w:rFonts w:ascii="新細明體" w:hAnsi="新細明體" w:cs="細明體"/>
          <w:kern w:val="0"/>
          <w:u w:val="single"/>
        </w:rPr>
        <w:t>個</w:t>
      </w:r>
      <w:proofErr w:type="gramEnd"/>
      <w:r>
        <w:rPr>
          <w:rFonts w:ascii="新細明體" w:hAnsi="新細明體" w:cs="細明體"/>
          <w:kern w:val="0"/>
          <w:u w:val="single"/>
        </w:rPr>
        <w:t>信賴保護原則的審查中，只要涉及公私法益的權衡，就會涉及比例原則的審查</w:t>
      </w:r>
      <w:r>
        <w:rPr>
          <w:rFonts w:ascii="新細明體" w:hAnsi="新細明體" w:cs="細明體"/>
          <w:kern w:val="0"/>
        </w:rPr>
        <w:t>，但未必涉及平等原則的審查，本件聲請因為以系爭修正條文施行準備時間作為認定舊法的過渡適用範圍，使得相同的事實，遭受不同的待遇，因此也有審查平等原則的必要</w:t>
      </w:r>
      <w:r>
        <w:rPr>
          <w:rFonts w:ascii="新細明體" w:hAnsi="新細明體" w:cs="細明體" w:hint="eastAsia"/>
          <w:kern w:val="0"/>
        </w:rPr>
        <w:t>」。其次，許大法官於此</w:t>
      </w:r>
      <w:r>
        <w:rPr>
          <w:rFonts w:ascii="標楷體" w:eastAsia="標楷體" w:hAnsi="標楷體" w:cs="細明體" w:hint="eastAsia"/>
          <w:b/>
          <w:kern w:val="0"/>
        </w:rPr>
        <w:t>嘗試</w:t>
      </w:r>
      <w:r>
        <w:rPr>
          <w:rFonts w:ascii="標楷體" w:eastAsia="標楷體" w:hAnsi="標楷體" w:cs="細明體" w:hint="eastAsia"/>
          <w:b/>
          <w:kern w:val="0"/>
        </w:rPr>
        <w:t>再次澄清法律溯及概念，並</w:t>
      </w:r>
      <w:proofErr w:type="gramStart"/>
      <w:r>
        <w:rPr>
          <w:rFonts w:ascii="標楷體" w:eastAsia="標楷體" w:hAnsi="標楷體" w:cs="細明體" w:hint="eastAsia"/>
          <w:b/>
          <w:kern w:val="0"/>
        </w:rPr>
        <w:t>重申其溯及</w:t>
      </w:r>
      <w:proofErr w:type="gramEnd"/>
      <w:r>
        <w:rPr>
          <w:rFonts w:ascii="標楷體" w:eastAsia="標楷體" w:hAnsi="標楷體" w:cs="細明體" w:hint="eastAsia"/>
          <w:b/>
          <w:kern w:val="0"/>
        </w:rPr>
        <w:t>分類無益的立場</w:t>
      </w:r>
      <w:r>
        <w:rPr>
          <w:rFonts w:ascii="新細明體" w:hAnsi="新細明體" w:cs="細明體" w:hint="eastAsia"/>
          <w:kern w:val="0"/>
        </w:rPr>
        <w:t>：</w:t>
      </w:r>
      <w:r>
        <w:rPr>
          <w:rFonts w:hAnsi="新細明體" w:hint="eastAsia"/>
          <w:kern w:val="0"/>
        </w:rPr>
        <w:t>「</w:t>
      </w:r>
      <w:r>
        <w:rPr>
          <w:rFonts w:hAnsi="新細明體"/>
          <w:kern w:val="0"/>
        </w:rPr>
        <w:t>學說上將『法律效果回溯』（</w:t>
      </w:r>
      <w:r>
        <w:rPr>
          <w:kern w:val="0"/>
        </w:rPr>
        <w:t>Rechtsfolgenruckbewirkung</w:t>
      </w:r>
      <w:r>
        <w:rPr>
          <w:rFonts w:hAnsi="新細明體"/>
          <w:kern w:val="0"/>
        </w:rPr>
        <w:t>）</w:t>
      </w:r>
      <w:r>
        <w:rPr>
          <w:kern w:val="0"/>
        </w:rPr>
        <w:t xml:space="preserve"> </w:t>
      </w:r>
      <w:r>
        <w:rPr>
          <w:rFonts w:hAnsi="新細明體"/>
          <w:kern w:val="0"/>
        </w:rPr>
        <w:t>類比真正溯及既往，將『構成要件回溯結合』（</w:t>
      </w:r>
      <w:r>
        <w:rPr>
          <w:kern w:val="0"/>
        </w:rPr>
        <w:t>tatbestandliche Ruckanknupfung</w:t>
      </w:r>
      <w:r>
        <w:rPr>
          <w:rFonts w:hAnsi="新細明體"/>
          <w:kern w:val="0"/>
        </w:rPr>
        <w:t>）類比</w:t>
      </w:r>
      <w:proofErr w:type="gramStart"/>
      <w:r>
        <w:rPr>
          <w:rFonts w:hAnsi="新細明體"/>
          <w:kern w:val="0"/>
        </w:rPr>
        <w:t>不</w:t>
      </w:r>
      <w:proofErr w:type="gramEnd"/>
      <w:r>
        <w:rPr>
          <w:rFonts w:hAnsi="新細明體"/>
          <w:kern w:val="0"/>
        </w:rPr>
        <w:t>真正溯及既往</w:t>
      </w:r>
      <w:r>
        <w:rPr>
          <w:kern w:val="0"/>
        </w:rPr>
        <w:t>…</w:t>
      </w:r>
      <w:proofErr w:type="gramStart"/>
      <w:r>
        <w:rPr>
          <w:kern w:val="0"/>
        </w:rPr>
        <w:t>…</w:t>
      </w:r>
      <w:proofErr w:type="gramEnd"/>
      <w:r>
        <w:rPr>
          <w:rFonts w:hAnsi="新細明體"/>
          <w:kern w:val="0"/>
        </w:rPr>
        <w:t>，並不正確。一般所稱的法律效果回溯就是『法律生效時間的回溯』（</w:t>
      </w:r>
      <w:r>
        <w:rPr>
          <w:kern w:val="0"/>
        </w:rPr>
        <w:t>Ruckwirkung der zeitlichen Rechtsfolgeanordnung</w:t>
      </w:r>
      <w:r>
        <w:rPr>
          <w:rFonts w:hAnsi="新細明體"/>
          <w:kern w:val="0"/>
        </w:rPr>
        <w:t>）</w:t>
      </w:r>
      <w:r>
        <w:rPr>
          <w:kern w:val="0"/>
        </w:rPr>
        <w:t>…</w:t>
      </w:r>
      <w:proofErr w:type="gramStart"/>
      <w:r>
        <w:rPr>
          <w:kern w:val="0"/>
        </w:rPr>
        <w:t>…</w:t>
      </w:r>
      <w:proofErr w:type="gramEnd"/>
      <w:r>
        <w:rPr>
          <w:rFonts w:hAnsi="新細明體"/>
          <w:kern w:val="0"/>
        </w:rPr>
        <w:t>。既然真正與</w:t>
      </w:r>
      <w:proofErr w:type="gramStart"/>
      <w:r>
        <w:rPr>
          <w:rFonts w:hAnsi="新細明體"/>
          <w:kern w:val="0"/>
        </w:rPr>
        <w:t>不</w:t>
      </w:r>
      <w:proofErr w:type="gramEnd"/>
      <w:r>
        <w:rPr>
          <w:rFonts w:hAnsi="新細明體"/>
          <w:kern w:val="0"/>
        </w:rPr>
        <w:t>真正溯及既往的概念</w:t>
      </w:r>
      <w:r>
        <w:rPr>
          <w:rFonts w:hAnsi="新細明體" w:hint="eastAsia"/>
          <w:kern w:val="0"/>
        </w:rPr>
        <w:t>分</w:t>
      </w:r>
      <w:r>
        <w:rPr>
          <w:rFonts w:hAnsi="新細明體"/>
          <w:kern w:val="0"/>
        </w:rPr>
        <w:t>類，是以法律</w:t>
      </w:r>
      <w:proofErr w:type="gramStart"/>
      <w:r>
        <w:rPr>
          <w:rFonts w:hAnsi="新細明體"/>
          <w:kern w:val="0"/>
        </w:rPr>
        <w:t>所涵攝的</w:t>
      </w:r>
      <w:proofErr w:type="gramEnd"/>
      <w:r>
        <w:rPr>
          <w:rFonts w:hAnsi="新細明體"/>
          <w:kern w:val="0"/>
        </w:rPr>
        <w:t>事實是否已經完全完成或者尚在繼續發生中</w:t>
      </w:r>
      <w:r>
        <w:rPr>
          <w:rFonts w:hAnsi="新細明體"/>
          <w:kern w:val="0"/>
        </w:rPr>
        <w:t>，作為區分標準，依照兩種不同區分標準所得出的結論，或者在某些個案果然可以互相對應，但不可能完全等同</w:t>
      </w:r>
      <w:r>
        <w:rPr>
          <w:rFonts w:hAnsi="新細明體" w:hint="eastAsia"/>
          <w:kern w:val="0"/>
        </w:rPr>
        <w:t>」；</w:t>
      </w:r>
      <w:r>
        <w:rPr>
          <w:rFonts w:ascii="新細明體" w:hAnsi="新細明體" w:cs="細明體" w:hint="eastAsia"/>
          <w:kern w:val="0"/>
        </w:rPr>
        <w:t>「</w:t>
      </w:r>
      <w:r>
        <w:rPr>
          <w:rFonts w:ascii="新細明體" w:hAnsi="新細明體" w:cs="細明體"/>
          <w:kern w:val="0"/>
        </w:rPr>
        <w:t>所謂法律效果的回溯與事實的回溯連結，看起來好像是兩種不同的評價方式，其實所謂法律效果的回溯，是一句空話，問題在於回溯什麼？在於法律效果</w:t>
      </w:r>
      <w:proofErr w:type="gramStart"/>
      <w:r>
        <w:rPr>
          <w:rFonts w:ascii="新細明體" w:hAnsi="新細明體" w:cs="細明體"/>
          <w:kern w:val="0"/>
        </w:rPr>
        <w:t>回溯至哪一種</w:t>
      </w:r>
      <w:proofErr w:type="gramEnd"/>
      <w:r>
        <w:rPr>
          <w:rFonts w:ascii="新細明體" w:hAnsi="新細明體" w:cs="細明體"/>
          <w:kern w:val="0"/>
        </w:rPr>
        <w:t>事實？必須確定的不是法律效果的回溯，而是事實的過去與現在。</w:t>
      </w:r>
      <w:r>
        <w:rPr>
          <w:rFonts w:ascii="新細明體" w:hAnsi="新細明體" w:cs="細明體"/>
          <w:kern w:val="0"/>
        </w:rPr>
        <w:t>…</w:t>
      </w:r>
      <w:proofErr w:type="gramStart"/>
      <w:r>
        <w:rPr>
          <w:rFonts w:ascii="新細明體" w:hAnsi="新細明體" w:cs="細明體"/>
          <w:kern w:val="0"/>
        </w:rPr>
        <w:t>…</w:t>
      </w:r>
      <w:proofErr w:type="gramEnd"/>
      <w:r>
        <w:rPr>
          <w:rFonts w:ascii="新細明體" w:hAnsi="新細明體" w:cs="細明體"/>
          <w:kern w:val="0"/>
        </w:rPr>
        <w:t>而所謂事實的回溯連結，同樣是在確定應該被回溯的事實是哪一些事實，哪一些事實不是屬於完全過去的事實，法律效果如果及於這些事實，就不是回溯，或者就是可以被容許的</w:t>
      </w:r>
      <w:r>
        <w:rPr>
          <w:rFonts w:ascii="新細明體" w:hAnsi="新細明體" w:cs="細明體" w:hint="eastAsia"/>
          <w:kern w:val="0"/>
        </w:rPr>
        <w:t>『</w:t>
      </w:r>
      <w:r>
        <w:rPr>
          <w:rFonts w:ascii="新細明體" w:hAnsi="新細明體" w:cs="細明體"/>
          <w:kern w:val="0"/>
        </w:rPr>
        <w:t>事實的回溯連結</w:t>
      </w:r>
      <w:r>
        <w:rPr>
          <w:rFonts w:ascii="新細明體" w:hAnsi="新細明體" w:cs="細明體" w:hint="eastAsia"/>
          <w:kern w:val="0"/>
        </w:rPr>
        <w:t>』</w:t>
      </w:r>
      <w:r>
        <w:rPr>
          <w:rFonts w:ascii="新細明體" w:hAnsi="新細明體" w:cs="細明體"/>
          <w:kern w:val="0"/>
        </w:rPr>
        <w:t>。這種分類和真正與</w:t>
      </w:r>
      <w:proofErr w:type="gramStart"/>
      <w:r>
        <w:rPr>
          <w:rFonts w:ascii="新細明體" w:hAnsi="新細明體" w:cs="細明體"/>
          <w:kern w:val="0"/>
        </w:rPr>
        <w:t>不</w:t>
      </w:r>
      <w:proofErr w:type="gramEnd"/>
      <w:r>
        <w:rPr>
          <w:rFonts w:ascii="新細明體" w:hAnsi="新細明體" w:cs="細明體"/>
          <w:kern w:val="0"/>
        </w:rPr>
        <w:t>真正溯</w:t>
      </w:r>
      <w:r>
        <w:rPr>
          <w:rFonts w:ascii="新細明體" w:hAnsi="新細明體" w:cs="細明體"/>
          <w:kern w:val="0"/>
        </w:rPr>
        <w:t>及的分</w:t>
      </w:r>
      <w:r>
        <w:rPr>
          <w:rFonts w:ascii="新細明體" w:hAnsi="新細明體" w:cs="細明體"/>
          <w:kern w:val="0"/>
        </w:rPr>
        <w:lastRenderedPageBreak/>
        <w:t>類一樣，都是企圖建立憲法所容許的回溯概念，為法律</w:t>
      </w:r>
      <w:proofErr w:type="gramStart"/>
      <w:r>
        <w:rPr>
          <w:rFonts w:ascii="新細明體" w:hAnsi="新細明體" w:cs="細明體"/>
          <w:kern w:val="0"/>
        </w:rPr>
        <w:t>不</w:t>
      </w:r>
      <w:proofErr w:type="gramEnd"/>
      <w:r>
        <w:rPr>
          <w:rFonts w:ascii="新細明體" w:hAnsi="新細明體" w:cs="細明體"/>
          <w:kern w:val="0"/>
        </w:rPr>
        <w:t>溯既往原則尋求例外。雖然根據立法方式，區分依時間或依事實分界新舊法的適用範圍，並非毫無意義，但是，審查時間的分界方式時，終究還是必須說明時間所分界出來的事實為什麼不是應該被保護的具體信賴事實，因此德國聯邦憲法法院第二庭的分類，依舊是空洞的分類</w:t>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ascii="新細明體" w:hAnsi="新細明體" w:cs="細明體" w:hint="eastAsia"/>
          <w:kern w:val="0"/>
        </w:rPr>
        <w:t xml:space="preserve">    </w:t>
      </w:r>
      <w:r>
        <w:rPr>
          <w:rFonts w:ascii="新細明體" w:hAnsi="新細明體" w:cs="細明體" w:hint="eastAsia"/>
          <w:kern w:val="0"/>
        </w:rPr>
        <w:t>在本號解釋的部分不同意見書中，楊仁壽、王和雄大法官</w:t>
      </w:r>
      <w:r>
        <w:rPr>
          <w:rFonts w:ascii="標楷體" w:eastAsia="標楷體" w:hAnsi="標楷體" w:cs="細明體" w:hint="eastAsia"/>
          <w:b/>
          <w:kern w:val="0"/>
        </w:rPr>
        <w:t>對法律溯及既往之分類的態度，顯然不同於許玉秀大法官的前述立場</w:t>
      </w:r>
      <w:r>
        <w:rPr>
          <w:rFonts w:ascii="新細明體" w:hAnsi="新細明體" w:cs="細明體" w:hint="eastAsia"/>
          <w:kern w:val="0"/>
        </w:rPr>
        <w:t>，其</w:t>
      </w:r>
      <w:r>
        <w:rPr>
          <w:rFonts w:ascii="標楷體" w:eastAsia="標楷體" w:hAnsi="標楷體" w:cs="細明體" w:hint="eastAsia"/>
          <w:b/>
          <w:kern w:val="0"/>
        </w:rPr>
        <w:t>接受</w:t>
      </w:r>
      <w:r>
        <w:rPr>
          <w:rFonts w:ascii="標楷體" w:eastAsia="標楷體" w:hAnsi="標楷體"/>
          <w:b/>
          <w:kern w:val="0"/>
        </w:rPr>
        <w:t>德國聯邦憲法法院第二庭</w:t>
      </w:r>
      <w:r>
        <w:rPr>
          <w:rFonts w:ascii="標楷體" w:eastAsia="標楷體" w:hAnsi="標楷體" w:hint="eastAsia"/>
          <w:b/>
          <w:kern w:val="0"/>
        </w:rPr>
        <w:t>「法律</w:t>
      </w:r>
      <w:proofErr w:type="gramStart"/>
      <w:r>
        <w:rPr>
          <w:rFonts w:ascii="標楷體" w:eastAsia="標楷體" w:hAnsi="標楷體" w:hint="eastAsia"/>
          <w:b/>
          <w:kern w:val="0"/>
        </w:rPr>
        <w:t>效果之溯及</w:t>
      </w:r>
      <w:proofErr w:type="gramEnd"/>
      <w:r>
        <w:rPr>
          <w:rFonts w:ascii="標楷體" w:eastAsia="標楷體" w:hAnsi="標楷體" w:hint="eastAsia"/>
          <w:b/>
          <w:kern w:val="0"/>
        </w:rPr>
        <w:t>效果」與「</w:t>
      </w:r>
      <w:r>
        <w:rPr>
          <w:rFonts w:ascii="標楷體" w:eastAsia="標楷體" w:hAnsi="標楷體"/>
          <w:b/>
          <w:kern w:val="0"/>
        </w:rPr>
        <w:t>要件事實之回溯</w:t>
      </w:r>
      <w:r>
        <w:rPr>
          <w:rFonts w:ascii="標楷體" w:eastAsia="標楷體" w:hAnsi="標楷體" w:hint="eastAsia"/>
          <w:b/>
          <w:kern w:val="0"/>
        </w:rPr>
        <w:t>連</w:t>
      </w:r>
      <w:r>
        <w:rPr>
          <w:rFonts w:ascii="標楷體" w:eastAsia="標楷體" w:hAnsi="標楷體"/>
          <w:b/>
          <w:kern w:val="0"/>
        </w:rPr>
        <w:t>結</w:t>
      </w:r>
      <w:r>
        <w:rPr>
          <w:rFonts w:ascii="標楷體" w:eastAsia="標楷體" w:hAnsi="標楷體" w:hint="eastAsia"/>
          <w:b/>
          <w:kern w:val="0"/>
        </w:rPr>
        <w:t>」的分類</w:t>
      </w:r>
      <w:r>
        <w:rPr>
          <w:rFonts w:ascii="新細明體" w:hAnsi="新細明體" w:cs="細明體" w:hint="eastAsia"/>
          <w:kern w:val="0"/>
        </w:rPr>
        <w:t>：</w:t>
      </w:r>
      <w:r>
        <w:rPr>
          <w:rFonts w:hAnsi="新細明體"/>
          <w:kern w:val="0"/>
        </w:rPr>
        <w:t>「按</w:t>
      </w:r>
      <w:r>
        <w:rPr>
          <w:rFonts w:hAnsi="新細明體"/>
          <w:kern w:val="0"/>
        </w:rPr>
        <w:t>法規變更</w:t>
      </w:r>
      <w:r>
        <w:rPr>
          <w:kern w:val="0"/>
        </w:rPr>
        <w:t>…</w:t>
      </w:r>
      <w:proofErr w:type="gramStart"/>
      <w:r>
        <w:rPr>
          <w:kern w:val="0"/>
        </w:rPr>
        <w:t>…</w:t>
      </w:r>
      <w:proofErr w:type="gramEnd"/>
      <w:r>
        <w:rPr>
          <w:rFonts w:hAnsi="新細明體"/>
          <w:kern w:val="0"/>
        </w:rPr>
        <w:t>，對於施行前之『事實關係』，如何地予以適用，論者不一其說，大別</w:t>
      </w:r>
      <w:proofErr w:type="gramStart"/>
      <w:r>
        <w:rPr>
          <w:rFonts w:hAnsi="新細明體"/>
          <w:kern w:val="0"/>
        </w:rPr>
        <w:t>之</w:t>
      </w:r>
      <w:proofErr w:type="gramEnd"/>
      <w:r>
        <w:rPr>
          <w:rFonts w:hAnsi="新細明體"/>
          <w:kern w:val="0"/>
        </w:rPr>
        <w:t>有二：其以德國聯邦憲法法院第一法庭之見解</w:t>
      </w:r>
      <w:proofErr w:type="gramStart"/>
      <w:r>
        <w:rPr>
          <w:rFonts w:hAnsi="新細明體"/>
          <w:kern w:val="0"/>
        </w:rPr>
        <w:t>為據者</w:t>
      </w:r>
      <w:proofErr w:type="gramEnd"/>
      <w:r>
        <w:rPr>
          <w:rFonts w:hAnsi="新細明體"/>
          <w:kern w:val="0"/>
        </w:rPr>
        <w:t>，將法規溯及既往，區別為『真正的溯及』（</w:t>
      </w:r>
      <w:r>
        <w:rPr>
          <w:kern w:val="0"/>
        </w:rPr>
        <w:t>echte Ruckwirkung</w:t>
      </w:r>
      <w:r>
        <w:rPr>
          <w:rFonts w:hAnsi="新細明體"/>
          <w:kern w:val="0"/>
        </w:rPr>
        <w:t>）與『</w:t>
      </w:r>
      <w:proofErr w:type="gramStart"/>
      <w:r>
        <w:rPr>
          <w:rFonts w:hAnsi="新細明體"/>
          <w:kern w:val="0"/>
        </w:rPr>
        <w:t>不</w:t>
      </w:r>
      <w:proofErr w:type="gramEnd"/>
      <w:r>
        <w:rPr>
          <w:rFonts w:hAnsi="新細明體"/>
          <w:kern w:val="0"/>
        </w:rPr>
        <w:t>真正的溯及』（</w:t>
      </w:r>
      <w:r>
        <w:rPr>
          <w:kern w:val="0"/>
        </w:rPr>
        <w:t>unechte Ruckwirkung</w:t>
      </w:r>
      <w:r>
        <w:rPr>
          <w:rFonts w:hAnsi="新細明體"/>
          <w:kern w:val="0"/>
        </w:rPr>
        <w:t>）。而以同院第二法庭之見解</w:t>
      </w:r>
      <w:proofErr w:type="gramStart"/>
      <w:r>
        <w:rPr>
          <w:rFonts w:hAnsi="新細明體"/>
          <w:kern w:val="0"/>
        </w:rPr>
        <w:t>為據者</w:t>
      </w:r>
      <w:proofErr w:type="gramEnd"/>
      <w:r>
        <w:rPr>
          <w:rFonts w:hAnsi="新細明體"/>
          <w:kern w:val="0"/>
        </w:rPr>
        <w:t>，則以法律的生效時點作區別，而分為『法律效果</w:t>
      </w:r>
      <w:proofErr w:type="gramStart"/>
      <w:r>
        <w:rPr>
          <w:rFonts w:hAnsi="新細明體"/>
          <w:kern w:val="0"/>
        </w:rPr>
        <w:t>之溯及效』</w:t>
      </w:r>
      <w:proofErr w:type="gramEnd"/>
      <w:r>
        <w:rPr>
          <w:rFonts w:hAnsi="新細明體"/>
          <w:kern w:val="0"/>
        </w:rPr>
        <w:t>（</w:t>
      </w:r>
      <w:r>
        <w:rPr>
          <w:kern w:val="0"/>
        </w:rPr>
        <w:t>Ruckwirkung von Rechtsfolgen</w:t>
      </w:r>
      <w:r>
        <w:rPr>
          <w:rFonts w:hAnsi="新細明體"/>
          <w:kern w:val="0"/>
        </w:rPr>
        <w:t>）與『要件事實之回溯結合』（</w:t>
      </w:r>
      <w:r>
        <w:rPr>
          <w:kern w:val="0"/>
        </w:rPr>
        <w:t>tatbestandliche Ruckanknupfung</w:t>
      </w:r>
      <w:r>
        <w:rPr>
          <w:rFonts w:hAnsi="新細明體"/>
          <w:kern w:val="0"/>
        </w:rPr>
        <w:t>）</w:t>
      </w:r>
      <w:r>
        <w:rPr>
          <w:kern w:val="0"/>
        </w:rPr>
        <w:t>…</w:t>
      </w:r>
      <w:proofErr w:type="gramStart"/>
      <w:r>
        <w:rPr>
          <w:kern w:val="0"/>
        </w:rPr>
        <w:t>…</w:t>
      </w:r>
      <w:proofErr w:type="gramEnd"/>
      <w:r>
        <w:rPr>
          <w:rFonts w:hAnsi="新細明體"/>
          <w:kern w:val="0"/>
        </w:rPr>
        <w:t>。實則，第二法庭之</w:t>
      </w:r>
      <w:r>
        <w:rPr>
          <w:rFonts w:hAnsi="新細明體"/>
          <w:kern w:val="0"/>
        </w:rPr>
        <w:t>意圖，無非在強調，作為『</w:t>
      </w:r>
      <w:proofErr w:type="gramStart"/>
      <w:r>
        <w:rPr>
          <w:rFonts w:hAnsi="新細明體"/>
          <w:kern w:val="0"/>
        </w:rPr>
        <w:t>不</w:t>
      </w:r>
      <w:proofErr w:type="gramEnd"/>
      <w:r>
        <w:rPr>
          <w:rFonts w:hAnsi="新細明體"/>
          <w:kern w:val="0"/>
        </w:rPr>
        <w:t>真正的溯及』對象之事例，並非屬於『溯及效果』之問題而已</w:t>
      </w:r>
      <w:r>
        <w:rPr>
          <w:kern w:val="0"/>
        </w:rPr>
        <w:t>…</w:t>
      </w:r>
      <w:proofErr w:type="gramStart"/>
      <w:r>
        <w:rPr>
          <w:kern w:val="0"/>
        </w:rPr>
        <w:t>…</w:t>
      </w:r>
      <w:proofErr w:type="gramEnd"/>
      <w:r>
        <w:rPr>
          <w:rFonts w:hAnsi="新細明體"/>
          <w:kern w:val="0"/>
        </w:rPr>
        <w:t>。二種見解之差異性不大，在此意義之下，將『法律</w:t>
      </w:r>
      <w:proofErr w:type="gramStart"/>
      <w:r>
        <w:rPr>
          <w:rFonts w:hAnsi="新細明體"/>
          <w:kern w:val="0"/>
        </w:rPr>
        <w:t>效果之溯及</w:t>
      </w:r>
      <w:proofErr w:type="gramEnd"/>
      <w:r>
        <w:rPr>
          <w:rFonts w:hAnsi="新細明體"/>
          <w:kern w:val="0"/>
        </w:rPr>
        <w:t>性』理解為『真正的溯及』；將『要件事實之回溯結合』理解為『</w:t>
      </w:r>
      <w:proofErr w:type="gramStart"/>
      <w:r>
        <w:rPr>
          <w:rFonts w:hAnsi="新細明體"/>
          <w:kern w:val="0"/>
        </w:rPr>
        <w:t>不</w:t>
      </w:r>
      <w:proofErr w:type="gramEnd"/>
      <w:r>
        <w:rPr>
          <w:rFonts w:hAnsi="新細明體"/>
          <w:kern w:val="0"/>
        </w:rPr>
        <w:t>真正的溯及』，一點也不為過</w:t>
      </w:r>
      <w:r>
        <w:rPr>
          <w:kern w:val="0"/>
        </w:rPr>
        <w:t>…</w:t>
      </w:r>
      <w:proofErr w:type="gramStart"/>
      <w:r>
        <w:rPr>
          <w:kern w:val="0"/>
        </w:rPr>
        <w:t>…</w:t>
      </w:r>
      <w:proofErr w:type="gramEnd"/>
      <w:r>
        <w:rPr>
          <w:rFonts w:hAnsi="新細明體"/>
          <w:kern w:val="0"/>
        </w:rPr>
        <w:t>。事實上，將法規的『溯及效力』，區分為『真正的溯及』及『</w:t>
      </w:r>
      <w:proofErr w:type="gramStart"/>
      <w:r>
        <w:rPr>
          <w:rFonts w:hAnsi="新細明體"/>
          <w:kern w:val="0"/>
        </w:rPr>
        <w:t>不</w:t>
      </w:r>
      <w:proofErr w:type="gramEnd"/>
      <w:r>
        <w:rPr>
          <w:rFonts w:hAnsi="新細明體"/>
          <w:kern w:val="0"/>
        </w:rPr>
        <w:t>真正的溯及』，確實易使行政機關於訂定法規時，或立法機關在立法時有誤認為當然可以任意地訂定或制定『</w:t>
      </w:r>
      <w:proofErr w:type="gramStart"/>
      <w:r>
        <w:rPr>
          <w:rFonts w:hAnsi="新細明體"/>
          <w:kern w:val="0"/>
        </w:rPr>
        <w:t>不</w:t>
      </w:r>
      <w:proofErr w:type="gramEnd"/>
      <w:r>
        <w:rPr>
          <w:rFonts w:hAnsi="新細明體"/>
          <w:kern w:val="0"/>
        </w:rPr>
        <w:t>真正的溯及』之規定，而無須採取『合理的補救措施』或訂定過渡條款之危險，故與其說</w:t>
      </w:r>
      <w:proofErr w:type="gramStart"/>
      <w:r>
        <w:rPr>
          <w:rFonts w:hAnsi="新細明體"/>
          <w:kern w:val="0"/>
        </w:rPr>
        <w:t>不</w:t>
      </w:r>
      <w:proofErr w:type="gramEnd"/>
      <w:r>
        <w:rPr>
          <w:rFonts w:hAnsi="新細明體"/>
          <w:kern w:val="0"/>
        </w:rPr>
        <w:t>真正的溯</w:t>
      </w:r>
      <w:proofErr w:type="gramStart"/>
      <w:r>
        <w:rPr>
          <w:rFonts w:hAnsi="新細明體"/>
          <w:kern w:val="0"/>
        </w:rPr>
        <w:t>及係溯</w:t>
      </w:r>
      <w:proofErr w:type="gramEnd"/>
      <w:r>
        <w:rPr>
          <w:rFonts w:hAnsi="新細明體"/>
          <w:kern w:val="0"/>
        </w:rPr>
        <w:t>及效力的問題，毋寧將其認為係關於</w:t>
      </w:r>
      <w:r>
        <w:rPr>
          <w:rFonts w:hAnsi="新細明體"/>
          <w:kern w:val="0"/>
        </w:rPr>
        <w:t>新法規如何適用於既存之法律關係</w:t>
      </w:r>
      <w:proofErr w:type="gramStart"/>
      <w:r>
        <w:rPr>
          <w:rFonts w:hAnsi="新細明體"/>
          <w:kern w:val="0"/>
        </w:rPr>
        <w:t>為愈</w:t>
      </w:r>
      <w:r>
        <w:rPr>
          <w:kern w:val="0"/>
        </w:rPr>
        <w:t>……</w:t>
      </w:r>
      <w:proofErr w:type="gramEnd"/>
      <w:r>
        <w:rPr>
          <w:rFonts w:hAnsi="新細明體"/>
          <w:kern w:val="0"/>
        </w:rPr>
        <w:t>。為便於說明，以下將沿用德國聯邦憲法法院第二法庭之見解，以法律的生效時間作為二者之區分方法，將法律規定其開始適用，早於該法律公布</w:t>
      </w:r>
      <w:proofErr w:type="gramStart"/>
      <w:r>
        <w:rPr>
          <w:rFonts w:hAnsi="新細明體"/>
          <w:kern w:val="0"/>
        </w:rPr>
        <w:t>之前者</w:t>
      </w:r>
      <w:proofErr w:type="gramEnd"/>
      <w:r>
        <w:rPr>
          <w:rFonts w:hAnsi="新細明體"/>
          <w:kern w:val="0"/>
        </w:rPr>
        <w:t>，稱之為『法律效果</w:t>
      </w:r>
      <w:proofErr w:type="gramStart"/>
      <w:r>
        <w:rPr>
          <w:rFonts w:hAnsi="新細明體"/>
          <w:kern w:val="0"/>
        </w:rPr>
        <w:t>之溯及效』</w:t>
      </w:r>
      <w:proofErr w:type="gramEnd"/>
      <w:r>
        <w:rPr>
          <w:rFonts w:hAnsi="新細明體"/>
          <w:kern w:val="0"/>
        </w:rPr>
        <w:t>；將</w:t>
      </w:r>
      <w:proofErr w:type="gramStart"/>
      <w:r>
        <w:rPr>
          <w:rFonts w:hAnsi="新細明體"/>
          <w:kern w:val="0"/>
        </w:rPr>
        <w:t>法律未</w:t>
      </w:r>
      <w:r>
        <w:rPr>
          <w:rFonts w:hAnsi="新細明體"/>
          <w:kern w:val="0"/>
        </w:rPr>
        <w:lastRenderedPageBreak/>
        <w:t>溯及</w:t>
      </w:r>
      <w:proofErr w:type="gramEnd"/>
      <w:r>
        <w:rPr>
          <w:rFonts w:hAnsi="新細明體"/>
          <w:kern w:val="0"/>
        </w:rPr>
        <w:t>的生效，僅使法律效果之發生，與施行前之要件事實回溯結合者，稱之為『要件事實之回溯結合』」。</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t>（二）疑義分析</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color w:val="000000"/>
          <w:kern w:val="0"/>
        </w:rPr>
        <w:t xml:space="preserve">    </w:t>
      </w:r>
      <w:r>
        <w:rPr>
          <w:rFonts w:ascii="新細明體" w:hAnsi="新細明體" w:cs="細明體" w:hint="eastAsia"/>
          <w:color w:val="000000"/>
          <w:kern w:val="0"/>
        </w:rPr>
        <w:t>本號解釋既然</w:t>
      </w:r>
      <w:proofErr w:type="gramStart"/>
      <w:r>
        <w:rPr>
          <w:rFonts w:ascii="新細明體" w:hAnsi="新細明體" w:cs="細明體" w:hint="eastAsia"/>
          <w:color w:val="000000"/>
          <w:kern w:val="0"/>
        </w:rPr>
        <w:t>重回釋字</w:t>
      </w:r>
      <w:proofErr w:type="gramEnd"/>
      <w:r>
        <w:rPr>
          <w:rFonts w:ascii="新細明體" w:hAnsi="新細明體" w:cs="細明體" w:hint="eastAsia"/>
          <w:color w:val="000000"/>
          <w:kern w:val="0"/>
        </w:rPr>
        <w:t>第</w:t>
      </w:r>
      <w:r>
        <w:rPr>
          <w:color w:val="000000"/>
          <w:kern w:val="0"/>
        </w:rPr>
        <w:t>525</w:t>
      </w:r>
      <w:r>
        <w:rPr>
          <w:rFonts w:ascii="新細明體" w:hAnsi="新細明體" w:cs="細明體" w:hint="eastAsia"/>
          <w:color w:val="000000"/>
          <w:kern w:val="0"/>
        </w:rPr>
        <w:t>號解釋操作信賴保護原則的模式，質言之，</w:t>
      </w:r>
      <w:r>
        <w:rPr>
          <w:rFonts w:hAnsi="新細明體"/>
          <w:kern w:val="0"/>
        </w:rPr>
        <w:t>認定</w:t>
      </w:r>
      <w:r>
        <w:rPr>
          <w:rFonts w:ascii="標楷體" w:eastAsia="標楷體" w:hAnsi="標楷體"/>
          <w:b/>
          <w:kern w:val="0"/>
        </w:rPr>
        <w:t>凡行政法規有變更、廢止之情形，</w:t>
      </w:r>
      <w:proofErr w:type="gramStart"/>
      <w:r>
        <w:rPr>
          <w:rFonts w:ascii="標楷體" w:eastAsia="標楷體" w:hAnsi="標楷體"/>
          <w:b/>
          <w:kern w:val="0"/>
        </w:rPr>
        <w:t>原則上均將衍生</w:t>
      </w:r>
      <w:proofErr w:type="gramEnd"/>
      <w:r>
        <w:rPr>
          <w:rFonts w:ascii="標楷體" w:eastAsia="標楷體" w:hAnsi="標楷體"/>
          <w:b/>
          <w:kern w:val="0"/>
        </w:rPr>
        <w:t>信賴保護的問題</w:t>
      </w:r>
      <w:r>
        <w:rPr>
          <w:rStyle w:val="a6"/>
          <w:rFonts w:eastAsia="標楷體"/>
          <w:kern w:val="0"/>
        </w:rPr>
        <w:footnoteReference w:id="11"/>
      </w:r>
      <w:r>
        <w:rPr>
          <w:rFonts w:hAnsi="新細明體"/>
          <w:kern w:val="0"/>
        </w:rPr>
        <w:t>以及，</w:t>
      </w:r>
      <w:r>
        <w:rPr>
          <w:rFonts w:ascii="標楷體" w:eastAsia="標楷體" w:hAnsi="標楷體"/>
          <w:b/>
          <w:kern w:val="0"/>
        </w:rPr>
        <w:t>並未區分信賴基礎的不同相應決定信賴保護的方</w:t>
      </w:r>
      <w:r>
        <w:rPr>
          <w:rFonts w:ascii="標楷體" w:eastAsia="標楷體" w:hAnsi="標楷體"/>
          <w:b/>
          <w:kern w:val="0"/>
        </w:rPr>
        <w:t>式</w:t>
      </w:r>
      <w:r>
        <w:rPr>
          <w:rFonts w:hAnsi="新細明體"/>
          <w:kern w:val="0"/>
        </w:rPr>
        <w:t>，</w:t>
      </w:r>
      <w:r>
        <w:rPr>
          <w:rFonts w:hAnsi="新細明體" w:hint="eastAsia"/>
          <w:kern w:val="0"/>
        </w:rPr>
        <w:t>自然同樣會發生，可能</w:t>
      </w:r>
      <w:r>
        <w:rPr>
          <w:rFonts w:hAnsi="新細明體"/>
          <w:kern w:val="0"/>
        </w:rPr>
        <w:t>導致過度限制立法機關立法調整空間以及，忽略法規範的拘束力應作一般抽象性的決定</w:t>
      </w:r>
      <w:r>
        <w:rPr>
          <w:rFonts w:hAnsi="新細明體" w:hint="eastAsia"/>
          <w:kern w:val="0"/>
        </w:rPr>
        <w:t>等疑義。針對後者來說，以「</w:t>
      </w:r>
      <w:r>
        <w:rPr>
          <w:rFonts w:ascii="新細明體" w:hAnsi="新細明體" w:cs="細明體"/>
          <w:kern w:val="0"/>
        </w:rPr>
        <w:t>法規（如解釋性、裁量性之行政規則）係因主張權益受害者以不正當方法或提供不正確資料而發布者</w:t>
      </w:r>
      <w:r>
        <w:rPr>
          <w:rFonts w:ascii="新細明體" w:hAnsi="新細明體" w:cs="細明體" w:hint="eastAsia"/>
          <w:kern w:val="0"/>
        </w:rPr>
        <w:t>」</w:t>
      </w:r>
      <w:r>
        <w:rPr>
          <w:rFonts w:ascii="新細明體" w:hAnsi="新細明體" w:cs="細明體"/>
          <w:kern w:val="0"/>
        </w:rPr>
        <w:t>，</w:t>
      </w:r>
      <w:r>
        <w:rPr>
          <w:rFonts w:ascii="新細明體" w:hAnsi="新細明體" w:cs="細明體" w:hint="eastAsia"/>
          <w:kern w:val="0"/>
        </w:rPr>
        <w:t>作為判斷該當權益受害者之「</w:t>
      </w:r>
      <w:r>
        <w:rPr>
          <w:rFonts w:ascii="新細明體" w:hAnsi="新細明體" w:cs="細明體"/>
          <w:kern w:val="0"/>
        </w:rPr>
        <w:t>信賴即不值得保護</w:t>
      </w:r>
      <w:r>
        <w:rPr>
          <w:rFonts w:hAnsi="新細明體" w:hint="eastAsia"/>
          <w:kern w:val="0"/>
        </w:rPr>
        <w:t>」的標準，恐將導致法規適用的歧異（假使權益受損害者中部分並未參與「</w:t>
      </w:r>
      <w:r>
        <w:rPr>
          <w:rFonts w:ascii="新細明體" w:hAnsi="新細明體" w:cs="細明體"/>
          <w:kern w:val="0"/>
        </w:rPr>
        <w:t>以不正當方法或提供不正確資料</w:t>
      </w:r>
      <w:r>
        <w:rPr>
          <w:rFonts w:hAnsi="新細明體" w:hint="eastAsia"/>
          <w:kern w:val="0"/>
        </w:rPr>
        <w:t>」之情事的話）。</w:t>
      </w:r>
      <w:proofErr w:type="gramStart"/>
      <w:r>
        <w:rPr>
          <w:rFonts w:hAnsi="新細明體" w:hint="eastAsia"/>
          <w:kern w:val="0"/>
        </w:rPr>
        <w:t>此外，</w:t>
      </w:r>
      <w:proofErr w:type="gramEnd"/>
      <w:r>
        <w:rPr>
          <w:rFonts w:hAnsi="新細明體" w:hint="eastAsia"/>
          <w:kern w:val="0"/>
        </w:rPr>
        <w:t>本號解釋在判斷信賴是否值得保護時，以「期待權」理論為判</w:t>
      </w:r>
      <w:proofErr w:type="gramStart"/>
      <w:r>
        <w:rPr>
          <w:rFonts w:hAnsi="新細明體" w:hint="eastAsia"/>
          <w:kern w:val="0"/>
        </w:rPr>
        <w:t>準</w:t>
      </w:r>
      <w:proofErr w:type="gramEnd"/>
      <w:r>
        <w:rPr>
          <w:rFonts w:hAnsi="新細明體" w:hint="eastAsia"/>
          <w:kern w:val="0"/>
        </w:rPr>
        <w:t>，則前文所述，</w:t>
      </w:r>
      <w:r>
        <w:rPr>
          <w:rFonts w:ascii="標楷體" w:eastAsia="標楷體" w:hAnsi="標楷體" w:hint="eastAsia"/>
          <w:b/>
          <w:kern w:val="0"/>
        </w:rPr>
        <w:t>以</w:t>
      </w:r>
      <w:r>
        <w:rPr>
          <w:rFonts w:ascii="標楷體" w:eastAsia="標楷體" w:hAnsi="標楷體" w:cs="細明體" w:hint="eastAsia"/>
          <w:b/>
          <w:kern w:val="0"/>
        </w:rPr>
        <w:t>「期待權」理論作為決定立法者有規定過渡條款、採取補救措施之義務的</w:t>
      </w:r>
      <w:r>
        <w:rPr>
          <w:rFonts w:ascii="標楷體" w:eastAsia="標楷體" w:hAnsi="標楷體" w:cs="細明體" w:hint="eastAsia"/>
          <w:b/>
          <w:kern w:val="0"/>
        </w:rPr>
        <w:t>判</w:t>
      </w:r>
      <w:proofErr w:type="gramStart"/>
      <w:r>
        <w:rPr>
          <w:rFonts w:ascii="標楷體" w:eastAsia="標楷體" w:hAnsi="標楷體" w:cs="細明體" w:hint="eastAsia"/>
          <w:b/>
          <w:kern w:val="0"/>
        </w:rPr>
        <w:t>準</w:t>
      </w:r>
      <w:proofErr w:type="gramEnd"/>
      <w:r>
        <w:rPr>
          <w:rFonts w:ascii="標楷體" w:eastAsia="標楷體" w:hAnsi="標楷體" w:cs="細明體" w:hint="eastAsia"/>
          <w:b/>
          <w:kern w:val="0"/>
        </w:rPr>
        <w:t>，其憲法基礎何在</w:t>
      </w:r>
      <w:r>
        <w:rPr>
          <w:rFonts w:ascii="新細明體" w:hAnsi="新細明體" w:cs="細明體" w:hint="eastAsia"/>
          <w:kern w:val="0"/>
        </w:rPr>
        <w:t>的疑義，自亦適用於此。至於前文所述，以「期待權」為判</w:t>
      </w:r>
      <w:proofErr w:type="gramStart"/>
      <w:r>
        <w:rPr>
          <w:rFonts w:ascii="新細明體" w:hAnsi="新細明體" w:cs="細明體" w:hint="eastAsia"/>
          <w:kern w:val="0"/>
        </w:rPr>
        <w:t>準</w:t>
      </w:r>
      <w:proofErr w:type="gramEnd"/>
      <w:r>
        <w:rPr>
          <w:rFonts w:ascii="新細明體" w:hAnsi="新細明體" w:cs="細明體" w:hint="eastAsia"/>
          <w:kern w:val="0"/>
        </w:rPr>
        <w:t>，可能片面強調人民對既存法秩序的信賴而未慮及立法者配合時代發展之自由形成空間的疑慮，如前所述，本號解釋係以權衡公益與信賴利益，肯認規範制訂者進一步限制信賴利益的方式來避免。然而，如認當事人之信賴利益已屬「期待權」，何以又得基於公益考量加以限制？就此，大法官亦未進一步加以闡述</w:t>
      </w:r>
      <w:r>
        <w:rPr>
          <w:kern w:val="0"/>
          <w:vertAlign w:val="superscript"/>
        </w:rPr>
        <w:footnoteReference w:id="12"/>
      </w:r>
      <w:r>
        <w:rPr>
          <w:rFonts w:ascii="新細明體" w:hAnsi="新細明體" w:cs="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kern w:val="0"/>
        </w:rPr>
      </w:pPr>
      <w:r>
        <w:rPr>
          <w:rFonts w:ascii="新細明體" w:hAnsi="新細明體" w:cs="細明體" w:hint="eastAsia"/>
          <w:kern w:val="0"/>
        </w:rPr>
        <w:t xml:space="preserve">    </w:t>
      </w:r>
      <w:r>
        <w:rPr>
          <w:rFonts w:hAnsi="新細明體"/>
          <w:kern w:val="0"/>
        </w:rPr>
        <w:t>曾有田大法官、許玉秀大法官各自提出之協同意見書以及，楊仁壽、王和雄大法官共同提出之部分不同意見書，其共通之處在於：與本號解釋多數意見不同地，</w:t>
      </w:r>
      <w:r>
        <w:rPr>
          <w:rFonts w:ascii="標楷體" w:eastAsia="標楷體" w:hAnsi="標楷體"/>
          <w:b/>
          <w:kern w:val="0"/>
        </w:rPr>
        <w:t>強調在審</w:t>
      </w:r>
      <w:r>
        <w:rPr>
          <w:rFonts w:ascii="標楷體" w:eastAsia="標楷體" w:hAnsi="標楷體"/>
          <w:b/>
          <w:kern w:val="0"/>
        </w:rPr>
        <w:t>查法規範變更之合</w:t>
      </w:r>
      <w:proofErr w:type="gramStart"/>
      <w:r>
        <w:rPr>
          <w:rFonts w:ascii="標楷體" w:eastAsia="標楷體" w:hAnsi="標楷體"/>
          <w:b/>
          <w:kern w:val="0"/>
        </w:rPr>
        <w:t>憲性時法律</w:t>
      </w:r>
      <w:proofErr w:type="gramEnd"/>
      <w:r>
        <w:rPr>
          <w:rFonts w:ascii="標楷體" w:eastAsia="標楷體" w:hAnsi="標楷體"/>
          <w:b/>
          <w:kern w:val="0"/>
        </w:rPr>
        <w:t>溯及概念的重要性</w:t>
      </w:r>
      <w:r>
        <w:rPr>
          <w:rFonts w:hAnsi="新細明體"/>
          <w:kern w:val="0"/>
        </w:rPr>
        <w:t>。然而，關於</w:t>
      </w:r>
      <w:r>
        <w:rPr>
          <w:rFonts w:ascii="標楷體" w:eastAsia="標楷體" w:hAnsi="標楷體"/>
          <w:b/>
          <w:kern w:val="0"/>
        </w:rPr>
        <w:t>法律溯及分類的合理性與必要性</w:t>
      </w:r>
      <w:r>
        <w:rPr>
          <w:rFonts w:hAnsi="新細明體"/>
          <w:kern w:val="0"/>
        </w:rPr>
        <w:t>，許玉秀大法官與楊仁壽、王和雄大法官之態度的壁壘分明，</w:t>
      </w:r>
      <w:proofErr w:type="gramStart"/>
      <w:r>
        <w:rPr>
          <w:rFonts w:hAnsi="新細明體"/>
          <w:kern w:val="0"/>
        </w:rPr>
        <w:t>誠足注目</w:t>
      </w:r>
      <w:proofErr w:type="gramEnd"/>
      <w:r>
        <w:rPr>
          <w:rFonts w:hAnsi="新細明體"/>
          <w:kern w:val="0"/>
        </w:rPr>
        <w:t>。採取比較和緩立場的是曾有田大法官，他認定，「</w:t>
      </w:r>
      <w:proofErr w:type="gramStart"/>
      <w:r>
        <w:rPr>
          <w:rFonts w:hAnsi="新細明體"/>
          <w:kern w:val="0"/>
        </w:rPr>
        <w:t>不</w:t>
      </w:r>
      <w:proofErr w:type="gramEnd"/>
      <w:r>
        <w:rPr>
          <w:rFonts w:hAnsi="新細明體"/>
          <w:kern w:val="0"/>
        </w:rPr>
        <w:t>真正溯及既往」或「法律事實之回溯連結」等概念是多餘的；質言之，所謂『真正溯及既往』或『法律</w:t>
      </w:r>
      <w:proofErr w:type="gramStart"/>
      <w:r>
        <w:rPr>
          <w:rFonts w:hAnsi="新細明體"/>
          <w:kern w:val="0"/>
        </w:rPr>
        <w:t>效果之溯及</w:t>
      </w:r>
      <w:proofErr w:type="gramEnd"/>
      <w:r>
        <w:rPr>
          <w:rFonts w:hAnsi="新細明體"/>
          <w:kern w:val="0"/>
        </w:rPr>
        <w:t>生效』，即其所理解的「法律</w:t>
      </w:r>
      <w:proofErr w:type="gramStart"/>
      <w:r>
        <w:rPr>
          <w:rFonts w:hAnsi="新細明體"/>
          <w:kern w:val="0"/>
        </w:rPr>
        <w:t>不</w:t>
      </w:r>
      <w:proofErr w:type="gramEnd"/>
      <w:r>
        <w:rPr>
          <w:rFonts w:hAnsi="新細明體"/>
          <w:kern w:val="0"/>
        </w:rPr>
        <w:t>溯及既往原則」仍有其意義。</w:t>
      </w:r>
      <w:proofErr w:type="gramStart"/>
      <w:r>
        <w:rPr>
          <w:rFonts w:hAnsi="新細明體"/>
          <w:kern w:val="0"/>
        </w:rPr>
        <w:t>然則，</w:t>
      </w:r>
      <w:proofErr w:type="gramEnd"/>
      <w:r>
        <w:rPr>
          <w:rFonts w:hAnsi="新細明體"/>
          <w:kern w:val="0"/>
        </w:rPr>
        <w:t>究以何者為是？</w:t>
      </w:r>
      <w:proofErr w:type="gramStart"/>
      <w:r>
        <w:rPr>
          <w:rFonts w:hAnsi="新細明體"/>
          <w:kern w:val="0"/>
        </w:rPr>
        <w:t>此外，特應</w:t>
      </w:r>
      <w:proofErr w:type="gramEnd"/>
      <w:r>
        <w:rPr>
          <w:rFonts w:hAnsi="新細明體"/>
          <w:kern w:val="0"/>
        </w:rPr>
        <w:t>留意得是：許玉秀大法官在本號解釋的協同意見書</w:t>
      </w:r>
      <w:proofErr w:type="gramStart"/>
      <w:r>
        <w:rPr>
          <w:rFonts w:hAnsi="新細明體"/>
          <w:kern w:val="0"/>
        </w:rPr>
        <w:t>裡重拾釋</w:t>
      </w:r>
      <w:proofErr w:type="gramEnd"/>
      <w:r>
        <w:rPr>
          <w:rFonts w:hAnsi="新細明體"/>
          <w:kern w:val="0"/>
        </w:rPr>
        <w:t>字第</w:t>
      </w:r>
      <w:r>
        <w:rPr>
          <w:kern w:val="0"/>
        </w:rPr>
        <w:t>575</w:t>
      </w:r>
      <w:r>
        <w:rPr>
          <w:rFonts w:hAnsi="新細明體"/>
          <w:kern w:val="0"/>
        </w:rPr>
        <w:t>號解釋的論述脈絡，質言之，</w:t>
      </w:r>
      <w:r>
        <w:rPr>
          <w:rFonts w:ascii="標楷體" w:eastAsia="標楷體" w:hAnsi="標楷體"/>
          <w:b/>
          <w:kern w:val="0"/>
        </w:rPr>
        <w:t>以基本權的保障為論據</w:t>
      </w:r>
      <w:r>
        <w:rPr>
          <w:rFonts w:hAnsi="新細明體"/>
          <w:kern w:val="0"/>
        </w:rPr>
        <w:t>，因此，影響權利之公權力措施</w:t>
      </w:r>
      <w:r>
        <w:rPr>
          <w:rFonts w:hAnsi="新細明體"/>
          <w:kern w:val="0"/>
        </w:rPr>
        <w:t>的合憲性原則上取決於比例原則，依其案件情境同時亦可能取決於平等原則的遵守與否。</w:t>
      </w:r>
    </w:p>
    <w:p w:rsidR="00956B72" w:rsidRDefault="00956B72"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kern w:val="0"/>
        </w:rPr>
      </w:pPr>
    </w:p>
    <w:p w:rsidR="00956B72" w:rsidRDefault="00956B72" w:rsidP="00956B72">
      <w:pPr>
        <w:widowControl/>
        <w:tabs>
          <w:tab w:val="left" w:pos="480"/>
          <w:tab w:val="left" w:pos="960"/>
          <w:tab w:val="left" w:pos="1440"/>
          <w:tab w:val="left" w:pos="1920"/>
          <w:tab w:val="left" w:pos="2400"/>
        </w:tabs>
        <w:overflowPunct w:val="0"/>
        <w:spacing w:line="360" w:lineRule="auto"/>
        <w:jc w:val="both"/>
        <w:rPr>
          <w:rFonts w:hAnsi="新細明體"/>
        </w:rPr>
      </w:pPr>
      <w:r>
        <w:rPr>
          <w:rFonts w:hAnsi="新細明體"/>
        </w:rPr>
        <w:tab/>
      </w:r>
      <w:r>
        <w:rPr>
          <w:rFonts w:hAnsi="新細明體"/>
        </w:rPr>
        <w:tab/>
      </w:r>
      <w:r>
        <w:rPr>
          <w:rFonts w:hAnsi="新細明體"/>
        </w:rPr>
        <w:tab/>
      </w:r>
      <w:r>
        <w:rPr>
          <w:rFonts w:hAnsi="新細明體"/>
        </w:rPr>
        <w:tab/>
      </w:r>
      <w:r>
        <w:rPr>
          <w:rFonts w:hAnsi="新細明體"/>
        </w:rPr>
        <w:tab/>
      </w:r>
      <w:r>
        <w:rPr>
          <w:rFonts w:hAnsi="新細明體"/>
        </w:rPr>
        <w:tab/>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sidRPr="00956B72">
        <w:rPr>
          <w:rFonts w:hAnsi="新細明體"/>
        </w:rPr>
        <w:br w:type="page"/>
      </w:r>
      <w:r>
        <w:rPr>
          <w:rFonts w:ascii="標楷體" w:eastAsia="標楷體" w:hAnsi="標楷體" w:cs="細明體" w:hint="eastAsia"/>
          <w:b/>
          <w:kern w:val="0"/>
        </w:rPr>
        <w:lastRenderedPageBreak/>
        <w:t>第二節</w:t>
      </w:r>
      <w:r>
        <w:rPr>
          <w:rFonts w:ascii="標楷體" w:eastAsia="標楷體" w:hAnsi="標楷體" w:cs="細明體" w:hint="eastAsia"/>
          <w:b/>
          <w:kern w:val="0"/>
        </w:rPr>
        <w:t xml:space="preserve"> </w:t>
      </w:r>
      <w:r>
        <w:rPr>
          <w:rFonts w:ascii="標楷體" w:eastAsia="標楷體" w:hAnsi="標楷體" w:cs="細明體" w:hint="eastAsia"/>
          <w:b/>
          <w:kern w:val="0"/>
        </w:rPr>
        <w:t>藉由檢視司法院大法官相關解釋顯示的探討進路</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ascii="新細明體" w:hAnsi="新細明體" w:cs="細明體" w:hint="eastAsia"/>
          <w:kern w:val="0"/>
        </w:rPr>
        <w:t xml:space="preserve">   </w:t>
      </w:r>
      <w:r>
        <w:rPr>
          <w:kern w:val="0"/>
        </w:rPr>
        <w:t xml:space="preserve"> </w:t>
      </w:r>
      <w:r>
        <w:rPr>
          <w:rFonts w:hAnsi="新細明體"/>
          <w:kern w:val="0"/>
        </w:rPr>
        <w:t>在分別檢視、分析司法院大法官</w:t>
      </w:r>
      <w:proofErr w:type="gramStart"/>
      <w:r>
        <w:rPr>
          <w:rFonts w:hAnsi="新細明體"/>
          <w:kern w:val="0"/>
        </w:rPr>
        <w:t>相關各號解釋</w:t>
      </w:r>
      <w:proofErr w:type="gramEnd"/>
      <w:r>
        <w:rPr>
          <w:rFonts w:hAnsi="新細明體"/>
          <w:kern w:val="0"/>
        </w:rPr>
        <w:t>之後，可初步確定，就因法規範變更衍生之信賴保護的相關問題，自釋字第</w:t>
      </w:r>
      <w:r>
        <w:rPr>
          <w:kern w:val="0"/>
        </w:rPr>
        <w:t>525</w:t>
      </w:r>
      <w:r>
        <w:rPr>
          <w:rFonts w:hAnsi="新細明體"/>
          <w:kern w:val="0"/>
        </w:rPr>
        <w:t>號解釋至第</w:t>
      </w:r>
      <w:r>
        <w:rPr>
          <w:kern w:val="0"/>
        </w:rPr>
        <w:t>605</w:t>
      </w:r>
      <w:r>
        <w:rPr>
          <w:rFonts w:hAnsi="新細明體"/>
          <w:kern w:val="0"/>
        </w:rPr>
        <w:t>號解釋，大法官尚未能發展出確定的審查理路。惟為更清楚</w:t>
      </w:r>
      <w:proofErr w:type="gramStart"/>
      <w:r>
        <w:rPr>
          <w:rFonts w:hAnsi="新細明體"/>
          <w:kern w:val="0"/>
        </w:rPr>
        <w:t>呈現各號解釋</w:t>
      </w:r>
      <w:proofErr w:type="gramEnd"/>
      <w:r>
        <w:rPr>
          <w:rFonts w:hAnsi="新細明體"/>
          <w:kern w:val="0"/>
        </w:rPr>
        <w:t>之間的歧異，也為了確定必須進一步</w:t>
      </w:r>
      <w:proofErr w:type="gramStart"/>
      <w:r>
        <w:rPr>
          <w:kern w:val="0"/>
        </w:rPr>
        <w:t>―</w:t>
      </w:r>
      <w:proofErr w:type="gramEnd"/>
      <w:r>
        <w:rPr>
          <w:rFonts w:hAnsi="新細明體"/>
          <w:kern w:val="0"/>
        </w:rPr>
        <w:t>藉助德國學理</w:t>
      </w:r>
      <w:proofErr w:type="gramStart"/>
      <w:r>
        <w:rPr>
          <w:kern w:val="0"/>
        </w:rPr>
        <w:t>―</w:t>
      </w:r>
      <w:r>
        <w:rPr>
          <w:rFonts w:hAnsi="新細明體"/>
          <w:kern w:val="0"/>
        </w:rPr>
        <w:t>釐</w:t>
      </w:r>
      <w:proofErr w:type="gramEnd"/>
      <w:r>
        <w:rPr>
          <w:rFonts w:hAnsi="新細明體"/>
          <w:kern w:val="0"/>
        </w:rPr>
        <w:t>清的問題為何，在本章的最後，擬以信賴保護的相關問題為主軸，說明前</w:t>
      </w:r>
      <w:proofErr w:type="gramStart"/>
      <w:r>
        <w:rPr>
          <w:rFonts w:hAnsi="新細明體"/>
          <w:kern w:val="0"/>
        </w:rPr>
        <w:t>揭各號</w:t>
      </w:r>
      <w:proofErr w:type="gramEnd"/>
      <w:r>
        <w:rPr>
          <w:rFonts w:hAnsi="新細明體"/>
          <w:kern w:val="0"/>
        </w:rPr>
        <w:t>解釋的不同立場：</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首先應該指出：</w:t>
      </w:r>
      <w:r>
        <w:rPr>
          <w:rFonts w:ascii="標楷體" w:eastAsia="標楷體" w:hAnsi="標楷體"/>
          <w:b/>
          <w:kern w:val="0"/>
        </w:rPr>
        <w:t>大法官對信賴保</w:t>
      </w:r>
      <w:r>
        <w:rPr>
          <w:rFonts w:ascii="標楷體" w:eastAsia="標楷體" w:hAnsi="標楷體"/>
          <w:b/>
          <w:kern w:val="0"/>
        </w:rPr>
        <w:t>護原則之憲法基礎的說明始終曖昧</w:t>
      </w:r>
      <w:r>
        <w:rPr>
          <w:rFonts w:hAnsi="新細明體"/>
          <w:kern w:val="0"/>
        </w:rPr>
        <w:t>。釋字第</w:t>
      </w:r>
      <w:r>
        <w:rPr>
          <w:kern w:val="0"/>
        </w:rPr>
        <w:t>525</w:t>
      </w:r>
      <w:r>
        <w:rPr>
          <w:rFonts w:hAnsi="新細明體"/>
          <w:kern w:val="0"/>
        </w:rPr>
        <w:t>號解釋似以法治國原則為信賴保護原則的憲法基礎，但又以「人民權利之維護、法秩序之安定及誠實信用原則」三項法治國原則之子原則，來支撐信賴保護原則。相對於此，釋字第</w:t>
      </w:r>
      <w:r>
        <w:rPr>
          <w:kern w:val="0"/>
        </w:rPr>
        <w:t>574</w:t>
      </w:r>
      <w:r>
        <w:rPr>
          <w:rFonts w:hAnsi="新細明體"/>
          <w:kern w:val="0"/>
        </w:rPr>
        <w:t>號解釋則</w:t>
      </w:r>
      <w:proofErr w:type="gramStart"/>
      <w:r>
        <w:rPr>
          <w:rFonts w:hAnsi="新細明體"/>
          <w:kern w:val="0"/>
        </w:rPr>
        <w:t>逕</w:t>
      </w:r>
      <w:proofErr w:type="gramEnd"/>
      <w:r>
        <w:rPr>
          <w:rFonts w:hAnsi="新細明體"/>
          <w:kern w:val="0"/>
        </w:rPr>
        <w:t>以信賴保護原則為法治國原則的子原則，並使其與「人民權利之維護、法秩序之安定」的要求並列</w:t>
      </w:r>
      <w:r>
        <w:rPr>
          <w:kern w:val="0"/>
          <w:vertAlign w:val="superscript"/>
        </w:rPr>
        <w:footnoteReference w:id="13"/>
      </w:r>
      <w:r>
        <w:rPr>
          <w:rFonts w:hAnsi="新細明體"/>
          <w:kern w:val="0"/>
        </w:rPr>
        <w:t>。</w:t>
      </w:r>
      <w:proofErr w:type="gramStart"/>
      <w:r>
        <w:rPr>
          <w:rFonts w:hAnsi="新細明體"/>
          <w:kern w:val="0"/>
        </w:rPr>
        <w:t>然則，</w:t>
      </w:r>
      <w:proofErr w:type="gramEnd"/>
      <w:r>
        <w:rPr>
          <w:rFonts w:hAnsi="新細明體"/>
          <w:kern w:val="0"/>
        </w:rPr>
        <w:t>究以何者為是？大法官何以採取此一轉變？不同的憲法基礎對是否違反信賴保護原則的審查，是否會造成何等的影響？就此等問題，</w:t>
      </w:r>
      <w:proofErr w:type="gramStart"/>
      <w:r>
        <w:rPr>
          <w:rFonts w:hAnsi="新細明體"/>
          <w:kern w:val="0"/>
        </w:rPr>
        <w:t>大法官均未進一步</w:t>
      </w:r>
      <w:proofErr w:type="gramEnd"/>
      <w:r>
        <w:rPr>
          <w:rFonts w:hAnsi="新細明體"/>
          <w:kern w:val="0"/>
        </w:rPr>
        <w:t>說明。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其次，大法官</w:t>
      </w:r>
      <w:r>
        <w:rPr>
          <w:rFonts w:ascii="標楷體" w:eastAsia="標楷體" w:hAnsi="標楷體"/>
          <w:b/>
          <w:kern w:val="0"/>
        </w:rPr>
        <w:t>審查法規範變更是否違反信賴保護的論述</w:t>
      </w:r>
      <w:r>
        <w:rPr>
          <w:rFonts w:ascii="標楷體" w:eastAsia="標楷體" w:hAnsi="標楷體"/>
          <w:b/>
          <w:kern w:val="0"/>
        </w:rPr>
        <w:t>模型並不穩定</w:t>
      </w:r>
      <w:r>
        <w:rPr>
          <w:rFonts w:hAnsi="新細明體"/>
          <w:kern w:val="0"/>
        </w:rPr>
        <w:t>。（一）釋字第</w:t>
      </w:r>
      <w:r>
        <w:rPr>
          <w:kern w:val="0"/>
        </w:rPr>
        <w:t>525</w:t>
      </w:r>
      <w:r>
        <w:rPr>
          <w:rFonts w:hAnsi="新細明體"/>
          <w:kern w:val="0"/>
        </w:rPr>
        <w:t>號解釋直接訴諸信賴保護的要求，並且一般性地認定，</w:t>
      </w:r>
      <w:r>
        <w:rPr>
          <w:rFonts w:ascii="標楷體" w:eastAsia="標楷體" w:hAnsi="標楷體"/>
          <w:b/>
          <w:kern w:val="0"/>
        </w:rPr>
        <w:t>凡行政法規有變更、廢止之情形</w:t>
      </w:r>
      <w:r>
        <w:rPr>
          <w:rFonts w:hAnsi="新細明體"/>
          <w:kern w:val="0"/>
        </w:rPr>
        <w:t>，「除預先定有施行期間或經有權機關認定係因情事變遷而停止適用，不生信賴保護問題外」，</w:t>
      </w:r>
      <w:proofErr w:type="gramStart"/>
      <w:r>
        <w:rPr>
          <w:rFonts w:ascii="標楷體" w:eastAsia="標楷體" w:hAnsi="標楷體"/>
          <w:b/>
          <w:kern w:val="0"/>
        </w:rPr>
        <w:t>人民均得主張</w:t>
      </w:r>
      <w:proofErr w:type="gramEnd"/>
      <w:r>
        <w:rPr>
          <w:rFonts w:ascii="標楷體" w:eastAsia="標楷體" w:hAnsi="標楷體"/>
          <w:b/>
          <w:kern w:val="0"/>
        </w:rPr>
        <w:t>信賴保護</w:t>
      </w:r>
      <w:r>
        <w:rPr>
          <w:rFonts w:hAnsi="新細明體"/>
          <w:kern w:val="0"/>
        </w:rPr>
        <w:t>。</w:t>
      </w:r>
      <w:proofErr w:type="gramStart"/>
      <w:r>
        <w:rPr>
          <w:rFonts w:hAnsi="新細明體"/>
          <w:kern w:val="0"/>
        </w:rPr>
        <w:t>除釋字</w:t>
      </w:r>
      <w:proofErr w:type="gramEnd"/>
      <w:r>
        <w:rPr>
          <w:rFonts w:hAnsi="新細明體"/>
          <w:kern w:val="0"/>
        </w:rPr>
        <w:t>第</w:t>
      </w:r>
      <w:r>
        <w:rPr>
          <w:kern w:val="0"/>
        </w:rPr>
        <w:t>529</w:t>
      </w:r>
      <w:r>
        <w:rPr>
          <w:rFonts w:hAnsi="新細明體"/>
          <w:kern w:val="0"/>
        </w:rPr>
        <w:t>號、第</w:t>
      </w:r>
      <w:r>
        <w:rPr>
          <w:kern w:val="0"/>
        </w:rPr>
        <w:t>538</w:t>
      </w:r>
      <w:r>
        <w:rPr>
          <w:rFonts w:hAnsi="新細明體"/>
          <w:kern w:val="0"/>
        </w:rPr>
        <w:t>號解釋採取此一論述方式外，現任大法官在釋字第</w:t>
      </w:r>
      <w:r>
        <w:rPr>
          <w:kern w:val="0"/>
        </w:rPr>
        <w:t>589</w:t>
      </w:r>
      <w:r>
        <w:rPr>
          <w:rFonts w:hAnsi="新細明體"/>
          <w:kern w:val="0"/>
        </w:rPr>
        <w:t>號、第</w:t>
      </w:r>
      <w:r>
        <w:rPr>
          <w:kern w:val="0"/>
        </w:rPr>
        <w:t>605</w:t>
      </w:r>
      <w:r>
        <w:rPr>
          <w:rFonts w:hAnsi="新細明體"/>
          <w:kern w:val="0"/>
        </w:rPr>
        <w:t>號解釋亦</w:t>
      </w:r>
      <w:proofErr w:type="gramStart"/>
      <w:r>
        <w:rPr>
          <w:rFonts w:hAnsi="新細明體"/>
          <w:kern w:val="0"/>
        </w:rPr>
        <w:t>採</w:t>
      </w:r>
      <w:proofErr w:type="gramEnd"/>
      <w:r>
        <w:rPr>
          <w:rFonts w:hAnsi="新細明體"/>
          <w:kern w:val="0"/>
        </w:rPr>
        <w:t>同一立場。（二）然而，現任大法官在釋字第</w:t>
      </w:r>
      <w:r>
        <w:rPr>
          <w:kern w:val="0"/>
        </w:rPr>
        <w:t>574</w:t>
      </w:r>
      <w:r>
        <w:rPr>
          <w:rFonts w:hAnsi="新細明體"/>
          <w:kern w:val="0"/>
        </w:rPr>
        <w:t>號解釋原本轉向</w:t>
      </w:r>
      <w:r>
        <w:rPr>
          <w:rFonts w:ascii="標楷體" w:eastAsia="標楷體" w:hAnsi="標楷體"/>
          <w:b/>
          <w:kern w:val="0"/>
        </w:rPr>
        <w:t>援用法律</w:t>
      </w:r>
      <w:proofErr w:type="gramStart"/>
      <w:r>
        <w:rPr>
          <w:rFonts w:ascii="標楷體" w:eastAsia="標楷體" w:hAnsi="標楷體"/>
          <w:b/>
          <w:kern w:val="0"/>
        </w:rPr>
        <w:t>不</w:t>
      </w:r>
      <w:proofErr w:type="gramEnd"/>
      <w:r>
        <w:rPr>
          <w:rFonts w:ascii="標楷體" w:eastAsia="標楷體" w:hAnsi="標楷體"/>
          <w:b/>
          <w:kern w:val="0"/>
        </w:rPr>
        <w:t>溯既往原則，以探討法規範變更與人民信賴保護的關係</w:t>
      </w:r>
      <w:r>
        <w:rPr>
          <w:rFonts w:hAnsi="新細明體"/>
          <w:kern w:val="0"/>
        </w:rPr>
        <w:t>。釋字第</w:t>
      </w:r>
      <w:r>
        <w:rPr>
          <w:kern w:val="0"/>
        </w:rPr>
        <w:t>577</w:t>
      </w:r>
      <w:r>
        <w:rPr>
          <w:rFonts w:hAnsi="新細明體"/>
          <w:kern w:val="0"/>
        </w:rPr>
        <w:t>號解釋亦採取此一論述模型。（三）最後，雖然同樣涉及法規範變更導致的權</w:t>
      </w:r>
      <w:r>
        <w:rPr>
          <w:rFonts w:hAnsi="新細明體"/>
          <w:kern w:val="0"/>
        </w:rPr>
        <w:t>益影響，現任</w:t>
      </w:r>
      <w:r>
        <w:rPr>
          <w:rFonts w:hAnsi="新細明體"/>
          <w:kern w:val="0"/>
        </w:rPr>
        <w:lastRenderedPageBreak/>
        <w:t>大法官在釋字第</w:t>
      </w:r>
      <w:r>
        <w:rPr>
          <w:kern w:val="0"/>
        </w:rPr>
        <w:t>575</w:t>
      </w:r>
      <w:r>
        <w:rPr>
          <w:rFonts w:hAnsi="新細明體"/>
          <w:kern w:val="0"/>
        </w:rPr>
        <w:t>號解釋並未援引信賴保護原則或法律</w:t>
      </w:r>
      <w:proofErr w:type="gramStart"/>
      <w:r>
        <w:rPr>
          <w:rFonts w:hAnsi="新細明體"/>
          <w:kern w:val="0"/>
        </w:rPr>
        <w:t>不</w:t>
      </w:r>
      <w:proofErr w:type="gramEnd"/>
      <w:r>
        <w:rPr>
          <w:rFonts w:hAnsi="新細明體"/>
          <w:kern w:val="0"/>
        </w:rPr>
        <w:t>溯既往原則，毋寧係</w:t>
      </w:r>
      <w:proofErr w:type="gramStart"/>
      <w:r>
        <w:rPr>
          <w:rFonts w:hAnsi="新細明體"/>
          <w:kern w:val="0"/>
        </w:rPr>
        <w:t>逕</w:t>
      </w:r>
      <w:proofErr w:type="gramEnd"/>
      <w:r>
        <w:rPr>
          <w:rFonts w:ascii="標楷體" w:eastAsia="標楷體" w:hAnsi="標楷體"/>
          <w:b/>
          <w:kern w:val="0"/>
        </w:rPr>
        <w:t>以基本權的保障為論據，審查限制基本權之公權力措施（</w:t>
      </w:r>
      <w:r>
        <w:rPr>
          <w:rFonts w:ascii="標楷體" w:eastAsia="標楷體" w:hAnsi="標楷體"/>
          <w:b/>
          <w:kern w:val="0"/>
        </w:rPr>
        <w:t xml:space="preserve">= </w:t>
      </w:r>
      <w:r>
        <w:rPr>
          <w:rFonts w:ascii="標楷體" w:eastAsia="標楷體" w:hAnsi="標楷體"/>
          <w:b/>
          <w:kern w:val="0"/>
        </w:rPr>
        <w:t>法規範變更）的合憲性</w:t>
      </w:r>
      <w:r>
        <w:rPr>
          <w:rFonts w:hAnsi="新細明體"/>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尤其值得留意的是：</w:t>
      </w:r>
      <w:r>
        <w:rPr>
          <w:rFonts w:ascii="標楷體" w:eastAsia="標楷體" w:hAnsi="標楷體"/>
          <w:b/>
          <w:kern w:val="0"/>
        </w:rPr>
        <w:t>對判斷法規範變更是否應，以及應採取如何之適當補救措施以實現信賴保護的要求，大法官亦尚未提供穩定判</w:t>
      </w:r>
      <w:proofErr w:type="gramStart"/>
      <w:r>
        <w:rPr>
          <w:rFonts w:ascii="標楷體" w:eastAsia="標楷體" w:hAnsi="標楷體"/>
          <w:b/>
          <w:kern w:val="0"/>
        </w:rPr>
        <w:t>準</w:t>
      </w:r>
      <w:proofErr w:type="gramEnd"/>
      <w:r>
        <w:rPr>
          <w:rFonts w:hAnsi="新細明體"/>
          <w:kern w:val="0"/>
        </w:rPr>
        <w:t>。（一）釋字第</w:t>
      </w:r>
      <w:r>
        <w:rPr>
          <w:kern w:val="0"/>
        </w:rPr>
        <w:t>525</w:t>
      </w:r>
      <w:r>
        <w:rPr>
          <w:rFonts w:hAnsi="新細明體"/>
          <w:kern w:val="0"/>
        </w:rPr>
        <w:t>號解釋要求受規範之對象，積極面向上「必須有</w:t>
      </w:r>
      <w:r>
        <w:rPr>
          <w:rFonts w:ascii="標楷體" w:eastAsia="標楷體" w:hAnsi="標楷體"/>
          <w:b/>
          <w:kern w:val="0"/>
        </w:rPr>
        <w:t>客觀上具體表現信賴之行為</w:t>
      </w:r>
      <w:r>
        <w:rPr>
          <w:rFonts w:hAnsi="新細明體"/>
          <w:kern w:val="0"/>
        </w:rPr>
        <w:t>」，消極面向上亦</w:t>
      </w:r>
      <w:r>
        <w:rPr>
          <w:rFonts w:ascii="標楷體" w:eastAsia="標楷體" w:hAnsi="標楷體"/>
          <w:b/>
          <w:kern w:val="0"/>
        </w:rPr>
        <w:t>不得有</w:t>
      </w:r>
      <w:r>
        <w:rPr>
          <w:rFonts w:hAnsi="新細明體"/>
          <w:kern w:val="0"/>
        </w:rPr>
        <w:t>「經廢止或變更之法規有重大明顯違反上位規範情形」、「相關法規（如各種解釋性、裁量性之函釋）係因主張權益受害者以不正</w:t>
      </w:r>
      <w:r>
        <w:rPr>
          <w:rFonts w:hAnsi="新細明體"/>
          <w:kern w:val="0"/>
        </w:rPr>
        <w:t>當方法或提供不正確資料而發布」等</w:t>
      </w:r>
      <w:r>
        <w:rPr>
          <w:rFonts w:ascii="標楷體" w:eastAsia="標楷體" w:hAnsi="標楷體"/>
          <w:b/>
          <w:kern w:val="0"/>
        </w:rPr>
        <w:t>信賴不值得保護的情形</w:t>
      </w:r>
      <w:r>
        <w:rPr>
          <w:rFonts w:hAnsi="新細明體"/>
          <w:kern w:val="0"/>
        </w:rPr>
        <w:t>。如前所述，何謂「客觀上具體表現信賴之行為」，認定上始終有爭議。</w:t>
      </w:r>
      <w:proofErr w:type="gramStart"/>
      <w:r>
        <w:rPr>
          <w:rFonts w:hAnsi="新細明體"/>
          <w:kern w:val="0"/>
        </w:rPr>
        <w:t>此外，</w:t>
      </w:r>
      <w:proofErr w:type="gramEnd"/>
      <w:r>
        <w:rPr>
          <w:rFonts w:hAnsi="新細明體"/>
          <w:kern w:val="0"/>
        </w:rPr>
        <w:t>與釋字第</w:t>
      </w:r>
      <w:r>
        <w:rPr>
          <w:kern w:val="0"/>
        </w:rPr>
        <w:t>525</w:t>
      </w:r>
      <w:r>
        <w:rPr>
          <w:rFonts w:hAnsi="新細明體"/>
          <w:kern w:val="0"/>
        </w:rPr>
        <w:t>號解釋同樣認定，一旦法規範變更，人民</w:t>
      </w:r>
      <w:proofErr w:type="gramStart"/>
      <w:r>
        <w:rPr>
          <w:rFonts w:hAnsi="新細明體"/>
          <w:kern w:val="0"/>
        </w:rPr>
        <w:t>原則上均得主張</w:t>
      </w:r>
      <w:proofErr w:type="gramEnd"/>
      <w:r>
        <w:rPr>
          <w:rFonts w:hAnsi="新細明體"/>
          <w:kern w:val="0"/>
        </w:rPr>
        <w:t>信賴保護的釋字第</w:t>
      </w:r>
      <w:r>
        <w:rPr>
          <w:kern w:val="0"/>
        </w:rPr>
        <w:t>529</w:t>
      </w:r>
      <w:r>
        <w:rPr>
          <w:rFonts w:hAnsi="新細明體"/>
          <w:kern w:val="0"/>
        </w:rPr>
        <w:t>號、第</w:t>
      </w:r>
      <w:r>
        <w:rPr>
          <w:kern w:val="0"/>
        </w:rPr>
        <w:t>538</w:t>
      </w:r>
      <w:r>
        <w:rPr>
          <w:rFonts w:hAnsi="新細明體"/>
          <w:kern w:val="0"/>
        </w:rPr>
        <w:t>號解釋，在判斷相關措施的合</w:t>
      </w:r>
      <w:proofErr w:type="gramStart"/>
      <w:r>
        <w:rPr>
          <w:rFonts w:hAnsi="新細明體"/>
          <w:kern w:val="0"/>
        </w:rPr>
        <w:t>憲性時</w:t>
      </w:r>
      <w:proofErr w:type="gramEnd"/>
      <w:r>
        <w:rPr>
          <w:rFonts w:hAnsi="新細明體"/>
          <w:kern w:val="0"/>
        </w:rPr>
        <w:t>，其根本未論及有無「客觀上具體表現信賴之行為」，或有無「信賴不值得保護之情形」。最後，就法規範變更與人民信賴保護之關係亦採取與釋字第</w:t>
      </w:r>
      <w:r>
        <w:rPr>
          <w:kern w:val="0"/>
        </w:rPr>
        <w:t>525</w:t>
      </w:r>
      <w:r>
        <w:rPr>
          <w:rFonts w:hAnsi="新細明體"/>
          <w:kern w:val="0"/>
        </w:rPr>
        <w:t>號解釋相同論述模型的釋字第</w:t>
      </w:r>
      <w:r>
        <w:rPr>
          <w:kern w:val="0"/>
        </w:rPr>
        <w:t>605</w:t>
      </w:r>
      <w:r>
        <w:rPr>
          <w:rFonts w:hAnsi="新細明體"/>
          <w:kern w:val="0"/>
        </w:rPr>
        <w:t>號解釋，其一方面引述釋字第</w:t>
      </w:r>
      <w:r>
        <w:rPr>
          <w:kern w:val="0"/>
        </w:rPr>
        <w:t>525</w:t>
      </w:r>
      <w:r>
        <w:rPr>
          <w:rFonts w:hAnsi="新細明體"/>
          <w:kern w:val="0"/>
        </w:rPr>
        <w:t>號解釋的前揭積極、消極判</w:t>
      </w:r>
      <w:proofErr w:type="gramStart"/>
      <w:r>
        <w:rPr>
          <w:rFonts w:hAnsi="新細明體"/>
          <w:kern w:val="0"/>
        </w:rPr>
        <w:t>準</w:t>
      </w:r>
      <w:proofErr w:type="gramEnd"/>
      <w:r>
        <w:rPr>
          <w:rFonts w:hAnsi="新細明體"/>
          <w:kern w:val="0"/>
        </w:rPr>
        <w:t>，另一方面又接納許宗力大法官在釋</w:t>
      </w:r>
      <w:r>
        <w:rPr>
          <w:rFonts w:hAnsi="新細明體"/>
          <w:kern w:val="0"/>
        </w:rPr>
        <w:t>字第</w:t>
      </w:r>
      <w:r>
        <w:rPr>
          <w:kern w:val="0"/>
        </w:rPr>
        <w:t>574</w:t>
      </w:r>
      <w:r>
        <w:rPr>
          <w:rFonts w:hAnsi="新細明體"/>
          <w:kern w:val="0"/>
        </w:rPr>
        <w:t>號解釋之協同意見書提出的（原本用以進一步界定，在雖無溯及效力，但對人民依舊法建立之生活秩序有影響之法規範變更的情形，人民之信賴是否值得保護的）「期待權」判</w:t>
      </w:r>
      <w:proofErr w:type="gramStart"/>
      <w:r>
        <w:rPr>
          <w:rFonts w:hAnsi="新細明體"/>
          <w:kern w:val="0"/>
        </w:rPr>
        <w:t>準</w:t>
      </w:r>
      <w:r>
        <w:rPr>
          <w:kern w:val="0"/>
        </w:rPr>
        <w:t>―</w:t>
      </w:r>
      <w:proofErr w:type="gramEnd"/>
      <w:r>
        <w:rPr>
          <w:rFonts w:hAnsi="新細明體"/>
          <w:kern w:val="0"/>
        </w:rPr>
        <w:t>「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該要件有實現之可能等因素決定之」；於此，前揭</w:t>
      </w:r>
      <w:r>
        <w:rPr>
          <w:rFonts w:ascii="標楷體" w:eastAsia="標楷體" w:hAnsi="標楷體"/>
          <w:b/>
          <w:kern w:val="0"/>
        </w:rPr>
        <w:t>積極、消極判</w:t>
      </w:r>
      <w:proofErr w:type="gramStart"/>
      <w:r>
        <w:rPr>
          <w:rFonts w:ascii="標楷體" w:eastAsia="標楷體" w:hAnsi="標楷體"/>
          <w:b/>
          <w:kern w:val="0"/>
        </w:rPr>
        <w:t>準</w:t>
      </w:r>
      <w:proofErr w:type="gramEnd"/>
      <w:r>
        <w:rPr>
          <w:rFonts w:ascii="標楷體" w:eastAsia="標楷體" w:hAnsi="標楷體"/>
          <w:b/>
          <w:kern w:val="0"/>
        </w:rPr>
        <w:t>與「期待權」判</w:t>
      </w:r>
      <w:proofErr w:type="gramStart"/>
      <w:r>
        <w:rPr>
          <w:rFonts w:ascii="標楷體" w:eastAsia="標楷體" w:hAnsi="標楷體"/>
          <w:b/>
          <w:kern w:val="0"/>
        </w:rPr>
        <w:t>準</w:t>
      </w:r>
      <w:proofErr w:type="gramEnd"/>
      <w:r>
        <w:rPr>
          <w:rFonts w:ascii="標楷體" w:eastAsia="標楷體" w:hAnsi="標楷體"/>
          <w:b/>
          <w:kern w:val="0"/>
        </w:rPr>
        <w:t>之間的關係如何</w:t>
      </w:r>
      <w:r>
        <w:rPr>
          <w:rFonts w:hAnsi="新細明體"/>
          <w:kern w:val="0"/>
        </w:rPr>
        <w:t>，並不明朗。（二）援用法律</w:t>
      </w:r>
      <w:proofErr w:type="gramStart"/>
      <w:r>
        <w:rPr>
          <w:rFonts w:hAnsi="新細明體"/>
          <w:kern w:val="0"/>
        </w:rPr>
        <w:t>不</w:t>
      </w:r>
      <w:proofErr w:type="gramEnd"/>
      <w:r>
        <w:rPr>
          <w:rFonts w:hAnsi="新細明體"/>
          <w:kern w:val="0"/>
        </w:rPr>
        <w:t>溯既往原則的釋字第</w:t>
      </w:r>
      <w:r>
        <w:rPr>
          <w:kern w:val="0"/>
        </w:rPr>
        <w:t>574</w:t>
      </w:r>
      <w:r>
        <w:rPr>
          <w:rFonts w:hAnsi="新細明體"/>
          <w:kern w:val="0"/>
        </w:rPr>
        <w:t>號解釋則認定，「法律一旦發生變動，</w:t>
      </w:r>
      <w:r>
        <w:rPr>
          <w:rFonts w:ascii="標楷體" w:eastAsia="標楷體" w:hAnsi="標楷體"/>
          <w:b/>
          <w:kern w:val="0"/>
        </w:rPr>
        <w:t>除法律有溯及適用之特別規定者外，原則上係自法律公布生效日起，向將來發生效力</w:t>
      </w:r>
      <w:r>
        <w:rPr>
          <w:rFonts w:hAnsi="新細明體"/>
          <w:kern w:val="0"/>
        </w:rPr>
        <w:t>」；在新法雖無溯及效力但對人民依舊法建立之生活秩序發生影響之情形，「如人民</w:t>
      </w:r>
      <w:r>
        <w:rPr>
          <w:rFonts w:ascii="標楷體" w:eastAsia="標楷體" w:hAnsi="標楷體"/>
          <w:b/>
          <w:kern w:val="0"/>
        </w:rPr>
        <w:t>依該修</w:t>
      </w:r>
      <w:r>
        <w:rPr>
          <w:rFonts w:ascii="標楷體" w:eastAsia="標楷體" w:hAnsi="標楷體"/>
          <w:b/>
          <w:kern w:val="0"/>
        </w:rPr>
        <w:lastRenderedPageBreak/>
        <w:t>正前法律已取得之權益及因此所生之合理信賴</w:t>
      </w:r>
      <w:r>
        <w:rPr>
          <w:rFonts w:hAnsi="新細明體"/>
          <w:kern w:val="0"/>
        </w:rPr>
        <w:t>，因該法律修正而向將來受不利影響者，立法者即應制定過渡條款，</w:t>
      </w:r>
      <w:r>
        <w:rPr>
          <w:kern w:val="0"/>
        </w:rPr>
        <w:t>…</w:t>
      </w:r>
      <w:proofErr w:type="gramStart"/>
      <w:r>
        <w:rPr>
          <w:kern w:val="0"/>
        </w:rPr>
        <w:t>…</w:t>
      </w:r>
      <w:proofErr w:type="gramEnd"/>
      <w:r>
        <w:rPr>
          <w:rFonts w:hAnsi="新細明體"/>
          <w:kern w:val="0"/>
        </w:rPr>
        <w:t>或採取其他合理之補救措施」</w:t>
      </w:r>
      <w:r>
        <w:rPr>
          <w:kern w:val="0"/>
          <w:vertAlign w:val="superscript"/>
        </w:rPr>
        <w:footnoteReference w:id="14"/>
      </w:r>
      <w:r>
        <w:rPr>
          <w:rFonts w:hAnsi="新細明體"/>
          <w:kern w:val="0"/>
        </w:rPr>
        <w:t>。（三）最後，如前所述，釋字第</w:t>
      </w:r>
      <w:r>
        <w:rPr>
          <w:kern w:val="0"/>
        </w:rPr>
        <w:t>575</w:t>
      </w:r>
      <w:r>
        <w:rPr>
          <w:rFonts w:hAnsi="新細明體"/>
          <w:kern w:val="0"/>
        </w:rPr>
        <w:t>號解釋既未援引信賴保護原則、法律</w:t>
      </w:r>
      <w:proofErr w:type="gramStart"/>
      <w:r>
        <w:rPr>
          <w:rFonts w:hAnsi="新細明體"/>
          <w:kern w:val="0"/>
        </w:rPr>
        <w:t>不</w:t>
      </w:r>
      <w:proofErr w:type="gramEnd"/>
      <w:r>
        <w:rPr>
          <w:rFonts w:hAnsi="新細明體"/>
          <w:kern w:val="0"/>
        </w:rPr>
        <w:t>溯既往原則，毋寧係直接訴諸基本權的保障，則其審查法規範變更致影響人民權益的合</w:t>
      </w:r>
      <w:proofErr w:type="gramStart"/>
      <w:r>
        <w:rPr>
          <w:rFonts w:hAnsi="新細明體"/>
          <w:kern w:val="0"/>
        </w:rPr>
        <w:t>憲性時</w:t>
      </w:r>
      <w:proofErr w:type="gramEnd"/>
      <w:r>
        <w:rPr>
          <w:rFonts w:hAnsi="新細明體"/>
          <w:kern w:val="0"/>
        </w:rPr>
        <w:t>，自然是</w:t>
      </w:r>
      <w:r>
        <w:rPr>
          <w:rFonts w:ascii="標楷體" w:eastAsia="標楷體" w:hAnsi="標楷體"/>
          <w:b/>
          <w:kern w:val="0"/>
        </w:rPr>
        <w:t>以比例原則為判</w:t>
      </w:r>
      <w:proofErr w:type="gramStart"/>
      <w:r>
        <w:rPr>
          <w:rFonts w:ascii="標楷體" w:eastAsia="標楷體" w:hAnsi="標楷體"/>
          <w:b/>
          <w:kern w:val="0"/>
        </w:rPr>
        <w:t>準</w:t>
      </w:r>
      <w:proofErr w:type="gramEnd"/>
      <w:r>
        <w:rPr>
          <w:rFonts w:hAnsi="新細明體"/>
          <w:kern w:val="0"/>
        </w:rPr>
        <w:t>。</w:t>
      </w:r>
      <w:proofErr w:type="gramStart"/>
      <w:r>
        <w:rPr>
          <w:rFonts w:hAnsi="新細明體"/>
          <w:kern w:val="0"/>
        </w:rPr>
        <w:t>然則，</w:t>
      </w:r>
      <w:proofErr w:type="gramEnd"/>
      <w:r>
        <w:rPr>
          <w:rFonts w:hAnsi="新細明體"/>
          <w:kern w:val="0"/>
        </w:rPr>
        <w:t>前述三項</w:t>
      </w:r>
      <w:r>
        <w:rPr>
          <w:rFonts w:hAnsi="新細明體"/>
          <w:kern w:val="0"/>
        </w:rPr>
        <w:t>判</w:t>
      </w:r>
      <w:proofErr w:type="gramStart"/>
      <w:r>
        <w:rPr>
          <w:rFonts w:hAnsi="新細明體"/>
          <w:kern w:val="0"/>
        </w:rPr>
        <w:t>準</w:t>
      </w:r>
      <w:proofErr w:type="gramEnd"/>
      <w:r>
        <w:rPr>
          <w:rFonts w:hAnsi="新細明體"/>
          <w:kern w:val="0"/>
        </w:rPr>
        <w:t>究應以何者為是？或者，前述三項判</w:t>
      </w:r>
      <w:proofErr w:type="gramStart"/>
      <w:r>
        <w:rPr>
          <w:rFonts w:hAnsi="新細明體"/>
          <w:kern w:val="0"/>
        </w:rPr>
        <w:t>準</w:t>
      </w:r>
      <w:proofErr w:type="gramEnd"/>
      <w:r>
        <w:rPr>
          <w:rFonts w:hAnsi="新細明體"/>
          <w:kern w:val="0"/>
        </w:rPr>
        <w:t>並不能截然劃分，而有一定的互動關係</w:t>
      </w:r>
      <w:r>
        <w:rPr>
          <w:kern w:val="0"/>
          <w:vertAlign w:val="superscript"/>
        </w:rPr>
        <w:footnoteReference w:id="15"/>
      </w:r>
      <w:r>
        <w:rPr>
          <w:rFonts w:hAnsi="新細明體"/>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eastAsia="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kern w:val="0"/>
        </w:rPr>
      </w:pPr>
      <w:r>
        <w:rPr>
          <w:rFonts w:ascii="新細明體" w:eastAsia="細明體" w:hAnsi="新細明體" w:cs="新細明體" w:hint="eastAsia"/>
          <w:kern w:val="0"/>
        </w:rPr>
        <w:t xml:space="preserve">    </w:t>
      </w:r>
      <w:r>
        <w:rPr>
          <w:rFonts w:hAnsi="新細明體"/>
          <w:kern w:val="0"/>
        </w:rPr>
        <w:t>最後，在論述法律</w:t>
      </w:r>
      <w:proofErr w:type="gramStart"/>
      <w:r>
        <w:rPr>
          <w:rFonts w:hAnsi="新細明體"/>
          <w:kern w:val="0"/>
        </w:rPr>
        <w:t>不</w:t>
      </w:r>
      <w:proofErr w:type="gramEnd"/>
      <w:r>
        <w:rPr>
          <w:rFonts w:hAnsi="新細明體"/>
          <w:kern w:val="0"/>
        </w:rPr>
        <w:t>溯既往原則的脈絡裡，司法院大法官的解釋本</w:t>
      </w:r>
      <w:proofErr w:type="gramStart"/>
      <w:r>
        <w:rPr>
          <w:rFonts w:hAnsi="新細明體"/>
          <w:kern w:val="0"/>
        </w:rPr>
        <w:t>身</w:t>
      </w:r>
      <w:proofErr w:type="gramEnd"/>
      <w:r>
        <w:rPr>
          <w:kern w:val="0"/>
          <w:vertAlign w:val="superscript"/>
        </w:rPr>
        <w:footnoteReference w:id="16"/>
      </w:r>
      <w:r>
        <w:rPr>
          <w:rFonts w:hAnsi="新細明體"/>
          <w:kern w:val="0"/>
        </w:rPr>
        <w:t>以及，個別大法官所提出之協同意見書、不同意見書</w:t>
      </w:r>
      <w:r>
        <w:rPr>
          <w:kern w:val="0"/>
          <w:vertAlign w:val="superscript"/>
        </w:rPr>
        <w:footnoteReference w:id="17"/>
      </w:r>
      <w:r>
        <w:rPr>
          <w:rFonts w:hAnsi="新細明體"/>
          <w:kern w:val="0"/>
        </w:rPr>
        <w:t>，其</w:t>
      </w:r>
      <w:r>
        <w:rPr>
          <w:rFonts w:ascii="標楷體" w:eastAsia="標楷體" w:hAnsi="標楷體"/>
          <w:b/>
          <w:kern w:val="0"/>
        </w:rPr>
        <w:t>對法律溯及既往的概念與分類，顯然有別</w:t>
      </w:r>
      <w:r>
        <w:rPr>
          <w:rFonts w:hAnsi="新細明體"/>
          <w:kern w:val="0"/>
        </w:rPr>
        <w:t>。</w:t>
      </w:r>
      <w:proofErr w:type="gramStart"/>
      <w:r>
        <w:rPr>
          <w:rFonts w:hAnsi="新細明體"/>
          <w:kern w:val="0"/>
        </w:rPr>
        <w:t>然則，</w:t>
      </w:r>
      <w:proofErr w:type="gramEnd"/>
      <w:r>
        <w:rPr>
          <w:rFonts w:hAnsi="新細明體"/>
          <w:kern w:val="0"/>
        </w:rPr>
        <w:t>究以何者為是？</w:t>
      </w:r>
    </w:p>
    <w:p w:rsidR="00000000" w:rsidRDefault="00FE56A9" w:rsidP="00956B72">
      <w:pPr>
        <w:pStyle w:val="HTML"/>
        <w:overflowPunct w:val="0"/>
        <w:spacing w:line="360" w:lineRule="auto"/>
        <w:jc w:val="both"/>
        <w:rPr>
          <w:rFonts w:ascii="標楷體" w:eastAsia="標楷體" w:hAnsi="標楷體" w:hint="eastAsia"/>
          <w:b/>
        </w:rPr>
      </w:pPr>
      <w:r>
        <w:rPr>
          <w:rFonts w:hAnsi="新細明體"/>
        </w:rPr>
        <w:br w:type="page"/>
      </w:r>
      <w:r>
        <w:rPr>
          <w:rFonts w:ascii="標楷體" w:eastAsia="標楷體" w:hAnsi="標楷體" w:hint="eastAsia"/>
          <w:b/>
        </w:rPr>
        <w:lastRenderedPageBreak/>
        <w:t>第三節</w:t>
      </w:r>
      <w:r>
        <w:rPr>
          <w:rFonts w:ascii="標楷體" w:eastAsia="標楷體" w:hAnsi="標楷體" w:hint="eastAsia"/>
          <w:b/>
        </w:rPr>
        <w:t xml:space="preserve"> </w:t>
      </w:r>
      <w:r>
        <w:rPr>
          <w:rFonts w:ascii="標楷體" w:eastAsia="標楷體" w:hAnsi="標楷體" w:hint="eastAsia"/>
          <w:b/>
        </w:rPr>
        <w:t>我國公法學理對信賴保護原則的論述</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前文已指出，司法院大法官對於信賴保護原則之憲法基礎的說明並不</w:t>
      </w:r>
      <w:proofErr w:type="gramStart"/>
      <w:r>
        <w:rPr>
          <w:rFonts w:ascii="Times New Roman" w:eastAsia="新細明體" w:hAnsi="新細明體" w:hint="eastAsia"/>
        </w:rPr>
        <w:t>清楚，此外，</w:t>
      </w:r>
      <w:proofErr w:type="gramEnd"/>
      <w:r>
        <w:rPr>
          <w:rFonts w:ascii="Times New Roman" w:eastAsia="新細明體" w:hAnsi="新細明體"/>
        </w:rPr>
        <w:t>大法官</w:t>
      </w:r>
      <w:r>
        <w:rPr>
          <w:rFonts w:ascii="新細明體" w:eastAsia="新細明體" w:hAnsi="新細明體"/>
        </w:rPr>
        <w:t>審查法規範變更是否違反信賴保護</w:t>
      </w:r>
      <w:r>
        <w:rPr>
          <w:rFonts w:ascii="新細明體" w:eastAsia="新細明體" w:hAnsi="新細明體" w:hint="eastAsia"/>
        </w:rPr>
        <w:t>原則</w:t>
      </w:r>
      <w:r>
        <w:rPr>
          <w:rFonts w:ascii="新細明體" w:eastAsia="新細明體" w:hAnsi="新細明體"/>
        </w:rPr>
        <w:t>的論述模型</w:t>
      </w:r>
      <w:r>
        <w:rPr>
          <w:rFonts w:ascii="新細明體" w:eastAsia="新細明體" w:hAnsi="新細明體" w:hint="eastAsia"/>
        </w:rPr>
        <w:t>亦</w:t>
      </w:r>
      <w:r>
        <w:rPr>
          <w:rFonts w:ascii="新細明體" w:eastAsia="新細明體" w:hAnsi="新細明體"/>
        </w:rPr>
        <w:t>不穩定</w:t>
      </w:r>
      <w:r>
        <w:rPr>
          <w:rFonts w:ascii="新細明體" w:eastAsia="新細明體" w:hAnsi="新細明體" w:hint="eastAsia"/>
        </w:rPr>
        <w:t>，因此，</w:t>
      </w:r>
      <w:r>
        <w:rPr>
          <w:rFonts w:ascii="新細明體" w:eastAsia="新細明體" w:hAnsi="新細明體"/>
        </w:rPr>
        <w:t>對判斷法規範變更是否應</w:t>
      </w:r>
      <w:r>
        <w:rPr>
          <w:rFonts w:ascii="新細明體" w:eastAsia="新細明體" w:hAnsi="新細明體" w:hint="eastAsia"/>
        </w:rPr>
        <w:t>採取</w:t>
      </w:r>
      <w:r>
        <w:rPr>
          <w:rFonts w:ascii="新細明體" w:eastAsia="新細明體" w:hAnsi="新細明體"/>
        </w:rPr>
        <w:t>，以及應採取如何之適當補救措施以</w:t>
      </w:r>
      <w:r>
        <w:rPr>
          <w:rFonts w:ascii="新細明體" w:eastAsia="新細明體" w:hAnsi="新細明體"/>
        </w:rPr>
        <w:t>實現信賴保護</w:t>
      </w:r>
      <w:r>
        <w:rPr>
          <w:rFonts w:ascii="新細明體" w:eastAsia="新細明體" w:hAnsi="新細明體" w:hint="eastAsia"/>
        </w:rPr>
        <w:t>原則</w:t>
      </w:r>
      <w:r>
        <w:rPr>
          <w:rFonts w:ascii="新細明體" w:eastAsia="新細明體" w:hAnsi="新細明體"/>
        </w:rPr>
        <w:t>的要求，大法官尚未提供穩定</w:t>
      </w:r>
      <w:r>
        <w:rPr>
          <w:rFonts w:ascii="新細明體" w:eastAsia="新細明體" w:hAnsi="新細明體" w:hint="eastAsia"/>
        </w:rPr>
        <w:t>的</w:t>
      </w:r>
      <w:r>
        <w:rPr>
          <w:rFonts w:ascii="新細明體" w:eastAsia="新細明體" w:hAnsi="新細明體"/>
        </w:rPr>
        <w:t>判</w:t>
      </w:r>
      <w:proofErr w:type="gramStart"/>
      <w:r>
        <w:rPr>
          <w:rFonts w:ascii="新細明體" w:eastAsia="新細明體" w:hAnsi="新細明體"/>
        </w:rPr>
        <w:t>準</w:t>
      </w:r>
      <w:proofErr w:type="gramEnd"/>
      <w:r>
        <w:rPr>
          <w:rFonts w:ascii="新細明體" w:eastAsia="新細明體" w:hAnsi="新細明體"/>
        </w:rPr>
        <w:t>。</w:t>
      </w:r>
      <w:proofErr w:type="gramStart"/>
      <w:r>
        <w:rPr>
          <w:rFonts w:ascii="新細明體" w:eastAsia="新細明體" w:hAnsi="新細明體" w:hint="eastAsia"/>
        </w:rPr>
        <w:t>然則，</w:t>
      </w:r>
      <w:proofErr w:type="gramEnd"/>
      <w:r>
        <w:rPr>
          <w:rFonts w:ascii="新細明體" w:eastAsia="新細明體" w:hAnsi="新細明體" w:hint="eastAsia"/>
        </w:rPr>
        <w:t>我國公法學界對此是否已提供比較可靠的建議？</w:t>
      </w:r>
      <w:proofErr w:type="gramStart"/>
      <w:r>
        <w:rPr>
          <w:rFonts w:ascii="新細明體" w:eastAsia="新細明體" w:hAnsi="新細明體" w:hint="eastAsia"/>
          <w:color w:val="000000"/>
        </w:rPr>
        <w:t>再者，</w:t>
      </w:r>
      <w:proofErr w:type="gramEnd"/>
      <w:r>
        <w:rPr>
          <w:rFonts w:ascii="新細明體" w:eastAsia="新細明體" w:hAnsi="新細明體" w:hint="eastAsia"/>
          <w:color w:val="000000"/>
        </w:rPr>
        <w:t>假使人民權益受影響與一般抽象之法規範的變動無涉，其純然源自行政處分效力的喪失；於此，應如何保護人民基於信賴原行政處分所為之處置的權益，</w:t>
      </w:r>
      <w:proofErr w:type="gramStart"/>
      <w:r>
        <w:rPr>
          <w:rFonts w:ascii="新細明體" w:eastAsia="新細明體" w:hAnsi="新細明體" w:hint="eastAsia"/>
          <w:color w:val="000000"/>
        </w:rPr>
        <w:t>則應別為</w:t>
      </w:r>
      <w:proofErr w:type="gramEnd"/>
      <w:r>
        <w:rPr>
          <w:rFonts w:ascii="新細明體" w:eastAsia="新細明體" w:hAnsi="新細明體" w:hint="eastAsia"/>
          <w:color w:val="000000"/>
        </w:rPr>
        <w:t>處理。對前一議題，</w:t>
      </w:r>
      <w:r>
        <w:rPr>
          <w:rFonts w:ascii="新細明體" w:eastAsia="新細明體" w:hAnsi="新細明體" w:hint="eastAsia"/>
        </w:rPr>
        <w:t>擬依前述司法院大法官解釋提供的探討進路，分別觀察並評析我國公法學界對信賴保護原則本身的界定、對該原則之憲法基礎的說明以及，將信賴保護原則運用以解決法規範變動時的不同論述模型。</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jc w:val="both"/>
        <w:rPr>
          <w:rFonts w:ascii="標楷體" w:eastAsia="標楷體" w:hAnsi="標楷體" w:hint="eastAsia"/>
          <w:b/>
        </w:rPr>
      </w:pPr>
      <w:r>
        <w:rPr>
          <w:rFonts w:ascii="標楷體" w:eastAsia="標楷體" w:hAnsi="標楷體" w:hint="eastAsia"/>
          <w:b/>
        </w:rPr>
        <w:t>一、我國公法學理對信賴保護原則的界定與對其憲法基礎的說明</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標楷體" w:eastAsia="標楷體" w:hAnsi="標楷體" w:hint="eastAsia"/>
          <w:b/>
        </w:rPr>
        <w:t>我</w:t>
      </w:r>
      <w:r>
        <w:rPr>
          <w:rFonts w:ascii="標楷體" w:eastAsia="標楷體" w:hAnsi="標楷體" w:hint="eastAsia"/>
          <w:b/>
        </w:rPr>
        <w:t>國公法學界對信賴保護原則的界定本身就顯示，其混淆不同信賴基礎的情況</w:t>
      </w:r>
      <w:r>
        <w:rPr>
          <w:rFonts w:ascii="Times New Roman" w:eastAsia="新細明體" w:hAnsi="新細明體" w:hint="eastAsia"/>
        </w:rPr>
        <w:t>。李建良教授對此一原則的界定</w:t>
      </w:r>
      <w:r>
        <w:rPr>
          <w:rFonts w:ascii="標楷體" w:eastAsia="標楷體" w:hAnsi="標楷體" w:hint="eastAsia"/>
          <w:b/>
        </w:rPr>
        <w:t>著重在以法規範為信賴基礎的情形</w:t>
      </w:r>
      <w:r>
        <w:rPr>
          <w:rFonts w:ascii="Times New Roman" w:eastAsia="新細明體" w:hAnsi="新細明體" w:hint="eastAsia"/>
        </w:rPr>
        <w:t>。據此，信賴保護原則係指，受國家權力支配的人民如信賴法律的存續而有所規劃或舉措，其信賴利益應受保障，亦即，國家不得以事後的法律變更損及人民的信賴。特別是在法治國家中，人民通常會以法律規定作為生計規劃的依歸；是以立法者在修改法律時，自須顧及人民對法律存在的合理信賴，</w:t>
      </w:r>
      <w:proofErr w:type="gramStart"/>
      <w:r>
        <w:rPr>
          <w:rFonts w:ascii="Times New Roman" w:eastAsia="新細明體" w:hAnsi="新細明體" w:hint="eastAsia"/>
        </w:rPr>
        <w:t>準</w:t>
      </w:r>
      <w:proofErr w:type="gramEnd"/>
      <w:r>
        <w:rPr>
          <w:rFonts w:ascii="Times New Roman" w:eastAsia="新細明體" w:hAnsi="新細明體" w:hint="eastAsia"/>
        </w:rPr>
        <w:t>此，人民因信賴現行法律狀態而有所舉措時，不得因該法律基礎事後被取消而受到貶損</w:t>
      </w:r>
      <w:r>
        <w:rPr>
          <w:rStyle w:val="a6"/>
          <w:rFonts w:ascii="Times New Roman" w:eastAsia="新細明體" w:hAnsi="新細明體"/>
        </w:rPr>
        <w:footnoteReference w:id="18"/>
      </w:r>
      <w:r>
        <w:rPr>
          <w:rFonts w:ascii="Times New Roman" w:eastAsia="新細明體" w:hAnsi="新細明體" w:hint="eastAsia"/>
        </w:rPr>
        <w:t>。林三欽教授對信賴保護原則的界定，則適相反對</w:t>
      </w:r>
      <w:r>
        <w:rPr>
          <w:rFonts w:ascii="Times New Roman" w:eastAsia="新細明體" w:hAnsi="新細明體" w:hint="eastAsia"/>
        </w:rPr>
        <w:t>地</w:t>
      </w:r>
      <w:proofErr w:type="gramStart"/>
      <w:r>
        <w:rPr>
          <w:rFonts w:ascii="標楷體" w:eastAsia="標楷體" w:hAnsi="標楷體" w:hint="eastAsia"/>
          <w:b/>
        </w:rPr>
        <w:t>凸</w:t>
      </w:r>
      <w:proofErr w:type="gramEnd"/>
      <w:r>
        <w:rPr>
          <w:rFonts w:ascii="標楷體" w:eastAsia="標楷體" w:hAnsi="標楷體" w:hint="eastAsia"/>
          <w:b/>
        </w:rPr>
        <w:t>顯以行政行為為信賴基礎的情況</w:t>
      </w:r>
      <w:r>
        <w:rPr>
          <w:rFonts w:ascii="Times New Roman" w:eastAsia="新細明體" w:hAnsi="新細明體" w:hint="eastAsia"/>
        </w:rPr>
        <w:t>。其認定，</w:t>
      </w:r>
      <w:r>
        <w:rPr>
          <w:rFonts w:ascii="Times New Roman" w:eastAsia="新細明體" w:hAnsi="新細明體" w:hint="eastAsia"/>
        </w:rPr>
        <w:lastRenderedPageBreak/>
        <w:t>行政法上所謂信賴保護原則係指，對於行政機關在執行公權力職務時的作為或不作為，人民若予以信賴，並在此</w:t>
      </w:r>
      <w:proofErr w:type="gramStart"/>
      <w:r>
        <w:rPr>
          <w:rFonts w:ascii="Times New Roman" w:eastAsia="新細明體" w:hAnsi="新細明體" w:hint="eastAsia"/>
        </w:rPr>
        <w:t>一</w:t>
      </w:r>
      <w:proofErr w:type="gramEnd"/>
      <w:r>
        <w:rPr>
          <w:rFonts w:ascii="Times New Roman" w:eastAsia="新細明體" w:hAnsi="新細明體" w:hint="eastAsia"/>
        </w:rPr>
        <w:t>信賴基礎之上進一步從事具體行為（信賴表現），只要人民的信賴是善意的、且在正當合理的範圍內（值得保護的信賴），則公權力主體即有義務保障人民的信賴利益</w:t>
      </w:r>
      <w:r>
        <w:rPr>
          <w:rStyle w:val="a6"/>
          <w:rFonts w:ascii="Times New Roman" w:eastAsia="新細明體" w:hAnsi="新細明體"/>
        </w:rPr>
        <w:footnoteReference w:id="19"/>
      </w:r>
      <w:r>
        <w:rPr>
          <w:rFonts w:ascii="Times New Roman" w:eastAsia="新細明體" w:hAnsi="新細明體" w:hint="eastAsia"/>
        </w:rPr>
        <w:t>。最後，洪家殷教授則引述德國學理作比較</w:t>
      </w:r>
      <w:r>
        <w:rPr>
          <w:rFonts w:ascii="標楷體" w:eastAsia="標楷體" w:hAnsi="標楷體" w:hint="eastAsia"/>
          <w:b/>
        </w:rPr>
        <w:t>一般性的界定</w:t>
      </w:r>
      <w:r>
        <w:rPr>
          <w:rFonts w:ascii="Times New Roman" w:eastAsia="新細明體" w:hAnsi="新細明體" w:hint="eastAsia"/>
        </w:rPr>
        <w:t>。其指出，此一原則具有憲法位階，可拘束行政、立法與司法等所有國家行為；根據信賴保護原則，如國家行為</w:t>
      </w:r>
      <w:proofErr w:type="gramStart"/>
      <w:r>
        <w:rPr>
          <w:rFonts w:ascii="Times New Roman" w:eastAsia="新細明體" w:hAnsi="新細明體" w:hint="eastAsia"/>
        </w:rPr>
        <w:t>罔</w:t>
      </w:r>
      <w:proofErr w:type="gramEnd"/>
      <w:r>
        <w:rPr>
          <w:rFonts w:ascii="Times New Roman" w:eastAsia="新細明體" w:hAnsi="新細明體" w:hint="eastAsia"/>
        </w:rPr>
        <w:t>顧人民值得保護的信賴，使人民遭受不可預期的負擔或</w:t>
      </w:r>
      <w:proofErr w:type="gramStart"/>
      <w:r>
        <w:rPr>
          <w:rFonts w:ascii="Times New Roman" w:eastAsia="新細明體" w:hAnsi="新細明體" w:hint="eastAsia"/>
        </w:rPr>
        <w:t>不</w:t>
      </w:r>
      <w:proofErr w:type="gramEnd"/>
      <w:r>
        <w:rPr>
          <w:rFonts w:ascii="Times New Roman" w:eastAsia="新細明體" w:hAnsi="新細明體" w:hint="eastAsia"/>
        </w:rPr>
        <w:t>利益，且非基於維護或增</w:t>
      </w:r>
      <w:r>
        <w:rPr>
          <w:rFonts w:ascii="Times New Roman" w:eastAsia="新細明體" w:hAnsi="新細明體" w:hint="eastAsia"/>
        </w:rPr>
        <w:t>進公共利益所必要者，即不得為之</w:t>
      </w:r>
      <w:r>
        <w:rPr>
          <w:rStyle w:val="a6"/>
          <w:rFonts w:ascii="Times New Roman" w:eastAsia="新細明體" w:hAnsi="新細明體"/>
        </w:rPr>
        <w:footnoteReference w:id="20"/>
      </w:r>
      <w:r>
        <w:rPr>
          <w:rFonts w:ascii="Times New Roman" w:eastAsia="新細明體" w:hAnsi="新細明體" w:hint="eastAsia"/>
        </w:rPr>
        <w:t>。最後，前大法官吳庚教授則逕自認定，司法院大法官</w:t>
      </w:r>
      <w:r>
        <w:rPr>
          <w:rFonts w:ascii="Times New Roman" w:eastAsia="標楷體" w:hAnsi="標楷體"/>
          <w:b/>
        </w:rPr>
        <w:t>釋字第</w:t>
      </w:r>
      <w:r>
        <w:rPr>
          <w:rFonts w:ascii="Times New Roman" w:eastAsia="標楷體" w:hAnsi="Times New Roman"/>
          <w:b/>
        </w:rPr>
        <w:t>525</w:t>
      </w:r>
      <w:r>
        <w:rPr>
          <w:rFonts w:ascii="Times New Roman" w:eastAsia="標楷體" w:hAnsi="標楷體"/>
          <w:b/>
        </w:rPr>
        <w:t>號解釋已提供信賴保護原則的一般性規範</w:t>
      </w:r>
      <w:r>
        <w:rPr>
          <w:rFonts w:ascii="Times New Roman" w:eastAsia="新細明體" w:hAnsi="新細明體" w:hint="eastAsia"/>
        </w:rPr>
        <w:t>，並依該號解釋意旨歸納信賴保護原則之內涵</w:t>
      </w:r>
      <w:r>
        <w:rPr>
          <w:rStyle w:val="a6"/>
          <w:rFonts w:ascii="Times New Roman" w:eastAsia="新細明體" w:hAnsi="新細明體"/>
        </w:rPr>
        <w:footnoteReference w:id="21"/>
      </w:r>
      <w:r>
        <w:rPr>
          <w:rFonts w:ascii="Times New Roman" w:eastAsia="新細明體" w:hAnsi="新細明體" w:hint="eastAsia"/>
        </w:rPr>
        <w:t>。</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至於國內文獻對信賴保護原則的憲法基礎作比較詳細說明的，就筆者所見，大概只有洪家殷教授。其指出，德國學者對信賴保護原則的憲法基礎，有認其來自形式法治國的法安定性要求，亦有以基本權利的保障為此</w:t>
      </w:r>
      <w:proofErr w:type="gramStart"/>
      <w:r>
        <w:rPr>
          <w:rFonts w:ascii="Times New Roman" w:eastAsia="新細明體" w:hAnsi="新細明體" w:hint="eastAsia"/>
        </w:rPr>
        <w:t>一</w:t>
      </w:r>
      <w:proofErr w:type="gramEnd"/>
      <w:r>
        <w:rPr>
          <w:rFonts w:ascii="Times New Roman" w:eastAsia="新細明體" w:hAnsi="新細明體" w:hint="eastAsia"/>
        </w:rPr>
        <w:t>原則之憲法基礎者。就前者而言，法安定性要求，個人得依其計畫形成自己的生活，惟此須以個人有可信賴之基</w:t>
      </w:r>
      <w:proofErr w:type="gramStart"/>
      <w:r>
        <w:rPr>
          <w:rFonts w:ascii="Times New Roman" w:eastAsia="新細明體" w:hAnsi="新細明體" w:hint="eastAsia"/>
        </w:rPr>
        <w:t>礎</w:t>
      </w:r>
      <w:proofErr w:type="gramEnd"/>
      <w:r>
        <w:rPr>
          <w:rFonts w:ascii="Times New Roman" w:eastAsia="新細明體" w:hAnsi="新細明體" w:hint="eastAsia"/>
        </w:rPr>
        <w:t>為前提，尤其是值得信賴之法律狀態，故國</w:t>
      </w:r>
      <w:r>
        <w:rPr>
          <w:rFonts w:ascii="Times New Roman" w:eastAsia="新細明體" w:hAnsi="新細明體" w:hint="eastAsia"/>
        </w:rPr>
        <w:t>家須維持法規範之存續與安</w:t>
      </w:r>
      <w:proofErr w:type="gramStart"/>
      <w:r>
        <w:rPr>
          <w:rFonts w:ascii="Times New Roman" w:eastAsia="新細明體" w:hAnsi="新細明體" w:hint="eastAsia"/>
        </w:rPr>
        <w:t>定</w:t>
      </w:r>
      <w:proofErr w:type="gramEnd"/>
      <w:r>
        <w:rPr>
          <w:rStyle w:val="a6"/>
          <w:rFonts w:ascii="Times New Roman" w:eastAsia="新細明體" w:hAnsi="新細明體"/>
        </w:rPr>
        <w:footnoteReference w:id="22"/>
      </w:r>
      <w:r>
        <w:rPr>
          <w:rFonts w:ascii="Times New Roman" w:eastAsia="新細明體" w:hAnsi="新細明體" w:hint="eastAsia"/>
        </w:rPr>
        <w:t>。後者則主張，若國家違反人民之信賴，將對其在憲法上所保障之基本權利造成侵害，因此得以基本權利的維護作為信賴保護原則的憲法基礎。洪教授則認，</w:t>
      </w:r>
      <w:r>
        <w:rPr>
          <w:rFonts w:ascii="標楷體" w:eastAsia="標楷體" w:hAnsi="標楷體" w:hint="eastAsia"/>
          <w:b/>
        </w:rPr>
        <w:t>信賴保護原則的憲法基礎來自法治國原則中之法安定性原則與基本權利之保障</w:t>
      </w:r>
      <w:r>
        <w:rPr>
          <w:rStyle w:val="a6"/>
          <w:rFonts w:ascii="Times New Roman" w:eastAsia="新細明體" w:hAnsi="新細明體"/>
        </w:rPr>
        <w:footnoteReference w:id="23"/>
      </w:r>
      <w:r>
        <w:rPr>
          <w:rFonts w:ascii="Times New Roman" w:eastAsia="新細明體" w:hAnsi="新細明體" w:hint="eastAsia"/>
        </w:rPr>
        <w:t>。然而，此</w:t>
      </w:r>
      <w:r>
        <w:rPr>
          <w:rFonts w:ascii="標楷體" w:eastAsia="標楷體" w:hAnsi="標楷體" w:hint="eastAsia"/>
          <w:b/>
        </w:rPr>
        <w:t>二種憲法基礎之間的關係如何，仍嫌曖昧</w:t>
      </w:r>
      <w:r>
        <w:rPr>
          <w:rFonts w:ascii="Times New Roman" w:eastAsia="新細明體" w:hAnsi="新細明體" w:hint="eastAsia"/>
        </w:rPr>
        <w:t>。例如，以法安</w:t>
      </w:r>
      <w:r>
        <w:rPr>
          <w:rFonts w:ascii="Times New Roman" w:eastAsia="新細明體" w:hAnsi="新細明體" w:hint="eastAsia"/>
        </w:rPr>
        <w:lastRenderedPageBreak/>
        <w:t>定性或以基本權利保障為基礎，其對信賴保護原則在個案中的運用有何意義？是否將導致主張信賴保護的要件有別？凡此，洪教授並未進一步加以說明。</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標楷體" w:eastAsia="標楷體" w:hAnsi="標楷體" w:hint="eastAsia"/>
          <w:b/>
        </w:rPr>
      </w:pPr>
      <w:r>
        <w:rPr>
          <w:rFonts w:ascii="標楷體" w:eastAsia="標楷體" w:hAnsi="標楷體" w:hint="eastAsia"/>
          <w:b/>
        </w:rPr>
        <w:t>二、依循法律</w:t>
      </w:r>
      <w:proofErr w:type="gramStart"/>
      <w:r>
        <w:rPr>
          <w:rFonts w:ascii="標楷體" w:eastAsia="標楷體" w:hAnsi="標楷體" w:hint="eastAsia"/>
          <w:b/>
        </w:rPr>
        <w:t>不</w:t>
      </w:r>
      <w:proofErr w:type="gramEnd"/>
      <w:r>
        <w:rPr>
          <w:rFonts w:ascii="標楷體" w:eastAsia="標楷體" w:hAnsi="標楷體" w:hint="eastAsia"/>
          <w:b/>
        </w:rPr>
        <w:t>溯既往原則的論述模型</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對影響人民信賴利益之法規範變動的</w:t>
      </w:r>
      <w:r>
        <w:rPr>
          <w:rFonts w:ascii="Times New Roman" w:eastAsia="新細明體" w:hAnsi="新細明體" w:hint="eastAsia"/>
        </w:rPr>
        <w:t>合憲性，依循法律</w:t>
      </w:r>
      <w:proofErr w:type="gramStart"/>
      <w:r>
        <w:rPr>
          <w:rFonts w:ascii="Times New Roman" w:eastAsia="新細明體" w:hAnsi="新細明體" w:hint="eastAsia"/>
        </w:rPr>
        <w:t>不</w:t>
      </w:r>
      <w:proofErr w:type="gramEnd"/>
      <w:r>
        <w:rPr>
          <w:rFonts w:ascii="Times New Roman" w:eastAsia="新細明體" w:hAnsi="新細明體" w:hint="eastAsia"/>
        </w:rPr>
        <w:t>溯既往原則來論述者，出人意表地，在</w:t>
      </w:r>
      <w:proofErr w:type="gramStart"/>
      <w:r>
        <w:rPr>
          <w:rFonts w:ascii="Times New Roman" w:eastAsia="新細明體" w:hAnsi="新細明體" w:hint="eastAsia"/>
        </w:rPr>
        <w:t>國內竟屬少數</w:t>
      </w:r>
      <w:proofErr w:type="gramEnd"/>
      <w:r>
        <w:rPr>
          <w:rFonts w:ascii="Times New Roman" w:eastAsia="新細明體" w:hAnsi="新細明體" w:hint="eastAsia"/>
        </w:rPr>
        <w:t>：</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ind w:firstLineChars="200" w:firstLine="480"/>
        <w:jc w:val="both"/>
        <w:rPr>
          <w:rFonts w:ascii="Times New Roman" w:eastAsia="新細明體" w:hAnsi="新細明體" w:hint="eastAsia"/>
        </w:rPr>
      </w:pPr>
      <w:r>
        <w:rPr>
          <w:rFonts w:ascii="Times New Roman" w:eastAsia="新細明體" w:hAnsi="新細明體" w:hint="eastAsia"/>
        </w:rPr>
        <w:t>筆者前曾為文介紹德國聯邦憲法法院關於</w:t>
      </w:r>
      <w:r>
        <w:rPr>
          <w:rFonts w:ascii="標楷體" w:eastAsia="標楷體" w:hAnsi="標楷體" w:hint="eastAsia"/>
          <w:b/>
        </w:rPr>
        <w:t>「真正溯及既往」與「</w:t>
      </w:r>
      <w:proofErr w:type="gramStart"/>
      <w:r>
        <w:rPr>
          <w:rFonts w:ascii="標楷體" w:eastAsia="標楷體" w:hAnsi="標楷體" w:hint="eastAsia"/>
          <w:b/>
        </w:rPr>
        <w:t>不</w:t>
      </w:r>
      <w:proofErr w:type="gramEnd"/>
      <w:r>
        <w:rPr>
          <w:rFonts w:ascii="標楷體" w:eastAsia="標楷體" w:hAnsi="標楷體" w:hint="eastAsia"/>
          <w:b/>
        </w:rPr>
        <w:t>真正溯及既往」的分類</w:t>
      </w:r>
      <w:r>
        <w:rPr>
          <w:rFonts w:ascii="Times New Roman" w:eastAsia="新細明體" w:hAnsi="新細明體" w:hint="eastAsia"/>
        </w:rPr>
        <w:t>；前者意指對於已屬過往的事實，事後變更對其之法律評價，後者則指法律對當下、尚未完全了結的案件事實、法律關係，針對未來予以影響。惟該文亦指出，作為二者之區分標準的「已終結之事實」，其認定並非始終明確。惟因該文涉及之案例事實顯屬「</w:t>
      </w:r>
      <w:proofErr w:type="gramStart"/>
      <w:r>
        <w:rPr>
          <w:rFonts w:ascii="Times New Roman" w:eastAsia="新細明體" w:hAnsi="新細明體" w:hint="eastAsia"/>
        </w:rPr>
        <w:t>不</w:t>
      </w:r>
      <w:proofErr w:type="gramEnd"/>
      <w:r>
        <w:rPr>
          <w:rFonts w:ascii="Times New Roman" w:eastAsia="新細明體" w:hAnsi="新細明體" w:hint="eastAsia"/>
        </w:rPr>
        <w:t>真正溯及既往」的類型，</w:t>
      </w:r>
      <w:r>
        <w:rPr>
          <w:rFonts w:ascii="標楷體" w:eastAsia="標楷體" w:hAnsi="標楷體" w:hint="eastAsia"/>
          <w:b/>
        </w:rPr>
        <w:t>就確實的區分標準為何</w:t>
      </w:r>
      <w:r>
        <w:rPr>
          <w:rFonts w:ascii="Times New Roman" w:eastAsia="新細明體" w:hAnsi="新細明體" w:hint="eastAsia"/>
        </w:rPr>
        <w:t>，筆者</w:t>
      </w:r>
      <w:r>
        <w:rPr>
          <w:rFonts w:ascii="標楷體" w:eastAsia="標楷體" w:hAnsi="標楷體" w:hint="eastAsia"/>
          <w:b/>
        </w:rPr>
        <w:t>並未深究</w:t>
      </w:r>
      <w:r>
        <w:rPr>
          <w:rFonts w:ascii="Times New Roman" w:eastAsia="新細明體" w:hAnsi="新細明體" w:hint="eastAsia"/>
        </w:rPr>
        <w:t>。毋寧僅指出，即使在「</w:t>
      </w:r>
      <w:proofErr w:type="gramStart"/>
      <w:r>
        <w:rPr>
          <w:rFonts w:ascii="Times New Roman" w:eastAsia="新細明體" w:hAnsi="新細明體" w:hint="eastAsia"/>
        </w:rPr>
        <w:t>不</w:t>
      </w:r>
      <w:proofErr w:type="gramEnd"/>
      <w:r>
        <w:rPr>
          <w:rFonts w:ascii="Times New Roman" w:eastAsia="新細明體" w:hAnsi="新細明體" w:hint="eastAsia"/>
        </w:rPr>
        <w:t>真正溯及既往」的情形，人民信賴舊法律狀態之信賴利益仍應受</w:t>
      </w:r>
      <w:r>
        <w:rPr>
          <w:rFonts w:ascii="Times New Roman" w:eastAsia="新細明體" w:hAnsi="新細明體" w:hint="eastAsia"/>
        </w:rPr>
        <w:t>到保障，其應與立法者變更舊法律狀態的公益相互權衡</w:t>
      </w:r>
      <w:r>
        <w:rPr>
          <w:rStyle w:val="a6"/>
          <w:rFonts w:ascii="Times New Roman" w:eastAsia="新細明體" w:hAnsi="新細明體"/>
        </w:rPr>
        <w:footnoteReference w:id="24"/>
      </w:r>
      <w:r>
        <w:rPr>
          <w:rFonts w:ascii="Times New Roman" w:eastAsia="新細明體" w:hAnsi="新細明體" w:hint="eastAsia"/>
        </w:rPr>
        <w:t>。</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彭鳳至大法官在檢視司法院大法官相關解釋後，亦僅肯定，人民依舊法取得的權利或法律地位，到新法施行之日</w:t>
      </w:r>
      <w:proofErr w:type="gramStart"/>
      <w:r>
        <w:rPr>
          <w:rFonts w:ascii="Times New Roman" w:eastAsia="新細明體" w:hAnsi="新細明體" w:hint="eastAsia"/>
        </w:rPr>
        <w:t>止均不改變</w:t>
      </w:r>
      <w:proofErr w:type="gramEnd"/>
      <w:r>
        <w:rPr>
          <w:rFonts w:ascii="Times New Roman" w:eastAsia="新細明體" w:hAnsi="新細明體" w:hint="eastAsia"/>
        </w:rPr>
        <w:t>，至新法施行後接續發生的法律關係始適用新法的違憲爭議，在我國釋憲實務上已形成一種類型。於此，人民依舊法取得的權利或法律地位，因新法施行可能受到的不利影響，其應否加以保護，屬於憲法上信賴保護原則的應用；至於歸納此一案件類型的概念，認其「其實不是溯及既往」，或稱之為「</w:t>
      </w:r>
      <w:proofErr w:type="gramStart"/>
      <w:r>
        <w:rPr>
          <w:rFonts w:ascii="Times New Roman" w:eastAsia="新細明體" w:hAnsi="新細明體" w:hint="eastAsia"/>
        </w:rPr>
        <w:t>不</w:t>
      </w:r>
      <w:proofErr w:type="gramEnd"/>
      <w:r>
        <w:rPr>
          <w:rFonts w:ascii="Times New Roman" w:eastAsia="新細明體" w:hAnsi="新細明體" w:hint="eastAsia"/>
        </w:rPr>
        <w:t>真正溯及既往」，均無不可。筆者認為，</w:t>
      </w:r>
      <w:proofErr w:type="gramStart"/>
      <w:r>
        <w:rPr>
          <w:rFonts w:ascii="Times New Roman" w:eastAsia="新細明體" w:hAnsi="新細明體" w:hint="eastAsia"/>
        </w:rPr>
        <w:t>彭</w:t>
      </w:r>
      <w:proofErr w:type="gramEnd"/>
      <w:r>
        <w:rPr>
          <w:rFonts w:ascii="Times New Roman" w:eastAsia="新細明體" w:hAnsi="新細明體" w:hint="eastAsia"/>
        </w:rPr>
        <w:t>大法官此一宏文的更重要意義在於：其明</w:t>
      </w:r>
      <w:r>
        <w:rPr>
          <w:rFonts w:ascii="Times New Roman" w:eastAsia="新細明體" w:hAnsi="新細明體" w:hint="eastAsia"/>
        </w:rPr>
        <w:t>確指出，</w:t>
      </w:r>
      <w:r>
        <w:rPr>
          <w:rFonts w:ascii="標楷體" w:eastAsia="標楷體" w:hAnsi="標楷體" w:hint="eastAsia"/>
          <w:b/>
        </w:rPr>
        <w:t>立法上的法律</w:t>
      </w:r>
      <w:proofErr w:type="gramStart"/>
      <w:r>
        <w:rPr>
          <w:rFonts w:ascii="標楷體" w:eastAsia="標楷體" w:hAnsi="標楷體" w:hint="eastAsia"/>
          <w:b/>
        </w:rPr>
        <w:t>不</w:t>
      </w:r>
      <w:proofErr w:type="gramEnd"/>
      <w:r>
        <w:rPr>
          <w:rFonts w:ascii="標楷體" w:eastAsia="標楷體" w:hAnsi="標楷體" w:hint="eastAsia"/>
          <w:b/>
        </w:rPr>
        <w:t>溯既往原則屬於</w:t>
      </w:r>
      <w:r>
        <w:rPr>
          <w:rFonts w:ascii="Times New Roman" w:eastAsia="新細明體" w:hAnsi="新細明體" w:hint="eastAsia"/>
        </w:rPr>
        <w:t>法治</w:t>
      </w:r>
      <w:r>
        <w:rPr>
          <w:rFonts w:ascii="Times New Roman" w:eastAsia="新細明體" w:hAnsi="新細明體" w:hint="eastAsia"/>
        </w:rPr>
        <w:lastRenderedPageBreak/>
        <w:t>國原則中，法秩序安定之要求下，</w:t>
      </w:r>
      <w:r>
        <w:rPr>
          <w:rFonts w:ascii="標楷體" w:eastAsia="標楷體" w:hAnsi="標楷體" w:hint="eastAsia"/>
          <w:b/>
        </w:rPr>
        <w:t>信賴保護原則的一種類型</w:t>
      </w:r>
      <w:r>
        <w:rPr>
          <w:rFonts w:ascii="Times New Roman" w:eastAsia="新細明體" w:hAnsi="新細明體" w:hint="eastAsia"/>
        </w:rPr>
        <w:t>。同樣重要得是：其</w:t>
      </w:r>
      <w:r>
        <w:rPr>
          <w:rFonts w:ascii="新細明體" w:eastAsia="新細明體" w:hAnsi="新細明體" w:hint="eastAsia"/>
        </w:rPr>
        <w:t>明白</w:t>
      </w:r>
      <w:r>
        <w:rPr>
          <w:rFonts w:ascii="標楷體" w:eastAsia="標楷體" w:hAnsi="標楷體" w:hint="eastAsia"/>
          <w:b/>
        </w:rPr>
        <w:t>區分立法</w:t>
      </w:r>
      <w:proofErr w:type="gramStart"/>
      <w:r>
        <w:rPr>
          <w:rFonts w:ascii="標楷體" w:eastAsia="標楷體" w:hAnsi="標楷體" w:hint="eastAsia"/>
          <w:b/>
        </w:rPr>
        <w:t>上與律適用</w:t>
      </w:r>
      <w:proofErr w:type="gramEnd"/>
      <w:r>
        <w:rPr>
          <w:rFonts w:ascii="標楷體" w:eastAsia="標楷體" w:hAnsi="標楷體" w:hint="eastAsia"/>
          <w:b/>
        </w:rPr>
        <w:t>上的法律</w:t>
      </w:r>
      <w:proofErr w:type="gramStart"/>
      <w:r>
        <w:rPr>
          <w:rFonts w:ascii="標楷體" w:eastAsia="標楷體" w:hAnsi="標楷體" w:hint="eastAsia"/>
          <w:b/>
        </w:rPr>
        <w:t>不</w:t>
      </w:r>
      <w:proofErr w:type="gramEnd"/>
      <w:r>
        <w:rPr>
          <w:rFonts w:ascii="標楷體" w:eastAsia="標楷體" w:hAnsi="標楷體" w:hint="eastAsia"/>
          <w:b/>
        </w:rPr>
        <w:t>溯既往原則</w:t>
      </w:r>
      <w:r>
        <w:rPr>
          <w:rFonts w:ascii="Times New Roman" w:eastAsia="新細明體" w:hAnsi="新細明體" w:hint="eastAsia"/>
        </w:rPr>
        <w:t>。立法上的法律</w:t>
      </w:r>
      <w:proofErr w:type="gramStart"/>
      <w:r>
        <w:rPr>
          <w:rFonts w:ascii="Times New Roman" w:eastAsia="新細明體" w:hAnsi="新細明體" w:hint="eastAsia"/>
        </w:rPr>
        <w:t>不</w:t>
      </w:r>
      <w:proofErr w:type="gramEnd"/>
      <w:r>
        <w:rPr>
          <w:rFonts w:ascii="Times New Roman" w:eastAsia="新細明體" w:hAnsi="新細明體" w:hint="eastAsia"/>
        </w:rPr>
        <w:t>溯既往原則，在於依憲法的整體價值來監督立法者對法律</w:t>
      </w:r>
      <w:proofErr w:type="gramStart"/>
      <w:r>
        <w:rPr>
          <w:rFonts w:ascii="Times New Roman" w:eastAsia="新細明體" w:hAnsi="新細明體" w:hint="eastAsia"/>
        </w:rPr>
        <w:t>應否具溯及</w:t>
      </w:r>
      <w:proofErr w:type="gramEnd"/>
      <w:r>
        <w:rPr>
          <w:rFonts w:ascii="Times New Roman" w:eastAsia="新細明體" w:hAnsi="新細明體" w:hint="eastAsia"/>
        </w:rPr>
        <w:t>效力的決定；相對於此，法律適用上之法律</w:t>
      </w:r>
      <w:proofErr w:type="gramStart"/>
      <w:r>
        <w:rPr>
          <w:rFonts w:ascii="Times New Roman" w:eastAsia="新細明體" w:hAnsi="新細明體" w:hint="eastAsia"/>
        </w:rPr>
        <w:t>不</w:t>
      </w:r>
      <w:proofErr w:type="gramEnd"/>
      <w:r>
        <w:rPr>
          <w:rFonts w:ascii="Times New Roman" w:eastAsia="新細明體" w:hAnsi="新細明體" w:hint="eastAsia"/>
        </w:rPr>
        <w:t>溯既往原則的作用，在於監督法律的適用者，在個案適用法律時應正確遵守法律效力與法律</w:t>
      </w:r>
      <w:proofErr w:type="gramStart"/>
      <w:r>
        <w:rPr>
          <w:rFonts w:ascii="Times New Roman" w:eastAsia="新細明體" w:hAnsi="新細明體" w:hint="eastAsia"/>
        </w:rPr>
        <w:t>適用間的正確</w:t>
      </w:r>
      <w:proofErr w:type="gramEnd"/>
      <w:r>
        <w:rPr>
          <w:rFonts w:ascii="Times New Roman" w:eastAsia="新細明體" w:hAnsi="新細明體" w:hint="eastAsia"/>
        </w:rPr>
        <w:t>關係，質言之，「法律是否溯及適用」的問題應由立法者依憲法整體價值判斷決定，法律適用者則應恪遵立法者的決定</w:t>
      </w:r>
      <w:r>
        <w:rPr>
          <w:rStyle w:val="a6"/>
          <w:rFonts w:ascii="Times New Roman" w:eastAsia="新細明體" w:hAnsi="新細明體"/>
        </w:rPr>
        <w:footnoteReference w:id="25"/>
      </w:r>
      <w:r>
        <w:rPr>
          <w:rFonts w:ascii="Times New Roman" w:eastAsia="新細明體" w:hAnsi="新細明體" w:hint="eastAsia"/>
        </w:rPr>
        <w:t>。</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相對於此，林三欽教授並不支持，前</w:t>
      </w:r>
      <w:r>
        <w:rPr>
          <w:rFonts w:ascii="Times New Roman" w:eastAsia="新細明體" w:hAnsi="新細明體" w:hint="eastAsia"/>
        </w:rPr>
        <w:t>揭立法者獨</w:t>
      </w:r>
      <w:proofErr w:type="gramStart"/>
      <w:r>
        <w:rPr>
          <w:rFonts w:ascii="Times New Roman" w:eastAsia="新細明體" w:hAnsi="新細明體" w:hint="eastAsia"/>
        </w:rPr>
        <w:t>佔</w:t>
      </w:r>
      <w:proofErr w:type="gramEnd"/>
      <w:r>
        <w:rPr>
          <w:rFonts w:ascii="Times New Roman" w:eastAsia="新細明體" w:hAnsi="新細明體" w:hint="eastAsia"/>
        </w:rPr>
        <w:t>「法律是否溯及適用」之決定權的主張。為此，其提出</w:t>
      </w:r>
      <w:r>
        <w:rPr>
          <w:rFonts w:ascii="標楷體" w:eastAsia="標楷體" w:hAnsi="標楷體" w:hint="eastAsia"/>
          <w:b/>
        </w:rPr>
        <w:t>「法令溯及適用」的概念</w:t>
      </w:r>
      <w:r>
        <w:rPr>
          <w:rFonts w:ascii="Times New Roman" w:eastAsia="新細明體" w:hAnsi="新細明體" w:hint="eastAsia"/>
        </w:rPr>
        <w:t>。而所謂法令溯及適用係指，「新法秩序」得適用於「既已存在之事實關係」，而所謂「既已存在之事實關係」，依各該事實開展的程度，可分為「已終結」與「未終結」的事實。其認定，行政機關執行法律時，基於解釋與適用法律的權限，得在一定程度內參與「法律是否溯及適用」的決定，蓋條文中「不確定法律概念的</w:t>
      </w:r>
      <w:proofErr w:type="gramStart"/>
      <w:r>
        <w:rPr>
          <w:rFonts w:ascii="Times New Roman" w:eastAsia="新細明體" w:hAnsi="新細明體" w:hint="eastAsia"/>
        </w:rPr>
        <w:t>銓</w:t>
      </w:r>
      <w:proofErr w:type="gramEnd"/>
      <w:r>
        <w:rPr>
          <w:rFonts w:ascii="Times New Roman" w:eastAsia="新細明體" w:hAnsi="新細明體" w:hint="eastAsia"/>
        </w:rPr>
        <w:t>釋」或「法律效果的裁量」都可能涉及「法令溯及適用」的決定，則行政機關於執行法令時，即「實質擁有」「法令溯及適用決定權」</w:t>
      </w:r>
      <w:r>
        <w:rPr>
          <w:rStyle w:val="a6"/>
          <w:rFonts w:ascii="Times New Roman" w:eastAsia="新細明體" w:hAnsi="新細明體"/>
        </w:rPr>
        <w:footnoteReference w:id="26"/>
      </w:r>
      <w:r>
        <w:rPr>
          <w:rFonts w:ascii="Times New Roman" w:eastAsia="新細明體" w:hAnsi="新細明體" w:hint="eastAsia"/>
        </w:rPr>
        <w:t>。對於林教授前揭見解，筆</w:t>
      </w:r>
      <w:r>
        <w:rPr>
          <w:rFonts w:ascii="Times New Roman" w:eastAsia="新細明體" w:hAnsi="新細明體" w:hint="eastAsia"/>
        </w:rPr>
        <w:t>者未能支持。蓋林教授所訴諸之行政決定空間，其與所謂的「法令溯及適用決定權」之關係的論述，仍嫌曖昧。</w:t>
      </w:r>
      <w:proofErr w:type="gramStart"/>
      <w:r>
        <w:rPr>
          <w:rFonts w:ascii="Times New Roman" w:eastAsia="新細明體" w:hAnsi="新細明體" w:hint="eastAsia"/>
        </w:rPr>
        <w:t>此外，</w:t>
      </w:r>
      <w:proofErr w:type="gramEnd"/>
      <w:r>
        <w:rPr>
          <w:rFonts w:ascii="Times New Roman" w:eastAsia="新細明體" w:hAnsi="新細明體" w:hint="eastAsia"/>
        </w:rPr>
        <w:t>林教授主張，行政機關本於其權限</w:t>
      </w:r>
      <w:r>
        <w:rPr>
          <w:rFonts w:ascii="標楷體" w:eastAsia="標楷體" w:hAnsi="標楷體" w:hint="eastAsia"/>
          <w:b/>
        </w:rPr>
        <w:t>決定「行政法令</w:t>
      </w:r>
      <w:proofErr w:type="gramStart"/>
      <w:r>
        <w:rPr>
          <w:rFonts w:ascii="標楷體" w:eastAsia="標楷體" w:hAnsi="標楷體" w:hint="eastAsia"/>
          <w:b/>
        </w:rPr>
        <w:t>得否溯及</w:t>
      </w:r>
      <w:proofErr w:type="gramEnd"/>
      <w:r>
        <w:rPr>
          <w:rFonts w:ascii="標楷體" w:eastAsia="標楷體" w:hAnsi="標楷體" w:hint="eastAsia"/>
          <w:b/>
        </w:rPr>
        <w:t>適用」時，應綜合考量各種因素以作成評價性決定</w:t>
      </w:r>
      <w:r>
        <w:rPr>
          <w:rFonts w:ascii="Times New Roman" w:eastAsia="新細明體" w:hAnsi="新細明體" w:hint="eastAsia"/>
        </w:rPr>
        <w:t>。依其見解，於此應加入考量的因素包括：「新法秩序」是否對個人產生不利之變化、信賴基礎的態樣、人民之信賴表現、當事人之信賴是否值得保護、當事人已取得之法律地位、「法令溯及適用」對當事人權利影響之程度、溯及適用能獲致之公益效應以及，新法秩序之施行有無過渡期間</w:t>
      </w:r>
      <w:r>
        <w:rPr>
          <w:rStyle w:val="a6"/>
          <w:rFonts w:ascii="Times New Roman" w:eastAsia="新細明體" w:hAnsi="新細明體"/>
        </w:rPr>
        <w:footnoteReference w:id="27"/>
      </w:r>
      <w:r>
        <w:rPr>
          <w:rFonts w:ascii="Times New Roman" w:eastAsia="新細明體" w:hAnsi="新細明體" w:hint="eastAsia"/>
        </w:rPr>
        <w:t>。然而，由「綜合考量」一詞尚不足以推斷，前揭各項</w:t>
      </w:r>
      <w:r>
        <w:rPr>
          <w:rFonts w:ascii="Times New Roman" w:eastAsia="新細明體" w:hAnsi="新細明體" w:hint="eastAsia"/>
        </w:rPr>
        <w:lastRenderedPageBreak/>
        <w:t>因素之間</w:t>
      </w:r>
      <w:r>
        <w:rPr>
          <w:rFonts w:ascii="Times New Roman" w:eastAsia="新細明體" w:hAnsi="新細明體" w:hint="eastAsia"/>
        </w:rPr>
        <w:t>的關係如何；如是，此一見解顯然不能對「行政法令得否適用」的問題提供明確的解答。</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最後，亦有學者雖然在</w:t>
      </w:r>
      <w:r>
        <w:rPr>
          <w:rFonts w:ascii="標楷體" w:eastAsia="標楷體" w:hAnsi="標楷體" w:hint="eastAsia"/>
          <w:b/>
        </w:rPr>
        <w:t>形式上採取「法律</w:t>
      </w:r>
      <w:proofErr w:type="gramStart"/>
      <w:r>
        <w:rPr>
          <w:rFonts w:ascii="標楷體" w:eastAsia="標楷體" w:hAnsi="標楷體" w:hint="eastAsia"/>
          <w:b/>
        </w:rPr>
        <w:t>不</w:t>
      </w:r>
      <w:proofErr w:type="gramEnd"/>
      <w:r>
        <w:rPr>
          <w:rFonts w:ascii="標楷體" w:eastAsia="標楷體" w:hAnsi="標楷體" w:hint="eastAsia"/>
          <w:b/>
        </w:rPr>
        <w:t>溯既往原則」的論證模型</w:t>
      </w:r>
      <w:r>
        <w:rPr>
          <w:rFonts w:ascii="Times New Roman" w:eastAsia="新細明體" w:hAnsi="新細明體" w:hint="eastAsia"/>
        </w:rPr>
        <w:t>，但在</w:t>
      </w:r>
      <w:r>
        <w:rPr>
          <w:rFonts w:ascii="標楷體" w:eastAsia="標楷體" w:hAnsi="標楷體" w:hint="eastAsia"/>
          <w:b/>
        </w:rPr>
        <w:t>探討</w:t>
      </w:r>
      <w:r>
        <w:rPr>
          <w:rFonts w:ascii="Times New Roman" w:eastAsia="新細明體" w:hAnsi="新細明體" w:hint="eastAsia"/>
        </w:rPr>
        <w:t>「真正溯及既往」與「</w:t>
      </w:r>
      <w:proofErr w:type="gramStart"/>
      <w:r>
        <w:rPr>
          <w:rFonts w:ascii="Times New Roman" w:eastAsia="新細明體" w:hAnsi="新細明體" w:hint="eastAsia"/>
        </w:rPr>
        <w:t>不</w:t>
      </w:r>
      <w:proofErr w:type="gramEnd"/>
      <w:r>
        <w:rPr>
          <w:rFonts w:ascii="Times New Roman" w:eastAsia="新細明體" w:hAnsi="新細明體" w:hint="eastAsia"/>
        </w:rPr>
        <w:t>真正溯及既往」之法律的</w:t>
      </w:r>
      <w:r>
        <w:rPr>
          <w:rFonts w:ascii="標楷體" w:eastAsia="標楷體" w:hAnsi="標楷體" w:hint="eastAsia"/>
          <w:b/>
        </w:rPr>
        <w:t>合</w:t>
      </w:r>
      <w:proofErr w:type="gramStart"/>
      <w:r>
        <w:rPr>
          <w:rFonts w:ascii="標楷體" w:eastAsia="標楷體" w:hAnsi="標楷體" w:hint="eastAsia"/>
          <w:b/>
        </w:rPr>
        <w:t>憲性時</w:t>
      </w:r>
      <w:proofErr w:type="gramEnd"/>
      <w:r>
        <w:rPr>
          <w:rFonts w:ascii="標楷體" w:eastAsia="標楷體" w:hAnsi="標楷體" w:hint="eastAsia"/>
          <w:b/>
        </w:rPr>
        <w:t>，卻又回歸更一般的，信賴保護原則的審查標準</w:t>
      </w:r>
      <w:r>
        <w:rPr>
          <w:rFonts w:ascii="Times New Roman" w:eastAsia="新細明體" w:hAnsi="新細明體" w:hint="eastAsia"/>
        </w:rPr>
        <w:t>。例如李建良教授就認定，除刑法外，「溯及性法律」（真正溯及既往），並非絕對不許，但一般而言，此種法律必須具備重大的正當理由始得為之，其考量重點仍在於信賴保護的問題。於此，信賴保護原則考量的重點不外乎人民有無信賴事實的存在？人民的信賴是否值得保護？以及，溯及既</w:t>
      </w:r>
      <w:r>
        <w:rPr>
          <w:rFonts w:ascii="Times New Roman" w:eastAsia="新細明體" w:hAnsi="新細明體" w:hint="eastAsia"/>
        </w:rPr>
        <w:t>往所追求的公益是否高於人民的信賴利益？在「影響性法律」（</w:t>
      </w:r>
      <w:proofErr w:type="gramStart"/>
      <w:r>
        <w:rPr>
          <w:rFonts w:ascii="Times New Roman" w:eastAsia="新細明體" w:hAnsi="新細明體" w:hint="eastAsia"/>
        </w:rPr>
        <w:t>不</w:t>
      </w:r>
      <w:proofErr w:type="gramEnd"/>
      <w:r>
        <w:rPr>
          <w:rFonts w:ascii="Times New Roman" w:eastAsia="新細明體" w:hAnsi="新細明體" w:hint="eastAsia"/>
        </w:rPr>
        <w:t>真正溯及既往），如法律的修改確已影響過去的事實或法律關係，立法者不能無視於人民對舊法的信賴而任意更動，於此亦涉及信賴保護原則如何適用的問題。於此，可</w:t>
      </w:r>
      <w:proofErr w:type="gramStart"/>
      <w:r>
        <w:rPr>
          <w:rFonts w:ascii="Times New Roman" w:eastAsia="新細明體" w:hAnsi="新細明體" w:hint="eastAsia"/>
        </w:rPr>
        <w:t>資審究</w:t>
      </w:r>
      <w:proofErr w:type="gramEnd"/>
      <w:r>
        <w:rPr>
          <w:rFonts w:ascii="Times New Roman" w:eastAsia="新細明體" w:hAnsi="新細明體" w:hint="eastAsia"/>
        </w:rPr>
        <w:t>者</w:t>
      </w:r>
      <w:proofErr w:type="gramStart"/>
      <w:r>
        <w:rPr>
          <w:rFonts w:ascii="Times New Roman" w:eastAsia="新細明體" w:hAnsi="新細明體" w:hint="eastAsia"/>
        </w:rPr>
        <w:t>者</w:t>
      </w:r>
      <w:proofErr w:type="gramEnd"/>
      <w:r>
        <w:rPr>
          <w:rFonts w:ascii="Times New Roman" w:eastAsia="新細明體" w:hAnsi="新細明體" w:hint="eastAsia"/>
        </w:rPr>
        <w:t>，乃人民是否對舊法的繼續存在有所信賴，及其程度如何？以及人民是否因信賴而有所舉措，其程度又如何</w:t>
      </w:r>
      <w:r>
        <w:rPr>
          <w:rStyle w:val="a6"/>
          <w:rFonts w:ascii="Times New Roman" w:eastAsia="新細明體" w:hAnsi="新細明體"/>
        </w:rPr>
        <w:footnoteReference w:id="28"/>
      </w:r>
      <w:r>
        <w:rPr>
          <w:rFonts w:ascii="Times New Roman" w:eastAsia="新細明體" w:hAnsi="新細明體" w:hint="eastAsia"/>
        </w:rPr>
        <w:t>？筆者認為，如此的論述方式忽略了，「法律</w:t>
      </w:r>
      <w:proofErr w:type="gramStart"/>
      <w:r>
        <w:rPr>
          <w:rFonts w:ascii="Times New Roman" w:eastAsia="新細明體" w:hAnsi="新細明體" w:hint="eastAsia"/>
        </w:rPr>
        <w:t>不</w:t>
      </w:r>
      <w:proofErr w:type="gramEnd"/>
      <w:r>
        <w:rPr>
          <w:rFonts w:ascii="Times New Roman" w:eastAsia="新細明體" w:hAnsi="新細明體" w:hint="eastAsia"/>
        </w:rPr>
        <w:t>溯既往原則」本來就是針對，人民的信賴基礎是一般抽象之法規範的情形，而發展出來之信賴保護原則的下位類型；假使在判斷其合</w:t>
      </w:r>
      <w:proofErr w:type="gramStart"/>
      <w:r>
        <w:rPr>
          <w:rFonts w:ascii="Times New Roman" w:eastAsia="新細明體" w:hAnsi="新細明體" w:hint="eastAsia"/>
        </w:rPr>
        <w:t>憲性時又</w:t>
      </w:r>
      <w:proofErr w:type="gramEnd"/>
      <w:r>
        <w:rPr>
          <w:rFonts w:ascii="Times New Roman" w:eastAsia="新細明體" w:hAnsi="新細明體" w:hint="eastAsia"/>
        </w:rPr>
        <w:t>回歸一般的信賴保護原則，則信賴基礎</w:t>
      </w:r>
      <w:r>
        <w:rPr>
          <w:rFonts w:ascii="Times New Roman" w:eastAsia="新細明體" w:hAnsi="新細明體" w:hint="eastAsia"/>
        </w:rPr>
        <w:t>為一般抽象法規範的特殊性即隨之失落。</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標楷體" w:eastAsia="標楷體" w:hAnsi="標楷體" w:hint="eastAsia"/>
          <w:b/>
        </w:rPr>
      </w:pPr>
      <w:r>
        <w:rPr>
          <w:rFonts w:ascii="標楷體" w:eastAsia="標楷體" w:hAnsi="標楷體" w:hint="eastAsia"/>
          <w:b/>
        </w:rPr>
        <w:t>三、根據信賴保護原則之適用要件的論述模型</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國內多數公法學者是根據信賴保護原則的一般性適用要件，來檢視影響人民權益之行政法規變動的合憲性。於此所稱</w:t>
      </w:r>
      <w:r>
        <w:rPr>
          <w:rFonts w:ascii="標楷體" w:eastAsia="標楷體" w:hAnsi="標楷體" w:hint="eastAsia"/>
          <w:b/>
        </w:rPr>
        <w:t>信賴保護原則的適用要件，一般認為包</w:t>
      </w:r>
      <w:r>
        <w:rPr>
          <w:rFonts w:ascii="標楷體" w:eastAsia="標楷體" w:hAnsi="標楷體" w:hint="eastAsia"/>
          <w:b/>
        </w:rPr>
        <w:lastRenderedPageBreak/>
        <w:t>含信賴基礎、信賴表現與信賴值得保護三者</w:t>
      </w:r>
      <w:r>
        <w:rPr>
          <w:rStyle w:val="a6"/>
          <w:rFonts w:ascii="Times New Roman" w:eastAsia="新細明體" w:hAnsi="新細明體"/>
        </w:rPr>
        <w:footnoteReference w:id="29"/>
      </w:r>
      <w:r>
        <w:rPr>
          <w:rFonts w:ascii="Times New Roman" w:eastAsia="新細明體" w:hAnsi="新細明體" w:hint="eastAsia"/>
        </w:rPr>
        <w:t>。</w:t>
      </w:r>
      <w:proofErr w:type="gramStart"/>
      <w:r>
        <w:rPr>
          <w:rFonts w:ascii="Times New Roman" w:eastAsia="新細明體" w:hAnsi="新細明體" w:hint="eastAsia"/>
        </w:rPr>
        <w:t>惟學者間</w:t>
      </w:r>
      <w:r>
        <w:rPr>
          <w:rFonts w:ascii="標楷體" w:eastAsia="標楷體" w:hAnsi="標楷體" w:hint="eastAsia"/>
          <w:b/>
        </w:rPr>
        <w:t>對各</w:t>
      </w:r>
      <w:proofErr w:type="gramEnd"/>
      <w:r>
        <w:rPr>
          <w:rFonts w:ascii="標楷體" w:eastAsia="標楷體" w:hAnsi="標楷體" w:hint="eastAsia"/>
          <w:b/>
        </w:rPr>
        <w:t>該要件應如何應用於行政法規變動的情形，見解未盡一致</w:t>
      </w:r>
      <w:r>
        <w:rPr>
          <w:rFonts w:ascii="Times New Roman" w:eastAsia="新細明體" w:hAnsi="新細明體" w:hint="eastAsia"/>
        </w:rPr>
        <w:t>。以下分別說明學者對各該要件的不同見解：</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（一）信賴基礎</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就行政法規變動的情形，就信賴基礎（質言之，令人民產生信賴的國家行為）</w:t>
      </w:r>
      <w:proofErr w:type="gramStart"/>
      <w:r>
        <w:rPr>
          <w:rFonts w:ascii="Times New Roman" w:eastAsia="新細明體" w:hAnsi="新細明體" w:hint="eastAsia"/>
        </w:rPr>
        <w:t>之存否發生</w:t>
      </w:r>
      <w:proofErr w:type="gramEnd"/>
      <w:r>
        <w:rPr>
          <w:rFonts w:ascii="Times New Roman" w:eastAsia="新細明體" w:hAnsi="新細明體" w:hint="eastAsia"/>
        </w:rPr>
        <w:t>疑義的主要是：</w:t>
      </w:r>
      <w:r>
        <w:rPr>
          <w:rFonts w:ascii="標楷體" w:eastAsia="標楷體" w:hAnsi="標楷體" w:hint="eastAsia"/>
          <w:b/>
        </w:rPr>
        <w:t>人民得否以行政規則</w:t>
      </w:r>
      <w:r>
        <w:rPr>
          <w:rFonts w:ascii="標楷體" w:eastAsia="標楷體" w:hAnsi="標楷體" w:hint="eastAsia"/>
          <w:b/>
        </w:rPr>
        <w:t>為信賴基礎</w:t>
      </w:r>
      <w:r>
        <w:rPr>
          <w:rFonts w:ascii="Times New Roman" w:eastAsia="新細明體" w:hAnsi="新細明體" w:hint="eastAsia"/>
        </w:rPr>
        <w:t>？就此，黃俊杰教授針對稅法領域明白主張，行政機關對稅捐事項作成的解釋函令也形成納稅者信賴的重要依據，因而「不能限於形式意義法律變更，方有信賴保護之問題」。雖然黃教授也承認，大量運用解釋函令之結果，將侵蝕租稅法律主義的內涵，甚且使解釋函令凌駕於稅法法律、施行細則之上；但其仍然得出，「本案所涉及乃稅捐解釋函令之變更，自然屬於當事人信賴之重要內容，事實上更勝於租稅法律」的結論</w:t>
      </w:r>
      <w:r>
        <w:rPr>
          <w:rStyle w:val="a6"/>
          <w:rFonts w:ascii="Times New Roman" w:eastAsia="新細明體" w:hAnsi="新細明體"/>
        </w:rPr>
        <w:footnoteReference w:id="30"/>
      </w:r>
      <w:r>
        <w:rPr>
          <w:rFonts w:ascii="Times New Roman" w:eastAsia="新細明體" w:hAnsi="新細明體" w:hint="eastAsia"/>
        </w:rPr>
        <w:t>，質言之，其</w:t>
      </w:r>
      <w:r>
        <w:rPr>
          <w:rFonts w:ascii="標楷體" w:eastAsia="標楷體" w:hAnsi="標楷體" w:hint="eastAsia"/>
          <w:b/>
        </w:rPr>
        <w:t>全然忽視法律優越原則</w:t>
      </w:r>
      <w:r>
        <w:rPr>
          <w:rFonts w:ascii="Times New Roman" w:eastAsia="新細明體" w:hAnsi="新細明體" w:hint="eastAsia"/>
        </w:rPr>
        <w:t>，實令人意外。林三欽教授雖然認定，解釋</w:t>
      </w:r>
      <w:proofErr w:type="gramStart"/>
      <w:r>
        <w:rPr>
          <w:rFonts w:ascii="Times New Roman" w:eastAsia="新細明體" w:hAnsi="新細明體" w:hint="eastAsia"/>
        </w:rPr>
        <w:t>函令既為公</w:t>
      </w:r>
      <w:proofErr w:type="gramEnd"/>
      <w:r>
        <w:rPr>
          <w:rFonts w:ascii="Times New Roman" w:eastAsia="新細明體" w:hAnsi="新細明體" w:hint="eastAsia"/>
        </w:rPr>
        <w:t>權力主體所為職權上意思表示，原則上得作為「信賴基</w:t>
      </w:r>
      <w:r>
        <w:rPr>
          <w:rFonts w:ascii="Times New Roman" w:eastAsia="新細明體" w:hAnsi="新細明體" w:hint="eastAsia"/>
        </w:rPr>
        <w:t>礎」。惟一方面因解釋函令的位階較低，其「作為信賴基礎的正當性較為薄弱」；另一方面，被修正、廢止的</w:t>
      </w:r>
      <w:r>
        <w:rPr>
          <w:rFonts w:ascii="標楷體" w:eastAsia="標楷體" w:hAnsi="標楷體" w:hint="eastAsia"/>
          <w:b/>
        </w:rPr>
        <w:t>行政命令若違反母法的原意</w:t>
      </w:r>
      <w:r>
        <w:rPr>
          <w:rFonts w:ascii="Times New Roman" w:eastAsia="新細明體" w:hAnsi="新細明體" w:hint="eastAsia"/>
        </w:rPr>
        <w:t>，其將有牴觸上位階法規範之瑕疵，嚴重者將依據法律優越原則而無效，即使不然，其</w:t>
      </w:r>
      <w:r>
        <w:rPr>
          <w:rFonts w:ascii="標楷體" w:eastAsia="標楷體" w:hAnsi="標楷體" w:hint="eastAsia"/>
          <w:b/>
        </w:rPr>
        <w:t>作為信賴基礎的正當性亦將大受影響</w:t>
      </w:r>
      <w:r>
        <w:rPr>
          <w:rStyle w:val="a6"/>
          <w:rFonts w:ascii="Times New Roman" w:eastAsia="新細明體" w:hAnsi="新細明體"/>
        </w:rPr>
        <w:footnoteReference w:id="31"/>
      </w:r>
      <w:r>
        <w:rPr>
          <w:rFonts w:ascii="Times New Roman" w:eastAsia="新細明體" w:hAnsi="新細明體" w:hint="eastAsia"/>
        </w:rPr>
        <w:t>。依筆者之見，林教授前揭論述頗為曖昧，蓋「作為信賴基礎之正當性」是否因法規範位階高低而有別，不無疑義；</w:t>
      </w:r>
      <w:proofErr w:type="gramStart"/>
      <w:r>
        <w:rPr>
          <w:rFonts w:ascii="Times New Roman" w:eastAsia="新細明體" w:hAnsi="新細明體" w:hint="eastAsia"/>
        </w:rPr>
        <w:t>此外，</w:t>
      </w:r>
      <w:proofErr w:type="gramEnd"/>
      <w:r>
        <w:rPr>
          <w:rFonts w:ascii="Times New Roman" w:eastAsia="新細明體" w:hAnsi="新細明體" w:hint="eastAsia"/>
        </w:rPr>
        <w:t>「作為信賴基礎之正當性」薄弱之後果如何，亦難以懸忖。</w:t>
      </w:r>
    </w:p>
    <w:p w:rsidR="00000000" w:rsidRDefault="00FE56A9" w:rsidP="00956B72">
      <w:pPr>
        <w:pStyle w:val="HTML"/>
        <w:overflowPunct w:val="0"/>
        <w:spacing w:line="360" w:lineRule="auto"/>
        <w:jc w:val="both"/>
        <w:rPr>
          <w:rFonts w:ascii="Times New Roman"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相對於此，林明鏘教授則引述德國學者見解而指出，行政規則得否作為人民的信賴基礎，不無疑義。蓋行政規則因缺乏直接對</w:t>
      </w:r>
      <w:r>
        <w:rPr>
          <w:rFonts w:ascii="Times New Roman" w:eastAsia="新細明體" w:hAnsi="新細明體" w:hint="eastAsia"/>
        </w:rPr>
        <w:t>外之效力，其不同於當然可以構成信賴基礎之國家機關的對外行為。惟</w:t>
      </w:r>
      <w:proofErr w:type="gramStart"/>
      <w:r>
        <w:rPr>
          <w:rFonts w:ascii="Times New Roman" w:eastAsia="新細明體" w:hAnsi="新細明體" w:hint="eastAsia"/>
        </w:rPr>
        <w:t>其復認</w:t>
      </w:r>
      <w:proofErr w:type="gramEnd"/>
      <w:r>
        <w:rPr>
          <w:rFonts w:ascii="Times New Roman" w:eastAsia="新細明體" w:hAnsi="新細明體" w:hint="eastAsia"/>
        </w:rPr>
        <w:t>，</w:t>
      </w:r>
      <w:r>
        <w:rPr>
          <w:rFonts w:ascii="標楷體" w:eastAsia="標楷體" w:hAnsi="標楷體" w:hint="eastAsia"/>
          <w:b/>
        </w:rPr>
        <w:t>在下屬公務員的情形</w:t>
      </w:r>
      <w:r>
        <w:rPr>
          <w:rFonts w:ascii="Times New Roman" w:eastAsia="新細明體" w:hAnsi="新細明體" w:hint="eastAsia"/>
        </w:rPr>
        <w:t>，因其為行政規則的效力所及，於此應承認，</w:t>
      </w:r>
      <w:r>
        <w:rPr>
          <w:rFonts w:ascii="標楷體" w:eastAsia="標楷體" w:hAnsi="標楷體" w:hint="eastAsia"/>
          <w:b/>
        </w:rPr>
        <w:t>行政規則得為其信賴基礎</w:t>
      </w:r>
      <w:r>
        <w:rPr>
          <w:rFonts w:ascii="Times New Roman" w:eastAsia="新細明體" w:hAnsi="新細明體" w:hint="eastAsia"/>
        </w:rPr>
        <w:t>。</w:t>
      </w:r>
      <w:proofErr w:type="gramStart"/>
      <w:r>
        <w:rPr>
          <w:rFonts w:ascii="Times New Roman" w:eastAsia="新細明體" w:hAnsi="新細明體" w:hint="eastAsia"/>
        </w:rPr>
        <w:t>此外，</w:t>
      </w:r>
      <w:proofErr w:type="gramEnd"/>
      <w:r>
        <w:rPr>
          <w:rFonts w:ascii="Times New Roman" w:eastAsia="新細明體" w:hAnsi="新細明體" w:hint="eastAsia"/>
        </w:rPr>
        <w:t>林教授似認定，</w:t>
      </w:r>
      <w:r>
        <w:rPr>
          <w:rFonts w:ascii="標楷體" w:eastAsia="標楷體" w:hAnsi="標楷體" w:hint="eastAsia"/>
          <w:b/>
        </w:rPr>
        <w:t>一般人民</w:t>
      </w:r>
      <w:r>
        <w:rPr>
          <w:rFonts w:ascii="Times New Roman" w:eastAsia="新細明體" w:hAnsi="新細明體" w:hint="eastAsia"/>
        </w:rPr>
        <w:t>固不能</w:t>
      </w:r>
      <w:proofErr w:type="gramStart"/>
      <w:r>
        <w:rPr>
          <w:rFonts w:ascii="Times New Roman" w:eastAsia="新細明體" w:hAnsi="新細明體" w:hint="eastAsia"/>
        </w:rPr>
        <w:t>逕</w:t>
      </w:r>
      <w:proofErr w:type="gramEnd"/>
      <w:r>
        <w:rPr>
          <w:rFonts w:ascii="Times New Roman" w:eastAsia="新細明體" w:hAnsi="新細明體" w:hint="eastAsia"/>
        </w:rPr>
        <w:t>以行政規則為信賴基礎，但仍得</w:t>
      </w:r>
      <w:r>
        <w:rPr>
          <w:rFonts w:ascii="標楷體" w:eastAsia="標楷體" w:hAnsi="標楷體" w:hint="eastAsia"/>
          <w:b/>
        </w:rPr>
        <w:t>訴諸「行政慣例」</w:t>
      </w:r>
      <w:r>
        <w:rPr>
          <w:rFonts w:ascii="Times New Roman" w:eastAsia="新細明體" w:hAnsi="新細明體" w:hint="eastAsia"/>
        </w:rPr>
        <w:t>以主張信賴保護</w:t>
      </w:r>
      <w:r>
        <w:rPr>
          <w:rStyle w:val="a6"/>
          <w:rFonts w:ascii="Times New Roman" w:eastAsia="新細明體" w:hAnsi="新細明體"/>
        </w:rPr>
        <w:footnoteReference w:id="32"/>
      </w:r>
      <w:r>
        <w:rPr>
          <w:rFonts w:ascii="Times New Roman" w:eastAsia="新細明體" w:hAnsi="新細明體" w:hint="eastAsia"/>
        </w:rPr>
        <w:t>。然而，因人民或公務員的身分來區分行政規則作為信賴基礎的可能性，尤其在以行政規則為授益基礎時，其正當性極為可疑。</w:t>
      </w:r>
      <w:proofErr w:type="gramStart"/>
      <w:r>
        <w:rPr>
          <w:rFonts w:ascii="Times New Roman" w:eastAsia="新細明體" w:hAnsi="新細明體" w:hint="eastAsia"/>
        </w:rPr>
        <w:t>此外，</w:t>
      </w:r>
      <w:proofErr w:type="gramEnd"/>
      <w:r>
        <w:rPr>
          <w:rFonts w:ascii="Times New Roman" w:eastAsia="新細明體" w:hAnsi="新細明體" w:hint="eastAsia"/>
        </w:rPr>
        <w:t>使人民得以「行政慣例」（而非行政規則）為信賴基礎，仍不能解決前述違反法律優越原則的疑慮。就此，</w:t>
      </w:r>
      <w:r>
        <w:rPr>
          <w:rFonts w:ascii="Times New Roman" w:eastAsia="標楷體" w:hAnsi="標楷體"/>
          <w:b/>
        </w:rPr>
        <w:t>司法院大法官釋字第</w:t>
      </w:r>
      <w:r>
        <w:rPr>
          <w:rFonts w:ascii="Times New Roman" w:eastAsia="標楷體" w:hAnsi="Times New Roman"/>
          <w:b/>
        </w:rPr>
        <w:t>287</w:t>
      </w:r>
      <w:r>
        <w:rPr>
          <w:rFonts w:ascii="Times New Roman" w:eastAsia="標楷體" w:hAnsi="標楷體"/>
          <w:b/>
        </w:rPr>
        <w:t>號解釋</w:t>
      </w:r>
      <w:r>
        <w:rPr>
          <w:rFonts w:ascii="Times New Roman" w:eastAsia="新細明體" w:hAnsi="新細明體" w:hint="eastAsia"/>
        </w:rPr>
        <w:t>則認定，</w:t>
      </w:r>
      <w:r>
        <w:rPr>
          <w:rFonts w:ascii="新細明體" w:eastAsia="新細明體" w:hAnsi="新細明體" w:hint="eastAsia"/>
        </w:rPr>
        <w:t>「</w:t>
      </w:r>
      <w:r>
        <w:rPr>
          <w:rFonts w:ascii="新細明體" w:eastAsia="新細明體" w:hAnsi="新細明體"/>
        </w:rPr>
        <w:t>行政主管機關</w:t>
      </w:r>
      <w:r>
        <w:rPr>
          <w:rFonts w:ascii="新細明體" w:eastAsia="新細明體" w:hAnsi="新細明體"/>
        </w:rPr>
        <w:t>就行政法規所為之釋示，係闡明法規之原意，固應自法規生效之日起有其適用。惟在後之</w:t>
      </w:r>
      <w:proofErr w:type="gramStart"/>
      <w:r>
        <w:rPr>
          <w:rFonts w:ascii="新細明體" w:eastAsia="新細明體" w:hAnsi="新細明體"/>
        </w:rPr>
        <w:t>釋示如與</w:t>
      </w:r>
      <w:proofErr w:type="gramEnd"/>
      <w:r>
        <w:rPr>
          <w:rFonts w:ascii="新細明體" w:eastAsia="新細明體" w:hAnsi="新細明體"/>
        </w:rPr>
        <w:t>在前之釋示不一致時，在前之釋示並非當然錯誤，於後釋示發布前，依前釋示所為之行政處分已確定者，除前</w:t>
      </w:r>
      <w:proofErr w:type="gramStart"/>
      <w:r>
        <w:rPr>
          <w:rFonts w:ascii="新細明體" w:eastAsia="新細明體" w:hAnsi="新細明體"/>
        </w:rPr>
        <w:t>釋示確有</w:t>
      </w:r>
      <w:proofErr w:type="gramEnd"/>
      <w:r>
        <w:rPr>
          <w:rFonts w:ascii="新細明體" w:eastAsia="新細明體" w:hAnsi="新細明體"/>
        </w:rPr>
        <w:t>違法之情形外，為維持法律秩序之安定，應不受後釋示之影響。財政部中華民國七十五年三月二十一日台財稅字第七五三</w:t>
      </w:r>
      <w:r>
        <w:rPr>
          <w:rFonts w:ascii="新細明體" w:eastAsia="新細明體" w:hAnsi="新細明體"/>
        </w:rPr>
        <w:t>○</w:t>
      </w:r>
      <w:r>
        <w:rPr>
          <w:rFonts w:ascii="新細明體" w:eastAsia="新細明體" w:hAnsi="新細明體"/>
        </w:rPr>
        <w:t>四四七號函說明四：</w:t>
      </w:r>
      <w:r>
        <w:rPr>
          <w:rFonts w:ascii="新細明體" w:eastAsia="新細明體" w:hAnsi="新細明體" w:hint="eastAsia"/>
        </w:rPr>
        <w:t>『</w:t>
      </w:r>
      <w:r>
        <w:rPr>
          <w:rFonts w:ascii="新細明體" w:eastAsia="新細明體" w:hAnsi="新細明體"/>
        </w:rPr>
        <w:t>本函發布前之案件，已繳納營利事業所得稅確定者，不再變更；尚未確定或已確定而未繳納或未開徵之案件，應依本函規定予以補稅免罰</w:t>
      </w:r>
      <w:r>
        <w:rPr>
          <w:rFonts w:ascii="新細明體" w:eastAsia="新細明體" w:hAnsi="新細明體" w:hint="eastAsia"/>
        </w:rPr>
        <w:t>』</w:t>
      </w:r>
      <w:r>
        <w:rPr>
          <w:rFonts w:ascii="新細明體" w:eastAsia="新細明體" w:hAnsi="新細明體"/>
        </w:rPr>
        <w:t>，符合上述意旨，與憲法並無牴觸</w:t>
      </w:r>
      <w:r>
        <w:rPr>
          <w:rFonts w:ascii="新細明體" w:eastAsia="新細明體" w:hAnsi="新細明體" w:hint="eastAsia"/>
        </w:rPr>
        <w:t>」</w:t>
      </w:r>
      <w:r>
        <w:rPr>
          <w:rStyle w:val="a6"/>
          <w:rFonts w:ascii="Times New Roman" w:eastAsia="新細明體" w:hAnsi="Times New Roman"/>
        </w:rPr>
        <w:footnoteReference w:id="33"/>
      </w:r>
      <w:r>
        <w:rPr>
          <w:rFonts w:ascii="新細明體" w:eastAsia="新細明體" w:hAnsi="新細明體" w:hint="eastAsia"/>
        </w:rPr>
        <w:t>；質言之，其並未認定，函令解釋（而非法</w:t>
      </w:r>
      <w:r>
        <w:rPr>
          <w:rFonts w:ascii="新細明體" w:eastAsia="新細明體" w:hAnsi="新細明體" w:hint="eastAsia"/>
        </w:rPr>
        <w:t>律）的變更，將衍生違反信賴保護原則的問題。此一解釋意旨並經司法院大法官</w:t>
      </w:r>
      <w:r>
        <w:rPr>
          <w:rFonts w:hint="eastAsia"/>
        </w:rPr>
        <w:t>釋字第</w:t>
      </w:r>
      <w:r>
        <w:rPr>
          <w:rFonts w:ascii="Times New Roman" w:hAnsi="Times New Roman"/>
        </w:rPr>
        <w:t>536</w:t>
      </w:r>
      <w:r>
        <w:rPr>
          <w:rFonts w:hint="eastAsia"/>
        </w:rPr>
        <w:t>號解釋理由書加以重申。然而，應無待進一步說明即可發現，其與前述司法院大法官多號關於信賴保護原則的解釋意旨不盡相符；於此又再次證實，司法院大法官</w:t>
      </w:r>
      <w:r>
        <w:rPr>
          <w:rFonts w:ascii="新細明體" w:eastAsia="新細明體" w:hAnsi="新細明體" w:hint="eastAsia"/>
        </w:rPr>
        <w:t>未能確保其解釋立場的一貫性。</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（二）信賴表現</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lastRenderedPageBreak/>
        <w:t xml:space="preserve">    </w:t>
      </w:r>
      <w:r>
        <w:rPr>
          <w:rFonts w:ascii="新細明體" w:eastAsia="新細明體" w:hAnsi="新細明體" w:hint="eastAsia"/>
        </w:rPr>
        <w:t>就此</w:t>
      </w:r>
      <w:proofErr w:type="gramStart"/>
      <w:r>
        <w:rPr>
          <w:rFonts w:ascii="新細明體" w:eastAsia="新細明體" w:hAnsi="新細明體" w:hint="eastAsia"/>
        </w:rPr>
        <w:t>一</w:t>
      </w:r>
      <w:proofErr w:type="gramEnd"/>
      <w:r>
        <w:rPr>
          <w:rFonts w:ascii="新細明體" w:eastAsia="新細明體" w:hAnsi="新細明體" w:hint="eastAsia"/>
        </w:rPr>
        <w:t>要件，特別值得留意的是洪家殷教授的下述主張：</w:t>
      </w:r>
      <w:r>
        <w:rPr>
          <w:rFonts w:ascii="標楷體" w:eastAsia="標楷體" w:hAnsi="標楷體" w:hint="eastAsia"/>
          <w:b/>
        </w:rPr>
        <w:t>「信賴的存在」才是主張信賴保護時應具備的要件，而非「信賴的表現」</w:t>
      </w:r>
      <w:r>
        <w:rPr>
          <w:rFonts w:ascii="新細明體" w:eastAsia="新細明體" w:hAnsi="新細明體" w:hint="eastAsia"/>
        </w:rPr>
        <w:t>。依洪教授的見解，所謂「信賴的存在」意指，</w:t>
      </w:r>
      <w:proofErr w:type="gramStart"/>
      <w:r>
        <w:rPr>
          <w:rFonts w:ascii="新細明體" w:eastAsia="新細明體" w:hAnsi="新細明體" w:hint="eastAsia"/>
        </w:rPr>
        <w:t>人民須已明確</w:t>
      </w:r>
      <w:proofErr w:type="gramEnd"/>
      <w:r>
        <w:rPr>
          <w:rFonts w:ascii="新細明體" w:eastAsia="新細明體" w:hAnsi="新細明體" w:hint="eastAsia"/>
        </w:rPr>
        <w:t>考量到行政行為的存續，其在形成個人之生活關係上已依此而建立並賦</w:t>
      </w:r>
      <w:r>
        <w:rPr>
          <w:rFonts w:ascii="新細明體" w:eastAsia="新細明體" w:hAnsi="新細明體" w:hint="eastAsia"/>
        </w:rPr>
        <w:t>予信賴；所謂「信賴的表現」則係指，相對人僅存有信賴之意思尚不夠充分，仍須基於其信賴而有具體的對外表現行為，即須有一定的處分行為。其主張，無論是依信賴保護原則的基本理念、其憲法基礎，或是依現行法相關規定，</w:t>
      </w:r>
      <w:proofErr w:type="gramStart"/>
      <w:r>
        <w:rPr>
          <w:rFonts w:ascii="新細明體" w:eastAsia="新細明體" w:hAnsi="新細明體" w:hint="eastAsia"/>
        </w:rPr>
        <w:t>均未要求</w:t>
      </w:r>
      <w:proofErr w:type="gramEnd"/>
      <w:r>
        <w:rPr>
          <w:rFonts w:ascii="新細明體" w:eastAsia="新細明體" w:hAnsi="新細明體" w:hint="eastAsia"/>
        </w:rPr>
        <w:t>主張信賴保護者須有對外的表現行為</w:t>
      </w:r>
      <w:r>
        <w:rPr>
          <w:rStyle w:val="a6"/>
          <w:rFonts w:ascii="Times New Roman" w:eastAsia="新細明體" w:hAnsi="Times New Roman"/>
        </w:rPr>
        <w:footnoteReference w:id="34"/>
      </w:r>
      <w:r>
        <w:rPr>
          <w:rFonts w:ascii="新細明體" w:eastAsia="新細明體" w:hAnsi="新細明體" w:hint="eastAsia"/>
        </w:rPr>
        <w:t>。林明鏘教授則先是清楚指出，「信賴表現」的要件一方面包含，人民須認識國家機關的對外行為，另一方面亦須人民有一定的處置行為。對洪教授的前揭主張，其指出，此一見解在行政規則變動的情形極具參考價值，「尤其是當公務員之權益事項，因為行政解釋之改變，致其（公務員）權益受損之情形</w:t>
      </w:r>
      <w:r>
        <w:rPr>
          <w:rFonts w:ascii="新細明體" w:eastAsia="新細明體" w:hAnsi="新細明體" w:hint="eastAsia"/>
        </w:rPr>
        <w:t>，絕大部分公務員皆無客觀上之具體信賴表現」。惟其仍主張，</w:t>
      </w:r>
      <w:r>
        <w:rPr>
          <w:rFonts w:ascii="標楷體" w:eastAsia="標楷體" w:hAnsi="標楷體" w:hint="eastAsia"/>
          <w:b/>
        </w:rPr>
        <w:t>在行政規則變動時，對「信賴表現」應從寬認定</w:t>
      </w:r>
      <w:r>
        <w:rPr>
          <w:rFonts w:ascii="新細明體" w:eastAsia="新細明體" w:hAnsi="新細明體" w:hint="eastAsia"/>
        </w:rPr>
        <w:t>，包含所有一切消極或積極之處置行為均可認有「信賴表現」，但仍應維持此一要件，以便「維持信賴保護原則之過濾功能」</w:t>
      </w:r>
      <w:r>
        <w:rPr>
          <w:rStyle w:val="a6"/>
          <w:rFonts w:ascii="Times New Roman" w:eastAsia="新細明體" w:hAnsi="Times New Roman"/>
        </w:rPr>
        <w:footnoteReference w:id="35"/>
      </w:r>
      <w:r>
        <w:rPr>
          <w:rFonts w:ascii="新細明體" w:eastAsia="新細明體" w:hAnsi="新細明體" w:hint="eastAsia"/>
        </w:rPr>
        <w:t>。</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ind w:firstLineChars="200" w:firstLine="480"/>
        <w:jc w:val="both"/>
        <w:rPr>
          <w:rFonts w:ascii="新細明體" w:eastAsia="新細明體" w:hAnsi="新細明體" w:hint="eastAsia"/>
        </w:rPr>
      </w:pPr>
      <w:r>
        <w:rPr>
          <w:rFonts w:ascii="新細明體" w:eastAsia="新細明體" w:hAnsi="新細明體" w:hint="eastAsia"/>
        </w:rPr>
        <w:t>然而，在以行政處分為信賴基礎時，洪教授前揭主張是否仍然可</w:t>
      </w:r>
      <w:proofErr w:type="gramStart"/>
      <w:r>
        <w:rPr>
          <w:rFonts w:ascii="新細明體" w:eastAsia="新細明體" w:hAnsi="新細明體" w:hint="eastAsia"/>
        </w:rPr>
        <w:t>採</w:t>
      </w:r>
      <w:proofErr w:type="gramEnd"/>
      <w:r>
        <w:rPr>
          <w:rFonts w:ascii="新細明體" w:eastAsia="新細明體" w:hAnsi="新細明體" w:hint="eastAsia"/>
        </w:rPr>
        <w:t>？林教授未予置評，筆者則認為不無可疑。蓋如人民僅單純認識</w:t>
      </w:r>
      <w:proofErr w:type="gramStart"/>
      <w:r>
        <w:rPr>
          <w:rFonts w:ascii="新細明體" w:eastAsia="新細明體" w:hAnsi="新細明體" w:hint="eastAsia"/>
        </w:rPr>
        <w:t>到授益性</w:t>
      </w:r>
      <w:proofErr w:type="gramEnd"/>
      <w:r>
        <w:rPr>
          <w:rFonts w:ascii="新細明體" w:eastAsia="新細明體" w:hAnsi="新細明體" w:hint="eastAsia"/>
        </w:rPr>
        <w:t>行政處分的存在，而尚未有任何表現於外的處置行為，於此，其究竟有何可能因信賴此一處分而受影響的權益，實費</w:t>
      </w:r>
      <w:proofErr w:type="gramStart"/>
      <w:r>
        <w:rPr>
          <w:rFonts w:ascii="新細明體" w:eastAsia="新細明體" w:hAnsi="新細明體" w:hint="eastAsia"/>
        </w:rPr>
        <w:t>疑</w:t>
      </w:r>
      <w:proofErr w:type="gramEnd"/>
      <w:r>
        <w:rPr>
          <w:rFonts w:ascii="新細明體" w:eastAsia="新細明體" w:hAnsi="新細明體" w:hint="eastAsia"/>
        </w:rPr>
        <w:t>猜。</w:t>
      </w:r>
      <w:proofErr w:type="gramStart"/>
      <w:r>
        <w:rPr>
          <w:rFonts w:ascii="新細明體" w:eastAsia="新細明體" w:hAnsi="新細明體" w:hint="eastAsia"/>
        </w:rPr>
        <w:t>此外，</w:t>
      </w:r>
      <w:proofErr w:type="gramEnd"/>
      <w:r>
        <w:rPr>
          <w:rFonts w:ascii="新細明體" w:eastAsia="新細明體" w:hAnsi="新細明體" w:hint="eastAsia"/>
        </w:rPr>
        <w:t>林教授所稱，「所有一切消極或積極之處置行為」究何所指，仍嫌曖</w:t>
      </w:r>
      <w:r>
        <w:rPr>
          <w:rFonts w:ascii="新細明體" w:eastAsia="新細明體" w:hAnsi="新細明體" w:hint="eastAsia"/>
        </w:rPr>
        <w:t>昧。最後，在因行政法規變動致影響人民權益的情形，人民在法規變動前，恐怕不僅是未有「客觀上之具體信賴表現」，而是根本未認識相關法規，如是，是否即應認其不得主張信賴保護？</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（三）信賴值得保護</w:t>
      </w:r>
    </w:p>
    <w:p w:rsidR="00000000" w:rsidRDefault="00FE56A9" w:rsidP="00956B72">
      <w:pPr>
        <w:pStyle w:val="HTML"/>
        <w:overflowPunct w:val="0"/>
        <w:spacing w:line="360" w:lineRule="auto"/>
        <w:jc w:val="both"/>
        <w:rPr>
          <w:rFonts w:ascii="新細明體" w:eastAsia="新細明體" w:hAnsi="新細明體" w:hint="eastAsia"/>
        </w:rPr>
      </w:pPr>
    </w:p>
    <w:p w:rsidR="00000000" w:rsidRDefault="00FE56A9" w:rsidP="00956B72">
      <w:pPr>
        <w:pStyle w:val="HTML"/>
        <w:overflowPunct w:val="0"/>
        <w:spacing w:line="360" w:lineRule="auto"/>
        <w:jc w:val="both"/>
        <w:rPr>
          <w:rFonts w:ascii="Times New Roman" w:eastAsia="新細明體" w:hAnsi="Times New Roman" w:hint="eastAsia"/>
        </w:rPr>
      </w:pPr>
      <w:r>
        <w:rPr>
          <w:rFonts w:ascii="新細明體" w:eastAsia="新細明體" w:hAnsi="新細明體" w:hint="eastAsia"/>
        </w:rPr>
        <w:t xml:space="preserve">    </w:t>
      </w:r>
      <w:r>
        <w:rPr>
          <w:rFonts w:ascii="新細明體" w:eastAsia="新細明體" w:hAnsi="新細明體" w:hint="eastAsia"/>
        </w:rPr>
        <w:t>在探討信賴是否值得保護的要件時，誠如洪家殷教授所論，</w:t>
      </w:r>
      <w:r>
        <w:rPr>
          <w:rFonts w:ascii="標楷體" w:eastAsia="標楷體" w:hAnsi="標楷體" w:hint="eastAsia"/>
          <w:b/>
        </w:rPr>
        <w:t>重點集中在不值得保護的排除</w:t>
      </w:r>
      <w:r>
        <w:rPr>
          <w:rFonts w:ascii="新細明體" w:eastAsia="新細明體" w:hAnsi="新細明體" w:hint="eastAsia"/>
        </w:rPr>
        <w:t>。就撤銷</w:t>
      </w:r>
      <w:proofErr w:type="gramStart"/>
      <w:r>
        <w:rPr>
          <w:rFonts w:ascii="新細明體" w:eastAsia="新細明體" w:hAnsi="新細明體" w:hint="eastAsia"/>
        </w:rPr>
        <w:t>授益性行政處分</w:t>
      </w:r>
      <w:proofErr w:type="gramEnd"/>
      <w:r>
        <w:rPr>
          <w:rFonts w:ascii="新細明體" w:eastAsia="新細明體" w:hAnsi="新細明體" w:hint="eastAsia"/>
        </w:rPr>
        <w:t>的情形，行政程序法第</w:t>
      </w:r>
      <w:r>
        <w:rPr>
          <w:rFonts w:ascii="Times New Roman" w:eastAsia="新細明體" w:hAnsi="Times New Roman"/>
        </w:rPr>
        <w:t>119</w:t>
      </w:r>
      <w:r>
        <w:rPr>
          <w:rFonts w:ascii="新細明體" w:eastAsia="新細明體" w:hAnsi="新細明體" w:hint="eastAsia"/>
        </w:rPr>
        <w:t>條明訂信賴不值得保護的三種情形。洪教授認為，司法院大法官釋字第</w:t>
      </w:r>
      <w:r>
        <w:rPr>
          <w:rFonts w:ascii="Times New Roman" w:eastAsia="新細明體" w:hAnsi="Times New Roman" w:hint="eastAsia"/>
        </w:rPr>
        <w:t>525</w:t>
      </w:r>
      <w:r>
        <w:rPr>
          <w:rFonts w:ascii="Times New Roman" w:eastAsia="新細明體" w:hAnsi="Times New Roman" w:hint="eastAsia"/>
        </w:rPr>
        <w:t>號解釋提出的兩種在行政規則之變動中信賴不值得保護的情形</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rPr>
        <w:t>經廢止或變更之法規有重大明顯違反上位規範情形，或法規</w:t>
      </w:r>
      <w:r>
        <w:rPr>
          <w:rFonts w:ascii="新細明體" w:eastAsia="新細明體" w:hAnsi="新細明體"/>
        </w:rPr>
        <w:t xml:space="preserve"> (</w:t>
      </w:r>
      <w:r>
        <w:rPr>
          <w:rFonts w:ascii="新細明體" w:eastAsia="新細明體" w:hAnsi="新細明體"/>
        </w:rPr>
        <w:t>如解</w:t>
      </w:r>
      <w:r>
        <w:rPr>
          <w:rFonts w:ascii="新細明體" w:eastAsia="新細明體" w:hAnsi="新細明體"/>
        </w:rPr>
        <w:t>釋性、</w:t>
      </w:r>
      <w:proofErr w:type="gramStart"/>
      <w:r>
        <w:rPr>
          <w:rFonts w:ascii="新細明體" w:eastAsia="新細明體" w:hAnsi="新細明體"/>
        </w:rPr>
        <w:t>裁量性之</w:t>
      </w:r>
      <w:proofErr w:type="gramEnd"/>
      <w:r>
        <w:rPr>
          <w:rFonts w:ascii="新細明體" w:eastAsia="新細明體" w:hAnsi="新細明體"/>
        </w:rPr>
        <w:t>行政規則</w:t>
      </w:r>
      <w:r>
        <w:rPr>
          <w:rFonts w:ascii="新細明體" w:eastAsia="新細明體" w:hAnsi="新細明體"/>
        </w:rPr>
        <w:t xml:space="preserve">) </w:t>
      </w:r>
      <w:r>
        <w:rPr>
          <w:rFonts w:ascii="新細明體" w:eastAsia="新細明體" w:hAnsi="新細明體"/>
        </w:rPr>
        <w:t>係因主張權益受害者以不正當方法或提供不正確資料而發布者，其信賴即不值得保護</w:t>
      </w:r>
      <w:r>
        <w:rPr>
          <w:rFonts w:ascii="新細明體" w:eastAsia="新細明體" w:hAnsi="新細明體" w:hint="eastAsia"/>
        </w:rPr>
        <w:t>」，與行政程序法前揭規定，「在基本之理念上，應無不同」</w:t>
      </w:r>
      <w:r>
        <w:rPr>
          <w:rStyle w:val="a6"/>
          <w:rFonts w:ascii="Times New Roman" w:eastAsia="新細明體" w:hAnsi="Times New Roman"/>
        </w:rPr>
        <w:footnoteReference w:id="36"/>
      </w:r>
      <w:r>
        <w:rPr>
          <w:rFonts w:ascii="新細明體" w:eastAsia="新細明體" w:hAnsi="新細明體" w:hint="eastAsia"/>
        </w:rPr>
        <w:t>：</w:t>
      </w:r>
      <w:proofErr w:type="gramStart"/>
      <w:r>
        <w:rPr>
          <w:rFonts w:ascii="新細明體" w:eastAsia="新細明體" w:hAnsi="新細明體" w:hint="eastAsia"/>
        </w:rPr>
        <w:t>其似並據此肯定釋</w:t>
      </w:r>
      <w:proofErr w:type="gramEnd"/>
      <w:r>
        <w:rPr>
          <w:rFonts w:ascii="新細明體" w:eastAsia="新細明體" w:hAnsi="新細明體" w:hint="eastAsia"/>
        </w:rPr>
        <w:t>字第</w:t>
      </w:r>
      <w:r>
        <w:rPr>
          <w:rFonts w:ascii="Times New Roman" w:eastAsia="新細明體" w:hAnsi="Times New Roman" w:hint="eastAsia"/>
        </w:rPr>
        <w:t>525</w:t>
      </w:r>
      <w:r>
        <w:rPr>
          <w:rFonts w:ascii="Times New Roman" w:eastAsia="新細明體" w:hAnsi="Times New Roman" w:hint="eastAsia"/>
        </w:rPr>
        <w:t>號解釋的論述。如是，則其顯然</w:t>
      </w:r>
      <w:r>
        <w:rPr>
          <w:rFonts w:ascii="新細明體" w:eastAsia="新細明體" w:hAnsi="新細明體" w:hint="eastAsia"/>
        </w:rPr>
        <w:t>（與該號解釋相同）忽略了，法規範效力應作一般性界定，而不應取決於受規範者個人因素的要求</w:t>
      </w:r>
      <w:r>
        <w:rPr>
          <w:rFonts w:ascii="Times New Roman" w:eastAsia="新細明體" w:hAnsi="Times New Roman" w:hint="eastAsia"/>
        </w:rPr>
        <w:t>。</w:t>
      </w:r>
    </w:p>
    <w:p w:rsidR="00000000" w:rsidRDefault="00FE56A9" w:rsidP="00956B72">
      <w:pPr>
        <w:pStyle w:val="HTML"/>
        <w:overflowPunct w:val="0"/>
        <w:spacing w:line="360" w:lineRule="auto"/>
        <w:jc w:val="both"/>
        <w:rPr>
          <w:rFonts w:ascii="Times New Roman" w:eastAsia="新細明體" w:hAnsi="Times New Roman" w:hint="eastAsia"/>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hint="eastAsia"/>
        </w:rPr>
        <w:t xml:space="preserve">    </w:t>
      </w:r>
      <w:r>
        <w:rPr>
          <w:rFonts w:hint="eastAsia"/>
        </w:rPr>
        <w:t>林明鏘教授則認定</w:t>
      </w:r>
      <w:r>
        <w:rPr>
          <w:rStyle w:val="a6"/>
        </w:rPr>
        <w:footnoteReference w:id="37"/>
      </w:r>
      <w:r>
        <w:rPr>
          <w:rFonts w:hint="eastAsia"/>
        </w:rPr>
        <w:t>，就行政規則變動的情況，</w:t>
      </w:r>
      <w:r>
        <w:rPr>
          <w:rFonts w:ascii="新細明體" w:hAnsi="新細明體" w:hint="eastAsia"/>
        </w:rPr>
        <w:t>司法院大法官釋字第</w:t>
      </w:r>
      <w:r>
        <w:rPr>
          <w:rFonts w:hint="eastAsia"/>
        </w:rPr>
        <w:t>525</w:t>
      </w:r>
      <w:r>
        <w:rPr>
          <w:rFonts w:hint="eastAsia"/>
        </w:rPr>
        <w:t>號解釋（及承續前揭解釋意旨的釋字第</w:t>
      </w:r>
      <w:r>
        <w:rPr>
          <w:rFonts w:hint="eastAsia"/>
        </w:rPr>
        <w:t>529</w:t>
      </w:r>
      <w:r>
        <w:rPr>
          <w:rFonts w:hint="eastAsia"/>
        </w:rPr>
        <w:t>號解釋）提出的，人民之信賴不值得保護的情形有四，即除</w:t>
      </w:r>
      <w:r>
        <w:rPr>
          <w:rFonts w:ascii="新細明體" w:hAnsi="新細明體" w:hint="eastAsia"/>
        </w:rPr>
        <w:t>「</w:t>
      </w:r>
      <w:r>
        <w:rPr>
          <w:rFonts w:ascii="新細明體" w:hAnsi="新細明體"/>
        </w:rPr>
        <w:t>經廢止或變更之法規有重大明顯違反上位規範</w:t>
      </w:r>
      <w:r>
        <w:rPr>
          <w:rFonts w:ascii="新細明體" w:hAnsi="新細明體"/>
        </w:rPr>
        <w:t>情形，或法規</w:t>
      </w:r>
      <w:r>
        <w:rPr>
          <w:rFonts w:ascii="新細明體" w:hAnsi="新細明體"/>
        </w:rPr>
        <w:t xml:space="preserve"> (</w:t>
      </w:r>
      <w:r>
        <w:rPr>
          <w:rFonts w:ascii="新細明體" w:hAnsi="新細明體"/>
        </w:rPr>
        <w:t>如解釋性、</w:t>
      </w:r>
      <w:proofErr w:type="gramStart"/>
      <w:r>
        <w:rPr>
          <w:rFonts w:ascii="新細明體" w:hAnsi="新細明體"/>
        </w:rPr>
        <w:t>裁量性之</w:t>
      </w:r>
      <w:proofErr w:type="gramEnd"/>
      <w:r>
        <w:rPr>
          <w:rFonts w:ascii="新細明體" w:hAnsi="新細明體"/>
        </w:rPr>
        <w:t>行政規則</w:t>
      </w:r>
      <w:r>
        <w:rPr>
          <w:rFonts w:ascii="新細明體" w:hAnsi="新細明體"/>
        </w:rPr>
        <w:t xml:space="preserve">) </w:t>
      </w:r>
      <w:r>
        <w:rPr>
          <w:rFonts w:ascii="新細明體" w:hAnsi="新細明體"/>
        </w:rPr>
        <w:t>係因主張權益受害者以不正當方法或提供不正確資料而發布</w:t>
      </w:r>
      <w:r>
        <w:rPr>
          <w:rFonts w:ascii="新細明體" w:hAnsi="新細明體" w:hint="eastAsia"/>
        </w:rPr>
        <w:t>」的情況外，也包含「</w:t>
      </w:r>
      <w:r>
        <w:rPr>
          <w:rFonts w:ascii="新細明體" w:hAnsi="新細明體"/>
        </w:rPr>
        <w:t>法規預先定有施行期間或因情事變遷而停止適用，不生信賴保護問題</w:t>
      </w:r>
      <w:r>
        <w:rPr>
          <w:rFonts w:ascii="新細明體" w:hAnsi="新細明體" w:hint="eastAsia"/>
        </w:rPr>
        <w:t>」兩種情形。其並認定，「前二款</w:t>
      </w:r>
      <w:proofErr w:type="gramStart"/>
      <w:r>
        <w:rPr>
          <w:rFonts w:ascii="新細明體" w:hAnsi="新細明體" w:hint="eastAsia"/>
        </w:rPr>
        <w:t>事由乃仿行政</w:t>
      </w:r>
      <w:proofErr w:type="gramEnd"/>
      <w:r>
        <w:rPr>
          <w:rFonts w:ascii="新細明體" w:hAnsi="新細明體" w:hint="eastAsia"/>
        </w:rPr>
        <w:t>程序法</w:t>
      </w:r>
      <w:r>
        <w:rPr>
          <w:rFonts w:ascii="新細明體" w:hAnsi="新細明體"/>
        </w:rPr>
        <w:t>…</w:t>
      </w:r>
      <w:proofErr w:type="gramStart"/>
      <w:r>
        <w:rPr>
          <w:rFonts w:ascii="新細明體" w:hAnsi="新細明體"/>
        </w:rPr>
        <w:t>…</w:t>
      </w:r>
      <w:proofErr w:type="gramEnd"/>
      <w:r>
        <w:rPr>
          <w:rFonts w:ascii="新細明體" w:hAnsi="新細明體" w:hint="eastAsia"/>
        </w:rPr>
        <w:t>加以文字增刪修正而得</w:t>
      </w:r>
      <w:r>
        <w:rPr>
          <w:rFonts w:ascii="新細明體" w:hAnsi="新細明體"/>
        </w:rPr>
        <w:t>…</w:t>
      </w:r>
      <w:proofErr w:type="gramStart"/>
      <w:r>
        <w:rPr>
          <w:rFonts w:ascii="新細明體" w:hAnsi="新細明體"/>
        </w:rPr>
        <w:t>…</w:t>
      </w:r>
      <w:proofErr w:type="gramEnd"/>
      <w:r>
        <w:rPr>
          <w:rFonts w:ascii="新細明體" w:hAnsi="新細明體" w:hint="eastAsia"/>
        </w:rPr>
        <w:t>其妥當性因為已依行政法規之本質特徵而已有所調整，並無不妥」。此一見解未見妥適，已如前述，茲不贅述。至於「</w:t>
      </w:r>
      <w:r>
        <w:rPr>
          <w:rFonts w:ascii="新細明體" w:hAnsi="新細明體"/>
        </w:rPr>
        <w:t>法規預先定有施行期間或因情事變遷而停止適用</w:t>
      </w:r>
      <w:r>
        <w:rPr>
          <w:rFonts w:ascii="新細明體" w:hAnsi="新細明體" w:hint="eastAsia"/>
        </w:rPr>
        <w:t>」是否為恰當的，「信賴不值得保障」的事由，林教授認為，行政命令既已訂有施行</w:t>
      </w:r>
      <w:proofErr w:type="gramStart"/>
      <w:r>
        <w:rPr>
          <w:rFonts w:ascii="新細明體" w:hAnsi="新細明體" w:hint="eastAsia"/>
        </w:rPr>
        <w:t>期間，</w:t>
      </w:r>
      <w:proofErr w:type="gramEnd"/>
      <w:r>
        <w:rPr>
          <w:rFonts w:ascii="新細明體" w:hAnsi="新細明體" w:hint="eastAsia"/>
        </w:rPr>
        <w:t>人民不得要求「持續性的保障」；相</w:t>
      </w:r>
      <w:r>
        <w:rPr>
          <w:rFonts w:ascii="新細明體" w:hAnsi="新細明體" w:hint="eastAsia"/>
        </w:rPr>
        <w:t>對於此，在行政命令發布後，國家固得因重大情事變更而變動該當行政命令，但據此認人民之信賴不值得保護，則未見其當。</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新細明體" w:eastAsia="細明體" w:hAnsi="新細明體" w:cs="新細明體"/>
          <w:kern w:val="0"/>
        </w:rPr>
        <w:br w:type="page"/>
      </w:r>
      <w:r>
        <w:rPr>
          <w:rFonts w:ascii="標楷體" w:eastAsia="標楷體" w:hAnsi="標楷體" w:cs="新細明體" w:hint="eastAsia"/>
          <w:b/>
          <w:kern w:val="0"/>
        </w:rPr>
        <w:lastRenderedPageBreak/>
        <w:t>第四節</w:t>
      </w:r>
      <w:r>
        <w:rPr>
          <w:rFonts w:ascii="標楷體" w:eastAsia="標楷體" w:hAnsi="標楷體" w:cs="新細明體" w:hint="eastAsia"/>
          <w:b/>
          <w:kern w:val="0"/>
        </w:rPr>
        <w:t xml:space="preserve"> </w:t>
      </w:r>
      <w:r>
        <w:rPr>
          <w:rFonts w:ascii="標楷體" w:eastAsia="標楷體" w:hAnsi="標楷體" w:cs="新細明體" w:hint="eastAsia"/>
          <w:b/>
          <w:kern w:val="0"/>
        </w:rPr>
        <w:t>德國憲法裁判、公法學理對信賴保護原則的具體化</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eastAsia="細明體" w:hAnsi="新細明體" w:cs="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b/>
          <w:kern w:val="0"/>
        </w:rPr>
      </w:pPr>
      <w:r>
        <w:rPr>
          <w:rFonts w:ascii="標楷體" w:eastAsia="標楷體" w:hAnsi="標楷體" w:hint="eastAsia"/>
          <w:b/>
          <w:kern w:val="0"/>
        </w:rPr>
        <w:t>一</w:t>
      </w:r>
      <w:r>
        <w:rPr>
          <w:rFonts w:ascii="標楷體" w:eastAsia="標楷體" w:hAnsi="標楷體"/>
          <w:b/>
          <w:kern w:val="0"/>
        </w:rPr>
        <w:t>、信賴保護原則的法理基礎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「信賴」是諸多學門研究的現象</w:t>
      </w:r>
      <w:r>
        <w:rPr>
          <w:rFonts w:hAnsi="新細明體"/>
          <w:kern w:val="0"/>
          <w:vertAlign w:val="superscript"/>
        </w:rPr>
        <w:footnoteReference w:id="38"/>
      </w:r>
      <w:r>
        <w:rPr>
          <w:rFonts w:hAnsi="新細明體"/>
          <w:kern w:val="0"/>
        </w:rPr>
        <w:t>，</w:t>
      </w:r>
      <w:r>
        <w:rPr>
          <w:kern w:val="0"/>
        </w:rPr>
        <w:t>Fritz Ossenbühl</w:t>
      </w:r>
      <w:r>
        <w:rPr>
          <w:rFonts w:hint="eastAsia"/>
          <w:kern w:val="0"/>
        </w:rPr>
        <w:t>則</w:t>
      </w:r>
      <w:r>
        <w:rPr>
          <w:rFonts w:hAnsi="新細明體"/>
          <w:kern w:val="0"/>
        </w:rPr>
        <w:t>精確地指出，法律上</w:t>
      </w:r>
      <w:r>
        <w:rPr>
          <w:rFonts w:hAnsi="新細明體" w:hint="eastAsia"/>
          <w:kern w:val="0"/>
        </w:rPr>
        <w:t>關注的</w:t>
      </w:r>
      <w:r>
        <w:rPr>
          <w:rFonts w:hAnsi="新細明體"/>
          <w:kern w:val="0"/>
        </w:rPr>
        <w:t>，「信賴保護」是國民在其與國家之關係上的信賴保護，是國民針對國家防衛其法律地位</w:t>
      </w:r>
      <w:r>
        <w:rPr>
          <w:rFonts w:hAnsi="新細明體" w:hint="eastAsia"/>
          <w:kern w:val="0"/>
        </w:rPr>
        <w:t>的一種主張，</w:t>
      </w:r>
      <w:r>
        <w:rPr>
          <w:rFonts w:hAnsi="新細明體"/>
          <w:kern w:val="0"/>
        </w:rPr>
        <w:t>其意指，對國家機關，無論是立法、行政或司法之行為期待的實現</w:t>
      </w:r>
      <w:r>
        <w:rPr>
          <w:kern w:val="0"/>
          <w:vertAlign w:val="superscript"/>
        </w:rPr>
        <w:footnoteReference w:id="39"/>
      </w:r>
      <w:r>
        <w:rPr>
          <w:rFonts w:hAnsi="新細明體"/>
          <w:kern w:val="0"/>
        </w:rPr>
        <w:t>。在國家廣泛形塑國民的社會生活關係，卻同時</w:t>
      </w:r>
      <w:r>
        <w:rPr>
          <w:rFonts w:hAnsi="新細明體" w:hint="eastAsia"/>
          <w:kern w:val="0"/>
        </w:rPr>
        <w:t>應</w:t>
      </w:r>
      <w:proofErr w:type="gramStart"/>
      <w:r>
        <w:rPr>
          <w:rFonts w:hAnsi="新細明體"/>
          <w:kern w:val="0"/>
        </w:rPr>
        <w:t>儘</w:t>
      </w:r>
      <w:proofErr w:type="gramEnd"/>
      <w:r>
        <w:rPr>
          <w:rFonts w:hAnsi="新細明體"/>
          <w:kern w:val="0"/>
        </w:rPr>
        <w:t>可能維護人民自主決定</w:t>
      </w:r>
      <w:r>
        <w:rPr>
          <w:rFonts w:hAnsi="新細明體" w:hint="eastAsia"/>
          <w:kern w:val="0"/>
        </w:rPr>
        <w:t>的</w:t>
      </w:r>
      <w:r>
        <w:rPr>
          <w:rFonts w:hAnsi="新細明體"/>
          <w:kern w:val="0"/>
        </w:rPr>
        <w:t>權利時，國家與國民就由從屬、服從</w:t>
      </w:r>
      <w:r>
        <w:rPr>
          <w:rFonts w:hAnsi="新細明體" w:hint="eastAsia"/>
          <w:kern w:val="0"/>
        </w:rPr>
        <w:t>的關係</w:t>
      </w:r>
      <w:r>
        <w:rPr>
          <w:rFonts w:hAnsi="新細明體"/>
          <w:kern w:val="0"/>
        </w:rPr>
        <w:t>，轉向夥伴、合作</w:t>
      </w:r>
      <w:r>
        <w:rPr>
          <w:rFonts w:hAnsi="新細明體" w:hint="eastAsia"/>
          <w:kern w:val="0"/>
        </w:rPr>
        <w:t>的</w:t>
      </w:r>
      <w:r>
        <w:rPr>
          <w:rFonts w:hAnsi="新細明體"/>
          <w:kern w:val="0"/>
        </w:rPr>
        <w:t>關係；如是，夥伴關係中的支配性思想</w:t>
      </w:r>
      <w:proofErr w:type="gramStart"/>
      <w:r>
        <w:rPr>
          <w:kern w:val="0"/>
        </w:rPr>
        <w:t>―</w:t>
      </w:r>
      <w:proofErr w:type="gramEnd"/>
      <w:r>
        <w:rPr>
          <w:rFonts w:hAnsi="新細明體"/>
          <w:kern w:val="0"/>
        </w:rPr>
        <w:t>信賴與信賴保護，自應適用於此。</w:t>
      </w:r>
      <w:proofErr w:type="gramStart"/>
      <w:r>
        <w:rPr>
          <w:kern w:val="0"/>
        </w:rPr>
        <w:t>1950</w:t>
      </w:r>
      <w:proofErr w:type="gramEnd"/>
      <w:r>
        <w:rPr>
          <w:rFonts w:hAnsi="新細明體"/>
          <w:kern w:val="0"/>
        </w:rPr>
        <w:t>年代初期起，信賴保護思想開始在德國公法領域出現，並非偶然，蓋社會法治國正是自此時</w:t>
      </w:r>
      <w:r>
        <w:rPr>
          <w:rFonts w:hAnsi="新細明體" w:hint="eastAsia"/>
          <w:kern w:val="0"/>
        </w:rPr>
        <w:t>起</w:t>
      </w:r>
      <w:r>
        <w:rPr>
          <w:rFonts w:hAnsi="新細明體"/>
          <w:kern w:val="0"/>
        </w:rPr>
        <w:t>開始實現</w:t>
      </w:r>
      <w:r>
        <w:rPr>
          <w:kern w:val="0"/>
          <w:vertAlign w:val="superscript"/>
        </w:rPr>
        <w:footnoteReference w:id="40"/>
      </w:r>
      <w:r>
        <w:rPr>
          <w:rFonts w:hAnsi="新細明體"/>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kern w:val="0"/>
        </w:rPr>
        <w:t xml:space="preserve">    </w:t>
      </w:r>
      <w:r>
        <w:rPr>
          <w:rFonts w:hAnsi="新細明體"/>
          <w:kern w:val="0"/>
        </w:rPr>
        <w:t>依</w:t>
      </w:r>
      <w:r>
        <w:rPr>
          <w:kern w:val="0"/>
        </w:rPr>
        <w:t>Fr. Ossenbühl</w:t>
      </w:r>
      <w:r>
        <w:rPr>
          <w:rFonts w:hAnsi="新細明體"/>
          <w:kern w:val="0"/>
        </w:rPr>
        <w:t>之見，信賴保護原則的法理基礎首先是，</w:t>
      </w:r>
      <w:r>
        <w:rPr>
          <w:rFonts w:ascii="標楷體" w:eastAsia="標楷體" w:hAnsi="標楷體"/>
          <w:b/>
          <w:kern w:val="0"/>
        </w:rPr>
        <w:t>作為法治國原則之子原則的法安定性要求</w:t>
      </w:r>
      <w:r>
        <w:rPr>
          <w:rFonts w:hAnsi="新細明體"/>
          <w:kern w:val="0"/>
        </w:rPr>
        <w:t>。法安定性不僅要求法秩序的穩定，同時也要求其</w:t>
      </w:r>
      <w:r>
        <w:rPr>
          <w:rFonts w:hAnsi="新細明體" w:hint="eastAsia"/>
          <w:kern w:val="0"/>
        </w:rPr>
        <w:t>具有</w:t>
      </w:r>
      <w:r>
        <w:rPr>
          <w:rFonts w:hAnsi="新細明體"/>
          <w:kern w:val="0"/>
        </w:rPr>
        <w:t>可預測性、可預計性。如是，則其已隱含信賴保護原則的要求。除了法安定性，信賴保護原則另一法理上的支柱是：在公法領域亦被承認的</w:t>
      </w:r>
      <w:r>
        <w:rPr>
          <w:rFonts w:ascii="標楷體" w:eastAsia="標楷體" w:hAnsi="標楷體"/>
          <w:b/>
          <w:kern w:val="0"/>
        </w:rPr>
        <w:t>誠實</w:t>
      </w:r>
      <w:r>
        <w:rPr>
          <w:rFonts w:ascii="標楷體" w:eastAsia="標楷體" w:hAnsi="標楷體"/>
          <w:b/>
          <w:kern w:val="0"/>
        </w:rPr>
        <w:t>信用原則</w:t>
      </w:r>
      <w:r>
        <w:rPr>
          <w:rFonts w:hAnsi="新細明體"/>
          <w:kern w:val="0"/>
        </w:rPr>
        <w:t>。</w:t>
      </w:r>
      <w:r>
        <w:rPr>
          <w:rFonts w:hAnsi="新細明體" w:hint="eastAsia"/>
          <w:kern w:val="0"/>
        </w:rPr>
        <w:t>然而，必須留意，信賴保護原則的前述兩項支柱各自有其強調重點。誠實信用原則以某種人格性的連結關係為前提；相對於此，法安定性強調的是法秩序，乃至所有高權命令的可預測性與持續性，人格性連結關係並非考量重點</w:t>
      </w:r>
      <w:r>
        <w:rPr>
          <w:rFonts w:hAnsi="新細明體"/>
          <w:kern w:val="0"/>
          <w:vertAlign w:val="superscript"/>
        </w:rPr>
        <w:footnoteReference w:id="41"/>
      </w:r>
      <w:r>
        <w:rPr>
          <w:rFonts w:hAnsi="新細明體" w:hint="eastAsia"/>
          <w:kern w:val="0"/>
        </w:rPr>
        <w:t>。對此等推導論述，德國學理上存有歧見。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lastRenderedPageBreak/>
        <w:t xml:space="preserve">    Ernst Benda</w:t>
      </w:r>
      <w:r>
        <w:rPr>
          <w:rFonts w:hAnsi="新細明體" w:hint="eastAsia"/>
          <w:kern w:val="0"/>
        </w:rPr>
        <w:t>雖然支持</w:t>
      </w:r>
      <w:r>
        <w:rPr>
          <w:kern w:val="0"/>
        </w:rPr>
        <w:t>Fr. Ossenbühl</w:t>
      </w:r>
      <w:r>
        <w:rPr>
          <w:rFonts w:hint="eastAsia"/>
          <w:kern w:val="0"/>
        </w:rPr>
        <w:t>以誠實信用原則為信賴保護原則之法理基礎的見解，但對此推導關係的下述</w:t>
      </w:r>
      <w:proofErr w:type="gramStart"/>
      <w:r>
        <w:rPr>
          <w:rFonts w:hint="eastAsia"/>
          <w:kern w:val="0"/>
        </w:rPr>
        <w:t>說明殊嫌曖昧</w:t>
      </w:r>
      <w:proofErr w:type="gramEnd"/>
      <w:r>
        <w:rPr>
          <w:rFonts w:hint="eastAsia"/>
          <w:kern w:val="0"/>
        </w:rPr>
        <w:t>：「國民應得以信賴，對服從其法秩序的國民，國家不應以不正的方式相待」</w:t>
      </w:r>
      <w:r>
        <w:rPr>
          <w:kern w:val="0"/>
          <w:vertAlign w:val="superscript"/>
        </w:rPr>
        <w:footnoteReference w:id="42"/>
      </w:r>
      <w:r>
        <w:rPr>
          <w:rFonts w:hint="eastAsia"/>
          <w:kern w:val="0"/>
        </w:rPr>
        <w:t>。</w:t>
      </w:r>
      <w:r>
        <w:rPr>
          <w:rFonts w:hAnsi="新細明體" w:hint="eastAsia"/>
          <w:kern w:val="0"/>
        </w:rPr>
        <w:t>Eberhard Grabitz</w:t>
      </w:r>
      <w:r>
        <w:rPr>
          <w:rFonts w:hAnsi="新細明體" w:hint="eastAsia"/>
          <w:kern w:val="0"/>
        </w:rPr>
        <w:t>則有說服力地指</w:t>
      </w:r>
      <w:r>
        <w:rPr>
          <w:rFonts w:hAnsi="新細明體" w:hint="eastAsia"/>
          <w:kern w:val="0"/>
        </w:rPr>
        <w:t>出，</w:t>
      </w:r>
      <w:r>
        <w:rPr>
          <w:rFonts w:ascii="標楷體" w:eastAsia="標楷體" w:hAnsi="標楷體" w:hint="eastAsia"/>
          <w:b/>
          <w:kern w:val="0"/>
        </w:rPr>
        <w:t>誠實信用原則不宜作為信賴保護的論述基礎</w:t>
      </w:r>
      <w:r>
        <w:rPr>
          <w:rFonts w:hAnsi="新細明體" w:hint="eastAsia"/>
          <w:kern w:val="0"/>
        </w:rPr>
        <w:t>。蓋誠實信用原則一方面包含正直、忠誠之行為（</w:t>
      </w:r>
      <w:r>
        <w:rPr>
          <w:rFonts w:hAnsi="新細明體" w:hint="eastAsia"/>
          <w:kern w:val="0"/>
        </w:rPr>
        <w:t>redliches und loyales Verhalten</w:t>
      </w:r>
      <w:r>
        <w:rPr>
          <w:rFonts w:hAnsi="新細明體" w:hint="eastAsia"/>
          <w:kern w:val="0"/>
        </w:rPr>
        <w:t>）的要求，另一方面則具有衡平的功能（</w:t>
      </w:r>
      <w:r>
        <w:rPr>
          <w:rFonts w:hAnsi="新細明體" w:hint="eastAsia"/>
          <w:kern w:val="0"/>
        </w:rPr>
        <w:t>Billigkeitsfunktion</w:t>
      </w:r>
      <w:r>
        <w:rPr>
          <w:rFonts w:hAnsi="新細明體" w:hint="eastAsia"/>
          <w:kern w:val="0"/>
        </w:rPr>
        <w:t>）。然而，在行政法的領域，信賴保護涉及的不是對人的失望，毋寧是因公權力行為所導致之，對公權力機關之行動的預期以及，國民基於此一行動預期而採取的經濟性安排，其將因公權力行為的事後變更而被破壞或減損其價值；因此，信賴保護與前述忠誠行為要求的問題無涉。</w:t>
      </w:r>
      <w:proofErr w:type="gramStart"/>
      <w:r>
        <w:rPr>
          <w:rFonts w:hAnsi="新細明體" w:hint="eastAsia"/>
          <w:kern w:val="0"/>
        </w:rPr>
        <w:t>就衡平</w:t>
      </w:r>
      <w:proofErr w:type="gramEnd"/>
      <w:r>
        <w:rPr>
          <w:rFonts w:hAnsi="新細明體" w:hint="eastAsia"/>
          <w:kern w:val="0"/>
        </w:rPr>
        <w:t>的功能而論，假使信賴保護的主張植基於此</w:t>
      </w:r>
      <w:r>
        <w:rPr>
          <w:rFonts w:hAnsi="新細明體" w:hint="eastAsia"/>
          <w:kern w:val="0"/>
        </w:rPr>
        <w:t>，則僅在法秩序變更將導致嚴苛的情況，人民方得主張信賴保護；如是，多數企業性</w:t>
      </w:r>
      <w:proofErr w:type="gramStart"/>
      <w:r>
        <w:rPr>
          <w:rFonts w:hAnsi="新細明體" w:hint="eastAsia"/>
          <w:kern w:val="0"/>
        </w:rPr>
        <w:t>安排均將被</w:t>
      </w:r>
      <w:proofErr w:type="gramEnd"/>
      <w:r>
        <w:rPr>
          <w:rFonts w:hAnsi="新細明體" w:hint="eastAsia"/>
          <w:kern w:val="0"/>
        </w:rPr>
        <w:t>認定，其信賴不值得保護</w:t>
      </w:r>
      <w:r>
        <w:rPr>
          <w:rFonts w:hAnsi="新細明體"/>
          <w:kern w:val="0"/>
          <w:vertAlign w:val="superscript"/>
        </w:rPr>
        <w:footnoteReference w:id="43"/>
      </w:r>
      <w:r>
        <w:rPr>
          <w:rFonts w:hAnsi="新細明體" w:hint="eastAsia"/>
          <w:kern w:val="0"/>
        </w:rPr>
        <w:t>。</w:t>
      </w:r>
      <w:proofErr w:type="gramStart"/>
      <w:r>
        <w:rPr>
          <w:rFonts w:hAnsi="新細明體" w:hint="eastAsia"/>
          <w:kern w:val="0"/>
        </w:rPr>
        <w:t>此外，</w:t>
      </w:r>
      <w:proofErr w:type="gramEnd"/>
      <w:r>
        <w:rPr>
          <w:rFonts w:hAnsi="新細明體" w:hint="eastAsia"/>
          <w:kern w:val="0"/>
        </w:rPr>
        <w:t>即使瑞士的憲法、行政法的文獻與司法裁判根本不出現「信賴保護」的字眼，毋寧都代之以「誠實信用」，</w:t>
      </w:r>
      <w:r>
        <w:rPr>
          <w:rFonts w:hAnsi="新細明體" w:hint="eastAsia"/>
          <w:kern w:val="0"/>
        </w:rPr>
        <w:t>H. Huber</w:t>
      </w:r>
      <w:r>
        <w:rPr>
          <w:rFonts w:hAnsi="新細明體" w:hint="eastAsia"/>
          <w:kern w:val="0"/>
        </w:rPr>
        <w:t>仍主張，</w:t>
      </w:r>
      <w:r>
        <w:rPr>
          <w:rFonts w:ascii="標楷體" w:eastAsia="標楷體" w:hAnsi="標楷體" w:hint="eastAsia"/>
          <w:b/>
          <w:kern w:val="0"/>
        </w:rPr>
        <w:t>誠實信用原則不足以說明信賴保護的相關案件事實，獨立的信賴保護思想在公法領域仍有必要</w:t>
      </w:r>
      <w:r>
        <w:rPr>
          <w:rFonts w:hAnsi="新細明體" w:hint="eastAsia"/>
          <w:kern w:val="0"/>
        </w:rPr>
        <w:t>：「民法採納的誠實信用原則是一種在人際關係裡，對人的行為之倫理性命令（</w:t>
      </w:r>
      <w:r>
        <w:rPr>
          <w:rFonts w:hAnsi="新細明體" w:hint="eastAsia"/>
          <w:kern w:val="0"/>
        </w:rPr>
        <w:t>ein sittliches Gebot</w:t>
      </w:r>
      <w:r>
        <w:rPr>
          <w:rFonts w:hAnsi="新細明體" w:hint="eastAsia"/>
          <w:kern w:val="0"/>
        </w:rPr>
        <w:t>），相對於此，信賴保護是行政機關處理各個個案、各種案件類型時應遵守的決定準則。在援用誠</w:t>
      </w:r>
      <w:r>
        <w:rPr>
          <w:rFonts w:hAnsi="新細明體" w:hint="eastAsia"/>
          <w:kern w:val="0"/>
        </w:rPr>
        <w:t>實信用原則到公法領域時，或許對此一差別不無忽略。</w:t>
      </w:r>
      <w:proofErr w:type="gramStart"/>
      <w:r>
        <w:rPr>
          <w:rFonts w:hAnsi="新細明體" w:hint="eastAsia"/>
          <w:kern w:val="0"/>
        </w:rPr>
        <w:t>此外，</w:t>
      </w:r>
      <w:proofErr w:type="gramEnd"/>
      <w:r>
        <w:rPr>
          <w:rFonts w:hAnsi="新細明體" w:hint="eastAsia"/>
          <w:kern w:val="0"/>
        </w:rPr>
        <w:t>當信賴未受保障而發生不守誠信的質疑時，被質疑的比較是在行政機關裡活動的人，而不是行政機關本身。最後，很多信賴未受保護的案件類型根本不觸及誠實信用的問題」</w:t>
      </w:r>
      <w:r>
        <w:rPr>
          <w:rFonts w:hAnsi="新細明體"/>
          <w:kern w:val="0"/>
          <w:vertAlign w:val="superscript"/>
        </w:rPr>
        <w:footnoteReference w:id="44"/>
      </w:r>
      <w:r>
        <w:rPr>
          <w:rFonts w:hAnsi="新細明體" w:hint="eastAsia"/>
          <w:kern w:val="0"/>
        </w:rPr>
        <w:t>。</w:t>
      </w:r>
      <w:r>
        <w:rPr>
          <w:rFonts w:hAnsi="新細明體" w:hint="eastAsia"/>
          <w:kern w:val="0"/>
        </w:rPr>
        <w:t>G</w:t>
      </w:r>
      <w:r>
        <w:rPr>
          <w:kern w:val="0"/>
        </w:rPr>
        <w:t>ü</w:t>
      </w:r>
      <w:r>
        <w:rPr>
          <w:rFonts w:hAnsi="新細明體" w:hint="eastAsia"/>
          <w:kern w:val="0"/>
        </w:rPr>
        <w:t>nther P</w:t>
      </w:r>
      <w:r>
        <w:rPr>
          <w:kern w:val="0"/>
        </w:rPr>
        <w:t>ü</w:t>
      </w:r>
      <w:r>
        <w:rPr>
          <w:rFonts w:hAnsi="新細明體" w:hint="eastAsia"/>
          <w:kern w:val="0"/>
        </w:rPr>
        <w:t>ttner</w:t>
      </w:r>
      <w:r>
        <w:rPr>
          <w:rFonts w:hAnsi="新細明體" w:hint="eastAsia"/>
          <w:kern w:val="0"/>
        </w:rPr>
        <w:t>甚至認為，此種推導的嘗試不過是一種文字遊戲</w:t>
      </w:r>
      <w:r>
        <w:rPr>
          <w:rFonts w:hAnsi="新細明體"/>
          <w:kern w:val="0"/>
          <w:vertAlign w:val="superscript"/>
        </w:rPr>
        <w:footnoteReference w:id="45"/>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lastRenderedPageBreak/>
        <w:t xml:space="preserve">    G</w:t>
      </w:r>
      <w:r>
        <w:rPr>
          <w:rFonts w:hint="eastAsia"/>
          <w:kern w:val="0"/>
        </w:rPr>
        <w:t xml:space="preserve">. </w:t>
      </w:r>
      <w:r>
        <w:rPr>
          <w:rFonts w:hAnsi="新細明體" w:hint="eastAsia"/>
          <w:kern w:val="0"/>
        </w:rPr>
        <w:t>P</w:t>
      </w:r>
      <w:r>
        <w:rPr>
          <w:kern w:val="0"/>
        </w:rPr>
        <w:t>ü</w:t>
      </w:r>
      <w:r>
        <w:rPr>
          <w:rFonts w:hAnsi="新細明體" w:hint="eastAsia"/>
          <w:kern w:val="0"/>
        </w:rPr>
        <w:t>ttner</w:t>
      </w:r>
      <w:r>
        <w:rPr>
          <w:rFonts w:hAnsi="新細明體" w:hint="eastAsia"/>
          <w:kern w:val="0"/>
        </w:rPr>
        <w:t>也</w:t>
      </w:r>
      <w:r>
        <w:rPr>
          <w:rFonts w:ascii="標楷體" w:eastAsia="標楷體" w:hAnsi="標楷體" w:hint="eastAsia"/>
          <w:b/>
          <w:kern w:val="0"/>
        </w:rPr>
        <w:t>質疑，法治國原則或法安定性能否作為信賴保護原則的法理基礎</w:t>
      </w:r>
      <w:r>
        <w:rPr>
          <w:rFonts w:hAnsi="新細明體"/>
          <w:kern w:val="0"/>
          <w:vertAlign w:val="superscript"/>
        </w:rPr>
        <w:footnoteReference w:id="46"/>
      </w:r>
      <w:r>
        <w:rPr>
          <w:rFonts w:hAnsi="新細明體" w:hint="eastAsia"/>
          <w:kern w:val="0"/>
        </w:rPr>
        <w:t>。他認為，法治國原則根本就是一個魔術箱，由此可以召喚出所有可能的法律原則與請求權。以撤銷</w:t>
      </w:r>
      <w:proofErr w:type="gramStart"/>
      <w:r>
        <w:rPr>
          <w:rFonts w:hAnsi="新細明體" w:hint="eastAsia"/>
          <w:kern w:val="0"/>
        </w:rPr>
        <w:t>授益性行政處分</w:t>
      </w:r>
      <w:proofErr w:type="gramEnd"/>
      <w:r>
        <w:rPr>
          <w:rFonts w:hAnsi="新細明體" w:hint="eastAsia"/>
          <w:kern w:val="0"/>
        </w:rPr>
        <w:t>為例，法治國原則一方面可以透過依</w:t>
      </w:r>
      <w:r>
        <w:rPr>
          <w:rFonts w:hAnsi="新細明體" w:hint="eastAsia"/>
          <w:kern w:val="0"/>
        </w:rPr>
        <w:t>法律行政原則要求撤銷此違法行政處分，另一方面又可依法安定性原則要求維持已經作成的決定</w:t>
      </w:r>
      <w:r>
        <w:rPr>
          <w:rFonts w:hAnsi="新細明體"/>
          <w:kern w:val="0"/>
          <w:vertAlign w:val="superscript"/>
        </w:rPr>
        <w:footnoteReference w:id="47"/>
      </w:r>
      <w:r>
        <w:rPr>
          <w:rFonts w:hAnsi="新細明體" w:hint="eastAsia"/>
          <w:kern w:val="0"/>
        </w:rPr>
        <w:t>。其因此認定，無法從法治國原則推導出信賴保護原則，最多只能說，法治國原則也要求應考量信賴保護思想。</w:t>
      </w:r>
      <w:proofErr w:type="gramStart"/>
      <w:r>
        <w:rPr>
          <w:rFonts w:hAnsi="新細明體" w:hint="eastAsia"/>
          <w:kern w:val="0"/>
        </w:rPr>
        <w:t>此外，</w:t>
      </w:r>
      <w:proofErr w:type="gramEnd"/>
      <w:r>
        <w:rPr>
          <w:rFonts w:hAnsi="新細明體" w:hint="eastAsia"/>
          <w:kern w:val="0"/>
        </w:rPr>
        <w:t>維持已作成之決定固然有助於維護法安定性；然而，只有當其獲得無條件的維持時，才有助於法安定性。假使藉助信賴保護的論據只能要求權衡公益與私人的信賴利益，則信賴保護的論據無助於法安定性，反而將導致高度的，法秩序的不安</w:t>
      </w:r>
      <w:proofErr w:type="gramStart"/>
      <w:r>
        <w:rPr>
          <w:rFonts w:hAnsi="新細明體" w:hint="eastAsia"/>
          <w:kern w:val="0"/>
        </w:rPr>
        <w:t>定</w:t>
      </w:r>
      <w:proofErr w:type="gramEnd"/>
      <w:r>
        <w:rPr>
          <w:rFonts w:hAnsi="新細明體"/>
          <w:kern w:val="0"/>
          <w:vertAlign w:val="superscript"/>
        </w:rPr>
        <w:footnoteReference w:id="48"/>
      </w:r>
      <w:r>
        <w:rPr>
          <w:rFonts w:hAnsi="新細明體" w:hint="eastAsia"/>
          <w:kern w:val="0"/>
        </w:rPr>
        <w:t>。然而，</w:t>
      </w:r>
      <w:r>
        <w:rPr>
          <w:rFonts w:hAnsi="新細明體" w:hint="eastAsia"/>
          <w:kern w:val="0"/>
        </w:rPr>
        <w:t>G</w:t>
      </w:r>
      <w:r>
        <w:rPr>
          <w:rFonts w:hint="eastAsia"/>
          <w:kern w:val="0"/>
        </w:rPr>
        <w:t>.</w:t>
      </w:r>
      <w:r>
        <w:rPr>
          <w:rFonts w:hAnsi="新細明體" w:hint="eastAsia"/>
          <w:kern w:val="0"/>
        </w:rPr>
        <w:t xml:space="preserve"> P</w:t>
      </w:r>
      <w:r>
        <w:rPr>
          <w:kern w:val="0"/>
        </w:rPr>
        <w:t>ü</w:t>
      </w:r>
      <w:r>
        <w:rPr>
          <w:rFonts w:hAnsi="新細明體" w:hint="eastAsia"/>
          <w:kern w:val="0"/>
        </w:rPr>
        <w:t>ttner</w:t>
      </w:r>
      <w:r>
        <w:rPr>
          <w:rFonts w:hAnsi="新細明體" w:hint="eastAsia"/>
          <w:kern w:val="0"/>
        </w:rPr>
        <w:t>前述的質疑並不可</w:t>
      </w:r>
      <w:proofErr w:type="gramStart"/>
      <w:r>
        <w:rPr>
          <w:rFonts w:hAnsi="新細明體" w:hint="eastAsia"/>
          <w:kern w:val="0"/>
        </w:rPr>
        <w:t>採</w:t>
      </w:r>
      <w:proofErr w:type="gramEnd"/>
      <w:r>
        <w:rPr>
          <w:rFonts w:hAnsi="新細明體" w:hint="eastAsia"/>
          <w:kern w:val="0"/>
        </w:rPr>
        <w:t>。</w:t>
      </w:r>
      <w:r>
        <w:rPr>
          <w:rFonts w:hAnsi="新細明體" w:hint="eastAsia"/>
          <w:kern w:val="0"/>
        </w:rPr>
        <w:t>Volkmar G</w:t>
      </w:r>
      <w:r>
        <w:rPr>
          <w:kern w:val="0"/>
        </w:rPr>
        <w:t>ö</w:t>
      </w:r>
      <w:r>
        <w:rPr>
          <w:rFonts w:hAnsi="新細明體" w:hint="eastAsia"/>
          <w:kern w:val="0"/>
        </w:rPr>
        <w:t>tz</w:t>
      </w:r>
      <w:r>
        <w:rPr>
          <w:rFonts w:hAnsi="新細明體" w:hint="eastAsia"/>
          <w:kern w:val="0"/>
        </w:rPr>
        <w:t>正確地指出，</w:t>
      </w:r>
      <w:r>
        <w:rPr>
          <w:rFonts w:ascii="標楷體" w:eastAsia="標楷體" w:hAnsi="標楷體" w:hint="eastAsia"/>
          <w:b/>
          <w:kern w:val="0"/>
        </w:rPr>
        <w:t>對正當之信賴的考量是原則</w:t>
      </w:r>
      <w:r>
        <w:rPr>
          <w:rFonts w:hAnsi="新細明體" w:hint="eastAsia"/>
          <w:kern w:val="0"/>
        </w:rPr>
        <w:t>（</w:t>
      </w:r>
      <w:r>
        <w:rPr>
          <w:rFonts w:hAnsi="新細明體" w:hint="eastAsia"/>
          <w:kern w:val="0"/>
        </w:rPr>
        <w:t>Grundsatz</w:t>
      </w:r>
      <w:r>
        <w:rPr>
          <w:rFonts w:hAnsi="新細明體" w:hint="eastAsia"/>
          <w:kern w:val="0"/>
        </w:rPr>
        <w:t>），</w:t>
      </w:r>
      <w:r>
        <w:rPr>
          <w:rFonts w:ascii="標楷體" w:eastAsia="標楷體" w:hAnsi="標楷體" w:hint="eastAsia"/>
          <w:b/>
          <w:kern w:val="0"/>
        </w:rPr>
        <w:t>而非規範</w:t>
      </w:r>
      <w:r>
        <w:rPr>
          <w:rFonts w:hAnsi="新細明體" w:hint="eastAsia"/>
          <w:kern w:val="0"/>
        </w:rPr>
        <w:t>（</w:t>
      </w:r>
      <w:r>
        <w:rPr>
          <w:rFonts w:hAnsi="新細明體" w:hint="eastAsia"/>
          <w:kern w:val="0"/>
        </w:rPr>
        <w:t>Norm</w:t>
      </w:r>
      <w:r>
        <w:rPr>
          <w:rFonts w:hAnsi="新細明體" w:hint="eastAsia"/>
          <w:kern w:val="0"/>
        </w:rPr>
        <w:t>）</w:t>
      </w:r>
      <w:r>
        <w:rPr>
          <w:rFonts w:hAnsi="新細明體"/>
          <w:kern w:val="0"/>
          <w:vertAlign w:val="superscript"/>
        </w:rPr>
        <w:footnoteReference w:id="49"/>
      </w:r>
      <w:r>
        <w:rPr>
          <w:rFonts w:hAnsi="新細明體" w:hint="eastAsia"/>
          <w:kern w:val="0"/>
        </w:rPr>
        <w:t>。如何衡量人民對於立法、行政決定與司法裁判的信賴是否值得保護，應以何種方式考量此等信賴，必須兼顧信賴保護的思想與法律規定的相關觀點</w:t>
      </w:r>
      <w:r>
        <w:rPr>
          <w:rFonts w:hAnsi="新細明體"/>
          <w:kern w:val="0"/>
          <w:vertAlign w:val="superscript"/>
        </w:rPr>
        <w:footnoteReference w:id="50"/>
      </w:r>
      <w:r>
        <w:rPr>
          <w:rFonts w:hAnsi="新細明體" w:hint="eastAsia"/>
          <w:kern w:val="0"/>
        </w:rPr>
        <w:t>。因此，只須法治國原則確實要求應考量信賴保護思想，法安定性原則確實要求應維持已作成的決定，即使其不免與其他法律原則發生衝突，必須相互權衡，以決定具體情境裡信賴保護原則實現的程度或方式，</w:t>
      </w:r>
      <w:proofErr w:type="gramStart"/>
      <w:r>
        <w:rPr>
          <w:rFonts w:hAnsi="新細明體" w:hint="eastAsia"/>
          <w:kern w:val="0"/>
        </w:rPr>
        <w:t>均不妨礙</w:t>
      </w:r>
      <w:proofErr w:type="gramEnd"/>
      <w:r>
        <w:rPr>
          <w:rFonts w:hAnsi="新細明體" w:hint="eastAsia"/>
          <w:kern w:val="0"/>
        </w:rPr>
        <w:t>，法治國原則、法安定性原則之作為信賴保護原則的憲法基礎。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t>由此而論，聯邦憲法法院</w:t>
      </w:r>
      <w:r>
        <w:rPr>
          <w:rFonts w:hAnsi="新細明體" w:hint="eastAsia"/>
          <w:kern w:val="0"/>
        </w:rPr>
        <w:t>1961</w:t>
      </w:r>
      <w:r>
        <w:rPr>
          <w:rFonts w:hAnsi="新細明體" w:hint="eastAsia"/>
          <w:kern w:val="0"/>
        </w:rPr>
        <w:t>年</w:t>
      </w:r>
      <w:r>
        <w:rPr>
          <w:rFonts w:hAnsi="新細明體" w:hint="eastAsia"/>
          <w:kern w:val="0"/>
        </w:rPr>
        <w:t>12</w:t>
      </w:r>
      <w:r>
        <w:rPr>
          <w:rFonts w:hAnsi="新細明體" w:hint="eastAsia"/>
          <w:kern w:val="0"/>
        </w:rPr>
        <w:t>月</w:t>
      </w:r>
      <w:r>
        <w:rPr>
          <w:rFonts w:hAnsi="新細明體" w:hint="eastAsia"/>
          <w:kern w:val="0"/>
        </w:rPr>
        <w:t>19</w:t>
      </w:r>
      <w:r>
        <w:rPr>
          <w:rFonts w:hAnsi="新細明體" w:hint="eastAsia"/>
          <w:kern w:val="0"/>
        </w:rPr>
        <w:t>日的裁判僅</w:t>
      </w:r>
      <w:r>
        <w:rPr>
          <w:rFonts w:ascii="標楷體" w:eastAsia="標楷體" w:hAnsi="標楷體" w:hint="eastAsia"/>
          <w:b/>
          <w:kern w:val="0"/>
        </w:rPr>
        <w:t>由</w:t>
      </w:r>
      <w:r>
        <w:rPr>
          <w:rFonts w:hAnsi="新細明體" w:hint="eastAsia"/>
          <w:kern w:val="0"/>
        </w:rPr>
        <w:t>（作為法治國原則之子原則的）</w:t>
      </w:r>
      <w:r>
        <w:rPr>
          <w:rFonts w:ascii="標楷體" w:eastAsia="標楷體" w:hAnsi="標楷體" w:hint="eastAsia"/>
          <w:b/>
          <w:kern w:val="0"/>
        </w:rPr>
        <w:t>法安定性推導出信賴保護的要求</w:t>
      </w:r>
      <w:r>
        <w:rPr>
          <w:rFonts w:ascii="新細明體" w:hAnsi="新細明體" w:hint="eastAsia"/>
          <w:kern w:val="0"/>
        </w:rPr>
        <w:t>，其作法不僅簡潔，論述上亦更為</w:t>
      </w:r>
      <w:r>
        <w:rPr>
          <w:rFonts w:ascii="新細明體" w:hAnsi="新細明體" w:hint="eastAsia"/>
          <w:kern w:val="0"/>
        </w:rPr>
        <w:lastRenderedPageBreak/>
        <w:t>穩妥</w:t>
      </w:r>
      <w:r>
        <w:rPr>
          <w:rFonts w:hAnsi="新細明體" w:hint="eastAsia"/>
          <w:kern w:val="0"/>
        </w:rPr>
        <w:t>：「法安定性屬於法治國原則的根本要素。</w:t>
      </w:r>
      <w:r>
        <w:rPr>
          <w:rFonts w:hAnsi="新細明體"/>
          <w:kern w:val="0"/>
        </w:rPr>
        <w:t>…</w:t>
      </w:r>
      <w:proofErr w:type="gramStart"/>
      <w:r>
        <w:rPr>
          <w:rFonts w:hAnsi="新細明體"/>
          <w:kern w:val="0"/>
        </w:rPr>
        <w:t>…</w:t>
      </w:r>
      <w:proofErr w:type="gramEnd"/>
      <w:r>
        <w:rPr>
          <w:rFonts w:hAnsi="新細明體" w:hint="eastAsia"/>
          <w:kern w:val="0"/>
        </w:rPr>
        <w:t>國民應能預見國家可能對他採取的侵害，能據此作相應的安排；他應能信賴，其符合現行法的行為以及，原本與之相連結的法律效果，可以繼續被承認。</w:t>
      </w:r>
      <w:r>
        <w:rPr>
          <w:rFonts w:hAnsi="新細明體"/>
          <w:kern w:val="0"/>
        </w:rPr>
        <w:t>…</w:t>
      </w:r>
      <w:proofErr w:type="gramStart"/>
      <w:r>
        <w:rPr>
          <w:rFonts w:hAnsi="新細明體"/>
          <w:kern w:val="0"/>
        </w:rPr>
        <w:t>…</w:t>
      </w:r>
      <w:proofErr w:type="gramEnd"/>
      <w:r>
        <w:rPr>
          <w:rFonts w:hAnsi="新細明體" w:hint="eastAsia"/>
          <w:kern w:val="0"/>
        </w:rPr>
        <w:t>對於國民而言，法安定性首先意味著信賴保護」</w:t>
      </w:r>
      <w:r>
        <w:rPr>
          <w:rFonts w:hAnsi="新細明體"/>
          <w:kern w:val="0"/>
          <w:vertAlign w:val="superscript"/>
        </w:rPr>
        <w:footnoteReference w:id="51"/>
      </w:r>
      <w:r>
        <w:rPr>
          <w:rFonts w:hAnsi="新細明體" w:hint="eastAsia"/>
          <w:kern w:val="0"/>
        </w:rPr>
        <w:t>。</w:t>
      </w:r>
      <w:r>
        <w:rPr>
          <w:rFonts w:hAnsi="新細明體" w:hint="eastAsia"/>
          <w:kern w:val="0"/>
        </w:rPr>
        <w:t>Philip Kunig</w:t>
      </w:r>
      <w:r>
        <w:rPr>
          <w:rFonts w:hAnsi="新細明體" w:hint="eastAsia"/>
          <w:kern w:val="0"/>
        </w:rPr>
        <w:t>顯然亦將信賴保護原則植基於法安定性之上。其認定，法安定性要求各該時點的法律狀態應該清楚明白；這就顯示出一種時間的角度：唯有可信賴此一法律狀態的續存，法秩序才算「安定」</w:t>
      </w:r>
      <w:r>
        <w:rPr>
          <w:rFonts w:hAnsi="新細明體"/>
          <w:kern w:val="0"/>
          <w:vertAlign w:val="superscript"/>
        </w:rPr>
        <w:footnoteReference w:id="52"/>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hAnsi="新細明體" w:hint="eastAsia"/>
          <w:kern w:val="0"/>
        </w:rPr>
        <w:t xml:space="preserve">    </w:t>
      </w:r>
      <w:proofErr w:type="gramStart"/>
      <w:r>
        <w:rPr>
          <w:rFonts w:hAnsi="新細明體" w:hint="eastAsia"/>
          <w:kern w:val="0"/>
        </w:rPr>
        <w:t>釐</w:t>
      </w:r>
      <w:proofErr w:type="gramEnd"/>
      <w:r>
        <w:rPr>
          <w:rFonts w:hAnsi="新細明體" w:hint="eastAsia"/>
          <w:kern w:val="0"/>
        </w:rPr>
        <w:t>清信賴保護原則的</w:t>
      </w:r>
      <w:r>
        <w:rPr>
          <w:rFonts w:hAnsi="新細明體" w:hint="eastAsia"/>
          <w:kern w:val="0"/>
        </w:rPr>
        <w:t>憲法基礎之後，應進一步探討，此一般抽象的原則如何在不同的法律領域裡被具體化，而取得比較</w:t>
      </w:r>
      <w:proofErr w:type="gramStart"/>
      <w:r>
        <w:rPr>
          <w:rFonts w:hAnsi="新細明體" w:hint="eastAsia"/>
          <w:kern w:val="0"/>
        </w:rPr>
        <w:t>清楚的</w:t>
      </w:r>
      <w:proofErr w:type="gramEnd"/>
      <w:r>
        <w:rPr>
          <w:rFonts w:hAnsi="新細明體" w:hint="eastAsia"/>
          <w:kern w:val="0"/>
        </w:rPr>
        <w:t>輪廓。</w:t>
      </w:r>
      <w:r>
        <w:rPr>
          <w:rFonts w:hAnsi="新細明體" w:hint="eastAsia"/>
          <w:kern w:val="0"/>
        </w:rPr>
        <w:t>Hartmut Maurer</w:t>
      </w:r>
      <w:r>
        <w:rPr>
          <w:rFonts w:hAnsi="新細明體" w:hint="eastAsia"/>
          <w:kern w:val="0"/>
        </w:rPr>
        <w:t>指出，德國在二次大戰之後，主要是行政法院，尤其是聯邦行政法院為了限制違法</w:t>
      </w:r>
      <w:proofErr w:type="gramStart"/>
      <w:r>
        <w:rPr>
          <w:rFonts w:hAnsi="新細明體" w:hint="eastAsia"/>
          <w:kern w:val="0"/>
        </w:rPr>
        <w:t>授益性行政處分</w:t>
      </w:r>
      <w:proofErr w:type="gramEnd"/>
      <w:r>
        <w:rPr>
          <w:rFonts w:hAnsi="新細明體" w:hint="eastAsia"/>
          <w:kern w:val="0"/>
        </w:rPr>
        <w:t>的撤銷，開始在</w:t>
      </w:r>
      <w:proofErr w:type="gramStart"/>
      <w:r>
        <w:rPr>
          <w:rFonts w:hAnsi="新細明體" w:hint="eastAsia"/>
          <w:kern w:val="0"/>
        </w:rPr>
        <w:t>1950</w:t>
      </w:r>
      <w:proofErr w:type="gramEnd"/>
      <w:r>
        <w:rPr>
          <w:rFonts w:hAnsi="新細明體" w:hint="eastAsia"/>
          <w:kern w:val="0"/>
        </w:rPr>
        <w:t>年代建構信賴保護原則，並由此發展出新的撤銷理論。接著是聯邦憲法法院為了限制法律的溯及效果，乃至在更大的範圍上限制立法權，而開始運用信賴保護原則。</w:t>
      </w:r>
      <w:proofErr w:type="gramStart"/>
      <w:r>
        <w:rPr>
          <w:rFonts w:hAnsi="新細明體" w:hint="eastAsia"/>
          <w:kern w:val="0"/>
        </w:rPr>
        <w:t>此外，</w:t>
      </w:r>
      <w:proofErr w:type="gramEnd"/>
      <w:r>
        <w:rPr>
          <w:rFonts w:hAnsi="新細明體" w:hint="eastAsia"/>
          <w:kern w:val="0"/>
        </w:rPr>
        <w:t>信賴保護的討論也出現在</w:t>
      </w:r>
      <w:proofErr w:type="gramStart"/>
      <w:r>
        <w:rPr>
          <w:rFonts w:hAnsi="新細明體" w:hint="eastAsia"/>
          <w:kern w:val="0"/>
        </w:rPr>
        <w:t>授益性行政處分</w:t>
      </w:r>
      <w:proofErr w:type="gramEnd"/>
      <w:r>
        <w:rPr>
          <w:rFonts w:hAnsi="新細明體" w:hint="eastAsia"/>
          <w:kern w:val="0"/>
        </w:rPr>
        <w:t>的廢止、機關的陳述與其提供之訊息的拘束性、違法行政契約的效力與行政規則的外部效力等議題裡</w:t>
      </w:r>
      <w:r>
        <w:rPr>
          <w:rFonts w:hAnsi="新細明體"/>
          <w:kern w:val="0"/>
          <w:vertAlign w:val="superscript"/>
        </w:rPr>
        <w:footnoteReference w:id="53"/>
      </w:r>
      <w:r>
        <w:rPr>
          <w:rFonts w:hAnsi="新細明體" w:hint="eastAsia"/>
          <w:kern w:val="0"/>
        </w:rPr>
        <w:t>。</w:t>
      </w:r>
      <w:r>
        <w:rPr>
          <w:rFonts w:hAnsi="新細明體" w:hint="eastAsia"/>
          <w:kern w:val="0"/>
        </w:rPr>
        <w:t>下文不擬依發展的時間順序介紹信賴保護原則在德國落實的情況，毋寧將觀察其於不同信賴基礎中的運用情形。蓋誠如</w:t>
      </w:r>
      <w:r>
        <w:rPr>
          <w:kern w:val="0"/>
        </w:rPr>
        <w:t>Fr. Ossenbühl</w:t>
      </w:r>
      <w:r>
        <w:rPr>
          <w:rFonts w:hint="eastAsia"/>
          <w:kern w:val="0"/>
        </w:rPr>
        <w:t>所指出的，作為法律制度的信賴保護會以不同的樣貌出現，其法律後果亦不一致。明確地說，因其係對立法權制定的法規範，或係對行政權所為之行政處分、行政規則、行政計畫，乃至是對司法裁判主張信賴保護，其表現方式與論述形式，亦截然有別</w:t>
      </w:r>
      <w:r>
        <w:rPr>
          <w:kern w:val="0"/>
          <w:vertAlign w:val="superscript"/>
        </w:rPr>
        <w:footnoteReference w:id="54"/>
      </w:r>
      <w:r>
        <w:rPr>
          <w:rFonts w:hint="eastAsia"/>
          <w:kern w:val="0"/>
        </w:rPr>
        <w:t>。這基本上是德國公法學界的普遍見解與作法</w:t>
      </w:r>
      <w:r>
        <w:rPr>
          <w:kern w:val="0"/>
          <w:vertAlign w:val="superscript"/>
        </w:rPr>
        <w:footnoteReference w:id="55"/>
      </w:r>
      <w:r>
        <w:rPr>
          <w:rFonts w:hint="eastAsia"/>
          <w:kern w:val="0"/>
        </w:rPr>
        <w:t>。</w:t>
      </w:r>
      <w:r>
        <w:rPr>
          <w:rFonts w:hint="eastAsia"/>
          <w:kern w:val="0"/>
        </w:rPr>
        <w:t>E. Grabitz</w:t>
      </w:r>
      <w:r>
        <w:rPr>
          <w:rFonts w:hint="eastAsia"/>
          <w:kern w:val="0"/>
        </w:rPr>
        <w:t>即使認定，無論人民所信賴的是法律或行政處分的存續，其核心問題都在於，基此信賴所作的安排應否受到保</w:t>
      </w:r>
      <w:r>
        <w:rPr>
          <w:rFonts w:hint="eastAsia"/>
          <w:kern w:val="0"/>
        </w:rPr>
        <w:t>護。但其亦明白指出，考量到法律必須一般化，在探求因法律溯及而發生的信賴損害時，並不取決於哪個個人或多少人基</w:t>
      </w:r>
      <w:r>
        <w:rPr>
          <w:rFonts w:hint="eastAsia"/>
          <w:kern w:val="0"/>
        </w:rPr>
        <w:lastRenderedPageBreak/>
        <w:t>於對法律狀態的信賴作了安排，毋寧應取向於，法律規定通常會導致的後果</w:t>
      </w:r>
      <w:r>
        <w:rPr>
          <w:kern w:val="0"/>
          <w:vertAlign w:val="superscript"/>
        </w:rPr>
        <w:footnoteReference w:id="56"/>
      </w:r>
      <w:r>
        <w:rPr>
          <w:rFonts w:hint="eastAsia"/>
          <w:kern w:val="0"/>
        </w:rPr>
        <w:t>。最後，考量到本研究計畫的議題是「信賴保護原則在公務人員保障事件的適用」，與此相關連的信賴基礎主要是法規範與行政處分。因此，下文將分別依信賴基礎是法規範或行政處分，分別論述人民主張信賴保護應具備之要件與其相關法律效果。</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kern w:val="0"/>
        </w:rPr>
      </w:pPr>
      <w:r>
        <w:rPr>
          <w:rFonts w:ascii="標楷體" w:eastAsia="標楷體" w:hAnsi="標楷體" w:hint="eastAsia"/>
          <w:b/>
          <w:kern w:val="0"/>
        </w:rPr>
        <w:t>二、以法規範為信賴基礎之信賴保護的探討</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r>
        <w:rPr>
          <w:rFonts w:ascii="新細明體" w:hAnsi="新細明體" w:hint="eastAsia"/>
          <w:kern w:val="0"/>
        </w:rPr>
        <w:t>（一）以行政規則作為信賴基礎的情形</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在以法規範為信賴基礎的探討脈</w:t>
      </w:r>
      <w:r>
        <w:rPr>
          <w:rFonts w:hAnsi="新細明體" w:hint="eastAsia"/>
          <w:kern w:val="0"/>
        </w:rPr>
        <w:t>絡裡，必須一開始就指出的是：我國司法院大法官的解釋視</w:t>
      </w:r>
      <w:r>
        <w:rPr>
          <w:rFonts w:ascii="標楷體" w:eastAsia="標楷體" w:hAnsi="標楷體" w:hint="eastAsia"/>
          <w:b/>
          <w:kern w:val="0"/>
        </w:rPr>
        <w:t>行政規則的變更為法規範變更的案例類型</w:t>
      </w:r>
      <w:r>
        <w:rPr>
          <w:rFonts w:hAnsi="新細明體" w:hint="eastAsia"/>
          <w:kern w:val="0"/>
        </w:rPr>
        <w:t>來處理</w:t>
      </w:r>
      <w:r>
        <w:rPr>
          <w:rFonts w:hAnsi="新細明體"/>
          <w:kern w:val="0"/>
          <w:vertAlign w:val="superscript"/>
        </w:rPr>
        <w:footnoteReference w:id="57"/>
      </w:r>
      <w:r>
        <w:rPr>
          <w:rFonts w:hAnsi="新細明體" w:hint="eastAsia"/>
          <w:kern w:val="0"/>
        </w:rPr>
        <w:t>，德國法學界的作法與此截然有別。在後者，行政規則屬於行政行為的一種類型。行政規則向來被認定，其效力範圍僅及於行政</w:t>
      </w:r>
      <w:proofErr w:type="gramStart"/>
      <w:r>
        <w:rPr>
          <w:rFonts w:hAnsi="新細明體" w:hint="eastAsia"/>
          <w:kern w:val="0"/>
        </w:rPr>
        <w:t>內部，</w:t>
      </w:r>
      <w:proofErr w:type="gramEnd"/>
      <w:r>
        <w:rPr>
          <w:rFonts w:hAnsi="新細明體" w:hint="eastAsia"/>
          <w:kern w:val="0"/>
        </w:rPr>
        <w:t>僅拘束下級機關與所屬公務員，對人民並不發生直接的效果</w:t>
      </w:r>
      <w:r>
        <w:rPr>
          <w:rFonts w:hAnsi="新細明體"/>
          <w:kern w:val="0"/>
          <w:vertAlign w:val="superscript"/>
        </w:rPr>
        <w:footnoteReference w:id="58"/>
      </w:r>
      <w:r>
        <w:rPr>
          <w:rFonts w:hAnsi="新細明體" w:hint="eastAsia"/>
          <w:kern w:val="0"/>
        </w:rPr>
        <w:t>。因此，依</w:t>
      </w:r>
      <w:r>
        <w:rPr>
          <w:rFonts w:hAnsi="新細明體" w:hint="eastAsia"/>
          <w:kern w:val="0"/>
        </w:rPr>
        <w:t>Fr. Ossenb</w:t>
      </w:r>
      <w:r>
        <w:rPr>
          <w:kern w:val="0"/>
        </w:rPr>
        <w:t>ü</w:t>
      </w:r>
      <w:r>
        <w:rPr>
          <w:rFonts w:hint="eastAsia"/>
          <w:kern w:val="0"/>
        </w:rPr>
        <w:t>hl</w:t>
      </w:r>
      <w:r>
        <w:rPr>
          <w:rFonts w:hint="eastAsia"/>
          <w:kern w:val="0"/>
        </w:rPr>
        <w:t>之見，</w:t>
      </w:r>
      <w:r>
        <w:rPr>
          <w:rFonts w:hAnsi="新細明體" w:hint="eastAsia"/>
          <w:kern w:val="0"/>
        </w:rPr>
        <w:t>如對於行政規則，甚至是本身違法的行政規則亦得主張信賴保護的話，其將導致過度偏重法治國原則中的信賴保護面向，而輕忽同樣屬於法治國原則重要面向的依法律行政原則。行政機關甚至得以發布違法的行政規則，並援用信賴</w:t>
      </w:r>
      <w:r>
        <w:rPr>
          <w:rFonts w:hAnsi="新細明體" w:hint="eastAsia"/>
          <w:kern w:val="0"/>
        </w:rPr>
        <w:t>保護論據的方式，來突破立法者的規範意向。</w:t>
      </w:r>
      <w:r>
        <w:rPr>
          <w:rFonts w:hAnsi="新細明體" w:hint="eastAsia"/>
          <w:kern w:val="0"/>
        </w:rPr>
        <w:t>Hans Huber</w:t>
      </w:r>
      <w:r>
        <w:rPr>
          <w:rFonts w:hAnsi="新細明體" w:hint="eastAsia"/>
          <w:kern w:val="0"/>
        </w:rPr>
        <w:t>甚至稱其為法治國的特</w:t>
      </w:r>
      <w:proofErr w:type="gramStart"/>
      <w:r>
        <w:rPr>
          <w:rFonts w:hAnsi="新細明體" w:hint="eastAsia"/>
          <w:kern w:val="0"/>
        </w:rPr>
        <w:t>洛</w:t>
      </w:r>
      <w:proofErr w:type="gramEnd"/>
      <w:r>
        <w:rPr>
          <w:rFonts w:hAnsi="新細明體" w:hint="eastAsia"/>
          <w:kern w:val="0"/>
        </w:rPr>
        <w:t>伊木馬</w:t>
      </w:r>
      <w:r>
        <w:rPr>
          <w:rFonts w:hAnsi="新細明體"/>
          <w:kern w:val="0"/>
          <w:vertAlign w:val="superscript"/>
        </w:rPr>
        <w:footnoteReference w:id="59"/>
      </w:r>
      <w:r>
        <w:rPr>
          <w:rFonts w:hAnsi="新細明體" w:hint="eastAsia"/>
          <w:kern w:val="0"/>
        </w:rPr>
        <w:t>。</w:t>
      </w:r>
      <w:r>
        <w:rPr>
          <w:rFonts w:hAnsi="新細明體" w:hint="eastAsia"/>
          <w:kern w:val="0"/>
        </w:rPr>
        <w:t>Walter Schmidt</w:t>
      </w:r>
      <w:r>
        <w:rPr>
          <w:rFonts w:hAnsi="新細明體" w:hint="eastAsia"/>
          <w:kern w:val="0"/>
        </w:rPr>
        <w:t>則</w:t>
      </w:r>
      <w:proofErr w:type="gramStart"/>
      <w:r>
        <w:rPr>
          <w:rFonts w:hAnsi="新細明體" w:hint="eastAsia"/>
          <w:kern w:val="0"/>
        </w:rPr>
        <w:t>直接了當</w:t>
      </w:r>
      <w:proofErr w:type="gramEnd"/>
      <w:r>
        <w:rPr>
          <w:rFonts w:hAnsi="新細明體" w:hint="eastAsia"/>
          <w:kern w:val="0"/>
        </w:rPr>
        <w:t>地認定，違法的行政規則本身即屬無效，就此不生「信賴保護」的問題</w:t>
      </w:r>
      <w:r>
        <w:rPr>
          <w:rFonts w:hAnsi="新細明體"/>
          <w:kern w:val="0"/>
          <w:vertAlign w:val="superscript"/>
        </w:rPr>
        <w:footnoteReference w:id="60"/>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r>
        <w:rPr>
          <w:rFonts w:ascii="新細明體" w:hAnsi="新細明體" w:hint="eastAsia"/>
          <w:kern w:val="0"/>
        </w:rPr>
        <w:t>（二）以立法行為作為信賴基礎的情形</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在以具有外部法規範效力的立法行為為信賴基礎的情況，德國憲法裁判與學理也有不同的論述方式。以下分別介紹並分析不同論述模型的優劣：</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1. </w:t>
      </w:r>
      <w:r>
        <w:rPr>
          <w:rFonts w:hAnsi="新細明體"/>
          <w:kern w:val="0"/>
        </w:rPr>
        <w:t>法律溯及既往的論述模型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eastAsia="細明體" w:hint="eastAsia"/>
          <w:kern w:val="0"/>
        </w:rPr>
        <w:t xml:space="preserve">    </w:t>
      </w:r>
      <w:r>
        <w:rPr>
          <w:rFonts w:eastAsia="細明體" w:hint="eastAsia"/>
          <w:kern w:val="0"/>
        </w:rPr>
        <w:t>聯邦憲法法院首先在</w:t>
      </w:r>
      <w:r>
        <w:rPr>
          <w:rFonts w:eastAsia="細明體" w:hint="eastAsia"/>
          <w:kern w:val="0"/>
        </w:rPr>
        <w:t>1960</w:t>
      </w:r>
      <w:r>
        <w:rPr>
          <w:rFonts w:eastAsia="細明體" w:hint="eastAsia"/>
          <w:kern w:val="0"/>
        </w:rPr>
        <w:t>年</w:t>
      </w:r>
      <w:r>
        <w:rPr>
          <w:rFonts w:eastAsia="細明體" w:hint="eastAsia"/>
          <w:kern w:val="0"/>
        </w:rPr>
        <w:t>5</w:t>
      </w:r>
      <w:r>
        <w:rPr>
          <w:rFonts w:eastAsia="細明體" w:hint="eastAsia"/>
          <w:kern w:val="0"/>
        </w:rPr>
        <w:t>月</w:t>
      </w:r>
      <w:r>
        <w:rPr>
          <w:rFonts w:eastAsia="細明體" w:hint="eastAsia"/>
          <w:kern w:val="0"/>
        </w:rPr>
        <w:t>31</w:t>
      </w:r>
      <w:r>
        <w:rPr>
          <w:rFonts w:eastAsia="細明體" w:hint="eastAsia"/>
          <w:kern w:val="0"/>
        </w:rPr>
        <w:t>日的裁判中</w:t>
      </w:r>
      <w:r>
        <w:rPr>
          <w:rFonts w:ascii="標楷體" w:eastAsia="標楷體" w:hAnsi="標楷體" w:hint="eastAsia"/>
          <w:b/>
          <w:kern w:val="0"/>
        </w:rPr>
        <w:t>區分法律的真正溯及與</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w:t>
      </w:r>
      <w:r>
        <w:rPr>
          <w:rFonts w:eastAsia="細明體" w:hint="eastAsia"/>
          <w:kern w:val="0"/>
        </w:rPr>
        <w:t>：「當法律事後介入、</w:t>
      </w:r>
      <w:r>
        <w:rPr>
          <w:rFonts w:eastAsia="細明體" w:hint="eastAsia"/>
          <w:kern w:val="0"/>
        </w:rPr>
        <w:t>變更已了結、已屬於過去的構成要件事實，即屬法律的真正溯及（</w:t>
      </w:r>
      <w:r>
        <w:rPr>
          <w:rFonts w:eastAsia="細明體" w:hint="eastAsia"/>
          <w:kern w:val="0"/>
        </w:rPr>
        <w:t>echte/</w:t>
      </w:r>
      <w:r>
        <w:rPr>
          <w:rFonts w:eastAsia="細明體"/>
          <w:kern w:val="0"/>
        </w:rPr>
        <w:t>retroactive</w:t>
      </w:r>
      <w:r>
        <w:rPr>
          <w:rFonts w:eastAsia="細明體" w:hint="eastAsia"/>
          <w:kern w:val="0"/>
        </w:rPr>
        <w:t xml:space="preserve"> R</w:t>
      </w:r>
      <w:r>
        <w:rPr>
          <w:rFonts w:eastAsia="細明體"/>
          <w:kern w:val="0"/>
        </w:rPr>
        <w:t>ü</w:t>
      </w:r>
      <w:r>
        <w:rPr>
          <w:rFonts w:eastAsia="細明體" w:hint="eastAsia"/>
          <w:kern w:val="0"/>
        </w:rPr>
        <w:t>ckwirkung</w:t>
      </w:r>
      <w:r>
        <w:rPr>
          <w:rFonts w:eastAsia="細明體" w:hint="eastAsia"/>
          <w:kern w:val="0"/>
        </w:rPr>
        <w:t>），假使如本件的情形，其只是向未來影響現存的、尚未終結的事實與法律關係，即不發生溯及的問題</w:t>
      </w:r>
      <w:proofErr w:type="gramStart"/>
      <w:r>
        <w:rPr>
          <w:rFonts w:eastAsia="細明體" w:hint="eastAsia"/>
          <w:kern w:val="0"/>
        </w:rPr>
        <w:t>（</w:t>
      </w:r>
      <w:proofErr w:type="gramEnd"/>
      <w:r>
        <w:rPr>
          <w:rFonts w:eastAsia="細明體" w:hint="eastAsia"/>
          <w:kern w:val="0"/>
        </w:rPr>
        <w:t>所謂的</w:t>
      </w:r>
      <w:proofErr w:type="gramStart"/>
      <w:r>
        <w:rPr>
          <w:rFonts w:eastAsia="細明體" w:hint="eastAsia"/>
          <w:kern w:val="0"/>
        </w:rPr>
        <w:t>不</w:t>
      </w:r>
      <w:proofErr w:type="gramEnd"/>
      <w:r>
        <w:rPr>
          <w:rFonts w:eastAsia="細明體" w:hint="eastAsia"/>
          <w:kern w:val="0"/>
        </w:rPr>
        <w:t>真正溯及：</w:t>
      </w:r>
      <w:r>
        <w:rPr>
          <w:rFonts w:eastAsia="細明體" w:hint="eastAsia"/>
          <w:kern w:val="0"/>
        </w:rPr>
        <w:t>unechte/</w:t>
      </w:r>
      <w:r>
        <w:rPr>
          <w:rFonts w:eastAsia="細明體"/>
          <w:kern w:val="0"/>
        </w:rPr>
        <w:t>retrospective</w:t>
      </w:r>
      <w:r>
        <w:rPr>
          <w:rFonts w:eastAsia="細明體" w:hint="eastAsia"/>
          <w:kern w:val="0"/>
        </w:rPr>
        <w:t xml:space="preserve"> R</w:t>
      </w:r>
      <w:r>
        <w:rPr>
          <w:rFonts w:eastAsia="細明體"/>
          <w:kern w:val="0"/>
        </w:rPr>
        <w:t>ü</w:t>
      </w:r>
      <w:r>
        <w:rPr>
          <w:rFonts w:eastAsia="細明體" w:hint="eastAsia"/>
          <w:kern w:val="0"/>
        </w:rPr>
        <w:t>ckwirkung</w:t>
      </w:r>
      <w:proofErr w:type="gramStart"/>
      <w:r>
        <w:rPr>
          <w:rFonts w:eastAsia="細明體" w:hint="eastAsia"/>
          <w:kern w:val="0"/>
        </w:rPr>
        <w:t>）</w:t>
      </w:r>
      <w:proofErr w:type="gramEnd"/>
      <w:r>
        <w:rPr>
          <w:rFonts w:eastAsia="細明體" w:hint="eastAsia"/>
          <w:kern w:val="0"/>
        </w:rPr>
        <w:t>」</w:t>
      </w:r>
      <w:r>
        <w:rPr>
          <w:rFonts w:eastAsia="細明體"/>
          <w:kern w:val="0"/>
          <w:vertAlign w:val="superscript"/>
        </w:rPr>
        <w:footnoteReference w:id="61"/>
      </w:r>
      <w:r>
        <w:rPr>
          <w:rFonts w:eastAsia="細明體" w:hint="eastAsia"/>
          <w:kern w:val="0"/>
        </w:rPr>
        <w:t>。此種</w:t>
      </w:r>
      <w:r>
        <w:rPr>
          <w:rFonts w:ascii="標楷體" w:eastAsia="標楷體" w:hAnsi="標楷體" w:hint="eastAsia"/>
          <w:b/>
          <w:kern w:val="0"/>
        </w:rPr>
        <w:t>區分的法律效果</w:t>
      </w:r>
      <w:r>
        <w:rPr>
          <w:rFonts w:eastAsia="細明體" w:hint="eastAsia"/>
          <w:kern w:val="0"/>
        </w:rPr>
        <w:t>清楚顯示在</w:t>
      </w:r>
      <w:r>
        <w:rPr>
          <w:rFonts w:hAnsi="新細明體" w:hint="eastAsia"/>
          <w:kern w:val="0"/>
        </w:rPr>
        <w:t>聯邦憲法法院</w:t>
      </w:r>
      <w:r>
        <w:rPr>
          <w:rFonts w:hAnsi="新細明體" w:hint="eastAsia"/>
          <w:kern w:val="0"/>
        </w:rPr>
        <w:t>1961</w:t>
      </w:r>
      <w:r>
        <w:rPr>
          <w:rFonts w:hAnsi="新細明體" w:hint="eastAsia"/>
          <w:kern w:val="0"/>
        </w:rPr>
        <w:t>年</w:t>
      </w:r>
      <w:r>
        <w:rPr>
          <w:rFonts w:hAnsi="新細明體" w:hint="eastAsia"/>
          <w:kern w:val="0"/>
        </w:rPr>
        <w:t>12</w:t>
      </w:r>
      <w:r>
        <w:rPr>
          <w:rFonts w:hAnsi="新細明體" w:hint="eastAsia"/>
          <w:kern w:val="0"/>
        </w:rPr>
        <w:t>月</w:t>
      </w:r>
      <w:r>
        <w:rPr>
          <w:rFonts w:hAnsi="新細明體" w:hint="eastAsia"/>
          <w:kern w:val="0"/>
        </w:rPr>
        <w:t>19</w:t>
      </w:r>
      <w:r>
        <w:rPr>
          <w:rFonts w:hAnsi="新細明體" w:hint="eastAsia"/>
          <w:kern w:val="0"/>
        </w:rPr>
        <w:t>日的裁判：「基於法治國原則可以推導出下述憲法規定：課予負擔的租稅法律，其效力原則上不得及於已終結的構成要件事實」；「然而，其並非絕無例外。假使所信賴的特</w:t>
      </w:r>
      <w:r>
        <w:rPr>
          <w:rFonts w:hAnsi="新細明體" w:hint="eastAsia"/>
          <w:kern w:val="0"/>
        </w:rPr>
        <w:t>定法律情境，在事理上不能被正當化的話，就不發生信賴保護的問題。這包括下述情況：</w:t>
      </w:r>
      <w:r>
        <w:rPr>
          <w:rFonts w:hAnsi="新細明體" w:hint="eastAsia"/>
          <w:kern w:val="0"/>
        </w:rPr>
        <w:t>a</w:t>
      </w:r>
      <w:r>
        <w:rPr>
          <w:rFonts w:hAnsi="新細明體"/>
          <w:kern w:val="0"/>
        </w:rPr>
        <w:t>.</w:t>
      </w:r>
      <w:r>
        <w:rPr>
          <w:rFonts w:hAnsi="新細明體" w:hint="eastAsia"/>
          <w:kern w:val="0"/>
        </w:rPr>
        <w:t>在法律溯及發生法律效果的時點，國民已可預見此等規定，則其信賴不值得保護</w:t>
      </w:r>
      <w:r>
        <w:rPr>
          <w:rFonts w:hAnsi="新細明體"/>
          <w:kern w:val="0"/>
        </w:rPr>
        <w:t>…</w:t>
      </w:r>
      <w:proofErr w:type="gramStart"/>
      <w:r>
        <w:rPr>
          <w:rFonts w:hAnsi="新細明體"/>
          <w:kern w:val="0"/>
        </w:rPr>
        <w:t>…</w:t>
      </w:r>
      <w:proofErr w:type="gramEnd"/>
      <w:r>
        <w:rPr>
          <w:rFonts w:hAnsi="新細明體" w:hint="eastAsia"/>
          <w:kern w:val="0"/>
        </w:rPr>
        <w:t>。</w:t>
      </w:r>
      <w:r>
        <w:rPr>
          <w:rFonts w:hAnsi="新細明體" w:hint="eastAsia"/>
          <w:kern w:val="0"/>
        </w:rPr>
        <w:t xml:space="preserve">b. </w:t>
      </w:r>
      <w:r>
        <w:rPr>
          <w:rFonts w:hAnsi="新細明體" w:hint="eastAsia"/>
          <w:kern w:val="0"/>
        </w:rPr>
        <w:t>在現行法不清楚、混淆的情況，應容許立法者事後加以釐清，於此，國民不能植基於現行法而為規劃</w:t>
      </w:r>
      <w:r>
        <w:rPr>
          <w:rFonts w:hAnsi="新細明體"/>
          <w:kern w:val="0"/>
        </w:rPr>
        <w:t>……</w:t>
      </w:r>
      <w:r>
        <w:rPr>
          <w:rFonts w:hAnsi="新細明體" w:hint="eastAsia"/>
          <w:kern w:val="0"/>
        </w:rPr>
        <w:t>。</w:t>
      </w:r>
      <w:r>
        <w:rPr>
          <w:rFonts w:hAnsi="新細明體" w:hint="eastAsia"/>
          <w:kern w:val="0"/>
        </w:rPr>
        <w:t xml:space="preserve">c. </w:t>
      </w:r>
      <w:r>
        <w:rPr>
          <w:rFonts w:hAnsi="新細明體" w:hint="eastAsia"/>
          <w:kern w:val="0"/>
        </w:rPr>
        <w:t>國民不能始終信賴由無效規範創設的法律表象。因此，在一定情況下，立法者</w:t>
      </w:r>
      <w:proofErr w:type="gramStart"/>
      <w:r>
        <w:rPr>
          <w:rFonts w:hAnsi="新細明體" w:hint="eastAsia"/>
          <w:kern w:val="0"/>
        </w:rPr>
        <w:t>有權溯及</w:t>
      </w:r>
      <w:proofErr w:type="gramEnd"/>
      <w:r>
        <w:rPr>
          <w:rFonts w:hAnsi="新細明體" w:hint="eastAsia"/>
          <w:kern w:val="0"/>
        </w:rPr>
        <w:t>地以無疑義的規範取代無效的規定</w:t>
      </w:r>
      <w:r>
        <w:rPr>
          <w:rFonts w:hAnsi="新細明體"/>
          <w:kern w:val="0"/>
        </w:rPr>
        <w:t>…</w:t>
      </w:r>
      <w:proofErr w:type="gramStart"/>
      <w:r>
        <w:rPr>
          <w:rFonts w:hAnsi="新細明體"/>
          <w:kern w:val="0"/>
        </w:rPr>
        <w:t>…</w:t>
      </w:r>
      <w:proofErr w:type="gramEnd"/>
      <w:r>
        <w:rPr>
          <w:rFonts w:hAnsi="新細明體" w:hint="eastAsia"/>
          <w:kern w:val="0"/>
        </w:rPr>
        <w:t>。</w:t>
      </w:r>
      <w:r>
        <w:rPr>
          <w:rFonts w:hAnsi="新細明體" w:hint="eastAsia"/>
          <w:kern w:val="0"/>
        </w:rPr>
        <w:t>d.</w:t>
      </w:r>
      <w:r>
        <w:rPr>
          <w:rFonts w:hAnsi="新細明體" w:hint="eastAsia"/>
          <w:kern w:val="0"/>
        </w:rPr>
        <w:t>最後，高於法安定性命令的，絕對必要的公益理由亦得</w:t>
      </w:r>
      <w:proofErr w:type="gramStart"/>
      <w:r>
        <w:rPr>
          <w:rFonts w:hAnsi="新細明體" w:hint="eastAsia"/>
          <w:kern w:val="0"/>
        </w:rPr>
        <w:t>正當化溯及</w:t>
      </w:r>
      <w:proofErr w:type="gramEnd"/>
      <w:r>
        <w:rPr>
          <w:rFonts w:hAnsi="新細明體" w:hint="eastAsia"/>
          <w:kern w:val="0"/>
        </w:rPr>
        <w:t>的命令」</w:t>
      </w:r>
      <w:r>
        <w:rPr>
          <w:rFonts w:hAnsi="新細明體"/>
          <w:kern w:val="0"/>
          <w:vertAlign w:val="superscript"/>
        </w:rPr>
        <w:footnoteReference w:id="62"/>
      </w:r>
      <w:r>
        <w:rPr>
          <w:rFonts w:hAnsi="新細明體" w:hint="eastAsia"/>
          <w:kern w:val="0"/>
        </w:rPr>
        <w:t>。簡言之，</w:t>
      </w:r>
      <w:r>
        <w:rPr>
          <w:rFonts w:ascii="標楷體" w:eastAsia="標楷體" w:hAnsi="標楷體" w:hint="eastAsia"/>
          <w:b/>
          <w:kern w:val="0"/>
        </w:rPr>
        <w:t>真正溯及原則上是不容許的，而</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真正溯及原則上不生禁止溯</w:t>
      </w:r>
      <w:r>
        <w:rPr>
          <w:rFonts w:ascii="標楷體" w:eastAsia="標楷體" w:hAnsi="標楷體" w:hint="eastAsia"/>
          <w:b/>
          <w:kern w:val="0"/>
        </w:rPr>
        <w:t>及的問題</w:t>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lastRenderedPageBreak/>
        <w:t>然而，構成要件事實是否已了結，或仍屬「</w:t>
      </w:r>
      <w:r>
        <w:rPr>
          <w:rFonts w:eastAsia="細明體" w:hint="eastAsia"/>
          <w:kern w:val="0"/>
        </w:rPr>
        <w:t>尚未終結的事實</w:t>
      </w:r>
      <w:r>
        <w:rPr>
          <w:rFonts w:hAnsi="新細明體" w:hint="eastAsia"/>
          <w:kern w:val="0"/>
        </w:rPr>
        <w:t>」，因此，所牽涉的究竟是</w:t>
      </w:r>
      <w:r>
        <w:rPr>
          <w:rFonts w:ascii="標楷體" w:eastAsia="標楷體" w:hAnsi="標楷體" w:hint="eastAsia"/>
          <w:b/>
          <w:kern w:val="0"/>
        </w:rPr>
        <w:t>「真正溯及」或「</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真正溯及」，歸類上非無疑義</w:t>
      </w:r>
      <w:r>
        <w:rPr>
          <w:rFonts w:hAnsi="新細明體" w:hint="eastAsia"/>
          <w:kern w:val="0"/>
        </w:rPr>
        <w:t>。</w:t>
      </w:r>
      <w:r>
        <w:rPr>
          <w:rFonts w:hAnsi="新細明體" w:hint="eastAsia"/>
          <w:kern w:val="0"/>
        </w:rPr>
        <w:t>Klaus Stern</w:t>
      </w:r>
      <w:r>
        <w:rPr>
          <w:rFonts w:hAnsi="新細明體" w:hint="eastAsia"/>
          <w:kern w:val="0"/>
        </w:rPr>
        <w:t>指出，典型的困難案例發生在稅法領域：在該當稅捐核課期間公布，其效力</w:t>
      </w:r>
      <w:proofErr w:type="gramStart"/>
      <w:r>
        <w:rPr>
          <w:rFonts w:hAnsi="新細明體" w:hint="eastAsia"/>
          <w:kern w:val="0"/>
        </w:rPr>
        <w:t>溯</w:t>
      </w:r>
      <w:proofErr w:type="gramEnd"/>
      <w:r>
        <w:rPr>
          <w:rFonts w:hAnsi="新細明體" w:hint="eastAsia"/>
          <w:kern w:val="0"/>
        </w:rPr>
        <w:t>及於此一核課期間的開端，因此將舊法時已開始但尚未完全滿足法定要件的事實，包含在新法的適用範圍之內的情況。於此，聯邦憲法法院認其屬原則上容許的「</w:t>
      </w:r>
      <w:proofErr w:type="gramStart"/>
      <w:r>
        <w:rPr>
          <w:rFonts w:hAnsi="新細明體" w:hint="eastAsia"/>
          <w:kern w:val="0"/>
        </w:rPr>
        <w:t>不</w:t>
      </w:r>
      <w:proofErr w:type="gramEnd"/>
      <w:r>
        <w:rPr>
          <w:rFonts w:hAnsi="新細明體" w:hint="eastAsia"/>
          <w:kern w:val="0"/>
        </w:rPr>
        <w:t>真正溯及」，因其以整個核課</w:t>
      </w:r>
      <w:proofErr w:type="gramStart"/>
      <w:r>
        <w:rPr>
          <w:rFonts w:hAnsi="新細明體" w:hint="eastAsia"/>
          <w:kern w:val="0"/>
        </w:rPr>
        <w:t>期間（</w:t>
      </w:r>
      <w:proofErr w:type="gramEnd"/>
      <w:r>
        <w:rPr>
          <w:rFonts w:hAnsi="新細明體" w:hint="eastAsia"/>
          <w:kern w:val="0"/>
        </w:rPr>
        <w:t>Veranlaungszeitraum</w:t>
      </w:r>
      <w:r>
        <w:rPr>
          <w:rFonts w:hAnsi="新細明體" w:hint="eastAsia"/>
          <w:kern w:val="0"/>
        </w:rPr>
        <w:t>）為</w:t>
      </w:r>
      <w:proofErr w:type="gramStart"/>
      <w:r>
        <w:rPr>
          <w:rFonts w:hAnsi="新細明體" w:hint="eastAsia"/>
          <w:kern w:val="0"/>
        </w:rPr>
        <w:t>準</w:t>
      </w:r>
      <w:proofErr w:type="gramEnd"/>
      <w:r>
        <w:rPr>
          <w:rFonts w:hAnsi="新細明體" w:hint="eastAsia"/>
          <w:kern w:val="0"/>
        </w:rPr>
        <w:t>；然而，如以可課稅之構成要件事實「開始進行」的</w:t>
      </w:r>
      <w:r>
        <w:rPr>
          <w:rFonts w:hAnsi="新細明體" w:hint="eastAsia"/>
          <w:kern w:val="0"/>
        </w:rPr>
        <w:t>(</w:t>
      </w:r>
      <w:r>
        <w:rPr>
          <w:rFonts w:hAnsi="新細明體"/>
          <w:kern w:val="0"/>
        </w:rPr>
        <w:t>“</w:t>
      </w:r>
      <w:r>
        <w:rPr>
          <w:rFonts w:hAnsi="新細明體" w:hint="eastAsia"/>
          <w:kern w:val="0"/>
        </w:rPr>
        <w:t>Inswerks</w:t>
      </w:r>
      <w:r>
        <w:rPr>
          <w:rFonts w:hAnsi="新細明體" w:hint="eastAsia"/>
          <w:kern w:val="0"/>
        </w:rPr>
        <w:t>etzung</w:t>
      </w:r>
      <w:r>
        <w:rPr>
          <w:rFonts w:hAnsi="新細明體"/>
          <w:kern w:val="0"/>
        </w:rPr>
        <w:t>”</w:t>
      </w:r>
      <w:r>
        <w:rPr>
          <w:rFonts w:hAnsi="新細明體" w:hint="eastAsia"/>
          <w:kern w:val="0"/>
        </w:rPr>
        <w:t>des steuerbaren Tatbestandes)</w:t>
      </w:r>
      <w:r>
        <w:rPr>
          <w:rFonts w:hAnsi="新細明體" w:hint="eastAsia"/>
          <w:kern w:val="0"/>
        </w:rPr>
        <w:t>時點為</w:t>
      </w:r>
      <w:proofErr w:type="gramStart"/>
      <w:r>
        <w:rPr>
          <w:rFonts w:hAnsi="新細明體" w:hint="eastAsia"/>
          <w:kern w:val="0"/>
        </w:rPr>
        <w:t>準</w:t>
      </w:r>
      <w:proofErr w:type="gramEnd"/>
      <w:r>
        <w:rPr>
          <w:rFonts w:hAnsi="新細明體" w:hint="eastAsia"/>
          <w:kern w:val="0"/>
        </w:rPr>
        <w:t>，亦有其正當理由</w:t>
      </w:r>
      <w:r>
        <w:rPr>
          <w:rFonts w:hAnsi="新細明體"/>
          <w:kern w:val="0"/>
          <w:vertAlign w:val="superscript"/>
        </w:rPr>
        <w:footnoteReference w:id="63"/>
      </w:r>
      <w:r>
        <w:rPr>
          <w:rFonts w:hAnsi="新細明體" w:hint="eastAsia"/>
          <w:kern w:val="0"/>
        </w:rPr>
        <w:t>。就此，</w:t>
      </w:r>
      <w:r>
        <w:rPr>
          <w:rFonts w:hAnsi="新細明體" w:hint="eastAsia"/>
          <w:kern w:val="0"/>
        </w:rPr>
        <w:t>E. Grabitz</w:t>
      </w:r>
      <w:r>
        <w:rPr>
          <w:rFonts w:hAnsi="新細明體" w:hint="eastAsia"/>
          <w:kern w:val="0"/>
        </w:rPr>
        <w:t>說明，所謂「已了結的構成要件事實」是指，已實現被變更之法律的構成要件並已引發相連結之法律效果的行為；</w:t>
      </w:r>
      <w:proofErr w:type="gramStart"/>
      <w:r>
        <w:rPr>
          <w:rFonts w:hAnsi="新細明體" w:hint="eastAsia"/>
          <w:kern w:val="0"/>
        </w:rPr>
        <w:t>反之，</w:t>
      </w:r>
      <w:proofErr w:type="gramEnd"/>
      <w:r>
        <w:rPr>
          <w:rFonts w:hAnsi="新細明體" w:hint="eastAsia"/>
          <w:kern w:val="0"/>
        </w:rPr>
        <w:t>「</w:t>
      </w:r>
      <w:r>
        <w:rPr>
          <w:rFonts w:eastAsia="細明體" w:hint="eastAsia"/>
          <w:kern w:val="0"/>
        </w:rPr>
        <w:t>尚未終結之事實</w:t>
      </w:r>
      <w:r>
        <w:rPr>
          <w:rFonts w:hAnsi="新細明體" w:hint="eastAsia"/>
          <w:kern w:val="0"/>
        </w:rPr>
        <w:t>」則指，新法律公布時，尚未完全實現被變更之法律的法定構成要件，因此，與實現構成要件相連結的法律效果亦尚未（完全）出現者</w:t>
      </w:r>
      <w:r>
        <w:rPr>
          <w:rFonts w:hAnsi="新細明體"/>
          <w:kern w:val="0"/>
          <w:vertAlign w:val="superscript"/>
        </w:rPr>
        <w:footnoteReference w:id="64"/>
      </w:r>
      <w:r>
        <w:rPr>
          <w:rFonts w:hAnsi="新細明體" w:hint="eastAsia"/>
          <w:kern w:val="0"/>
        </w:rPr>
        <w:t>。據此，究應以整個核課期間抑或以可課稅之構成要件事實「開始進行」為</w:t>
      </w:r>
      <w:proofErr w:type="gramStart"/>
      <w:r>
        <w:rPr>
          <w:rFonts w:hAnsi="新細明體" w:hint="eastAsia"/>
          <w:kern w:val="0"/>
        </w:rPr>
        <w:t>準</w:t>
      </w:r>
      <w:proofErr w:type="gramEnd"/>
      <w:r>
        <w:rPr>
          <w:rFonts w:hAnsi="新細明體" w:hint="eastAsia"/>
          <w:kern w:val="0"/>
        </w:rPr>
        <w:t>，來決定法規範變更時構成要件事實已否終結，自應取決於舊法所規定之連結法律效果</w:t>
      </w:r>
      <w:r>
        <w:rPr>
          <w:rFonts w:hAnsi="新細明體" w:hint="eastAsia"/>
          <w:kern w:val="0"/>
        </w:rPr>
        <w:t>的「構成要件事實」為何；因此，理論上應無重大的認定困難。</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eastAsia="細明體" w:hint="eastAsia"/>
          <w:kern w:val="0"/>
        </w:rPr>
      </w:pPr>
      <w:r>
        <w:rPr>
          <w:rFonts w:eastAsia="細明體" w:hint="eastAsia"/>
          <w:kern w:val="0"/>
        </w:rPr>
        <w:t>德國學界傾向支持法律「真正溯及」與「</w:t>
      </w:r>
      <w:proofErr w:type="gramStart"/>
      <w:r>
        <w:rPr>
          <w:rFonts w:eastAsia="細明體" w:hint="eastAsia"/>
          <w:kern w:val="0"/>
        </w:rPr>
        <w:t>不</w:t>
      </w:r>
      <w:proofErr w:type="gramEnd"/>
      <w:r>
        <w:rPr>
          <w:rFonts w:eastAsia="細明體" w:hint="eastAsia"/>
          <w:kern w:val="0"/>
        </w:rPr>
        <w:t>真正溯及」之分類的見解，可以</w:t>
      </w:r>
      <w:r>
        <w:rPr>
          <w:rFonts w:eastAsia="細明體"/>
          <w:kern w:val="0"/>
        </w:rPr>
        <w:t>Fr. Ossenbüh</w:t>
      </w:r>
      <w:r>
        <w:rPr>
          <w:rFonts w:eastAsia="細明體" w:hint="eastAsia"/>
          <w:kern w:val="0"/>
        </w:rPr>
        <w:t>l</w:t>
      </w:r>
      <w:r>
        <w:rPr>
          <w:rFonts w:eastAsia="細明體" w:hint="eastAsia"/>
          <w:kern w:val="0"/>
        </w:rPr>
        <w:t>為代表。</w:t>
      </w:r>
      <w:r>
        <w:rPr>
          <w:rFonts w:eastAsia="細明體"/>
          <w:kern w:val="0"/>
        </w:rPr>
        <w:t>Fr. Ossenbühl</w:t>
      </w:r>
      <w:r>
        <w:rPr>
          <w:rFonts w:ascii="新細明體" w:hAnsi="新細明體" w:hint="eastAsia"/>
          <w:kern w:val="0"/>
        </w:rPr>
        <w:t>細膩地區分信賴立法行為的態樣―信賴法律的合憲性、信賴法律的持續性與一貫性以及，法律溯及既往之容許性的問題</w:t>
      </w:r>
      <w:r>
        <w:rPr>
          <w:rFonts w:eastAsia="細明體" w:hint="eastAsia"/>
          <w:kern w:val="0"/>
        </w:rPr>
        <w:t>。</w:t>
      </w:r>
      <w:r>
        <w:rPr>
          <w:rFonts w:ascii="標楷體" w:eastAsia="標楷體" w:hAnsi="標楷體" w:hint="eastAsia"/>
          <w:b/>
          <w:kern w:val="0"/>
        </w:rPr>
        <w:t>信賴法律的合憲性</w:t>
      </w:r>
      <w:r>
        <w:rPr>
          <w:rFonts w:eastAsia="細明體" w:hint="eastAsia"/>
          <w:kern w:val="0"/>
        </w:rPr>
        <w:t>通常不會賦予人民具體的保護請求權，其主要要求，行政權應假定相關法律的合憲性而加以執行。與人民對法規範之信賴保護相關的是</w:t>
      </w:r>
      <w:proofErr w:type="gramStart"/>
      <w:r>
        <w:rPr>
          <w:rFonts w:eastAsia="細明體" w:hint="eastAsia"/>
          <w:kern w:val="0"/>
        </w:rPr>
        <w:t>後兩種態樣</w:t>
      </w:r>
      <w:proofErr w:type="gramEnd"/>
      <w:r>
        <w:rPr>
          <w:rFonts w:eastAsia="細明體" w:hint="eastAsia"/>
          <w:kern w:val="0"/>
        </w:rPr>
        <w:t>。關於</w:t>
      </w:r>
      <w:r>
        <w:rPr>
          <w:rFonts w:ascii="標楷體" w:eastAsia="標楷體" w:hAnsi="標楷體" w:hint="eastAsia"/>
          <w:b/>
          <w:kern w:val="0"/>
        </w:rPr>
        <w:t>信賴法律的持續性與一貫性</w:t>
      </w:r>
      <w:r>
        <w:rPr>
          <w:rFonts w:ascii="新細明體" w:hAnsi="新細明體" w:hint="eastAsia"/>
          <w:kern w:val="0"/>
        </w:rPr>
        <w:t>，其處理法律「</w:t>
      </w:r>
      <w:proofErr w:type="gramStart"/>
      <w:r>
        <w:rPr>
          <w:rFonts w:ascii="新細明體" w:hAnsi="新細明體" w:hint="eastAsia"/>
          <w:kern w:val="0"/>
        </w:rPr>
        <w:t>不</w:t>
      </w:r>
      <w:proofErr w:type="gramEnd"/>
      <w:r>
        <w:rPr>
          <w:rFonts w:ascii="新細明體" w:hAnsi="新細明體" w:hint="eastAsia"/>
          <w:kern w:val="0"/>
        </w:rPr>
        <w:t>真正溯及」的問題，</w:t>
      </w:r>
      <w:r>
        <w:rPr>
          <w:rFonts w:eastAsia="細明體"/>
          <w:kern w:val="0"/>
        </w:rPr>
        <w:t>Fr. Os</w:t>
      </w:r>
      <w:r>
        <w:rPr>
          <w:rFonts w:eastAsia="細明體"/>
          <w:kern w:val="0"/>
        </w:rPr>
        <w:t>senbühl</w:t>
      </w:r>
      <w:r>
        <w:rPr>
          <w:rFonts w:eastAsia="細明體" w:hint="eastAsia"/>
          <w:kern w:val="0"/>
        </w:rPr>
        <w:t>以聯邦憲法法院</w:t>
      </w:r>
      <w:r>
        <w:rPr>
          <w:rFonts w:eastAsia="細明體" w:hint="eastAsia"/>
          <w:kern w:val="0"/>
        </w:rPr>
        <w:t>1971</w:t>
      </w:r>
      <w:r>
        <w:rPr>
          <w:rFonts w:eastAsia="細明體" w:hint="eastAsia"/>
          <w:kern w:val="0"/>
        </w:rPr>
        <w:t>年</w:t>
      </w:r>
      <w:r>
        <w:rPr>
          <w:rFonts w:eastAsia="細明體" w:hint="eastAsia"/>
          <w:kern w:val="0"/>
        </w:rPr>
        <w:t>3</w:t>
      </w:r>
      <w:r>
        <w:rPr>
          <w:rFonts w:eastAsia="細明體" w:hint="eastAsia"/>
          <w:kern w:val="0"/>
        </w:rPr>
        <w:t>月</w:t>
      </w:r>
      <w:r>
        <w:rPr>
          <w:rFonts w:eastAsia="細明體" w:hint="eastAsia"/>
          <w:kern w:val="0"/>
        </w:rPr>
        <w:t>23</w:t>
      </w:r>
      <w:r>
        <w:rPr>
          <w:rFonts w:eastAsia="細明體" w:hint="eastAsia"/>
          <w:kern w:val="0"/>
        </w:rPr>
        <w:t>日的裁判為基礎</w:t>
      </w:r>
      <w:r>
        <w:rPr>
          <w:rFonts w:eastAsia="細明體"/>
          <w:kern w:val="0"/>
          <w:vertAlign w:val="superscript"/>
        </w:rPr>
        <w:footnoteReference w:id="65"/>
      </w:r>
      <w:r>
        <w:rPr>
          <w:rFonts w:eastAsia="細明體" w:hint="eastAsia"/>
          <w:kern w:val="0"/>
        </w:rPr>
        <w:t>，發展出下列於此</w:t>
      </w:r>
      <w:r>
        <w:rPr>
          <w:rFonts w:eastAsia="細明體" w:hint="eastAsia"/>
          <w:kern w:val="0"/>
        </w:rPr>
        <w:lastRenderedPageBreak/>
        <w:t>情形主張信賴保護的要件：相關立法行為導致被免稅者的投資、基於投資的扣</w:t>
      </w:r>
      <w:proofErr w:type="gramStart"/>
      <w:r>
        <w:rPr>
          <w:rFonts w:eastAsia="細明體" w:hint="eastAsia"/>
          <w:kern w:val="0"/>
        </w:rPr>
        <w:t>扺</w:t>
      </w:r>
      <w:proofErr w:type="gramEnd"/>
      <w:r>
        <w:rPr>
          <w:rFonts w:eastAsia="細明體" w:hint="eastAsia"/>
          <w:kern w:val="0"/>
        </w:rPr>
        <w:t>或減輕風險而明定免除稅捐負擔的</w:t>
      </w:r>
      <w:proofErr w:type="gramStart"/>
      <w:r>
        <w:rPr>
          <w:rFonts w:eastAsia="細明體" w:hint="eastAsia"/>
          <w:kern w:val="0"/>
        </w:rPr>
        <w:t>期間、</w:t>
      </w:r>
      <w:proofErr w:type="gramEnd"/>
      <w:r>
        <w:rPr>
          <w:rFonts w:eastAsia="細明體" w:hint="eastAsia"/>
          <w:kern w:val="0"/>
        </w:rPr>
        <w:t>提前修廢稅捐優惠將影響業者的生存基礎或至少不相當地影響其計算基礎。雖然如此，</w:t>
      </w:r>
      <w:r>
        <w:rPr>
          <w:rFonts w:eastAsia="細明體"/>
          <w:kern w:val="0"/>
        </w:rPr>
        <w:t>Fr. Ossenbühl</w:t>
      </w:r>
      <w:r>
        <w:rPr>
          <w:rFonts w:eastAsia="細明體" w:hint="eastAsia"/>
          <w:kern w:val="0"/>
        </w:rPr>
        <w:t>也恰當地強調，因經濟、工業乃至國際因素的影響，今天的立法者常被迫在短期之內改變其原本的立法構想；因此，在承認此類信賴保護時，必須留意同時保留立法的調整空間。最後，關於</w:t>
      </w:r>
      <w:r>
        <w:rPr>
          <w:rFonts w:ascii="標楷體" w:eastAsia="標楷體" w:hAnsi="標楷體" w:hint="eastAsia"/>
          <w:b/>
          <w:kern w:val="0"/>
        </w:rPr>
        <w:t>法律溯及既往之容許性</w:t>
      </w:r>
      <w:r>
        <w:rPr>
          <w:rFonts w:ascii="新細明體" w:hAnsi="新細明體" w:hint="eastAsia"/>
          <w:kern w:val="0"/>
        </w:rPr>
        <w:t>，</w:t>
      </w:r>
      <w:r>
        <w:rPr>
          <w:rFonts w:eastAsia="細明體"/>
          <w:kern w:val="0"/>
        </w:rPr>
        <w:t>Fr. Ossenbühl</w:t>
      </w:r>
      <w:r>
        <w:rPr>
          <w:rFonts w:eastAsia="細明體" w:hint="eastAsia"/>
          <w:kern w:val="0"/>
        </w:rPr>
        <w:t>認為這部分的</w:t>
      </w:r>
      <w:r>
        <w:rPr>
          <w:rFonts w:eastAsia="細明體" w:hint="eastAsia"/>
          <w:kern w:val="0"/>
        </w:rPr>
        <w:t>問題較小。他所指的「法律溯及既往」是所謂的「真正溯及」的情形。其顯然支持聯邦憲法法院</w:t>
      </w:r>
      <w:r>
        <w:rPr>
          <w:rFonts w:eastAsia="細明體" w:hint="eastAsia"/>
          <w:kern w:val="0"/>
        </w:rPr>
        <w:t>1961</w:t>
      </w:r>
      <w:r>
        <w:rPr>
          <w:rFonts w:eastAsia="細明體" w:hint="eastAsia"/>
          <w:kern w:val="0"/>
        </w:rPr>
        <w:t>年</w:t>
      </w:r>
      <w:r>
        <w:rPr>
          <w:rFonts w:eastAsia="細明體" w:hint="eastAsia"/>
          <w:kern w:val="0"/>
        </w:rPr>
        <w:t>12</w:t>
      </w:r>
      <w:r>
        <w:rPr>
          <w:rFonts w:eastAsia="細明體" w:hint="eastAsia"/>
          <w:kern w:val="0"/>
        </w:rPr>
        <w:t>月</w:t>
      </w:r>
      <w:r>
        <w:rPr>
          <w:rFonts w:eastAsia="細明體" w:hint="eastAsia"/>
          <w:kern w:val="0"/>
        </w:rPr>
        <w:t>19</w:t>
      </w:r>
      <w:r>
        <w:rPr>
          <w:rFonts w:eastAsia="細明體" w:hint="eastAsia"/>
          <w:kern w:val="0"/>
        </w:rPr>
        <w:t>日原則性判決</w:t>
      </w:r>
      <w:r>
        <w:rPr>
          <w:rFonts w:eastAsia="細明體"/>
          <w:kern w:val="0"/>
          <w:vertAlign w:val="superscript"/>
        </w:rPr>
        <w:footnoteReference w:id="66"/>
      </w:r>
      <w:r>
        <w:rPr>
          <w:rFonts w:eastAsia="細明體" w:hint="eastAsia"/>
          <w:kern w:val="0"/>
        </w:rPr>
        <w:t>提出的下述判斷標準</w:t>
      </w:r>
      <w:proofErr w:type="gramStart"/>
      <w:r>
        <w:rPr>
          <w:rFonts w:ascii="新細明體" w:hAnsi="新細明體" w:hint="eastAsia"/>
          <w:kern w:val="0"/>
        </w:rPr>
        <w:t>─</w:t>
      </w:r>
      <w:proofErr w:type="gramEnd"/>
      <w:r>
        <w:rPr>
          <w:rFonts w:eastAsia="細明體" w:hint="eastAsia"/>
          <w:kern w:val="0"/>
        </w:rPr>
        <w:t>依內含於法治國原則的信賴保護原則，對於已終結的構成要件事實，立法者不得</w:t>
      </w:r>
      <w:proofErr w:type="gramStart"/>
      <w:r>
        <w:rPr>
          <w:rFonts w:eastAsia="細明體" w:hint="eastAsia"/>
          <w:kern w:val="0"/>
        </w:rPr>
        <w:t>事後溯</w:t>
      </w:r>
      <w:proofErr w:type="gramEnd"/>
      <w:r>
        <w:rPr>
          <w:rFonts w:eastAsia="細明體" w:hint="eastAsia"/>
          <w:kern w:val="0"/>
        </w:rPr>
        <w:t>及制定負擔性的法律；只有在下述不得主張信賴或信賴不值得保護的情況，立法者例外可以制定溯及既往的法律：在法律追溯發生法律效果的時點，人民已得預期新的規定；現行法本身不清晰或混淆；因信賴所生的損害輕微，且相較於立法擬追求的公益而言，不成比例</w:t>
      </w:r>
      <w:r>
        <w:rPr>
          <w:rFonts w:eastAsia="細明體"/>
          <w:kern w:val="0"/>
          <w:vertAlign w:val="superscript"/>
        </w:rPr>
        <w:footnoteReference w:id="67"/>
      </w:r>
      <w:r>
        <w:rPr>
          <w:rFonts w:eastAsia="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聯邦憲法法院長期維持其法律「真正溯及」與「</w:t>
      </w:r>
      <w:proofErr w:type="gramStart"/>
      <w:r>
        <w:rPr>
          <w:rFonts w:eastAsia="細明體" w:hint="eastAsia"/>
          <w:kern w:val="0"/>
        </w:rPr>
        <w:t>不</w:t>
      </w:r>
      <w:proofErr w:type="gramEnd"/>
      <w:r>
        <w:rPr>
          <w:rFonts w:eastAsia="細明體" w:hint="eastAsia"/>
          <w:kern w:val="0"/>
        </w:rPr>
        <w:t>真</w:t>
      </w:r>
      <w:r>
        <w:rPr>
          <w:rFonts w:eastAsia="細明體" w:hint="eastAsia"/>
          <w:kern w:val="0"/>
        </w:rPr>
        <w:t>正溯及」的區分。惟該院第二庭在</w:t>
      </w:r>
      <w:r>
        <w:rPr>
          <w:rFonts w:eastAsia="細明體" w:hint="eastAsia"/>
          <w:kern w:val="0"/>
        </w:rPr>
        <w:t>1986</w:t>
      </w:r>
      <w:r>
        <w:rPr>
          <w:rFonts w:eastAsia="細明體" w:hint="eastAsia"/>
          <w:kern w:val="0"/>
        </w:rPr>
        <w:t>年</w:t>
      </w:r>
      <w:r>
        <w:rPr>
          <w:rFonts w:eastAsia="細明體" w:hint="eastAsia"/>
          <w:kern w:val="0"/>
        </w:rPr>
        <w:t>5</w:t>
      </w:r>
      <w:r>
        <w:rPr>
          <w:rFonts w:eastAsia="細明體" w:hint="eastAsia"/>
          <w:kern w:val="0"/>
        </w:rPr>
        <w:t>月</w:t>
      </w:r>
      <w:r>
        <w:rPr>
          <w:rFonts w:eastAsia="細明體" w:hint="eastAsia"/>
          <w:kern w:val="0"/>
        </w:rPr>
        <w:t>14</w:t>
      </w:r>
      <w:r>
        <w:rPr>
          <w:rFonts w:eastAsia="細明體" w:hint="eastAsia"/>
          <w:kern w:val="0"/>
        </w:rPr>
        <w:t>日針對境外稅法（</w:t>
      </w:r>
      <w:r>
        <w:rPr>
          <w:rFonts w:eastAsia="細明體" w:hint="eastAsia"/>
          <w:kern w:val="0"/>
        </w:rPr>
        <w:t>Au</w:t>
      </w:r>
      <w:r>
        <w:rPr>
          <w:rFonts w:eastAsia="細明體"/>
          <w:kern w:val="0"/>
        </w:rPr>
        <w:t>ß</w:t>
      </w:r>
      <w:r>
        <w:rPr>
          <w:rFonts w:eastAsia="細明體" w:hint="eastAsia"/>
          <w:kern w:val="0"/>
        </w:rPr>
        <w:t>ensteuergesetz</w:t>
      </w:r>
      <w:r>
        <w:rPr>
          <w:rFonts w:eastAsia="細明體" w:hint="eastAsia"/>
          <w:kern w:val="0"/>
        </w:rPr>
        <w:t>）所為的裁判，依</w:t>
      </w:r>
      <w:r>
        <w:rPr>
          <w:rFonts w:eastAsia="細明體" w:hint="eastAsia"/>
          <w:kern w:val="0"/>
        </w:rPr>
        <w:t>Klaus Vogel</w:t>
      </w:r>
      <w:r>
        <w:rPr>
          <w:rFonts w:eastAsia="細明體" w:hint="eastAsia"/>
          <w:kern w:val="0"/>
        </w:rPr>
        <w:t>的說法，作了「戲劇性的轉向」，「</w:t>
      </w:r>
      <w:proofErr w:type="gramStart"/>
      <w:r>
        <w:rPr>
          <w:rFonts w:eastAsia="細明體" w:hint="eastAsia"/>
          <w:kern w:val="0"/>
        </w:rPr>
        <w:t>為溯及</w:t>
      </w:r>
      <w:proofErr w:type="gramEnd"/>
      <w:r>
        <w:rPr>
          <w:rFonts w:eastAsia="細明體" w:hint="eastAsia"/>
          <w:kern w:val="0"/>
        </w:rPr>
        <w:t>既往的複雜問題發展出新的體系」</w:t>
      </w:r>
      <w:r>
        <w:rPr>
          <w:rFonts w:eastAsia="細明體"/>
          <w:kern w:val="0"/>
          <w:vertAlign w:val="superscript"/>
        </w:rPr>
        <w:footnoteReference w:id="68"/>
      </w:r>
      <w:r>
        <w:rPr>
          <w:rFonts w:eastAsia="細明體" w:hint="eastAsia"/>
          <w:kern w:val="0"/>
        </w:rPr>
        <w:t>。然而，是否確實有如此巨大的轉變？按相對於「真正溯及」與「</w:t>
      </w:r>
      <w:proofErr w:type="gramStart"/>
      <w:r>
        <w:rPr>
          <w:rFonts w:eastAsia="細明體" w:hint="eastAsia"/>
          <w:kern w:val="0"/>
        </w:rPr>
        <w:t>不</w:t>
      </w:r>
      <w:proofErr w:type="gramEnd"/>
      <w:r>
        <w:rPr>
          <w:rFonts w:eastAsia="細明體" w:hint="eastAsia"/>
          <w:kern w:val="0"/>
        </w:rPr>
        <w:t>真正溯及」的區分，第二庭作了下述新定義：「當法規範之時間上適用範圍的開始，依其規定早於該法規範法律上開始存在，質言之，開始生效的時點，該法規範就具有溯及效果（</w:t>
      </w:r>
      <w:r>
        <w:rPr>
          <w:rFonts w:eastAsia="細明體" w:hint="eastAsia"/>
          <w:kern w:val="0"/>
        </w:rPr>
        <w:t>R</w:t>
      </w:r>
      <w:r>
        <w:rPr>
          <w:rFonts w:eastAsia="細明體"/>
          <w:kern w:val="0"/>
        </w:rPr>
        <w:t>ü</w:t>
      </w:r>
      <w:r>
        <w:rPr>
          <w:rFonts w:eastAsia="細明體" w:hint="eastAsia"/>
          <w:kern w:val="0"/>
        </w:rPr>
        <w:t>ckwirkung</w:t>
      </w:r>
      <w:r>
        <w:rPr>
          <w:rFonts w:eastAsia="細明體" w:hint="eastAsia"/>
          <w:kern w:val="0"/>
        </w:rPr>
        <w:t>）」，「只有當法律效果及於法規範公布之前的</w:t>
      </w:r>
      <w:proofErr w:type="gramStart"/>
      <w:r>
        <w:rPr>
          <w:rFonts w:eastAsia="細明體" w:hint="eastAsia"/>
          <w:kern w:val="0"/>
        </w:rPr>
        <w:t>期間（</w:t>
      </w:r>
      <w:proofErr w:type="gramEnd"/>
      <w:r>
        <w:rPr>
          <w:rFonts w:ascii="標楷體" w:eastAsia="標楷體" w:hAnsi="標楷體" w:hint="eastAsia"/>
          <w:b/>
          <w:kern w:val="0"/>
        </w:rPr>
        <w:t>法律效果的回溯發生</w:t>
      </w:r>
      <w:r>
        <w:rPr>
          <w:rFonts w:eastAsia="標楷體" w:hint="eastAsia"/>
          <w:kern w:val="0"/>
        </w:rPr>
        <w:t>, R</w:t>
      </w:r>
      <w:r>
        <w:rPr>
          <w:rFonts w:eastAsia="標楷體"/>
          <w:kern w:val="0"/>
        </w:rPr>
        <w:t>ü</w:t>
      </w:r>
      <w:r>
        <w:rPr>
          <w:rFonts w:eastAsia="標楷體" w:hint="eastAsia"/>
          <w:kern w:val="0"/>
        </w:rPr>
        <w:t>ckbewirkung von Rechtsfolgen</w:t>
      </w:r>
      <w:r>
        <w:rPr>
          <w:rFonts w:eastAsia="細明體" w:hint="eastAsia"/>
          <w:kern w:val="0"/>
        </w:rPr>
        <w:t>）」，才發生法律溯及既往的問題。「所有其他在規範中包含的要素則係</w:t>
      </w:r>
      <w:r>
        <w:rPr>
          <w:rFonts w:eastAsia="細明體"/>
          <w:kern w:val="0"/>
        </w:rPr>
        <w:t>…</w:t>
      </w:r>
      <w:proofErr w:type="gramStart"/>
      <w:r>
        <w:rPr>
          <w:rFonts w:eastAsia="細明體"/>
          <w:kern w:val="0"/>
        </w:rPr>
        <w:t>…</w:t>
      </w:r>
      <w:proofErr w:type="gramEnd"/>
      <w:r>
        <w:rPr>
          <w:rFonts w:eastAsia="細明體" w:hint="eastAsia"/>
          <w:kern w:val="0"/>
        </w:rPr>
        <w:t>其構成要件要素」，</w:t>
      </w:r>
      <w:r>
        <w:rPr>
          <w:rFonts w:eastAsia="細明體" w:hint="eastAsia"/>
          <w:kern w:val="0"/>
        </w:rPr>
        <w:lastRenderedPageBreak/>
        <w:t>「假使規範之法律效果的發生取決於其公布之前的相關事實，則其屬</w:t>
      </w:r>
      <w:r>
        <w:rPr>
          <w:rFonts w:ascii="標楷體" w:eastAsia="標楷體" w:hAnsi="標楷體" w:hint="eastAsia"/>
          <w:b/>
          <w:kern w:val="0"/>
        </w:rPr>
        <w:t>構成要件的回溯連結</w:t>
      </w:r>
      <w:r>
        <w:rPr>
          <w:rFonts w:eastAsia="細明體" w:hint="eastAsia"/>
          <w:kern w:val="0"/>
        </w:rPr>
        <w:t>（</w:t>
      </w:r>
      <w:r>
        <w:rPr>
          <w:rFonts w:eastAsia="細明體" w:hint="eastAsia"/>
          <w:kern w:val="0"/>
        </w:rPr>
        <w:t>tatbestandliche R</w:t>
      </w:r>
      <w:r>
        <w:rPr>
          <w:rFonts w:eastAsia="細明體"/>
          <w:kern w:val="0"/>
        </w:rPr>
        <w:t>ü</w:t>
      </w:r>
      <w:r>
        <w:rPr>
          <w:rFonts w:eastAsia="細明體" w:hint="eastAsia"/>
          <w:kern w:val="0"/>
        </w:rPr>
        <w:t>ckankn</w:t>
      </w:r>
      <w:r>
        <w:rPr>
          <w:rFonts w:eastAsia="細明體"/>
          <w:kern w:val="0"/>
        </w:rPr>
        <w:t>ü</w:t>
      </w:r>
      <w:r>
        <w:rPr>
          <w:rFonts w:eastAsia="細明體" w:hint="eastAsia"/>
          <w:kern w:val="0"/>
        </w:rPr>
        <w:t>pfung</w:t>
      </w:r>
      <w:r>
        <w:rPr>
          <w:rFonts w:eastAsia="細明體" w:hint="eastAsia"/>
          <w:kern w:val="0"/>
        </w:rPr>
        <w:t>）」。第二庭並且認定，</w:t>
      </w:r>
      <w:r>
        <w:rPr>
          <w:rFonts w:ascii="標楷體" w:eastAsia="標楷體" w:hAnsi="標楷體" w:hint="eastAsia"/>
          <w:b/>
          <w:kern w:val="0"/>
        </w:rPr>
        <w:t>據以審查前述二者的憲法標準亦截然有別</w:t>
      </w:r>
      <w:r>
        <w:rPr>
          <w:rFonts w:eastAsia="細明體" w:hint="eastAsia"/>
          <w:kern w:val="0"/>
        </w:rPr>
        <w:t>：「法律效果的回溯發生一般將引發，對原本有效之法律效果情境</w:t>
      </w:r>
      <w:r>
        <w:rPr>
          <w:rFonts w:eastAsia="細明體"/>
          <w:kern w:val="0"/>
        </w:rPr>
        <w:t>…</w:t>
      </w:r>
      <w:proofErr w:type="gramStart"/>
      <w:r>
        <w:rPr>
          <w:rFonts w:eastAsia="細明體"/>
          <w:kern w:val="0"/>
        </w:rPr>
        <w:t>…</w:t>
      </w:r>
      <w:proofErr w:type="gramEnd"/>
      <w:r>
        <w:rPr>
          <w:rFonts w:eastAsia="細明體" w:hint="eastAsia"/>
          <w:kern w:val="0"/>
        </w:rPr>
        <w:t>之繼續存在的信賴保護問題。因此，在法律效果之回溯發生的情況，</w:t>
      </w:r>
      <w:r>
        <w:rPr>
          <w:rFonts w:ascii="標楷體" w:eastAsia="標楷體" w:hAnsi="標楷體" w:hint="eastAsia"/>
          <w:b/>
          <w:kern w:val="0"/>
        </w:rPr>
        <w:t>首先應依據法治國的各項原則，尤其是信賴保護</w:t>
      </w:r>
      <w:r>
        <w:rPr>
          <w:rFonts w:ascii="標楷體" w:eastAsia="標楷體" w:hAnsi="標楷體" w:hint="eastAsia"/>
          <w:b/>
          <w:kern w:val="0"/>
        </w:rPr>
        <w:t>與法安定性來審查</w:t>
      </w:r>
      <w:r>
        <w:rPr>
          <w:rFonts w:eastAsia="細明體"/>
          <w:kern w:val="0"/>
        </w:rPr>
        <w:t>…</w:t>
      </w:r>
      <w:proofErr w:type="gramStart"/>
      <w:r>
        <w:rPr>
          <w:rFonts w:eastAsia="細明體"/>
          <w:kern w:val="0"/>
        </w:rPr>
        <w:t>…</w:t>
      </w:r>
      <w:proofErr w:type="gramEnd"/>
      <w:r>
        <w:rPr>
          <w:rFonts w:eastAsia="細明體" w:hint="eastAsia"/>
          <w:kern w:val="0"/>
        </w:rPr>
        <w:t>然而，在根據此等原則審查時亦應考量，因法律效果事後變更而受不利影響的基本權」；「相反地，在構成要件回溯連結的情況，首先受影響的是（在規範公布前，藉由實現該當構成要件要素，已開始運用的）基本權。</w:t>
      </w:r>
      <w:r>
        <w:rPr>
          <w:rFonts w:eastAsia="細明體"/>
          <w:kern w:val="0"/>
        </w:rPr>
        <w:t>…</w:t>
      </w:r>
      <w:proofErr w:type="gramStart"/>
      <w:r>
        <w:rPr>
          <w:rFonts w:eastAsia="細明體"/>
          <w:kern w:val="0"/>
        </w:rPr>
        <w:t>…</w:t>
      </w:r>
      <w:proofErr w:type="gramEnd"/>
      <w:r>
        <w:rPr>
          <w:rFonts w:eastAsia="細明體" w:hint="eastAsia"/>
          <w:kern w:val="0"/>
        </w:rPr>
        <w:t>在因此必要的</w:t>
      </w:r>
      <w:r>
        <w:rPr>
          <w:rFonts w:ascii="標楷體" w:eastAsia="標楷體" w:hAnsi="標楷體" w:hint="eastAsia"/>
          <w:b/>
          <w:kern w:val="0"/>
        </w:rPr>
        <w:t>基本權評價</w:t>
      </w:r>
      <w:r>
        <w:rPr>
          <w:rFonts w:eastAsia="細明體" w:hint="eastAsia"/>
          <w:kern w:val="0"/>
        </w:rPr>
        <w:t>裡，信賴保護、法安定性，乃至</w:t>
      </w:r>
      <w:r>
        <w:rPr>
          <w:rFonts w:eastAsia="細明體"/>
          <w:kern w:val="0"/>
        </w:rPr>
        <w:t>…</w:t>
      </w:r>
      <w:proofErr w:type="gramStart"/>
      <w:r>
        <w:rPr>
          <w:rFonts w:eastAsia="細明體"/>
          <w:kern w:val="0"/>
        </w:rPr>
        <w:t>…</w:t>
      </w:r>
      <w:proofErr w:type="gramEnd"/>
      <w:r>
        <w:rPr>
          <w:rFonts w:eastAsia="細明體" w:hint="eastAsia"/>
          <w:kern w:val="0"/>
        </w:rPr>
        <w:t>比例</w:t>
      </w:r>
      <w:proofErr w:type="gramStart"/>
      <w:r>
        <w:rPr>
          <w:rFonts w:eastAsia="細明體" w:hint="eastAsia"/>
          <w:kern w:val="0"/>
        </w:rPr>
        <w:t>原則均應一併</w:t>
      </w:r>
      <w:proofErr w:type="gramEnd"/>
      <w:r>
        <w:rPr>
          <w:rFonts w:eastAsia="細明體" w:hint="eastAsia"/>
          <w:kern w:val="0"/>
        </w:rPr>
        <w:t>考量」</w:t>
      </w:r>
      <w:r>
        <w:rPr>
          <w:rFonts w:eastAsia="細明體"/>
          <w:kern w:val="0"/>
          <w:vertAlign w:val="superscript"/>
        </w:rPr>
        <w:footnoteReference w:id="69"/>
      </w:r>
      <w:r>
        <w:rPr>
          <w:rFonts w:eastAsia="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關於聯邦憲法法院第二庭的前述轉變，誠如</w:t>
      </w:r>
      <w:r>
        <w:rPr>
          <w:rFonts w:eastAsia="細明體" w:hint="eastAsia"/>
          <w:kern w:val="0"/>
        </w:rPr>
        <w:t>Bodo Pieroth</w:t>
      </w:r>
      <w:r>
        <w:rPr>
          <w:rFonts w:eastAsia="細明體" w:hint="eastAsia"/>
          <w:kern w:val="0"/>
        </w:rPr>
        <w:t>所述，第二庭前揭裁判</w:t>
      </w:r>
      <w:proofErr w:type="gramStart"/>
      <w:r>
        <w:rPr>
          <w:rFonts w:eastAsia="細明體" w:hint="eastAsia"/>
          <w:kern w:val="0"/>
        </w:rPr>
        <w:t>凸</w:t>
      </w:r>
      <w:proofErr w:type="gramEnd"/>
      <w:r>
        <w:rPr>
          <w:rFonts w:eastAsia="細明體" w:hint="eastAsia"/>
          <w:kern w:val="0"/>
        </w:rPr>
        <w:t>顯了法律效果回溯到過去發生的標準，對於法律「真正溯及」與「</w:t>
      </w:r>
      <w:proofErr w:type="gramStart"/>
      <w:r>
        <w:rPr>
          <w:rFonts w:eastAsia="細明體" w:hint="eastAsia"/>
          <w:kern w:val="0"/>
        </w:rPr>
        <w:t>不</w:t>
      </w:r>
      <w:proofErr w:type="gramEnd"/>
      <w:r>
        <w:rPr>
          <w:rFonts w:eastAsia="細明體" w:hint="eastAsia"/>
          <w:kern w:val="0"/>
        </w:rPr>
        <w:t>真正溯及」的區分，有</w:t>
      </w:r>
      <w:proofErr w:type="gramStart"/>
      <w:r>
        <w:rPr>
          <w:rFonts w:eastAsia="細明體" w:hint="eastAsia"/>
          <w:kern w:val="0"/>
        </w:rPr>
        <w:t>釐</w:t>
      </w:r>
      <w:proofErr w:type="gramEnd"/>
      <w:r>
        <w:rPr>
          <w:rFonts w:eastAsia="細明體" w:hint="eastAsia"/>
          <w:kern w:val="0"/>
        </w:rPr>
        <w:t>清的效果。然而，假使詳細審視，所謂的新</w:t>
      </w:r>
      <w:r>
        <w:rPr>
          <w:rFonts w:eastAsia="細明體" w:hint="eastAsia"/>
          <w:kern w:val="0"/>
        </w:rPr>
        <w:t>取向（</w:t>
      </w:r>
      <w:r>
        <w:rPr>
          <w:rFonts w:eastAsia="細明體" w:hint="eastAsia"/>
          <w:kern w:val="0"/>
        </w:rPr>
        <w:t>Neuorientierung</w:t>
      </w:r>
      <w:r>
        <w:rPr>
          <w:rFonts w:eastAsia="細明體" w:hint="eastAsia"/>
          <w:kern w:val="0"/>
        </w:rPr>
        <w:t>）其實只是換標籤（</w:t>
      </w:r>
      <w:r>
        <w:rPr>
          <w:rFonts w:eastAsia="細明體" w:hint="eastAsia"/>
          <w:kern w:val="0"/>
        </w:rPr>
        <w:t>Umetikettierung</w:t>
      </w:r>
      <w:r>
        <w:rPr>
          <w:rFonts w:eastAsia="細明體" w:hint="eastAsia"/>
          <w:kern w:val="0"/>
        </w:rPr>
        <w:t>）而已</w:t>
      </w:r>
      <w:r>
        <w:rPr>
          <w:rFonts w:eastAsia="細明體"/>
          <w:kern w:val="0"/>
          <w:vertAlign w:val="superscript"/>
        </w:rPr>
        <w:footnoteReference w:id="70"/>
      </w:r>
      <w:r>
        <w:rPr>
          <w:rFonts w:eastAsia="細明體" w:hint="eastAsia"/>
          <w:kern w:val="0"/>
        </w:rPr>
        <w:t>。</w:t>
      </w:r>
      <w:r>
        <w:rPr>
          <w:rFonts w:eastAsia="細明體" w:hint="eastAsia"/>
          <w:kern w:val="0"/>
        </w:rPr>
        <w:t>B. Pieroth</w:t>
      </w:r>
      <w:r>
        <w:rPr>
          <w:rFonts w:eastAsia="細明體" w:hint="eastAsia"/>
          <w:kern w:val="0"/>
        </w:rPr>
        <w:t>的前述論斷應予支持。蓋假使正確理解「真正溯及」的涵義，則聯邦憲法法院向來的見解與第二庭前揭裁判並無差異。依前述</w:t>
      </w:r>
      <w:r>
        <w:rPr>
          <w:rFonts w:hAnsi="新細明體" w:hint="eastAsia"/>
          <w:kern w:val="0"/>
        </w:rPr>
        <w:t>E. Grabitz</w:t>
      </w:r>
      <w:r>
        <w:rPr>
          <w:rFonts w:hAnsi="新細明體" w:hint="eastAsia"/>
          <w:kern w:val="0"/>
        </w:rPr>
        <w:t>的說明，「真正溯及」本來就意指，對於</w:t>
      </w:r>
      <w:r>
        <w:rPr>
          <w:rFonts w:eastAsia="細明體" w:hint="eastAsia"/>
          <w:kern w:val="0"/>
        </w:rPr>
        <w:t>「</w:t>
      </w:r>
      <w:r>
        <w:rPr>
          <w:rFonts w:hAnsi="新細明體" w:hint="eastAsia"/>
          <w:kern w:val="0"/>
        </w:rPr>
        <w:t>已實現被變更之法律的構成要件並已引發相連結之法律效果的行為」</w:t>
      </w:r>
      <w:proofErr w:type="gramStart"/>
      <w:r>
        <w:rPr>
          <w:rFonts w:ascii="新細明體" w:hAnsi="新細明體" w:hint="eastAsia"/>
          <w:kern w:val="0"/>
        </w:rPr>
        <w:t>―</w:t>
      </w:r>
      <w:proofErr w:type="gramEnd"/>
      <w:r>
        <w:rPr>
          <w:rFonts w:hAnsi="新細明體" w:hint="eastAsia"/>
          <w:kern w:val="0"/>
        </w:rPr>
        <w:t>「已了結的構成要件事實」，事後課予新的負擔</w:t>
      </w:r>
      <w:r>
        <w:rPr>
          <w:rFonts w:hAnsi="新細明體"/>
          <w:kern w:val="0"/>
          <w:vertAlign w:val="superscript"/>
        </w:rPr>
        <w:footnoteReference w:id="71"/>
      </w:r>
      <w:r>
        <w:rPr>
          <w:rFonts w:hAnsi="新細明體" w:hint="eastAsia"/>
          <w:kern w:val="0"/>
        </w:rPr>
        <w:t>。</w:t>
      </w:r>
      <w:proofErr w:type="gramStart"/>
      <w:r>
        <w:rPr>
          <w:rFonts w:hAnsi="新細明體" w:hint="eastAsia"/>
          <w:kern w:val="0"/>
        </w:rPr>
        <w:t>此外，</w:t>
      </w:r>
      <w:proofErr w:type="gramEnd"/>
      <w:r>
        <w:rPr>
          <w:rFonts w:hAnsi="新細明體" w:hint="eastAsia"/>
          <w:kern w:val="0"/>
        </w:rPr>
        <w:t>第二庭對「法律效果的回溯發生」與「構成要件的回溯連結」分別採取的不同憲法審查標準，立場上與聯邦憲法法院的向來見解，其</w:t>
      </w:r>
      <w:r>
        <w:rPr>
          <w:rFonts w:hAnsi="新細明體" w:hint="eastAsia"/>
          <w:kern w:val="0"/>
        </w:rPr>
        <w:t>實亦無大異。蓋聯邦憲法法院本來就是基於信賴保護原則的考量而認定「真正溯及」原則上不能容許；至於「</w:t>
      </w:r>
      <w:proofErr w:type="gramStart"/>
      <w:r>
        <w:rPr>
          <w:rFonts w:hAnsi="新細明體" w:hint="eastAsia"/>
          <w:kern w:val="0"/>
        </w:rPr>
        <w:t>不</w:t>
      </w:r>
      <w:proofErr w:type="gramEnd"/>
      <w:r>
        <w:rPr>
          <w:rFonts w:hAnsi="新細明體" w:hint="eastAsia"/>
          <w:kern w:val="0"/>
        </w:rPr>
        <w:t>真正溯及」，</w:t>
      </w:r>
      <w:r>
        <w:rPr>
          <w:rFonts w:hAnsi="新細明體" w:hint="eastAsia"/>
          <w:kern w:val="0"/>
        </w:rPr>
        <w:lastRenderedPageBreak/>
        <w:t>就信賴保護原則的角度而言，固然原則上容許，但如該當立法措施影響基本權，自應依各該憲法規定（包括比例原則）加以審查。</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2. </w:t>
      </w:r>
      <w:r>
        <w:rPr>
          <w:rFonts w:hAnsi="新細明體"/>
          <w:kern w:val="0"/>
        </w:rPr>
        <w:t>以受影響之基本權為據的論述方式</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t>因公權力機關變更其行為方向而影響人民權益的處理，</w:t>
      </w:r>
      <w:r>
        <w:rPr>
          <w:rFonts w:hAnsi="新細明體" w:hint="eastAsia"/>
          <w:kern w:val="0"/>
        </w:rPr>
        <w:t>Walter Schmidt</w:t>
      </w:r>
      <w:r>
        <w:rPr>
          <w:rFonts w:hAnsi="新細明體" w:hint="eastAsia"/>
          <w:kern w:val="0"/>
        </w:rPr>
        <w:t>採取截然不同的論述方式。其主張，在立法或行政改變方向以致影響人民權益時，人民防衛其法律地位的</w:t>
      </w:r>
      <w:r>
        <w:rPr>
          <w:rFonts w:ascii="標楷體" w:eastAsia="標楷體" w:hAnsi="標楷體" w:hint="eastAsia"/>
          <w:b/>
          <w:kern w:val="0"/>
        </w:rPr>
        <w:t>適當憲法依據為基本法第</w:t>
      </w:r>
      <w:r>
        <w:rPr>
          <w:rFonts w:eastAsia="標楷體"/>
          <w:b/>
          <w:kern w:val="0"/>
        </w:rPr>
        <w:t>14</w:t>
      </w:r>
      <w:r>
        <w:rPr>
          <w:rFonts w:ascii="標楷體" w:eastAsia="標楷體" w:hAnsi="標楷體" w:hint="eastAsia"/>
          <w:b/>
          <w:kern w:val="0"/>
        </w:rPr>
        <w:t>條的財產權保障條款，而非信賴保護原則</w:t>
      </w:r>
      <w:r>
        <w:rPr>
          <w:rFonts w:hAnsi="新細明體" w:hint="eastAsia"/>
          <w:kern w:val="0"/>
        </w:rPr>
        <w:t>。其認定，訴諸</w:t>
      </w:r>
      <w:r>
        <w:rPr>
          <w:rFonts w:hAnsi="新細明體" w:hint="eastAsia"/>
          <w:kern w:val="0"/>
        </w:rPr>
        <w:t>「信賴保護」的案件類型向來都涉及，藉基本法第</w:t>
      </w:r>
      <w:r>
        <w:rPr>
          <w:rFonts w:hAnsi="新細明體" w:hint="eastAsia"/>
          <w:kern w:val="0"/>
        </w:rPr>
        <w:t>14</w:t>
      </w:r>
      <w:r>
        <w:rPr>
          <w:rFonts w:hAnsi="新細明體" w:hint="eastAsia"/>
          <w:kern w:val="0"/>
        </w:rPr>
        <w:t>條保障的個人法律地位。因為財產權這種基本權的重點在保護，「與權利客體相關聯」（</w:t>
      </w:r>
      <w:r>
        <w:rPr>
          <w:rFonts w:hAnsi="新細明體" w:hint="eastAsia"/>
          <w:kern w:val="0"/>
        </w:rPr>
        <w:t>objektbezogen</w:t>
      </w:r>
      <w:r>
        <w:rPr>
          <w:rFonts w:hAnsi="新細明體" w:hint="eastAsia"/>
          <w:kern w:val="0"/>
        </w:rPr>
        <w:t>），已歸屬權利主體的法律地位。而司法裁判發展出來之「信賴保護思想」，其功能也在於維護已取得之法律地位。</w:t>
      </w:r>
      <w:r>
        <w:rPr>
          <w:rFonts w:hAnsi="新細明體" w:hint="eastAsia"/>
          <w:kern w:val="0"/>
        </w:rPr>
        <w:t>W. Schmidt</w:t>
      </w:r>
      <w:r>
        <w:rPr>
          <w:rFonts w:hAnsi="新細明體" w:hint="eastAsia"/>
          <w:kern w:val="0"/>
        </w:rPr>
        <w:t>其並認為，以財產權的論證方式取代「信賴保護思想」，更能說明防衛請求權或損害填補請求權的前提與後果。就保護範圍的前提要件而言，基本法第</w:t>
      </w:r>
      <w:r>
        <w:rPr>
          <w:rFonts w:hAnsi="新細明體" w:hint="eastAsia"/>
          <w:kern w:val="0"/>
        </w:rPr>
        <w:t>14</w:t>
      </w:r>
      <w:r>
        <w:rPr>
          <w:rFonts w:hAnsi="新細明體" w:hint="eastAsia"/>
          <w:kern w:val="0"/>
        </w:rPr>
        <w:t>條有助於區隔「不值得保護」的機會或期待，「值得保護」者僅限於憲法所保障的財產權。</w:t>
      </w:r>
      <w:proofErr w:type="gramStart"/>
      <w:r>
        <w:rPr>
          <w:rFonts w:hAnsi="新細明體" w:hint="eastAsia"/>
          <w:kern w:val="0"/>
        </w:rPr>
        <w:t>此外，</w:t>
      </w:r>
      <w:proofErr w:type="gramEnd"/>
      <w:r>
        <w:rPr>
          <w:rFonts w:hAnsi="新細明體" w:hint="eastAsia"/>
          <w:kern w:val="0"/>
        </w:rPr>
        <w:t>在行政法的領域，</w:t>
      </w:r>
      <w:r>
        <w:rPr>
          <w:rFonts w:hAnsi="新細明體" w:hint="eastAsia"/>
          <w:kern w:val="0"/>
        </w:rPr>
        <w:t>以基本法第</w:t>
      </w:r>
      <w:r>
        <w:rPr>
          <w:rFonts w:hAnsi="新細明體" w:hint="eastAsia"/>
          <w:kern w:val="0"/>
        </w:rPr>
        <w:t>14</w:t>
      </w:r>
      <w:r>
        <w:rPr>
          <w:rFonts w:hAnsi="新細明體" w:hint="eastAsia"/>
          <w:kern w:val="0"/>
        </w:rPr>
        <w:t>條為基礎也容易區分，不受限制地可容許的以及，只有補償其「信賴損失」（</w:t>
      </w:r>
      <w:r>
        <w:rPr>
          <w:rFonts w:hAnsi="新細明體" w:hint="eastAsia"/>
          <w:kern w:val="0"/>
        </w:rPr>
        <w:t>Vertrauensschaden</w:t>
      </w:r>
      <w:r>
        <w:rPr>
          <w:rFonts w:hAnsi="新細明體" w:hint="eastAsia"/>
          <w:kern w:val="0"/>
        </w:rPr>
        <w:t>）始能容許的，對既已取得之法律地位的干涉。假使運用此一結論到法律變更之合憲性的審查上，因事後介入已終結的事實（聯邦憲法法院將之歸類為「真正溯及」）毋寧是例外，大部分的案例是就尚未終結的事實、法律關係所作的，配合經濟、社會關係的調整，質言之，其大抵將歸屬財產權的社會拘束（</w:t>
      </w:r>
      <w:r>
        <w:rPr>
          <w:rFonts w:hAnsi="新細明體" w:hint="eastAsia"/>
          <w:kern w:val="0"/>
        </w:rPr>
        <w:t xml:space="preserve">Sozialbindung, </w:t>
      </w:r>
      <w:r>
        <w:rPr>
          <w:rFonts w:hAnsi="新細明體" w:hint="eastAsia"/>
          <w:kern w:val="0"/>
        </w:rPr>
        <w:t>基本法第</w:t>
      </w:r>
      <w:r>
        <w:rPr>
          <w:rFonts w:hAnsi="新細明體" w:hint="eastAsia"/>
          <w:kern w:val="0"/>
        </w:rPr>
        <w:t>14</w:t>
      </w:r>
      <w:r>
        <w:rPr>
          <w:rFonts w:hAnsi="新細明體" w:hint="eastAsia"/>
          <w:kern w:val="0"/>
        </w:rPr>
        <w:t>條第</w:t>
      </w:r>
      <w:r>
        <w:rPr>
          <w:rFonts w:hAnsi="新細明體" w:hint="eastAsia"/>
          <w:kern w:val="0"/>
        </w:rPr>
        <w:t>1</w:t>
      </w:r>
      <w:r>
        <w:rPr>
          <w:rFonts w:hAnsi="新細明體" w:hint="eastAsia"/>
          <w:kern w:val="0"/>
        </w:rPr>
        <w:t>項第</w:t>
      </w:r>
      <w:r>
        <w:rPr>
          <w:rFonts w:hAnsi="新細明體" w:hint="eastAsia"/>
          <w:kern w:val="0"/>
        </w:rPr>
        <w:t>2</w:t>
      </w:r>
      <w:r>
        <w:rPr>
          <w:rFonts w:hAnsi="新細明體" w:hint="eastAsia"/>
          <w:kern w:val="0"/>
        </w:rPr>
        <w:t>句），因此為財產權人所應承擔的風險範圍</w:t>
      </w:r>
      <w:r>
        <w:rPr>
          <w:rFonts w:hAnsi="新細明體"/>
          <w:kern w:val="0"/>
          <w:vertAlign w:val="superscript"/>
        </w:rPr>
        <w:footnoteReference w:id="72"/>
      </w:r>
      <w:r>
        <w:rPr>
          <w:rFonts w:hAnsi="新細明體" w:hint="eastAsia"/>
          <w:kern w:val="0"/>
        </w:rPr>
        <w:t>。就此，</w:t>
      </w:r>
      <w:r>
        <w:rPr>
          <w:rFonts w:hAnsi="新細明體" w:hint="eastAsia"/>
          <w:kern w:val="0"/>
        </w:rPr>
        <w:t>Gunter Kiske</w:t>
      </w:r>
      <w:r>
        <w:rPr>
          <w:rFonts w:hAnsi="新細明體" w:hint="eastAsia"/>
          <w:kern w:val="0"/>
        </w:rPr>
        <w:t>r</w:t>
      </w:r>
      <w:r>
        <w:rPr>
          <w:rFonts w:hAnsi="新細明體" w:hint="eastAsia"/>
          <w:kern w:val="0"/>
        </w:rPr>
        <w:t>正確地批評，</w:t>
      </w:r>
      <w:r>
        <w:rPr>
          <w:rFonts w:hAnsi="新細明體" w:hint="eastAsia"/>
          <w:kern w:val="0"/>
        </w:rPr>
        <w:t>W. Shmidt</w:t>
      </w:r>
      <w:r>
        <w:rPr>
          <w:rFonts w:hAnsi="新細明體" w:hint="eastAsia"/>
          <w:kern w:val="0"/>
        </w:rPr>
        <w:t>前述以財產權保障全然吸收信賴保護原則的見解。人民信賴法秩序所為之安排的保障，不能只片面地由財產保障的角度來觀察。外部調控日益強化的</w:t>
      </w:r>
      <w:r>
        <w:rPr>
          <w:rFonts w:hAnsi="新細明體" w:hint="eastAsia"/>
          <w:kern w:val="0"/>
        </w:rPr>
        <w:lastRenderedPageBreak/>
        <w:t>社會環境並非都能由金錢換得，</w:t>
      </w:r>
      <w:proofErr w:type="gramStart"/>
      <w:r>
        <w:rPr>
          <w:rFonts w:hAnsi="新細明體" w:hint="eastAsia"/>
          <w:kern w:val="0"/>
        </w:rPr>
        <w:t>此外，</w:t>
      </w:r>
      <w:proofErr w:type="gramEnd"/>
      <w:r>
        <w:rPr>
          <w:rFonts w:hAnsi="新細明體" w:hint="eastAsia"/>
          <w:kern w:val="0"/>
        </w:rPr>
        <w:t>被破壞的安排通常也不能透過金錢獲得全然的填補</w:t>
      </w:r>
      <w:r>
        <w:rPr>
          <w:rFonts w:hAnsi="新細明體"/>
          <w:kern w:val="0"/>
          <w:vertAlign w:val="superscript"/>
        </w:rPr>
        <w:footnoteReference w:id="73"/>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E. Grabitz</w:t>
      </w:r>
      <w:r>
        <w:rPr>
          <w:rFonts w:hAnsi="新細明體" w:hint="eastAsia"/>
          <w:kern w:val="0"/>
        </w:rPr>
        <w:t>也反對，原則上不容許真正溯及與不真正溯及原則上容許的分類方式。其認定，此分類以被變更之法規範的法定要件是否已實現以及，與之相連結之法律效果是否已出現等</w:t>
      </w:r>
      <w:r>
        <w:rPr>
          <w:rFonts w:ascii="標楷體" w:eastAsia="標楷體" w:hAnsi="標楷體" w:hint="eastAsia"/>
          <w:b/>
          <w:kern w:val="0"/>
        </w:rPr>
        <w:t>客觀標準</w:t>
      </w:r>
      <w:r>
        <w:rPr>
          <w:rFonts w:hAnsi="新細明體" w:hint="eastAsia"/>
          <w:kern w:val="0"/>
        </w:rPr>
        <w:t>為據；然而，法律溯及之所以導致憲法上的疑義則是因為，國民對法律的</w:t>
      </w:r>
      <w:r>
        <w:rPr>
          <w:rFonts w:ascii="標楷體" w:eastAsia="標楷體" w:hAnsi="標楷體" w:hint="eastAsia"/>
          <w:b/>
          <w:kern w:val="0"/>
        </w:rPr>
        <w:t>主觀期待</w:t>
      </w:r>
      <w:r>
        <w:rPr>
          <w:rFonts w:hAnsi="新細明體" w:hint="eastAsia"/>
          <w:kern w:val="0"/>
        </w:rPr>
        <w:t>，其對</w:t>
      </w:r>
      <w:r>
        <w:rPr>
          <w:rFonts w:hAnsi="新細明體" w:hint="eastAsia"/>
          <w:kern w:val="0"/>
        </w:rPr>
        <w:t>法規範繼續存在的信賴因法規範的變更而失望。這種信賴在</w:t>
      </w:r>
      <w:proofErr w:type="gramStart"/>
      <w:r>
        <w:rPr>
          <w:rFonts w:hAnsi="新細明體" w:hint="eastAsia"/>
          <w:kern w:val="0"/>
        </w:rPr>
        <w:t>兩種溯</w:t>
      </w:r>
      <w:proofErr w:type="gramEnd"/>
      <w:r>
        <w:rPr>
          <w:rFonts w:hAnsi="新細明體" w:hint="eastAsia"/>
          <w:kern w:val="0"/>
        </w:rPr>
        <w:t>及狀況並無不同，其均牽涉，相對於嗣後法律評價的變更，基於信賴向來法秩序所作的安排（</w:t>
      </w:r>
      <w:r>
        <w:rPr>
          <w:rFonts w:hAnsi="新細明體" w:hint="eastAsia"/>
          <w:kern w:val="0"/>
        </w:rPr>
        <w:t>Dispositionen</w:t>
      </w:r>
      <w:r>
        <w:rPr>
          <w:rFonts w:hAnsi="新細明體" w:hint="eastAsia"/>
          <w:kern w:val="0"/>
        </w:rPr>
        <w:t>）應否受到保障的問題。他主張，假使把自由的憲法原則理解為</w:t>
      </w:r>
      <w:proofErr w:type="gramStart"/>
      <w:r>
        <w:rPr>
          <w:rFonts w:hAnsi="新細明體" w:hint="eastAsia"/>
          <w:kern w:val="0"/>
        </w:rPr>
        <w:t>儘</w:t>
      </w:r>
      <w:proofErr w:type="gramEnd"/>
      <w:r>
        <w:rPr>
          <w:rFonts w:hAnsi="新細明體" w:hint="eastAsia"/>
          <w:kern w:val="0"/>
        </w:rPr>
        <w:t>可能確保人格自由實現的機會的話，其不僅應藉由避免限制人的行為自由來實現，法定行為框架的穩定持續也是確保人格自由之實現機會的方法。因此不僅不受干涉的消極自由，依現存法律狀態賦予的行為可能性，質言之，</w:t>
      </w:r>
      <w:r>
        <w:rPr>
          <w:rFonts w:ascii="新細明體" w:hAnsi="新細明體" w:hint="eastAsia"/>
          <w:kern w:val="0"/>
        </w:rPr>
        <w:t>基於信賴向來法秩序所作的安排，亦應歸屬於一般行動自由的保護範圍。結論是：</w:t>
      </w:r>
      <w:r>
        <w:rPr>
          <w:rFonts w:ascii="標楷體" w:eastAsia="標楷體" w:hAnsi="標楷體" w:hint="eastAsia"/>
          <w:b/>
          <w:kern w:val="0"/>
        </w:rPr>
        <w:t>不論真正溯及或</w:t>
      </w:r>
      <w:proofErr w:type="gramStart"/>
      <w:r>
        <w:rPr>
          <w:rFonts w:ascii="標楷體" w:eastAsia="標楷體" w:hAnsi="標楷體" w:hint="eastAsia"/>
          <w:b/>
          <w:kern w:val="0"/>
        </w:rPr>
        <w:t>不</w:t>
      </w:r>
      <w:proofErr w:type="gramEnd"/>
      <w:r>
        <w:rPr>
          <w:rFonts w:ascii="標楷體" w:eastAsia="標楷體" w:hAnsi="標楷體" w:hint="eastAsia"/>
          <w:b/>
          <w:kern w:val="0"/>
        </w:rPr>
        <w:t>真正</w:t>
      </w:r>
      <w:r>
        <w:rPr>
          <w:rFonts w:ascii="標楷體" w:eastAsia="標楷體" w:hAnsi="標楷體" w:hint="eastAsia"/>
          <w:b/>
          <w:kern w:val="0"/>
        </w:rPr>
        <w:t>溯及都將影響一般行動自由，必須基於合憲公益考量並符合比例原則的要求方才合憲</w:t>
      </w:r>
      <w:r>
        <w:rPr>
          <w:rFonts w:hAnsi="新細明體"/>
          <w:kern w:val="0"/>
          <w:vertAlign w:val="superscript"/>
        </w:rPr>
        <w:footnoteReference w:id="74"/>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可以歸屬到這一論述理路的還有</w:t>
      </w:r>
      <w:r>
        <w:rPr>
          <w:rFonts w:hAnsi="新細明體" w:hint="eastAsia"/>
          <w:kern w:val="0"/>
        </w:rPr>
        <w:t>Ferdinand O. Kopp</w:t>
      </w:r>
      <w:r>
        <w:rPr>
          <w:rFonts w:hAnsi="新細明體" w:hint="eastAsia"/>
          <w:kern w:val="0"/>
        </w:rPr>
        <w:t>的見解。他主張，</w:t>
      </w:r>
      <w:r>
        <w:rPr>
          <w:rFonts w:ascii="標楷體" w:eastAsia="標楷體" w:hAnsi="標楷體" w:hint="eastAsia"/>
          <w:b/>
          <w:kern w:val="0"/>
        </w:rPr>
        <w:t>以法益保障與可期待性的判</w:t>
      </w:r>
      <w:proofErr w:type="gramStart"/>
      <w:r>
        <w:rPr>
          <w:rFonts w:ascii="標楷體" w:eastAsia="標楷體" w:hAnsi="標楷體" w:hint="eastAsia"/>
          <w:b/>
          <w:kern w:val="0"/>
        </w:rPr>
        <w:t>準</w:t>
      </w:r>
      <w:proofErr w:type="gramEnd"/>
      <w:r>
        <w:rPr>
          <w:rFonts w:ascii="標楷體" w:eastAsia="標楷體" w:hAnsi="標楷體" w:hint="eastAsia"/>
          <w:b/>
          <w:kern w:val="0"/>
        </w:rPr>
        <w:t>代替信賴保護原則</w:t>
      </w:r>
      <w:r>
        <w:rPr>
          <w:rFonts w:hAnsi="新細明體" w:hint="eastAsia"/>
          <w:kern w:val="0"/>
        </w:rPr>
        <w:t>，並且認為，如此能提供實務問題比較</w:t>
      </w:r>
      <w:proofErr w:type="gramStart"/>
      <w:r>
        <w:rPr>
          <w:rFonts w:hAnsi="新細明體" w:hint="eastAsia"/>
          <w:kern w:val="0"/>
        </w:rPr>
        <w:t>清晰、</w:t>
      </w:r>
      <w:proofErr w:type="gramEnd"/>
      <w:r>
        <w:rPr>
          <w:rFonts w:hAnsi="新細明體" w:hint="eastAsia"/>
          <w:kern w:val="0"/>
        </w:rPr>
        <w:t>有說服力的解答。其指出，分析與信賴保護相關的司法裁判可以發現，法院首先其實是取向被影響的法益，並審查，在考量相關措施的目的與其重要性之下，對於法益受影響者而言，此等法益的影響可否期待其接受以及，是否</w:t>
      </w:r>
      <w:proofErr w:type="gramStart"/>
      <w:r>
        <w:rPr>
          <w:rFonts w:hAnsi="新細明體" w:hint="eastAsia"/>
          <w:kern w:val="0"/>
        </w:rPr>
        <w:t>違反越量禁止</w:t>
      </w:r>
      <w:proofErr w:type="gramEnd"/>
      <w:r>
        <w:rPr>
          <w:rFonts w:hAnsi="新細明體" w:hint="eastAsia"/>
          <w:kern w:val="0"/>
        </w:rPr>
        <w:t>(</w:t>
      </w:r>
      <w:r>
        <w:rPr>
          <w:rFonts w:ascii="新細明體" w:hAnsi="新細明體" w:hint="eastAsia"/>
          <w:kern w:val="0"/>
        </w:rPr>
        <w:t>Ü</w:t>
      </w:r>
      <w:r>
        <w:rPr>
          <w:rFonts w:hAnsi="新細明體" w:hint="eastAsia"/>
          <w:kern w:val="0"/>
        </w:rPr>
        <w:t>berma</w:t>
      </w:r>
      <w:r>
        <w:rPr>
          <w:rFonts w:ascii="新細明體" w:hAnsi="新細明體" w:hint="eastAsia"/>
          <w:kern w:val="0"/>
        </w:rPr>
        <w:t>ß</w:t>
      </w:r>
      <w:r>
        <w:rPr>
          <w:rFonts w:hAnsi="新細明體" w:hint="eastAsia"/>
          <w:kern w:val="0"/>
        </w:rPr>
        <w:t>verbot)</w:t>
      </w:r>
      <w:r>
        <w:rPr>
          <w:rFonts w:hAnsi="新細明體" w:hint="eastAsia"/>
          <w:kern w:val="0"/>
        </w:rPr>
        <w:t>的要求。關於立法者應否</w:t>
      </w:r>
      <w:r>
        <w:rPr>
          <w:rFonts w:hAnsi="新細明體" w:hint="eastAsia"/>
          <w:kern w:val="0"/>
        </w:rPr>
        <w:t>為其法益受到新規定影響之人</w:t>
      </w:r>
      <w:r>
        <w:rPr>
          <w:rFonts w:hAnsi="新細明體" w:hint="eastAsia"/>
          <w:kern w:val="0"/>
        </w:rPr>
        <w:lastRenderedPageBreak/>
        <w:t>制訂過渡條款，或者已規定之過渡條款是否已足夠保障受影響者之權益，聯邦憲法法院的裁判也日益趨向，首先考量受影響之基本權與一般的比例原則</w:t>
      </w:r>
      <w:r>
        <w:rPr>
          <w:rFonts w:hAnsi="新細明體"/>
          <w:kern w:val="0"/>
          <w:vertAlign w:val="superscript"/>
        </w:rPr>
        <w:footnoteReference w:id="75"/>
      </w:r>
      <w:r>
        <w:rPr>
          <w:rFonts w:hAnsi="新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3. </w:t>
      </w:r>
      <w:r>
        <w:rPr>
          <w:rFonts w:hAnsi="新細明體"/>
          <w:kern w:val="0"/>
        </w:rPr>
        <w:t>調和的嘗試</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按無論是由源自法治國原則的，人民對既存法秩序的信賴保護，抑或由人民因法律變更而受影響之基本權出發來檢討法律變更的合憲性，</w:t>
      </w:r>
      <w:proofErr w:type="gramStart"/>
      <w:r>
        <w:rPr>
          <w:rFonts w:hAnsi="新細明體" w:hint="eastAsia"/>
          <w:kern w:val="0"/>
        </w:rPr>
        <w:t>均有其</w:t>
      </w:r>
      <w:proofErr w:type="gramEnd"/>
      <w:r>
        <w:rPr>
          <w:rFonts w:hAnsi="新細明體" w:hint="eastAsia"/>
          <w:kern w:val="0"/>
        </w:rPr>
        <w:t>憲法上的依據。因此，對前揭兩種論述模型，不應認其彼此處於排他的競爭關係，毋寧應進一步檢討二者合理的互動方式。德國學界亦不乏此等嘗試：</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hAnsi="新細明體" w:hint="eastAsia"/>
          <w:kern w:val="0"/>
        </w:rPr>
        <w:t xml:space="preserve">   </w:t>
      </w:r>
      <w:r>
        <w:rPr>
          <w:kern w:val="0"/>
        </w:rPr>
        <w:t xml:space="preserve"> </w:t>
      </w:r>
      <w:r>
        <w:rPr>
          <w:rFonts w:eastAsia="細明體"/>
          <w:kern w:val="0"/>
        </w:rPr>
        <w:t>V. Götz</w:t>
      </w:r>
      <w:r>
        <w:rPr>
          <w:rFonts w:eastAsia="細明體" w:hint="eastAsia"/>
          <w:kern w:val="0"/>
        </w:rPr>
        <w:t>嘗試一方面強化聯邦憲法法院向來區分</w:t>
      </w:r>
      <w:r>
        <w:rPr>
          <w:rFonts w:eastAsia="細明體" w:hint="eastAsia"/>
          <w:kern w:val="0"/>
        </w:rPr>
        <w:t>「真正溯及」與「不真正溯及」的正當性，另一方面則提供確定「不真正溯及」之容許性的更明確判準。他強調，「</w:t>
      </w:r>
      <w:proofErr w:type="gramStart"/>
      <w:r>
        <w:rPr>
          <w:rFonts w:eastAsia="細明體" w:hint="eastAsia"/>
          <w:kern w:val="0"/>
        </w:rPr>
        <w:t>不</w:t>
      </w:r>
      <w:proofErr w:type="gramEnd"/>
      <w:r>
        <w:rPr>
          <w:rFonts w:eastAsia="細明體" w:hint="eastAsia"/>
          <w:kern w:val="0"/>
        </w:rPr>
        <w:t>真正溯及」的用語不應掩蓋下述狀況：</w:t>
      </w:r>
      <w:r>
        <w:rPr>
          <w:rFonts w:ascii="標楷體" w:eastAsia="標楷體" w:hAnsi="標楷體" w:hint="eastAsia"/>
          <w:b/>
          <w:kern w:val="0"/>
        </w:rPr>
        <w:t>「</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真正溯及」與「溯及效果」</w:t>
      </w:r>
      <w:r>
        <w:rPr>
          <w:rFonts w:eastAsia="細明體" w:hint="eastAsia"/>
          <w:kern w:val="0"/>
        </w:rPr>
        <w:t>（</w:t>
      </w:r>
      <w:r>
        <w:rPr>
          <w:rFonts w:eastAsia="細明體" w:hint="eastAsia"/>
          <w:kern w:val="0"/>
        </w:rPr>
        <w:t>R</w:t>
      </w:r>
      <w:r>
        <w:rPr>
          <w:rFonts w:eastAsia="細明體"/>
          <w:kern w:val="0"/>
        </w:rPr>
        <w:t>ü</w:t>
      </w:r>
      <w:r>
        <w:rPr>
          <w:rFonts w:eastAsia="細明體" w:hint="eastAsia"/>
          <w:kern w:val="0"/>
        </w:rPr>
        <w:t>ckwirkung</w:t>
      </w:r>
      <w:r>
        <w:rPr>
          <w:rFonts w:eastAsia="細明體" w:hint="eastAsia"/>
          <w:kern w:val="0"/>
        </w:rPr>
        <w:t>）</w:t>
      </w:r>
      <w:r>
        <w:rPr>
          <w:rFonts w:ascii="標楷體" w:eastAsia="標楷體" w:hAnsi="標楷體" w:hint="eastAsia"/>
          <w:b/>
          <w:kern w:val="0"/>
        </w:rPr>
        <w:t>截然不同</w:t>
      </w:r>
      <w:r>
        <w:rPr>
          <w:rFonts w:eastAsia="細明體" w:hint="eastAsia"/>
          <w:kern w:val="0"/>
        </w:rPr>
        <w:t>。只有當法律對過去提出有效性主張，法律才具有「溯及效果」；而正因其適用於過去，才發生法治國原則上的疑義。相反地，「</w:t>
      </w:r>
      <w:proofErr w:type="gramStart"/>
      <w:r>
        <w:rPr>
          <w:rFonts w:eastAsia="細明體" w:hint="eastAsia"/>
          <w:kern w:val="0"/>
        </w:rPr>
        <w:t>不</w:t>
      </w:r>
      <w:proofErr w:type="gramEnd"/>
      <w:r>
        <w:rPr>
          <w:rFonts w:eastAsia="細明體" w:hint="eastAsia"/>
          <w:kern w:val="0"/>
        </w:rPr>
        <w:t>真正溯及」不過在統稱，因法律要求立即生效而發生的問題</w:t>
      </w:r>
      <w:r>
        <w:rPr>
          <w:rFonts w:eastAsia="細明體"/>
          <w:kern w:val="0"/>
          <w:vertAlign w:val="superscript"/>
        </w:rPr>
        <w:footnoteReference w:id="76"/>
      </w:r>
      <w:r>
        <w:rPr>
          <w:rFonts w:eastAsia="細明體" w:hint="eastAsia"/>
          <w:kern w:val="0"/>
        </w:rPr>
        <w:t>。</w:t>
      </w:r>
      <w:r>
        <w:rPr>
          <w:rFonts w:eastAsia="細明體"/>
          <w:kern w:val="0"/>
        </w:rPr>
        <w:t>V. Götz</w:t>
      </w:r>
      <w:r>
        <w:rPr>
          <w:rFonts w:eastAsia="細明體" w:hint="eastAsia"/>
          <w:kern w:val="0"/>
        </w:rPr>
        <w:t>指出，對於真正溯及的、課予負擔之法律的原則違憲性，看來並無爭議；問題在於，</w:t>
      </w:r>
      <w:r>
        <w:rPr>
          <w:rFonts w:ascii="標楷體" w:eastAsia="標楷體" w:hAnsi="標楷體" w:hint="eastAsia"/>
          <w:b/>
          <w:kern w:val="0"/>
        </w:rPr>
        <w:t>應如何認定真正溯及既往之法律的存否</w:t>
      </w:r>
      <w:r>
        <w:rPr>
          <w:rFonts w:eastAsia="細明體" w:hint="eastAsia"/>
          <w:kern w:val="0"/>
        </w:rPr>
        <w:t>。如法律生效日期早</w:t>
      </w:r>
      <w:r>
        <w:rPr>
          <w:rFonts w:eastAsia="細明體" w:hint="eastAsia"/>
          <w:kern w:val="0"/>
        </w:rPr>
        <w:t>於其公布日期，其屬真正溯及既往之法律，應無疑義；或者，當新的法定構成要件自公布日前開始適用，亦應歸屬此類。關於此一問題，前文已加以說明，茲不贅述。</w:t>
      </w:r>
      <w:r>
        <w:rPr>
          <w:rFonts w:eastAsia="細明體"/>
          <w:kern w:val="0"/>
        </w:rPr>
        <w:t>V. Götz</w:t>
      </w:r>
      <w:r>
        <w:rPr>
          <w:rFonts w:eastAsia="細明體" w:hint="eastAsia"/>
          <w:kern w:val="0"/>
        </w:rPr>
        <w:t>認為，</w:t>
      </w:r>
      <w:r>
        <w:rPr>
          <w:rFonts w:ascii="標楷體" w:eastAsia="標楷體" w:hAnsi="標楷體" w:hint="eastAsia"/>
          <w:b/>
          <w:kern w:val="0"/>
        </w:rPr>
        <w:t>真正溯及既往之法律的問題首先不在於對基本權侵害的範圍與嚴重程度，毋寧在於因其挑戰了法治國的立法程序要求</w:t>
      </w:r>
      <w:r>
        <w:rPr>
          <w:rFonts w:eastAsia="細明體" w:hint="eastAsia"/>
          <w:kern w:val="0"/>
        </w:rPr>
        <w:t>。法律的公布是法治國立法程序的本質要求；而真正溯及既往的法律在其生效之時尚未公布，質言之，在其主張生效的時點，</w:t>
      </w:r>
      <w:proofErr w:type="gramStart"/>
      <w:r>
        <w:rPr>
          <w:rFonts w:eastAsia="細明體" w:hint="eastAsia"/>
          <w:kern w:val="0"/>
        </w:rPr>
        <w:t>其尚為</w:t>
      </w:r>
      <w:proofErr w:type="gramEnd"/>
      <w:r>
        <w:rPr>
          <w:rFonts w:eastAsia="細明體" w:hint="eastAsia"/>
          <w:kern w:val="0"/>
        </w:rPr>
        <w:t>秘密的，或根本就尚未存在的法</w:t>
      </w:r>
      <w:r>
        <w:rPr>
          <w:rFonts w:eastAsia="細明體"/>
          <w:kern w:val="0"/>
          <w:vertAlign w:val="superscript"/>
        </w:rPr>
        <w:footnoteReference w:id="77"/>
      </w:r>
      <w:r>
        <w:rPr>
          <w:rFonts w:eastAsia="細明體" w:hint="eastAsia"/>
          <w:kern w:val="0"/>
        </w:rPr>
        <w:t>。至於</w:t>
      </w:r>
      <w:r>
        <w:rPr>
          <w:rFonts w:ascii="新細明體" w:hAnsi="新細明體" w:hint="eastAsia"/>
          <w:kern w:val="0"/>
        </w:rPr>
        <w:t>「</w:t>
      </w:r>
      <w:proofErr w:type="gramStart"/>
      <w:r>
        <w:rPr>
          <w:rFonts w:ascii="新細明體" w:hAnsi="新細明體" w:hint="eastAsia"/>
          <w:kern w:val="0"/>
        </w:rPr>
        <w:t>不</w:t>
      </w:r>
      <w:proofErr w:type="gramEnd"/>
      <w:r>
        <w:rPr>
          <w:rFonts w:ascii="新細明體" w:hAnsi="新細明體" w:hint="eastAsia"/>
          <w:kern w:val="0"/>
        </w:rPr>
        <w:t>真正溯及」</w:t>
      </w:r>
      <w:r>
        <w:rPr>
          <w:rFonts w:eastAsia="細明體" w:hint="eastAsia"/>
          <w:kern w:val="0"/>
        </w:rPr>
        <w:t>，聯邦憲法法院第</w:t>
      </w:r>
      <w:r>
        <w:rPr>
          <w:rFonts w:eastAsia="細明體" w:hint="eastAsia"/>
          <w:kern w:val="0"/>
        </w:rPr>
        <w:lastRenderedPageBreak/>
        <w:t>一庭在一系列職業許可法制（</w:t>
      </w:r>
      <w:r>
        <w:rPr>
          <w:rFonts w:eastAsia="細明體" w:hint="eastAsia"/>
          <w:kern w:val="0"/>
        </w:rPr>
        <w:t>Berufszulassungsre</w:t>
      </w:r>
      <w:r>
        <w:rPr>
          <w:rFonts w:eastAsia="細明體" w:hint="eastAsia"/>
          <w:kern w:val="0"/>
        </w:rPr>
        <w:t>cht</w:t>
      </w:r>
      <w:r>
        <w:rPr>
          <w:rFonts w:eastAsia="細明體" w:hint="eastAsia"/>
          <w:kern w:val="0"/>
        </w:rPr>
        <w:t>）的裁判裡發展出下述解決方式：立法原則上得影響或變更既存的法律地位、執業範圍或法律關係；基本權將對此等立法權限限制；相關限制取決於各該受影響之基本權；核心問題是過渡條款的必要性與安排，作成此類決定時應兼顧公益與比例原則的要求；於此，不再運用「</w:t>
      </w:r>
      <w:proofErr w:type="gramStart"/>
      <w:r>
        <w:rPr>
          <w:rFonts w:eastAsia="細明體" w:hint="eastAsia"/>
          <w:kern w:val="0"/>
        </w:rPr>
        <w:t>不</w:t>
      </w:r>
      <w:proofErr w:type="gramEnd"/>
      <w:r>
        <w:rPr>
          <w:rFonts w:eastAsia="細明體" w:hint="eastAsia"/>
          <w:kern w:val="0"/>
        </w:rPr>
        <w:t>真正溯及」的論據</w:t>
      </w:r>
      <w:r>
        <w:rPr>
          <w:rFonts w:eastAsia="細明體"/>
          <w:kern w:val="0"/>
          <w:vertAlign w:val="superscript"/>
        </w:rPr>
        <w:footnoteReference w:id="78"/>
      </w:r>
      <w:r>
        <w:rPr>
          <w:rFonts w:eastAsia="細明體" w:hint="eastAsia"/>
          <w:kern w:val="0"/>
        </w:rPr>
        <w:t>。簡言之，</w:t>
      </w:r>
      <w:r>
        <w:rPr>
          <w:rFonts w:ascii="標楷體" w:eastAsia="標楷體" w:hAnsi="標楷體" w:hint="eastAsia"/>
          <w:b/>
          <w:kern w:val="0"/>
        </w:rPr>
        <w:t>對「</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真正溯及」的立法措施將依限制基本權之合比例性審查其合憲性</w:t>
      </w:r>
      <w:r>
        <w:rPr>
          <w:rFonts w:eastAsia="細明體" w:hint="eastAsia"/>
          <w:kern w:val="0"/>
        </w:rPr>
        <w:t>。</w:t>
      </w:r>
      <w:r>
        <w:rPr>
          <w:rFonts w:eastAsia="細明體"/>
          <w:kern w:val="0"/>
        </w:rPr>
        <w:t>K. Stern</w:t>
      </w:r>
      <w:r>
        <w:rPr>
          <w:rFonts w:eastAsia="細明體" w:hint="eastAsia"/>
          <w:kern w:val="0"/>
        </w:rPr>
        <w:t>也指出，在「不真正溯及」的情形，聯邦憲法法院採取得是：權衡公益與個人信賴既有規定存續之利益的輕重的決定方式。只有當信賴利益應優先於立法者的公益考量時，溯及</w:t>
      </w:r>
      <w:r>
        <w:rPr>
          <w:rFonts w:eastAsia="細明體" w:hint="eastAsia"/>
          <w:kern w:val="0"/>
        </w:rPr>
        <w:t>方被禁止</w:t>
      </w:r>
      <w:r>
        <w:rPr>
          <w:rFonts w:eastAsia="細明體"/>
          <w:kern w:val="0"/>
          <w:vertAlign w:val="superscript"/>
        </w:rPr>
        <w:footnoteReference w:id="79"/>
      </w:r>
      <w:r>
        <w:rPr>
          <w:rFonts w:eastAsia="細明體" w:hint="eastAsia"/>
          <w:kern w:val="0"/>
        </w:rPr>
        <w:t>。此一論述方式固然正確地</w:t>
      </w:r>
      <w:proofErr w:type="gramStart"/>
      <w:r>
        <w:rPr>
          <w:rFonts w:eastAsia="細明體" w:hint="eastAsia"/>
          <w:kern w:val="0"/>
        </w:rPr>
        <w:t>凸</w:t>
      </w:r>
      <w:proofErr w:type="gramEnd"/>
      <w:r>
        <w:rPr>
          <w:rFonts w:eastAsia="細明體" w:hint="eastAsia"/>
          <w:kern w:val="0"/>
        </w:rPr>
        <w:t>顯了法律「真正溯及」在法治國中的特殊疑慮，但其針對此種案例類型逕自排除可能的，相關基本權的考量，則不無粗率之嫌。</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在介紹聯邦憲法法院第</w:t>
      </w:r>
      <w:r>
        <w:rPr>
          <w:rFonts w:eastAsia="細明體" w:hint="eastAsia"/>
          <w:kern w:val="0"/>
        </w:rPr>
        <w:t>66</w:t>
      </w:r>
      <w:r>
        <w:rPr>
          <w:rFonts w:eastAsia="細明體" w:hint="eastAsia"/>
          <w:kern w:val="0"/>
        </w:rPr>
        <w:t>卷到第</w:t>
      </w:r>
      <w:r>
        <w:rPr>
          <w:rFonts w:eastAsia="細明體" w:hint="eastAsia"/>
          <w:kern w:val="0"/>
        </w:rPr>
        <w:t>79</w:t>
      </w:r>
      <w:r>
        <w:rPr>
          <w:rFonts w:eastAsia="細明體" w:hint="eastAsia"/>
          <w:kern w:val="0"/>
        </w:rPr>
        <w:t>卷（</w:t>
      </w:r>
      <w:r>
        <w:rPr>
          <w:rFonts w:eastAsia="細明體" w:hint="eastAsia"/>
          <w:kern w:val="0"/>
        </w:rPr>
        <w:t>1983</w:t>
      </w:r>
      <w:r>
        <w:rPr>
          <w:rFonts w:eastAsia="細明體" w:hint="eastAsia"/>
          <w:kern w:val="0"/>
        </w:rPr>
        <w:t>年至</w:t>
      </w:r>
      <w:r>
        <w:rPr>
          <w:rFonts w:eastAsia="細明體" w:hint="eastAsia"/>
          <w:kern w:val="0"/>
        </w:rPr>
        <w:t>1989</w:t>
      </w:r>
      <w:r>
        <w:rPr>
          <w:rFonts w:eastAsia="細明體" w:hint="eastAsia"/>
          <w:kern w:val="0"/>
        </w:rPr>
        <w:t>年間）關於信賴保護原則之裁判的脈絡裡，</w:t>
      </w:r>
      <w:r>
        <w:rPr>
          <w:rFonts w:eastAsia="細明體" w:hint="eastAsia"/>
          <w:kern w:val="0"/>
        </w:rPr>
        <w:t>B. Pieroth</w:t>
      </w:r>
      <w:proofErr w:type="gramStart"/>
      <w:r>
        <w:rPr>
          <w:rFonts w:eastAsia="細明體" w:hint="eastAsia"/>
          <w:kern w:val="0"/>
        </w:rPr>
        <w:t>特別凸</w:t>
      </w:r>
      <w:proofErr w:type="gramEnd"/>
      <w:r>
        <w:rPr>
          <w:rFonts w:eastAsia="細明體" w:hint="eastAsia"/>
          <w:kern w:val="0"/>
        </w:rPr>
        <w:t>顯，</w:t>
      </w:r>
      <w:r>
        <w:rPr>
          <w:rFonts w:ascii="標楷體" w:eastAsia="標楷體" w:hAnsi="標楷體" w:hint="eastAsia"/>
          <w:b/>
          <w:kern w:val="0"/>
        </w:rPr>
        <w:t>相關裁判對於</w:t>
      </w:r>
      <w:r>
        <w:rPr>
          <w:rFonts w:eastAsia="細明體" w:hint="eastAsia"/>
          <w:kern w:val="0"/>
        </w:rPr>
        <w:t>（以法治國原則為基礎之）</w:t>
      </w:r>
      <w:r>
        <w:rPr>
          <w:rFonts w:ascii="標楷體" w:eastAsia="標楷體" w:hAnsi="標楷體" w:hint="eastAsia"/>
          <w:b/>
          <w:kern w:val="0"/>
        </w:rPr>
        <w:t>信賴保護原則的審查與基本權的審查</w:t>
      </w:r>
      <w:r>
        <w:rPr>
          <w:rFonts w:ascii="新細明體" w:hAnsi="新細明體" w:hint="eastAsia"/>
          <w:kern w:val="0"/>
        </w:rPr>
        <w:t>（尤其是基本法第</w:t>
      </w:r>
      <w:r>
        <w:rPr>
          <w:kern w:val="0"/>
        </w:rPr>
        <w:t>14</w:t>
      </w:r>
      <w:r>
        <w:rPr>
          <w:rFonts w:ascii="新細明體" w:hAnsi="新細明體" w:hint="eastAsia"/>
          <w:kern w:val="0"/>
        </w:rPr>
        <w:t>條的財產權與基本法</w:t>
      </w:r>
      <w:r>
        <w:rPr>
          <w:rFonts w:hAnsi="新細明體"/>
          <w:kern w:val="0"/>
        </w:rPr>
        <w:t>第</w:t>
      </w:r>
      <w:r>
        <w:rPr>
          <w:kern w:val="0"/>
        </w:rPr>
        <w:t>33</w:t>
      </w:r>
      <w:r>
        <w:rPr>
          <w:rFonts w:hAnsi="新細明體"/>
          <w:kern w:val="0"/>
        </w:rPr>
        <w:t>條第</w:t>
      </w:r>
      <w:r>
        <w:rPr>
          <w:kern w:val="0"/>
        </w:rPr>
        <w:t>5</w:t>
      </w:r>
      <w:r>
        <w:rPr>
          <w:rFonts w:ascii="新細明體" w:hAnsi="新細明體" w:hint="eastAsia"/>
          <w:kern w:val="0"/>
        </w:rPr>
        <w:t>項的職業公務員制度保障）</w:t>
      </w:r>
      <w:r>
        <w:rPr>
          <w:rFonts w:ascii="標楷體" w:eastAsia="標楷體" w:hAnsi="標楷體" w:hint="eastAsia"/>
          <w:b/>
          <w:kern w:val="0"/>
        </w:rPr>
        <w:t>之間的關係如何，態度並不穩</w:t>
      </w:r>
      <w:proofErr w:type="gramStart"/>
      <w:r>
        <w:rPr>
          <w:rFonts w:ascii="標楷體" w:eastAsia="標楷體" w:hAnsi="標楷體" w:hint="eastAsia"/>
          <w:b/>
          <w:kern w:val="0"/>
        </w:rPr>
        <w:t>定</w:t>
      </w:r>
      <w:proofErr w:type="gramEnd"/>
      <w:r>
        <w:rPr>
          <w:rFonts w:eastAsia="細明體"/>
          <w:kern w:val="0"/>
          <w:vertAlign w:val="superscript"/>
        </w:rPr>
        <w:footnoteReference w:id="80"/>
      </w:r>
      <w:r>
        <w:rPr>
          <w:rFonts w:eastAsia="細明體" w:hint="eastAsia"/>
          <w:kern w:val="0"/>
        </w:rPr>
        <w:t>。</w:t>
      </w:r>
      <w:r>
        <w:rPr>
          <w:rFonts w:eastAsia="標楷體" w:hAnsi="標楷體"/>
          <w:b/>
          <w:kern w:val="0"/>
        </w:rPr>
        <w:t>以信賴保護原則與基本法第</w:t>
      </w:r>
      <w:r>
        <w:rPr>
          <w:rFonts w:eastAsia="標楷體"/>
          <w:b/>
          <w:kern w:val="0"/>
        </w:rPr>
        <w:t>14</w:t>
      </w:r>
      <w:r>
        <w:rPr>
          <w:rFonts w:eastAsia="標楷體" w:hAnsi="標楷體"/>
          <w:b/>
          <w:kern w:val="0"/>
        </w:rPr>
        <w:t>條</w:t>
      </w:r>
      <w:r>
        <w:rPr>
          <w:rFonts w:eastAsia="標楷體" w:hAnsi="標楷體" w:hint="eastAsia"/>
          <w:b/>
          <w:kern w:val="0"/>
        </w:rPr>
        <w:t>之</w:t>
      </w:r>
      <w:r>
        <w:rPr>
          <w:rFonts w:eastAsia="標楷體" w:hAnsi="標楷體"/>
          <w:b/>
          <w:kern w:val="0"/>
        </w:rPr>
        <w:t>財產權保障的關係為例</w:t>
      </w:r>
      <w:r>
        <w:rPr>
          <w:rFonts w:eastAsia="細明體" w:hint="eastAsia"/>
          <w:kern w:val="0"/>
        </w:rPr>
        <w:t>，聯邦憲法法法院</w:t>
      </w:r>
      <w:r>
        <w:rPr>
          <w:rFonts w:eastAsia="細明體" w:hint="eastAsia"/>
          <w:kern w:val="0"/>
        </w:rPr>
        <w:t>1987</w:t>
      </w:r>
      <w:r>
        <w:rPr>
          <w:rFonts w:eastAsia="細明體" w:hint="eastAsia"/>
          <w:kern w:val="0"/>
        </w:rPr>
        <w:t>年</w:t>
      </w:r>
      <w:r>
        <w:rPr>
          <w:rFonts w:eastAsia="細明體" w:hint="eastAsia"/>
          <w:kern w:val="0"/>
        </w:rPr>
        <w:t>7</w:t>
      </w:r>
      <w:r>
        <w:rPr>
          <w:rFonts w:eastAsia="細明體" w:hint="eastAsia"/>
          <w:kern w:val="0"/>
        </w:rPr>
        <w:t>月</w:t>
      </w:r>
      <w:r>
        <w:rPr>
          <w:rFonts w:eastAsia="細明體" w:hint="eastAsia"/>
          <w:kern w:val="0"/>
        </w:rPr>
        <w:t>15</w:t>
      </w:r>
      <w:r>
        <w:rPr>
          <w:rFonts w:eastAsia="細明體" w:hint="eastAsia"/>
          <w:kern w:val="0"/>
        </w:rPr>
        <w:t>日的裁判固然指出，「財產權保障的根本功能正在於確保，國民依基本法第</w:t>
      </w:r>
      <w:r>
        <w:rPr>
          <w:rFonts w:eastAsia="細明體" w:hint="eastAsia"/>
          <w:kern w:val="0"/>
        </w:rPr>
        <w:t>14</w:t>
      </w:r>
      <w:r>
        <w:rPr>
          <w:rFonts w:eastAsia="細明體" w:hint="eastAsia"/>
          <w:kern w:val="0"/>
        </w:rPr>
        <w:t>條第</w:t>
      </w:r>
      <w:r>
        <w:rPr>
          <w:rFonts w:eastAsia="細明體" w:hint="eastAsia"/>
          <w:kern w:val="0"/>
        </w:rPr>
        <w:t>1</w:t>
      </w:r>
      <w:r>
        <w:rPr>
          <w:rFonts w:eastAsia="細明體" w:hint="eastAsia"/>
          <w:kern w:val="0"/>
        </w:rPr>
        <w:t>項第</w:t>
      </w:r>
      <w:r>
        <w:rPr>
          <w:rFonts w:eastAsia="細明體" w:hint="eastAsia"/>
          <w:kern w:val="0"/>
        </w:rPr>
        <w:t>2</w:t>
      </w:r>
      <w:r>
        <w:rPr>
          <w:rFonts w:eastAsia="細明體" w:hint="eastAsia"/>
          <w:kern w:val="0"/>
        </w:rPr>
        <w:t>句受保障之法益的法安定性，並保護依合憲法律所形塑之財產權的信賴。在此範圍內，就具有財產價值的法益而言，法治國的信賴保護原則在財產權的規定已取得特殊的</w:t>
      </w:r>
      <w:proofErr w:type="gramStart"/>
      <w:r>
        <w:rPr>
          <w:rFonts w:eastAsia="細明體" w:hint="eastAsia"/>
          <w:kern w:val="0"/>
        </w:rPr>
        <w:t>形塑與憲法</w:t>
      </w:r>
      <w:proofErr w:type="gramEnd"/>
      <w:r>
        <w:rPr>
          <w:rFonts w:eastAsia="細明體" w:hint="eastAsia"/>
          <w:kern w:val="0"/>
        </w:rPr>
        <w:t>秩序。因此，就其所保障之法律地位而言，財產權保障已滿足信賴保護原則對抗干涉行為的功能」</w:t>
      </w:r>
      <w:r>
        <w:rPr>
          <w:rFonts w:eastAsia="細明體"/>
          <w:kern w:val="0"/>
          <w:vertAlign w:val="superscript"/>
        </w:rPr>
        <w:footnoteReference w:id="81"/>
      </w:r>
      <w:r>
        <w:rPr>
          <w:rFonts w:eastAsia="細明體" w:hint="eastAsia"/>
          <w:kern w:val="0"/>
        </w:rPr>
        <w:t>。質言之，如法律變更影響的法益受財產權規定的保障的話，信賴保護原則與財產權規定就處於普通、特別關係，於此，</w:t>
      </w:r>
      <w:r>
        <w:rPr>
          <w:rFonts w:ascii="標楷體" w:eastAsia="標楷體" w:hAnsi="標楷體" w:hint="eastAsia"/>
          <w:b/>
          <w:kern w:val="0"/>
        </w:rPr>
        <w:t>應僅審查財產權是否受到違憲的侵害，信賴</w:t>
      </w:r>
      <w:r>
        <w:rPr>
          <w:rFonts w:ascii="標楷體" w:eastAsia="標楷體" w:hAnsi="標楷體" w:hint="eastAsia"/>
          <w:b/>
          <w:kern w:val="0"/>
        </w:rPr>
        <w:lastRenderedPageBreak/>
        <w:t>保護的</w:t>
      </w:r>
      <w:r>
        <w:rPr>
          <w:rFonts w:ascii="標楷體" w:eastAsia="標楷體" w:hAnsi="標楷體" w:hint="eastAsia"/>
          <w:b/>
          <w:kern w:val="0"/>
        </w:rPr>
        <w:t>角度則應整合到此一審查步驟之內</w:t>
      </w:r>
      <w:r>
        <w:rPr>
          <w:rFonts w:eastAsia="細明體" w:hint="eastAsia"/>
          <w:kern w:val="0"/>
        </w:rPr>
        <w:t>。然而，聯邦憲法法院在</w:t>
      </w:r>
      <w:r>
        <w:rPr>
          <w:rFonts w:eastAsia="細明體" w:hint="eastAsia"/>
          <w:kern w:val="0"/>
        </w:rPr>
        <w:t>1985</w:t>
      </w:r>
      <w:r>
        <w:rPr>
          <w:rFonts w:eastAsia="細明體" w:hint="eastAsia"/>
          <w:kern w:val="0"/>
        </w:rPr>
        <w:t>年</w:t>
      </w:r>
      <w:r>
        <w:rPr>
          <w:rFonts w:eastAsia="細明體" w:hint="eastAsia"/>
          <w:kern w:val="0"/>
        </w:rPr>
        <w:t>6</w:t>
      </w:r>
      <w:r>
        <w:rPr>
          <w:rFonts w:eastAsia="細明體" w:hint="eastAsia"/>
          <w:kern w:val="0"/>
        </w:rPr>
        <w:t>月</w:t>
      </w:r>
      <w:r>
        <w:rPr>
          <w:rFonts w:eastAsia="細明體" w:hint="eastAsia"/>
          <w:kern w:val="0"/>
        </w:rPr>
        <w:t>4</w:t>
      </w:r>
      <w:r>
        <w:rPr>
          <w:rFonts w:eastAsia="細明體" w:hint="eastAsia"/>
          <w:kern w:val="0"/>
        </w:rPr>
        <w:t>日的裁判，卻不僅審查相關措施應否被視為基本法第</w:t>
      </w:r>
      <w:r>
        <w:rPr>
          <w:rFonts w:eastAsia="細明體" w:hint="eastAsia"/>
          <w:kern w:val="0"/>
        </w:rPr>
        <w:t>14</w:t>
      </w:r>
      <w:r>
        <w:rPr>
          <w:rFonts w:eastAsia="細明體" w:hint="eastAsia"/>
          <w:kern w:val="0"/>
        </w:rPr>
        <w:t>條第</w:t>
      </w:r>
      <w:r>
        <w:rPr>
          <w:rFonts w:eastAsia="細明體" w:hint="eastAsia"/>
          <w:kern w:val="0"/>
        </w:rPr>
        <w:t>1</w:t>
      </w:r>
      <w:r>
        <w:rPr>
          <w:rFonts w:eastAsia="細明體" w:hint="eastAsia"/>
          <w:kern w:val="0"/>
        </w:rPr>
        <w:t>項第</w:t>
      </w:r>
      <w:r>
        <w:rPr>
          <w:rFonts w:eastAsia="細明體" w:hint="eastAsia"/>
          <w:kern w:val="0"/>
        </w:rPr>
        <w:t>2</w:t>
      </w:r>
      <w:r>
        <w:rPr>
          <w:rFonts w:eastAsia="細明體" w:hint="eastAsia"/>
          <w:kern w:val="0"/>
        </w:rPr>
        <w:t>句所規定的，憲法容許「對財產權的內容與界限之規定」，毋寧就立法者有無制定過渡條款之義務別為審查</w:t>
      </w:r>
      <w:r>
        <w:rPr>
          <w:rFonts w:eastAsia="細明體"/>
          <w:kern w:val="0"/>
          <w:vertAlign w:val="superscript"/>
        </w:rPr>
        <w:footnoteReference w:id="82"/>
      </w:r>
      <w:r>
        <w:rPr>
          <w:rFonts w:eastAsia="細明體" w:hint="eastAsia"/>
          <w:kern w:val="0"/>
        </w:rPr>
        <w:t>。</w:t>
      </w:r>
      <w:r>
        <w:rPr>
          <w:rFonts w:eastAsia="細明體" w:hint="eastAsia"/>
          <w:kern w:val="0"/>
        </w:rPr>
        <w:t>B. Pieroth</w:t>
      </w:r>
      <w:r>
        <w:rPr>
          <w:rFonts w:eastAsia="細明體" w:hint="eastAsia"/>
          <w:kern w:val="0"/>
        </w:rPr>
        <w:t>本身的立場是明確的</w:t>
      </w:r>
      <w:r>
        <w:rPr>
          <w:rFonts w:eastAsia="細明體"/>
          <w:kern w:val="0"/>
          <w:vertAlign w:val="superscript"/>
        </w:rPr>
        <w:footnoteReference w:id="83"/>
      </w:r>
      <w:r>
        <w:rPr>
          <w:rFonts w:eastAsia="細明體" w:hint="eastAsia"/>
          <w:kern w:val="0"/>
        </w:rPr>
        <w:t>：（一）</w:t>
      </w:r>
      <w:r>
        <w:rPr>
          <w:rFonts w:ascii="標楷體" w:eastAsia="標楷體" w:hAnsi="標楷體" w:hint="eastAsia"/>
          <w:b/>
          <w:kern w:val="0"/>
        </w:rPr>
        <w:t>信賴保護原則首先應藉由基本權的規定來實現</w:t>
      </w:r>
      <w:r>
        <w:rPr>
          <w:rFonts w:eastAsia="細明體" w:hint="eastAsia"/>
          <w:kern w:val="0"/>
        </w:rPr>
        <w:t>；只有在不涉及個別基本權的保護範圍時，才能訴諸一般性的、法治國的信賴保護原則</w:t>
      </w:r>
      <w:r>
        <w:rPr>
          <w:rFonts w:eastAsia="細明體"/>
          <w:kern w:val="0"/>
          <w:vertAlign w:val="superscript"/>
        </w:rPr>
        <w:footnoteReference w:id="84"/>
      </w:r>
      <w:r>
        <w:rPr>
          <w:rFonts w:eastAsia="細明體" w:hint="eastAsia"/>
          <w:kern w:val="0"/>
        </w:rPr>
        <w:t>。（二）在法律變更影響的權益不涉及基本權保護範圍的情況，可以</w:t>
      </w:r>
      <w:r>
        <w:rPr>
          <w:rFonts w:ascii="標楷體" w:eastAsia="標楷體" w:hAnsi="標楷體" w:hint="eastAsia"/>
          <w:b/>
          <w:kern w:val="0"/>
        </w:rPr>
        <w:t>獨立地依法治國之信賴保護原則而認定，真正溯及既往之法律原則</w:t>
      </w:r>
      <w:r>
        <w:rPr>
          <w:rFonts w:ascii="標楷體" w:eastAsia="標楷體" w:hAnsi="標楷體" w:hint="eastAsia"/>
          <w:b/>
          <w:kern w:val="0"/>
        </w:rPr>
        <w:t>上違憲</w:t>
      </w:r>
      <w:r>
        <w:rPr>
          <w:rFonts w:eastAsia="細明體" w:hint="eastAsia"/>
          <w:kern w:val="0"/>
        </w:rPr>
        <w:t>。（三）在</w:t>
      </w:r>
      <w:r>
        <w:rPr>
          <w:rFonts w:ascii="標楷體" w:eastAsia="標楷體" w:hAnsi="標楷體" w:hint="eastAsia"/>
          <w:b/>
          <w:kern w:val="0"/>
        </w:rPr>
        <w:t>「</w:t>
      </w:r>
      <w:proofErr w:type="gramStart"/>
      <w:r>
        <w:rPr>
          <w:rFonts w:ascii="標楷體" w:eastAsia="標楷體" w:hAnsi="標楷體" w:hint="eastAsia"/>
          <w:b/>
          <w:kern w:val="0"/>
        </w:rPr>
        <w:t>不</w:t>
      </w:r>
      <w:proofErr w:type="gramEnd"/>
      <w:r>
        <w:rPr>
          <w:rFonts w:ascii="標楷體" w:eastAsia="標楷體" w:hAnsi="標楷體" w:hint="eastAsia"/>
          <w:b/>
          <w:kern w:val="0"/>
        </w:rPr>
        <w:t>真正溯及」</w:t>
      </w:r>
      <w:r>
        <w:rPr>
          <w:rFonts w:eastAsia="細明體" w:hint="eastAsia"/>
          <w:kern w:val="0"/>
        </w:rPr>
        <w:t>的情況，則應</w:t>
      </w:r>
      <w:r>
        <w:rPr>
          <w:rFonts w:ascii="標楷體" w:eastAsia="標楷體" w:hAnsi="標楷體" w:hint="eastAsia"/>
          <w:b/>
          <w:kern w:val="0"/>
        </w:rPr>
        <w:t>權衡</w:t>
      </w:r>
      <w:r>
        <w:rPr>
          <w:rFonts w:eastAsia="細明體" w:hint="eastAsia"/>
          <w:kern w:val="0"/>
        </w:rPr>
        <w:t>個人因信賴所致損害的範圍與法秩序變更擬追求之公益的</w:t>
      </w:r>
      <w:r>
        <w:rPr>
          <w:rFonts w:ascii="標楷體" w:eastAsia="標楷體" w:hAnsi="標楷體" w:hint="eastAsia"/>
          <w:b/>
          <w:kern w:val="0"/>
        </w:rPr>
        <w:t>輕重以決</w:t>
      </w:r>
      <w:r>
        <w:rPr>
          <w:rFonts w:eastAsia="細明體" w:hint="eastAsia"/>
          <w:kern w:val="0"/>
        </w:rPr>
        <w:t>。</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eastAsia="細明體"/>
          <w:kern w:val="0"/>
        </w:rPr>
      </w:pPr>
      <w:r>
        <w:rPr>
          <w:rFonts w:eastAsia="細明體" w:hint="eastAsia"/>
          <w:kern w:val="0"/>
        </w:rPr>
        <w:t>筆者認為，</w:t>
      </w:r>
      <w:r>
        <w:rPr>
          <w:rFonts w:eastAsia="細明體" w:hint="eastAsia"/>
          <w:kern w:val="0"/>
        </w:rPr>
        <w:t>B. Pieroth</w:t>
      </w:r>
      <w:r>
        <w:rPr>
          <w:rFonts w:eastAsia="細明體" w:hint="eastAsia"/>
          <w:kern w:val="0"/>
        </w:rPr>
        <w:t>前述見解可以兼顧（植基於法治國之）信賴保護原則與基本權規定各自對國民應發揮的權益保障功能。蓋於影響基本權的情形，自應受憲法基本權規定的檢驗；在法律變更影響之法益未必能歸屬基本權保護範圍時，信賴保護原則本身亦能保障人民基於對法秩序的信賴所為的生活安排。</w:t>
      </w:r>
      <w:r>
        <w:rPr>
          <w:rFonts w:eastAsia="細明體" w:hint="eastAsia"/>
          <w:kern w:val="0"/>
        </w:rPr>
        <w:t>B. Pieroth</w:t>
      </w:r>
      <w:r>
        <w:rPr>
          <w:rFonts w:eastAsia="細明體" w:hint="eastAsia"/>
          <w:kern w:val="0"/>
        </w:rPr>
        <w:t>的論述模型須要進一步補充的是：在因法律變更致影響人民基本權時，此「法律變更」的因素如何整合入基本權的審</w:t>
      </w:r>
      <w:r>
        <w:rPr>
          <w:rFonts w:eastAsia="細明體" w:hint="eastAsia"/>
          <w:kern w:val="0"/>
        </w:rPr>
        <w:t>查步驟之內？筆者認為，</w:t>
      </w:r>
      <w:r>
        <w:rPr>
          <w:rFonts w:eastAsia="細明體" w:hint="eastAsia"/>
          <w:kern w:val="0"/>
        </w:rPr>
        <w:t>Johannes M</w:t>
      </w:r>
      <w:r>
        <w:rPr>
          <w:rFonts w:eastAsia="細明體"/>
          <w:kern w:val="0"/>
        </w:rPr>
        <w:t>ö</w:t>
      </w:r>
      <w:r>
        <w:rPr>
          <w:rFonts w:eastAsia="細明體" w:hint="eastAsia"/>
          <w:kern w:val="0"/>
        </w:rPr>
        <w:t>ller/Alfred R</w:t>
      </w:r>
      <w:r>
        <w:rPr>
          <w:rFonts w:eastAsia="細明體"/>
          <w:kern w:val="0"/>
        </w:rPr>
        <w:t>ü</w:t>
      </w:r>
      <w:r>
        <w:rPr>
          <w:rFonts w:eastAsia="細明體" w:hint="eastAsia"/>
          <w:kern w:val="0"/>
        </w:rPr>
        <w:t>hrmair</w:t>
      </w:r>
      <w:r>
        <w:rPr>
          <w:rFonts w:eastAsia="細明體" w:hint="eastAsia"/>
          <w:kern w:val="0"/>
        </w:rPr>
        <w:t>的下述見解應可採取，蓋其一方面維持了向來審查是否違憲侵害基本權的模型，另一方面也適當地考量了信賴保護的要求：認定「法律變更」本身為判斷侵害基本權之嚴重程度的因素，而法律「真正溯及」相較於「不真正溯及」，其影響程度被假定為更加嚴重</w:t>
      </w:r>
      <w:r>
        <w:rPr>
          <w:rFonts w:eastAsia="細明體"/>
          <w:kern w:val="0"/>
          <w:vertAlign w:val="superscript"/>
        </w:rPr>
        <w:footnoteReference w:id="85"/>
      </w:r>
      <w:r>
        <w:rPr>
          <w:rFonts w:eastAsia="細明體" w:hint="eastAsia"/>
          <w:kern w:val="0"/>
        </w:rPr>
        <w:t>。</w:t>
      </w:r>
    </w:p>
    <w:p w:rsidR="00000000" w:rsidRDefault="00FE56A9" w:rsidP="00956B72">
      <w:pPr>
        <w:overflowPunct w:val="0"/>
        <w:spacing w:line="360" w:lineRule="auto"/>
        <w:jc w:val="both"/>
        <w:rPr>
          <w:rFonts w:ascii="標楷體" w:eastAsia="標楷體" w:hAnsi="標楷體" w:hint="eastAsia"/>
          <w:b/>
        </w:rPr>
      </w:pPr>
      <w:r>
        <w:rPr>
          <w:rFonts w:eastAsia="細明體"/>
          <w:kern w:val="0"/>
        </w:rPr>
        <w:br w:type="page"/>
      </w:r>
      <w:r>
        <w:rPr>
          <w:rFonts w:ascii="標楷體" w:eastAsia="標楷體" w:hAnsi="標楷體" w:hint="eastAsia"/>
          <w:b/>
        </w:rPr>
        <w:lastRenderedPageBreak/>
        <w:t>第五節</w:t>
      </w:r>
      <w:r>
        <w:rPr>
          <w:rFonts w:ascii="標楷體" w:eastAsia="標楷體" w:hAnsi="標楷體" w:hint="eastAsia"/>
          <w:b/>
        </w:rPr>
        <w:t xml:space="preserve"> </w:t>
      </w:r>
      <w:r>
        <w:rPr>
          <w:rFonts w:ascii="標楷體" w:eastAsia="標楷體" w:hAnsi="標楷體" w:hint="eastAsia"/>
          <w:b/>
        </w:rPr>
        <w:t>本文之建議的案例運用：以銓敘部增訂</w:t>
      </w:r>
      <w:proofErr w:type="gramStart"/>
      <w:r>
        <w:rPr>
          <w:rFonts w:ascii="標楷體" w:eastAsia="標楷體" w:hAnsi="標楷體" w:hint="eastAsia"/>
          <w:b/>
        </w:rPr>
        <w:t>公保優存</w:t>
      </w:r>
      <w:proofErr w:type="gramEnd"/>
      <w:r>
        <w:rPr>
          <w:rFonts w:ascii="標楷體" w:eastAsia="標楷體" w:hAnsi="標楷體" w:hint="eastAsia"/>
          <w:b/>
        </w:rPr>
        <w:t>要點</w:t>
      </w:r>
      <w:r>
        <w:rPr>
          <w:rFonts w:eastAsia="標楷體" w:hAnsi="標楷體"/>
          <w:b/>
        </w:rPr>
        <w:t>第</w:t>
      </w:r>
      <w:r>
        <w:rPr>
          <w:rFonts w:eastAsia="標楷體"/>
          <w:b/>
        </w:rPr>
        <w:t>3</w:t>
      </w:r>
      <w:r>
        <w:rPr>
          <w:rFonts w:eastAsia="標楷體" w:hAnsi="標楷體"/>
          <w:b/>
        </w:rPr>
        <w:t>點之</w:t>
      </w:r>
      <w:r>
        <w:rPr>
          <w:rFonts w:eastAsia="標楷體"/>
          <w:b/>
        </w:rPr>
        <w:t>1</w:t>
      </w:r>
      <w:r>
        <w:rPr>
          <w:rFonts w:ascii="標楷體" w:eastAsia="標楷體" w:hAnsi="標楷體" w:hint="eastAsia"/>
          <w:b/>
        </w:rPr>
        <w:t>為例</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eastAsia="細明體" w:hint="eastAsia"/>
          <w:kern w:val="0"/>
        </w:rPr>
        <w:t xml:space="preserve">   </w:t>
      </w:r>
      <w:r>
        <w:rPr>
          <w:kern w:val="0"/>
        </w:rPr>
        <w:t xml:space="preserve"> </w:t>
      </w:r>
      <w:r>
        <w:rPr>
          <w:rFonts w:hAnsi="新細明體"/>
          <w:kern w:val="0"/>
        </w:rPr>
        <w:t>在就因法規範變更衍生的信賴保護疑義，檢視了司法院大法官相關解釋、我國學理上的論述，並參酌德國憲法裁判與學理，據此</w:t>
      </w:r>
      <w:r>
        <w:rPr>
          <w:rFonts w:hAnsi="新細明體"/>
          <w:kern w:val="0"/>
        </w:rPr>
        <w:t>提出本文的建議之後，在本章的最後，擬以近來備受關注的公保養老給付優惠存款改制為例，嘗試</w:t>
      </w:r>
      <w:proofErr w:type="gramStart"/>
      <w:r>
        <w:rPr>
          <w:rFonts w:hAnsi="新細明體"/>
          <w:kern w:val="0"/>
        </w:rPr>
        <w:t>釐</w:t>
      </w:r>
      <w:proofErr w:type="gramEnd"/>
      <w:r>
        <w:rPr>
          <w:rFonts w:hAnsi="新細明體"/>
          <w:kern w:val="0"/>
        </w:rPr>
        <w:t>清其中與信賴保護原則有關的疑義。</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按因早期公務人員退休所得偏低，政府為照顧其退休生活，考試院於</w:t>
      </w:r>
      <w:r>
        <w:rPr>
          <w:kern w:val="0"/>
        </w:rPr>
        <w:t>49</w:t>
      </w:r>
      <w:r>
        <w:rPr>
          <w:rFonts w:hAnsi="新細明體"/>
          <w:kern w:val="0"/>
        </w:rPr>
        <w:t>年</w:t>
      </w:r>
      <w:r>
        <w:rPr>
          <w:kern w:val="0"/>
        </w:rPr>
        <w:t>1</w:t>
      </w:r>
      <w:r>
        <w:rPr>
          <w:rFonts w:hAnsi="新細明體"/>
          <w:kern w:val="0"/>
        </w:rPr>
        <w:t>月修正公務人員退休法施行細則時增訂第</w:t>
      </w:r>
      <w:r>
        <w:rPr>
          <w:kern w:val="0"/>
        </w:rPr>
        <w:t>31</w:t>
      </w:r>
      <w:r>
        <w:rPr>
          <w:rFonts w:hAnsi="新細明體"/>
          <w:kern w:val="0"/>
        </w:rPr>
        <w:t>條</w:t>
      </w:r>
      <w:r>
        <w:rPr>
          <w:rFonts w:hAnsi="新細明體" w:hint="eastAsia"/>
          <w:kern w:val="0"/>
        </w:rPr>
        <w:t>，</w:t>
      </w:r>
      <w:r>
        <w:rPr>
          <w:rFonts w:hAnsi="新細明體"/>
          <w:kern w:val="0"/>
        </w:rPr>
        <w:t>規定退休人員支領一次退休金得辦理優惠存款，並授權由銓敘部會商財政部訂定「退休公務人員退休金優惠存款辦法」。</w:t>
      </w:r>
      <w:proofErr w:type="gramStart"/>
      <w:r>
        <w:rPr>
          <w:rFonts w:hAnsi="新細明體"/>
          <w:kern w:val="0"/>
        </w:rPr>
        <w:t>嗣</w:t>
      </w:r>
      <w:proofErr w:type="gramEnd"/>
      <w:r>
        <w:rPr>
          <w:rFonts w:hAnsi="新細明體"/>
          <w:kern w:val="0"/>
        </w:rPr>
        <w:t>銓敘部報請考試院函准行政院轉由財政部分函中央銀行及臺灣銀行，自</w:t>
      </w:r>
      <w:r>
        <w:rPr>
          <w:kern w:val="0"/>
        </w:rPr>
        <w:t>63</w:t>
      </w:r>
      <w:r>
        <w:rPr>
          <w:rFonts w:hAnsi="新細明體"/>
          <w:kern w:val="0"/>
        </w:rPr>
        <w:t>年</w:t>
      </w:r>
      <w:r>
        <w:rPr>
          <w:kern w:val="0"/>
        </w:rPr>
        <w:t>11</w:t>
      </w:r>
      <w:r>
        <w:rPr>
          <w:rFonts w:hAnsi="新細明體"/>
          <w:kern w:val="0"/>
        </w:rPr>
        <w:t>月</w:t>
      </w:r>
      <w:r>
        <w:rPr>
          <w:kern w:val="0"/>
        </w:rPr>
        <w:t>1</w:t>
      </w:r>
      <w:r>
        <w:rPr>
          <w:rFonts w:hAnsi="新細明體"/>
          <w:kern w:val="0"/>
        </w:rPr>
        <w:t>日開始將</w:t>
      </w:r>
      <w:r>
        <w:rPr>
          <w:rFonts w:hAnsi="新細明體" w:hint="eastAsia"/>
          <w:kern w:val="0"/>
        </w:rPr>
        <w:t>公</w:t>
      </w:r>
      <w:r>
        <w:rPr>
          <w:rFonts w:hAnsi="新細明體"/>
          <w:kern w:val="0"/>
        </w:rPr>
        <w:t>保養老給付納入優惠存款</w:t>
      </w:r>
      <w:r>
        <w:rPr>
          <w:rFonts w:hAnsi="新細明體" w:hint="eastAsia"/>
          <w:kern w:val="0"/>
        </w:rPr>
        <w:t>的</w:t>
      </w:r>
      <w:r>
        <w:rPr>
          <w:rFonts w:hAnsi="新細明體"/>
          <w:kern w:val="0"/>
        </w:rPr>
        <w:t>範圍。</w:t>
      </w:r>
      <w:proofErr w:type="gramStart"/>
      <w:r>
        <w:rPr>
          <w:rFonts w:hAnsi="新細明體"/>
          <w:kern w:val="0"/>
        </w:rPr>
        <w:t>銓敘部並於</w:t>
      </w:r>
      <w:proofErr w:type="gramEnd"/>
      <w:r>
        <w:rPr>
          <w:rFonts w:hAnsi="新細明體"/>
          <w:kern w:val="0"/>
        </w:rPr>
        <w:t>同年</w:t>
      </w:r>
      <w:r>
        <w:rPr>
          <w:kern w:val="0"/>
        </w:rPr>
        <w:t>12</w:t>
      </w:r>
      <w:r>
        <w:rPr>
          <w:rFonts w:hAnsi="新細明體"/>
          <w:kern w:val="0"/>
        </w:rPr>
        <w:t>月</w:t>
      </w:r>
      <w:r>
        <w:rPr>
          <w:kern w:val="0"/>
        </w:rPr>
        <w:t>17</w:t>
      </w:r>
      <w:r>
        <w:rPr>
          <w:rFonts w:hAnsi="新細明體"/>
          <w:kern w:val="0"/>
        </w:rPr>
        <w:t>日訂定發布「退休公務</w:t>
      </w:r>
      <w:r>
        <w:rPr>
          <w:rFonts w:hAnsi="新細明體"/>
          <w:kern w:val="0"/>
        </w:rPr>
        <w:t>人員公保養老給付金額優惠存款要點」（以下簡稱公保優存要點），規定退休人員所領之公保養老給付金額，得連同一次退休金辦理優惠存款；受領月退休金人員，所領之公保養老給付金額，得比照辦理之，該要點並溯自</w:t>
      </w:r>
      <w:r>
        <w:rPr>
          <w:kern w:val="0"/>
        </w:rPr>
        <w:t>63</w:t>
      </w:r>
      <w:r>
        <w:rPr>
          <w:rFonts w:hAnsi="新細明體"/>
          <w:kern w:val="0"/>
        </w:rPr>
        <w:t>年</w:t>
      </w:r>
      <w:r>
        <w:rPr>
          <w:kern w:val="0"/>
        </w:rPr>
        <w:t>11</w:t>
      </w:r>
      <w:r>
        <w:rPr>
          <w:rFonts w:hAnsi="新細明體"/>
          <w:kern w:val="0"/>
        </w:rPr>
        <w:t>月</w:t>
      </w:r>
      <w:r>
        <w:rPr>
          <w:kern w:val="0"/>
        </w:rPr>
        <w:t>1</w:t>
      </w:r>
      <w:r>
        <w:rPr>
          <w:rFonts w:hAnsi="新細明體"/>
          <w:kern w:val="0"/>
        </w:rPr>
        <w:t>日起施行。</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優惠存款制度實施多年，現今公務人員之待遇已逐漸向上調整，且</w:t>
      </w:r>
      <w:r>
        <w:rPr>
          <w:kern w:val="0"/>
        </w:rPr>
        <w:t>84</w:t>
      </w:r>
      <w:r>
        <w:rPr>
          <w:rFonts w:hAnsi="新細明體"/>
          <w:kern w:val="0"/>
        </w:rPr>
        <w:t>年</w:t>
      </w:r>
      <w:r>
        <w:rPr>
          <w:kern w:val="0"/>
        </w:rPr>
        <w:t>7</w:t>
      </w:r>
      <w:r>
        <w:rPr>
          <w:rFonts w:hAnsi="新細明體"/>
          <w:kern w:val="0"/>
        </w:rPr>
        <w:t>月</w:t>
      </w:r>
      <w:r>
        <w:rPr>
          <w:kern w:val="0"/>
        </w:rPr>
        <w:t>1</w:t>
      </w:r>
      <w:r>
        <w:rPr>
          <w:rFonts w:hAnsi="新細明體"/>
          <w:kern w:val="0"/>
        </w:rPr>
        <w:t>日退撫新制實施後，退休金基數之計算內涵提高為本（年功）</w:t>
      </w:r>
      <w:proofErr w:type="gramStart"/>
      <w:r>
        <w:rPr>
          <w:rFonts w:hAnsi="新細明體"/>
          <w:kern w:val="0"/>
        </w:rPr>
        <w:t>俸</w:t>
      </w:r>
      <w:proofErr w:type="gramEnd"/>
      <w:r>
        <w:rPr>
          <w:rFonts w:hAnsi="新細明體"/>
          <w:kern w:val="0"/>
        </w:rPr>
        <w:t>加</w:t>
      </w:r>
      <w:r>
        <w:rPr>
          <w:kern w:val="0"/>
        </w:rPr>
        <w:t>1</w:t>
      </w:r>
      <w:r>
        <w:rPr>
          <w:rFonts w:hAnsi="新細明體"/>
          <w:kern w:val="0"/>
        </w:rPr>
        <w:t>倍，公務人員退休所得大幅提昇，部分具有退撫</w:t>
      </w:r>
      <w:r>
        <w:rPr>
          <w:rFonts w:hAnsi="新細明體" w:hint="eastAsia"/>
          <w:kern w:val="0"/>
        </w:rPr>
        <w:t>新</w:t>
      </w:r>
      <w:r>
        <w:rPr>
          <w:rFonts w:hAnsi="新細明體"/>
          <w:kern w:val="0"/>
        </w:rPr>
        <w:t>、舊制年資之人員，其退休所得甚至有超過現職同等級人員薪資之不合理現象。加以國內金融市場利率逐年下降，致政府負</w:t>
      </w:r>
      <w:r>
        <w:rPr>
          <w:rFonts w:hAnsi="新細明體"/>
          <w:kern w:val="0"/>
        </w:rPr>
        <w:t>擔之優惠存款差額利息相對提昇，形成各級政府沈重之財政負擔</w:t>
      </w:r>
      <w:r>
        <w:rPr>
          <w:rStyle w:val="a6"/>
          <w:kern w:val="0"/>
        </w:rPr>
        <w:footnoteReference w:id="86"/>
      </w:r>
      <w:r>
        <w:rPr>
          <w:rFonts w:hAnsi="新細明體"/>
          <w:kern w:val="0"/>
        </w:rPr>
        <w:t>。銓敘部</w:t>
      </w:r>
      <w:proofErr w:type="gramStart"/>
      <w:r>
        <w:rPr>
          <w:rFonts w:hAnsi="新細明體"/>
          <w:kern w:val="0"/>
        </w:rPr>
        <w:t>鑑</w:t>
      </w:r>
      <w:proofErr w:type="gramEnd"/>
      <w:r>
        <w:rPr>
          <w:rFonts w:hAnsi="新細明體"/>
          <w:kern w:val="0"/>
        </w:rPr>
        <w:t>於前揭情事，於</w:t>
      </w:r>
      <w:r>
        <w:rPr>
          <w:kern w:val="0"/>
        </w:rPr>
        <w:t>95</w:t>
      </w:r>
      <w:r>
        <w:rPr>
          <w:rFonts w:hAnsi="新細明體"/>
          <w:kern w:val="0"/>
        </w:rPr>
        <w:t>年</w:t>
      </w:r>
      <w:r>
        <w:rPr>
          <w:kern w:val="0"/>
        </w:rPr>
        <w:t>1</w:t>
      </w:r>
      <w:r>
        <w:rPr>
          <w:rFonts w:hAnsi="新細明體"/>
          <w:kern w:val="0"/>
        </w:rPr>
        <w:t>月</w:t>
      </w:r>
      <w:r>
        <w:rPr>
          <w:kern w:val="0"/>
        </w:rPr>
        <w:t>17</w:t>
      </w:r>
      <w:r>
        <w:rPr>
          <w:rFonts w:hAnsi="新細明體"/>
          <w:kern w:val="0"/>
        </w:rPr>
        <w:t>日修正增訂</w:t>
      </w:r>
      <w:proofErr w:type="gramStart"/>
      <w:r>
        <w:rPr>
          <w:rFonts w:hAnsi="新細明體"/>
          <w:kern w:val="0"/>
        </w:rPr>
        <w:t>公保優存</w:t>
      </w:r>
      <w:proofErr w:type="gramEnd"/>
      <w:r>
        <w:rPr>
          <w:rFonts w:hAnsi="新細明體"/>
          <w:kern w:val="0"/>
        </w:rPr>
        <w:t>要點第</w:t>
      </w:r>
      <w:r>
        <w:rPr>
          <w:kern w:val="0"/>
        </w:rPr>
        <w:t>3</w:t>
      </w:r>
      <w:r>
        <w:rPr>
          <w:rFonts w:hAnsi="新細明體"/>
          <w:kern w:val="0"/>
        </w:rPr>
        <w:t>點之</w:t>
      </w:r>
      <w:r>
        <w:rPr>
          <w:kern w:val="0"/>
        </w:rPr>
        <w:t>1</w:t>
      </w:r>
      <w:r>
        <w:rPr>
          <w:rFonts w:hAnsi="新細明體"/>
          <w:kern w:val="0"/>
        </w:rPr>
        <w:t>，並自</w:t>
      </w:r>
      <w:r>
        <w:rPr>
          <w:kern w:val="0"/>
        </w:rPr>
        <w:t>95</w:t>
      </w:r>
      <w:r>
        <w:rPr>
          <w:rFonts w:hAnsi="新細明體"/>
          <w:kern w:val="0"/>
        </w:rPr>
        <w:lastRenderedPageBreak/>
        <w:t>年</w:t>
      </w:r>
      <w:r>
        <w:rPr>
          <w:kern w:val="0"/>
        </w:rPr>
        <w:t>2</w:t>
      </w:r>
      <w:r>
        <w:rPr>
          <w:rFonts w:hAnsi="新細明體"/>
          <w:kern w:val="0"/>
        </w:rPr>
        <w:t>月</w:t>
      </w:r>
      <w:r>
        <w:rPr>
          <w:kern w:val="0"/>
        </w:rPr>
        <w:t>16</w:t>
      </w:r>
      <w:r>
        <w:rPr>
          <w:rFonts w:hAnsi="新細明體"/>
          <w:kern w:val="0"/>
        </w:rPr>
        <w:t>日起實施，明定支領月退休金人員之每月退休所得，不得超過依同等級人員現職待遇計算之退休上限百分比，每月退休所得超過退休所得上限百分比者，在依公務人員退休法所支領退休給與不作變動之前提下，減少其公保養老給付得辦理優惠存款之金額，使不超過退休所得上限百分比；至支領一次退休金之公務人員，因其退休所得替代率</w:t>
      </w:r>
      <w:proofErr w:type="gramStart"/>
      <w:r>
        <w:rPr>
          <w:rFonts w:hAnsi="新細明體"/>
          <w:kern w:val="0"/>
        </w:rPr>
        <w:t>並無偏高</w:t>
      </w:r>
      <w:proofErr w:type="gramEnd"/>
      <w:r>
        <w:rPr>
          <w:rFonts w:hAnsi="新細明體"/>
          <w:kern w:val="0"/>
        </w:rPr>
        <w:t>現象，並未列入改革範圍。增訂之</w:t>
      </w:r>
      <w:proofErr w:type="gramStart"/>
      <w:r>
        <w:rPr>
          <w:rFonts w:hAnsi="新細明體"/>
          <w:kern w:val="0"/>
        </w:rPr>
        <w:t>公保優存</w:t>
      </w:r>
      <w:proofErr w:type="gramEnd"/>
      <w:r>
        <w:rPr>
          <w:rFonts w:hAnsi="新細明體"/>
          <w:kern w:val="0"/>
        </w:rPr>
        <w:t>要點第</w:t>
      </w:r>
      <w:r>
        <w:rPr>
          <w:kern w:val="0"/>
        </w:rPr>
        <w:t>3</w:t>
      </w:r>
      <w:r>
        <w:rPr>
          <w:rFonts w:hAnsi="新細明體"/>
          <w:kern w:val="0"/>
        </w:rPr>
        <w:t>點之</w:t>
      </w:r>
      <w:r>
        <w:rPr>
          <w:kern w:val="0"/>
        </w:rPr>
        <w:t>1</w:t>
      </w:r>
      <w:r>
        <w:rPr>
          <w:rFonts w:hAnsi="新細明體"/>
          <w:kern w:val="0"/>
        </w:rPr>
        <w:t>於訂定</w:t>
      </w:r>
      <w:r>
        <w:rPr>
          <w:rFonts w:hAnsi="新細明體"/>
          <w:kern w:val="0"/>
        </w:rPr>
        <w:t>後</w:t>
      </w:r>
      <w:r>
        <w:rPr>
          <w:rFonts w:hAnsi="新細明體" w:hint="eastAsia"/>
          <w:kern w:val="0"/>
        </w:rPr>
        <w:t>一</w:t>
      </w:r>
      <w:r>
        <w:rPr>
          <w:rFonts w:hAnsi="新細明體"/>
          <w:kern w:val="0"/>
        </w:rPr>
        <w:t>個月後隨即施行，並未訂有過渡條款，致在該要點修正前已退休人員於優惠存款期滿後辦理續存時，其得辦理優惠存款之金額同受該要點修正規定之限制，因此衍生是否違反信賴保護原則之疑義</w:t>
      </w:r>
      <w:r>
        <w:rPr>
          <w:rStyle w:val="a6"/>
          <w:kern w:val="0"/>
        </w:rPr>
        <w:footnoteReference w:id="87"/>
      </w:r>
      <w:r>
        <w:rPr>
          <w:kern w:val="0"/>
        </w:rPr>
        <w:t xml:space="preserve"> </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kern w:val="0"/>
        </w:rPr>
        <w:t xml:space="preserve">    </w:t>
      </w:r>
      <w:r>
        <w:rPr>
          <w:rFonts w:hAnsi="新細明體"/>
          <w:kern w:val="0"/>
        </w:rPr>
        <w:t>此一問題顯然屬於「因法規範變更衍生之信賴保護的疑義」</w:t>
      </w:r>
      <w:r>
        <w:rPr>
          <w:rFonts w:hAnsi="新細明體" w:hint="eastAsia"/>
          <w:kern w:val="0"/>
        </w:rPr>
        <w:t>；</w:t>
      </w:r>
      <w:r>
        <w:rPr>
          <w:rFonts w:hAnsi="新細明體"/>
          <w:kern w:val="0"/>
        </w:rPr>
        <w:t>就此，首先應處理的問題是：</w:t>
      </w:r>
      <w:r>
        <w:rPr>
          <w:rFonts w:ascii="標楷體" w:eastAsia="標楷體" w:hAnsi="標楷體"/>
          <w:b/>
          <w:kern w:val="0"/>
        </w:rPr>
        <w:t>原</w:t>
      </w:r>
      <w:proofErr w:type="gramStart"/>
      <w:r>
        <w:rPr>
          <w:rFonts w:ascii="標楷體" w:eastAsia="標楷體" w:hAnsi="標楷體"/>
          <w:b/>
          <w:kern w:val="0"/>
        </w:rPr>
        <w:t>公保優存</w:t>
      </w:r>
      <w:proofErr w:type="gramEnd"/>
      <w:r>
        <w:rPr>
          <w:rFonts w:ascii="標楷體" w:eastAsia="標楷體" w:hAnsi="標楷體"/>
          <w:b/>
          <w:kern w:val="0"/>
        </w:rPr>
        <w:t>要點得否作為主張信賴保護的基礎</w:t>
      </w:r>
      <w:r>
        <w:rPr>
          <w:rFonts w:hAnsi="新細明體"/>
          <w:kern w:val="0"/>
        </w:rPr>
        <w:t>？就此，如前所述，司法院大法官一方面在釋字第</w:t>
      </w:r>
      <w:r>
        <w:rPr>
          <w:kern w:val="0"/>
        </w:rPr>
        <w:t>525</w:t>
      </w:r>
      <w:r>
        <w:rPr>
          <w:rFonts w:hAnsi="新細明體"/>
          <w:kern w:val="0"/>
        </w:rPr>
        <w:t>號解釋</w:t>
      </w:r>
      <w:r>
        <w:rPr>
          <w:rFonts w:hAnsi="新細明體" w:hint="eastAsia"/>
          <w:kern w:val="0"/>
        </w:rPr>
        <w:t>中</w:t>
      </w:r>
      <w:r>
        <w:rPr>
          <w:rFonts w:hAnsi="新細明體"/>
          <w:kern w:val="0"/>
        </w:rPr>
        <w:t>視行政規則的變更為法規範變更的案例類型，另一方面卻</w:t>
      </w:r>
      <w:proofErr w:type="gramStart"/>
      <w:r>
        <w:rPr>
          <w:rFonts w:hAnsi="新細明體"/>
          <w:kern w:val="0"/>
        </w:rPr>
        <w:t>又於釋字</w:t>
      </w:r>
      <w:proofErr w:type="gramEnd"/>
      <w:r>
        <w:rPr>
          <w:rFonts w:hAnsi="新細明體"/>
          <w:kern w:val="0"/>
        </w:rPr>
        <w:t>第</w:t>
      </w:r>
      <w:r>
        <w:rPr>
          <w:kern w:val="0"/>
        </w:rPr>
        <w:t>287</w:t>
      </w:r>
      <w:r>
        <w:rPr>
          <w:rFonts w:hAnsi="新細明體"/>
          <w:kern w:val="0"/>
        </w:rPr>
        <w:t>號</w:t>
      </w:r>
      <w:r>
        <w:rPr>
          <w:rFonts w:hAnsi="新細明體" w:hint="eastAsia"/>
          <w:kern w:val="0"/>
        </w:rPr>
        <w:t>、第</w:t>
      </w:r>
      <w:r>
        <w:rPr>
          <w:rFonts w:hAnsi="新細明體" w:hint="eastAsia"/>
          <w:kern w:val="0"/>
        </w:rPr>
        <w:t>536</w:t>
      </w:r>
      <w:r>
        <w:rPr>
          <w:rFonts w:hAnsi="新細明體" w:hint="eastAsia"/>
          <w:kern w:val="0"/>
        </w:rPr>
        <w:t>號</w:t>
      </w:r>
      <w:r>
        <w:rPr>
          <w:rFonts w:hAnsi="新細明體"/>
          <w:kern w:val="0"/>
        </w:rPr>
        <w:t>解釋中認定</w:t>
      </w:r>
      <w:r>
        <w:rPr>
          <w:rFonts w:hAnsi="新細明體" w:hint="eastAsia"/>
          <w:kern w:val="0"/>
        </w:rPr>
        <w:t>，</w:t>
      </w:r>
      <w:r>
        <w:rPr>
          <w:rFonts w:hAnsi="新細明體"/>
          <w:kern w:val="0"/>
        </w:rPr>
        <w:t>「行政主管機關就行政法規所為之釋示，係闡明法規之原意</w:t>
      </w:r>
      <w:r>
        <w:rPr>
          <w:rFonts w:hAnsi="新細明體"/>
          <w:kern w:val="0"/>
        </w:rPr>
        <w:t>，固應自法規生效之日起有其適用」</w:t>
      </w:r>
      <w:r>
        <w:rPr>
          <w:rFonts w:hAnsi="新細明體" w:hint="eastAsia"/>
          <w:kern w:val="0"/>
        </w:rPr>
        <w:t>，並未認定，函令解釋（而非法律）的變更，將衍生違反信賴保護原則的問題；質言之，其解釋立場不無矛盾。德國法學界則質疑，行政規則得否作為人民主張信賴保護的基礎。一方面是因為行政規則對人民並不發生直接的法律效果，另一方面則憂慮，假使違法的行政規則亦得作為信賴基礎的話，將過度輕忽法律優越原則（釋字第</w:t>
      </w:r>
      <w:r>
        <w:rPr>
          <w:rFonts w:hAnsi="新細明體" w:hint="eastAsia"/>
          <w:kern w:val="0"/>
        </w:rPr>
        <w:t>525</w:t>
      </w:r>
      <w:r>
        <w:rPr>
          <w:rFonts w:hAnsi="新細明體" w:hint="eastAsia"/>
          <w:kern w:val="0"/>
        </w:rPr>
        <w:t>號解釋涉及的正是，以違法函釋作為信賴基礎的問題）。然而，在本件案例，受影響之公務人員其實無庸援引原</w:t>
      </w:r>
      <w:proofErr w:type="gramStart"/>
      <w:r>
        <w:rPr>
          <w:rFonts w:hAnsi="新細明體" w:hint="eastAsia"/>
          <w:kern w:val="0"/>
        </w:rPr>
        <w:t>公保優存</w:t>
      </w:r>
      <w:proofErr w:type="gramEnd"/>
      <w:r>
        <w:rPr>
          <w:rFonts w:hAnsi="新細明體" w:hint="eastAsia"/>
          <w:kern w:val="0"/>
        </w:rPr>
        <w:t>要點本身，其得</w:t>
      </w:r>
      <w:proofErr w:type="gramStart"/>
      <w:r>
        <w:rPr>
          <w:rFonts w:hAnsi="新細明體" w:hint="eastAsia"/>
          <w:kern w:val="0"/>
        </w:rPr>
        <w:t>逕</w:t>
      </w:r>
      <w:proofErr w:type="gramEnd"/>
      <w:r>
        <w:rPr>
          <w:rFonts w:ascii="標楷體" w:eastAsia="標楷體" w:hAnsi="標楷體" w:hint="eastAsia"/>
          <w:b/>
          <w:kern w:val="0"/>
        </w:rPr>
        <w:t>以依此要點長期運作的行政實務為其信賴基礎</w:t>
      </w:r>
      <w:r>
        <w:rPr>
          <w:rFonts w:hAnsi="新細明體" w:hint="eastAsia"/>
          <w:kern w:val="0"/>
        </w:rPr>
        <w:t>；如已存在穩定的行政</w:t>
      </w:r>
      <w:r>
        <w:rPr>
          <w:rFonts w:hAnsi="新細明體" w:hint="eastAsia"/>
          <w:kern w:val="0"/>
        </w:rPr>
        <w:t>實務，行政機關不得在欠缺事理上理由的情況下，背離此等行政實務（行政自我拘束原則）</w:t>
      </w:r>
      <w:r>
        <w:rPr>
          <w:rStyle w:val="a6"/>
          <w:rFonts w:hAnsi="新細明體"/>
          <w:kern w:val="0"/>
        </w:rPr>
        <w:footnoteReference w:id="88"/>
      </w:r>
      <w:r>
        <w:rPr>
          <w:rFonts w:hAnsi="新細明體" w:hint="eastAsia"/>
          <w:kern w:val="0"/>
        </w:rPr>
        <w:t>。</w:t>
      </w:r>
      <w:proofErr w:type="gramStart"/>
      <w:r>
        <w:rPr>
          <w:rFonts w:hAnsi="新細明體" w:hint="eastAsia"/>
          <w:kern w:val="0"/>
        </w:rPr>
        <w:t>此外，</w:t>
      </w:r>
      <w:proofErr w:type="gramEnd"/>
      <w:r>
        <w:rPr>
          <w:rFonts w:hAnsi="新細明體" w:hint="eastAsia"/>
          <w:kern w:val="0"/>
        </w:rPr>
        <w:t>在</w:t>
      </w:r>
      <w:proofErr w:type="gramStart"/>
      <w:r>
        <w:rPr>
          <w:rFonts w:hAnsi="新細明體" w:hint="eastAsia"/>
          <w:kern w:val="0"/>
        </w:rPr>
        <w:t>公保優存</w:t>
      </w:r>
      <w:proofErr w:type="gramEnd"/>
      <w:r>
        <w:rPr>
          <w:rFonts w:hAnsi="新細明體" w:hint="eastAsia"/>
          <w:kern w:val="0"/>
        </w:rPr>
        <w:t>要點此一等同「代替法律之行政規則」</w:t>
      </w:r>
      <w:r>
        <w:rPr>
          <w:rStyle w:val="a6"/>
          <w:rFonts w:hAnsi="新細明體"/>
          <w:kern w:val="0"/>
        </w:rPr>
        <w:footnoteReference w:id="89"/>
      </w:r>
      <w:r>
        <w:rPr>
          <w:rFonts w:hAnsi="新細明體" w:hint="eastAsia"/>
          <w:kern w:val="0"/>
        </w:rPr>
        <w:t>的情形，承認依此</w:t>
      </w:r>
      <w:r>
        <w:rPr>
          <w:rFonts w:hAnsi="新細明體" w:hint="eastAsia"/>
          <w:kern w:val="0"/>
        </w:rPr>
        <w:lastRenderedPageBreak/>
        <w:t>要點而為之行政實務得作為信賴基礎，亦不致發生與法律優越原則相衝突的疑慮；</w:t>
      </w:r>
      <w:proofErr w:type="gramStart"/>
      <w:r>
        <w:rPr>
          <w:rFonts w:hAnsi="新細明體" w:hint="eastAsia"/>
          <w:kern w:val="0"/>
        </w:rPr>
        <w:t>蓋原應</w:t>
      </w:r>
      <w:proofErr w:type="gramEnd"/>
      <w:r>
        <w:rPr>
          <w:rFonts w:hAnsi="新細明體" w:hint="eastAsia"/>
          <w:kern w:val="0"/>
        </w:rPr>
        <w:t>存在之法律付之闕如。</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hint="eastAsia"/>
          <w:kern w:val="0"/>
        </w:rPr>
        <w:t xml:space="preserve">   </w:t>
      </w:r>
      <w:r>
        <w:rPr>
          <w:rFonts w:hint="eastAsia"/>
          <w:kern w:val="0"/>
        </w:rPr>
        <w:t>雖然是以「</w:t>
      </w:r>
      <w:r>
        <w:rPr>
          <w:rFonts w:hAnsi="新細明體" w:hint="eastAsia"/>
          <w:kern w:val="0"/>
        </w:rPr>
        <w:t>依</w:t>
      </w:r>
      <w:proofErr w:type="gramStart"/>
      <w:r>
        <w:rPr>
          <w:rFonts w:hAnsi="新細明體" w:hint="eastAsia"/>
          <w:kern w:val="0"/>
        </w:rPr>
        <w:t>公保優存</w:t>
      </w:r>
      <w:proofErr w:type="gramEnd"/>
      <w:r>
        <w:rPr>
          <w:rFonts w:hAnsi="新細明體" w:hint="eastAsia"/>
          <w:kern w:val="0"/>
        </w:rPr>
        <w:t>要點而為的行政實務</w:t>
      </w:r>
      <w:r>
        <w:rPr>
          <w:rFonts w:hint="eastAsia"/>
          <w:kern w:val="0"/>
        </w:rPr>
        <w:t>」作為信賴基礎，處理此類信賴保護原則的疑義，仍應比照「因法規範變動」的處理模式。蓋無論是向來「</w:t>
      </w:r>
      <w:r>
        <w:rPr>
          <w:rFonts w:hAnsi="新細明體" w:hint="eastAsia"/>
          <w:kern w:val="0"/>
        </w:rPr>
        <w:t>依</w:t>
      </w:r>
      <w:proofErr w:type="gramStart"/>
      <w:r>
        <w:rPr>
          <w:rFonts w:hAnsi="新細明體" w:hint="eastAsia"/>
          <w:kern w:val="0"/>
        </w:rPr>
        <w:t>公保優存</w:t>
      </w:r>
      <w:proofErr w:type="gramEnd"/>
      <w:r>
        <w:rPr>
          <w:rFonts w:hAnsi="新細明體" w:hint="eastAsia"/>
          <w:kern w:val="0"/>
        </w:rPr>
        <w:t>要點而為的行政實務</w:t>
      </w:r>
      <w:r>
        <w:rPr>
          <w:rFonts w:hint="eastAsia"/>
          <w:kern w:val="0"/>
        </w:rPr>
        <w:t>」，抑或是對此的變動，都不是類似行政處分的個案式，毋寧是類似法規範的一般化、抽象化操作。如是</w:t>
      </w:r>
      <w:r>
        <w:rPr>
          <w:rFonts w:hint="eastAsia"/>
          <w:kern w:val="0"/>
        </w:rPr>
        <w:t>，則判斷增訂</w:t>
      </w:r>
      <w:proofErr w:type="gramStart"/>
      <w:r>
        <w:rPr>
          <w:rFonts w:hint="eastAsia"/>
          <w:kern w:val="0"/>
        </w:rPr>
        <w:t>公保優存</w:t>
      </w:r>
      <w:proofErr w:type="gramEnd"/>
      <w:r>
        <w:rPr>
          <w:rFonts w:hint="eastAsia"/>
          <w:kern w:val="0"/>
        </w:rPr>
        <w:t>要點第</w:t>
      </w:r>
      <w:r>
        <w:rPr>
          <w:rFonts w:hint="eastAsia"/>
          <w:kern w:val="0"/>
        </w:rPr>
        <w:t>3</w:t>
      </w:r>
      <w:r>
        <w:rPr>
          <w:rFonts w:hint="eastAsia"/>
          <w:kern w:val="0"/>
        </w:rPr>
        <w:t>點之</w:t>
      </w:r>
      <w:r>
        <w:rPr>
          <w:rFonts w:hint="eastAsia"/>
          <w:kern w:val="0"/>
        </w:rPr>
        <w:t>1</w:t>
      </w:r>
      <w:r>
        <w:rPr>
          <w:rFonts w:hint="eastAsia"/>
          <w:kern w:val="0"/>
        </w:rPr>
        <w:t>以限制得為優存之公保養老給付金額，其是否違反信賴保護原則的審查方式，首先取決於，</w:t>
      </w:r>
      <w:r>
        <w:rPr>
          <w:rFonts w:ascii="標楷體" w:eastAsia="標楷體" w:hAnsi="標楷體" w:hint="eastAsia"/>
          <w:b/>
          <w:kern w:val="0"/>
        </w:rPr>
        <w:t>此等變動是否影響人民的基本權利</w:t>
      </w:r>
      <w:r>
        <w:rPr>
          <w:rFonts w:hint="eastAsia"/>
          <w:kern w:val="0"/>
        </w:rPr>
        <w:t>；如是，即應依比例原則審查其是否違憲侵害人民的基本權。</w:t>
      </w:r>
    </w:p>
    <w:p w:rsidR="00000000"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p>
    <w:p w:rsidR="00FE56A9" w:rsidRDefault="00FE56A9" w:rsidP="009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r>
        <w:rPr>
          <w:rFonts w:hint="eastAsia"/>
          <w:kern w:val="0"/>
        </w:rPr>
        <w:t xml:space="preserve">    </w:t>
      </w:r>
      <w:r>
        <w:rPr>
          <w:rFonts w:hint="eastAsia"/>
          <w:kern w:val="0"/>
        </w:rPr>
        <w:t>按自釋字第</w:t>
      </w:r>
      <w:r>
        <w:rPr>
          <w:rFonts w:hint="eastAsia"/>
          <w:kern w:val="0"/>
        </w:rPr>
        <w:t>575</w:t>
      </w:r>
      <w:r>
        <w:rPr>
          <w:rFonts w:hint="eastAsia"/>
          <w:kern w:val="0"/>
        </w:rPr>
        <w:t>號解釋文認定「</w:t>
      </w:r>
      <w:r>
        <w:rPr>
          <w:rFonts w:ascii="新細明體" w:hAnsi="新細明體" w:cs="細明體"/>
          <w:kern w:val="0"/>
        </w:rPr>
        <w:t>憲法第十八條規定人民有</w:t>
      </w:r>
      <w:r>
        <w:rPr>
          <w:rFonts w:ascii="新細明體" w:hAnsi="新細明體" w:cs="細明體"/>
          <w:color w:val="000000"/>
          <w:kern w:val="0"/>
        </w:rPr>
        <w:t>服公職之權利</w:t>
      </w:r>
      <w:r>
        <w:rPr>
          <w:rFonts w:ascii="新細明體" w:hAnsi="新細明體" w:cs="細明體"/>
          <w:kern w:val="0"/>
        </w:rPr>
        <w:t>，旨在保障人民有依法令從事</w:t>
      </w:r>
      <w:r>
        <w:rPr>
          <w:rFonts w:ascii="新細明體" w:hAnsi="新細明體" w:cs="新細明體"/>
          <w:kern w:val="0"/>
        </w:rPr>
        <w:t>於公務，暨由此衍生享有之身分保障、俸給與退休金等權利</w:t>
      </w:r>
      <w:r>
        <w:rPr>
          <w:rFonts w:hint="eastAsia"/>
          <w:kern w:val="0"/>
        </w:rPr>
        <w:t>」以來，大法官多號解釋</w:t>
      </w:r>
      <w:r>
        <w:rPr>
          <w:rStyle w:val="a6"/>
          <w:kern w:val="0"/>
        </w:rPr>
        <w:footnoteReference w:id="90"/>
      </w:r>
      <w:r>
        <w:rPr>
          <w:rFonts w:hint="eastAsia"/>
          <w:kern w:val="0"/>
        </w:rPr>
        <w:t>承認，請領退休金之權利亦屬憲法所定「</w:t>
      </w:r>
      <w:r>
        <w:rPr>
          <w:rFonts w:ascii="新細明體" w:hAnsi="新細明體" w:cs="細明體"/>
          <w:kern w:val="0"/>
        </w:rPr>
        <w:t>人民有</w:t>
      </w:r>
      <w:r>
        <w:rPr>
          <w:rFonts w:ascii="新細明體" w:hAnsi="新細明體" w:cs="細明體"/>
          <w:color w:val="000000"/>
          <w:kern w:val="0"/>
        </w:rPr>
        <w:t>服公職之權利</w:t>
      </w:r>
      <w:r>
        <w:rPr>
          <w:rFonts w:hint="eastAsia"/>
          <w:kern w:val="0"/>
        </w:rPr>
        <w:t>」的保護範圍。</w:t>
      </w:r>
      <w:proofErr w:type="gramStart"/>
      <w:r>
        <w:rPr>
          <w:rFonts w:hint="eastAsia"/>
          <w:kern w:val="0"/>
        </w:rPr>
        <w:t>邇</w:t>
      </w:r>
      <w:proofErr w:type="gramEnd"/>
      <w:r>
        <w:rPr>
          <w:rFonts w:hint="eastAsia"/>
          <w:kern w:val="0"/>
        </w:rPr>
        <w:t>來之釋字第</w:t>
      </w:r>
      <w:r>
        <w:rPr>
          <w:rFonts w:hint="eastAsia"/>
          <w:kern w:val="0"/>
        </w:rPr>
        <w:t>614</w:t>
      </w:r>
      <w:r>
        <w:rPr>
          <w:rFonts w:hint="eastAsia"/>
          <w:kern w:val="0"/>
        </w:rPr>
        <w:t>號解釋理由書，不僅確認「</w:t>
      </w:r>
      <w:r>
        <w:rPr>
          <w:rFonts w:ascii="新細明體" w:hAnsi="新細明體" w:cs="細明體"/>
          <w:kern w:val="0"/>
        </w:rPr>
        <w:t>憲法第十八條規定人民有</w:t>
      </w:r>
      <w:r>
        <w:rPr>
          <w:rFonts w:ascii="新細明體" w:hAnsi="新細明體" w:cs="細明體"/>
          <w:color w:val="000000"/>
          <w:kern w:val="0"/>
        </w:rPr>
        <w:t>服公</w:t>
      </w:r>
      <w:r>
        <w:rPr>
          <w:rFonts w:ascii="新細明體" w:hAnsi="新細明體" w:cs="細明體"/>
          <w:color w:val="000000"/>
          <w:kern w:val="0"/>
        </w:rPr>
        <w:t>職之權利</w:t>
      </w:r>
      <w:r>
        <w:rPr>
          <w:rFonts w:ascii="新細明體" w:hAnsi="新細明體" w:cs="細明體"/>
          <w:kern w:val="0"/>
        </w:rPr>
        <w:t>，旨在保障人民有依法令從事公務，暨由此衍生享有之身分保障、俸給與退休金請求等權利</w:t>
      </w:r>
      <w:r>
        <w:rPr>
          <w:rFonts w:hint="eastAsia"/>
          <w:kern w:val="0"/>
        </w:rPr>
        <w:t>」，並直指，「</w:t>
      </w:r>
      <w:r>
        <w:rPr>
          <w:rFonts w:ascii="新細明體" w:hAnsi="新細明體" w:cs="細明體"/>
          <w:kern w:val="0"/>
        </w:rPr>
        <w:t>國家則對</w:t>
      </w:r>
      <w:r>
        <w:rPr>
          <w:rFonts w:ascii="新細明體" w:hAnsi="新細明體" w:cs="新細明體"/>
          <w:kern w:val="0"/>
        </w:rPr>
        <w:t>公務人員有給予俸給、退休金等維持其生活之義務</w:t>
      </w:r>
      <w:r>
        <w:rPr>
          <w:rFonts w:hint="eastAsia"/>
          <w:kern w:val="0"/>
        </w:rPr>
        <w:t>」。公保養老給付優惠存款的制度實質上既已構成公務人員維持其退休生活的重要國家給付，殊不能因其名稱與「退休金」不同，其法律依據並未出現於公務人員退休法，即否認其屬國家對公務人員實質之退休給付的</w:t>
      </w:r>
      <w:proofErr w:type="gramStart"/>
      <w:r>
        <w:rPr>
          <w:rFonts w:hint="eastAsia"/>
          <w:kern w:val="0"/>
        </w:rPr>
        <w:t>一</w:t>
      </w:r>
      <w:proofErr w:type="gramEnd"/>
      <w:r>
        <w:rPr>
          <w:rFonts w:hint="eastAsia"/>
          <w:kern w:val="0"/>
        </w:rPr>
        <w:t>部份。據此，應認</w:t>
      </w:r>
      <w:r>
        <w:rPr>
          <w:rFonts w:ascii="標楷體" w:eastAsia="標楷體" w:hAnsi="標楷體" w:hint="eastAsia"/>
          <w:b/>
          <w:kern w:val="0"/>
        </w:rPr>
        <w:t>前述變動已影響人民「服公職之權利」</w:t>
      </w:r>
      <w:r>
        <w:rPr>
          <w:rFonts w:hint="eastAsia"/>
          <w:kern w:val="0"/>
        </w:rPr>
        <w:t>，質言之，已影響其基本權。如是，即應依比例原則審查：採取此一變動之目的為何？由憲法的觀點來看，此一目的本身是否正當？</w:t>
      </w:r>
      <w:r>
        <w:rPr>
          <w:rFonts w:hint="eastAsia"/>
          <w:kern w:val="0"/>
        </w:rPr>
        <w:t>所採取的變動措施是否有助於</w:t>
      </w:r>
      <w:r>
        <w:rPr>
          <w:rFonts w:hint="eastAsia"/>
          <w:kern w:val="0"/>
        </w:rPr>
        <w:lastRenderedPageBreak/>
        <w:t>目的之達成？其是否為達成目的之必要（</w:t>
      </w:r>
      <w:r>
        <w:rPr>
          <w:kern w:val="0"/>
        </w:rPr>
        <w:t>=</w:t>
      </w:r>
      <w:r>
        <w:rPr>
          <w:rFonts w:hint="eastAsia"/>
          <w:kern w:val="0"/>
        </w:rPr>
        <w:t xml:space="preserve"> </w:t>
      </w:r>
      <w:r>
        <w:rPr>
          <w:rFonts w:hint="eastAsia"/>
          <w:kern w:val="0"/>
        </w:rPr>
        <w:t>侵害最小）的手段？目的與變動措施的影響相較是否顯然失衡？</w:t>
      </w:r>
      <w:bookmarkEnd w:id="0"/>
    </w:p>
    <w:sectPr w:rsidR="00FE56A9">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A9" w:rsidRDefault="00FE56A9">
      <w:r>
        <w:separator/>
      </w:r>
    </w:p>
  </w:endnote>
  <w:endnote w:type="continuationSeparator" w:id="0">
    <w:p w:rsidR="00FE56A9" w:rsidRDefault="00FE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56A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FE56A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56A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956B72">
      <w:rPr>
        <w:rStyle w:val="a4"/>
        <w:noProof/>
      </w:rPr>
      <w:t>52</w:t>
    </w:r>
    <w:r>
      <w:rPr>
        <w:rStyle w:val="a4"/>
      </w:rPr>
      <w:fldChar w:fldCharType="end"/>
    </w:r>
  </w:p>
  <w:p w:rsidR="00000000" w:rsidRDefault="00FE56A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A9" w:rsidRDefault="00FE56A9">
      <w:r>
        <w:separator/>
      </w:r>
    </w:p>
  </w:footnote>
  <w:footnote w:type="continuationSeparator" w:id="0">
    <w:p w:rsidR="00FE56A9" w:rsidRDefault="00FE56A9">
      <w:r>
        <w:continuationSeparator/>
      </w:r>
    </w:p>
  </w:footnote>
  <w:footnote w:id="1">
    <w:p w:rsidR="00000000" w:rsidRDefault="00FE56A9">
      <w:pPr>
        <w:pStyle w:val="a5"/>
        <w:rPr>
          <w:rFonts w:hint="eastAsia"/>
          <w:lang w:val="de-DE"/>
        </w:rPr>
      </w:pPr>
      <w:r>
        <w:rPr>
          <w:rStyle w:val="a6"/>
        </w:rPr>
        <w:footnoteRef/>
      </w:r>
      <w:r>
        <w:rPr>
          <w:lang w:val="de-DE"/>
        </w:rPr>
        <w:t xml:space="preserve"> </w:t>
      </w:r>
      <w:r>
        <w:rPr>
          <w:rFonts w:hint="eastAsia"/>
          <w:lang w:val="de-DE"/>
        </w:rPr>
        <w:t xml:space="preserve">Ernst Benda, </w:t>
      </w:r>
      <w:r>
        <w:rPr>
          <w:lang w:val="de-DE"/>
        </w:rPr>
        <w:t>§</w:t>
      </w:r>
      <w:r>
        <w:rPr>
          <w:rFonts w:hint="eastAsia"/>
          <w:lang w:val="de-DE"/>
        </w:rPr>
        <w:t xml:space="preserve"> 17 Der soziale Rechtsstaat, in: E. Benda/Werner Maihofer/Hans-Jochen Vogel (Hg.), Handbuch des Verfassungsrechts, 2. Aufl., 1994, Rn. 50.</w:t>
      </w:r>
    </w:p>
  </w:footnote>
  <w:footnote w:id="2">
    <w:p w:rsidR="00000000" w:rsidRDefault="00FE56A9">
      <w:pPr>
        <w:pStyle w:val="a5"/>
        <w:rPr>
          <w:rFonts w:hint="eastAsia"/>
        </w:rPr>
      </w:pPr>
      <w:r>
        <w:rPr>
          <w:rStyle w:val="a6"/>
        </w:rPr>
        <w:footnoteRef/>
      </w:r>
      <w:r>
        <w:rPr>
          <w:rFonts w:hint="eastAsia"/>
          <w:color w:val="000000"/>
        </w:rPr>
        <w:t xml:space="preserve"> </w:t>
      </w:r>
      <w:r>
        <w:rPr>
          <w:rFonts w:hint="eastAsia"/>
          <w:color w:val="000000"/>
        </w:rPr>
        <w:t>林明鏘教授也明白指出，就信賴保護原則應如何應用於行政法規變動的情形，釋字第</w:t>
      </w:r>
      <w:r>
        <w:rPr>
          <w:rFonts w:hint="eastAsia"/>
          <w:color w:val="000000"/>
        </w:rPr>
        <w:t>525</w:t>
      </w:r>
      <w:r>
        <w:rPr>
          <w:rFonts w:hint="eastAsia"/>
          <w:color w:val="000000"/>
        </w:rPr>
        <w:t>號解釋仍沿襲廢棄</w:t>
      </w:r>
      <w:proofErr w:type="gramStart"/>
      <w:r>
        <w:rPr>
          <w:rFonts w:hint="eastAsia"/>
          <w:color w:val="000000"/>
        </w:rPr>
        <w:t>授益性行政處分</w:t>
      </w:r>
      <w:proofErr w:type="gramEnd"/>
      <w:r>
        <w:rPr>
          <w:rFonts w:hint="eastAsia"/>
          <w:color w:val="000000"/>
        </w:rPr>
        <w:t>的相關規定，其是否「過度遷就附會有關行政處分撤銷廢止之要件」，應加以審視：林明鏘，</w:t>
      </w:r>
      <w:r>
        <w:rPr>
          <w:color w:val="000000"/>
        </w:rPr>
        <w:t>&lt;</w:t>
      </w:r>
      <w:r>
        <w:rPr>
          <w:rFonts w:hint="eastAsia"/>
          <w:color w:val="000000"/>
        </w:rPr>
        <w:t>行政規則變動與信賴保護原則</w:t>
      </w:r>
      <w:proofErr w:type="gramStart"/>
      <w:r>
        <w:rPr>
          <w:rFonts w:ascii="新細明體" w:hAnsi="新細明體" w:hint="eastAsia"/>
          <w:color w:val="000000"/>
        </w:rPr>
        <w:t>―</w:t>
      </w:r>
      <w:proofErr w:type="gramEnd"/>
      <w:r>
        <w:rPr>
          <w:rFonts w:hint="eastAsia"/>
          <w:color w:val="000000"/>
        </w:rPr>
        <w:t>兼評最高行政法院八十九年判字第一八四二號判決與司法院大法官釋字第五二五號解釋</w:t>
      </w:r>
      <w:r>
        <w:rPr>
          <w:color w:val="000000"/>
        </w:rPr>
        <w:t>&gt;</w:t>
      </w:r>
      <w:r>
        <w:rPr>
          <w:rFonts w:hint="eastAsia"/>
          <w:color w:val="000000"/>
        </w:rPr>
        <w:t>，葛克昌、林明鏘編</w:t>
      </w:r>
      <w:r>
        <w:rPr>
          <w:color w:val="000000"/>
        </w:rPr>
        <w:t>«</w:t>
      </w:r>
      <w:r>
        <w:rPr>
          <w:rFonts w:hint="eastAsia"/>
          <w:color w:val="000000"/>
        </w:rPr>
        <w:t>行政法實務與理論</w:t>
      </w:r>
      <w:r>
        <w:rPr>
          <w:color w:val="000000"/>
        </w:rPr>
        <w:t>»</w:t>
      </w:r>
      <w:r>
        <w:rPr>
          <w:rFonts w:hint="eastAsia"/>
          <w:color w:val="000000"/>
        </w:rPr>
        <w:t>，</w:t>
      </w:r>
      <w:r>
        <w:rPr>
          <w:rFonts w:hint="eastAsia"/>
          <w:color w:val="000000"/>
        </w:rPr>
        <w:t>2003/3</w:t>
      </w:r>
      <w:r>
        <w:rPr>
          <w:rFonts w:hint="eastAsia"/>
          <w:color w:val="000000"/>
        </w:rPr>
        <w:t>，頁</w:t>
      </w:r>
      <w:r>
        <w:rPr>
          <w:rFonts w:hint="eastAsia"/>
          <w:color w:val="000000"/>
        </w:rPr>
        <w:t>584-585</w:t>
      </w:r>
      <w:r>
        <w:rPr>
          <w:rFonts w:hint="eastAsia"/>
          <w:color w:val="000000"/>
        </w:rPr>
        <w:t>。</w:t>
      </w:r>
    </w:p>
  </w:footnote>
  <w:footnote w:id="3">
    <w:p w:rsidR="00000000" w:rsidRDefault="00FE56A9">
      <w:pPr>
        <w:pStyle w:val="a5"/>
        <w:rPr>
          <w:rFonts w:hint="eastAsia"/>
        </w:rPr>
      </w:pPr>
      <w:r>
        <w:rPr>
          <w:rStyle w:val="a6"/>
        </w:rPr>
        <w:footnoteRef/>
      </w:r>
      <w:r>
        <w:t xml:space="preserve"> </w:t>
      </w:r>
      <w:r>
        <w:rPr>
          <w:rFonts w:hint="eastAsia"/>
        </w:rPr>
        <w:t>即使是行政規則，依行政程序法第</w:t>
      </w:r>
      <w:r>
        <w:rPr>
          <w:rFonts w:hint="eastAsia"/>
        </w:rPr>
        <w:t>159</w:t>
      </w:r>
      <w:r>
        <w:rPr>
          <w:rFonts w:hint="eastAsia"/>
        </w:rPr>
        <w:t>條第</w:t>
      </w:r>
      <w:r>
        <w:rPr>
          <w:rFonts w:hint="eastAsia"/>
        </w:rPr>
        <w:t>1</w:t>
      </w:r>
      <w:r>
        <w:rPr>
          <w:rFonts w:hint="eastAsia"/>
        </w:rPr>
        <w:t>項，其仍屬「一般、抽象之規定」，</w:t>
      </w:r>
      <w:proofErr w:type="gramStart"/>
      <w:r>
        <w:rPr>
          <w:rFonts w:hint="eastAsia"/>
        </w:rPr>
        <w:t>僅其法</w:t>
      </w:r>
      <w:proofErr w:type="gramEnd"/>
      <w:r>
        <w:rPr>
          <w:rFonts w:hint="eastAsia"/>
        </w:rPr>
        <w:t>規範效力「非直接對外發生」而已。而依行政程序法第</w:t>
      </w:r>
      <w:r>
        <w:rPr>
          <w:rFonts w:hint="eastAsia"/>
        </w:rPr>
        <w:t>150</w:t>
      </w:r>
      <w:r>
        <w:rPr>
          <w:rFonts w:hint="eastAsia"/>
        </w:rPr>
        <w:t>條第</w:t>
      </w:r>
      <w:r>
        <w:rPr>
          <w:rFonts w:hint="eastAsia"/>
        </w:rPr>
        <w:t>1</w:t>
      </w:r>
      <w:r>
        <w:rPr>
          <w:rFonts w:hint="eastAsia"/>
        </w:rPr>
        <w:t>項，法規命令則係「對多數不特定人民就一般事項所作抽象之對外發生法律效</w:t>
      </w:r>
      <w:r>
        <w:rPr>
          <w:rFonts w:hint="eastAsia"/>
        </w:rPr>
        <w:t>果之規定」。</w:t>
      </w:r>
    </w:p>
  </w:footnote>
  <w:footnote w:id="4">
    <w:p w:rsidR="00000000" w:rsidRDefault="00FE56A9">
      <w:pPr>
        <w:pStyle w:val="a5"/>
        <w:rPr>
          <w:rFonts w:hint="eastAsia"/>
        </w:rPr>
      </w:pPr>
      <w:r>
        <w:rPr>
          <w:rStyle w:val="a6"/>
        </w:rPr>
        <w:footnoteRef/>
      </w:r>
      <w:r>
        <w:t xml:space="preserve"> </w:t>
      </w:r>
      <w:r>
        <w:rPr>
          <w:rFonts w:hint="eastAsia"/>
        </w:rPr>
        <w:t>瑞士學者</w:t>
      </w:r>
      <w:r>
        <w:rPr>
          <w:rFonts w:hint="eastAsia"/>
        </w:rPr>
        <w:t>Hans Huber</w:t>
      </w:r>
      <w:r>
        <w:rPr>
          <w:rFonts w:hint="eastAsia"/>
        </w:rPr>
        <w:t>更明白指出，在對抗法規範變更的溯及效果，防衛其由迄今的法規範導出之法律地位或其他利益時，多數主張者先前根本不知其利益所植基的規定；質言之，其對法律繼續適用的信賴實際上是直到失望的時點才產生，之前根本只是擬制的信賴：</w:t>
      </w:r>
      <w:r>
        <w:rPr>
          <w:rFonts w:hint="eastAsia"/>
        </w:rPr>
        <w:t xml:space="preserve">Hans Huber, Vertrauensschutz </w:t>
      </w:r>
      <w:r>
        <w:t>–</w:t>
      </w:r>
      <w:r>
        <w:rPr>
          <w:rFonts w:hint="eastAsia"/>
        </w:rPr>
        <w:t xml:space="preserve"> Ein Vergleich zwischen Recht und Rechtsprechung in der Bundesrepublik und in der Schweiz, in: O</w:t>
      </w:r>
      <w:r>
        <w:rPr>
          <w:rFonts w:hint="eastAsia"/>
        </w:rPr>
        <w:t xml:space="preserve">tto Bachof(Hg.), Verwaltungsrecht zwischen Freiheit, Teilhabe und Bindung </w:t>
      </w:r>
      <w:r>
        <w:t>–</w:t>
      </w:r>
      <w:r>
        <w:rPr>
          <w:rFonts w:hint="eastAsia"/>
        </w:rPr>
        <w:t xml:space="preserve"> Festgabe aus Anla</w:t>
      </w:r>
      <w:r>
        <w:t>ß</w:t>
      </w:r>
      <w:r>
        <w:rPr>
          <w:rFonts w:hint="eastAsia"/>
        </w:rPr>
        <w:t xml:space="preserve"> 25j</w:t>
      </w:r>
      <w:r>
        <w:t>ä</w:t>
      </w:r>
      <w:r>
        <w:rPr>
          <w:rFonts w:hint="eastAsia"/>
        </w:rPr>
        <w:t xml:space="preserve">hrigen Bestehens des Bundesverwaltungsgerichts, 1978, S. 326 </w:t>
      </w:r>
    </w:p>
  </w:footnote>
  <w:footnote w:id="5">
    <w:p w:rsidR="00000000" w:rsidRDefault="00FE56A9">
      <w:pPr>
        <w:pStyle w:val="a5"/>
        <w:rPr>
          <w:rFonts w:hint="eastAsia"/>
          <w:lang w:val="de-DE"/>
        </w:rPr>
      </w:pPr>
      <w:r>
        <w:rPr>
          <w:rStyle w:val="a6"/>
        </w:rPr>
        <w:footnoteRef/>
      </w:r>
      <w:r>
        <w:rPr>
          <w:lang w:val="de-DE"/>
        </w:rPr>
        <w:t xml:space="preserve"> </w:t>
      </w:r>
      <w:r>
        <w:rPr>
          <w:rFonts w:hint="eastAsia"/>
          <w:lang w:val="de-DE"/>
        </w:rPr>
        <w:t xml:space="preserve">Hartmut Maurer, </w:t>
      </w:r>
      <w:r>
        <w:rPr>
          <w:lang w:val="de-DE"/>
        </w:rPr>
        <w:t>§</w:t>
      </w:r>
      <w:r>
        <w:rPr>
          <w:rFonts w:hint="eastAsia"/>
          <w:lang w:val="de-DE"/>
        </w:rPr>
        <w:t xml:space="preserve"> 60 Kontinuit</w:t>
      </w:r>
      <w:r>
        <w:rPr>
          <w:lang w:val="de-DE"/>
        </w:rPr>
        <w:t>ä</w:t>
      </w:r>
      <w:r>
        <w:rPr>
          <w:rFonts w:hint="eastAsia"/>
          <w:lang w:val="de-DE"/>
        </w:rPr>
        <w:t xml:space="preserve">t und Vertrauensschutz, in: Josef Isensee/Paul Kirchhof(Hg.), </w:t>
      </w:r>
      <w:r>
        <w:rPr>
          <w:rFonts w:hint="eastAsia"/>
          <w:lang w:val="de-DE"/>
        </w:rPr>
        <w:t>Bd. III, 2. Aufl., 1996, Rn. 22.</w:t>
      </w:r>
    </w:p>
  </w:footnote>
  <w:footnote w:id="6">
    <w:p w:rsidR="00000000" w:rsidRDefault="00FE56A9">
      <w:pPr>
        <w:pStyle w:val="a5"/>
        <w:rPr>
          <w:rFonts w:hint="eastAsia"/>
          <w:lang w:val="de-DE"/>
        </w:rPr>
      </w:pPr>
      <w:r>
        <w:rPr>
          <w:rStyle w:val="a6"/>
        </w:rPr>
        <w:footnoteRef/>
      </w:r>
      <w:r>
        <w:rPr>
          <w:rFonts w:hint="eastAsia"/>
          <w:lang w:val="de-DE"/>
        </w:rPr>
        <w:t xml:space="preserve"> </w:t>
      </w:r>
      <w:r>
        <w:rPr>
          <w:rFonts w:ascii="新細明體" w:hAnsi="新細明體" w:hint="eastAsia"/>
        </w:rPr>
        <w:t>〔〕</w:t>
      </w:r>
      <w:r>
        <w:rPr>
          <w:rFonts w:hint="eastAsia"/>
        </w:rPr>
        <w:t>內容為作者所加記</w:t>
      </w:r>
      <w:r>
        <w:rPr>
          <w:rFonts w:hint="eastAsia"/>
          <w:lang w:val="de-DE"/>
        </w:rPr>
        <w:t>，</w:t>
      </w:r>
      <w:r>
        <w:rPr>
          <w:rFonts w:hint="eastAsia"/>
        </w:rPr>
        <w:t>下同。</w:t>
      </w:r>
    </w:p>
  </w:footnote>
  <w:footnote w:id="7">
    <w:p w:rsidR="00000000" w:rsidRDefault="00FE56A9">
      <w:pPr>
        <w:pStyle w:val="a5"/>
        <w:rPr>
          <w:rFonts w:hint="eastAsia"/>
        </w:rPr>
      </w:pPr>
      <w:r>
        <w:rPr>
          <w:rStyle w:val="a6"/>
        </w:rPr>
        <w:footnoteRef/>
      </w:r>
      <w:r>
        <w:rPr>
          <w:lang w:val="de-DE"/>
        </w:rPr>
        <w:t xml:space="preserve"> </w:t>
      </w:r>
      <w:r>
        <w:rPr>
          <w:rFonts w:hint="eastAsia"/>
        </w:rPr>
        <w:t>其明定於基本法第</w:t>
      </w:r>
      <w:r>
        <w:rPr>
          <w:rFonts w:hint="eastAsia"/>
          <w:lang w:val="de-DE"/>
        </w:rPr>
        <w:t>103</w:t>
      </w:r>
      <w:r>
        <w:rPr>
          <w:rFonts w:hint="eastAsia"/>
        </w:rPr>
        <w:t>條第</w:t>
      </w:r>
      <w:r>
        <w:rPr>
          <w:rFonts w:hint="eastAsia"/>
          <w:lang w:val="de-DE"/>
        </w:rPr>
        <w:t>2</w:t>
      </w:r>
      <w:r>
        <w:rPr>
          <w:rFonts w:hint="eastAsia"/>
        </w:rPr>
        <w:t>項</w:t>
      </w:r>
      <w:r>
        <w:rPr>
          <w:rFonts w:hint="eastAsia"/>
          <w:lang w:val="de-DE"/>
        </w:rPr>
        <w:t>；</w:t>
      </w:r>
      <w:r>
        <w:rPr>
          <w:rFonts w:hint="eastAsia"/>
        </w:rPr>
        <w:t>就是否容許制定溯及既往的法律</w:t>
      </w:r>
      <w:r>
        <w:rPr>
          <w:rFonts w:hint="eastAsia"/>
          <w:lang w:val="de-DE"/>
        </w:rPr>
        <w:t>，</w:t>
      </w:r>
      <w:r>
        <w:rPr>
          <w:rFonts w:hint="eastAsia"/>
        </w:rPr>
        <w:t>基本法僅於此針對刑事法律明白作出規定</w:t>
      </w:r>
      <w:r>
        <w:rPr>
          <w:rFonts w:hint="eastAsia"/>
          <w:lang w:val="de-DE"/>
        </w:rPr>
        <w:t>：</w:t>
      </w:r>
      <w:r>
        <w:rPr>
          <w:rFonts w:hint="eastAsia"/>
          <w:lang w:val="de-DE"/>
        </w:rPr>
        <w:t>Ingo von M</w:t>
      </w:r>
      <w:r>
        <w:rPr>
          <w:lang w:val="de-DE"/>
        </w:rPr>
        <w:t>ü</w:t>
      </w:r>
      <w:r>
        <w:rPr>
          <w:rFonts w:hint="eastAsia"/>
          <w:lang w:val="de-DE"/>
        </w:rPr>
        <w:t>nch, Staatsrecht, Bd. 1, 5. Aufl., 1993, Rn. 438. Philip Kunig</w:t>
      </w:r>
      <w:r>
        <w:rPr>
          <w:rFonts w:hint="eastAsia"/>
        </w:rPr>
        <w:t>則強調</w:t>
      </w:r>
      <w:r>
        <w:rPr>
          <w:rFonts w:hint="eastAsia"/>
          <w:lang w:val="de-DE"/>
        </w:rPr>
        <w:t>，</w:t>
      </w:r>
      <w:r>
        <w:rPr>
          <w:rFonts w:hint="eastAsia"/>
        </w:rPr>
        <w:t>法治國之信賴保護在刑法領域的特殊重要性</w:t>
      </w:r>
      <w:r>
        <w:rPr>
          <w:rFonts w:hint="eastAsia"/>
          <w:lang w:val="de-DE"/>
        </w:rPr>
        <w:t>：</w:t>
      </w:r>
      <w:r>
        <w:rPr>
          <w:rFonts w:hint="eastAsia"/>
          <w:lang w:val="de-DE"/>
        </w:rPr>
        <w:t>Philip Kunig, Der Rechtsstaat, in: Peter Badura/Horst Dreier(Hg.), Festschrift 50 Jahre Bund</w:t>
      </w:r>
      <w:r>
        <w:rPr>
          <w:rFonts w:hint="eastAsia"/>
          <w:lang w:val="de-DE"/>
        </w:rPr>
        <w:t xml:space="preserve">esverfassungsgericht, 2. </w:t>
      </w:r>
      <w:r>
        <w:rPr>
          <w:rFonts w:hint="eastAsia"/>
        </w:rPr>
        <w:t>Bd., 2001, S. 441.</w:t>
      </w:r>
    </w:p>
  </w:footnote>
  <w:footnote w:id="8">
    <w:p w:rsidR="00000000" w:rsidRDefault="00FE56A9">
      <w:pPr>
        <w:pStyle w:val="a5"/>
        <w:rPr>
          <w:rFonts w:ascii="新細明體" w:hAnsi="新細明體" w:hint="eastAsia"/>
        </w:rPr>
      </w:pPr>
      <w:r>
        <w:rPr>
          <w:rStyle w:val="a6"/>
        </w:rPr>
        <w:footnoteRef/>
      </w:r>
      <w:r>
        <w:t xml:space="preserve"> </w:t>
      </w:r>
      <w:r>
        <w:rPr>
          <w:rFonts w:ascii="新細明體" w:hAnsi="新細明體" w:hint="eastAsia"/>
        </w:rPr>
        <w:t>在本件解釋，大法官認定當事人有信賴行為的論述方式，非常引人注目：「</w:t>
      </w:r>
      <w:r>
        <w:rPr>
          <w:rFonts w:ascii="新細明體" w:hAnsi="新細明體"/>
        </w:rPr>
        <w:t>第三屆監察委員就任時，係信賴其受任期之保障，並信賴於其任期屆滿後如任軍、公、教人員年資滿十五年者，有依舊給與條例</w:t>
      </w:r>
      <w:proofErr w:type="gramStart"/>
      <w:r>
        <w:rPr>
          <w:rFonts w:ascii="新細明體" w:hAnsi="新細明體"/>
        </w:rPr>
        <w:t>第四條擇領</w:t>
      </w:r>
      <w:proofErr w:type="gramEnd"/>
      <w:r>
        <w:rPr>
          <w:rFonts w:ascii="新細明體" w:hAnsi="新細明體"/>
        </w:rPr>
        <w:t>月退職酬勞金之公法上財產權利。本此信賴而就任，即是其對構成信賴要件之事實，有客觀上具體表現之行為，而須受信賴之保護</w:t>
      </w:r>
      <w:r>
        <w:rPr>
          <w:rFonts w:ascii="新細明體" w:hAnsi="新細明體" w:hint="eastAsia"/>
        </w:rPr>
        <w:t>」</w:t>
      </w:r>
      <w:r>
        <w:rPr>
          <w:rFonts w:ascii="新細明體" w:hAnsi="新細明體"/>
        </w:rPr>
        <w:t>。</w:t>
      </w:r>
      <w:r>
        <w:rPr>
          <w:rFonts w:ascii="新細明體" w:hAnsi="新細明體" w:hint="eastAsia"/>
        </w:rPr>
        <w:t>明確地說，何以「就任」行為即屬，對本件所牽涉（舊）</w:t>
      </w:r>
      <w:r>
        <w:rPr>
          <w:rFonts w:hAnsi="新細明體"/>
        </w:rPr>
        <w:t>政務官退職酬勞金給與條例</w:t>
      </w:r>
      <w:r>
        <w:rPr>
          <w:rFonts w:hAnsi="新細明體" w:hint="eastAsia"/>
        </w:rPr>
        <w:t>第</w:t>
      </w:r>
      <w:r>
        <w:rPr>
          <w:rFonts w:hAnsi="新細明體" w:hint="eastAsia"/>
        </w:rPr>
        <w:t>4</w:t>
      </w:r>
      <w:r>
        <w:rPr>
          <w:rFonts w:hAnsi="新細明體" w:hint="eastAsia"/>
        </w:rPr>
        <w:t>條，於其「存續期間內，對構成信賴要件</w:t>
      </w:r>
      <w:r>
        <w:rPr>
          <w:rFonts w:hAnsi="新細明體" w:hint="eastAsia"/>
        </w:rPr>
        <w:t>之事實，有客觀上具體表現之行為」？令人費解。本號解釋如此從寬認定信賴行為存在的作法，與</w:t>
      </w:r>
      <w:r>
        <w:rPr>
          <w:rFonts w:ascii="新細明體" w:hAnsi="新細明體" w:cs="新細明體" w:hint="eastAsia"/>
          <w:kern w:val="0"/>
        </w:rPr>
        <w:t>劉鐵錚大法官針對釋字第</w:t>
      </w:r>
      <w:r>
        <w:rPr>
          <w:kern w:val="0"/>
        </w:rPr>
        <w:t>525</w:t>
      </w:r>
      <w:r>
        <w:rPr>
          <w:rFonts w:ascii="新細明體" w:hAnsi="新細明體" w:cs="新細明體" w:hint="eastAsia"/>
          <w:kern w:val="0"/>
        </w:rPr>
        <w:t>號解釋所提不同意見書的立場相近。</w:t>
      </w:r>
    </w:p>
  </w:footnote>
  <w:footnote w:id="9">
    <w:p w:rsidR="00000000" w:rsidRDefault="00FE56A9">
      <w:pPr>
        <w:pStyle w:val="HTML"/>
        <w:rPr>
          <w:rFonts w:ascii="新細明體" w:eastAsia="新細明體" w:hAnsi="新細明體" w:hint="eastAsia"/>
          <w:color w:val="000000"/>
        </w:rPr>
      </w:pPr>
      <w:r>
        <w:rPr>
          <w:rStyle w:val="a6"/>
          <w:rFonts w:ascii="Times New Roman" w:hAnsi="Times New Roman"/>
        </w:rPr>
        <w:footnoteRef/>
      </w:r>
      <w:r>
        <w:rPr>
          <w:rFonts w:ascii="Times New Roman" w:hAnsi="Times New Roman"/>
        </w:rPr>
        <w:t xml:space="preserve"> </w:t>
      </w:r>
      <w:r>
        <w:rPr>
          <w:rFonts w:ascii="Times New Roman" w:eastAsia="新細明體" w:hAnsi="新細明體"/>
          <w:sz w:val="20"/>
          <w:szCs w:val="20"/>
        </w:rPr>
        <w:t>在本件解釋中，「信賴利益所依據之基礎法規」係第三屆監察委員開始任職時，</w:t>
      </w:r>
      <w:r>
        <w:rPr>
          <w:rFonts w:ascii="Times New Roman" w:eastAsia="新細明體" w:hAnsi="Times New Roman"/>
          <w:sz w:val="20"/>
          <w:szCs w:val="20"/>
        </w:rPr>
        <w:t>74</w:t>
      </w:r>
      <w:r>
        <w:rPr>
          <w:rFonts w:ascii="Times New Roman" w:eastAsia="新細明體" w:hAnsi="新細明體"/>
          <w:sz w:val="20"/>
          <w:szCs w:val="20"/>
        </w:rPr>
        <w:t>年</w:t>
      </w:r>
      <w:r>
        <w:rPr>
          <w:rFonts w:ascii="Times New Roman" w:eastAsia="新細明體" w:hAnsi="Times New Roman"/>
          <w:sz w:val="20"/>
          <w:szCs w:val="20"/>
        </w:rPr>
        <w:t>12</w:t>
      </w:r>
      <w:r>
        <w:rPr>
          <w:rFonts w:ascii="Times New Roman" w:eastAsia="新細明體" w:hAnsi="新細明體"/>
          <w:sz w:val="20"/>
          <w:szCs w:val="20"/>
        </w:rPr>
        <w:t>月</w:t>
      </w:r>
      <w:r>
        <w:rPr>
          <w:rFonts w:ascii="Times New Roman" w:eastAsia="新細明體" w:hAnsi="Times New Roman"/>
          <w:sz w:val="20"/>
          <w:szCs w:val="20"/>
        </w:rPr>
        <w:t>11</w:t>
      </w:r>
      <w:r>
        <w:rPr>
          <w:rFonts w:ascii="Times New Roman" w:eastAsia="新細明體" w:hAnsi="新細明體"/>
          <w:sz w:val="20"/>
          <w:szCs w:val="20"/>
        </w:rPr>
        <w:t>日修正公布之政務官退職酬勞金給與條例，</w:t>
      </w:r>
      <w:proofErr w:type="gramStart"/>
      <w:r>
        <w:rPr>
          <w:rFonts w:ascii="Times New Roman" w:eastAsia="新細明體" w:hAnsi="新細明體"/>
          <w:sz w:val="20"/>
          <w:szCs w:val="20"/>
        </w:rPr>
        <w:t>其尚無</w:t>
      </w:r>
      <w:proofErr w:type="gramEnd"/>
      <w:r>
        <w:rPr>
          <w:rFonts w:ascii="Times New Roman" w:eastAsia="新細明體" w:hAnsi="新細明體"/>
          <w:sz w:val="20"/>
          <w:szCs w:val="20"/>
        </w:rPr>
        <w:t>落日條款之規定。本號解釋認定，第三屆監察委員就任時，係信賴其受任期之保障，並信賴於其任期屆滿後如任軍、公、教人員年資滿十五年者，有依前揭政務官退職酬勞金給與條例</w:t>
      </w:r>
      <w:proofErr w:type="gramStart"/>
      <w:r>
        <w:rPr>
          <w:rFonts w:ascii="Times New Roman" w:eastAsia="新細明體" w:hAnsi="新細明體"/>
          <w:sz w:val="20"/>
          <w:szCs w:val="20"/>
        </w:rPr>
        <w:t>第</w:t>
      </w:r>
      <w:r>
        <w:rPr>
          <w:rFonts w:ascii="Times New Roman" w:eastAsia="新細明體" w:hAnsi="Times New Roman" w:hint="eastAsia"/>
          <w:sz w:val="20"/>
          <w:szCs w:val="20"/>
        </w:rPr>
        <w:t>4</w:t>
      </w:r>
      <w:r>
        <w:rPr>
          <w:rFonts w:ascii="Times New Roman" w:eastAsia="新細明體" w:hAnsi="新細明體"/>
          <w:sz w:val="20"/>
          <w:szCs w:val="20"/>
        </w:rPr>
        <w:t>條擇</w:t>
      </w:r>
      <w:proofErr w:type="gramEnd"/>
      <w:r>
        <w:rPr>
          <w:rFonts w:ascii="Times New Roman" w:eastAsia="新細明體" w:hAnsi="新細明體"/>
          <w:sz w:val="20"/>
          <w:szCs w:val="20"/>
        </w:rPr>
        <w:t>領月退職酬勞金之公法上財產權利。大法官並認為，前揭給與條例之規</w:t>
      </w:r>
      <w:r>
        <w:rPr>
          <w:rFonts w:ascii="Times New Roman" w:eastAsia="新細明體" w:hAnsi="新細明體"/>
          <w:sz w:val="20"/>
          <w:szCs w:val="20"/>
        </w:rPr>
        <w:t>定有確保監察委員獨立行使職權之「意義與價值」，</w:t>
      </w:r>
      <w:r>
        <w:rPr>
          <w:rFonts w:ascii="Times New Roman" w:eastAsia="新細明體" w:hAnsi="新細明體" w:hint="eastAsia"/>
          <w:sz w:val="20"/>
          <w:szCs w:val="20"/>
        </w:rPr>
        <w:t>此一論斷亦</w:t>
      </w:r>
      <w:r>
        <w:rPr>
          <w:rFonts w:ascii="Times New Roman" w:eastAsia="新細明體" w:hAnsi="新細明體"/>
          <w:sz w:val="20"/>
          <w:szCs w:val="20"/>
        </w:rPr>
        <w:t>令人費解</w:t>
      </w:r>
      <w:proofErr w:type="gramStart"/>
      <w:r>
        <w:rPr>
          <w:rFonts w:ascii="Times New Roman" w:eastAsia="新細明體" w:hAnsi="Times New Roman"/>
          <w:sz w:val="20"/>
          <w:szCs w:val="20"/>
        </w:rPr>
        <w:t>―</w:t>
      </w:r>
      <w:proofErr w:type="gramEnd"/>
      <w:r>
        <w:rPr>
          <w:rFonts w:ascii="Times New Roman" w:eastAsia="新細明體" w:hAnsi="新細明體"/>
          <w:sz w:val="20"/>
          <w:szCs w:val="20"/>
        </w:rPr>
        <w:t>「為貫徹任期保障之功能，對於因任期保障所取得之法律上地位及所生之信賴利益，即須充分加以保護，避免其受損害，</w:t>
      </w:r>
      <w:proofErr w:type="gramStart"/>
      <w:r>
        <w:rPr>
          <w:rFonts w:ascii="Times New Roman" w:eastAsia="新細明體" w:hAnsi="新細明體"/>
          <w:sz w:val="20"/>
          <w:szCs w:val="20"/>
        </w:rPr>
        <w:t>俾</w:t>
      </w:r>
      <w:proofErr w:type="gramEnd"/>
      <w:r>
        <w:rPr>
          <w:rFonts w:ascii="Times New Roman" w:eastAsia="新細明體" w:hAnsi="新細明體"/>
          <w:sz w:val="20"/>
          <w:szCs w:val="20"/>
        </w:rPr>
        <w:t>該等人員得無</w:t>
      </w:r>
      <w:proofErr w:type="gramStart"/>
      <w:r>
        <w:rPr>
          <w:rFonts w:ascii="Times New Roman" w:eastAsia="新細明體" w:hAnsi="新細明體"/>
          <w:sz w:val="20"/>
          <w:szCs w:val="20"/>
        </w:rPr>
        <w:t>所瞻顧</w:t>
      </w:r>
      <w:proofErr w:type="gramEnd"/>
      <w:r>
        <w:rPr>
          <w:rFonts w:ascii="Times New Roman" w:eastAsia="新細明體" w:hAnsi="新細明體"/>
          <w:sz w:val="20"/>
          <w:szCs w:val="20"/>
        </w:rPr>
        <w:t>，獨立行使職權，始不違背憲法對該職位特設任期保障之意旨，並與憲法上信賴保護原則相符」。</w:t>
      </w:r>
      <w:r>
        <w:rPr>
          <w:rFonts w:ascii="Times New Roman" w:eastAsia="新細明體" w:hAnsi="新細明體" w:hint="eastAsia"/>
          <w:color w:val="000000"/>
          <w:sz w:val="20"/>
          <w:szCs w:val="20"/>
        </w:rPr>
        <w:t>前大法官吳庚也表示，本號解釋「對於客觀上之信賴表現，</w:t>
      </w:r>
      <w:proofErr w:type="gramStart"/>
      <w:r>
        <w:rPr>
          <w:rFonts w:ascii="Times New Roman" w:eastAsia="新細明體" w:hAnsi="新細明體" w:hint="eastAsia"/>
          <w:color w:val="000000"/>
          <w:sz w:val="20"/>
          <w:szCs w:val="20"/>
        </w:rPr>
        <w:t>採</w:t>
      </w:r>
      <w:proofErr w:type="gramEnd"/>
      <w:r>
        <w:rPr>
          <w:rFonts w:ascii="Times New Roman" w:eastAsia="新細明體" w:hAnsi="新細明體" w:hint="eastAsia"/>
          <w:color w:val="000000"/>
          <w:sz w:val="20"/>
          <w:szCs w:val="20"/>
        </w:rPr>
        <w:t>寬鬆之判定標準，似已</w:t>
      </w:r>
      <w:proofErr w:type="gramStart"/>
      <w:r>
        <w:rPr>
          <w:rFonts w:ascii="Times New Roman" w:eastAsia="新細明體" w:hAnsi="新細明體" w:hint="eastAsia"/>
          <w:color w:val="000000"/>
          <w:sz w:val="20"/>
          <w:szCs w:val="20"/>
        </w:rPr>
        <w:t>悖離</w:t>
      </w:r>
      <w:proofErr w:type="gramEnd"/>
      <w:r>
        <w:rPr>
          <w:rFonts w:ascii="Times New Roman" w:eastAsia="新細明體" w:hAnsi="新細明體" w:hint="eastAsia"/>
          <w:color w:val="000000"/>
          <w:sz w:val="20"/>
          <w:szCs w:val="20"/>
        </w:rPr>
        <w:t>釋字第五二五號解釋之嚴格要求，且將領取月退職酬勞金與一次酬勞金之差別，擴大至影響監察委員身分保障及獨立行使職權之效應，不無商榷之處」：吳庚，</w:t>
      </w:r>
      <w:r>
        <w:rPr>
          <w:rFonts w:ascii="新細明體" w:eastAsia="新細明體" w:hAnsi="新細明體"/>
          <w:color w:val="000000"/>
          <w:sz w:val="20"/>
          <w:szCs w:val="20"/>
        </w:rPr>
        <w:t>«</w:t>
      </w:r>
      <w:r>
        <w:rPr>
          <w:rFonts w:ascii="新細明體" w:eastAsia="新細明體" w:hAnsi="新細明體" w:hint="eastAsia"/>
          <w:color w:val="000000"/>
          <w:sz w:val="20"/>
          <w:szCs w:val="20"/>
        </w:rPr>
        <w:t>行政法之理論與</w:t>
      </w:r>
      <w:r>
        <w:rPr>
          <w:rFonts w:ascii="新細明體" w:eastAsia="新細明體" w:hAnsi="新細明體" w:hint="eastAsia"/>
          <w:color w:val="000000"/>
          <w:sz w:val="20"/>
          <w:szCs w:val="20"/>
        </w:rPr>
        <w:t>實用</w:t>
      </w:r>
      <w:r>
        <w:rPr>
          <w:rFonts w:ascii="新細明體" w:eastAsia="新細明體" w:hAnsi="新細明體"/>
          <w:color w:val="000000"/>
          <w:sz w:val="20"/>
          <w:szCs w:val="20"/>
        </w:rPr>
        <w:t>»</w:t>
      </w:r>
      <w:r>
        <w:rPr>
          <w:rFonts w:ascii="Times New Roman" w:eastAsia="新細明體" w:hAnsi="新細明體" w:hint="eastAsia"/>
          <w:color w:val="000000"/>
          <w:sz w:val="20"/>
          <w:szCs w:val="20"/>
        </w:rPr>
        <w:t>，增訂九版，</w:t>
      </w:r>
      <w:r>
        <w:rPr>
          <w:rFonts w:ascii="Times New Roman" w:eastAsia="新細明體" w:hAnsi="新細明體" w:hint="eastAsia"/>
          <w:color w:val="000000"/>
          <w:sz w:val="20"/>
          <w:szCs w:val="20"/>
        </w:rPr>
        <w:t>2005/8</w:t>
      </w:r>
      <w:r>
        <w:rPr>
          <w:rFonts w:ascii="Times New Roman" w:eastAsia="新細明體" w:hAnsi="新細明體" w:hint="eastAsia"/>
          <w:color w:val="000000"/>
          <w:sz w:val="20"/>
          <w:szCs w:val="20"/>
        </w:rPr>
        <w:t>，頁</w:t>
      </w:r>
      <w:r>
        <w:rPr>
          <w:rFonts w:ascii="Times New Roman" w:eastAsia="新細明體" w:hAnsi="新細明體" w:hint="eastAsia"/>
          <w:color w:val="000000"/>
          <w:sz w:val="20"/>
          <w:szCs w:val="20"/>
        </w:rPr>
        <w:t>66-67</w:t>
      </w:r>
      <w:r>
        <w:rPr>
          <w:rFonts w:ascii="Times New Roman" w:eastAsia="新細明體" w:hAnsi="新細明體" w:hint="eastAsia"/>
          <w:color w:val="000000"/>
          <w:sz w:val="20"/>
          <w:szCs w:val="20"/>
        </w:rPr>
        <w:t>。</w:t>
      </w:r>
    </w:p>
  </w:footnote>
  <w:footnote w:id="10">
    <w:p w:rsidR="00000000" w:rsidRDefault="00FE56A9">
      <w:pPr>
        <w:pStyle w:val="a5"/>
        <w:rPr>
          <w:rFonts w:hint="eastAsia"/>
        </w:rPr>
      </w:pPr>
      <w:r>
        <w:rPr>
          <w:rStyle w:val="a6"/>
        </w:rPr>
        <w:footnoteRef/>
      </w:r>
      <w:r>
        <w:t xml:space="preserve"> </w:t>
      </w:r>
      <w:r>
        <w:rPr>
          <w:rFonts w:hint="eastAsia"/>
        </w:rPr>
        <w:t>許玉秀大法官對本號解釋所提協同意見書亦指出，</w:t>
      </w:r>
      <w:r>
        <w:rPr>
          <w:rFonts w:ascii="新細明體" w:hAnsi="新細明體" w:hint="eastAsia"/>
        </w:rPr>
        <w:t>「</w:t>
      </w:r>
      <w:r>
        <w:rPr>
          <w:rFonts w:ascii="新細明體" w:hAnsi="新細明體"/>
        </w:rPr>
        <w:t>多數意見解釋理由書所謂</w:t>
      </w:r>
      <w:r>
        <w:rPr>
          <w:rFonts w:ascii="新細明體" w:hAnsi="新細明體" w:hint="eastAsia"/>
        </w:rPr>
        <w:t>『</w:t>
      </w:r>
      <w:r>
        <w:rPr>
          <w:rFonts w:ascii="新細明體" w:hAnsi="新細明體"/>
        </w:rPr>
        <w:t>…</w:t>
      </w:r>
      <w:proofErr w:type="gramStart"/>
      <w:r>
        <w:rPr>
          <w:rFonts w:ascii="新細明體" w:hAnsi="新細明體"/>
        </w:rPr>
        <w:t>…</w:t>
      </w:r>
      <w:proofErr w:type="gramEnd"/>
      <w:r>
        <w:rPr>
          <w:rFonts w:ascii="新細明體" w:hAnsi="新細明體"/>
        </w:rPr>
        <w:t>新法規之修正本質上為正常文官制度外優惠措施之縮減，衡諸人民依舊法規本可預期得提敘</w:t>
      </w:r>
      <w:proofErr w:type="gramStart"/>
      <w:r>
        <w:rPr>
          <w:rFonts w:ascii="新細明體" w:hAnsi="新細明體"/>
        </w:rPr>
        <w:t>俸</w:t>
      </w:r>
      <w:proofErr w:type="gramEnd"/>
      <w:r>
        <w:rPr>
          <w:rFonts w:ascii="新細明體" w:hAnsi="新細明體"/>
        </w:rPr>
        <w:t>級至年功</w:t>
      </w:r>
      <w:proofErr w:type="gramStart"/>
      <w:r>
        <w:rPr>
          <w:rFonts w:ascii="新細明體" w:hAnsi="新細明體"/>
        </w:rPr>
        <w:t>俸</w:t>
      </w:r>
      <w:proofErr w:type="gramEnd"/>
      <w:r>
        <w:rPr>
          <w:rFonts w:ascii="新細明體" w:hAnsi="新細明體"/>
        </w:rPr>
        <w:t>最高級，而依新施行細則只得提敘至本</w:t>
      </w:r>
      <w:proofErr w:type="gramStart"/>
      <w:r>
        <w:rPr>
          <w:rFonts w:ascii="新細明體" w:hAnsi="新細明體"/>
        </w:rPr>
        <w:t>俸</w:t>
      </w:r>
      <w:proofErr w:type="gramEnd"/>
      <w:r>
        <w:rPr>
          <w:rFonts w:ascii="新細明體" w:hAnsi="新細明體"/>
        </w:rPr>
        <w:t>最高級所損失之利益，與主管機關為建立公平合理之公務人員年功</w:t>
      </w:r>
      <w:proofErr w:type="gramStart"/>
      <w:r>
        <w:rPr>
          <w:rFonts w:ascii="新細明體" w:hAnsi="新細明體"/>
        </w:rPr>
        <w:t>俸</w:t>
      </w:r>
      <w:proofErr w:type="gramEnd"/>
      <w:r>
        <w:rPr>
          <w:rFonts w:ascii="新細明體" w:hAnsi="新細明體"/>
        </w:rPr>
        <w:t>制度所欲維護之公益，新施行細則以八十九年一月十五日之特定日期為施行日期之過渡條款規定，尚屬合理</w:t>
      </w:r>
      <w:r>
        <w:rPr>
          <w:rFonts w:ascii="新細明體" w:hAnsi="新細明體"/>
        </w:rPr>
        <w:t>…</w:t>
      </w:r>
      <w:proofErr w:type="gramStart"/>
      <w:r>
        <w:rPr>
          <w:rFonts w:ascii="新細明體" w:hAnsi="新細明體"/>
        </w:rPr>
        <w:t>…</w:t>
      </w:r>
      <w:proofErr w:type="gramEnd"/>
      <w:r>
        <w:rPr>
          <w:rFonts w:ascii="新細明體" w:hAnsi="新細明體" w:hint="eastAsia"/>
        </w:rPr>
        <w:t>』</w:t>
      </w:r>
      <w:r>
        <w:rPr>
          <w:rFonts w:ascii="新細明體" w:hAnsi="新細明體"/>
        </w:rPr>
        <w:t>，其實正是在檢驗系爭過渡條款不適用於本件聲請人這種曾任聘用人員，是否合乎比例原則</w:t>
      </w:r>
      <w:r>
        <w:rPr>
          <w:rFonts w:ascii="新細明體" w:hAnsi="新細明體" w:hint="eastAsia"/>
        </w:rPr>
        <w:t>」</w:t>
      </w:r>
      <w:r>
        <w:rPr>
          <w:rFonts w:ascii="新細明體" w:hAnsi="新細明體"/>
        </w:rPr>
        <w:t>。</w:t>
      </w:r>
    </w:p>
  </w:footnote>
  <w:footnote w:id="11">
    <w:p w:rsidR="00000000" w:rsidRDefault="00FE56A9">
      <w:pPr>
        <w:pStyle w:val="a5"/>
        <w:rPr>
          <w:rFonts w:hint="eastAsia"/>
        </w:rPr>
      </w:pPr>
      <w:r>
        <w:rPr>
          <w:rStyle w:val="a6"/>
        </w:rPr>
        <w:footnoteRef/>
      </w:r>
      <w:r>
        <w:rPr>
          <w:rFonts w:hint="eastAsia"/>
          <w:color w:val="000000"/>
        </w:rPr>
        <w:t xml:space="preserve"> </w:t>
      </w:r>
      <w:r>
        <w:rPr>
          <w:rFonts w:hint="eastAsia"/>
          <w:color w:val="000000"/>
        </w:rPr>
        <w:t>但林三欽</w:t>
      </w:r>
      <w:r>
        <w:rPr>
          <w:rFonts w:hint="eastAsia"/>
          <w:color w:val="000000"/>
        </w:rPr>
        <w:t>教授則認為，本號解釋未落入「真正溯及既往」或「</w:t>
      </w:r>
      <w:proofErr w:type="gramStart"/>
      <w:r>
        <w:rPr>
          <w:rFonts w:hint="eastAsia"/>
          <w:color w:val="000000"/>
        </w:rPr>
        <w:t>不</w:t>
      </w:r>
      <w:proofErr w:type="gramEnd"/>
      <w:r>
        <w:rPr>
          <w:rFonts w:hint="eastAsia"/>
          <w:color w:val="000000"/>
        </w:rPr>
        <w:t>真正溯及既往」等「概念迷霧中」，而係「直接就新制度施行時人民法律地位的發展程度</w:t>
      </w:r>
      <w:r>
        <w:rPr>
          <w:color w:val="000000"/>
        </w:rPr>
        <w:t>…</w:t>
      </w:r>
      <w:r>
        <w:rPr>
          <w:rFonts w:hint="eastAsia"/>
          <w:color w:val="000000"/>
        </w:rPr>
        <w:t>..</w:t>
      </w:r>
      <w:r>
        <w:rPr>
          <w:rFonts w:hint="eastAsia"/>
          <w:color w:val="000000"/>
        </w:rPr>
        <w:t>以及所可能受到的衝擊，詳予分析」，而認其係大法官歷來所作解釋中處理「法令溯及既往適用問題」最為</w:t>
      </w:r>
      <w:proofErr w:type="gramStart"/>
      <w:r>
        <w:rPr>
          <w:rFonts w:hint="eastAsia"/>
          <w:color w:val="000000"/>
        </w:rPr>
        <w:t>精詳者</w:t>
      </w:r>
      <w:proofErr w:type="gramEnd"/>
      <w:r>
        <w:rPr>
          <w:rFonts w:hint="eastAsia"/>
          <w:color w:val="000000"/>
        </w:rPr>
        <w:t>：林三欽，</w:t>
      </w:r>
      <w:r>
        <w:rPr>
          <w:color w:val="000000"/>
        </w:rPr>
        <w:t>&lt;</w:t>
      </w:r>
      <w:proofErr w:type="gramStart"/>
      <w:r>
        <w:rPr>
          <w:rFonts w:hint="eastAsia"/>
          <w:color w:val="000000"/>
        </w:rPr>
        <w:t>簡評大法官</w:t>
      </w:r>
      <w:proofErr w:type="gramEnd"/>
      <w:r>
        <w:rPr>
          <w:rFonts w:hint="eastAsia"/>
          <w:color w:val="000000"/>
        </w:rPr>
        <w:t>釋字第六０五號解釋</w:t>
      </w:r>
      <w:proofErr w:type="gramStart"/>
      <w:r>
        <w:rPr>
          <w:rFonts w:ascii="新細明體" w:hAnsi="新細明體" w:hint="eastAsia"/>
          <w:color w:val="000000"/>
        </w:rPr>
        <w:t>―</w:t>
      </w:r>
      <w:proofErr w:type="gramEnd"/>
      <w:r>
        <w:rPr>
          <w:rFonts w:ascii="新細明體" w:hAnsi="新細明體" w:hint="eastAsia"/>
          <w:color w:val="000000"/>
        </w:rPr>
        <w:t>法令溯及適用之疑義</w:t>
      </w:r>
      <w:proofErr w:type="gramStart"/>
      <w:r>
        <w:rPr>
          <w:rFonts w:ascii="新細明體" w:hAnsi="新細明體" w:hint="eastAsia"/>
          <w:color w:val="000000"/>
        </w:rPr>
        <w:t>―</w:t>
      </w:r>
      <w:proofErr w:type="gramEnd"/>
      <w:r>
        <w:rPr>
          <w:color w:val="000000"/>
        </w:rPr>
        <w:t>&gt;</w:t>
      </w:r>
      <w:r>
        <w:rPr>
          <w:rFonts w:hint="eastAsia"/>
          <w:color w:val="000000"/>
        </w:rPr>
        <w:t>，</w:t>
      </w:r>
      <w:r>
        <w:rPr>
          <w:color w:val="000000"/>
        </w:rPr>
        <w:t>«</w:t>
      </w:r>
      <w:r>
        <w:rPr>
          <w:rFonts w:hint="eastAsia"/>
          <w:color w:val="000000"/>
        </w:rPr>
        <w:t>台灣本土法學第</w:t>
      </w:r>
      <w:r>
        <w:rPr>
          <w:rFonts w:hint="eastAsia"/>
          <w:color w:val="000000"/>
        </w:rPr>
        <w:t>77</w:t>
      </w:r>
      <w:r>
        <w:rPr>
          <w:rFonts w:hint="eastAsia"/>
          <w:color w:val="000000"/>
        </w:rPr>
        <w:t>期</w:t>
      </w:r>
      <w:r>
        <w:rPr>
          <w:color w:val="000000"/>
        </w:rPr>
        <w:t>»</w:t>
      </w:r>
      <w:r>
        <w:rPr>
          <w:rFonts w:hint="eastAsia"/>
          <w:color w:val="000000"/>
        </w:rPr>
        <w:t>，</w:t>
      </w:r>
      <w:r>
        <w:rPr>
          <w:rFonts w:hint="eastAsia"/>
          <w:color w:val="000000"/>
        </w:rPr>
        <w:t>2005/12</w:t>
      </w:r>
      <w:r>
        <w:rPr>
          <w:rFonts w:hint="eastAsia"/>
          <w:color w:val="000000"/>
        </w:rPr>
        <w:t>，頁</w:t>
      </w:r>
      <w:r>
        <w:rPr>
          <w:rFonts w:hint="eastAsia"/>
          <w:color w:val="000000"/>
        </w:rPr>
        <w:t>288</w:t>
      </w:r>
      <w:r>
        <w:rPr>
          <w:rFonts w:hint="eastAsia"/>
          <w:color w:val="000000"/>
        </w:rPr>
        <w:t>。</w:t>
      </w:r>
    </w:p>
  </w:footnote>
  <w:footnote w:id="12">
    <w:p w:rsidR="00000000" w:rsidRDefault="00FE56A9">
      <w:pPr>
        <w:pStyle w:val="HTML"/>
        <w:spacing w:line="240" w:lineRule="exact"/>
        <w:rPr>
          <w:rFonts w:ascii="新細明體" w:eastAsia="新細明體" w:hAnsi="新細明體" w:hint="eastAsia"/>
          <w:sz w:val="20"/>
          <w:szCs w:val="20"/>
        </w:rPr>
      </w:pPr>
      <w:r>
        <w:rPr>
          <w:rStyle w:val="a6"/>
          <w:rFonts w:ascii="Times New Roman" w:eastAsia="新細明體" w:hAnsi="Times New Roman"/>
          <w:sz w:val="20"/>
          <w:szCs w:val="20"/>
        </w:rPr>
        <w:footnoteRef/>
      </w:r>
      <w:r>
        <w:rPr>
          <w:rFonts w:ascii="Times New Roman" w:eastAsia="新細明體" w:hAnsi="Times New Roman"/>
          <w:sz w:val="20"/>
          <w:szCs w:val="20"/>
        </w:rPr>
        <w:t xml:space="preserve"> </w:t>
      </w:r>
      <w:r>
        <w:rPr>
          <w:rFonts w:ascii="新細明體" w:eastAsia="新細明體" w:hAnsi="新細明體" w:hint="eastAsia"/>
          <w:sz w:val="20"/>
          <w:szCs w:val="20"/>
        </w:rPr>
        <w:t>許玉秀大法官對本號解釋所提協同意見書亦質疑，「</w:t>
      </w:r>
      <w:r>
        <w:rPr>
          <w:rFonts w:ascii="新細明體" w:eastAsia="新細明體" w:hAnsi="新細明體"/>
          <w:sz w:val="20"/>
          <w:szCs w:val="20"/>
        </w:rPr>
        <w:t>對於同樣在系爭修正條文發布時已通過公務人員考試、正在受訓中的曾任聘用人員，只因為在指定的施行日之前是否受訓期滿</w:t>
      </w:r>
      <w:r>
        <w:rPr>
          <w:rFonts w:ascii="新細明體" w:eastAsia="新細明體" w:hAnsi="新細明體"/>
          <w:sz w:val="20"/>
          <w:szCs w:val="20"/>
        </w:rPr>
        <w:t>而取得實任公務人員資格，即產生依照舊施行細則第十五條第三項規定，提敘至年功</w:t>
      </w:r>
      <w:proofErr w:type="gramStart"/>
      <w:r>
        <w:rPr>
          <w:rFonts w:ascii="新細明體" w:eastAsia="新細明體" w:hAnsi="新細明體"/>
          <w:sz w:val="20"/>
          <w:szCs w:val="20"/>
        </w:rPr>
        <w:t>俸</w:t>
      </w:r>
      <w:proofErr w:type="gramEnd"/>
      <w:r>
        <w:rPr>
          <w:rFonts w:ascii="新細明體" w:eastAsia="新細明體" w:hAnsi="新細明體"/>
          <w:sz w:val="20"/>
          <w:szCs w:val="20"/>
        </w:rPr>
        <w:t>最高級，或</w:t>
      </w:r>
      <w:proofErr w:type="gramStart"/>
      <w:r>
        <w:rPr>
          <w:rFonts w:ascii="新細明體" w:eastAsia="新細明體" w:hAnsi="新細明體"/>
          <w:sz w:val="20"/>
          <w:szCs w:val="20"/>
        </w:rPr>
        <w:t>依照系</w:t>
      </w:r>
      <w:proofErr w:type="gramEnd"/>
      <w:r>
        <w:rPr>
          <w:rFonts w:ascii="新細明體" w:eastAsia="新細明體" w:hAnsi="新細明體"/>
          <w:sz w:val="20"/>
          <w:szCs w:val="20"/>
        </w:rPr>
        <w:t>爭修正條文規定，只能提敘至本</w:t>
      </w:r>
      <w:proofErr w:type="gramStart"/>
      <w:r>
        <w:rPr>
          <w:rFonts w:ascii="新細明體" w:eastAsia="新細明體" w:hAnsi="新細明體"/>
          <w:sz w:val="20"/>
          <w:szCs w:val="20"/>
        </w:rPr>
        <w:t>俸</w:t>
      </w:r>
      <w:proofErr w:type="gramEnd"/>
      <w:r>
        <w:rPr>
          <w:rFonts w:ascii="新細明體" w:eastAsia="新細明體" w:hAnsi="新細明體"/>
          <w:sz w:val="20"/>
          <w:szCs w:val="20"/>
        </w:rPr>
        <w:t>最高級的差別待遇，本席認為與憲法上的平等原則並不相符</w:t>
      </w:r>
      <w:r>
        <w:rPr>
          <w:rFonts w:ascii="新細明體" w:eastAsia="新細明體" w:hAnsi="新細明體" w:hint="eastAsia"/>
          <w:sz w:val="20"/>
          <w:szCs w:val="20"/>
        </w:rPr>
        <w:t>」；「</w:t>
      </w:r>
      <w:r>
        <w:rPr>
          <w:rFonts w:ascii="新細明體" w:eastAsia="新細明體" w:hAnsi="新細明體"/>
          <w:sz w:val="20"/>
          <w:szCs w:val="20"/>
        </w:rPr>
        <w:t>系爭修正條文所要實現的公益很重要這個理由，應該用於決定針對修正公布日前所有通過考試且正在受訓的曾任聘用人員，有無設置過渡條款予以保護的必要，至於在所有修正公布日前通過考試且正在受訓的曾任聘用人員當中，究竟多少人可以受到保護，多少人沒有保護必要，必須另尋理由</w:t>
      </w:r>
      <w:r>
        <w:rPr>
          <w:rFonts w:ascii="新細明體" w:eastAsia="新細明體" w:hAnsi="新細明體" w:hint="eastAsia"/>
          <w:sz w:val="20"/>
          <w:szCs w:val="20"/>
        </w:rPr>
        <w:t>」。</w:t>
      </w:r>
    </w:p>
    <w:p w:rsidR="00000000" w:rsidRDefault="00FE56A9">
      <w:pPr>
        <w:pStyle w:val="HTML"/>
        <w:spacing w:line="240" w:lineRule="exact"/>
        <w:ind w:firstLineChars="200" w:firstLine="400"/>
        <w:rPr>
          <w:rFonts w:hint="eastAsia"/>
        </w:rPr>
      </w:pPr>
      <w:r>
        <w:rPr>
          <w:rFonts w:ascii="新細明體" w:eastAsia="新細明體" w:hAnsi="新細明體" w:hint="eastAsia"/>
          <w:sz w:val="20"/>
          <w:szCs w:val="20"/>
        </w:rPr>
        <w:t>楊仁壽、王和雄大法官對本號解釋所提部分不同意見書也表示，</w:t>
      </w:r>
      <w:r>
        <w:rPr>
          <w:rFonts w:hint="eastAsia"/>
        </w:rPr>
        <w:t>「</w:t>
      </w:r>
      <w:r>
        <w:rPr>
          <w:rFonts w:eastAsia="新細明體"/>
          <w:sz w:val="20"/>
          <w:szCs w:val="20"/>
        </w:rPr>
        <w:t>本件聲請人主</w:t>
      </w:r>
      <w:r>
        <w:rPr>
          <w:rFonts w:eastAsia="新細明體"/>
          <w:sz w:val="20"/>
          <w:szCs w:val="20"/>
        </w:rPr>
        <w:t>張其於八十八年間高考筆試及格，於同年十月二十二日分發在職位上受訓，正在受訓之四個月期間內，前述施行細則修正，至八十九年二月二十二日始受訓完畢，取得實任公務人員資格時，已逾過渡期間三十六日，致不能適用舊法得提敘至</w:t>
      </w:r>
      <w:r>
        <w:rPr>
          <w:rFonts w:eastAsia="新細明體" w:hint="eastAsia"/>
          <w:sz w:val="20"/>
          <w:szCs w:val="20"/>
        </w:rPr>
        <w:t>『</w:t>
      </w:r>
      <w:r>
        <w:rPr>
          <w:rFonts w:eastAsia="新細明體"/>
          <w:sz w:val="20"/>
          <w:szCs w:val="20"/>
        </w:rPr>
        <w:t>年功</w:t>
      </w:r>
      <w:proofErr w:type="gramStart"/>
      <w:r>
        <w:rPr>
          <w:rFonts w:eastAsia="新細明體"/>
          <w:sz w:val="20"/>
          <w:szCs w:val="20"/>
        </w:rPr>
        <w:t>俸</w:t>
      </w:r>
      <w:proofErr w:type="gramEnd"/>
      <w:r>
        <w:rPr>
          <w:rFonts w:eastAsia="新細明體"/>
          <w:sz w:val="20"/>
          <w:szCs w:val="20"/>
        </w:rPr>
        <w:t>最高級</w:t>
      </w:r>
      <w:r>
        <w:rPr>
          <w:rFonts w:eastAsia="新細明體" w:hint="eastAsia"/>
          <w:sz w:val="20"/>
          <w:szCs w:val="20"/>
        </w:rPr>
        <w:t>』</w:t>
      </w:r>
      <w:r>
        <w:rPr>
          <w:rFonts w:eastAsia="新細明體"/>
          <w:sz w:val="20"/>
          <w:szCs w:val="20"/>
        </w:rPr>
        <w:t>之規定。反而另一批同日受訓，期間為二個月者，則得於八十八年十二月二十二日取得任用資格，享受舊法得提敘至年功</w:t>
      </w:r>
      <w:proofErr w:type="gramStart"/>
      <w:r>
        <w:rPr>
          <w:rFonts w:eastAsia="新細明體"/>
          <w:sz w:val="20"/>
          <w:szCs w:val="20"/>
        </w:rPr>
        <w:t>俸</w:t>
      </w:r>
      <w:proofErr w:type="gramEnd"/>
      <w:r>
        <w:rPr>
          <w:rFonts w:eastAsia="新細明體"/>
          <w:sz w:val="20"/>
          <w:szCs w:val="20"/>
        </w:rPr>
        <w:t>最高級之保障等情，</w:t>
      </w:r>
      <w:proofErr w:type="gramStart"/>
      <w:r>
        <w:rPr>
          <w:rFonts w:eastAsia="新細明體"/>
          <w:sz w:val="20"/>
          <w:szCs w:val="20"/>
        </w:rPr>
        <w:t>果屬非</w:t>
      </w:r>
      <w:proofErr w:type="gramEnd"/>
      <w:r>
        <w:rPr>
          <w:rFonts w:eastAsia="新細明體"/>
          <w:sz w:val="20"/>
          <w:szCs w:val="20"/>
        </w:rPr>
        <w:t>虛</w:t>
      </w:r>
      <w:r>
        <w:rPr>
          <w:rFonts w:eastAsia="新細明體"/>
          <w:sz w:val="20"/>
          <w:szCs w:val="20"/>
        </w:rPr>
        <w:t>…</w:t>
      </w:r>
      <w:proofErr w:type="gramStart"/>
      <w:r>
        <w:rPr>
          <w:rFonts w:eastAsia="新細明體"/>
          <w:sz w:val="20"/>
          <w:szCs w:val="20"/>
        </w:rPr>
        <w:t>…</w:t>
      </w:r>
      <w:proofErr w:type="gramEnd"/>
      <w:r>
        <w:rPr>
          <w:rFonts w:eastAsia="新細明體"/>
          <w:sz w:val="20"/>
          <w:szCs w:val="20"/>
        </w:rPr>
        <w:t>。僅因考試類別不同，致受訓期間有四個月或二個月之分，其一能及時於過渡期間受訓完畢，送請銓敘部審定得提敘至年功</w:t>
      </w:r>
      <w:proofErr w:type="gramStart"/>
      <w:r>
        <w:rPr>
          <w:rFonts w:eastAsia="新細明體"/>
          <w:sz w:val="20"/>
          <w:szCs w:val="20"/>
        </w:rPr>
        <w:t>俸</w:t>
      </w:r>
      <w:proofErr w:type="gramEnd"/>
      <w:r>
        <w:rPr>
          <w:rFonts w:eastAsia="新細明體"/>
          <w:sz w:val="20"/>
          <w:szCs w:val="20"/>
        </w:rPr>
        <w:t>最高級，另一則不能，衡諸</w:t>
      </w:r>
      <w:r>
        <w:rPr>
          <w:rFonts w:eastAsia="新細明體" w:hint="eastAsia"/>
          <w:sz w:val="20"/>
          <w:szCs w:val="20"/>
        </w:rPr>
        <w:t>『</w:t>
      </w:r>
      <w:r>
        <w:rPr>
          <w:rFonts w:eastAsia="新細明體"/>
          <w:sz w:val="20"/>
          <w:szCs w:val="20"/>
        </w:rPr>
        <w:t>要件事實之回</w:t>
      </w:r>
      <w:r>
        <w:rPr>
          <w:rFonts w:eastAsia="新細明體"/>
          <w:sz w:val="20"/>
          <w:szCs w:val="20"/>
        </w:rPr>
        <w:t>溯結合</w:t>
      </w:r>
      <w:r>
        <w:rPr>
          <w:rFonts w:eastAsia="新細明體" w:hint="eastAsia"/>
          <w:sz w:val="20"/>
          <w:szCs w:val="20"/>
        </w:rPr>
        <w:t>』</w:t>
      </w:r>
      <w:r>
        <w:rPr>
          <w:rFonts w:eastAsia="新細明體"/>
          <w:sz w:val="20"/>
          <w:szCs w:val="20"/>
        </w:rPr>
        <w:t>於憲法上所應審查基準</w:t>
      </w:r>
      <w:r>
        <w:rPr>
          <w:rFonts w:eastAsia="新細明體" w:hint="eastAsia"/>
          <w:sz w:val="20"/>
          <w:szCs w:val="20"/>
        </w:rPr>
        <w:t>『</w:t>
      </w:r>
      <w:r>
        <w:rPr>
          <w:rFonts w:eastAsia="新細明體"/>
          <w:sz w:val="20"/>
          <w:szCs w:val="20"/>
        </w:rPr>
        <w:t>比例適合性</w:t>
      </w:r>
      <w:r>
        <w:rPr>
          <w:rFonts w:eastAsia="新細明體" w:hint="eastAsia"/>
          <w:sz w:val="20"/>
          <w:szCs w:val="20"/>
        </w:rPr>
        <w:t>』</w:t>
      </w:r>
      <w:r>
        <w:rPr>
          <w:rFonts w:eastAsia="新細明體"/>
          <w:sz w:val="20"/>
          <w:szCs w:val="20"/>
        </w:rPr>
        <w:t>（重點放在與過去相結合），前述施行細則完全以</w:t>
      </w:r>
      <w:r>
        <w:rPr>
          <w:rFonts w:eastAsia="新細明體" w:hint="eastAsia"/>
          <w:sz w:val="20"/>
          <w:szCs w:val="20"/>
        </w:rPr>
        <w:t>『</w:t>
      </w:r>
      <w:r>
        <w:rPr>
          <w:rFonts w:eastAsia="新細明體"/>
          <w:sz w:val="20"/>
          <w:szCs w:val="20"/>
        </w:rPr>
        <w:t>過渡期間</w:t>
      </w:r>
      <w:r>
        <w:rPr>
          <w:rFonts w:eastAsia="新細明體" w:hint="eastAsia"/>
          <w:sz w:val="20"/>
          <w:szCs w:val="20"/>
        </w:rPr>
        <w:t>』</w:t>
      </w:r>
      <w:r>
        <w:rPr>
          <w:rFonts w:eastAsia="新細明體"/>
          <w:sz w:val="20"/>
          <w:szCs w:val="20"/>
        </w:rPr>
        <w:t>為考量，是否合憲，殊有疑問</w:t>
      </w:r>
      <w:r>
        <w:rPr>
          <w:rFonts w:hint="eastAsia"/>
        </w:rPr>
        <w:t>」。</w:t>
      </w:r>
    </w:p>
    <w:p w:rsidR="00000000" w:rsidRDefault="00FE56A9">
      <w:pPr>
        <w:pStyle w:val="HTML"/>
        <w:spacing w:line="240" w:lineRule="exact"/>
        <w:ind w:firstLineChars="200" w:firstLine="400"/>
        <w:rPr>
          <w:rFonts w:ascii="新細明體" w:eastAsia="新細明體" w:hAnsi="新細明體" w:hint="eastAsia"/>
          <w:sz w:val="20"/>
          <w:szCs w:val="20"/>
        </w:rPr>
      </w:pPr>
      <w:r>
        <w:rPr>
          <w:rFonts w:ascii="新細明體" w:eastAsia="新細明體" w:hAnsi="新細明體" w:hint="eastAsia"/>
          <w:color w:val="000000"/>
          <w:sz w:val="20"/>
          <w:szCs w:val="20"/>
        </w:rPr>
        <w:t>最後，對本號解釋頗表認同的林三欽教授也承認，大法官的論證瑕疵在於「信賴保護界線的游移不定」，「忽而在考試及格開始接受訓練，忽而又改在完成訓練」：林三欽，</w:t>
      </w:r>
      <w:proofErr w:type="gramStart"/>
      <w:r>
        <w:rPr>
          <w:rFonts w:ascii="新細明體" w:eastAsia="新細明體" w:hAnsi="新細明體" w:hint="eastAsia"/>
          <w:color w:val="000000"/>
          <w:sz w:val="20"/>
          <w:szCs w:val="20"/>
        </w:rPr>
        <w:t>前揭文</w:t>
      </w:r>
      <w:proofErr w:type="gramEnd"/>
      <w:r>
        <w:rPr>
          <w:rFonts w:ascii="新細明體" w:eastAsia="新細明體" w:hAnsi="新細明體" w:hint="eastAsia"/>
          <w:color w:val="000000"/>
          <w:sz w:val="20"/>
          <w:szCs w:val="20"/>
        </w:rPr>
        <w:t>（見</w:t>
      </w:r>
      <w:proofErr w:type="gramStart"/>
      <w:r>
        <w:rPr>
          <w:rFonts w:ascii="新細明體" w:eastAsia="新細明體" w:hAnsi="新細明體" w:hint="eastAsia"/>
          <w:color w:val="000000"/>
          <w:sz w:val="20"/>
          <w:szCs w:val="20"/>
        </w:rPr>
        <w:t>註</w:t>
      </w:r>
      <w:proofErr w:type="gramEnd"/>
      <w:r>
        <w:rPr>
          <w:rFonts w:ascii="新細明體" w:eastAsia="新細明體" w:hAnsi="新細明體" w:hint="eastAsia"/>
          <w:color w:val="000000"/>
          <w:sz w:val="20"/>
          <w:szCs w:val="20"/>
        </w:rPr>
        <w:t>23</w:t>
      </w:r>
      <w:r>
        <w:rPr>
          <w:rFonts w:ascii="新細明體" w:eastAsia="新細明體" w:hAnsi="新細明體" w:hint="eastAsia"/>
          <w:color w:val="000000"/>
          <w:sz w:val="20"/>
          <w:szCs w:val="20"/>
        </w:rPr>
        <w:t>），頁</w:t>
      </w:r>
      <w:r>
        <w:rPr>
          <w:rFonts w:ascii="Times New Roman" w:eastAsia="新細明體" w:hAnsi="Times New Roman"/>
          <w:color w:val="000000"/>
          <w:sz w:val="20"/>
          <w:szCs w:val="20"/>
        </w:rPr>
        <w:t>289</w:t>
      </w:r>
      <w:r>
        <w:rPr>
          <w:rFonts w:ascii="新細明體" w:eastAsia="新細明體" w:hAnsi="新細明體" w:hint="eastAsia"/>
          <w:color w:val="000000"/>
          <w:sz w:val="20"/>
          <w:szCs w:val="20"/>
        </w:rPr>
        <w:t>。</w:t>
      </w:r>
    </w:p>
  </w:footnote>
  <w:footnote w:id="13">
    <w:p w:rsidR="00000000" w:rsidRDefault="00FE56A9">
      <w:pPr>
        <w:pStyle w:val="a5"/>
        <w:rPr>
          <w:rFonts w:hint="eastAsia"/>
        </w:rPr>
      </w:pPr>
      <w:r>
        <w:rPr>
          <w:rStyle w:val="a6"/>
        </w:rPr>
        <w:footnoteRef/>
      </w:r>
      <w:r>
        <w:t xml:space="preserve"> </w:t>
      </w:r>
      <w:r>
        <w:rPr>
          <w:rFonts w:hint="eastAsia"/>
        </w:rPr>
        <w:t>釋字第</w:t>
      </w:r>
      <w:r>
        <w:rPr>
          <w:rFonts w:hint="eastAsia"/>
        </w:rPr>
        <w:t>589</w:t>
      </w:r>
      <w:r>
        <w:rPr>
          <w:rFonts w:hint="eastAsia"/>
        </w:rPr>
        <w:t>號解釋重申此一立場。</w:t>
      </w:r>
    </w:p>
  </w:footnote>
  <w:footnote w:id="14">
    <w:p w:rsidR="00000000" w:rsidRDefault="00FE56A9">
      <w:pPr>
        <w:pStyle w:val="a5"/>
        <w:rPr>
          <w:rFonts w:hint="eastAsia"/>
        </w:rPr>
      </w:pPr>
      <w:r>
        <w:rPr>
          <w:rStyle w:val="a6"/>
        </w:rPr>
        <w:footnoteRef/>
      </w:r>
      <w:r>
        <w:t xml:space="preserve"> </w:t>
      </w:r>
      <w:r>
        <w:rPr>
          <w:rFonts w:hint="eastAsia"/>
        </w:rPr>
        <w:t>同樣援引法律</w:t>
      </w:r>
      <w:proofErr w:type="gramStart"/>
      <w:r>
        <w:rPr>
          <w:rFonts w:hint="eastAsia"/>
        </w:rPr>
        <w:t>不</w:t>
      </w:r>
      <w:proofErr w:type="gramEnd"/>
      <w:r>
        <w:rPr>
          <w:rFonts w:hint="eastAsia"/>
        </w:rPr>
        <w:t>溯既往原則的釋字第</w:t>
      </w:r>
      <w:r>
        <w:rPr>
          <w:rFonts w:hint="eastAsia"/>
        </w:rPr>
        <w:t>577</w:t>
      </w:r>
      <w:r>
        <w:rPr>
          <w:rFonts w:hint="eastAsia"/>
        </w:rPr>
        <w:t>號解釋，就「無法律溯及適用」，惟仍可能影響人民權益之法規範變更的情形，則要求，在可能造成受規範者「不可預期之財產權損害</w:t>
      </w:r>
      <w:r>
        <w:rPr>
          <w:rFonts w:hint="eastAsia"/>
        </w:rPr>
        <w:t>」時，應採取必要的補救措施。其論述方式與釋字第</w:t>
      </w:r>
      <w:r>
        <w:rPr>
          <w:rFonts w:hint="eastAsia"/>
        </w:rPr>
        <w:t>574</w:t>
      </w:r>
      <w:r>
        <w:rPr>
          <w:rFonts w:hint="eastAsia"/>
        </w:rPr>
        <w:t>號解釋並無不同。</w:t>
      </w:r>
    </w:p>
  </w:footnote>
  <w:footnote w:id="15">
    <w:p w:rsidR="00000000" w:rsidRDefault="00FE56A9">
      <w:pPr>
        <w:pStyle w:val="a5"/>
        <w:rPr>
          <w:rFonts w:hint="eastAsia"/>
        </w:rPr>
      </w:pPr>
      <w:r>
        <w:rPr>
          <w:rStyle w:val="a6"/>
        </w:rPr>
        <w:footnoteRef/>
      </w:r>
      <w:r>
        <w:rPr>
          <w:rFonts w:hint="eastAsia"/>
        </w:rPr>
        <w:t xml:space="preserve"> </w:t>
      </w:r>
      <w:r>
        <w:rPr>
          <w:rFonts w:hint="eastAsia"/>
        </w:rPr>
        <w:t>例如，如前</w:t>
      </w:r>
      <w:proofErr w:type="gramStart"/>
      <w:r>
        <w:rPr>
          <w:rFonts w:hint="eastAsia"/>
        </w:rPr>
        <w:t>所述地</w:t>
      </w:r>
      <w:proofErr w:type="gramEnd"/>
      <w:r>
        <w:rPr>
          <w:rFonts w:hint="eastAsia"/>
        </w:rPr>
        <w:t>，釋字第</w:t>
      </w:r>
      <w:r>
        <w:t>577</w:t>
      </w:r>
      <w:r>
        <w:rPr>
          <w:rFonts w:hint="eastAsia"/>
        </w:rPr>
        <w:t>號解釋就以法律</w:t>
      </w:r>
      <w:proofErr w:type="gramStart"/>
      <w:r>
        <w:rPr>
          <w:rFonts w:hint="eastAsia"/>
        </w:rPr>
        <w:t>不</w:t>
      </w:r>
      <w:proofErr w:type="gramEnd"/>
      <w:r>
        <w:rPr>
          <w:rFonts w:hint="eastAsia"/>
        </w:rPr>
        <w:t>溯既往原則作為審查立法行為是否侵害財產權的獨立依據；許玉秀大法官對釋字第</w:t>
      </w:r>
      <w:r>
        <w:t>605</w:t>
      </w:r>
      <w:r>
        <w:rPr>
          <w:rFonts w:hint="eastAsia"/>
        </w:rPr>
        <w:t>號解釋所提協同意見書則主張，「審</w:t>
      </w:r>
      <w:r>
        <w:rPr>
          <w:rFonts w:ascii="新細明體" w:hAnsi="新細明體"/>
        </w:rPr>
        <w:t>查信賴保護是否必要，以及信賴保護程度或範圍是否合理時，正是在依比例原則及平等原則審查信賴保護原則</w:t>
      </w:r>
      <w:r>
        <w:rPr>
          <w:rFonts w:hint="eastAsia"/>
        </w:rPr>
        <w:t>」。</w:t>
      </w:r>
    </w:p>
  </w:footnote>
  <w:footnote w:id="16">
    <w:p w:rsidR="00000000" w:rsidRDefault="00FE56A9">
      <w:pPr>
        <w:pStyle w:val="a5"/>
        <w:rPr>
          <w:rFonts w:hint="eastAsia"/>
        </w:rPr>
      </w:pPr>
      <w:r>
        <w:rPr>
          <w:rStyle w:val="a6"/>
        </w:rPr>
        <w:footnoteRef/>
      </w:r>
      <w:r>
        <w:t xml:space="preserve"> </w:t>
      </w:r>
      <w:r>
        <w:rPr>
          <w:rFonts w:hint="eastAsia"/>
        </w:rPr>
        <w:t>釋字第</w:t>
      </w:r>
      <w:r>
        <w:rPr>
          <w:rFonts w:hint="eastAsia"/>
        </w:rPr>
        <w:t>574</w:t>
      </w:r>
      <w:r>
        <w:rPr>
          <w:rFonts w:hint="eastAsia"/>
        </w:rPr>
        <w:t>號、第</w:t>
      </w:r>
      <w:r>
        <w:rPr>
          <w:rFonts w:hint="eastAsia"/>
        </w:rPr>
        <w:t>577</w:t>
      </w:r>
      <w:r>
        <w:rPr>
          <w:rFonts w:hint="eastAsia"/>
        </w:rPr>
        <w:t>號解釋。</w:t>
      </w:r>
    </w:p>
  </w:footnote>
  <w:footnote w:id="17">
    <w:p w:rsidR="00000000" w:rsidRDefault="00FE56A9">
      <w:pPr>
        <w:pStyle w:val="a5"/>
        <w:rPr>
          <w:rFonts w:hint="eastAsia"/>
        </w:rPr>
      </w:pPr>
      <w:r>
        <w:rPr>
          <w:rStyle w:val="a6"/>
        </w:rPr>
        <w:footnoteRef/>
      </w:r>
      <w:r>
        <w:t xml:space="preserve"> </w:t>
      </w:r>
      <w:r>
        <w:rPr>
          <w:rFonts w:hint="eastAsia"/>
        </w:rPr>
        <w:t>許玉秀大法官對釋字第</w:t>
      </w:r>
      <w:r>
        <w:rPr>
          <w:rFonts w:hint="eastAsia"/>
        </w:rPr>
        <w:t>574</w:t>
      </w:r>
      <w:r>
        <w:rPr>
          <w:rFonts w:hint="eastAsia"/>
        </w:rPr>
        <w:t>號解釋所提部分協同意見書，對釋字第</w:t>
      </w:r>
      <w:r>
        <w:rPr>
          <w:rFonts w:hint="eastAsia"/>
        </w:rPr>
        <w:t>577</w:t>
      </w:r>
      <w:r>
        <w:rPr>
          <w:rFonts w:hint="eastAsia"/>
        </w:rPr>
        <w:t>號、第</w:t>
      </w:r>
      <w:r>
        <w:rPr>
          <w:rFonts w:hint="eastAsia"/>
        </w:rPr>
        <w:t>605</w:t>
      </w:r>
      <w:r>
        <w:rPr>
          <w:rFonts w:hint="eastAsia"/>
        </w:rPr>
        <w:t>號解釋所提協同意見書；曾有田大法官對釋字第</w:t>
      </w:r>
      <w:r>
        <w:rPr>
          <w:rFonts w:hint="eastAsia"/>
        </w:rPr>
        <w:t>605</w:t>
      </w:r>
      <w:r>
        <w:rPr>
          <w:rFonts w:hint="eastAsia"/>
        </w:rPr>
        <w:t>號解釋所提協</w:t>
      </w:r>
      <w:r>
        <w:rPr>
          <w:rFonts w:hint="eastAsia"/>
        </w:rPr>
        <w:t>同意見書以及，楊仁壽、王和雄大法官對釋字第</w:t>
      </w:r>
      <w:r>
        <w:rPr>
          <w:rFonts w:hint="eastAsia"/>
        </w:rPr>
        <w:t>605</w:t>
      </w:r>
      <w:r>
        <w:rPr>
          <w:rFonts w:hint="eastAsia"/>
        </w:rPr>
        <w:t>號解釋所提部分不同意見書。</w:t>
      </w:r>
    </w:p>
  </w:footnote>
  <w:footnote w:id="18">
    <w:p w:rsidR="00000000" w:rsidRDefault="00FE56A9">
      <w:pPr>
        <w:pStyle w:val="a5"/>
        <w:rPr>
          <w:rFonts w:hint="eastAsia"/>
        </w:rPr>
      </w:pPr>
      <w:r>
        <w:rPr>
          <w:rStyle w:val="a6"/>
        </w:rPr>
        <w:footnoteRef/>
      </w:r>
      <w:r>
        <w:t xml:space="preserve"> </w:t>
      </w:r>
      <w:r>
        <w:rPr>
          <w:rFonts w:hint="eastAsia"/>
        </w:rPr>
        <w:t>李建良，</w:t>
      </w:r>
      <w:r>
        <w:t>&lt;</w:t>
      </w:r>
      <w:r>
        <w:rPr>
          <w:rFonts w:hint="eastAsia"/>
        </w:rPr>
        <w:t>法律的溯及既往與信賴保護原則</w:t>
      </w:r>
      <w:r>
        <w:t>&gt;</w:t>
      </w:r>
      <w:r>
        <w:rPr>
          <w:rFonts w:hint="eastAsia"/>
        </w:rPr>
        <w:t>，</w:t>
      </w:r>
      <w:r>
        <w:t>«</w:t>
      </w:r>
      <w:r>
        <w:rPr>
          <w:rFonts w:hint="eastAsia"/>
        </w:rPr>
        <w:t>台灣本土法學第</w:t>
      </w:r>
      <w:r>
        <w:rPr>
          <w:rFonts w:hint="eastAsia"/>
        </w:rPr>
        <w:t>24</w:t>
      </w:r>
      <w:r>
        <w:rPr>
          <w:rFonts w:hint="eastAsia"/>
        </w:rPr>
        <w:t>期</w:t>
      </w:r>
      <w:r>
        <w:t>»</w:t>
      </w:r>
      <w:r>
        <w:rPr>
          <w:rFonts w:hint="eastAsia"/>
        </w:rPr>
        <w:t>，</w:t>
      </w:r>
      <w:r>
        <w:rPr>
          <w:rFonts w:hint="eastAsia"/>
        </w:rPr>
        <w:t>2001/7</w:t>
      </w:r>
      <w:r>
        <w:rPr>
          <w:rFonts w:hint="eastAsia"/>
        </w:rPr>
        <w:t>，頁</w:t>
      </w:r>
      <w:r>
        <w:rPr>
          <w:rFonts w:hint="eastAsia"/>
        </w:rPr>
        <w:t>84</w:t>
      </w:r>
      <w:r>
        <w:rPr>
          <w:rFonts w:hint="eastAsia"/>
        </w:rPr>
        <w:t>；同著者，</w:t>
      </w:r>
      <w:r>
        <w:t>&lt;</w:t>
      </w:r>
      <w:r>
        <w:rPr>
          <w:rFonts w:hint="eastAsia"/>
        </w:rPr>
        <w:t>從憲法</w:t>
      </w:r>
      <w:proofErr w:type="gramStart"/>
      <w:r>
        <w:rPr>
          <w:rFonts w:hint="eastAsia"/>
        </w:rPr>
        <w:t>觀點論軍公教</w:t>
      </w:r>
      <w:proofErr w:type="gramEnd"/>
      <w:r>
        <w:rPr>
          <w:rFonts w:hint="eastAsia"/>
        </w:rPr>
        <w:t>優惠存款的存廢問題</w:t>
      </w:r>
      <w:r>
        <w:t>&gt;</w:t>
      </w:r>
      <w:r>
        <w:rPr>
          <w:rFonts w:ascii="新細明體" w:hAnsi="新細明體" w:hint="eastAsia"/>
        </w:rPr>
        <w:t>，</w:t>
      </w:r>
      <w:r>
        <w:rPr>
          <w:rFonts w:ascii="新細明體" w:hAnsi="新細明體"/>
        </w:rPr>
        <w:t>«</w:t>
      </w:r>
      <w:r>
        <w:rPr>
          <w:rFonts w:ascii="新細明體" w:hAnsi="新細明體" w:hint="eastAsia"/>
        </w:rPr>
        <w:t>政大法學評論第</w:t>
      </w:r>
      <w:r>
        <w:t>78</w:t>
      </w:r>
      <w:r>
        <w:rPr>
          <w:rFonts w:ascii="新細明體" w:hAnsi="新細明體" w:hint="eastAsia"/>
        </w:rPr>
        <w:t>期</w:t>
      </w:r>
      <w:r>
        <w:rPr>
          <w:rFonts w:ascii="新細明體" w:hAnsi="新細明體"/>
        </w:rPr>
        <w:t>»</w:t>
      </w:r>
      <w:r>
        <w:rPr>
          <w:rFonts w:ascii="新細明體" w:hAnsi="新細明體" w:hint="eastAsia"/>
        </w:rPr>
        <w:t>，</w:t>
      </w:r>
      <w:r>
        <w:t xml:space="preserve">2004/4 </w:t>
      </w:r>
      <w:r>
        <w:rPr>
          <w:rFonts w:hint="eastAsia"/>
        </w:rPr>
        <w:t>，頁</w:t>
      </w:r>
      <w:r>
        <w:rPr>
          <w:rFonts w:hint="eastAsia"/>
        </w:rPr>
        <w:t>25-26</w:t>
      </w:r>
      <w:r>
        <w:rPr>
          <w:rFonts w:hint="eastAsia"/>
        </w:rPr>
        <w:t>。</w:t>
      </w:r>
    </w:p>
  </w:footnote>
  <w:footnote w:id="19">
    <w:p w:rsidR="00000000" w:rsidRDefault="00FE56A9">
      <w:pPr>
        <w:pStyle w:val="a5"/>
        <w:rPr>
          <w:rFonts w:hint="eastAsia"/>
        </w:rPr>
      </w:pPr>
      <w:r>
        <w:rPr>
          <w:rStyle w:val="a6"/>
        </w:rPr>
        <w:footnoteRef/>
      </w:r>
      <w:r>
        <w:t xml:space="preserve"> </w:t>
      </w:r>
      <w:r>
        <w:rPr>
          <w:rFonts w:hint="eastAsia"/>
        </w:rPr>
        <w:t>林三欽，</w:t>
      </w:r>
      <w:r>
        <w:t>&lt;</w:t>
      </w:r>
      <w:r>
        <w:rPr>
          <w:rFonts w:hint="eastAsia"/>
        </w:rPr>
        <w:t>行政法令變遷與信賴保護</w:t>
      </w:r>
      <w:proofErr w:type="gramStart"/>
      <w:r>
        <w:rPr>
          <w:rFonts w:ascii="新細明體" w:hAnsi="新細明體" w:hint="eastAsia"/>
        </w:rPr>
        <w:t>―</w:t>
      </w:r>
      <w:proofErr w:type="gramEnd"/>
      <w:r>
        <w:rPr>
          <w:rFonts w:hint="eastAsia"/>
        </w:rPr>
        <w:t>論行政機關處理新舊法秩序交替問題之原則</w:t>
      </w:r>
      <w:r>
        <w:t>&gt;</w:t>
      </w:r>
      <w:r>
        <w:rPr>
          <w:rFonts w:hint="eastAsia"/>
        </w:rPr>
        <w:t>，</w:t>
      </w:r>
      <w:r>
        <w:t>«</w:t>
      </w:r>
      <w:r>
        <w:rPr>
          <w:rFonts w:hint="eastAsia"/>
        </w:rPr>
        <w:t>東吳法律學報第</w:t>
      </w:r>
      <w:r>
        <w:rPr>
          <w:rFonts w:hint="eastAsia"/>
        </w:rPr>
        <w:t>16</w:t>
      </w:r>
      <w:r>
        <w:rPr>
          <w:rFonts w:hint="eastAsia"/>
        </w:rPr>
        <w:t>卷第</w:t>
      </w:r>
      <w:r>
        <w:rPr>
          <w:rFonts w:hint="eastAsia"/>
        </w:rPr>
        <w:t>1</w:t>
      </w:r>
      <w:r>
        <w:rPr>
          <w:rFonts w:hint="eastAsia"/>
        </w:rPr>
        <w:t>期</w:t>
      </w:r>
      <w:r>
        <w:t>»</w:t>
      </w:r>
      <w:r>
        <w:rPr>
          <w:rFonts w:hint="eastAsia"/>
        </w:rPr>
        <w:t>，</w:t>
      </w:r>
      <w:r>
        <w:rPr>
          <w:rFonts w:hint="eastAsia"/>
        </w:rPr>
        <w:t>2004/8</w:t>
      </w:r>
      <w:r>
        <w:rPr>
          <w:rFonts w:hint="eastAsia"/>
        </w:rPr>
        <w:t>，頁</w:t>
      </w:r>
      <w:r>
        <w:rPr>
          <w:rFonts w:hint="eastAsia"/>
        </w:rPr>
        <w:t>157</w:t>
      </w:r>
      <w:r>
        <w:rPr>
          <w:rFonts w:hint="eastAsia"/>
        </w:rPr>
        <w:t>。</w:t>
      </w:r>
    </w:p>
  </w:footnote>
  <w:footnote w:id="20">
    <w:p w:rsidR="00000000" w:rsidRDefault="00FE56A9">
      <w:pPr>
        <w:pStyle w:val="a5"/>
        <w:rPr>
          <w:rFonts w:hint="eastAsia"/>
        </w:rPr>
      </w:pPr>
      <w:r>
        <w:rPr>
          <w:rStyle w:val="a6"/>
        </w:rPr>
        <w:footnoteRef/>
      </w:r>
      <w:r>
        <w:t xml:space="preserve"> </w:t>
      </w:r>
      <w:r>
        <w:rPr>
          <w:rFonts w:hint="eastAsia"/>
        </w:rPr>
        <w:t>洪家殷，</w:t>
      </w:r>
      <w:r>
        <w:t>&lt;</w:t>
      </w:r>
      <w:r>
        <w:rPr>
          <w:rFonts w:hint="eastAsia"/>
        </w:rPr>
        <w:t>論信賴保護原則之適用</w:t>
      </w:r>
      <w:proofErr w:type="gramStart"/>
      <w:r>
        <w:rPr>
          <w:rFonts w:ascii="新細明體" w:hAnsi="新細明體" w:hint="eastAsia"/>
        </w:rPr>
        <w:t>―</w:t>
      </w:r>
      <w:proofErr w:type="gramEnd"/>
      <w:r>
        <w:rPr>
          <w:rFonts w:ascii="新細明體" w:hAnsi="新細明體" w:hint="eastAsia"/>
        </w:rPr>
        <w:t>司法院大法官釋字第五二五號解釋評析</w:t>
      </w:r>
      <w:proofErr w:type="gramStart"/>
      <w:r>
        <w:rPr>
          <w:rFonts w:ascii="新細明體" w:hAnsi="新細明體" w:hint="eastAsia"/>
        </w:rPr>
        <w:t>―</w:t>
      </w:r>
      <w:proofErr w:type="gramEnd"/>
      <w:r>
        <w:t>&gt;</w:t>
      </w:r>
      <w:r>
        <w:rPr>
          <w:rFonts w:hint="eastAsia"/>
        </w:rPr>
        <w:t>，</w:t>
      </w:r>
      <w:r>
        <w:t>«</w:t>
      </w:r>
      <w:r>
        <w:rPr>
          <w:rFonts w:hint="eastAsia"/>
        </w:rPr>
        <w:t>台灣本土法學第</w:t>
      </w:r>
      <w:r>
        <w:rPr>
          <w:rFonts w:hint="eastAsia"/>
        </w:rPr>
        <w:t>27</w:t>
      </w:r>
      <w:r>
        <w:rPr>
          <w:rFonts w:hint="eastAsia"/>
        </w:rPr>
        <w:t>期</w:t>
      </w:r>
      <w:r>
        <w:t>»</w:t>
      </w:r>
      <w:r>
        <w:rPr>
          <w:rFonts w:hint="eastAsia"/>
        </w:rPr>
        <w:t>，</w:t>
      </w:r>
      <w:r>
        <w:rPr>
          <w:rFonts w:hint="eastAsia"/>
        </w:rPr>
        <w:t>2001/10</w:t>
      </w:r>
      <w:r>
        <w:rPr>
          <w:rFonts w:hint="eastAsia"/>
        </w:rPr>
        <w:t>，頁</w:t>
      </w:r>
      <w:r>
        <w:rPr>
          <w:rFonts w:hint="eastAsia"/>
        </w:rPr>
        <w:t>41</w:t>
      </w:r>
      <w:r>
        <w:rPr>
          <w:rFonts w:hint="eastAsia"/>
        </w:rPr>
        <w:t>。</w:t>
      </w:r>
    </w:p>
  </w:footnote>
  <w:footnote w:id="21">
    <w:p w:rsidR="00000000" w:rsidRDefault="00FE56A9">
      <w:pPr>
        <w:pStyle w:val="a5"/>
        <w:rPr>
          <w:rFonts w:hint="eastAsia"/>
        </w:rPr>
      </w:pPr>
      <w:r>
        <w:rPr>
          <w:rStyle w:val="a6"/>
        </w:rPr>
        <w:footnoteRef/>
      </w:r>
      <w:r>
        <w:t xml:space="preserve"> </w:t>
      </w:r>
      <w:r>
        <w:rPr>
          <w:rFonts w:hint="eastAsia"/>
        </w:rPr>
        <w:t>吳庚，</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21</w:t>
      </w:r>
      <w:r>
        <w:rPr>
          <w:rFonts w:hint="eastAsia"/>
        </w:rPr>
        <w:t>），頁</w:t>
      </w:r>
      <w:r>
        <w:rPr>
          <w:rFonts w:hint="eastAsia"/>
        </w:rPr>
        <w:t>64-65</w:t>
      </w:r>
      <w:r>
        <w:rPr>
          <w:rFonts w:hint="eastAsia"/>
        </w:rPr>
        <w:t>。</w:t>
      </w:r>
    </w:p>
  </w:footnote>
  <w:footnote w:id="22">
    <w:p w:rsidR="00000000" w:rsidRDefault="00FE56A9">
      <w:pPr>
        <w:pStyle w:val="a5"/>
        <w:rPr>
          <w:rFonts w:hint="eastAsia"/>
        </w:rPr>
      </w:pPr>
      <w:r>
        <w:rPr>
          <w:rStyle w:val="a6"/>
        </w:rPr>
        <w:footnoteRef/>
      </w:r>
      <w:r>
        <w:t xml:space="preserve"> </w:t>
      </w:r>
      <w:r>
        <w:rPr>
          <w:rFonts w:hint="eastAsia"/>
        </w:rPr>
        <w:t>類此：李建良，</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30</w:t>
      </w:r>
      <w:proofErr w:type="gramStart"/>
      <w:r>
        <w:rPr>
          <w:rFonts w:ascii="新細明體" w:hAnsi="新細明體" w:hint="eastAsia"/>
        </w:rPr>
        <w:t>―</w:t>
      </w:r>
      <w:proofErr w:type="gramEnd"/>
      <w:r>
        <w:rPr>
          <w:rFonts w:hint="eastAsia"/>
        </w:rPr>
        <w:t>溯及既往），頁</w:t>
      </w:r>
      <w:r>
        <w:rPr>
          <w:rFonts w:hint="eastAsia"/>
        </w:rPr>
        <w:t>84</w:t>
      </w:r>
      <w:r>
        <w:rPr>
          <w:rFonts w:hint="eastAsia"/>
        </w:rPr>
        <w:t>；陳敏，</w:t>
      </w:r>
      <w:r>
        <w:t>«</w:t>
      </w:r>
      <w:r>
        <w:rPr>
          <w:rFonts w:hint="eastAsia"/>
        </w:rPr>
        <w:t>行政法總論</w:t>
      </w:r>
      <w:r>
        <w:t>»</w:t>
      </w:r>
      <w:r>
        <w:rPr>
          <w:rFonts w:hint="eastAsia"/>
        </w:rPr>
        <w:t>，四版，</w:t>
      </w:r>
      <w:r>
        <w:rPr>
          <w:rFonts w:hint="eastAsia"/>
        </w:rPr>
        <w:t>2004</w:t>
      </w:r>
      <w:r>
        <w:rPr>
          <w:rFonts w:hint="eastAsia"/>
        </w:rPr>
        <w:t>，頁</w:t>
      </w:r>
      <w:r>
        <w:rPr>
          <w:rFonts w:hint="eastAsia"/>
        </w:rPr>
        <w:t>90</w:t>
      </w:r>
      <w:r>
        <w:rPr>
          <w:rFonts w:hint="eastAsia"/>
        </w:rPr>
        <w:t>。</w:t>
      </w:r>
    </w:p>
  </w:footnote>
  <w:footnote w:id="23">
    <w:p w:rsidR="00000000" w:rsidRDefault="00FE56A9">
      <w:pPr>
        <w:pStyle w:val="a5"/>
        <w:rPr>
          <w:rFonts w:hint="eastAsia"/>
        </w:rPr>
      </w:pPr>
      <w:r>
        <w:rPr>
          <w:rStyle w:val="a6"/>
        </w:rPr>
        <w:footnoteRef/>
      </w:r>
      <w:r>
        <w:t xml:space="preserve"> </w:t>
      </w:r>
      <w:r>
        <w:rPr>
          <w:rFonts w:hint="eastAsia"/>
        </w:rPr>
        <w:t>洪家殷，</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41-42</w:t>
      </w:r>
      <w:r>
        <w:rPr>
          <w:rFonts w:hint="eastAsia"/>
        </w:rPr>
        <w:t>。</w:t>
      </w:r>
    </w:p>
  </w:footnote>
  <w:footnote w:id="24">
    <w:p w:rsidR="00000000" w:rsidRDefault="00FE56A9">
      <w:pPr>
        <w:pStyle w:val="a5"/>
        <w:rPr>
          <w:rFonts w:hint="eastAsia"/>
        </w:rPr>
      </w:pPr>
      <w:r>
        <w:rPr>
          <w:rStyle w:val="a6"/>
        </w:rPr>
        <w:footnoteRef/>
      </w:r>
      <w:r>
        <w:t xml:space="preserve"> </w:t>
      </w:r>
      <w:r>
        <w:rPr>
          <w:rFonts w:hint="eastAsia"/>
        </w:rPr>
        <w:t>陳愛娥，</w:t>
      </w:r>
      <w:r>
        <w:t>&lt;</w:t>
      </w:r>
      <w:r>
        <w:rPr>
          <w:rFonts w:hint="eastAsia"/>
        </w:rPr>
        <w:t>國小校長的「</w:t>
      </w:r>
      <w:proofErr w:type="gramStart"/>
      <w:r>
        <w:rPr>
          <w:rFonts w:hint="eastAsia"/>
        </w:rPr>
        <w:t>遴</w:t>
      </w:r>
      <w:proofErr w:type="gramEnd"/>
      <w:r>
        <w:rPr>
          <w:rFonts w:hint="eastAsia"/>
        </w:rPr>
        <w:t>用」或「遴選」</w:t>
      </w:r>
      <w:proofErr w:type="gramStart"/>
      <w:r>
        <w:rPr>
          <w:rFonts w:ascii="新細明體" w:hAnsi="新細明體" w:hint="eastAsia"/>
        </w:rPr>
        <w:t>―</w:t>
      </w:r>
      <w:proofErr w:type="gramEnd"/>
      <w:r>
        <w:rPr>
          <w:rFonts w:ascii="新細明體" w:hAnsi="新細明體" w:hint="eastAsia"/>
        </w:rPr>
        <w:t>法律溯及既往原則的相關問題</w:t>
      </w:r>
      <w:proofErr w:type="gramStart"/>
      <w:r>
        <w:rPr>
          <w:rFonts w:ascii="新細明體" w:hAnsi="新細明體" w:hint="eastAsia"/>
        </w:rPr>
        <w:t>―</w:t>
      </w:r>
      <w:proofErr w:type="gramEnd"/>
      <w:r>
        <w:t>&gt;</w:t>
      </w:r>
      <w:r>
        <w:rPr>
          <w:rFonts w:hint="eastAsia"/>
        </w:rPr>
        <w:t>，</w:t>
      </w:r>
      <w:r>
        <w:t>«</w:t>
      </w:r>
      <w:r>
        <w:rPr>
          <w:rFonts w:hint="eastAsia"/>
        </w:rPr>
        <w:t>台灣本土法學第</w:t>
      </w:r>
      <w:r>
        <w:rPr>
          <w:rFonts w:hint="eastAsia"/>
        </w:rPr>
        <w:t>21</w:t>
      </w:r>
      <w:r>
        <w:rPr>
          <w:rFonts w:hint="eastAsia"/>
        </w:rPr>
        <w:t>期</w:t>
      </w:r>
      <w:r>
        <w:t>»</w:t>
      </w:r>
      <w:r>
        <w:rPr>
          <w:rFonts w:hint="eastAsia"/>
        </w:rPr>
        <w:t>，</w:t>
      </w:r>
      <w:r>
        <w:rPr>
          <w:rFonts w:hint="eastAsia"/>
        </w:rPr>
        <w:t>2001/4</w:t>
      </w:r>
      <w:r>
        <w:rPr>
          <w:rFonts w:hint="eastAsia"/>
        </w:rPr>
        <w:t>，頁</w:t>
      </w:r>
      <w:r>
        <w:rPr>
          <w:rFonts w:hint="eastAsia"/>
        </w:rPr>
        <w:t>142-143</w:t>
      </w:r>
      <w:r>
        <w:rPr>
          <w:rFonts w:hint="eastAsia"/>
        </w:rPr>
        <w:t>。</w:t>
      </w:r>
    </w:p>
  </w:footnote>
  <w:footnote w:id="25">
    <w:p w:rsidR="00000000" w:rsidRDefault="00FE56A9">
      <w:pPr>
        <w:pStyle w:val="a5"/>
        <w:rPr>
          <w:rFonts w:hint="eastAsia"/>
        </w:rPr>
      </w:pPr>
      <w:r>
        <w:rPr>
          <w:rStyle w:val="a6"/>
        </w:rPr>
        <w:footnoteRef/>
      </w:r>
      <w:r>
        <w:t xml:space="preserve"> </w:t>
      </w:r>
      <w:r>
        <w:rPr>
          <w:rFonts w:hint="eastAsia"/>
        </w:rPr>
        <w:t>彭鳳至，</w:t>
      </w:r>
      <w:r>
        <w:t>&lt;</w:t>
      </w:r>
      <w:r>
        <w:rPr>
          <w:rFonts w:hint="eastAsia"/>
        </w:rPr>
        <w:t>法律</w:t>
      </w:r>
      <w:proofErr w:type="gramStart"/>
      <w:r>
        <w:rPr>
          <w:rFonts w:hint="eastAsia"/>
        </w:rPr>
        <w:t>不</w:t>
      </w:r>
      <w:proofErr w:type="gramEnd"/>
      <w:r>
        <w:rPr>
          <w:rFonts w:hint="eastAsia"/>
        </w:rPr>
        <w:t>溯既往原則之憲法地位</w:t>
      </w:r>
      <w:r>
        <w:t>&gt;</w:t>
      </w:r>
      <w:r>
        <w:rPr>
          <w:rFonts w:hint="eastAsia"/>
        </w:rPr>
        <w:t>，</w:t>
      </w:r>
      <w:r>
        <w:t>«</w:t>
      </w:r>
      <w:r>
        <w:rPr>
          <w:rFonts w:hint="eastAsia"/>
        </w:rPr>
        <w:t>台灣本土法學第</w:t>
      </w:r>
      <w:r>
        <w:rPr>
          <w:rFonts w:hint="eastAsia"/>
        </w:rPr>
        <w:t>48</w:t>
      </w:r>
      <w:r>
        <w:rPr>
          <w:rFonts w:hint="eastAsia"/>
        </w:rPr>
        <w:t>期</w:t>
      </w:r>
      <w:r>
        <w:t>»</w:t>
      </w:r>
      <w:r>
        <w:rPr>
          <w:rFonts w:hint="eastAsia"/>
        </w:rPr>
        <w:t>，</w:t>
      </w:r>
      <w:r>
        <w:rPr>
          <w:rFonts w:hint="eastAsia"/>
        </w:rPr>
        <w:t>2003/7</w:t>
      </w:r>
      <w:r>
        <w:rPr>
          <w:rFonts w:hint="eastAsia"/>
        </w:rPr>
        <w:t>，頁</w:t>
      </w:r>
      <w:r>
        <w:rPr>
          <w:rFonts w:hint="eastAsia"/>
        </w:rPr>
        <w:t>16</w:t>
      </w:r>
      <w:r>
        <w:rPr>
          <w:rFonts w:hint="eastAsia"/>
        </w:rPr>
        <w:t>。</w:t>
      </w:r>
    </w:p>
  </w:footnote>
  <w:footnote w:id="26">
    <w:p w:rsidR="00000000" w:rsidRDefault="00FE56A9">
      <w:pPr>
        <w:pStyle w:val="a5"/>
        <w:rPr>
          <w:rFonts w:hint="eastAsia"/>
        </w:rPr>
      </w:pPr>
      <w:r>
        <w:rPr>
          <w:rStyle w:val="a6"/>
        </w:rPr>
        <w:footnoteRef/>
      </w:r>
      <w:r>
        <w:t xml:space="preserve"> </w:t>
      </w:r>
      <w:r>
        <w:rPr>
          <w:rFonts w:hint="eastAsia"/>
        </w:rPr>
        <w:t>林三欽，</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31</w:t>
      </w:r>
      <w:r>
        <w:rPr>
          <w:rFonts w:hint="eastAsia"/>
        </w:rPr>
        <w:t>），頁</w:t>
      </w:r>
      <w:r>
        <w:rPr>
          <w:rFonts w:hint="eastAsia"/>
        </w:rPr>
        <w:t>143</w:t>
      </w:r>
      <w:r>
        <w:rPr>
          <w:rFonts w:hint="eastAsia"/>
        </w:rPr>
        <w:t>、</w:t>
      </w:r>
      <w:r>
        <w:rPr>
          <w:rFonts w:hint="eastAsia"/>
        </w:rPr>
        <w:t>149</w:t>
      </w:r>
      <w:r>
        <w:rPr>
          <w:rFonts w:hint="eastAsia"/>
        </w:rPr>
        <w:t>。</w:t>
      </w:r>
    </w:p>
  </w:footnote>
  <w:footnote w:id="27">
    <w:p w:rsidR="00000000" w:rsidRDefault="00FE56A9">
      <w:pPr>
        <w:pStyle w:val="a5"/>
        <w:rPr>
          <w:rFonts w:hint="eastAsia"/>
        </w:rPr>
      </w:pPr>
      <w:r>
        <w:rPr>
          <w:rStyle w:val="a6"/>
        </w:rPr>
        <w:footnoteRef/>
      </w:r>
      <w:r>
        <w:t xml:space="preserve"> </w:t>
      </w:r>
      <w:r>
        <w:rPr>
          <w:rFonts w:hint="eastAsia"/>
        </w:rPr>
        <w:t>林三欽，</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31</w:t>
      </w:r>
      <w:r>
        <w:rPr>
          <w:rFonts w:hint="eastAsia"/>
        </w:rPr>
        <w:t>），頁</w:t>
      </w:r>
      <w:r>
        <w:rPr>
          <w:rFonts w:hint="eastAsia"/>
        </w:rPr>
        <w:t>175</w:t>
      </w:r>
      <w:r>
        <w:rPr>
          <w:rFonts w:hint="eastAsia"/>
        </w:rPr>
        <w:t>。</w:t>
      </w:r>
    </w:p>
  </w:footnote>
  <w:footnote w:id="28">
    <w:p w:rsidR="00000000" w:rsidRDefault="00FE56A9">
      <w:pPr>
        <w:pStyle w:val="a5"/>
        <w:rPr>
          <w:rFonts w:hint="eastAsia"/>
        </w:rPr>
      </w:pPr>
      <w:r>
        <w:rPr>
          <w:rStyle w:val="a6"/>
        </w:rPr>
        <w:footnoteRef/>
      </w:r>
      <w:r>
        <w:t xml:space="preserve"> </w:t>
      </w:r>
      <w:r>
        <w:rPr>
          <w:rFonts w:hint="eastAsia"/>
        </w:rPr>
        <w:t>李建良，</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30</w:t>
      </w:r>
      <w:proofErr w:type="gramStart"/>
      <w:r>
        <w:rPr>
          <w:rFonts w:ascii="新細明體" w:hAnsi="新細明體" w:hint="eastAsia"/>
        </w:rPr>
        <w:t>―</w:t>
      </w:r>
      <w:proofErr w:type="gramEnd"/>
      <w:r>
        <w:rPr>
          <w:rFonts w:hint="eastAsia"/>
        </w:rPr>
        <w:t>溯及既往），頁</w:t>
      </w:r>
      <w:r>
        <w:rPr>
          <w:rFonts w:hint="eastAsia"/>
        </w:rPr>
        <w:t>85</w:t>
      </w:r>
      <w:r>
        <w:rPr>
          <w:rFonts w:hint="eastAsia"/>
        </w:rPr>
        <w:t>、</w:t>
      </w:r>
      <w:r>
        <w:rPr>
          <w:rFonts w:hint="eastAsia"/>
        </w:rPr>
        <w:t>87</w:t>
      </w:r>
      <w:r>
        <w:rPr>
          <w:rFonts w:hint="eastAsia"/>
        </w:rPr>
        <w:t>；同著者，</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30</w:t>
      </w:r>
      <w:proofErr w:type="gramStart"/>
      <w:r>
        <w:rPr>
          <w:rFonts w:ascii="新細明體" w:hAnsi="新細明體" w:hint="eastAsia"/>
        </w:rPr>
        <w:t>―</w:t>
      </w:r>
      <w:proofErr w:type="gramEnd"/>
      <w:r>
        <w:rPr>
          <w:rFonts w:hint="eastAsia"/>
        </w:rPr>
        <w:t>軍公教優惠存款），頁</w:t>
      </w:r>
      <w:r>
        <w:rPr>
          <w:rFonts w:hint="eastAsia"/>
        </w:rPr>
        <w:t>26-27</w:t>
      </w:r>
      <w:r>
        <w:rPr>
          <w:rFonts w:hint="eastAsia"/>
        </w:rPr>
        <w:t>。李教授對於「</w:t>
      </w:r>
      <w:r>
        <w:rPr>
          <w:rFonts w:hAnsi="新細明體" w:hint="eastAsia"/>
        </w:rPr>
        <w:t>人民有無信賴事實的存在」、「人民的信賴是否值得保護」以及，「溯及既往所要追求的公益是否高於人民的信賴利益」三項標準的操作，可參見：同著者，</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30</w:t>
      </w:r>
      <w:proofErr w:type="gramStart"/>
      <w:r>
        <w:rPr>
          <w:rFonts w:ascii="新細明體" w:hAnsi="新細明體" w:hint="eastAsia"/>
        </w:rPr>
        <w:t>―</w:t>
      </w:r>
      <w:proofErr w:type="gramEnd"/>
      <w:r>
        <w:rPr>
          <w:rFonts w:hint="eastAsia"/>
        </w:rPr>
        <w:t>軍公教優惠存款），頁</w:t>
      </w:r>
      <w:r>
        <w:rPr>
          <w:rFonts w:hint="eastAsia"/>
        </w:rPr>
        <w:t>28-30</w:t>
      </w:r>
      <w:r>
        <w:rPr>
          <w:rFonts w:hint="eastAsia"/>
        </w:rPr>
        <w:t>。依筆者之見，其說明難謂清晰。例如，其不無混淆「信賴利益」與「信賴事實」之嫌。</w:t>
      </w:r>
    </w:p>
  </w:footnote>
  <w:footnote w:id="29">
    <w:p w:rsidR="00000000" w:rsidRDefault="00FE56A9">
      <w:pPr>
        <w:pStyle w:val="a5"/>
        <w:rPr>
          <w:rFonts w:hint="eastAsia"/>
        </w:rPr>
      </w:pPr>
      <w:r>
        <w:rPr>
          <w:rStyle w:val="a6"/>
        </w:rPr>
        <w:footnoteRef/>
      </w:r>
      <w:r>
        <w:t xml:space="preserve"> </w:t>
      </w:r>
      <w:r>
        <w:rPr>
          <w:rFonts w:hint="eastAsia"/>
        </w:rPr>
        <w:t>洪家殷，</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44</w:t>
      </w:r>
      <w:r>
        <w:rPr>
          <w:rFonts w:hint="eastAsia"/>
        </w:rPr>
        <w:t>；黃俊杰，</w:t>
      </w:r>
      <w:r>
        <w:t>&lt;</w:t>
      </w:r>
      <w:r>
        <w:rPr>
          <w:rFonts w:hint="eastAsia"/>
        </w:rPr>
        <w:t>稅捐優惠之憲法基礎與信賴保</w:t>
      </w:r>
      <w:r>
        <w:rPr>
          <w:rFonts w:hint="eastAsia"/>
        </w:rPr>
        <w:t>護</w:t>
      </w:r>
      <w:r>
        <w:t>&gt;</w:t>
      </w:r>
      <w:r>
        <w:rPr>
          <w:rFonts w:hint="eastAsia"/>
        </w:rPr>
        <w:t>，</w:t>
      </w:r>
      <w:r>
        <w:t>«</w:t>
      </w:r>
      <w:r>
        <w:rPr>
          <w:rFonts w:hint="eastAsia"/>
        </w:rPr>
        <w:t>臺大法學論叢第</w:t>
      </w:r>
      <w:r>
        <w:rPr>
          <w:rFonts w:hint="eastAsia"/>
        </w:rPr>
        <w:t>31</w:t>
      </w:r>
      <w:r>
        <w:rPr>
          <w:rFonts w:hint="eastAsia"/>
        </w:rPr>
        <w:t>卷第</w:t>
      </w:r>
      <w:r>
        <w:rPr>
          <w:rFonts w:hint="eastAsia"/>
        </w:rPr>
        <w:t>6</w:t>
      </w:r>
      <w:r>
        <w:rPr>
          <w:rFonts w:hint="eastAsia"/>
        </w:rPr>
        <w:t>期</w:t>
      </w:r>
      <w:r>
        <w:t>»</w:t>
      </w:r>
      <w:r>
        <w:rPr>
          <w:rFonts w:hint="eastAsia"/>
        </w:rPr>
        <w:t>，</w:t>
      </w:r>
      <w:r>
        <w:rPr>
          <w:rFonts w:hint="eastAsia"/>
        </w:rPr>
        <w:t>2002/11</w:t>
      </w:r>
      <w:r>
        <w:rPr>
          <w:rFonts w:hint="eastAsia"/>
        </w:rPr>
        <w:t>，頁</w:t>
      </w:r>
      <w:r>
        <w:rPr>
          <w:rFonts w:hint="eastAsia"/>
        </w:rPr>
        <w:t>223</w:t>
      </w:r>
      <w:r>
        <w:rPr>
          <w:rFonts w:hint="eastAsia"/>
        </w:rPr>
        <w:t>；林明鏘，</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14</w:t>
      </w:r>
      <w:r>
        <w:rPr>
          <w:rFonts w:hint="eastAsia"/>
        </w:rPr>
        <w:t>），頁</w:t>
      </w:r>
      <w:r>
        <w:rPr>
          <w:rFonts w:hint="eastAsia"/>
        </w:rPr>
        <w:t>584</w:t>
      </w:r>
      <w:r>
        <w:rPr>
          <w:rFonts w:hint="eastAsia"/>
        </w:rPr>
        <w:t>；吳庚，</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21</w:t>
      </w:r>
      <w:r>
        <w:rPr>
          <w:rFonts w:hint="eastAsia"/>
        </w:rPr>
        <w:t>），頁</w:t>
      </w:r>
      <w:r>
        <w:rPr>
          <w:rFonts w:hint="eastAsia"/>
        </w:rPr>
        <w:t>66</w:t>
      </w:r>
      <w:r>
        <w:rPr>
          <w:rFonts w:hint="eastAsia"/>
        </w:rPr>
        <w:t>。</w:t>
      </w:r>
    </w:p>
  </w:footnote>
  <w:footnote w:id="30">
    <w:p w:rsidR="00000000" w:rsidRDefault="00FE56A9">
      <w:pPr>
        <w:pStyle w:val="a5"/>
        <w:rPr>
          <w:rFonts w:hint="eastAsia"/>
        </w:rPr>
      </w:pPr>
      <w:r>
        <w:rPr>
          <w:rStyle w:val="a6"/>
        </w:rPr>
        <w:footnoteRef/>
      </w:r>
      <w:r>
        <w:t xml:space="preserve"> </w:t>
      </w:r>
      <w:r>
        <w:rPr>
          <w:rFonts w:hint="eastAsia"/>
        </w:rPr>
        <w:t>黃俊杰，</w:t>
      </w:r>
      <w:r>
        <w:t>&lt;</w:t>
      </w:r>
      <w:r>
        <w:rPr>
          <w:rFonts w:hint="eastAsia"/>
        </w:rPr>
        <w:t>解釋函令變更與信賴保護</w:t>
      </w:r>
      <w:proofErr w:type="gramStart"/>
      <w:r>
        <w:rPr>
          <w:rFonts w:ascii="新細明體" w:hAnsi="新細明體" w:hint="eastAsia"/>
        </w:rPr>
        <w:t>―</w:t>
      </w:r>
      <w:proofErr w:type="gramEnd"/>
      <w:r>
        <w:rPr>
          <w:rFonts w:ascii="新細明體" w:hAnsi="新細明體" w:hint="eastAsia"/>
        </w:rPr>
        <w:t>行政法院八十八年度判字第三九０七號判決評釋</w:t>
      </w:r>
      <w:proofErr w:type="gramStart"/>
      <w:r>
        <w:rPr>
          <w:rFonts w:ascii="新細明體" w:hAnsi="新細明體" w:hint="eastAsia"/>
        </w:rPr>
        <w:t>―</w:t>
      </w:r>
      <w:proofErr w:type="gramEnd"/>
      <w:r>
        <w:t>&gt;</w:t>
      </w:r>
      <w:r>
        <w:rPr>
          <w:rFonts w:hint="eastAsia"/>
        </w:rPr>
        <w:t>，</w:t>
      </w:r>
      <w:r>
        <w:t>«</w:t>
      </w:r>
      <w:r>
        <w:rPr>
          <w:rFonts w:hint="eastAsia"/>
        </w:rPr>
        <w:t>台灣本土法學第</w:t>
      </w:r>
      <w:r>
        <w:rPr>
          <w:rFonts w:hint="eastAsia"/>
        </w:rPr>
        <w:t>20</w:t>
      </w:r>
      <w:r>
        <w:rPr>
          <w:rFonts w:hint="eastAsia"/>
        </w:rPr>
        <w:t>期</w:t>
      </w:r>
      <w:r>
        <w:t>»</w:t>
      </w:r>
      <w:r>
        <w:rPr>
          <w:rFonts w:hint="eastAsia"/>
        </w:rPr>
        <w:t>，</w:t>
      </w:r>
      <w:r>
        <w:rPr>
          <w:rFonts w:hint="eastAsia"/>
        </w:rPr>
        <w:t>2001/3</w:t>
      </w:r>
      <w:r>
        <w:rPr>
          <w:rFonts w:hint="eastAsia"/>
        </w:rPr>
        <w:t>，頁</w:t>
      </w:r>
      <w:r>
        <w:rPr>
          <w:rFonts w:hint="eastAsia"/>
        </w:rPr>
        <w:t>8-9</w:t>
      </w:r>
      <w:r>
        <w:rPr>
          <w:rFonts w:hint="eastAsia"/>
        </w:rPr>
        <w:t>；同著者，</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41</w:t>
      </w:r>
      <w:r>
        <w:rPr>
          <w:rFonts w:hint="eastAsia"/>
        </w:rPr>
        <w:t>），頁</w:t>
      </w:r>
      <w:r>
        <w:rPr>
          <w:rFonts w:hint="eastAsia"/>
        </w:rPr>
        <w:t>215-216</w:t>
      </w:r>
      <w:r>
        <w:rPr>
          <w:rFonts w:hint="eastAsia"/>
        </w:rPr>
        <w:t>。類此立場：洪家殷，</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43</w:t>
      </w:r>
      <w:r>
        <w:rPr>
          <w:rFonts w:hint="eastAsia"/>
        </w:rPr>
        <w:t>。</w:t>
      </w:r>
    </w:p>
  </w:footnote>
  <w:footnote w:id="31">
    <w:p w:rsidR="00000000" w:rsidRDefault="00FE56A9">
      <w:pPr>
        <w:pStyle w:val="a5"/>
        <w:rPr>
          <w:rFonts w:hint="eastAsia"/>
        </w:rPr>
      </w:pPr>
      <w:r>
        <w:rPr>
          <w:rStyle w:val="a6"/>
        </w:rPr>
        <w:footnoteRef/>
      </w:r>
      <w:r>
        <w:t xml:space="preserve"> </w:t>
      </w:r>
      <w:r>
        <w:rPr>
          <w:rFonts w:hint="eastAsia"/>
        </w:rPr>
        <w:t>林三欽，</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31</w:t>
      </w:r>
      <w:r>
        <w:rPr>
          <w:rFonts w:hint="eastAsia"/>
        </w:rPr>
        <w:t>），頁</w:t>
      </w:r>
      <w:r>
        <w:rPr>
          <w:rFonts w:hint="eastAsia"/>
        </w:rPr>
        <w:t>162-163</w:t>
      </w:r>
      <w:r>
        <w:rPr>
          <w:rFonts w:hint="eastAsia"/>
        </w:rPr>
        <w:t>。</w:t>
      </w:r>
    </w:p>
  </w:footnote>
  <w:footnote w:id="32">
    <w:p w:rsidR="00000000" w:rsidRDefault="00FE56A9">
      <w:pPr>
        <w:pStyle w:val="a5"/>
        <w:rPr>
          <w:rFonts w:hint="eastAsia"/>
        </w:rPr>
      </w:pPr>
      <w:r>
        <w:rPr>
          <w:rStyle w:val="a6"/>
        </w:rPr>
        <w:footnoteRef/>
      </w:r>
      <w:r>
        <w:t xml:space="preserve"> </w:t>
      </w:r>
      <w:r>
        <w:rPr>
          <w:rFonts w:hint="eastAsia"/>
        </w:rPr>
        <w:t>林明鏘，</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14</w:t>
      </w:r>
      <w:r>
        <w:rPr>
          <w:rFonts w:hint="eastAsia"/>
        </w:rPr>
        <w:t>），頁</w:t>
      </w:r>
      <w:r>
        <w:rPr>
          <w:rFonts w:hint="eastAsia"/>
        </w:rPr>
        <w:t>586-587</w:t>
      </w:r>
      <w:r>
        <w:rPr>
          <w:rFonts w:hint="eastAsia"/>
        </w:rPr>
        <w:t>。</w:t>
      </w:r>
    </w:p>
  </w:footnote>
  <w:footnote w:id="33">
    <w:p w:rsidR="00000000" w:rsidRDefault="00FE56A9">
      <w:pPr>
        <w:pStyle w:val="a5"/>
        <w:rPr>
          <w:rFonts w:hint="eastAsia"/>
        </w:rPr>
      </w:pPr>
      <w:r>
        <w:rPr>
          <w:rStyle w:val="a6"/>
        </w:rPr>
        <w:footnoteRef/>
      </w:r>
      <w:r>
        <w:t xml:space="preserve"> </w:t>
      </w:r>
      <w:r>
        <w:rPr>
          <w:rFonts w:hint="eastAsia"/>
        </w:rPr>
        <w:t>就此的進一步說明：吳庚，</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21</w:t>
      </w:r>
      <w:r>
        <w:rPr>
          <w:rFonts w:hint="eastAsia"/>
        </w:rPr>
        <w:t>），頁</w:t>
      </w:r>
      <w:r>
        <w:rPr>
          <w:rFonts w:hint="eastAsia"/>
        </w:rPr>
        <w:t>301-303</w:t>
      </w:r>
      <w:r>
        <w:rPr>
          <w:rFonts w:hint="eastAsia"/>
        </w:rPr>
        <w:t>。</w:t>
      </w:r>
    </w:p>
  </w:footnote>
  <w:footnote w:id="34">
    <w:p w:rsidR="00000000" w:rsidRDefault="00FE56A9">
      <w:pPr>
        <w:pStyle w:val="a5"/>
        <w:rPr>
          <w:rFonts w:hint="eastAsia"/>
        </w:rPr>
      </w:pPr>
      <w:r>
        <w:rPr>
          <w:rStyle w:val="a6"/>
        </w:rPr>
        <w:footnoteRef/>
      </w:r>
      <w:r>
        <w:t xml:space="preserve"> </w:t>
      </w:r>
      <w:r>
        <w:rPr>
          <w:rFonts w:hint="eastAsia"/>
        </w:rPr>
        <w:t>洪家殷，</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44-48</w:t>
      </w:r>
      <w:r>
        <w:rPr>
          <w:rFonts w:hint="eastAsia"/>
        </w:rPr>
        <w:t>。</w:t>
      </w:r>
    </w:p>
  </w:footnote>
  <w:footnote w:id="35">
    <w:p w:rsidR="00000000" w:rsidRDefault="00FE56A9">
      <w:pPr>
        <w:pStyle w:val="a5"/>
        <w:rPr>
          <w:rFonts w:hint="eastAsia"/>
        </w:rPr>
      </w:pPr>
      <w:r>
        <w:rPr>
          <w:rStyle w:val="a6"/>
        </w:rPr>
        <w:footnoteRef/>
      </w:r>
      <w:r>
        <w:t xml:space="preserve"> </w:t>
      </w:r>
      <w:r>
        <w:rPr>
          <w:rFonts w:hint="eastAsia"/>
        </w:rPr>
        <w:t>林明鏘，</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14</w:t>
      </w:r>
      <w:r>
        <w:rPr>
          <w:rFonts w:hint="eastAsia"/>
        </w:rPr>
        <w:t>），頁</w:t>
      </w:r>
      <w:r>
        <w:rPr>
          <w:rFonts w:hint="eastAsia"/>
        </w:rPr>
        <w:t>587-590</w:t>
      </w:r>
      <w:r>
        <w:rPr>
          <w:rFonts w:hint="eastAsia"/>
        </w:rPr>
        <w:t>。</w:t>
      </w:r>
    </w:p>
  </w:footnote>
  <w:footnote w:id="36">
    <w:p w:rsidR="00000000" w:rsidRDefault="00FE56A9">
      <w:pPr>
        <w:pStyle w:val="a5"/>
        <w:rPr>
          <w:rFonts w:hint="eastAsia"/>
        </w:rPr>
      </w:pPr>
      <w:r>
        <w:rPr>
          <w:rStyle w:val="a6"/>
        </w:rPr>
        <w:footnoteRef/>
      </w:r>
      <w:r>
        <w:t xml:space="preserve"> </w:t>
      </w:r>
      <w:r>
        <w:rPr>
          <w:rFonts w:hint="eastAsia"/>
        </w:rPr>
        <w:t>洪家殷，</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50-51</w:t>
      </w:r>
      <w:r>
        <w:rPr>
          <w:rFonts w:hint="eastAsia"/>
        </w:rPr>
        <w:t>。</w:t>
      </w:r>
    </w:p>
  </w:footnote>
  <w:footnote w:id="37">
    <w:p w:rsidR="00000000" w:rsidRDefault="00FE56A9">
      <w:pPr>
        <w:pStyle w:val="a5"/>
        <w:rPr>
          <w:rFonts w:hint="eastAsia"/>
        </w:rPr>
      </w:pPr>
      <w:r>
        <w:rPr>
          <w:rStyle w:val="a6"/>
        </w:rPr>
        <w:footnoteRef/>
      </w:r>
      <w:r>
        <w:t xml:space="preserve"> </w:t>
      </w:r>
      <w:r>
        <w:rPr>
          <w:rFonts w:hint="eastAsia"/>
        </w:rPr>
        <w:t>林明鏘，</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14</w:t>
      </w:r>
      <w:r>
        <w:rPr>
          <w:rFonts w:hint="eastAsia"/>
        </w:rPr>
        <w:t>），頁</w:t>
      </w:r>
      <w:r>
        <w:rPr>
          <w:rFonts w:hint="eastAsia"/>
        </w:rPr>
        <w:t>590-593</w:t>
      </w:r>
      <w:r>
        <w:rPr>
          <w:rFonts w:hint="eastAsia"/>
        </w:rPr>
        <w:t>。</w:t>
      </w:r>
    </w:p>
  </w:footnote>
  <w:footnote w:id="38">
    <w:p w:rsidR="00000000" w:rsidRDefault="00FE56A9">
      <w:pPr>
        <w:pStyle w:val="a5"/>
        <w:rPr>
          <w:rFonts w:hint="eastAsia"/>
        </w:rPr>
      </w:pPr>
      <w:r>
        <w:rPr>
          <w:rStyle w:val="a6"/>
        </w:rPr>
        <w:footnoteRef/>
      </w:r>
      <w:r>
        <w:t xml:space="preserve"> </w:t>
      </w:r>
      <w:r>
        <w:rPr>
          <w:rFonts w:hint="eastAsia"/>
        </w:rPr>
        <w:t>當</w:t>
      </w:r>
      <w:r>
        <w:rPr>
          <w:rFonts w:hint="eastAsia"/>
        </w:rPr>
        <w:t>H. Maurer</w:t>
      </w:r>
      <w:r>
        <w:rPr>
          <w:rFonts w:hint="eastAsia"/>
        </w:rPr>
        <w:t>主張，「信賴」是自由民主體制的基本條件時，其比較是由政治學的角度著眼：</w:t>
      </w:r>
      <w:r>
        <w:rPr>
          <w:rFonts w:hint="eastAsia"/>
        </w:rPr>
        <w:t>H. Maurer, a.a.O</w:t>
      </w:r>
      <w:proofErr w:type="gramStart"/>
      <w:r>
        <w:rPr>
          <w:rFonts w:hint="eastAsia"/>
        </w:rPr>
        <w:t>.(</w:t>
      </w:r>
      <w:proofErr w:type="gramEnd"/>
      <w:r>
        <w:rPr>
          <w:rFonts w:hint="eastAsia"/>
        </w:rPr>
        <w:t>Fn. 17), Rn. 6.</w:t>
      </w:r>
    </w:p>
  </w:footnote>
  <w:footnote w:id="39">
    <w:p w:rsidR="00000000" w:rsidRDefault="00FE56A9">
      <w:pPr>
        <w:pStyle w:val="a5"/>
        <w:rPr>
          <w:rFonts w:hint="eastAsia"/>
          <w:lang w:val="de-DE"/>
        </w:rPr>
      </w:pPr>
      <w:r>
        <w:rPr>
          <w:rStyle w:val="a6"/>
        </w:rPr>
        <w:footnoteRef/>
      </w:r>
      <w:r>
        <w:rPr>
          <w:lang w:val="de-DE"/>
        </w:rPr>
        <w:t xml:space="preserve"> </w:t>
      </w:r>
      <w:r>
        <w:rPr>
          <w:lang w:val="de-DE"/>
        </w:rPr>
        <w:t>Fritz Ossenbü</w:t>
      </w:r>
      <w:r>
        <w:rPr>
          <w:rFonts w:hint="eastAsia"/>
          <w:lang w:val="de-DE"/>
        </w:rPr>
        <w:t xml:space="preserve">hl, Vertrauensschutz im sozialen Rechtsstaat, </w:t>
      </w:r>
      <w:r>
        <w:rPr>
          <w:rFonts w:hint="eastAsia"/>
          <w:lang w:val="de-DE"/>
        </w:rPr>
        <w:t>D</w:t>
      </w:r>
      <w:r>
        <w:rPr>
          <w:lang w:val="de-DE"/>
        </w:rPr>
        <w:t>ö</w:t>
      </w:r>
      <w:r>
        <w:rPr>
          <w:rFonts w:hint="eastAsia"/>
          <w:lang w:val="de-DE"/>
        </w:rPr>
        <w:t>V 1972, S. 25.</w:t>
      </w:r>
    </w:p>
  </w:footnote>
  <w:footnote w:id="40">
    <w:p w:rsidR="00000000" w:rsidRDefault="00FE56A9">
      <w:pPr>
        <w:pStyle w:val="a5"/>
        <w:rPr>
          <w:rFonts w:hint="eastAsia"/>
          <w:lang w:val="de-DE"/>
        </w:rPr>
      </w:pPr>
      <w:r>
        <w:rPr>
          <w:rStyle w:val="a6"/>
        </w:rPr>
        <w:footnoteRef/>
      </w:r>
      <w:r>
        <w:rPr>
          <w:lang w:val="de-DE"/>
        </w:rPr>
        <w:t xml:space="preserve"> </w:t>
      </w:r>
      <w:r>
        <w:rPr>
          <w:lang w:val="de-DE"/>
        </w:rPr>
        <w:t>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1972, S. 26.</w:t>
      </w:r>
    </w:p>
  </w:footnote>
  <w:footnote w:id="41">
    <w:p w:rsidR="00000000" w:rsidRDefault="00FE56A9">
      <w:pPr>
        <w:pStyle w:val="a5"/>
        <w:rPr>
          <w:rFonts w:hint="eastAsia"/>
          <w:lang w:val="de-DE"/>
        </w:rPr>
      </w:pPr>
      <w:r>
        <w:rPr>
          <w:rStyle w:val="a6"/>
        </w:rPr>
        <w:footnoteRef/>
      </w:r>
      <w:r>
        <w:rPr>
          <w:lang w:val="de-DE"/>
        </w:rPr>
        <w:t xml:space="preserve"> </w:t>
      </w:r>
      <w:r>
        <w:rPr>
          <w:lang w:val="de-DE"/>
        </w:rPr>
        <w:t>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1972, S. 27.</w:t>
      </w:r>
    </w:p>
  </w:footnote>
  <w:footnote w:id="42">
    <w:p w:rsidR="00000000" w:rsidRDefault="00FE56A9">
      <w:pPr>
        <w:pStyle w:val="a5"/>
        <w:rPr>
          <w:rFonts w:hint="eastAsia"/>
          <w:lang w:val="de-DE"/>
        </w:rPr>
      </w:pPr>
      <w:r>
        <w:rPr>
          <w:rStyle w:val="a6"/>
        </w:rPr>
        <w:footnoteRef/>
      </w:r>
      <w:r>
        <w:rPr>
          <w:lang w:val="de-DE"/>
        </w:rPr>
        <w:t xml:space="preserve"> </w:t>
      </w:r>
      <w:r>
        <w:rPr>
          <w:rFonts w:hint="eastAsia"/>
          <w:lang w:val="de-DE"/>
        </w:rPr>
        <w:t>E. Benda, a.a.O.(Fn. 13), Rn. 49.</w:t>
      </w:r>
    </w:p>
  </w:footnote>
  <w:footnote w:id="43">
    <w:p w:rsidR="00000000" w:rsidRDefault="00FE56A9">
      <w:pPr>
        <w:pStyle w:val="a5"/>
        <w:rPr>
          <w:rFonts w:hint="eastAsia"/>
          <w:lang w:val="de-DE"/>
        </w:rPr>
      </w:pPr>
      <w:r>
        <w:rPr>
          <w:rStyle w:val="a6"/>
        </w:rPr>
        <w:footnoteRef/>
      </w:r>
      <w:r>
        <w:rPr>
          <w:lang w:val="de-DE"/>
        </w:rPr>
        <w:t xml:space="preserve"> </w:t>
      </w:r>
      <w:r>
        <w:rPr>
          <w:rFonts w:hAnsi="新細明體" w:hint="eastAsia"/>
          <w:lang w:val="de-DE"/>
        </w:rPr>
        <w:t>Eberhard Grabitz, Vertrauensschutz als Freiheitsschutz, DVBl. 1973, S. 680.</w:t>
      </w:r>
    </w:p>
  </w:footnote>
  <w:footnote w:id="44">
    <w:p w:rsidR="00000000" w:rsidRDefault="00FE56A9">
      <w:pPr>
        <w:pStyle w:val="a5"/>
        <w:rPr>
          <w:rFonts w:hint="eastAsia"/>
          <w:lang w:val="de-DE"/>
        </w:rPr>
      </w:pPr>
      <w:r>
        <w:rPr>
          <w:rStyle w:val="a6"/>
        </w:rPr>
        <w:footnoteRef/>
      </w:r>
      <w:r>
        <w:rPr>
          <w:lang w:val="de-DE"/>
        </w:rPr>
        <w:t xml:space="preserve"> </w:t>
      </w:r>
      <w:r>
        <w:rPr>
          <w:rFonts w:hint="eastAsia"/>
          <w:lang w:val="de-DE"/>
        </w:rPr>
        <w:t>H. Huber, a.a.O.(Fn. 16</w:t>
      </w:r>
      <w:r>
        <w:rPr>
          <w:rFonts w:hint="eastAsia"/>
          <w:lang w:val="de-DE"/>
        </w:rPr>
        <w:t>), S. 317, 319.</w:t>
      </w:r>
    </w:p>
  </w:footnote>
  <w:footnote w:id="45">
    <w:p w:rsidR="00000000" w:rsidRDefault="00FE56A9">
      <w:pPr>
        <w:pStyle w:val="a5"/>
        <w:rPr>
          <w:rFonts w:hAnsi="新細明體" w:hint="eastAsia"/>
          <w:lang w:val="de-DE"/>
        </w:rPr>
      </w:pPr>
      <w:r>
        <w:rPr>
          <w:rStyle w:val="a6"/>
        </w:rPr>
        <w:footnoteRef/>
      </w:r>
      <w:r>
        <w:rPr>
          <w:lang w:val="de-DE"/>
        </w:rPr>
        <w:t xml:space="preserve"> </w:t>
      </w:r>
      <w:r>
        <w:rPr>
          <w:rFonts w:hAnsi="新細明體" w:hint="eastAsia"/>
          <w:lang w:val="de-DE"/>
        </w:rPr>
        <w:t>G</w:t>
      </w:r>
      <w:r>
        <w:rPr>
          <w:lang w:val="de-DE"/>
        </w:rPr>
        <w:t>ü</w:t>
      </w:r>
      <w:r>
        <w:rPr>
          <w:rFonts w:hAnsi="新細明體" w:hint="eastAsia"/>
          <w:lang w:val="de-DE"/>
        </w:rPr>
        <w:t>nther P</w:t>
      </w:r>
      <w:r>
        <w:rPr>
          <w:lang w:val="de-DE"/>
        </w:rPr>
        <w:t>ü</w:t>
      </w:r>
      <w:r>
        <w:rPr>
          <w:rFonts w:hAnsi="新細明體" w:hint="eastAsia"/>
          <w:lang w:val="de-DE"/>
        </w:rPr>
        <w:t>ttner, Vertrauensschutz im Verwaltungsrecht, VVDStRL 32/1974, S. 202.</w:t>
      </w:r>
    </w:p>
  </w:footnote>
  <w:footnote w:id="46">
    <w:p w:rsidR="00000000" w:rsidRDefault="00FE56A9">
      <w:pPr>
        <w:pStyle w:val="a5"/>
        <w:rPr>
          <w:rFonts w:hint="eastAsia"/>
          <w:lang w:val="de-DE"/>
        </w:rPr>
      </w:pPr>
      <w:r>
        <w:rPr>
          <w:rStyle w:val="a6"/>
        </w:rPr>
        <w:footnoteRef/>
      </w:r>
      <w:r>
        <w:rPr>
          <w:lang w:val="de-DE"/>
        </w:rPr>
        <w:t xml:space="preserve"> </w:t>
      </w:r>
      <w:r>
        <w:rPr>
          <w:rFonts w:hAnsi="新細明體" w:hint="eastAsia"/>
          <w:lang w:val="de-DE"/>
        </w:rPr>
        <w:t>G</w:t>
      </w:r>
      <w:r>
        <w:rPr>
          <w:rFonts w:hint="eastAsia"/>
          <w:lang w:val="de-DE"/>
        </w:rPr>
        <w:t>.</w:t>
      </w:r>
      <w:r>
        <w:rPr>
          <w:rFonts w:hAnsi="新細明體" w:hint="eastAsia"/>
          <w:lang w:val="de-DE"/>
        </w:rPr>
        <w:t xml:space="preserve"> P</w:t>
      </w:r>
      <w:r>
        <w:rPr>
          <w:lang w:val="de-DE"/>
        </w:rPr>
        <w:t>ü</w:t>
      </w:r>
      <w:r>
        <w:rPr>
          <w:rFonts w:hAnsi="新細明體" w:hint="eastAsia"/>
          <w:lang w:val="de-DE"/>
        </w:rPr>
        <w:t>ttner, a.a.O.(Fn. 57), VVDStRL 32/1974, S. 203.</w:t>
      </w:r>
    </w:p>
  </w:footnote>
  <w:footnote w:id="47">
    <w:p w:rsidR="00000000" w:rsidRDefault="00FE56A9">
      <w:pPr>
        <w:pStyle w:val="a5"/>
        <w:rPr>
          <w:rFonts w:hint="eastAsia"/>
          <w:lang w:val="de-DE"/>
        </w:rPr>
      </w:pPr>
      <w:r>
        <w:rPr>
          <w:rStyle w:val="a6"/>
        </w:rPr>
        <w:footnoteRef/>
      </w:r>
      <w:r>
        <w:rPr>
          <w:lang w:val="de-DE"/>
        </w:rPr>
        <w:t xml:space="preserve"> </w:t>
      </w:r>
      <w:r>
        <w:rPr>
          <w:rFonts w:hint="eastAsia"/>
        </w:rPr>
        <w:t>類此的質疑</w:t>
      </w:r>
      <w:r>
        <w:rPr>
          <w:rFonts w:hint="eastAsia"/>
          <w:lang w:val="de-DE"/>
        </w:rPr>
        <w:t>：</w:t>
      </w:r>
      <w:r>
        <w:rPr>
          <w:rFonts w:hint="eastAsia"/>
          <w:lang w:val="de-DE"/>
        </w:rPr>
        <w:t>Ferdinand O. Kopp, Um eine neue Begr</w:t>
      </w:r>
      <w:r>
        <w:rPr>
          <w:lang w:val="de-DE"/>
        </w:rPr>
        <w:t>ü</w:t>
      </w:r>
      <w:r>
        <w:rPr>
          <w:rFonts w:hint="eastAsia"/>
          <w:lang w:val="de-DE"/>
        </w:rPr>
        <w:t xml:space="preserve">ndung des Grundsatzes des Vertraunesschutzes im </w:t>
      </w:r>
      <w:r>
        <w:rPr>
          <w:lang w:val="de-DE"/>
        </w:rPr>
        <w:t>ö</w:t>
      </w:r>
      <w:r>
        <w:rPr>
          <w:rFonts w:hint="eastAsia"/>
          <w:lang w:val="de-DE"/>
        </w:rPr>
        <w:t>ffentlichen Rceht, BayVBl. 1980, S. 38; H. Maurer, a.a.O.(Fn. 17), Rn. 19.</w:t>
      </w:r>
    </w:p>
  </w:footnote>
  <w:footnote w:id="48">
    <w:p w:rsidR="00000000" w:rsidRDefault="00FE56A9">
      <w:pPr>
        <w:pStyle w:val="a5"/>
        <w:rPr>
          <w:rFonts w:hint="eastAsia"/>
          <w:lang w:val="de-DE"/>
        </w:rPr>
      </w:pPr>
      <w:r>
        <w:rPr>
          <w:rStyle w:val="a6"/>
        </w:rPr>
        <w:footnoteRef/>
      </w:r>
      <w:r>
        <w:rPr>
          <w:lang w:val="de-DE"/>
        </w:rPr>
        <w:t xml:space="preserve"> </w:t>
      </w:r>
      <w:r>
        <w:rPr>
          <w:rFonts w:hint="eastAsia"/>
        </w:rPr>
        <w:t>類此的質疑</w:t>
      </w:r>
      <w:r>
        <w:rPr>
          <w:rFonts w:hint="eastAsia"/>
          <w:lang w:val="de-DE"/>
        </w:rPr>
        <w:t>：</w:t>
      </w:r>
      <w:r>
        <w:rPr>
          <w:rFonts w:hint="eastAsia"/>
          <w:lang w:val="de-DE"/>
        </w:rPr>
        <w:t>F. O. Kopp, a.a.O.(Fn. 59), BayVBl. 1980, S. 39.</w:t>
      </w:r>
    </w:p>
  </w:footnote>
  <w:footnote w:id="49">
    <w:p w:rsidR="00000000" w:rsidRDefault="00FE56A9">
      <w:pPr>
        <w:pStyle w:val="a5"/>
        <w:rPr>
          <w:rFonts w:hint="eastAsia"/>
        </w:rPr>
      </w:pPr>
      <w:r>
        <w:rPr>
          <w:rStyle w:val="a6"/>
        </w:rPr>
        <w:footnoteRef/>
      </w:r>
      <w:r>
        <w:rPr>
          <w:lang w:val="de-DE"/>
        </w:rPr>
        <w:t xml:space="preserve"> </w:t>
      </w:r>
      <w:r>
        <w:rPr>
          <w:rFonts w:hint="eastAsia"/>
        </w:rPr>
        <w:t>比較正確的說法應該是</w:t>
      </w:r>
      <w:r>
        <w:rPr>
          <w:rFonts w:hint="eastAsia"/>
          <w:lang w:val="de-DE"/>
        </w:rPr>
        <w:t>，</w:t>
      </w:r>
      <w:r>
        <w:rPr>
          <w:rFonts w:hint="eastAsia"/>
        </w:rPr>
        <w:t>信賴保護原則並非「法律規則」</w:t>
      </w:r>
      <w:r>
        <w:rPr>
          <w:rFonts w:hint="eastAsia"/>
          <w:lang w:val="de-DE"/>
        </w:rPr>
        <w:t>（</w:t>
      </w:r>
      <w:r>
        <w:rPr>
          <w:rFonts w:hint="eastAsia"/>
          <w:lang w:val="de-DE"/>
        </w:rPr>
        <w:t>Rech</w:t>
      </w:r>
      <w:r>
        <w:rPr>
          <w:rFonts w:hint="eastAsia"/>
          <w:lang w:val="de-DE"/>
        </w:rPr>
        <w:t>tsregeln</w:t>
      </w:r>
      <w:r>
        <w:rPr>
          <w:rFonts w:hint="eastAsia"/>
          <w:lang w:val="de-DE"/>
        </w:rPr>
        <w:t>）</w:t>
      </w:r>
      <w:r>
        <w:rPr>
          <w:rFonts w:hint="eastAsia"/>
        </w:rPr>
        <w:t>。與「法律原則」</w:t>
      </w:r>
      <w:r>
        <w:rPr>
          <w:rFonts w:hint="eastAsia"/>
          <w:lang w:val="de-DE"/>
        </w:rPr>
        <w:t>（</w:t>
      </w:r>
      <w:r>
        <w:rPr>
          <w:rFonts w:hint="eastAsia"/>
          <w:lang w:val="de-DE"/>
        </w:rPr>
        <w:t>Rechtsgrundsatz, Rechtsprinzip</w:t>
      </w:r>
      <w:r>
        <w:rPr>
          <w:rFonts w:hint="eastAsia"/>
          <w:lang w:val="de-DE"/>
        </w:rPr>
        <w:t>）</w:t>
      </w:r>
      <w:r>
        <w:rPr>
          <w:rFonts w:hint="eastAsia"/>
        </w:rPr>
        <w:t>不同</w:t>
      </w:r>
      <w:r>
        <w:rPr>
          <w:rFonts w:hint="eastAsia"/>
          <w:lang w:val="de-DE"/>
        </w:rPr>
        <w:t>，</w:t>
      </w:r>
      <w:r>
        <w:rPr>
          <w:rFonts w:hint="eastAsia"/>
        </w:rPr>
        <w:t>法律</w:t>
      </w:r>
      <w:proofErr w:type="gramStart"/>
      <w:r>
        <w:rPr>
          <w:rFonts w:hint="eastAsia"/>
        </w:rPr>
        <w:t>規則意</w:t>
      </w:r>
      <w:proofErr w:type="gramEnd"/>
      <w:r>
        <w:rPr>
          <w:rFonts w:hint="eastAsia"/>
        </w:rPr>
        <w:t>指</w:t>
      </w:r>
      <w:r>
        <w:rPr>
          <w:rFonts w:hint="eastAsia"/>
          <w:lang w:val="de-DE"/>
        </w:rPr>
        <w:t>，</w:t>
      </w:r>
      <w:r>
        <w:rPr>
          <w:rFonts w:hint="eastAsia"/>
        </w:rPr>
        <w:t>法定構成要件與法律效果均相對確定</w:t>
      </w:r>
      <w:r>
        <w:rPr>
          <w:rFonts w:hint="eastAsia"/>
          <w:lang w:val="de-DE"/>
        </w:rPr>
        <w:t>，</w:t>
      </w:r>
      <w:r>
        <w:rPr>
          <w:rFonts w:hint="eastAsia"/>
        </w:rPr>
        <w:t>法律效果是否發生是全有全無的判斷。</w:t>
      </w:r>
      <w:proofErr w:type="gramStart"/>
      <w:r>
        <w:rPr>
          <w:rFonts w:hint="eastAsia"/>
        </w:rPr>
        <w:t>反之，</w:t>
      </w:r>
      <w:proofErr w:type="gramEnd"/>
      <w:r>
        <w:rPr>
          <w:rFonts w:hint="eastAsia"/>
        </w:rPr>
        <w:t>法律原則</w:t>
      </w:r>
      <w:proofErr w:type="gramStart"/>
      <w:r>
        <w:rPr>
          <w:rFonts w:hint="eastAsia"/>
        </w:rPr>
        <w:t>則</w:t>
      </w:r>
      <w:proofErr w:type="gramEnd"/>
      <w:r>
        <w:rPr>
          <w:rFonts w:hint="eastAsia"/>
        </w:rPr>
        <w:t>是考量相關事實、規範情境，</w:t>
      </w:r>
      <w:proofErr w:type="gramStart"/>
      <w:r>
        <w:rPr>
          <w:rFonts w:hint="eastAsia"/>
        </w:rPr>
        <w:t>儘</w:t>
      </w:r>
      <w:proofErr w:type="gramEnd"/>
      <w:r>
        <w:rPr>
          <w:rFonts w:hint="eastAsia"/>
        </w:rPr>
        <w:t>可能求其實現的「最佳化命令」。</w:t>
      </w:r>
      <w:r>
        <w:rPr>
          <w:rFonts w:hint="eastAsia"/>
          <w:color w:val="000000"/>
        </w:rPr>
        <w:t>就此參見：陳愛娥，</w:t>
      </w:r>
      <w:r>
        <w:rPr>
          <w:color w:val="000000"/>
        </w:rPr>
        <w:t>&lt;</w:t>
      </w:r>
      <w:r>
        <w:rPr>
          <w:rFonts w:hint="eastAsia"/>
          <w:color w:val="000000"/>
        </w:rPr>
        <w:t>「法律原則」作為行政法的法源</w:t>
      </w:r>
      <w:r>
        <w:rPr>
          <w:color w:val="000000"/>
        </w:rPr>
        <w:t>&gt;</w:t>
      </w:r>
      <w:r>
        <w:rPr>
          <w:rFonts w:hint="eastAsia"/>
          <w:color w:val="000000"/>
        </w:rPr>
        <w:t>，</w:t>
      </w:r>
      <w:r>
        <w:rPr>
          <w:color w:val="000000"/>
        </w:rPr>
        <w:t>«</w:t>
      </w:r>
      <w:r>
        <w:rPr>
          <w:rFonts w:hint="eastAsia"/>
          <w:color w:val="000000"/>
        </w:rPr>
        <w:t>憲法體制與法治行政</w:t>
      </w:r>
      <w:r>
        <w:rPr>
          <w:rFonts w:ascii="新細明體" w:hAnsi="新細明體" w:hint="eastAsia"/>
          <w:color w:val="000000"/>
        </w:rPr>
        <w:t>―城仲模教授六秩華誕祝壽論文集（二）</w:t>
      </w:r>
      <w:r>
        <w:rPr>
          <w:color w:val="000000"/>
        </w:rPr>
        <w:t>»</w:t>
      </w:r>
      <w:r>
        <w:rPr>
          <w:rFonts w:hint="eastAsia"/>
          <w:color w:val="000000"/>
        </w:rPr>
        <w:t>，</w:t>
      </w:r>
      <w:r>
        <w:rPr>
          <w:rFonts w:hint="eastAsia"/>
          <w:color w:val="000000"/>
        </w:rPr>
        <w:t>1998</w:t>
      </w:r>
      <w:r>
        <w:rPr>
          <w:rFonts w:hint="eastAsia"/>
          <w:color w:val="000000"/>
        </w:rPr>
        <w:t>，頁</w:t>
      </w:r>
      <w:r>
        <w:rPr>
          <w:rFonts w:hint="eastAsia"/>
          <w:color w:val="000000"/>
        </w:rPr>
        <w:t>48-49</w:t>
      </w:r>
      <w:r>
        <w:rPr>
          <w:rFonts w:hint="eastAsia"/>
          <w:color w:val="000000"/>
        </w:rPr>
        <w:t>。</w:t>
      </w:r>
    </w:p>
  </w:footnote>
  <w:footnote w:id="50">
    <w:p w:rsidR="00000000" w:rsidRDefault="00FE56A9">
      <w:pPr>
        <w:pStyle w:val="a5"/>
        <w:rPr>
          <w:rFonts w:hint="eastAsia"/>
          <w:lang w:val="de-DE"/>
        </w:rPr>
      </w:pPr>
      <w:r>
        <w:rPr>
          <w:rStyle w:val="a6"/>
        </w:rPr>
        <w:footnoteRef/>
      </w:r>
      <w:r>
        <w:rPr>
          <w:lang w:val="de-DE"/>
        </w:rPr>
        <w:t xml:space="preserve"> </w:t>
      </w:r>
      <w:r>
        <w:rPr>
          <w:rFonts w:hAnsi="新細明體" w:hint="eastAsia"/>
          <w:lang w:val="de-DE"/>
        </w:rPr>
        <w:t>Volkmar G</w:t>
      </w:r>
      <w:r>
        <w:rPr>
          <w:lang w:val="de-DE"/>
        </w:rPr>
        <w:t>ö</w:t>
      </w:r>
      <w:r>
        <w:rPr>
          <w:rFonts w:hAnsi="新細明體" w:hint="eastAsia"/>
          <w:lang w:val="de-DE"/>
        </w:rPr>
        <w:t>tz, Bundesverfassungsgericht und Vertrauenssc</w:t>
      </w:r>
      <w:r>
        <w:rPr>
          <w:rFonts w:hAnsi="新細明體" w:hint="eastAsia"/>
          <w:lang w:val="de-DE"/>
        </w:rPr>
        <w:t xml:space="preserve">hutz, in: Christian Starck(Hg.), Bundesverfassungsgericht und Grundgesetz </w:t>
      </w:r>
      <w:r>
        <w:rPr>
          <w:rFonts w:hAnsi="新細明體"/>
          <w:lang w:val="de-DE"/>
        </w:rPr>
        <w:t>–</w:t>
      </w:r>
      <w:r>
        <w:rPr>
          <w:rFonts w:hAnsi="新細明體" w:hint="eastAsia"/>
          <w:lang w:val="de-DE"/>
        </w:rPr>
        <w:t xml:space="preserve"> Festgabe aus Anla</w:t>
      </w:r>
      <w:r>
        <w:rPr>
          <w:lang w:val="de-DE"/>
        </w:rPr>
        <w:t>ß</w:t>
      </w:r>
      <w:r>
        <w:rPr>
          <w:rFonts w:hAnsi="新細明體" w:hint="eastAsia"/>
          <w:lang w:val="de-DE"/>
        </w:rPr>
        <w:t xml:space="preserve"> des 25j</w:t>
      </w:r>
      <w:r>
        <w:rPr>
          <w:lang w:val="de-DE"/>
        </w:rPr>
        <w:t>ä</w:t>
      </w:r>
      <w:r>
        <w:rPr>
          <w:rFonts w:hAnsi="新細明體" w:hint="eastAsia"/>
          <w:lang w:val="de-DE"/>
        </w:rPr>
        <w:t>hrigen Bestehens des Bundesverfassungsgerichts, 2. Bd., 1976, S. 422.</w:t>
      </w:r>
    </w:p>
  </w:footnote>
  <w:footnote w:id="51">
    <w:p w:rsidR="00000000" w:rsidRDefault="00FE56A9">
      <w:pPr>
        <w:pStyle w:val="a5"/>
        <w:rPr>
          <w:rFonts w:hint="eastAsia"/>
          <w:lang w:val="de-DE"/>
        </w:rPr>
      </w:pPr>
      <w:r>
        <w:rPr>
          <w:rStyle w:val="a6"/>
        </w:rPr>
        <w:footnoteRef/>
      </w:r>
      <w:r>
        <w:rPr>
          <w:lang w:val="de-DE"/>
        </w:rPr>
        <w:t xml:space="preserve"> </w:t>
      </w:r>
      <w:r>
        <w:rPr>
          <w:rFonts w:hint="eastAsia"/>
          <w:lang w:val="de-DE"/>
        </w:rPr>
        <w:t>BVerfGE 13, 261/271.</w:t>
      </w:r>
    </w:p>
  </w:footnote>
  <w:footnote w:id="52">
    <w:p w:rsidR="00000000" w:rsidRDefault="00FE56A9">
      <w:pPr>
        <w:pStyle w:val="a5"/>
        <w:rPr>
          <w:rFonts w:hint="eastAsia"/>
          <w:lang w:val="de-DE"/>
        </w:rPr>
      </w:pPr>
      <w:r>
        <w:rPr>
          <w:rStyle w:val="a6"/>
        </w:rPr>
        <w:footnoteRef/>
      </w:r>
      <w:r>
        <w:rPr>
          <w:lang w:val="de-DE"/>
        </w:rPr>
        <w:t xml:space="preserve"> </w:t>
      </w:r>
      <w:r>
        <w:rPr>
          <w:rFonts w:hAnsi="新細明體" w:hint="eastAsia"/>
          <w:lang w:val="de-DE"/>
        </w:rPr>
        <w:t>Ph. Kunig, a.a.O.(Fn. 19), S. 440.</w:t>
      </w:r>
    </w:p>
  </w:footnote>
  <w:footnote w:id="53">
    <w:p w:rsidR="00000000" w:rsidRDefault="00FE56A9">
      <w:pPr>
        <w:pStyle w:val="a5"/>
        <w:rPr>
          <w:rFonts w:hint="eastAsia"/>
          <w:lang w:val="de-DE"/>
        </w:rPr>
      </w:pPr>
      <w:r>
        <w:rPr>
          <w:rStyle w:val="a6"/>
        </w:rPr>
        <w:footnoteRef/>
      </w:r>
      <w:r>
        <w:rPr>
          <w:lang w:val="de-DE"/>
        </w:rPr>
        <w:t xml:space="preserve"> </w:t>
      </w:r>
      <w:r>
        <w:rPr>
          <w:rFonts w:hint="eastAsia"/>
          <w:lang w:val="de-DE"/>
        </w:rPr>
        <w:t>H. Maurer, a.a.O.(Fn.</w:t>
      </w:r>
      <w:r>
        <w:rPr>
          <w:rFonts w:hint="eastAsia"/>
          <w:lang w:val="de-DE"/>
        </w:rPr>
        <w:t xml:space="preserve"> 17), Rn. 3.</w:t>
      </w:r>
    </w:p>
  </w:footnote>
  <w:footnote w:id="54">
    <w:p w:rsidR="00000000" w:rsidRDefault="00FE56A9">
      <w:pPr>
        <w:pStyle w:val="a5"/>
        <w:rPr>
          <w:rFonts w:hint="eastAsia"/>
          <w:lang w:val="de-DE"/>
        </w:rPr>
      </w:pPr>
      <w:r>
        <w:rPr>
          <w:rStyle w:val="a6"/>
        </w:rPr>
        <w:footnoteRef/>
      </w:r>
      <w:r>
        <w:rPr>
          <w:lang w:val="de-DE"/>
        </w:rPr>
        <w:t xml:space="preserve"> </w:t>
      </w:r>
      <w:r>
        <w:rPr>
          <w:lang w:val="de-DE"/>
        </w:rPr>
        <w:t>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 xml:space="preserve">V 1972, S. 27-28. </w:t>
      </w:r>
      <w:r>
        <w:rPr>
          <w:rFonts w:hint="eastAsia"/>
        </w:rPr>
        <w:t>類此</w:t>
      </w:r>
      <w:r>
        <w:rPr>
          <w:rFonts w:hint="eastAsia"/>
          <w:lang w:val="de-DE"/>
        </w:rPr>
        <w:t>：</w:t>
      </w:r>
      <w:r>
        <w:rPr>
          <w:rFonts w:hAnsi="新細明體" w:hint="eastAsia"/>
          <w:lang w:val="de-DE"/>
        </w:rPr>
        <w:t>V. G</w:t>
      </w:r>
      <w:r>
        <w:rPr>
          <w:lang w:val="de-DE"/>
        </w:rPr>
        <w:t>ö</w:t>
      </w:r>
      <w:r>
        <w:rPr>
          <w:rFonts w:hAnsi="新細明體" w:hint="eastAsia"/>
          <w:lang w:val="de-DE"/>
        </w:rPr>
        <w:t xml:space="preserve">tz,a.a.O.(Fn. 62), </w:t>
      </w:r>
      <w:r>
        <w:rPr>
          <w:rFonts w:hint="eastAsia"/>
          <w:lang w:val="de-DE"/>
        </w:rPr>
        <w:t>S. 423.</w:t>
      </w:r>
    </w:p>
  </w:footnote>
  <w:footnote w:id="55">
    <w:p w:rsidR="00000000" w:rsidRDefault="00FE56A9">
      <w:pPr>
        <w:pStyle w:val="a5"/>
        <w:rPr>
          <w:rFonts w:hint="eastAsia"/>
          <w:lang w:val="de-DE"/>
        </w:rPr>
      </w:pPr>
      <w:r>
        <w:rPr>
          <w:rStyle w:val="a6"/>
        </w:rPr>
        <w:footnoteRef/>
      </w:r>
      <w:r>
        <w:rPr>
          <w:lang w:val="de-DE"/>
        </w:rPr>
        <w:t xml:space="preserve"> </w:t>
      </w:r>
      <w:r>
        <w:rPr>
          <w:rFonts w:hint="eastAsia"/>
        </w:rPr>
        <w:t>其大抵均分別探討對立法、行政與司法的信賴保護</w:t>
      </w:r>
      <w:r>
        <w:rPr>
          <w:rFonts w:hint="eastAsia"/>
          <w:lang w:val="de-DE"/>
        </w:rPr>
        <w:t>；</w:t>
      </w:r>
      <w:r>
        <w:rPr>
          <w:rFonts w:hint="eastAsia"/>
        </w:rPr>
        <w:t>例如</w:t>
      </w:r>
      <w:r>
        <w:rPr>
          <w:rFonts w:hint="eastAsia"/>
          <w:lang w:val="de-DE"/>
        </w:rPr>
        <w:t>：</w:t>
      </w:r>
      <w:r>
        <w:rPr>
          <w:rFonts w:hint="eastAsia"/>
          <w:lang w:val="de-DE"/>
        </w:rPr>
        <w:t>H. Maurer, a.a.O.(Fn. 17), Rn. 10ff.</w:t>
      </w:r>
    </w:p>
  </w:footnote>
  <w:footnote w:id="56">
    <w:p w:rsidR="00000000" w:rsidRDefault="00FE56A9">
      <w:pPr>
        <w:pStyle w:val="a5"/>
        <w:rPr>
          <w:rFonts w:hint="eastAsia"/>
          <w:lang w:val="de-DE"/>
        </w:rPr>
      </w:pPr>
      <w:r>
        <w:rPr>
          <w:rStyle w:val="a6"/>
        </w:rPr>
        <w:footnoteRef/>
      </w:r>
      <w:r>
        <w:rPr>
          <w:lang w:val="de-DE"/>
        </w:rPr>
        <w:t xml:space="preserve"> </w:t>
      </w:r>
      <w:r>
        <w:rPr>
          <w:rFonts w:hint="eastAsia"/>
          <w:lang w:val="de-DE"/>
        </w:rPr>
        <w:t>E. Grabitz, a.a.O.(Fn. 55), DVBl. 1973, S. 682, 683.</w:t>
      </w:r>
    </w:p>
  </w:footnote>
  <w:footnote w:id="57">
    <w:p w:rsidR="00000000" w:rsidRDefault="00FE56A9">
      <w:pPr>
        <w:pStyle w:val="a5"/>
        <w:rPr>
          <w:rFonts w:hint="eastAsia"/>
          <w:lang w:val="de-DE"/>
        </w:rPr>
      </w:pPr>
      <w:r>
        <w:rPr>
          <w:rStyle w:val="a6"/>
        </w:rPr>
        <w:footnoteRef/>
      </w:r>
      <w:r>
        <w:rPr>
          <w:lang w:val="de-DE"/>
        </w:rPr>
        <w:t xml:space="preserve"> </w:t>
      </w:r>
      <w:r>
        <w:rPr>
          <w:rFonts w:hint="eastAsia"/>
        </w:rPr>
        <w:t>參見釋字第</w:t>
      </w:r>
      <w:r>
        <w:rPr>
          <w:rFonts w:hint="eastAsia"/>
          <w:lang w:val="de-DE"/>
        </w:rPr>
        <w:t>525</w:t>
      </w:r>
      <w:r>
        <w:rPr>
          <w:rFonts w:hint="eastAsia"/>
        </w:rPr>
        <w:t>號解釋。</w:t>
      </w:r>
    </w:p>
  </w:footnote>
  <w:footnote w:id="58">
    <w:p w:rsidR="00000000" w:rsidRDefault="00FE56A9">
      <w:pPr>
        <w:pStyle w:val="a5"/>
        <w:rPr>
          <w:rFonts w:hint="eastAsia"/>
          <w:lang w:val="de-DE"/>
        </w:rPr>
      </w:pPr>
      <w:r>
        <w:rPr>
          <w:rStyle w:val="a6"/>
        </w:rPr>
        <w:footnoteRef/>
      </w:r>
      <w:r>
        <w:rPr>
          <w:lang w:val="de-DE"/>
        </w:rPr>
        <w:t xml:space="preserve"> </w:t>
      </w:r>
      <w:r>
        <w:rPr>
          <w:rFonts w:hint="eastAsia"/>
        </w:rPr>
        <w:t>參照我國行政程序法第</w:t>
      </w:r>
      <w:r>
        <w:rPr>
          <w:rFonts w:hint="eastAsia"/>
          <w:lang w:val="de-DE"/>
        </w:rPr>
        <w:t>159</w:t>
      </w:r>
      <w:r>
        <w:rPr>
          <w:rFonts w:hint="eastAsia"/>
        </w:rPr>
        <w:t>條第</w:t>
      </w:r>
      <w:r>
        <w:rPr>
          <w:rFonts w:hint="eastAsia"/>
          <w:lang w:val="de-DE"/>
        </w:rPr>
        <w:t>1</w:t>
      </w:r>
      <w:r>
        <w:rPr>
          <w:rFonts w:hint="eastAsia"/>
        </w:rPr>
        <w:t>項。</w:t>
      </w:r>
    </w:p>
  </w:footnote>
  <w:footnote w:id="59">
    <w:p w:rsidR="00000000" w:rsidRDefault="00FE56A9">
      <w:pPr>
        <w:pStyle w:val="a5"/>
        <w:rPr>
          <w:rFonts w:hint="eastAsia"/>
        </w:rPr>
      </w:pPr>
      <w:r>
        <w:rPr>
          <w:rStyle w:val="a6"/>
        </w:rPr>
        <w:footnoteRef/>
      </w:r>
      <w:r>
        <w:rPr>
          <w:lang w:val="de-DE"/>
        </w:rPr>
        <w:t xml:space="preserve"> </w:t>
      </w:r>
      <w:r>
        <w:rPr>
          <w:lang w:val="de-DE"/>
        </w:rPr>
        <w:t>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w:t>
      </w:r>
      <w:r>
        <w:rPr>
          <w:rFonts w:hint="eastAsia"/>
        </w:rPr>
        <w:t>2, S. 29.</w:t>
      </w:r>
    </w:p>
  </w:footnote>
  <w:footnote w:id="60">
    <w:p w:rsidR="00000000" w:rsidRDefault="00FE56A9">
      <w:pPr>
        <w:pStyle w:val="a5"/>
        <w:rPr>
          <w:rFonts w:hint="eastAsia"/>
          <w:lang w:val="de-DE"/>
        </w:rPr>
      </w:pPr>
      <w:r>
        <w:rPr>
          <w:rStyle w:val="a6"/>
        </w:rPr>
        <w:footnoteRef/>
      </w:r>
      <w:r>
        <w:rPr>
          <w:lang w:val="de-DE"/>
        </w:rPr>
        <w:t xml:space="preserve"> </w:t>
      </w:r>
      <w:r>
        <w:rPr>
          <w:rFonts w:hint="eastAsia"/>
          <w:lang w:val="de-DE"/>
        </w:rPr>
        <w:t>Walter Schmid</w:t>
      </w:r>
      <w:r>
        <w:rPr>
          <w:rFonts w:hint="eastAsia"/>
          <w:lang w:val="de-DE"/>
        </w:rPr>
        <w:t xml:space="preserve">t, </w:t>
      </w:r>
      <w:r>
        <w:rPr>
          <w:lang w:val="de-DE"/>
        </w:rPr>
        <w:t>“</w:t>
      </w:r>
      <w:r>
        <w:rPr>
          <w:rFonts w:hint="eastAsia"/>
          <w:lang w:val="de-DE"/>
        </w:rPr>
        <w:t>Vertrauensschutz</w:t>
      </w:r>
      <w:r>
        <w:rPr>
          <w:lang w:val="de-DE"/>
        </w:rPr>
        <w:t>”</w:t>
      </w:r>
      <w:r>
        <w:rPr>
          <w:rFonts w:hint="eastAsia"/>
          <w:lang w:val="de-DE"/>
        </w:rPr>
        <w:t xml:space="preserve"> im </w:t>
      </w:r>
      <w:r>
        <w:rPr>
          <w:lang w:val="de-DE"/>
        </w:rPr>
        <w:t>ö</w:t>
      </w:r>
      <w:r>
        <w:rPr>
          <w:rFonts w:hint="eastAsia"/>
          <w:lang w:val="de-DE"/>
        </w:rPr>
        <w:t xml:space="preserve">ffentlichen Recht </w:t>
      </w:r>
      <w:r>
        <w:rPr>
          <w:lang w:val="de-DE"/>
        </w:rPr>
        <w:t>–</w:t>
      </w:r>
      <w:r>
        <w:rPr>
          <w:rFonts w:hint="eastAsia"/>
          <w:lang w:val="de-DE"/>
        </w:rPr>
        <w:t xml:space="preserve"> Randpositionen des Eigentums im sp</w:t>
      </w:r>
      <w:r>
        <w:rPr>
          <w:lang w:val="de-DE"/>
        </w:rPr>
        <w:t>ä</w:t>
      </w:r>
      <w:r>
        <w:rPr>
          <w:rFonts w:hint="eastAsia"/>
          <w:lang w:val="de-DE"/>
        </w:rPr>
        <w:t>tb</w:t>
      </w:r>
      <w:r>
        <w:rPr>
          <w:lang w:val="de-DE"/>
        </w:rPr>
        <w:t>ü</w:t>
      </w:r>
      <w:r>
        <w:rPr>
          <w:rFonts w:hint="eastAsia"/>
          <w:lang w:val="de-DE"/>
        </w:rPr>
        <w:t>rgerlichen Rechtsstaat, JuS 1973, S. 530.</w:t>
      </w:r>
    </w:p>
  </w:footnote>
  <w:footnote w:id="61">
    <w:p w:rsidR="00000000" w:rsidRDefault="00FE56A9">
      <w:pPr>
        <w:pStyle w:val="a5"/>
        <w:rPr>
          <w:rFonts w:hint="eastAsia"/>
          <w:lang w:val="de-DE"/>
        </w:rPr>
      </w:pPr>
      <w:r>
        <w:rPr>
          <w:rStyle w:val="a6"/>
        </w:rPr>
        <w:footnoteRef/>
      </w:r>
      <w:r>
        <w:rPr>
          <w:lang w:val="de-DE"/>
        </w:rPr>
        <w:t xml:space="preserve"> </w:t>
      </w:r>
      <w:r>
        <w:rPr>
          <w:rFonts w:hint="eastAsia"/>
          <w:lang w:val="de-DE"/>
        </w:rPr>
        <w:t>BVerfGE 11, 139/145f.</w:t>
      </w:r>
    </w:p>
  </w:footnote>
  <w:footnote w:id="62">
    <w:p w:rsidR="00000000" w:rsidRDefault="00FE56A9">
      <w:pPr>
        <w:pStyle w:val="a5"/>
        <w:rPr>
          <w:rFonts w:hint="eastAsia"/>
          <w:lang w:val="de-DE"/>
        </w:rPr>
      </w:pPr>
      <w:r>
        <w:rPr>
          <w:rStyle w:val="a6"/>
        </w:rPr>
        <w:footnoteRef/>
      </w:r>
      <w:r>
        <w:rPr>
          <w:lang w:val="de-DE"/>
        </w:rPr>
        <w:t xml:space="preserve"> </w:t>
      </w:r>
      <w:r>
        <w:rPr>
          <w:rFonts w:hint="eastAsia"/>
          <w:lang w:val="de-DE"/>
        </w:rPr>
        <w:t xml:space="preserve">BVerfGE 13, 261/271-272. </w:t>
      </w:r>
      <w:r>
        <w:rPr>
          <w:rFonts w:hint="eastAsia"/>
        </w:rPr>
        <w:t>聯邦憲法法院嗣後又追加第五種例外許可溯及的情形</w:t>
      </w:r>
      <w:proofErr w:type="gramStart"/>
      <w:r>
        <w:rPr>
          <w:rFonts w:ascii="新細明體" w:hAnsi="新細明體" w:hint="eastAsia"/>
          <w:lang w:val="de-DE"/>
        </w:rPr>
        <w:t>―</w:t>
      </w:r>
      <w:proofErr w:type="gramEnd"/>
      <w:r>
        <w:rPr>
          <w:rFonts w:hint="eastAsia"/>
        </w:rPr>
        <w:t>假使法律的溯及變更未曾導致損害</w:t>
      </w:r>
      <w:r>
        <w:rPr>
          <w:rFonts w:hint="eastAsia"/>
          <w:lang w:val="de-DE"/>
        </w:rPr>
        <w:t>，</w:t>
      </w:r>
      <w:r>
        <w:rPr>
          <w:rFonts w:hint="eastAsia"/>
        </w:rPr>
        <w:t>或所導致的損害「絕難認為嚴重」</w:t>
      </w:r>
      <w:r>
        <w:rPr>
          <w:rFonts w:hint="eastAsia"/>
          <w:lang w:val="de-DE"/>
        </w:rPr>
        <w:t>（</w:t>
      </w:r>
      <w:r>
        <w:rPr>
          <w:rFonts w:hint="eastAsia"/>
          <w:lang w:val="de-DE"/>
        </w:rPr>
        <w:t>ganz unerheblicher Scha</w:t>
      </w:r>
      <w:r>
        <w:rPr>
          <w:rFonts w:hint="eastAsia"/>
          <w:lang w:val="de-DE"/>
        </w:rPr>
        <w:t>den</w:t>
      </w:r>
      <w:r>
        <w:rPr>
          <w:rFonts w:hint="eastAsia"/>
          <w:lang w:val="de-DE"/>
        </w:rPr>
        <w:t>）</w:t>
      </w:r>
      <w:r>
        <w:rPr>
          <w:rFonts w:hint="eastAsia"/>
        </w:rPr>
        <w:t>的話</w:t>
      </w:r>
      <w:r>
        <w:rPr>
          <w:rFonts w:hint="eastAsia"/>
          <w:lang w:val="de-DE"/>
        </w:rPr>
        <w:t>：</w:t>
      </w:r>
      <w:r>
        <w:rPr>
          <w:rFonts w:hint="eastAsia"/>
          <w:lang w:val="de-DE"/>
        </w:rPr>
        <w:t>BVerfGE 30, 367/389.</w:t>
      </w:r>
    </w:p>
  </w:footnote>
  <w:footnote w:id="63">
    <w:p w:rsidR="00000000" w:rsidRDefault="00FE56A9">
      <w:pPr>
        <w:pStyle w:val="a5"/>
        <w:rPr>
          <w:rFonts w:hint="eastAsia"/>
          <w:lang w:val="de-DE"/>
        </w:rPr>
      </w:pPr>
      <w:r>
        <w:rPr>
          <w:rStyle w:val="a6"/>
        </w:rPr>
        <w:footnoteRef/>
      </w:r>
      <w:r>
        <w:rPr>
          <w:lang w:val="de-DE"/>
        </w:rPr>
        <w:t xml:space="preserve"> </w:t>
      </w:r>
      <w:r>
        <w:rPr>
          <w:rFonts w:hint="eastAsia"/>
          <w:lang w:val="de-DE"/>
        </w:rPr>
        <w:t xml:space="preserve">Klaus Stern, Das Staatsrecht der Bundesrepublik Deutschland, Bd. I, 2. Aufl., 1984, S. 835-836. </w:t>
      </w:r>
      <w:r>
        <w:rPr>
          <w:rFonts w:hint="eastAsia"/>
        </w:rPr>
        <w:t>類此的質疑</w:t>
      </w:r>
      <w:r>
        <w:rPr>
          <w:rFonts w:hint="eastAsia"/>
          <w:lang w:val="de-DE"/>
        </w:rPr>
        <w:t>：</w:t>
      </w:r>
      <w:r>
        <w:rPr>
          <w:rFonts w:hint="eastAsia"/>
          <w:lang w:val="de-DE"/>
        </w:rPr>
        <w:t>Klaus Vogel, Rechtssicherheit und R</w:t>
      </w:r>
      <w:r>
        <w:rPr>
          <w:lang w:val="de-DE"/>
        </w:rPr>
        <w:t>ü</w:t>
      </w:r>
      <w:r>
        <w:rPr>
          <w:rFonts w:hint="eastAsia"/>
          <w:lang w:val="de-DE"/>
        </w:rPr>
        <w:t>ckwirkung zwischen Vernunftrecht und Verfassungsrecht, JZ 1988, S. 837.</w:t>
      </w:r>
    </w:p>
  </w:footnote>
  <w:footnote w:id="64">
    <w:p w:rsidR="00000000" w:rsidRDefault="00FE56A9">
      <w:pPr>
        <w:pStyle w:val="a5"/>
        <w:rPr>
          <w:rFonts w:hint="eastAsia"/>
          <w:lang w:val="de-DE"/>
        </w:rPr>
      </w:pPr>
      <w:r>
        <w:rPr>
          <w:rStyle w:val="a6"/>
        </w:rPr>
        <w:footnoteRef/>
      </w:r>
      <w:r>
        <w:rPr>
          <w:lang w:val="de-DE"/>
        </w:rPr>
        <w:t xml:space="preserve"> </w:t>
      </w:r>
      <w:r>
        <w:rPr>
          <w:rFonts w:hint="eastAsia"/>
          <w:lang w:val="de-DE"/>
        </w:rPr>
        <w:t>E. Grabitz, a.</w:t>
      </w:r>
      <w:r>
        <w:rPr>
          <w:rFonts w:hint="eastAsia"/>
          <w:lang w:val="de-DE"/>
        </w:rPr>
        <w:t>a.O.(Fn. 55), DVBl. 1973, S. 677.</w:t>
      </w:r>
    </w:p>
  </w:footnote>
  <w:footnote w:id="65">
    <w:p w:rsidR="00000000" w:rsidRDefault="00FE56A9">
      <w:pPr>
        <w:pStyle w:val="a5"/>
        <w:rPr>
          <w:rFonts w:hint="eastAsia"/>
        </w:rPr>
      </w:pPr>
      <w:r>
        <w:rPr>
          <w:rStyle w:val="a6"/>
        </w:rPr>
        <w:footnoteRef/>
      </w:r>
      <w:r>
        <w:t xml:space="preserve"> </w:t>
      </w:r>
      <w:r>
        <w:rPr>
          <w:rFonts w:hint="eastAsia"/>
        </w:rPr>
        <w:t>其基礎事實：</w:t>
      </w:r>
      <w:r>
        <w:rPr>
          <w:rFonts w:hint="eastAsia"/>
        </w:rPr>
        <w:t>1959</w:t>
      </w:r>
      <w:r>
        <w:rPr>
          <w:rFonts w:hint="eastAsia"/>
        </w:rPr>
        <w:t>年的柏林協助法（</w:t>
      </w:r>
      <w:r>
        <w:rPr>
          <w:rFonts w:hint="eastAsia"/>
        </w:rPr>
        <w:t>Berlinhilfegesetz</w:t>
      </w:r>
      <w:r>
        <w:rPr>
          <w:rFonts w:hint="eastAsia"/>
        </w:rPr>
        <w:t>）第</w:t>
      </w:r>
      <w:r>
        <w:rPr>
          <w:rFonts w:hint="eastAsia"/>
        </w:rPr>
        <w:t>15</w:t>
      </w:r>
      <w:r>
        <w:rPr>
          <w:rFonts w:hint="eastAsia"/>
        </w:rPr>
        <w:t>條第</w:t>
      </w:r>
      <w:r>
        <w:rPr>
          <w:rFonts w:hint="eastAsia"/>
        </w:rPr>
        <w:t>2</w:t>
      </w:r>
      <w:r>
        <w:rPr>
          <w:rFonts w:hint="eastAsia"/>
        </w:rPr>
        <w:t>項規定免除五年的營業稅，但在到期前兩年，修法將免除稅額限於營業額的三分之一。關於柏林協助法的案例事實，張文郁教授有詳細的說明請參見：張文郁，</w:t>
      </w:r>
      <w:r>
        <w:t>&lt;</w:t>
      </w:r>
      <w:r>
        <w:rPr>
          <w:rFonts w:hint="eastAsia"/>
        </w:rPr>
        <w:t>限時法和</w:t>
      </w:r>
      <w:proofErr w:type="gramStart"/>
      <w:r>
        <w:rPr>
          <w:rFonts w:hint="eastAsia"/>
        </w:rPr>
        <w:t>法律之溯及</w:t>
      </w:r>
      <w:proofErr w:type="gramEnd"/>
      <w:r>
        <w:rPr>
          <w:rFonts w:hint="eastAsia"/>
        </w:rPr>
        <w:t>既往</w:t>
      </w:r>
      <w:r>
        <w:t>&gt;</w:t>
      </w:r>
      <w:r>
        <w:rPr>
          <w:rFonts w:hint="eastAsia"/>
        </w:rPr>
        <w:t>，</w:t>
      </w:r>
      <w:r>
        <w:t>«</w:t>
      </w:r>
      <w:r>
        <w:rPr>
          <w:rFonts w:hint="eastAsia"/>
        </w:rPr>
        <w:t>台灣本土法學第</w:t>
      </w:r>
      <w:r>
        <w:rPr>
          <w:rFonts w:hint="eastAsia"/>
        </w:rPr>
        <w:t>46</w:t>
      </w:r>
      <w:r>
        <w:rPr>
          <w:rFonts w:hint="eastAsia"/>
        </w:rPr>
        <w:t>期</w:t>
      </w:r>
      <w:r>
        <w:t>»</w:t>
      </w:r>
      <w:r>
        <w:rPr>
          <w:rFonts w:hint="eastAsia"/>
        </w:rPr>
        <w:t>，</w:t>
      </w:r>
      <w:r>
        <w:rPr>
          <w:rFonts w:hint="eastAsia"/>
        </w:rPr>
        <w:t>2003/5</w:t>
      </w:r>
      <w:r>
        <w:rPr>
          <w:rFonts w:hint="eastAsia"/>
        </w:rPr>
        <w:t>，頁</w:t>
      </w:r>
      <w:r>
        <w:rPr>
          <w:rFonts w:hint="eastAsia"/>
        </w:rPr>
        <w:t>157-159</w:t>
      </w:r>
      <w:r>
        <w:rPr>
          <w:rFonts w:hint="eastAsia"/>
        </w:rPr>
        <w:t>。</w:t>
      </w:r>
    </w:p>
  </w:footnote>
  <w:footnote w:id="66">
    <w:p w:rsidR="00000000" w:rsidRDefault="00FE56A9">
      <w:pPr>
        <w:pStyle w:val="a5"/>
        <w:rPr>
          <w:rFonts w:hint="eastAsia"/>
        </w:rPr>
      </w:pPr>
      <w:r>
        <w:rPr>
          <w:rStyle w:val="a6"/>
        </w:rPr>
        <w:footnoteRef/>
      </w:r>
      <w:r>
        <w:t xml:space="preserve"> </w:t>
      </w:r>
      <w:r>
        <w:rPr>
          <w:rFonts w:hint="eastAsia"/>
        </w:rPr>
        <w:t>BVerfGE 13, 261/270.</w:t>
      </w:r>
    </w:p>
  </w:footnote>
  <w:footnote w:id="67">
    <w:p w:rsidR="00000000" w:rsidRDefault="00FE56A9">
      <w:pPr>
        <w:pStyle w:val="a5"/>
        <w:rPr>
          <w:rFonts w:hint="eastAsia"/>
        </w:rPr>
      </w:pPr>
      <w:r>
        <w:rPr>
          <w:rStyle w:val="a6"/>
        </w:rPr>
        <w:footnoteRef/>
      </w:r>
      <w:r>
        <w:t xml:space="preserve"> Fr</w:t>
      </w:r>
      <w:r>
        <w:rPr>
          <w:rFonts w:hint="eastAsia"/>
        </w:rPr>
        <w:t>.</w:t>
      </w:r>
      <w:r>
        <w:t xml:space="preserve"> Ossenbü</w:t>
      </w:r>
      <w:r>
        <w:rPr>
          <w:rFonts w:hint="eastAsia"/>
        </w:rPr>
        <w:t>hl, a.a.O</w:t>
      </w:r>
      <w:proofErr w:type="gramStart"/>
      <w:r>
        <w:rPr>
          <w:rFonts w:hint="eastAsia"/>
        </w:rPr>
        <w:t>.(</w:t>
      </w:r>
      <w:proofErr w:type="gramEnd"/>
      <w:r>
        <w:rPr>
          <w:rFonts w:hint="eastAsia"/>
        </w:rPr>
        <w:t>Fn. 51), D</w:t>
      </w:r>
      <w:r>
        <w:t>ö</w:t>
      </w:r>
      <w:r>
        <w:rPr>
          <w:rFonts w:hint="eastAsia"/>
        </w:rPr>
        <w:t>V 1972</w:t>
      </w:r>
      <w:r>
        <w:rPr>
          <w:rFonts w:hint="eastAsia"/>
        </w:rPr>
        <w:t>, S. 31-32.</w:t>
      </w:r>
    </w:p>
  </w:footnote>
  <w:footnote w:id="68">
    <w:p w:rsidR="00000000" w:rsidRDefault="00FE56A9">
      <w:pPr>
        <w:pStyle w:val="a5"/>
        <w:rPr>
          <w:rFonts w:hint="eastAsia"/>
        </w:rPr>
      </w:pPr>
      <w:r>
        <w:rPr>
          <w:rStyle w:val="a6"/>
        </w:rPr>
        <w:footnoteRef/>
      </w:r>
      <w:r>
        <w:t xml:space="preserve"> </w:t>
      </w:r>
      <w:r>
        <w:rPr>
          <w:rFonts w:hint="eastAsia"/>
        </w:rPr>
        <w:t>K. Vogel, a.a.O</w:t>
      </w:r>
      <w:proofErr w:type="gramStart"/>
      <w:r>
        <w:rPr>
          <w:rFonts w:hint="eastAsia"/>
        </w:rPr>
        <w:t>.(</w:t>
      </w:r>
      <w:proofErr w:type="gramEnd"/>
      <w:r>
        <w:rPr>
          <w:rFonts w:hint="eastAsia"/>
        </w:rPr>
        <w:t>Fn. 75), JZ 1988, S. 837-838.</w:t>
      </w:r>
    </w:p>
  </w:footnote>
  <w:footnote w:id="69">
    <w:p w:rsidR="00000000" w:rsidRDefault="00FE56A9">
      <w:pPr>
        <w:pStyle w:val="a5"/>
        <w:rPr>
          <w:rFonts w:hint="eastAsia"/>
        </w:rPr>
      </w:pPr>
      <w:r>
        <w:rPr>
          <w:rStyle w:val="a6"/>
        </w:rPr>
        <w:footnoteRef/>
      </w:r>
      <w:r>
        <w:t xml:space="preserve"> </w:t>
      </w:r>
      <w:r>
        <w:rPr>
          <w:rFonts w:hint="eastAsia"/>
        </w:rPr>
        <w:t>BVerfGE 72, 200/241-242.</w:t>
      </w:r>
    </w:p>
  </w:footnote>
  <w:footnote w:id="70">
    <w:p w:rsidR="00000000" w:rsidRDefault="00FE56A9">
      <w:pPr>
        <w:pStyle w:val="a5"/>
        <w:rPr>
          <w:rFonts w:hint="eastAsia"/>
        </w:rPr>
      </w:pPr>
      <w:r>
        <w:rPr>
          <w:rStyle w:val="a6"/>
        </w:rPr>
        <w:footnoteRef/>
      </w:r>
      <w:r>
        <w:t xml:space="preserve"> </w:t>
      </w:r>
      <w:r>
        <w:rPr>
          <w:rFonts w:hint="eastAsia"/>
        </w:rPr>
        <w:t>Bodo Pieroth, Die neuere Rechtsprechung des Bundesverfassungsrechts zum Grundsatz des Vertrauensschutzes, JZ 1990, S. 280-281.</w:t>
      </w:r>
      <w:r>
        <w:rPr>
          <w:rFonts w:hint="eastAsia"/>
        </w:rPr>
        <w:t>對於第二庭將「溯及效果」的概念限制在「法律效果的回溯發生」上，</w:t>
      </w:r>
      <w:r>
        <w:rPr>
          <w:rFonts w:hint="eastAsia"/>
        </w:rPr>
        <w:t>I. v. M</w:t>
      </w:r>
      <w:r>
        <w:t>ü</w:t>
      </w:r>
      <w:r>
        <w:rPr>
          <w:rFonts w:hint="eastAsia"/>
        </w:rPr>
        <w:t>n</w:t>
      </w:r>
      <w:r>
        <w:rPr>
          <w:rFonts w:hint="eastAsia"/>
        </w:rPr>
        <w:t>ch, H. Maurer</w:t>
      </w:r>
      <w:r>
        <w:rPr>
          <w:rFonts w:hint="eastAsia"/>
        </w:rPr>
        <w:t>則表示肯定：</w:t>
      </w:r>
      <w:r>
        <w:rPr>
          <w:rFonts w:hint="eastAsia"/>
        </w:rPr>
        <w:t>I. v. M</w:t>
      </w:r>
      <w:r>
        <w:t>ü</w:t>
      </w:r>
      <w:r>
        <w:rPr>
          <w:rFonts w:hint="eastAsia"/>
        </w:rPr>
        <w:t>nch, a.a.O.(Fn. 19), Rn. 451; H. Maurer, a.a.O.(Fn. 17), Rn. 14-15.</w:t>
      </w:r>
    </w:p>
  </w:footnote>
  <w:footnote w:id="71">
    <w:p w:rsidR="00000000" w:rsidRDefault="00FE56A9">
      <w:pPr>
        <w:pStyle w:val="a5"/>
        <w:rPr>
          <w:rFonts w:hint="eastAsia"/>
        </w:rPr>
      </w:pPr>
      <w:r>
        <w:rPr>
          <w:rStyle w:val="a6"/>
        </w:rPr>
        <w:footnoteRef/>
      </w:r>
      <w:r>
        <w:t xml:space="preserve"> </w:t>
      </w:r>
      <w:r>
        <w:rPr>
          <w:rFonts w:hint="eastAsia"/>
        </w:rPr>
        <w:t>Johannes M</w:t>
      </w:r>
      <w:r>
        <w:t>ö</w:t>
      </w:r>
      <w:r>
        <w:rPr>
          <w:rFonts w:hint="eastAsia"/>
        </w:rPr>
        <w:t>ller/Alfred R</w:t>
      </w:r>
      <w:r>
        <w:t>ü</w:t>
      </w:r>
      <w:r>
        <w:rPr>
          <w:rFonts w:hint="eastAsia"/>
        </w:rPr>
        <w:t>hrmair</w:t>
      </w:r>
      <w:r>
        <w:rPr>
          <w:rFonts w:hint="eastAsia"/>
        </w:rPr>
        <w:t>指出，第二庭的新近裁判顯示其再度趨近傳統的用語方式。質言之，其於「法律效果的回溯發生」、「構成要件的回溯連結」之後附加括號地提及「真正溯及」、「</w:t>
      </w:r>
      <w:proofErr w:type="gramStart"/>
      <w:r>
        <w:rPr>
          <w:rFonts w:hint="eastAsia"/>
        </w:rPr>
        <w:t>不</w:t>
      </w:r>
      <w:proofErr w:type="gramEnd"/>
      <w:r>
        <w:rPr>
          <w:rFonts w:hint="eastAsia"/>
        </w:rPr>
        <w:t>真正溯及」：</w:t>
      </w:r>
      <w:r>
        <w:rPr>
          <w:rFonts w:hint="eastAsia"/>
        </w:rPr>
        <w:t>J. M</w:t>
      </w:r>
      <w:r>
        <w:t>ö</w:t>
      </w:r>
      <w:r>
        <w:rPr>
          <w:rFonts w:hint="eastAsia"/>
        </w:rPr>
        <w:t>ller/A. R</w:t>
      </w:r>
      <w:r>
        <w:t>ü</w:t>
      </w:r>
      <w:r>
        <w:rPr>
          <w:rFonts w:hint="eastAsia"/>
        </w:rPr>
        <w:t>hrmair, Die Bedeutung der Grundrec</w:t>
      </w:r>
      <w:r>
        <w:rPr>
          <w:rFonts w:hint="eastAsia"/>
        </w:rPr>
        <w:t>hte f</w:t>
      </w:r>
      <w:r>
        <w:t>ü</w:t>
      </w:r>
      <w:r>
        <w:rPr>
          <w:rFonts w:hint="eastAsia"/>
        </w:rPr>
        <w:t xml:space="preserve">r die verfassungsrechtlichen Anforderungen </w:t>
      </w:r>
      <w:proofErr w:type="gramStart"/>
      <w:r>
        <w:rPr>
          <w:rFonts w:hint="eastAsia"/>
        </w:rPr>
        <w:t>an</w:t>
      </w:r>
      <w:proofErr w:type="gramEnd"/>
      <w:r>
        <w:rPr>
          <w:rFonts w:hint="eastAsia"/>
        </w:rPr>
        <w:t xml:space="preserve"> r</w:t>
      </w:r>
      <w:r>
        <w:t>ü</w:t>
      </w:r>
      <w:r>
        <w:rPr>
          <w:rFonts w:hint="eastAsia"/>
        </w:rPr>
        <w:t>ckwirkende Gesetze, NJW 1999, S. 909.</w:t>
      </w:r>
    </w:p>
  </w:footnote>
  <w:footnote w:id="72">
    <w:p w:rsidR="00000000" w:rsidRDefault="00FE56A9">
      <w:pPr>
        <w:pStyle w:val="a5"/>
        <w:rPr>
          <w:rFonts w:hint="eastAsia"/>
          <w:lang w:val="de-DE"/>
        </w:rPr>
      </w:pPr>
      <w:r>
        <w:rPr>
          <w:rStyle w:val="a6"/>
        </w:rPr>
        <w:footnoteRef/>
      </w:r>
      <w:r>
        <w:rPr>
          <w:lang w:val="de-DE"/>
        </w:rPr>
        <w:t xml:space="preserve"> </w:t>
      </w:r>
      <w:r>
        <w:rPr>
          <w:rFonts w:hint="eastAsia"/>
          <w:lang w:val="de-DE"/>
        </w:rPr>
        <w:t>W. Schmidt, a.a.O.(Fn. 72), JuS 1973, S. 532, 536.</w:t>
      </w:r>
    </w:p>
  </w:footnote>
  <w:footnote w:id="73">
    <w:p w:rsidR="00000000" w:rsidRDefault="00FE56A9">
      <w:pPr>
        <w:pStyle w:val="a5"/>
        <w:rPr>
          <w:rFonts w:hint="eastAsia"/>
          <w:lang w:val="de-DE"/>
        </w:rPr>
      </w:pPr>
      <w:r>
        <w:rPr>
          <w:rStyle w:val="a6"/>
        </w:rPr>
        <w:footnoteRef/>
      </w:r>
      <w:r>
        <w:rPr>
          <w:lang w:val="de-DE"/>
        </w:rPr>
        <w:t xml:space="preserve"> </w:t>
      </w:r>
      <w:r>
        <w:rPr>
          <w:rFonts w:hAnsi="新細明體" w:hint="eastAsia"/>
          <w:lang w:val="de-DE"/>
        </w:rPr>
        <w:t xml:space="preserve">Gunter Kisker, </w:t>
      </w:r>
      <w:r>
        <w:rPr>
          <w:rFonts w:hint="eastAsia"/>
          <w:lang w:val="de-DE"/>
        </w:rPr>
        <w:t>Vertrauensschutz im Verwaltungsrecht, in: VVDStRL 32/1974, S. 181.</w:t>
      </w:r>
    </w:p>
  </w:footnote>
  <w:footnote w:id="74">
    <w:p w:rsidR="00000000" w:rsidRDefault="00FE56A9">
      <w:pPr>
        <w:pStyle w:val="a5"/>
        <w:rPr>
          <w:rFonts w:hint="eastAsia"/>
          <w:lang w:val="de-DE"/>
        </w:rPr>
      </w:pPr>
      <w:r>
        <w:rPr>
          <w:rStyle w:val="a6"/>
        </w:rPr>
        <w:footnoteRef/>
      </w:r>
      <w:r>
        <w:rPr>
          <w:lang w:val="de-DE"/>
        </w:rPr>
        <w:t xml:space="preserve"> </w:t>
      </w:r>
      <w:r>
        <w:rPr>
          <w:rFonts w:hint="eastAsia"/>
          <w:lang w:val="de-DE"/>
        </w:rPr>
        <w:t>E. Grabitz, a.a.O.(Fn. 55</w:t>
      </w:r>
      <w:r>
        <w:rPr>
          <w:rFonts w:hint="eastAsia"/>
          <w:lang w:val="de-DE"/>
        </w:rPr>
        <w:t xml:space="preserve">), DVBl. 1973, S. 678, 682-683. </w:t>
      </w:r>
      <w:r>
        <w:rPr>
          <w:rFonts w:hint="eastAsia"/>
        </w:rPr>
        <w:t>類似見解</w:t>
      </w:r>
      <w:r>
        <w:rPr>
          <w:rFonts w:hint="eastAsia"/>
          <w:lang w:val="de-DE"/>
        </w:rPr>
        <w:t>：</w:t>
      </w:r>
      <w:r>
        <w:rPr>
          <w:rFonts w:hint="eastAsia"/>
          <w:lang w:val="de-DE"/>
        </w:rPr>
        <w:t>G. Kisker, a.a.O.(Fn. 85), VVDStRL 32/1974, S. 166, 178-179.</w:t>
      </w:r>
    </w:p>
  </w:footnote>
  <w:footnote w:id="75">
    <w:p w:rsidR="00000000" w:rsidRDefault="00FE56A9">
      <w:pPr>
        <w:pStyle w:val="a5"/>
        <w:rPr>
          <w:rFonts w:hint="eastAsia"/>
          <w:lang w:val="de-DE"/>
        </w:rPr>
      </w:pPr>
      <w:r>
        <w:rPr>
          <w:rStyle w:val="a6"/>
        </w:rPr>
        <w:footnoteRef/>
      </w:r>
      <w:r>
        <w:rPr>
          <w:lang w:val="de-DE"/>
        </w:rPr>
        <w:t xml:space="preserve"> </w:t>
      </w:r>
      <w:r>
        <w:rPr>
          <w:rFonts w:hint="eastAsia"/>
          <w:lang w:val="de-DE"/>
        </w:rPr>
        <w:t>F. O. Kopp, a.a.O.(Fn. 59), BayVBl. 1980, S. 39-40.</w:t>
      </w:r>
    </w:p>
  </w:footnote>
  <w:footnote w:id="76">
    <w:p w:rsidR="00000000" w:rsidRDefault="00FE56A9">
      <w:pPr>
        <w:pStyle w:val="a5"/>
        <w:rPr>
          <w:rFonts w:hint="eastAsia"/>
          <w:lang w:val="de-DE"/>
        </w:rPr>
      </w:pPr>
      <w:r>
        <w:rPr>
          <w:rStyle w:val="a6"/>
        </w:rPr>
        <w:footnoteRef/>
      </w:r>
      <w:r>
        <w:rPr>
          <w:lang w:val="de-DE"/>
        </w:rPr>
        <w:t xml:space="preserve"> </w:t>
      </w:r>
      <w:r>
        <w:rPr>
          <w:lang w:val="de-DE"/>
        </w:rPr>
        <w:t>V. Götz</w:t>
      </w:r>
      <w:r>
        <w:rPr>
          <w:rFonts w:hint="eastAsia"/>
          <w:lang w:val="de-DE"/>
        </w:rPr>
        <w:t>, a.a.O.(Fn. 62), S. 424-425.</w:t>
      </w:r>
    </w:p>
  </w:footnote>
  <w:footnote w:id="77">
    <w:p w:rsidR="00000000" w:rsidRDefault="00FE56A9">
      <w:pPr>
        <w:pStyle w:val="a5"/>
        <w:rPr>
          <w:rFonts w:hint="eastAsia"/>
          <w:lang w:val="de-DE"/>
        </w:rPr>
      </w:pPr>
      <w:r>
        <w:rPr>
          <w:rStyle w:val="a6"/>
        </w:rPr>
        <w:footnoteRef/>
      </w:r>
      <w:r>
        <w:rPr>
          <w:lang w:val="de-DE"/>
        </w:rPr>
        <w:t xml:space="preserve"> </w:t>
      </w:r>
      <w:r>
        <w:rPr>
          <w:lang w:val="de-DE"/>
        </w:rPr>
        <w:t>V. Götz</w:t>
      </w:r>
      <w:r>
        <w:rPr>
          <w:rFonts w:hint="eastAsia"/>
          <w:lang w:val="de-DE"/>
        </w:rPr>
        <w:t xml:space="preserve">, a.a.O.(Fn. 62), S. 430, 426-427, 432-433. </w:t>
      </w:r>
      <w:r>
        <w:rPr>
          <w:rFonts w:hint="eastAsia"/>
        </w:rPr>
        <w:t>類此見解</w:t>
      </w:r>
      <w:r>
        <w:rPr>
          <w:rFonts w:hint="eastAsia"/>
          <w:lang w:val="de-DE"/>
        </w:rPr>
        <w:t>：</w:t>
      </w:r>
      <w:r>
        <w:rPr>
          <w:rFonts w:hint="eastAsia"/>
          <w:lang w:val="de-DE"/>
        </w:rPr>
        <w:t>K. Stern, a.a.O.(Fn. 75), S. 831.</w:t>
      </w:r>
    </w:p>
  </w:footnote>
  <w:footnote w:id="78">
    <w:p w:rsidR="00000000" w:rsidRDefault="00FE56A9">
      <w:pPr>
        <w:pStyle w:val="a5"/>
        <w:rPr>
          <w:rFonts w:hint="eastAsia"/>
          <w:lang w:val="de-DE"/>
        </w:rPr>
      </w:pPr>
      <w:r>
        <w:rPr>
          <w:rStyle w:val="a6"/>
        </w:rPr>
        <w:footnoteRef/>
      </w:r>
      <w:r>
        <w:rPr>
          <w:lang w:val="de-DE"/>
        </w:rPr>
        <w:t xml:space="preserve"> </w:t>
      </w:r>
      <w:r>
        <w:rPr>
          <w:lang w:val="de-DE"/>
        </w:rPr>
        <w:t xml:space="preserve">V. </w:t>
      </w:r>
      <w:r>
        <w:rPr>
          <w:lang w:val="de-DE"/>
        </w:rPr>
        <w:t>Götz</w:t>
      </w:r>
      <w:r>
        <w:rPr>
          <w:rFonts w:hint="eastAsia"/>
          <w:lang w:val="de-DE"/>
        </w:rPr>
        <w:t>, a.a.O.(Fn. 62), S. 435-437.</w:t>
      </w:r>
    </w:p>
  </w:footnote>
  <w:footnote w:id="79">
    <w:p w:rsidR="00000000" w:rsidRDefault="00FE56A9">
      <w:pPr>
        <w:pStyle w:val="a5"/>
        <w:rPr>
          <w:rFonts w:hint="eastAsia"/>
          <w:lang w:val="de-DE"/>
        </w:rPr>
      </w:pPr>
      <w:r>
        <w:rPr>
          <w:rStyle w:val="a6"/>
        </w:rPr>
        <w:footnoteRef/>
      </w:r>
      <w:r>
        <w:rPr>
          <w:lang w:val="de-DE"/>
        </w:rPr>
        <w:t xml:space="preserve"> </w:t>
      </w:r>
      <w:r>
        <w:rPr>
          <w:rFonts w:hint="eastAsia"/>
          <w:lang w:val="de-DE"/>
        </w:rPr>
        <w:t>K. Stern, a.a.O.(Fn. 75), S. 835.</w:t>
      </w:r>
    </w:p>
  </w:footnote>
  <w:footnote w:id="80">
    <w:p w:rsidR="00000000" w:rsidRDefault="00FE56A9">
      <w:pPr>
        <w:pStyle w:val="a5"/>
        <w:rPr>
          <w:rFonts w:hint="eastAsia"/>
          <w:lang w:val="de-DE"/>
        </w:rPr>
      </w:pPr>
      <w:r>
        <w:rPr>
          <w:rStyle w:val="a6"/>
        </w:rPr>
        <w:footnoteRef/>
      </w:r>
      <w:r>
        <w:rPr>
          <w:lang w:val="de-DE"/>
        </w:rPr>
        <w:t xml:space="preserve"> </w:t>
      </w:r>
      <w:r>
        <w:rPr>
          <w:rFonts w:hint="eastAsia"/>
          <w:lang w:val="de-DE"/>
        </w:rPr>
        <w:t>B. Pieroth, a.a.O.(Fn. 82), JZ 1990, S. 281-283.</w:t>
      </w:r>
    </w:p>
  </w:footnote>
  <w:footnote w:id="81">
    <w:p w:rsidR="00000000" w:rsidRDefault="00FE56A9">
      <w:pPr>
        <w:pStyle w:val="a5"/>
        <w:rPr>
          <w:rFonts w:hint="eastAsia"/>
          <w:lang w:val="de-DE"/>
        </w:rPr>
      </w:pPr>
      <w:r>
        <w:rPr>
          <w:rStyle w:val="a6"/>
        </w:rPr>
        <w:footnoteRef/>
      </w:r>
      <w:r>
        <w:rPr>
          <w:lang w:val="de-DE"/>
        </w:rPr>
        <w:t xml:space="preserve"> </w:t>
      </w:r>
      <w:r>
        <w:rPr>
          <w:rFonts w:hint="eastAsia"/>
          <w:lang w:val="de-DE"/>
        </w:rPr>
        <w:t>BVerfGE 76, 220/244f.</w:t>
      </w:r>
    </w:p>
  </w:footnote>
  <w:footnote w:id="82">
    <w:p w:rsidR="00000000" w:rsidRDefault="00FE56A9">
      <w:pPr>
        <w:pStyle w:val="a5"/>
        <w:rPr>
          <w:rFonts w:hint="eastAsia"/>
        </w:rPr>
      </w:pPr>
      <w:r>
        <w:rPr>
          <w:rStyle w:val="a6"/>
        </w:rPr>
        <w:footnoteRef/>
      </w:r>
      <w:r>
        <w:rPr>
          <w:lang w:val="de-DE"/>
        </w:rPr>
        <w:t xml:space="preserve"> </w:t>
      </w:r>
      <w:r>
        <w:rPr>
          <w:rFonts w:hint="eastAsia"/>
          <w:lang w:val="de-DE"/>
        </w:rPr>
        <w:t>BVerfGE 70, 101/11</w:t>
      </w:r>
      <w:r>
        <w:rPr>
          <w:rFonts w:hint="eastAsia"/>
        </w:rPr>
        <w:t>4.</w:t>
      </w:r>
    </w:p>
  </w:footnote>
  <w:footnote w:id="83">
    <w:p w:rsidR="00000000" w:rsidRDefault="00FE56A9">
      <w:pPr>
        <w:pStyle w:val="a5"/>
        <w:rPr>
          <w:rFonts w:hint="eastAsia"/>
        </w:rPr>
      </w:pPr>
      <w:r>
        <w:rPr>
          <w:rStyle w:val="a6"/>
        </w:rPr>
        <w:footnoteRef/>
      </w:r>
      <w:r>
        <w:t xml:space="preserve"> </w:t>
      </w:r>
      <w:r>
        <w:rPr>
          <w:rFonts w:hint="eastAsia"/>
        </w:rPr>
        <w:t>B. Pieroth, a.a.O</w:t>
      </w:r>
      <w:proofErr w:type="gramStart"/>
      <w:r>
        <w:rPr>
          <w:rFonts w:hint="eastAsia"/>
        </w:rPr>
        <w:t>.(</w:t>
      </w:r>
      <w:proofErr w:type="gramEnd"/>
      <w:r>
        <w:rPr>
          <w:rFonts w:hint="eastAsia"/>
        </w:rPr>
        <w:t xml:space="preserve">Fn. 82), JZ 1990, S.283-285. </w:t>
      </w:r>
    </w:p>
  </w:footnote>
  <w:footnote w:id="84">
    <w:p w:rsidR="00000000" w:rsidRDefault="00FE56A9">
      <w:pPr>
        <w:pStyle w:val="a5"/>
        <w:rPr>
          <w:rFonts w:hint="eastAsia"/>
        </w:rPr>
      </w:pPr>
      <w:r>
        <w:rPr>
          <w:rStyle w:val="a6"/>
        </w:rPr>
        <w:footnoteRef/>
      </w:r>
      <w:r>
        <w:t xml:space="preserve"> </w:t>
      </w:r>
      <w:r>
        <w:rPr>
          <w:rFonts w:hint="eastAsia"/>
        </w:rPr>
        <w:t>類此立場：</w:t>
      </w:r>
      <w:r>
        <w:rPr>
          <w:rFonts w:hint="eastAsia"/>
        </w:rPr>
        <w:t>H. Maurer, a.a.O</w:t>
      </w:r>
      <w:proofErr w:type="gramStart"/>
      <w:r>
        <w:rPr>
          <w:rFonts w:hint="eastAsia"/>
        </w:rPr>
        <w:t>.(</w:t>
      </w:r>
      <w:proofErr w:type="gramEnd"/>
      <w:r>
        <w:rPr>
          <w:rFonts w:hint="eastAsia"/>
        </w:rPr>
        <w:t>Fn. 17), Rn.</w:t>
      </w:r>
      <w:r>
        <w:rPr>
          <w:rFonts w:hint="eastAsia"/>
        </w:rPr>
        <w:t xml:space="preserve"> 44, 46.</w:t>
      </w:r>
    </w:p>
  </w:footnote>
  <w:footnote w:id="85">
    <w:p w:rsidR="00000000" w:rsidRDefault="00FE56A9">
      <w:pPr>
        <w:pStyle w:val="a5"/>
        <w:rPr>
          <w:rFonts w:hint="eastAsia"/>
          <w:lang w:val="de-DE"/>
        </w:rPr>
      </w:pPr>
      <w:r>
        <w:rPr>
          <w:rStyle w:val="a6"/>
        </w:rPr>
        <w:footnoteRef/>
      </w:r>
      <w:r>
        <w:rPr>
          <w:lang w:val="de-DE"/>
        </w:rPr>
        <w:t xml:space="preserve"> </w:t>
      </w:r>
      <w:r>
        <w:rPr>
          <w:rFonts w:hint="eastAsia"/>
          <w:lang w:val="de-DE"/>
        </w:rPr>
        <w:t>J. M</w:t>
      </w:r>
      <w:r>
        <w:rPr>
          <w:lang w:val="de-DE"/>
        </w:rPr>
        <w:t>ö</w:t>
      </w:r>
      <w:r>
        <w:rPr>
          <w:rFonts w:hint="eastAsia"/>
          <w:lang w:val="de-DE"/>
        </w:rPr>
        <w:t>ller/A. R</w:t>
      </w:r>
      <w:r>
        <w:rPr>
          <w:lang w:val="de-DE"/>
        </w:rPr>
        <w:t>ü</w:t>
      </w:r>
      <w:r>
        <w:rPr>
          <w:rFonts w:hint="eastAsia"/>
          <w:lang w:val="de-DE"/>
        </w:rPr>
        <w:t>hrmair, a.a.O.(Fn. 83), NJW 1999, S. 910-911.</w:t>
      </w:r>
    </w:p>
  </w:footnote>
  <w:footnote w:id="86">
    <w:p w:rsidR="00000000" w:rsidRDefault="00FE56A9">
      <w:pPr>
        <w:pStyle w:val="a5"/>
        <w:rPr>
          <w:rFonts w:hint="eastAsia"/>
        </w:rPr>
      </w:pPr>
      <w:r>
        <w:rPr>
          <w:rStyle w:val="a6"/>
        </w:rPr>
        <w:footnoteRef/>
      </w:r>
      <w:r>
        <w:t xml:space="preserve"> </w:t>
      </w:r>
      <w:r>
        <w:rPr>
          <w:rFonts w:hint="eastAsia"/>
        </w:rPr>
        <w:t>依</w:t>
      </w:r>
      <w:proofErr w:type="gramStart"/>
      <w:r>
        <w:rPr>
          <w:rFonts w:hint="eastAsia"/>
        </w:rPr>
        <w:t>銓敘部在立法院</w:t>
      </w:r>
      <w:proofErr w:type="gramEnd"/>
      <w:r>
        <w:rPr>
          <w:rFonts w:hint="eastAsia"/>
        </w:rPr>
        <w:t>法制、預算及決算兩委員會的</w:t>
      </w:r>
      <w:proofErr w:type="gramStart"/>
      <w:r>
        <w:rPr>
          <w:rFonts w:hint="eastAsia"/>
        </w:rPr>
        <w:t>聯席審會</w:t>
      </w:r>
      <w:proofErr w:type="gramEnd"/>
      <w:r>
        <w:rPr>
          <w:rFonts w:hint="eastAsia"/>
        </w:rPr>
        <w:t>會議中的報告，辦理優惠存款之總人數由</w:t>
      </w:r>
      <w:r>
        <w:rPr>
          <w:rFonts w:hint="eastAsia"/>
        </w:rPr>
        <w:t>84</w:t>
      </w:r>
      <w:r>
        <w:rPr>
          <w:rFonts w:hint="eastAsia"/>
        </w:rPr>
        <w:t>年度的</w:t>
      </w:r>
      <w:r>
        <w:rPr>
          <w:rFonts w:hint="eastAsia"/>
        </w:rPr>
        <w:t>27</w:t>
      </w:r>
      <w:r>
        <w:rPr>
          <w:rFonts w:hint="eastAsia"/>
        </w:rPr>
        <w:t>萬餘人，迄至</w:t>
      </w:r>
      <w:r>
        <w:rPr>
          <w:rFonts w:hint="eastAsia"/>
        </w:rPr>
        <w:t>94</w:t>
      </w:r>
      <w:r>
        <w:rPr>
          <w:rFonts w:hint="eastAsia"/>
        </w:rPr>
        <w:t>年</w:t>
      </w:r>
      <w:r>
        <w:rPr>
          <w:rFonts w:hint="eastAsia"/>
        </w:rPr>
        <w:t>12</w:t>
      </w:r>
      <w:r>
        <w:rPr>
          <w:rFonts w:hint="eastAsia"/>
        </w:rPr>
        <w:t>月底已逾</w:t>
      </w:r>
      <w:r>
        <w:rPr>
          <w:rFonts w:hint="eastAsia"/>
        </w:rPr>
        <w:t>38</w:t>
      </w:r>
      <w:r>
        <w:rPr>
          <w:rFonts w:hint="eastAsia"/>
        </w:rPr>
        <w:t>萬餘人；政府每年負擔軍公教人員優惠存款差額利息金額，已由</w:t>
      </w:r>
      <w:r>
        <w:rPr>
          <w:rFonts w:hint="eastAsia"/>
        </w:rPr>
        <w:t>84</w:t>
      </w:r>
      <w:r>
        <w:rPr>
          <w:rFonts w:hint="eastAsia"/>
        </w:rPr>
        <w:t>年的</w:t>
      </w:r>
      <w:r>
        <w:rPr>
          <w:rFonts w:hint="eastAsia"/>
        </w:rPr>
        <w:t>188</w:t>
      </w:r>
      <w:r>
        <w:rPr>
          <w:rFonts w:hint="eastAsia"/>
        </w:rPr>
        <w:t>億餘元，迄至</w:t>
      </w:r>
      <w:r>
        <w:rPr>
          <w:rFonts w:hint="eastAsia"/>
        </w:rPr>
        <w:t>94</w:t>
      </w:r>
      <w:r>
        <w:rPr>
          <w:rFonts w:hint="eastAsia"/>
        </w:rPr>
        <w:t>年</w:t>
      </w:r>
      <w:r>
        <w:rPr>
          <w:rFonts w:hint="eastAsia"/>
        </w:rPr>
        <w:t>12</w:t>
      </w:r>
      <w:r>
        <w:rPr>
          <w:rFonts w:hint="eastAsia"/>
        </w:rPr>
        <w:t>月底已高達</w:t>
      </w:r>
      <w:r>
        <w:rPr>
          <w:rFonts w:hint="eastAsia"/>
        </w:rPr>
        <w:t>597</w:t>
      </w:r>
      <w:r>
        <w:rPr>
          <w:rFonts w:hint="eastAsia"/>
        </w:rPr>
        <w:t>億餘元：立法院第</w:t>
      </w:r>
      <w:r>
        <w:rPr>
          <w:rFonts w:hint="eastAsia"/>
        </w:rPr>
        <w:t>6</w:t>
      </w:r>
      <w:r>
        <w:rPr>
          <w:rFonts w:hint="eastAsia"/>
        </w:rPr>
        <w:t>屆第</w:t>
      </w:r>
      <w:r>
        <w:rPr>
          <w:rFonts w:hint="eastAsia"/>
        </w:rPr>
        <w:t>3</w:t>
      </w:r>
      <w:r>
        <w:rPr>
          <w:rFonts w:hint="eastAsia"/>
        </w:rPr>
        <w:t>會期第</w:t>
      </w:r>
      <w:r>
        <w:rPr>
          <w:rFonts w:hint="eastAsia"/>
        </w:rPr>
        <w:t>8</w:t>
      </w:r>
      <w:r>
        <w:rPr>
          <w:rFonts w:hint="eastAsia"/>
        </w:rPr>
        <w:t>次會議議案關係文書，討</w:t>
      </w:r>
      <w:r>
        <w:rPr>
          <w:rFonts w:hint="eastAsia"/>
        </w:rPr>
        <w:t>110</w:t>
      </w:r>
      <w:r>
        <w:rPr>
          <w:rFonts w:hint="eastAsia"/>
        </w:rPr>
        <w:t>。</w:t>
      </w:r>
    </w:p>
  </w:footnote>
  <w:footnote w:id="87">
    <w:p w:rsidR="00000000" w:rsidRDefault="00FE56A9">
      <w:pPr>
        <w:pStyle w:val="a5"/>
        <w:rPr>
          <w:rFonts w:hint="eastAsia"/>
        </w:rPr>
      </w:pPr>
      <w:r>
        <w:rPr>
          <w:rStyle w:val="a6"/>
        </w:rPr>
        <w:footnoteRef/>
      </w:r>
      <w:r>
        <w:t xml:space="preserve"> </w:t>
      </w:r>
      <w:r>
        <w:rPr>
          <w:rFonts w:hint="eastAsia"/>
        </w:rPr>
        <w:t>前</w:t>
      </w:r>
      <w:proofErr w:type="gramStart"/>
      <w:r>
        <w:rPr>
          <w:rFonts w:hint="eastAsia"/>
        </w:rPr>
        <w:t>揭對公保優</w:t>
      </w:r>
      <w:proofErr w:type="gramEnd"/>
      <w:r>
        <w:rPr>
          <w:rFonts w:hint="eastAsia"/>
        </w:rPr>
        <w:t>存要點之訂定與增訂第</w:t>
      </w:r>
      <w:r>
        <w:rPr>
          <w:rFonts w:hint="eastAsia"/>
        </w:rPr>
        <w:t>3</w:t>
      </w:r>
      <w:r>
        <w:rPr>
          <w:rFonts w:hint="eastAsia"/>
        </w:rPr>
        <w:t>點之</w:t>
      </w:r>
      <w:r>
        <w:rPr>
          <w:rFonts w:hint="eastAsia"/>
        </w:rPr>
        <w:t>1</w:t>
      </w:r>
      <w:r>
        <w:rPr>
          <w:rFonts w:hint="eastAsia"/>
        </w:rPr>
        <w:t>的相關背景說明</w:t>
      </w:r>
      <w:r>
        <w:rPr>
          <w:rFonts w:hint="eastAsia"/>
        </w:rPr>
        <w:t>，援引自保訓會</w:t>
      </w:r>
      <w:r>
        <w:rPr>
          <w:rFonts w:hint="eastAsia"/>
        </w:rPr>
        <w:t>95</w:t>
      </w:r>
      <w:r>
        <w:rPr>
          <w:rFonts w:hint="eastAsia"/>
        </w:rPr>
        <w:t>年</w:t>
      </w:r>
      <w:r>
        <w:rPr>
          <w:rFonts w:hint="eastAsia"/>
        </w:rPr>
        <w:t>11</w:t>
      </w:r>
      <w:r>
        <w:rPr>
          <w:rFonts w:hint="eastAsia"/>
        </w:rPr>
        <w:t>月</w:t>
      </w:r>
      <w:r>
        <w:rPr>
          <w:rFonts w:hint="eastAsia"/>
        </w:rPr>
        <w:t>7</w:t>
      </w:r>
      <w:r>
        <w:rPr>
          <w:rFonts w:hint="eastAsia"/>
        </w:rPr>
        <w:t>日「公保養老給付優惠存款相關法律問題」座談會會議資料。</w:t>
      </w:r>
    </w:p>
  </w:footnote>
  <w:footnote w:id="88">
    <w:p w:rsidR="00000000" w:rsidRDefault="00FE56A9">
      <w:pPr>
        <w:pStyle w:val="a5"/>
        <w:rPr>
          <w:rFonts w:hint="eastAsia"/>
          <w:lang w:val="de-DE"/>
        </w:rPr>
      </w:pPr>
      <w:r>
        <w:rPr>
          <w:rStyle w:val="a6"/>
        </w:rPr>
        <w:footnoteRef/>
      </w:r>
      <w:r>
        <w:rPr>
          <w:lang w:val="de-DE"/>
        </w:rPr>
        <w:t xml:space="preserve"> </w:t>
      </w:r>
      <w:r>
        <w:rPr>
          <w:rFonts w:hint="eastAsia"/>
          <w:lang w:val="de-DE"/>
        </w:rPr>
        <w:t>Ingo von M</w:t>
      </w:r>
      <w:r>
        <w:rPr>
          <w:lang w:val="de-DE"/>
        </w:rPr>
        <w:t>ü</w:t>
      </w:r>
      <w:r>
        <w:rPr>
          <w:rFonts w:hint="eastAsia"/>
          <w:lang w:val="de-DE"/>
        </w:rPr>
        <w:t>nch, Staatsrecht II, 2002, Rn. 577.</w:t>
      </w:r>
    </w:p>
  </w:footnote>
  <w:footnote w:id="89">
    <w:p w:rsidR="00000000" w:rsidRDefault="00FE56A9">
      <w:pPr>
        <w:pStyle w:val="a5"/>
        <w:rPr>
          <w:rFonts w:hint="eastAsia"/>
        </w:rPr>
      </w:pPr>
      <w:r>
        <w:rPr>
          <w:rStyle w:val="a6"/>
        </w:rPr>
        <w:footnoteRef/>
      </w:r>
      <w:r>
        <w:t xml:space="preserve"> </w:t>
      </w:r>
      <w:r>
        <w:rPr>
          <w:rFonts w:hint="eastAsia"/>
        </w:rPr>
        <w:t>李建良教授基於此一制度對國家財政的重大影響，承認其屬「須有法律依據或授權的重要事項」：同著者，</w:t>
      </w:r>
      <w:proofErr w:type="gramStart"/>
      <w:r>
        <w:rPr>
          <w:rFonts w:hint="eastAsia"/>
        </w:rPr>
        <w:t>前揭文</w:t>
      </w:r>
      <w:proofErr w:type="gramEnd"/>
      <w:r>
        <w:rPr>
          <w:rFonts w:hint="eastAsia"/>
        </w:rPr>
        <w:t>（見</w:t>
      </w:r>
      <w:proofErr w:type="gramStart"/>
      <w:r>
        <w:rPr>
          <w:rFonts w:hint="eastAsia"/>
        </w:rPr>
        <w:t>註</w:t>
      </w:r>
      <w:proofErr w:type="gramEnd"/>
      <w:r>
        <w:rPr>
          <w:rFonts w:hint="eastAsia"/>
        </w:rPr>
        <w:t>30</w:t>
      </w:r>
      <w:proofErr w:type="gramStart"/>
      <w:r>
        <w:rPr>
          <w:rFonts w:ascii="新細明體" w:hAnsi="新細明體" w:hint="eastAsia"/>
        </w:rPr>
        <w:t>―</w:t>
      </w:r>
      <w:proofErr w:type="gramEnd"/>
      <w:r>
        <w:rPr>
          <w:rFonts w:hint="eastAsia"/>
        </w:rPr>
        <w:t>軍公教優惠存款），頁</w:t>
      </w:r>
      <w:r>
        <w:rPr>
          <w:rFonts w:hint="eastAsia"/>
        </w:rPr>
        <w:t>15-16</w:t>
      </w:r>
      <w:r>
        <w:rPr>
          <w:rFonts w:hint="eastAsia"/>
        </w:rPr>
        <w:t>。</w:t>
      </w:r>
    </w:p>
  </w:footnote>
  <w:footnote w:id="90">
    <w:p w:rsidR="00000000" w:rsidRDefault="00FE56A9">
      <w:pPr>
        <w:pStyle w:val="a5"/>
        <w:rPr>
          <w:rFonts w:hint="eastAsia"/>
        </w:rPr>
      </w:pPr>
      <w:r>
        <w:rPr>
          <w:rStyle w:val="a6"/>
        </w:rPr>
        <w:footnoteRef/>
      </w:r>
      <w:r>
        <w:t xml:space="preserve"> </w:t>
      </w:r>
      <w:r>
        <w:rPr>
          <w:rFonts w:hint="eastAsia"/>
        </w:rPr>
        <w:t>包括釋字第</w:t>
      </w:r>
      <w:r>
        <w:rPr>
          <w:rFonts w:hint="eastAsia"/>
        </w:rPr>
        <w:t>596</w:t>
      </w:r>
      <w:r>
        <w:rPr>
          <w:rFonts w:hint="eastAsia"/>
        </w:rPr>
        <w:t>號解釋理由書、釋字第</w:t>
      </w:r>
      <w:r>
        <w:rPr>
          <w:rFonts w:hint="eastAsia"/>
        </w:rPr>
        <w:t>605</w:t>
      </w:r>
      <w:r>
        <w:rPr>
          <w:rFonts w:hint="eastAsia"/>
        </w:rPr>
        <w:t>號解釋文。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32"/>
    <w:rsid w:val="00541E32"/>
    <w:rsid w:val="00956B72"/>
    <w:rsid w:val="00FE5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1EA6-0673-4933-A5F7-366BD894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12A2-0D0E-425C-BCAA-DB7AB70B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5359</Words>
  <Characters>30551</Characters>
  <Application>Microsoft Office Word</Application>
  <DocSecurity>0</DocSecurity>
  <Lines>254</Lines>
  <Paragraphs>71</Paragraphs>
  <ScaleCrop>false</ScaleCrop>
  <Company> </Company>
  <LinksUpToDate>false</LinksUpToDate>
  <CharactersWithSpaces>35839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2021-09-22T10:27:00Z</dcterms:created>
  <dcterms:modified xsi:type="dcterms:W3CDTF">2021-09-22T10:29:00Z</dcterms:modified>
</cp:coreProperties>
</file>