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9581B" w:rsidP="00884D8F">
      <w:pPr>
        <w:overflowPunct w:val="0"/>
        <w:jc w:val="both"/>
        <w:rPr>
          <w:rFonts w:ascii="標楷體" w:eastAsia="標楷體" w:hAnsi="標楷體" w:hint="eastAsia"/>
          <w:b/>
        </w:rPr>
      </w:pPr>
      <w:r>
        <w:rPr>
          <w:rFonts w:ascii="標楷體" w:eastAsia="標楷體" w:hAnsi="標楷體" w:hint="eastAsia"/>
          <w:b/>
        </w:rPr>
        <w:t>第一章</w:t>
      </w:r>
      <w:r>
        <w:rPr>
          <w:rFonts w:ascii="標楷體" w:eastAsia="標楷體" w:hAnsi="標楷體" w:hint="eastAsia"/>
          <w:b/>
        </w:rPr>
        <w:t xml:space="preserve">  </w:t>
      </w:r>
      <w:r>
        <w:rPr>
          <w:rFonts w:ascii="標楷體" w:eastAsia="標楷體" w:hAnsi="標楷體" w:hint="eastAsia"/>
          <w:b/>
        </w:rPr>
        <w:t>研究主題與研究計畫的安排</w:t>
      </w:r>
    </w:p>
    <w:p w:rsidR="00000000" w:rsidRDefault="0049581B" w:rsidP="00884D8F">
      <w:pPr>
        <w:overflowPunct w:val="0"/>
        <w:spacing w:line="360" w:lineRule="auto"/>
        <w:jc w:val="both"/>
        <w:rPr>
          <w:rFonts w:hint="eastAsia"/>
        </w:rPr>
      </w:pPr>
    </w:p>
    <w:p w:rsidR="00000000" w:rsidRDefault="0049581B" w:rsidP="00884D8F">
      <w:pPr>
        <w:overflowPunct w:val="0"/>
        <w:spacing w:line="360" w:lineRule="auto"/>
        <w:ind w:firstLineChars="200" w:firstLine="480"/>
        <w:jc w:val="both"/>
        <w:rPr>
          <w:rFonts w:hint="eastAsia"/>
        </w:rPr>
      </w:pPr>
      <w:r>
        <w:rPr>
          <w:rFonts w:hint="eastAsia"/>
        </w:rPr>
        <w:t>本研究案主題被界定為：「信賴保護原則在公務人員保障事件的適用」。為了更精確化此一議題的探討重點，委託單位公務人員保障暨培訓委員會</w:t>
      </w:r>
      <w:proofErr w:type="gramStart"/>
      <w:r>
        <w:rPr>
          <w:rFonts w:hint="eastAsia"/>
        </w:rPr>
        <w:t>（</w:t>
      </w:r>
      <w:proofErr w:type="gramEnd"/>
      <w:r>
        <w:rPr>
          <w:rFonts w:hint="eastAsia"/>
        </w:rPr>
        <w:t>下簡稱：保訓會</w:t>
      </w:r>
      <w:proofErr w:type="gramStart"/>
      <w:r>
        <w:rPr>
          <w:rFonts w:hint="eastAsia"/>
        </w:rPr>
        <w:t>）</w:t>
      </w:r>
      <w:proofErr w:type="gramEnd"/>
      <w:r>
        <w:rPr>
          <w:rFonts w:hint="eastAsia"/>
        </w:rPr>
        <w:t>同意本件研究案內容應包含：（一）司法院解釋及各級行政法院實務關於信賴保護原則之闡述與判</w:t>
      </w:r>
      <w:proofErr w:type="gramStart"/>
      <w:r>
        <w:rPr>
          <w:rFonts w:hint="eastAsia"/>
        </w:rPr>
        <w:t>準</w:t>
      </w:r>
      <w:proofErr w:type="gramEnd"/>
      <w:r>
        <w:rPr>
          <w:rFonts w:hint="eastAsia"/>
        </w:rPr>
        <w:t>之研究分析；（二）德國立法、學說及實務的分析研究；（三）對信賴保護原則內容的研究，包含涉及法規之修正或廢止、行政處分之廢止或撤銷，前述二者之關連性；（四）分析信賴保護原則在公務人員保障事件的適用情況，指出保訓會可遵循之方向，以為保訓會審理保</w:t>
      </w:r>
      <w:r>
        <w:rPr>
          <w:rFonts w:hint="eastAsia"/>
        </w:rPr>
        <w:t>障事件之參考。然而，在本研究中應如何合理安排此諸多議題，自應加以說明。</w:t>
      </w:r>
    </w:p>
    <w:p w:rsidR="00000000" w:rsidRDefault="0049581B" w:rsidP="00884D8F">
      <w:pPr>
        <w:overflowPunct w:val="0"/>
        <w:spacing w:line="360" w:lineRule="auto"/>
        <w:jc w:val="both"/>
        <w:rPr>
          <w:rFonts w:hint="eastAsia"/>
        </w:rPr>
      </w:pPr>
    </w:p>
    <w:p w:rsidR="00000000" w:rsidRDefault="0049581B" w:rsidP="00884D8F">
      <w:pPr>
        <w:overflowPunct w:val="0"/>
        <w:spacing w:line="360" w:lineRule="auto"/>
        <w:jc w:val="both"/>
        <w:rPr>
          <w:rFonts w:hint="eastAsia"/>
        </w:rPr>
      </w:pPr>
      <w:r>
        <w:rPr>
          <w:rFonts w:hint="eastAsia"/>
        </w:rPr>
        <w:t xml:space="preserve">    </w:t>
      </w:r>
      <w:r>
        <w:rPr>
          <w:rFonts w:hint="eastAsia"/>
        </w:rPr>
        <w:t>考量到本研究案最後目標在於提供保訓會審理保障事件的參考方向，因此，似應在一開始就</w:t>
      </w:r>
      <w:r>
        <w:rPr>
          <w:rFonts w:ascii="標楷體" w:eastAsia="標楷體" w:hAnsi="標楷體" w:hint="eastAsia"/>
          <w:b/>
        </w:rPr>
        <w:t>檢討保訓會迄今與信賴保護原則相關的決定</w:t>
      </w:r>
      <w:r>
        <w:rPr>
          <w:rFonts w:hint="eastAsia"/>
        </w:rPr>
        <w:t>，指出其處理方向與其疑義，以便更精確界定，應進一步深入探究的主題。</w:t>
      </w:r>
      <w:proofErr w:type="gramStart"/>
      <w:r>
        <w:rPr>
          <w:rFonts w:hint="eastAsia"/>
        </w:rPr>
        <w:t>此外，</w:t>
      </w:r>
      <w:proofErr w:type="gramEnd"/>
      <w:r>
        <w:rPr>
          <w:rFonts w:hint="eastAsia"/>
        </w:rPr>
        <w:t>保訓會與信賴保護原則相關之決定絕大部分為（再）復審決定，對此等決定不服，當事人得提起行政訴訟。因此，各級行政法院就相關問題的見解，對保訓會的實務運作自有重大影響；</w:t>
      </w:r>
      <w:proofErr w:type="gramStart"/>
      <w:r>
        <w:rPr>
          <w:rFonts w:hint="eastAsia"/>
        </w:rPr>
        <w:t>爰</w:t>
      </w:r>
      <w:proofErr w:type="gramEnd"/>
      <w:r>
        <w:rPr>
          <w:rFonts w:hint="eastAsia"/>
        </w:rPr>
        <w:t>於檢討保訓會之相關決定之後，隨即</w:t>
      </w:r>
      <w:r>
        <w:rPr>
          <w:rFonts w:ascii="標楷體" w:eastAsia="標楷體" w:hAnsi="標楷體" w:hint="eastAsia"/>
          <w:b/>
        </w:rPr>
        <w:t>檢視行政法院相關裁判的見解</w:t>
      </w:r>
      <w:r>
        <w:rPr>
          <w:rFonts w:hint="eastAsia"/>
        </w:rPr>
        <w:t>（第二章）。</w:t>
      </w:r>
    </w:p>
    <w:p w:rsidR="00000000" w:rsidRDefault="0049581B" w:rsidP="00884D8F">
      <w:pPr>
        <w:overflowPunct w:val="0"/>
        <w:spacing w:line="360" w:lineRule="auto"/>
        <w:jc w:val="both"/>
        <w:rPr>
          <w:rFonts w:hint="eastAsia"/>
        </w:rPr>
      </w:pPr>
    </w:p>
    <w:p w:rsidR="00000000" w:rsidRDefault="0049581B" w:rsidP="00884D8F">
      <w:pPr>
        <w:overflowPunct w:val="0"/>
        <w:spacing w:line="360" w:lineRule="auto"/>
        <w:jc w:val="both"/>
        <w:rPr>
          <w:rFonts w:hint="eastAsia"/>
        </w:rPr>
      </w:pPr>
      <w:r>
        <w:rPr>
          <w:rFonts w:hint="eastAsia"/>
        </w:rPr>
        <w:t xml:space="preserve"> </w:t>
      </w:r>
      <w:r>
        <w:rPr>
          <w:rFonts w:hint="eastAsia"/>
        </w:rPr>
        <w:t xml:space="preserve">   </w:t>
      </w:r>
      <w:r>
        <w:rPr>
          <w:rFonts w:hint="eastAsia"/>
        </w:rPr>
        <w:t>在藉由檢視保訓會相關決定、行政法院相關裁判，指出行政與裁判實務就</w:t>
      </w:r>
    </w:p>
    <w:p w:rsidR="00000000" w:rsidRDefault="0049581B" w:rsidP="00884D8F">
      <w:pPr>
        <w:overflowPunct w:val="0"/>
        <w:spacing w:line="360" w:lineRule="auto"/>
        <w:jc w:val="both"/>
        <w:rPr>
          <w:rFonts w:hint="eastAsia"/>
        </w:rPr>
      </w:pPr>
      <w:r>
        <w:rPr>
          <w:rFonts w:hint="eastAsia"/>
        </w:rPr>
        <w:t>與公務人員保障事件相關之信賴保護原則的適用疑義之後，自應尋求</w:t>
      </w:r>
      <w:proofErr w:type="gramStart"/>
      <w:r>
        <w:rPr>
          <w:rFonts w:hint="eastAsia"/>
        </w:rPr>
        <w:t>釐</w:t>
      </w:r>
      <w:proofErr w:type="gramEnd"/>
      <w:r>
        <w:rPr>
          <w:rFonts w:hint="eastAsia"/>
        </w:rPr>
        <w:t>清此等疑義的規範依據。其中就</w:t>
      </w:r>
      <w:r>
        <w:rPr>
          <w:rFonts w:ascii="標楷體" w:eastAsia="標楷體" w:hAnsi="標楷體" w:hint="eastAsia"/>
          <w:b/>
        </w:rPr>
        <w:t>因法規廢止、修改衍生之信賴保護原則相關問題</w:t>
      </w:r>
      <w:r>
        <w:rPr>
          <w:rFonts w:hint="eastAsia"/>
        </w:rPr>
        <w:t>，自司法院大法官釋字第</w:t>
      </w:r>
      <w:r>
        <w:rPr>
          <w:rFonts w:hint="eastAsia"/>
        </w:rPr>
        <w:t>525</w:t>
      </w:r>
      <w:r>
        <w:rPr>
          <w:rFonts w:hint="eastAsia"/>
        </w:rPr>
        <w:t>號解釋作成以來，「因公益之必要廢止法規或修改內容致人民客觀上具體表現其因信賴而生之實體法上利益受損害」，國家「應採取合理之補救措施，或訂定過渡期間之條款，</w:t>
      </w:r>
      <w:proofErr w:type="gramStart"/>
      <w:r>
        <w:rPr>
          <w:rFonts w:hint="eastAsia"/>
        </w:rPr>
        <w:t>俾</w:t>
      </w:r>
      <w:proofErr w:type="gramEnd"/>
      <w:r>
        <w:rPr>
          <w:rFonts w:hint="eastAsia"/>
        </w:rPr>
        <w:t>減輕損害，方符憲法保障人民權利之意旨」，惟「純屬願望、期待而未有表現其已生信賴之事實者，則欠缺信賴要件，不在保</w:t>
      </w:r>
      <w:r>
        <w:rPr>
          <w:rFonts w:hint="eastAsia"/>
        </w:rPr>
        <w:lastRenderedPageBreak/>
        <w:t>護範圍」；似已</w:t>
      </w:r>
      <w:r>
        <w:rPr>
          <w:rFonts w:hint="eastAsia"/>
        </w:rPr>
        <w:t>儼然成為判斷法規修改廢止之際，人民可得主張信賴保護的判</w:t>
      </w:r>
      <w:proofErr w:type="gramStart"/>
      <w:r>
        <w:rPr>
          <w:rFonts w:hint="eastAsia"/>
        </w:rPr>
        <w:t>準</w:t>
      </w:r>
      <w:proofErr w:type="gramEnd"/>
      <w:r>
        <w:rPr>
          <w:rFonts w:hint="eastAsia"/>
        </w:rPr>
        <w:t>。保訓會似亦採取此一判</w:t>
      </w:r>
      <w:proofErr w:type="gramStart"/>
      <w:r>
        <w:rPr>
          <w:rFonts w:hint="eastAsia"/>
        </w:rPr>
        <w:t>準</w:t>
      </w:r>
      <w:proofErr w:type="gramEnd"/>
      <w:r>
        <w:rPr>
          <w:rFonts w:hint="eastAsia"/>
        </w:rPr>
        <w:t>。然而，司法院大法官在釋字第</w:t>
      </w:r>
      <w:r>
        <w:rPr>
          <w:rFonts w:hint="eastAsia"/>
        </w:rPr>
        <w:t>574</w:t>
      </w:r>
      <w:r>
        <w:rPr>
          <w:rFonts w:hint="eastAsia"/>
        </w:rPr>
        <w:t>號解釋理由書、釋字第</w:t>
      </w:r>
      <w:r>
        <w:rPr>
          <w:rFonts w:hint="eastAsia"/>
        </w:rPr>
        <w:t>577</w:t>
      </w:r>
      <w:r>
        <w:rPr>
          <w:rFonts w:hint="eastAsia"/>
        </w:rPr>
        <w:t>號解釋理由書所採取之論述方式與前者未盡相同。</w:t>
      </w:r>
      <w:proofErr w:type="gramStart"/>
      <w:r>
        <w:rPr>
          <w:rFonts w:hint="eastAsia"/>
        </w:rPr>
        <w:t>此外，諸多</w:t>
      </w:r>
      <w:proofErr w:type="gramEnd"/>
      <w:r>
        <w:rPr>
          <w:rFonts w:hint="eastAsia"/>
        </w:rPr>
        <w:t>大法官亦針對此一問題提出協同意見與不同意見書。因此，關於因法規廢止、修改衍生之信賴保護原則相關問題應如何處理，</w:t>
      </w:r>
      <w:r>
        <w:rPr>
          <w:rFonts w:ascii="標楷體" w:eastAsia="標楷體" w:hAnsi="標楷體" w:hint="eastAsia"/>
          <w:b/>
        </w:rPr>
        <w:t>司法院大法官的立場尚有待進一步</w:t>
      </w:r>
      <w:proofErr w:type="gramStart"/>
      <w:r>
        <w:rPr>
          <w:rFonts w:ascii="標楷體" w:eastAsia="標楷體" w:hAnsi="標楷體" w:hint="eastAsia"/>
          <w:b/>
        </w:rPr>
        <w:t>釐</w:t>
      </w:r>
      <w:proofErr w:type="gramEnd"/>
      <w:r>
        <w:rPr>
          <w:rFonts w:ascii="標楷體" w:eastAsia="標楷體" w:hAnsi="標楷體" w:hint="eastAsia"/>
          <w:b/>
        </w:rPr>
        <w:t>清</w:t>
      </w:r>
      <w:r>
        <w:rPr>
          <w:rFonts w:hint="eastAsia"/>
        </w:rPr>
        <w:t>。如是，則應進一步檢視，除司法院大法官相關解釋外，</w:t>
      </w:r>
      <w:r>
        <w:rPr>
          <w:rFonts w:ascii="標楷體" w:eastAsia="標楷體" w:hAnsi="標楷體" w:hint="eastAsia"/>
          <w:b/>
        </w:rPr>
        <w:t>我國公法學界對此一議題是否提供清晰的解決建議</w:t>
      </w:r>
      <w:r>
        <w:rPr>
          <w:rFonts w:hint="eastAsia"/>
        </w:rPr>
        <w:t>。最後，對我國相關解釋實務與公法學理未能澄清的疑義，擬</w:t>
      </w:r>
      <w:r>
        <w:rPr>
          <w:rFonts w:ascii="標楷體" w:eastAsia="標楷體" w:hAnsi="標楷體" w:hint="eastAsia"/>
          <w:b/>
        </w:rPr>
        <w:t>參考德國聯邦憲法法院的裁判</w:t>
      </w:r>
      <w:r>
        <w:rPr>
          <w:rFonts w:ascii="標楷體" w:eastAsia="標楷體" w:hAnsi="標楷體" w:hint="eastAsia"/>
          <w:b/>
        </w:rPr>
        <w:t>與其公法學理上的研究成果</w:t>
      </w:r>
      <w:r>
        <w:rPr>
          <w:rFonts w:hint="eastAsia"/>
        </w:rPr>
        <w:t>，嘗試尋求解決（第三章）。</w:t>
      </w:r>
    </w:p>
    <w:p w:rsidR="00000000" w:rsidRDefault="0049581B" w:rsidP="00884D8F">
      <w:pPr>
        <w:overflowPunct w:val="0"/>
        <w:spacing w:line="360" w:lineRule="auto"/>
        <w:jc w:val="both"/>
        <w:rPr>
          <w:rFonts w:hint="eastAsia"/>
        </w:rPr>
      </w:pPr>
    </w:p>
    <w:p w:rsidR="00000000" w:rsidRDefault="0049581B" w:rsidP="00884D8F">
      <w:pPr>
        <w:overflowPunct w:val="0"/>
        <w:spacing w:line="360" w:lineRule="auto"/>
        <w:jc w:val="both"/>
        <w:rPr>
          <w:rFonts w:hint="eastAsia"/>
        </w:rPr>
      </w:pPr>
      <w:r>
        <w:rPr>
          <w:rFonts w:hint="eastAsia"/>
        </w:rPr>
        <w:t xml:space="preserve">    </w:t>
      </w:r>
      <w:r>
        <w:rPr>
          <w:rFonts w:hint="eastAsia"/>
        </w:rPr>
        <w:t>至於</w:t>
      </w:r>
      <w:proofErr w:type="gramStart"/>
      <w:r>
        <w:rPr>
          <w:rFonts w:ascii="標楷體" w:eastAsia="標楷體" w:hAnsi="標楷體" w:hint="eastAsia"/>
          <w:b/>
        </w:rPr>
        <w:t>授益性行政處分</w:t>
      </w:r>
      <w:proofErr w:type="gramEnd"/>
      <w:r>
        <w:rPr>
          <w:rFonts w:ascii="標楷體" w:eastAsia="標楷體" w:hAnsi="標楷體" w:hint="eastAsia"/>
          <w:b/>
        </w:rPr>
        <w:t>撤銷或廢止與信賴保護原則的關係</w:t>
      </w:r>
      <w:r>
        <w:rPr>
          <w:rFonts w:hint="eastAsia"/>
        </w:rPr>
        <w:t>，基本上牽涉得是法律，更明確地說，是行政程序法相關規定之解釋與適用的問題。質言之，人民信賴</w:t>
      </w:r>
      <w:proofErr w:type="gramStart"/>
      <w:r>
        <w:rPr>
          <w:rFonts w:hint="eastAsia"/>
        </w:rPr>
        <w:t>授益性行政處分</w:t>
      </w:r>
      <w:proofErr w:type="gramEnd"/>
      <w:r>
        <w:rPr>
          <w:rFonts w:hint="eastAsia"/>
        </w:rPr>
        <w:t>的利益與國家回復合法秩序（在撤銷授益性行政處分的情況）或其他目標的公益（在廢止授益性行政處分的情形），其彼此應如何權衡，立法者已藉由行政程序法詳加規範。雖然如此，其間仍包含諸多不確定的法律概念，為期能</w:t>
      </w:r>
      <w:proofErr w:type="gramStart"/>
      <w:r>
        <w:rPr>
          <w:rFonts w:hint="eastAsia"/>
        </w:rPr>
        <w:t>妥適且穩定</w:t>
      </w:r>
      <w:proofErr w:type="gramEnd"/>
      <w:r>
        <w:rPr>
          <w:rFonts w:hint="eastAsia"/>
        </w:rPr>
        <w:t>地適用法律，對此等概念應如何解釋、適用，自有進一步</w:t>
      </w:r>
      <w:proofErr w:type="gramStart"/>
      <w:r>
        <w:rPr>
          <w:rFonts w:hint="eastAsia"/>
        </w:rPr>
        <w:t>釐</w:t>
      </w:r>
      <w:proofErr w:type="gramEnd"/>
      <w:r>
        <w:rPr>
          <w:rFonts w:hint="eastAsia"/>
        </w:rPr>
        <w:t>清的必要。考量到我國行政程序法關於廢</w:t>
      </w:r>
      <w:r>
        <w:rPr>
          <w:rFonts w:hint="eastAsia"/>
        </w:rPr>
        <w:t>棄</w:t>
      </w:r>
      <w:proofErr w:type="gramStart"/>
      <w:r>
        <w:rPr>
          <w:rFonts w:hint="eastAsia"/>
        </w:rPr>
        <w:t>授益性行政處分</w:t>
      </w:r>
      <w:proofErr w:type="gramEnd"/>
      <w:r>
        <w:rPr>
          <w:rFonts w:hint="eastAsia"/>
        </w:rPr>
        <w:t>的規定，大抵參考德國聯邦行政程序法的規定，就類似之相關條文的闡述，似無</w:t>
      </w:r>
      <w:r>
        <w:rPr>
          <w:rFonts w:ascii="標楷體" w:eastAsia="標楷體" w:hAnsi="標楷體" w:hint="eastAsia"/>
          <w:b/>
        </w:rPr>
        <w:t>就德國與我國之規定</w:t>
      </w:r>
      <w:r>
        <w:rPr>
          <w:rFonts w:hint="eastAsia"/>
        </w:rPr>
        <w:t>分別加以說明之必要，因此</w:t>
      </w:r>
      <w:r>
        <w:rPr>
          <w:rFonts w:ascii="標楷體" w:eastAsia="標楷體" w:hAnsi="標楷體" w:hint="eastAsia"/>
          <w:b/>
        </w:rPr>
        <w:t>擬合併處理</w:t>
      </w:r>
      <w:r>
        <w:rPr>
          <w:rFonts w:hint="eastAsia"/>
        </w:rPr>
        <w:t>，僅於兩國規定相</w:t>
      </w:r>
      <w:proofErr w:type="gramStart"/>
      <w:r>
        <w:rPr>
          <w:rFonts w:hint="eastAsia"/>
        </w:rPr>
        <w:t>岐</w:t>
      </w:r>
      <w:proofErr w:type="gramEnd"/>
      <w:r>
        <w:rPr>
          <w:rFonts w:hint="eastAsia"/>
        </w:rPr>
        <w:t>之處予以</w:t>
      </w:r>
      <w:proofErr w:type="gramStart"/>
      <w:r>
        <w:rPr>
          <w:rFonts w:hint="eastAsia"/>
        </w:rPr>
        <w:t>凸</w:t>
      </w:r>
      <w:proofErr w:type="gramEnd"/>
      <w:r>
        <w:rPr>
          <w:rFonts w:hint="eastAsia"/>
        </w:rPr>
        <w:t>顯。</w:t>
      </w:r>
      <w:proofErr w:type="gramStart"/>
      <w:r>
        <w:rPr>
          <w:rFonts w:hint="eastAsia"/>
        </w:rPr>
        <w:t>此外，就授益性</w:t>
      </w:r>
      <w:proofErr w:type="gramEnd"/>
      <w:r>
        <w:rPr>
          <w:rFonts w:hint="eastAsia"/>
        </w:rPr>
        <w:t>行政處分的廢棄，本文</w:t>
      </w:r>
      <w:proofErr w:type="gramStart"/>
      <w:r>
        <w:rPr>
          <w:rFonts w:hint="eastAsia"/>
        </w:rPr>
        <w:t>不擬亦不能</w:t>
      </w:r>
      <w:proofErr w:type="gramEnd"/>
      <w:r>
        <w:rPr>
          <w:rFonts w:hint="eastAsia"/>
        </w:rPr>
        <w:t>作全面的、</w:t>
      </w:r>
      <w:proofErr w:type="gramStart"/>
      <w:r>
        <w:rPr>
          <w:rFonts w:hint="eastAsia"/>
        </w:rPr>
        <w:t>教科書式的論列</w:t>
      </w:r>
      <w:proofErr w:type="gramEnd"/>
      <w:r>
        <w:rPr>
          <w:rFonts w:hint="eastAsia"/>
        </w:rPr>
        <w:t>；考量到本研究案的目標，</w:t>
      </w:r>
      <w:proofErr w:type="gramStart"/>
      <w:r>
        <w:rPr>
          <w:rFonts w:hint="eastAsia"/>
        </w:rPr>
        <w:t>擬</w:t>
      </w:r>
      <w:r>
        <w:rPr>
          <w:rFonts w:ascii="標楷體" w:eastAsia="標楷體" w:hAnsi="標楷體" w:hint="eastAsia"/>
          <w:b/>
        </w:rPr>
        <w:t>僅檢討</w:t>
      </w:r>
      <w:proofErr w:type="gramEnd"/>
      <w:r>
        <w:rPr>
          <w:rFonts w:ascii="標楷體" w:eastAsia="標楷體" w:hAnsi="標楷體" w:hint="eastAsia"/>
          <w:b/>
        </w:rPr>
        <w:t>在保訓會、行政法院裁判實務中已顯示的相關問題</w:t>
      </w:r>
      <w:r>
        <w:rPr>
          <w:rFonts w:hint="eastAsia"/>
        </w:rPr>
        <w:t>（第四章）。</w:t>
      </w:r>
    </w:p>
    <w:p w:rsidR="00000000" w:rsidRDefault="0049581B" w:rsidP="00884D8F">
      <w:pPr>
        <w:overflowPunct w:val="0"/>
        <w:spacing w:line="360" w:lineRule="auto"/>
        <w:jc w:val="both"/>
        <w:rPr>
          <w:rFonts w:hint="eastAsia"/>
        </w:rPr>
      </w:pPr>
    </w:p>
    <w:p w:rsidR="00000000" w:rsidRDefault="0049581B" w:rsidP="00884D8F">
      <w:pPr>
        <w:overflowPunct w:val="0"/>
        <w:jc w:val="both"/>
        <w:rPr>
          <w:rFonts w:hint="eastAsia"/>
        </w:rPr>
      </w:pPr>
      <w:r>
        <w:rPr>
          <w:rFonts w:hint="eastAsia"/>
        </w:rPr>
        <w:t xml:space="preserve">    </w:t>
      </w:r>
      <w:r>
        <w:rPr>
          <w:rFonts w:hint="eastAsia"/>
        </w:rPr>
        <w:t>最後，擬根據</w:t>
      </w:r>
      <w:proofErr w:type="gramStart"/>
      <w:r>
        <w:rPr>
          <w:rFonts w:hint="eastAsia"/>
        </w:rPr>
        <w:t>前揭各章</w:t>
      </w:r>
      <w:proofErr w:type="gramEnd"/>
      <w:r>
        <w:rPr>
          <w:rFonts w:hint="eastAsia"/>
        </w:rPr>
        <w:t>的探討，對保訓會審理與信賴保護原則相關之公務人員保障事件提供具體的</w:t>
      </w:r>
      <w:bookmarkStart w:id="0" w:name="_GoBack"/>
      <w:bookmarkEnd w:id="0"/>
      <w:r>
        <w:rPr>
          <w:rFonts w:hint="eastAsia"/>
        </w:rPr>
        <w:t>建議（第五章）。</w:t>
      </w:r>
    </w:p>
    <w:p w:rsidR="00884D8F" w:rsidRDefault="00884D8F">
      <w:pPr>
        <w:overflowPunct w:val="0"/>
        <w:jc w:val="both"/>
      </w:pPr>
    </w:p>
    <w:sectPr w:rsidR="00884D8F">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81B" w:rsidRDefault="0049581B">
      <w:r>
        <w:separator/>
      </w:r>
    </w:p>
  </w:endnote>
  <w:endnote w:type="continuationSeparator" w:id="0">
    <w:p w:rsidR="0049581B" w:rsidRDefault="004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9581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000000" w:rsidRDefault="0049581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9581B">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sidR="00884D8F">
      <w:rPr>
        <w:rStyle w:val="a4"/>
        <w:noProof/>
      </w:rPr>
      <w:t>1</w:t>
    </w:r>
    <w:r>
      <w:rPr>
        <w:rStyle w:val="a4"/>
      </w:rPr>
      <w:fldChar w:fldCharType="end"/>
    </w:r>
  </w:p>
  <w:p w:rsidR="00000000" w:rsidRDefault="0049581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81B" w:rsidRDefault="0049581B">
      <w:r>
        <w:separator/>
      </w:r>
    </w:p>
  </w:footnote>
  <w:footnote w:type="continuationSeparator" w:id="0">
    <w:p w:rsidR="0049581B" w:rsidRDefault="004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D79"/>
    <w:multiLevelType w:val="hybridMultilevel"/>
    <w:tmpl w:val="27DA52AA"/>
    <w:lvl w:ilvl="0" w:tplc="04090015">
      <w:start w:val="1"/>
      <w:numFmt w:val="taiwaneseCountingThousand"/>
      <w:lvlText w:val="%1、"/>
      <w:lvlJc w:val="left"/>
      <w:pPr>
        <w:tabs>
          <w:tab w:val="num" w:pos="480"/>
        </w:tabs>
        <w:ind w:left="480" w:hanging="480"/>
      </w:pPr>
      <w:rPr>
        <w:rFonts w:hint="default"/>
      </w:rPr>
    </w:lvl>
    <w:lvl w:ilvl="1" w:tplc="C68C865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CCB3E22"/>
    <w:multiLevelType w:val="hybridMultilevel"/>
    <w:tmpl w:val="6E3E9AAA"/>
    <w:lvl w:ilvl="0" w:tplc="AA8AF9E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2132D1"/>
    <w:multiLevelType w:val="hybridMultilevel"/>
    <w:tmpl w:val="9A285D4E"/>
    <w:lvl w:ilvl="0" w:tplc="BB148916">
      <w:start w:val="1"/>
      <w:numFmt w:val="ideographLegalTraditional"/>
      <w:lvlText w:val="%1、"/>
      <w:lvlJc w:val="left"/>
      <w:pPr>
        <w:tabs>
          <w:tab w:val="num" w:pos="480"/>
        </w:tabs>
        <w:ind w:left="480" w:hanging="480"/>
      </w:pPr>
      <w:rPr>
        <w:rFonts w:ascii="新細明體" w:eastAsia="細明體" w:hAnsi="新細明體"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A213A7"/>
    <w:multiLevelType w:val="hybridMultilevel"/>
    <w:tmpl w:val="419A0264"/>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E5B09"/>
    <w:multiLevelType w:val="hybridMultilevel"/>
    <w:tmpl w:val="5D004568"/>
    <w:lvl w:ilvl="0" w:tplc="CE46DEF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82158ED"/>
    <w:multiLevelType w:val="hybridMultilevel"/>
    <w:tmpl w:val="30A8FF2C"/>
    <w:lvl w:ilvl="0" w:tplc="9D74EB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772B01BD"/>
    <w:multiLevelType w:val="hybridMultilevel"/>
    <w:tmpl w:val="B6AEE9F4"/>
    <w:lvl w:ilvl="0" w:tplc="04090015">
      <w:start w:val="1"/>
      <w:numFmt w:val="taiwaneseCountingThousand"/>
      <w:lvlText w:val="%1、"/>
      <w:lvlJc w:val="left"/>
      <w:pPr>
        <w:tabs>
          <w:tab w:val="num" w:pos="480"/>
        </w:tabs>
        <w:ind w:left="480" w:hanging="480"/>
      </w:pPr>
      <w:rPr>
        <w:rFonts w:hint="default"/>
      </w:rPr>
    </w:lvl>
    <w:lvl w:ilvl="1" w:tplc="FB441F2A">
      <w:start w:val="4"/>
      <w:numFmt w:val="taiwaneseCountingThousand"/>
      <w:lvlText w:val="第%2章"/>
      <w:lvlJc w:val="left"/>
      <w:pPr>
        <w:tabs>
          <w:tab w:val="num" w:pos="1440"/>
        </w:tabs>
        <w:ind w:left="14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CC"/>
    <w:rsid w:val="0049581B"/>
    <w:rsid w:val="00771CCC"/>
    <w:rsid w:val="00884D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0C930-1FE0-4615-8398-970B8E0D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footnote text"/>
    <w:basedOn w:val="a"/>
    <w:semiHidden/>
    <w:pPr>
      <w:snapToGrid w:val="0"/>
    </w:pPr>
    <w:rPr>
      <w:sz w:val="20"/>
      <w:szCs w:val="20"/>
    </w:rPr>
  </w:style>
  <w:style w:type="character" w:styleId="a6">
    <w:name w:val="footnote reference"/>
    <w:basedOn w:val="a0"/>
    <w:semiHidden/>
    <w:rPr>
      <w:vertAlign w:val="superscript"/>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1278</Characters>
  <Application>Microsoft Office Word</Application>
  <DocSecurity>0</DocSecurity>
  <Lines>10</Lines>
  <Paragraphs>2</Paragraphs>
  <ScaleCrop>false</ScaleCrop>
  <Company>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研究主題與研究計畫的安排</dc:title>
  <dc:subject/>
  <dc:creator>Ai-Er Chen</dc:creator>
  <cp:keywords/>
  <dc:description/>
  <cp:lastModifiedBy>卓卿雲</cp:lastModifiedBy>
  <cp:revision>3</cp:revision>
  <cp:lastPrinted>2006-11-20T12:18:00Z</cp:lastPrinted>
  <dcterms:created xsi:type="dcterms:W3CDTF">2021-09-22T10:30:00Z</dcterms:created>
  <dcterms:modified xsi:type="dcterms:W3CDTF">2021-09-22T10:30:00Z</dcterms:modified>
</cp:coreProperties>
</file>