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93A" w:rsidRDefault="00230D33">
      <w:pPr>
        <w:spacing w:line="360" w:lineRule="auto"/>
        <w:jc w:val="center"/>
        <w:rPr>
          <w:rFonts w:ascii="標楷體" w:eastAsia="標楷體" w:hAnsi="標楷體"/>
          <w:b/>
          <w:sz w:val="28"/>
          <w:szCs w:val="28"/>
        </w:rPr>
      </w:pPr>
      <w:r>
        <w:rPr>
          <w:rFonts w:ascii="標楷體" w:eastAsia="標楷體" w:hAnsi="標楷體" w:hint="eastAsia"/>
          <w:b/>
          <w:sz w:val="28"/>
          <w:szCs w:val="28"/>
        </w:rPr>
        <w:t>參考文獻</w:t>
      </w:r>
    </w:p>
    <w:p w:rsidR="009D793A" w:rsidRDefault="009D793A">
      <w:pPr>
        <w:spacing w:line="360" w:lineRule="auto"/>
      </w:pPr>
    </w:p>
    <w:p w:rsidR="009D793A" w:rsidRDefault="00230D33" w:rsidP="005E63B5">
      <w:pPr>
        <w:overflowPunct w:val="0"/>
        <w:spacing w:line="360" w:lineRule="auto"/>
        <w:jc w:val="both"/>
        <w:rPr>
          <w:rFonts w:ascii="標楷體" w:eastAsia="標楷體" w:hAnsi="標楷體"/>
          <w:b/>
        </w:rPr>
      </w:pPr>
      <w:bookmarkStart w:id="0" w:name="_GoBack"/>
      <w:r>
        <w:rPr>
          <w:rFonts w:ascii="標楷體" w:eastAsia="標楷體" w:hAnsi="標楷體" w:hint="eastAsia"/>
          <w:b/>
        </w:rPr>
        <w:t>壹、中文參考文獻</w:t>
      </w:r>
    </w:p>
    <w:p w:rsidR="009D793A" w:rsidRDefault="009D793A" w:rsidP="005E63B5">
      <w:pPr>
        <w:overflowPunct w:val="0"/>
        <w:spacing w:line="360" w:lineRule="auto"/>
        <w:jc w:val="both"/>
      </w:pPr>
    </w:p>
    <w:p w:rsidR="009D793A" w:rsidRDefault="00230D33" w:rsidP="005E63B5">
      <w:pPr>
        <w:overflowPunct w:val="0"/>
        <w:spacing w:line="360" w:lineRule="auto"/>
        <w:jc w:val="both"/>
        <w:rPr>
          <w:rFonts w:ascii="標楷體" w:eastAsia="標楷體" w:hAnsi="標楷體"/>
          <w:b/>
        </w:rPr>
      </w:pPr>
      <w:r>
        <w:rPr>
          <w:rFonts w:ascii="標楷體" w:eastAsia="標楷體" w:hAnsi="標楷體" w:hint="eastAsia"/>
          <w:b/>
        </w:rPr>
        <w:t>一、中文書籍著作</w:t>
      </w:r>
    </w:p>
    <w:p w:rsidR="009D793A" w:rsidRDefault="009D793A" w:rsidP="005E63B5">
      <w:pPr>
        <w:overflowPunct w:val="0"/>
        <w:spacing w:line="360" w:lineRule="auto"/>
        <w:jc w:val="both"/>
      </w:pPr>
    </w:p>
    <w:p w:rsidR="009D793A" w:rsidRDefault="00230D33" w:rsidP="005E63B5">
      <w:pPr>
        <w:overflowPunct w:val="0"/>
        <w:spacing w:line="360" w:lineRule="auto"/>
        <w:jc w:val="both"/>
      </w:pPr>
      <w:r>
        <w:rPr>
          <w:rFonts w:hint="eastAsia"/>
        </w:rPr>
        <w:t>吳庚，行政法之理論與實用，增訂九版，</w:t>
      </w:r>
      <w:r>
        <w:rPr>
          <w:rFonts w:hint="eastAsia"/>
        </w:rPr>
        <w:t>2005/8</w:t>
      </w:r>
      <w:r>
        <w:rPr>
          <w:rFonts w:hint="eastAsia"/>
        </w:rPr>
        <w:t>。</w:t>
      </w:r>
    </w:p>
    <w:p w:rsidR="009D793A" w:rsidRDefault="00230D33" w:rsidP="005E63B5">
      <w:pPr>
        <w:overflowPunct w:val="0"/>
        <w:spacing w:line="360" w:lineRule="auto"/>
        <w:jc w:val="both"/>
      </w:pPr>
      <w:r>
        <w:rPr>
          <w:rFonts w:hint="eastAsia"/>
        </w:rPr>
        <w:t>陳敏，行政法總論，四版，</w:t>
      </w:r>
      <w:r>
        <w:t>2004/11</w:t>
      </w:r>
      <w:r>
        <w:rPr>
          <w:rFonts w:hint="eastAsia"/>
        </w:rPr>
        <w:t>。</w:t>
      </w:r>
    </w:p>
    <w:p w:rsidR="009D793A" w:rsidRDefault="00230D33" w:rsidP="005E63B5">
      <w:pPr>
        <w:overflowPunct w:val="0"/>
        <w:spacing w:line="360" w:lineRule="auto"/>
        <w:ind w:left="960" w:hangingChars="400" w:hanging="960"/>
        <w:jc w:val="both"/>
        <w:rPr>
          <w:rFonts w:ascii="新細明體" w:hAnsi="新細明體"/>
        </w:rPr>
      </w:pPr>
      <w:r>
        <w:rPr>
          <w:rFonts w:ascii="新細明體" w:hAnsi="新細明體" w:hint="eastAsia"/>
        </w:rPr>
        <w:t>陳愛娥，「法律原則」作為行政法的法源，憲法體制與法治行政</w:t>
      </w:r>
      <w:proofErr w:type="gramStart"/>
      <w:r>
        <w:rPr>
          <w:rFonts w:ascii="新細明體" w:hAnsi="新細明體" w:hint="eastAsia"/>
        </w:rPr>
        <w:t>—</w:t>
      </w:r>
      <w:proofErr w:type="gramEnd"/>
      <w:r>
        <w:rPr>
          <w:rFonts w:ascii="新細明體" w:hAnsi="新細明體" w:hint="eastAsia"/>
        </w:rPr>
        <w:t>城仲模教授六</w:t>
      </w:r>
      <w:proofErr w:type="gramStart"/>
      <w:r>
        <w:rPr>
          <w:rFonts w:ascii="新細明體" w:hAnsi="新細明體" w:hint="eastAsia"/>
        </w:rPr>
        <w:t>秩</w:t>
      </w:r>
      <w:proofErr w:type="gramEnd"/>
      <w:r>
        <w:rPr>
          <w:rFonts w:ascii="新細明體" w:hAnsi="新細明體" w:hint="eastAsia"/>
        </w:rPr>
        <w:t>華誕祝壽論文集（二），</w:t>
      </w:r>
      <w:r>
        <w:t>1998/8</w:t>
      </w:r>
      <w:r>
        <w:rPr>
          <w:rFonts w:ascii="新細明體" w:hAnsi="新細明體" w:hint="eastAsia"/>
        </w:rPr>
        <w:t>，頁</w:t>
      </w:r>
      <w:r>
        <w:t>33-85</w:t>
      </w:r>
      <w:r>
        <w:rPr>
          <w:rFonts w:ascii="新細明體" w:hAnsi="新細明體" w:hint="eastAsia"/>
        </w:rPr>
        <w:t>。</w:t>
      </w:r>
    </w:p>
    <w:p w:rsidR="009D793A" w:rsidRDefault="009D793A" w:rsidP="005E63B5">
      <w:pPr>
        <w:overflowPunct w:val="0"/>
        <w:spacing w:line="360" w:lineRule="auto"/>
        <w:jc w:val="both"/>
      </w:pPr>
    </w:p>
    <w:p w:rsidR="009D793A" w:rsidRDefault="00230D33" w:rsidP="005E63B5">
      <w:pPr>
        <w:overflowPunct w:val="0"/>
        <w:spacing w:line="360" w:lineRule="auto"/>
        <w:jc w:val="both"/>
        <w:rPr>
          <w:rFonts w:ascii="標楷體" w:eastAsia="標楷體" w:hAnsi="標楷體"/>
          <w:b/>
        </w:rPr>
      </w:pPr>
      <w:r>
        <w:rPr>
          <w:rFonts w:ascii="標楷體" w:eastAsia="標楷體" w:hAnsi="標楷體" w:hint="eastAsia"/>
          <w:b/>
        </w:rPr>
        <w:t>二、中文期刊論文</w:t>
      </w:r>
    </w:p>
    <w:p w:rsidR="009D793A" w:rsidRDefault="009D793A" w:rsidP="005E63B5">
      <w:pPr>
        <w:overflowPunct w:val="0"/>
        <w:spacing w:line="360" w:lineRule="auto"/>
        <w:jc w:val="both"/>
      </w:pPr>
    </w:p>
    <w:p w:rsidR="009D793A" w:rsidRDefault="00230D33" w:rsidP="005E63B5">
      <w:pPr>
        <w:overflowPunct w:val="0"/>
        <w:spacing w:line="360" w:lineRule="auto"/>
        <w:ind w:left="960" w:hangingChars="400" w:hanging="960"/>
        <w:jc w:val="both"/>
      </w:pPr>
      <w:r>
        <w:rPr>
          <w:rFonts w:hint="eastAsia"/>
        </w:rPr>
        <w:t>李建良，法律的溯及既往與信賴保護原則，台灣本土法學，第</w:t>
      </w:r>
      <w:r>
        <w:rPr>
          <w:rFonts w:hint="eastAsia"/>
        </w:rPr>
        <w:t>24</w:t>
      </w:r>
      <w:r>
        <w:rPr>
          <w:rFonts w:hint="eastAsia"/>
        </w:rPr>
        <w:t>期，</w:t>
      </w:r>
      <w:r>
        <w:t>2001/7</w:t>
      </w:r>
      <w:r>
        <w:rPr>
          <w:rFonts w:hint="eastAsia"/>
        </w:rPr>
        <w:t>，頁</w:t>
      </w:r>
      <w:r>
        <w:rPr>
          <w:rFonts w:hint="eastAsia"/>
        </w:rPr>
        <w:t>79-88</w:t>
      </w:r>
      <w:r>
        <w:rPr>
          <w:rFonts w:hint="eastAsia"/>
        </w:rPr>
        <w:t>。</w:t>
      </w:r>
    </w:p>
    <w:p w:rsidR="009D793A" w:rsidRDefault="00230D33" w:rsidP="005E63B5">
      <w:pPr>
        <w:overflowPunct w:val="0"/>
        <w:spacing w:line="360" w:lineRule="auto"/>
        <w:ind w:left="960" w:hangingChars="400" w:hanging="960"/>
        <w:jc w:val="both"/>
      </w:pPr>
      <w:r>
        <w:rPr>
          <w:rFonts w:hint="eastAsia"/>
        </w:rPr>
        <w:t>李建良，從憲法</w:t>
      </w:r>
      <w:proofErr w:type="gramStart"/>
      <w:r>
        <w:rPr>
          <w:rFonts w:hint="eastAsia"/>
        </w:rPr>
        <w:t>觀點論軍公教</w:t>
      </w:r>
      <w:proofErr w:type="gramEnd"/>
      <w:r>
        <w:rPr>
          <w:rFonts w:hint="eastAsia"/>
        </w:rPr>
        <w:t>優惠存款的存廢問題，政大法學評論，第</w:t>
      </w:r>
      <w:r>
        <w:rPr>
          <w:rFonts w:hint="eastAsia"/>
        </w:rPr>
        <w:t>78</w:t>
      </w:r>
      <w:r>
        <w:rPr>
          <w:rFonts w:hint="eastAsia"/>
        </w:rPr>
        <w:t>期，</w:t>
      </w:r>
      <w:r>
        <w:rPr>
          <w:rFonts w:hint="eastAsia"/>
        </w:rPr>
        <w:t>2004/4</w:t>
      </w:r>
      <w:r>
        <w:rPr>
          <w:rFonts w:hint="eastAsia"/>
        </w:rPr>
        <w:t>，頁</w:t>
      </w:r>
      <w:r>
        <w:rPr>
          <w:rFonts w:hint="eastAsia"/>
        </w:rPr>
        <w:t>1-36</w:t>
      </w:r>
      <w:r>
        <w:rPr>
          <w:rFonts w:hint="eastAsia"/>
        </w:rPr>
        <w:t>。</w:t>
      </w:r>
    </w:p>
    <w:p w:rsidR="009D793A" w:rsidRDefault="00230D33" w:rsidP="005E63B5">
      <w:pPr>
        <w:overflowPunct w:val="0"/>
        <w:spacing w:line="360" w:lineRule="auto"/>
        <w:ind w:left="960" w:hangingChars="400" w:hanging="960"/>
        <w:jc w:val="both"/>
      </w:pPr>
      <w:r>
        <w:rPr>
          <w:rFonts w:hint="eastAsia"/>
        </w:rPr>
        <w:t>林三欽，</w:t>
      </w:r>
      <w:proofErr w:type="gramStart"/>
      <w:r>
        <w:rPr>
          <w:rFonts w:hint="eastAsia"/>
        </w:rPr>
        <w:t>論授益性</w:t>
      </w:r>
      <w:proofErr w:type="gramEnd"/>
      <w:r>
        <w:rPr>
          <w:rFonts w:hint="eastAsia"/>
        </w:rPr>
        <w:t>行政處分之撤銷</w:t>
      </w:r>
      <w:proofErr w:type="gramStart"/>
      <w:r>
        <w:rPr>
          <w:rFonts w:hint="eastAsia"/>
        </w:rPr>
        <w:t>—</w:t>
      </w:r>
      <w:proofErr w:type="gramEnd"/>
      <w:r>
        <w:rPr>
          <w:rFonts w:hint="eastAsia"/>
        </w:rPr>
        <w:t>思考層次與考量因素的探索</w:t>
      </w:r>
      <w:proofErr w:type="gramStart"/>
      <w:r>
        <w:rPr>
          <w:rFonts w:hint="eastAsia"/>
        </w:rPr>
        <w:t>—</w:t>
      </w:r>
      <w:proofErr w:type="gramEnd"/>
      <w:r>
        <w:rPr>
          <w:rFonts w:hint="eastAsia"/>
        </w:rPr>
        <w:t>，台灣本土法學，第</w:t>
      </w:r>
      <w:r>
        <w:rPr>
          <w:rFonts w:hint="eastAsia"/>
        </w:rPr>
        <w:t>28</w:t>
      </w:r>
      <w:r>
        <w:rPr>
          <w:rFonts w:hint="eastAsia"/>
        </w:rPr>
        <w:t>期，</w:t>
      </w:r>
      <w:r>
        <w:rPr>
          <w:rFonts w:hint="eastAsia"/>
        </w:rPr>
        <w:t>2001/11</w:t>
      </w:r>
      <w:r>
        <w:rPr>
          <w:rFonts w:hint="eastAsia"/>
        </w:rPr>
        <w:t>，頁</w:t>
      </w:r>
      <w:r>
        <w:rPr>
          <w:rFonts w:hint="eastAsia"/>
        </w:rPr>
        <w:t>15-33</w:t>
      </w:r>
      <w:r>
        <w:rPr>
          <w:rFonts w:hint="eastAsia"/>
        </w:rPr>
        <w:t>。</w:t>
      </w:r>
    </w:p>
    <w:p w:rsidR="009D793A" w:rsidRDefault="00230D33" w:rsidP="005E63B5">
      <w:pPr>
        <w:overflowPunct w:val="0"/>
        <w:spacing w:line="360" w:lineRule="auto"/>
        <w:ind w:left="960" w:hangingChars="400" w:hanging="960"/>
        <w:jc w:val="both"/>
      </w:pPr>
      <w:r>
        <w:rPr>
          <w:rFonts w:hint="eastAsia"/>
        </w:rPr>
        <w:t>林三欽，行政法令變遷與信賴保護</w:t>
      </w:r>
      <w:proofErr w:type="gramStart"/>
      <w:r>
        <w:rPr>
          <w:rFonts w:hint="eastAsia"/>
        </w:rPr>
        <w:t>—</w:t>
      </w:r>
      <w:proofErr w:type="gramEnd"/>
      <w:r>
        <w:rPr>
          <w:rFonts w:hint="eastAsia"/>
        </w:rPr>
        <w:t>論行政機關處理新舊法秩序交替問題之原則，東吳法律學報，第</w:t>
      </w:r>
      <w:r>
        <w:rPr>
          <w:rFonts w:hint="eastAsia"/>
        </w:rPr>
        <w:t>16</w:t>
      </w:r>
      <w:r>
        <w:rPr>
          <w:rFonts w:hint="eastAsia"/>
        </w:rPr>
        <w:t>卷第</w:t>
      </w:r>
      <w:r>
        <w:rPr>
          <w:rFonts w:hint="eastAsia"/>
        </w:rPr>
        <w:t>1</w:t>
      </w:r>
      <w:r>
        <w:rPr>
          <w:rFonts w:hint="eastAsia"/>
        </w:rPr>
        <w:t>期，</w:t>
      </w:r>
      <w:r>
        <w:rPr>
          <w:rFonts w:hint="eastAsia"/>
        </w:rPr>
        <w:t>2004/8</w:t>
      </w:r>
      <w:r>
        <w:rPr>
          <w:rFonts w:hint="eastAsia"/>
        </w:rPr>
        <w:t>，頁</w:t>
      </w:r>
      <w:r>
        <w:rPr>
          <w:rFonts w:hint="eastAsia"/>
        </w:rPr>
        <w:t>131-186</w:t>
      </w:r>
      <w:r>
        <w:rPr>
          <w:rFonts w:hint="eastAsia"/>
        </w:rPr>
        <w:t>。</w:t>
      </w:r>
    </w:p>
    <w:p w:rsidR="009D793A" w:rsidRDefault="00230D33" w:rsidP="005E63B5">
      <w:pPr>
        <w:overflowPunct w:val="0"/>
        <w:spacing w:line="360" w:lineRule="auto"/>
        <w:ind w:left="900" w:hangingChars="375" w:hanging="900"/>
        <w:jc w:val="both"/>
      </w:pPr>
      <w:r>
        <w:rPr>
          <w:rFonts w:hint="eastAsia"/>
        </w:rPr>
        <w:t>林三欽，</w:t>
      </w:r>
      <w:proofErr w:type="gramStart"/>
      <w:r>
        <w:rPr>
          <w:rFonts w:hint="eastAsia"/>
        </w:rPr>
        <w:t>簡評大法官</w:t>
      </w:r>
      <w:proofErr w:type="gramEnd"/>
      <w:r>
        <w:rPr>
          <w:rFonts w:hint="eastAsia"/>
        </w:rPr>
        <w:t>釋字第六０五號解釋</w:t>
      </w:r>
      <w:proofErr w:type="gramStart"/>
      <w:r>
        <w:rPr>
          <w:rFonts w:hint="eastAsia"/>
        </w:rPr>
        <w:t>—</w:t>
      </w:r>
      <w:proofErr w:type="gramEnd"/>
      <w:r>
        <w:rPr>
          <w:rFonts w:hint="eastAsia"/>
        </w:rPr>
        <w:t>法令溯及適用之疑義</w:t>
      </w:r>
      <w:proofErr w:type="gramStart"/>
      <w:r>
        <w:rPr>
          <w:rFonts w:hint="eastAsia"/>
        </w:rPr>
        <w:t>—</w:t>
      </w:r>
      <w:proofErr w:type="gramEnd"/>
      <w:r>
        <w:rPr>
          <w:rFonts w:hint="eastAsia"/>
        </w:rPr>
        <w:t>，台灣本土法學，第</w:t>
      </w:r>
      <w:r>
        <w:rPr>
          <w:rFonts w:hint="eastAsia"/>
        </w:rPr>
        <w:t>77</w:t>
      </w:r>
      <w:r>
        <w:rPr>
          <w:rFonts w:hint="eastAsia"/>
        </w:rPr>
        <w:t>期，</w:t>
      </w:r>
      <w:r>
        <w:rPr>
          <w:rFonts w:hint="eastAsia"/>
        </w:rPr>
        <w:t>2005/12</w:t>
      </w:r>
      <w:r>
        <w:rPr>
          <w:rFonts w:hint="eastAsia"/>
        </w:rPr>
        <w:t>，頁</w:t>
      </w:r>
      <w:r>
        <w:rPr>
          <w:rFonts w:hint="eastAsia"/>
        </w:rPr>
        <w:t>285-290</w:t>
      </w:r>
      <w:r>
        <w:rPr>
          <w:rFonts w:hint="eastAsia"/>
        </w:rPr>
        <w:t>。</w:t>
      </w:r>
    </w:p>
    <w:p w:rsidR="009D793A" w:rsidRDefault="00230D33" w:rsidP="005E63B5">
      <w:pPr>
        <w:overflowPunct w:val="0"/>
        <w:spacing w:line="360" w:lineRule="auto"/>
        <w:ind w:left="960" w:hangingChars="400" w:hanging="960"/>
        <w:jc w:val="both"/>
      </w:pPr>
      <w:proofErr w:type="gramStart"/>
      <w:r>
        <w:rPr>
          <w:rFonts w:hint="eastAsia"/>
        </w:rPr>
        <w:t>林石猛</w:t>
      </w:r>
      <w:proofErr w:type="gramEnd"/>
      <w:r>
        <w:rPr>
          <w:rFonts w:hint="eastAsia"/>
        </w:rPr>
        <w:t>、蔡坤展，合法授益處分之廢止與信賴保護原則案例探討</w:t>
      </w:r>
      <w:proofErr w:type="gramStart"/>
      <w:r>
        <w:rPr>
          <w:rFonts w:hint="eastAsia"/>
        </w:rPr>
        <w:t>—</w:t>
      </w:r>
      <w:proofErr w:type="gramEnd"/>
      <w:r>
        <w:rPr>
          <w:rFonts w:hint="eastAsia"/>
        </w:rPr>
        <w:t>最高行政法院九十一年度判字第一四二九號判決評釋，律師雜誌，第</w:t>
      </w:r>
      <w:r>
        <w:rPr>
          <w:rFonts w:hint="eastAsia"/>
        </w:rPr>
        <w:t>295</w:t>
      </w:r>
      <w:r>
        <w:rPr>
          <w:rFonts w:hint="eastAsia"/>
        </w:rPr>
        <w:t>期，</w:t>
      </w:r>
      <w:r>
        <w:rPr>
          <w:rFonts w:hint="eastAsia"/>
        </w:rPr>
        <w:t>2004/4</w:t>
      </w:r>
      <w:r>
        <w:rPr>
          <w:rFonts w:hint="eastAsia"/>
        </w:rPr>
        <w:t>，</w:t>
      </w:r>
      <w:r>
        <w:rPr>
          <w:rFonts w:hint="eastAsia"/>
        </w:rPr>
        <w:lastRenderedPageBreak/>
        <w:t>頁</w:t>
      </w:r>
      <w:r>
        <w:rPr>
          <w:rFonts w:hint="eastAsia"/>
        </w:rPr>
        <w:t>89-122</w:t>
      </w:r>
      <w:r>
        <w:rPr>
          <w:rFonts w:hint="eastAsia"/>
        </w:rPr>
        <w:t>。</w:t>
      </w:r>
    </w:p>
    <w:p w:rsidR="009D793A" w:rsidRDefault="00230D33" w:rsidP="005E63B5">
      <w:pPr>
        <w:overflowPunct w:val="0"/>
        <w:spacing w:line="360" w:lineRule="auto"/>
        <w:ind w:left="900" w:hangingChars="375" w:hanging="900"/>
        <w:jc w:val="both"/>
        <w:rPr>
          <w:rFonts w:ascii="新細明體" w:hAnsi="新細明體"/>
        </w:rPr>
      </w:pPr>
      <w:r>
        <w:rPr>
          <w:rFonts w:hint="eastAsia"/>
        </w:rPr>
        <w:t>林明鏘，行政規則變動與信賴保護原則</w:t>
      </w:r>
      <w:proofErr w:type="gramStart"/>
      <w:r>
        <w:rPr>
          <w:rFonts w:ascii="新細明體" w:hAnsi="新細明體" w:hint="eastAsia"/>
        </w:rPr>
        <w:t>—</w:t>
      </w:r>
      <w:proofErr w:type="gramEnd"/>
      <w:r>
        <w:rPr>
          <w:rFonts w:ascii="新細明體" w:hAnsi="新細明體" w:hint="eastAsia"/>
        </w:rPr>
        <w:t>兼評最高行政法院八十九年判字第一八四二號判決與司法院大法官解釋第五二五號解釋，葛克昌、林明鏘編，行政法實務與理論（一），</w:t>
      </w:r>
      <w:r>
        <w:t>2003/3</w:t>
      </w:r>
      <w:r>
        <w:rPr>
          <w:rFonts w:ascii="新細明體" w:hAnsi="新細明體" w:hint="eastAsia"/>
        </w:rPr>
        <w:t>，頁</w:t>
      </w:r>
      <w:r>
        <w:t>577-600</w:t>
      </w:r>
      <w:r>
        <w:rPr>
          <w:rFonts w:ascii="新細明體" w:hAnsi="新細明體" w:hint="eastAsia"/>
        </w:rPr>
        <w:t>。</w:t>
      </w:r>
    </w:p>
    <w:p w:rsidR="009D793A" w:rsidRDefault="00230D33" w:rsidP="005E63B5">
      <w:pPr>
        <w:overflowPunct w:val="0"/>
        <w:spacing w:line="360" w:lineRule="auto"/>
        <w:ind w:left="960" w:hangingChars="400" w:hanging="960"/>
        <w:jc w:val="both"/>
        <w:rPr>
          <w:rFonts w:ascii="新細明體" w:hAnsi="新細明體"/>
        </w:rPr>
      </w:pPr>
      <w:r>
        <w:rPr>
          <w:rFonts w:ascii="新細明體" w:hAnsi="新細明體" w:hint="eastAsia"/>
        </w:rPr>
        <w:t>洪</w:t>
      </w:r>
      <w:proofErr w:type="gramStart"/>
      <w:r>
        <w:rPr>
          <w:rFonts w:ascii="新細明體" w:hAnsi="新細明體" w:hint="eastAsia"/>
        </w:rPr>
        <w:t>家殷，</w:t>
      </w:r>
      <w:proofErr w:type="gramEnd"/>
      <w:r>
        <w:rPr>
          <w:rFonts w:ascii="新細明體" w:hAnsi="新細明體" w:hint="eastAsia"/>
        </w:rPr>
        <w:t>論信賴保護原則之適用</w:t>
      </w:r>
      <w:proofErr w:type="gramStart"/>
      <w:r>
        <w:rPr>
          <w:rFonts w:ascii="新細明體" w:hAnsi="新細明體" w:hint="eastAsia"/>
        </w:rPr>
        <w:t>—</w:t>
      </w:r>
      <w:proofErr w:type="gramEnd"/>
      <w:r>
        <w:rPr>
          <w:rFonts w:ascii="新細明體" w:hAnsi="新細明體" w:hint="eastAsia"/>
        </w:rPr>
        <w:t>司法院大法官釋字第五二五號解釋評析</w:t>
      </w:r>
      <w:proofErr w:type="gramStart"/>
      <w:r>
        <w:rPr>
          <w:rFonts w:ascii="新細明體" w:hAnsi="新細明體" w:hint="eastAsia"/>
        </w:rPr>
        <w:t>—</w:t>
      </w:r>
      <w:proofErr w:type="gramEnd"/>
      <w:r>
        <w:rPr>
          <w:rFonts w:ascii="新細明體" w:hAnsi="新細明體" w:hint="eastAsia"/>
        </w:rPr>
        <w:t>，台灣本土法學，第</w:t>
      </w:r>
      <w:r>
        <w:t>27</w:t>
      </w:r>
      <w:r>
        <w:rPr>
          <w:rFonts w:ascii="新細明體" w:hAnsi="新細明體" w:hint="eastAsia"/>
        </w:rPr>
        <w:t>期，</w:t>
      </w:r>
      <w:r>
        <w:t>2001/10</w:t>
      </w:r>
      <w:r>
        <w:rPr>
          <w:rFonts w:ascii="新細明體" w:hAnsi="新細明體" w:hint="eastAsia"/>
        </w:rPr>
        <w:t>，頁</w:t>
      </w:r>
      <w:r>
        <w:t>39-55</w:t>
      </w:r>
      <w:r>
        <w:rPr>
          <w:rFonts w:ascii="新細明體" w:hAnsi="新細明體" w:hint="eastAsia"/>
        </w:rPr>
        <w:t>。</w:t>
      </w:r>
    </w:p>
    <w:p w:rsidR="009D793A" w:rsidRDefault="00230D33" w:rsidP="005E63B5">
      <w:pPr>
        <w:overflowPunct w:val="0"/>
        <w:spacing w:line="360" w:lineRule="auto"/>
        <w:ind w:left="900" w:hangingChars="375" w:hanging="900"/>
        <w:jc w:val="both"/>
        <w:rPr>
          <w:rFonts w:ascii="新細明體" w:hAnsi="新細明體"/>
        </w:rPr>
      </w:pPr>
      <w:r>
        <w:rPr>
          <w:rFonts w:ascii="新細明體" w:hAnsi="新細明體" w:hint="eastAsia"/>
        </w:rPr>
        <w:t>黃俊杰，解釋函令變更與信賴保護</w:t>
      </w:r>
      <w:proofErr w:type="gramStart"/>
      <w:r>
        <w:rPr>
          <w:rFonts w:ascii="新細明體" w:hAnsi="新細明體" w:hint="eastAsia"/>
        </w:rPr>
        <w:t>—</w:t>
      </w:r>
      <w:proofErr w:type="gramEnd"/>
      <w:r>
        <w:rPr>
          <w:rFonts w:ascii="新細明體" w:hAnsi="新細明體" w:hint="eastAsia"/>
        </w:rPr>
        <w:t>行政法院八十八年度判字第三九０七號判決評釋，台灣本土法學，第</w:t>
      </w:r>
      <w:r>
        <w:t>20</w:t>
      </w:r>
      <w:r>
        <w:rPr>
          <w:rFonts w:ascii="新細明體" w:hAnsi="新細明體" w:hint="eastAsia"/>
        </w:rPr>
        <w:t>期，</w:t>
      </w:r>
      <w:r>
        <w:t>2001/3</w:t>
      </w:r>
      <w:r>
        <w:rPr>
          <w:rFonts w:ascii="新細明體" w:hAnsi="新細明體" w:hint="eastAsia"/>
        </w:rPr>
        <w:t>，頁</w:t>
      </w:r>
      <w:r>
        <w:t>1-13</w:t>
      </w:r>
      <w:r>
        <w:rPr>
          <w:rFonts w:hint="eastAsia"/>
        </w:rPr>
        <w:t>。</w:t>
      </w:r>
    </w:p>
    <w:p w:rsidR="009D793A" w:rsidRDefault="00230D33" w:rsidP="005E63B5">
      <w:pPr>
        <w:overflowPunct w:val="0"/>
        <w:spacing w:line="360" w:lineRule="auto"/>
        <w:ind w:left="1020" w:hangingChars="425" w:hanging="1020"/>
        <w:jc w:val="both"/>
      </w:pPr>
      <w:r>
        <w:rPr>
          <w:rFonts w:ascii="新細明體" w:hAnsi="新細明體" w:hint="eastAsia"/>
        </w:rPr>
        <w:t>黃俊杰，稅捐優惠之憲法基礎與信賴保護，臺大</w:t>
      </w:r>
      <w:proofErr w:type="gramStart"/>
      <w:r>
        <w:rPr>
          <w:rFonts w:ascii="新細明體" w:hAnsi="新細明體" w:hint="eastAsia"/>
        </w:rPr>
        <w:t>法學論叢</w:t>
      </w:r>
      <w:proofErr w:type="gramEnd"/>
      <w:r>
        <w:rPr>
          <w:rFonts w:ascii="新細明體" w:hAnsi="新細明體" w:hint="eastAsia"/>
        </w:rPr>
        <w:t>，第</w:t>
      </w:r>
      <w:r>
        <w:t>31</w:t>
      </w:r>
      <w:r>
        <w:rPr>
          <w:rFonts w:ascii="新細明體" w:hAnsi="新細明體" w:hint="eastAsia"/>
        </w:rPr>
        <w:t>卷第</w:t>
      </w:r>
      <w:r>
        <w:t>6</w:t>
      </w:r>
      <w:r>
        <w:rPr>
          <w:rFonts w:ascii="新細明體" w:hAnsi="新細明體" w:hint="eastAsia"/>
        </w:rPr>
        <w:t>期，</w:t>
      </w:r>
      <w:r>
        <w:t>2002/11</w:t>
      </w:r>
      <w:r>
        <w:rPr>
          <w:rFonts w:ascii="新細明體" w:hAnsi="新細明體" w:hint="eastAsia"/>
        </w:rPr>
        <w:t>，頁</w:t>
      </w:r>
      <w:r>
        <w:t>183-267</w:t>
      </w:r>
      <w:r>
        <w:rPr>
          <w:rFonts w:hint="eastAsia"/>
        </w:rPr>
        <w:t>。</w:t>
      </w:r>
    </w:p>
    <w:p w:rsidR="009D793A" w:rsidRDefault="00230D33" w:rsidP="005E63B5">
      <w:pPr>
        <w:overflowPunct w:val="0"/>
        <w:spacing w:line="360" w:lineRule="auto"/>
        <w:ind w:left="960" w:hangingChars="400" w:hanging="960"/>
        <w:jc w:val="both"/>
        <w:rPr>
          <w:rFonts w:ascii="新細明體" w:hAnsi="新細明體"/>
        </w:rPr>
      </w:pPr>
      <w:r>
        <w:rPr>
          <w:rFonts w:ascii="新細明體" w:hAnsi="新細明體" w:hint="eastAsia"/>
        </w:rPr>
        <w:t>陳愛娥，信賴保護原則在撤銷</w:t>
      </w:r>
      <w:proofErr w:type="gramStart"/>
      <w:r>
        <w:rPr>
          <w:rFonts w:ascii="新細明體" w:hAnsi="新細明體" w:hint="eastAsia"/>
        </w:rPr>
        <w:t>授益性行政處分</w:t>
      </w:r>
      <w:proofErr w:type="gramEnd"/>
      <w:r>
        <w:rPr>
          <w:rFonts w:ascii="新細明體" w:hAnsi="新細明體" w:hint="eastAsia"/>
        </w:rPr>
        <w:t>時的適用</w:t>
      </w:r>
      <w:proofErr w:type="gramStart"/>
      <w:r>
        <w:rPr>
          <w:rFonts w:ascii="新細明體" w:hAnsi="新細明體" w:hint="eastAsia"/>
        </w:rPr>
        <w:t>—</w:t>
      </w:r>
      <w:proofErr w:type="gramEnd"/>
      <w:r>
        <w:rPr>
          <w:rFonts w:ascii="新細明體" w:hAnsi="新細明體" w:hint="eastAsia"/>
        </w:rPr>
        <w:t>行政法院八十六年判字</w:t>
      </w:r>
    </w:p>
    <w:p w:rsidR="009D793A" w:rsidRDefault="00230D33" w:rsidP="005E63B5">
      <w:pPr>
        <w:overflowPunct w:val="0"/>
        <w:spacing w:line="360" w:lineRule="auto"/>
        <w:ind w:leftChars="400" w:left="960"/>
        <w:jc w:val="both"/>
        <w:rPr>
          <w:rFonts w:ascii="新細明體" w:hAnsi="新細明體"/>
        </w:rPr>
      </w:pPr>
      <w:r>
        <w:rPr>
          <w:rFonts w:ascii="新細明體" w:hAnsi="新細明體" w:hint="eastAsia"/>
        </w:rPr>
        <w:t>第一二三二號判決評釋，台灣本土法學，第</w:t>
      </w:r>
      <w:r>
        <w:t>8</w:t>
      </w:r>
      <w:r>
        <w:rPr>
          <w:rFonts w:ascii="新細明體" w:hAnsi="新細明體" w:hint="eastAsia"/>
        </w:rPr>
        <w:t>期，2000/3，頁</w:t>
      </w:r>
      <w:r>
        <w:t>15-29</w:t>
      </w:r>
      <w:r>
        <w:rPr>
          <w:rFonts w:ascii="新細明體" w:hAnsi="新細明體" w:hint="eastAsia"/>
        </w:rPr>
        <w:t>。</w:t>
      </w:r>
    </w:p>
    <w:p w:rsidR="009D793A" w:rsidRDefault="00230D33" w:rsidP="005E63B5">
      <w:pPr>
        <w:overflowPunct w:val="0"/>
        <w:spacing w:line="360" w:lineRule="auto"/>
        <w:ind w:left="960" w:hangingChars="400" w:hanging="960"/>
        <w:jc w:val="both"/>
        <w:rPr>
          <w:rFonts w:ascii="新細明體" w:hAnsi="新細明體"/>
        </w:rPr>
      </w:pPr>
      <w:r>
        <w:rPr>
          <w:rFonts w:ascii="新細明體" w:hAnsi="新細明體" w:hint="eastAsia"/>
        </w:rPr>
        <w:t>陳愛娥，國小校長的「</w:t>
      </w:r>
      <w:proofErr w:type="gramStart"/>
      <w:r>
        <w:rPr>
          <w:rFonts w:ascii="新細明體" w:hAnsi="新細明體" w:hint="eastAsia"/>
        </w:rPr>
        <w:t>遴</w:t>
      </w:r>
      <w:proofErr w:type="gramEnd"/>
      <w:r>
        <w:rPr>
          <w:rFonts w:ascii="新細明體" w:hAnsi="新細明體" w:hint="eastAsia"/>
        </w:rPr>
        <w:t>用」或「遴選</w:t>
      </w:r>
      <w:r>
        <w:rPr>
          <w:rFonts w:ascii="新細明體" w:hAnsi="新細明體"/>
        </w:rPr>
        <w:t>」</w:t>
      </w:r>
      <w:proofErr w:type="gramStart"/>
      <w:r>
        <w:rPr>
          <w:rFonts w:ascii="新細明體" w:hAnsi="新細明體" w:hint="eastAsia"/>
        </w:rPr>
        <w:t>—</w:t>
      </w:r>
      <w:proofErr w:type="gramEnd"/>
      <w:r>
        <w:rPr>
          <w:rFonts w:ascii="新細明體" w:hAnsi="新細明體" w:hint="eastAsia"/>
        </w:rPr>
        <w:t xml:space="preserve"> 法律溯及既往原則的相關問題</w:t>
      </w:r>
      <w:proofErr w:type="gramStart"/>
      <w:r>
        <w:rPr>
          <w:rFonts w:ascii="新細明體" w:hAnsi="新細明體" w:hint="eastAsia"/>
        </w:rPr>
        <w:t>—</w:t>
      </w:r>
      <w:proofErr w:type="gramEnd"/>
      <w:r>
        <w:rPr>
          <w:rFonts w:ascii="新細明體" w:hAnsi="新細明體" w:hint="eastAsia"/>
        </w:rPr>
        <w:t>，台灣本土法學，第</w:t>
      </w:r>
      <w:r>
        <w:t>21</w:t>
      </w:r>
      <w:r>
        <w:rPr>
          <w:rFonts w:ascii="新細明體" w:hAnsi="新細明體" w:hint="eastAsia"/>
        </w:rPr>
        <w:t>期，</w:t>
      </w:r>
      <w:r>
        <w:t>2001/4</w:t>
      </w:r>
      <w:r>
        <w:rPr>
          <w:rFonts w:ascii="新細明體" w:hAnsi="新細明體" w:hint="eastAsia"/>
        </w:rPr>
        <w:t>，頁</w:t>
      </w:r>
      <w:r>
        <w:t>140-144</w:t>
      </w:r>
      <w:r>
        <w:rPr>
          <w:rFonts w:ascii="新細明體" w:hAnsi="新細明體" w:hint="eastAsia"/>
        </w:rPr>
        <w:t>。</w:t>
      </w:r>
    </w:p>
    <w:p w:rsidR="009D793A" w:rsidRDefault="00230D33" w:rsidP="005E63B5">
      <w:pPr>
        <w:overflowPunct w:val="0"/>
        <w:spacing w:line="360" w:lineRule="auto"/>
        <w:ind w:left="960" w:hangingChars="400" w:hanging="960"/>
        <w:jc w:val="both"/>
        <w:rPr>
          <w:rFonts w:ascii="新細明體" w:hAnsi="新細明體"/>
        </w:rPr>
      </w:pPr>
      <w:r>
        <w:rPr>
          <w:rFonts w:ascii="新細明體" w:hAnsi="新細明體" w:hint="eastAsia"/>
        </w:rPr>
        <w:t>彭鳳至，法律</w:t>
      </w:r>
      <w:proofErr w:type="gramStart"/>
      <w:r>
        <w:rPr>
          <w:rFonts w:ascii="新細明體" w:hAnsi="新細明體" w:hint="eastAsia"/>
        </w:rPr>
        <w:t>不</w:t>
      </w:r>
      <w:proofErr w:type="gramEnd"/>
      <w:r>
        <w:rPr>
          <w:rFonts w:ascii="新細明體" w:hAnsi="新細明體" w:hint="eastAsia"/>
        </w:rPr>
        <w:t>溯既往原則之憲法地位，台灣本土法學，第</w:t>
      </w:r>
      <w:r>
        <w:t>48</w:t>
      </w:r>
      <w:r>
        <w:rPr>
          <w:rFonts w:ascii="新細明體" w:hAnsi="新細明體" w:hint="eastAsia"/>
        </w:rPr>
        <w:t>期，</w:t>
      </w:r>
      <w:r>
        <w:t>2003/7</w:t>
      </w:r>
      <w:r>
        <w:rPr>
          <w:rFonts w:ascii="新細明體" w:hAnsi="新細明體" w:hint="eastAsia"/>
        </w:rPr>
        <w:t>，頁</w:t>
      </w:r>
      <w:r>
        <w:t>3-23</w:t>
      </w:r>
      <w:r>
        <w:rPr>
          <w:rFonts w:hint="eastAsia"/>
        </w:rPr>
        <w:t>。</w:t>
      </w:r>
    </w:p>
    <w:p w:rsidR="009D793A" w:rsidRDefault="00230D33" w:rsidP="005E63B5">
      <w:pPr>
        <w:overflowPunct w:val="0"/>
        <w:spacing w:line="360" w:lineRule="auto"/>
        <w:jc w:val="both"/>
        <w:rPr>
          <w:rFonts w:ascii="新細明體" w:hAnsi="新細明體"/>
        </w:rPr>
      </w:pPr>
      <w:r>
        <w:rPr>
          <w:rFonts w:ascii="新細明體" w:hAnsi="新細明體" w:hint="eastAsia"/>
        </w:rPr>
        <w:t>張文郁，限時法和</w:t>
      </w:r>
      <w:proofErr w:type="gramStart"/>
      <w:r>
        <w:rPr>
          <w:rFonts w:ascii="新細明體" w:hAnsi="新細明體" w:hint="eastAsia"/>
        </w:rPr>
        <w:t>法律之溯及</w:t>
      </w:r>
      <w:proofErr w:type="gramEnd"/>
      <w:r>
        <w:rPr>
          <w:rFonts w:ascii="新細明體" w:hAnsi="新細明體" w:hint="eastAsia"/>
        </w:rPr>
        <w:t>既往，台灣本土法學，第</w:t>
      </w:r>
      <w:r>
        <w:t>46</w:t>
      </w:r>
      <w:r>
        <w:rPr>
          <w:rFonts w:ascii="新細明體" w:hAnsi="新細明體" w:hint="eastAsia"/>
        </w:rPr>
        <w:t>期，</w:t>
      </w:r>
      <w:r>
        <w:t>2003/5</w:t>
      </w:r>
      <w:r>
        <w:rPr>
          <w:rFonts w:ascii="新細明體" w:hAnsi="新細明體" w:hint="eastAsia"/>
        </w:rPr>
        <w:t>，頁</w:t>
      </w:r>
      <w:r>
        <w:t>155-160</w:t>
      </w:r>
      <w:r>
        <w:rPr>
          <w:rFonts w:ascii="新細明體" w:hAnsi="新細明體" w:hint="eastAsia"/>
        </w:rPr>
        <w:t>。</w:t>
      </w:r>
    </w:p>
    <w:p w:rsidR="009D793A" w:rsidRDefault="009D793A" w:rsidP="005E63B5">
      <w:pPr>
        <w:overflowPunct w:val="0"/>
        <w:spacing w:line="360" w:lineRule="auto"/>
        <w:jc w:val="both"/>
        <w:rPr>
          <w:rFonts w:ascii="新細明體" w:hAnsi="新細明體"/>
        </w:rPr>
      </w:pPr>
    </w:p>
    <w:p w:rsidR="009D793A" w:rsidRDefault="00230D33" w:rsidP="005E63B5">
      <w:pPr>
        <w:overflowPunct w:val="0"/>
        <w:spacing w:line="360" w:lineRule="auto"/>
        <w:jc w:val="both"/>
        <w:rPr>
          <w:rFonts w:ascii="標楷體" w:eastAsia="標楷體" w:hAnsi="標楷體"/>
          <w:b/>
        </w:rPr>
      </w:pPr>
      <w:r>
        <w:rPr>
          <w:rFonts w:ascii="標楷體" w:eastAsia="標楷體" w:hAnsi="標楷體" w:hint="eastAsia"/>
          <w:b/>
        </w:rPr>
        <w:t>貳、德文參考文獻</w:t>
      </w:r>
    </w:p>
    <w:p w:rsidR="009D793A" w:rsidRDefault="009D793A" w:rsidP="005E63B5">
      <w:pPr>
        <w:overflowPunct w:val="0"/>
        <w:spacing w:line="360" w:lineRule="auto"/>
        <w:jc w:val="both"/>
      </w:pPr>
    </w:p>
    <w:p w:rsidR="009D793A" w:rsidRDefault="00230D33" w:rsidP="005E63B5">
      <w:pPr>
        <w:overflowPunct w:val="0"/>
        <w:spacing w:line="360" w:lineRule="auto"/>
        <w:jc w:val="both"/>
        <w:rPr>
          <w:rFonts w:ascii="標楷體" w:eastAsia="標楷體" w:hAnsi="標楷體"/>
          <w:b/>
        </w:rPr>
      </w:pPr>
      <w:r>
        <w:rPr>
          <w:rFonts w:ascii="標楷體" w:eastAsia="標楷體" w:hAnsi="標楷體" w:hint="eastAsia"/>
          <w:b/>
        </w:rPr>
        <w:t>一、德文書籍著作</w:t>
      </w:r>
    </w:p>
    <w:p w:rsidR="009D793A" w:rsidRDefault="009D793A" w:rsidP="005E63B5">
      <w:pPr>
        <w:overflowPunct w:val="0"/>
        <w:spacing w:line="360" w:lineRule="auto"/>
        <w:jc w:val="both"/>
        <w:rPr>
          <w:lang w:val="de-DE"/>
        </w:rPr>
      </w:pPr>
    </w:p>
    <w:p w:rsidR="009D793A" w:rsidRDefault="00230D33" w:rsidP="005E63B5">
      <w:pPr>
        <w:overflowPunct w:val="0"/>
        <w:spacing w:line="360" w:lineRule="auto"/>
        <w:ind w:left="720" w:hangingChars="300" w:hanging="720"/>
        <w:jc w:val="both"/>
        <w:rPr>
          <w:lang w:val="de-DE"/>
        </w:rPr>
      </w:pPr>
      <w:r>
        <w:rPr>
          <w:rFonts w:hint="eastAsia"/>
          <w:lang w:val="de-DE"/>
        </w:rPr>
        <w:t xml:space="preserve">Benda, Ernst: </w:t>
      </w:r>
      <w:r>
        <w:rPr>
          <w:lang w:val="de-DE"/>
        </w:rPr>
        <w:t>§</w:t>
      </w:r>
      <w:r>
        <w:rPr>
          <w:rFonts w:hint="eastAsia"/>
          <w:lang w:val="de-DE"/>
        </w:rPr>
        <w:t xml:space="preserve"> 17 Der soziale Rechtsstaat, in: E. Benda/Werner Maihofer/Hans-Jochen Vogel (Hg.), Handbuch des Verfassungsrechts, 2. Aufl., 1994.</w:t>
      </w:r>
    </w:p>
    <w:p w:rsidR="009D793A" w:rsidRDefault="00230D33" w:rsidP="005E63B5">
      <w:pPr>
        <w:overflowPunct w:val="0"/>
        <w:spacing w:line="360" w:lineRule="auto"/>
        <w:jc w:val="both"/>
        <w:rPr>
          <w:lang w:val="de-DE"/>
        </w:rPr>
      </w:pPr>
      <w:r>
        <w:rPr>
          <w:rFonts w:hint="eastAsia"/>
          <w:lang w:val="de-DE"/>
        </w:rPr>
        <w:t>Detterbeck, Steffen: Allgemeines Verwaltungsrecht, 3. Aufl., 2005.</w:t>
      </w:r>
    </w:p>
    <w:p w:rsidR="009D793A" w:rsidRDefault="00230D33" w:rsidP="005E63B5">
      <w:pPr>
        <w:overflowPunct w:val="0"/>
        <w:spacing w:line="360" w:lineRule="auto"/>
        <w:ind w:left="840" w:hangingChars="350" w:hanging="840"/>
        <w:jc w:val="both"/>
        <w:rPr>
          <w:lang w:val="de-DE"/>
        </w:rPr>
      </w:pPr>
      <w:r>
        <w:rPr>
          <w:rFonts w:hint="eastAsia"/>
          <w:lang w:val="de-DE"/>
        </w:rPr>
        <w:lastRenderedPageBreak/>
        <w:t>Erichen, Hans-Uwe / Ehlers, Dirk (Hg.): Allgemeines Verwaltungsrecht, 12. Aufl., 2002.</w:t>
      </w:r>
    </w:p>
    <w:p w:rsidR="009D793A" w:rsidRDefault="00230D33" w:rsidP="005E63B5">
      <w:pPr>
        <w:overflowPunct w:val="0"/>
        <w:spacing w:line="360" w:lineRule="auto"/>
        <w:ind w:left="600" w:hangingChars="250" w:hanging="600"/>
        <w:jc w:val="both"/>
        <w:rPr>
          <w:lang w:val="de-DE"/>
        </w:rPr>
      </w:pPr>
      <w:r>
        <w:rPr>
          <w:rFonts w:hint="eastAsia"/>
          <w:lang w:val="de-DE"/>
        </w:rPr>
        <w:t>G</w:t>
      </w:r>
      <w:r>
        <w:rPr>
          <w:lang w:val="de-DE"/>
        </w:rPr>
        <w:t>ö</w:t>
      </w:r>
      <w:r>
        <w:rPr>
          <w:rFonts w:hint="eastAsia"/>
          <w:lang w:val="de-DE"/>
        </w:rPr>
        <w:t xml:space="preserve">tz, Volkmar: Bundesverfassungsgericht und Vertrauensschutz, in: Christian Starck(Hg.), Bundesverfassungsgericht und Grundgesetz </w:t>
      </w:r>
      <w:r>
        <w:rPr>
          <w:lang w:val="de-DE"/>
        </w:rPr>
        <w:t>–</w:t>
      </w:r>
      <w:r>
        <w:rPr>
          <w:rFonts w:hint="eastAsia"/>
          <w:lang w:val="de-DE"/>
        </w:rPr>
        <w:t xml:space="preserve"> Festgabe aus Anla</w:t>
      </w:r>
      <w:r>
        <w:rPr>
          <w:lang w:val="de-DE"/>
        </w:rPr>
        <w:t>ß</w:t>
      </w:r>
      <w:r>
        <w:rPr>
          <w:rFonts w:hint="eastAsia"/>
          <w:lang w:val="de-DE"/>
        </w:rPr>
        <w:t xml:space="preserve"> des 25j</w:t>
      </w:r>
      <w:r>
        <w:rPr>
          <w:lang w:val="de-DE"/>
        </w:rPr>
        <w:t>ä</w:t>
      </w:r>
      <w:r>
        <w:rPr>
          <w:rFonts w:hint="eastAsia"/>
          <w:lang w:val="de-DE"/>
        </w:rPr>
        <w:t>hrigen Bestehens des Bundesverfassungsgerichts, 2. Bd., 1976.</w:t>
      </w:r>
    </w:p>
    <w:p w:rsidR="009D793A" w:rsidRDefault="00230D33" w:rsidP="005E63B5">
      <w:pPr>
        <w:overflowPunct w:val="0"/>
        <w:spacing w:line="360" w:lineRule="auto"/>
        <w:ind w:left="720" w:hangingChars="300" w:hanging="720"/>
        <w:jc w:val="both"/>
        <w:rPr>
          <w:lang w:val="de-DE"/>
        </w:rPr>
      </w:pPr>
      <w:r>
        <w:rPr>
          <w:rFonts w:hint="eastAsia"/>
          <w:lang w:val="de-DE"/>
        </w:rPr>
        <w:t xml:space="preserve">Huber, Hans: Vertrauensschutz </w:t>
      </w:r>
      <w:r>
        <w:rPr>
          <w:lang w:val="de-DE"/>
        </w:rPr>
        <w:t>–</w:t>
      </w:r>
      <w:r>
        <w:rPr>
          <w:rFonts w:hint="eastAsia"/>
          <w:lang w:val="de-DE"/>
        </w:rPr>
        <w:t xml:space="preserve"> Ein Vergleich zwischen Recht und Rechtsprechung in der Bundesrepublik und in der Schweiz, in: Otto Bachof(Hg.), Verwaltungsrecht zwischen Freiheit, Teilhabe und Bindung </w:t>
      </w:r>
      <w:r>
        <w:rPr>
          <w:lang w:val="de-DE"/>
        </w:rPr>
        <w:t>–</w:t>
      </w:r>
      <w:r>
        <w:rPr>
          <w:rFonts w:hint="eastAsia"/>
          <w:lang w:val="de-DE"/>
        </w:rPr>
        <w:t xml:space="preserve"> Festgabe aus Anla</w:t>
      </w:r>
      <w:r>
        <w:rPr>
          <w:lang w:val="de-DE"/>
        </w:rPr>
        <w:t>ß</w:t>
      </w:r>
      <w:r>
        <w:rPr>
          <w:rFonts w:hint="eastAsia"/>
          <w:lang w:val="de-DE"/>
        </w:rPr>
        <w:t xml:space="preserve"> 25j</w:t>
      </w:r>
      <w:r>
        <w:rPr>
          <w:lang w:val="de-DE"/>
        </w:rPr>
        <w:t>ä</w:t>
      </w:r>
      <w:r>
        <w:rPr>
          <w:rFonts w:hint="eastAsia"/>
          <w:lang w:val="de-DE"/>
        </w:rPr>
        <w:t>hrigen Bestehens des Bundesverwaltungsgerichts, 1978.</w:t>
      </w:r>
    </w:p>
    <w:p w:rsidR="009D793A" w:rsidRDefault="00230D33" w:rsidP="005E63B5">
      <w:pPr>
        <w:overflowPunct w:val="0"/>
        <w:spacing w:line="360" w:lineRule="auto"/>
        <w:jc w:val="both"/>
        <w:rPr>
          <w:lang w:val="de-DE"/>
        </w:rPr>
      </w:pPr>
      <w:r>
        <w:rPr>
          <w:rFonts w:hint="eastAsia"/>
          <w:lang w:val="de-DE"/>
        </w:rPr>
        <w:t>Kopp/Ramsauer: Verwaltungsverfahrensgesetz, 7. Aufl., 2000.</w:t>
      </w:r>
    </w:p>
    <w:p w:rsidR="009D793A" w:rsidRDefault="00230D33" w:rsidP="005E63B5">
      <w:pPr>
        <w:overflowPunct w:val="0"/>
        <w:spacing w:line="360" w:lineRule="auto"/>
        <w:ind w:left="720" w:hangingChars="300" w:hanging="720"/>
        <w:jc w:val="both"/>
        <w:rPr>
          <w:lang w:val="de-DE"/>
        </w:rPr>
      </w:pPr>
      <w:r>
        <w:rPr>
          <w:lang w:val="de-DE"/>
        </w:rPr>
        <w:t>Kunig</w:t>
      </w:r>
      <w:r>
        <w:rPr>
          <w:rFonts w:hint="eastAsia"/>
          <w:lang w:val="de-DE"/>
        </w:rPr>
        <w:t xml:space="preserve">, </w:t>
      </w:r>
      <w:r>
        <w:rPr>
          <w:lang w:val="de-DE"/>
        </w:rPr>
        <w:t>Philip</w:t>
      </w:r>
      <w:r>
        <w:rPr>
          <w:rFonts w:hint="eastAsia"/>
          <w:lang w:val="de-DE"/>
        </w:rPr>
        <w:t>:</w:t>
      </w:r>
      <w:r>
        <w:rPr>
          <w:lang w:val="de-DE"/>
        </w:rPr>
        <w:t xml:space="preserve"> Der Rechtsstaat, in: Peter Badura/Horst Dreier(Hg.), Festschrift 50 Jahre Bundesverfassungsgericht, 2. Bd., 2001</w:t>
      </w:r>
      <w:r>
        <w:rPr>
          <w:rFonts w:hint="eastAsia"/>
          <w:lang w:val="de-DE"/>
        </w:rPr>
        <w:t>.</w:t>
      </w:r>
    </w:p>
    <w:p w:rsidR="009D793A" w:rsidRDefault="00230D33" w:rsidP="005E63B5">
      <w:pPr>
        <w:overflowPunct w:val="0"/>
        <w:spacing w:line="360" w:lineRule="auto"/>
        <w:ind w:left="840" w:hangingChars="350" w:hanging="840"/>
        <w:jc w:val="both"/>
        <w:rPr>
          <w:lang w:val="de-DE"/>
        </w:rPr>
      </w:pPr>
      <w:r>
        <w:rPr>
          <w:lang w:val="de-DE"/>
        </w:rPr>
        <w:t>Maurer</w:t>
      </w:r>
      <w:r>
        <w:rPr>
          <w:rFonts w:hint="eastAsia"/>
          <w:lang w:val="de-DE"/>
        </w:rPr>
        <w:t xml:space="preserve">, </w:t>
      </w:r>
      <w:r>
        <w:rPr>
          <w:lang w:val="de-DE"/>
        </w:rPr>
        <w:t>Hartmut</w:t>
      </w:r>
      <w:r>
        <w:rPr>
          <w:rFonts w:hint="eastAsia"/>
          <w:lang w:val="de-DE"/>
        </w:rPr>
        <w:t>:</w:t>
      </w:r>
      <w:r>
        <w:rPr>
          <w:lang w:val="de-DE"/>
        </w:rPr>
        <w:t xml:space="preserve"> § 60</w:t>
      </w:r>
      <w:r>
        <w:rPr>
          <w:rFonts w:hint="eastAsia"/>
          <w:lang w:val="de-DE"/>
        </w:rPr>
        <w:t xml:space="preserve"> </w:t>
      </w:r>
      <w:r>
        <w:rPr>
          <w:lang w:val="de-DE"/>
        </w:rPr>
        <w:t>Kontinuität und Vertrauensschutz, in: Josef Isensee/Paul Kirchhof(Hg.), Bd. III, 2. Aufl., 1996</w:t>
      </w:r>
      <w:r>
        <w:rPr>
          <w:rFonts w:hint="eastAsia"/>
          <w:lang w:val="de-DE"/>
        </w:rPr>
        <w:t>.</w:t>
      </w:r>
    </w:p>
    <w:p w:rsidR="009D793A" w:rsidRDefault="00230D33" w:rsidP="005E63B5">
      <w:pPr>
        <w:overflowPunct w:val="0"/>
        <w:spacing w:line="360" w:lineRule="auto"/>
        <w:jc w:val="both"/>
        <w:rPr>
          <w:lang w:val="de-DE"/>
        </w:rPr>
      </w:pPr>
      <w:r>
        <w:rPr>
          <w:rFonts w:hint="eastAsia"/>
          <w:lang w:val="de-DE"/>
        </w:rPr>
        <w:t xml:space="preserve">Stelkens/Bonk/Sachs: Verwaltungsverfahrensgesetz, 6, Aufl., 2001. </w:t>
      </w:r>
    </w:p>
    <w:p w:rsidR="009D793A" w:rsidRDefault="00230D33" w:rsidP="005E63B5">
      <w:pPr>
        <w:overflowPunct w:val="0"/>
        <w:spacing w:line="360" w:lineRule="auto"/>
        <w:ind w:left="600" w:hangingChars="250" w:hanging="600"/>
        <w:jc w:val="both"/>
        <w:rPr>
          <w:lang w:val="de-DE"/>
        </w:rPr>
      </w:pPr>
      <w:r>
        <w:rPr>
          <w:rFonts w:hint="eastAsia"/>
          <w:lang w:val="de-DE"/>
        </w:rPr>
        <w:t>Stern, Klaus: Das Staatsrecht der Bundesrepublik Deutschland, Bd. I, 2. Aufl., 1984.</w:t>
      </w:r>
    </w:p>
    <w:p w:rsidR="009D793A" w:rsidRDefault="00230D33" w:rsidP="005E63B5">
      <w:pPr>
        <w:overflowPunct w:val="0"/>
        <w:spacing w:line="360" w:lineRule="auto"/>
        <w:jc w:val="both"/>
        <w:rPr>
          <w:lang w:val="de-DE"/>
        </w:rPr>
      </w:pPr>
      <w:r>
        <w:rPr>
          <w:rFonts w:hint="eastAsia"/>
          <w:lang w:val="de-DE"/>
        </w:rPr>
        <w:t>von M</w:t>
      </w:r>
      <w:r>
        <w:rPr>
          <w:lang w:val="de-DE"/>
        </w:rPr>
        <w:t>ü</w:t>
      </w:r>
      <w:r>
        <w:rPr>
          <w:rFonts w:hint="eastAsia"/>
          <w:lang w:val="de-DE"/>
        </w:rPr>
        <w:t>nch, Ingo: Staatsrecht I, 5. Aufl., 1993.</w:t>
      </w:r>
    </w:p>
    <w:p w:rsidR="009D793A" w:rsidRDefault="00230D33" w:rsidP="005E63B5">
      <w:pPr>
        <w:overflowPunct w:val="0"/>
        <w:spacing w:line="360" w:lineRule="auto"/>
        <w:jc w:val="both"/>
        <w:rPr>
          <w:lang w:val="de-DE"/>
        </w:rPr>
      </w:pPr>
      <w:r>
        <w:rPr>
          <w:rFonts w:hint="eastAsia"/>
          <w:lang w:val="de-DE"/>
        </w:rPr>
        <w:t>von M</w:t>
      </w:r>
      <w:r>
        <w:rPr>
          <w:lang w:val="de-DE"/>
        </w:rPr>
        <w:t>ü</w:t>
      </w:r>
      <w:r>
        <w:rPr>
          <w:rFonts w:hint="eastAsia"/>
          <w:lang w:val="de-DE"/>
        </w:rPr>
        <w:t>nch, Ingo: Staatsrecht II, 2002.</w:t>
      </w:r>
    </w:p>
    <w:p w:rsidR="009D793A" w:rsidRDefault="00230D33" w:rsidP="005E63B5">
      <w:pPr>
        <w:overflowPunct w:val="0"/>
        <w:spacing w:line="360" w:lineRule="auto"/>
        <w:jc w:val="both"/>
        <w:rPr>
          <w:lang w:val="de-DE"/>
        </w:rPr>
      </w:pPr>
      <w:r>
        <w:rPr>
          <w:rFonts w:hint="eastAsia"/>
          <w:lang w:val="de-DE"/>
        </w:rPr>
        <w:t>Wolff, Hans J./Bachof, Otto/Stober, Rolf: Verwaltungsrecht I, 10. Aufl., 1994.</w:t>
      </w:r>
    </w:p>
    <w:p w:rsidR="009D793A" w:rsidRDefault="009D793A" w:rsidP="005E63B5">
      <w:pPr>
        <w:overflowPunct w:val="0"/>
        <w:spacing w:line="360" w:lineRule="auto"/>
        <w:jc w:val="both"/>
        <w:rPr>
          <w:lang w:val="de-DE"/>
        </w:rPr>
      </w:pPr>
    </w:p>
    <w:p w:rsidR="009D793A" w:rsidRDefault="00230D33" w:rsidP="005E63B5">
      <w:pPr>
        <w:overflowPunct w:val="0"/>
        <w:spacing w:line="360" w:lineRule="auto"/>
        <w:jc w:val="both"/>
        <w:rPr>
          <w:rFonts w:ascii="標楷體" w:eastAsia="標楷體" w:hAnsi="標楷體"/>
          <w:b/>
          <w:lang w:val="de-DE"/>
        </w:rPr>
      </w:pPr>
      <w:r>
        <w:rPr>
          <w:rFonts w:ascii="標楷體" w:eastAsia="標楷體" w:hAnsi="標楷體" w:hint="eastAsia"/>
          <w:b/>
          <w:lang w:val="de-DE"/>
        </w:rPr>
        <w:t>二、德文期刊論文</w:t>
      </w:r>
    </w:p>
    <w:p w:rsidR="009D793A" w:rsidRDefault="009D793A" w:rsidP="005E63B5">
      <w:pPr>
        <w:overflowPunct w:val="0"/>
        <w:spacing w:line="360" w:lineRule="auto"/>
        <w:jc w:val="both"/>
        <w:rPr>
          <w:lang w:val="de-DE"/>
        </w:rPr>
      </w:pPr>
    </w:p>
    <w:p w:rsidR="009D793A" w:rsidRDefault="00230D33" w:rsidP="005E63B5">
      <w:pPr>
        <w:overflowPunct w:val="0"/>
        <w:spacing w:line="360" w:lineRule="auto"/>
        <w:ind w:left="960" w:hangingChars="400" w:hanging="960"/>
        <w:jc w:val="both"/>
        <w:rPr>
          <w:lang w:val="de-DE"/>
        </w:rPr>
      </w:pPr>
      <w:r>
        <w:rPr>
          <w:rFonts w:hint="eastAsia"/>
          <w:lang w:val="de-DE"/>
        </w:rPr>
        <w:t>Bullinger, Martin: Vertrauensschutz im deutschen Verwaltungsrecht in historisch-kritischer Sicht, JZ 1999, S. 905-913.</w:t>
      </w:r>
    </w:p>
    <w:p w:rsidR="009D793A" w:rsidRDefault="00230D33" w:rsidP="005E63B5">
      <w:pPr>
        <w:overflowPunct w:val="0"/>
        <w:spacing w:line="360" w:lineRule="auto"/>
        <w:ind w:left="960" w:hangingChars="400" w:hanging="960"/>
        <w:jc w:val="both"/>
        <w:rPr>
          <w:lang w:val="de-DE"/>
        </w:rPr>
      </w:pPr>
      <w:r>
        <w:rPr>
          <w:rFonts w:hint="eastAsia"/>
          <w:lang w:val="de-DE"/>
        </w:rPr>
        <w:t>Erichsen, Hans-Uwe / Br</w:t>
      </w:r>
      <w:r>
        <w:rPr>
          <w:lang w:val="de-DE"/>
        </w:rPr>
        <w:t>ü</w:t>
      </w:r>
      <w:r>
        <w:rPr>
          <w:rFonts w:hint="eastAsia"/>
          <w:lang w:val="de-DE"/>
        </w:rPr>
        <w:t>gge, Dirk Ludwig: Die R</w:t>
      </w:r>
      <w:r>
        <w:rPr>
          <w:lang w:val="de-DE"/>
        </w:rPr>
        <w:t>ü</w:t>
      </w:r>
      <w:r>
        <w:rPr>
          <w:rFonts w:hint="eastAsia"/>
          <w:lang w:val="de-DE"/>
        </w:rPr>
        <w:t xml:space="preserve">cknahme von Verwaltungsakten nach </w:t>
      </w:r>
      <w:r>
        <w:rPr>
          <w:lang w:val="de-DE"/>
        </w:rPr>
        <w:t>§</w:t>
      </w:r>
      <w:r>
        <w:rPr>
          <w:rFonts w:hint="eastAsia"/>
          <w:lang w:val="de-DE"/>
        </w:rPr>
        <w:t xml:space="preserve"> 48 VwVfG, Jura 1999, S. 155-164.</w:t>
      </w:r>
    </w:p>
    <w:p w:rsidR="009D793A" w:rsidRDefault="00230D33" w:rsidP="005E63B5">
      <w:pPr>
        <w:overflowPunct w:val="0"/>
        <w:spacing w:line="360" w:lineRule="auto"/>
        <w:ind w:left="1080" w:hangingChars="450" w:hanging="1080"/>
        <w:jc w:val="both"/>
        <w:rPr>
          <w:lang w:val="de-DE"/>
        </w:rPr>
      </w:pPr>
      <w:r>
        <w:rPr>
          <w:rFonts w:hint="eastAsia"/>
          <w:lang w:val="de-DE"/>
        </w:rPr>
        <w:lastRenderedPageBreak/>
        <w:t>Fastenrath, Ulrich: Anmerung zum Urteil v. 26.11.1991 vom OVG M</w:t>
      </w:r>
      <w:r>
        <w:rPr>
          <w:rFonts w:ascii="新細明體" w:hAnsi="新細明體" w:hint="eastAsia"/>
          <w:lang w:val="de-DE"/>
        </w:rPr>
        <w:t>ü</w:t>
      </w:r>
      <w:r>
        <w:rPr>
          <w:rFonts w:hint="eastAsia"/>
          <w:lang w:val="de-DE"/>
        </w:rPr>
        <w:t>nster, JZ 1992, S. 1080-1084.</w:t>
      </w:r>
    </w:p>
    <w:p w:rsidR="009D793A" w:rsidRDefault="00230D33" w:rsidP="005E63B5">
      <w:pPr>
        <w:overflowPunct w:val="0"/>
        <w:spacing w:line="360" w:lineRule="auto"/>
        <w:jc w:val="both"/>
        <w:rPr>
          <w:lang w:val="de-DE"/>
        </w:rPr>
      </w:pPr>
      <w:r>
        <w:rPr>
          <w:rFonts w:hint="eastAsia"/>
          <w:lang w:val="de-DE"/>
        </w:rPr>
        <w:t>Grabitz, Eberhard: Vertrauensschutz als Freiheitsschutz, DVBl. 1973, S. 675-684.</w:t>
      </w:r>
    </w:p>
    <w:p w:rsidR="009D793A" w:rsidRDefault="00230D33" w:rsidP="005E63B5">
      <w:pPr>
        <w:overflowPunct w:val="0"/>
        <w:spacing w:line="360" w:lineRule="auto"/>
        <w:ind w:left="720" w:hangingChars="300" w:hanging="720"/>
        <w:jc w:val="both"/>
        <w:rPr>
          <w:lang w:val="de-DE"/>
        </w:rPr>
      </w:pPr>
      <w:r>
        <w:rPr>
          <w:rFonts w:hint="eastAsia"/>
          <w:lang w:val="de-DE"/>
        </w:rPr>
        <w:t>Kisker, Gunter: Vertrauensschutz im Verwaltungsrecht, in: VVDStRL 32/1974, S. 147-199.</w:t>
      </w:r>
    </w:p>
    <w:p w:rsidR="009D793A" w:rsidRDefault="00230D33" w:rsidP="005E63B5">
      <w:pPr>
        <w:overflowPunct w:val="0"/>
        <w:spacing w:line="360" w:lineRule="auto"/>
        <w:ind w:left="720" w:hangingChars="300" w:hanging="720"/>
        <w:jc w:val="both"/>
        <w:rPr>
          <w:lang w:val="de-DE"/>
        </w:rPr>
      </w:pPr>
      <w:r>
        <w:rPr>
          <w:rFonts w:hint="eastAsia"/>
          <w:lang w:val="de-DE"/>
        </w:rPr>
        <w:t>Kopp, Ferdinand O.: Um eine neue Begr</w:t>
      </w:r>
      <w:r>
        <w:rPr>
          <w:lang w:val="de-DE"/>
        </w:rPr>
        <w:t>ü</w:t>
      </w:r>
      <w:r>
        <w:rPr>
          <w:rFonts w:hint="eastAsia"/>
          <w:lang w:val="de-DE"/>
        </w:rPr>
        <w:t xml:space="preserve">ndung des Grundsatzes des Vertraunesschutzes im </w:t>
      </w:r>
      <w:r>
        <w:rPr>
          <w:lang w:val="de-DE"/>
        </w:rPr>
        <w:t>ö</w:t>
      </w:r>
      <w:r>
        <w:rPr>
          <w:rFonts w:hint="eastAsia"/>
          <w:lang w:val="de-DE"/>
        </w:rPr>
        <w:t>ffentlichen Recht, BayVBl. 1980, S. 38-40.</w:t>
      </w:r>
    </w:p>
    <w:p w:rsidR="009D793A" w:rsidRDefault="00230D33" w:rsidP="005E63B5">
      <w:pPr>
        <w:overflowPunct w:val="0"/>
        <w:spacing w:line="360" w:lineRule="auto"/>
        <w:ind w:left="720" w:hangingChars="300" w:hanging="720"/>
        <w:jc w:val="both"/>
        <w:rPr>
          <w:lang w:val="de-DE"/>
        </w:rPr>
      </w:pPr>
      <w:r>
        <w:rPr>
          <w:rFonts w:hint="eastAsia"/>
          <w:lang w:val="de-DE"/>
        </w:rPr>
        <w:t>M</w:t>
      </w:r>
      <w:r>
        <w:rPr>
          <w:lang w:val="de-DE"/>
        </w:rPr>
        <w:t>ö</w:t>
      </w:r>
      <w:r>
        <w:rPr>
          <w:rFonts w:hint="eastAsia"/>
          <w:lang w:val="de-DE"/>
        </w:rPr>
        <w:t>ller, Johannes/R</w:t>
      </w:r>
      <w:r>
        <w:rPr>
          <w:lang w:val="de-DE"/>
        </w:rPr>
        <w:t>ü</w:t>
      </w:r>
      <w:r>
        <w:rPr>
          <w:rFonts w:hint="eastAsia"/>
          <w:lang w:val="de-DE"/>
        </w:rPr>
        <w:t>hrmair, Alfred: Die Bedeutung der Grundrechte f</w:t>
      </w:r>
      <w:r>
        <w:rPr>
          <w:lang w:val="de-DE"/>
        </w:rPr>
        <w:t>ü</w:t>
      </w:r>
      <w:r>
        <w:rPr>
          <w:rFonts w:hint="eastAsia"/>
          <w:lang w:val="de-DE"/>
        </w:rPr>
        <w:t>r die verfassungsrechtlichen Anforderungen an r</w:t>
      </w:r>
      <w:r>
        <w:rPr>
          <w:lang w:val="de-DE"/>
        </w:rPr>
        <w:t>ü</w:t>
      </w:r>
      <w:r>
        <w:rPr>
          <w:rFonts w:hint="eastAsia"/>
          <w:lang w:val="de-DE"/>
        </w:rPr>
        <w:t>ckwirkende Gesetze, NJW 1999, S. 908-911.</w:t>
      </w:r>
    </w:p>
    <w:p w:rsidR="009D793A" w:rsidRDefault="00230D33" w:rsidP="005E63B5">
      <w:pPr>
        <w:overflowPunct w:val="0"/>
        <w:spacing w:line="360" w:lineRule="auto"/>
        <w:jc w:val="both"/>
        <w:rPr>
          <w:lang w:val="de-DE"/>
        </w:rPr>
      </w:pPr>
      <w:r>
        <w:rPr>
          <w:lang w:val="de-DE"/>
        </w:rPr>
        <w:t>Ossenbü</w:t>
      </w:r>
      <w:r>
        <w:rPr>
          <w:rFonts w:hint="eastAsia"/>
          <w:lang w:val="de-DE"/>
        </w:rPr>
        <w:t xml:space="preserve">hl, </w:t>
      </w:r>
      <w:r>
        <w:rPr>
          <w:lang w:val="de-DE"/>
        </w:rPr>
        <w:t>Fritz</w:t>
      </w:r>
      <w:r>
        <w:rPr>
          <w:rFonts w:hint="eastAsia"/>
          <w:lang w:val="de-DE"/>
        </w:rPr>
        <w:t>: Vertrauensschutz im sozialen Rechtsstaat, D</w:t>
      </w:r>
      <w:r>
        <w:rPr>
          <w:rFonts w:ascii="新細明體" w:hAnsi="新細明體" w:hint="eastAsia"/>
          <w:lang w:val="de-DE"/>
        </w:rPr>
        <w:t>ö</w:t>
      </w:r>
      <w:r>
        <w:rPr>
          <w:rFonts w:hint="eastAsia"/>
          <w:lang w:val="de-DE"/>
        </w:rPr>
        <w:t>V 1972, S. 25-35.</w:t>
      </w:r>
    </w:p>
    <w:p w:rsidR="009D793A" w:rsidRDefault="00230D33" w:rsidP="005E63B5">
      <w:pPr>
        <w:overflowPunct w:val="0"/>
        <w:spacing w:line="360" w:lineRule="auto"/>
        <w:ind w:left="840" w:hangingChars="350" w:hanging="840"/>
        <w:jc w:val="both"/>
        <w:rPr>
          <w:lang w:val="de-DE"/>
        </w:rPr>
      </w:pPr>
      <w:r>
        <w:rPr>
          <w:rFonts w:hint="eastAsia"/>
          <w:lang w:val="de-DE"/>
        </w:rPr>
        <w:t>Pieroth, Bodo: Die neuere Rechtsprechung des Bundesverfassungsrechts zum Grundsatz des Vertrauensschutzes, JZ 1990, S. 279-286.</w:t>
      </w:r>
    </w:p>
    <w:p w:rsidR="009D793A" w:rsidRDefault="00230D33" w:rsidP="005E63B5">
      <w:pPr>
        <w:overflowPunct w:val="0"/>
        <w:spacing w:line="360" w:lineRule="auto"/>
        <w:ind w:left="840" w:hangingChars="350" w:hanging="840"/>
        <w:jc w:val="both"/>
        <w:rPr>
          <w:lang w:val="de-DE"/>
        </w:rPr>
      </w:pPr>
      <w:r>
        <w:rPr>
          <w:rFonts w:hint="eastAsia"/>
          <w:lang w:val="de-DE"/>
        </w:rPr>
        <w:t>P</w:t>
      </w:r>
      <w:r>
        <w:rPr>
          <w:lang w:val="de-DE"/>
        </w:rPr>
        <w:t>ü</w:t>
      </w:r>
      <w:r>
        <w:rPr>
          <w:rFonts w:hint="eastAsia"/>
          <w:lang w:val="de-DE"/>
        </w:rPr>
        <w:t>ttner, G</w:t>
      </w:r>
      <w:r>
        <w:rPr>
          <w:lang w:val="de-DE"/>
        </w:rPr>
        <w:t>ü</w:t>
      </w:r>
      <w:r>
        <w:rPr>
          <w:rFonts w:hint="eastAsia"/>
          <w:lang w:val="de-DE"/>
        </w:rPr>
        <w:t>nter: Vertrauensschutz im Verwaltungsrecht, VVDStRL 32/1974, S. 200-227.</w:t>
      </w:r>
    </w:p>
    <w:p w:rsidR="009D793A" w:rsidRDefault="00230D33" w:rsidP="005E63B5">
      <w:pPr>
        <w:overflowPunct w:val="0"/>
        <w:spacing w:line="360" w:lineRule="auto"/>
        <w:ind w:left="960" w:hangingChars="400" w:hanging="960"/>
        <w:jc w:val="both"/>
        <w:rPr>
          <w:lang w:val="de-DE"/>
        </w:rPr>
      </w:pPr>
      <w:r>
        <w:rPr>
          <w:lang w:val="de-DE"/>
        </w:rPr>
        <w:t>Schmidt</w:t>
      </w:r>
      <w:r>
        <w:rPr>
          <w:rFonts w:hint="eastAsia"/>
          <w:lang w:val="de-DE"/>
        </w:rPr>
        <w:t xml:space="preserve">, </w:t>
      </w:r>
      <w:r>
        <w:rPr>
          <w:lang w:val="de-DE"/>
        </w:rPr>
        <w:t>Walter</w:t>
      </w:r>
      <w:r>
        <w:rPr>
          <w:rFonts w:hint="eastAsia"/>
          <w:lang w:val="de-DE"/>
        </w:rPr>
        <w:t>:</w:t>
      </w:r>
      <w:r>
        <w:rPr>
          <w:lang w:val="de-DE"/>
        </w:rPr>
        <w:t xml:space="preserve"> “Vertrauensschutz” im öffentlichen Recht – Randpositionen des Eigentums im spätbürgerlichen Rechtsstaat, JuS 1973, S.</w:t>
      </w:r>
      <w:r>
        <w:rPr>
          <w:rFonts w:hint="eastAsia"/>
          <w:lang w:val="de-DE"/>
        </w:rPr>
        <w:t xml:space="preserve"> 529-537.</w:t>
      </w:r>
    </w:p>
    <w:p w:rsidR="00230D33" w:rsidRDefault="00230D33" w:rsidP="005E63B5">
      <w:pPr>
        <w:overflowPunct w:val="0"/>
        <w:jc w:val="both"/>
      </w:pPr>
      <w:r>
        <w:rPr>
          <w:rFonts w:hint="eastAsia"/>
          <w:lang w:val="de-DE"/>
        </w:rPr>
        <w:t>Vogel, Klaus: Rechtssicherheit und R</w:t>
      </w:r>
      <w:r>
        <w:rPr>
          <w:lang w:val="de-DE"/>
        </w:rPr>
        <w:t>ü</w:t>
      </w:r>
      <w:r>
        <w:rPr>
          <w:rFonts w:hint="eastAsia"/>
          <w:lang w:val="de-DE"/>
        </w:rPr>
        <w:t>ckwirkung zwischen Vernunftrecht und Verfassungsrecht, JZ 1988, S. 833-839.</w:t>
      </w:r>
      <w:bookmarkEnd w:id="0"/>
    </w:p>
    <w:sectPr w:rsidR="00230D33">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DBF" w:rsidRDefault="00597DBF">
      <w:r>
        <w:separator/>
      </w:r>
    </w:p>
  </w:endnote>
  <w:endnote w:type="continuationSeparator" w:id="0">
    <w:p w:rsidR="00597DBF" w:rsidRDefault="0059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3A" w:rsidRDefault="00230D33">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9D793A" w:rsidRDefault="009D793A">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3A" w:rsidRDefault="00230D33">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sidR="005E63B5">
      <w:rPr>
        <w:rStyle w:val="a4"/>
        <w:noProof/>
      </w:rPr>
      <w:t>3</w:t>
    </w:r>
    <w:r>
      <w:rPr>
        <w:rStyle w:val="a4"/>
      </w:rPr>
      <w:fldChar w:fldCharType="end"/>
    </w:r>
  </w:p>
  <w:p w:rsidR="009D793A" w:rsidRDefault="009D793A">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DBF" w:rsidRDefault="00597DBF">
      <w:r>
        <w:separator/>
      </w:r>
    </w:p>
  </w:footnote>
  <w:footnote w:type="continuationSeparator" w:id="0">
    <w:p w:rsidR="00597DBF" w:rsidRDefault="00597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6D79"/>
    <w:multiLevelType w:val="hybridMultilevel"/>
    <w:tmpl w:val="27DA52AA"/>
    <w:lvl w:ilvl="0" w:tplc="04090015">
      <w:start w:val="1"/>
      <w:numFmt w:val="taiwaneseCountingThousand"/>
      <w:lvlText w:val="%1、"/>
      <w:lvlJc w:val="left"/>
      <w:pPr>
        <w:tabs>
          <w:tab w:val="num" w:pos="480"/>
        </w:tabs>
        <w:ind w:left="480" w:hanging="480"/>
      </w:pPr>
      <w:rPr>
        <w:rFonts w:hint="default"/>
      </w:rPr>
    </w:lvl>
    <w:lvl w:ilvl="1" w:tplc="C68C865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CCB3E22"/>
    <w:multiLevelType w:val="hybridMultilevel"/>
    <w:tmpl w:val="6E3E9AAA"/>
    <w:lvl w:ilvl="0" w:tplc="AA8AF9E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42132D1"/>
    <w:multiLevelType w:val="hybridMultilevel"/>
    <w:tmpl w:val="9A285D4E"/>
    <w:lvl w:ilvl="0" w:tplc="BB148916">
      <w:start w:val="1"/>
      <w:numFmt w:val="ideographLegalTraditional"/>
      <w:lvlText w:val="%1、"/>
      <w:lvlJc w:val="left"/>
      <w:pPr>
        <w:tabs>
          <w:tab w:val="num" w:pos="480"/>
        </w:tabs>
        <w:ind w:left="480" w:hanging="480"/>
      </w:pPr>
      <w:rPr>
        <w:rFonts w:ascii="新細明體" w:eastAsia="細明體" w:hAnsi="新細明體"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A213A7"/>
    <w:multiLevelType w:val="hybridMultilevel"/>
    <w:tmpl w:val="419A0264"/>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AE5B09"/>
    <w:multiLevelType w:val="hybridMultilevel"/>
    <w:tmpl w:val="5D004568"/>
    <w:lvl w:ilvl="0" w:tplc="CE46DE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82158ED"/>
    <w:multiLevelType w:val="hybridMultilevel"/>
    <w:tmpl w:val="30A8FF2C"/>
    <w:lvl w:ilvl="0" w:tplc="9D74EB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72B01BD"/>
    <w:multiLevelType w:val="hybridMultilevel"/>
    <w:tmpl w:val="B6AEE9F4"/>
    <w:lvl w:ilvl="0" w:tplc="04090015">
      <w:start w:val="1"/>
      <w:numFmt w:val="taiwaneseCountingThousand"/>
      <w:lvlText w:val="%1、"/>
      <w:lvlJc w:val="left"/>
      <w:pPr>
        <w:tabs>
          <w:tab w:val="num" w:pos="480"/>
        </w:tabs>
        <w:ind w:left="480" w:hanging="480"/>
      </w:pPr>
      <w:rPr>
        <w:rFonts w:hint="default"/>
      </w:rPr>
    </w:lvl>
    <w:lvl w:ilvl="1" w:tplc="FB441F2A">
      <w:start w:val="4"/>
      <w:numFmt w:val="taiwaneseCountingThousand"/>
      <w:lvlText w:val="第%2章"/>
      <w:lvlJc w:val="left"/>
      <w:pPr>
        <w:tabs>
          <w:tab w:val="num" w:pos="1440"/>
        </w:tabs>
        <w:ind w:left="1440" w:hanging="9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55"/>
    <w:rsid w:val="00230D33"/>
    <w:rsid w:val="00597DBF"/>
    <w:rsid w:val="005E63B5"/>
    <w:rsid w:val="00611755"/>
    <w:rsid w:val="009D79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B291C-27AC-451E-9922-6A093122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footnote text"/>
    <w:basedOn w:val="a"/>
    <w:semiHidden/>
    <w:pPr>
      <w:snapToGrid w:val="0"/>
    </w:pPr>
    <w:rPr>
      <w:sz w:val="20"/>
      <w:szCs w:val="20"/>
    </w:rPr>
  </w:style>
  <w:style w:type="character" w:styleId="a6">
    <w:name w:val="footnote reference"/>
    <w:basedOn w:val="a0"/>
    <w:semiHidden/>
    <w:rPr>
      <w:vertAlign w:val="superscript"/>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567</Words>
  <Characters>3232</Characters>
  <Application>Microsoft Office Word</Application>
  <DocSecurity>0</DocSecurity>
  <Lines>26</Lines>
  <Paragraphs>7</Paragraphs>
  <ScaleCrop>false</ScaleCrop>
  <Company>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研究主題與研究計畫的安排</dc:title>
  <dc:subject/>
  <dc:creator>Ai-Er Chen</dc:creator>
  <cp:keywords/>
  <dc:description/>
  <cp:lastModifiedBy>卓卿雲</cp:lastModifiedBy>
  <cp:revision>3</cp:revision>
  <cp:lastPrinted>2006-11-20T12:18:00Z</cp:lastPrinted>
  <dcterms:created xsi:type="dcterms:W3CDTF">2021-09-22T10:25:00Z</dcterms:created>
  <dcterms:modified xsi:type="dcterms:W3CDTF">2021-09-22T10:27:00Z</dcterms:modified>
</cp:coreProperties>
</file>