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71" w:rsidRDefault="006D0E61" w:rsidP="00057028">
      <w:pPr>
        <w:overflowPunct w:val="0"/>
        <w:spacing w:line="360" w:lineRule="auto"/>
        <w:rPr>
          <w:rFonts w:ascii="標楷體" w:eastAsia="標楷體" w:hAnsi="標楷體"/>
          <w:b/>
        </w:rPr>
      </w:pPr>
      <w:r>
        <w:rPr>
          <w:rFonts w:ascii="標楷體" w:eastAsia="標楷體" w:hAnsi="標楷體" w:hint="eastAsia"/>
          <w:b/>
        </w:rPr>
        <w:t>第四章  廢棄</w:t>
      </w:r>
      <w:proofErr w:type="gramStart"/>
      <w:r>
        <w:rPr>
          <w:rFonts w:ascii="標楷體" w:eastAsia="標楷體" w:hAnsi="標楷體" w:hint="eastAsia"/>
          <w:b/>
        </w:rPr>
        <w:t>授益性行政處分</w:t>
      </w:r>
      <w:proofErr w:type="gramEnd"/>
      <w:r>
        <w:rPr>
          <w:rFonts w:ascii="標楷體" w:eastAsia="標楷體" w:hAnsi="標楷體" w:hint="eastAsia"/>
          <w:b/>
        </w:rPr>
        <w:t>衍生之信賴保護問題的處理</w:t>
      </w:r>
    </w:p>
    <w:p w:rsidR="00683971" w:rsidRDefault="00683971" w:rsidP="00057028">
      <w:pPr>
        <w:overflowPunct w:val="0"/>
        <w:spacing w:line="360" w:lineRule="auto"/>
        <w:rPr>
          <w:rFonts w:ascii="標楷體" w:eastAsia="標楷體" w:hAnsi="標楷體"/>
          <w:b/>
        </w:rPr>
      </w:pPr>
    </w:p>
    <w:p w:rsidR="00683971" w:rsidRDefault="006D0E61" w:rsidP="00057028">
      <w:pPr>
        <w:overflowPunct w:val="0"/>
        <w:spacing w:line="360" w:lineRule="auto"/>
        <w:jc w:val="both"/>
        <w:rPr>
          <w:rFonts w:ascii="新細明體" w:hAnsi="新細明體"/>
        </w:rPr>
      </w:pPr>
      <w:r>
        <w:rPr>
          <w:rFonts w:ascii="標楷體" w:eastAsia="標楷體" w:hAnsi="標楷體" w:hint="eastAsia"/>
          <w:b/>
        </w:rPr>
        <w:t xml:space="preserve">    </w:t>
      </w:r>
      <w:r>
        <w:rPr>
          <w:rFonts w:ascii="新細明體" w:hAnsi="新細明體" w:hint="eastAsia"/>
        </w:rPr>
        <w:t>如前文指出的，考量到本研究案的目標在提供保訓會審理公務人員保障案件的參考，本文不擬對廢棄</w:t>
      </w:r>
      <w:proofErr w:type="gramStart"/>
      <w:r>
        <w:rPr>
          <w:rFonts w:ascii="新細明體" w:hAnsi="新細明體" w:hint="eastAsia"/>
        </w:rPr>
        <w:t>授益性行政處分</w:t>
      </w:r>
      <w:proofErr w:type="gramEnd"/>
      <w:r>
        <w:rPr>
          <w:rFonts w:ascii="新細明體" w:hAnsi="新細明體" w:hint="eastAsia"/>
        </w:rPr>
        <w:t>作全面的、</w:t>
      </w:r>
      <w:proofErr w:type="gramStart"/>
      <w:r>
        <w:rPr>
          <w:rFonts w:ascii="新細明體" w:hAnsi="新細明體" w:hint="eastAsia"/>
        </w:rPr>
        <w:t>教科書式的探討</w:t>
      </w:r>
      <w:proofErr w:type="gramEnd"/>
      <w:r>
        <w:rPr>
          <w:rFonts w:ascii="新細明體" w:hAnsi="新細明體" w:hint="eastAsia"/>
        </w:rPr>
        <w:t>，擬集中處理保訓會相關決定、行政法院裁判實務中顯示的問題點。這些問題點包括：（一）對法定廢止事由的確切掌握；（二）尤其在金錢或</w:t>
      </w:r>
      <w:proofErr w:type="gramStart"/>
      <w:r>
        <w:rPr>
          <w:rFonts w:ascii="新細明體" w:hAnsi="新細明體" w:hint="eastAsia"/>
        </w:rPr>
        <w:t>可分物之</w:t>
      </w:r>
      <w:proofErr w:type="gramEnd"/>
      <w:r>
        <w:rPr>
          <w:rFonts w:ascii="新細明體" w:hAnsi="新細明體" w:hint="eastAsia"/>
        </w:rPr>
        <w:t>給付的</w:t>
      </w:r>
      <w:proofErr w:type="gramStart"/>
      <w:r>
        <w:rPr>
          <w:rFonts w:ascii="新細明體" w:hAnsi="新細明體" w:hint="eastAsia"/>
        </w:rPr>
        <w:t>授益性行政處分</w:t>
      </w:r>
      <w:proofErr w:type="gramEnd"/>
      <w:r>
        <w:rPr>
          <w:rFonts w:ascii="新細明體" w:hAnsi="新細明體" w:hint="eastAsia"/>
        </w:rPr>
        <w:t>的情形，如何認定當事人有無信賴事實（或信賴表現）；（三）在撤銷</w:t>
      </w:r>
      <w:proofErr w:type="gramStart"/>
      <w:r>
        <w:rPr>
          <w:rFonts w:ascii="新細明體" w:hAnsi="新細明體" w:hint="eastAsia"/>
        </w:rPr>
        <w:t>授益性行政處分</w:t>
      </w:r>
      <w:proofErr w:type="gramEnd"/>
      <w:r>
        <w:rPr>
          <w:rFonts w:ascii="新細明體" w:hAnsi="新細明體" w:hint="eastAsia"/>
        </w:rPr>
        <w:t>時，應如何確切判斷各種信賴不值得保護之事由</w:t>
      </w:r>
      <w:proofErr w:type="gramStart"/>
      <w:r>
        <w:rPr>
          <w:rFonts w:ascii="新細明體" w:hAnsi="新細明體" w:hint="eastAsia"/>
        </w:rPr>
        <w:t>的存否</w:t>
      </w:r>
      <w:proofErr w:type="gramEnd"/>
      <w:r>
        <w:rPr>
          <w:rFonts w:ascii="新細明體" w:hAnsi="新細明體" w:hint="eastAsia"/>
        </w:rPr>
        <w:t>；（四）信賴利益與撤銷所欲維護的公益應如何權衡，始得其平；（五）在並無信賴不值得保護的情形，撤銷</w:t>
      </w:r>
      <w:proofErr w:type="gramStart"/>
      <w:r>
        <w:rPr>
          <w:rFonts w:ascii="新細明體" w:hAnsi="新細明體" w:hint="eastAsia"/>
        </w:rPr>
        <w:t>授益性行政處分</w:t>
      </w:r>
      <w:proofErr w:type="gramEnd"/>
      <w:r>
        <w:rPr>
          <w:rFonts w:ascii="新細明體" w:hAnsi="新細明體" w:hint="eastAsia"/>
        </w:rPr>
        <w:t>的效果為何；（六）最後，無論是廢止或撤銷授</w:t>
      </w:r>
      <w:proofErr w:type="gramStart"/>
      <w:r>
        <w:rPr>
          <w:rFonts w:ascii="新細明體" w:hAnsi="新細明體" w:hint="eastAsia"/>
        </w:rPr>
        <w:t>益性行政處分均應</w:t>
      </w:r>
      <w:proofErr w:type="gramEnd"/>
      <w:r>
        <w:rPr>
          <w:rFonts w:ascii="新細明體" w:hAnsi="新細明體" w:hint="eastAsia"/>
        </w:rPr>
        <w:t>於法定除斥期間內為之，此一期間之起算時點應如何認定（參見前文第二章、壹、十）。</w:t>
      </w:r>
    </w:p>
    <w:p w:rsidR="00683971" w:rsidRDefault="00683971" w:rsidP="00057028">
      <w:pPr>
        <w:overflowPunct w:val="0"/>
        <w:spacing w:line="360" w:lineRule="auto"/>
        <w:jc w:val="both"/>
        <w:rPr>
          <w:rFonts w:ascii="新細明體" w:hAnsi="新細明體"/>
        </w:rPr>
      </w:pPr>
    </w:p>
    <w:p w:rsidR="00683971" w:rsidRDefault="006D0E61" w:rsidP="00057028">
      <w:pPr>
        <w:overflowPunct w:val="0"/>
        <w:spacing w:line="360" w:lineRule="auto"/>
        <w:ind w:firstLineChars="200" w:firstLine="480"/>
        <w:jc w:val="both"/>
        <w:rPr>
          <w:rFonts w:ascii="新細明體" w:hAnsi="新細明體"/>
        </w:rPr>
      </w:pPr>
      <w:r>
        <w:rPr>
          <w:rFonts w:ascii="新細明體" w:hAnsi="新細明體" w:hint="eastAsia"/>
        </w:rPr>
        <w:t>然而，為合理有序地處理此等議題，就其先決問題仍應一併探討。如眾所知，我國行政程序法第二章「行政處分」大體沿襲德國聯邦行政程序法的規定，因此，為能更確切理解、比較德國聯邦行政程序法的規定，下文擬先說明該國關於廢棄行政處分之法律規範的發展（壹）。其次，我國與德國廢棄行政處分的</w:t>
      </w:r>
      <w:proofErr w:type="gramStart"/>
      <w:r>
        <w:rPr>
          <w:rFonts w:ascii="新細明體" w:hAnsi="新細明體" w:hint="eastAsia"/>
        </w:rPr>
        <w:t>規範均取向</w:t>
      </w:r>
      <w:proofErr w:type="gramEnd"/>
      <w:r>
        <w:rPr>
          <w:rFonts w:ascii="新細明體" w:hAnsi="新細明體" w:hint="eastAsia"/>
        </w:rPr>
        <w:t>於行政處分是否涉及</w:t>
      </w:r>
      <w:proofErr w:type="gramStart"/>
      <w:r>
        <w:rPr>
          <w:rFonts w:ascii="新細明體" w:hAnsi="新細明體" w:hint="eastAsia"/>
        </w:rPr>
        <w:t>授益性內容</w:t>
      </w:r>
      <w:proofErr w:type="gramEnd"/>
      <w:r>
        <w:rPr>
          <w:rFonts w:ascii="新細明體" w:hAnsi="新細明體" w:hint="eastAsia"/>
        </w:rPr>
        <w:t>、是否合法，質言之，行政處分之「</w:t>
      </w:r>
      <w:proofErr w:type="gramStart"/>
      <w:r>
        <w:rPr>
          <w:rFonts w:ascii="新細明體" w:hAnsi="新細明體" w:hint="eastAsia"/>
        </w:rPr>
        <w:t>授益性</w:t>
      </w:r>
      <w:proofErr w:type="gramEnd"/>
      <w:r>
        <w:rPr>
          <w:rFonts w:ascii="新細明體" w:hAnsi="新細明體" w:hint="eastAsia"/>
        </w:rPr>
        <w:t>」、「合法性」概念的</w:t>
      </w:r>
      <w:proofErr w:type="gramStart"/>
      <w:r>
        <w:rPr>
          <w:rFonts w:ascii="新細明體" w:hAnsi="新細明體" w:hint="eastAsia"/>
        </w:rPr>
        <w:t>釐</w:t>
      </w:r>
      <w:proofErr w:type="gramEnd"/>
      <w:r>
        <w:rPr>
          <w:rFonts w:ascii="新細明體" w:hAnsi="新細明體" w:hint="eastAsia"/>
        </w:rPr>
        <w:t>清乃是掌握廢棄</w:t>
      </w:r>
      <w:proofErr w:type="gramStart"/>
      <w:r>
        <w:rPr>
          <w:rFonts w:ascii="新細明體" w:hAnsi="新細明體" w:hint="eastAsia"/>
        </w:rPr>
        <w:t>授益性行政處分</w:t>
      </w:r>
      <w:proofErr w:type="gramEnd"/>
      <w:r>
        <w:rPr>
          <w:rFonts w:ascii="新細明體" w:hAnsi="新細明體" w:hint="eastAsia"/>
        </w:rPr>
        <w:t>之規範安排的前提，自應先予</w:t>
      </w:r>
      <w:proofErr w:type="gramStart"/>
      <w:r>
        <w:rPr>
          <w:rFonts w:ascii="新細明體" w:hAnsi="新細明體" w:hint="eastAsia"/>
        </w:rPr>
        <w:t>釐</w:t>
      </w:r>
      <w:proofErr w:type="gramEnd"/>
      <w:r>
        <w:rPr>
          <w:rFonts w:ascii="新細明體" w:hAnsi="新細明體" w:hint="eastAsia"/>
        </w:rPr>
        <w:t>清（貳）。在此等法制背景、先決問題</w:t>
      </w:r>
      <w:proofErr w:type="gramStart"/>
      <w:r>
        <w:rPr>
          <w:rFonts w:ascii="新細明體" w:hAnsi="新細明體" w:hint="eastAsia"/>
        </w:rPr>
        <w:t>釐</w:t>
      </w:r>
      <w:proofErr w:type="gramEnd"/>
      <w:r>
        <w:rPr>
          <w:rFonts w:ascii="新細明體" w:hAnsi="新細明體" w:hint="eastAsia"/>
        </w:rPr>
        <w:t>清後，即依序處理廢止</w:t>
      </w:r>
      <w:proofErr w:type="gramStart"/>
      <w:r>
        <w:rPr>
          <w:rFonts w:ascii="新細明體" w:hAnsi="新細明體" w:hint="eastAsia"/>
        </w:rPr>
        <w:t>授益性行政處分</w:t>
      </w:r>
      <w:proofErr w:type="gramEnd"/>
      <w:r>
        <w:rPr>
          <w:rFonts w:ascii="新細明體" w:hAnsi="新細明體" w:hint="eastAsia"/>
        </w:rPr>
        <w:t>的主要困難（參）以及，撤銷</w:t>
      </w:r>
      <w:proofErr w:type="gramStart"/>
      <w:r>
        <w:rPr>
          <w:rFonts w:ascii="新細明體" w:hAnsi="新細明體" w:hint="eastAsia"/>
        </w:rPr>
        <w:t>授益性行政處分</w:t>
      </w:r>
      <w:proofErr w:type="gramEnd"/>
      <w:r>
        <w:rPr>
          <w:rFonts w:ascii="新細明體" w:hAnsi="新細明體" w:hint="eastAsia"/>
        </w:rPr>
        <w:t>的主要疑義（肆）。</w:t>
      </w:r>
    </w:p>
    <w:p w:rsidR="00683971" w:rsidRDefault="00683971" w:rsidP="00057028">
      <w:pPr>
        <w:overflowPunct w:val="0"/>
        <w:spacing w:line="360" w:lineRule="auto"/>
        <w:jc w:val="both"/>
        <w:rPr>
          <w:rFonts w:ascii="標楷體" w:eastAsia="標楷體" w:hAnsi="標楷體"/>
          <w:b/>
        </w:rPr>
      </w:pPr>
    </w:p>
    <w:p w:rsidR="00683971" w:rsidRDefault="006D0E61" w:rsidP="00057028">
      <w:pPr>
        <w:overflowPunct w:val="0"/>
        <w:spacing w:line="360" w:lineRule="auto"/>
        <w:jc w:val="both"/>
        <w:rPr>
          <w:rFonts w:ascii="標楷體" w:eastAsia="標楷體" w:hAnsi="標楷體"/>
          <w:b/>
        </w:rPr>
      </w:pPr>
      <w:r>
        <w:rPr>
          <w:rFonts w:ascii="標楷體" w:eastAsia="標楷體" w:hAnsi="標楷體" w:hint="eastAsia"/>
          <w:b/>
        </w:rPr>
        <w:t>第一節 德國廢棄行政處分之法律規範的發展</w:t>
      </w:r>
    </w:p>
    <w:p w:rsidR="00683971" w:rsidRDefault="00683971" w:rsidP="00057028">
      <w:pPr>
        <w:overflowPunct w:val="0"/>
        <w:spacing w:line="360" w:lineRule="auto"/>
        <w:jc w:val="both"/>
      </w:pPr>
    </w:p>
    <w:p w:rsidR="00683971" w:rsidRDefault="006D0E61" w:rsidP="00057028">
      <w:pPr>
        <w:overflowPunct w:val="0"/>
        <w:spacing w:line="360" w:lineRule="auto"/>
        <w:ind w:firstLineChars="200" w:firstLine="480"/>
        <w:jc w:val="both"/>
      </w:pPr>
      <w:r>
        <w:rPr>
          <w:rFonts w:hint="eastAsia"/>
        </w:rPr>
        <w:t>按行政處分具有針對個案具體化、確定國家與人民之法律關係的功能。此一功能的發生以行政處分具有一定的存續效力為前提，質言之，在法定救濟期間經</w:t>
      </w:r>
      <w:r>
        <w:rPr>
          <w:rFonts w:hint="eastAsia"/>
        </w:rPr>
        <w:lastRenderedPageBreak/>
        <w:t>過後，不僅人民應接受此一行政處分，行政機關亦不得就其效力任意處置</w:t>
      </w:r>
      <w:r>
        <w:rPr>
          <w:rStyle w:val="a6"/>
        </w:rPr>
        <w:footnoteReference w:id="1"/>
      </w:r>
      <w:r>
        <w:rPr>
          <w:rFonts w:hint="eastAsia"/>
        </w:rPr>
        <w:t>。然而，依</w:t>
      </w:r>
      <w:proofErr w:type="gramStart"/>
      <w:r>
        <w:rPr>
          <w:rFonts w:hint="eastAsia"/>
        </w:rPr>
        <w:t>1950</w:t>
      </w:r>
      <w:proofErr w:type="gramEnd"/>
      <w:r>
        <w:rPr>
          <w:rFonts w:hint="eastAsia"/>
        </w:rPr>
        <w:t>年代中期之前的支配性見解，行政機關原則上得自由撤銷或廢止行政處分。所以致此，在撤銷違法</w:t>
      </w:r>
      <w:proofErr w:type="gramStart"/>
      <w:r>
        <w:rPr>
          <w:rFonts w:hint="eastAsia"/>
        </w:rPr>
        <w:t>授益性行政處分</w:t>
      </w:r>
      <w:proofErr w:type="gramEnd"/>
      <w:r>
        <w:rPr>
          <w:rFonts w:hint="eastAsia"/>
        </w:rPr>
        <w:t>的情況，是因為長期以來行政法學與行政實務片面強調依法律行政原則；在廢止合法</w:t>
      </w:r>
      <w:proofErr w:type="gramStart"/>
      <w:r>
        <w:rPr>
          <w:rFonts w:hint="eastAsia"/>
        </w:rPr>
        <w:t>授益性行政處分</w:t>
      </w:r>
      <w:proofErr w:type="gramEnd"/>
      <w:r>
        <w:rPr>
          <w:rFonts w:hint="eastAsia"/>
        </w:rPr>
        <w:t>的情形，先前僅於行政處分已賦予主觀權利或者，本於行政處分已採取相關處置時，自由的廢止才會受到限制</w:t>
      </w:r>
      <w:r>
        <w:rPr>
          <w:rStyle w:val="a6"/>
        </w:rPr>
        <w:footnoteReference w:id="2"/>
      </w:r>
      <w:r>
        <w:rPr>
          <w:rFonts w:hint="eastAsia"/>
        </w:rPr>
        <w:t>。對克服此一立場具有重要貢獻的是柏林高等行政法院</w:t>
      </w:r>
      <w:r>
        <w:rPr>
          <w:rFonts w:hint="eastAsia"/>
        </w:rPr>
        <w:t>1956</w:t>
      </w:r>
      <w:r>
        <w:rPr>
          <w:rFonts w:hint="eastAsia"/>
        </w:rPr>
        <w:t>年</w:t>
      </w:r>
      <w:r>
        <w:rPr>
          <w:rFonts w:hint="eastAsia"/>
        </w:rPr>
        <w:t>11</w:t>
      </w:r>
      <w:r>
        <w:rPr>
          <w:rFonts w:hint="eastAsia"/>
        </w:rPr>
        <w:t>月</w:t>
      </w:r>
      <w:r>
        <w:rPr>
          <w:rFonts w:hint="eastAsia"/>
        </w:rPr>
        <w:t>14</w:t>
      </w:r>
      <w:r>
        <w:rPr>
          <w:rFonts w:hint="eastAsia"/>
        </w:rPr>
        <w:t>日的裁判，其並為聯邦行政法院所維持。前揭裁判的基礎事實是：作為被告的柏林內政部以書面通知居住於前東德的公務員遺屬，如其於西柏林設定住所即得享有撫卹金請求權。據此，後者移居西柏林；被告並核定撫卹金之金額。嗣後發現，許可撫卹金之法定要件並不具備，被告遂停止撫卹金的給付，並通知該公務員</w:t>
      </w:r>
      <w:proofErr w:type="gramStart"/>
      <w:r>
        <w:rPr>
          <w:rFonts w:hint="eastAsia"/>
        </w:rPr>
        <w:t>遺屬返還</w:t>
      </w:r>
      <w:proofErr w:type="gramEnd"/>
      <w:r>
        <w:rPr>
          <w:rFonts w:hint="eastAsia"/>
        </w:rPr>
        <w:t>已受領之給付。本案清楚顯示，先前的支配性見解並未顧及</w:t>
      </w:r>
      <w:proofErr w:type="gramStart"/>
      <w:r>
        <w:rPr>
          <w:rFonts w:hint="eastAsia"/>
        </w:rPr>
        <w:t>授益性行政處分</w:t>
      </w:r>
      <w:proofErr w:type="gramEnd"/>
      <w:r>
        <w:rPr>
          <w:rFonts w:hint="eastAsia"/>
        </w:rPr>
        <w:t>相對人值得保護的信賴</w:t>
      </w:r>
      <w:r>
        <w:rPr>
          <w:rStyle w:val="a6"/>
        </w:rPr>
        <w:footnoteReference w:id="3"/>
      </w:r>
      <w:r>
        <w:rPr>
          <w:rFonts w:hint="eastAsia"/>
        </w:rPr>
        <w:t>。今日已普遍拒絕前述自由廢棄</w:t>
      </w:r>
      <w:proofErr w:type="gramStart"/>
      <w:r>
        <w:rPr>
          <w:rFonts w:hint="eastAsia"/>
        </w:rPr>
        <w:t>授益性行政處分</w:t>
      </w:r>
      <w:proofErr w:type="gramEnd"/>
      <w:r>
        <w:rPr>
          <w:rFonts w:hint="eastAsia"/>
        </w:rPr>
        <w:t>的立場。一方面是因為在法秩序中不能發現，足以正當化自由廢棄的法條。另一方面，與先前相比，當代社會國家中人民生存與活動的可能性更強烈地</w:t>
      </w:r>
      <w:proofErr w:type="gramStart"/>
      <w:r>
        <w:rPr>
          <w:rFonts w:hint="eastAsia"/>
        </w:rPr>
        <w:t>繫</w:t>
      </w:r>
      <w:proofErr w:type="gramEnd"/>
      <w:r>
        <w:rPr>
          <w:rFonts w:hint="eastAsia"/>
        </w:rPr>
        <w:t>諸</w:t>
      </w:r>
      <w:proofErr w:type="gramStart"/>
      <w:r>
        <w:rPr>
          <w:rFonts w:hint="eastAsia"/>
        </w:rPr>
        <w:t>規</w:t>
      </w:r>
      <w:proofErr w:type="gramEnd"/>
      <w:r>
        <w:rPr>
          <w:rFonts w:hint="eastAsia"/>
        </w:rPr>
        <w:t>制性的、給付性的社會共同體；個人對</w:t>
      </w:r>
      <w:proofErr w:type="gramStart"/>
      <w:r>
        <w:rPr>
          <w:rFonts w:hint="eastAsia"/>
        </w:rPr>
        <w:t>授益性行政處分</w:t>
      </w:r>
      <w:proofErr w:type="gramEnd"/>
      <w:r>
        <w:rPr>
          <w:rFonts w:hint="eastAsia"/>
        </w:rPr>
        <w:t>之續存的依賴既日益提高，相較於回復合法秩序（在違法授益性行政處分的情形）、變動法秩序（在合法授益性行政處分的情況）的公益，受益者的信賴保護更受重視。而一如前文屢屢提及的，廢棄</w:t>
      </w:r>
      <w:proofErr w:type="gramStart"/>
      <w:r>
        <w:rPr>
          <w:rFonts w:hint="eastAsia"/>
        </w:rPr>
        <w:t>授益性行政處分</w:t>
      </w:r>
      <w:proofErr w:type="gramEnd"/>
      <w:r>
        <w:rPr>
          <w:rFonts w:hint="eastAsia"/>
        </w:rPr>
        <w:t>的問題情境不盡相同，尤其應該取向於依法律行政原則與信賴保護的觀點，分別類型作不同的處理</w:t>
      </w:r>
      <w:r>
        <w:rPr>
          <w:rStyle w:val="a6"/>
        </w:rPr>
        <w:footnoteReference w:id="4"/>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ind w:firstLineChars="200" w:firstLine="480"/>
        <w:jc w:val="both"/>
      </w:pPr>
      <w:r>
        <w:rPr>
          <w:rFonts w:hint="eastAsia"/>
        </w:rPr>
        <w:t>據此，聯邦行政程序法的立法者主要以行政處分的合法性作為主要的分類觀點，據此將行政處分的廢棄分為（合法）行政處分的廢止與（違法）行政處分的</w:t>
      </w:r>
      <w:r>
        <w:rPr>
          <w:rFonts w:hint="eastAsia"/>
        </w:rPr>
        <w:lastRenderedPageBreak/>
        <w:t>撤銷，其各自又進一步依行政處分涉及的</w:t>
      </w:r>
      <w:proofErr w:type="gramStart"/>
      <w:r>
        <w:rPr>
          <w:rFonts w:hint="eastAsia"/>
        </w:rPr>
        <w:t>是授益性或非授益性</w:t>
      </w:r>
      <w:proofErr w:type="gramEnd"/>
      <w:r>
        <w:rPr>
          <w:rFonts w:hint="eastAsia"/>
        </w:rPr>
        <w:t>的內容作區分處理。如是，為確切適用相關廢棄行政處分的條文，自應先掌握</w:t>
      </w:r>
      <w:r>
        <w:rPr>
          <w:rFonts w:ascii="標楷體" w:eastAsia="標楷體" w:hAnsi="標楷體"/>
          <w:b/>
        </w:rPr>
        <w:t>行政處分之「合法性」與「</w:t>
      </w:r>
      <w:proofErr w:type="gramStart"/>
      <w:r>
        <w:rPr>
          <w:rFonts w:ascii="標楷體" w:eastAsia="標楷體" w:hAnsi="標楷體"/>
          <w:b/>
        </w:rPr>
        <w:t>授益性</w:t>
      </w:r>
      <w:proofErr w:type="gramEnd"/>
      <w:r>
        <w:rPr>
          <w:rFonts w:ascii="標楷體" w:eastAsia="標楷體" w:hAnsi="標楷體"/>
          <w:b/>
        </w:rPr>
        <w:t>」的判斷標準</w:t>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ind w:firstLineChars="200" w:firstLine="480"/>
        <w:jc w:val="both"/>
      </w:pPr>
      <w:r>
        <w:rPr>
          <w:rFonts w:hint="eastAsia"/>
        </w:rPr>
        <w:t>在本研究的脈絡裡特別應該提及的是：</w:t>
      </w:r>
      <w:r>
        <w:rPr>
          <w:rFonts w:hint="eastAsia"/>
        </w:rPr>
        <w:t xml:space="preserve">. Wolff / </w:t>
      </w:r>
      <w:proofErr w:type="spellStart"/>
      <w:r>
        <w:rPr>
          <w:rFonts w:hint="eastAsia"/>
        </w:rPr>
        <w:t>Bachof</w:t>
      </w:r>
      <w:proofErr w:type="spellEnd"/>
      <w:r>
        <w:rPr>
          <w:rFonts w:hint="eastAsia"/>
        </w:rPr>
        <w:t xml:space="preserve"> / </w:t>
      </w:r>
      <w:proofErr w:type="spellStart"/>
      <w:r>
        <w:rPr>
          <w:rFonts w:hint="eastAsia"/>
        </w:rPr>
        <w:t>Stober</w:t>
      </w:r>
      <w:proofErr w:type="spellEnd"/>
      <w:r>
        <w:rPr>
          <w:rFonts w:hint="eastAsia"/>
        </w:rPr>
        <w:t>強調，應依事物領域，質言之，依實體法的觀點區分廢棄行政處分的要件。其指出，</w:t>
      </w:r>
      <w:proofErr w:type="gramStart"/>
      <w:r>
        <w:rPr>
          <w:rFonts w:hint="eastAsia"/>
        </w:rPr>
        <w:t>授益性行政處分</w:t>
      </w:r>
      <w:proofErr w:type="gramEnd"/>
      <w:r>
        <w:rPr>
          <w:rFonts w:hint="eastAsia"/>
        </w:rPr>
        <w:t>涉及的是社會法制的，抑或是經濟津貼法制的行政處分，法律上應該有截然不同的考量。以社會法制的</w:t>
      </w:r>
      <w:proofErr w:type="gramStart"/>
      <w:r>
        <w:rPr>
          <w:rFonts w:hint="eastAsia"/>
        </w:rPr>
        <w:t>授益性行政處分</w:t>
      </w:r>
      <w:proofErr w:type="gramEnd"/>
      <w:r>
        <w:rPr>
          <w:rFonts w:hint="eastAsia"/>
        </w:rPr>
        <w:t>來說，其經常發生持續性的效力，並且經常具有確保生存的意義（例如退休保險與意外保險的給付）。</w:t>
      </w:r>
      <w:proofErr w:type="gramStart"/>
      <w:r>
        <w:rPr>
          <w:rFonts w:hint="eastAsia"/>
        </w:rPr>
        <w:t>此外，</w:t>
      </w:r>
      <w:proofErr w:type="gramEnd"/>
      <w:r>
        <w:rPr>
          <w:rFonts w:hint="eastAsia"/>
        </w:rPr>
        <w:t>這類行政處分也經常本於受益人的給付而取得</w:t>
      </w:r>
      <w:r>
        <w:rPr>
          <w:rStyle w:val="a6"/>
        </w:rPr>
        <w:footnoteReference w:id="5"/>
      </w:r>
      <w:r>
        <w:rPr>
          <w:rFonts w:hint="eastAsia"/>
        </w:rPr>
        <w:t>。有鑑於此，德國社會法典第十篇就別以五個條文</w:t>
      </w:r>
      <w:proofErr w:type="gramStart"/>
      <w:r>
        <w:rPr>
          <w:rFonts w:hint="eastAsia"/>
        </w:rPr>
        <w:t>（</w:t>
      </w:r>
      <w:proofErr w:type="gramEnd"/>
      <w:r>
        <w:rPr>
          <w:color w:val="000000"/>
        </w:rPr>
        <w:t>§§</w:t>
      </w:r>
      <w:r>
        <w:rPr>
          <w:rFonts w:hint="eastAsia"/>
          <w:color w:val="000000"/>
        </w:rPr>
        <w:t xml:space="preserve"> 44 ff. SGB-X</w:t>
      </w:r>
      <w:proofErr w:type="gramStart"/>
      <w:r>
        <w:rPr>
          <w:rFonts w:hint="eastAsia"/>
        </w:rPr>
        <w:t>）</w:t>
      </w:r>
      <w:proofErr w:type="gramEnd"/>
      <w:r>
        <w:rPr>
          <w:rFonts w:hint="eastAsia"/>
        </w:rPr>
        <w:t>處理其撤銷與廢止的問題，其特徵可以總結為：對國民有利之存續保障的極大化以及，負擔性措施之存續效力的極小化</w:t>
      </w:r>
      <w:r>
        <w:rPr>
          <w:rStyle w:val="a6"/>
        </w:rPr>
        <w:footnoteReference w:id="6"/>
      </w:r>
      <w:r>
        <w:rPr>
          <w:rFonts w:hint="eastAsia"/>
        </w:rPr>
        <w:t>。公務人員相關社會給付法制固然並非保訓會的主管法令，但</w:t>
      </w:r>
      <w:r>
        <w:rPr>
          <w:rFonts w:ascii="標楷體" w:eastAsia="標楷體" w:hAnsi="標楷體" w:hint="eastAsia"/>
          <w:b/>
        </w:rPr>
        <w:t>保訓會既為公務人員保障法制的主管機關，似亦應致力於發展兼顧事物領域特徵的相關見解</w:t>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rPr>
          <w:rFonts w:ascii="標楷體" w:eastAsia="標楷體" w:hAnsi="標楷體"/>
          <w:b/>
        </w:rPr>
      </w:pPr>
      <w:r>
        <w:rPr>
          <w:rFonts w:ascii="標楷體" w:eastAsia="標楷體" w:hAnsi="標楷體" w:hint="eastAsia"/>
          <w:b/>
        </w:rPr>
        <w:t>第二節 廢棄行政處分的共通問題：「合法性」與「</w:t>
      </w:r>
      <w:proofErr w:type="gramStart"/>
      <w:r>
        <w:rPr>
          <w:rFonts w:ascii="標楷體" w:eastAsia="標楷體" w:hAnsi="標楷體" w:hint="eastAsia"/>
          <w:b/>
        </w:rPr>
        <w:t>授益性</w:t>
      </w:r>
      <w:proofErr w:type="gramEnd"/>
      <w:r>
        <w:rPr>
          <w:rFonts w:ascii="標楷體" w:eastAsia="標楷體" w:hAnsi="標楷體" w:hint="eastAsia"/>
          <w:b/>
        </w:rPr>
        <w:t>」概念的</w:t>
      </w:r>
      <w:proofErr w:type="gramStart"/>
      <w:r>
        <w:rPr>
          <w:rFonts w:ascii="標楷體" w:eastAsia="標楷體" w:hAnsi="標楷體" w:hint="eastAsia"/>
          <w:b/>
        </w:rPr>
        <w:t>釐</w:t>
      </w:r>
      <w:proofErr w:type="gramEnd"/>
      <w:r>
        <w:rPr>
          <w:rFonts w:ascii="標楷體" w:eastAsia="標楷體" w:hAnsi="標楷體" w:hint="eastAsia"/>
          <w:b/>
        </w:rPr>
        <w:t>清</w:t>
      </w:r>
    </w:p>
    <w:p w:rsidR="00683971" w:rsidRDefault="00683971" w:rsidP="00057028">
      <w:pPr>
        <w:overflowPunct w:val="0"/>
        <w:spacing w:line="360" w:lineRule="auto"/>
        <w:jc w:val="both"/>
      </w:pPr>
    </w:p>
    <w:p w:rsidR="00683971" w:rsidRDefault="006D0E61" w:rsidP="00057028">
      <w:pPr>
        <w:overflowPunct w:val="0"/>
        <w:spacing w:line="360" w:lineRule="auto"/>
        <w:jc w:val="both"/>
        <w:rPr>
          <w:rFonts w:ascii="標楷體" w:eastAsia="標楷體" w:hAnsi="標楷體"/>
          <w:b/>
        </w:rPr>
      </w:pPr>
      <w:r>
        <w:rPr>
          <w:rFonts w:ascii="標楷體" w:eastAsia="標楷體" w:hAnsi="標楷體" w:hint="eastAsia"/>
          <w:b/>
        </w:rPr>
        <w:t>一、行政處分之「合法性」的認定判</w:t>
      </w:r>
      <w:proofErr w:type="gramStart"/>
      <w:r>
        <w:rPr>
          <w:rFonts w:ascii="標楷體" w:eastAsia="標楷體" w:hAnsi="標楷體" w:hint="eastAsia"/>
          <w:b/>
        </w:rPr>
        <w:t>準</w:t>
      </w:r>
      <w:proofErr w:type="gramEnd"/>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hint="eastAsia"/>
        </w:rPr>
        <w:t>關於合法性的概念，可以將德國社會法典第十篇第</w:t>
      </w:r>
      <w:r>
        <w:rPr>
          <w:rFonts w:hint="eastAsia"/>
        </w:rPr>
        <w:t>44</w:t>
      </w:r>
      <w:r>
        <w:rPr>
          <w:rFonts w:hint="eastAsia"/>
        </w:rPr>
        <w:t>條第</w:t>
      </w:r>
      <w:r>
        <w:rPr>
          <w:rFonts w:hint="eastAsia"/>
        </w:rPr>
        <w:t>1</w:t>
      </w:r>
      <w:r>
        <w:rPr>
          <w:rFonts w:hint="eastAsia"/>
        </w:rPr>
        <w:t>項第</w:t>
      </w:r>
      <w:r>
        <w:rPr>
          <w:rFonts w:hint="eastAsia"/>
        </w:rPr>
        <w:t>1</w:t>
      </w:r>
      <w:r>
        <w:rPr>
          <w:rFonts w:hint="eastAsia"/>
        </w:rPr>
        <w:t>款的說明一般化而加以援用，蓋其並非針對社會法的案件事實類型所為，並且聯邦行政程序法的官方版立法理由也引為基礎；此等界定方式不僅為其司法實務所</w:t>
      </w:r>
      <w:proofErr w:type="gramStart"/>
      <w:r>
        <w:rPr>
          <w:rFonts w:hint="eastAsia"/>
        </w:rPr>
        <w:t>採</w:t>
      </w:r>
      <w:proofErr w:type="gramEnd"/>
      <w:r>
        <w:rPr>
          <w:rFonts w:hint="eastAsia"/>
        </w:rPr>
        <w:t>，亦為該國學界的多數見解。據此，假使</w:t>
      </w:r>
      <w:r>
        <w:rPr>
          <w:rFonts w:ascii="新細明體" w:hAnsi="新細明體" w:hint="eastAsia"/>
        </w:rPr>
        <w:t>作成行政處分時，相關法規範被正確地適用於正確認定的案件事實，即應認此行政處分合法；所謂相關法規範包括形式與實</w:t>
      </w:r>
      <w:r>
        <w:rPr>
          <w:rFonts w:ascii="新細明體" w:hAnsi="新細明體" w:hint="eastAsia"/>
        </w:rPr>
        <w:lastRenderedPageBreak/>
        <w:t>體的法規範。如是，認定行政處分的合法性主要有兩項議題應進一步加以闡述</w:t>
      </w:r>
      <w:proofErr w:type="gramStart"/>
      <w:r>
        <w:rPr>
          <w:rFonts w:ascii="新細明體" w:hAnsi="新細明體" w:hint="eastAsia"/>
        </w:rPr>
        <w:t>―</w:t>
      </w:r>
      <w:proofErr w:type="gramEnd"/>
      <w:r>
        <w:rPr>
          <w:rFonts w:hint="eastAsia"/>
        </w:rPr>
        <w:t>行政處分之合法性的認定時點、據以判斷行政處分合法性之法規範的範圍</w:t>
      </w:r>
      <w:r>
        <w:rPr>
          <w:rStyle w:val="a6"/>
        </w:rPr>
        <w:footnoteReference w:id="7"/>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hint="eastAsia"/>
        </w:rPr>
        <w:t>如前所述，</w:t>
      </w:r>
      <w:r>
        <w:rPr>
          <w:rFonts w:ascii="標楷體" w:eastAsia="標楷體" w:hAnsi="標楷體" w:hint="eastAsia"/>
          <w:b/>
        </w:rPr>
        <w:t>認定行政處分之合法性的時點為其作成時</w:t>
      </w:r>
      <w:r>
        <w:rPr>
          <w:rFonts w:hint="eastAsia"/>
        </w:rPr>
        <w:t>。因此，在作成行政處分時，假使足以正當化行政處分的事實不存在，此一行政處分即屬違法。</w:t>
      </w:r>
      <w:proofErr w:type="gramStart"/>
      <w:r>
        <w:rPr>
          <w:rFonts w:hint="eastAsia"/>
        </w:rPr>
        <w:t>此外，</w:t>
      </w:r>
      <w:proofErr w:type="gramEnd"/>
      <w:r>
        <w:rPr>
          <w:rFonts w:hint="eastAsia"/>
        </w:rPr>
        <w:t>亦可能因法規範變更發生溯及的效力，使原本的行政處分喪失其合法性基礎。與此相對，假使其</w:t>
      </w:r>
      <w:proofErr w:type="gramStart"/>
      <w:r>
        <w:rPr>
          <w:rFonts w:hint="eastAsia"/>
        </w:rPr>
        <w:t>續存將導致</w:t>
      </w:r>
      <w:proofErr w:type="gramEnd"/>
      <w:r>
        <w:rPr>
          <w:rFonts w:hint="eastAsia"/>
        </w:rPr>
        <w:t>原本的行政處分違法，於此涉及的不是行政處分的撤銷，毋寧是廢止行政處分的問題，因關涉的並非原本行政處分的合法性，毋寧是應如何配合情境而為變更</w:t>
      </w:r>
      <w:r>
        <w:rPr>
          <w:rStyle w:val="a6"/>
        </w:rPr>
        <w:footnoteReference w:id="8"/>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ascii="標楷體" w:eastAsia="標楷體" w:hAnsi="標楷體" w:hint="eastAsia"/>
          <w:b/>
        </w:rPr>
        <w:t xml:space="preserve"> 據以判斷行政處分之合法性的法規範僅限於外部法規範</w:t>
      </w:r>
      <w:r>
        <w:rPr>
          <w:rFonts w:hint="eastAsia"/>
        </w:rPr>
        <w:t>。然而，在以（僅具有內部法規範效力之）行政規則為依據的經濟津貼，此一結論不無可疑。於此，德國行政法學理上顯然訴諸行政自我拘束原則求其解決。質言之，如行政實務穩定地援用此等行政規則，即可透過基本法第</w:t>
      </w:r>
      <w:r>
        <w:rPr>
          <w:rFonts w:hint="eastAsia"/>
        </w:rPr>
        <w:t>3</w:t>
      </w:r>
      <w:r>
        <w:rPr>
          <w:rFonts w:hint="eastAsia"/>
        </w:rPr>
        <w:t>條第</w:t>
      </w:r>
      <w:r>
        <w:rPr>
          <w:rFonts w:hint="eastAsia"/>
        </w:rPr>
        <w:t>1</w:t>
      </w:r>
      <w:r>
        <w:rPr>
          <w:rFonts w:hint="eastAsia"/>
        </w:rPr>
        <w:t>項（</w:t>
      </w:r>
      <w:r>
        <w:t>=</w:t>
      </w:r>
      <w:r>
        <w:rPr>
          <w:rFonts w:hint="eastAsia"/>
        </w:rPr>
        <w:t xml:space="preserve"> </w:t>
      </w:r>
      <w:r>
        <w:rPr>
          <w:rFonts w:hint="eastAsia"/>
        </w:rPr>
        <w:t>平等原則的規定）開展其外部效力，藉此在判斷行政處分的合法性時對相關行政規則加以考量</w:t>
      </w:r>
      <w:r>
        <w:rPr>
          <w:rStyle w:val="a6"/>
        </w:rPr>
        <w:footnoteReference w:id="9"/>
      </w:r>
      <w:r>
        <w:rPr>
          <w:rFonts w:hint="eastAsia"/>
        </w:rPr>
        <w:t>。</w:t>
      </w:r>
      <w:proofErr w:type="gramStart"/>
      <w:r>
        <w:rPr>
          <w:rFonts w:hint="eastAsia"/>
        </w:rPr>
        <w:t>此外，</w:t>
      </w:r>
      <w:proofErr w:type="gramEnd"/>
      <w:r>
        <w:rPr>
          <w:rFonts w:hint="eastAsia"/>
        </w:rPr>
        <w:t>違法不限於積極地牴觸法律，也包括消極地未得法律授權的情況，質言之，違反法律保留的要求。最後，行政處分的合法性非僅取決於實體內容上的，當然也及於程序與組織法規範的遵守</w:t>
      </w:r>
      <w:r>
        <w:rPr>
          <w:rStyle w:val="a6"/>
        </w:rPr>
        <w:footnoteReference w:id="10"/>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rPr>
          <w:rFonts w:ascii="標楷體" w:eastAsia="標楷體" w:hAnsi="標楷體"/>
          <w:b/>
        </w:rPr>
      </w:pPr>
      <w:r>
        <w:rPr>
          <w:rFonts w:ascii="標楷體" w:eastAsia="標楷體" w:hAnsi="標楷體" w:hint="eastAsia"/>
          <w:b/>
        </w:rPr>
        <w:t>二、</w:t>
      </w:r>
      <w:proofErr w:type="gramStart"/>
      <w:r>
        <w:rPr>
          <w:rFonts w:ascii="標楷體" w:eastAsia="標楷體" w:hAnsi="標楷體" w:hint="eastAsia"/>
          <w:b/>
        </w:rPr>
        <w:t>授益性行政處分</w:t>
      </w:r>
      <w:proofErr w:type="gramEnd"/>
      <w:r>
        <w:rPr>
          <w:rFonts w:ascii="標楷體" w:eastAsia="標楷體" w:hAnsi="標楷體" w:hint="eastAsia"/>
          <w:b/>
        </w:rPr>
        <w:t>的判定</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lastRenderedPageBreak/>
        <w:t xml:space="preserve">    </w:t>
      </w:r>
      <w:r>
        <w:rPr>
          <w:rFonts w:hint="eastAsia"/>
        </w:rPr>
        <w:t>按聯邦行政程序法就行政處分的廢棄之所以區分授</w:t>
      </w:r>
      <w:proofErr w:type="gramStart"/>
      <w:r>
        <w:rPr>
          <w:rFonts w:hint="eastAsia"/>
        </w:rPr>
        <w:t>益性與非授益性</w:t>
      </w:r>
      <w:proofErr w:type="gramEnd"/>
      <w:r>
        <w:rPr>
          <w:rFonts w:hint="eastAsia"/>
        </w:rPr>
        <w:t>行政處分而為不同規範，其考量在於，</w:t>
      </w:r>
      <w:proofErr w:type="gramStart"/>
      <w:r>
        <w:rPr>
          <w:rFonts w:hint="eastAsia"/>
        </w:rPr>
        <w:t>授益性行政處分</w:t>
      </w:r>
      <w:proofErr w:type="gramEnd"/>
      <w:r>
        <w:rPr>
          <w:rFonts w:hint="eastAsia"/>
        </w:rPr>
        <w:t>衍生之受益人的信賴應受到較強的存續保障，</w:t>
      </w:r>
      <w:proofErr w:type="gramStart"/>
      <w:r>
        <w:rPr>
          <w:rFonts w:hint="eastAsia"/>
        </w:rPr>
        <w:t>為符應</w:t>
      </w:r>
      <w:proofErr w:type="gramEnd"/>
      <w:r>
        <w:rPr>
          <w:rFonts w:hint="eastAsia"/>
        </w:rPr>
        <w:t>此一立法目的，應將「授益」理解為：對受行政處分影響者而言，其維持具有值得保護之利益的所有法律效果。與此相應，德國聯邦行政程序法第</w:t>
      </w:r>
      <w:r>
        <w:rPr>
          <w:rFonts w:hint="eastAsia"/>
        </w:rPr>
        <w:t>48</w:t>
      </w:r>
      <w:r>
        <w:rPr>
          <w:rFonts w:hint="eastAsia"/>
        </w:rPr>
        <w:t>條第</w:t>
      </w:r>
      <w:r>
        <w:rPr>
          <w:rFonts w:hint="eastAsia"/>
        </w:rPr>
        <w:t>1</w:t>
      </w:r>
      <w:r>
        <w:rPr>
          <w:rFonts w:hint="eastAsia"/>
        </w:rPr>
        <w:t>項第</w:t>
      </w:r>
      <w:r>
        <w:rPr>
          <w:rFonts w:hint="eastAsia"/>
        </w:rPr>
        <w:t>2</w:t>
      </w:r>
      <w:r>
        <w:rPr>
          <w:rFonts w:hint="eastAsia"/>
        </w:rPr>
        <w:t>句也明定，</w:t>
      </w:r>
      <w:r>
        <w:rPr>
          <w:rFonts w:ascii="標楷體" w:eastAsia="標楷體" w:hAnsi="標楷體" w:hint="eastAsia"/>
          <w:b/>
        </w:rPr>
        <w:t>賦予或確認權利、法律上重要利益之行政處分即</w:t>
      </w:r>
      <w:proofErr w:type="gramStart"/>
      <w:r>
        <w:rPr>
          <w:rFonts w:ascii="標楷體" w:eastAsia="標楷體" w:hAnsi="標楷體" w:hint="eastAsia"/>
          <w:b/>
        </w:rPr>
        <w:t>屬授益性</w:t>
      </w:r>
      <w:proofErr w:type="gramEnd"/>
      <w:r>
        <w:rPr>
          <w:rFonts w:ascii="標楷體" w:eastAsia="標楷體" w:hAnsi="標楷體" w:hint="eastAsia"/>
          <w:b/>
        </w:rPr>
        <w:t>行政處分</w:t>
      </w:r>
      <w:r>
        <w:rPr>
          <w:rFonts w:hint="eastAsia"/>
        </w:rPr>
        <w:t>。於此，「權利」意指任何主觀公權利；質言之，任何包含行為義務的公法規範，其至少同時以滿足個人之利益為目的，並賦予當事人貫徹保護規範之法律上之力者。而一如官方版之立法理由的說明，「法律上重要利益」之所以與「權利」並列，目的僅在於避免對「權利」作狹義的解釋。假使行政處分並未賦予當事人以自己名義來行使的權利，毋寧只是實際上授予其利益，即僅屬反射利益。究竟是權利或反射利益，取決於行政處分的規定內涵，而非當事人的主觀想法</w:t>
      </w:r>
      <w:r>
        <w:rPr>
          <w:rStyle w:val="a6"/>
        </w:rPr>
        <w:footnoteReference w:id="11"/>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hint="eastAsia"/>
        </w:rPr>
        <w:t>行政處分有時對處分相對人同時發生授</w:t>
      </w:r>
      <w:proofErr w:type="gramStart"/>
      <w:r>
        <w:rPr>
          <w:rFonts w:hint="eastAsia"/>
        </w:rPr>
        <w:t>益與課予</w:t>
      </w:r>
      <w:proofErr w:type="gramEnd"/>
      <w:r>
        <w:rPr>
          <w:rFonts w:hint="eastAsia"/>
        </w:rPr>
        <w:t>負擔的效果（</w:t>
      </w:r>
      <w:r>
        <w:t>=</w:t>
      </w:r>
      <w:r>
        <w:rPr>
          <w:rFonts w:hint="eastAsia"/>
        </w:rPr>
        <w:t xml:space="preserve"> </w:t>
      </w:r>
      <w:r>
        <w:rPr>
          <w:rFonts w:ascii="標楷體" w:eastAsia="標楷體" w:hAnsi="標楷體" w:hint="eastAsia"/>
          <w:b/>
        </w:rPr>
        <w:t>混合效力的行政處分</w:t>
      </w:r>
      <w:r>
        <w:rPr>
          <w:rFonts w:hint="eastAsia"/>
        </w:rPr>
        <w:t>）。於此，假使授予</w:t>
      </w:r>
      <w:proofErr w:type="gramStart"/>
      <w:r>
        <w:rPr>
          <w:rFonts w:hint="eastAsia"/>
        </w:rPr>
        <w:t>利益與課予</w:t>
      </w:r>
      <w:proofErr w:type="gramEnd"/>
      <w:r>
        <w:rPr>
          <w:rFonts w:hint="eastAsia"/>
        </w:rPr>
        <w:t>負擔的法律效果是可分的，則應分別認定其為</w:t>
      </w:r>
      <w:proofErr w:type="gramStart"/>
      <w:r>
        <w:rPr>
          <w:rFonts w:hint="eastAsia"/>
        </w:rPr>
        <w:t>授益性的</w:t>
      </w:r>
      <w:proofErr w:type="gramEnd"/>
      <w:r>
        <w:rPr>
          <w:rFonts w:hint="eastAsia"/>
        </w:rPr>
        <w:t>與負擔性的行政處分。如二者密切關聯不能劃分，則除非授益部分只是不具重大意義的，負擔性行政處分</w:t>
      </w:r>
      <w:proofErr w:type="gramStart"/>
      <w:r>
        <w:rPr>
          <w:rFonts w:hint="eastAsia"/>
        </w:rPr>
        <w:t>的附款</w:t>
      </w:r>
      <w:proofErr w:type="gramEnd"/>
      <w:r>
        <w:rPr>
          <w:rFonts w:hint="eastAsia"/>
        </w:rPr>
        <w:t>，否則即應認定其為</w:t>
      </w:r>
      <w:proofErr w:type="gramStart"/>
      <w:r>
        <w:rPr>
          <w:rFonts w:hint="eastAsia"/>
        </w:rPr>
        <w:t>授益性行政處分</w:t>
      </w:r>
      <w:proofErr w:type="gramEnd"/>
      <w:r>
        <w:rPr>
          <w:rStyle w:val="a6"/>
        </w:rPr>
        <w:footnoteReference w:id="12"/>
      </w:r>
      <w:r>
        <w:rPr>
          <w:rFonts w:hint="eastAsia"/>
        </w:rPr>
        <w:t>。在</w:t>
      </w:r>
      <w:r>
        <w:rPr>
          <w:rFonts w:ascii="標楷體" w:eastAsia="標楷體" w:hAnsi="標楷體" w:hint="eastAsia"/>
          <w:b/>
        </w:rPr>
        <w:t>具有第三人效力之行政處分</w:t>
      </w:r>
      <w:r>
        <w:rPr>
          <w:rFonts w:hint="eastAsia"/>
        </w:rPr>
        <w:t>的情形，決定行政處分是否具有「</w:t>
      </w:r>
      <w:proofErr w:type="gramStart"/>
      <w:r>
        <w:rPr>
          <w:rFonts w:hint="eastAsia"/>
        </w:rPr>
        <w:t>授益性</w:t>
      </w:r>
      <w:proofErr w:type="gramEnd"/>
      <w:r>
        <w:rPr>
          <w:rFonts w:hint="eastAsia"/>
        </w:rPr>
        <w:t>」內容，應以受影響者的觀點為</w:t>
      </w:r>
      <w:proofErr w:type="gramStart"/>
      <w:r>
        <w:rPr>
          <w:rFonts w:hint="eastAsia"/>
        </w:rPr>
        <w:t>準</w:t>
      </w:r>
      <w:proofErr w:type="gramEnd"/>
      <w:r>
        <w:rPr>
          <w:rFonts w:hint="eastAsia"/>
        </w:rPr>
        <w:t>。具體而言，在對第三人具有負擔作用的</w:t>
      </w:r>
      <w:proofErr w:type="gramStart"/>
      <w:r>
        <w:rPr>
          <w:rFonts w:hint="eastAsia"/>
        </w:rPr>
        <w:t>授益性行政處分</w:t>
      </w:r>
      <w:proofErr w:type="gramEnd"/>
      <w:r>
        <w:rPr>
          <w:rFonts w:hint="eastAsia"/>
        </w:rPr>
        <w:t>，應以處分相對人的角度認定其為</w:t>
      </w:r>
      <w:proofErr w:type="gramStart"/>
      <w:r>
        <w:rPr>
          <w:rFonts w:hint="eastAsia"/>
        </w:rPr>
        <w:t>授益性行政處分</w:t>
      </w:r>
      <w:proofErr w:type="gramEnd"/>
      <w:r>
        <w:rPr>
          <w:rFonts w:hint="eastAsia"/>
        </w:rPr>
        <w:t>；在對第三人發生授益作用的負擔性行政處分，則應認第三人的受益僅屬事實上的反射利益，此等處分的撤銷仍應遵循撤銷負擔性行政處分的規定</w:t>
      </w:r>
      <w:r>
        <w:rPr>
          <w:rStyle w:val="a6"/>
        </w:rPr>
        <w:footnoteReference w:id="13"/>
      </w:r>
      <w:r>
        <w:rPr>
          <w:rFonts w:hint="eastAsia"/>
        </w:rPr>
        <w:t>。至於對第三人具負擔作用的</w:t>
      </w:r>
      <w:proofErr w:type="gramStart"/>
      <w:r>
        <w:rPr>
          <w:rFonts w:hint="eastAsia"/>
        </w:rPr>
        <w:t>授</w:t>
      </w:r>
      <w:r>
        <w:rPr>
          <w:rFonts w:hint="eastAsia"/>
        </w:rPr>
        <w:lastRenderedPageBreak/>
        <w:t>益性行政處分</w:t>
      </w:r>
      <w:proofErr w:type="gramEnd"/>
      <w:r>
        <w:rPr>
          <w:rFonts w:hint="eastAsia"/>
        </w:rPr>
        <w:t>，德國法制維護第三人權益的方式是：被課予負擔的第三人可以藉行政救濟管道維護其權利；於此，必須等到對於遭受</w:t>
      </w:r>
      <w:proofErr w:type="gramStart"/>
      <w:r>
        <w:rPr>
          <w:rFonts w:hint="eastAsia"/>
        </w:rPr>
        <w:t>不</w:t>
      </w:r>
      <w:proofErr w:type="gramEnd"/>
      <w:r>
        <w:rPr>
          <w:rFonts w:hint="eastAsia"/>
        </w:rPr>
        <w:t>利益的第三人該當處分已經確定後，受益人方得主張信賴保護；在此之前，受益人應可預期，行政處分有可能會在權利救濟程序中被廢棄</w:t>
      </w:r>
      <w:r>
        <w:rPr>
          <w:rStyle w:val="a6"/>
        </w:rPr>
        <w:footnoteReference w:id="14"/>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rPr>
          <w:rFonts w:ascii="標楷體" w:eastAsia="標楷體" w:hAnsi="標楷體"/>
          <w:b/>
        </w:rPr>
      </w:pPr>
      <w:r>
        <w:rPr>
          <w:rFonts w:ascii="標楷體" w:eastAsia="標楷體" w:hAnsi="標楷體" w:hint="eastAsia"/>
          <w:b/>
        </w:rPr>
        <w:t>第三節 廢止</w:t>
      </w:r>
      <w:proofErr w:type="gramStart"/>
      <w:r>
        <w:rPr>
          <w:rFonts w:ascii="標楷體" w:eastAsia="標楷體" w:hAnsi="標楷體" w:hint="eastAsia"/>
          <w:b/>
        </w:rPr>
        <w:t>授益性行政處分</w:t>
      </w:r>
      <w:proofErr w:type="gramEnd"/>
      <w:r>
        <w:rPr>
          <w:rFonts w:ascii="標楷體" w:eastAsia="標楷體" w:hAnsi="標楷體" w:hint="eastAsia"/>
          <w:b/>
        </w:rPr>
        <w:t>的主要困難：法定廢止事由之意涵的闡明</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hint="eastAsia"/>
        </w:rPr>
        <w:t>藉由廢止</w:t>
      </w:r>
      <w:proofErr w:type="gramStart"/>
      <w:r>
        <w:rPr>
          <w:rFonts w:hint="eastAsia"/>
        </w:rPr>
        <w:t>授益性行政處分</w:t>
      </w:r>
      <w:proofErr w:type="gramEnd"/>
      <w:r>
        <w:rPr>
          <w:rFonts w:hint="eastAsia"/>
        </w:rPr>
        <w:t>，行政機關得以在訴願監督與權利救濟途徑外終止其作成之合法</w:t>
      </w:r>
      <w:proofErr w:type="gramStart"/>
      <w:r>
        <w:rPr>
          <w:rFonts w:hint="eastAsia"/>
        </w:rPr>
        <w:t>授益性行政處分</w:t>
      </w:r>
      <w:proofErr w:type="gramEnd"/>
      <w:r>
        <w:rPr>
          <w:rFonts w:hint="eastAsia"/>
        </w:rPr>
        <w:t>的效力。廢止</w:t>
      </w:r>
      <w:proofErr w:type="gramStart"/>
      <w:r>
        <w:rPr>
          <w:rFonts w:hint="eastAsia"/>
        </w:rPr>
        <w:t>授益性行政處分</w:t>
      </w:r>
      <w:proofErr w:type="gramEnd"/>
      <w:r>
        <w:rPr>
          <w:rFonts w:hint="eastAsia"/>
        </w:rPr>
        <w:t>的相關規範</w:t>
      </w:r>
      <w:proofErr w:type="gramStart"/>
      <w:r>
        <w:rPr>
          <w:rFonts w:ascii="新細明體" w:hAnsi="新細明體" w:hint="eastAsia"/>
        </w:rPr>
        <w:t>―</w:t>
      </w:r>
      <w:proofErr w:type="gramEnd"/>
      <w:r>
        <w:rPr>
          <w:rFonts w:hint="eastAsia"/>
        </w:rPr>
        <w:t>聯邦行政程序法規定於第</w:t>
      </w:r>
      <w:r>
        <w:rPr>
          <w:rFonts w:hint="eastAsia"/>
        </w:rPr>
        <w:t>49</w:t>
      </w:r>
      <w:r>
        <w:rPr>
          <w:rFonts w:hint="eastAsia"/>
        </w:rPr>
        <w:t>條（我國行政程序法第</w:t>
      </w:r>
      <w:r>
        <w:rPr>
          <w:rFonts w:hint="eastAsia"/>
        </w:rPr>
        <w:t>123</w:t>
      </w:r>
      <w:r>
        <w:rPr>
          <w:rFonts w:hint="eastAsia"/>
        </w:rPr>
        <w:t>條規定的內容與之完全一致，為免繁瑣，我國法的對照條文、款數，以下從略），此一規定嘗試調和人民信賴存續的利益與行政部門的變動利益</w:t>
      </w:r>
      <w:r>
        <w:rPr>
          <w:rStyle w:val="a6"/>
        </w:rPr>
        <w:footnoteReference w:id="15"/>
      </w:r>
      <w:r>
        <w:rPr>
          <w:rFonts w:hint="eastAsia"/>
        </w:rPr>
        <w:t>。依行政法學的一般見解，僅於存在特殊的廢止事由始得廢止</w:t>
      </w:r>
      <w:proofErr w:type="gramStart"/>
      <w:r>
        <w:rPr>
          <w:rFonts w:hint="eastAsia"/>
        </w:rPr>
        <w:t>授益性行政處分</w:t>
      </w:r>
      <w:proofErr w:type="gramEnd"/>
      <w:r>
        <w:rPr>
          <w:rFonts w:hint="eastAsia"/>
        </w:rPr>
        <w:t>；因此，</w:t>
      </w:r>
      <w:r>
        <w:rPr>
          <w:rFonts w:ascii="標楷體" w:eastAsia="標楷體" w:hAnsi="標楷體" w:hint="eastAsia"/>
          <w:b/>
        </w:rPr>
        <w:t>明確掌法定廢止事由的意涵</w:t>
      </w:r>
      <w:r>
        <w:rPr>
          <w:rFonts w:hint="eastAsia"/>
        </w:rPr>
        <w:t>，當然是探討此一議題的首要問題。保訓會唯一</w:t>
      </w:r>
      <w:proofErr w:type="gramStart"/>
      <w:r>
        <w:rPr>
          <w:rFonts w:hint="eastAsia"/>
        </w:rPr>
        <w:t>一</w:t>
      </w:r>
      <w:proofErr w:type="gramEnd"/>
      <w:r>
        <w:rPr>
          <w:rFonts w:hint="eastAsia"/>
        </w:rPr>
        <w:t>件牽涉廢止</w:t>
      </w:r>
      <w:proofErr w:type="gramStart"/>
      <w:r>
        <w:rPr>
          <w:rFonts w:hint="eastAsia"/>
        </w:rPr>
        <w:t>授益性行政處分</w:t>
      </w:r>
      <w:proofErr w:type="gramEnd"/>
      <w:r>
        <w:rPr>
          <w:rFonts w:hint="eastAsia"/>
        </w:rPr>
        <w:t>的決定，所涉及的問題亦在於此。下文嘗試引述德國學理上的說明，進一步</w:t>
      </w:r>
      <w:proofErr w:type="gramStart"/>
      <w:r>
        <w:rPr>
          <w:rFonts w:hint="eastAsia"/>
        </w:rPr>
        <w:t>釐</w:t>
      </w:r>
      <w:proofErr w:type="gramEnd"/>
      <w:r>
        <w:rPr>
          <w:rFonts w:hint="eastAsia"/>
        </w:rPr>
        <w:t>清此等事由的意涵：</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hint="eastAsia"/>
          <w:color w:val="000000"/>
        </w:rPr>
        <w:t>聯邦行政程序法第</w:t>
      </w:r>
      <w:r>
        <w:rPr>
          <w:rFonts w:hint="eastAsia"/>
          <w:color w:val="000000"/>
        </w:rPr>
        <w:t>49</w:t>
      </w:r>
      <w:r>
        <w:rPr>
          <w:rFonts w:hint="eastAsia"/>
          <w:color w:val="000000"/>
        </w:rPr>
        <w:t>條第</w:t>
      </w:r>
      <w:r>
        <w:rPr>
          <w:rFonts w:hint="eastAsia"/>
          <w:color w:val="000000"/>
        </w:rPr>
        <w:t>2</w:t>
      </w:r>
      <w:r>
        <w:rPr>
          <w:rFonts w:hint="eastAsia"/>
          <w:color w:val="000000"/>
        </w:rPr>
        <w:t>項</w:t>
      </w:r>
      <w:r>
        <w:rPr>
          <w:rFonts w:hint="eastAsia"/>
        </w:rPr>
        <w:t>規定</w:t>
      </w:r>
      <w:r>
        <w:rPr>
          <w:rFonts w:ascii="標楷體" w:eastAsia="標楷體" w:hAnsi="標楷體" w:hint="eastAsia"/>
          <w:b/>
        </w:rPr>
        <w:t>五款得據以廢止</w:t>
      </w:r>
      <w:proofErr w:type="gramStart"/>
      <w:r>
        <w:rPr>
          <w:rFonts w:ascii="標楷體" w:eastAsia="標楷體" w:hAnsi="標楷體" w:hint="eastAsia"/>
          <w:b/>
        </w:rPr>
        <w:t>授益性行政處分</w:t>
      </w:r>
      <w:proofErr w:type="gramEnd"/>
      <w:r>
        <w:rPr>
          <w:rFonts w:ascii="標楷體" w:eastAsia="標楷體" w:hAnsi="標楷體" w:hint="eastAsia"/>
          <w:b/>
        </w:rPr>
        <w:t>的事由</w:t>
      </w:r>
      <w:r>
        <w:rPr>
          <w:rFonts w:hint="eastAsia"/>
        </w:rPr>
        <w:t>，其依序包括：（</w:t>
      </w:r>
      <w:r>
        <w:rPr>
          <w:rFonts w:hint="eastAsia"/>
        </w:rPr>
        <w:t>1</w:t>
      </w:r>
      <w:r>
        <w:rPr>
          <w:rFonts w:hint="eastAsia"/>
        </w:rPr>
        <w:t>）法律明白規定、容許廢止，或行政處分合法附加廢止保留；（</w:t>
      </w:r>
      <w:r>
        <w:rPr>
          <w:rFonts w:hint="eastAsia"/>
        </w:rPr>
        <w:t>2</w:t>
      </w:r>
      <w:r>
        <w:rPr>
          <w:rFonts w:hint="eastAsia"/>
        </w:rPr>
        <w:t>）未履行附加於行政處分的負擔；（</w:t>
      </w:r>
      <w:r>
        <w:rPr>
          <w:rFonts w:hint="eastAsia"/>
        </w:rPr>
        <w:t>3</w:t>
      </w:r>
      <w:r>
        <w:rPr>
          <w:rFonts w:hint="eastAsia"/>
        </w:rPr>
        <w:t>）據以作成行政處分的事實前提嗣後已不存在，且如不廢止該行政處分將危及公共利益；（</w:t>
      </w:r>
      <w:r>
        <w:rPr>
          <w:rFonts w:hint="eastAsia"/>
        </w:rPr>
        <w:t>4</w:t>
      </w:r>
      <w:r>
        <w:rPr>
          <w:rFonts w:hint="eastAsia"/>
        </w:rPr>
        <w:t>）因嗣後的法律變更，行政機關有權拒絕作成行政處分，且廢止行政處分為公共利益所必要；前提是受益人尚未利用此一行政處分，或者尚未依據該處分受領給付；（</w:t>
      </w:r>
      <w:r>
        <w:rPr>
          <w:rFonts w:hint="eastAsia"/>
        </w:rPr>
        <w:t>5</w:t>
      </w:r>
      <w:r>
        <w:rPr>
          <w:rFonts w:hint="eastAsia"/>
        </w:rPr>
        <w:t>）為防止或排除對公益的重大</w:t>
      </w:r>
      <w:proofErr w:type="gramStart"/>
      <w:r>
        <w:rPr>
          <w:rFonts w:hint="eastAsia"/>
        </w:rPr>
        <w:t>不</w:t>
      </w:r>
      <w:proofErr w:type="gramEnd"/>
      <w:r>
        <w:rPr>
          <w:rFonts w:hint="eastAsia"/>
        </w:rPr>
        <w:t>利益必須廢止該行政處分，且法律明文容許此等廢止。以下進一步說</w:t>
      </w:r>
      <w:r>
        <w:rPr>
          <w:rFonts w:hint="eastAsia"/>
        </w:rPr>
        <w:lastRenderedPageBreak/>
        <w:t>明各款規定的意涵：</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ascii="標楷體" w:eastAsia="標楷體" w:hAnsi="標楷體" w:hint="eastAsia"/>
          <w:b/>
        </w:rPr>
        <w:t>在依法律得廢止與行政處分合法附加廢止保留的情形</w:t>
      </w:r>
      <w:r>
        <w:rPr>
          <w:rFonts w:hint="eastAsia"/>
        </w:rPr>
        <w:t>，並不發生信賴保護的疑義，蓋國民本得預見廢止權的發動。然而，即使行政處分合法附加廢止保留，行政機關亦不能恣意廢止</w:t>
      </w:r>
      <w:proofErr w:type="gramStart"/>
      <w:r>
        <w:rPr>
          <w:rFonts w:hint="eastAsia"/>
        </w:rPr>
        <w:t>授益性行政處分</w:t>
      </w:r>
      <w:proofErr w:type="gramEnd"/>
      <w:r>
        <w:rPr>
          <w:rFonts w:hint="eastAsia"/>
        </w:rPr>
        <w:t>，</w:t>
      </w:r>
      <w:proofErr w:type="gramStart"/>
      <w:r>
        <w:rPr>
          <w:rFonts w:hint="eastAsia"/>
        </w:rPr>
        <w:t>其須別有</w:t>
      </w:r>
      <w:proofErr w:type="gramEnd"/>
      <w:r>
        <w:rPr>
          <w:rFonts w:hint="eastAsia"/>
        </w:rPr>
        <w:t>正當化廢止決定的，與該當具體行政處分及廢止保留之意義與目的相關的事理上理由，始得為之</w:t>
      </w:r>
      <w:r>
        <w:rPr>
          <w:rStyle w:val="a6"/>
        </w:rPr>
        <w:footnoteReference w:id="16"/>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ascii="標楷體" w:eastAsia="標楷體" w:hAnsi="標楷體" w:hint="eastAsia"/>
          <w:b/>
        </w:rPr>
        <w:t>在當事人未履行行政處分之負擔的情況</w:t>
      </w:r>
      <w:r>
        <w:rPr>
          <w:rFonts w:hint="eastAsia"/>
        </w:rPr>
        <w:t>亦不發生信賴保護的疑義，蓋導致廢止的情況本就是受益人自行招致的。</w:t>
      </w:r>
      <w:proofErr w:type="gramStart"/>
      <w:r>
        <w:rPr>
          <w:rFonts w:hint="eastAsia"/>
        </w:rPr>
        <w:t>此外，</w:t>
      </w:r>
      <w:proofErr w:type="gramEnd"/>
      <w:r>
        <w:rPr>
          <w:rFonts w:hint="eastAsia"/>
        </w:rPr>
        <w:t>依比例原則的要求，即使有此等廢止事由，在可能的範圍內，仍應先採取侵害較小的，以行政強制貫徹（該負擔課以之）義務的手段，而非逕自採取廢止</w:t>
      </w:r>
      <w:proofErr w:type="gramStart"/>
      <w:r>
        <w:rPr>
          <w:rFonts w:hint="eastAsia"/>
        </w:rPr>
        <w:t>授益性行政處分</w:t>
      </w:r>
      <w:proofErr w:type="gramEnd"/>
      <w:r>
        <w:rPr>
          <w:rFonts w:hint="eastAsia"/>
        </w:rPr>
        <w:t>的強烈手段</w:t>
      </w:r>
      <w:r>
        <w:rPr>
          <w:rStyle w:val="a6"/>
        </w:rPr>
        <w:footnoteReference w:id="17"/>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ascii="標楷體" w:eastAsia="標楷體" w:hAnsi="標楷體" w:hint="eastAsia"/>
          <w:b/>
        </w:rPr>
        <w:t>據以作成行政處分的事實前提嗣後已不存在</w:t>
      </w:r>
      <w:r>
        <w:rPr>
          <w:rFonts w:hint="eastAsia"/>
        </w:rPr>
        <w:t>，並不包含行政機關對行政處分之合目的評價的轉變。然而，假使因為事先不能確切預見</w:t>
      </w:r>
      <w:proofErr w:type="gramStart"/>
      <w:r>
        <w:rPr>
          <w:rFonts w:hint="eastAsia"/>
        </w:rPr>
        <w:t>授益性行政處分</w:t>
      </w:r>
      <w:proofErr w:type="gramEnd"/>
      <w:r>
        <w:rPr>
          <w:rFonts w:hint="eastAsia"/>
        </w:rPr>
        <w:t>的可能影響，並已於法律明定，或於行政處分合法附加廢止保留，則得以發生不可預見之行政處分的影響為理由，廢止該</w:t>
      </w:r>
      <w:proofErr w:type="gramStart"/>
      <w:r>
        <w:rPr>
          <w:rFonts w:hint="eastAsia"/>
        </w:rPr>
        <w:t>授益性行政處分</w:t>
      </w:r>
      <w:proofErr w:type="gramEnd"/>
      <w:r>
        <w:rPr>
          <w:rStyle w:val="a6"/>
        </w:rPr>
        <w:footnoteReference w:id="18"/>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ascii="標楷體" w:eastAsia="標楷體" w:hAnsi="標楷體" w:hint="eastAsia"/>
          <w:b/>
        </w:rPr>
        <w:t>嗣後的法律變更</w:t>
      </w:r>
      <w:r>
        <w:rPr>
          <w:rFonts w:hint="eastAsia"/>
        </w:rPr>
        <w:t>不包括行政規則的變更，因其不具外部效力。</w:t>
      </w:r>
      <w:proofErr w:type="gramStart"/>
      <w:r>
        <w:rPr>
          <w:rFonts w:hint="eastAsia"/>
        </w:rPr>
        <w:t>此外，</w:t>
      </w:r>
      <w:proofErr w:type="gramEnd"/>
      <w:r>
        <w:rPr>
          <w:rFonts w:hint="eastAsia"/>
        </w:rPr>
        <w:t>司法實務見解的變更，也不能歸屬法律變更的範疇；因司法僅在於適用法規範，而非創設新法。然而，或可由司法實務的變更推得，先前適用相關法規範不無違誤，質言之，先前作成的行政處分違法；如是，則涉及撤銷違法之行政處分的問題</w:t>
      </w:r>
      <w:r>
        <w:rPr>
          <w:rStyle w:val="a6"/>
        </w:rPr>
        <w:footnoteReference w:id="19"/>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proofErr w:type="gramStart"/>
      <w:r>
        <w:rPr>
          <w:rFonts w:hint="eastAsia"/>
        </w:rPr>
        <w:t>此外，</w:t>
      </w:r>
      <w:proofErr w:type="gramEnd"/>
      <w:r>
        <w:rPr>
          <w:rFonts w:hint="eastAsia"/>
        </w:rPr>
        <w:t>在本文的脈絡裡應特別強調得是：德國聯邦行政程序法第</w:t>
      </w:r>
      <w:r>
        <w:rPr>
          <w:rFonts w:hint="eastAsia"/>
        </w:rPr>
        <w:t>49</w:t>
      </w:r>
      <w:r>
        <w:rPr>
          <w:rFonts w:hint="eastAsia"/>
        </w:rPr>
        <w:t>條第</w:t>
      </w:r>
      <w:r>
        <w:rPr>
          <w:rFonts w:hint="eastAsia"/>
        </w:rPr>
        <w:t>3</w:t>
      </w:r>
      <w:r>
        <w:rPr>
          <w:rFonts w:hint="eastAsia"/>
        </w:rPr>
        <w:t>項針對，</w:t>
      </w:r>
      <w:r>
        <w:rPr>
          <w:rFonts w:ascii="標楷體" w:eastAsia="標楷體" w:hAnsi="標楷體" w:hint="eastAsia"/>
          <w:b/>
        </w:rPr>
        <w:t>為實現特定目的，以一次性或持續性的金錢給付、</w:t>
      </w:r>
      <w:proofErr w:type="gramStart"/>
      <w:r>
        <w:rPr>
          <w:rFonts w:ascii="標楷體" w:eastAsia="標楷體" w:hAnsi="標楷體" w:hint="eastAsia"/>
          <w:b/>
        </w:rPr>
        <w:t>可分物之</w:t>
      </w:r>
      <w:proofErr w:type="gramEnd"/>
      <w:r>
        <w:rPr>
          <w:rFonts w:ascii="標楷體" w:eastAsia="標楷體" w:hAnsi="標楷體" w:hint="eastAsia"/>
          <w:b/>
        </w:rPr>
        <w:t>給付為內容或賦予此等給付以前提的</w:t>
      </w:r>
      <w:proofErr w:type="gramStart"/>
      <w:r>
        <w:rPr>
          <w:rFonts w:ascii="標楷體" w:eastAsia="標楷體" w:hAnsi="標楷體" w:hint="eastAsia"/>
          <w:b/>
        </w:rPr>
        <w:t>授益性行政處分</w:t>
      </w:r>
      <w:proofErr w:type="gramEnd"/>
      <w:r>
        <w:rPr>
          <w:rFonts w:hint="eastAsia"/>
        </w:rPr>
        <w:t>，如具備下列事由，仍得於法定救濟期間經過後，溯及既往為全部或一部的廢止：（一）未以符合相關目的之方式運用所提供之給付；（二）受益人未（於所定期間內）履行</w:t>
      </w:r>
      <w:proofErr w:type="gramStart"/>
      <w:r>
        <w:rPr>
          <w:rFonts w:hint="eastAsia"/>
        </w:rPr>
        <w:t>授益性行政處分</w:t>
      </w:r>
      <w:proofErr w:type="gramEnd"/>
      <w:r>
        <w:rPr>
          <w:rFonts w:hint="eastAsia"/>
        </w:rPr>
        <w:t>附加的負擔</w:t>
      </w:r>
      <w:r>
        <w:rPr>
          <w:rStyle w:val="a6"/>
        </w:rPr>
        <w:footnoteReference w:id="20"/>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rPr>
          <w:rFonts w:ascii="標楷體" w:eastAsia="標楷體" w:hAnsi="標楷體"/>
          <w:b/>
        </w:rPr>
      </w:pPr>
      <w:r>
        <w:rPr>
          <w:rFonts w:ascii="標楷體" w:eastAsia="標楷體" w:hAnsi="標楷體" w:hint="eastAsia"/>
          <w:b/>
        </w:rPr>
        <w:t>第四節 撤銷</w:t>
      </w:r>
      <w:proofErr w:type="gramStart"/>
      <w:r>
        <w:rPr>
          <w:rFonts w:ascii="標楷體" w:eastAsia="標楷體" w:hAnsi="標楷體" w:hint="eastAsia"/>
          <w:b/>
        </w:rPr>
        <w:t>授益性行政處分</w:t>
      </w:r>
      <w:proofErr w:type="gramEnd"/>
      <w:r>
        <w:rPr>
          <w:rFonts w:ascii="標楷體" w:eastAsia="標楷體" w:hAnsi="標楷體" w:hint="eastAsia"/>
          <w:b/>
        </w:rPr>
        <w:t>的主要疑義</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hint="eastAsia"/>
        </w:rPr>
        <w:t>關於撤銷</w:t>
      </w:r>
      <w:proofErr w:type="gramStart"/>
      <w:r>
        <w:rPr>
          <w:rFonts w:hint="eastAsia"/>
        </w:rPr>
        <w:t>授益性行政處分</w:t>
      </w:r>
      <w:proofErr w:type="gramEnd"/>
      <w:r>
        <w:rPr>
          <w:rFonts w:hint="eastAsia"/>
        </w:rPr>
        <w:t>衍生的信賴保護相關問題，我國與德國聯邦行政程序法的規定方式，未盡一致。具體而言，德國聯邦行政程序法區分</w:t>
      </w:r>
      <w:proofErr w:type="gramStart"/>
      <w:r>
        <w:rPr>
          <w:rFonts w:hint="eastAsia"/>
        </w:rPr>
        <w:t>授益性行政處分</w:t>
      </w:r>
      <w:proofErr w:type="gramEnd"/>
      <w:r>
        <w:rPr>
          <w:rFonts w:hint="eastAsia"/>
        </w:rPr>
        <w:t>涉及的是金錢給付、</w:t>
      </w:r>
      <w:proofErr w:type="gramStart"/>
      <w:r>
        <w:rPr>
          <w:rFonts w:hint="eastAsia"/>
        </w:rPr>
        <w:t>可分物之</w:t>
      </w:r>
      <w:proofErr w:type="gramEnd"/>
      <w:r>
        <w:rPr>
          <w:rFonts w:hint="eastAsia"/>
        </w:rPr>
        <w:t>給付、賦予此等給付以前提的，或者非關此類給付的</w:t>
      </w:r>
      <w:proofErr w:type="gramStart"/>
      <w:r>
        <w:rPr>
          <w:rFonts w:hint="eastAsia"/>
        </w:rPr>
        <w:t>授益性行政處分</w:t>
      </w:r>
      <w:proofErr w:type="gramEnd"/>
      <w:r>
        <w:rPr>
          <w:rFonts w:hint="eastAsia"/>
        </w:rPr>
        <w:t>，而為不同處理</w:t>
      </w:r>
      <w:r>
        <w:rPr>
          <w:rStyle w:val="a6"/>
        </w:rPr>
        <w:footnoteReference w:id="21"/>
      </w:r>
      <w:r>
        <w:rPr>
          <w:rFonts w:hint="eastAsia"/>
        </w:rPr>
        <w:t>。我國未作如是區分，其一體規定於行政程序法第</w:t>
      </w:r>
      <w:r>
        <w:rPr>
          <w:rFonts w:hint="eastAsia"/>
        </w:rPr>
        <w:t>117</w:t>
      </w:r>
      <w:r>
        <w:rPr>
          <w:rFonts w:hint="eastAsia"/>
        </w:rPr>
        <w:t>條以</w:t>
      </w:r>
      <w:proofErr w:type="gramStart"/>
      <w:r>
        <w:rPr>
          <w:rFonts w:hint="eastAsia"/>
        </w:rPr>
        <w:t>下</w:t>
      </w:r>
      <w:proofErr w:type="gramEnd"/>
      <w:r>
        <w:rPr>
          <w:rStyle w:val="a6"/>
        </w:rPr>
        <w:footnoteReference w:id="22"/>
      </w:r>
      <w:r>
        <w:rPr>
          <w:rFonts w:hint="eastAsia"/>
        </w:rPr>
        <w:t>。</w:t>
      </w:r>
      <w:proofErr w:type="gramStart"/>
      <w:r>
        <w:rPr>
          <w:rFonts w:hint="eastAsia"/>
        </w:rPr>
        <w:t>然則，</w:t>
      </w:r>
      <w:proofErr w:type="gramEnd"/>
      <w:r>
        <w:rPr>
          <w:rFonts w:hint="eastAsia"/>
        </w:rPr>
        <w:t>究應遵循何者的論述方式？本文認為，前述保訓會的相關決定、行政法院的裁判實務已顯示，我國實務的作法顯然受德國聯邦程序法前揭區分規範的影響。</w:t>
      </w:r>
      <w:proofErr w:type="gramStart"/>
      <w:r>
        <w:rPr>
          <w:rFonts w:hint="eastAsia"/>
        </w:rPr>
        <w:t>此外，</w:t>
      </w:r>
      <w:proofErr w:type="gramEnd"/>
      <w:r>
        <w:rPr>
          <w:rFonts w:hint="eastAsia"/>
        </w:rPr>
        <w:t>在公務人員保障事件中，被撤銷之</w:t>
      </w:r>
      <w:proofErr w:type="gramStart"/>
      <w:r>
        <w:rPr>
          <w:rFonts w:hint="eastAsia"/>
        </w:rPr>
        <w:t>授益性行政處分</w:t>
      </w:r>
      <w:proofErr w:type="gramEnd"/>
      <w:r>
        <w:rPr>
          <w:rFonts w:hint="eastAsia"/>
        </w:rPr>
        <w:t>多是以金錢給付、</w:t>
      </w:r>
      <w:proofErr w:type="gramStart"/>
      <w:r>
        <w:rPr>
          <w:rFonts w:hint="eastAsia"/>
        </w:rPr>
        <w:t>可分物之</w:t>
      </w:r>
      <w:proofErr w:type="gramEnd"/>
      <w:r>
        <w:rPr>
          <w:rFonts w:hint="eastAsia"/>
        </w:rPr>
        <w:t>給付、賦予此等給付以前提的行政處分。為確切理解此等行政處分的特殊性，下文仍擬遵循德國聯邦行政程序法的處理方式。然而，在依給付內容而為不同處理前，自應先探討撤銷</w:t>
      </w:r>
      <w:proofErr w:type="gramStart"/>
      <w:r>
        <w:rPr>
          <w:rFonts w:hint="eastAsia"/>
        </w:rPr>
        <w:t>授益性行政處分</w:t>
      </w:r>
      <w:proofErr w:type="gramEnd"/>
      <w:r>
        <w:rPr>
          <w:rFonts w:hint="eastAsia"/>
        </w:rPr>
        <w:t>的共通正當化事由，質言之，各種法定信賴不值得保護之事由的意涵：</w:t>
      </w:r>
    </w:p>
    <w:p w:rsidR="00683971" w:rsidRDefault="00683971" w:rsidP="00057028">
      <w:pPr>
        <w:overflowPunct w:val="0"/>
        <w:spacing w:line="360" w:lineRule="auto"/>
        <w:jc w:val="both"/>
      </w:pPr>
    </w:p>
    <w:p w:rsidR="00683971" w:rsidRDefault="006D0E61" w:rsidP="00057028">
      <w:pPr>
        <w:overflowPunct w:val="0"/>
        <w:spacing w:line="360" w:lineRule="auto"/>
        <w:jc w:val="both"/>
        <w:rPr>
          <w:rFonts w:ascii="標楷體" w:eastAsia="標楷體" w:hAnsi="標楷體"/>
          <w:b/>
        </w:rPr>
      </w:pPr>
      <w:r>
        <w:rPr>
          <w:rFonts w:ascii="標楷體" w:eastAsia="標楷體" w:hAnsi="標楷體" w:hint="eastAsia"/>
          <w:b/>
        </w:rPr>
        <w:lastRenderedPageBreak/>
        <w:t>一、法定不值得保護之事由的進一步闡述</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hint="eastAsia"/>
        </w:rPr>
        <w:t>依</w:t>
      </w:r>
      <w:r>
        <w:rPr>
          <w:rFonts w:hint="eastAsia"/>
          <w:color w:val="000000"/>
        </w:rPr>
        <w:t>聯邦行政程序法第</w:t>
      </w:r>
      <w:r>
        <w:rPr>
          <w:rFonts w:hint="eastAsia"/>
          <w:color w:val="000000"/>
        </w:rPr>
        <w:t>48</w:t>
      </w:r>
      <w:r>
        <w:rPr>
          <w:rFonts w:hint="eastAsia"/>
          <w:color w:val="000000"/>
        </w:rPr>
        <w:t>條第</w:t>
      </w:r>
      <w:r>
        <w:rPr>
          <w:rFonts w:hint="eastAsia"/>
          <w:color w:val="000000"/>
        </w:rPr>
        <w:t>2</w:t>
      </w:r>
      <w:r>
        <w:rPr>
          <w:rFonts w:hint="eastAsia"/>
          <w:color w:val="000000"/>
        </w:rPr>
        <w:t>項（我國行政程序法第</w:t>
      </w:r>
      <w:r>
        <w:rPr>
          <w:rFonts w:hint="eastAsia"/>
          <w:color w:val="000000"/>
        </w:rPr>
        <w:t>119</w:t>
      </w:r>
      <w:r>
        <w:rPr>
          <w:rFonts w:hint="eastAsia"/>
          <w:color w:val="000000"/>
        </w:rPr>
        <w:t>條</w:t>
      </w:r>
      <w:r>
        <w:rPr>
          <w:rFonts w:hint="eastAsia"/>
        </w:rPr>
        <w:t>規定的內容與之完全一致，為免繁瑣，我國法的對照條文、款數，以下從略</w:t>
      </w:r>
      <w:r>
        <w:rPr>
          <w:rFonts w:hint="eastAsia"/>
          <w:color w:val="000000"/>
        </w:rPr>
        <w:t>）</w:t>
      </w:r>
      <w:r>
        <w:rPr>
          <w:rFonts w:hint="eastAsia"/>
        </w:rPr>
        <w:t>，（</w:t>
      </w:r>
      <w:r>
        <w:rPr>
          <w:rFonts w:hint="eastAsia"/>
        </w:rPr>
        <w:t>1</w:t>
      </w:r>
      <w:r>
        <w:rPr>
          <w:rFonts w:hint="eastAsia"/>
        </w:rPr>
        <w:t>）因詐欺、脅迫或賄賂而取得行政處分；或者（</w:t>
      </w:r>
      <w:r>
        <w:rPr>
          <w:rFonts w:hint="eastAsia"/>
        </w:rPr>
        <w:t>2</w:t>
      </w:r>
      <w:r>
        <w:rPr>
          <w:rFonts w:hint="eastAsia"/>
        </w:rPr>
        <w:t>）就重要事項提供不正確或不完整的資料而取得行政處分；於此，毋庸考量受益人的可歸責性；（</w:t>
      </w:r>
      <w:r>
        <w:rPr>
          <w:rFonts w:hint="eastAsia"/>
        </w:rPr>
        <w:t>3</w:t>
      </w:r>
      <w:r>
        <w:rPr>
          <w:rFonts w:hint="eastAsia"/>
        </w:rPr>
        <w:t>）最後，受益人明知或因重大過失不知行政處分違法者，行政機關即得以</w:t>
      </w:r>
      <w:proofErr w:type="gramStart"/>
      <w:r>
        <w:rPr>
          <w:rFonts w:hint="eastAsia"/>
        </w:rPr>
        <w:t>正當化其撤銷</w:t>
      </w:r>
      <w:proofErr w:type="gramEnd"/>
      <w:r>
        <w:rPr>
          <w:rFonts w:hint="eastAsia"/>
        </w:rPr>
        <w:t>決定。一旦具有此等情事，應絕對且毋庸進一步評價地認定，受益人不能主張信賴保護</w:t>
      </w:r>
      <w:r>
        <w:rPr>
          <w:rStyle w:val="a6"/>
        </w:rPr>
        <w:footnoteReference w:id="23"/>
      </w:r>
      <w:r>
        <w:rPr>
          <w:rFonts w:hint="eastAsia"/>
        </w:rPr>
        <w:t>。以下進一步說明前述各款規定的意涵：</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hint="eastAsia"/>
        </w:rPr>
        <w:t>「</w:t>
      </w:r>
      <w:r>
        <w:rPr>
          <w:rFonts w:ascii="標楷體" w:eastAsia="標楷體" w:hAnsi="標楷體" w:hint="eastAsia"/>
          <w:b/>
        </w:rPr>
        <w:t>因詐欺、脅迫或賄賂而取得行政處分</w:t>
      </w:r>
      <w:r>
        <w:rPr>
          <w:rFonts w:ascii="新細明體" w:hAnsi="新細明體" w:hint="eastAsia"/>
        </w:rPr>
        <w:t>」</w:t>
      </w:r>
      <w:r>
        <w:rPr>
          <w:rFonts w:hint="eastAsia"/>
        </w:rPr>
        <w:t>係指，受益人的詐欺、脅迫或賄賂行為對行政處分的作成與其違法性具有因果關係。於此，受益人應為其代理人的不正行為負責，惟其負責範圍</w:t>
      </w:r>
      <w:proofErr w:type="gramStart"/>
      <w:r>
        <w:rPr>
          <w:rFonts w:hint="eastAsia"/>
        </w:rPr>
        <w:t>不</w:t>
      </w:r>
      <w:proofErr w:type="gramEnd"/>
      <w:r>
        <w:rPr>
          <w:rFonts w:hint="eastAsia"/>
        </w:rPr>
        <w:t>及於第三人的行為</w:t>
      </w:r>
      <w:r>
        <w:rPr>
          <w:rStyle w:val="a6"/>
        </w:rPr>
        <w:footnoteReference w:id="24"/>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ascii="標楷體" w:eastAsia="標楷體" w:hAnsi="標楷體" w:hint="eastAsia"/>
          <w:b/>
        </w:rPr>
        <w:t>就重要事項提供不正確或不完整的資料而取得行政處分</w:t>
      </w:r>
      <w:r>
        <w:rPr>
          <w:rFonts w:hint="eastAsia"/>
        </w:rPr>
        <w:t>的情況，必須相關「資料」屬於客觀事實。因為是要「就重要事項」提供有瑕疵的資料，因此，相關資料就行政處分的作成應具有必要性。「不正確」則意指，所述客觀事實與實際不符；假使就相關事實，行政機關顯然以其為不存在，或者受益人在法律上有義務告知，或者行政機關要求其告知，而受益人仍隱匿此等事實，則應認其提供「不完整」的資料。最後，該當行政處分必須透過此等有瑕疵的資料而「取得」，質言之，受益人提供有瑕疵的資料與行政處分的作成間具有因果關係，始足當之。總結而言，援用此一理由撤銷</w:t>
      </w:r>
      <w:proofErr w:type="gramStart"/>
      <w:r>
        <w:rPr>
          <w:rFonts w:hint="eastAsia"/>
        </w:rPr>
        <w:t>授益性行政處分</w:t>
      </w:r>
      <w:proofErr w:type="gramEnd"/>
      <w:r>
        <w:rPr>
          <w:rFonts w:hint="eastAsia"/>
        </w:rPr>
        <w:t>的前提是：</w:t>
      </w:r>
      <w:r>
        <w:rPr>
          <w:rFonts w:ascii="標楷體" w:eastAsia="標楷體" w:hAnsi="標楷體" w:hint="eastAsia"/>
          <w:b/>
        </w:rPr>
        <w:t>造成行政處分違法的原因屬於受益人的責任範圍，但不以受益人主觀上可歸責為必要</w:t>
      </w:r>
      <w:r>
        <w:rPr>
          <w:rFonts w:hint="eastAsia"/>
        </w:rPr>
        <w:t>。如是，假使行政</w:t>
      </w:r>
      <w:r>
        <w:rPr>
          <w:rFonts w:hint="eastAsia"/>
        </w:rPr>
        <w:lastRenderedPageBreak/>
        <w:t>機關就資料的瑕疵也與有過失，例如其未依職權盡調查之能事，則不應</w:t>
      </w:r>
      <w:proofErr w:type="gramStart"/>
      <w:r>
        <w:rPr>
          <w:rFonts w:hint="eastAsia"/>
        </w:rPr>
        <w:t>逕</w:t>
      </w:r>
      <w:proofErr w:type="gramEnd"/>
      <w:r>
        <w:rPr>
          <w:rFonts w:hint="eastAsia"/>
        </w:rPr>
        <w:t>依本款規定認定當事人信賴不值得保護，而應於權衡信賴保護與撤銷利益時對此加以考量</w:t>
      </w:r>
      <w:r>
        <w:rPr>
          <w:rStyle w:val="a6"/>
        </w:rPr>
        <w:footnoteReference w:id="25"/>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hint="eastAsia"/>
        </w:rPr>
        <w:t>關於</w:t>
      </w:r>
      <w:r>
        <w:rPr>
          <w:rFonts w:ascii="標楷體" w:eastAsia="標楷體" w:hAnsi="標楷體" w:hint="eastAsia"/>
          <w:b/>
        </w:rPr>
        <w:t>受益人是否明知或因重大過失不知行政處分違法的認定</w:t>
      </w:r>
      <w:r>
        <w:rPr>
          <w:rFonts w:hint="eastAsia"/>
        </w:rPr>
        <w:t>，「明知行政處分違法」意指，受益人意識到其實體上無權受領給付；在一般</w:t>
      </w:r>
      <w:proofErr w:type="gramStart"/>
      <w:r>
        <w:rPr>
          <w:rFonts w:hint="eastAsia"/>
        </w:rPr>
        <w:t>人均將意識到</w:t>
      </w:r>
      <w:proofErr w:type="gramEnd"/>
      <w:r>
        <w:rPr>
          <w:rFonts w:hint="eastAsia"/>
        </w:rPr>
        <w:t>行政處分違法，而受益人未意識及此，即屬「因重大過失不知行政處分違法」。在此涉及的是具體、個別的過失概念，其注意義務取決於個案的具體情境、個人的特殊認識與能力</w:t>
      </w:r>
      <w:r>
        <w:rPr>
          <w:rStyle w:val="a6"/>
        </w:rPr>
        <w:footnoteReference w:id="26"/>
      </w:r>
      <w:r>
        <w:rPr>
          <w:rFonts w:hint="eastAsia"/>
        </w:rPr>
        <w:t>。</w:t>
      </w:r>
      <w:r>
        <w:rPr>
          <w:rFonts w:hint="eastAsia"/>
        </w:rPr>
        <w:t xml:space="preserve">Ulrich </w:t>
      </w:r>
      <w:proofErr w:type="spellStart"/>
      <w:r>
        <w:rPr>
          <w:rFonts w:hint="eastAsia"/>
        </w:rPr>
        <w:t>Feastenrath</w:t>
      </w:r>
      <w:proofErr w:type="spellEnd"/>
      <w:r>
        <w:rPr>
          <w:rFonts w:hint="eastAsia"/>
        </w:rPr>
        <w:t>在評論</w:t>
      </w:r>
      <w:r>
        <w:rPr>
          <w:rFonts w:hint="eastAsia"/>
        </w:rPr>
        <w:t xml:space="preserve">OVG </w:t>
      </w:r>
      <w:proofErr w:type="spellStart"/>
      <w:r>
        <w:rPr>
          <w:rFonts w:hint="eastAsia"/>
        </w:rPr>
        <w:t>M</w:t>
      </w:r>
      <w:r>
        <w:t>ü</w:t>
      </w:r>
      <w:r>
        <w:rPr>
          <w:rFonts w:hint="eastAsia"/>
        </w:rPr>
        <w:t>nster</w:t>
      </w:r>
      <w:proofErr w:type="spellEnd"/>
      <w:r>
        <w:rPr>
          <w:rFonts w:hint="eastAsia"/>
        </w:rPr>
        <w:t>之裁判的脈絡裡就強調，假使將政府提供企業經濟津貼是否遵守歐盟法所定申報要求的「監督責任」轉嫁由受領津貼的企業承擔，將完全違反聯邦行政程序法第</w:t>
      </w:r>
      <w:r>
        <w:rPr>
          <w:rFonts w:hint="eastAsia"/>
        </w:rPr>
        <w:t>48</w:t>
      </w:r>
      <w:r>
        <w:rPr>
          <w:rFonts w:hint="eastAsia"/>
        </w:rPr>
        <w:t>條的規定意旨。質言之，人民通常可得信賴，</w:t>
      </w:r>
      <w:proofErr w:type="gramStart"/>
      <w:r>
        <w:rPr>
          <w:rFonts w:hint="eastAsia"/>
        </w:rPr>
        <w:t>授益性行政處分</w:t>
      </w:r>
      <w:proofErr w:type="gramEnd"/>
      <w:r>
        <w:rPr>
          <w:rFonts w:hint="eastAsia"/>
        </w:rPr>
        <w:t>的合法性、其係由行政機關以遵守相關程序的方式所作成。受益人對於行政處分之違法性的不知是否屬「重大過失」，應取決於依個案情境而言，受益人是否特別嚴重地違反必要的注意義務；對於通常會雇用受法律專業訓練者的大企業，可以提高要求，並據此認定其應認識相關歐盟法上的規定</w:t>
      </w:r>
      <w:r>
        <w:rPr>
          <w:rStyle w:val="a6"/>
        </w:rPr>
        <w:footnoteReference w:id="27"/>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rPr>
          <w:rFonts w:ascii="標楷體" w:eastAsia="標楷體" w:hAnsi="標楷體"/>
          <w:b/>
        </w:rPr>
      </w:pPr>
      <w:r>
        <w:rPr>
          <w:rFonts w:ascii="標楷體" w:eastAsia="標楷體" w:hAnsi="標楷體" w:hint="eastAsia"/>
          <w:b/>
        </w:rPr>
        <w:t>二、撤銷以金錢、</w:t>
      </w:r>
      <w:proofErr w:type="gramStart"/>
      <w:r>
        <w:rPr>
          <w:rFonts w:ascii="標楷體" w:eastAsia="標楷體" w:hAnsi="標楷體" w:hint="eastAsia"/>
          <w:b/>
        </w:rPr>
        <w:t>可分物之</w:t>
      </w:r>
      <w:proofErr w:type="gramEnd"/>
      <w:r>
        <w:rPr>
          <w:rFonts w:ascii="標楷體" w:eastAsia="標楷體" w:hAnsi="標楷體" w:hint="eastAsia"/>
          <w:b/>
        </w:rPr>
        <w:t>給付為內容或賦予此等給付以前提的行政處分</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hint="eastAsia"/>
        </w:rPr>
        <w:t>以金錢、</w:t>
      </w:r>
      <w:proofErr w:type="gramStart"/>
      <w:r>
        <w:rPr>
          <w:rFonts w:hint="eastAsia"/>
        </w:rPr>
        <w:t>可分物之</w:t>
      </w:r>
      <w:proofErr w:type="gramEnd"/>
      <w:r>
        <w:rPr>
          <w:rFonts w:hint="eastAsia"/>
        </w:rPr>
        <w:t>給付為內容，或賦予此等給付以前提的</w:t>
      </w:r>
      <w:proofErr w:type="gramStart"/>
      <w:r>
        <w:rPr>
          <w:rFonts w:hint="eastAsia"/>
        </w:rPr>
        <w:t>授益性行政處分</w:t>
      </w:r>
      <w:proofErr w:type="gramEnd"/>
      <w:r>
        <w:rPr>
          <w:rStyle w:val="a6"/>
        </w:rPr>
        <w:footnoteReference w:id="28"/>
      </w:r>
      <w:r>
        <w:rPr>
          <w:rFonts w:hint="eastAsia"/>
        </w:rPr>
        <w:t>，其相對於其他</w:t>
      </w:r>
      <w:proofErr w:type="gramStart"/>
      <w:r>
        <w:rPr>
          <w:rFonts w:hint="eastAsia"/>
        </w:rPr>
        <w:t>授益性行政處分</w:t>
      </w:r>
      <w:proofErr w:type="gramEnd"/>
      <w:r>
        <w:rPr>
          <w:rFonts w:hint="eastAsia"/>
        </w:rPr>
        <w:t>的特色在於：假使受益人已</w:t>
      </w:r>
      <w:r>
        <w:rPr>
          <w:rFonts w:ascii="標楷體" w:eastAsia="標楷體" w:hAnsi="標楷體" w:hint="eastAsia"/>
          <w:b/>
        </w:rPr>
        <w:t>消費其受領之給付</w:t>
      </w:r>
      <w:r>
        <w:rPr>
          <w:rFonts w:hint="eastAsia"/>
        </w:rPr>
        <w:t>（</w:t>
      </w:r>
      <w:proofErr w:type="spellStart"/>
      <w:r>
        <w:rPr>
          <w:rFonts w:hint="eastAsia"/>
        </w:rPr>
        <w:t>Leistungen</w:t>
      </w:r>
      <w:proofErr w:type="spellEnd"/>
      <w:r>
        <w:rPr>
          <w:rFonts w:hint="eastAsia"/>
        </w:rPr>
        <w:t xml:space="preserve"> </w:t>
      </w:r>
      <w:proofErr w:type="spellStart"/>
      <w:r>
        <w:rPr>
          <w:rFonts w:hint="eastAsia"/>
        </w:rPr>
        <w:t>verbraucht</w:t>
      </w:r>
      <w:proofErr w:type="spellEnd"/>
      <w:r>
        <w:rPr>
          <w:rFonts w:hint="eastAsia"/>
        </w:rPr>
        <w:t>）或者，已作出不能或難以回復之</w:t>
      </w:r>
      <w:r>
        <w:rPr>
          <w:rFonts w:ascii="標楷體" w:eastAsia="標楷體" w:hAnsi="標楷體" w:hint="eastAsia"/>
          <w:b/>
        </w:rPr>
        <w:t>財產上的處置</w:t>
      </w:r>
      <w:r>
        <w:rPr>
          <w:rFonts w:hint="eastAsia"/>
        </w:rPr>
        <w:lastRenderedPageBreak/>
        <w:t>（</w:t>
      </w:r>
      <w:proofErr w:type="spellStart"/>
      <w:r>
        <w:rPr>
          <w:rFonts w:hint="eastAsia"/>
        </w:rPr>
        <w:t>Verm</w:t>
      </w:r>
      <w:r>
        <w:t>ö</w:t>
      </w:r>
      <w:r>
        <w:rPr>
          <w:rFonts w:hint="eastAsia"/>
        </w:rPr>
        <w:t>gensdisposition</w:t>
      </w:r>
      <w:proofErr w:type="spellEnd"/>
      <w:r>
        <w:rPr>
          <w:rFonts w:hint="eastAsia"/>
        </w:rPr>
        <w:t>）時，</w:t>
      </w:r>
      <w:r>
        <w:rPr>
          <w:rFonts w:ascii="標楷體" w:eastAsia="標楷體" w:hAnsi="標楷體" w:hint="eastAsia"/>
          <w:b/>
        </w:rPr>
        <w:t>通常</w:t>
      </w:r>
      <w:r>
        <w:rPr>
          <w:rFonts w:hint="eastAsia"/>
        </w:rPr>
        <w:t>（</w:t>
      </w:r>
      <w:r>
        <w:rPr>
          <w:rFonts w:hint="eastAsia"/>
        </w:rPr>
        <w:t>in der Regel</w:t>
      </w:r>
      <w:r>
        <w:rPr>
          <w:rFonts w:hint="eastAsia"/>
        </w:rPr>
        <w:t>）應認其值得保護。第三人所為或為第三人所為的財產上處置，亦得作為排除撤銷的事由。然而，不應將此</w:t>
      </w:r>
      <w:proofErr w:type="gramStart"/>
      <w:r>
        <w:rPr>
          <w:rFonts w:hint="eastAsia"/>
        </w:rPr>
        <w:t>等證立信賴</w:t>
      </w:r>
      <w:proofErr w:type="gramEnd"/>
      <w:r>
        <w:rPr>
          <w:rFonts w:hint="eastAsia"/>
        </w:rPr>
        <w:t>保護的</w:t>
      </w:r>
      <w:r>
        <w:rPr>
          <w:rFonts w:ascii="標楷體" w:eastAsia="標楷體" w:hAnsi="標楷體" w:hint="eastAsia"/>
          <w:b/>
        </w:rPr>
        <w:t>「運用」</w:t>
      </w:r>
      <w:r>
        <w:rPr>
          <w:rFonts w:hint="eastAsia"/>
        </w:rPr>
        <w:t>（</w:t>
      </w:r>
      <w:proofErr w:type="gramStart"/>
      <w:r>
        <w:t>”</w:t>
      </w:r>
      <w:proofErr w:type="gramEnd"/>
      <w:r>
        <w:rPr>
          <w:rFonts w:hint="eastAsia"/>
        </w:rPr>
        <w:t>Ins-</w:t>
      </w:r>
      <w:proofErr w:type="spellStart"/>
      <w:r>
        <w:rPr>
          <w:rFonts w:hint="eastAsia"/>
        </w:rPr>
        <w:t>Werk</w:t>
      </w:r>
      <w:proofErr w:type="spellEnd"/>
      <w:r>
        <w:rPr>
          <w:rFonts w:hint="eastAsia"/>
        </w:rPr>
        <w:t>-</w:t>
      </w:r>
      <w:proofErr w:type="spellStart"/>
      <w:r>
        <w:rPr>
          <w:rFonts w:hint="eastAsia"/>
        </w:rPr>
        <w:t>setzen</w:t>
      </w:r>
      <w:proofErr w:type="spellEnd"/>
      <w:r>
        <w:t>”</w:t>
      </w:r>
      <w:r>
        <w:rPr>
          <w:rFonts w:hint="eastAsia"/>
        </w:rPr>
        <w:t>）絕對化。一方面，</w:t>
      </w:r>
      <w:r>
        <w:rPr>
          <w:rFonts w:ascii="標楷體" w:eastAsia="標楷體" w:hAnsi="標楷體" w:hint="eastAsia"/>
          <w:b/>
        </w:rPr>
        <w:t>並非每</w:t>
      </w:r>
      <w:proofErr w:type="gramStart"/>
      <w:r>
        <w:rPr>
          <w:rFonts w:ascii="標楷體" w:eastAsia="標楷體" w:hAnsi="標楷體" w:hint="eastAsia"/>
          <w:b/>
        </w:rPr>
        <w:t>個</w:t>
      </w:r>
      <w:proofErr w:type="gramEnd"/>
      <w:r>
        <w:rPr>
          <w:rFonts w:ascii="標楷體" w:eastAsia="標楷體" w:hAnsi="標楷體" w:hint="eastAsia"/>
          <w:b/>
        </w:rPr>
        <w:t>運用都</w:t>
      </w:r>
      <w:proofErr w:type="gramStart"/>
      <w:r>
        <w:rPr>
          <w:rFonts w:ascii="標楷體" w:eastAsia="標楷體" w:hAnsi="標楷體" w:hint="eastAsia"/>
          <w:b/>
        </w:rPr>
        <w:t>能證立</w:t>
      </w:r>
      <w:proofErr w:type="gramEnd"/>
      <w:r>
        <w:rPr>
          <w:rFonts w:ascii="標楷體" w:eastAsia="標楷體" w:hAnsi="標楷體" w:hint="eastAsia"/>
          <w:b/>
        </w:rPr>
        <w:t>信賴保護</w:t>
      </w:r>
      <w:r>
        <w:rPr>
          <w:rFonts w:hint="eastAsia"/>
        </w:rPr>
        <w:t>，因為不倉促而為也是有意義的處置。另一方面，</w:t>
      </w:r>
      <w:r>
        <w:rPr>
          <w:rFonts w:ascii="標楷體" w:eastAsia="標楷體" w:hAnsi="標楷體" w:hint="eastAsia"/>
          <w:b/>
        </w:rPr>
        <w:t>有時即使沒有特別的信賴表現也可以維繫一項違法的授益</w:t>
      </w:r>
      <w:r>
        <w:rPr>
          <w:rFonts w:hint="eastAsia"/>
        </w:rPr>
        <w:t>，例如，假使可以確定給付的受領者一般將取向於確定給付裁決的津貼來安排生活，則</w:t>
      </w:r>
      <w:proofErr w:type="gramStart"/>
      <w:r>
        <w:rPr>
          <w:rFonts w:hint="eastAsia"/>
        </w:rPr>
        <w:t>並不須別有</w:t>
      </w:r>
      <w:proofErr w:type="gramEnd"/>
      <w:r>
        <w:rPr>
          <w:rFonts w:hint="eastAsia"/>
        </w:rPr>
        <w:t>信賴表現。最後，假使所受領的給付被用以清償債務，或者所購買之物通常作為受益人的財產繼續存在，就不能認定受領之給付已被消費，</w:t>
      </w:r>
      <w:proofErr w:type="gramStart"/>
      <w:r>
        <w:rPr>
          <w:rFonts w:hint="eastAsia"/>
        </w:rPr>
        <w:t>蓋由經濟</w:t>
      </w:r>
      <w:proofErr w:type="gramEnd"/>
      <w:r>
        <w:rPr>
          <w:rFonts w:hint="eastAsia"/>
        </w:rPr>
        <w:t>的（而非法律的）觀點，受益人受領的給付仍構成其財產的</w:t>
      </w:r>
      <w:proofErr w:type="gramStart"/>
      <w:r>
        <w:rPr>
          <w:rFonts w:hint="eastAsia"/>
        </w:rPr>
        <w:t>一</w:t>
      </w:r>
      <w:proofErr w:type="gramEnd"/>
      <w:r>
        <w:rPr>
          <w:rFonts w:hint="eastAsia"/>
        </w:rPr>
        <w:t>部份，質言之，「消費其受領之給付」意指，給付受領人並未因其給付而增益財產；判斷的標準是民法典第</w:t>
      </w:r>
      <w:r>
        <w:rPr>
          <w:rFonts w:hint="eastAsia"/>
        </w:rPr>
        <w:t>818</w:t>
      </w:r>
      <w:r>
        <w:rPr>
          <w:rFonts w:hint="eastAsia"/>
        </w:rPr>
        <w:t>條第</w:t>
      </w:r>
      <w:r>
        <w:rPr>
          <w:rFonts w:hint="eastAsia"/>
        </w:rPr>
        <w:t>3</w:t>
      </w:r>
      <w:r>
        <w:rPr>
          <w:rFonts w:hint="eastAsia"/>
        </w:rPr>
        <w:t>項</w:t>
      </w:r>
      <w:r>
        <w:rPr>
          <w:rStyle w:val="a6"/>
        </w:rPr>
        <w:footnoteReference w:id="29"/>
      </w:r>
      <w:r>
        <w:rPr>
          <w:rFonts w:hint="eastAsia"/>
        </w:rPr>
        <w:t>與對此發展出來的結算差額理論（</w:t>
      </w:r>
      <w:proofErr w:type="spellStart"/>
      <w:r>
        <w:rPr>
          <w:rFonts w:hint="eastAsia"/>
        </w:rPr>
        <w:t>Saldotheorie</w:t>
      </w:r>
      <w:proofErr w:type="spellEnd"/>
      <w:r>
        <w:rPr>
          <w:rFonts w:hint="eastAsia"/>
        </w:rPr>
        <w:t>）</w:t>
      </w:r>
      <w:r>
        <w:rPr>
          <w:rStyle w:val="a6"/>
        </w:rPr>
        <w:footnoteReference w:id="30"/>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hint="eastAsia"/>
          <w:color w:val="000000"/>
        </w:rPr>
        <w:t>假使沒有前揭信賴不值得保護的事由，且因受益人已運用其受領之給付而被認定值得保護，則應進一步</w:t>
      </w:r>
      <w:r>
        <w:rPr>
          <w:rFonts w:ascii="標楷體" w:eastAsia="標楷體" w:hAnsi="標楷體" w:hint="eastAsia"/>
          <w:b/>
          <w:color w:val="000000"/>
        </w:rPr>
        <w:t>權衡人民的信賴利益與國家撤銷違法</w:t>
      </w:r>
      <w:proofErr w:type="gramStart"/>
      <w:r>
        <w:rPr>
          <w:rFonts w:ascii="標楷體" w:eastAsia="標楷體" w:hAnsi="標楷體" w:hint="eastAsia"/>
          <w:b/>
          <w:color w:val="000000"/>
        </w:rPr>
        <w:t>授益性行政處分</w:t>
      </w:r>
      <w:proofErr w:type="gramEnd"/>
      <w:r>
        <w:rPr>
          <w:rFonts w:ascii="標楷體" w:eastAsia="標楷體" w:hAnsi="標楷體" w:hint="eastAsia"/>
          <w:b/>
          <w:color w:val="000000"/>
        </w:rPr>
        <w:t>的公益</w:t>
      </w:r>
      <w:r>
        <w:rPr>
          <w:rFonts w:hint="eastAsia"/>
          <w:color w:val="000000"/>
        </w:rPr>
        <w:t>，藉此決定是否應撤銷該處分。前者尤其應考量受益人人格上與經濟上的關係，尤其相關給付是否為其生存的基礎；後者涉及的非僅形式性地貫徹依法律行政，毋寧應考量藉法律追求之公益的實現</w:t>
      </w:r>
      <w:r>
        <w:rPr>
          <w:rStyle w:val="a6"/>
          <w:color w:val="000000"/>
        </w:rPr>
        <w:footnoteReference w:id="31"/>
      </w:r>
      <w:r>
        <w:rPr>
          <w:rFonts w:hint="eastAsia"/>
          <w:color w:val="000000"/>
        </w:rPr>
        <w:t>。在撤銷的公益大於人民信賴行政處分續存的利益時，始得撤銷</w:t>
      </w:r>
      <w:proofErr w:type="gramStart"/>
      <w:r>
        <w:rPr>
          <w:rFonts w:hint="eastAsia"/>
          <w:color w:val="000000"/>
        </w:rPr>
        <w:t>此授益性</w:t>
      </w:r>
      <w:proofErr w:type="gramEnd"/>
      <w:r>
        <w:rPr>
          <w:rFonts w:hint="eastAsia"/>
          <w:color w:val="000000"/>
        </w:rPr>
        <w:t>行政處分。通常</w:t>
      </w:r>
      <w:r>
        <w:rPr>
          <w:rFonts w:ascii="標楷體" w:eastAsia="標楷體" w:hAnsi="標楷體" w:hint="eastAsia"/>
          <w:b/>
          <w:color w:val="000000"/>
        </w:rPr>
        <w:t>向後發生效力的撤銷</w:t>
      </w:r>
      <w:r>
        <w:rPr>
          <w:rFonts w:hint="eastAsia"/>
          <w:color w:val="000000"/>
        </w:rPr>
        <w:t>是容許的。然而，假使行政機關就其撤銷權的行使有失權的情形或者，受益人基於對行政處分之存續的正當信賴已作成如此廣泛的處置，以致即使撤銷只對未來發生效力，就受益人而言仍屬期待不可能的話，即不得為此等撤銷處分</w:t>
      </w:r>
      <w:r>
        <w:rPr>
          <w:rStyle w:val="a6"/>
          <w:color w:val="000000"/>
        </w:rPr>
        <w:footnoteReference w:id="32"/>
      </w:r>
      <w:r>
        <w:rPr>
          <w:rFonts w:hint="eastAsia"/>
          <w:color w:val="000000"/>
        </w:rPr>
        <w:t>。</w:t>
      </w:r>
    </w:p>
    <w:p w:rsidR="00683971" w:rsidRDefault="00683971" w:rsidP="00057028">
      <w:pPr>
        <w:overflowPunct w:val="0"/>
        <w:spacing w:line="360" w:lineRule="auto"/>
        <w:jc w:val="both"/>
        <w:rPr>
          <w:color w:val="000000"/>
        </w:rPr>
      </w:pPr>
    </w:p>
    <w:p w:rsidR="00683971" w:rsidRDefault="006D0E61" w:rsidP="00057028">
      <w:pPr>
        <w:overflowPunct w:val="0"/>
        <w:spacing w:line="360" w:lineRule="auto"/>
        <w:jc w:val="both"/>
        <w:rPr>
          <w:rFonts w:ascii="標楷體" w:eastAsia="標楷體" w:hAnsi="標楷體"/>
          <w:b/>
          <w:color w:val="000000"/>
        </w:rPr>
      </w:pPr>
      <w:r>
        <w:rPr>
          <w:rFonts w:ascii="標楷體" w:eastAsia="標楷體" w:hAnsi="標楷體" w:hint="eastAsia"/>
          <w:b/>
          <w:color w:val="000000"/>
        </w:rPr>
        <w:lastRenderedPageBreak/>
        <w:t>三、非關金錢或</w:t>
      </w:r>
      <w:proofErr w:type="gramStart"/>
      <w:r>
        <w:rPr>
          <w:rFonts w:ascii="標楷體" w:eastAsia="標楷體" w:hAnsi="標楷體" w:hint="eastAsia"/>
          <w:b/>
          <w:color w:val="000000"/>
        </w:rPr>
        <w:t>可分物給付</w:t>
      </w:r>
      <w:proofErr w:type="gramEnd"/>
      <w:r>
        <w:rPr>
          <w:rFonts w:ascii="標楷體" w:eastAsia="標楷體" w:hAnsi="標楷體" w:hint="eastAsia"/>
          <w:b/>
          <w:color w:val="000000"/>
        </w:rPr>
        <w:t>之</w:t>
      </w:r>
      <w:proofErr w:type="gramStart"/>
      <w:r>
        <w:rPr>
          <w:rFonts w:ascii="標楷體" w:eastAsia="標楷體" w:hAnsi="標楷體" w:hint="eastAsia"/>
          <w:b/>
          <w:color w:val="000000"/>
        </w:rPr>
        <w:t>授益性行政處分</w:t>
      </w:r>
      <w:proofErr w:type="gramEnd"/>
      <w:r>
        <w:rPr>
          <w:rFonts w:ascii="標楷體" w:eastAsia="標楷體" w:hAnsi="標楷體" w:hint="eastAsia"/>
          <w:b/>
          <w:color w:val="000000"/>
        </w:rPr>
        <w:t>的撤銷</w:t>
      </w:r>
    </w:p>
    <w:p w:rsidR="00683971" w:rsidRDefault="00683971" w:rsidP="00057028">
      <w:pPr>
        <w:overflowPunct w:val="0"/>
        <w:spacing w:line="360" w:lineRule="auto"/>
        <w:jc w:val="both"/>
        <w:rPr>
          <w:color w:val="000000"/>
        </w:rPr>
      </w:pPr>
    </w:p>
    <w:p w:rsidR="00683971" w:rsidRDefault="006D0E61" w:rsidP="00057028">
      <w:pPr>
        <w:overflowPunct w:val="0"/>
        <w:spacing w:line="360" w:lineRule="auto"/>
        <w:jc w:val="both"/>
      </w:pPr>
      <w:r>
        <w:rPr>
          <w:rFonts w:hint="eastAsia"/>
          <w:color w:val="000000"/>
        </w:rPr>
        <w:t xml:space="preserve">    </w:t>
      </w:r>
      <w:r>
        <w:rPr>
          <w:rFonts w:hint="eastAsia"/>
          <w:color w:val="000000"/>
        </w:rPr>
        <w:t>就非關</w:t>
      </w:r>
      <w:r>
        <w:rPr>
          <w:rFonts w:hint="eastAsia"/>
        </w:rPr>
        <w:t>金錢給付、</w:t>
      </w:r>
      <w:proofErr w:type="gramStart"/>
      <w:r>
        <w:rPr>
          <w:rFonts w:hint="eastAsia"/>
        </w:rPr>
        <w:t>可分物之</w:t>
      </w:r>
      <w:proofErr w:type="gramEnd"/>
      <w:r>
        <w:rPr>
          <w:rFonts w:hint="eastAsia"/>
        </w:rPr>
        <w:t>給付或賦予此等給付以前提的其他</w:t>
      </w:r>
      <w:proofErr w:type="gramStart"/>
      <w:r>
        <w:rPr>
          <w:rFonts w:hint="eastAsia"/>
        </w:rPr>
        <w:t>授益性行政處分</w:t>
      </w:r>
      <w:proofErr w:type="gramEnd"/>
      <w:r>
        <w:rPr>
          <w:rFonts w:hint="eastAsia"/>
        </w:rPr>
        <w:t>，決定其可否撤銷的具體步驟大抵如下：（一）受益人信賴授予利益的行政處分（有信賴事實</w:t>
      </w:r>
      <w:r>
        <w:rPr>
          <w:rStyle w:val="a6"/>
        </w:rPr>
        <w:footnoteReference w:id="33"/>
      </w:r>
      <w:r>
        <w:rPr>
          <w:rFonts w:hint="eastAsia"/>
        </w:rPr>
        <w:t>，我國行政程序法第</w:t>
      </w:r>
      <w:r>
        <w:rPr>
          <w:rFonts w:hint="eastAsia"/>
        </w:rPr>
        <w:t>117</w:t>
      </w:r>
      <w:r>
        <w:rPr>
          <w:rFonts w:hint="eastAsia"/>
        </w:rPr>
        <w:t>條第</w:t>
      </w:r>
      <w:r>
        <w:rPr>
          <w:rFonts w:hint="eastAsia"/>
        </w:rPr>
        <w:t>2</w:t>
      </w:r>
      <w:r>
        <w:rPr>
          <w:rFonts w:hint="eastAsia"/>
        </w:rPr>
        <w:t>款）；（二）受益人無前揭信賴不值得保護的情形（有值得保護的信賴</w:t>
      </w:r>
      <w:r>
        <w:rPr>
          <w:rStyle w:val="a6"/>
        </w:rPr>
        <w:footnoteReference w:id="34"/>
      </w:r>
      <w:r>
        <w:rPr>
          <w:rFonts w:hint="eastAsia"/>
        </w:rPr>
        <w:t>，我國行政程序法第</w:t>
      </w:r>
      <w:r>
        <w:rPr>
          <w:rFonts w:hint="eastAsia"/>
        </w:rPr>
        <w:t>119</w:t>
      </w:r>
      <w:r>
        <w:rPr>
          <w:rFonts w:hint="eastAsia"/>
        </w:rPr>
        <w:t>條）；（三）如受益人之信賴利益顯然大於撤銷所欲維護之公益，則不得撤銷該行政處分（法益權衡，我國行政程序法第</w:t>
      </w:r>
      <w:r>
        <w:rPr>
          <w:rFonts w:hint="eastAsia"/>
        </w:rPr>
        <w:t>117</w:t>
      </w:r>
      <w:r>
        <w:rPr>
          <w:rFonts w:hint="eastAsia"/>
        </w:rPr>
        <w:t>條第</w:t>
      </w:r>
      <w:r>
        <w:rPr>
          <w:rFonts w:hint="eastAsia"/>
        </w:rPr>
        <w:t>2</w:t>
      </w:r>
      <w:r>
        <w:rPr>
          <w:rFonts w:hint="eastAsia"/>
        </w:rPr>
        <w:t>款）；（四）如授予利益之違法行政處分被撤銷，受益人因信賴該處分致遭受財產上之損失，為撤銷之機關應給予合理的補償（損失補償，我國行政程序法第</w:t>
      </w:r>
      <w:r>
        <w:rPr>
          <w:rFonts w:hint="eastAsia"/>
        </w:rPr>
        <w:t>120</w:t>
      </w:r>
      <w:r>
        <w:rPr>
          <w:rFonts w:hint="eastAsia"/>
        </w:rPr>
        <w:t>條第</w:t>
      </w:r>
      <w:r>
        <w:rPr>
          <w:rFonts w:hint="eastAsia"/>
        </w:rPr>
        <w:t>1</w:t>
      </w:r>
      <w:r>
        <w:rPr>
          <w:rFonts w:hint="eastAsia"/>
        </w:rPr>
        <w:t>項）</w:t>
      </w:r>
      <w:r>
        <w:rPr>
          <w:rStyle w:val="a6"/>
        </w:rPr>
        <w:footnoteReference w:id="35"/>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rPr>
          <w:rFonts w:ascii="標楷體" w:eastAsia="標楷體" w:hAnsi="標楷體"/>
          <w:b/>
        </w:rPr>
      </w:pPr>
      <w:r>
        <w:rPr>
          <w:rFonts w:ascii="標楷體" w:eastAsia="標楷體" w:hAnsi="標楷體" w:hint="eastAsia"/>
          <w:b/>
        </w:rPr>
        <w:t>四、存在撤銷事由對行政機關的意義：撤銷的義務或撤銷的裁量？</w:t>
      </w:r>
    </w:p>
    <w:p w:rsidR="00683971" w:rsidRDefault="00683971" w:rsidP="00057028">
      <w:pPr>
        <w:overflowPunct w:val="0"/>
        <w:spacing w:line="360" w:lineRule="auto"/>
        <w:jc w:val="both"/>
        <w:rPr>
          <w:rFonts w:ascii="標楷體" w:eastAsia="標楷體" w:hAnsi="標楷體"/>
          <w:b/>
        </w:rPr>
      </w:pPr>
    </w:p>
    <w:p w:rsidR="00683971" w:rsidRDefault="006D0E61" w:rsidP="00057028">
      <w:pPr>
        <w:overflowPunct w:val="0"/>
        <w:spacing w:line="360" w:lineRule="auto"/>
        <w:jc w:val="both"/>
        <w:rPr>
          <w:rFonts w:ascii="新細明體" w:hAnsi="新細明體"/>
        </w:rPr>
      </w:pPr>
      <w:r>
        <w:rPr>
          <w:rFonts w:ascii="標楷體" w:eastAsia="標楷體" w:hAnsi="標楷體" w:hint="eastAsia"/>
          <w:b/>
        </w:rPr>
        <w:t xml:space="preserve">    </w:t>
      </w:r>
      <w:r>
        <w:rPr>
          <w:rFonts w:ascii="新細明體" w:hAnsi="新細明體" w:hint="eastAsia"/>
        </w:rPr>
        <w:t>依學界的多數見解，只有當行政處分尚未確定，或法律強制規定應予撤銷，行政</w:t>
      </w:r>
      <w:proofErr w:type="gramStart"/>
      <w:r>
        <w:rPr>
          <w:rFonts w:ascii="新細明體" w:hAnsi="新細明體" w:hint="eastAsia"/>
        </w:rPr>
        <w:t>機關才負有</w:t>
      </w:r>
      <w:proofErr w:type="gramEnd"/>
      <w:r>
        <w:rPr>
          <w:rFonts w:ascii="新細明體" w:hAnsi="新細明體" w:hint="eastAsia"/>
        </w:rPr>
        <w:t>撤銷的義務。一如廢止</w:t>
      </w:r>
      <w:proofErr w:type="gramStart"/>
      <w:r>
        <w:rPr>
          <w:rFonts w:ascii="新細明體" w:hAnsi="新細明體" w:hint="eastAsia"/>
        </w:rPr>
        <w:t>授益性行政處分</w:t>
      </w:r>
      <w:proofErr w:type="gramEnd"/>
      <w:r>
        <w:rPr>
          <w:rFonts w:ascii="新細明體" w:hAnsi="新細明體" w:hint="eastAsia"/>
        </w:rPr>
        <w:t>的情況，在行政機關得撤銷違法</w:t>
      </w:r>
      <w:proofErr w:type="gramStart"/>
      <w:r>
        <w:rPr>
          <w:rFonts w:ascii="新細明體" w:hAnsi="新細明體" w:hint="eastAsia"/>
        </w:rPr>
        <w:t>授益性行政處分</w:t>
      </w:r>
      <w:proofErr w:type="gramEnd"/>
      <w:r>
        <w:rPr>
          <w:rFonts w:ascii="新細明體" w:hAnsi="新細明體" w:hint="eastAsia"/>
        </w:rPr>
        <w:t>時，行政機關就是否為撤銷決定享有裁量權；</w:t>
      </w:r>
      <w:proofErr w:type="gramStart"/>
      <w:r>
        <w:rPr>
          <w:rFonts w:ascii="新細明體" w:hAnsi="新細明體" w:hint="eastAsia"/>
        </w:rPr>
        <w:t>此外，</w:t>
      </w:r>
      <w:proofErr w:type="gramEnd"/>
      <w:r>
        <w:rPr>
          <w:rFonts w:ascii="新細明體" w:hAnsi="新細明體" w:hint="eastAsia"/>
        </w:rPr>
        <w:t>行政機關亦享有選擇裁量權，其得為全部或一部的撤銷，或決定應溯及或向未來發生撤銷的效力。為裁量決定時，信賴保護的觀點仍扮演決定性的角色；於此同樣應權衡，人民信賴行政處分續存的利益與撤銷行政處分的公益</w:t>
      </w:r>
      <w:r>
        <w:rPr>
          <w:rStyle w:val="a6"/>
        </w:rPr>
        <w:footnoteReference w:id="36"/>
      </w:r>
      <w:r>
        <w:rPr>
          <w:rFonts w:ascii="新細明體" w:hAnsi="新細明體" w:hint="eastAsia"/>
        </w:rPr>
        <w:t>。</w:t>
      </w:r>
    </w:p>
    <w:p w:rsidR="00683971" w:rsidRDefault="00683971" w:rsidP="00057028">
      <w:pPr>
        <w:overflowPunct w:val="0"/>
        <w:spacing w:line="360" w:lineRule="auto"/>
        <w:jc w:val="both"/>
        <w:rPr>
          <w:rFonts w:ascii="新細明體" w:hAnsi="新細明體"/>
        </w:rPr>
      </w:pPr>
    </w:p>
    <w:p w:rsidR="00683971" w:rsidRDefault="006D0E61" w:rsidP="00057028">
      <w:pPr>
        <w:overflowPunct w:val="0"/>
        <w:spacing w:line="360" w:lineRule="auto"/>
        <w:jc w:val="both"/>
        <w:rPr>
          <w:rFonts w:ascii="標楷體" w:eastAsia="標楷體" w:hAnsi="標楷體"/>
          <w:b/>
        </w:rPr>
      </w:pPr>
      <w:r>
        <w:rPr>
          <w:rFonts w:ascii="標楷體" w:eastAsia="標楷體" w:hAnsi="標楷體" w:hint="eastAsia"/>
          <w:b/>
        </w:rPr>
        <w:t>五、行政機關撤銷</w:t>
      </w:r>
      <w:proofErr w:type="gramStart"/>
      <w:r>
        <w:rPr>
          <w:rFonts w:ascii="標楷體" w:eastAsia="標楷體" w:hAnsi="標楷體" w:hint="eastAsia"/>
          <w:b/>
        </w:rPr>
        <w:t>授益性行政處分</w:t>
      </w:r>
      <w:proofErr w:type="gramEnd"/>
      <w:r>
        <w:rPr>
          <w:rFonts w:ascii="標楷體" w:eastAsia="標楷體" w:hAnsi="標楷體" w:hint="eastAsia"/>
          <w:b/>
        </w:rPr>
        <w:t>的法律效果</w:t>
      </w:r>
    </w:p>
    <w:p w:rsidR="00683971" w:rsidRDefault="00683971" w:rsidP="00057028">
      <w:pPr>
        <w:overflowPunct w:val="0"/>
        <w:spacing w:line="360" w:lineRule="auto"/>
        <w:jc w:val="both"/>
        <w:rPr>
          <w:rFonts w:ascii="新細明體" w:hAnsi="新細明體"/>
        </w:rPr>
      </w:pPr>
    </w:p>
    <w:p w:rsidR="00683971" w:rsidRDefault="006D0E61" w:rsidP="00057028">
      <w:pPr>
        <w:overflowPunct w:val="0"/>
        <w:spacing w:line="360" w:lineRule="auto"/>
        <w:jc w:val="both"/>
        <w:rPr>
          <w:rFonts w:ascii="新細明體" w:hAnsi="新細明體"/>
        </w:rPr>
      </w:pPr>
      <w:r>
        <w:rPr>
          <w:rFonts w:ascii="新細明體" w:hAnsi="新細明體" w:hint="eastAsia"/>
        </w:rPr>
        <w:t xml:space="preserve">    撤銷</w:t>
      </w:r>
      <w:proofErr w:type="gramStart"/>
      <w:r>
        <w:rPr>
          <w:rFonts w:ascii="新細明體" w:hAnsi="新細明體" w:hint="eastAsia"/>
        </w:rPr>
        <w:t>授益性行政處分</w:t>
      </w:r>
      <w:proofErr w:type="gramEnd"/>
      <w:r>
        <w:rPr>
          <w:rFonts w:ascii="新細明體" w:hAnsi="新細明體" w:hint="eastAsia"/>
        </w:rPr>
        <w:t>僅得於法定期間內為之。依德國</w:t>
      </w:r>
      <w:r>
        <w:rPr>
          <w:rFonts w:ascii="新細明體" w:hAnsi="新細明體" w:hint="eastAsia"/>
          <w:color w:val="000000"/>
        </w:rPr>
        <w:t>聯邦行政程序法第48條第4項第</w:t>
      </w:r>
      <w:r>
        <w:rPr>
          <w:color w:val="000000"/>
        </w:rPr>
        <w:t>1</w:t>
      </w:r>
      <w:r>
        <w:rPr>
          <w:rFonts w:ascii="新細明體" w:hAnsi="新細明體" w:hint="eastAsia"/>
          <w:color w:val="000000"/>
        </w:rPr>
        <w:t>句的規定，</w:t>
      </w:r>
      <w:r>
        <w:rPr>
          <w:rFonts w:ascii="標楷體" w:eastAsia="標楷體" w:hAnsi="標楷體" w:hint="eastAsia"/>
          <w:b/>
        </w:rPr>
        <w:t>行政機關應於得知足以正當化撤銷決定之相關情事的</w:t>
      </w:r>
      <w:proofErr w:type="gramStart"/>
      <w:r>
        <w:rPr>
          <w:rFonts w:ascii="標楷體" w:eastAsia="標楷體" w:hAnsi="標楷體" w:hint="eastAsia"/>
          <w:b/>
        </w:rPr>
        <w:t>一</w:t>
      </w:r>
      <w:proofErr w:type="gramEnd"/>
      <w:r>
        <w:rPr>
          <w:rFonts w:ascii="標楷體" w:eastAsia="標楷體" w:hAnsi="標楷體" w:hint="eastAsia"/>
          <w:b/>
        </w:rPr>
        <w:t>年內為之</w:t>
      </w:r>
      <w:r>
        <w:rPr>
          <w:rFonts w:ascii="新細明體" w:hAnsi="新細明體" w:hint="eastAsia"/>
        </w:rPr>
        <w:t>（</w:t>
      </w:r>
      <w:r>
        <w:rPr>
          <w:rFonts w:ascii="新細明體" w:hAnsi="新細明體" w:hint="eastAsia"/>
          <w:color w:val="000000"/>
        </w:rPr>
        <w:t>依我國行政程序法</w:t>
      </w:r>
      <w:r>
        <w:rPr>
          <w:rFonts w:hAnsi="新細明體"/>
          <w:color w:val="000000"/>
        </w:rPr>
        <w:t>第</w:t>
      </w:r>
      <w:r>
        <w:rPr>
          <w:color w:val="000000"/>
        </w:rPr>
        <w:t>121</w:t>
      </w:r>
      <w:r>
        <w:rPr>
          <w:rFonts w:hAnsi="新細明體"/>
          <w:color w:val="000000"/>
        </w:rPr>
        <w:t>條第</w:t>
      </w:r>
      <w:r>
        <w:rPr>
          <w:color w:val="000000"/>
        </w:rPr>
        <w:t>1</w:t>
      </w:r>
      <w:r>
        <w:rPr>
          <w:rFonts w:ascii="新細明體" w:hAnsi="新細明體" w:hint="eastAsia"/>
          <w:color w:val="000000"/>
        </w:rPr>
        <w:t>項的規定，「撤銷權，應自原處分機關或其上級機關知有撤銷原因時起二年內為之」</w:t>
      </w:r>
      <w:r>
        <w:rPr>
          <w:rFonts w:ascii="新細明體" w:hAnsi="新細明體" w:hint="eastAsia"/>
        </w:rPr>
        <w:t>）；此期間經過後，行政機關不得再為撤銷決定。此等期間的限制有助於法安定性與法律和平的維持，同時有助於信賴保護</w:t>
      </w:r>
      <w:r>
        <w:rPr>
          <w:rStyle w:val="a6"/>
        </w:rPr>
        <w:footnoteReference w:id="37"/>
      </w:r>
      <w:r>
        <w:rPr>
          <w:rFonts w:ascii="新細明體" w:hAnsi="新細明體" w:hint="eastAsia"/>
        </w:rPr>
        <w:t>。然而，此一期間何時開始卻有爭論，依其要求的寬嚴不同，其認定標準的可能觀點包括：（一）認識到</w:t>
      </w:r>
      <w:proofErr w:type="gramStart"/>
      <w:r>
        <w:rPr>
          <w:rFonts w:ascii="新細明體" w:hAnsi="新細明體" w:hint="eastAsia"/>
        </w:rPr>
        <w:t>足以證立被</w:t>
      </w:r>
      <w:proofErr w:type="gramEnd"/>
      <w:r>
        <w:rPr>
          <w:rFonts w:ascii="新細明體" w:hAnsi="新細明體" w:hint="eastAsia"/>
        </w:rPr>
        <w:t>撤銷之行政處分違法的相關事實；於此所稱的事實指與具體案件事實相關的實際過程；（二）認識到正當化撤銷決定的所有事實；（三）與撤銷之基本前提條件相關的法律上與事實上的認識；（四）認識到正當化撤銷決定、其法律效果之法律意義的所有事實</w:t>
      </w:r>
      <w:r>
        <w:rPr>
          <w:rStyle w:val="a6"/>
        </w:rPr>
        <w:footnoteReference w:id="38"/>
      </w:r>
      <w:r>
        <w:rPr>
          <w:rFonts w:ascii="新細明體" w:hAnsi="新細明體" w:hint="eastAsia"/>
        </w:rPr>
        <w:t>。</w:t>
      </w:r>
    </w:p>
    <w:p w:rsidR="00683971" w:rsidRDefault="00683971" w:rsidP="00057028">
      <w:pPr>
        <w:overflowPunct w:val="0"/>
        <w:spacing w:line="360" w:lineRule="auto"/>
        <w:jc w:val="both"/>
        <w:rPr>
          <w:rFonts w:ascii="新細明體" w:hAnsi="新細明體"/>
        </w:rPr>
      </w:pPr>
    </w:p>
    <w:p w:rsidR="00683971" w:rsidRDefault="006D0E61" w:rsidP="00057028">
      <w:pPr>
        <w:overflowPunct w:val="0"/>
        <w:spacing w:line="360" w:lineRule="auto"/>
        <w:ind w:firstLineChars="200" w:firstLine="480"/>
        <w:jc w:val="both"/>
      </w:pPr>
      <w:r>
        <w:t xml:space="preserve">Wolff / </w:t>
      </w:r>
      <w:proofErr w:type="spellStart"/>
      <w:r>
        <w:t>Bachof</w:t>
      </w:r>
      <w:proofErr w:type="spellEnd"/>
      <w:r>
        <w:t xml:space="preserve"> /</w:t>
      </w:r>
      <w:proofErr w:type="spellStart"/>
      <w:r>
        <w:t>Stober</w:t>
      </w:r>
      <w:proofErr w:type="spellEnd"/>
      <w:r>
        <w:rPr>
          <w:rFonts w:hint="eastAsia"/>
        </w:rPr>
        <w:t>指出，依聯邦行政程序法第</w:t>
      </w:r>
      <w:r>
        <w:rPr>
          <w:rFonts w:hint="eastAsia"/>
        </w:rPr>
        <w:t>48</w:t>
      </w:r>
      <w:r>
        <w:rPr>
          <w:rFonts w:hint="eastAsia"/>
        </w:rPr>
        <w:t>條的官方版理由說明，只有當行政機關藉由具體情事足以認識到具體行政處分的違法性，才能使一年的撤銷期限開始起算；取向於此等立法目的，亦應將法律效果的認識納入考量。其次，假使將有瑕疵之法適用的事後認知排除在外，則此一年期間將無適用可能性；</w:t>
      </w:r>
      <w:proofErr w:type="gramStart"/>
      <w:r>
        <w:rPr>
          <w:rFonts w:hint="eastAsia"/>
        </w:rPr>
        <w:t>此外，</w:t>
      </w:r>
      <w:proofErr w:type="gramEnd"/>
      <w:r>
        <w:rPr>
          <w:rFonts w:hint="eastAsia"/>
        </w:rPr>
        <w:t>此種解釋結果亦將導致，權益受影響者僅於事實性的錯誤，而不能在法律性的錯誤上主張法安定性，此種分別並不合理。然而，也不能容許行政機關恣意決定此一期間的始點；如理解將此一期間為</w:t>
      </w:r>
      <w:r>
        <w:rPr>
          <w:rFonts w:ascii="標楷體" w:eastAsia="標楷體" w:hAnsi="標楷體" w:hint="eastAsia"/>
          <w:b/>
        </w:rPr>
        <w:t>決定</w:t>
      </w:r>
      <w:proofErr w:type="gramStart"/>
      <w:r>
        <w:rPr>
          <w:rFonts w:ascii="標楷體" w:eastAsia="標楷體" w:hAnsi="標楷體" w:hint="eastAsia"/>
          <w:b/>
        </w:rPr>
        <w:t>期間</w:t>
      </w:r>
      <w:r>
        <w:rPr>
          <w:rFonts w:hint="eastAsia"/>
        </w:rPr>
        <w:t>（</w:t>
      </w:r>
      <w:proofErr w:type="spellStart"/>
      <w:proofErr w:type="gramEnd"/>
      <w:r>
        <w:rPr>
          <w:rFonts w:hint="eastAsia"/>
        </w:rPr>
        <w:t>Entscheidungsfrist</w:t>
      </w:r>
      <w:proofErr w:type="spellEnd"/>
      <w:r>
        <w:rPr>
          <w:rFonts w:hint="eastAsia"/>
        </w:rPr>
        <w:t>），質言之，只有當行政機關已認識所有與撤銷相關之事實期間才開始起算，就會產生這樣的疑慮。此一見解並不足</w:t>
      </w:r>
      <w:proofErr w:type="gramStart"/>
      <w:r>
        <w:rPr>
          <w:rFonts w:hint="eastAsia"/>
        </w:rPr>
        <w:t>採</w:t>
      </w:r>
      <w:proofErr w:type="gramEnd"/>
      <w:r>
        <w:rPr>
          <w:rFonts w:hint="eastAsia"/>
        </w:rPr>
        <w:t>，因其違反前揭聯邦行政程序法第</w:t>
      </w:r>
      <w:r>
        <w:rPr>
          <w:rFonts w:hint="eastAsia"/>
        </w:rPr>
        <w:t>48</w:t>
      </w:r>
      <w:r>
        <w:rPr>
          <w:rFonts w:hint="eastAsia"/>
        </w:rPr>
        <w:t>條第</w:t>
      </w:r>
      <w:r>
        <w:rPr>
          <w:rFonts w:hint="eastAsia"/>
        </w:rPr>
        <w:t>4</w:t>
      </w:r>
      <w:r>
        <w:rPr>
          <w:rFonts w:hint="eastAsia"/>
        </w:rPr>
        <w:t>項的立法目的。比較能配合此一立法目的得是：將此期間理解為</w:t>
      </w:r>
      <w:r>
        <w:rPr>
          <w:rFonts w:ascii="標楷體" w:eastAsia="標楷體" w:hAnsi="標楷體" w:hint="eastAsia"/>
          <w:b/>
        </w:rPr>
        <w:t>處理</w:t>
      </w:r>
      <w:proofErr w:type="gramStart"/>
      <w:r>
        <w:rPr>
          <w:rFonts w:ascii="標楷體" w:eastAsia="標楷體" w:hAnsi="標楷體" w:hint="eastAsia"/>
          <w:b/>
        </w:rPr>
        <w:t>期間</w:t>
      </w:r>
      <w:r>
        <w:rPr>
          <w:rFonts w:hint="eastAsia"/>
        </w:rPr>
        <w:t>（</w:t>
      </w:r>
      <w:proofErr w:type="spellStart"/>
      <w:proofErr w:type="gramEnd"/>
      <w:r>
        <w:rPr>
          <w:rFonts w:hint="eastAsia"/>
        </w:rPr>
        <w:t>Bearbeitungsfrist</w:t>
      </w:r>
      <w:proofErr w:type="spellEnd"/>
      <w:r>
        <w:rPr>
          <w:rFonts w:hint="eastAsia"/>
        </w:rPr>
        <w:t>），在此期間內必須作成撤銷與否的決定，因此，其取決於第</w:t>
      </w:r>
      <w:r>
        <w:rPr>
          <w:rFonts w:hint="eastAsia"/>
        </w:rPr>
        <w:lastRenderedPageBreak/>
        <w:t>一次的認識</w:t>
      </w:r>
      <w:r>
        <w:rPr>
          <w:rStyle w:val="a6"/>
        </w:rPr>
        <w:footnoteReference w:id="39"/>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hint="eastAsia"/>
        </w:rPr>
        <w:t>相對於此，</w:t>
      </w:r>
      <w:r>
        <w:rPr>
          <w:rFonts w:hint="eastAsia"/>
        </w:rPr>
        <w:t xml:space="preserve">H.-U. </w:t>
      </w:r>
      <w:proofErr w:type="spellStart"/>
      <w:r>
        <w:rPr>
          <w:rFonts w:hint="eastAsia"/>
        </w:rPr>
        <w:t>Erichsen</w:t>
      </w:r>
      <w:proofErr w:type="spellEnd"/>
      <w:r>
        <w:rPr>
          <w:rFonts w:hint="eastAsia"/>
        </w:rPr>
        <w:t xml:space="preserve"> / D. L. </w:t>
      </w:r>
      <w:proofErr w:type="spellStart"/>
      <w:r>
        <w:rPr>
          <w:rFonts w:hint="eastAsia"/>
        </w:rPr>
        <w:t>Br</w:t>
      </w:r>
      <w:r>
        <w:t>ü</w:t>
      </w:r>
      <w:r>
        <w:rPr>
          <w:rFonts w:hint="eastAsia"/>
        </w:rPr>
        <w:t>gge</w:t>
      </w:r>
      <w:proofErr w:type="spellEnd"/>
      <w:r>
        <w:rPr>
          <w:rFonts w:hint="eastAsia"/>
        </w:rPr>
        <w:t>認為，前揭期間應該是「決定期間」而非「處理期間」。蓋只有當行政機關已認識所有與撤銷有關的事實，質言之，包括與為裁量、利益權衡有關的事實，方能就撤銷為適法決定。因此，應自行政機關取得所有與撤銷行政處分有關之事實與法律情境時起，方得開始</w:t>
      </w:r>
      <w:proofErr w:type="gramStart"/>
      <w:r>
        <w:rPr>
          <w:rFonts w:hint="eastAsia"/>
        </w:rPr>
        <w:t>起算前揭</w:t>
      </w:r>
      <w:proofErr w:type="gramEnd"/>
      <w:r>
        <w:rPr>
          <w:rFonts w:hint="eastAsia"/>
        </w:rPr>
        <w:t>法定期</w:t>
      </w:r>
      <w:proofErr w:type="gramStart"/>
      <w:r>
        <w:rPr>
          <w:rFonts w:hint="eastAsia"/>
        </w:rPr>
        <w:t>間</w:t>
      </w:r>
      <w:proofErr w:type="gramEnd"/>
      <w:r>
        <w:rPr>
          <w:rStyle w:val="a6"/>
        </w:rPr>
        <w:footnoteReference w:id="40"/>
      </w:r>
      <w:r>
        <w:rPr>
          <w:rFonts w:hint="eastAsia"/>
        </w:rPr>
        <w:t>。本文支持此一見解。與此立場相類，</w:t>
      </w:r>
      <w:r>
        <w:rPr>
          <w:rFonts w:hint="eastAsia"/>
        </w:rPr>
        <w:t xml:space="preserve">S. </w:t>
      </w:r>
      <w:proofErr w:type="spellStart"/>
      <w:r>
        <w:rPr>
          <w:rFonts w:hint="eastAsia"/>
        </w:rPr>
        <w:t>Detterbeck</w:t>
      </w:r>
      <w:proofErr w:type="spellEnd"/>
      <w:r>
        <w:rPr>
          <w:rFonts w:hint="eastAsia"/>
        </w:rPr>
        <w:t>採取聯邦行政法院的見解</w:t>
      </w:r>
      <w:proofErr w:type="gramStart"/>
      <w:r>
        <w:rPr>
          <w:rFonts w:hint="eastAsia"/>
        </w:rPr>
        <w:t>（</w:t>
      </w:r>
      <w:proofErr w:type="spellStart"/>
      <w:proofErr w:type="gramEnd"/>
      <w:r>
        <w:rPr>
          <w:rFonts w:hint="eastAsia"/>
        </w:rPr>
        <w:t>BVerwGE</w:t>
      </w:r>
      <w:proofErr w:type="spellEnd"/>
      <w:r>
        <w:rPr>
          <w:rFonts w:hint="eastAsia"/>
        </w:rPr>
        <w:t xml:space="preserve"> 70, 365ff.</w:t>
      </w:r>
      <w:r>
        <w:rPr>
          <w:rFonts w:hint="eastAsia"/>
        </w:rPr>
        <w:t>）而認定，必須符合下述兩項要件，前述法定期間才能開始起算：（一）依機關內部的職務劃分規定，負責處理該當事務者實際上已認識到行政處分的違法性，（二）並且已認識到，行使撤銷與否之裁量權必要的相關事實。</w:t>
      </w:r>
      <w:r>
        <w:rPr>
          <w:rFonts w:hint="eastAsia"/>
        </w:rPr>
        <w:t xml:space="preserve">S. </w:t>
      </w:r>
      <w:proofErr w:type="spellStart"/>
      <w:r>
        <w:rPr>
          <w:rFonts w:hint="eastAsia"/>
        </w:rPr>
        <w:t>Detterbeck</w:t>
      </w:r>
      <w:proofErr w:type="spellEnd"/>
      <w:r>
        <w:rPr>
          <w:rFonts w:hint="eastAsia"/>
        </w:rPr>
        <w:t>也指出，對</w:t>
      </w:r>
      <w:r>
        <w:rPr>
          <w:rFonts w:ascii="新細明體" w:hAnsi="新細明體" w:hint="eastAsia"/>
          <w:color w:val="000000"/>
        </w:rPr>
        <w:t>聯邦行政程序法第</w:t>
      </w:r>
      <w:r>
        <w:rPr>
          <w:color w:val="000000"/>
        </w:rPr>
        <w:t>48</w:t>
      </w:r>
      <w:r>
        <w:rPr>
          <w:rFonts w:hAnsi="新細明體"/>
          <w:color w:val="000000"/>
        </w:rPr>
        <w:t>條第</w:t>
      </w:r>
      <w:r>
        <w:rPr>
          <w:color w:val="000000"/>
        </w:rPr>
        <w:t>4</w:t>
      </w:r>
      <w:r>
        <w:rPr>
          <w:rFonts w:hAnsi="新細明體"/>
          <w:color w:val="000000"/>
        </w:rPr>
        <w:t>項第</w:t>
      </w:r>
      <w:r>
        <w:rPr>
          <w:color w:val="000000"/>
        </w:rPr>
        <w:t>1</w:t>
      </w:r>
      <w:r>
        <w:rPr>
          <w:rFonts w:ascii="新細明體" w:hAnsi="新細明體" w:hint="eastAsia"/>
          <w:color w:val="000000"/>
        </w:rPr>
        <w:t>句作</w:t>
      </w:r>
      <w:r>
        <w:rPr>
          <w:rFonts w:hint="eastAsia"/>
        </w:rPr>
        <w:t>如此解釋，將相當程度地延後前述法定期間的起算</w:t>
      </w:r>
      <w:r>
        <w:rPr>
          <w:rStyle w:val="a6"/>
        </w:rPr>
        <w:footnoteReference w:id="41"/>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hint="eastAsia"/>
        </w:rPr>
        <w:t>在法定期間內所為的撤銷決定，假使要配合撤銷所追求的，改正有瑕疵之行政行為的目的，則撤銷的法律效果應追溯（</w:t>
      </w:r>
      <w:r>
        <w:rPr>
          <w:rFonts w:hint="eastAsia"/>
        </w:rPr>
        <w:t xml:space="preserve">ex </w:t>
      </w:r>
      <w:proofErr w:type="spellStart"/>
      <w:r>
        <w:rPr>
          <w:rFonts w:hint="eastAsia"/>
        </w:rPr>
        <w:t>tunc</w:t>
      </w:r>
      <w:proofErr w:type="spellEnd"/>
      <w:r>
        <w:rPr>
          <w:rFonts w:hint="eastAsia"/>
        </w:rPr>
        <w:t>）到違法行政處分作成時。然而，法安定性與信賴保護的要求不僅是在決定應否撤銷</w:t>
      </w:r>
      <w:proofErr w:type="gramStart"/>
      <w:r>
        <w:rPr>
          <w:rFonts w:hint="eastAsia"/>
        </w:rPr>
        <w:t>授益性行政處分</w:t>
      </w:r>
      <w:proofErr w:type="gramEnd"/>
      <w:r>
        <w:rPr>
          <w:rFonts w:hint="eastAsia"/>
        </w:rPr>
        <w:t>時，毋寧亦應於決定撤銷效果的時點之際加以考量；在對未來發生效力的撤銷是可能甚至必要時，考量到信賴保護，可能不容許溯及既往的撤銷決定，例如以持續性金錢給付為內容之行政處分的情形。在受益人對行政處分的違法具有可歸責性或導致行政處分違法的事由發生在其責任範圍時，通常撤銷決定應發生溯及效力</w:t>
      </w:r>
      <w:r>
        <w:rPr>
          <w:rStyle w:val="a6"/>
        </w:rPr>
        <w:footnoteReference w:id="42"/>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hint="eastAsia"/>
        </w:rPr>
        <w:t>合法撤銷</w:t>
      </w:r>
      <w:proofErr w:type="gramStart"/>
      <w:r>
        <w:rPr>
          <w:rFonts w:hint="eastAsia"/>
        </w:rPr>
        <w:t>授益性行政處分</w:t>
      </w:r>
      <w:proofErr w:type="gramEnd"/>
      <w:r>
        <w:rPr>
          <w:rFonts w:hint="eastAsia"/>
        </w:rPr>
        <w:t>時，只有在法律明定時，因此受損害者才享有</w:t>
      </w:r>
      <w:r>
        <w:rPr>
          <w:rFonts w:ascii="標楷體" w:eastAsia="標楷體" w:hAnsi="標楷體" w:hint="eastAsia"/>
          <w:b/>
        </w:rPr>
        <w:t>補償請求權</w:t>
      </w:r>
      <w:r>
        <w:rPr>
          <w:rFonts w:hint="eastAsia"/>
        </w:rPr>
        <w:t>（</w:t>
      </w:r>
      <w:proofErr w:type="spellStart"/>
      <w:r>
        <w:rPr>
          <w:rFonts w:hint="eastAsia"/>
        </w:rPr>
        <w:t>Ersatzanspruch</w:t>
      </w:r>
      <w:proofErr w:type="spellEnd"/>
      <w:r>
        <w:rPr>
          <w:rFonts w:hint="eastAsia"/>
        </w:rPr>
        <w:t>）。例如</w:t>
      </w:r>
      <w:r>
        <w:rPr>
          <w:rFonts w:hint="eastAsia"/>
          <w:color w:val="000000"/>
        </w:rPr>
        <w:t>聯邦行政程序法第</w:t>
      </w:r>
      <w:r>
        <w:rPr>
          <w:rFonts w:hint="eastAsia"/>
          <w:color w:val="000000"/>
        </w:rPr>
        <w:t>48</w:t>
      </w:r>
      <w:r>
        <w:rPr>
          <w:rFonts w:hint="eastAsia"/>
          <w:color w:val="000000"/>
        </w:rPr>
        <w:t>條第</w:t>
      </w:r>
      <w:r>
        <w:rPr>
          <w:rFonts w:hint="eastAsia"/>
          <w:color w:val="000000"/>
        </w:rPr>
        <w:t>3</w:t>
      </w:r>
      <w:r>
        <w:rPr>
          <w:rFonts w:hint="eastAsia"/>
          <w:color w:val="000000"/>
        </w:rPr>
        <w:t>項</w:t>
      </w:r>
      <w:r>
        <w:rPr>
          <w:rFonts w:hint="eastAsia"/>
        </w:rPr>
        <w:t>就定有明文。於此</w:t>
      </w:r>
      <w:r>
        <w:rPr>
          <w:rFonts w:hint="eastAsia"/>
        </w:rPr>
        <w:lastRenderedPageBreak/>
        <w:t>涉及的是：行政處分違法性的原因不能歸屬因撤銷受損害之人的責任範圍，且其信賴值得保護。考量到補償請求權並非損害賠償請求權，受損害者僅得請求因信賴所生損害（</w:t>
      </w:r>
      <w:proofErr w:type="spellStart"/>
      <w:r>
        <w:rPr>
          <w:rFonts w:hint="eastAsia"/>
        </w:rPr>
        <w:t>Vertrauensschaden</w:t>
      </w:r>
      <w:proofErr w:type="spellEnd"/>
      <w:r>
        <w:rPr>
          <w:rFonts w:hint="eastAsia"/>
        </w:rPr>
        <w:t>），而不能請求填補所失利益，質言之，應該回復人民行政處分未作成時的狀態</w:t>
      </w:r>
      <w:r>
        <w:rPr>
          <w:rStyle w:val="a6"/>
        </w:rPr>
        <w:footnoteReference w:id="43"/>
      </w:r>
      <w:r>
        <w:rPr>
          <w:rFonts w:hint="eastAsia"/>
        </w:rPr>
        <w:t>。</w:t>
      </w:r>
    </w:p>
    <w:p w:rsidR="00683971" w:rsidRDefault="00683971" w:rsidP="00057028">
      <w:pPr>
        <w:overflowPunct w:val="0"/>
        <w:spacing w:line="360" w:lineRule="auto"/>
        <w:jc w:val="both"/>
      </w:pPr>
    </w:p>
    <w:p w:rsidR="00683971" w:rsidRDefault="006D0E61" w:rsidP="00057028">
      <w:pPr>
        <w:overflowPunct w:val="0"/>
        <w:spacing w:line="360" w:lineRule="auto"/>
        <w:jc w:val="both"/>
      </w:pPr>
      <w:r>
        <w:rPr>
          <w:rFonts w:hint="eastAsia"/>
        </w:rPr>
        <w:t xml:space="preserve">    </w:t>
      </w:r>
      <w:r>
        <w:rPr>
          <w:rFonts w:hint="eastAsia"/>
        </w:rPr>
        <w:t>與補償請求權適相反對的是</w:t>
      </w:r>
      <w:r>
        <w:rPr>
          <w:rFonts w:ascii="標楷體" w:eastAsia="標楷體" w:hAnsi="標楷體" w:hint="eastAsia"/>
          <w:b/>
        </w:rPr>
        <w:t>返還請求權</w:t>
      </w:r>
      <w:r>
        <w:rPr>
          <w:rFonts w:hint="eastAsia"/>
        </w:rPr>
        <w:t>（</w:t>
      </w:r>
      <w:proofErr w:type="spellStart"/>
      <w:r>
        <w:rPr>
          <w:rFonts w:hint="eastAsia"/>
        </w:rPr>
        <w:t>Erstattungsanspruch</w:t>
      </w:r>
      <w:proofErr w:type="spellEnd"/>
      <w:r>
        <w:rPr>
          <w:rFonts w:hint="eastAsia"/>
        </w:rPr>
        <w:t>）的問題。依舊</w:t>
      </w:r>
      <w:r>
        <w:rPr>
          <w:rFonts w:hint="eastAsia"/>
          <w:color w:val="000000"/>
        </w:rPr>
        <w:t>聯邦行政程序法第</w:t>
      </w:r>
      <w:r>
        <w:rPr>
          <w:rFonts w:hint="eastAsia"/>
          <w:color w:val="000000"/>
        </w:rPr>
        <w:t>48</w:t>
      </w:r>
      <w:r>
        <w:rPr>
          <w:rFonts w:hint="eastAsia"/>
          <w:color w:val="000000"/>
        </w:rPr>
        <w:t>條第</w:t>
      </w:r>
      <w:r>
        <w:rPr>
          <w:rFonts w:hint="eastAsia"/>
          <w:color w:val="000000"/>
        </w:rPr>
        <w:t>2</w:t>
      </w:r>
      <w:r>
        <w:rPr>
          <w:rFonts w:hint="eastAsia"/>
          <w:color w:val="000000"/>
        </w:rPr>
        <w:t>項第</w:t>
      </w:r>
      <w:r>
        <w:rPr>
          <w:rFonts w:hint="eastAsia"/>
          <w:color w:val="000000"/>
        </w:rPr>
        <w:t>5</w:t>
      </w:r>
      <w:r>
        <w:rPr>
          <w:rFonts w:hint="eastAsia"/>
          <w:color w:val="000000"/>
        </w:rPr>
        <w:t>句</w:t>
      </w:r>
      <w:r>
        <w:rPr>
          <w:rFonts w:hint="eastAsia"/>
        </w:rPr>
        <w:t>，</w:t>
      </w:r>
      <w:proofErr w:type="gramStart"/>
      <w:r>
        <w:rPr>
          <w:rFonts w:hint="eastAsia"/>
        </w:rPr>
        <w:t>基於已溯及既往失其</w:t>
      </w:r>
      <w:proofErr w:type="gramEnd"/>
      <w:r>
        <w:rPr>
          <w:rFonts w:hint="eastAsia"/>
        </w:rPr>
        <w:t>效力的行政處分受有給付者，應返還其所得利益。返還範圍的決定，應類推適用民法典第</w:t>
      </w:r>
      <w:r>
        <w:rPr>
          <w:rFonts w:hint="eastAsia"/>
        </w:rPr>
        <w:t>812</w:t>
      </w:r>
      <w:r>
        <w:rPr>
          <w:rFonts w:hint="eastAsia"/>
        </w:rPr>
        <w:t>條以下關於返還不當得利的規定。行政機關應於撤銷行政處分時同時確定應返還的金額（舊</w:t>
      </w:r>
      <w:r>
        <w:rPr>
          <w:rFonts w:hint="eastAsia"/>
          <w:color w:val="000000"/>
        </w:rPr>
        <w:t>聯邦行政程序法第</w:t>
      </w:r>
      <w:r>
        <w:rPr>
          <w:rFonts w:hint="eastAsia"/>
          <w:color w:val="000000"/>
        </w:rPr>
        <w:t>48</w:t>
      </w:r>
      <w:r>
        <w:rPr>
          <w:rFonts w:hint="eastAsia"/>
          <w:color w:val="000000"/>
        </w:rPr>
        <w:t>條第</w:t>
      </w:r>
      <w:r>
        <w:rPr>
          <w:rFonts w:hint="eastAsia"/>
          <w:color w:val="000000"/>
        </w:rPr>
        <w:t>2</w:t>
      </w:r>
      <w:r>
        <w:rPr>
          <w:rFonts w:hint="eastAsia"/>
          <w:color w:val="000000"/>
        </w:rPr>
        <w:t>項第</w:t>
      </w:r>
      <w:r>
        <w:rPr>
          <w:rFonts w:hint="eastAsia"/>
          <w:color w:val="000000"/>
        </w:rPr>
        <w:t>8</w:t>
      </w:r>
      <w:r>
        <w:rPr>
          <w:rFonts w:hint="eastAsia"/>
          <w:color w:val="000000"/>
        </w:rPr>
        <w:t>句</w:t>
      </w:r>
      <w:r>
        <w:rPr>
          <w:rFonts w:hint="eastAsia"/>
        </w:rPr>
        <w:t>）。此一規定的目的在於，同時、一次處理所有法律效果；其亦同時</w:t>
      </w:r>
      <w:proofErr w:type="gramStart"/>
      <w:r>
        <w:rPr>
          <w:rFonts w:hint="eastAsia"/>
        </w:rPr>
        <w:t>釐</w:t>
      </w:r>
      <w:proofErr w:type="gramEnd"/>
      <w:r>
        <w:rPr>
          <w:rFonts w:hint="eastAsia"/>
        </w:rPr>
        <w:t>清，行政機關無須以給付訴訟的形式主張其返還請求權</w:t>
      </w:r>
      <w:r>
        <w:rPr>
          <w:rStyle w:val="a6"/>
        </w:rPr>
        <w:footnoteReference w:id="44"/>
      </w:r>
      <w:r>
        <w:rPr>
          <w:rFonts w:hint="eastAsia"/>
        </w:rPr>
        <w:t>。</w:t>
      </w:r>
      <w:r>
        <w:rPr>
          <w:rFonts w:hint="eastAsia"/>
        </w:rPr>
        <w:t>1996</w:t>
      </w:r>
      <w:r>
        <w:rPr>
          <w:rFonts w:hint="eastAsia"/>
        </w:rPr>
        <w:t>年</w:t>
      </w:r>
      <w:r>
        <w:rPr>
          <w:rFonts w:hint="eastAsia"/>
        </w:rPr>
        <w:t>5</w:t>
      </w:r>
      <w:r>
        <w:rPr>
          <w:rFonts w:hint="eastAsia"/>
        </w:rPr>
        <w:t>月</w:t>
      </w:r>
      <w:r>
        <w:rPr>
          <w:rFonts w:hint="eastAsia"/>
        </w:rPr>
        <w:t>2</w:t>
      </w:r>
      <w:r>
        <w:rPr>
          <w:rFonts w:hint="eastAsia"/>
        </w:rPr>
        <w:t>日增列的德國聯邦行政程序法第</w:t>
      </w:r>
      <w:r>
        <w:rPr>
          <w:rFonts w:hint="eastAsia"/>
        </w:rPr>
        <w:t>49a</w:t>
      </w:r>
      <w:r>
        <w:rPr>
          <w:rFonts w:hint="eastAsia"/>
        </w:rPr>
        <w:t>條取代、同時廢止了舊</w:t>
      </w:r>
      <w:r>
        <w:rPr>
          <w:rFonts w:hint="eastAsia"/>
          <w:color w:val="000000"/>
        </w:rPr>
        <w:t>聯邦行政程序法第</w:t>
      </w:r>
      <w:r>
        <w:rPr>
          <w:rFonts w:hint="eastAsia"/>
          <w:color w:val="000000"/>
        </w:rPr>
        <w:t>48</w:t>
      </w:r>
      <w:r>
        <w:rPr>
          <w:rFonts w:hint="eastAsia"/>
          <w:color w:val="000000"/>
        </w:rPr>
        <w:t>條第</w:t>
      </w:r>
      <w:r>
        <w:rPr>
          <w:rFonts w:hint="eastAsia"/>
          <w:color w:val="000000"/>
        </w:rPr>
        <w:t>2</w:t>
      </w:r>
      <w:r>
        <w:rPr>
          <w:rFonts w:hint="eastAsia"/>
          <w:color w:val="000000"/>
        </w:rPr>
        <w:t>項第</w:t>
      </w:r>
      <w:r>
        <w:rPr>
          <w:rFonts w:hint="eastAsia"/>
          <w:color w:val="000000"/>
        </w:rPr>
        <w:t>5</w:t>
      </w:r>
      <w:r>
        <w:rPr>
          <w:rFonts w:hint="eastAsia"/>
          <w:color w:val="000000"/>
        </w:rPr>
        <w:t>句至第</w:t>
      </w:r>
      <w:r>
        <w:rPr>
          <w:rFonts w:hint="eastAsia"/>
          <w:color w:val="000000"/>
        </w:rPr>
        <w:t>8</w:t>
      </w:r>
      <w:r>
        <w:rPr>
          <w:rFonts w:hint="eastAsia"/>
          <w:color w:val="000000"/>
        </w:rPr>
        <w:t>句的規定</w:t>
      </w:r>
      <w:r>
        <w:rPr>
          <w:rStyle w:val="a6"/>
          <w:color w:val="000000"/>
        </w:rPr>
        <w:footnoteReference w:id="45"/>
      </w:r>
      <w:r>
        <w:rPr>
          <w:rFonts w:hint="eastAsia"/>
          <w:color w:val="000000"/>
        </w:rPr>
        <w:t>。</w:t>
      </w:r>
      <w:r>
        <w:rPr>
          <w:rFonts w:hint="eastAsia"/>
        </w:rPr>
        <w:t>聯邦行政程序法第</w:t>
      </w:r>
      <w:r>
        <w:rPr>
          <w:rFonts w:hint="eastAsia"/>
        </w:rPr>
        <w:t>49a</w:t>
      </w:r>
      <w:r>
        <w:rPr>
          <w:rFonts w:hint="eastAsia"/>
        </w:rPr>
        <w:t>條第</w:t>
      </w:r>
      <w:r>
        <w:rPr>
          <w:rFonts w:hint="eastAsia"/>
        </w:rPr>
        <w:t>3</w:t>
      </w:r>
      <w:r>
        <w:rPr>
          <w:rFonts w:hint="eastAsia"/>
        </w:rPr>
        <w:t>項、第</w:t>
      </w:r>
      <w:r>
        <w:rPr>
          <w:rFonts w:hint="eastAsia"/>
        </w:rPr>
        <w:t>4</w:t>
      </w:r>
      <w:r>
        <w:rPr>
          <w:rFonts w:hint="eastAsia"/>
        </w:rPr>
        <w:t>項參酌舊聯邦預算法所作的利息規定，於此應可略而不論。其第</w:t>
      </w:r>
      <w:r>
        <w:rPr>
          <w:rFonts w:hint="eastAsia"/>
        </w:rPr>
        <w:t>1</w:t>
      </w:r>
      <w:r>
        <w:rPr>
          <w:rFonts w:hint="eastAsia"/>
        </w:rPr>
        <w:t>項、第</w:t>
      </w:r>
      <w:r>
        <w:rPr>
          <w:rFonts w:hint="eastAsia"/>
        </w:rPr>
        <w:t>2</w:t>
      </w:r>
      <w:r>
        <w:rPr>
          <w:rFonts w:hint="eastAsia"/>
        </w:rPr>
        <w:t>項則分別規定：「行政處分經撤銷、廢止或解除條件</w:t>
      </w:r>
      <w:proofErr w:type="gramStart"/>
      <w:r>
        <w:rPr>
          <w:rFonts w:hint="eastAsia"/>
        </w:rPr>
        <w:t>成就而溯及既往失其</w:t>
      </w:r>
      <w:proofErr w:type="gramEnd"/>
      <w:r>
        <w:rPr>
          <w:rFonts w:hint="eastAsia"/>
        </w:rPr>
        <w:t>效力者，受益人應返還因該處分所受領之給付。應返還之給付，應以書面行政處分確定之」；「前項返還之範圍，除關於利息之規定外，應</w:t>
      </w:r>
      <w:proofErr w:type="gramStart"/>
      <w:r>
        <w:rPr>
          <w:rFonts w:hint="eastAsia"/>
        </w:rPr>
        <w:t>準</w:t>
      </w:r>
      <w:proofErr w:type="gramEnd"/>
      <w:r>
        <w:rPr>
          <w:rFonts w:hint="eastAsia"/>
        </w:rPr>
        <w:t>用民法典有關不當得利之規定。受益人明知或因重大過失不知導致行政處分被撤銷、廢止或失其效力之情事者，</w:t>
      </w:r>
      <w:proofErr w:type="gramStart"/>
      <w:r>
        <w:rPr>
          <w:rFonts w:hint="eastAsia"/>
        </w:rPr>
        <w:t>不</w:t>
      </w:r>
      <w:proofErr w:type="gramEnd"/>
      <w:r>
        <w:rPr>
          <w:rFonts w:hint="eastAsia"/>
        </w:rPr>
        <w:t>得主張其利益已不存在」。</w:t>
      </w:r>
    </w:p>
    <w:p w:rsidR="006D0E61" w:rsidRDefault="006D0E61" w:rsidP="00057028">
      <w:pPr>
        <w:jc w:val="both"/>
      </w:pPr>
      <w:bookmarkStart w:id="0" w:name="_GoBack"/>
      <w:bookmarkEnd w:id="0"/>
    </w:p>
    <w:sectPr w:rsidR="006D0E61">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E6E" w:rsidRDefault="00B23E6E">
      <w:r>
        <w:separator/>
      </w:r>
    </w:p>
  </w:endnote>
  <w:endnote w:type="continuationSeparator" w:id="0">
    <w:p w:rsidR="00B23E6E" w:rsidRDefault="00B2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71" w:rsidRDefault="006D0E61">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683971" w:rsidRDefault="0068397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71" w:rsidRDefault="006D0E61">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057028">
      <w:rPr>
        <w:rStyle w:val="a4"/>
        <w:noProof/>
      </w:rPr>
      <w:t>15</w:t>
    </w:r>
    <w:r>
      <w:rPr>
        <w:rStyle w:val="a4"/>
      </w:rPr>
      <w:fldChar w:fldCharType="end"/>
    </w:r>
  </w:p>
  <w:p w:rsidR="00683971" w:rsidRDefault="0068397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E6E" w:rsidRDefault="00B23E6E">
      <w:r>
        <w:separator/>
      </w:r>
    </w:p>
  </w:footnote>
  <w:footnote w:type="continuationSeparator" w:id="0">
    <w:p w:rsidR="00B23E6E" w:rsidRDefault="00B23E6E">
      <w:r>
        <w:continuationSeparator/>
      </w:r>
    </w:p>
  </w:footnote>
  <w:footnote w:id="1">
    <w:p w:rsidR="00683971" w:rsidRDefault="006D0E61">
      <w:pPr>
        <w:pStyle w:val="a5"/>
      </w:pPr>
      <w:r>
        <w:rPr>
          <w:rStyle w:val="a6"/>
        </w:rPr>
        <w:footnoteRef/>
      </w:r>
      <w:r>
        <w:t xml:space="preserve"> </w:t>
      </w:r>
      <w:r>
        <w:rPr>
          <w:rFonts w:hint="eastAsia"/>
        </w:rPr>
        <w:t xml:space="preserve">H. Maurer, </w:t>
      </w:r>
      <w:proofErr w:type="spellStart"/>
      <w:r>
        <w:rPr>
          <w:rFonts w:hint="eastAsia"/>
        </w:rPr>
        <w:t>a.a.O</w:t>
      </w:r>
      <w:proofErr w:type="spellEnd"/>
      <w:proofErr w:type="gramStart"/>
      <w:r>
        <w:rPr>
          <w:rFonts w:hint="eastAsia"/>
        </w:rPr>
        <w:t>.(</w:t>
      </w:r>
      <w:proofErr w:type="gramEnd"/>
      <w:r>
        <w:rPr>
          <w:rFonts w:hint="eastAsia"/>
        </w:rPr>
        <w:t>Fn. 17), Rn. 66.</w:t>
      </w:r>
    </w:p>
  </w:footnote>
  <w:footnote w:id="2">
    <w:p w:rsidR="00683971" w:rsidRDefault="006D0E61">
      <w:pPr>
        <w:pStyle w:val="a5"/>
      </w:pPr>
      <w:r>
        <w:rPr>
          <w:rStyle w:val="a6"/>
        </w:rPr>
        <w:footnoteRef/>
      </w:r>
      <w:r>
        <w:t xml:space="preserve"> </w:t>
      </w:r>
      <w:r>
        <w:rPr>
          <w:rFonts w:hint="eastAsia"/>
        </w:rPr>
        <w:t xml:space="preserve">H. Maurer, </w:t>
      </w:r>
      <w:proofErr w:type="spellStart"/>
      <w:r>
        <w:rPr>
          <w:rFonts w:hint="eastAsia"/>
        </w:rPr>
        <w:t>a.a.O</w:t>
      </w:r>
      <w:proofErr w:type="spellEnd"/>
      <w:proofErr w:type="gramStart"/>
      <w:r>
        <w:rPr>
          <w:rFonts w:hint="eastAsia"/>
        </w:rPr>
        <w:t>.(</w:t>
      </w:r>
      <w:proofErr w:type="gramEnd"/>
      <w:r>
        <w:rPr>
          <w:rFonts w:hint="eastAsia"/>
        </w:rPr>
        <w:t xml:space="preserve">Fn. 17), Rn. 67, 76; Martin </w:t>
      </w:r>
      <w:proofErr w:type="spellStart"/>
      <w:r>
        <w:rPr>
          <w:rFonts w:hint="eastAsia"/>
        </w:rPr>
        <w:t>Bullinger</w:t>
      </w:r>
      <w:proofErr w:type="spellEnd"/>
      <w:r>
        <w:rPr>
          <w:rFonts w:hint="eastAsia"/>
        </w:rPr>
        <w:t xml:space="preserve">, </w:t>
      </w:r>
      <w:proofErr w:type="spellStart"/>
      <w:r>
        <w:rPr>
          <w:rFonts w:hint="eastAsia"/>
        </w:rPr>
        <w:t>Vertrauensschutz</w:t>
      </w:r>
      <w:proofErr w:type="spellEnd"/>
      <w:r>
        <w:rPr>
          <w:rFonts w:hint="eastAsia"/>
        </w:rPr>
        <w:t xml:space="preserve"> </w:t>
      </w:r>
      <w:proofErr w:type="spellStart"/>
      <w:r>
        <w:rPr>
          <w:rFonts w:hint="eastAsia"/>
        </w:rPr>
        <w:t>im</w:t>
      </w:r>
      <w:proofErr w:type="spellEnd"/>
      <w:r>
        <w:rPr>
          <w:rFonts w:hint="eastAsia"/>
        </w:rPr>
        <w:t xml:space="preserve"> </w:t>
      </w:r>
      <w:proofErr w:type="spellStart"/>
      <w:r>
        <w:rPr>
          <w:rFonts w:hint="eastAsia"/>
        </w:rPr>
        <w:t>deutschen</w:t>
      </w:r>
      <w:proofErr w:type="spellEnd"/>
      <w:r>
        <w:rPr>
          <w:rFonts w:hint="eastAsia"/>
        </w:rPr>
        <w:t xml:space="preserve"> </w:t>
      </w:r>
      <w:proofErr w:type="spellStart"/>
      <w:r>
        <w:rPr>
          <w:rFonts w:hint="eastAsia"/>
        </w:rPr>
        <w:t>Verwaltungsrecht</w:t>
      </w:r>
      <w:proofErr w:type="spellEnd"/>
      <w:r>
        <w:rPr>
          <w:rFonts w:hint="eastAsia"/>
        </w:rPr>
        <w:t xml:space="preserve"> in </w:t>
      </w:r>
      <w:proofErr w:type="spellStart"/>
      <w:r>
        <w:rPr>
          <w:rFonts w:hint="eastAsia"/>
        </w:rPr>
        <w:t>historisch-kritischer</w:t>
      </w:r>
      <w:proofErr w:type="spellEnd"/>
      <w:r>
        <w:rPr>
          <w:rFonts w:hint="eastAsia"/>
        </w:rPr>
        <w:t xml:space="preserve"> </w:t>
      </w:r>
      <w:proofErr w:type="spellStart"/>
      <w:r>
        <w:rPr>
          <w:rFonts w:hint="eastAsia"/>
        </w:rPr>
        <w:t>Sicht</w:t>
      </w:r>
      <w:proofErr w:type="spellEnd"/>
      <w:r>
        <w:rPr>
          <w:rFonts w:hint="eastAsia"/>
        </w:rPr>
        <w:t>, JZ 1999, S. 905.</w:t>
      </w:r>
    </w:p>
  </w:footnote>
  <w:footnote w:id="3">
    <w:p w:rsidR="00683971" w:rsidRDefault="006D0E61">
      <w:pPr>
        <w:pStyle w:val="a5"/>
      </w:pPr>
      <w:r>
        <w:rPr>
          <w:rStyle w:val="a6"/>
        </w:rPr>
        <w:footnoteRef/>
      </w:r>
      <w:r>
        <w:t xml:space="preserve"> </w:t>
      </w:r>
      <w:r>
        <w:rPr>
          <w:rFonts w:hint="eastAsia"/>
        </w:rPr>
        <w:t xml:space="preserve">Hans-Uwe </w:t>
      </w:r>
      <w:proofErr w:type="spellStart"/>
      <w:r>
        <w:rPr>
          <w:rFonts w:hint="eastAsia"/>
        </w:rPr>
        <w:t>Erichsen</w:t>
      </w:r>
      <w:proofErr w:type="spellEnd"/>
      <w:r>
        <w:rPr>
          <w:rFonts w:hint="eastAsia"/>
        </w:rPr>
        <w:t xml:space="preserve">, in: </w:t>
      </w:r>
      <w:proofErr w:type="spellStart"/>
      <w:r>
        <w:rPr>
          <w:rFonts w:hint="eastAsia"/>
        </w:rPr>
        <w:t>Erichsen</w:t>
      </w:r>
      <w:proofErr w:type="spellEnd"/>
      <w:r>
        <w:rPr>
          <w:rFonts w:hint="eastAsia"/>
        </w:rPr>
        <w:t xml:space="preserve"> / Ehlers, </w:t>
      </w:r>
      <w:proofErr w:type="spellStart"/>
      <w:r>
        <w:rPr>
          <w:rFonts w:hint="eastAsia"/>
        </w:rPr>
        <w:t>Allgemeines</w:t>
      </w:r>
      <w:proofErr w:type="spellEnd"/>
      <w:r>
        <w:rPr>
          <w:rFonts w:hint="eastAsia"/>
        </w:rPr>
        <w:t xml:space="preserve"> </w:t>
      </w:r>
      <w:proofErr w:type="spellStart"/>
      <w:r>
        <w:rPr>
          <w:rFonts w:hint="eastAsia"/>
        </w:rPr>
        <w:t>Verwaltungsrecht</w:t>
      </w:r>
      <w:proofErr w:type="spellEnd"/>
      <w:r>
        <w:rPr>
          <w:rFonts w:hint="eastAsia"/>
        </w:rPr>
        <w:t xml:space="preserve">, 12. </w:t>
      </w:r>
      <w:proofErr w:type="spellStart"/>
      <w:proofErr w:type="gramStart"/>
      <w:r>
        <w:rPr>
          <w:rFonts w:hint="eastAsia"/>
        </w:rPr>
        <w:t>Aufl</w:t>
      </w:r>
      <w:proofErr w:type="spellEnd"/>
      <w:r>
        <w:rPr>
          <w:rFonts w:hint="eastAsia"/>
        </w:rPr>
        <w:t>.,</w:t>
      </w:r>
      <w:proofErr w:type="gramEnd"/>
      <w:r>
        <w:rPr>
          <w:rFonts w:hint="eastAsia"/>
        </w:rPr>
        <w:t xml:space="preserve"> 2002, </w:t>
      </w:r>
      <w:r>
        <w:t>§</w:t>
      </w:r>
      <w:r>
        <w:rPr>
          <w:rFonts w:hint="eastAsia"/>
        </w:rPr>
        <w:t xml:space="preserve"> 17 Rn. 2-3. </w:t>
      </w:r>
      <w:r>
        <w:rPr>
          <w:rFonts w:hint="eastAsia"/>
        </w:rPr>
        <w:t>中文文獻：陳敏，</w:t>
      </w:r>
      <w:proofErr w:type="gramStart"/>
      <w:r>
        <w:rPr>
          <w:rFonts w:hint="eastAsia"/>
        </w:rPr>
        <w:t>前揭書</w:t>
      </w:r>
      <w:proofErr w:type="gramEnd"/>
      <w:r>
        <w:rPr>
          <w:rFonts w:hint="eastAsia"/>
        </w:rPr>
        <w:t>（見</w:t>
      </w:r>
      <w:proofErr w:type="gramStart"/>
      <w:r>
        <w:rPr>
          <w:rFonts w:hint="eastAsia"/>
        </w:rPr>
        <w:t>註</w:t>
      </w:r>
      <w:proofErr w:type="gramEnd"/>
      <w:r>
        <w:rPr>
          <w:rFonts w:hint="eastAsia"/>
        </w:rPr>
        <w:t>34</w:t>
      </w:r>
      <w:r>
        <w:rPr>
          <w:rFonts w:hint="eastAsia"/>
        </w:rPr>
        <w:t>），頁</w:t>
      </w:r>
      <w:r>
        <w:rPr>
          <w:rFonts w:hint="eastAsia"/>
        </w:rPr>
        <w:t>457</w:t>
      </w:r>
      <w:r>
        <w:rPr>
          <w:rFonts w:hint="eastAsia"/>
        </w:rPr>
        <w:t>。</w:t>
      </w:r>
    </w:p>
  </w:footnote>
  <w:footnote w:id="4">
    <w:p w:rsidR="00683971" w:rsidRDefault="006D0E61">
      <w:pPr>
        <w:pStyle w:val="a5"/>
        <w:rPr>
          <w:lang w:val="de-DE"/>
        </w:rPr>
      </w:pPr>
      <w:r>
        <w:rPr>
          <w:rStyle w:val="a6"/>
        </w:rPr>
        <w:footnoteRef/>
      </w:r>
      <w:r>
        <w:t xml:space="preserve"> </w:t>
      </w:r>
      <w:r>
        <w:rPr>
          <w:rFonts w:hint="eastAsia"/>
        </w:rPr>
        <w:t xml:space="preserve">Hans J. Wolff / Otto </w:t>
      </w:r>
      <w:proofErr w:type="spellStart"/>
      <w:r>
        <w:rPr>
          <w:rFonts w:hint="eastAsia"/>
        </w:rPr>
        <w:t>Bachof</w:t>
      </w:r>
      <w:proofErr w:type="spellEnd"/>
      <w:r>
        <w:rPr>
          <w:rFonts w:hint="eastAsia"/>
        </w:rPr>
        <w:t xml:space="preserve"> / Rolf </w:t>
      </w:r>
      <w:proofErr w:type="spellStart"/>
      <w:r>
        <w:rPr>
          <w:rFonts w:hint="eastAsia"/>
        </w:rPr>
        <w:t>Stober</w:t>
      </w:r>
      <w:proofErr w:type="spellEnd"/>
      <w:r>
        <w:rPr>
          <w:rFonts w:hint="eastAsia"/>
        </w:rPr>
        <w:t xml:space="preserve">, </w:t>
      </w:r>
      <w:proofErr w:type="spellStart"/>
      <w:r>
        <w:rPr>
          <w:rFonts w:hint="eastAsia"/>
        </w:rPr>
        <w:t>Verwaltungsrecht</w:t>
      </w:r>
      <w:proofErr w:type="spellEnd"/>
      <w:r>
        <w:rPr>
          <w:rFonts w:hint="eastAsia"/>
        </w:rPr>
        <w:t xml:space="preserve"> I, 10. </w:t>
      </w:r>
      <w:r>
        <w:rPr>
          <w:rFonts w:hint="eastAsia"/>
          <w:lang w:val="de-DE"/>
        </w:rPr>
        <w:t>Aufl., 1994, S. 725- 727; M. Bullinger, a.a.O.(Fn.104), JZ 1999, S. 906.</w:t>
      </w:r>
    </w:p>
  </w:footnote>
  <w:footnote w:id="5">
    <w:p w:rsidR="00683971" w:rsidRDefault="006D0E61">
      <w:pPr>
        <w:pStyle w:val="a5"/>
        <w:rPr>
          <w:lang w:val="de-DE"/>
        </w:rPr>
      </w:pPr>
      <w:r>
        <w:rPr>
          <w:rStyle w:val="a6"/>
        </w:rPr>
        <w:footnoteRef/>
      </w:r>
      <w:r>
        <w:rPr>
          <w:lang w:val="de-DE"/>
        </w:rPr>
        <w:t xml:space="preserve"> </w:t>
      </w:r>
      <w:r>
        <w:rPr>
          <w:rFonts w:hint="eastAsia"/>
          <w:lang w:val="de-DE"/>
        </w:rPr>
        <w:t xml:space="preserve">Wolff </w:t>
      </w:r>
      <w:r>
        <w:rPr>
          <w:rFonts w:hint="eastAsia"/>
          <w:lang w:val="de-DE"/>
        </w:rPr>
        <w:t>/ Bachof / Stober, a.a.O.(Fn. 106), S. 727.</w:t>
      </w:r>
    </w:p>
  </w:footnote>
  <w:footnote w:id="6">
    <w:p w:rsidR="00683971" w:rsidRDefault="006D0E61">
      <w:pPr>
        <w:pStyle w:val="a5"/>
        <w:rPr>
          <w:lang w:val="de-DE"/>
        </w:rPr>
      </w:pPr>
      <w:r>
        <w:rPr>
          <w:rStyle w:val="a6"/>
        </w:rPr>
        <w:footnoteRef/>
      </w:r>
      <w:r>
        <w:rPr>
          <w:lang w:val="de-DE"/>
        </w:rPr>
        <w:t xml:space="preserve"> </w:t>
      </w:r>
      <w:r>
        <w:rPr>
          <w:rFonts w:hint="eastAsia"/>
          <w:lang w:val="de-DE"/>
        </w:rPr>
        <w:t xml:space="preserve">Wolff </w:t>
      </w:r>
      <w:r>
        <w:rPr>
          <w:rFonts w:hint="eastAsia"/>
          <w:lang w:val="de-DE"/>
        </w:rPr>
        <w:t>/ Bachof / Stober, a.a.O.(Fn. 106), S. 728.</w:t>
      </w:r>
    </w:p>
  </w:footnote>
  <w:footnote w:id="7">
    <w:p w:rsidR="00683971" w:rsidRDefault="006D0E61">
      <w:pPr>
        <w:pStyle w:val="a5"/>
        <w:rPr>
          <w:lang w:val="de-DE"/>
        </w:rPr>
      </w:pPr>
      <w:r>
        <w:rPr>
          <w:rStyle w:val="a6"/>
        </w:rPr>
        <w:footnoteRef/>
      </w:r>
      <w:r>
        <w:rPr>
          <w:lang w:val="de-DE"/>
        </w:rPr>
        <w:t xml:space="preserve"> </w:t>
      </w:r>
      <w:r>
        <w:rPr>
          <w:rFonts w:hint="eastAsia"/>
          <w:lang w:val="de-DE"/>
        </w:rPr>
        <w:t xml:space="preserve">Wolff </w:t>
      </w:r>
      <w:r>
        <w:rPr>
          <w:rFonts w:hint="eastAsia"/>
          <w:lang w:val="de-DE"/>
        </w:rPr>
        <w:t>/ Bachof / Stober, a.a.O.(Fn. 106), S. 731.</w:t>
      </w:r>
    </w:p>
  </w:footnote>
  <w:footnote w:id="8">
    <w:p w:rsidR="00683971" w:rsidRDefault="006D0E61">
      <w:pPr>
        <w:pStyle w:val="a5"/>
      </w:pPr>
      <w:r>
        <w:rPr>
          <w:rStyle w:val="a6"/>
        </w:rPr>
        <w:footnoteRef/>
      </w:r>
      <w:r>
        <w:rPr>
          <w:lang w:val="de-DE"/>
        </w:rPr>
        <w:t xml:space="preserve"> </w:t>
      </w:r>
      <w:r>
        <w:rPr>
          <w:rFonts w:hint="eastAsia"/>
          <w:lang w:val="de-DE"/>
        </w:rPr>
        <w:t>Wolff / Bachof / Stober, a.a.O.(Fn. 106), S. 731-732; H.-U. Erichsen / Dirk Ludwig Br</w:t>
      </w:r>
      <w:r>
        <w:rPr>
          <w:lang w:val="de-DE"/>
        </w:rPr>
        <w:t>ü</w:t>
      </w:r>
      <w:r>
        <w:rPr>
          <w:rFonts w:hint="eastAsia"/>
          <w:lang w:val="de-DE"/>
        </w:rPr>
        <w:t>gge, Die R</w:t>
      </w:r>
      <w:r>
        <w:rPr>
          <w:lang w:val="de-DE"/>
        </w:rPr>
        <w:t>ü</w:t>
      </w:r>
      <w:r>
        <w:rPr>
          <w:rFonts w:hint="eastAsia"/>
          <w:lang w:val="de-DE"/>
        </w:rPr>
        <w:t xml:space="preserve">cknahme von Verwaltungsakt nach </w:t>
      </w:r>
      <w:r>
        <w:rPr>
          <w:lang w:val="de-DE"/>
        </w:rPr>
        <w:t>§</w:t>
      </w:r>
      <w:r>
        <w:rPr>
          <w:rFonts w:hint="eastAsia"/>
          <w:lang w:val="de-DE"/>
        </w:rPr>
        <w:t xml:space="preserve"> 48 VwVfG, Jura 1999, S. 157; </w:t>
      </w:r>
      <w:r>
        <w:rPr>
          <w:rFonts w:hint="eastAsia"/>
          <w:color w:val="000000"/>
          <w:lang w:val="de-DE"/>
        </w:rPr>
        <w:t xml:space="preserve">Steffen Detterbeck, Allgemeines Verwaltungsrecht, 3. </w:t>
      </w:r>
      <w:proofErr w:type="spellStart"/>
      <w:r>
        <w:rPr>
          <w:rFonts w:hint="eastAsia"/>
          <w:color w:val="000000"/>
        </w:rPr>
        <w:t>Aufl</w:t>
      </w:r>
      <w:proofErr w:type="spellEnd"/>
      <w:r>
        <w:rPr>
          <w:rFonts w:hint="eastAsia"/>
          <w:color w:val="000000"/>
        </w:rPr>
        <w:t xml:space="preserve">., 2005, </w:t>
      </w:r>
      <w:r>
        <w:rPr>
          <w:color w:val="000000"/>
        </w:rPr>
        <w:t>§</w:t>
      </w:r>
      <w:r>
        <w:rPr>
          <w:rFonts w:hint="eastAsia"/>
          <w:color w:val="000000"/>
        </w:rPr>
        <w:t xml:space="preserve"> 10 Rn. 680-682. </w:t>
      </w:r>
      <w:r>
        <w:rPr>
          <w:rFonts w:hint="eastAsia"/>
          <w:color w:val="000000"/>
        </w:rPr>
        <w:t>中文文獻：林三欽，</w:t>
      </w:r>
      <w:r>
        <w:rPr>
          <w:color w:val="000000"/>
        </w:rPr>
        <w:t>&lt;</w:t>
      </w:r>
      <w:proofErr w:type="gramStart"/>
      <w:r>
        <w:rPr>
          <w:rFonts w:hint="eastAsia"/>
          <w:color w:val="000000"/>
        </w:rPr>
        <w:t>論授益</w:t>
      </w:r>
      <w:proofErr w:type="gramEnd"/>
      <w:r>
        <w:rPr>
          <w:rFonts w:hint="eastAsia"/>
          <w:color w:val="000000"/>
        </w:rPr>
        <w:t>行政處分之撤銷</w:t>
      </w:r>
      <w:proofErr w:type="gramStart"/>
      <w:r>
        <w:rPr>
          <w:rFonts w:ascii="新細明體" w:hAnsi="新細明體" w:hint="eastAsia"/>
          <w:color w:val="000000"/>
        </w:rPr>
        <w:t>―</w:t>
      </w:r>
      <w:proofErr w:type="gramEnd"/>
      <w:r>
        <w:rPr>
          <w:rFonts w:hint="eastAsia"/>
          <w:color w:val="000000"/>
        </w:rPr>
        <w:t>思考層次與考量因素的探索</w:t>
      </w:r>
      <w:r>
        <w:rPr>
          <w:color w:val="000000"/>
        </w:rPr>
        <w:t>&gt;</w:t>
      </w:r>
      <w:r>
        <w:rPr>
          <w:rFonts w:hint="eastAsia"/>
          <w:color w:val="000000"/>
        </w:rPr>
        <w:t>，</w:t>
      </w:r>
      <w:r>
        <w:rPr>
          <w:color w:val="000000"/>
        </w:rPr>
        <w:t>«</w:t>
      </w:r>
      <w:r>
        <w:rPr>
          <w:rFonts w:hint="eastAsia"/>
          <w:color w:val="000000"/>
        </w:rPr>
        <w:t>台灣本土法學第</w:t>
      </w:r>
      <w:r>
        <w:rPr>
          <w:rFonts w:hint="eastAsia"/>
          <w:color w:val="000000"/>
        </w:rPr>
        <w:t>28</w:t>
      </w:r>
      <w:r>
        <w:rPr>
          <w:rFonts w:hint="eastAsia"/>
          <w:color w:val="000000"/>
        </w:rPr>
        <w:t>期</w:t>
      </w:r>
      <w:r>
        <w:rPr>
          <w:color w:val="000000"/>
        </w:rPr>
        <w:t>»</w:t>
      </w:r>
      <w:r>
        <w:rPr>
          <w:rFonts w:hint="eastAsia"/>
          <w:color w:val="000000"/>
        </w:rPr>
        <w:t>，</w:t>
      </w:r>
      <w:r>
        <w:rPr>
          <w:rFonts w:hint="eastAsia"/>
          <w:color w:val="000000"/>
        </w:rPr>
        <w:t>2001/11</w:t>
      </w:r>
      <w:r>
        <w:rPr>
          <w:rFonts w:hint="eastAsia"/>
          <w:color w:val="000000"/>
        </w:rPr>
        <w:t>，頁</w:t>
      </w:r>
      <w:r>
        <w:rPr>
          <w:rFonts w:hint="eastAsia"/>
          <w:color w:val="000000"/>
        </w:rPr>
        <w:t>18</w:t>
      </w:r>
      <w:r>
        <w:rPr>
          <w:rFonts w:hint="eastAsia"/>
          <w:color w:val="000000"/>
        </w:rPr>
        <w:t>。</w:t>
      </w:r>
    </w:p>
  </w:footnote>
  <w:footnote w:id="9">
    <w:p w:rsidR="00683971" w:rsidRDefault="006D0E61">
      <w:pPr>
        <w:pStyle w:val="a5"/>
        <w:rPr>
          <w:color w:val="000000"/>
          <w:lang w:val="de-DE"/>
        </w:rPr>
      </w:pPr>
      <w:r>
        <w:rPr>
          <w:rStyle w:val="a6"/>
        </w:rPr>
        <w:footnoteRef/>
      </w:r>
      <w:r>
        <w:rPr>
          <w:lang w:val="de-DE"/>
        </w:rPr>
        <w:t xml:space="preserve"> </w:t>
      </w:r>
      <w:r>
        <w:rPr>
          <w:rFonts w:hint="eastAsia"/>
          <w:lang w:val="de-DE"/>
        </w:rPr>
        <w:t>Wolff / Bachof / Stober, a.a.O.(Fn. 106), S. 732; H.-U. Erichsen / D. L. Br</w:t>
      </w:r>
      <w:r>
        <w:rPr>
          <w:lang w:val="de-DE"/>
        </w:rPr>
        <w:t>ü</w:t>
      </w:r>
      <w:r>
        <w:rPr>
          <w:rFonts w:hint="eastAsia"/>
          <w:lang w:val="de-DE"/>
        </w:rPr>
        <w:t>gge,a.a.O.(Fn. 110), Jura 1999, S. 156-157; H.-U.</w:t>
      </w:r>
      <w:r>
        <w:rPr>
          <w:rFonts w:hint="eastAsia"/>
          <w:color w:val="000000"/>
          <w:lang w:val="de-DE"/>
        </w:rPr>
        <w:t xml:space="preserve"> Erichsen, a.a.O.(Fn. 110), </w:t>
      </w:r>
      <w:r>
        <w:rPr>
          <w:color w:val="000000"/>
          <w:lang w:val="de-DE"/>
        </w:rPr>
        <w:t>§</w:t>
      </w:r>
      <w:r>
        <w:rPr>
          <w:rFonts w:hint="eastAsia"/>
          <w:color w:val="000000"/>
          <w:lang w:val="de-DE"/>
        </w:rPr>
        <w:t xml:space="preserve"> 17 Rn. 9.</w:t>
      </w:r>
    </w:p>
  </w:footnote>
  <w:footnote w:id="10">
    <w:p w:rsidR="00683971" w:rsidRDefault="006D0E61">
      <w:pPr>
        <w:pStyle w:val="a5"/>
        <w:rPr>
          <w:lang w:val="de-DE"/>
        </w:rPr>
      </w:pPr>
      <w:r>
        <w:rPr>
          <w:rStyle w:val="a6"/>
        </w:rPr>
        <w:footnoteRef/>
      </w:r>
      <w:r>
        <w:rPr>
          <w:lang w:val="de-DE"/>
        </w:rPr>
        <w:t xml:space="preserve"> </w:t>
      </w:r>
      <w:r>
        <w:rPr>
          <w:rFonts w:hint="eastAsia"/>
          <w:lang w:val="de-DE"/>
        </w:rPr>
        <w:t xml:space="preserve">H.-U. </w:t>
      </w:r>
      <w:r>
        <w:rPr>
          <w:rFonts w:hint="eastAsia"/>
          <w:lang w:val="de-DE"/>
        </w:rPr>
        <w:t xml:space="preserve">Erichsen, a.a.O.(Fn. 105), </w:t>
      </w:r>
      <w:r>
        <w:rPr>
          <w:lang w:val="de-DE"/>
        </w:rPr>
        <w:t>§</w:t>
      </w:r>
      <w:r>
        <w:rPr>
          <w:rFonts w:hint="eastAsia"/>
          <w:lang w:val="de-DE"/>
        </w:rPr>
        <w:t xml:space="preserve"> 17 Rn. 8,</w:t>
      </w:r>
      <w:r>
        <w:rPr>
          <w:lang w:val="de-DE"/>
        </w:rPr>
        <w:t xml:space="preserve"> §</w:t>
      </w:r>
      <w:r>
        <w:rPr>
          <w:rFonts w:hint="eastAsia"/>
          <w:lang w:val="de-DE"/>
        </w:rPr>
        <w:t xml:space="preserve"> 18 Rn. 5.</w:t>
      </w:r>
    </w:p>
  </w:footnote>
  <w:footnote w:id="11">
    <w:p w:rsidR="00683971" w:rsidRDefault="006D0E61">
      <w:pPr>
        <w:pStyle w:val="a5"/>
        <w:rPr>
          <w:color w:val="000000"/>
          <w:lang w:val="de-DE"/>
        </w:rPr>
      </w:pPr>
      <w:r>
        <w:rPr>
          <w:rStyle w:val="a6"/>
        </w:rPr>
        <w:footnoteRef/>
      </w:r>
      <w:r>
        <w:rPr>
          <w:lang w:val="de-DE"/>
        </w:rPr>
        <w:t xml:space="preserve"> </w:t>
      </w:r>
      <w:r>
        <w:rPr>
          <w:rFonts w:hint="eastAsia"/>
          <w:lang w:val="de-DE"/>
        </w:rPr>
        <w:t xml:space="preserve">Wolff </w:t>
      </w:r>
      <w:r>
        <w:rPr>
          <w:rFonts w:hint="eastAsia"/>
          <w:lang w:val="de-DE"/>
        </w:rPr>
        <w:t>/ Bachof / Stober, a.a.O.(Fn. 106), S. 733-734; H.-U. Erichsen / D. L. Br</w:t>
      </w:r>
      <w:r>
        <w:rPr>
          <w:lang w:val="de-DE"/>
        </w:rPr>
        <w:t>ü</w:t>
      </w:r>
      <w:r>
        <w:rPr>
          <w:rFonts w:hint="eastAsia"/>
          <w:lang w:val="de-DE"/>
        </w:rPr>
        <w:t xml:space="preserve">gge,a.a.O.(Fn. 110), Jura 1999, S. 157-158; </w:t>
      </w:r>
      <w:r>
        <w:rPr>
          <w:rFonts w:hint="eastAsia"/>
          <w:color w:val="000000"/>
          <w:lang w:val="de-DE"/>
        </w:rPr>
        <w:t xml:space="preserve">Sachs, in: Stelkens / Bonk / Sachs, Verwaltumgsverfahrensgesetz, 6. Aufl., 2001, </w:t>
      </w:r>
      <w:r>
        <w:rPr>
          <w:color w:val="000000"/>
          <w:lang w:val="de-DE"/>
        </w:rPr>
        <w:t>§</w:t>
      </w:r>
      <w:r>
        <w:rPr>
          <w:rFonts w:hint="eastAsia"/>
          <w:color w:val="000000"/>
          <w:lang w:val="de-DE"/>
        </w:rPr>
        <w:t xml:space="preserve"> 48 Rn. 124ff.</w:t>
      </w:r>
    </w:p>
  </w:footnote>
  <w:footnote w:id="12">
    <w:p w:rsidR="00683971" w:rsidRDefault="006D0E61">
      <w:pPr>
        <w:pStyle w:val="a5"/>
        <w:rPr>
          <w:lang w:val="de-DE"/>
        </w:rPr>
      </w:pPr>
      <w:r>
        <w:rPr>
          <w:rStyle w:val="a6"/>
        </w:rPr>
        <w:footnoteRef/>
      </w:r>
      <w:r>
        <w:rPr>
          <w:lang w:val="de-DE"/>
        </w:rPr>
        <w:t xml:space="preserve"> </w:t>
      </w:r>
      <w:r>
        <w:rPr>
          <w:rFonts w:hint="eastAsia"/>
          <w:lang w:val="de-DE"/>
        </w:rPr>
        <w:t xml:space="preserve">H.-U. </w:t>
      </w:r>
      <w:r>
        <w:rPr>
          <w:rFonts w:hint="eastAsia"/>
          <w:lang w:val="de-DE"/>
        </w:rPr>
        <w:t>Erichsen / D. L. Br</w:t>
      </w:r>
      <w:r>
        <w:rPr>
          <w:lang w:val="de-DE"/>
        </w:rPr>
        <w:t>ü</w:t>
      </w:r>
      <w:r>
        <w:rPr>
          <w:rFonts w:hint="eastAsia"/>
          <w:lang w:val="de-DE"/>
        </w:rPr>
        <w:t xml:space="preserve">gge,a.a.O.(Fn. 110), Jura 1999, S. 158. </w:t>
      </w:r>
      <w:r>
        <w:rPr>
          <w:rFonts w:hint="eastAsia"/>
        </w:rPr>
        <w:t>中文文獻</w:t>
      </w:r>
      <w:r>
        <w:rPr>
          <w:rFonts w:hint="eastAsia"/>
          <w:lang w:val="de-DE"/>
        </w:rPr>
        <w:t>，</w:t>
      </w:r>
      <w:r>
        <w:rPr>
          <w:rFonts w:hint="eastAsia"/>
        </w:rPr>
        <w:t>林三欽</w:t>
      </w:r>
      <w:r>
        <w:rPr>
          <w:rFonts w:hint="eastAsia"/>
          <w:lang w:val="de-DE"/>
        </w:rPr>
        <w:t>，</w:t>
      </w:r>
      <w:proofErr w:type="gramStart"/>
      <w:r>
        <w:rPr>
          <w:rFonts w:hint="eastAsia"/>
        </w:rPr>
        <w:t>前揭文</w:t>
      </w:r>
      <w:proofErr w:type="gramEnd"/>
      <w:r>
        <w:rPr>
          <w:rFonts w:hint="eastAsia"/>
          <w:lang w:val="de-DE"/>
        </w:rPr>
        <w:t>（</w:t>
      </w:r>
      <w:r>
        <w:rPr>
          <w:rFonts w:hint="eastAsia"/>
        </w:rPr>
        <w:t>見</w:t>
      </w:r>
      <w:proofErr w:type="gramStart"/>
      <w:r>
        <w:rPr>
          <w:rFonts w:hint="eastAsia"/>
        </w:rPr>
        <w:t>註</w:t>
      </w:r>
      <w:proofErr w:type="gramEnd"/>
      <w:r>
        <w:rPr>
          <w:rFonts w:hint="eastAsia"/>
          <w:lang w:val="de-DE"/>
        </w:rPr>
        <w:t>110</w:t>
      </w:r>
      <w:r>
        <w:rPr>
          <w:rFonts w:hint="eastAsia"/>
          <w:lang w:val="de-DE"/>
        </w:rPr>
        <w:t>），</w:t>
      </w:r>
      <w:r>
        <w:rPr>
          <w:rFonts w:hint="eastAsia"/>
        </w:rPr>
        <w:t>頁</w:t>
      </w:r>
      <w:r>
        <w:rPr>
          <w:rFonts w:hint="eastAsia"/>
          <w:lang w:val="de-DE"/>
        </w:rPr>
        <w:t>19</w:t>
      </w:r>
      <w:r>
        <w:rPr>
          <w:rFonts w:hint="eastAsia"/>
        </w:rPr>
        <w:t>。</w:t>
      </w:r>
    </w:p>
  </w:footnote>
  <w:footnote w:id="13">
    <w:p w:rsidR="00683971" w:rsidRDefault="006D0E61">
      <w:pPr>
        <w:pStyle w:val="a5"/>
        <w:rPr>
          <w:lang w:val="de-DE"/>
        </w:rPr>
      </w:pPr>
      <w:r>
        <w:rPr>
          <w:rStyle w:val="a6"/>
        </w:rPr>
        <w:footnoteRef/>
      </w:r>
      <w:r>
        <w:rPr>
          <w:lang w:val="de-DE"/>
        </w:rPr>
        <w:t xml:space="preserve"> </w:t>
      </w:r>
      <w:r>
        <w:rPr>
          <w:rFonts w:hint="eastAsia"/>
          <w:lang w:val="de-DE"/>
        </w:rPr>
        <w:t xml:space="preserve">H.-U. Erichsen, a.a.O.(Fn. 105), </w:t>
      </w:r>
      <w:r>
        <w:rPr>
          <w:lang w:val="de-DE"/>
        </w:rPr>
        <w:t>§</w:t>
      </w:r>
      <w:r>
        <w:rPr>
          <w:rFonts w:hint="eastAsia"/>
          <w:lang w:val="de-DE"/>
        </w:rPr>
        <w:t xml:space="preserve"> 17 Rn. 22-23; S. </w:t>
      </w:r>
      <w:r>
        <w:rPr>
          <w:rFonts w:hint="eastAsia"/>
          <w:color w:val="000000"/>
          <w:lang w:val="de-DE"/>
        </w:rPr>
        <w:t xml:space="preserve">Detterbeck, a.a.O.(Fn. 110), </w:t>
      </w:r>
      <w:r>
        <w:rPr>
          <w:color w:val="000000"/>
          <w:lang w:val="de-DE"/>
        </w:rPr>
        <w:t>§</w:t>
      </w:r>
      <w:r>
        <w:rPr>
          <w:rFonts w:hint="eastAsia"/>
          <w:color w:val="000000"/>
          <w:lang w:val="de-DE"/>
        </w:rPr>
        <w:t xml:space="preserve"> 10 Rn. 684, 686.</w:t>
      </w:r>
    </w:p>
  </w:footnote>
  <w:footnote w:id="14">
    <w:p w:rsidR="00683971" w:rsidRDefault="006D0E61">
      <w:pPr>
        <w:pStyle w:val="a5"/>
        <w:rPr>
          <w:lang w:val="de-DE"/>
        </w:rPr>
      </w:pPr>
      <w:r>
        <w:rPr>
          <w:rStyle w:val="a6"/>
        </w:rPr>
        <w:footnoteRef/>
      </w:r>
      <w:r>
        <w:rPr>
          <w:lang w:val="de-DE"/>
        </w:rPr>
        <w:t xml:space="preserve"> </w:t>
      </w:r>
      <w:r>
        <w:rPr>
          <w:rFonts w:hint="eastAsia"/>
          <w:lang w:val="de-DE"/>
        </w:rPr>
        <w:t xml:space="preserve">Wolff </w:t>
      </w:r>
      <w:r>
        <w:rPr>
          <w:rFonts w:hint="eastAsia"/>
          <w:lang w:val="de-DE"/>
        </w:rPr>
        <w:t>/ Bachof / Stober, a.a.O.(Fn. 106), S. 734; H.-U. Erichsen / D. L. Br</w:t>
      </w:r>
      <w:r>
        <w:rPr>
          <w:lang w:val="de-DE"/>
        </w:rPr>
        <w:t>ü</w:t>
      </w:r>
      <w:r>
        <w:rPr>
          <w:rFonts w:hint="eastAsia"/>
          <w:lang w:val="de-DE"/>
        </w:rPr>
        <w:t xml:space="preserve">gge,a.a.O.(Fn. 110), Jura 1999, S. 158. </w:t>
      </w:r>
      <w:r>
        <w:rPr>
          <w:rFonts w:hint="eastAsia"/>
        </w:rPr>
        <w:t>中文文獻</w:t>
      </w:r>
      <w:r>
        <w:rPr>
          <w:rFonts w:hint="eastAsia"/>
          <w:lang w:val="de-DE"/>
        </w:rPr>
        <w:t>：</w:t>
      </w:r>
      <w:r>
        <w:rPr>
          <w:rFonts w:hint="eastAsia"/>
        </w:rPr>
        <w:t>林三欽</w:t>
      </w:r>
      <w:r>
        <w:rPr>
          <w:rFonts w:hint="eastAsia"/>
          <w:lang w:val="de-DE"/>
        </w:rPr>
        <w:t>，</w:t>
      </w:r>
      <w:proofErr w:type="gramStart"/>
      <w:r>
        <w:rPr>
          <w:rFonts w:hint="eastAsia"/>
        </w:rPr>
        <w:t>前揭文</w:t>
      </w:r>
      <w:proofErr w:type="gramEnd"/>
      <w:r>
        <w:rPr>
          <w:rFonts w:hint="eastAsia"/>
          <w:lang w:val="de-DE"/>
        </w:rPr>
        <w:t>（</w:t>
      </w:r>
      <w:r>
        <w:rPr>
          <w:rFonts w:hint="eastAsia"/>
        </w:rPr>
        <w:t>見</w:t>
      </w:r>
      <w:proofErr w:type="gramStart"/>
      <w:r>
        <w:rPr>
          <w:rFonts w:hint="eastAsia"/>
        </w:rPr>
        <w:t>註</w:t>
      </w:r>
      <w:proofErr w:type="gramEnd"/>
      <w:r>
        <w:rPr>
          <w:rFonts w:hint="eastAsia"/>
          <w:lang w:val="de-DE"/>
        </w:rPr>
        <w:t>110</w:t>
      </w:r>
      <w:r>
        <w:rPr>
          <w:rFonts w:hint="eastAsia"/>
          <w:lang w:val="de-DE"/>
        </w:rPr>
        <w:t>），</w:t>
      </w:r>
      <w:r>
        <w:rPr>
          <w:rFonts w:hint="eastAsia"/>
        </w:rPr>
        <w:t>頁</w:t>
      </w:r>
      <w:r>
        <w:rPr>
          <w:rFonts w:hint="eastAsia"/>
          <w:lang w:val="de-DE"/>
        </w:rPr>
        <w:t>19-20</w:t>
      </w:r>
      <w:r>
        <w:rPr>
          <w:rFonts w:hint="eastAsia"/>
        </w:rPr>
        <w:t>。</w:t>
      </w:r>
    </w:p>
  </w:footnote>
  <w:footnote w:id="15">
    <w:p w:rsidR="00683971" w:rsidRDefault="006D0E61">
      <w:pPr>
        <w:pStyle w:val="a5"/>
      </w:pPr>
      <w:r>
        <w:rPr>
          <w:rStyle w:val="a6"/>
        </w:rPr>
        <w:footnoteRef/>
      </w:r>
      <w:r>
        <w:t xml:space="preserve"> </w:t>
      </w:r>
      <w:r>
        <w:rPr>
          <w:rFonts w:hint="eastAsia"/>
        </w:rPr>
        <w:t xml:space="preserve">H. Maurer, </w:t>
      </w:r>
      <w:proofErr w:type="spellStart"/>
      <w:r>
        <w:rPr>
          <w:rFonts w:hint="eastAsia"/>
        </w:rPr>
        <w:t>a.a.O</w:t>
      </w:r>
      <w:proofErr w:type="spellEnd"/>
      <w:proofErr w:type="gramStart"/>
      <w:r>
        <w:rPr>
          <w:rFonts w:hint="eastAsia"/>
        </w:rPr>
        <w:t>.(</w:t>
      </w:r>
      <w:proofErr w:type="gramEnd"/>
      <w:r>
        <w:rPr>
          <w:rFonts w:hint="eastAsia"/>
        </w:rPr>
        <w:t>Fn. 17), Rn. 78.</w:t>
      </w:r>
    </w:p>
  </w:footnote>
  <w:footnote w:id="16">
    <w:p w:rsidR="00683971" w:rsidRDefault="006D0E61">
      <w:pPr>
        <w:pStyle w:val="a5"/>
      </w:pPr>
      <w:r>
        <w:rPr>
          <w:rStyle w:val="a6"/>
        </w:rPr>
        <w:footnoteRef/>
      </w:r>
      <w:r>
        <w:t xml:space="preserve"> </w:t>
      </w:r>
      <w:r>
        <w:rPr>
          <w:rFonts w:hint="eastAsia"/>
        </w:rPr>
        <w:t xml:space="preserve">Wolff / </w:t>
      </w:r>
      <w:proofErr w:type="spellStart"/>
      <w:r>
        <w:rPr>
          <w:rFonts w:hint="eastAsia"/>
        </w:rPr>
        <w:t>Bachof</w:t>
      </w:r>
      <w:proofErr w:type="spellEnd"/>
      <w:r>
        <w:rPr>
          <w:rFonts w:hint="eastAsia"/>
        </w:rPr>
        <w:t xml:space="preserve"> / </w:t>
      </w:r>
      <w:proofErr w:type="spellStart"/>
      <w:r>
        <w:rPr>
          <w:rFonts w:hint="eastAsia"/>
        </w:rPr>
        <w:t>Stober</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 xml:space="preserve">Fn. 106), S. 737-738; H. Maurer, </w:t>
      </w:r>
      <w:proofErr w:type="spellStart"/>
      <w:r>
        <w:rPr>
          <w:rFonts w:hint="eastAsia"/>
        </w:rPr>
        <w:t>a.a.O</w:t>
      </w:r>
      <w:proofErr w:type="spellEnd"/>
      <w:r>
        <w:rPr>
          <w:rFonts w:hint="eastAsia"/>
        </w:rPr>
        <w:t xml:space="preserve">.(Fn. 17), Rn. 78; S. </w:t>
      </w:r>
      <w:proofErr w:type="spellStart"/>
      <w:r>
        <w:rPr>
          <w:rFonts w:hint="eastAsia"/>
        </w:rPr>
        <w:t>Detterbeck</w:t>
      </w:r>
      <w:proofErr w:type="spellEnd"/>
      <w:r>
        <w:rPr>
          <w:rFonts w:hint="eastAsia"/>
        </w:rPr>
        <w:t xml:space="preserve">, </w:t>
      </w:r>
      <w:proofErr w:type="spellStart"/>
      <w:r>
        <w:rPr>
          <w:rFonts w:hint="eastAsia"/>
        </w:rPr>
        <w:t>a.a.O</w:t>
      </w:r>
      <w:proofErr w:type="spellEnd"/>
      <w:r>
        <w:rPr>
          <w:rFonts w:hint="eastAsia"/>
        </w:rPr>
        <w:t xml:space="preserve">.(Fn. 110), </w:t>
      </w:r>
      <w:r>
        <w:t>§</w:t>
      </w:r>
      <w:r>
        <w:rPr>
          <w:rFonts w:hint="eastAsia"/>
        </w:rPr>
        <w:t xml:space="preserve"> 10 Rn. 719. </w:t>
      </w:r>
      <w:r>
        <w:rPr>
          <w:rFonts w:hint="eastAsia"/>
        </w:rPr>
        <w:t>中文文獻：陳敏，</w:t>
      </w:r>
      <w:proofErr w:type="gramStart"/>
      <w:r>
        <w:rPr>
          <w:rFonts w:hint="eastAsia"/>
        </w:rPr>
        <w:t>前揭書</w:t>
      </w:r>
      <w:proofErr w:type="gramEnd"/>
      <w:r>
        <w:rPr>
          <w:rFonts w:hint="eastAsia"/>
        </w:rPr>
        <w:t>（見</w:t>
      </w:r>
      <w:proofErr w:type="gramStart"/>
      <w:r>
        <w:rPr>
          <w:rFonts w:hint="eastAsia"/>
        </w:rPr>
        <w:t>註</w:t>
      </w:r>
      <w:proofErr w:type="gramEnd"/>
      <w:r>
        <w:rPr>
          <w:rFonts w:hint="eastAsia"/>
        </w:rPr>
        <w:t>34</w:t>
      </w:r>
      <w:r>
        <w:rPr>
          <w:rFonts w:hint="eastAsia"/>
        </w:rPr>
        <w:t>），頁</w:t>
      </w:r>
      <w:r>
        <w:rPr>
          <w:rFonts w:hint="eastAsia"/>
        </w:rPr>
        <w:t>471</w:t>
      </w:r>
      <w:r>
        <w:rPr>
          <w:rFonts w:hint="eastAsia"/>
        </w:rPr>
        <w:t>。</w:t>
      </w:r>
    </w:p>
  </w:footnote>
  <w:footnote w:id="17">
    <w:p w:rsidR="00683971" w:rsidRDefault="006D0E61">
      <w:pPr>
        <w:pStyle w:val="a5"/>
      </w:pPr>
      <w:r>
        <w:rPr>
          <w:rStyle w:val="a6"/>
        </w:rPr>
        <w:footnoteRef/>
      </w:r>
      <w:r>
        <w:t xml:space="preserve"> </w:t>
      </w:r>
      <w:r>
        <w:rPr>
          <w:rFonts w:hint="eastAsia"/>
        </w:rPr>
        <w:t xml:space="preserve">Wolff / </w:t>
      </w:r>
      <w:proofErr w:type="spellStart"/>
      <w:r>
        <w:rPr>
          <w:rFonts w:hint="eastAsia"/>
        </w:rPr>
        <w:t>Bachof</w:t>
      </w:r>
      <w:proofErr w:type="spellEnd"/>
      <w:r>
        <w:rPr>
          <w:rFonts w:hint="eastAsia"/>
        </w:rPr>
        <w:t xml:space="preserve"> / </w:t>
      </w:r>
      <w:proofErr w:type="spellStart"/>
      <w:r>
        <w:rPr>
          <w:rFonts w:hint="eastAsia"/>
        </w:rPr>
        <w:t>Stober</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 xml:space="preserve">Fn. 106), S. 738; H. Maurer, </w:t>
      </w:r>
      <w:proofErr w:type="spellStart"/>
      <w:r>
        <w:rPr>
          <w:rFonts w:hint="eastAsia"/>
        </w:rPr>
        <w:t>a.a.O</w:t>
      </w:r>
      <w:proofErr w:type="spellEnd"/>
      <w:r>
        <w:rPr>
          <w:rFonts w:hint="eastAsia"/>
        </w:rPr>
        <w:t xml:space="preserve">.(Fn. 17), Rn. 78. </w:t>
      </w:r>
      <w:r>
        <w:rPr>
          <w:rFonts w:hint="eastAsia"/>
        </w:rPr>
        <w:t>中文文獻：陳敏，</w:t>
      </w:r>
      <w:proofErr w:type="gramStart"/>
      <w:r>
        <w:rPr>
          <w:rFonts w:hint="eastAsia"/>
        </w:rPr>
        <w:t>前揭書</w:t>
      </w:r>
      <w:proofErr w:type="gramEnd"/>
      <w:r>
        <w:rPr>
          <w:rFonts w:hint="eastAsia"/>
        </w:rPr>
        <w:t>（見</w:t>
      </w:r>
      <w:proofErr w:type="gramStart"/>
      <w:r>
        <w:rPr>
          <w:rFonts w:hint="eastAsia"/>
        </w:rPr>
        <w:t>註</w:t>
      </w:r>
      <w:proofErr w:type="gramEnd"/>
      <w:r>
        <w:rPr>
          <w:rFonts w:hint="eastAsia"/>
        </w:rPr>
        <w:t>34</w:t>
      </w:r>
      <w:r>
        <w:rPr>
          <w:rFonts w:hint="eastAsia"/>
        </w:rPr>
        <w:t>），頁</w:t>
      </w:r>
      <w:r>
        <w:rPr>
          <w:rFonts w:hint="eastAsia"/>
        </w:rPr>
        <w:t>471-472</w:t>
      </w:r>
      <w:r>
        <w:rPr>
          <w:rFonts w:hint="eastAsia"/>
        </w:rPr>
        <w:t>。</w:t>
      </w:r>
    </w:p>
  </w:footnote>
  <w:footnote w:id="18">
    <w:p w:rsidR="00683971" w:rsidRDefault="006D0E61">
      <w:pPr>
        <w:pStyle w:val="a5"/>
      </w:pPr>
      <w:r>
        <w:rPr>
          <w:rStyle w:val="a6"/>
        </w:rPr>
        <w:footnoteRef/>
      </w:r>
      <w:r>
        <w:t xml:space="preserve"> </w:t>
      </w:r>
      <w:r>
        <w:rPr>
          <w:rFonts w:hint="eastAsia"/>
        </w:rPr>
        <w:t xml:space="preserve">Wolff / </w:t>
      </w:r>
      <w:proofErr w:type="spellStart"/>
      <w:r>
        <w:rPr>
          <w:rFonts w:hint="eastAsia"/>
        </w:rPr>
        <w:t>Bachof</w:t>
      </w:r>
      <w:proofErr w:type="spellEnd"/>
      <w:r>
        <w:rPr>
          <w:rFonts w:hint="eastAsia"/>
        </w:rPr>
        <w:t xml:space="preserve"> / </w:t>
      </w:r>
      <w:proofErr w:type="spellStart"/>
      <w:r>
        <w:rPr>
          <w:rFonts w:hint="eastAsia"/>
        </w:rPr>
        <w:t>Stober</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Fn. 106), S. 739.</w:t>
      </w:r>
    </w:p>
  </w:footnote>
  <w:footnote w:id="19">
    <w:p w:rsidR="00683971" w:rsidRDefault="006D0E61">
      <w:pPr>
        <w:pStyle w:val="a5"/>
      </w:pPr>
      <w:r>
        <w:rPr>
          <w:rStyle w:val="a6"/>
        </w:rPr>
        <w:footnoteRef/>
      </w:r>
      <w:r>
        <w:t xml:space="preserve"> </w:t>
      </w:r>
      <w:r>
        <w:rPr>
          <w:rFonts w:hint="eastAsia"/>
        </w:rPr>
        <w:t xml:space="preserve">S. </w:t>
      </w:r>
      <w:proofErr w:type="spellStart"/>
      <w:r>
        <w:rPr>
          <w:rFonts w:hint="eastAsia"/>
        </w:rPr>
        <w:t>Detterbeck</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 xml:space="preserve">Fn. 110), </w:t>
      </w:r>
      <w:r>
        <w:t>§</w:t>
      </w:r>
      <w:r>
        <w:rPr>
          <w:rFonts w:hint="eastAsia"/>
        </w:rPr>
        <w:t xml:space="preserve"> 10 Rn. 722. </w:t>
      </w:r>
      <w:r>
        <w:rPr>
          <w:rFonts w:hint="eastAsia"/>
        </w:rPr>
        <w:t>中文文獻：</w:t>
      </w:r>
      <w:proofErr w:type="gramStart"/>
      <w:r>
        <w:rPr>
          <w:rFonts w:hint="eastAsia"/>
        </w:rPr>
        <w:t>林石猛</w:t>
      </w:r>
      <w:proofErr w:type="gramEnd"/>
      <w:r>
        <w:rPr>
          <w:rFonts w:hint="eastAsia"/>
        </w:rPr>
        <w:t>、蔡坤展，</w:t>
      </w:r>
      <w:r>
        <w:t>&lt;</w:t>
      </w:r>
      <w:r>
        <w:rPr>
          <w:rFonts w:hint="eastAsia"/>
        </w:rPr>
        <w:t>合法授益處分之廢止與信賴保護原則案例探討</w:t>
      </w:r>
      <w:proofErr w:type="gramStart"/>
      <w:r>
        <w:rPr>
          <w:rFonts w:ascii="新細明體" w:hAnsi="新細明體" w:hint="eastAsia"/>
        </w:rPr>
        <w:t>―</w:t>
      </w:r>
      <w:proofErr w:type="gramEnd"/>
      <w:r>
        <w:rPr>
          <w:rFonts w:hint="eastAsia"/>
        </w:rPr>
        <w:t>最高行政法院九十一年度判字第一四二九號判決</w:t>
      </w:r>
      <w:r>
        <w:t>&gt;</w:t>
      </w:r>
      <w:r>
        <w:rPr>
          <w:rFonts w:hint="eastAsia"/>
        </w:rPr>
        <w:t>，</w:t>
      </w:r>
      <w:r>
        <w:t>«</w:t>
      </w:r>
      <w:r>
        <w:rPr>
          <w:rFonts w:hint="eastAsia"/>
        </w:rPr>
        <w:t>律師雜誌第</w:t>
      </w:r>
      <w:r>
        <w:rPr>
          <w:rFonts w:hint="eastAsia"/>
        </w:rPr>
        <w:t>295</w:t>
      </w:r>
      <w:r>
        <w:rPr>
          <w:rFonts w:hint="eastAsia"/>
        </w:rPr>
        <w:t>期</w:t>
      </w:r>
      <w:r>
        <w:t>»</w:t>
      </w:r>
      <w:r>
        <w:rPr>
          <w:rFonts w:hint="eastAsia"/>
        </w:rPr>
        <w:t>，</w:t>
      </w:r>
      <w:r>
        <w:rPr>
          <w:rFonts w:hint="eastAsia"/>
        </w:rPr>
        <w:t>2004/4</w:t>
      </w:r>
      <w:r>
        <w:rPr>
          <w:rFonts w:hint="eastAsia"/>
        </w:rPr>
        <w:t>，頁</w:t>
      </w:r>
      <w:r>
        <w:rPr>
          <w:rFonts w:hint="eastAsia"/>
        </w:rPr>
        <w:t>99</w:t>
      </w:r>
      <w:r>
        <w:rPr>
          <w:rFonts w:hint="eastAsia"/>
        </w:rPr>
        <w:t>；陳敏，</w:t>
      </w:r>
      <w:proofErr w:type="gramStart"/>
      <w:r>
        <w:rPr>
          <w:rFonts w:hint="eastAsia"/>
        </w:rPr>
        <w:t>前揭書</w:t>
      </w:r>
      <w:proofErr w:type="gramEnd"/>
      <w:r>
        <w:rPr>
          <w:rFonts w:hint="eastAsia"/>
        </w:rPr>
        <w:t>（見</w:t>
      </w:r>
      <w:proofErr w:type="gramStart"/>
      <w:r>
        <w:rPr>
          <w:rFonts w:hint="eastAsia"/>
        </w:rPr>
        <w:t>註</w:t>
      </w:r>
      <w:proofErr w:type="gramEnd"/>
      <w:r>
        <w:rPr>
          <w:rFonts w:hint="eastAsia"/>
        </w:rPr>
        <w:t>34</w:t>
      </w:r>
      <w:r>
        <w:rPr>
          <w:rFonts w:hint="eastAsia"/>
        </w:rPr>
        <w:t>），頁</w:t>
      </w:r>
      <w:r>
        <w:rPr>
          <w:rFonts w:hint="eastAsia"/>
        </w:rPr>
        <w:t>472</w:t>
      </w:r>
      <w:r>
        <w:rPr>
          <w:rFonts w:hint="eastAsia"/>
        </w:rPr>
        <w:t>。</w:t>
      </w:r>
    </w:p>
  </w:footnote>
  <w:footnote w:id="20">
    <w:p w:rsidR="00683971" w:rsidRDefault="006D0E61">
      <w:pPr>
        <w:pStyle w:val="a5"/>
      </w:pPr>
      <w:r>
        <w:rPr>
          <w:rStyle w:val="a6"/>
        </w:rPr>
        <w:footnoteRef/>
      </w:r>
      <w:r>
        <w:t xml:space="preserve"> </w:t>
      </w:r>
      <w:r>
        <w:rPr>
          <w:rFonts w:hint="eastAsia"/>
        </w:rPr>
        <w:t>參見</w:t>
      </w:r>
      <w:r>
        <w:rPr>
          <w:rFonts w:hint="eastAsia"/>
        </w:rPr>
        <w:t xml:space="preserve">S. </w:t>
      </w:r>
      <w:proofErr w:type="spellStart"/>
      <w:r>
        <w:rPr>
          <w:rFonts w:hint="eastAsia"/>
        </w:rPr>
        <w:t>Detterbeck</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 xml:space="preserve">Fn. 110), </w:t>
      </w:r>
      <w:r>
        <w:t>§</w:t>
      </w:r>
      <w:r>
        <w:rPr>
          <w:rFonts w:hint="eastAsia"/>
        </w:rPr>
        <w:t xml:space="preserve"> 10 Rn. 725-726</w:t>
      </w:r>
      <w:r>
        <w:rPr>
          <w:rFonts w:hint="eastAsia"/>
        </w:rPr>
        <w:t>的說明。</w:t>
      </w:r>
    </w:p>
  </w:footnote>
  <w:footnote w:id="21">
    <w:p w:rsidR="00683971" w:rsidRDefault="006D0E61">
      <w:pPr>
        <w:pStyle w:val="a5"/>
      </w:pPr>
      <w:r>
        <w:rPr>
          <w:rStyle w:val="a6"/>
        </w:rPr>
        <w:footnoteRef/>
      </w:r>
      <w:r>
        <w:t xml:space="preserve"> </w:t>
      </w:r>
      <w:r>
        <w:rPr>
          <w:rFonts w:hint="eastAsia"/>
        </w:rPr>
        <w:t xml:space="preserve">H.-U. </w:t>
      </w:r>
      <w:proofErr w:type="spellStart"/>
      <w:r>
        <w:rPr>
          <w:rFonts w:hint="eastAsia"/>
        </w:rPr>
        <w:t>Erichsen</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 xml:space="preserve">Fn. 105), </w:t>
      </w:r>
      <w:r>
        <w:t>§</w:t>
      </w:r>
      <w:r>
        <w:rPr>
          <w:rFonts w:hint="eastAsia"/>
        </w:rPr>
        <w:t xml:space="preserve"> 17 Rn. 24.</w:t>
      </w:r>
    </w:p>
  </w:footnote>
  <w:footnote w:id="22">
    <w:p w:rsidR="00683971" w:rsidRDefault="006D0E61">
      <w:pPr>
        <w:pStyle w:val="a5"/>
      </w:pPr>
      <w:r>
        <w:rPr>
          <w:rStyle w:val="a6"/>
        </w:rPr>
        <w:footnoteRef/>
      </w:r>
      <w:r>
        <w:t xml:space="preserve"> </w:t>
      </w:r>
      <w:proofErr w:type="gramStart"/>
      <w:r>
        <w:rPr>
          <w:rFonts w:hint="eastAsia"/>
        </w:rPr>
        <w:t>陳敏教授並進一步</w:t>
      </w:r>
      <w:proofErr w:type="gramEnd"/>
      <w:r>
        <w:rPr>
          <w:rFonts w:hint="eastAsia"/>
        </w:rPr>
        <w:t>指出，依德國聯邦行政程序法第</w:t>
      </w:r>
      <w:r>
        <w:rPr>
          <w:rFonts w:hint="eastAsia"/>
        </w:rPr>
        <w:t>48</w:t>
      </w:r>
      <w:r>
        <w:rPr>
          <w:rFonts w:hint="eastAsia"/>
        </w:rPr>
        <w:t>條第</w:t>
      </w:r>
      <w:r>
        <w:rPr>
          <w:rFonts w:hint="eastAsia"/>
        </w:rPr>
        <w:t>2</w:t>
      </w:r>
      <w:r>
        <w:rPr>
          <w:rFonts w:hint="eastAsia"/>
        </w:rPr>
        <w:t>項的規定，有關以金錢或</w:t>
      </w:r>
      <w:proofErr w:type="gramStart"/>
      <w:r>
        <w:rPr>
          <w:rFonts w:hint="eastAsia"/>
        </w:rPr>
        <w:t>可分物之</w:t>
      </w:r>
      <w:proofErr w:type="gramEnd"/>
      <w:r>
        <w:rPr>
          <w:rFonts w:hint="eastAsia"/>
        </w:rPr>
        <w:t>給付為內容之違法行政處分，處分相對人有值得保護之信賴時，即不得撤銷；其他違法</w:t>
      </w:r>
      <w:proofErr w:type="gramStart"/>
      <w:r>
        <w:rPr>
          <w:rFonts w:hint="eastAsia"/>
        </w:rPr>
        <w:t>授益性行政處分</w:t>
      </w:r>
      <w:proofErr w:type="gramEnd"/>
      <w:r>
        <w:rPr>
          <w:rFonts w:hint="eastAsia"/>
        </w:rPr>
        <w:t>，依同條第</w:t>
      </w:r>
      <w:r>
        <w:rPr>
          <w:rFonts w:hint="eastAsia"/>
        </w:rPr>
        <w:t>3</w:t>
      </w:r>
      <w:r>
        <w:rPr>
          <w:rFonts w:hint="eastAsia"/>
        </w:rPr>
        <w:t>項，</w:t>
      </w:r>
      <w:proofErr w:type="gramStart"/>
      <w:r>
        <w:rPr>
          <w:rFonts w:hint="eastAsia"/>
        </w:rPr>
        <w:t>相對人縱有</w:t>
      </w:r>
      <w:proofErr w:type="gramEnd"/>
      <w:r>
        <w:rPr>
          <w:rFonts w:hint="eastAsia"/>
        </w:rPr>
        <w:t>值得保護之信賴，亦仍得經補償而撤銷。我國雖未為如是的區分，但因我國行政程序法第</w:t>
      </w:r>
      <w:r>
        <w:rPr>
          <w:rFonts w:hint="eastAsia"/>
        </w:rPr>
        <w:t>120</w:t>
      </w:r>
      <w:r>
        <w:rPr>
          <w:rFonts w:hint="eastAsia"/>
        </w:rPr>
        <w:t>條第</w:t>
      </w:r>
      <w:r>
        <w:rPr>
          <w:rFonts w:hint="eastAsia"/>
        </w:rPr>
        <w:t>1</w:t>
      </w:r>
      <w:r>
        <w:rPr>
          <w:rFonts w:hint="eastAsia"/>
        </w:rPr>
        <w:t>項、第</w:t>
      </w:r>
      <w:r>
        <w:rPr>
          <w:rFonts w:hint="eastAsia"/>
        </w:rPr>
        <w:t>127</w:t>
      </w:r>
      <w:r>
        <w:rPr>
          <w:rFonts w:hint="eastAsia"/>
        </w:rPr>
        <w:t>條有關</w:t>
      </w:r>
      <w:proofErr w:type="gramStart"/>
      <w:r>
        <w:rPr>
          <w:rFonts w:hint="eastAsia"/>
        </w:rPr>
        <w:t>補償及返還</w:t>
      </w:r>
      <w:proofErr w:type="gramEnd"/>
      <w:r>
        <w:rPr>
          <w:rFonts w:hint="eastAsia"/>
        </w:rPr>
        <w:t>給付的規定，實際上仍取向於此等區分：陳敏，</w:t>
      </w:r>
      <w:proofErr w:type="gramStart"/>
      <w:r>
        <w:rPr>
          <w:rFonts w:hint="eastAsia"/>
        </w:rPr>
        <w:t>前揭書</w:t>
      </w:r>
      <w:proofErr w:type="gramEnd"/>
      <w:r>
        <w:rPr>
          <w:rFonts w:hint="eastAsia"/>
        </w:rPr>
        <w:t>（見</w:t>
      </w:r>
      <w:proofErr w:type="gramStart"/>
      <w:r>
        <w:rPr>
          <w:rFonts w:hint="eastAsia"/>
        </w:rPr>
        <w:t>註</w:t>
      </w:r>
      <w:proofErr w:type="gramEnd"/>
      <w:r>
        <w:rPr>
          <w:rFonts w:hint="eastAsia"/>
        </w:rPr>
        <w:t>34</w:t>
      </w:r>
      <w:r>
        <w:rPr>
          <w:rFonts w:hint="eastAsia"/>
        </w:rPr>
        <w:t>），頁</w:t>
      </w:r>
      <w:r>
        <w:rPr>
          <w:rFonts w:hint="eastAsia"/>
        </w:rPr>
        <w:t>460</w:t>
      </w:r>
      <w:r>
        <w:rPr>
          <w:rFonts w:hint="eastAsia"/>
        </w:rPr>
        <w:t>。</w:t>
      </w:r>
    </w:p>
  </w:footnote>
  <w:footnote w:id="23">
    <w:p w:rsidR="00683971" w:rsidRDefault="006D0E61">
      <w:pPr>
        <w:pStyle w:val="a5"/>
        <w:rPr>
          <w:lang w:val="de-DE"/>
        </w:rPr>
      </w:pPr>
      <w:r>
        <w:rPr>
          <w:rStyle w:val="a6"/>
        </w:rPr>
        <w:footnoteRef/>
      </w:r>
      <w:r>
        <w:rPr>
          <w:lang w:val="de-DE"/>
        </w:rPr>
        <w:t xml:space="preserve"> </w:t>
      </w:r>
      <w:r>
        <w:rPr>
          <w:rFonts w:hint="eastAsia"/>
          <w:lang w:val="de-DE"/>
        </w:rPr>
        <w:t>H.-U. Erichsen / D. L. Br</w:t>
      </w:r>
      <w:r>
        <w:rPr>
          <w:lang w:val="de-DE"/>
        </w:rPr>
        <w:t>ü</w:t>
      </w:r>
      <w:r>
        <w:rPr>
          <w:rFonts w:hint="eastAsia"/>
          <w:lang w:val="de-DE"/>
        </w:rPr>
        <w:t xml:space="preserve">gge,a.a.O.(Fn. 110), Jura 1999, S. 159; H.-U. Erichsen, a.a.O.(Fn. 105), </w:t>
      </w:r>
      <w:r>
        <w:rPr>
          <w:lang w:val="de-DE"/>
        </w:rPr>
        <w:t>§</w:t>
      </w:r>
      <w:r>
        <w:rPr>
          <w:rFonts w:hint="eastAsia"/>
          <w:lang w:val="de-DE"/>
        </w:rPr>
        <w:t xml:space="preserve"> 17 Rn. 30; S. Detterbeck, a.a.O.(Fn. 110), </w:t>
      </w:r>
      <w:r>
        <w:rPr>
          <w:lang w:val="de-DE"/>
        </w:rPr>
        <w:t>§</w:t>
      </w:r>
      <w:r>
        <w:rPr>
          <w:rFonts w:hint="eastAsia"/>
          <w:lang w:val="de-DE"/>
        </w:rPr>
        <w:t xml:space="preserve"> 10 Rn. 697.</w:t>
      </w:r>
    </w:p>
  </w:footnote>
  <w:footnote w:id="24">
    <w:p w:rsidR="00683971" w:rsidRDefault="006D0E61">
      <w:pPr>
        <w:pStyle w:val="a5"/>
        <w:rPr>
          <w:lang w:val="de-DE"/>
        </w:rPr>
      </w:pPr>
      <w:r>
        <w:rPr>
          <w:rStyle w:val="a6"/>
        </w:rPr>
        <w:footnoteRef/>
      </w:r>
      <w:r>
        <w:rPr>
          <w:lang w:val="de-DE"/>
        </w:rPr>
        <w:t xml:space="preserve"> </w:t>
      </w:r>
      <w:r>
        <w:rPr>
          <w:rFonts w:hint="eastAsia"/>
          <w:lang w:val="de-DE"/>
        </w:rPr>
        <w:t xml:space="preserve">H.-U. </w:t>
      </w:r>
      <w:r>
        <w:rPr>
          <w:rFonts w:hint="eastAsia"/>
          <w:lang w:val="de-DE"/>
        </w:rPr>
        <w:t>Erichsen / D. L. Br</w:t>
      </w:r>
      <w:r>
        <w:rPr>
          <w:lang w:val="de-DE"/>
        </w:rPr>
        <w:t>ü</w:t>
      </w:r>
      <w:r>
        <w:rPr>
          <w:rFonts w:hint="eastAsia"/>
          <w:lang w:val="de-DE"/>
        </w:rPr>
        <w:t xml:space="preserve">gge,a.a.O.(Fn. 110), Jura 1999, S. 159; H.-U. Erichsen, a.a.O.(Fn. 105), </w:t>
      </w:r>
      <w:r>
        <w:rPr>
          <w:lang w:val="de-DE"/>
        </w:rPr>
        <w:t>§</w:t>
      </w:r>
      <w:r>
        <w:rPr>
          <w:rFonts w:hint="eastAsia"/>
          <w:lang w:val="de-DE"/>
        </w:rPr>
        <w:t xml:space="preserve"> 17 Rn. 30.</w:t>
      </w:r>
    </w:p>
  </w:footnote>
  <w:footnote w:id="25">
    <w:p w:rsidR="00683971" w:rsidRDefault="006D0E61">
      <w:pPr>
        <w:pStyle w:val="a5"/>
        <w:rPr>
          <w:lang w:val="de-DE"/>
        </w:rPr>
      </w:pPr>
      <w:r>
        <w:rPr>
          <w:rStyle w:val="a6"/>
        </w:rPr>
        <w:footnoteRef/>
      </w:r>
      <w:r>
        <w:rPr>
          <w:lang w:val="de-DE"/>
        </w:rPr>
        <w:t xml:space="preserve"> </w:t>
      </w:r>
      <w:r>
        <w:rPr>
          <w:rFonts w:hint="eastAsia"/>
          <w:lang w:val="de-DE"/>
        </w:rPr>
        <w:t xml:space="preserve">H.-U. </w:t>
      </w:r>
      <w:r>
        <w:rPr>
          <w:rFonts w:hint="eastAsia"/>
          <w:lang w:val="de-DE"/>
        </w:rPr>
        <w:t>Erichsen / D. L. Br</w:t>
      </w:r>
      <w:r>
        <w:rPr>
          <w:lang w:val="de-DE"/>
        </w:rPr>
        <w:t>ü</w:t>
      </w:r>
      <w:r>
        <w:rPr>
          <w:rFonts w:hint="eastAsia"/>
          <w:lang w:val="de-DE"/>
        </w:rPr>
        <w:t xml:space="preserve">gge,a.a.O.(Fn. 110), Jura 1999, S. 160; H.-U. Erichsen, a.a.O.(Fn. 105), </w:t>
      </w:r>
      <w:r>
        <w:rPr>
          <w:lang w:val="de-DE"/>
        </w:rPr>
        <w:t>§</w:t>
      </w:r>
      <w:r>
        <w:rPr>
          <w:rFonts w:hint="eastAsia"/>
          <w:lang w:val="de-DE"/>
        </w:rPr>
        <w:t xml:space="preserve"> 17 Rn. 31. </w:t>
      </w:r>
    </w:p>
  </w:footnote>
  <w:footnote w:id="26">
    <w:p w:rsidR="00683971" w:rsidRDefault="006D0E61">
      <w:pPr>
        <w:pStyle w:val="a5"/>
        <w:rPr>
          <w:lang w:val="de-DE"/>
        </w:rPr>
      </w:pPr>
      <w:r>
        <w:rPr>
          <w:rStyle w:val="a6"/>
        </w:rPr>
        <w:footnoteRef/>
      </w:r>
      <w:r>
        <w:rPr>
          <w:lang w:val="de-DE"/>
        </w:rPr>
        <w:t xml:space="preserve"> </w:t>
      </w:r>
      <w:r>
        <w:rPr>
          <w:rFonts w:hint="eastAsia"/>
          <w:lang w:val="de-DE"/>
        </w:rPr>
        <w:t>H.-U. Erichsen / D. L. Br</w:t>
      </w:r>
      <w:r>
        <w:rPr>
          <w:lang w:val="de-DE"/>
        </w:rPr>
        <w:t>ü</w:t>
      </w:r>
      <w:r>
        <w:rPr>
          <w:rFonts w:hint="eastAsia"/>
          <w:lang w:val="de-DE"/>
        </w:rPr>
        <w:t>gge,a.a.O.(Fn. 110), Jura 1999, S. 160.</w:t>
      </w:r>
    </w:p>
  </w:footnote>
  <w:footnote w:id="27">
    <w:p w:rsidR="00683971" w:rsidRDefault="006D0E61">
      <w:pPr>
        <w:pStyle w:val="a5"/>
      </w:pPr>
      <w:r>
        <w:rPr>
          <w:rStyle w:val="a6"/>
        </w:rPr>
        <w:footnoteRef/>
      </w:r>
      <w:r>
        <w:t xml:space="preserve"> </w:t>
      </w:r>
      <w:r>
        <w:rPr>
          <w:rFonts w:hint="eastAsia"/>
        </w:rPr>
        <w:t xml:space="preserve">Ulrich </w:t>
      </w:r>
      <w:proofErr w:type="spellStart"/>
      <w:r>
        <w:rPr>
          <w:rFonts w:hint="eastAsia"/>
        </w:rPr>
        <w:t>Fastenrath</w:t>
      </w:r>
      <w:proofErr w:type="spellEnd"/>
      <w:r>
        <w:rPr>
          <w:rFonts w:hint="eastAsia"/>
        </w:rPr>
        <w:t xml:space="preserve">, </w:t>
      </w:r>
      <w:proofErr w:type="spellStart"/>
      <w:r>
        <w:rPr>
          <w:rFonts w:hint="eastAsia"/>
        </w:rPr>
        <w:t>Anmerung</w:t>
      </w:r>
      <w:proofErr w:type="spellEnd"/>
      <w:r>
        <w:rPr>
          <w:rFonts w:hint="eastAsia"/>
        </w:rPr>
        <w:t xml:space="preserve"> </w:t>
      </w:r>
      <w:proofErr w:type="spellStart"/>
      <w:r>
        <w:rPr>
          <w:rFonts w:hint="eastAsia"/>
        </w:rPr>
        <w:t>zum</w:t>
      </w:r>
      <w:proofErr w:type="spellEnd"/>
      <w:r>
        <w:rPr>
          <w:rFonts w:hint="eastAsia"/>
        </w:rPr>
        <w:t xml:space="preserve"> </w:t>
      </w:r>
      <w:proofErr w:type="spellStart"/>
      <w:r>
        <w:rPr>
          <w:rFonts w:hint="eastAsia"/>
        </w:rPr>
        <w:t>Urteil</w:t>
      </w:r>
      <w:proofErr w:type="spellEnd"/>
      <w:r>
        <w:rPr>
          <w:rFonts w:hint="eastAsia"/>
        </w:rPr>
        <w:t xml:space="preserve"> v. 26.11.1991 </w:t>
      </w:r>
      <w:proofErr w:type="spellStart"/>
      <w:r>
        <w:rPr>
          <w:rFonts w:hint="eastAsia"/>
        </w:rPr>
        <w:t>vom</w:t>
      </w:r>
      <w:proofErr w:type="spellEnd"/>
      <w:r>
        <w:rPr>
          <w:rFonts w:hint="eastAsia"/>
        </w:rPr>
        <w:t xml:space="preserve"> OVG </w:t>
      </w:r>
      <w:proofErr w:type="spellStart"/>
      <w:r>
        <w:rPr>
          <w:rFonts w:hint="eastAsia"/>
        </w:rPr>
        <w:t>M</w:t>
      </w:r>
      <w:r>
        <w:t>ü</w:t>
      </w:r>
      <w:r>
        <w:rPr>
          <w:rFonts w:hint="eastAsia"/>
        </w:rPr>
        <w:t>nster</w:t>
      </w:r>
      <w:proofErr w:type="spellEnd"/>
      <w:r>
        <w:rPr>
          <w:rFonts w:hint="eastAsia"/>
        </w:rPr>
        <w:t>, JZ 1992, S. 1082</w:t>
      </w:r>
    </w:p>
  </w:footnote>
  <w:footnote w:id="28">
    <w:p w:rsidR="00683971" w:rsidRDefault="006D0E61">
      <w:pPr>
        <w:pStyle w:val="a5"/>
      </w:pPr>
      <w:r>
        <w:rPr>
          <w:rStyle w:val="a6"/>
        </w:rPr>
        <w:footnoteRef/>
      </w:r>
      <w:r>
        <w:rPr>
          <w:rFonts w:hint="eastAsia"/>
        </w:rPr>
        <w:t xml:space="preserve"> </w:t>
      </w:r>
      <w:r>
        <w:rPr>
          <w:rFonts w:hint="eastAsia"/>
        </w:rPr>
        <w:t>於此，金錢給付包括一次性與持續性的給付；</w:t>
      </w:r>
      <w:proofErr w:type="gramStart"/>
      <w:r>
        <w:rPr>
          <w:rFonts w:hint="eastAsia"/>
        </w:rPr>
        <w:t>可分物的</w:t>
      </w:r>
      <w:proofErr w:type="gramEnd"/>
      <w:r>
        <w:rPr>
          <w:rFonts w:hint="eastAsia"/>
        </w:rPr>
        <w:t>給付包括，可代替物的給付或者，在時間上可分的不可代替物的給付：</w:t>
      </w:r>
      <w:r>
        <w:rPr>
          <w:rFonts w:hint="eastAsia"/>
        </w:rPr>
        <w:t xml:space="preserve">H.-U. </w:t>
      </w:r>
      <w:proofErr w:type="spellStart"/>
      <w:r>
        <w:rPr>
          <w:rFonts w:hint="eastAsia"/>
        </w:rPr>
        <w:t>Erichsen</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 xml:space="preserve">Fn. 105), </w:t>
      </w:r>
      <w:r>
        <w:t>§</w:t>
      </w:r>
      <w:r>
        <w:rPr>
          <w:rFonts w:hint="eastAsia"/>
        </w:rPr>
        <w:t xml:space="preserve"> 17 Rn. 26; S. </w:t>
      </w:r>
      <w:proofErr w:type="spellStart"/>
      <w:r>
        <w:rPr>
          <w:rFonts w:hint="eastAsia"/>
        </w:rPr>
        <w:t>Detterbeck</w:t>
      </w:r>
      <w:proofErr w:type="spellEnd"/>
      <w:r>
        <w:rPr>
          <w:rFonts w:hint="eastAsia"/>
        </w:rPr>
        <w:t xml:space="preserve">, </w:t>
      </w:r>
      <w:proofErr w:type="spellStart"/>
      <w:r>
        <w:rPr>
          <w:rFonts w:hint="eastAsia"/>
        </w:rPr>
        <w:t>a.a.O</w:t>
      </w:r>
      <w:proofErr w:type="spellEnd"/>
      <w:r>
        <w:rPr>
          <w:rFonts w:hint="eastAsia"/>
        </w:rPr>
        <w:t xml:space="preserve">.(Fn. 110), </w:t>
      </w:r>
      <w:r>
        <w:t>§</w:t>
      </w:r>
      <w:r>
        <w:rPr>
          <w:rFonts w:hint="eastAsia"/>
        </w:rPr>
        <w:t xml:space="preserve"> 10 Rn. 696.</w:t>
      </w:r>
    </w:p>
  </w:footnote>
  <w:footnote w:id="29">
    <w:p w:rsidR="00683971" w:rsidRDefault="006D0E61">
      <w:pPr>
        <w:pStyle w:val="a5"/>
      </w:pPr>
      <w:r>
        <w:rPr>
          <w:rStyle w:val="a6"/>
        </w:rPr>
        <w:footnoteRef/>
      </w:r>
      <w:r>
        <w:t xml:space="preserve"> </w:t>
      </w:r>
      <w:r>
        <w:rPr>
          <w:rFonts w:hint="eastAsia"/>
        </w:rPr>
        <w:t>其規定，「不當得利之受領人，其所受利益已不存在者，免除</w:t>
      </w:r>
      <w:proofErr w:type="gramStart"/>
      <w:r>
        <w:rPr>
          <w:rFonts w:hint="eastAsia"/>
        </w:rPr>
        <w:t>返還或償還</w:t>
      </w:r>
      <w:proofErr w:type="gramEnd"/>
      <w:r>
        <w:rPr>
          <w:rFonts w:hint="eastAsia"/>
        </w:rPr>
        <w:t>價額之義務」。</w:t>
      </w:r>
    </w:p>
  </w:footnote>
  <w:footnote w:id="30">
    <w:p w:rsidR="00683971" w:rsidRDefault="006D0E61">
      <w:pPr>
        <w:pStyle w:val="a5"/>
      </w:pPr>
      <w:r>
        <w:rPr>
          <w:rStyle w:val="a6"/>
        </w:rPr>
        <w:footnoteRef/>
      </w:r>
      <w:r>
        <w:t xml:space="preserve"> </w:t>
      </w:r>
      <w:r>
        <w:rPr>
          <w:rFonts w:hint="eastAsia"/>
        </w:rPr>
        <w:t xml:space="preserve">Wolff / </w:t>
      </w:r>
      <w:proofErr w:type="spellStart"/>
      <w:r>
        <w:rPr>
          <w:rFonts w:hint="eastAsia"/>
        </w:rPr>
        <w:t>Bachof</w:t>
      </w:r>
      <w:proofErr w:type="spellEnd"/>
      <w:r>
        <w:rPr>
          <w:rFonts w:hint="eastAsia"/>
        </w:rPr>
        <w:t xml:space="preserve"> / </w:t>
      </w:r>
      <w:proofErr w:type="spellStart"/>
      <w:r>
        <w:rPr>
          <w:rFonts w:hint="eastAsia"/>
        </w:rPr>
        <w:t>Stober</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 xml:space="preserve">Fn. 106), S.745; H.-U. </w:t>
      </w:r>
      <w:proofErr w:type="spellStart"/>
      <w:r>
        <w:rPr>
          <w:rFonts w:hint="eastAsia"/>
        </w:rPr>
        <w:t>Erichsen</w:t>
      </w:r>
      <w:proofErr w:type="spellEnd"/>
      <w:r>
        <w:rPr>
          <w:rFonts w:hint="eastAsia"/>
        </w:rPr>
        <w:t xml:space="preserve"> / D. L. </w:t>
      </w:r>
      <w:proofErr w:type="spellStart"/>
      <w:r>
        <w:rPr>
          <w:rFonts w:hint="eastAsia"/>
        </w:rPr>
        <w:t>Br</w:t>
      </w:r>
      <w:r>
        <w:t>ü</w:t>
      </w:r>
      <w:r>
        <w:rPr>
          <w:rFonts w:hint="eastAsia"/>
        </w:rPr>
        <w:t>gge</w:t>
      </w:r>
      <w:proofErr w:type="gramStart"/>
      <w:r>
        <w:rPr>
          <w:rFonts w:hint="eastAsia"/>
        </w:rPr>
        <w:t>,a.a.O</w:t>
      </w:r>
      <w:proofErr w:type="spellEnd"/>
      <w:proofErr w:type="gramEnd"/>
      <w:r>
        <w:rPr>
          <w:rFonts w:hint="eastAsia"/>
        </w:rPr>
        <w:t xml:space="preserve">.(Fn. 110), Jura 1999, S. 161; S. </w:t>
      </w:r>
      <w:proofErr w:type="spellStart"/>
      <w:r>
        <w:rPr>
          <w:rFonts w:hint="eastAsia"/>
        </w:rPr>
        <w:t>Detterbeck</w:t>
      </w:r>
      <w:proofErr w:type="spellEnd"/>
      <w:r>
        <w:rPr>
          <w:rFonts w:hint="eastAsia"/>
        </w:rPr>
        <w:t xml:space="preserve">, </w:t>
      </w:r>
      <w:proofErr w:type="spellStart"/>
      <w:r>
        <w:rPr>
          <w:rFonts w:hint="eastAsia"/>
        </w:rPr>
        <w:t>a.a.O</w:t>
      </w:r>
      <w:proofErr w:type="spellEnd"/>
      <w:r>
        <w:rPr>
          <w:rFonts w:hint="eastAsia"/>
        </w:rPr>
        <w:t xml:space="preserve">.(Fn. 110), </w:t>
      </w:r>
      <w:r>
        <w:t>§</w:t>
      </w:r>
      <w:r>
        <w:rPr>
          <w:rFonts w:hint="eastAsia"/>
        </w:rPr>
        <w:t xml:space="preserve"> 10 Rn. 700. </w:t>
      </w:r>
      <w:r>
        <w:rPr>
          <w:rFonts w:hint="eastAsia"/>
        </w:rPr>
        <w:t>中文文獻：陳敏，</w:t>
      </w:r>
      <w:proofErr w:type="gramStart"/>
      <w:r>
        <w:rPr>
          <w:rFonts w:hint="eastAsia"/>
        </w:rPr>
        <w:t>前揭書</w:t>
      </w:r>
      <w:proofErr w:type="gramEnd"/>
      <w:r>
        <w:rPr>
          <w:rFonts w:hint="eastAsia"/>
        </w:rPr>
        <w:t>（見</w:t>
      </w:r>
      <w:proofErr w:type="gramStart"/>
      <w:r>
        <w:rPr>
          <w:rFonts w:hint="eastAsia"/>
        </w:rPr>
        <w:t>註</w:t>
      </w:r>
      <w:proofErr w:type="gramEnd"/>
      <w:r>
        <w:rPr>
          <w:rFonts w:hint="eastAsia"/>
        </w:rPr>
        <w:t>34</w:t>
      </w:r>
      <w:r>
        <w:rPr>
          <w:rFonts w:hint="eastAsia"/>
        </w:rPr>
        <w:t>），頁</w:t>
      </w:r>
      <w:r>
        <w:rPr>
          <w:rFonts w:hint="eastAsia"/>
        </w:rPr>
        <w:t>462</w:t>
      </w:r>
      <w:r>
        <w:rPr>
          <w:rFonts w:hint="eastAsia"/>
        </w:rPr>
        <w:t>。</w:t>
      </w:r>
    </w:p>
  </w:footnote>
  <w:footnote w:id="31">
    <w:p w:rsidR="00683971" w:rsidRDefault="006D0E61">
      <w:pPr>
        <w:pStyle w:val="a5"/>
        <w:rPr>
          <w:color w:val="000000"/>
          <w:lang w:val="de-DE"/>
        </w:rPr>
      </w:pPr>
      <w:r>
        <w:rPr>
          <w:rStyle w:val="a6"/>
          <w:color w:val="000000"/>
        </w:rPr>
        <w:footnoteRef/>
      </w:r>
      <w:r>
        <w:rPr>
          <w:color w:val="000000"/>
          <w:lang w:val="de-DE"/>
        </w:rPr>
        <w:t xml:space="preserve"> </w:t>
      </w:r>
      <w:r>
        <w:rPr>
          <w:rFonts w:hint="eastAsia"/>
          <w:color w:val="000000"/>
          <w:lang w:val="de-DE"/>
        </w:rPr>
        <w:t xml:space="preserve">H. Maurer, a.a.O.(Fn. 17), Rn. 69; H.-U. Erichsen, a.a.O.(Fn. 105), </w:t>
      </w:r>
      <w:r>
        <w:rPr>
          <w:color w:val="000000"/>
          <w:lang w:val="de-DE"/>
        </w:rPr>
        <w:t>§</w:t>
      </w:r>
      <w:r>
        <w:rPr>
          <w:rFonts w:hint="eastAsia"/>
          <w:color w:val="000000"/>
          <w:lang w:val="de-DE"/>
        </w:rPr>
        <w:t xml:space="preserve"> 17 Rn. 29.</w:t>
      </w:r>
    </w:p>
  </w:footnote>
  <w:footnote w:id="32">
    <w:p w:rsidR="00683971" w:rsidRDefault="006D0E61">
      <w:pPr>
        <w:pStyle w:val="a5"/>
      </w:pPr>
      <w:r>
        <w:rPr>
          <w:rStyle w:val="a6"/>
        </w:rPr>
        <w:footnoteRef/>
      </w:r>
      <w:r>
        <w:t xml:space="preserve"> </w:t>
      </w:r>
      <w:r>
        <w:rPr>
          <w:rFonts w:hint="eastAsia"/>
        </w:rPr>
        <w:t xml:space="preserve">Wolff / </w:t>
      </w:r>
      <w:proofErr w:type="spellStart"/>
      <w:r>
        <w:rPr>
          <w:rFonts w:hint="eastAsia"/>
        </w:rPr>
        <w:t>Bachof</w:t>
      </w:r>
      <w:proofErr w:type="spellEnd"/>
      <w:r>
        <w:rPr>
          <w:rFonts w:hint="eastAsia"/>
        </w:rPr>
        <w:t xml:space="preserve"> / </w:t>
      </w:r>
      <w:proofErr w:type="spellStart"/>
      <w:r>
        <w:rPr>
          <w:rFonts w:hint="eastAsia"/>
        </w:rPr>
        <w:t>Stober</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Fn. 106), S. 750.</w:t>
      </w:r>
    </w:p>
  </w:footnote>
  <w:footnote w:id="33">
    <w:p w:rsidR="00683971" w:rsidRDefault="006D0E61">
      <w:pPr>
        <w:pStyle w:val="a5"/>
      </w:pPr>
      <w:r>
        <w:rPr>
          <w:rStyle w:val="a6"/>
        </w:rPr>
        <w:footnoteRef/>
      </w:r>
      <w:r>
        <w:t xml:space="preserve"> </w:t>
      </w:r>
      <w:r>
        <w:rPr>
          <w:rFonts w:hint="eastAsia"/>
        </w:rPr>
        <w:t>同樣強調，只須有「信賴之存在」，質言之，行政處分之相對人已信賴行政處分的存續，無須要求必須有「信賴表現」（</w:t>
      </w:r>
      <w:r>
        <w:t>=</w:t>
      </w:r>
      <w:r>
        <w:rPr>
          <w:rFonts w:hint="eastAsia"/>
        </w:rPr>
        <w:t xml:space="preserve"> </w:t>
      </w:r>
      <w:r>
        <w:rPr>
          <w:rFonts w:hint="eastAsia"/>
        </w:rPr>
        <w:t>基於其信賴而有具體的對外表現行為）：洪</w:t>
      </w:r>
      <w:proofErr w:type="gramStart"/>
      <w:r>
        <w:rPr>
          <w:rFonts w:hint="eastAsia"/>
        </w:rPr>
        <w:t>家殷，前揭文</w:t>
      </w:r>
      <w:proofErr w:type="gramEnd"/>
      <w:r>
        <w:rPr>
          <w:rFonts w:hint="eastAsia"/>
        </w:rPr>
        <w:t>（見</w:t>
      </w:r>
      <w:proofErr w:type="gramStart"/>
      <w:r>
        <w:rPr>
          <w:rFonts w:hint="eastAsia"/>
        </w:rPr>
        <w:t>註</w:t>
      </w:r>
      <w:proofErr w:type="gramEnd"/>
      <w:r>
        <w:rPr>
          <w:rFonts w:hint="eastAsia"/>
        </w:rPr>
        <w:t>32</w:t>
      </w:r>
      <w:r>
        <w:rPr>
          <w:rFonts w:hint="eastAsia"/>
        </w:rPr>
        <w:t>），頁</w:t>
      </w:r>
      <w:r>
        <w:rPr>
          <w:rFonts w:hint="eastAsia"/>
        </w:rPr>
        <w:t>44-46</w:t>
      </w:r>
      <w:r>
        <w:rPr>
          <w:rFonts w:hint="eastAsia"/>
        </w:rPr>
        <w:t>；類此：陳敏，</w:t>
      </w:r>
      <w:proofErr w:type="gramStart"/>
      <w:r>
        <w:rPr>
          <w:rFonts w:hint="eastAsia"/>
        </w:rPr>
        <w:t>前揭書</w:t>
      </w:r>
      <w:proofErr w:type="gramEnd"/>
      <w:r>
        <w:rPr>
          <w:rFonts w:hint="eastAsia"/>
        </w:rPr>
        <w:t>（見</w:t>
      </w:r>
      <w:proofErr w:type="gramStart"/>
      <w:r>
        <w:rPr>
          <w:rFonts w:hint="eastAsia"/>
        </w:rPr>
        <w:t>註</w:t>
      </w:r>
      <w:proofErr w:type="gramEnd"/>
      <w:r>
        <w:rPr>
          <w:rFonts w:hint="eastAsia"/>
        </w:rPr>
        <w:t>34</w:t>
      </w:r>
      <w:r>
        <w:rPr>
          <w:rFonts w:hint="eastAsia"/>
        </w:rPr>
        <w:t>），頁</w:t>
      </w:r>
      <w:r>
        <w:rPr>
          <w:rFonts w:hint="eastAsia"/>
        </w:rPr>
        <w:t>459</w:t>
      </w:r>
      <w:r>
        <w:rPr>
          <w:rFonts w:hint="eastAsia"/>
        </w:rPr>
        <w:t>。</w:t>
      </w:r>
    </w:p>
  </w:footnote>
  <w:footnote w:id="34">
    <w:p w:rsidR="00683971" w:rsidRDefault="006D0E61">
      <w:pPr>
        <w:pStyle w:val="a5"/>
      </w:pPr>
      <w:r>
        <w:rPr>
          <w:rStyle w:val="a6"/>
        </w:rPr>
        <w:footnoteRef/>
      </w:r>
      <w:r>
        <w:t xml:space="preserve"> </w:t>
      </w:r>
      <w:r>
        <w:rPr>
          <w:rFonts w:hint="eastAsia"/>
        </w:rPr>
        <w:t>洪家殷教授明白指出，有關信賴是否值得保護要件之探討，重點集中在不值得保護之信賴的排除：洪家殷，</w:t>
      </w:r>
      <w:proofErr w:type="gramStart"/>
      <w:r>
        <w:rPr>
          <w:rFonts w:hint="eastAsia"/>
        </w:rPr>
        <w:t>前揭文</w:t>
      </w:r>
      <w:proofErr w:type="gramEnd"/>
      <w:r>
        <w:rPr>
          <w:rFonts w:hint="eastAsia"/>
        </w:rPr>
        <w:t>（</w:t>
      </w:r>
      <w:r>
        <w:rPr>
          <w:rFonts w:hint="eastAsia"/>
        </w:rPr>
        <w:t>見</w:t>
      </w:r>
      <w:proofErr w:type="gramStart"/>
      <w:r>
        <w:rPr>
          <w:rFonts w:hint="eastAsia"/>
        </w:rPr>
        <w:t>註</w:t>
      </w:r>
      <w:proofErr w:type="gramEnd"/>
      <w:r>
        <w:rPr>
          <w:rFonts w:hint="eastAsia"/>
        </w:rPr>
        <w:t>32</w:t>
      </w:r>
      <w:r>
        <w:rPr>
          <w:rFonts w:hint="eastAsia"/>
        </w:rPr>
        <w:t>），頁</w:t>
      </w:r>
      <w:r>
        <w:rPr>
          <w:rFonts w:hint="eastAsia"/>
        </w:rPr>
        <w:t>50-51</w:t>
      </w:r>
      <w:r>
        <w:rPr>
          <w:rFonts w:hint="eastAsia"/>
        </w:rPr>
        <w:t>。</w:t>
      </w:r>
    </w:p>
  </w:footnote>
  <w:footnote w:id="35">
    <w:p w:rsidR="00683971" w:rsidRDefault="006D0E61">
      <w:pPr>
        <w:pStyle w:val="a5"/>
      </w:pPr>
      <w:r>
        <w:rPr>
          <w:rStyle w:val="a6"/>
        </w:rPr>
        <w:footnoteRef/>
      </w:r>
      <w:r>
        <w:t xml:space="preserve"> </w:t>
      </w:r>
      <w:r>
        <w:rPr>
          <w:rFonts w:hint="eastAsia"/>
        </w:rPr>
        <w:t>陳愛娥，</w:t>
      </w:r>
      <w:proofErr w:type="gramStart"/>
      <w:r>
        <w:rPr>
          <w:rFonts w:hint="eastAsia"/>
        </w:rPr>
        <w:t>前揭文</w:t>
      </w:r>
      <w:proofErr w:type="gramEnd"/>
      <w:r>
        <w:rPr>
          <w:rFonts w:hint="eastAsia"/>
        </w:rPr>
        <w:t>（</w:t>
      </w:r>
      <w:r>
        <w:rPr>
          <w:rFonts w:hint="eastAsia"/>
        </w:rPr>
        <w:t>見</w:t>
      </w:r>
      <w:proofErr w:type="gramStart"/>
      <w:r>
        <w:rPr>
          <w:rFonts w:hint="eastAsia"/>
        </w:rPr>
        <w:t>註</w:t>
      </w:r>
      <w:proofErr w:type="gramEnd"/>
      <w:r>
        <w:rPr>
          <w:rFonts w:ascii="新細明體" w:hAnsi="新細明體" w:hint="eastAsia"/>
        </w:rPr>
        <w:t>12</w:t>
      </w:r>
      <w:r>
        <w:rPr>
          <w:rFonts w:hint="eastAsia"/>
        </w:rPr>
        <w:t>），頁</w:t>
      </w:r>
      <w:r>
        <w:rPr>
          <w:rFonts w:hint="eastAsia"/>
        </w:rPr>
        <w:t>28</w:t>
      </w:r>
      <w:r>
        <w:rPr>
          <w:rFonts w:hint="eastAsia"/>
        </w:rPr>
        <w:t>。</w:t>
      </w:r>
    </w:p>
  </w:footnote>
  <w:footnote w:id="36">
    <w:p w:rsidR="00683971" w:rsidRDefault="006D0E61">
      <w:pPr>
        <w:pStyle w:val="a5"/>
      </w:pPr>
      <w:r>
        <w:rPr>
          <w:rStyle w:val="a6"/>
        </w:rPr>
        <w:footnoteRef/>
      </w:r>
      <w:r>
        <w:t xml:space="preserve"> </w:t>
      </w:r>
      <w:r>
        <w:rPr>
          <w:rFonts w:hint="eastAsia"/>
        </w:rPr>
        <w:t xml:space="preserve">Wolff / </w:t>
      </w:r>
      <w:proofErr w:type="spellStart"/>
      <w:r>
        <w:rPr>
          <w:rFonts w:hint="eastAsia"/>
        </w:rPr>
        <w:t>Bachof</w:t>
      </w:r>
      <w:proofErr w:type="spellEnd"/>
      <w:r>
        <w:rPr>
          <w:rFonts w:hint="eastAsia"/>
        </w:rPr>
        <w:t xml:space="preserve"> / </w:t>
      </w:r>
      <w:proofErr w:type="spellStart"/>
      <w:r>
        <w:rPr>
          <w:rFonts w:hint="eastAsia"/>
        </w:rPr>
        <w:t>Stober</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 xml:space="preserve">Fn. 106), S. 751; H.-U. </w:t>
      </w:r>
      <w:proofErr w:type="spellStart"/>
      <w:r>
        <w:rPr>
          <w:rFonts w:hint="eastAsia"/>
        </w:rPr>
        <w:t>Erichsen</w:t>
      </w:r>
      <w:proofErr w:type="spellEnd"/>
      <w:r>
        <w:rPr>
          <w:rFonts w:hint="eastAsia"/>
        </w:rPr>
        <w:t xml:space="preserve"> / D. L. </w:t>
      </w:r>
      <w:proofErr w:type="spellStart"/>
      <w:r>
        <w:rPr>
          <w:rFonts w:hint="eastAsia"/>
        </w:rPr>
        <w:t>Br</w:t>
      </w:r>
      <w:r>
        <w:t>ü</w:t>
      </w:r>
      <w:r>
        <w:rPr>
          <w:rFonts w:hint="eastAsia"/>
        </w:rPr>
        <w:t>gge</w:t>
      </w:r>
      <w:proofErr w:type="gramStart"/>
      <w:r>
        <w:rPr>
          <w:rFonts w:hint="eastAsia"/>
        </w:rPr>
        <w:t>,a.a.O</w:t>
      </w:r>
      <w:proofErr w:type="spellEnd"/>
      <w:proofErr w:type="gramEnd"/>
      <w:r>
        <w:rPr>
          <w:rFonts w:hint="eastAsia"/>
        </w:rPr>
        <w:t xml:space="preserve">.(Fn. 110), Jura 1999, S. 162; S. </w:t>
      </w:r>
      <w:proofErr w:type="spellStart"/>
      <w:r>
        <w:rPr>
          <w:rFonts w:hint="eastAsia"/>
        </w:rPr>
        <w:t>Detterbeck</w:t>
      </w:r>
      <w:proofErr w:type="spellEnd"/>
      <w:r>
        <w:rPr>
          <w:rFonts w:hint="eastAsia"/>
        </w:rPr>
        <w:t xml:space="preserve">, </w:t>
      </w:r>
      <w:proofErr w:type="spellStart"/>
      <w:r>
        <w:rPr>
          <w:rFonts w:hint="eastAsia"/>
        </w:rPr>
        <w:t>a.a.O</w:t>
      </w:r>
      <w:proofErr w:type="spellEnd"/>
      <w:r>
        <w:rPr>
          <w:rFonts w:hint="eastAsia"/>
        </w:rPr>
        <w:t xml:space="preserve">.(Fn. 110), </w:t>
      </w:r>
      <w:r>
        <w:t>§</w:t>
      </w:r>
      <w:r>
        <w:rPr>
          <w:rFonts w:hint="eastAsia"/>
        </w:rPr>
        <w:t xml:space="preserve"> 10 Rn. 705.</w:t>
      </w:r>
    </w:p>
  </w:footnote>
  <w:footnote w:id="37">
    <w:p w:rsidR="00683971" w:rsidRDefault="006D0E61">
      <w:pPr>
        <w:pStyle w:val="a5"/>
        <w:rPr>
          <w:color w:val="000000"/>
        </w:rPr>
      </w:pPr>
      <w:r>
        <w:rPr>
          <w:rStyle w:val="a6"/>
        </w:rPr>
        <w:footnoteRef/>
      </w:r>
      <w:r>
        <w:rPr>
          <w:lang w:val="de-DE"/>
        </w:rPr>
        <w:t xml:space="preserve"> </w:t>
      </w:r>
      <w:r>
        <w:rPr>
          <w:rFonts w:hint="eastAsia"/>
          <w:lang w:val="de-DE"/>
        </w:rPr>
        <w:t xml:space="preserve">Wolff / Bachof / Stober, a.a.O.(Fn. 106), S. 752; </w:t>
      </w:r>
      <w:r>
        <w:rPr>
          <w:rFonts w:hint="eastAsia"/>
          <w:color w:val="000000"/>
          <w:lang w:val="de-DE"/>
        </w:rPr>
        <w:t xml:space="preserve">Kopp / Ramsauer, Verwaltumgsverfahrensgesetz, 7. </w:t>
      </w:r>
      <w:proofErr w:type="spellStart"/>
      <w:r>
        <w:rPr>
          <w:rFonts w:hint="eastAsia"/>
          <w:color w:val="000000"/>
        </w:rPr>
        <w:t>Aufl</w:t>
      </w:r>
      <w:proofErr w:type="spellEnd"/>
      <w:r>
        <w:rPr>
          <w:rFonts w:hint="eastAsia"/>
          <w:color w:val="000000"/>
        </w:rPr>
        <w:t xml:space="preserve">., 2000, </w:t>
      </w:r>
      <w:r>
        <w:rPr>
          <w:color w:val="000000"/>
        </w:rPr>
        <w:t>§</w:t>
      </w:r>
      <w:r>
        <w:rPr>
          <w:rFonts w:hint="eastAsia"/>
          <w:color w:val="000000"/>
        </w:rPr>
        <w:t xml:space="preserve"> 48 Rn. 130.</w:t>
      </w:r>
    </w:p>
  </w:footnote>
  <w:footnote w:id="38">
    <w:p w:rsidR="00683971" w:rsidRDefault="006D0E61">
      <w:pPr>
        <w:pStyle w:val="a5"/>
      </w:pPr>
      <w:r>
        <w:rPr>
          <w:rStyle w:val="a6"/>
        </w:rPr>
        <w:footnoteRef/>
      </w:r>
      <w:r>
        <w:t xml:space="preserve"> </w:t>
      </w:r>
      <w:r>
        <w:rPr>
          <w:rFonts w:hint="eastAsia"/>
        </w:rPr>
        <w:t xml:space="preserve">Wolff / </w:t>
      </w:r>
      <w:proofErr w:type="spellStart"/>
      <w:r>
        <w:rPr>
          <w:rFonts w:hint="eastAsia"/>
        </w:rPr>
        <w:t>Bachof</w:t>
      </w:r>
      <w:proofErr w:type="spellEnd"/>
      <w:r>
        <w:rPr>
          <w:rFonts w:hint="eastAsia"/>
        </w:rPr>
        <w:t xml:space="preserve"> / </w:t>
      </w:r>
      <w:proofErr w:type="spellStart"/>
      <w:r>
        <w:rPr>
          <w:rFonts w:hint="eastAsia"/>
        </w:rPr>
        <w:t>Stober</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Fn. 106), S. 753.</w:t>
      </w:r>
    </w:p>
  </w:footnote>
  <w:footnote w:id="39">
    <w:p w:rsidR="00683971" w:rsidRDefault="006D0E61">
      <w:pPr>
        <w:pStyle w:val="a5"/>
      </w:pPr>
      <w:r>
        <w:rPr>
          <w:rStyle w:val="a6"/>
        </w:rPr>
        <w:footnoteRef/>
      </w:r>
      <w:r>
        <w:t xml:space="preserve"> </w:t>
      </w:r>
      <w:r>
        <w:rPr>
          <w:rFonts w:hint="eastAsia"/>
        </w:rPr>
        <w:t xml:space="preserve">Wolff / </w:t>
      </w:r>
      <w:proofErr w:type="spellStart"/>
      <w:r>
        <w:rPr>
          <w:rFonts w:hint="eastAsia"/>
        </w:rPr>
        <w:t>Bachof</w:t>
      </w:r>
      <w:proofErr w:type="spellEnd"/>
      <w:r>
        <w:rPr>
          <w:rFonts w:hint="eastAsia"/>
        </w:rPr>
        <w:t xml:space="preserve"> / </w:t>
      </w:r>
      <w:proofErr w:type="spellStart"/>
      <w:r>
        <w:rPr>
          <w:rFonts w:hint="eastAsia"/>
        </w:rPr>
        <w:t>Stober</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Fn. 106), S. 753-754.</w:t>
      </w:r>
    </w:p>
  </w:footnote>
  <w:footnote w:id="40">
    <w:p w:rsidR="00683971" w:rsidRDefault="006D0E61">
      <w:pPr>
        <w:pStyle w:val="a5"/>
        <w:rPr>
          <w:lang w:val="de-DE"/>
        </w:rPr>
      </w:pPr>
      <w:r>
        <w:rPr>
          <w:rStyle w:val="a6"/>
        </w:rPr>
        <w:footnoteRef/>
      </w:r>
      <w:r>
        <w:rPr>
          <w:lang w:val="de-DE"/>
        </w:rPr>
        <w:t xml:space="preserve"> </w:t>
      </w:r>
      <w:r>
        <w:rPr>
          <w:rFonts w:hint="eastAsia"/>
          <w:lang w:val="de-DE"/>
        </w:rPr>
        <w:t>H.-U. Erichsen / D. L. Br</w:t>
      </w:r>
      <w:r>
        <w:rPr>
          <w:lang w:val="de-DE"/>
        </w:rPr>
        <w:t>ü</w:t>
      </w:r>
      <w:r>
        <w:rPr>
          <w:rFonts w:hint="eastAsia"/>
          <w:lang w:val="de-DE"/>
        </w:rPr>
        <w:t>gge,a.a.O.(Fn. 110), Jura 1999, S. 163.</w:t>
      </w:r>
    </w:p>
  </w:footnote>
  <w:footnote w:id="41">
    <w:p w:rsidR="00683971" w:rsidRDefault="006D0E61">
      <w:pPr>
        <w:pStyle w:val="a5"/>
      </w:pPr>
      <w:r>
        <w:rPr>
          <w:rStyle w:val="a6"/>
        </w:rPr>
        <w:footnoteRef/>
      </w:r>
      <w:r>
        <w:t xml:space="preserve"> </w:t>
      </w:r>
      <w:r>
        <w:rPr>
          <w:rFonts w:hint="eastAsia"/>
        </w:rPr>
        <w:t xml:space="preserve">S. </w:t>
      </w:r>
      <w:proofErr w:type="spellStart"/>
      <w:r>
        <w:rPr>
          <w:rFonts w:hint="eastAsia"/>
        </w:rPr>
        <w:t>Detterbeck</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 xml:space="preserve">Fn. 110), </w:t>
      </w:r>
      <w:r>
        <w:t>§</w:t>
      </w:r>
      <w:r>
        <w:rPr>
          <w:rFonts w:hint="eastAsia"/>
        </w:rPr>
        <w:t xml:space="preserve"> 10 Rn. 714.</w:t>
      </w:r>
    </w:p>
  </w:footnote>
  <w:footnote w:id="42">
    <w:p w:rsidR="00683971" w:rsidRDefault="006D0E61">
      <w:pPr>
        <w:pStyle w:val="a5"/>
      </w:pPr>
      <w:r>
        <w:rPr>
          <w:rStyle w:val="a6"/>
        </w:rPr>
        <w:footnoteRef/>
      </w:r>
      <w:r>
        <w:t xml:space="preserve"> </w:t>
      </w:r>
      <w:r>
        <w:rPr>
          <w:rFonts w:hint="eastAsia"/>
        </w:rPr>
        <w:t xml:space="preserve">Wolff / </w:t>
      </w:r>
      <w:proofErr w:type="spellStart"/>
      <w:r>
        <w:rPr>
          <w:rFonts w:hint="eastAsia"/>
        </w:rPr>
        <w:t>Bachof</w:t>
      </w:r>
      <w:proofErr w:type="spellEnd"/>
      <w:r>
        <w:rPr>
          <w:rFonts w:hint="eastAsia"/>
        </w:rPr>
        <w:t xml:space="preserve"> / </w:t>
      </w:r>
      <w:proofErr w:type="spellStart"/>
      <w:r>
        <w:rPr>
          <w:rFonts w:hint="eastAsia"/>
        </w:rPr>
        <w:t>Stober</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 xml:space="preserve">Fn. 106), S. 755; H. Maurer, </w:t>
      </w:r>
      <w:proofErr w:type="spellStart"/>
      <w:r>
        <w:rPr>
          <w:rFonts w:hint="eastAsia"/>
        </w:rPr>
        <w:t>a.a.O</w:t>
      </w:r>
      <w:proofErr w:type="spellEnd"/>
      <w:r>
        <w:rPr>
          <w:rFonts w:hint="eastAsia"/>
        </w:rPr>
        <w:t>.(Fn. 17), Rn. 70.</w:t>
      </w:r>
    </w:p>
  </w:footnote>
  <w:footnote w:id="43">
    <w:p w:rsidR="00683971" w:rsidRDefault="006D0E61">
      <w:pPr>
        <w:pStyle w:val="a5"/>
      </w:pPr>
      <w:r>
        <w:rPr>
          <w:rStyle w:val="a6"/>
        </w:rPr>
        <w:footnoteRef/>
      </w:r>
      <w:r>
        <w:t xml:space="preserve"> </w:t>
      </w:r>
      <w:r>
        <w:rPr>
          <w:rFonts w:hint="eastAsia"/>
        </w:rPr>
        <w:t xml:space="preserve">Wolff / </w:t>
      </w:r>
      <w:proofErr w:type="spellStart"/>
      <w:r>
        <w:rPr>
          <w:rFonts w:hint="eastAsia"/>
        </w:rPr>
        <w:t>Bachof</w:t>
      </w:r>
      <w:proofErr w:type="spellEnd"/>
      <w:r>
        <w:rPr>
          <w:rFonts w:hint="eastAsia"/>
        </w:rPr>
        <w:t xml:space="preserve"> / </w:t>
      </w:r>
      <w:proofErr w:type="spellStart"/>
      <w:r>
        <w:rPr>
          <w:rFonts w:hint="eastAsia"/>
        </w:rPr>
        <w:t>Stober</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 xml:space="preserve">Fn. 106), S. 757; H.-U. </w:t>
      </w:r>
      <w:proofErr w:type="spellStart"/>
      <w:r>
        <w:rPr>
          <w:rFonts w:hint="eastAsia"/>
        </w:rPr>
        <w:t>Erichsen</w:t>
      </w:r>
      <w:proofErr w:type="spellEnd"/>
      <w:r>
        <w:rPr>
          <w:rFonts w:hint="eastAsia"/>
        </w:rPr>
        <w:t xml:space="preserve"> / D. L. </w:t>
      </w:r>
      <w:proofErr w:type="spellStart"/>
      <w:r>
        <w:rPr>
          <w:rFonts w:hint="eastAsia"/>
        </w:rPr>
        <w:t>Br</w:t>
      </w:r>
      <w:r>
        <w:t>ü</w:t>
      </w:r>
      <w:r>
        <w:rPr>
          <w:rFonts w:hint="eastAsia"/>
        </w:rPr>
        <w:t>gge</w:t>
      </w:r>
      <w:proofErr w:type="gramStart"/>
      <w:r>
        <w:rPr>
          <w:rFonts w:hint="eastAsia"/>
        </w:rPr>
        <w:t>,a.a.O</w:t>
      </w:r>
      <w:proofErr w:type="spellEnd"/>
      <w:proofErr w:type="gramEnd"/>
      <w:r>
        <w:rPr>
          <w:rFonts w:hint="eastAsia"/>
        </w:rPr>
        <w:t xml:space="preserve">.(Fn. 110), Jura 1999, S. 163; S. </w:t>
      </w:r>
      <w:proofErr w:type="spellStart"/>
      <w:r>
        <w:rPr>
          <w:rFonts w:hint="eastAsia"/>
        </w:rPr>
        <w:t>Detterbeck</w:t>
      </w:r>
      <w:proofErr w:type="spellEnd"/>
      <w:r>
        <w:rPr>
          <w:rFonts w:hint="eastAsia"/>
        </w:rPr>
        <w:t xml:space="preserve">, </w:t>
      </w:r>
      <w:proofErr w:type="spellStart"/>
      <w:r>
        <w:rPr>
          <w:rFonts w:hint="eastAsia"/>
        </w:rPr>
        <w:t>a.a.O</w:t>
      </w:r>
      <w:proofErr w:type="spellEnd"/>
      <w:r>
        <w:rPr>
          <w:rFonts w:hint="eastAsia"/>
        </w:rPr>
        <w:t xml:space="preserve">.(Fn. 110), </w:t>
      </w:r>
      <w:r>
        <w:t>§</w:t>
      </w:r>
      <w:r>
        <w:rPr>
          <w:rFonts w:hint="eastAsia"/>
        </w:rPr>
        <w:t xml:space="preserve"> 10 Rn. 709.</w:t>
      </w:r>
    </w:p>
  </w:footnote>
  <w:footnote w:id="44">
    <w:p w:rsidR="00683971" w:rsidRDefault="006D0E61">
      <w:pPr>
        <w:pStyle w:val="a5"/>
      </w:pPr>
      <w:r>
        <w:rPr>
          <w:rStyle w:val="a6"/>
        </w:rPr>
        <w:footnoteRef/>
      </w:r>
      <w:r>
        <w:t xml:space="preserve"> </w:t>
      </w:r>
      <w:r>
        <w:rPr>
          <w:rFonts w:hint="eastAsia"/>
        </w:rPr>
        <w:t xml:space="preserve">Wolff / </w:t>
      </w:r>
      <w:proofErr w:type="spellStart"/>
      <w:r>
        <w:rPr>
          <w:rFonts w:hint="eastAsia"/>
        </w:rPr>
        <w:t>Bachof</w:t>
      </w:r>
      <w:proofErr w:type="spellEnd"/>
      <w:r>
        <w:rPr>
          <w:rFonts w:hint="eastAsia"/>
        </w:rPr>
        <w:t xml:space="preserve"> / </w:t>
      </w:r>
      <w:proofErr w:type="spellStart"/>
      <w:r>
        <w:rPr>
          <w:rFonts w:hint="eastAsia"/>
        </w:rPr>
        <w:t>Stober</w:t>
      </w:r>
      <w:proofErr w:type="spellEnd"/>
      <w:r>
        <w:rPr>
          <w:rFonts w:hint="eastAsia"/>
        </w:rPr>
        <w:t xml:space="preserve">, </w:t>
      </w:r>
      <w:proofErr w:type="spellStart"/>
      <w:r>
        <w:rPr>
          <w:rFonts w:hint="eastAsia"/>
        </w:rPr>
        <w:t>a.a.O</w:t>
      </w:r>
      <w:proofErr w:type="spellEnd"/>
      <w:proofErr w:type="gramStart"/>
      <w:r>
        <w:rPr>
          <w:rFonts w:hint="eastAsia"/>
        </w:rPr>
        <w:t>.(</w:t>
      </w:r>
      <w:proofErr w:type="gramEnd"/>
      <w:r>
        <w:rPr>
          <w:rFonts w:hint="eastAsia"/>
        </w:rPr>
        <w:t>Fn. 106), S. 757-758.</w:t>
      </w:r>
    </w:p>
  </w:footnote>
  <w:footnote w:id="45">
    <w:p w:rsidR="00683971" w:rsidRDefault="006D0E61">
      <w:pPr>
        <w:pStyle w:val="a5"/>
      </w:pPr>
      <w:r>
        <w:rPr>
          <w:rStyle w:val="a6"/>
        </w:rPr>
        <w:footnoteRef/>
      </w:r>
      <w:r>
        <w:t xml:space="preserve"> </w:t>
      </w:r>
      <w:r>
        <w:rPr>
          <w:rFonts w:hint="eastAsia"/>
          <w:color w:val="000000"/>
        </w:rPr>
        <w:t xml:space="preserve">Kopp / </w:t>
      </w:r>
      <w:proofErr w:type="spellStart"/>
      <w:r>
        <w:rPr>
          <w:rFonts w:hint="eastAsia"/>
          <w:color w:val="000000"/>
        </w:rPr>
        <w:t>Ramsauer</w:t>
      </w:r>
      <w:proofErr w:type="spellEnd"/>
      <w:r>
        <w:rPr>
          <w:rFonts w:hint="eastAsia"/>
          <w:color w:val="000000"/>
        </w:rPr>
        <w:t xml:space="preserve">, </w:t>
      </w:r>
      <w:proofErr w:type="spellStart"/>
      <w:r>
        <w:rPr>
          <w:rFonts w:hint="eastAsia"/>
          <w:color w:val="000000"/>
        </w:rPr>
        <w:t>a.a.O</w:t>
      </w:r>
      <w:proofErr w:type="spellEnd"/>
      <w:proofErr w:type="gramStart"/>
      <w:r>
        <w:rPr>
          <w:rFonts w:hint="eastAsia"/>
          <w:color w:val="000000"/>
        </w:rPr>
        <w:t>.(</w:t>
      </w:r>
      <w:proofErr w:type="gramEnd"/>
      <w:r>
        <w:rPr>
          <w:rFonts w:hint="eastAsia"/>
          <w:color w:val="000000"/>
        </w:rPr>
        <w:t xml:space="preserve">Fn. 139), </w:t>
      </w:r>
      <w:r>
        <w:rPr>
          <w:color w:val="000000"/>
        </w:rPr>
        <w:t>§</w:t>
      </w:r>
      <w:r>
        <w:rPr>
          <w:rFonts w:hint="eastAsia"/>
          <w:color w:val="000000"/>
        </w:rPr>
        <w:t xml:space="preserve"> 49a Rn. 19,23.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6D79"/>
    <w:multiLevelType w:val="hybridMultilevel"/>
    <w:tmpl w:val="27DA52AA"/>
    <w:lvl w:ilvl="0" w:tplc="04090015">
      <w:start w:val="1"/>
      <w:numFmt w:val="taiwaneseCountingThousand"/>
      <w:lvlText w:val="%1、"/>
      <w:lvlJc w:val="left"/>
      <w:pPr>
        <w:tabs>
          <w:tab w:val="num" w:pos="480"/>
        </w:tabs>
        <w:ind w:left="480" w:hanging="480"/>
      </w:pPr>
      <w:rPr>
        <w:rFonts w:hint="default"/>
      </w:rPr>
    </w:lvl>
    <w:lvl w:ilvl="1" w:tplc="C68C865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CB3E22"/>
    <w:multiLevelType w:val="hybridMultilevel"/>
    <w:tmpl w:val="6E3E9AAA"/>
    <w:lvl w:ilvl="0" w:tplc="AA8AF9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2132D1"/>
    <w:multiLevelType w:val="hybridMultilevel"/>
    <w:tmpl w:val="9A285D4E"/>
    <w:lvl w:ilvl="0" w:tplc="BB148916">
      <w:start w:val="1"/>
      <w:numFmt w:val="ideographLegalTraditional"/>
      <w:lvlText w:val="%1、"/>
      <w:lvlJc w:val="left"/>
      <w:pPr>
        <w:tabs>
          <w:tab w:val="num" w:pos="480"/>
        </w:tabs>
        <w:ind w:left="480" w:hanging="480"/>
      </w:pPr>
      <w:rPr>
        <w:rFonts w:ascii="新細明體" w:eastAsia="細明體" w:hAnsi="新細明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A213A7"/>
    <w:multiLevelType w:val="hybridMultilevel"/>
    <w:tmpl w:val="419A02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AE5B09"/>
    <w:multiLevelType w:val="hybridMultilevel"/>
    <w:tmpl w:val="5D004568"/>
    <w:lvl w:ilvl="0" w:tplc="CE46DE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2158ED"/>
    <w:multiLevelType w:val="hybridMultilevel"/>
    <w:tmpl w:val="30A8FF2C"/>
    <w:lvl w:ilvl="0" w:tplc="9D74EB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2B01BD"/>
    <w:multiLevelType w:val="hybridMultilevel"/>
    <w:tmpl w:val="B6AEE9F4"/>
    <w:lvl w:ilvl="0" w:tplc="04090015">
      <w:start w:val="1"/>
      <w:numFmt w:val="taiwaneseCountingThousand"/>
      <w:lvlText w:val="%1、"/>
      <w:lvlJc w:val="left"/>
      <w:pPr>
        <w:tabs>
          <w:tab w:val="num" w:pos="480"/>
        </w:tabs>
        <w:ind w:left="480" w:hanging="480"/>
      </w:pPr>
      <w:rPr>
        <w:rFonts w:hint="default"/>
      </w:rPr>
    </w:lvl>
    <w:lvl w:ilvl="1" w:tplc="FB441F2A">
      <w:start w:val="4"/>
      <w:numFmt w:val="taiwaneseCountingThousand"/>
      <w:lvlText w:val="第%2章"/>
      <w:lvlJc w:val="left"/>
      <w:pPr>
        <w:tabs>
          <w:tab w:val="num" w:pos="1440"/>
        </w:tabs>
        <w:ind w:left="1440" w:hanging="9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7A"/>
    <w:rsid w:val="00057028"/>
    <w:rsid w:val="000D7D7A"/>
    <w:rsid w:val="00683971"/>
    <w:rsid w:val="006D0E61"/>
    <w:rsid w:val="00B23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E2945-5DC5-4976-9027-1ADECD71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pPr>
    <w:rPr>
      <w:sz w:val="20"/>
      <w:szCs w:val="20"/>
    </w:rPr>
  </w:style>
  <w:style w:type="character" w:styleId="a6">
    <w:name w:val="footnote reference"/>
    <w:basedOn w:val="a0"/>
    <w:semiHidden/>
    <w:rPr>
      <w:vertAlign w:val="superscript"/>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1486</Words>
  <Characters>8476</Characters>
  <Application>Microsoft Office Word</Application>
  <DocSecurity>0</DocSecurity>
  <Lines>70</Lines>
  <Paragraphs>19</Paragraphs>
  <ScaleCrop>false</ScaleCrop>
  <Company>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研究主題與研究計畫的安排</dc:title>
  <dc:subject/>
  <dc:creator>Ai-Er Chen</dc:creator>
  <cp:keywords/>
  <dc:description/>
  <cp:lastModifiedBy>卓卿雲</cp:lastModifiedBy>
  <cp:revision>3</cp:revision>
  <cp:lastPrinted>2006-11-20T12:18:00Z</cp:lastPrinted>
  <dcterms:created xsi:type="dcterms:W3CDTF">2021-09-22T10:25:00Z</dcterms:created>
  <dcterms:modified xsi:type="dcterms:W3CDTF">2021-09-22T10:26:00Z</dcterms:modified>
</cp:coreProperties>
</file>